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6300"/>
        </w:tabs>
        <w:snapToGrid w:val="0"/>
        <w:spacing w:line="300" w:lineRule="auto"/>
        <w:rPr>
          <w:rFonts w:cs="宋体"/>
          <w:b/>
          <w:bCs/>
          <w:sz w:val="44"/>
          <w:szCs w:val="44"/>
        </w:rPr>
      </w:pPr>
    </w:p>
    <w:p>
      <w:pPr>
        <w:tabs>
          <w:tab w:val="left" w:pos="1050"/>
          <w:tab w:val="right" w:leader="dot" w:pos="9402"/>
        </w:tabs>
        <w:jc w:val="center"/>
        <w:rPr>
          <w:rFonts w:hint="eastAsia" w:ascii="宋体" w:hAnsi="宋体"/>
          <w:b/>
          <w:w w:val="100"/>
          <w:sz w:val="48"/>
          <w:szCs w:val="48"/>
        </w:rPr>
      </w:pPr>
    </w:p>
    <w:p>
      <w:pPr>
        <w:tabs>
          <w:tab w:val="left" w:pos="1050"/>
          <w:tab w:val="right" w:leader="dot" w:pos="9402"/>
        </w:tabs>
        <w:jc w:val="center"/>
        <w:rPr>
          <w:rFonts w:hint="eastAsia" w:ascii="宋体" w:hAnsi="宋体" w:eastAsia="宋体"/>
          <w:b/>
          <w:w w:val="80"/>
          <w:sz w:val="56"/>
          <w:szCs w:val="56"/>
          <w:highlight w:val="none"/>
          <w:lang w:eastAsia="zh-CN"/>
        </w:rPr>
      </w:pPr>
      <w:r>
        <w:rPr>
          <w:rFonts w:hint="eastAsia" w:ascii="宋体" w:hAnsi="宋体"/>
          <w:b/>
          <w:w w:val="100"/>
          <w:sz w:val="56"/>
          <w:szCs w:val="56"/>
          <w:highlight w:val="none"/>
          <w:lang w:eastAsia="zh-CN"/>
        </w:rPr>
        <w:t>南通市崇川区文化和旅游局精品文艺生产及演艺服务项目</w:t>
      </w:r>
    </w:p>
    <w:p>
      <w:pPr>
        <w:pStyle w:val="52"/>
        <w:ind w:firstLine="480"/>
      </w:pPr>
    </w:p>
    <w:p>
      <w:pPr>
        <w:tabs>
          <w:tab w:val="left" w:pos="6300"/>
        </w:tabs>
        <w:snapToGrid w:val="0"/>
        <w:spacing w:line="300" w:lineRule="auto"/>
        <w:jc w:val="center"/>
        <w:rPr>
          <w:rFonts w:ascii="宋体"/>
          <w:b/>
          <w:bCs/>
          <w:w w:val="80"/>
          <w:sz w:val="48"/>
          <w:szCs w:val="48"/>
        </w:rPr>
      </w:pPr>
    </w:p>
    <w:p>
      <w:pPr>
        <w:pStyle w:val="52"/>
        <w:ind w:firstLine="480"/>
      </w:pPr>
    </w:p>
    <w:p>
      <w:pPr>
        <w:pStyle w:val="52"/>
        <w:ind w:firstLine="480"/>
      </w:pPr>
    </w:p>
    <w:p>
      <w:pPr>
        <w:pStyle w:val="52"/>
        <w:ind w:firstLine="480"/>
      </w:pPr>
    </w:p>
    <w:p>
      <w:pPr>
        <w:tabs>
          <w:tab w:val="left" w:pos="6300"/>
        </w:tabs>
        <w:snapToGrid w:val="0"/>
        <w:spacing w:line="300" w:lineRule="auto"/>
        <w:jc w:val="center"/>
        <w:rPr>
          <w:rFonts w:ascii="宋体"/>
          <w:b/>
          <w:bCs/>
          <w:w w:val="80"/>
          <w:sz w:val="96"/>
          <w:szCs w:val="96"/>
        </w:rPr>
      </w:pPr>
      <w:r>
        <w:rPr>
          <w:rFonts w:hint="eastAsia" w:ascii="宋体" w:hAnsi="宋体" w:cs="宋体"/>
          <w:b/>
          <w:bCs/>
          <w:w w:val="80"/>
          <w:sz w:val="96"/>
          <w:szCs w:val="96"/>
        </w:rPr>
        <w:t>政府采购</w:t>
      </w:r>
    </w:p>
    <w:p>
      <w:pPr>
        <w:tabs>
          <w:tab w:val="left" w:pos="6300"/>
        </w:tabs>
        <w:snapToGrid w:val="0"/>
        <w:spacing w:line="300" w:lineRule="auto"/>
        <w:jc w:val="center"/>
        <w:rPr>
          <w:rFonts w:hint="eastAsia" w:ascii="宋体" w:hAnsi="宋体" w:cs="宋体"/>
          <w:b/>
          <w:bCs/>
          <w:w w:val="80"/>
          <w:sz w:val="96"/>
          <w:szCs w:val="96"/>
        </w:rPr>
      </w:pPr>
      <w:r>
        <w:rPr>
          <w:rFonts w:hint="eastAsia" w:ascii="宋体" w:hAnsi="宋体" w:cs="宋体"/>
          <w:b/>
          <w:bCs/>
          <w:w w:val="80"/>
          <w:sz w:val="96"/>
          <w:szCs w:val="96"/>
        </w:rPr>
        <w:t>竞争性磋商文件</w:t>
      </w:r>
    </w:p>
    <w:p>
      <w:pPr>
        <w:jc w:val="center"/>
        <w:rPr>
          <w:rFonts w:ascii="宋体"/>
          <w:b/>
          <w:bCs/>
          <w:sz w:val="44"/>
          <w:szCs w:val="44"/>
        </w:rPr>
      </w:pPr>
    </w:p>
    <w:p>
      <w:pPr>
        <w:spacing w:line="360" w:lineRule="auto"/>
        <w:jc w:val="center"/>
        <w:rPr>
          <w:rFonts w:ascii="宋体"/>
          <w:b/>
          <w:bCs/>
          <w:sz w:val="44"/>
          <w:szCs w:val="44"/>
        </w:rPr>
      </w:pPr>
    </w:p>
    <w:p>
      <w:pPr>
        <w:snapToGrid w:val="0"/>
        <w:spacing w:line="360" w:lineRule="auto"/>
        <w:rPr>
          <w:rFonts w:ascii="宋体"/>
          <w:b/>
          <w:bCs/>
          <w:sz w:val="36"/>
          <w:szCs w:val="36"/>
        </w:rPr>
      </w:pPr>
    </w:p>
    <w:p>
      <w:pPr>
        <w:pStyle w:val="52"/>
        <w:ind w:left="0" w:leftChars="0" w:firstLine="0" w:firstLineChars="0"/>
      </w:pPr>
    </w:p>
    <w:p>
      <w:pPr>
        <w:snapToGrid w:val="0"/>
        <w:spacing w:line="360" w:lineRule="auto"/>
        <w:rPr>
          <w:rFonts w:ascii="宋体"/>
          <w:b/>
          <w:bCs/>
          <w:sz w:val="36"/>
          <w:szCs w:val="36"/>
        </w:rPr>
      </w:pPr>
    </w:p>
    <w:p>
      <w:pPr>
        <w:keepNext w:val="0"/>
        <w:keepLines w:val="0"/>
        <w:pageBreakBefore w:val="0"/>
        <w:widowControl w:val="0"/>
        <w:kinsoku/>
        <w:wordWrap/>
        <w:overflowPunct/>
        <w:topLinePunct w:val="0"/>
        <w:autoSpaceDE/>
        <w:autoSpaceDN/>
        <w:bidi w:val="0"/>
        <w:adjustRightInd/>
        <w:snapToGrid/>
        <w:ind w:left="0" w:leftChars="0" w:firstLine="2108" w:firstLineChars="700"/>
        <w:jc w:val="both"/>
        <w:textAlignment w:val="auto"/>
        <w:rPr>
          <w:rFonts w:hint="eastAsia" w:ascii="宋体" w:hAnsi="宋体" w:eastAsia="宋体" w:cs="宋体"/>
          <w:b/>
          <w:snapToGrid w:val="0"/>
          <w:kern w:val="0"/>
          <w:sz w:val="30"/>
          <w:szCs w:val="30"/>
          <w:lang w:eastAsia="zh-CN"/>
        </w:rPr>
      </w:pPr>
      <w:bookmarkStart w:id="0" w:name="_Toc521203417"/>
      <w:bookmarkStart w:id="1" w:name="_Toc8895738"/>
      <w:bookmarkStart w:id="2" w:name="_Toc521201596"/>
      <w:bookmarkStart w:id="3" w:name="_Toc94544827"/>
      <w:bookmarkStart w:id="4" w:name="_Toc11500279"/>
      <w:bookmarkStart w:id="5" w:name="_Toc11554638"/>
      <w:bookmarkStart w:id="6" w:name="_Toc94585339"/>
      <w:bookmarkStart w:id="7" w:name="_Toc94544743"/>
      <w:bookmarkStart w:id="8" w:name="_Toc11499583"/>
      <w:bookmarkStart w:id="9" w:name="_Toc12670502"/>
      <w:r>
        <w:rPr>
          <w:rFonts w:hint="eastAsia" w:ascii="宋体" w:hAnsi="宋体" w:cs="宋体"/>
          <w:b/>
          <w:snapToGrid w:val="0"/>
          <w:kern w:val="0"/>
          <w:sz w:val="30"/>
          <w:szCs w:val="30"/>
        </w:rPr>
        <w:t>采购</w:t>
      </w:r>
      <w:r>
        <w:rPr>
          <w:rFonts w:hint="eastAsia" w:ascii="宋体" w:hAnsi="宋体" w:cs="宋体"/>
          <w:b/>
          <w:snapToGrid w:val="0"/>
          <w:kern w:val="0"/>
          <w:sz w:val="30"/>
          <w:szCs w:val="30"/>
          <w:lang w:eastAsia="zh-CN"/>
        </w:rPr>
        <w:t>单位</w:t>
      </w:r>
      <w:r>
        <w:rPr>
          <w:rFonts w:hint="eastAsia" w:ascii="宋体" w:hAnsi="宋体" w:cs="宋体"/>
          <w:b/>
          <w:snapToGrid w:val="0"/>
          <w:kern w:val="0"/>
          <w:sz w:val="30"/>
          <w:szCs w:val="30"/>
        </w:rPr>
        <w:t>：</w:t>
      </w:r>
      <w:r>
        <w:rPr>
          <w:rFonts w:hint="eastAsia" w:ascii="宋体" w:hAnsi="宋体" w:cs="宋体"/>
          <w:b/>
          <w:sz w:val="30"/>
          <w:szCs w:val="30"/>
          <w:lang w:eastAsia="zh-CN"/>
        </w:rPr>
        <w:t>南通市崇川区文化和旅游局</w:t>
      </w:r>
    </w:p>
    <w:p>
      <w:pPr>
        <w:keepNext w:val="0"/>
        <w:keepLines w:val="0"/>
        <w:pageBreakBefore w:val="0"/>
        <w:widowControl w:val="0"/>
        <w:kinsoku/>
        <w:wordWrap/>
        <w:overflowPunct/>
        <w:topLinePunct w:val="0"/>
        <w:autoSpaceDE/>
        <w:autoSpaceDN/>
        <w:bidi w:val="0"/>
        <w:adjustRightInd/>
        <w:snapToGrid/>
        <w:ind w:left="0" w:leftChars="0" w:firstLine="2108" w:firstLineChars="700"/>
        <w:jc w:val="left"/>
        <w:textAlignment w:val="auto"/>
        <w:rPr>
          <w:rFonts w:hint="eastAsia" w:ascii="宋体" w:hAnsi="宋体" w:eastAsia="宋体" w:cs="宋体"/>
          <w:b/>
          <w:snapToGrid w:val="0"/>
          <w:kern w:val="0"/>
          <w:sz w:val="30"/>
          <w:szCs w:val="30"/>
          <w:lang w:eastAsia="zh-CN"/>
        </w:rPr>
      </w:pPr>
      <w:r>
        <w:rPr>
          <w:rFonts w:hint="eastAsia" w:ascii="宋体" w:hAnsi="宋体" w:cs="宋体"/>
          <w:b/>
          <w:snapToGrid w:val="0"/>
          <w:kern w:val="0"/>
          <w:sz w:val="30"/>
          <w:szCs w:val="30"/>
        </w:rPr>
        <w:t>代理机构：</w:t>
      </w:r>
      <w:r>
        <w:rPr>
          <w:rFonts w:hint="eastAsia" w:ascii="宋体" w:hAnsi="宋体" w:cs="宋体"/>
          <w:b/>
          <w:snapToGrid w:val="0"/>
          <w:kern w:val="0"/>
          <w:sz w:val="30"/>
          <w:szCs w:val="30"/>
          <w:lang w:eastAsia="zh-CN"/>
        </w:rPr>
        <w:t>江苏省江豪工程项目管理有限公司</w:t>
      </w:r>
    </w:p>
    <w:p>
      <w:pPr>
        <w:ind w:firstLine="2108" w:firstLineChars="700"/>
        <w:rPr>
          <w:rFonts w:ascii="宋体" w:hAnsi="宋体" w:cs="宋体"/>
          <w:b/>
          <w:snapToGrid w:val="0"/>
          <w:color w:val="000000" w:themeColor="text1"/>
          <w:kern w:val="0"/>
          <w:sz w:val="30"/>
          <w:szCs w:val="30"/>
          <w:highlight w:val="none"/>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851" w:right="851" w:bottom="851" w:left="851" w:header="851" w:footer="454" w:gutter="0"/>
          <w:pgNumType w:start="1"/>
          <w:cols w:space="720" w:num="1"/>
          <w:titlePg/>
          <w:docGrid w:type="lines" w:linePitch="312" w:charSpace="0"/>
        </w:sectPr>
      </w:pPr>
      <w:r>
        <w:rPr>
          <w:rFonts w:hint="eastAsia" w:ascii="宋体" w:hAnsi="宋体" w:cs="宋体"/>
          <w:b/>
          <w:snapToGrid w:val="0"/>
          <w:color w:val="000000" w:themeColor="text1"/>
          <w:kern w:val="0"/>
          <w:sz w:val="30"/>
          <w:szCs w:val="30"/>
          <w:highlight w:val="none"/>
          <w:lang w:eastAsia="zh-CN"/>
        </w:rPr>
        <w:t>日</w:t>
      </w:r>
      <w:r>
        <w:rPr>
          <w:rFonts w:hint="eastAsia" w:ascii="宋体" w:hAnsi="宋体" w:cs="宋体"/>
          <w:b/>
          <w:snapToGrid w:val="0"/>
          <w:color w:val="000000" w:themeColor="text1"/>
          <w:kern w:val="0"/>
          <w:sz w:val="30"/>
          <w:szCs w:val="30"/>
          <w:highlight w:val="none"/>
          <w:lang w:val="en-US" w:eastAsia="zh-CN"/>
        </w:rPr>
        <w:t xml:space="preserve">    </w:t>
      </w:r>
      <w:r>
        <w:rPr>
          <w:rFonts w:hint="eastAsia" w:ascii="宋体" w:hAnsi="宋体" w:cs="宋体"/>
          <w:b/>
          <w:snapToGrid w:val="0"/>
          <w:color w:val="000000" w:themeColor="text1"/>
          <w:kern w:val="0"/>
          <w:sz w:val="30"/>
          <w:szCs w:val="30"/>
          <w:highlight w:val="none"/>
          <w:lang w:eastAsia="zh-CN"/>
        </w:rPr>
        <w:t>期：</w:t>
      </w:r>
      <w:r>
        <w:rPr>
          <w:rFonts w:hint="eastAsia" w:ascii="宋体" w:hAnsi="宋体" w:cs="宋体"/>
          <w:b/>
          <w:snapToGrid w:val="0"/>
          <w:color w:val="000000" w:themeColor="text1"/>
          <w:kern w:val="0"/>
          <w:sz w:val="30"/>
          <w:szCs w:val="30"/>
          <w:highlight w:val="none"/>
        </w:rPr>
        <w:t>二〇二一年</w:t>
      </w:r>
      <w:r>
        <w:rPr>
          <w:rFonts w:hint="eastAsia" w:ascii="宋体" w:hAnsi="宋体" w:cs="宋体"/>
          <w:b/>
          <w:snapToGrid w:val="0"/>
          <w:color w:val="000000" w:themeColor="text1"/>
          <w:kern w:val="0"/>
          <w:sz w:val="30"/>
          <w:szCs w:val="30"/>
          <w:highlight w:val="none"/>
          <w:lang w:eastAsia="zh-CN"/>
        </w:rPr>
        <w:t>十二</w:t>
      </w:r>
      <w:r>
        <w:rPr>
          <w:rFonts w:hint="eastAsia" w:ascii="宋体" w:hAnsi="宋体" w:cs="宋体"/>
          <w:b/>
          <w:snapToGrid w:val="0"/>
          <w:color w:val="000000" w:themeColor="text1"/>
          <w:kern w:val="0"/>
          <w:sz w:val="30"/>
          <w:szCs w:val="30"/>
          <w:highlight w:val="none"/>
        </w:rPr>
        <w:t>月</w:t>
      </w:r>
      <w:r>
        <w:rPr>
          <w:rFonts w:hint="eastAsia" w:ascii="宋体" w:hAnsi="宋体" w:cs="宋体"/>
          <w:b/>
          <w:snapToGrid w:val="0"/>
          <w:color w:val="000000" w:themeColor="text1"/>
          <w:kern w:val="0"/>
          <w:sz w:val="30"/>
          <w:szCs w:val="30"/>
          <w:highlight w:val="none"/>
          <w:lang w:val="en-US" w:eastAsia="zh-CN"/>
        </w:rPr>
        <w:t>八</w:t>
      </w:r>
      <w:r>
        <w:rPr>
          <w:rFonts w:hint="eastAsia" w:ascii="宋体" w:hAnsi="宋体" w:cs="宋体"/>
          <w:b/>
          <w:snapToGrid w:val="0"/>
          <w:color w:val="000000" w:themeColor="text1"/>
          <w:kern w:val="0"/>
          <w:sz w:val="30"/>
          <w:szCs w:val="30"/>
          <w:highlight w:val="none"/>
        </w:rPr>
        <w:t>日</w:t>
      </w:r>
    </w:p>
    <w:p>
      <w:pPr>
        <w:adjustRightInd w:val="0"/>
        <w:snapToGrid w:val="0"/>
        <w:spacing w:line="360" w:lineRule="auto"/>
        <w:rPr>
          <w:rFonts w:ascii="宋体"/>
          <w:w w:val="80"/>
          <w:sz w:val="32"/>
          <w:szCs w:val="32"/>
        </w:rPr>
      </w:pPr>
      <w:r>
        <w:rPr>
          <w:rFonts w:ascii="宋体"/>
          <w:w w:val="80"/>
          <w:sz w:val="32"/>
          <w:szCs w:val="32"/>
        </w:rPr>
        <w:t xml:space="preserve"> </w:t>
      </w:r>
    </w:p>
    <w:p>
      <w:pPr>
        <w:pStyle w:val="52"/>
      </w:pPr>
    </w:p>
    <w:p>
      <w:pPr>
        <w:pStyle w:val="26"/>
        <w:tabs>
          <w:tab w:val="left" w:pos="1050"/>
          <w:tab w:val="right" w:leader="dot" w:pos="9402"/>
        </w:tabs>
        <w:spacing w:line="960" w:lineRule="exact"/>
        <w:ind w:left="0" w:firstLine="3971" w:firstLineChars="950"/>
        <w:outlineLvl w:val="0"/>
        <w:rPr>
          <w:rFonts w:ascii="宋体"/>
          <w:b/>
          <w:bCs/>
          <w:i w:val="0"/>
          <w:iCs w:val="0"/>
          <w:w w:val="80"/>
          <w:sz w:val="52"/>
          <w:szCs w:val="52"/>
        </w:rPr>
      </w:pPr>
      <w:r>
        <w:rPr>
          <w:rFonts w:hint="eastAsia" w:ascii="宋体" w:hAnsi="宋体" w:cs="宋体"/>
          <w:b/>
          <w:bCs/>
          <w:i w:val="0"/>
          <w:iCs w:val="0"/>
          <w:w w:val="80"/>
          <w:sz w:val="52"/>
          <w:szCs w:val="52"/>
        </w:rPr>
        <w:t>目  录</w:t>
      </w:r>
    </w:p>
    <w:p>
      <w:pPr>
        <w:spacing w:line="800" w:lineRule="exact"/>
        <w:jc w:val="center"/>
        <w:rPr>
          <w:rFonts w:ascii="宋体"/>
          <w:b/>
          <w:bCs/>
          <w:sz w:val="52"/>
          <w:szCs w:val="52"/>
        </w:rPr>
      </w:pPr>
    </w:p>
    <w:p>
      <w:pPr>
        <w:pStyle w:val="26"/>
        <w:tabs>
          <w:tab w:val="left" w:pos="1050"/>
          <w:tab w:val="right" w:leader="dot" w:pos="9402"/>
        </w:tabs>
        <w:spacing w:line="520" w:lineRule="exact"/>
        <w:ind w:left="0"/>
        <w:rPr>
          <w:rFonts w:ascii="宋体"/>
          <w:i w:val="0"/>
          <w:iCs w:val="0"/>
          <w:w w:val="80"/>
          <w:sz w:val="36"/>
          <w:szCs w:val="36"/>
        </w:rPr>
      </w:pPr>
      <w:r>
        <w:rPr>
          <w:rFonts w:hint="eastAsia" w:ascii="宋体" w:hAnsi="宋体" w:cs="宋体"/>
          <w:i w:val="0"/>
          <w:iCs w:val="0"/>
          <w:w w:val="80"/>
          <w:sz w:val="36"/>
          <w:szCs w:val="36"/>
        </w:rPr>
        <w:t>第一章  竞争性磋商公告</w:t>
      </w:r>
    </w:p>
    <w:p>
      <w:pPr>
        <w:rPr>
          <w:rFonts w:ascii="宋体"/>
          <w:sz w:val="36"/>
          <w:szCs w:val="36"/>
        </w:rPr>
      </w:pPr>
    </w:p>
    <w:p>
      <w:pPr>
        <w:pStyle w:val="26"/>
        <w:tabs>
          <w:tab w:val="left" w:pos="1050"/>
          <w:tab w:val="right" w:leader="dot" w:pos="9402"/>
        </w:tabs>
        <w:spacing w:line="520" w:lineRule="exact"/>
        <w:ind w:left="0"/>
        <w:rPr>
          <w:rFonts w:ascii="宋体"/>
          <w:i w:val="0"/>
          <w:iCs w:val="0"/>
          <w:w w:val="80"/>
          <w:sz w:val="36"/>
          <w:szCs w:val="36"/>
        </w:rPr>
      </w:pPr>
      <w:r>
        <w:rPr>
          <w:rFonts w:hint="eastAsia" w:ascii="宋体" w:hAnsi="宋体" w:cs="宋体"/>
          <w:i w:val="0"/>
          <w:iCs w:val="0"/>
          <w:w w:val="80"/>
          <w:sz w:val="36"/>
          <w:szCs w:val="36"/>
        </w:rPr>
        <w:t>第二章  磋商供应商须知</w:t>
      </w:r>
    </w:p>
    <w:p>
      <w:pPr>
        <w:rPr>
          <w:rFonts w:ascii="宋体"/>
          <w:sz w:val="36"/>
          <w:szCs w:val="36"/>
        </w:rPr>
      </w:pPr>
    </w:p>
    <w:p>
      <w:pPr>
        <w:pStyle w:val="26"/>
        <w:tabs>
          <w:tab w:val="left" w:pos="1050"/>
          <w:tab w:val="right" w:leader="dot" w:pos="9402"/>
        </w:tabs>
        <w:spacing w:line="520" w:lineRule="exact"/>
        <w:ind w:left="1"/>
        <w:rPr>
          <w:rFonts w:ascii="宋体"/>
          <w:i w:val="0"/>
          <w:iCs w:val="0"/>
          <w:w w:val="80"/>
          <w:sz w:val="36"/>
          <w:szCs w:val="36"/>
        </w:rPr>
      </w:pPr>
      <w:r>
        <w:rPr>
          <w:rFonts w:hint="eastAsia" w:ascii="宋体" w:hAnsi="宋体" w:cs="宋体"/>
          <w:i w:val="0"/>
          <w:iCs w:val="0"/>
          <w:w w:val="80"/>
          <w:sz w:val="36"/>
          <w:szCs w:val="36"/>
        </w:rPr>
        <w:t>第三章  项目需求</w:t>
      </w:r>
    </w:p>
    <w:p>
      <w:pPr>
        <w:rPr>
          <w:rFonts w:ascii="宋体"/>
          <w:sz w:val="36"/>
          <w:szCs w:val="36"/>
        </w:rPr>
      </w:pPr>
    </w:p>
    <w:p>
      <w:pPr>
        <w:pStyle w:val="26"/>
        <w:tabs>
          <w:tab w:val="left" w:pos="1050"/>
          <w:tab w:val="right" w:leader="dot" w:pos="9402"/>
        </w:tabs>
        <w:spacing w:line="520" w:lineRule="exact"/>
        <w:ind w:left="0"/>
        <w:rPr>
          <w:rFonts w:ascii="宋体"/>
          <w:i w:val="0"/>
          <w:iCs w:val="0"/>
          <w:w w:val="80"/>
          <w:sz w:val="36"/>
          <w:szCs w:val="36"/>
        </w:rPr>
      </w:pPr>
      <w:r>
        <w:rPr>
          <w:rFonts w:hint="eastAsia" w:ascii="宋体" w:hAnsi="宋体" w:cs="宋体"/>
          <w:i w:val="0"/>
          <w:iCs w:val="0"/>
          <w:w w:val="80"/>
          <w:sz w:val="36"/>
          <w:szCs w:val="36"/>
        </w:rPr>
        <w:t>第四章  评审方法和程序</w:t>
      </w:r>
    </w:p>
    <w:p>
      <w:pPr>
        <w:rPr>
          <w:rFonts w:ascii="宋体"/>
          <w:sz w:val="36"/>
          <w:szCs w:val="36"/>
        </w:rPr>
      </w:pPr>
    </w:p>
    <w:p>
      <w:pPr>
        <w:pStyle w:val="26"/>
        <w:numPr>
          <w:ilvl w:val="0"/>
          <w:numId w:val="2"/>
        </w:numPr>
        <w:tabs>
          <w:tab w:val="left" w:pos="1050"/>
          <w:tab w:val="right" w:leader="dot" w:pos="9402"/>
        </w:tabs>
        <w:spacing w:line="520" w:lineRule="exact"/>
        <w:ind w:left="0"/>
        <w:rPr>
          <w:rFonts w:ascii="宋体"/>
          <w:i w:val="0"/>
          <w:iCs w:val="0"/>
          <w:w w:val="80"/>
          <w:sz w:val="36"/>
          <w:szCs w:val="36"/>
        </w:rPr>
      </w:pPr>
      <w:r>
        <w:rPr>
          <w:rFonts w:hint="eastAsia" w:ascii="宋体" w:hAnsi="宋体" w:cs="宋体"/>
          <w:i w:val="0"/>
          <w:iCs w:val="0"/>
          <w:w w:val="80"/>
          <w:sz w:val="36"/>
          <w:szCs w:val="36"/>
        </w:rPr>
        <w:t xml:space="preserve"> 合同</w:t>
      </w:r>
      <w:r>
        <w:rPr>
          <w:rFonts w:hint="eastAsia" w:ascii="宋体" w:hAnsi="宋体" w:cs="宋体"/>
          <w:i w:val="0"/>
          <w:iCs w:val="0"/>
          <w:w w:val="80"/>
          <w:sz w:val="36"/>
          <w:szCs w:val="36"/>
          <w:lang w:eastAsia="zh-CN"/>
        </w:rPr>
        <w:t>授予</w:t>
      </w:r>
    </w:p>
    <w:p>
      <w:pPr>
        <w:rPr>
          <w:rFonts w:ascii="宋体"/>
          <w:i/>
          <w:iCs/>
          <w:w w:val="80"/>
          <w:sz w:val="36"/>
          <w:szCs w:val="36"/>
        </w:rPr>
      </w:pPr>
    </w:p>
    <w:p>
      <w:pPr>
        <w:pStyle w:val="26"/>
        <w:numPr>
          <w:ilvl w:val="0"/>
          <w:numId w:val="2"/>
        </w:numPr>
        <w:tabs>
          <w:tab w:val="left" w:pos="1050"/>
          <w:tab w:val="right" w:leader="dot" w:pos="9402"/>
        </w:tabs>
        <w:spacing w:line="520" w:lineRule="exact"/>
        <w:ind w:left="0"/>
        <w:rPr>
          <w:rFonts w:ascii="宋体"/>
          <w:i w:val="0"/>
          <w:iCs w:val="0"/>
          <w:w w:val="80"/>
          <w:sz w:val="36"/>
          <w:szCs w:val="36"/>
        </w:rPr>
      </w:pPr>
      <w:r>
        <w:rPr>
          <w:rFonts w:hint="eastAsia" w:ascii="宋体" w:hAnsi="宋体" w:cs="宋体"/>
          <w:i w:val="0"/>
          <w:iCs w:val="0"/>
          <w:w w:val="80"/>
          <w:sz w:val="36"/>
          <w:szCs w:val="36"/>
        </w:rPr>
        <w:t xml:space="preserve"> </w:t>
      </w:r>
      <w:r>
        <w:rPr>
          <w:rFonts w:hint="eastAsia" w:ascii="宋体" w:hAnsi="宋体" w:cs="宋体"/>
          <w:i w:val="0"/>
          <w:iCs w:val="0"/>
          <w:w w:val="80"/>
          <w:sz w:val="36"/>
          <w:szCs w:val="36"/>
          <w:lang w:eastAsia="zh-CN"/>
        </w:rPr>
        <w:t>履约验收及付款</w:t>
      </w:r>
    </w:p>
    <w:p>
      <w:pPr>
        <w:rPr>
          <w:rFonts w:ascii="宋体"/>
          <w:sz w:val="36"/>
          <w:szCs w:val="36"/>
        </w:rPr>
      </w:pPr>
    </w:p>
    <w:p>
      <w:pPr>
        <w:pStyle w:val="26"/>
        <w:tabs>
          <w:tab w:val="left" w:pos="1050"/>
          <w:tab w:val="right" w:leader="dot" w:pos="9402"/>
        </w:tabs>
        <w:spacing w:line="520" w:lineRule="exact"/>
        <w:ind w:left="0"/>
        <w:rPr>
          <w:rFonts w:ascii="宋体"/>
          <w:i w:val="0"/>
          <w:iCs w:val="0"/>
          <w:w w:val="80"/>
          <w:sz w:val="36"/>
          <w:szCs w:val="36"/>
        </w:rPr>
      </w:pPr>
      <w:r>
        <w:rPr>
          <w:rFonts w:hint="eastAsia" w:ascii="宋体" w:hAnsi="宋体" w:cs="宋体"/>
          <w:i w:val="0"/>
          <w:iCs w:val="0"/>
          <w:w w:val="80"/>
          <w:sz w:val="36"/>
          <w:szCs w:val="36"/>
        </w:rPr>
        <w:t>第七章  质疑提出和处理</w:t>
      </w:r>
    </w:p>
    <w:p>
      <w:pPr>
        <w:rPr>
          <w:rFonts w:ascii="宋体"/>
          <w:sz w:val="36"/>
          <w:szCs w:val="36"/>
        </w:rPr>
      </w:pPr>
    </w:p>
    <w:p>
      <w:pPr>
        <w:pStyle w:val="26"/>
        <w:tabs>
          <w:tab w:val="left" w:pos="1050"/>
          <w:tab w:val="right" w:leader="dot" w:pos="9402"/>
        </w:tabs>
        <w:spacing w:line="520" w:lineRule="exact"/>
        <w:ind w:left="0"/>
        <w:rPr>
          <w:rFonts w:ascii="宋体"/>
          <w:i w:val="0"/>
          <w:iCs w:val="0"/>
          <w:w w:val="80"/>
          <w:sz w:val="36"/>
          <w:szCs w:val="36"/>
        </w:rPr>
      </w:pPr>
      <w:r>
        <w:rPr>
          <w:rFonts w:hint="eastAsia" w:ascii="宋体" w:hAnsi="宋体" w:cs="宋体"/>
          <w:i w:val="0"/>
          <w:iCs w:val="0"/>
          <w:w w:val="80"/>
          <w:sz w:val="36"/>
          <w:szCs w:val="36"/>
        </w:rPr>
        <w:t>第八章  响应文件组成及格式</w:t>
      </w:r>
    </w:p>
    <w:p>
      <w:pPr>
        <w:rPr>
          <w:rFonts w:ascii="宋体"/>
          <w:sz w:val="36"/>
          <w:szCs w:val="36"/>
        </w:rPr>
      </w:pPr>
    </w:p>
    <w:p>
      <w:pPr>
        <w:rPr>
          <w:rFonts w:ascii="宋体"/>
          <w:sz w:val="36"/>
          <w:szCs w:val="36"/>
        </w:rPr>
      </w:pPr>
    </w:p>
    <w:p>
      <w:pPr>
        <w:snapToGrid w:val="0"/>
        <w:spacing w:line="360" w:lineRule="auto"/>
        <w:rPr>
          <w:rFonts w:ascii="宋体"/>
          <w:b/>
          <w:bCs/>
          <w:sz w:val="24"/>
          <w:szCs w:val="24"/>
        </w:rPr>
      </w:pPr>
      <w:r>
        <w:rPr>
          <w:rFonts w:ascii="宋体"/>
          <w:b/>
          <w:bCs/>
        </w:rPr>
        <w:br w:type="page"/>
      </w:r>
      <w:r>
        <w:rPr>
          <w:rFonts w:hint="eastAsia" w:ascii="宋体" w:hAnsi="宋体" w:cs="宋体"/>
          <w:b/>
          <w:bCs/>
          <w:sz w:val="24"/>
          <w:szCs w:val="24"/>
        </w:rPr>
        <w:t>尊敬的磋商供应商：</w:t>
      </w:r>
    </w:p>
    <w:p>
      <w:pPr>
        <w:snapToGrid w:val="0"/>
        <w:spacing w:line="360" w:lineRule="auto"/>
        <w:ind w:firstLine="482" w:firstLineChars="200"/>
        <w:rPr>
          <w:rFonts w:ascii="宋体"/>
          <w:b/>
          <w:bCs/>
          <w:sz w:val="24"/>
          <w:szCs w:val="24"/>
        </w:rPr>
      </w:pPr>
      <w:r>
        <w:rPr>
          <w:rFonts w:hint="eastAsia" w:ascii="宋体" w:hAnsi="宋体" w:cs="宋体"/>
          <w:b/>
          <w:bCs/>
          <w:sz w:val="24"/>
          <w:szCs w:val="24"/>
        </w:rPr>
        <w:t>欢迎参加本采购项目的竞争性磋商。为了保证本次磋商项目顺利进行，请在制作响应文件之前，仔细阅读本竞争性磋商文件的各项条款，并按要求制作和递交响应文件。谢谢合作！</w:t>
      </w:r>
    </w:p>
    <w:p>
      <w:pPr>
        <w:snapToGrid w:val="0"/>
        <w:spacing w:line="360" w:lineRule="auto"/>
        <w:rPr>
          <w:rFonts w:ascii="宋体"/>
          <w:b/>
          <w:bCs/>
          <w:sz w:val="15"/>
          <w:szCs w:val="15"/>
        </w:rPr>
      </w:pPr>
    </w:p>
    <w:p>
      <w:pPr>
        <w:pStyle w:val="26"/>
        <w:tabs>
          <w:tab w:val="left" w:pos="1050"/>
          <w:tab w:val="right" w:leader="dot" w:pos="9402"/>
        </w:tabs>
        <w:spacing w:line="360" w:lineRule="auto"/>
        <w:ind w:left="0"/>
        <w:jc w:val="center"/>
        <w:outlineLvl w:val="0"/>
        <w:rPr>
          <w:rFonts w:hint="eastAsia" w:ascii="宋体" w:eastAsia="宋体"/>
          <w:b/>
          <w:bCs/>
          <w:i w:val="0"/>
          <w:iCs w:val="0"/>
          <w:sz w:val="44"/>
          <w:szCs w:val="44"/>
          <w:lang w:eastAsia="zh-CN"/>
        </w:rPr>
      </w:pPr>
      <w:bookmarkStart w:id="10" w:name="_Toc363573853"/>
      <w:r>
        <w:rPr>
          <w:rFonts w:hint="eastAsia" w:ascii="宋体" w:hAnsi="宋体" w:cs="宋体"/>
          <w:b/>
          <w:bCs/>
          <w:i w:val="0"/>
          <w:iCs w:val="0"/>
          <w:w w:val="80"/>
          <w:sz w:val="44"/>
          <w:szCs w:val="44"/>
        </w:rPr>
        <w:t>第一章  竞争性磋商公</w:t>
      </w:r>
      <w:bookmarkEnd w:id="0"/>
      <w:bookmarkEnd w:id="1"/>
      <w:bookmarkEnd w:id="2"/>
      <w:bookmarkEnd w:id="3"/>
      <w:bookmarkEnd w:id="4"/>
      <w:bookmarkEnd w:id="5"/>
      <w:bookmarkEnd w:id="6"/>
      <w:bookmarkEnd w:id="7"/>
      <w:bookmarkEnd w:id="8"/>
      <w:bookmarkEnd w:id="9"/>
      <w:r>
        <w:rPr>
          <w:rFonts w:hint="eastAsia" w:ascii="宋体" w:hAnsi="宋体" w:cs="宋体"/>
          <w:b/>
          <w:bCs/>
          <w:i w:val="0"/>
          <w:iCs w:val="0"/>
          <w:w w:val="80"/>
          <w:sz w:val="44"/>
          <w:szCs w:val="44"/>
        </w:rPr>
        <w:t>告</w:t>
      </w:r>
      <w:bookmarkEnd w:id="10"/>
    </w:p>
    <w:p>
      <w:pPr>
        <w:keepNext w:val="0"/>
        <w:keepLines w:val="0"/>
        <w:pageBreakBefore w:val="0"/>
        <w:widowControl/>
        <w:kinsoku/>
        <w:wordWrap/>
        <w:overflowPunct/>
        <w:topLinePunct w:val="0"/>
        <w:autoSpaceDE/>
        <w:autoSpaceDN/>
        <w:bidi w:val="0"/>
        <w:adjustRightInd/>
        <w:snapToGrid w:val="0"/>
        <w:spacing w:line="360" w:lineRule="auto"/>
        <w:ind w:left="0" w:leftChars="0" w:firstLine="482" w:firstLineChars="200"/>
        <w:jc w:val="left"/>
        <w:textAlignment w:val="auto"/>
        <w:rPr>
          <w:rFonts w:ascii="宋体"/>
          <w:sz w:val="24"/>
          <w:szCs w:val="24"/>
        </w:rPr>
      </w:pPr>
      <w:r>
        <w:rPr>
          <w:rFonts w:hint="eastAsia" w:ascii="宋体" w:hAnsi="宋体"/>
          <w:b/>
          <w:color w:val="000000"/>
          <w:sz w:val="24"/>
          <w:u w:val="single"/>
          <w:lang w:eastAsia="zh-CN"/>
        </w:rPr>
        <w:t>江苏省江豪工程项目管理有限公司</w:t>
      </w:r>
      <w:r>
        <w:rPr>
          <w:rFonts w:hint="eastAsia" w:ascii="宋体" w:hAnsi="宋体" w:cs="宋体"/>
          <w:sz w:val="24"/>
          <w:szCs w:val="24"/>
        </w:rPr>
        <w:t>（以下称代理机构）受</w:t>
      </w:r>
      <w:r>
        <w:rPr>
          <w:rFonts w:hint="eastAsia" w:ascii="宋体" w:hAnsi="宋体"/>
          <w:b/>
          <w:color w:val="000000"/>
          <w:sz w:val="24"/>
          <w:u w:val="single"/>
          <w:lang w:eastAsia="zh-CN"/>
        </w:rPr>
        <w:t>南通市崇川区文化和旅游局</w:t>
      </w:r>
      <w:r>
        <w:rPr>
          <w:rFonts w:hint="eastAsia" w:ascii="宋体" w:hAnsi="宋体" w:cs="宋体"/>
          <w:sz w:val="24"/>
          <w:szCs w:val="24"/>
        </w:rPr>
        <w:t>（以下称采购单位）的委托，就其</w:t>
      </w:r>
      <w:r>
        <w:rPr>
          <w:rFonts w:hint="eastAsia" w:ascii="宋体" w:hAnsi="宋体"/>
          <w:b/>
          <w:color w:val="000000"/>
          <w:sz w:val="24"/>
          <w:u w:val="single"/>
          <w:lang w:eastAsia="zh-CN"/>
        </w:rPr>
        <w:t>南通市崇川区文化和旅游局精品文艺生产及演艺服务项目</w:t>
      </w:r>
      <w:r>
        <w:rPr>
          <w:rFonts w:hint="eastAsia" w:ascii="宋体" w:hAnsi="宋体" w:cs="宋体"/>
          <w:sz w:val="24"/>
          <w:szCs w:val="24"/>
        </w:rPr>
        <w:t>组织竞争性磋商采购，诚邀符合条件的潜在供应商参加该项目的竞争性磋商。</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cs="宋体"/>
          <w:sz w:val="24"/>
          <w:szCs w:val="24"/>
          <w:lang w:eastAsia="zh-CN"/>
        </w:rPr>
      </w:pPr>
      <w:r>
        <w:rPr>
          <w:rFonts w:hint="eastAsia" w:ascii="宋体" w:hAnsi="宋体" w:cs="宋体"/>
          <w:sz w:val="24"/>
          <w:szCs w:val="24"/>
        </w:rPr>
        <w:t>一、项目名称：</w:t>
      </w:r>
      <w:r>
        <w:rPr>
          <w:rFonts w:hint="eastAsia" w:ascii="宋体" w:hAnsi="宋体" w:cs="宋体"/>
          <w:sz w:val="24"/>
          <w:szCs w:val="24"/>
          <w:lang w:eastAsia="zh-CN"/>
        </w:rPr>
        <w:t>南通市崇川区文化和旅游局精品文艺生产及演艺服务项目</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cs="宋体"/>
          <w:sz w:val="24"/>
          <w:szCs w:val="24"/>
          <w:lang w:eastAsia="zh-CN"/>
        </w:rPr>
        <w:t>二</w:t>
      </w:r>
      <w:r>
        <w:rPr>
          <w:rFonts w:hint="eastAsia" w:ascii="宋体" w:hAnsi="宋体" w:cs="宋体"/>
          <w:sz w:val="24"/>
          <w:szCs w:val="24"/>
        </w:rPr>
        <w:t>、</w:t>
      </w:r>
      <w:r>
        <w:rPr>
          <w:rFonts w:hint="eastAsia" w:ascii="宋体" w:hAnsi="宋体" w:cs="宋体"/>
          <w:sz w:val="24"/>
          <w:szCs w:val="24"/>
          <w:lang w:eastAsia="zh-CN"/>
        </w:rPr>
        <w:t>项目预算</w:t>
      </w:r>
      <w:r>
        <w:rPr>
          <w:rFonts w:hint="eastAsia" w:ascii="宋体" w:hAnsi="宋体" w:cs="宋体"/>
          <w:sz w:val="24"/>
          <w:szCs w:val="24"/>
        </w:rPr>
        <w:t xml:space="preserve">: </w:t>
      </w:r>
      <w:r>
        <w:rPr>
          <w:rFonts w:hint="eastAsia" w:ascii="宋体" w:hAnsi="宋体" w:cs="宋体"/>
          <w:sz w:val="24"/>
          <w:szCs w:val="24"/>
          <w:lang w:eastAsia="zh-CN"/>
        </w:rPr>
        <w:t>本项目无预算，按实际创作及演出大小结算费用</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80" w:firstLineChars="200"/>
        <w:jc w:val="left"/>
        <w:textAlignment w:val="auto"/>
        <w:rPr>
          <w:rFonts w:ascii="宋体" w:hAnsi="宋体" w:cs="宋体"/>
          <w:sz w:val="24"/>
          <w:szCs w:val="24"/>
        </w:rPr>
      </w:pPr>
      <w:r>
        <w:rPr>
          <w:rFonts w:hint="eastAsia" w:ascii="宋体" w:hAnsi="宋体" w:cs="宋体"/>
          <w:sz w:val="24"/>
          <w:szCs w:val="24"/>
          <w:lang w:eastAsia="zh-CN"/>
        </w:rPr>
        <w:t>三</w:t>
      </w:r>
      <w:r>
        <w:rPr>
          <w:rFonts w:hint="eastAsia" w:ascii="宋体" w:hAnsi="宋体" w:cs="宋体"/>
          <w:sz w:val="24"/>
          <w:szCs w:val="24"/>
        </w:rPr>
        <w:t>、项目需求：详见竞争性磋商文件第三章</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80" w:firstLineChars="200"/>
        <w:jc w:val="left"/>
        <w:textAlignment w:val="auto"/>
        <w:rPr>
          <w:rFonts w:ascii="宋体" w:hAnsi="宋体" w:cs="宋体"/>
          <w:sz w:val="24"/>
          <w:szCs w:val="24"/>
        </w:rPr>
      </w:pPr>
      <w:r>
        <w:rPr>
          <w:rFonts w:hint="eastAsia" w:ascii="宋体" w:hAnsi="宋体" w:cs="宋体"/>
          <w:sz w:val="24"/>
          <w:szCs w:val="24"/>
          <w:lang w:eastAsia="zh-CN"/>
        </w:rPr>
        <w:t>四</w:t>
      </w:r>
      <w:r>
        <w:rPr>
          <w:rFonts w:hint="eastAsia" w:ascii="宋体" w:hAnsi="宋体" w:cs="宋体"/>
          <w:sz w:val="24"/>
          <w:szCs w:val="24"/>
        </w:rPr>
        <w:t>、潜在的供应商资格要求：</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80" w:firstLineChars="200"/>
        <w:jc w:val="left"/>
        <w:textAlignment w:val="auto"/>
        <w:rPr>
          <w:rFonts w:ascii="宋体" w:hAnsi="宋体" w:cs="宋体"/>
          <w:sz w:val="24"/>
          <w:szCs w:val="24"/>
        </w:rPr>
      </w:pPr>
      <w:r>
        <w:rPr>
          <w:rFonts w:ascii="宋体" w:hAnsi="宋体" w:cs="宋体"/>
          <w:sz w:val="24"/>
          <w:szCs w:val="24"/>
        </w:rPr>
        <w:t>1</w:t>
      </w:r>
      <w:r>
        <w:rPr>
          <w:rFonts w:hint="eastAsia" w:ascii="宋体" w:hAnsi="宋体" w:cs="宋体"/>
          <w:sz w:val="24"/>
          <w:szCs w:val="24"/>
        </w:rPr>
        <w:t>、符合《政府采购法》第二十二条之规定：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80" w:firstLineChars="200"/>
        <w:jc w:val="left"/>
        <w:textAlignment w:val="auto"/>
        <w:rPr>
          <w:rFonts w:ascii="宋体" w:hAnsi="宋体" w:cs="宋体"/>
          <w:sz w:val="24"/>
          <w:szCs w:val="24"/>
        </w:rPr>
      </w:pPr>
      <w:r>
        <w:rPr>
          <w:rFonts w:ascii="宋体" w:hAnsi="宋体" w:cs="宋体"/>
          <w:sz w:val="24"/>
          <w:szCs w:val="24"/>
        </w:rPr>
        <w:t>2</w:t>
      </w:r>
      <w:r>
        <w:rPr>
          <w:rFonts w:hint="eastAsia" w:ascii="宋体" w:hAnsi="宋体" w:cs="宋体"/>
          <w:sz w:val="24"/>
          <w:szCs w:val="24"/>
        </w:rPr>
        <w:t>、法定代表人为同一个人的两个及两个以上法人，母公司、全资子公司及其控股公司，都不得在同一采购项目相同标段中同时参加投标，一经发现，将视同围标处理。</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sz w:val="24"/>
          <w:szCs w:val="24"/>
          <w:highlight w:val="none"/>
        </w:rPr>
      </w:pPr>
      <w:r>
        <w:rPr>
          <w:rFonts w:hint="eastAsia" w:ascii="宋体" w:hAnsi="宋体" w:cs="宋体"/>
          <w:sz w:val="24"/>
          <w:szCs w:val="24"/>
        </w:rPr>
        <w:t>3、</w:t>
      </w:r>
      <w:r>
        <w:rPr>
          <w:rFonts w:hint="eastAsia" w:ascii="宋体" w:hAnsi="宋体"/>
          <w:sz w:val="24"/>
          <w:szCs w:val="24"/>
          <w:highlight w:val="none"/>
        </w:rPr>
        <w:t>供应商必须具有独立的法人资格，提供有效的营业执照及税务登记证（或者是三证合一的营业执照）。</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sz w:val="24"/>
          <w:szCs w:val="24"/>
          <w:highlight w:val="none"/>
          <w:lang w:eastAsia="zh-CN"/>
        </w:rPr>
      </w:pPr>
      <w:r>
        <w:rPr>
          <w:rFonts w:hint="eastAsia" w:ascii="宋体" w:hAnsi="宋体" w:cs="宋体"/>
          <w:sz w:val="24"/>
          <w:szCs w:val="24"/>
          <w:lang w:val="en-US" w:eastAsia="zh-CN"/>
        </w:rPr>
        <w:t>4</w:t>
      </w:r>
      <w:r>
        <w:rPr>
          <w:rFonts w:hint="eastAsia" w:ascii="宋体" w:hAnsi="宋体" w:cs="宋体"/>
          <w:sz w:val="24"/>
          <w:szCs w:val="24"/>
        </w:rPr>
        <w:t>、供应商法定代表人参加投标的，必须提供法定代表人身份证明及法定代表人本人身份证复印件；非法定代表人参加投标的，必须提供法定代表人签字或盖章的授权委托书及法定代表人、被授权人的两人身份证的复印件</w:t>
      </w:r>
      <w:r>
        <w:rPr>
          <w:sz w:val="24"/>
          <w:szCs w:val="24"/>
        </w:rPr>
        <w:t>，被授权人为供应商正式人员证明材料</w:t>
      </w:r>
      <w:r>
        <w:rPr>
          <w:rFonts w:hint="eastAsia" w:ascii="宋体" w:hAnsi="宋体" w:eastAsia="宋体" w:cs="宋体"/>
          <w:color w:val="000000"/>
          <w:sz w:val="24"/>
          <w:szCs w:val="24"/>
        </w:rPr>
        <w:t>【提供</w:t>
      </w:r>
      <w:r>
        <w:rPr>
          <w:rFonts w:hint="eastAsia" w:ascii="宋体" w:hAnsi="宋体" w:eastAsia="宋体" w:cs="宋体"/>
          <w:color w:val="000000"/>
          <w:sz w:val="24"/>
          <w:szCs w:val="24"/>
          <w:lang w:eastAsia="zh-CN"/>
        </w:rPr>
        <w:t>①</w:t>
      </w:r>
      <w:r>
        <w:rPr>
          <w:rFonts w:hint="eastAsia" w:ascii="宋体" w:hAnsi="宋体" w:eastAsia="宋体" w:cs="宋体"/>
          <w:color w:val="000000"/>
          <w:sz w:val="24"/>
          <w:szCs w:val="24"/>
        </w:rPr>
        <w:t>与供应商签订的有效劳动合同复印件</w:t>
      </w:r>
      <w:r>
        <w:rPr>
          <w:rFonts w:hint="eastAsia" w:ascii="宋体" w:hAnsi="宋体" w:eastAsia="宋体" w:cs="宋体"/>
          <w:color w:val="000000"/>
          <w:sz w:val="24"/>
          <w:szCs w:val="24"/>
          <w:lang w:eastAsia="zh-CN"/>
        </w:rPr>
        <w:t>；②</w:t>
      </w:r>
      <w:r>
        <w:rPr>
          <w:rFonts w:hint="eastAsia" w:ascii="宋体" w:hAnsi="宋体" w:eastAsia="宋体" w:cs="宋体"/>
          <w:color w:val="000000"/>
          <w:sz w:val="24"/>
          <w:szCs w:val="24"/>
        </w:rPr>
        <w:t>社保机构出具并盖章的供应商为</w:t>
      </w:r>
      <w:r>
        <w:rPr>
          <w:rFonts w:hint="eastAsia" w:ascii="宋体" w:hAnsi="宋体" w:eastAsia="宋体" w:cs="宋体"/>
          <w:color w:val="000000"/>
          <w:sz w:val="24"/>
          <w:szCs w:val="24"/>
          <w:highlight w:val="none"/>
        </w:rPr>
        <w:t>其缴纳202</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年</w:t>
      </w:r>
      <w:r>
        <w:rPr>
          <w:rFonts w:hint="eastAsia" w:ascii="宋体" w:hAnsi="宋体" w:cs="宋体"/>
          <w:color w:val="000000"/>
          <w:sz w:val="24"/>
          <w:szCs w:val="24"/>
          <w:highlight w:val="none"/>
          <w:lang w:val="en-US" w:eastAsia="zh-CN"/>
        </w:rPr>
        <w:t>06</w:t>
      </w:r>
      <w:r>
        <w:rPr>
          <w:rFonts w:hint="eastAsia" w:ascii="宋体" w:hAnsi="宋体" w:cs="宋体"/>
          <w:sz w:val="24"/>
          <w:szCs w:val="24"/>
          <w:highlight w:val="none"/>
        </w:rPr>
        <w:t>月-202</w:t>
      </w:r>
      <w:r>
        <w:rPr>
          <w:rFonts w:hint="eastAsia" w:ascii="宋体" w:hAnsi="宋体" w:cs="宋体"/>
          <w:sz w:val="24"/>
          <w:szCs w:val="24"/>
          <w:highlight w:val="none"/>
          <w:lang w:val="en-US" w:eastAsia="zh-CN"/>
        </w:rPr>
        <w:t>1</w:t>
      </w:r>
      <w:r>
        <w:rPr>
          <w:rFonts w:hint="eastAsia" w:ascii="宋体" w:hAnsi="宋体" w:cs="宋体"/>
          <w:sz w:val="24"/>
          <w:szCs w:val="24"/>
          <w:highlight w:val="none"/>
        </w:rPr>
        <w:t>年</w:t>
      </w:r>
      <w:r>
        <w:rPr>
          <w:rFonts w:hint="eastAsia" w:ascii="宋体" w:hAnsi="宋体" w:cs="宋体"/>
          <w:sz w:val="24"/>
          <w:szCs w:val="24"/>
          <w:highlight w:val="none"/>
          <w:lang w:val="en-US" w:eastAsia="zh-CN"/>
        </w:rPr>
        <w:t>11</w:t>
      </w:r>
      <w:r>
        <w:rPr>
          <w:rFonts w:hint="eastAsia" w:ascii="宋体" w:hAnsi="宋体" w:cs="宋体"/>
          <w:sz w:val="24"/>
          <w:szCs w:val="24"/>
          <w:highlight w:val="none"/>
        </w:rPr>
        <w:t>月连续</w:t>
      </w:r>
      <w:r>
        <w:rPr>
          <w:rFonts w:hint="eastAsia" w:ascii="宋体" w:hAnsi="宋体" w:cs="宋体"/>
          <w:sz w:val="24"/>
          <w:szCs w:val="24"/>
          <w:highlight w:val="none"/>
          <w:lang w:val="en-US" w:eastAsia="zh-CN"/>
        </w:rPr>
        <w:t>六</w:t>
      </w:r>
      <w:r>
        <w:rPr>
          <w:rFonts w:hint="eastAsia" w:ascii="宋体" w:hAnsi="宋体" w:cs="宋体"/>
          <w:sz w:val="24"/>
          <w:szCs w:val="24"/>
          <w:highlight w:val="none"/>
        </w:rPr>
        <w:t>个月的养老保险缴费清单复印件】（格式参见第八章）</w:t>
      </w:r>
      <w:r>
        <w:rPr>
          <w:rFonts w:hint="eastAsia" w:ascii="宋体" w:hAnsi="宋体" w:cs="宋体"/>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cs="宋体"/>
          <w:sz w:val="24"/>
          <w:szCs w:val="24"/>
          <w:highlight w:val="none"/>
          <w:lang w:val="en-US" w:eastAsia="zh-CN"/>
        </w:rPr>
        <w:t>5</w:t>
      </w:r>
      <w:r>
        <w:rPr>
          <w:rFonts w:hint="eastAsia" w:ascii="宋体" w:hAnsi="宋体" w:cs="宋体"/>
          <w:sz w:val="24"/>
          <w:szCs w:val="24"/>
          <w:highlight w:val="none"/>
        </w:rPr>
        <w:t>、供应商须提供参与本次项目政府采购活动前三年内，在经营活动中没有重大</w:t>
      </w:r>
      <w:r>
        <w:rPr>
          <w:rFonts w:hint="eastAsia" w:ascii="宋体" w:hAnsi="宋体" w:cs="宋体"/>
          <w:sz w:val="24"/>
          <w:szCs w:val="24"/>
        </w:rPr>
        <w:t>违法记录的书面《无重大违法记录声明函》（格式参见第八章）</w:t>
      </w:r>
      <w:r>
        <w:rPr>
          <w:rFonts w:hint="eastAsia" w:ascii="宋体" w:hAnsi="宋体" w:cs="宋体"/>
          <w:sz w:val="24"/>
          <w:szCs w:val="24"/>
          <w:lang w:eastAsia="zh-CN"/>
        </w:rPr>
        <w:t>。</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6</w:t>
      </w:r>
      <w:r>
        <w:rPr>
          <w:rFonts w:hint="eastAsia" w:ascii="宋体" w:hAnsi="宋体" w:cs="宋体"/>
          <w:sz w:val="24"/>
          <w:szCs w:val="24"/>
        </w:rPr>
        <w:t>、供应商须提供资格文件声明函（格式参见第八章）</w:t>
      </w:r>
      <w:r>
        <w:rPr>
          <w:rFonts w:hint="eastAsia" w:ascii="宋体" w:hAnsi="宋体" w:cs="宋体"/>
          <w:sz w:val="24"/>
          <w:szCs w:val="24"/>
          <w:lang w:eastAsia="zh-CN"/>
        </w:rPr>
        <w:t>。</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、本项目不接受任何形式的联合体磋商。</w:t>
      </w:r>
    </w:p>
    <w:p>
      <w:pPr>
        <w:keepNext w:val="0"/>
        <w:keepLines w:val="0"/>
        <w:pageBreakBefore w:val="0"/>
        <w:widowControl/>
        <w:tabs>
          <w:tab w:val="left" w:pos="3780"/>
        </w:tabs>
        <w:kinsoku/>
        <w:wordWrap/>
        <w:overflowPunct/>
        <w:topLinePunct w:val="0"/>
        <w:autoSpaceDE/>
        <w:autoSpaceDN/>
        <w:bidi w:val="0"/>
        <w:adjustRightInd/>
        <w:spacing w:line="360" w:lineRule="auto"/>
        <w:ind w:left="0" w:leftChars="0" w:firstLine="482" w:firstLineChars="200"/>
        <w:jc w:val="left"/>
        <w:textAlignment w:val="auto"/>
        <w:rPr>
          <w:rFonts w:ascii="宋体" w:hAnsi="宋体" w:cs="宋体"/>
          <w:b/>
          <w:sz w:val="24"/>
          <w:szCs w:val="24"/>
          <w:u w:val="single" w:color="auto"/>
        </w:rPr>
      </w:pPr>
      <w:r>
        <w:rPr>
          <w:rFonts w:hint="eastAsia" w:ascii="宋体" w:hAnsi="宋体" w:cs="宋体"/>
          <w:b/>
          <w:sz w:val="24"/>
          <w:szCs w:val="24"/>
          <w:u w:val="single" w:color="auto"/>
        </w:rPr>
        <w:t>具体详见本招标文件《第八章　响应文件组成及格式》中的资格审查文件要求。</w:t>
      </w:r>
    </w:p>
    <w:p>
      <w:pPr>
        <w:keepNext w:val="0"/>
        <w:keepLines w:val="0"/>
        <w:pageBreakBefore w:val="0"/>
        <w:widowControl/>
        <w:tabs>
          <w:tab w:val="left" w:pos="3780"/>
        </w:tabs>
        <w:kinsoku/>
        <w:wordWrap/>
        <w:overflowPunct/>
        <w:topLinePunct w:val="0"/>
        <w:autoSpaceDE/>
        <w:autoSpaceDN/>
        <w:bidi w:val="0"/>
        <w:adjustRightInd/>
        <w:spacing w:line="360" w:lineRule="auto"/>
        <w:ind w:left="0" w:leftChars="0" w:firstLine="482" w:firstLineChars="200"/>
        <w:jc w:val="left"/>
        <w:textAlignment w:val="auto"/>
        <w:rPr>
          <w:rFonts w:hint="eastAsia" w:ascii="宋体" w:hAnsi="宋体" w:cs="宋体"/>
          <w:b/>
          <w:sz w:val="24"/>
          <w:szCs w:val="24"/>
          <w:u w:val="none" w:color="auto"/>
        </w:rPr>
      </w:pPr>
      <w:r>
        <w:rPr>
          <w:rFonts w:hint="eastAsia" w:ascii="宋体" w:hAnsi="宋体" w:cs="宋体"/>
          <w:b/>
          <w:sz w:val="24"/>
          <w:szCs w:val="24"/>
          <w:u w:val="none" w:color="auto"/>
        </w:rPr>
        <w:t>请供应商认真对照资格条件，如不符合要求的，无意或故意参与</w:t>
      </w:r>
      <w:r>
        <w:rPr>
          <w:rFonts w:hint="eastAsia" w:ascii="宋体" w:hAnsi="宋体" w:cs="宋体"/>
          <w:b/>
          <w:sz w:val="24"/>
          <w:szCs w:val="24"/>
          <w:u w:val="none" w:color="auto"/>
          <w:lang w:eastAsia="zh-CN"/>
        </w:rPr>
        <w:t>磋商</w:t>
      </w:r>
      <w:r>
        <w:rPr>
          <w:rFonts w:hint="eastAsia" w:ascii="宋体" w:hAnsi="宋体" w:cs="宋体"/>
          <w:b/>
          <w:sz w:val="24"/>
          <w:szCs w:val="24"/>
          <w:u w:val="none" w:color="auto"/>
        </w:rPr>
        <w:t>所产生的一切后果由供应商自行承担，开标过程中，供应商提供的相关证件为虚假或伪造，或者其他人员持法定代表人或授权委托人的身份证参与</w:t>
      </w:r>
      <w:r>
        <w:rPr>
          <w:rFonts w:hint="eastAsia" w:ascii="宋体" w:hAnsi="宋体" w:cs="宋体"/>
          <w:b/>
          <w:sz w:val="24"/>
          <w:szCs w:val="24"/>
          <w:u w:val="none" w:color="auto"/>
          <w:lang w:eastAsia="zh-CN"/>
        </w:rPr>
        <w:t>磋商</w:t>
      </w:r>
      <w:r>
        <w:rPr>
          <w:rFonts w:hint="eastAsia" w:ascii="宋体" w:hAnsi="宋体" w:cs="宋体"/>
          <w:b/>
          <w:sz w:val="24"/>
          <w:szCs w:val="24"/>
          <w:u w:val="none" w:color="auto"/>
        </w:rPr>
        <w:t>，一经发现则取消供应商资格，该供应商将记入不良记录，并报财政部门后将其列入政府采购黑名单。</w:t>
      </w:r>
    </w:p>
    <w:p>
      <w:pPr>
        <w:keepNext w:val="0"/>
        <w:keepLines w:val="0"/>
        <w:pageBreakBefore w:val="0"/>
        <w:widowControl/>
        <w:tabs>
          <w:tab w:val="left" w:pos="3780"/>
        </w:tabs>
        <w:kinsoku/>
        <w:wordWrap/>
        <w:overflowPunct/>
        <w:topLinePunct w:val="0"/>
        <w:autoSpaceDE/>
        <w:autoSpaceDN/>
        <w:bidi w:val="0"/>
        <w:adjustRightInd/>
        <w:spacing w:line="360" w:lineRule="auto"/>
        <w:ind w:left="0" w:leftChars="0" w:firstLine="482" w:firstLineChars="200"/>
        <w:jc w:val="left"/>
        <w:textAlignment w:val="auto"/>
        <w:rPr>
          <w:rFonts w:ascii="宋体" w:hAnsi="宋体" w:cs="宋体"/>
          <w:b/>
          <w:sz w:val="24"/>
          <w:szCs w:val="24"/>
          <w:u w:val="none" w:color="auto"/>
        </w:rPr>
      </w:pPr>
      <w:r>
        <w:rPr>
          <w:rFonts w:hint="eastAsia" w:ascii="宋体" w:hAnsi="宋体" w:cs="宋体"/>
          <w:b/>
          <w:sz w:val="24"/>
          <w:szCs w:val="24"/>
          <w:u w:val="none" w:color="auto"/>
        </w:rPr>
        <w:t>非采购人原因成交人放弃中标资格的，报财政部门将其列入政府采购黑名单，视情公布在崇川区人民政府网。</w:t>
      </w:r>
    </w:p>
    <w:p>
      <w:pPr>
        <w:keepNext w:val="0"/>
        <w:keepLines w:val="0"/>
        <w:pageBreakBefore w:val="0"/>
        <w:widowControl/>
        <w:tabs>
          <w:tab w:val="left" w:pos="3780"/>
        </w:tabs>
        <w:kinsoku/>
        <w:wordWrap/>
        <w:overflowPunct/>
        <w:topLinePunct w:val="0"/>
        <w:autoSpaceDE/>
        <w:autoSpaceDN/>
        <w:bidi w:val="0"/>
        <w:adjustRightInd/>
        <w:spacing w:line="360" w:lineRule="auto"/>
        <w:ind w:left="0" w:leftChars="0" w:firstLine="482" w:firstLineChars="200"/>
        <w:jc w:val="left"/>
        <w:textAlignment w:val="auto"/>
        <w:rPr>
          <w:rFonts w:hint="eastAsia" w:ascii="宋体" w:hAnsi="宋体"/>
          <w:b/>
          <w:bCs/>
          <w:kern w:val="0"/>
          <w:sz w:val="24"/>
          <w:szCs w:val="24"/>
          <w:u w:val="none" w:color="auto"/>
        </w:rPr>
      </w:pPr>
      <w:r>
        <w:rPr>
          <w:rFonts w:hint="eastAsia" w:ascii="宋体" w:hAnsi="宋体" w:cs="宋体"/>
          <w:b/>
          <w:sz w:val="24"/>
          <w:szCs w:val="24"/>
          <w:u w:val="none" w:color="auto"/>
        </w:rPr>
        <w:t>【特别提醒】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中标，采购人有权取消其中标资格，并由该供应商承担由此带来可能的一切责任和损失</w:t>
      </w:r>
      <w:r>
        <w:rPr>
          <w:rFonts w:hint="eastAsia" w:ascii="宋体" w:hAnsi="宋体"/>
          <w:b/>
          <w:bCs/>
          <w:kern w:val="0"/>
          <w:sz w:val="24"/>
          <w:szCs w:val="24"/>
          <w:u w:val="none" w:color="auto"/>
        </w:rPr>
        <w:t>。</w:t>
      </w:r>
    </w:p>
    <w:p>
      <w:pPr>
        <w:keepNext w:val="0"/>
        <w:keepLines w:val="0"/>
        <w:pageBreakBefore w:val="0"/>
        <w:widowControl/>
        <w:tabs>
          <w:tab w:val="left" w:pos="3780"/>
        </w:tabs>
        <w:kinsoku/>
        <w:wordWrap/>
        <w:overflowPunct/>
        <w:topLinePunct w:val="0"/>
        <w:autoSpaceDE/>
        <w:autoSpaceDN/>
        <w:bidi w:val="0"/>
        <w:adjustRightInd/>
        <w:spacing w:line="360" w:lineRule="auto"/>
        <w:ind w:left="0" w:leftChars="0" w:firstLine="482" w:firstLineChars="200"/>
        <w:jc w:val="left"/>
        <w:textAlignment w:val="auto"/>
        <w:rPr>
          <w:rFonts w:hint="eastAsia" w:ascii="宋体" w:hAnsi="宋体"/>
          <w:b/>
          <w:bCs/>
          <w:kern w:val="0"/>
          <w:sz w:val="24"/>
          <w:szCs w:val="24"/>
        </w:rPr>
      </w:pPr>
      <w:r>
        <w:rPr>
          <w:rFonts w:hint="eastAsia" w:ascii="宋体" w:hAnsi="宋体" w:cs="宋体"/>
          <w:b/>
          <w:sz w:val="24"/>
          <w:szCs w:val="24"/>
          <w:u w:val="none" w:color="auto"/>
        </w:rPr>
        <w:t>供应商应依照规定提交各类声明函、承诺函，不再同时提供原件备查或提供有关部门出具的相关证明文件。但中标或成交供应商，应做好提交声明函、承诺函相应原件的核查准备；核查后发现虚假或违背承诺的，依照相关法律法规规定处理。</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cs="宋体"/>
          <w:color w:val="000000" w:themeColor="text1"/>
          <w:sz w:val="24"/>
          <w:szCs w:val="24"/>
        </w:rPr>
      </w:pPr>
      <w:r>
        <w:rPr>
          <w:rFonts w:hint="eastAsia" w:ascii="宋体" w:hAnsi="宋体" w:cs="宋体"/>
          <w:color w:val="000000" w:themeColor="text1"/>
          <w:sz w:val="24"/>
          <w:szCs w:val="24"/>
          <w:lang w:eastAsia="zh-CN"/>
        </w:rPr>
        <w:t>五、</w:t>
      </w:r>
      <w:r>
        <w:rPr>
          <w:rFonts w:hint="eastAsia" w:ascii="宋体" w:hAnsi="宋体" w:cs="宋体"/>
          <w:color w:val="000000" w:themeColor="text1"/>
          <w:sz w:val="24"/>
          <w:szCs w:val="24"/>
        </w:rPr>
        <w:t>磋商文件获取</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cs="宋体"/>
          <w:color w:val="000000" w:themeColor="text1"/>
          <w:sz w:val="24"/>
          <w:szCs w:val="24"/>
        </w:rPr>
      </w:pPr>
      <w:r>
        <w:rPr>
          <w:rFonts w:hint="eastAsia" w:ascii="宋体" w:hAnsi="宋体" w:cs="宋体"/>
          <w:color w:val="000000" w:themeColor="text1"/>
          <w:sz w:val="24"/>
          <w:szCs w:val="24"/>
        </w:rPr>
        <w:t>1、获取时间：自本磋商公告发布之日起。</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cs="宋体"/>
          <w:color w:val="000000" w:themeColor="text1"/>
          <w:sz w:val="24"/>
          <w:szCs w:val="24"/>
          <w:lang w:eastAsia="zh-CN"/>
        </w:rPr>
      </w:pPr>
      <w:bookmarkStart w:id="11" w:name="_Toc387526277"/>
      <w:bookmarkStart w:id="12" w:name="_Toc387526369"/>
      <w:bookmarkStart w:id="13" w:name="_Toc387526173"/>
      <w:r>
        <w:rPr>
          <w:rFonts w:hint="eastAsia" w:ascii="宋体" w:hAnsi="宋体" w:cs="宋体"/>
          <w:color w:val="000000" w:themeColor="text1"/>
          <w:sz w:val="24"/>
          <w:szCs w:val="24"/>
        </w:rPr>
        <w:t>2、获取方式：</w:t>
      </w:r>
      <w:r>
        <w:rPr>
          <w:rFonts w:hint="eastAsia" w:ascii="宋体" w:hAnsi="宋体" w:cs="宋体"/>
          <w:color w:val="000000" w:themeColor="text1"/>
          <w:sz w:val="24"/>
          <w:szCs w:val="24"/>
          <w:u w:val="single"/>
        </w:rPr>
        <w:t>本项目资格审查采用资格后审方式，无报名环节，供应商直接从南通市崇川区人民政府网(</w:t>
      </w:r>
      <w:r>
        <w:rPr>
          <w:rFonts w:hint="eastAsia" w:ascii="宋体" w:hAnsi="宋体" w:cs="宋体"/>
          <w:color w:val="000000" w:themeColor="text1"/>
          <w:sz w:val="24"/>
          <w:szCs w:val="24"/>
          <w:u w:val="single"/>
        </w:rPr>
        <w:fldChar w:fldCharType="begin"/>
      </w:r>
      <w:r>
        <w:rPr>
          <w:rFonts w:hint="eastAsia" w:ascii="宋体" w:hAnsi="宋体" w:cs="宋体"/>
          <w:color w:val="000000" w:themeColor="text1"/>
          <w:sz w:val="24"/>
          <w:szCs w:val="24"/>
          <w:u w:val="single"/>
        </w:rPr>
        <w:instrText xml:space="preserve"> HYPERLINK "http://www.chongchuan.gov.cn/" </w:instrText>
      </w:r>
      <w:r>
        <w:rPr>
          <w:rFonts w:hint="eastAsia" w:ascii="宋体" w:hAnsi="宋体" w:cs="宋体"/>
          <w:color w:val="000000" w:themeColor="text1"/>
          <w:sz w:val="24"/>
          <w:szCs w:val="24"/>
          <w:u w:val="single"/>
        </w:rPr>
        <w:fldChar w:fldCharType="separate"/>
      </w:r>
      <w:r>
        <w:rPr>
          <w:rFonts w:hint="eastAsia" w:ascii="宋体" w:hAnsi="宋体" w:cs="宋体"/>
          <w:color w:val="000000" w:themeColor="text1"/>
          <w:sz w:val="24"/>
          <w:szCs w:val="24"/>
          <w:u w:val="single"/>
        </w:rPr>
        <w:t>http://www.chongchuan.gov.cn/</w:t>
      </w:r>
      <w:r>
        <w:rPr>
          <w:rFonts w:hint="eastAsia" w:ascii="宋体" w:hAnsi="宋体" w:cs="宋体"/>
          <w:color w:val="000000" w:themeColor="text1"/>
          <w:sz w:val="24"/>
          <w:szCs w:val="24"/>
          <w:u w:val="single"/>
        </w:rPr>
        <w:fldChar w:fldCharType="end"/>
      </w:r>
      <w:r>
        <w:rPr>
          <w:rFonts w:hint="eastAsia" w:ascii="宋体" w:hAnsi="宋体" w:cs="宋体"/>
          <w:color w:val="000000" w:themeColor="text1"/>
          <w:sz w:val="24"/>
          <w:szCs w:val="24"/>
          <w:u w:val="single"/>
        </w:rPr>
        <w:t>)“我要看-公告公示”栏</w:t>
      </w:r>
      <w:r>
        <w:rPr>
          <w:rFonts w:hint="eastAsia" w:ascii="宋体" w:hAnsi="宋体" w:cs="宋体"/>
          <w:color w:val="000000" w:themeColor="text1"/>
          <w:sz w:val="24"/>
          <w:szCs w:val="24"/>
        </w:rPr>
        <w:t>自行下载磋商文件、答疑等磋商资料。</w:t>
      </w:r>
      <w:bookmarkEnd w:id="11"/>
      <w:bookmarkEnd w:id="12"/>
      <w:bookmarkEnd w:id="13"/>
    </w:p>
    <w:p>
      <w:pPr>
        <w:keepNext w:val="0"/>
        <w:keepLines w:val="0"/>
        <w:pageBreakBefore w:val="0"/>
        <w:widowControl/>
        <w:kinsoku/>
        <w:wordWrap/>
        <w:overflowPunct/>
        <w:topLinePunct w:val="0"/>
        <w:autoSpaceDE/>
        <w:autoSpaceDN/>
        <w:bidi w:val="0"/>
        <w:adjustRightInd/>
        <w:snapToGrid w:val="0"/>
        <w:spacing w:line="360" w:lineRule="auto"/>
        <w:ind w:left="0" w:leftChars="0" w:firstLine="480" w:firstLineChars="200"/>
        <w:jc w:val="left"/>
        <w:textAlignment w:val="auto"/>
        <w:rPr>
          <w:rFonts w:ascii="宋体"/>
          <w:b/>
          <w:bCs/>
          <w:color w:val="000000" w:themeColor="text1"/>
          <w:sz w:val="24"/>
          <w:szCs w:val="24"/>
        </w:rPr>
      </w:pPr>
      <w:r>
        <w:rPr>
          <w:rFonts w:hint="eastAsia" w:ascii="宋体" w:hAnsi="宋体" w:cs="宋体"/>
          <w:color w:val="000000" w:themeColor="text1"/>
          <w:sz w:val="24"/>
          <w:szCs w:val="24"/>
          <w:lang w:eastAsia="zh-CN"/>
        </w:rPr>
        <w:t>六</w:t>
      </w:r>
      <w:r>
        <w:rPr>
          <w:rFonts w:hint="eastAsia" w:ascii="宋体" w:hAnsi="宋体" w:cs="宋体"/>
          <w:color w:val="000000" w:themeColor="text1"/>
          <w:sz w:val="24"/>
          <w:szCs w:val="24"/>
        </w:rPr>
        <w:t>、响应文件接收截止及评审磋商开始时间</w:t>
      </w:r>
      <w:r>
        <w:rPr>
          <w:rFonts w:hint="eastAsia" w:ascii="宋体" w:hAnsi="宋体" w:cs="宋体"/>
          <w:b/>
          <w:bCs/>
          <w:color w:val="000000" w:themeColor="text1"/>
          <w:sz w:val="24"/>
          <w:szCs w:val="24"/>
        </w:rPr>
        <w:t>：</w:t>
      </w:r>
      <w:r>
        <w:rPr>
          <w:rFonts w:ascii="宋体" w:hAnsi="宋体" w:cs="宋体"/>
          <w:b/>
          <w:bCs/>
          <w:color w:val="000000" w:themeColor="text1"/>
          <w:sz w:val="24"/>
          <w:szCs w:val="24"/>
          <w:u w:val="thick" w:color="FF0000"/>
        </w:rPr>
        <w:t>202</w:t>
      </w:r>
      <w:r>
        <w:rPr>
          <w:rFonts w:hint="eastAsia" w:ascii="宋体" w:hAnsi="宋体" w:cs="宋体"/>
          <w:b/>
          <w:bCs/>
          <w:color w:val="000000" w:themeColor="text1"/>
          <w:sz w:val="24"/>
          <w:szCs w:val="24"/>
          <w:u w:val="thick" w:color="FF0000"/>
        </w:rPr>
        <w:t>1年</w:t>
      </w:r>
      <w:r>
        <w:rPr>
          <w:rFonts w:hint="eastAsia" w:ascii="宋体" w:hAnsi="宋体" w:cs="宋体"/>
          <w:b/>
          <w:bCs/>
          <w:color w:val="000000" w:themeColor="text1"/>
          <w:sz w:val="24"/>
          <w:szCs w:val="24"/>
          <w:highlight w:val="yellow"/>
          <w:u w:val="thick" w:color="FF0000"/>
          <w:lang w:val="en-US" w:eastAsia="zh-CN"/>
        </w:rPr>
        <w:t>12</w:t>
      </w:r>
      <w:r>
        <w:rPr>
          <w:rFonts w:hint="eastAsia" w:ascii="宋体" w:hAnsi="宋体" w:cs="宋体"/>
          <w:b/>
          <w:bCs/>
          <w:color w:val="000000" w:themeColor="text1"/>
          <w:sz w:val="24"/>
          <w:szCs w:val="24"/>
          <w:highlight w:val="yellow"/>
          <w:u w:val="thick" w:color="FF0000"/>
        </w:rPr>
        <w:t>月</w:t>
      </w:r>
      <w:r>
        <w:rPr>
          <w:rFonts w:hint="eastAsia" w:ascii="宋体" w:hAnsi="宋体" w:cs="宋体"/>
          <w:b/>
          <w:bCs/>
          <w:color w:val="000000" w:themeColor="text1"/>
          <w:sz w:val="24"/>
          <w:szCs w:val="24"/>
          <w:highlight w:val="yellow"/>
          <w:u w:val="thick" w:color="FF0000"/>
          <w:lang w:val="en-US" w:eastAsia="zh-CN"/>
        </w:rPr>
        <w:t>20</w:t>
      </w:r>
      <w:r>
        <w:rPr>
          <w:rFonts w:hint="eastAsia" w:ascii="宋体" w:hAnsi="宋体" w:cs="宋体"/>
          <w:b/>
          <w:bCs/>
          <w:color w:val="000000" w:themeColor="text1"/>
          <w:sz w:val="24"/>
          <w:szCs w:val="24"/>
          <w:highlight w:val="yellow"/>
          <w:u w:val="thick" w:color="FF0000"/>
        </w:rPr>
        <w:t>日</w:t>
      </w:r>
      <w:r>
        <w:rPr>
          <w:rFonts w:hint="eastAsia" w:ascii="宋体" w:hAnsi="宋体" w:cs="宋体"/>
          <w:b/>
          <w:bCs/>
          <w:color w:val="000000" w:themeColor="text1"/>
          <w:sz w:val="24"/>
          <w:szCs w:val="24"/>
          <w:highlight w:val="yellow"/>
          <w:u w:val="thick" w:color="FF0000"/>
          <w:lang w:val="en-US" w:eastAsia="zh-CN"/>
        </w:rPr>
        <w:t>9</w:t>
      </w:r>
      <w:r>
        <w:rPr>
          <w:rFonts w:hint="eastAsia" w:ascii="宋体" w:hAnsi="宋体" w:cs="宋体"/>
          <w:b/>
          <w:bCs/>
          <w:color w:val="000000" w:themeColor="text1"/>
          <w:sz w:val="24"/>
          <w:szCs w:val="24"/>
          <w:highlight w:val="yellow"/>
          <w:u w:val="thick" w:color="FF0000"/>
        </w:rPr>
        <w:t>时3</w:t>
      </w:r>
      <w:r>
        <w:rPr>
          <w:rFonts w:ascii="宋体" w:hAnsi="宋体" w:cs="宋体"/>
          <w:b/>
          <w:bCs/>
          <w:color w:val="000000" w:themeColor="text1"/>
          <w:sz w:val="24"/>
          <w:szCs w:val="24"/>
          <w:highlight w:val="yellow"/>
          <w:u w:val="thick" w:color="FF0000"/>
        </w:rPr>
        <w:t>0</w:t>
      </w:r>
      <w:r>
        <w:rPr>
          <w:rFonts w:hint="eastAsia" w:ascii="宋体" w:hAnsi="宋体" w:cs="宋体"/>
          <w:b/>
          <w:bCs/>
          <w:color w:val="000000" w:themeColor="text1"/>
          <w:sz w:val="24"/>
          <w:szCs w:val="24"/>
          <w:highlight w:val="yellow"/>
          <w:u w:val="thick" w:color="FF0000"/>
        </w:rPr>
        <w:t>分</w:t>
      </w:r>
      <w:r>
        <w:rPr>
          <w:rFonts w:hint="eastAsia" w:ascii="宋体" w:hAnsi="宋体" w:cs="宋体"/>
          <w:b/>
          <w:bCs/>
          <w:color w:val="000000" w:themeColor="text1"/>
          <w:sz w:val="24"/>
          <w:szCs w:val="24"/>
        </w:rPr>
        <w:t>。</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82" w:firstLineChars="200"/>
        <w:jc w:val="left"/>
        <w:textAlignment w:val="auto"/>
        <w:rPr>
          <w:rFonts w:hint="eastAsia" w:ascii="宋体" w:hAnsi="宋体" w:cs="宋体"/>
          <w:b/>
          <w:bCs/>
          <w:sz w:val="24"/>
          <w:szCs w:val="24"/>
        </w:rPr>
      </w:pPr>
      <w:r>
        <w:rPr>
          <w:rFonts w:hint="eastAsia" w:ascii="宋体" w:hAnsi="宋体" w:cs="宋体"/>
          <w:b/>
          <w:bCs/>
          <w:sz w:val="24"/>
          <w:szCs w:val="24"/>
          <w:lang w:eastAsia="zh-CN"/>
        </w:rPr>
        <w:t>七</w:t>
      </w:r>
      <w:r>
        <w:rPr>
          <w:rFonts w:hint="eastAsia" w:ascii="宋体" w:hAnsi="宋体" w:cs="宋体"/>
          <w:b/>
          <w:bCs/>
          <w:sz w:val="24"/>
          <w:szCs w:val="24"/>
        </w:rPr>
        <w:t>、响应文件递交地址：</w:t>
      </w:r>
      <w:r>
        <w:rPr>
          <w:rFonts w:hint="eastAsia" w:ascii="宋体" w:hAnsi="宋体" w:cs="宋体"/>
          <w:b/>
          <w:bCs/>
          <w:sz w:val="24"/>
          <w:highlight w:val="none"/>
          <w:lang w:eastAsia="zh-CN"/>
        </w:rPr>
        <w:t>南通市崇川区</w:t>
      </w:r>
      <w:r>
        <w:rPr>
          <w:rFonts w:hint="eastAsia" w:ascii="宋体" w:hAnsi="宋体" w:cs="宋体"/>
          <w:b/>
          <w:bCs/>
          <w:sz w:val="24"/>
          <w:highlight w:val="none"/>
          <w:lang w:val="en-US" w:eastAsia="zh-CN"/>
        </w:rPr>
        <w:t>工农北路</w:t>
      </w:r>
      <w:r>
        <w:rPr>
          <w:rFonts w:hint="eastAsia" w:ascii="宋体" w:hAnsi="宋体" w:cs="宋体"/>
          <w:b/>
          <w:bCs/>
          <w:sz w:val="24"/>
          <w:highlight w:val="none"/>
          <w:lang w:eastAsia="zh-CN"/>
        </w:rPr>
        <w:t>市北文体中心</w:t>
      </w:r>
      <w:r>
        <w:rPr>
          <w:rFonts w:hint="eastAsia" w:ascii="宋体" w:hAnsi="宋体" w:cs="宋体"/>
          <w:b/>
          <w:bCs/>
          <w:sz w:val="24"/>
          <w:highlight w:val="none"/>
          <w:lang w:val="en-US" w:eastAsia="zh-CN"/>
        </w:rPr>
        <w:t>五楼509会议室</w:t>
      </w:r>
      <w:r>
        <w:rPr>
          <w:rFonts w:hint="eastAsia" w:ascii="宋体" w:hAnsi="宋体" w:cs="宋体"/>
          <w:b/>
          <w:bCs/>
          <w:sz w:val="24"/>
          <w:szCs w:val="24"/>
        </w:rPr>
        <w:t>，如有变动另行通知。</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投标人递交响应文件时，投标人的法定代表人（或其授权代理人）必须携带本人身份证、法定代表人身份证明（或授权委托书）原件准时参加开标会议。否则，其投标文件不予受理。注：法定代表人身份证明（或授权委托书）一式二份，一份装订在资格审查文件中，另一份在投标时随身携带。</w:t>
      </w:r>
    </w:p>
    <w:p>
      <w:pPr>
        <w:keepNext w:val="0"/>
        <w:keepLines w:val="0"/>
        <w:pageBreakBefore w:val="0"/>
        <w:widowControl/>
        <w:kinsoku/>
        <w:wordWrap/>
        <w:overflowPunct/>
        <w:topLinePunct w:val="0"/>
        <w:autoSpaceDE/>
        <w:autoSpaceDN/>
        <w:bidi w:val="0"/>
        <w:adjustRightInd/>
        <w:spacing w:line="360" w:lineRule="auto"/>
        <w:ind w:left="0" w:leftChars="0" w:firstLine="482" w:firstLineChars="200"/>
        <w:jc w:val="left"/>
        <w:textAlignment w:val="auto"/>
        <w:rPr>
          <w:rFonts w:ascii="宋体"/>
          <w:b/>
          <w:bCs/>
          <w:sz w:val="24"/>
          <w:szCs w:val="24"/>
        </w:rPr>
      </w:pPr>
      <w:r>
        <w:rPr>
          <w:rFonts w:hint="eastAsia" w:ascii="宋体" w:hAnsi="宋体" w:cs="宋体"/>
          <w:b/>
          <w:bCs/>
          <w:sz w:val="24"/>
          <w:szCs w:val="24"/>
          <w:lang w:eastAsia="zh-CN"/>
        </w:rPr>
        <w:t>八</w:t>
      </w:r>
      <w:r>
        <w:rPr>
          <w:rFonts w:hint="eastAsia" w:ascii="宋体" w:hAnsi="宋体" w:cs="宋体"/>
          <w:b/>
          <w:bCs/>
          <w:sz w:val="24"/>
          <w:szCs w:val="24"/>
        </w:rPr>
        <w:t>、联系方式：</w:t>
      </w:r>
    </w:p>
    <w:p>
      <w:pPr>
        <w:keepNext w:val="0"/>
        <w:keepLines w:val="0"/>
        <w:pageBreakBefore w:val="0"/>
        <w:kinsoku/>
        <w:wordWrap/>
        <w:overflowPunct/>
        <w:topLinePunct w:val="0"/>
        <w:autoSpaceDE/>
        <w:autoSpaceDN/>
        <w:bidi w:val="0"/>
        <w:adjustRightInd/>
        <w:spacing w:line="360" w:lineRule="auto"/>
        <w:ind w:left="0" w:leftChars="0" w:firstLine="480" w:firstLineChars="200"/>
        <w:jc w:val="left"/>
        <w:textAlignment w:val="auto"/>
        <w:rPr>
          <w:rFonts w:hint="eastAsia" w:ascii="宋体" w:hAnsi="宋体" w:eastAsia="宋体" w:cs="宋体"/>
          <w:snapToGrid w:val="0"/>
          <w:kern w:val="0"/>
          <w:sz w:val="24"/>
          <w:szCs w:val="24"/>
          <w:lang w:eastAsia="zh-CN"/>
        </w:rPr>
      </w:pPr>
      <w:bookmarkStart w:id="14" w:name="_Toc12670503"/>
      <w:bookmarkStart w:id="15" w:name="_Toc521203418"/>
      <w:bookmarkStart w:id="16" w:name="_Toc521201597"/>
      <w:bookmarkStart w:id="17" w:name="_Toc11499584"/>
      <w:bookmarkStart w:id="18" w:name="_Toc11500280"/>
      <w:bookmarkStart w:id="19" w:name="_Toc94544744"/>
      <w:bookmarkStart w:id="20" w:name="_Toc94585340"/>
      <w:bookmarkStart w:id="21" w:name="_Toc8895739"/>
      <w:bookmarkStart w:id="22" w:name="_Toc94544828"/>
      <w:bookmarkStart w:id="23" w:name="_Toc11554639"/>
      <w:bookmarkStart w:id="24" w:name="_Toc363573854"/>
      <w:r>
        <w:rPr>
          <w:rFonts w:hint="eastAsia" w:ascii="宋体" w:hAnsi="宋体" w:cs="宋体"/>
          <w:snapToGrid w:val="0"/>
          <w:kern w:val="0"/>
          <w:sz w:val="24"/>
          <w:szCs w:val="24"/>
        </w:rPr>
        <w:t>采购单位：</w:t>
      </w:r>
      <w:r>
        <w:rPr>
          <w:rFonts w:hint="eastAsia" w:ascii="宋体" w:hAnsi="宋体" w:cs="宋体"/>
          <w:snapToGrid w:val="0"/>
          <w:kern w:val="0"/>
          <w:sz w:val="24"/>
          <w:szCs w:val="24"/>
          <w:lang w:eastAsia="zh-CN"/>
        </w:rPr>
        <w:t>南通市崇川区文化和旅游局</w:t>
      </w:r>
    </w:p>
    <w:p>
      <w:pPr>
        <w:keepNext w:val="0"/>
        <w:keepLines w:val="0"/>
        <w:pageBreakBefore w:val="0"/>
        <w:kinsoku/>
        <w:wordWrap/>
        <w:overflowPunct/>
        <w:topLinePunct w:val="0"/>
        <w:autoSpaceDE/>
        <w:autoSpaceDN/>
        <w:bidi w:val="0"/>
        <w:adjustRightInd/>
        <w:spacing w:line="360" w:lineRule="auto"/>
        <w:ind w:left="0" w:leftChars="0" w:firstLine="480" w:firstLineChars="200"/>
        <w:jc w:val="left"/>
        <w:textAlignment w:val="auto"/>
        <w:rPr>
          <w:rFonts w:ascii="宋体" w:hAnsi="宋体" w:cs="宋体"/>
          <w:snapToGrid w:val="0"/>
          <w:kern w:val="0"/>
          <w:sz w:val="24"/>
          <w:szCs w:val="24"/>
          <w:highlight w:val="none"/>
        </w:rPr>
      </w:pPr>
      <w:r>
        <w:rPr>
          <w:rFonts w:hint="eastAsia" w:ascii="宋体" w:hAnsi="宋体" w:cs="宋体"/>
          <w:snapToGrid w:val="0"/>
          <w:kern w:val="0"/>
          <w:sz w:val="24"/>
          <w:szCs w:val="24"/>
          <w:highlight w:val="none"/>
          <w:lang w:eastAsia="zh-CN"/>
        </w:rPr>
        <w:t>采购单位</w:t>
      </w:r>
      <w:r>
        <w:rPr>
          <w:rFonts w:hint="eastAsia" w:ascii="宋体" w:hAnsi="宋体" w:cs="宋体"/>
          <w:snapToGrid w:val="0"/>
          <w:kern w:val="0"/>
          <w:sz w:val="24"/>
          <w:szCs w:val="24"/>
          <w:highlight w:val="none"/>
        </w:rPr>
        <w:t>联系人：周雯      联系电话：13921677297</w:t>
      </w:r>
    </w:p>
    <w:p>
      <w:pPr>
        <w:keepNext w:val="0"/>
        <w:keepLines w:val="0"/>
        <w:pageBreakBefore w:val="0"/>
        <w:kinsoku/>
        <w:wordWrap/>
        <w:overflowPunct/>
        <w:topLinePunct w:val="0"/>
        <w:autoSpaceDE/>
        <w:autoSpaceDN/>
        <w:bidi w:val="0"/>
        <w:adjustRightInd/>
        <w:spacing w:line="360" w:lineRule="auto"/>
        <w:ind w:left="0" w:leftChars="0" w:firstLine="480" w:firstLineChars="200"/>
        <w:jc w:val="left"/>
        <w:textAlignment w:val="auto"/>
        <w:rPr>
          <w:rFonts w:hint="eastAsia" w:ascii="宋体" w:hAnsi="宋体" w:eastAsia="宋体" w:cs="宋体"/>
          <w:snapToGrid w:val="0"/>
          <w:kern w:val="0"/>
          <w:sz w:val="24"/>
          <w:szCs w:val="24"/>
          <w:lang w:eastAsia="zh-CN"/>
        </w:rPr>
      </w:pPr>
      <w:r>
        <w:rPr>
          <w:rFonts w:hint="eastAsia" w:ascii="宋体" w:hAnsi="宋体" w:cs="宋体"/>
          <w:snapToGrid w:val="0"/>
          <w:kern w:val="0"/>
          <w:sz w:val="24"/>
          <w:szCs w:val="24"/>
        </w:rPr>
        <w:t>代理机构：</w:t>
      </w:r>
      <w:r>
        <w:rPr>
          <w:rFonts w:hint="eastAsia" w:ascii="宋体" w:hAnsi="宋体" w:cs="宋体"/>
          <w:snapToGrid w:val="0"/>
          <w:kern w:val="0"/>
          <w:sz w:val="24"/>
          <w:szCs w:val="24"/>
          <w:lang w:eastAsia="zh-CN"/>
        </w:rPr>
        <w:t>江苏省江豪工程项目管理有限公司</w:t>
      </w:r>
    </w:p>
    <w:p>
      <w:pPr>
        <w:keepNext w:val="0"/>
        <w:keepLines w:val="0"/>
        <w:pageBreakBefore w:val="0"/>
        <w:kinsoku/>
        <w:wordWrap/>
        <w:overflowPunct/>
        <w:topLinePunct w:val="0"/>
        <w:autoSpaceDE/>
        <w:autoSpaceDN/>
        <w:bidi w:val="0"/>
        <w:adjustRightInd/>
        <w:spacing w:line="360" w:lineRule="auto"/>
        <w:ind w:left="0" w:leftChars="0" w:firstLine="480" w:firstLineChars="200"/>
        <w:jc w:val="left"/>
        <w:textAlignment w:val="auto"/>
        <w:rPr>
          <w:rFonts w:hint="eastAsia" w:ascii="宋体" w:hAnsi="宋体" w:eastAsia="宋体" w:cs="宋体"/>
          <w:snapToGrid w:val="0"/>
          <w:kern w:val="0"/>
          <w:sz w:val="24"/>
          <w:szCs w:val="24"/>
        </w:rPr>
      </w:pPr>
      <w:r>
        <w:rPr>
          <w:rFonts w:hint="eastAsia" w:ascii="宋体" w:hAnsi="宋体" w:cs="宋体"/>
          <w:snapToGrid w:val="0"/>
          <w:kern w:val="0"/>
          <w:sz w:val="24"/>
          <w:szCs w:val="24"/>
        </w:rPr>
        <w:t>地址</w:t>
      </w:r>
      <w:r>
        <w:rPr>
          <w:rFonts w:hint="eastAsia" w:ascii="宋体" w:hAnsi="宋体" w:eastAsia="宋体" w:cs="宋体"/>
          <w:snapToGrid w:val="0"/>
          <w:kern w:val="0"/>
          <w:sz w:val="24"/>
          <w:szCs w:val="24"/>
        </w:rPr>
        <w:t>：江苏省南通市市北科技城永福路10号江豪大厦十楼</w:t>
      </w:r>
    </w:p>
    <w:p>
      <w:pPr>
        <w:keepNext w:val="0"/>
        <w:keepLines w:val="0"/>
        <w:pageBreakBefore w:val="0"/>
        <w:kinsoku/>
        <w:wordWrap/>
        <w:overflowPunct/>
        <w:topLinePunct w:val="0"/>
        <w:autoSpaceDE/>
        <w:autoSpaceDN/>
        <w:bidi w:val="0"/>
        <w:adjustRightInd/>
        <w:spacing w:line="360" w:lineRule="auto"/>
        <w:ind w:left="0" w:leftChars="0" w:firstLine="480" w:firstLineChars="200"/>
        <w:jc w:val="left"/>
        <w:textAlignment w:val="auto"/>
        <w:rPr>
          <w:rFonts w:hint="eastAsia" w:ascii="宋体" w:hAnsi="宋体" w:cs="宋体"/>
          <w:snapToGrid w:val="0"/>
          <w:kern w:val="0"/>
          <w:sz w:val="24"/>
          <w:szCs w:val="24"/>
        </w:rPr>
      </w:pPr>
      <w:r>
        <w:rPr>
          <w:rFonts w:hint="eastAsia" w:ascii="宋体" w:hAnsi="宋体" w:cs="宋体"/>
          <w:snapToGrid w:val="0"/>
          <w:kern w:val="0"/>
          <w:sz w:val="24"/>
          <w:szCs w:val="24"/>
        </w:rPr>
        <w:t>联系人：</w:t>
      </w:r>
      <w:r>
        <w:rPr>
          <w:rFonts w:hint="eastAsia" w:ascii="宋体" w:hAnsi="宋体" w:cs="宋体"/>
          <w:snapToGrid w:val="0"/>
          <w:kern w:val="0"/>
          <w:sz w:val="24"/>
          <w:szCs w:val="24"/>
          <w:lang w:eastAsia="zh-CN"/>
        </w:rPr>
        <w:t>陈工</w:t>
      </w:r>
      <w:r>
        <w:rPr>
          <w:rFonts w:hint="eastAsia" w:ascii="宋体" w:hAnsi="宋体" w:cs="宋体"/>
          <w:snapToGrid w:val="0"/>
          <w:kern w:val="0"/>
          <w:sz w:val="24"/>
          <w:szCs w:val="24"/>
          <w:lang w:val="en-US" w:eastAsia="zh-CN"/>
        </w:rPr>
        <w:t xml:space="preserve"> </w:t>
      </w:r>
      <w:r>
        <w:rPr>
          <w:rFonts w:hint="eastAsia" w:ascii="宋体" w:hAnsi="宋体" w:cs="宋体"/>
          <w:snapToGrid w:val="0"/>
          <w:kern w:val="0"/>
          <w:sz w:val="24"/>
          <w:szCs w:val="24"/>
        </w:rPr>
        <w:t xml:space="preserve">          联系电话：</w:t>
      </w:r>
      <w:r>
        <w:rPr>
          <w:rFonts w:hint="eastAsia" w:ascii="宋体" w:hAnsi="宋体" w:cs="宋体"/>
          <w:snapToGrid w:val="0"/>
          <w:kern w:val="0"/>
          <w:sz w:val="24"/>
          <w:szCs w:val="24"/>
          <w:lang w:val="en-US" w:eastAsia="zh-CN"/>
        </w:rPr>
        <w:t>18862954881</w:t>
      </w:r>
      <w:r>
        <w:rPr>
          <w:rFonts w:hint="eastAsia" w:ascii="宋体" w:hAnsi="宋体" w:cs="宋体"/>
          <w:snapToGrid w:val="0"/>
          <w:kern w:val="0"/>
          <w:sz w:val="24"/>
          <w:szCs w:val="24"/>
        </w:rPr>
        <w:t xml:space="preserve">  </w:t>
      </w:r>
    </w:p>
    <w:p>
      <w:pPr>
        <w:keepNext w:val="0"/>
        <w:keepLines w:val="0"/>
        <w:pageBreakBefore w:val="0"/>
        <w:kinsoku/>
        <w:wordWrap/>
        <w:overflowPunct/>
        <w:topLinePunct w:val="0"/>
        <w:autoSpaceDE/>
        <w:autoSpaceDN/>
        <w:bidi w:val="0"/>
        <w:adjustRightInd/>
        <w:spacing w:line="360" w:lineRule="auto"/>
        <w:ind w:left="0" w:leftChars="0" w:firstLine="480" w:firstLineChars="200"/>
        <w:jc w:val="left"/>
        <w:textAlignment w:val="auto"/>
        <w:rPr>
          <w:rFonts w:hint="default" w:ascii="宋体" w:hAnsi="宋体" w:eastAsia="宋体" w:cs="宋体"/>
          <w:snapToGrid w:val="0"/>
          <w:kern w:val="0"/>
          <w:sz w:val="24"/>
          <w:szCs w:val="24"/>
          <w:lang w:val="en-US" w:eastAsia="zh-CN"/>
        </w:rPr>
      </w:pPr>
      <w:r>
        <w:rPr>
          <w:rFonts w:hint="eastAsia" w:ascii="宋体" w:hAnsi="宋体" w:cs="宋体"/>
          <w:snapToGrid w:val="0"/>
          <w:kern w:val="0"/>
          <w:sz w:val="24"/>
          <w:szCs w:val="24"/>
          <w:lang w:eastAsia="zh-CN"/>
        </w:rPr>
        <w:t>邮</w:t>
      </w:r>
      <w:r>
        <w:rPr>
          <w:rFonts w:hint="eastAsia" w:ascii="宋体" w:hAnsi="宋体" w:cs="宋体"/>
          <w:snapToGrid w:val="0"/>
          <w:kern w:val="0"/>
          <w:sz w:val="24"/>
          <w:szCs w:val="24"/>
          <w:lang w:val="en-US" w:eastAsia="zh-CN"/>
        </w:rPr>
        <w:t xml:space="preserve">  </w:t>
      </w:r>
      <w:r>
        <w:rPr>
          <w:rFonts w:hint="eastAsia" w:ascii="宋体" w:hAnsi="宋体" w:cs="宋体"/>
          <w:snapToGrid w:val="0"/>
          <w:kern w:val="0"/>
          <w:sz w:val="24"/>
          <w:szCs w:val="24"/>
          <w:lang w:eastAsia="zh-CN"/>
        </w:rPr>
        <w:t>箱</w:t>
      </w:r>
      <w:r>
        <w:rPr>
          <w:rFonts w:hint="eastAsia" w:ascii="宋体" w:hAnsi="宋体" w:cs="宋体"/>
          <w:snapToGrid w:val="0"/>
          <w:kern w:val="0"/>
          <w:sz w:val="24"/>
          <w:szCs w:val="24"/>
        </w:rPr>
        <w:t xml:space="preserve"> </w:t>
      </w:r>
      <w:r>
        <w:rPr>
          <w:rFonts w:hint="eastAsia" w:ascii="宋体" w:hAnsi="宋体" w:cs="宋体"/>
          <w:snapToGrid w:val="0"/>
          <w:kern w:val="0"/>
          <w:sz w:val="24"/>
          <w:szCs w:val="24"/>
          <w:lang w:eastAsia="zh-CN"/>
        </w:rPr>
        <w:t>：</w:t>
      </w:r>
      <w:r>
        <w:rPr>
          <w:rFonts w:hint="eastAsia" w:ascii="宋体" w:hAnsi="宋体" w:eastAsia="宋体"/>
          <w:sz w:val="24"/>
          <w:szCs w:val="24"/>
          <w:lang w:val="en-US" w:eastAsia="zh-CN"/>
        </w:rPr>
        <w:t>13016797299@163.com</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ascii="宋体"/>
          <w:w w:val="80"/>
        </w:rPr>
      </w:pPr>
      <w:r>
        <w:rPr>
          <w:rFonts w:ascii="宋体"/>
          <w:sz w:val="24"/>
          <w:szCs w:val="24"/>
        </w:rPr>
        <w:br w:type="page"/>
      </w:r>
      <w:r>
        <w:rPr>
          <w:rFonts w:hint="eastAsia" w:ascii="宋体" w:hAnsi="宋体" w:cs="宋体"/>
          <w:b/>
          <w:bCs/>
          <w:w w:val="80"/>
          <w:sz w:val="44"/>
          <w:szCs w:val="44"/>
        </w:rPr>
        <w:t>第二章</w:t>
      </w:r>
      <w:bookmarkEnd w:id="14"/>
      <w:bookmarkEnd w:id="15"/>
      <w:bookmarkEnd w:id="16"/>
      <w:bookmarkEnd w:id="17"/>
      <w:bookmarkEnd w:id="18"/>
      <w:bookmarkEnd w:id="19"/>
      <w:bookmarkEnd w:id="20"/>
      <w:bookmarkEnd w:id="21"/>
      <w:bookmarkEnd w:id="22"/>
      <w:bookmarkEnd w:id="23"/>
      <w:r>
        <w:rPr>
          <w:rFonts w:hint="eastAsia" w:ascii="宋体" w:hAnsi="宋体" w:cs="宋体"/>
          <w:b/>
          <w:bCs/>
          <w:w w:val="80"/>
          <w:sz w:val="44"/>
          <w:szCs w:val="44"/>
        </w:rPr>
        <w:t xml:space="preserve">  磋商供应商须知</w:t>
      </w:r>
      <w:bookmarkEnd w:id="24"/>
    </w:p>
    <w:p>
      <w:pPr>
        <w:snapToGrid w:val="0"/>
        <w:spacing w:line="480" w:lineRule="exact"/>
        <w:ind w:firstLine="482" w:firstLineChars="200"/>
        <w:outlineLvl w:val="1"/>
        <w:rPr>
          <w:rFonts w:ascii="宋体"/>
          <w:b/>
          <w:bCs/>
          <w:sz w:val="24"/>
          <w:szCs w:val="24"/>
        </w:rPr>
      </w:pPr>
      <w:bookmarkStart w:id="25" w:name="_Toc8895740"/>
      <w:bookmarkStart w:id="26" w:name="_Toc11499585"/>
      <w:bookmarkStart w:id="27" w:name="_Toc94585341"/>
      <w:bookmarkStart w:id="28" w:name="_Toc94544871"/>
      <w:bookmarkStart w:id="29" w:name="_Toc11554640"/>
      <w:bookmarkStart w:id="30" w:name="_Toc11500281"/>
      <w:bookmarkStart w:id="31" w:name="_Toc521203419"/>
      <w:bookmarkStart w:id="32" w:name="_Toc12670504"/>
      <w:bookmarkStart w:id="33" w:name="_Toc94544745"/>
      <w:bookmarkStart w:id="34" w:name="_Toc521201598"/>
      <w:r>
        <w:rPr>
          <w:rFonts w:hint="eastAsia" w:ascii="宋体" w:hAnsi="宋体" w:cs="宋体"/>
          <w:b/>
          <w:bCs/>
          <w:sz w:val="24"/>
          <w:szCs w:val="24"/>
        </w:rPr>
        <w:t>一、说明</w:t>
      </w:r>
    </w:p>
    <w:p>
      <w:pPr>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、本竞争性磋商文件仅适用于</w:t>
      </w:r>
      <w:r>
        <w:rPr>
          <w:rFonts w:hint="eastAsia" w:ascii="宋体" w:hAnsi="宋体" w:cs="宋体"/>
          <w:sz w:val="24"/>
          <w:szCs w:val="24"/>
          <w:lang w:eastAsia="zh-CN"/>
        </w:rPr>
        <w:t>江苏省江豪工程项目管理有限公司</w:t>
      </w:r>
      <w:r>
        <w:rPr>
          <w:rFonts w:hint="eastAsia" w:ascii="宋体" w:hAnsi="宋体" w:cs="宋体"/>
          <w:sz w:val="24"/>
          <w:szCs w:val="24"/>
        </w:rPr>
        <w:t>组织的竞争性磋商采购活动。</w:t>
      </w:r>
    </w:p>
    <w:p>
      <w:pPr>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、竞争性磋商活动及因本次磋商产生的合同受中国法律制约和保护。</w:t>
      </w:r>
    </w:p>
    <w:p>
      <w:pPr>
        <w:snapToGrid w:val="0"/>
        <w:spacing w:line="48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、竞争性磋商文件的解释权属于</w:t>
      </w:r>
      <w:r>
        <w:rPr>
          <w:rFonts w:hint="eastAsia" w:ascii="宋体" w:hAnsi="宋体" w:cs="宋体"/>
          <w:sz w:val="24"/>
          <w:szCs w:val="24"/>
          <w:lang w:eastAsia="zh-CN"/>
        </w:rPr>
        <w:t>江苏省江豪工程项目管理有限公司</w:t>
      </w:r>
      <w:r>
        <w:rPr>
          <w:rFonts w:hint="eastAsia" w:ascii="宋体" w:hAnsi="宋体" w:cs="宋体"/>
          <w:sz w:val="24"/>
          <w:szCs w:val="24"/>
        </w:rPr>
        <w:t>。</w:t>
      </w:r>
    </w:p>
    <w:p>
      <w:pPr>
        <w:snapToGrid w:val="0"/>
        <w:spacing w:line="480" w:lineRule="exact"/>
        <w:ind w:firstLine="480" w:firstLineChars="200"/>
        <w:rPr>
          <w:rFonts w:hint="eastAsia" w:ascii="宋体" w:hAnsi="宋体" w:eastAsia="宋体" w:cs="宋体"/>
          <w:sz w:val="24"/>
          <w:szCs w:val="24"/>
        </w:rPr>
      </w:pPr>
      <w:r>
        <w:rPr>
          <w:rFonts w:ascii="宋体" w:hAnsi="宋体" w:cs="宋体"/>
          <w:sz w:val="24"/>
          <w:szCs w:val="24"/>
        </w:rPr>
        <w:t>4</w:t>
      </w:r>
      <w:r>
        <w:rPr>
          <w:rFonts w:hint="eastAsia" w:ascii="宋体" w:hAnsi="宋体" w:cs="宋体"/>
          <w:sz w:val="24"/>
          <w:szCs w:val="24"/>
        </w:rPr>
        <w:t>、</w:t>
      </w:r>
      <w:r>
        <w:rPr>
          <w:rFonts w:hint="eastAsia" w:ascii="宋体" w:hAnsi="宋体" w:eastAsia="宋体" w:cs="宋体"/>
          <w:sz w:val="24"/>
          <w:szCs w:val="24"/>
        </w:rPr>
        <w:t>供应商下载磋商文件后，应仔细检查磋商文件的所有内容。如内容中有页码短缺、资格要求以及任何设置有不合理的条件对供应商实行差别待遇或者歧视待遇</w:t>
      </w:r>
      <w:r>
        <w:rPr>
          <w:rFonts w:hint="eastAsia" w:ascii="宋体" w:hAnsi="宋体" w:eastAsia="宋体" w:cs="宋体"/>
          <w:sz w:val="24"/>
          <w:szCs w:val="24"/>
          <w:lang w:eastAsia="zh-CN"/>
        </w:rPr>
        <w:t>以及其他疑问的，</w:t>
      </w:r>
      <w:r>
        <w:rPr>
          <w:rFonts w:hint="eastAsia" w:ascii="宋体" w:hAnsi="宋体" w:eastAsia="宋体" w:cs="宋体"/>
          <w:sz w:val="24"/>
          <w:szCs w:val="24"/>
        </w:rPr>
        <w:t>应以书面形式向代理机构提出询问或疑问，未在规定的时间内提出询问或疑问的，视同理解并接受本磋商文件的所有内容，因此引起的损失由供应商自负，而且供应商不得在磋商结束后针对磋商文件的所有内容提出质疑事项。</w:t>
      </w:r>
      <w:r>
        <w:rPr>
          <w:rFonts w:hint="eastAsia" w:ascii="宋体" w:hAnsi="宋体" w:eastAsia="宋体" w:cs="宋体"/>
          <w:b/>
          <w:bCs/>
          <w:sz w:val="24"/>
          <w:szCs w:val="24"/>
        </w:rPr>
        <w:t>非书面形式的不作为日后质疑提出的依据。</w:t>
      </w:r>
    </w:p>
    <w:p>
      <w:pPr>
        <w:snapToGrid w:val="0"/>
        <w:spacing w:line="480" w:lineRule="exact"/>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、供应商应认真审阅磋商文件中所有的事项、格式、条款和规范要求等，如果供应商没有按照磋商文件要求提交响应文件，或者响应文件没有对磋商文件做出实质性响应，将被拒绝参与项目的磋商。</w:t>
      </w:r>
    </w:p>
    <w:p>
      <w:pPr>
        <w:snapToGrid w:val="0"/>
        <w:spacing w:line="480" w:lineRule="exact"/>
        <w:ind w:firstLine="482" w:firstLineChars="200"/>
        <w:outlineLvl w:val="1"/>
        <w:rPr>
          <w:rFonts w:ascii="宋体"/>
          <w:b/>
          <w:bCs/>
          <w:sz w:val="24"/>
          <w:szCs w:val="24"/>
        </w:rPr>
      </w:pPr>
      <w:r>
        <w:rPr>
          <w:rFonts w:hint="eastAsia" w:ascii="宋体" w:hAnsi="宋体" w:cs="宋体"/>
          <w:b/>
          <w:bCs/>
          <w:sz w:val="24"/>
          <w:szCs w:val="24"/>
        </w:rPr>
        <w:t>二、磋商文件的澄清、修改、答疑</w:t>
      </w:r>
    </w:p>
    <w:p>
      <w:pPr>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、代理机构有权对发出的磋商文件进行必要的澄清、修改或补充。</w:t>
      </w:r>
    </w:p>
    <w:p>
      <w:pPr>
        <w:snapToGrid w:val="0"/>
        <w:spacing w:line="480" w:lineRule="exact"/>
        <w:ind w:firstLine="480" w:firstLineChars="200"/>
        <w:jc w:val="left"/>
        <w:rPr>
          <w:rFonts w:ascii="宋体"/>
          <w:sz w:val="24"/>
          <w:szCs w:val="24"/>
        </w:rPr>
      </w:pPr>
      <w:r>
        <w:rPr>
          <w:rFonts w:ascii="宋体" w:hAnsi="宋体" w:cs="宋体"/>
          <w:sz w:val="24"/>
          <w:szCs w:val="24"/>
        </w:rPr>
        <w:t>2</w:t>
      </w:r>
      <w:r>
        <w:rPr>
          <w:rFonts w:hint="eastAsia" w:ascii="宋体" w:hAnsi="宋体" w:cs="宋体"/>
          <w:sz w:val="24"/>
          <w:szCs w:val="24"/>
        </w:rPr>
        <w:t>、磋商文件的澄清、修改、补充等内容均以书面明确的形式发布，并以南通市崇川区人民政府网发布的信息为准。</w:t>
      </w:r>
    </w:p>
    <w:p>
      <w:pPr>
        <w:snapToGrid w:val="0"/>
        <w:spacing w:line="480" w:lineRule="exact"/>
        <w:ind w:firstLine="480" w:firstLineChars="200"/>
        <w:rPr>
          <w:rFonts w:ascii="宋体" w:hAnsi="宋体" w:cs="宋体"/>
          <w:sz w:val="24"/>
          <w:szCs w:val="24"/>
        </w:rPr>
      </w:pPr>
      <w:r>
        <w:rPr>
          <w:rFonts w:ascii="宋体" w:hAnsi="宋体" w:cs="宋体"/>
          <w:sz w:val="24"/>
          <w:szCs w:val="24"/>
        </w:rPr>
        <w:t>3</w:t>
      </w:r>
      <w:r>
        <w:rPr>
          <w:rFonts w:hint="eastAsia" w:ascii="宋体" w:hAnsi="宋体" w:cs="宋体"/>
          <w:sz w:val="24"/>
          <w:szCs w:val="24"/>
        </w:rPr>
        <w:t>、代理机构对磋商文件的澄清、修改将构成磋商文件的一部分，对响应磋商的供应商具有约束力。</w:t>
      </w:r>
    </w:p>
    <w:p>
      <w:pPr>
        <w:snapToGrid w:val="0"/>
        <w:spacing w:line="480" w:lineRule="exact"/>
        <w:ind w:firstLine="480" w:firstLineChars="200"/>
        <w:rPr>
          <w:rFonts w:ascii="宋体" w:hAnsi="宋体" w:cs="宋体"/>
          <w:sz w:val="24"/>
          <w:szCs w:val="24"/>
        </w:rPr>
      </w:pPr>
      <w:r>
        <w:rPr>
          <w:rFonts w:ascii="宋体" w:hAnsi="宋体" w:cs="宋体"/>
          <w:sz w:val="24"/>
          <w:szCs w:val="24"/>
        </w:rPr>
        <w:t>4</w:t>
      </w:r>
      <w:r>
        <w:rPr>
          <w:rFonts w:hint="eastAsia" w:ascii="宋体" w:hAnsi="宋体" w:cs="宋体"/>
          <w:sz w:val="24"/>
          <w:szCs w:val="24"/>
        </w:rPr>
        <w:t>、补充说明、澄清或修改的内容可能影响到竞争性磋商响应文件编制的，采购代理机构将在首次提交竞争性磋商响应文件截止日5天前，发布补充说明、澄清或修改公告。不足5日的，应当顺延首次提交竞争性磋商响应文件截止之日。</w:t>
      </w:r>
    </w:p>
    <w:p>
      <w:pPr>
        <w:snapToGrid w:val="0"/>
        <w:spacing w:line="480" w:lineRule="exact"/>
        <w:ind w:firstLine="480" w:firstLineChars="200"/>
        <w:rPr>
          <w:rFonts w:ascii="宋体" w:hAnsi="宋体" w:cs="宋体"/>
          <w:sz w:val="24"/>
          <w:szCs w:val="24"/>
        </w:rPr>
      </w:pPr>
      <w:r>
        <w:rPr>
          <w:rFonts w:ascii="宋体" w:hAnsi="宋体" w:cs="宋体"/>
          <w:sz w:val="24"/>
          <w:szCs w:val="24"/>
        </w:rPr>
        <w:t>5</w:t>
      </w:r>
      <w:r>
        <w:rPr>
          <w:rFonts w:hint="eastAsia" w:ascii="宋体" w:hAnsi="宋体" w:cs="宋体"/>
          <w:sz w:val="24"/>
          <w:szCs w:val="24"/>
        </w:rPr>
        <w:t>、除非代理机构以书面的形式对磋商文件作出澄清、修改及补充，供应商对涉及磋商文件的任何推论、理解和结论所造成的结果，均由供应商自负。</w:t>
      </w:r>
    </w:p>
    <w:p>
      <w:pPr>
        <w:snapToGrid w:val="0"/>
        <w:spacing w:line="480" w:lineRule="exact"/>
        <w:ind w:firstLine="480" w:firstLineChars="200"/>
        <w:rPr>
          <w:rFonts w:ascii="宋体" w:hAnsi="宋体" w:cs="宋体"/>
          <w:sz w:val="24"/>
          <w:szCs w:val="24"/>
        </w:rPr>
      </w:pPr>
      <w:r>
        <w:rPr>
          <w:rFonts w:ascii="宋体" w:hAnsi="宋体" w:cs="宋体"/>
          <w:sz w:val="24"/>
          <w:szCs w:val="24"/>
        </w:rPr>
        <w:t>6</w:t>
      </w:r>
      <w:r>
        <w:rPr>
          <w:rFonts w:hint="eastAsia" w:ascii="宋体" w:hAnsi="宋体" w:cs="宋体"/>
          <w:sz w:val="24"/>
          <w:szCs w:val="24"/>
        </w:rPr>
        <w:t>、采购单位视情组织答疑会。如有产生答疑且对磋商文件内容有修改，代理机构将按照本须知有关规定，以补充通知（公告）的方式发出。</w:t>
      </w:r>
    </w:p>
    <w:p>
      <w:pPr>
        <w:snapToGrid w:val="0"/>
        <w:spacing w:line="480" w:lineRule="exact"/>
        <w:ind w:firstLine="482" w:firstLineChars="200"/>
        <w:rPr>
          <w:rFonts w:ascii="宋体" w:hAnsi="宋体" w:cs="宋体"/>
          <w:b/>
          <w:sz w:val="24"/>
          <w:szCs w:val="24"/>
        </w:rPr>
      </w:pPr>
      <w:r>
        <w:rPr>
          <w:rFonts w:hint="eastAsia" w:ascii="宋体" w:hAnsi="宋体" w:cs="宋体"/>
          <w:b/>
          <w:sz w:val="24"/>
          <w:szCs w:val="24"/>
        </w:rPr>
        <w:t>三、响应文件的编制及装订</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供应商按磋商文件要求编写响应文件，并牢固装订成册。响应文件均需采用</w:t>
      </w:r>
      <w:r>
        <w:rPr>
          <w:rFonts w:ascii="宋体" w:hAnsi="宋体" w:cs="宋体"/>
          <w:sz w:val="24"/>
          <w:szCs w:val="24"/>
        </w:rPr>
        <w:t>A4</w:t>
      </w:r>
      <w:r>
        <w:rPr>
          <w:rFonts w:hint="eastAsia" w:ascii="宋体" w:hAnsi="宋体" w:cs="宋体"/>
          <w:sz w:val="24"/>
          <w:szCs w:val="24"/>
        </w:rPr>
        <w:t>纸（图纸等除外），不允许使用活页夹、拉杆夹、文件夹、塑料方便式书脊（插入式或穿孔式）装订。响应文件不得行间插字、涂改、增删，如修改错漏处，须经响应文件签署人签字并加盖公章。</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四、响应文件的份数和签署</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、响应文件由：</w:t>
      </w: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hint="eastAsia" w:ascii="宋体" w:hAnsi="宋体" w:cs="宋体"/>
          <w:sz w:val="24"/>
          <w:szCs w:val="24"/>
        </w:rPr>
        <w:t>①</w:t>
      </w:r>
      <w:r>
        <w:rPr>
          <w:rFonts w:ascii="宋体" w:hAnsi="宋体" w:cs="宋体"/>
          <w:sz w:val="24"/>
          <w:szCs w:val="24"/>
        </w:rPr>
        <w:fldChar w:fldCharType="end"/>
      </w:r>
      <w:r>
        <w:rPr>
          <w:rFonts w:hint="eastAsia" w:ascii="宋体" w:hAnsi="宋体" w:cs="宋体"/>
          <w:sz w:val="24"/>
          <w:szCs w:val="24"/>
        </w:rPr>
        <w:t>资格审查文件、</w:t>
      </w: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hint="eastAsia" w:ascii="宋体" w:hAnsi="宋体" w:cs="宋体"/>
          <w:sz w:val="24"/>
          <w:szCs w:val="24"/>
        </w:rPr>
        <w:t>②</w:t>
      </w:r>
      <w:r>
        <w:rPr>
          <w:rFonts w:ascii="宋体" w:hAnsi="宋体" w:cs="宋体"/>
          <w:sz w:val="24"/>
          <w:szCs w:val="24"/>
        </w:rPr>
        <w:fldChar w:fldCharType="end"/>
      </w:r>
      <w:r>
        <w:rPr>
          <w:rFonts w:hint="eastAsia" w:ascii="宋体" w:hAnsi="宋体" w:cs="宋体"/>
          <w:sz w:val="24"/>
          <w:szCs w:val="24"/>
        </w:rPr>
        <w:t>技术响应文件，共</w:t>
      </w:r>
      <w:r>
        <w:rPr>
          <w:rFonts w:hint="eastAsia" w:ascii="宋体" w:hAnsi="宋体" w:cs="宋体"/>
          <w:sz w:val="24"/>
          <w:szCs w:val="24"/>
          <w:lang w:val="en-US" w:eastAsia="zh-CN"/>
        </w:rPr>
        <w:t>2</w:t>
      </w:r>
      <w:r>
        <w:rPr>
          <w:rFonts w:hint="eastAsia" w:ascii="宋体" w:hAnsi="宋体" w:cs="宋体"/>
          <w:sz w:val="24"/>
          <w:szCs w:val="24"/>
        </w:rPr>
        <w:t>部分组成（以下由文件序号代称）。</w:t>
      </w:r>
    </w:p>
    <w:p>
      <w:pPr>
        <w:snapToGrid w:val="0"/>
        <w:spacing w:line="360" w:lineRule="auto"/>
        <w:ind w:firstLine="480" w:firstLineChars="200"/>
        <w:rPr>
          <w:rFonts w:ascii="宋体"/>
          <w:sz w:val="24"/>
          <w:szCs w:val="24"/>
          <w:u w:val="single"/>
        </w:rPr>
      </w:pPr>
      <w:r>
        <w:rPr>
          <w:rFonts w:ascii="宋体" w:hAnsi="宋体" w:cs="宋体"/>
          <w:sz w:val="24"/>
          <w:szCs w:val="24"/>
        </w:rPr>
        <w:t>2</w:t>
      </w:r>
      <w:r>
        <w:rPr>
          <w:rFonts w:hint="eastAsia" w:ascii="宋体" w:hAnsi="宋体" w:cs="宋体"/>
          <w:sz w:val="24"/>
          <w:szCs w:val="24"/>
        </w:rPr>
        <w:t>、响应文件均为一式</w:t>
      </w:r>
      <w:r>
        <w:rPr>
          <w:rFonts w:hint="eastAsia" w:ascii="宋体" w:hAnsi="宋体" w:cs="宋体"/>
          <w:sz w:val="24"/>
          <w:szCs w:val="24"/>
          <w:lang w:eastAsia="zh-CN"/>
        </w:rPr>
        <w:t>叁</w:t>
      </w:r>
      <w:r>
        <w:rPr>
          <w:rFonts w:hint="eastAsia" w:ascii="宋体" w:hAnsi="宋体" w:cs="宋体"/>
          <w:sz w:val="24"/>
          <w:szCs w:val="24"/>
        </w:rPr>
        <w:t>份，其中“正本”壹份和“副本”</w:t>
      </w:r>
      <w:r>
        <w:rPr>
          <w:rFonts w:hint="eastAsia" w:ascii="宋体" w:hAnsi="宋体" w:cs="宋体"/>
          <w:sz w:val="24"/>
          <w:szCs w:val="24"/>
          <w:lang w:eastAsia="zh-CN"/>
        </w:rPr>
        <w:t>贰</w:t>
      </w:r>
      <w:r>
        <w:rPr>
          <w:rFonts w:hint="eastAsia" w:ascii="宋体" w:hAnsi="宋体" w:cs="宋体"/>
          <w:sz w:val="24"/>
          <w:szCs w:val="24"/>
        </w:rPr>
        <w:t>份。</w:t>
      </w:r>
    </w:p>
    <w:p>
      <w:pPr>
        <w:snapToGrid w:val="0"/>
        <w:spacing w:line="360" w:lineRule="auto"/>
        <w:ind w:firstLine="470" w:firstLineChars="196"/>
        <w:rPr>
          <w:rFonts w:ascii="宋体"/>
          <w:sz w:val="24"/>
          <w:szCs w:val="24"/>
        </w:rPr>
      </w:pPr>
      <w:r>
        <w:rPr>
          <w:rFonts w:ascii="宋体" w:hAnsi="宋体" w:cs="宋体"/>
          <w:sz w:val="24"/>
          <w:szCs w:val="24"/>
        </w:rPr>
        <w:t>3</w:t>
      </w:r>
      <w:r>
        <w:rPr>
          <w:rFonts w:hint="eastAsia" w:ascii="宋体" w:hAnsi="宋体" w:cs="宋体"/>
          <w:sz w:val="24"/>
          <w:szCs w:val="24"/>
        </w:rPr>
        <w:t>、在每份响应文件上要明确标注项目名称、对应的响应文件名称、供应商的全称、日期、“正本”、“副本”字样。“正本”和“副本”若有差异，概以“正本”为准。</w:t>
      </w:r>
    </w:p>
    <w:p>
      <w:pPr>
        <w:snapToGrid w:val="0"/>
        <w:spacing w:line="360" w:lineRule="auto"/>
        <w:ind w:firstLine="470" w:firstLineChars="196"/>
        <w:rPr>
          <w:rFonts w:ascii="宋体"/>
          <w:sz w:val="24"/>
          <w:szCs w:val="24"/>
        </w:rPr>
      </w:pPr>
      <w:r>
        <w:rPr>
          <w:rFonts w:ascii="宋体" w:hAnsi="宋体" w:cs="宋体"/>
          <w:sz w:val="24"/>
          <w:szCs w:val="24"/>
        </w:rPr>
        <w:t>4</w:t>
      </w:r>
      <w:r>
        <w:rPr>
          <w:rFonts w:hint="eastAsia" w:ascii="宋体" w:hAnsi="宋体" w:cs="宋体"/>
          <w:sz w:val="24"/>
          <w:szCs w:val="24"/>
        </w:rPr>
        <w:t>、供应商可将响应文件正副本统一密封或分别密封，如正本和副本分别密封的，应在封袋上标明正、副本字样。</w:t>
      </w:r>
    </w:p>
    <w:p>
      <w:pPr>
        <w:snapToGrid w:val="0"/>
        <w:spacing w:line="360" w:lineRule="auto"/>
        <w:ind w:firstLine="470" w:firstLineChars="196"/>
        <w:rPr>
          <w:rFonts w:ascii="宋体"/>
          <w:sz w:val="24"/>
          <w:szCs w:val="24"/>
        </w:rPr>
      </w:pPr>
      <w:r>
        <w:rPr>
          <w:rFonts w:ascii="宋体" w:hAnsi="宋体" w:cs="宋体"/>
          <w:sz w:val="24"/>
          <w:szCs w:val="24"/>
        </w:rPr>
        <w:t>5</w:t>
      </w:r>
      <w:r>
        <w:rPr>
          <w:rFonts w:hint="eastAsia" w:ascii="宋体" w:hAnsi="宋体" w:cs="宋体"/>
          <w:sz w:val="24"/>
          <w:szCs w:val="24"/>
        </w:rPr>
        <w:t>、响应文件中的所有“正本”，其正文内容须按磋商文件要求由供应商法定代表人或被授权人签字（或盖章）并加盖单位公章。“副本”可复印，但须加盖单位公章。</w:t>
      </w:r>
    </w:p>
    <w:p>
      <w:pPr>
        <w:snapToGrid w:val="0"/>
        <w:spacing w:line="360" w:lineRule="auto"/>
        <w:ind w:firstLine="472" w:firstLineChars="196"/>
        <w:rPr>
          <w:rFonts w:ascii="宋体"/>
          <w:b/>
          <w:bCs/>
          <w:sz w:val="24"/>
          <w:szCs w:val="24"/>
        </w:rPr>
      </w:pPr>
      <w:r>
        <w:rPr>
          <w:rFonts w:hint="eastAsia" w:ascii="宋体" w:hAnsi="宋体" w:cs="宋体"/>
          <w:b/>
          <w:bCs/>
          <w:sz w:val="24"/>
          <w:szCs w:val="24"/>
        </w:rPr>
        <w:t>五、响应文件的密封及标记</w:t>
      </w:r>
    </w:p>
    <w:p>
      <w:pPr>
        <w:snapToGrid w:val="0"/>
        <w:spacing w:line="360" w:lineRule="auto"/>
        <w:ind w:firstLine="480" w:firstLineChars="200"/>
        <w:rPr>
          <w:rFonts w:ascii="宋体"/>
          <w:sz w:val="24"/>
          <w:szCs w:val="24"/>
          <w:u w:val="single"/>
        </w:rPr>
      </w:pPr>
      <w:r>
        <w:rPr>
          <w:rFonts w:ascii="宋体" w:hAnsi="宋体" w:cs="宋体"/>
          <w:sz w:val="24"/>
          <w:szCs w:val="24"/>
        </w:rPr>
        <w:t>1</w:t>
      </w:r>
      <w:r>
        <w:rPr>
          <w:rFonts w:hint="eastAsia" w:ascii="宋体" w:hAnsi="宋体" w:cs="宋体"/>
          <w:sz w:val="24"/>
          <w:szCs w:val="24"/>
        </w:rPr>
        <w:t>、供应商须将本项目响应文件：</w:t>
      </w: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hint="eastAsia" w:ascii="宋体" w:hAnsi="宋体" w:cs="宋体"/>
          <w:sz w:val="24"/>
          <w:szCs w:val="24"/>
        </w:rPr>
        <w:t>①</w:t>
      </w:r>
      <w:r>
        <w:rPr>
          <w:rFonts w:ascii="宋体" w:hAnsi="宋体" w:cs="宋体"/>
          <w:sz w:val="24"/>
          <w:szCs w:val="24"/>
        </w:rPr>
        <w:fldChar w:fldCharType="end"/>
      </w:r>
      <w:r>
        <w:rPr>
          <w:rFonts w:hint="eastAsia" w:ascii="宋体" w:hAnsi="宋体" w:cs="宋体"/>
          <w:sz w:val="24"/>
          <w:szCs w:val="24"/>
        </w:rPr>
        <w:t>、</w:t>
      </w: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hint="eastAsia" w:ascii="宋体" w:hAnsi="宋体" w:cs="宋体"/>
          <w:sz w:val="24"/>
          <w:szCs w:val="24"/>
        </w:rPr>
        <w:t>②</w:t>
      </w:r>
      <w:r>
        <w:rPr>
          <w:rFonts w:ascii="宋体" w:hAnsi="宋体" w:cs="宋体"/>
          <w:sz w:val="24"/>
          <w:szCs w:val="24"/>
        </w:rPr>
        <w:fldChar w:fldCharType="end"/>
      </w:r>
      <w:r>
        <w:rPr>
          <w:rFonts w:hint="eastAsia" w:ascii="宋体" w:hAnsi="宋体" w:cs="宋体"/>
          <w:b/>
          <w:bCs/>
          <w:sz w:val="24"/>
          <w:szCs w:val="24"/>
        </w:rPr>
        <w:t>单独密封</w:t>
      </w:r>
      <w:r>
        <w:rPr>
          <w:rFonts w:hint="eastAsia" w:ascii="宋体" w:hAnsi="宋体" w:cs="宋体"/>
          <w:sz w:val="24"/>
          <w:szCs w:val="24"/>
        </w:rPr>
        <w:t>。</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、密封后，应在每一密封的响应文件上明确标注磋商项目名称、响应文件各自对应的名称、供应商的全称及日期。</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、在边缝处加盖供应商公章或骑缝签字。</w:t>
      </w:r>
    </w:p>
    <w:p>
      <w:pPr>
        <w:snapToGrid w:val="0"/>
        <w:spacing w:line="360" w:lineRule="auto"/>
        <w:ind w:firstLine="496" w:firstLineChars="206"/>
        <w:outlineLvl w:val="1"/>
        <w:rPr>
          <w:rFonts w:hint="eastAsia" w:ascii="宋体" w:eastAsia="宋体"/>
          <w:b/>
          <w:bCs/>
          <w:sz w:val="24"/>
          <w:szCs w:val="24"/>
          <w:lang w:eastAsia="zh-CN"/>
        </w:rPr>
      </w:pPr>
      <w:r>
        <w:rPr>
          <w:rFonts w:hint="eastAsia" w:ascii="宋体" w:hAnsi="宋体" w:cs="宋体"/>
          <w:b/>
          <w:bCs/>
          <w:sz w:val="24"/>
          <w:szCs w:val="24"/>
        </w:rPr>
        <w:t>六、</w:t>
      </w:r>
      <w:r>
        <w:rPr>
          <w:rFonts w:hint="eastAsia" w:ascii="宋体" w:hAnsi="宋体" w:cs="宋体"/>
          <w:b/>
          <w:bCs/>
          <w:sz w:val="24"/>
          <w:szCs w:val="24"/>
          <w:lang w:eastAsia="zh-CN"/>
        </w:rPr>
        <w:t>项目执行价格</w:t>
      </w:r>
    </w:p>
    <w:p>
      <w:pPr>
        <w:snapToGrid w:val="0"/>
        <w:spacing w:line="360" w:lineRule="auto"/>
        <w:ind w:firstLine="494" w:firstLineChars="206"/>
        <w:rPr>
          <w:rFonts w:ascii="宋体"/>
          <w:sz w:val="24"/>
          <w:szCs w:val="24"/>
          <w:u w:val="thick" w:color="FF0000"/>
        </w:rPr>
      </w:pPr>
      <w:r>
        <w:rPr>
          <w:rFonts w:ascii="宋体" w:hAnsi="宋体" w:cs="宋体"/>
          <w:sz w:val="24"/>
          <w:szCs w:val="24"/>
          <w:u w:val="thick" w:color="FF0000"/>
        </w:rPr>
        <w:t>1</w:t>
      </w:r>
      <w:r>
        <w:rPr>
          <w:rFonts w:hint="eastAsia" w:ascii="宋体" w:hAnsi="宋体" w:cs="宋体"/>
          <w:sz w:val="24"/>
          <w:szCs w:val="24"/>
          <w:u w:val="thick" w:color="FF0000"/>
        </w:rPr>
        <w:t>、</w:t>
      </w:r>
      <w:r>
        <w:rPr>
          <w:rFonts w:hint="eastAsia" w:ascii="宋体" w:hAnsi="宋体" w:cs="宋体"/>
          <w:sz w:val="24"/>
          <w:szCs w:val="24"/>
          <w:u w:val="thick" w:color="FF0000"/>
          <w:lang w:eastAsia="zh-CN"/>
        </w:rPr>
        <w:t>本项目无磋商响应报价</w:t>
      </w:r>
      <w:r>
        <w:rPr>
          <w:rFonts w:hint="eastAsia" w:ascii="宋体" w:hAnsi="宋体" w:cs="宋体"/>
          <w:sz w:val="24"/>
          <w:szCs w:val="24"/>
          <w:u w:val="thick" w:color="FF0000"/>
        </w:rPr>
        <w:t>。</w:t>
      </w:r>
    </w:p>
    <w:p>
      <w:pPr>
        <w:snapToGrid w:val="0"/>
        <w:spacing w:line="360" w:lineRule="auto"/>
        <w:ind w:firstLine="494" w:firstLineChars="206"/>
        <w:rPr>
          <w:rFonts w:ascii="宋体"/>
          <w:sz w:val="24"/>
          <w:szCs w:val="24"/>
        </w:rPr>
      </w:pPr>
      <w:r>
        <w:rPr>
          <w:rFonts w:hint="eastAsia" w:ascii="宋体" w:hAnsi="宋体" w:cs="宋体"/>
          <w:sz w:val="24"/>
          <w:szCs w:val="24"/>
        </w:rPr>
        <w:t>2、</w:t>
      </w:r>
      <w:r>
        <w:rPr>
          <w:rFonts w:hint="eastAsia" w:ascii="宋体" w:hAnsi="宋体" w:cs="宋体"/>
          <w:sz w:val="24"/>
          <w:szCs w:val="24"/>
          <w:lang w:eastAsia="zh-CN"/>
        </w:rPr>
        <w:t>服务期间</w:t>
      </w:r>
      <w:r>
        <w:rPr>
          <w:rFonts w:hint="eastAsia" w:ascii="宋体" w:hAnsi="宋体" w:cs="宋体"/>
          <w:sz w:val="24"/>
          <w:szCs w:val="24"/>
        </w:rPr>
        <w:t>涉及的结算价格以人民币为货币单位。</w:t>
      </w:r>
    </w:p>
    <w:p>
      <w:pPr>
        <w:snapToGrid w:val="0"/>
        <w:spacing w:line="360" w:lineRule="auto"/>
        <w:ind w:firstLine="480" w:firstLineChars="200"/>
        <w:rPr>
          <w:rFonts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、除非因特殊原因并经买卖双方协商同意，成交的供应商（以下称成交人）不得再要求追加任何费用。同时，除非合同条款中另有规定，否则，成交人的成交价在合同实施期间不因市场变化因素而变动。</w:t>
      </w:r>
    </w:p>
    <w:p>
      <w:pPr>
        <w:snapToGrid w:val="0"/>
        <w:spacing w:line="360" w:lineRule="auto"/>
        <w:ind w:firstLine="496" w:firstLineChars="206"/>
        <w:outlineLvl w:val="1"/>
        <w:rPr>
          <w:rFonts w:ascii="宋体" w:hAnsi="宋体" w:cs="宋体"/>
          <w:b/>
          <w:bCs/>
          <w:sz w:val="24"/>
          <w:szCs w:val="24"/>
        </w:rPr>
      </w:pPr>
      <w:r>
        <w:rPr>
          <w:rFonts w:hint="eastAsia" w:ascii="宋体" w:hAnsi="宋体" w:cs="宋体"/>
          <w:b/>
          <w:bCs/>
          <w:sz w:val="24"/>
          <w:szCs w:val="24"/>
        </w:rPr>
        <w:t>七、项目涉及到的现场勘察</w:t>
      </w:r>
    </w:p>
    <w:p>
      <w:pPr>
        <w:snapToGrid w:val="0"/>
        <w:spacing w:line="360" w:lineRule="auto"/>
        <w:ind w:firstLine="470" w:firstLineChars="196"/>
        <w:outlineLvl w:val="1"/>
        <w:rPr>
          <w:rFonts w:ascii="宋体" w:hAnsi="宋体" w:cs="宋体"/>
          <w:sz w:val="24"/>
          <w:szCs w:val="24"/>
        </w:rPr>
      </w:pPr>
      <w:r>
        <w:rPr>
          <w:rFonts w:hint="eastAsia" w:ascii="宋体" w:hAnsi="宋体" w:cs="宋体"/>
          <w:sz w:val="24"/>
          <w:szCs w:val="24"/>
        </w:rPr>
        <w:t>1、磋商文件所提供的项目相关数据仅供参考，根据自身需要，供应商可在磋商响应文件递交日前自行对有关现场和周围环境进行勘察，以获取编制磋商响应文件所需的信息。勘察现场如有费用产生，由供应商自行承担。</w:t>
      </w:r>
    </w:p>
    <w:p>
      <w:pPr>
        <w:snapToGrid w:val="0"/>
        <w:spacing w:line="360" w:lineRule="auto"/>
        <w:ind w:firstLine="470" w:firstLineChars="196"/>
        <w:outlineLvl w:val="1"/>
        <w:rPr>
          <w:rFonts w:ascii="宋体" w:hAnsi="宋体" w:cs="宋体"/>
          <w:sz w:val="24"/>
          <w:szCs w:val="24"/>
        </w:rPr>
      </w:pPr>
      <w:r>
        <w:rPr>
          <w:rFonts w:hint="eastAsia" w:ascii="宋体" w:hAnsi="宋体" w:cs="宋体"/>
          <w:sz w:val="24"/>
          <w:szCs w:val="24"/>
        </w:rPr>
        <w:t>2、采购人向供应商提供有关现场的资料和数据，是采购人现有的并认为能使供应商可利用的资料。采购人对供应商由此而做出的推论、理解和结论概不负责。</w:t>
      </w:r>
    </w:p>
    <w:p>
      <w:pPr>
        <w:snapToGrid w:val="0"/>
        <w:spacing w:line="360" w:lineRule="auto"/>
        <w:ind w:firstLine="470" w:firstLineChars="196"/>
        <w:outlineLvl w:val="1"/>
        <w:rPr>
          <w:rFonts w:ascii="宋体" w:hAnsi="宋体" w:cs="宋体"/>
          <w:sz w:val="24"/>
          <w:szCs w:val="24"/>
        </w:rPr>
      </w:pPr>
      <w:r>
        <w:rPr>
          <w:rFonts w:hint="eastAsia" w:ascii="宋体" w:hAnsi="宋体" w:cs="宋体"/>
          <w:sz w:val="24"/>
          <w:szCs w:val="24"/>
        </w:rPr>
        <w:t>3、潜在供应商为响应项目而勘察现场，但不得因此使采购人承担有关的责任和蒙受损失。供应商须承担勘察现场而带来的一切责任及风险。</w:t>
      </w:r>
    </w:p>
    <w:p>
      <w:pPr>
        <w:snapToGrid w:val="0"/>
        <w:spacing w:line="360" w:lineRule="auto"/>
        <w:ind w:firstLine="470" w:firstLineChars="196"/>
        <w:outlineLvl w:val="1"/>
        <w:rPr>
          <w:rFonts w:ascii="宋体" w:hAnsi="宋体" w:cs="宋体"/>
          <w:sz w:val="24"/>
          <w:szCs w:val="24"/>
        </w:rPr>
      </w:pPr>
      <w:r>
        <w:rPr>
          <w:rFonts w:hint="eastAsia" w:ascii="宋体" w:hAnsi="宋体" w:cs="宋体"/>
          <w:sz w:val="24"/>
          <w:szCs w:val="24"/>
        </w:rPr>
        <w:t>4、供应商应在现场勘察时，熟悉现场及周围交通道路等情况，以获得一切可能影响磋商响应内容的直接资料。供应商成交后，不得以不完全了解现场情况为理由而向采购人提出任何索赔的要求，对此采购人不承担任何责任，并且将不作任何答复。</w:t>
      </w:r>
    </w:p>
    <w:p>
      <w:pPr>
        <w:snapToGrid w:val="0"/>
        <w:spacing w:line="360" w:lineRule="auto"/>
        <w:ind w:firstLine="496" w:firstLineChars="206"/>
        <w:outlineLvl w:val="1"/>
        <w:rPr>
          <w:rFonts w:ascii="宋体"/>
          <w:b/>
          <w:bCs/>
          <w:sz w:val="24"/>
          <w:szCs w:val="24"/>
        </w:rPr>
      </w:pPr>
      <w:r>
        <w:rPr>
          <w:rFonts w:hint="eastAsia" w:ascii="宋体" w:hAnsi="宋体" w:cs="宋体"/>
          <w:b/>
          <w:bCs/>
          <w:sz w:val="24"/>
          <w:szCs w:val="24"/>
        </w:rPr>
        <w:t>八、联合体参与磋商</w:t>
      </w:r>
    </w:p>
    <w:p>
      <w:pPr>
        <w:snapToGrid w:val="0"/>
        <w:spacing w:line="360" w:lineRule="auto"/>
        <w:ind w:firstLine="470" w:firstLineChars="196"/>
        <w:outlineLvl w:val="1"/>
        <w:rPr>
          <w:rFonts w:ascii="宋体"/>
          <w:sz w:val="24"/>
          <w:szCs w:val="24"/>
        </w:rPr>
      </w:pPr>
      <w:r>
        <w:rPr>
          <w:rFonts w:hint="eastAsia" w:ascii="宋体" w:hAnsi="宋体" w:cs="宋体"/>
          <w:sz w:val="24"/>
          <w:szCs w:val="24"/>
        </w:rPr>
        <w:t>不接受任何形式的联合体参与本项目的竞争性磋商。</w:t>
      </w:r>
    </w:p>
    <w:p>
      <w:pPr>
        <w:snapToGrid w:val="0"/>
        <w:spacing w:line="360" w:lineRule="auto"/>
        <w:ind w:firstLine="482" w:firstLineChars="200"/>
        <w:outlineLvl w:val="1"/>
        <w:rPr>
          <w:rFonts w:ascii="宋体"/>
          <w:sz w:val="24"/>
          <w:szCs w:val="24"/>
        </w:rPr>
      </w:pPr>
      <w:r>
        <w:rPr>
          <w:rFonts w:hint="eastAsia" w:ascii="宋体" w:hAnsi="宋体" w:cs="宋体"/>
          <w:b/>
          <w:bCs/>
          <w:sz w:val="24"/>
          <w:szCs w:val="24"/>
        </w:rPr>
        <w:t>九、响应文件及</w:t>
      </w:r>
      <w:r>
        <w:rPr>
          <w:rFonts w:hint="eastAsia" w:ascii="宋体" w:hAnsi="宋体" w:cs="宋体"/>
          <w:b/>
          <w:bCs/>
          <w:kern w:val="0"/>
          <w:sz w:val="24"/>
          <w:szCs w:val="24"/>
        </w:rPr>
        <w:t>磋商</w:t>
      </w:r>
      <w:r>
        <w:rPr>
          <w:rFonts w:hint="eastAsia" w:ascii="宋体" w:hAnsi="宋体" w:cs="宋体"/>
          <w:b/>
          <w:bCs/>
          <w:sz w:val="24"/>
          <w:szCs w:val="24"/>
        </w:rPr>
        <w:t>费用</w:t>
      </w:r>
    </w:p>
    <w:p>
      <w:pPr>
        <w:snapToGrid w:val="0"/>
        <w:spacing w:line="360" w:lineRule="auto"/>
        <w:ind w:firstLine="494" w:firstLineChars="206"/>
        <w:outlineLvl w:val="1"/>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w:t>
      </w:r>
      <w:r>
        <w:rPr>
          <w:rFonts w:hint="eastAsia" w:ascii="宋体" w:hAnsi="宋体"/>
          <w:sz w:val="24"/>
          <w:szCs w:val="24"/>
          <w:lang w:val="en-US" w:eastAsia="zh-CN"/>
        </w:rPr>
        <w:t>磋商</w:t>
      </w:r>
      <w:r>
        <w:rPr>
          <w:rFonts w:hint="eastAsia" w:ascii="宋体" w:hAnsi="宋体"/>
          <w:sz w:val="24"/>
          <w:szCs w:val="24"/>
        </w:rPr>
        <w:t>文件每套售价</w:t>
      </w:r>
      <w:r>
        <w:rPr>
          <w:rFonts w:hint="eastAsia" w:ascii="宋体" w:hAnsi="宋体"/>
          <w:sz w:val="24"/>
          <w:szCs w:val="24"/>
          <w:lang w:val="en-US" w:eastAsia="zh-CN"/>
        </w:rPr>
        <w:t>2</w:t>
      </w:r>
      <w:r>
        <w:rPr>
          <w:rFonts w:hint="eastAsia" w:ascii="宋体" w:hAnsi="宋体"/>
          <w:sz w:val="24"/>
          <w:szCs w:val="24"/>
        </w:rPr>
        <w:t>00元，在递交</w:t>
      </w:r>
      <w:r>
        <w:rPr>
          <w:rFonts w:hint="eastAsia" w:ascii="宋体" w:hAnsi="宋体"/>
          <w:sz w:val="24"/>
          <w:szCs w:val="24"/>
          <w:lang w:val="en-US" w:eastAsia="zh-CN"/>
        </w:rPr>
        <w:t>磋商</w:t>
      </w:r>
      <w:r>
        <w:rPr>
          <w:rFonts w:hint="eastAsia" w:ascii="宋体" w:hAnsi="宋体"/>
          <w:sz w:val="24"/>
          <w:szCs w:val="24"/>
        </w:rPr>
        <w:t>响应文件的同时提交给招标代理机构。</w:t>
      </w:r>
    </w:p>
    <w:p>
      <w:pPr>
        <w:snapToGrid w:val="0"/>
        <w:spacing w:line="360" w:lineRule="auto"/>
        <w:ind w:firstLine="460" w:firstLineChars="192"/>
        <w:rPr>
          <w:rFonts w:ascii="宋体"/>
          <w:sz w:val="24"/>
          <w:szCs w:val="24"/>
        </w:rPr>
      </w:pPr>
      <w:r>
        <w:rPr>
          <w:rFonts w:hint="eastAsia" w:ascii="宋体" w:hAnsi="宋体" w:cs="宋体"/>
          <w:sz w:val="24"/>
          <w:szCs w:val="24"/>
          <w:lang w:val="en-US" w:eastAsia="zh-CN"/>
        </w:rPr>
        <w:t>2</w:t>
      </w:r>
      <w:r>
        <w:rPr>
          <w:rFonts w:hint="eastAsia" w:ascii="宋体" w:hAnsi="宋体" w:cs="宋体"/>
          <w:sz w:val="24"/>
          <w:szCs w:val="24"/>
        </w:rPr>
        <w:t>、磋商程序顺利进行后，除供应商的原件可退回外，其余所有的响应文件都将作为档案保存，不论成交与否，代理机构均不退回（未拆封的除外）。</w:t>
      </w:r>
    </w:p>
    <w:p>
      <w:pPr>
        <w:snapToGrid w:val="0"/>
        <w:spacing w:line="360" w:lineRule="auto"/>
        <w:ind w:firstLine="460" w:firstLineChars="192"/>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、无论磋商过程和结果如何，参加项目磋商的供应商自行承担与本次项目磋商有关的全部费用。</w:t>
      </w:r>
    </w:p>
    <w:p>
      <w:pPr>
        <w:snapToGrid w:val="0"/>
        <w:spacing w:line="360" w:lineRule="auto"/>
        <w:ind w:firstLine="460" w:firstLineChars="192"/>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4、本项目招标代理费（¥2000.00元）及评委费由成交供应商平摊，评委费按实支付，请参加投标的供应商在成本中自行考虑。</w:t>
      </w:r>
    </w:p>
    <w:p>
      <w:pPr>
        <w:snapToGrid w:val="0"/>
        <w:spacing w:line="360" w:lineRule="auto"/>
        <w:ind w:firstLine="496" w:firstLineChars="206"/>
        <w:outlineLvl w:val="1"/>
        <w:rPr>
          <w:rFonts w:ascii="宋体" w:hAnsi="宋体" w:cs="宋体"/>
          <w:b/>
          <w:bCs/>
          <w:sz w:val="24"/>
          <w:szCs w:val="24"/>
        </w:rPr>
      </w:pPr>
      <w:r>
        <w:rPr>
          <w:rFonts w:hint="eastAsia" w:ascii="宋体" w:hAnsi="宋体" w:cs="宋体"/>
          <w:b/>
          <w:bCs/>
          <w:sz w:val="24"/>
          <w:szCs w:val="24"/>
        </w:rPr>
        <w:t>十、履约保证金</w:t>
      </w:r>
    </w:p>
    <w:p>
      <w:pPr>
        <w:snapToGrid w:val="0"/>
        <w:spacing w:line="360" w:lineRule="auto"/>
        <w:ind w:firstLine="480" w:firstLineChars="200"/>
        <w:outlineLvl w:val="1"/>
        <w:rPr>
          <w:rFonts w:ascii="宋体"/>
          <w:sz w:val="24"/>
          <w:szCs w:val="24"/>
        </w:rPr>
      </w:pPr>
      <w:r>
        <w:rPr>
          <w:rFonts w:ascii="宋体" w:hAnsi="宋体" w:cs="宋体"/>
          <w:sz w:val="24"/>
          <w:szCs w:val="24"/>
        </w:rPr>
        <w:t>1</w:t>
      </w:r>
      <w:r>
        <w:rPr>
          <w:rFonts w:hint="eastAsia" w:ascii="宋体" w:hAnsi="宋体" w:cs="宋体"/>
          <w:sz w:val="24"/>
          <w:szCs w:val="24"/>
        </w:rPr>
        <w:t>、本项目成交后的履约保证金为</w:t>
      </w:r>
      <w:r>
        <w:rPr>
          <w:rFonts w:hint="eastAsia" w:ascii="宋体" w:hAnsi="宋体" w:cs="宋体"/>
          <w:sz w:val="24"/>
          <w:szCs w:val="24"/>
          <w:u w:val="single"/>
          <w:lang w:val="en-US" w:eastAsia="zh-CN"/>
        </w:rPr>
        <w:t>1000元</w:t>
      </w:r>
      <w:r>
        <w:rPr>
          <w:rFonts w:hint="eastAsia" w:ascii="宋体" w:hAnsi="宋体" w:cs="宋体"/>
          <w:sz w:val="24"/>
          <w:szCs w:val="24"/>
        </w:rPr>
        <w:t>。</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bCs/>
          <w:sz w:val="24"/>
          <w:szCs w:val="24"/>
        </w:rPr>
        <w:t>自</w:t>
      </w:r>
      <w:r>
        <w:rPr>
          <w:rFonts w:hint="eastAsia" w:ascii="宋体" w:hAnsi="宋体"/>
          <w:bCs/>
          <w:sz w:val="24"/>
          <w:szCs w:val="24"/>
          <w:lang w:eastAsia="zh-CN"/>
        </w:rPr>
        <w:t>采购人</w:t>
      </w:r>
      <w:r>
        <w:rPr>
          <w:rFonts w:hint="eastAsia" w:ascii="宋体" w:hAnsi="宋体"/>
          <w:bCs/>
          <w:sz w:val="24"/>
          <w:szCs w:val="24"/>
        </w:rPr>
        <w:t>发出</w:t>
      </w:r>
      <w:r>
        <w:rPr>
          <w:rFonts w:hint="eastAsia" w:ascii="宋体" w:hAnsi="宋体"/>
          <w:bCs/>
          <w:sz w:val="24"/>
          <w:szCs w:val="24"/>
          <w:lang w:eastAsia="zh-CN"/>
        </w:rPr>
        <w:t>通知</w:t>
      </w:r>
      <w:r>
        <w:rPr>
          <w:rFonts w:hint="eastAsia" w:ascii="宋体" w:hAnsi="宋体"/>
          <w:bCs/>
          <w:sz w:val="24"/>
          <w:szCs w:val="24"/>
        </w:rPr>
        <w:t>之日起</w:t>
      </w:r>
      <w:r>
        <w:rPr>
          <w:rFonts w:hint="eastAsia" w:ascii="宋体" w:hAnsi="宋体"/>
          <w:bCs/>
          <w:sz w:val="24"/>
          <w:szCs w:val="24"/>
          <w:lang w:val="en-US" w:eastAsia="zh-CN"/>
        </w:rPr>
        <w:t>7</w:t>
      </w:r>
      <w:r>
        <w:rPr>
          <w:rFonts w:hint="eastAsia" w:ascii="宋体" w:hAnsi="宋体"/>
          <w:bCs/>
          <w:sz w:val="24"/>
          <w:szCs w:val="24"/>
        </w:rPr>
        <w:t>日内，成交供应商凭已经汇至采购人账上的“履约保证金”凭证与采购人签订合同。</w:t>
      </w:r>
      <w:r>
        <w:rPr>
          <w:rFonts w:hint="eastAsia" w:ascii="宋体" w:hAnsi="宋体" w:cs="宋体"/>
          <w:sz w:val="24"/>
          <w:szCs w:val="24"/>
        </w:rPr>
        <w:t>超期或未有协商，则视为自动放弃成交资格。</w:t>
      </w:r>
    </w:p>
    <w:p>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、成交供应商在按要求保质保量的完成该项目合同并通过验收后，采购人凭成交供应商提交的申请，一次性无息退还该合同项目的履约保证金。</w:t>
      </w:r>
    </w:p>
    <w:p>
      <w:pPr>
        <w:spacing w:line="360" w:lineRule="auto"/>
        <w:ind w:firstLine="480" w:firstLineChars="200"/>
        <w:rPr>
          <w:rFonts w:ascii="宋体" w:hAnsi="宋体" w:cs="宋体"/>
          <w:sz w:val="24"/>
          <w:szCs w:val="24"/>
        </w:rPr>
      </w:pPr>
      <w:r>
        <w:rPr>
          <w:rFonts w:ascii="宋体" w:hAnsi="宋体" w:cs="宋体"/>
          <w:sz w:val="24"/>
          <w:szCs w:val="24"/>
        </w:rPr>
        <w:t>4</w:t>
      </w:r>
      <w:r>
        <w:rPr>
          <w:rFonts w:hint="eastAsia" w:ascii="宋体" w:hAnsi="宋体" w:cs="宋体"/>
          <w:sz w:val="24"/>
          <w:szCs w:val="24"/>
        </w:rPr>
        <w:t>、由于成交供应商原因，在签订合同后出现不按合同履行的情况，采购人有权将履约保证金作为违约金，全额不予退还，同时采购人亦有权终止合同，成交供应商还须承担相应的法律赔偿责任。</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十一、未尽事宜</w:t>
      </w:r>
    </w:p>
    <w:p>
      <w:pPr>
        <w:spacing w:line="360" w:lineRule="auto"/>
        <w:ind w:firstLine="480" w:firstLineChars="200"/>
        <w:rPr>
          <w:rFonts w:ascii="宋体" w:hAnsi="宋体" w:cs="宋体"/>
          <w:sz w:val="24"/>
          <w:szCs w:val="24"/>
        </w:rPr>
        <w:sectPr>
          <w:headerReference r:id="rId9" w:type="default"/>
          <w:footerReference r:id="rId10" w:type="default"/>
          <w:type w:val="continuous"/>
          <w:pgSz w:w="11906" w:h="16838"/>
          <w:pgMar w:top="1134" w:right="1134" w:bottom="1134" w:left="1225" w:header="851" w:footer="992" w:gutter="0"/>
          <w:pgNumType w:fmt="numberInDash"/>
          <w:cols w:space="720" w:num="1"/>
          <w:docGrid w:linePitch="312" w:charSpace="0"/>
        </w:sectPr>
      </w:pPr>
      <w:r>
        <w:rPr>
          <w:rFonts w:hint="eastAsia" w:ascii="宋体" w:hAnsi="宋体" w:cs="宋体"/>
          <w:sz w:val="24"/>
          <w:szCs w:val="24"/>
        </w:rPr>
        <w:t>按《中华人民共和国政府采购法》、《政府采</w:t>
      </w:r>
      <w:bookmarkStart w:id="35" w:name="_Toc363573855"/>
      <w:r>
        <w:rPr>
          <w:rFonts w:hint="eastAsia" w:ascii="宋体" w:hAnsi="宋体" w:cs="宋体"/>
          <w:sz w:val="24"/>
          <w:szCs w:val="24"/>
        </w:rPr>
        <w:t>购竞争性磋商采购方式管理暂行办法》及其他有关法律法规的规定执行。</w:t>
      </w:r>
    </w:p>
    <w:bookmarkEnd w:id="25"/>
    <w:bookmarkEnd w:id="26"/>
    <w:bookmarkEnd w:id="27"/>
    <w:bookmarkEnd w:id="28"/>
    <w:bookmarkEnd w:id="29"/>
    <w:bookmarkEnd w:id="30"/>
    <w:bookmarkEnd w:id="31"/>
    <w:bookmarkEnd w:id="32"/>
    <w:bookmarkEnd w:id="33"/>
    <w:bookmarkEnd w:id="34"/>
    <w:bookmarkEnd w:id="35"/>
    <w:p>
      <w:pPr>
        <w:spacing w:line="360" w:lineRule="auto"/>
        <w:jc w:val="center"/>
        <w:rPr>
          <w:rFonts w:ascii="宋体" w:hAnsi="宋体" w:cs="宋体"/>
          <w:sz w:val="24"/>
          <w:szCs w:val="24"/>
        </w:rPr>
      </w:pPr>
      <w:bookmarkStart w:id="36" w:name="_Toc13803483"/>
      <w:bookmarkStart w:id="37" w:name="_Toc11499586"/>
      <w:bookmarkStart w:id="38" w:name="_Toc12670505"/>
      <w:bookmarkStart w:id="39" w:name="_Toc363573856"/>
      <w:bookmarkStart w:id="40" w:name="_Toc521203420"/>
      <w:bookmarkStart w:id="41" w:name="_Toc94544746"/>
      <w:bookmarkStart w:id="42" w:name="_Toc8895741"/>
      <w:bookmarkStart w:id="43" w:name="_Toc11554641"/>
      <w:bookmarkStart w:id="44" w:name="_Toc94544872"/>
      <w:bookmarkStart w:id="45" w:name="_Toc11500282"/>
      <w:bookmarkStart w:id="46" w:name="_Toc94585342"/>
      <w:bookmarkStart w:id="47" w:name="_Toc521201599"/>
      <w:r>
        <w:rPr>
          <w:rFonts w:hint="eastAsia" w:ascii="宋体" w:hAnsi="宋体" w:cs="宋体"/>
          <w:b/>
          <w:bCs/>
          <w:w w:val="80"/>
          <w:sz w:val="44"/>
          <w:szCs w:val="44"/>
        </w:rPr>
        <w:t>第三章  项目需求</w:t>
      </w:r>
    </w:p>
    <w:bookmarkEnd w:id="36"/>
    <w:bookmarkEnd w:id="37"/>
    <w:bookmarkEnd w:id="38"/>
    <w:bookmarkEnd w:id="39"/>
    <w:bookmarkEnd w:id="40"/>
    <w:bookmarkEnd w:id="41"/>
    <w:bookmarkEnd w:id="42"/>
    <w:bookmarkEnd w:id="43"/>
    <w:bookmarkEnd w:id="44"/>
    <w:bookmarkEnd w:id="45"/>
    <w:bookmarkEnd w:id="46"/>
    <w:bookmarkEnd w:id="47"/>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Times New Roman" w:hAnsi="Times New Roman" w:eastAsia="宋体" w:cs="Times New Roman"/>
          <w:b/>
          <w:bCs/>
          <w:kern w:val="0"/>
          <w:sz w:val="24"/>
          <w:szCs w:val="24"/>
          <w:lang w:val="en-US" w:eastAsia="zh-CN" w:bidi="ar-SA"/>
        </w:rPr>
      </w:pPr>
      <w:bookmarkStart w:id="48" w:name="_Toc12670506"/>
      <w:bookmarkStart w:id="49" w:name="_Toc8895742"/>
      <w:bookmarkStart w:id="50" w:name="_Toc94544747"/>
      <w:bookmarkStart w:id="51" w:name="_Toc11554642"/>
      <w:bookmarkStart w:id="52" w:name="_Toc11499587"/>
      <w:bookmarkStart w:id="53" w:name="_Toc13803484"/>
      <w:bookmarkStart w:id="54" w:name="_Toc94544873"/>
      <w:bookmarkStart w:id="55" w:name="_Toc11500283"/>
      <w:r>
        <w:rPr>
          <w:rFonts w:hint="eastAsia" w:ascii="Times New Roman" w:hAnsi="Times New Roman" w:eastAsia="宋体" w:cs="Times New Roman"/>
          <w:b/>
          <w:bCs/>
          <w:kern w:val="0"/>
          <w:sz w:val="24"/>
          <w:szCs w:val="24"/>
          <w:lang w:val="en-US" w:eastAsia="zh-CN" w:bidi="ar-SA"/>
        </w:rPr>
        <w:t>一、项目概况</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textAlignment w:val="auto"/>
        <w:outlineLvl w:val="0"/>
        <w:rPr>
          <w:rFonts w:hint="eastAsia" w:ascii="宋体" w:hAnsi="宋体"/>
          <w:color w:val="000000"/>
          <w:sz w:val="24"/>
          <w:szCs w:val="24"/>
          <w:lang w:val="en-US" w:eastAsia="zh-CN"/>
        </w:rPr>
      </w:pPr>
      <w:r>
        <w:rPr>
          <w:rFonts w:hint="eastAsia" w:ascii="宋体" w:hAnsi="宋体"/>
          <w:color w:val="000000"/>
          <w:sz w:val="24"/>
          <w:szCs w:val="24"/>
          <w:lang w:val="en-US" w:eastAsia="zh-CN"/>
        </w:rPr>
        <w:t>为了推动崇川区精品文艺生产，特建精品文艺作品生产及演艺服务库，提升崇川区群众文化</w:t>
      </w:r>
      <w:r>
        <w:rPr>
          <w:rFonts w:hint="eastAsia" w:ascii="宋体" w:hAnsi="宋体"/>
          <w:color w:val="000000"/>
          <w:sz w:val="24"/>
          <w:szCs w:val="24"/>
          <w:highlight w:val="none"/>
          <w:lang w:val="en-US" w:eastAsia="zh-CN"/>
        </w:rPr>
        <w:t>服务质量。</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Times New Roman" w:hAnsi="Times New Roman" w:eastAsia="宋体" w:cs="Times New Roman"/>
          <w:b/>
          <w:bCs/>
          <w:kern w:val="0"/>
          <w:sz w:val="24"/>
          <w:szCs w:val="24"/>
          <w:lang w:val="en-US" w:eastAsia="zh-CN" w:bidi="ar-SA"/>
        </w:rPr>
      </w:pPr>
      <w:r>
        <w:rPr>
          <w:rFonts w:hint="eastAsia" w:cs="Times New Roman"/>
          <w:b/>
          <w:bCs/>
          <w:kern w:val="0"/>
          <w:sz w:val="24"/>
          <w:szCs w:val="24"/>
          <w:lang w:val="en-US" w:eastAsia="zh-CN" w:bidi="ar-SA"/>
        </w:rPr>
        <w:t>二</w:t>
      </w:r>
      <w:r>
        <w:rPr>
          <w:rFonts w:hint="eastAsia" w:ascii="Times New Roman" w:hAnsi="Times New Roman" w:eastAsia="宋体" w:cs="Times New Roman"/>
          <w:b/>
          <w:bCs/>
          <w:kern w:val="0"/>
          <w:sz w:val="24"/>
          <w:szCs w:val="24"/>
          <w:lang w:val="en-US" w:eastAsia="zh-CN" w:bidi="ar-SA"/>
        </w:rPr>
        <w:t>、项目需求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textAlignment w:val="auto"/>
        <w:outlineLvl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1、合作单位必须具备一定的创作能力，如创编小品、音乐、舞蹈等项目。</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textAlignment w:val="auto"/>
        <w:outlineLvl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2、合作单位必须具备成熟的演出团队。</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textAlignment w:val="auto"/>
        <w:outlineLvl w:val="0"/>
        <w:rPr>
          <w:rFonts w:hint="eastAsia" w:ascii="宋体" w:hAnsi="宋体"/>
          <w:b/>
          <w:sz w:val="24"/>
          <w:szCs w:val="24"/>
          <w:lang w:eastAsia="zh-CN"/>
        </w:rPr>
      </w:pPr>
      <w:r>
        <w:rPr>
          <w:rFonts w:hint="eastAsia" w:ascii="宋体" w:hAnsi="宋体" w:eastAsia="宋体" w:cs="宋体"/>
          <w:sz w:val="24"/>
          <w:szCs w:val="24"/>
          <w:highlight w:val="none"/>
          <w:lang w:val="en-US" w:eastAsia="zh-CN"/>
        </w:rPr>
        <w:t>3、合作单位能够按照主办方要求具备</w:t>
      </w:r>
      <w:r>
        <w:rPr>
          <w:rFonts w:hint="eastAsia" w:ascii="宋体" w:hAnsi="宋体" w:cs="宋体"/>
          <w:sz w:val="24"/>
          <w:szCs w:val="24"/>
          <w:highlight w:val="none"/>
          <w:lang w:val="en-US" w:eastAsia="zh-CN"/>
        </w:rPr>
        <w:t>承接</w:t>
      </w:r>
      <w:r>
        <w:rPr>
          <w:rFonts w:hint="eastAsia" w:ascii="宋体" w:hAnsi="宋体" w:eastAsia="宋体" w:cs="宋体"/>
          <w:sz w:val="24"/>
          <w:szCs w:val="24"/>
          <w:highlight w:val="none"/>
          <w:lang w:val="en-US" w:eastAsia="zh-CN"/>
        </w:rPr>
        <w:t>演出活动的能力。</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contextualSpacing/>
        <w:textAlignment w:val="auto"/>
        <w:outlineLvl w:val="0"/>
        <w:rPr>
          <w:rFonts w:ascii="宋体" w:hAnsi="宋体"/>
          <w:b/>
          <w:sz w:val="24"/>
          <w:szCs w:val="24"/>
        </w:rPr>
      </w:pPr>
      <w:r>
        <w:rPr>
          <w:rFonts w:hint="eastAsia" w:ascii="宋体" w:hAnsi="宋体"/>
          <w:b/>
          <w:sz w:val="24"/>
          <w:szCs w:val="24"/>
          <w:lang w:eastAsia="zh-CN"/>
        </w:rPr>
        <w:t>三</w:t>
      </w:r>
      <w:r>
        <w:rPr>
          <w:rFonts w:hint="eastAsia" w:ascii="宋体" w:hAnsi="宋体"/>
          <w:b/>
          <w:sz w:val="24"/>
          <w:szCs w:val="24"/>
        </w:rPr>
        <w:t>、服务期限和合同签订</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textAlignment w:val="auto"/>
        <w:outlineLvl w:val="0"/>
        <w:rPr>
          <w:rFonts w:ascii="宋体" w:hAnsi="宋体"/>
          <w:b/>
          <w:color w:val="FF6600"/>
          <w:sz w:val="24"/>
          <w:szCs w:val="24"/>
          <w:highlight w:val="none"/>
        </w:rPr>
      </w:pPr>
      <w:r>
        <w:rPr>
          <w:rFonts w:hint="eastAsia" w:ascii="宋体" w:hAnsi="宋体"/>
          <w:sz w:val="24"/>
          <w:szCs w:val="24"/>
        </w:rPr>
        <w:t>1、</w:t>
      </w:r>
      <w:r>
        <w:rPr>
          <w:rFonts w:hint="eastAsia" w:ascii="宋体" w:hAnsi="宋体"/>
          <w:sz w:val="24"/>
          <w:szCs w:val="24"/>
          <w:lang w:eastAsia="zh-CN"/>
        </w:rPr>
        <w:t>服务期三</w:t>
      </w:r>
      <w:r>
        <w:rPr>
          <w:rFonts w:hint="eastAsia" w:ascii="宋体" w:hAnsi="宋体"/>
          <w:sz w:val="24"/>
          <w:szCs w:val="24"/>
          <w:highlight w:val="none"/>
          <w:lang w:eastAsia="zh-CN"/>
        </w:rPr>
        <w:t>年</w:t>
      </w:r>
      <w:r>
        <w:rPr>
          <w:rFonts w:hint="eastAsia" w:ascii="宋体" w:hAnsi="宋体" w:cs="Times New Roman"/>
          <w:sz w:val="24"/>
          <w:highlight w:val="none"/>
          <w:lang w:val="en-US" w:eastAsia="zh-CN"/>
        </w:rPr>
        <w:t>，</w:t>
      </w:r>
      <w:r>
        <w:rPr>
          <w:rFonts w:hint="eastAsia" w:ascii="宋体" w:hAnsi="宋体" w:eastAsia="宋体" w:cs="宋体"/>
          <w:sz w:val="24"/>
          <w:szCs w:val="24"/>
          <w:highlight w:val="none"/>
          <w:lang w:val="en-US" w:eastAsia="zh-CN"/>
        </w:rPr>
        <w:t>若活动结束后效果优秀，可以考虑续签下一</w:t>
      </w:r>
      <w:r>
        <w:rPr>
          <w:rFonts w:hint="eastAsia" w:ascii="宋体" w:hAnsi="宋体" w:cs="宋体"/>
          <w:sz w:val="24"/>
          <w:szCs w:val="24"/>
          <w:highlight w:val="none"/>
          <w:lang w:val="en-US" w:eastAsia="zh-CN"/>
        </w:rPr>
        <w:t>轮（一轮为三年）</w:t>
      </w:r>
      <w:r>
        <w:rPr>
          <w:rFonts w:hint="eastAsia" w:ascii="宋体" w:hAnsi="宋体" w:eastAsia="宋体" w:cs="宋体"/>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textAlignment w:val="auto"/>
        <w:outlineLvl w:val="0"/>
        <w:rPr>
          <w:rFonts w:ascii="宋体" w:hAnsi="宋体"/>
          <w:color w:val="000000"/>
          <w:sz w:val="24"/>
          <w:szCs w:val="24"/>
        </w:rPr>
      </w:pPr>
      <w:r>
        <w:rPr>
          <w:rFonts w:hint="eastAsia" w:ascii="宋体" w:hAnsi="宋体"/>
          <w:color w:val="000000"/>
          <w:sz w:val="24"/>
          <w:szCs w:val="24"/>
        </w:rPr>
        <w:t xml:space="preserve">2、服务的其他事项及双方权利义务由双方在合同中约定。   </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contextualSpacing/>
        <w:textAlignment w:val="auto"/>
        <w:outlineLvl w:val="0"/>
        <w:rPr>
          <w:rFonts w:hint="default" w:ascii="宋体" w:hAnsi="宋体" w:eastAsia="宋体" w:cs="Times New Roman"/>
          <w:b/>
          <w:sz w:val="24"/>
          <w:szCs w:val="24"/>
          <w:lang w:val="en-US" w:eastAsia="zh-CN"/>
        </w:rPr>
      </w:pPr>
      <w:r>
        <w:rPr>
          <w:rFonts w:hint="eastAsia" w:ascii="宋体" w:hAnsi="宋体" w:cs="Times New Roman"/>
          <w:b/>
          <w:sz w:val="24"/>
          <w:szCs w:val="24"/>
          <w:lang w:val="en-US" w:eastAsia="zh-CN"/>
        </w:rPr>
        <w:t>四</w:t>
      </w:r>
      <w:r>
        <w:rPr>
          <w:rFonts w:hint="eastAsia" w:ascii="宋体" w:hAnsi="宋体" w:eastAsia="宋体" w:cs="Times New Roman"/>
          <w:b/>
          <w:sz w:val="24"/>
          <w:szCs w:val="24"/>
          <w:lang w:val="en-US" w:eastAsia="zh-CN"/>
        </w:rPr>
        <w:t>、服务量的调整及结算方式</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textAlignment w:val="auto"/>
        <w:outlineLvl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如因采购人实际需求</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服务量发生变化，</w:t>
      </w:r>
      <w:r>
        <w:rPr>
          <w:rFonts w:hint="eastAsia" w:ascii="宋体" w:hAnsi="宋体" w:cs="宋体"/>
          <w:sz w:val="24"/>
          <w:szCs w:val="24"/>
          <w:highlight w:val="none"/>
          <w:lang w:val="en-US" w:eastAsia="zh-CN"/>
        </w:rPr>
        <w:t>成交</w:t>
      </w:r>
      <w:r>
        <w:rPr>
          <w:rFonts w:hint="eastAsia" w:ascii="宋体" w:hAnsi="宋体" w:eastAsia="宋体" w:cs="宋体"/>
          <w:sz w:val="24"/>
          <w:szCs w:val="24"/>
          <w:highlight w:val="none"/>
          <w:lang w:val="en-US" w:eastAsia="zh-CN"/>
        </w:rPr>
        <w:t>人须无条件满足采购人需求，确保服务质量并及时提供服务。</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textAlignment w:val="auto"/>
        <w:outlineLvl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结算时按实际服务量进行结算，综合单价不变。</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contextualSpacing/>
        <w:textAlignment w:val="auto"/>
        <w:outlineLvl w:val="0"/>
        <w:rPr>
          <w:rFonts w:hint="eastAsia" w:ascii="宋体" w:hAnsi="宋体" w:eastAsia="宋体" w:cs="Times New Roman"/>
          <w:b/>
          <w:sz w:val="24"/>
          <w:szCs w:val="24"/>
        </w:rPr>
      </w:pPr>
      <w:r>
        <w:rPr>
          <w:rFonts w:hint="eastAsia" w:ascii="宋体" w:hAnsi="宋体" w:cs="Times New Roman"/>
          <w:b/>
          <w:sz w:val="24"/>
          <w:szCs w:val="24"/>
          <w:lang w:eastAsia="zh-CN"/>
        </w:rPr>
        <w:t>五</w:t>
      </w:r>
      <w:r>
        <w:rPr>
          <w:rFonts w:hint="eastAsia" w:ascii="宋体" w:hAnsi="宋体" w:eastAsia="宋体" w:cs="Times New Roman"/>
          <w:b/>
          <w:sz w:val="24"/>
          <w:szCs w:val="24"/>
        </w:rPr>
        <w:t xml:space="preserve">、付款方式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textAlignment w:val="auto"/>
        <w:outlineLvl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每场演出前须提供与采购方签订的服务协议合同（合同须公司法人盖章签字）、发票、明细报价单</w:t>
      </w:r>
      <w:r>
        <w:rPr>
          <w:rFonts w:hint="eastAsia" w:ascii="宋体" w:hAnsi="宋体" w:cs="宋体"/>
          <w:sz w:val="24"/>
          <w:szCs w:val="24"/>
          <w:highlight w:val="none"/>
          <w:lang w:val="en-US" w:eastAsia="zh-CN"/>
        </w:rPr>
        <w:t>（人员、节目、设备等）</w:t>
      </w:r>
      <w:r>
        <w:rPr>
          <w:rFonts w:hint="eastAsia" w:ascii="宋体" w:hAnsi="宋体" w:eastAsia="宋体" w:cs="宋体"/>
          <w:sz w:val="24"/>
          <w:szCs w:val="24"/>
          <w:highlight w:val="none"/>
          <w:lang w:val="en-US" w:eastAsia="zh-CN"/>
        </w:rPr>
        <w:t>；每场演出结束后，结算费用</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以上付款均不计利息。</w:t>
      </w:r>
    </w:p>
    <w:p>
      <w:pPr>
        <w:snapToGrid w:val="0"/>
        <w:spacing w:line="480" w:lineRule="exact"/>
        <w:ind w:firstLine="480"/>
        <w:contextualSpacing/>
        <w:outlineLvl w:val="0"/>
        <w:rPr>
          <w:rFonts w:hint="eastAsia" w:ascii="宋体" w:hAnsi="宋体" w:eastAsia="宋体" w:cs="宋体"/>
          <w:sz w:val="24"/>
          <w:szCs w:val="24"/>
          <w:highlight w:val="none"/>
          <w:lang w:val="en-US" w:eastAsia="zh-CN"/>
        </w:rPr>
      </w:pPr>
    </w:p>
    <w:p>
      <w:pPr>
        <w:spacing w:line="360" w:lineRule="auto"/>
        <w:ind w:firstLine="480" w:firstLineChars="200"/>
        <w:jc w:val="left"/>
        <w:rPr>
          <w:rFonts w:ascii="宋体" w:hAnsi="宋体"/>
          <w:sz w:val="24"/>
          <w:szCs w:val="24"/>
        </w:rPr>
      </w:pPr>
    </w:p>
    <w:p>
      <w:pPr>
        <w:spacing w:line="360" w:lineRule="auto"/>
        <w:ind w:firstLine="480" w:firstLineChars="200"/>
        <w:jc w:val="left"/>
        <w:rPr>
          <w:rFonts w:ascii="宋体" w:hAnsi="宋体"/>
          <w:sz w:val="24"/>
          <w:szCs w:val="24"/>
        </w:rPr>
      </w:pPr>
    </w:p>
    <w:p>
      <w:pPr>
        <w:spacing w:line="360" w:lineRule="auto"/>
        <w:ind w:firstLine="480" w:firstLineChars="200"/>
        <w:jc w:val="left"/>
        <w:rPr>
          <w:rFonts w:ascii="宋体" w:hAnsi="宋体"/>
          <w:sz w:val="24"/>
          <w:szCs w:val="24"/>
        </w:rPr>
      </w:pPr>
    </w:p>
    <w:p>
      <w:pPr>
        <w:pStyle w:val="2"/>
        <w:rPr>
          <w:rFonts w:ascii="宋体" w:hAnsi="宋体"/>
          <w:sz w:val="24"/>
          <w:szCs w:val="24"/>
        </w:rPr>
      </w:pPr>
    </w:p>
    <w:p/>
    <w:p>
      <w:pPr>
        <w:spacing w:line="360" w:lineRule="auto"/>
        <w:ind w:firstLine="480" w:firstLineChars="200"/>
        <w:jc w:val="left"/>
        <w:rPr>
          <w:rFonts w:ascii="宋体" w:hAnsi="宋体"/>
          <w:sz w:val="24"/>
          <w:szCs w:val="24"/>
        </w:rPr>
      </w:pPr>
    </w:p>
    <w:p>
      <w:pPr>
        <w:pStyle w:val="52"/>
      </w:pPr>
    </w:p>
    <w:p>
      <w:pPr>
        <w:pStyle w:val="52"/>
      </w:pPr>
    </w:p>
    <w:p>
      <w:pPr>
        <w:spacing w:line="360" w:lineRule="auto"/>
        <w:ind w:firstLine="480" w:firstLineChars="200"/>
        <w:jc w:val="left"/>
        <w:rPr>
          <w:rFonts w:ascii="宋体" w:hAnsi="宋体"/>
          <w:sz w:val="24"/>
          <w:szCs w:val="24"/>
        </w:rPr>
      </w:pPr>
    </w:p>
    <w:p>
      <w:pPr>
        <w:spacing w:line="360" w:lineRule="auto"/>
        <w:ind w:firstLine="480" w:firstLineChars="200"/>
        <w:jc w:val="left"/>
        <w:rPr>
          <w:rFonts w:ascii="宋体" w:hAnsi="宋体"/>
          <w:sz w:val="24"/>
          <w:szCs w:val="24"/>
        </w:rPr>
      </w:pPr>
    </w:p>
    <w:p>
      <w:pPr>
        <w:spacing w:line="460" w:lineRule="exact"/>
        <w:jc w:val="center"/>
        <w:rPr>
          <w:rFonts w:ascii="宋体"/>
          <w:kern w:val="0"/>
          <w:sz w:val="32"/>
          <w:szCs w:val="32"/>
        </w:rPr>
      </w:pPr>
      <w:r>
        <w:rPr>
          <w:rFonts w:hint="eastAsia" w:ascii="宋体" w:hAnsi="宋体" w:cs="宋体"/>
          <w:b/>
          <w:bCs/>
          <w:w w:val="80"/>
          <w:sz w:val="44"/>
          <w:szCs w:val="44"/>
        </w:rPr>
        <w:t>第四章</w:t>
      </w:r>
      <w:bookmarkStart w:id="56" w:name="_Toc37322565"/>
      <w:bookmarkStart w:id="57" w:name="_Toc43217893"/>
      <w:bookmarkStart w:id="58" w:name="_Toc85627670"/>
      <w:bookmarkStart w:id="59" w:name="_Toc38121794"/>
      <w:bookmarkStart w:id="60" w:name="_Toc182848996"/>
      <w:r>
        <w:rPr>
          <w:rFonts w:hint="eastAsia" w:ascii="宋体" w:hAnsi="宋体" w:cs="宋体"/>
          <w:b/>
          <w:bCs/>
          <w:w w:val="80"/>
          <w:sz w:val="44"/>
          <w:szCs w:val="44"/>
        </w:rPr>
        <w:t xml:space="preserve">  评审方法和程序</w:t>
      </w:r>
    </w:p>
    <w:bookmarkEnd w:id="56"/>
    <w:bookmarkEnd w:id="57"/>
    <w:bookmarkEnd w:id="58"/>
    <w:bookmarkEnd w:id="59"/>
    <w:bookmarkEnd w:id="60"/>
    <w:p>
      <w:pPr>
        <w:snapToGrid w:val="0"/>
        <w:spacing w:line="480" w:lineRule="exact"/>
        <w:ind w:firstLine="482" w:firstLineChars="200"/>
        <w:outlineLvl w:val="1"/>
        <w:rPr>
          <w:rFonts w:ascii="宋体"/>
          <w:b/>
          <w:bCs/>
          <w:sz w:val="24"/>
          <w:szCs w:val="24"/>
        </w:rPr>
      </w:pPr>
      <w:bookmarkStart w:id="61" w:name="_Toc363573857"/>
      <w:bookmarkEnd w:id="61"/>
      <w:r>
        <w:rPr>
          <w:rFonts w:hint="eastAsia" w:ascii="宋体" w:hAnsi="宋体" w:cs="宋体"/>
          <w:b/>
          <w:bCs/>
          <w:sz w:val="24"/>
          <w:szCs w:val="24"/>
        </w:rPr>
        <w:t>一、代理机构组织磋商</w:t>
      </w:r>
    </w:p>
    <w:p>
      <w:pPr>
        <w:snapToGrid w:val="0"/>
        <w:spacing w:line="460" w:lineRule="exact"/>
        <w:ind w:firstLine="480"/>
        <w:rPr>
          <w:rFonts w:ascii="宋体"/>
          <w:b/>
          <w:bCs/>
          <w:sz w:val="24"/>
          <w:szCs w:val="24"/>
        </w:rPr>
      </w:pPr>
      <w:r>
        <w:rPr>
          <w:rFonts w:ascii="宋体" w:hAnsi="宋体" w:cs="宋体"/>
          <w:sz w:val="24"/>
          <w:szCs w:val="24"/>
        </w:rPr>
        <w:t>1</w:t>
      </w:r>
      <w:r>
        <w:rPr>
          <w:rFonts w:hint="eastAsia" w:ascii="宋体" w:hAnsi="宋体" w:cs="宋体"/>
          <w:sz w:val="24"/>
          <w:szCs w:val="24"/>
        </w:rPr>
        <w:t>、本次竞争性磋商依据相关法规成立竞争性磋商小组。竞争性磋商小组由采购人代表和评审专家共计3人及以上单数组成，其中评审专家人数不得少于竞争性磋商小组成员总数的2/3。</w:t>
      </w:r>
      <w:r>
        <w:rPr>
          <w:rFonts w:hint="eastAsia" w:ascii="宋体" w:hAnsi="宋体" w:cs="宋体"/>
          <w:b/>
          <w:bCs/>
          <w:sz w:val="24"/>
          <w:szCs w:val="24"/>
        </w:rPr>
        <w:t>本项目竞争性磋商小组评审专家</w:t>
      </w:r>
      <w:r>
        <w:rPr>
          <w:rFonts w:hint="eastAsia" w:ascii="宋体" w:hAnsi="宋体" w:cs="宋体"/>
          <w:b/>
          <w:bCs/>
          <w:sz w:val="24"/>
          <w:szCs w:val="24"/>
          <w:lang w:val="en-US" w:eastAsia="zh-CN"/>
        </w:rPr>
        <w:t>2</w:t>
      </w:r>
      <w:r>
        <w:rPr>
          <w:rFonts w:hint="eastAsia" w:ascii="宋体" w:hAnsi="宋体" w:cs="宋体"/>
          <w:b/>
          <w:bCs/>
          <w:sz w:val="24"/>
          <w:szCs w:val="24"/>
        </w:rPr>
        <w:t>人</w:t>
      </w:r>
      <w:r>
        <w:rPr>
          <w:rFonts w:hint="eastAsia" w:ascii="宋体" w:hAnsi="宋体" w:cs="宋体"/>
          <w:b/>
          <w:bCs/>
          <w:sz w:val="24"/>
          <w:szCs w:val="24"/>
          <w:lang w:eastAsia="zh-CN"/>
        </w:rPr>
        <w:t>，采购人代表</w:t>
      </w:r>
      <w:r>
        <w:rPr>
          <w:rFonts w:hint="eastAsia" w:ascii="宋体" w:hAnsi="宋体" w:cs="宋体"/>
          <w:b/>
          <w:bCs/>
          <w:sz w:val="24"/>
          <w:szCs w:val="24"/>
          <w:lang w:val="en-US" w:eastAsia="zh-CN"/>
        </w:rPr>
        <w:t>1人</w:t>
      </w:r>
      <w:r>
        <w:rPr>
          <w:rFonts w:hint="eastAsia" w:ascii="宋体" w:hAnsi="宋体" w:cs="宋体"/>
          <w:b/>
          <w:bCs/>
          <w:sz w:val="24"/>
          <w:szCs w:val="24"/>
        </w:rPr>
        <w:t>。</w:t>
      </w:r>
    </w:p>
    <w:p>
      <w:pPr>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采用竞争性磋商方式的政府采购项目，评审专家应当从政府采购评审专家库内相关专业的专家名单中随机抽取。情况特殊、通过随机方式难以确定合适的评审专家的，经主管预算单位同意，可以自行选定评审专家。</w:t>
      </w:r>
    </w:p>
    <w:p>
      <w:pPr>
        <w:snapToGrid w:val="0"/>
        <w:spacing w:line="48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、磋商小组的职责：</w:t>
      </w:r>
    </w:p>
    <w:p>
      <w:pPr>
        <w:snapToGrid w:val="0"/>
        <w:spacing w:line="480" w:lineRule="exact"/>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）磋商小组成员应当按照客观、公正、审慎的原则，根据磋商文件规定的评审程序、评审方法和评审标准进行独立评审。</w:t>
      </w:r>
    </w:p>
    <w:p>
      <w:pPr>
        <w:snapToGrid w:val="0"/>
        <w:spacing w:line="480" w:lineRule="exact"/>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）磋商小组成员应当遵守评审工作纪律，不得泄露评审情况和评审中获悉的商业秘密，对个人的评审意见承担法律责任。</w:t>
      </w:r>
    </w:p>
    <w:p>
      <w:pPr>
        <w:snapToGrid w:val="0"/>
        <w:spacing w:line="480" w:lineRule="exact"/>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）磋商小组成员在评审过程中发现供应商有行贿、提供虚假材料或者串通等违法行为的，应当及时向财政部门报告</w:t>
      </w:r>
      <w:r>
        <w:rPr>
          <w:rFonts w:ascii="宋体" w:cs="宋体"/>
          <w:sz w:val="24"/>
          <w:szCs w:val="24"/>
        </w:rPr>
        <w:t>,</w:t>
      </w:r>
      <w:r>
        <w:rPr>
          <w:rFonts w:hint="eastAsia" w:ascii="宋体" w:hAnsi="宋体" w:cs="宋体"/>
          <w:sz w:val="24"/>
          <w:szCs w:val="24"/>
        </w:rPr>
        <w:t>并建议将其列入政府采购黑名单。</w:t>
      </w:r>
    </w:p>
    <w:p>
      <w:pPr>
        <w:snapToGrid w:val="0"/>
        <w:spacing w:line="480" w:lineRule="exact"/>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）磋商小组成员在评审过程中受到非法干涉的，应当及时向财政、监察等部门举报。</w:t>
      </w:r>
    </w:p>
    <w:p>
      <w:pPr>
        <w:snapToGrid w:val="0"/>
        <w:spacing w:line="480" w:lineRule="exact"/>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）答复供应商提出的质疑及财政部门的投诉处理和监督检查工作。</w:t>
      </w:r>
    </w:p>
    <w:p>
      <w:pPr>
        <w:snapToGrid w:val="0"/>
        <w:spacing w:line="48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、评审有关记录由磋商小组成员签名，存档备查。</w:t>
      </w:r>
    </w:p>
    <w:p>
      <w:pPr>
        <w:snapToGrid w:val="0"/>
        <w:spacing w:line="480" w:lineRule="exact"/>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、供应商的法定代表人或被授权人须持身份证准时参加磋商开标会。</w:t>
      </w:r>
    </w:p>
    <w:p>
      <w:pPr>
        <w:snapToGrid w:val="0"/>
        <w:spacing w:line="480" w:lineRule="exact"/>
        <w:ind w:firstLine="482" w:firstLineChars="200"/>
        <w:outlineLvl w:val="1"/>
        <w:rPr>
          <w:rFonts w:ascii="宋体"/>
          <w:b/>
          <w:bCs/>
          <w:sz w:val="24"/>
          <w:szCs w:val="24"/>
        </w:rPr>
      </w:pPr>
      <w:r>
        <w:rPr>
          <w:rFonts w:hint="eastAsia" w:ascii="宋体" w:hAnsi="宋体" w:cs="宋体"/>
          <w:b/>
          <w:bCs/>
          <w:sz w:val="24"/>
          <w:szCs w:val="24"/>
        </w:rPr>
        <w:t>二、磋商的原则及方法</w:t>
      </w:r>
    </w:p>
    <w:p>
      <w:pPr>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、磋商小组依据《中华人民共和国政府采购法》、《政府采购竞争性磋商采购方式管理暂行办法》以及有关政府采购的相关法规，遵循“公开、公平、公正、择优、信用”的原则进行磋商评审。</w:t>
      </w:r>
    </w:p>
    <w:p>
      <w:pPr>
        <w:snapToGrid w:val="0"/>
        <w:spacing w:line="480" w:lineRule="exact"/>
        <w:ind w:firstLine="484" w:firstLineChars="202"/>
        <w:rPr>
          <w:rFonts w:ascii="宋体"/>
          <w:sz w:val="24"/>
          <w:szCs w:val="24"/>
        </w:rPr>
      </w:pPr>
      <w:r>
        <w:rPr>
          <w:rFonts w:ascii="宋体" w:hAnsi="宋体" w:cs="宋体"/>
          <w:sz w:val="24"/>
          <w:szCs w:val="24"/>
        </w:rPr>
        <w:t>2</w:t>
      </w:r>
      <w:r>
        <w:rPr>
          <w:rFonts w:hint="eastAsia" w:ascii="宋体" w:hAnsi="宋体" w:cs="宋体"/>
          <w:sz w:val="24"/>
          <w:szCs w:val="24"/>
        </w:rPr>
        <w:t>、磋商小组将按照竞争性磋商文件的规定，独立对每个进入打分程序的有效投标供应商的响应文件的技术部分以打分的形式进行评估和评价。技术分是所有评委打分的算术平均值（计算结果均四舍五入保留两位小数）。</w:t>
      </w:r>
    </w:p>
    <w:p>
      <w:pPr>
        <w:snapToGrid w:val="0"/>
        <w:spacing w:line="480" w:lineRule="exact"/>
        <w:ind w:firstLine="484" w:firstLineChars="202"/>
        <w:rPr>
          <w:rFonts w:ascii="宋体"/>
          <w:sz w:val="24"/>
          <w:szCs w:val="24"/>
        </w:rPr>
      </w:pPr>
      <w:r>
        <w:rPr>
          <w:rFonts w:ascii="宋体" w:hAnsi="宋体" w:cs="宋体"/>
          <w:sz w:val="24"/>
          <w:szCs w:val="24"/>
        </w:rPr>
        <w:t>3</w:t>
      </w:r>
      <w:r>
        <w:rPr>
          <w:rFonts w:hint="eastAsia" w:ascii="宋体" w:hAnsi="宋体" w:cs="宋体"/>
          <w:sz w:val="24"/>
          <w:szCs w:val="24"/>
        </w:rPr>
        <w:t>、磋商小组根据磋商文件规定的程序、评定成交的标准等事项与实质性响应磋商文件要求的供应商进行磋商。未实质性响应磋商文件要求的响应文件按无效处理，磋商小组应当告知提交响应文件的供应商。</w:t>
      </w:r>
    </w:p>
    <w:p>
      <w:pPr>
        <w:snapToGrid w:val="0"/>
        <w:spacing w:line="48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、磋商小组所有成员应当集中与单一供应商分别进行磋商，并给予所有参加磋商的供应商平等的磋商机会。</w:t>
      </w:r>
    </w:p>
    <w:p>
      <w:pPr>
        <w:snapToGrid w:val="0"/>
        <w:spacing w:line="480" w:lineRule="exact"/>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、在磋商过程中，磋商小组可以根据磋商文件和磋商情况实质性变动采购需求中的技术、服务要求以及合同草案条款，但不得变动磋商文件中的其他内容。实质性变动的内容，须经采购单位代表确认。</w:t>
      </w:r>
    </w:p>
    <w:p>
      <w:pPr>
        <w:snapToGrid w:val="0"/>
        <w:spacing w:line="480" w:lineRule="exact"/>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、对磋商文件作出的实质性变动是磋商文件的有效组成部分，磋商小组应当及时以书面形式同时通知所有参加磋商的供应商。</w:t>
      </w:r>
    </w:p>
    <w:p>
      <w:pPr>
        <w:snapToGrid w:val="0"/>
        <w:spacing w:line="480" w:lineRule="exact"/>
        <w:ind w:firstLine="480" w:firstLineChars="200"/>
        <w:rPr>
          <w:rFonts w:ascii="宋体"/>
          <w:sz w:val="24"/>
          <w:szCs w:val="24"/>
        </w:rPr>
      </w:pPr>
      <w:r>
        <w:rPr>
          <w:rFonts w:ascii="宋体" w:hAnsi="宋体" w:cs="宋体"/>
          <w:sz w:val="24"/>
          <w:szCs w:val="24"/>
        </w:rPr>
        <w:t>7</w:t>
      </w:r>
      <w:r>
        <w:rPr>
          <w:rFonts w:hint="eastAsia" w:ascii="宋体" w:hAnsi="宋体" w:cs="宋体"/>
          <w:sz w:val="24"/>
          <w:szCs w:val="24"/>
        </w:rPr>
        <w:t>、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pPr>
        <w:snapToGrid w:val="0"/>
        <w:spacing w:line="480" w:lineRule="exact"/>
        <w:ind w:firstLine="480" w:firstLineChars="200"/>
        <w:rPr>
          <w:rFonts w:ascii="宋体"/>
          <w:sz w:val="24"/>
          <w:szCs w:val="24"/>
        </w:rPr>
      </w:pPr>
      <w:r>
        <w:rPr>
          <w:rFonts w:hint="eastAsia" w:ascii="宋体" w:hAnsi="宋体" w:cs="宋体"/>
          <w:sz w:val="24"/>
          <w:szCs w:val="24"/>
          <w:lang w:val="en-US" w:eastAsia="zh-CN"/>
        </w:rPr>
        <w:t>8</w:t>
      </w:r>
      <w:r>
        <w:rPr>
          <w:rFonts w:hint="eastAsia" w:ascii="宋体" w:hAnsi="宋体" w:cs="宋体"/>
          <w:sz w:val="24"/>
          <w:szCs w:val="24"/>
        </w:rPr>
        <w:t>、对于在磋商顺利开始后至</w:t>
      </w:r>
      <w:r>
        <w:rPr>
          <w:rFonts w:hint="eastAsia" w:ascii="宋体" w:hAnsi="宋体" w:cs="宋体"/>
          <w:sz w:val="24"/>
          <w:szCs w:val="24"/>
          <w:lang w:eastAsia="zh-CN"/>
        </w:rPr>
        <w:t>技术标打分</w:t>
      </w:r>
      <w:r>
        <w:rPr>
          <w:rFonts w:hint="eastAsia" w:ascii="宋体" w:hAnsi="宋体" w:cs="宋体"/>
          <w:sz w:val="24"/>
          <w:szCs w:val="24"/>
        </w:rPr>
        <w:t>前，根据磋商情况退出磋商的供应商，须以书面形式说明退出磋商的原因，经磋商小组同意可以退出磋商。</w:t>
      </w:r>
    </w:p>
    <w:p>
      <w:pPr>
        <w:snapToGrid w:val="0"/>
        <w:spacing w:line="480" w:lineRule="exact"/>
        <w:ind w:firstLine="480" w:firstLineChars="200"/>
        <w:rPr>
          <w:rFonts w:ascii="宋体"/>
          <w:sz w:val="24"/>
          <w:szCs w:val="24"/>
        </w:rPr>
      </w:pPr>
      <w:r>
        <w:rPr>
          <w:rFonts w:hint="eastAsia" w:ascii="宋体" w:hAnsi="宋体" w:cs="宋体"/>
          <w:sz w:val="24"/>
          <w:szCs w:val="24"/>
          <w:lang w:val="en-US" w:eastAsia="zh-CN"/>
        </w:rPr>
        <w:t>9</w:t>
      </w:r>
      <w:r>
        <w:rPr>
          <w:rFonts w:hint="eastAsia" w:ascii="宋体" w:hAnsi="宋体" w:cs="宋体"/>
          <w:sz w:val="24"/>
          <w:szCs w:val="24"/>
        </w:rPr>
        <w:t>、在磋商中，磋商的任何一方不得透露与磋商有关的其他响应磋商的供应商的技术资料、价格及其他信息。</w:t>
      </w:r>
    </w:p>
    <w:p>
      <w:pPr>
        <w:snapToGrid w:val="0"/>
        <w:spacing w:line="480" w:lineRule="exact"/>
        <w:ind w:firstLine="480" w:firstLineChars="200"/>
        <w:rPr>
          <w:rFonts w:hint="eastAsia" w:ascii="宋体" w:hAnsi="宋体" w:cs="宋体"/>
          <w:sz w:val="24"/>
          <w:szCs w:val="24"/>
        </w:rPr>
      </w:pPr>
      <w:r>
        <w:rPr>
          <w:rFonts w:hint="eastAsia" w:ascii="宋体" w:hAnsi="宋体" w:cs="宋体"/>
          <w:sz w:val="24"/>
          <w:szCs w:val="24"/>
          <w:lang w:val="en-US" w:eastAsia="zh-CN"/>
        </w:rPr>
        <w:t>10</w:t>
      </w:r>
      <w:r>
        <w:rPr>
          <w:rFonts w:hint="eastAsia" w:ascii="宋体" w:hAnsi="宋体" w:cs="宋体"/>
          <w:sz w:val="24"/>
          <w:szCs w:val="24"/>
        </w:rPr>
        <w:t>、凡两家或以上公司同一法定代表人或其中一家公司为另一家公司单一最大股东的，不能同时参与同一采购项目相同标段的磋商采购活动，一经发现，将视同串标处理。</w:t>
      </w:r>
    </w:p>
    <w:p>
      <w:pPr>
        <w:snapToGrid w:val="0"/>
        <w:spacing w:line="480" w:lineRule="exact"/>
        <w:ind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11、</w:t>
      </w:r>
      <w:r>
        <w:rPr>
          <w:rFonts w:hint="eastAsia" w:ascii="宋体" w:hAnsi="宋体" w:cs="宋体"/>
          <w:sz w:val="24"/>
          <w:szCs w:val="24"/>
          <w:u w:val="thick" w:color="FF0000"/>
        </w:rPr>
        <w:t>因本次磋商项目无</w:t>
      </w:r>
      <w:r>
        <w:rPr>
          <w:rFonts w:hint="eastAsia" w:ascii="宋体" w:hAnsi="宋体" w:cs="宋体"/>
          <w:sz w:val="24"/>
          <w:szCs w:val="24"/>
          <w:u w:val="thick" w:color="FF0000"/>
          <w:lang w:eastAsia="zh-CN"/>
        </w:rPr>
        <w:t>价格标</w:t>
      </w:r>
      <w:r>
        <w:rPr>
          <w:rFonts w:hint="eastAsia" w:ascii="宋体" w:hAnsi="宋体" w:cs="宋体"/>
          <w:sz w:val="24"/>
          <w:szCs w:val="24"/>
          <w:u w:val="thick" w:color="FF0000"/>
        </w:rPr>
        <w:t>评审，因此进入到最终评审的综合评分阶段中的磋商响应供应商的技术标得分即为该磋商响应供应商的综合得分。磋商响应供应商的综合得分由高到低按序排列，推荐排名第1至所需成交人数量的供应商为本次招标项目的成交人，并将结果通知所有磋商响应供应商。</w:t>
      </w:r>
    </w:p>
    <w:p>
      <w:pPr>
        <w:snapToGrid w:val="0"/>
        <w:spacing w:line="480" w:lineRule="exact"/>
        <w:ind w:firstLine="482" w:firstLineChars="200"/>
        <w:rPr>
          <w:rFonts w:ascii="宋体"/>
          <w:b/>
          <w:bCs/>
          <w:sz w:val="24"/>
          <w:szCs w:val="24"/>
        </w:rPr>
      </w:pPr>
      <w:r>
        <w:rPr>
          <w:rFonts w:hint="eastAsia" w:ascii="宋体" w:hAnsi="宋体" w:cs="宋体"/>
          <w:b/>
          <w:bCs/>
          <w:sz w:val="24"/>
          <w:szCs w:val="24"/>
        </w:rPr>
        <w:t>三、评估步骤</w:t>
      </w:r>
    </w:p>
    <w:p>
      <w:pPr>
        <w:snapToGrid w:val="0"/>
        <w:spacing w:line="480" w:lineRule="exact"/>
        <w:ind w:firstLine="482" w:firstLineChars="200"/>
        <w:rPr>
          <w:rFonts w:ascii="宋体"/>
          <w:b/>
          <w:bCs/>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、评估步骤规定：</w:t>
      </w:r>
    </w:p>
    <w:p>
      <w:pPr>
        <w:snapToGrid w:val="0"/>
        <w:spacing w:line="480" w:lineRule="exact"/>
        <w:ind w:firstLine="482" w:firstLineChars="200"/>
        <w:rPr>
          <w:rFonts w:hint="default" w:ascii="宋体" w:hAnsi="宋体" w:eastAsia="宋体" w:cs="宋体"/>
          <w:b/>
          <w:bCs/>
          <w:sz w:val="24"/>
          <w:szCs w:val="24"/>
          <w:highlight w:val="none"/>
          <w:u w:val="thick" w:color="FF0000"/>
          <w:lang w:val="en-US" w:eastAsia="zh-CN"/>
        </w:rPr>
      </w:pPr>
      <w:r>
        <w:rPr>
          <w:rFonts w:hint="eastAsia" w:ascii="宋体" w:hAnsi="宋体" w:cs="宋体"/>
          <w:b/>
          <w:bCs/>
          <w:sz w:val="24"/>
          <w:szCs w:val="24"/>
          <w:highlight w:val="none"/>
          <w:u w:val="thick" w:color="FF0000"/>
          <w:lang w:val="zh-CN"/>
        </w:rPr>
        <w:t>供应商不足</w:t>
      </w:r>
      <w:r>
        <w:rPr>
          <w:rFonts w:hint="eastAsia" w:ascii="宋体" w:hAnsi="宋体" w:cs="宋体"/>
          <w:b/>
          <w:bCs/>
          <w:sz w:val="24"/>
          <w:szCs w:val="24"/>
          <w:highlight w:val="yellow"/>
          <w:u w:val="thick" w:color="FF0000"/>
          <w:lang w:val="en-US" w:eastAsia="zh-CN"/>
        </w:rPr>
        <w:t>7家</w:t>
      </w:r>
      <w:r>
        <w:rPr>
          <w:rFonts w:hint="eastAsia" w:ascii="宋体" w:hAnsi="宋体" w:cs="宋体"/>
          <w:b/>
          <w:bCs/>
          <w:sz w:val="24"/>
          <w:szCs w:val="24"/>
          <w:highlight w:val="none"/>
          <w:u w:val="thick" w:color="FF0000"/>
          <w:lang w:val="en-US" w:eastAsia="zh-CN"/>
        </w:rPr>
        <w:t>不得开标。</w:t>
      </w:r>
    </w:p>
    <w:p>
      <w:pPr>
        <w:snapToGrid w:val="0"/>
        <w:spacing w:line="480" w:lineRule="exact"/>
        <w:ind w:firstLine="482" w:firstLineChars="200"/>
        <w:rPr>
          <w:rFonts w:ascii="宋体"/>
          <w:b/>
          <w:bCs/>
          <w:sz w:val="24"/>
          <w:szCs w:val="24"/>
          <w:lang w:val="zh-CN"/>
        </w:rPr>
      </w:pPr>
      <w:r>
        <w:rPr>
          <w:rFonts w:hint="eastAsia" w:ascii="宋体" w:hAnsi="宋体" w:cs="宋体"/>
          <w:b/>
          <w:bCs/>
          <w:sz w:val="24"/>
          <w:szCs w:val="24"/>
          <w:lang w:val="zh-CN"/>
        </w:rPr>
        <w:t>本次资格审查采用资格后审，各供应商资格审查通过后方能进入技术标的开标。</w:t>
      </w:r>
    </w:p>
    <w:p>
      <w:pPr>
        <w:snapToGrid w:val="0"/>
        <w:spacing w:line="480" w:lineRule="exact"/>
        <w:ind w:firstLine="480" w:firstLineChars="200"/>
        <w:rPr>
          <w:rFonts w:ascii="宋体"/>
          <w:sz w:val="24"/>
          <w:szCs w:val="24"/>
          <w:lang w:val="zh-CN"/>
        </w:rPr>
      </w:pPr>
      <w:r>
        <w:rPr>
          <w:rFonts w:hint="eastAsia" w:ascii="宋体" w:hAnsi="宋体" w:cs="宋体"/>
          <w:sz w:val="24"/>
          <w:szCs w:val="24"/>
          <w:lang w:val="zh-CN"/>
        </w:rPr>
        <w:t>第一阶段：</w:t>
      </w:r>
      <w:r>
        <w:rPr>
          <w:rFonts w:hint="eastAsia" w:ascii="宋体" w:hAnsi="宋体" w:cs="宋体"/>
          <w:sz w:val="24"/>
          <w:szCs w:val="24"/>
        </w:rPr>
        <w:t>磋商小组</w:t>
      </w:r>
      <w:r>
        <w:rPr>
          <w:rFonts w:hint="eastAsia" w:ascii="宋体" w:hAnsi="宋体" w:cs="宋体"/>
          <w:sz w:val="24"/>
          <w:szCs w:val="24"/>
          <w:lang w:val="zh-CN"/>
        </w:rPr>
        <w:t>对每个供应商的资格进行审查。</w:t>
      </w:r>
    </w:p>
    <w:p>
      <w:pPr>
        <w:snapToGrid w:val="0"/>
        <w:spacing w:line="480" w:lineRule="exact"/>
        <w:ind w:firstLine="480" w:firstLineChars="200"/>
        <w:rPr>
          <w:rFonts w:ascii="宋体"/>
          <w:sz w:val="24"/>
          <w:szCs w:val="24"/>
          <w:lang w:val="zh-CN"/>
        </w:rPr>
      </w:pPr>
      <w:r>
        <w:rPr>
          <w:rFonts w:hint="eastAsia" w:ascii="宋体" w:hAnsi="宋体" w:cs="宋体"/>
          <w:sz w:val="24"/>
          <w:szCs w:val="24"/>
          <w:lang w:val="zh-CN"/>
        </w:rPr>
        <w:t>第二阶段：</w:t>
      </w:r>
      <w:r>
        <w:rPr>
          <w:rFonts w:hint="eastAsia" w:ascii="宋体" w:hAnsi="宋体" w:cs="宋体"/>
          <w:sz w:val="24"/>
          <w:szCs w:val="24"/>
        </w:rPr>
        <w:t>磋商小组</w:t>
      </w:r>
      <w:r>
        <w:rPr>
          <w:rFonts w:hint="eastAsia" w:ascii="宋体" w:hAnsi="宋体" w:cs="宋体"/>
          <w:sz w:val="24"/>
          <w:szCs w:val="24"/>
          <w:lang w:val="zh-CN"/>
        </w:rPr>
        <w:t>对每个符合资格要求的供应商的技术标进行</w:t>
      </w:r>
      <w:r>
        <w:rPr>
          <w:rFonts w:hint="eastAsia" w:ascii="宋体" w:hAnsi="宋体" w:cs="宋体"/>
          <w:sz w:val="24"/>
          <w:szCs w:val="24"/>
        </w:rPr>
        <w:t>评估</w:t>
      </w:r>
      <w:r>
        <w:rPr>
          <w:rFonts w:hint="eastAsia" w:ascii="宋体" w:hAnsi="宋体" w:cs="宋体"/>
          <w:sz w:val="24"/>
          <w:szCs w:val="24"/>
          <w:lang w:val="zh-CN"/>
        </w:rPr>
        <w:t>。主要审查技术标提交的内容是否齐全，技术方案及项目实施是否完全满足采购文件的要求。</w:t>
      </w:r>
      <w:r>
        <w:rPr>
          <w:rFonts w:hint="eastAsia" w:ascii="宋体" w:hAnsi="宋体" w:cs="宋体"/>
          <w:sz w:val="24"/>
          <w:szCs w:val="24"/>
        </w:rPr>
        <w:t>磋商小组严格按照磋商文件的要求、条件、评分标准，对供应商所提供货物或服务的先进性、可靠性、售后服务承诺、质量保证承诺等实质性响应内容进行比较。</w:t>
      </w:r>
    </w:p>
    <w:p>
      <w:pPr>
        <w:snapToGrid w:val="0"/>
        <w:spacing w:line="480" w:lineRule="exact"/>
        <w:ind w:firstLine="480" w:firstLineChars="200"/>
        <w:rPr>
          <w:rFonts w:ascii="宋体"/>
          <w:sz w:val="24"/>
          <w:szCs w:val="24"/>
        </w:rPr>
      </w:pPr>
      <w:r>
        <w:rPr>
          <w:rFonts w:ascii="宋体" w:hAnsi="宋体" w:cs="宋体"/>
          <w:sz w:val="24"/>
          <w:szCs w:val="24"/>
          <w:lang w:val="zh-CN"/>
        </w:rPr>
        <w:t>2</w:t>
      </w:r>
      <w:r>
        <w:rPr>
          <w:rFonts w:hint="eastAsia" w:ascii="宋体" w:hAnsi="宋体" w:cs="宋体"/>
          <w:sz w:val="24"/>
          <w:szCs w:val="24"/>
          <w:lang w:val="zh-CN"/>
        </w:rPr>
        <w:t>、在</w:t>
      </w:r>
      <w:r>
        <w:rPr>
          <w:rFonts w:hint="eastAsia" w:ascii="宋体" w:hAnsi="宋体" w:cs="宋体"/>
          <w:sz w:val="24"/>
          <w:szCs w:val="24"/>
        </w:rPr>
        <w:t>磋商</w:t>
      </w:r>
      <w:r>
        <w:rPr>
          <w:rFonts w:hint="eastAsia" w:ascii="宋体" w:hAnsi="宋体" w:cs="宋体"/>
          <w:sz w:val="24"/>
          <w:szCs w:val="24"/>
          <w:lang w:val="zh-CN"/>
        </w:rPr>
        <w:t>过程中，供应商提交的澄清文件，由供应商法定代表人或被授权人签字盖章后生效，供应商受其约束。</w:t>
      </w:r>
    </w:p>
    <w:p>
      <w:pPr>
        <w:snapToGrid w:val="0"/>
        <w:spacing w:line="480" w:lineRule="exact"/>
        <w:ind w:firstLine="482" w:firstLineChars="200"/>
        <w:outlineLvl w:val="1"/>
        <w:rPr>
          <w:rFonts w:hint="eastAsia" w:ascii="宋体" w:hAnsi="宋体" w:cs="宋体"/>
          <w:b/>
          <w:bCs/>
          <w:sz w:val="24"/>
          <w:szCs w:val="24"/>
        </w:rPr>
      </w:pPr>
      <w:r>
        <w:rPr>
          <w:rFonts w:hint="eastAsia" w:ascii="宋体" w:hAnsi="宋体" w:cs="宋体"/>
          <w:b/>
          <w:bCs/>
          <w:sz w:val="24"/>
          <w:szCs w:val="24"/>
        </w:rPr>
        <w:t>四、磋商评定结果的方法</w:t>
      </w:r>
    </w:p>
    <w:p>
      <w:pPr>
        <w:snapToGrid w:val="0"/>
        <w:spacing w:line="480" w:lineRule="exact"/>
        <w:ind w:firstLine="480" w:firstLineChars="200"/>
        <w:rPr>
          <w:rFonts w:hint="eastAsia" w:ascii="宋体" w:hAnsi="宋体" w:cs="宋体"/>
          <w:b/>
          <w:bCs/>
          <w:sz w:val="24"/>
          <w:szCs w:val="24"/>
          <w:highlight w:val="none"/>
          <w:u w:val="single"/>
        </w:rPr>
      </w:pPr>
      <w:r>
        <w:rPr>
          <w:rFonts w:hint="eastAsia" w:ascii="宋体" w:hAnsi="宋体" w:cs="宋体"/>
          <w:b w:val="0"/>
          <w:bCs w:val="0"/>
          <w:sz w:val="24"/>
          <w:szCs w:val="24"/>
          <w:highlight w:val="none"/>
          <w:u w:val="none"/>
          <w:lang w:val="en-US" w:eastAsia="zh-CN"/>
        </w:rPr>
        <w:t>1、</w:t>
      </w:r>
      <w:r>
        <w:rPr>
          <w:rFonts w:hint="eastAsia" w:ascii="宋体" w:hAnsi="宋体" w:cs="宋体"/>
          <w:b/>
          <w:bCs/>
          <w:sz w:val="24"/>
          <w:szCs w:val="24"/>
          <w:highlight w:val="none"/>
          <w:u w:val="thick" w:color="FF0000"/>
          <w:lang w:val="en-US" w:eastAsia="zh-CN"/>
        </w:rPr>
        <w:t>合格的磋商响应</w:t>
      </w:r>
      <w:r>
        <w:rPr>
          <w:rFonts w:hint="eastAsia" w:ascii="宋体" w:hAnsi="宋体" w:cs="宋体"/>
          <w:b/>
          <w:bCs/>
          <w:sz w:val="24"/>
          <w:szCs w:val="24"/>
          <w:highlight w:val="none"/>
          <w:u w:val="thick" w:color="FF0000"/>
          <w:lang w:val="zh-CN"/>
        </w:rPr>
        <w:t>供应商不足</w:t>
      </w:r>
      <w:r>
        <w:rPr>
          <w:rFonts w:hint="eastAsia" w:ascii="宋体" w:hAnsi="宋体" w:cs="宋体"/>
          <w:b/>
          <w:bCs/>
          <w:sz w:val="24"/>
          <w:szCs w:val="24"/>
          <w:highlight w:val="yellow"/>
          <w:u w:val="thick" w:color="FF0000"/>
          <w:lang w:val="en-US" w:eastAsia="zh-CN"/>
        </w:rPr>
        <w:t>7家</w:t>
      </w:r>
      <w:r>
        <w:rPr>
          <w:rFonts w:hint="eastAsia" w:ascii="宋体" w:hAnsi="宋体" w:cs="宋体"/>
          <w:b/>
          <w:bCs/>
          <w:sz w:val="24"/>
          <w:szCs w:val="24"/>
          <w:highlight w:val="none"/>
          <w:u w:val="thick" w:color="FF0000"/>
          <w:lang w:val="en-US" w:eastAsia="zh-CN"/>
        </w:rPr>
        <w:t>不得评标。</w:t>
      </w:r>
    </w:p>
    <w:p>
      <w:pPr>
        <w:snapToGrid w:val="0"/>
        <w:spacing w:line="480" w:lineRule="exact"/>
        <w:ind w:firstLine="480" w:firstLineChars="200"/>
        <w:rPr>
          <w:rFonts w:ascii="宋体"/>
          <w:sz w:val="24"/>
          <w:szCs w:val="24"/>
        </w:rPr>
      </w:pPr>
      <w:r>
        <w:rPr>
          <w:rFonts w:hint="eastAsia" w:ascii="宋体" w:hAnsi="宋体" w:cs="宋体"/>
          <w:sz w:val="24"/>
          <w:szCs w:val="24"/>
          <w:lang w:val="en-US" w:eastAsia="zh-CN"/>
        </w:rPr>
        <w:t>2</w:t>
      </w:r>
      <w:r>
        <w:rPr>
          <w:rFonts w:hint="eastAsia" w:ascii="宋体" w:hAnsi="宋体" w:cs="宋体"/>
          <w:sz w:val="24"/>
          <w:szCs w:val="24"/>
        </w:rPr>
        <w:t>、</w:t>
      </w:r>
      <w:r>
        <w:rPr>
          <w:rFonts w:hint="eastAsia" w:ascii="宋体" w:hAnsi="宋体" w:cs="宋体"/>
          <w:b/>
          <w:bCs/>
          <w:sz w:val="24"/>
          <w:szCs w:val="24"/>
          <w:u w:val="single"/>
        </w:rPr>
        <w:t>经磋商确定最终采购需求和</w:t>
      </w:r>
      <w:r>
        <w:rPr>
          <w:rFonts w:hint="eastAsia" w:ascii="宋体" w:hAnsi="宋体" w:cs="宋体"/>
          <w:b/>
          <w:bCs/>
          <w:sz w:val="24"/>
          <w:szCs w:val="24"/>
          <w:u w:val="single"/>
          <w:lang w:eastAsia="zh-CN"/>
        </w:rPr>
        <w:t>进入最后评审</w:t>
      </w:r>
      <w:r>
        <w:rPr>
          <w:rFonts w:hint="eastAsia" w:ascii="宋体" w:hAnsi="宋体" w:cs="宋体"/>
          <w:b/>
          <w:bCs/>
          <w:sz w:val="24"/>
          <w:szCs w:val="24"/>
          <w:u w:val="single"/>
        </w:rPr>
        <w:t>的供应商后，</w:t>
      </w:r>
      <w:r>
        <w:rPr>
          <w:rFonts w:hint="eastAsia" w:ascii="宋体" w:hAnsi="宋体" w:cs="宋体"/>
          <w:sz w:val="24"/>
          <w:szCs w:val="24"/>
        </w:rPr>
        <w:t>由磋商小组采用综合评分法</w:t>
      </w:r>
      <w:r>
        <w:rPr>
          <w:rFonts w:hint="eastAsia" w:ascii="宋体" w:hAnsi="宋体" w:cs="宋体"/>
          <w:b/>
          <w:bCs/>
          <w:sz w:val="24"/>
          <w:szCs w:val="24"/>
          <w:u w:val="single"/>
        </w:rPr>
        <w:t>对</w:t>
      </w:r>
      <w:r>
        <w:rPr>
          <w:rFonts w:hint="eastAsia" w:ascii="宋体" w:hAnsi="宋体" w:cs="宋体"/>
          <w:b/>
          <w:bCs/>
          <w:sz w:val="24"/>
          <w:szCs w:val="24"/>
          <w:u w:val="single"/>
          <w:lang w:eastAsia="zh-CN"/>
        </w:rPr>
        <w:t>满足磋商文件全部实质性要求的供应商</w:t>
      </w:r>
      <w:r>
        <w:rPr>
          <w:rFonts w:hint="eastAsia" w:ascii="宋体" w:hAnsi="宋体" w:cs="宋体"/>
          <w:sz w:val="24"/>
          <w:szCs w:val="24"/>
        </w:rPr>
        <w:t>进行综合评分。</w:t>
      </w:r>
    </w:p>
    <w:p>
      <w:pPr>
        <w:snapToGrid w:val="0"/>
        <w:spacing w:line="480" w:lineRule="exact"/>
        <w:ind w:firstLine="480" w:firstLineChars="200"/>
        <w:rPr>
          <w:rFonts w:ascii="宋体"/>
          <w:sz w:val="24"/>
          <w:szCs w:val="24"/>
        </w:rPr>
      </w:pPr>
      <w:r>
        <w:rPr>
          <w:rFonts w:hint="eastAsia" w:ascii="宋体" w:hAnsi="宋体" w:cs="宋体"/>
          <w:sz w:val="24"/>
          <w:szCs w:val="24"/>
          <w:lang w:val="en-US" w:eastAsia="zh-CN"/>
        </w:rPr>
        <w:t>3</w:t>
      </w:r>
      <w:r>
        <w:rPr>
          <w:rFonts w:hint="eastAsia" w:ascii="宋体" w:hAnsi="宋体" w:cs="宋体"/>
          <w:sz w:val="24"/>
          <w:szCs w:val="24"/>
        </w:rPr>
        <w:t>、评估时，磋商小组各成员应当独立对每个有效响应的文件进行评价、打分，然后汇总每个供应商每项评分因素的得分（计算结果均四舍五入保留两位小数）。</w:t>
      </w:r>
    </w:p>
    <w:p>
      <w:pPr>
        <w:snapToGrid w:val="0"/>
        <w:spacing w:line="480" w:lineRule="exact"/>
        <w:ind w:firstLine="480" w:firstLineChars="200"/>
        <w:rPr>
          <w:rFonts w:ascii="宋体"/>
          <w:sz w:val="24"/>
          <w:szCs w:val="24"/>
        </w:rPr>
      </w:pPr>
      <w:r>
        <w:rPr>
          <w:rFonts w:hint="eastAsia" w:ascii="宋体" w:hAnsi="宋体" w:cs="宋体"/>
          <w:sz w:val="24"/>
          <w:szCs w:val="24"/>
          <w:lang w:val="en-US" w:eastAsia="zh-CN"/>
        </w:rPr>
        <w:t>4</w:t>
      </w:r>
      <w:r>
        <w:rPr>
          <w:rFonts w:hint="eastAsia" w:ascii="宋体" w:hAnsi="宋体" w:cs="宋体"/>
          <w:sz w:val="24"/>
          <w:szCs w:val="24"/>
        </w:rPr>
        <w:t>、本次项目磋商的技术</w:t>
      </w:r>
      <w:r>
        <w:rPr>
          <w:rFonts w:hint="eastAsia" w:ascii="宋体" w:hAnsi="宋体" w:cs="宋体"/>
          <w:kern w:val="0"/>
          <w:sz w:val="24"/>
          <w:szCs w:val="24"/>
        </w:rPr>
        <w:t>响应文件</w:t>
      </w:r>
      <w:r>
        <w:rPr>
          <w:rFonts w:hint="eastAsia" w:ascii="宋体" w:hAnsi="宋体" w:cs="宋体"/>
          <w:sz w:val="24"/>
          <w:szCs w:val="24"/>
        </w:rPr>
        <w:t>评估总分值为</w:t>
      </w:r>
      <w:r>
        <w:rPr>
          <w:rFonts w:ascii="宋体" w:hAnsi="宋体" w:cs="宋体"/>
          <w:sz w:val="24"/>
          <w:szCs w:val="24"/>
        </w:rPr>
        <w:t>100</w:t>
      </w:r>
      <w:r>
        <w:rPr>
          <w:rFonts w:hint="eastAsia" w:ascii="宋体" w:hAnsi="宋体" w:cs="宋体"/>
          <w:sz w:val="24"/>
          <w:szCs w:val="24"/>
        </w:rPr>
        <w:t>分。</w:t>
      </w:r>
      <w:r>
        <w:rPr>
          <w:rFonts w:hint="eastAsia" w:ascii="宋体" w:hAnsi="宋体" w:cs="宋体"/>
          <w:sz w:val="24"/>
          <w:szCs w:val="24"/>
          <w:lang w:eastAsia="zh-CN"/>
        </w:rPr>
        <w:t>即</w:t>
      </w:r>
      <w:r>
        <w:rPr>
          <w:rFonts w:hint="eastAsia" w:ascii="宋体" w:hAnsi="宋体" w:cs="宋体"/>
          <w:sz w:val="24"/>
          <w:szCs w:val="24"/>
        </w:rPr>
        <w:t>：</w:t>
      </w:r>
    </w:p>
    <w:p>
      <w:pPr>
        <w:snapToGrid w:val="0"/>
        <w:spacing w:line="480" w:lineRule="exact"/>
        <w:ind w:firstLine="480" w:firstLineChars="200"/>
        <w:rPr>
          <w:rFonts w:hint="eastAsia" w:ascii="宋体" w:eastAsia="宋体"/>
          <w:kern w:val="0"/>
          <w:sz w:val="24"/>
          <w:szCs w:val="24"/>
          <w:lang w:eastAsia="zh-CN"/>
        </w:rPr>
      </w:pPr>
      <w:r>
        <w:rPr>
          <w:rFonts w:hint="eastAsia" w:ascii="宋体" w:hAnsi="宋体" w:cs="宋体"/>
          <w:kern w:val="0"/>
          <w:sz w:val="24"/>
          <w:szCs w:val="24"/>
        </w:rPr>
        <w:t>技术响应文件分值占总分值的比重为</w:t>
      </w:r>
      <w:r>
        <w:rPr>
          <w:rFonts w:hint="eastAsia" w:ascii="宋体" w:hAnsi="宋体" w:cs="宋体"/>
          <w:kern w:val="0"/>
          <w:sz w:val="24"/>
          <w:szCs w:val="24"/>
          <w:u w:val="single"/>
          <w:lang w:val="en-US" w:eastAsia="zh-CN"/>
        </w:rPr>
        <w:t>100</w:t>
      </w:r>
      <w:r>
        <w:rPr>
          <w:rFonts w:ascii="宋体" w:hAnsi="宋体" w:cs="宋体"/>
          <w:kern w:val="0"/>
          <w:sz w:val="24"/>
          <w:szCs w:val="24"/>
          <w:u w:val="single"/>
        </w:rPr>
        <w:t>%</w:t>
      </w:r>
      <w:r>
        <w:rPr>
          <w:rFonts w:hint="eastAsia" w:ascii="宋体" w:hAnsi="宋体" w:cs="宋体"/>
          <w:kern w:val="0"/>
          <w:sz w:val="24"/>
          <w:szCs w:val="24"/>
          <w:u w:val="single"/>
        </w:rPr>
        <w:t>（权重）</w:t>
      </w:r>
      <w:r>
        <w:rPr>
          <w:rFonts w:hint="eastAsia" w:ascii="宋体" w:hAnsi="宋体" w:cs="宋体"/>
          <w:kern w:val="0"/>
          <w:sz w:val="24"/>
          <w:szCs w:val="24"/>
        </w:rPr>
        <w:t>（四舍五入保留两位小数）</w:t>
      </w:r>
      <w:r>
        <w:rPr>
          <w:rFonts w:hint="eastAsia" w:ascii="宋体" w:hAnsi="宋体" w:cs="宋体"/>
          <w:kern w:val="0"/>
          <w:sz w:val="24"/>
          <w:szCs w:val="24"/>
          <w:lang w:eastAsia="zh-CN"/>
        </w:rPr>
        <w:t>。</w:t>
      </w:r>
    </w:p>
    <w:p>
      <w:pPr>
        <w:snapToGrid w:val="0"/>
        <w:spacing w:line="480" w:lineRule="exact"/>
        <w:ind w:firstLine="480" w:firstLineChars="200"/>
      </w:pPr>
      <w:r>
        <w:rPr>
          <w:rFonts w:hint="eastAsia" w:ascii="宋体" w:hAnsi="宋体" w:cs="宋体"/>
          <w:sz w:val="24"/>
          <w:szCs w:val="24"/>
          <w:lang w:val="en-US" w:eastAsia="zh-CN"/>
        </w:rPr>
        <w:t>5</w:t>
      </w:r>
      <w:r>
        <w:rPr>
          <w:rFonts w:hint="eastAsia" w:ascii="宋体" w:hAnsi="宋体" w:cs="宋体"/>
          <w:sz w:val="24"/>
          <w:szCs w:val="24"/>
        </w:rPr>
        <w:t>、技术</w:t>
      </w:r>
      <w:r>
        <w:rPr>
          <w:rFonts w:hint="eastAsia" w:ascii="宋体" w:hAnsi="宋体" w:cs="宋体"/>
          <w:kern w:val="0"/>
          <w:sz w:val="24"/>
          <w:szCs w:val="24"/>
        </w:rPr>
        <w:t>响应文件分值为所有评委打分的算术平均值，计算</w:t>
      </w:r>
      <w:r>
        <w:rPr>
          <w:rFonts w:hint="eastAsia" w:ascii="宋体" w:hAnsi="宋体" w:cs="宋体"/>
          <w:sz w:val="24"/>
          <w:szCs w:val="24"/>
        </w:rPr>
        <w:t>结果均四舍五入保留两位小数。</w:t>
      </w:r>
    </w:p>
    <w:p>
      <w:pPr>
        <w:snapToGrid w:val="0"/>
        <w:spacing w:line="480" w:lineRule="exact"/>
        <w:ind w:firstLine="480" w:firstLineChars="200"/>
        <w:outlineLvl w:val="1"/>
        <w:rPr>
          <w:rFonts w:ascii="宋体"/>
          <w:sz w:val="24"/>
          <w:szCs w:val="24"/>
          <w:highlight w:val="none"/>
        </w:rPr>
      </w:pPr>
      <w:r>
        <w:rPr>
          <w:rFonts w:hint="eastAsia" w:ascii="宋体" w:hAnsi="宋体" w:cs="宋体"/>
          <w:sz w:val="24"/>
          <w:szCs w:val="24"/>
          <w:highlight w:val="none"/>
          <w:lang w:val="en-US" w:eastAsia="zh-CN"/>
        </w:rPr>
        <w:t>6</w:t>
      </w:r>
      <w:r>
        <w:rPr>
          <w:rFonts w:hint="eastAsia" w:ascii="宋体" w:hAnsi="宋体" w:cs="宋体"/>
          <w:sz w:val="24"/>
          <w:szCs w:val="24"/>
          <w:highlight w:val="none"/>
        </w:rPr>
        <w:t>、</w:t>
      </w:r>
      <w:r>
        <w:rPr>
          <w:rFonts w:hint="eastAsia" w:ascii="宋体" w:hAnsi="宋体" w:cs="宋体"/>
          <w:sz w:val="24"/>
          <w:szCs w:val="24"/>
          <w:highlight w:val="none"/>
          <w:lang w:eastAsia="zh-CN"/>
        </w:rPr>
        <w:t>推荐</w:t>
      </w:r>
      <w:r>
        <w:rPr>
          <w:rFonts w:hint="eastAsia" w:ascii="宋体" w:hAnsi="宋体" w:cs="宋体"/>
          <w:sz w:val="24"/>
          <w:szCs w:val="24"/>
          <w:highlight w:val="none"/>
        </w:rPr>
        <w:t>成交</w:t>
      </w:r>
      <w:r>
        <w:rPr>
          <w:rFonts w:hint="eastAsia" w:ascii="宋体" w:hAnsi="宋体" w:cs="宋体"/>
          <w:sz w:val="24"/>
          <w:szCs w:val="24"/>
          <w:highlight w:val="none"/>
          <w:lang w:eastAsia="zh-CN"/>
        </w:rPr>
        <w:t>供应商</w:t>
      </w:r>
      <w:r>
        <w:rPr>
          <w:rFonts w:hint="eastAsia" w:ascii="宋体" w:hAnsi="宋体" w:cs="宋体"/>
          <w:sz w:val="24"/>
          <w:szCs w:val="24"/>
          <w:highlight w:val="none"/>
        </w:rPr>
        <w:t>的特殊情况处理：</w:t>
      </w:r>
    </w:p>
    <w:p>
      <w:pPr>
        <w:snapToGrid w:val="0"/>
        <w:spacing w:line="480" w:lineRule="exact"/>
        <w:ind w:firstLine="480" w:firstLineChars="200"/>
        <w:outlineLvl w:val="1"/>
        <w:rPr>
          <w:rFonts w:hint="eastAsia" w:ascii="宋体" w:hAns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1</w:t>
      </w:r>
      <w:r>
        <w:rPr>
          <w:rFonts w:hint="eastAsia" w:ascii="宋体" w:hAnsi="宋体" w:cs="宋体"/>
          <w:sz w:val="24"/>
          <w:szCs w:val="24"/>
          <w:highlight w:val="none"/>
        </w:rPr>
        <w:t>）若总分相同，则采取现场抽签的方式确定（由</w:t>
      </w:r>
      <w:r>
        <w:rPr>
          <w:rFonts w:hint="eastAsia" w:ascii="宋体" w:hAnsi="宋体" w:cs="宋体"/>
          <w:sz w:val="24"/>
          <w:szCs w:val="24"/>
          <w:highlight w:val="none"/>
          <w:lang w:eastAsia="zh-CN"/>
        </w:rPr>
        <w:t>采购人代表</w:t>
      </w:r>
      <w:r>
        <w:rPr>
          <w:rFonts w:hint="eastAsia" w:ascii="宋体" w:hAnsi="宋体" w:cs="宋体"/>
          <w:sz w:val="24"/>
          <w:szCs w:val="24"/>
          <w:highlight w:val="none"/>
        </w:rPr>
        <w:t>按</w:t>
      </w:r>
      <w:r>
        <w:rPr>
          <w:rFonts w:hint="eastAsia" w:ascii="宋体" w:hAnsi="宋体" w:cs="宋体"/>
          <w:sz w:val="24"/>
          <w:szCs w:val="24"/>
          <w:highlight w:val="none"/>
          <w:lang w:eastAsia="zh-CN"/>
        </w:rPr>
        <w:t>供应商</w:t>
      </w:r>
      <w:r>
        <w:rPr>
          <w:rFonts w:hint="eastAsia" w:ascii="宋体" w:hAnsi="宋体" w:cs="宋体"/>
          <w:sz w:val="24"/>
          <w:szCs w:val="24"/>
          <w:highlight w:val="none"/>
        </w:rPr>
        <w:t>递交响应文件签到顺序号抽签确定）。</w:t>
      </w:r>
    </w:p>
    <w:p>
      <w:pPr>
        <w:snapToGrid w:val="0"/>
        <w:spacing w:line="480" w:lineRule="exact"/>
        <w:ind w:firstLine="480" w:firstLineChars="200"/>
        <w:outlineLvl w:val="1"/>
        <w:rPr>
          <w:rFonts w:hint="eastAsia" w:ascii="宋体" w:hAnsi="宋体" w:cs="宋体"/>
          <w:sz w:val="24"/>
          <w:szCs w:val="24"/>
          <w:highlight w:val="none"/>
          <w:lang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w:t>
      </w:r>
      <w:r>
        <w:rPr>
          <w:rFonts w:hint="eastAsia" w:ascii="宋体" w:hAnsi="宋体" w:cs="宋体"/>
          <w:sz w:val="24"/>
          <w:szCs w:val="24"/>
          <w:highlight w:val="none"/>
          <w:lang w:eastAsia="zh-CN"/>
        </w:rPr>
        <w:t>）经评审，符合要求的供应商为</w:t>
      </w:r>
      <w:r>
        <w:rPr>
          <w:rFonts w:hint="eastAsia" w:ascii="宋体" w:hAnsi="宋体" w:cs="宋体"/>
          <w:sz w:val="24"/>
          <w:szCs w:val="24"/>
          <w:highlight w:val="none"/>
          <w:lang w:val="en-US" w:eastAsia="zh-CN"/>
        </w:rPr>
        <w:t>7家及以上时，综合得分前5名的推荐为本项目的成交供应商，</w:t>
      </w:r>
      <w:r>
        <w:rPr>
          <w:rFonts w:hint="eastAsia" w:ascii="宋体" w:hAnsi="宋体" w:cs="宋体"/>
          <w:kern w:val="0"/>
          <w:sz w:val="24"/>
          <w:szCs w:val="24"/>
          <w:highlight w:val="none"/>
        </w:rPr>
        <w:t>并出具评审磋商报告</w:t>
      </w:r>
      <w:r>
        <w:rPr>
          <w:rFonts w:hint="eastAsia" w:ascii="宋体" w:hAnsi="宋体" w:cs="宋体"/>
          <w:kern w:val="0"/>
          <w:sz w:val="24"/>
          <w:szCs w:val="24"/>
          <w:highlight w:val="none"/>
          <w:lang w:eastAsia="zh-CN"/>
        </w:rPr>
        <w:t>。</w:t>
      </w:r>
    </w:p>
    <w:p>
      <w:pPr>
        <w:snapToGrid w:val="0"/>
        <w:spacing w:line="480" w:lineRule="exact"/>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（3）在服务期内，接采购方通知后，成交供应商须在规定时间内将每场活动报价单送至崇川区文化馆（市北文体中心）五楼523办公室，报价最低的供应商为本场活动承办方。</w:t>
      </w:r>
    </w:p>
    <w:p>
      <w:pPr>
        <w:snapToGrid w:val="0"/>
        <w:spacing w:line="480" w:lineRule="exact"/>
        <w:ind w:firstLine="480" w:firstLineChars="200"/>
        <w:rPr>
          <w:rFonts w:ascii="宋体"/>
          <w:sz w:val="24"/>
          <w:szCs w:val="24"/>
          <w:highlight w:val="none"/>
        </w:rPr>
      </w:pPr>
      <w:r>
        <w:rPr>
          <w:rFonts w:hint="eastAsia" w:ascii="宋体" w:hAnsi="宋体" w:cs="宋体"/>
          <w:sz w:val="24"/>
          <w:szCs w:val="24"/>
          <w:highlight w:val="none"/>
          <w:lang w:val="en-US" w:eastAsia="zh-CN"/>
        </w:rPr>
        <w:t>7</w:t>
      </w:r>
      <w:r>
        <w:rPr>
          <w:rFonts w:hint="eastAsia" w:ascii="宋体" w:hAnsi="宋体" w:cs="宋体"/>
          <w:sz w:val="24"/>
          <w:szCs w:val="24"/>
          <w:highlight w:val="none"/>
        </w:rPr>
        <w:t>、磋商评审时，评委对评审的细则若有争议，由磋商小组集体讨论确定，并对未尽情况有最终解释权。</w:t>
      </w:r>
    </w:p>
    <w:p>
      <w:pPr>
        <w:snapToGrid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lang w:val="en-US" w:eastAsia="zh-CN"/>
        </w:rPr>
        <w:t>8</w:t>
      </w:r>
      <w:r>
        <w:rPr>
          <w:rFonts w:hint="eastAsia" w:ascii="宋体" w:hAnsi="宋体" w:cs="宋体"/>
          <w:sz w:val="24"/>
          <w:szCs w:val="24"/>
          <w:highlight w:val="none"/>
        </w:rPr>
        <w:t>、对落标的供应商不做落标原因的解释。</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cs="宋体"/>
          <w:b/>
          <w:bCs/>
          <w:sz w:val="24"/>
          <w:szCs w:val="24"/>
        </w:rPr>
      </w:pPr>
      <w:r>
        <w:rPr>
          <w:rFonts w:hint="eastAsia" w:ascii="宋体" w:hAnsi="宋体" w:cs="宋体"/>
          <w:b/>
          <w:bCs/>
          <w:sz w:val="24"/>
          <w:szCs w:val="24"/>
        </w:rPr>
        <w:t>五、综合评分评审标准</w:t>
      </w:r>
    </w:p>
    <w:bookmarkEnd w:id="48"/>
    <w:bookmarkEnd w:id="49"/>
    <w:bookmarkEnd w:id="50"/>
    <w:bookmarkEnd w:id="51"/>
    <w:bookmarkEnd w:id="52"/>
    <w:bookmarkEnd w:id="53"/>
    <w:bookmarkEnd w:id="54"/>
    <w:bookmarkEnd w:id="55"/>
    <w:p>
      <w:pPr>
        <w:keepNext w:val="0"/>
        <w:keepLines w:val="0"/>
        <w:pageBreakBefore w:val="0"/>
        <w:widowControl/>
        <w:numPr>
          <w:ilvl w:val="0"/>
          <w:numId w:val="0"/>
        </w:numPr>
        <w:kinsoku/>
        <w:wordWrap/>
        <w:overflowPunct/>
        <w:topLinePunct w:val="0"/>
        <w:autoSpaceDE/>
        <w:autoSpaceDN/>
        <w:bidi w:val="0"/>
        <w:adjustRightInd/>
        <w:snapToGrid w:val="0"/>
        <w:spacing w:line="480" w:lineRule="exact"/>
        <w:ind w:firstLine="482" w:firstLineChars="200"/>
        <w:jc w:val="left"/>
        <w:textAlignment w:val="auto"/>
        <w:rPr>
          <w:rFonts w:ascii="宋体" w:hAnsi="宋体" w:cs="宋体"/>
          <w:b/>
          <w:bCs/>
          <w:kern w:val="0"/>
          <w:sz w:val="24"/>
          <w:szCs w:val="24"/>
        </w:rPr>
      </w:pPr>
      <w:bookmarkStart w:id="62" w:name="_Toc363573858"/>
      <w:bookmarkStart w:id="63" w:name="_Toc94585343"/>
      <w:r>
        <w:rPr>
          <w:rFonts w:hint="eastAsia" w:ascii="宋体" w:hAnsi="宋体" w:cs="宋体"/>
          <w:b/>
          <w:sz w:val="24"/>
          <w:szCs w:val="24"/>
          <w:lang w:eastAsia="zh-CN"/>
        </w:rPr>
        <w:t>（一）</w:t>
      </w:r>
      <w:r>
        <w:rPr>
          <w:rFonts w:hint="eastAsia" w:ascii="宋体" w:hAnsi="宋体" w:cs="宋体"/>
          <w:b/>
          <w:sz w:val="24"/>
          <w:szCs w:val="24"/>
        </w:rPr>
        <w:t>技术标评分</w:t>
      </w:r>
      <w:r>
        <w:rPr>
          <w:rFonts w:hint="eastAsia" w:ascii="宋体" w:hAnsi="宋体" w:cs="宋体"/>
          <w:b/>
          <w:bCs/>
          <w:kern w:val="0"/>
          <w:sz w:val="24"/>
          <w:szCs w:val="24"/>
        </w:rPr>
        <w:t>（</w:t>
      </w:r>
      <w:r>
        <w:rPr>
          <w:rFonts w:hint="eastAsia" w:ascii="宋体" w:hAnsi="宋体" w:cs="宋体"/>
          <w:b/>
          <w:bCs/>
          <w:kern w:val="0"/>
          <w:sz w:val="24"/>
          <w:szCs w:val="24"/>
          <w:lang w:val="en-US" w:eastAsia="zh-CN"/>
        </w:rPr>
        <w:t>10</w:t>
      </w:r>
      <w:r>
        <w:rPr>
          <w:rFonts w:hint="eastAsia" w:ascii="宋体" w:hAnsi="宋体" w:cs="宋体"/>
          <w:b/>
          <w:bCs/>
          <w:kern w:val="0"/>
          <w:sz w:val="24"/>
          <w:szCs w:val="24"/>
        </w:rPr>
        <w:t xml:space="preserve">0分） </w:t>
      </w:r>
    </w:p>
    <w:tbl>
      <w:tblPr>
        <w:tblStyle w:val="53"/>
        <w:tblW w:w="9267" w:type="dxa"/>
        <w:jc w:val="center"/>
        <w:tblLayout w:type="autofit"/>
        <w:tblCellMar>
          <w:top w:w="0" w:type="dxa"/>
          <w:left w:w="0" w:type="dxa"/>
          <w:bottom w:w="0" w:type="dxa"/>
          <w:right w:w="0" w:type="dxa"/>
        </w:tblCellMar>
      </w:tblPr>
      <w:tblGrid>
        <w:gridCol w:w="649"/>
        <w:gridCol w:w="1403"/>
        <w:gridCol w:w="720"/>
        <w:gridCol w:w="6495"/>
      </w:tblGrid>
      <w:tr>
        <w:tblPrEx>
          <w:tblCellMar>
            <w:top w:w="0" w:type="dxa"/>
            <w:left w:w="0" w:type="dxa"/>
            <w:bottom w:w="0" w:type="dxa"/>
            <w:right w:w="0" w:type="dxa"/>
          </w:tblCellMar>
        </w:tblPrEx>
        <w:trPr>
          <w:trHeight w:val="495" w:hRule="atLeast"/>
          <w:tblHeader/>
          <w:jc w:val="center"/>
        </w:trPr>
        <w:tc>
          <w:tcPr>
            <w:tcW w:w="64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序号</w:t>
            </w:r>
          </w:p>
        </w:tc>
        <w:tc>
          <w:tcPr>
            <w:tcW w:w="140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jc w:val="center"/>
              <w:textAlignment w:val="center"/>
              <w:rPr>
                <w:rFonts w:hint="eastAsia" w:ascii="宋体" w:hAnsi="宋体" w:eastAsia="宋体" w:cs="宋体"/>
                <w:b/>
                <w:color w:val="000000"/>
                <w:sz w:val="24"/>
                <w:szCs w:val="24"/>
                <w:lang w:eastAsia="zh-CN"/>
              </w:rPr>
            </w:pPr>
            <w:r>
              <w:rPr>
                <w:rFonts w:hint="eastAsia" w:ascii="宋体" w:hAnsi="宋体" w:eastAsia="宋体" w:cs="宋体"/>
                <w:b/>
                <w:color w:val="000000"/>
                <w:kern w:val="0"/>
                <w:sz w:val="24"/>
                <w:szCs w:val="24"/>
                <w:lang w:eastAsia="zh-CN" w:bidi="ar"/>
              </w:rPr>
              <w:t>评</w:t>
            </w:r>
            <w:r>
              <w:rPr>
                <w:rFonts w:hint="eastAsia" w:ascii="宋体" w:hAnsi="宋体" w:eastAsia="宋体" w:cs="宋体"/>
                <w:b/>
                <w:color w:val="000000"/>
                <w:kern w:val="0"/>
                <w:sz w:val="24"/>
                <w:szCs w:val="24"/>
                <w:lang w:val="en-US" w:eastAsia="zh-Hans" w:bidi="ar"/>
              </w:rPr>
              <w:t>分因素</w:t>
            </w:r>
          </w:p>
        </w:tc>
        <w:tc>
          <w:tcPr>
            <w:tcW w:w="72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分值</w:t>
            </w:r>
          </w:p>
        </w:tc>
        <w:tc>
          <w:tcPr>
            <w:tcW w:w="6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评审标准</w:t>
            </w:r>
          </w:p>
        </w:tc>
      </w:tr>
      <w:tr>
        <w:tblPrEx>
          <w:tblCellMar>
            <w:top w:w="0" w:type="dxa"/>
            <w:left w:w="0" w:type="dxa"/>
            <w:bottom w:w="0" w:type="dxa"/>
            <w:right w:w="0" w:type="dxa"/>
          </w:tblCellMar>
        </w:tblPrEx>
        <w:trPr>
          <w:trHeight w:val="1661" w:hRule="atLeast"/>
          <w:jc w:val="center"/>
        </w:trPr>
        <w:tc>
          <w:tcPr>
            <w:tcW w:w="649"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403"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jc w:val="center"/>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企业业绩</w:t>
            </w:r>
          </w:p>
        </w:tc>
        <w:tc>
          <w:tcPr>
            <w:tcW w:w="720"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jc w:val="center"/>
              <w:textAlignment w:val="center"/>
              <w:rPr>
                <w:rFonts w:hint="eastAsia" w:ascii="宋体" w:hAnsi="宋体" w:eastAsia="宋体" w:cs="宋体"/>
                <w:color w:val="000000"/>
                <w:kern w:val="0"/>
                <w:sz w:val="24"/>
                <w:szCs w:val="24"/>
                <w:lang w:bidi="ar"/>
              </w:rPr>
            </w:pPr>
            <w:r>
              <w:rPr>
                <w:rFonts w:hint="eastAsia" w:ascii="宋体" w:hAnsi="宋体" w:cs="宋体"/>
                <w:color w:val="000000"/>
                <w:kern w:val="0"/>
                <w:sz w:val="24"/>
                <w:szCs w:val="24"/>
                <w:lang w:val="en-US" w:eastAsia="zh-CN" w:bidi="ar"/>
              </w:rPr>
              <w:t>14</w:t>
            </w:r>
            <w:r>
              <w:rPr>
                <w:rFonts w:hint="eastAsia" w:ascii="宋体" w:hAnsi="宋体" w:eastAsia="宋体" w:cs="宋体"/>
                <w:color w:val="000000"/>
                <w:kern w:val="0"/>
                <w:sz w:val="24"/>
                <w:szCs w:val="24"/>
                <w:lang w:val="en-US" w:eastAsia="zh-Hans" w:bidi="ar"/>
              </w:rPr>
              <w:t>分</w:t>
            </w:r>
          </w:p>
        </w:tc>
        <w:tc>
          <w:tcPr>
            <w:tcW w:w="649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Hans" w:bidi="ar"/>
              </w:rPr>
              <w:t>投标</w:t>
            </w:r>
            <w:r>
              <w:rPr>
                <w:rFonts w:hint="eastAsia" w:ascii="宋体" w:hAnsi="宋体" w:eastAsia="宋体" w:cs="宋体"/>
                <w:kern w:val="0"/>
                <w:sz w:val="24"/>
                <w:szCs w:val="24"/>
                <w:lang w:val="en-US" w:eastAsia="zh-CN" w:bidi="ar"/>
              </w:rPr>
              <w:t>供应商自2018年</w:t>
            </w:r>
            <w:r>
              <w:rPr>
                <w:rFonts w:hint="eastAsia" w:ascii="宋体" w:hAnsi="宋体" w:cs="宋体"/>
                <w:kern w:val="0"/>
                <w:sz w:val="24"/>
                <w:szCs w:val="24"/>
                <w:lang w:val="en-US" w:eastAsia="zh-CN" w:bidi="ar"/>
              </w:rPr>
              <w:t>11</w:t>
            </w:r>
            <w:r>
              <w:rPr>
                <w:rFonts w:hint="eastAsia" w:ascii="宋体" w:hAnsi="宋体" w:eastAsia="宋体" w:cs="宋体"/>
                <w:kern w:val="0"/>
                <w:sz w:val="24"/>
                <w:szCs w:val="24"/>
                <w:lang w:val="en-US" w:eastAsia="zh-CN" w:bidi="ar"/>
              </w:rPr>
              <w:t>月1日（以合同签订日期为准）至今有类似成交业绩，每提供1个有效业绩证明材料得</w:t>
            </w:r>
            <w:r>
              <w:rPr>
                <w:rFonts w:hint="eastAsia" w:ascii="宋体" w:hAnsi="宋体" w:cs="宋体"/>
                <w:kern w:val="0"/>
                <w:sz w:val="24"/>
                <w:szCs w:val="24"/>
                <w:lang w:val="en-US" w:eastAsia="zh-CN" w:bidi="ar"/>
              </w:rPr>
              <w:t>1</w:t>
            </w:r>
            <w:r>
              <w:rPr>
                <w:rFonts w:hint="eastAsia" w:ascii="宋体" w:hAnsi="宋体" w:eastAsia="宋体" w:cs="宋体"/>
                <w:kern w:val="0"/>
                <w:sz w:val="24"/>
                <w:szCs w:val="24"/>
                <w:lang w:val="en-US" w:eastAsia="zh-CN" w:bidi="ar"/>
              </w:rPr>
              <w:t>分，最高得</w:t>
            </w:r>
            <w:r>
              <w:rPr>
                <w:rFonts w:hint="eastAsia" w:ascii="宋体" w:hAnsi="宋体" w:cs="宋体"/>
                <w:kern w:val="0"/>
                <w:sz w:val="24"/>
                <w:szCs w:val="24"/>
                <w:lang w:val="en-US" w:eastAsia="zh-CN" w:bidi="ar"/>
              </w:rPr>
              <w:t>14</w:t>
            </w:r>
            <w:r>
              <w:rPr>
                <w:rFonts w:hint="eastAsia" w:ascii="宋体" w:hAnsi="宋体" w:eastAsia="宋体" w:cs="宋体"/>
                <w:kern w:val="0"/>
                <w:sz w:val="24"/>
                <w:szCs w:val="24"/>
                <w:lang w:val="en-US" w:eastAsia="zh-CN" w:bidi="ar"/>
              </w:rPr>
              <w:t>分。</w:t>
            </w:r>
          </w:p>
          <w:p>
            <w:pPr>
              <w:keepNext w:val="0"/>
              <w:keepLines w:val="0"/>
              <w:pageBreakBefore w:val="0"/>
              <w:kinsoku/>
              <w:wordWrap/>
              <w:overflowPunct/>
              <w:topLinePunct w:val="0"/>
              <w:autoSpaceDE/>
              <w:autoSpaceDN/>
              <w:bidi w:val="0"/>
              <w:snapToGrid/>
              <w:rPr>
                <w:rFonts w:hint="eastAsia" w:eastAsia="楷体_GB2312"/>
                <w:lang w:val="en-US" w:eastAsia="zh-Hans"/>
              </w:rPr>
            </w:pPr>
            <w:r>
              <w:rPr>
                <w:rFonts w:hint="eastAsia" w:ascii="宋体" w:hAnsi="宋体" w:eastAsia="宋体" w:cs="宋体"/>
                <w:kern w:val="0"/>
                <w:sz w:val="24"/>
                <w:szCs w:val="24"/>
                <w:lang w:val="en-US" w:eastAsia="zh-Hans" w:bidi="ar"/>
              </w:rPr>
              <w:t>注</w:t>
            </w:r>
            <w:r>
              <w:rPr>
                <w:rFonts w:hint="default" w:ascii="宋体" w:hAnsi="宋体" w:eastAsia="宋体" w:cs="宋体"/>
                <w:kern w:val="0"/>
                <w:sz w:val="24"/>
                <w:szCs w:val="24"/>
                <w:lang w:eastAsia="zh-Hans" w:bidi="ar"/>
              </w:rPr>
              <w:t>：</w:t>
            </w:r>
            <w:r>
              <w:rPr>
                <w:rFonts w:hint="eastAsia" w:ascii="宋体" w:hAnsi="宋体" w:eastAsia="宋体" w:cs="宋体"/>
                <w:kern w:val="0"/>
                <w:sz w:val="24"/>
                <w:szCs w:val="24"/>
                <w:lang w:val="en-US" w:eastAsia="zh-Hans" w:bidi="ar"/>
              </w:rPr>
              <w:t>须提供服务合同</w:t>
            </w:r>
            <w:r>
              <w:rPr>
                <w:rFonts w:hint="eastAsia" w:ascii="宋体" w:hAnsi="宋体" w:eastAsia="宋体" w:cs="宋体"/>
                <w:kern w:val="0"/>
                <w:sz w:val="24"/>
                <w:szCs w:val="24"/>
                <w:lang w:val="en-US" w:eastAsia="zh-CN" w:bidi="ar"/>
              </w:rPr>
              <w:t>和结算发票</w:t>
            </w:r>
            <w:r>
              <w:rPr>
                <w:rFonts w:hint="eastAsia" w:ascii="宋体" w:hAnsi="宋体" w:eastAsia="宋体" w:cs="宋体"/>
                <w:kern w:val="0"/>
                <w:sz w:val="24"/>
                <w:szCs w:val="24"/>
                <w:lang w:val="en-US" w:eastAsia="zh-Hans" w:bidi="ar"/>
              </w:rPr>
              <w:t>复印件</w:t>
            </w:r>
            <w:r>
              <w:rPr>
                <w:rFonts w:hint="eastAsia" w:ascii="宋体" w:hAnsi="宋体" w:eastAsia="宋体" w:cs="宋体"/>
                <w:kern w:val="0"/>
                <w:sz w:val="24"/>
                <w:szCs w:val="24"/>
                <w:lang w:val="en-US" w:eastAsia="zh-CN" w:bidi="ar"/>
              </w:rPr>
              <w:t>，</w:t>
            </w:r>
            <w:r>
              <w:rPr>
                <w:rFonts w:hint="eastAsia" w:ascii="宋体" w:hAnsi="宋体" w:cs="宋体"/>
                <w:kern w:val="0"/>
                <w:sz w:val="24"/>
                <w:szCs w:val="24"/>
                <w:lang w:val="en-US" w:eastAsia="zh-CN" w:bidi="ar"/>
              </w:rPr>
              <w:t>未提供</w:t>
            </w:r>
            <w:r>
              <w:rPr>
                <w:rFonts w:hint="eastAsia" w:ascii="宋体" w:hAnsi="宋体" w:eastAsia="宋体" w:cs="宋体"/>
                <w:kern w:val="0"/>
                <w:sz w:val="24"/>
                <w:szCs w:val="24"/>
                <w:lang w:val="en-US" w:eastAsia="zh-CN" w:bidi="ar"/>
              </w:rPr>
              <w:t>服务合同的附情况说明</w:t>
            </w:r>
            <w:r>
              <w:rPr>
                <w:rFonts w:hint="eastAsia" w:ascii="宋体" w:hAnsi="宋体" w:cs="宋体"/>
                <w:kern w:val="0"/>
                <w:sz w:val="24"/>
                <w:szCs w:val="24"/>
                <w:lang w:val="en-US" w:eastAsia="zh-CN" w:bidi="ar"/>
              </w:rPr>
              <w:t>，未提供合同（或情况说明）、</w:t>
            </w:r>
            <w:r>
              <w:rPr>
                <w:rFonts w:hint="eastAsia" w:ascii="宋体" w:hAnsi="宋体" w:eastAsia="宋体" w:cs="宋体"/>
                <w:kern w:val="0"/>
                <w:sz w:val="24"/>
                <w:szCs w:val="24"/>
                <w:lang w:val="en-US" w:eastAsia="zh-CN" w:bidi="ar"/>
              </w:rPr>
              <w:t>发票不得分</w:t>
            </w:r>
            <w:r>
              <w:rPr>
                <w:rFonts w:hint="default" w:ascii="宋体" w:hAnsi="宋体" w:eastAsia="宋体" w:cs="宋体"/>
                <w:kern w:val="0"/>
                <w:sz w:val="24"/>
                <w:szCs w:val="24"/>
                <w:lang w:eastAsia="zh-Hans" w:bidi="ar"/>
              </w:rPr>
              <w:t>。</w:t>
            </w:r>
          </w:p>
        </w:tc>
      </w:tr>
      <w:tr>
        <w:tblPrEx>
          <w:tblCellMar>
            <w:top w:w="0" w:type="dxa"/>
            <w:left w:w="0" w:type="dxa"/>
            <w:bottom w:w="0" w:type="dxa"/>
            <w:right w:w="0" w:type="dxa"/>
          </w:tblCellMar>
        </w:tblPrEx>
        <w:trPr>
          <w:trHeight w:val="1906" w:hRule="atLeast"/>
          <w:jc w:val="center"/>
        </w:trPr>
        <w:tc>
          <w:tcPr>
            <w:tcW w:w="649"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jc w:val="center"/>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2</w:t>
            </w:r>
          </w:p>
        </w:tc>
        <w:tc>
          <w:tcPr>
            <w:tcW w:w="1403"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获奖情况</w:t>
            </w:r>
          </w:p>
        </w:tc>
        <w:tc>
          <w:tcPr>
            <w:tcW w:w="720"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20分</w:t>
            </w:r>
          </w:p>
        </w:tc>
        <w:tc>
          <w:tcPr>
            <w:tcW w:w="649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Hans" w:bidi="ar"/>
              </w:rPr>
              <w:t>投标</w:t>
            </w:r>
            <w:r>
              <w:rPr>
                <w:rFonts w:hint="eastAsia" w:ascii="宋体" w:hAnsi="宋体" w:eastAsia="宋体" w:cs="宋体"/>
                <w:kern w:val="0"/>
                <w:sz w:val="24"/>
                <w:szCs w:val="24"/>
                <w:lang w:val="en-US" w:eastAsia="zh-CN" w:bidi="ar"/>
              </w:rPr>
              <w:t>供应商自2018年</w:t>
            </w:r>
            <w:r>
              <w:rPr>
                <w:rFonts w:hint="eastAsia" w:ascii="宋体" w:hAnsi="宋体" w:cs="宋体"/>
                <w:kern w:val="0"/>
                <w:sz w:val="24"/>
                <w:szCs w:val="24"/>
                <w:lang w:val="en-US" w:eastAsia="zh-CN" w:bidi="ar"/>
              </w:rPr>
              <w:t>11</w:t>
            </w:r>
            <w:r>
              <w:rPr>
                <w:rFonts w:hint="eastAsia" w:ascii="宋体" w:hAnsi="宋体" w:eastAsia="宋体" w:cs="宋体"/>
                <w:kern w:val="0"/>
                <w:sz w:val="24"/>
                <w:szCs w:val="24"/>
                <w:lang w:val="en-US" w:eastAsia="zh-CN" w:bidi="ar"/>
              </w:rPr>
              <w:t>月1日（以</w:t>
            </w:r>
            <w:r>
              <w:rPr>
                <w:rFonts w:hint="eastAsia" w:ascii="宋体" w:hAnsi="宋体" w:cs="宋体"/>
                <w:kern w:val="0"/>
                <w:sz w:val="24"/>
                <w:szCs w:val="24"/>
                <w:lang w:val="en-US" w:eastAsia="zh-CN" w:bidi="ar"/>
              </w:rPr>
              <w:t>演出时间</w:t>
            </w:r>
            <w:r>
              <w:rPr>
                <w:rFonts w:hint="eastAsia" w:ascii="宋体" w:hAnsi="宋体" w:eastAsia="宋体" w:cs="宋体"/>
                <w:kern w:val="0"/>
                <w:sz w:val="24"/>
                <w:szCs w:val="24"/>
                <w:lang w:val="en-US" w:eastAsia="zh-CN" w:bidi="ar"/>
              </w:rPr>
              <w:t>为准）至今，演出的节目获得过国家级及以上奖项的每有一个得4分，最多得20分；获得过省级奖项的每有一个得2分，最多得10分；获得过市级奖项的每有一个得1分，最多得5分。同一节目不重复得分。</w:t>
            </w:r>
          </w:p>
          <w:p>
            <w:pPr>
              <w:keepNext w:val="0"/>
              <w:keepLines w:val="0"/>
              <w:pageBreakBefore w:val="0"/>
              <w:kinsoku/>
              <w:wordWrap/>
              <w:overflowPunct/>
              <w:topLinePunct w:val="0"/>
              <w:autoSpaceDE/>
              <w:autoSpaceDN/>
              <w:bidi w:val="0"/>
              <w:snapToGrid/>
              <w:rPr>
                <w:rFonts w:hint="eastAsia" w:ascii="宋体" w:hAnsi="宋体" w:eastAsia="宋体" w:cs="宋体"/>
                <w:kern w:val="0"/>
                <w:sz w:val="24"/>
                <w:szCs w:val="24"/>
                <w:lang w:val="en-US" w:eastAsia="zh-Hans" w:bidi="ar"/>
              </w:rPr>
            </w:pPr>
            <w:r>
              <w:rPr>
                <w:rFonts w:hint="eastAsia" w:ascii="宋体" w:hAnsi="宋体" w:eastAsia="宋体" w:cs="宋体"/>
                <w:kern w:val="0"/>
                <w:sz w:val="24"/>
                <w:szCs w:val="24"/>
                <w:lang w:val="en-US" w:eastAsia="zh-CN" w:bidi="ar"/>
              </w:rPr>
              <w:t>需提供获奖的相关证明材料</w:t>
            </w:r>
            <w:r>
              <w:rPr>
                <w:rFonts w:hint="eastAsia" w:ascii="宋体" w:hAnsi="宋体" w:cs="宋体"/>
                <w:kern w:val="0"/>
                <w:sz w:val="24"/>
                <w:szCs w:val="24"/>
                <w:lang w:val="en-US" w:eastAsia="zh-CN" w:bidi="ar"/>
              </w:rPr>
              <w:t>，</w:t>
            </w:r>
            <w:r>
              <w:rPr>
                <w:rFonts w:hint="eastAsia" w:ascii="宋体" w:hAnsi="宋体" w:eastAsia="宋体" w:cs="宋体"/>
                <w:kern w:val="0"/>
                <w:sz w:val="24"/>
                <w:szCs w:val="24"/>
                <w:lang w:val="en-US" w:eastAsia="zh-CN" w:bidi="ar"/>
              </w:rPr>
              <w:t>原件备查。</w:t>
            </w:r>
          </w:p>
        </w:tc>
      </w:tr>
      <w:tr>
        <w:tblPrEx>
          <w:tblCellMar>
            <w:top w:w="0" w:type="dxa"/>
            <w:left w:w="0" w:type="dxa"/>
            <w:bottom w:w="0" w:type="dxa"/>
            <w:right w:w="0" w:type="dxa"/>
          </w:tblCellMar>
        </w:tblPrEx>
        <w:trPr>
          <w:trHeight w:val="1675" w:hRule="atLeast"/>
          <w:jc w:val="center"/>
        </w:trPr>
        <w:tc>
          <w:tcPr>
            <w:tcW w:w="649"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3</w:t>
            </w:r>
          </w:p>
        </w:tc>
        <w:tc>
          <w:tcPr>
            <w:tcW w:w="1403"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jc w:val="center"/>
              <w:textAlignment w:val="center"/>
              <w:rPr>
                <w:rFonts w:hint="eastAsia" w:ascii="宋体" w:hAnsi="宋体" w:eastAsia="宋体" w:cs="宋体"/>
                <w:color w:val="000000"/>
                <w:kern w:val="0"/>
                <w:sz w:val="24"/>
                <w:szCs w:val="24"/>
                <w:lang w:val="en-US" w:eastAsia="zh-Hans" w:bidi="ar"/>
              </w:rPr>
            </w:pPr>
            <w:r>
              <w:rPr>
                <w:rFonts w:hint="eastAsia" w:ascii="宋体" w:hAnsi="宋体" w:eastAsia="宋体" w:cs="宋体"/>
                <w:color w:val="000000"/>
                <w:kern w:val="0"/>
                <w:sz w:val="24"/>
                <w:szCs w:val="24"/>
                <w:lang w:val="en-US" w:eastAsia="zh-CN" w:bidi="ar"/>
              </w:rPr>
              <w:t>演员综合素质</w:t>
            </w:r>
          </w:p>
        </w:tc>
        <w:tc>
          <w:tcPr>
            <w:tcW w:w="720"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jc w:val="center"/>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27</w:t>
            </w:r>
            <w:r>
              <w:rPr>
                <w:rFonts w:hint="eastAsia" w:ascii="宋体" w:hAnsi="宋体" w:eastAsia="宋体" w:cs="宋体"/>
                <w:color w:val="000000"/>
                <w:kern w:val="0"/>
                <w:sz w:val="24"/>
                <w:szCs w:val="24"/>
                <w:lang w:val="en-US" w:eastAsia="zh-CN" w:bidi="ar"/>
              </w:rPr>
              <w:t>分</w:t>
            </w:r>
          </w:p>
        </w:tc>
        <w:tc>
          <w:tcPr>
            <w:tcW w:w="649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（1）演出配备的演员中，</w:t>
            </w:r>
            <w:r>
              <w:rPr>
                <w:rFonts w:hint="eastAsia" w:ascii="宋体" w:hAnsi="宋体" w:cs="宋体"/>
                <w:kern w:val="0"/>
                <w:sz w:val="24"/>
                <w:szCs w:val="24"/>
                <w:lang w:val="en-US" w:eastAsia="zh-CN" w:bidi="ar"/>
              </w:rPr>
              <w:t>有获得高级职称证书（文艺相关类别）的，每有一人得10分；有获得中级职称证书（文艺相关类别）的，每有一人得5分；有获得初级职称证书（文艺相关类别）的，每有一人得2分；本小项最多得20分。须</w:t>
            </w:r>
            <w:r>
              <w:rPr>
                <w:rFonts w:hint="eastAsia" w:ascii="宋体" w:hAnsi="宋体" w:eastAsia="宋体" w:cs="宋体"/>
                <w:kern w:val="0"/>
                <w:sz w:val="24"/>
                <w:szCs w:val="24"/>
                <w:lang w:val="en-US" w:eastAsia="zh-CN" w:bidi="ar"/>
              </w:rPr>
              <w:t>提供演员的</w:t>
            </w:r>
            <w:r>
              <w:rPr>
                <w:rFonts w:hint="eastAsia" w:ascii="宋体" w:hAnsi="宋体" w:cs="宋体"/>
                <w:kern w:val="0"/>
                <w:sz w:val="24"/>
                <w:szCs w:val="24"/>
                <w:lang w:val="en-US" w:eastAsia="zh-CN" w:bidi="ar"/>
              </w:rPr>
              <w:t>职称</w:t>
            </w:r>
            <w:r>
              <w:rPr>
                <w:rFonts w:hint="eastAsia" w:ascii="宋体" w:hAnsi="宋体" w:eastAsia="宋体" w:cs="宋体"/>
                <w:kern w:val="0"/>
                <w:sz w:val="24"/>
                <w:szCs w:val="24"/>
                <w:lang w:val="en-US" w:eastAsia="zh-CN" w:bidi="ar"/>
              </w:rPr>
              <w:t>证书</w:t>
            </w:r>
            <w:r>
              <w:rPr>
                <w:rFonts w:hint="eastAsia" w:ascii="宋体" w:hAnsi="宋体" w:cs="宋体"/>
                <w:kern w:val="0"/>
                <w:sz w:val="24"/>
                <w:szCs w:val="24"/>
                <w:lang w:val="en-US" w:eastAsia="zh-CN" w:bidi="ar"/>
              </w:rPr>
              <w:t>，</w:t>
            </w:r>
            <w:r>
              <w:rPr>
                <w:rFonts w:hint="eastAsia" w:ascii="宋体" w:hAnsi="宋体" w:eastAsia="宋体" w:cs="宋体"/>
                <w:kern w:val="0"/>
                <w:sz w:val="24"/>
                <w:szCs w:val="24"/>
                <w:lang w:val="en-US" w:eastAsia="zh-CN" w:bidi="ar"/>
              </w:rPr>
              <w:t>原件备查。</w:t>
            </w:r>
          </w:p>
          <w:p>
            <w:pPr>
              <w:keepNext w:val="0"/>
              <w:keepLines w:val="0"/>
              <w:pageBreakBefore w:val="0"/>
              <w:kinsoku/>
              <w:wordWrap/>
              <w:overflowPunct/>
              <w:topLinePunct w:val="0"/>
              <w:autoSpaceDE/>
              <w:autoSpaceDN/>
              <w:bidi w:val="0"/>
              <w:snapToGrid/>
              <w:rPr>
                <w:rFonts w:hint="eastAsia" w:ascii="宋体" w:hAnsi="宋体" w:eastAsia="宋体" w:cs="宋体"/>
                <w:kern w:val="0"/>
                <w:sz w:val="24"/>
                <w:szCs w:val="24"/>
                <w:lang w:val="en-US" w:eastAsia="zh-Hans" w:bidi="ar"/>
              </w:rPr>
            </w:pPr>
            <w:r>
              <w:rPr>
                <w:rFonts w:hint="eastAsia" w:ascii="宋体" w:hAnsi="宋体" w:eastAsia="宋体" w:cs="宋体"/>
                <w:kern w:val="0"/>
                <w:sz w:val="24"/>
                <w:szCs w:val="24"/>
                <w:lang w:val="en-US" w:eastAsia="zh-CN" w:bidi="ar"/>
              </w:rPr>
              <w:t>（</w:t>
            </w:r>
            <w:r>
              <w:rPr>
                <w:rFonts w:hint="eastAsia" w:ascii="宋体" w:hAnsi="宋体" w:cs="宋体"/>
                <w:kern w:val="0"/>
                <w:sz w:val="24"/>
                <w:szCs w:val="24"/>
                <w:lang w:val="en-US" w:eastAsia="zh-CN" w:bidi="ar"/>
              </w:rPr>
              <w:t>2</w:t>
            </w:r>
            <w:r>
              <w:rPr>
                <w:rFonts w:hint="eastAsia" w:ascii="宋体" w:hAnsi="宋体" w:eastAsia="宋体" w:cs="宋体"/>
                <w:kern w:val="0"/>
                <w:sz w:val="24"/>
                <w:szCs w:val="24"/>
                <w:lang w:val="en-US" w:eastAsia="zh-CN" w:bidi="ar"/>
              </w:rPr>
              <w:t>）演出配备的演员中，有获得过宣传部、文联、</w:t>
            </w:r>
            <w:r>
              <w:rPr>
                <w:rFonts w:hint="eastAsia" w:ascii="宋体" w:hAnsi="宋体" w:cs="宋体"/>
                <w:kern w:val="0"/>
                <w:sz w:val="24"/>
                <w:szCs w:val="24"/>
                <w:lang w:val="en-US" w:eastAsia="zh-CN" w:bidi="ar"/>
              </w:rPr>
              <w:t>文旅局</w:t>
            </w:r>
            <w:r>
              <w:rPr>
                <w:rFonts w:hint="eastAsia" w:ascii="宋体" w:hAnsi="宋体" w:eastAsia="宋体" w:cs="宋体"/>
                <w:kern w:val="0"/>
                <w:sz w:val="24"/>
                <w:szCs w:val="24"/>
                <w:lang w:val="en-US" w:eastAsia="zh-CN" w:bidi="ar"/>
              </w:rPr>
              <w:t>等文化相关指导部门表彰的，每有一人得</w:t>
            </w:r>
            <w:r>
              <w:rPr>
                <w:rFonts w:hint="eastAsia" w:ascii="宋体" w:hAnsi="宋体" w:cs="宋体"/>
                <w:kern w:val="0"/>
                <w:sz w:val="24"/>
                <w:szCs w:val="24"/>
                <w:lang w:val="en-US" w:eastAsia="zh-CN" w:bidi="ar"/>
              </w:rPr>
              <w:t>3.5</w:t>
            </w:r>
            <w:r>
              <w:rPr>
                <w:rFonts w:hint="eastAsia" w:ascii="宋体" w:hAnsi="宋体" w:eastAsia="宋体" w:cs="宋体"/>
                <w:kern w:val="0"/>
                <w:sz w:val="24"/>
                <w:szCs w:val="24"/>
                <w:lang w:val="en-US" w:eastAsia="zh-CN" w:bidi="ar"/>
              </w:rPr>
              <w:t>分，本小项最多得</w:t>
            </w:r>
            <w:r>
              <w:rPr>
                <w:rFonts w:hint="eastAsia" w:ascii="宋体" w:hAnsi="宋体" w:cs="宋体"/>
                <w:kern w:val="0"/>
                <w:sz w:val="24"/>
                <w:szCs w:val="24"/>
                <w:lang w:val="en-US" w:eastAsia="zh-CN" w:bidi="ar"/>
              </w:rPr>
              <w:t>7</w:t>
            </w:r>
            <w:r>
              <w:rPr>
                <w:rFonts w:hint="eastAsia" w:ascii="宋体" w:hAnsi="宋体" w:eastAsia="宋体" w:cs="宋体"/>
                <w:kern w:val="0"/>
                <w:sz w:val="24"/>
                <w:szCs w:val="24"/>
                <w:lang w:val="en-US" w:eastAsia="zh-CN" w:bidi="ar"/>
              </w:rPr>
              <w:t>分。</w:t>
            </w:r>
            <w:r>
              <w:rPr>
                <w:rFonts w:hint="eastAsia" w:ascii="宋体" w:hAnsi="宋体" w:cs="宋体"/>
                <w:kern w:val="0"/>
                <w:sz w:val="24"/>
                <w:szCs w:val="24"/>
                <w:lang w:val="en-US" w:eastAsia="zh-CN" w:bidi="ar"/>
              </w:rPr>
              <w:t>须</w:t>
            </w:r>
            <w:r>
              <w:rPr>
                <w:rFonts w:hint="eastAsia" w:ascii="宋体" w:hAnsi="宋体" w:eastAsia="宋体" w:cs="宋体"/>
                <w:kern w:val="0"/>
                <w:sz w:val="24"/>
                <w:szCs w:val="24"/>
                <w:lang w:val="en-US" w:eastAsia="zh-CN" w:bidi="ar"/>
              </w:rPr>
              <w:t>提供相关证明材料</w:t>
            </w:r>
            <w:r>
              <w:rPr>
                <w:rFonts w:hint="eastAsia" w:ascii="宋体" w:hAnsi="宋体" w:cs="宋体"/>
                <w:kern w:val="0"/>
                <w:sz w:val="24"/>
                <w:szCs w:val="24"/>
                <w:lang w:val="en-US" w:eastAsia="zh-CN" w:bidi="ar"/>
              </w:rPr>
              <w:t>，</w:t>
            </w:r>
            <w:r>
              <w:rPr>
                <w:rFonts w:hint="eastAsia" w:ascii="宋体" w:hAnsi="宋体" w:eastAsia="宋体" w:cs="宋体"/>
                <w:kern w:val="0"/>
                <w:sz w:val="24"/>
                <w:szCs w:val="24"/>
                <w:lang w:val="en-US" w:eastAsia="zh-CN" w:bidi="ar"/>
              </w:rPr>
              <w:t>原件备查，否则不得分。</w:t>
            </w:r>
          </w:p>
        </w:tc>
      </w:tr>
      <w:tr>
        <w:tblPrEx>
          <w:tblCellMar>
            <w:top w:w="0" w:type="dxa"/>
            <w:left w:w="0" w:type="dxa"/>
            <w:bottom w:w="0" w:type="dxa"/>
            <w:right w:w="0" w:type="dxa"/>
          </w:tblCellMar>
        </w:tblPrEx>
        <w:trPr>
          <w:trHeight w:val="1360" w:hRule="atLeast"/>
          <w:jc w:val="center"/>
        </w:trPr>
        <w:tc>
          <w:tcPr>
            <w:tcW w:w="649"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4</w:t>
            </w:r>
          </w:p>
        </w:tc>
        <w:tc>
          <w:tcPr>
            <w:tcW w:w="1403"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jc w:val="center"/>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现场陈述</w:t>
            </w:r>
          </w:p>
        </w:tc>
        <w:tc>
          <w:tcPr>
            <w:tcW w:w="720"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napToGrid/>
              <w:jc w:val="center"/>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39</w:t>
            </w:r>
            <w:r>
              <w:rPr>
                <w:rFonts w:hint="eastAsia" w:ascii="宋体" w:hAnsi="宋体" w:eastAsia="宋体" w:cs="宋体"/>
                <w:color w:val="000000"/>
                <w:kern w:val="0"/>
                <w:sz w:val="24"/>
                <w:szCs w:val="24"/>
                <w:lang w:val="en-US" w:eastAsia="zh-CN" w:bidi="ar"/>
              </w:rPr>
              <w:t>分</w:t>
            </w:r>
          </w:p>
        </w:tc>
        <w:tc>
          <w:tcPr>
            <w:tcW w:w="649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rPr>
                <w:rFonts w:hint="default"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每名投标供应商陈述时间为10分钟。陈述内容包含公司简介、工作业绩、获奖情况等。</w:t>
            </w:r>
          </w:p>
          <w:p>
            <w:pPr>
              <w:keepNext w:val="0"/>
              <w:keepLines w:val="0"/>
              <w:pageBreakBefore w:val="0"/>
              <w:kinsoku/>
              <w:wordWrap/>
              <w:overflowPunct/>
              <w:topLinePunct w:val="0"/>
              <w:autoSpaceDE/>
              <w:autoSpaceDN/>
              <w:bidi w:val="0"/>
              <w:snapToGrid/>
              <w:rPr>
                <w:rFonts w:hint="eastAsia" w:ascii="宋体" w:hAnsi="宋体" w:eastAsia="宋体" w:cs="宋体"/>
                <w:kern w:val="0"/>
                <w:sz w:val="24"/>
                <w:szCs w:val="24"/>
                <w:lang w:val="en-US" w:eastAsia="zh-Hans" w:bidi="ar"/>
              </w:rPr>
            </w:pPr>
            <w:r>
              <w:rPr>
                <w:rFonts w:hint="eastAsia" w:ascii="宋体" w:hAnsi="宋体" w:cs="宋体"/>
                <w:kern w:val="0"/>
                <w:sz w:val="24"/>
                <w:szCs w:val="24"/>
                <w:lang w:val="en-US" w:eastAsia="zh-CN" w:bidi="ar"/>
              </w:rPr>
              <w:t>语言简洁明了内容表达清晰，完全符合要求</w:t>
            </w:r>
            <w:r>
              <w:rPr>
                <w:rFonts w:hint="eastAsia" w:ascii="宋体" w:hAnsi="宋体" w:eastAsia="宋体" w:cs="宋体"/>
                <w:kern w:val="0"/>
                <w:sz w:val="24"/>
                <w:szCs w:val="24"/>
                <w:lang w:val="en-US" w:eastAsia="zh-Hans" w:bidi="ar"/>
              </w:rPr>
              <w:t>得</w:t>
            </w:r>
            <w:r>
              <w:rPr>
                <w:rFonts w:hint="eastAsia" w:ascii="宋体" w:hAnsi="宋体" w:cs="宋体"/>
                <w:kern w:val="0"/>
                <w:sz w:val="24"/>
                <w:szCs w:val="24"/>
                <w:lang w:val="en-US" w:eastAsia="zh-CN" w:bidi="ar"/>
              </w:rPr>
              <w:t>27-39</w:t>
            </w:r>
            <w:r>
              <w:rPr>
                <w:rFonts w:hint="eastAsia" w:ascii="宋体" w:hAnsi="宋体" w:eastAsia="宋体" w:cs="宋体"/>
                <w:kern w:val="0"/>
                <w:sz w:val="24"/>
                <w:szCs w:val="24"/>
                <w:lang w:val="en-US" w:eastAsia="zh-Hans" w:bidi="ar"/>
              </w:rPr>
              <w:t>分</w:t>
            </w:r>
            <w:r>
              <w:rPr>
                <w:rFonts w:hint="default" w:ascii="宋体" w:hAnsi="宋体" w:eastAsia="宋体" w:cs="宋体"/>
                <w:kern w:val="0"/>
                <w:sz w:val="24"/>
                <w:szCs w:val="24"/>
                <w:lang w:eastAsia="zh-Hans" w:bidi="ar"/>
              </w:rPr>
              <w:t>，</w:t>
            </w:r>
            <w:r>
              <w:rPr>
                <w:rFonts w:hint="eastAsia" w:ascii="宋体" w:hAnsi="宋体" w:eastAsia="宋体" w:cs="宋体"/>
                <w:kern w:val="0"/>
                <w:sz w:val="24"/>
                <w:szCs w:val="24"/>
                <w:lang w:val="en-US" w:eastAsia="zh-Hans" w:bidi="ar"/>
              </w:rPr>
              <w:t>较好得</w:t>
            </w:r>
            <w:r>
              <w:rPr>
                <w:rFonts w:hint="eastAsia" w:ascii="宋体" w:hAnsi="宋体" w:cs="宋体"/>
                <w:kern w:val="0"/>
                <w:sz w:val="24"/>
                <w:szCs w:val="24"/>
                <w:lang w:val="en-US" w:eastAsia="zh-CN" w:bidi="ar"/>
              </w:rPr>
              <w:t>14-26</w:t>
            </w:r>
            <w:r>
              <w:rPr>
                <w:rFonts w:hint="eastAsia" w:ascii="宋体" w:hAnsi="宋体" w:eastAsia="宋体" w:cs="宋体"/>
                <w:kern w:val="0"/>
                <w:sz w:val="24"/>
                <w:szCs w:val="24"/>
                <w:lang w:val="en-US" w:eastAsia="zh-Hans" w:bidi="ar"/>
              </w:rPr>
              <w:t>分</w:t>
            </w:r>
            <w:r>
              <w:rPr>
                <w:rFonts w:hint="default" w:ascii="宋体" w:hAnsi="宋体" w:eastAsia="宋体" w:cs="宋体"/>
                <w:kern w:val="0"/>
                <w:sz w:val="24"/>
                <w:szCs w:val="24"/>
                <w:lang w:eastAsia="zh-Hans" w:bidi="ar"/>
              </w:rPr>
              <w:t>，</w:t>
            </w:r>
            <w:r>
              <w:rPr>
                <w:rFonts w:hint="eastAsia" w:ascii="宋体" w:hAnsi="宋体" w:eastAsia="宋体" w:cs="宋体"/>
                <w:kern w:val="0"/>
                <w:sz w:val="24"/>
                <w:szCs w:val="24"/>
                <w:lang w:val="en-US" w:eastAsia="zh-Hans" w:bidi="ar"/>
              </w:rPr>
              <w:t>一般</w:t>
            </w:r>
            <w:r>
              <w:rPr>
                <w:rFonts w:hint="eastAsia" w:ascii="宋体" w:hAnsi="宋体" w:cs="宋体"/>
                <w:kern w:val="0"/>
                <w:sz w:val="24"/>
                <w:szCs w:val="24"/>
                <w:lang w:val="en-US" w:eastAsia="zh-CN" w:bidi="ar"/>
              </w:rPr>
              <w:t>符合</w:t>
            </w:r>
            <w:r>
              <w:rPr>
                <w:rFonts w:hint="eastAsia" w:ascii="宋体" w:hAnsi="宋体" w:eastAsia="宋体" w:cs="宋体"/>
                <w:kern w:val="0"/>
                <w:sz w:val="24"/>
                <w:szCs w:val="24"/>
                <w:lang w:val="en-US" w:eastAsia="zh-Hans" w:bidi="ar"/>
              </w:rPr>
              <w:t>得</w:t>
            </w:r>
            <w:r>
              <w:rPr>
                <w:rFonts w:hint="default" w:ascii="宋体" w:hAnsi="宋体" w:eastAsia="宋体" w:cs="宋体"/>
                <w:kern w:val="0"/>
                <w:sz w:val="24"/>
                <w:szCs w:val="24"/>
                <w:lang w:eastAsia="zh-Hans" w:bidi="ar"/>
              </w:rPr>
              <w:t>1-</w:t>
            </w:r>
            <w:r>
              <w:rPr>
                <w:rFonts w:hint="eastAsia" w:ascii="宋体" w:hAnsi="宋体" w:cs="宋体"/>
                <w:kern w:val="0"/>
                <w:sz w:val="24"/>
                <w:szCs w:val="24"/>
                <w:lang w:val="en-US" w:eastAsia="zh-CN" w:bidi="ar"/>
              </w:rPr>
              <w:t>13</w:t>
            </w:r>
            <w:r>
              <w:rPr>
                <w:rFonts w:hint="eastAsia" w:ascii="宋体" w:hAnsi="宋体" w:eastAsia="宋体" w:cs="宋体"/>
                <w:kern w:val="0"/>
                <w:sz w:val="24"/>
                <w:szCs w:val="24"/>
                <w:lang w:val="en-US" w:eastAsia="zh-Hans" w:bidi="ar"/>
              </w:rPr>
              <w:t>分</w:t>
            </w:r>
            <w:r>
              <w:rPr>
                <w:rFonts w:hint="eastAsia" w:ascii="宋体" w:hAnsi="宋体" w:cs="宋体"/>
                <w:kern w:val="0"/>
                <w:sz w:val="24"/>
                <w:szCs w:val="24"/>
                <w:lang w:val="en-US" w:eastAsia="zh-CN" w:bidi="ar"/>
              </w:rPr>
              <w:t>，未陈述不得分</w:t>
            </w:r>
            <w:r>
              <w:rPr>
                <w:rFonts w:hint="default" w:ascii="宋体" w:hAnsi="宋体" w:eastAsia="宋体" w:cs="宋体"/>
                <w:kern w:val="0"/>
                <w:sz w:val="24"/>
                <w:szCs w:val="24"/>
                <w:lang w:eastAsia="zh-Hans" w:bidi="ar"/>
              </w:rPr>
              <w:t>。</w:t>
            </w:r>
          </w:p>
        </w:tc>
      </w:tr>
    </w:tbl>
    <w:p>
      <w:pPr>
        <w:keepNext w:val="0"/>
        <w:keepLines w:val="0"/>
        <w:pageBreakBefore w:val="0"/>
        <w:widowControl w:val="0"/>
        <w:kinsoku/>
        <w:wordWrap/>
        <w:overflowPunct/>
        <w:topLinePunct w:val="0"/>
        <w:autoSpaceDE/>
        <w:autoSpaceDN/>
        <w:bidi w:val="0"/>
        <w:snapToGrid w:val="0"/>
        <w:spacing w:line="480" w:lineRule="exact"/>
        <w:contextualSpacing/>
        <w:textAlignment w:val="auto"/>
        <w:outlineLvl w:val="1"/>
        <w:rPr>
          <w:rFonts w:ascii="宋体" w:hAnsi="宋体" w:cs="宋体"/>
          <w:sz w:val="24"/>
          <w:szCs w:val="24"/>
        </w:rPr>
      </w:pPr>
      <w:r>
        <w:rPr>
          <w:rFonts w:hint="eastAsia" w:ascii="宋体" w:hAnsi="宋体" w:cs="宋体"/>
          <w:sz w:val="24"/>
          <w:szCs w:val="24"/>
        </w:rPr>
        <w:t>注：1、供应商应按上表要求提供相关证明文件并加盖公章。</w:t>
      </w:r>
    </w:p>
    <w:p>
      <w:pPr>
        <w:keepNext w:val="0"/>
        <w:keepLines w:val="0"/>
        <w:pageBreakBefore w:val="0"/>
        <w:widowControl w:val="0"/>
        <w:kinsoku/>
        <w:wordWrap/>
        <w:overflowPunct/>
        <w:topLinePunct w:val="0"/>
        <w:autoSpaceDE/>
        <w:autoSpaceDN/>
        <w:bidi w:val="0"/>
        <w:snapToGrid w:val="0"/>
        <w:spacing w:line="480" w:lineRule="exact"/>
        <w:ind w:firstLine="480" w:firstLineChars="200"/>
        <w:contextualSpacing/>
        <w:textAlignment w:val="auto"/>
        <w:outlineLvl w:val="1"/>
        <w:rPr>
          <w:rFonts w:ascii="宋体" w:hAnsi="宋体" w:cs="宋体"/>
          <w:b/>
          <w:bCs/>
          <w:sz w:val="24"/>
          <w:szCs w:val="24"/>
        </w:rPr>
      </w:pPr>
      <w:r>
        <w:rPr>
          <w:rFonts w:hint="eastAsia" w:ascii="宋体" w:hAnsi="宋体" w:cs="宋体"/>
          <w:sz w:val="24"/>
          <w:szCs w:val="24"/>
        </w:rPr>
        <w:t>2、以上打分项设得分上限，评委依据招标文件载明的方法评分，评分四舍五入精确到小数点后两位。</w:t>
      </w:r>
    </w:p>
    <w:p>
      <w:pPr>
        <w:snapToGrid w:val="0"/>
        <w:spacing w:line="480" w:lineRule="exact"/>
        <w:ind w:firstLine="482" w:firstLineChars="200"/>
        <w:outlineLvl w:val="1"/>
        <w:rPr>
          <w:rFonts w:ascii="宋体"/>
          <w:b/>
          <w:bCs/>
          <w:sz w:val="24"/>
          <w:szCs w:val="24"/>
        </w:rPr>
      </w:pPr>
      <w:r>
        <w:rPr>
          <w:rFonts w:hint="eastAsia" w:ascii="宋体" w:hAnsi="宋体" w:cs="宋体"/>
          <w:b/>
          <w:bCs/>
          <w:sz w:val="24"/>
          <w:szCs w:val="24"/>
        </w:rPr>
        <w:t>六、出现下列情形之一的，作无效响应处理</w:t>
      </w:r>
    </w:p>
    <w:p>
      <w:pPr>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、响应文件未按磋商文件要求装订、密封、签署、盖章及主要资料不齐全的；</w:t>
      </w:r>
    </w:p>
    <w:p>
      <w:pPr>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、响应文件的资料有虚报或者谎报的；</w:t>
      </w:r>
    </w:p>
    <w:p>
      <w:pPr>
        <w:snapToGrid w:val="0"/>
        <w:spacing w:line="480" w:lineRule="exact"/>
        <w:ind w:firstLine="480" w:firstLineChars="200"/>
        <w:rPr>
          <w:rFonts w:ascii="宋体"/>
          <w:sz w:val="24"/>
          <w:szCs w:val="24"/>
        </w:rPr>
      </w:pPr>
      <w:r>
        <w:rPr>
          <w:rFonts w:hint="eastAsia" w:ascii="宋体" w:hAnsi="宋体" w:cs="宋体"/>
          <w:sz w:val="24"/>
          <w:szCs w:val="24"/>
          <w:lang w:val="en-US" w:eastAsia="zh-CN"/>
        </w:rPr>
        <w:t>3</w:t>
      </w:r>
      <w:r>
        <w:rPr>
          <w:rFonts w:hint="eastAsia" w:ascii="宋体" w:hAnsi="宋体" w:cs="宋体"/>
          <w:sz w:val="24"/>
          <w:szCs w:val="24"/>
        </w:rPr>
        <w:t>、不具备磋商文件规定的资格要求的；</w:t>
      </w:r>
    </w:p>
    <w:p>
      <w:pPr>
        <w:snapToGrid w:val="0"/>
        <w:spacing w:line="480" w:lineRule="exact"/>
        <w:ind w:firstLine="480" w:firstLineChars="200"/>
        <w:rPr>
          <w:rFonts w:ascii="宋体"/>
          <w:sz w:val="24"/>
          <w:szCs w:val="24"/>
        </w:rPr>
      </w:pPr>
      <w:r>
        <w:rPr>
          <w:rFonts w:hint="eastAsia" w:ascii="宋体" w:hAnsi="宋体" w:cs="宋体"/>
          <w:sz w:val="24"/>
          <w:szCs w:val="24"/>
          <w:lang w:val="en-US" w:eastAsia="zh-CN"/>
        </w:rPr>
        <w:t>4</w:t>
      </w:r>
      <w:r>
        <w:rPr>
          <w:rFonts w:hint="eastAsia" w:ascii="宋体" w:hAnsi="宋体" w:cs="宋体"/>
          <w:sz w:val="24"/>
          <w:szCs w:val="24"/>
        </w:rPr>
        <w:t>、响应文件有重大漏项或重大不合理的；</w:t>
      </w:r>
    </w:p>
    <w:p>
      <w:pPr>
        <w:snapToGrid w:val="0"/>
        <w:spacing w:line="480" w:lineRule="exact"/>
        <w:ind w:firstLine="480" w:firstLineChars="200"/>
        <w:rPr>
          <w:rFonts w:ascii="宋体"/>
          <w:sz w:val="24"/>
          <w:szCs w:val="24"/>
        </w:rPr>
      </w:pPr>
      <w:r>
        <w:rPr>
          <w:rFonts w:hint="eastAsia" w:ascii="宋体" w:hAnsi="宋体" w:cs="宋体"/>
          <w:sz w:val="24"/>
          <w:szCs w:val="24"/>
          <w:lang w:val="en-US" w:eastAsia="zh-CN"/>
        </w:rPr>
        <w:t>5</w:t>
      </w:r>
      <w:r>
        <w:rPr>
          <w:rFonts w:hint="eastAsia" w:ascii="宋体" w:hAnsi="宋体" w:cs="宋体"/>
          <w:sz w:val="24"/>
          <w:szCs w:val="24"/>
        </w:rPr>
        <w:t>、项目技术、方案不满足项目需求中的要求，有重大偏离或保留的；</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、不符合法律、法规和磋商文件中规定的其他实质性响应要求的；</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、磋商小组依据法律法规可以认定为无效投标的其他情况。</w:t>
      </w:r>
    </w:p>
    <w:p>
      <w:pPr>
        <w:snapToGrid w:val="0"/>
        <w:spacing w:line="480" w:lineRule="exact"/>
        <w:ind w:firstLine="482" w:firstLineChars="200"/>
        <w:outlineLvl w:val="1"/>
        <w:rPr>
          <w:rFonts w:ascii="宋体"/>
          <w:b/>
          <w:bCs/>
          <w:sz w:val="24"/>
          <w:szCs w:val="24"/>
        </w:rPr>
      </w:pPr>
      <w:r>
        <w:rPr>
          <w:rFonts w:hint="eastAsia" w:ascii="宋体" w:hAnsi="宋体" w:cs="宋体"/>
          <w:b/>
          <w:bCs/>
          <w:sz w:val="24"/>
          <w:szCs w:val="24"/>
        </w:rPr>
        <w:t>七、出现下列情形之一的，作废标处理</w:t>
      </w:r>
    </w:p>
    <w:p>
      <w:pPr>
        <w:snapToGrid w:val="0"/>
        <w:spacing w:line="480" w:lineRule="exact"/>
        <w:ind w:firstLine="480" w:firstLineChars="200"/>
        <w:rPr>
          <w:rFonts w:ascii="宋体"/>
          <w:sz w:val="24"/>
          <w:szCs w:val="24"/>
        </w:rPr>
      </w:pPr>
      <w:r>
        <w:rPr>
          <w:rFonts w:hint="eastAsia" w:ascii="宋体" w:hAnsi="宋体" w:cs="宋体"/>
          <w:sz w:val="24"/>
          <w:szCs w:val="24"/>
          <w:lang w:val="en-US" w:eastAsia="zh-CN"/>
        </w:rPr>
        <w:t>1</w:t>
      </w:r>
      <w:r>
        <w:rPr>
          <w:rFonts w:hint="eastAsia" w:ascii="宋体" w:hAnsi="宋体" w:cs="宋体"/>
          <w:sz w:val="24"/>
          <w:szCs w:val="24"/>
        </w:rPr>
        <w:t>、因情况变化，不再符合规定的竞争性磋商采购方式所适用情形的；</w:t>
      </w:r>
    </w:p>
    <w:p>
      <w:pPr>
        <w:snapToGrid w:val="0"/>
        <w:spacing w:line="480" w:lineRule="exact"/>
        <w:ind w:firstLine="480" w:firstLineChars="200"/>
        <w:rPr>
          <w:rFonts w:ascii="宋体"/>
          <w:sz w:val="24"/>
          <w:szCs w:val="24"/>
        </w:rPr>
      </w:pPr>
      <w:r>
        <w:rPr>
          <w:rFonts w:hint="eastAsia" w:ascii="宋体" w:hAnsi="宋体" w:cs="宋体"/>
          <w:sz w:val="24"/>
          <w:szCs w:val="24"/>
          <w:lang w:val="en-US" w:eastAsia="zh-CN"/>
        </w:rPr>
        <w:t>2</w:t>
      </w:r>
      <w:r>
        <w:rPr>
          <w:rFonts w:hint="eastAsia" w:ascii="宋体" w:hAnsi="宋体" w:cs="宋体"/>
          <w:sz w:val="24"/>
          <w:szCs w:val="24"/>
        </w:rPr>
        <w:t>、出现影响采购公正的违法、违规行为的；</w:t>
      </w:r>
    </w:p>
    <w:p>
      <w:pPr>
        <w:snapToGrid w:val="0"/>
        <w:spacing w:line="480" w:lineRule="exact"/>
        <w:ind w:firstLine="480" w:firstLineChars="200"/>
        <w:rPr>
          <w:rFonts w:ascii="宋体"/>
          <w:sz w:val="24"/>
          <w:szCs w:val="24"/>
        </w:rPr>
      </w:pPr>
      <w:r>
        <w:rPr>
          <w:rFonts w:hint="eastAsia" w:ascii="宋体" w:hAnsi="宋体" w:cs="宋体"/>
          <w:sz w:val="24"/>
          <w:szCs w:val="24"/>
          <w:lang w:val="en-US" w:eastAsia="zh-CN"/>
        </w:rPr>
        <w:t>3</w:t>
      </w:r>
      <w:r>
        <w:rPr>
          <w:rFonts w:hint="eastAsia" w:ascii="宋体" w:hAnsi="宋体" w:cs="宋体"/>
          <w:sz w:val="24"/>
          <w:szCs w:val="24"/>
        </w:rPr>
        <w:t>、因重大变故，采购任务取消的；</w:t>
      </w:r>
      <w:r>
        <w:rPr>
          <w:rFonts w:ascii="宋体"/>
          <w:sz w:val="24"/>
          <w:szCs w:val="24"/>
        </w:rPr>
        <w:tab/>
      </w:r>
    </w:p>
    <w:p>
      <w:pPr>
        <w:snapToGrid w:val="0"/>
        <w:spacing w:line="480" w:lineRule="exact"/>
        <w:ind w:firstLine="480" w:firstLineChars="200"/>
        <w:rPr>
          <w:rFonts w:ascii="宋体"/>
          <w:sz w:val="24"/>
          <w:szCs w:val="24"/>
          <w:highlight w:val="none"/>
        </w:rPr>
      </w:pPr>
      <w:r>
        <w:rPr>
          <w:rFonts w:hint="eastAsia" w:ascii="宋体" w:hAnsi="宋体" w:cs="宋体"/>
          <w:sz w:val="24"/>
          <w:szCs w:val="24"/>
          <w:highlight w:val="none"/>
          <w:lang w:val="en-US" w:eastAsia="zh-CN"/>
        </w:rPr>
        <w:t>4</w:t>
      </w:r>
      <w:r>
        <w:rPr>
          <w:rFonts w:hint="eastAsia" w:ascii="宋体" w:hAnsi="宋体" w:cs="宋体"/>
          <w:sz w:val="24"/>
          <w:szCs w:val="24"/>
          <w:highlight w:val="none"/>
        </w:rPr>
        <w:t>、符合资格条件或者对招标文件作实质响应的投标供应商不</w:t>
      </w:r>
      <w:r>
        <w:rPr>
          <w:rFonts w:hint="eastAsia" w:ascii="宋体" w:hAnsi="宋体" w:cs="宋体"/>
          <w:sz w:val="24"/>
          <w:szCs w:val="24"/>
          <w:highlight w:val="none"/>
        </w:rPr>
        <w:t>足</w:t>
      </w:r>
      <w:r>
        <w:rPr>
          <w:rFonts w:hint="eastAsia" w:ascii="宋体" w:hAnsi="宋体" w:cs="宋体"/>
          <w:sz w:val="24"/>
          <w:szCs w:val="24"/>
          <w:highlight w:val="none"/>
          <w:lang w:val="en-US" w:eastAsia="zh-CN"/>
        </w:rPr>
        <w:t>7</w:t>
      </w:r>
      <w:r>
        <w:rPr>
          <w:rFonts w:hint="eastAsia" w:ascii="宋体" w:hAnsi="宋体" w:cs="宋体"/>
          <w:sz w:val="24"/>
          <w:szCs w:val="24"/>
          <w:highlight w:val="none"/>
        </w:rPr>
        <w:t>家的；</w:t>
      </w:r>
    </w:p>
    <w:p>
      <w:pPr>
        <w:snapToGrid w:val="0"/>
        <w:spacing w:line="480" w:lineRule="exact"/>
        <w:ind w:firstLine="480" w:firstLineChars="200"/>
        <w:rPr>
          <w:rFonts w:ascii="宋体"/>
          <w:sz w:val="24"/>
          <w:szCs w:val="24"/>
        </w:rPr>
      </w:pPr>
      <w:r>
        <w:rPr>
          <w:rFonts w:hint="eastAsia" w:ascii="宋体" w:hAnsi="宋体" w:cs="宋体"/>
          <w:sz w:val="24"/>
          <w:szCs w:val="24"/>
          <w:lang w:val="en-US" w:eastAsia="zh-CN"/>
        </w:rPr>
        <w:t>5</w:t>
      </w:r>
      <w:r>
        <w:rPr>
          <w:rFonts w:hint="eastAsia" w:ascii="宋体" w:hAnsi="宋体" w:cs="宋体"/>
          <w:sz w:val="24"/>
          <w:szCs w:val="24"/>
        </w:rPr>
        <w:t>、磋商小组依据法律法规可以认定为废标的其他情况。</w:t>
      </w:r>
    </w:p>
    <w:p>
      <w:pPr>
        <w:snapToGrid w:val="0"/>
        <w:spacing w:line="480" w:lineRule="exact"/>
        <w:ind w:firstLine="482" w:firstLineChars="200"/>
        <w:outlineLvl w:val="1"/>
        <w:rPr>
          <w:rFonts w:ascii="宋体"/>
          <w:b/>
          <w:bCs/>
          <w:sz w:val="24"/>
          <w:szCs w:val="24"/>
        </w:rPr>
      </w:pPr>
      <w:r>
        <w:rPr>
          <w:rFonts w:hint="eastAsia" w:ascii="宋体" w:hAnsi="宋体" w:cs="宋体"/>
          <w:b/>
          <w:bCs/>
          <w:sz w:val="24"/>
          <w:szCs w:val="24"/>
        </w:rPr>
        <w:t>八、成交通知</w:t>
      </w:r>
    </w:p>
    <w:p>
      <w:pPr>
        <w:spacing w:line="480" w:lineRule="exact"/>
        <w:ind w:firstLine="480" w:firstLineChars="200"/>
        <w:rPr>
          <w:rFonts w:hint="eastAsia" w:ascii="宋体" w:hAnsi="宋体" w:cs="宋体"/>
          <w:kern w:val="0"/>
          <w:sz w:val="24"/>
          <w:szCs w:val="24"/>
        </w:rPr>
      </w:pPr>
      <w:r>
        <w:rPr>
          <w:rFonts w:hint="eastAsia" w:ascii="宋体" w:hAnsi="宋体" w:cs="宋体"/>
          <w:kern w:val="0"/>
          <w:sz w:val="24"/>
          <w:szCs w:val="24"/>
        </w:rPr>
        <w:t>成交结果在崇川人民政府网公示</w:t>
      </w:r>
      <w:r>
        <w:rPr>
          <w:rFonts w:ascii="宋体" w:hAnsi="宋体" w:cs="宋体"/>
          <w:b/>
          <w:bCs/>
          <w:kern w:val="0"/>
          <w:sz w:val="24"/>
          <w:szCs w:val="24"/>
          <w:u w:val="single"/>
        </w:rPr>
        <w:t xml:space="preserve">1 </w:t>
      </w:r>
      <w:r>
        <w:rPr>
          <w:rFonts w:hint="eastAsia" w:ascii="宋体" w:hAnsi="宋体" w:cs="宋体"/>
          <w:kern w:val="0"/>
          <w:sz w:val="24"/>
          <w:szCs w:val="24"/>
        </w:rPr>
        <w:t>个工作日。采购单位改变成交结果，或者供应商放弃成交的，各自承担相应的法律责任。</w:t>
      </w:r>
    </w:p>
    <w:p>
      <w:pPr>
        <w:pStyle w:val="2"/>
      </w:pPr>
    </w:p>
    <w:p>
      <w:pPr>
        <w:snapToGrid w:val="0"/>
        <w:spacing w:line="480" w:lineRule="exact"/>
        <w:ind w:firstLine="480" w:firstLineChars="200"/>
        <w:jc w:val="left"/>
        <w:rPr>
          <w:rFonts w:ascii="宋体" w:hAnsi="宋体" w:cs="宋体"/>
          <w:sz w:val="24"/>
          <w:szCs w:val="24"/>
        </w:rPr>
      </w:pPr>
    </w:p>
    <w:p>
      <w:pPr>
        <w:pStyle w:val="2"/>
        <w:rPr>
          <w:rFonts w:ascii="宋体" w:hAnsi="宋体" w:cs="宋体"/>
          <w:sz w:val="24"/>
          <w:szCs w:val="24"/>
        </w:rPr>
      </w:pPr>
    </w:p>
    <w:p>
      <w:pPr>
        <w:rPr>
          <w:rFonts w:ascii="宋体" w:hAnsi="宋体" w:cs="宋体"/>
          <w:sz w:val="24"/>
          <w:szCs w:val="24"/>
        </w:rPr>
      </w:pPr>
    </w:p>
    <w:p>
      <w:pPr>
        <w:pStyle w:val="2"/>
      </w:pPr>
    </w:p>
    <w:p>
      <w:pPr>
        <w:snapToGrid w:val="0"/>
        <w:spacing w:line="480" w:lineRule="exact"/>
        <w:ind w:firstLine="480" w:firstLineChars="200"/>
        <w:jc w:val="left"/>
        <w:rPr>
          <w:rFonts w:ascii="宋体" w:hAnsi="宋体" w:cs="宋体"/>
          <w:sz w:val="24"/>
          <w:szCs w:val="24"/>
        </w:rPr>
      </w:pPr>
    </w:p>
    <w:p>
      <w:pPr>
        <w:pStyle w:val="2"/>
        <w:rPr>
          <w:rFonts w:ascii="宋体" w:hAnsi="宋体" w:cs="宋体"/>
          <w:sz w:val="24"/>
          <w:szCs w:val="24"/>
        </w:rPr>
      </w:pPr>
    </w:p>
    <w:p>
      <w:pPr>
        <w:rPr>
          <w:rFonts w:ascii="宋体" w:hAnsi="宋体" w:cs="宋体"/>
          <w:sz w:val="24"/>
          <w:szCs w:val="24"/>
        </w:rPr>
      </w:pPr>
    </w:p>
    <w:p>
      <w:pPr>
        <w:pStyle w:val="2"/>
        <w:rPr>
          <w:rFonts w:ascii="宋体" w:hAnsi="宋体" w:cs="宋体"/>
          <w:sz w:val="24"/>
          <w:szCs w:val="24"/>
        </w:rPr>
      </w:pPr>
    </w:p>
    <w:p>
      <w:pPr>
        <w:rPr>
          <w:rFonts w:ascii="宋体" w:hAnsi="宋体" w:cs="宋体"/>
          <w:sz w:val="24"/>
          <w:szCs w:val="24"/>
        </w:rPr>
      </w:pPr>
    </w:p>
    <w:p>
      <w:pPr>
        <w:pStyle w:val="2"/>
        <w:rPr>
          <w:rFonts w:ascii="宋体" w:hAnsi="宋体" w:cs="宋体"/>
          <w:sz w:val="24"/>
          <w:szCs w:val="24"/>
        </w:rPr>
      </w:pPr>
    </w:p>
    <w:p>
      <w:pPr>
        <w:rPr>
          <w:rFonts w:ascii="宋体" w:hAnsi="宋体" w:cs="宋体"/>
          <w:sz w:val="24"/>
          <w:szCs w:val="24"/>
        </w:rPr>
      </w:pPr>
    </w:p>
    <w:p>
      <w:pPr>
        <w:pStyle w:val="2"/>
      </w:pPr>
    </w:p>
    <w:p/>
    <w:p>
      <w:pPr>
        <w:pStyle w:val="2"/>
      </w:pPr>
    </w:p>
    <w:p/>
    <w:p>
      <w:pPr>
        <w:pStyle w:val="2"/>
      </w:pPr>
    </w:p>
    <w:p/>
    <w:p>
      <w:pPr>
        <w:pStyle w:val="2"/>
      </w:pPr>
    </w:p>
    <w:p/>
    <w:p>
      <w:pPr>
        <w:pStyle w:val="2"/>
      </w:pPr>
    </w:p>
    <w:p/>
    <w:p>
      <w:pPr>
        <w:pStyle w:val="2"/>
      </w:pPr>
    </w:p>
    <w:p/>
    <w:p>
      <w:pPr>
        <w:pStyle w:val="2"/>
      </w:pPr>
    </w:p>
    <w:p/>
    <w:p>
      <w:pPr>
        <w:pStyle w:val="2"/>
      </w:pPr>
    </w:p>
    <w:bookmarkEnd w:id="62"/>
    <w:bookmarkEnd w:id="63"/>
    <w:p>
      <w:pPr>
        <w:snapToGrid w:val="0"/>
        <w:spacing w:line="480" w:lineRule="exact"/>
        <w:jc w:val="center"/>
        <w:rPr>
          <w:rFonts w:hint="eastAsia" w:ascii="宋体" w:hAnsi="宋体" w:cs="宋体"/>
          <w:b/>
          <w:bCs/>
          <w:w w:val="80"/>
          <w:sz w:val="44"/>
          <w:szCs w:val="44"/>
          <w:lang w:eastAsia="zh-CN"/>
        </w:rPr>
      </w:pPr>
      <w:r>
        <w:rPr>
          <w:rFonts w:hint="eastAsia" w:ascii="宋体" w:hAnsi="宋体" w:cs="宋体"/>
          <w:b/>
          <w:bCs/>
          <w:w w:val="80"/>
          <w:sz w:val="44"/>
          <w:szCs w:val="44"/>
        </w:rPr>
        <w:t>第五章  合同</w:t>
      </w:r>
      <w:r>
        <w:rPr>
          <w:rFonts w:hint="eastAsia" w:ascii="宋体" w:hAnsi="宋体" w:cs="宋体"/>
          <w:b/>
          <w:bCs/>
          <w:w w:val="80"/>
          <w:sz w:val="44"/>
          <w:szCs w:val="44"/>
          <w:lang w:eastAsia="zh-CN"/>
        </w:rPr>
        <w:t>授予</w:t>
      </w:r>
    </w:p>
    <w:p>
      <w:pPr>
        <w:snapToGrid w:val="0"/>
        <w:spacing w:line="480" w:lineRule="exact"/>
        <w:ind w:firstLine="573"/>
        <w:rPr>
          <w:rFonts w:hint="eastAsia" w:ascii="宋体" w:hAnsi="宋体" w:cs="宋体"/>
          <w:sz w:val="24"/>
          <w:szCs w:val="24"/>
        </w:rPr>
      </w:pPr>
      <w:r>
        <w:rPr>
          <w:rFonts w:hint="eastAsia" w:ascii="宋体" w:hAnsi="宋体" w:cs="宋体"/>
          <w:sz w:val="24"/>
          <w:szCs w:val="24"/>
        </w:rPr>
        <w:t>一、</w:t>
      </w:r>
      <w:r>
        <w:rPr>
          <w:rFonts w:hint="eastAsia" w:ascii="宋体" w:hAnsi="宋体"/>
          <w:bCs/>
          <w:sz w:val="24"/>
          <w:szCs w:val="24"/>
        </w:rPr>
        <w:t>自</w:t>
      </w:r>
      <w:r>
        <w:rPr>
          <w:rFonts w:hint="eastAsia" w:ascii="宋体" w:hAnsi="宋体"/>
          <w:bCs/>
          <w:sz w:val="24"/>
          <w:szCs w:val="24"/>
          <w:lang w:eastAsia="zh-CN"/>
        </w:rPr>
        <w:t>采购人</w:t>
      </w:r>
      <w:r>
        <w:rPr>
          <w:rFonts w:hint="eastAsia" w:ascii="宋体" w:hAnsi="宋体"/>
          <w:bCs/>
          <w:sz w:val="24"/>
          <w:szCs w:val="24"/>
        </w:rPr>
        <w:t>发出</w:t>
      </w:r>
      <w:r>
        <w:rPr>
          <w:rFonts w:hint="eastAsia" w:ascii="宋体" w:hAnsi="宋体"/>
          <w:bCs/>
          <w:sz w:val="24"/>
          <w:szCs w:val="24"/>
          <w:lang w:eastAsia="zh-CN"/>
        </w:rPr>
        <w:t>通知</w:t>
      </w:r>
      <w:r>
        <w:rPr>
          <w:rFonts w:hint="eastAsia" w:ascii="宋体" w:hAnsi="宋体"/>
          <w:bCs/>
          <w:sz w:val="24"/>
          <w:szCs w:val="24"/>
        </w:rPr>
        <w:t>之日起</w:t>
      </w:r>
      <w:r>
        <w:rPr>
          <w:rFonts w:hint="eastAsia" w:ascii="宋体" w:hAnsi="宋体"/>
          <w:bCs/>
          <w:sz w:val="24"/>
          <w:szCs w:val="24"/>
          <w:lang w:val="en-US" w:eastAsia="zh-CN"/>
        </w:rPr>
        <w:t>7</w:t>
      </w:r>
      <w:r>
        <w:rPr>
          <w:rFonts w:hint="eastAsia" w:ascii="宋体" w:hAnsi="宋体"/>
          <w:bCs/>
          <w:sz w:val="24"/>
          <w:szCs w:val="24"/>
        </w:rPr>
        <w:t>日内，成交供应商凭已经汇至采购人账上的“履约保证金”凭证与采购人签订合同。</w:t>
      </w:r>
      <w:r>
        <w:rPr>
          <w:rFonts w:hint="eastAsia" w:ascii="宋体" w:hAnsi="宋体" w:cs="宋体"/>
          <w:sz w:val="24"/>
          <w:szCs w:val="24"/>
        </w:rPr>
        <w:t>超期或未有协商，则视为自动放弃成交资格。所签合同不得对磋商文件作实质性修改，否则</w:t>
      </w:r>
      <w:r>
        <w:rPr>
          <w:rFonts w:hint="eastAsia" w:ascii="宋体" w:hAnsi="宋体" w:cs="宋体"/>
          <w:sz w:val="24"/>
          <w:szCs w:val="24"/>
          <w:lang w:eastAsia="zh-CN"/>
        </w:rPr>
        <w:t>履约</w:t>
      </w:r>
      <w:r>
        <w:rPr>
          <w:rFonts w:hint="eastAsia" w:ascii="宋体" w:hAnsi="宋体" w:cs="宋体"/>
          <w:sz w:val="24"/>
          <w:szCs w:val="24"/>
        </w:rPr>
        <w:t>保证金将不予退还，由此给采购人造成损失的，成交人还应承担赔偿责任。采购人不得向成交人提出不合理的要求作为签订合同的条件，不得与成交人私下订立背离谈判文件实质性内容的协议。</w:t>
      </w:r>
    </w:p>
    <w:p>
      <w:pPr>
        <w:snapToGrid w:val="0"/>
        <w:spacing w:line="480" w:lineRule="exact"/>
        <w:ind w:firstLine="573"/>
        <w:rPr>
          <w:rFonts w:hint="eastAsia" w:ascii="宋体" w:hAnsi="宋体" w:cs="宋体"/>
          <w:sz w:val="24"/>
          <w:szCs w:val="24"/>
        </w:rPr>
      </w:pPr>
      <w:r>
        <w:rPr>
          <w:rFonts w:hint="eastAsia" w:ascii="宋体" w:hAnsi="宋体" w:cs="宋体"/>
          <w:sz w:val="24"/>
          <w:szCs w:val="24"/>
        </w:rPr>
        <w:t>二、磋商文件、成交人的磋商响应文件及磋商评审过程中有关书面澄清、承诺等均应作为合同附件，具有同等的法律效力。</w:t>
      </w:r>
    </w:p>
    <w:p>
      <w:pPr>
        <w:snapToGrid w:val="0"/>
        <w:spacing w:line="480" w:lineRule="exact"/>
        <w:ind w:firstLine="573"/>
        <w:rPr>
          <w:rFonts w:hint="eastAsia" w:ascii="宋体" w:hAnsi="宋体" w:cs="宋体"/>
          <w:sz w:val="24"/>
          <w:szCs w:val="24"/>
        </w:rPr>
      </w:pPr>
      <w:r>
        <w:rPr>
          <w:rFonts w:hint="eastAsia" w:ascii="宋体" w:hAnsi="宋体" w:cs="宋体"/>
          <w:sz w:val="24"/>
          <w:szCs w:val="24"/>
        </w:rPr>
        <w:t>四、成交人不得采用转包、分包的形式履行合同，否则，采购人有权终止合同，造成采购人损失的，中标人应承担相应赔偿责任。</w:t>
      </w:r>
    </w:p>
    <w:p>
      <w:pPr>
        <w:snapToGrid w:val="0"/>
        <w:spacing w:line="480" w:lineRule="exact"/>
        <w:ind w:firstLine="573"/>
        <w:rPr>
          <w:rFonts w:hint="eastAsia" w:ascii="宋体" w:hAnsi="宋体" w:cs="宋体"/>
          <w:sz w:val="24"/>
          <w:szCs w:val="24"/>
          <w:lang w:eastAsia="zh-CN"/>
        </w:rPr>
      </w:pPr>
      <w:r>
        <w:rPr>
          <w:rFonts w:hint="eastAsia" w:ascii="宋体" w:hAnsi="宋体" w:cs="宋体"/>
          <w:sz w:val="24"/>
          <w:szCs w:val="24"/>
        </w:rPr>
        <w:t>五、双方签订的合同中应明确规定双方应当严格遵守国家有关廉政建设的相关规定。</w:t>
      </w:r>
    </w:p>
    <w:p>
      <w:pPr>
        <w:spacing w:line="360" w:lineRule="auto"/>
        <w:rPr>
          <w:rFonts w:hint="eastAsia" w:ascii="宋体" w:hAnsi="宋体" w:cs="宋体"/>
          <w:sz w:val="24"/>
          <w:szCs w:val="24"/>
        </w:rPr>
      </w:pPr>
    </w:p>
    <w:p>
      <w:pPr>
        <w:pStyle w:val="52"/>
        <w:ind w:firstLine="0" w:firstLineChars="0"/>
        <w:rPr>
          <w:rFonts w:ascii="宋体" w:hAnsi="宋体" w:cs="宋体"/>
          <w:b/>
          <w:bCs/>
          <w:w w:val="80"/>
          <w:sz w:val="44"/>
          <w:szCs w:val="44"/>
        </w:rPr>
      </w:pPr>
    </w:p>
    <w:p>
      <w:pPr>
        <w:pStyle w:val="52"/>
        <w:ind w:firstLine="0" w:firstLineChars="0"/>
        <w:rPr>
          <w:rFonts w:ascii="宋体" w:hAnsi="宋体" w:cs="宋体"/>
          <w:b/>
          <w:bCs/>
          <w:w w:val="80"/>
          <w:sz w:val="44"/>
          <w:szCs w:val="44"/>
        </w:rPr>
      </w:pPr>
    </w:p>
    <w:p>
      <w:pPr>
        <w:pStyle w:val="52"/>
        <w:ind w:firstLine="0" w:firstLineChars="0"/>
        <w:rPr>
          <w:rFonts w:ascii="宋体" w:hAnsi="宋体" w:cs="宋体"/>
          <w:b/>
          <w:bCs/>
          <w:w w:val="80"/>
          <w:sz w:val="44"/>
          <w:szCs w:val="44"/>
        </w:rPr>
      </w:pPr>
    </w:p>
    <w:p>
      <w:pPr>
        <w:pStyle w:val="52"/>
        <w:ind w:firstLine="0" w:firstLineChars="0"/>
        <w:rPr>
          <w:rFonts w:ascii="宋体" w:hAnsi="宋体" w:cs="宋体"/>
          <w:b/>
          <w:bCs/>
          <w:w w:val="80"/>
          <w:sz w:val="44"/>
          <w:szCs w:val="44"/>
        </w:rPr>
      </w:pPr>
    </w:p>
    <w:p>
      <w:pPr>
        <w:pStyle w:val="52"/>
        <w:ind w:firstLine="0" w:firstLineChars="0"/>
        <w:rPr>
          <w:rFonts w:ascii="宋体" w:hAnsi="宋体" w:cs="宋体"/>
          <w:b/>
          <w:bCs/>
          <w:w w:val="80"/>
          <w:sz w:val="44"/>
          <w:szCs w:val="44"/>
        </w:rPr>
      </w:pPr>
    </w:p>
    <w:p>
      <w:pPr>
        <w:pStyle w:val="52"/>
        <w:ind w:firstLine="0" w:firstLineChars="0"/>
        <w:rPr>
          <w:rFonts w:ascii="宋体" w:hAnsi="宋体" w:cs="宋体"/>
          <w:b/>
          <w:bCs/>
          <w:w w:val="80"/>
          <w:sz w:val="44"/>
          <w:szCs w:val="44"/>
        </w:rPr>
      </w:pPr>
    </w:p>
    <w:p>
      <w:pPr>
        <w:pStyle w:val="52"/>
        <w:ind w:firstLine="0" w:firstLineChars="0"/>
        <w:rPr>
          <w:rFonts w:ascii="宋体" w:hAnsi="宋体" w:cs="宋体"/>
          <w:b/>
          <w:bCs/>
          <w:w w:val="80"/>
          <w:sz w:val="44"/>
          <w:szCs w:val="44"/>
        </w:rPr>
      </w:pPr>
    </w:p>
    <w:p>
      <w:pPr>
        <w:pStyle w:val="52"/>
        <w:ind w:firstLine="0" w:firstLineChars="0"/>
        <w:rPr>
          <w:rFonts w:ascii="宋体" w:hAnsi="宋体" w:cs="宋体"/>
          <w:b/>
          <w:bCs/>
          <w:w w:val="80"/>
          <w:sz w:val="44"/>
          <w:szCs w:val="44"/>
        </w:rPr>
      </w:pPr>
      <w:r>
        <w:rPr>
          <w:rFonts w:ascii="宋体" w:hAnsi="宋体" w:cs="宋体"/>
          <w:b/>
          <w:bCs/>
          <w:w w:val="80"/>
          <w:sz w:val="44"/>
          <w:szCs w:val="44"/>
        </w:rPr>
        <w:br w:type="textWrapping"/>
      </w:r>
    </w:p>
    <w:p>
      <w:pPr>
        <w:pStyle w:val="52"/>
        <w:ind w:firstLine="0" w:firstLineChars="0"/>
        <w:rPr>
          <w:rFonts w:ascii="宋体" w:hAnsi="宋体" w:cs="宋体"/>
          <w:b/>
          <w:bCs/>
          <w:w w:val="80"/>
          <w:sz w:val="44"/>
          <w:szCs w:val="44"/>
        </w:rPr>
      </w:pPr>
    </w:p>
    <w:p>
      <w:pPr>
        <w:snapToGrid w:val="0"/>
        <w:spacing w:line="480" w:lineRule="exact"/>
        <w:jc w:val="center"/>
        <w:rPr>
          <w:rFonts w:hint="eastAsia" w:ascii="宋体" w:hAnsi="宋体" w:cs="宋体"/>
          <w:b/>
          <w:bCs/>
          <w:w w:val="80"/>
          <w:sz w:val="44"/>
          <w:szCs w:val="44"/>
        </w:rPr>
      </w:pPr>
      <w:r>
        <w:rPr>
          <w:rFonts w:hint="eastAsia" w:ascii="宋体" w:hAnsi="宋体" w:cs="宋体"/>
          <w:b/>
          <w:bCs/>
          <w:w w:val="80"/>
          <w:sz w:val="44"/>
          <w:szCs w:val="44"/>
        </w:rPr>
        <w:t>第六章  履约验收及付款</w:t>
      </w:r>
    </w:p>
    <w:p>
      <w:pPr>
        <w:snapToGrid w:val="0"/>
        <w:spacing w:line="480" w:lineRule="exact"/>
        <w:ind w:firstLine="573"/>
        <w:rPr>
          <w:rFonts w:hint="eastAsia" w:ascii="宋体" w:hAnsi="宋体" w:cs="宋体"/>
          <w:sz w:val="24"/>
          <w:szCs w:val="24"/>
        </w:rPr>
      </w:pPr>
      <w:r>
        <w:rPr>
          <w:rFonts w:hint="eastAsia" w:ascii="宋体" w:hAnsi="宋体" w:cs="宋体"/>
          <w:sz w:val="24"/>
          <w:szCs w:val="24"/>
        </w:rPr>
        <w:t>一、采购人和成交人应相互配合，按采购合同约定积极组织本项目的实施，确保按时履约提供服务。</w:t>
      </w:r>
    </w:p>
    <w:p>
      <w:pPr>
        <w:snapToGrid w:val="0"/>
        <w:spacing w:line="480" w:lineRule="exact"/>
        <w:ind w:firstLine="573"/>
        <w:rPr>
          <w:rFonts w:hint="eastAsia" w:ascii="宋体" w:hAnsi="宋体" w:cs="宋体"/>
          <w:sz w:val="24"/>
          <w:szCs w:val="24"/>
        </w:rPr>
      </w:pPr>
      <w:r>
        <w:rPr>
          <w:rFonts w:hint="eastAsia" w:ascii="宋体" w:hAnsi="宋体" w:cs="宋体"/>
          <w:sz w:val="24"/>
          <w:szCs w:val="24"/>
        </w:rPr>
        <w:t>二、履约完成后，成交人应以书面形式向采购人提出验收申请，采购人接到申请后应及时组织验收。</w:t>
      </w:r>
    </w:p>
    <w:p>
      <w:pPr>
        <w:snapToGrid w:val="0"/>
        <w:spacing w:line="480" w:lineRule="exact"/>
        <w:ind w:firstLine="573"/>
        <w:rPr>
          <w:rFonts w:hint="eastAsia" w:ascii="宋体" w:hAnsi="宋体" w:cs="宋体"/>
          <w:sz w:val="24"/>
          <w:szCs w:val="24"/>
        </w:rPr>
      </w:pPr>
      <w:r>
        <w:rPr>
          <w:rFonts w:hint="eastAsia" w:ascii="宋体" w:hAnsi="宋体" w:cs="宋体"/>
          <w:sz w:val="24"/>
          <w:szCs w:val="24"/>
        </w:rPr>
        <w:t>三、采购人、成交人不按政府采购合同规定履约，出现违约情形，应当及时纠正或补偿，造成损失的，按合同约定追究违约责任；履约中发现有假冒、伪劣、走私产品、商业贿赂等违法情形的，应由采购人移交工商、质监、公安等行政执法部门依法查处。</w:t>
      </w:r>
    </w:p>
    <w:p>
      <w:pPr>
        <w:snapToGrid w:val="0"/>
        <w:spacing w:line="480" w:lineRule="exact"/>
        <w:ind w:firstLine="573"/>
        <w:rPr>
          <w:rFonts w:hint="eastAsia" w:ascii="宋体" w:hAnsi="宋体" w:cs="宋体"/>
          <w:sz w:val="24"/>
          <w:szCs w:val="24"/>
        </w:rPr>
      </w:pPr>
      <w:r>
        <w:rPr>
          <w:rFonts w:hint="eastAsia" w:ascii="宋体" w:hAnsi="宋体" w:cs="宋体"/>
          <w:sz w:val="24"/>
          <w:szCs w:val="24"/>
        </w:rPr>
        <w:t>四、按采购合同约定的支付方式，及时支付服务款项。</w:t>
      </w:r>
    </w:p>
    <w:p>
      <w:pPr>
        <w:snapToGrid w:val="0"/>
        <w:spacing w:line="480" w:lineRule="exact"/>
        <w:ind w:firstLine="573"/>
        <w:rPr>
          <w:rFonts w:ascii="宋体"/>
          <w:sz w:val="24"/>
          <w:szCs w:val="24"/>
        </w:rPr>
      </w:pPr>
    </w:p>
    <w:p>
      <w:pPr>
        <w:snapToGrid w:val="0"/>
        <w:spacing w:line="480" w:lineRule="exact"/>
        <w:ind w:firstLine="573"/>
        <w:jc w:val="center"/>
        <w:rPr>
          <w:rFonts w:ascii="宋体"/>
          <w:sz w:val="24"/>
          <w:szCs w:val="24"/>
        </w:rPr>
      </w:pPr>
      <w:r>
        <w:rPr>
          <w:rFonts w:ascii="宋体"/>
          <w:b/>
          <w:bCs/>
          <w:i/>
          <w:iCs/>
          <w:kern w:val="44"/>
          <w:sz w:val="44"/>
          <w:szCs w:val="44"/>
        </w:rPr>
        <w:br w:type="page"/>
      </w:r>
      <w:r>
        <w:rPr>
          <w:rFonts w:hint="eastAsia" w:ascii="宋体" w:hAnsi="宋体" w:cs="宋体"/>
          <w:b/>
          <w:bCs/>
          <w:w w:val="80"/>
          <w:kern w:val="44"/>
          <w:sz w:val="44"/>
          <w:szCs w:val="44"/>
        </w:rPr>
        <w:t>第七章  质疑提出和处理</w:t>
      </w:r>
    </w:p>
    <w:p>
      <w:pPr>
        <w:adjustRightInd w:val="0"/>
        <w:snapToGrid w:val="0"/>
        <w:spacing w:line="500" w:lineRule="exact"/>
        <w:ind w:firstLine="480" w:firstLineChars="200"/>
        <w:contextualSpacing/>
        <w:rPr>
          <w:rFonts w:ascii="宋体" w:hAnsi="宋体"/>
          <w:sz w:val="24"/>
        </w:rPr>
      </w:pPr>
      <w:bookmarkStart w:id="64" w:name="_Toc363573860"/>
      <w:r>
        <w:rPr>
          <w:rFonts w:hint="eastAsia" w:ascii="宋体" w:hAnsi="宋体"/>
          <w:sz w:val="24"/>
        </w:rPr>
        <w:t>格式请在崇川区人民政府网</w:t>
      </w:r>
      <w:r>
        <w:rPr>
          <w:rFonts w:ascii="宋体" w:hAnsi="宋体"/>
          <w:sz w:val="24"/>
        </w:rPr>
        <w:t>http://www.chongchuan.gov.cn/ “</w:t>
      </w:r>
      <w:r>
        <w:rPr>
          <w:rFonts w:hint="eastAsia" w:ascii="宋体" w:hAnsi="宋体"/>
          <w:sz w:val="24"/>
        </w:rPr>
        <w:t>政府采购与工程招标--</w:t>
      </w:r>
      <w:r>
        <w:rPr>
          <w:rFonts w:ascii="宋体" w:hAnsi="宋体"/>
          <w:sz w:val="24"/>
        </w:rPr>
        <w:t>下载中心--质疑函</w:t>
      </w:r>
      <w:r>
        <w:rPr>
          <w:rFonts w:hint="eastAsia" w:ascii="宋体" w:hAnsi="宋体"/>
          <w:sz w:val="24"/>
        </w:rPr>
        <w:t>”下载。</w:t>
      </w:r>
    </w:p>
    <w:p>
      <w:pPr>
        <w:adjustRightInd w:val="0"/>
        <w:snapToGrid w:val="0"/>
        <w:spacing w:line="500" w:lineRule="exact"/>
        <w:ind w:firstLine="480" w:firstLineChars="200"/>
        <w:contextualSpacing/>
        <w:rPr>
          <w:rFonts w:ascii="宋体" w:hAnsi="宋体"/>
          <w:sz w:val="24"/>
        </w:rPr>
      </w:pPr>
      <w:r>
        <w:rPr>
          <w:rFonts w:ascii="宋体" w:hAnsi="宋体"/>
          <w:sz w:val="24"/>
        </w:rPr>
        <w:t>一、质疑的提出</w:t>
      </w:r>
    </w:p>
    <w:p>
      <w:pPr>
        <w:adjustRightInd w:val="0"/>
        <w:snapToGrid w:val="0"/>
        <w:spacing w:line="500" w:lineRule="exact"/>
        <w:ind w:firstLine="480" w:firstLineChars="200"/>
        <w:contextualSpacing/>
        <w:rPr>
          <w:rFonts w:ascii="宋体" w:hAnsi="宋体"/>
          <w:sz w:val="24"/>
        </w:rPr>
      </w:pPr>
      <w:r>
        <w:rPr>
          <w:rFonts w:ascii="宋体" w:hAnsi="宋体"/>
          <w:sz w:val="24"/>
        </w:rPr>
        <w:t>1、质疑人必须是直接参加本次投标活动的当事人。</w:t>
      </w:r>
    </w:p>
    <w:p>
      <w:pPr>
        <w:adjustRightInd w:val="0"/>
        <w:snapToGrid w:val="0"/>
        <w:spacing w:line="500" w:lineRule="exact"/>
        <w:ind w:firstLine="480" w:firstLineChars="200"/>
        <w:contextualSpacing/>
        <w:rPr>
          <w:rFonts w:ascii="宋体" w:hAnsi="宋体"/>
          <w:sz w:val="24"/>
        </w:rPr>
      </w:pPr>
      <w:r>
        <w:rPr>
          <w:rFonts w:ascii="宋体" w:hAnsi="宋体"/>
          <w:sz w:val="24"/>
        </w:rPr>
        <w:t>2、下载招标文件的供应商应根据第二章“投标供应商须知”中第一条第4款的约定提出；响应文件接收截止后，供应商未进行投标登记的，不能就响应文件接收截止后的招投标过程、</w:t>
      </w:r>
      <w:r>
        <w:rPr>
          <w:rFonts w:hint="eastAsia" w:ascii="宋体" w:hAnsi="宋体"/>
          <w:sz w:val="24"/>
        </w:rPr>
        <w:t>中标</w:t>
      </w:r>
      <w:r>
        <w:rPr>
          <w:rFonts w:ascii="宋体" w:hAnsi="宋体"/>
          <w:sz w:val="24"/>
        </w:rPr>
        <w:t>结果提出质疑；在投标过程中，凡主持人或评标小组明确提出须由供应商确认的事项，供应商当场无异议的，事后不得提出质疑。</w:t>
      </w:r>
    </w:p>
    <w:p>
      <w:pPr>
        <w:adjustRightInd w:val="0"/>
        <w:snapToGrid w:val="0"/>
        <w:spacing w:line="500" w:lineRule="exact"/>
        <w:ind w:firstLine="480" w:firstLineChars="200"/>
        <w:contextualSpacing/>
        <w:rPr>
          <w:rFonts w:ascii="宋体" w:hAnsi="宋体"/>
          <w:sz w:val="24"/>
        </w:rPr>
      </w:pPr>
      <w:r>
        <w:rPr>
          <w:rFonts w:ascii="宋体" w:hAnsi="宋体"/>
          <w:sz w:val="24"/>
        </w:rPr>
        <w:t>3、提出质疑时，必须坚持“谁主张，谁举证”、“实事求是”的原则，不能臆测。属于须由法定部门调查、侦查或先行作出相关认定的事项，质疑人应当依法申请具有法定职权的部门查清、认定，并将相关结果提供给采购人或代理机构。采购人或代理机构不具有法定调查、认定权限。</w:t>
      </w:r>
    </w:p>
    <w:p>
      <w:pPr>
        <w:adjustRightInd w:val="0"/>
        <w:snapToGrid w:val="0"/>
        <w:spacing w:line="500" w:lineRule="exact"/>
        <w:ind w:firstLine="480" w:firstLineChars="200"/>
        <w:contextualSpacing/>
        <w:rPr>
          <w:rFonts w:ascii="宋体" w:hAnsi="宋体"/>
          <w:sz w:val="24"/>
        </w:rPr>
      </w:pPr>
      <w:r>
        <w:rPr>
          <w:rFonts w:ascii="宋体" w:hAnsi="宋体"/>
          <w:sz w:val="24"/>
        </w:rPr>
        <w:t>4、对本次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pPr>
        <w:adjustRightInd w:val="0"/>
        <w:snapToGrid w:val="0"/>
        <w:spacing w:line="500" w:lineRule="exact"/>
        <w:ind w:firstLine="480" w:firstLineChars="200"/>
        <w:contextualSpacing/>
        <w:rPr>
          <w:rFonts w:ascii="宋体" w:hAnsi="宋体"/>
          <w:sz w:val="24"/>
        </w:rPr>
      </w:pPr>
      <w:r>
        <w:rPr>
          <w:rFonts w:ascii="宋体" w:hAnsi="宋体"/>
          <w:sz w:val="24"/>
        </w:rPr>
        <w:t>对不能提供相关佐证材料的、涉及商业秘密的、非书面形式的、非送达的、匿名的《质疑函》将不予受理。</w:t>
      </w:r>
    </w:p>
    <w:p>
      <w:pPr>
        <w:adjustRightInd w:val="0"/>
        <w:snapToGrid w:val="0"/>
        <w:spacing w:line="500" w:lineRule="exact"/>
        <w:ind w:firstLine="480" w:firstLineChars="200"/>
        <w:contextualSpacing/>
        <w:rPr>
          <w:rFonts w:ascii="宋体" w:hAnsi="宋体"/>
          <w:sz w:val="24"/>
        </w:rPr>
      </w:pPr>
      <w:r>
        <w:rPr>
          <w:rFonts w:ascii="宋体" w:hAnsi="宋体"/>
          <w:sz w:val="24"/>
        </w:rPr>
        <w:t>相关佐证材料要具备客观性、关联性、合法性，无法查实的（如宣传册、媒体报道、猜测、推理等）不能作为佐证材料。</w:t>
      </w:r>
    </w:p>
    <w:p>
      <w:pPr>
        <w:adjustRightInd w:val="0"/>
        <w:snapToGrid w:val="0"/>
        <w:spacing w:line="500" w:lineRule="exact"/>
        <w:ind w:firstLine="480" w:firstLineChars="200"/>
        <w:contextualSpacing/>
        <w:rPr>
          <w:rFonts w:ascii="宋体" w:hAnsi="宋体"/>
          <w:sz w:val="24"/>
        </w:rPr>
      </w:pPr>
      <w:r>
        <w:rPr>
          <w:rFonts w:ascii="宋体" w:hAnsi="宋体"/>
          <w:sz w:val="24"/>
        </w:rPr>
        <w:t>采购人或代理机构不负责搜集相关佐证材料等工作。</w:t>
      </w:r>
    </w:p>
    <w:p>
      <w:pPr>
        <w:adjustRightInd w:val="0"/>
        <w:snapToGrid w:val="0"/>
        <w:spacing w:line="500" w:lineRule="exact"/>
        <w:ind w:firstLine="480" w:firstLineChars="200"/>
        <w:contextualSpacing/>
        <w:rPr>
          <w:rFonts w:ascii="宋体" w:hAnsi="宋体"/>
          <w:sz w:val="24"/>
        </w:rPr>
      </w:pPr>
      <w:r>
        <w:rPr>
          <w:rFonts w:ascii="宋体" w:hAnsi="宋体"/>
          <w:sz w:val="24"/>
        </w:rPr>
        <w:t>二、《质疑函》的受理和回复</w:t>
      </w:r>
    </w:p>
    <w:p>
      <w:pPr>
        <w:adjustRightInd w:val="0"/>
        <w:snapToGrid w:val="0"/>
        <w:spacing w:line="500" w:lineRule="exact"/>
        <w:ind w:firstLine="480" w:firstLineChars="200"/>
        <w:contextualSpacing/>
        <w:rPr>
          <w:rFonts w:ascii="宋体" w:hAnsi="宋体"/>
          <w:sz w:val="24"/>
        </w:rPr>
      </w:pPr>
      <w:r>
        <w:rPr>
          <w:rFonts w:ascii="宋体" w:hAnsi="宋体"/>
          <w:sz w:val="24"/>
        </w:rPr>
        <w:t>1、《质疑函》须由质疑人的法定代表人</w:t>
      </w:r>
      <w:r>
        <w:rPr>
          <w:rFonts w:hint="eastAsia" w:ascii="宋体" w:hAnsi="宋体"/>
          <w:sz w:val="24"/>
        </w:rPr>
        <w:t>（</w:t>
      </w:r>
      <w:r>
        <w:rPr>
          <w:rFonts w:ascii="宋体" w:hAnsi="宋体"/>
          <w:sz w:val="24"/>
        </w:rPr>
        <w:t>或</w:t>
      </w:r>
      <w:r>
        <w:rPr>
          <w:rFonts w:hint="eastAsia" w:ascii="宋体" w:hAnsi="宋体"/>
          <w:sz w:val="24"/>
        </w:rPr>
        <w:t>负责人）</w:t>
      </w:r>
      <w:r>
        <w:rPr>
          <w:rFonts w:ascii="宋体" w:hAnsi="宋体"/>
          <w:sz w:val="24"/>
        </w:rPr>
        <w:t>或参加本次投标授权人送达采购人和代理机构。</w:t>
      </w:r>
    </w:p>
    <w:p>
      <w:pPr>
        <w:adjustRightInd w:val="0"/>
        <w:snapToGrid w:val="0"/>
        <w:spacing w:line="500" w:lineRule="exact"/>
        <w:ind w:firstLine="480" w:firstLineChars="200"/>
        <w:contextualSpacing/>
        <w:rPr>
          <w:rFonts w:ascii="宋体" w:hAnsi="宋体"/>
          <w:sz w:val="24"/>
        </w:rPr>
      </w:pPr>
      <w:r>
        <w:rPr>
          <w:rFonts w:ascii="宋体" w:hAnsi="宋体"/>
          <w:sz w:val="24"/>
        </w:rPr>
        <w:t>2、对符合提出质疑要求的，采购人、代理机构签收并出具《质疑受理通知书》。在处理过程中，发现需要质疑人进一步补充相关佐证材料的，请质疑人在规定的时间内提供，质疑回复时间相应顺延。质疑人不能按时提供相关佐证材料的，视同放弃质疑。</w:t>
      </w:r>
    </w:p>
    <w:p>
      <w:pPr>
        <w:adjustRightInd w:val="0"/>
        <w:snapToGrid w:val="0"/>
        <w:spacing w:line="500" w:lineRule="exact"/>
        <w:ind w:firstLine="480" w:firstLineChars="200"/>
        <w:contextualSpacing/>
        <w:rPr>
          <w:rFonts w:ascii="宋体" w:hAnsi="宋体"/>
          <w:sz w:val="24"/>
        </w:rPr>
      </w:pPr>
      <w:r>
        <w:rPr>
          <w:rFonts w:ascii="宋体" w:hAnsi="宋体"/>
          <w:sz w:val="24"/>
        </w:rPr>
        <w:t>3、对不符合提出质疑要求的，出具《质疑退回通知书》并提出相关补充材料要求，质疑人未在规定的时间内提供补充佐证材料的，视同放弃质疑。</w:t>
      </w:r>
    </w:p>
    <w:p>
      <w:pPr>
        <w:adjustRightInd w:val="0"/>
        <w:snapToGrid w:val="0"/>
        <w:spacing w:line="500" w:lineRule="exact"/>
        <w:ind w:firstLine="480" w:firstLineChars="200"/>
        <w:contextualSpacing/>
        <w:rPr>
          <w:rFonts w:ascii="宋体" w:hAnsi="宋体"/>
          <w:sz w:val="24"/>
        </w:rPr>
      </w:pPr>
      <w:r>
        <w:rPr>
          <w:rFonts w:ascii="宋体" w:hAnsi="宋体"/>
          <w:sz w:val="24"/>
        </w:rPr>
        <w:t>4、采购单位、代理机构负责将质疑人提出的质疑相关材料提供给相关专家或评标小组审核，并将审核意见回复质疑人。</w:t>
      </w:r>
    </w:p>
    <w:p>
      <w:pPr>
        <w:adjustRightInd w:val="0"/>
        <w:snapToGrid w:val="0"/>
        <w:spacing w:line="500" w:lineRule="exact"/>
        <w:ind w:firstLine="480" w:firstLineChars="200"/>
        <w:contextualSpacing/>
        <w:rPr>
          <w:rFonts w:ascii="宋体" w:hAnsi="宋体"/>
          <w:sz w:val="24"/>
        </w:rPr>
      </w:pPr>
      <w:r>
        <w:rPr>
          <w:rFonts w:ascii="宋体" w:hAnsi="宋体"/>
          <w:sz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adjustRightInd w:val="0"/>
        <w:snapToGrid w:val="0"/>
        <w:spacing w:line="500" w:lineRule="exact"/>
        <w:ind w:firstLine="480" w:firstLineChars="200"/>
        <w:contextualSpacing/>
        <w:rPr>
          <w:rFonts w:ascii="宋体" w:hAnsi="宋体"/>
          <w:sz w:val="24"/>
        </w:rPr>
      </w:pPr>
      <w:r>
        <w:rPr>
          <w:rFonts w:ascii="宋体" w:hAnsi="宋体"/>
          <w:sz w:val="24"/>
        </w:rPr>
        <w:t>5、因质疑情况复杂，组织论证或审查时间较长的，采购单位、代理机构以书面形式通知质疑人，可适当延长质疑回复处理时间。</w:t>
      </w:r>
    </w:p>
    <w:p>
      <w:pPr>
        <w:adjustRightInd w:val="0"/>
        <w:snapToGrid w:val="0"/>
        <w:spacing w:line="500" w:lineRule="exact"/>
        <w:ind w:firstLine="480" w:firstLineChars="200"/>
        <w:contextualSpacing/>
        <w:rPr>
          <w:rFonts w:ascii="宋体" w:hAnsi="宋体"/>
          <w:sz w:val="24"/>
        </w:rPr>
      </w:pPr>
      <w:r>
        <w:rPr>
          <w:rFonts w:ascii="宋体" w:hAnsi="宋体"/>
          <w:sz w:val="24"/>
        </w:rPr>
        <w:t>三、质疑处理</w:t>
      </w:r>
    </w:p>
    <w:p>
      <w:pPr>
        <w:adjustRightInd w:val="0"/>
        <w:snapToGrid w:val="0"/>
        <w:spacing w:line="500" w:lineRule="exact"/>
        <w:ind w:firstLine="480" w:firstLineChars="200"/>
        <w:contextualSpacing/>
        <w:rPr>
          <w:rFonts w:ascii="宋体" w:hAnsi="宋体"/>
          <w:sz w:val="24"/>
        </w:rPr>
      </w:pPr>
      <w:r>
        <w:rPr>
          <w:rFonts w:ascii="宋体" w:hAnsi="宋体"/>
          <w:sz w:val="24"/>
        </w:rPr>
        <w:t>1、质疑成立的处理。采购单位或代理机构终止采购，并建议有关部门给相关当事人予以处理。</w:t>
      </w:r>
    </w:p>
    <w:p>
      <w:pPr>
        <w:adjustRightInd w:val="0"/>
        <w:snapToGrid w:val="0"/>
        <w:spacing w:line="500" w:lineRule="exact"/>
        <w:ind w:firstLine="480" w:firstLineChars="200"/>
        <w:contextualSpacing/>
        <w:rPr>
          <w:rFonts w:ascii="宋体" w:hAnsi="宋体"/>
          <w:sz w:val="24"/>
        </w:rPr>
      </w:pPr>
      <w:r>
        <w:rPr>
          <w:rFonts w:ascii="宋体" w:hAnsi="宋体"/>
          <w:sz w:val="24"/>
        </w:rPr>
        <w:t>2、质疑不成立的处理。</w:t>
      </w:r>
    </w:p>
    <w:p>
      <w:pPr>
        <w:adjustRightInd w:val="0"/>
        <w:snapToGrid w:val="0"/>
        <w:spacing w:line="500" w:lineRule="exact"/>
        <w:ind w:firstLine="480" w:firstLineChars="200"/>
        <w:contextualSpacing/>
        <w:jc w:val="left"/>
        <w:rPr>
          <w:rFonts w:ascii="宋体" w:hAnsi="宋体"/>
          <w:sz w:val="24"/>
        </w:rPr>
      </w:pPr>
      <w:r>
        <w:rPr>
          <w:rFonts w:hint="eastAsia" w:ascii="宋体" w:hAnsi="宋体"/>
          <w:sz w:val="24"/>
        </w:rPr>
        <w:t>（</w:t>
      </w:r>
      <w:r>
        <w:rPr>
          <w:rFonts w:ascii="宋体" w:hAnsi="宋体"/>
          <w:sz w:val="24"/>
        </w:rPr>
        <w:t>1）质疑人书面《申请撤回质疑函》的，不作违约处理。</w:t>
      </w:r>
    </w:p>
    <w:p>
      <w:pPr>
        <w:adjustRightInd w:val="0"/>
        <w:snapToGrid w:val="0"/>
        <w:spacing w:line="500" w:lineRule="exact"/>
        <w:ind w:firstLine="480" w:firstLineChars="200"/>
        <w:contextualSpacing/>
        <w:jc w:val="left"/>
        <w:rPr>
          <w:rFonts w:ascii="宋体" w:hAnsi="宋体"/>
          <w:sz w:val="24"/>
        </w:rPr>
      </w:pPr>
      <w:r>
        <w:rPr>
          <w:rFonts w:hint="eastAsia" w:ascii="宋体" w:hAnsi="宋体"/>
          <w:sz w:val="24"/>
        </w:rPr>
        <w:t>（</w:t>
      </w:r>
      <w:r>
        <w:rPr>
          <w:rFonts w:ascii="宋体" w:hAnsi="宋体"/>
          <w:sz w:val="24"/>
        </w:rPr>
        <w:t>2）质疑人在规定的时间内不配合进行质疑调查处理的，按自动撤回《质疑函》处理。</w:t>
      </w:r>
    </w:p>
    <w:p>
      <w:pPr>
        <w:adjustRightInd w:val="0"/>
        <w:snapToGrid w:val="0"/>
        <w:spacing w:line="500" w:lineRule="exact"/>
        <w:ind w:firstLine="480" w:firstLineChars="200"/>
        <w:contextualSpacing/>
        <w:jc w:val="left"/>
        <w:rPr>
          <w:rFonts w:ascii="宋体" w:hAnsi="宋体"/>
          <w:sz w:val="24"/>
        </w:rPr>
      </w:pPr>
      <w:r>
        <w:rPr>
          <w:rFonts w:hint="eastAsia" w:ascii="宋体" w:hAnsi="宋体"/>
          <w:sz w:val="24"/>
        </w:rPr>
        <w:t>（</w:t>
      </w:r>
      <w:r>
        <w:rPr>
          <w:rFonts w:ascii="宋体" w:hAnsi="宋体"/>
          <w:sz w:val="24"/>
        </w:rPr>
        <w:t>3）质疑人不按《质疑函》格式就提出质疑的，作违约处理。同时，视情列入不良供应商名单。</w:t>
      </w:r>
    </w:p>
    <w:p>
      <w:pPr>
        <w:adjustRightInd w:val="0"/>
        <w:snapToGrid w:val="0"/>
        <w:spacing w:line="500" w:lineRule="exact"/>
        <w:ind w:firstLine="480" w:firstLineChars="200"/>
        <w:contextualSpacing/>
        <w:jc w:val="left"/>
        <w:rPr>
          <w:rFonts w:ascii="宋体" w:hAnsi="宋体"/>
          <w:sz w:val="24"/>
        </w:rPr>
      </w:pPr>
      <w:r>
        <w:rPr>
          <w:rFonts w:hint="eastAsia" w:ascii="宋体" w:hAnsi="宋体"/>
          <w:sz w:val="24"/>
        </w:rPr>
        <w:t>（</w:t>
      </w:r>
      <w:r>
        <w:rPr>
          <w:rFonts w:ascii="宋体" w:hAnsi="宋体"/>
          <w:sz w:val="24"/>
        </w:rPr>
        <w:t>4）质疑人虽提供了相关佐证材料，但不能证明其质疑成立的，采购单位或代理机构请质疑人补充相关佐证材料，仍不能证明其质疑成立的，作违约处理。并将其列入不良供应商名单。</w:t>
      </w:r>
    </w:p>
    <w:p>
      <w:pPr>
        <w:adjustRightInd w:val="0"/>
        <w:snapToGrid w:val="0"/>
        <w:spacing w:line="500" w:lineRule="exact"/>
        <w:ind w:firstLine="480" w:firstLineChars="200"/>
        <w:contextualSpacing/>
        <w:jc w:val="left"/>
        <w:rPr>
          <w:rFonts w:ascii="宋体" w:hAnsi="宋体"/>
          <w:sz w:val="24"/>
        </w:rPr>
      </w:pPr>
      <w:r>
        <w:rPr>
          <w:rFonts w:hint="eastAsia" w:ascii="宋体" w:hAnsi="宋体"/>
          <w:sz w:val="24"/>
        </w:rPr>
        <w:t>（</w:t>
      </w:r>
      <w:r>
        <w:rPr>
          <w:rFonts w:ascii="宋体" w:hAnsi="宋体"/>
          <w:sz w:val="24"/>
        </w:rPr>
        <w:t>5）质疑人不能提供相关佐证材料的，采购单位、代理机构已指出，质疑人仍然坚持提出质疑的，作违约处理。同时，列入不良供应商名单。</w:t>
      </w:r>
    </w:p>
    <w:p>
      <w:pPr>
        <w:adjustRightInd w:val="0"/>
        <w:snapToGrid w:val="0"/>
        <w:spacing w:line="500" w:lineRule="exact"/>
        <w:ind w:firstLine="480" w:firstLineChars="200"/>
        <w:contextualSpacing/>
        <w:jc w:val="left"/>
        <w:rPr>
          <w:rFonts w:ascii="宋体" w:hAnsi="宋体"/>
          <w:sz w:val="24"/>
        </w:rPr>
      </w:pPr>
      <w:r>
        <w:rPr>
          <w:rFonts w:hint="eastAsia" w:ascii="宋体" w:hAnsi="宋体"/>
          <w:sz w:val="24"/>
        </w:rPr>
        <w:t>（</w:t>
      </w:r>
      <w:r>
        <w:rPr>
          <w:rFonts w:ascii="宋体" w:hAnsi="宋体"/>
          <w:sz w:val="24"/>
        </w:rPr>
        <w:t>6）对明显有违事实的、经相关专家或评标小组认定无依据的、经其他供应商举证无依据的质疑，作违约处理，列入不良供应商名单；同时，对其中每一项不成立的质疑给予质疑人1年内禁入本区域内的政府采购活动的违约处理，依次类推；视情在南通政府采购网、省、国家级相关媒体予以披露。</w:t>
      </w:r>
    </w:p>
    <w:p>
      <w:pPr>
        <w:adjustRightInd w:val="0"/>
        <w:snapToGrid w:val="0"/>
        <w:spacing w:line="500" w:lineRule="exact"/>
        <w:ind w:firstLine="480" w:firstLineChars="200"/>
        <w:contextualSpacing/>
        <w:jc w:val="left"/>
        <w:rPr>
          <w:rFonts w:ascii="宋体" w:hAnsi="宋体"/>
          <w:sz w:val="24"/>
        </w:rPr>
      </w:pPr>
      <w:r>
        <w:rPr>
          <w:rFonts w:hint="eastAsia" w:ascii="宋体" w:hAnsi="宋体"/>
          <w:sz w:val="24"/>
        </w:rPr>
        <w:t>（</w:t>
      </w:r>
      <w:r>
        <w:rPr>
          <w:rFonts w:ascii="宋体" w:hAnsi="宋体"/>
          <w:sz w:val="24"/>
        </w:rPr>
        <w:t>7）质疑人承担使用虚假材料或恶意方式质疑的法律责任。</w:t>
      </w:r>
    </w:p>
    <w:p>
      <w:pPr>
        <w:adjustRightInd w:val="0"/>
        <w:snapToGrid w:val="0"/>
        <w:spacing w:line="500" w:lineRule="exact"/>
        <w:ind w:firstLine="480" w:firstLineChars="200"/>
        <w:contextualSpacing/>
        <w:rPr>
          <w:rFonts w:ascii="宋体" w:hAnsi="宋体"/>
          <w:sz w:val="24"/>
        </w:rPr>
      </w:pPr>
      <w:r>
        <w:rPr>
          <w:rFonts w:ascii="宋体" w:hAnsi="宋体"/>
          <w:sz w:val="24"/>
        </w:rPr>
        <w:t>四、无佐证材料的举报作违约处理。供应商不得进行不提供相关佐证材料（含无法查实的如宣传册、媒体报道、猜测、推理等）向有关部门的举报，否则作违约处理。同时对其在1至3年内禁入由采购人组织的政府采购活动的违约处理。</w:t>
      </w:r>
    </w:p>
    <w:p>
      <w:pPr>
        <w:adjustRightInd w:val="0"/>
        <w:snapToGrid w:val="0"/>
        <w:spacing w:line="500" w:lineRule="exact"/>
        <w:ind w:firstLine="480" w:firstLineChars="200"/>
        <w:contextualSpacing/>
        <w:rPr>
          <w:rFonts w:ascii="宋体" w:hAnsi="宋体"/>
          <w:sz w:val="24"/>
        </w:rPr>
      </w:pPr>
      <w:r>
        <w:rPr>
          <w:rFonts w:ascii="宋体" w:hAnsi="宋体"/>
          <w:sz w:val="24"/>
        </w:rPr>
        <w:t>五、投诉不成立的作违约处理。供应商进行质疑后，采购人回复质疑不成立，供应商仍进行投诉的，并最终投诉不成立的，作违约处理。采购人有权对其在1至3年内禁入由采购人组织的政府采购活动的违约处理。</w:t>
      </w:r>
    </w:p>
    <w:p>
      <w:pPr>
        <w:adjustRightInd w:val="0"/>
        <w:snapToGrid w:val="0"/>
        <w:spacing w:line="500" w:lineRule="exact"/>
        <w:ind w:firstLine="480" w:firstLineChars="200"/>
        <w:contextualSpacing/>
        <w:rPr>
          <w:rFonts w:ascii="宋体" w:hAnsi="宋体"/>
          <w:sz w:val="24"/>
        </w:rPr>
      </w:pPr>
      <w:r>
        <w:rPr>
          <w:rFonts w:ascii="宋体" w:hAnsi="宋体"/>
          <w:sz w:val="24"/>
        </w:rPr>
        <w:t>六、《质疑函》、《质疑回复函》，质疑、举报、投诉不成立的等相关情况，视情在南通政府采购网、省、国家级等相关媒体予以披露。并建议相关政府采购机构对该供应商同步实施1至3年内禁入。</w:t>
      </w:r>
    </w:p>
    <w:p>
      <w:pPr>
        <w:adjustRightInd w:val="0"/>
        <w:snapToGrid w:val="0"/>
        <w:spacing w:line="500" w:lineRule="exact"/>
        <w:ind w:firstLine="480" w:firstLineChars="200"/>
        <w:contextualSpacing/>
        <w:rPr>
          <w:rFonts w:ascii="宋体" w:hAnsi="宋体"/>
          <w:sz w:val="24"/>
        </w:rPr>
      </w:pPr>
      <w:r>
        <w:rPr>
          <w:rFonts w:ascii="宋体" w:hAnsi="宋体"/>
          <w:sz w:val="24"/>
        </w:rPr>
        <w:t>七、质疑供应商对采购人或代理机构的答复不满意或者采购人或代理机构未在规定的时间内作出答复的，可以在答复期满后15个工作日内向</w:t>
      </w:r>
      <w:r>
        <w:rPr>
          <w:rFonts w:hint="eastAsia" w:ascii="宋体" w:hAnsi="宋体"/>
          <w:sz w:val="24"/>
        </w:rPr>
        <w:t>崇川</w:t>
      </w:r>
      <w:r>
        <w:rPr>
          <w:rFonts w:ascii="宋体" w:hAnsi="宋体"/>
          <w:sz w:val="24"/>
        </w:rPr>
        <w:t>区政府采购监督管理部门投诉。</w:t>
      </w:r>
    </w:p>
    <w:p>
      <w:pPr>
        <w:pStyle w:val="3"/>
        <w:keepNext w:val="0"/>
        <w:keepLines w:val="0"/>
        <w:numPr>
          <w:ilvl w:val="0"/>
          <w:numId w:val="0"/>
        </w:numPr>
        <w:snapToGrid w:val="0"/>
        <w:spacing w:before="0" w:afterLines="50" w:line="520" w:lineRule="exact"/>
        <w:ind w:left="420"/>
        <w:jc w:val="center"/>
        <w:rPr>
          <w:rFonts w:ascii="宋体" w:cs="Times New Roman"/>
        </w:rPr>
      </w:pPr>
      <w:r>
        <w:rPr>
          <w:rFonts w:ascii="宋体" w:hAnsi="宋体" w:cs="宋体"/>
          <w:bCs w:val="0"/>
          <w:w w:val="80"/>
          <w:sz w:val="24"/>
          <w:szCs w:val="21"/>
        </w:rPr>
        <w:br w:type="page"/>
      </w:r>
      <w:r>
        <w:rPr>
          <w:rFonts w:hint="eastAsia" w:ascii="宋体" w:hAnsi="宋体" w:cs="宋体"/>
          <w:w w:val="80"/>
        </w:rPr>
        <w:t>第八章  响应文件组成及格式</w:t>
      </w:r>
      <w:bookmarkEnd w:id="64"/>
    </w:p>
    <w:p>
      <w:pPr>
        <w:widowControl/>
        <w:snapToGrid w:val="0"/>
        <w:spacing w:line="360" w:lineRule="auto"/>
        <w:ind w:firstLine="472" w:firstLineChars="196"/>
        <w:jc w:val="left"/>
        <w:rPr>
          <w:rFonts w:ascii="宋体"/>
          <w:b/>
          <w:bCs/>
          <w:sz w:val="24"/>
          <w:szCs w:val="24"/>
        </w:rPr>
      </w:pPr>
      <w:r>
        <w:rPr>
          <w:rFonts w:hint="eastAsia" w:ascii="宋体" w:hAnsi="宋体" w:cs="宋体"/>
          <w:b/>
          <w:bCs/>
          <w:sz w:val="24"/>
          <w:szCs w:val="24"/>
        </w:rPr>
        <w:t>响应文件由资格审查文件、技术响应文件</w:t>
      </w:r>
      <w:r>
        <w:rPr>
          <w:rFonts w:hint="eastAsia" w:ascii="宋体" w:hAnsi="宋体" w:cs="宋体"/>
          <w:b/>
          <w:bCs/>
          <w:sz w:val="24"/>
          <w:szCs w:val="24"/>
          <w:lang w:eastAsia="zh-CN"/>
        </w:rPr>
        <w:t>二</w:t>
      </w:r>
      <w:r>
        <w:rPr>
          <w:rFonts w:hint="eastAsia" w:ascii="宋体" w:hAnsi="宋体" w:cs="宋体"/>
          <w:b/>
          <w:bCs/>
          <w:sz w:val="24"/>
          <w:szCs w:val="24"/>
        </w:rPr>
        <w:t>部分组成。本次竞争性磋商采用资格后审方式，供应商须将资格审查文件作为响应文件组成部分，按磋商文件要求装订密封后一起递交。</w:t>
      </w:r>
    </w:p>
    <w:p>
      <w:pPr>
        <w:keepNext w:val="0"/>
        <w:keepLines w:val="0"/>
        <w:pageBreakBefore w:val="0"/>
        <w:widowControl/>
        <w:kinsoku/>
        <w:wordWrap/>
        <w:overflowPunct/>
        <w:topLinePunct w:val="0"/>
        <w:autoSpaceDE/>
        <w:autoSpaceDN/>
        <w:bidi w:val="0"/>
        <w:adjustRightInd/>
        <w:snapToGrid w:val="0"/>
        <w:spacing w:line="360" w:lineRule="auto"/>
        <w:ind w:firstLine="482" w:firstLineChars="200"/>
        <w:jc w:val="left"/>
        <w:textAlignment w:val="auto"/>
        <w:rPr>
          <w:rFonts w:ascii="宋体"/>
          <w:b/>
          <w:bCs/>
          <w:sz w:val="24"/>
          <w:szCs w:val="24"/>
        </w:rPr>
      </w:pPr>
      <w:r>
        <w:rPr>
          <w:rFonts w:hint="eastAsia" w:ascii="宋体" w:hAnsi="宋体" w:cs="宋体"/>
          <w:b/>
          <w:bCs/>
          <w:sz w:val="24"/>
          <w:szCs w:val="24"/>
        </w:rPr>
        <w:t>一、资格审查文件</w:t>
      </w:r>
      <w:r>
        <w:rPr>
          <w:rFonts w:hint="eastAsia" w:ascii="宋体" w:hAnsi="宋体" w:cs="宋体"/>
          <w:b/>
          <w:bCs/>
          <w:sz w:val="24"/>
          <w:szCs w:val="24"/>
          <w:lang w:val="zh-CN"/>
        </w:rPr>
        <w:t>（</w:t>
      </w:r>
      <w:r>
        <w:rPr>
          <w:rFonts w:hint="eastAsia" w:ascii="宋体" w:hAnsi="宋体" w:cs="宋体"/>
          <w:b/>
          <w:bCs/>
          <w:sz w:val="24"/>
          <w:szCs w:val="24"/>
        </w:rPr>
        <w:t>单独密封</w:t>
      </w:r>
      <w:r>
        <w:rPr>
          <w:rFonts w:hint="eastAsia" w:ascii="宋体" w:hAnsi="宋体" w:cs="宋体"/>
          <w:b/>
          <w:bCs/>
          <w:sz w:val="24"/>
          <w:szCs w:val="24"/>
          <w:lang w:val="zh-CN"/>
        </w:rPr>
        <w:t>）</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rPr>
        <w:t>1、供应商必须具有独立的法人资格，</w:t>
      </w:r>
      <w:r>
        <w:rPr>
          <w:rFonts w:hint="eastAsia" w:ascii="宋体" w:hAnsi="宋体"/>
          <w:sz w:val="24"/>
          <w:szCs w:val="24"/>
          <w:highlight w:val="none"/>
          <w:lang w:eastAsia="zh-CN"/>
        </w:rPr>
        <w:t>提供</w:t>
      </w:r>
      <w:r>
        <w:rPr>
          <w:rFonts w:hint="eastAsia" w:ascii="宋体" w:hAnsi="宋体"/>
          <w:sz w:val="24"/>
          <w:szCs w:val="24"/>
          <w:highlight w:val="none"/>
        </w:rPr>
        <w:t>有效</w:t>
      </w:r>
      <w:r>
        <w:rPr>
          <w:rFonts w:hint="eastAsia" w:ascii="宋体" w:hAnsi="宋体"/>
          <w:sz w:val="24"/>
          <w:szCs w:val="24"/>
          <w:highlight w:val="none"/>
          <w:lang w:eastAsia="zh-CN"/>
        </w:rPr>
        <w:t>的</w:t>
      </w:r>
      <w:r>
        <w:rPr>
          <w:rFonts w:hint="eastAsia" w:ascii="宋体" w:hAnsi="宋体"/>
          <w:sz w:val="24"/>
          <w:szCs w:val="24"/>
          <w:highlight w:val="none"/>
        </w:rPr>
        <w:t>营业执照</w:t>
      </w:r>
      <w:r>
        <w:rPr>
          <w:rFonts w:hint="eastAsia" w:ascii="宋体" w:hAnsi="宋体"/>
          <w:sz w:val="24"/>
          <w:szCs w:val="24"/>
          <w:highlight w:val="none"/>
          <w:lang w:eastAsia="zh-CN"/>
        </w:rPr>
        <w:t>副本复印件</w:t>
      </w:r>
      <w:r>
        <w:rPr>
          <w:rFonts w:hint="eastAsia" w:ascii="宋体" w:hAnsi="宋体"/>
          <w:sz w:val="24"/>
          <w:szCs w:val="24"/>
          <w:highlight w:val="none"/>
        </w:rPr>
        <w:t>及税务登记证</w:t>
      </w:r>
      <w:r>
        <w:rPr>
          <w:rFonts w:hint="eastAsia" w:ascii="宋体" w:hAnsi="宋体"/>
          <w:sz w:val="24"/>
          <w:szCs w:val="24"/>
          <w:highlight w:val="none"/>
          <w:lang w:eastAsia="zh-CN"/>
        </w:rPr>
        <w:t>副本复印件</w:t>
      </w:r>
      <w:r>
        <w:rPr>
          <w:rFonts w:hint="eastAsia" w:ascii="宋体" w:hAnsi="宋体"/>
          <w:sz w:val="24"/>
          <w:szCs w:val="24"/>
          <w:highlight w:val="none"/>
        </w:rPr>
        <w:t>（或者是三证合一的营业执照</w:t>
      </w:r>
      <w:r>
        <w:rPr>
          <w:rFonts w:hint="eastAsia" w:ascii="宋体" w:hAnsi="宋体"/>
          <w:sz w:val="24"/>
          <w:szCs w:val="24"/>
          <w:highlight w:val="none"/>
          <w:lang w:eastAsia="zh-CN"/>
        </w:rPr>
        <w:t>副本复印件</w:t>
      </w:r>
      <w:r>
        <w:rPr>
          <w:rFonts w:hint="eastAsia" w:ascii="宋体" w:hAnsi="宋体"/>
          <w:sz w:val="24"/>
          <w:szCs w:val="24"/>
          <w:highlight w:val="none"/>
        </w:rPr>
        <w:t>）。</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szCs w:val="24"/>
          <w:lang w:eastAsia="zh-CN"/>
        </w:rPr>
      </w:pPr>
      <w:r>
        <w:rPr>
          <w:rFonts w:hint="eastAsia" w:ascii="宋体" w:hAnsi="宋体"/>
          <w:sz w:val="24"/>
          <w:szCs w:val="24"/>
          <w:highlight w:val="none"/>
          <w:lang w:val="en-US" w:eastAsia="zh-CN"/>
        </w:rPr>
        <w:t>2、</w:t>
      </w:r>
      <w:r>
        <w:rPr>
          <w:rFonts w:hint="eastAsia" w:ascii="宋体" w:hAnsi="宋体" w:cs="宋体"/>
          <w:sz w:val="24"/>
          <w:szCs w:val="24"/>
          <w:highlight w:val="none"/>
        </w:rPr>
        <w:t>供应商法定代表人参加投标的，必须提供法定代表人身份证明及法定代表人本人身份证复印件；非法定</w:t>
      </w:r>
      <w:r>
        <w:rPr>
          <w:rFonts w:hint="eastAsia" w:ascii="宋体" w:hAnsi="宋体" w:cs="宋体"/>
          <w:sz w:val="24"/>
          <w:szCs w:val="24"/>
        </w:rPr>
        <w:t>代表人参加投标的，必须提供法定代表人签字或盖章的授权委托书及法定代表人、被授权人的两人身份证的复印件</w:t>
      </w:r>
      <w:r>
        <w:rPr>
          <w:sz w:val="24"/>
          <w:szCs w:val="24"/>
        </w:rPr>
        <w:t>，被授权人为供应商正式人员证明材料</w:t>
      </w:r>
      <w:r>
        <w:rPr>
          <w:rFonts w:hint="eastAsia" w:ascii="宋体" w:hAnsi="宋体" w:eastAsia="宋体" w:cs="宋体"/>
          <w:color w:val="000000"/>
          <w:sz w:val="24"/>
          <w:szCs w:val="24"/>
        </w:rPr>
        <w:t>【提供</w:t>
      </w:r>
      <w:r>
        <w:rPr>
          <w:rFonts w:hint="eastAsia" w:ascii="宋体" w:hAnsi="宋体" w:eastAsia="宋体" w:cs="宋体"/>
          <w:color w:val="000000"/>
          <w:sz w:val="24"/>
          <w:szCs w:val="24"/>
          <w:lang w:eastAsia="zh-CN"/>
        </w:rPr>
        <w:t>①</w:t>
      </w:r>
      <w:r>
        <w:rPr>
          <w:rFonts w:hint="eastAsia" w:ascii="宋体" w:hAnsi="宋体" w:eastAsia="宋体" w:cs="宋体"/>
          <w:color w:val="000000"/>
          <w:sz w:val="24"/>
          <w:szCs w:val="24"/>
        </w:rPr>
        <w:t>与供应商签订的有效劳动合同复印件</w:t>
      </w:r>
      <w:r>
        <w:rPr>
          <w:rFonts w:hint="eastAsia" w:ascii="宋体" w:hAnsi="宋体" w:eastAsia="宋体" w:cs="宋体"/>
          <w:color w:val="000000"/>
          <w:sz w:val="24"/>
          <w:szCs w:val="24"/>
          <w:lang w:eastAsia="zh-CN"/>
        </w:rPr>
        <w:t>；②</w:t>
      </w:r>
      <w:r>
        <w:rPr>
          <w:rFonts w:hint="eastAsia" w:ascii="宋体" w:hAnsi="宋体" w:eastAsia="宋体" w:cs="宋体"/>
          <w:color w:val="000000"/>
          <w:sz w:val="24"/>
          <w:szCs w:val="24"/>
        </w:rPr>
        <w:t>社保机构出具并盖章的供应商为</w:t>
      </w:r>
      <w:bookmarkStart w:id="65" w:name="_GoBack"/>
      <w:r>
        <w:rPr>
          <w:rFonts w:hint="eastAsia" w:ascii="宋体" w:hAnsi="宋体" w:eastAsia="宋体" w:cs="宋体"/>
          <w:color w:val="000000"/>
          <w:sz w:val="24"/>
          <w:szCs w:val="24"/>
          <w:highlight w:val="none"/>
        </w:rPr>
        <w:t>其缴纳202</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年</w:t>
      </w:r>
      <w:r>
        <w:rPr>
          <w:rFonts w:hint="eastAsia" w:ascii="宋体" w:hAnsi="宋体" w:cs="宋体"/>
          <w:color w:val="000000"/>
          <w:sz w:val="24"/>
          <w:szCs w:val="24"/>
          <w:highlight w:val="none"/>
          <w:lang w:val="en-US" w:eastAsia="zh-CN"/>
        </w:rPr>
        <w:t>06</w:t>
      </w:r>
      <w:r>
        <w:rPr>
          <w:rFonts w:hint="eastAsia" w:ascii="宋体" w:hAnsi="宋体" w:cs="宋体"/>
          <w:sz w:val="24"/>
          <w:szCs w:val="24"/>
          <w:highlight w:val="none"/>
        </w:rPr>
        <w:t>月-202</w:t>
      </w:r>
      <w:r>
        <w:rPr>
          <w:rFonts w:hint="eastAsia" w:ascii="宋体" w:hAnsi="宋体" w:cs="宋体"/>
          <w:sz w:val="24"/>
          <w:szCs w:val="24"/>
          <w:highlight w:val="none"/>
          <w:lang w:val="en-US" w:eastAsia="zh-CN"/>
        </w:rPr>
        <w:t>1</w:t>
      </w:r>
      <w:r>
        <w:rPr>
          <w:rFonts w:hint="eastAsia" w:ascii="宋体" w:hAnsi="宋体" w:cs="宋体"/>
          <w:sz w:val="24"/>
          <w:szCs w:val="24"/>
          <w:highlight w:val="none"/>
        </w:rPr>
        <w:t>年</w:t>
      </w:r>
      <w:r>
        <w:rPr>
          <w:rFonts w:hint="eastAsia" w:ascii="宋体" w:hAnsi="宋体" w:cs="宋体"/>
          <w:sz w:val="24"/>
          <w:szCs w:val="24"/>
          <w:highlight w:val="none"/>
          <w:lang w:val="en-US" w:eastAsia="zh-CN"/>
        </w:rPr>
        <w:t>11</w:t>
      </w:r>
      <w:r>
        <w:rPr>
          <w:rFonts w:hint="eastAsia" w:ascii="宋体" w:hAnsi="宋体" w:cs="宋体"/>
          <w:sz w:val="24"/>
          <w:szCs w:val="24"/>
          <w:highlight w:val="none"/>
        </w:rPr>
        <w:t>月连续</w:t>
      </w:r>
      <w:r>
        <w:rPr>
          <w:rFonts w:hint="eastAsia" w:ascii="宋体" w:hAnsi="宋体" w:cs="宋体"/>
          <w:sz w:val="24"/>
          <w:szCs w:val="24"/>
          <w:highlight w:val="none"/>
          <w:lang w:val="en-US" w:eastAsia="zh-CN"/>
        </w:rPr>
        <w:t>六</w:t>
      </w:r>
      <w:r>
        <w:rPr>
          <w:rFonts w:hint="eastAsia" w:ascii="宋体" w:hAnsi="宋体" w:cs="宋体"/>
          <w:sz w:val="24"/>
          <w:szCs w:val="24"/>
          <w:highlight w:val="none"/>
        </w:rPr>
        <w:t>个月的养老保险缴费清单复印件】（格式参见</w:t>
      </w:r>
      <w:bookmarkEnd w:id="65"/>
      <w:r>
        <w:rPr>
          <w:rFonts w:hint="eastAsia" w:ascii="宋体" w:hAnsi="宋体" w:cs="宋体"/>
          <w:sz w:val="24"/>
          <w:szCs w:val="24"/>
        </w:rPr>
        <w:t>第八章）</w:t>
      </w:r>
      <w:r>
        <w:rPr>
          <w:rFonts w:hint="eastAsia" w:ascii="宋体" w:hAnsi="宋体" w:cs="宋体"/>
          <w:sz w:val="24"/>
          <w:szCs w:val="24"/>
          <w:lang w:eastAsia="zh-CN"/>
        </w:rPr>
        <w:t>。</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val="en-US" w:eastAsia="zh-CN"/>
        </w:rPr>
        <w:t>3、</w:t>
      </w:r>
      <w:r>
        <w:rPr>
          <w:rFonts w:hint="eastAsia" w:ascii="宋体" w:hAnsi="宋体" w:cs="宋体"/>
          <w:sz w:val="24"/>
          <w:szCs w:val="24"/>
          <w:highlight w:val="none"/>
        </w:rPr>
        <w:t>供应商须提供参与本次项目政府采购活动前三年内，在经营活动中没有重大违法记录的书面《无重大违法记录声明函》（格式参见第八章）</w:t>
      </w:r>
      <w:r>
        <w:rPr>
          <w:rFonts w:hint="eastAsia" w:ascii="宋体" w:hAnsi="宋体" w:cs="宋体"/>
          <w:sz w:val="24"/>
          <w:szCs w:val="24"/>
          <w:highlight w:val="none"/>
          <w:lang w:eastAsia="zh-CN"/>
        </w:rPr>
        <w:t>。</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cs="宋体"/>
          <w:sz w:val="24"/>
          <w:szCs w:val="24"/>
          <w:highlight w:val="none"/>
        </w:rPr>
        <w:t>、供应商须提供资格文件声明函（格式参见第八章）</w:t>
      </w:r>
      <w:r>
        <w:rPr>
          <w:rFonts w:hint="eastAsia" w:ascii="宋体" w:hAnsi="宋体" w:cs="宋体"/>
          <w:sz w:val="24"/>
          <w:szCs w:val="24"/>
          <w:highlight w:val="none"/>
          <w:lang w:eastAsia="zh-CN"/>
        </w:rPr>
        <w:t>。</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注：以上材料如为复印件均需加盖单位公章。</w:t>
      </w:r>
    </w:p>
    <w:p>
      <w:pPr>
        <w:keepNext w:val="0"/>
        <w:keepLines w:val="0"/>
        <w:pageBreakBefore w:val="0"/>
        <w:widowControl/>
        <w:kinsoku/>
        <w:wordWrap/>
        <w:overflowPunct/>
        <w:topLinePunct w:val="0"/>
        <w:autoSpaceDE/>
        <w:autoSpaceDN/>
        <w:bidi w:val="0"/>
        <w:adjustRightInd/>
        <w:snapToGrid w:val="0"/>
        <w:spacing w:line="360" w:lineRule="auto"/>
        <w:ind w:firstLine="482" w:firstLineChars="200"/>
        <w:jc w:val="left"/>
        <w:textAlignment w:val="auto"/>
        <w:rPr>
          <w:rFonts w:hint="eastAsia" w:ascii="宋体" w:hAnsi="宋体" w:cs="宋体"/>
          <w:b/>
          <w:bCs/>
          <w:sz w:val="24"/>
          <w:szCs w:val="24"/>
        </w:rPr>
      </w:pPr>
      <w:r>
        <w:rPr>
          <w:rFonts w:hint="eastAsia" w:ascii="宋体" w:hAnsi="宋体" w:cs="宋体"/>
          <w:b/>
          <w:bCs/>
          <w:sz w:val="24"/>
          <w:szCs w:val="24"/>
        </w:rPr>
        <w:t>二、技术响应文件（单独密封）：</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sz w:val="24"/>
          <w:szCs w:val="24"/>
        </w:rPr>
      </w:pPr>
      <w:r>
        <w:rPr>
          <w:rFonts w:hint="eastAsia" w:ascii="宋体" w:hAnsi="宋体"/>
          <w:sz w:val="24"/>
          <w:szCs w:val="24"/>
        </w:rPr>
        <w:t>1、竞争性磋商响应函（格式参见第八章）。</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sz w:val="24"/>
          <w:szCs w:val="24"/>
        </w:rPr>
      </w:pPr>
      <w:r>
        <w:rPr>
          <w:rFonts w:hint="eastAsia" w:ascii="宋体" w:hAnsi="宋体"/>
          <w:sz w:val="24"/>
          <w:szCs w:val="24"/>
          <w:lang w:val="en-US" w:eastAsia="zh-CN"/>
        </w:rPr>
        <w:t>2</w:t>
      </w:r>
      <w:r>
        <w:rPr>
          <w:rFonts w:hint="eastAsia" w:ascii="宋体" w:hAnsi="宋体"/>
          <w:sz w:val="24"/>
          <w:szCs w:val="24"/>
        </w:rPr>
        <w:t>、评审评分项技术响应评分中所涉及的事项需提供的所有资料。</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、评审评分项中未涉及的事项，投标人认为需要提交的其他资料。</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、招标文件项目需求中要求提供的其他材料。</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sz w:val="24"/>
          <w:szCs w:val="24"/>
        </w:rPr>
      </w:pPr>
      <w:r>
        <w:rPr>
          <w:rFonts w:hint="eastAsia" w:ascii="宋体" w:hAnsi="宋体"/>
          <w:sz w:val="24"/>
          <w:szCs w:val="24"/>
        </w:rPr>
        <w:t>注：为方便评委评审，请投标供应商按评审评分项中所涉及的事项顺序进行编制，可以补充相关材料。</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ascii="宋体" w:hAnsi="宋体" w:cs="宋体"/>
          <w:b/>
          <w:bCs/>
          <w:sz w:val="24"/>
          <w:szCs w:val="24"/>
        </w:rPr>
      </w:pPr>
      <w:r>
        <w:rPr>
          <w:rFonts w:hint="eastAsia" w:ascii="宋体" w:hAnsi="宋体" w:cs="宋体"/>
          <w:b/>
          <w:bCs/>
          <w:sz w:val="24"/>
          <w:szCs w:val="24"/>
        </w:rPr>
        <w:t>特别提醒：“资格审查文件”所须提供的材料（须加盖投标供应商公章）按招标文件要求装订，密封，递交。</w:t>
      </w:r>
    </w:p>
    <w:p>
      <w:pPr>
        <w:pStyle w:val="52"/>
        <w:ind w:firstLine="480"/>
        <w:rPr>
          <w:rFonts w:cs="Times New Roman"/>
        </w:rPr>
      </w:pPr>
    </w:p>
    <w:p>
      <w:pPr>
        <w:widowControl/>
        <w:snapToGrid w:val="0"/>
        <w:spacing w:line="360" w:lineRule="auto"/>
        <w:ind w:firstLine="551" w:firstLineChars="196"/>
        <w:jc w:val="left"/>
        <w:rPr>
          <w:rFonts w:ascii="宋体"/>
          <w:b/>
          <w:bCs/>
          <w:sz w:val="28"/>
          <w:szCs w:val="28"/>
        </w:rPr>
      </w:pPr>
      <w:r>
        <w:rPr>
          <w:rFonts w:ascii="宋体"/>
          <w:b/>
          <w:bCs/>
          <w:sz w:val="28"/>
          <w:szCs w:val="28"/>
        </w:rPr>
        <w:br w:type="page"/>
      </w:r>
      <w:r>
        <w:rPr>
          <w:rFonts w:hint="eastAsia" w:ascii="宋体" w:hAnsi="宋体" w:cs="宋体"/>
          <w:b/>
          <w:bCs/>
          <w:sz w:val="28"/>
          <w:szCs w:val="28"/>
        </w:rPr>
        <w:t>附件：</w:t>
      </w:r>
    </w:p>
    <w:p>
      <w:pPr>
        <w:snapToGrid w:val="0"/>
        <w:spacing w:line="520" w:lineRule="exact"/>
        <w:jc w:val="center"/>
        <w:outlineLvl w:val="3"/>
        <w:rPr>
          <w:rFonts w:ascii="宋体"/>
          <w:b/>
          <w:bCs/>
          <w:sz w:val="28"/>
          <w:szCs w:val="28"/>
        </w:rPr>
      </w:pPr>
      <w:r>
        <w:rPr>
          <w:rFonts w:ascii="宋体" w:hAnsi="宋体" w:cs="宋体"/>
          <w:b/>
          <w:bCs/>
          <w:sz w:val="28"/>
          <w:szCs w:val="28"/>
        </w:rPr>
        <w:t>1</w:t>
      </w:r>
      <w:r>
        <w:rPr>
          <w:rFonts w:hint="eastAsia" w:ascii="宋体" w:hAnsi="宋体" w:cs="宋体"/>
          <w:b/>
          <w:bCs/>
          <w:sz w:val="28"/>
          <w:szCs w:val="28"/>
        </w:rPr>
        <w:t>、法定代表人身份证明</w:t>
      </w:r>
    </w:p>
    <w:p>
      <w:pPr>
        <w:snapToGrid w:val="0"/>
        <w:spacing w:line="520" w:lineRule="exact"/>
        <w:jc w:val="center"/>
        <w:rPr>
          <w:rFonts w:ascii="宋体"/>
          <w:sz w:val="24"/>
          <w:szCs w:val="24"/>
        </w:rPr>
      </w:pPr>
      <w:r>
        <w:rPr>
          <w:rFonts w:hint="eastAsia" w:ascii="宋体" w:hAnsi="宋体" w:cs="宋体"/>
          <w:sz w:val="24"/>
          <w:szCs w:val="24"/>
        </w:rPr>
        <w:t>（如法定代表人参加磋商，须出示此证明）</w:t>
      </w:r>
    </w:p>
    <w:p>
      <w:pPr>
        <w:snapToGrid w:val="0"/>
        <w:spacing w:line="520" w:lineRule="exact"/>
        <w:jc w:val="center"/>
        <w:rPr>
          <w:rFonts w:ascii="宋体"/>
          <w:sz w:val="24"/>
          <w:szCs w:val="24"/>
        </w:rPr>
      </w:pPr>
    </w:p>
    <w:p>
      <w:pPr>
        <w:snapToGrid w:val="0"/>
        <w:spacing w:line="520" w:lineRule="exact"/>
        <w:rPr>
          <w:rFonts w:ascii="宋体"/>
          <w:sz w:val="24"/>
          <w:szCs w:val="24"/>
          <w:u w:val="single"/>
        </w:rPr>
      </w:pPr>
      <w:r>
        <w:rPr>
          <w:rFonts w:hint="eastAsia" w:ascii="宋体" w:hAnsi="宋体" w:cs="宋体"/>
          <w:snapToGrid w:val="0"/>
          <w:kern w:val="0"/>
          <w:sz w:val="24"/>
          <w:szCs w:val="24"/>
          <w:u w:val="single"/>
          <w:lang w:eastAsia="zh-CN"/>
        </w:rPr>
        <w:t>南通市崇川区文化和旅游局</w:t>
      </w:r>
      <w:r>
        <w:rPr>
          <w:rFonts w:hint="eastAsia" w:ascii="宋体" w:hAnsi="宋体" w:cs="宋体"/>
          <w:sz w:val="24"/>
          <w:szCs w:val="24"/>
          <w:u w:val="single"/>
        </w:rPr>
        <w:t>：</w:t>
      </w:r>
    </w:p>
    <w:p>
      <w:pPr>
        <w:snapToGrid w:val="0"/>
        <w:spacing w:line="520" w:lineRule="exact"/>
        <w:ind w:firstLine="480" w:firstLineChars="200"/>
        <w:rPr>
          <w:rFonts w:ascii="宋体"/>
          <w:sz w:val="24"/>
          <w:szCs w:val="24"/>
        </w:rPr>
      </w:pPr>
      <w:r>
        <w:rPr>
          <w:rFonts w:hint="eastAsia" w:ascii="宋体" w:hAnsi="宋体" w:cs="宋体"/>
          <w:sz w:val="24"/>
          <w:szCs w:val="24"/>
        </w:rPr>
        <w:t>我公司法定代表人</w:t>
      </w:r>
      <w:r>
        <w:rPr>
          <w:rFonts w:hint="eastAsia" w:ascii="宋体" w:hAnsi="宋体" w:cs="宋体"/>
          <w:sz w:val="24"/>
          <w:szCs w:val="24"/>
          <w:u w:val="single"/>
        </w:rPr>
        <w:t>　　　</w:t>
      </w:r>
      <w:r>
        <w:rPr>
          <w:rFonts w:hint="eastAsia" w:ascii="宋体" w:hAnsi="宋体" w:cs="宋体"/>
          <w:sz w:val="24"/>
          <w:szCs w:val="24"/>
        </w:rPr>
        <w:t>参加贵单位组织的</w:t>
      </w:r>
      <w:r>
        <w:rPr>
          <w:rFonts w:hint="eastAsia" w:ascii="宋体" w:hAnsi="宋体" w:cs="宋体"/>
          <w:sz w:val="24"/>
          <w:szCs w:val="24"/>
          <w:u w:val="single"/>
        </w:rPr>
        <w:t>（竞争性磋商项目名称</w:t>
      </w:r>
      <w:r>
        <w:rPr>
          <w:rFonts w:ascii="宋体" w:hAnsi="宋体" w:cs="宋体"/>
          <w:sz w:val="24"/>
          <w:szCs w:val="24"/>
          <w:u w:val="single"/>
        </w:rPr>
        <w:t>)</w:t>
      </w:r>
      <w:r>
        <w:rPr>
          <w:rFonts w:hint="eastAsia" w:ascii="宋体" w:hAnsi="宋体" w:cs="宋体"/>
          <w:sz w:val="24"/>
          <w:szCs w:val="24"/>
        </w:rPr>
        <w:t>项目的磋商活动，全权代表我公司处理竞争性磋商的有关事宜。</w:t>
      </w:r>
    </w:p>
    <w:p>
      <w:pPr>
        <w:snapToGrid w:val="0"/>
        <w:spacing w:line="520" w:lineRule="exact"/>
        <w:rPr>
          <w:rFonts w:ascii="宋体"/>
          <w:sz w:val="24"/>
          <w:szCs w:val="24"/>
        </w:rPr>
      </w:pPr>
    </w:p>
    <w:p>
      <w:pPr>
        <w:snapToGrid w:val="0"/>
        <w:spacing w:line="520" w:lineRule="exact"/>
        <w:rPr>
          <w:rFonts w:ascii="宋体"/>
          <w:sz w:val="24"/>
          <w:szCs w:val="24"/>
        </w:rPr>
      </w:pPr>
      <w:r>
        <w:rPr>
          <w:rFonts w:hint="eastAsia" w:ascii="宋体" w:hAnsi="宋体" w:cs="宋体"/>
          <w:sz w:val="24"/>
          <w:szCs w:val="24"/>
        </w:rPr>
        <w:t>附：法定代表人情况：</w:t>
      </w:r>
    </w:p>
    <w:p>
      <w:pPr>
        <w:snapToGrid w:val="0"/>
        <w:spacing w:line="520" w:lineRule="exact"/>
        <w:rPr>
          <w:rFonts w:ascii="宋体"/>
          <w:sz w:val="24"/>
          <w:szCs w:val="24"/>
          <w:u w:val="single"/>
        </w:rPr>
      </w:pPr>
      <w:r>
        <w:rPr>
          <w:rFonts w:hint="eastAsia" w:ascii="宋体" w:hAnsi="宋体" w:cs="宋体"/>
          <w:sz w:val="24"/>
          <w:szCs w:val="24"/>
        </w:rPr>
        <w:t>姓名：              性别：                 年龄：                       职务：</w:t>
      </w:r>
    </w:p>
    <w:p>
      <w:pPr>
        <w:snapToGrid w:val="0"/>
        <w:spacing w:line="520" w:lineRule="exact"/>
        <w:rPr>
          <w:rFonts w:ascii="宋体"/>
          <w:sz w:val="24"/>
          <w:szCs w:val="24"/>
        </w:rPr>
      </w:pPr>
      <w:r>
        <w:rPr>
          <w:rFonts w:hint="eastAsia" w:ascii="宋体" w:hAnsi="宋体" w:cs="宋体"/>
          <w:sz w:val="24"/>
          <w:szCs w:val="24"/>
        </w:rPr>
        <w:t>身份证号码：</w:t>
      </w:r>
    </w:p>
    <w:p>
      <w:pPr>
        <w:snapToGrid w:val="0"/>
        <w:spacing w:line="520" w:lineRule="exact"/>
        <w:rPr>
          <w:rFonts w:ascii="宋体"/>
          <w:sz w:val="24"/>
          <w:szCs w:val="24"/>
        </w:rPr>
      </w:pPr>
      <w:r>
        <w:rPr>
          <w:rFonts w:hint="eastAsia" w:ascii="宋体" w:hAnsi="宋体" w:cs="宋体"/>
          <w:sz w:val="24"/>
          <w:szCs w:val="24"/>
        </w:rPr>
        <w:t>手机：                              传真：</w:t>
      </w:r>
    </w:p>
    <w:p>
      <w:pPr>
        <w:snapToGrid w:val="0"/>
        <w:spacing w:line="520" w:lineRule="exact"/>
        <w:rPr>
          <w:rFonts w:ascii="宋体"/>
          <w:sz w:val="24"/>
          <w:szCs w:val="24"/>
        </w:rPr>
      </w:pPr>
      <w:r>
        <w:rPr>
          <w:rFonts w:ascii="宋体"/>
          <w:sz w:val="24"/>
          <w:szCs w:val="24"/>
        </w:rPr>
        <w:t> </w:t>
      </w:r>
    </w:p>
    <w:p>
      <w:pPr>
        <w:snapToGrid w:val="0"/>
        <w:spacing w:line="520" w:lineRule="exact"/>
        <w:rPr>
          <w:rFonts w:ascii="宋体"/>
          <w:sz w:val="24"/>
          <w:szCs w:val="24"/>
        </w:rPr>
      </w:pPr>
    </w:p>
    <w:p>
      <w:pPr>
        <w:snapToGrid w:val="0"/>
        <w:spacing w:line="520" w:lineRule="exact"/>
        <w:rPr>
          <w:rFonts w:ascii="宋体"/>
          <w:sz w:val="24"/>
          <w:szCs w:val="24"/>
        </w:rPr>
      </w:pPr>
      <w:r>
        <w:rPr>
          <w:rFonts w:hint="eastAsia" w:ascii="宋体" w:hAnsi="宋体" w:cs="宋体"/>
          <w:sz w:val="24"/>
          <w:szCs w:val="24"/>
        </w:rPr>
        <w:t>单位名称（公章）                     法定代表人（签字或盖章）</w:t>
      </w:r>
    </w:p>
    <w:p>
      <w:pPr>
        <w:snapToGrid w:val="0"/>
        <w:spacing w:line="520" w:lineRule="exact"/>
        <w:ind w:firstLine="1200" w:firstLineChars="500"/>
        <w:rPr>
          <w:rFonts w:ascii="宋体"/>
          <w:sz w:val="24"/>
          <w:szCs w:val="24"/>
        </w:rPr>
      </w:pPr>
      <w:r>
        <w:rPr>
          <w:rFonts w:hint="eastAsia" w:ascii="宋体" w:hAnsi="宋体" w:cs="宋体"/>
          <w:sz w:val="24"/>
          <w:szCs w:val="24"/>
        </w:rPr>
        <w:t>年    月   日                年    月   日</w:t>
      </w:r>
    </w:p>
    <w:p>
      <w:pPr>
        <w:snapToGrid w:val="0"/>
        <w:spacing w:line="520" w:lineRule="exact"/>
        <w:rPr>
          <w:rFonts w:ascii="宋体"/>
          <w:sz w:val="24"/>
          <w:szCs w:val="24"/>
        </w:rPr>
      </w:pPr>
    </w:p>
    <w:p>
      <w:pPr>
        <w:snapToGrid w:val="0"/>
        <w:spacing w:line="520" w:lineRule="exact"/>
        <w:jc w:val="center"/>
        <w:rPr>
          <w:rFonts w:ascii="宋体"/>
          <w:b/>
          <w:bCs/>
          <w:sz w:val="24"/>
          <w:szCs w:val="24"/>
        </w:rPr>
      </w:pPr>
      <w:r>
        <w:rPr>
          <w:rFonts w:hint="eastAsia" w:ascii="宋体" w:hAnsi="宋体" w:cs="宋体"/>
          <w:b/>
          <w:bCs/>
          <w:sz w:val="24"/>
          <w:szCs w:val="24"/>
        </w:rPr>
        <w:t>法定代表人身份证复印件</w:t>
      </w:r>
    </w:p>
    <w:p>
      <w:pPr>
        <w:snapToGrid w:val="0"/>
        <w:spacing w:line="520" w:lineRule="exact"/>
        <w:rPr>
          <w:rFonts w:ascii="宋体"/>
          <w:sz w:val="24"/>
          <w:szCs w:val="24"/>
        </w:rPr>
      </w:pPr>
    </w:p>
    <w:p>
      <w:pPr>
        <w:snapToGrid w:val="0"/>
        <w:spacing w:line="520" w:lineRule="exact"/>
        <w:ind w:firstLine="3360" w:firstLineChars="1400"/>
        <w:rPr>
          <w:rFonts w:ascii="宋体" w:hAnsi="宋体" w:cs="宋体"/>
          <w:sz w:val="24"/>
          <w:szCs w:val="24"/>
        </w:rPr>
      </w:pPr>
    </w:p>
    <w:p>
      <w:pPr>
        <w:snapToGrid w:val="0"/>
        <w:spacing w:line="520" w:lineRule="exact"/>
        <w:ind w:firstLine="3360" w:firstLineChars="1400"/>
        <w:rPr>
          <w:rFonts w:ascii="宋体" w:hAnsi="宋体" w:cs="宋体"/>
          <w:sz w:val="24"/>
          <w:szCs w:val="24"/>
        </w:rPr>
      </w:pPr>
      <w:r>
        <w:rPr>
          <w:rFonts w:hint="eastAsia" w:ascii="宋体" w:hAnsi="宋体" w:cs="宋体"/>
          <w:sz w:val="24"/>
          <w:szCs w:val="24"/>
        </w:rPr>
        <w:t>（粘贴此处）</w:t>
      </w:r>
    </w:p>
    <w:p>
      <w:pPr>
        <w:pStyle w:val="52"/>
        <w:ind w:firstLine="480"/>
      </w:pPr>
    </w:p>
    <w:p>
      <w:pPr>
        <w:snapToGrid w:val="0"/>
        <w:spacing w:line="520" w:lineRule="exact"/>
        <w:ind w:firstLine="482" w:firstLineChars="200"/>
        <w:rPr>
          <w:rFonts w:ascii="宋体"/>
          <w:b/>
          <w:bCs/>
          <w:sz w:val="24"/>
          <w:szCs w:val="24"/>
        </w:rPr>
      </w:pPr>
    </w:p>
    <w:p>
      <w:pPr>
        <w:snapToGrid w:val="0"/>
        <w:spacing w:line="520" w:lineRule="exact"/>
        <w:ind w:firstLine="482" w:firstLineChars="200"/>
        <w:rPr>
          <w:rFonts w:ascii="宋体"/>
          <w:b/>
          <w:bCs/>
          <w:sz w:val="24"/>
          <w:szCs w:val="24"/>
        </w:rPr>
      </w:pPr>
      <w:r>
        <w:rPr>
          <w:rFonts w:hint="eastAsia" w:ascii="宋体" w:hAnsi="宋体" w:cs="宋体"/>
          <w:b/>
          <w:bCs/>
          <w:sz w:val="24"/>
          <w:szCs w:val="24"/>
        </w:rPr>
        <w:t>注</w:t>
      </w:r>
      <w:r>
        <w:rPr>
          <w:rFonts w:ascii="宋体" w:hAnsi="宋体" w:cs="宋体"/>
          <w:b/>
          <w:bCs/>
          <w:sz w:val="24"/>
          <w:szCs w:val="24"/>
        </w:rPr>
        <w:t>:</w:t>
      </w:r>
      <w:r>
        <w:rPr>
          <w:rFonts w:hint="eastAsia" w:ascii="宋体" w:hAnsi="宋体" w:cs="宋体"/>
          <w:b/>
          <w:bCs/>
          <w:sz w:val="24"/>
          <w:szCs w:val="24"/>
        </w:rPr>
        <w:t>参加磋商时法定代表人将身份证原件带至磋商现场备查。</w:t>
      </w:r>
    </w:p>
    <w:p>
      <w:pPr>
        <w:snapToGrid w:val="0"/>
        <w:spacing w:line="520" w:lineRule="exact"/>
        <w:jc w:val="center"/>
        <w:outlineLvl w:val="3"/>
        <w:rPr>
          <w:rFonts w:ascii="宋体"/>
          <w:b/>
          <w:bCs/>
          <w:sz w:val="28"/>
          <w:szCs w:val="28"/>
        </w:rPr>
      </w:pPr>
      <w:r>
        <w:rPr>
          <w:rFonts w:ascii="宋体"/>
          <w:b/>
          <w:bCs/>
          <w:sz w:val="24"/>
          <w:szCs w:val="24"/>
        </w:rPr>
        <w:br w:type="page"/>
      </w:r>
      <w:r>
        <w:rPr>
          <w:rFonts w:ascii="宋体" w:hAnsi="宋体" w:cs="宋体"/>
          <w:b/>
          <w:bCs/>
          <w:sz w:val="28"/>
          <w:szCs w:val="28"/>
        </w:rPr>
        <w:t>2</w:t>
      </w:r>
      <w:r>
        <w:rPr>
          <w:rFonts w:hint="eastAsia" w:ascii="宋体" w:hAnsi="宋体" w:cs="宋体"/>
          <w:b/>
          <w:bCs/>
          <w:sz w:val="28"/>
          <w:szCs w:val="28"/>
        </w:rPr>
        <w:t>、授权委托书</w:t>
      </w:r>
    </w:p>
    <w:p>
      <w:pPr>
        <w:snapToGrid w:val="0"/>
        <w:spacing w:line="520" w:lineRule="exact"/>
        <w:jc w:val="center"/>
        <w:rPr>
          <w:rFonts w:ascii="宋体"/>
          <w:sz w:val="24"/>
          <w:szCs w:val="24"/>
        </w:rPr>
      </w:pPr>
      <w:r>
        <w:rPr>
          <w:rFonts w:hint="eastAsia" w:ascii="宋体" w:hAnsi="宋体" w:cs="宋体"/>
          <w:sz w:val="24"/>
          <w:szCs w:val="24"/>
        </w:rPr>
        <w:t>（如被授权人参加磋商，须出示此证明）</w:t>
      </w:r>
    </w:p>
    <w:p>
      <w:pPr>
        <w:snapToGrid w:val="0"/>
        <w:spacing w:line="520" w:lineRule="exact"/>
        <w:jc w:val="center"/>
        <w:rPr>
          <w:rFonts w:ascii="宋体"/>
          <w:sz w:val="24"/>
          <w:szCs w:val="24"/>
        </w:rPr>
      </w:pPr>
    </w:p>
    <w:p>
      <w:pPr>
        <w:snapToGrid w:val="0"/>
        <w:spacing w:line="480" w:lineRule="exact"/>
        <w:rPr>
          <w:rFonts w:ascii="宋体"/>
          <w:sz w:val="24"/>
          <w:szCs w:val="24"/>
          <w:u w:val="single"/>
        </w:rPr>
      </w:pPr>
      <w:r>
        <w:rPr>
          <w:rFonts w:hint="eastAsia" w:ascii="宋体" w:hAnsi="宋体" w:cs="宋体"/>
          <w:sz w:val="24"/>
          <w:szCs w:val="24"/>
          <w:u w:val="single"/>
          <w:lang w:eastAsia="zh-CN"/>
        </w:rPr>
        <w:t>南通市崇川区文化和旅游局</w:t>
      </w:r>
      <w:r>
        <w:rPr>
          <w:rFonts w:hint="eastAsia" w:ascii="宋体" w:hAnsi="宋体" w:cs="宋体"/>
          <w:sz w:val="24"/>
          <w:szCs w:val="24"/>
          <w:u w:val="single"/>
        </w:rPr>
        <w:t>：</w:t>
      </w:r>
    </w:p>
    <w:p>
      <w:pPr>
        <w:snapToGrid w:val="0"/>
        <w:spacing w:line="480" w:lineRule="exact"/>
        <w:ind w:firstLine="480" w:firstLineChars="200"/>
        <w:rPr>
          <w:rFonts w:hAnsi="宋体"/>
          <w:sz w:val="24"/>
          <w:szCs w:val="24"/>
        </w:rPr>
      </w:pPr>
      <w:r>
        <w:rPr>
          <w:rFonts w:hint="eastAsia" w:hAnsi="宋体" w:cs="宋体"/>
          <w:sz w:val="24"/>
          <w:szCs w:val="24"/>
        </w:rPr>
        <w:t>兹授权</w:t>
      </w:r>
      <w:r>
        <w:rPr>
          <w:rFonts w:hint="eastAsia" w:hAnsi="宋体" w:cs="宋体"/>
          <w:sz w:val="24"/>
          <w:szCs w:val="24"/>
          <w:u w:val="single"/>
        </w:rPr>
        <w:t>（</w:t>
      </w:r>
      <w:r>
        <w:rPr>
          <w:rFonts w:hint="eastAsia" w:hAnsi="宋体" w:cs="宋体"/>
          <w:sz w:val="24"/>
          <w:szCs w:val="24"/>
        </w:rPr>
        <w:t>被授权人的姓名）代表我公司参加</w:t>
      </w:r>
      <w:r>
        <w:rPr>
          <w:rFonts w:hint="eastAsia" w:hAnsi="宋体" w:cs="宋体"/>
          <w:sz w:val="24"/>
          <w:szCs w:val="24"/>
          <w:u w:val="single"/>
        </w:rPr>
        <w:t>（</w:t>
      </w:r>
      <w:r>
        <w:rPr>
          <w:rFonts w:hint="eastAsia" w:ascii="宋体" w:hAnsi="宋体" w:cs="宋体"/>
          <w:sz w:val="24"/>
          <w:szCs w:val="24"/>
          <w:u w:val="single"/>
        </w:rPr>
        <w:t xml:space="preserve">竞争性磋商项目名称 </w:t>
      </w:r>
      <w:r>
        <w:rPr>
          <w:rFonts w:hAnsi="宋体"/>
          <w:sz w:val="24"/>
          <w:szCs w:val="24"/>
          <w:u w:val="single"/>
        </w:rPr>
        <w:t>)</w:t>
      </w:r>
      <w:r>
        <w:rPr>
          <w:rFonts w:hint="eastAsia" w:hAnsi="宋体" w:cs="宋体"/>
          <w:sz w:val="24"/>
          <w:szCs w:val="24"/>
        </w:rPr>
        <w:t>项目的政府采购活动，全权处理一切与该项目招标有关的事务。其在办理上述事宜过程中所签署的所有文件我公司均予以承认。</w:t>
      </w:r>
    </w:p>
    <w:p>
      <w:pPr>
        <w:pStyle w:val="27"/>
        <w:adjustRightInd w:val="0"/>
        <w:snapToGrid w:val="0"/>
        <w:spacing w:line="500" w:lineRule="exact"/>
        <w:ind w:firstLine="480" w:firstLineChars="200"/>
        <w:jc w:val="left"/>
        <w:rPr>
          <w:rFonts w:hAnsi="宋体" w:cs="Times New Roman"/>
          <w:sz w:val="24"/>
          <w:szCs w:val="24"/>
        </w:rPr>
      </w:pPr>
    </w:p>
    <w:p>
      <w:pPr>
        <w:pStyle w:val="27"/>
        <w:adjustRightInd w:val="0"/>
        <w:snapToGrid w:val="0"/>
        <w:spacing w:line="500" w:lineRule="exact"/>
        <w:ind w:firstLine="480" w:firstLineChars="200"/>
        <w:jc w:val="left"/>
        <w:rPr>
          <w:rFonts w:hAnsi="宋体" w:cs="Times New Roman"/>
          <w:sz w:val="24"/>
          <w:szCs w:val="24"/>
        </w:rPr>
      </w:pPr>
      <w:r>
        <w:rPr>
          <w:rFonts w:hint="eastAsia" w:hAnsi="宋体"/>
          <w:sz w:val="24"/>
          <w:szCs w:val="24"/>
        </w:rPr>
        <w:t>被授权人无转委托权，特此委托。</w:t>
      </w:r>
    </w:p>
    <w:p>
      <w:pPr>
        <w:pStyle w:val="27"/>
        <w:adjustRightInd w:val="0"/>
        <w:snapToGrid w:val="0"/>
        <w:spacing w:line="500" w:lineRule="exact"/>
        <w:ind w:firstLine="480" w:firstLineChars="200"/>
        <w:jc w:val="left"/>
        <w:rPr>
          <w:rFonts w:hAnsi="宋体" w:cs="Times New Roman"/>
          <w:sz w:val="24"/>
          <w:szCs w:val="24"/>
        </w:rPr>
      </w:pPr>
    </w:p>
    <w:p>
      <w:pPr>
        <w:spacing w:line="480" w:lineRule="exact"/>
        <w:rPr>
          <w:rFonts w:hAnsi="宋体"/>
          <w:sz w:val="24"/>
          <w:szCs w:val="24"/>
        </w:rPr>
      </w:pPr>
      <w:r>
        <w:rPr>
          <w:rFonts w:hint="eastAsia" w:hAnsi="宋体" w:cs="宋体"/>
          <w:sz w:val="24"/>
          <w:szCs w:val="24"/>
        </w:rPr>
        <w:t>附：被授权人情况：</w:t>
      </w:r>
    </w:p>
    <w:p>
      <w:pPr>
        <w:spacing w:line="480" w:lineRule="exact"/>
        <w:rPr>
          <w:rFonts w:hAnsi="宋体"/>
          <w:sz w:val="24"/>
          <w:szCs w:val="24"/>
          <w:u w:val="single"/>
        </w:rPr>
      </w:pPr>
      <w:r>
        <w:rPr>
          <w:rFonts w:hint="eastAsia" w:hAnsi="宋体" w:cs="宋体"/>
          <w:sz w:val="24"/>
          <w:szCs w:val="24"/>
        </w:rPr>
        <w:t>姓名：      性别：      年龄：          职务：</w:t>
      </w:r>
    </w:p>
    <w:p>
      <w:pPr>
        <w:spacing w:line="480" w:lineRule="exact"/>
        <w:rPr>
          <w:rFonts w:hAnsi="宋体"/>
          <w:sz w:val="24"/>
          <w:szCs w:val="24"/>
        </w:rPr>
      </w:pPr>
      <w:r>
        <w:rPr>
          <w:rFonts w:hint="eastAsia" w:hAnsi="宋体" w:cs="宋体"/>
          <w:sz w:val="24"/>
          <w:szCs w:val="24"/>
        </w:rPr>
        <w:t>身份证号码：</w:t>
      </w:r>
    </w:p>
    <w:p>
      <w:pPr>
        <w:spacing w:line="480" w:lineRule="exact"/>
        <w:rPr>
          <w:rFonts w:hAnsi="宋体"/>
          <w:sz w:val="24"/>
          <w:szCs w:val="24"/>
        </w:rPr>
      </w:pPr>
      <w:r>
        <w:rPr>
          <w:rFonts w:hint="eastAsia" w:hAnsi="宋体" w:cs="宋体"/>
          <w:sz w:val="24"/>
          <w:szCs w:val="24"/>
        </w:rPr>
        <w:t>手机：                传真：</w:t>
      </w:r>
    </w:p>
    <w:p>
      <w:pPr>
        <w:spacing w:line="480" w:lineRule="exact"/>
        <w:rPr>
          <w:rFonts w:hAnsi="宋体"/>
          <w:sz w:val="24"/>
          <w:szCs w:val="24"/>
        </w:rPr>
      </w:pPr>
      <w:r>
        <w:rPr>
          <w:rFonts w:hint="eastAsia" w:hAnsi="宋体" w:cs="宋体"/>
          <w:sz w:val="24"/>
          <w:szCs w:val="24"/>
        </w:rPr>
        <w:t>单位名称（公章）                      法定代表人（签字或盖章）</w:t>
      </w:r>
    </w:p>
    <w:p>
      <w:pPr>
        <w:spacing w:line="480" w:lineRule="exact"/>
        <w:ind w:firstLine="1200" w:firstLineChars="500"/>
        <w:rPr>
          <w:rFonts w:hAnsi="宋体"/>
          <w:sz w:val="24"/>
          <w:szCs w:val="24"/>
        </w:rPr>
      </w:pPr>
      <w:r>
        <w:rPr>
          <w:rFonts w:hint="eastAsia" w:hAnsi="宋体" w:cs="宋体"/>
          <w:sz w:val="24"/>
          <w:szCs w:val="24"/>
        </w:rPr>
        <w:t>年  月  日                       年   月   日</w:t>
      </w:r>
    </w:p>
    <w:p>
      <w:pPr>
        <w:spacing w:line="480" w:lineRule="exact"/>
        <w:rPr>
          <w:rFonts w:hAnsi="宋体"/>
          <w:sz w:val="24"/>
          <w:szCs w:val="24"/>
        </w:rPr>
      </w:pPr>
    </w:p>
    <w:p>
      <w:pPr>
        <w:snapToGrid w:val="0"/>
        <w:spacing w:line="520" w:lineRule="exact"/>
        <w:ind w:firstLine="2479" w:firstLineChars="1029"/>
        <w:rPr>
          <w:rFonts w:ascii="宋体"/>
          <w:b/>
          <w:bCs/>
          <w:sz w:val="24"/>
          <w:szCs w:val="24"/>
        </w:rPr>
      </w:pPr>
      <w:r>
        <w:rPr>
          <w:rFonts w:hint="eastAsia" w:ascii="宋体" w:hAnsi="宋体" w:cs="宋体"/>
          <w:b/>
          <w:bCs/>
          <w:sz w:val="24"/>
          <w:szCs w:val="24"/>
        </w:rPr>
        <w:t>法定代表人身份证复印件</w:t>
      </w:r>
    </w:p>
    <w:p>
      <w:pPr>
        <w:snapToGrid w:val="0"/>
        <w:spacing w:line="520" w:lineRule="exact"/>
        <w:rPr>
          <w:rFonts w:ascii="宋体"/>
          <w:sz w:val="24"/>
          <w:szCs w:val="24"/>
        </w:rPr>
      </w:pPr>
    </w:p>
    <w:p>
      <w:pPr>
        <w:snapToGrid w:val="0"/>
        <w:spacing w:line="520" w:lineRule="exact"/>
        <w:ind w:firstLine="2997" w:firstLineChars="1244"/>
        <w:rPr>
          <w:rFonts w:ascii="宋体"/>
          <w:b/>
          <w:bCs/>
          <w:sz w:val="24"/>
          <w:szCs w:val="24"/>
        </w:rPr>
      </w:pPr>
      <w:r>
        <w:rPr>
          <w:rFonts w:hint="eastAsia" w:ascii="宋体" w:hAnsi="宋体" w:cs="宋体"/>
          <w:b/>
          <w:bCs/>
          <w:sz w:val="24"/>
          <w:szCs w:val="24"/>
        </w:rPr>
        <w:t>（粘贴此处）</w:t>
      </w:r>
    </w:p>
    <w:p>
      <w:pPr>
        <w:spacing w:line="480" w:lineRule="exact"/>
        <w:rPr>
          <w:rFonts w:hAnsi="宋体"/>
          <w:sz w:val="24"/>
          <w:szCs w:val="24"/>
        </w:rPr>
      </w:pPr>
    </w:p>
    <w:p>
      <w:pPr>
        <w:spacing w:line="480" w:lineRule="exact"/>
        <w:rPr>
          <w:rFonts w:hAnsi="宋体"/>
          <w:sz w:val="24"/>
          <w:szCs w:val="24"/>
        </w:rPr>
      </w:pPr>
    </w:p>
    <w:p>
      <w:pPr>
        <w:spacing w:line="480" w:lineRule="exact"/>
        <w:ind w:firstLine="2479" w:firstLineChars="1029"/>
        <w:rPr>
          <w:rFonts w:hAnsi="宋体"/>
          <w:b/>
          <w:bCs/>
          <w:sz w:val="24"/>
          <w:szCs w:val="24"/>
        </w:rPr>
      </w:pPr>
      <w:r>
        <w:rPr>
          <w:rFonts w:hint="eastAsia" w:hAnsi="宋体" w:cs="宋体"/>
          <w:b/>
          <w:bCs/>
          <w:sz w:val="24"/>
          <w:szCs w:val="24"/>
        </w:rPr>
        <w:t>被授权人身份证复印件</w:t>
      </w:r>
    </w:p>
    <w:p>
      <w:pPr>
        <w:spacing w:line="480" w:lineRule="exact"/>
        <w:rPr>
          <w:rFonts w:hAnsi="宋体"/>
          <w:sz w:val="24"/>
          <w:szCs w:val="24"/>
        </w:rPr>
      </w:pPr>
    </w:p>
    <w:p>
      <w:pPr>
        <w:spacing w:line="480" w:lineRule="exact"/>
        <w:ind w:firstLine="3115" w:firstLineChars="1293"/>
        <w:rPr>
          <w:rFonts w:hAnsi="宋体"/>
          <w:b/>
          <w:bCs/>
          <w:sz w:val="24"/>
          <w:szCs w:val="24"/>
        </w:rPr>
      </w:pPr>
      <w:r>
        <w:rPr>
          <w:rFonts w:hint="eastAsia" w:hAnsi="宋体" w:cs="宋体"/>
          <w:b/>
          <w:bCs/>
          <w:sz w:val="24"/>
          <w:szCs w:val="24"/>
        </w:rPr>
        <w:t>（粘贴此处）</w:t>
      </w:r>
    </w:p>
    <w:p>
      <w:pPr>
        <w:pStyle w:val="52"/>
        <w:ind w:firstLine="480"/>
        <w:rPr>
          <w:rFonts w:cs="Times New Roman"/>
        </w:rPr>
      </w:pPr>
    </w:p>
    <w:p>
      <w:pPr>
        <w:spacing w:line="480" w:lineRule="exact"/>
        <w:ind w:firstLine="482" w:firstLineChars="200"/>
        <w:rPr>
          <w:rFonts w:hAnsi="宋体"/>
          <w:b/>
          <w:bCs/>
          <w:sz w:val="24"/>
          <w:szCs w:val="24"/>
        </w:rPr>
      </w:pPr>
      <w:r>
        <w:rPr>
          <w:rFonts w:hint="eastAsia" w:hAnsi="宋体" w:cs="宋体"/>
          <w:b/>
          <w:bCs/>
          <w:sz w:val="24"/>
          <w:szCs w:val="24"/>
        </w:rPr>
        <w:t>注</w:t>
      </w:r>
      <w:r>
        <w:rPr>
          <w:rFonts w:hAnsi="宋体"/>
          <w:b/>
          <w:bCs/>
          <w:sz w:val="24"/>
          <w:szCs w:val="24"/>
        </w:rPr>
        <w:t>:</w:t>
      </w:r>
      <w:r>
        <w:rPr>
          <w:rFonts w:hint="eastAsia" w:hAnsi="宋体" w:cs="宋体"/>
          <w:b/>
          <w:bCs/>
          <w:sz w:val="24"/>
          <w:szCs w:val="24"/>
        </w:rPr>
        <w:t>参加磋商时被授权人将身份证原件带至磋商现场备查。</w:t>
      </w:r>
    </w:p>
    <w:p>
      <w:pPr>
        <w:snapToGrid w:val="0"/>
        <w:spacing w:line="520" w:lineRule="exact"/>
        <w:jc w:val="center"/>
        <w:outlineLvl w:val="3"/>
        <w:rPr>
          <w:rFonts w:ascii="宋体"/>
          <w:b/>
          <w:bCs/>
          <w:sz w:val="28"/>
          <w:szCs w:val="28"/>
        </w:rPr>
      </w:pPr>
    </w:p>
    <w:p>
      <w:pPr>
        <w:spacing w:line="360" w:lineRule="auto"/>
        <w:jc w:val="center"/>
        <w:rPr>
          <w:rFonts w:ascii="宋体"/>
          <w:b/>
          <w:bCs/>
          <w:sz w:val="28"/>
          <w:szCs w:val="28"/>
        </w:rPr>
      </w:pPr>
      <w:r>
        <w:br w:type="page"/>
      </w:r>
      <w:r>
        <w:rPr>
          <w:rFonts w:ascii="宋体" w:hAnsi="宋体" w:cs="宋体"/>
          <w:b/>
          <w:bCs/>
          <w:sz w:val="28"/>
          <w:szCs w:val="28"/>
        </w:rPr>
        <w:t>3</w:t>
      </w:r>
      <w:r>
        <w:rPr>
          <w:rFonts w:hint="eastAsia" w:ascii="宋体" w:hAnsi="宋体" w:cs="宋体"/>
          <w:b/>
          <w:bCs/>
          <w:sz w:val="28"/>
          <w:szCs w:val="28"/>
        </w:rPr>
        <w:t>、无重大违法记录声明</w:t>
      </w:r>
    </w:p>
    <w:p>
      <w:pPr>
        <w:spacing w:line="360" w:lineRule="auto"/>
        <w:rPr>
          <w:rFonts w:ascii="宋体"/>
          <w:b/>
          <w:bCs/>
          <w:sz w:val="28"/>
          <w:szCs w:val="28"/>
        </w:rPr>
      </w:pPr>
      <w:r>
        <w:rPr>
          <w:rFonts w:hint="eastAsia" w:ascii="宋体" w:hAnsi="宋体" w:cs="宋体"/>
          <w:sz w:val="24"/>
          <w:szCs w:val="24"/>
          <w:u w:val="single"/>
          <w:lang w:eastAsia="zh-CN"/>
        </w:rPr>
        <w:t>南通市崇川区文化和旅游局</w:t>
      </w:r>
      <w:r>
        <w:rPr>
          <w:rFonts w:hint="eastAsia" w:ascii="宋体" w:hAnsi="宋体" w:cs="宋体"/>
          <w:sz w:val="24"/>
          <w:szCs w:val="24"/>
          <w:u w:val="single"/>
        </w:rPr>
        <w:t>：</w:t>
      </w:r>
    </w:p>
    <w:p>
      <w:pPr>
        <w:spacing w:line="560" w:lineRule="exact"/>
        <w:ind w:firstLine="480" w:firstLineChars="200"/>
        <w:rPr>
          <w:rFonts w:ascii="宋体"/>
          <w:sz w:val="24"/>
          <w:szCs w:val="24"/>
        </w:rPr>
      </w:pPr>
      <w:r>
        <w:rPr>
          <w:rFonts w:hint="eastAsia" w:ascii="宋体" w:hAnsi="宋体" w:cs="宋体"/>
          <w:sz w:val="24"/>
          <w:szCs w:val="24"/>
        </w:rPr>
        <w:t>我单位（供应商名称）郑重声明：</w:t>
      </w:r>
    </w:p>
    <w:p>
      <w:pPr>
        <w:spacing w:line="560" w:lineRule="exact"/>
        <w:ind w:firstLine="480" w:firstLineChars="200"/>
        <w:rPr>
          <w:rFonts w:ascii="宋体"/>
          <w:sz w:val="24"/>
          <w:szCs w:val="24"/>
        </w:rPr>
      </w:pPr>
      <w:r>
        <w:rPr>
          <w:rFonts w:hint="eastAsia" w:ascii="宋体" w:hAnsi="宋体" w:cs="宋体"/>
          <w:sz w:val="24"/>
          <w:szCs w:val="24"/>
        </w:rPr>
        <w:t>参加政府采购活动前</w:t>
      </w:r>
      <w:r>
        <w:rPr>
          <w:rFonts w:ascii="宋体" w:hAnsi="宋体" w:cs="宋体"/>
          <w:sz w:val="24"/>
          <w:szCs w:val="24"/>
        </w:rPr>
        <w:t>3</w:t>
      </w:r>
      <w:r>
        <w:rPr>
          <w:rFonts w:hint="eastAsia" w:ascii="宋体" w:hAnsi="宋体" w:cs="宋体"/>
          <w:sz w:val="24"/>
          <w:szCs w:val="24"/>
        </w:rPr>
        <w:t>年内在经营活动中</w:t>
      </w:r>
      <w:r>
        <w:rPr>
          <w:rFonts w:hint="eastAsia" w:ascii="宋体" w:hAnsi="宋体" w:cs="宋体"/>
          <w:sz w:val="24"/>
          <w:szCs w:val="24"/>
          <w:u w:val="single"/>
        </w:rPr>
        <w:t xml:space="preserve">    </w:t>
      </w:r>
      <w:r>
        <w:rPr>
          <w:rFonts w:hint="eastAsia" w:ascii="宋体" w:hAnsi="宋体" w:cs="宋体"/>
          <w:sz w:val="24"/>
          <w:szCs w:val="24"/>
        </w:rPr>
        <w:t>（在下划线上如实填写：有或没有）重大违法记录。</w:t>
      </w:r>
    </w:p>
    <w:p>
      <w:pPr>
        <w:spacing w:line="560" w:lineRule="exact"/>
        <w:ind w:firstLine="480"/>
        <w:rPr>
          <w:rFonts w:ascii="宋体"/>
          <w:sz w:val="24"/>
          <w:szCs w:val="24"/>
        </w:rPr>
      </w:pPr>
      <w:r>
        <w:rPr>
          <w:rFonts w:hint="eastAsia" w:ascii="宋体" w:hAnsi="宋体" w:cs="宋体"/>
          <w:sz w:val="24"/>
          <w:szCs w:val="24"/>
        </w:rPr>
        <w:t>（说明：政府采购法第二十二条第一款第五项所称重大违法记录，是指供应商因违法经营受到刑事处罚或者责令停产停业、吊销许可证或者执照、较大数额罚款等行政处罚。）</w:t>
      </w:r>
    </w:p>
    <w:p>
      <w:pPr>
        <w:spacing w:line="420" w:lineRule="exact"/>
        <w:rPr>
          <w:rFonts w:ascii="宋体"/>
          <w:sz w:val="24"/>
          <w:szCs w:val="24"/>
        </w:rPr>
      </w:pPr>
    </w:p>
    <w:p>
      <w:pPr>
        <w:spacing w:line="420" w:lineRule="exact"/>
        <w:ind w:firstLine="6360" w:firstLineChars="2650"/>
        <w:rPr>
          <w:rFonts w:ascii="宋体"/>
          <w:sz w:val="24"/>
          <w:szCs w:val="24"/>
        </w:rPr>
      </w:pPr>
      <w:r>
        <w:rPr>
          <w:rFonts w:hint="eastAsia" w:ascii="宋体" w:hAnsi="宋体" w:cs="宋体"/>
          <w:sz w:val="24"/>
          <w:szCs w:val="24"/>
        </w:rPr>
        <w:t>声明人：（公章）</w:t>
      </w:r>
    </w:p>
    <w:p>
      <w:pPr>
        <w:spacing w:line="420" w:lineRule="exact"/>
        <w:jc w:val="right"/>
        <w:rPr>
          <w:rFonts w:ascii="宋体"/>
          <w:sz w:val="24"/>
          <w:szCs w:val="24"/>
        </w:rPr>
      </w:pPr>
      <w:r>
        <w:rPr>
          <w:rFonts w:hint="eastAsia" w:ascii="宋体" w:hAnsi="宋体" w:cs="宋体"/>
          <w:sz w:val="24"/>
          <w:szCs w:val="24"/>
        </w:rPr>
        <w:t>年月日</w:t>
      </w:r>
    </w:p>
    <w:p>
      <w:pPr>
        <w:snapToGrid w:val="0"/>
        <w:spacing w:line="360" w:lineRule="auto"/>
        <w:jc w:val="center"/>
        <w:outlineLvl w:val="4"/>
        <w:rPr>
          <w:rFonts w:ascii="宋体"/>
          <w:b/>
          <w:bCs/>
          <w:sz w:val="28"/>
          <w:szCs w:val="28"/>
        </w:rPr>
      </w:pPr>
      <w:r>
        <w:rPr>
          <w:rFonts w:ascii="宋体"/>
          <w:b/>
          <w:bCs/>
          <w:sz w:val="28"/>
          <w:szCs w:val="28"/>
        </w:rPr>
        <w:br w:type="page"/>
      </w:r>
    </w:p>
    <w:p>
      <w:pPr>
        <w:spacing w:line="360" w:lineRule="auto"/>
        <w:jc w:val="center"/>
        <w:rPr>
          <w:rFonts w:ascii="宋体"/>
          <w:b/>
          <w:bCs/>
          <w:sz w:val="28"/>
          <w:szCs w:val="28"/>
        </w:rPr>
      </w:pPr>
      <w:r>
        <w:rPr>
          <w:rFonts w:ascii="宋体" w:hAnsi="宋体" w:cs="宋体"/>
          <w:b/>
          <w:bCs/>
          <w:sz w:val="28"/>
          <w:szCs w:val="28"/>
        </w:rPr>
        <w:t>4</w:t>
      </w:r>
      <w:r>
        <w:rPr>
          <w:rFonts w:hint="eastAsia" w:ascii="宋体" w:hAnsi="宋体" w:cs="宋体"/>
          <w:b/>
          <w:bCs/>
          <w:sz w:val="28"/>
          <w:szCs w:val="28"/>
        </w:rPr>
        <w:t>、关于资格文件的声明函</w:t>
      </w:r>
    </w:p>
    <w:p>
      <w:pPr>
        <w:snapToGrid w:val="0"/>
        <w:spacing w:line="360" w:lineRule="auto"/>
        <w:rPr>
          <w:rFonts w:ascii="宋体"/>
          <w:sz w:val="24"/>
          <w:szCs w:val="24"/>
          <w:u w:val="single"/>
        </w:rPr>
      </w:pPr>
    </w:p>
    <w:p>
      <w:pPr>
        <w:snapToGrid w:val="0"/>
        <w:spacing w:line="360" w:lineRule="auto"/>
        <w:rPr>
          <w:rFonts w:ascii="宋体"/>
          <w:sz w:val="24"/>
          <w:szCs w:val="24"/>
          <w:u w:val="single"/>
        </w:rPr>
      </w:pPr>
    </w:p>
    <w:p>
      <w:pPr>
        <w:snapToGrid w:val="0"/>
        <w:spacing w:line="360" w:lineRule="auto"/>
        <w:rPr>
          <w:rFonts w:ascii="宋体"/>
          <w:sz w:val="24"/>
          <w:szCs w:val="24"/>
          <w:u w:val="single"/>
        </w:rPr>
      </w:pPr>
      <w:r>
        <w:rPr>
          <w:rFonts w:hint="eastAsia" w:ascii="宋体" w:hAnsi="宋体" w:cs="宋体"/>
          <w:sz w:val="24"/>
          <w:szCs w:val="24"/>
          <w:u w:val="single"/>
          <w:lang w:eastAsia="zh-CN"/>
        </w:rPr>
        <w:t>南通市崇川区文化和旅游局</w:t>
      </w:r>
      <w:r>
        <w:rPr>
          <w:rFonts w:hint="eastAsia" w:ascii="宋体" w:hAnsi="宋体" w:cs="宋体"/>
          <w:sz w:val="24"/>
          <w:szCs w:val="24"/>
          <w:u w:val="single"/>
        </w:rPr>
        <w:t>：</w:t>
      </w:r>
    </w:p>
    <w:p>
      <w:pPr>
        <w:overflowPunct w:val="0"/>
        <w:adjustRightInd w:val="0"/>
        <w:spacing w:line="360" w:lineRule="auto"/>
        <w:ind w:firstLine="660"/>
        <w:jc w:val="left"/>
        <w:textAlignment w:val="baseline"/>
        <w:rPr>
          <w:rFonts w:ascii="宋体"/>
          <w:sz w:val="24"/>
          <w:szCs w:val="24"/>
        </w:rPr>
      </w:pPr>
      <w:r>
        <w:rPr>
          <w:rFonts w:hint="eastAsia" w:ascii="宋体" w:hAnsi="宋体" w:cs="宋体"/>
          <w:sz w:val="24"/>
          <w:szCs w:val="24"/>
        </w:rPr>
        <w:t>本公司愿就由贵单位组织实施的</w:t>
      </w:r>
      <w:r>
        <w:rPr>
          <w:rFonts w:hint="eastAsia" w:ascii="宋体" w:hAnsi="宋体" w:cs="宋体"/>
          <w:sz w:val="24"/>
          <w:szCs w:val="24"/>
          <w:u w:val="single"/>
        </w:rPr>
        <w:t>（项目名称</w:t>
      </w:r>
      <w:r>
        <w:rPr>
          <w:rFonts w:ascii="宋体" w:hAnsi="宋体" w:cs="宋体"/>
          <w:sz w:val="24"/>
          <w:szCs w:val="24"/>
          <w:u w:val="single"/>
        </w:rPr>
        <w:t>)</w:t>
      </w:r>
      <w:r>
        <w:rPr>
          <w:rFonts w:hint="eastAsia" w:ascii="宋体" w:hAnsi="宋体" w:cs="宋体"/>
          <w:sz w:val="24"/>
          <w:szCs w:val="24"/>
        </w:rPr>
        <w:t>的活动参与磋商。本公司所提交的磋商文件中所有关于资格的文件、证明和陈述均是真实的、准确的。若与真实情况不符，本公司愿意承担由此而产生的一切后果。</w:t>
      </w:r>
    </w:p>
    <w:p>
      <w:pPr>
        <w:overflowPunct w:val="0"/>
        <w:adjustRightInd w:val="0"/>
        <w:spacing w:line="360" w:lineRule="auto"/>
        <w:ind w:firstLine="420"/>
        <w:jc w:val="left"/>
        <w:textAlignment w:val="baseline"/>
        <w:rPr>
          <w:rFonts w:ascii="宋体"/>
          <w:sz w:val="24"/>
          <w:szCs w:val="24"/>
        </w:rPr>
      </w:pPr>
    </w:p>
    <w:p>
      <w:pPr>
        <w:overflowPunct w:val="0"/>
        <w:adjustRightInd w:val="0"/>
        <w:spacing w:line="360" w:lineRule="auto"/>
        <w:ind w:firstLine="420"/>
        <w:jc w:val="left"/>
        <w:textAlignment w:val="baseline"/>
        <w:rPr>
          <w:rFonts w:ascii="宋体"/>
          <w:sz w:val="24"/>
          <w:szCs w:val="24"/>
        </w:rPr>
      </w:pPr>
    </w:p>
    <w:p>
      <w:pPr>
        <w:snapToGrid w:val="0"/>
        <w:spacing w:line="520" w:lineRule="exact"/>
        <w:jc w:val="right"/>
        <w:rPr>
          <w:rFonts w:ascii="宋体"/>
          <w:sz w:val="24"/>
          <w:szCs w:val="24"/>
        </w:rPr>
      </w:pPr>
      <w:r>
        <w:rPr>
          <w:rFonts w:hint="eastAsia" w:ascii="宋体" w:hAnsi="宋体" w:cs="宋体"/>
          <w:sz w:val="24"/>
          <w:szCs w:val="24"/>
        </w:rPr>
        <w:t>竞争性磋商响应单位：（加盖公章）</w:t>
      </w:r>
    </w:p>
    <w:p>
      <w:pPr>
        <w:snapToGrid w:val="0"/>
        <w:spacing w:line="520" w:lineRule="exact"/>
        <w:ind w:firstLine="2400" w:firstLineChars="1000"/>
        <w:jc w:val="right"/>
        <w:rPr>
          <w:rFonts w:ascii="宋体"/>
          <w:sz w:val="24"/>
          <w:szCs w:val="24"/>
        </w:rPr>
      </w:pPr>
      <w:r>
        <w:rPr>
          <w:rFonts w:hint="eastAsia" w:ascii="宋体" w:hAnsi="宋体" w:cs="宋体"/>
          <w:sz w:val="24"/>
          <w:szCs w:val="24"/>
        </w:rPr>
        <w:t>法定代表人或被授权人：（签字或盖章）</w:t>
      </w:r>
    </w:p>
    <w:p>
      <w:pPr>
        <w:snapToGrid w:val="0"/>
        <w:spacing w:line="520" w:lineRule="exact"/>
        <w:ind w:right="120"/>
        <w:jc w:val="right"/>
        <w:rPr>
          <w:rFonts w:ascii="宋体"/>
          <w:sz w:val="24"/>
          <w:szCs w:val="24"/>
        </w:rPr>
      </w:pPr>
      <w:r>
        <w:rPr>
          <w:rFonts w:hint="eastAsia" w:ascii="宋体" w:hAnsi="宋体" w:cs="宋体"/>
          <w:sz w:val="24"/>
          <w:szCs w:val="24"/>
        </w:rPr>
        <w:t>年  月  日</w:t>
      </w:r>
    </w:p>
    <w:p>
      <w:pPr>
        <w:snapToGrid w:val="0"/>
        <w:spacing w:line="520" w:lineRule="exact"/>
        <w:jc w:val="center"/>
        <w:outlineLvl w:val="3"/>
        <w:rPr>
          <w:rFonts w:ascii="宋体"/>
          <w:b/>
          <w:bCs/>
          <w:sz w:val="28"/>
          <w:szCs w:val="28"/>
        </w:rPr>
      </w:pPr>
    </w:p>
    <w:p>
      <w:pPr>
        <w:snapToGrid w:val="0"/>
        <w:spacing w:line="520" w:lineRule="exact"/>
        <w:jc w:val="center"/>
        <w:outlineLvl w:val="3"/>
        <w:rPr>
          <w:rFonts w:ascii="宋体"/>
          <w:b/>
          <w:bCs/>
          <w:sz w:val="28"/>
          <w:szCs w:val="28"/>
        </w:rPr>
      </w:pPr>
    </w:p>
    <w:p>
      <w:pPr>
        <w:snapToGrid w:val="0"/>
        <w:spacing w:line="520" w:lineRule="exact"/>
        <w:jc w:val="center"/>
        <w:outlineLvl w:val="3"/>
        <w:rPr>
          <w:rFonts w:ascii="宋体"/>
          <w:b/>
          <w:bCs/>
          <w:sz w:val="28"/>
          <w:szCs w:val="28"/>
        </w:rPr>
      </w:pPr>
    </w:p>
    <w:p>
      <w:pPr>
        <w:spacing w:line="360" w:lineRule="auto"/>
        <w:rPr>
          <w:rFonts w:ascii="宋体"/>
          <w:b/>
          <w:bCs/>
          <w:sz w:val="30"/>
          <w:szCs w:val="30"/>
        </w:rPr>
      </w:pPr>
    </w:p>
    <w:p>
      <w:pPr>
        <w:pStyle w:val="6"/>
        <w:rPr>
          <w:rFonts w:ascii="宋体"/>
          <w:sz w:val="30"/>
          <w:szCs w:val="30"/>
        </w:rPr>
      </w:pPr>
    </w:p>
    <w:p>
      <w:pPr>
        <w:rPr>
          <w:rFonts w:ascii="宋体"/>
          <w:b/>
          <w:bCs/>
          <w:sz w:val="30"/>
          <w:szCs w:val="30"/>
        </w:rPr>
      </w:pPr>
    </w:p>
    <w:p>
      <w:pPr>
        <w:pStyle w:val="6"/>
        <w:rPr>
          <w:rFonts w:ascii="宋体"/>
          <w:sz w:val="30"/>
          <w:szCs w:val="30"/>
        </w:rPr>
      </w:pPr>
    </w:p>
    <w:p>
      <w:pPr>
        <w:pStyle w:val="6"/>
        <w:rPr>
          <w:rFonts w:ascii="宋体"/>
          <w:sz w:val="30"/>
          <w:szCs w:val="30"/>
        </w:rPr>
      </w:pPr>
    </w:p>
    <w:p>
      <w:pPr>
        <w:rPr>
          <w:rFonts w:ascii="宋体"/>
          <w:b/>
          <w:bCs/>
          <w:sz w:val="30"/>
          <w:szCs w:val="30"/>
        </w:rPr>
      </w:pPr>
    </w:p>
    <w:p>
      <w:pPr>
        <w:spacing w:line="360" w:lineRule="auto"/>
        <w:jc w:val="center"/>
        <w:rPr>
          <w:rFonts w:ascii="宋体" w:hAnsi="宋体" w:cs="宋体"/>
          <w:b/>
          <w:bCs/>
          <w:sz w:val="28"/>
          <w:szCs w:val="28"/>
        </w:rPr>
      </w:pPr>
    </w:p>
    <w:p>
      <w:pPr>
        <w:spacing w:line="360" w:lineRule="auto"/>
        <w:jc w:val="center"/>
        <w:rPr>
          <w:rFonts w:ascii="宋体" w:hAnsi="宋体" w:cs="宋体"/>
          <w:b/>
          <w:bCs/>
          <w:sz w:val="28"/>
          <w:szCs w:val="28"/>
        </w:rPr>
      </w:pPr>
    </w:p>
    <w:p>
      <w:pPr>
        <w:snapToGrid w:val="0"/>
        <w:spacing w:line="520" w:lineRule="exact"/>
        <w:ind w:firstLine="562" w:firstLineChars="200"/>
        <w:jc w:val="center"/>
        <w:rPr>
          <w:rFonts w:ascii="宋体"/>
          <w:b/>
          <w:bCs/>
          <w:sz w:val="28"/>
          <w:szCs w:val="28"/>
        </w:rPr>
      </w:pPr>
      <w:r>
        <w:rPr>
          <w:rFonts w:hint="eastAsia" w:ascii="宋体" w:hAnsi="宋体" w:cs="宋体"/>
          <w:b/>
          <w:bCs/>
          <w:sz w:val="28"/>
          <w:szCs w:val="28"/>
          <w:lang w:val="en-US" w:eastAsia="zh-CN"/>
        </w:rPr>
        <w:t>5</w:t>
      </w:r>
      <w:r>
        <w:rPr>
          <w:rFonts w:hint="eastAsia" w:ascii="宋体" w:hAnsi="宋体" w:cs="宋体"/>
          <w:b/>
          <w:bCs/>
          <w:sz w:val="28"/>
          <w:szCs w:val="28"/>
        </w:rPr>
        <w:t>、竞争性磋商响应函（格式不得变动）</w:t>
      </w:r>
    </w:p>
    <w:p>
      <w:pPr>
        <w:snapToGrid w:val="0"/>
        <w:spacing w:line="520" w:lineRule="exact"/>
        <w:rPr>
          <w:rFonts w:ascii="宋体"/>
          <w:sz w:val="24"/>
          <w:szCs w:val="24"/>
          <w:u w:val="single"/>
        </w:rPr>
      </w:pPr>
    </w:p>
    <w:p>
      <w:pPr>
        <w:snapToGrid w:val="0"/>
        <w:spacing w:line="520" w:lineRule="exact"/>
        <w:rPr>
          <w:rFonts w:ascii="宋体"/>
          <w:sz w:val="24"/>
          <w:szCs w:val="24"/>
          <w:u w:val="single"/>
        </w:rPr>
      </w:pPr>
      <w:r>
        <w:rPr>
          <w:rFonts w:hint="eastAsia" w:ascii="宋体" w:hAnsi="宋体" w:cs="宋体"/>
          <w:sz w:val="24"/>
          <w:szCs w:val="24"/>
          <w:u w:val="single"/>
          <w:lang w:eastAsia="zh-CN"/>
        </w:rPr>
        <w:t>南通市崇川区文化和旅游局</w:t>
      </w:r>
      <w:r>
        <w:rPr>
          <w:rFonts w:hint="eastAsia" w:ascii="宋体" w:hAnsi="宋体" w:cs="宋体"/>
          <w:sz w:val="24"/>
          <w:szCs w:val="24"/>
          <w:u w:val="single"/>
        </w:rPr>
        <w:t>：</w:t>
      </w:r>
    </w:p>
    <w:p>
      <w:pPr>
        <w:snapToGrid w:val="0"/>
        <w:spacing w:line="520" w:lineRule="exact"/>
        <w:ind w:firstLine="480" w:firstLineChars="200"/>
        <w:rPr>
          <w:rFonts w:ascii="宋体"/>
          <w:sz w:val="24"/>
          <w:szCs w:val="24"/>
        </w:rPr>
      </w:pPr>
      <w:r>
        <w:rPr>
          <w:rFonts w:hint="eastAsia" w:ascii="宋体" w:hAnsi="宋体" w:cs="宋体"/>
          <w:sz w:val="24"/>
          <w:szCs w:val="24"/>
        </w:rPr>
        <w:t>依据贵单位委托代理机构组织的</w:t>
      </w:r>
      <w:r>
        <w:rPr>
          <w:rFonts w:hint="eastAsia" w:ascii="宋体" w:hAnsi="宋体" w:cs="宋体"/>
          <w:sz w:val="24"/>
          <w:szCs w:val="24"/>
          <w:u w:val="single"/>
        </w:rPr>
        <w:t>（磋商项目名称</w:t>
      </w:r>
      <w:r>
        <w:rPr>
          <w:rFonts w:ascii="宋体" w:hAnsi="宋体" w:cs="宋体"/>
          <w:sz w:val="24"/>
          <w:szCs w:val="24"/>
          <w:u w:val="single"/>
        </w:rPr>
        <w:t>)</w:t>
      </w:r>
      <w:r>
        <w:rPr>
          <w:rFonts w:hint="eastAsia" w:ascii="宋体" w:hAnsi="宋体" w:cs="宋体"/>
          <w:sz w:val="24"/>
          <w:szCs w:val="24"/>
        </w:rPr>
        <w:t>项目竞争性磋商的邀请，我方授权</w:t>
      </w:r>
      <w:r>
        <w:rPr>
          <w:rFonts w:hint="eastAsia" w:ascii="宋体" w:hAnsi="宋体" w:cs="宋体"/>
          <w:sz w:val="24"/>
          <w:szCs w:val="24"/>
          <w:u w:val="single"/>
        </w:rPr>
        <w:t>（姓名）（职务）</w:t>
      </w:r>
      <w:r>
        <w:rPr>
          <w:rFonts w:hint="eastAsia" w:ascii="宋体" w:hAnsi="宋体" w:cs="宋体"/>
          <w:sz w:val="24"/>
          <w:szCs w:val="24"/>
        </w:rPr>
        <w:t>为全权代表参加该项目的磋商工作，全权处理本次竞争性磋商的有关事宜。同时，我公司声明如下：</w:t>
      </w:r>
    </w:p>
    <w:p>
      <w:pPr>
        <w:snapToGrid w:val="0"/>
        <w:spacing w:line="52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、同意并接受竞争性磋商文件的各项要求，遵守竞争性磋商文件中的各项规定。</w:t>
      </w:r>
    </w:p>
    <w:p>
      <w:pPr>
        <w:snapToGrid w:val="0"/>
        <w:spacing w:line="52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、我公司已经详细阅读了竞争性磋商文件的全部内容，我方已完全清晰理解竞争性磋商文件的要求，不存在任何含糊不清和误解之处，同意放弃对竞争性磋商文件所表述的内容提出异议和质疑的权利。</w:t>
      </w:r>
    </w:p>
    <w:p>
      <w:pPr>
        <w:snapToGrid w:val="0"/>
        <w:spacing w:line="52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、我公司已毫无保留地向贵方提供一切所需的证明材料。</w:t>
      </w:r>
    </w:p>
    <w:p>
      <w:pPr>
        <w:snapToGrid w:val="0"/>
        <w:spacing w:line="52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、我公司承诺在本次磋商响应中提供的一切文件，无论是原件还是复印件均真实有效，绝无任何虚假、伪造和夸大的成份。否则，愿承担相应的后果和法律责任。</w:t>
      </w:r>
    </w:p>
    <w:p>
      <w:pPr>
        <w:snapToGrid w:val="0"/>
        <w:spacing w:line="520" w:lineRule="exact"/>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、一旦成交，我方承诺无正当理由拒绝签订合同的，贵方有权取消我公司的成交资格。</w:t>
      </w:r>
    </w:p>
    <w:p>
      <w:pPr>
        <w:snapToGrid w:val="0"/>
        <w:spacing w:line="520" w:lineRule="exact"/>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w:t>
      </w:r>
      <w:r>
        <w:rPr>
          <w:rFonts w:hint="eastAsia" w:ascii="宋体" w:hAnsi="宋体" w:cs="宋体"/>
          <w:bCs/>
          <w:sz w:val="24"/>
          <w:szCs w:val="24"/>
        </w:rPr>
        <w:t>一旦成交，我方将根据竞争性磋商文件的规定，严格履行合同规定的责任和义务，并保证在竞争性磋商文件中规定的时间期限内完成合同项目。</w:t>
      </w:r>
    </w:p>
    <w:p>
      <w:pPr>
        <w:snapToGrid w:val="0"/>
        <w:spacing w:line="520" w:lineRule="exact"/>
        <w:ind w:firstLine="480" w:firstLineChars="200"/>
        <w:rPr>
          <w:rFonts w:ascii="宋体"/>
          <w:sz w:val="24"/>
          <w:szCs w:val="24"/>
        </w:rPr>
      </w:pPr>
    </w:p>
    <w:p>
      <w:pPr>
        <w:pStyle w:val="52"/>
        <w:ind w:firstLine="480"/>
      </w:pPr>
    </w:p>
    <w:p>
      <w:pPr>
        <w:snapToGrid w:val="0"/>
        <w:spacing w:line="520" w:lineRule="exact"/>
        <w:jc w:val="right"/>
        <w:rPr>
          <w:rFonts w:ascii="宋体"/>
          <w:sz w:val="24"/>
          <w:szCs w:val="24"/>
        </w:rPr>
      </w:pPr>
      <w:r>
        <w:rPr>
          <w:rFonts w:hint="eastAsia" w:ascii="宋体" w:hAnsi="宋体" w:cs="宋体"/>
          <w:sz w:val="24"/>
          <w:szCs w:val="24"/>
        </w:rPr>
        <w:t>竞争性磋商响应单位：（加盖公章）</w:t>
      </w:r>
    </w:p>
    <w:p>
      <w:pPr>
        <w:snapToGrid w:val="0"/>
        <w:spacing w:line="520" w:lineRule="exact"/>
        <w:ind w:firstLine="2400" w:firstLineChars="1000"/>
        <w:jc w:val="right"/>
        <w:rPr>
          <w:rFonts w:ascii="宋体"/>
          <w:sz w:val="24"/>
          <w:szCs w:val="24"/>
        </w:rPr>
      </w:pPr>
      <w:r>
        <w:rPr>
          <w:rFonts w:hint="eastAsia" w:ascii="宋体" w:hAnsi="宋体" w:cs="宋体"/>
          <w:sz w:val="24"/>
          <w:szCs w:val="24"/>
        </w:rPr>
        <w:t>法定代表人或被授权人：（签字或盖章）</w:t>
      </w:r>
    </w:p>
    <w:p>
      <w:pPr>
        <w:snapToGrid w:val="0"/>
        <w:spacing w:line="520" w:lineRule="exact"/>
        <w:jc w:val="right"/>
        <w:outlineLvl w:val="4"/>
        <w:rPr>
          <w:rFonts w:ascii="宋体" w:hAnsi="宋体" w:cs="宋体"/>
          <w:sz w:val="24"/>
          <w:szCs w:val="24"/>
        </w:rPr>
      </w:pPr>
      <w:r>
        <w:rPr>
          <w:rFonts w:hint="eastAsia" w:ascii="宋体" w:hAnsi="宋体" w:cs="宋体"/>
          <w:sz w:val="24"/>
          <w:szCs w:val="24"/>
        </w:rPr>
        <w:t xml:space="preserve"> 年    月    日</w:t>
      </w:r>
    </w:p>
    <w:p>
      <w:pPr>
        <w:snapToGrid w:val="0"/>
        <w:spacing w:line="520" w:lineRule="exact"/>
        <w:jc w:val="right"/>
        <w:rPr>
          <w:rFonts w:ascii="宋体"/>
          <w:sz w:val="24"/>
          <w:szCs w:val="24"/>
        </w:rPr>
      </w:pPr>
    </w:p>
    <w:p>
      <w:pPr>
        <w:spacing w:line="360" w:lineRule="exact"/>
        <w:jc w:val="both"/>
        <w:rPr>
          <w:kern w:val="0"/>
          <w:sz w:val="20"/>
          <w:szCs w:val="20"/>
        </w:rPr>
      </w:pPr>
    </w:p>
    <w:p>
      <w:pPr>
        <w:spacing w:after="120"/>
        <w:ind w:left="420" w:leftChars="200" w:firstLine="400" w:firstLineChars="200"/>
        <w:rPr>
          <w:kern w:val="0"/>
          <w:sz w:val="20"/>
          <w:szCs w:val="20"/>
        </w:rPr>
      </w:pPr>
    </w:p>
    <w:p>
      <w:pPr>
        <w:spacing w:after="120"/>
        <w:rPr>
          <w:kern w:val="0"/>
          <w:sz w:val="20"/>
          <w:szCs w:val="20"/>
        </w:rPr>
      </w:pPr>
    </w:p>
    <w:sectPr>
      <w:pgSz w:w="11906" w:h="16838"/>
      <w:pgMar w:top="1270" w:right="1417" w:bottom="127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
    <w:altName w:val="宋体"/>
    <w:panose1 w:val="00000000000000000000"/>
    <w:charset w:val="86"/>
    <w:family w:val="auto"/>
    <w:pitch w:val="default"/>
    <w:sig w:usb0="00000000" w:usb1="00000000" w:usb2="00000010" w:usb3="00000000" w:csb0="00040000" w:csb1="00000000"/>
  </w:font>
  <w:font w:name="Noto Sans Mono CJK JP Regular">
    <w:altName w:val="微软雅黑"/>
    <w:panose1 w:val="00000000000000000000"/>
    <w:charset w:val="00"/>
    <w:family w:val="swiss"/>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w:fldChar w:fldCharType="begin"/>
    </w:r>
    <w:r>
      <w:instrText xml:space="preserve"> PAGE   \* MERGEFORMAT </w:instrText>
    </w:r>
    <w:r>
      <w:fldChar w:fldCharType="separate"/>
    </w:r>
    <w:r>
      <w:rPr>
        <w:lang w:val="zh-CN"/>
      </w:rPr>
      <w:t>2</w:t>
    </w:r>
    <w:r>
      <w:rPr>
        <w:lang w:val="zh-CN"/>
      </w:rPr>
      <w:fldChar w:fldCharType="end"/>
    </w:r>
  </w:p>
  <w:p>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rPr>
        <w:rFonts w:cs="Times New Roman"/>
      </w:rPr>
    </w:pPr>
    <w:r>
      <w:pict>
        <v:shape id="_x0000_s4097" o:spid="_x0000_s4097" o:spt="202" type="#_x0000_t202" style="position:absolute;left:0pt;margin-top:0pt;height:10.35pt;width:24pt;mso-position-horizontal:center;mso-position-horizontal-relative:margin;mso-wrap-style:none;z-index:251659264;mso-width-relative:page;mso-height-relative:page;" filled="f" stroked="f" coordsize="21600,21600" o:gfxdata="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3RZsT0AAAAAMBAAAPAAAAAAAAAAEAIAAAACIAAABk&#10;cnMvZG93bnJldi54bWxQSwECFAAUAAAACACHTuJADHFzG9UBAACoAwAADgAAAAAAAAABACAAAAAf&#10;AQAAZHJzL2Uyb0RvYy54bWxQSwUGAAAAAAYABgBZAQAAZgUAAAAA&#10;">
          <v:path/>
          <v:fill on="f" focussize="0,0"/>
          <v:stroke on="f" joinstyle="miter"/>
          <v:imagedata o:title=""/>
          <o:lock v:ext="edit"/>
          <v:textbox inset="0mm,0mm,0mm,0mm" style="mso-fit-shape-to-text:t;">
            <w:txbxContent>
              <w:p>
                <w:pPr>
                  <w:pStyle w:val="33"/>
                  <w:jc w:val="center"/>
                  <w:rPr>
                    <w:rFonts w:cs="Times New Roman"/>
                  </w:rPr>
                </w:pPr>
                <w:r>
                  <w:rPr>
                    <w:b/>
                    <w:bCs/>
                  </w:rPr>
                  <w:fldChar w:fldCharType="begin"/>
                </w:r>
                <w:r>
                  <w:rPr>
                    <w:b/>
                    <w:bCs/>
                  </w:rPr>
                  <w:instrText xml:space="preserve">PAGE</w:instrText>
                </w:r>
                <w:r>
                  <w:rPr>
                    <w:b/>
                    <w:bCs/>
                  </w:rPr>
                  <w:fldChar w:fldCharType="separate"/>
                </w:r>
                <w:r>
                  <w:rPr>
                    <w:b/>
                    <w:bCs/>
                  </w:rPr>
                  <w:t>53</w:t>
                </w:r>
                <w:r>
                  <w:rPr>
                    <w:b/>
                    <w:bCs/>
                  </w:rPr>
                  <w:fldChar w:fldCharType="end"/>
                </w:r>
              </w:p>
            </w:txbxContent>
          </v:textbox>
        </v:shape>
      </w:pict>
    </w:r>
  </w:p>
  <w:p>
    <w:pPr>
      <w:pStyle w:val="3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hd w:val="clear" w:color="auto" w:fill="FFFFFF"/>
      <w:spacing w:line="560" w:lineRule="exact"/>
      <w:rPr>
        <w:rFonts w:ascii="宋体" w:hAnsi="宋体" w:cs="宋体"/>
        <w:sz w:val="18"/>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3D"/>
    <w:multiLevelType w:val="multilevel"/>
    <w:tmpl w:val="0000003D"/>
    <w:lvl w:ilvl="0" w:tentative="0">
      <w:start w:val="1"/>
      <w:numFmt w:val="chineseCountingThousand"/>
      <w:pStyle w:val="3"/>
      <w:lvlText w:val="第%1部分"/>
      <w:lvlJc w:val="left"/>
    </w:lvl>
    <w:lvl w:ilvl="1" w:tentative="0">
      <w:start w:val="1"/>
      <w:numFmt w:val="none"/>
      <w:suff w:val="nothing"/>
      <w:lvlText w:val=""/>
      <w:lvlJc w:val="left"/>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none"/>
      <w:suff w:val="nothing"/>
      <w:lvlText w:val=""/>
      <w:lvlJc w:val="left"/>
    </w:lvl>
    <w:lvl w:ilvl="7" w:tentative="0">
      <w:start w:val="1"/>
      <w:numFmt w:val="none"/>
      <w:suff w:val="nothing"/>
      <w:lvlText w:val=""/>
      <w:lvlJc w:val="left"/>
    </w:lvl>
    <w:lvl w:ilvl="8" w:tentative="0">
      <w:start w:val="1"/>
      <w:numFmt w:val="none"/>
      <w:suff w:val="nothing"/>
      <w:lvlText w:val=""/>
      <w:lvlJc w:val="left"/>
    </w:lvl>
  </w:abstractNum>
  <w:abstractNum w:abstractNumId="1">
    <w:nsid w:val="572AE91F"/>
    <w:multiLevelType w:val="singleLevel"/>
    <w:tmpl w:val="572AE91F"/>
    <w:lvl w:ilvl="0" w:tentative="0">
      <w:start w:val="5"/>
      <w:numFmt w:val="chineseCounting"/>
      <w:suff w:val="space"/>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4"/>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useFELayout/>
    <w:compatSetting w:name="compatibilityMode" w:uri="http://schemas.microsoft.com/office/word" w:val="12"/>
  </w:compat>
  <w:rsids>
    <w:rsidRoot w:val="00172A27"/>
    <w:rsid w:val="000008E1"/>
    <w:rsid w:val="000058C1"/>
    <w:rsid w:val="00005F7A"/>
    <w:rsid w:val="00007F59"/>
    <w:rsid w:val="0001029F"/>
    <w:rsid w:val="000102D4"/>
    <w:rsid w:val="0001398D"/>
    <w:rsid w:val="00016294"/>
    <w:rsid w:val="00021EFF"/>
    <w:rsid w:val="00021FC4"/>
    <w:rsid w:val="00023F8C"/>
    <w:rsid w:val="000243F7"/>
    <w:rsid w:val="0002545F"/>
    <w:rsid w:val="000266BD"/>
    <w:rsid w:val="00026B68"/>
    <w:rsid w:val="00034047"/>
    <w:rsid w:val="0003602F"/>
    <w:rsid w:val="000361E7"/>
    <w:rsid w:val="00037B25"/>
    <w:rsid w:val="00037B3B"/>
    <w:rsid w:val="0004431A"/>
    <w:rsid w:val="00050BBD"/>
    <w:rsid w:val="00054028"/>
    <w:rsid w:val="00056E5D"/>
    <w:rsid w:val="0005762B"/>
    <w:rsid w:val="000606F5"/>
    <w:rsid w:val="00062482"/>
    <w:rsid w:val="00063304"/>
    <w:rsid w:val="000643A3"/>
    <w:rsid w:val="000655FD"/>
    <w:rsid w:val="00065E68"/>
    <w:rsid w:val="00066618"/>
    <w:rsid w:val="00071345"/>
    <w:rsid w:val="00071716"/>
    <w:rsid w:val="00074B89"/>
    <w:rsid w:val="00083910"/>
    <w:rsid w:val="00084E31"/>
    <w:rsid w:val="00085F8A"/>
    <w:rsid w:val="00090781"/>
    <w:rsid w:val="000939C5"/>
    <w:rsid w:val="00094062"/>
    <w:rsid w:val="000978C3"/>
    <w:rsid w:val="00097CA4"/>
    <w:rsid w:val="000A2C95"/>
    <w:rsid w:val="000A2F79"/>
    <w:rsid w:val="000A710B"/>
    <w:rsid w:val="000B2047"/>
    <w:rsid w:val="000B2801"/>
    <w:rsid w:val="000B38FB"/>
    <w:rsid w:val="000B4A07"/>
    <w:rsid w:val="000C3E5E"/>
    <w:rsid w:val="000C4679"/>
    <w:rsid w:val="000C7EA1"/>
    <w:rsid w:val="000D121D"/>
    <w:rsid w:val="000D204D"/>
    <w:rsid w:val="000D2216"/>
    <w:rsid w:val="000D2C01"/>
    <w:rsid w:val="000D4C32"/>
    <w:rsid w:val="000D694F"/>
    <w:rsid w:val="000D6E50"/>
    <w:rsid w:val="000E66F3"/>
    <w:rsid w:val="000F1902"/>
    <w:rsid w:val="000F59FF"/>
    <w:rsid w:val="00100AF9"/>
    <w:rsid w:val="00100FE7"/>
    <w:rsid w:val="001020F7"/>
    <w:rsid w:val="00103D77"/>
    <w:rsid w:val="00105BBC"/>
    <w:rsid w:val="001062B6"/>
    <w:rsid w:val="00110BA5"/>
    <w:rsid w:val="0011354B"/>
    <w:rsid w:val="00113EAD"/>
    <w:rsid w:val="0011474C"/>
    <w:rsid w:val="00120CE9"/>
    <w:rsid w:val="00123BD5"/>
    <w:rsid w:val="00125073"/>
    <w:rsid w:val="00127592"/>
    <w:rsid w:val="0013050F"/>
    <w:rsid w:val="0013239E"/>
    <w:rsid w:val="00132A4A"/>
    <w:rsid w:val="00133CBD"/>
    <w:rsid w:val="00135173"/>
    <w:rsid w:val="00136FE5"/>
    <w:rsid w:val="001419C0"/>
    <w:rsid w:val="00141EA3"/>
    <w:rsid w:val="0014374E"/>
    <w:rsid w:val="001505CF"/>
    <w:rsid w:val="00150875"/>
    <w:rsid w:val="00150D75"/>
    <w:rsid w:val="001528E4"/>
    <w:rsid w:val="00157327"/>
    <w:rsid w:val="001663EB"/>
    <w:rsid w:val="00172A27"/>
    <w:rsid w:val="00181ECB"/>
    <w:rsid w:val="0018394A"/>
    <w:rsid w:val="00186A58"/>
    <w:rsid w:val="00190C21"/>
    <w:rsid w:val="00192AB4"/>
    <w:rsid w:val="001976BE"/>
    <w:rsid w:val="001A0983"/>
    <w:rsid w:val="001B0894"/>
    <w:rsid w:val="001B271D"/>
    <w:rsid w:val="001B4D1C"/>
    <w:rsid w:val="001B4E47"/>
    <w:rsid w:val="001B56E3"/>
    <w:rsid w:val="001B5775"/>
    <w:rsid w:val="001B6B02"/>
    <w:rsid w:val="001C216A"/>
    <w:rsid w:val="001C2231"/>
    <w:rsid w:val="001C6469"/>
    <w:rsid w:val="001C74A4"/>
    <w:rsid w:val="001D0AEE"/>
    <w:rsid w:val="001D1E4A"/>
    <w:rsid w:val="001D60DD"/>
    <w:rsid w:val="001E3534"/>
    <w:rsid w:val="001E48AB"/>
    <w:rsid w:val="001F4880"/>
    <w:rsid w:val="001F5A4B"/>
    <w:rsid w:val="001F650B"/>
    <w:rsid w:val="00200061"/>
    <w:rsid w:val="00201B85"/>
    <w:rsid w:val="00206420"/>
    <w:rsid w:val="00206AF1"/>
    <w:rsid w:val="00207784"/>
    <w:rsid w:val="00207F85"/>
    <w:rsid w:val="002100AE"/>
    <w:rsid w:val="00211E09"/>
    <w:rsid w:val="00223466"/>
    <w:rsid w:val="00224F5F"/>
    <w:rsid w:val="00225670"/>
    <w:rsid w:val="002257D7"/>
    <w:rsid w:val="00225DFC"/>
    <w:rsid w:val="00231148"/>
    <w:rsid w:val="002315E8"/>
    <w:rsid w:val="00235015"/>
    <w:rsid w:val="00236425"/>
    <w:rsid w:val="00237122"/>
    <w:rsid w:val="00240EF7"/>
    <w:rsid w:val="002416D0"/>
    <w:rsid w:val="00245B72"/>
    <w:rsid w:val="002465F4"/>
    <w:rsid w:val="00246AE7"/>
    <w:rsid w:val="0024703E"/>
    <w:rsid w:val="00247445"/>
    <w:rsid w:val="002509ED"/>
    <w:rsid w:val="00253F6B"/>
    <w:rsid w:val="00255AB0"/>
    <w:rsid w:val="00260193"/>
    <w:rsid w:val="00260CD4"/>
    <w:rsid w:val="002611FD"/>
    <w:rsid w:val="00261BC6"/>
    <w:rsid w:val="00262D6D"/>
    <w:rsid w:val="00265658"/>
    <w:rsid w:val="002656FE"/>
    <w:rsid w:val="00266DB4"/>
    <w:rsid w:val="0026722D"/>
    <w:rsid w:val="00271E05"/>
    <w:rsid w:val="002743B2"/>
    <w:rsid w:val="00275DE2"/>
    <w:rsid w:val="002818BB"/>
    <w:rsid w:val="00284E6A"/>
    <w:rsid w:val="00287542"/>
    <w:rsid w:val="00291332"/>
    <w:rsid w:val="00291738"/>
    <w:rsid w:val="0029796E"/>
    <w:rsid w:val="002A09EE"/>
    <w:rsid w:val="002A1CB7"/>
    <w:rsid w:val="002A1F8F"/>
    <w:rsid w:val="002A2D12"/>
    <w:rsid w:val="002A2F7D"/>
    <w:rsid w:val="002A71EE"/>
    <w:rsid w:val="002A7980"/>
    <w:rsid w:val="002B7251"/>
    <w:rsid w:val="002B77A5"/>
    <w:rsid w:val="002B7CFD"/>
    <w:rsid w:val="002C2290"/>
    <w:rsid w:val="002C3237"/>
    <w:rsid w:val="002C5470"/>
    <w:rsid w:val="002C71C8"/>
    <w:rsid w:val="002D7709"/>
    <w:rsid w:val="002D7C8B"/>
    <w:rsid w:val="002E0741"/>
    <w:rsid w:val="002E214B"/>
    <w:rsid w:val="002E385C"/>
    <w:rsid w:val="002E5876"/>
    <w:rsid w:val="002E5B21"/>
    <w:rsid w:val="002E62B0"/>
    <w:rsid w:val="002F2C1A"/>
    <w:rsid w:val="002F2F03"/>
    <w:rsid w:val="002F677F"/>
    <w:rsid w:val="0030187C"/>
    <w:rsid w:val="00303A7A"/>
    <w:rsid w:val="00305B2D"/>
    <w:rsid w:val="00306E19"/>
    <w:rsid w:val="00307ADC"/>
    <w:rsid w:val="003101C1"/>
    <w:rsid w:val="00314EA0"/>
    <w:rsid w:val="003175A8"/>
    <w:rsid w:val="0032064F"/>
    <w:rsid w:val="003311BA"/>
    <w:rsid w:val="00331BE9"/>
    <w:rsid w:val="00332927"/>
    <w:rsid w:val="003339B0"/>
    <w:rsid w:val="00335723"/>
    <w:rsid w:val="003358D8"/>
    <w:rsid w:val="00337545"/>
    <w:rsid w:val="003428D6"/>
    <w:rsid w:val="00343431"/>
    <w:rsid w:val="00343F86"/>
    <w:rsid w:val="00346FA1"/>
    <w:rsid w:val="00347DEF"/>
    <w:rsid w:val="00350C1C"/>
    <w:rsid w:val="00355DBE"/>
    <w:rsid w:val="00356CA9"/>
    <w:rsid w:val="003643E9"/>
    <w:rsid w:val="00366DF2"/>
    <w:rsid w:val="00370706"/>
    <w:rsid w:val="00370AC4"/>
    <w:rsid w:val="00372BAE"/>
    <w:rsid w:val="003740F9"/>
    <w:rsid w:val="00374DDC"/>
    <w:rsid w:val="003817E3"/>
    <w:rsid w:val="00381EBE"/>
    <w:rsid w:val="0038506A"/>
    <w:rsid w:val="003858EF"/>
    <w:rsid w:val="0038623A"/>
    <w:rsid w:val="00396574"/>
    <w:rsid w:val="003967B3"/>
    <w:rsid w:val="00397129"/>
    <w:rsid w:val="003975A5"/>
    <w:rsid w:val="0039790E"/>
    <w:rsid w:val="00397C9B"/>
    <w:rsid w:val="003A01C6"/>
    <w:rsid w:val="003A03B1"/>
    <w:rsid w:val="003A3BAC"/>
    <w:rsid w:val="003A5164"/>
    <w:rsid w:val="003A5379"/>
    <w:rsid w:val="003A57BD"/>
    <w:rsid w:val="003B5138"/>
    <w:rsid w:val="003C0C28"/>
    <w:rsid w:val="003C1F8E"/>
    <w:rsid w:val="003C286E"/>
    <w:rsid w:val="003C7A20"/>
    <w:rsid w:val="003D0A3A"/>
    <w:rsid w:val="003D5966"/>
    <w:rsid w:val="003D6CB7"/>
    <w:rsid w:val="003D77DF"/>
    <w:rsid w:val="003E5F57"/>
    <w:rsid w:val="003E6CA3"/>
    <w:rsid w:val="003E7713"/>
    <w:rsid w:val="003F4B46"/>
    <w:rsid w:val="004002F3"/>
    <w:rsid w:val="00403824"/>
    <w:rsid w:val="004050BB"/>
    <w:rsid w:val="004059F8"/>
    <w:rsid w:val="004064B2"/>
    <w:rsid w:val="00407C91"/>
    <w:rsid w:val="00411773"/>
    <w:rsid w:val="004161DA"/>
    <w:rsid w:val="00416484"/>
    <w:rsid w:val="00417B98"/>
    <w:rsid w:val="00420773"/>
    <w:rsid w:val="00425FD6"/>
    <w:rsid w:val="004279C7"/>
    <w:rsid w:val="0043369C"/>
    <w:rsid w:val="00433D36"/>
    <w:rsid w:val="0043477C"/>
    <w:rsid w:val="00434E35"/>
    <w:rsid w:val="00437C76"/>
    <w:rsid w:val="00447C56"/>
    <w:rsid w:val="00451E6C"/>
    <w:rsid w:val="00453C4A"/>
    <w:rsid w:val="00453E65"/>
    <w:rsid w:val="004561B2"/>
    <w:rsid w:val="0045785B"/>
    <w:rsid w:val="004623F7"/>
    <w:rsid w:val="0046356E"/>
    <w:rsid w:val="004719DC"/>
    <w:rsid w:val="004721E5"/>
    <w:rsid w:val="0048159E"/>
    <w:rsid w:val="004817D8"/>
    <w:rsid w:val="004820DF"/>
    <w:rsid w:val="00482A61"/>
    <w:rsid w:val="00490AC6"/>
    <w:rsid w:val="00491943"/>
    <w:rsid w:val="0049332D"/>
    <w:rsid w:val="00493E82"/>
    <w:rsid w:val="00496D73"/>
    <w:rsid w:val="004A377D"/>
    <w:rsid w:val="004A405A"/>
    <w:rsid w:val="004A56DD"/>
    <w:rsid w:val="004A5934"/>
    <w:rsid w:val="004A7F32"/>
    <w:rsid w:val="004B1233"/>
    <w:rsid w:val="004B208A"/>
    <w:rsid w:val="004B67DE"/>
    <w:rsid w:val="004B7D94"/>
    <w:rsid w:val="004C05C3"/>
    <w:rsid w:val="004C06BA"/>
    <w:rsid w:val="004C0AB3"/>
    <w:rsid w:val="004C0D0F"/>
    <w:rsid w:val="004C2A62"/>
    <w:rsid w:val="004C420A"/>
    <w:rsid w:val="004C434E"/>
    <w:rsid w:val="004D00F8"/>
    <w:rsid w:val="004D097D"/>
    <w:rsid w:val="004D110E"/>
    <w:rsid w:val="004E6211"/>
    <w:rsid w:val="004E704E"/>
    <w:rsid w:val="004E7C15"/>
    <w:rsid w:val="004F364D"/>
    <w:rsid w:val="004F534F"/>
    <w:rsid w:val="004F6D64"/>
    <w:rsid w:val="004F7AFA"/>
    <w:rsid w:val="00503EBC"/>
    <w:rsid w:val="00504311"/>
    <w:rsid w:val="00510574"/>
    <w:rsid w:val="00510919"/>
    <w:rsid w:val="005129D6"/>
    <w:rsid w:val="00513F04"/>
    <w:rsid w:val="00514F19"/>
    <w:rsid w:val="005164FD"/>
    <w:rsid w:val="0051662D"/>
    <w:rsid w:val="005177C6"/>
    <w:rsid w:val="005212FD"/>
    <w:rsid w:val="00524448"/>
    <w:rsid w:val="00526435"/>
    <w:rsid w:val="005300E8"/>
    <w:rsid w:val="00531DCB"/>
    <w:rsid w:val="00532531"/>
    <w:rsid w:val="00532C54"/>
    <w:rsid w:val="0053747E"/>
    <w:rsid w:val="0053785D"/>
    <w:rsid w:val="00537AF6"/>
    <w:rsid w:val="00537DF0"/>
    <w:rsid w:val="00540647"/>
    <w:rsid w:val="00540E45"/>
    <w:rsid w:val="00547813"/>
    <w:rsid w:val="005478BE"/>
    <w:rsid w:val="005506EF"/>
    <w:rsid w:val="00551D57"/>
    <w:rsid w:val="005520FF"/>
    <w:rsid w:val="0055332A"/>
    <w:rsid w:val="005542D7"/>
    <w:rsid w:val="00555558"/>
    <w:rsid w:val="00556AF7"/>
    <w:rsid w:val="00560E05"/>
    <w:rsid w:val="0056421D"/>
    <w:rsid w:val="00565752"/>
    <w:rsid w:val="005658DD"/>
    <w:rsid w:val="00567762"/>
    <w:rsid w:val="00570C05"/>
    <w:rsid w:val="00573D1A"/>
    <w:rsid w:val="00574C7B"/>
    <w:rsid w:val="00575CC1"/>
    <w:rsid w:val="00575F45"/>
    <w:rsid w:val="00576BA1"/>
    <w:rsid w:val="005804A2"/>
    <w:rsid w:val="00580A48"/>
    <w:rsid w:val="005823FB"/>
    <w:rsid w:val="005843B8"/>
    <w:rsid w:val="00585154"/>
    <w:rsid w:val="00591060"/>
    <w:rsid w:val="0059320F"/>
    <w:rsid w:val="00594010"/>
    <w:rsid w:val="00594BBE"/>
    <w:rsid w:val="005955DC"/>
    <w:rsid w:val="00595FA9"/>
    <w:rsid w:val="005972C3"/>
    <w:rsid w:val="005A52A9"/>
    <w:rsid w:val="005A673F"/>
    <w:rsid w:val="005A68E8"/>
    <w:rsid w:val="005B1057"/>
    <w:rsid w:val="005B21DF"/>
    <w:rsid w:val="005B2218"/>
    <w:rsid w:val="005B308C"/>
    <w:rsid w:val="005C0614"/>
    <w:rsid w:val="005C0967"/>
    <w:rsid w:val="005C176A"/>
    <w:rsid w:val="005C2B69"/>
    <w:rsid w:val="005D4622"/>
    <w:rsid w:val="005D60C9"/>
    <w:rsid w:val="005E5EDB"/>
    <w:rsid w:val="005E70E4"/>
    <w:rsid w:val="005E7AE6"/>
    <w:rsid w:val="005F1612"/>
    <w:rsid w:val="005F23F4"/>
    <w:rsid w:val="005F44E9"/>
    <w:rsid w:val="00600D08"/>
    <w:rsid w:val="006031BC"/>
    <w:rsid w:val="00603887"/>
    <w:rsid w:val="0060566C"/>
    <w:rsid w:val="00612A25"/>
    <w:rsid w:val="00612E25"/>
    <w:rsid w:val="00616208"/>
    <w:rsid w:val="00622E32"/>
    <w:rsid w:val="006231DE"/>
    <w:rsid w:val="00623ACE"/>
    <w:rsid w:val="00624133"/>
    <w:rsid w:val="00624E4B"/>
    <w:rsid w:val="00626C16"/>
    <w:rsid w:val="00627EC6"/>
    <w:rsid w:val="00630B33"/>
    <w:rsid w:val="00635629"/>
    <w:rsid w:val="00636961"/>
    <w:rsid w:val="0064036E"/>
    <w:rsid w:val="00640665"/>
    <w:rsid w:val="0065025F"/>
    <w:rsid w:val="0065063B"/>
    <w:rsid w:val="0065066E"/>
    <w:rsid w:val="006532BB"/>
    <w:rsid w:val="006533D1"/>
    <w:rsid w:val="00662669"/>
    <w:rsid w:val="00662D7B"/>
    <w:rsid w:val="0066442C"/>
    <w:rsid w:val="006724B4"/>
    <w:rsid w:val="00674238"/>
    <w:rsid w:val="00676826"/>
    <w:rsid w:val="00681F0C"/>
    <w:rsid w:val="0068305C"/>
    <w:rsid w:val="006857B3"/>
    <w:rsid w:val="00685AC6"/>
    <w:rsid w:val="00685DB2"/>
    <w:rsid w:val="006869E9"/>
    <w:rsid w:val="00691A51"/>
    <w:rsid w:val="00695F5C"/>
    <w:rsid w:val="006A01B3"/>
    <w:rsid w:val="006A2399"/>
    <w:rsid w:val="006A3276"/>
    <w:rsid w:val="006A454F"/>
    <w:rsid w:val="006A4FF1"/>
    <w:rsid w:val="006B137D"/>
    <w:rsid w:val="006B302A"/>
    <w:rsid w:val="006B5A48"/>
    <w:rsid w:val="006B7CBA"/>
    <w:rsid w:val="006C0AE2"/>
    <w:rsid w:val="006C2924"/>
    <w:rsid w:val="006C4232"/>
    <w:rsid w:val="006D2963"/>
    <w:rsid w:val="006D485E"/>
    <w:rsid w:val="006D4923"/>
    <w:rsid w:val="006D56FF"/>
    <w:rsid w:val="006D69F6"/>
    <w:rsid w:val="006D7FE1"/>
    <w:rsid w:val="006E0C07"/>
    <w:rsid w:val="006F005C"/>
    <w:rsid w:val="006F1BC8"/>
    <w:rsid w:val="006F27A5"/>
    <w:rsid w:val="006F6D7E"/>
    <w:rsid w:val="006F7773"/>
    <w:rsid w:val="006F7D2C"/>
    <w:rsid w:val="00700877"/>
    <w:rsid w:val="00707BF4"/>
    <w:rsid w:val="00710FDC"/>
    <w:rsid w:val="00711087"/>
    <w:rsid w:val="00711337"/>
    <w:rsid w:val="00711C49"/>
    <w:rsid w:val="00714E2E"/>
    <w:rsid w:val="00714F75"/>
    <w:rsid w:val="00715679"/>
    <w:rsid w:val="007243DF"/>
    <w:rsid w:val="007255B0"/>
    <w:rsid w:val="00730BEA"/>
    <w:rsid w:val="0073114F"/>
    <w:rsid w:val="00731507"/>
    <w:rsid w:val="007319A3"/>
    <w:rsid w:val="0073343E"/>
    <w:rsid w:val="00737082"/>
    <w:rsid w:val="00751575"/>
    <w:rsid w:val="00752A41"/>
    <w:rsid w:val="00753B5F"/>
    <w:rsid w:val="00754034"/>
    <w:rsid w:val="00754434"/>
    <w:rsid w:val="00755BF0"/>
    <w:rsid w:val="00756C6B"/>
    <w:rsid w:val="0076084E"/>
    <w:rsid w:val="00763D48"/>
    <w:rsid w:val="007643DF"/>
    <w:rsid w:val="00766DBF"/>
    <w:rsid w:val="007707B5"/>
    <w:rsid w:val="0077231F"/>
    <w:rsid w:val="0077585D"/>
    <w:rsid w:val="007801C6"/>
    <w:rsid w:val="00782093"/>
    <w:rsid w:val="00787753"/>
    <w:rsid w:val="00787FF9"/>
    <w:rsid w:val="0079111A"/>
    <w:rsid w:val="007912A4"/>
    <w:rsid w:val="00791ABB"/>
    <w:rsid w:val="00793083"/>
    <w:rsid w:val="00795CE4"/>
    <w:rsid w:val="00795E3E"/>
    <w:rsid w:val="00797254"/>
    <w:rsid w:val="007978F4"/>
    <w:rsid w:val="007A29CA"/>
    <w:rsid w:val="007A3F59"/>
    <w:rsid w:val="007A40A5"/>
    <w:rsid w:val="007A46CB"/>
    <w:rsid w:val="007A4F32"/>
    <w:rsid w:val="007A5123"/>
    <w:rsid w:val="007A57DE"/>
    <w:rsid w:val="007A775F"/>
    <w:rsid w:val="007B52DA"/>
    <w:rsid w:val="007B606D"/>
    <w:rsid w:val="007C195A"/>
    <w:rsid w:val="007C22C0"/>
    <w:rsid w:val="007C49FB"/>
    <w:rsid w:val="007C7791"/>
    <w:rsid w:val="007D017C"/>
    <w:rsid w:val="007D288E"/>
    <w:rsid w:val="007D6568"/>
    <w:rsid w:val="007D7EAD"/>
    <w:rsid w:val="007E5AE8"/>
    <w:rsid w:val="007F08B4"/>
    <w:rsid w:val="007F5D32"/>
    <w:rsid w:val="007F621E"/>
    <w:rsid w:val="007F6B3A"/>
    <w:rsid w:val="007F7318"/>
    <w:rsid w:val="00803D57"/>
    <w:rsid w:val="0080404F"/>
    <w:rsid w:val="0080429F"/>
    <w:rsid w:val="00813985"/>
    <w:rsid w:val="00813D21"/>
    <w:rsid w:val="00821F15"/>
    <w:rsid w:val="00822664"/>
    <w:rsid w:val="0082294F"/>
    <w:rsid w:val="00824DCB"/>
    <w:rsid w:val="0082509F"/>
    <w:rsid w:val="00833A03"/>
    <w:rsid w:val="00834A43"/>
    <w:rsid w:val="008364E9"/>
    <w:rsid w:val="00840AA8"/>
    <w:rsid w:val="0084159C"/>
    <w:rsid w:val="0084730D"/>
    <w:rsid w:val="00850986"/>
    <w:rsid w:val="00851DD2"/>
    <w:rsid w:val="00856C37"/>
    <w:rsid w:val="008614A0"/>
    <w:rsid w:val="00861850"/>
    <w:rsid w:val="008619E5"/>
    <w:rsid w:val="008673FE"/>
    <w:rsid w:val="00873C20"/>
    <w:rsid w:val="0087464C"/>
    <w:rsid w:val="00874679"/>
    <w:rsid w:val="00881374"/>
    <w:rsid w:val="00881ADC"/>
    <w:rsid w:val="008836C9"/>
    <w:rsid w:val="00885115"/>
    <w:rsid w:val="00886A80"/>
    <w:rsid w:val="00886E32"/>
    <w:rsid w:val="00896233"/>
    <w:rsid w:val="008A1DDD"/>
    <w:rsid w:val="008A1F9B"/>
    <w:rsid w:val="008A5FAC"/>
    <w:rsid w:val="008A671F"/>
    <w:rsid w:val="008A7716"/>
    <w:rsid w:val="008A77DF"/>
    <w:rsid w:val="008B198C"/>
    <w:rsid w:val="008B51B0"/>
    <w:rsid w:val="008B597C"/>
    <w:rsid w:val="008B5E27"/>
    <w:rsid w:val="008B6147"/>
    <w:rsid w:val="008B75F1"/>
    <w:rsid w:val="008C0A97"/>
    <w:rsid w:val="008C27C3"/>
    <w:rsid w:val="008C49C4"/>
    <w:rsid w:val="008C69DF"/>
    <w:rsid w:val="008C69E4"/>
    <w:rsid w:val="008C6B0A"/>
    <w:rsid w:val="008D1214"/>
    <w:rsid w:val="008D1A0F"/>
    <w:rsid w:val="008D1D53"/>
    <w:rsid w:val="008D2D0E"/>
    <w:rsid w:val="008D42AF"/>
    <w:rsid w:val="008D55D5"/>
    <w:rsid w:val="008D722A"/>
    <w:rsid w:val="008E14D6"/>
    <w:rsid w:val="008E185D"/>
    <w:rsid w:val="008E1AF7"/>
    <w:rsid w:val="008E3424"/>
    <w:rsid w:val="008E6999"/>
    <w:rsid w:val="008F017F"/>
    <w:rsid w:val="008F2292"/>
    <w:rsid w:val="008F2F67"/>
    <w:rsid w:val="008F37FA"/>
    <w:rsid w:val="008F444E"/>
    <w:rsid w:val="008F44CB"/>
    <w:rsid w:val="008F4CB3"/>
    <w:rsid w:val="008F71E7"/>
    <w:rsid w:val="008F7D03"/>
    <w:rsid w:val="00900E85"/>
    <w:rsid w:val="0090226B"/>
    <w:rsid w:val="00904DBC"/>
    <w:rsid w:val="0090587E"/>
    <w:rsid w:val="00907FB5"/>
    <w:rsid w:val="00907FE3"/>
    <w:rsid w:val="0091265E"/>
    <w:rsid w:val="009142DA"/>
    <w:rsid w:val="009148D6"/>
    <w:rsid w:val="00915AFC"/>
    <w:rsid w:val="0091600B"/>
    <w:rsid w:val="009230B6"/>
    <w:rsid w:val="009232FF"/>
    <w:rsid w:val="00931165"/>
    <w:rsid w:val="009312EF"/>
    <w:rsid w:val="009343B3"/>
    <w:rsid w:val="00934E93"/>
    <w:rsid w:val="009350AF"/>
    <w:rsid w:val="009353D7"/>
    <w:rsid w:val="009401C4"/>
    <w:rsid w:val="009416CA"/>
    <w:rsid w:val="009433B0"/>
    <w:rsid w:val="00943CEB"/>
    <w:rsid w:val="00947DE2"/>
    <w:rsid w:val="009505B0"/>
    <w:rsid w:val="009533E2"/>
    <w:rsid w:val="00955ADB"/>
    <w:rsid w:val="00962E18"/>
    <w:rsid w:val="009710E0"/>
    <w:rsid w:val="00971507"/>
    <w:rsid w:val="009716AF"/>
    <w:rsid w:val="009722BC"/>
    <w:rsid w:val="0097298E"/>
    <w:rsid w:val="00974EFA"/>
    <w:rsid w:val="00983BA5"/>
    <w:rsid w:val="00985679"/>
    <w:rsid w:val="00986B8F"/>
    <w:rsid w:val="00992988"/>
    <w:rsid w:val="00994A91"/>
    <w:rsid w:val="00995678"/>
    <w:rsid w:val="009A1807"/>
    <w:rsid w:val="009A28C8"/>
    <w:rsid w:val="009A3F9E"/>
    <w:rsid w:val="009A52DD"/>
    <w:rsid w:val="009A5E11"/>
    <w:rsid w:val="009A6682"/>
    <w:rsid w:val="009B38B9"/>
    <w:rsid w:val="009B38DD"/>
    <w:rsid w:val="009B4041"/>
    <w:rsid w:val="009B4FA1"/>
    <w:rsid w:val="009C2BE5"/>
    <w:rsid w:val="009C4FC2"/>
    <w:rsid w:val="009C67DC"/>
    <w:rsid w:val="009D25CB"/>
    <w:rsid w:val="009D6EB4"/>
    <w:rsid w:val="009D7486"/>
    <w:rsid w:val="009E0065"/>
    <w:rsid w:val="009E5581"/>
    <w:rsid w:val="009E61A2"/>
    <w:rsid w:val="009F2972"/>
    <w:rsid w:val="009F2FD8"/>
    <w:rsid w:val="009F30E6"/>
    <w:rsid w:val="009F6E7B"/>
    <w:rsid w:val="009F7311"/>
    <w:rsid w:val="00A03A53"/>
    <w:rsid w:val="00A04558"/>
    <w:rsid w:val="00A1005B"/>
    <w:rsid w:val="00A13F6A"/>
    <w:rsid w:val="00A171CD"/>
    <w:rsid w:val="00A17A38"/>
    <w:rsid w:val="00A21807"/>
    <w:rsid w:val="00A21916"/>
    <w:rsid w:val="00A22747"/>
    <w:rsid w:val="00A2752B"/>
    <w:rsid w:val="00A30720"/>
    <w:rsid w:val="00A357CF"/>
    <w:rsid w:val="00A359A2"/>
    <w:rsid w:val="00A368BE"/>
    <w:rsid w:val="00A40656"/>
    <w:rsid w:val="00A442F4"/>
    <w:rsid w:val="00A46D18"/>
    <w:rsid w:val="00A5270F"/>
    <w:rsid w:val="00A63A3E"/>
    <w:rsid w:val="00A63CBA"/>
    <w:rsid w:val="00A642C4"/>
    <w:rsid w:val="00A652DA"/>
    <w:rsid w:val="00A7282B"/>
    <w:rsid w:val="00A81B7C"/>
    <w:rsid w:val="00A825A6"/>
    <w:rsid w:val="00A82D72"/>
    <w:rsid w:val="00A84548"/>
    <w:rsid w:val="00A86365"/>
    <w:rsid w:val="00A9252B"/>
    <w:rsid w:val="00A92EBE"/>
    <w:rsid w:val="00A9516B"/>
    <w:rsid w:val="00A95AEB"/>
    <w:rsid w:val="00AA16ED"/>
    <w:rsid w:val="00AA2853"/>
    <w:rsid w:val="00AA36C7"/>
    <w:rsid w:val="00AA3E27"/>
    <w:rsid w:val="00AA495E"/>
    <w:rsid w:val="00AA6934"/>
    <w:rsid w:val="00AA6E9D"/>
    <w:rsid w:val="00AA7BA4"/>
    <w:rsid w:val="00AB0C2C"/>
    <w:rsid w:val="00AB1078"/>
    <w:rsid w:val="00AB1346"/>
    <w:rsid w:val="00AB26DB"/>
    <w:rsid w:val="00AC4838"/>
    <w:rsid w:val="00AC5EF7"/>
    <w:rsid w:val="00AC6885"/>
    <w:rsid w:val="00AD02A2"/>
    <w:rsid w:val="00AD0813"/>
    <w:rsid w:val="00AD24EF"/>
    <w:rsid w:val="00AD5A93"/>
    <w:rsid w:val="00AE024C"/>
    <w:rsid w:val="00AE371D"/>
    <w:rsid w:val="00AE39AB"/>
    <w:rsid w:val="00AE584F"/>
    <w:rsid w:val="00AE63C3"/>
    <w:rsid w:val="00AE7CFC"/>
    <w:rsid w:val="00AF291F"/>
    <w:rsid w:val="00AF45C5"/>
    <w:rsid w:val="00AF6489"/>
    <w:rsid w:val="00AF7A9F"/>
    <w:rsid w:val="00B01D34"/>
    <w:rsid w:val="00B03609"/>
    <w:rsid w:val="00B03831"/>
    <w:rsid w:val="00B03DBB"/>
    <w:rsid w:val="00B04254"/>
    <w:rsid w:val="00B05449"/>
    <w:rsid w:val="00B05903"/>
    <w:rsid w:val="00B06150"/>
    <w:rsid w:val="00B06E17"/>
    <w:rsid w:val="00B10648"/>
    <w:rsid w:val="00B116B8"/>
    <w:rsid w:val="00B15007"/>
    <w:rsid w:val="00B16DE7"/>
    <w:rsid w:val="00B179CD"/>
    <w:rsid w:val="00B225D7"/>
    <w:rsid w:val="00B238D3"/>
    <w:rsid w:val="00B24177"/>
    <w:rsid w:val="00B2612F"/>
    <w:rsid w:val="00B30D05"/>
    <w:rsid w:val="00B327DB"/>
    <w:rsid w:val="00B357A3"/>
    <w:rsid w:val="00B41871"/>
    <w:rsid w:val="00B4336F"/>
    <w:rsid w:val="00B4522D"/>
    <w:rsid w:val="00B4598F"/>
    <w:rsid w:val="00B46BF7"/>
    <w:rsid w:val="00B50E29"/>
    <w:rsid w:val="00B51E97"/>
    <w:rsid w:val="00B5327F"/>
    <w:rsid w:val="00B565FE"/>
    <w:rsid w:val="00B57C66"/>
    <w:rsid w:val="00B60458"/>
    <w:rsid w:val="00B61DC3"/>
    <w:rsid w:val="00B633C4"/>
    <w:rsid w:val="00B67AEA"/>
    <w:rsid w:val="00B72C66"/>
    <w:rsid w:val="00B73C62"/>
    <w:rsid w:val="00B83C32"/>
    <w:rsid w:val="00B85816"/>
    <w:rsid w:val="00B875C0"/>
    <w:rsid w:val="00B90608"/>
    <w:rsid w:val="00B9166F"/>
    <w:rsid w:val="00B920AD"/>
    <w:rsid w:val="00B92BC3"/>
    <w:rsid w:val="00B94C8E"/>
    <w:rsid w:val="00B966AC"/>
    <w:rsid w:val="00BA1064"/>
    <w:rsid w:val="00BA485C"/>
    <w:rsid w:val="00BA48FC"/>
    <w:rsid w:val="00BA4C75"/>
    <w:rsid w:val="00BA6979"/>
    <w:rsid w:val="00BA790D"/>
    <w:rsid w:val="00BB279B"/>
    <w:rsid w:val="00BB4323"/>
    <w:rsid w:val="00BB452C"/>
    <w:rsid w:val="00BB4532"/>
    <w:rsid w:val="00BB4A21"/>
    <w:rsid w:val="00BB650B"/>
    <w:rsid w:val="00BB6BFB"/>
    <w:rsid w:val="00BC58A4"/>
    <w:rsid w:val="00BC781E"/>
    <w:rsid w:val="00BD1973"/>
    <w:rsid w:val="00BD358F"/>
    <w:rsid w:val="00BD4809"/>
    <w:rsid w:val="00BD5E5C"/>
    <w:rsid w:val="00BD5F32"/>
    <w:rsid w:val="00BD774B"/>
    <w:rsid w:val="00BE437C"/>
    <w:rsid w:val="00BE5949"/>
    <w:rsid w:val="00BF0241"/>
    <w:rsid w:val="00BF3055"/>
    <w:rsid w:val="00BF3E3E"/>
    <w:rsid w:val="00C01D39"/>
    <w:rsid w:val="00C05C52"/>
    <w:rsid w:val="00C06C84"/>
    <w:rsid w:val="00C103CD"/>
    <w:rsid w:val="00C1253A"/>
    <w:rsid w:val="00C12544"/>
    <w:rsid w:val="00C12799"/>
    <w:rsid w:val="00C213E5"/>
    <w:rsid w:val="00C24CCA"/>
    <w:rsid w:val="00C25C9B"/>
    <w:rsid w:val="00C261AB"/>
    <w:rsid w:val="00C26417"/>
    <w:rsid w:val="00C32303"/>
    <w:rsid w:val="00C323FD"/>
    <w:rsid w:val="00C36220"/>
    <w:rsid w:val="00C362DF"/>
    <w:rsid w:val="00C42BB6"/>
    <w:rsid w:val="00C5077E"/>
    <w:rsid w:val="00C5169C"/>
    <w:rsid w:val="00C537C1"/>
    <w:rsid w:val="00C5650E"/>
    <w:rsid w:val="00C601D5"/>
    <w:rsid w:val="00C60DC9"/>
    <w:rsid w:val="00C623F7"/>
    <w:rsid w:val="00C63034"/>
    <w:rsid w:val="00C6413D"/>
    <w:rsid w:val="00C654DC"/>
    <w:rsid w:val="00C65ACA"/>
    <w:rsid w:val="00C66C45"/>
    <w:rsid w:val="00C67F24"/>
    <w:rsid w:val="00C716A7"/>
    <w:rsid w:val="00C73F67"/>
    <w:rsid w:val="00C75E74"/>
    <w:rsid w:val="00C77802"/>
    <w:rsid w:val="00C81801"/>
    <w:rsid w:val="00C83130"/>
    <w:rsid w:val="00C85850"/>
    <w:rsid w:val="00C86011"/>
    <w:rsid w:val="00C8675F"/>
    <w:rsid w:val="00C91194"/>
    <w:rsid w:val="00C92B10"/>
    <w:rsid w:val="00C94724"/>
    <w:rsid w:val="00C953DF"/>
    <w:rsid w:val="00C966DF"/>
    <w:rsid w:val="00C97E68"/>
    <w:rsid w:val="00CA21BE"/>
    <w:rsid w:val="00CA27FF"/>
    <w:rsid w:val="00CA3DB6"/>
    <w:rsid w:val="00CA478F"/>
    <w:rsid w:val="00CA56B5"/>
    <w:rsid w:val="00CA5DFF"/>
    <w:rsid w:val="00CA7956"/>
    <w:rsid w:val="00CB3368"/>
    <w:rsid w:val="00CB670E"/>
    <w:rsid w:val="00CB677B"/>
    <w:rsid w:val="00CB6841"/>
    <w:rsid w:val="00CB6E94"/>
    <w:rsid w:val="00CB74DE"/>
    <w:rsid w:val="00CC0D30"/>
    <w:rsid w:val="00CC22FF"/>
    <w:rsid w:val="00CC6901"/>
    <w:rsid w:val="00CC7E4B"/>
    <w:rsid w:val="00CD078C"/>
    <w:rsid w:val="00CD27BA"/>
    <w:rsid w:val="00CD2C75"/>
    <w:rsid w:val="00CD5DE2"/>
    <w:rsid w:val="00CD6C97"/>
    <w:rsid w:val="00CE64D2"/>
    <w:rsid w:val="00CF055B"/>
    <w:rsid w:val="00CF2864"/>
    <w:rsid w:val="00CF53AC"/>
    <w:rsid w:val="00D11D6B"/>
    <w:rsid w:val="00D12B9D"/>
    <w:rsid w:val="00D135A1"/>
    <w:rsid w:val="00D14282"/>
    <w:rsid w:val="00D144D7"/>
    <w:rsid w:val="00D21EB2"/>
    <w:rsid w:val="00D22B47"/>
    <w:rsid w:val="00D24484"/>
    <w:rsid w:val="00D26DA3"/>
    <w:rsid w:val="00D320AF"/>
    <w:rsid w:val="00D32226"/>
    <w:rsid w:val="00D3542F"/>
    <w:rsid w:val="00D35FDD"/>
    <w:rsid w:val="00D37314"/>
    <w:rsid w:val="00D3784D"/>
    <w:rsid w:val="00D4173E"/>
    <w:rsid w:val="00D41B42"/>
    <w:rsid w:val="00D41C70"/>
    <w:rsid w:val="00D43F36"/>
    <w:rsid w:val="00D44ADF"/>
    <w:rsid w:val="00D469C2"/>
    <w:rsid w:val="00D46DD3"/>
    <w:rsid w:val="00D4720E"/>
    <w:rsid w:val="00D52242"/>
    <w:rsid w:val="00D54CBA"/>
    <w:rsid w:val="00D60E7B"/>
    <w:rsid w:val="00D61BD2"/>
    <w:rsid w:val="00D6701F"/>
    <w:rsid w:val="00D700E9"/>
    <w:rsid w:val="00D70C0A"/>
    <w:rsid w:val="00D70E57"/>
    <w:rsid w:val="00D72AC8"/>
    <w:rsid w:val="00D7524C"/>
    <w:rsid w:val="00D76F95"/>
    <w:rsid w:val="00D771EC"/>
    <w:rsid w:val="00D77551"/>
    <w:rsid w:val="00D80D27"/>
    <w:rsid w:val="00D845E8"/>
    <w:rsid w:val="00D86845"/>
    <w:rsid w:val="00D870B0"/>
    <w:rsid w:val="00D8769F"/>
    <w:rsid w:val="00D87B3C"/>
    <w:rsid w:val="00D91AA6"/>
    <w:rsid w:val="00D97119"/>
    <w:rsid w:val="00DA7DD8"/>
    <w:rsid w:val="00DB118B"/>
    <w:rsid w:val="00DB201F"/>
    <w:rsid w:val="00DB5E21"/>
    <w:rsid w:val="00DB6033"/>
    <w:rsid w:val="00DC44D1"/>
    <w:rsid w:val="00DC7E3B"/>
    <w:rsid w:val="00DD2172"/>
    <w:rsid w:val="00DD4A5B"/>
    <w:rsid w:val="00DD67D4"/>
    <w:rsid w:val="00DD6EF5"/>
    <w:rsid w:val="00DE5AF6"/>
    <w:rsid w:val="00DE7267"/>
    <w:rsid w:val="00DF0E7A"/>
    <w:rsid w:val="00DF0FAE"/>
    <w:rsid w:val="00DF1835"/>
    <w:rsid w:val="00DF55D2"/>
    <w:rsid w:val="00E001C4"/>
    <w:rsid w:val="00E030A0"/>
    <w:rsid w:val="00E03483"/>
    <w:rsid w:val="00E05C21"/>
    <w:rsid w:val="00E0728A"/>
    <w:rsid w:val="00E07812"/>
    <w:rsid w:val="00E130A4"/>
    <w:rsid w:val="00E14859"/>
    <w:rsid w:val="00E15262"/>
    <w:rsid w:val="00E164B1"/>
    <w:rsid w:val="00E16B3D"/>
    <w:rsid w:val="00E17513"/>
    <w:rsid w:val="00E176AA"/>
    <w:rsid w:val="00E20385"/>
    <w:rsid w:val="00E25058"/>
    <w:rsid w:val="00E27CA3"/>
    <w:rsid w:val="00E314D7"/>
    <w:rsid w:val="00E34192"/>
    <w:rsid w:val="00E36E77"/>
    <w:rsid w:val="00E37062"/>
    <w:rsid w:val="00E4046A"/>
    <w:rsid w:val="00E41148"/>
    <w:rsid w:val="00E41524"/>
    <w:rsid w:val="00E42471"/>
    <w:rsid w:val="00E425C8"/>
    <w:rsid w:val="00E46EF8"/>
    <w:rsid w:val="00E52F6B"/>
    <w:rsid w:val="00E57D8C"/>
    <w:rsid w:val="00E60871"/>
    <w:rsid w:val="00E62907"/>
    <w:rsid w:val="00E64374"/>
    <w:rsid w:val="00E66AB7"/>
    <w:rsid w:val="00E676A4"/>
    <w:rsid w:val="00E701DC"/>
    <w:rsid w:val="00E710E9"/>
    <w:rsid w:val="00E71856"/>
    <w:rsid w:val="00E727FE"/>
    <w:rsid w:val="00E740E0"/>
    <w:rsid w:val="00E742E3"/>
    <w:rsid w:val="00E756ED"/>
    <w:rsid w:val="00E7633B"/>
    <w:rsid w:val="00E80144"/>
    <w:rsid w:val="00E861BF"/>
    <w:rsid w:val="00E9041A"/>
    <w:rsid w:val="00E924DA"/>
    <w:rsid w:val="00E92E17"/>
    <w:rsid w:val="00E933DA"/>
    <w:rsid w:val="00E938A8"/>
    <w:rsid w:val="00E95E1D"/>
    <w:rsid w:val="00EA0A9A"/>
    <w:rsid w:val="00EA0EC2"/>
    <w:rsid w:val="00EA3CD4"/>
    <w:rsid w:val="00EA63B3"/>
    <w:rsid w:val="00EB12B2"/>
    <w:rsid w:val="00EB2718"/>
    <w:rsid w:val="00EB3463"/>
    <w:rsid w:val="00EB39FF"/>
    <w:rsid w:val="00EB5721"/>
    <w:rsid w:val="00EB5991"/>
    <w:rsid w:val="00EB6278"/>
    <w:rsid w:val="00EC0C97"/>
    <w:rsid w:val="00EC1BED"/>
    <w:rsid w:val="00EC2467"/>
    <w:rsid w:val="00EC37EB"/>
    <w:rsid w:val="00EC51EF"/>
    <w:rsid w:val="00EC737F"/>
    <w:rsid w:val="00ED01B4"/>
    <w:rsid w:val="00ED188F"/>
    <w:rsid w:val="00ED3A14"/>
    <w:rsid w:val="00ED3F32"/>
    <w:rsid w:val="00ED4562"/>
    <w:rsid w:val="00ED5294"/>
    <w:rsid w:val="00ED546B"/>
    <w:rsid w:val="00ED608D"/>
    <w:rsid w:val="00ED628B"/>
    <w:rsid w:val="00ED7E54"/>
    <w:rsid w:val="00EE106C"/>
    <w:rsid w:val="00EE2482"/>
    <w:rsid w:val="00EE32BD"/>
    <w:rsid w:val="00EE45D1"/>
    <w:rsid w:val="00EF0372"/>
    <w:rsid w:val="00EF1CBE"/>
    <w:rsid w:val="00EF3CDD"/>
    <w:rsid w:val="00EF45CE"/>
    <w:rsid w:val="00EF52E6"/>
    <w:rsid w:val="00EF7497"/>
    <w:rsid w:val="00F00F8B"/>
    <w:rsid w:val="00F01049"/>
    <w:rsid w:val="00F0241B"/>
    <w:rsid w:val="00F0310F"/>
    <w:rsid w:val="00F036E6"/>
    <w:rsid w:val="00F1040B"/>
    <w:rsid w:val="00F12464"/>
    <w:rsid w:val="00F14957"/>
    <w:rsid w:val="00F15D6B"/>
    <w:rsid w:val="00F2684D"/>
    <w:rsid w:val="00F26C14"/>
    <w:rsid w:val="00F30AAD"/>
    <w:rsid w:val="00F32E6D"/>
    <w:rsid w:val="00F41266"/>
    <w:rsid w:val="00F41A32"/>
    <w:rsid w:val="00F43EF7"/>
    <w:rsid w:val="00F44F96"/>
    <w:rsid w:val="00F46A91"/>
    <w:rsid w:val="00F476C8"/>
    <w:rsid w:val="00F507CC"/>
    <w:rsid w:val="00F5176C"/>
    <w:rsid w:val="00F51E56"/>
    <w:rsid w:val="00F54722"/>
    <w:rsid w:val="00F56C9F"/>
    <w:rsid w:val="00F56E6A"/>
    <w:rsid w:val="00F60841"/>
    <w:rsid w:val="00F63553"/>
    <w:rsid w:val="00F6527E"/>
    <w:rsid w:val="00F655F3"/>
    <w:rsid w:val="00F65D8D"/>
    <w:rsid w:val="00F6723F"/>
    <w:rsid w:val="00F6731F"/>
    <w:rsid w:val="00F67B1A"/>
    <w:rsid w:val="00F73122"/>
    <w:rsid w:val="00F73D87"/>
    <w:rsid w:val="00F744A3"/>
    <w:rsid w:val="00F74508"/>
    <w:rsid w:val="00F75679"/>
    <w:rsid w:val="00F76605"/>
    <w:rsid w:val="00F810FD"/>
    <w:rsid w:val="00F822FA"/>
    <w:rsid w:val="00F9005F"/>
    <w:rsid w:val="00F905CA"/>
    <w:rsid w:val="00F90D04"/>
    <w:rsid w:val="00F92C22"/>
    <w:rsid w:val="00F93466"/>
    <w:rsid w:val="00F968D0"/>
    <w:rsid w:val="00FA0372"/>
    <w:rsid w:val="00FA097E"/>
    <w:rsid w:val="00FA393F"/>
    <w:rsid w:val="00FA3DB1"/>
    <w:rsid w:val="00FA539F"/>
    <w:rsid w:val="00FA5B7C"/>
    <w:rsid w:val="00FA5EFA"/>
    <w:rsid w:val="00FA6B4A"/>
    <w:rsid w:val="00FA7BE9"/>
    <w:rsid w:val="00FB32E7"/>
    <w:rsid w:val="00FB5ADA"/>
    <w:rsid w:val="00FC0A61"/>
    <w:rsid w:val="00FC3BE8"/>
    <w:rsid w:val="00FC5E7F"/>
    <w:rsid w:val="00FD7D46"/>
    <w:rsid w:val="00FF4CF3"/>
    <w:rsid w:val="00FF537D"/>
    <w:rsid w:val="00FF55C1"/>
    <w:rsid w:val="01274F14"/>
    <w:rsid w:val="01303A9E"/>
    <w:rsid w:val="013205C5"/>
    <w:rsid w:val="01371C15"/>
    <w:rsid w:val="01383FD0"/>
    <w:rsid w:val="013A1E2C"/>
    <w:rsid w:val="01451617"/>
    <w:rsid w:val="01747DD3"/>
    <w:rsid w:val="0190158D"/>
    <w:rsid w:val="01B10594"/>
    <w:rsid w:val="01B77047"/>
    <w:rsid w:val="01D47292"/>
    <w:rsid w:val="0203063D"/>
    <w:rsid w:val="02043122"/>
    <w:rsid w:val="02055635"/>
    <w:rsid w:val="021D14BB"/>
    <w:rsid w:val="02346456"/>
    <w:rsid w:val="024E269D"/>
    <w:rsid w:val="02685279"/>
    <w:rsid w:val="02916327"/>
    <w:rsid w:val="029F57DD"/>
    <w:rsid w:val="02BA4887"/>
    <w:rsid w:val="02D2459A"/>
    <w:rsid w:val="02D738A3"/>
    <w:rsid w:val="02EB37DD"/>
    <w:rsid w:val="03093CAB"/>
    <w:rsid w:val="034464B8"/>
    <w:rsid w:val="036576B8"/>
    <w:rsid w:val="039B3411"/>
    <w:rsid w:val="03C1157F"/>
    <w:rsid w:val="03C71EFB"/>
    <w:rsid w:val="03CB3B35"/>
    <w:rsid w:val="03D735B0"/>
    <w:rsid w:val="03F50EB7"/>
    <w:rsid w:val="03FA6CDF"/>
    <w:rsid w:val="040B1F0B"/>
    <w:rsid w:val="04365FFA"/>
    <w:rsid w:val="04494A43"/>
    <w:rsid w:val="046C0356"/>
    <w:rsid w:val="046D0F41"/>
    <w:rsid w:val="046D244C"/>
    <w:rsid w:val="046F1BE2"/>
    <w:rsid w:val="04822D08"/>
    <w:rsid w:val="04B74E45"/>
    <w:rsid w:val="04C55B53"/>
    <w:rsid w:val="04C851F1"/>
    <w:rsid w:val="04DA0A29"/>
    <w:rsid w:val="04FB048C"/>
    <w:rsid w:val="05140AB9"/>
    <w:rsid w:val="052C29BF"/>
    <w:rsid w:val="05337A63"/>
    <w:rsid w:val="055C5785"/>
    <w:rsid w:val="05994427"/>
    <w:rsid w:val="05A07192"/>
    <w:rsid w:val="05BD5BD1"/>
    <w:rsid w:val="05CF395D"/>
    <w:rsid w:val="05F06637"/>
    <w:rsid w:val="0605445A"/>
    <w:rsid w:val="061C4F88"/>
    <w:rsid w:val="06334E95"/>
    <w:rsid w:val="06517EE9"/>
    <w:rsid w:val="06672355"/>
    <w:rsid w:val="06BE41E6"/>
    <w:rsid w:val="06C55EEB"/>
    <w:rsid w:val="07004918"/>
    <w:rsid w:val="070B6221"/>
    <w:rsid w:val="070C0852"/>
    <w:rsid w:val="073D5377"/>
    <w:rsid w:val="0758343C"/>
    <w:rsid w:val="075E2DBC"/>
    <w:rsid w:val="07654B87"/>
    <w:rsid w:val="07BA720E"/>
    <w:rsid w:val="07CB7156"/>
    <w:rsid w:val="07DD2CBE"/>
    <w:rsid w:val="07E13B30"/>
    <w:rsid w:val="07EE2CA7"/>
    <w:rsid w:val="080C3671"/>
    <w:rsid w:val="081F2D4C"/>
    <w:rsid w:val="084E2ACF"/>
    <w:rsid w:val="084F19C0"/>
    <w:rsid w:val="08635040"/>
    <w:rsid w:val="08B2562B"/>
    <w:rsid w:val="08B5584D"/>
    <w:rsid w:val="08EA502F"/>
    <w:rsid w:val="09190838"/>
    <w:rsid w:val="09274740"/>
    <w:rsid w:val="0934552C"/>
    <w:rsid w:val="095C7B83"/>
    <w:rsid w:val="098F731B"/>
    <w:rsid w:val="0996625D"/>
    <w:rsid w:val="09DE2A70"/>
    <w:rsid w:val="0A1F4EA7"/>
    <w:rsid w:val="0A3C6185"/>
    <w:rsid w:val="0A6872D6"/>
    <w:rsid w:val="0ABF0DA2"/>
    <w:rsid w:val="0ACE0B6C"/>
    <w:rsid w:val="0AE57F7F"/>
    <w:rsid w:val="0AEE6792"/>
    <w:rsid w:val="0B536BC7"/>
    <w:rsid w:val="0B8771B4"/>
    <w:rsid w:val="0BE64801"/>
    <w:rsid w:val="0C413A10"/>
    <w:rsid w:val="0C7965AF"/>
    <w:rsid w:val="0C8E3524"/>
    <w:rsid w:val="0C95751F"/>
    <w:rsid w:val="0CAF6938"/>
    <w:rsid w:val="0CD6654D"/>
    <w:rsid w:val="0CDA3C0B"/>
    <w:rsid w:val="0CE85B65"/>
    <w:rsid w:val="0D540907"/>
    <w:rsid w:val="0D63355E"/>
    <w:rsid w:val="0D6402AD"/>
    <w:rsid w:val="0D6E00F5"/>
    <w:rsid w:val="0D7062F0"/>
    <w:rsid w:val="0D74780D"/>
    <w:rsid w:val="0D7F6C2B"/>
    <w:rsid w:val="0DDE1633"/>
    <w:rsid w:val="0DE27351"/>
    <w:rsid w:val="0E133FA6"/>
    <w:rsid w:val="0E195228"/>
    <w:rsid w:val="0E2217A8"/>
    <w:rsid w:val="0E5869D1"/>
    <w:rsid w:val="0E925E78"/>
    <w:rsid w:val="0E9D4A66"/>
    <w:rsid w:val="0E9F7BFE"/>
    <w:rsid w:val="0EA20C5D"/>
    <w:rsid w:val="0EA54211"/>
    <w:rsid w:val="0EB36468"/>
    <w:rsid w:val="0ED23F6A"/>
    <w:rsid w:val="0EDB759D"/>
    <w:rsid w:val="0EEC305F"/>
    <w:rsid w:val="0EF445E2"/>
    <w:rsid w:val="0F361774"/>
    <w:rsid w:val="0F3B7D92"/>
    <w:rsid w:val="0F66630C"/>
    <w:rsid w:val="0F6E3432"/>
    <w:rsid w:val="0F770107"/>
    <w:rsid w:val="0F923F18"/>
    <w:rsid w:val="0FA100B6"/>
    <w:rsid w:val="0FCB5DCA"/>
    <w:rsid w:val="0FF10449"/>
    <w:rsid w:val="10485433"/>
    <w:rsid w:val="104C2911"/>
    <w:rsid w:val="1063112D"/>
    <w:rsid w:val="107B6F12"/>
    <w:rsid w:val="1117568C"/>
    <w:rsid w:val="11192866"/>
    <w:rsid w:val="1124482F"/>
    <w:rsid w:val="11536B10"/>
    <w:rsid w:val="11604A5C"/>
    <w:rsid w:val="1176169D"/>
    <w:rsid w:val="117C68E7"/>
    <w:rsid w:val="117F775D"/>
    <w:rsid w:val="118263A1"/>
    <w:rsid w:val="119603EC"/>
    <w:rsid w:val="11A331FA"/>
    <w:rsid w:val="11D60777"/>
    <w:rsid w:val="11FD780F"/>
    <w:rsid w:val="120038A1"/>
    <w:rsid w:val="124D4083"/>
    <w:rsid w:val="12701BF6"/>
    <w:rsid w:val="1290435F"/>
    <w:rsid w:val="12DE47E6"/>
    <w:rsid w:val="12E50430"/>
    <w:rsid w:val="12F639E2"/>
    <w:rsid w:val="130855B9"/>
    <w:rsid w:val="1335536D"/>
    <w:rsid w:val="133612ED"/>
    <w:rsid w:val="133D1517"/>
    <w:rsid w:val="136532E8"/>
    <w:rsid w:val="139C09D1"/>
    <w:rsid w:val="13AF6952"/>
    <w:rsid w:val="13CC1FE7"/>
    <w:rsid w:val="13D21B4C"/>
    <w:rsid w:val="13DA576D"/>
    <w:rsid w:val="140804DC"/>
    <w:rsid w:val="14C02D74"/>
    <w:rsid w:val="14D251DA"/>
    <w:rsid w:val="14DD340D"/>
    <w:rsid w:val="14E05FAD"/>
    <w:rsid w:val="152764B7"/>
    <w:rsid w:val="153F673C"/>
    <w:rsid w:val="155913AC"/>
    <w:rsid w:val="156001F5"/>
    <w:rsid w:val="157E7401"/>
    <w:rsid w:val="1614567C"/>
    <w:rsid w:val="16271ECD"/>
    <w:rsid w:val="165A5B68"/>
    <w:rsid w:val="16A76302"/>
    <w:rsid w:val="16B018F7"/>
    <w:rsid w:val="16C521B5"/>
    <w:rsid w:val="16F3593D"/>
    <w:rsid w:val="16F60411"/>
    <w:rsid w:val="16FB18E9"/>
    <w:rsid w:val="172C0E92"/>
    <w:rsid w:val="173A3666"/>
    <w:rsid w:val="17405D8B"/>
    <w:rsid w:val="17482177"/>
    <w:rsid w:val="174977FC"/>
    <w:rsid w:val="175F18C1"/>
    <w:rsid w:val="177A3521"/>
    <w:rsid w:val="17870C00"/>
    <w:rsid w:val="17A87D8B"/>
    <w:rsid w:val="17DF684D"/>
    <w:rsid w:val="17F31E94"/>
    <w:rsid w:val="181736F0"/>
    <w:rsid w:val="18301873"/>
    <w:rsid w:val="185D59F5"/>
    <w:rsid w:val="18652B97"/>
    <w:rsid w:val="18A42D63"/>
    <w:rsid w:val="18C66141"/>
    <w:rsid w:val="18D24826"/>
    <w:rsid w:val="190E2A9B"/>
    <w:rsid w:val="1930763A"/>
    <w:rsid w:val="193564B7"/>
    <w:rsid w:val="195902EB"/>
    <w:rsid w:val="198F35F7"/>
    <w:rsid w:val="199667D2"/>
    <w:rsid w:val="19A61286"/>
    <w:rsid w:val="19C63AD7"/>
    <w:rsid w:val="19E850F4"/>
    <w:rsid w:val="19E94399"/>
    <w:rsid w:val="19EC5D5F"/>
    <w:rsid w:val="19EF6331"/>
    <w:rsid w:val="1A270BAD"/>
    <w:rsid w:val="1A3D7707"/>
    <w:rsid w:val="1A7868CC"/>
    <w:rsid w:val="1AA40BC5"/>
    <w:rsid w:val="1AA52927"/>
    <w:rsid w:val="1AB013BA"/>
    <w:rsid w:val="1AC4003B"/>
    <w:rsid w:val="1AFC093E"/>
    <w:rsid w:val="1B751D18"/>
    <w:rsid w:val="1B837689"/>
    <w:rsid w:val="1B885220"/>
    <w:rsid w:val="1BA35581"/>
    <w:rsid w:val="1BBC1B6B"/>
    <w:rsid w:val="1BC27D98"/>
    <w:rsid w:val="1BE54206"/>
    <w:rsid w:val="1BF1770C"/>
    <w:rsid w:val="1C1224F7"/>
    <w:rsid w:val="1C215860"/>
    <w:rsid w:val="1C3B088A"/>
    <w:rsid w:val="1C4A565E"/>
    <w:rsid w:val="1C841734"/>
    <w:rsid w:val="1CA43AAA"/>
    <w:rsid w:val="1CB97732"/>
    <w:rsid w:val="1CBB088F"/>
    <w:rsid w:val="1CD120FF"/>
    <w:rsid w:val="1CDF6B41"/>
    <w:rsid w:val="1CE73055"/>
    <w:rsid w:val="1D2C2003"/>
    <w:rsid w:val="1D2F3F5E"/>
    <w:rsid w:val="1D52110B"/>
    <w:rsid w:val="1D6920D8"/>
    <w:rsid w:val="1D6A2BEC"/>
    <w:rsid w:val="1D955C17"/>
    <w:rsid w:val="1DB20378"/>
    <w:rsid w:val="1DC50F72"/>
    <w:rsid w:val="1DD22C2E"/>
    <w:rsid w:val="1DF127C5"/>
    <w:rsid w:val="1EA43D4B"/>
    <w:rsid w:val="1EB55847"/>
    <w:rsid w:val="1ECB6CF3"/>
    <w:rsid w:val="1ED63936"/>
    <w:rsid w:val="1ED8671A"/>
    <w:rsid w:val="1EE82E44"/>
    <w:rsid w:val="1F001F15"/>
    <w:rsid w:val="1F095BCD"/>
    <w:rsid w:val="1F324176"/>
    <w:rsid w:val="1F3839D1"/>
    <w:rsid w:val="1F442723"/>
    <w:rsid w:val="1F5A2E17"/>
    <w:rsid w:val="1FA62F9C"/>
    <w:rsid w:val="1FB35C2A"/>
    <w:rsid w:val="1FB7392F"/>
    <w:rsid w:val="1FC843CF"/>
    <w:rsid w:val="1FDB0E74"/>
    <w:rsid w:val="200A7C06"/>
    <w:rsid w:val="20143EA9"/>
    <w:rsid w:val="20443B05"/>
    <w:rsid w:val="20497839"/>
    <w:rsid w:val="205325C3"/>
    <w:rsid w:val="20540405"/>
    <w:rsid w:val="209774C5"/>
    <w:rsid w:val="20AB7349"/>
    <w:rsid w:val="20B11C5C"/>
    <w:rsid w:val="20BE2EDB"/>
    <w:rsid w:val="20C639E4"/>
    <w:rsid w:val="20DC1B4D"/>
    <w:rsid w:val="20E75FEA"/>
    <w:rsid w:val="211F1E26"/>
    <w:rsid w:val="21386BBD"/>
    <w:rsid w:val="218D006F"/>
    <w:rsid w:val="219A49A8"/>
    <w:rsid w:val="21BE7C5E"/>
    <w:rsid w:val="21CA74E9"/>
    <w:rsid w:val="21DC1924"/>
    <w:rsid w:val="21DE261D"/>
    <w:rsid w:val="21E54A6A"/>
    <w:rsid w:val="21EC2BAB"/>
    <w:rsid w:val="21F22C88"/>
    <w:rsid w:val="22050A5A"/>
    <w:rsid w:val="221F410B"/>
    <w:rsid w:val="2227087F"/>
    <w:rsid w:val="223F0805"/>
    <w:rsid w:val="22527F7C"/>
    <w:rsid w:val="227B1864"/>
    <w:rsid w:val="22A60EB5"/>
    <w:rsid w:val="22AD47A1"/>
    <w:rsid w:val="22D034D4"/>
    <w:rsid w:val="22D23494"/>
    <w:rsid w:val="22D81D21"/>
    <w:rsid w:val="22F52585"/>
    <w:rsid w:val="230F0A4B"/>
    <w:rsid w:val="2316369E"/>
    <w:rsid w:val="23165F69"/>
    <w:rsid w:val="23506424"/>
    <w:rsid w:val="23666255"/>
    <w:rsid w:val="23695AB1"/>
    <w:rsid w:val="238263F4"/>
    <w:rsid w:val="23957C76"/>
    <w:rsid w:val="23A7421A"/>
    <w:rsid w:val="23AF4937"/>
    <w:rsid w:val="24011960"/>
    <w:rsid w:val="2403579C"/>
    <w:rsid w:val="24054A11"/>
    <w:rsid w:val="241137D9"/>
    <w:rsid w:val="241F2D91"/>
    <w:rsid w:val="24213779"/>
    <w:rsid w:val="243004B4"/>
    <w:rsid w:val="245A05CA"/>
    <w:rsid w:val="24B66F7B"/>
    <w:rsid w:val="24B95CB1"/>
    <w:rsid w:val="25101C98"/>
    <w:rsid w:val="25133966"/>
    <w:rsid w:val="25197286"/>
    <w:rsid w:val="25333CE6"/>
    <w:rsid w:val="253759E6"/>
    <w:rsid w:val="2549427F"/>
    <w:rsid w:val="25650FF8"/>
    <w:rsid w:val="25971BFA"/>
    <w:rsid w:val="25974A42"/>
    <w:rsid w:val="25A72E32"/>
    <w:rsid w:val="25E037D0"/>
    <w:rsid w:val="25E21071"/>
    <w:rsid w:val="25F20E6F"/>
    <w:rsid w:val="262808E1"/>
    <w:rsid w:val="26767663"/>
    <w:rsid w:val="267D5E31"/>
    <w:rsid w:val="268C368D"/>
    <w:rsid w:val="269B709F"/>
    <w:rsid w:val="26B92AA7"/>
    <w:rsid w:val="26C84F0B"/>
    <w:rsid w:val="270165BF"/>
    <w:rsid w:val="27251824"/>
    <w:rsid w:val="2734087F"/>
    <w:rsid w:val="273F2C97"/>
    <w:rsid w:val="27577C63"/>
    <w:rsid w:val="276A2C01"/>
    <w:rsid w:val="276F2C9F"/>
    <w:rsid w:val="277F4EC2"/>
    <w:rsid w:val="279F2C36"/>
    <w:rsid w:val="27DC1BD2"/>
    <w:rsid w:val="280765CC"/>
    <w:rsid w:val="28453812"/>
    <w:rsid w:val="28B270ED"/>
    <w:rsid w:val="28EC1885"/>
    <w:rsid w:val="29056374"/>
    <w:rsid w:val="29212C84"/>
    <w:rsid w:val="2933177B"/>
    <w:rsid w:val="2974095E"/>
    <w:rsid w:val="297A4E27"/>
    <w:rsid w:val="2990151A"/>
    <w:rsid w:val="29927401"/>
    <w:rsid w:val="299B6946"/>
    <w:rsid w:val="29B72D5D"/>
    <w:rsid w:val="29C04EC5"/>
    <w:rsid w:val="29D04E30"/>
    <w:rsid w:val="29D05C89"/>
    <w:rsid w:val="29DE1E4D"/>
    <w:rsid w:val="29E45A39"/>
    <w:rsid w:val="29F8414A"/>
    <w:rsid w:val="2A0A7696"/>
    <w:rsid w:val="2A0D0F0C"/>
    <w:rsid w:val="2A176C00"/>
    <w:rsid w:val="2A6B1D80"/>
    <w:rsid w:val="2A9152D8"/>
    <w:rsid w:val="2A9361B7"/>
    <w:rsid w:val="2ABE485F"/>
    <w:rsid w:val="2ADB6EB7"/>
    <w:rsid w:val="2AF0652A"/>
    <w:rsid w:val="2AF63BC4"/>
    <w:rsid w:val="2AFB54C5"/>
    <w:rsid w:val="2B055F8A"/>
    <w:rsid w:val="2B0C03A4"/>
    <w:rsid w:val="2B200651"/>
    <w:rsid w:val="2B366A9C"/>
    <w:rsid w:val="2B3841A3"/>
    <w:rsid w:val="2B5533FF"/>
    <w:rsid w:val="2B6F658C"/>
    <w:rsid w:val="2B984EBF"/>
    <w:rsid w:val="2BC53171"/>
    <w:rsid w:val="2C24329E"/>
    <w:rsid w:val="2C4D32D2"/>
    <w:rsid w:val="2D2C14B2"/>
    <w:rsid w:val="2D496F53"/>
    <w:rsid w:val="2D511017"/>
    <w:rsid w:val="2D6A2633"/>
    <w:rsid w:val="2DA67B66"/>
    <w:rsid w:val="2DF53CD5"/>
    <w:rsid w:val="2DFD7CDE"/>
    <w:rsid w:val="2E081BC5"/>
    <w:rsid w:val="2E2F6A3D"/>
    <w:rsid w:val="2E3177A5"/>
    <w:rsid w:val="2E4F1AC3"/>
    <w:rsid w:val="2E5404B5"/>
    <w:rsid w:val="2E630CFC"/>
    <w:rsid w:val="2E8818C4"/>
    <w:rsid w:val="2E922D73"/>
    <w:rsid w:val="2EBA1864"/>
    <w:rsid w:val="2EF22E53"/>
    <w:rsid w:val="2F0A6734"/>
    <w:rsid w:val="2F3D79D9"/>
    <w:rsid w:val="2F4219B8"/>
    <w:rsid w:val="2F62678F"/>
    <w:rsid w:val="2FA37B1F"/>
    <w:rsid w:val="2FC36919"/>
    <w:rsid w:val="2FC935F5"/>
    <w:rsid w:val="2FF015B7"/>
    <w:rsid w:val="30007053"/>
    <w:rsid w:val="3019494D"/>
    <w:rsid w:val="302F5F5A"/>
    <w:rsid w:val="305C6B22"/>
    <w:rsid w:val="30A5222C"/>
    <w:rsid w:val="30D50139"/>
    <w:rsid w:val="30DC39E3"/>
    <w:rsid w:val="30E74DA6"/>
    <w:rsid w:val="30EC34E0"/>
    <w:rsid w:val="31034DAD"/>
    <w:rsid w:val="310569C5"/>
    <w:rsid w:val="31073E1B"/>
    <w:rsid w:val="31172A76"/>
    <w:rsid w:val="313B4967"/>
    <w:rsid w:val="31687C82"/>
    <w:rsid w:val="31711248"/>
    <w:rsid w:val="31722793"/>
    <w:rsid w:val="31841167"/>
    <w:rsid w:val="31853273"/>
    <w:rsid w:val="31962F66"/>
    <w:rsid w:val="31CA7A2C"/>
    <w:rsid w:val="321B3FBC"/>
    <w:rsid w:val="32484C4E"/>
    <w:rsid w:val="32605D06"/>
    <w:rsid w:val="3268669D"/>
    <w:rsid w:val="327B4598"/>
    <w:rsid w:val="32D22945"/>
    <w:rsid w:val="32E416ED"/>
    <w:rsid w:val="32E90B44"/>
    <w:rsid w:val="332D5B09"/>
    <w:rsid w:val="33422DCC"/>
    <w:rsid w:val="334F183A"/>
    <w:rsid w:val="33603AE9"/>
    <w:rsid w:val="33A43C30"/>
    <w:rsid w:val="33CE2C57"/>
    <w:rsid w:val="33DE6B77"/>
    <w:rsid w:val="33EC512B"/>
    <w:rsid w:val="34084B56"/>
    <w:rsid w:val="341C101E"/>
    <w:rsid w:val="346F43F1"/>
    <w:rsid w:val="347D281C"/>
    <w:rsid w:val="34843067"/>
    <w:rsid w:val="34AD3E0C"/>
    <w:rsid w:val="34E41270"/>
    <w:rsid w:val="35441A8C"/>
    <w:rsid w:val="35475AC8"/>
    <w:rsid w:val="354E39D2"/>
    <w:rsid w:val="355A3D41"/>
    <w:rsid w:val="35691819"/>
    <w:rsid w:val="356E22DF"/>
    <w:rsid w:val="35A90671"/>
    <w:rsid w:val="35B55342"/>
    <w:rsid w:val="35B771BD"/>
    <w:rsid w:val="361A47EC"/>
    <w:rsid w:val="363E4C54"/>
    <w:rsid w:val="36417DE0"/>
    <w:rsid w:val="364D7488"/>
    <w:rsid w:val="365B6A59"/>
    <w:rsid w:val="366018F2"/>
    <w:rsid w:val="36741E16"/>
    <w:rsid w:val="36820D01"/>
    <w:rsid w:val="36BB3867"/>
    <w:rsid w:val="36D654B6"/>
    <w:rsid w:val="36DB7437"/>
    <w:rsid w:val="36DD32BF"/>
    <w:rsid w:val="36F061F6"/>
    <w:rsid w:val="36F4501D"/>
    <w:rsid w:val="370C7272"/>
    <w:rsid w:val="371E4419"/>
    <w:rsid w:val="372F21F8"/>
    <w:rsid w:val="37450A23"/>
    <w:rsid w:val="37482467"/>
    <w:rsid w:val="375A10AE"/>
    <w:rsid w:val="375F18CE"/>
    <w:rsid w:val="376D3A14"/>
    <w:rsid w:val="377543D4"/>
    <w:rsid w:val="379E050A"/>
    <w:rsid w:val="37A227C0"/>
    <w:rsid w:val="37CE64E6"/>
    <w:rsid w:val="37FE1083"/>
    <w:rsid w:val="380A70E0"/>
    <w:rsid w:val="38112289"/>
    <w:rsid w:val="381439C0"/>
    <w:rsid w:val="382C54C9"/>
    <w:rsid w:val="383E466C"/>
    <w:rsid w:val="386A291B"/>
    <w:rsid w:val="388B689C"/>
    <w:rsid w:val="389567FE"/>
    <w:rsid w:val="389B0595"/>
    <w:rsid w:val="38A2631D"/>
    <w:rsid w:val="38A47140"/>
    <w:rsid w:val="38C61181"/>
    <w:rsid w:val="38CB5333"/>
    <w:rsid w:val="38E856BA"/>
    <w:rsid w:val="38F75D43"/>
    <w:rsid w:val="38F80946"/>
    <w:rsid w:val="39197560"/>
    <w:rsid w:val="39792D8B"/>
    <w:rsid w:val="39875A90"/>
    <w:rsid w:val="398D4DD4"/>
    <w:rsid w:val="39A53523"/>
    <w:rsid w:val="39A75360"/>
    <w:rsid w:val="39AA5533"/>
    <w:rsid w:val="39C661B5"/>
    <w:rsid w:val="39D06816"/>
    <w:rsid w:val="3A0C03B4"/>
    <w:rsid w:val="3A1A0FD7"/>
    <w:rsid w:val="3A1E7F36"/>
    <w:rsid w:val="3A4D391B"/>
    <w:rsid w:val="3A6570A1"/>
    <w:rsid w:val="3A715723"/>
    <w:rsid w:val="3A784C88"/>
    <w:rsid w:val="3A882956"/>
    <w:rsid w:val="3A883352"/>
    <w:rsid w:val="3A98285C"/>
    <w:rsid w:val="3A9D4CDC"/>
    <w:rsid w:val="3AAA3DD3"/>
    <w:rsid w:val="3AAC37D2"/>
    <w:rsid w:val="3AB16AFD"/>
    <w:rsid w:val="3ABD3CF2"/>
    <w:rsid w:val="3AC75382"/>
    <w:rsid w:val="3AD23706"/>
    <w:rsid w:val="3AD54D74"/>
    <w:rsid w:val="3ADF1772"/>
    <w:rsid w:val="3AE83617"/>
    <w:rsid w:val="3B0A451D"/>
    <w:rsid w:val="3B3447F2"/>
    <w:rsid w:val="3B6C7A1C"/>
    <w:rsid w:val="3BB826BA"/>
    <w:rsid w:val="3BF12A86"/>
    <w:rsid w:val="3C3805E4"/>
    <w:rsid w:val="3D056DE5"/>
    <w:rsid w:val="3D150381"/>
    <w:rsid w:val="3D242DC0"/>
    <w:rsid w:val="3D3357D0"/>
    <w:rsid w:val="3D444D9B"/>
    <w:rsid w:val="3D603B0C"/>
    <w:rsid w:val="3D9A53D2"/>
    <w:rsid w:val="3D9E2DAE"/>
    <w:rsid w:val="3DA82763"/>
    <w:rsid w:val="3DB71261"/>
    <w:rsid w:val="3DCE24CB"/>
    <w:rsid w:val="3E4F0C3B"/>
    <w:rsid w:val="3E647109"/>
    <w:rsid w:val="3EAB60E2"/>
    <w:rsid w:val="3EB24A80"/>
    <w:rsid w:val="3EF344A0"/>
    <w:rsid w:val="3EFC7D5C"/>
    <w:rsid w:val="3F011DAD"/>
    <w:rsid w:val="3F0C5499"/>
    <w:rsid w:val="3F266B61"/>
    <w:rsid w:val="3F27052D"/>
    <w:rsid w:val="3F271710"/>
    <w:rsid w:val="3F564F2E"/>
    <w:rsid w:val="3F5A618E"/>
    <w:rsid w:val="3FA24FD3"/>
    <w:rsid w:val="3FF62CB9"/>
    <w:rsid w:val="3FF819ED"/>
    <w:rsid w:val="40030014"/>
    <w:rsid w:val="403C0BE5"/>
    <w:rsid w:val="404E7F56"/>
    <w:rsid w:val="406538E2"/>
    <w:rsid w:val="40BA1A5B"/>
    <w:rsid w:val="40C1354A"/>
    <w:rsid w:val="40E6513A"/>
    <w:rsid w:val="40ED7951"/>
    <w:rsid w:val="41277CAD"/>
    <w:rsid w:val="415415D9"/>
    <w:rsid w:val="417254CB"/>
    <w:rsid w:val="4178276D"/>
    <w:rsid w:val="418A329E"/>
    <w:rsid w:val="41DE7B28"/>
    <w:rsid w:val="41F471A8"/>
    <w:rsid w:val="42122E0A"/>
    <w:rsid w:val="421C406A"/>
    <w:rsid w:val="421C69ED"/>
    <w:rsid w:val="423D3A47"/>
    <w:rsid w:val="423F7E57"/>
    <w:rsid w:val="4240290B"/>
    <w:rsid w:val="42643AB6"/>
    <w:rsid w:val="428B61F9"/>
    <w:rsid w:val="42921C04"/>
    <w:rsid w:val="42DA32D0"/>
    <w:rsid w:val="42F13672"/>
    <w:rsid w:val="42FC2482"/>
    <w:rsid w:val="433112AC"/>
    <w:rsid w:val="434E0C0A"/>
    <w:rsid w:val="438D6152"/>
    <w:rsid w:val="43A96596"/>
    <w:rsid w:val="43BA44D0"/>
    <w:rsid w:val="43C54EEF"/>
    <w:rsid w:val="44137A55"/>
    <w:rsid w:val="4426496F"/>
    <w:rsid w:val="443B1E1A"/>
    <w:rsid w:val="444A1B70"/>
    <w:rsid w:val="44647509"/>
    <w:rsid w:val="447B0E62"/>
    <w:rsid w:val="44824F4E"/>
    <w:rsid w:val="449A0FC3"/>
    <w:rsid w:val="44A17A7E"/>
    <w:rsid w:val="44DE5380"/>
    <w:rsid w:val="44EE06E7"/>
    <w:rsid w:val="44FD341A"/>
    <w:rsid w:val="45201204"/>
    <w:rsid w:val="453C2484"/>
    <w:rsid w:val="453D6989"/>
    <w:rsid w:val="454B5BFF"/>
    <w:rsid w:val="454F1AA1"/>
    <w:rsid w:val="4561369C"/>
    <w:rsid w:val="457C2700"/>
    <w:rsid w:val="45A45B97"/>
    <w:rsid w:val="45BA70B1"/>
    <w:rsid w:val="45EA2CE8"/>
    <w:rsid w:val="45F74EDF"/>
    <w:rsid w:val="4600059B"/>
    <w:rsid w:val="4601718F"/>
    <w:rsid w:val="461818D0"/>
    <w:rsid w:val="462D006C"/>
    <w:rsid w:val="46350AC6"/>
    <w:rsid w:val="46444F36"/>
    <w:rsid w:val="46565007"/>
    <w:rsid w:val="46762442"/>
    <w:rsid w:val="46AB5174"/>
    <w:rsid w:val="46B42BAB"/>
    <w:rsid w:val="46B700F8"/>
    <w:rsid w:val="46BB04BA"/>
    <w:rsid w:val="46BB44BC"/>
    <w:rsid w:val="47131FCF"/>
    <w:rsid w:val="471D6532"/>
    <w:rsid w:val="473946A4"/>
    <w:rsid w:val="47510996"/>
    <w:rsid w:val="47570AD2"/>
    <w:rsid w:val="47580314"/>
    <w:rsid w:val="476726EC"/>
    <w:rsid w:val="477132E0"/>
    <w:rsid w:val="47F21740"/>
    <w:rsid w:val="47F24947"/>
    <w:rsid w:val="4804144A"/>
    <w:rsid w:val="4811419D"/>
    <w:rsid w:val="48126478"/>
    <w:rsid w:val="48460E87"/>
    <w:rsid w:val="486A7361"/>
    <w:rsid w:val="48C05E0B"/>
    <w:rsid w:val="48C75671"/>
    <w:rsid w:val="48C93CA5"/>
    <w:rsid w:val="49043FAA"/>
    <w:rsid w:val="490671E3"/>
    <w:rsid w:val="490E1280"/>
    <w:rsid w:val="4922407A"/>
    <w:rsid w:val="492C50AE"/>
    <w:rsid w:val="49455406"/>
    <w:rsid w:val="497B7D9F"/>
    <w:rsid w:val="498E6CD6"/>
    <w:rsid w:val="499C042D"/>
    <w:rsid w:val="49AD4CB2"/>
    <w:rsid w:val="49BD25AC"/>
    <w:rsid w:val="49C93F25"/>
    <w:rsid w:val="49CD4723"/>
    <w:rsid w:val="49D14B65"/>
    <w:rsid w:val="4A2E4303"/>
    <w:rsid w:val="4A356A70"/>
    <w:rsid w:val="4A3E1E81"/>
    <w:rsid w:val="4A496253"/>
    <w:rsid w:val="4A705EE3"/>
    <w:rsid w:val="4A765F57"/>
    <w:rsid w:val="4A801D75"/>
    <w:rsid w:val="4A803067"/>
    <w:rsid w:val="4A9B7E42"/>
    <w:rsid w:val="4AB74840"/>
    <w:rsid w:val="4AD728D0"/>
    <w:rsid w:val="4ADF597A"/>
    <w:rsid w:val="4AE30D8B"/>
    <w:rsid w:val="4AE435DD"/>
    <w:rsid w:val="4AE97511"/>
    <w:rsid w:val="4B2D7D43"/>
    <w:rsid w:val="4B3423C3"/>
    <w:rsid w:val="4B4B074F"/>
    <w:rsid w:val="4B8C6068"/>
    <w:rsid w:val="4B91508D"/>
    <w:rsid w:val="4B982FB8"/>
    <w:rsid w:val="4C07318C"/>
    <w:rsid w:val="4C436FEA"/>
    <w:rsid w:val="4C437B4B"/>
    <w:rsid w:val="4C450FB8"/>
    <w:rsid w:val="4C490E3B"/>
    <w:rsid w:val="4C561841"/>
    <w:rsid w:val="4C620ECA"/>
    <w:rsid w:val="4C747E14"/>
    <w:rsid w:val="4C7A7C24"/>
    <w:rsid w:val="4CA84AAD"/>
    <w:rsid w:val="4CAC0E3F"/>
    <w:rsid w:val="4D0478AD"/>
    <w:rsid w:val="4D11734C"/>
    <w:rsid w:val="4D1D1FC4"/>
    <w:rsid w:val="4D2B53D3"/>
    <w:rsid w:val="4D6566C5"/>
    <w:rsid w:val="4D807BBE"/>
    <w:rsid w:val="4D82577A"/>
    <w:rsid w:val="4DD92163"/>
    <w:rsid w:val="4DEA0304"/>
    <w:rsid w:val="4E01515D"/>
    <w:rsid w:val="4E405991"/>
    <w:rsid w:val="4E574CEE"/>
    <w:rsid w:val="4E644A95"/>
    <w:rsid w:val="4E656BC0"/>
    <w:rsid w:val="4E65774D"/>
    <w:rsid w:val="4E733AD0"/>
    <w:rsid w:val="4EB761A4"/>
    <w:rsid w:val="4EB81A53"/>
    <w:rsid w:val="4EFD61BB"/>
    <w:rsid w:val="4F0023CD"/>
    <w:rsid w:val="4F056DE1"/>
    <w:rsid w:val="4F1503F5"/>
    <w:rsid w:val="4F19757E"/>
    <w:rsid w:val="4F223D03"/>
    <w:rsid w:val="4F804961"/>
    <w:rsid w:val="4FBA158C"/>
    <w:rsid w:val="4FC869E6"/>
    <w:rsid w:val="4FCB101C"/>
    <w:rsid w:val="4FEA6667"/>
    <w:rsid w:val="4FF22CC7"/>
    <w:rsid w:val="500D6367"/>
    <w:rsid w:val="501927B6"/>
    <w:rsid w:val="504C1550"/>
    <w:rsid w:val="50602A1B"/>
    <w:rsid w:val="50612797"/>
    <w:rsid w:val="508012C5"/>
    <w:rsid w:val="508D0C8F"/>
    <w:rsid w:val="50AF56A8"/>
    <w:rsid w:val="50BB53A5"/>
    <w:rsid w:val="50C07CFF"/>
    <w:rsid w:val="50E70B9B"/>
    <w:rsid w:val="50FB1272"/>
    <w:rsid w:val="51174AAA"/>
    <w:rsid w:val="51441EA0"/>
    <w:rsid w:val="514642C0"/>
    <w:rsid w:val="514F4F0C"/>
    <w:rsid w:val="51AE7B66"/>
    <w:rsid w:val="51C54E50"/>
    <w:rsid w:val="51C60647"/>
    <w:rsid w:val="51DE290C"/>
    <w:rsid w:val="51E40954"/>
    <w:rsid w:val="51F34C81"/>
    <w:rsid w:val="521356D1"/>
    <w:rsid w:val="52494AC3"/>
    <w:rsid w:val="525C1589"/>
    <w:rsid w:val="5261088D"/>
    <w:rsid w:val="52664ED8"/>
    <w:rsid w:val="52853569"/>
    <w:rsid w:val="529161F4"/>
    <w:rsid w:val="52B14270"/>
    <w:rsid w:val="52D21EF4"/>
    <w:rsid w:val="530E392B"/>
    <w:rsid w:val="533521CD"/>
    <w:rsid w:val="53481693"/>
    <w:rsid w:val="53494392"/>
    <w:rsid w:val="535809C3"/>
    <w:rsid w:val="53C472B1"/>
    <w:rsid w:val="540E0C70"/>
    <w:rsid w:val="547B4505"/>
    <w:rsid w:val="548E6390"/>
    <w:rsid w:val="549A30CD"/>
    <w:rsid w:val="54A0008E"/>
    <w:rsid w:val="54BF7800"/>
    <w:rsid w:val="54C51393"/>
    <w:rsid w:val="54CF7DEE"/>
    <w:rsid w:val="54D9333A"/>
    <w:rsid w:val="54E46775"/>
    <w:rsid w:val="54ED6EEB"/>
    <w:rsid w:val="55107489"/>
    <w:rsid w:val="55357959"/>
    <w:rsid w:val="553810A9"/>
    <w:rsid w:val="55397707"/>
    <w:rsid w:val="554439BA"/>
    <w:rsid w:val="555A6CF3"/>
    <w:rsid w:val="55966BD2"/>
    <w:rsid w:val="55C40ED3"/>
    <w:rsid w:val="55F82F2A"/>
    <w:rsid w:val="5620552C"/>
    <w:rsid w:val="56497E72"/>
    <w:rsid w:val="56584454"/>
    <w:rsid w:val="568D6011"/>
    <w:rsid w:val="56973D5D"/>
    <w:rsid w:val="56B23CA6"/>
    <w:rsid w:val="56D90982"/>
    <w:rsid w:val="56E34FD3"/>
    <w:rsid w:val="573072C4"/>
    <w:rsid w:val="57471187"/>
    <w:rsid w:val="576F023D"/>
    <w:rsid w:val="577B6EE4"/>
    <w:rsid w:val="577F5FEC"/>
    <w:rsid w:val="57AA627E"/>
    <w:rsid w:val="57AC5A21"/>
    <w:rsid w:val="57D2146B"/>
    <w:rsid w:val="57EF1F3E"/>
    <w:rsid w:val="57FC6134"/>
    <w:rsid w:val="58120D81"/>
    <w:rsid w:val="581C0CA5"/>
    <w:rsid w:val="584E2F27"/>
    <w:rsid w:val="5886355F"/>
    <w:rsid w:val="58891F15"/>
    <w:rsid w:val="58A35601"/>
    <w:rsid w:val="58D524A8"/>
    <w:rsid w:val="58FF0F72"/>
    <w:rsid w:val="591C62AA"/>
    <w:rsid w:val="592B5210"/>
    <w:rsid w:val="593C1AF7"/>
    <w:rsid w:val="59451C35"/>
    <w:rsid w:val="594F2B99"/>
    <w:rsid w:val="59DD23FD"/>
    <w:rsid w:val="59E24A9F"/>
    <w:rsid w:val="5A442C38"/>
    <w:rsid w:val="5A6621A7"/>
    <w:rsid w:val="5A737CDB"/>
    <w:rsid w:val="5AC4179D"/>
    <w:rsid w:val="5B323CC5"/>
    <w:rsid w:val="5B761405"/>
    <w:rsid w:val="5BED7197"/>
    <w:rsid w:val="5BF8521E"/>
    <w:rsid w:val="5C1B1303"/>
    <w:rsid w:val="5C202048"/>
    <w:rsid w:val="5C241BA9"/>
    <w:rsid w:val="5C2453F7"/>
    <w:rsid w:val="5C4D09E5"/>
    <w:rsid w:val="5C502BEC"/>
    <w:rsid w:val="5C745F16"/>
    <w:rsid w:val="5C86016C"/>
    <w:rsid w:val="5C8E357B"/>
    <w:rsid w:val="5CE82B73"/>
    <w:rsid w:val="5CF26FEF"/>
    <w:rsid w:val="5D006819"/>
    <w:rsid w:val="5D0852CE"/>
    <w:rsid w:val="5D16385F"/>
    <w:rsid w:val="5D175C6C"/>
    <w:rsid w:val="5D2928D3"/>
    <w:rsid w:val="5D502207"/>
    <w:rsid w:val="5D723140"/>
    <w:rsid w:val="5DBD180F"/>
    <w:rsid w:val="5DC4184E"/>
    <w:rsid w:val="5DCC281C"/>
    <w:rsid w:val="5DE75DAB"/>
    <w:rsid w:val="5E0369A2"/>
    <w:rsid w:val="5E1C522E"/>
    <w:rsid w:val="5E3B5015"/>
    <w:rsid w:val="5E87543F"/>
    <w:rsid w:val="5E92385E"/>
    <w:rsid w:val="5ECD71E6"/>
    <w:rsid w:val="5ECF201B"/>
    <w:rsid w:val="5EDA7CAB"/>
    <w:rsid w:val="5EE501EE"/>
    <w:rsid w:val="5EFC42F5"/>
    <w:rsid w:val="5F4315E3"/>
    <w:rsid w:val="5F520023"/>
    <w:rsid w:val="5F850F8C"/>
    <w:rsid w:val="5F8B27D0"/>
    <w:rsid w:val="5FB172F1"/>
    <w:rsid w:val="5FD80599"/>
    <w:rsid w:val="5FFB11ED"/>
    <w:rsid w:val="60001DC2"/>
    <w:rsid w:val="600D617D"/>
    <w:rsid w:val="60380678"/>
    <w:rsid w:val="605D60B2"/>
    <w:rsid w:val="60604FB9"/>
    <w:rsid w:val="60861F3E"/>
    <w:rsid w:val="609540A8"/>
    <w:rsid w:val="60B33EB4"/>
    <w:rsid w:val="60CC7B16"/>
    <w:rsid w:val="60F21D80"/>
    <w:rsid w:val="610300C4"/>
    <w:rsid w:val="611A335C"/>
    <w:rsid w:val="61216701"/>
    <w:rsid w:val="612B1527"/>
    <w:rsid w:val="61502392"/>
    <w:rsid w:val="61627966"/>
    <w:rsid w:val="61C94E86"/>
    <w:rsid w:val="621161DC"/>
    <w:rsid w:val="62134E52"/>
    <w:rsid w:val="623A393B"/>
    <w:rsid w:val="623B781D"/>
    <w:rsid w:val="626B5F89"/>
    <w:rsid w:val="627B32D8"/>
    <w:rsid w:val="62B90CFD"/>
    <w:rsid w:val="62C26E43"/>
    <w:rsid w:val="62D72B24"/>
    <w:rsid w:val="62E37FAA"/>
    <w:rsid w:val="62FF6042"/>
    <w:rsid w:val="63226337"/>
    <w:rsid w:val="632D650D"/>
    <w:rsid w:val="634F313C"/>
    <w:rsid w:val="63863E37"/>
    <w:rsid w:val="63C079F3"/>
    <w:rsid w:val="63DC4A37"/>
    <w:rsid w:val="63E6354F"/>
    <w:rsid w:val="64080C7C"/>
    <w:rsid w:val="643709EB"/>
    <w:rsid w:val="644E7344"/>
    <w:rsid w:val="64C753D2"/>
    <w:rsid w:val="64E82635"/>
    <w:rsid w:val="64F168C1"/>
    <w:rsid w:val="64F459D0"/>
    <w:rsid w:val="650E118E"/>
    <w:rsid w:val="65436EF1"/>
    <w:rsid w:val="65555035"/>
    <w:rsid w:val="657354F4"/>
    <w:rsid w:val="65760A1A"/>
    <w:rsid w:val="6576790A"/>
    <w:rsid w:val="6582338C"/>
    <w:rsid w:val="65B22786"/>
    <w:rsid w:val="65D750E7"/>
    <w:rsid w:val="65E531E0"/>
    <w:rsid w:val="65F6754E"/>
    <w:rsid w:val="660B4178"/>
    <w:rsid w:val="66126944"/>
    <w:rsid w:val="661735C0"/>
    <w:rsid w:val="662F7114"/>
    <w:rsid w:val="66576EEF"/>
    <w:rsid w:val="665C716E"/>
    <w:rsid w:val="66692167"/>
    <w:rsid w:val="666D55B6"/>
    <w:rsid w:val="66790B19"/>
    <w:rsid w:val="66872C44"/>
    <w:rsid w:val="66A4324F"/>
    <w:rsid w:val="66DD6DB6"/>
    <w:rsid w:val="66E85B68"/>
    <w:rsid w:val="6770064D"/>
    <w:rsid w:val="677C64DA"/>
    <w:rsid w:val="67925898"/>
    <w:rsid w:val="67EB2FCE"/>
    <w:rsid w:val="67EE62F1"/>
    <w:rsid w:val="67FE0ABC"/>
    <w:rsid w:val="68197F7C"/>
    <w:rsid w:val="68272B8D"/>
    <w:rsid w:val="682B4CB5"/>
    <w:rsid w:val="683478A8"/>
    <w:rsid w:val="684A0973"/>
    <w:rsid w:val="68723A04"/>
    <w:rsid w:val="689D7645"/>
    <w:rsid w:val="68A36922"/>
    <w:rsid w:val="68C1245B"/>
    <w:rsid w:val="68CF44E4"/>
    <w:rsid w:val="68D474B9"/>
    <w:rsid w:val="68E960E1"/>
    <w:rsid w:val="68F42258"/>
    <w:rsid w:val="68F7499D"/>
    <w:rsid w:val="68FC1769"/>
    <w:rsid w:val="68FD1B47"/>
    <w:rsid w:val="69333A5F"/>
    <w:rsid w:val="69520021"/>
    <w:rsid w:val="69774602"/>
    <w:rsid w:val="69783B24"/>
    <w:rsid w:val="69816F94"/>
    <w:rsid w:val="699A4315"/>
    <w:rsid w:val="699A7243"/>
    <w:rsid w:val="69B50573"/>
    <w:rsid w:val="69EC6AE1"/>
    <w:rsid w:val="6A1658F2"/>
    <w:rsid w:val="6A2D2B79"/>
    <w:rsid w:val="6A4533FD"/>
    <w:rsid w:val="6A496835"/>
    <w:rsid w:val="6A544228"/>
    <w:rsid w:val="6A735F66"/>
    <w:rsid w:val="6A811AA3"/>
    <w:rsid w:val="6A8E7740"/>
    <w:rsid w:val="6AD5648B"/>
    <w:rsid w:val="6AE370D2"/>
    <w:rsid w:val="6AFA6D04"/>
    <w:rsid w:val="6B104ED5"/>
    <w:rsid w:val="6B122298"/>
    <w:rsid w:val="6B44347E"/>
    <w:rsid w:val="6B6F06C2"/>
    <w:rsid w:val="6B73161B"/>
    <w:rsid w:val="6B7409C3"/>
    <w:rsid w:val="6BDC5018"/>
    <w:rsid w:val="6BE01579"/>
    <w:rsid w:val="6BFB26B9"/>
    <w:rsid w:val="6BFE0E3C"/>
    <w:rsid w:val="6C026F3C"/>
    <w:rsid w:val="6C19025F"/>
    <w:rsid w:val="6C2C4F32"/>
    <w:rsid w:val="6C2E447B"/>
    <w:rsid w:val="6C396029"/>
    <w:rsid w:val="6C3B64A7"/>
    <w:rsid w:val="6C9F50EE"/>
    <w:rsid w:val="6CBA70CF"/>
    <w:rsid w:val="6CD83A9C"/>
    <w:rsid w:val="6D046762"/>
    <w:rsid w:val="6D1611E1"/>
    <w:rsid w:val="6D256766"/>
    <w:rsid w:val="6D594F53"/>
    <w:rsid w:val="6D607BF6"/>
    <w:rsid w:val="6D7F405A"/>
    <w:rsid w:val="6DB9174A"/>
    <w:rsid w:val="6E1F0E23"/>
    <w:rsid w:val="6E5754C6"/>
    <w:rsid w:val="6E8A1B32"/>
    <w:rsid w:val="6EAA02F5"/>
    <w:rsid w:val="6EDF2BB6"/>
    <w:rsid w:val="6F450E7C"/>
    <w:rsid w:val="6FA6229E"/>
    <w:rsid w:val="6FCC0F8B"/>
    <w:rsid w:val="6FF900E7"/>
    <w:rsid w:val="7004576E"/>
    <w:rsid w:val="700E32C5"/>
    <w:rsid w:val="70294286"/>
    <w:rsid w:val="708C7ADE"/>
    <w:rsid w:val="70B307E8"/>
    <w:rsid w:val="70C96F94"/>
    <w:rsid w:val="70D05D03"/>
    <w:rsid w:val="70F64295"/>
    <w:rsid w:val="711575EE"/>
    <w:rsid w:val="715349F8"/>
    <w:rsid w:val="71945E92"/>
    <w:rsid w:val="71A53E36"/>
    <w:rsid w:val="71BF1449"/>
    <w:rsid w:val="71F10B2A"/>
    <w:rsid w:val="72176375"/>
    <w:rsid w:val="721A1FF2"/>
    <w:rsid w:val="72356C20"/>
    <w:rsid w:val="723E4008"/>
    <w:rsid w:val="723F57BE"/>
    <w:rsid w:val="72AC1216"/>
    <w:rsid w:val="72B00049"/>
    <w:rsid w:val="72B70F99"/>
    <w:rsid w:val="72D10D26"/>
    <w:rsid w:val="72E01288"/>
    <w:rsid w:val="72E25676"/>
    <w:rsid w:val="72F535B6"/>
    <w:rsid w:val="73192710"/>
    <w:rsid w:val="732D44FD"/>
    <w:rsid w:val="73981574"/>
    <w:rsid w:val="73A7770B"/>
    <w:rsid w:val="73B92936"/>
    <w:rsid w:val="73FB49FD"/>
    <w:rsid w:val="741B10A0"/>
    <w:rsid w:val="74376D48"/>
    <w:rsid w:val="74446098"/>
    <w:rsid w:val="74454A6C"/>
    <w:rsid w:val="744D4519"/>
    <w:rsid w:val="745C5432"/>
    <w:rsid w:val="746B414F"/>
    <w:rsid w:val="7472539D"/>
    <w:rsid w:val="74915170"/>
    <w:rsid w:val="74DC45A8"/>
    <w:rsid w:val="74E85B37"/>
    <w:rsid w:val="74EE5741"/>
    <w:rsid w:val="750227FB"/>
    <w:rsid w:val="75212B9F"/>
    <w:rsid w:val="75693A34"/>
    <w:rsid w:val="75B770CD"/>
    <w:rsid w:val="75C16AA8"/>
    <w:rsid w:val="75CD34AB"/>
    <w:rsid w:val="75CF7ADF"/>
    <w:rsid w:val="75E67DA3"/>
    <w:rsid w:val="75FE0F8D"/>
    <w:rsid w:val="76436820"/>
    <w:rsid w:val="764B4F25"/>
    <w:rsid w:val="76686C67"/>
    <w:rsid w:val="76C13A6A"/>
    <w:rsid w:val="76CE603E"/>
    <w:rsid w:val="76D1190F"/>
    <w:rsid w:val="76D8485C"/>
    <w:rsid w:val="77162A8D"/>
    <w:rsid w:val="774025C7"/>
    <w:rsid w:val="77644111"/>
    <w:rsid w:val="77815BBB"/>
    <w:rsid w:val="77894212"/>
    <w:rsid w:val="77CF3AFC"/>
    <w:rsid w:val="77D67A49"/>
    <w:rsid w:val="7800271B"/>
    <w:rsid w:val="780B7204"/>
    <w:rsid w:val="782E08A0"/>
    <w:rsid w:val="78440AB3"/>
    <w:rsid w:val="785B79C8"/>
    <w:rsid w:val="787A7054"/>
    <w:rsid w:val="78950BD0"/>
    <w:rsid w:val="78BF2469"/>
    <w:rsid w:val="78CA0ADB"/>
    <w:rsid w:val="78D85865"/>
    <w:rsid w:val="79071000"/>
    <w:rsid w:val="791D16C1"/>
    <w:rsid w:val="792C66E3"/>
    <w:rsid w:val="7935676A"/>
    <w:rsid w:val="798B793F"/>
    <w:rsid w:val="79DE3EB1"/>
    <w:rsid w:val="79FE73E8"/>
    <w:rsid w:val="7A1D75AC"/>
    <w:rsid w:val="7A237A12"/>
    <w:rsid w:val="7A3A04B8"/>
    <w:rsid w:val="7A6054E2"/>
    <w:rsid w:val="7A6C7475"/>
    <w:rsid w:val="7A8B7D4E"/>
    <w:rsid w:val="7A98230D"/>
    <w:rsid w:val="7AEF4620"/>
    <w:rsid w:val="7B010EE8"/>
    <w:rsid w:val="7B422B99"/>
    <w:rsid w:val="7B60499C"/>
    <w:rsid w:val="7B6276D7"/>
    <w:rsid w:val="7BCD0EC9"/>
    <w:rsid w:val="7C0C430A"/>
    <w:rsid w:val="7C2509CB"/>
    <w:rsid w:val="7C326A02"/>
    <w:rsid w:val="7C361D53"/>
    <w:rsid w:val="7C515A2B"/>
    <w:rsid w:val="7C7E2BD2"/>
    <w:rsid w:val="7C920B0C"/>
    <w:rsid w:val="7C927D9E"/>
    <w:rsid w:val="7CB5673F"/>
    <w:rsid w:val="7CB814EC"/>
    <w:rsid w:val="7CBF1AA2"/>
    <w:rsid w:val="7CDC5105"/>
    <w:rsid w:val="7CF92CB6"/>
    <w:rsid w:val="7D1E30D7"/>
    <w:rsid w:val="7D2A2240"/>
    <w:rsid w:val="7D2C7B21"/>
    <w:rsid w:val="7D4E578A"/>
    <w:rsid w:val="7D727E8A"/>
    <w:rsid w:val="7D7D5941"/>
    <w:rsid w:val="7D944D6D"/>
    <w:rsid w:val="7DC06AE5"/>
    <w:rsid w:val="7DC91483"/>
    <w:rsid w:val="7DCA7C44"/>
    <w:rsid w:val="7DDF015B"/>
    <w:rsid w:val="7DEE0A06"/>
    <w:rsid w:val="7E745C2A"/>
    <w:rsid w:val="7EA95F25"/>
    <w:rsid w:val="7EBF6D37"/>
    <w:rsid w:val="7ED31DC1"/>
    <w:rsid w:val="7EF47C86"/>
    <w:rsid w:val="7F301E35"/>
    <w:rsid w:val="7F3B5B00"/>
    <w:rsid w:val="7F4376B8"/>
    <w:rsid w:val="7F4E7903"/>
    <w:rsid w:val="7F510FB4"/>
    <w:rsid w:val="7FCB0BE9"/>
    <w:rsid w:val="7FE147D1"/>
    <w:rsid w:val="7FEB6C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ocked="1"/>
    <w:lsdException w:qFormat="1" w:uiPriority="0" w:name="caption"/>
    <w:lsdException w:uiPriority="99" w:name="table of figures" w:locked="1"/>
    <w:lsdException w:uiPriority="99" w:name="envelope address" w:locked="1"/>
    <w:lsdException w:qFormat="1" w:unhideWhenUsed="0" w:uiPriority="99" w:semiHidden="0" w:name="envelope return" w:locked="1"/>
    <w:lsdException w:qFormat="1" w:unhideWhenUsed="0" w:uiPriority="0" w:semiHidden="0" w:name="footnote reference"/>
    <w:lsdException w:qFormat="1" w:unhideWhenUsed="0" w:uiPriority="0" w:semiHidden="0" w:name="annotation reference"/>
    <w:lsdException w:uiPriority="99" w:name="line number" w:locked="1"/>
    <w:lsdException w:qFormat="1" w:unhideWhenUsed="0" w:uiPriority="0"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iPriority="0" w:semiHidden="0" w:name="toa heading" w:locked="1"/>
    <w:lsdException w:qFormat="1" w:unhideWhenUsed="0" w:uiPriority="0" w:semiHidden="0" w:name="List"/>
    <w:lsdException w:qFormat="1" w:uiPriority="0" w:semiHidden="0" w:name="List Bullet" w:locked="1"/>
    <w:lsdException w:uiPriority="99" w:name="List Number" w:locked="1"/>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uiPriority="99" w:name="Message Header" w:locked="1"/>
    <w:lsdException w:qFormat="1" w:unhideWhenUsed="0" w:uiPriority="0" w:semiHidden="0" w:name="Subtitle"/>
    <w:lsdException w:uiPriority="99" w:name="Salutation" w:locked="1"/>
    <w:lsdException w:qFormat="1" w:unhideWhenUsed="0" w:uiPriority="0" w:semiHidden="0" w:name="Date"/>
    <w:lsdException w:qFormat="1" w:unhideWhenUsed="0" w:uiPriority="0" w:semiHidden="0" w:name="Body Text First Indent"/>
    <w:lsdException w:qFormat="1" w:unhideWhenUsed="0" w:uiPriority="0" w:semiHidden="0" w:name="Body Text First Indent 2" w:locked="1"/>
    <w:lsdException w:uiPriority="99" w:name="Note Heading" w:locked="1"/>
    <w:lsdException w:qFormat="1" w:unhideWhenUsed="0" w:uiPriority="0" w:semiHidden="0" w:name="Body Text 2"/>
    <w:lsdException w:uiPriority="99" w:name="Body Text 3" w:locked="1"/>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ocked="1"/>
    <w:lsdException w:qFormat="1" w:unhideWhenUsed="0" w:uiPriority="0" w:semiHidden="0" w:name="Strong" w:locked="1"/>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0" w:semiHidden="0" w:name="Table Grid"/>
    <w:lsdException w:uiPriority="99"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63"/>
    <w:qFormat/>
    <w:uiPriority w:val="0"/>
    <w:pPr>
      <w:keepNext/>
      <w:keepLines/>
      <w:numPr>
        <w:ilvl w:val="0"/>
        <w:numId w:val="1"/>
      </w:numPr>
      <w:adjustRightInd w:val="0"/>
      <w:spacing w:before="340" w:after="330" w:line="578" w:lineRule="atLeast"/>
      <w:textAlignment w:val="baseline"/>
      <w:outlineLvl w:val="0"/>
    </w:pPr>
    <w:rPr>
      <w:rFonts w:ascii="Calibri" w:hAnsi="Calibri" w:cs="Calibri"/>
      <w:b/>
      <w:bCs/>
      <w:kern w:val="44"/>
      <w:sz w:val="44"/>
      <w:szCs w:val="44"/>
    </w:rPr>
  </w:style>
  <w:style w:type="paragraph" w:styleId="4">
    <w:name w:val="heading 2"/>
    <w:basedOn w:val="1"/>
    <w:next w:val="1"/>
    <w:link w:val="64"/>
    <w:qFormat/>
    <w:uiPriority w:val="0"/>
    <w:pPr>
      <w:keepNext/>
      <w:keepLines/>
      <w:adjustRightInd w:val="0"/>
      <w:spacing w:before="260" w:after="260" w:line="416" w:lineRule="atLeast"/>
      <w:textAlignment w:val="baseline"/>
      <w:outlineLvl w:val="1"/>
    </w:pPr>
    <w:rPr>
      <w:rFonts w:ascii="Arial" w:hAnsi="Arial" w:eastAsia="黑体" w:cs="Arial"/>
      <w:b/>
      <w:bCs/>
      <w:kern w:val="0"/>
      <w:sz w:val="32"/>
      <w:szCs w:val="32"/>
    </w:rPr>
  </w:style>
  <w:style w:type="paragraph" w:styleId="5">
    <w:name w:val="heading 3"/>
    <w:basedOn w:val="1"/>
    <w:next w:val="1"/>
    <w:link w:val="65"/>
    <w:qFormat/>
    <w:uiPriority w:val="0"/>
    <w:pPr>
      <w:keepNext/>
      <w:keepLines/>
      <w:adjustRightInd w:val="0"/>
      <w:spacing w:before="260" w:after="260" w:line="416" w:lineRule="atLeast"/>
      <w:textAlignment w:val="baseline"/>
      <w:outlineLvl w:val="2"/>
    </w:pPr>
    <w:rPr>
      <w:b/>
      <w:bCs/>
      <w:kern w:val="0"/>
      <w:sz w:val="32"/>
      <w:szCs w:val="32"/>
    </w:rPr>
  </w:style>
  <w:style w:type="paragraph" w:styleId="6">
    <w:name w:val="heading 4"/>
    <w:basedOn w:val="1"/>
    <w:next w:val="1"/>
    <w:link w:val="66"/>
    <w:qFormat/>
    <w:uiPriority w:val="0"/>
    <w:pPr>
      <w:keepNext/>
      <w:keepLines/>
      <w:adjustRightInd w:val="0"/>
      <w:spacing w:before="280" w:after="290" w:line="376" w:lineRule="atLeast"/>
      <w:textAlignment w:val="baseline"/>
      <w:outlineLvl w:val="3"/>
    </w:pPr>
    <w:rPr>
      <w:rFonts w:ascii="Arial" w:hAnsi="Arial" w:eastAsia="黑体" w:cs="Arial"/>
      <w:b/>
      <w:bCs/>
      <w:sz w:val="28"/>
      <w:szCs w:val="28"/>
    </w:rPr>
  </w:style>
  <w:style w:type="paragraph" w:styleId="7">
    <w:name w:val="heading 5"/>
    <w:basedOn w:val="1"/>
    <w:next w:val="1"/>
    <w:link w:val="67"/>
    <w:qFormat/>
    <w:uiPriority w:val="0"/>
    <w:pPr>
      <w:keepNext/>
      <w:keepLines/>
      <w:adjustRightInd w:val="0"/>
      <w:spacing w:before="280" w:after="290" w:line="376" w:lineRule="atLeast"/>
      <w:textAlignment w:val="baseline"/>
      <w:outlineLvl w:val="4"/>
    </w:pPr>
    <w:rPr>
      <w:b/>
      <w:bCs/>
      <w:kern w:val="0"/>
      <w:sz w:val="28"/>
      <w:szCs w:val="28"/>
    </w:rPr>
  </w:style>
  <w:style w:type="paragraph" w:styleId="8">
    <w:name w:val="heading 6"/>
    <w:basedOn w:val="1"/>
    <w:next w:val="1"/>
    <w:link w:val="68"/>
    <w:qFormat/>
    <w:uiPriority w:val="0"/>
    <w:pPr>
      <w:keepNext/>
      <w:keepLines/>
      <w:adjustRightInd w:val="0"/>
      <w:spacing w:before="240" w:after="64" w:line="320" w:lineRule="atLeast"/>
      <w:textAlignment w:val="baseline"/>
      <w:outlineLvl w:val="5"/>
    </w:pPr>
    <w:rPr>
      <w:rFonts w:ascii="Arial" w:hAnsi="Arial" w:eastAsia="黑体" w:cs="Arial"/>
      <w:b/>
      <w:bCs/>
      <w:kern w:val="0"/>
      <w:sz w:val="24"/>
      <w:szCs w:val="24"/>
    </w:rPr>
  </w:style>
  <w:style w:type="paragraph" w:styleId="9">
    <w:name w:val="heading 7"/>
    <w:basedOn w:val="1"/>
    <w:next w:val="1"/>
    <w:link w:val="69"/>
    <w:qFormat/>
    <w:uiPriority w:val="0"/>
    <w:pPr>
      <w:keepNext/>
      <w:keepLines/>
      <w:adjustRightInd w:val="0"/>
      <w:spacing w:before="240" w:after="64" w:line="320" w:lineRule="atLeast"/>
      <w:textAlignment w:val="baseline"/>
      <w:outlineLvl w:val="6"/>
    </w:pPr>
    <w:rPr>
      <w:b/>
      <w:bCs/>
      <w:kern w:val="0"/>
      <w:sz w:val="24"/>
      <w:szCs w:val="24"/>
    </w:rPr>
  </w:style>
  <w:style w:type="paragraph" w:styleId="10">
    <w:name w:val="heading 8"/>
    <w:basedOn w:val="1"/>
    <w:next w:val="1"/>
    <w:link w:val="70"/>
    <w:qFormat/>
    <w:uiPriority w:val="0"/>
    <w:pPr>
      <w:keepNext/>
      <w:keepLines/>
      <w:adjustRightInd w:val="0"/>
      <w:spacing w:before="240" w:after="64" w:line="320" w:lineRule="atLeast"/>
      <w:textAlignment w:val="baseline"/>
      <w:outlineLvl w:val="7"/>
    </w:pPr>
    <w:rPr>
      <w:rFonts w:ascii="Arial" w:hAnsi="Arial" w:eastAsia="黑体" w:cs="Arial"/>
      <w:kern w:val="0"/>
      <w:sz w:val="24"/>
      <w:szCs w:val="24"/>
    </w:rPr>
  </w:style>
  <w:style w:type="paragraph" w:styleId="11">
    <w:name w:val="heading 9"/>
    <w:basedOn w:val="1"/>
    <w:next w:val="1"/>
    <w:link w:val="71"/>
    <w:qFormat/>
    <w:uiPriority w:val="0"/>
    <w:pPr>
      <w:keepNext/>
      <w:keepLines/>
      <w:adjustRightInd w:val="0"/>
      <w:spacing w:before="240" w:after="64" w:line="320" w:lineRule="atLeast"/>
      <w:textAlignment w:val="baseline"/>
      <w:outlineLvl w:val="8"/>
    </w:pPr>
    <w:rPr>
      <w:rFonts w:ascii="Arial" w:hAnsi="Arial" w:eastAsia="黑体" w:cs="Arial"/>
      <w:kern w:val="0"/>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tabs>
        <w:tab w:val="left" w:pos="840"/>
        <w:tab w:val="right" w:leader="dot" w:pos="9402"/>
      </w:tabs>
      <w:adjustRightInd w:val="0"/>
      <w:snapToGrid w:val="0"/>
      <w:spacing w:line="360" w:lineRule="auto"/>
      <w:jc w:val="left"/>
    </w:pPr>
    <w:rPr>
      <w:rFonts w:ascii="Arial" w:hAnsi="宋体" w:cs="Arial"/>
      <w:caps/>
      <w:w w:val="80"/>
      <w:sz w:val="24"/>
      <w:szCs w:val="24"/>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ind w:left="1260"/>
      <w:jc w:val="left"/>
    </w:pPr>
    <w:rPr>
      <w:sz w:val="18"/>
      <w:szCs w:val="18"/>
    </w:rPr>
  </w:style>
  <w:style w:type="paragraph" w:styleId="14">
    <w:name w:val="Normal Indent"/>
    <w:basedOn w:val="1"/>
    <w:link w:val="98"/>
    <w:qFormat/>
    <w:uiPriority w:val="0"/>
    <w:pPr>
      <w:ind w:firstLine="420"/>
    </w:pPr>
  </w:style>
  <w:style w:type="paragraph" w:styleId="15">
    <w:name w:val="List Bullet"/>
    <w:basedOn w:val="1"/>
    <w:unhideWhenUsed/>
    <w:qFormat/>
    <w:locked/>
    <w:uiPriority w:val="0"/>
    <w:pPr>
      <w:tabs>
        <w:tab w:val="left" w:pos="360"/>
      </w:tabs>
      <w:contextualSpacing/>
    </w:pPr>
    <w:rPr>
      <w:szCs w:val="20"/>
    </w:rPr>
  </w:style>
  <w:style w:type="paragraph" w:styleId="16">
    <w:name w:val="Document Map"/>
    <w:basedOn w:val="1"/>
    <w:link w:val="74"/>
    <w:qFormat/>
    <w:uiPriority w:val="0"/>
    <w:pPr>
      <w:shd w:val="clear" w:color="auto" w:fill="000080"/>
    </w:pPr>
  </w:style>
  <w:style w:type="paragraph" w:styleId="17">
    <w:name w:val="toa heading"/>
    <w:basedOn w:val="1"/>
    <w:next w:val="1"/>
    <w:unhideWhenUsed/>
    <w:qFormat/>
    <w:locked/>
    <w:uiPriority w:val="0"/>
    <w:pPr>
      <w:adjustRightInd w:val="0"/>
      <w:spacing w:before="200" w:line="360" w:lineRule="atLeast"/>
      <w:jc w:val="center"/>
    </w:pPr>
    <w:rPr>
      <w:rFonts w:ascii="Arial" w:hAnsi="Arial" w:eastAsia="黑体"/>
      <w:kern w:val="0"/>
      <w:sz w:val="44"/>
      <w:szCs w:val="20"/>
    </w:rPr>
  </w:style>
  <w:style w:type="paragraph" w:styleId="18">
    <w:name w:val="annotation text"/>
    <w:basedOn w:val="1"/>
    <w:link w:val="75"/>
    <w:semiHidden/>
    <w:qFormat/>
    <w:uiPriority w:val="0"/>
    <w:pPr>
      <w:jc w:val="left"/>
    </w:pPr>
    <w:rPr>
      <w:rFonts w:ascii="Calibri" w:hAnsi="Calibri" w:cs="Calibri"/>
    </w:rPr>
  </w:style>
  <w:style w:type="paragraph" w:styleId="19">
    <w:name w:val="Body Text"/>
    <w:basedOn w:val="1"/>
    <w:link w:val="76"/>
    <w:qFormat/>
    <w:uiPriority w:val="0"/>
    <w:rPr>
      <w:sz w:val="24"/>
      <w:szCs w:val="24"/>
    </w:rPr>
  </w:style>
  <w:style w:type="paragraph" w:styleId="20">
    <w:name w:val="Body Text Indent"/>
    <w:basedOn w:val="1"/>
    <w:next w:val="21"/>
    <w:link w:val="72"/>
    <w:qFormat/>
    <w:uiPriority w:val="0"/>
    <w:pPr>
      <w:spacing w:after="156"/>
      <w:ind w:firstLine="480"/>
    </w:pPr>
    <w:rPr>
      <w:rFonts w:ascii="Calibri" w:hAnsi="Calibri" w:cs="Calibri"/>
      <w:sz w:val="24"/>
      <w:szCs w:val="24"/>
    </w:rPr>
  </w:style>
  <w:style w:type="paragraph" w:styleId="21">
    <w:name w:val="envelope return"/>
    <w:basedOn w:val="1"/>
    <w:qFormat/>
    <w:locked/>
    <w:uiPriority w:val="99"/>
    <w:pPr>
      <w:snapToGrid w:val="0"/>
    </w:pPr>
    <w:rPr>
      <w:rFonts w:ascii="Arial" w:hAnsi="Arial" w:cs="Arial"/>
    </w:rPr>
  </w:style>
  <w:style w:type="paragraph" w:styleId="22">
    <w:name w:val="List 2"/>
    <w:basedOn w:val="1"/>
    <w:qFormat/>
    <w:uiPriority w:val="0"/>
    <w:pPr>
      <w:ind w:left="100" w:leftChars="200" w:hanging="200" w:hangingChars="200"/>
    </w:pPr>
  </w:style>
  <w:style w:type="paragraph" w:styleId="23">
    <w:name w:val="List Continue"/>
    <w:basedOn w:val="1"/>
    <w:qFormat/>
    <w:uiPriority w:val="0"/>
    <w:pPr>
      <w:spacing w:after="120"/>
      <w:ind w:left="420" w:leftChars="200"/>
    </w:pPr>
  </w:style>
  <w:style w:type="paragraph" w:styleId="24">
    <w:name w:val="Block Text"/>
    <w:basedOn w:val="1"/>
    <w:qFormat/>
    <w:uiPriority w:val="0"/>
    <w:pPr>
      <w:autoSpaceDE w:val="0"/>
      <w:autoSpaceDN w:val="0"/>
      <w:adjustRightInd w:val="0"/>
      <w:spacing w:line="300" w:lineRule="auto"/>
      <w:ind w:left="29" w:leftChars="12" w:right="6" w:firstLine="560" w:firstLineChars="200"/>
    </w:pPr>
    <w:rPr>
      <w:kern w:val="0"/>
      <w:sz w:val="28"/>
      <w:szCs w:val="28"/>
    </w:rPr>
  </w:style>
  <w:style w:type="paragraph" w:styleId="25">
    <w:name w:val="toc 5"/>
    <w:basedOn w:val="1"/>
    <w:next w:val="1"/>
    <w:qFormat/>
    <w:uiPriority w:val="0"/>
    <w:pPr>
      <w:ind w:left="840"/>
      <w:jc w:val="left"/>
    </w:pPr>
    <w:rPr>
      <w:sz w:val="18"/>
      <w:szCs w:val="18"/>
    </w:rPr>
  </w:style>
  <w:style w:type="paragraph" w:styleId="26">
    <w:name w:val="toc 3"/>
    <w:basedOn w:val="1"/>
    <w:next w:val="1"/>
    <w:qFormat/>
    <w:uiPriority w:val="0"/>
    <w:pPr>
      <w:ind w:left="420"/>
      <w:jc w:val="left"/>
    </w:pPr>
    <w:rPr>
      <w:i/>
      <w:iCs/>
      <w:sz w:val="20"/>
      <w:szCs w:val="20"/>
    </w:rPr>
  </w:style>
  <w:style w:type="paragraph" w:styleId="27">
    <w:name w:val="Plain Text"/>
    <w:basedOn w:val="1"/>
    <w:link w:val="77"/>
    <w:qFormat/>
    <w:uiPriority w:val="99"/>
    <w:rPr>
      <w:rFonts w:ascii="宋体" w:hAnsi="Courier New" w:cs="宋体"/>
    </w:rPr>
  </w:style>
  <w:style w:type="paragraph" w:styleId="28">
    <w:name w:val="toc 8"/>
    <w:basedOn w:val="1"/>
    <w:next w:val="1"/>
    <w:qFormat/>
    <w:uiPriority w:val="0"/>
    <w:pPr>
      <w:ind w:left="1470"/>
      <w:jc w:val="left"/>
    </w:pPr>
    <w:rPr>
      <w:sz w:val="18"/>
      <w:szCs w:val="18"/>
    </w:rPr>
  </w:style>
  <w:style w:type="paragraph" w:styleId="29">
    <w:name w:val="Date"/>
    <w:basedOn w:val="1"/>
    <w:next w:val="1"/>
    <w:link w:val="78"/>
    <w:qFormat/>
    <w:uiPriority w:val="0"/>
    <w:pPr>
      <w:widowControl/>
      <w:ind w:left="100"/>
      <w:jc w:val="left"/>
    </w:pPr>
    <w:rPr>
      <w:rFonts w:ascii="宋体" w:hAnsi="宋体" w:cs="宋体"/>
      <w:kern w:val="0"/>
      <w:sz w:val="28"/>
      <w:szCs w:val="28"/>
    </w:rPr>
  </w:style>
  <w:style w:type="paragraph" w:styleId="30">
    <w:name w:val="Body Text Indent 2"/>
    <w:basedOn w:val="1"/>
    <w:link w:val="79"/>
    <w:qFormat/>
    <w:uiPriority w:val="0"/>
    <w:pPr>
      <w:ind w:left="1436" w:leftChars="684"/>
    </w:pPr>
    <w:rPr>
      <w:sz w:val="24"/>
      <w:szCs w:val="24"/>
    </w:rPr>
  </w:style>
  <w:style w:type="paragraph" w:styleId="31">
    <w:name w:val="List Continue 5"/>
    <w:basedOn w:val="1"/>
    <w:qFormat/>
    <w:uiPriority w:val="0"/>
    <w:pPr>
      <w:spacing w:after="120"/>
      <w:ind w:left="2100" w:leftChars="1000"/>
    </w:pPr>
  </w:style>
  <w:style w:type="paragraph" w:styleId="32">
    <w:name w:val="Balloon Text"/>
    <w:basedOn w:val="1"/>
    <w:link w:val="80"/>
    <w:qFormat/>
    <w:uiPriority w:val="0"/>
    <w:rPr>
      <w:rFonts w:ascii="Calibri" w:hAnsi="Calibri" w:cs="Calibri"/>
      <w:sz w:val="18"/>
      <w:szCs w:val="18"/>
    </w:rPr>
  </w:style>
  <w:style w:type="paragraph" w:styleId="33">
    <w:name w:val="footer"/>
    <w:basedOn w:val="1"/>
    <w:link w:val="81"/>
    <w:qFormat/>
    <w:uiPriority w:val="0"/>
    <w:pPr>
      <w:tabs>
        <w:tab w:val="center" w:pos="4153"/>
        <w:tab w:val="right" w:pos="8306"/>
      </w:tabs>
      <w:snapToGrid w:val="0"/>
      <w:jc w:val="left"/>
    </w:pPr>
    <w:rPr>
      <w:rFonts w:ascii="Calibri" w:hAnsi="Calibri" w:cs="Calibri"/>
      <w:sz w:val="18"/>
      <w:szCs w:val="18"/>
    </w:rPr>
  </w:style>
  <w:style w:type="paragraph" w:styleId="34">
    <w:name w:val="header"/>
    <w:basedOn w:val="1"/>
    <w:link w:val="82"/>
    <w:qFormat/>
    <w:uiPriority w:val="0"/>
    <w:pPr>
      <w:pBdr>
        <w:bottom w:val="single" w:color="auto" w:sz="6" w:space="1"/>
      </w:pBdr>
      <w:tabs>
        <w:tab w:val="center" w:pos="4153"/>
        <w:tab w:val="right" w:pos="8306"/>
      </w:tabs>
      <w:snapToGrid w:val="0"/>
      <w:jc w:val="center"/>
    </w:pPr>
    <w:rPr>
      <w:sz w:val="18"/>
      <w:szCs w:val="18"/>
    </w:rPr>
  </w:style>
  <w:style w:type="paragraph" w:styleId="35">
    <w:name w:val="List Continue 4"/>
    <w:basedOn w:val="1"/>
    <w:qFormat/>
    <w:uiPriority w:val="0"/>
    <w:pPr>
      <w:spacing w:after="120"/>
      <w:ind w:left="1680" w:leftChars="800"/>
    </w:pPr>
  </w:style>
  <w:style w:type="paragraph" w:styleId="36">
    <w:name w:val="toc 4"/>
    <w:basedOn w:val="1"/>
    <w:next w:val="1"/>
    <w:qFormat/>
    <w:uiPriority w:val="0"/>
    <w:pPr>
      <w:tabs>
        <w:tab w:val="left" w:pos="1080"/>
        <w:tab w:val="right" w:leader="dot" w:pos="9125"/>
      </w:tabs>
      <w:adjustRightInd w:val="0"/>
      <w:snapToGrid w:val="0"/>
      <w:spacing w:line="360" w:lineRule="auto"/>
      <w:jc w:val="left"/>
    </w:pPr>
    <w:rPr>
      <w:sz w:val="18"/>
      <w:szCs w:val="18"/>
    </w:rPr>
  </w:style>
  <w:style w:type="paragraph" w:styleId="37">
    <w:name w:val="List"/>
    <w:basedOn w:val="1"/>
    <w:qFormat/>
    <w:uiPriority w:val="0"/>
    <w:pPr>
      <w:ind w:left="200" w:hanging="200" w:hangingChars="200"/>
    </w:pPr>
  </w:style>
  <w:style w:type="paragraph" w:styleId="38">
    <w:name w:val="footnote text"/>
    <w:basedOn w:val="1"/>
    <w:link w:val="83"/>
    <w:qFormat/>
    <w:uiPriority w:val="0"/>
    <w:pPr>
      <w:snapToGrid w:val="0"/>
      <w:jc w:val="left"/>
    </w:pPr>
    <w:rPr>
      <w:sz w:val="18"/>
      <w:szCs w:val="18"/>
    </w:rPr>
  </w:style>
  <w:style w:type="paragraph" w:styleId="39">
    <w:name w:val="toc 6"/>
    <w:basedOn w:val="1"/>
    <w:next w:val="1"/>
    <w:qFormat/>
    <w:uiPriority w:val="0"/>
    <w:pPr>
      <w:ind w:left="1050"/>
      <w:jc w:val="left"/>
    </w:pPr>
    <w:rPr>
      <w:sz w:val="18"/>
      <w:szCs w:val="18"/>
    </w:rPr>
  </w:style>
  <w:style w:type="paragraph" w:styleId="40">
    <w:name w:val="List 5"/>
    <w:basedOn w:val="1"/>
    <w:qFormat/>
    <w:uiPriority w:val="0"/>
    <w:pPr>
      <w:ind w:left="100" w:leftChars="800" w:hanging="200" w:hangingChars="200"/>
    </w:pPr>
  </w:style>
  <w:style w:type="paragraph" w:styleId="41">
    <w:name w:val="Body Text Indent 3"/>
    <w:basedOn w:val="1"/>
    <w:link w:val="84"/>
    <w:qFormat/>
    <w:uiPriority w:val="0"/>
    <w:pPr>
      <w:spacing w:after="120"/>
      <w:ind w:left="420" w:leftChars="200"/>
    </w:pPr>
    <w:rPr>
      <w:sz w:val="16"/>
      <w:szCs w:val="16"/>
    </w:rPr>
  </w:style>
  <w:style w:type="paragraph" w:styleId="42">
    <w:name w:val="toc 2"/>
    <w:basedOn w:val="1"/>
    <w:next w:val="1"/>
    <w:qFormat/>
    <w:uiPriority w:val="0"/>
    <w:pPr>
      <w:ind w:left="210"/>
      <w:jc w:val="left"/>
    </w:pPr>
    <w:rPr>
      <w:smallCaps/>
      <w:sz w:val="20"/>
      <w:szCs w:val="20"/>
    </w:rPr>
  </w:style>
  <w:style w:type="paragraph" w:styleId="43">
    <w:name w:val="toc 9"/>
    <w:basedOn w:val="1"/>
    <w:next w:val="1"/>
    <w:qFormat/>
    <w:uiPriority w:val="0"/>
    <w:pPr>
      <w:ind w:left="1680"/>
      <w:jc w:val="left"/>
    </w:pPr>
    <w:rPr>
      <w:sz w:val="18"/>
      <w:szCs w:val="18"/>
    </w:rPr>
  </w:style>
  <w:style w:type="paragraph" w:styleId="44">
    <w:name w:val="Body Text 2"/>
    <w:basedOn w:val="1"/>
    <w:link w:val="85"/>
    <w:qFormat/>
    <w:uiPriority w:val="0"/>
    <w:rPr>
      <w:rFonts w:ascii="宋体" w:hAnsi="宋体" w:cs="宋体"/>
      <w:sz w:val="24"/>
      <w:szCs w:val="24"/>
    </w:rPr>
  </w:style>
  <w:style w:type="paragraph" w:styleId="45">
    <w:name w:val="List 4"/>
    <w:basedOn w:val="1"/>
    <w:qFormat/>
    <w:uiPriority w:val="0"/>
    <w:pPr>
      <w:ind w:left="100" w:leftChars="600" w:hanging="200" w:hangingChars="200"/>
    </w:pPr>
  </w:style>
  <w:style w:type="paragraph" w:styleId="46">
    <w:name w:val="List Continue 2"/>
    <w:basedOn w:val="1"/>
    <w:qFormat/>
    <w:uiPriority w:val="0"/>
    <w:pPr>
      <w:spacing w:after="120"/>
      <w:ind w:left="840" w:leftChars="400"/>
    </w:pPr>
  </w:style>
  <w:style w:type="paragraph" w:styleId="47">
    <w:name w:val="HTML Preformatted"/>
    <w:basedOn w:val="1"/>
    <w:link w:val="86"/>
    <w:qFormat/>
    <w:uiPriority w:val="0"/>
    <w:rPr>
      <w:rFonts w:ascii="Courier New" w:hAnsi="Courier New" w:cs="Courier New"/>
      <w:sz w:val="20"/>
      <w:szCs w:val="20"/>
    </w:rPr>
  </w:style>
  <w:style w:type="paragraph" w:styleId="4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49">
    <w:name w:val="List Continue 3"/>
    <w:basedOn w:val="1"/>
    <w:qFormat/>
    <w:uiPriority w:val="0"/>
    <w:pPr>
      <w:spacing w:after="120"/>
      <w:ind w:left="1260" w:leftChars="600"/>
    </w:pPr>
  </w:style>
  <w:style w:type="paragraph" w:styleId="50">
    <w:name w:val="annotation subject"/>
    <w:basedOn w:val="18"/>
    <w:next w:val="18"/>
    <w:link w:val="87"/>
    <w:qFormat/>
    <w:uiPriority w:val="0"/>
    <w:rPr>
      <w:b/>
      <w:bCs/>
    </w:rPr>
  </w:style>
  <w:style w:type="paragraph" w:styleId="51">
    <w:name w:val="Body Text First Indent"/>
    <w:basedOn w:val="19"/>
    <w:link w:val="88"/>
    <w:qFormat/>
    <w:uiPriority w:val="0"/>
    <w:pPr>
      <w:spacing w:line="360" w:lineRule="auto"/>
      <w:ind w:firstLine="482"/>
    </w:pPr>
    <w:rPr>
      <w:b/>
      <w:bCs/>
    </w:rPr>
  </w:style>
  <w:style w:type="paragraph" w:styleId="52">
    <w:name w:val="Body Text First Indent 2"/>
    <w:basedOn w:val="20"/>
    <w:link w:val="73"/>
    <w:qFormat/>
    <w:locked/>
    <w:uiPriority w:val="0"/>
    <w:pPr>
      <w:ind w:firstLine="420" w:firstLineChars="200"/>
    </w:pPr>
  </w:style>
  <w:style w:type="table" w:styleId="54">
    <w:name w:val="Table Grid"/>
    <w:basedOn w:val="5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6">
    <w:name w:val="Strong"/>
    <w:basedOn w:val="55"/>
    <w:qFormat/>
    <w:locked/>
    <w:uiPriority w:val="0"/>
    <w:rPr>
      <w:b/>
      <w:bCs/>
    </w:rPr>
  </w:style>
  <w:style w:type="character" w:styleId="57">
    <w:name w:val="page number"/>
    <w:basedOn w:val="55"/>
    <w:qFormat/>
    <w:uiPriority w:val="0"/>
  </w:style>
  <w:style w:type="character" w:styleId="58">
    <w:name w:val="FollowedHyperlink"/>
    <w:basedOn w:val="55"/>
    <w:qFormat/>
    <w:locked/>
    <w:uiPriority w:val="0"/>
    <w:rPr>
      <w:color w:val="333333"/>
      <w:u w:val="none"/>
    </w:rPr>
  </w:style>
  <w:style w:type="character" w:styleId="59">
    <w:name w:val="Emphasis"/>
    <w:qFormat/>
    <w:uiPriority w:val="0"/>
    <w:rPr>
      <w:color w:val="CC0000"/>
    </w:rPr>
  </w:style>
  <w:style w:type="character" w:styleId="60">
    <w:name w:val="Hyperlink"/>
    <w:basedOn w:val="55"/>
    <w:qFormat/>
    <w:uiPriority w:val="0"/>
    <w:rPr>
      <w:color w:val="333333"/>
      <w:u w:val="none"/>
    </w:rPr>
  </w:style>
  <w:style w:type="character" w:styleId="61">
    <w:name w:val="annotation reference"/>
    <w:basedOn w:val="55"/>
    <w:qFormat/>
    <w:uiPriority w:val="0"/>
    <w:rPr>
      <w:sz w:val="21"/>
      <w:szCs w:val="21"/>
    </w:rPr>
  </w:style>
  <w:style w:type="character" w:styleId="62">
    <w:name w:val="footnote reference"/>
    <w:basedOn w:val="55"/>
    <w:qFormat/>
    <w:uiPriority w:val="0"/>
    <w:rPr>
      <w:vertAlign w:val="superscript"/>
    </w:rPr>
  </w:style>
  <w:style w:type="character" w:customStyle="1" w:styleId="63">
    <w:name w:val="标题 1 Char"/>
    <w:basedOn w:val="55"/>
    <w:link w:val="3"/>
    <w:qFormat/>
    <w:locked/>
    <w:uiPriority w:val="0"/>
    <w:rPr>
      <w:b/>
      <w:bCs/>
      <w:kern w:val="44"/>
      <w:sz w:val="44"/>
      <w:szCs w:val="44"/>
    </w:rPr>
  </w:style>
  <w:style w:type="character" w:customStyle="1" w:styleId="64">
    <w:name w:val="标题 2 Char"/>
    <w:basedOn w:val="55"/>
    <w:link w:val="4"/>
    <w:qFormat/>
    <w:locked/>
    <w:uiPriority w:val="0"/>
    <w:rPr>
      <w:rFonts w:ascii="Arial" w:hAnsi="Arial" w:eastAsia="黑体" w:cs="Arial"/>
      <w:b/>
      <w:bCs/>
      <w:sz w:val="32"/>
      <w:szCs w:val="32"/>
    </w:rPr>
  </w:style>
  <w:style w:type="character" w:customStyle="1" w:styleId="65">
    <w:name w:val="标题 3 Char"/>
    <w:basedOn w:val="55"/>
    <w:link w:val="5"/>
    <w:qFormat/>
    <w:locked/>
    <w:uiPriority w:val="0"/>
    <w:rPr>
      <w:rFonts w:ascii="Times New Roman" w:hAnsi="Times New Roman" w:cs="Times New Roman"/>
      <w:b/>
      <w:bCs/>
      <w:sz w:val="32"/>
      <w:szCs w:val="32"/>
    </w:rPr>
  </w:style>
  <w:style w:type="character" w:customStyle="1" w:styleId="66">
    <w:name w:val="标题 4 Char"/>
    <w:basedOn w:val="55"/>
    <w:link w:val="6"/>
    <w:qFormat/>
    <w:locked/>
    <w:uiPriority w:val="0"/>
    <w:rPr>
      <w:rFonts w:ascii="Arial" w:hAnsi="Arial" w:eastAsia="黑体" w:cs="Arial"/>
      <w:b/>
      <w:bCs/>
      <w:kern w:val="2"/>
      <w:sz w:val="28"/>
      <w:szCs w:val="28"/>
      <w:lang w:val="en-US" w:eastAsia="zh-CN"/>
    </w:rPr>
  </w:style>
  <w:style w:type="character" w:customStyle="1" w:styleId="67">
    <w:name w:val="标题 5 Char"/>
    <w:basedOn w:val="55"/>
    <w:link w:val="7"/>
    <w:qFormat/>
    <w:locked/>
    <w:uiPriority w:val="0"/>
    <w:rPr>
      <w:rFonts w:ascii="Times New Roman" w:hAnsi="Times New Roman" w:cs="Times New Roman"/>
      <w:b/>
      <w:bCs/>
      <w:sz w:val="28"/>
      <w:szCs w:val="28"/>
    </w:rPr>
  </w:style>
  <w:style w:type="character" w:customStyle="1" w:styleId="68">
    <w:name w:val="标题 6 Char"/>
    <w:basedOn w:val="55"/>
    <w:link w:val="8"/>
    <w:qFormat/>
    <w:locked/>
    <w:uiPriority w:val="0"/>
    <w:rPr>
      <w:rFonts w:ascii="Cambria" w:hAnsi="Cambria" w:eastAsia="宋体" w:cs="Cambria"/>
      <w:b/>
      <w:bCs/>
      <w:sz w:val="24"/>
      <w:szCs w:val="24"/>
    </w:rPr>
  </w:style>
  <w:style w:type="character" w:customStyle="1" w:styleId="69">
    <w:name w:val="标题 7 Char"/>
    <w:basedOn w:val="55"/>
    <w:link w:val="9"/>
    <w:qFormat/>
    <w:locked/>
    <w:uiPriority w:val="0"/>
    <w:rPr>
      <w:rFonts w:ascii="Times New Roman" w:hAnsi="Times New Roman" w:cs="Times New Roman"/>
      <w:b/>
      <w:bCs/>
      <w:sz w:val="24"/>
      <w:szCs w:val="24"/>
    </w:rPr>
  </w:style>
  <w:style w:type="character" w:customStyle="1" w:styleId="70">
    <w:name w:val="标题 8 Char"/>
    <w:basedOn w:val="55"/>
    <w:link w:val="10"/>
    <w:qFormat/>
    <w:locked/>
    <w:uiPriority w:val="0"/>
    <w:rPr>
      <w:rFonts w:ascii="Cambria" w:hAnsi="Cambria" w:eastAsia="宋体" w:cs="Cambria"/>
      <w:sz w:val="24"/>
      <w:szCs w:val="24"/>
    </w:rPr>
  </w:style>
  <w:style w:type="character" w:customStyle="1" w:styleId="71">
    <w:name w:val="标题 9 Char"/>
    <w:basedOn w:val="55"/>
    <w:link w:val="11"/>
    <w:qFormat/>
    <w:locked/>
    <w:uiPriority w:val="0"/>
    <w:rPr>
      <w:rFonts w:ascii="Cambria" w:hAnsi="Cambria" w:eastAsia="宋体" w:cs="Cambria"/>
      <w:sz w:val="21"/>
      <w:szCs w:val="21"/>
    </w:rPr>
  </w:style>
  <w:style w:type="character" w:customStyle="1" w:styleId="72">
    <w:name w:val="正文文本缩进 Char"/>
    <w:basedOn w:val="55"/>
    <w:link w:val="20"/>
    <w:qFormat/>
    <w:locked/>
    <w:uiPriority w:val="0"/>
    <w:rPr>
      <w:kern w:val="2"/>
      <w:sz w:val="24"/>
      <w:szCs w:val="24"/>
    </w:rPr>
  </w:style>
  <w:style w:type="character" w:customStyle="1" w:styleId="73">
    <w:name w:val="正文首行缩进 2 Char"/>
    <w:basedOn w:val="72"/>
    <w:link w:val="52"/>
    <w:qFormat/>
    <w:locked/>
    <w:uiPriority w:val="0"/>
    <w:rPr>
      <w:rFonts w:ascii="Times New Roman" w:hAnsi="Times New Roman" w:cs="Times New Roman"/>
      <w:kern w:val="2"/>
      <w:sz w:val="21"/>
      <w:szCs w:val="21"/>
    </w:rPr>
  </w:style>
  <w:style w:type="character" w:customStyle="1" w:styleId="74">
    <w:name w:val="文档结构图 Char"/>
    <w:basedOn w:val="55"/>
    <w:link w:val="16"/>
    <w:qFormat/>
    <w:locked/>
    <w:uiPriority w:val="0"/>
    <w:rPr>
      <w:rFonts w:ascii="Times New Roman" w:hAnsi="Times New Roman" w:cs="Times New Roman"/>
      <w:sz w:val="2"/>
      <w:szCs w:val="2"/>
    </w:rPr>
  </w:style>
  <w:style w:type="character" w:customStyle="1" w:styleId="75">
    <w:name w:val="批注文字 Char"/>
    <w:basedOn w:val="55"/>
    <w:link w:val="18"/>
    <w:qFormat/>
    <w:locked/>
    <w:uiPriority w:val="0"/>
    <w:rPr>
      <w:kern w:val="2"/>
      <w:sz w:val="21"/>
      <w:szCs w:val="21"/>
    </w:rPr>
  </w:style>
  <w:style w:type="character" w:customStyle="1" w:styleId="76">
    <w:name w:val="正文文本 Char"/>
    <w:basedOn w:val="55"/>
    <w:link w:val="19"/>
    <w:qFormat/>
    <w:locked/>
    <w:uiPriority w:val="0"/>
    <w:rPr>
      <w:rFonts w:ascii="Times New Roman" w:hAnsi="Times New Roman" w:cs="Times New Roman"/>
      <w:sz w:val="21"/>
      <w:szCs w:val="21"/>
    </w:rPr>
  </w:style>
  <w:style w:type="character" w:customStyle="1" w:styleId="77">
    <w:name w:val="纯文本 Char"/>
    <w:basedOn w:val="55"/>
    <w:link w:val="27"/>
    <w:qFormat/>
    <w:locked/>
    <w:uiPriority w:val="99"/>
    <w:rPr>
      <w:rFonts w:ascii="宋体" w:hAnsi="Courier New" w:cs="宋体"/>
      <w:sz w:val="21"/>
      <w:szCs w:val="21"/>
    </w:rPr>
  </w:style>
  <w:style w:type="character" w:customStyle="1" w:styleId="78">
    <w:name w:val="日期 Char"/>
    <w:basedOn w:val="55"/>
    <w:link w:val="29"/>
    <w:qFormat/>
    <w:locked/>
    <w:uiPriority w:val="0"/>
    <w:rPr>
      <w:rFonts w:ascii="Times New Roman" w:hAnsi="Times New Roman" w:cs="Times New Roman"/>
      <w:sz w:val="21"/>
      <w:szCs w:val="21"/>
    </w:rPr>
  </w:style>
  <w:style w:type="character" w:customStyle="1" w:styleId="79">
    <w:name w:val="正文文本缩进 2 Char"/>
    <w:basedOn w:val="55"/>
    <w:link w:val="30"/>
    <w:qFormat/>
    <w:locked/>
    <w:uiPriority w:val="0"/>
    <w:rPr>
      <w:rFonts w:ascii="Times New Roman" w:hAnsi="Times New Roman" w:cs="Times New Roman"/>
      <w:sz w:val="21"/>
      <w:szCs w:val="21"/>
    </w:rPr>
  </w:style>
  <w:style w:type="character" w:customStyle="1" w:styleId="80">
    <w:name w:val="批注框文本 Char"/>
    <w:basedOn w:val="55"/>
    <w:link w:val="32"/>
    <w:qFormat/>
    <w:locked/>
    <w:uiPriority w:val="0"/>
    <w:rPr>
      <w:rFonts w:eastAsia="宋体"/>
      <w:kern w:val="2"/>
      <w:sz w:val="18"/>
      <w:szCs w:val="18"/>
      <w:lang w:val="en-US" w:eastAsia="zh-CN"/>
    </w:rPr>
  </w:style>
  <w:style w:type="character" w:customStyle="1" w:styleId="81">
    <w:name w:val="页脚 Char"/>
    <w:basedOn w:val="55"/>
    <w:link w:val="33"/>
    <w:qFormat/>
    <w:locked/>
    <w:uiPriority w:val="0"/>
    <w:rPr>
      <w:kern w:val="2"/>
      <w:sz w:val="18"/>
      <w:szCs w:val="18"/>
    </w:rPr>
  </w:style>
  <w:style w:type="character" w:customStyle="1" w:styleId="82">
    <w:name w:val="页眉 Char"/>
    <w:basedOn w:val="55"/>
    <w:link w:val="34"/>
    <w:qFormat/>
    <w:locked/>
    <w:uiPriority w:val="0"/>
    <w:rPr>
      <w:rFonts w:ascii="Times New Roman" w:hAnsi="Times New Roman" w:cs="Times New Roman"/>
      <w:sz w:val="18"/>
      <w:szCs w:val="18"/>
    </w:rPr>
  </w:style>
  <w:style w:type="character" w:customStyle="1" w:styleId="83">
    <w:name w:val="脚注文本 Char"/>
    <w:basedOn w:val="55"/>
    <w:link w:val="38"/>
    <w:qFormat/>
    <w:locked/>
    <w:uiPriority w:val="0"/>
    <w:rPr>
      <w:rFonts w:ascii="Times New Roman" w:hAnsi="Times New Roman" w:cs="Times New Roman"/>
      <w:sz w:val="18"/>
      <w:szCs w:val="18"/>
    </w:rPr>
  </w:style>
  <w:style w:type="character" w:customStyle="1" w:styleId="84">
    <w:name w:val="正文文本缩进 3 Char"/>
    <w:basedOn w:val="55"/>
    <w:link w:val="41"/>
    <w:semiHidden/>
    <w:qFormat/>
    <w:locked/>
    <w:uiPriority w:val="99"/>
    <w:rPr>
      <w:rFonts w:ascii="Times New Roman" w:hAnsi="Times New Roman" w:cs="Times New Roman"/>
      <w:sz w:val="16"/>
      <w:szCs w:val="16"/>
    </w:rPr>
  </w:style>
  <w:style w:type="character" w:customStyle="1" w:styleId="85">
    <w:name w:val="正文文本 2 Char"/>
    <w:basedOn w:val="55"/>
    <w:link w:val="44"/>
    <w:qFormat/>
    <w:locked/>
    <w:uiPriority w:val="0"/>
    <w:rPr>
      <w:rFonts w:ascii="Times New Roman" w:hAnsi="Times New Roman" w:cs="Times New Roman"/>
      <w:sz w:val="21"/>
      <w:szCs w:val="21"/>
    </w:rPr>
  </w:style>
  <w:style w:type="character" w:customStyle="1" w:styleId="86">
    <w:name w:val="HTML 预设格式 Char"/>
    <w:basedOn w:val="55"/>
    <w:link w:val="47"/>
    <w:qFormat/>
    <w:locked/>
    <w:uiPriority w:val="0"/>
    <w:rPr>
      <w:rFonts w:ascii="Courier New" w:hAnsi="Courier New" w:cs="Courier New"/>
      <w:kern w:val="2"/>
    </w:rPr>
  </w:style>
  <w:style w:type="character" w:customStyle="1" w:styleId="87">
    <w:name w:val="批注主题 Char"/>
    <w:basedOn w:val="75"/>
    <w:link w:val="50"/>
    <w:qFormat/>
    <w:locked/>
    <w:uiPriority w:val="0"/>
    <w:rPr>
      <w:rFonts w:ascii="Times New Roman" w:hAnsi="Times New Roman" w:cs="Times New Roman"/>
      <w:b/>
      <w:bCs/>
      <w:kern w:val="2"/>
      <w:sz w:val="21"/>
      <w:szCs w:val="21"/>
    </w:rPr>
  </w:style>
  <w:style w:type="character" w:customStyle="1" w:styleId="88">
    <w:name w:val="正文首行缩进 Char"/>
    <w:basedOn w:val="76"/>
    <w:link w:val="51"/>
    <w:qFormat/>
    <w:locked/>
    <w:uiPriority w:val="0"/>
    <w:rPr>
      <w:rFonts w:ascii="Times New Roman" w:hAnsi="Times New Roman" w:cs="Times New Roman"/>
      <w:sz w:val="21"/>
      <w:szCs w:val="21"/>
    </w:rPr>
  </w:style>
  <w:style w:type="character" w:customStyle="1" w:styleId="89">
    <w:name w:val="style1"/>
    <w:qFormat/>
    <w:uiPriority w:val="0"/>
  </w:style>
  <w:style w:type="character" w:customStyle="1" w:styleId="90">
    <w:name w:val="纯文本 Char_0_0"/>
    <w:link w:val="91"/>
    <w:qFormat/>
    <w:locked/>
    <w:uiPriority w:val="99"/>
    <w:rPr>
      <w:rFonts w:ascii="宋体" w:hAnsi="Courier New" w:cs="宋体"/>
      <w:kern w:val="2"/>
      <w:sz w:val="21"/>
      <w:szCs w:val="21"/>
    </w:rPr>
  </w:style>
  <w:style w:type="paragraph" w:customStyle="1" w:styleId="91">
    <w:name w:val="纯文本_0_0"/>
    <w:basedOn w:val="92"/>
    <w:link w:val="90"/>
    <w:qFormat/>
    <w:uiPriority w:val="99"/>
    <w:rPr>
      <w:rFonts w:ascii="宋体" w:hAnsi="Courier New" w:cs="宋体"/>
    </w:rPr>
  </w:style>
  <w:style w:type="paragraph" w:customStyle="1" w:styleId="92">
    <w:name w:val="正文_7_1_0"/>
    <w:qFormat/>
    <w:uiPriority w:val="99"/>
    <w:pPr>
      <w:widowControl w:val="0"/>
      <w:jc w:val="both"/>
    </w:pPr>
    <w:rPr>
      <w:rFonts w:ascii="Calibri" w:hAnsi="Calibri" w:eastAsia="宋体" w:cs="Calibri"/>
      <w:kern w:val="2"/>
      <w:sz w:val="21"/>
      <w:szCs w:val="21"/>
      <w:lang w:val="en-US" w:eastAsia="zh-CN" w:bidi="ar-SA"/>
    </w:rPr>
  </w:style>
  <w:style w:type="character" w:customStyle="1" w:styleId="93">
    <w:name w:val="标题 1 Char Char"/>
    <w:qFormat/>
    <w:uiPriority w:val="0"/>
    <w:rPr>
      <w:rFonts w:ascii="宋体" w:hAnsi="宋体" w:eastAsia="宋体" w:cs="宋体"/>
      <w:b/>
      <w:bCs/>
      <w:spacing w:val="-2"/>
      <w:sz w:val="24"/>
      <w:szCs w:val="24"/>
      <w:lang w:val="en-US" w:eastAsia="zh-CN"/>
    </w:rPr>
  </w:style>
  <w:style w:type="character" w:customStyle="1" w:styleId="94">
    <w:name w:val="font51"/>
    <w:qFormat/>
    <w:uiPriority w:val="0"/>
    <w:rPr>
      <w:rFonts w:ascii="宋体" w:hAnsi="宋体" w:eastAsia="宋体" w:cs="宋体"/>
      <w:color w:val="000000"/>
      <w:sz w:val="24"/>
      <w:szCs w:val="24"/>
      <w:u w:val="none"/>
    </w:rPr>
  </w:style>
  <w:style w:type="character" w:customStyle="1" w:styleId="95">
    <w:name w:val="Style Heading 3 + Char"/>
    <w:link w:val="96"/>
    <w:qFormat/>
    <w:locked/>
    <w:uiPriority w:val="0"/>
    <w:rPr>
      <w:rFonts w:eastAsia="宋体"/>
      <w:b/>
      <w:bCs/>
      <w:kern w:val="2"/>
      <w:sz w:val="28"/>
      <w:szCs w:val="28"/>
      <w:lang w:val="en-US" w:eastAsia="zh-CN"/>
    </w:rPr>
  </w:style>
  <w:style w:type="paragraph" w:customStyle="1" w:styleId="96">
    <w:name w:val="Style Heading 3 +"/>
    <w:basedOn w:val="5"/>
    <w:link w:val="95"/>
    <w:qFormat/>
    <w:uiPriority w:val="0"/>
    <w:pPr>
      <w:adjustRightInd/>
      <w:spacing w:before="120" w:after="120" w:line="120" w:lineRule="atLeast"/>
      <w:textAlignment w:val="auto"/>
    </w:pPr>
    <w:rPr>
      <w:kern w:val="2"/>
      <w:sz w:val="28"/>
      <w:szCs w:val="28"/>
    </w:rPr>
  </w:style>
  <w:style w:type="character" w:customStyle="1" w:styleId="97">
    <w:name w:val="font11"/>
    <w:qFormat/>
    <w:uiPriority w:val="0"/>
    <w:rPr>
      <w:rFonts w:ascii="宋体" w:hAnsi="宋体" w:eastAsia="宋体" w:cs="宋体"/>
      <w:color w:val="000000"/>
      <w:sz w:val="24"/>
      <w:szCs w:val="24"/>
      <w:u w:val="none"/>
    </w:rPr>
  </w:style>
  <w:style w:type="character" w:customStyle="1" w:styleId="98">
    <w:name w:val="正文缩进 Char"/>
    <w:link w:val="14"/>
    <w:qFormat/>
    <w:locked/>
    <w:uiPriority w:val="0"/>
    <w:rPr>
      <w:kern w:val="2"/>
      <w:sz w:val="21"/>
      <w:szCs w:val="21"/>
    </w:rPr>
  </w:style>
  <w:style w:type="character" w:customStyle="1" w:styleId="99">
    <w:name w:val="font01"/>
    <w:basedOn w:val="55"/>
    <w:qFormat/>
    <w:uiPriority w:val="0"/>
    <w:rPr>
      <w:rFonts w:ascii="宋体" w:hAnsi="宋体" w:eastAsia="宋体" w:cs="宋体"/>
      <w:color w:val="FF0000"/>
      <w:sz w:val="24"/>
      <w:szCs w:val="24"/>
      <w:u w:val="none"/>
    </w:rPr>
  </w:style>
  <w:style w:type="paragraph" w:customStyle="1" w:styleId="100">
    <w:name w:val="简单回函地址"/>
    <w:basedOn w:val="1"/>
    <w:qFormat/>
    <w:uiPriority w:val="0"/>
  </w:style>
  <w:style w:type="paragraph" w:customStyle="1" w:styleId="101">
    <w:name w:val="纯文本2"/>
    <w:basedOn w:val="1"/>
    <w:qFormat/>
    <w:uiPriority w:val="99"/>
    <w:rPr>
      <w:rFonts w:ascii="宋体" w:hAnsi="Courier New" w:cs="宋体"/>
      <w:sz w:val="28"/>
      <w:szCs w:val="28"/>
    </w:rPr>
  </w:style>
  <w:style w:type="paragraph" w:customStyle="1" w:styleId="102">
    <w:name w:val="图文"/>
    <w:basedOn w:val="1"/>
    <w:qFormat/>
    <w:uiPriority w:val="0"/>
    <w:pPr>
      <w:adjustRightInd w:val="0"/>
      <w:snapToGrid w:val="0"/>
      <w:spacing w:after="50" w:line="360" w:lineRule="auto"/>
    </w:pPr>
    <w:rPr>
      <w:sz w:val="24"/>
      <w:szCs w:val="24"/>
    </w:rPr>
  </w:style>
  <w:style w:type="paragraph" w:customStyle="1" w:styleId="103">
    <w:name w:val="Plain Text1"/>
    <w:basedOn w:val="1"/>
    <w:qFormat/>
    <w:uiPriority w:val="99"/>
    <w:pPr>
      <w:widowControl/>
      <w:adjustRightInd w:val="0"/>
      <w:jc w:val="left"/>
      <w:textAlignment w:val="baseline"/>
    </w:pPr>
    <w:rPr>
      <w:rFonts w:ascii="宋体" w:hAnsi="Courier New" w:eastAsia="楷体_GB2312" w:cs="宋体"/>
      <w:kern w:val="0"/>
      <w:sz w:val="26"/>
      <w:szCs w:val="26"/>
    </w:rPr>
  </w:style>
  <w:style w:type="paragraph" w:customStyle="1" w:styleId="104">
    <w:name w:val="文档正文"/>
    <w:basedOn w:val="1"/>
    <w:qFormat/>
    <w:uiPriority w:val="99"/>
    <w:pPr>
      <w:adjustRightInd w:val="0"/>
      <w:spacing w:line="480" w:lineRule="atLeast"/>
      <w:ind w:firstLine="567"/>
      <w:textAlignment w:val="baseline"/>
    </w:pPr>
    <w:rPr>
      <w:rFonts w:ascii="仿宋_GB2312" w:eastAsia="仿宋_GB2312" w:cs="仿宋_GB2312"/>
      <w:kern w:val="0"/>
      <w:sz w:val="28"/>
      <w:szCs w:val="28"/>
    </w:rPr>
  </w:style>
  <w:style w:type="paragraph" w:customStyle="1" w:styleId="105">
    <w:name w:val="1"/>
    <w:basedOn w:val="1"/>
    <w:next w:val="27"/>
    <w:qFormat/>
    <w:uiPriority w:val="0"/>
    <w:rPr>
      <w:rFonts w:ascii="宋体" w:hAnsi="Courier New" w:cs="宋体"/>
    </w:rPr>
  </w:style>
  <w:style w:type="paragraph" w:customStyle="1" w:styleId="106">
    <w:name w:val="6"/>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107">
    <w:name w:val="Char2"/>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108">
    <w:name w:val="二级目录"/>
    <w:next w:val="1"/>
    <w:link w:val="202"/>
    <w:qFormat/>
    <w:uiPriority w:val="99"/>
    <w:pPr>
      <w:tabs>
        <w:tab w:val="left" w:pos="720"/>
      </w:tabs>
      <w:ind w:left="720" w:hanging="720"/>
      <w:outlineLvl w:val="1"/>
    </w:pPr>
    <w:rPr>
      <w:rFonts w:ascii="Times New Roman" w:hAnsi="Times New Roman" w:eastAsia="宋体" w:cs="Times New Roman"/>
      <w:b/>
      <w:bCs/>
      <w:kern w:val="2"/>
      <w:sz w:val="30"/>
      <w:szCs w:val="30"/>
      <w:lang w:val="en-US" w:eastAsia="zh-CN" w:bidi="ar-SA"/>
    </w:rPr>
  </w:style>
  <w:style w:type="paragraph" w:customStyle="1" w:styleId="109">
    <w:name w:val="Char Char Char1 Char"/>
    <w:basedOn w:val="1"/>
    <w:qFormat/>
    <w:uiPriority w:val="0"/>
  </w:style>
  <w:style w:type="paragraph" w:customStyle="1" w:styleId="110">
    <w:name w:val="列出段落1"/>
    <w:basedOn w:val="1"/>
    <w:qFormat/>
    <w:uiPriority w:val="99"/>
    <w:pPr>
      <w:ind w:firstLine="420" w:firstLineChars="200"/>
    </w:pPr>
  </w:style>
  <w:style w:type="paragraph" w:customStyle="1" w:styleId="111">
    <w:name w:val="Normal_12_0"/>
    <w:qFormat/>
    <w:uiPriority w:val="99"/>
    <w:rPr>
      <w:rFonts w:ascii="黑体" w:hAnsi="黑体" w:eastAsia="黑体" w:cs="黑体"/>
      <w:b/>
      <w:bCs/>
      <w:sz w:val="32"/>
      <w:szCs w:val="32"/>
      <w:lang w:val="en-US" w:eastAsia="zh-CN" w:bidi="ar-SA"/>
    </w:rPr>
  </w:style>
  <w:style w:type="paragraph" w:customStyle="1" w:styleId="112">
    <w:name w:val="p0"/>
    <w:basedOn w:val="1"/>
    <w:qFormat/>
    <w:uiPriority w:val="0"/>
    <w:pPr>
      <w:widowControl/>
    </w:pPr>
    <w:rPr>
      <w:kern w:val="0"/>
    </w:rPr>
  </w:style>
  <w:style w:type="paragraph" w:customStyle="1" w:styleId="113">
    <w:name w:val="正文缩进2格"/>
    <w:basedOn w:val="1"/>
    <w:link w:val="137"/>
    <w:qFormat/>
    <w:uiPriority w:val="0"/>
    <w:pPr>
      <w:spacing w:line="600" w:lineRule="exact"/>
      <w:ind w:firstLine="639" w:firstLineChars="206"/>
    </w:pPr>
    <w:rPr>
      <w:rFonts w:ascii="仿宋_GB2312" w:hAnsi="宋体" w:eastAsia="仿宋_GB2312" w:cs="仿宋_GB2312"/>
      <w:sz w:val="31"/>
      <w:szCs w:val="31"/>
    </w:rPr>
  </w:style>
  <w:style w:type="paragraph" w:customStyle="1" w:styleId="114">
    <w:name w:val="列出段落11"/>
    <w:basedOn w:val="1"/>
    <w:qFormat/>
    <w:uiPriority w:val="99"/>
    <w:pPr>
      <w:ind w:firstLine="200" w:firstLineChars="200"/>
    </w:pPr>
    <w:rPr>
      <w:rFonts w:ascii="Calibri" w:hAnsi="Calibri" w:cs="Calibri"/>
    </w:rPr>
  </w:style>
  <w:style w:type="paragraph" w:customStyle="1" w:styleId="115">
    <w:name w:val="Char Char Char Char"/>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116">
    <w:name w:val="默认段落字体 Para Char Char Char Char"/>
    <w:basedOn w:val="1"/>
    <w:qFormat/>
    <w:uiPriority w:val="0"/>
  </w:style>
  <w:style w:type="paragraph" w:customStyle="1" w:styleId="117">
    <w:name w:val="样式 标题 1 + 宋体 段前: 0 磅 段后: 0 磅 行距: 单倍行距"/>
    <w:basedOn w:val="3"/>
    <w:next w:val="1"/>
    <w:qFormat/>
    <w:uiPriority w:val="0"/>
    <w:pPr>
      <w:spacing w:beforeLines="100" w:afterLines="100"/>
    </w:pPr>
    <w:rPr>
      <w:rFonts w:ascii="仿宋_GB2312" w:hAnsi="宋体" w:cs="仿宋_GB2312"/>
    </w:rPr>
  </w:style>
  <w:style w:type="paragraph" w:customStyle="1" w:styleId="118">
    <w:name w:val="样式 标题 2 + 黑色 行距: 1.5 倍行距"/>
    <w:basedOn w:val="4"/>
    <w:qFormat/>
    <w:uiPriority w:val="99"/>
    <w:pPr>
      <w:adjustRightInd/>
      <w:spacing w:line="360" w:lineRule="auto"/>
      <w:ind w:firstLine="3502" w:firstLineChars="1246"/>
      <w:textAlignment w:val="auto"/>
    </w:pPr>
    <w:rPr>
      <w:rFonts w:ascii="楷体_GB2312" w:hAnsi="宋体" w:eastAsia="楷体_GB2312" w:cs="楷体_GB2312"/>
      <w:kern w:val="2"/>
      <w:sz w:val="28"/>
      <w:szCs w:val="28"/>
    </w:rPr>
  </w:style>
  <w:style w:type="paragraph" w:styleId="119">
    <w:name w:val="List Paragraph"/>
    <w:basedOn w:val="1"/>
    <w:qFormat/>
    <w:uiPriority w:val="34"/>
    <w:pPr>
      <w:ind w:firstLine="420" w:firstLineChars="200"/>
    </w:pPr>
  </w:style>
  <w:style w:type="paragraph" w:customStyle="1" w:styleId="120">
    <w:name w:val="Default"/>
    <w:qFormat/>
    <w:uiPriority w:val="0"/>
    <w:pPr>
      <w:widowControl w:val="0"/>
      <w:autoSpaceDE w:val="0"/>
      <w:autoSpaceDN w:val="0"/>
      <w:adjustRightInd w:val="0"/>
    </w:pPr>
    <w:rPr>
      <w:rFonts w:ascii="......." w:hAnsi="Calibri" w:eastAsia="......." w:cs="......."/>
      <w:color w:val="000000"/>
      <w:sz w:val="24"/>
      <w:szCs w:val="24"/>
      <w:lang w:val="en-US" w:eastAsia="zh-CN" w:bidi="ar-SA"/>
    </w:rPr>
  </w:style>
  <w:style w:type="character" w:customStyle="1" w:styleId="121">
    <w:name w:val="font21"/>
    <w:basedOn w:val="55"/>
    <w:qFormat/>
    <w:uiPriority w:val="0"/>
    <w:rPr>
      <w:rFonts w:ascii="楷体_GB2312" w:eastAsia="楷体_GB2312" w:cs="楷体_GB2312"/>
      <w:color w:val="000000"/>
      <w:sz w:val="24"/>
      <w:szCs w:val="24"/>
      <w:u w:val="none"/>
    </w:rPr>
  </w:style>
  <w:style w:type="paragraph" w:customStyle="1" w:styleId="122">
    <w:name w:val="Body Text First Indent 21"/>
    <w:qFormat/>
    <w:uiPriority w:val="99"/>
    <w:pPr>
      <w:widowControl w:val="0"/>
      <w:spacing w:line="480" w:lineRule="auto"/>
      <w:ind w:firstLine="420" w:firstLineChars="200"/>
      <w:jc w:val="both"/>
    </w:pPr>
    <w:rPr>
      <w:rFonts w:ascii="仿宋" w:hAnsi="仿宋" w:eastAsia="仿宋" w:cs="仿宋"/>
      <w:kern w:val="2"/>
      <w:sz w:val="24"/>
      <w:szCs w:val="24"/>
      <w:lang w:val="en-US" w:eastAsia="zh-CN" w:bidi="ar-SA"/>
    </w:rPr>
  </w:style>
  <w:style w:type="paragraph" w:customStyle="1" w:styleId="123">
    <w:name w:val="正文_0"/>
    <w:qFormat/>
    <w:uiPriority w:val="99"/>
    <w:rPr>
      <w:rFonts w:ascii="Times New Roman" w:hAnsi="Times New Roman" w:eastAsia="宋体" w:cs="Times New Roman"/>
      <w:sz w:val="21"/>
      <w:szCs w:val="21"/>
      <w:lang w:val="en-US" w:eastAsia="zh-CN" w:bidi="ar-SA"/>
    </w:rPr>
  </w:style>
  <w:style w:type="paragraph" w:customStyle="1" w:styleId="124">
    <w:name w:val="纯文本1"/>
    <w:basedOn w:val="1"/>
    <w:qFormat/>
    <w:uiPriority w:val="0"/>
    <w:pPr>
      <w:adjustRightInd w:val="0"/>
      <w:textAlignment w:val="baseline"/>
    </w:pPr>
    <w:rPr>
      <w:rFonts w:ascii="宋体" w:hAnsi="Courier New"/>
      <w:sz w:val="28"/>
    </w:rPr>
  </w:style>
  <w:style w:type="character" w:customStyle="1" w:styleId="125">
    <w:name w:val="正文缩进 Char1"/>
    <w:qFormat/>
    <w:uiPriority w:val="0"/>
    <w:rPr>
      <w:rFonts w:eastAsia="宋体"/>
      <w:kern w:val="2"/>
      <w:sz w:val="21"/>
      <w:szCs w:val="24"/>
      <w:lang w:val="en-US" w:eastAsia="zh-CN" w:bidi="ar-SA"/>
    </w:rPr>
  </w:style>
  <w:style w:type="character" w:customStyle="1" w:styleId="126">
    <w:name w:val="font71"/>
    <w:qFormat/>
    <w:uiPriority w:val="0"/>
    <w:rPr>
      <w:rFonts w:hint="eastAsia" w:ascii="宋体" w:hAnsi="宋体" w:eastAsia="宋体" w:cs="宋体"/>
      <w:b/>
      <w:color w:val="000000"/>
      <w:sz w:val="40"/>
      <w:szCs w:val="40"/>
      <w:u w:val="none"/>
    </w:rPr>
  </w:style>
  <w:style w:type="character" w:customStyle="1" w:styleId="127">
    <w:name w:val="正文文本 2 Char2"/>
    <w:link w:val="128"/>
    <w:qFormat/>
    <w:uiPriority w:val="0"/>
    <w:rPr>
      <w:rFonts w:ascii="Calibri" w:hAnsi="Calibri"/>
      <w:szCs w:val="21"/>
    </w:rPr>
  </w:style>
  <w:style w:type="paragraph" w:customStyle="1" w:styleId="128">
    <w:name w:val="正文文本 21"/>
    <w:basedOn w:val="1"/>
    <w:link w:val="127"/>
    <w:qFormat/>
    <w:uiPriority w:val="0"/>
    <w:pPr>
      <w:spacing w:before="280" w:after="120" w:line="480" w:lineRule="auto"/>
      <w:ind w:left="420" w:hanging="420"/>
    </w:pPr>
    <w:rPr>
      <w:rFonts w:ascii="Calibri" w:hAnsi="Calibri"/>
      <w:kern w:val="0"/>
      <w:sz w:val="20"/>
    </w:rPr>
  </w:style>
  <w:style w:type="character" w:customStyle="1" w:styleId="129">
    <w:name w:val="flName Char"/>
    <w:link w:val="130"/>
    <w:qFormat/>
    <w:locked/>
    <w:uiPriority w:val="0"/>
    <w:rPr>
      <w:rFonts w:ascii="Arial" w:hAnsi="Arial" w:eastAsia="黑体"/>
      <w:sz w:val="32"/>
    </w:rPr>
  </w:style>
  <w:style w:type="paragraph" w:customStyle="1" w:styleId="130">
    <w:name w:val="flName"/>
    <w:basedOn w:val="1"/>
    <w:link w:val="129"/>
    <w:qFormat/>
    <w:uiPriority w:val="0"/>
    <w:pPr>
      <w:adjustRightInd w:val="0"/>
      <w:spacing w:before="320" w:after="160" w:line="360" w:lineRule="atLeast"/>
      <w:jc w:val="center"/>
    </w:pPr>
    <w:rPr>
      <w:rFonts w:ascii="Arial" w:hAnsi="Arial" w:eastAsia="黑体"/>
      <w:kern w:val="0"/>
      <w:sz w:val="32"/>
      <w:szCs w:val="20"/>
    </w:rPr>
  </w:style>
  <w:style w:type="character" w:customStyle="1" w:styleId="131">
    <w:name w:val="Char Char4"/>
    <w:qFormat/>
    <w:uiPriority w:val="0"/>
    <w:rPr>
      <w:rFonts w:eastAsia="宋体"/>
      <w:kern w:val="2"/>
      <w:sz w:val="21"/>
      <w:szCs w:val="24"/>
      <w:lang w:val="en-US" w:eastAsia="zh-CN" w:bidi="ar-SA"/>
    </w:rPr>
  </w:style>
  <w:style w:type="character" w:customStyle="1" w:styleId="132">
    <w:name w:val="16"/>
    <w:qFormat/>
    <w:uiPriority w:val="0"/>
    <w:rPr>
      <w:rFonts w:hint="default" w:ascii="Calibri" w:hAnsi="Calibri" w:cs="Calibri"/>
      <w:color w:val="0000FF"/>
      <w:u w:val="single"/>
    </w:rPr>
  </w:style>
  <w:style w:type="character" w:customStyle="1" w:styleId="133">
    <w:name w:val="font31"/>
    <w:qFormat/>
    <w:uiPriority w:val="0"/>
    <w:rPr>
      <w:rFonts w:hint="eastAsia" w:ascii="宋体" w:hAnsi="宋体" w:eastAsia="宋体" w:cs="宋体"/>
      <w:color w:val="000000"/>
      <w:sz w:val="22"/>
      <w:szCs w:val="22"/>
      <w:u w:val="none"/>
    </w:rPr>
  </w:style>
  <w:style w:type="character" w:customStyle="1" w:styleId="134">
    <w:name w:val="font61"/>
    <w:qFormat/>
    <w:uiPriority w:val="0"/>
    <w:rPr>
      <w:rFonts w:hint="eastAsia" w:ascii="宋体" w:hAnsi="宋体" w:eastAsia="宋体" w:cs="宋体"/>
      <w:b/>
      <w:color w:val="000000"/>
      <w:sz w:val="24"/>
      <w:szCs w:val="24"/>
      <w:u w:val="none"/>
    </w:rPr>
  </w:style>
  <w:style w:type="character" w:customStyle="1" w:styleId="135">
    <w:name w:val="正文缩进2格 Char"/>
    <w:qFormat/>
    <w:uiPriority w:val="0"/>
    <w:rPr>
      <w:rFonts w:ascii="仿宋_GB2312" w:hAnsi="宋体" w:eastAsia="仿宋_GB2312"/>
      <w:kern w:val="2"/>
      <w:sz w:val="31"/>
      <w:szCs w:val="28"/>
      <w:lang w:val="en-US" w:eastAsia="zh-CN" w:bidi="ar-SA"/>
    </w:rPr>
  </w:style>
  <w:style w:type="character" w:customStyle="1" w:styleId="136">
    <w:name w:val="HTML 预设格式 Char1"/>
    <w:qFormat/>
    <w:locked/>
    <w:uiPriority w:val="0"/>
    <w:rPr>
      <w:rFonts w:ascii="Courier New" w:hAnsi="Courier New" w:eastAsia="宋体" w:cs="Times New Roman"/>
      <w:kern w:val="0"/>
      <w:sz w:val="20"/>
      <w:szCs w:val="20"/>
    </w:rPr>
  </w:style>
  <w:style w:type="character" w:customStyle="1" w:styleId="137">
    <w:name w:val="正文缩进2格 Char Char"/>
    <w:link w:val="113"/>
    <w:qFormat/>
    <w:uiPriority w:val="0"/>
    <w:rPr>
      <w:rFonts w:ascii="仿宋_GB2312" w:hAnsi="宋体" w:eastAsia="仿宋_GB2312" w:cs="仿宋_GB2312"/>
      <w:kern w:val="2"/>
      <w:sz w:val="31"/>
      <w:szCs w:val="31"/>
    </w:rPr>
  </w:style>
  <w:style w:type="character" w:customStyle="1" w:styleId="138">
    <w:name w:val="font41"/>
    <w:qFormat/>
    <w:uiPriority w:val="0"/>
    <w:rPr>
      <w:rFonts w:hint="eastAsia" w:ascii="宋体" w:hAnsi="宋体" w:eastAsia="宋体" w:cs="宋体"/>
      <w:color w:val="000000"/>
      <w:sz w:val="22"/>
      <w:szCs w:val="22"/>
      <w:u w:val="none"/>
    </w:rPr>
  </w:style>
  <w:style w:type="character" w:customStyle="1" w:styleId="139">
    <w:name w:val="无间隔 Char"/>
    <w:link w:val="140"/>
    <w:qFormat/>
    <w:uiPriority w:val="0"/>
    <w:rPr>
      <w:rFonts w:eastAsia="Times New Roman"/>
      <w:kern w:val="2"/>
      <w:sz w:val="22"/>
      <w:szCs w:val="22"/>
    </w:rPr>
  </w:style>
  <w:style w:type="paragraph" w:styleId="140">
    <w:name w:val="No Spacing"/>
    <w:link w:val="139"/>
    <w:qFormat/>
    <w:uiPriority w:val="0"/>
    <w:rPr>
      <w:rFonts w:ascii="Times New Roman" w:hAnsi="Times New Roman" w:eastAsia="Times New Roman" w:cs="Times New Roman"/>
      <w:kern w:val="2"/>
      <w:sz w:val="22"/>
      <w:szCs w:val="22"/>
      <w:lang w:val="en-US" w:eastAsia="zh-CN" w:bidi="ar-SA"/>
    </w:rPr>
  </w:style>
  <w:style w:type="paragraph" w:customStyle="1" w:styleId="14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42">
    <w:name w:val="xl95"/>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143">
    <w:name w:val="xl10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4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5">
    <w:name w:val="列出段落2"/>
    <w:basedOn w:val="1"/>
    <w:qFormat/>
    <w:uiPriority w:val="0"/>
    <w:pPr>
      <w:ind w:firstLine="420" w:firstLineChars="200"/>
    </w:pPr>
    <w:rPr>
      <w:rFonts w:ascii="Calibri" w:hAnsi="Calibri"/>
      <w:szCs w:val="22"/>
    </w:rPr>
  </w:style>
  <w:style w:type="paragraph" w:customStyle="1" w:styleId="14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47">
    <w:name w:val="xl74"/>
    <w:basedOn w:val="1"/>
    <w:qFormat/>
    <w:uiPriority w:val="0"/>
    <w:pPr>
      <w:widowControl/>
      <w:pBdr>
        <w:top w:val="single" w:color="000000" w:sz="4" w:space="0"/>
        <w:bottom w:val="single" w:color="000000" w:sz="4" w:space="0"/>
      </w:pBdr>
      <w:spacing w:before="100" w:beforeAutospacing="1" w:after="100" w:afterAutospacing="1"/>
      <w:jc w:val="center"/>
    </w:pPr>
    <w:rPr>
      <w:rFonts w:ascii="宋体" w:hAnsi="宋体" w:cs="宋体"/>
      <w:kern w:val="0"/>
      <w:sz w:val="20"/>
      <w:szCs w:val="20"/>
    </w:rPr>
  </w:style>
  <w:style w:type="paragraph" w:customStyle="1" w:styleId="148">
    <w:name w:val="xl92"/>
    <w:basedOn w:val="1"/>
    <w:qFormat/>
    <w:uiPriority w:val="0"/>
    <w:pPr>
      <w:widowControl/>
      <w:pBdr>
        <w:top w:val="single" w:color="000000" w:sz="4" w:space="0"/>
      </w:pBdr>
      <w:spacing w:before="100" w:beforeAutospacing="1" w:after="100" w:afterAutospacing="1"/>
      <w:jc w:val="center"/>
    </w:pPr>
    <w:rPr>
      <w:rFonts w:ascii="宋体" w:hAnsi="宋体" w:cs="宋体"/>
      <w:kern w:val="0"/>
      <w:sz w:val="20"/>
      <w:szCs w:val="20"/>
    </w:rPr>
  </w:style>
  <w:style w:type="paragraph" w:customStyle="1" w:styleId="149">
    <w:name w:val="xl63"/>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50">
    <w:name w:val="xl64"/>
    <w:basedOn w:val="1"/>
    <w:qFormat/>
    <w:uiPriority w:val="0"/>
    <w:pPr>
      <w:widowControl/>
      <w:spacing w:before="100" w:beforeAutospacing="1" w:after="100" w:afterAutospacing="1"/>
      <w:jc w:val="center"/>
      <w:textAlignment w:val="center"/>
    </w:pPr>
    <w:rPr>
      <w:rFonts w:ascii="宋体" w:hAnsi="宋体" w:cs="宋体"/>
      <w:b/>
      <w:bCs/>
      <w:kern w:val="0"/>
      <w:sz w:val="44"/>
      <w:szCs w:val="44"/>
    </w:rPr>
  </w:style>
  <w:style w:type="paragraph" w:customStyle="1" w:styleId="151">
    <w:name w:val="xl88"/>
    <w:basedOn w:val="1"/>
    <w:qFormat/>
    <w:uiPriority w:val="0"/>
    <w:pPr>
      <w:widowControl/>
      <w:pBdr>
        <w:left w:val="single" w:color="000000" w:sz="4" w:space="0"/>
      </w:pBdr>
      <w:spacing w:before="100" w:beforeAutospacing="1" w:after="100" w:afterAutospacing="1"/>
      <w:jc w:val="center"/>
    </w:pPr>
    <w:rPr>
      <w:rFonts w:ascii="宋体" w:hAnsi="宋体" w:cs="宋体"/>
      <w:kern w:val="0"/>
      <w:sz w:val="20"/>
      <w:szCs w:val="20"/>
    </w:rPr>
  </w:style>
  <w:style w:type="paragraph" w:customStyle="1" w:styleId="152">
    <w:name w:val="TOC Heading"/>
    <w:basedOn w:val="3"/>
    <w:next w:val="1"/>
    <w:qFormat/>
    <w:uiPriority w:val="0"/>
    <w:pPr>
      <w:widowControl/>
      <w:numPr>
        <w:numId w:val="0"/>
      </w:numPr>
      <w:adjustRightInd/>
      <w:spacing w:before="480" w:after="0" w:line="276" w:lineRule="auto"/>
      <w:jc w:val="left"/>
      <w:textAlignment w:val="auto"/>
      <w:outlineLvl w:val="9"/>
    </w:pPr>
    <w:rPr>
      <w:rFonts w:ascii="Cambria" w:hAnsi="Cambria" w:cs="Times New Roman"/>
      <w:color w:val="365F91"/>
      <w:kern w:val="0"/>
      <w:sz w:val="28"/>
      <w:szCs w:val="28"/>
    </w:rPr>
  </w:style>
  <w:style w:type="paragraph" w:customStyle="1" w:styleId="153">
    <w:name w:val="xl101"/>
    <w:basedOn w:val="1"/>
    <w:qFormat/>
    <w:uiPriority w:val="0"/>
    <w:pPr>
      <w:widowControl/>
      <w:pBdr>
        <w:bottom w:val="single" w:color="000000" w:sz="4" w:space="0"/>
        <w:right w:val="single" w:color="000000"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54">
    <w:name w:val="xl99"/>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15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156">
    <w:name w:val="xl80"/>
    <w:basedOn w:val="1"/>
    <w:qFormat/>
    <w:uiPriority w:val="0"/>
    <w:pPr>
      <w:widowControl/>
      <w:pBdr>
        <w:left w:val="single" w:color="000000" w:sz="4" w:space="0"/>
        <w:bottom w:val="single" w:color="000000"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57">
    <w:name w:val="xl86"/>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pPr>
    <w:rPr>
      <w:rFonts w:ascii="仿宋_GB2312" w:hAnsi="宋体" w:eastAsia="仿宋_GB2312" w:cs="宋体"/>
      <w:kern w:val="0"/>
      <w:sz w:val="20"/>
      <w:szCs w:val="20"/>
    </w:rPr>
  </w:style>
  <w:style w:type="paragraph" w:customStyle="1" w:styleId="158">
    <w:name w:val="xl79"/>
    <w:basedOn w:val="1"/>
    <w:qFormat/>
    <w:uiPriority w:val="0"/>
    <w:pPr>
      <w:widowControl/>
      <w:pBdr>
        <w:bottom w:val="single" w:color="000000" w:sz="4" w:space="0"/>
      </w:pBdr>
      <w:shd w:val="clear" w:color="000000" w:fill="FFFFFF"/>
      <w:spacing w:before="100" w:beforeAutospacing="1" w:after="100" w:afterAutospacing="1"/>
      <w:jc w:val="left"/>
    </w:pPr>
    <w:rPr>
      <w:rFonts w:ascii="仿宋_GB2312" w:hAnsi="宋体" w:eastAsia="仿宋_GB2312" w:cs="宋体"/>
      <w:kern w:val="0"/>
      <w:sz w:val="20"/>
      <w:szCs w:val="20"/>
    </w:rPr>
  </w:style>
  <w:style w:type="paragraph" w:customStyle="1" w:styleId="159">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6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1">
    <w:name w:val="xl93"/>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仿宋_GB2312" w:hAnsi="宋体" w:eastAsia="仿宋_GB2312" w:cs="宋体"/>
      <w:kern w:val="0"/>
      <w:sz w:val="20"/>
      <w:szCs w:val="20"/>
    </w:rPr>
  </w:style>
  <w:style w:type="paragraph" w:customStyle="1" w:styleId="162">
    <w:name w:val="xl81"/>
    <w:basedOn w:val="1"/>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63">
    <w:name w:val="xl100"/>
    <w:basedOn w:val="1"/>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64">
    <w:name w:val="xl85"/>
    <w:basedOn w:val="1"/>
    <w:qFormat/>
    <w:uiPriority w:val="0"/>
    <w:pPr>
      <w:widowControl/>
      <w:shd w:val="clear" w:color="000000" w:fill="FFFFFF"/>
      <w:spacing w:before="100" w:beforeAutospacing="1" w:after="100" w:afterAutospacing="1"/>
      <w:jc w:val="left"/>
    </w:pPr>
    <w:rPr>
      <w:rFonts w:ascii="仿宋_GB2312" w:hAnsi="宋体" w:eastAsia="仿宋_GB2312" w:cs="宋体"/>
      <w:kern w:val="0"/>
      <w:sz w:val="20"/>
      <w:szCs w:val="20"/>
    </w:rPr>
  </w:style>
  <w:style w:type="paragraph" w:customStyle="1" w:styleId="165">
    <w:name w:val="xl111"/>
    <w:basedOn w:val="1"/>
    <w:qFormat/>
    <w:uiPriority w:val="0"/>
    <w:pPr>
      <w:widowControl/>
      <w:pBdr>
        <w:left w:val="single" w:color="000000" w:sz="4" w:space="0"/>
        <w:bottom w:val="single" w:color="000000" w:sz="4" w:space="0"/>
      </w:pBdr>
      <w:shd w:val="clear" w:color="000000" w:fill="FFFFFF"/>
      <w:spacing w:before="100" w:beforeAutospacing="1" w:after="100" w:afterAutospacing="1"/>
      <w:jc w:val="left"/>
    </w:pPr>
    <w:rPr>
      <w:rFonts w:ascii="仿宋_GB2312" w:hAnsi="宋体" w:eastAsia="仿宋_GB2312" w:cs="宋体"/>
      <w:kern w:val="0"/>
      <w:sz w:val="20"/>
      <w:szCs w:val="20"/>
    </w:rPr>
  </w:style>
  <w:style w:type="paragraph" w:customStyle="1" w:styleId="166">
    <w:name w:val="xl87"/>
    <w:basedOn w:val="1"/>
    <w:qFormat/>
    <w:uiPriority w:val="0"/>
    <w:pPr>
      <w:widowControl/>
      <w:pBdr>
        <w:top w:val="single" w:color="000000" w:sz="4" w:space="0"/>
      </w:pBdr>
      <w:shd w:val="clear" w:color="000000" w:fill="FFFFFF"/>
      <w:spacing w:before="100" w:beforeAutospacing="1" w:after="100" w:afterAutospacing="1"/>
      <w:jc w:val="left"/>
    </w:pPr>
    <w:rPr>
      <w:rFonts w:ascii="仿宋_GB2312" w:hAnsi="宋体" w:eastAsia="仿宋_GB2312" w:cs="宋体"/>
      <w:kern w:val="0"/>
      <w:sz w:val="20"/>
      <w:szCs w:val="20"/>
    </w:rPr>
  </w:style>
  <w:style w:type="paragraph" w:customStyle="1" w:styleId="167">
    <w:name w:val="xl91"/>
    <w:basedOn w:val="1"/>
    <w:qFormat/>
    <w:uiPriority w:val="0"/>
    <w:pPr>
      <w:widowControl/>
      <w:pBdr>
        <w:top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168">
    <w:name w:val="xl76"/>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169">
    <w:name w:val="xl77"/>
    <w:basedOn w:val="1"/>
    <w:qFormat/>
    <w:uiPriority w:val="0"/>
    <w:pPr>
      <w:widowControl/>
      <w:pBdr>
        <w:bottom w:val="single" w:color="000000" w:sz="4" w:space="0"/>
      </w:pBdr>
      <w:spacing w:before="100" w:beforeAutospacing="1" w:after="100" w:afterAutospacing="1"/>
      <w:jc w:val="center"/>
    </w:pPr>
    <w:rPr>
      <w:rFonts w:ascii="宋体" w:hAnsi="宋体" w:cs="宋体"/>
      <w:kern w:val="0"/>
      <w:sz w:val="20"/>
      <w:szCs w:val="20"/>
    </w:rPr>
  </w:style>
  <w:style w:type="paragraph" w:customStyle="1" w:styleId="170">
    <w:name w:val="xl96"/>
    <w:basedOn w:val="1"/>
    <w:qFormat/>
    <w:uiPriority w:val="0"/>
    <w:pPr>
      <w:widowControl/>
      <w:pBdr>
        <w:bottom w:val="single" w:color="000000" w:sz="4" w:space="0"/>
        <w:right w:val="single" w:color="000000" w:sz="4" w:space="0"/>
      </w:pBdr>
      <w:shd w:val="clear" w:color="000000" w:fill="FFFFFF"/>
      <w:spacing w:before="100" w:beforeAutospacing="1" w:after="100" w:afterAutospacing="1"/>
      <w:jc w:val="left"/>
    </w:pPr>
    <w:rPr>
      <w:rFonts w:ascii="仿宋_GB2312" w:hAnsi="宋体" w:eastAsia="仿宋_GB2312" w:cs="宋体"/>
      <w:kern w:val="0"/>
      <w:sz w:val="20"/>
      <w:szCs w:val="20"/>
    </w:rPr>
  </w:style>
  <w:style w:type="paragraph" w:customStyle="1" w:styleId="171">
    <w:name w:val="xl103"/>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17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74">
    <w:name w:val="正文样式"/>
    <w:basedOn w:val="1"/>
    <w:qFormat/>
    <w:uiPriority w:val="0"/>
    <w:pPr>
      <w:spacing w:line="440" w:lineRule="exact"/>
      <w:ind w:firstLine="200" w:firstLineChars="200"/>
    </w:pPr>
    <w:rPr>
      <w:rFonts w:ascii="仿宋_GB2312" w:eastAsia="仿宋_GB2312"/>
      <w:sz w:val="28"/>
      <w:szCs w:val="24"/>
    </w:rPr>
  </w:style>
  <w:style w:type="paragraph" w:customStyle="1" w:styleId="17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76">
    <w:name w:val="xl109"/>
    <w:basedOn w:val="1"/>
    <w:qFormat/>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jc w:val="left"/>
    </w:pPr>
    <w:rPr>
      <w:rFonts w:ascii="仿宋_GB2312" w:hAnsi="宋体" w:eastAsia="仿宋_GB2312" w:cs="宋体"/>
      <w:kern w:val="0"/>
      <w:sz w:val="20"/>
      <w:szCs w:val="20"/>
    </w:rPr>
  </w:style>
  <w:style w:type="paragraph" w:customStyle="1" w:styleId="177">
    <w:name w:val="xl94"/>
    <w:basedOn w:val="1"/>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left"/>
    </w:pPr>
    <w:rPr>
      <w:rFonts w:ascii="仿宋_GB2312" w:hAnsi="宋体" w:eastAsia="仿宋_GB2312" w:cs="宋体"/>
      <w:kern w:val="0"/>
      <w:sz w:val="20"/>
      <w:szCs w:val="20"/>
    </w:rPr>
  </w:style>
  <w:style w:type="paragraph" w:customStyle="1" w:styleId="17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7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80">
    <w:name w:val="xl107"/>
    <w:basedOn w:val="1"/>
    <w:qFormat/>
    <w:uiPriority w:val="0"/>
    <w:pPr>
      <w:widowControl/>
      <w:spacing w:before="100" w:beforeAutospacing="1" w:after="100" w:afterAutospacing="1"/>
      <w:jc w:val="center"/>
    </w:pPr>
    <w:rPr>
      <w:rFonts w:ascii="宋体" w:hAnsi="宋体" w:cs="宋体"/>
      <w:b/>
      <w:bCs/>
      <w:kern w:val="0"/>
      <w:sz w:val="24"/>
      <w:szCs w:val="24"/>
    </w:rPr>
  </w:style>
  <w:style w:type="paragraph" w:customStyle="1" w:styleId="181">
    <w:name w:val="xl97"/>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182">
    <w:name w:val="font6"/>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83">
    <w:name w:val="xl65"/>
    <w:basedOn w:val="1"/>
    <w:qFormat/>
    <w:uiPriority w:val="0"/>
    <w:pPr>
      <w:widowControl/>
      <w:spacing w:before="100" w:beforeAutospacing="1" w:after="100" w:afterAutospacing="1"/>
      <w:jc w:val="center"/>
      <w:textAlignment w:val="center"/>
    </w:pPr>
    <w:rPr>
      <w:rFonts w:ascii="宋体" w:hAnsi="宋体" w:cs="宋体"/>
      <w:b/>
      <w:bCs/>
      <w:kern w:val="0"/>
      <w:sz w:val="44"/>
      <w:szCs w:val="44"/>
    </w:rPr>
  </w:style>
  <w:style w:type="paragraph" w:customStyle="1" w:styleId="184">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85">
    <w:name w:val="xl78"/>
    <w:basedOn w:val="1"/>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仿宋_GB2312" w:hAnsi="宋体" w:eastAsia="仿宋_GB2312" w:cs="宋体"/>
      <w:kern w:val="0"/>
      <w:sz w:val="20"/>
      <w:szCs w:val="20"/>
    </w:rPr>
  </w:style>
  <w:style w:type="paragraph" w:customStyle="1" w:styleId="186">
    <w:name w:val="xl102"/>
    <w:basedOn w:val="1"/>
    <w:qFormat/>
    <w:uiPriority w:val="0"/>
    <w:pPr>
      <w:widowControl/>
      <w:pBdr>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187">
    <w:name w:val="xl105"/>
    <w:basedOn w:val="1"/>
    <w:qFormat/>
    <w:uiPriority w:val="0"/>
    <w:pPr>
      <w:widowControl/>
      <w:pBdr>
        <w:right w:val="single" w:color="000000"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8">
    <w:name w:val="xl84"/>
    <w:basedOn w:val="1"/>
    <w:qFormat/>
    <w:uiPriority w:val="0"/>
    <w:pPr>
      <w:widowControl/>
      <w:pBdr>
        <w:left w:val="single" w:color="000000" w:sz="4" w:space="0"/>
        <w:right w:val="single" w:color="000000" w:sz="4" w:space="0"/>
      </w:pBdr>
      <w:shd w:val="clear" w:color="000000" w:fill="FFFFFF"/>
      <w:spacing w:before="100" w:beforeAutospacing="1" w:after="100" w:afterAutospacing="1"/>
      <w:jc w:val="center"/>
    </w:pPr>
    <w:rPr>
      <w:rFonts w:ascii="仿宋_GB2312" w:hAnsi="宋体" w:eastAsia="仿宋_GB2312" w:cs="宋体"/>
      <w:kern w:val="0"/>
      <w:sz w:val="20"/>
      <w:szCs w:val="20"/>
    </w:rPr>
  </w:style>
  <w:style w:type="paragraph" w:customStyle="1" w:styleId="189">
    <w:name w:val="xl90"/>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190">
    <w:name w:val="Table Paragraph"/>
    <w:basedOn w:val="1"/>
    <w:qFormat/>
    <w:uiPriority w:val="1"/>
    <w:rPr>
      <w:rFonts w:ascii="Noto Sans Mono CJK JP Regular" w:hAnsi="Noto Sans Mono CJK JP Regular" w:eastAsia="Noto Sans Mono CJK JP Regular" w:cs="Noto Sans Mono CJK JP Regular"/>
      <w:szCs w:val="24"/>
    </w:rPr>
  </w:style>
  <w:style w:type="paragraph" w:customStyle="1" w:styleId="191">
    <w:name w:val="Char"/>
    <w:basedOn w:val="1"/>
    <w:qFormat/>
    <w:uiPriority w:val="0"/>
    <w:rPr>
      <w:szCs w:val="24"/>
    </w:rPr>
  </w:style>
  <w:style w:type="paragraph" w:customStyle="1" w:styleId="19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93">
    <w:name w:val="xl110"/>
    <w:basedOn w:val="1"/>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仿宋_GB2312" w:hAnsi="宋体" w:eastAsia="仿宋_GB2312" w:cs="宋体"/>
      <w:kern w:val="0"/>
      <w:sz w:val="20"/>
      <w:szCs w:val="20"/>
    </w:rPr>
  </w:style>
  <w:style w:type="paragraph" w:customStyle="1" w:styleId="194">
    <w:name w:val="正文文字3"/>
    <w:basedOn w:val="19"/>
    <w:qFormat/>
    <w:uiPriority w:val="0"/>
    <w:pPr>
      <w:adjustRightInd w:val="0"/>
      <w:spacing w:line="360" w:lineRule="atLeast"/>
      <w:ind w:left="30" w:leftChars="30" w:right="30" w:rightChars="30"/>
    </w:pPr>
    <w:rPr>
      <w:kern w:val="0"/>
      <w:sz w:val="21"/>
      <w:szCs w:val="20"/>
    </w:rPr>
  </w:style>
  <w:style w:type="paragraph" w:customStyle="1" w:styleId="195">
    <w:name w:val="xl98"/>
    <w:basedOn w:val="1"/>
    <w:qFormat/>
    <w:uiPriority w:val="0"/>
    <w:pPr>
      <w:widowControl/>
      <w:pBdr>
        <w:bottom w:val="single" w:color="000000"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96">
    <w:name w:val="xl10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仿宋_GB2312" w:hAnsi="宋体" w:eastAsia="仿宋_GB2312" w:cs="宋体"/>
      <w:kern w:val="0"/>
      <w:sz w:val="20"/>
      <w:szCs w:val="20"/>
    </w:rPr>
  </w:style>
  <w:style w:type="paragraph" w:customStyle="1" w:styleId="197">
    <w:name w:val="xl104"/>
    <w:basedOn w:val="1"/>
    <w:qFormat/>
    <w:uiPriority w:val="0"/>
    <w:pPr>
      <w:widowControl/>
      <w:pBdr>
        <w:left w:val="single" w:color="000000" w:sz="4" w:space="0"/>
        <w:right w:val="single" w:color="000000"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98">
    <w:name w:val="xl89"/>
    <w:basedOn w:val="1"/>
    <w:qFormat/>
    <w:uiPriority w:val="0"/>
    <w:pPr>
      <w:widowControl/>
      <w:pBdr>
        <w:left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19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00">
    <w:name w:val="xl82"/>
    <w:basedOn w:val="1"/>
    <w:qFormat/>
    <w:uiPriority w:val="0"/>
    <w:pPr>
      <w:widowControl/>
      <w:pBdr>
        <w:bottom w:val="single" w:color="000000"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201">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character" w:customStyle="1" w:styleId="202">
    <w:name w:val="二级目录 Char"/>
    <w:link w:val="108"/>
    <w:qFormat/>
    <w:locked/>
    <w:uiPriority w:val="99"/>
    <w:rPr>
      <w:b/>
      <w:bCs/>
      <w:kern w:val="2"/>
      <w:sz w:val="30"/>
      <w:szCs w:val="30"/>
    </w:rPr>
  </w:style>
  <w:style w:type="paragraph" w:customStyle="1" w:styleId="203">
    <w:name w:val="列表段落"/>
    <w:basedOn w:val="1"/>
    <w:qFormat/>
    <w:uiPriority w:val="34"/>
    <w:pPr>
      <w:ind w:firstLine="420" w:firstLineChars="200"/>
    </w:pPr>
    <w:rPr>
      <w:szCs w:val="24"/>
    </w:rPr>
  </w:style>
  <w:style w:type="paragraph" w:customStyle="1" w:styleId="204">
    <w:name w:val="正文文本首行缩进 21"/>
    <w:basedOn w:val="20"/>
    <w:unhideWhenUsed/>
    <w:qFormat/>
    <w:uiPriority w:val="99"/>
    <w:pPr>
      <w:ind w:firstLine="420" w:firstLineChars="200"/>
    </w:pPr>
    <w:rPr>
      <w:rFonts w:ascii="Calibri" w:hAnsi="Calibri"/>
      <w:szCs w:val="26"/>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CF16B1-1404-41DD-907C-1E5DBD0A9CC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6929</Words>
  <Characters>39501</Characters>
  <Lines>329</Lines>
  <Paragraphs>92</Paragraphs>
  <TotalTime>16</TotalTime>
  <ScaleCrop>false</ScaleCrop>
  <LinksUpToDate>false</LinksUpToDate>
  <CharactersWithSpaces>46338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2020-12-04T06:32:00Z</dcterms:created>
  <dc:creator>ql</dc:creator>
  <cp:lastModifiedBy>Administrator</cp:lastModifiedBy>
  <cp:lastPrinted>2020-11-18T07:39:00Z</cp:lastPrinted>
  <dcterms:modified xsi:type="dcterms:W3CDTF">2021-12-08T06:52:23Z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21CD0A0F527C4701A5D63A4A7F774581</vt:lpwstr>
  </property>
</Properties>
</file>