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sz w:val="36"/>
          <w:szCs w:val="36"/>
        </w:rPr>
      </w:pPr>
      <w:r>
        <w:rPr>
          <w:rFonts w:hint="eastAsia" w:ascii="宋体" w:hAnsi="宋体"/>
          <w:sz w:val="36"/>
          <w:szCs w:val="36"/>
        </w:rPr>
        <w:t>编  标  说  明</w:t>
      </w:r>
    </w:p>
    <w:p>
      <w:pPr>
        <w:keepNext w:val="0"/>
        <w:keepLines w:val="0"/>
        <w:pageBreakBefore w:val="0"/>
        <w:kinsoku/>
        <w:wordWrap/>
        <w:overflowPunct/>
        <w:topLinePunct w:val="0"/>
        <w:autoSpaceDE/>
        <w:autoSpaceDN/>
        <w:bidi w:val="0"/>
        <w:adjustRightInd/>
        <w:snapToGrid/>
        <w:spacing w:line="480" w:lineRule="exact"/>
        <w:textAlignment w:val="auto"/>
        <w:rPr>
          <w:rFonts w:asciiTheme="minorEastAsia" w:hAnsiTheme="minorEastAsia" w:cstheme="minorEastAsia"/>
          <w:b/>
          <w:sz w:val="24"/>
        </w:rPr>
      </w:pPr>
      <w:r>
        <w:rPr>
          <w:rFonts w:hint="eastAsia" w:asciiTheme="minorEastAsia" w:hAnsiTheme="minorEastAsia" w:cstheme="minorEastAsia"/>
          <w:b/>
          <w:sz w:val="24"/>
        </w:rPr>
        <w:t>一、工程概况：</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本工程为</w:t>
      </w:r>
      <w:r>
        <w:rPr>
          <w:rFonts w:hint="eastAsia" w:asciiTheme="minorEastAsia" w:hAnsiTheme="minorEastAsia" w:cstheme="minorEastAsia"/>
          <w:sz w:val="21"/>
          <w:szCs w:val="21"/>
        </w:rPr>
        <w:t>通明花苑小区停车位改造工程。</w:t>
      </w:r>
    </w:p>
    <w:p>
      <w:pPr>
        <w:keepNext w:val="0"/>
        <w:keepLines w:val="0"/>
        <w:pageBreakBefore w:val="0"/>
        <w:kinsoku/>
        <w:wordWrap/>
        <w:overflowPunct/>
        <w:topLinePunct w:val="0"/>
        <w:autoSpaceDE/>
        <w:autoSpaceDN/>
        <w:bidi w:val="0"/>
        <w:adjustRightInd/>
        <w:snapToGrid/>
        <w:spacing w:line="480" w:lineRule="exact"/>
        <w:jc w:val="left"/>
        <w:textAlignment w:val="auto"/>
        <w:rPr>
          <w:rFonts w:asciiTheme="minorEastAsia" w:hAnsiTheme="minorEastAsia" w:cstheme="minorEastAsia"/>
          <w:b/>
          <w:sz w:val="24"/>
        </w:rPr>
      </w:pPr>
      <w:r>
        <w:rPr>
          <w:rFonts w:hint="eastAsia" w:asciiTheme="minorEastAsia" w:hAnsiTheme="minorEastAsia" w:cstheme="minorEastAsia"/>
          <w:b/>
          <w:sz w:val="24"/>
        </w:rPr>
        <w:t>二、工程量清单编制依据：</w:t>
      </w:r>
      <w:r>
        <w:rPr>
          <w:rFonts w:hint="eastAsia" w:asciiTheme="minorEastAsia" w:hAnsiTheme="minorEastAsia" w:cstheme="minorEastAsia"/>
          <w:sz w:val="24"/>
        </w:rPr>
        <w:t xml:space="preserve">               </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1、《建设工程工程量清单计价规范》（GB50500-2013）；</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2、与工程量清单计价规范配套的工程量计算规范；</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3</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《江苏省</w:t>
      </w:r>
      <w:r>
        <w:rPr>
          <w:rFonts w:hint="eastAsia" w:asciiTheme="minorEastAsia" w:hAnsiTheme="minorEastAsia" w:cstheme="minorEastAsia"/>
          <w:sz w:val="21"/>
          <w:szCs w:val="21"/>
          <w:lang w:val="en-US" w:eastAsia="zh-CN"/>
        </w:rPr>
        <w:t>市政</w:t>
      </w:r>
      <w:r>
        <w:rPr>
          <w:rFonts w:hint="eastAsia" w:asciiTheme="minorEastAsia" w:hAnsiTheme="minorEastAsia" w:cstheme="minorEastAsia"/>
          <w:sz w:val="21"/>
          <w:szCs w:val="21"/>
        </w:rPr>
        <w:t>工程计价定额》2014年版；</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4、</w:t>
      </w:r>
      <w:r>
        <w:rPr>
          <w:rFonts w:hint="eastAsia" w:asciiTheme="minorEastAsia" w:hAnsiTheme="minorEastAsia" w:cstheme="minorEastAsia"/>
          <w:sz w:val="21"/>
          <w:szCs w:val="21"/>
        </w:rPr>
        <w:t>《江苏省安装工程计价定额》2014年版；</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5</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《省住房城乡建设厅关于建筑业实施营改增后江苏省建设工程计价依据调整的通知》苏建价（2016）154号；</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6、</w:t>
      </w:r>
      <w:r>
        <w:rPr>
          <w:rFonts w:hint="eastAsia" w:asciiTheme="minorEastAsia" w:hAnsiTheme="minorEastAsia" w:cstheme="minorEastAsia"/>
          <w:sz w:val="21"/>
          <w:szCs w:val="21"/>
        </w:rPr>
        <w:t>《省住房城乡建设厅关于建筑业增值税计价政策调整的通知》苏建价[201</w:t>
      </w:r>
      <w:r>
        <w:rPr>
          <w:rFonts w:hint="eastAsia" w:asciiTheme="minorEastAsia" w:hAnsiTheme="minorEastAsia" w:cstheme="minorEastAsia"/>
          <w:sz w:val="21"/>
          <w:szCs w:val="21"/>
          <w:lang w:val="en-US" w:eastAsia="zh-CN"/>
        </w:rPr>
        <w:t>8</w:t>
      </w:r>
      <w:r>
        <w:rPr>
          <w:rFonts w:hint="eastAsia" w:asciiTheme="minorEastAsia" w:hAnsiTheme="minorEastAsia" w:cstheme="minorEastAsia"/>
          <w:sz w:val="21"/>
          <w:szCs w:val="21"/>
        </w:rPr>
        <w:t>]298号文；</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asciiTheme="minorEastAsia" w:hAnsiTheme="minorEastAsia" w:cstheme="minorEastAsia"/>
          <w:sz w:val="21"/>
          <w:szCs w:val="21"/>
        </w:rPr>
      </w:pPr>
      <w:bookmarkStart w:id="0" w:name="_Hlk5200616"/>
      <w:r>
        <w:rPr>
          <w:rFonts w:hint="eastAsia" w:asciiTheme="minorEastAsia" w:hAnsiTheme="minorEastAsia" w:cstheme="minorEastAsia"/>
          <w:sz w:val="21"/>
          <w:szCs w:val="21"/>
          <w:lang w:val="en-US" w:eastAsia="zh-CN"/>
        </w:rPr>
        <w:t>7</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《省住房城乡建设厅关于调整建设工程计价增值税税率的通知》苏建函价（2019）178号；</w:t>
      </w:r>
      <w:bookmarkEnd w:id="0"/>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8</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《省住房城乡建设厅关于调整建设工程按质论价等费用计取方法的公告》（2018）第24号；</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9</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《省住房城乡建设厅关于发布建设工程人工工资指导价的通知》苏建函价[202</w:t>
      </w:r>
      <w:r>
        <w:rPr>
          <w:rFonts w:hint="eastAsia" w:asciiTheme="minorEastAsia" w:hAnsiTheme="minorEastAsia" w:cstheme="minorEastAsia"/>
          <w:sz w:val="21"/>
          <w:szCs w:val="21"/>
          <w:lang w:val="en-US" w:eastAsia="zh-CN"/>
        </w:rPr>
        <w:t>2</w:t>
      </w:r>
      <w:r>
        <w:rPr>
          <w:rFonts w:hint="eastAsia" w:asciiTheme="minorEastAsia" w:hAnsiTheme="minorEastAsia" w:cstheme="minorEastAsia"/>
          <w:sz w:val="21"/>
          <w:szCs w:val="21"/>
        </w:rPr>
        <w:t>]</w:t>
      </w:r>
      <w:r>
        <w:rPr>
          <w:rFonts w:hint="eastAsia" w:asciiTheme="minorEastAsia" w:hAnsiTheme="minorEastAsia" w:cstheme="minorEastAsia"/>
          <w:sz w:val="21"/>
          <w:szCs w:val="21"/>
          <w:lang w:val="en-US" w:eastAsia="zh-CN"/>
        </w:rPr>
        <w:t>62</w:t>
      </w:r>
      <w:r>
        <w:rPr>
          <w:rFonts w:hint="eastAsia" w:asciiTheme="minorEastAsia" w:hAnsiTheme="minorEastAsia" w:cstheme="minorEastAsia"/>
          <w:sz w:val="21"/>
          <w:szCs w:val="21"/>
        </w:rPr>
        <w:t>号文；</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10</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《关于明确南通市建设工程环境保护税计价问题的通知》通建价[2019]20号文；</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11、《关于明确建设工程施工现场新冠肺炎疫情常态化防控措施费用计价办法的通知》</w:t>
      </w:r>
      <w:r>
        <w:rPr>
          <w:rFonts w:hint="eastAsia" w:asciiTheme="minorEastAsia" w:hAnsiTheme="minorEastAsia" w:cstheme="minorEastAsia"/>
          <w:sz w:val="21"/>
          <w:szCs w:val="21"/>
        </w:rPr>
        <w:t>通建价[20</w:t>
      </w:r>
      <w:r>
        <w:rPr>
          <w:rFonts w:hint="eastAsia" w:asciiTheme="minorEastAsia" w:hAnsiTheme="minorEastAsia" w:cstheme="minorEastAsia"/>
          <w:sz w:val="21"/>
          <w:szCs w:val="21"/>
          <w:lang w:val="en-US" w:eastAsia="zh-CN"/>
        </w:rPr>
        <w:t>21</w:t>
      </w:r>
      <w:r>
        <w:rPr>
          <w:rFonts w:hint="eastAsia" w:asciiTheme="minorEastAsia" w:hAnsiTheme="minorEastAsia" w:cstheme="minorEastAsia"/>
          <w:sz w:val="21"/>
          <w:szCs w:val="21"/>
        </w:rPr>
        <w:t>]</w:t>
      </w:r>
      <w:r>
        <w:rPr>
          <w:rFonts w:hint="eastAsia" w:asciiTheme="minorEastAsia" w:hAnsiTheme="minorEastAsia" w:cstheme="minorEastAsia"/>
          <w:sz w:val="21"/>
          <w:szCs w:val="21"/>
          <w:lang w:val="en-US" w:eastAsia="zh-CN"/>
        </w:rPr>
        <w:t>62</w:t>
      </w:r>
      <w:r>
        <w:rPr>
          <w:rFonts w:hint="eastAsia" w:asciiTheme="minorEastAsia" w:hAnsiTheme="minorEastAsia" w:cstheme="minorEastAsia"/>
          <w:sz w:val="21"/>
          <w:szCs w:val="21"/>
        </w:rPr>
        <w:t>号文；</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12</w:t>
      </w:r>
      <w:r>
        <w:rPr>
          <w:rFonts w:hint="eastAsia" w:asciiTheme="minorEastAsia" w:hAnsiTheme="minorEastAsia" w:cstheme="minorEastAsia"/>
          <w:sz w:val="21"/>
          <w:szCs w:val="21"/>
          <w:lang w:eastAsia="zh-CN"/>
        </w:rPr>
        <w:t>、材</w:t>
      </w:r>
      <w:r>
        <w:rPr>
          <w:rFonts w:hint="eastAsia" w:asciiTheme="minorEastAsia" w:hAnsiTheme="minorEastAsia" w:cstheme="minorEastAsia"/>
          <w:sz w:val="21"/>
          <w:szCs w:val="21"/>
        </w:rPr>
        <w:t>料价格参照《南通建设工程造价信息》202</w:t>
      </w:r>
      <w:r>
        <w:rPr>
          <w:rFonts w:hint="eastAsia" w:asciiTheme="minorEastAsia" w:hAnsiTheme="minorEastAsia" w:cstheme="minorEastAsia"/>
          <w:sz w:val="21"/>
          <w:szCs w:val="21"/>
          <w:lang w:val="en-US" w:eastAsia="zh-CN"/>
        </w:rPr>
        <w:t>2</w:t>
      </w:r>
      <w:r>
        <w:rPr>
          <w:rFonts w:hint="eastAsia" w:asciiTheme="minorEastAsia" w:hAnsiTheme="minorEastAsia" w:cstheme="minorEastAsia"/>
          <w:sz w:val="21"/>
          <w:szCs w:val="21"/>
        </w:rPr>
        <w:t>年第</w:t>
      </w:r>
      <w:r>
        <w:rPr>
          <w:rFonts w:hint="eastAsia" w:asciiTheme="minorEastAsia" w:hAnsiTheme="minorEastAsia" w:cstheme="minorEastAsia"/>
          <w:sz w:val="21"/>
          <w:szCs w:val="21"/>
          <w:lang w:val="en-US" w:eastAsia="zh-CN"/>
        </w:rPr>
        <w:t>6期</w:t>
      </w:r>
      <w:r>
        <w:rPr>
          <w:rFonts w:hint="eastAsia" w:asciiTheme="minorEastAsia" w:hAnsiTheme="minorEastAsia" w:cstheme="minorEastAsia"/>
          <w:sz w:val="21"/>
          <w:szCs w:val="21"/>
        </w:rPr>
        <w:t>指导价及同期市场价；</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13</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省住房城乡建设厅关于建筑工人实名制费用计取方法的公告（2019）第19号；</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14</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省、</w:t>
      </w:r>
      <w:r>
        <w:rPr>
          <w:rFonts w:hint="eastAsia" w:asciiTheme="minorEastAsia" w:hAnsiTheme="minorEastAsia" w:cstheme="minorEastAsia"/>
          <w:sz w:val="21"/>
          <w:szCs w:val="21"/>
        </w:rPr>
        <w:t>市建设行政主管部门有关建设工程取费标准及费用调整文件。</w:t>
      </w:r>
      <w:bookmarkStart w:id="1" w:name="_GoBack"/>
    </w:p>
    <w:bookmarkEnd w:id="1"/>
    <w:p>
      <w:pPr>
        <w:keepNext w:val="0"/>
        <w:keepLines w:val="0"/>
        <w:pageBreakBefore w:val="0"/>
        <w:kinsoku/>
        <w:wordWrap/>
        <w:overflowPunct/>
        <w:topLinePunct w:val="0"/>
        <w:autoSpaceDE/>
        <w:autoSpaceDN/>
        <w:bidi w:val="0"/>
        <w:adjustRightInd/>
        <w:snapToGrid/>
        <w:spacing w:line="480" w:lineRule="exact"/>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三、计税方法：</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1、本工程执行营改增一般计税方法。</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Theme="minorEastAsia" w:hAnsiTheme="minorEastAsia" w:cstheme="minorEastAsia"/>
          <w:b/>
          <w:sz w:val="24"/>
        </w:rPr>
      </w:pPr>
      <w:r>
        <w:rPr>
          <w:rFonts w:hint="eastAsia" w:asciiTheme="minorEastAsia" w:hAnsiTheme="minorEastAsia" w:cstheme="minorEastAsia"/>
          <w:b/>
          <w:sz w:val="24"/>
        </w:rPr>
        <w:t>四、工程编制情况：</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jc w:val="left"/>
        <w:textAlignment w:val="auto"/>
        <w:rPr>
          <w:rFonts w:hint="default" w:asciiTheme="minorEastAsia" w:hAnsiTheme="minorEastAsia" w:eastAsiaTheme="minorEastAsia" w:cstheme="minorEastAsia"/>
          <w:b/>
          <w:sz w:val="21"/>
          <w:szCs w:val="21"/>
          <w:lang w:val="en-US" w:eastAsia="zh-CN"/>
        </w:rPr>
      </w:pPr>
      <w:r>
        <w:rPr>
          <w:rFonts w:hint="eastAsia" w:asciiTheme="minorEastAsia" w:hAnsiTheme="minorEastAsia" w:cstheme="minorEastAsia"/>
          <w:b/>
          <w:sz w:val="21"/>
          <w:szCs w:val="21"/>
          <w:lang w:val="en-US" w:eastAsia="zh-CN"/>
        </w:rPr>
        <w:t>（一）、土建</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sz w:val="21"/>
          <w:szCs w:val="21"/>
          <w:lang w:val="en-US" w:eastAsia="zh-CN"/>
        </w:rPr>
        <w:t xml:space="preserve"> 1、</w:t>
      </w: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拆除原混凝土地面，拆除通道口路牙等，现场垃圾需清理及外运，运距投标人自行考虑；</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b w:val="0"/>
          <w:bCs/>
          <w:color w:val="FF0000"/>
          <w:sz w:val="21"/>
          <w:szCs w:val="21"/>
          <w:shd w:val="clear" w:color="auto" w:fill="auto"/>
          <w:lang w:val="en-US" w:eastAsia="zh-CN"/>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2、现场多余土方需挖除及外运，运距投标人自行考虑；</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3、道路南侧有一道雨水管道，通到原雨水井，接到原雨水总管，管道采用D200PVC管、D300PVC管，管道下采用100厚C15混凝土垫层；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4、砌筑7个雨水井，规格500mm*500mm，具体深度根据现场确定580~700mm，采用100厚C15垫层，100厚C25混凝土基础，标准砖砌筑，M7.5水泥砂浆，刷20厚1:2水泥砂浆，含井圈及重型铸铁井盖；</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5、停车场场地路基平整压实，基层采用300mm厚碎砖垫层夯实压平，面层采用150mm厚C25商品混凝土，纵横割6*6m伸缩缝，深度5cm，宽度0.4cm，含模板，路面养生（10~15天浇水保养）、路面刻痕等；</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6、停车场南侧及通道两侧做混凝土路牙，尺寸为10cm*50cm*100cm，采用100厚C15混凝土垫层；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7、绿化带处3个Φ315雨污水井需升高，高度30cm以上，具体做法需满足业主要求，投标人自行踏勘现场，综合报价；</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8、配电间四周采用镀锌双波防护栏，板厚4mm，离地高度0.7m，含立柱、基础及预埋件等，需满足业主要求；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9、挡车器采用镀锌管Φ65mm，长2.6m，高0.15m，厚度2mm，刷黄色漆黑膜；减速垄，采用橡胶减速垄，具体规格需满足业主要求；停车位划热熔线，150mm宽实线，含箭头；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10、清除停车场绿化、树木、竹林等，含清理及外运，运距投标人自行考虑；通道东侧绿化部位需外购种植土，铺种草皮，三级养护两年；通道处大树需移栽，移栽至业主指定位置，保证成活，三级养护两年，挖除老死树（周长约2米）及清理外运；</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12、大型机械设备进出场及安拆等费用投标人自行考虑报价。</w:t>
      </w:r>
    </w:p>
    <w:p>
      <w:pPr>
        <w:keepNext w:val="0"/>
        <w:keepLines w:val="0"/>
        <w:pageBreakBefore w:val="0"/>
        <w:widowControl w:val="0"/>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cstheme="minorEastAsia"/>
          <w:b/>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bCs w:val="0"/>
          <w:color w:val="000000" w:themeColor="text1"/>
          <w:sz w:val="21"/>
          <w:szCs w:val="21"/>
          <w:shd w:val="clear" w:color="auto" w:fill="auto"/>
          <w:lang w:val="en-US" w:eastAsia="zh-CN"/>
          <w14:textFill>
            <w14:solidFill>
              <w14:schemeClr w14:val="tx1"/>
            </w14:solidFill>
          </w14:textFill>
        </w:rPr>
        <w:t>（二）、安装</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1、根据甲方要求，停车场预埋充电桩管道De160 PVC管32米；</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2、围墙上监控系统新安装摄像头4个，具体做法需满足业主要求，投标人自行踏勘现场，综合报价；显示器由招标人提供；</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3、围墙上路灯规格样式、灯杆及基础做法需满足业主要求，投标人自行踏勘现场，综合报价。围墙灯配管配线均已计入；</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rFonts w:hint="default"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cstheme="minorEastAsia"/>
          <w:b w:val="0"/>
          <w:bCs/>
          <w:color w:val="000000" w:themeColor="text1"/>
          <w:sz w:val="21"/>
          <w:szCs w:val="21"/>
          <w:shd w:val="clear" w:color="auto" w:fill="auto"/>
          <w:lang w:val="en-US" w:eastAsia="zh-CN"/>
          <w14:textFill>
            <w14:solidFill>
              <w14:schemeClr w14:val="tx1"/>
            </w14:solidFill>
          </w14:textFill>
        </w:rPr>
        <w:t>4、道闸系统设备参数及做法需满足业主要求投标人自行踏勘现场考虑，综合报价；道闸机由招标人提供。</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left"/>
        <w:textAlignment w:val="auto"/>
        <w:rPr>
          <w:rFonts w:asciiTheme="minorEastAsia" w:hAnsiTheme="minorEastAsia" w:cstheme="minorEastAsia"/>
          <w:b/>
          <w:sz w:val="24"/>
        </w:rPr>
      </w:pPr>
      <w:r>
        <w:rPr>
          <w:rFonts w:hint="eastAsia" w:asciiTheme="minorEastAsia" w:hAnsiTheme="minorEastAsia" w:cstheme="minorEastAsia"/>
          <w:b/>
          <w:sz w:val="24"/>
        </w:rPr>
        <w:t>五、其他需要说明事项：</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sz w:val="21"/>
          <w:szCs w:val="21"/>
        </w:rPr>
      </w:pPr>
      <w:r>
        <w:rPr>
          <w:rFonts w:hint="eastAsia" w:ascii="宋体" w:hAnsi="宋体"/>
          <w:sz w:val="21"/>
          <w:szCs w:val="21"/>
        </w:rPr>
        <w:t>1、投标人需认真勘察现场，充分了解其施工环境，工地位置，周边环境及任何其他足以影响承包价及工期的因素，招标人对于现有的施工环境及条件将不增加任何投入，请投标人自行考虑并计入投标报价内；</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sz w:val="21"/>
          <w:szCs w:val="21"/>
        </w:rPr>
      </w:pPr>
      <w:r>
        <w:rPr>
          <w:rFonts w:hint="eastAsia" w:ascii="宋体" w:hAnsi="宋体"/>
          <w:sz w:val="21"/>
          <w:szCs w:val="21"/>
        </w:rPr>
        <w:t>2、本工程工程量仅作为投标人投标报价的基础，不能作为最终结算的唯一依据，工程量的变化调整以发包人与承包人签订的合同约定为准；</w:t>
      </w:r>
    </w:p>
    <w:p>
      <w:pPr>
        <w:pStyle w:val="8"/>
        <w:keepNext w:val="0"/>
        <w:keepLines w:val="0"/>
        <w:pageBreakBefore w:val="0"/>
        <w:kinsoku/>
        <w:wordWrap/>
        <w:overflowPunct/>
        <w:topLinePunct w:val="0"/>
        <w:autoSpaceDE/>
        <w:autoSpaceDN/>
        <w:bidi w:val="0"/>
        <w:adjustRightInd/>
        <w:snapToGrid/>
        <w:spacing w:line="480" w:lineRule="exact"/>
        <w:ind w:firstLine="480"/>
        <w:textAlignment w:val="auto"/>
        <w:rPr>
          <w:rFonts w:hint="eastAsia" w:ascii="宋体" w:hAnsi="宋体"/>
          <w:sz w:val="21"/>
          <w:szCs w:val="21"/>
        </w:rPr>
      </w:pPr>
      <w:r>
        <w:rPr>
          <w:rFonts w:hint="eastAsia" w:ascii="宋体" w:hAnsi="宋体"/>
          <w:sz w:val="21"/>
          <w:szCs w:val="21"/>
        </w:rPr>
        <w:t>3、工程量清单项目特征及具体做法只作重点描述，清单特征中未详细描述的，投标人需查阅设计图纸、招标文件、设计答疑及其他相关资料进行报价。投标人报价应结合工程量清单、招标文件、现场情况及相关资料查阅与理解，做出自身合理报价。施工过程中不得以清单未描述和描述不详细，要求增加任何费用；</w:t>
      </w:r>
    </w:p>
    <w:p>
      <w:pPr>
        <w:pStyle w:val="8"/>
        <w:keepNext w:val="0"/>
        <w:keepLines w:val="0"/>
        <w:pageBreakBefore w:val="0"/>
        <w:kinsoku/>
        <w:wordWrap/>
        <w:overflowPunct/>
        <w:topLinePunct w:val="0"/>
        <w:autoSpaceDE/>
        <w:autoSpaceDN/>
        <w:bidi w:val="0"/>
        <w:adjustRightInd/>
        <w:snapToGrid/>
        <w:spacing w:line="480" w:lineRule="exact"/>
        <w:ind w:firstLine="480"/>
        <w:textAlignment w:val="auto"/>
        <w:rPr>
          <w:rFonts w:hint="eastAsia" w:ascii="宋体" w:hAnsi="宋体"/>
          <w:sz w:val="21"/>
          <w:szCs w:val="21"/>
        </w:rPr>
      </w:pPr>
      <w:r>
        <w:rPr>
          <w:rFonts w:hint="eastAsia" w:ascii="宋体" w:hAnsi="宋体"/>
          <w:sz w:val="21"/>
          <w:szCs w:val="21"/>
        </w:rPr>
        <w:t>4、清单中</w:t>
      </w:r>
      <w:r>
        <w:rPr>
          <w:rFonts w:ascii="宋体" w:hAnsi="宋体"/>
          <w:sz w:val="21"/>
          <w:szCs w:val="21"/>
        </w:rPr>
        <w:t>所列的措施项目，投标人可根据工程实际与施工组织设计进行增补</w:t>
      </w:r>
      <w:r>
        <w:rPr>
          <w:rFonts w:hint="eastAsia" w:ascii="宋体" w:hAnsi="宋体"/>
          <w:sz w:val="21"/>
          <w:szCs w:val="21"/>
        </w:rPr>
        <w:t>并报价，不得更改招标人已列措施项目</w:t>
      </w:r>
      <w:r>
        <w:rPr>
          <w:rFonts w:ascii="宋体" w:hAnsi="宋体"/>
          <w:sz w:val="21"/>
          <w:szCs w:val="21"/>
        </w:rPr>
        <w:t>。结算时，除工程变更引起施工方案改变外，</w:t>
      </w:r>
      <w:r>
        <w:rPr>
          <w:rFonts w:hint="eastAsia" w:ascii="宋体" w:hAnsi="宋体"/>
          <w:sz w:val="21"/>
          <w:szCs w:val="21"/>
        </w:rPr>
        <w:t>投标人</w:t>
      </w:r>
      <w:r>
        <w:rPr>
          <w:rFonts w:ascii="宋体" w:hAnsi="宋体"/>
          <w:sz w:val="21"/>
          <w:szCs w:val="21"/>
        </w:rPr>
        <w:t>不得以招标工程措施项目清单缺项为由要求新增措施项目</w:t>
      </w:r>
      <w:r>
        <w:rPr>
          <w:rFonts w:hint="eastAsia" w:ascii="宋体" w:hAnsi="宋体"/>
          <w:sz w:val="21"/>
          <w:szCs w:val="21"/>
        </w:rPr>
        <w:t>；</w:t>
      </w:r>
    </w:p>
    <w:p>
      <w:pPr>
        <w:pStyle w:val="8"/>
        <w:keepNext w:val="0"/>
        <w:keepLines w:val="0"/>
        <w:pageBreakBefore w:val="0"/>
        <w:kinsoku/>
        <w:wordWrap/>
        <w:overflowPunct/>
        <w:topLinePunct w:val="0"/>
        <w:autoSpaceDE/>
        <w:autoSpaceDN/>
        <w:bidi w:val="0"/>
        <w:adjustRightInd/>
        <w:snapToGrid/>
        <w:spacing w:line="480" w:lineRule="exact"/>
        <w:ind w:firstLine="480"/>
        <w:textAlignment w:val="auto"/>
        <w:rPr>
          <w:rFonts w:hint="eastAsia" w:ascii="宋体" w:hAnsi="宋体"/>
          <w:sz w:val="21"/>
          <w:szCs w:val="21"/>
        </w:rPr>
      </w:pPr>
      <w:r>
        <w:rPr>
          <w:rFonts w:hint="eastAsia" w:ascii="宋体" w:hAnsi="宋体"/>
          <w:sz w:val="21"/>
          <w:szCs w:val="21"/>
        </w:rPr>
        <w:t>5、建筑垃圾清运、处理按相关环保规定进行处理，相关费用投标人在投标报价中自行考虑；</w:t>
      </w:r>
    </w:p>
    <w:p>
      <w:pPr>
        <w:pStyle w:val="8"/>
        <w:keepNext w:val="0"/>
        <w:keepLines w:val="0"/>
        <w:pageBreakBefore w:val="0"/>
        <w:kinsoku/>
        <w:wordWrap/>
        <w:overflowPunct/>
        <w:topLinePunct w:val="0"/>
        <w:autoSpaceDE/>
        <w:autoSpaceDN/>
        <w:bidi w:val="0"/>
        <w:adjustRightInd/>
        <w:snapToGrid/>
        <w:spacing w:line="480" w:lineRule="exact"/>
        <w:ind w:firstLine="480"/>
        <w:textAlignment w:val="auto"/>
        <w:rPr>
          <w:rFonts w:hint="default" w:ascii="宋体" w:hAnsi="宋体" w:eastAsiaTheme="minorEastAsia"/>
          <w:sz w:val="21"/>
          <w:szCs w:val="21"/>
          <w:lang w:val="en-US" w:eastAsia="zh-CN"/>
        </w:rPr>
      </w:pPr>
      <w:r>
        <w:rPr>
          <w:rFonts w:hint="eastAsia" w:ascii="宋体" w:hAnsi="宋体"/>
          <w:sz w:val="21"/>
          <w:szCs w:val="21"/>
          <w:lang w:val="en-US" w:eastAsia="zh-CN"/>
        </w:rPr>
        <w:t>6、</w:t>
      </w:r>
      <w:r>
        <w:rPr>
          <w:rFonts w:hint="eastAsia" w:ascii="宋体" w:hAnsi="宋体"/>
          <w:sz w:val="21"/>
          <w:szCs w:val="21"/>
        </w:rPr>
        <w:t>本工程采用预拌砂浆及商品混凝土；</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default" w:ascii="宋体" w:hAnsi="宋体" w:eastAsiaTheme="minorEastAsia"/>
          <w:sz w:val="24"/>
          <w:szCs w:val="24"/>
          <w:lang w:val="en-US" w:eastAsia="zh-CN"/>
        </w:rPr>
      </w:pPr>
      <w:r>
        <w:rPr>
          <w:rFonts w:hint="eastAsia" w:ascii="宋体" w:hAnsi="宋体"/>
          <w:sz w:val="21"/>
          <w:szCs w:val="21"/>
          <w:lang w:val="en-US" w:eastAsia="zh-CN"/>
        </w:rPr>
        <w:t>7</w:t>
      </w:r>
      <w:r>
        <w:rPr>
          <w:rFonts w:hint="eastAsia" w:ascii="宋体" w:hAnsi="宋体"/>
          <w:sz w:val="21"/>
          <w:szCs w:val="21"/>
        </w:rPr>
        <w:t>、其他未尽事宜参照现场实际情况、招标文件、工程量清单以及建设单位要求。</w:t>
      </w:r>
    </w:p>
    <w:p>
      <w:pPr>
        <w:pStyle w:val="11"/>
        <w:spacing w:line="360" w:lineRule="auto"/>
        <w:ind w:firstLine="0" w:firstLineChars="0"/>
        <w:outlineLvl w:val="0"/>
        <w:rPr>
          <w:rFonts w:hint="eastAsia" w:ascii="宋体" w:hAnsi="宋体"/>
          <w:b/>
          <w:bCs/>
          <w:sz w:val="24"/>
          <w:szCs w:val="24"/>
        </w:rPr>
      </w:pPr>
      <w:r>
        <w:rPr>
          <w:rFonts w:hint="eastAsia" w:ascii="宋体" w:hAnsi="宋体"/>
          <w:b/>
          <w:bCs/>
          <w:sz w:val="24"/>
          <w:szCs w:val="24"/>
          <w:lang w:val="en-US" w:eastAsia="zh-CN"/>
        </w:rPr>
        <w:t>六</w:t>
      </w:r>
      <w:r>
        <w:rPr>
          <w:rFonts w:hint="eastAsia" w:ascii="宋体" w:hAnsi="宋体"/>
          <w:b/>
          <w:bCs/>
          <w:sz w:val="24"/>
          <w:szCs w:val="24"/>
        </w:rPr>
        <w:t>、本工程不可竞争费用项目及其费率见下表</w:t>
      </w:r>
    </w:p>
    <w:tbl>
      <w:tblPr>
        <w:tblStyle w:val="4"/>
        <w:tblW w:w="8259" w:type="dxa"/>
        <w:jc w:val="center"/>
        <w:tblLayout w:type="fixed"/>
        <w:tblCellMar>
          <w:top w:w="0" w:type="dxa"/>
          <w:left w:w="108" w:type="dxa"/>
          <w:bottom w:w="0" w:type="dxa"/>
          <w:right w:w="108" w:type="dxa"/>
        </w:tblCellMar>
      </w:tblPr>
      <w:tblGrid>
        <w:gridCol w:w="4151"/>
        <w:gridCol w:w="1408"/>
        <w:gridCol w:w="1350"/>
        <w:gridCol w:w="1350"/>
      </w:tblGrid>
      <w:tr>
        <w:tblPrEx>
          <w:tblCellMar>
            <w:top w:w="0" w:type="dxa"/>
            <w:left w:w="108" w:type="dxa"/>
            <w:bottom w:w="0" w:type="dxa"/>
            <w:right w:w="108" w:type="dxa"/>
          </w:tblCellMar>
        </w:tblPrEx>
        <w:trPr>
          <w:trHeight w:val="567" w:hRule="atLeast"/>
          <w:jc w:val="center"/>
        </w:trPr>
        <w:tc>
          <w:tcPr>
            <w:tcW w:w="41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w:t>
            </w:r>
          </w:p>
        </w:tc>
        <w:tc>
          <w:tcPr>
            <w:tcW w:w="1408"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市政</w:t>
            </w:r>
          </w:p>
        </w:tc>
        <w:tc>
          <w:tcPr>
            <w:tcW w:w="1350"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绿化</w:t>
            </w:r>
          </w:p>
        </w:tc>
        <w:tc>
          <w:tcPr>
            <w:tcW w:w="1350"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安装</w:t>
            </w:r>
          </w:p>
        </w:tc>
      </w:tr>
      <w:tr>
        <w:tblPrEx>
          <w:tblCellMar>
            <w:top w:w="0" w:type="dxa"/>
            <w:left w:w="108" w:type="dxa"/>
            <w:bottom w:w="0" w:type="dxa"/>
            <w:right w:w="108" w:type="dxa"/>
          </w:tblCellMar>
        </w:tblPrEx>
        <w:trPr>
          <w:trHeight w:val="567" w:hRule="atLeast"/>
          <w:jc w:val="center"/>
        </w:trPr>
        <w:tc>
          <w:tcPr>
            <w:tcW w:w="4151"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现场安全文明施工费（基本费）</w:t>
            </w:r>
          </w:p>
        </w:tc>
        <w:tc>
          <w:tcPr>
            <w:tcW w:w="1408"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1.5</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FF0000"/>
                <w:kern w:val="0"/>
                <w:sz w:val="21"/>
                <w:szCs w:val="21"/>
                <w:lang w:val="en-US" w:eastAsia="zh-CN"/>
              </w:rPr>
            </w:pPr>
            <w:r>
              <w:rPr>
                <w:rFonts w:hint="eastAsia" w:ascii="宋体" w:hAnsi="宋体" w:eastAsia="宋体" w:cs="宋体"/>
                <w:color w:val="000000"/>
                <w:kern w:val="0"/>
                <w:sz w:val="21"/>
                <w:szCs w:val="21"/>
                <w:lang w:val="en-US" w:eastAsia="zh-CN"/>
              </w:rPr>
              <w:t>1.0</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bidi="ar-SA"/>
              </w:rPr>
            </w:pPr>
            <w:r>
              <w:rPr>
                <w:rFonts w:hint="eastAsia" w:ascii="宋体" w:hAnsi="宋体" w:eastAsia="宋体" w:cs="宋体"/>
                <w:color w:val="000000"/>
                <w:kern w:val="0"/>
                <w:sz w:val="21"/>
                <w:szCs w:val="21"/>
                <w:lang w:val="en-US" w:eastAsia="zh-CN"/>
              </w:rPr>
              <w:t>1.5</w:t>
            </w:r>
            <w:r>
              <w:rPr>
                <w:rFonts w:hint="eastAsia" w:ascii="宋体" w:hAnsi="宋体" w:eastAsia="宋体" w:cs="宋体"/>
                <w:color w:val="000000"/>
                <w:kern w:val="0"/>
                <w:sz w:val="21"/>
                <w:szCs w:val="21"/>
              </w:rPr>
              <w:t>%</w:t>
            </w:r>
          </w:p>
        </w:tc>
      </w:tr>
      <w:tr>
        <w:tblPrEx>
          <w:tblCellMar>
            <w:top w:w="0" w:type="dxa"/>
            <w:left w:w="108" w:type="dxa"/>
            <w:bottom w:w="0" w:type="dxa"/>
            <w:right w:w="108" w:type="dxa"/>
          </w:tblCellMar>
        </w:tblPrEx>
        <w:trPr>
          <w:trHeight w:val="567" w:hRule="atLeast"/>
          <w:jc w:val="center"/>
        </w:trPr>
        <w:tc>
          <w:tcPr>
            <w:tcW w:w="4151"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扬尘污染防治增加费</w:t>
            </w:r>
          </w:p>
        </w:tc>
        <w:tc>
          <w:tcPr>
            <w:tcW w:w="1408"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0.3</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0.</w:t>
            </w:r>
            <w:r>
              <w:rPr>
                <w:rFonts w:hint="eastAsia" w:ascii="宋体" w:hAnsi="宋体" w:eastAsia="宋体" w:cs="宋体"/>
                <w:color w:val="000000"/>
                <w:kern w:val="0"/>
                <w:sz w:val="21"/>
                <w:szCs w:val="21"/>
                <w:lang w:val="en-US" w:eastAsia="zh-CN"/>
              </w:rPr>
              <w:t>21</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bidi="ar-SA"/>
              </w:rPr>
            </w:pPr>
            <w:r>
              <w:rPr>
                <w:rFonts w:hint="eastAsia" w:ascii="宋体" w:hAnsi="宋体" w:eastAsia="宋体" w:cs="宋体"/>
                <w:color w:val="000000"/>
                <w:kern w:val="0"/>
                <w:sz w:val="21"/>
                <w:szCs w:val="21"/>
              </w:rPr>
              <w:t>0.</w:t>
            </w:r>
            <w:r>
              <w:rPr>
                <w:rFonts w:hint="eastAsia" w:ascii="宋体" w:hAnsi="宋体" w:eastAsia="宋体" w:cs="宋体"/>
                <w:color w:val="000000"/>
                <w:kern w:val="0"/>
                <w:sz w:val="21"/>
                <w:szCs w:val="21"/>
                <w:lang w:val="en-US" w:eastAsia="zh-CN"/>
              </w:rPr>
              <w:t>21</w:t>
            </w:r>
            <w:r>
              <w:rPr>
                <w:rFonts w:hint="eastAsia" w:ascii="宋体" w:hAnsi="宋体" w:eastAsia="宋体" w:cs="宋体"/>
                <w:color w:val="000000"/>
                <w:kern w:val="0"/>
                <w:sz w:val="21"/>
                <w:szCs w:val="21"/>
              </w:rPr>
              <w:t>%</w:t>
            </w:r>
          </w:p>
        </w:tc>
      </w:tr>
      <w:tr>
        <w:tblPrEx>
          <w:tblCellMar>
            <w:top w:w="0" w:type="dxa"/>
            <w:left w:w="108" w:type="dxa"/>
            <w:bottom w:w="0" w:type="dxa"/>
            <w:right w:w="108" w:type="dxa"/>
          </w:tblCellMar>
        </w:tblPrEx>
        <w:trPr>
          <w:trHeight w:val="567" w:hRule="atLeast"/>
          <w:jc w:val="center"/>
        </w:trPr>
        <w:tc>
          <w:tcPr>
            <w:tcW w:w="4151"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新冠疫情常态化防控费用</w:t>
            </w:r>
          </w:p>
        </w:tc>
        <w:tc>
          <w:tcPr>
            <w:tcW w:w="1408"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0.1</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0.1</w:t>
            </w:r>
            <w:r>
              <w:rPr>
                <w:rFonts w:hint="eastAsia" w:ascii="宋体" w:hAnsi="宋体" w:eastAsia="宋体" w:cs="宋体"/>
                <w:color w:val="000000"/>
                <w:kern w:val="0"/>
                <w:sz w:val="21"/>
                <w:szCs w:val="21"/>
              </w:rPr>
              <w:t>%</w:t>
            </w:r>
          </w:p>
        </w:tc>
      </w:tr>
      <w:tr>
        <w:tblPrEx>
          <w:tblCellMar>
            <w:top w:w="0" w:type="dxa"/>
            <w:left w:w="108" w:type="dxa"/>
            <w:bottom w:w="0" w:type="dxa"/>
            <w:right w:w="108" w:type="dxa"/>
          </w:tblCellMar>
        </w:tblPrEx>
        <w:trPr>
          <w:trHeight w:val="567" w:hRule="atLeast"/>
          <w:jc w:val="center"/>
        </w:trPr>
        <w:tc>
          <w:tcPr>
            <w:tcW w:w="41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社会保险费</w:t>
            </w:r>
          </w:p>
        </w:tc>
        <w:tc>
          <w:tcPr>
            <w:tcW w:w="1408"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2.0</w:t>
            </w:r>
            <w:r>
              <w:rPr>
                <w:rFonts w:hint="eastAsia" w:ascii="宋体" w:hAnsi="宋体" w:eastAsia="宋体" w:cs="宋体"/>
                <w:color w:val="000000"/>
                <w:kern w:val="0"/>
                <w:sz w:val="21"/>
                <w:szCs w:val="21"/>
              </w:rPr>
              <w:t>%</w:t>
            </w:r>
          </w:p>
        </w:tc>
        <w:tc>
          <w:tcPr>
            <w:tcW w:w="1350"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rPr>
            </w:pPr>
            <w:r>
              <w:rPr>
                <w:rFonts w:hint="eastAsia" w:ascii="宋体" w:hAnsi="宋体" w:eastAsia="宋体" w:cs="宋体"/>
                <w:color w:val="000000"/>
                <w:kern w:val="0"/>
                <w:sz w:val="21"/>
                <w:szCs w:val="21"/>
                <w:lang w:val="en-US" w:eastAsia="zh-CN"/>
              </w:rPr>
              <w:t>3.3</w:t>
            </w:r>
            <w:r>
              <w:rPr>
                <w:rFonts w:hint="eastAsia" w:ascii="宋体" w:hAnsi="宋体" w:eastAsia="宋体" w:cs="宋体"/>
                <w:color w:val="000000"/>
                <w:kern w:val="0"/>
                <w:sz w:val="21"/>
                <w:szCs w:val="21"/>
              </w:rPr>
              <w:t>%</w:t>
            </w:r>
          </w:p>
        </w:tc>
        <w:tc>
          <w:tcPr>
            <w:tcW w:w="1350"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bidi="ar-SA"/>
              </w:rPr>
            </w:pPr>
            <w:r>
              <w:rPr>
                <w:rFonts w:hint="eastAsia" w:ascii="宋体" w:hAnsi="宋体" w:eastAsia="宋体" w:cs="宋体"/>
                <w:color w:val="000000"/>
                <w:kern w:val="0"/>
                <w:sz w:val="21"/>
                <w:szCs w:val="21"/>
                <w:lang w:val="en-US" w:eastAsia="zh-CN"/>
              </w:rPr>
              <w:t>2.4</w:t>
            </w:r>
            <w:r>
              <w:rPr>
                <w:rFonts w:hint="eastAsia" w:ascii="宋体" w:hAnsi="宋体" w:eastAsia="宋体" w:cs="宋体"/>
                <w:color w:val="000000"/>
                <w:kern w:val="0"/>
                <w:sz w:val="21"/>
                <w:szCs w:val="21"/>
              </w:rPr>
              <w:t>%</w:t>
            </w:r>
          </w:p>
        </w:tc>
      </w:tr>
      <w:tr>
        <w:tblPrEx>
          <w:tblCellMar>
            <w:top w:w="0" w:type="dxa"/>
            <w:left w:w="108" w:type="dxa"/>
            <w:bottom w:w="0" w:type="dxa"/>
            <w:right w:w="108" w:type="dxa"/>
          </w:tblCellMar>
        </w:tblPrEx>
        <w:trPr>
          <w:trHeight w:val="567" w:hRule="atLeast"/>
          <w:jc w:val="center"/>
        </w:trPr>
        <w:tc>
          <w:tcPr>
            <w:tcW w:w="4151"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住房公积金</w:t>
            </w:r>
          </w:p>
        </w:tc>
        <w:tc>
          <w:tcPr>
            <w:tcW w:w="1408"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r>
              <w:rPr>
                <w:rFonts w:hint="eastAsia" w:ascii="宋体" w:hAnsi="宋体" w:eastAsia="宋体" w:cs="宋体"/>
                <w:color w:val="000000"/>
                <w:kern w:val="0"/>
                <w:sz w:val="21"/>
                <w:szCs w:val="21"/>
                <w:lang w:val="en-US" w:eastAsia="zh-CN"/>
              </w:rPr>
              <w:t>34</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0.</w:t>
            </w:r>
            <w:r>
              <w:rPr>
                <w:rFonts w:hint="eastAsia" w:ascii="宋体" w:hAnsi="宋体" w:eastAsia="宋体" w:cs="宋体"/>
                <w:color w:val="000000"/>
                <w:kern w:val="0"/>
                <w:sz w:val="21"/>
                <w:szCs w:val="21"/>
                <w:lang w:val="en-US" w:eastAsia="zh-CN"/>
              </w:rPr>
              <w:t>55</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bidi="ar-SA"/>
              </w:rPr>
            </w:pPr>
            <w:r>
              <w:rPr>
                <w:rFonts w:hint="eastAsia" w:ascii="宋体" w:hAnsi="宋体" w:eastAsia="宋体" w:cs="宋体"/>
                <w:color w:val="000000"/>
                <w:kern w:val="0"/>
                <w:sz w:val="21"/>
                <w:szCs w:val="21"/>
              </w:rPr>
              <w:t>0.</w:t>
            </w:r>
            <w:r>
              <w:rPr>
                <w:rFonts w:hint="eastAsia" w:ascii="宋体" w:hAnsi="宋体" w:eastAsia="宋体" w:cs="宋体"/>
                <w:color w:val="000000"/>
                <w:kern w:val="0"/>
                <w:sz w:val="21"/>
                <w:szCs w:val="21"/>
                <w:lang w:val="en-US" w:eastAsia="zh-CN"/>
              </w:rPr>
              <w:t>42</w:t>
            </w:r>
            <w:r>
              <w:rPr>
                <w:rFonts w:hint="eastAsia" w:ascii="宋体" w:hAnsi="宋体" w:eastAsia="宋体" w:cs="宋体"/>
                <w:color w:val="000000"/>
                <w:kern w:val="0"/>
                <w:sz w:val="21"/>
                <w:szCs w:val="21"/>
              </w:rPr>
              <w:t>%</w:t>
            </w:r>
          </w:p>
        </w:tc>
      </w:tr>
      <w:tr>
        <w:tblPrEx>
          <w:tblCellMar>
            <w:top w:w="0" w:type="dxa"/>
            <w:left w:w="108" w:type="dxa"/>
            <w:bottom w:w="0" w:type="dxa"/>
            <w:right w:w="108" w:type="dxa"/>
          </w:tblCellMar>
        </w:tblPrEx>
        <w:trPr>
          <w:trHeight w:val="567" w:hRule="atLeast"/>
          <w:jc w:val="center"/>
        </w:trPr>
        <w:tc>
          <w:tcPr>
            <w:tcW w:w="4151"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环境保护税</w:t>
            </w:r>
          </w:p>
        </w:tc>
        <w:tc>
          <w:tcPr>
            <w:tcW w:w="140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FF0000"/>
                <w:kern w:val="0"/>
                <w:sz w:val="21"/>
                <w:szCs w:val="21"/>
                <w:lang w:val="en-US" w:eastAsia="zh-CN" w:bidi="ar-SA"/>
              </w:rPr>
            </w:pPr>
            <w:r>
              <w:rPr>
                <w:rFonts w:hint="eastAsia" w:ascii="宋体" w:hAnsi="宋体" w:eastAsia="宋体" w:cs="宋体"/>
                <w:color w:val="000000"/>
                <w:kern w:val="0"/>
                <w:sz w:val="21"/>
                <w:szCs w:val="21"/>
              </w:rPr>
              <w:t>/</w:t>
            </w:r>
          </w:p>
        </w:tc>
      </w:tr>
      <w:tr>
        <w:tblPrEx>
          <w:tblCellMar>
            <w:top w:w="0" w:type="dxa"/>
            <w:left w:w="108" w:type="dxa"/>
            <w:bottom w:w="0" w:type="dxa"/>
            <w:right w:w="108" w:type="dxa"/>
          </w:tblCellMar>
        </w:tblPrEx>
        <w:trPr>
          <w:trHeight w:val="567" w:hRule="atLeast"/>
          <w:jc w:val="center"/>
        </w:trPr>
        <w:tc>
          <w:tcPr>
            <w:tcW w:w="4151"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税金</w:t>
            </w:r>
          </w:p>
        </w:tc>
        <w:tc>
          <w:tcPr>
            <w:tcW w:w="1408"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w:t>
            </w:r>
          </w:p>
        </w:tc>
        <w:tc>
          <w:tcPr>
            <w:tcW w:w="13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FF0000"/>
                <w:kern w:val="0"/>
                <w:sz w:val="21"/>
                <w:szCs w:val="21"/>
                <w:lang w:val="en-US" w:eastAsia="zh-CN" w:bidi="ar-SA"/>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w:t>
            </w:r>
          </w:p>
        </w:tc>
      </w:tr>
    </w:tbl>
    <w:p>
      <w:pPr>
        <w:spacing w:line="360" w:lineRule="auto"/>
        <w:ind w:firstLine="480" w:firstLineChars="200"/>
        <w:rPr>
          <w:rFonts w:ascii="宋体" w:hAnsi="宋体"/>
          <w:sz w:val="24"/>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asciiTheme="minorEastAsia" w:hAnsiTheme="minorEastAsia" w:cstheme="minorEastAsia"/>
          <w:sz w:val="24"/>
        </w:rPr>
      </w:pPr>
      <w:r>
        <w:rPr>
          <w:rFonts w:hint="eastAsia" w:asciiTheme="minorEastAsia" w:hAnsiTheme="minorEastAsia" w:cstheme="minorEastAsia"/>
          <w:sz w:val="24"/>
        </w:rPr>
        <w:t xml:space="preserve"> </w:t>
      </w:r>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0NjRjMjI2MzM5ODQ3NjJlYTFhOWJkYmE5ZWQ2MmEifQ=="/>
  </w:docVars>
  <w:rsids>
    <w:rsidRoot w:val="1FF65C16"/>
    <w:rsid w:val="00051B54"/>
    <w:rsid w:val="00075895"/>
    <w:rsid w:val="00096E97"/>
    <w:rsid w:val="001131B7"/>
    <w:rsid w:val="001202D7"/>
    <w:rsid w:val="0012568C"/>
    <w:rsid w:val="002019F7"/>
    <w:rsid w:val="00203BF3"/>
    <w:rsid w:val="0023399C"/>
    <w:rsid w:val="0025619C"/>
    <w:rsid w:val="002A2241"/>
    <w:rsid w:val="00345CAC"/>
    <w:rsid w:val="00374AC5"/>
    <w:rsid w:val="003A583F"/>
    <w:rsid w:val="003B205F"/>
    <w:rsid w:val="003F07D0"/>
    <w:rsid w:val="0040146D"/>
    <w:rsid w:val="004078FE"/>
    <w:rsid w:val="00470E4D"/>
    <w:rsid w:val="00505E46"/>
    <w:rsid w:val="005264C9"/>
    <w:rsid w:val="005E0D69"/>
    <w:rsid w:val="00705AE7"/>
    <w:rsid w:val="00736B98"/>
    <w:rsid w:val="00756770"/>
    <w:rsid w:val="00766235"/>
    <w:rsid w:val="00767C02"/>
    <w:rsid w:val="00774B7D"/>
    <w:rsid w:val="007F5FC8"/>
    <w:rsid w:val="008162A6"/>
    <w:rsid w:val="008450F6"/>
    <w:rsid w:val="008648CD"/>
    <w:rsid w:val="009447B1"/>
    <w:rsid w:val="00965E6C"/>
    <w:rsid w:val="00A0100E"/>
    <w:rsid w:val="00A13961"/>
    <w:rsid w:val="00A70F3F"/>
    <w:rsid w:val="00AE74F5"/>
    <w:rsid w:val="00B66F91"/>
    <w:rsid w:val="00B8507C"/>
    <w:rsid w:val="00BC5AA3"/>
    <w:rsid w:val="00C2268F"/>
    <w:rsid w:val="00C70CE8"/>
    <w:rsid w:val="00C73B6E"/>
    <w:rsid w:val="00E277ED"/>
    <w:rsid w:val="00E315EA"/>
    <w:rsid w:val="00E4493A"/>
    <w:rsid w:val="00E72B65"/>
    <w:rsid w:val="00EE06A9"/>
    <w:rsid w:val="00F047CD"/>
    <w:rsid w:val="00F42D60"/>
    <w:rsid w:val="00F45258"/>
    <w:rsid w:val="00F66F0E"/>
    <w:rsid w:val="00F9460B"/>
    <w:rsid w:val="01916501"/>
    <w:rsid w:val="01F9096B"/>
    <w:rsid w:val="02566043"/>
    <w:rsid w:val="02615055"/>
    <w:rsid w:val="02AD1871"/>
    <w:rsid w:val="02DC5CB3"/>
    <w:rsid w:val="031F0596"/>
    <w:rsid w:val="03A16A61"/>
    <w:rsid w:val="03BA2DAC"/>
    <w:rsid w:val="03CC72ED"/>
    <w:rsid w:val="03E02A3C"/>
    <w:rsid w:val="040556DD"/>
    <w:rsid w:val="04583A5F"/>
    <w:rsid w:val="04663327"/>
    <w:rsid w:val="04833967"/>
    <w:rsid w:val="04A10F62"/>
    <w:rsid w:val="05512959"/>
    <w:rsid w:val="05663F59"/>
    <w:rsid w:val="056E303C"/>
    <w:rsid w:val="059D7E1B"/>
    <w:rsid w:val="05CD354B"/>
    <w:rsid w:val="05D71775"/>
    <w:rsid w:val="05FD4B41"/>
    <w:rsid w:val="062F2528"/>
    <w:rsid w:val="06705702"/>
    <w:rsid w:val="0687062B"/>
    <w:rsid w:val="06C92CC5"/>
    <w:rsid w:val="075A24DB"/>
    <w:rsid w:val="07A47FD8"/>
    <w:rsid w:val="07B436A2"/>
    <w:rsid w:val="07C66F31"/>
    <w:rsid w:val="080369E8"/>
    <w:rsid w:val="087B41C0"/>
    <w:rsid w:val="08BF1DB8"/>
    <w:rsid w:val="09210411"/>
    <w:rsid w:val="09364775"/>
    <w:rsid w:val="096908E9"/>
    <w:rsid w:val="0A0217E5"/>
    <w:rsid w:val="0A641FD2"/>
    <w:rsid w:val="0AAC240E"/>
    <w:rsid w:val="0ADC21F6"/>
    <w:rsid w:val="0B1D1CF6"/>
    <w:rsid w:val="0B65665C"/>
    <w:rsid w:val="0B754EF6"/>
    <w:rsid w:val="0BCC35FC"/>
    <w:rsid w:val="0BEA5CE5"/>
    <w:rsid w:val="0C16179B"/>
    <w:rsid w:val="0C9F66CF"/>
    <w:rsid w:val="0CE642FD"/>
    <w:rsid w:val="0D1A3FA7"/>
    <w:rsid w:val="0D4409F6"/>
    <w:rsid w:val="0D847FE3"/>
    <w:rsid w:val="0DD44DC9"/>
    <w:rsid w:val="0DFE28A8"/>
    <w:rsid w:val="0E97148D"/>
    <w:rsid w:val="0EAF5D60"/>
    <w:rsid w:val="0EED1F3B"/>
    <w:rsid w:val="0F117C86"/>
    <w:rsid w:val="0F213A77"/>
    <w:rsid w:val="0F22392E"/>
    <w:rsid w:val="0F3F526A"/>
    <w:rsid w:val="0F8D6365"/>
    <w:rsid w:val="0F8E0D2D"/>
    <w:rsid w:val="0FB627BA"/>
    <w:rsid w:val="0FDF745A"/>
    <w:rsid w:val="10165C97"/>
    <w:rsid w:val="10256388"/>
    <w:rsid w:val="10394744"/>
    <w:rsid w:val="10E02E12"/>
    <w:rsid w:val="11113588"/>
    <w:rsid w:val="11A234ED"/>
    <w:rsid w:val="126D4B79"/>
    <w:rsid w:val="1274141C"/>
    <w:rsid w:val="12795FF5"/>
    <w:rsid w:val="12FA5253"/>
    <w:rsid w:val="136B1253"/>
    <w:rsid w:val="13D529D6"/>
    <w:rsid w:val="13F53078"/>
    <w:rsid w:val="13F92776"/>
    <w:rsid w:val="14023AAA"/>
    <w:rsid w:val="14107EB2"/>
    <w:rsid w:val="14302302"/>
    <w:rsid w:val="146A5814"/>
    <w:rsid w:val="147A17CF"/>
    <w:rsid w:val="147D74EC"/>
    <w:rsid w:val="14D5649A"/>
    <w:rsid w:val="14D57A75"/>
    <w:rsid w:val="14D85CA7"/>
    <w:rsid w:val="14D94857"/>
    <w:rsid w:val="14F03B81"/>
    <w:rsid w:val="14F96B98"/>
    <w:rsid w:val="15C947BC"/>
    <w:rsid w:val="162942C8"/>
    <w:rsid w:val="16BC4BB7"/>
    <w:rsid w:val="16DA1616"/>
    <w:rsid w:val="16EF5897"/>
    <w:rsid w:val="1759674F"/>
    <w:rsid w:val="176C2338"/>
    <w:rsid w:val="17D71404"/>
    <w:rsid w:val="181F54CD"/>
    <w:rsid w:val="18562261"/>
    <w:rsid w:val="192D0BBE"/>
    <w:rsid w:val="193D4D76"/>
    <w:rsid w:val="195F7967"/>
    <w:rsid w:val="19C808E7"/>
    <w:rsid w:val="1A227237"/>
    <w:rsid w:val="1A4875AB"/>
    <w:rsid w:val="1AE14356"/>
    <w:rsid w:val="1BA02115"/>
    <w:rsid w:val="1BA87191"/>
    <w:rsid w:val="1BC06997"/>
    <w:rsid w:val="1BC772A6"/>
    <w:rsid w:val="1C0E117B"/>
    <w:rsid w:val="1C2154F9"/>
    <w:rsid w:val="1C7B1F43"/>
    <w:rsid w:val="1CBC602E"/>
    <w:rsid w:val="1CDB74D5"/>
    <w:rsid w:val="1CFD4DF6"/>
    <w:rsid w:val="1D0205B4"/>
    <w:rsid w:val="1D0869AC"/>
    <w:rsid w:val="1D5206DD"/>
    <w:rsid w:val="1D5A03F0"/>
    <w:rsid w:val="1D6158E1"/>
    <w:rsid w:val="1E0758F3"/>
    <w:rsid w:val="1E510A46"/>
    <w:rsid w:val="1E847BDD"/>
    <w:rsid w:val="1EFE70B6"/>
    <w:rsid w:val="1F582580"/>
    <w:rsid w:val="1F8E612F"/>
    <w:rsid w:val="1F901346"/>
    <w:rsid w:val="1F9632F0"/>
    <w:rsid w:val="1FEE1786"/>
    <w:rsid w:val="1FF65C16"/>
    <w:rsid w:val="20135A1C"/>
    <w:rsid w:val="207F75A3"/>
    <w:rsid w:val="208F6E2D"/>
    <w:rsid w:val="20BA367F"/>
    <w:rsid w:val="21DA611C"/>
    <w:rsid w:val="21E17E94"/>
    <w:rsid w:val="21F4496F"/>
    <w:rsid w:val="22372AAE"/>
    <w:rsid w:val="227E137C"/>
    <w:rsid w:val="22CD6F6E"/>
    <w:rsid w:val="22DD3655"/>
    <w:rsid w:val="23072480"/>
    <w:rsid w:val="241A760C"/>
    <w:rsid w:val="247F40E1"/>
    <w:rsid w:val="25D87DD4"/>
    <w:rsid w:val="25D9690F"/>
    <w:rsid w:val="25E37696"/>
    <w:rsid w:val="25E4747B"/>
    <w:rsid w:val="26102BF7"/>
    <w:rsid w:val="2678016D"/>
    <w:rsid w:val="26795443"/>
    <w:rsid w:val="267D43C7"/>
    <w:rsid w:val="26A12C84"/>
    <w:rsid w:val="26E03714"/>
    <w:rsid w:val="274E1D47"/>
    <w:rsid w:val="27C01252"/>
    <w:rsid w:val="28666C14"/>
    <w:rsid w:val="289947F7"/>
    <w:rsid w:val="28A644E9"/>
    <w:rsid w:val="28AC5C87"/>
    <w:rsid w:val="28DD67FB"/>
    <w:rsid w:val="2984482A"/>
    <w:rsid w:val="29AF73CD"/>
    <w:rsid w:val="29C80553"/>
    <w:rsid w:val="29CC4423"/>
    <w:rsid w:val="29F17EE3"/>
    <w:rsid w:val="2A2B2EF8"/>
    <w:rsid w:val="2A5162BC"/>
    <w:rsid w:val="2A6649FE"/>
    <w:rsid w:val="2AA37211"/>
    <w:rsid w:val="2AD946AD"/>
    <w:rsid w:val="2AE17A5A"/>
    <w:rsid w:val="2B12230A"/>
    <w:rsid w:val="2B17347C"/>
    <w:rsid w:val="2BAC7A64"/>
    <w:rsid w:val="2BB1133F"/>
    <w:rsid w:val="2BC43604"/>
    <w:rsid w:val="2C2778C1"/>
    <w:rsid w:val="2C2C1EA5"/>
    <w:rsid w:val="2C493B09"/>
    <w:rsid w:val="2C541D25"/>
    <w:rsid w:val="2C7B28D1"/>
    <w:rsid w:val="2CDD042A"/>
    <w:rsid w:val="2CEB34FE"/>
    <w:rsid w:val="2E176444"/>
    <w:rsid w:val="2E301B93"/>
    <w:rsid w:val="2E690493"/>
    <w:rsid w:val="2E734E6D"/>
    <w:rsid w:val="2EC35DF5"/>
    <w:rsid w:val="2FF916B0"/>
    <w:rsid w:val="30096C82"/>
    <w:rsid w:val="30405785"/>
    <w:rsid w:val="30701AE3"/>
    <w:rsid w:val="30BC7B4C"/>
    <w:rsid w:val="30FE5742"/>
    <w:rsid w:val="314C6578"/>
    <w:rsid w:val="316513E5"/>
    <w:rsid w:val="3165676B"/>
    <w:rsid w:val="317C7511"/>
    <w:rsid w:val="3210311E"/>
    <w:rsid w:val="32490EBA"/>
    <w:rsid w:val="32655415"/>
    <w:rsid w:val="32682D69"/>
    <w:rsid w:val="32B002BD"/>
    <w:rsid w:val="32BC7F42"/>
    <w:rsid w:val="32D9318E"/>
    <w:rsid w:val="33091931"/>
    <w:rsid w:val="33AF246D"/>
    <w:rsid w:val="33CA14F4"/>
    <w:rsid w:val="33DC3D56"/>
    <w:rsid w:val="34147E88"/>
    <w:rsid w:val="353976EC"/>
    <w:rsid w:val="3569321A"/>
    <w:rsid w:val="36C1778B"/>
    <w:rsid w:val="36C77710"/>
    <w:rsid w:val="371A7F91"/>
    <w:rsid w:val="376A3E7B"/>
    <w:rsid w:val="382A542B"/>
    <w:rsid w:val="38AC0E10"/>
    <w:rsid w:val="38FD31D8"/>
    <w:rsid w:val="39155B04"/>
    <w:rsid w:val="39534C92"/>
    <w:rsid w:val="39AE7672"/>
    <w:rsid w:val="39CA13B4"/>
    <w:rsid w:val="3AC17F00"/>
    <w:rsid w:val="3B691A69"/>
    <w:rsid w:val="3B8B1A48"/>
    <w:rsid w:val="3BF70E8C"/>
    <w:rsid w:val="3C215F09"/>
    <w:rsid w:val="3C4D262A"/>
    <w:rsid w:val="3C53008C"/>
    <w:rsid w:val="3CD06329"/>
    <w:rsid w:val="3D376D31"/>
    <w:rsid w:val="3DCE20C0"/>
    <w:rsid w:val="3DE87152"/>
    <w:rsid w:val="3E1026D9"/>
    <w:rsid w:val="3E4B3711"/>
    <w:rsid w:val="3E9B4072"/>
    <w:rsid w:val="3F964E60"/>
    <w:rsid w:val="3FC9502E"/>
    <w:rsid w:val="3FCA4B09"/>
    <w:rsid w:val="40742EC1"/>
    <w:rsid w:val="40866C82"/>
    <w:rsid w:val="40B734FF"/>
    <w:rsid w:val="40B767F0"/>
    <w:rsid w:val="40CE0C67"/>
    <w:rsid w:val="40D22248"/>
    <w:rsid w:val="40F55351"/>
    <w:rsid w:val="41281AE7"/>
    <w:rsid w:val="414B6B2E"/>
    <w:rsid w:val="41604A16"/>
    <w:rsid w:val="41644BC0"/>
    <w:rsid w:val="416A65A4"/>
    <w:rsid w:val="41AD1273"/>
    <w:rsid w:val="425A3F23"/>
    <w:rsid w:val="426C5BDB"/>
    <w:rsid w:val="42775BAF"/>
    <w:rsid w:val="428216CB"/>
    <w:rsid w:val="42895174"/>
    <w:rsid w:val="42CA6EBF"/>
    <w:rsid w:val="42CC36E7"/>
    <w:rsid w:val="43274C10"/>
    <w:rsid w:val="4364065E"/>
    <w:rsid w:val="43884AB7"/>
    <w:rsid w:val="43C17928"/>
    <w:rsid w:val="4469669F"/>
    <w:rsid w:val="44763B07"/>
    <w:rsid w:val="453002F8"/>
    <w:rsid w:val="45576E3F"/>
    <w:rsid w:val="45CD0EAF"/>
    <w:rsid w:val="46BA3F77"/>
    <w:rsid w:val="46E0742F"/>
    <w:rsid w:val="474E479F"/>
    <w:rsid w:val="477569E1"/>
    <w:rsid w:val="479C4D4B"/>
    <w:rsid w:val="482B58B6"/>
    <w:rsid w:val="489A2174"/>
    <w:rsid w:val="489D100D"/>
    <w:rsid w:val="48B74ABD"/>
    <w:rsid w:val="48BC03E3"/>
    <w:rsid w:val="48D80297"/>
    <w:rsid w:val="492005A1"/>
    <w:rsid w:val="49951CE4"/>
    <w:rsid w:val="49D26E33"/>
    <w:rsid w:val="4A2B030E"/>
    <w:rsid w:val="4A341F6A"/>
    <w:rsid w:val="4A4D55BA"/>
    <w:rsid w:val="4A5A3051"/>
    <w:rsid w:val="4A732ADF"/>
    <w:rsid w:val="4AE72B87"/>
    <w:rsid w:val="4AE957BB"/>
    <w:rsid w:val="4B0D516C"/>
    <w:rsid w:val="4B257098"/>
    <w:rsid w:val="4B9D30D2"/>
    <w:rsid w:val="4BB5666E"/>
    <w:rsid w:val="4BC77814"/>
    <w:rsid w:val="4C2E162C"/>
    <w:rsid w:val="4C730597"/>
    <w:rsid w:val="4C8B7CD9"/>
    <w:rsid w:val="4C933AAC"/>
    <w:rsid w:val="4CD82614"/>
    <w:rsid w:val="4D08290E"/>
    <w:rsid w:val="4D106251"/>
    <w:rsid w:val="4D1F46E6"/>
    <w:rsid w:val="4D5A127B"/>
    <w:rsid w:val="4D8D56B2"/>
    <w:rsid w:val="4E110C17"/>
    <w:rsid w:val="4E3C4EC8"/>
    <w:rsid w:val="4E52289A"/>
    <w:rsid w:val="4E657C10"/>
    <w:rsid w:val="4EBF0F99"/>
    <w:rsid w:val="4EC030CD"/>
    <w:rsid w:val="4FA96E18"/>
    <w:rsid w:val="50184DD9"/>
    <w:rsid w:val="50615016"/>
    <w:rsid w:val="50630D8E"/>
    <w:rsid w:val="50936DA4"/>
    <w:rsid w:val="50AA14AA"/>
    <w:rsid w:val="50DF4E0D"/>
    <w:rsid w:val="515E0AC1"/>
    <w:rsid w:val="51A85BF2"/>
    <w:rsid w:val="51F81039"/>
    <w:rsid w:val="52F83F31"/>
    <w:rsid w:val="5302488E"/>
    <w:rsid w:val="538E55B5"/>
    <w:rsid w:val="53B73BCE"/>
    <w:rsid w:val="540463E4"/>
    <w:rsid w:val="54560676"/>
    <w:rsid w:val="55C00633"/>
    <w:rsid w:val="55CA5BD2"/>
    <w:rsid w:val="55DC5C75"/>
    <w:rsid w:val="560B59C4"/>
    <w:rsid w:val="56130B60"/>
    <w:rsid w:val="563E7A6A"/>
    <w:rsid w:val="564B4B3B"/>
    <w:rsid w:val="56554CD5"/>
    <w:rsid w:val="567A2671"/>
    <w:rsid w:val="56B16D1F"/>
    <w:rsid w:val="56C97471"/>
    <w:rsid w:val="56ED315F"/>
    <w:rsid w:val="57411CC0"/>
    <w:rsid w:val="57C360A7"/>
    <w:rsid w:val="58365838"/>
    <w:rsid w:val="58CF5213"/>
    <w:rsid w:val="58F06AC1"/>
    <w:rsid w:val="59246BE1"/>
    <w:rsid w:val="59594ADC"/>
    <w:rsid w:val="59FD7B5D"/>
    <w:rsid w:val="5A117165"/>
    <w:rsid w:val="5AC8016B"/>
    <w:rsid w:val="5ADD34EB"/>
    <w:rsid w:val="5B1A3F4C"/>
    <w:rsid w:val="5B4C16ED"/>
    <w:rsid w:val="5B927D3B"/>
    <w:rsid w:val="5C4C0A0F"/>
    <w:rsid w:val="5CA83245"/>
    <w:rsid w:val="5CB864D2"/>
    <w:rsid w:val="5CCA1029"/>
    <w:rsid w:val="5D011713"/>
    <w:rsid w:val="5D403159"/>
    <w:rsid w:val="5DC01F11"/>
    <w:rsid w:val="5E0E52AD"/>
    <w:rsid w:val="5E1220A9"/>
    <w:rsid w:val="5E3302C0"/>
    <w:rsid w:val="5E392460"/>
    <w:rsid w:val="5F1C0A86"/>
    <w:rsid w:val="5F4E2356"/>
    <w:rsid w:val="5FDC7C4C"/>
    <w:rsid w:val="5FFA3AF5"/>
    <w:rsid w:val="6029617D"/>
    <w:rsid w:val="608A3F86"/>
    <w:rsid w:val="618B4770"/>
    <w:rsid w:val="61F45CEA"/>
    <w:rsid w:val="621417A2"/>
    <w:rsid w:val="62203CFA"/>
    <w:rsid w:val="626F5370"/>
    <w:rsid w:val="627C183B"/>
    <w:rsid w:val="62894684"/>
    <w:rsid w:val="62F87114"/>
    <w:rsid w:val="630405C9"/>
    <w:rsid w:val="630A16CE"/>
    <w:rsid w:val="632B7977"/>
    <w:rsid w:val="634B549F"/>
    <w:rsid w:val="63662FF0"/>
    <w:rsid w:val="63B90DCB"/>
    <w:rsid w:val="63D75796"/>
    <w:rsid w:val="646F1658"/>
    <w:rsid w:val="64A21E1D"/>
    <w:rsid w:val="64E57B6C"/>
    <w:rsid w:val="64ED484B"/>
    <w:rsid w:val="64F375A1"/>
    <w:rsid w:val="65022321"/>
    <w:rsid w:val="6541554C"/>
    <w:rsid w:val="65562FCB"/>
    <w:rsid w:val="6558563B"/>
    <w:rsid w:val="65E56A09"/>
    <w:rsid w:val="66004760"/>
    <w:rsid w:val="67054DB2"/>
    <w:rsid w:val="67437811"/>
    <w:rsid w:val="676E5BF7"/>
    <w:rsid w:val="67940AB9"/>
    <w:rsid w:val="67A301BE"/>
    <w:rsid w:val="67AC03D7"/>
    <w:rsid w:val="67C1666E"/>
    <w:rsid w:val="68382FD7"/>
    <w:rsid w:val="686D44C4"/>
    <w:rsid w:val="687F5BE1"/>
    <w:rsid w:val="689D149E"/>
    <w:rsid w:val="68A8338A"/>
    <w:rsid w:val="68C201E6"/>
    <w:rsid w:val="68C31F72"/>
    <w:rsid w:val="69206A54"/>
    <w:rsid w:val="6A0A4ED5"/>
    <w:rsid w:val="6A70612A"/>
    <w:rsid w:val="6A75729C"/>
    <w:rsid w:val="6AA05F49"/>
    <w:rsid w:val="6AC869B2"/>
    <w:rsid w:val="6AD17000"/>
    <w:rsid w:val="6B1F5FA9"/>
    <w:rsid w:val="6B5B46E4"/>
    <w:rsid w:val="6B691767"/>
    <w:rsid w:val="6B823C0E"/>
    <w:rsid w:val="6BDF70C3"/>
    <w:rsid w:val="6BE8435B"/>
    <w:rsid w:val="6C060AF4"/>
    <w:rsid w:val="6C2777C6"/>
    <w:rsid w:val="6C4773DD"/>
    <w:rsid w:val="6C7D7173"/>
    <w:rsid w:val="6CBB067B"/>
    <w:rsid w:val="6CCF21CC"/>
    <w:rsid w:val="6CD57E0A"/>
    <w:rsid w:val="6CF92406"/>
    <w:rsid w:val="6D074B5D"/>
    <w:rsid w:val="6D0843F7"/>
    <w:rsid w:val="6D6B1716"/>
    <w:rsid w:val="6D7C65CE"/>
    <w:rsid w:val="6DBC1175"/>
    <w:rsid w:val="6E2365B9"/>
    <w:rsid w:val="6E242520"/>
    <w:rsid w:val="6EA77C40"/>
    <w:rsid w:val="6EC46A44"/>
    <w:rsid w:val="6EDE1941"/>
    <w:rsid w:val="6F525DFE"/>
    <w:rsid w:val="6F7619A4"/>
    <w:rsid w:val="6F771D08"/>
    <w:rsid w:val="6FF80D33"/>
    <w:rsid w:val="700809AD"/>
    <w:rsid w:val="70BE0D20"/>
    <w:rsid w:val="71094BE2"/>
    <w:rsid w:val="71442740"/>
    <w:rsid w:val="714A7431"/>
    <w:rsid w:val="716A38D3"/>
    <w:rsid w:val="73182E96"/>
    <w:rsid w:val="736E0715"/>
    <w:rsid w:val="73E17FDC"/>
    <w:rsid w:val="73E610C9"/>
    <w:rsid w:val="740A4EF9"/>
    <w:rsid w:val="74B20AA1"/>
    <w:rsid w:val="750D68EF"/>
    <w:rsid w:val="75157FF9"/>
    <w:rsid w:val="75233A4F"/>
    <w:rsid w:val="752B72BC"/>
    <w:rsid w:val="75851B01"/>
    <w:rsid w:val="758962F1"/>
    <w:rsid w:val="75CA11B6"/>
    <w:rsid w:val="75E209B1"/>
    <w:rsid w:val="76C84A10"/>
    <w:rsid w:val="774E7C2A"/>
    <w:rsid w:val="77A75DDE"/>
    <w:rsid w:val="77A94AC2"/>
    <w:rsid w:val="77C1700D"/>
    <w:rsid w:val="7843369F"/>
    <w:rsid w:val="78D54094"/>
    <w:rsid w:val="78EA1603"/>
    <w:rsid w:val="79261FD8"/>
    <w:rsid w:val="792E168A"/>
    <w:rsid w:val="79BB314A"/>
    <w:rsid w:val="79C25C6D"/>
    <w:rsid w:val="79FF52D9"/>
    <w:rsid w:val="7A214D4A"/>
    <w:rsid w:val="7A266805"/>
    <w:rsid w:val="7A38765F"/>
    <w:rsid w:val="7AA17C39"/>
    <w:rsid w:val="7B190259"/>
    <w:rsid w:val="7B4C2A35"/>
    <w:rsid w:val="7C8A4E29"/>
    <w:rsid w:val="7C95557C"/>
    <w:rsid w:val="7CA0289E"/>
    <w:rsid w:val="7CBE37C9"/>
    <w:rsid w:val="7CD633F5"/>
    <w:rsid w:val="7D5B11B4"/>
    <w:rsid w:val="7D6212B6"/>
    <w:rsid w:val="7D751760"/>
    <w:rsid w:val="7E5D60FC"/>
    <w:rsid w:val="7EC53360"/>
    <w:rsid w:val="7EDF1125"/>
    <w:rsid w:val="7EEF71C5"/>
    <w:rsid w:val="7F623D65"/>
    <w:rsid w:val="7F7C3F3B"/>
    <w:rsid w:val="7FDE1FB2"/>
    <w:rsid w:val="7FE40CF4"/>
    <w:rsid w:val="7FE845FB"/>
    <w:rsid w:val="7FEA1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p0"/>
    <w:basedOn w:val="1"/>
    <w:qFormat/>
    <w:uiPriority w:val="0"/>
    <w:pPr>
      <w:widowControl/>
    </w:pPr>
    <w:rPr>
      <w:kern w:val="0"/>
      <w:szCs w:val="21"/>
    </w:rPr>
  </w:style>
  <w:style w:type="paragraph" w:styleId="8">
    <w:name w:val="List Paragraph"/>
    <w:basedOn w:val="1"/>
    <w:qFormat/>
    <w:uiPriority w:val="34"/>
    <w:pPr>
      <w:ind w:firstLine="420" w:firstLineChars="200"/>
    </w:p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font21"/>
    <w:basedOn w:val="6"/>
    <w:qFormat/>
    <w:uiPriority w:val="0"/>
    <w:rPr>
      <w:rFonts w:hint="eastAsia" w:ascii="宋体" w:hAnsi="宋体" w:eastAsia="宋体" w:cs="宋体"/>
      <w:b/>
      <w:bCs/>
      <w:color w:val="000000"/>
      <w:sz w:val="21"/>
      <w:szCs w:val="21"/>
      <w:u w:val="none"/>
    </w:rPr>
  </w:style>
  <w:style w:type="character" w:customStyle="1" w:styleId="13">
    <w:name w:val="font41"/>
    <w:basedOn w:val="6"/>
    <w:qFormat/>
    <w:uiPriority w:val="0"/>
    <w:rPr>
      <w:rFonts w:hint="eastAsia" w:ascii="宋体" w:hAnsi="宋体" w:eastAsia="宋体" w:cs="宋体"/>
      <w:color w:val="000000"/>
      <w:sz w:val="21"/>
      <w:szCs w:val="21"/>
      <w:u w:val="none"/>
    </w:rPr>
  </w:style>
  <w:style w:type="character" w:customStyle="1" w:styleId="14">
    <w:name w:val="font51"/>
    <w:basedOn w:val="6"/>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1945</Words>
  <Characters>2197</Characters>
  <Lines>7</Lines>
  <Paragraphs>2</Paragraphs>
  <TotalTime>1</TotalTime>
  <ScaleCrop>false</ScaleCrop>
  <LinksUpToDate>false</LinksUpToDate>
  <CharactersWithSpaces>2221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2020-03-27T08:49:00Z</dcterms:created>
  <dc:creator>深森笙声</dc:creator>
  <cp:lastModifiedBy>A1</cp:lastModifiedBy>
  <dcterms:modified xsi:type="dcterms:W3CDTF">2022-06-22T03:20:50Z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8C1065265CD34BF2B4101422DB80D18F</vt:lpwstr>
  </property>
</Properties>
</file>