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76317F">
      <w:pPr>
        <w:tabs>
          <w:tab w:val="left" w:pos="6300"/>
        </w:tabs>
        <w:snapToGrid w:val="0"/>
        <w:spacing w:line="300" w:lineRule="auto"/>
        <w:jc w:val="center"/>
        <w:rPr>
          <w:w w:val="80"/>
          <w:sz w:val="44"/>
          <w:szCs w:val="44"/>
        </w:rPr>
      </w:pPr>
    </w:p>
    <w:p w14:paraId="2655B01A">
      <w:pPr>
        <w:tabs>
          <w:tab w:val="left" w:pos="6300"/>
        </w:tabs>
        <w:snapToGrid w:val="0"/>
        <w:spacing w:line="300" w:lineRule="auto"/>
        <w:jc w:val="center"/>
        <w:rPr>
          <w:w w:val="80"/>
          <w:sz w:val="44"/>
          <w:szCs w:val="44"/>
        </w:rPr>
      </w:pPr>
    </w:p>
    <w:p w14:paraId="007828FD">
      <w:pPr>
        <w:tabs>
          <w:tab w:val="left" w:pos="6300"/>
        </w:tabs>
        <w:snapToGrid w:val="0"/>
        <w:spacing w:line="300" w:lineRule="auto"/>
        <w:jc w:val="center"/>
        <w:rPr>
          <w:w w:val="80"/>
          <w:sz w:val="44"/>
          <w:szCs w:val="44"/>
        </w:rPr>
      </w:pPr>
      <w:r>
        <w:rPr>
          <w:w w:val="80"/>
          <w:sz w:val="44"/>
          <w:szCs w:val="44"/>
        </w:rPr>
        <w:t>南通市崇川区电子政务外网</w:t>
      </w:r>
    </w:p>
    <w:p w14:paraId="40519C8D">
      <w:pPr>
        <w:tabs>
          <w:tab w:val="left" w:pos="6300"/>
        </w:tabs>
        <w:snapToGrid w:val="0"/>
        <w:spacing w:line="300" w:lineRule="auto"/>
        <w:jc w:val="center"/>
        <w:rPr>
          <w:w w:val="80"/>
          <w:sz w:val="44"/>
          <w:szCs w:val="44"/>
        </w:rPr>
      </w:pPr>
      <w:r>
        <w:rPr>
          <w:w w:val="80"/>
          <w:sz w:val="44"/>
          <w:szCs w:val="44"/>
        </w:rPr>
        <w:t>机房精密空调</w:t>
      </w:r>
      <w:r>
        <w:rPr>
          <w:rFonts w:hint="eastAsia"/>
          <w:w w:val="80"/>
          <w:sz w:val="44"/>
          <w:szCs w:val="44"/>
        </w:rPr>
        <w:t>运行维护</w:t>
      </w:r>
      <w:r>
        <w:rPr>
          <w:w w:val="80"/>
          <w:sz w:val="44"/>
          <w:szCs w:val="44"/>
        </w:rPr>
        <w:t>和防鼠灭鼠服务采购</w:t>
      </w:r>
      <w:r>
        <w:rPr>
          <w:rFonts w:hint="eastAsia"/>
          <w:w w:val="80"/>
          <w:sz w:val="44"/>
          <w:szCs w:val="44"/>
        </w:rPr>
        <w:t>项目</w:t>
      </w:r>
    </w:p>
    <w:p w14:paraId="15EFB587">
      <w:pPr>
        <w:tabs>
          <w:tab w:val="left" w:pos="6300"/>
        </w:tabs>
        <w:snapToGrid w:val="0"/>
        <w:spacing w:line="300" w:lineRule="auto"/>
        <w:jc w:val="center"/>
        <w:rPr>
          <w:w w:val="80"/>
          <w:sz w:val="84"/>
        </w:rPr>
      </w:pPr>
    </w:p>
    <w:p w14:paraId="2813A987">
      <w:pPr>
        <w:tabs>
          <w:tab w:val="left" w:pos="1050"/>
          <w:tab w:val="right" w:leader="dot" w:pos="9402"/>
        </w:tabs>
        <w:spacing w:line="1000" w:lineRule="exact"/>
        <w:jc w:val="center"/>
        <w:rPr>
          <w:sz w:val="72"/>
          <w:szCs w:val="72"/>
        </w:rPr>
      </w:pPr>
      <w:r>
        <w:rPr>
          <w:b/>
          <w:w w:val="80"/>
          <w:sz w:val="56"/>
          <w:szCs w:val="56"/>
        </w:rPr>
        <w:t>竞争性谈判</w:t>
      </w:r>
      <w:r>
        <w:rPr>
          <w:rFonts w:hint="eastAsia"/>
          <w:b/>
          <w:w w:val="80"/>
          <w:sz w:val="56"/>
          <w:szCs w:val="56"/>
        </w:rPr>
        <w:t>采购</w:t>
      </w:r>
      <w:r>
        <w:rPr>
          <w:b/>
          <w:w w:val="80"/>
          <w:sz w:val="56"/>
          <w:szCs w:val="56"/>
        </w:rPr>
        <w:t>文件</w:t>
      </w:r>
    </w:p>
    <w:p w14:paraId="155B5D56">
      <w:pPr>
        <w:jc w:val="center"/>
        <w:rPr>
          <w:sz w:val="32"/>
          <w:szCs w:val="32"/>
        </w:rPr>
      </w:pPr>
    </w:p>
    <w:p w14:paraId="6D18760B">
      <w:pPr>
        <w:tabs>
          <w:tab w:val="left" w:pos="1050"/>
          <w:tab w:val="right" w:leader="dot" w:pos="9402"/>
        </w:tabs>
        <w:spacing w:line="520" w:lineRule="exact"/>
        <w:jc w:val="center"/>
        <w:rPr>
          <w:sz w:val="32"/>
          <w:szCs w:val="32"/>
        </w:rPr>
      </w:pPr>
      <w:r>
        <w:rPr>
          <w:w w:val="80"/>
          <w:sz w:val="32"/>
          <w:szCs w:val="32"/>
        </w:rPr>
        <w:t>（资格后审）</w:t>
      </w:r>
    </w:p>
    <w:p w14:paraId="5E7580FA">
      <w:pPr>
        <w:tabs>
          <w:tab w:val="left" w:pos="6300"/>
        </w:tabs>
        <w:snapToGrid w:val="0"/>
        <w:spacing w:line="300" w:lineRule="auto"/>
        <w:jc w:val="center"/>
        <w:rPr>
          <w:sz w:val="32"/>
          <w:szCs w:val="32"/>
        </w:rPr>
      </w:pPr>
      <w:r>
        <w:rPr>
          <w:w w:val="80"/>
          <w:sz w:val="32"/>
          <w:szCs w:val="32"/>
        </w:rPr>
        <w:t>项目编号：</w:t>
      </w:r>
      <w:r>
        <w:rPr>
          <w:sz w:val="32"/>
          <w:szCs w:val="32"/>
        </w:rPr>
        <w:t>NTHH2026011(JT01)</w:t>
      </w:r>
    </w:p>
    <w:p w14:paraId="5CE1CFC2">
      <w:pPr>
        <w:snapToGrid w:val="0"/>
        <w:spacing w:line="360" w:lineRule="auto"/>
        <w:jc w:val="center"/>
        <w:rPr>
          <w:b/>
          <w:sz w:val="32"/>
          <w:szCs w:val="32"/>
        </w:rPr>
      </w:pPr>
    </w:p>
    <w:p w14:paraId="5DEC369E">
      <w:pPr>
        <w:snapToGrid w:val="0"/>
        <w:spacing w:line="360" w:lineRule="auto"/>
        <w:jc w:val="center"/>
        <w:rPr>
          <w:b/>
          <w:sz w:val="32"/>
          <w:szCs w:val="32"/>
        </w:rPr>
      </w:pPr>
    </w:p>
    <w:p w14:paraId="49F82FE1">
      <w:pPr>
        <w:snapToGrid w:val="0"/>
        <w:spacing w:line="360" w:lineRule="auto"/>
        <w:jc w:val="center"/>
        <w:rPr>
          <w:b/>
          <w:sz w:val="32"/>
          <w:szCs w:val="32"/>
        </w:rPr>
      </w:pPr>
    </w:p>
    <w:p w14:paraId="51519478">
      <w:pPr>
        <w:snapToGrid w:val="0"/>
        <w:spacing w:line="360" w:lineRule="auto"/>
        <w:jc w:val="center"/>
        <w:rPr>
          <w:b/>
          <w:sz w:val="32"/>
          <w:szCs w:val="32"/>
        </w:rPr>
      </w:pPr>
    </w:p>
    <w:p w14:paraId="41B98F3E">
      <w:pPr>
        <w:snapToGrid w:val="0"/>
        <w:spacing w:line="360" w:lineRule="auto"/>
        <w:jc w:val="center"/>
        <w:rPr>
          <w:b/>
          <w:sz w:val="32"/>
          <w:szCs w:val="32"/>
        </w:rPr>
      </w:pPr>
    </w:p>
    <w:p w14:paraId="06B91A97">
      <w:pPr>
        <w:snapToGrid w:val="0"/>
        <w:spacing w:line="360" w:lineRule="auto"/>
        <w:jc w:val="center"/>
        <w:rPr>
          <w:b/>
          <w:sz w:val="32"/>
          <w:szCs w:val="32"/>
        </w:rPr>
      </w:pPr>
    </w:p>
    <w:p w14:paraId="063DB6E6">
      <w:pPr>
        <w:snapToGrid w:val="0"/>
        <w:spacing w:line="360" w:lineRule="auto"/>
        <w:jc w:val="center"/>
        <w:rPr>
          <w:b/>
          <w:sz w:val="32"/>
          <w:szCs w:val="32"/>
        </w:rPr>
      </w:pPr>
    </w:p>
    <w:p w14:paraId="089E5732">
      <w:pPr>
        <w:snapToGrid w:val="0"/>
        <w:spacing w:line="360" w:lineRule="auto"/>
        <w:jc w:val="center"/>
        <w:rPr>
          <w:b/>
          <w:sz w:val="32"/>
          <w:szCs w:val="32"/>
        </w:rPr>
      </w:pPr>
    </w:p>
    <w:p w14:paraId="3D83D123">
      <w:pPr>
        <w:snapToGrid w:val="0"/>
        <w:spacing w:line="360" w:lineRule="auto"/>
        <w:jc w:val="center"/>
        <w:rPr>
          <w:b/>
          <w:sz w:val="32"/>
          <w:szCs w:val="32"/>
        </w:rPr>
      </w:pPr>
    </w:p>
    <w:p w14:paraId="3476D6BB">
      <w:pPr>
        <w:snapToGrid w:val="0"/>
        <w:spacing w:line="360" w:lineRule="auto"/>
        <w:jc w:val="center"/>
        <w:rPr>
          <w:b/>
          <w:sz w:val="32"/>
          <w:szCs w:val="32"/>
        </w:rPr>
      </w:pPr>
    </w:p>
    <w:p w14:paraId="1461BE32">
      <w:pPr>
        <w:snapToGrid w:val="0"/>
        <w:spacing w:line="360" w:lineRule="auto"/>
        <w:jc w:val="center"/>
        <w:rPr>
          <w:b/>
          <w:sz w:val="32"/>
          <w:szCs w:val="32"/>
        </w:rPr>
      </w:pPr>
    </w:p>
    <w:p w14:paraId="5FE19C6D">
      <w:pPr>
        <w:snapToGrid w:val="0"/>
        <w:spacing w:line="360" w:lineRule="auto"/>
        <w:jc w:val="center"/>
        <w:rPr>
          <w:b/>
          <w:sz w:val="32"/>
          <w:szCs w:val="32"/>
        </w:rPr>
      </w:pPr>
    </w:p>
    <w:p w14:paraId="075739F9">
      <w:pPr>
        <w:snapToGrid w:val="0"/>
        <w:spacing w:line="360" w:lineRule="auto"/>
        <w:jc w:val="center"/>
        <w:rPr>
          <w:b/>
          <w:sz w:val="32"/>
          <w:szCs w:val="32"/>
        </w:rPr>
      </w:pPr>
    </w:p>
    <w:p w14:paraId="4E188738">
      <w:pPr>
        <w:tabs>
          <w:tab w:val="left" w:pos="1050"/>
          <w:tab w:val="right" w:leader="dot" w:pos="9402"/>
        </w:tabs>
        <w:spacing w:line="520" w:lineRule="exact"/>
        <w:jc w:val="center"/>
        <w:rPr>
          <w:w w:val="80"/>
          <w:sz w:val="32"/>
          <w:szCs w:val="32"/>
        </w:rPr>
      </w:pPr>
      <w:r>
        <w:rPr>
          <w:w w:val="80"/>
          <w:sz w:val="32"/>
          <w:szCs w:val="32"/>
        </w:rPr>
        <w:t>采购代理机构：南通辉华企业管理咨询有限公司</w:t>
      </w:r>
    </w:p>
    <w:p w14:paraId="0CFCC504">
      <w:pPr>
        <w:tabs>
          <w:tab w:val="left" w:pos="1050"/>
          <w:tab w:val="right" w:leader="dot" w:pos="9402"/>
        </w:tabs>
        <w:spacing w:line="520" w:lineRule="exact"/>
        <w:jc w:val="center"/>
        <w:rPr>
          <w:w w:val="80"/>
          <w:sz w:val="32"/>
          <w:szCs w:val="32"/>
        </w:rPr>
      </w:pPr>
      <w:r>
        <w:rPr>
          <w:rFonts w:hint="eastAsia"/>
          <w:w w:val="80"/>
          <w:sz w:val="32"/>
          <w:szCs w:val="32"/>
        </w:rPr>
        <w:t>二〇二六</w:t>
      </w:r>
      <w:r>
        <w:rPr>
          <w:w w:val="80"/>
          <w:sz w:val="32"/>
          <w:szCs w:val="32"/>
        </w:rPr>
        <w:t>年</w:t>
      </w:r>
      <w:r>
        <w:rPr>
          <w:rFonts w:hint="eastAsia"/>
          <w:w w:val="80"/>
          <w:sz w:val="32"/>
          <w:szCs w:val="32"/>
        </w:rPr>
        <w:t>五</w:t>
      </w:r>
      <w:r>
        <w:rPr>
          <w:w w:val="80"/>
          <w:sz w:val="32"/>
          <w:szCs w:val="32"/>
        </w:rPr>
        <w:t>月</w:t>
      </w:r>
      <w:r>
        <w:rPr>
          <w:rFonts w:hint="eastAsia"/>
          <w:w w:val="80"/>
          <w:sz w:val="32"/>
          <w:szCs w:val="32"/>
          <w:lang w:val="en-US" w:eastAsia="zh-CN"/>
        </w:rPr>
        <w:t>二</w:t>
      </w:r>
      <w:bookmarkStart w:id="149" w:name="_GoBack"/>
      <w:bookmarkEnd w:id="149"/>
      <w:r>
        <w:rPr>
          <w:rFonts w:hint="eastAsia"/>
          <w:w w:val="80"/>
          <w:sz w:val="32"/>
          <w:szCs w:val="32"/>
        </w:rPr>
        <w:t>十二</w:t>
      </w:r>
      <w:r>
        <w:rPr>
          <w:w w:val="80"/>
          <w:sz w:val="32"/>
          <w:szCs w:val="32"/>
        </w:rPr>
        <w:t>日</w:t>
      </w:r>
    </w:p>
    <w:p w14:paraId="5C1F1EF8">
      <w:pPr>
        <w:adjustRightInd w:val="0"/>
        <w:snapToGrid w:val="0"/>
        <w:spacing w:line="360" w:lineRule="auto"/>
        <w:jc w:val="center"/>
        <w:rPr>
          <w:b/>
          <w:sz w:val="32"/>
          <w:szCs w:val="32"/>
        </w:rPr>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1134" w:right="851" w:bottom="851" w:left="1418" w:header="709" w:footer="380" w:gutter="0"/>
          <w:cols w:space="720" w:num="1"/>
          <w:docGrid w:linePitch="312" w:charSpace="6144"/>
        </w:sectPr>
      </w:pPr>
    </w:p>
    <w:p w14:paraId="6B58CE73">
      <w:pPr>
        <w:tabs>
          <w:tab w:val="left" w:pos="0"/>
          <w:tab w:val="right" w:leader="dot" w:pos="9402"/>
        </w:tabs>
        <w:spacing w:line="520" w:lineRule="exact"/>
        <w:jc w:val="center"/>
        <w:rPr>
          <w:sz w:val="32"/>
          <w:szCs w:val="32"/>
        </w:rPr>
      </w:pPr>
      <w:r>
        <w:rPr>
          <w:b/>
          <w:sz w:val="32"/>
          <w:szCs w:val="32"/>
        </w:rPr>
        <w:br w:type="page"/>
      </w:r>
      <w:r>
        <w:rPr>
          <w:sz w:val="32"/>
          <w:szCs w:val="32"/>
        </w:rPr>
        <w:t xml:space="preserve"> </w:t>
      </w:r>
    </w:p>
    <w:p w14:paraId="0962B370">
      <w:pPr>
        <w:adjustRightInd w:val="0"/>
        <w:snapToGrid w:val="0"/>
        <w:spacing w:line="360" w:lineRule="auto"/>
        <w:jc w:val="center"/>
        <w:rPr>
          <w:sz w:val="32"/>
          <w:szCs w:val="32"/>
        </w:rPr>
      </w:pPr>
    </w:p>
    <w:p w14:paraId="24D84F84">
      <w:pPr>
        <w:tabs>
          <w:tab w:val="left" w:pos="6300"/>
        </w:tabs>
        <w:snapToGrid w:val="0"/>
        <w:spacing w:line="300" w:lineRule="auto"/>
        <w:jc w:val="center"/>
        <w:outlineLvl w:val="0"/>
        <w:rPr>
          <w:b/>
          <w:bCs/>
          <w:w w:val="80"/>
          <w:sz w:val="44"/>
          <w:szCs w:val="44"/>
        </w:rPr>
      </w:pPr>
      <w:bookmarkStart w:id="0" w:name="_Toc94585339"/>
      <w:bookmarkStart w:id="1" w:name="_Toc11554638"/>
      <w:bookmarkStart w:id="2" w:name="_Toc11500279"/>
      <w:bookmarkStart w:id="3" w:name="_Toc12670502"/>
      <w:bookmarkStart w:id="4" w:name="_Toc94544743"/>
      <w:bookmarkStart w:id="5" w:name="_Toc521201596"/>
      <w:bookmarkStart w:id="6" w:name="_Toc11499583"/>
      <w:bookmarkStart w:id="7" w:name="_Toc94544827"/>
      <w:bookmarkStart w:id="8" w:name="_Toc521203417"/>
      <w:bookmarkStart w:id="9" w:name="_Toc8895738"/>
      <w:r>
        <w:rPr>
          <w:b/>
          <w:bCs/>
          <w:w w:val="80"/>
          <w:sz w:val="44"/>
          <w:szCs w:val="44"/>
        </w:rPr>
        <w:t>目</w:t>
      </w:r>
      <w:r>
        <w:rPr>
          <w:rFonts w:hint="eastAsia"/>
          <w:b/>
          <w:bCs/>
          <w:w w:val="80"/>
          <w:sz w:val="44"/>
          <w:szCs w:val="44"/>
        </w:rPr>
        <w:t xml:space="preserve"> </w:t>
      </w:r>
      <w:r>
        <w:rPr>
          <w:b/>
          <w:bCs/>
          <w:w w:val="80"/>
          <w:sz w:val="44"/>
          <w:szCs w:val="44"/>
        </w:rPr>
        <w:t>录</w:t>
      </w:r>
    </w:p>
    <w:p w14:paraId="196F364D">
      <w:pPr>
        <w:spacing w:line="600" w:lineRule="exact"/>
        <w:jc w:val="center"/>
        <w:rPr>
          <w:b/>
          <w:sz w:val="52"/>
          <w:szCs w:val="52"/>
        </w:rPr>
      </w:pPr>
    </w:p>
    <w:p w14:paraId="5A82D60D">
      <w:pPr>
        <w:tabs>
          <w:tab w:val="right" w:leader="dot" w:pos="9072"/>
        </w:tabs>
        <w:adjustRightInd w:val="0"/>
        <w:spacing w:line="1200" w:lineRule="exact"/>
        <w:ind w:right="-2"/>
        <w:jc w:val="center"/>
        <w:textAlignment w:val="baseline"/>
        <w:rPr>
          <w:sz w:val="32"/>
          <w:szCs w:val="32"/>
        </w:rPr>
      </w:pPr>
      <w:r>
        <w:rPr>
          <w:b/>
          <w:bCs/>
          <w:sz w:val="32"/>
          <w:szCs w:val="32"/>
        </w:rPr>
        <w:fldChar w:fldCharType="begin"/>
      </w:r>
      <w:r>
        <w:rPr>
          <w:b/>
          <w:bCs/>
          <w:sz w:val="32"/>
          <w:szCs w:val="32"/>
        </w:rPr>
        <w:instrText xml:space="preserve"> TOC \o "1-1" </w:instrText>
      </w:r>
      <w:r>
        <w:rPr>
          <w:b/>
          <w:bCs/>
          <w:sz w:val="32"/>
          <w:szCs w:val="32"/>
        </w:rPr>
        <w:fldChar w:fldCharType="separate"/>
      </w:r>
      <w:r>
        <w:rPr>
          <w:sz w:val="32"/>
          <w:szCs w:val="32"/>
        </w:rPr>
        <w:t>第一章</w:t>
      </w:r>
      <w:r>
        <w:rPr>
          <w:rFonts w:hint="eastAsia"/>
          <w:sz w:val="32"/>
          <w:szCs w:val="32"/>
        </w:rPr>
        <w:t xml:space="preserve"> </w:t>
      </w:r>
      <w:r>
        <w:rPr>
          <w:sz w:val="32"/>
          <w:szCs w:val="32"/>
        </w:rPr>
        <w:t>竞争性谈判</w:t>
      </w:r>
      <w:r>
        <w:rPr>
          <w:rFonts w:hint="eastAsia"/>
          <w:sz w:val="32"/>
          <w:szCs w:val="32"/>
        </w:rPr>
        <w:t>邀请</w:t>
      </w:r>
      <w:r>
        <w:rPr>
          <w:sz w:val="32"/>
          <w:szCs w:val="32"/>
        </w:rPr>
        <w:tab/>
      </w:r>
      <w:r>
        <w:rPr>
          <w:sz w:val="32"/>
          <w:szCs w:val="32"/>
        </w:rPr>
        <w:t>3</w:t>
      </w:r>
    </w:p>
    <w:p w14:paraId="685AA5C2">
      <w:pPr>
        <w:tabs>
          <w:tab w:val="right" w:leader="dot" w:pos="9072"/>
        </w:tabs>
        <w:adjustRightInd w:val="0"/>
        <w:spacing w:line="1200" w:lineRule="exact"/>
        <w:ind w:right="-2"/>
        <w:jc w:val="center"/>
        <w:textAlignment w:val="baseline"/>
        <w:rPr>
          <w:sz w:val="32"/>
          <w:szCs w:val="32"/>
        </w:rPr>
      </w:pPr>
      <w:r>
        <w:rPr>
          <w:sz w:val="32"/>
          <w:szCs w:val="32"/>
        </w:rPr>
        <w:t>第二章</w:t>
      </w:r>
      <w:r>
        <w:rPr>
          <w:rFonts w:hint="eastAsia"/>
          <w:sz w:val="32"/>
          <w:szCs w:val="32"/>
        </w:rPr>
        <w:t xml:space="preserve"> </w:t>
      </w:r>
      <w:r>
        <w:rPr>
          <w:sz w:val="32"/>
          <w:szCs w:val="32"/>
        </w:rPr>
        <w:t>供应商须知</w:t>
      </w:r>
      <w:r>
        <w:rPr>
          <w:sz w:val="32"/>
          <w:szCs w:val="32"/>
        </w:rPr>
        <w:tab/>
      </w:r>
      <w:r>
        <w:rPr>
          <w:sz w:val="32"/>
          <w:szCs w:val="32"/>
        </w:rPr>
        <w:t>6</w:t>
      </w:r>
    </w:p>
    <w:p w14:paraId="7895F909">
      <w:pPr>
        <w:tabs>
          <w:tab w:val="right" w:leader="dot" w:pos="9072"/>
        </w:tabs>
        <w:adjustRightInd w:val="0"/>
        <w:spacing w:line="1200" w:lineRule="exact"/>
        <w:ind w:right="-2"/>
        <w:jc w:val="center"/>
        <w:textAlignment w:val="baseline"/>
        <w:rPr>
          <w:sz w:val="32"/>
          <w:szCs w:val="32"/>
        </w:rPr>
      </w:pPr>
      <w:r>
        <w:rPr>
          <w:sz w:val="32"/>
          <w:szCs w:val="32"/>
        </w:rPr>
        <w:t>第三章</w:t>
      </w:r>
      <w:r>
        <w:rPr>
          <w:rFonts w:hint="eastAsia"/>
          <w:sz w:val="32"/>
          <w:szCs w:val="32"/>
        </w:rPr>
        <w:t xml:space="preserve"> 采购</w:t>
      </w:r>
      <w:r>
        <w:rPr>
          <w:sz w:val="32"/>
          <w:szCs w:val="32"/>
        </w:rPr>
        <w:t>需求</w:t>
      </w:r>
      <w:r>
        <w:rPr>
          <w:sz w:val="32"/>
          <w:szCs w:val="32"/>
        </w:rPr>
        <w:tab/>
      </w:r>
      <w:r>
        <w:rPr>
          <w:sz w:val="32"/>
          <w:szCs w:val="32"/>
        </w:rPr>
        <w:t>10</w:t>
      </w:r>
    </w:p>
    <w:p w14:paraId="2C7FCE40">
      <w:pPr>
        <w:tabs>
          <w:tab w:val="right" w:leader="dot" w:pos="9072"/>
        </w:tabs>
        <w:adjustRightInd w:val="0"/>
        <w:spacing w:line="1200" w:lineRule="exact"/>
        <w:ind w:right="-2"/>
        <w:jc w:val="center"/>
        <w:textAlignment w:val="baseline"/>
        <w:rPr>
          <w:sz w:val="32"/>
          <w:szCs w:val="32"/>
        </w:rPr>
      </w:pPr>
      <w:r>
        <w:rPr>
          <w:sz w:val="32"/>
          <w:szCs w:val="32"/>
        </w:rPr>
        <w:t>第四章</w:t>
      </w:r>
      <w:r>
        <w:rPr>
          <w:rFonts w:hint="eastAsia"/>
          <w:sz w:val="32"/>
          <w:szCs w:val="32"/>
        </w:rPr>
        <w:t xml:space="preserve"> </w:t>
      </w:r>
      <w:r>
        <w:rPr>
          <w:sz w:val="32"/>
          <w:szCs w:val="32"/>
        </w:rPr>
        <w:t>评审方法和程序</w:t>
      </w:r>
      <w:r>
        <w:rPr>
          <w:sz w:val="32"/>
          <w:szCs w:val="32"/>
        </w:rPr>
        <w:tab/>
      </w:r>
      <w:r>
        <w:rPr>
          <w:sz w:val="32"/>
          <w:szCs w:val="32"/>
        </w:rPr>
        <w:t>14</w:t>
      </w:r>
    </w:p>
    <w:p w14:paraId="3E182A04">
      <w:pPr>
        <w:tabs>
          <w:tab w:val="right" w:leader="dot" w:pos="9072"/>
        </w:tabs>
        <w:adjustRightInd w:val="0"/>
        <w:spacing w:line="1200" w:lineRule="exact"/>
        <w:ind w:right="-2"/>
        <w:jc w:val="center"/>
        <w:textAlignment w:val="baseline"/>
        <w:rPr>
          <w:sz w:val="32"/>
          <w:szCs w:val="32"/>
        </w:rPr>
      </w:pPr>
      <w:bookmarkStart w:id="10" w:name="_Hlk79543514"/>
      <w:r>
        <w:rPr>
          <w:sz w:val="32"/>
          <w:szCs w:val="32"/>
        </w:rPr>
        <w:t>第五章</w:t>
      </w:r>
      <w:r>
        <w:rPr>
          <w:rFonts w:hint="eastAsia"/>
          <w:sz w:val="32"/>
          <w:szCs w:val="32"/>
        </w:rPr>
        <w:t xml:space="preserve"> </w:t>
      </w:r>
      <w:r>
        <w:rPr>
          <w:sz w:val="32"/>
          <w:szCs w:val="32"/>
        </w:rPr>
        <w:t>合同</w:t>
      </w:r>
      <w:r>
        <w:rPr>
          <w:rFonts w:hint="eastAsia"/>
          <w:sz w:val="32"/>
          <w:szCs w:val="32"/>
        </w:rPr>
        <w:t>条款</w:t>
      </w:r>
      <w:r>
        <w:rPr>
          <w:sz w:val="32"/>
          <w:szCs w:val="32"/>
        </w:rPr>
        <w:tab/>
      </w:r>
      <w:r>
        <w:rPr>
          <w:sz w:val="32"/>
          <w:szCs w:val="32"/>
        </w:rPr>
        <w:t>2</w:t>
      </w:r>
      <w:bookmarkEnd w:id="10"/>
      <w:r>
        <w:rPr>
          <w:sz w:val="32"/>
          <w:szCs w:val="32"/>
        </w:rPr>
        <w:t>2</w:t>
      </w:r>
    </w:p>
    <w:p w14:paraId="4010C135">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六</w:t>
      </w:r>
      <w:r>
        <w:rPr>
          <w:sz w:val="32"/>
          <w:szCs w:val="32"/>
        </w:rPr>
        <w:t>章</w:t>
      </w:r>
      <w:r>
        <w:rPr>
          <w:rFonts w:hint="eastAsia"/>
          <w:sz w:val="32"/>
          <w:szCs w:val="32"/>
        </w:rPr>
        <w:t xml:space="preserve"> 合同授予</w:t>
      </w:r>
      <w:r>
        <w:rPr>
          <w:sz w:val="32"/>
          <w:szCs w:val="32"/>
        </w:rPr>
        <w:tab/>
      </w:r>
      <w:r>
        <w:rPr>
          <w:sz w:val="32"/>
          <w:szCs w:val="32"/>
        </w:rPr>
        <w:t>29</w:t>
      </w:r>
    </w:p>
    <w:p w14:paraId="5DD0DB5B">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七</w:t>
      </w:r>
      <w:r>
        <w:rPr>
          <w:sz w:val="32"/>
          <w:szCs w:val="32"/>
        </w:rPr>
        <w:t>章</w:t>
      </w:r>
      <w:r>
        <w:rPr>
          <w:rFonts w:hint="eastAsia"/>
          <w:sz w:val="32"/>
          <w:szCs w:val="32"/>
        </w:rPr>
        <w:t xml:space="preserve"> </w:t>
      </w:r>
      <w:r>
        <w:rPr>
          <w:sz w:val="32"/>
          <w:szCs w:val="32"/>
        </w:rPr>
        <w:t>质疑与投诉</w:t>
      </w:r>
      <w:r>
        <w:rPr>
          <w:sz w:val="32"/>
          <w:szCs w:val="32"/>
        </w:rPr>
        <w:tab/>
      </w:r>
      <w:r>
        <w:rPr>
          <w:sz w:val="32"/>
          <w:szCs w:val="32"/>
        </w:rPr>
        <w:t>30</w:t>
      </w:r>
    </w:p>
    <w:p w14:paraId="307C0861">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八</w:t>
      </w:r>
      <w:r>
        <w:rPr>
          <w:sz w:val="32"/>
          <w:szCs w:val="32"/>
        </w:rPr>
        <w:t>章</w:t>
      </w:r>
      <w:r>
        <w:rPr>
          <w:rFonts w:hint="eastAsia"/>
          <w:sz w:val="32"/>
          <w:szCs w:val="32"/>
        </w:rPr>
        <w:t xml:space="preserve"> </w:t>
      </w:r>
      <w:r>
        <w:rPr>
          <w:sz w:val="32"/>
          <w:szCs w:val="32"/>
        </w:rPr>
        <w:t>竞争性谈判响应文件</w:t>
      </w:r>
      <w:r>
        <w:rPr>
          <w:rFonts w:hint="eastAsia"/>
          <w:sz w:val="32"/>
          <w:szCs w:val="32"/>
        </w:rPr>
        <w:t>的组成和</w:t>
      </w:r>
      <w:r>
        <w:rPr>
          <w:sz w:val="32"/>
          <w:szCs w:val="32"/>
        </w:rPr>
        <w:t>格式</w:t>
      </w:r>
      <w:r>
        <w:rPr>
          <w:sz w:val="32"/>
          <w:szCs w:val="32"/>
        </w:rPr>
        <w:tab/>
      </w:r>
      <w:r>
        <w:rPr>
          <w:sz w:val="32"/>
          <w:szCs w:val="32"/>
        </w:rPr>
        <w:t>33</w:t>
      </w:r>
    </w:p>
    <w:p w14:paraId="215A2E4F">
      <w:pPr>
        <w:snapToGrid w:val="0"/>
        <w:rPr>
          <w:b/>
          <w:bCs/>
          <w:sz w:val="32"/>
          <w:szCs w:val="32"/>
        </w:rPr>
      </w:pPr>
      <w:r>
        <w:rPr>
          <w:b/>
          <w:bCs/>
          <w:sz w:val="32"/>
          <w:szCs w:val="32"/>
        </w:rPr>
        <w:fldChar w:fldCharType="end"/>
      </w:r>
    </w:p>
    <w:p w14:paraId="1BAF419A">
      <w:pPr>
        <w:snapToGrid w:val="0"/>
        <w:rPr>
          <w:b/>
          <w:bCs/>
          <w:sz w:val="24"/>
          <w:szCs w:val="24"/>
        </w:rPr>
        <w:sectPr>
          <w:type w:val="continuous"/>
          <w:pgSz w:w="11907" w:h="16840"/>
          <w:pgMar w:top="1134" w:right="851" w:bottom="851" w:left="1418" w:header="709" w:footer="380" w:gutter="0"/>
          <w:cols w:space="720" w:num="1"/>
          <w:docGrid w:linePitch="312" w:charSpace="6144"/>
        </w:sectPr>
      </w:pPr>
    </w:p>
    <w:p w14:paraId="2D746D90">
      <w:pPr>
        <w:widowControl/>
        <w:jc w:val="left"/>
        <w:rPr>
          <w:b/>
          <w:bCs/>
          <w:sz w:val="24"/>
          <w:szCs w:val="24"/>
        </w:rPr>
      </w:pPr>
      <w:r>
        <w:rPr>
          <w:b/>
          <w:bCs/>
          <w:sz w:val="24"/>
          <w:szCs w:val="24"/>
        </w:rPr>
        <w:br w:type="page"/>
      </w:r>
    </w:p>
    <w:p w14:paraId="669C0520">
      <w:pPr>
        <w:snapToGrid w:val="0"/>
        <w:rPr>
          <w:b/>
          <w:bCs/>
          <w:sz w:val="24"/>
          <w:szCs w:val="24"/>
        </w:rPr>
      </w:pPr>
      <w:r>
        <w:rPr>
          <w:b/>
          <w:bCs/>
          <w:sz w:val="24"/>
          <w:szCs w:val="24"/>
        </w:rPr>
        <w:t>尊敬的供应商：</w:t>
      </w:r>
    </w:p>
    <w:p w14:paraId="0A7D9856">
      <w:pPr>
        <w:snapToGrid w:val="0"/>
        <w:ind w:firstLine="480" w:firstLineChars="200"/>
        <w:rPr>
          <w:sz w:val="24"/>
          <w:szCs w:val="24"/>
        </w:rPr>
      </w:pPr>
      <w:r>
        <w:rPr>
          <w:b/>
          <w:bCs/>
          <w:sz w:val="24"/>
          <w:szCs w:val="24"/>
        </w:rPr>
        <w:t>欢迎参加本采购项目的竞争性谈判。为保证本次谈判项目顺利进行，请在制作竞争性谈判响应文件之前，仔细阅读本竞争性谈判文件的各项条款，并按要求制作和递交竞争性谈判响应文件。谢谢合作！</w:t>
      </w:r>
    </w:p>
    <w:p w14:paraId="0F49CA73">
      <w:pPr>
        <w:tabs>
          <w:tab w:val="left" w:pos="1050"/>
          <w:tab w:val="right" w:leader="dot" w:pos="9402"/>
        </w:tabs>
        <w:spacing w:before="240" w:beforeLines="100" w:after="240" w:afterLines="100" w:line="600" w:lineRule="exact"/>
        <w:jc w:val="center"/>
        <w:outlineLvl w:val="0"/>
        <w:rPr>
          <w:b/>
          <w:w w:val="80"/>
          <w:sz w:val="36"/>
          <w:szCs w:val="36"/>
        </w:rPr>
      </w:pPr>
      <w:bookmarkStart w:id="11" w:name="_Toc363573853"/>
      <w:r>
        <w:rPr>
          <w:b/>
          <w:w w:val="80"/>
          <w:sz w:val="36"/>
          <w:szCs w:val="36"/>
        </w:rPr>
        <w:t>第一章</w:t>
      </w:r>
      <w:r>
        <w:rPr>
          <w:rFonts w:hint="eastAsia"/>
          <w:b/>
          <w:w w:val="80"/>
          <w:sz w:val="36"/>
          <w:szCs w:val="36"/>
        </w:rPr>
        <w:t xml:space="preserve"> </w:t>
      </w:r>
      <w:r>
        <w:rPr>
          <w:b/>
          <w:w w:val="80"/>
          <w:sz w:val="36"/>
          <w:szCs w:val="36"/>
        </w:rPr>
        <w:t>竞争性谈判</w:t>
      </w:r>
      <w:bookmarkEnd w:id="0"/>
      <w:bookmarkEnd w:id="1"/>
      <w:bookmarkEnd w:id="2"/>
      <w:bookmarkEnd w:id="3"/>
      <w:bookmarkEnd w:id="4"/>
      <w:bookmarkEnd w:id="5"/>
      <w:bookmarkEnd w:id="6"/>
      <w:bookmarkEnd w:id="7"/>
      <w:bookmarkEnd w:id="8"/>
      <w:bookmarkEnd w:id="9"/>
      <w:bookmarkEnd w:id="11"/>
      <w:r>
        <w:rPr>
          <w:rFonts w:hint="eastAsia"/>
          <w:b/>
          <w:w w:val="80"/>
          <w:sz w:val="36"/>
          <w:szCs w:val="36"/>
        </w:rPr>
        <w:t>邀请</w:t>
      </w:r>
    </w:p>
    <w:p w14:paraId="1CE861E4">
      <w:pPr>
        <w:pBdr>
          <w:top w:val="single" w:color="auto" w:sz="4" w:space="0"/>
          <w:left w:val="single" w:color="auto" w:sz="4" w:space="4"/>
          <w:bottom w:val="single" w:color="auto" w:sz="4" w:space="1"/>
          <w:right w:val="single" w:color="auto" w:sz="4" w:space="0"/>
        </w:pBdr>
        <w:spacing w:line="420" w:lineRule="exact"/>
        <w:ind w:firstLine="480" w:firstLineChars="200"/>
        <w:rPr>
          <w:b/>
          <w:bCs/>
          <w:sz w:val="24"/>
          <w:szCs w:val="24"/>
        </w:rPr>
      </w:pPr>
      <w:bookmarkStart w:id="12" w:name="_Hlk6576047"/>
      <w:bookmarkStart w:id="13" w:name="_Hlk153356134"/>
      <w:bookmarkStart w:id="14" w:name="_Hlk3149957"/>
      <w:r>
        <w:rPr>
          <w:b/>
          <w:bCs/>
          <w:sz w:val="24"/>
          <w:szCs w:val="24"/>
        </w:rPr>
        <w:t>项目概况</w:t>
      </w:r>
    </w:p>
    <w:p w14:paraId="1A001F94">
      <w:pPr>
        <w:pBdr>
          <w:top w:val="single" w:color="auto" w:sz="4" w:space="0"/>
          <w:left w:val="single" w:color="auto" w:sz="4" w:space="4"/>
          <w:bottom w:val="single" w:color="auto" w:sz="4" w:space="1"/>
          <w:right w:val="single" w:color="auto" w:sz="4" w:space="0"/>
        </w:pBdr>
        <w:spacing w:line="420" w:lineRule="exact"/>
        <w:ind w:firstLine="480" w:firstLineChars="200"/>
        <w:rPr>
          <w:b/>
          <w:bCs/>
          <w:sz w:val="24"/>
          <w:szCs w:val="24"/>
        </w:rPr>
      </w:pPr>
      <w:r>
        <w:rPr>
          <w:rFonts w:hint="eastAsia"/>
          <w:b/>
          <w:bCs/>
          <w:sz w:val="24"/>
          <w:szCs w:val="24"/>
          <w:u w:val="single"/>
        </w:rPr>
        <w:t>南通市崇川区电子政务外网机房精密空调运行维护和防鼠灭鼠服务采购项目</w:t>
      </w:r>
      <w:r>
        <w:rPr>
          <w:b/>
          <w:bCs/>
          <w:sz w:val="24"/>
          <w:szCs w:val="24"/>
        </w:rPr>
        <w:t>的潜在供应商应在</w:t>
      </w:r>
      <w:r>
        <w:rPr>
          <w:b/>
          <w:bCs/>
          <w:sz w:val="24"/>
          <w:szCs w:val="24"/>
          <w:u w:val="single"/>
        </w:rPr>
        <w:t>“南通市崇川区人民政府网(www.chongchuan.gov.cn)→我要看→公示公告栏”</w:t>
      </w:r>
      <w:r>
        <w:rPr>
          <w:rFonts w:hint="eastAsia"/>
          <w:b/>
          <w:bCs/>
          <w:sz w:val="24"/>
          <w:szCs w:val="24"/>
          <w:u w:val="single"/>
        </w:rPr>
        <w:t>内</w:t>
      </w:r>
      <w:r>
        <w:rPr>
          <w:b/>
          <w:bCs/>
          <w:sz w:val="24"/>
          <w:szCs w:val="24"/>
        </w:rPr>
        <w:t>获取采购文件，并于</w:t>
      </w:r>
      <w:r>
        <w:rPr>
          <w:b/>
          <w:bCs/>
          <w:sz w:val="24"/>
          <w:szCs w:val="24"/>
          <w:u w:val="single"/>
        </w:rPr>
        <w:t>2026年5月</w:t>
      </w:r>
      <w:r>
        <w:rPr>
          <w:rFonts w:hint="eastAsia"/>
          <w:b/>
          <w:bCs/>
          <w:sz w:val="24"/>
          <w:szCs w:val="24"/>
          <w:u w:val="single"/>
          <w:lang w:val="en-US" w:eastAsia="zh-CN"/>
        </w:rPr>
        <w:t>28</w:t>
      </w:r>
      <w:r>
        <w:rPr>
          <w:b/>
          <w:bCs/>
          <w:sz w:val="24"/>
          <w:szCs w:val="24"/>
          <w:u w:val="single"/>
        </w:rPr>
        <w:t>日14时</w:t>
      </w:r>
      <w:r>
        <w:rPr>
          <w:b/>
          <w:bCs/>
          <w:sz w:val="24"/>
          <w:szCs w:val="24"/>
        </w:rPr>
        <w:t>（北京时间</w:t>
      </w:r>
      <w:r>
        <w:rPr>
          <w:rFonts w:hint="eastAsia"/>
          <w:b/>
          <w:bCs/>
          <w:sz w:val="24"/>
          <w:szCs w:val="24"/>
        </w:rPr>
        <w:t>，下同。</w:t>
      </w:r>
      <w:r>
        <w:rPr>
          <w:b/>
          <w:bCs/>
          <w:sz w:val="24"/>
          <w:szCs w:val="24"/>
        </w:rPr>
        <w:t>）</w:t>
      </w:r>
      <w:r>
        <w:rPr>
          <w:rFonts w:hint="eastAsia"/>
          <w:b/>
          <w:bCs/>
          <w:sz w:val="24"/>
          <w:szCs w:val="24"/>
        </w:rPr>
        <w:t>前</w:t>
      </w:r>
      <w:r>
        <w:rPr>
          <w:b/>
          <w:bCs/>
          <w:sz w:val="24"/>
          <w:szCs w:val="24"/>
        </w:rPr>
        <w:t>提交</w:t>
      </w:r>
      <w:r>
        <w:rPr>
          <w:rFonts w:hint="eastAsia"/>
          <w:b/>
          <w:bCs/>
          <w:sz w:val="24"/>
          <w:szCs w:val="24"/>
        </w:rPr>
        <w:t>竞争性谈判响应文件</w:t>
      </w:r>
      <w:r>
        <w:rPr>
          <w:b/>
          <w:bCs/>
          <w:sz w:val="24"/>
          <w:szCs w:val="24"/>
        </w:rPr>
        <w:t>。</w:t>
      </w:r>
    </w:p>
    <w:p w14:paraId="11C829A4">
      <w:pPr>
        <w:snapToGrid w:val="0"/>
        <w:spacing w:before="240" w:beforeLines="100" w:line="420" w:lineRule="exact"/>
        <w:ind w:firstLine="480" w:firstLineChars="200"/>
        <w:rPr>
          <w:sz w:val="24"/>
          <w:szCs w:val="24"/>
        </w:rPr>
      </w:pPr>
      <w:r>
        <w:rPr>
          <w:sz w:val="24"/>
          <w:szCs w:val="24"/>
        </w:rPr>
        <w:t>南通辉华企业管理咨询有限公司（以下称采购代理机构）受南通市崇川区数据局（以下称采购人）的委托，</w:t>
      </w:r>
      <w:r>
        <w:rPr>
          <w:rFonts w:hint="eastAsia"/>
          <w:sz w:val="24"/>
          <w:szCs w:val="24"/>
        </w:rPr>
        <w:t>就采购人所需</w:t>
      </w:r>
      <w:r>
        <w:rPr>
          <w:sz w:val="24"/>
          <w:szCs w:val="24"/>
        </w:rPr>
        <w:t>南通市崇川区电子政务外网机房精密空调和防鼠灭鼠服务</w:t>
      </w:r>
      <w:r>
        <w:rPr>
          <w:rFonts w:hint="eastAsia"/>
          <w:sz w:val="24"/>
          <w:szCs w:val="24"/>
        </w:rPr>
        <w:t>项目</w:t>
      </w:r>
      <w:r>
        <w:rPr>
          <w:sz w:val="24"/>
          <w:szCs w:val="24"/>
        </w:rPr>
        <w:t>组织竞争性谈判采购，诚邀符合条件的潜在供应商参加该项目的竞争性谈判。</w:t>
      </w:r>
    </w:p>
    <w:p w14:paraId="46F226E2">
      <w:pPr>
        <w:snapToGrid w:val="0"/>
        <w:spacing w:line="420" w:lineRule="exact"/>
        <w:ind w:left="-2" w:leftChars="-1" w:firstLine="569"/>
        <w:outlineLvl w:val="1"/>
        <w:rPr>
          <w:b/>
          <w:bCs/>
          <w:sz w:val="24"/>
          <w:szCs w:val="24"/>
        </w:rPr>
      </w:pPr>
      <w:r>
        <w:rPr>
          <w:rFonts w:cs="宋体"/>
          <w:b/>
          <w:bCs/>
          <w:sz w:val="24"/>
          <w:szCs w:val="24"/>
        </w:rPr>
        <w:t>一、</w:t>
      </w:r>
      <w:r>
        <w:rPr>
          <w:rFonts w:hint="eastAsia" w:cs="宋体"/>
          <w:b/>
          <w:bCs/>
          <w:sz w:val="24"/>
          <w:szCs w:val="24"/>
        </w:rPr>
        <w:t>项目基本情况</w:t>
      </w:r>
    </w:p>
    <w:p w14:paraId="52CA8FAE">
      <w:pPr>
        <w:autoSpaceDE w:val="0"/>
        <w:autoSpaceDN w:val="0"/>
        <w:adjustRightInd w:val="0"/>
        <w:spacing w:line="420" w:lineRule="exact"/>
        <w:ind w:firstLine="567"/>
        <w:rPr>
          <w:sz w:val="24"/>
          <w:szCs w:val="24"/>
        </w:rPr>
      </w:pPr>
      <w:r>
        <w:rPr>
          <w:sz w:val="24"/>
          <w:szCs w:val="24"/>
        </w:rPr>
        <w:t>1.项目编号：NTHH2026011(JT01)；</w:t>
      </w:r>
    </w:p>
    <w:p w14:paraId="3FF6EF69">
      <w:pPr>
        <w:autoSpaceDE w:val="0"/>
        <w:autoSpaceDN w:val="0"/>
        <w:adjustRightInd w:val="0"/>
        <w:spacing w:line="420" w:lineRule="exact"/>
        <w:ind w:firstLine="567"/>
        <w:rPr>
          <w:sz w:val="24"/>
          <w:szCs w:val="24"/>
        </w:rPr>
      </w:pPr>
      <w:r>
        <w:rPr>
          <w:sz w:val="24"/>
          <w:szCs w:val="24"/>
        </w:rPr>
        <w:t>2.项目名称：南通市崇川区电子政务外网机房精密空调</w:t>
      </w:r>
      <w:r>
        <w:rPr>
          <w:rFonts w:hint="eastAsia"/>
          <w:sz w:val="24"/>
          <w:szCs w:val="24"/>
        </w:rPr>
        <w:t>运行维护</w:t>
      </w:r>
      <w:r>
        <w:rPr>
          <w:sz w:val="24"/>
          <w:szCs w:val="24"/>
        </w:rPr>
        <w:t>和防鼠灭鼠服务采购项目；</w:t>
      </w:r>
    </w:p>
    <w:p w14:paraId="7F4B69E1">
      <w:pPr>
        <w:autoSpaceDE w:val="0"/>
        <w:autoSpaceDN w:val="0"/>
        <w:adjustRightInd w:val="0"/>
        <w:spacing w:line="420" w:lineRule="exact"/>
        <w:ind w:firstLine="567"/>
        <w:rPr>
          <w:sz w:val="24"/>
          <w:szCs w:val="24"/>
        </w:rPr>
      </w:pPr>
      <w:r>
        <w:rPr>
          <w:rFonts w:hint="eastAsia"/>
          <w:sz w:val="24"/>
          <w:szCs w:val="24"/>
        </w:rPr>
        <w:t>3</w:t>
      </w:r>
      <w:r>
        <w:rPr>
          <w:sz w:val="24"/>
          <w:szCs w:val="24"/>
        </w:rPr>
        <w:t>.</w:t>
      </w:r>
      <w:r>
        <w:rPr>
          <w:rFonts w:hint="eastAsia"/>
          <w:sz w:val="24"/>
          <w:szCs w:val="24"/>
        </w:rPr>
        <w:t>采购方式：竞争性谈判；</w:t>
      </w:r>
    </w:p>
    <w:p w14:paraId="0B29DBAC">
      <w:pPr>
        <w:autoSpaceDE w:val="0"/>
        <w:autoSpaceDN w:val="0"/>
        <w:adjustRightInd w:val="0"/>
        <w:spacing w:line="420" w:lineRule="exact"/>
        <w:ind w:firstLine="567"/>
        <w:rPr>
          <w:sz w:val="24"/>
          <w:szCs w:val="24"/>
        </w:rPr>
      </w:pPr>
      <w:r>
        <w:rPr>
          <w:rFonts w:hint="eastAsia"/>
          <w:sz w:val="24"/>
          <w:szCs w:val="24"/>
        </w:rPr>
        <w:t>4</w:t>
      </w:r>
      <w:r>
        <w:rPr>
          <w:sz w:val="24"/>
          <w:szCs w:val="24"/>
        </w:rPr>
        <w:t>.项目预算：</w:t>
      </w:r>
      <w:bookmarkStart w:id="15" w:name="_Hlk153030168"/>
      <w:r>
        <w:rPr>
          <w:rFonts w:hint="eastAsia"/>
          <w:sz w:val="24"/>
          <w:szCs w:val="24"/>
        </w:rPr>
        <w:t>人民币</w:t>
      </w:r>
      <w:r>
        <w:rPr>
          <w:rFonts w:hint="eastAsia"/>
          <w:sz w:val="24"/>
          <w:szCs w:val="24"/>
          <w:lang w:val="en-US" w:eastAsia="zh-CN"/>
        </w:rPr>
        <w:t>10</w:t>
      </w:r>
      <w:r>
        <w:rPr>
          <w:rFonts w:hint="eastAsia"/>
          <w:sz w:val="24"/>
          <w:szCs w:val="24"/>
        </w:rPr>
        <w:t>万元/年；</w:t>
      </w:r>
      <w:bookmarkEnd w:id="15"/>
    </w:p>
    <w:p w14:paraId="5FDCFD92">
      <w:pPr>
        <w:autoSpaceDE w:val="0"/>
        <w:autoSpaceDN w:val="0"/>
        <w:adjustRightInd w:val="0"/>
        <w:spacing w:line="420" w:lineRule="exact"/>
        <w:ind w:firstLine="567"/>
        <w:rPr>
          <w:sz w:val="24"/>
          <w:szCs w:val="24"/>
        </w:rPr>
      </w:pPr>
      <w:r>
        <w:rPr>
          <w:rFonts w:hint="eastAsia"/>
          <w:sz w:val="24"/>
          <w:szCs w:val="24"/>
        </w:rPr>
        <w:t>5</w:t>
      </w:r>
      <w:r>
        <w:rPr>
          <w:sz w:val="24"/>
          <w:szCs w:val="24"/>
        </w:rPr>
        <w:t>.</w:t>
      </w:r>
      <w:r>
        <w:rPr>
          <w:rFonts w:hint="eastAsia"/>
          <w:sz w:val="24"/>
          <w:szCs w:val="24"/>
        </w:rPr>
        <w:t>最高限价：人民币1</w:t>
      </w:r>
      <w:r>
        <w:rPr>
          <w:rFonts w:hint="default"/>
          <w:sz w:val="24"/>
          <w:szCs w:val="24"/>
          <w:lang w:val="en-US"/>
        </w:rPr>
        <w:t>0</w:t>
      </w:r>
      <w:r>
        <w:rPr>
          <w:rFonts w:hint="eastAsia"/>
          <w:sz w:val="24"/>
          <w:szCs w:val="24"/>
        </w:rPr>
        <w:t>万元/年；</w:t>
      </w:r>
    </w:p>
    <w:p w14:paraId="3BF8AAB2">
      <w:pPr>
        <w:autoSpaceDE w:val="0"/>
        <w:autoSpaceDN w:val="0"/>
        <w:adjustRightInd w:val="0"/>
        <w:spacing w:line="420" w:lineRule="exact"/>
        <w:ind w:firstLine="567"/>
        <w:rPr>
          <w:sz w:val="24"/>
          <w:szCs w:val="24"/>
        </w:rPr>
      </w:pPr>
      <w:r>
        <w:rPr>
          <w:rFonts w:hint="eastAsia"/>
          <w:sz w:val="24"/>
          <w:szCs w:val="24"/>
        </w:rPr>
        <w:t>6</w:t>
      </w:r>
      <w:r>
        <w:rPr>
          <w:sz w:val="24"/>
          <w:szCs w:val="24"/>
        </w:rPr>
        <w:t>.</w:t>
      </w:r>
      <w:r>
        <w:rPr>
          <w:rFonts w:hint="eastAsia"/>
          <w:sz w:val="24"/>
          <w:szCs w:val="24"/>
        </w:rPr>
        <w:t>采购</w:t>
      </w:r>
      <w:r>
        <w:rPr>
          <w:sz w:val="24"/>
          <w:szCs w:val="24"/>
        </w:rPr>
        <w:t>需求：</w:t>
      </w:r>
      <w:r>
        <w:rPr>
          <w:rFonts w:hint="eastAsia"/>
          <w:sz w:val="24"/>
          <w:szCs w:val="24"/>
        </w:rPr>
        <w:t>采购人拟对</w:t>
      </w:r>
      <w:bookmarkStart w:id="16" w:name="_Hlk153021094"/>
      <w:r>
        <w:rPr>
          <w:rFonts w:hint="eastAsia"/>
          <w:sz w:val="24"/>
          <w:szCs w:val="24"/>
        </w:rPr>
        <w:t>南通市崇川区电子政务外网机房精密空调和防鼠灭鼠所需的服务进行采购</w:t>
      </w:r>
      <w:bookmarkEnd w:id="16"/>
      <w:r>
        <w:rPr>
          <w:rFonts w:hint="eastAsia"/>
          <w:sz w:val="24"/>
          <w:szCs w:val="24"/>
        </w:rPr>
        <w:t>，</w:t>
      </w:r>
      <w:r>
        <w:rPr>
          <w:sz w:val="24"/>
          <w:szCs w:val="24"/>
        </w:rPr>
        <w:t>详见</w:t>
      </w:r>
      <w:r>
        <w:rPr>
          <w:rFonts w:hint="eastAsia"/>
          <w:sz w:val="24"/>
          <w:szCs w:val="24"/>
        </w:rPr>
        <w:t>竞争性谈判文件</w:t>
      </w:r>
      <w:r>
        <w:rPr>
          <w:sz w:val="24"/>
          <w:szCs w:val="24"/>
        </w:rPr>
        <w:t>第三章；</w:t>
      </w:r>
    </w:p>
    <w:p w14:paraId="4DB954A4">
      <w:pPr>
        <w:autoSpaceDE w:val="0"/>
        <w:autoSpaceDN w:val="0"/>
        <w:adjustRightInd w:val="0"/>
        <w:spacing w:line="420" w:lineRule="exact"/>
        <w:ind w:firstLine="567"/>
        <w:rPr>
          <w:sz w:val="24"/>
          <w:szCs w:val="24"/>
        </w:rPr>
      </w:pPr>
      <w:r>
        <w:rPr>
          <w:rFonts w:hint="eastAsia"/>
          <w:sz w:val="24"/>
          <w:szCs w:val="24"/>
        </w:rPr>
        <w:t>7.服务期和合同履行期限：</w:t>
      </w:r>
      <w:bookmarkStart w:id="17" w:name="_Hlk153022780"/>
    </w:p>
    <w:bookmarkEnd w:id="17"/>
    <w:p w14:paraId="59F0F995">
      <w:pPr>
        <w:autoSpaceDE w:val="0"/>
        <w:autoSpaceDN w:val="0"/>
        <w:adjustRightInd w:val="0"/>
        <w:spacing w:line="420" w:lineRule="exact"/>
        <w:ind w:firstLine="567"/>
        <w:rPr>
          <w:rFonts w:cs="宋体"/>
          <w:sz w:val="24"/>
          <w:szCs w:val="24"/>
        </w:rPr>
      </w:pPr>
      <w:r>
        <w:rPr>
          <w:rFonts w:hint="eastAsia" w:cs="宋体"/>
          <w:sz w:val="24"/>
          <w:szCs w:val="24"/>
        </w:rPr>
        <w:t>（1）本项目服务期三年，合同一年一签订（即单年度合同履行期限为12个月）。</w:t>
      </w:r>
    </w:p>
    <w:p w14:paraId="0CA3B973">
      <w:pPr>
        <w:autoSpaceDE w:val="0"/>
        <w:autoSpaceDN w:val="0"/>
        <w:adjustRightInd w:val="0"/>
        <w:spacing w:line="420" w:lineRule="exact"/>
        <w:ind w:firstLine="567"/>
        <w:rPr>
          <w:rFonts w:cs="宋体"/>
          <w:sz w:val="24"/>
          <w:szCs w:val="24"/>
        </w:rPr>
      </w:pPr>
      <w:r>
        <w:rPr>
          <w:rFonts w:hint="eastAsia" w:cs="宋体"/>
          <w:sz w:val="24"/>
          <w:szCs w:val="24"/>
        </w:rPr>
        <w:t>（2）本项目服务期内的首年度合同履行期限为采购合同签订生效，采购人通知服务之日起计的1年（即12个月），经服务评价合格且下一年度财政预算下达后，签订服务期内第2年度的合同，并以此类推至服务期期满。</w:t>
      </w:r>
    </w:p>
    <w:p w14:paraId="000E2EF9">
      <w:pPr>
        <w:autoSpaceDE w:val="0"/>
        <w:autoSpaceDN w:val="0"/>
        <w:adjustRightInd w:val="0"/>
        <w:spacing w:line="420" w:lineRule="exact"/>
        <w:ind w:firstLine="567"/>
        <w:rPr>
          <w:rFonts w:cs="宋体"/>
          <w:sz w:val="24"/>
          <w:szCs w:val="24"/>
        </w:rPr>
      </w:pPr>
      <w:r>
        <w:rPr>
          <w:rFonts w:hint="eastAsia" w:cs="宋体"/>
          <w:sz w:val="24"/>
          <w:szCs w:val="24"/>
        </w:rPr>
        <w:t>（3）服务期内，如本项目服务范围、服务内容等发生实质性变更，双方应本着公平合理原则协商一致，根据实际情况确定继续履行合同或提前终止合同；合同提前终止的，双方应就已完成服务及费用结算妥善处理完毕，同时采购人可以根据项目新的服务范围、服务内容及要求，重新开展采购活动。</w:t>
      </w:r>
    </w:p>
    <w:p w14:paraId="3B2CB0CB">
      <w:pPr>
        <w:autoSpaceDE w:val="0"/>
        <w:autoSpaceDN w:val="0"/>
        <w:adjustRightInd w:val="0"/>
        <w:spacing w:line="420" w:lineRule="exact"/>
        <w:ind w:firstLine="567"/>
        <w:rPr>
          <w:sz w:val="24"/>
          <w:szCs w:val="24"/>
        </w:rPr>
      </w:pPr>
      <w:r>
        <w:rPr>
          <w:rFonts w:hint="eastAsia"/>
          <w:sz w:val="24"/>
          <w:szCs w:val="24"/>
        </w:rPr>
        <w:t>8.联合体：本项目不接受多个供应商组成联合体参与采购活动。</w:t>
      </w:r>
    </w:p>
    <w:p w14:paraId="3C872747">
      <w:pPr>
        <w:snapToGrid w:val="0"/>
        <w:spacing w:line="420" w:lineRule="exact"/>
        <w:ind w:left="-2" w:leftChars="-1" w:firstLine="569"/>
        <w:outlineLvl w:val="1"/>
        <w:rPr>
          <w:b/>
          <w:bCs/>
          <w:sz w:val="24"/>
          <w:szCs w:val="24"/>
        </w:rPr>
      </w:pPr>
      <w:r>
        <w:rPr>
          <w:rFonts w:hint="eastAsia" w:cs="宋体"/>
          <w:b/>
          <w:bCs/>
          <w:sz w:val="24"/>
          <w:szCs w:val="24"/>
        </w:rPr>
        <w:t>二</w:t>
      </w:r>
      <w:r>
        <w:rPr>
          <w:rFonts w:cs="宋体"/>
          <w:b/>
          <w:bCs/>
          <w:sz w:val="24"/>
          <w:szCs w:val="24"/>
        </w:rPr>
        <w:t>、谈判供应商资格要求</w:t>
      </w:r>
    </w:p>
    <w:p w14:paraId="27FA9381">
      <w:pPr>
        <w:autoSpaceDE w:val="0"/>
        <w:autoSpaceDN w:val="0"/>
        <w:adjustRightInd w:val="0"/>
        <w:spacing w:line="420" w:lineRule="exact"/>
        <w:ind w:firstLine="567"/>
        <w:rPr>
          <w:sz w:val="24"/>
          <w:szCs w:val="24"/>
        </w:rPr>
      </w:pPr>
      <w:r>
        <w:rPr>
          <w:rFonts w:hint="eastAsia"/>
          <w:sz w:val="24"/>
          <w:szCs w:val="24"/>
        </w:rPr>
        <w:t>1.</w:t>
      </w:r>
      <w:r>
        <w:rPr>
          <w:rFonts w:hint="eastAsia"/>
          <w:sz w:val="24"/>
          <w:szCs w:val="24"/>
        </w:rPr>
        <w:tab/>
      </w:r>
      <w:r>
        <w:rPr>
          <w:rFonts w:hint="eastAsia"/>
          <w:sz w:val="24"/>
          <w:szCs w:val="24"/>
        </w:rPr>
        <w:t>满足《中华人民共和国政府采购法》第二十二条规定：</w:t>
      </w:r>
      <w:r>
        <w:rPr>
          <w:sz w:val="24"/>
          <w:szCs w:val="24"/>
        </w:rPr>
        <w:t>具有独立承担民事责任的能力；具有良好的商业信誉和健全的财务会计制度；具有履行合同所必需的设备和专业技术能力；有依法缴纳“税收”和“社会保障资金”的良好记录；参加本项目采购活动前三年内，在经营活动中没有重大违法记录。</w:t>
      </w:r>
    </w:p>
    <w:p w14:paraId="52F984FE">
      <w:pPr>
        <w:autoSpaceDE w:val="0"/>
        <w:autoSpaceDN w:val="0"/>
        <w:adjustRightInd w:val="0"/>
        <w:spacing w:line="420" w:lineRule="exact"/>
        <w:ind w:firstLine="567"/>
        <w:rPr>
          <w:sz w:val="24"/>
          <w:szCs w:val="24"/>
        </w:rPr>
      </w:pPr>
      <w:r>
        <w:rPr>
          <w:rFonts w:hint="eastAsia"/>
          <w:sz w:val="24"/>
          <w:szCs w:val="24"/>
        </w:rPr>
        <w:t>2</w:t>
      </w:r>
      <w:r>
        <w:rPr>
          <w:sz w:val="24"/>
          <w:szCs w:val="24"/>
        </w:rPr>
        <w:t>.</w:t>
      </w:r>
      <w:r>
        <w:rPr>
          <w:rFonts w:hint="eastAsia"/>
          <w:sz w:val="24"/>
          <w:szCs w:val="24"/>
        </w:rPr>
        <w:t>落实政府采购政策需满足的资格要求：本项目专门面向中小微型企业采购，所属行业为“其他未列明行业”。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496FE8E7">
      <w:pPr>
        <w:autoSpaceDE w:val="0"/>
        <w:autoSpaceDN w:val="0"/>
        <w:adjustRightInd w:val="0"/>
        <w:spacing w:line="420" w:lineRule="exact"/>
        <w:ind w:firstLine="567"/>
        <w:rPr>
          <w:sz w:val="24"/>
          <w:szCs w:val="24"/>
        </w:rPr>
      </w:pPr>
      <w:r>
        <w:rPr>
          <w:rFonts w:hint="eastAsia"/>
          <w:sz w:val="24"/>
          <w:szCs w:val="24"/>
        </w:rPr>
        <w:t>3</w:t>
      </w:r>
      <w:r>
        <w:rPr>
          <w:sz w:val="24"/>
          <w:szCs w:val="24"/>
        </w:rPr>
        <w:t>.</w:t>
      </w:r>
      <w:r>
        <w:rPr>
          <w:rFonts w:hint="eastAsia"/>
          <w:sz w:val="24"/>
          <w:szCs w:val="24"/>
        </w:rPr>
        <w:t>本项目供应商的特定资格要求：</w:t>
      </w:r>
      <w:bookmarkStart w:id="18" w:name="_Hlk153034979"/>
      <w:r>
        <w:rPr>
          <w:rFonts w:hint="eastAsia"/>
          <w:sz w:val="24"/>
          <w:szCs w:val="24"/>
        </w:rPr>
        <w:t>无。</w:t>
      </w:r>
      <w:bookmarkEnd w:id="18"/>
    </w:p>
    <w:p w14:paraId="6546BD95">
      <w:pPr>
        <w:snapToGrid w:val="0"/>
        <w:spacing w:line="420" w:lineRule="exact"/>
        <w:ind w:left="-2" w:leftChars="-1" w:firstLine="569"/>
        <w:outlineLvl w:val="1"/>
        <w:rPr>
          <w:sz w:val="24"/>
          <w:szCs w:val="24"/>
        </w:rPr>
      </w:pPr>
      <w:r>
        <w:rPr>
          <w:rFonts w:hint="eastAsia" w:cs="宋体"/>
          <w:b/>
          <w:bCs/>
          <w:sz w:val="24"/>
          <w:szCs w:val="24"/>
        </w:rPr>
        <w:t>三</w:t>
      </w:r>
      <w:r>
        <w:rPr>
          <w:rFonts w:cs="宋体"/>
          <w:b/>
          <w:bCs/>
          <w:sz w:val="24"/>
          <w:szCs w:val="24"/>
        </w:rPr>
        <w:t>、</w:t>
      </w:r>
      <w:r>
        <w:rPr>
          <w:rFonts w:hint="eastAsia" w:cs="宋体"/>
          <w:b/>
          <w:bCs/>
          <w:sz w:val="24"/>
          <w:szCs w:val="24"/>
        </w:rPr>
        <w:t>竞争性谈判文件的获取</w:t>
      </w:r>
    </w:p>
    <w:p w14:paraId="65E3EAE6">
      <w:pPr>
        <w:autoSpaceDE w:val="0"/>
        <w:autoSpaceDN w:val="0"/>
        <w:adjustRightInd w:val="0"/>
        <w:spacing w:line="420" w:lineRule="exact"/>
        <w:ind w:firstLine="567"/>
        <w:rPr>
          <w:sz w:val="24"/>
          <w:szCs w:val="24"/>
        </w:rPr>
      </w:pPr>
      <w:bookmarkStart w:id="19" w:name="_Hlk67505124"/>
      <w:r>
        <w:rPr>
          <w:rFonts w:hint="eastAsia"/>
          <w:sz w:val="24"/>
          <w:szCs w:val="24"/>
        </w:rPr>
        <w:t>对本项目有意愿参与竞争性谈判响应的单位，请于公告日起至项目开启前，到“南通市崇川区人民政府网(www.chongchuan.gov.cn)→我要看→公示公告栏”</w:t>
      </w:r>
      <w:r>
        <w:rPr>
          <w:sz w:val="24"/>
          <w:szCs w:val="24"/>
        </w:rPr>
        <w:t>下载本项目的竞争性谈判文件。</w:t>
      </w:r>
    </w:p>
    <w:bookmarkEnd w:id="19"/>
    <w:p w14:paraId="73B7575D">
      <w:pPr>
        <w:snapToGrid w:val="0"/>
        <w:spacing w:line="420" w:lineRule="exact"/>
        <w:ind w:left="-2" w:leftChars="-1" w:firstLine="569"/>
        <w:outlineLvl w:val="1"/>
        <w:rPr>
          <w:sz w:val="24"/>
          <w:szCs w:val="24"/>
        </w:rPr>
      </w:pPr>
      <w:bookmarkStart w:id="20" w:name="_Toc521203418"/>
      <w:bookmarkStart w:id="21" w:name="_Toc94544828"/>
      <w:bookmarkStart w:id="22" w:name="_Toc94585340"/>
      <w:bookmarkStart w:id="23" w:name="_Toc11554639"/>
      <w:bookmarkStart w:id="24" w:name="_Toc8895739"/>
      <w:bookmarkStart w:id="25" w:name="_Toc12670503"/>
      <w:bookmarkStart w:id="26" w:name="_Toc521201597"/>
      <w:bookmarkStart w:id="27" w:name="_Toc94544744"/>
      <w:bookmarkStart w:id="28" w:name="_Toc11499584"/>
      <w:bookmarkStart w:id="29" w:name="_Toc11500280"/>
      <w:r>
        <w:rPr>
          <w:rFonts w:hint="eastAsia" w:cs="宋体"/>
          <w:b/>
          <w:bCs/>
          <w:sz w:val="24"/>
          <w:szCs w:val="24"/>
        </w:rPr>
        <w:t>四</w:t>
      </w:r>
      <w:r>
        <w:rPr>
          <w:rFonts w:cs="宋体"/>
          <w:b/>
          <w:bCs/>
          <w:sz w:val="24"/>
          <w:szCs w:val="24"/>
        </w:rPr>
        <w:t>、</w:t>
      </w:r>
      <w:r>
        <w:rPr>
          <w:rFonts w:hint="eastAsia" w:cs="宋体"/>
          <w:b/>
          <w:bCs/>
          <w:sz w:val="24"/>
          <w:szCs w:val="24"/>
        </w:rPr>
        <w:t>竞争性谈判响应文件</w:t>
      </w:r>
      <w:r>
        <w:rPr>
          <w:rFonts w:cs="宋体"/>
          <w:b/>
          <w:bCs/>
          <w:sz w:val="24"/>
          <w:szCs w:val="24"/>
        </w:rPr>
        <w:t>的</w:t>
      </w:r>
      <w:r>
        <w:rPr>
          <w:rFonts w:hint="eastAsia" w:cs="宋体"/>
          <w:b/>
          <w:bCs/>
          <w:sz w:val="24"/>
          <w:szCs w:val="24"/>
        </w:rPr>
        <w:t>提</w:t>
      </w:r>
      <w:r>
        <w:rPr>
          <w:rFonts w:cs="宋体"/>
          <w:b/>
          <w:bCs/>
          <w:sz w:val="24"/>
          <w:szCs w:val="24"/>
        </w:rPr>
        <w:t>交</w:t>
      </w:r>
    </w:p>
    <w:p w14:paraId="5B9F7482">
      <w:pPr>
        <w:autoSpaceDE w:val="0"/>
        <w:autoSpaceDN w:val="0"/>
        <w:adjustRightInd w:val="0"/>
        <w:spacing w:line="420" w:lineRule="exact"/>
        <w:ind w:firstLine="567"/>
        <w:rPr>
          <w:sz w:val="24"/>
          <w:szCs w:val="24"/>
        </w:rPr>
      </w:pPr>
      <w:r>
        <w:rPr>
          <w:rFonts w:hint="eastAsia" w:cs="宋体"/>
          <w:sz w:val="24"/>
          <w:szCs w:val="24"/>
        </w:rPr>
        <w:t>1</w:t>
      </w:r>
      <w:r>
        <w:rPr>
          <w:rFonts w:cs="宋体"/>
          <w:sz w:val="24"/>
          <w:szCs w:val="24"/>
        </w:rPr>
        <w:t>.</w:t>
      </w:r>
      <w:r>
        <w:rPr>
          <w:rFonts w:hint="eastAsia" w:cs="宋体"/>
          <w:sz w:val="24"/>
          <w:szCs w:val="24"/>
        </w:rPr>
        <w:t>截止时间：</w:t>
      </w:r>
      <w:r>
        <w:rPr>
          <w:b/>
          <w:bCs/>
          <w:sz w:val="24"/>
          <w:szCs w:val="24"/>
          <w:u w:val="thick" w:color="FF0000"/>
        </w:rPr>
        <w:t>2026年5月</w:t>
      </w:r>
      <w:r>
        <w:rPr>
          <w:rFonts w:hint="eastAsia"/>
          <w:b/>
          <w:bCs/>
          <w:sz w:val="24"/>
          <w:szCs w:val="24"/>
          <w:u w:val="thick" w:color="FF0000"/>
          <w:lang w:val="en-US" w:eastAsia="zh-CN"/>
        </w:rPr>
        <w:t>28</w:t>
      </w:r>
      <w:r>
        <w:rPr>
          <w:rFonts w:hint="eastAsia"/>
          <w:b/>
          <w:bCs/>
          <w:sz w:val="24"/>
          <w:szCs w:val="24"/>
          <w:u w:val="thick" w:color="FF0000"/>
        </w:rPr>
        <w:t>日14时</w:t>
      </w:r>
      <w:r>
        <w:rPr>
          <w:rFonts w:hint="eastAsia" w:cs="宋体"/>
          <w:kern w:val="0"/>
          <w:sz w:val="24"/>
          <w:szCs w:val="24"/>
        </w:rPr>
        <w:t>。</w:t>
      </w:r>
    </w:p>
    <w:p w14:paraId="0F458475">
      <w:pPr>
        <w:autoSpaceDE w:val="0"/>
        <w:autoSpaceDN w:val="0"/>
        <w:adjustRightInd w:val="0"/>
        <w:spacing w:line="420" w:lineRule="exact"/>
        <w:ind w:firstLine="567"/>
        <w:rPr>
          <w:sz w:val="24"/>
          <w:szCs w:val="24"/>
        </w:rPr>
      </w:pPr>
      <w:r>
        <w:rPr>
          <w:sz w:val="24"/>
          <w:szCs w:val="24"/>
        </w:rPr>
        <w:t>2.</w:t>
      </w:r>
      <w:r>
        <w:rPr>
          <w:rFonts w:hint="eastAsia"/>
          <w:sz w:val="24"/>
          <w:szCs w:val="24"/>
        </w:rPr>
        <w:t>地点</w:t>
      </w:r>
      <w:r>
        <w:rPr>
          <w:sz w:val="24"/>
          <w:szCs w:val="24"/>
        </w:rPr>
        <w:t>：南通市江海大道北729号和丰大厦B座1楼政务中心1号开标室，如有变动另行通知。</w:t>
      </w:r>
    </w:p>
    <w:p w14:paraId="78F73F30">
      <w:pPr>
        <w:snapToGrid w:val="0"/>
        <w:spacing w:line="420" w:lineRule="exact"/>
        <w:ind w:left="-2" w:leftChars="-1" w:firstLine="569"/>
        <w:outlineLvl w:val="1"/>
        <w:rPr>
          <w:rFonts w:cs="宋体"/>
          <w:b/>
          <w:bCs/>
          <w:sz w:val="24"/>
          <w:szCs w:val="24"/>
        </w:rPr>
      </w:pPr>
      <w:r>
        <w:rPr>
          <w:rFonts w:hint="eastAsia" w:cs="宋体"/>
          <w:b/>
          <w:bCs/>
          <w:sz w:val="24"/>
          <w:szCs w:val="24"/>
        </w:rPr>
        <w:t>五、开启</w:t>
      </w:r>
      <w:bookmarkStart w:id="30" w:name="_Hlk50130777"/>
    </w:p>
    <w:bookmarkEnd w:id="30"/>
    <w:p w14:paraId="4040079A">
      <w:pPr>
        <w:spacing w:line="420" w:lineRule="exact"/>
        <w:ind w:firstLine="566" w:firstLineChars="236"/>
        <w:rPr>
          <w:rFonts w:cs="宋体"/>
          <w:kern w:val="0"/>
          <w:sz w:val="24"/>
          <w:szCs w:val="24"/>
        </w:rPr>
      </w:pPr>
      <w:r>
        <w:rPr>
          <w:rFonts w:hint="eastAsia" w:cs="宋体"/>
          <w:kern w:val="0"/>
          <w:sz w:val="24"/>
          <w:szCs w:val="24"/>
        </w:rPr>
        <w:t>1</w:t>
      </w:r>
      <w:r>
        <w:rPr>
          <w:rFonts w:cs="宋体"/>
          <w:kern w:val="0"/>
          <w:sz w:val="24"/>
          <w:szCs w:val="24"/>
        </w:rPr>
        <w:t>.</w:t>
      </w:r>
      <w:r>
        <w:rPr>
          <w:rFonts w:hint="eastAsia" w:cs="宋体"/>
          <w:kern w:val="0"/>
          <w:sz w:val="24"/>
          <w:szCs w:val="24"/>
        </w:rPr>
        <w:t>时间：</w:t>
      </w:r>
      <w:r>
        <w:rPr>
          <w:b/>
          <w:bCs/>
          <w:sz w:val="24"/>
          <w:szCs w:val="24"/>
          <w:u w:val="thick" w:color="FF0000"/>
        </w:rPr>
        <w:t>2026年5月</w:t>
      </w:r>
      <w:r>
        <w:rPr>
          <w:rFonts w:hint="eastAsia"/>
          <w:b/>
          <w:bCs/>
          <w:sz w:val="24"/>
          <w:szCs w:val="24"/>
          <w:u w:val="thick" w:color="FF0000"/>
          <w:lang w:val="en-US" w:eastAsia="zh-CN"/>
        </w:rPr>
        <w:t>28</w:t>
      </w:r>
      <w:r>
        <w:rPr>
          <w:b/>
          <w:bCs/>
          <w:sz w:val="24"/>
          <w:szCs w:val="24"/>
          <w:u w:val="thick" w:color="FF0000"/>
        </w:rPr>
        <w:t>日14时</w:t>
      </w:r>
      <w:r>
        <w:rPr>
          <w:rFonts w:hint="eastAsia"/>
          <w:b/>
          <w:bCs/>
          <w:sz w:val="24"/>
          <w:szCs w:val="24"/>
          <w:u w:val="thick" w:color="FF0000"/>
        </w:rPr>
        <w:t>整。</w:t>
      </w:r>
    </w:p>
    <w:p w14:paraId="73707FD3">
      <w:pPr>
        <w:autoSpaceDE w:val="0"/>
        <w:autoSpaceDN w:val="0"/>
        <w:adjustRightInd w:val="0"/>
        <w:spacing w:line="420" w:lineRule="exact"/>
        <w:ind w:firstLine="567"/>
        <w:rPr>
          <w:sz w:val="24"/>
          <w:szCs w:val="24"/>
        </w:rPr>
      </w:pPr>
      <w:r>
        <w:rPr>
          <w:rFonts w:hint="eastAsia"/>
          <w:sz w:val="24"/>
          <w:szCs w:val="24"/>
        </w:rPr>
        <w:t>2</w:t>
      </w:r>
      <w:r>
        <w:rPr>
          <w:sz w:val="24"/>
          <w:szCs w:val="24"/>
        </w:rPr>
        <w:t>.</w:t>
      </w:r>
      <w:r>
        <w:rPr>
          <w:rFonts w:hint="eastAsia"/>
          <w:sz w:val="24"/>
          <w:szCs w:val="24"/>
        </w:rPr>
        <w:t>地点：南通市江海大道北729号和丰大厦B座1楼政务中心1号开标室，如有变动另行通知。</w:t>
      </w:r>
    </w:p>
    <w:p w14:paraId="3DE4BC89">
      <w:pPr>
        <w:snapToGrid w:val="0"/>
        <w:spacing w:line="420" w:lineRule="exact"/>
        <w:ind w:left="-2" w:leftChars="-1" w:firstLine="569"/>
        <w:outlineLvl w:val="1"/>
        <w:rPr>
          <w:sz w:val="24"/>
          <w:szCs w:val="24"/>
        </w:rPr>
      </w:pPr>
      <w:bookmarkStart w:id="31" w:name="_Hlk52136735"/>
      <w:r>
        <w:rPr>
          <w:rFonts w:hint="eastAsia" w:cs="宋体"/>
          <w:b/>
          <w:bCs/>
          <w:sz w:val="24"/>
          <w:szCs w:val="24"/>
        </w:rPr>
        <w:t>六、竞争性谈判公告期限</w:t>
      </w:r>
    </w:p>
    <w:p w14:paraId="0B21A96B">
      <w:pPr>
        <w:autoSpaceDE w:val="0"/>
        <w:autoSpaceDN w:val="0"/>
        <w:adjustRightInd w:val="0"/>
        <w:spacing w:line="420" w:lineRule="exact"/>
        <w:ind w:firstLine="567"/>
        <w:rPr>
          <w:rFonts w:cs="宋体"/>
          <w:sz w:val="24"/>
          <w:szCs w:val="24"/>
        </w:rPr>
      </w:pPr>
      <w:r>
        <w:rPr>
          <w:rFonts w:hint="eastAsia"/>
          <w:sz w:val="24"/>
          <w:szCs w:val="24"/>
        </w:rPr>
        <w:t>自本公告发布之日起3个工作日。</w:t>
      </w:r>
    </w:p>
    <w:p w14:paraId="256D1297">
      <w:pPr>
        <w:snapToGrid w:val="0"/>
        <w:spacing w:line="420" w:lineRule="exact"/>
        <w:ind w:left="-2" w:leftChars="-1" w:firstLine="569"/>
        <w:outlineLvl w:val="1"/>
        <w:rPr>
          <w:rFonts w:cs="宋体"/>
          <w:sz w:val="24"/>
          <w:szCs w:val="24"/>
        </w:rPr>
      </w:pPr>
      <w:r>
        <w:rPr>
          <w:rFonts w:hint="eastAsia" w:cs="宋体"/>
          <w:b/>
          <w:bCs/>
          <w:sz w:val="24"/>
          <w:szCs w:val="24"/>
        </w:rPr>
        <w:t>七、其他补充事宜</w:t>
      </w:r>
      <w:bookmarkStart w:id="32" w:name="_Hlk67575695"/>
    </w:p>
    <w:bookmarkEnd w:id="32"/>
    <w:p w14:paraId="646EDE7B">
      <w:pPr>
        <w:autoSpaceDE w:val="0"/>
        <w:autoSpaceDN w:val="0"/>
        <w:adjustRightInd w:val="0"/>
        <w:spacing w:line="420" w:lineRule="exact"/>
        <w:ind w:firstLine="567"/>
        <w:rPr>
          <w:sz w:val="24"/>
          <w:szCs w:val="24"/>
        </w:rPr>
      </w:pPr>
      <w:r>
        <w:rPr>
          <w:sz w:val="24"/>
          <w:szCs w:val="24"/>
        </w:rPr>
        <w:t>1</w:t>
      </w:r>
      <w:r>
        <w:rPr>
          <w:rFonts w:hint="eastAsia"/>
          <w:sz w:val="24"/>
          <w:szCs w:val="24"/>
        </w:rPr>
        <w:t>.竞争性谈判保证金：免收。</w:t>
      </w:r>
    </w:p>
    <w:p w14:paraId="0C59F44C">
      <w:pPr>
        <w:autoSpaceDE w:val="0"/>
        <w:autoSpaceDN w:val="0"/>
        <w:adjustRightInd w:val="0"/>
        <w:spacing w:line="420" w:lineRule="exact"/>
        <w:ind w:firstLine="567"/>
        <w:rPr>
          <w:sz w:val="24"/>
          <w:szCs w:val="24"/>
        </w:rPr>
      </w:pPr>
      <w:r>
        <w:rPr>
          <w:rFonts w:hint="eastAsia"/>
          <w:sz w:val="24"/>
          <w:szCs w:val="24"/>
        </w:rPr>
        <w:t>3.项目开启活动模式：现场参与模式。</w:t>
      </w:r>
    </w:p>
    <w:p w14:paraId="71FDB264">
      <w:pPr>
        <w:autoSpaceDE w:val="0"/>
        <w:autoSpaceDN w:val="0"/>
        <w:adjustRightInd w:val="0"/>
        <w:spacing w:line="420" w:lineRule="exact"/>
        <w:ind w:firstLine="567"/>
        <w:rPr>
          <w:sz w:val="24"/>
          <w:szCs w:val="24"/>
        </w:rPr>
      </w:pPr>
      <w:r>
        <w:rPr>
          <w:rFonts w:hint="eastAsia"/>
          <w:sz w:val="24"/>
          <w:szCs w:val="24"/>
        </w:rPr>
        <w:t>4.项目演示、样品、答辩等：无。</w:t>
      </w:r>
    </w:p>
    <w:p w14:paraId="2CB19BAB">
      <w:pPr>
        <w:autoSpaceDE w:val="0"/>
        <w:autoSpaceDN w:val="0"/>
        <w:adjustRightInd w:val="0"/>
        <w:spacing w:line="420" w:lineRule="exact"/>
        <w:ind w:firstLine="567"/>
        <w:rPr>
          <w:sz w:val="24"/>
          <w:szCs w:val="24"/>
        </w:rPr>
      </w:pPr>
      <w:r>
        <w:rPr>
          <w:rFonts w:hint="eastAsia"/>
          <w:sz w:val="24"/>
          <w:szCs w:val="24"/>
        </w:rPr>
        <w:t>5.对项目需求部分（供应商其他资格要求、项目需求、评审标准）的询问、质疑请向采购人提出，由采购人负责答复；对项目采购文件其它部分的询问请向采购人或项目联系人提出。</w:t>
      </w:r>
    </w:p>
    <w:p w14:paraId="34ADB3FB">
      <w:pPr>
        <w:autoSpaceDE w:val="0"/>
        <w:autoSpaceDN w:val="0"/>
        <w:adjustRightInd w:val="0"/>
        <w:spacing w:line="420" w:lineRule="exact"/>
        <w:ind w:firstLine="567"/>
        <w:rPr>
          <w:rFonts w:cs="宋体"/>
          <w:sz w:val="24"/>
          <w:szCs w:val="24"/>
        </w:rPr>
      </w:pPr>
      <w:r>
        <w:rPr>
          <w:rFonts w:hint="eastAsia"/>
          <w:sz w:val="24"/>
          <w:szCs w:val="24"/>
        </w:rPr>
        <w:t>6.参与本项目响应的供应商，应依照规定提交各类声明函、承诺函的（如涉有），不再同时提供原件备查或提供有关部门出具的相关证明文件。但本项目成交的供应商，应做好提交声明函、承诺函相应原件的核查准备；核查后发现虚假或违背承诺的，将依照相关法律法规规定处理。</w:t>
      </w:r>
    </w:p>
    <w:p w14:paraId="06DE7B41">
      <w:pPr>
        <w:snapToGrid w:val="0"/>
        <w:spacing w:line="420" w:lineRule="exact"/>
        <w:ind w:left="-2" w:leftChars="-1" w:firstLine="569"/>
        <w:outlineLvl w:val="1"/>
        <w:rPr>
          <w:sz w:val="24"/>
          <w:szCs w:val="24"/>
        </w:rPr>
      </w:pPr>
      <w:r>
        <w:rPr>
          <w:rFonts w:hint="eastAsia" w:cs="宋体"/>
          <w:b/>
          <w:bCs/>
          <w:sz w:val="24"/>
          <w:szCs w:val="24"/>
        </w:rPr>
        <w:t>八、凡对本次采购提出询问，请按以下方式联系</w:t>
      </w:r>
    </w:p>
    <w:bookmarkEnd w:id="12"/>
    <w:bookmarkEnd w:id="31"/>
    <w:p w14:paraId="202B22A4">
      <w:pPr>
        <w:autoSpaceDE w:val="0"/>
        <w:autoSpaceDN w:val="0"/>
        <w:adjustRightInd w:val="0"/>
        <w:spacing w:line="420" w:lineRule="exact"/>
        <w:ind w:firstLine="567"/>
        <w:rPr>
          <w:sz w:val="24"/>
          <w:szCs w:val="24"/>
        </w:rPr>
      </w:pPr>
      <w:bookmarkStart w:id="33" w:name="_Hlk84036154"/>
      <w:bookmarkStart w:id="34" w:name="_Hlk153738791"/>
      <w:r>
        <w:rPr>
          <w:rFonts w:hint="eastAsia"/>
          <w:sz w:val="24"/>
          <w:szCs w:val="24"/>
        </w:rPr>
        <w:t>1</w:t>
      </w:r>
      <w:r>
        <w:rPr>
          <w:sz w:val="24"/>
          <w:szCs w:val="24"/>
        </w:rPr>
        <w:t>.</w:t>
      </w:r>
      <w:r>
        <w:rPr>
          <w:rFonts w:hint="eastAsia"/>
          <w:sz w:val="24"/>
          <w:szCs w:val="24"/>
        </w:rPr>
        <w:t>采购人信息</w:t>
      </w:r>
    </w:p>
    <w:p w14:paraId="31DC9FA2">
      <w:pPr>
        <w:autoSpaceDE w:val="0"/>
        <w:autoSpaceDN w:val="0"/>
        <w:adjustRightInd w:val="0"/>
        <w:spacing w:line="420" w:lineRule="exact"/>
        <w:ind w:firstLine="567"/>
        <w:rPr>
          <w:sz w:val="24"/>
          <w:szCs w:val="24"/>
        </w:rPr>
      </w:pPr>
      <w:r>
        <w:rPr>
          <w:rFonts w:hint="eastAsia"/>
          <w:sz w:val="24"/>
          <w:szCs w:val="24"/>
        </w:rPr>
        <w:t>名称：</w:t>
      </w:r>
      <w:bookmarkStart w:id="35" w:name="_Hlk153739403"/>
      <w:r>
        <w:rPr>
          <w:rFonts w:hint="eastAsia"/>
          <w:sz w:val="24"/>
          <w:szCs w:val="24"/>
        </w:rPr>
        <w:t>南通市崇川区数据局；</w:t>
      </w:r>
    </w:p>
    <w:bookmarkEnd w:id="33"/>
    <w:bookmarkEnd w:id="35"/>
    <w:p w14:paraId="77E4CA36">
      <w:pPr>
        <w:autoSpaceDE w:val="0"/>
        <w:autoSpaceDN w:val="0"/>
        <w:adjustRightInd w:val="0"/>
        <w:spacing w:line="420" w:lineRule="exact"/>
        <w:ind w:firstLine="567"/>
        <w:rPr>
          <w:sz w:val="24"/>
          <w:szCs w:val="24"/>
        </w:rPr>
      </w:pPr>
      <w:r>
        <w:rPr>
          <w:rFonts w:hint="eastAsia"/>
          <w:sz w:val="24"/>
          <w:szCs w:val="24"/>
        </w:rPr>
        <w:t>地址：南通市江海大道北729号和丰大厦B座2楼；</w:t>
      </w:r>
    </w:p>
    <w:p w14:paraId="1F2E7AF2">
      <w:pPr>
        <w:autoSpaceDE w:val="0"/>
        <w:autoSpaceDN w:val="0"/>
        <w:adjustRightInd w:val="0"/>
        <w:spacing w:line="420" w:lineRule="exact"/>
        <w:ind w:firstLine="567"/>
        <w:rPr>
          <w:sz w:val="24"/>
          <w:szCs w:val="24"/>
        </w:rPr>
      </w:pPr>
      <w:r>
        <w:rPr>
          <w:rFonts w:hint="eastAsia"/>
          <w:sz w:val="24"/>
          <w:szCs w:val="24"/>
        </w:rPr>
        <w:t>联系人：周杨；</w:t>
      </w:r>
    </w:p>
    <w:p w14:paraId="552F5D2B">
      <w:pPr>
        <w:autoSpaceDE w:val="0"/>
        <w:autoSpaceDN w:val="0"/>
        <w:adjustRightInd w:val="0"/>
        <w:spacing w:line="420" w:lineRule="exact"/>
        <w:ind w:firstLine="567"/>
        <w:rPr>
          <w:sz w:val="24"/>
          <w:szCs w:val="24"/>
        </w:rPr>
      </w:pPr>
      <w:r>
        <w:rPr>
          <w:rFonts w:hint="eastAsia"/>
          <w:sz w:val="24"/>
          <w:szCs w:val="24"/>
        </w:rPr>
        <w:t>联系电话：15162762416。</w:t>
      </w:r>
    </w:p>
    <w:p w14:paraId="151630DC">
      <w:pPr>
        <w:autoSpaceDE w:val="0"/>
        <w:autoSpaceDN w:val="0"/>
        <w:adjustRightInd w:val="0"/>
        <w:spacing w:line="420" w:lineRule="exact"/>
        <w:ind w:firstLine="567"/>
        <w:rPr>
          <w:sz w:val="24"/>
          <w:szCs w:val="24"/>
        </w:rPr>
      </w:pPr>
      <w:r>
        <w:rPr>
          <w:rFonts w:hint="eastAsia"/>
          <w:sz w:val="24"/>
          <w:szCs w:val="24"/>
        </w:rPr>
        <w:t>2.采购代理机构信息：</w:t>
      </w:r>
    </w:p>
    <w:p w14:paraId="0F5D3387">
      <w:pPr>
        <w:autoSpaceDE w:val="0"/>
        <w:autoSpaceDN w:val="0"/>
        <w:adjustRightInd w:val="0"/>
        <w:spacing w:line="420" w:lineRule="exact"/>
        <w:ind w:firstLine="567"/>
        <w:rPr>
          <w:sz w:val="24"/>
          <w:szCs w:val="24"/>
        </w:rPr>
      </w:pPr>
      <w:r>
        <w:rPr>
          <w:rFonts w:hint="eastAsia"/>
          <w:sz w:val="24"/>
          <w:szCs w:val="24"/>
        </w:rPr>
        <w:t>名称：南通辉华企业管理咨询有限公司；</w:t>
      </w:r>
    </w:p>
    <w:p w14:paraId="058E8016">
      <w:pPr>
        <w:autoSpaceDE w:val="0"/>
        <w:autoSpaceDN w:val="0"/>
        <w:adjustRightInd w:val="0"/>
        <w:spacing w:line="420" w:lineRule="exact"/>
        <w:ind w:firstLine="567"/>
        <w:rPr>
          <w:sz w:val="24"/>
          <w:szCs w:val="24"/>
        </w:rPr>
      </w:pPr>
      <w:r>
        <w:rPr>
          <w:rFonts w:hint="eastAsia"/>
          <w:sz w:val="24"/>
          <w:szCs w:val="24"/>
        </w:rPr>
        <w:t>地址：南通市崇川区永兴大道388号（好盈国际能源中心）2幢6层；</w:t>
      </w:r>
    </w:p>
    <w:p w14:paraId="46D48EC1">
      <w:pPr>
        <w:autoSpaceDE w:val="0"/>
        <w:autoSpaceDN w:val="0"/>
        <w:adjustRightInd w:val="0"/>
        <w:spacing w:line="420" w:lineRule="exact"/>
        <w:ind w:firstLine="567"/>
        <w:rPr>
          <w:sz w:val="24"/>
          <w:szCs w:val="24"/>
        </w:rPr>
      </w:pPr>
      <w:r>
        <w:rPr>
          <w:rFonts w:hint="eastAsia"/>
          <w:sz w:val="24"/>
          <w:szCs w:val="24"/>
        </w:rPr>
        <w:t>联系人：戴健秋；</w:t>
      </w:r>
    </w:p>
    <w:p w14:paraId="637555E2">
      <w:pPr>
        <w:autoSpaceDE w:val="0"/>
        <w:autoSpaceDN w:val="0"/>
        <w:adjustRightInd w:val="0"/>
        <w:spacing w:line="420" w:lineRule="exact"/>
        <w:ind w:firstLine="567"/>
        <w:rPr>
          <w:sz w:val="24"/>
          <w:szCs w:val="24"/>
        </w:rPr>
      </w:pPr>
      <w:r>
        <w:rPr>
          <w:rFonts w:hint="eastAsia"/>
          <w:sz w:val="24"/>
          <w:szCs w:val="24"/>
        </w:rPr>
        <w:t>联系电话：0513-80100399、18806297798。</w:t>
      </w:r>
    </w:p>
    <w:p w14:paraId="276C9BCA">
      <w:pPr>
        <w:autoSpaceDE w:val="0"/>
        <w:autoSpaceDN w:val="0"/>
        <w:adjustRightInd w:val="0"/>
        <w:spacing w:line="420" w:lineRule="exact"/>
        <w:ind w:firstLine="567"/>
        <w:rPr>
          <w:sz w:val="24"/>
          <w:szCs w:val="24"/>
        </w:rPr>
      </w:pPr>
      <w:r>
        <w:rPr>
          <w:rFonts w:hint="eastAsia"/>
          <w:sz w:val="24"/>
          <w:szCs w:val="24"/>
        </w:rPr>
        <w:t>3.项目联系方式</w:t>
      </w:r>
    </w:p>
    <w:p w14:paraId="0CA16250">
      <w:pPr>
        <w:autoSpaceDE w:val="0"/>
        <w:autoSpaceDN w:val="0"/>
        <w:adjustRightInd w:val="0"/>
        <w:spacing w:line="420" w:lineRule="exact"/>
        <w:ind w:firstLine="567"/>
        <w:rPr>
          <w:sz w:val="24"/>
          <w:szCs w:val="24"/>
        </w:rPr>
      </w:pPr>
      <w:r>
        <w:rPr>
          <w:rFonts w:hint="eastAsia"/>
          <w:sz w:val="24"/>
          <w:szCs w:val="24"/>
        </w:rPr>
        <w:t>联系人：戴健秋；</w:t>
      </w:r>
    </w:p>
    <w:p w14:paraId="264546F2">
      <w:pPr>
        <w:autoSpaceDE w:val="0"/>
        <w:autoSpaceDN w:val="0"/>
        <w:adjustRightInd w:val="0"/>
        <w:spacing w:line="420" w:lineRule="exact"/>
        <w:ind w:firstLine="567"/>
        <w:rPr>
          <w:sz w:val="24"/>
          <w:szCs w:val="24"/>
        </w:rPr>
      </w:pPr>
      <w:r>
        <w:rPr>
          <w:rFonts w:hint="eastAsia"/>
          <w:sz w:val="24"/>
          <w:szCs w:val="24"/>
        </w:rPr>
        <w:t>联系电话：0513-80100399、18806297798。</w:t>
      </w:r>
      <w:bookmarkEnd w:id="13"/>
      <w:bookmarkEnd w:id="34"/>
    </w:p>
    <w:bookmarkEnd w:id="14"/>
    <w:p w14:paraId="4ABF6803">
      <w:pPr>
        <w:tabs>
          <w:tab w:val="left" w:pos="1050"/>
          <w:tab w:val="right" w:leader="dot" w:pos="9402"/>
        </w:tabs>
        <w:spacing w:before="240" w:beforeLines="100" w:line="600" w:lineRule="exact"/>
        <w:jc w:val="center"/>
        <w:outlineLvl w:val="0"/>
        <w:rPr>
          <w:b/>
          <w:w w:val="80"/>
          <w:sz w:val="36"/>
          <w:szCs w:val="36"/>
        </w:rPr>
        <w:sectPr>
          <w:type w:val="continuous"/>
          <w:pgSz w:w="11907" w:h="16840"/>
          <w:pgMar w:top="1134" w:right="851" w:bottom="851" w:left="1418" w:header="709" w:footer="380" w:gutter="0"/>
          <w:cols w:space="720" w:num="1"/>
          <w:docGrid w:linePitch="312" w:charSpace="6144"/>
        </w:sectPr>
      </w:pPr>
      <w:bookmarkStart w:id="36" w:name="_Toc363573854"/>
    </w:p>
    <w:p w14:paraId="2C061A7A">
      <w:pPr>
        <w:widowControl/>
        <w:jc w:val="left"/>
        <w:rPr>
          <w:b/>
          <w:w w:val="80"/>
          <w:sz w:val="36"/>
          <w:szCs w:val="36"/>
        </w:rPr>
      </w:pPr>
      <w:r>
        <w:rPr>
          <w:b/>
          <w:w w:val="80"/>
          <w:sz w:val="36"/>
          <w:szCs w:val="36"/>
        </w:rPr>
        <w:br w:type="page"/>
      </w:r>
    </w:p>
    <w:p w14:paraId="147EF638">
      <w:pPr>
        <w:tabs>
          <w:tab w:val="left" w:pos="1050"/>
          <w:tab w:val="right" w:leader="dot" w:pos="9402"/>
        </w:tabs>
        <w:spacing w:line="600" w:lineRule="exact"/>
        <w:jc w:val="center"/>
        <w:outlineLvl w:val="0"/>
        <w:rPr>
          <w:b/>
          <w:w w:val="80"/>
          <w:sz w:val="36"/>
          <w:szCs w:val="36"/>
        </w:rPr>
      </w:pPr>
      <w:r>
        <w:rPr>
          <w:b/>
          <w:w w:val="80"/>
          <w:sz w:val="36"/>
          <w:szCs w:val="36"/>
        </w:rPr>
        <w:t>第二章</w:t>
      </w:r>
      <w:bookmarkEnd w:id="20"/>
      <w:bookmarkEnd w:id="21"/>
      <w:bookmarkEnd w:id="22"/>
      <w:bookmarkEnd w:id="23"/>
      <w:bookmarkEnd w:id="24"/>
      <w:bookmarkEnd w:id="25"/>
      <w:bookmarkEnd w:id="26"/>
      <w:bookmarkEnd w:id="27"/>
      <w:bookmarkEnd w:id="28"/>
      <w:bookmarkEnd w:id="29"/>
      <w:r>
        <w:rPr>
          <w:rFonts w:hint="eastAsia"/>
          <w:b/>
          <w:w w:val="80"/>
          <w:sz w:val="36"/>
          <w:szCs w:val="36"/>
        </w:rPr>
        <w:t xml:space="preserve"> </w:t>
      </w:r>
      <w:r>
        <w:rPr>
          <w:b/>
          <w:w w:val="80"/>
          <w:sz w:val="36"/>
          <w:szCs w:val="36"/>
        </w:rPr>
        <w:t>供应商须知</w:t>
      </w:r>
      <w:bookmarkEnd w:id="36"/>
    </w:p>
    <w:p w14:paraId="65B88853">
      <w:pPr>
        <w:snapToGrid w:val="0"/>
        <w:spacing w:line="420" w:lineRule="exact"/>
        <w:ind w:firstLine="480" w:firstLineChars="200"/>
        <w:outlineLvl w:val="1"/>
        <w:rPr>
          <w:b/>
          <w:bCs/>
          <w:sz w:val="24"/>
          <w:szCs w:val="24"/>
        </w:rPr>
      </w:pPr>
      <w:bookmarkStart w:id="37" w:name="_Toc8895740"/>
      <w:bookmarkStart w:id="38" w:name="_Toc521203419"/>
      <w:bookmarkStart w:id="39" w:name="_Toc11499585"/>
      <w:bookmarkStart w:id="40" w:name="_Toc94544871"/>
      <w:bookmarkStart w:id="41" w:name="_Toc521201598"/>
      <w:bookmarkStart w:id="42" w:name="_Toc12670504"/>
      <w:bookmarkStart w:id="43" w:name="_Toc11500281"/>
      <w:bookmarkStart w:id="44" w:name="_Toc11554640"/>
      <w:bookmarkStart w:id="45" w:name="_Toc94544745"/>
      <w:bookmarkStart w:id="46" w:name="_Toc94585341"/>
      <w:r>
        <w:rPr>
          <w:b/>
          <w:bCs/>
          <w:sz w:val="24"/>
          <w:szCs w:val="24"/>
        </w:rPr>
        <w:t>一、说明</w:t>
      </w:r>
    </w:p>
    <w:p w14:paraId="7352CB04">
      <w:pPr>
        <w:snapToGrid w:val="0"/>
        <w:spacing w:line="420" w:lineRule="exact"/>
        <w:ind w:firstLine="480" w:firstLineChars="200"/>
        <w:rPr>
          <w:bCs/>
          <w:sz w:val="24"/>
          <w:szCs w:val="24"/>
        </w:rPr>
      </w:pPr>
      <w:r>
        <w:rPr>
          <w:bCs/>
          <w:sz w:val="24"/>
          <w:szCs w:val="24"/>
        </w:rPr>
        <w:t>1.本竞争性谈判文件仅适用于本采购代理机构组织的竞争性谈判采购活动。</w:t>
      </w:r>
    </w:p>
    <w:p w14:paraId="4A4343C0">
      <w:pPr>
        <w:snapToGrid w:val="0"/>
        <w:spacing w:line="420" w:lineRule="exact"/>
        <w:ind w:firstLine="480" w:firstLineChars="200"/>
        <w:rPr>
          <w:bCs/>
          <w:sz w:val="24"/>
          <w:szCs w:val="24"/>
        </w:rPr>
      </w:pPr>
      <w:r>
        <w:rPr>
          <w:bCs/>
          <w:sz w:val="24"/>
          <w:szCs w:val="24"/>
        </w:rPr>
        <w:t>2.竞争性谈判</w:t>
      </w:r>
      <w:r>
        <w:rPr>
          <w:rFonts w:hint="eastAsia"/>
          <w:bCs/>
          <w:sz w:val="24"/>
          <w:szCs w:val="24"/>
        </w:rPr>
        <w:t>采购</w:t>
      </w:r>
      <w:r>
        <w:rPr>
          <w:bCs/>
          <w:sz w:val="24"/>
          <w:szCs w:val="24"/>
        </w:rPr>
        <w:t>活动及因本次</w:t>
      </w:r>
      <w:r>
        <w:rPr>
          <w:rFonts w:hint="eastAsia"/>
          <w:bCs/>
          <w:sz w:val="24"/>
          <w:szCs w:val="24"/>
        </w:rPr>
        <w:t>采购活动</w:t>
      </w:r>
      <w:r>
        <w:rPr>
          <w:bCs/>
          <w:sz w:val="24"/>
          <w:szCs w:val="24"/>
        </w:rPr>
        <w:t>产生的合同受中国法律制约和保护。</w:t>
      </w:r>
    </w:p>
    <w:p w14:paraId="118AFACA">
      <w:pPr>
        <w:snapToGrid w:val="0"/>
        <w:spacing w:line="420" w:lineRule="exact"/>
        <w:ind w:firstLine="480" w:firstLineChars="200"/>
        <w:rPr>
          <w:bCs/>
          <w:sz w:val="24"/>
          <w:szCs w:val="24"/>
        </w:rPr>
      </w:pPr>
      <w:r>
        <w:rPr>
          <w:bCs/>
          <w:sz w:val="24"/>
          <w:szCs w:val="24"/>
        </w:rPr>
        <w:t>3.</w:t>
      </w:r>
      <w:r>
        <w:rPr>
          <w:rFonts w:hint="eastAsia"/>
          <w:bCs/>
          <w:sz w:val="24"/>
          <w:szCs w:val="24"/>
        </w:rPr>
        <w:t>本</w:t>
      </w:r>
      <w:r>
        <w:rPr>
          <w:bCs/>
          <w:sz w:val="24"/>
          <w:szCs w:val="24"/>
        </w:rPr>
        <w:t>竞争性谈判文件的解释权属于</w:t>
      </w:r>
      <w:r>
        <w:rPr>
          <w:rFonts w:hint="eastAsia"/>
          <w:bCs/>
          <w:sz w:val="24"/>
          <w:szCs w:val="24"/>
        </w:rPr>
        <w:t>本</w:t>
      </w:r>
      <w:r>
        <w:rPr>
          <w:bCs/>
          <w:sz w:val="24"/>
          <w:szCs w:val="24"/>
        </w:rPr>
        <w:t>采购代理机构。</w:t>
      </w:r>
    </w:p>
    <w:p w14:paraId="1BC3C94A">
      <w:pPr>
        <w:snapToGrid w:val="0"/>
        <w:spacing w:line="420" w:lineRule="exact"/>
        <w:ind w:firstLine="480" w:firstLineChars="200"/>
        <w:rPr>
          <w:sz w:val="24"/>
          <w:szCs w:val="24"/>
        </w:rPr>
      </w:pPr>
      <w:r>
        <w:rPr>
          <w:sz w:val="24"/>
          <w:szCs w:val="24"/>
        </w:rPr>
        <w:t>4.供应商在知道或应当知道本项目谈判公告及竞争性谈判文件中的所有内容：如内容或页码短缺、资格要求和技术参数出现倾向性或排他性等表述的，应当在获取采购文件或者采购文件公告期限届满之日起7个工作日内提出质疑；未提出或是未在规定期间内提出质疑的视作供应商接受本项目谈判公告及竞争性谈判文件中的全部内容；供应商不得在招标活动期间及招标结束后针对本项目谈判公告及竞争性谈判文件中的所有内容提出质疑事项。</w:t>
      </w:r>
    </w:p>
    <w:p w14:paraId="410DCE4F">
      <w:pPr>
        <w:snapToGrid w:val="0"/>
        <w:spacing w:line="420" w:lineRule="exact"/>
        <w:ind w:firstLine="480" w:firstLineChars="200"/>
        <w:rPr>
          <w:sz w:val="24"/>
          <w:szCs w:val="24"/>
        </w:rPr>
      </w:pPr>
      <w:r>
        <w:rPr>
          <w:sz w:val="24"/>
          <w:szCs w:val="24"/>
        </w:rPr>
        <w:t>5.供应商应认真审阅竞争性谈判文件中所有的事项、格式、条款和规范要求等，如果响应谈判的供应商没有按照竞争性谈判文件的要求提交响应文件，或者响应文件没有对竞争性谈判文件的要求做出实质性响应的，将被拒绝参与谈判。</w:t>
      </w:r>
    </w:p>
    <w:p w14:paraId="49B08FE7">
      <w:pPr>
        <w:snapToGrid w:val="0"/>
        <w:spacing w:line="420" w:lineRule="exact"/>
        <w:ind w:firstLine="480" w:firstLineChars="200"/>
        <w:rPr>
          <w:sz w:val="24"/>
          <w:szCs w:val="24"/>
          <w:u w:val="single"/>
        </w:rPr>
      </w:pPr>
      <w:r>
        <w:rPr>
          <w:sz w:val="24"/>
          <w:szCs w:val="24"/>
        </w:rPr>
        <w:t>6.竞争性谈判文件项目需求提供的可能涉及到的工艺、材料、设备、商标、样本、技术规范、参数规格、品牌等，仅作为说明并没有限制性，供应商在竞标时可以选用替代，但这些替代的品牌、产品技术标准要优于或相当于项目需求技术规格中要求的标准，以满足采购人的需要。</w:t>
      </w:r>
    </w:p>
    <w:p w14:paraId="158D7DA4">
      <w:pPr>
        <w:snapToGrid w:val="0"/>
        <w:spacing w:line="420" w:lineRule="exact"/>
        <w:ind w:firstLine="480" w:firstLineChars="200"/>
        <w:rPr>
          <w:rFonts w:cs="宋体"/>
          <w:sz w:val="24"/>
          <w:szCs w:val="24"/>
        </w:rPr>
      </w:pPr>
      <w:r>
        <w:rPr>
          <w:sz w:val="24"/>
          <w:szCs w:val="24"/>
        </w:rPr>
        <w:t>6.</w:t>
      </w:r>
      <w:r>
        <w:rPr>
          <w:rFonts w:hint="eastAsia" w:cs="宋体"/>
          <w:sz w:val="24"/>
          <w:szCs w:val="24"/>
        </w:rPr>
        <w:t>本采购文件内所称的</w:t>
      </w:r>
      <w:r>
        <w:rPr>
          <w:sz w:val="24"/>
          <w:szCs w:val="24"/>
        </w:rPr>
        <w:t>“</w:t>
      </w:r>
      <w:r>
        <w:rPr>
          <w:rFonts w:hint="eastAsia" w:cs="宋体"/>
          <w:sz w:val="24"/>
          <w:szCs w:val="24"/>
        </w:rPr>
        <w:t>以上</w:t>
      </w:r>
      <w:r>
        <w:rPr>
          <w:sz w:val="24"/>
          <w:szCs w:val="24"/>
        </w:rPr>
        <w:t>”</w:t>
      </w:r>
      <w:r>
        <w:rPr>
          <w:rFonts w:hint="eastAsia" w:cs="宋体"/>
          <w:sz w:val="24"/>
          <w:szCs w:val="24"/>
        </w:rPr>
        <w:t>、</w:t>
      </w:r>
      <w:r>
        <w:rPr>
          <w:sz w:val="24"/>
          <w:szCs w:val="24"/>
        </w:rPr>
        <w:t>“</w:t>
      </w:r>
      <w:r>
        <w:rPr>
          <w:rFonts w:hint="eastAsia" w:cs="宋体"/>
          <w:sz w:val="24"/>
          <w:szCs w:val="24"/>
        </w:rPr>
        <w:t>以下</w:t>
      </w:r>
      <w:r>
        <w:rPr>
          <w:sz w:val="24"/>
          <w:szCs w:val="24"/>
        </w:rPr>
        <w:t>”</w:t>
      </w:r>
      <w:r>
        <w:rPr>
          <w:rFonts w:hint="eastAsia" w:cs="宋体"/>
          <w:sz w:val="24"/>
          <w:szCs w:val="24"/>
        </w:rPr>
        <w:t>、</w:t>
      </w:r>
      <w:r>
        <w:rPr>
          <w:sz w:val="24"/>
          <w:szCs w:val="24"/>
        </w:rPr>
        <w:t>“</w:t>
      </w:r>
      <w:r>
        <w:rPr>
          <w:rFonts w:hint="eastAsia" w:cs="宋体"/>
          <w:sz w:val="24"/>
          <w:szCs w:val="24"/>
        </w:rPr>
        <w:t>内</w:t>
      </w:r>
      <w:r>
        <w:rPr>
          <w:sz w:val="24"/>
          <w:szCs w:val="24"/>
        </w:rPr>
        <w:t>”</w:t>
      </w:r>
      <w:r>
        <w:rPr>
          <w:rFonts w:hint="eastAsia" w:cs="宋体"/>
          <w:sz w:val="24"/>
          <w:szCs w:val="24"/>
        </w:rPr>
        <w:t>、</w:t>
      </w:r>
      <w:r>
        <w:rPr>
          <w:sz w:val="24"/>
          <w:szCs w:val="24"/>
        </w:rPr>
        <w:t>“</w:t>
      </w:r>
      <w:r>
        <w:rPr>
          <w:rFonts w:hint="eastAsia" w:cs="宋体"/>
          <w:sz w:val="24"/>
          <w:szCs w:val="24"/>
        </w:rPr>
        <w:t>以内</w:t>
      </w:r>
      <w:r>
        <w:rPr>
          <w:sz w:val="24"/>
          <w:szCs w:val="24"/>
        </w:rPr>
        <w:t>”</w:t>
      </w:r>
      <w:r>
        <w:rPr>
          <w:rFonts w:hint="eastAsia" w:cs="宋体"/>
          <w:sz w:val="24"/>
          <w:szCs w:val="24"/>
        </w:rPr>
        <w:t>，包括本数；所称的</w:t>
      </w:r>
      <w:r>
        <w:rPr>
          <w:sz w:val="24"/>
          <w:szCs w:val="24"/>
        </w:rPr>
        <w:t>“</w:t>
      </w:r>
      <w:r>
        <w:rPr>
          <w:rFonts w:hint="eastAsia" w:cs="宋体"/>
          <w:sz w:val="24"/>
          <w:szCs w:val="24"/>
        </w:rPr>
        <w:t>不足</w:t>
      </w:r>
      <w:r>
        <w:rPr>
          <w:sz w:val="24"/>
          <w:szCs w:val="24"/>
        </w:rPr>
        <w:t>”</w:t>
      </w:r>
      <w:r>
        <w:rPr>
          <w:rFonts w:hint="eastAsia" w:cs="宋体"/>
          <w:sz w:val="24"/>
          <w:szCs w:val="24"/>
        </w:rPr>
        <w:t>、</w:t>
      </w:r>
      <w:r>
        <w:rPr>
          <w:sz w:val="24"/>
          <w:szCs w:val="24"/>
        </w:rPr>
        <w:t>“</w:t>
      </w:r>
      <w:r>
        <w:rPr>
          <w:rFonts w:hint="eastAsia" w:cs="宋体"/>
          <w:sz w:val="24"/>
          <w:szCs w:val="24"/>
        </w:rPr>
        <w:t>少于</w:t>
      </w:r>
      <w:r>
        <w:rPr>
          <w:sz w:val="24"/>
          <w:szCs w:val="24"/>
        </w:rPr>
        <w:t>”</w:t>
      </w:r>
      <w:r>
        <w:rPr>
          <w:rFonts w:hint="eastAsia" w:cs="宋体"/>
          <w:sz w:val="24"/>
          <w:szCs w:val="24"/>
        </w:rPr>
        <w:t>，不包括本数。</w:t>
      </w:r>
    </w:p>
    <w:p w14:paraId="7019C58E">
      <w:pPr>
        <w:snapToGrid w:val="0"/>
        <w:spacing w:line="420" w:lineRule="exact"/>
        <w:ind w:firstLine="480" w:firstLineChars="200"/>
        <w:rPr>
          <w:rFonts w:cs="宋体"/>
          <w:sz w:val="24"/>
          <w:szCs w:val="24"/>
        </w:rPr>
      </w:pPr>
      <w:bookmarkStart w:id="47" w:name="_Hlk69659517"/>
      <w:r>
        <w:rPr>
          <w:rFonts w:hint="eastAsia" w:cs="宋体"/>
          <w:sz w:val="24"/>
          <w:szCs w:val="24"/>
        </w:rPr>
        <w:t>7</w:t>
      </w:r>
      <w:r>
        <w:rPr>
          <w:rFonts w:cs="宋体"/>
          <w:sz w:val="24"/>
          <w:szCs w:val="24"/>
        </w:rPr>
        <w:t>.</w:t>
      </w:r>
      <w:r>
        <w:rPr>
          <w:rFonts w:hint="eastAsia" w:cs="宋体"/>
          <w:sz w:val="24"/>
          <w:szCs w:val="24"/>
        </w:rPr>
        <w:t>法定代表人为同一个人的两个及两个以上法人，母公司、全资子公司及其控股公司，都不得在同一采购项目相同标段中同时参加投标，一经发现，将视同围标处理。</w:t>
      </w:r>
    </w:p>
    <w:p w14:paraId="27BCD5A5">
      <w:pPr>
        <w:snapToGrid w:val="0"/>
        <w:spacing w:line="420" w:lineRule="exact"/>
        <w:ind w:firstLine="480" w:firstLineChars="200"/>
        <w:rPr>
          <w:rFonts w:cs="宋体"/>
          <w:sz w:val="24"/>
          <w:szCs w:val="24"/>
        </w:rPr>
      </w:pPr>
      <w:r>
        <w:rPr>
          <w:rFonts w:hint="eastAsia" w:cs="宋体"/>
          <w:sz w:val="24"/>
          <w:szCs w:val="24"/>
        </w:rPr>
        <w:t>8</w:t>
      </w:r>
      <w:r>
        <w:rPr>
          <w:rFonts w:cs="宋体"/>
          <w:sz w:val="24"/>
          <w:szCs w:val="24"/>
        </w:rPr>
        <w:t>.</w:t>
      </w:r>
      <w:r>
        <w:rPr>
          <w:rFonts w:hint="eastAsia" w:cs="宋体"/>
          <w:sz w:val="24"/>
          <w:szCs w:val="24"/>
        </w:rPr>
        <w:t>供应商应认真对照资格要求，如不符合要求，无意或故意参与竞争性谈判响应的，所产生的一切后果由供应商承担。若竞争性谈判响应供应商提供虚假材料的，将作无效响应处理，并</w:t>
      </w:r>
      <w:bookmarkStart w:id="48" w:name="_Hlk152947904"/>
      <w:r>
        <w:rPr>
          <w:rFonts w:hint="eastAsia" w:cs="宋体"/>
          <w:sz w:val="24"/>
          <w:szCs w:val="24"/>
        </w:rPr>
        <w:t>报财政监管部门建议将其列入政府采购失信名单，视情公布在南通市崇川区人民政府网</w:t>
      </w:r>
      <w:bookmarkEnd w:id="48"/>
      <w:r>
        <w:rPr>
          <w:rFonts w:hint="eastAsia" w:cs="宋体"/>
          <w:sz w:val="24"/>
          <w:szCs w:val="24"/>
        </w:rPr>
        <w:t>。</w:t>
      </w:r>
    </w:p>
    <w:p w14:paraId="125CD490">
      <w:pPr>
        <w:snapToGrid w:val="0"/>
        <w:spacing w:line="420" w:lineRule="exact"/>
        <w:ind w:firstLine="480" w:firstLineChars="200"/>
        <w:rPr>
          <w:rFonts w:cs="宋体"/>
          <w:sz w:val="24"/>
          <w:szCs w:val="24"/>
        </w:rPr>
      </w:pPr>
      <w:r>
        <w:rPr>
          <w:rFonts w:hint="eastAsia" w:cs="宋体"/>
          <w:sz w:val="24"/>
          <w:szCs w:val="24"/>
        </w:rPr>
        <w:t>9</w:t>
      </w:r>
      <w:r>
        <w:rPr>
          <w:rFonts w:cs="宋体"/>
          <w:sz w:val="24"/>
          <w:szCs w:val="24"/>
        </w:rPr>
        <w:t>.</w:t>
      </w:r>
      <w:r>
        <w:rPr>
          <w:rFonts w:hint="eastAsia" w:cs="宋体"/>
          <w:sz w:val="24"/>
          <w:szCs w:val="24"/>
        </w:rPr>
        <w:t>非采购人的原因，成交的供应商（以下称“成交人”）放弃成交资格的，报财政监管部门建议将其列入政府采购失信名单，视情公布在南通市崇川区人民政府网。</w:t>
      </w:r>
    </w:p>
    <w:p w14:paraId="0E5365F1">
      <w:pPr>
        <w:snapToGrid w:val="0"/>
        <w:spacing w:line="420" w:lineRule="exact"/>
        <w:ind w:firstLine="480" w:firstLineChars="200"/>
        <w:rPr>
          <w:rFonts w:cs="宋体"/>
          <w:sz w:val="24"/>
          <w:szCs w:val="24"/>
        </w:rPr>
      </w:pPr>
      <w:r>
        <w:rPr>
          <w:rFonts w:hint="eastAsia" w:cs="宋体"/>
          <w:sz w:val="24"/>
          <w:szCs w:val="24"/>
        </w:rPr>
        <w:t>1</w:t>
      </w:r>
      <w:r>
        <w:rPr>
          <w:rFonts w:cs="宋体"/>
          <w:sz w:val="24"/>
          <w:szCs w:val="24"/>
        </w:rPr>
        <w:t>0.</w:t>
      </w:r>
      <w:r>
        <w:rPr>
          <w:rFonts w:hint="eastAsia" w:cs="宋体"/>
          <w:sz w:val="24"/>
          <w:szCs w:val="24"/>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bookmarkEnd w:id="47"/>
    <w:p w14:paraId="1F8ADD50">
      <w:pPr>
        <w:snapToGrid w:val="0"/>
        <w:spacing w:line="420" w:lineRule="exact"/>
        <w:ind w:firstLine="480" w:firstLineChars="200"/>
        <w:outlineLvl w:val="1"/>
        <w:rPr>
          <w:rFonts w:cs="宋体"/>
          <w:sz w:val="24"/>
          <w:szCs w:val="24"/>
        </w:rPr>
      </w:pPr>
      <w:bookmarkStart w:id="49" w:name="_Hlk69659762"/>
      <w:r>
        <w:rPr>
          <w:rFonts w:hint="eastAsia" w:cs="宋体"/>
          <w:b/>
          <w:bCs/>
          <w:sz w:val="24"/>
          <w:szCs w:val="24"/>
        </w:rPr>
        <w:t>二、本竞争性谈判文件涉及到的词语释义</w:t>
      </w:r>
      <w:bookmarkEnd w:id="49"/>
    </w:p>
    <w:p w14:paraId="2D591065">
      <w:pPr>
        <w:snapToGrid w:val="0"/>
        <w:spacing w:line="420" w:lineRule="exact"/>
        <w:ind w:firstLine="480" w:firstLineChars="200"/>
        <w:rPr>
          <w:rFonts w:cs="宋体"/>
          <w:sz w:val="24"/>
          <w:szCs w:val="24"/>
        </w:rPr>
      </w:pPr>
      <w:bookmarkStart w:id="50" w:name="_Hlk69659745"/>
      <w:r>
        <w:rPr>
          <w:rFonts w:cs="宋体"/>
          <w:sz w:val="24"/>
          <w:szCs w:val="24"/>
        </w:rPr>
        <w:t>1.</w:t>
      </w:r>
      <w:r>
        <w:rPr>
          <w:rFonts w:hint="eastAsia" w:cs="宋体"/>
          <w:sz w:val="24"/>
          <w:szCs w:val="24"/>
        </w:rPr>
        <w:t>采购人：指依法进行政府采购的国家机关、事业单位、团体组织。</w:t>
      </w:r>
    </w:p>
    <w:p w14:paraId="4CD6AD5C">
      <w:pPr>
        <w:snapToGrid w:val="0"/>
        <w:spacing w:line="420" w:lineRule="exact"/>
        <w:ind w:firstLine="480" w:firstLineChars="200"/>
        <w:rPr>
          <w:rFonts w:cs="宋体"/>
          <w:sz w:val="24"/>
          <w:szCs w:val="24"/>
        </w:rPr>
      </w:pPr>
      <w:r>
        <w:rPr>
          <w:rFonts w:cs="宋体"/>
          <w:sz w:val="24"/>
          <w:szCs w:val="24"/>
        </w:rPr>
        <w:t>2.</w:t>
      </w:r>
      <w:r>
        <w:rPr>
          <w:rFonts w:hint="eastAsia" w:cs="宋体"/>
          <w:sz w:val="24"/>
          <w:szCs w:val="24"/>
        </w:rPr>
        <w:t>采购代理机构：指依法接受采购人委托，从事货物、工程和服务等政府采购业务的采购代理机构。</w:t>
      </w:r>
    </w:p>
    <w:p w14:paraId="62C584E0">
      <w:pPr>
        <w:snapToGrid w:val="0"/>
        <w:spacing w:line="420" w:lineRule="exact"/>
        <w:ind w:firstLine="480" w:firstLineChars="200"/>
        <w:rPr>
          <w:rFonts w:cs="宋体"/>
          <w:sz w:val="24"/>
          <w:szCs w:val="24"/>
        </w:rPr>
      </w:pPr>
      <w:r>
        <w:rPr>
          <w:rFonts w:cs="宋体"/>
          <w:sz w:val="24"/>
          <w:szCs w:val="24"/>
        </w:rPr>
        <w:t>3.</w:t>
      </w:r>
      <w:r>
        <w:rPr>
          <w:rFonts w:hint="eastAsia" w:cs="宋体"/>
          <w:sz w:val="24"/>
          <w:szCs w:val="24"/>
        </w:rPr>
        <w:t>本项目采购文件内的竞争性谈判响应“供应商”：指响应竞争性谈判采购、参加本项目竞争性谈判响应的供应商。</w:t>
      </w:r>
    </w:p>
    <w:p w14:paraId="4E877923">
      <w:pPr>
        <w:snapToGrid w:val="0"/>
        <w:spacing w:line="420" w:lineRule="exact"/>
        <w:ind w:firstLine="480" w:firstLineChars="200"/>
        <w:rPr>
          <w:rFonts w:cs="宋体"/>
          <w:sz w:val="24"/>
          <w:szCs w:val="24"/>
        </w:rPr>
      </w:pPr>
      <w:r>
        <w:rPr>
          <w:rFonts w:cs="宋体"/>
          <w:sz w:val="24"/>
          <w:szCs w:val="24"/>
        </w:rPr>
        <w:t>4.</w:t>
      </w:r>
      <w:r>
        <w:rPr>
          <w:rFonts w:hint="eastAsia" w:cs="宋体"/>
          <w:sz w:val="24"/>
          <w:szCs w:val="24"/>
        </w:rPr>
        <w:t>响应：根据采购人或采购代理机构发布的竞争性谈判采购文件，编制竞争性谈判响应文件并按规定参与竞争性谈判采购活动的行为。</w:t>
      </w:r>
    </w:p>
    <w:p w14:paraId="3E3F25E8">
      <w:pPr>
        <w:snapToGrid w:val="0"/>
        <w:spacing w:line="420" w:lineRule="exact"/>
        <w:ind w:firstLine="480" w:firstLineChars="200"/>
        <w:rPr>
          <w:rFonts w:cs="宋体"/>
          <w:sz w:val="24"/>
          <w:szCs w:val="24"/>
        </w:rPr>
      </w:pPr>
      <w:r>
        <w:rPr>
          <w:rFonts w:cs="宋体"/>
          <w:sz w:val="24"/>
          <w:szCs w:val="24"/>
        </w:rPr>
        <w:t>5.</w:t>
      </w:r>
      <w:r>
        <w:rPr>
          <w:rFonts w:hint="eastAsia" w:cs="宋体"/>
          <w:sz w:val="24"/>
          <w:szCs w:val="24"/>
        </w:rPr>
        <w:t>合同：采供双方根据竞争性谈判文件和成交的竞争性谈判响应文件及成交通知书规定的内容，签署的以书面形式所达成的协议，包括所有的附件、附录和构成协议的所有文件。</w:t>
      </w:r>
    </w:p>
    <w:p w14:paraId="179E083B">
      <w:pPr>
        <w:snapToGrid w:val="0"/>
        <w:spacing w:line="420" w:lineRule="exact"/>
        <w:ind w:firstLine="480" w:firstLineChars="200"/>
        <w:rPr>
          <w:rFonts w:cs="宋体"/>
          <w:sz w:val="24"/>
          <w:szCs w:val="24"/>
        </w:rPr>
      </w:pPr>
      <w:r>
        <w:rPr>
          <w:rFonts w:cs="宋体"/>
          <w:sz w:val="24"/>
          <w:szCs w:val="24"/>
        </w:rPr>
        <w:t>6.</w:t>
      </w:r>
      <w:r>
        <w:rPr>
          <w:rFonts w:hint="eastAsia" w:cs="宋体"/>
          <w:sz w:val="24"/>
          <w:szCs w:val="24"/>
        </w:rPr>
        <w:t>甲方（采购人）：合同中明确规定的实际购买服务的国家机关、事业单位、团体组织。</w:t>
      </w:r>
    </w:p>
    <w:p w14:paraId="24AE75D5">
      <w:pPr>
        <w:snapToGrid w:val="0"/>
        <w:spacing w:line="420" w:lineRule="exact"/>
        <w:ind w:firstLine="480" w:firstLineChars="200"/>
        <w:rPr>
          <w:rFonts w:cs="宋体"/>
          <w:sz w:val="24"/>
          <w:szCs w:val="24"/>
        </w:rPr>
      </w:pPr>
      <w:r>
        <w:rPr>
          <w:rFonts w:cs="宋体"/>
          <w:sz w:val="24"/>
          <w:szCs w:val="24"/>
        </w:rPr>
        <w:t>7.</w:t>
      </w:r>
      <w:r>
        <w:rPr>
          <w:rFonts w:hint="eastAsia" w:cs="宋体"/>
          <w:sz w:val="24"/>
          <w:szCs w:val="24"/>
        </w:rPr>
        <w:t>乙方（供应商）：本项目合同中规定的向采购人提供服务的供应商。</w:t>
      </w:r>
    </w:p>
    <w:p w14:paraId="53EB4146">
      <w:pPr>
        <w:snapToGrid w:val="0"/>
        <w:spacing w:line="420" w:lineRule="exact"/>
        <w:ind w:firstLine="480" w:firstLineChars="200"/>
        <w:rPr>
          <w:rFonts w:cs="宋体"/>
          <w:sz w:val="24"/>
          <w:szCs w:val="24"/>
        </w:rPr>
      </w:pPr>
      <w:r>
        <w:rPr>
          <w:rFonts w:cs="宋体"/>
          <w:sz w:val="24"/>
          <w:szCs w:val="24"/>
        </w:rPr>
        <w:t>8.</w:t>
      </w:r>
      <w:r>
        <w:rPr>
          <w:rFonts w:hint="eastAsia" w:cs="宋体"/>
          <w:sz w:val="24"/>
          <w:szCs w:val="24"/>
        </w:rPr>
        <w:t>服务：系指本次竞争性谈判文件规定乙方应承担的服务及其相关的辅助服务和合同中规定乙方应承担的其他义务。</w:t>
      </w:r>
    </w:p>
    <w:p w14:paraId="0333EC8E">
      <w:pPr>
        <w:snapToGrid w:val="0"/>
        <w:spacing w:line="420" w:lineRule="exact"/>
        <w:ind w:firstLine="480" w:firstLineChars="200"/>
        <w:rPr>
          <w:rFonts w:cs="宋体"/>
          <w:sz w:val="24"/>
          <w:szCs w:val="24"/>
        </w:rPr>
      </w:pPr>
      <w:r>
        <w:rPr>
          <w:rFonts w:cs="宋体"/>
          <w:sz w:val="24"/>
          <w:szCs w:val="24"/>
        </w:rPr>
        <w:t>9.</w:t>
      </w:r>
      <w:r>
        <w:rPr>
          <w:rFonts w:hint="eastAsia" w:cs="宋体"/>
          <w:sz w:val="24"/>
          <w:szCs w:val="24"/>
        </w:rPr>
        <w:t>知识产权:指专利权、商标权、著作权等无形财产专有权的统称。</w:t>
      </w:r>
    </w:p>
    <w:p w14:paraId="7A06BA0E">
      <w:pPr>
        <w:snapToGrid w:val="0"/>
        <w:spacing w:line="420" w:lineRule="exact"/>
        <w:ind w:firstLine="480" w:firstLineChars="200"/>
        <w:rPr>
          <w:rFonts w:cs="宋体"/>
          <w:sz w:val="24"/>
          <w:szCs w:val="24"/>
        </w:rPr>
      </w:pPr>
      <w:r>
        <w:rPr>
          <w:rFonts w:cs="宋体"/>
          <w:sz w:val="24"/>
          <w:szCs w:val="24"/>
        </w:rPr>
        <w:t>10.</w:t>
      </w:r>
      <w:r>
        <w:rPr>
          <w:rFonts w:hint="eastAsia"/>
        </w:rPr>
        <w:t xml:space="preserve"> </w:t>
      </w:r>
      <w:r>
        <w:rPr>
          <w:rFonts w:hint="eastAsia" w:cs="宋体"/>
          <w:sz w:val="24"/>
          <w:szCs w:val="24"/>
        </w:rPr>
        <w:t>天:日历日；工作日：指排除国家法定节假日、休息日外的其余日历日；时间：除特别说明，均指北京时间。</w:t>
      </w:r>
    </w:p>
    <w:p w14:paraId="6F1CAD50">
      <w:pPr>
        <w:snapToGrid w:val="0"/>
        <w:spacing w:line="420" w:lineRule="exact"/>
        <w:ind w:firstLine="480" w:firstLineChars="200"/>
        <w:rPr>
          <w:rFonts w:cs="宋体"/>
          <w:sz w:val="24"/>
          <w:szCs w:val="24"/>
        </w:rPr>
      </w:pPr>
      <w:r>
        <w:rPr>
          <w:rFonts w:cs="宋体"/>
          <w:sz w:val="24"/>
          <w:szCs w:val="24"/>
        </w:rPr>
        <w:t>11.</w:t>
      </w:r>
      <w:r>
        <w:rPr>
          <w:rFonts w:hint="eastAsia" w:cs="宋体"/>
          <w:sz w:val="24"/>
          <w:szCs w:val="24"/>
        </w:rPr>
        <w:t>服务地点:合同中明确约定的乙方提供服务最终到达地点。</w:t>
      </w:r>
    </w:p>
    <w:p w14:paraId="3A31BB24">
      <w:pPr>
        <w:snapToGrid w:val="0"/>
        <w:spacing w:line="420" w:lineRule="exact"/>
        <w:ind w:firstLine="480" w:firstLineChars="200"/>
        <w:rPr>
          <w:rFonts w:cs="宋体"/>
          <w:sz w:val="24"/>
          <w:szCs w:val="24"/>
        </w:rPr>
      </w:pPr>
      <w:r>
        <w:rPr>
          <w:rFonts w:cs="宋体"/>
          <w:sz w:val="24"/>
          <w:szCs w:val="24"/>
        </w:rPr>
        <w:t>12.</w:t>
      </w:r>
      <w:r>
        <w:rPr>
          <w:rFonts w:hint="eastAsia" w:cs="宋体"/>
          <w:sz w:val="24"/>
          <w:szCs w:val="24"/>
        </w:rPr>
        <w:t>合同价款:根据合同规定,乙方在正确地履行合同义务后甲方应支付乙方的价款。</w:t>
      </w:r>
    </w:p>
    <w:p w14:paraId="20E52F45">
      <w:pPr>
        <w:snapToGrid w:val="0"/>
        <w:spacing w:line="420" w:lineRule="exact"/>
        <w:ind w:firstLine="480" w:firstLineChars="200"/>
        <w:rPr>
          <w:rFonts w:cs="宋体"/>
          <w:sz w:val="24"/>
          <w:szCs w:val="24"/>
        </w:rPr>
      </w:pPr>
      <w:r>
        <w:rPr>
          <w:rFonts w:cs="宋体"/>
          <w:sz w:val="24"/>
          <w:szCs w:val="24"/>
        </w:rPr>
        <w:t>13.</w:t>
      </w:r>
      <w:r>
        <w:rPr>
          <w:rFonts w:hint="eastAsia" w:cs="宋体"/>
          <w:sz w:val="24"/>
          <w:szCs w:val="24"/>
        </w:rPr>
        <w:t>不可抗力:不能预见、不能避免并且不能克服的客观情况。</w:t>
      </w:r>
    </w:p>
    <w:p w14:paraId="13531FB8">
      <w:pPr>
        <w:snapToGrid w:val="0"/>
        <w:spacing w:line="420" w:lineRule="exact"/>
        <w:ind w:firstLine="480" w:firstLineChars="200"/>
        <w:rPr>
          <w:rFonts w:cs="宋体"/>
          <w:sz w:val="24"/>
          <w:szCs w:val="24"/>
        </w:rPr>
      </w:pPr>
      <w:r>
        <w:rPr>
          <w:rFonts w:cs="宋体"/>
          <w:sz w:val="24"/>
          <w:szCs w:val="24"/>
        </w:rPr>
        <w:t>14.</w:t>
      </w:r>
      <w:r>
        <w:rPr>
          <w:rFonts w:hint="eastAsia" w:cs="宋体"/>
          <w:sz w:val="24"/>
          <w:szCs w:val="24"/>
        </w:rPr>
        <w:t>实质性响应：满足有关本次采购标的、数量、质量、价款或者报酬、履行期限、履行地点和方式、违约责任和解决争议方法等要求。</w:t>
      </w:r>
    </w:p>
    <w:p w14:paraId="76F48B6A">
      <w:pPr>
        <w:snapToGrid w:val="0"/>
        <w:spacing w:line="420" w:lineRule="exact"/>
        <w:ind w:firstLine="480" w:firstLineChars="200"/>
        <w:rPr>
          <w:rFonts w:cs="宋体"/>
          <w:sz w:val="24"/>
          <w:szCs w:val="24"/>
        </w:rPr>
      </w:pPr>
      <w:r>
        <w:rPr>
          <w:rFonts w:cs="宋体"/>
          <w:sz w:val="24"/>
          <w:szCs w:val="24"/>
        </w:rPr>
        <w:t>15.</w:t>
      </w:r>
      <w:r>
        <w:rPr>
          <w:rFonts w:hint="eastAsia" w:cs="宋体"/>
          <w:sz w:val="24"/>
          <w:szCs w:val="24"/>
        </w:rPr>
        <w:t>书面形式：指书面文字、合同书、信件等可有形地表现所载内容的形式。</w:t>
      </w:r>
    </w:p>
    <w:bookmarkEnd w:id="50"/>
    <w:p w14:paraId="17307FA0">
      <w:pPr>
        <w:snapToGrid w:val="0"/>
        <w:spacing w:line="420" w:lineRule="exact"/>
        <w:ind w:firstLine="480" w:firstLineChars="200"/>
        <w:outlineLvl w:val="1"/>
        <w:rPr>
          <w:b/>
          <w:sz w:val="24"/>
          <w:szCs w:val="24"/>
        </w:rPr>
      </w:pPr>
      <w:r>
        <w:rPr>
          <w:rFonts w:hint="eastAsia"/>
          <w:b/>
          <w:sz w:val="24"/>
          <w:szCs w:val="24"/>
        </w:rPr>
        <w:t>三</w:t>
      </w:r>
      <w:r>
        <w:rPr>
          <w:b/>
          <w:sz w:val="24"/>
          <w:szCs w:val="24"/>
        </w:rPr>
        <w:t>、竞争性谈判文件的澄清、修改、答疑</w:t>
      </w:r>
    </w:p>
    <w:p w14:paraId="3A9CCAC2">
      <w:pPr>
        <w:snapToGrid w:val="0"/>
        <w:spacing w:line="420" w:lineRule="exact"/>
        <w:ind w:firstLine="480" w:firstLineChars="200"/>
        <w:rPr>
          <w:sz w:val="24"/>
          <w:szCs w:val="24"/>
        </w:rPr>
      </w:pPr>
      <w:r>
        <w:rPr>
          <w:sz w:val="24"/>
          <w:szCs w:val="24"/>
        </w:rPr>
        <w:t>1.采购代理机构有权对发出的竞争性谈判文件进行必要的澄清、修改。</w:t>
      </w:r>
    </w:p>
    <w:p w14:paraId="2C1B3FB5">
      <w:pPr>
        <w:snapToGrid w:val="0"/>
        <w:spacing w:line="420" w:lineRule="exact"/>
        <w:ind w:firstLine="480" w:firstLineChars="200"/>
        <w:rPr>
          <w:sz w:val="24"/>
          <w:szCs w:val="24"/>
        </w:rPr>
      </w:pPr>
      <w:r>
        <w:rPr>
          <w:sz w:val="24"/>
          <w:szCs w:val="24"/>
        </w:rPr>
        <w:t>2.竞争性谈判文件的澄清、修改等内容均以明确的</w:t>
      </w:r>
      <w:r>
        <w:rPr>
          <w:rFonts w:hint="eastAsia"/>
          <w:sz w:val="24"/>
          <w:szCs w:val="24"/>
        </w:rPr>
        <w:t>公告</w:t>
      </w:r>
      <w:r>
        <w:rPr>
          <w:sz w:val="24"/>
          <w:szCs w:val="24"/>
        </w:rPr>
        <w:t>形式发布，且以在“</w:t>
      </w:r>
      <w:r>
        <w:rPr>
          <w:rFonts w:hint="eastAsia"/>
          <w:sz w:val="24"/>
          <w:szCs w:val="24"/>
        </w:rPr>
        <w:t>南通市崇川区人民政府网(www.chongchuan.gov.cn)→我要看→公示公告栏</w:t>
      </w:r>
      <w:r>
        <w:rPr>
          <w:sz w:val="24"/>
          <w:szCs w:val="24"/>
        </w:rPr>
        <w:t>”发布的信息为准。</w:t>
      </w:r>
    </w:p>
    <w:p w14:paraId="2C67C451">
      <w:pPr>
        <w:snapToGrid w:val="0"/>
        <w:spacing w:line="420" w:lineRule="exact"/>
        <w:ind w:firstLine="480" w:firstLineChars="200"/>
        <w:rPr>
          <w:sz w:val="24"/>
          <w:szCs w:val="24"/>
        </w:rPr>
      </w:pPr>
      <w:r>
        <w:rPr>
          <w:sz w:val="24"/>
          <w:szCs w:val="24"/>
        </w:rPr>
        <w:t>3.采购代理机构对竞争性谈判文件的澄清、修改将构成竞争性谈判文件的一部分，对响应谈判的供应商具有约束力。</w:t>
      </w:r>
    </w:p>
    <w:p w14:paraId="23E32ECB">
      <w:pPr>
        <w:snapToGrid w:val="0"/>
        <w:spacing w:line="420" w:lineRule="exact"/>
        <w:ind w:firstLine="480" w:firstLineChars="200"/>
        <w:rPr>
          <w:sz w:val="24"/>
          <w:szCs w:val="24"/>
        </w:rPr>
      </w:pPr>
      <w:r>
        <w:rPr>
          <w:sz w:val="24"/>
          <w:szCs w:val="24"/>
        </w:rPr>
        <w:t>4.澄清或者修改的内容可能影响到响应文件编制的，采购代理机构将在提交响应文件接收截止之日的3个工作日前，发布澄清或者修改</w:t>
      </w:r>
      <w:r>
        <w:rPr>
          <w:rFonts w:hint="eastAsia"/>
          <w:sz w:val="24"/>
          <w:szCs w:val="24"/>
        </w:rPr>
        <w:t>的更正</w:t>
      </w:r>
      <w:r>
        <w:rPr>
          <w:sz w:val="24"/>
          <w:szCs w:val="24"/>
        </w:rPr>
        <w:t>公告，不足3个工作日的，当顺延提交响应文件接收截止之日。</w:t>
      </w:r>
    </w:p>
    <w:p w14:paraId="5D86F3A4">
      <w:pPr>
        <w:snapToGrid w:val="0"/>
        <w:spacing w:line="420" w:lineRule="exact"/>
        <w:ind w:firstLine="480" w:firstLineChars="200"/>
        <w:rPr>
          <w:sz w:val="24"/>
          <w:szCs w:val="24"/>
        </w:rPr>
      </w:pPr>
      <w:r>
        <w:rPr>
          <w:sz w:val="24"/>
          <w:szCs w:val="24"/>
        </w:rPr>
        <w:t>5.除非采购代理机构以</w:t>
      </w:r>
      <w:r>
        <w:rPr>
          <w:rFonts w:hint="eastAsia"/>
          <w:sz w:val="24"/>
          <w:szCs w:val="24"/>
        </w:rPr>
        <w:t>公告</w:t>
      </w:r>
      <w:r>
        <w:rPr>
          <w:sz w:val="24"/>
          <w:szCs w:val="24"/>
        </w:rPr>
        <w:t>的形式对竞争性谈判文件</w:t>
      </w:r>
      <w:r>
        <w:rPr>
          <w:rFonts w:hint="eastAsia"/>
          <w:sz w:val="24"/>
          <w:szCs w:val="24"/>
        </w:rPr>
        <w:t>做</w:t>
      </w:r>
      <w:r>
        <w:rPr>
          <w:sz w:val="24"/>
          <w:szCs w:val="24"/>
        </w:rPr>
        <w:t>出澄清、修改，供应商对涉及竞争性谈判文件的任何推论、理解和结论所造成的结果，均由响应谈判的供应商自负。</w:t>
      </w:r>
    </w:p>
    <w:p w14:paraId="1D3DC8E0">
      <w:pPr>
        <w:snapToGrid w:val="0"/>
        <w:spacing w:line="420" w:lineRule="exact"/>
        <w:ind w:firstLine="480" w:firstLineChars="200"/>
        <w:rPr>
          <w:sz w:val="24"/>
          <w:szCs w:val="24"/>
        </w:rPr>
      </w:pPr>
      <w:r>
        <w:rPr>
          <w:sz w:val="24"/>
          <w:szCs w:val="24"/>
        </w:rPr>
        <w:t>6.招标采购单位视情组织答疑会。如有产生答疑且对谈判采购文件内容有修改，采购代理机构将按照本须知有关规定，以公告的</w:t>
      </w:r>
      <w:r>
        <w:rPr>
          <w:rFonts w:hint="eastAsia"/>
          <w:sz w:val="24"/>
          <w:szCs w:val="24"/>
        </w:rPr>
        <w:t>形式</w:t>
      </w:r>
      <w:r>
        <w:rPr>
          <w:sz w:val="24"/>
          <w:szCs w:val="24"/>
        </w:rPr>
        <w:t>发出。</w:t>
      </w:r>
    </w:p>
    <w:p w14:paraId="664FFB3C">
      <w:pPr>
        <w:snapToGrid w:val="0"/>
        <w:spacing w:line="420" w:lineRule="exact"/>
        <w:ind w:firstLine="480" w:firstLineChars="200"/>
        <w:outlineLvl w:val="1"/>
        <w:rPr>
          <w:b/>
          <w:sz w:val="24"/>
          <w:szCs w:val="24"/>
        </w:rPr>
      </w:pPr>
      <w:r>
        <w:rPr>
          <w:rFonts w:hint="eastAsia"/>
          <w:b/>
          <w:sz w:val="24"/>
          <w:szCs w:val="24"/>
        </w:rPr>
        <w:t>四</w:t>
      </w:r>
      <w:r>
        <w:rPr>
          <w:b/>
          <w:sz w:val="24"/>
          <w:szCs w:val="24"/>
        </w:rPr>
        <w:t>、</w:t>
      </w:r>
      <w:r>
        <w:rPr>
          <w:rFonts w:hint="eastAsia"/>
          <w:b/>
          <w:sz w:val="24"/>
          <w:szCs w:val="24"/>
        </w:rPr>
        <w:t>竞争性谈判响应文件</w:t>
      </w:r>
      <w:r>
        <w:rPr>
          <w:b/>
          <w:sz w:val="24"/>
          <w:szCs w:val="24"/>
        </w:rPr>
        <w:t>的编制及装订</w:t>
      </w:r>
    </w:p>
    <w:p w14:paraId="2566200A">
      <w:pPr>
        <w:snapToGrid w:val="0"/>
        <w:spacing w:line="420" w:lineRule="exact"/>
        <w:ind w:firstLine="480" w:firstLineChars="200"/>
        <w:rPr>
          <w:sz w:val="24"/>
          <w:szCs w:val="24"/>
        </w:rPr>
      </w:pPr>
      <w:r>
        <w:rPr>
          <w:sz w:val="24"/>
          <w:szCs w:val="24"/>
        </w:rPr>
        <w:t>响应谈判供的应商按竞争性谈判响应文件组成顺序编写响应文件，并牢固装订成册。竞争性谈判响应文件均需采用A4纸（图纸等除外），不</w:t>
      </w:r>
      <w:r>
        <w:rPr>
          <w:rFonts w:hint="eastAsia"/>
          <w:sz w:val="24"/>
          <w:szCs w:val="24"/>
        </w:rPr>
        <w:t>建议</w:t>
      </w:r>
      <w:r>
        <w:rPr>
          <w:sz w:val="24"/>
          <w:szCs w:val="24"/>
        </w:rPr>
        <w:t>使用活页夹、拉杆夹、文件夹、塑料方便式书脊（插入式或穿孔式）装订。响应文件不得行间插字、涂改、增删，如修改错漏处，</w:t>
      </w:r>
      <w:bookmarkStart w:id="51" w:name="_Hlk70168712"/>
      <w:r>
        <w:rPr>
          <w:rFonts w:hint="eastAsia" w:cs="宋体"/>
          <w:b/>
          <w:bCs/>
          <w:sz w:val="24"/>
          <w:szCs w:val="24"/>
          <w:u w:val="thick" w:color="FF0000"/>
        </w:rPr>
        <w:t>须经过供应商法人代表或其委托的代理人（以下称被委托受权人）签字或盖章（供应商须加盖公章）</w:t>
      </w:r>
      <w:bookmarkEnd w:id="51"/>
      <w:r>
        <w:rPr>
          <w:sz w:val="24"/>
          <w:szCs w:val="24"/>
        </w:rPr>
        <w:t>。</w:t>
      </w:r>
    </w:p>
    <w:p w14:paraId="2FB152CA">
      <w:pPr>
        <w:snapToGrid w:val="0"/>
        <w:spacing w:line="420" w:lineRule="exact"/>
        <w:ind w:firstLine="480" w:firstLineChars="200"/>
        <w:outlineLvl w:val="1"/>
        <w:rPr>
          <w:b/>
          <w:sz w:val="24"/>
          <w:szCs w:val="24"/>
        </w:rPr>
      </w:pPr>
      <w:r>
        <w:rPr>
          <w:rFonts w:hint="eastAsia"/>
          <w:b/>
          <w:sz w:val="24"/>
          <w:szCs w:val="24"/>
        </w:rPr>
        <w:t>五</w:t>
      </w:r>
      <w:r>
        <w:rPr>
          <w:b/>
          <w:sz w:val="24"/>
          <w:szCs w:val="24"/>
        </w:rPr>
        <w:t>、</w:t>
      </w:r>
      <w:r>
        <w:rPr>
          <w:rFonts w:hint="eastAsia"/>
          <w:b/>
          <w:sz w:val="24"/>
          <w:szCs w:val="24"/>
        </w:rPr>
        <w:t>竞争性谈判响应文件</w:t>
      </w:r>
      <w:r>
        <w:rPr>
          <w:b/>
          <w:sz w:val="24"/>
          <w:szCs w:val="24"/>
        </w:rPr>
        <w:t>的组成、份数和签署</w:t>
      </w:r>
    </w:p>
    <w:p w14:paraId="40C1E986">
      <w:pPr>
        <w:snapToGrid w:val="0"/>
        <w:spacing w:line="420" w:lineRule="exact"/>
        <w:ind w:firstLine="480" w:firstLineChars="200"/>
        <w:rPr>
          <w:sz w:val="24"/>
          <w:szCs w:val="24"/>
        </w:rPr>
      </w:pPr>
      <w:r>
        <w:rPr>
          <w:sz w:val="24"/>
          <w:szCs w:val="24"/>
        </w:rPr>
        <w:t>1.竞争性谈判响应文件由：</w:t>
      </w:r>
      <w:bookmarkStart w:id="52" w:name="_Hlk70176757"/>
      <w:r>
        <w:rPr>
          <w:b/>
          <w:bCs/>
          <w:sz w:val="24"/>
          <w:szCs w:val="24"/>
        </w:rPr>
        <w:t>资格审查材料文件、技术响应文件、报价响应文件</w:t>
      </w:r>
      <w:bookmarkEnd w:id="52"/>
      <w:r>
        <w:rPr>
          <w:sz w:val="24"/>
          <w:szCs w:val="24"/>
        </w:rPr>
        <w:t>，共3部分组成。</w:t>
      </w:r>
    </w:p>
    <w:p w14:paraId="6A2880DC">
      <w:pPr>
        <w:snapToGrid w:val="0"/>
        <w:spacing w:line="420" w:lineRule="exact"/>
        <w:ind w:firstLine="480" w:firstLineChars="200"/>
        <w:rPr>
          <w:sz w:val="24"/>
          <w:szCs w:val="24"/>
        </w:rPr>
      </w:pPr>
      <w:r>
        <w:rPr>
          <w:sz w:val="24"/>
          <w:szCs w:val="24"/>
        </w:rPr>
        <w:t>2.</w:t>
      </w:r>
      <w:r>
        <w:rPr>
          <w:rFonts w:hint="eastAsia"/>
          <w:sz w:val="24"/>
          <w:szCs w:val="24"/>
        </w:rPr>
        <w:t>各部分的</w:t>
      </w:r>
      <w:r>
        <w:rPr>
          <w:sz w:val="24"/>
          <w:szCs w:val="24"/>
        </w:rPr>
        <w:t>竞争性谈判响应文件均为</w:t>
      </w:r>
      <w:r>
        <w:rPr>
          <w:b/>
          <w:sz w:val="24"/>
          <w:szCs w:val="24"/>
          <w:u w:val="thick" w:color="FF0000"/>
        </w:rPr>
        <w:t>1份“正本”和2份“副本”</w:t>
      </w:r>
      <w:r>
        <w:rPr>
          <w:sz w:val="24"/>
          <w:szCs w:val="24"/>
          <w:u w:val="thick" w:color="FF0000"/>
        </w:rPr>
        <w:t>。</w:t>
      </w:r>
    </w:p>
    <w:p w14:paraId="2EE46731">
      <w:pPr>
        <w:snapToGrid w:val="0"/>
        <w:spacing w:line="420" w:lineRule="exact"/>
        <w:ind w:firstLine="480" w:firstLineChars="200"/>
        <w:rPr>
          <w:sz w:val="24"/>
          <w:szCs w:val="24"/>
        </w:rPr>
      </w:pPr>
      <w:r>
        <w:rPr>
          <w:sz w:val="24"/>
          <w:szCs w:val="24"/>
        </w:rPr>
        <w:t>3.在每份竞争性谈判响应文件上要明确标注项目名称、项目编号、对应的竞争性谈判响应文件名称、谈判供应商的全称、日期、“正本”、“副本”字样。“正本”和“副本”若有差异，概以“正本”为准。</w:t>
      </w:r>
    </w:p>
    <w:p w14:paraId="0B579287">
      <w:pPr>
        <w:snapToGrid w:val="0"/>
        <w:spacing w:line="420" w:lineRule="exact"/>
        <w:ind w:firstLine="480" w:firstLineChars="200"/>
        <w:rPr>
          <w:sz w:val="24"/>
          <w:szCs w:val="24"/>
        </w:rPr>
      </w:pPr>
      <w:r>
        <w:rPr>
          <w:sz w:val="24"/>
          <w:szCs w:val="24"/>
        </w:rPr>
        <w:t>4.竞争性谈判响应文件中的所有“正本”，须为打印的，其正文内容由谈判供应商的法定代表人或被委托受权人签字（或盖章）并加盖公章，“副本”可为“正本”的复印件。</w:t>
      </w:r>
    </w:p>
    <w:p w14:paraId="399D02B6">
      <w:pPr>
        <w:snapToGrid w:val="0"/>
        <w:spacing w:line="420" w:lineRule="exact"/>
        <w:ind w:firstLine="480" w:firstLineChars="200"/>
        <w:outlineLvl w:val="1"/>
        <w:rPr>
          <w:b/>
          <w:sz w:val="24"/>
          <w:szCs w:val="24"/>
        </w:rPr>
      </w:pPr>
      <w:r>
        <w:rPr>
          <w:rFonts w:hint="eastAsia"/>
          <w:b/>
          <w:sz w:val="24"/>
          <w:szCs w:val="24"/>
        </w:rPr>
        <w:t>六</w:t>
      </w:r>
      <w:r>
        <w:rPr>
          <w:b/>
          <w:sz w:val="24"/>
          <w:szCs w:val="24"/>
        </w:rPr>
        <w:t>、竞争性谈判响应文件的密封及标记</w:t>
      </w:r>
    </w:p>
    <w:p w14:paraId="577DC666">
      <w:pPr>
        <w:snapToGrid w:val="0"/>
        <w:spacing w:line="420" w:lineRule="exact"/>
        <w:ind w:firstLine="480" w:firstLineChars="200"/>
        <w:rPr>
          <w:sz w:val="24"/>
          <w:szCs w:val="24"/>
        </w:rPr>
      </w:pPr>
      <w:r>
        <w:rPr>
          <w:b/>
          <w:bCs/>
          <w:sz w:val="24"/>
          <w:szCs w:val="24"/>
        </w:rPr>
        <w:t>【特别提醒】</w:t>
      </w:r>
      <w:r>
        <w:rPr>
          <w:sz w:val="24"/>
          <w:szCs w:val="24"/>
        </w:rPr>
        <w:t>竞争性谈判响应文件中的</w:t>
      </w:r>
      <w:r>
        <w:rPr>
          <w:rFonts w:hint="eastAsia"/>
          <w:sz w:val="24"/>
          <w:szCs w:val="24"/>
        </w:rPr>
        <w:t>资格审查材料文件、技术响应文件</w:t>
      </w:r>
      <w:r>
        <w:rPr>
          <w:sz w:val="24"/>
          <w:szCs w:val="24"/>
        </w:rPr>
        <w:t>的“正本”或“副本”中，均不得含有</w:t>
      </w:r>
      <w:r>
        <w:rPr>
          <w:rFonts w:hint="eastAsia"/>
          <w:sz w:val="24"/>
          <w:szCs w:val="24"/>
        </w:rPr>
        <w:t>报价响应文件</w:t>
      </w:r>
      <w:r>
        <w:rPr>
          <w:sz w:val="24"/>
          <w:szCs w:val="24"/>
        </w:rPr>
        <w:t>中的报价表（报价单）内的任何项目价格，否则作</w:t>
      </w:r>
      <w:r>
        <w:rPr>
          <w:rFonts w:hint="eastAsia"/>
          <w:sz w:val="24"/>
          <w:szCs w:val="24"/>
        </w:rPr>
        <w:t>无效谈判响应</w:t>
      </w:r>
      <w:r>
        <w:rPr>
          <w:sz w:val="24"/>
          <w:szCs w:val="24"/>
        </w:rPr>
        <w:t>处理。</w:t>
      </w:r>
    </w:p>
    <w:p w14:paraId="0F311F6F">
      <w:pPr>
        <w:snapToGrid w:val="0"/>
        <w:spacing w:line="420" w:lineRule="exact"/>
        <w:ind w:firstLine="480" w:firstLineChars="200"/>
        <w:rPr>
          <w:b/>
          <w:bCs/>
          <w:sz w:val="24"/>
          <w:szCs w:val="24"/>
        </w:rPr>
      </w:pPr>
      <w:r>
        <w:rPr>
          <w:sz w:val="24"/>
          <w:szCs w:val="24"/>
        </w:rPr>
        <w:t>1.</w:t>
      </w:r>
      <w:r>
        <w:rPr>
          <w:b/>
          <w:bCs/>
          <w:sz w:val="24"/>
          <w:szCs w:val="24"/>
        </w:rPr>
        <w:t>响应谈判的供应商须将本项目竞争性谈判响应文件：</w:t>
      </w:r>
      <w:r>
        <w:rPr>
          <w:rFonts w:hint="eastAsia"/>
          <w:b/>
          <w:bCs/>
          <w:sz w:val="24"/>
          <w:szCs w:val="24"/>
        </w:rPr>
        <w:t>资格审查材料文件、技术响应文件、报价响应文件，</w:t>
      </w:r>
      <w:r>
        <w:rPr>
          <w:b/>
          <w:bCs/>
          <w:sz w:val="24"/>
          <w:szCs w:val="24"/>
        </w:rPr>
        <w:t>分3</w:t>
      </w:r>
      <w:r>
        <w:rPr>
          <w:rFonts w:hint="eastAsia"/>
          <w:b/>
          <w:bCs/>
          <w:sz w:val="24"/>
          <w:szCs w:val="24"/>
        </w:rPr>
        <w:t>个密封件，</w:t>
      </w:r>
      <w:r>
        <w:rPr>
          <w:b/>
          <w:bCs/>
          <w:sz w:val="24"/>
          <w:szCs w:val="24"/>
        </w:rPr>
        <w:t>单独密封。</w:t>
      </w:r>
    </w:p>
    <w:p w14:paraId="6A8F99C6">
      <w:pPr>
        <w:snapToGrid w:val="0"/>
        <w:spacing w:line="420" w:lineRule="exact"/>
        <w:ind w:firstLine="480" w:firstLineChars="200"/>
        <w:rPr>
          <w:sz w:val="24"/>
          <w:szCs w:val="24"/>
        </w:rPr>
      </w:pPr>
      <w:r>
        <w:rPr>
          <w:sz w:val="24"/>
          <w:szCs w:val="24"/>
        </w:rPr>
        <w:t>2.密封后，应在每一密封的竞争性谈判响应文件上明确标注谈判项目名称、项目编号、竞争性谈判响应文件各自对应的名称、谈判供应商的全称、日期并加盖谈判供应商的公章。</w:t>
      </w:r>
    </w:p>
    <w:p w14:paraId="5232723D">
      <w:pPr>
        <w:snapToGrid w:val="0"/>
        <w:spacing w:line="420" w:lineRule="exact"/>
        <w:ind w:firstLine="495" w:firstLineChars="206"/>
        <w:outlineLvl w:val="1"/>
        <w:rPr>
          <w:b/>
          <w:bCs/>
          <w:sz w:val="24"/>
          <w:szCs w:val="24"/>
        </w:rPr>
      </w:pPr>
      <w:r>
        <w:rPr>
          <w:rFonts w:hint="eastAsia"/>
          <w:b/>
          <w:bCs/>
          <w:sz w:val="24"/>
          <w:szCs w:val="24"/>
        </w:rPr>
        <w:t>七</w:t>
      </w:r>
      <w:r>
        <w:rPr>
          <w:b/>
          <w:bCs/>
          <w:sz w:val="24"/>
          <w:szCs w:val="24"/>
        </w:rPr>
        <w:t>、</w:t>
      </w:r>
      <w:r>
        <w:rPr>
          <w:rFonts w:hint="eastAsia"/>
          <w:b/>
          <w:bCs/>
          <w:sz w:val="24"/>
          <w:szCs w:val="24"/>
        </w:rPr>
        <w:t>竞争性</w:t>
      </w:r>
      <w:r>
        <w:rPr>
          <w:b/>
          <w:bCs/>
          <w:sz w:val="24"/>
          <w:szCs w:val="24"/>
        </w:rPr>
        <w:t>谈判</w:t>
      </w:r>
      <w:r>
        <w:rPr>
          <w:rFonts w:hint="eastAsia"/>
          <w:b/>
          <w:bCs/>
          <w:sz w:val="24"/>
          <w:szCs w:val="24"/>
        </w:rPr>
        <w:t>响应</w:t>
      </w:r>
      <w:r>
        <w:rPr>
          <w:b/>
          <w:bCs/>
          <w:sz w:val="24"/>
          <w:szCs w:val="24"/>
        </w:rPr>
        <w:t>报价</w:t>
      </w:r>
    </w:p>
    <w:p w14:paraId="745578DB">
      <w:pPr>
        <w:snapToGrid w:val="0"/>
        <w:spacing w:line="420" w:lineRule="exact"/>
        <w:ind w:firstLine="494" w:firstLineChars="206"/>
        <w:rPr>
          <w:sz w:val="24"/>
          <w:szCs w:val="24"/>
        </w:rPr>
      </w:pPr>
      <w:r>
        <w:rPr>
          <w:sz w:val="24"/>
          <w:szCs w:val="24"/>
        </w:rPr>
        <w:t>1.本项目需求不接受任何有选择的报价。</w:t>
      </w:r>
    </w:p>
    <w:p w14:paraId="0E0A5C94">
      <w:pPr>
        <w:snapToGrid w:val="0"/>
        <w:spacing w:line="420" w:lineRule="exact"/>
        <w:ind w:firstLine="494" w:firstLineChars="206"/>
        <w:rPr>
          <w:sz w:val="24"/>
          <w:szCs w:val="24"/>
        </w:rPr>
      </w:pPr>
      <w:r>
        <w:rPr>
          <w:sz w:val="24"/>
          <w:szCs w:val="24"/>
        </w:rPr>
        <w:t>2.谈判报价均以人民币为报价的货币单位。</w:t>
      </w:r>
    </w:p>
    <w:p w14:paraId="3E8E4659">
      <w:pPr>
        <w:snapToGrid w:val="0"/>
        <w:spacing w:line="420" w:lineRule="exact"/>
        <w:ind w:firstLine="494" w:firstLineChars="206"/>
        <w:rPr>
          <w:sz w:val="24"/>
          <w:szCs w:val="24"/>
        </w:rPr>
      </w:pPr>
      <w:r>
        <w:rPr>
          <w:sz w:val="24"/>
          <w:szCs w:val="24"/>
        </w:rPr>
        <w:t>3.报价表必须加盖响应供应商公章且必须经法定代表人或被委托受权人签署。</w:t>
      </w:r>
    </w:p>
    <w:p w14:paraId="732DA117">
      <w:pPr>
        <w:snapToGrid w:val="0"/>
        <w:spacing w:line="420" w:lineRule="exact"/>
        <w:ind w:firstLine="494" w:firstLineChars="206"/>
        <w:rPr>
          <w:sz w:val="24"/>
          <w:szCs w:val="24"/>
        </w:rPr>
      </w:pPr>
      <w:r>
        <w:rPr>
          <w:sz w:val="24"/>
          <w:szCs w:val="24"/>
        </w:rPr>
        <w:t>4.竞争性谈判响应文件报价出现前后不一致的，按照下列规定修正：</w:t>
      </w:r>
    </w:p>
    <w:p w14:paraId="3889EA9D">
      <w:pPr>
        <w:snapToGrid w:val="0"/>
        <w:spacing w:line="420" w:lineRule="exact"/>
        <w:ind w:firstLine="494" w:firstLineChars="206"/>
        <w:rPr>
          <w:sz w:val="24"/>
          <w:szCs w:val="24"/>
        </w:rPr>
      </w:pPr>
      <w:r>
        <w:rPr>
          <w:sz w:val="24"/>
          <w:szCs w:val="24"/>
        </w:rPr>
        <w:t>（1）竞争性谈判响应文件中报价表内容与竞争性谈判响应文件中明细内容不一致的，以报价表为准；</w:t>
      </w:r>
    </w:p>
    <w:p w14:paraId="1DFA5B3C">
      <w:pPr>
        <w:snapToGrid w:val="0"/>
        <w:spacing w:line="420" w:lineRule="exact"/>
        <w:ind w:firstLine="494" w:firstLineChars="206"/>
        <w:rPr>
          <w:sz w:val="24"/>
          <w:szCs w:val="24"/>
        </w:rPr>
      </w:pPr>
      <w:r>
        <w:rPr>
          <w:sz w:val="24"/>
          <w:szCs w:val="24"/>
        </w:rPr>
        <w:t>（2）大写金额和小写金额不一致的，以大写金额为准；</w:t>
      </w:r>
    </w:p>
    <w:p w14:paraId="288ACA3D">
      <w:pPr>
        <w:snapToGrid w:val="0"/>
        <w:spacing w:line="420" w:lineRule="exact"/>
        <w:ind w:firstLine="494" w:firstLineChars="206"/>
        <w:rPr>
          <w:sz w:val="24"/>
          <w:szCs w:val="24"/>
        </w:rPr>
      </w:pPr>
      <w:r>
        <w:rPr>
          <w:sz w:val="24"/>
          <w:szCs w:val="24"/>
        </w:rPr>
        <w:t>（3）单价金额小数点或者百分比有明显错位的，以报价总表中的总价为准，并修改单价；</w:t>
      </w:r>
    </w:p>
    <w:p w14:paraId="6F7D5DE6">
      <w:pPr>
        <w:snapToGrid w:val="0"/>
        <w:spacing w:line="420" w:lineRule="exact"/>
        <w:ind w:firstLine="494" w:firstLineChars="206"/>
        <w:rPr>
          <w:sz w:val="24"/>
          <w:szCs w:val="24"/>
        </w:rPr>
      </w:pPr>
      <w:r>
        <w:rPr>
          <w:sz w:val="24"/>
          <w:szCs w:val="24"/>
        </w:rPr>
        <w:t>（4）总价金额与按单价汇总金额不一致的，以单价金额计算结果为准。</w:t>
      </w:r>
    </w:p>
    <w:p w14:paraId="3788354B">
      <w:pPr>
        <w:snapToGrid w:val="0"/>
        <w:spacing w:line="420" w:lineRule="exact"/>
        <w:ind w:firstLine="494" w:firstLineChars="206"/>
        <w:rPr>
          <w:sz w:val="24"/>
          <w:szCs w:val="24"/>
        </w:rPr>
      </w:pPr>
      <w:r>
        <w:rPr>
          <w:sz w:val="24"/>
          <w:szCs w:val="24"/>
        </w:rPr>
        <w:t>（5）同时出现两种以上不一致的，按照前款规定的顺序修正。修正后的报价经谈判响应供应商确认后产生约束力，谈判响应供应商不确认的，其谈判响应无效。</w:t>
      </w:r>
    </w:p>
    <w:p w14:paraId="7F715815">
      <w:pPr>
        <w:snapToGrid w:val="0"/>
        <w:spacing w:line="420" w:lineRule="exact"/>
        <w:ind w:firstLine="494" w:firstLineChars="206"/>
        <w:rPr>
          <w:sz w:val="24"/>
          <w:szCs w:val="24"/>
        </w:rPr>
      </w:pPr>
      <w:bookmarkStart w:id="53" w:name="_Hlk72059576"/>
      <w:r>
        <w:rPr>
          <w:sz w:val="24"/>
          <w:szCs w:val="24"/>
        </w:rPr>
        <w:t>5.</w:t>
      </w:r>
      <w:bookmarkStart w:id="54" w:name="_Hlk72060134"/>
      <w:r>
        <w:rPr>
          <w:sz w:val="24"/>
          <w:szCs w:val="24"/>
        </w:rPr>
        <w:t>谈判响应</w:t>
      </w:r>
      <w:r>
        <w:rPr>
          <w:rFonts w:hint="eastAsia"/>
          <w:sz w:val="24"/>
          <w:szCs w:val="24"/>
        </w:rPr>
        <w:t>报价的</w:t>
      </w:r>
      <w:r>
        <w:rPr>
          <w:sz w:val="24"/>
          <w:szCs w:val="24"/>
        </w:rPr>
        <w:t>总价</w:t>
      </w:r>
      <w:bookmarkStart w:id="55" w:name="_Hlk72370960"/>
      <w:r>
        <w:rPr>
          <w:rFonts w:hint="eastAsia"/>
          <w:sz w:val="24"/>
          <w:szCs w:val="24"/>
        </w:rPr>
        <w:t>应当是采购文件所确定的服务范围内的全部内容的价格体现，是完成本项目所需的服务成本、经营成本以及供应商企业利润、税金和政策性文件规定与合同包含的所有风险、责任等各项应有费。</w:t>
      </w:r>
    </w:p>
    <w:bookmarkEnd w:id="53"/>
    <w:bookmarkEnd w:id="54"/>
    <w:bookmarkEnd w:id="55"/>
    <w:p w14:paraId="5EEA22A6">
      <w:pPr>
        <w:snapToGrid w:val="0"/>
        <w:spacing w:line="420" w:lineRule="exact"/>
        <w:ind w:firstLine="480" w:firstLineChars="200"/>
        <w:rPr>
          <w:sz w:val="24"/>
          <w:szCs w:val="24"/>
        </w:rPr>
      </w:pPr>
      <w:bookmarkStart w:id="56" w:name="_Hlk81872937"/>
      <w:r>
        <w:rPr>
          <w:sz w:val="24"/>
          <w:szCs w:val="24"/>
        </w:rPr>
        <w:t>6.</w:t>
      </w:r>
      <w:r>
        <w:rPr>
          <w:rFonts w:hint="eastAsia" w:cs="宋体"/>
          <w:b/>
          <w:bCs/>
          <w:sz w:val="24"/>
          <w:szCs w:val="24"/>
        </w:rPr>
        <w:t>本次竞争性谈判采购项目的响应报价有最后报价。</w:t>
      </w:r>
      <w:r>
        <w:rPr>
          <w:rFonts w:hint="eastAsia" w:cs="宋体"/>
          <w:b/>
          <w:bCs/>
          <w:sz w:val="24"/>
          <w:szCs w:val="24"/>
          <w:u w:val="thick" w:color="FF0000"/>
        </w:rPr>
        <w:t>竞争性谈判评审活动过程中的谈判结束后，谈判小组应当要求所有参加谈判的供应商在规定时间内进行最后报价</w:t>
      </w:r>
      <w:r>
        <w:rPr>
          <w:rFonts w:hint="eastAsia" w:cs="宋体"/>
          <w:sz w:val="24"/>
          <w:szCs w:val="24"/>
        </w:rPr>
        <w:t>。</w:t>
      </w:r>
    </w:p>
    <w:p w14:paraId="409AE671">
      <w:pPr>
        <w:snapToGrid w:val="0"/>
        <w:spacing w:line="420" w:lineRule="exact"/>
        <w:ind w:firstLine="495" w:firstLineChars="206"/>
        <w:rPr>
          <w:sz w:val="24"/>
          <w:szCs w:val="24"/>
        </w:rPr>
      </w:pPr>
      <w:r>
        <w:rPr>
          <w:b/>
          <w:bCs/>
          <w:sz w:val="24"/>
          <w:szCs w:val="24"/>
        </w:rPr>
        <w:t>7.</w:t>
      </w:r>
      <w:r>
        <w:rPr>
          <w:rFonts w:hint="eastAsia" w:cs="宋体"/>
          <w:sz w:val="24"/>
          <w:szCs w:val="24"/>
        </w:rPr>
        <w:t>竞争性谈判响应成交后，</w:t>
      </w:r>
      <w:r>
        <w:rPr>
          <w:rFonts w:hint="eastAsia" w:cs="宋体"/>
          <w:b/>
          <w:bCs/>
          <w:sz w:val="24"/>
          <w:szCs w:val="24"/>
        </w:rPr>
        <w:t>成交人</w:t>
      </w:r>
      <w:r>
        <w:rPr>
          <w:rFonts w:hint="eastAsia" w:cs="宋体"/>
          <w:sz w:val="24"/>
          <w:szCs w:val="24"/>
        </w:rPr>
        <w:t>的报价即为成交价，除非因特殊原因并经买卖双方协商同意，成交人不得再要求追加任何费用。同时，除非合同条款中另有规定，否则成交人的成交价在合同实施期间不因市场变化因素而变动。注：</w:t>
      </w:r>
      <w:r>
        <w:rPr>
          <w:rFonts w:hint="eastAsia" w:cs="宋体"/>
          <w:b/>
          <w:bCs/>
          <w:sz w:val="24"/>
          <w:szCs w:val="24"/>
          <w:u w:val="thick" w:color="FF0000"/>
        </w:rPr>
        <w:t>竞争性谈判成交的价格按比例计算到项目“价格响应文件”中的“竞争性谈判响应报价明细表”内的各项明细价格中。</w:t>
      </w:r>
    </w:p>
    <w:bookmarkEnd w:id="56"/>
    <w:p w14:paraId="7ED8EF83">
      <w:pPr>
        <w:snapToGrid w:val="0"/>
        <w:spacing w:line="420" w:lineRule="exact"/>
        <w:ind w:firstLine="480" w:firstLineChars="200"/>
        <w:outlineLvl w:val="1"/>
        <w:rPr>
          <w:sz w:val="24"/>
          <w:szCs w:val="24"/>
        </w:rPr>
      </w:pPr>
      <w:r>
        <w:rPr>
          <w:rFonts w:hint="eastAsia"/>
          <w:b/>
          <w:bCs/>
          <w:sz w:val="24"/>
          <w:szCs w:val="24"/>
        </w:rPr>
        <w:t>八</w:t>
      </w:r>
      <w:r>
        <w:rPr>
          <w:b/>
          <w:bCs/>
          <w:sz w:val="24"/>
          <w:szCs w:val="24"/>
        </w:rPr>
        <w:t>、竞争性谈判响应文件的有效期</w:t>
      </w:r>
    </w:p>
    <w:p w14:paraId="63695FBC">
      <w:pPr>
        <w:spacing w:line="420" w:lineRule="exact"/>
        <w:ind w:firstLine="480" w:firstLineChars="200"/>
        <w:rPr>
          <w:sz w:val="24"/>
          <w:szCs w:val="24"/>
        </w:rPr>
      </w:pPr>
      <w:r>
        <w:rPr>
          <w:sz w:val="24"/>
          <w:szCs w:val="24"/>
        </w:rPr>
        <w:t>1.从竞争性谈判响应文件接收截止之日算起，</w:t>
      </w:r>
      <w:r>
        <w:rPr>
          <w:b/>
          <w:sz w:val="24"/>
          <w:szCs w:val="24"/>
        </w:rPr>
        <w:t>45</w:t>
      </w:r>
      <w:r>
        <w:rPr>
          <w:sz w:val="24"/>
          <w:szCs w:val="24"/>
        </w:rPr>
        <w:t>个“日历天”内投标书应保持有效。有效期短于这个规定期限的投标，将被拒绝。</w:t>
      </w:r>
    </w:p>
    <w:p w14:paraId="5C8AA5E8">
      <w:pPr>
        <w:snapToGrid w:val="0"/>
        <w:spacing w:line="420" w:lineRule="exact"/>
        <w:ind w:firstLine="484" w:firstLineChars="202"/>
        <w:rPr>
          <w:sz w:val="24"/>
          <w:szCs w:val="24"/>
        </w:rPr>
      </w:pPr>
      <w:r>
        <w:rPr>
          <w:sz w:val="24"/>
          <w:szCs w:val="24"/>
        </w:rPr>
        <w:t>2.在特殊情况下，采购代理机构可与谈判响应供应商协商延长投标书的有效期。这种要求和答复都应以书面、传真、或电报的形式进行。同意延长有效期的谈判响应供应商不能修改竞争性谈判响应文件，按本竞争性谈判文件规定的谈判保证金的有效期也相应延长。拒绝接受延期要求的谈判响应供应商的投标书将被拒绝，但谈判保证金可退还。</w:t>
      </w:r>
    </w:p>
    <w:p w14:paraId="4E0BA3BA">
      <w:pPr>
        <w:snapToGrid w:val="0"/>
        <w:spacing w:line="420" w:lineRule="exact"/>
        <w:ind w:firstLine="480" w:firstLineChars="200"/>
        <w:outlineLvl w:val="1"/>
        <w:rPr>
          <w:sz w:val="24"/>
          <w:szCs w:val="24"/>
        </w:rPr>
      </w:pPr>
      <w:r>
        <w:rPr>
          <w:rFonts w:hint="eastAsia"/>
          <w:b/>
          <w:bCs/>
          <w:sz w:val="24"/>
          <w:szCs w:val="24"/>
          <w:lang w:val="zh-CN"/>
        </w:rPr>
        <w:t>九</w:t>
      </w:r>
      <w:r>
        <w:rPr>
          <w:b/>
          <w:bCs/>
          <w:sz w:val="24"/>
          <w:szCs w:val="24"/>
          <w:lang w:val="zh-CN"/>
        </w:rPr>
        <w:t>、</w:t>
      </w:r>
      <w:r>
        <w:rPr>
          <w:b/>
          <w:bCs/>
          <w:sz w:val="24"/>
          <w:szCs w:val="24"/>
        </w:rPr>
        <w:t>竞争性谈判响应文件及</w:t>
      </w:r>
      <w:r>
        <w:rPr>
          <w:b/>
          <w:kern w:val="0"/>
          <w:sz w:val="24"/>
          <w:szCs w:val="24"/>
        </w:rPr>
        <w:t>谈判</w:t>
      </w:r>
      <w:r>
        <w:rPr>
          <w:b/>
          <w:bCs/>
          <w:sz w:val="24"/>
          <w:szCs w:val="24"/>
        </w:rPr>
        <w:t>费用</w:t>
      </w:r>
    </w:p>
    <w:p w14:paraId="2F94E65F">
      <w:pPr>
        <w:snapToGrid w:val="0"/>
        <w:spacing w:line="420" w:lineRule="exact"/>
        <w:ind w:firstLine="460" w:firstLineChars="192"/>
        <w:rPr>
          <w:sz w:val="24"/>
          <w:szCs w:val="24"/>
        </w:rPr>
      </w:pPr>
      <w:r>
        <w:rPr>
          <w:sz w:val="24"/>
          <w:szCs w:val="24"/>
        </w:rPr>
        <w:t>1.谈判程序顺利进行后，竞争性谈判响应文件将作为档案保存，不论成交与否，采购代理机构均不退回（未拆封的除外）。</w:t>
      </w:r>
    </w:p>
    <w:p w14:paraId="7E568F24">
      <w:pPr>
        <w:snapToGrid w:val="0"/>
        <w:spacing w:line="420" w:lineRule="exact"/>
        <w:ind w:firstLine="460" w:firstLineChars="192"/>
        <w:rPr>
          <w:sz w:val="24"/>
          <w:szCs w:val="24"/>
        </w:rPr>
      </w:pPr>
      <w:r>
        <w:rPr>
          <w:sz w:val="24"/>
          <w:szCs w:val="24"/>
        </w:rPr>
        <w:t>2.无论谈判过程和结果如何，谈判供应商自行承担与本项目谈判有关的全部费用。</w:t>
      </w:r>
    </w:p>
    <w:p w14:paraId="59BE66F7">
      <w:pPr>
        <w:snapToGrid w:val="0"/>
        <w:spacing w:line="420" w:lineRule="exact"/>
        <w:ind w:firstLine="480" w:firstLineChars="200"/>
        <w:outlineLvl w:val="1"/>
        <w:rPr>
          <w:b/>
          <w:sz w:val="24"/>
          <w:szCs w:val="24"/>
        </w:rPr>
      </w:pPr>
      <w:r>
        <w:rPr>
          <w:b/>
          <w:sz w:val="24"/>
          <w:szCs w:val="24"/>
        </w:rPr>
        <w:t>十、服务</w:t>
      </w:r>
      <w:r>
        <w:rPr>
          <w:rFonts w:hint="eastAsia"/>
          <w:b/>
          <w:sz w:val="24"/>
          <w:szCs w:val="24"/>
        </w:rPr>
        <w:t>量</w:t>
      </w:r>
      <w:r>
        <w:rPr>
          <w:b/>
          <w:sz w:val="24"/>
          <w:szCs w:val="24"/>
        </w:rPr>
        <w:t>调整及结算方式</w:t>
      </w:r>
    </w:p>
    <w:p w14:paraId="7880FA8D">
      <w:pPr>
        <w:snapToGrid w:val="0"/>
        <w:spacing w:line="420" w:lineRule="exact"/>
        <w:ind w:firstLine="480" w:firstLineChars="200"/>
        <w:rPr>
          <w:sz w:val="24"/>
          <w:szCs w:val="24"/>
        </w:rPr>
      </w:pPr>
      <w:r>
        <w:rPr>
          <w:sz w:val="24"/>
          <w:szCs w:val="24"/>
        </w:rPr>
        <w:t>如因采购人实际需求，服务采购数量发生变化，成交人须无条件满足采购人需求，确保服务质量并及时提供服务；结算时按采购人确认的实际服务量进行结算，综合单价不变。</w:t>
      </w:r>
    </w:p>
    <w:p w14:paraId="0718F7D9">
      <w:pPr>
        <w:snapToGrid w:val="0"/>
        <w:spacing w:line="420" w:lineRule="exact"/>
        <w:ind w:firstLine="495" w:firstLineChars="206"/>
        <w:outlineLvl w:val="1"/>
        <w:rPr>
          <w:b/>
          <w:sz w:val="24"/>
          <w:szCs w:val="24"/>
        </w:rPr>
      </w:pPr>
      <w:r>
        <w:rPr>
          <w:b/>
          <w:sz w:val="24"/>
          <w:szCs w:val="24"/>
        </w:rPr>
        <w:t>十</w:t>
      </w:r>
      <w:r>
        <w:rPr>
          <w:rFonts w:hint="eastAsia"/>
          <w:b/>
          <w:sz w:val="24"/>
          <w:szCs w:val="24"/>
        </w:rPr>
        <w:t>一</w:t>
      </w:r>
      <w:r>
        <w:rPr>
          <w:b/>
          <w:sz w:val="24"/>
          <w:szCs w:val="24"/>
        </w:rPr>
        <w:t>、</w:t>
      </w:r>
      <w:r>
        <w:rPr>
          <w:rFonts w:hint="eastAsia"/>
          <w:b/>
          <w:sz w:val="24"/>
          <w:szCs w:val="24"/>
        </w:rPr>
        <w:t>采购</w:t>
      </w:r>
      <w:r>
        <w:rPr>
          <w:b/>
          <w:sz w:val="24"/>
          <w:szCs w:val="24"/>
        </w:rPr>
        <w:t>代理服务费</w:t>
      </w:r>
    </w:p>
    <w:p w14:paraId="63E906CA">
      <w:pPr>
        <w:snapToGrid w:val="0"/>
        <w:spacing w:line="420" w:lineRule="exact"/>
        <w:ind w:firstLine="480" w:firstLineChars="200"/>
        <w:rPr>
          <w:sz w:val="24"/>
          <w:szCs w:val="24"/>
        </w:rPr>
      </w:pPr>
      <w:r>
        <w:rPr>
          <w:sz w:val="24"/>
          <w:szCs w:val="24"/>
        </w:rPr>
        <w:t>1.本项目成交人须缴纳代理服务费：计费按下表所列“费率”以成交金额为基准，计算收取；</w:t>
      </w:r>
      <w:bookmarkStart w:id="57" w:name="_Hlk153738743"/>
      <w:r>
        <w:rPr>
          <w:sz w:val="24"/>
          <w:szCs w:val="24"/>
        </w:rPr>
        <w:t>代理服务费不足</w:t>
      </w:r>
      <w:r>
        <w:rPr>
          <w:sz w:val="24"/>
          <w:szCs w:val="24"/>
          <w:cs/>
        </w:rPr>
        <w:t>¥</w:t>
      </w:r>
      <w:r>
        <w:rPr>
          <w:rFonts w:hint="eastAsia"/>
          <w:sz w:val="24"/>
          <w:szCs w:val="24"/>
        </w:rPr>
        <w:t>20</w:t>
      </w:r>
      <w:r>
        <w:rPr>
          <w:sz w:val="24"/>
          <w:szCs w:val="24"/>
        </w:rPr>
        <w:t>00.00元的，以</w:t>
      </w:r>
      <w:r>
        <w:rPr>
          <w:sz w:val="24"/>
          <w:szCs w:val="24"/>
          <w:cs/>
        </w:rPr>
        <w:t>¥</w:t>
      </w:r>
      <w:r>
        <w:rPr>
          <w:rFonts w:hint="eastAsia"/>
          <w:sz w:val="24"/>
          <w:szCs w:val="24"/>
        </w:rPr>
        <w:t>20</w:t>
      </w:r>
      <w:r>
        <w:rPr>
          <w:sz w:val="24"/>
          <w:szCs w:val="24"/>
        </w:rPr>
        <w:t>00.00元计收。</w:t>
      </w:r>
      <w:bookmarkEnd w:id="57"/>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5"/>
        <w:gridCol w:w="2977"/>
      </w:tblGrid>
      <w:tr w14:paraId="5F6E28F0">
        <w:trPr>
          <w:trHeight w:val="289" w:hRule="atLeast"/>
          <w:tblHeader/>
          <w:jc w:val="center"/>
        </w:trPr>
        <w:tc>
          <w:tcPr>
            <w:tcW w:w="2835" w:type="dxa"/>
            <w:vAlign w:val="center"/>
          </w:tcPr>
          <w:p w14:paraId="7DB64DBE">
            <w:pPr>
              <w:snapToGrid w:val="0"/>
              <w:spacing w:line="360" w:lineRule="exact"/>
              <w:ind w:firstLine="480" w:firstLineChars="200"/>
              <w:jc w:val="center"/>
              <w:rPr>
                <w:sz w:val="24"/>
                <w:szCs w:val="24"/>
              </w:rPr>
            </w:pPr>
            <w:r>
              <w:rPr>
                <w:rFonts w:hint="eastAsia"/>
                <w:sz w:val="24"/>
                <w:szCs w:val="24"/>
              </w:rPr>
              <w:t>成交</w:t>
            </w:r>
            <w:r>
              <w:rPr>
                <w:sz w:val="24"/>
                <w:szCs w:val="24"/>
              </w:rPr>
              <w:t>金额</w:t>
            </w:r>
          </w:p>
        </w:tc>
        <w:tc>
          <w:tcPr>
            <w:tcW w:w="2977" w:type="dxa"/>
            <w:vAlign w:val="center"/>
          </w:tcPr>
          <w:p w14:paraId="55D17479">
            <w:pPr>
              <w:snapToGrid w:val="0"/>
              <w:spacing w:line="360" w:lineRule="exact"/>
              <w:jc w:val="center"/>
              <w:rPr>
                <w:sz w:val="24"/>
                <w:szCs w:val="24"/>
              </w:rPr>
            </w:pPr>
            <w:r>
              <w:rPr>
                <w:sz w:val="24"/>
                <w:szCs w:val="24"/>
              </w:rPr>
              <w:t>服务</w:t>
            </w:r>
            <w:r>
              <w:rPr>
                <w:rFonts w:hint="eastAsia"/>
                <w:sz w:val="24"/>
                <w:szCs w:val="24"/>
              </w:rPr>
              <w:t>类代理费率</w:t>
            </w:r>
          </w:p>
        </w:tc>
      </w:tr>
      <w:tr w14:paraId="13AD7353">
        <w:trPr>
          <w:trHeight w:val="267" w:hRule="atLeast"/>
          <w:jc w:val="center"/>
        </w:trPr>
        <w:tc>
          <w:tcPr>
            <w:tcW w:w="2835" w:type="dxa"/>
            <w:vAlign w:val="center"/>
          </w:tcPr>
          <w:p w14:paraId="20255701">
            <w:pPr>
              <w:snapToGrid w:val="0"/>
              <w:spacing w:line="360" w:lineRule="exact"/>
              <w:ind w:firstLine="480" w:firstLineChars="200"/>
              <w:rPr>
                <w:sz w:val="24"/>
                <w:szCs w:val="24"/>
              </w:rPr>
            </w:pPr>
            <w:r>
              <w:rPr>
                <w:sz w:val="24"/>
                <w:szCs w:val="24"/>
              </w:rPr>
              <w:t>50万（含）以下</w:t>
            </w:r>
          </w:p>
        </w:tc>
        <w:tc>
          <w:tcPr>
            <w:tcW w:w="2977" w:type="dxa"/>
            <w:vAlign w:val="center"/>
          </w:tcPr>
          <w:p w14:paraId="538796B5">
            <w:pPr>
              <w:snapToGrid w:val="0"/>
              <w:spacing w:line="360" w:lineRule="exact"/>
              <w:jc w:val="center"/>
              <w:rPr>
                <w:sz w:val="24"/>
                <w:szCs w:val="24"/>
              </w:rPr>
            </w:pPr>
            <w:r>
              <w:rPr>
                <w:sz w:val="24"/>
                <w:szCs w:val="24"/>
              </w:rPr>
              <w:t>1.</w:t>
            </w:r>
            <w:r>
              <w:rPr>
                <w:rFonts w:hint="eastAsia"/>
                <w:sz w:val="24"/>
                <w:szCs w:val="24"/>
              </w:rPr>
              <w:t>0</w:t>
            </w:r>
            <w:r>
              <w:rPr>
                <w:sz w:val="24"/>
                <w:szCs w:val="24"/>
              </w:rPr>
              <w:t>5%</w:t>
            </w:r>
          </w:p>
        </w:tc>
      </w:tr>
    </w:tbl>
    <w:p w14:paraId="002DFB44">
      <w:pPr>
        <w:snapToGrid w:val="0"/>
        <w:spacing w:line="420" w:lineRule="exact"/>
        <w:ind w:firstLine="480" w:firstLineChars="200"/>
        <w:rPr>
          <w:sz w:val="24"/>
          <w:szCs w:val="24"/>
        </w:rPr>
      </w:pPr>
      <w:r>
        <w:rPr>
          <w:sz w:val="24"/>
          <w:szCs w:val="24"/>
        </w:rPr>
        <w:t>2.</w:t>
      </w:r>
      <w:r>
        <w:rPr>
          <w:rFonts w:hint="eastAsia"/>
          <w:sz w:val="24"/>
          <w:szCs w:val="24"/>
        </w:rPr>
        <w:t>谈判</w:t>
      </w:r>
      <w:r>
        <w:rPr>
          <w:sz w:val="24"/>
          <w:szCs w:val="24"/>
        </w:rPr>
        <w:t>响应供应商自行考虑包含在谈判响应报价内的该项费用及风险并将其综合在单价内，不得单列。</w:t>
      </w:r>
    </w:p>
    <w:p w14:paraId="7F0D1772">
      <w:pPr>
        <w:snapToGrid w:val="0"/>
        <w:spacing w:line="420" w:lineRule="exact"/>
        <w:ind w:firstLine="480" w:firstLineChars="200"/>
        <w:rPr>
          <w:sz w:val="24"/>
          <w:szCs w:val="24"/>
        </w:rPr>
      </w:pPr>
      <w:r>
        <w:rPr>
          <w:sz w:val="24"/>
          <w:szCs w:val="24"/>
        </w:rPr>
        <w:t>3.代理服务费应在成交通知书发出送达后3日内一次性付清。</w:t>
      </w:r>
    </w:p>
    <w:p w14:paraId="34497604">
      <w:pPr>
        <w:snapToGrid w:val="0"/>
        <w:spacing w:line="420" w:lineRule="exact"/>
        <w:ind w:firstLine="480" w:firstLineChars="200"/>
        <w:rPr>
          <w:sz w:val="24"/>
          <w:szCs w:val="24"/>
        </w:rPr>
      </w:pPr>
      <w:r>
        <w:rPr>
          <w:rFonts w:hint="eastAsia"/>
          <w:sz w:val="24"/>
          <w:szCs w:val="24"/>
        </w:rPr>
        <w:t>4</w:t>
      </w:r>
      <w:r>
        <w:rPr>
          <w:sz w:val="24"/>
          <w:szCs w:val="24"/>
        </w:rPr>
        <w:t>.</w:t>
      </w:r>
      <w:r>
        <w:rPr>
          <w:rFonts w:hint="eastAsia"/>
          <w:sz w:val="24"/>
          <w:szCs w:val="24"/>
        </w:rPr>
        <w:t>采购代理服务费收费账户信息如下：</w:t>
      </w:r>
    </w:p>
    <w:p w14:paraId="01413439">
      <w:pPr>
        <w:snapToGrid w:val="0"/>
        <w:spacing w:line="420" w:lineRule="exact"/>
        <w:ind w:firstLine="480" w:firstLineChars="200"/>
        <w:rPr>
          <w:sz w:val="24"/>
          <w:szCs w:val="24"/>
        </w:rPr>
      </w:pPr>
      <w:r>
        <w:rPr>
          <w:rFonts w:hint="eastAsia"/>
          <w:sz w:val="24"/>
          <w:szCs w:val="24"/>
        </w:rPr>
        <w:t>收款单位：南通辉华企业管理咨询有限公司</w:t>
      </w:r>
    </w:p>
    <w:p w14:paraId="3D7D2E19">
      <w:pPr>
        <w:snapToGrid w:val="0"/>
        <w:spacing w:line="420" w:lineRule="exact"/>
        <w:ind w:firstLine="480" w:firstLineChars="200"/>
        <w:rPr>
          <w:sz w:val="24"/>
          <w:szCs w:val="24"/>
        </w:rPr>
      </w:pPr>
      <w:r>
        <w:rPr>
          <w:rFonts w:hint="eastAsia"/>
          <w:sz w:val="24"/>
          <w:szCs w:val="24"/>
        </w:rPr>
        <w:t>银行账号：1071 6001 0400 20722</w:t>
      </w:r>
    </w:p>
    <w:p w14:paraId="065E4230">
      <w:pPr>
        <w:snapToGrid w:val="0"/>
        <w:spacing w:line="420" w:lineRule="exact"/>
        <w:ind w:firstLine="480" w:firstLineChars="200"/>
        <w:rPr>
          <w:sz w:val="24"/>
          <w:szCs w:val="24"/>
        </w:rPr>
      </w:pPr>
      <w:r>
        <w:rPr>
          <w:rFonts w:hint="eastAsia"/>
          <w:sz w:val="24"/>
          <w:szCs w:val="24"/>
        </w:rPr>
        <w:t>开户银行：中国农业银行南通市人民东路支行</w:t>
      </w:r>
    </w:p>
    <w:p w14:paraId="691DE6DA">
      <w:pPr>
        <w:snapToGrid w:val="0"/>
        <w:spacing w:line="420" w:lineRule="exact"/>
        <w:ind w:firstLine="495" w:firstLineChars="206"/>
        <w:outlineLvl w:val="1"/>
        <w:rPr>
          <w:b/>
          <w:sz w:val="24"/>
          <w:szCs w:val="24"/>
        </w:rPr>
      </w:pPr>
      <w:r>
        <w:rPr>
          <w:b/>
          <w:sz w:val="24"/>
          <w:szCs w:val="24"/>
        </w:rPr>
        <w:t>十</w:t>
      </w:r>
      <w:r>
        <w:rPr>
          <w:rFonts w:hint="eastAsia"/>
          <w:b/>
          <w:sz w:val="24"/>
          <w:szCs w:val="24"/>
        </w:rPr>
        <w:t>二</w:t>
      </w:r>
      <w:r>
        <w:rPr>
          <w:b/>
          <w:sz w:val="24"/>
          <w:szCs w:val="24"/>
        </w:rPr>
        <w:t>、未尽事宜</w:t>
      </w:r>
    </w:p>
    <w:p w14:paraId="3B2E3AF9">
      <w:pPr>
        <w:snapToGrid w:val="0"/>
        <w:spacing w:line="420" w:lineRule="exact"/>
        <w:ind w:firstLine="494" w:firstLineChars="206"/>
        <w:rPr>
          <w:sz w:val="24"/>
          <w:szCs w:val="24"/>
        </w:rPr>
      </w:pPr>
      <w:r>
        <w:rPr>
          <w:rFonts w:hint="eastAsia"/>
          <w:sz w:val="24"/>
          <w:szCs w:val="24"/>
        </w:rPr>
        <w:t>1.</w:t>
      </w:r>
      <w:r>
        <w:rPr>
          <w:rFonts w:hint="eastAsia"/>
        </w:rPr>
        <w:t xml:space="preserve"> </w:t>
      </w:r>
      <w:r>
        <w:rPr>
          <w:rFonts w:hint="eastAsia"/>
          <w:sz w:val="24"/>
          <w:szCs w:val="24"/>
        </w:rPr>
        <w:t>按《中华人民共和国政府采购法》及其有关法律法规的规定执行。</w:t>
      </w:r>
    </w:p>
    <w:p w14:paraId="7E7B555B">
      <w:pPr>
        <w:tabs>
          <w:tab w:val="left" w:pos="1050"/>
          <w:tab w:val="right" w:leader="dot" w:pos="9402"/>
        </w:tabs>
        <w:spacing w:line="600" w:lineRule="exact"/>
        <w:jc w:val="center"/>
        <w:outlineLvl w:val="0"/>
        <w:rPr>
          <w:b/>
          <w:w w:val="80"/>
          <w:sz w:val="36"/>
          <w:szCs w:val="36"/>
        </w:rPr>
        <w:sectPr>
          <w:type w:val="continuous"/>
          <w:pgSz w:w="11907" w:h="16840"/>
          <w:pgMar w:top="1134" w:right="851" w:bottom="851" w:left="1418" w:header="709" w:footer="380" w:gutter="0"/>
          <w:cols w:space="720" w:num="1"/>
          <w:docGrid w:linePitch="312" w:charSpace="6144"/>
        </w:sectPr>
      </w:pPr>
      <w:bookmarkStart w:id="58" w:name="_Toc363573855"/>
    </w:p>
    <w:p w14:paraId="0B9E30DD">
      <w:pPr>
        <w:widowControl/>
        <w:spacing w:line="20" w:lineRule="exact"/>
        <w:jc w:val="left"/>
        <w:rPr>
          <w:b/>
          <w:w w:val="80"/>
          <w:sz w:val="36"/>
          <w:szCs w:val="36"/>
        </w:rPr>
      </w:pPr>
      <w:r>
        <w:rPr>
          <w:b/>
          <w:w w:val="80"/>
          <w:sz w:val="36"/>
          <w:szCs w:val="36"/>
        </w:rPr>
        <w:br w:type="page"/>
      </w:r>
    </w:p>
    <w:p w14:paraId="0A2407A0">
      <w:pPr>
        <w:tabs>
          <w:tab w:val="left" w:pos="1050"/>
          <w:tab w:val="right" w:leader="dot" w:pos="9402"/>
        </w:tabs>
        <w:spacing w:line="600" w:lineRule="exact"/>
        <w:jc w:val="center"/>
        <w:outlineLvl w:val="0"/>
        <w:rPr>
          <w:b/>
          <w:w w:val="80"/>
          <w:sz w:val="36"/>
          <w:szCs w:val="36"/>
        </w:rPr>
      </w:pPr>
      <w:r>
        <w:rPr>
          <w:b/>
          <w:w w:val="80"/>
          <w:sz w:val="36"/>
          <w:szCs w:val="36"/>
        </w:rPr>
        <w:t>第三章</w:t>
      </w:r>
      <w:bookmarkEnd w:id="37"/>
      <w:bookmarkEnd w:id="38"/>
      <w:bookmarkEnd w:id="39"/>
      <w:bookmarkEnd w:id="40"/>
      <w:bookmarkEnd w:id="41"/>
      <w:bookmarkEnd w:id="42"/>
      <w:bookmarkEnd w:id="43"/>
      <w:bookmarkEnd w:id="44"/>
      <w:bookmarkEnd w:id="45"/>
      <w:bookmarkEnd w:id="46"/>
      <w:r>
        <w:rPr>
          <w:rFonts w:hint="eastAsia"/>
          <w:b/>
          <w:w w:val="80"/>
          <w:sz w:val="36"/>
          <w:szCs w:val="36"/>
        </w:rPr>
        <w:t xml:space="preserve"> 采购</w:t>
      </w:r>
      <w:r>
        <w:rPr>
          <w:b/>
          <w:w w:val="80"/>
          <w:sz w:val="36"/>
          <w:szCs w:val="36"/>
        </w:rPr>
        <w:t>需求</w:t>
      </w:r>
      <w:bookmarkEnd w:id="58"/>
    </w:p>
    <w:p w14:paraId="71F9DBA2">
      <w:pPr>
        <w:spacing w:line="420" w:lineRule="exact"/>
        <w:ind w:firstLine="480" w:firstLineChars="200"/>
        <w:outlineLvl w:val="1"/>
        <w:rPr>
          <w:b/>
          <w:bCs/>
          <w:sz w:val="24"/>
          <w:szCs w:val="24"/>
        </w:rPr>
      </w:pPr>
      <w:bookmarkStart w:id="59" w:name="_Toc363573856"/>
      <w:bookmarkStart w:id="60" w:name="_Toc11554641"/>
      <w:bookmarkStart w:id="61" w:name="_Toc94585342"/>
      <w:bookmarkStart w:id="62" w:name="_Toc521203420"/>
      <w:bookmarkStart w:id="63" w:name="_Toc11499586"/>
      <w:bookmarkStart w:id="64" w:name="_Toc12670505"/>
      <w:bookmarkStart w:id="65" w:name="_Toc13803483"/>
      <w:bookmarkStart w:id="66" w:name="_Toc94544746"/>
      <w:bookmarkStart w:id="67" w:name="_Toc521201599"/>
      <w:bookmarkStart w:id="68" w:name="_Toc8895741"/>
      <w:bookmarkStart w:id="69" w:name="_Toc11500282"/>
      <w:bookmarkStart w:id="70" w:name="_Toc94544872"/>
      <w:r>
        <w:rPr>
          <w:rFonts w:hint="eastAsia" w:cs="宋体"/>
          <w:b/>
          <w:bCs/>
          <w:sz w:val="24"/>
          <w:szCs w:val="24"/>
        </w:rPr>
        <w:t>一、技术响应说明</w:t>
      </w:r>
    </w:p>
    <w:p w14:paraId="196BDB4D">
      <w:pPr>
        <w:spacing w:line="420" w:lineRule="exact"/>
        <w:ind w:firstLine="480" w:firstLineChars="200"/>
        <w:rPr>
          <w:sz w:val="24"/>
          <w:szCs w:val="24"/>
        </w:rPr>
      </w:pPr>
      <w:r>
        <w:rPr>
          <w:rFonts w:hint="eastAsia" w:cs="宋体"/>
          <w:sz w:val="24"/>
          <w:szCs w:val="24"/>
        </w:rPr>
        <w:t>根据本项目采购需求，本次政府采购</w:t>
      </w:r>
      <w:r>
        <w:rPr>
          <w:rFonts w:hint="eastAsia" w:cs="宋体"/>
          <w:b/>
          <w:bCs/>
          <w:sz w:val="24"/>
          <w:szCs w:val="24"/>
        </w:rPr>
        <w:t>不涉及</w:t>
      </w:r>
      <w:r>
        <w:rPr>
          <w:rFonts w:hint="eastAsia" w:cs="宋体"/>
          <w:sz w:val="24"/>
          <w:szCs w:val="24"/>
        </w:rPr>
        <w:t>优先采购节能产品和环境标志产品。竞争性谈判响应供应商不能简单照搬照抄项目需求说明中的技术要求，必须作实事求是的响应：</w:t>
      </w:r>
    </w:p>
    <w:p w14:paraId="59C8DFC7">
      <w:pPr>
        <w:spacing w:line="420" w:lineRule="exact"/>
        <w:ind w:firstLine="480" w:firstLineChars="200"/>
        <w:rPr>
          <w:sz w:val="24"/>
          <w:szCs w:val="24"/>
        </w:rPr>
      </w:pPr>
      <w:r>
        <w:rPr>
          <w:sz w:val="24"/>
          <w:szCs w:val="24"/>
        </w:rPr>
        <w:t>1.</w:t>
      </w:r>
      <w:r>
        <w:rPr>
          <w:rFonts w:hint="eastAsia" w:cs="宋体"/>
          <w:sz w:val="24"/>
          <w:szCs w:val="24"/>
        </w:rPr>
        <w:t>照搬照抄项目需求说明中的技术要求，一旦成交，在与采购人签订合同和履约环节中不得提出异议，一切后果和损失由成交人承担。</w:t>
      </w:r>
    </w:p>
    <w:p w14:paraId="0A3DC816">
      <w:pPr>
        <w:spacing w:line="420" w:lineRule="exact"/>
        <w:ind w:firstLine="480" w:firstLineChars="200"/>
        <w:rPr>
          <w:rFonts w:cs="宋体"/>
          <w:sz w:val="24"/>
          <w:szCs w:val="24"/>
        </w:rPr>
      </w:pPr>
      <w:r>
        <w:rPr>
          <w:sz w:val="24"/>
          <w:szCs w:val="24"/>
        </w:rPr>
        <w:t>2.</w:t>
      </w:r>
      <w:r>
        <w:rPr>
          <w:rFonts w:hint="eastAsia" w:cs="宋体"/>
          <w:sz w:val="24"/>
          <w:szCs w:val="24"/>
        </w:rPr>
        <w:t>竞争性谈判响应供应商提供的服务与采购人提出的项目需求说明中的技术服务要求不同，则须提供逐一逐条响应的《技术条款响应正负偏离表》，并在其上明示偏离的部分。</w:t>
      </w:r>
    </w:p>
    <w:p w14:paraId="1A46DA89">
      <w:pPr>
        <w:spacing w:line="420" w:lineRule="exact"/>
        <w:ind w:firstLine="480" w:firstLineChars="200"/>
        <w:outlineLvl w:val="1"/>
        <w:rPr>
          <w:b/>
          <w:bCs/>
          <w:sz w:val="24"/>
          <w:szCs w:val="24"/>
        </w:rPr>
      </w:pPr>
      <w:r>
        <w:rPr>
          <w:rFonts w:hint="eastAsia"/>
          <w:b/>
          <w:bCs/>
          <w:sz w:val="24"/>
          <w:szCs w:val="24"/>
        </w:rPr>
        <w:t>二</w:t>
      </w:r>
      <w:r>
        <w:rPr>
          <w:b/>
          <w:bCs/>
          <w:sz w:val="24"/>
          <w:szCs w:val="24"/>
        </w:rPr>
        <w:t>、项目概况</w:t>
      </w:r>
    </w:p>
    <w:p w14:paraId="663F67AD">
      <w:pPr>
        <w:spacing w:line="420" w:lineRule="exact"/>
        <w:ind w:firstLine="480" w:firstLineChars="200"/>
        <w:rPr>
          <w:bCs/>
          <w:sz w:val="24"/>
          <w:szCs w:val="24"/>
        </w:rPr>
      </w:pPr>
      <w:r>
        <w:rPr>
          <w:rFonts w:hint="eastAsia"/>
          <w:bCs/>
          <w:sz w:val="24"/>
          <w:szCs w:val="24"/>
        </w:rPr>
        <w:t>目前，桃坞路网络核心机房和城港路视频汇聚机房的4台精密空调维保服务、两处机房总计约600平方米的关键区域防鼠灭鼠服务均已到期，且精密空调是保障核心机房环境恒温恒湿的关键设备，若缺乏专业维护，将直接威胁网络核心设备与UPS系统的稳定运行，为确保机房内部关键设备始终处于良好工作状态，需定期进行专业的维护保养。为保障政务外网持续、可靠运行，需启动维护保障服务采购工作。</w:t>
      </w:r>
    </w:p>
    <w:p w14:paraId="18B158EE">
      <w:pPr>
        <w:spacing w:line="420" w:lineRule="exact"/>
        <w:ind w:firstLine="480" w:firstLineChars="200"/>
        <w:outlineLvl w:val="1"/>
        <w:rPr>
          <w:bCs/>
          <w:sz w:val="24"/>
          <w:szCs w:val="24"/>
        </w:rPr>
      </w:pPr>
      <w:r>
        <w:rPr>
          <w:rFonts w:hint="eastAsia"/>
          <w:b/>
          <w:bCs/>
          <w:sz w:val="24"/>
          <w:szCs w:val="24"/>
        </w:rPr>
        <w:t>三、采购需求</w:t>
      </w:r>
    </w:p>
    <w:tbl>
      <w:tblPr>
        <w:tblStyle w:val="4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655"/>
        <w:gridCol w:w="1275"/>
      </w:tblGrid>
      <w:tr w14:paraId="343FB1C1">
        <w:tc>
          <w:tcPr>
            <w:tcW w:w="709" w:type="dxa"/>
            <w:vAlign w:val="center"/>
          </w:tcPr>
          <w:p w14:paraId="219BCBAE">
            <w:pPr>
              <w:spacing w:line="420" w:lineRule="exact"/>
              <w:jc w:val="center"/>
              <w:rPr>
                <w:rFonts w:hint="eastAsia" w:ascii="宋体" w:hAnsi="宋体"/>
                <w:b/>
                <w:bCs/>
                <w:sz w:val="24"/>
                <w:szCs w:val="24"/>
              </w:rPr>
            </w:pPr>
            <w:bookmarkStart w:id="71" w:name="_Hlk169708931"/>
            <w:bookmarkStart w:id="72" w:name="_Hlk153032763"/>
            <w:r>
              <w:rPr>
                <w:rFonts w:hint="eastAsia" w:ascii="宋体" w:hAnsi="宋体"/>
                <w:b/>
                <w:bCs/>
                <w:sz w:val="24"/>
                <w:szCs w:val="24"/>
              </w:rPr>
              <w:t>序号</w:t>
            </w:r>
          </w:p>
        </w:tc>
        <w:tc>
          <w:tcPr>
            <w:tcW w:w="7655" w:type="dxa"/>
          </w:tcPr>
          <w:p w14:paraId="70E19665">
            <w:pPr>
              <w:spacing w:line="420" w:lineRule="exact"/>
              <w:jc w:val="center"/>
              <w:rPr>
                <w:rFonts w:hint="eastAsia" w:ascii="宋体" w:hAnsi="宋体"/>
                <w:b/>
                <w:bCs/>
                <w:sz w:val="24"/>
                <w:szCs w:val="24"/>
              </w:rPr>
            </w:pPr>
            <w:r>
              <w:rPr>
                <w:rFonts w:hint="eastAsia" w:ascii="宋体" w:hAnsi="宋体"/>
                <w:b/>
                <w:bCs/>
                <w:sz w:val="24"/>
                <w:szCs w:val="24"/>
              </w:rPr>
              <w:t>需求标的</w:t>
            </w:r>
          </w:p>
        </w:tc>
        <w:tc>
          <w:tcPr>
            <w:tcW w:w="1275" w:type="dxa"/>
            <w:vAlign w:val="center"/>
          </w:tcPr>
          <w:p w14:paraId="195385C6">
            <w:pPr>
              <w:spacing w:line="420" w:lineRule="exact"/>
              <w:jc w:val="center"/>
              <w:rPr>
                <w:rFonts w:hint="eastAsia" w:ascii="宋体" w:hAnsi="宋体"/>
                <w:b/>
                <w:bCs/>
                <w:sz w:val="24"/>
                <w:szCs w:val="24"/>
              </w:rPr>
            </w:pPr>
            <w:r>
              <w:rPr>
                <w:rFonts w:hint="eastAsia" w:ascii="宋体" w:hAnsi="宋体"/>
                <w:b/>
                <w:bCs/>
                <w:sz w:val="24"/>
                <w:szCs w:val="24"/>
              </w:rPr>
              <w:t>服务期</w:t>
            </w:r>
          </w:p>
        </w:tc>
      </w:tr>
      <w:tr w14:paraId="609C503F">
        <w:tc>
          <w:tcPr>
            <w:tcW w:w="709" w:type="dxa"/>
            <w:vAlign w:val="center"/>
          </w:tcPr>
          <w:p w14:paraId="0A931521">
            <w:pPr>
              <w:spacing w:line="420" w:lineRule="exact"/>
              <w:jc w:val="center"/>
              <w:rPr>
                <w:bCs/>
                <w:sz w:val="24"/>
                <w:szCs w:val="24"/>
              </w:rPr>
            </w:pPr>
            <w:r>
              <w:rPr>
                <w:bCs/>
                <w:sz w:val="24"/>
                <w:szCs w:val="24"/>
              </w:rPr>
              <w:t>1</w:t>
            </w:r>
          </w:p>
        </w:tc>
        <w:tc>
          <w:tcPr>
            <w:tcW w:w="7655" w:type="dxa"/>
            <w:vAlign w:val="center"/>
          </w:tcPr>
          <w:p w14:paraId="479E4890">
            <w:pPr>
              <w:spacing w:line="420" w:lineRule="exact"/>
              <w:jc w:val="left"/>
              <w:rPr>
                <w:bCs/>
                <w:sz w:val="24"/>
                <w:szCs w:val="24"/>
              </w:rPr>
            </w:pPr>
            <w:r>
              <w:rPr>
                <w:rFonts w:hint="eastAsia"/>
                <w:bCs/>
                <w:sz w:val="24"/>
                <w:szCs w:val="24"/>
              </w:rPr>
              <w:t>南通市崇川区电子政务外网机房精密空调运行维护和防鼠灭鼠服务</w:t>
            </w:r>
          </w:p>
        </w:tc>
        <w:tc>
          <w:tcPr>
            <w:tcW w:w="1275" w:type="dxa"/>
            <w:vAlign w:val="center"/>
          </w:tcPr>
          <w:p w14:paraId="1E529149">
            <w:pPr>
              <w:spacing w:line="420" w:lineRule="exact"/>
              <w:jc w:val="center"/>
              <w:rPr>
                <w:bCs/>
                <w:sz w:val="24"/>
                <w:szCs w:val="24"/>
              </w:rPr>
            </w:pPr>
            <w:r>
              <w:rPr>
                <w:rFonts w:hint="eastAsia"/>
                <w:bCs/>
                <w:sz w:val="24"/>
                <w:szCs w:val="24"/>
              </w:rPr>
              <w:t>3</w:t>
            </w:r>
            <w:r>
              <w:rPr>
                <w:bCs/>
                <w:sz w:val="24"/>
                <w:szCs w:val="24"/>
              </w:rPr>
              <w:t>年</w:t>
            </w:r>
          </w:p>
        </w:tc>
      </w:tr>
      <w:bookmarkEnd w:id="71"/>
    </w:tbl>
    <w:p w14:paraId="67BF599A">
      <w:pPr>
        <w:spacing w:line="420" w:lineRule="exact"/>
        <w:ind w:firstLine="480" w:firstLineChars="200"/>
        <w:outlineLvl w:val="1"/>
        <w:rPr>
          <w:b/>
          <w:bCs/>
          <w:kern w:val="0"/>
          <w:sz w:val="24"/>
          <w:szCs w:val="24"/>
        </w:rPr>
      </w:pPr>
      <w:r>
        <w:rPr>
          <w:rFonts w:hint="eastAsia"/>
          <w:b/>
          <w:bCs/>
          <w:sz w:val="24"/>
          <w:szCs w:val="24"/>
        </w:rPr>
        <w:t>四</w:t>
      </w:r>
      <w:r>
        <w:rPr>
          <w:b/>
          <w:bCs/>
          <w:sz w:val="24"/>
          <w:szCs w:val="24"/>
        </w:rPr>
        <w:t>、</w:t>
      </w:r>
      <w:bookmarkStart w:id="73" w:name="_Hlk56690157"/>
      <w:r>
        <w:rPr>
          <w:rFonts w:hint="eastAsia"/>
          <w:b/>
          <w:bCs/>
          <w:sz w:val="24"/>
          <w:szCs w:val="24"/>
        </w:rPr>
        <w:t>服务</w:t>
      </w:r>
      <w:r>
        <w:rPr>
          <w:b/>
          <w:bCs/>
          <w:sz w:val="24"/>
          <w:szCs w:val="24"/>
        </w:rPr>
        <w:t>范围</w:t>
      </w:r>
      <w:bookmarkEnd w:id="73"/>
      <w:bookmarkStart w:id="74" w:name="_Hlk54894578"/>
    </w:p>
    <w:bookmarkEnd w:id="74"/>
    <w:p w14:paraId="48956D06">
      <w:pPr>
        <w:spacing w:line="420" w:lineRule="exact"/>
        <w:ind w:firstLine="480" w:firstLineChars="200"/>
        <w:rPr>
          <w:b/>
          <w:sz w:val="24"/>
          <w:szCs w:val="24"/>
        </w:rPr>
      </w:pPr>
      <w:bookmarkStart w:id="75" w:name="_Hlk54894840"/>
      <w:r>
        <w:rPr>
          <w:rFonts w:hint="eastAsia"/>
          <w:b/>
          <w:sz w:val="24"/>
          <w:szCs w:val="24"/>
        </w:rPr>
        <w:t>提供南通市崇川区电子政务外网两处机房的：4台精密空调维保服务及约600平方米的关键区域防鼠灭鼠服务。</w:t>
      </w:r>
    </w:p>
    <w:bookmarkEnd w:id="75"/>
    <w:p w14:paraId="41B960E2">
      <w:pPr>
        <w:spacing w:line="420" w:lineRule="exact"/>
        <w:ind w:firstLine="480" w:firstLineChars="200"/>
        <w:rPr>
          <w:b/>
          <w:sz w:val="24"/>
          <w:szCs w:val="24"/>
        </w:rPr>
      </w:pPr>
      <w:bookmarkStart w:id="76" w:name="_Hlk81870958"/>
      <w:r>
        <w:rPr>
          <w:rFonts w:hint="eastAsia"/>
          <w:b/>
          <w:sz w:val="24"/>
          <w:szCs w:val="24"/>
        </w:rPr>
        <w:t>1.精密空调维保服务范围</w:t>
      </w:r>
    </w:p>
    <w:p w14:paraId="7FC69C48">
      <w:pPr>
        <w:spacing w:line="420" w:lineRule="exact"/>
        <w:ind w:firstLine="480" w:firstLineChars="200"/>
        <w:rPr>
          <w:bCs/>
          <w:sz w:val="24"/>
          <w:szCs w:val="24"/>
        </w:rPr>
      </w:pPr>
      <w:r>
        <w:rPr>
          <w:rFonts w:hint="eastAsia"/>
          <w:bCs/>
          <w:sz w:val="24"/>
          <w:szCs w:val="24"/>
        </w:rPr>
        <w:t>桃坞路2F网络核心主机房2台40KW艾特网能精密空调、1FUPS间1台12KW艾默生精密空调、城港路5F弱电间机房1台7KW艾默生精密空调维保服务已于2025年底到期。</w:t>
      </w:r>
    </w:p>
    <w:p w14:paraId="4594D9F0">
      <w:pPr>
        <w:spacing w:line="420" w:lineRule="exact"/>
        <w:ind w:firstLine="480" w:firstLineChars="200"/>
        <w:rPr>
          <w:kern w:val="0"/>
          <w:sz w:val="24"/>
          <w:szCs w:val="24"/>
        </w:rPr>
      </w:pPr>
      <w:r>
        <w:rPr>
          <w:kern w:val="0"/>
          <w:sz w:val="24"/>
          <w:szCs w:val="24"/>
        </w:rPr>
        <w:t>本次服务要求对4台精密空调设备进行维护、维修及保养。如：定期巡查巡检设备运行情况、设备零配件及耗材的更换、提供24小时不间断技术支持服务及重大事件现场保障服务等。本次维护保养的精密空调清单如下：</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86"/>
        <w:gridCol w:w="2976"/>
        <w:gridCol w:w="1276"/>
        <w:gridCol w:w="992"/>
      </w:tblGrid>
      <w:tr w14:paraId="0A6FF086">
        <w:trPr>
          <w:trHeight w:val="153" w:hRule="atLeast"/>
        </w:trPr>
        <w:tc>
          <w:tcPr>
            <w:tcW w:w="704" w:type="dxa"/>
            <w:vAlign w:val="center"/>
          </w:tcPr>
          <w:p w14:paraId="7A799B75">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bookmarkStart w:id="77" w:name="_Hlk229434733"/>
            <w:r>
              <w:rPr>
                <w:b/>
                <w:snapToGrid w:val="0"/>
                <w:color w:val="000000"/>
                <w:kern w:val="0"/>
                <w:sz w:val="24"/>
                <w:szCs w:val="24"/>
                <w:lang w:eastAsia="en-US"/>
              </w:rPr>
              <w:t>序号</w:t>
            </w:r>
          </w:p>
        </w:tc>
        <w:tc>
          <w:tcPr>
            <w:tcW w:w="3686" w:type="dxa"/>
            <w:vAlign w:val="center"/>
          </w:tcPr>
          <w:p w14:paraId="264DDE74">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设备名称</w:t>
            </w:r>
          </w:p>
        </w:tc>
        <w:tc>
          <w:tcPr>
            <w:tcW w:w="2976" w:type="dxa"/>
            <w:vAlign w:val="center"/>
          </w:tcPr>
          <w:p w14:paraId="145BC0DD">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rPr>
              <w:t>品牌</w:t>
            </w:r>
            <w:r>
              <w:rPr>
                <w:b/>
                <w:snapToGrid w:val="0"/>
                <w:color w:val="000000"/>
                <w:kern w:val="0"/>
                <w:sz w:val="24"/>
                <w:szCs w:val="24"/>
                <w:lang w:eastAsia="en-US"/>
              </w:rPr>
              <w:t>型号</w:t>
            </w:r>
          </w:p>
        </w:tc>
        <w:tc>
          <w:tcPr>
            <w:tcW w:w="1276" w:type="dxa"/>
            <w:vAlign w:val="center"/>
          </w:tcPr>
          <w:p w14:paraId="1F02A505">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购买日期</w:t>
            </w:r>
          </w:p>
        </w:tc>
        <w:tc>
          <w:tcPr>
            <w:tcW w:w="992" w:type="dxa"/>
            <w:vAlign w:val="center"/>
          </w:tcPr>
          <w:p w14:paraId="43817646">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数量</w:t>
            </w:r>
          </w:p>
        </w:tc>
      </w:tr>
      <w:tr w14:paraId="3EA7F149">
        <w:trPr>
          <w:trHeight w:val="338" w:hRule="atLeast"/>
        </w:trPr>
        <w:tc>
          <w:tcPr>
            <w:tcW w:w="704" w:type="dxa"/>
            <w:vAlign w:val="center"/>
          </w:tcPr>
          <w:p w14:paraId="036AF9BC">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1</w:t>
            </w:r>
          </w:p>
        </w:tc>
        <w:tc>
          <w:tcPr>
            <w:tcW w:w="3686" w:type="dxa"/>
            <w:vMerge w:val="restart"/>
            <w:vAlign w:val="center"/>
          </w:tcPr>
          <w:p w14:paraId="39FB457D">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桃坞路网络核心机房精密空调</w:t>
            </w:r>
          </w:p>
        </w:tc>
        <w:tc>
          <w:tcPr>
            <w:tcW w:w="2976" w:type="dxa"/>
            <w:vAlign w:val="center"/>
          </w:tcPr>
          <w:p w14:paraId="77A59BFB">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艾默生</w:t>
            </w:r>
            <w:r>
              <w:rPr>
                <w:snapToGrid w:val="0"/>
                <w:color w:val="000000"/>
                <w:kern w:val="0"/>
                <w:sz w:val="24"/>
                <w:szCs w:val="24"/>
                <w:lang w:eastAsia="en-US"/>
              </w:rPr>
              <w:t>DME12MCP5</w:t>
            </w:r>
          </w:p>
        </w:tc>
        <w:tc>
          <w:tcPr>
            <w:tcW w:w="1276" w:type="dxa"/>
            <w:vAlign w:val="center"/>
          </w:tcPr>
          <w:p w14:paraId="275DE8A4">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2018.6</w:t>
            </w:r>
          </w:p>
        </w:tc>
        <w:tc>
          <w:tcPr>
            <w:tcW w:w="992" w:type="dxa"/>
            <w:vAlign w:val="center"/>
          </w:tcPr>
          <w:p w14:paraId="58B2AA2D">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1台</w:t>
            </w:r>
          </w:p>
        </w:tc>
      </w:tr>
      <w:tr w14:paraId="452D625A">
        <w:trPr>
          <w:trHeight w:val="218" w:hRule="atLeast"/>
        </w:trPr>
        <w:tc>
          <w:tcPr>
            <w:tcW w:w="704" w:type="dxa"/>
            <w:vAlign w:val="center"/>
          </w:tcPr>
          <w:p w14:paraId="4BE06046">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w:t>
            </w:r>
          </w:p>
        </w:tc>
        <w:tc>
          <w:tcPr>
            <w:tcW w:w="3686" w:type="dxa"/>
            <w:vMerge w:val="continue"/>
            <w:vAlign w:val="center"/>
          </w:tcPr>
          <w:p w14:paraId="79DA46B3">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p>
        </w:tc>
        <w:tc>
          <w:tcPr>
            <w:tcW w:w="2976" w:type="dxa"/>
            <w:vAlign w:val="center"/>
          </w:tcPr>
          <w:p w14:paraId="45D74919">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艾特网能CM040</w:t>
            </w:r>
          </w:p>
        </w:tc>
        <w:tc>
          <w:tcPr>
            <w:tcW w:w="1276" w:type="dxa"/>
            <w:vAlign w:val="center"/>
          </w:tcPr>
          <w:p w14:paraId="6F1C1886">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2021</w:t>
            </w:r>
            <w:r>
              <w:rPr>
                <w:snapToGrid w:val="0"/>
                <w:color w:val="000000"/>
                <w:kern w:val="0"/>
                <w:sz w:val="24"/>
                <w:szCs w:val="24"/>
                <w:lang w:eastAsia="en-US"/>
              </w:rPr>
              <w:t>.10</w:t>
            </w:r>
          </w:p>
        </w:tc>
        <w:tc>
          <w:tcPr>
            <w:tcW w:w="992" w:type="dxa"/>
            <w:vAlign w:val="center"/>
          </w:tcPr>
          <w:p w14:paraId="23E5C1B8">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2</w:t>
            </w:r>
            <w:r>
              <w:rPr>
                <w:snapToGrid w:val="0"/>
                <w:color w:val="000000"/>
                <w:kern w:val="0"/>
                <w:sz w:val="24"/>
                <w:szCs w:val="24"/>
                <w:lang w:eastAsia="en-US"/>
              </w:rPr>
              <w:t>台</w:t>
            </w:r>
          </w:p>
        </w:tc>
      </w:tr>
      <w:tr w14:paraId="41FB57C9">
        <w:trPr>
          <w:trHeight w:val="210" w:hRule="atLeast"/>
        </w:trPr>
        <w:tc>
          <w:tcPr>
            <w:tcW w:w="704" w:type="dxa"/>
            <w:vAlign w:val="center"/>
          </w:tcPr>
          <w:p w14:paraId="7922F195">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3</w:t>
            </w:r>
          </w:p>
        </w:tc>
        <w:tc>
          <w:tcPr>
            <w:tcW w:w="3686" w:type="dxa"/>
            <w:vAlign w:val="center"/>
          </w:tcPr>
          <w:p w14:paraId="4C9AC7A1">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城港路视频汇聚机房精密空调</w:t>
            </w:r>
          </w:p>
        </w:tc>
        <w:tc>
          <w:tcPr>
            <w:tcW w:w="2976" w:type="dxa"/>
            <w:vAlign w:val="center"/>
          </w:tcPr>
          <w:p w14:paraId="68E957E8">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艾默生DME07MH2</w:t>
            </w:r>
          </w:p>
        </w:tc>
        <w:tc>
          <w:tcPr>
            <w:tcW w:w="1276" w:type="dxa"/>
            <w:vAlign w:val="center"/>
          </w:tcPr>
          <w:p w14:paraId="5ADE591D">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2012.11</w:t>
            </w:r>
          </w:p>
        </w:tc>
        <w:tc>
          <w:tcPr>
            <w:tcW w:w="992" w:type="dxa"/>
            <w:vAlign w:val="center"/>
          </w:tcPr>
          <w:p w14:paraId="1F0D94B7">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1台</w:t>
            </w:r>
          </w:p>
        </w:tc>
      </w:tr>
      <w:bookmarkEnd w:id="77"/>
    </w:tbl>
    <w:p w14:paraId="016682BA">
      <w:pPr>
        <w:spacing w:line="420" w:lineRule="exact"/>
        <w:ind w:firstLine="480" w:firstLineChars="200"/>
        <w:rPr>
          <w:b/>
          <w:sz w:val="24"/>
          <w:szCs w:val="24"/>
        </w:rPr>
      </w:pPr>
      <w:r>
        <w:rPr>
          <w:rFonts w:hint="eastAsia"/>
          <w:b/>
          <w:sz w:val="24"/>
          <w:szCs w:val="24"/>
        </w:rPr>
        <w:t>2.防鼠灭鼠服务范围</w:t>
      </w:r>
    </w:p>
    <w:p w14:paraId="54B1C3C1">
      <w:pPr>
        <w:spacing w:line="420" w:lineRule="exact"/>
        <w:ind w:firstLine="480" w:firstLineChars="200"/>
        <w:rPr>
          <w:bCs/>
          <w:sz w:val="24"/>
          <w:szCs w:val="24"/>
        </w:rPr>
      </w:pPr>
      <w:r>
        <w:rPr>
          <w:rFonts w:hint="eastAsia"/>
          <w:bCs/>
          <w:sz w:val="24"/>
          <w:szCs w:val="24"/>
        </w:rPr>
        <w:t>桃坞路网络核心机房：服务总面积约400平方米（以实际为准），涵盖一楼（UPS间、机房、会议室、卫生间）、二楼（核心机房、卫生间）、三楼（办公区各房间、卫生间）及四楼（会议室、音控室）的所有空间。</w:t>
      </w:r>
    </w:p>
    <w:p w14:paraId="42AFA712">
      <w:pPr>
        <w:spacing w:line="420" w:lineRule="exact"/>
        <w:ind w:firstLine="480" w:firstLineChars="200"/>
        <w:rPr>
          <w:bCs/>
          <w:sz w:val="24"/>
          <w:szCs w:val="24"/>
        </w:rPr>
      </w:pPr>
      <w:r>
        <w:rPr>
          <w:rFonts w:hint="eastAsia"/>
          <w:bCs/>
          <w:sz w:val="24"/>
          <w:szCs w:val="24"/>
        </w:rPr>
        <w:t>城港路视频汇聚机房：服务总面积约200平方米，涵盖五楼（接入机房）和十楼（视频汇聚机房、机房办公区各房间、仓库）的整体区域</w:t>
      </w:r>
      <w:r>
        <w:rPr>
          <w:bCs/>
          <w:sz w:val="24"/>
          <w:szCs w:val="24"/>
        </w:rPr>
        <w:t>。</w:t>
      </w:r>
    </w:p>
    <w:p w14:paraId="4BC923CD">
      <w:pPr>
        <w:spacing w:line="420" w:lineRule="exact"/>
        <w:ind w:firstLine="480" w:firstLineChars="200"/>
        <w:outlineLvl w:val="1"/>
        <w:rPr>
          <w:bCs/>
          <w:kern w:val="0"/>
          <w:sz w:val="24"/>
          <w:szCs w:val="24"/>
        </w:rPr>
      </w:pPr>
      <w:r>
        <w:rPr>
          <w:rFonts w:hint="eastAsia"/>
          <w:b/>
          <w:bCs/>
          <w:sz w:val="24"/>
          <w:szCs w:val="24"/>
        </w:rPr>
        <w:t>五</w:t>
      </w:r>
      <w:r>
        <w:rPr>
          <w:b/>
          <w:bCs/>
          <w:sz w:val="24"/>
          <w:szCs w:val="24"/>
        </w:rPr>
        <w:t>、服务</w:t>
      </w:r>
      <w:r>
        <w:rPr>
          <w:rFonts w:hint="eastAsia"/>
          <w:b/>
          <w:bCs/>
          <w:sz w:val="24"/>
          <w:szCs w:val="24"/>
        </w:rPr>
        <w:t>要求</w:t>
      </w:r>
    </w:p>
    <w:p w14:paraId="7E6F5945">
      <w:pPr>
        <w:spacing w:line="420" w:lineRule="exact"/>
        <w:ind w:firstLine="480" w:firstLineChars="200"/>
        <w:outlineLvl w:val="2"/>
        <w:rPr>
          <w:b/>
          <w:bCs/>
          <w:kern w:val="0"/>
          <w:sz w:val="24"/>
        </w:rPr>
      </w:pPr>
      <w:r>
        <w:rPr>
          <w:rFonts w:hint="eastAsia"/>
          <w:b/>
          <w:bCs/>
          <w:kern w:val="0"/>
          <w:sz w:val="24"/>
        </w:rPr>
        <w:t>1.人员服务要求</w:t>
      </w:r>
    </w:p>
    <w:p w14:paraId="10C09831">
      <w:pPr>
        <w:spacing w:line="420" w:lineRule="exact"/>
        <w:ind w:firstLine="480" w:firstLineChars="200"/>
        <w:rPr>
          <w:kern w:val="0"/>
          <w:sz w:val="24"/>
        </w:rPr>
      </w:pPr>
      <w:bookmarkStart w:id="78" w:name="_Hlk153738496"/>
      <w:r>
        <w:rPr>
          <w:rFonts w:hint="eastAsia"/>
          <w:kern w:val="0"/>
          <w:sz w:val="24"/>
        </w:rPr>
        <w:t>拟派本项目的项目负责人和上门维保人员须为供应商的正式员工，具有从业的相关证书。</w:t>
      </w:r>
      <w:r>
        <w:rPr>
          <w:kern w:val="0"/>
          <w:sz w:val="24"/>
        </w:rPr>
        <w:t xml:space="preserve"> </w:t>
      </w:r>
    </w:p>
    <w:bookmarkEnd w:id="78"/>
    <w:p w14:paraId="35B6E954">
      <w:pPr>
        <w:spacing w:line="420" w:lineRule="exact"/>
        <w:ind w:firstLine="480" w:firstLineChars="200"/>
        <w:outlineLvl w:val="2"/>
        <w:rPr>
          <w:b/>
          <w:bCs/>
          <w:kern w:val="0"/>
          <w:sz w:val="24"/>
        </w:rPr>
      </w:pPr>
      <w:r>
        <w:rPr>
          <w:rFonts w:hint="eastAsia"/>
          <w:b/>
          <w:bCs/>
          <w:kern w:val="0"/>
          <w:sz w:val="24"/>
        </w:rPr>
        <w:t>2.精密空调维保服务要求</w:t>
      </w:r>
    </w:p>
    <w:p w14:paraId="36790731">
      <w:pPr>
        <w:spacing w:line="420" w:lineRule="exact"/>
        <w:ind w:firstLine="480" w:firstLineChars="200"/>
        <w:rPr>
          <w:kern w:val="0"/>
          <w:sz w:val="24"/>
        </w:rPr>
      </w:pPr>
      <w:r>
        <w:rPr>
          <w:rFonts w:hint="eastAsia"/>
          <w:kern w:val="0"/>
          <w:sz w:val="24"/>
        </w:rPr>
        <w:t>（1）巡查巡检：服务供应商应根据用户要求，在服务期内对精密空调每月提供1次现场例行检查，每次巡检向用户提供巡检报告，并说明目前精密空调运行情况、存在问题及维护保养等详细情况。</w:t>
      </w:r>
    </w:p>
    <w:p w14:paraId="5C15C3D5">
      <w:pPr>
        <w:spacing w:line="420" w:lineRule="exact"/>
        <w:ind w:firstLine="480" w:firstLineChars="200"/>
        <w:rPr>
          <w:kern w:val="0"/>
          <w:sz w:val="24"/>
        </w:rPr>
      </w:pPr>
      <w:r>
        <w:rPr>
          <w:rFonts w:hint="eastAsia"/>
          <w:kern w:val="0"/>
          <w:sz w:val="24"/>
        </w:rPr>
        <w:t>（2）空气过滤器的清洗：每月定期对空气过滤器进行检查，根据检查情况对空气过滤器进行清洗、清洁冷凝盘管等。</w:t>
      </w:r>
    </w:p>
    <w:p w14:paraId="4A06A4D6">
      <w:pPr>
        <w:spacing w:line="420" w:lineRule="exact"/>
        <w:ind w:firstLine="480" w:firstLineChars="200"/>
        <w:rPr>
          <w:kern w:val="0"/>
          <w:sz w:val="24"/>
        </w:rPr>
      </w:pPr>
      <w:r>
        <w:rPr>
          <w:rFonts w:hint="eastAsia"/>
          <w:kern w:val="0"/>
          <w:sz w:val="24"/>
        </w:rPr>
        <w:t>（3）水冷式冷凝器的清洁：每月定期对水冷式冷凝器进行检查，根据检查情况进行保洁（检查并清洗排水管路）。</w:t>
      </w:r>
    </w:p>
    <w:p w14:paraId="7BEE7324">
      <w:pPr>
        <w:spacing w:line="420" w:lineRule="exact"/>
        <w:ind w:firstLine="480" w:firstLineChars="200"/>
        <w:rPr>
          <w:kern w:val="0"/>
          <w:sz w:val="24"/>
        </w:rPr>
      </w:pPr>
      <w:r>
        <w:rPr>
          <w:rFonts w:hint="eastAsia"/>
          <w:kern w:val="0"/>
          <w:sz w:val="24"/>
        </w:rPr>
        <w:t>（4）每月定期检查传动皮带，如有必要进行更换。</w:t>
      </w:r>
    </w:p>
    <w:p w14:paraId="05C41E46">
      <w:pPr>
        <w:spacing w:line="420" w:lineRule="exact"/>
        <w:ind w:firstLine="480" w:firstLineChars="200"/>
        <w:rPr>
          <w:kern w:val="0"/>
          <w:sz w:val="24"/>
        </w:rPr>
      </w:pPr>
      <w:r>
        <w:rPr>
          <w:rFonts w:hint="eastAsia"/>
          <w:kern w:val="0"/>
          <w:sz w:val="24"/>
        </w:rPr>
        <w:t>（5）每月定期检查加湿系统，如存在隐患或出现故障时须及时修复或更换。</w:t>
      </w:r>
    </w:p>
    <w:p w14:paraId="4FCA1003">
      <w:pPr>
        <w:spacing w:line="420" w:lineRule="exact"/>
        <w:ind w:firstLine="480" w:firstLineChars="200"/>
        <w:rPr>
          <w:kern w:val="0"/>
          <w:sz w:val="24"/>
        </w:rPr>
      </w:pPr>
      <w:r>
        <w:rPr>
          <w:rFonts w:hint="eastAsia"/>
          <w:kern w:val="0"/>
          <w:sz w:val="24"/>
        </w:rPr>
        <w:t>（6）每月定期对室外机进行检查和保洁。</w:t>
      </w:r>
    </w:p>
    <w:p w14:paraId="15D51FDB">
      <w:pPr>
        <w:spacing w:line="420" w:lineRule="exact"/>
        <w:ind w:firstLine="480" w:firstLineChars="200"/>
        <w:rPr>
          <w:kern w:val="0"/>
          <w:sz w:val="24"/>
        </w:rPr>
      </w:pPr>
      <w:r>
        <w:rPr>
          <w:rFonts w:hint="eastAsia"/>
          <w:kern w:val="0"/>
          <w:sz w:val="24"/>
        </w:rPr>
        <w:t>（7）每月定期检查压力容器的运行情况，如有必要进行更换。</w:t>
      </w:r>
    </w:p>
    <w:p w14:paraId="2C33C317">
      <w:pPr>
        <w:spacing w:line="420" w:lineRule="exact"/>
        <w:ind w:firstLine="480" w:firstLineChars="200"/>
        <w:rPr>
          <w:kern w:val="0"/>
          <w:sz w:val="24"/>
        </w:rPr>
      </w:pPr>
      <w:r>
        <w:rPr>
          <w:rFonts w:hint="eastAsia"/>
          <w:kern w:val="0"/>
          <w:sz w:val="24"/>
        </w:rPr>
        <w:t>（8）每月定期检查空调压缩机运行情况，如果损坏给予及时更换。</w:t>
      </w:r>
    </w:p>
    <w:p w14:paraId="64F38182">
      <w:pPr>
        <w:spacing w:line="420" w:lineRule="exact"/>
        <w:ind w:firstLine="480" w:firstLineChars="200"/>
        <w:rPr>
          <w:kern w:val="0"/>
          <w:sz w:val="24"/>
        </w:rPr>
      </w:pPr>
      <w:r>
        <w:rPr>
          <w:rFonts w:hint="eastAsia"/>
          <w:kern w:val="0"/>
          <w:sz w:val="24"/>
        </w:rPr>
        <w:t>（9）在维保期内须对下列耗材进行更换（服务）：</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843"/>
        <w:gridCol w:w="2126"/>
        <w:gridCol w:w="2268"/>
        <w:gridCol w:w="1984"/>
      </w:tblGrid>
      <w:tr w14:paraId="240EDAF2">
        <w:trPr>
          <w:trHeight w:val="443" w:hRule="atLeast"/>
          <w:tblHeader/>
        </w:trPr>
        <w:tc>
          <w:tcPr>
            <w:tcW w:w="704" w:type="dxa"/>
            <w:vAlign w:val="center"/>
          </w:tcPr>
          <w:p w14:paraId="03B25115">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bookmarkStart w:id="79" w:name="_Hlk229435311"/>
            <w:r>
              <w:rPr>
                <w:b/>
                <w:bCs/>
                <w:snapToGrid w:val="0"/>
                <w:color w:val="000000"/>
                <w:kern w:val="0"/>
                <w:sz w:val="24"/>
                <w:szCs w:val="24"/>
                <w:lang w:eastAsia="en-US"/>
              </w:rPr>
              <w:t>序号</w:t>
            </w:r>
          </w:p>
        </w:tc>
        <w:tc>
          <w:tcPr>
            <w:tcW w:w="709" w:type="dxa"/>
            <w:vAlign w:val="center"/>
          </w:tcPr>
          <w:p w14:paraId="6ADD364B">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rPr>
              <w:t>耗材</w:t>
            </w:r>
          </w:p>
        </w:tc>
        <w:tc>
          <w:tcPr>
            <w:tcW w:w="1843" w:type="dxa"/>
            <w:vAlign w:val="center"/>
          </w:tcPr>
          <w:p w14:paraId="4378C6C5">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rPr>
              <w:t>设备</w:t>
            </w:r>
          </w:p>
        </w:tc>
        <w:tc>
          <w:tcPr>
            <w:tcW w:w="2126" w:type="dxa"/>
            <w:vAlign w:val="center"/>
          </w:tcPr>
          <w:p w14:paraId="0B6E4039">
            <w:pPr>
              <w:widowControl/>
              <w:kinsoku w:val="0"/>
              <w:autoSpaceDE w:val="0"/>
              <w:autoSpaceDN w:val="0"/>
              <w:adjustRightInd w:val="0"/>
              <w:snapToGrid w:val="0"/>
              <w:spacing w:line="420" w:lineRule="exact"/>
              <w:jc w:val="center"/>
              <w:textAlignment w:val="baseline"/>
              <w:rPr>
                <w:b/>
                <w:bCs/>
                <w:snapToGrid w:val="0"/>
                <w:color w:val="000000"/>
                <w:kern w:val="0"/>
                <w:sz w:val="24"/>
                <w:szCs w:val="24"/>
              </w:rPr>
            </w:pPr>
            <w:r>
              <w:rPr>
                <w:b/>
                <w:bCs/>
                <w:snapToGrid w:val="0"/>
                <w:color w:val="000000"/>
                <w:kern w:val="0"/>
                <w:sz w:val="24"/>
                <w:szCs w:val="24"/>
              </w:rPr>
              <w:t>地点</w:t>
            </w:r>
          </w:p>
        </w:tc>
        <w:tc>
          <w:tcPr>
            <w:tcW w:w="2268" w:type="dxa"/>
            <w:vAlign w:val="center"/>
          </w:tcPr>
          <w:p w14:paraId="1FA27737">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lang w:eastAsia="en-US"/>
              </w:rPr>
              <w:t>更换</w:t>
            </w:r>
            <w:r>
              <w:rPr>
                <w:b/>
                <w:bCs/>
                <w:snapToGrid w:val="0"/>
                <w:color w:val="000000"/>
                <w:kern w:val="0"/>
                <w:sz w:val="24"/>
                <w:szCs w:val="24"/>
              </w:rPr>
              <w:t>（服务）</w:t>
            </w:r>
            <w:r>
              <w:rPr>
                <w:b/>
                <w:bCs/>
                <w:snapToGrid w:val="0"/>
                <w:color w:val="000000"/>
                <w:kern w:val="0"/>
                <w:sz w:val="24"/>
                <w:szCs w:val="24"/>
                <w:lang w:eastAsia="en-US"/>
              </w:rPr>
              <w:t>次数</w:t>
            </w:r>
          </w:p>
        </w:tc>
        <w:tc>
          <w:tcPr>
            <w:tcW w:w="1984" w:type="dxa"/>
            <w:vAlign w:val="center"/>
          </w:tcPr>
          <w:p w14:paraId="36C44EC6">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lang w:eastAsia="en-US"/>
              </w:rPr>
              <w:t>每次更换数量</w:t>
            </w:r>
          </w:p>
        </w:tc>
      </w:tr>
      <w:tr w14:paraId="1ACD9190">
        <w:trPr>
          <w:trHeight w:val="443" w:hRule="atLeast"/>
        </w:trPr>
        <w:tc>
          <w:tcPr>
            <w:tcW w:w="704" w:type="dxa"/>
            <w:vMerge w:val="restart"/>
            <w:tcBorders>
              <w:right w:val="single" w:color="auto" w:sz="4" w:space="0"/>
            </w:tcBorders>
            <w:vAlign w:val="center"/>
          </w:tcPr>
          <w:p w14:paraId="68F247A9">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w:t>
            </w:r>
          </w:p>
        </w:tc>
        <w:tc>
          <w:tcPr>
            <w:tcW w:w="709" w:type="dxa"/>
            <w:vMerge w:val="restart"/>
            <w:tcBorders>
              <w:right w:val="single" w:color="auto" w:sz="4" w:space="0"/>
            </w:tcBorders>
            <w:vAlign w:val="center"/>
          </w:tcPr>
          <w:p w14:paraId="31B3FEC1">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过滤网</w:t>
            </w:r>
          </w:p>
        </w:tc>
        <w:tc>
          <w:tcPr>
            <w:tcW w:w="1843" w:type="dxa"/>
            <w:tcBorders>
              <w:right w:val="single" w:color="auto" w:sz="4" w:space="0"/>
            </w:tcBorders>
            <w:vAlign w:val="center"/>
          </w:tcPr>
          <w:p w14:paraId="6140FC37">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tcBorders>
              <w:left w:val="single" w:color="auto" w:sz="4" w:space="0"/>
            </w:tcBorders>
            <w:vAlign w:val="center"/>
          </w:tcPr>
          <w:p w14:paraId="1518BC79">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桃坞路2F机房西</w:t>
            </w:r>
          </w:p>
        </w:tc>
        <w:tc>
          <w:tcPr>
            <w:tcW w:w="2268" w:type="dxa"/>
            <w:tcBorders>
              <w:left w:val="single" w:color="auto" w:sz="4" w:space="0"/>
            </w:tcBorders>
            <w:vAlign w:val="center"/>
          </w:tcPr>
          <w:p w14:paraId="71033669">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每年至少4次</w:t>
            </w:r>
          </w:p>
        </w:tc>
        <w:tc>
          <w:tcPr>
            <w:tcW w:w="1984" w:type="dxa"/>
            <w:vAlign w:val="center"/>
          </w:tcPr>
          <w:p w14:paraId="234B4CC9">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6</w:t>
            </w:r>
            <w:r>
              <w:rPr>
                <w:snapToGrid w:val="0"/>
                <w:color w:val="000000"/>
                <w:kern w:val="0"/>
                <w:sz w:val="24"/>
                <w:szCs w:val="24"/>
                <w:lang w:eastAsia="en-US"/>
              </w:rPr>
              <w:t>张</w:t>
            </w:r>
          </w:p>
        </w:tc>
      </w:tr>
      <w:tr w14:paraId="410B8ED6">
        <w:trPr>
          <w:trHeight w:val="443" w:hRule="atLeast"/>
        </w:trPr>
        <w:tc>
          <w:tcPr>
            <w:tcW w:w="704" w:type="dxa"/>
            <w:vMerge w:val="continue"/>
            <w:tcBorders>
              <w:right w:val="single" w:color="auto" w:sz="4" w:space="0"/>
            </w:tcBorders>
            <w:vAlign w:val="center"/>
          </w:tcPr>
          <w:p w14:paraId="5B561348">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tcBorders>
              <w:right w:val="single" w:color="auto" w:sz="4" w:space="0"/>
            </w:tcBorders>
            <w:vAlign w:val="center"/>
          </w:tcPr>
          <w:p w14:paraId="102EA66C">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68B33AF9">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vAlign w:val="center"/>
          </w:tcPr>
          <w:p w14:paraId="3EEA5612">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桃坞路2F机房西</w:t>
            </w:r>
          </w:p>
        </w:tc>
        <w:tc>
          <w:tcPr>
            <w:tcW w:w="2268" w:type="dxa"/>
            <w:vAlign w:val="center"/>
          </w:tcPr>
          <w:p w14:paraId="3EF4D4CB">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每年至少4次</w:t>
            </w:r>
          </w:p>
        </w:tc>
        <w:tc>
          <w:tcPr>
            <w:tcW w:w="1984" w:type="dxa"/>
            <w:vAlign w:val="center"/>
          </w:tcPr>
          <w:p w14:paraId="51944AEF">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6</w:t>
            </w:r>
            <w:r>
              <w:rPr>
                <w:snapToGrid w:val="0"/>
                <w:color w:val="000000"/>
                <w:kern w:val="0"/>
                <w:sz w:val="24"/>
                <w:szCs w:val="24"/>
                <w:lang w:eastAsia="en-US"/>
              </w:rPr>
              <w:t>张</w:t>
            </w:r>
          </w:p>
        </w:tc>
      </w:tr>
      <w:tr w14:paraId="5D5652BA">
        <w:trPr>
          <w:trHeight w:val="443" w:hRule="atLeast"/>
        </w:trPr>
        <w:tc>
          <w:tcPr>
            <w:tcW w:w="704" w:type="dxa"/>
            <w:vMerge w:val="continue"/>
            <w:tcBorders>
              <w:right w:val="single" w:color="auto" w:sz="4" w:space="0"/>
            </w:tcBorders>
            <w:vAlign w:val="center"/>
          </w:tcPr>
          <w:p w14:paraId="737383AD">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tcBorders>
              <w:right w:val="single" w:color="auto" w:sz="4" w:space="0"/>
            </w:tcBorders>
            <w:vAlign w:val="center"/>
          </w:tcPr>
          <w:p w14:paraId="318F7F2E">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690EE0F3">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w:t>
            </w:r>
            <w:r>
              <w:rPr>
                <w:snapToGrid w:val="0"/>
                <w:color w:val="000000"/>
                <w:kern w:val="0"/>
                <w:sz w:val="24"/>
                <w:szCs w:val="24"/>
                <w:lang w:eastAsia="en-US"/>
              </w:rPr>
              <w:t>ME12MCP5</w:t>
            </w:r>
          </w:p>
        </w:tc>
        <w:tc>
          <w:tcPr>
            <w:tcW w:w="2126" w:type="dxa"/>
            <w:vAlign w:val="center"/>
          </w:tcPr>
          <w:p w14:paraId="7AD8B0ED">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桃坞路1FUPS间东</w:t>
            </w:r>
          </w:p>
        </w:tc>
        <w:tc>
          <w:tcPr>
            <w:tcW w:w="2268" w:type="dxa"/>
            <w:vAlign w:val="center"/>
          </w:tcPr>
          <w:p w14:paraId="66086E74">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每年至少4次清洗</w:t>
            </w:r>
          </w:p>
        </w:tc>
        <w:tc>
          <w:tcPr>
            <w:tcW w:w="1984" w:type="dxa"/>
            <w:vAlign w:val="center"/>
          </w:tcPr>
          <w:p w14:paraId="6C8249CE">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必要时进行更换</w:t>
            </w:r>
          </w:p>
        </w:tc>
      </w:tr>
      <w:tr w14:paraId="0EC06F24">
        <w:trPr>
          <w:trHeight w:val="90" w:hRule="atLeast"/>
        </w:trPr>
        <w:tc>
          <w:tcPr>
            <w:tcW w:w="704" w:type="dxa"/>
            <w:vMerge w:val="continue"/>
            <w:tcBorders>
              <w:right w:val="single" w:color="auto" w:sz="4" w:space="0"/>
            </w:tcBorders>
            <w:vAlign w:val="center"/>
          </w:tcPr>
          <w:p w14:paraId="53B0A32E">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tcBorders>
              <w:right w:val="single" w:color="auto" w:sz="4" w:space="0"/>
            </w:tcBorders>
            <w:vAlign w:val="center"/>
          </w:tcPr>
          <w:p w14:paraId="3A70EDFC">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1966A0F6">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艾默生DME07MH2</w:t>
            </w:r>
          </w:p>
        </w:tc>
        <w:tc>
          <w:tcPr>
            <w:tcW w:w="2126" w:type="dxa"/>
            <w:vAlign w:val="center"/>
          </w:tcPr>
          <w:p w14:paraId="1139AAA1">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城港路5F弱电间北</w:t>
            </w:r>
          </w:p>
        </w:tc>
        <w:tc>
          <w:tcPr>
            <w:tcW w:w="2268" w:type="dxa"/>
            <w:vAlign w:val="center"/>
          </w:tcPr>
          <w:p w14:paraId="6C538ADF">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每年至少4次</w:t>
            </w:r>
          </w:p>
        </w:tc>
        <w:tc>
          <w:tcPr>
            <w:tcW w:w="1984" w:type="dxa"/>
            <w:vAlign w:val="center"/>
          </w:tcPr>
          <w:p w14:paraId="5C03898B">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w:t>
            </w:r>
            <w:r>
              <w:rPr>
                <w:snapToGrid w:val="0"/>
                <w:color w:val="000000"/>
                <w:kern w:val="0"/>
                <w:sz w:val="24"/>
                <w:szCs w:val="24"/>
                <w:lang w:eastAsia="en-US"/>
              </w:rPr>
              <w:t>张</w:t>
            </w:r>
          </w:p>
        </w:tc>
      </w:tr>
      <w:tr w14:paraId="78E359C3">
        <w:trPr>
          <w:trHeight w:val="443" w:hRule="atLeast"/>
        </w:trPr>
        <w:tc>
          <w:tcPr>
            <w:tcW w:w="704" w:type="dxa"/>
            <w:vMerge w:val="restart"/>
            <w:vAlign w:val="center"/>
          </w:tcPr>
          <w:p w14:paraId="07748329">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w:t>
            </w:r>
          </w:p>
        </w:tc>
        <w:tc>
          <w:tcPr>
            <w:tcW w:w="709" w:type="dxa"/>
            <w:vMerge w:val="restart"/>
            <w:vAlign w:val="center"/>
          </w:tcPr>
          <w:p w14:paraId="1BD86F86">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加湿罐</w:t>
            </w:r>
          </w:p>
        </w:tc>
        <w:tc>
          <w:tcPr>
            <w:tcW w:w="1843" w:type="dxa"/>
            <w:vAlign w:val="center"/>
          </w:tcPr>
          <w:p w14:paraId="593B20EC">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vAlign w:val="center"/>
          </w:tcPr>
          <w:p w14:paraId="4C6AF53F">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桃坞路2F机房西</w:t>
            </w:r>
          </w:p>
        </w:tc>
        <w:tc>
          <w:tcPr>
            <w:tcW w:w="2268" w:type="dxa"/>
            <w:vAlign w:val="center"/>
          </w:tcPr>
          <w:p w14:paraId="3E4F40DD">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w:t>
            </w:r>
            <w:r>
              <w:rPr>
                <w:snapToGrid w:val="0"/>
                <w:color w:val="000000"/>
                <w:kern w:val="0"/>
                <w:sz w:val="24"/>
                <w:szCs w:val="24"/>
              </w:rPr>
              <w:t>2</w:t>
            </w:r>
            <w:r>
              <w:rPr>
                <w:snapToGrid w:val="0"/>
                <w:color w:val="000000"/>
                <w:kern w:val="0"/>
                <w:sz w:val="24"/>
                <w:szCs w:val="24"/>
                <w:lang w:eastAsia="en-US"/>
              </w:rPr>
              <w:t>次</w:t>
            </w:r>
          </w:p>
        </w:tc>
        <w:tc>
          <w:tcPr>
            <w:tcW w:w="1984" w:type="dxa"/>
            <w:vAlign w:val="center"/>
          </w:tcPr>
          <w:p w14:paraId="01782300">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1个</w:t>
            </w:r>
          </w:p>
        </w:tc>
      </w:tr>
      <w:tr w14:paraId="1AFCD9F4">
        <w:trPr>
          <w:trHeight w:val="443" w:hRule="atLeast"/>
        </w:trPr>
        <w:tc>
          <w:tcPr>
            <w:tcW w:w="704" w:type="dxa"/>
            <w:vMerge w:val="continue"/>
            <w:vAlign w:val="center"/>
          </w:tcPr>
          <w:p w14:paraId="44F798D5">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vAlign w:val="center"/>
          </w:tcPr>
          <w:p w14:paraId="69AF06A8">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7A9F4EB8">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vAlign w:val="center"/>
          </w:tcPr>
          <w:p w14:paraId="4C9BD411">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桃坞路2F机房西</w:t>
            </w:r>
          </w:p>
        </w:tc>
        <w:tc>
          <w:tcPr>
            <w:tcW w:w="2268" w:type="dxa"/>
            <w:vAlign w:val="center"/>
          </w:tcPr>
          <w:p w14:paraId="11236752">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w:t>
            </w:r>
            <w:r>
              <w:rPr>
                <w:snapToGrid w:val="0"/>
                <w:color w:val="000000"/>
                <w:kern w:val="0"/>
                <w:sz w:val="24"/>
                <w:szCs w:val="24"/>
              </w:rPr>
              <w:t>2</w:t>
            </w:r>
            <w:r>
              <w:rPr>
                <w:snapToGrid w:val="0"/>
                <w:color w:val="000000"/>
                <w:kern w:val="0"/>
                <w:sz w:val="24"/>
                <w:szCs w:val="24"/>
                <w:lang w:eastAsia="en-US"/>
              </w:rPr>
              <w:t>次</w:t>
            </w:r>
          </w:p>
        </w:tc>
        <w:tc>
          <w:tcPr>
            <w:tcW w:w="1984" w:type="dxa"/>
            <w:vAlign w:val="center"/>
          </w:tcPr>
          <w:p w14:paraId="163F71C9">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1个</w:t>
            </w:r>
          </w:p>
        </w:tc>
      </w:tr>
      <w:tr w14:paraId="043F8EE3">
        <w:trPr>
          <w:trHeight w:val="443" w:hRule="atLeast"/>
        </w:trPr>
        <w:tc>
          <w:tcPr>
            <w:tcW w:w="704" w:type="dxa"/>
            <w:vMerge w:val="continue"/>
            <w:vAlign w:val="center"/>
          </w:tcPr>
          <w:p w14:paraId="71422660">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vAlign w:val="center"/>
          </w:tcPr>
          <w:p w14:paraId="11C72EAF">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2156A227">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艾默生DME07MH2</w:t>
            </w:r>
          </w:p>
        </w:tc>
        <w:tc>
          <w:tcPr>
            <w:tcW w:w="2126" w:type="dxa"/>
            <w:vAlign w:val="center"/>
          </w:tcPr>
          <w:p w14:paraId="13977CF3">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城港路5F弱电间北</w:t>
            </w:r>
          </w:p>
        </w:tc>
        <w:tc>
          <w:tcPr>
            <w:tcW w:w="2268" w:type="dxa"/>
            <w:vAlign w:val="center"/>
          </w:tcPr>
          <w:p w14:paraId="35A13465">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w:t>
            </w:r>
            <w:r>
              <w:rPr>
                <w:snapToGrid w:val="0"/>
                <w:color w:val="000000"/>
                <w:kern w:val="0"/>
                <w:sz w:val="24"/>
                <w:szCs w:val="24"/>
              </w:rPr>
              <w:t>2</w:t>
            </w:r>
            <w:r>
              <w:rPr>
                <w:snapToGrid w:val="0"/>
                <w:color w:val="000000"/>
                <w:kern w:val="0"/>
                <w:sz w:val="24"/>
                <w:szCs w:val="24"/>
                <w:lang w:eastAsia="en-US"/>
              </w:rPr>
              <w:t>次</w:t>
            </w:r>
          </w:p>
        </w:tc>
        <w:tc>
          <w:tcPr>
            <w:tcW w:w="1984" w:type="dxa"/>
            <w:vAlign w:val="center"/>
          </w:tcPr>
          <w:p w14:paraId="0463D06D">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1个</w:t>
            </w:r>
          </w:p>
        </w:tc>
      </w:tr>
      <w:tr w14:paraId="1D448207">
        <w:trPr>
          <w:trHeight w:val="443" w:hRule="atLeast"/>
        </w:trPr>
        <w:tc>
          <w:tcPr>
            <w:tcW w:w="704" w:type="dxa"/>
            <w:vAlign w:val="center"/>
          </w:tcPr>
          <w:p w14:paraId="1559512A">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备注</w:t>
            </w:r>
          </w:p>
        </w:tc>
        <w:tc>
          <w:tcPr>
            <w:tcW w:w="8930" w:type="dxa"/>
            <w:gridSpan w:val="5"/>
            <w:vAlign w:val="center"/>
          </w:tcPr>
          <w:p w14:paraId="1E8B82AA">
            <w:pPr>
              <w:widowControl/>
              <w:kinsoku w:val="0"/>
              <w:autoSpaceDE w:val="0"/>
              <w:autoSpaceDN w:val="0"/>
              <w:adjustRightInd w:val="0"/>
              <w:snapToGrid w:val="0"/>
              <w:spacing w:line="420" w:lineRule="exact"/>
              <w:jc w:val="left"/>
              <w:textAlignment w:val="baseline"/>
              <w:rPr>
                <w:snapToGrid w:val="0"/>
                <w:color w:val="000000"/>
                <w:kern w:val="0"/>
                <w:sz w:val="24"/>
                <w:szCs w:val="24"/>
              </w:rPr>
            </w:pPr>
            <w:r>
              <w:rPr>
                <w:snapToGrid w:val="0"/>
                <w:color w:val="000000"/>
                <w:kern w:val="0"/>
                <w:sz w:val="24"/>
                <w:szCs w:val="24"/>
              </w:rPr>
              <w:t>（1）耗材更换次数，视根据机房实际</w:t>
            </w:r>
            <w:r>
              <w:rPr>
                <w:snapToGrid w:val="0"/>
                <w:kern w:val="0"/>
                <w:sz w:val="24"/>
                <w:szCs w:val="24"/>
              </w:rPr>
              <w:t>环境要求而定，但加湿罐至少每年必须更换2次，空调过滤网每年至少更换4次。</w:t>
            </w:r>
            <w:r>
              <w:rPr>
                <w:snapToGrid w:val="0"/>
                <w:color w:val="000000"/>
                <w:kern w:val="0"/>
                <w:sz w:val="24"/>
                <w:szCs w:val="24"/>
              </w:rPr>
              <w:t>如因水质、机房空气环境较差，需要增加更换次数。其他耗材如皮带等根据实际使用情况进行更换。</w:t>
            </w:r>
          </w:p>
          <w:p w14:paraId="69207565">
            <w:pPr>
              <w:widowControl/>
              <w:kinsoku w:val="0"/>
              <w:autoSpaceDE w:val="0"/>
              <w:autoSpaceDN w:val="0"/>
              <w:adjustRightInd w:val="0"/>
              <w:snapToGrid w:val="0"/>
              <w:spacing w:line="420" w:lineRule="exact"/>
              <w:jc w:val="left"/>
              <w:textAlignment w:val="baseline"/>
              <w:rPr>
                <w:b/>
                <w:bCs/>
                <w:snapToGrid w:val="0"/>
                <w:color w:val="000000"/>
                <w:kern w:val="0"/>
                <w:sz w:val="24"/>
                <w:szCs w:val="24"/>
                <w:u w:val="thick" w:color="FF0000"/>
              </w:rPr>
            </w:pPr>
            <w:r>
              <w:rPr>
                <w:snapToGrid w:val="0"/>
                <w:color w:val="000000"/>
                <w:kern w:val="0"/>
                <w:sz w:val="24"/>
                <w:szCs w:val="24"/>
              </w:rPr>
              <w:t>（2）上述耗材须为质量合格的配件，若上述精密空调原配件停产，可以提供相似的适配件，但需提供情况说明。</w:t>
            </w:r>
          </w:p>
        </w:tc>
      </w:tr>
      <w:bookmarkEnd w:id="79"/>
    </w:tbl>
    <w:p w14:paraId="6AD92B0E">
      <w:pPr>
        <w:spacing w:line="420" w:lineRule="exact"/>
        <w:ind w:firstLine="480" w:firstLineChars="200"/>
        <w:rPr>
          <w:kern w:val="0"/>
          <w:sz w:val="24"/>
        </w:rPr>
      </w:pPr>
      <w:r>
        <w:rPr>
          <w:rFonts w:hint="eastAsia"/>
          <w:kern w:val="0"/>
          <w:sz w:val="24"/>
        </w:rPr>
        <w:t xml:space="preserve">（10）零配件的更换：在维护保养服务期内，如发现设备发生任何故障、元器件自然老化或损坏、运行故障、不明原因的自身故障等，以及运行异常问题，包括制冷异常、设备异响等，均由服务供应商负责维修或更换零配件（包含空调压缩主机）。所有维修更换配件均为质量合格的配件，不允许使用老旧配件或拆机件，不能对故障零件进行人工修复而不更换。若精密空调原配件停产或因情况紧急急需恢复设备运行的情况下，在征得用户同意的情况下，可以使用通用适配件。 </w:t>
      </w:r>
    </w:p>
    <w:p w14:paraId="63AA616F">
      <w:pPr>
        <w:spacing w:line="420" w:lineRule="exact"/>
        <w:ind w:firstLine="480" w:firstLineChars="200"/>
        <w:rPr>
          <w:kern w:val="0"/>
          <w:sz w:val="24"/>
        </w:rPr>
      </w:pPr>
      <w:r>
        <w:rPr>
          <w:rFonts w:hint="eastAsia"/>
          <w:kern w:val="0"/>
          <w:sz w:val="24"/>
        </w:rPr>
        <w:t>（11）如空调出现故障，且在夏季3小时内，其他季节8小时内无法修复的，服务供应商应提供其他制冷方式控制机房温度，确保机房正常运行。</w:t>
      </w:r>
    </w:p>
    <w:p w14:paraId="155F615B">
      <w:pPr>
        <w:spacing w:line="420" w:lineRule="exact"/>
        <w:ind w:firstLine="480" w:firstLineChars="200"/>
        <w:outlineLvl w:val="2"/>
        <w:rPr>
          <w:b/>
          <w:bCs/>
          <w:kern w:val="0"/>
          <w:sz w:val="24"/>
        </w:rPr>
      </w:pPr>
      <w:r>
        <w:rPr>
          <w:rFonts w:hint="eastAsia"/>
          <w:b/>
          <w:bCs/>
          <w:kern w:val="0"/>
          <w:sz w:val="24"/>
        </w:rPr>
        <w:t>3.防鼠灭鼠服务要求</w:t>
      </w:r>
    </w:p>
    <w:p w14:paraId="3E5F0CB1">
      <w:pPr>
        <w:spacing w:line="420" w:lineRule="exact"/>
        <w:ind w:firstLine="480" w:firstLineChars="200"/>
        <w:rPr>
          <w:kern w:val="0"/>
          <w:sz w:val="24"/>
        </w:rPr>
      </w:pPr>
      <w:r>
        <w:rPr>
          <w:rFonts w:hint="eastAsia"/>
          <w:kern w:val="0"/>
          <w:sz w:val="24"/>
        </w:rPr>
        <w:t>本次机房防鼠灭鼠服务主要涉及桃坞路网络核心机房整体区域和城港路5楼和10楼整体机房区域。本次服务须严格按照IPM（综合虫害控制）理念和HACCP（危害分析和关键控制点）运作标准开展鼠害防治作业。每月至少做一次鼠害防治，包括鼠征监测、趋避剂更新、鼠情控制和新漏洞封堵。具体要求如下：</w:t>
      </w:r>
    </w:p>
    <w:p w14:paraId="5F76BD7D">
      <w:pPr>
        <w:spacing w:line="420" w:lineRule="exact"/>
        <w:ind w:firstLine="480" w:firstLineChars="200"/>
        <w:rPr>
          <w:kern w:val="0"/>
          <w:sz w:val="24"/>
        </w:rPr>
      </w:pPr>
      <w:r>
        <w:rPr>
          <w:rFonts w:hint="eastAsia"/>
          <w:kern w:val="0"/>
          <w:sz w:val="24"/>
        </w:rPr>
        <w:t>（1）首次服务：根据防鼠灭鼠范围区域，根据灭鼠场地实际情况制订详细的灭鼠方案。灭鼠方案应详细，包括服务范围内的外围、室内、桥架、吊顶、办公司区域，按国家行业标准提供鼠密度监测、鼠害灭治。</w:t>
      </w:r>
    </w:p>
    <w:p w14:paraId="6950406B">
      <w:pPr>
        <w:spacing w:line="420" w:lineRule="exact"/>
        <w:ind w:firstLine="480" w:firstLineChars="200"/>
        <w:rPr>
          <w:kern w:val="0"/>
          <w:sz w:val="24"/>
        </w:rPr>
      </w:pPr>
      <w:r>
        <w:rPr>
          <w:rFonts w:hint="eastAsia"/>
          <w:kern w:val="0"/>
          <w:sz w:val="24"/>
        </w:rPr>
        <w:t>（2）巡查巡检：根据用户要求，在服务期内对灭鼠范围区域每月提供1次现场检查，每次巡查巡检向用户提供巡检报告，并说明目前鼠害防治工作情况、存在问题及建议等。包括鼠征监测、趋避剂更新、鼠情控制和新漏洞封堵。</w:t>
      </w:r>
    </w:p>
    <w:p w14:paraId="46C44B2C">
      <w:pPr>
        <w:spacing w:line="420" w:lineRule="exact"/>
        <w:ind w:firstLine="480" w:firstLineChars="200"/>
        <w:rPr>
          <w:kern w:val="0"/>
          <w:sz w:val="24"/>
        </w:rPr>
      </w:pPr>
      <w:r>
        <w:rPr>
          <w:rFonts w:hint="eastAsia"/>
          <w:kern w:val="0"/>
          <w:sz w:val="24"/>
        </w:rPr>
        <w:t>（3）安全要求：采用化学或机械灭鼠方法的，要防止中毒事件发生，防止机械伤人；化学药物必须符合国家相关标准，绝不允许采用自行混配的无证产品；化学药物或机械放置点须设立明确标识标记；电子类产品确保不能对机房设备产生干扰等。</w:t>
      </w:r>
    </w:p>
    <w:p w14:paraId="520C072C">
      <w:pPr>
        <w:spacing w:line="420" w:lineRule="exact"/>
        <w:ind w:firstLine="480" w:firstLineChars="200"/>
        <w:rPr>
          <w:kern w:val="0"/>
          <w:sz w:val="24"/>
        </w:rPr>
      </w:pPr>
      <w:r>
        <w:rPr>
          <w:rFonts w:hint="eastAsia"/>
          <w:kern w:val="0"/>
          <w:sz w:val="24"/>
        </w:rPr>
        <w:t>（4）鼠尸处理：按国家相关标准处置。</w:t>
      </w:r>
    </w:p>
    <w:p w14:paraId="2CB70BE9">
      <w:pPr>
        <w:spacing w:line="420" w:lineRule="exact"/>
        <w:ind w:firstLine="480" w:firstLineChars="200"/>
        <w:outlineLvl w:val="1"/>
        <w:rPr>
          <w:kern w:val="0"/>
          <w:sz w:val="24"/>
        </w:rPr>
      </w:pPr>
      <w:bookmarkStart w:id="80" w:name="_Hlk81870874"/>
      <w:r>
        <w:rPr>
          <w:rFonts w:hint="eastAsia"/>
          <w:b/>
          <w:bCs/>
          <w:sz w:val="24"/>
          <w:szCs w:val="24"/>
        </w:rPr>
        <w:t>六</w:t>
      </w:r>
      <w:r>
        <w:rPr>
          <w:b/>
          <w:bCs/>
          <w:sz w:val="24"/>
          <w:szCs w:val="24"/>
        </w:rPr>
        <w:t>、</w:t>
      </w:r>
      <w:bookmarkStart w:id="81" w:name="_Hlk153738602"/>
      <w:r>
        <w:rPr>
          <w:rFonts w:hint="eastAsia"/>
          <w:b/>
          <w:bCs/>
          <w:sz w:val="24"/>
          <w:szCs w:val="24"/>
        </w:rPr>
        <w:t>服务期和合同履行</w:t>
      </w:r>
      <w:r>
        <w:rPr>
          <w:b/>
          <w:bCs/>
          <w:sz w:val="24"/>
          <w:szCs w:val="24"/>
        </w:rPr>
        <w:t>期限</w:t>
      </w:r>
    </w:p>
    <w:p w14:paraId="511F6B71">
      <w:pPr>
        <w:spacing w:line="420" w:lineRule="exact"/>
        <w:ind w:firstLine="480" w:firstLineChars="200"/>
        <w:rPr>
          <w:b/>
          <w:bCs/>
          <w:kern w:val="0"/>
          <w:sz w:val="24"/>
        </w:rPr>
      </w:pPr>
      <w:r>
        <w:rPr>
          <w:rFonts w:hint="eastAsia"/>
          <w:b/>
          <w:bCs/>
          <w:kern w:val="0"/>
          <w:sz w:val="24"/>
        </w:rPr>
        <w:t>1.本项目服务期三年，合同一年一签订（即单年度合同履行期限为12个月）。</w:t>
      </w:r>
    </w:p>
    <w:p w14:paraId="3D69BAC6">
      <w:pPr>
        <w:spacing w:line="420" w:lineRule="exact"/>
        <w:ind w:firstLine="480" w:firstLineChars="200"/>
        <w:rPr>
          <w:kern w:val="0"/>
          <w:sz w:val="24"/>
        </w:rPr>
      </w:pPr>
      <w:r>
        <w:rPr>
          <w:rFonts w:hint="eastAsia"/>
          <w:kern w:val="0"/>
          <w:sz w:val="24"/>
        </w:rPr>
        <w:t>2.本项目服务期内的首年度合同履行期限为采购合同签订生效，采购人通知服务之日起计的1年（即12个月），经服务评价合格且下一年度财政预算下达后，签订服务期内第2年度的合同，并以此类推至服务期期满。</w:t>
      </w:r>
    </w:p>
    <w:p w14:paraId="17EA02B1">
      <w:pPr>
        <w:spacing w:line="420" w:lineRule="exact"/>
        <w:ind w:firstLine="480" w:firstLineChars="200"/>
        <w:rPr>
          <w:rFonts w:cs="宋体"/>
          <w:color w:val="FF0000"/>
          <w:sz w:val="24"/>
          <w:szCs w:val="24"/>
        </w:rPr>
      </w:pPr>
      <w:r>
        <w:rPr>
          <w:rFonts w:hint="eastAsia"/>
          <w:kern w:val="0"/>
          <w:sz w:val="24"/>
        </w:rPr>
        <w:t>3.服务期内，如本项目服务范围、服务内容等发生实质性变更，双方应本着公平合理原则协商一致，根据实际情况确定继续履行合同或提前终止合同；合同提前终止的，双方应就已完成服务及费用结算妥善处理完毕，同时采购人可以根据项目新的服务范围、服务内容及要求，重新开展采购活动。</w:t>
      </w:r>
      <w:bookmarkEnd w:id="81"/>
    </w:p>
    <w:bookmarkEnd w:id="80"/>
    <w:p w14:paraId="07760EFB">
      <w:pPr>
        <w:spacing w:line="420" w:lineRule="exact"/>
        <w:ind w:firstLine="480" w:firstLineChars="200"/>
        <w:outlineLvl w:val="1"/>
        <w:rPr>
          <w:kern w:val="0"/>
          <w:sz w:val="24"/>
        </w:rPr>
      </w:pPr>
      <w:r>
        <w:rPr>
          <w:rFonts w:hint="eastAsia"/>
          <w:b/>
          <w:bCs/>
          <w:sz w:val="24"/>
          <w:szCs w:val="24"/>
        </w:rPr>
        <w:t>七、服务标准</w:t>
      </w:r>
    </w:p>
    <w:p w14:paraId="5324BCA6">
      <w:pPr>
        <w:spacing w:line="420" w:lineRule="exact"/>
        <w:ind w:firstLine="480" w:firstLineChars="200"/>
        <w:rPr>
          <w:kern w:val="0"/>
          <w:sz w:val="24"/>
        </w:rPr>
      </w:pPr>
      <w:r>
        <w:rPr>
          <w:rFonts w:hint="eastAsia"/>
          <w:kern w:val="0"/>
          <w:sz w:val="24"/>
        </w:rPr>
        <w:t>1.为保证机房设备精密空调正常运行应当定期进行日常维护保养。</w:t>
      </w:r>
    </w:p>
    <w:p w14:paraId="4365FF7A">
      <w:pPr>
        <w:spacing w:line="420" w:lineRule="exact"/>
        <w:ind w:firstLine="480" w:firstLineChars="200"/>
        <w:rPr>
          <w:kern w:val="0"/>
          <w:sz w:val="24"/>
        </w:rPr>
      </w:pPr>
      <w:r>
        <w:rPr>
          <w:rFonts w:hint="eastAsia"/>
          <w:kern w:val="0"/>
          <w:sz w:val="24"/>
        </w:rPr>
        <w:t>2.根据服务要求，每月提供服务周报，服务期结束前提供年报。</w:t>
      </w:r>
    </w:p>
    <w:p w14:paraId="3B06CDA0">
      <w:pPr>
        <w:spacing w:line="420" w:lineRule="exact"/>
        <w:ind w:firstLine="480" w:firstLineChars="200"/>
        <w:rPr>
          <w:kern w:val="0"/>
          <w:sz w:val="24"/>
        </w:rPr>
      </w:pPr>
      <w:r>
        <w:rPr>
          <w:rFonts w:hint="eastAsia"/>
          <w:kern w:val="0"/>
          <w:sz w:val="24"/>
        </w:rPr>
        <w:t>3.防鼠灭鼠服务须严格按照IPM（综合虫害控制）理念和HACCP（危害分析和关键控制点）运作标准开展鼠害防治作业。</w:t>
      </w:r>
    </w:p>
    <w:p w14:paraId="38BFAD4C">
      <w:pPr>
        <w:spacing w:line="420" w:lineRule="exact"/>
        <w:ind w:firstLine="480" w:firstLineChars="200"/>
        <w:rPr>
          <w:kern w:val="0"/>
          <w:sz w:val="24"/>
        </w:rPr>
      </w:pPr>
      <w:r>
        <w:rPr>
          <w:rFonts w:hint="eastAsia"/>
          <w:kern w:val="0"/>
          <w:sz w:val="24"/>
        </w:rPr>
        <w:t>4.供应商应提供7*24小时（包括节假日）故障报修服务，同时，在接到报修电话通知后，服务工程师必须在1小时内到达用户现场，提供紧急抢修服务。</w:t>
      </w:r>
    </w:p>
    <w:p w14:paraId="2C680ECF">
      <w:pPr>
        <w:spacing w:line="420" w:lineRule="exact"/>
        <w:ind w:firstLine="480" w:firstLineChars="200"/>
        <w:outlineLvl w:val="1"/>
        <w:rPr>
          <w:bCs/>
          <w:kern w:val="0"/>
          <w:sz w:val="24"/>
          <w:szCs w:val="24"/>
        </w:rPr>
      </w:pPr>
      <w:r>
        <w:rPr>
          <w:rFonts w:hint="eastAsia"/>
          <w:b/>
          <w:bCs/>
          <w:sz w:val="24"/>
          <w:szCs w:val="24"/>
        </w:rPr>
        <w:t>八、服务评价</w:t>
      </w:r>
    </w:p>
    <w:p w14:paraId="6E90255A">
      <w:pPr>
        <w:widowControl/>
        <w:spacing w:line="420" w:lineRule="exact"/>
        <w:ind w:firstLine="567"/>
        <w:rPr>
          <w:bCs/>
          <w:kern w:val="0"/>
          <w:sz w:val="24"/>
          <w:szCs w:val="24"/>
        </w:rPr>
      </w:pPr>
      <w:r>
        <w:rPr>
          <w:rFonts w:hint="eastAsia"/>
          <w:bCs/>
          <w:kern w:val="0"/>
          <w:sz w:val="24"/>
          <w:szCs w:val="24"/>
        </w:rPr>
        <w:t>1.在年度合同履行期满的当月，用户组织专家对当年度服务情况进行评价，主要对照服务范围、服务要求、服务标准评价服务工作完成情况，查看维护服务台帐、维护记录、服务态度等。</w:t>
      </w:r>
    </w:p>
    <w:p w14:paraId="2F0CD8A4">
      <w:pPr>
        <w:widowControl/>
        <w:spacing w:line="420" w:lineRule="exact"/>
        <w:ind w:firstLine="567"/>
        <w:rPr>
          <w:bCs/>
          <w:kern w:val="0"/>
          <w:sz w:val="24"/>
          <w:szCs w:val="24"/>
        </w:rPr>
      </w:pPr>
      <w:r>
        <w:rPr>
          <w:rFonts w:hint="eastAsia"/>
          <w:bCs/>
          <w:kern w:val="0"/>
          <w:sz w:val="24"/>
          <w:szCs w:val="24"/>
        </w:rPr>
        <w:t>2.用户根据专家评估意见，支付项目余款，若未达服务要求，用户有权扣除最高不超过合同总价金额的10%作为违约金。</w:t>
      </w:r>
      <w:bookmarkEnd w:id="72"/>
    </w:p>
    <w:p w14:paraId="1ADFE352">
      <w:pPr>
        <w:snapToGrid w:val="0"/>
        <w:spacing w:line="420" w:lineRule="exact"/>
        <w:ind w:firstLine="495" w:firstLineChars="206"/>
        <w:outlineLvl w:val="1"/>
        <w:rPr>
          <w:b/>
          <w:bCs/>
          <w:sz w:val="24"/>
          <w:szCs w:val="24"/>
        </w:rPr>
      </w:pPr>
      <w:bookmarkStart w:id="82" w:name="_Hlk153033961"/>
      <w:r>
        <w:rPr>
          <w:rFonts w:hint="eastAsia" w:cs="宋体"/>
          <w:b/>
          <w:bCs/>
          <w:sz w:val="24"/>
          <w:szCs w:val="24"/>
        </w:rPr>
        <w:t>九、履约保证金</w:t>
      </w:r>
    </w:p>
    <w:p w14:paraId="1A208F2B">
      <w:pPr>
        <w:snapToGrid w:val="0"/>
        <w:spacing w:line="420" w:lineRule="exact"/>
        <w:ind w:firstLine="480" w:firstLineChars="200"/>
        <w:rPr>
          <w:b/>
          <w:bCs/>
          <w:sz w:val="24"/>
          <w:szCs w:val="24"/>
          <w:lang w:val="zh-CN"/>
        </w:rPr>
      </w:pPr>
      <w:r>
        <w:rPr>
          <w:sz w:val="24"/>
          <w:szCs w:val="24"/>
          <w:lang w:val="zh-CN"/>
        </w:rPr>
        <w:t>1.</w:t>
      </w:r>
      <w:r>
        <w:rPr>
          <w:rFonts w:hint="eastAsia" w:cs="宋体"/>
          <w:sz w:val="24"/>
          <w:szCs w:val="24"/>
          <w:lang w:val="zh-CN"/>
        </w:rPr>
        <w:t>本项目服务实施免收履约保证金。</w:t>
      </w:r>
    </w:p>
    <w:p w14:paraId="6E2117F2">
      <w:pPr>
        <w:snapToGrid w:val="0"/>
        <w:spacing w:line="420" w:lineRule="exact"/>
        <w:ind w:firstLine="480" w:firstLineChars="200"/>
        <w:rPr>
          <w:sz w:val="24"/>
          <w:szCs w:val="24"/>
        </w:rPr>
      </w:pPr>
      <w:r>
        <w:rPr>
          <w:sz w:val="24"/>
          <w:szCs w:val="24"/>
          <w:lang w:val="zh-CN"/>
        </w:rPr>
        <w:t>2.</w:t>
      </w:r>
      <w:r>
        <w:rPr>
          <w:rFonts w:hint="eastAsia" w:cs="宋体"/>
          <w:sz w:val="24"/>
          <w:szCs w:val="24"/>
          <w:lang w:val="zh-CN"/>
        </w:rPr>
        <w:t>由于供应商的原因，在签订合同后出现不按合同履行或不适当履行的情况，按合同违约处理；同时采购人亦有权终止合同，供应商须依法承担相应的责任。</w:t>
      </w:r>
    </w:p>
    <w:bookmarkEnd w:id="76"/>
    <w:bookmarkEnd w:id="82"/>
    <w:p w14:paraId="06A08904">
      <w:pPr>
        <w:snapToGrid w:val="0"/>
        <w:spacing w:line="420" w:lineRule="exact"/>
        <w:ind w:firstLine="495" w:firstLineChars="206"/>
        <w:outlineLvl w:val="1"/>
        <w:rPr>
          <w:b/>
          <w:sz w:val="24"/>
          <w:szCs w:val="24"/>
        </w:rPr>
      </w:pPr>
      <w:r>
        <w:rPr>
          <w:rFonts w:hint="eastAsia"/>
          <w:b/>
          <w:sz w:val="24"/>
          <w:szCs w:val="24"/>
        </w:rPr>
        <w:t>十</w:t>
      </w:r>
      <w:r>
        <w:rPr>
          <w:b/>
          <w:sz w:val="24"/>
          <w:szCs w:val="24"/>
        </w:rPr>
        <w:t>、付款方式</w:t>
      </w:r>
    </w:p>
    <w:p w14:paraId="627AA8EB">
      <w:pPr>
        <w:spacing w:line="420" w:lineRule="exact"/>
        <w:ind w:firstLine="480" w:firstLineChars="200"/>
        <w:rPr>
          <w:b/>
          <w:bCs/>
          <w:sz w:val="24"/>
          <w:szCs w:val="24"/>
        </w:rPr>
      </w:pPr>
      <w:r>
        <w:rPr>
          <w:rFonts w:hint="eastAsia" w:cs="宋体"/>
          <w:b/>
          <w:bCs/>
          <w:sz w:val="24"/>
          <w:szCs w:val="24"/>
        </w:rPr>
        <w:t>【特别提醒】付款方式不接受负偏离及任何意图改变付款方式的意图表达，否则作无效响应处理。</w:t>
      </w:r>
    </w:p>
    <w:p w14:paraId="16AF2474">
      <w:pPr>
        <w:spacing w:line="420" w:lineRule="exact"/>
        <w:ind w:firstLine="480" w:firstLineChars="200"/>
        <w:rPr>
          <w:sz w:val="24"/>
          <w:szCs w:val="24"/>
        </w:rPr>
      </w:pPr>
      <w:r>
        <w:rPr>
          <w:rFonts w:hint="eastAsia"/>
          <w:sz w:val="24"/>
          <w:szCs w:val="24"/>
        </w:rPr>
        <w:t>1.按照《关于进一步促进政府采购公平竞争优化营商环境的通知》（通财购〔2020〕39号）第九条之规定，本项目年度服务合同签订生效后，采购人自收到服务供应商合格发票后的10个工作日内，支付合同总价金额的50%，作为项目服务实施的预付款。</w:t>
      </w:r>
    </w:p>
    <w:p w14:paraId="58162AE4">
      <w:pPr>
        <w:spacing w:line="420" w:lineRule="exact"/>
        <w:ind w:firstLine="480" w:firstLineChars="200"/>
        <w:rPr>
          <w:sz w:val="24"/>
          <w:szCs w:val="24"/>
        </w:rPr>
      </w:pPr>
      <w:bookmarkStart w:id="83" w:name="_Hlk229431422"/>
      <w:r>
        <w:rPr>
          <w:rFonts w:hint="eastAsia"/>
          <w:sz w:val="24"/>
          <w:szCs w:val="24"/>
        </w:rPr>
        <w:t>2.在供应商服务至年度合同履行期满的当月内，经服务评价合格，采购人自收到服务供应商合格发票后的10个工作日内，支付年度服务合同总价金额的50%，服务期内的年度服务合同总价金额支付完毕，并以此类推至服务期满。</w:t>
      </w:r>
    </w:p>
    <w:bookmarkEnd w:id="83"/>
    <w:p w14:paraId="4C6ACF22">
      <w:pPr>
        <w:spacing w:line="420" w:lineRule="exact"/>
        <w:ind w:firstLine="480" w:firstLineChars="200"/>
        <w:rPr>
          <w:sz w:val="24"/>
          <w:szCs w:val="24"/>
        </w:rPr>
      </w:pPr>
      <w:r>
        <w:rPr>
          <w:rFonts w:hint="eastAsia"/>
          <w:sz w:val="24"/>
          <w:szCs w:val="24"/>
        </w:rPr>
        <w:t>3.采购人付款时，供应商应根据结算金额开具并提供正式发票。</w:t>
      </w:r>
    </w:p>
    <w:p w14:paraId="4B327767">
      <w:pPr>
        <w:snapToGrid w:val="0"/>
        <w:spacing w:line="420" w:lineRule="exact"/>
        <w:ind w:firstLine="494" w:firstLineChars="206"/>
        <w:rPr>
          <w:sz w:val="24"/>
          <w:szCs w:val="24"/>
        </w:rPr>
      </w:pPr>
      <w:r>
        <w:rPr>
          <w:rFonts w:hint="eastAsia"/>
          <w:sz w:val="24"/>
          <w:szCs w:val="24"/>
        </w:rPr>
        <w:t>4.支付方式：银行转账。</w:t>
      </w:r>
    </w:p>
    <w:p w14:paraId="6A1B97F6">
      <w:pPr>
        <w:widowControl/>
        <w:spacing w:line="20" w:lineRule="exact"/>
        <w:jc w:val="left"/>
        <w:rPr>
          <w:sz w:val="24"/>
          <w:szCs w:val="24"/>
        </w:rPr>
      </w:pPr>
      <w:r>
        <w:rPr>
          <w:sz w:val="24"/>
          <w:szCs w:val="24"/>
        </w:rPr>
        <w:br w:type="page"/>
      </w:r>
    </w:p>
    <w:p w14:paraId="1802ACE9">
      <w:pPr>
        <w:tabs>
          <w:tab w:val="left" w:pos="1050"/>
          <w:tab w:val="right" w:leader="dot" w:pos="9402"/>
        </w:tabs>
        <w:spacing w:line="600" w:lineRule="exact"/>
        <w:jc w:val="center"/>
        <w:outlineLvl w:val="0"/>
        <w:rPr>
          <w:b/>
          <w:w w:val="80"/>
          <w:sz w:val="36"/>
          <w:szCs w:val="36"/>
        </w:rPr>
      </w:pPr>
      <w:r>
        <w:rPr>
          <w:b/>
          <w:w w:val="80"/>
          <w:sz w:val="36"/>
          <w:szCs w:val="36"/>
        </w:rPr>
        <w:t>第四章</w:t>
      </w:r>
      <w:bookmarkStart w:id="84" w:name="_Toc182848996"/>
      <w:bookmarkStart w:id="85" w:name="_Toc94544747"/>
      <w:bookmarkStart w:id="86" w:name="_Toc94544873"/>
      <w:bookmarkStart w:id="87" w:name="_Toc38121794"/>
      <w:bookmarkStart w:id="88" w:name="_Toc8895742"/>
      <w:bookmarkStart w:id="89" w:name="_Toc11499587"/>
      <w:bookmarkStart w:id="90" w:name="_Toc11500283"/>
      <w:bookmarkStart w:id="91" w:name="_Toc37322565"/>
      <w:bookmarkStart w:id="92" w:name="_Toc85627670"/>
      <w:bookmarkStart w:id="93" w:name="_Toc12670506"/>
      <w:bookmarkStart w:id="94" w:name="_Toc11554642"/>
      <w:bookmarkStart w:id="95" w:name="_Toc43217893"/>
      <w:bookmarkStart w:id="96" w:name="_Toc13803484"/>
      <w:r>
        <w:rPr>
          <w:rFonts w:hint="eastAsia"/>
          <w:b/>
          <w:w w:val="80"/>
          <w:sz w:val="36"/>
          <w:szCs w:val="36"/>
        </w:rPr>
        <w:t xml:space="preserve"> </w:t>
      </w:r>
      <w:r>
        <w:rPr>
          <w:b/>
          <w:w w:val="80"/>
          <w:sz w:val="36"/>
          <w:szCs w:val="36"/>
        </w:rPr>
        <w:t>评审方法和程序</w:t>
      </w:r>
    </w:p>
    <w:bookmarkEnd w:id="84"/>
    <w:p w14:paraId="39B01B78">
      <w:pPr>
        <w:snapToGrid w:val="0"/>
        <w:spacing w:line="420" w:lineRule="exact"/>
        <w:ind w:firstLine="480" w:firstLineChars="200"/>
        <w:outlineLvl w:val="1"/>
        <w:rPr>
          <w:b/>
          <w:sz w:val="24"/>
          <w:szCs w:val="24"/>
        </w:rPr>
      </w:pPr>
      <w:r>
        <w:rPr>
          <w:b/>
          <w:sz w:val="24"/>
          <w:szCs w:val="24"/>
        </w:rPr>
        <w:t>一、采购代理机构组织谈判</w:t>
      </w:r>
    </w:p>
    <w:p w14:paraId="341AA69B">
      <w:pPr>
        <w:snapToGrid w:val="0"/>
        <w:spacing w:line="420" w:lineRule="exact"/>
        <w:ind w:firstLine="480" w:firstLineChars="200"/>
        <w:rPr>
          <w:sz w:val="24"/>
          <w:szCs w:val="24"/>
        </w:rPr>
      </w:pPr>
      <w:r>
        <w:rPr>
          <w:rFonts w:hint="eastAsia"/>
          <w:sz w:val="24"/>
          <w:szCs w:val="24"/>
        </w:rPr>
        <w:t>1.依据相关法规成立竞争性谈判小组。竞争性谈判小组由采购人代表和评审专家共计3人及以上单数组成，其中评审专家人数不得少于竞争性谈判小组成员总数的2/3。本项目竞争性谈判小组由采购单位代表和评审专家共3人组成。</w:t>
      </w:r>
    </w:p>
    <w:p w14:paraId="7D76643E">
      <w:pPr>
        <w:snapToGrid w:val="0"/>
        <w:spacing w:line="420" w:lineRule="exact"/>
        <w:ind w:firstLine="480" w:firstLineChars="200"/>
        <w:rPr>
          <w:sz w:val="24"/>
          <w:szCs w:val="24"/>
        </w:rPr>
      </w:pPr>
      <w:r>
        <w:rPr>
          <w:rFonts w:hint="eastAsia"/>
          <w:sz w:val="24"/>
          <w:szCs w:val="24"/>
        </w:rPr>
        <w:t>2.谈判响应供应商的法定代表人或被委托受权人须持身份证准时参加竞争性谈判评审会。</w:t>
      </w:r>
    </w:p>
    <w:p w14:paraId="41F099DB">
      <w:pPr>
        <w:snapToGrid w:val="0"/>
        <w:spacing w:line="420" w:lineRule="exact"/>
        <w:ind w:firstLine="480" w:firstLineChars="200"/>
        <w:outlineLvl w:val="1"/>
        <w:rPr>
          <w:sz w:val="24"/>
          <w:szCs w:val="24"/>
        </w:rPr>
      </w:pPr>
      <w:r>
        <w:rPr>
          <w:b/>
          <w:sz w:val="24"/>
          <w:szCs w:val="24"/>
        </w:rPr>
        <w:t>二、</w:t>
      </w:r>
      <w:r>
        <w:rPr>
          <w:rFonts w:hint="eastAsia"/>
          <w:b/>
          <w:sz w:val="24"/>
          <w:szCs w:val="24"/>
        </w:rPr>
        <w:t>开启</w:t>
      </w:r>
    </w:p>
    <w:p w14:paraId="464B3FCC">
      <w:pPr>
        <w:adjustRightInd w:val="0"/>
        <w:snapToGrid w:val="0"/>
        <w:spacing w:line="420" w:lineRule="exact"/>
        <w:ind w:firstLine="484" w:firstLineChars="202"/>
        <w:rPr>
          <w:sz w:val="24"/>
          <w:szCs w:val="24"/>
        </w:rPr>
      </w:pPr>
      <w:r>
        <w:rPr>
          <w:sz w:val="24"/>
          <w:szCs w:val="24"/>
        </w:rPr>
        <w:t>1.开启时间：</w:t>
      </w:r>
      <w:r>
        <w:rPr>
          <w:b/>
          <w:sz w:val="24"/>
          <w:szCs w:val="24"/>
          <w:u w:val="thick" w:color="FF0000"/>
        </w:rPr>
        <w:t>2026年5月</w:t>
      </w:r>
      <w:r>
        <w:rPr>
          <w:rFonts w:hint="eastAsia"/>
          <w:b/>
          <w:sz w:val="24"/>
          <w:szCs w:val="24"/>
          <w:u w:val="thick" w:color="FF0000"/>
          <w:lang w:val="en-US" w:eastAsia="zh-CN"/>
        </w:rPr>
        <w:t>28</w:t>
      </w:r>
      <w:r>
        <w:rPr>
          <w:b/>
          <w:sz w:val="24"/>
          <w:szCs w:val="24"/>
          <w:u w:val="thick" w:color="FF0000"/>
        </w:rPr>
        <w:t>日14时整</w:t>
      </w:r>
      <w:r>
        <w:rPr>
          <w:sz w:val="24"/>
          <w:szCs w:val="24"/>
        </w:rPr>
        <w:t>。</w:t>
      </w:r>
    </w:p>
    <w:p w14:paraId="4FDB5BC3">
      <w:pPr>
        <w:adjustRightInd w:val="0"/>
        <w:snapToGrid w:val="0"/>
        <w:spacing w:line="420" w:lineRule="exact"/>
        <w:ind w:firstLine="484" w:firstLineChars="202"/>
        <w:rPr>
          <w:sz w:val="24"/>
          <w:szCs w:val="24"/>
        </w:rPr>
      </w:pPr>
      <w:r>
        <w:rPr>
          <w:sz w:val="24"/>
          <w:szCs w:val="24"/>
        </w:rPr>
        <w:t>2.开启地点：南通市江海大道北729号和丰大厦B座1楼政务中心1号开标室，如有变动另行通知；</w:t>
      </w:r>
    </w:p>
    <w:p w14:paraId="2D5C1BD6">
      <w:pPr>
        <w:spacing w:line="420" w:lineRule="exact"/>
        <w:ind w:firstLine="480" w:firstLineChars="200"/>
        <w:rPr>
          <w:sz w:val="24"/>
          <w:szCs w:val="24"/>
        </w:rPr>
      </w:pPr>
      <w:r>
        <w:rPr>
          <w:sz w:val="24"/>
          <w:szCs w:val="24"/>
        </w:rPr>
        <w:t>3.采购代理机构主持开启并记录，及时处理谈判响应供应商代表提出的询问或回避申请。</w:t>
      </w:r>
    </w:p>
    <w:p w14:paraId="41A4ABF8">
      <w:pPr>
        <w:adjustRightInd w:val="0"/>
        <w:snapToGrid w:val="0"/>
        <w:spacing w:line="420" w:lineRule="exact"/>
        <w:ind w:firstLine="484" w:firstLineChars="202"/>
        <w:rPr>
          <w:sz w:val="24"/>
          <w:szCs w:val="24"/>
        </w:rPr>
      </w:pPr>
      <w:r>
        <w:rPr>
          <w:sz w:val="24"/>
          <w:szCs w:val="24"/>
        </w:rPr>
        <w:t>4.</w:t>
      </w:r>
      <w:bookmarkStart w:id="97" w:name="_Hlk79707077"/>
      <w:r>
        <w:rPr>
          <w:sz w:val="24"/>
          <w:szCs w:val="24"/>
        </w:rPr>
        <w:t>开启后</w:t>
      </w:r>
      <w:r>
        <w:rPr>
          <w:rFonts w:hint="eastAsia"/>
          <w:sz w:val="24"/>
          <w:szCs w:val="24"/>
        </w:rPr>
        <w:t>，</w:t>
      </w:r>
      <w:r>
        <w:rPr>
          <w:sz w:val="24"/>
          <w:szCs w:val="24"/>
        </w:rPr>
        <w:t>谈判响应供应商不得撤回</w:t>
      </w:r>
      <w:r>
        <w:rPr>
          <w:rFonts w:hint="eastAsia"/>
          <w:sz w:val="24"/>
          <w:szCs w:val="24"/>
        </w:rPr>
        <w:t>竞争性谈判响应文件</w:t>
      </w:r>
      <w:bookmarkEnd w:id="97"/>
      <w:r>
        <w:rPr>
          <w:sz w:val="24"/>
          <w:szCs w:val="24"/>
        </w:rPr>
        <w:t>。</w:t>
      </w:r>
    </w:p>
    <w:p w14:paraId="65663104">
      <w:pPr>
        <w:spacing w:line="420" w:lineRule="exact"/>
        <w:ind w:firstLine="480" w:firstLineChars="200"/>
        <w:rPr>
          <w:sz w:val="26"/>
        </w:rPr>
      </w:pPr>
      <w:r>
        <w:rPr>
          <w:sz w:val="24"/>
          <w:szCs w:val="24"/>
        </w:rPr>
        <w:t>5.谈判响应供应商不足3家的不得开启。</w:t>
      </w:r>
    </w:p>
    <w:p w14:paraId="1C73642F">
      <w:pPr>
        <w:adjustRightInd w:val="0"/>
        <w:snapToGrid w:val="0"/>
        <w:spacing w:line="420" w:lineRule="exact"/>
        <w:ind w:firstLine="484" w:firstLineChars="202"/>
        <w:rPr>
          <w:sz w:val="24"/>
          <w:szCs w:val="24"/>
        </w:rPr>
      </w:pPr>
      <w:r>
        <w:rPr>
          <w:sz w:val="24"/>
          <w:szCs w:val="24"/>
        </w:rPr>
        <w:t>6.开启后，采购人委托谈判小组根据竞争性谈判文件载明的资格审查要求，对供应商的资格进行审查（含信用信息审查）；资格审查合格的谈判响应供应商进入评审，参与项目的技术、商务报价评审谈判环节。</w:t>
      </w:r>
    </w:p>
    <w:p w14:paraId="11D730F9">
      <w:pPr>
        <w:adjustRightInd w:val="0"/>
        <w:snapToGrid w:val="0"/>
        <w:spacing w:line="420" w:lineRule="exact"/>
        <w:ind w:firstLine="484" w:firstLineChars="202"/>
        <w:rPr>
          <w:sz w:val="24"/>
          <w:szCs w:val="24"/>
        </w:rPr>
      </w:pPr>
      <w:r>
        <w:rPr>
          <w:sz w:val="24"/>
          <w:szCs w:val="24"/>
        </w:rPr>
        <w:t>7.资格审查时间：</w:t>
      </w:r>
      <w:r>
        <w:rPr>
          <w:b/>
          <w:sz w:val="24"/>
          <w:szCs w:val="24"/>
          <w:u w:val="thick" w:color="FF0000"/>
        </w:rPr>
        <w:t>开启后当即开始</w:t>
      </w:r>
      <w:r>
        <w:rPr>
          <w:sz w:val="24"/>
          <w:szCs w:val="24"/>
        </w:rPr>
        <w:t>。</w:t>
      </w:r>
    </w:p>
    <w:p w14:paraId="077E8864">
      <w:pPr>
        <w:spacing w:line="420" w:lineRule="exact"/>
        <w:ind w:firstLine="480" w:firstLineChars="200"/>
        <w:rPr>
          <w:sz w:val="24"/>
          <w:szCs w:val="24"/>
        </w:rPr>
      </w:pPr>
      <w:r>
        <w:rPr>
          <w:sz w:val="24"/>
          <w:szCs w:val="24"/>
        </w:rPr>
        <w:t>8.资格审查中包含对谈判响应供应商的信用记录进行审查，具体如下</w:t>
      </w:r>
    </w:p>
    <w:p w14:paraId="1C432631">
      <w:pPr>
        <w:spacing w:line="420" w:lineRule="exact"/>
        <w:ind w:firstLine="480" w:firstLineChars="200"/>
        <w:rPr>
          <w:sz w:val="24"/>
          <w:szCs w:val="24"/>
        </w:rPr>
      </w:pPr>
      <w:r>
        <w:rPr>
          <w:sz w:val="24"/>
          <w:szCs w:val="24"/>
        </w:rPr>
        <w:t>（1）采购人或采购代理机构将在投标截止后1小时的时期内查询谈判响应供应商的信用记录。</w:t>
      </w:r>
    </w:p>
    <w:p w14:paraId="571CF2AD">
      <w:pPr>
        <w:spacing w:line="420" w:lineRule="exact"/>
        <w:ind w:firstLine="480" w:firstLineChars="200"/>
        <w:rPr>
          <w:sz w:val="24"/>
          <w:szCs w:val="24"/>
        </w:rPr>
      </w:pPr>
      <w:r>
        <w:rPr>
          <w:rFonts w:hint="eastAsia"/>
          <w:sz w:val="24"/>
          <w:szCs w:val="24"/>
        </w:rPr>
        <w:t>（2）</w:t>
      </w:r>
      <w:r>
        <w:rPr>
          <w:sz w:val="24"/>
          <w:szCs w:val="24"/>
        </w:rPr>
        <w:t>谈判响应供应商存在不良信用记录的，将被认定为无效</w:t>
      </w:r>
      <w:r>
        <w:rPr>
          <w:rFonts w:hint="eastAsia"/>
          <w:sz w:val="24"/>
          <w:szCs w:val="24"/>
        </w:rPr>
        <w:t>竞争性谈判响应</w:t>
      </w:r>
      <w:r>
        <w:rPr>
          <w:sz w:val="24"/>
          <w:szCs w:val="24"/>
        </w:rPr>
        <w:t>。</w:t>
      </w:r>
    </w:p>
    <w:p w14:paraId="0C96BEA0">
      <w:pPr>
        <w:spacing w:line="420" w:lineRule="exact"/>
        <w:ind w:firstLine="480" w:firstLineChars="200"/>
        <w:rPr>
          <w:sz w:val="24"/>
          <w:szCs w:val="24"/>
        </w:rPr>
      </w:pPr>
      <w:r>
        <w:rPr>
          <w:rFonts w:hint="eastAsia"/>
          <w:sz w:val="24"/>
          <w:szCs w:val="24"/>
        </w:rPr>
        <w:t>（3）</w:t>
      </w:r>
      <w:r>
        <w:rPr>
          <w:sz w:val="24"/>
          <w:szCs w:val="24"/>
        </w:rPr>
        <w:t>不良信用记录指：谈判供应商在</w:t>
      </w:r>
      <w:r>
        <w:rPr>
          <w:rFonts w:hint="eastAsia"/>
          <w:sz w:val="24"/>
          <w:szCs w:val="24"/>
        </w:rPr>
        <w:t>“</w:t>
      </w:r>
      <w:r>
        <w:rPr>
          <w:sz w:val="24"/>
          <w:szCs w:val="24"/>
        </w:rPr>
        <w:t>信用中国（www.creditchina.gov.cn）</w:t>
      </w:r>
      <w:r>
        <w:rPr>
          <w:rFonts w:hint="eastAsia"/>
          <w:sz w:val="24"/>
          <w:szCs w:val="24"/>
        </w:rPr>
        <w:t>”被列入政府采购严重违法失信行为记录名单、</w:t>
      </w:r>
      <w:r>
        <w:rPr>
          <w:sz w:val="24"/>
          <w:szCs w:val="24"/>
        </w:rPr>
        <w:t>被列入失信被执行人、重大税收违法案件当事人名单，</w:t>
      </w:r>
      <w:r>
        <w:rPr>
          <w:rFonts w:hint="eastAsia"/>
          <w:sz w:val="24"/>
          <w:szCs w:val="24"/>
        </w:rPr>
        <w:t>以及存在《中华人民共和国政府采购法实施条例》第十九条规定的行政处罚记录</w:t>
      </w:r>
      <w:r>
        <w:rPr>
          <w:sz w:val="24"/>
          <w:szCs w:val="24"/>
        </w:rPr>
        <w:t>。</w:t>
      </w:r>
    </w:p>
    <w:p w14:paraId="0E1BC98F">
      <w:pPr>
        <w:spacing w:line="420" w:lineRule="exact"/>
        <w:ind w:firstLine="480" w:firstLineChars="200"/>
        <w:rPr>
          <w:sz w:val="24"/>
          <w:szCs w:val="24"/>
        </w:rPr>
      </w:pPr>
      <w:r>
        <w:rPr>
          <w:sz w:val="24"/>
          <w:szCs w:val="24"/>
        </w:rPr>
        <w:t>（4）查询及记录方式：采购人或采购代理机构经办人将查询网页打印、签字并存档备查。谈判响应供应商不良信用记录以采购人或采购代理机构查询结果为准。</w:t>
      </w:r>
    </w:p>
    <w:p w14:paraId="5B1026B9">
      <w:pPr>
        <w:spacing w:line="420" w:lineRule="exact"/>
        <w:ind w:firstLine="480" w:firstLineChars="200"/>
        <w:rPr>
          <w:sz w:val="24"/>
          <w:szCs w:val="24"/>
        </w:rPr>
      </w:pPr>
      <w:r>
        <w:rPr>
          <w:sz w:val="24"/>
          <w:szCs w:val="24"/>
        </w:rPr>
        <w:t>（5）在本竞争性谈判文件规定的查询时间之后，网站信息发生的任何变更均不再作为评审依据。谈判响应供应商自行提供的与网站信息不一致的其他证明材料亦不作为资格核对的依据。</w:t>
      </w:r>
    </w:p>
    <w:p w14:paraId="15AA74C1">
      <w:pPr>
        <w:adjustRightInd w:val="0"/>
        <w:snapToGrid w:val="0"/>
        <w:spacing w:line="420" w:lineRule="exact"/>
        <w:ind w:firstLine="485" w:firstLineChars="202"/>
        <w:outlineLvl w:val="1"/>
        <w:rPr>
          <w:b/>
          <w:bCs/>
          <w:sz w:val="24"/>
          <w:szCs w:val="24"/>
        </w:rPr>
      </w:pPr>
      <w:r>
        <w:rPr>
          <w:rFonts w:hint="eastAsia" w:cs="宋体"/>
          <w:b/>
          <w:bCs/>
          <w:sz w:val="24"/>
          <w:szCs w:val="24"/>
        </w:rPr>
        <w:t>三、评审</w:t>
      </w:r>
    </w:p>
    <w:p w14:paraId="474DD905">
      <w:pPr>
        <w:snapToGrid w:val="0"/>
        <w:spacing w:line="420" w:lineRule="exact"/>
        <w:ind w:firstLine="480" w:firstLineChars="200"/>
        <w:rPr>
          <w:sz w:val="24"/>
          <w:szCs w:val="24"/>
        </w:rPr>
      </w:pPr>
      <w:r>
        <w:rPr>
          <w:sz w:val="24"/>
          <w:szCs w:val="24"/>
        </w:rPr>
        <w:t>1.</w:t>
      </w:r>
      <w:bookmarkStart w:id="98" w:name="_Hlk45420967"/>
      <w:r>
        <w:rPr>
          <w:rFonts w:hint="eastAsia" w:cs="宋体"/>
          <w:sz w:val="24"/>
          <w:szCs w:val="24"/>
        </w:rPr>
        <w:t>资格审查后符合要求的谈判响应供应商不足</w:t>
      </w:r>
      <w:r>
        <w:rPr>
          <w:sz w:val="24"/>
          <w:szCs w:val="24"/>
        </w:rPr>
        <w:t>3</w:t>
      </w:r>
      <w:r>
        <w:rPr>
          <w:rFonts w:hint="eastAsia" w:cs="宋体"/>
          <w:sz w:val="24"/>
          <w:szCs w:val="24"/>
        </w:rPr>
        <w:t>家的，不得评审；</w:t>
      </w:r>
      <w:bookmarkEnd w:id="98"/>
    </w:p>
    <w:p w14:paraId="108B648B">
      <w:pPr>
        <w:snapToGrid w:val="0"/>
        <w:spacing w:line="420" w:lineRule="exact"/>
        <w:ind w:firstLine="480" w:firstLineChars="200"/>
        <w:rPr>
          <w:sz w:val="24"/>
          <w:szCs w:val="24"/>
        </w:rPr>
      </w:pPr>
      <w:r>
        <w:rPr>
          <w:sz w:val="24"/>
          <w:szCs w:val="24"/>
        </w:rPr>
        <w:t>2.</w:t>
      </w:r>
      <w:r>
        <w:rPr>
          <w:rFonts w:hint="eastAsia" w:cs="宋体"/>
          <w:sz w:val="24"/>
          <w:szCs w:val="24"/>
        </w:rPr>
        <w:t>评审谈判时间：</w:t>
      </w:r>
      <w:r>
        <w:rPr>
          <w:rFonts w:hint="eastAsia" w:cs="宋体"/>
          <w:b/>
          <w:bCs/>
          <w:sz w:val="24"/>
          <w:szCs w:val="24"/>
          <w:u w:val="thick" w:color="FF0000"/>
        </w:rPr>
        <w:t>资格审查后当即开始</w:t>
      </w:r>
      <w:r>
        <w:rPr>
          <w:rFonts w:hint="eastAsia" w:cs="宋体"/>
          <w:sz w:val="24"/>
          <w:szCs w:val="24"/>
        </w:rPr>
        <w:t>；</w:t>
      </w:r>
    </w:p>
    <w:p w14:paraId="4E9CE629">
      <w:pPr>
        <w:adjustRightInd w:val="0"/>
        <w:snapToGrid w:val="0"/>
        <w:spacing w:line="420" w:lineRule="exact"/>
        <w:ind w:firstLine="485" w:firstLineChars="202"/>
        <w:rPr>
          <w:b/>
          <w:bCs/>
          <w:sz w:val="24"/>
          <w:szCs w:val="24"/>
        </w:rPr>
      </w:pPr>
      <w:bookmarkStart w:id="99" w:name="_Hlk45421153"/>
      <w:r>
        <w:rPr>
          <w:b/>
          <w:bCs/>
          <w:sz w:val="24"/>
          <w:szCs w:val="24"/>
        </w:rPr>
        <w:t>3.</w:t>
      </w:r>
      <w:r>
        <w:rPr>
          <w:rFonts w:hint="eastAsia" w:cs="宋体"/>
          <w:b/>
          <w:bCs/>
          <w:sz w:val="24"/>
          <w:szCs w:val="24"/>
        </w:rPr>
        <w:t>采购代理机构负责组织评审谈判活动工作，并履行下列职责：</w:t>
      </w:r>
    </w:p>
    <w:p w14:paraId="74369F8A">
      <w:pPr>
        <w:adjustRightInd w:val="0"/>
        <w:snapToGrid w:val="0"/>
        <w:spacing w:line="420" w:lineRule="exact"/>
        <w:ind w:firstLine="484" w:firstLineChars="202"/>
        <w:rPr>
          <w:sz w:val="24"/>
          <w:szCs w:val="24"/>
        </w:rPr>
      </w:pPr>
      <w:r>
        <w:rPr>
          <w:rFonts w:hint="eastAsia" w:cs="宋体"/>
          <w:sz w:val="24"/>
          <w:szCs w:val="24"/>
        </w:rPr>
        <w:t>（</w:t>
      </w:r>
      <w:r>
        <w:rPr>
          <w:sz w:val="24"/>
          <w:szCs w:val="24"/>
        </w:rPr>
        <w:t>1</w:t>
      </w:r>
      <w:r>
        <w:rPr>
          <w:rFonts w:hint="eastAsia" w:cs="宋体"/>
          <w:sz w:val="24"/>
          <w:szCs w:val="24"/>
        </w:rPr>
        <w:t>）核对评审专家身份和采购人代表授权函，对评审专家在采购活动中的职责履行情况予以记录，并及时将有关违法违规行为向采购人的监管部门报告。</w:t>
      </w:r>
    </w:p>
    <w:p w14:paraId="6E935981">
      <w:pPr>
        <w:adjustRightInd w:val="0"/>
        <w:snapToGrid w:val="0"/>
        <w:spacing w:line="420" w:lineRule="exact"/>
        <w:ind w:firstLine="484" w:firstLineChars="202"/>
        <w:rPr>
          <w:sz w:val="24"/>
          <w:szCs w:val="24"/>
        </w:rPr>
      </w:pPr>
      <w:r>
        <w:rPr>
          <w:rFonts w:hint="eastAsia" w:cs="宋体"/>
          <w:sz w:val="24"/>
          <w:szCs w:val="24"/>
        </w:rPr>
        <w:t>（</w:t>
      </w:r>
      <w:r>
        <w:rPr>
          <w:sz w:val="24"/>
          <w:szCs w:val="24"/>
        </w:rPr>
        <w:t>2</w:t>
      </w:r>
      <w:r>
        <w:rPr>
          <w:rFonts w:hint="eastAsia" w:cs="宋体"/>
          <w:sz w:val="24"/>
          <w:szCs w:val="24"/>
        </w:rPr>
        <w:t>）宣布评审谈判活动纪律。</w:t>
      </w:r>
    </w:p>
    <w:p w14:paraId="25DDAB1E">
      <w:pPr>
        <w:adjustRightInd w:val="0"/>
        <w:snapToGrid w:val="0"/>
        <w:spacing w:line="420" w:lineRule="exact"/>
        <w:ind w:firstLine="484" w:firstLineChars="202"/>
        <w:rPr>
          <w:sz w:val="24"/>
          <w:szCs w:val="24"/>
        </w:rPr>
      </w:pPr>
      <w:r>
        <w:rPr>
          <w:rFonts w:hint="eastAsia" w:cs="宋体"/>
          <w:sz w:val="24"/>
          <w:szCs w:val="24"/>
        </w:rPr>
        <w:t>（</w:t>
      </w:r>
      <w:r>
        <w:rPr>
          <w:sz w:val="24"/>
          <w:szCs w:val="24"/>
        </w:rPr>
        <w:t>3</w:t>
      </w:r>
      <w:r>
        <w:rPr>
          <w:rFonts w:hint="eastAsia" w:cs="宋体"/>
          <w:sz w:val="24"/>
          <w:szCs w:val="24"/>
        </w:rPr>
        <w:t>）公布竞争性谈判响应供应商名单，告知评审专家应当回避的情形。</w:t>
      </w:r>
    </w:p>
    <w:p w14:paraId="43FA5E1D">
      <w:pPr>
        <w:adjustRightInd w:val="0"/>
        <w:snapToGrid w:val="0"/>
        <w:spacing w:line="420" w:lineRule="exact"/>
        <w:ind w:firstLine="484" w:firstLineChars="202"/>
        <w:rPr>
          <w:sz w:val="24"/>
          <w:szCs w:val="24"/>
        </w:rPr>
      </w:pPr>
      <w:r>
        <w:rPr>
          <w:rFonts w:hint="eastAsia" w:cs="宋体"/>
          <w:sz w:val="24"/>
          <w:szCs w:val="24"/>
        </w:rPr>
        <w:t>（</w:t>
      </w:r>
      <w:r>
        <w:rPr>
          <w:sz w:val="24"/>
          <w:szCs w:val="24"/>
        </w:rPr>
        <w:t>4</w:t>
      </w:r>
      <w:r>
        <w:rPr>
          <w:rFonts w:hint="eastAsia" w:cs="宋体"/>
          <w:sz w:val="24"/>
          <w:szCs w:val="24"/>
        </w:rPr>
        <w:t>）组织竞争性谈判小组推选评审谈判活动组长，采购人代表不得担任组长。</w:t>
      </w:r>
    </w:p>
    <w:p w14:paraId="76F94B8F">
      <w:pPr>
        <w:adjustRightInd w:val="0"/>
        <w:snapToGrid w:val="0"/>
        <w:spacing w:line="420" w:lineRule="exact"/>
        <w:ind w:firstLine="484" w:firstLineChars="202"/>
        <w:rPr>
          <w:sz w:val="24"/>
          <w:szCs w:val="24"/>
        </w:rPr>
      </w:pPr>
      <w:r>
        <w:rPr>
          <w:rFonts w:hint="eastAsia" w:cs="宋体"/>
          <w:sz w:val="24"/>
          <w:szCs w:val="24"/>
        </w:rPr>
        <w:t>（</w:t>
      </w:r>
      <w:r>
        <w:rPr>
          <w:sz w:val="24"/>
          <w:szCs w:val="24"/>
        </w:rPr>
        <w:t>5</w:t>
      </w:r>
      <w:r>
        <w:rPr>
          <w:rFonts w:hint="eastAsia" w:cs="宋体"/>
          <w:sz w:val="24"/>
          <w:szCs w:val="24"/>
        </w:rPr>
        <w:t>）在评审谈判活动期间采取必要的通讯管理措施，保证评审谈判活动活动不受外界干扰；除采购人代表、评审谈判活动现场的组织人员外，采购人的其他工作人员以及与评审谈判活动工作无关的人员不得进入评审谈判活动现场。</w:t>
      </w:r>
    </w:p>
    <w:p w14:paraId="54D4A2A9">
      <w:pPr>
        <w:adjustRightInd w:val="0"/>
        <w:snapToGrid w:val="0"/>
        <w:spacing w:line="420" w:lineRule="exact"/>
        <w:ind w:firstLine="484" w:firstLineChars="202"/>
        <w:rPr>
          <w:sz w:val="24"/>
          <w:szCs w:val="24"/>
        </w:rPr>
      </w:pPr>
      <w:r>
        <w:rPr>
          <w:rFonts w:hint="eastAsia" w:cs="宋体"/>
          <w:sz w:val="24"/>
          <w:szCs w:val="24"/>
        </w:rPr>
        <w:t>（</w:t>
      </w:r>
      <w:r>
        <w:rPr>
          <w:sz w:val="24"/>
          <w:szCs w:val="24"/>
        </w:rPr>
        <w:t>6</w:t>
      </w:r>
      <w:r>
        <w:rPr>
          <w:rFonts w:hint="eastAsia" w:cs="宋体"/>
          <w:sz w:val="24"/>
          <w:szCs w:val="24"/>
        </w:rPr>
        <w:t>）根据竞争性谈判小组的要求介绍采购相关政策法规、竞争性谈判文件。采购人、采购代理机构不得向竞争性谈判小组的评审专家作倾向性、误导性的解释或者说明。</w:t>
      </w:r>
    </w:p>
    <w:p w14:paraId="7C711504">
      <w:pPr>
        <w:adjustRightInd w:val="0"/>
        <w:snapToGrid w:val="0"/>
        <w:spacing w:line="420" w:lineRule="exact"/>
        <w:ind w:firstLine="484" w:firstLineChars="202"/>
        <w:rPr>
          <w:sz w:val="24"/>
          <w:szCs w:val="24"/>
        </w:rPr>
      </w:pPr>
      <w:r>
        <w:rPr>
          <w:rFonts w:hint="eastAsia" w:cs="宋体"/>
          <w:sz w:val="24"/>
          <w:szCs w:val="24"/>
        </w:rPr>
        <w:t>（</w:t>
      </w:r>
      <w:r>
        <w:rPr>
          <w:sz w:val="24"/>
          <w:szCs w:val="24"/>
        </w:rPr>
        <w:t>7</w:t>
      </w:r>
      <w:r>
        <w:rPr>
          <w:rFonts w:hint="eastAsia" w:cs="宋体"/>
          <w:sz w:val="24"/>
          <w:szCs w:val="24"/>
        </w:rPr>
        <w:t>）维护评审谈判活动秩序，监督竞争性谈判小组依照竞争性谈判文件规定的评审谈判活动程序、方法和标准进行独立评审，及时制止和纠正采购人代表、评审专家的倾向性言论或者违法违规行为；采购人可以在评审谈判活动前说明项目背景和采购需求，说明内容不得含有歧视性、倾向性意见，不得超出竞争性谈判文件所述范围。说明应当提交书面材料，并随采购文件一并存档。</w:t>
      </w:r>
    </w:p>
    <w:p w14:paraId="194042AD">
      <w:pPr>
        <w:adjustRightInd w:val="0"/>
        <w:snapToGrid w:val="0"/>
        <w:spacing w:line="420" w:lineRule="exact"/>
        <w:ind w:firstLine="484" w:firstLineChars="202"/>
        <w:rPr>
          <w:b/>
          <w:bCs/>
          <w:sz w:val="24"/>
          <w:szCs w:val="24"/>
        </w:rPr>
      </w:pPr>
      <w:r>
        <w:rPr>
          <w:rFonts w:hint="eastAsia" w:cs="宋体"/>
          <w:sz w:val="24"/>
          <w:szCs w:val="24"/>
        </w:rPr>
        <w:t>（</w:t>
      </w:r>
      <w:r>
        <w:rPr>
          <w:sz w:val="24"/>
          <w:szCs w:val="24"/>
        </w:rPr>
        <w:t>8</w:t>
      </w:r>
      <w:r>
        <w:rPr>
          <w:rFonts w:hint="eastAsia" w:cs="宋体"/>
          <w:sz w:val="24"/>
          <w:szCs w:val="24"/>
        </w:rPr>
        <w:t>）</w:t>
      </w:r>
      <w:r>
        <w:rPr>
          <w:rFonts w:hint="eastAsia" w:cs="宋体"/>
          <w:b/>
          <w:bCs/>
          <w:sz w:val="24"/>
          <w:szCs w:val="24"/>
        </w:rPr>
        <w:t>核对评审谈判活动结果，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采购人的监管部门。</w:t>
      </w:r>
    </w:p>
    <w:p w14:paraId="514AA304">
      <w:pPr>
        <w:adjustRightInd w:val="0"/>
        <w:snapToGrid w:val="0"/>
        <w:spacing w:line="420" w:lineRule="exact"/>
        <w:ind w:firstLine="484" w:firstLineChars="202"/>
        <w:rPr>
          <w:sz w:val="24"/>
          <w:szCs w:val="24"/>
        </w:rPr>
      </w:pPr>
      <w:r>
        <w:rPr>
          <w:rFonts w:hint="eastAsia" w:cs="宋体"/>
          <w:sz w:val="24"/>
          <w:szCs w:val="24"/>
        </w:rPr>
        <w:t>（</w:t>
      </w:r>
      <w:r>
        <w:rPr>
          <w:sz w:val="24"/>
          <w:szCs w:val="24"/>
        </w:rPr>
        <w:t>9</w:t>
      </w:r>
      <w:r>
        <w:rPr>
          <w:rFonts w:hint="eastAsia" w:cs="宋体"/>
          <w:sz w:val="24"/>
          <w:szCs w:val="24"/>
        </w:rPr>
        <w:t>）处理与评审谈判活动有关的其他事项。</w:t>
      </w:r>
    </w:p>
    <w:bookmarkEnd w:id="99"/>
    <w:p w14:paraId="375CA4D3">
      <w:pPr>
        <w:adjustRightInd w:val="0"/>
        <w:snapToGrid w:val="0"/>
        <w:spacing w:line="420" w:lineRule="exact"/>
        <w:ind w:firstLine="485" w:firstLineChars="202"/>
        <w:rPr>
          <w:b/>
          <w:bCs/>
          <w:sz w:val="24"/>
          <w:szCs w:val="24"/>
        </w:rPr>
      </w:pPr>
      <w:r>
        <w:rPr>
          <w:b/>
          <w:bCs/>
          <w:sz w:val="24"/>
          <w:szCs w:val="24"/>
        </w:rPr>
        <w:t>4.</w:t>
      </w:r>
      <w:r>
        <w:rPr>
          <w:rFonts w:hint="eastAsia" w:cs="宋体"/>
          <w:b/>
          <w:bCs/>
          <w:sz w:val="24"/>
          <w:szCs w:val="24"/>
        </w:rPr>
        <w:t>竞争性谈判小组负责具体的竞争性谈判评审事务，并履行以下职责：</w:t>
      </w:r>
    </w:p>
    <w:p w14:paraId="782BFA5B">
      <w:pPr>
        <w:adjustRightInd w:val="0"/>
        <w:snapToGrid w:val="0"/>
        <w:spacing w:line="420" w:lineRule="exact"/>
        <w:ind w:firstLine="484" w:firstLineChars="202"/>
        <w:rPr>
          <w:sz w:val="24"/>
          <w:szCs w:val="24"/>
        </w:rPr>
      </w:pPr>
      <w:r>
        <w:rPr>
          <w:rFonts w:hint="eastAsia" w:cs="宋体"/>
          <w:sz w:val="24"/>
          <w:szCs w:val="24"/>
        </w:rPr>
        <w:t>（</w:t>
      </w:r>
      <w:r>
        <w:rPr>
          <w:sz w:val="24"/>
          <w:szCs w:val="24"/>
        </w:rPr>
        <w:t>1</w:t>
      </w:r>
      <w:r>
        <w:rPr>
          <w:rFonts w:hint="eastAsia" w:cs="宋体"/>
          <w:sz w:val="24"/>
          <w:szCs w:val="24"/>
        </w:rPr>
        <w:t>）审查合格竞争性谈判响应供应商的技术响应文件是否实质性响应竞争性谈判文件要求，并做出评价；</w:t>
      </w:r>
    </w:p>
    <w:p w14:paraId="4A306EBE">
      <w:pPr>
        <w:adjustRightInd w:val="0"/>
        <w:snapToGrid w:val="0"/>
        <w:spacing w:line="420" w:lineRule="exact"/>
        <w:ind w:firstLine="484" w:firstLineChars="202"/>
        <w:rPr>
          <w:sz w:val="24"/>
          <w:szCs w:val="24"/>
        </w:rPr>
      </w:pPr>
      <w:r>
        <w:rPr>
          <w:rFonts w:hint="eastAsia" w:cs="宋体"/>
          <w:sz w:val="24"/>
          <w:szCs w:val="24"/>
        </w:rPr>
        <w:t>（</w:t>
      </w:r>
      <w:r>
        <w:rPr>
          <w:sz w:val="24"/>
          <w:szCs w:val="24"/>
        </w:rPr>
        <w:t>2</w:t>
      </w:r>
      <w:r>
        <w:rPr>
          <w:rFonts w:hint="eastAsia" w:cs="宋体"/>
          <w:sz w:val="24"/>
          <w:szCs w:val="24"/>
        </w:rPr>
        <w:t>）可以要求竞争性谈判响应供应商对竞争性谈判响应文件中的有关事项做出解释或澄清；</w:t>
      </w:r>
    </w:p>
    <w:p w14:paraId="3F154843">
      <w:pPr>
        <w:adjustRightInd w:val="0"/>
        <w:snapToGrid w:val="0"/>
        <w:spacing w:line="420" w:lineRule="exact"/>
        <w:ind w:firstLine="484" w:firstLineChars="202"/>
        <w:rPr>
          <w:rFonts w:cs="宋体"/>
          <w:sz w:val="24"/>
          <w:szCs w:val="24"/>
        </w:rPr>
      </w:pPr>
      <w:r>
        <w:rPr>
          <w:rFonts w:hint="eastAsia" w:cs="宋体"/>
          <w:sz w:val="24"/>
          <w:szCs w:val="24"/>
        </w:rPr>
        <w:t>（</w:t>
      </w:r>
      <w:r>
        <w:rPr>
          <w:rFonts w:cs="宋体"/>
          <w:sz w:val="24"/>
          <w:szCs w:val="24"/>
        </w:rPr>
        <w:t>3</w:t>
      </w:r>
      <w:r>
        <w:rPr>
          <w:rFonts w:hint="eastAsia" w:cs="宋体"/>
          <w:sz w:val="24"/>
          <w:szCs w:val="24"/>
        </w:rPr>
        <w:t>）采购人授权竞争性谈判小组根据质量和服务均能满足采购文件实质性响应要求且最后报价最低的原则，推荐报价由低到高排序1、2、3的供应商为成交候选人，并确定本项目报价最低的为成交人。</w:t>
      </w:r>
    </w:p>
    <w:p w14:paraId="2E8218FE">
      <w:pPr>
        <w:snapToGrid w:val="0"/>
        <w:spacing w:line="420" w:lineRule="exact"/>
        <w:ind w:left="2" w:firstLine="484" w:firstLineChars="202"/>
        <w:rPr>
          <w:sz w:val="24"/>
          <w:szCs w:val="24"/>
        </w:rPr>
      </w:pPr>
      <w:r>
        <w:rPr>
          <w:rFonts w:hint="eastAsia" w:cs="宋体"/>
          <w:sz w:val="24"/>
          <w:szCs w:val="24"/>
        </w:rPr>
        <w:t>（</w:t>
      </w:r>
      <w:r>
        <w:rPr>
          <w:sz w:val="24"/>
          <w:szCs w:val="24"/>
        </w:rPr>
        <w:t>4</w:t>
      </w:r>
      <w:r>
        <w:rPr>
          <w:rFonts w:hint="eastAsia" w:cs="宋体"/>
          <w:sz w:val="24"/>
          <w:szCs w:val="24"/>
        </w:rPr>
        <w:t>）竞争性谈判小组发现竞争性谈判文件存在歧义、重大缺陷导致评审谈判活动竞争性谈判工作无法进行，或者竞争性谈判文件内容违反国家有关强制性规定的，应当停止竞争性谈判评审工作</w:t>
      </w:r>
      <w:r>
        <w:rPr>
          <w:rFonts w:hint="eastAsia"/>
          <w:sz w:val="24"/>
          <w:szCs w:val="24"/>
        </w:rPr>
        <w:t>并向采购人或者采购代理机构说明情况</w:t>
      </w:r>
      <w:r>
        <w:rPr>
          <w:rFonts w:hint="eastAsia" w:cs="宋体"/>
          <w:sz w:val="24"/>
          <w:szCs w:val="24"/>
        </w:rPr>
        <w:t>且作书面记录。采购人或者采购代理机构确认后，应当修改竞争性谈判文件，重新组织采购活动。</w:t>
      </w:r>
    </w:p>
    <w:p w14:paraId="50059C44">
      <w:pPr>
        <w:adjustRightInd w:val="0"/>
        <w:snapToGrid w:val="0"/>
        <w:spacing w:line="420" w:lineRule="exact"/>
        <w:ind w:firstLine="485" w:firstLineChars="202"/>
        <w:rPr>
          <w:b/>
          <w:bCs/>
          <w:sz w:val="24"/>
          <w:szCs w:val="24"/>
        </w:rPr>
      </w:pPr>
      <w:r>
        <w:rPr>
          <w:b/>
          <w:bCs/>
          <w:sz w:val="24"/>
          <w:szCs w:val="24"/>
        </w:rPr>
        <w:t>5.</w:t>
      </w:r>
      <w:r>
        <w:rPr>
          <w:rFonts w:hint="eastAsia" w:cs="宋体"/>
          <w:b/>
          <w:bCs/>
          <w:sz w:val="24"/>
          <w:szCs w:val="24"/>
        </w:rPr>
        <w:t>竞争性谈判小组成员应当独立履行下列义务：</w:t>
      </w:r>
    </w:p>
    <w:p w14:paraId="0248CE4C">
      <w:pPr>
        <w:adjustRightInd w:val="0"/>
        <w:snapToGrid w:val="0"/>
        <w:spacing w:line="420" w:lineRule="exact"/>
        <w:ind w:firstLine="484" w:firstLineChars="202"/>
        <w:rPr>
          <w:sz w:val="24"/>
          <w:szCs w:val="24"/>
        </w:rPr>
      </w:pPr>
      <w:r>
        <w:rPr>
          <w:rFonts w:hint="eastAsia" w:cs="宋体"/>
          <w:sz w:val="24"/>
          <w:szCs w:val="24"/>
        </w:rPr>
        <w:t>（</w:t>
      </w:r>
      <w:r>
        <w:rPr>
          <w:sz w:val="24"/>
          <w:szCs w:val="24"/>
        </w:rPr>
        <w:t>1</w:t>
      </w:r>
      <w:r>
        <w:rPr>
          <w:rFonts w:hint="eastAsia" w:cs="宋体"/>
          <w:sz w:val="24"/>
          <w:szCs w:val="24"/>
        </w:rPr>
        <w:t>）遵纪守法，客观、公正、廉洁地履行职责；</w:t>
      </w:r>
    </w:p>
    <w:p w14:paraId="3E1EFB2C">
      <w:pPr>
        <w:adjustRightInd w:val="0"/>
        <w:snapToGrid w:val="0"/>
        <w:spacing w:line="420" w:lineRule="exact"/>
        <w:ind w:firstLine="484" w:firstLineChars="202"/>
        <w:rPr>
          <w:sz w:val="24"/>
          <w:szCs w:val="24"/>
        </w:rPr>
      </w:pPr>
      <w:r>
        <w:rPr>
          <w:rFonts w:hint="eastAsia" w:cs="宋体"/>
          <w:sz w:val="24"/>
          <w:szCs w:val="24"/>
        </w:rPr>
        <w:t>（</w:t>
      </w:r>
      <w:r>
        <w:rPr>
          <w:sz w:val="24"/>
          <w:szCs w:val="24"/>
        </w:rPr>
        <w:t>2</w:t>
      </w:r>
      <w:r>
        <w:rPr>
          <w:rFonts w:hint="eastAsia" w:cs="宋体"/>
          <w:sz w:val="24"/>
          <w:szCs w:val="24"/>
        </w:rPr>
        <w:t>）竞争性谈判小组成员应当按照客观、公正、审慎的原则，根据竞争性谈判文件规定的评审程序、评审方法和评审标准进行独立评审。</w:t>
      </w:r>
      <w:r>
        <w:rPr>
          <w:rFonts w:hint="eastAsia"/>
          <w:sz w:val="24"/>
          <w:szCs w:val="24"/>
        </w:rPr>
        <w:t>竞争性谈判文件内容违反国家有关强制性规定的，竞争性谈判小组应当停止评审。</w:t>
      </w:r>
    </w:p>
    <w:p w14:paraId="45969E5A">
      <w:pPr>
        <w:adjustRightInd w:val="0"/>
        <w:snapToGrid w:val="0"/>
        <w:spacing w:line="420" w:lineRule="exact"/>
        <w:ind w:firstLine="484" w:firstLineChars="202"/>
        <w:rPr>
          <w:sz w:val="24"/>
          <w:szCs w:val="24"/>
        </w:rPr>
      </w:pPr>
      <w:r>
        <w:rPr>
          <w:rFonts w:hint="eastAsia" w:cs="宋体"/>
          <w:sz w:val="24"/>
          <w:szCs w:val="24"/>
        </w:rPr>
        <w:t>（</w:t>
      </w:r>
      <w:r>
        <w:rPr>
          <w:sz w:val="24"/>
          <w:szCs w:val="24"/>
        </w:rPr>
        <w:t>3</w:t>
      </w:r>
      <w:r>
        <w:rPr>
          <w:rFonts w:hint="eastAsia" w:cs="宋体"/>
          <w:sz w:val="24"/>
          <w:szCs w:val="24"/>
        </w:rPr>
        <w:t>）竞争性谈判小组成员应当遵守评审工作纪律，不得泄露竞争性谈判评审情况和竞争性谈判评审中获悉的商业秘密；</w:t>
      </w:r>
    </w:p>
    <w:p w14:paraId="3E45CB98">
      <w:pPr>
        <w:adjustRightInd w:val="0"/>
        <w:snapToGrid w:val="0"/>
        <w:spacing w:line="420" w:lineRule="exact"/>
        <w:ind w:firstLine="484" w:firstLineChars="202"/>
        <w:rPr>
          <w:sz w:val="24"/>
          <w:szCs w:val="24"/>
        </w:rPr>
      </w:pPr>
      <w:r>
        <w:rPr>
          <w:rFonts w:hint="eastAsia" w:cs="宋体"/>
          <w:sz w:val="24"/>
          <w:szCs w:val="24"/>
        </w:rPr>
        <w:t>（</w:t>
      </w:r>
      <w:r>
        <w:rPr>
          <w:sz w:val="24"/>
          <w:szCs w:val="24"/>
        </w:rPr>
        <w:t>4</w:t>
      </w:r>
      <w:r>
        <w:rPr>
          <w:rFonts w:hint="eastAsia" w:cs="宋体"/>
          <w:sz w:val="24"/>
          <w:szCs w:val="24"/>
        </w:rPr>
        <w:t>）竞争性谈判评审程序中的有关记录由竞争性谈判小组成员签名，存档备查。</w:t>
      </w:r>
    </w:p>
    <w:p w14:paraId="16A06B73">
      <w:pPr>
        <w:adjustRightInd w:val="0"/>
        <w:snapToGrid w:val="0"/>
        <w:spacing w:line="420" w:lineRule="exact"/>
        <w:ind w:firstLine="484" w:firstLineChars="202"/>
        <w:rPr>
          <w:sz w:val="24"/>
          <w:szCs w:val="24"/>
        </w:rPr>
      </w:pPr>
      <w:r>
        <w:rPr>
          <w:rFonts w:hint="eastAsia"/>
          <w:sz w:val="24"/>
          <w:szCs w:val="24"/>
        </w:rPr>
        <w:t>（</w:t>
      </w:r>
      <w:r>
        <w:rPr>
          <w:sz w:val="24"/>
          <w:szCs w:val="24"/>
        </w:rPr>
        <w:t>5</w:t>
      </w:r>
      <w:r>
        <w:rPr>
          <w:rFonts w:hint="eastAsia"/>
          <w:sz w:val="24"/>
          <w:szCs w:val="24"/>
        </w:rPr>
        <w:t>）竞争性谈判小组成员应当在评审报告上签字，对自己的评审意见承担法律责任。对评审报告有异议的，应当在评审报告上签署不同意见，并说明理由，否则视为同意评审报告。</w:t>
      </w:r>
    </w:p>
    <w:p w14:paraId="2346DD77">
      <w:pPr>
        <w:adjustRightInd w:val="0"/>
        <w:snapToGrid w:val="0"/>
        <w:spacing w:line="420" w:lineRule="exact"/>
        <w:ind w:firstLine="484" w:firstLineChars="202"/>
        <w:rPr>
          <w:sz w:val="24"/>
          <w:szCs w:val="24"/>
        </w:rPr>
      </w:pPr>
      <w:r>
        <w:rPr>
          <w:rFonts w:hint="eastAsia" w:cs="宋体"/>
          <w:sz w:val="24"/>
          <w:szCs w:val="24"/>
        </w:rPr>
        <w:t>（</w:t>
      </w:r>
      <w:r>
        <w:rPr>
          <w:sz w:val="24"/>
          <w:szCs w:val="24"/>
        </w:rPr>
        <w:t>6</w:t>
      </w:r>
      <w:r>
        <w:rPr>
          <w:rFonts w:hint="eastAsia" w:cs="宋体"/>
          <w:sz w:val="24"/>
          <w:szCs w:val="24"/>
        </w:rPr>
        <w:t>）竞争性谈判小组成员在评审过程中发现供应商有行贿、提供虚假材料或者串通等违法行为的，应当及时向采购人的监管部门报告。</w:t>
      </w:r>
    </w:p>
    <w:p w14:paraId="70AAEB08">
      <w:pPr>
        <w:adjustRightInd w:val="0"/>
        <w:snapToGrid w:val="0"/>
        <w:spacing w:line="420" w:lineRule="exact"/>
        <w:ind w:firstLine="484" w:firstLineChars="202"/>
        <w:rPr>
          <w:sz w:val="24"/>
          <w:szCs w:val="24"/>
        </w:rPr>
      </w:pPr>
      <w:r>
        <w:rPr>
          <w:rFonts w:hint="eastAsia" w:cs="宋体"/>
          <w:sz w:val="24"/>
          <w:szCs w:val="24"/>
        </w:rPr>
        <w:t>（</w:t>
      </w:r>
      <w:r>
        <w:rPr>
          <w:sz w:val="24"/>
          <w:szCs w:val="24"/>
        </w:rPr>
        <w:t>7</w:t>
      </w:r>
      <w:r>
        <w:rPr>
          <w:rFonts w:hint="eastAsia" w:cs="宋体"/>
          <w:sz w:val="24"/>
          <w:szCs w:val="24"/>
        </w:rPr>
        <w:t>）竞争性谈判小组成员在竞争性谈判评审过程中受到非法干预的，应当及时向采购人的监管部门举报。</w:t>
      </w:r>
    </w:p>
    <w:p w14:paraId="680772B6">
      <w:pPr>
        <w:adjustRightInd w:val="0"/>
        <w:snapToGrid w:val="0"/>
        <w:spacing w:line="420" w:lineRule="exact"/>
        <w:ind w:firstLine="484" w:firstLineChars="202"/>
        <w:rPr>
          <w:sz w:val="24"/>
          <w:szCs w:val="24"/>
        </w:rPr>
      </w:pPr>
      <w:r>
        <w:rPr>
          <w:rFonts w:hint="eastAsia" w:cs="宋体"/>
          <w:sz w:val="24"/>
          <w:szCs w:val="24"/>
        </w:rPr>
        <w:t>（</w:t>
      </w:r>
      <w:r>
        <w:rPr>
          <w:sz w:val="24"/>
          <w:szCs w:val="24"/>
        </w:rPr>
        <w:t>8</w:t>
      </w:r>
      <w:r>
        <w:rPr>
          <w:rFonts w:hint="eastAsia" w:cs="宋体"/>
          <w:sz w:val="24"/>
          <w:szCs w:val="24"/>
        </w:rPr>
        <w:t>）竞争性谈判小组成员有义务及责任配合采购人答复供应商提出的质疑，配合相应监管部门的投诉处理和监督检查工作。</w:t>
      </w:r>
    </w:p>
    <w:p w14:paraId="00C8A409">
      <w:pPr>
        <w:adjustRightInd w:val="0"/>
        <w:snapToGrid w:val="0"/>
        <w:spacing w:line="420" w:lineRule="exact"/>
        <w:ind w:firstLine="485" w:firstLineChars="202"/>
        <w:rPr>
          <w:b/>
          <w:bCs/>
          <w:sz w:val="24"/>
          <w:szCs w:val="24"/>
        </w:rPr>
      </w:pPr>
      <w:r>
        <w:rPr>
          <w:rFonts w:hint="eastAsia"/>
          <w:b/>
          <w:bCs/>
          <w:sz w:val="24"/>
          <w:szCs w:val="24"/>
        </w:rPr>
        <w:t>6.竞争性谈判小组成员参与项目评审活动前应当禁止的情形：</w:t>
      </w:r>
    </w:p>
    <w:p w14:paraId="2C49A0AC">
      <w:pPr>
        <w:adjustRightInd w:val="0"/>
        <w:snapToGrid w:val="0"/>
        <w:spacing w:line="420" w:lineRule="exact"/>
        <w:ind w:firstLine="484" w:firstLineChars="202"/>
        <w:rPr>
          <w:sz w:val="24"/>
          <w:szCs w:val="24"/>
        </w:rPr>
      </w:pPr>
      <w:r>
        <w:rPr>
          <w:rFonts w:hint="eastAsia"/>
          <w:sz w:val="24"/>
          <w:szCs w:val="24"/>
        </w:rPr>
        <w:t>（1）未将通讯工具交由采购人或采购代理机构统一保管；</w:t>
      </w:r>
    </w:p>
    <w:p w14:paraId="1FA5B131">
      <w:pPr>
        <w:adjustRightInd w:val="0"/>
        <w:snapToGrid w:val="0"/>
        <w:spacing w:line="420" w:lineRule="exact"/>
        <w:ind w:firstLine="484" w:firstLineChars="202"/>
        <w:rPr>
          <w:sz w:val="24"/>
          <w:szCs w:val="24"/>
        </w:rPr>
      </w:pPr>
      <w:r>
        <w:rPr>
          <w:rFonts w:hint="eastAsia"/>
          <w:sz w:val="24"/>
          <w:szCs w:val="24"/>
        </w:rPr>
        <w:t>（2）与供应商存在利害关系未回避；</w:t>
      </w:r>
    </w:p>
    <w:p w14:paraId="328B6773">
      <w:pPr>
        <w:adjustRightInd w:val="0"/>
        <w:snapToGrid w:val="0"/>
        <w:spacing w:line="420" w:lineRule="exact"/>
        <w:ind w:firstLine="484" w:firstLineChars="202"/>
        <w:rPr>
          <w:sz w:val="24"/>
          <w:szCs w:val="24"/>
        </w:rPr>
      </w:pPr>
      <w:r>
        <w:rPr>
          <w:rFonts w:hint="eastAsia"/>
          <w:sz w:val="24"/>
          <w:szCs w:val="24"/>
        </w:rPr>
        <w:t>（3）收受采购人、采购代理机构、供应商贿赂或者获取其他不正当利益；</w:t>
      </w:r>
    </w:p>
    <w:p w14:paraId="290C8347">
      <w:pPr>
        <w:adjustRightInd w:val="0"/>
        <w:snapToGrid w:val="0"/>
        <w:spacing w:line="420" w:lineRule="exact"/>
        <w:ind w:firstLine="484" w:firstLineChars="202"/>
        <w:rPr>
          <w:sz w:val="24"/>
          <w:szCs w:val="24"/>
        </w:rPr>
      </w:pPr>
      <w:r>
        <w:rPr>
          <w:rFonts w:hint="eastAsia"/>
          <w:sz w:val="24"/>
          <w:szCs w:val="24"/>
        </w:rPr>
        <w:t>（4）确定参与本项目评审至评审活动结束前私自接触供应商；</w:t>
      </w:r>
    </w:p>
    <w:p w14:paraId="60150A7A">
      <w:pPr>
        <w:adjustRightInd w:val="0"/>
        <w:snapToGrid w:val="0"/>
        <w:spacing w:line="420" w:lineRule="exact"/>
        <w:ind w:firstLine="485" w:firstLineChars="202"/>
        <w:rPr>
          <w:b/>
          <w:bCs/>
          <w:sz w:val="24"/>
          <w:szCs w:val="24"/>
        </w:rPr>
      </w:pPr>
      <w:r>
        <w:rPr>
          <w:rFonts w:hint="eastAsia"/>
          <w:b/>
          <w:bCs/>
          <w:sz w:val="24"/>
          <w:szCs w:val="24"/>
        </w:rPr>
        <w:t>7.竞争性谈判小组成员参与项目评审活动过程中应当禁止的情形：</w:t>
      </w:r>
    </w:p>
    <w:p w14:paraId="223FDE0D">
      <w:pPr>
        <w:adjustRightInd w:val="0"/>
        <w:snapToGrid w:val="0"/>
        <w:spacing w:line="420" w:lineRule="exact"/>
        <w:ind w:firstLine="484" w:firstLineChars="202"/>
        <w:rPr>
          <w:sz w:val="24"/>
          <w:szCs w:val="24"/>
        </w:rPr>
      </w:pPr>
      <w:r>
        <w:rPr>
          <w:rFonts w:hint="eastAsia"/>
          <w:sz w:val="24"/>
          <w:szCs w:val="24"/>
        </w:rPr>
        <w:t>（1）未按照采购文件规定的评审程序、评审方法和评审标准进行独立评审；</w:t>
      </w:r>
    </w:p>
    <w:p w14:paraId="07364DED">
      <w:pPr>
        <w:adjustRightInd w:val="0"/>
        <w:snapToGrid w:val="0"/>
        <w:spacing w:line="420" w:lineRule="exact"/>
        <w:ind w:firstLine="484" w:firstLineChars="202"/>
        <w:rPr>
          <w:sz w:val="24"/>
          <w:szCs w:val="24"/>
        </w:rPr>
      </w:pPr>
      <w:r>
        <w:rPr>
          <w:rFonts w:hint="eastAsia"/>
          <w:sz w:val="24"/>
          <w:szCs w:val="24"/>
        </w:rPr>
        <w:t>（2）除竞争性谈判响应文件中含义不明确、同类问题表述不一致或者有明显文字和计算错误情形外，接受竞争性谈判响应供应商提出的与竞争性谈判响应文件不一致的澄清或者说明；</w:t>
      </w:r>
    </w:p>
    <w:p w14:paraId="49582F39">
      <w:pPr>
        <w:adjustRightInd w:val="0"/>
        <w:snapToGrid w:val="0"/>
        <w:spacing w:line="420" w:lineRule="exact"/>
        <w:ind w:firstLine="484" w:firstLineChars="202"/>
        <w:rPr>
          <w:sz w:val="24"/>
          <w:szCs w:val="24"/>
        </w:rPr>
      </w:pPr>
      <w:r>
        <w:rPr>
          <w:rFonts w:hint="eastAsia"/>
          <w:sz w:val="24"/>
          <w:szCs w:val="24"/>
        </w:rPr>
        <w:t>（3）违反评审纪律发表倾向性意见或者征询采购人的倾向性意见；</w:t>
      </w:r>
    </w:p>
    <w:p w14:paraId="57188B67">
      <w:pPr>
        <w:adjustRightInd w:val="0"/>
        <w:snapToGrid w:val="0"/>
        <w:spacing w:line="420" w:lineRule="exact"/>
        <w:ind w:firstLine="484" w:firstLineChars="202"/>
        <w:rPr>
          <w:sz w:val="24"/>
          <w:szCs w:val="24"/>
        </w:rPr>
      </w:pPr>
      <w:r>
        <w:rPr>
          <w:rFonts w:hint="eastAsia"/>
          <w:sz w:val="24"/>
          <w:szCs w:val="24"/>
        </w:rPr>
        <w:t>（</w:t>
      </w:r>
      <w:r>
        <w:rPr>
          <w:sz w:val="24"/>
          <w:szCs w:val="24"/>
        </w:rPr>
        <w:t>4</w:t>
      </w:r>
      <w:r>
        <w:rPr>
          <w:rFonts w:hint="eastAsia"/>
          <w:sz w:val="24"/>
          <w:szCs w:val="24"/>
        </w:rPr>
        <w:t>）在评审过程中擅离职守，影响评审程序正常进行；</w:t>
      </w:r>
    </w:p>
    <w:p w14:paraId="63A8C542">
      <w:pPr>
        <w:adjustRightInd w:val="0"/>
        <w:snapToGrid w:val="0"/>
        <w:spacing w:line="420" w:lineRule="exact"/>
        <w:ind w:firstLine="484" w:firstLineChars="202"/>
        <w:rPr>
          <w:sz w:val="24"/>
          <w:szCs w:val="24"/>
        </w:rPr>
      </w:pPr>
      <w:r>
        <w:rPr>
          <w:rFonts w:hint="eastAsia"/>
          <w:sz w:val="24"/>
          <w:szCs w:val="24"/>
        </w:rPr>
        <w:t>（</w:t>
      </w:r>
      <w:r>
        <w:rPr>
          <w:sz w:val="24"/>
          <w:szCs w:val="24"/>
        </w:rPr>
        <w:t>5</w:t>
      </w:r>
      <w:r>
        <w:rPr>
          <w:rFonts w:hint="eastAsia"/>
          <w:sz w:val="24"/>
          <w:szCs w:val="24"/>
        </w:rPr>
        <w:t>）拒绝在评审报告上签字，或者有异议不签署不同意见并说明原因；</w:t>
      </w:r>
    </w:p>
    <w:p w14:paraId="5CA462D2">
      <w:pPr>
        <w:adjustRightInd w:val="0"/>
        <w:snapToGrid w:val="0"/>
        <w:spacing w:line="420" w:lineRule="exact"/>
        <w:ind w:firstLine="484" w:firstLineChars="202"/>
        <w:rPr>
          <w:sz w:val="24"/>
          <w:szCs w:val="24"/>
        </w:rPr>
      </w:pPr>
      <w:r>
        <w:rPr>
          <w:rFonts w:hint="eastAsia"/>
          <w:sz w:val="24"/>
          <w:szCs w:val="24"/>
        </w:rPr>
        <w:t>（</w:t>
      </w:r>
      <w:r>
        <w:rPr>
          <w:sz w:val="24"/>
          <w:szCs w:val="24"/>
        </w:rPr>
        <w:t>6</w:t>
      </w:r>
      <w:r>
        <w:rPr>
          <w:rFonts w:hint="eastAsia"/>
          <w:sz w:val="24"/>
          <w:szCs w:val="24"/>
        </w:rPr>
        <w:t>）未要求报价明显偏低的供应商提供合理说明；</w:t>
      </w:r>
    </w:p>
    <w:p w14:paraId="296FF712">
      <w:pPr>
        <w:adjustRightInd w:val="0"/>
        <w:snapToGrid w:val="0"/>
        <w:spacing w:line="420" w:lineRule="exact"/>
        <w:ind w:firstLine="484" w:firstLineChars="202"/>
        <w:rPr>
          <w:sz w:val="24"/>
          <w:szCs w:val="24"/>
        </w:rPr>
      </w:pPr>
      <w:r>
        <w:rPr>
          <w:rFonts w:hint="eastAsia"/>
          <w:sz w:val="24"/>
          <w:szCs w:val="24"/>
        </w:rPr>
        <w:t>（</w:t>
      </w:r>
      <w:r>
        <w:rPr>
          <w:sz w:val="24"/>
          <w:szCs w:val="24"/>
        </w:rPr>
        <w:t>7</w:t>
      </w:r>
      <w:r>
        <w:rPr>
          <w:rFonts w:hint="eastAsia"/>
          <w:sz w:val="24"/>
          <w:szCs w:val="24"/>
        </w:rPr>
        <w:t>）评审现场未对供应商报价等重要数据履行核对义务；</w:t>
      </w:r>
    </w:p>
    <w:p w14:paraId="47662CC7">
      <w:pPr>
        <w:adjustRightInd w:val="0"/>
        <w:snapToGrid w:val="0"/>
        <w:spacing w:line="420" w:lineRule="exact"/>
        <w:ind w:firstLine="484" w:firstLineChars="202"/>
        <w:rPr>
          <w:sz w:val="24"/>
          <w:szCs w:val="24"/>
        </w:rPr>
      </w:pPr>
      <w:r>
        <w:rPr>
          <w:rFonts w:hint="eastAsia"/>
          <w:sz w:val="24"/>
          <w:szCs w:val="24"/>
        </w:rPr>
        <w:t>（</w:t>
      </w:r>
      <w:r>
        <w:rPr>
          <w:sz w:val="24"/>
          <w:szCs w:val="24"/>
        </w:rPr>
        <w:t>8</w:t>
      </w:r>
      <w:r>
        <w:rPr>
          <w:rFonts w:hint="eastAsia"/>
          <w:sz w:val="24"/>
          <w:szCs w:val="24"/>
        </w:rPr>
        <w:t>）评审过程中发现供应商有行贿、提供虚假材料或者串通等违法行为，不及时向采购人的监管部门报告；</w:t>
      </w:r>
    </w:p>
    <w:p w14:paraId="35D0B3D2">
      <w:pPr>
        <w:adjustRightInd w:val="0"/>
        <w:snapToGrid w:val="0"/>
        <w:spacing w:line="420" w:lineRule="exact"/>
        <w:ind w:firstLine="484" w:firstLineChars="202"/>
        <w:rPr>
          <w:sz w:val="24"/>
          <w:szCs w:val="24"/>
        </w:rPr>
      </w:pPr>
      <w:r>
        <w:rPr>
          <w:rFonts w:hint="eastAsia"/>
          <w:sz w:val="24"/>
          <w:szCs w:val="24"/>
        </w:rPr>
        <w:t>（</w:t>
      </w:r>
      <w:r>
        <w:rPr>
          <w:sz w:val="24"/>
          <w:szCs w:val="24"/>
        </w:rPr>
        <w:t>9</w:t>
      </w:r>
      <w:r>
        <w:rPr>
          <w:rFonts w:hint="eastAsia"/>
          <w:sz w:val="24"/>
          <w:szCs w:val="24"/>
        </w:rPr>
        <w:t>）评审过程中受到非法干预，未及时向监管、监察等部门举报。</w:t>
      </w:r>
    </w:p>
    <w:p w14:paraId="228F5DDA">
      <w:pPr>
        <w:adjustRightInd w:val="0"/>
        <w:snapToGrid w:val="0"/>
        <w:spacing w:line="420" w:lineRule="exact"/>
        <w:ind w:firstLine="485" w:firstLineChars="202"/>
        <w:rPr>
          <w:b/>
          <w:bCs/>
          <w:sz w:val="24"/>
          <w:szCs w:val="24"/>
        </w:rPr>
      </w:pPr>
      <w:r>
        <w:rPr>
          <w:rFonts w:hint="eastAsia"/>
          <w:b/>
          <w:bCs/>
          <w:sz w:val="24"/>
          <w:szCs w:val="24"/>
        </w:rPr>
        <w:t>8.竞争性谈判小组成员参与项目评审活动结束后应当禁止的情形：</w:t>
      </w:r>
    </w:p>
    <w:p w14:paraId="71103083">
      <w:pPr>
        <w:adjustRightInd w:val="0"/>
        <w:snapToGrid w:val="0"/>
        <w:spacing w:line="420" w:lineRule="exact"/>
        <w:ind w:firstLine="484" w:firstLineChars="202"/>
        <w:rPr>
          <w:sz w:val="24"/>
          <w:szCs w:val="24"/>
        </w:rPr>
      </w:pPr>
      <w:r>
        <w:rPr>
          <w:rFonts w:hint="eastAsia"/>
          <w:sz w:val="24"/>
          <w:szCs w:val="24"/>
        </w:rPr>
        <w:t>（1）泄露评审文件、评审情况和评审中获悉的国家秘密、商业秘密；</w:t>
      </w:r>
    </w:p>
    <w:p w14:paraId="1521F3E6">
      <w:pPr>
        <w:adjustRightInd w:val="0"/>
        <w:snapToGrid w:val="0"/>
        <w:spacing w:line="420" w:lineRule="exact"/>
        <w:ind w:firstLine="484" w:firstLineChars="202"/>
        <w:rPr>
          <w:sz w:val="24"/>
          <w:szCs w:val="24"/>
        </w:rPr>
      </w:pPr>
      <w:r>
        <w:rPr>
          <w:rFonts w:hint="eastAsia"/>
          <w:sz w:val="24"/>
          <w:szCs w:val="24"/>
        </w:rPr>
        <w:t>（2）记录、复制或者带走任何本项目的评审资料；</w:t>
      </w:r>
    </w:p>
    <w:p w14:paraId="52967E05">
      <w:pPr>
        <w:adjustRightInd w:val="0"/>
        <w:snapToGrid w:val="0"/>
        <w:spacing w:line="420" w:lineRule="exact"/>
        <w:ind w:firstLine="484" w:firstLineChars="202"/>
        <w:rPr>
          <w:sz w:val="24"/>
          <w:szCs w:val="24"/>
        </w:rPr>
      </w:pPr>
      <w:r>
        <w:rPr>
          <w:rFonts w:hint="eastAsia"/>
          <w:sz w:val="24"/>
          <w:szCs w:val="24"/>
        </w:rPr>
        <w:t>（3）在本项目评审活动中有违法违规行为的原竞争性谈判小组成员参加本项目重新组建的竞争性谈判小组；</w:t>
      </w:r>
    </w:p>
    <w:p w14:paraId="726D59E2">
      <w:pPr>
        <w:adjustRightInd w:val="0"/>
        <w:snapToGrid w:val="0"/>
        <w:spacing w:line="420" w:lineRule="exact"/>
        <w:ind w:firstLine="484" w:firstLineChars="202"/>
        <w:rPr>
          <w:sz w:val="24"/>
          <w:szCs w:val="24"/>
        </w:rPr>
      </w:pPr>
      <w:r>
        <w:rPr>
          <w:rFonts w:hint="eastAsia"/>
          <w:sz w:val="24"/>
          <w:szCs w:val="24"/>
        </w:rPr>
        <w:t>（4）拒不履行配合答复供应商询问、质疑、投诉等法定义务；</w:t>
      </w:r>
    </w:p>
    <w:p w14:paraId="681E2BA9">
      <w:pPr>
        <w:adjustRightInd w:val="0"/>
        <w:snapToGrid w:val="0"/>
        <w:spacing w:line="420" w:lineRule="exact"/>
        <w:ind w:firstLine="484" w:firstLineChars="202"/>
        <w:rPr>
          <w:sz w:val="24"/>
          <w:szCs w:val="24"/>
        </w:rPr>
      </w:pPr>
      <w:r>
        <w:rPr>
          <w:rFonts w:hint="eastAsia"/>
          <w:sz w:val="24"/>
          <w:szCs w:val="24"/>
        </w:rPr>
        <w:t>（5）以评审专家身份从事有损采购公信力的活动。</w:t>
      </w:r>
    </w:p>
    <w:p w14:paraId="687DD646">
      <w:pPr>
        <w:adjustRightInd w:val="0"/>
        <w:snapToGrid w:val="0"/>
        <w:spacing w:line="420" w:lineRule="exact"/>
        <w:ind w:firstLine="484" w:firstLineChars="202"/>
        <w:rPr>
          <w:sz w:val="24"/>
          <w:szCs w:val="24"/>
        </w:rPr>
      </w:pPr>
      <w:r>
        <w:rPr>
          <w:sz w:val="24"/>
          <w:szCs w:val="24"/>
        </w:rPr>
        <w:t>9.</w:t>
      </w:r>
      <w:r>
        <w:rPr>
          <w:rFonts w:hint="eastAsia" w:cs="宋体"/>
          <w:sz w:val="24"/>
          <w:szCs w:val="24"/>
        </w:rPr>
        <w:t>有关人员对评审谈判活动情况以及在评审谈判活动过程中获悉的商业秘密负有保密责任。</w:t>
      </w:r>
    </w:p>
    <w:p w14:paraId="3E921A24">
      <w:pPr>
        <w:adjustRightInd w:val="0"/>
        <w:snapToGrid w:val="0"/>
        <w:spacing w:line="420" w:lineRule="exact"/>
        <w:ind w:firstLine="484" w:firstLineChars="202"/>
        <w:rPr>
          <w:rFonts w:cs="宋体"/>
          <w:sz w:val="24"/>
          <w:szCs w:val="24"/>
        </w:rPr>
      </w:pPr>
      <w:r>
        <w:rPr>
          <w:sz w:val="24"/>
          <w:szCs w:val="24"/>
        </w:rPr>
        <w:t>10.</w:t>
      </w:r>
      <w:r>
        <w:rPr>
          <w:rFonts w:hint="eastAsia" w:cs="宋体"/>
          <w:sz w:val="24"/>
          <w:szCs w:val="24"/>
        </w:rPr>
        <w:t>竞争性谈判开启后，直到公告项目成交结果，发出成交通知书并授予成交人合同为止，凡属于评审、澄清、评价和比较竞争性谈判响应的所有资料及有关授予合同等的相关信息，都严禁向响应供应商或与竞争性谈判评审无关的其他人（单位）泄露。</w:t>
      </w:r>
    </w:p>
    <w:p w14:paraId="1EBE3AD0">
      <w:pPr>
        <w:adjustRightInd w:val="0"/>
        <w:snapToGrid w:val="0"/>
        <w:spacing w:line="420" w:lineRule="exact"/>
        <w:ind w:firstLine="485" w:firstLineChars="202"/>
        <w:rPr>
          <w:b/>
          <w:bCs/>
          <w:sz w:val="24"/>
          <w:szCs w:val="24"/>
        </w:rPr>
      </w:pPr>
      <w:r>
        <w:rPr>
          <w:rFonts w:hint="eastAsia"/>
          <w:b/>
          <w:bCs/>
          <w:sz w:val="24"/>
          <w:szCs w:val="24"/>
        </w:rPr>
        <w:t>11.</w:t>
      </w:r>
      <w:r>
        <w:rPr>
          <w:rFonts w:hint="eastAsia"/>
          <w:b/>
          <w:bCs/>
          <w:sz w:val="24"/>
          <w:szCs w:val="24"/>
          <w:u w:val="thick" w:color="FF0000"/>
        </w:rPr>
        <w:t>采购人在竞争性谈判小组评审结束后，按照崇财发〔2020〕93号文件规定，向评审专家支付劳务报酬和异地评审差旅费</w:t>
      </w:r>
      <w:r>
        <w:rPr>
          <w:rFonts w:hint="eastAsia"/>
          <w:b/>
          <w:bCs/>
          <w:sz w:val="24"/>
          <w:szCs w:val="24"/>
        </w:rPr>
        <w:t>。</w:t>
      </w:r>
    </w:p>
    <w:p w14:paraId="0601A156">
      <w:pPr>
        <w:adjustRightInd w:val="0"/>
        <w:snapToGrid w:val="0"/>
        <w:spacing w:line="420" w:lineRule="exact"/>
        <w:ind w:firstLine="485" w:firstLineChars="202"/>
        <w:outlineLvl w:val="1"/>
        <w:rPr>
          <w:rFonts w:cs="宋体"/>
          <w:b/>
          <w:bCs/>
          <w:sz w:val="24"/>
          <w:szCs w:val="24"/>
        </w:rPr>
      </w:pPr>
      <w:r>
        <w:rPr>
          <w:rFonts w:hint="eastAsia" w:cs="宋体"/>
          <w:b/>
          <w:bCs/>
          <w:sz w:val="24"/>
          <w:szCs w:val="24"/>
        </w:rPr>
        <w:t>四、落实政府采购政策</w:t>
      </w:r>
    </w:p>
    <w:p w14:paraId="730A0D9C">
      <w:pPr>
        <w:snapToGrid w:val="0"/>
        <w:spacing w:line="420" w:lineRule="exact"/>
        <w:ind w:firstLine="485" w:firstLineChars="202"/>
        <w:rPr>
          <w:b/>
          <w:bCs/>
          <w:sz w:val="24"/>
          <w:szCs w:val="24"/>
        </w:rPr>
      </w:pPr>
      <w:bookmarkStart w:id="100" w:name="_Hlk69391943"/>
      <w:bookmarkStart w:id="101" w:name="_Hlk69857752"/>
      <w:bookmarkStart w:id="102" w:name="_Hlk69390628"/>
      <w:bookmarkStart w:id="103" w:name="_Hlk69391151"/>
      <w:r>
        <w:rPr>
          <w:rFonts w:hint="eastAsia"/>
          <w:b/>
          <w:bCs/>
          <w:sz w:val="24"/>
          <w:szCs w:val="24"/>
        </w:rPr>
        <w:t>1.本项目属专门面向中小企业的采购，评审时不再对供应商的竞争报价给予落实政府采购政策的价格扣除。</w:t>
      </w:r>
    </w:p>
    <w:p w14:paraId="63B906FE">
      <w:pPr>
        <w:snapToGrid w:val="0"/>
        <w:spacing w:line="420" w:lineRule="exact"/>
        <w:ind w:firstLine="484" w:firstLineChars="202"/>
        <w:rPr>
          <w:sz w:val="24"/>
          <w:szCs w:val="24"/>
        </w:rPr>
      </w:pPr>
      <w:r>
        <w:rPr>
          <w:rFonts w:hint="eastAsia"/>
          <w:sz w:val="24"/>
          <w:szCs w:val="24"/>
        </w:rPr>
        <w:t>供应商应当在“资格审查材料文件”内提供《中小企业声明函》[格式见第八章第四条（一）项第2点（6）款。]，并对声明的真实性负责。</w:t>
      </w:r>
    </w:p>
    <w:p w14:paraId="4C4E18B6">
      <w:pPr>
        <w:snapToGrid w:val="0"/>
        <w:spacing w:line="420" w:lineRule="exact"/>
        <w:ind w:firstLine="484" w:firstLineChars="202"/>
        <w:rPr>
          <w:sz w:val="24"/>
          <w:szCs w:val="24"/>
        </w:rPr>
      </w:pPr>
      <w:r>
        <w:rPr>
          <w:rFonts w:hint="eastAsia"/>
          <w:sz w:val="24"/>
          <w:szCs w:val="24"/>
        </w:rPr>
        <w:t>2.本采购项目的“机房精密空调运行维护和防鼠灭鼠服务”属于“其他未列明行业”，供应商应当符合：工信部联企业〔2011〕300号《关于印发中小企业划型标准规定的通知》中的中小企业划型标准规定。</w:t>
      </w:r>
    </w:p>
    <w:p w14:paraId="6B16E12C">
      <w:pPr>
        <w:snapToGrid w:val="0"/>
        <w:spacing w:line="420" w:lineRule="exact"/>
        <w:ind w:firstLine="484" w:firstLineChars="202"/>
        <w:rPr>
          <w:sz w:val="24"/>
          <w:szCs w:val="24"/>
        </w:rPr>
      </w:pPr>
      <w:r>
        <w:rPr>
          <w:rFonts w:hint="eastAsia"/>
          <w:sz w:val="24"/>
          <w:szCs w:val="24"/>
        </w:rPr>
        <w:t>“其他未列明行业”中小企业划型标准：从业人员300人以下的为中小微型企业。其中，从业人员100人及以上的为中型企业；从业人员10人及以上的为小型企业；从业人员10人以下的为微型企业。</w:t>
      </w:r>
    </w:p>
    <w:p w14:paraId="67C933C4">
      <w:pPr>
        <w:snapToGrid w:val="0"/>
        <w:spacing w:line="420" w:lineRule="exact"/>
        <w:ind w:firstLine="484" w:firstLineChars="202"/>
        <w:rPr>
          <w:sz w:val="24"/>
          <w:szCs w:val="24"/>
        </w:rPr>
      </w:pPr>
      <w:r>
        <w:rPr>
          <w:rFonts w:hint="eastAsia"/>
          <w:sz w:val="24"/>
          <w:szCs w:val="24"/>
        </w:rPr>
        <w:t>3.根据《关于促进残疾人就业政府采购政策的通知》（财库〔2017〕141号），符合条件的残疾人福利性单位在参加本政府采购活动时，视同小型、微型企业，应当在“资格审查材料文件”内提供《残疾人福利性单位声明函》[格式见第八章第四条（一）项第2点（7）款。]，并对声明的真实性负责。</w:t>
      </w:r>
    </w:p>
    <w:p w14:paraId="2CD3DDDD">
      <w:pPr>
        <w:snapToGrid w:val="0"/>
        <w:spacing w:line="420" w:lineRule="exact"/>
        <w:ind w:firstLine="484" w:firstLineChars="202"/>
        <w:rPr>
          <w:sz w:val="24"/>
          <w:szCs w:val="24"/>
        </w:rPr>
      </w:pPr>
      <w:r>
        <w:rPr>
          <w:rFonts w:hint="eastAsia"/>
          <w:sz w:val="24"/>
          <w:szCs w:val="24"/>
        </w:rPr>
        <w:t>（1）享受政府采购支持政策的残疾人福利性单位应当同时满足以下条件：</w:t>
      </w:r>
    </w:p>
    <w:p w14:paraId="56F34432">
      <w:pPr>
        <w:snapToGrid w:val="0"/>
        <w:spacing w:line="420" w:lineRule="exact"/>
        <w:ind w:firstLine="484" w:firstLineChars="202"/>
        <w:rPr>
          <w:sz w:val="24"/>
          <w:szCs w:val="24"/>
        </w:rPr>
      </w:pPr>
      <w:r>
        <w:rPr>
          <w:rFonts w:hint="eastAsia"/>
          <w:sz w:val="24"/>
          <w:szCs w:val="24"/>
        </w:rPr>
        <w:t>①安置的残疾人占本单位在职职工人数的比例不低于25%（含25%），并且安置的残疾人人数不少于10人（含10人）；</w:t>
      </w:r>
    </w:p>
    <w:p w14:paraId="4D8C14FE">
      <w:pPr>
        <w:snapToGrid w:val="0"/>
        <w:spacing w:line="420" w:lineRule="exact"/>
        <w:ind w:firstLine="484" w:firstLineChars="202"/>
        <w:rPr>
          <w:sz w:val="24"/>
          <w:szCs w:val="24"/>
        </w:rPr>
      </w:pPr>
      <w:r>
        <w:rPr>
          <w:rFonts w:hint="eastAsia"/>
          <w:sz w:val="24"/>
          <w:szCs w:val="24"/>
        </w:rPr>
        <w:t>②依法与安置的每位残疾人签订了一年以上（含一年）的劳动合同或服务协议；</w:t>
      </w:r>
    </w:p>
    <w:p w14:paraId="120E4485">
      <w:pPr>
        <w:snapToGrid w:val="0"/>
        <w:spacing w:line="420" w:lineRule="exact"/>
        <w:ind w:firstLine="484" w:firstLineChars="202"/>
        <w:rPr>
          <w:sz w:val="24"/>
          <w:szCs w:val="24"/>
        </w:rPr>
      </w:pPr>
      <w:r>
        <w:rPr>
          <w:rFonts w:hint="eastAsia"/>
          <w:sz w:val="24"/>
          <w:szCs w:val="24"/>
        </w:rPr>
        <w:t>③为安置的每位残疾人按月足额缴纳了基本养老保险、基本医疗保险、失业保险、工伤保险和生育保险等社会保险费；</w:t>
      </w:r>
    </w:p>
    <w:p w14:paraId="4867598A">
      <w:pPr>
        <w:snapToGrid w:val="0"/>
        <w:spacing w:line="420" w:lineRule="exact"/>
        <w:ind w:firstLine="484" w:firstLineChars="202"/>
        <w:rPr>
          <w:sz w:val="24"/>
          <w:szCs w:val="24"/>
        </w:rPr>
      </w:pPr>
      <w:r>
        <w:rPr>
          <w:rFonts w:hint="eastAsia"/>
          <w:sz w:val="24"/>
          <w:szCs w:val="24"/>
        </w:rPr>
        <w:t>④通过银行等金融机构向安置的每位残疾人，按月支付了不低于单位所在区县适用的经省级人民政府批准的月最低工资标准的工资；</w:t>
      </w:r>
    </w:p>
    <w:p w14:paraId="3FE2D7F4">
      <w:pPr>
        <w:snapToGrid w:val="0"/>
        <w:spacing w:line="420" w:lineRule="exact"/>
        <w:ind w:firstLine="484" w:firstLineChars="202"/>
        <w:rPr>
          <w:sz w:val="24"/>
          <w:szCs w:val="24"/>
        </w:rPr>
      </w:pPr>
      <w:r>
        <w:rPr>
          <w:rFonts w:hint="eastAsia"/>
          <w:sz w:val="24"/>
          <w:szCs w:val="24"/>
        </w:rPr>
        <w:t>⑤提供本单位制造的货物、承担的工程或者服务（以下简称产品），或者提供其他残疾人福利性单位制造的货物（不包括使用非残疾人福利性单位注册商标的货物）。</w:t>
      </w:r>
    </w:p>
    <w:p w14:paraId="7C8376CA">
      <w:pPr>
        <w:snapToGrid w:val="0"/>
        <w:spacing w:line="420" w:lineRule="exact"/>
        <w:ind w:firstLine="484" w:firstLineChars="202"/>
        <w:rPr>
          <w:sz w:val="24"/>
          <w:szCs w:val="24"/>
        </w:rPr>
      </w:pPr>
      <w:r>
        <w:rPr>
          <w:rFonts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712AB4">
      <w:pPr>
        <w:snapToGrid w:val="0"/>
        <w:spacing w:line="420" w:lineRule="exact"/>
        <w:ind w:firstLine="484" w:firstLineChars="202"/>
        <w:rPr>
          <w:sz w:val="24"/>
          <w:szCs w:val="24"/>
        </w:rPr>
      </w:pPr>
      <w:r>
        <w:rPr>
          <w:rFonts w:hint="eastAsia"/>
          <w:sz w:val="24"/>
          <w:szCs w:val="24"/>
        </w:rPr>
        <w:t>4.根据本项目采购服务需求，本项目的供应商不涉及监狱企业，因此本项目无针对监狱企业的采购政策。</w:t>
      </w:r>
    </w:p>
    <w:p w14:paraId="42801707">
      <w:pPr>
        <w:snapToGrid w:val="0"/>
        <w:spacing w:line="420" w:lineRule="exact"/>
        <w:ind w:firstLine="484" w:firstLineChars="202"/>
        <w:rPr>
          <w:sz w:val="24"/>
          <w:szCs w:val="24"/>
        </w:rPr>
      </w:pPr>
      <w:r>
        <w:rPr>
          <w:rFonts w:hint="eastAsia"/>
          <w:sz w:val="24"/>
          <w:szCs w:val="24"/>
        </w:rPr>
        <w:t>5.根据本项目采购需求服务的特性，不涉及节能产品和环境标志产品，无针对绿色采购的采购政策。</w:t>
      </w:r>
    </w:p>
    <w:p w14:paraId="47004700">
      <w:pPr>
        <w:snapToGrid w:val="0"/>
        <w:spacing w:line="420" w:lineRule="exact"/>
        <w:ind w:firstLine="484" w:firstLineChars="202"/>
        <w:rPr>
          <w:sz w:val="24"/>
          <w:szCs w:val="24"/>
        </w:rPr>
      </w:pPr>
      <w:r>
        <w:rPr>
          <w:rFonts w:hint="eastAsia"/>
          <w:sz w:val="24"/>
          <w:szCs w:val="24"/>
        </w:rPr>
        <w:t>6.供应商应当对其出具的《中小企业声明函》或《残疾人福利性单位声明函》真实性负责，出具的《中小企业声明函》或《残疾人福利性单位声明函》内容不实的，属于提供虚假材料谋取成交，其成交（成交）无效</w:t>
      </w:r>
      <w:r>
        <w:rPr>
          <w:rFonts w:hint="eastAsia"/>
          <w:color w:val="000000"/>
          <w:sz w:val="24"/>
          <w:szCs w:val="24"/>
        </w:rPr>
        <w:t>。</w:t>
      </w:r>
    </w:p>
    <w:bookmarkEnd w:id="100"/>
    <w:bookmarkEnd w:id="101"/>
    <w:bookmarkEnd w:id="102"/>
    <w:bookmarkEnd w:id="103"/>
    <w:p w14:paraId="189AD7CA">
      <w:pPr>
        <w:adjustRightInd w:val="0"/>
        <w:snapToGrid w:val="0"/>
        <w:spacing w:line="420" w:lineRule="exact"/>
        <w:ind w:firstLine="485" w:firstLineChars="202"/>
        <w:outlineLvl w:val="1"/>
        <w:rPr>
          <w:b/>
          <w:bCs/>
          <w:sz w:val="24"/>
          <w:szCs w:val="24"/>
        </w:rPr>
      </w:pPr>
      <w:r>
        <w:rPr>
          <w:rFonts w:hint="eastAsia" w:cs="宋体"/>
          <w:b/>
          <w:bCs/>
          <w:sz w:val="24"/>
          <w:szCs w:val="24"/>
        </w:rPr>
        <w:t>五、竞争性谈判评审程序</w:t>
      </w:r>
    </w:p>
    <w:p w14:paraId="07552D57">
      <w:pPr>
        <w:snapToGrid w:val="0"/>
        <w:spacing w:line="420" w:lineRule="exact"/>
        <w:ind w:firstLine="484" w:firstLineChars="202"/>
        <w:rPr>
          <w:sz w:val="24"/>
          <w:szCs w:val="24"/>
        </w:rPr>
      </w:pPr>
      <w:r>
        <w:rPr>
          <w:sz w:val="24"/>
          <w:szCs w:val="24"/>
        </w:rPr>
        <w:t>1.</w:t>
      </w:r>
      <w:r>
        <w:rPr>
          <w:rFonts w:hint="eastAsia" w:cs="宋体"/>
          <w:sz w:val="24"/>
          <w:szCs w:val="24"/>
        </w:rPr>
        <w:t>竞争性谈判小组依据本竞争性谈判文件，遵循</w:t>
      </w:r>
      <w:r>
        <w:rPr>
          <w:sz w:val="24"/>
          <w:szCs w:val="24"/>
        </w:rPr>
        <w:t>“</w:t>
      </w:r>
      <w:r>
        <w:rPr>
          <w:rFonts w:hint="eastAsia" w:cs="宋体"/>
          <w:sz w:val="24"/>
          <w:szCs w:val="24"/>
        </w:rPr>
        <w:t>公开、公平、公正、择优、信用</w:t>
      </w:r>
      <w:r>
        <w:rPr>
          <w:sz w:val="24"/>
          <w:szCs w:val="24"/>
        </w:rPr>
        <w:t>”</w:t>
      </w:r>
      <w:r>
        <w:rPr>
          <w:rFonts w:hint="eastAsia" w:cs="宋体"/>
          <w:sz w:val="24"/>
          <w:szCs w:val="24"/>
        </w:rPr>
        <w:t>的原则进行竞争性谈判评审。</w:t>
      </w:r>
    </w:p>
    <w:p w14:paraId="69B9049F">
      <w:pPr>
        <w:snapToGrid w:val="0"/>
        <w:spacing w:line="420" w:lineRule="exact"/>
        <w:ind w:firstLine="484" w:firstLineChars="202"/>
        <w:rPr>
          <w:rFonts w:cs="宋体"/>
          <w:sz w:val="24"/>
          <w:szCs w:val="24"/>
        </w:rPr>
      </w:pPr>
      <w:r>
        <w:rPr>
          <w:sz w:val="24"/>
          <w:szCs w:val="24"/>
        </w:rPr>
        <w:t>2.</w:t>
      </w:r>
      <w:r>
        <w:rPr>
          <w:rFonts w:hint="eastAsia" w:cs="宋体"/>
          <w:sz w:val="24"/>
          <w:szCs w:val="24"/>
        </w:rPr>
        <w:t>竞争性谈判小组将按照竞争性谈判文件的规定，只对资格审查合格的供应商的竞争性谈判响应文件进行评审和比较。</w:t>
      </w:r>
    </w:p>
    <w:p w14:paraId="79F3336E">
      <w:pPr>
        <w:snapToGrid w:val="0"/>
        <w:spacing w:line="420" w:lineRule="exact"/>
        <w:ind w:firstLine="480" w:firstLineChars="200"/>
        <w:rPr>
          <w:sz w:val="24"/>
          <w:szCs w:val="24"/>
        </w:rPr>
      </w:pPr>
      <w:r>
        <w:rPr>
          <w:rFonts w:hint="eastAsia" w:cs="宋体"/>
          <w:sz w:val="24"/>
          <w:szCs w:val="24"/>
        </w:rPr>
        <w:t>（1）技术实质性响应与满足性评审</w:t>
      </w:r>
      <w:r>
        <w:rPr>
          <w:sz w:val="24"/>
          <w:szCs w:val="24"/>
        </w:rPr>
        <w:t>：</w:t>
      </w:r>
    </w:p>
    <w:tbl>
      <w:tblPr>
        <w:tblStyle w:val="4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14:paraId="610E401B">
        <w:trPr>
          <w:trHeight w:val="406" w:hRule="atLeast"/>
          <w:tblHeader/>
        </w:trPr>
        <w:tc>
          <w:tcPr>
            <w:tcW w:w="851" w:type="dxa"/>
            <w:vAlign w:val="center"/>
          </w:tcPr>
          <w:p w14:paraId="23D30BDB">
            <w:pPr>
              <w:spacing w:line="420" w:lineRule="exact"/>
              <w:jc w:val="center"/>
              <w:rPr>
                <w:b/>
                <w:bCs/>
                <w:kern w:val="0"/>
                <w:sz w:val="24"/>
                <w:szCs w:val="24"/>
              </w:rPr>
            </w:pPr>
            <w:r>
              <w:rPr>
                <w:b/>
                <w:bCs/>
                <w:kern w:val="0"/>
                <w:sz w:val="24"/>
                <w:szCs w:val="24"/>
              </w:rPr>
              <w:t>序号</w:t>
            </w:r>
          </w:p>
        </w:tc>
        <w:tc>
          <w:tcPr>
            <w:tcW w:w="8788" w:type="dxa"/>
            <w:vAlign w:val="center"/>
          </w:tcPr>
          <w:p w14:paraId="727A835B">
            <w:pPr>
              <w:spacing w:line="420" w:lineRule="exact"/>
              <w:jc w:val="center"/>
              <w:rPr>
                <w:b/>
                <w:bCs/>
                <w:kern w:val="0"/>
                <w:sz w:val="24"/>
                <w:szCs w:val="24"/>
              </w:rPr>
            </w:pPr>
            <w:r>
              <w:rPr>
                <w:b/>
                <w:bCs/>
                <w:kern w:val="0"/>
                <w:sz w:val="24"/>
                <w:szCs w:val="24"/>
              </w:rPr>
              <w:t>技术实质性响应与满足性评审比较内容</w:t>
            </w:r>
          </w:p>
        </w:tc>
      </w:tr>
      <w:tr w14:paraId="71B8909D">
        <w:trPr>
          <w:trHeight w:val="406" w:hRule="atLeast"/>
        </w:trPr>
        <w:tc>
          <w:tcPr>
            <w:tcW w:w="851" w:type="dxa"/>
            <w:vAlign w:val="center"/>
          </w:tcPr>
          <w:p w14:paraId="7ABE23FF">
            <w:pPr>
              <w:spacing w:line="420" w:lineRule="exact"/>
              <w:jc w:val="center"/>
              <w:rPr>
                <w:kern w:val="0"/>
                <w:sz w:val="24"/>
                <w:szCs w:val="24"/>
              </w:rPr>
            </w:pPr>
            <w:r>
              <w:rPr>
                <w:rFonts w:hint="eastAsia"/>
                <w:kern w:val="0"/>
                <w:sz w:val="24"/>
                <w:szCs w:val="24"/>
              </w:rPr>
              <w:t>1</w:t>
            </w:r>
          </w:p>
        </w:tc>
        <w:tc>
          <w:tcPr>
            <w:tcW w:w="8788" w:type="dxa"/>
            <w:vAlign w:val="center"/>
          </w:tcPr>
          <w:p w14:paraId="6B77E5D2">
            <w:pPr>
              <w:spacing w:line="420" w:lineRule="exact"/>
              <w:rPr>
                <w:sz w:val="24"/>
                <w:szCs w:val="24"/>
              </w:rPr>
            </w:pPr>
            <w:r>
              <w:rPr>
                <w:sz w:val="24"/>
                <w:szCs w:val="24"/>
              </w:rPr>
              <w:t>供应商提供的技术响应文件中针对项目服务范围、服务要求、合同履行期限、服务标准、</w:t>
            </w:r>
            <w:r>
              <w:rPr>
                <w:rFonts w:hint="eastAsia"/>
                <w:sz w:val="24"/>
                <w:szCs w:val="24"/>
              </w:rPr>
              <w:t>服务评价、履约保证金</w:t>
            </w:r>
            <w:r>
              <w:rPr>
                <w:sz w:val="24"/>
                <w:szCs w:val="24"/>
              </w:rPr>
              <w:t>、付款方式，均实质性响应。</w:t>
            </w:r>
          </w:p>
        </w:tc>
      </w:tr>
      <w:tr w14:paraId="155E4182">
        <w:trPr>
          <w:trHeight w:val="406" w:hRule="atLeast"/>
        </w:trPr>
        <w:tc>
          <w:tcPr>
            <w:tcW w:w="851" w:type="dxa"/>
            <w:vAlign w:val="center"/>
          </w:tcPr>
          <w:p w14:paraId="5090C375">
            <w:pPr>
              <w:spacing w:line="420" w:lineRule="exact"/>
              <w:jc w:val="center"/>
              <w:rPr>
                <w:kern w:val="0"/>
                <w:sz w:val="24"/>
                <w:szCs w:val="24"/>
              </w:rPr>
            </w:pPr>
            <w:r>
              <w:rPr>
                <w:rFonts w:hint="eastAsia"/>
                <w:kern w:val="0"/>
                <w:sz w:val="24"/>
                <w:szCs w:val="24"/>
              </w:rPr>
              <w:t>2</w:t>
            </w:r>
          </w:p>
        </w:tc>
        <w:tc>
          <w:tcPr>
            <w:tcW w:w="8788" w:type="dxa"/>
            <w:vAlign w:val="center"/>
          </w:tcPr>
          <w:p w14:paraId="5CA7330C">
            <w:pPr>
              <w:spacing w:line="420" w:lineRule="exact"/>
              <w:rPr>
                <w:sz w:val="24"/>
                <w:szCs w:val="24"/>
              </w:rPr>
            </w:pPr>
            <w:r>
              <w:rPr>
                <w:sz w:val="24"/>
                <w:szCs w:val="24"/>
              </w:rPr>
              <w:t>供应商提供的项目服务实施方案是否完全满足采购需求。</w:t>
            </w:r>
          </w:p>
        </w:tc>
      </w:tr>
    </w:tbl>
    <w:p w14:paraId="7C041F44">
      <w:pPr>
        <w:snapToGrid w:val="0"/>
        <w:spacing w:line="420" w:lineRule="exact"/>
        <w:ind w:firstLine="484" w:firstLineChars="202"/>
        <w:rPr>
          <w:sz w:val="24"/>
          <w:szCs w:val="24"/>
        </w:rPr>
      </w:pPr>
      <w:r>
        <w:rPr>
          <w:rFonts w:hint="eastAsia"/>
          <w:sz w:val="24"/>
          <w:szCs w:val="24"/>
        </w:rPr>
        <w:t>（2）项目首次报价响应评审：</w:t>
      </w:r>
      <w:r>
        <w:rPr>
          <w:rFonts w:hint="eastAsia" w:cs="宋体"/>
          <w:b/>
          <w:bCs/>
          <w:sz w:val="24"/>
          <w:szCs w:val="24"/>
          <w:u w:val="thick" w:color="FF0000"/>
        </w:rPr>
        <w:t>本项目最高限价人民币10万元/年，超出限价作无效响应处理。</w:t>
      </w:r>
    </w:p>
    <w:p w14:paraId="45306525">
      <w:pPr>
        <w:snapToGrid w:val="0"/>
        <w:spacing w:line="420" w:lineRule="exact"/>
        <w:ind w:firstLine="485" w:firstLineChars="202"/>
        <w:rPr>
          <w:rFonts w:cs="宋体"/>
          <w:b/>
          <w:bCs/>
          <w:sz w:val="24"/>
          <w:szCs w:val="24"/>
        </w:rPr>
      </w:pPr>
      <w:r>
        <w:rPr>
          <w:rFonts w:cs="宋体"/>
          <w:b/>
          <w:bCs/>
          <w:sz w:val="24"/>
          <w:szCs w:val="24"/>
        </w:rPr>
        <w:t>3.</w:t>
      </w:r>
      <w:r>
        <w:rPr>
          <w:rFonts w:hint="eastAsia" w:cs="宋体"/>
          <w:b/>
          <w:bCs/>
          <w:sz w:val="24"/>
          <w:szCs w:val="24"/>
        </w:rPr>
        <w:t>竞争性谈判小组对供应商提交的竞争性谈判响应文件进行技术的实质性响应与满足性评审后，根据竞争性谈判文件规定的程序、评定成交的标准等事项，结合供应商针对本项目提交的首次报价，与符合要求的供应商进行谈判。未通过技术实质性响应与满足性评审的按无效响应处理，竞争性谈判小组应当告知有关供应商。</w:t>
      </w:r>
    </w:p>
    <w:p w14:paraId="6CA51694">
      <w:pPr>
        <w:snapToGrid w:val="0"/>
        <w:spacing w:line="420" w:lineRule="exact"/>
        <w:ind w:firstLine="484" w:firstLineChars="202"/>
        <w:rPr>
          <w:rFonts w:cs="宋体"/>
          <w:sz w:val="24"/>
          <w:szCs w:val="24"/>
        </w:rPr>
      </w:pPr>
      <w:r>
        <w:rPr>
          <w:rFonts w:hint="eastAsia" w:cs="宋体"/>
          <w:sz w:val="24"/>
          <w:szCs w:val="24"/>
        </w:rPr>
        <w:t>（</w:t>
      </w:r>
      <w:r>
        <w:rPr>
          <w:rFonts w:cs="宋体"/>
          <w:sz w:val="24"/>
          <w:szCs w:val="24"/>
        </w:rPr>
        <w:t>1</w:t>
      </w:r>
      <w:r>
        <w:rPr>
          <w:rFonts w:hint="eastAsia" w:cs="宋体"/>
          <w:sz w:val="24"/>
          <w:szCs w:val="24"/>
        </w:rPr>
        <w:t>）竞争性谈判小组所有成员应当集中与单一供应商分别进行谈判，并给予所有参加竞争性谈判的供应商平等的谈判机会。</w:t>
      </w:r>
    </w:p>
    <w:p w14:paraId="14601950">
      <w:pPr>
        <w:snapToGrid w:val="0"/>
        <w:spacing w:line="420" w:lineRule="exact"/>
        <w:ind w:firstLine="484" w:firstLineChars="202"/>
        <w:rPr>
          <w:rFonts w:cs="宋体"/>
          <w:sz w:val="24"/>
          <w:szCs w:val="24"/>
        </w:rPr>
      </w:pPr>
      <w:r>
        <w:rPr>
          <w:rFonts w:hint="eastAsia" w:cs="宋体"/>
          <w:sz w:val="24"/>
          <w:szCs w:val="24"/>
        </w:rPr>
        <w:t>（2）在谈判过程中，竞争性谈判小组可以根据竞争性谈判文件和谈判情况实质性变动采购需求中的技术、服务要求以及合同草案条款，但不得变动竞争性谈判文件中的其他内容。实质性变动的内容，须经采购人代表确认。</w:t>
      </w:r>
    </w:p>
    <w:p w14:paraId="45B7DB1E">
      <w:pPr>
        <w:snapToGrid w:val="0"/>
        <w:spacing w:line="420" w:lineRule="exact"/>
        <w:ind w:firstLine="484" w:firstLineChars="202"/>
        <w:rPr>
          <w:rFonts w:cs="宋体"/>
          <w:sz w:val="24"/>
          <w:szCs w:val="24"/>
        </w:rPr>
      </w:pPr>
      <w:r>
        <w:rPr>
          <w:rFonts w:hint="eastAsia" w:cs="宋体"/>
          <w:sz w:val="24"/>
          <w:szCs w:val="24"/>
        </w:rPr>
        <w:t>（3）对竞争性谈判文件做出的实质性变动是竞争性谈判文件的有效组成部分，竞争性谈判小组应当及时以书面形式同时通知所有参加竞争性谈判的供应商。</w:t>
      </w:r>
    </w:p>
    <w:p w14:paraId="395DEB8F">
      <w:pPr>
        <w:snapToGrid w:val="0"/>
        <w:spacing w:line="420" w:lineRule="exact"/>
        <w:ind w:firstLine="484" w:firstLineChars="202"/>
        <w:rPr>
          <w:rFonts w:cs="宋体"/>
          <w:sz w:val="24"/>
          <w:szCs w:val="24"/>
        </w:rPr>
      </w:pPr>
      <w:r>
        <w:rPr>
          <w:rFonts w:hint="eastAsia" w:cs="宋体"/>
          <w:sz w:val="24"/>
          <w:szCs w:val="24"/>
        </w:rPr>
        <w:t>（4）供应商应当按照竞争性谈判文件的变动情况和竞争性谈判小组的要求重新提交响应文件，并由其法定代表人或授权代表签字或者加盖公章。由授权代表签字的，应当附法定代表人授权书。</w:t>
      </w:r>
    </w:p>
    <w:p w14:paraId="6322A8BC">
      <w:pPr>
        <w:snapToGrid w:val="0"/>
        <w:spacing w:line="420" w:lineRule="exact"/>
        <w:ind w:firstLine="484" w:firstLineChars="202"/>
        <w:rPr>
          <w:rFonts w:cs="宋体"/>
          <w:sz w:val="24"/>
          <w:szCs w:val="24"/>
        </w:rPr>
      </w:pPr>
      <w:r>
        <w:rPr>
          <w:rFonts w:cs="宋体"/>
          <w:sz w:val="24"/>
          <w:szCs w:val="24"/>
        </w:rPr>
        <w:t>4.</w:t>
      </w:r>
      <w:r>
        <w:rPr>
          <w:rFonts w:hint="eastAsia" w:cs="宋体"/>
          <w:sz w:val="24"/>
          <w:szCs w:val="24"/>
        </w:rPr>
        <w:t>本项目竞争性谈判文件能够详细列明采购标的技术、服务要求，在谈判结束后，竞争性谈判小组应当要求所有继续参加谈判的供应商在规定时间内提交最后报价，提交最后报价的供应商不得少于3家。</w:t>
      </w:r>
    </w:p>
    <w:p w14:paraId="43B021B1">
      <w:pPr>
        <w:snapToGrid w:val="0"/>
        <w:spacing w:line="420" w:lineRule="exact"/>
        <w:ind w:firstLine="484" w:firstLineChars="202"/>
        <w:rPr>
          <w:rFonts w:cs="宋体"/>
          <w:sz w:val="24"/>
          <w:szCs w:val="24"/>
        </w:rPr>
      </w:pPr>
      <w:r>
        <w:rPr>
          <w:rFonts w:hint="eastAsia" w:cs="宋体"/>
          <w:sz w:val="24"/>
          <w:szCs w:val="24"/>
        </w:rPr>
        <w:t>（1）最后报价是供应商响应文件的有效组成部分。</w:t>
      </w:r>
    </w:p>
    <w:p w14:paraId="570964A2">
      <w:pPr>
        <w:snapToGrid w:val="0"/>
        <w:spacing w:line="420" w:lineRule="exact"/>
        <w:ind w:firstLine="484" w:firstLineChars="202"/>
        <w:rPr>
          <w:rFonts w:cs="宋体"/>
          <w:sz w:val="24"/>
          <w:szCs w:val="24"/>
        </w:rPr>
      </w:pPr>
      <w:r>
        <w:rPr>
          <w:rFonts w:hint="eastAsia" w:cs="宋体"/>
          <w:sz w:val="24"/>
          <w:szCs w:val="24"/>
        </w:rPr>
        <w:t>（2）已提交响应文件的供应商，在提交最后报价之前，可以根据谈判情况退出谈判。</w:t>
      </w:r>
    </w:p>
    <w:p w14:paraId="1E6672D2">
      <w:pPr>
        <w:snapToGrid w:val="0"/>
        <w:spacing w:line="420" w:lineRule="exact"/>
        <w:ind w:firstLine="484" w:firstLineChars="202"/>
        <w:rPr>
          <w:sz w:val="24"/>
          <w:szCs w:val="24"/>
        </w:rPr>
      </w:pPr>
      <w:r>
        <w:rPr>
          <w:rFonts w:hint="eastAsia"/>
          <w:sz w:val="24"/>
          <w:szCs w:val="24"/>
        </w:rPr>
        <w:t>（3）</w:t>
      </w:r>
      <w:bookmarkStart w:id="104" w:name="_Hlk59991485"/>
      <w:r>
        <w:rPr>
          <w:rFonts w:hint="eastAsia"/>
          <w:b/>
          <w:bCs/>
          <w:sz w:val="24"/>
          <w:szCs w:val="24"/>
          <w:u w:val="thick" w:color="FF0000"/>
        </w:rPr>
        <w:t>本项目最后报价仅接受等于或低于供应商的首次报价，否则作无效响应处理。</w:t>
      </w:r>
      <w:bookmarkEnd w:id="104"/>
    </w:p>
    <w:p w14:paraId="5B4F9F34">
      <w:pPr>
        <w:snapToGrid w:val="0"/>
        <w:spacing w:line="420" w:lineRule="exact"/>
        <w:ind w:firstLine="485" w:firstLineChars="202"/>
        <w:rPr>
          <w:b/>
          <w:bCs/>
          <w:sz w:val="24"/>
          <w:szCs w:val="24"/>
        </w:rPr>
      </w:pPr>
      <w:r>
        <w:rPr>
          <w:rFonts w:hint="eastAsia"/>
          <w:b/>
          <w:bCs/>
          <w:sz w:val="24"/>
          <w:szCs w:val="24"/>
        </w:rPr>
        <w:t>5</w:t>
      </w:r>
      <w:r>
        <w:rPr>
          <w:b/>
          <w:bCs/>
          <w:sz w:val="24"/>
          <w:szCs w:val="24"/>
        </w:rPr>
        <w:t>.</w:t>
      </w:r>
      <w:r>
        <w:rPr>
          <w:rFonts w:hint="eastAsia"/>
          <w:b/>
          <w:bCs/>
          <w:sz w:val="24"/>
          <w:szCs w:val="24"/>
        </w:rPr>
        <w:t>关于报价的价格评审</w:t>
      </w:r>
    </w:p>
    <w:p w14:paraId="189B8195">
      <w:pPr>
        <w:snapToGrid w:val="0"/>
        <w:spacing w:line="420" w:lineRule="exact"/>
        <w:ind w:firstLine="484" w:firstLineChars="202"/>
        <w:rPr>
          <w:sz w:val="24"/>
          <w:szCs w:val="24"/>
        </w:rPr>
      </w:pPr>
      <w:r>
        <w:rPr>
          <w:rFonts w:hint="eastAsia"/>
          <w:sz w:val="24"/>
          <w:szCs w:val="24"/>
        </w:rPr>
        <w:t>（1）竞争性谈判响应价格评审内容包括分析项目需求各服务单价是否合理，价格所含范围是否完整，有无重大错漏项。如果供应商的响应价格清单中有漏项并构成未实质性响应竞争性谈判文件要求的，按无效谈判响应处理。</w:t>
      </w:r>
    </w:p>
    <w:p w14:paraId="20C6F5FE">
      <w:pPr>
        <w:snapToGrid w:val="0"/>
        <w:spacing w:line="420" w:lineRule="exact"/>
        <w:ind w:firstLine="484" w:firstLineChars="202"/>
        <w:rPr>
          <w:sz w:val="24"/>
          <w:szCs w:val="24"/>
        </w:rPr>
      </w:pPr>
      <w:r>
        <w:rPr>
          <w:rFonts w:hint="eastAsia"/>
          <w:sz w:val="24"/>
          <w:szCs w:val="24"/>
        </w:rPr>
        <w:t>（2）竞争性谈判小组将审查每份谈判响应供应商的现场“最后报价”是否实质上响应了竞争性谈判文件或经谈判后变更的技术要求。实质性响应是指与竞争性谈判文件或经谈判后变更的技术要求的全部条款、条件和规格相符，没有重大偏离或保留。所谓重大偏离或保留是指实质上影响合同的服务范围、服务质量和性能，或者实质上与竞争性谈判文件或经谈判后变更的技术要求不一致。纠正这些偏离或保留将会对其他实质性响应要求的谈判响应供应商的竞争地位产生不公正的影响。如未实质性响应，则按无效谈判响应处理。</w:t>
      </w:r>
    </w:p>
    <w:p w14:paraId="0BD7C1FB">
      <w:pPr>
        <w:snapToGrid w:val="0"/>
        <w:spacing w:line="420" w:lineRule="exact"/>
        <w:ind w:firstLine="484" w:firstLineChars="202"/>
        <w:rPr>
          <w:sz w:val="24"/>
          <w:szCs w:val="24"/>
        </w:rPr>
      </w:pPr>
      <w:r>
        <w:rPr>
          <w:rFonts w:hint="eastAsia"/>
          <w:sz w:val="24"/>
          <w:szCs w:val="24"/>
        </w:rPr>
        <w:t>（3）竞争性谈判小组认为谈判响应供应商的“最后报价”明显低于其他谈判响应供应商的“最后报价”，有可能影响本项目服务的质量或者不能诚信履约的，应当要求其“在评审现场”合理的时间内提供“书面”说明，必要时提交“相关证明”材料；谈判响应供应商不能证明其“最后报价合理性”的，竞争性谈判小组应当将其作为无效谈判响应处理。</w:t>
      </w:r>
    </w:p>
    <w:p w14:paraId="6F397034">
      <w:pPr>
        <w:snapToGrid w:val="0"/>
        <w:spacing w:line="420" w:lineRule="exact"/>
        <w:ind w:firstLine="484" w:firstLineChars="202"/>
        <w:rPr>
          <w:sz w:val="24"/>
          <w:szCs w:val="24"/>
        </w:rPr>
      </w:pPr>
      <w:r>
        <w:rPr>
          <w:rFonts w:hint="eastAsia"/>
          <w:sz w:val="24"/>
          <w:szCs w:val="24"/>
        </w:rPr>
        <w:t>（4）按照“关于推动解决政府采购异常低价问题相关工作的通知（苏财购〔2025〕62号）”要求，评审过程中出现下列情形之一的，竞争性谈判小组应当启动异常低价投标审查程序：</w:t>
      </w:r>
    </w:p>
    <w:p w14:paraId="099279AC">
      <w:pPr>
        <w:snapToGrid w:val="0"/>
        <w:spacing w:line="420" w:lineRule="exact"/>
        <w:ind w:firstLine="484" w:firstLineChars="202"/>
        <w:rPr>
          <w:sz w:val="24"/>
          <w:szCs w:val="24"/>
        </w:rPr>
      </w:pPr>
      <w:r>
        <w:rPr>
          <w:rFonts w:hint="eastAsia"/>
          <w:sz w:val="24"/>
          <w:szCs w:val="24"/>
        </w:rPr>
        <w:t>①供应商报价低于采购项目预算50%的，即谈判报价&lt;采购项目预算×50%；</w:t>
      </w:r>
    </w:p>
    <w:p w14:paraId="53527BD9">
      <w:pPr>
        <w:snapToGrid w:val="0"/>
        <w:spacing w:line="420" w:lineRule="exact"/>
        <w:ind w:firstLine="484" w:firstLineChars="202"/>
        <w:rPr>
          <w:sz w:val="24"/>
          <w:szCs w:val="24"/>
        </w:rPr>
      </w:pPr>
      <w:r>
        <w:rPr>
          <w:rFonts w:hint="eastAsia"/>
          <w:sz w:val="24"/>
          <w:szCs w:val="24"/>
        </w:rPr>
        <w:t>②供应商报价低于采购项目最高限价45%的，即谈判报价&lt;采购项目最高限价×45%；</w:t>
      </w:r>
    </w:p>
    <w:p w14:paraId="1E660ECC">
      <w:pPr>
        <w:snapToGrid w:val="0"/>
        <w:spacing w:line="420" w:lineRule="exact"/>
        <w:ind w:firstLine="484" w:firstLineChars="202"/>
        <w:rPr>
          <w:sz w:val="24"/>
          <w:szCs w:val="24"/>
        </w:rPr>
      </w:pPr>
      <w:r>
        <w:rPr>
          <w:rFonts w:hint="eastAsia"/>
          <w:sz w:val="24"/>
          <w:szCs w:val="24"/>
        </w:rPr>
        <w:t>③竞争性谈判小组认定的供应商报价过低、有可能影响产品质量或者不能诚信履约的其他情形。</w:t>
      </w:r>
    </w:p>
    <w:p w14:paraId="4C526F37">
      <w:pPr>
        <w:snapToGrid w:val="0"/>
        <w:spacing w:line="420" w:lineRule="exact"/>
        <w:ind w:firstLine="484" w:firstLineChars="202"/>
        <w:rPr>
          <w:sz w:val="24"/>
          <w:szCs w:val="24"/>
        </w:rPr>
      </w:pPr>
      <w:r>
        <w:rPr>
          <w:rFonts w:hint="eastAsia"/>
          <w:sz w:val="24"/>
          <w:szCs w:val="24"/>
        </w:rPr>
        <w:t>（5）启动异常低价投标审查后，竞争性谈判小组将在现场要求相关供应商在30分钟内，提供项目具体成本测算等与报价合理性相关的书面说明及相关证明材料，对其报价价格做出解释，由竞争性谈判小组结合同类产品在主要电商平台的价格、该行业当地薪资水平等情况，依据专业经验对供应商报价合理性进行判断。供应商不提供书面说明、证明材料，或者提供的书面说明、证明材料不能证明其报价合理性的，竞争性谈判小组应当将其作为无效谈判响应处理，并将审查相关情况在评审报告中进行记录。</w:t>
      </w:r>
    </w:p>
    <w:p w14:paraId="11817949">
      <w:pPr>
        <w:snapToGrid w:val="0"/>
        <w:spacing w:line="420" w:lineRule="exact"/>
        <w:ind w:firstLine="485" w:firstLineChars="202"/>
        <w:rPr>
          <w:b/>
          <w:bCs/>
          <w:sz w:val="24"/>
          <w:szCs w:val="24"/>
          <w:u w:val="thick" w:color="FF0000"/>
        </w:rPr>
      </w:pPr>
      <w:r>
        <w:rPr>
          <w:rFonts w:hint="eastAsia"/>
          <w:b/>
          <w:bCs/>
          <w:sz w:val="24"/>
          <w:szCs w:val="24"/>
          <w:u w:val="thick" w:color="FF0000"/>
        </w:rPr>
        <w:t>6</w:t>
      </w:r>
      <w:r>
        <w:rPr>
          <w:b/>
          <w:bCs/>
          <w:sz w:val="24"/>
          <w:szCs w:val="24"/>
          <w:u w:val="thick" w:color="FF0000"/>
        </w:rPr>
        <w:t>.</w:t>
      </w:r>
      <w:r>
        <w:rPr>
          <w:rFonts w:hint="eastAsia"/>
          <w:b/>
          <w:bCs/>
          <w:sz w:val="24"/>
          <w:szCs w:val="24"/>
          <w:u w:val="thick" w:color="FF0000"/>
        </w:rPr>
        <w:t>采购人以竞争性谈判文件的本条款，授权：竞争性谈判小组以“公平、公正、诚信”为基础，</w:t>
      </w:r>
      <w:bookmarkStart w:id="105" w:name="_Hlk59985969"/>
      <w:r>
        <w:rPr>
          <w:rFonts w:hint="eastAsia"/>
          <w:b/>
          <w:bCs/>
          <w:sz w:val="24"/>
          <w:szCs w:val="24"/>
          <w:u w:val="thick" w:color="FF0000"/>
        </w:rPr>
        <w:t>按“符合采购需求、质量和服务相等且报价最低”</w:t>
      </w:r>
      <w:bookmarkEnd w:id="105"/>
      <w:r>
        <w:rPr>
          <w:rFonts w:hint="eastAsia"/>
          <w:b/>
          <w:bCs/>
          <w:sz w:val="24"/>
          <w:szCs w:val="24"/>
          <w:u w:val="thick" w:color="FF0000"/>
        </w:rPr>
        <w:t>的原则，将最后报价由低到高按序排列，推荐排名第一、二、三的供应商为本项目成交候选人，并确定排名第一的为成交人，编写出具《竞争性谈判评审报告》。</w:t>
      </w:r>
    </w:p>
    <w:p w14:paraId="2F169301">
      <w:pPr>
        <w:snapToGrid w:val="0"/>
        <w:spacing w:line="420" w:lineRule="exact"/>
        <w:ind w:firstLine="484" w:firstLineChars="202"/>
        <w:rPr>
          <w:sz w:val="24"/>
          <w:szCs w:val="24"/>
        </w:rPr>
      </w:pPr>
      <w:r>
        <w:rPr>
          <w:rFonts w:hint="eastAsia"/>
          <w:sz w:val="24"/>
          <w:szCs w:val="24"/>
        </w:rPr>
        <w:t>当成交人放弃成交、因不可抗力不能履行合同，或者被查实存在影响成交结果的违法行为等情形，不符合成交条件的，采购人可以按照竞争性谈判小组提出的成交候选人名单排序依次确定其他成交候选人为成交人，也可以重新开展采购活动。</w:t>
      </w:r>
    </w:p>
    <w:p w14:paraId="4BB874B3">
      <w:pPr>
        <w:snapToGrid w:val="0"/>
        <w:spacing w:line="420" w:lineRule="exact"/>
        <w:ind w:firstLine="484" w:firstLineChars="202"/>
        <w:rPr>
          <w:sz w:val="24"/>
          <w:szCs w:val="24"/>
        </w:rPr>
      </w:pPr>
    </w:p>
    <w:p w14:paraId="10124AA8">
      <w:pPr>
        <w:snapToGrid w:val="0"/>
        <w:spacing w:line="420" w:lineRule="exact"/>
        <w:ind w:firstLine="484" w:firstLineChars="202"/>
        <w:rPr>
          <w:sz w:val="24"/>
          <w:szCs w:val="24"/>
        </w:rPr>
      </w:pPr>
      <w:r>
        <w:rPr>
          <w:sz w:val="24"/>
          <w:szCs w:val="24"/>
        </w:rPr>
        <w:t>7.</w:t>
      </w:r>
      <w:r>
        <w:rPr>
          <w:rFonts w:hint="eastAsia" w:cs="宋体"/>
          <w:sz w:val="24"/>
          <w:szCs w:val="24"/>
        </w:rPr>
        <w:t>竞争性谈判小组成员对竞争性谈判评审程序和细则若有争议，由竞争性谈判小组成员集体讨论确定并对未尽情况有最终解释权。竞争性谈判小组成员对需要共同认定的事项存在争议的，应当按照少数服从多数的原则做出结论。持不同意见的竞争性谈判小组成员应当在竞争性谈判评审报告上签署不同意见及理由，否则视为同意竞争性谈判评审报告。</w:t>
      </w:r>
    </w:p>
    <w:p w14:paraId="28C6D8D6">
      <w:pPr>
        <w:snapToGrid w:val="0"/>
        <w:spacing w:line="420" w:lineRule="exact"/>
        <w:ind w:firstLine="484" w:firstLineChars="202"/>
        <w:rPr>
          <w:sz w:val="24"/>
          <w:szCs w:val="24"/>
        </w:rPr>
      </w:pPr>
      <w:r>
        <w:rPr>
          <w:sz w:val="24"/>
          <w:szCs w:val="24"/>
        </w:rPr>
        <w:t>8.</w:t>
      </w:r>
      <w:r>
        <w:rPr>
          <w:rFonts w:hint="eastAsia" w:cs="宋体"/>
          <w:sz w:val="24"/>
          <w:szCs w:val="24"/>
        </w:rPr>
        <w:t>对落选的谈判响应供应商不做落选原因的解释。</w:t>
      </w:r>
    </w:p>
    <w:p w14:paraId="6F79605B">
      <w:pPr>
        <w:snapToGrid w:val="0"/>
        <w:spacing w:line="420" w:lineRule="exact"/>
        <w:ind w:firstLine="484" w:firstLineChars="202"/>
        <w:rPr>
          <w:rFonts w:cs="宋体"/>
          <w:sz w:val="24"/>
          <w:szCs w:val="24"/>
        </w:rPr>
      </w:pPr>
      <w:r>
        <w:rPr>
          <w:sz w:val="24"/>
          <w:szCs w:val="24"/>
        </w:rPr>
        <w:t>9.</w:t>
      </w:r>
      <w:r>
        <w:rPr>
          <w:rFonts w:hint="eastAsia" w:cs="宋体"/>
          <w:b/>
          <w:bCs/>
          <w:sz w:val="24"/>
          <w:szCs w:val="24"/>
          <w:u w:val="thick" w:color="FF0000"/>
        </w:rPr>
        <w:t>推荐成交人的特殊情况处理</w:t>
      </w:r>
      <w:r>
        <w:rPr>
          <w:rFonts w:hint="eastAsia" w:cs="宋体"/>
          <w:sz w:val="24"/>
          <w:szCs w:val="24"/>
        </w:rPr>
        <w:t>：</w:t>
      </w:r>
    </w:p>
    <w:p w14:paraId="1E72825D">
      <w:pPr>
        <w:snapToGrid w:val="0"/>
        <w:spacing w:line="420" w:lineRule="exact"/>
        <w:ind w:firstLine="484" w:firstLineChars="202"/>
        <w:rPr>
          <w:rFonts w:cs="宋体"/>
          <w:sz w:val="24"/>
          <w:szCs w:val="24"/>
        </w:rPr>
      </w:pPr>
      <w:r>
        <w:rPr>
          <w:rFonts w:hint="eastAsia" w:cs="宋体"/>
          <w:sz w:val="24"/>
          <w:szCs w:val="24"/>
        </w:rPr>
        <w:t>供应商的最后报价相同且报价</w:t>
      </w:r>
      <w:bookmarkStart w:id="106" w:name="_Hlk79541872"/>
      <w:r>
        <w:rPr>
          <w:rFonts w:hint="eastAsia" w:cs="宋体"/>
          <w:sz w:val="24"/>
          <w:szCs w:val="24"/>
        </w:rPr>
        <w:t>排名并列第一</w:t>
      </w:r>
      <w:bookmarkEnd w:id="106"/>
      <w:r>
        <w:rPr>
          <w:rFonts w:hint="eastAsia" w:cs="宋体"/>
          <w:sz w:val="24"/>
          <w:szCs w:val="24"/>
        </w:rPr>
        <w:t>的，以抽签方式确定成交人。</w:t>
      </w:r>
    </w:p>
    <w:p w14:paraId="29FFF4A4">
      <w:pPr>
        <w:snapToGrid w:val="0"/>
        <w:spacing w:line="420" w:lineRule="exact"/>
        <w:ind w:firstLine="484" w:firstLineChars="202"/>
        <w:rPr>
          <w:rFonts w:cs="宋体"/>
          <w:sz w:val="24"/>
          <w:szCs w:val="24"/>
        </w:rPr>
      </w:pPr>
      <w:r>
        <w:rPr>
          <w:rFonts w:hint="eastAsia" w:cs="宋体"/>
          <w:sz w:val="24"/>
          <w:szCs w:val="24"/>
        </w:rPr>
        <w:t>（</w:t>
      </w:r>
      <w:r>
        <w:rPr>
          <w:rFonts w:cs="宋体"/>
          <w:sz w:val="24"/>
          <w:szCs w:val="24"/>
        </w:rPr>
        <w:t>1</w:t>
      </w:r>
      <w:r>
        <w:rPr>
          <w:rFonts w:hint="eastAsia" w:cs="宋体"/>
          <w:sz w:val="24"/>
          <w:szCs w:val="24"/>
        </w:rPr>
        <w:t>）在报价排名并列第一的供应商中进行第一次抽签，抽取</w:t>
      </w:r>
      <w:bookmarkStart w:id="107" w:name="_Hlk79541640"/>
      <w:r>
        <w:rPr>
          <w:rFonts w:hint="eastAsia" w:cs="宋体"/>
          <w:sz w:val="24"/>
          <w:szCs w:val="24"/>
        </w:rPr>
        <w:t>具有第一抽签权的供应商</w:t>
      </w:r>
      <w:bookmarkEnd w:id="107"/>
      <w:r>
        <w:rPr>
          <w:rFonts w:hint="eastAsia" w:cs="宋体"/>
          <w:sz w:val="24"/>
          <w:szCs w:val="24"/>
        </w:rPr>
        <w:t>（抽取时按递交竞争性谈判响应文件的供应商顺序进行）；</w:t>
      </w:r>
    </w:p>
    <w:p w14:paraId="5B58FCA9">
      <w:pPr>
        <w:snapToGrid w:val="0"/>
        <w:spacing w:line="420" w:lineRule="exact"/>
        <w:ind w:firstLine="484" w:firstLineChars="202"/>
        <w:rPr>
          <w:rFonts w:cs="宋体"/>
          <w:sz w:val="24"/>
          <w:szCs w:val="24"/>
        </w:rPr>
      </w:pPr>
      <w:r>
        <w:rPr>
          <w:rFonts w:hint="eastAsia" w:cs="宋体"/>
          <w:sz w:val="24"/>
          <w:szCs w:val="24"/>
        </w:rPr>
        <w:t>（</w:t>
      </w:r>
      <w:r>
        <w:rPr>
          <w:rFonts w:cs="宋体"/>
          <w:sz w:val="24"/>
          <w:szCs w:val="24"/>
        </w:rPr>
        <w:t>2</w:t>
      </w:r>
      <w:r>
        <w:rPr>
          <w:rFonts w:hint="eastAsia" w:cs="宋体"/>
          <w:sz w:val="24"/>
          <w:szCs w:val="24"/>
        </w:rPr>
        <w:t>）由</w:t>
      </w:r>
      <w:bookmarkStart w:id="108" w:name="_Hlk79541802"/>
      <w:r>
        <w:rPr>
          <w:rFonts w:hint="eastAsia" w:cs="宋体"/>
          <w:sz w:val="24"/>
          <w:szCs w:val="24"/>
        </w:rPr>
        <w:t>具有第一抽签权的供应商</w:t>
      </w:r>
      <w:bookmarkEnd w:id="108"/>
      <w:r>
        <w:rPr>
          <w:rFonts w:hint="eastAsia" w:cs="宋体"/>
          <w:sz w:val="24"/>
          <w:szCs w:val="24"/>
        </w:rPr>
        <w:t>首先抽取成交人。</w:t>
      </w:r>
    </w:p>
    <w:p w14:paraId="54DE9597">
      <w:pPr>
        <w:snapToGrid w:val="0"/>
        <w:spacing w:line="420" w:lineRule="exact"/>
        <w:ind w:firstLine="485" w:firstLineChars="202"/>
        <w:outlineLvl w:val="1"/>
        <w:rPr>
          <w:b/>
          <w:bCs/>
          <w:sz w:val="24"/>
          <w:szCs w:val="24"/>
        </w:rPr>
      </w:pPr>
      <w:r>
        <w:rPr>
          <w:rFonts w:hint="eastAsia" w:cs="宋体"/>
          <w:b/>
          <w:bCs/>
          <w:sz w:val="24"/>
          <w:szCs w:val="24"/>
        </w:rPr>
        <w:t>六、出现下列情形之一的，作无效竞争性谈判处理</w:t>
      </w:r>
    </w:p>
    <w:p w14:paraId="7A1DAF53">
      <w:pPr>
        <w:spacing w:line="420" w:lineRule="exact"/>
        <w:ind w:firstLine="484" w:firstLineChars="202"/>
        <w:rPr>
          <w:sz w:val="24"/>
          <w:szCs w:val="24"/>
        </w:rPr>
      </w:pPr>
      <w:r>
        <w:rPr>
          <w:sz w:val="24"/>
          <w:szCs w:val="24"/>
        </w:rPr>
        <w:t>1.</w:t>
      </w:r>
      <w:r>
        <w:rPr>
          <w:rFonts w:hint="eastAsia"/>
          <w:sz w:val="24"/>
          <w:szCs w:val="24"/>
        </w:rPr>
        <w:t>竞争性谈判响应文件</w:t>
      </w:r>
      <w:r>
        <w:rPr>
          <w:rFonts w:hint="eastAsia" w:cs="宋体"/>
          <w:sz w:val="24"/>
          <w:szCs w:val="24"/>
        </w:rPr>
        <w:t>未按竞争性谈判文件要求装订、密封、签署、盖章及主要资料不齐全的；</w:t>
      </w:r>
    </w:p>
    <w:p w14:paraId="5FDBEB73">
      <w:pPr>
        <w:spacing w:line="420" w:lineRule="exact"/>
        <w:ind w:firstLine="484" w:firstLineChars="202"/>
        <w:rPr>
          <w:sz w:val="24"/>
          <w:szCs w:val="24"/>
        </w:rPr>
      </w:pPr>
      <w:r>
        <w:rPr>
          <w:sz w:val="24"/>
          <w:szCs w:val="24"/>
        </w:rPr>
        <w:t>2.</w:t>
      </w:r>
      <w:r>
        <w:rPr>
          <w:rFonts w:hint="eastAsia"/>
          <w:sz w:val="24"/>
          <w:szCs w:val="24"/>
        </w:rPr>
        <w:t>竞争性谈判响应文件</w:t>
      </w:r>
      <w:r>
        <w:rPr>
          <w:rFonts w:hint="eastAsia" w:cs="宋体"/>
          <w:sz w:val="24"/>
          <w:szCs w:val="24"/>
        </w:rPr>
        <w:t>的资料有虚报或者谎报的；</w:t>
      </w:r>
    </w:p>
    <w:p w14:paraId="12E494FD">
      <w:pPr>
        <w:spacing w:line="420" w:lineRule="exact"/>
        <w:ind w:firstLine="484" w:firstLineChars="202"/>
        <w:rPr>
          <w:sz w:val="24"/>
          <w:szCs w:val="24"/>
        </w:rPr>
      </w:pPr>
      <w:r>
        <w:rPr>
          <w:sz w:val="24"/>
          <w:szCs w:val="24"/>
        </w:rPr>
        <w:t>3.</w:t>
      </w:r>
      <w:r>
        <w:rPr>
          <w:rFonts w:hint="eastAsia"/>
          <w:sz w:val="24"/>
          <w:szCs w:val="24"/>
        </w:rPr>
        <w:t>竞争性谈判响应文件</w:t>
      </w:r>
      <w:r>
        <w:rPr>
          <w:rFonts w:hint="eastAsia" w:cs="宋体"/>
          <w:sz w:val="24"/>
          <w:szCs w:val="24"/>
        </w:rPr>
        <w:t>中资格审查文件及技术响应文件出现竞争性谈判报价价格的；</w:t>
      </w:r>
    </w:p>
    <w:p w14:paraId="66346B33">
      <w:pPr>
        <w:spacing w:line="420" w:lineRule="exact"/>
        <w:ind w:firstLine="484" w:firstLineChars="202"/>
        <w:rPr>
          <w:sz w:val="24"/>
          <w:szCs w:val="24"/>
        </w:rPr>
      </w:pPr>
      <w:r>
        <w:rPr>
          <w:sz w:val="24"/>
          <w:szCs w:val="24"/>
        </w:rPr>
        <w:t>4.</w:t>
      </w:r>
      <w:r>
        <w:rPr>
          <w:rFonts w:hint="eastAsia" w:cs="宋体"/>
          <w:sz w:val="24"/>
          <w:szCs w:val="24"/>
        </w:rPr>
        <w:t>不具备竞争性谈判文件规定的资格要求的；</w:t>
      </w:r>
    </w:p>
    <w:p w14:paraId="040173B3">
      <w:pPr>
        <w:spacing w:line="420" w:lineRule="exact"/>
        <w:ind w:firstLine="484" w:firstLineChars="202"/>
        <w:rPr>
          <w:sz w:val="24"/>
          <w:szCs w:val="24"/>
        </w:rPr>
      </w:pPr>
      <w:r>
        <w:rPr>
          <w:sz w:val="24"/>
          <w:szCs w:val="24"/>
        </w:rPr>
        <w:t>5.</w:t>
      </w:r>
      <w:r>
        <w:rPr>
          <w:rFonts w:hint="eastAsia"/>
          <w:sz w:val="24"/>
          <w:szCs w:val="24"/>
        </w:rPr>
        <w:t>竞争性谈判响应文件</w:t>
      </w:r>
      <w:r>
        <w:rPr>
          <w:rFonts w:hint="eastAsia" w:cs="宋体"/>
          <w:sz w:val="24"/>
          <w:szCs w:val="24"/>
        </w:rPr>
        <w:t>有重大漏项或重大不合理的；</w:t>
      </w:r>
    </w:p>
    <w:p w14:paraId="46C04A48">
      <w:pPr>
        <w:spacing w:line="420" w:lineRule="exact"/>
        <w:ind w:firstLine="484" w:firstLineChars="202"/>
        <w:rPr>
          <w:sz w:val="24"/>
          <w:szCs w:val="24"/>
        </w:rPr>
      </w:pPr>
      <w:r>
        <w:rPr>
          <w:sz w:val="24"/>
          <w:szCs w:val="24"/>
        </w:rPr>
        <w:t>6.</w:t>
      </w:r>
      <w:r>
        <w:rPr>
          <w:rFonts w:hint="eastAsia" w:cs="宋体"/>
          <w:sz w:val="24"/>
          <w:szCs w:val="24"/>
        </w:rPr>
        <w:t>项目技术、方案不满足项目需求中的要求，有重大偏离或保留的；</w:t>
      </w:r>
    </w:p>
    <w:p w14:paraId="59EE8518">
      <w:pPr>
        <w:spacing w:line="420" w:lineRule="exact"/>
        <w:ind w:firstLine="484" w:firstLineChars="202"/>
        <w:rPr>
          <w:sz w:val="24"/>
          <w:szCs w:val="24"/>
        </w:rPr>
      </w:pPr>
      <w:r>
        <w:rPr>
          <w:sz w:val="24"/>
          <w:szCs w:val="24"/>
        </w:rPr>
        <w:t>7.</w:t>
      </w:r>
      <w:r>
        <w:rPr>
          <w:rFonts w:hint="eastAsia" w:cs="宋体"/>
          <w:sz w:val="24"/>
          <w:szCs w:val="24"/>
        </w:rPr>
        <w:t>竞争性谈判响应报价超出项目预算的；</w:t>
      </w:r>
    </w:p>
    <w:p w14:paraId="2E74DADD">
      <w:pPr>
        <w:spacing w:line="420" w:lineRule="exact"/>
        <w:ind w:firstLine="484" w:firstLineChars="202"/>
        <w:rPr>
          <w:sz w:val="24"/>
          <w:szCs w:val="24"/>
        </w:rPr>
      </w:pPr>
      <w:r>
        <w:rPr>
          <w:sz w:val="24"/>
          <w:szCs w:val="24"/>
        </w:rPr>
        <w:t>8.</w:t>
      </w:r>
      <w:r>
        <w:rPr>
          <w:rFonts w:hint="eastAsia" w:cs="宋体"/>
          <w:sz w:val="24"/>
          <w:szCs w:val="24"/>
        </w:rPr>
        <w:t>被认定为低于成本报价竞标的；</w:t>
      </w:r>
    </w:p>
    <w:p w14:paraId="53FD0E66">
      <w:pPr>
        <w:spacing w:line="420" w:lineRule="exact"/>
        <w:ind w:firstLine="484" w:firstLineChars="202"/>
        <w:rPr>
          <w:sz w:val="24"/>
          <w:szCs w:val="24"/>
        </w:rPr>
      </w:pPr>
      <w:r>
        <w:rPr>
          <w:sz w:val="24"/>
          <w:szCs w:val="24"/>
        </w:rPr>
        <w:t>9.</w:t>
      </w:r>
      <w:r>
        <w:rPr>
          <w:rFonts w:hint="eastAsia" w:cs="宋体"/>
          <w:sz w:val="24"/>
          <w:szCs w:val="24"/>
        </w:rPr>
        <w:t>不符合法律、法规和竞争性谈判文件中规定的其他实质性响应要求的；</w:t>
      </w:r>
    </w:p>
    <w:p w14:paraId="2E1E4F26">
      <w:pPr>
        <w:spacing w:line="420" w:lineRule="exact"/>
        <w:ind w:firstLine="484" w:firstLineChars="202"/>
        <w:rPr>
          <w:sz w:val="24"/>
          <w:szCs w:val="24"/>
        </w:rPr>
      </w:pPr>
      <w:r>
        <w:rPr>
          <w:sz w:val="24"/>
          <w:szCs w:val="24"/>
        </w:rPr>
        <w:t>10.</w:t>
      </w:r>
      <w:r>
        <w:rPr>
          <w:rFonts w:hint="eastAsia" w:cs="宋体"/>
          <w:sz w:val="24"/>
          <w:szCs w:val="24"/>
        </w:rPr>
        <w:t>竞争性谈判小组依据法律法规可以认定为无效响应的其他情况。</w:t>
      </w:r>
    </w:p>
    <w:p w14:paraId="5BCF3474">
      <w:pPr>
        <w:snapToGrid w:val="0"/>
        <w:spacing w:line="420" w:lineRule="exact"/>
        <w:ind w:firstLine="480" w:firstLineChars="200"/>
        <w:outlineLvl w:val="1"/>
        <w:rPr>
          <w:sz w:val="24"/>
          <w:szCs w:val="24"/>
        </w:rPr>
      </w:pPr>
      <w:r>
        <w:rPr>
          <w:rFonts w:hint="eastAsia" w:cs="宋体"/>
          <w:b/>
          <w:bCs/>
          <w:sz w:val="24"/>
          <w:szCs w:val="24"/>
        </w:rPr>
        <w:t>七、有下列情形之一的，视为竞争性谈判响应供应商恶意串通，其竞争性谈判响应无效</w:t>
      </w:r>
    </w:p>
    <w:p w14:paraId="371C2334">
      <w:pPr>
        <w:snapToGrid w:val="0"/>
        <w:spacing w:line="420" w:lineRule="exact"/>
        <w:ind w:firstLine="484" w:firstLineChars="202"/>
        <w:rPr>
          <w:sz w:val="24"/>
          <w:szCs w:val="24"/>
        </w:rPr>
      </w:pPr>
      <w:r>
        <w:rPr>
          <w:rFonts w:hint="eastAsia"/>
          <w:sz w:val="24"/>
          <w:szCs w:val="24"/>
        </w:rPr>
        <w:t>1.直接或者间接从采购人或者采购代理机构处获得其他供应商的相关情况并修改其响应文件；</w:t>
      </w:r>
    </w:p>
    <w:p w14:paraId="4D7F4C4B">
      <w:pPr>
        <w:snapToGrid w:val="0"/>
        <w:spacing w:line="420" w:lineRule="exact"/>
        <w:ind w:firstLine="484" w:firstLineChars="202"/>
        <w:rPr>
          <w:sz w:val="24"/>
          <w:szCs w:val="24"/>
        </w:rPr>
      </w:pPr>
      <w:r>
        <w:rPr>
          <w:rFonts w:hint="eastAsia"/>
          <w:sz w:val="24"/>
          <w:szCs w:val="24"/>
        </w:rPr>
        <w:t>2.按照采购人或者采购代理机构的授意撤换、修改响应文件；</w:t>
      </w:r>
    </w:p>
    <w:p w14:paraId="279EC140">
      <w:pPr>
        <w:snapToGrid w:val="0"/>
        <w:spacing w:line="420" w:lineRule="exact"/>
        <w:ind w:firstLine="484" w:firstLineChars="202"/>
        <w:rPr>
          <w:sz w:val="24"/>
          <w:szCs w:val="24"/>
        </w:rPr>
      </w:pPr>
      <w:r>
        <w:rPr>
          <w:rFonts w:hint="eastAsia"/>
          <w:sz w:val="24"/>
          <w:szCs w:val="24"/>
        </w:rPr>
        <w:t>3.与其他的供应商协商报价、技术方案等响应文件的实质性内容；</w:t>
      </w:r>
    </w:p>
    <w:p w14:paraId="10686C3A">
      <w:pPr>
        <w:snapToGrid w:val="0"/>
        <w:spacing w:line="420" w:lineRule="exact"/>
        <w:ind w:firstLine="484" w:firstLineChars="202"/>
        <w:rPr>
          <w:sz w:val="24"/>
          <w:szCs w:val="24"/>
        </w:rPr>
      </w:pPr>
      <w:r>
        <w:rPr>
          <w:rFonts w:hint="eastAsia"/>
          <w:sz w:val="24"/>
          <w:szCs w:val="24"/>
        </w:rPr>
        <w:t>4.属于同一集团、协会、商会等组织成员的供应商，按照该组织要求协同参加采购活动；</w:t>
      </w:r>
    </w:p>
    <w:p w14:paraId="110C947C">
      <w:pPr>
        <w:snapToGrid w:val="0"/>
        <w:spacing w:line="420" w:lineRule="exact"/>
        <w:ind w:firstLine="484" w:firstLineChars="202"/>
        <w:rPr>
          <w:sz w:val="24"/>
          <w:szCs w:val="24"/>
        </w:rPr>
      </w:pPr>
      <w:r>
        <w:rPr>
          <w:rFonts w:hint="eastAsia"/>
          <w:sz w:val="24"/>
          <w:szCs w:val="24"/>
        </w:rPr>
        <w:t>5.供应商之间事先约定由某一特定供应商成交；</w:t>
      </w:r>
    </w:p>
    <w:p w14:paraId="2AA9215B">
      <w:pPr>
        <w:snapToGrid w:val="0"/>
        <w:spacing w:line="420" w:lineRule="exact"/>
        <w:ind w:firstLine="484" w:firstLineChars="202"/>
        <w:rPr>
          <w:sz w:val="24"/>
          <w:szCs w:val="24"/>
        </w:rPr>
      </w:pPr>
      <w:r>
        <w:rPr>
          <w:rFonts w:hint="eastAsia"/>
          <w:sz w:val="24"/>
          <w:szCs w:val="24"/>
        </w:rPr>
        <w:t>6.供应商之间商定部分供应商放弃参加采购活动或者放弃成交；</w:t>
      </w:r>
    </w:p>
    <w:p w14:paraId="35715E66">
      <w:pPr>
        <w:snapToGrid w:val="0"/>
        <w:spacing w:line="420" w:lineRule="exact"/>
        <w:ind w:firstLine="484" w:firstLineChars="202"/>
        <w:rPr>
          <w:sz w:val="24"/>
          <w:szCs w:val="24"/>
        </w:rPr>
      </w:pPr>
      <w:r>
        <w:rPr>
          <w:rFonts w:hint="eastAsia"/>
          <w:sz w:val="24"/>
          <w:szCs w:val="24"/>
        </w:rPr>
        <w:t>7.供应商与采购人或者采购代理机构之间、供应商相互之间，为谋求特定供应商成交或者排斥其他供应商的其他串通行为；</w:t>
      </w:r>
    </w:p>
    <w:p w14:paraId="593F4DB0">
      <w:pPr>
        <w:snapToGrid w:val="0"/>
        <w:spacing w:line="420" w:lineRule="exact"/>
        <w:ind w:firstLine="484" w:firstLineChars="202"/>
        <w:rPr>
          <w:sz w:val="24"/>
          <w:szCs w:val="24"/>
        </w:rPr>
      </w:pPr>
      <w:r>
        <w:rPr>
          <w:rFonts w:hint="eastAsia"/>
          <w:sz w:val="24"/>
          <w:szCs w:val="24"/>
        </w:rPr>
        <w:t>8.不同的竞争性谈判响应供应商的竞争性谈判响应文件由同一单位或者个人编制；</w:t>
      </w:r>
    </w:p>
    <w:p w14:paraId="6C944296">
      <w:pPr>
        <w:snapToGrid w:val="0"/>
        <w:spacing w:line="420" w:lineRule="exact"/>
        <w:ind w:firstLine="484" w:firstLineChars="202"/>
        <w:rPr>
          <w:sz w:val="24"/>
          <w:szCs w:val="24"/>
        </w:rPr>
      </w:pPr>
      <w:r>
        <w:rPr>
          <w:rFonts w:hint="eastAsia"/>
          <w:sz w:val="24"/>
          <w:szCs w:val="24"/>
        </w:rPr>
        <w:t>9.不同的竞争性谈判响应供应商委托同一单位或者个人办理竞争性谈判响应事宜；</w:t>
      </w:r>
    </w:p>
    <w:p w14:paraId="0ECB52AE">
      <w:pPr>
        <w:snapToGrid w:val="0"/>
        <w:spacing w:line="420" w:lineRule="exact"/>
        <w:ind w:firstLine="484" w:firstLineChars="202"/>
        <w:rPr>
          <w:sz w:val="24"/>
          <w:szCs w:val="24"/>
        </w:rPr>
      </w:pPr>
      <w:r>
        <w:rPr>
          <w:rFonts w:hint="eastAsia"/>
          <w:sz w:val="24"/>
          <w:szCs w:val="24"/>
        </w:rPr>
        <w:t>10.不同的竞争性谈判响应供应商的竞争性谈判响应文件载明的项目管理成员或者联系人员为同一人；</w:t>
      </w:r>
    </w:p>
    <w:p w14:paraId="292F9D20">
      <w:pPr>
        <w:snapToGrid w:val="0"/>
        <w:spacing w:line="420" w:lineRule="exact"/>
        <w:ind w:firstLine="484" w:firstLineChars="202"/>
        <w:rPr>
          <w:sz w:val="24"/>
          <w:szCs w:val="24"/>
        </w:rPr>
      </w:pPr>
      <w:r>
        <w:rPr>
          <w:rFonts w:hint="eastAsia"/>
          <w:sz w:val="24"/>
          <w:szCs w:val="24"/>
        </w:rPr>
        <w:t>11.不同的竞争性谈判响应供应商的竞争性谈判响应文件异常一致或者首次、二次（最后）报价呈规律性差异；</w:t>
      </w:r>
    </w:p>
    <w:p w14:paraId="22ABAC25">
      <w:pPr>
        <w:snapToGrid w:val="0"/>
        <w:spacing w:line="420" w:lineRule="exact"/>
        <w:ind w:firstLine="484" w:firstLineChars="202"/>
        <w:rPr>
          <w:sz w:val="24"/>
          <w:szCs w:val="24"/>
        </w:rPr>
      </w:pPr>
      <w:r>
        <w:rPr>
          <w:rFonts w:hint="eastAsia"/>
          <w:sz w:val="24"/>
          <w:szCs w:val="24"/>
        </w:rPr>
        <w:t>12.不同的竞争性谈判响应供应商的竞争性谈判响应文件相互混装</w:t>
      </w:r>
      <w:r>
        <w:rPr>
          <w:rFonts w:hint="eastAsia" w:cs="宋体"/>
          <w:sz w:val="24"/>
          <w:szCs w:val="24"/>
        </w:rPr>
        <w:t>。</w:t>
      </w:r>
    </w:p>
    <w:p w14:paraId="2EF7C0EA">
      <w:pPr>
        <w:snapToGrid w:val="0"/>
        <w:spacing w:line="420" w:lineRule="exact"/>
        <w:ind w:firstLine="480" w:firstLineChars="200"/>
        <w:outlineLvl w:val="1"/>
        <w:rPr>
          <w:sz w:val="24"/>
          <w:szCs w:val="24"/>
        </w:rPr>
      </w:pPr>
      <w:r>
        <w:rPr>
          <w:rFonts w:hint="eastAsia" w:cs="宋体"/>
          <w:b/>
          <w:bCs/>
          <w:sz w:val="24"/>
          <w:szCs w:val="24"/>
        </w:rPr>
        <w:t>八、出现下列情形之一的，采购人或者采购代理机构应当终止竞争性谈判采购活动：</w:t>
      </w:r>
    </w:p>
    <w:p w14:paraId="71B090B2">
      <w:pPr>
        <w:snapToGrid w:val="0"/>
        <w:spacing w:line="420" w:lineRule="exact"/>
        <w:ind w:firstLine="484" w:firstLineChars="202"/>
        <w:rPr>
          <w:sz w:val="24"/>
          <w:szCs w:val="24"/>
        </w:rPr>
      </w:pPr>
      <w:r>
        <w:rPr>
          <w:sz w:val="24"/>
          <w:szCs w:val="24"/>
        </w:rPr>
        <w:t>1.</w:t>
      </w:r>
      <w:bookmarkStart w:id="109" w:name="_Hlk74304609"/>
      <w:r>
        <w:rPr>
          <w:rFonts w:hint="eastAsia" w:cs="宋体"/>
          <w:sz w:val="24"/>
          <w:szCs w:val="24"/>
        </w:rPr>
        <w:t>符合资格条件或者对竞争性谈判文件作实质响应的供应商不足</w:t>
      </w:r>
      <w:r>
        <w:rPr>
          <w:sz w:val="24"/>
          <w:szCs w:val="24"/>
        </w:rPr>
        <w:t>3</w:t>
      </w:r>
      <w:r>
        <w:rPr>
          <w:rFonts w:hint="eastAsia" w:cs="宋体"/>
          <w:sz w:val="24"/>
          <w:szCs w:val="24"/>
        </w:rPr>
        <w:t>家的</w:t>
      </w:r>
      <w:bookmarkEnd w:id="109"/>
      <w:r>
        <w:rPr>
          <w:rFonts w:hint="eastAsia" w:cs="宋体"/>
          <w:sz w:val="24"/>
          <w:szCs w:val="24"/>
        </w:rPr>
        <w:t>；</w:t>
      </w:r>
    </w:p>
    <w:p w14:paraId="1DABE5A4">
      <w:pPr>
        <w:snapToGrid w:val="0"/>
        <w:spacing w:line="420" w:lineRule="exact"/>
        <w:ind w:firstLine="484" w:firstLineChars="202"/>
        <w:rPr>
          <w:sz w:val="24"/>
          <w:szCs w:val="24"/>
        </w:rPr>
      </w:pPr>
      <w:r>
        <w:rPr>
          <w:sz w:val="24"/>
          <w:szCs w:val="24"/>
        </w:rPr>
        <w:t>2.</w:t>
      </w:r>
      <w:r>
        <w:rPr>
          <w:rFonts w:hint="eastAsia" w:cs="宋体"/>
          <w:sz w:val="24"/>
          <w:szCs w:val="24"/>
        </w:rPr>
        <w:t>出现影响采购公正的违法违规行为的；</w:t>
      </w:r>
    </w:p>
    <w:p w14:paraId="66958A7C">
      <w:pPr>
        <w:snapToGrid w:val="0"/>
        <w:spacing w:line="420" w:lineRule="exact"/>
        <w:ind w:firstLine="484" w:firstLineChars="202"/>
        <w:rPr>
          <w:sz w:val="24"/>
          <w:szCs w:val="24"/>
        </w:rPr>
      </w:pPr>
      <w:r>
        <w:rPr>
          <w:sz w:val="24"/>
          <w:szCs w:val="24"/>
        </w:rPr>
        <w:t>3.</w:t>
      </w:r>
      <w:r>
        <w:rPr>
          <w:rFonts w:hint="eastAsia" w:cs="宋体"/>
          <w:sz w:val="24"/>
          <w:szCs w:val="24"/>
        </w:rPr>
        <w:t>因重大变故，采购任务被取消的；</w:t>
      </w:r>
    </w:p>
    <w:p w14:paraId="11EEA2F2">
      <w:pPr>
        <w:snapToGrid w:val="0"/>
        <w:spacing w:line="420" w:lineRule="exact"/>
        <w:ind w:firstLine="484" w:firstLineChars="202"/>
        <w:rPr>
          <w:sz w:val="24"/>
          <w:szCs w:val="24"/>
        </w:rPr>
      </w:pPr>
      <w:r>
        <w:rPr>
          <w:sz w:val="24"/>
          <w:szCs w:val="24"/>
        </w:rPr>
        <w:t>4.</w:t>
      </w:r>
      <w:r>
        <w:rPr>
          <w:rFonts w:hint="eastAsia" w:cs="宋体"/>
          <w:sz w:val="24"/>
          <w:szCs w:val="24"/>
        </w:rPr>
        <w:t>供应商的报价均超出了采购预算，采购单位不能支付的；</w:t>
      </w:r>
    </w:p>
    <w:p w14:paraId="0AEDE6F9">
      <w:pPr>
        <w:snapToGrid w:val="0"/>
        <w:spacing w:line="420" w:lineRule="exact"/>
        <w:ind w:firstLine="484" w:firstLineChars="202"/>
        <w:rPr>
          <w:rFonts w:cs="宋体"/>
          <w:sz w:val="24"/>
          <w:szCs w:val="24"/>
        </w:rPr>
      </w:pPr>
      <w:r>
        <w:rPr>
          <w:sz w:val="24"/>
          <w:szCs w:val="24"/>
        </w:rPr>
        <w:t>5.</w:t>
      </w:r>
      <w:r>
        <w:rPr>
          <w:rFonts w:hint="eastAsia" w:cs="宋体"/>
          <w:sz w:val="24"/>
          <w:szCs w:val="24"/>
        </w:rPr>
        <w:t>竞争性谈判小组可以认定为废标的其他情况。</w:t>
      </w:r>
    </w:p>
    <w:p w14:paraId="63C295C1">
      <w:pPr>
        <w:snapToGrid w:val="0"/>
        <w:spacing w:line="420" w:lineRule="exact"/>
        <w:ind w:firstLine="480" w:firstLineChars="200"/>
        <w:outlineLvl w:val="1"/>
        <w:rPr>
          <w:b/>
          <w:bCs/>
          <w:sz w:val="24"/>
          <w:szCs w:val="24"/>
        </w:rPr>
      </w:pPr>
      <w:r>
        <w:rPr>
          <w:rFonts w:hint="eastAsia" w:cs="宋体"/>
          <w:b/>
          <w:bCs/>
          <w:sz w:val="24"/>
          <w:szCs w:val="24"/>
        </w:rPr>
        <w:t>九、在采购活动中因重大变故，采购任务取消的，采购人或者采购代理机构应当终止采购活动，通知所有参加采购活动的供应商，并将项目实施情况和采购任务取消原因报送本级财政部门。</w:t>
      </w:r>
    </w:p>
    <w:p w14:paraId="3AF7E8E7">
      <w:pPr>
        <w:snapToGrid w:val="0"/>
        <w:spacing w:line="420" w:lineRule="exact"/>
        <w:ind w:firstLine="485" w:firstLineChars="202"/>
        <w:outlineLvl w:val="1"/>
        <w:rPr>
          <w:b/>
          <w:bCs/>
          <w:sz w:val="24"/>
          <w:szCs w:val="24"/>
        </w:rPr>
      </w:pPr>
      <w:r>
        <w:rPr>
          <w:rFonts w:hint="eastAsia" w:cs="宋体"/>
          <w:b/>
          <w:bCs/>
          <w:sz w:val="24"/>
          <w:szCs w:val="24"/>
        </w:rPr>
        <w:t>十、成交通知</w:t>
      </w:r>
    </w:p>
    <w:p w14:paraId="53AEACF3">
      <w:pPr>
        <w:spacing w:line="420" w:lineRule="exact"/>
        <w:ind w:firstLine="484" w:firstLineChars="202"/>
        <w:rPr>
          <w:sz w:val="24"/>
          <w:szCs w:val="24"/>
        </w:rPr>
      </w:pPr>
      <w:r>
        <w:rPr>
          <w:rFonts w:hint="eastAsia"/>
          <w:sz w:val="24"/>
          <w:szCs w:val="24"/>
        </w:rPr>
        <w:t>1.采购评审活动结束后，采购单位将采购结果在“南通市崇川区人民政府网(www.chongchuan.gov.cn)→我要看→公示公告栏”内发布；</w:t>
      </w:r>
    </w:p>
    <w:p w14:paraId="6F2DC79B">
      <w:pPr>
        <w:spacing w:line="420" w:lineRule="exact"/>
        <w:ind w:firstLine="484" w:firstLineChars="202"/>
        <w:rPr>
          <w:sz w:val="24"/>
          <w:szCs w:val="24"/>
        </w:rPr>
      </w:pPr>
      <w:r>
        <w:rPr>
          <w:rFonts w:hint="eastAsia"/>
          <w:sz w:val="24"/>
          <w:szCs w:val="24"/>
        </w:rPr>
        <w:t>2.采购结果公告的期限为1个工作日。</w:t>
      </w:r>
    </w:p>
    <w:p w14:paraId="4A4F83A3">
      <w:pPr>
        <w:spacing w:line="420" w:lineRule="exact"/>
        <w:ind w:firstLine="484" w:firstLineChars="202"/>
        <w:rPr>
          <w:sz w:val="24"/>
          <w:szCs w:val="24"/>
        </w:rPr>
      </w:pPr>
      <w:r>
        <w:rPr>
          <w:rFonts w:hint="eastAsia"/>
          <w:sz w:val="24"/>
          <w:szCs w:val="24"/>
        </w:rPr>
        <w:t>3.成交通知书发放条件和途径：采购结果公告的当日起，供应商可至代理机构领取成交通知书。</w:t>
      </w:r>
    </w:p>
    <w:p w14:paraId="4C7CE8FB">
      <w:pPr>
        <w:spacing w:line="420" w:lineRule="exact"/>
        <w:ind w:firstLine="484" w:firstLineChars="202"/>
        <w:rPr>
          <w:rFonts w:cs="宋体"/>
          <w:sz w:val="24"/>
          <w:szCs w:val="24"/>
        </w:rPr>
      </w:pPr>
      <w:r>
        <w:rPr>
          <w:rFonts w:hint="eastAsia"/>
          <w:sz w:val="24"/>
          <w:szCs w:val="24"/>
        </w:rPr>
        <w:t>4.《成交通知书》一经发出，即具有法律效力。采购人、成交人依法承担法律责任。</w:t>
      </w:r>
    </w:p>
    <w:p w14:paraId="7C4FA1D0">
      <w:pPr>
        <w:widowControl/>
        <w:spacing w:line="20" w:lineRule="exact"/>
        <w:jc w:val="left"/>
        <w:rPr>
          <w:rFonts w:cs="宋体"/>
          <w:sz w:val="24"/>
          <w:szCs w:val="24"/>
        </w:rPr>
      </w:pPr>
      <w:r>
        <w:rPr>
          <w:rFonts w:cs="宋体"/>
          <w:sz w:val="24"/>
          <w:szCs w:val="24"/>
        </w:rPr>
        <w:br w:type="page"/>
      </w:r>
    </w:p>
    <w:bookmarkEnd w:id="85"/>
    <w:bookmarkEnd w:id="86"/>
    <w:bookmarkEnd w:id="87"/>
    <w:bookmarkEnd w:id="88"/>
    <w:bookmarkEnd w:id="89"/>
    <w:bookmarkEnd w:id="90"/>
    <w:bookmarkEnd w:id="91"/>
    <w:bookmarkEnd w:id="92"/>
    <w:bookmarkEnd w:id="93"/>
    <w:bookmarkEnd w:id="94"/>
    <w:bookmarkEnd w:id="95"/>
    <w:bookmarkEnd w:id="96"/>
    <w:p w14:paraId="5C98A796">
      <w:pPr>
        <w:tabs>
          <w:tab w:val="left" w:pos="1050"/>
          <w:tab w:val="right" w:leader="dot" w:pos="9402"/>
        </w:tabs>
        <w:spacing w:line="600" w:lineRule="exact"/>
        <w:jc w:val="center"/>
        <w:outlineLvl w:val="0"/>
        <w:rPr>
          <w:b/>
          <w:w w:val="80"/>
          <w:sz w:val="36"/>
          <w:szCs w:val="36"/>
        </w:rPr>
      </w:pPr>
      <w:bookmarkStart w:id="110" w:name="_Toc363573857"/>
      <w:bookmarkEnd w:id="110"/>
      <w:bookmarkStart w:id="111" w:name="_Toc363573858"/>
      <w:bookmarkStart w:id="112" w:name="_Toc94585343"/>
      <w:r>
        <w:rPr>
          <w:b/>
          <w:w w:val="80"/>
          <w:sz w:val="36"/>
          <w:szCs w:val="36"/>
        </w:rPr>
        <w:t>第</w:t>
      </w:r>
      <w:r>
        <w:rPr>
          <w:rFonts w:hint="eastAsia"/>
          <w:b/>
          <w:w w:val="80"/>
          <w:sz w:val="36"/>
          <w:szCs w:val="36"/>
        </w:rPr>
        <w:t>五</w:t>
      </w:r>
      <w:r>
        <w:rPr>
          <w:b/>
          <w:w w:val="80"/>
          <w:sz w:val="36"/>
          <w:szCs w:val="36"/>
        </w:rPr>
        <w:t>章</w:t>
      </w:r>
      <w:bookmarkEnd w:id="111"/>
      <w:bookmarkEnd w:id="112"/>
      <w:r>
        <w:rPr>
          <w:rFonts w:hint="eastAsia"/>
          <w:b/>
          <w:w w:val="80"/>
          <w:sz w:val="36"/>
          <w:szCs w:val="36"/>
        </w:rPr>
        <w:t xml:space="preserve"> 合同条款</w:t>
      </w:r>
    </w:p>
    <w:p w14:paraId="51A0CD57">
      <w:pPr>
        <w:tabs>
          <w:tab w:val="left" w:pos="1050"/>
          <w:tab w:val="right" w:leader="dot" w:pos="9402"/>
        </w:tabs>
        <w:spacing w:before="240" w:beforeLines="100" w:line="520" w:lineRule="exact"/>
        <w:jc w:val="center"/>
        <w:rPr>
          <w:b/>
          <w:bCs/>
          <w:w w:val="80"/>
          <w:sz w:val="36"/>
          <w:szCs w:val="36"/>
        </w:rPr>
      </w:pPr>
      <w:bookmarkStart w:id="113" w:name="_Toc363573859"/>
      <w:r>
        <w:rPr>
          <w:rFonts w:hint="eastAsia" w:cs="宋体"/>
          <w:b/>
          <w:bCs/>
          <w:w w:val="80"/>
          <w:sz w:val="36"/>
          <w:szCs w:val="36"/>
        </w:rPr>
        <w:t>南通市崇川区电子政务外网机房精密空调运行维护和防鼠灭鼠服务采购项目</w:t>
      </w:r>
    </w:p>
    <w:p w14:paraId="20F26789">
      <w:pPr>
        <w:tabs>
          <w:tab w:val="left" w:pos="1050"/>
          <w:tab w:val="right" w:leader="dot" w:pos="9402"/>
        </w:tabs>
        <w:spacing w:before="240" w:beforeLines="100" w:line="520" w:lineRule="exact"/>
        <w:jc w:val="center"/>
        <w:rPr>
          <w:b/>
          <w:bCs/>
          <w:w w:val="80"/>
          <w:sz w:val="44"/>
          <w:szCs w:val="44"/>
        </w:rPr>
      </w:pPr>
      <w:r>
        <w:rPr>
          <w:rFonts w:hint="eastAsia" w:cs="宋体"/>
          <w:b/>
          <w:bCs/>
          <w:w w:val="80"/>
          <w:sz w:val="36"/>
          <w:szCs w:val="36"/>
        </w:rPr>
        <w:t>合同书</w:t>
      </w:r>
    </w:p>
    <w:p w14:paraId="1AF4C3E3">
      <w:pPr>
        <w:spacing w:before="120" w:beforeLines="50" w:after="120" w:afterLines="50" w:line="420" w:lineRule="exact"/>
        <w:jc w:val="center"/>
        <w:rPr>
          <w:rFonts w:cs="宋体"/>
          <w:spacing w:val="46"/>
          <w:sz w:val="24"/>
          <w:szCs w:val="24"/>
        </w:rPr>
      </w:pPr>
      <w:r>
        <w:rPr>
          <w:rFonts w:hint="eastAsia" w:cs="宋体"/>
          <w:b/>
          <w:bCs/>
          <w:i/>
          <w:iCs/>
          <w:szCs w:val="21"/>
          <w:u w:val="thick" w:color="FF0000"/>
        </w:rPr>
        <w:t>注：本合同为草拟，采购结束后，合同项下的甲乙双方可根据项目实际需求，修订详细条款</w:t>
      </w:r>
      <w:r>
        <w:rPr>
          <w:rFonts w:hint="eastAsia" w:cs="宋体"/>
          <w:b/>
          <w:bCs/>
          <w:i/>
          <w:iCs/>
          <w:szCs w:val="21"/>
        </w:rPr>
        <w:t>。</w:t>
      </w:r>
    </w:p>
    <w:p w14:paraId="0E7ABFF3">
      <w:pPr>
        <w:spacing w:line="420" w:lineRule="exact"/>
        <w:rPr>
          <w:rFonts w:cs="宋体"/>
          <w:sz w:val="24"/>
          <w:szCs w:val="24"/>
        </w:rPr>
      </w:pPr>
      <w:r>
        <w:rPr>
          <w:rFonts w:hint="eastAsia" w:cs="宋体"/>
          <w:sz w:val="24"/>
          <w:szCs w:val="24"/>
        </w:rPr>
        <w:t>采购单位（或称甲方）：</w:t>
      </w:r>
      <w:r>
        <w:rPr>
          <w:rFonts w:cs="宋体"/>
          <w:sz w:val="24"/>
          <w:szCs w:val="24"/>
        </w:rPr>
        <w:t xml:space="preserve"> </w:t>
      </w:r>
    </w:p>
    <w:p w14:paraId="453677D6">
      <w:pPr>
        <w:spacing w:line="420" w:lineRule="exact"/>
        <w:rPr>
          <w:sz w:val="24"/>
          <w:szCs w:val="24"/>
        </w:rPr>
      </w:pPr>
      <w:r>
        <w:rPr>
          <w:rFonts w:hint="eastAsia" w:cs="宋体"/>
          <w:sz w:val="24"/>
          <w:szCs w:val="24"/>
        </w:rPr>
        <w:t>成交供应商（或称乙方）：</w:t>
      </w:r>
    </w:p>
    <w:p w14:paraId="55A02861">
      <w:pPr>
        <w:spacing w:line="420" w:lineRule="exact"/>
        <w:rPr>
          <w:sz w:val="24"/>
          <w:szCs w:val="24"/>
        </w:rPr>
      </w:pPr>
      <w:r>
        <w:rPr>
          <w:rFonts w:hint="eastAsia" w:cs="宋体"/>
          <w:sz w:val="24"/>
          <w:szCs w:val="24"/>
        </w:rPr>
        <w:t>签订时间：年 月 日</w:t>
      </w:r>
    </w:p>
    <w:p w14:paraId="7C39F0B2">
      <w:pPr>
        <w:spacing w:line="420" w:lineRule="exact"/>
        <w:rPr>
          <w:sz w:val="24"/>
          <w:szCs w:val="24"/>
          <w:u w:val="single"/>
        </w:rPr>
      </w:pPr>
      <w:r>
        <w:rPr>
          <w:rFonts w:hint="eastAsia" w:cs="宋体"/>
          <w:sz w:val="24"/>
          <w:szCs w:val="24"/>
        </w:rPr>
        <w:t>签订地点：</w:t>
      </w:r>
    </w:p>
    <w:p w14:paraId="55D3C63D">
      <w:pPr>
        <w:spacing w:before="120" w:beforeLines="50" w:line="420" w:lineRule="exact"/>
        <w:ind w:firstLine="480" w:firstLineChars="200"/>
        <w:rPr>
          <w:sz w:val="24"/>
          <w:szCs w:val="24"/>
        </w:rPr>
      </w:pPr>
      <w:r>
        <w:rPr>
          <w:rFonts w:hint="eastAsia" w:cs="宋体"/>
          <w:sz w:val="24"/>
          <w:szCs w:val="24"/>
        </w:rPr>
        <w:t>根据《中华人民共和国政府采购法》、《中华人民共和国民法典》及</w:t>
      </w:r>
      <w:r>
        <w:rPr>
          <w:sz w:val="24"/>
          <w:szCs w:val="24"/>
          <w:u w:val="single"/>
        </w:rPr>
        <w:t xml:space="preserve">  </w:t>
      </w:r>
      <w:r>
        <w:rPr>
          <w:rFonts w:hint="eastAsia" w:cs="宋体"/>
          <w:sz w:val="24"/>
          <w:szCs w:val="24"/>
          <w:u w:val="single"/>
        </w:rPr>
        <w:t>南通市崇川区电子政务外网机房精密空调运行维护和防鼠灭鼠服务采购项目</w:t>
      </w:r>
      <w:r>
        <w:rPr>
          <w:sz w:val="24"/>
          <w:szCs w:val="24"/>
          <w:u w:val="single"/>
        </w:rPr>
        <w:t>[</w:t>
      </w:r>
      <w:r>
        <w:rPr>
          <w:rFonts w:hint="eastAsia" w:cs="宋体"/>
          <w:sz w:val="24"/>
          <w:szCs w:val="24"/>
          <w:u w:val="single"/>
        </w:rPr>
        <w:t>采购编号：</w:t>
      </w:r>
      <w:r>
        <w:rPr>
          <w:rFonts w:cs="宋体"/>
          <w:sz w:val="24"/>
          <w:szCs w:val="24"/>
          <w:u w:val="single"/>
        </w:rPr>
        <w:t>NTHH2026011(JT01)</w:t>
      </w:r>
      <w:r>
        <w:rPr>
          <w:rFonts w:hint="eastAsia"/>
          <w:sz w:val="24"/>
          <w:szCs w:val="24"/>
          <w:u w:val="single"/>
        </w:rPr>
        <w:t>]</w:t>
      </w:r>
      <w:r>
        <w:rPr>
          <w:sz w:val="24"/>
          <w:szCs w:val="24"/>
          <w:u w:val="single"/>
        </w:rPr>
        <w:t xml:space="preserve">  </w:t>
      </w:r>
      <w:r>
        <w:rPr>
          <w:rFonts w:hint="eastAsia" w:cs="宋体"/>
          <w:sz w:val="24"/>
          <w:szCs w:val="24"/>
        </w:rPr>
        <w:t>的采购结果、采购文件及乙方的响应文件，经双方协商一致，签订本合同。</w:t>
      </w:r>
    </w:p>
    <w:p w14:paraId="3868E974">
      <w:pPr>
        <w:spacing w:line="420" w:lineRule="exact"/>
        <w:ind w:firstLine="485" w:firstLineChars="202"/>
        <w:outlineLvl w:val="1"/>
        <w:rPr>
          <w:kern w:val="0"/>
          <w:sz w:val="24"/>
          <w:szCs w:val="24"/>
        </w:rPr>
      </w:pPr>
      <w:r>
        <w:rPr>
          <w:rFonts w:hint="eastAsia" w:cs="宋体"/>
          <w:b/>
          <w:bCs/>
          <w:kern w:val="0"/>
          <w:sz w:val="24"/>
          <w:szCs w:val="24"/>
        </w:rPr>
        <w:t xml:space="preserve">第一部分 </w:t>
      </w:r>
      <w:r>
        <w:rPr>
          <w:rFonts w:hint="eastAsia" w:cs="宋体"/>
          <w:b/>
          <w:bCs/>
          <w:sz w:val="24"/>
          <w:szCs w:val="24"/>
        </w:rPr>
        <w:t>合同一般条款</w:t>
      </w:r>
    </w:p>
    <w:p w14:paraId="2BD0D212">
      <w:pPr>
        <w:spacing w:line="420" w:lineRule="exact"/>
        <w:ind w:firstLine="480" w:firstLineChars="200"/>
        <w:outlineLvl w:val="2"/>
        <w:rPr>
          <w:b/>
          <w:bCs/>
          <w:sz w:val="24"/>
          <w:szCs w:val="24"/>
        </w:rPr>
      </w:pPr>
      <w:r>
        <w:rPr>
          <w:rFonts w:hint="eastAsia" w:cs="宋体"/>
          <w:b/>
          <w:bCs/>
          <w:sz w:val="24"/>
          <w:szCs w:val="24"/>
        </w:rPr>
        <w:t>第一条 合同文件</w:t>
      </w:r>
    </w:p>
    <w:p w14:paraId="0517C898">
      <w:pPr>
        <w:spacing w:line="420" w:lineRule="exact"/>
        <w:ind w:firstLine="480" w:firstLineChars="200"/>
        <w:outlineLvl w:val="3"/>
        <w:rPr>
          <w:b/>
          <w:bCs/>
          <w:sz w:val="24"/>
          <w:szCs w:val="24"/>
        </w:rPr>
      </w:pPr>
      <w:r>
        <w:rPr>
          <w:b/>
          <w:bCs/>
          <w:sz w:val="24"/>
          <w:szCs w:val="24"/>
        </w:rPr>
        <w:t>1.</w:t>
      </w:r>
      <w:r>
        <w:rPr>
          <w:rFonts w:hint="eastAsia" w:cs="宋体"/>
          <w:b/>
          <w:bCs/>
          <w:sz w:val="24"/>
          <w:szCs w:val="24"/>
        </w:rPr>
        <w:t>合同文件适用法律</w:t>
      </w:r>
    </w:p>
    <w:p w14:paraId="7C7730B4">
      <w:pPr>
        <w:spacing w:line="420" w:lineRule="exact"/>
        <w:ind w:firstLine="480" w:firstLineChars="200"/>
        <w:rPr>
          <w:sz w:val="24"/>
          <w:szCs w:val="24"/>
        </w:rPr>
      </w:pPr>
      <w:r>
        <w:rPr>
          <w:rFonts w:hint="eastAsia" w:cs="宋体"/>
          <w:sz w:val="24"/>
          <w:szCs w:val="24"/>
        </w:rPr>
        <w:t>适用于合同文件的法律是中华人民共和国现行法律、法规及甲方所在地的地方性法规。</w:t>
      </w:r>
    </w:p>
    <w:p w14:paraId="03946028">
      <w:pPr>
        <w:spacing w:line="420" w:lineRule="exact"/>
        <w:ind w:firstLine="480" w:firstLineChars="200"/>
        <w:outlineLvl w:val="3"/>
        <w:rPr>
          <w:sz w:val="24"/>
          <w:szCs w:val="24"/>
        </w:rPr>
      </w:pPr>
      <w:r>
        <w:rPr>
          <w:b/>
          <w:bCs/>
          <w:sz w:val="24"/>
          <w:szCs w:val="24"/>
        </w:rPr>
        <w:t>2.</w:t>
      </w:r>
      <w:r>
        <w:rPr>
          <w:rFonts w:hint="eastAsia"/>
          <w:b/>
          <w:bCs/>
          <w:sz w:val="24"/>
          <w:szCs w:val="24"/>
        </w:rPr>
        <w:t>合同文件组成和解释顺序</w:t>
      </w:r>
    </w:p>
    <w:p w14:paraId="6E398E42">
      <w:pPr>
        <w:spacing w:line="420" w:lineRule="exact"/>
        <w:ind w:firstLine="480" w:firstLineChars="200"/>
        <w:rPr>
          <w:sz w:val="24"/>
          <w:szCs w:val="24"/>
        </w:rPr>
      </w:pPr>
      <w:r>
        <w:rPr>
          <w:sz w:val="24"/>
          <w:szCs w:val="24"/>
        </w:rPr>
        <w:t xml:space="preserve">2.1  </w:t>
      </w:r>
      <w:r>
        <w:rPr>
          <w:rFonts w:hint="eastAsia" w:cs="宋体"/>
          <w:sz w:val="24"/>
          <w:szCs w:val="24"/>
        </w:rPr>
        <w:t>合同文件的组成和解释顺序如下：</w:t>
      </w:r>
    </w:p>
    <w:p w14:paraId="31136EDE">
      <w:pPr>
        <w:spacing w:line="420" w:lineRule="exact"/>
        <w:ind w:firstLine="480" w:firstLineChars="200"/>
        <w:rPr>
          <w:sz w:val="24"/>
          <w:szCs w:val="24"/>
        </w:rPr>
      </w:pPr>
      <w:r>
        <w:rPr>
          <w:sz w:val="24"/>
          <w:szCs w:val="24"/>
        </w:rPr>
        <w:t xml:space="preserve">2.1.1 </w:t>
      </w:r>
      <w:r>
        <w:rPr>
          <w:rFonts w:hint="eastAsia" w:cs="宋体"/>
          <w:sz w:val="24"/>
          <w:szCs w:val="24"/>
        </w:rPr>
        <w:t>合同的特殊性条款；</w:t>
      </w:r>
    </w:p>
    <w:p w14:paraId="5190FBE9">
      <w:pPr>
        <w:spacing w:line="420" w:lineRule="exact"/>
        <w:ind w:firstLine="480" w:firstLineChars="200"/>
        <w:rPr>
          <w:sz w:val="24"/>
          <w:szCs w:val="24"/>
        </w:rPr>
      </w:pPr>
      <w:r>
        <w:rPr>
          <w:sz w:val="24"/>
          <w:szCs w:val="24"/>
        </w:rPr>
        <w:t xml:space="preserve">2.1.2 </w:t>
      </w:r>
      <w:r>
        <w:rPr>
          <w:rFonts w:hint="eastAsia" w:cs="宋体"/>
          <w:sz w:val="24"/>
          <w:szCs w:val="24"/>
        </w:rPr>
        <w:t>合同的一般性条款；</w:t>
      </w:r>
    </w:p>
    <w:p w14:paraId="421CFB80">
      <w:pPr>
        <w:spacing w:line="420" w:lineRule="exact"/>
        <w:ind w:firstLine="480" w:firstLineChars="200"/>
        <w:rPr>
          <w:sz w:val="24"/>
          <w:szCs w:val="24"/>
        </w:rPr>
      </w:pPr>
      <w:r>
        <w:rPr>
          <w:sz w:val="24"/>
          <w:szCs w:val="24"/>
        </w:rPr>
        <w:t xml:space="preserve">2.1.3 </w:t>
      </w:r>
      <w:r>
        <w:rPr>
          <w:rFonts w:hint="eastAsia" w:cs="宋体"/>
          <w:sz w:val="24"/>
          <w:szCs w:val="24"/>
        </w:rPr>
        <w:t>洽商、变更等明确双方权利义务的纪要、协议；</w:t>
      </w:r>
    </w:p>
    <w:p w14:paraId="6CE93FE1">
      <w:pPr>
        <w:spacing w:line="420" w:lineRule="exact"/>
        <w:ind w:firstLine="480" w:firstLineChars="200"/>
        <w:rPr>
          <w:sz w:val="24"/>
          <w:szCs w:val="24"/>
        </w:rPr>
      </w:pPr>
      <w:r>
        <w:rPr>
          <w:sz w:val="24"/>
          <w:szCs w:val="24"/>
        </w:rPr>
        <w:t xml:space="preserve">2.1.4 </w:t>
      </w:r>
      <w:r>
        <w:rPr>
          <w:rFonts w:hint="eastAsia" w:cs="宋体"/>
          <w:sz w:val="24"/>
          <w:szCs w:val="24"/>
        </w:rPr>
        <w:t>成交通知书、采购文件和乙方竞标的响应文件；</w:t>
      </w:r>
    </w:p>
    <w:p w14:paraId="4B448789">
      <w:pPr>
        <w:spacing w:line="420" w:lineRule="exact"/>
        <w:ind w:firstLine="480" w:firstLineChars="200"/>
        <w:rPr>
          <w:sz w:val="24"/>
          <w:szCs w:val="24"/>
        </w:rPr>
      </w:pPr>
      <w:r>
        <w:rPr>
          <w:sz w:val="24"/>
          <w:szCs w:val="24"/>
        </w:rPr>
        <w:t xml:space="preserve">2.1.5 </w:t>
      </w:r>
      <w:r>
        <w:rPr>
          <w:rFonts w:hint="eastAsia" w:cs="宋体"/>
          <w:sz w:val="24"/>
          <w:szCs w:val="24"/>
        </w:rPr>
        <w:t>标准、规范和其它有关技术资料、技术要求；</w:t>
      </w:r>
    </w:p>
    <w:p w14:paraId="1F1062B8">
      <w:pPr>
        <w:spacing w:line="420" w:lineRule="exact"/>
        <w:ind w:firstLine="480" w:firstLineChars="200"/>
        <w:rPr>
          <w:sz w:val="24"/>
          <w:szCs w:val="24"/>
        </w:rPr>
      </w:pPr>
      <w:r>
        <w:rPr>
          <w:sz w:val="24"/>
          <w:szCs w:val="24"/>
        </w:rPr>
        <w:t xml:space="preserve">2.2 </w:t>
      </w:r>
      <w:r>
        <w:rPr>
          <w:rFonts w:hint="eastAsia" w:cs="宋体"/>
          <w:sz w:val="24"/>
          <w:szCs w:val="24"/>
        </w:rPr>
        <w:t>合同的特殊性条款的效力优于合同的一般性条款的效力。</w:t>
      </w:r>
    </w:p>
    <w:p w14:paraId="52A7FF6A">
      <w:pPr>
        <w:spacing w:line="420" w:lineRule="exact"/>
        <w:ind w:firstLine="480" w:firstLineChars="200"/>
        <w:outlineLvl w:val="3"/>
        <w:rPr>
          <w:sz w:val="24"/>
          <w:szCs w:val="24"/>
        </w:rPr>
      </w:pPr>
      <w:r>
        <w:rPr>
          <w:b/>
          <w:bCs/>
          <w:sz w:val="24"/>
          <w:szCs w:val="24"/>
        </w:rPr>
        <w:t>3.</w:t>
      </w:r>
      <w:r>
        <w:rPr>
          <w:rFonts w:hint="eastAsia"/>
          <w:b/>
          <w:bCs/>
          <w:sz w:val="24"/>
          <w:szCs w:val="24"/>
        </w:rPr>
        <w:t>合同文件使用文字</w:t>
      </w:r>
    </w:p>
    <w:p w14:paraId="11FE65CB">
      <w:pPr>
        <w:spacing w:line="420" w:lineRule="exact"/>
        <w:ind w:firstLine="480" w:firstLineChars="200"/>
        <w:rPr>
          <w:sz w:val="24"/>
          <w:szCs w:val="24"/>
        </w:rPr>
      </w:pPr>
      <w:r>
        <w:rPr>
          <w:sz w:val="24"/>
          <w:szCs w:val="24"/>
        </w:rPr>
        <w:t xml:space="preserve">3.1  </w:t>
      </w:r>
      <w:r>
        <w:rPr>
          <w:rFonts w:hint="eastAsia" w:cs="宋体"/>
          <w:sz w:val="24"/>
          <w:szCs w:val="24"/>
        </w:rPr>
        <w:t>合同文件使用中文书写、解释和说明</w:t>
      </w:r>
    </w:p>
    <w:p w14:paraId="6793DFE1">
      <w:pPr>
        <w:spacing w:line="420" w:lineRule="exact"/>
        <w:ind w:firstLine="480" w:firstLineChars="200"/>
        <w:rPr>
          <w:sz w:val="24"/>
          <w:szCs w:val="24"/>
        </w:rPr>
      </w:pPr>
      <w:r>
        <w:rPr>
          <w:sz w:val="24"/>
          <w:szCs w:val="24"/>
        </w:rPr>
        <w:t xml:space="preserve">3.2  </w:t>
      </w:r>
      <w:r>
        <w:rPr>
          <w:rFonts w:hint="eastAsia" w:cs="宋体"/>
          <w:sz w:val="24"/>
          <w:szCs w:val="24"/>
        </w:rPr>
        <w:t>合同文件使用特殊性条款约定的国家标准和规范；国家没有相应标准、规范时，可使用特殊性条款约定的行业或甲方所在地地方的标准、规范。甲方应按特殊性条款约定的时间向乙方提供一式两份约定的标准和规范（如涉有）。</w:t>
      </w:r>
    </w:p>
    <w:p w14:paraId="2F00B15A">
      <w:pPr>
        <w:spacing w:line="420" w:lineRule="exact"/>
        <w:ind w:firstLine="480" w:firstLineChars="200"/>
        <w:outlineLvl w:val="2"/>
        <w:rPr>
          <w:sz w:val="24"/>
          <w:szCs w:val="24"/>
        </w:rPr>
      </w:pPr>
      <w:r>
        <w:rPr>
          <w:rFonts w:hint="eastAsia" w:cs="宋体"/>
          <w:b/>
          <w:bCs/>
          <w:sz w:val="24"/>
          <w:szCs w:val="24"/>
        </w:rPr>
        <w:t>第二条 标的物的一般条款</w:t>
      </w:r>
    </w:p>
    <w:p w14:paraId="48A091C7">
      <w:pPr>
        <w:spacing w:line="420" w:lineRule="exact"/>
        <w:ind w:firstLine="480" w:firstLineChars="200"/>
        <w:outlineLvl w:val="3"/>
        <w:rPr>
          <w:sz w:val="24"/>
          <w:szCs w:val="24"/>
        </w:rPr>
      </w:pPr>
      <w:r>
        <w:rPr>
          <w:b/>
          <w:bCs/>
          <w:sz w:val="24"/>
          <w:szCs w:val="24"/>
        </w:rPr>
        <w:t>4.</w:t>
      </w:r>
      <w:r>
        <w:rPr>
          <w:rFonts w:hint="eastAsia"/>
          <w:b/>
          <w:bCs/>
          <w:sz w:val="24"/>
          <w:szCs w:val="24"/>
        </w:rPr>
        <w:t>完整物权</w:t>
      </w:r>
    </w:p>
    <w:p w14:paraId="53054F17">
      <w:pPr>
        <w:spacing w:line="420" w:lineRule="exact"/>
        <w:ind w:firstLine="480" w:firstLineChars="200"/>
        <w:rPr>
          <w:sz w:val="24"/>
          <w:szCs w:val="24"/>
        </w:rPr>
      </w:pPr>
      <w:r>
        <w:rPr>
          <w:rFonts w:hint="eastAsia" w:cs="宋体"/>
          <w:sz w:val="24"/>
          <w:szCs w:val="24"/>
        </w:rPr>
        <w:t>对于提供的标的服务，乙方应当拥有完整物权，并且乙方负有保证第三人不得向甲方主张任何权利（包括知识产权）的义务。</w:t>
      </w:r>
    </w:p>
    <w:p w14:paraId="0DB8105B">
      <w:pPr>
        <w:spacing w:line="420" w:lineRule="exact"/>
        <w:ind w:firstLine="480" w:firstLineChars="200"/>
        <w:outlineLvl w:val="3"/>
        <w:rPr>
          <w:sz w:val="24"/>
          <w:szCs w:val="24"/>
        </w:rPr>
      </w:pPr>
      <w:r>
        <w:rPr>
          <w:b/>
          <w:bCs/>
          <w:sz w:val="24"/>
          <w:szCs w:val="24"/>
        </w:rPr>
        <w:t>5.</w:t>
      </w:r>
      <w:r>
        <w:rPr>
          <w:rFonts w:hint="eastAsia"/>
          <w:b/>
          <w:bCs/>
          <w:sz w:val="24"/>
          <w:szCs w:val="24"/>
        </w:rPr>
        <w:t>质量保证</w:t>
      </w:r>
    </w:p>
    <w:p w14:paraId="69583538">
      <w:pPr>
        <w:spacing w:line="420" w:lineRule="exact"/>
        <w:ind w:firstLine="480" w:firstLineChars="200"/>
        <w:rPr>
          <w:sz w:val="24"/>
          <w:szCs w:val="24"/>
        </w:rPr>
      </w:pPr>
      <w:r>
        <w:rPr>
          <w:rFonts w:hint="eastAsia" w:cs="宋体"/>
          <w:sz w:val="24"/>
          <w:szCs w:val="24"/>
        </w:rPr>
        <w:t>由乙方按采购文件要求，遵照竞标响应而编制的供货方案，提供标的物质量、标准，合同履约执行期间按此标准执行。</w:t>
      </w:r>
    </w:p>
    <w:p w14:paraId="77FE8E17">
      <w:pPr>
        <w:spacing w:line="420" w:lineRule="exact"/>
        <w:ind w:firstLine="480" w:firstLineChars="200"/>
        <w:outlineLvl w:val="2"/>
        <w:rPr>
          <w:sz w:val="24"/>
          <w:szCs w:val="24"/>
        </w:rPr>
      </w:pPr>
      <w:r>
        <w:rPr>
          <w:rFonts w:hint="eastAsia" w:cs="宋体"/>
          <w:b/>
          <w:bCs/>
          <w:sz w:val="24"/>
          <w:szCs w:val="24"/>
        </w:rPr>
        <w:t>第三条 对标的物质量提出异议的时间和办法</w:t>
      </w:r>
    </w:p>
    <w:p w14:paraId="7B9E0602">
      <w:pPr>
        <w:spacing w:line="420" w:lineRule="exact"/>
        <w:ind w:firstLine="480" w:firstLineChars="200"/>
        <w:outlineLvl w:val="3"/>
        <w:rPr>
          <w:sz w:val="24"/>
          <w:szCs w:val="24"/>
        </w:rPr>
      </w:pPr>
      <w:r>
        <w:rPr>
          <w:b/>
          <w:bCs/>
          <w:sz w:val="24"/>
          <w:szCs w:val="24"/>
        </w:rPr>
        <w:t>6.</w:t>
      </w:r>
      <w:r>
        <w:rPr>
          <w:rFonts w:hint="eastAsia"/>
          <w:b/>
          <w:bCs/>
          <w:sz w:val="24"/>
          <w:szCs w:val="24"/>
        </w:rPr>
        <w:t>提出异议的时间和办法</w:t>
      </w:r>
    </w:p>
    <w:p w14:paraId="78596C17">
      <w:pPr>
        <w:spacing w:line="420" w:lineRule="exact"/>
        <w:ind w:firstLine="480" w:firstLineChars="200"/>
        <w:rPr>
          <w:sz w:val="24"/>
          <w:szCs w:val="24"/>
        </w:rPr>
      </w:pPr>
      <w:r>
        <w:rPr>
          <w:sz w:val="24"/>
          <w:szCs w:val="24"/>
        </w:rPr>
        <w:t>6.1</w:t>
      </w:r>
      <w:r>
        <w:rPr>
          <w:rFonts w:hint="eastAsia" w:cs="宋体"/>
          <w:sz w:val="24"/>
          <w:szCs w:val="24"/>
        </w:rPr>
        <w:t>乙方在履约期间，若甲方认为乙方的货物质量未达到合同规定的。</w:t>
      </w:r>
    </w:p>
    <w:p w14:paraId="1994A7D1">
      <w:pPr>
        <w:spacing w:line="420" w:lineRule="exact"/>
        <w:ind w:firstLine="480" w:firstLineChars="200"/>
        <w:rPr>
          <w:sz w:val="24"/>
          <w:szCs w:val="24"/>
        </w:rPr>
      </w:pPr>
      <w:r>
        <w:rPr>
          <w:sz w:val="24"/>
          <w:szCs w:val="24"/>
        </w:rPr>
        <w:t>6.2</w:t>
      </w:r>
      <w:r>
        <w:rPr>
          <w:rFonts w:hint="eastAsia" w:cs="宋体"/>
          <w:sz w:val="24"/>
          <w:szCs w:val="24"/>
        </w:rPr>
        <w:t>如甲方在验收期满后既不出具验收合格证明又未提出书面异议的视为乙方所交标的物（含伴随服务）符合合同规定。</w:t>
      </w:r>
    </w:p>
    <w:p w14:paraId="76F6C155">
      <w:pPr>
        <w:spacing w:line="420" w:lineRule="exact"/>
        <w:ind w:firstLine="480" w:firstLineChars="200"/>
        <w:outlineLvl w:val="2"/>
        <w:rPr>
          <w:sz w:val="24"/>
          <w:szCs w:val="24"/>
        </w:rPr>
      </w:pPr>
      <w:r>
        <w:rPr>
          <w:rFonts w:hint="eastAsia" w:cs="宋体"/>
          <w:b/>
          <w:bCs/>
          <w:sz w:val="24"/>
          <w:szCs w:val="24"/>
        </w:rPr>
        <w:t>第四条 合同价款和支付</w:t>
      </w:r>
    </w:p>
    <w:p w14:paraId="7363D3DC">
      <w:pPr>
        <w:spacing w:line="420" w:lineRule="exact"/>
        <w:ind w:firstLine="480" w:firstLineChars="200"/>
        <w:outlineLvl w:val="3"/>
        <w:rPr>
          <w:sz w:val="24"/>
          <w:szCs w:val="24"/>
        </w:rPr>
      </w:pPr>
      <w:r>
        <w:rPr>
          <w:b/>
          <w:bCs/>
          <w:sz w:val="24"/>
          <w:szCs w:val="24"/>
        </w:rPr>
        <w:t>7.</w:t>
      </w:r>
      <w:r>
        <w:rPr>
          <w:rFonts w:hint="eastAsia"/>
          <w:b/>
          <w:bCs/>
          <w:sz w:val="24"/>
          <w:szCs w:val="24"/>
        </w:rPr>
        <w:t>合同价款和支付</w:t>
      </w:r>
    </w:p>
    <w:p w14:paraId="57C39409">
      <w:pPr>
        <w:spacing w:line="420" w:lineRule="exact"/>
        <w:ind w:firstLine="480" w:firstLineChars="200"/>
        <w:rPr>
          <w:sz w:val="24"/>
          <w:szCs w:val="24"/>
        </w:rPr>
      </w:pPr>
      <w:r>
        <w:rPr>
          <w:sz w:val="24"/>
          <w:szCs w:val="24"/>
        </w:rPr>
        <w:t>7.1</w:t>
      </w:r>
      <w:r>
        <w:rPr>
          <w:rFonts w:hint="eastAsia" w:cs="宋体"/>
          <w:sz w:val="24"/>
          <w:szCs w:val="24"/>
        </w:rPr>
        <w:t>本合同的结算货币为人民币，单位元。</w:t>
      </w:r>
    </w:p>
    <w:p w14:paraId="0512F384">
      <w:pPr>
        <w:spacing w:line="420" w:lineRule="exact"/>
        <w:ind w:firstLine="480" w:firstLineChars="200"/>
        <w:rPr>
          <w:sz w:val="24"/>
          <w:szCs w:val="24"/>
        </w:rPr>
      </w:pPr>
      <w:r>
        <w:rPr>
          <w:sz w:val="24"/>
          <w:szCs w:val="24"/>
        </w:rPr>
        <w:t>7.2</w:t>
      </w:r>
      <w:r>
        <w:rPr>
          <w:rFonts w:hint="eastAsia" w:cs="宋体"/>
          <w:sz w:val="24"/>
          <w:szCs w:val="24"/>
        </w:rPr>
        <w:t>乙方应按照双方签订的合同规定，在合同特殊条款规定的期限内持下列单据结算合同款项。</w:t>
      </w:r>
    </w:p>
    <w:p w14:paraId="4314C50D">
      <w:pPr>
        <w:spacing w:line="420" w:lineRule="exact"/>
        <w:ind w:firstLine="480" w:firstLineChars="200"/>
        <w:rPr>
          <w:sz w:val="24"/>
          <w:szCs w:val="24"/>
        </w:rPr>
      </w:pPr>
      <w:r>
        <w:rPr>
          <w:sz w:val="24"/>
          <w:szCs w:val="24"/>
        </w:rPr>
        <w:t>7.2.1</w:t>
      </w:r>
      <w:r>
        <w:rPr>
          <w:rFonts w:hint="eastAsia" w:cs="宋体"/>
          <w:sz w:val="24"/>
          <w:szCs w:val="24"/>
        </w:rPr>
        <w:t>合格的发票；</w:t>
      </w:r>
    </w:p>
    <w:p w14:paraId="0ED8631C">
      <w:pPr>
        <w:spacing w:line="420" w:lineRule="exact"/>
        <w:ind w:firstLine="480" w:firstLineChars="200"/>
        <w:rPr>
          <w:sz w:val="24"/>
          <w:szCs w:val="24"/>
        </w:rPr>
      </w:pPr>
      <w:r>
        <w:rPr>
          <w:sz w:val="24"/>
          <w:szCs w:val="24"/>
        </w:rPr>
        <w:t>7.2.2</w:t>
      </w:r>
      <w:r>
        <w:rPr>
          <w:rFonts w:hint="eastAsia" w:cs="宋体"/>
          <w:sz w:val="24"/>
          <w:szCs w:val="24"/>
        </w:rPr>
        <w:t>甲方盖章后的验收合格证明。</w:t>
      </w:r>
    </w:p>
    <w:p w14:paraId="1E5EE56B">
      <w:pPr>
        <w:spacing w:line="420" w:lineRule="exact"/>
        <w:ind w:firstLine="480" w:firstLineChars="200"/>
        <w:rPr>
          <w:sz w:val="24"/>
          <w:szCs w:val="24"/>
        </w:rPr>
      </w:pPr>
      <w:r>
        <w:rPr>
          <w:sz w:val="24"/>
          <w:szCs w:val="24"/>
        </w:rPr>
        <w:t>7.3</w:t>
      </w:r>
      <w:r>
        <w:rPr>
          <w:rFonts w:hint="eastAsia" w:cs="宋体"/>
          <w:sz w:val="24"/>
          <w:szCs w:val="24"/>
        </w:rPr>
        <w:t>甲方应按合同特殊条款规定的期限和方式付款。</w:t>
      </w:r>
    </w:p>
    <w:p w14:paraId="3993EED9">
      <w:pPr>
        <w:spacing w:line="420" w:lineRule="exact"/>
        <w:ind w:firstLine="480" w:firstLineChars="200"/>
        <w:rPr>
          <w:sz w:val="24"/>
          <w:szCs w:val="24"/>
        </w:rPr>
      </w:pPr>
      <w:r>
        <w:rPr>
          <w:sz w:val="24"/>
          <w:szCs w:val="24"/>
        </w:rPr>
        <w:t>7.4</w:t>
      </w:r>
      <w:r>
        <w:rPr>
          <w:rFonts w:hint="eastAsia" w:cs="宋体"/>
          <w:sz w:val="24"/>
          <w:szCs w:val="24"/>
        </w:rPr>
        <w:t>根据现行税法对甲方征收的与本合同有关的一切税费均由甲方承担；根据现行税法对乙方征收的与本合同有关的一切税费均由乙方承担。</w:t>
      </w:r>
    </w:p>
    <w:p w14:paraId="7B3EBE6A">
      <w:pPr>
        <w:spacing w:line="420" w:lineRule="exact"/>
        <w:ind w:firstLine="480" w:firstLineChars="200"/>
        <w:outlineLvl w:val="2"/>
        <w:rPr>
          <w:sz w:val="24"/>
          <w:szCs w:val="24"/>
        </w:rPr>
      </w:pPr>
      <w:r>
        <w:rPr>
          <w:rFonts w:hint="eastAsia" w:cs="宋体"/>
          <w:b/>
          <w:bCs/>
          <w:sz w:val="24"/>
          <w:szCs w:val="24"/>
        </w:rPr>
        <w:t>第五条 违约责任</w:t>
      </w:r>
    </w:p>
    <w:p w14:paraId="311BE291">
      <w:pPr>
        <w:spacing w:line="420" w:lineRule="exact"/>
        <w:ind w:firstLine="480" w:firstLineChars="200"/>
        <w:outlineLvl w:val="3"/>
        <w:rPr>
          <w:sz w:val="24"/>
          <w:szCs w:val="24"/>
        </w:rPr>
      </w:pPr>
      <w:r>
        <w:rPr>
          <w:b/>
          <w:bCs/>
          <w:sz w:val="24"/>
          <w:szCs w:val="24"/>
        </w:rPr>
        <w:t>8.</w:t>
      </w:r>
      <w:r>
        <w:rPr>
          <w:rFonts w:hint="eastAsia"/>
          <w:b/>
          <w:bCs/>
          <w:sz w:val="24"/>
          <w:szCs w:val="24"/>
        </w:rPr>
        <w:t>违约责任</w:t>
      </w:r>
    </w:p>
    <w:p w14:paraId="15CFAA79">
      <w:pPr>
        <w:spacing w:line="420" w:lineRule="exact"/>
        <w:ind w:firstLine="480" w:firstLineChars="200"/>
        <w:rPr>
          <w:sz w:val="24"/>
          <w:szCs w:val="24"/>
        </w:rPr>
      </w:pPr>
      <w:r>
        <w:rPr>
          <w:rFonts w:hint="eastAsia" w:cs="宋体"/>
          <w:sz w:val="24"/>
          <w:szCs w:val="24"/>
        </w:rPr>
        <w:t>合同一方不履行合同义务或者履行合同义务不符合约定的，应当承担继续履行、采取补救措施或者赔偿损失等违约责任。</w:t>
      </w:r>
    </w:p>
    <w:p w14:paraId="5ACB969B">
      <w:pPr>
        <w:spacing w:line="420" w:lineRule="exact"/>
        <w:ind w:firstLine="480" w:firstLineChars="200"/>
        <w:outlineLvl w:val="3"/>
        <w:rPr>
          <w:sz w:val="24"/>
          <w:szCs w:val="24"/>
        </w:rPr>
      </w:pPr>
      <w:r>
        <w:rPr>
          <w:b/>
          <w:bCs/>
          <w:sz w:val="24"/>
          <w:szCs w:val="24"/>
        </w:rPr>
        <w:t>9.</w:t>
      </w:r>
      <w:r>
        <w:rPr>
          <w:rFonts w:hint="eastAsia"/>
          <w:b/>
          <w:bCs/>
          <w:sz w:val="24"/>
          <w:szCs w:val="24"/>
        </w:rPr>
        <w:t>甲方违约责任</w:t>
      </w:r>
    </w:p>
    <w:p w14:paraId="4F5DB06B">
      <w:pPr>
        <w:spacing w:line="420" w:lineRule="exact"/>
        <w:ind w:firstLine="480" w:firstLineChars="200"/>
        <w:rPr>
          <w:rFonts w:cs="宋体"/>
          <w:sz w:val="24"/>
          <w:szCs w:val="24"/>
        </w:rPr>
      </w:pPr>
      <w:r>
        <w:rPr>
          <w:rFonts w:hint="eastAsia" w:cs="宋体"/>
          <w:sz w:val="24"/>
          <w:szCs w:val="24"/>
        </w:rPr>
        <w:t>9.1 在合同生效后，甲方要求取消服务的，应向乙方偿付合同总价金额的5%作为违约金，违约金不足以补偿损失的，乙方有权要求甲方补足。</w:t>
      </w:r>
    </w:p>
    <w:p w14:paraId="5845D93A">
      <w:pPr>
        <w:spacing w:line="420" w:lineRule="exact"/>
        <w:ind w:firstLine="480" w:firstLineChars="200"/>
        <w:rPr>
          <w:rFonts w:cs="宋体"/>
          <w:sz w:val="24"/>
          <w:szCs w:val="24"/>
        </w:rPr>
      </w:pPr>
      <w:r>
        <w:rPr>
          <w:rFonts w:hint="eastAsia" w:cs="宋体"/>
          <w:sz w:val="24"/>
          <w:szCs w:val="24"/>
        </w:rPr>
        <w:t>9.2 甲方逾期付款的应按照逾期付款金额，以“全国银行间同业拆借中心公布的贷款市场报价利率”（LPR）标准，计算应付款项至付清日止的逾期付款违约金。</w:t>
      </w:r>
    </w:p>
    <w:p w14:paraId="0AAB768B">
      <w:pPr>
        <w:spacing w:line="420" w:lineRule="exact"/>
        <w:ind w:firstLine="480" w:firstLineChars="200"/>
        <w:outlineLvl w:val="3"/>
        <w:rPr>
          <w:sz w:val="24"/>
          <w:szCs w:val="24"/>
        </w:rPr>
      </w:pPr>
      <w:r>
        <w:rPr>
          <w:b/>
          <w:bCs/>
          <w:sz w:val="24"/>
          <w:szCs w:val="24"/>
        </w:rPr>
        <w:t>10.</w:t>
      </w:r>
      <w:r>
        <w:rPr>
          <w:rFonts w:hint="eastAsia"/>
          <w:b/>
          <w:bCs/>
          <w:sz w:val="24"/>
          <w:szCs w:val="24"/>
        </w:rPr>
        <w:t>乙方违约责任</w:t>
      </w:r>
    </w:p>
    <w:p w14:paraId="6EEF5842">
      <w:pPr>
        <w:spacing w:line="420" w:lineRule="exact"/>
        <w:ind w:firstLine="480" w:firstLineChars="200"/>
        <w:rPr>
          <w:sz w:val="24"/>
          <w:szCs w:val="24"/>
        </w:rPr>
      </w:pPr>
      <w:r>
        <w:rPr>
          <w:rFonts w:hint="eastAsia"/>
          <w:sz w:val="24"/>
          <w:szCs w:val="24"/>
        </w:rPr>
        <w:t>10.1 乙方不能按时提供服务的，甲方有权解除合同，乙方应在合同解除生效之日起的10个工作日内，向甲方偿付合同总价金额的5%作为违约金，违约金不足以补偿损失的甲方有权要求乙方补足。</w:t>
      </w:r>
    </w:p>
    <w:p w14:paraId="6F19CACB">
      <w:pPr>
        <w:spacing w:line="420" w:lineRule="exact"/>
        <w:ind w:firstLine="480" w:firstLineChars="200"/>
        <w:rPr>
          <w:b/>
          <w:bCs/>
          <w:sz w:val="24"/>
          <w:szCs w:val="24"/>
        </w:rPr>
      </w:pPr>
      <w:r>
        <w:rPr>
          <w:rFonts w:hint="eastAsia"/>
          <w:sz w:val="24"/>
          <w:szCs w:val="24"/>
        </w:rPr>
        <w:t>10.2 乙方逾期支付违约金的，应按照逾期付款金额，以“全国银行间同业拆借中心公布的贷款市场报价利率”（LPR）标准，计算应付款项至付清日止的逾期付款违约金。</w:t>
      </w:r>
    </w:p>
    <w:p w14:paraId="4B85C076">
      <w:pPr>
        <w:spacing w:line="420" w:lineRule="exact"/>
        <w:ind w:firstLine="480" w:firstLineChars="200"/>
        <w:outlineLvl w:val="3"/>
        <w:rPr>
          <w:sz w:val="24"/>
          <w:szCs w:val="24"/>
        </w:rPr>
      </w:pPr>
      <w:r>
        <w:rPr>
          <w:b/>
          <w:bCs/>
          <w:sz w:val="24"/>
          <w:szCs w:val="24"/>
        </w:rPr>
        <w:t>11.</w:t>
      </w:r>
      <w:r>
        <w:rPr>
          <w:rFonts w:hint="eastAsia"/>
          <w:b/>
          <w:bCs/>
          <w:sz w:val="24"/>
          <w:szCs w:val="24"/>
        </w:rPr>
        <w:t>不可抗力</w:t>
      </w:r>
    </w:p>
    <w:p w14:paraId="65354C4D">
      <w:pPr>
        <w:spacing w:line="420" w:lineRule="exact"/>
        <w:ind w:firstLine="480" w:firstLineChars="200"/>
        <w:rPr>
          <w:sz w:val="24"/>
          <w:szCs w:val="24"/>
        </w:rPr>
      </w:pPr>
      <w:r>
        <w:rPr>
          <w:sz w:val="24"/>
          <w:szCs w:val="24"/>
        </w:rPr>
        <w:t xml:space="preserve">11.1 </w:t>
      </w:r>
      <w:r>
        <w:rPr>
          <w:rFonts w:hint="eastAsia" w:cs="宋体"/>
          <w:sz w:val="24"/>
          <w:szCs w:val="24"/>
        </w:rPr>
        <w:t>因不可抗力不能履行合同的，根据不可抗力的影响，部分或者全部免除责任。但合同一方迟延履行后发生不可抗力的，不能免除责任。</w:t>
      </w:r>
    </w:p>
    <w:p w14:paraId="48BD1338">
      <w:pPr>
        <w:spacing w:line="420" w:lineRule="exact"/>
        <w:ind w:firstLine="480" w:firstLineChars="200"/>
        <w:rPr>
          <w:sz w:val="24"/>
          <w:szCs w:val="24"/>
        </w:rPr>
      </w:pPr>
      <w:r>
        <w:rPr>
          <w:sz w:val="24"/>
          <w:szCs w:val="24"/>
        </w:rPr>
        <w:t xml:space="preserve">11.2 </w:t>
      </w:r>
      <w:r>
        <w:rPr>
          <w:rFonts w:hint="eastAsia" w:cs="宋体"/>
          <w:sz w:val="24"/>
          <w:szCs w:val="24"/>
        </w:rPr>
        <w:t>合同一方因不可抗力不能履行合同的，应当及时通知对方，以减轻可能给对方造成的损失，并应当在合理期限内提供证明。</w:t>
      </w:r>
    </w:p>
    <w:p w14:paraId="18971EBE">
      <w:pPr>
        <w:spacing w:line="420" w:lineRule="exact"/>
        <w:ind w:firstLine="480" w:firstLineChars="200"/>
        <w:outlineLvl w:val="2"/>
        <w:rPr>
          <w:sz w:val="24"/>
          <w:szCs w:val="24"/>
        </w:rPr>
      </w:pPr>
      <w:r>
        <w:rPr>
          <w:rFonts w:hint="eastAsia" w:cs="宋体"/>
          <w:b/>
          <w:bCs/>
          <w:sz w:val="24"/>
          <w:szCs w:val="24"/>
        </w:rPr>
        <w:t>第六条 合同的解除和转让</w:t>
      </w:r>
    </w:p>
    <w:p w14:paraId="788318DD">
      <w:pPr>
        <w:spacing w:line="420" w:lineRule="exact"/>
        <w:ind w:firstLine="480" w:firstLineChars="200"/>
        <w:outlineLvl w:val="3"/>
        <w:rPr>
          <w:sz w:val="24"/>
          <w:szCs w:val="24"/>
        </w:rPr>
      </w:pPr>
      <w:r>
        <w:rPr>
          <w:b/>
          <w:bCs/>
          <w:sz w:val="24"/>
          <w:szCs w:val="24"/>
        </w:rPr>
        <w:t>12.</w:t>
      </w:r>
      <w:r>
        <w:rPr>
          <w:rFonts w:hint="eastAsia"/>
          <w:b/>
          <w:bCs/>
          <w:sz w:val="24"/>
          <w:szCs w:val="24"/>
        </w:rPr>
        <w:t>合同的解除</w:t>
      </w:r>
    </w:p>
    <w:p w14:paraId="585DDF2E">
      <w:pPr>
        <w:spacing w:line="420" w:lineRule="exact"/>
        <w:ind w:firstLine="480" w:firstLineChars="200"/>
        <w:rPr>
          <w:sz w:val="24"/>
          <w:szCs w:val="24"/>
        </w:rPr>
      </w:pPr>
      <w:r>
        <w:rPr>
          <w:sz w:val="24"/>
          <w:szCs w:val="24"/>
        </w:rPr>
        <w:t xml:space="preserve">12.1 </w:t>
      </w:r>
      <w:r>
        <w:rPr>
          <w:rFonts w:hint="eastAsia" w:cs="宋体"/>
          <w:sz w:val="24"/>
          <w:szCs w:val="24"/>
        </w:rPr>
        <w:t>有下列情形之一，合同一方可以解除合同：</w:t>
      </w:r>
    </w:p>
    <w:p w14:paraId="2447BC28">
      <w:pPr>
        <w:spacing w:line="420" w:lineRule="exact"/>
        <w:ind w:firstLine="480" w:firstLineChars="200"/>
        <w:rPr>
          <w:sz w:val="24"/>
          <w:szCs w:val="24"/>
        </w:rPr>
      </w:pPr>
      <w:r>
        <w:rPr>
          <w:sz w:val="24"/>
          <w:szCs w:val="24"/>
        </w:rPr>
        <w:t xml:space="preserve">12.1.1 </w:t>
      </w:r>
      <w:r>
        <w:rPr>
          <w:rFonts w:hint="eastAsia" w:cs="宋体"/>
          <w:sz w:val="24"/>
          <w:szCs w:val="24"/>
        </w:rPr>
        <w:t>因不可抗力致使不能实现合同目的，未受不可抗力影响的一方有权解除合同；</w:t>
      </w:r>
    </w:p>
    <w:p w14:paraId="6F0A1934">
      <w:pPr>
        <w:spacing w:line="420" w:lineRule="exact"/>
        <w:ind w:firstLine="480" w:firstLineChars="200"/>
        <w:rPr>
          <w:sz w:val="24"/>
          <w:szCs w:val="24"/>
        </w:rPr>
      </w:pPr>
      <w:r>
        <w:rPr>
          <w:sz w:val="24"/>
          <w:szCs w:val="24"/>
        </w:rPr>
        <w:t xml:space="preserve">12.1.2 </w:t>
      </w:r>
      <w:r>
        <w:rPr>
          <w:rFonts w:hint="eastAsia" w:cs="宋体"/>
          <w:sz w:val="24"/>
          <w:szCs w:val="24"/>
        </w:rPr>
        <w:t>因合同一方违约导致合同不能履行，另一方有权解除合同；</w:t>
      </w:r>
    </w:p>
    <w:p w14:paraId="7175D573">
      <w:pPr>
        <w:spacing w:line="420" w:lineRule="exact"/>
        <w:ind w:firstLine="480" w:firstLineChars="200"/>
        <w:rPr>
          <w:sz w:val="24"/>
          <w:szCs w:val="24"/>
        </w:rPr>
      </w:pPr>
      <w:r>
        <w:rPr>
          <w:sz w:val="24"/>
          <w:szCs w:val="24"/>
        </w:rPr>
        <w:t xml:space="preserve">12.2 </w:t>
      </w:r>
      <w:r>
        <w:rPr>
          <w:rFonts w:hint="eastAsia" w:cs="宋体"/>
          <w:sz w:val="24"/>
          <w:szCs w:val="24"/>
        </w:rPr>
        <w:t>有权解除合同的一方，应当在违约事实或不可抗力发生之后三十天内书面通知对方以主张解除合同，合同在书面通知到达对方时解除。</w:t>
      </w:r>
    </w:p>
    <w:p w14:paraId="508A9CD4">
      <w:pPr>
        <w:spacing w:line="420" w:lineRule="exact"/>
        <w:ind w:firstLine="480" w:firstLineChars="200"/>
        <w:outlineLvl w:val="3"/>
        <w:rPr>
          <w:sz w:val="24"/>
          <w:szCs w:val="24"/>
        </w:rPr>
      </w:pPr>
      <w:r>
        <w:rPr>
          <w:b/>
          <w:bCs/>
          <w:sz w:val="24"/>
          <w:szCs w:val="24"/>
        </w:rPr>
        <w:t>13.</w:t>
      </w:r>
      <w:r>
        <w:rPr>
          <w:rFonts w:hint="eastAsia"/>
          <w:b/>
          <w:bCs/>
          <w:sz w:val="24"/>
          <w:szCs w:val="24"/>
        </w:rPr>
        <w:t>合同的转让</w:t>
      </w:r>
    </w:p>
    <w:p w14:paraId="70AF5B30">
      <w:pPr>
        <w:spacing w:line="420" w:lineRule="exact"/>
        <w:ind w:firstLine="480" w:firstLineChars="200"/>
        <w:rPr>
          <w:sz w:val="24"/>
          <w:szCs w:val="24"/>
        </w:rPr>
      </w:pPr>
      <w:r>
        <w:rPr>
          <w:rFonts w:hint="eastAsia" w:cs="宋体"/>
          <w:sz w:val="24"/>
          <w:szCs w:val="24"/>
        </w:rPr>
        <w:t>1</w:t>
      </w:r>
      <w:r>
        <w:rPr>
          <w:rFonts w:cs="宋体"/>
          <w:sz w:val="24"/>
          <w:szCs w:val="24"/>
        </w:rPr>
        <w:t>3.1</w:t>
      </w:r>
      <w:r>
        <w:rPr>
          <w:rFonts w:hint="eastAsia" w:cs="宋体"/>
          <w:sz w:val="24"/>
          <w:szCs w:val="24"/>
        </w:rPr>
        <w:t>合同的部分和全部都不得转让。</w:t>
      </w:r>
    </w:p>
    <w:p w14:paraId="124A290A">
      <w:pPr>
        <w:spacing w:line="420" w:lineRule="exact"/>
        <w:ind w:firstLine="485" w:firstLineChars="202"/>
        <w:outlineLvl w:val="1"/>
        <w:rPr>
          <w:b/>
          <w:bCs/>
          <w:sz w:val="24"/>
          <w:szCs w:val="24"/>
        </w:rPr>
      </w:pPr>
      <w:r>
        <w:rPr>
          <w:rFonts w:hint="eastAsia" w:cs="宋体"/>
          <w:b/>
          <w:bCs/>
          <w:kern w:val="0"/>
          <w:sz w:val="24"/>
          <w:szCs w:val="24"/>
        </w:rPr>
        <w:t>第二部分 合同特殊条款</w:t>
      </w:r>
    </w:p>
    <w:p w14:paraId="42152DFD">
      <w:pPr>
        <w:spacing w:line="420" w:lineRule="exact"/>
        <w:ind w:firstLine="480" w:firstLineChars="200"/>
        <w:outlineLvl w:val="2"/>
        <w:rPr>
          <w:sz w:val="24"/>
          <w:szCs w:val="24"/>
        </w:rPr>
      </w:pPr>
      <w:r>
        <w:rPr>
          <w:rFonts w:cs="宋体"/>
          <w:b/>
          <w:bCs/>
          <w:sz w:val="24"/>
          <w:szCs w:val="24"/>
        </w:rPr>
        <w:t>1.</w:t>
      </w:r>
      <w:r>
        <w:rPr>
          <w:rFonts w:hint="eastAsia" w:cs="宋体"/>
          <w:b/>
          <w:bCs/>
          <w:sz w:val="24"/>
          <w:szCs w:val="24"/>
        </w:rPr>
        <w:t>合同标的</w:t>
      </w:r>
    </w:p>
    <w:tbl>
      <w:tblPr>
        <w:tblStyle w:val="4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655"/>
        <w:gridCol w:w="1275"/>
      </w:tblGrid>
      <w:tr w14:paraId="599BE029">
        <w:tc>
          <w:tcPr>
            <w:tcW w:w="709" w:type="dxa"/>
            <w:vAlign w:val="center"/>
          </w:tcPr>
          <w:p w14:paraId="3B7E7257">
            <w:pPr>
              <w:spacing w:line="420" w:lineRule="exact"/>
              <w:jc w:val="center"/>
              <w:rPr>
                <w:rFonts w:hint="eastAsia" w:ascii="宋体" w:hAnsi="宋体"/>
                <w:b/>
                <w:bCs/>
                <w:sz w:val="24"/>
                <w:szCs w:val="24"/>
              </w:rPr>
            </w:pPr>
            <w:r>
              <w:rPr>
                <w:rFonts w:hint="eastAsia" w:ascii="宋体" w:hAnsi="宋体"/>
                <w:b/>
                <w:bCs/>
                <w:sz w:val="24"/>
                <w:szCs w:val="24"/>
              </w:rPr>
              <w:t>序号</w:t>
            </w:r>
          </w:p>
        </w:tc>
        <w:tc>
          <w:tcPr>
            <w:tcW w:w="7655" w:type="dxa"/>
          </w:tcPr>
          <w:p w14:paraId="7CF548CC">
            <w:pPr>
              <w:spacing w:line="420" w:lineRule="exact"/>
              <w:jc w:val="center"/>
              <w:rPr>
                <w:rFonts w:hint="eastAsia" w:ascii="宋体" w:hAnsi="宋体"/>
                <w:b/>
                <w:bCs/>
                <w:sz w:val="24"/>
                <w:szCs w:val="24"/>
              </w:rPr>
            </w:pPr>
            <w:r>
              <w:rPr>
                <w:rFonts w:hint="eastAsia" w:ascii="宋体" w:hAnsi="宋体"/>
                <w:b/>
                <w:bCs/>
                <w:sz w:val="24"/>
                <w:szCs w:val="24"/>
              </w:rPr>
              <w:t>标的服务</w:t>
            </w:r>
          </w:p>
        </w:tc>
        <w:tc>
          <w:tcPr>
            <w:tcW w:w="1275" w:type="dxa"/>
            <w:vAlign w:val="center"/>
          </w:tcPr>
          <w:p w14:paraId="68F6A81A">
            <w:pPr>
              <w:spacing w:line="420" w:lineRule="exact"/>
              <w:jc w:val="center"/>
              <w:rPr>
                <w:rFonts w:hint="eastAsia" w:ascii="宋体" w:hAnsi="宋体"/>
                <w:b/>
                <w:bCs/>
                <w:sz w:val="24"/>
                <w:szCs w:val="24"/>
              </w:rPr>
            </w:pPr>
            <w:r>
              <w:rPr>
                <w:rFonts w:hint="eastAsia" w:ascii="宋体" w:hAnsi="宋体"/>
                <w:b/>
                <w:bCs/>
                <w:sz w:val="24"/>
                <w:szCs w:val="24"/>
              </w:rPr>
              <w:t>服务期</w:t>
            </w:r>
          </w:p>
        </w:tc>
      </w:tr>
      <w:tr w14:paraId="73E7AECD">
        <w:tc>
          <w:tcPr>
            <w:tcW w:w="709" w:type="dxa"/>
            <w:vAlign w:val="center"/>
          </w:tcPr>
          <w:p w14:paraId="4BF36241">
            <w:pPr>
              <w:spacing w:line="420" w:lineRule="exact"/>
              <w:jc w:val="center"/>
              <w:rPr>
                <w:bCs/>
                <w:sz w:val="24"/>
                <w:szCs w:val="24"/>
              </w:rPr>
            </w:pPr>
            <w:r>
              <w:rPr>
                <w:bCs/>
                <w:sz w:val="24"/>
                <w:szCs w:val="24"/>
              </w:rPr>
              <w:t>1</w:t>
            </w:r>
          </w:p>
        </w:tc>
        <w:tc>
          <w:tcPr>
            <w:tcW w:w="7655" w:type="dxa"/>
            <w:vAlign w:val="center"/>
          </w:tcPr>
          <w:p w14:paraId="530D3DE4">
            <w:pPr>
              <w:spacing w:line="420" w:lineRule="exact"/>
              <w:jc w:val="left"/>
              <w:rPr>
                <w:bCs/>
                <w:sz w:val="24"/>
                <w:szCs w:val="24"/>
              </w:rPr>
            </w:pPr>
            <w:r>
              <w:rPr>
                <w:rFonts w:hint="eastAsia"/>
                <w:bCs/>
                <w:sz w:val="24"/>
                <w:szCs w:val="24"/>
              </w:rPr>
              <w:t>南通市崇川区电子政务外网机房精密空调运行维护和防鼠灭鼠服务</w:t>
            </w:r>
          </w:p>
        </w:tc>
        <w:tc>
          <w:tcPr>
            <w:tcW w:w="1275" w:type="dxa"/>
            <w:vAlign w:val="center"/>
          </w:tcPr>
          <w:p w14:paraId="3E0C2B58">
            <w:pPr>
              <w:spacing w:line="420" w:lineRule="exact"/>
              <w:jc w:val="center"/>
              <w:rPr>
                <w:bCs/>
                <w:sz w:val="24"/>
                <w:szCs w:val="24"/>
              </w:rPr>
            </w:pPr>
            <w:r>
              <w:rPr>
                <w:rFonts w:hint="eastAsia"/>
                <w:bCs/>
                <w:sz w:val="24"/>
                <w:szCs w:val="24"/>
              </w:rPr>
              <w:t>3</w:t>
            </w:r>
            <w:r>
              <w:rPr>
                <w:bCs/>
                <w:sz w:val="24"/>
                <w:szCs w:val="24"/>
              </w:rPr>
              <w:t>年</w:t>
            </w:r>
          </w:p>
        </w:tc>
      </w:tr>
    </w:tbl>
    <w:p w14:paraId="18D10699">
      <w:pPr>
        <w:spacing w:line="420" w:lineRule="exact"/>
        <w:ind w:firstLine="480" w:firstLineChars="200"/>
        <w:outlineLvl w:val="2"/>
        <w:rPr>
          <w:sz w:val="24"/>
          <w:szCs w:val="24"/>
        </w:rPr>
      </w:pPr>
      <w:r>
        <w:rPr>
          <w:rFonts w:cs="宋体"/>
          <w:b/>
          <w:bCs/>
          <w:sz w:val="24"/>
          <w:szCs w:val="24"/>
        </w:rPr>
        <w:t>2.</w:t>
      </w:r>
      <w:r>
        <w:rPr>
          <w:rFonts w:hint="eastAsia" w:cs="宋体"/>
          <w:b/>
          <w:bCs/>
          <w:sz w:val="24"/>
          <w:szCs w:val="24"/>
        </w:rPr>
        <w:t>价格与支付</w:t>
      </w:r>
    </w:p>
    <w:p w14:paraId="25F6E4F0">
      <w:pPr>
        <w:spacing w:line="420" w:lineRule="exact"/>
        <w:ind w:firstLine="480" w:firstLineChars="200"/>
        <w:rPr>
          <w:sz w:val="24"/>
          <w:szCs w:val="24"/>
        </w:rPr>
      </w:pPr>
      <w:bookmarkStart w:id="114" w:name="_Hlk98241291"/>
      <w:r>
        <w:rPr>
          <w:sz w:val="24"/>
          <w:szCs w:val="24"/>
        </w:rPr>
        <w:t>2.1</w:t>
      </w:r>
      <w:r>
        <w:rPr>
          <w:rFonts w:hint="eastAsia" w:cs="宋体"/>
          <w:sz w:val="24"/>
          <w:szCs w:val="24"/>
        </w:rPr>
        <w:t>年度合同总价金额为人民币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cs="宋体"/>
          <w:sz w:val="24"/>
          <w:szCs w:val="24"/>
        </w:rPr>
        <w:t>圆（</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cs="宋体"/>
          <w:sz w:val="24"/>
          <w:szCs w:val="24"/>
        </w:rPr>
        <w:t>元）。（注：合同总价金额按本合同标的计划采购活动的采购结果价格执行。）</w:t>
      </w:r>
    </w:p>
    <w:p w14:paraId="0BB99E5D">
      <w:pPr>
        <w:spacing w:line="420" w:lineRule="exact"/>
        <w:ind w:firstLine="480" w:firstLineChars="200"/>
        <w:rPr>
          <w:sz w:val="24"/>
          <w:szCs w:val="24"/>
        </w:rPr>
      </w:pPr>
      <w:r>
        <w:rPr>
          <w:rFonts w:hint="eastAsia" w:cs="宋体"/>
          <w:sz w:val="24"/>
          <w:szCs w:val="24"/>
        </w:rPr>
        <w:t>2</w:t>
      </w:r>
      <w:r>
        <w:rPr>
          <w:rFonts w:cs="宋体"/>
          <w:sz w:val="24"/>
          <w:szCs w:val="24"/>
        </w:rPr>
        <w:t>.2</w:t>
      </w:r>
      <w:r>
        <w:rPr>
          <w:rFonts w:hint="eastAsia" w:cs="宋体"/>
          <w:sz w:val="24"/>
          <w:szCs w:val="24"/>
        </w:rPr>
        <w:t>合同价款应当是本合同所确定的标的服务范围内的全部内容的价格体现，是完成本合同标的服务成本、经营成本以及乙方企业利润、税金和政策性文件规定与合同包含的所有风险、责任等各项应有费。</w:t>
      </w:r>
    </w:p>
    <w:p w14:paraId="1B529F4F">
      <w:pPr>
        <w:spacing w:line="420" w:lineRule="exact"/>
        <w:ind w:firstLine="480" w:firstLineChars="200"/>
        <w:rPr>
          <w:rFonts w:cs="宋体"/>
          <w:sz w:val="24"/>
          <w:szCs w:val="24"/>
        </w:rPr>
      </w:pPr>
      <w:r>
        <w:rPr>
          <w:rFonts w:hint="eastAsia" w:cs="宋体"/>
          <w:sz w:val="24"/>
          <w:szCs w:val="24"/>
        </w:rPr>
        <w:t>2</w:t>
      </w:r>
      <w:r>
        <w:rPr>
          <w:rFonts w:cs="宋体"/>
          <w:sz w:val="24"/>
          <w:szCs w:val="24"/>
        </w:rPr>
        <w:t>.3</w:t>
      </w:r>
      <w:r>
        <w:rPr>
          <w:rFonts w:hint="eastAsia" w:cs="宋体"/>
          <w:sz w:val="24"/>
          <w:szCs w:val="24"/>
        </w:rPr>
        <w:t>付款方式：</w:t>
      </w:r>
    </w:p>
    <w:p w14:paraId="632395B4">
      <w:pPr>
        <w:spacing w:line="420" w:lineRule="exact"/>
        <w:ind w:firstLine="480" w:firstLineChars="200"/>
        <w:rPr>
          <w:rFonts w:cs="宋体"/>
          <w:sz w:val="24"/>
          <w:szCs w:val="24"/>
        </w:rPr>
      </w:pPr>
      <w:r>
        <w:rPr>
          <w:rFonts w:cs="宋体"/>
          <w:sz w:val="24"/>
          <w:szCs w:val="24"/>
        </w:rPr>
        <w:t>2.3.1</w:t>
      </w:r>
      <w:r>
        <w:rPr>
          <w:rFonts w:hint="eastAsia" w:cs="宋体"/>
          <w:sz w:val="24"/>
          <w:szCs w:val="24"/>
        </w:rPr>
        <w:t>按照通财购[2020]39号“关于进一步促进政府采购公平竞争优化营商环境的通知”文件第（九）条规定，合同签订生效后，甲方以收到乙方提供的合格发票为准，10个工作日支付合同价款的50%，</w:t>
      </w:r>
      <w:bookmarkStart w:id="115" w:name="_Hlk229431472"/>
      <w:r>
        <w:rPr>
          <w:rFonts w:hint="eastAsia" w:cs="宋体"/>
          <w:sz w:val="24"/>
          <w:szCs w:val="24"/>
        </w:rPr>
        <w:t>即人民币</w:t>
      </w:r>
      <w:r>
        <w:rPr>
          <w:sz w:val="24"/>
          <w:szCs w:val="24"/>
          <w:u w:val="single"/>
        </w:rPr>
        <w:t xml:space="preserve">           </w:t>
      </w:r>
      <w:r>
        <w:rPr>
          <w:rFonts w:hint="eastAsia" w:cs="宋体"/>
          <w:sz w:val="24"/>
          <w:szCs w:val="24"/>
        </w:rPr>
        <w:t>圆（</w:t>
      </w:r>
      <w:r>
        <w:rPr>
          <w:sz w:val="24"/>
          <w:szCs w:val="24"/>
        </w:rPr>
        <w:t>¥</w:t>
      </w:r>
      <w:r>
        <w:rPr>
          <w:sz w:val="24"/>
          <w:szCs w:val="24"/>
          <w:u w:val="single"/>
        </w:rPr>
        <w:t xml:space="preserve">    </w:t>
      </w:r>
      <w:r>
        <w:rPr>
          <w:rFonts w:hint="eastAsia" w:cs="宋体"/>
          <w:sz w:val="24"/>
          <w:szCs w:val="24"/>
        </w:rPr>
        <w:t>元）</w:t>
      </w:r>
      <w:bookmarkEnd w:id="115"/>
      <w:r>
        <w:rPr>
          <w:rFonts w:hint="eastAsia" w:cs="宋体"/>
          <w:sz w:val="24"/>
          <w:szCs w:val="24"/>
        </w:rPr>
        <w:t>作为合同履约服务实施的预付款。</w:t>
      </w:r>
    </w:p>
    <w:p w14:paraId="67330131">
      <w:pPr>
        <w:spacing w:line="420" w:lineRule="exact"/>
        <w:ind w:firstLine="480" w:firstLineChars="200"/>
        <w:rPr>
          <w:rFonts w:cs="宋体"/>
          <w:sz w:val="24"/>
          <w:szCs w:val="24"/>
        </w:rPr>
      </w:pPr>
      <w:r>
        <w:rPr>
          <w:rFonts w:cs="宋体"/>
          <w:sz w:val="24"/>
          <w:szCs w:val="24"/>
        </w:rPr>
        <w:t>2.3.2</w:t>
      </w:r>
      <w:r>
        <w:rPr>
          <w:rFonts w:hint="eastAsia" w:cs="宋体"/>
          <w:sz w:val="24"/>
          <w:szCs w:val="24"/>
        </w:rPr>
        <w:t>在乙方服务至年度合同履行期满的当月内，经服务评价合格，甲方自收到乙方合格发票后的10个工作日内，支付年度服务合同总价金额的50%，即人民币</w:t>
      </w:r>
      <w:r>
        <w:rPr>
          <w:sz w:val="24"/>
          <w:szCs w:val="24"/>
          <w:u w:val="single"/>
        </w:rPr>
        <w:t xml:space="preserve">           </w:t>
      </w:r>
      <w:r>
        <w:rPr>
          <w:rFonts w:hint="eastAsia" w:cs="宋体"/>
          <w:sz w:val="24"/>
          <w:szCs w:val="24"/>
        </w:rPr>
        <w:t>圆（</w:t>
      </w:r>
      <w:r>
        <w:rPr>
          <w:sz w:val="24"/>
          <w:szCs w:val="24"/>
        </w:rPr>
        <w:t>¥</w:t>
      </w:r>
      <w:r>
        <w:rPr>
          <w:sz w:val="24"/>
          <w:szCs w:val="24"/>
          <w:u w:val="single"/>
        </w:rPr>
        <w:t xml:space="preserve">    </w:t>
      </w:r>
      <w:r>
        <w:rPr>
          <w:rFonts w:hint="eastAsia" w:cs="宋体"/>
          <w:sz w:val="24"/>
          <w:szCs w:val="24"/>
        </w:rPr>
        <w:t>元），服务期内的年度服务合同总价金额支付完毕，并以此类推至服务期满。</w:t>
      </w:r>
    </w:p>
    <w:p w14:paraId="5FC06D48">
      <w:pPr>
        <w:spacing w:line="420" w:lineRule="exact"/>
        <w:ind w:firstLine="480" w:firstLineChars="200"/>
        <w:rPr>
          <w:rFonts w:cs="宋体"/>
          <w:sz w:val="24"/>
          <w:szCs w:val="24"/>
        </w:rPr>
      </w:pPr>
      <w:r>
        <w:rPr>
          <w:rFonts w:cs="宋体"/>
          <w:sz w:val="24"/>
          <w:szCs w:val="24"/>
        </w:rPr>
        <w:t>2.4</w:t>
      </w:r>
      <w:r>
        <w:rPr>
          <w:rFonts w:hint="eastAsia" w:cs="宋体"/>
          <w:sz w:val="24"/>
          <w:szCs w:val="24"/>
        </w:rPr>
        <w:t>甲方付款时，乙方应根据结算金额开具并提供正式发票。</w:t>
      </w:r>
    </w:p>
    <w:p w14:paraId="2F843D70">
      <w:pPr>
        <w:spacing w:line="420" w:lineRule="exact"/>
        <w:ind w:firstLine="480" w:firstLineChars="200"/>
        <w:rPr>
          <w:rFonts w:cs="宋体"/>
          <w:sz w:val="24"/>
          <w:szCs w:val="24"/>
        </w:rPr>
      </w:pPr>
      <w:r>
        <w:rPr>
          <w:rFonts w:cs="宋体"/>
          <w:sz w:val="24"/>
          <w:szCs w:val="24"/>
        </w:rPr>
        <w:t>2.5</w:t>
      </w:r>
      <w:r>
        <w:rPr>
          <w:rFonts w:hint="eastAsia" w:cs="宋体"/>
          <w:sz w:val="24"/>
          <w:szCs w:val="24"/>
        </w:rPr>
        <w:t>支付方式：银行转账。</w:t>
      </w:r>
    </w:p>
    <w:bookmarkEnd w:id="114"/>
    <w:p w14:paraId="338B4A65">
      <w:pPr>
        <w:spacing w:line="420" w:lineRule="exact"/>
        <w:ind w:firstLine="480" w:firstLineChars="200"/>
        <w:outlineLvl w:val="2"/>
        <w:rPr>
          <w:b/>
          <w:bCs/>
          <w:sz w:val="24"/>
          <w:szCs w:val="24"/>
        </w:rPr>
      </w:pPr>
      <w:r>
        <w:rPr>
          <w:rFonts w:hint="eastAsia" w:cs="宋体"/>
          <w:b/>
          <w:bCs/>
          <w:sz w:val="24"/>
          <w:szCs w:val="24"/>
        </w:rPr>
        <w:t>3</w:t>
      </w:r>
      <w:r>
        <w:rPr>
          <w:rFonts w:cs="宋体"/>
          <w:b/>
          <w:bCs/>
          <w:sz w:val="24"/>
          <w:szCs w:val="24"/>
        </w:rPr>
        <w:t>.</w:t>
      </w:r>
      <w:r>
        <w:rPr>
          <w:rFonts w:hint="eastAsia" w:cs="宋体"/>
          <w:b/>
          <w:bCs/>
          <w:sz w:val="24"/>
          <w:szCs w:val="24"/>
        </w:rPr>
        <w:t>服务</w:t>
      </w:r>
      <w:r>
        <w:rPr>
          <w:rFonts w:cs="宋体"/>
          <w:b/>
          <w:bCs/>
          <w:sz w:val="24"/>
          <w:szCs w:val="24"/>
        </w:rPr>
        <w:t>范围</w:t>
      </w:r>
      <w:r>
        <w:rPr>
          <w:rFonts w:hint="eastAsia"/>
          <w:b/>
          <w:bCs/>
          <w:sz w:val="24"/>
          <w:szCs w:val="24"/>
        </w:rPr>
        <w:t>：乙方</w:t>
      </w:r>
      <w:r>
        <w:rPr>
          <w:rFonts w:hint="eastAsia"/>
          <w:b/>
          <w:sz w:val="24"/>
          <w:szCs w:val="24"/>
        </w:rPr>
        <w:t>提供南通市崇川区电子政务外网两处机房的4台精密空调维保服务及约600平方米的关键区域防鼠灭鼠服务。</w:t>
      </w:r>
    </w:p>
    <w:p w14:paraId="01B1E401">
      <w:pPr>
        <w:spacing w:line="420" w:lineRule="exact"/>
        <w:ind w:firstLine="480" w:firstLineChars="200"/>
        <w:rPr>
          <w:b/>
          <w:sz w:val="24"/>
          <w:szCs w:val="24"/>
        </w:rPr>
      </w:pPr>
      <w:r>
        <w:rPr>
          <w:rFonts w:hint="eastAsia"/>
          <w:b/>
          <w:sz w:val="24"/>
          <w:szCs w:val="24"/>
        </w:rPr>
        <w:t>3.1精密空调维保服务范围</w:t>
      </w:r>
    </w:p>
    <w:p w14:paraId="2084AFA4">
      <w:pPr>
        <w:spacing w:line="420" w:lineRule="exact"/>
        <w:ind w:firstLine="480" w:firstLineChars="200"/>
        <w:rPr>
          <w:bCs/>
          <w:sz w:val="24"/>
          <w:szCs w:val="24"/>
        </w:rPr>
      </w:pPr>
      <w:r>
        <w:rPr>
          <w:rFonts w:hint="eastAsia"/>
          <w:bCs/>
          <w:sz w:val="24"/>
          <w:szCs w:val="24"/>
        </w:rPr>
        <w:t>3.1.1桃坞路2F网络核心主机房2台40KW艾特网能精密空调、1FUPS间1台12KW艾默生精密空调、城港路5F弱电间机房1台7KW艾默生精密空调维保服务已于2025年底到期。</w:t>
      </w:r>
    </w:p>
    <w:p w14:paraId="1D52DFAE">
      <w:pPr>
        <w:spacing w:line="420" w:lineRule="exact"/>
        <w:ind w:firstLine="480" w:firstLineChars="200"/>
        <w:rPr>
          <w:kern w:val="0"/>
          <w:sz w:val="24"/>
          <w:szCs w:val="24"/>
        </w:rPr>
      </w:pPr>
      <w:r>
        <w:rPr>
          <w:rFonts w:hint="eastAsia"/>
          <w:kern w:val="0"/>
          <w:sz w:val="24"/>
          <w:szCs w:val="24"/>
        </w:rPr>
        <w:t>3.1.2标的</w:t>
      </w:r>
      <w:r>
        <w:rPr>
          <w:kern w:val="0"/>
          <w:sz w:val="24"/>
          <w:szCs w:val="24"/>
        </w:rPr>
        <w:t>服务要求对4台精密空调设备进行维护、维修及保养。如：定期巡查巡检设备运行情况、设备零配件及耗材的更换、提供24小时不间断技术支持服务及重大事件现场保障服务等。本次维护保养的精密空调清单如下：</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86"/>
        <w:gridCol w:w="2976"/>
        <w:gridCol w:w="1276"/>
        <w:gridCol w:w="992"/>
      </w:tblGrid>
      <w:tr w14:paraId="2D123B7A">
        <w:trPr>
          <w:trHeight w:val="153" w:hRule="atLeast"/>
        </w:trPr>
        <w:tc>
          <w:tcPr>
            <w:tcW w:w="704" w:type="dxa"/>
            <w:vAlign w:val="center"/>
          </w:tcPr>
          <w:p w14:paraId="0F5BCA11">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序号</w:t>
            </w:r>
          </w:p>
        </w:tc>
        <w:tc>
          <w:tcPr>
            <w:tcW w:w="3686" w:type="dxa"/>
            <w:vAlign w:val="center"/>
          </w:tcPr>
          <w:p w14:paraId="4F6395F6">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设备名称</w:t>
            </w:r>
          </w:p>
        </w:tc>
        <w:tc>
          <w:tcPr>
            <w:tcW w:w="2976" w:type="dxa"/>
            <w:vAlign w:val="center"/>
          </w:tcPr>
          <w:p w14:paraId="3A7CE984">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rPr>
              <w:t>品牌</w:t>
            </w:r>
            <w:r>
              <w:rPr>
                <w:b/>
                <w:snapToGrid w:val="0"/>
                <w:color w:val="000000"/>
                <w:kern w:val="0"/>
                <w:sz w:val="24"/>
                <w:szCs w:val="24"/>
                <w:lang w:eastAsia="en-US"/>
              </w:rPr>
              <w:t>型号</w:t>
            </w:r>
          </w:p>
        </w:tc>
        <w:tc>
          <w:tcPr>
            <w:tcW w:w="1276" w:type="dxa"/>
            <w:vAlign w:val="center"/>
          </w:tcPr>
          <w:p w14:paraId="65173D0D">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购买日期</w:t>
            </w:r>
          </w:p>
        </w:tc>
        <w:tc>
          <w:tcPr>
            <w:tcW w:w="992" w:type="dxa"/>
            <w:vAlign w:val="center"/>
          </w:tcPr>
          <w:p w14:paraId="478DFC3B">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数量</w:t>
            </w:r>
          </w:p>
        </w:tc>
      </w:tr>
      <w:tr w14:paraId="77D2C051">
        <w:trPr>
          <w:trHeight w:val="338" w:hRule="atLeast"/>
        </w:trPr>
        <w:tc>
          <w:tcPr>
            <w:tcW w:w="704" w:type="dxa"/>
            <w:vAlign w:val="center"/>
          </w:tcPr>
          <w:p w14:paraId="2F807B35">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1</w:t>
            </w:r>
          </w:p>
        </w:tc>
        <w:tc>
          <w:tcPr>
            <w:tcW w:w="3686" w:type="dxa"/>
            <w:vMerge w:val="restart"/>
            <w:vAlign w:val="center"/>
          </w:tcPr>
          <w:p w14:paraId="6F036975">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桃坞路网络核心机房精密空调</w:t>
            </w:r>
          </w:p>
        </w:tc>
        <w:tc>
          <w:tcPr>
            <w:tcW w:w="2976" w:type="dxa"/>
            <w:vAlign w:val="center"/>
          </w:tcPr>
          <w:p w14:paraId="70F19919">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艾默生</w:t>
            </w:r>
            <w:r>
              <w:rPr>
                <w:snapToGrid w:val="0"/>
                <w:color w:val="000000"/>
                <w:kern w:val="0"/>
                <w:sz w:val="24"/>
                <w:szCs w:val="24"/>
                <w:lang w:eastAsia="en-US"/>
              </w:rPr>
              <w:t>DME12MCP5</w:t>
            </w:r>
          </w:p>
        </w:tc>
        <w:tc>
          <w:tcPr>
            <w:tcW w:w="1276" w:type="dxa"/>
            <w:vAlign w:val="center"/>
          </w:tcPr>
          <w:p w14:paraId="7F8B4DFD">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2018.6</w:t>
            </w:r>
          </w:p>
        </w:tc>
        <w:tc>
          <w:tcPr>
            <w:tcW w:w="992" w:type="dxa"/>
            <w:vAlign w:val="center"/>
          </w:tcPr>
          <w:p w14:paraId="1E3BD122">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1台</w:t>
            </w:r>
          </w:p>
        </w:tc>
      </w:tr>
      <w:tr w14:paraId="30606356">
        <w:trPr>
          <w:trHeight w:val="218" w:hRule="atLeast"/>
        </w:trPr>
        <w:tc>
          <w:tcPr>
            <w:tcW w:w="704" w:type="dxa"/>
            <w:vAlign w:val="center"/>
          </w:tcPr>
          <w:p w14:paraId="6B28E1C1">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w:t>
            </w:r>
          </w:p>
        </w:tc>
        <w:tc>
          <w:tcPr>
            <w:tcW w:w="3686" w:type="dxa"/>
            <w:vMerge w:val="continue"/>
            <w:vAlign w:val="center"/>
          </w:tcPr>
          <w:p w14:paraId="1A698C8C">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p>
        </w:tc>
        <w:tc>
          <w:tcPr>
            <w:tcW w:w="2976" w:type="dxa"/>
            <w:vAlign w:val="center"/>
          </w:tcPr>
          <w:p w14:paraId="5E418BD5">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艾特网能CM040</w:t>
            </w:r>
          </w:p>
        </w:tc>
        <w:tc>
          <w:tcPr>
            <w:tcW w:w="1276" w:type="dxa"/>
            <w:vAlign w:val="center"/>
          </w:tcPr>
          <w:p w14:paraId="139E5455">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2021</w:t>
            </w:r>
            <w:r>
              <w:rPr>
                <w:snapToGrid w:val="0"/>
                <w:color w:val="000000"/>
                <w:kern w:val="0"/>
                <w:sz w:val="24"/>
                <w:szCs w:val="24"/>
                <w:lang w:eastAsia="en-US"/>
              </w:rPr>
              <w:t>.10</w:t>
            </w:r>
          </w:p>
        </w:tc>
        <w:tc>
          <w:tcPr>
            <w:tcW w:w="992" w:type="dxa"/>
            <w:vAlign w:val="center"/>
          </w:tcPr>
          <w:p w14:paraId="3C15EE36">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2</w:t>
            </w:r>
            <w:r>
              <w:rPr>
                <w:snapToGrid w:val="0"/>
                <w:color w:val="000000"/>
                <w:kern w:val="0"/>
                <w:sz w:val="24"/>
                <w:szCs w:val="24"/>
                <w:lang w:eastAsia="en-US"/>
              </w:rPr>
              <w:t>台</w:t>
            </w:r>
          </w:p>
        </w:tc>
      </w:tr>
      <w:tr w14:paraId="4A388A95">
        <w:trPr>
          <w:trHeight w:val="210" w:hRule="atLeast"/>
        </w:trPr>
        <w:tc>
          <w:tcPr>
            <w:tcW w:w="704" w:type="dxa"/>
            <w:vAlign w:val="center"/>
          </w:tcPr>
          <w:p w14:paraId="7CCFAC49">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3</w:t>
            </w:r>
          </w:p>
        </w:tc>
        <w:tc>
          <w:tcPr>
            <w:tcW w:w="3686" w:type="dxa"/>
            <w:vAlign w:val="center"/>
          </w:tcPr>
          <w:p w14:paraId="461168C0">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城港路视频汇聚机房精密空调</w:t>
            </w:r>
          </w:p>
        </w:tc>
        <w:tc>
          <w:tcPr>
            <w:tcW w:w="2976" w:type="dxa"/>
            <w:vAlign w:val="center"/>
          </w:tcPr>
          <w:p w14:paraId="24EC6DE3">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艾默生DME07MH2</w:t>
            </w:r>
          </w:p>
        </w:tc>
        <w:tc>
          <w:tcPr>
            <w:tcW w:w="1276" w:type="dxa"/>
            <w:vAlign w:val="center"/>
          </w:tcPr>
          <w:p w14:paraId="1D4052AB">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2012.11</w:t>
            </w:r>
          </w:p>
        </w:tc>
        <w:tc>
          <w:tcPr>
            <w:tcW w:w="992" w:type="dxa"/>
            <w:vAlign w:val="center"/>
          </w:tcPr>
          <w:p w14:paraId="47B01C3F">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1台</w:t>
            </w:r>
          </w:p>
        </w:tc>
      </w:tr>
    </w:tbl>
    <w:p w14:paraId="76294CF8">
      <w:pPr>
        <w:spacing w:line="420" w:lineRule="exact"/>
        <w:ind w:firstLine="480" w:firstLineChars="200"/>
        <w:rPr>
          <w:b/>
          <w:sz w:val="24"/>
          <w:szCs w:val="24"/>
        </w:rPr>
      </w:pPr>
      <w:r>
        <w:rPr>
          <w:rFonts w:hint="eastAsia"/>
          <w:b/>
          <w:sz w:val="24"/>
          <w:szCs w:val="24"/>
        </w:rPr>
        <w:t>3.2防鼠灭鼠服务范围</w:t>
      </w:r>
    </w:p>
    <w:p w14:paraId="297AB3F1">
      <w:pPr>
        <w:spacing w:line="420" w:lineRule="exact"/>
        <w:ind w:firstLine="480" w:firstLineChars="200"/>
        <w:rPr>
          <w:bCs/>
          <w:sz w:val="24"/>
          <w:szCs w:val="24"/>
        </w:rPr>
      </w:pPr>
      <w:r>
        <w:rPr>
          <w:rFonts w:hint="eastAsia"/>
          <w:bCs/>
          <w:sz w:val="24"/>
          <w:szCs w:val="24"/>
        </w:rPr>
        <w:t>3.2.1桃坞路网络核心机房：服务总面积约400平方米（以实际为准），涵盖一楼（UPS间、机房、会议室、卫生间）、二楼（核心机房、卫生间）、三楼（办公区各房间、卫生间）及四楼（会议室、音控室）的所有空间。</w:t>
      </w:r>
    </w:p>
    <w:p w14:paraId="6355E31D">
      <w:pPr>
        <w:spacing w:line="420" w:lineRule="exact"/>
        <w:ind w:firstLine="480" w:firstLineChars="200"/>
        <w:rPr>
          <w:bCs/>
          <w:sz w:val="24"/>
          <w:szCs w:val="24"/>
        </w:rPr>
      </w:pPr>
      <w:r>
        <w:rPr>
          <w:rFonts w:hint="eastAsia"/>
          <w:bCs/>
          <w:sz w:val="24"/>
          <w:szCs w:val="24"/>
        </w:rPr>
        <w:t>3.2.2城港路视频汇聚机房：服务总面积约200平方米，涵盖五楼（接入机房）和十楼（视频汇聚机房、机房办公区各房间、仓库）的整体区域</w:t>
      </w:r>
      <w:r>
        <w:rPr>
          <w:bCs/>
          <w:sz w:val="24"/>
          <w:szCs w:val="24"/>
        </w:rPr>
        <w:t>。</w:t>
      </w:r>
    </w:p>
    <w:p w14:paraId="3C25CDA6">
      <w:pPr>
        <w:spacing w:line="420" w:lineRule="exact"/>
        <w:ind w:firstLine="480" w:firstLineChars="200"/>
        <w:outlineLvl w:val="2"/>
        <w:rPr>
          <w:bCs/>
          <w:sz w:val="24"/>
          <w:szCs w:val="24"/>
        </w:rPr>
      </w:pPr>
      <w:r>
        <w:rPr>
          <w:rFonts w:hint="eastAsia" w:cs="宋体"/>
          <w:b/>
          <w:bCs/>
          <w:sz w:val="24"/>
          <w:szCs w:val="24"/>
        </w:rPr>
        <w:t>4</w:t>
      </w:r>
      <w:r>
        <w:rPr>
          <w:rFonts w:cs="宋体"/>
          <w:b/>
          <w:bCs/>
          <w:sz w:val="24"/>
          <w:szCs w:val="24"/>
        </w:rPr>
        <w:t>.服务</w:t>
      </w:r>
      <w:r>
        <w:rPr>
          <w:rFonts w:hint="eastAsia" w:cs="宋体"/>
          <w:b/>
          <w:bCs/>
          <w:sz w:val="24"/>
          <w:szCs w:val="24"/>
        </w:rPr>
        <w:t>要求</w:t>
      </w:r>
    </w:p>
    <w:p w14:paraId="301A5688">
      <w:pPr>
        <w:spacing w:line="420" w:lineRule="exact"/>
        <w:ind w:firstLine="480" w:firstLineChars="200"/>
        <w:outlineLvl w:val="3"/>
        <w:rPr>
          <w:b/>
          <w:bCs/>
          <w:kern w:val="0"/>
          <w:sz w:val="24"/>
        </w:rPr>
      </w:pPr>
      <w:r>
        <w:rPr>
          <w:rFonts w:hint="eastAsia"/>
          <w:b/>
          <w:bCs/>
          <w:kern w:val="0"/>
          <w:sz w:val="24"/>
        </w:rPr>
        <w:t>4.1人员服务要求</w:t>
      </w:r>
    </w:p>
    <w:p w14:paraId="7D76733F">
      <w:pPr>
        <w:spacing w:line="420" w:lineRule="exact"/>
        <w:ind w:firstLine="480" w:firstLineChars="200"/>
        <w:rPr>
          <w:kern w:val="0"/>
          <w:sz w:val="24"/>
        </w:rPr>
      </w:pPr>
      <w:r>
        <w:rPr>
          <w:rFonts w:hint="eastAsia"/>
          <w:kern w:val="0"/>
          <w:sz w:val="24"/>
        </w:rPr>
        <w:t>合同标的实施的项目负责人和上门维保人员须为乙方的正式员工，具有从业的相关证书。</w:t>
      </w:r>
    </w:p>
    <w:p w14:paraId="4A2E49C5">
      <w:pPr>
        <w:spacing w:line="420" w:lineRule="exact"/>
        <w:ind w:firstLine="480" w:firstLineChars="200"/>
        <w:rPr>
          <w:rFonts w:cs="宋体"/>
          <w:sz w:val="24"/>
          <w:szCs w:val="24"/>
        </w:rPr>
      </w:pPr>
      <w:r>
        <w:rPr>
          <w:rFonts w:hint="eastAsia" w:cs="宋体"/>
          <w:sz w:val="24"/>
          <w:szCs w:val="24"/>
        </w:rPr>
        <w:t>4.1.1项目负责人姓名：</w:t>
      </w:r>
      <w:r>
        <w:rPr>
          <w:rFonts w:hint="eastAsia" w:cs="宋体"/>
          <w:sz w:val="24"/>
          <w:szCs w:val="24"/>
          <w:u w:val="single"/>
        </w:rPr>
        <w:t xml:space="preserve">          </w:t>
      </w:r>
      <w:r>
        <w:rPr>
          <w:rFonts w:hint="eastAsia" w:cs="宋体"/>
          <w:sz w:val="24"/>
          <w:szCs w:val="24"/>
        </w:rPr>
        <w:t>，联系电话：</w:t>
      </w:r>
      <w:r>
        <w:rPr>
          <w:rFonts w:hint="eastAsia" w:cs="宋体"/>
          <w:sz w:val="24"/>
          <w:szCs w:val="24"/>
          <w:u w:val="single"/>
        </w:rPr>
        <w:t xml:space="preserve">         </w:t>
      </w:r>
      <w:r>
        <w:rPr>
          <w:rFonts w:hint="eastAsia" w:cs="宋体"/>
          <w:sz w:val="24"/>
          <w:szCs w:val="24"/>
        </w:rPr>
        <w:t>，具有从业的相关证书：</w:t>
      </w:r>
      <w:r>
        <w:rPr>
          <w:rFonts w:hint="eastAsia" w:cs="宋体"/>
          <w:sz w:val="24"/>
          <w:szCs w:val="24"/>
          <w:u w:val="single"/>
        </w:rPr>
        <w:t xml:space="preserve">      </w:t>
      </w:r>
      <w:r>
        <w:rPr>
          <w:rFonts w:hint="eastAsia" w:cs="宋体"/>
          <w:sz w:val="24"/>
          <w:szCs w:val="24"/>
        </w:rPr>
        <w:t>。</w:t>
      </w:r>
    </w:p>
    <w:p w14:paraId="6CD0D62B">
      <w:pPr>
        <w:spacing w:line="420" w:lineRule="exact"/>
        <w:ind w:firstLine="480" w:firstLineChars="200"/>
        <w:rPr>
          <w:rFonts w:cs="宋体"/>
          <w:sz w:val="24"/>
          <w:szCs w:val="24"/>
        </w:rPr>
      </w:pPr>
      <w:r>
        <w:rPr>
          <w:rFonts w:hint="eastAsia" w:cs="宋体"/>
          <w:sz w:val="24"/>
          <w:szCs w:val="24"/>
        </w:rPr>
        <w:t>4.1.2上门维保人员1</w:t>
      </w:r>
      <w:bookmarkStart w:id="116" w:name="_Hlk169711901"/>
      <w:r>
        <w:rPr>
          <w:rFonts w:hint="eastAsia" w:cs="宋体"/>
          <w:sz w:val="24"/>
          <w:szCs w:val="24"/>
        </w:rPr>
        <w:t>姓名：</w:t>
      </w:r>
      <w:r>
        <w:rPr>
          <w:rFonts w:hint="eastAsia" w:cs="宋体"/>
          <w:sz w:val="24"/>
          <w:szCs w:val="24"/>
          <w:u w:val="single"/>
        </w:rPr>
        <w:t xml:space="preserve">       </w:t>
      </w:r>
      <w:r>
        <w:rPr>
          <w:rFonts w:hint="eastAsia" w:cs="宋体"/>
          <w:sz w:val="24"/>
          <w:szCs w:val="24"/>
        </w:rPr>
        <w:t>，联系电话：</w:t>
      </w:r>
      <w:r>
        <w:rPr>
          <w:rFonts w:hint="eastAsia" w:cs="宋体"/>
          <w:sz w:val="24"/>
          <w:szCs w:val="24"/>
          <w:u w:val="single"/>
        </w:rPr>
        <w:t xml:space="preserve">        </w:t>
      </w:r>
      <w:r>
        <w:rPr>
          <w:rFonts w:hint="eastAsia" w:cs="宋体"/>
          <w:sz w:val="24"/>
          <w:szCs w:val="24"/>
        </w:rPr>
        <w:t>，具有从业的相关证书：</w:t>
      </w:r>
      <w:r>
        <w:rPr>
          <w:rFonts w:hint="eastAsia" w:cs="宋体"/>
          <w:sz w:val="24"/>
          <w:szCs w:val="24"/>
          <w:u w:val="single"/>
        </w:rPr>
        <w:t xml:space="preserve">      </w:t>
      </w:r>
      <w:r>
        <w:rPr>
          <w:rFonts w:hint="eastAsia" w:cs="宋体"/>
          <w:sz w:val="24"/>
          <w:szCs w:val="24"/>
        </w:rPr>
        <w:t>。</w:t>
      </w:r>
    </w:p>
    <w:bookmarkEnd w:id="116"/>
    <w:p w14:paraId="22B51407">
      <w:pPr>
        <w:spacing w:line="420" w:lineRule="exact"/>
        <w:ind w:firstLine="480" w:firstLineChars="200"/>
        <w:rPr>
          <w:rFonts w:cs="宋体"/>
          <w:sz w:val="24"/>
          <w:szCs w:val="24"/>
        </w:rPr>
      </w:pPr>
      <w:r>
        <w:rPr>
          <w:rFonts w:hint="eastAsia" w:cs="宋体"/>
          <w:sz w:val="24"/>
          <w:szCs w:val="24"/>
        </w:rPr>
        <w:t>……</w:t>
      </w:r>
    </w:p>
    <w:p w14:paraId="443041E8">
      <w:pPr>
        <w:spacing w:line="420" w:lineRule="exact"/>
        <w:ind w:firstLine="480" w:firstLineChars="200"/>
        <w:outlineLvl w:val="3"/>
        <w:rPr>
          <w:b/>
          <w:bCs/>
          <w:kern w:val="0"/>
          <w:sz w:val="24"/>
        </w:rPr>
      </w:pPr>
      <w:r>
        <w:rPr>
          <w:rFonts w:hint="eastAsia"/>
          <w:b/>
          <w:bCs/>
          <w:kern w:val="0"/>
          <w:sz w:val="24"/>
        </w:rPr>
        <w:t>4.2精密空调维保服务要求</w:t>
      </w:r>
    </w:p>
    <w:p w14:paraId="0A5D2B3D">
      <w:pPr>
        <w:spacing w:line="420" w:lineRule="exact"/>
        <w:ind w:firstLine="480" w:firstLineChars="200"/>
        <w:rPr>
          <w:kern w:val="0"/>
          <w:sz w:val="24"/>
        </w:rPr>
      </w:pPr>
      <w:r>
        <w:rPr>
          <w:rFonts w:hint="eastAsia"/>
          <w:kern w:val="0"/>
          <w:sz w:val="24"/>
        </w:rPr>
        <w:t>4.2.1巡查巡检：服务供应商应根据用户要求，在服务期内对精密空调每月提供1次现场例行检查，每次巡检向用户提供巡检报告，并说明目前精密空调运行情况、存在问题及维护保养等详细情况。</w:t>
      </w:r>
    </w:p>
    <w:p w14:paraId="3350815A">
      <w:pPr>
        <w:spacing w:line="420" w:lineRule="exact"/>
        <w:ind w:firstLine="480" w:firstLineChars="200"/>
        <w:rPr>
          <w:kern w:val="0"/>
          <w:sz w:val="24"/>
        </w:rPr>
      </w:pPr>
      <w:r>
        <w:rPr>
          <w:rFonts w:hint="eastAsia"/>
          <w:kern w:val="0"/>
          <w:sz w:val="24"/>
        </w:rPr>
        <w:t>4.2.2空气过滤器的清洗：每月定期对空气过滤器进行检查，根据检查情况对空气过滤器进行清洗、清洁冷凝盘管等。</w:t>
      </w:r>
    </w:p>
    <w:p w14:paraId="327F2A65">
      <w:pPr>
        <w:spacing w:line="420" w:lineRule="exact"/>
        <w:ind w:firstLine="480" w:firstLineChars="200"/>
        <w:rPr>
          <w:kern w:val="0"/>
          <w:sz w:val="24"/>
        </w:rPr>
      </w:pPr>
      <w:r>
        <w:rPr>
          <w:rFonts w:hint="eastAsia"/>
          <w:kern w:val="0"/>
          <w:sz w:val="24"/>
        </w:rPr>
        <w:t>4.2.3水冷式冷凝器的清洁：每月定期对水冷式冷凝器进行检查，根据检查情况进行保洁（检查并清洗排水管路）。</w:t>
      </w:r>
    </w:p>
    <w:p w14:paraId="538A3038">
      <w:pPr>
        <w:spacing w:line="420" w:lineRule="exact"/>
        <w:ind w:firstLine="480" w:firstLineChars="200"/>
        <w:rPr>
          <w:kern w:val="0"/>
          <w:sz w:val="24"/>
        </w:rPr>
      </w:pPr>
      <w:r>
        <w:rPr>
          <w:rFonts w:hint="eastAsia"/>
          <w:kern w:val="0"/>
          <w:sz w:val="24"/>
        </w:rPr>
        <w:t>4.2.4每月定期检查传动皮带，如有必要进行更换。</w:t>
      </w:r>
    </w:p>
    <w:p w14:paraId="7768B1C7">
      <w:pPr>
        <w:spacing w:line="420" w:lineRule="exact"/>
        <w:ind w:firstLine="480" w:firstLineChars="200"/>
        <w:rPr>
          <w:kern w:val="0"/>
          <w:sz w:val="24"/>
        </w:rPr>
      </w:pPr>
      <w:r>
        <w:rPr>
          <w:rFonts w:hint="eastAsia"/>
          <w:kern w:val="0"/>
          <w:sz w:val="24"/>
        </w:rPr>
        <w:t>4.2.5每月定期检查加湿系统，如存在隐患或出现故障时须及时修复或更换。</w:t>
      </w:r>
    </w:p>
    <w:p w14:paraId="06790C8B">
      <w:pPr>
        <w:spacing w:line="420" w:lineRule="exact"/>
        <w:ind w:firstLine="480" w:firstLineChars="200"/>
        <w:rPr>
          <w:kern w:val="0"/>
          <w:sz w:val="24"/>
        </w:rPr>
      </w:pPr>
      <w:r>
        <w:rPr>
          <w:rFonts w:hint="eastAsia"/>
          <w:kern w:val="0"/>
          <w:sz w:val="24"/>
        </w:rPr>
        <w:t>4.2.6每月定期对室外机进行检查和保洁。</w:t>
      </w:r>
    </w:p>
    <w:p w14:paraId="6CE2DDAD">
      <w:pPr>
        <w:spacing w:line="420" w:lineRule="exact"/>
        <w:ind w:firstLine="480" w:firstLineChars="200"/>
        <w:rPr>
          <w:kern w:val="0"/>
          <w:sz w:val="24"/>
        </w:rPr>
      </w:pPr>
      <w:r>
        <w:rPr>
          <w:rFonts w:hint="eastAsia"/>
          <w:kern w:val="0"/>
          <w:sz w:val="24"/>
        </w:rPr>
        <w:t>4.2.7每月定期检查压力容器的运行情况，如有必要进行更换。</w:t>
      </w:r>
    </w:p>
    <w:p w14:paraId="565F23FE">
      <w:pPr>
        <w:spacing w:line="420" w:lineRule="exact"/>
        <w:ind w:firstLine="480" w:firstLineChars="200"/>
        <w:rPr>
          <w:kern w:val="0"/>
          <w:sz w:val="24"/>
        </w:rPr>
      </w:pPr>
      <w:r>
        <w:rPr>
          <w:rFonts w:hint="eastAsia"/>
          <w:kern w:val="0"/>
          <w:sz w:val="24"/>
        </w:rPr>
        <w:t>4.2.8每月定期检查空调压缩机运行情况，如果损坏给予及时更换。</w:t>
      </w:r>
    </w:p>
    <w:p w14:paraId="1AF4A1B7">
      <w:pPr>
        <w:spacing w:line="420" w:lineRule="exact"/>
        <w:ind w:firstLine="480" w:firstLineChars="200"/>
        <w:rPr>
          <w:kern w:val="0"/>
          <w:sz w:val="24"/>
        </w:rPr>
      </w:pPr>
      <w:r>
        <w:rPr>
          <w:rFonts w:hint="eastAsia"/>
          <w:kern w:val="0"/>
          <w:sz w:val="24"/>
        </w:rPr>
        <w:t>4.2.9在维保期内须对下列耗材进行更换（服务）：</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843"/>
        <w:gridCol w:w="2126"/>
        <w:gridCol w:w="2268"/>
        <w:gridCol w:w="1984"/>
      </w:tblGrid>
      <w:tr w14:paraId="19B6BF2C">
        <w:trPr>
          <w:trHeight w:val="443" w:hRule="atLeast"/>
          <w:tblHeader/>
        </w:trPr>
        <w:tc>
          <w:tcPr>
            <w:tcW w:w="704" w:type="dxa"/>
            <w:vAlign w:val="center"/>
          </w:tcPr>
          <w:p w14:paraId="35ECA62C">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lang w:eastAsia="en-US"/>
              </w:rPr>
              <w:t>序号</w:t>
            </w:r>
          </w:p>
        </w:tc>
        <w:tc>
          <w:tcPr>
            <w:tcW w:w="709" w:type="dxa"/>
            <w:vAlign w:val="center"/>
          </w:tcPr>
          <w:p w14:paraId="52AFC4C5">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rPr>
              <w:t>耗材</w:t>
            </w:r>
          </w:p>
        </w:tc>
        <w:tc>
          <w:tcPr>
            <w:tcW w:w="1843" w:type="dxa"/>
            <w:vAlign w:val="center"/>
          </w:tcPr>
          <w:p w14:paraId="3C1C8ACA">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rPr>
              <w:t>设备</w:t>
            </w:r>
          </w:p>
        </w:tc>
        <w:tc>
          <w:tcPr>
            <w:tcW w:w="2126" w:type="dxa"/>
            <w:vAlign w:val="center"/>
          </w:tcPr>
          <w:p w14:paraId="2E053D54">
            <w:pPr>
              <w:widowControl/>
              <w:kinsoku w:val="0"/>
              <w:autoSpaceDE w:val="0"/>
              <w:autoSpaceDN w:val="0"/>
              <w:adjustRightInd w:val="0"/>
              <w:snapToGrid w:val="0"/>
              <w:spacing w:line="420" w:lineRule="exact"/>
              <w:jc w:val="center"/>
              <w:textAlignment w:val="baseline"/>
              <w:rPr>
                <w:b/>
                <w:bCs/>
                <w:snapToGrid w:val="0"/>
                <w:color w:val="000000"/>
                <w:kern w:val="0"/>
                <w:sz w:val="24"/>
                <w:szCs w:val="24"/>
              </w:rPr>
            </w:pPr>
            <w:r>
              <w:rPr>
                <w:b/>
                <w:bCs/>
                <w:snapToGrid w:val="0"/>
                <w:color w:val="000000"/>
                <w:kern w:val="0"/>
                <w:sz w:val="24"/>
                <w:szCs w:val="24"/>
              </w:rPr>
              <w:t>地点</w:t>
            </w:r>
          </w:p>
        </w:tc>
        <w:tc>
          <w:tcPr>
            <w:tcW w:w="2268" w:type="dxa"/>
            <w:vAlign w:val="center"/>
          </w:tcPr>
          <w:p w14:paraId="1A0E801B">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lang w:eastAsia="en-US"/>
              </w:rPr>
              <w:t>更换</w:t>
            </w:r>
            <w:r>
              <w:rPr>
                <w:b/>
                <w:bCs/>
                <w:snapToGrid w:val="0"/>
                <w:color w:val="000000"/>
                <w:kern w:val="0"/>
                <w:sz w:val="24"/>
                <w:szCs w:val="24"/>
              </w:rPr>
              <w:t>（服务）</w:t>
            </w:r>
            <w:r>
              <w:rPr>
                <w:b/>
                <w:bCs/>
                <w:snapToGrid w:val="0"/>
                <w:color w:val="000000"/>
                <w:kern w:val="0"/>
                <w:sz w:val="24"/>
                <w:szCs w:val="24"/>
                <w:lang w:eastAsia="en-US"/>
              </w:rPr>
              <w:t>次数</w:t>
            </w:r>
          </w:p>
        </w:tc>
        <w:tc>
          <w:tcPr>
            <w:tcW w:w="1984" w:type="dxa"/>
            <w:vAlign w:val="center"/>
          </w:tcPr>
          <w:p w14:paraId="39555550">
            <w:pPr>
              <w:widowControl/>
              <w:kinsoku w:val="0"/>
              <w:autoSpaceDE w:val="0"/>
              <w:autoSpaceDN w:val="0"/>
              <w:adjustRightInd w:val="0"/>
              <w:snapToGrid w:val="0"/>
              <w:spacing w:line="420" w:lineRule="exact"/>
              <w:jc w:val="center"/>
              <w:textAlignment w:val="baseline"/>
              <w:rPr>
                <w:b/>
                <w:bCs/>
                <w:snapToGrid w:val="0"/>
                <w:color w:val="000000"/>
                <w:kern w:val="0"/>
                <w:sz w:val="24"/>
                <w:szCs w:val="24"/>
                <w:lang w:eastAsia="en-US"/>
              </w:rPr>
            </w:pPr>
            <w:r>
              <w:rPr>
                <w:b/>
                <w:bCs/>
                <w:snapToGrid w:val="0"/>
                <w:color w:val="000000"/>
                <w:kern w:val="0"/>
                <w:sz w:val="24"/>
                <w:szCs w:val="24"/>
                <w:lang w:eastAsia="en-US"/>
              </w:rPr>
              <w:t>每次更换数量</w:t>
            </w:r>
          </w:p>
        </w:tc>
      </w:tr>
      <w:tr w14:paraId="3F6A622D">
        <w:trPr>
          <w:trHeight w:val="443" w:hRule="atLeast"/>
        </w:trPr>
        <w:tc>
          <w:tcPr>
            <w:tcW w:w="704" w:type="dxa"/>
            <w:vMerge w:val="restart"/>
            <w:tcBorders>
              <w:right w:val="single" w:color="auto" w:sz="4" w:space="0"/>
            </w:tcBorders>
            <w:vAlign w:val="center"/>
          </w:tcPr>
          <w:p w14:paraId="12D0BE0C">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w:t>
            </w:r>
          </w:p>
        </w:tc>
        <w:tc>
          <w:tcPr>
            <w:tcW w:w="709" w:type="dxa"/>
            <w:vMerge w:val="restart"/>
            <w:tcBorders>
              <w:right w:val="single" w:color="auto" w:sz="4" w:space="0"/>
            </w:tcBorders>
            <w:vAlign w:val="center"/>
          </w:tcPr>
          <w:p w14:paraId="6D179BA3">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过滤网</w:t>
            </w:r>
          </w:p>
        </w:tc>
        <w:tc>
          <w:tcPr>
            <w:tcW w:w="1843" w:type="dxa"/>
            <w:tcBorders>
              <w:right w:val="single" w:color="auto" w:sz="4" w:space="0"/>
            </w:tcBorders>
            <w:vAlign w:val="center"/>
          </w:tcPr>
          <w:p w14:paraId="3DBAAEC8">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tcBorders>
              <w:left w:val="single" w:color="auto" w:sz="4" w:space="0"/>
            </w:tcBorders>
            <w:vAlign w:val="center"/>
          </w:tcPr>
          <w:p w14:paraId="3DCFFE28">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桃坞路2F机房西</w:t>
            </w:r>
          </w:p>
        </w:tc>
        <w:tc>
          <w:tcPr>
            <w:tcW w:w="2268" w:type="dxa"/>
            <w:tcBorders>
              <w:left w:val="single" w:color="auto" w:sz="4" w:space="0"/>
            </w:tcBorders>
            <w:vAlign w:val="center"/>
          </w:tcPr>
          <w:p w14:paraId="6F5613A7">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每年至少4次</w:t>
            </w:r>
          </w:p>
        </w:tc>
        <w:tc>
          <w:tcPr>
            <w:tcW w:w="1984" w:type="dxa"/>
            <w:vAlign w:val="center"/>
          </w:tcPr>
          <w:p w14:paraId="543CE6AD">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6</w:t>
            </w:r>
            <w:r>
              <w:rPr>
                <w:snapToGrid w:val="0"/>
                <w:color w:val="000000"/>
                <w:kern w:val="0"/>
                <w:sz w:val="24"/>
                <w:szCs w:val="24"/>
                <w:lang w:eastAsia="en-US"/>
              </w:rPr>
              <w:t>张</w:t>
            </w:r>
          </w:p>
        </w:tc>
      </w:tr>
      <w:tr w14:paraId="3371DD5F">
        <w:trPr>
          <w:trHeight w:val="443" w:hRule="atLeast"/>
        </w:trPr>
        <w:tc>
          <w:tcPr>
            <w:tcW w:w="704" w:type="dxa"/>
            <w:vMerge w:val="continue"/>
            <w:tcBorders>
              <w:right w:val="single" w:color="auto" w:sz="4" w:space="0"/>
            </w:tcBorders>
            <w:vAlign w:val="center"/>
          </w:tcPr>
          <w:p w14:paraId="6F451E54">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tcBorders>
              <w:right w:val="single" w:color="auto" w:sz="4" w:space="0"/>
            </w:tcBorders>
            <w:vAlign w:val="center"/>
          </w:tcPr>
          <w:p w14:paraId="49A96F61">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0422C79D">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vAlign w:val="center"/>
          </w:tcPr>
          <w:p w14:paraId="455090AD">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桃坞路2F机房西</w:t>
            </w:r>
          </w:p>
        </w:tc>
        <w:tc>
          <w:tcPr>
            <w:tcW w:w="2268" w:type="dxa"/>
            <w:vAlign w:val="center"/>
          </w:tcPr>
          <w:p w14:paraId="3ECB10FE">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每年至少4次</w:t>
            </w:r>
          </w:p>
        </w:tc>
        <w:tc>
          <w:tcPr>
            <w:tcW w:w="1984" w:type="dxa"/>
            <w:vAlign w:val="center"/>
          </w:tcPr>
          <w:p w14:paraId="0F57B971">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6</w:t>
            </w:r>
            <w:r>
              <w:rPr>
                <w:snapToGrid w:val="0"/>
                <w:color w:val="000000"/>
                <w:kern w:val="0"/>
                <w:sz w:val="24"/>
                <w:szCs w:val="24"/>
                <w:lang w:eastAsia="en-US"/>
              </w:rPr>
              <w:t>张</w:t>
            </w:r>
          </w:p>
        </w:tc>
      </w:tr>
      <w:tr w14:paraId="7510348E">
        <w:trPr>
          <w:trHeight w:val="443" w:hRule="atLeast"/>
        </w:trPr>
        <w:tc>
          <w:tcPr>
            <w:tcW w:w="704" w:type="dxa"/>
            <w:vMerge w:val="continue"/>
            <w:tcBorders>
              <w:right w:val="single" w:color="auto" w:sz="4" w:space="0"/>
            </w:tcBorders>
            <w:vAlign w:val="center"/>
          </w:tcPr>
          <w:p w14:paraId="32465DA1">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tcBorders>
              <w:right w:val="single" w:color="auto" w:sz="4" w:space="0"/>
            </w:tcBorders>
            <w:vAlign w:val="center"/>
          </w:tcPr>
          <w:p w14:paraId="5082B457">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414D590E">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w:t>
            </w:r>
            <w:r>
              <w:rPr>
                <w:snapToGrid w:val="0"/>
                <w:color w:val="000000"/>
                <w:kern w:val="0"/>
                <w:sz w:val="24"/>
                <w:szCs w:val="24"/>
                <w:lang w:eastAsia="en-US"/>
              </w:rPr>
              <w:t>ME12MCP5</w:t>
            </w:r>
          </w:p>
        </w:tc>
        <w:tc>
          <w:tcPr>
            <w:tcW w:w="2126" w:type="dxa"/>
            <w:vAlign w:val="center"/>
          </w:tcPr>
          <w:p w14:paraId="4F5E33B2">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桃坞路1FUPS间东</w:t>
            </w:r>
          </w:p>
        </w:tc>
        <w:tc>
          <w:tcPr>
            <w:tcW w:w="2268" w:type="dxa"/>
            <w:vAlign w:val="center"/>
          </w:tcPr>
          <w:p w14:paraId="6BF203AF">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每年至少4次清洗</w:t>
            </w:r>
          </w:p>
        </w:tc>
        <w:tc>
          <w:tcPr>
            <w:tcW w:w="1984" w:type="dxa"/>
            <w:vAlign w:val="center"/>
          </w:tcPr>
          <w:p w14:paraId="3E84507A">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必要时进行更换</w:t>
            </w:r>
          </w:p>
        </w:tc>
      </w:tr>
      <w:tr w14:paraId="7A477F02">
        <w:trPr>
          <w:trHeight w:val="90" w:hRule="atLeast"/>
        </w:trPr>
        <w:tc>
          <w:tcPr>
            <w:tcW w:w="704" w:type="dxa"/>
            <w:vMerge w:val="continue"/>
            <w:tcBorders>
              <w:right w:val="single" w:color="auto" w:sz="4" w:space="0"/>
            </w:tcBorders>
            <w:vAlign w:val="center"/>
          </w:tcPr>
          <w:p w14:paraId="09BD1C6E">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tcBorders>
              <w:right w:val="single" w:color="auto" w:sz="4" w:space="0"/>
            </w:tcBorders>
            <w:vAlign w:val="center"/>
          </w:tcPr>
          <w:p w14:paraId="36F870B8">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740904A1">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艾默生DME07MH2</w:t>
            </w:r>
          </w:p>
        </w:tc>
        <w:tc>
          <w:tcPr>
            <w:tcW w:w="2126" w:type="dxa"/>
            <w:vAlign w:val="center"/>
          </w:tcPr>
          <w:p w14:paraId="190380C3">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城港路5F弱电间北</w:t>
            </w:r>
          </w:p>
        </w:tc>
        <w:tc>
          <w:tcPr>
            <w:tcW w:w="2268" w:type="dxa"/>
            <w:vAlign w:val="center"/>
          </w:tcPr>
          <w:p w14:paraId="366F7E73">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每年至少4次</w:t>
            </w:r>
          </w:p>
        </w:tc>
        <w:tc>
          <w:tcPr>
            <w:tcW w:w="1984" w:type="dxa"/>
            <w:vAlign w:val="center"/>
          </w:tcPr>
          <w:p w14:paraId="6E52D1CC">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w:t>
            </w:r>
            <w:r>
              <w:rPr>
                <w:snapToGrid w:val="0"/>
                <w:color w:val="000000"/>
                <w:kern w:val="0"/>
                <w:sz w:val="24"/>
                <w:szCs w:val="24"/>
                <w:lang w:eastAsia="en-US"/>
              </w:rPr>
              <w:t>张</w:t>
            </w:r>
          </w:p>
        </w:tc>
      </w:tr>
      <w:tr w14:paraId="07EC3EBF">
        <w:trPr>
          <w:trHeight w:val="443" w:hRule="atLeast"/>
        </w:trPr>
        <w:tc>
          <w:tcPr>
            <w:tcW w:w="704" w:type="dxa"/>
            <w:vMerge w:val="restart"/>
            <w:vAlign w:val="center"/>
          </w:tcPr>
          <w:p w14:paraId="23E07254">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w:t>
            </w:r>
          </w:p>
        </w:tc>
        <w:tc>
          <w:tcPr>
            <w:tcW w:w="709" w:type="dxa"/>
            <w:vMerge w:val="restart"/>
            <w:vAlign w:val="center"/>
          </w:tcPr>
          <w:p w14:paraId="748ECB11">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加湿罐</w:t>
            </w:r>
          </w:p>
        </w:tc>
        <w:tc>
          <w:tcPr>
            <w:tcW w:w="1843" w:type="dxa"/>
            <w:vAlign w:val="center"/>
          </w:tcPr>
          <w:p w14:paraId="2511411D">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vAlign w:val="center"/>
          </w:tcPr>
          <w:p w14:paraId="21FBCBC8">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桃坞路2F机房西</w:t>
            </w:r>
          </w:p>
        </w:tc>
        <w:tc>
          <w:tcPr>
            <w:tcW w:w="2268" w:type="dxa"/>
            <w:vAlign w:val="center"/>
          </w:tcPr>
          <w:p w14:paraId="53C56DC1">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w:t>
            </w:r>
            <w:r>
              <w:rPr>
                <w:snapToGrid w:val="0"/>
                <w:color w:val="000000"/>
                <w:kern w:val="0"/>
                <w:sz w:val="24"/>
                <w:szCs w:val="24"/>
              </w:rPr>
              <w:t>2</w:t>
            </w:r>
            <w:r>
              <w:rPr>
                <w:snapToGrid w:val="0"/>
                <w:color w:val="000000"/>
                <w:kern w:val="0"/>
                <w:sz w:val="24"/>
                <w:szCs w:val="24"/>
                <w:lang w:eastAsia="en-US"/>
              </w:rPr>
              <w:t>次</w:t>
            </w:r>
          </w:p>
        </w:tc>
        <w:tc>
          <w:tcPr>
            <w:tcW w:w="1984" w:type="dxa"/>
            <w:vAlign w:val="center"/>
          </w:tcPr>
          <w:p w14:paraId="5810647F">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1个</w:t>
            </w:r>
          </w:p>
        </w:tc>
      </w:tr>
      <w:tr w14:paraId="3D6F1932">
        <w:trPr>
          <w:trHeight w:val="443" w:hRule="atLeast"/>
        </w:trPr>
        <w:tc>
          <w:tcPr>
            <w:tcW w:w="704" w:type="dxa"/>
            <w:vMerge w:val="continue"/>
            <w:vAlign w:val="center"/>
          </w:tcPr>
          <w:p w14:paraId="0D2FDA5D">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vAlign w:val="center"/>
          </w:tcPr>
          <w:p w14:paraId="7FD8E55E">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3EE44135">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艾特网能CM040</w:t>
            </w:r>
          </w:p>
        </w:tc>
        <w:tc>
          <w:tcPr>
            <w:tcW w:w="2126" w:type="dxa"/>
            <w:vAlign w:val="center"/>
          </w:tcPr>
          <w:p w14:paraId="55A6640C">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桃坞路2F机房西</w:t>
            </w:r>
          </w:p>
        </w:tc>
        <w:tc>
          <w:tcPr>
            <w:tcW w:w="2268" w:type="dxa"/>
            <w:vAlign w:val="center"/>
          </w:tcPr>
          <w:p w14:paraId="6B58F95F">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w:t>
            </w:r>
            <w:r>
              <w:rPr>
                <w:snapToGrid w:val="0"/>
                <w:color w:val="000000"/>
                <w:kern w:val="0"/>
                <w:sz w:val="24"/>
                <w:szCs w:val="24"/>
              </w:rPr>
              <w:t>2</w:t>
            </w:r>
            <w:r>
              <w:rPr>
                <w:snapToGrid w:val="0"/>
                <w:color w:val="000000"/>
                <w:kern w:val="0"/>
                <w:sz w:val="24"/>
                <w:szCs w:val="24"/>
                <w:lang w:eastAsia="en-US"/>
              </w:rPr>
              <w:t>次</w:t>
            </w:r>
          </w:p>
        </w:tc>
        <w:tc>
          <w:tcPr>
            <w:tcW w:w="1984" w:type="dxa"/>
            <w:vAlign w:val="center"/>
          </w:tcPr>
          <w:p w14:paraId="4F63A99F">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1个</w:t>
            </w:r>
          </w:p>
        </w:tc>
      </w:tr>
      <w:tr w14:paraId="5D741550">
        <w:trPr>
          <w:trHeight w:val="443" w:hRule="atLeast"/>
        </w:trPr>
        <w:tc>
          <w:tcPr>
            <w:tcW w:w="704" w:type="dxa"/>
            <w:vMerge w:val="continue"/>
            <w:vAlign w:val="center"/>
          </w:tcPr>
          <w:p w14:paraId="6A26643C">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709" w:type="dxa"/>
            <w:vMerge w:val="continue"/>
            <w:vAlign w:val="center"/>
          </w:tcPr>
          <w:p w14:paraId="5DE0402A">
            <w:pPr>
              <w:widowControl/>
              <w:kinsoku w:val="0"/>
              <w:autoSpaceDE w:val="0"/>
              <w:autoSpaceDN w:val="0"/>
              <w:adjustRightInd w:val="0"/>
              <w:snapToGrid w:val="0"/>
              <w:spacing w:line="420" w:lineRule="exact"/>
              <w:jc w:val="center"/>
              <w:textAlignment w:val="baseline"/>
              <w:rPr>
                <w:snapToGrid w:val="0"/>
                <w:color w:val="000000"/>
                <w:kern w:val="0"/>
                <w:sz w:val="24"/>
                <w:szCs w:val="24"/>
              </w:rPr>
            </w:pPr>
          </w:p>
        </w:tc>
        <w:tc>
          <w:tcPr>
            <w:tcW w:w="1843" w:type="dxa"/>
            <w:vAlign w:val="center"/>
          </w:tcPr>
          <w:p w14:paraId="7F0A7A73">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艾默生DME07MH2</w:t>
            </w:r>
          </w:p>
        </w:tc>
        <w:tc>
          <w:tcPr>
            <w:tcW w:w="2126" w:type="dxa"/>
            <w:vAlign w:val="center"/>
          </w:tcPr>
          <w:p w14:paraId="50087CE5">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城港路5F弱电间北</w:t>
            </w:r>
          </w:p>
        </w:tc>
        <w:tc>
          <w:tcPr>
            <w:tcW w:w="2268" w:type="dxa"/>
            <w:vAlign w:val="center"/>
          </w:tcPr>
          <w:p w14:paraId="70AC456A">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lang w:eastAsia="en-US"/>
              </w:rPr>
              <w:t>每年至少</w:t>
            </w:r>
            <w:r>
              <w:rPr>
                <w:snapToGrid w:val="0"/>
                <w:color w:val="000000"/>
                <w:kern w:val="0"/>
                <w:sz w:val="24"/>
                <w:szCs w:val="24"/>
              </w:rPr>
              <w:t>2</w:t>
            </w:r>
            <w:r>
              <w:rPr>
                <w:snapToGrid w:val="0"/>
                <w:color w:val="000000"/>
                <w:kern w:val="0"/>
                <w:sz w:val="24"/>
                <w:szCs w:val="24"/>
                <w:lang w:eastAsia="en-US"/>
              </w:rPr>
              <w:t>次</w:t>
            </w:r>
          </w:p>
        </w:tc>
        <w:tc>
          <w:tcPr>
            <w:tcW w:w="1984" w:type="dxa"/>
            <w:vAlign w:val="center"/>
          </w:tcPr>
          <w:p w14:paraId="1BEFE6C0">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1个</w:t>
            </w:r>
          </w:p>
        </w:tc>
      </w:tr>
      <w:tr w14:paraId="6D54B46B">
        <w:trPr>
          <w:trHeight w:val="443" w:hRule="atLeast"/>
        </w:trPr>
        <w:tc>
          <w:tcPr>
            <w:tcW w:w="704" w:type="dxa"/>
            <w:vAlign w:val="center"/>
          </w:tcPr>
          <w:p w14:paraId="4962756E">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备注</w:t>
            </w:r>
          </w:p>
        </w:tc>
        <w:tc>
          <w:tcPr>
            <w:tcW w:w="8930" w:type="dxa"/>
            <w:gridSpan w:val="5"/>
            <w:vAlign w:val="center"/>
          </w:tcPr>
          <w:p w14:paraId="613FCEDB">
            <w:pPr>
              <w:widowControl/>
              <w:kinsoku w:val="0"/>
              <w:autoSpaceDE w:val="0"/>
              <w:autoSpaceDN w:val="0"/>
              <w:adjustRightInd w:val="0"/>
              <w:snapToGrid w:val="0"/>
              <w:spacing w:line="420" w:lineRule="exact"/>
              <w:jc w:val="left"/>
              <w:textAlignment w:val="baseline"/>
              <w:rPr>
                <w:snapToGrid w:val="0"/>
                <w:color w:val="000000"/>
                <w:kern w:val="0"/>
                <w:sz w:val="24"/>
                <w:szCs w:val="24"/>
              </w:rPr>
            </w:pPr>
            <w:r>
              <w:rPr>
                <w:snapToGrid w:val="0"/>
                <w:color w:val="000000"/>
                <w:kern w:val="0"/>
                <w:sz w:val="24"/>
                <w:szCs w:val="24"/>
              </w:rPr>
              <w:t>（1）耗材更换次数，视根据机房实际</w:t>
            </w:r>
            <w:r>
              <w:rPr>
                <w:snapToGrid w:val="0"/>
                <w:kern w:val="0"/>
                <w:sz w:val="24"/>
                <w:szCs w:val="24"/>
              </w:rPr>
              <w:t>环境要求而定，但加湿罐至少每年必须更换2次，空调过滤网每年至少更换4次。</w:t>
            </w:r>
            <w:r>
              <w:rPr>
                <w:snapToGrid w:val="0"/>
                <w:color w:val="000000"/>
                <w:kern w:val="0"/>
                <w:sz w:val="24"/>
                <w:szCs w:val="24"/>
              </w:rPr>
              <w:t>如因水质、机房空气环境较差，需要增加更换次数。其他耗材如皮带等根据实际使用情况进行更换。</w:t>
            </w:r>
          </w:p>
          <w:p w14:paraId="67EF95DA">
            <w:pPr>
              <w:widowControl/>
              <w:kinsoku w:val="0"/>
              <w:autoSpaceDE w:val="0"/>
              <w:autoSpaceDN w:val="0"/>
              <w:adjustRightInd w:val="0"/>
              <w:snapToGrid w:val="0"/>
              <w:spacing w:line="420" w:lineRule="exact"/>
              <w:jc w:val="left"/>
              <w:textAlignment w:val="baseline"/>
              <w:rPr>
                <w:b/>
                <w:bCs/>
                <w:snapToGrid w:val="0"/>
                <w:color w:val="000000"/>
                <w:kern w:val="0"/>
                <w:sz w:val="24"/>
                <w:szCs w:val="24"/>
                <w:u w:val="thick" w:color="FF0000"/>
              </w:rPr>
            </w:pPr>
            <w:r>
              <w:rPr>
                <w:snapToGrid w:val="0"/>
                <w:color w:val="000000"/>
                <w:kern w:val="0"/>
                <w:sz w:val="24"/>
                <w:szCs w:val="24"/>
              </w:rPr>
              <w:t>（2）上述耗材须为质量合格的配件，若上述精密空调原配件停产，可以提供相似的适配件，但需提供情况说明。</w:t>
            </w:r>
          </w:p>
        </w:tc>
      </w:tr>
    </w:tbl>
    <w:p w14:paraId="659A601C">
      <w:pPr>
        <w:spacing w:line="420" w:lineRule="exact"/>
        <w:ind w:firstLine="480" w:firstLineChars="200"/>
        <w:rPr>
          <w:kern w:val="0"/>
          <w:sz w:val="24"/>
        </w:rPr>
      </w:pPr>
      <w:r>
        <w:rPr>
          <w:rFonts w:hint="eastAsia"/>
          <w:kern w:val="0"/>
          <w:sz w:val="24"/>
        </w:rPr>
        <w:t xml:space="preserve">4.2.10零配件的更换：在维护保养服务期内，如发现设备发生任何故障、元器件自然老化或损坏、运行故障、不明原因的自身故障等，以及运行异常问题，包括制冷异常、设备异响等，均由服务供应商负责维修或更换零配件（包含空调压缩主机）。所有维修更换配件均为质量合格的配件，不允许使用老旧配件或拆机件，不能对故障零件进行人工修复而不更换。若精密空调原配件停产或因情况紧急急需恢复设备运行的情况下，在征得用户同意的情况下，可以使用通用适配件。 </w:t>
      </w:r>
    </w:p>
    <w:p w14:paraId="6E65FA18">
      <w:pPr>
        <w:spacing w:line="420" w:lineRule="exact"/>
        <w:ind w:firstLine="480" w:firstLineChars="200"/>
        <w:rPr>
          <w:kern w:val="0"/>
          <w:sz w:val="24"/>
        </w:rPr>
      </w:pPr>
      <w:r>
        <w:rPr>
          <w:rFonts w:hint="eastAsia"/>
          <w:kern w:val="0"/>
          <w:sz w:val="24"/>
        </w:rPr>
        <w:t>4.2.11如空调出现故障，且在夏季3小时内，其他季节8小时内无法修复的，服务供应商应提供其他制冷方式控制机房温度，确保机房正常运行。</w:t>
      </w:r>
    </w:p>
    <w:p w14:paraId="59386872">
      <w:pPr>
        <w:spacing w:line="420" w:lineRule="exact"/>
        <w:ind w:firstLine="480" w:firstLineChars="200"/>
        <w:outlineLvl w:val="3"/>
        <w:rPr>
          <w:b/>
          <w:bCs/>
          <w:kern w:val="0"/>
          <w:sz w:val="24"/>
        </w:rPr>
      </w:pPr>
      <w:r>
        <w:rPr>
          <w:rFonts w:hint="eastAsia"/>
          <w:b/>
          <w:bCs/>
          <w:kern w:val="0"/>
          <w:sz w:val="24"/>
        </w:rPr>
        <w:t>4.3防鼠灭鼠服务要求</w:t>
      </w:r>
    </w:p>
    <w:p w14:paraId="640BD5D2">
      <w:pPr>
        <w:spacing w:line="420" w:lineRule="exact"/>
        <w:ind w:firstLine="480" w:firstLineChars="200"/>
        <w:rPr>
          <w:kern w:val="0"/>
          <w:sz w:val="24"/>
        </w:rPr>
      </w:pPr>
      <w:r>
        <w:rPr>
          <w:rFonts w:hint="eastAsia"/>
          <w:kern w:val="0"/>
          <w:sz w:val="24"/>
        </w:rPr>
        <w:t>机房防鼠灭鼠服务主要涉及桃坞路网络核心机房整体区域和城港路5楼和10楼整体机房区域。本次服务须严格按照IPM（综合虫害控制）理念和HACCP（危害分析和关键控制点）运作标准开展鼠害防治作业。每月至少做一次鼠害防治，包括鼠征监测、趋避剂更新、鼠情控制和新漏洞封堵。具体要求如下：</w:t>
      </w:r>
    </w:p>
    <w:p w14:paraId="3516D585">
      <w:pPr>
        <w:spacing w:line="420" w:lineRule="exact"/>
        <w:ind w:firstLine="480" w:firstLineChars="200"/>
        <w:rPr>
          <w:kern w:val="0"/>
          <w:sz w:val="24"/>
        </w:rPr>
      </w:pPr>
      <w:r>
        <w:rPr>
          <w:rFonts w:hint="eastAsia"/>
          <w:kern w:val="0"/>
          <w:sz w:val="24"/>
        </w:rPr>
        <w:t>4.3.1首次服务：根据防鼠灭鼠范围区域，根据灭鼠场地实际情况制订详细的灭鼠方案。灭鼠方案应详细，包括服务范围内的外围、室内、桥架、吊顶、办公司区域，按国家行业标准提供鼠密度监测、鼠害灭治。</w:t>
      </w:r>
    </w:p>
    <w:p w14:paraId="480A2F4D">
      <w:pPr>
        <w:spacing w:line="420" w:lineRule="exact"/>
        <w:ind w:firstLine="480" w:firstLineChars="200"/>
        <w:rPr>
          <w:kern w:val="0"/>
          <w:sz w:val="24"/>
        </w:rPr>
      </w:pPr>
      <w:r>
        <w:rPr>
          <w:rFonts w:hint="eastAsia"/>
          <w:kern w:val="0"/>
          <w:sz w:val="24"/>
        </w:rPr>
        <w:t>4.3.2巡查巡检：根据用户要求，在服务期内对灭鼠范围区域每月提供1次现场检查，每次巡查巡检向用户提供巡检报告，并说明目前鼠害防治工作情况、存在问题及建议等。包括鼠征监测、趋避剂更新、鼠情控制和新漏洞封堵。</w:t>
      </w:r>
    </w:p>
    <w:p w14:paraId="49C56A99">
      <w:pPr>
        <w:spacing w:line="420" w:lineRule="exact"/>
        <w:ind w:firstLine="480" w:firstLineChars="200"/>
        <w:rPr>
          <w:kern w:val="0"/>
          <w:sz w:val="24"/>
        </w:rPr>
      </w:pPr>
      <w:r>
        <w:rPr>
          <w:rFonts w:hint="eastAsia"/>
          <w:kern w:val="0"/>
          <w:sz w:val="24"/>
        </w:rPr>
        <w:t>4.3.3安全要求：采用化学或机械灭鼠方法的，要防止中毒事件发生，防止机械伤人；化学药物必须符合国家相关标准，绝不允许采用自行混配的无证产品；化学药物或机械放置点须设立明确标识标记；电子类产品确保不能对机房设备产生干扰等。</w:t>
      </w:r>
    </w:p>
    <w:p w14:paraId="35975051">
      <w:pPr>
        <w:spacing w:line="420" w:lineRule="exact"/>
        <w:ind w:firstLine="480" w:firstLineChars="200"/>
        <w:rPr>
          <w:kern w:val="0"/>
          <w:sz w:val="24"/>
        </w:rPr>
      </w:pPr>
      <w:r>
        <w:rPr>
          <w:rFonts w:hint="eastAsia"/>
          <w:kern w:val="0"/>
          <w:sz w:val="24"/>
        </w:rPr>
        <w:t>4.3.4鼠尸处理：按国家相关标准处置。</w:t>
      </w:r>
    </w:p>
    <w:p w14:paraId="4893C9CF">
      <w:pPr>
        <w:spacing w:line="420" w:lineRule="exact"/>
        <w:ind w:firstLine="480" w:firstLineChars="200"/>
        <w:outlineLvl w:val="2"/>
        <w:rPr>
          <w:sz w:val="24"/>
          <w:szCs w:val="24"/>
        </w:rPr>
      </w:pPr>
      <w:r>
        <w:rPr>
          <w:rFonts w:hint="eastAsia" w:cs="宋体"/>
          <w:b/>
          <w:bCs/>
          <w:sz w:val="24"/>
          <w:szCs w:val="24"/>
        </w:rPr>
        <w:t>5</w:t>
      </w:r>
      <w:r>
        <w:rPr>
          <w:rFonts w:cs="宋体"/>
          <w:b/>
          <w:bCs/>
          <w:sz w:val="24"/>
          <w:szCs w:val="24"/>
        </w:rPr>
        <w:t>.服务</w:t>
      </w:r>
      <w:r>
        <w:rPr>
          <w:rFonts w:hint="eastAsia" w:cs="宋体"/>
          <w:b/>
          <w:bCs/>
          <w:sz w:val="24"/>
          <w:szCs w:val="24"/>
        </w:rPr>
        <w:t>期</w:t>
      </w:r>
      <w:r>
        <w:rPr>
          <w:rFonts w:cs="宋体"/>
          <w:b/>
          <w:bCs/>
          <w:sz w:val="24"/>
          <w:szCs w:val="24"/>
        </w:rPr>
        <w:t>和</w:t>
      </w:r>
      <w:r>
        <w:rPr>
          <w:rFonts w:hint="eastAsia" w:cs="宋体"/>
          <w:b/>
          <w:bCs/>
          <w:sz w:val="24"/>
          <w:szCs w:val="24"/>
        </w:rPr>
        <w:t>合同履行</w:t>
      </w:r>
      <w:r>
        <w:rPr>
          <w:rFonts w:cs="宋体"/>
          <w:b/>
          <w:bCs/>
          <w:sz w:val="24"/>
          <w:szCs w:val="24"/>
        </w:rPr>
        <w:t>期限</w:t>
      </w:r>
    </w:p>
    <w:p w14:paraId="68B1E144">
      <w:pPr>
        <w:spacing w:line="420" w:lineRule="exact"/>
        <w:ind w:firstLine="480" w:firstLineChars="200"/>
        <w:rPr>
          <w:dstrike/>
          <w:sz w:val="24"/>
          <w:szCs w:val="24"/>
        </w:rPr>
      </w:pPr>
      <w:r>
        <w:rPr>
          <w:sz w:val="24"/>
          <w:szCs w:val="24"/>
        </w:rPr>
        <w:t>5.1</w:t>
      </w:r>
      <w:r>
        <w:rPr>
          <w:rFonts w:hint="eastAsia" w:cs="宋体"/>
          <w:sz w:val="24"/>
          <w:szCs w:val="24"/>
        </w:rPr>
        <w:t>本合同标的服务期为3年（</w:t>
      </w:r>
      <w:r>
        <w:rPr>
          <w:rFonts w:hint="eastAsia"/>
          <w:sz w:val="24"/>
          <w:szCs w:val="24"/>
        </w:rPr>
        <w:t>即2</w:t>
      </w:r>
      <w:r>
        <w:rPr>
          <w:sz w:val="24"/>
          <w:szCs w:val="24"/>
        </w:rPr>
        <w:t>02</w:t>
      </w:r>
      <w:r>
        <w:rPr>
          <w:rFonts w:hint="eastAsia"/>
          <w:sz w:val="24"/>
          <w:szCs w:val="24"/>
        </w:rPr>
        <w:t>6年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日起，至2</w:t>
      </w:r>
      <w:r>
        <w:rPr>
          <w:sz w:val="24"/>
          <w:szCs w:val="24"/>
        </w:rPr>
        <w:t>02</w:t>
      </w:r>
      <w:r>
        <w:rPr>
          <w:rFonts w:hint="eastAsia"/>
          <w:sz w:val="24"/>
          <w:szCs w:val="24"/>
        </w:rPr>
        <w:t>9年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日止，共3</w:t>
      </w:r>
      <w:r>
        <w:rPr>
          <w:sz w:val="24"/>
          <w:szCs w:val="24"/>
        </w:rPr>
        <w:t>6</w:t>
      </w:r>
      <w:r>
        <w:rPr>
          <w:rFonts w:hint="eastAsia"/>
          <w:sz w:val="24"/>
          <w:szCs w:val="24"/>
        </w:rPr>
        <w:t>个月。）</w:t>
      </w:r>
      <w:r>
        <w:rPr>
          <w:rFonts w:hint="eastAsia" w:cs="宋体"/>
          <w:sz w:val="24"/>
          <w:szCs w:val="24"/>
        </w:rPr>
        <w:t>，</w:t>
      </w:r>
      <w:r>
        <w:rPr>
          <w:rFonts w:hint="eastAsia"/>
          <w:sz w:val="24"/>
          <w:szCs w:val="24"/>
        </w:rPr>
        <w:t>合同一年一签订（即单年度合同履行期限为12个月）。</w:t>
      </w:r>
    </w:p>
    <w:p w14:paraId="7E6D5B67">
      <w:pPr>
        <w:spacing w:line="420" w:lineRule="exact"/>
        <w:ind w:firstLine="480" w:firstLineChars="200"/>
        <w:rPr>
          <w:sz w:val="24"/>
          <w:szCs w:val="24"/>
        </w:rPr>
      </w:pPr>
      <w:r>
        <w:rPr>
          <w:rFonts w:hint="eastAsia"/>
          <w:sz w:val="24"/>
          <w:szCs w:val="24"/>
        </w:rPr>
        <w:t>5</w:t>
      </w:r>
      <w:r>
        <w:rPr>
          <w:sz w:val="24"/>
          <w:szCs w:val="24"/>
        </w:rPr>
        <w:t>.2</w:t>
      </w:r>
      <w:r>
        <w:rPr>
          <w:rFonts w:hint="eastAsia"/>
          <w:sz w:val="24"/>
          <w:szCs w:val="24"/>
        </w:rPr>
        <w:t>本合同为标的服务期内的</w:t>
      </w:r>
      <w:r>
        <w:rPr>
          <w:rFonts w:hint="eastAsia"/>
          <w:sz w:val="24"/>
          <w:szCs w:val="24"/>
          <w:u w:val="single"/>
        </w:rPr>
        <w:t xml:space="preserve"> </w:t>
      </w:r>
      <w:r>
        <w:rPr>
          <w:sz w:val="24"/>
          <w:szCs w:val="24"/>
          <w:u w:val="single"/>
        </w:rPr>
        <w:t xml:space="preserve"> </w:t>
      </w:r>
      <w:r>
        <w:rPr>
          <w:rFonts w:hint="eastAsia"/>
          <w:sz w:val="24"/>
          <w:szCs w:val="24"/>
          <w:u w:val="single"/>
        </w:rPr>
        <w:t xml:space="preserve">首年度 </w:t>
      </w:r>
      <w:r>
        <w:rPr>
          <w:sz w:val="24"/>
          <w:szCs w:val="24"/>
          <w:u w:val="single"/>
        </w:rPr>
        <w:t xml:space="preserve"> </w:t>
      </w:r>
      <w:r>
        <w:rPr>
          <w:rFonts w:hint="eastAsia"/>
          <w:sz w:val="24"/>
          <w:szCs w:val="24"/>
        </w:rPr>
        <w:t>合同</w:t>
      </w:r>
      <w:r>
        <w:rPr>
          <w:rFonts w:hint="eastAsia" w:cs="宋体"/>
          <w:sz w:val="24"/>
          <w:szCs w:val="24"/>
        </w:rPr>
        <w:t>，</w:t>
      </w:r>
      <w:r>
        <w:rPr>
          <w:rFonts w:hint="eastAsia"/>
          <w:sz w:val="24"/>
          <w:szCs w:val="24"/>
        </w:rPr>
        <w:t>合同履行期限为采购合同签订生效，甲方通知服务之日起计的1年（即2</w:t>
      </w:r>
      <w:r>
        <w:rPr>
          <w:sz w:val="24"/>
          <w:szCs w:val="24"/>
        </w:rPr>
        <w:t>02</w:t>
      </w:r>
      <w:r>
        <w:rPr>
          <w:rFonts w:hint="eastAsia"/>
          <w:sz w:val="24"/>
          <w:szCs w:val="24"/>
        </w:rPr>
        <w:t>6年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日起，至2</w:t>
      </w:r>
      <w:r>
        <w:rPr>
          <w:sz w:val="24"/>
          <w:szCs w:val="24"/>
        </w:rPr>
        <w:t>02</w:t>
      </w:r>
      <w:r>
        <w:rPr>
          <w:rFonts w:hint="eastAsia"/>
          <w:sz w:val="24"/>
          <w:szCs w:val="24"/>
        </w:rPr>
        <w:t>7年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日止，共12个月。），经服务评价合格且下一年度财政预算下达后，签订服务期内第2年度的合同，并以此类推至服务期期满。</w:t>
      </w:r>
    </w:p>
    <w:p w14:paraId="70FA1AC0">
      <w:pPr>
        <w:spacing w:line="420" w:lineRule="exact"/>
        <w:ind w:firstLine="480" w:firstLineChars="200"/>
        <w:rPr>
          <w:sz w:val="24"/>
          <w:szCs w:val="24"/>
        </w:rPr>
      </w:pPr>
      <w:r>
        <w:rPr>
          <w:rFonts w:hint="eastAsia"/>
          <w:sz w:val="24"/>
          <w:szCs w:val="24"/>
        </w:rPr>
        <w:t>5.3服务期内，如本项目服务范围、服务内容等发生实质性变更，双方应本着公平合理原则协商一致，根据实际情况确定继续履行合同或提前终止合同；合同提前终止的，双方应就已完成服务及费用结算妥善处理完毕，同时甲方可以根据标的新的服务范围、服务内容及要求，重新开展采购活动。</w:t>
      </w:r>
    </w:p>
    <w:p w14:paraId="4E04E84B">
      <w:pPr>
        <w:spacing w:line="420" w:lineRule="exact"/>
        <w:ind w:firstLine="480" w:firstLineChars="200"/>
        <w:outlineLvl w:val="2"/>
        <w:rPr>
          <w:sz w:val="24"/>
          <w:szCs w:val="24"/>
        </w:rPr>
      </w:pPr>
      <w:r>
        <w:rPr>
          <w:rFonts w:hint="eastAsia" w:cs="宋体"/>
          <w:b/>
          <w:bCs/>
          <w:sz w:val="24"/>
          <w:szCs w:val="24"/>
        </w:rPr>
        <w:t>6</w:t>
      </w:r>
      <w:r>
        <w:rPr>
          <w:rFonts w:cs="宋体"/>
          <w:b/>
          <w:bCs/>
          <w:sz w:val="24"/>
          <w:szCs w:val="24"/>
        </w:rPr>
        <w:t>.服务标准</w:t>
      </w:r>
    </w:p>
    <w:p w14:paraId="28FB5B03">
      <w:pPr>
        <w:spacing w:line="420" w:lineRule="exact"/>
        <w:ind w:firstLine="480" w:firstLineChars="200"/>
        <w:rPr>
          <w:sz w:val="24"/>
          <w:szCs w:val="24"/>
        </w:rPr>
      </w:pPr>
      <w:r>
        <w:rPr>
          <w:rFonts w:hint="eastAsia"/>
          <w:sz w:val="24"/>
          <w:szCs w:val="24"/>
        </w:rPr>
        <w:t>6.1为保证机房设备精密空调正常运行应当定期进行日常维护保养。</w:t>
      </w:r>
    </w:p>
    <w:p w14:paraId="4DDF40A8">
      <w:pPr>
        <w:spacing w:line="420" w:lineRule="exact"/>
        <w:ind w:firstLine="480" w:firstLineChars="200"/>
        <w:rPr>
          <w:sz w:val="24"/>
          <w:szCs w:val="24"/>
        </w:rPr>
      </w:pPr>
      <w:r>
        <w:rPr>
          <w:rFonts w:hint="eastAsia"/>
          <w:sz w:val="24"/>
          <w:szCs w:val="24"/>
        </w:rPr>
        <w:t>6.2根据服务要求，每月提供服务周报，服务期结束前提供年报。</w:t>
      </w:r>
    </w:p>
    <w:p w14:paraId="08C03A36">
      <w:pPr>
        <w:spacing w:line="420" w:lineRule="exact"/>
        <w:ind w:firstLine="480" w:firstLineChars="200"/>
        <w:rPr>
          <w:sz w:val="24"/>
          <w:szCs w:val="24"/>
        </w:rPr>
      </w:pPr>
      <w:r>
        <w:rPr>
          <w:rFonts w:hint="eastAsia"/>
          <w:sz w:val="24"/>
          <w:szCs w:val="24"/>
        </w:rPr>
        <w:t>6.3防鼠灭鼠服务须严格按照IPM（综合虫害控制）理念和HACCP（危害分析和关键控制点）运作标准开展鼠害防治作业。</w:t>
      </w:r>
    </w:p>
    <w:p w14:paraId="5185E08A">
      <w:pPr>
        <w:spacing w:line="420" w:lineRule="exact"/>
        <w:ind w:firstLine="480" w:firstLineChars="200"/>
        <w:rPr>
          <w:sz w:val="24"/>
          <w:szCs w:val="24"/>
        </w:rPr>
      </w:pPr>
      <w:r>
        <w:rPr>
          <w:rFonts w:hint="eastAsia"/>
          <w:sz w:val="24"/>
          <w:szCs w:val="24"/>
        </w:rPr>
        <w:t>6.4乙方应提供7*24小时（包括节假日）故障报修服务，同时，在接到报修电话通知后，服务工程师必须在1小时内到达用户现场，提供紧急抢修服务。</w:t>
      </w:r>
    </w:p>
    <w:p w14:paraId="1803ED72">
      <w:pPr>
        <w:spacing w:line="420" w:lineRule="exact"/>
        <w:ind w:firstLine="480" w:firstLineChars="200"/>
        <w:outlineLvl w:val="2"/>
        <w:rPr>
          <w:rFonts w:cs="宋体"/>
          <w:b/>
          <w:bCs/>
          <w:sz w:val="24"/>
          <w:szCs w:val="24"/>
        </w:rPr>
      </w:pPr>
      <w:r>
        <w:rPr>
          <w:rFonts w:hint="eastAsia" w:cs="宋体"/>
          <w:b/>
          <w:bCs/>
          <w:sz w:val="24"/>
          <w:szCs w:val="24"/>
        </w:rPr>
        <w:t>7.服务评价</w:t>
      </w:r>
    </w:p>
    <w:p w14:paraId="1A00E5BF">
      <w:pPr>
        <w:spacing w:line="420" w:lineRule="exact"/>
        <w:ind w:firstLine="480" w:firstLineChars="200"/>
        <w:rPr>
          <w:sz w:val="24"/>
          <w:szCs w:val="24"/>
        </w:rPr>
      </w:pPr>
      <w:r>
        <w:rPr>
          <w:rFonts w:hint="eastAsia"/>
          <w:sz w:val="24"/>
          <w:szCs w:val="24"/>
        </w:rPr>
        <w:t>7.1在年度合同履行期满的当月，用户组织专家对当年度服务情况进行评价，主要对照服务范围、服务要求、服务标准评价服务工作完成情况，查看维护服务台帐、维护记录、服务态度等。</w:t>
      </w:r>
    </w:p>
    <w:p w14:paraId="1BA2FA13">
      <w:pPr>
        <w:spacing w:line="420" w:lineRule="exact"/>
        <w:ind w:firstLine="480" w:firstLineChars="200"/>
        <w:rPr>
          <w:sz w:val="24"/>
          <w:szCs w:val="24"/>
        </w:rPr>
      </w:pPr>
      <w:r>
        <w:rPr>
          <w:rFonts w:hint="eastAsia"/>
          <w:sz w:val="24"/>
          <w:szCs w:val="24"/>
        </w:rPr>
        <w:t>7.2用户根据专家评估意见，支付标的合同价款，若未达服务要求，用户有权扣除最高不超过合同总价金额的10%作为违约金。</w:t>
      </w:r>
    </w:p>
    <w:p w14:paraId="5126663A">
      <w:pPr>
        <w:spacing w:line="420" w:lineRule="exact"/>
        <w:ind w:firstLine="480" w:firstLineChars="200"/>
        <w:outlineLvl w:val="2"/>
        <w:rPr>
          <w:rFonts w:cs="宋体"/>
          <w:sz w:val="24"/>
          <w:szCs w:val="24"/>
        </w:rPr>
      </w:pPr>
      <w:r>
        <w:rPr>
          <w:rFonts w:cs="宋体"/>
          <w:b/>
          <w:bCs/>
          <w:sz w:val="24"/>
          <w:szCs w:val="24"/>
        </w:rPr>
        <w:t>8.</w:t>
      </w:r>
      <w:r>
        <w:rPr>
          <w:rFonts w:hint="eastAsia" w:cs="宋体"/>
          <w:b/>
          <w:bCs/>
          <w:sz w:val="24"/>
          <w:szCs w:val="24"/>
        </w:rPr>
        <w:t>违约责任</w:t>
      </w:r>
    </w:p>
    <w:p w14:paraId="492C92C4">
      <w:pPr>
        <w:spacing w:line="420" w:lineRule="exact"/>
        <w:ind w:firstLine="480" w:firstLineChars="200"/>
        <w:rPr>
          <w:rFonts w:cs="宋体"/>
          <w:sz w:val="24"/>
          <w:szCs w:val="24"/>
        </w:rPr>
      </w:pPr>
      <w:r>
        <w:rPr>
          <w:rFonts w:cs="宋体"/>
          <w:sz w:val="24"/>
          <w:szCs w:val="24"/>
        </w:rPr>
        <w:t>8.1</w:t>
      </w:r>
      <w:r>
        <w:rPr>
          <w:rFonts w:hint="eastAsia" w:cs="宋体"/>
          <w:sz w:val="24"/>
          <w:szCs w:val="24"/>
        </w:rPr>
        <w:t>按合同一般条款。</w:t>
      </w:r>
    </w:p>
    <w:p w14:paraId="333BDF99">
      <w:pPr>
        <w:spacing w:line="420" w:lineRule="exact"/>
        <w:ind w:firstLine="480" w:firstLineChars="200"/>
        <w:outlineLvl w:val="2"/>
        <w:rPr>
          <w:sz w:val="24"/>
          <w:szCs w:val="24"/>
        </w:rPr>
      </w:pPr>
      <w:r>
        <w:rPr>
          <w:rFonts w:hint="eastAsia" w:cs="宋体"/>
          <w:b/>
          <w:bCs/>
          <w:sz w:val="24"/>
          <w:szCs w:val="24"/>
        </w:rPr>
        <w:t>9</w:t>
      </w:r>
      <w:r>
        <w:rPr>
          <w:rFonts w:cs="宋体"/>
          <w:b/>
          <w:bCs/>
          <w:sz w:val="24"/>
          <w:szCs w:val="24"/>
        </w:rPr>
        <w:t>.</w:t>
      </w:r>
      <w:r>
        <w:rPr>
          <w:rFonts w:hint="eastAsia" w:cs="宋体"/>
          <w:b/>
          <w:bCs/>
          <w:sz w:val="24"/>
          <w:szCs w:val="24"/>
        </w:rPr>
        <w:t>履约保证金</w:t>
      </w:r>
    </w:p>
    <w:p w14:paraId="1AFDB25F">
      <w:pPr>
        <w:spacing w:line="420" w:lineRule="exact"/>
        <w:ind w:firstLine="480" w:firstLineChars="200"/>
        <w:rPr>
          <w:sz w:val="24"/>
          <w:szCs w:val="24"/>
        </w:rPr>
      </w:pPr>
      <w:r>
        <w:rPr>
          <w:sz w:val="24"/>
          <w:szCs w:val="24"/>
        </w:rPr>
        <w:t>9.1</w:t>
      </w:r>
      <w:r>
        <w:rPr>
          <w:rFonts w:hint="eastAsia"/>
          <w:sz w:val="24"/>
          <w:szCs w:val="24"/>
        </w:rPr>
        <w:t>本合同标的服务实施免收履约保证金。</w:t>
      </w:r>
    </w:p>
    <w:p w14:paraId="06842EB0">
      <w:pPr>
        <w:spacing w:line="420" w:lineRule="exact"/>
        <w:ind w:firstLine="480" w:firstLineChars="200"/>
        <w:rPr>
          <w:sz w:val="24"/>
          <w:szCs w:val="24"/>
        </w:rPr>
      </w:pPr>
      <w:r>
        <w:rPr>
          <w:sz w:val="24"/>
          <w:szCs w:val="24"/>
        </w:rPr>
        <w:t>9.2</w:t>
      </w:r>
      <w:r>
        <w:rPr>
          <w:rFonts w:hint="eastAsia"/>
          <w:sz w:val="24"/>
          <w:szCs w:val="24"/>
        </w:rPr>
        <w:t>由于乙方的原因，在签订合同后出现不按合同履行或不适当履行的情况，按合同违约处理；同时甲方亦有权终止并解除合同，乙方须依法承担相应的责任。</w:t>
      </w:r>
    </w:p>
    <w:p w14:paraId="4E073EEC">
      <w:pPr>
        <w:spacing w:line="420" w:lineRule="exact"/>
        <w:ind w:firstLine="480" w:firstLineChars="200"/>
        <w:outlineLvl w:val="2"/>
        <w:rPr>
          <w:sz w:val="24"/>
          <w:szCs w:val="24"/>
        </w:rPr>
      </w:pPr>
      <w:r>
        <w:rPr>
          <w:rFonts w:cs="宋体"/>
          <w:b/>
          <w:bCs/>
          <w:sz w:val="24"/>
          <w:szCs w:val="24"/>
        </w:rPr>
        <w:t>10.</w:t>
      </w:r>
      <w:r>
        <w:rPr>
          <w:rFonts w:hint="eastAsia" w:cs="宋体"/>
          <w:b/>
          <w:bCs/>
          <w:sz w:val="24"/>
          <w:szCs w:val="24"/>
        </w:rPr>
        <w:t>合同的签订、生效及其它：</w:t>
      </w:r>
    </w:p>
    <w:p w14:paraId="0705B5C9">
      <w:pPr>
        <w:spacing w:line="420" w:lineRule="exact"/>
        <w:ind w:firstLine="480" w:firstLineChars="200"/>
        <w:rPr>
          <w:sz w:val="24"/>
          <w:szCs w:val="24"/>
        </w:rPr>
      </w:pPr>
      <w:r>
        <w:rPr>
          <w:sz w:val="24"/>
          <w:szCs w:val="24"/>
        </w:rPr>
        <w:t>10.</w:t>
      </w:r>
      <w:bookmarkStart w:id="117" w:name="_Hlk67614777"/>
      <w:r>
        <w:rPr>
          <w:sz w:val="24"/>
          <w:szCs w:val="24"/>
        </w:rPr>
        <w:t>1</w:t>
      </w:r>
      <w:r>
        <w:rPr>
          <w:rFonts w:hint="eastAsia" w:cs="宋体"/>
          <w:sz w:val="24"/>
          <w:szCs w:val="24"/>
        </w:rPr>
        <w:t>本合同在双方签字盖章后生效。</w:t>
      </w:r>
      <w:bookmarkEnd w:id="117"/>
    </w:p>
    <w:p w14:paraId="011B8F87">
      <w:pPr>
        <w:spacing w:line="420" w:lineRule="exact"/>
        <w:ind w:firstLine="480" w:firstLineChars="200"/>
        <w:rPr>
          <w:sz w:val="24"/>
          <w:szCs w:val="24"/>
        </w:rPr>
      </w:pPr>
      <w:r>
        <w:rPr>
          <w:sz w:val="24"/>
          <w:szCs w:val="24"/>
        </w:rPr>
        <w:t>10.2</w:t>
      </w:r>
      <w:r>
        <w:rPr>
          <w:rFonts w:hint="eastAsia" w:cs="宋体"/>
          <w:sz w:val="24"/>
          <w:szCs w:val="24"/>
        </w:rPr>
        <w:t>合同在执行过程中出现的未尽事宜，双方在不违背本合同及其所属项目采购文件的原则下协商解决，协商结果以书面形式盖章记录在案，作为本合同的附件，与本合同具有同等效力。</w:t>
      </w:r>
    </w:p>
    <w:p w14:paraId="195DE7AA">
      <w:pPr>
        <w:spacing w:line="420" w:lineRule="exact"/>
        <w:ind w:firstLine="480" w:firstLineChars="200"/>
        <w:outlineLvl w:val="2"/>
        <w:rPr>
          <w:sz w:val="24"/>
          <w:szCs w:val="24"/>
        </w:rPr>
      </w:pPr>
      <w:r>
        <w:rPr>
          <w:rFonts w:cs="宋体"/>
          <w:b/>
          <w:bCs/>
          <w:sz w:val="24"/>
          <w:szCs w:val="24"/>
        </w:rPr>
        <w:t>12.</w:t>
      </w:r>
      <w:r>
        <w:rPr>
          <w:rFonts w:hint="eastAsia" w:cs="宋体"/>
          <w:b/>
          <w:bCs/>
          <w:sz w:val="24"/>
          <w:szCs w:val="24"/>
        </w:rPr>
        <w:t>合同争议</w:t>
      </w:r>
    </w:p>
    <w:p w14:paraId="428D3263">
      <w:pPr>
        <w:spacing w:line="420" w:lineRule="exact"/>
        <w:ind w:firstLine="480" w:firstLineChars="200"/>
        <w:rPr>
          <w:sz w:val="24"/>
          <w:szCs w:val="24"/>
        </w:rPr>
      </w:pPr>
      <w:r>
        <w:rPr>
          <w:sz w:val="24"/>
          <w:szCs w:val="24"/>
        </w:rPr>
        <w:t>12.1</w:t>
      </w:r>
      <w:r>
        <w:rPr>
          <w:rFonts w:hint="eastAsia" w:cs="宋体"/>
          <w:sz w:val="24"/>
          <w:szCs w:val="24"/>
        </w:rPr>
        <w:t>争议解决：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3DD2C5D6">
      <w:pPr>
        <w:spacing w:line="420" w:lineRule="exact"/>
        <w:ind w:firstLine="480" w:firstLineChars="200"/>
        <w:outlineLvl w:val="2"/>
        <w:rPr>
          <w:sz w:val="24"/>
          <w:szCs w:val="24"/>
        </w:rPr>
      </w:pPr>
      <w:r>
        <w:rPr>
          <w:rFonts w:cs="宋体"/>
          <w:b/>
          <w:bCs/>
          <w:sz w:val="24"/>
          <w:szCs w:val="24"/>
        </w:rPr>
        <w:t>13.</w:t>
      </w:r>
      <w:r>
        <w:rPr>
          <w:rFonts w:hint="eastAsia" w:cs="宋体"/>
          <w:b/>
          <w:bCs/>
          <w:sz w:val="24"/>
          <w:szCs w:val="24"/>
        </w:rPr>
        <w:t>附则</w:t>
      </w:r>
    </w:p>
    <w:p w14:paraId="59FC7802">
      <w:pPr>
        <w:spacing w:line="420" w:lineRule="exact"/>
        <w:ind w:firstLine="480" w:firstLineChars="200"/>
        <w:rPr>
          <w:sz w:val="24"/>
          <w:szCs w:val="24"/>
        </w:rPr>
      </w:pPr>
      <w:r>
        <w:rPr>
          <w:sz w:val="24"/>
          <w:szCs w:val="24"/>
        </w:rPr>
        <w:t>13.1</w:t>
      </w:r>
      <w:r>
        <w:rPr>
          <w:rFonts w:hint="eastAsia" w:cs="宋体"/>
          <w:sz w:val="24"/>
          <w:szCs w:val="24"/>
        </w:rPr>
        <w:t>合同份数：本合同一式肆份，甲、乙双方各执贰份。每份合同均具同等的法律效力。</w:t>
      </w:r>
    </w:p>
    <w:p w14:paraId="46ECD92F">
      <w:pPr>
        <w:spacing w:line="420" w:lineRule="exact"/>
        <w:ind w:firstLine="480" w:firstLineChars="200"/>
        <w:rPr>
          <w:sz w:val="24"/>
          <w:szCs w:val="24"/>
        </w:rPr>
      </w:pPr>
      <w:r>
        <w:rPr>
          <w:sz w:val="24"/>
          <w:szCs w:val="24"/>
        </w:rPr>
        <w:t>13.2</w:t>
      </w:r>
      <w:r>
        <w:rPr>
          <w:rFonts w:hint="eastAsia" w:cs="宋体"/>
          <w:sz w:val="24"/>
          <w:szCs w:val="24"/>
        </w:rPr>
        <w:t>未尽事宜：本合同未尽事宜应按《中华人民共和国民法典》等规定解释。</w:t>
      </w:r>
    </w:p>
    <w:p w14:paraId="5A3BE2DB">
      <w:pPr>
        <w:spacing w:line="420" w:lineRule="exact"/>
        <w:jc w:val="center"/>
        <w:rPr>
          <w:b/>
          <w:bCs/>
          <w:sz w:val="24"/>
          <w:szCs w:val="24"/>
        </w:rPr>
      </w:pPr>
      <w:r>
        <w:rPr>
          <w:rFonts w:hint="eastAsia"/>
          <w:b/>
          <w:bCs/>
          <w:sz w:val="24"/>
          <w:szCs w:val="24"/>
        </w:rPr>
        <w:t>……以下无正文……</w:t>
      </w:r>
    </w:p>
    <w:tbl>
      <w:tblPr>
        <w:tblStyle w:val="49"/>
        <w:tblW w:w="4894"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357"/>
        <w:gridCol w:w="2463"/>
        <w:gridCol w:w="2463"/>
        <w:gridCol w:w="2362"/>
      </w:tblGrid>
      <w:tr w14:paraId="00F3E0E7">
        <w:trPr>
          <w:trHeight w:val="490" w:hRule="atLeast"/>
        </w:trPr>
        <w:tc>
          <w:tcPr>
            <w:tcW w:w="2499" w:type="pct"/>
            <w:gridSpan w:val="2"/>
            <w:tcBorders>
              <w:top w:val="single" w:color="auto" w:sz="4" w:space="0"/>
              <w:left w:val="single" w:color="auto" w:sz="4" w:space="0"/>
              <w:bottom w:val="single" w:color="auto" w:sz="2" w:space="0"/>
              <w:right w:val="single" w:color="auto" w:sz="2" w:space="0"/>
            </w:tcBorders>
            <w:vAlign w:val="center"/>
          </w:tcPr>
          <w:p w14:paraId="596DB512">
            <w:pPr>
              <w:spacing w:line="400" w:lineRule="exact"/>
              <w:jc w:val="center"/>
              <w:rPr>
                <w:kern w:val="0"/>
                <w:sz w:val="24"/>
                <w:szCs w:val="24"/>
              </w:rPr>
            </w:pPr>
            <w:r>
              <w:rPr>
                <w:kern w:val="0"/>
                <w:sz w:val="24"/>
                <w:szCs w:val="24"/>
              </w:rPr>
              <w:t>甲方（采购人、受采购人委托签订合同的单位或采购文件约定的合同甲方）</w:t>
            </w:r>
          </w:p>
        </w:tc>
        <w:tc>
          <w:tcPr>
            <w:tcW w:w="2501" w:type="pct"/>
            <w:gridSpan w:val="2"/>
            <w:tcBorders>
              <w:top w:val="single" w:color="auto" w:sz="4" w:space="0"/>
              <w:left w:val="single" w:color="auto" w:sz="2" w:space="0"/>
              <w:bottom w:val="single" w:color="auto" w:sz="2" w:space="0"/>
              <w:right w:val="single" w:color="auto" w:sz="4" w:space="0"/>
            </w:tcBorders>
            <w:vAlign w:val="center"/>
          </w:tcPr>
          <w:p w14:paraId="60C85864">
            <w:pPr>
              <w:spacing w:line="400" w:lineRule="exact"/>
              <w:jc w:val="center"/>
              <w:rPr>
                <w:kern w:val="0"/>
                <w:sz w:val="24"/>
                <w:szCs w:val="24"/>
              </w:rPr>
            </w:pPr>
            <w:r>
              <w:rPr>
                <w:kern w:val="0"/>
                <w:sz w:val="24"/>
                <w:szCs w:val="24"/>
              </w:rPr>
              <w:t>乙方（供应商）</w:t>
            </w:r>
          </w:p>
        </w:tc>
      </w:tr>
      <w:tr w14:paraId="29CAABA7">
        <w:trPr>
          <w:trHeight w:val="431" w:hRule="atLeast"/>
        </w:trPr>
        <w:tc>
          <w:tcPr>
            <w:tcW w:w="1222" w:type="pct"/>
            <w:tcBorders>
              <w:top w:val="single" w:color="auto" w:sz="2" w:space="0"/>
              <w:left w:val="single" w:color="auto" w:sz="4" w:space="0"/>
              <w:bottom w:val="single" w:color="auto" w:sz="2" w:space="0"/>
              <w:right w:val="single" w:color="auto" w:sz="2" w:space="0"/>
            </w:tcBorders>
            <w:vAlign w:val="center"/>
          </w:tcPr>
          <w:p w14:paraId="2707B8F7">
            <w:pPr>
              <w:spacing w:line="400" w:lineRule="exact"/>
              <w:jc w:val="center"/>
              <w:rPr>
                <w:kern w:val="0"/>
                <w:sz w:val="24"/>
                <w:szCs w:val="24"/>
              </w:rPr>
            </w:pPr>
            <w:r>
              <w:rPr>
                <w:kern w:val="0"/>
                <w:sz w:val="24"/>
                <w:szCs w:val="24"/>
              </w:rPr>
              <w:t>单位名称（公章或合同章）</w:t>
            </w:r>
          </w:p>
        </w:tc>
        <w:tc>
          <w:tcPr>
            <w:tcW w:w="1277" w:type="pct"/>
            <w:tcBorders>
              <w:top w:val="single" w:color="auto" w:sz="2" w:space="0"/>
              <w:left w:val="single" w:color="auto" w:sz="2" w:space="0"/>
              <w:bottom w:val="single" w:color="auto" w:sz="2" w:space="0"/>
              <w:right w:val="single" w:color="auto" w:sz="2" w:space="0"/>
            </w:tcBorders>
            <w:vAlign w:val="center"/>
          </w:tcPr>
          <w:p w14:paraId="6E4F944D">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7DF938A1">
            <w:pPr>
              <w:spacing w:line="400" w:lineRule="exact"/>
              <w:jc w:val="center"/>
              <w:rPr>
                <w:kern w:val="0"/>
                <w:sz w:val="24"/>
                <w:szCs w:val="24"/>
              </w:rPr>
            </w:pPr>
            <w:r>
              <w:rPr>
                <w:kern w:val="0"/>
                <w:sz w:val="24"/>
                <w:szCs w:val="24"/>
              </w:rPr>
              <w:t>单位名称（公章或合同章）</w:t>
            </w:r>
          </w:p>
        </w:tc>
        <w:tc>
          <w:tcPr>
            <w:tcW w:w="1224" w:type="pct"/>
            <w:tcBorders>
              <w:top w:val="single" w:color="auto" w:sz="2" w:space="0"/>
              <w:left w:val="single" w:color="auto" w:sz="2" w:space="0"/>
              <w:bottom w:val="single" w:color="auto" w:sz="2" w:space="0"/>
              <w:right w:val="single" w:color="auto" w:sz="4" w:space="0"/>
            </w:tcBorders>
            <w:vAlign w:val="center"/>
          </w:tcPr>
          <w:p w14:paraId="5CFE7B3D">
            <w:pPr>
              <w:spacing w:line="400" w:lineRule="exact"/>
              <w:jc w:val="center"/>
              <w:rPr>
                <w:spacing w:val="20"/>
                <w:kern w:val="0"/>
                <w:sz w:val="24"/>
                <w:szCs w:val="24"/>
              </w:rPr>
            </w:pPr>
          </w:p>
        </w:tc>
      </w:tr>
      <w:tr w14:paraId="0BD935CB">
        <w:trPr>
          <w:trHeight w:val="849" w:hRule="atLeast"/>
        </w:trPr>
        <w:tc>
          <w:tcPr>
            <w:tcW w:w="1222" w:type="pct"/>
            <w:tcBorders>
              <w:top w:val="single" w:color="auto" w:sz="2" w:space="0"/>
              <w:left w:val="single" w:color="auto" w:sz="4" w:space="0"/>
              <w:bottom w:val="single" w:color="auto" w:sz="2" w:space="0"/>
              <w:right w:val="single" w:color="auto" w:sz="2" w:space="0"/>
            </w:tcBorders>
            <w:vAlign w:val="center"/>
          </w:tcPr>
          <w:p w14:paraId="5F27ED00">
            <w:pPr>
              <w:spacing w:line="400" w:lineRule="exact"/>
              <w:jc w:val="center"/>
              <w:rPr>
                <w:kern w:val="0"/>
                <w:sz w:val="24"/>
                <w:szCs w:val="24"/>
              </w:rPr>
            </w:pPr>
            <w:r>
              <w:rPr>
                <w:kern w:val="0"/>
                <w:sz w:val="24"/>
                <w:szCs w:val="24"/>
              </w:rPr>
              <w:t>法定代表人</w:t>
            </w:r>
          </w:p>
          <w:p w14:paraId="19BBEFD8">
            <w:pPr>
              <w:spacing w:line="400" w:lineRule="exact"/>
              <w:ind w:firstLine="100"/>
              <w:jc w:val="center"/>
              <w:rPr>
                <w:kern w:val="0"/>
                <w:sz w:val="24"/>
                <w:szCs w:val="24"/>
              </w:rPr>
            </w:pPr>
            <w:r>
              <w:rPr>
                <w:kern w:val="0"/>
                <w:sz w:val="24"/>
                <w:szCs w:val="24"/>
              </w:rPr>
              <w:t>或其委托代理人（签章）</w:t>
            </w:r>
          </w:p>
        </w:tc>
        <w:tc>
          <w:tcPr>
            <w:tcW w:w="1277" w:type="pct"/>
            <w:tcBorders>
              <w:top w:val="single" w:color="auto" w:sz="2" w:space="0"/>
              <w:left w:val="single" w:color="auto" w:sz="2" w:space="0"/>
              <w:bottom w:val="single" w:color="auto" w:sz="2" w:space="0"/>
              <w:right w:val="single" w:color="auto" w:sz="2" w:space="0"/>
            </w:tcBorders>
            <w:vAlign w:val="center"/>
          </w:tcPr>
          <w:p w14:paraId="59ECF8F3">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7317670E">
            <w:pPr>
              <w:spacing w:line="400" w:lineRule="exact"/>
              <w:jc w:val="center"/>
              <w:rPr>
                <w:kern w:val="0"/>
                <w:sz w:val="24"/>
                <w:szCs w:val="24"/>
              </w:rPr>
            </w:pPr>
            <w:r>
              <w:rPr>
                <w:kern w:val="0"/>
                <w:sz w:val="24"/>
                <w:szCs w:val="24"/>
              </w:rPr>
              <w:t>法定代表人</w:t>
            </w:r>
          </w:p>
          <w:p w14:paraId="63D969B0">
            <w:pPr>
              <w:spacing w:line="400" w:lineRule="exact"/>
              <w:jc w:val="center"/>
              <w:rPr>
                <w:kern w:val="0"/>
                <w:sz w:val="24"/>
                <w:szCs w:val="24"/>
              </w:rPr>
            </w:pPr>
            <w:r>
              <w:rPr>
                <w:kern w:val="0"/>
                <w:sz w:val="24"/>
                <w:szCs w:val="24"/>
              </w:rPr>
              <w:t>或其委托代理人（签章）</w:t>
            </w:r>
          </w:p>
        </w:tc>
        <w:tc>
          <w:tcPr>
            <w:tcW w:w="1224" w:type="pct"/>
            <w:tcBorders>
              <w:top w:val="single" w:color="auto" w:sz="2" w:space="0"/>
              <w:left w:val="single" w:color="auto" w:sz="2" w:space="0"/>
              <w:bottom w:val="single" w:color="auto" w:sz="2" w:space="0"/>
              <w:right w:val="single" w:color="auto" w:sz="4" w:space="0"/>
            </w:tcBorders>
            <w:vAlign w:val="center"/>
          </w:tcPr>
          <w:p w14:paraId="26B86A78">
            <w:pPr>
              <w:spacing w:line="400" w:lineRule="exact"/>
              <w:jc w:val="center"/>
              <w:rPr>
                <w:kern w:val="0"/>
                <w:sz w:val="24"/>
                <w:szCs w:val="24"/>
              </w:rPr>
            </w:pPr>
          </w:p>
        </w:tc>
      </w:tr>
      <w:tr w14:paraId="12DE11C7">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26F16911">
            <w:pPr>
              <w:spacing w:line="400" w:lineRule="exact"/>
              <w:jc w:val="center"/>
              <w:rPr>
                <w:kern w:val="0"/>
                <w:sz w:val="24"/>
                <w:szCs w:val="24"/>
              </w:rPr>
            </w:pPr>
            <w:r>
              <w:rPr>
                <w:kern w:val="0"/>
                <w:sz w:val="24"/>
                <w:szCs w:val="24"/>
              </w:rPr>
              <w:t>联 系 人</w:t>
            </w:r>
          </w:p>
        </w:tc>
        <w:tc>
          <w:tcPr>
            <w:tcW w:w="1277" w:type="pct"/>
            <w:tcBorders>
              <w:top w:val="single" w:color="auto" w:sz="2" w:space="0"/>
              <w:left w:val="single" w:color="auto" w:sz="2" w:space="0"/>
              <w:bottom w:val="single" w:color="auto" w:sz="2" w:space="0"/>
              <w:right w:val="single" w:color="auto" w:sz="2" w:space="0"/>
            </w:tcBorders>
            <w:vAlign w:val="center"/>
          </w:tcPr>
          <w:p w14:paraId="16586D1F">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595EFDBA">
            <w:pPr>
              <w:spacing w:line="400" w:lineRule="exact"/>
              <w:jc w:val="center"/>
              <w:rPr>
                <w:kern w:val="0"/>
                <w:sz w:val="24"/>
                <w:szCs w:val="24"/>
              </w:rPr>
            </w:pPr>
            <w:r>
              <w:rPr>
                <w:kern w:val="0"/>
                <w:sz w:val="24"/>
                <w:szCs w:val="24"/>
              </w:rPr>
              <w:t>联 系 人</w:t>
            </w:r>
          </w:p>
        </w:tc>
        <w:tc>
          <w:tcPr>
            <w:tcW w:w="1224" w:type="pct"/>
            <w:tcBorders>
              <w:top w:val="single" w:color="auto" w:sz="2" w:space="0"/>
              <w:left w:val="single" w:color="auto" w:sz="2" w:space="0"/>
              <w:bottom w:val="single" w:color="auto" w:sz="2" w:space="0"/>
              <w:right w:val="single" w:color="auto" w:sz="4" w:space="0"/>
            </w:tcBorders>
            <w:vAlign w:val="center"/>
          </w:tcPr>
          <w:p w14:paraId="2C389CA4">
            <w:pPr>
              <w:spacing w:line="400" w:lineRule="exact"/>
              <w:jc w:val="center"/>
              <w:rPr>
                <w:spacing w:val="20"/>
                <w:kern w:val="0"/>
                <w:sz w:val="24"/>
                <w:szCs w:val="24"/>
              </w:rPr>
            </w:pPr>
          </w:p>
        </w:tc>
      </w:tr>
      <w:tr w14:paraId="76E5D27E">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6C5CBCBB">
            <w:pPr>
              <w:spacing w:line="400" w:lineRule="exact"/>
              <w:jc w:val="center"/>
              <w:rPr>
                <w:kern w:val="0"/>
                <w:sz w:val="24"/>
                <w:szCs w:val="24"/>
              </w:rPr>
            </w:pPr>
            <w:r>
              <w:rPr>
                <w:kern w:val="0"/>
                <w:sz w:val="24"/>
                <w:szCs w:val="24"/>
              </w:rPr>
              <w:t>联系电话</w:t>
            </w:r>
          </w:p>
        </w:tc>
        <w:tc>
          <w:tcPr>
            <w:tcW w:w="1277" w:type="pct"/>
            <w:tcBorders>
              <w:top w:val="single" w:color="auto" w:sz="2" w:space="0"/>
              <w:left w:val="single" w:color="auto" w:sz="2" w:space="0"/>
              <w:bottom w:val="single" w:color="auto" w:sz="2" w:space="0"/>
              <w:right w:val="single" w:color="auto" w:sz="2" w:space="0"/>
            </w:tcBorders>
            <w:vAlign w:val="center"/>
          </w:tcPr>
          <w:p w14:paraId="3CC1500A">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5F285E15">
            <w:pPr>
              <w:spacing w:line="400" w:lineRule="exact"/>
              <w:jc w:val="center"/>
              <w:rPr>
                <w:kern w:val="0"/>
                <w:sz w:val="24"/>
                <w:szCs w:val="24"/>
              </w:rPr>
            </w:pPr>
            <w:r>
              <w:rPr>
                <w:kern w:val="0"/>
                <w:sz w:val="24"/>
                <w:szCs w:val="24"/>
              </w:rPr>
              <w:t>联系电话</w:t>
            </w:r>
          </w:p>
        </w:tc>
        <w:tc>
          <w:tcPr>
            <w:tcW w:w="1224" w:type="pct"/>
            <w:tcBorders>
              <w:top w:val="single" w:color="auto" w:sz="2" w:space="0"/>
              <w:left w:val="single" w:color="auto" w:sz="2" w:space="0"/>
              <w:bottom w:val="single" w:color="auto" w:sz="2" w:space="0"/>
              <w:right w:val="single" w:color="auto" w:sz="4" w:space="0"/>
            </w:tcBorders>
            <w:vAlign w:val="center"/>
          </w:tcPr>
          <w:p w14:paraId="2AAE2C4A">
            <w:pPr>
              <w:spacing w:line="400" w:lineRule="exact"/>
              <w:jc w:val="center"/>
              <w:rPr>
                <w:spacing w:val="20"/>
                <w:kern w:val="0"/>
                <w:sz w:val="24"/>
                <w:szCs w:val="24"/>
              </w:rPr>
            </w:pPr>
          </w:p>
        </w:tc>
      </w:tr>
      <w:tr w14:paraId="2CFE7F05">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69C93424">
            <w:pPr>
              <w:spacing w:line="400" w:lineRule="exact"/>
              <w:jc w:val="center"/>
              <w:rPr>
                <w:kern w:val="0"/>
                <w:sz w:val="24"/>
                <w:szCs w:val="24"/>
              </w:rPr>
            </w:pPr>
            <w:r>
              <w:rPr>
                <w:kern w:val="0"/>
                <w:sz w:val="24"/>
                <w:szCs w:val="24"/>
              </w:rPr>
              <w:t>通信地址</w:t>
            </w:r>
          </w:p>
        </w:tc>
        <w:tc>
          <w:tcPr>
            <w:tcW w:w="1277" w:type="pct"/>
            <w:tcBorders>
              <w:top w:val="single" w:color="auto" w:sz="2" w:space="0"/>
              <w:left w:val="single" w:color="auto" w:sz="2" w:space="0"/>
              <w:bottom w:val="single" w:color="auto" w:sz="2" w:space="0"/>
              <w:right w:val="single" w:color="auto" w:sz="2" w:space="0"/>
            </w:tcBorders>
            <w:vAlign w:val="center"/>
          </w:tcPr>
          <w:p w14:paraId="66E23965">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0FC0BC40">
            <w:pPr>
              <w:spacing w:line="400" w:lineRule="exact"/>
              <w:jc w:val="center"/>
              <w:rPr>
                <w:kern w:val="0"/>
                <w:sz w:val="24"/>
                <w:szCs w:val="24"/>
              </w:rPr>
            </w:pPr>
            <w:r>
              <w:rPr>
                <w:kern w:val="0"/>
                <w:sz w:val="24"/>
                <w:szCs w:val="24"/>
              </w:rPr>
              <w:t>通信地址</w:t>
            </w:r>
          </w:p>
        </w:tc>
        <w:tc>
          <w:tcPr>
            <w:tcW w:w="1224" w:type="pct"/>
            <w:tcBorders>
              <w:top w:val="single" w:color="auto" w:sz="2" w:space="0"/>
              <w:left w:val="single" w:color="auto" w:sz="2" w:space="0"/>
              <w:bottom w:val="single" w:color="auto" w:sz="2" w:space="0"/>
              <w:right w:val="single" w:color="auto" w:sz="4" w:space="0"/>
            </w:tcBorders>
            <w:vAlign w:val="center"/>
          </w:tcPr>
          <w:p w14:paraId="70028D95">
            <w:pPr>
              <w:spacing w:line="400" w:lineRule="exact"/>
              <w:jc w:val="center"/>
              <w:rPr>
                <w:spacing w:val="20"/>
                <w:kern w:val="0"/>
                <w:sz w:val="24"/>
                <w:szCs w:val="24"/>
              </w:rPr>
            </w:pPr>
          </w:p>
        </w:tc>
      </w:tr>
      <w:tr w14:paraId="154C2D71">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3A5BC041">
            <w:pPr>
              <w:spacing w:line="400" w:lineRule="exact"/>
              <w:jc w:val="center"/>
              <w:rPr>
                <w:kern w:val="0"/>
                <w:sz w:val="24"/>
                <w:szCs w:val="24"/>
              </w:rPr>
            </w:pPr>
            <w:r>
              <w:rPr>
                <w:kern w:val="0"/>
                <w:sz w:val="24"/>
                <w:szCs w:val="24"/>
              </w:rPr>
              <w:t>邮政编码</w:t>
            </w:r>
          </w:p>
        </w:tc>
        <w:tc>
          <w:tcPr>
            <w:tcW w:w="1277" w:type="pct"/>
            <w:tcBorders>
              <w:top w:val="single" w:color="auto" w:sz="2" w:space="0"/>
              <w:left w:val="single" w:color="auto" w:sz="2" w:space="0"/>
              <w:bottom w:val="single" w:color="auto" w:sz="2" w:space="0"/>
              <w:right w:val="single" w:color="auto" w:sz="2" w:space="0"/>
            </w:tcBorders>
            <w:vAlign w:val="center"/>
          </w:tcPr>
          <w:p w14:paraId="6CEB447E">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18AF8F89">
            <w:pPr>
              <w:spacing w:line="400" w:lineRule="exact"/>
              <w:jc w:val="center"/>
              <w:rPr>
                <w:kern w:val="0"/>
                <w:sz w:val="24"/>
                <w:szCs w:val="24"/>
              </w:rPr>
            </w:pPr>
            <w:r>
              <w:rPr>
                <w:kern w:val="0"/>
                <w:sz w:val="24"/>
                <w:szCs w:val="24"/>
              </w:rPr>
              <w:t>邮政编码</w:t>
            </w:r>
          </w:p>
        </w:tc>
        <w:tc>
          <w:tcPr>
            <w:tcW w:w="1224" w:type="pct"/>
            <w:tcBorders>
              <w:top w:val="single" w:color="auto" w:sz="2" w:space="0"/>
              <w:left w:val="single" w:color="auto" w:sz="2" w:space="0"/>
              <w:bottom w:val="single" w:color="auto" w:sz="2" w:space="0"/>
              <w:right w:val="single" w:color="auto" w:sz="4" w:space="0"/>
            </w:tcBorders>
            <w:vAlign w:val="center"/>
          </w:tcPr>
          <w:p w14:paraId="222234B1">
            <w:pPr>
              <w:spacing w:line="400" w:lineRule="exact"/>
              <w:jc w:val="center"/>
              <w:rPr>
                <w:spacing w:val="20"/>
                <w:kern w:val="0"/>
                <w:sz w:val="24"/>
                <w:szCs w:val="24"/>
              </w:rPr>
            </w:pPr>
          </w:p>
        </w:tc>
      </w:tr>
      <w:tr w14:paraId="5A7049AE">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2677F1F0">
            <w:pPr>
              <w:spacing w:line="400" w:lineRule="exact"/>
              <w:jc w:val="center"/>
              <w:rPr>
                <w:kern w:val="0"/>
                <w:sz w:val="24"/>
                <w:szCs w:val="24"/>
              </w:rPr>
            </w:pPr>
            <w:r>
              <w:rPr>
                <w:kern w:val="0"/>
                <w:sz w:val="24"/>
                <w:szCs w:val="24"/>
              </w:rPr>
              <w:t>电子邮箱</w:t>
            </w:r>
          </w:p>
        </w:tc>
        <w:tc>
          <w:tcPr>
            <w:tcW w:w="1277" w:type="pct"/>
            <w:tcBorders>
              <w:top w:val="single" w:color="auto" w:sz="2" w:space="0"/>
              <w:left w:val="single" w:color="auto" w:sz="2" w:space="0"/>
              <w:bottom w:val="single" w:color="auto" w:sz="2" w:space="0"/>
              <w:right w:val="single" w:color="auto" w:sz="2" w:space="0"/>
            </w:tcBorders>
            <w:vAlign w:val="center"/>
          </w:tcPr>
          <w:p w14:paraId="62894C44">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483FC2DD">
            <w:pPr>
              <w:spacing w:line="400" w:lineRule="exact"/>
              <w:jc w:val="center"/>
              <w:rPr>
                <w:kern w:val="0"/>
                <w:sz w:val="24"/>
                <w:szCs w:val="24"/>
              </w:rPr>
            </w:pPr>
            <w:r>
              <w:rPr>
                <w:kern w:val="0"/>
                <w:sz w:val="24"/>
                <w:szCs w:val="24"/>
              </w:rPr>
              <w:t>电子邮箱</w:t>
            </w:r>
          </w:p>
        </w:tc>
        <w:tc>
          <w:tcPr>
            <w:tcW w:w="1224" w:type="pct"/>
            <w:tcBorders>
              <w:top w:val="single" w:color="auto" w:sz="2" w:space="0"/>
              <w:left w:val="single" w:color="auto" w:sz="2" w:space="0"/>
              <w:bottom w:val="single" w:color="auto" w:sz="2" w:space="0"/>
              <w:right w:val="single" w:color="auto" w:sz="4" w:space="0"/>
            </w:tcBorders>
            <w:vAlign w:val="center"/>
          </w:tcPr>
          <w:p w14:paraId="51238348">
            <w:pPr>
              <w:spacing w:line="400" w:lineRule="exact"/>
              <w:jc w:val="center"/>
              <w:rPr>
                <w:spacing w:val="20"/>
                <w:kern w:val="0"/>
                <w:sz w:val="24"/>
                <w:szCs w:val="24"/>
              </w:rPr>
            </w:pPr>
          </w:p>
        </w:tc>
      </w:tr>
      <w:tr w14:paraId="493310BE">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20C780F7">
            <w:pPr>
              <w:spacing w:line="400" w:lineRule="exact"/>
              <w:jc w:val="center"/>
              <w:rPr>
                <w:kern w:val="0"/>
                <w:sz w:val="24"/>
                <w:szCs w:val="24"/>
              </w:rPr>
            </w:pPr>
            <w:r>
              <w:rPr>
                <w:kern w:val="0"/>
                <w:sz w:val="24"/>
                <w:szCs w:val="24"/>
              </w:rPr>
              <w:t>统一社会信用代码</w:t>
            </w:r>
          </w:p>
        </w:tc>
        <w:tc>
          <w:tcPr>
            <w:tcW w:w="1277" w:type="pct"/>
            <w:tcBorders>
              <w:top w:val="single" w:color="auto" w:sz="2" w:space="0"/>
              <w:left w:val="single" w:color="auto" w:sz="2" w:space="0"/>
              <w:bottom w:val="single" w:color="auto" w:sz="2" w:space="0"/>
              <w:right w:val="single" w:color="auto" w:sz="2" w:space="0"/>
            </w:tcBorders>
            <w:vAlign w:val="center"/>
          </w:tcPr>
          <w:p w14:paraId="20AB34A9">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63100252">
            <w:pPr>
              <w:spacing w:line="400" w:lineRule="exact"/>
              <w:jc w:val="center"/>
              <w:rPr>
                <w:kern w:val="0"/>
                <w:sz w:val="24"/>
                <w:szCs w:val="24"/>
              </w:rPr>
            </w:pPr>
            <w:r>
              <w:rPr>
                <w:kern w:val="0"/>
                <w:sz w:val="24"/>
                <w:szCs w:val="24"/>
              </w:rPr>
              <w:t>统一社会信用代码</w:t>
            </w:r>
          </w:p>
        </w:tc>
        <w:tc>
          <w:tcPr>
            <w:tcW w:w="1224" w:type="pct"/>
            <w:tcBorders>
              <w:top w:val="single" w:color="auto" w:sz="2" w:space="0"/>
              <w:left w:val="single" w:color="auto" w:sz="2" w:space="0"/>
              <w:bottom w:val="single" w:color="auto" w:sz="2" w:space="0"/>
              <w:right w:val="single" w:color="auto" w:sz="4" w:space="0"/>
            </w:tcBorders>
            <w:vAlign w:val="center"/>
          </w:tcPr>
          <w:p w14:paraId="7835F634">
            <w:pPr>
              <w:spacing w:line="400" w:lineRule="exact"/>
              <w:jc w:val="center"/>
              <w:rPr>
                <w:spacing w:val="20"/>
                <w:kern w:val="0"/>
                <w:sz w:val="24"/>
                <w:szCs w:val="24"/>
              </w:rPr>
            </w:pPr>
          </w:p>
        </w:tc>
      </w:tr>
      <w:tr w14:paraId="5DA55E5E">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47161992">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35DFD9FF">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67BACAF3">
            <w:pPr>
              <w:spacing w:line="400" w:lineRule="exact"/>
              <w:jc w:val="center"/>
              <w:rPr>
                <w:kern w:val="0"/>
                <w:sz w:val="24"/>
                <w:szCs w:val="24"/>
              </w:rPr>
            </w:pPr>
            <w:r>
              <w:rPr>
                <w:kern w:val="0"/>
                <w:sz w:val="24"/>
                <w:szCs w:val="24"/>
              </w:rPr>
              <w:t>开户名称</w:t>
            </w:r>
          </w:p>
        </w:tc>
        <w:tc>
          <w:tcPr>
            <w:tcW w:w="1224" w:type="pct"/>
            <w:tcBorders>
              <w:top w:val="single" w:color="auto" w:sz="2" w:space="0"/>
              <w:left w:val="single" w:color="auto" w:sz="2" w:space="0"/>
              <w:bottom w:val="single" w:color="auto" w:sz="2" w:space="0"/>
              <w:right w:val="single" w:color="auto" w:sz="4" w:space="0"/>
            </w:tcBorders>
            <w:vAlign w:val="center"/>
          </w:tcPr>
          <w:p w14:paraId="0408B8C7">
            <w:pPr>
              <w:spacing w:line="400" w:lineRule="exact"/>
              <w:jc w:val="center"/>
              <w:rPr>
                <w:spacing w:val="20"/>
                <w:kern w:val="0"/>
                <w:sz w:val="24"/>
                <w:szCs w:val="24"/>
              </w:rPr>
            </w:pPr>
          </w:p>
        </w:tc>
      </w:tr>
      <w:tr w14:paraId="046887B7">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2C221F35">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3413ECAD">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7B6B7A11">
            <w:pPr>
              <w:spacing w:line="400" w:lineRule="exact"/>
              <w:jc w:val="center"/>
              <w:rPr>
                <w:kern w:val="0"/>
                <w:sz w:val="24"/>
                <w:szCs w:val="24"/>
              </w:rPr>
            </w:pPr>
            <w:r>
              <w:rPr>
                <w:kern w:val="0"/>
                <w:sz w:val="24"/>
                <w:szCs w:val="24"/>
              </w:rPr>
              <w:t>开户银行</w:t>
            </w:r>
          </w:p>
        </w:tc>
        <w:tc>
          <w:tcPr>
            <w:tcW w:w="1224" w:type="pct"/>
            <w:tcBorders>
              <w:top w:val="single" w:color="auto" w:sz="2" w:space="0"/>
              <w:left w:val="single" w:color="auto" w:sz="2" w:space="0"/>
              <w:bottom w:val="single" w:color="auto" w:sz="2" w:space="0"/>
              <w:right w:val="single" w:color="auto" w:sz="4" w:space="0"/>
            </w:tcBorders>
            <w:vAlign w:val="center"/>
          </w:tcPr>
          <w:p w14:paraId="6536DA7B">
            <w:pPr>
              <w:spacing w:line="400" w:lineRule="exact"/>
              <w:jc w:val="center"/>
              <w:rPr>
                <w:spacing w:val="20"/>
                <w:kern w:val="0"/>
                <w:sz w:val="24"/>
                <w:szCs w:val="24"/>
              </w:rPr>
            </w:pPr>
          </w:p>
        </w:tc>
      </w:tr>
      <w:tr w14:paraId="3F71CA98">
        <w:trPr>
          <w:trHeight w:val="483" w:hRule="atLeast"/>
        </w:trPr>
        <w:tc>
          <w:tcPr>
            <w:tcW w:w="1222" w:type="pct"/>
            <w:tcBorders>
              <w:top w:val="single" w:color="auto" w:sz="2" w:space="0"/>
              <w:left w:val="single" w:color="auto" w:sz="4" w:space="0"/>
              <w:bottom w:val="single" w:color="auto" w:sz="2" w:space="0"/>
              <w:right w:val="single" w:color="auto" w:sz="2" w:space="0"/>
            </w:tcBorders>
            <w:vAlign w:val="center"/>
          </w:tcPr>
          <w:p w14:paraId="392B2197">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46B47AD7">
            <w:pPr>
              <w:spacing w:line="400" w:lineRule="exact"/>
              <w:jc w:val="center"/>
              <w:rPr>
                <w:kern w:val="0"/>
                <w:sz w:val="24"/>
                <w:szCs w:val="24"/>
              </w:rPr>
            </w:pPr>
          </w:p>
        </w:tc>
        <w:tc>
          <w:tcPr>
            <w:tcW w:w="1277" w:type="pct"/>
            <w:tcBorders>
              <w:top w:val="single" w:color="auto" w:sz="2" w:space="0"/>
              <w:left w:val="single" w:color="auto" w:sz="2" w:space="0"/>
              <w:bottom w:val="single" w:color="auto" w:sz="2" w:space="0"/>
              <w:right w:val="single" w:color="auto" w:sz="2" w:space="0"/>
            </w:tcBorders>
            <w:vAlign w:val="center"/>
          </w:tcPr>
          <w:p w14:paraId="14D973E8">
            <w:pPr>
              <w:spacing w:line="400" w:lineRule="exact"/>
              <w:jc w:val="center"/>
              <w:rPr>
                <w:kern w:val="0"/>
                <w:sz w:val="24"/>
                <w:szCs w:val="24"/>
              </w:rPr>
            </w:pPr>
            <w:r>
              <w:rPr>
                <w:kern w:val="0"/>
                <w:sz w:val="24"/>
                <w:szCs w:val="24"/>
              </w:rPr>
              <w:t>银行账号</w:t>
            </w:r>
          </w:p>
        </w:tc>
        <w:tc>
          <w:tcPr>
            <w:tcW w:w="1224" w:type="pct"/>
            <w:tcBorders>
              <w:top w:val="single" w:color="auto" w:sz="2" w:space="0"/>
              <w:left w:val="single" w:color="auto" w:sz="2" w:space="0"/>
              <w:bottom w:val="single" w:color="auto" w:sz="2" w:space="0"/>
              <w:right w:val="single" w:color="auto" w:sz="4" w:space="0"/>
            </w:tcBorders>
            <w:vAlign w:val="center"/>
          </w:tcPr>
          <w:p w14:paraId="75405109">
            <w:pPr>
              <w:spacing w:line="400" w:lineRule="exact"/>
              <w:jc w:val="center"/>
              <w:rPr>
                <w:spacing w:val="20"/>
                <w:kern w:val="0"/>
                <w:sz w:val="24"/>
                <w:szCs w:val="24"/>
              </w:rPr>
            </w:pPr>
          </w:p>
        </w:tc>
      </w:tr>
      <w:tr w14:paraId="4A21B2E6">
        <w:trPr>
          <w:trHeight w:val="483" w:hRule="atLeast"/>
        </w:trPr>
        <w:tc>
          <w:tcPr>
            <w:tcW w:w="2499" w:type="pct"/>
            <w:gridSpan w:val="2"/>
            <w:tcBorders>
              <w:top w:val="single" w:color="auto" w:sz="2" w:space="0"/>
              <w:left w:val="single" w:color="auto" w:sz="4" w:space="0"/>
              <w:bottom w:val="single" w:color="auto" w:sz="2" w:space="0"/>
              <w:right w:val="single" w:color="auto" w:sz="2" w:space="0"/>
            </w:tcBorders>
            <w:vAlign w:val="center"/>
          </w:tcPr>
          <w:p w14:paraId="0B75FAAB">
            <w:pPr>
              <w:spacing w:line="400" w:lineRule="exact"/>
              <w:jc w:val="right"/>
              <w:rPr>
                <w:kern w:val="0"/>
                <w:sz w:val="24"/>
                <w:szCs w:val="24"/>
              </w:rPr>
            </w:pPr>
            <w:r>
              <w:rPr>
                <w:rFonts w:hint="eastAsia"/>
                <w:kern w:val="0"/>
                <w:sz w:val="24"/>
                <w:szCs w:val="24"/>
              </w:rPr>
              <w:t>签订日期：    年  月  日</w:t>
            </w:r>
          </w:p>
        </w:tc>
        <w:tc>
          <w:tcPr>
            <w:tcW w:w="2501" w:type="pct"/>
            <w:gridSpan w:val="2"/>
            <w:tcBorders>
              <w:top w:val="single" w:color="auto" w:sz="2" w:space="0"/>
              <w:left w:val="single" w:color="auto" w:sz="2" w:space="0"/>
              <w:bottom w:val="single" w:color="auto" w:sz="2" w:space="0"/>
              <w:right w:val="single" w:color="auto" w:sz="4" w:space="0"/>
            </w:tcBorders>
            <w:vAlign w:val="center"/>
          </w:tcPr>
          <w:p w14:paraId="481E369B">
            <w:pPr>
              <w:spacing w:line="400" w:lineRule="exact"/>
              <w:jc w:val="right"/>
              <w:rPr>
                <w:spacing w:val="20"/>
                <w:kern w:val="0"/>
                <w:sz w:val="24"/>
                <w:szCs w:val="24"/>
              </w:rPr>
            </w:pPr>
            <w:r>
              <w:rPr>
                <w:rFonts w:hint="eastAsia"/>
                <w:kern w:val="0"/>
                <w:sz w:val="24"/>
                <w:szCs w:val="24"/>
              </w:rPr>
              <w:t>签订日期：    年  月  日</w:t>
            </w:r>
          </w:p>
        </w:tc>
      </w:tr>
    </w:tbl>
    <w:p w14:paraId="5C259C60">
      <w:pPr>
        <w:widowControl/>
        <w:spacing w:line="20" w:lineRule="exact"/>
        <w:jc w:val="left"/>
        <w:rPr>
          <w:rFonts w:cs="宋体"/>
          <w:kern w:val="0"/>
          <w:sz w:val="24"/>
          <w:szCs w:val="24"/>
        </w:rPr>
      </w:pPr>
      <w:r>
        <w:rPr>
          <w:rFonts w:cs="宋体"/>
          <w:kern w:val="0"/>
          <w:sz w:val="24"/>
          <w:szCs w:val="24"/>
        </w:rPr>
        <w:br w:type="page"/>
      </w:r>
    </w:p>
    <w:p w14:paraId="53F53790">
      <w:pPr>
        <w:tabs>
          <w:tab w:val="left" w:pos="1050"/>
          <w:tab w:val="right" w:leader="dot" w:pos="9402"/>
        </w:tabs>
        <w:spacing w:line="600" w:lineRule="exact"/>
        <w:jc w:val="center"/>
        <w:outlineLvl w:val="0"/>
        <w:rPr>
          <w:b/>
          <w:w w:val="80"/>
          <w:sz w:val="36"/>
          <w:szCs w:val="36"/>
        </w:rPr>
      </w:pPr>
      <w:r>
        <w:rPr>
          <w:b/>
          <w:w w:val="80"/>
          <w:sz w:val="36"/>
          <w:szCs w:val="36"/>
        </w:rPr>
        <w:t>第六章</w:t>
      </w:r>
      <w:r>
        <w:rPr>
          <w:rFonts w:hint="eastAsia"/>
          <w:b/>
          <w:w w:val="80"/>
          <w:sz w:val="36"/>
          <w:szCs w:val="36"/>
        </w:rPr>
        <w:t xml:space="preserve"> 合同授予</w:t>
      </w:r>
    </w:p>
    <w:p w14:paraId="76D6A1D3">
      <w:pPr>
        <w:spacing w:line="420" w:lineRule="exact"/>
        <w:ind w:firstLine="484" w:firstLineChars="202"/>
        <w:rPr>
          <w:kern w:val="0"/>
          <w:sz w:val="24"/>
          <w:szCs w:val="24"/>
        </w:rPr>
      </w:pPr>
      <w:r>
        <w:rPr>
          <w:rFonts w:hint="eastAsia" w:cs="宋体"/>
          <w:kern w:val="0"/>
          <w:sz w:val="24"/>
          <w:szCs w:val="24"/>
        </w:rPr>
        <w:t>一、在《成交通知书》发出后</w:t>
      </w:r>
      <w:r>
        <w:rPr>
          <w:rFonts w:hint="eastAsia"/>
          <w:kern w:val="0"/>
          <w:sz w:val="24"/>
          <w:szCs w:val="24"/>
        </w:rPr>
        <w:t>30</w:t>
      </w:r>
      <w:r>
        <w:rPr>
          <w:rFonts w:hint="eastAsia" w:cs="宋体"/>
          <w:kern w:val="0"/>
          <w:sz w:val="24"/>
          <w:szCs w:val="24"/>
        </w:rPr>
        <w:t>日内，成交供应商必须按照采购活动确定的事项，与采购人签订政府采购合同。</w:t>
      </w:r>
    </w:p>
    <w:p w14:paraId="230B120B">
      <w:pPr>
        <w:spacing w:line="420" w:lineRule="exact"/>
        <w:ind w:firstLine="484" w:firstLineChars="202"/>
        <w:rPr>
          <w:kern w:val="0"/>
          <w:sz w:val="24"/>
          <w:szCs w:val="24"/>
        </w:rPr>
      </w:pPr>
      <w:r>
        <w:rPr>
          <w:rFonts w:hint="eastAsia" w:cs="宋体"/>
          <w:kern w:val="0"/>
          <w:sz w:val="24"/>
          <w:szCs w:val="24"/>
        </w:rPr>
        <w:t>所签合同不得对采购文件作实质性修改。采购单位不得向成交供应商提出不合理的要求作为签订合同的条件，不得与成交供应商私下订立背离采购文件实质性内容的协议。</w:t>
      </w:r>
    </w:p>
    <w:p w14:paraId="292143B8">
      <w:pPr>
        <w:spacing w:line="420" w:lineRule="exact"/>
        <w:ind w:firstLine="484" w:firstLineChars="202"/>
        <w:rPr>
          <w:rFonts w:cs="宋体"/>
          <w:kern w:val="0"/>
          <w:sz w:val="24"/>
          <w:szCs w:val="24"/>
        </w:rPr>
      </w:pPr>
      <w:bookmarkStart w:id="118" w:name="_Hlk67487934"/>
      <w:r>
        <w:rPr>
          <w:rFonts w:hint="eastAsia" w:cs="宋体"/>
          <w:kern w:val="0"/>
          <w:sz w:val="24"/>
          <w:szCs w:val="24"/>
        </w:rPr>
        <w:t>二、采购单位按合同约定积极配合成交人履约，采购单位及时进行履约服务评价。</w:t>
      </w:r>
    </w:p>
    <w:p w14:paraId="7C2FA170">
      <w:pPr>
        <w:spacing w:line="420" w:lineRule="exact"/>
        <w:ind w:firstLine="484" w:firstLineChars="202"/>
        <w:rPr>
          <w:rFonts w:cs="宋体"/>
          <w:kern w:val="0"/>
          <w:sz w:val="24"/>
          <w:szCs w:val="24"/>
        </w:rPr>
      </w:pPr>
      <w:r>
        <w:rPr>
          <w:rFonts w:hint="eastAsia" w:cs="宋体"/>
          <w:kern w:val="0"/>
          <w:sz w:val="24"/>
          <w:szCs w:val="24"/>
        </w:rPr>
        <w:t>三、采购单位故意推迟项目服务评价时间的，与成交人串通或要求成交人通过降低服务标准的，要求成交人出具虚假发票或任意更改销售发票的，谋取不正当利益的，承担相应的法律责任。</w:t>
      </w:r>
    </w:p>
    <w:p w14:paraId="4A513D59">
      <w:pPr>
        <w:spacing w:line="420" w:lineRule="exact"/>
        <w:ind w:firstLine="484" w:firstLineChars="202"/>
        <w:rPr>
          <w:rFonts w:cs="宋体"/>
          <w:kern w:val="0"/>
          <w:sz w:val="24"/>
          <w:szCs w:val="24"/>
        </w:rPr>
      </w:pPr>
      <w:r>
        <w:rPr>
          <w:rFonts w:hint="eastAsia" w:cs="宋体"/>
          <w:kern w:val="0"/>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29AB5C52">
      <w:pPr>
        <w:spacing w:line="420" w:lineRule="exact"/>
        <w:ind w:firstLine="484" w:firstLineChars="202"/>
        <w:rPr>
          <w:rFonts w:cs="宋体"/>
          <w:kern w:val="0"/>
          <w:sz w:val="24"/>
          <w:szCs w:val="24"/>
        </w:rPr>
      </w:pPr>
      <w:r>
        <w:rPr>
          <w:rFonts w:hint="eastAsia" w:cs="宋体"/>
          <w:kern w:val="0"/>
          <w:sz w:val="24"/>
          <w:szCs w:val="24"/>
        </w:rPr>
        <w:t>五、按采购合同约定，采购人及时支付合同价款。</w:t>
      </w:r>
    </w:p>
    <w:p w14:paraId="2E01793A">
      <w:pPr>
        <w:spacing w:line="420" w:lineRule="exact"/>
        <w:ind w:firstLine="484" w:firstLineChars="202"/>
        <w:rPr>
          <w:rFonts w:cs="宋体"/>
          <w:kern w:val="0"/>
          <w:sz w:val="24"/>
          <w:szCs w:val="24"/>
        </w:rPr>
      </w:pPr>
      <w:r>
        <w:rPr>
          <w:rFonts w:hint="eastAsia" w:cs="宋体"/>
          <w:kern w:val="0"/>
          <w:sz w:val="24"/>
          <w:szCs w:val="24"/>
        </w:rPr>
        <w:t>六、付款方式详见采购文件第三章第十条与第五章第二部分第2点的内容。</w:t>
      </w:r>
    </w:p>
    <w:p w14:paraId="512C29CA">
      <w:pPr>
        <w:spacing w:line="420" w:lineRule="exact"/>
        <w:ind w:firstLine="484" w:firstLineChars="202"/>
        <w:rPr>
          <w:kern w:val="0"/>
          <w:sz w:val="24"/>
          <w:szCs w:val="24"/>
        </w:rPr>
      </w:pPr>
      <w:r>
        <w:rPr>
          <w:rFonts w:hint="eastAsia" w:cs="宋体"/>
          <w:kern w:val="0"/>
          <w:sz w:val="24"/>
          <w:szCs w:val="24"/>
        </w:rPr>
        <w:t>七、合同价款的支付不计息。</w:t>
      </w:r>
    </w:p>
    <w:p w14:paraId="264BFCCE">
      <w:pPr>
        <w:widowControl/>
        <w:spacing w:line="20" w:lineRule="exact"/>
        <w:jc w:val="left"/>
        <w:rPr>
          <w:kern w:val="0"/>
          <w:sz w:val="24"/>
          <w:szCs w:val="24"/>
        </w:rPr>
      </w:pPr>
      <w:r>
        <w:rPr>
          <w:kern w:val="0"/>
          <w:sz w:val="24"/>
          <w:szCs w:val="24"/>
        </w:rPr>
        <w:br w:type="page"/>
      </w:r>
    </w:p>
    <w:bookmarkEnd w:id="118"/>
    <w:p w14:paraId="759BC765">
      <w:pPr>
        <w:tabs>
          <w:tab w:val="left" w:pos="1050"/>
          <w:tab w:val="right" w:leader="dot" w:pos="9402"/>
        </w:tabs>
        <w:spacing w:line="600" w:lineRule="exact"/>
        <w:jc w:val="center"/>
        <w:outlineLvl w:val="0"/>
        <w:rPr>
          <w:b/>
          <w:w w:val="80"/>
          <w:sz w:val="36"/>
          <w:szCs w:val="36"/>
        </w:rPr>
      </w:pPr>
      <w:r>
        <w:rPr>
          <w:b/>
          <w:w w:val="80"/>
          <w:sz w:val="36"/>
          <w:szCs w:val="36"/>
        </w:rPr>
        <w:t>第</w:t>
      </w:r>
      <w:r>
        <w:rPr>
          <w:rFonts w:hint="eastAsia"/>
          <w:b/>
          <w:w w:val="80"/>
          <w:sz w:val="36"/>
          <w:szCs w:val="36"/>
        </w:rPr>
        <w:t>七</w:t>
      </w:r>
      <w:r>
        <w:rPr>
          <w:b/>
          <w:w w:val="80"/>
          <w:sz w:val="36"/>
          <w:szCs w:val="36"/>
        </w:rPr>
        <w:t>章</w:t>
      </w:r>
      <w:r>
        <w:rPr>
          <w:rFonts w:hint="eastAsia"/>
          <w:b/>
          <w:w w:val="80"/>
          <w:sz w:val="36"/>
          <w:szCs w:val="36"/>
        </w:rPr>
        <w:t xml:space="preserve"> </w:t>
      </w:r>
      <w:r>
        <w:rPr>
          <w:b/>
          <w:w w:val="80"/>
          <w:sz w:val="36"/>
          <w:szCs w:val="36"/>
        </w:rPr>
        <w:t>质疑与投诉</w:t>
      </w:r>
      <w:bookmarkEnd w:id="113"/>
    </w:p>
    <w:p w14:paraId="0C6E24D1">
      <w:pPr>
        <w:spacing w:line="420" w:lineRule="exact"/>
        <w:ind w:firstLine="485" w:firstLineChars="202"/>
        <w:outlineLvl w:val="1"/>
        <w:rPr>
          <w:sz w:val="24"/>
          <w:szCs w:val="24"/>
        </w:rPr>
      </w:pPr>
      <w:r>
        <w:rPr>
          <w:rFonts w:hint="eastAsia" w:cs="宋体"/>
          <w:b/>
          <w:bCs/>
          <w:kern w:val="0"/>
          <w:sz w:val="24"/>
          <w:szCs w:val="24"/>
        </w:rPr>
        <w:t>一、质疑的提出</w:t>
      </w:r>
    </w:p>
    <w:p w14:paraId="788728AF">
      <w:pPr>
        <w:spacing w:line="420" w:lineRule="exact"/>
        <w:ind w:firstLine="484" w:firstLineChars="202"/>
        <w:rPr>
          <w:sz w:val="24"/>
          <w:szCs w:val="24"/>
        </w:rPr>
      </w:pPr>
      <w:r>
        <w:rPr>
          <w:sz w:val="24"/>
          <w:szCs w:val="24"/>
        </w:rPr>
        <w:t>1.</w:t>
      </w:r>
      <w:r>
        <w:rPr>
          <w:rFonts w:hint="eastAsia"/>
          <w:sz w:val="24"/>
          <w:szCs w:val="24"/>
        </w:rPr>
        <w:t>根据《政府采购质疑和投诉办法》（财政部第94号令）第十一条规定，提出质疑的供应商（以下称质疑人）</w:t>
      </w:r>
      <w:r>
        <w:rPr>
          <w:rFonts w:hint="eastAsia" w:cs="宋体"/>
          <w:sz w:val="24"/>
          <w:szCs w:val="24"/>
        </w:rPr>
        <w:t>必须是直接参加本项目竞争性谈判采购活动的当事人。</w:t>
      </w:r>
    </w:p>
    <w:p w14:paraId="7430BBB4">
      <w:pPr>
        <w:spacing w:line="420" w:lineRule="exact"/>
        <w:ind w:firstLine="484" w:firstLineChars="202"/>
        <w:rPr>
          <w:rFonts w:cs="宋体"/>
          <w:sz w:val="24"/>
          <w:szCs w:val="24"/>
        </w:rPr>
      </w:pPr>
      <w:r>
        <w:rPr>
          <w:sz w:val="24"/>
          <w:szCs w:val="24"/>
        </w:rPr>
        <w:t>2.</w:t>
      </w:r>
      <w:r>
        <w:rPr>
          <w:rFonts w:hint="eastAsia" w:cs="宋体"/>
          <w:sz w:val="24"/>
          <w:szCs w:val="24"/>
        </w:rPr>
        <w:t>下载谈判文件的供应商应根据第二章</w:t>
      </w:r>
      <w:r>
        <w:rPr>
          <w:sz w:val="24"/>
          <w:szCs w:val="24"/>
        </w:rPr>
        <w:t>“</w:t>
      </w:r>
      <w:r>
        <w:rPr>
          <w:rFonts w:hint="eastAsia" w:cs="宋体"/>
          <w:sz w:val="24"/>
          <w:szCs w:val="24"/>
        </w:rPr>
        <w:t>供应商须知</w:t>
      </w:r>
      <w:r>
        <w:rPr>
          <w:sz w:val="24"/>
          <w:szCs w:val="24"/>
        </w:rPr>
        <w:t>”</w:t>
      </w:r>
      <w:r>
        <w:rPr>
          <w:rFonts w:hint="eastAsia" w:cs="宋体"/>
          <w:sz w:val="24"/>
          <w:szCs w:val="24"/>
        </w:rPr>
        <w:t>中第一条第</w:t>
      </w:r>
      <w:r>
        <w:rPr>
          <w:sz w:val="24"/>
          <w:szCs w:val="24"/>
        </w:rPr>
        <w:t>4</w:t>
      </w:r>
      <w:r>
        <w:rPr>
          <w:rFonts w:hint="eastAsia" w:cs="宋体"/>
          <w:sz w:val="24"/>
          <w:szCs w:val="24"/>
        </w:rPr>
        <w:t>款的约定提出；响应文件接收截止后，供应商未进行谈判响应登记的，不能就响应文件接收截止后的采购过程、成交结果提出质疑；在谈判过程中，凡主持人或评估小组明确提出须由供应商确认的事项，供应商当场无异议的，事后不得提出质疑。</w:t>
      </w:r>
    </w:p>
    <w:p w14:paraId="0C9DEB98">
      <w:pPr>
        <w:spacing w:line="420" w:lineRule="exact"/>
        <w:ind w:firstLine="484" w:firstLineChars="202"/>
        <w:rPr>
          <w:sz w:val="24"/>
          <w:szCs w:val="24"/>
        </w:rPr>
      </w:pPr>
      <w:r>
        <w:rPr>
          <w:rFonts w:hint="eastAsia"/>
          <w:sz w:val="24"/>
          <w:szCs w:val="24"/>
        </w:rPr>
        <w:t>3</w:t>
      </w:r>
      <w:r>
        <w:rPr>
          <w:sz w:val="24"/>
          <w:szCs w:val="24"/>
        </w:rPr>
        <w:t>.</w:t>
      </w:r>
      <w:r>
        <w:rPr>
          <w:rFonts w:hint="eastAsia"/>
          <w:sz w:val="24"/>
          <w:szCs w:val="24"/>
        </w:rPr>
        <w:t>对采购过程、成交或者成交结果使自己的权益受到损害的，可以在知道或者应知其权益受到损害之日起7个工作日内，以书面形式向采购人、采购代理机构提出质疑。</w:t>
      </w:r>
    </w:p>
    <w:p w14:paraId="2163DBCB">
      <w:pPr>
        <w:spacing w:line="420" w:lineRule="exact"/>
        <w:ind w:firstLine="485" w:firstLineChars="202"/>
        <w:rPr>
          <w:b/>
          <w:bCs/>
          <w:sz w:val="24"/>
          <w:szCs w:val="24"/>
        </w:rPr>
      </w:pPr>
      <w:r>
        <w:rPr>
          <w:rFonts w:hint="eastAsia"/>
          <w:b/>
          <w:bCs/>
          <w:sz w:val="24"/>
          <w:szCs w:val="24"/>
        </w:rPr>
        <w:t>4</w:t>
      </w:r>
      <w:r>
        <w:rPr>
          <w:b/>
          <w:bCs/>
          <w:sz w:val="24"/>
          <w:szCs w:val="24"/>
        </w:rPr>
        <w:t>.</w:t>
      </w:r>
      <w:r>
        <w:rPr>
          <w:rFonts w:hint="eastAsia" w:cs="宋体"/>
          <w:b/>
          <w:bCs/>
          <w:sz w:val="24"/>
          <w:szCs w:val="24"/>
          <w:u w:val="thick" w:color="FF0000"/>
        </w:rPr>
        <w:t>供应商应当在法定质疑期内一次性提出针对同一采购程序环节的质疑</w:t>
      </w:r>
      <w:r>
        <w:rPr>
          <w:rFonts w:hint="eastAsia"/>
          <w:b/>
          <w:bCs/>
          <w:sz w:val="24"/>
          <w:szCs w:val="24"/>
        </w:rPr>
        <w:t>。</w:t>
      </w:r>
    </w:p>
    <w:p w14:paraId="0EF3CFB8">
      <w:pPr>
        <w:spacing w:line="420" w:lineRule="exact"/>
        <w:ind w:firstLine="484" w:firstLineChars="202"/>
        <w:rPr>
          <w:sz w:val="24"/>
          <w:szCs w:val="24"/>
        </w:rPr>
      </w:pPr>
      <w:r>
        <w:rPr>
          <w:sz w:val="24"/>
          <w:szCs w:val="24"/>
        </w:rPr>
        <w:t>5.</w:t>
      </w:r>
      <w:r>
        <w:rPr>
          <w:rFonts w:hint="eastAsia" w:cs="宋体"/>
          <w:sz w:val="24"/>
          <w:szCs w:val="24"/>
        </w:rPr>
        <w:t>提出质疑时，必须坚持</w:t>
      </w:r>
      <w:r>
        <w:rPr>
          <w:sz w:val="24"/>
          <w:szCs w:val="24"/>
        </w:rPr>
        <w:t>“</w:t>
      </w:r>
      <w:r>
        <w:rPr>
          <w:rFonts w:hint="eastAsia" w:cs="宋体"/>
          <w:sz w:val="24"/>
          <w:szCs w:val="24"/>
        </w:rPr>
        <w:t>谁主张，谁举证</w:t>
      </w:r>
      <w:r>
        <w:rPr>
          <w:sz w:val="24"/>
          <w:szCs w:val="24"/>
        </w:rPr>
        <w:t>”</w:t>
      </w:r>
      <w:r>
        <w:rPr>
          <w:rFonts w:hint="eastAsia" w:cs="宋体"/>
          <w:sz w:val="24"/>
          <w:szCs w:val="24"/>
        </w:rPr>
        <w:t>、</w:t>
      </w:r>
      <w:r>
        <w:rPr>
          <w:sz w:val="24"/>
          <w:szCs w:val="24"/>
        </w:rPr>
        <w:t>“</w:t>
      </w:r>
      <w:r>
        <w:rPr>
          <w:rFonts w:hint="eastAsia" w:cs="宋体"/>
          <w:sz w:val="24"/>
          <w:szCs w:val="24"/>
        </w:rPr>
        <w:t>实事求是</w:t>
      </w:r>
      <w:r>
        <w:rPr>
          <w:sz w:val="24"/>
          <w:szCs w:val="24"/>
        </w:rPr>
        <w:t>”</w:t>
      </w:r>
      <w:r>
        <w:rPr>
          <w:rFonts w:hint="eastAsia" w:cs="宋体"/>
          <w:sz w:val="24"/>
          <w:szCs w:val="24"/>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3A747892">
      <w:pPr>
        <w:spacing w:line="420" w:lineRule="exact"/>
        <w:ind w:firstLine="484" w:firstLineChars="202"/>
        <w:rPr>
          <w:rFonts w:cs="宋体"/>
          <w:sz w:val="24"/>
          <w:szCs w:val="24"/>
        </w:rPr>
      </w:pPr>
      <w:r>
        <w:rPr>
          <w:sz w:val="24"/>
          <w:szCs w:val="24"/>
        </w:rPr>
        <w:t>6.</w:t>
      </w:r>
      <w:r>
        <w:rPr>
          <w:rFonts w:hint="eastAsia" w:cs="宋体"/>
          <w:sz w:val="24"/>
          <w:szCs w:val="24"/>
        </w:rPr>
        <w:t>对本次采购有质疑的，实行实名制，不得进行虚假、恶意质疑。质疑人应在质疑有效期内以书面形式提出《质疑函》，《质疑函》内容应当包括：</w:t>
      </w:r>
    </w:p>
    <w:p w14:paraId="214251C2">
      <w:pPr>
        <w:spacing w:line="420" w:lineRule="exact"/>
        <w:ind w:firstLine="484" w:firstLineChars="202"/>
        <w:rPr>
          <w:rFonts w:cs="宋体"/>
          <w:sz w:val="24"/>
          <w:szCs w:val="24"/>
        </w:rPr>
      </w:pPr>
      <w:r>
        <w:rPr>
          <w:rFonts w:hint="eastAsia" w:cs="宋体"/>
          <w:sz w:val="24"/>
          <w:szCs w:val="24"/>
        </w:rPr>
        <w:t>（1）供应商的姓名或者名称（以营业执照副本复印件为准）、地址、邮编、联系人及联系电话；</w:t>
      </w:r>
    </w:p>
    <w:p w14:paraId="0847355B">
      <w:pPr>
        <w:spacing w:line="420" w:lineRule="exact"/>
        <w:ind w:firstLine="484" w:firstLineChars="202"/>
        <w:rPr>
          <w:rFonts w:cs="宋体"/>
          <w:sz w:val="24"/>
          <w:szCs w:val="24"/>
        </w:rPr>
      </w:pPr>
      <w:r>
        <w:rPr>
          <w:rFonts w:hint="eastAsia" w:cs="宋体"/>
          <w:sz w:val="24"/>
          <w:szCs w:val="24"/>
        </w:rPr>
        <w:t>（2）质疑项目的名称、编号；</w:t>
      </w:r>
    </w:p>
    <w:p w14:paraId="2ED6882D">
      <w:pPr>
        <w:spacing w:line="420" w:lineRule="exact"/>
        <w:ind w:firstLine="484" w:firstLineChars="202"/>
        <w:rPr>
          <w:rFonts w:cs="宋体"/>
          <w:sz w:val="24"/>
          <w:szCs w:val="24"/>
        </w:rPr>
      </w:pPr>
      <w:r>
        <w:rPr>
          <w:rFonts w:hint="eastAsia" w:cs="宋体"/>
          <w:sz w:val="24"/>
          <w:szCs w:val="24"/>
        </w:rPr>
        <w:t>（3）具体、明确的质疑事项和与质疑事项相关的请求；</w:t>
      </w:r>
    </w:p>
    <w:p w14:paraId="7732EEF3">
      <w:pPr>
        <w:spacing w:line="420" w:lineRule="exact"/>
        <w:ind w:firstLine="484" w:firstLineChars="202"/>
        <w:rPr>
          <w:rFonts w:cs="宋体"/>
          <w:sz w:val="24"/>
          <w:szCs w:val="24"/>
        </w:rPr>
      </w:pPr>
      <w:r>
        <w:rPr>
          <w:rFonts w:hint="eastAsia" w:cs="宋体"/>
          <w:sz w:val="24"/>
          <w:szCs w:val="24"/>
        </w:rPr>
        <w:t>（4）事实依据；</w:t>
      </w:r>
    </w:p>
    <w:p w14:paraId="7805E0DA">
      <w:pPr>
        <w:spacing w:line="420" w:lineRule="exact"/>
        <w:ind w:firstLine="484" w:firstLineChars="202"/>
        <w:rPr>
          <w:rFonts w:cs="宋体"/>
          <w:sz w:val="24"/>
          <w:szCs w:val="24"/>
        </w:rPr>
      </w:pPr>
      <w:r>
        <w:rPr>
          <w:rFonts w:hint="eastAsia" w:cs="宋体"/>
          <w:sz w:val="24"/>
          <w:szCs w:val="24"/>
        </w:rPr>
        <w:t>（5）必要的法律依据；</w:t>
      </w:r>
    </w:p>
    <w:p w14:paraId="148FFFB6">
      <w:pPr>
        <w:spacing w:line="420" w:lineRule="exact"/>
        <w:ind w:firstLine="484" w:firstLineChars="202"/>
        <w:rPr>
          <w:rFonts w:cs="宋体"/>
          <w:sz w:val="24"/>
          <w:szCs w:val="24"/>
        </w:rPr>
      </w:pPr>
      <w:r>
        <w:rPr>
          <w:rFonts w:hint="eastAsia" w:cs="宋体"/>
          <w:sz w:val="24"/>
          <w:szCs w:val="24"/>
        </w:rPr>
        <w:t>（6）提出质疑的日期。</w:t>
      </w:r>
    </w:p>
    <w:p w14:paraId="7351ADF9">
      <w:pPr>
        <w:spacing w:line="420" w:lineRule="exact"/>
        <w:ind w:firstLine="484" w:firstLineChars="202"/>
        <w:rPr>
          <w:rFonts w:cs="宋体"/>
          <w:sz w:val="24"/>
          <w:szCs w:val="24"/>
        </w:rPr>
      </w:pPr>
      <w:r>
        <w:rPr>
          <w:rFonts w:hint="eastAsia" w:cs="宋体"/>
          <w:sz w:val="24"/>
          <w:szCs w:val="24"/>
        </w:rPr>
        <w:t>7</w:t>
      </w:r>
      <w:r>
        <w:rPr>
          <w:rFonts w:cs="宋体"/>
          <w:sz w:val="24"/>
          <w:szCs w:val="24"/>
        </w:rPr>
        <w:t>.</w:t>
      </w:r>
      <w:r>
        <w:rPr>
          <w:rFonts w:hint="eastAsia" w:cs="宋体"/>
          <w:sz w:val="24"/>
          <w:szCs w:val="24"/>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1F8C26E4">
      <w:pPr>
        <w:spacing w:line="420" w:lineRule="exact"/>
        <w:ind w:firstLine="484" w:firstLineChars="202"/>
        <w:rPr>
          <w:sz w:val="24"/>
          <w:szCs w:val="24"/>
        </w:rPr>
      </w:pPr>
      <w:r>
        <w:rPr>
          <w:rFonts w:hint="eastAsia" w:cs="宋体"/>
          <w:sz w:val="24"/>
          <w:szCs w:val="24"/>
        </w:rPr>
        <w:t>8</w:t>
      </w:r>
      <w:r>
        <w:rPr>
          <w:rFonts w:cs="宋体"/>
          <w:sz w:val="24"/>
          <w:szCs w:val="24"/>
        </w:rPr>
        <w:t>.</w:t>
      </w:r>
      <w:r>
        <w:rPr>
          <w:rFonts w:hint="eastAsia" w:cs="宋体"/>
          <w:sz w:val="24"/>
          <w:szCs w:val="24"/>
        </w:rPr>
        <w:t>与事实依据相关的佐证材料要具备客观性、关联性、合法性，无法查实的（如宣传册、媒体报道、猜测、推理等）不能作为佐证材料。</w:t>
      </w:r>
    </w:p>
    <w:p w14:paraId="5EBCAF00">
      <w:pPr>
        <w:spacing w:line="420" w:lineRule="exact"/>
        <w:ind w:firstLine="484" w:firstLineChars="202"/>
        <w:rPr>
          <w:sz w:val="24"/>
          <w:szCs w:val="24"/>
        </w:rPr>
      </w:pPr>
      <w:r>
        <w:rPr>
          <w:rFonts w:hint="eastAsia" w:cs="宋体"/>
          <w:sz w:val="24"/>
          <w:szCs w:val="24"/>
        </w:rPr>
        <w:t>9</w:t>
      </w:r>
      <w:r>
        <w:rPr>
          <w:rFonts w:cs="宋体"/>
          <w:sz w:val="24"/>
          <w:szCs w:val="24"/>
        </w:rPr>
        <w:t>.</w:t>
      </w:r>
      <w:r>
        <w:rPr>
          <w:rFonts w:hint="eastAsia" w:cs="宋体"/>
          <w:sz w:val="24"/>
          <w:szCs w:val="24"/>
        </w:rPr>
        <w:t>采购人或采购代理机构不负责搜集与事实依据相关的佐证材料等工作。</w:t>
      </w:r>
    </w:p>
    <w:p w14:paraId="0792795B">
      <w:pPr>
        <w:spacing w:line="420" w:lineRule="exact"/>
        <w:ind w:firstLine="484" w:firstLineChars="202"/>
        <w:rPr>
          <w:rFonts w:cs="宋体"/>
          <w:sz w:val="24"/>
          <w:szCs w:val="24"/>
        </w:rPr>
      </w:pPr>
      <w:r>
        <w:rPr>
          <w:rFonts w:hint="eastAsia" w:cs="宋体"/>
          <w:sz w:val="24"/>
          <w:szCs w:val="24"/>
        </w:rPr>
        <w:t>1</w:t>
      </w:r>
      <w:r>
        <w:rPr>
          <w:rFonts w:cs="宋体"/>
          <w:sz w:val="24"/>
          <w:szCs w:val="24"/>
        </w:rPr>
        <w:t>0.</w:t>
      </w:r>
      <w:r>
        <w:rPr>
          <w:rFonts w:hint="eastAsia" w:cs="宋体"/>
          <w:sz w:val="24"/>
          <w:szCs w:val="24"/>
        </w:rPr>
        <w:t>对不能提供与事实依据相关的佐证材料的、涉及商业秘密的、非书面形式的、非送达的、匿名的《质疑函》将不予受理。</w:t>
      </w:r>
    </w:p>
    <w:p w14:paraId="1946502F">
      <w:pPr>
        <w:spacing w:line="420" w:lineRule="exact"/>
        <w:ind w:firstLine="484" w:firstLineChars="202"/>
        <w:rPr>
          <w:sz w:val="24"/>
          <w:szCs w:val="24"/>
        </w:rPr>
      </w:pPr>
      <w:r>
        <w:rPr>
          <w:rFonts w:hint="eastAsia"/>
          <w:sz w:val="24"/>
          <w:szCs w:val="24"/>
        </w:rPr>
        <w:t>1</w:t>
      </w:r>
      <w:r>
        <w:rPr>
          <w:sz w:val="24"/>
          <w:szCs w:val="24"/>
        </w:rPr>
        <w:t>1.</w:t>
      </w:r>
      <w:r>
        <w:rPr>
          <w:rFonts w:hint="eastAsia"/>
          <w:sz w:val="24"/>
          <w:szCs w:val="24"/>
        </w:rPr>
        <w:t>接收质疑函的方式：书面形式（当场送达或邮寄方式）；</w:t>
      </w:r>
    </w:p>
    <w:p w14:paraId="397ED06D">
      <w:pPr>
        <w:spacing w:line="420" w:lineRule="exact"/>
        <w:ind w:firstLine="484" w:firstLineChars="202"/>
        <w:rPr>
          <w:sz w:val="24"/>
          <w:szCs w:val="24"/>
        </w:rPr>
      </w:pPr>
      <w:r>
        <w:rPr>
          <w:sz w:val="24"/>
          <w:szCs w:val="24"/>
        </w:rPr>
        <w:t>12.</w:t>
      </w:r>
      <w:r>
        <w:rPr>
          <w:rFonts w:hint="eastAsia"/>
          <w:sz w:val="24"/>
          <w:szCs w:val="24"/>
        </w:rPr>
        <w:t>联系方式：</w:t>
      </w:r>
    </w:p>
    <w:p w14:paraId="510EA5A9">
      <w:pPr>
        <w:spacing w:line="420" w:lineRule="exact"/>
        <w:ind w:firstLine="484" w:firstLineChars="202"/>
        <w:rPr>
          <w:sz w:val="24"/>
          <w:szCs w:val="24"/>
        </w:rPr>
      </w:pPr>
      <w:r>
        <w:rPr>
          <w:rFonts w:hint="eastAsia"/>
          <w:sz w:val="24"/>
          <w:szCs w:val="24"/>
        </w:rPr>
        <w:t>（1）采购人信息</w:t>
      </w:r>
    </w:p>
    <w:p w14:paraId="721B2B95">
      <w:pPr>
        <w:spacing w:line="420" w:lineRule="exact"/>
        <w:ind w:firstLine="484" w:firstLineChars="202"/>
        <w:rPr>
          <w:sz w:val="24"/>
          <w:szCs w:val="24"/>
        </w:rPr>
      </w:pPr>
      <w:r>
        <w:rPr>
          <w:rFonts w:hint="eastAsia"/>
          <w:sz w:val="24"/>
          <w:szCs w:val="24"/>
        </w:rPr>
        <w:t>名称：南通市崇川区数据局；</w:t>
      </w:r>
    </w:p>
    <w:p w14:paraId="5D58525C">
      <w:pPr>
        <w:spacing w:line="420" w:lineRule="exact"/>
        <w:ind w:firstLine="484" w:firstLineChars="202"/>
        <w:rPr>
          <w:sz w:val="24"/>
          <w:szCs w:val="24"/>
        </w:rPr>
      </w:pPr>
      <w:r>
        <w:rPr>
          <w:rFonts w:hint="eastAsia"/>
          <w:sz w:val="24"/>
          <w:szCs w:val="24"/>
        </w:rPr>
        <w:t>地址：南通市江海大道北729号和丰大厦B座2楼；</w:t>
      </w:r>
    </w:p>
    <w:p w14:paraId="205C7F9F">
      <w:pPr>
        <w:spacing w:line="420" w:lineRule="exact"/>
        <w:ind w:firstLine="484" w:firstLineChars="202"/>
        <w:rPr>
          <w:sz w:val="24"/>
          <w:szCs w:val="24"/>
        </w:rPr>
      </w:pPr>
      <w:r>
        <w:rPr>
          <w:rFonts w:hint="eastAsia"/>
          <w:sz w:val="24"/>
          <w:szCs w:val="24"/>
        </w:rPr>
        <w:t>联系人：周杨；</w:t>
      </w:r>
    </w:p>
    <w:p w14:paraId="7A434233">
      <w:pPr>
        <w:spacing w:line="420" w:lineRule="exact"/>
        <w:ind w:firstLine="484" w:firstLineChars="202"/>
        <w:rPr>
          <w:sz w:val="24"/>
          <w:szCs w:val="24"/>
        </w:rPr>
      </w:pPr>
      <w:r>
        <w:rPr>
          <w:rFonts w:hint="eastAsia"/>
          <w:sz w:val="24"/>
          <w:szCs w:val="24"/>
        </w:rPr>
        <w:t>联系电话：15162762416。</w:t>
      </w:r>
    </w:p>
    <w:p w14:paraId="014F87E1">
      <w:pPr>
        <w:spacing w:line="420" w:lineRule="exact"/>
        <w:ind w:firstLine="484" w:firstLineChars="202"/>
        <w:rPr>
          <w:sz w:val="24"/>
          <w:szCs w:val="24"/>
        </w:rPr>
      </w:pPr>
      <w:r>
        <w:rPr>
          <w:rFonts w:hint="eastAsia"/>
          <w:sz w:val="24"/>
          <w:szCs w:val="24"/>
        </w:rPr>
        <w:t>（2）采购代理机构信息：</w:t>
      </w:r>
    </w:p>
    <w:p w14:paraId="631C8533">
      <w:pPr>
        <w:spacing w:line="420" w:lineRule="exact"/>
        <w:ind w:firstLine="484" w:firstLineChars="202"/>
        <w:rPr>
          <w:sz w:val="24"/>
          <w:szCs w:val="24"/>
        </w:rPr>
      </w:pPr>
      <w:r>
        <w:rPr>
          <w:rFonts w:hint="eastAsia"/>
          <w:sz w:val="24"/>
          <w:szCs w:val="24"/>
        </w:rPr>
        <w:t>名称：南通辉华企业管理咨询有限公司；</w:t>
      </w:r>
    </w:p>
    <w:p w14:paraId="582ED3CA">
      <w:pPr>
        <w:spacing w:line="420" w:lineRule="exact"/>
        <w:ind w:firstLine="484" w:firstLineChars="202"/>
        <w:rPr>
          <w:sz w:val="24"/>
          <w:szCs w:val="24"/>
        </w:rPr>
      </w:pPr>
      <w:r>
        <w:rPr>
          <w:rFonts w:hint="eastAsia"/>
          <w:sz w:val="24"/>
          <w:szCs w:val="24"/>
        </w:rPr>
        <w:t>地址：南通市崇川区光明南路2号江城大厦3幢三层；</w:t>
      </w:r>
    </w:p>
    <w:p w14:paraId="177FBEA8">
      <w:pPr>
        <w:spacing w:line="420" w:lineRule="exact"/>
        <w:ind w:firstLine="484" w:firstLineChars="202"/>
        <w:rPr>
          <w:sz w:val="24"/>
          <w:szCs w:val="24"/>
        </w:rPr>
      </w:pPr>
      <w:r>
        <w:rPr>
          <w:rFonts w:hint="eastAsia"/>
          <w:sz w:val="24"/>
          <w:szCs w:val="24"/>
        </w:rPr>
        <w:t>联系人：戴健秋；</w:t>
      </w:r>
    </w:p>
    <w:p w14:paraId="1AC1F772">
      <w:pPr>
        <w:spacing w:line="420" w:lineRule="exact"/>
        <w:ind w:firstLine="484" w:firstLineChars="202"/>
        <w:rPr>
          <w:sz w:val="24"/>
          <w:szCs w:val="24"/>
        </w:rPr>
      </w:pPr>
      <w:r>
        <w:rPr>
          <w:rFonts w:hint="eastAsia"/>
          <w:sz w:val="24"/>
          <w:szCs w:val="24"/>
        </w:rPr>
        <w:t>联系电话：0513-80100399、18806297798。</w:t>
      </w:r>
    </w:p>
    <w:p w14:paraId="1E3E7DAC">
      <w:pPr>
        <w:spacing w:line="420" w:lineRule="exact"/>
        <w:ind w:firstLine="485" w:firstLineChars="202"/>
        <w:outlineLvl w:val="1"/>
        <w:rPr>
          <w:sz w:val="24"/>
          <w:szCs w:val="24"/>
        </w:rPr>
      </w:pPr>
      <w:r>
        <w:rPr>
          <w:rFonts w:hint="eastAsia" w:cs="宋体"/>
          <w:b/>
          <w:bCs/>
          <w:kern w:val="0"/>
          <w:sz w:val="24"/>
          <w:szCs w:val="24"/>
        </w:rPr>
        <w:t>二、《质疑函》的受理和回复</w:t>
      </w:r>
    </w:p>
    <w:p w14:paraId="5E67FE3C">
      <w:pPr>
        <w:spacing w:line="420" w:lineRule="exact"/>
        <w:ind w:firstLine="484" w:firstLineChars="202"/>
        <w:rPr>
          <w:sz w:val="24"/>
          <w:szCs w:val="24"/>
        </w:rPr>
      </w:pPr>
      <w:r>
        <w:rPr>
          <w:sz w:val="24"/>
          <w:szCs w:val="24"/>
        </w:rPr>
        <w:t>1.</w:t>
      </w:r>
      <w:r>
        <w:rPr>
          <w:rFonts w:hint="eastAsia" w:cs="宋体"/>
          <w:sz w:val="24"/>
          <w:szCs w:val="24"/>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569119F7">
      <w:pPr>
        <w:spacing w:line="420" w:lineRule="exact"/>
        <w:ind w:firstLine="484" w:firstLineChars="202"/>
        <w:rPr>
          <w:sz w:val="24"/>
          <w:szCs w:val="24"/>
        </w:rPr>
      </w:pPr>
      <w:r>
        <w:rPr>
          <w:sz w:val="24"/>
          <w:szCs w:val="24"/>
        </w:rPr>
        <w:t>2.</w:t>
      </w:r>
      <w:r>
        <w:rPr>
          <w:rFonts w:hint="eastAsia" w:cs="宋体"/>
          <w:sz w:val="24"/>
          <w:szCs w:val="24"/>
        </w:rPr>
        <w:t>对不符合提出质疑要求的，出具《质疑退回通知书》并提出相关补充材料要求，质疑人未在规定的时间内提供补充佐证材料的，视同放弃质疑。</w:t>
      </w:r>
    </w:p>
    <w:p w14:paraId="179DEE3A">
      <w:pPr>
        <w:spacing w:line="420" w:lineRule="exact"/>
        <w:ind w:firstLine="484" w:firstLineChars="202"/>
        <w:rPr>
          <w:sz w:val="24"/>
          <w:szCs w:val="24"/>
        </w:rPr>
      </w:pPr>
      <w:r>
        <w:rPr>
          <w:sz w:val="24"/>
          <w:szCs w:val="24"/>
        </w:rPr>
        <w:t>3.</w:t>
      </w:r>
      <w:r>
        <w:rPr>
          <w:rFonts w:hint="eastAsia"/>
          <w:sz w:val="24"/>
          <w:szCs w:val="24"/>
        </w:rPr>
        <w:t>采购人或</w:t>
      </w:r>
      <w:r>
        <w:rPr>
          <w:rFonts w:hint="eastAsia" w:cs="宋体"/>
          <w:sz w:val="24"/>
          <w:szCs w:val="24"/>
        </w:rPr>
        <w:t>采购代理机构有权将质疑人的质疑相关材料提供给相关专家或谈判小组审核，并将审核意见回复质疑人。</w:t>
      </w:r>
    </w:p>
    <w:p w14:paraId="20C8E437">
      <w:pPr>
        <w:spacing w:line="420" w:lineRule="exact"/>
        <w:ind w:firstLine="484" w:firstLineChars="202"/>
        <w:rPr>
          <w:sz w:val="24"/>
          <w:szCs w:val="24"/>
        </w:rPr>
      </w:pPr>
      <w:r>
        <w:rPr>
          <w:rFonts w:hint="eastAsia" w:cs="宋体"/>
          <w:sz w:val="24"/>
          <w:szCs w:val="24"/>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55E7CDD9">
      <w:pPr>
        <w:spacing w:line="420" w:lineRule="exact"/>
        <w:ind w:firstLine="484" w:firstLineChars="202"/>
        <w:rPr>
          <w:sz w:val="24"/>
          <w:szCs w:val="24"/>
        </w:rPr>
      </w:pPr>
      <w:r>
        <w:rPr>
          <w:sz w:val="24"/>
          <w:szCs w:val="24"/>
        </w:rPr>
        <w:t>4.</w:t>
      </w:r>
      <w:r>
        <w:rPr>
          <w:rFonts w:hint="eastAsia" w:cs="宋体"/>
          <w:sz w:val="24"/>
          <w:szCs w:val="24"/>
        </w:rPr>
        <w:t>因质疑情况复杂的，组织论证或审查时间较长的，采购人或采购代理机构以书面形式通知质疑人，可适当延长质疑回复处理时间。</w:t>
      </w:r>
    </w:p>
    <w:p w14:paraId="38D0DCB1">
      <w:pPr>
        <w:spacing w:line="420" w:lineRule="exact"/>
        <w:ind w:firstLine="485" w:firstLineChars="202"/>
        <w:outlineLvl w:val="1"/>
        <w:rPr>
          <w:sz w:val="24"/>
          <w:szCs w:val="24"/>
        </w:rPr>
      </w:pPr>
      <w:r>
        <w:rPr>
          <w:rFonts w:hint="eastAsia" w:cs="宋体"/>
          <w:b/>
          <w:bCs/>
          <w:kern w:val="0"/>
          <w:sz w:val="24"/>
          <w:szCs w:val="24"/>
        </w:rPr>
        <w:t>三、质疑处理</w:t>
      </w:r>
    </w:p>
    <w:p w14:paraId="3FAF4A7E">
      <w:pPr>
        <w:spacing w:line="420" w:lineRule="exact"/>
        <w:ind w:firstLine="484" w:firstLineChars="202"/>
        <w:rPr>
          <w:rFonts w:cs="宋体"/>
          <w:sz w:val="24"/>
          <w:szCs w:val="24"/>
        </w:rPr>
      </w:pPr>
      <w:r>
        <w:rPr>
          <w:sz w:val="24"/>
          <w:szCs w:val="24"/>
        </w:rPr>
        <w:t>1.</w:t>
      </w:r>
      <w:r>
        <w:rPr>
          <w:rFonts w:hint="eastAsia" w:cs="宋体"/>
          <w:sz w:val="24"/>
          <w:szCs w:val="24"/>
        </w:rPr>
        <w:t>质疑成立的处理：</w:t>
      </w:r>
    </w:p>
    <w:p w14:paraId="42C99598">
      <w:pPr>
        <w:spacing w:line="420" w:lineRule="exact"/>
        <w:ind w:firstLine="484" w:firstLineChars="202"/>
        <w:rPr>
          <w:sz w:val="24"/>
          <w:szCs w:val="24"/>
        </w:rPr>
      </w:pPr>
      <w:r>
        <w:rPr>
          <w:rFonts w:hint="eastAsia" w:cs="宋体"/>
          <w:sz w:val="24"/>
          <w:szCs w:val="24"/>
        </w:rPr>
        <w:t>采购人或采购代理机构终止采购，</w:t>
      </w:r>
      <w:bookmarkStart w:id="119" w:name="_Hlk84035436"/>
      <w:r>
        <w:rPr>
          <w:rFonts w:hint="eastAsia" w:cs="宋体"/>
          <w:sz w:val="24"/>
          <w:szCs w:val="24"/>
        </w:rPr>
        <w:t>并建议监管部门给相关当事人予以处理。</w:t>
      </w:r>
      <w:bookmarkEnd w:id="119"/>
    </w:p>
    <w:p w14:paraId="4A7CCF8B">
      <w:pPr>
        <w:spacing w:line="420" w:lineRule="exact"/>
        <w:ind w:firstLine="484" w:firstLineChars="202"/>
        <w:rPr>
          <w:sz w:val="24"/>
          <w:szCs w:val="24"/>
        </w:rPr>
      </w:pPr>
      <w:r>
        <w:rPr>
          <w:sz w:val="24"/>
          <w:szCs w:val="24"/>
        </w:rPr>
        <w:t>2.</w:t>
      </w:r>
      <w:r>
        <w:rPr>
          <w:rFonts w:hint="eastAsia" w:cs="宋体"/>
          <w:sz w:val="24"/>
          <w:szCs w:val="24"/>
        </w:rPr>
        <w:t>质疑不成立的处理：</w:t>
      </w:r>
    </w:p>
    <w:p w14:paraId="3132F3D8">
      <w:pPr>
        <w:spacing w:line="420" w:lineRule="exact"/>
        <w:ind w:firstLine="484" w:firstLineChars="202"/>
        <w:rPr>
          <w:sz w:val="24"/>
          <w:szCs w:val="24"/>
        </w:rPr>
      </w:pPr>
      <w:r>
        <w:rPr>
          <w:rFonts w:hint="eastAsia"/>
          <w:sz w:val="24"/>
          <w:szCs w:val="24"/>
        </w:rPr>
        <w:t>（1）</w:t>
      </w:r>
      <w:r>
        <w:rPr>
          <w:rFonts w:hint="eastAsia" w:cs="宋体"/>
          <w:sz w:val="24"/>
          <w:szCs w:val="24"/>
        </w:rPr>
        <w:t>质疑人书面《申请撤回质疑函》的，不作违约处理。</w:t>
      </w:r>
    </w:p>
    <w:p w14:paraId="0AC171F9">
      <w:pPr>
        <w:spacing w:line="420" w:lineRule="exact"/>
        <w:ind w:firstLine="484" w:firstLineChars="202"/>
        <w:rPr>
          <w:sz w:val="24"/>
          <w:szCs w:val="24"/>
        </w:rPr>
      </w:pPr>
      <w:r>
        <w:rPr>
          <w:rFonts w:hint="eastAsia"/>
          <w:sz w:val="24"/>
          <w:szCs w:val="24"/>
        </w:rPr>
        <w:t>（2）</w:t>
      </w:r>
      <w:r>
        <w:rPr>
          <w:rFonts w:hint="eastAsia" w:cs="宋体"/>
          <w:sz w:val="24"/>
          <w:szCs w:val="24"/>
        </w:rPr>
        <w:t>质疑人在规定的时间内不配合进行质疑调查处理的，按自动撤回《质疑函》处理。</w:t>
      </w:r>
    </w:p>
    <w:p w14:paraId="3A3E2264">
      <w:pPr>
        <w:spacing w:line="420" w:lineRule="exact"/>
        <w:ind w:firstLine="484" w:firstLineChars="202"/>
        <w:rPr>
          <w:sz w:val="24"/>
          <w:szCs w:val="24"/>
        </w:rPr>
      </w:pPr>
      <w:r>
        <w:rPr>
          <w:rFonts w:hint="eastAsia"/>
          <w:sz w:val="24"/>
          <w:szCs w:val="24"/>
        </w:rPr>
        <w:t>（3）</w:t>
      </w:r>
      <w:r>
        <w:rPr>
          <w:rFonts w:hint="eastAsia" w:cs="宋体"/>
          <w:sz w:val="24"/>
          <w:szCs w:val="24"/>
        </w:rPr>
        <w:t>质疑人虽提供了与事实依据相关的佐证材料，但不能证明其质疑成立的，采购人或采购代理机构请质疑人补充相关佐证材料，但</w:t>
      </w:r>
      <w:bookmarkStart w:id="120" w:name="_Hlk84035676"/>
      <w:r>
        <w:rPr>
          <w:rFonts w:hint="eastAsia" w:cs="宋体"/>
          <w:sz w:val="24"/>
          <w:szCs w:val="24"/>
        </w:rPr>
        <w:t>仍不能证明其质疑成立的，</w:t>
      </w:r>
      <w:bookmarkEnd w:id="120"/>
      <w:r>
        <w:rPr>
          <w:rFonts w:hint="eastAsia" w:cs="宋体"/>
          <w:sz w:val="24"/>
          <w:szCs w:val="24"/>
        </w:rPr>
        <w:t>依法回复质疑不成立。</w:t>
      </w:r>
    </w:p>
    <w:p w14:paraId="7CBA345C">
      <w:pPr>
        <w:spacing w:line="420" w:lineRule="exact"/>
        <w:ind w:firstLine="484" w:firstLineChars="202"/>
        <w:rPr>
          <w:rFonts w:cs="宋体"/>
          <w:sz w:val="24"/>
          <w:szCs w:val="24"/>
        </w:rPr>
      </w:pPr>
      <w:r>
        <w:rPr>
          <w:rFonts w:hint="eastAsia"/>
          <w:sz w:val="24"/>
          <w:szCs w:val="24"/>
        </w:rPr>
        <w:t>（4）</w:t>
      </w:r>
      <w:r>
        <w:rPr>
          <w:rFonts w:hint="eastAsia" w:cs="宋体"/>
          <w:sz w:val="24"/>
          <w:szCs w:val="24"/>
        </w:rPr>
        <w:t>经采购人或采购代理机构、相关专家或谈判小组认定无事实依据的质疑，经其他供应商举证无依据的质疑，依法回复质疑不成立。</w:t>
      </w:r>
    </w:p>
    <w:p w14:paraId="0E77AC0E">
      <w:pPr>
        <w:spacing w:line="420" w:lineRule="exact"/>
        <w:ind w:firstLine="484" w:firstLineChars="202"/>
        <w:rPr>
          <w:sz w:val="24"/>
          <w:szCs w:val="24"/>
        </w:rPr>
      </w:pPr>
      <w:r>
        <w:rPr>
          <w:rFonts w:hint="eastAsia"/>
          <w:sz w:val="24"/>
          <w:szCs w:val="24"/>
        </w:rPr>
        <w:t>（5）</w:t>
      </w:r>
      <w:r>
        <w:rPr>
          <w:rFonts w:hint="eastAsia" w:cs="宋体"/>
          <w:sz w:val="24"/>
          <w:szCs w:val="24"/>
        </w:rPr>
        <w:t>质疑人明显有违事实的、使用虚假材料捏造事实的，以恶意方式质疑的，承担法律责任，采购人视情在区、市、省、国家级等相关媒体予以披露，并建议监管部门对该等质疑人依法予以处理，如</w:t>
      </w:r>
      <w:bookmarkStart w:id="121" w:name="_Hlk84035774"/>
      <w:r>
        <w:rPr>
          <w:rFonts w:hint="eastAsia" w:cs="宋体"/>
          <w:sz w:val="24"/>
          <w:szCs w:val="24"/>
        </w:rPr>
        <w:t>列入失信名单</w:t>
      </w:r>
      <w:bookmarkEnd w:id="121"/>
      <w:r>
        <w:rPr>
          <w:rFonts w:hint="eastAsia" w:cs="宋体"/>
          <w:sz w:val="24"/>
          <w:szCs w:val="24"/>
        </w:rPr>
        <w:t>等。</w:t>
      </w:r>
    </w:p>
    <w:p w14:paraId="201047AA">
      <w:pPr>
        <w:spacing w:line="420" w:lineRule="exact"/>
        <w:ind w:firstLine="485" w:firstLineChars="202"/>
        <w:outlineLvl w:val="1"/>
        <w:rPr>
          <w:sz w:val="24"/>
          <w:szCs w:val="24"/>
        </w:rPr>
      </w:pPr>
      <w:r>
        <w:rPr>
          <w:rFonts w:hint="eastAsia" w:cs="宋体"/>
          <w:b/>
          <w:bCs/>
          <w:kern w:val="0"/>
          <w:sz w:val="24"/>
          <w:szCs w:val="24"/>
        </w:rPr>
        <w:t>四、关于投诉</w:t>
      </w:r>
    </w:p>
    <w:p w14:paraId="2B9A0F8A">
      <w:pPr>
        <w:spacing w:line="420" w:lineRule="exact"/>
        <w:ind w:firstLine="484" w:firstLineChars="202"/>
        <w:rPr>
          <w:sz w:val="24"/>
          <w:szCs w:val="24"/>
        </w:rPr>
      </w:pPr>
      <w:r>
        <w:rPr>
          <w:rFonts w:hint="eastAsia" w:cs="宋体"/>
          <w:sz w:val="24"/>
          <w:szCs w:val="24"/>
        </w:rPr>
        <w:t>质疑供应商对采购人或采购代理机构的答复不满意的，采购人或代理机构未在规定的时间内作出答复的，可以在答复期满后</w:t>
      </w:r>
      <w:r>
        <w:rPr>
          <w:sz w:val="24"/>
          <w:szCs w:val="24"/>
        </w:rPr>
        <w:t>15</w:t>
      </w:r>
      <w:r>
        <w:rPr>
          <w:rFonts w:hint="eastAsia" w:cs="宋体"/>
          <w:sz w:val="24"/>
          <w:szCs w:val="24"/>
        </w:rPr>
        <w:t>个工作日内向崇川区政府采购监督管理部门投诉。</w:t>
      </w:r>
    </w:p>
    <w:p w14:paraId="5052DF3F">
      <w:pPr>
        <w:widowControl/>
        <w:spacing w:line="20" w:lineRule="exact"/>
        <w:jc w:val="left"/>
        <w:rPr>
          <w:rFonts w:cs="宋体"/>
          <w:sz w:val="24"/>
          <w:szCs w:val="24"/>
        </w:rPr>
      </w:pPr>
      <w:r>
        <w:rPr>
          <w:rFonts w:cs="宋体"/>
          <w:sz w:val="24"/>
          <w:szCs w:val="24"/>
        </w:rPr>
        <w:br w:type="page"/>
      </w:r>
    </w:p>
    <w:p w14:paraId="29F66784">
      <w:pPr>
        <w:tabs>
          <w:tab w:val="left" w:pos="1050"/>
          <w:tab w:val="right" w:leader="dot" w:pos="9402"/>
        </w:tabs>
        <w:spacing w:line="600" w:lineRule="exact"/>
        <w:jc w:val="center"/>
        <w:outlineLvl w:val="0"/>
        <w:rPr>
          <w:b/>
          <w:w w:val="80"/>
          <w:sz w:val="36"/>
          <w:szCs w:val="36"/>
        </w:rPr>
      </w:pPr>
      <w:bookmarkStart w:id="122" w:name="_Toc363573860"/>
      <w:r>
        <w:rPr>
          <w:b/>
          <w:w w:val="80"/>
          <w:sz w:val="36"/>
          <w:szCs w:val="36"/>
        </w:rPr>
        <w:t>第</w:t>
      </w:r>
      <w:r>
        <w:rPr>
          <w:rFonts w:hint="eastAsia"/>
          <w:b/>
          <w:w w:val="80"/>
          <w:sz w:val="36"/>
          <w:szCs w:val="36"/>
        </w:rPr>
        <w:t>八</w:t>
      </w:r>
      <w:r>
        <w:rPr>
          <w:b/>
          <w:w w:val="80"/>
          <w:sz w:val="36"/>
          <w:szCs w:val="36"/>
        </w:rPr>
        <w:t>章</w:t>
      </w:r>
      <w:r>
        <w:rPr>
          <w:rFonts w:hint="eastAsia"/>
          <w:b/>
          <w:w w:val="80"/>
          <w:sz w:val="36"/>
          <w:szCs w:val="36"/>
        </w:rPr>
        <w:t xml:space="preserve"> </w:t>
      </w:r>
      <w:r>
        <w:rPr>
          <w:b/>
          <w:w w:val="80"/>
          <w:sz w:val="36"/>
          <w:szCs w:val="36"/>
        </w:rPr>
        <w:t>竞争性谈判响应文件</w:t>
      </w:r>
      <w:r>
        <w:rPr>
          <w:rFonts w:hint="eastAsia"/>
          <w:b/>
          <w:w w:val="80"/>
          <w:sz w:val="36"/>
          <w:szCs w:val="36"/>
        </w:rPr>
        <w:t>的组成和</w:t>
      </w:r>
      <w:r>
        <w:rPr>
          <w:b/>
          <w:w w:val="80"/>
          <w:sz w:val="36"/>
          <w:szCs w:val="36"/>
        </w:rPr>
        <w:t>格式</w:t>
      </w:r>
      <w:bookmarkEnd w:id="122"/>
    </w:p>
    <w:p w14:paraId="6CEDE9B9">
      <w:pPr>
        <w:adjustRightInd w:val="0"/>
        <w:snapToGrid w:val="0"/>
        <w:spacing w:line="420" w:lineRule="exact"/>
        <w:ind w:firstLine="485" w:firstLineChars="202"/>
        <w:jc w:val="left"/>
        <w:outlineLvl w:val="1"/>
        <w:rPr>
          <w:b/>
          <w:bCs/>
          <w:sz w:val="24"/>
          <w:szCs w:val="24"/>
        </w:rPr>
      </w:pPr>
      <w:r>
        <w:rPr>
          <w:b/>
          <w:bCs/>
          <w:sz w:val="24"/>
          <w:szCs w:val="24"/>
        </w:rPr>
        <w:t>一、竞争性谈判响应文件</w:t>
      </w:r>
      <w:r>
        <w:rPr>
          <w:rFonts w:hint="eastAsia"/>
          <w:b/>
          <w:bCs/>
          <w:sz w:val="24"/>
          <w:szCs w:val="24"/>
        </w:rPr>
        <w:t>组成</w:t>
      </w:r>
    </w:p>
    <w:p w14:paraId="7E2C55F0">
      <w:pPr>
        <w:snapToGrid w:val="0"/>
        <w:spacing w:line="420" w:lineRule="exact"/>
        <w:ind w:firstLine="480" w:firstLineChars="200"/>
        <w:rPr>
          <w:sz w:val="24"/>
          <w:szCs w:val="24"/>
        </w:rPr>
      </w:pPr>
      <w:r>
        <w:rPr>
          <w:sz w:val="24"/>
          <w:szCs w:val="24"/>
        </w:rPr>
        <w:t>1.资格审查材料文件（一个密封包，含一正两副文件）</w:t>
      </w:r>
    </w:p>
    <w:p w14:paraId="05E9E295">
      <w:pPr>
        <w:snapToGrid w:val="0"/>
        <w:spacing w:line="420" w:lineRule="exact"/>
        <w:ind w:firstLine="480" w:firstLineChars="200"/>
        <w:rPr>
          <w:sz w:val="24"/>
          <w:szCs w:val="24"/>
        </w:rPr>
      </w:pPr>
      <w:r>
        <w:rPr>
          <w:sz w:val="24"/>
          <w:szCs w:val="24"/>
        </w:rPr>
        <w:t>2.技术响应文件（一个密封包，内含一正两副文件）</w:t>
      </w:r>
    </w:p>
    <w:p w14:paraId="78A6347C">
      <w:pPr>
        <w:snapToGrid w:val="0"/>
        <w:spacing w:line="420" w:lineRule="exact"/>
        <w:ind w:firstLine="480" w:firstLineChars="200"/>
        <w:rPr>
          <w:sz w:val="24"/>
          <w:szCs w:val="24"/>
        </w:rPr>
      </w:pPr>
      <w:r>
        <w:rPr>
          <w:sz w:val="24"/>
          <w:szCs w:val="24"/>
        </w:rPr>
        <w:t>3.报价响应文件（一个密封包，内含一正两副文件）</w:t>
      </w:r>
    </w:p>
    <w:p w14:paraId="1B386865">
      <w:pPr>
        <w:snapToGrid w:val="0"/>
        <w:spacing w:line="420" w:lineRule="exact"/>
        <w:ind w:firstLine="480" w:firstLineChars="200"/>
        <w:outlineLvl w:val="1"/>
        <w:rPr>
          <w:b/>
          <w:sz w:val="24"/>
          <w:szCs w:val="24"/>
        </w:rPr>
      </w:pPr>
      <w:r>
        <w:rPr>
          <w:rFonts w:hint="eastAsia"/>
          <w:b/>
          <w:sz w:val="24"/>
          <w:szCs w:val="24"/>
        </w:rPr>
        <w:t>二</w:t>
      </w:r>
      <w:r>
        <w:rPr>
          <w:b/>
          <w:sz w:val="24"/>
          <w:szCs w:val="24"/>
        </w:rPr>
        <w:t>、竞争性谈判响应文件的内容：</w:t>
      </w:r>
    </w:p>
    <w:p w14:paraId="5E099B2B">
      <w:pPr>
        <w:tabs>
          <w:tab w:val="left" w:pos="720"/>
        </w:tabs>
        <w:spacing w:line="420" w:lineRule="exact"/>
        <w:ind w:firstLine="485" w:firstLineChars="202"/>
        <w:outlineLvl w:val="2"/>
        <w:rPr>
          <w:b/>
          <w:sz w:val="24"/>
          <w:szCs w:val="24"/>
        </w:rPr>
      </w:pPr>
      <w:r>
        <w:rPr>
          <w:rFonts w:hint="eastAsia"/>
          <w:b/>
          <w:sz w:val="24"/>
          <w:szCs w:val="24"/>
        </w:rPr>
        <w:t>（一）</w:t>
      </w:r>
      <w:r>
        <w:rPr>
          <w:b/>
          <w:sz w:val="24"/>
          <w:szCs w:val="24"/>
        </w:rPr>
        <w:t>资格审查材料文件</w:t>
      </w:r>
      <w:r>
        <w:rPr>
          <w:sz w:val="24"/>
          <w:szCs w:val="24"/>
        </w:rPr>
        <w:t>（一个密封包，含一正两副文件）</w:t>
      </w:r>
    </w:p>
    <w:p w14:paraId="3192AE78">
      <w:pPr>
        <w:snapToGrid w:val="0"/>
        <w:spacing w:line="420" w:lineRule="exact"/>
        <w:ind w:firstLine="492" w:firstLineChars="205"/>
        <w:rPr>
          <w:b/>
          <w:bCs/>
          <w:sz w:val="24"/>
          <w:szCs w:val="24"/>
        </w:rPr>
      </w:pPr>
      <w:r>
        <w:rPr>
          <w:b/>
          <w:bCs/>
          <w:sz w:val="24"/>
          <w:szCs w:val="24"/>
        </w:rPr>
        <w:t>【特别提醒】</w:t>
      </w:r>
      <w:r>
        <w:rPr>
          <w:rFonts w:hint="eastAsia"/>
          <w:b/>
          <w:bCs/>
          <w:sz w:val="24"/>
          <w:szCs w:val="24"/>
        </w:rPr>
        <w:t>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r>
        <w:rPr>
          <w:b/>
          <w:bCs/>
          <w:sz w:val="24"/>
          <w:szCs w:val="24"/>
        </w:rPr>
        <w:t>。</w:t>
      </w:r>
    </w:p>
    <w:p w14:paraId="708D99B5">
      <w:pPr>
        <w:snapToGrid w:val="0"/>
        <w:spacing w:line="420" w:lineRule="exact"/>
        <w:ind w:firstLine="491" w:firstLineChars="205"/>
        <w:rPr>
          <w:sz w:val="24"/>
          <w:szCs w:val="24"/>
        </w:rPr>
      </w:pPr>
      <w:r>
        <w:rPr>
          <w:rFonts w:hint="eastAsia"/>
          <w:sz w:val="24"/>
          <w:szCs w:val="24"/>
        </w:rPr>
        <w:t>1.供应商须提供《资格文件的声明函》（须加盖公章）。</w:t>
      </w:r>
    </w:p>
    <w:p w14:paraId="034E9A83">
      <w:pPr>
        <w:snapToGrid w:val="0"/>
        <w:spacing w:line="420" w:lineRule="exact"/>
        <w:ind w:firstLine="491" w:firstLineChars="205"/>
        <w:rPr>
          <w:sz w:val="24"/>
          <w:szCs w:val="24"/>
        </w:rPr>
      </w:pPr>
      <w:r>
        <w:rPr>
          <w:rFonts w:hint="eastAsia"/>
          <w:sz w:val="24"/>
          <w:szCs w:val="24"/>
        </w:rPr>
        <w:t>2.提供供应商的《营业执照》（副本）原件的复印件（须加盖公章）。</w:t>
      </w:r>
    </w:p>
    <w:p w14:paraId="798A3A79">
      <w:pPr>
        <w:snapToGrid w:val="0"/>
        <w:spacing w:line="420" w:lineRule="exact"/>
        <w:ind w:firstLine="491" w:firstLineChars="205"/>
        <w:rPr>
          <w:sz w:val="24"/>
          <w:szCs w:val="24"/>
        </w:rPr>
      </w:pPr>
      <w:r>
        <w:rPr>
          <w:rFonts w:hint="eastAsia"/>
          <w:sz w:val="24"/>
          <w:szCs w:val="24"/>
        </w:rPr>
        <w:t>3.提供供应商的法定代表人的身份证明（须加盖公章）。</w:t>
      </w:r>
    </w:p>
    <w:p w14:paraId="46F23E94">
      <w:pPr>
        <w:snapToGrid w:val="0"/>
        <w:spacing w:line="420" w:lineRule="exact"/>
        <w:ind w:firstLine="491" w:firstLineChars="205"/>
        <w:rPr>
          <w:sz w:val="24"/>
          <w:szCs w:val="24"/>
        </w:rPr>
      </w:pPr>
      <w:r>
        <w:rPr>
          <w:rFonts w:hint="eastAsia"/>
          <w:sz w:val="24"/>
          <w:szCs w:val="24"/>
        </w:rPr>
        <w:t>4.非法定代表人而是被委托受权人参加谈判响应的，必须提供法定代表人签名或盖章的授权委托书（须加盖公章）。</w:t>
      </w:r>
    </w:p>
    <w:p w14:paraId="56577FAB">
      <w:pPr>
        <w:snapToGrid w:val="0"/>
        <w:spacing w:line="420" w:lineRule="exact"/>
        <w:ind w:firstLine="491" w:firstLineChars="205"/>
        <w:rPr>
          <w:sz w:val="24"/>
          <w:szCs w:val="24"/>
        </w:rPr>
      </w:pPr>
      <w:r>
        <w:rPr>
          <w:rFonts w:hint="eastAsia"/>
          <w:sz w:val="24"/>
          <w:szCs w:val="24"/>
        </w:rPr>
        <w:t>5.提供供应商依法缴纳“税收”和“社会保障资金”的这2项证明材料原件的复印件（成立不满12个月不需提供。）（须加盖公章）。</w:t>
      </w:r>
    </w:p>
    <w:p w14:paraId="75C99D08">
      <w:pPr>
        <w:snapToGrid w:val="0"/>
        <w:spacing w:line="420" w:lineRule="exact"/>
        <w:ind w:firstLine="491" w:firstLineChars="205"/>
        <w:rPr>
          <w:sz w:val="24"/>
          <w:szCs w:val="24"/>
        </w:rPr>
      </w:pPr>
      <w:r>
        <w:rPr>
          <w:rFonts w:hint="eastAsia"/>
          <w:sz w:val="24"/>
          <w:szCs w:val="24"/>
        </w:rPr>
        <w:t>6.提供具有针对本项目履行合同所必需的设备和专业技术能力的承诺函</w:t>
      </w:r>
      <w:bookmarkStart w:id="123" w:name="_Hlk148319936"/>
      <w:r>
        <w:rPr>
          <w:rFonts w:hint="eastAsia"/>
          <w:sz w:val="24"/>
          <w:szCs w:val="24"/>
        </w:rPr>
        <w:t>（须加盖公章）</w:t>
      </w:r>
      <w:bookmarkEnd w:id="123"/>
      <w:r>
        <w:rPr>
          <w:rFonts w:hint="eastAsia"/>
          <w:sz w:val="24"/>
          <w:szCs w:val="24"/>
        </w:rPr>
        <w:t>。</w:t>
      </w:r>
    </w:p>
    <w:p w14:paraId="605F6444">
      <w:pPr>
        <w:snapToGrid w:val="0"/>
        <w:spacing w:line="420" w:lineRule="exact"/>
        <w:ind w:firstLine="491" w:firstLineChars="205"/>
        <w:rPr>
          <w:sz w:val="24"/>
          <w:szCs w:val="24"/>
        </w:rPr>
      </w:pPr>
      <w:r>
        <w:rPr>
          <w:rFonts w:hint="eastAsia"/>
          <w:sz w:val="24"/>
          <w:szCs w:val="24"/>
        </w:rPr>
        <w:t>7.供应商须提供参与本次项目政府采购活动前三年内在经营活动中没有重大违法记录的书面《无重大违法记录声明函》（须加盖公章）。</w:t>
      </w:r>
    </w:p>
    <w:p w14:paraId="46966702">
      <w:pPr>
        <w:adjustRightInd w:val="0"/>
        <w:snapToGrid w:val="0"/>
        <w:spacing w:line="420" w:lineRule="exact"/>
        <w:ind w:firstLine="484" w:firstLineChars="202"/>
        <w:jc w:val="left"/>
        <w:rPr>
          <w:rFonts w:cs="宋体"/>
          <w:sz w:val="24"/>
          <w:szCs w:val="24"/>
        </w:rPr>
      </w:pPr>
      <w:r>
        <w:rPr>
          <w:sz w:val="24"/>
          <w:szCs w:val="24"/>
        </w:rPr>
        <w:t>8</w:t>
      </w:r>
      <w:r>
        <w:rPr>
          <w:rFonts w:hint="eastAsia"/>
          <w:sz w:val="24"/>
          <w:szCs w:val="24"/>
        </w:rPr>
        <w:t>.提供供应商出具的《中小企业声明函》或《残疾人福利性单位声明函》（须加盖公章）。</w:t>
      </w:r>
    </w:p>
    <w:p w14:paraId="12FA9D8F">
      <w:pPr>
        <w:tabs>
          <w:tab w:val="left" w:pos="720"/>
        </w:tabs>
        <w:spacing w:line="420" w:lineRule="exact"/>
        <w:ind w:firstLine="485" w:firstLineChars="202"/>
        <w:outlineLvl w:val="2"/>
        <w:rPr>
          <w:sz w:val="24"/>
          <w:szCs w:val="24"/>
        </w:rPr>
      </w:pPr>
      <w:r>
        <w:rPr>
          <w:rFonts w:hint="eastAsia"/>
          <w:b/>
          <w:sz w:val="24"/>
          <w:szCs w:val="24"/>
        </w:rPr>
        <w:t>（二）</w:t>
      </w:r>
      <w:r>
        <w:rPr>
          <w:b/>
          <w:sz w:val="24"/>
          <w:szCs w:val="24"/>
        </w:rPr>
        <w:t>技术响应文件</w:t>
      </w:r>
      <w:r>
        <w:rPr>
          <w:sz w:val="24"/>
          <w:szCs w:val="24"/>
        </w:rPr>
        <w:t>（一个密封包，内含一正两副文件）</w:t>
      </w:r>
    </w:p>
    <w:p w14:paraId="337B24A8">
      <w:pPr>
        <w:spacing w:line="420" w:lineRule="exact"/>
        <w:ind w:firstLine="485" w:firstLineChars="202"/>
        <w:rPr>
          <w:b/>
          <w:bCs/>
          <w:sz w:val="24"/>
          <w:szCs w:val="24"/>
          <w:u w:val="thick" w:color="FF0000"/>
        </w:rPr>
      </w:pPr>
      <w:r>
        <w:rPr>
          <w:b/>
          <w:bCs/>
          <w:sz w:val="24"/>
          <w:szCs w:val="24"/>
        </w:rPr>
        <w:t>【特别提醒】</w:t>
      </w:r>
      <w:bookmarkStart w:id="124" w:name="_Hlk79545194"/>
      <w:r>
        <w:rPr>
          <w:b/>
          <w:bCs/>
          <w:sz w:val="24"/>
          <w:szCs w:val="24"/>
        </w:rPr>
        <w:t>以下技术竞争性谈判响应文件的内容，不得有缺陷或漏项。否则有可能被视为未实质性响应竞争性谈判文件要求而作无效谈判处理。同时，供应商应根据本</w:t>
      </w:r>
      <w:r>
        <w:rPr>
          <w:rFonts w:hint="eastAsia"/>
          <w:b/>
          <w:bCs/>
          <w:sz w:val="24"/>
          <w:szCs w:val="24"/>
        </w:rPr>
        <w:t>竞争性谈判文件</w:t>
      </w:r>
      <w:r>
        <w:rPr>
          <w:b/>
          <w:bCs/>
          <w:sz w:val="24"/>
          <w:szCs w:val="24"/>
        </w:rPr>
        <w:t>第三章“项目需求”提供的主要技术规范</w:t>
      </w:r>
      <w:r>
        <w:rPr>
          <w:rFonts w:hint="eastAsia"/>
          <w:b/>
          <w:bCs/>
          <w:sz w:val="24"/>
          <w:szCs w:val="24"/>
        </w:rPr>
        <w:t>、</w:t>
      </w:r>
      <w:r>
        <w:rPr>
          <w:b/>
          <w:bCs/>
          <w:sz w:val="24"/>
          <w:szCs w:val="24"/>
        </w:rPr>
        <w:t>标准等，</w:t>
      </w:r>
      <w:r>
        <w:rPr>
          <w:rFonts w:hint="eastAsia"/>
          <w:b/>
          <w:bCs/>
          <w:sz w:val="24"/>
          <w:szCs w:val="24"/>
        </w:rPr>
        <w:t>在</w:t>
      </w:r>
      <w:r>
        <w:rPr>
          <w:b/>
          <w:bCs/>
          <w:sz w:val="24"/>
          <w:szCs w:val="24"/>
          <w:u w:val="thick" w:color="FF0000"/>
        </w:rPr>
        <w:t>仔细阅读与理解</w:t>
      </w:r>
      <w:r>
        <w:rPr>
          <w:rFonts w:hint="eastAsia"/>
          <w:b/>
          <w:bCs/>
          <w:sz w:val="24"/>
          <w:szCs w:val="24"/>
          <w:u w:val="thick" w:color="FF0000"/>
        </w:rPr>
        <w:t>的基础上，根据</w:t>
      </w:r>
      <w:r>
        <w:rPr>
          <w:b/>
          <w:bCs/>
          <w:sz w:val="24"/>
          <w:szCs w:val="24"/>
          <w:u w:val="thick" w:color="FF0000"/>
        </w:rPr>
        <w:t>第四章评审方法内的评审细则</w:t>
      </w:r>
      <w:r>
        <w:rPr>
          <w:b/>
          <w:bCs/>
          <w:sz w:val="24"/>
          <w:szCs w:val="24"/>
        </w:rPr>
        <w:t>，编写编制竞争性谈判技术响应文件。</w:t>
      </w:r>
      <w:bookmarkEnd w:id="124"/>
    </w:p>
    <w:p w14:paraId="163A133B">
      <w:pPr>
        <w:tabs>
          <w:tab w:val="left" w:pos="720"/>
        </w:tabs>
        <w:spacing w:line="420" w:lineRule="exact"/>
        <w:ind w:firstLine="484" w:firstLineChars="202"/>
        <w:outlineLvl w:val="3"/>
        <w:rPr>
          <w:sz w:val="24"/>
          <w:szCs w:val="24"/>
        </w:rPr>
      </w:pPr>
      <w:r>
        <w:rPr>
          <w:sz w:val="24"/>
          <w:szCs w:val="24"/>
        </w:rPr>
        <w:t>1.</w:t>
      </w:r>
      <w:r>
        <w:rPr>
          <w:rFonts w:hint="eastAsia"/>
          <w:sz w:val="24"/>
          <w:szCs w:val="24"/>
        </w:rPr>
        <w:t>竞争性</w:t>
      </w:r>
      <w:r>
        <w:rPr>
          <w:sz w:val="24"/>
          <w:szCs w:val="24"/>
        </w:rPr>
        <w:t>谈判响应函；</w:t>
      </w:r>
      <w:bookmarkStart w:id="125" w:name="_Hlk47207098"/>
    </w:p>
    <w:p w14:paraId="2CEE2824">
      <w:pPr>
        <w:spacing w:line="420" w:lineRule="exact"/>
        <w:ind w:firstLine="484" w:firstLineChars="202"/>
        <w:outlineLvl w:val="3"/>
        <w:rPr>
          <w:sz w:val="24"/>
          <w:szCs w:val="24"/>
        </w:rPr>
      </w:pPr>
      <w:bookmarkStart w:id="126" w:name="_Hlk72060004"/>
      <w:r>
        <w:rPr>
          <w:sz w:val="24"/>
          <w:szCs w:val="24"/>
        </w:rPr>
        <w:t>2.技术响应文件：</w:t>
      </w:r>
    </w:p>
    <w:p w14:paraId="2D78F376">
      <w:pPr>
        <w:spacing w:line="420" w:lineRule="exact"/>
        <w:ind w:firstLine="484" w:firstLineChars="202"/>
        <w:rPr>
          <w:sz w:val="24"/>
          <w:szCs w:val="24"/>
        </w:rPr>
      </w:pPr>
      <w:bookmarkStart w:id="127" w:name="_Hlk229434556"/>
      <w:bookmarkStart w:id="128" w:name="_Hlk54901214"/>
      <w:r>
        <w:rPr>
          <w:rFonts w:hint="eastAsia"/>
          <w:sz w:val="24"/>
          <w:szCs w:val="24"/>
        </w:rPr>
        <w:t>（1）提供针对本项目须实质性响应的内容的综合应答表（格式，不得变动）。</w:t>
      </w:r>
    </w:p>
    <w:p w14:paraId="1420AEBE">
      <w:pPr>
        <w:spacing w:line="420" w:lineRule="exact"/>
        <w:ind w:firstLine="484" w:firstLineChars="202"/>
        <w:rPr>
          <w:sz w:val="24"/>
          <w:szCs w:val="24"/>
        </w:rPr>
      </w:pPr>
      <w:r>
        <w:rPr>
          <w:rFonts w:hint="eastAsia"/>
          <w:sz w:val="24"/>
          <w:szCs w:val="24"/>
        </w:rPr>
        <w:t>（2）针对本项目服务需求，提供项目服务实施方案，包含提供供应商为拟派项目负责人和上门维保人员缴纳的2026年任意一个月的社会保险和该名人员具有从业的相关证书的证明材料。</w:t>
      </w:r>
    </w:p>
    <w:p w14:paraId="7157AE94">
      <w:pPr>
        <w:spacing w:line="420" w:lineRule="exact"/>
        <w:ind w:firstLine="484" w:firstLineChars="202"/>
        <w:rPr>
          <w:sz w:val="24"/>
          <w:szCs w:val="24"/>
        </w:rPr>
      </w:pPr>
      <w:r>
        <w:rPr>
          <w:rFonts w:hint="eastAsia"/>
          <w:sz w:val="24"/>
          <w:szCs w:val="24"/>
        </w:rPr>
        <w:t>（3）采购文件中未涉及的事项，供应商认为需要提交的其他材料。</w:t>
      </w:r>
    </w:p>
    <w:bookmarkEnd w:id="127"/>
    <w:p w14:paraId="4C5C1B2A">
      <w:pPr>
        <w:spacing w:line="420" w:lineRule="exact"/>
        <w:ind w:firstLine="484" w:firstLineChars="202"/>
        <w:rPr>
          <w:sz w:val="24"/>
          <w:szCs w:val="24"/>
        </w:rPr>
      </w:pPr>
      <w:r>
        <w:rPr>
          <w:rFonts w:hint="eastAsia"/>
          <w:sz w:val="24"/>
          <w:szCs w:val="24"/>
        </w:rPr>
        <w:t>（3）提供整体项目的详细售后服务方法。</w:t>
      </w:r>
    </w:p>
    <w:bookmarkEnd w:id="125"/>
    <w:bookmarkEnd w:id="126"/>
    <w:bookmarkEnd w:id="128"/>
    <w:p w14:paraId="09011430">
      <w:pPr>
        <w:tabs>
          <w:tab w:val="left" w:pos="720"/>
        </w:tabs>
        <w:spacing w:line="420" w:lineRule="exact"/>
        <w:ind w:firstLine="485" w:firstLineChars="202"/>
        <w:outlineLvl w:val="2"/>
        <w:rPr>
          <w:b/>
          <w:sz w:val="24"/>
          <w:szCs w:val="24"/>
        </w:rPr>
      </w:pPr>
      <w:r>
        <w:rPr>
          <w:rFonts w:hint="eastAsia"/>
          <w:b/>
          <w:sz w:val="24"/>
          <w:szCs w:val="24"/>
        </w:rPr>
        <w:t>（三）</w:t>
      </w:r>
      <w:r>
        <w:rPr>
          <w:b/>
          <w:sz w:val="24"/>
          <w:szCs w:val="24"/>
        </w:rPr>
        <w:t>报价响应文件</w:t>
      </w:r>
      <w:r>
        <w:rPr>
          <w:sz w:val="24"/>
          <w:szCs w:val="24"/>
        </w:rPr>
        <w:t>（一个密封包，内含一正两副文件）</w:t>
      </w:r>
    </w:p>
    <w:p w14:paraId="09702DF0">
      <w:pPr>
        <w:spacing w:line="420" w:lineRule="exact"/>
        <w:ind w:firstLine="485" w:firstLineChars="202"/>
        <w:rPr>
          <w:b/>
          <w:bCs/>
          <w:sz w:val="24"/>
          <w:szCs w:val="24"/>
        </w:rPr>
      </w:pPr>
      <w:r>
        <w:rPr>
          <w:b/>
          <w:bCs/>
          <w:sz w:val="24"/>
          <w:szCs w:val="24"/>
        </w:rPr>
        <w:t>【特别提醒】报价响应文件中的报价，包括本竞争性谈判文件规定涵盖的所有</w:t>
      </w:r>
      <w:r>
        <w:rPr>
          <w:rFonts w:hint="eastAsia"/>
          <w:b/>
          <w:bCs/>
          <w:sz w:val="24"/>
          <w:szCs w:val="24"/>
        </w:rPr>
        <w:t>采购</w:t>
      </w:r>
      <w:r>
        <w:rPr>
          <w:b/>
          <w:bCs/>
          <w:sz w:val="24"/>
          <w:szCs w:val="24"/>
        </w:rPr>
        <w:t>范围及相应说明的全部内容涉及到的费用。本次谈判项目的商务付款方式要求，必须完全响应不得有任何负偏离，且不接受任何意在更改的说明，否则作无效谈判处理。成交人如据此提出疑义，不履行签订合同等下一步工作，采购人有权取消其成交资格。</w:t>
      </w:r>
    </w:p>
    <w:p w14:paraId="2F9F0204">
      <w:pPr>
        <w:spacing w:line="420" w:lineRule="exact"/>
        <w:ind w:firstLine="484" w:firstLineChars="202"/>
        <w:outlineLvl w:val="3"/>
        <w:rPr>
          <w:sz w:val="24"/>
          <w:szCs w:val="24"/>
        </w:rPr>
      </w:pPr>
      <w:r>
        <w:rPr>
          <w:sz w:val="24"/>
          <w:szCs w:val="24"/>
        </w:rPr>
        <w:t>1.谈判响应报价（首次）总表（格式）；</w:t>
      </w:r>
    </w:p>
    <w:p w14:paraId="021D2547">
      <w:pPr>
        <w:spacing w:line="420" w:lineRule="exact"/>
        <w:ind w:firstLine="484" w:firstLineChars="202"/>
        <w:outlineLvl w:val="3"/>
        <w:rPr>
          <w:rFonts w:cs="宋体"/>
          <w:sz w:val="24"/>
          <w:szCs w:val="24"/>
        </w:rPr>
      </w:pPr>
      <w:r>
        <w:rPr>
          <w:sz w:val="24"/>
          <w:szCs w:val="24"/>
        </w:rPr>
        <w:t>2.谈判响应报价明细表</w:t>
      </w:r>
      <w:bookmarkStart w:id="129" w:name="_Hlk69426207"/>
      <w:r>
        <w:rPr>
          <w:rFonts w:hint="eastAsia" w:cs="宋体"/>
          <w:sz w:val="24"/>
          <w:szCs w:val="24"/>
        </w:rPr>
        <w:t>。</w:t>
      </w:r>
    </w:p>
    <w:bookmarkEnd w:id="129"/>
    <w:p w14:paraId="143EA117">
      <w:pPr>
        <w:adjustRightInd w:val="0"/>
        <w:snapToGrid w:val="0"/>
        <w:spacing w:line="420" w:lineRule="exact"/>
        <w:ind w:firstLine="485" w:firstLineChars="202"/>
        <w:jc w:val="left"/>
        <w:outlineLvl w:val="1"/>
        <w:rPr>
          <w:b/>
          <w:bCs/>
          <w:sz w:val="24"/>
          <w:szCs w:val="24"/>
        </w:rPr>
      </w:pPr>
      <w:r>
        <w:rPr>
          <w:rFonts w:hint="eastAsia"/>
          <w:b/>
          <w:bCs/>
          <w:sz w:val="24"/>
          <w:szCs w:val="24"/>
        </w:rPr>
        <w:t>三</w:t>
      </w:r>
      <w:r>
        <w:rPr>
          <w:b/>
          <w:bCs/>
          <w:sz w:val="24"/>
          <w:szCs w:val="24"/>
        </w:rPr>
        <w:t>、竞争性谈判响应文件封面范例</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5611FF26">
        <w:tc>
          <w:tcPr>
            <w:tcW w:w="9639" w:type="dxa"/>
          </w:tcPr>
          <w:p w14:paraId="587CB880">
            <w:pPr>
              <w:snapToGrid w:val="0"/>
              <w:spacing w:before="120" w:beforeLines="50" w:line="420" w:lineRule="exact"/>
              <w:jc w:val="center"/>
              <w:rPr>
                <w:sz w:val="32"/>
                <w:szCs w:val="32"/>
              </w:rPr>
            </w:pPr>
            <w:bookmarkStart w:id="130" w:name="_Hlk3506885"/>
          </w:p>
          <w:p w14:paraId="7E58D175">
            <w:pPr>
              <w:snapToGrid w:val="0"/>
              <w:spacing w:before="120" w:beforeLines="50" w:line="420" w:lineRule="exact"/>
              <w:jc w:val="center"/>
              <w:rPr>
                <w:sz w:val="32"/>
                <w:szCs w:val="32"/>
              </w:rPr>
            </w:pPr>
            <w:r>
              <w:rPr>
                <w:rFonts w:hint="eastAsia"/>
                <w:sz w:val="32"/>
                <w:szCs w:val="32"/>
              </w:rPr>
              <w:t>南通市崇川区电子政务外网</w:t>
            </w:r>
          </w:p>
          <w:p w14:paraId="0F773B56">
            <w:pPr>
              <w:snapToGrid w:val="0"/>
              <w:spacing w:before="120" w:beforeLines="50" w:line="420" w:lineRule="exact"/>
              <w:jc w:val="center"/>
              <w:rPr>
                <w:sz w:val="32"/>
                <w:szCs w:val="32"/>
              </w:rPr>
            </w:pPr>
            <w:r>
              <w:rPr>
                <w:rFonts w:hint="eastAsia"/>
                <w:sz w:val="32"/>
                <w:szCs w:val="32"/>
              </w:rPr>
              <w:t>机房精密空调运行维护和防鼠灭鼠服务采购项目目</w:t>
            </w:r>
          </w:p>
          <w:p w14:paraId="6C2C172D">
            <w:pPr>
              <w:spacing w:before="240" w:beforeLines="100" w:line="420" w:lineRule="exact"/>
              <w:jc w:val="center"/>
              <w:rPr>
                <w:sz w:val="32"/>
                <w:szCs w:val="32"/>
              </w:rPr>
            </w:pPr>
          </w:p>
          <w:p w14:paraId="7281F761">
            <w:pPr>
              <w:spacing w:before="240" w:beforeLines="100" w:line="420" w:lineRule="exact"/>
              <w:jc w:val="center"/>
              <w:rPr>
                <w:sz w:val="44"/>
                <w:szCs w:val="44"/>
              </w:rPr>
            </w:pPr>
            <w:r>
              <w:rPr>
                <w:sz w:val="44"/>
                <w:szCs w:val="44"/>
              </w:rPr>
              <w:t>竞争性谈判响应文件</w:t>
            </w:r>
          </w:p>
          <w:p w14:paraId="7EFC42F0">
            <w:pPr>
              <w:spacing w:line="420" w:lineRule="exact"/>
              <w:ind w:firstLine="2976" w:firstLineChars="1240"/>
              <w:jc w:val="left"/>
              <w:rPr>
                <w:sz w:val="24"/>
                <w:szCs w:val="24"/>
              </w:rPr>
            </w:pPr>
          </w:p>
          <w:p w14:paraId="2EA0F763">
            <w:pPr>
              <w:spacing w:line="420" w:lineRule="exact"/>
              <w:ind w:firstLine="2976" w:firstLineChars="1240"/>
              <w:rPr>
                <w:sz w:val="24"/>
                <w:szCs w:val="24"/>
              </w:rPr>
            </w:pPr>
            <w:r>
              <w:rPr>
                <w:sz w:val="24"/>
                <w:szCs w:val="24"/>
              </w:rPr>
              <w:t>对应填写：资格审查材料文件</w:t>
            </w:r>
          </w:p>
          <w:p w14:paraId="703F50BA">
            <w:pPr>
              <w:spacing w:line="420" w:lineRule="exact"/>
              <w:ind w:firstLine="2976" w:firstLineChars="1240"/>
              <w:rPr>
                <w:sz w:val="24"/>
                <w:szCs w:val="24"/>
              </w:rPr>
            </w:pPr>
            <w:r>
              <w:rPr>
                <w:sz w:val="24"/>
                <w:szCs w:val="24"/>
              </w:rPr>
              <w:t>对应填写：技术响应文件</w:t>
            </w:r>
          </w:p>
          <w:p w14:paraId="4808DF83">
            <w:pPr>
              <w:spacing w:line="420" w:lineRule="exact"/>
              <w:ind w:firstLine="2976" w:firstLineChars="1240"/>
              <w:rPr>
                <w:sz w:val="24"/>
                <w:szCs w:val="24"/>
              </w:rPr>
            </w:pPr>
            <w:r>
              <w:rPr>
                <w:sz w:val="24"/>
                <w:szCs w:val="24"/>
              </w:rPr>
              <w:t>对应填写：报价响应文件</w:t>
            </w:r>
          </w:p>
          <w:p w14:paraId="17738CD1">
            <w:pPr>
              <w:spacing w:line="420" w:lineRule="exact"/>
              <w:ind w:firstLine="2976" w:firstLineChars="1240"/>
              <w:rPr>
                <w:sz w:val="24"/>
                <w:szCs w:val="24"/>
              </w:rPr>
            </w:pPr>
          </w:p>
          <w:p w14:paraId="46EDFACD">
            <w:pPr>
              <w:spacing w:line="420" w:lineRule="exact"/>
              <w:jc w:val="center"/>
              <w:rPr>
                <w:sz w:val="24"/>
                <w:szCs w:val="24"/>
              </w:rPr>
            </w:pPr>
            <w:r>
              <w:rPr>
                <w:sz w:val="24"/>
                <w:szCs w:val="24"/>
              </w:rPr>
              <w:t>（资格后审）</w:t>
            </w:r>
          </w:p>
          <w:p w14:paraId="32BB7240">
            <w:pPr>
              <w:snapToGrid w:val="0"/>
              <w:spacing w:line="420" w:lineRule="exact"/>
              <w:jc w:val="center"/>
              <w:rPr>
                <w:sz w:val="24"/>
                <w:szCs w:val="24"/>
              </w:rPr>
            </w:pPr>
            <w:r>
              <w:rPr>
                <w:sz w:val="24"/>
                <w:szCs w:val="24"/>
              </w:rPr>
              <w:t>项目编号：NTHH2026011(JT01)</w:t>
            </w:r>
          </w:p>
          <w:p w14:paraId="5C1ACAAE">
            <w:pPr>
              <w:snapToGrid w:val="0"/>
              <w:spacing w:line="420" w:lineRule="exact"/>
              <w:jc w:val="center"/>
              <w:rPr>
                <w:b/>
                <w:bCs/>
                <w:spacing w:val="20"/>
                <w:sz w:val="24"/>
                <w:szCs w:val="24"/>
              </w:rPr>
            </w:pPr>
          </w:p>
          <w:p w14:paraId="0ADE4F5A">
            <w:pPr>
              <w:snapToGrid w:val="0"/>
              <w:spacing w:line="420" w:lineRule="exact"/>
              <w:jc w:val="center"/>
              <w:rPr>
                <w:b/>
                <w:bCs/>
                <w:spacing w:val="20"/>
                <w:sz w:val="24"/>
                <w:szCs w:val="24"/>
              </w:rPr>
            </w:pPr>
          </w:p>
          <w:p w14:paraId="0D96F6E1">
            <w:pPr>
              <w:snapToGrid w:val="0"/>
              <w:spacing w:line="420" w:lineRule="exact"/>
              <w:jc w:val="center"/>
              <w:rPr>
                <w:b/>
                <w:bCs/>
                <w:spacing w:val="20"/>
                <w:sz w:val="24"/>
                <w:szCs w:val="24"/>
              </w:rPr>
            </w:pPr>
          </w:p>
          <w:p w14:paraId="7389DEA4">
            <w:pPr>
              <w:snapToGrid w:val="0"/>
              <w:spacing w:line="420" w:lineRule="exact"/>
              <w:jc w:val="center"/>
              <w:rPr>
                <w:b/>
                <w:bCs/>
                <w:spacing w:val="20"/>
                <w:sz w:val="24"/>
                <w:szCs w:val="24"/>
              </w:rPr>
            </w:pPr>
          </w:p>
          <w:p w14:paraId="0B2F2FAB">
            <w:pPr>
              <w:snapToGrid w:val="0"/>
              <w:spacing w:line="420" w:lineRule="exact"/>
              <w:jc w:val="center"/>
              <w:rPr>
                <w:b/>
                <w:bCs/>
                <w:spacing w:val="20"/>
                <w:sz w:val="24"/>
                <w:szCs w:val="24"/>
              </w:rPr>
            </w:pPr>
          </w:p>
          <w:p w14:paraId="2C914D46">
            <w:pPr>
              <w:snapToGrid w:val="0"/>
              <w:spacing w:line="420" w:lineRule="exact"/>
              <w:jc w:val="center"/>
              <w:rPr>
                <w:b/>
                <w:bCs/>
                <w:spacing w:val="20"/>
                <w:sz w:val="24"/>
                <w:szCs w:val="24"/>
              </w:rPr>
            </w:pPr>
          </w:p>
          <w:p w14:paraId="1D707B03">
            <w:pPr>
              <w:snapToGrid w:val="0"/>
              <w:spacing w:line="420" w:lineRule="exact"/>
              <w:jc w:val="center"/>
              <w:rPr>
                <w:b/>
                <w:bCs/>
                <w:spacing w:val="20"/>
                <w:sz w:val="24"/>
                <w:szCs w:val="24"/>
              </w:rPr>
            </w:pPr>
          </w:p>
          <w:p w14:paraId="64E649C8">
            <w:pPr>
              <w:adjustRightInd w:val="0"/>
              <w:snapToGrid w:val="0"/>
              <w:spacing w:line="420" w:lineRule="exact"/>
              <w:jc w:val="center"/>
              <w:rPr>
                <w:sz w:val="24"/>
                <w:szCs w:val="24"/>
              </w:rPr>
            </w:pPr>
            <w:r>
              <w:rPr>
                <w:sz w:val="24"/>
                <w:szCs w:val="24"/>
              </w:rPr>
              <w:t>谈判供应商：供应商单位全称</w:t>
            </w:r>
          </w:p>
          <w:p w14:paraId="71A95E03">
            <w:pPr>
              <w:snapToGrid w:val="0"/>
              <w:spacing w:line="420" w:lineRule="exact"/>
              <w:jc w:val="center"/>
              <w:rPr>
                <w:sz w:val="24"/>
                <w:szCs w:val="24"/>
              </w:rPr>
            </w:pPr>
            <w:r>
              <w:rPr>
                <w:rFonts w:hint="eastAsia"/>
                <w:sz w:val="24"/>
                <w:szCs w:val="24"/>
              </w:rPr>
              <w:t>二〇二六</w:t>
            </w:r>
            <w:r>
              <w:rPr>
                <w:sz w:val="24"/>
                <w:szCs w:val="24"/>
              </w:rPr>
              <w:t>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日</w:t>
            </w:r>
          </w:p>
          <w:p w14:paraId="09888990">
            <w:pPr>
              <w:snapToGrid w:val="0"/>
              <w:spacing w:line="420" w:lineRule="exact"/>
              <w:jc w:val="center"/>
              <w:rPr>
                <w:sz w:val="24"/>
                <w:szCs w:val="24"/>
              </w:rPr>
            </w:pPr>
          </w:p>
        </w:tc>
      </w:tr>
      <w:bookmarkEnd w:id="130"/>
    </w:tbl>
    <w:p w14:paraId="244FC904">
      <w:pPr>
        <w:widowControl/>
        <w:spacing w:line="20" w:lineRule="exact"/>
        <w:jc w:val="left"/>
        <w:rPr>
          <w:b/>
          <w:bCs/>
          <w:sz w:val="24"/>
          <w:szCs w:val="24"/>
        </w:rPr>
      </w:pPr>
      <w:r>
        <w:rPr>
          <w:b/>
          <w:bCs/>
          <w:sz w:val="24"/>
          <w:szCs w:val="24"/>
        </w:rPr>
        <w:br w:type="page"/>
      </w:r>
    </w:p>
    <w:p w14:paraId="0B764A98">
      <w:pPr>
        <w:adjustRightInd w:val="0"/>
        <w:snapToGrid w:val="0"/>
        <w:spacing w:line="420" w:lineRule="exact"/>
        <w:ind w:firstLine="485" w:firstLineChars="202"/>
        <w:jc w:val="left"/>
        <w:outlineLvl w:val="1"/>
        <w:rPr>
          <w:b/>
          <w:bCs/>
          <w:sz w:val="24"/>
          <w:szCs w:val="24"/>
        </w:rPr>
      </w:pPr>
      <w:r>
        <w:rPr>
          <w:rFonts w:hint="eastAsia"/>
          <w:b/>
          <w:bCs/>
          <w:sz w:val="24"/>
          <w:szCs w:val="24"/>
        </w:rPr>
        <w:t>四</w:t>
      </w:r>
      <w:r>
        <w:rPr>
          <w:b/>
          <w:bCs/>
          <w:sz w:val="24"/>
          <w:szCs w:val="24"/>
        </w:rPr>
        <w:t>、竞争性谈判响应文件</w:t>
      </w:r>
    </w:p>
    <w:p w14:paraId="54187160">
      <w:pPr>
        <w:adjustRightInd w:val="0"/>
        <w:snapToGrid w:val="0"/>
        <w:spacing w:line="420" w:lineRule="exact"/>
        <w:ind w:firstLine="485" w:firstLineChars="202"/>
        <w:outlineLvl w:val="2"/>
        <w:rPr>
          <w:sz w:val="24"/>
          <w:szCs w:val="24"/>
        </w:rPr>
      </w:pPr>
      <w:r>
        <w:rPr>
          <w:rFonts w:hint="eastAsia"/>
          <w:b/>
          <w:sz w:val="24"/>
          <w:szCs w:val="24"/>
        </w:rPr>
        <w:t>（一）</w:t>
      </w:r>
      <w:r>
        <w:rPr>
          <w:b/>
          <w:sz w:val="24"/>
          <w:szCs w:val="24"/>
        </w:rPr>
        <w:t>资格审查材料文件</w:t>
      </w:r>
      <w:r>
        <w:rPr>
          <w:sz w:val="24"/>
          <w:szCs w:val="24"/>
        </w:rPr>
        <w:t>（一个密封包，含一正两副文件）</w:t>
      </w:r>
    </w:p>
    <w:p w14:paraId="48C246A4">
      <w:pPr>
        <w:snapToGrid w:val="0"/>
        <w:spacing w:line="420" w:lineRule="exact"/>
        <w:ind w:firstLine="485" w:firstLineChars="202"/>
        <w:jc w:val="left"/>
        <w:outlineLvl w:val="3"/>
        <w:rPr>
          <w:b/>
          <w:sz w:val="24"/>
          <w:szCs w:val="24"/>
        </w:rPr>
      </w:pPr>
      <w:r>
        <w:rPr>
          <w:b/>
          <w:sz w:val="24"/>
          <w:szCs w:val="24"/>
        </w:rPr>
        <w:t>1.</w:t>
      </w:r>
      <w:r>
        <w:rPr>
          <w:rFonts w:hint="eastAsia"/>
          <w:b/>
          <w:sz w:val="24"/>
          <w:szCs w:val="24"/>
        </w:rPr>
        <w:t>资格后审材料清单目录表</w:t>
      </w:r>
      <w:bookmarkStart w:id="131" w:name="_Hlk70195379"/>
      <w:bookmarkStart w:id="132" w:name="_Hlk70194394"/>
    </w:p>
    <w:tbl>
      <w:tblPr>
        <w:tblStyle w:val="4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648"/>
        <w:gridCol w:w="1275"/>
      </w:tblGrid>
      <w:tr w14:paraId="010B5D3C">
        <w:trPr>
          <w:trHeight w:val="621" w:hRule="atLeast"/>
          <w:tblHeader/>
        </w:trPr>
        <w:tc>
          <w:tcPr>
            <w:tcW w:w="716" w:type="dxa"/>
            <w:vAlign w:val="center"/>
          </w:tcPr>
          <w:p w14:paraId="4C96F589">
            <w:pPr>
              <w:spacing w:line="420" w:lineRule="exact"/>
              <w:jc w:val="center"/>
              <w:rPr>
                <w:b/>
                <w:bCs/>
                <w:sz w:val="24"/>
                <w:szCs w:val="24"/>
              </w:rPr>
            </w:pPr>
            <w:r>
              <w:rPr>
                <w:rFonts w:hint="eastAsia" w:cs="宋体"/>
                <w:b/>
                <w:bCs/>
                <w:kern w:val="0"/>
                <w:sz w:val="24"/>
                <w:szCs w:val="24"/>
              </w:rPr>
              <w:t>序号</w:t>
            </w:r>
          </w:p>
        </w:tc>
        <w:tc>
          <w:tcPr>
            <w:tcW w:w="7648" w:type="dxa"/>
            <w:vAlign w:val="center"/>
          </w:tcPr>
          <w:p w14:paraId="56565D36">
            <w:pPr>
              <w:spacing w:line="420" w:lineRule="exact"/>
              <w:jc w:val="center"/>
              <w:rPr>
                <w:b/>
                <w:bCs/>
                <w:sz w:val="24"/>
                <w:szCs w:val="24"/>
              </w:rPr>
            </w:pPr>
            <w:r>
              <w:rPr>
                <w:rFonts w:hint="eastAsia" w:cs="宋体"/>
                <w:b/>
                <w:bCs/>
                <w:kern w:val="0"/>
                <w:sz w:val="24"/>
                <w:szCs w:val="24"/>
              </w:rPr>
              <w:t>资格后审材料清单</w:t>
            </w:r>
          </w:p>
        </w:tc>
        <w:tc>
          <w:tcPr>
            <w:tcW w:w="1275" w:type="dxa"/>
            <w:vAlign w:val="center"/>
          </w:tcPr>
          <w:p w14:paraId="4A42D5A8">
            <w:pPr>
              <w:spacing w:line="420" w:lineRule="exact"/>
              <w:jc w:val="center"/>
              <w:rPr>
                <w:b/>
                <w:bCs/>
                <w:sz w:val="24"/>
                <w:szCs w:val="24"/>
              </w:rPr>
            </w:pPr>
            <w:r>
              <w:rPr>
                <w:rFonts w:hint="eastAsia" w:cs="宋体"/>
                <w:b/>
                <w:bCs/>
                <w:sz w:val="24"/>
                <w:szCs w:val="24"/>
              </w:rPr>
              <w:t>自行检查是否提供（</w:t>
            </w:r>
            <w:r>
              <w:rPr>
                <w:b/>
                <w:bCs/>
                <w:sz w:val="24"/>
                <w:szCs w:val="24"/>
              </w:rPr>
              <w:t>√</w:t>
            </w:r>
            <w:r>
              <w:rPr>
                <w:rFonts w:hint="eastAsia" w:cs="宋体"/>
                <w:b/>
                <w:bCs/>
                <w:sz w:val="24"/>
                <w:szCs w:val="24"/>
              </w:rPr>
              <w:t>）</w:t>
            </w:r>
          </w:p>
        </w:tc>
      </w:tr>
      <w:tr w14:paraId="39509A79">
        <w:trPr>
          <w:trHeight w:val="524" w:hRule="atLeast"/>
        </w:trPr>
        <w:tc>
          <w:tcPr>
            <w:tcW w:w="716" w:type="dxa"/>
            <w:vAlign w:val="center"/>
          </w:tcPr>
          <w:p w14:paraId="2C047A0D">
            <w:pPr>
              <w:spacing w:line="420" w:lineRule="exact"/>
              <w:jc w:val="center"/>
              <w:rPr>
                <w:sz w:val="24"/>
                <w:szCs w:val="24"/>
              </w:rPr>
            </w:pPr>
            <w:r>
              <w:rPr>
                <w:kern w:val="0"/>
                <w:sz w:val="24"/>
                <w:szCs w:val="24"/>
              </w:rPr>
              <w:t>1</w:t>
            </w:r>
          </w:p>
        </w:tc>
        <w:tc>
          <w:tcPr>
            <w:tcW w:w="7648" w:type="dxa"/>
            <w:vAlign w:val="center"/>
          </w:tcPr>
          <w:p w14:paraId="42CB017E">
            <w:pPr>
              <w:spacing w:line="420" w:lineRule="exact"/>
              <w:rPr>
                <w:kern w:val="0"/>
                <w:sz w:val="24"/>
                <w:szCs w:val="24"/>
              </w:rPr>
            </w:pPr>
            <w:r>
              <w:rPr>
                <w:rFonts w:hint="eastAsia" w:cs="宋体"/>
                <w:kern w:val="0"/>
                <w:sz w:val="24"/>
                <w:szCs w:val="24"/>
              </w:rPr>
              <w:t>供应商须提供《资格文件的声明函》（须加盖公章）。</w:t>
            </w:r>
          </w:p>
        </w:tc>
        <w:tc>
          <w:tcPr>
            <w:tcW w:w="1275" w:type="dxa"/>
            <w:vAlign w:val="center"/>
          </w:tcPr>
          <w:p w14:paraId="010509AB">
            <w:pPr>
              <w:spacing w:line="420" w:lineRule="exact"/>
              <w:rPr>
                <w:sz w:val="24"/>
                <w:szCs w:val="24"/>
              </w:rPr>
            </w:pPr>
          </w:p>
        </w:tc>
      </w:tr>
      <w:tr w14:paraId="1DF0C442">
        <w:trPr>
          <w:trHeight w:val="524" w:hRule="atLeast"/>
        </w:trPr>
        <w:tc>
          <w:tcPr>
            <w:tcW w:w="716" w:type="dxa"/>
            <w:vAlign w:val="center"/>
          </w:tcPr>
          <w:p w14:paraId="6442D405">
            <w:pPr>
              <w:spacing w:line="420" w:lineRule="exact"/>
              <w:jc w:val="center"/>
              <w:rPr>
                <w:kern w:val="0"/>
                <w:sz w:val="24"/>
                <w:szCs w:val="24"/>
              </w:rPr>
            </w:pPr>
            <w:r>
              <w:rPr>
                <w:rFonts w:hint="eastAsia"/>
                <w:kern w:val="0"/>
                <w:sz w:val="24"/>
                <w:szCs w:val="24"/>
              </w:rPr>
              <w:t>2</w:t>
            </w:r>
          </w:p>
        </w:tc>
        <w:tc>
          <w:tcPr>
            <w:tcW w:w="7648" w:type="dxa"/>
            <w:vAlign w:val="center"/>
          </w:tcPr>
          <w:p w14:paraId="72CCB4BB">
            <w:pPr>
              <w:spacing w:line="420" w:lineRule="exact"/>
              <w:rPr>
                <w:rFonts w:cs="宋体"/>
                <w:kern w:val="0"/>
                <w:sz w:val="24"/>
                <w:szCs w:val="24"/>
              </w:rPr>
            </w:pPr>
            <w:r>
              <w:rPr>
                <w:rFonts w:hint="eastAsia" w:cs="宋体"/>
                <w:kern w:val="0"/>
                <w:sz w:val="24"/>
                <w:szCs w:val="24"/>
              </w:rPr>
              <w:t>提供供应商的《营业执照》（副本）原件的复印件（须加盖公章）。</w:t>
            </w:r>
          </w:p>
        </w:tc>
        <w:tc>
          <w:tcPr>
            <w:tcW w:w="1275" w:type="dxa"/>
            <w:vAlign w:val="center"/>
          </w:tcPr>
          <w:p w14:paraId="323E5FDF">
            <w:pPr>
              <w:spacing w:line="420" w:lineRule="exact"/>
              <w:rPr>
                <w:sz w:val="24"/>
                <w:szCs w:val="24"/>
              </w:rPr>
            </w:pPr>
          </w:p>
        </w:tc>
      </w:tr>
      <w:tr w14:paraId="0C67CBF7">
        <w:trPr>
          <w:trHeight w:val="268" w:hRule="atLeast"/>
        </w:trPr>
        <w:tc>
          <w:tcPr>
            <w:tcW w:w="716" w:type="dxa"/>
            <w:vAlign w:val="center"/>
          </w:tcPr>
          <w:p w14:paraId="38A5CE13">
            <w:pPr>
              <w:spacing w:line="420" w:lineRule="exact"/>
              <w:jc w:val="center"/>
              <w:rPr>
                <w:sz w:val="24"/>
                <w:szCs w:val="24"/>
              </w:rPr>
            </w:pPr>
            <w:r>
              <w:rPr>
                <w:kern w:val="0"/>
                <w:sz w:val="24"/>
                <w:szCs w:val="24"/>
              </w:rPr>
              <w:t>3</w:t>
            </w:r>
          </w:p>
        </w:tc>
        <w:tc>
          <w:tcPr>
            <w:tcW w:w="7648" w:type="dxa"/>
            <w:vAlign w:val="center"/>
          </w:tcPr>
          <w:p w14:paraId="4BDF8E49">
            <w:pPr>
              <w:spacing w:line="420" w:lineRule="exact"/>
              <w:rPr>
                <w:kern w:val="0"/>
                <w:sz w:val="24"/>
                <w:szCs w:val="24"/>
              </w:rPr>
            </w:pPr>
            <w:r>
              <w:rPr>
                <w:rFonts w:hint="eastAsia" w:cs="宋体"/>
                <w:kern w:val="0"/>
                <w:sz w:val="24"/>
                <w:szCs w:val="24"/>
              </w:rPr>
              <w:t>提供供应商的法定代表人的身份证明（须加盖公章）。</w:t>
            </w:r>
          </w:p>
        </w:tc>
        <w:tc>
          <w:tcPr>
            <w:tcW w:w="1275" w:type="dxa"/>
            <w:vAlign w:val="center"/>
          </w:tcPr>
          <w:p w14:paraId="5A626920">
            <w:pPr>
              <w:spacing w:line="420" w:lineRule="exact"/>
              <w:rPr>
                <w:sz w:val="24"/>
                <w:szCs w:val="24"/>
              </w:rPr>
            </w:pPr>
          </w:p>
        </w:tc>
      </w:tr>
      <w:tr w14:paraId="3A774E3B">
        <w:trPr>
          <w:trHeight w:val="268" w:hRule="atLeast"/>
        </w:trPr>
        <w:tc>
          <w:tcPr>
            <w:tcW w:w="716" w:type="dxa"/>
            <w:vAlign w:val="center"/>
          </w:tcPr>
          <w:p w14:paraId="05088652">
            <w:pPr>
              <w:spacing w:line="420" w:lineRule="exact"/>
              <w:jc w:val="center"/>
              <w:rPr>
                <w:kern w:val="0"/>
                <w:sz w:val="24"/>
                <w:szCs w:val="24"/>
              </w:rPr>
            </w:pPr>
            <w:r>
              <w:rPr>
                <w:kern w:val="0"/>
                <w:sz w:val="24"/>
                <w:szCs w:val="24"/>
              </w:rPr>
              <w:t>4</w:t>
            </w:r>
          </w:p>
        </w:tc>
        <w:tc>
          <w:tcPr>
            <w:tcW w:w="7648" w:type="dxa"/>
            <w:vAlign w:val="center"/>
          </w:tcPr>
          <w:p w14:paraId="3315A51F">
            <w:pPr>
              <w:spacing w:line="420" w:lineRule="exact"/>
              <w:rPr>
                <w:kern w:val="0"/>
                <w:sz w:val="24"/>
                <w:szCs w:val="24"/>
              </w:rPr>
            </w:pPr>
            <w:r>
              <w:rPr>
                <w:rFonts w:hint="eastAsia" w:cs="宋体"/>
                <w:kern w:val="0"/>
                <w:sz w:val="24"/>
                <w:szCs w:val="24"/>
              </w:rPr>
              <w:t>非法定代表人而是被委托受权人参加谈判响应的，必须提供法定代表人签名或盖章的授权委托书（须加盖公章）。</w:t>
            </w:r>
          </w:p>
        </w:tc>
        <w:tc>
          <w:tcPr>
            <w:tcW w:w="1275" w:type="dxa"/>
            <w:vAlign w:val="center"/>
          </w:tcPr>
          <w:p w14:paraId="606C6BFA">
            <w:pPr>
              <w:spacing w:line="420" w:lineRule="exact"/>
              <w:rPr>
                <w:sz w:val="24"/>
                <w:szCs w:val="24"/>
              </w:rPr>
            </w:pPr>
          </w:p>
        </w:tc>
      </w:tr>
      <w:tr w14:paraId="01C6753A">
        <w:trPr>
          <w:trHeight w:val="717" w:hRule="atLeast"/>
        </w:trPr>
        <w:tc>
          <w:tcPr>
            <w:tcW w:w="716" w:type="dxa"/>
            <w:vAlign w:val="center"/>
          </w:tcPr>
          <w:p w14:paraId="0E01034E">
            <w:pPr>
              <w:spacing w:line="420" w:lineRule="exact"/>
              <w:jc w:val="center"/>
              <w:rPr>
                <w:sz w:val="24"/>
                <w:szCs w:val="24"/>
              </w:rPr>
            </w:pPr>
            <w:r>
              <w:rPr>
                <w:sz w:val="24"/>
                <w:szCs w:val="24"/>
              </w:rPr>
              <w:t>5</w:t>
            </w:r>
          </w:p>
        </w:tc>
        <w:tc>
          <w:tcPr>
            <w:tcW w:w="7648" w:type="dxa"/>
            <w:vAlign w:val="center"/>
          </w:tcPr>
          <w:p w14:paraId="57E880F4">
            <w:pPr>
              <w:spacing w:line="420" w:lineRule="exact"/>
              <w:rPr>
                <w:sz w:val="24"/>
                <w:szCs w:val="24"/>
              </w:rPr>
            </w:pPr>
            <w:r>
              <w:rPr>
                <w:rFonts w:hint="eastAsia" w:cs="宋体"/>
                <w:kern w:val="0"/>
                <w:sz w:val="24"/>
                <w:szCs w:val="24"/>
              </w:rPr>
              <w:t>提供供应商依法缴纳“税收”和“社会保障资金”的这</w:t>
            </w:r>
            <w:r>
              <w:rPr>
                <w:kern w:val="0"/>
                <w:sz w:val="24"/>
                <w:szCs w:val="24"/>
              </w:rPr>
              <w:t>2</w:t>
            </w:r>
            <w:r>
              <w:rPr>
                <w:rFonts w:hint="eastAsia" w:cs="宋体"/>
                <w:kern w:val="0"/>
                <w:sz w:val="24"/>
                <w:szCs w:val="24"/>
              </w:rPr>
              <w:t>项证明材料（成立不满12个月不需提供。）（须加盖公章）。</w:t>
            </w:r>
          </w:p>
        </w:tc>
        <w:tc>
          <w:tcPr>
            <w:tcW w:w="1275" w:type="dxa"/>
            <w:vAlign w:val="center"/>
          </w:tcPr>
          <w:p w14:paraId="0DA804A2">
            <w:pPr>
              <w:spacing w:line="420" w:lineRule="exact"/>
              <w:rPr>
                <w:sz w:val="24"/>
                <w:szCs w:val="24"/>
              </w:rPr>
            </w:pPr>
          </w:p>
        </w:tc>
      </w:tr>
      <w:tr w14:paraId="23780B86">
        <w:trPr>
          <w:trHeight w:val="717" w:hRule="atLeast"/>
        </w:trPr>
        <w:tc>
          <w:tcPr>
            <w:tcW w:w="716" w:type="dxa"/>
            <w:vAlign w:val="center"/>
          </w:tcPr>
          <w:p w14:paraId="358BD24A">
            <w:pPr>
              <w:spacing w:line="420" w:lineRule="exact"/>
              <w:jc w:val="center"/>
              <w:rPr>
                <w:sz w:val="24"/>
                <w:szCs w:val="24"/>
              </w:rPr>
            </w:pPr>
            <w:r>
              <w:rPr>
                <w:sz w:val="24"/>
                <w:szCs w:val="24"/>
              </w:rPr>
              <w:t>6</w:t>
            </w:r>
          </w:p>
        </w:tc>
        <w:tc>
          <w:tcPr>
            <w:tcW w:w="7648" w:type="dxa"/>
            <w:vAlign w:val="center"/>
          </w:tcPr>
          <w:p w14:paraId="500F3EC5">
            <w:pPr>
              <w:spacing w:line="420" w:lineRule="exact"/>
              <w:rPr>
                <w:rFonts w:cs="宋体"/>
                <w:kern w:val="0"/>
                <w:sz w:val="24"/>
                <w:szCs w:val="24"/>
              </w:rPr>
            </w:pPr>
            <w:r>
              <w:rPr>
                <w:rFonts w:hint="eastAsia" w:cs="宋体"/>
                <w:kern w:val="0"/>
                <w:sz w:val="24"/>
                <w:szCs w:val="24"/>
              </w:rPr>
              <w:t>提供具有针对本项目履行合同所必需的设备和专业技术能力的承诺函（须加盖公章）。</w:t>
            </w:r>
          </w:p>
        </w:tc>
        <w:tc>
          <w:tcPr>
            <w:tcW w:w="1275" w:type="dxa"/>
            <w:vAlign w:val="center"/>
          </w:tcPr>
          <w:p w14:paraId="73E7ECE5">
            <w:pPr>
              <w:spacing w:line="420" w:lineRule="exact"/>
              <w:rPr>
                <w:sz w:val="24"/>
                <w:szCs w:val="24"/>
              </w:rPr>
            </w:pPr>
          </w:p>
        </w:tc>
      </w:tr>
      <w:tr w14:paraId="1ABE7957">
        <w:trPr>
          <w:trHeight w:val="439" w:hRule="atLeast"/>
        </w:trPr>
        <w:tc>
          <w:tcPr>
            <w:tcW w:w="716" w:type="dxa"/>
            <w:vAlign w:val="center"/>
          </w:tcPr>
          <w:p w14:paraId="4F5ED0BF">
            <w:pPr>
              <w:spacing w:line="420" w:lineRule="exact"/>
              <w:jc w:val="center"/>
              <w:rPr>
                <w:sz w:val="24"/>
                <w:szCs w:val="24"/>
              </w:rPr>
            </w:pPr>
            <w:r>
              <w:rPr>
                <w:sz w:val="24"/>
                <w:szCs w:val="24"/>
              </w:rPr>
              <w:t>7</w:t>
            </w:r>
          </w:p>
        </w:tc>
        <w:tc>
          <w:tcPr>
            <w:tcW w:w="7648" w:type="dxa"/>
            <w:vAlign w:val="center"/>
          </w:tcPr>
          <w:p w14:paraId="037B0AA7">
            <w:pPr>
              <w:spacing w:line="420" w:lineRule="exact"/>
              <w:rPr>
                <w:kern w:val="0"/>
                <w:sz w:val="24"/>
                <w:szCs w:val="24"/>
              </w:rPr>
            </w:pPr>
            <w:r>
              <w:rPr>
                <w:rFonts w:hint="eastAsia" w:cs="宋体"/>
                <w:kern w:val="0"/>
                <w:sz w:val="24"/>
                <w:szCs w:val="24"/>
              </w:rPr>
              <w:t>供应商须提供参与本次项目政府采购活动前三年内在经营活动中没有重大违法记录的书面《无重大违法记录声明函》（须加盖公章）。</w:t>
            </w:r>
          </w:p>
        </w:tc>
        <w:tc>
          <w:tcPr>
            <w:tcW w:w="1275" w:type="dxa"/>
            <w:vAlign w:val="center"/>
          </w:tcPr>
          <w:p w14:paraId="22546549">
            <w:pPr>
              <w:spacing w:line="420" w:lineRule="exact"/>
              <w:rPr>
                <w:sz w:val="24"/>
                <w:szCs w:val="24"/>
              </w:rPr>
            </w:pPr>
          </w:p>
        </w:tc>
      </w:tr>
      <w:tr w14:paraId="200251D9">
        <w:trPr>
          <w:trHeight w:val="559" w:hRule="atLeast"/>
        </w:trPr>
        <w:tc>
          <w:tcPr>
            <w:tcW w:w="716" w:type="dxa"/>
            <w:vAlign w:val="center"/>
          </w:tcPr>
          <w:p w14:paraId="1841AD97">
            <w:pPr>
              <w:spacing w:line="420" w:lineRule="exact"/>
              <w:jc w:val="center"/>
              <w:rPr>
                <w:sz w:val="24"/>
                <w:szCs w:val="24"/>
              </w:rPr>
            </w:pPr>
            <w:r>
              <w:rPr>
                <w:rFonts w:hint="eastAsia"/>
                <w:sz w:val="24"/>
                <w:szCs w:val="24"/>
              </w:rPr>
              <w:t>8</w:t>
            </w:r>
          </w:p>
        </w:tc>
        <w:tc>
          <w:tcPr>
            <w:tcW w:w="7648" w:type="dxa"/>
            <w:vAlign w:val="center"/>
          </w:tcPr>
          <w:p w14:paraId="2AAD2910">
            <w:pPr>
              <w:spacing w:line="420" w:lineRule="exact"/>
              <w:rPr>
                <w:rFonts w:cs="宋体"/>
                <w:kern w:val="0"/>
                <w:sz w:val="24"/>
                <w:szCs w:val="24"/>
              </w:rPr>
            </w:pPr>
            <w:r>
              <w:rPr>
                <w:rFonts w:hint="eastAsia" w:cs="宋体"/>
                <w:kern w:val="0"/>
                <w:sz w:val="24"/>
                <w:szCs w:val="24"/>
              </w:rPr>
              <w:t>提供供应商出具的《中小企业声明函》或《残疾人福利性单位声明函》（须加盖公章）。</w:t>
            </w:r>
          </w:p>
        </w:tc>
        <w:tc>
          <w:tcPr>
            <w:tcW w:w="1275" w:type="dxa"/>
            <w:vAlign w:val="center"/>
          </w:tcPr>
          <w:p w14:paraId="500D0EEC">
            <w:pPr>
              <w:spacing w:line="420" w:lineRule="exact"/>
              <w:rPr>
                <w:sz w:val="24"/>
                <w:szCs w:val="24"/>
              </w:rPr>
            </w:pPr>
          </w:p>
        </w:tc>
      </w:tr>
      <w:tr w14:paraId="395C97DF">
        <w:trPr>
          <w:trHeight w:val="559" w:hRule="atLeast"/>
        </w:trPr>
        <w:tc>
          <w:tcPr>
            <w:tcW w:w="716" w:type="dxa"/>
            <w:vAlign w:val="center"/>
          </w:tcPr>
          <w:p w14:paraId="5C277FA2">
            <w:pPr>
              <w:spacing w:line="420" w:lineRule="exact"/>
              <w:jc w:val="center"/>
              <w:rPr>
                <w:sz w:val="24"/>
                <w:szCs w:val="24"/>
              </w:rPr>
            </w:pPr>
            <w:r>
              <w:rPr>
                <w:rFonts w:hint="eastAsia"/>
                <w:sz w:val="24"/>
                <w:szCs w:val="24"/>
              </w:rPr>
              <w:t>备注</w:t>
            </w:r>
          </w:p>
        </w:tc>
        <w:tc>
          <w:tcPr>
            <w:tcW w:w="7648" w:type="dxa"/>
            <w:vAlign w:val="center"/>
          </w:tcPr>
          <w:p w14:paraId="72583E4B">
            <w:pPr>
              <w:spacing w:line="420" w:lineRule="exact"/>
              <w:rPr>
                <w:rFonts w:cs="宋体"/>
                <w:kern w:val="0"/>
                <w:sz w:val="24"/>
                <w:szCs w:val="24"/>
              </w:rPr>
            </w:pPr>
            <w:r>
              <w:rPr>
                <w:rFonts w:hint="eastAsia" w:cs="宋体"/>
                <w:kern w:val="0"/>
                <w:sz w:val="24"/>
                <w:szCs w:val="24"/>
              </w:rPr>
              <w:t>供应商未在“信用中国”网站（www.creditchina.gov.cn）被列入政府采购严重违法失信行为记录名单、被列入失信被执行人、重大税收违法案件当事人名单，以及存在《中华人民共和国政府采购法实施条例》第十九条规定的行政处罚记录。为确保供应商公平参加本项目采购活动，采购代理机构将通过信用中国网站对供应商信用信息进行查询查证，并将查询记录截屏打印保存在采购档案内。被查实为失信单位的，资格审查不予通过。</w:t>
            </w:r>
          </w:p>
        </w:tc>
        <w:tc>
          <w:tcPr>
            <w:tcW w:w="1275" w:type="dxa"/>
            <w:vAlign w:val="center"/>
          </w:tcPr>
          <w:p w14:paraId="3E5AB849">
            <w:pPr>
              <w:spacing w:line="420" w:lineRule="exact"/>
              <w:rPr>
                <w:sz w:val="24"/>
                <w:szCs w:val="24"/>
              </w:rPr>
            </w:pPr>
          </w:p>
        </w:tc>
      </w:tr>
      <w:bookmarkEnd w:id="131"/>
    </w:tbl>
    <w:p w14:paraId="49BFF77D">
      <w:pPr>
        <w:adjustRightInd w:val="0"/>
        <w:snapToGrid w:val="0"/>
        <w:spacing w:line="420" w:lineRule="exact"/>
        <w:rPr>
          <w:rFonts w:cs="宋体"/>
          <w:sz w:val="24"/>
          <w:szCs w:val="24"/>
        </w:rPr>
      </w:pPr>
      <w:r>
        <w:rPr>
          <w:rFonts w:hint="eastAsia" w:cs="宋体"/>
          <w:sz w:val="24"/>
          <w:szCs w:val="24"/>
        </w:rPr>
        <w:t>供应商：（加盖供应商公章）</w:t>
      </w:r>
    </w:p>
    <w:p w14:paraId="6486592A">
      <w:pPr>
        <w:adjustRightInd w:val="0"/>
        <w:snapToGrid w:val="0"/>
        <w:spacing w:line="420" w:lineRule="exact"/>
        <w:rPr>
          <w:rFonts w:cs="宋体"/>
          <w:sz w:val="24"/>
          <w:szCs w:val="24"/>
        </w:rPr>
      </w:pPr>
      <w:r>
        <w:rPr>
          <w:rFonts w:hint="eastAsia" w:cs="宋体"/>
          <w:sz w:val="24"/>
          <w:szCs w:val="24"/>
        </w:rPr>
        <w:t xml:space="preserve">法定代表人（或负责人）或被委托受权人签字： </w:t>
      </w:r>
    </w:p>
    <w:p w14:paraId="4789BFEF">
      <w:pPr>
        <w:adjustRightInd w:val="0"/>
        <w:snapToGrid w:val="0"/>
        <w:spacing w:line="420" w:lineRule="exact"/>
        <w:rPr>
          <w:rFonts w:cs="宋体"/>
          <w:sz w:val="24"/>
          <w:szCs w:val="24"/>
        </w:rPr>
      </w:pPr>
      <w:r>
        <w:rPr>
          <w:rFonts w:hint="eastAsia" w:cs="宋体"/>
          <w:sz w:val="24"/>
          <w:szCs w:val="24"/>
        </w:rPr>
        <w:t>日期：2026年 月 日</w:t>
      </w:r>
    </w:p>
    <w:p w14:paraId="7780AE89">
      <w:pPr>
        <w:adjustRightInd w:val="0"/>
        <w:snapToGrid w:val="0"/>
        <w:spacing w:line="420" w:lineRule="exact"/>
        <w:rPr>
          <w:rFonts w:cs="宋体"/>
          <w:sz w:val="24"/>
          <w:szCs w:val="24"/>
        </w:rPr>
      </w:pPr>
    </w:p>
    <w:bookmarkEnd w:id="132"/>
    <w:p w14:paraId="133444B1">
      <w:pPr>
        <w:adjustRightInd w:val="0"/>
        <w:snapToGrid w:val="0"/>
        <w:spacing w:line="420" w:lineRule="exact"/>
        <w:ind w:firstLine="566" w:firstLineChars="236"/>
        <w:rPr>
          <w:sz w:val="24"/>
          <w:szCs w:val="24"/>
        </w:rPr>
      </w:pPr>
      <w:r>
        <w:rPr>
          <w:sz w:val="24"/>
          <w:szCs w:val="24"/>
        </w:rPr>
        <w:t>注：</w:t>
      </w:r>
    </w:p>
    <w:p w14:paraId="573BF591">
      <w:pPr>
        <w:adjustRightInd w:val="0"/>
        <w:snapToGrid w:val="0"/>
        <w:spacing w:line="420" w:lineRule="exact"/>
        <w:ind w:firstLine="566" w:firstLineChars="236"/>
        <w:rPr>
          <w:sz w:val="24"/>
          <w:szCs w:val="24"/>
        </w:rPr>
      </w:pPr>
      <w:r>
        <w:rPr>
          <w:sz w:val="24"/>
          <w:szCs w:val="24"/>
        </w:rPr>
        <w:t>（1）以上由谈判供应商填写，仅作为提供的资格审查材料文件内的资料首页清单目录。</w:t>
      </w:r>
    </w:p>
    <w:p w14:paraId="3248AF84">
      <w:pPr>
        <w:adjustRightInd w:val="0"/>
        <w:snapToGrid w:val="0"/>
        <w:spacing w:line="420" w:lineRule="exact"/>
        <w:ind w:firstLine="566" w:firstLineChars="236"/>
        <w:rPr>
          <w:sz w:val="24"/>
          <w:szCs w:val="24"/>
        </w:rPr>
      </w:pPr>
      <w:r>
        <w:rPr>
          <w:sz w:val="24"/>
          <w:szCs w:val="24"/>
        </w:rPr>
        <w:t>（2）所有资格证明复印件、相关的格式文件、表格的复印件，须加盖公章装订成册，正本1份，副本2份，供审查及留存！</w:t>
      </w:r>
    </w:p>
    <w:p w14:paraId="613F2A65">
      <w:pPr>
        <w:widowControl/>
        <w:spacing w:line="20" w:lineRule="exact"/>
        <w:jc w:val="left"/>
        <w:rPr>
          <w:sz w:val="24"/>
          <w:szCs w:val="24"/>
        </w:rPr>
      </w:pPr>
      <w:r>
        <w:rPr>
          <w:sz w:val="24"/>
          <w:szCs w:val="24"/>
        </w:rPr>
        <w:br w:type="page"/>
      </w:r>
    </w:p>
    <w:p w14:paraId="6AA3FD89">
      <w:pPr>
        <w:snapToGrid w:val="0"/>
        <w:spacing w:line="420" w:lineRule="exact"/>
        <w:ind w:firstLine="485" w:firstLineChars="202"/>
        <w:jc w:val="left"/>
        <w:outlineLvl w:val="3"/>
        <w:rPr>
          <w:b/>
          <w:sz w:val="24"/>
          <w:szCs w:val="24"/>
        </w:rPr>
      </w:pPr>
      <w:r>
        <w:rPr>
          <w:b/>
          <w:sz w:val="24"/>
          <w:szCs w:val="24"/>
        </w:rPr>
        <w:t>2.</w:t>
      </w:r>
      <w:r>
        <w:rPr>
          <w:rFonts w:hint="eastAsia"/>
          <w:b/>
          <w:sz w:val="24"/>
          <w:szCs w:val="24"/>
        </w:rPr>
        <w:t>竞争性</w:t>
      </w:r>
      <w:r>
        <w:rPr>
          <w:b/>
          <w:sz w:val="24"/>
          <w:szCs w:val="24"/>
        </w:rPr>
        <w:t>谈判响应相关格式文件</w:t>
      </w:r>
    </w:p>
    <w:p w14:paraId="676BDF90">
      <w:pPr>
        <w:snapToGrid w:val="0"/>
        <w:spacing w:line="420" w:lineRule="exact"/>
        <w:ind w:firstLine="565" w:firstLineChars="235"/>
        <w:jc w:val="left"/>
        <w:outlineLvl w:val="4"/>
        <w:rPr>
          <w:sz w:val="24"/>
          <w:szCs w:val="24"/>
        </w:rPr>
      </w:pPr>
      <w:r>
        <w:rPr>
          <w:rFonts w:hint="eastAsia"/>
          <w:b/>
          <w:bCs/>
          <w:sz w:val="24"/>
          <w:szCs w:val="24"/>
        </w:rPr>
        <w:t>（</w:t>
      </w:r>
      <w:r>
        <w:rPr>
          <w:b/>
          <w:bCs/>
          <w:sz w:val="24"/>
          <w:szCs w:val="24"/>
        </w:rPr>
        <w:t>1</w:t>
      </w:r>
      <w:r>
        <w:rPr>
          <w:rFonts w:hint="eastAsia"/>
          <w:b/>
          <w:bCs/>
          <w:sz w:val="24"/>
          <w:szCs w:val="24"/>
        </w:rPr>
        <w:t>）</w:t>
      </w:r>
      <w:r>
        <w:rPr>
          <w:rFonts w:hint="eastAsia" w:cs="宋体"/>
          <w:b/>
          <w:bCs/>
          <w:sz w:val="24"/>
          <w:szCs w:val="24"/>
        </w:rPr>
        <w:t>资格文件的声明函</w:t>
      </w:r>
    </w:p>
    <w:p w14:paraId="10B39643">
      <w:pPr>
        <w:snapToGrid w:val="0"/>
        <w:spacing w:before="240" w:beforeLines="100" w:after="240" w:afterLines="100" w:line="420" w:lineRule="exact"/>
        <w:jc w:val="center"/>
        <w:rPr>
          <w:rFonts w:cs="宋体"/>
          <w:b/>
          <w:bCs/>
          <w:sz w:val="28"/>
          <w:szCs w:val="28"/>
        </w:rPr>
      </w:pPr>
      <w:r>
        <w:rPr>
          <w:rFonts w:hint="eastAsia" w:cs="宋体"/>
          <w:b/>
          <w:bCs/>
          <w:sz w:val="28"/>
          <w:szCs w:val="28"/>
        </w:rPr>
        <w:t>资格文件的声明函</w:t>
      </w:r>
    </w:p>
    <w:p w14:paraId="306C8442">
      <w:pPr>
        <w:snapToGrid w:val="0"/>
        <w:spacing w:before="240" w:beforeLines="100" w:after="240" w:afterLines="100" w:line="420" w:lineRule="exact"/>
        <w:rPr>
          <w:sz w:val="24"/>
          <w:szCs w:val="24"/>
        </w:rPr>
      </w:pPr>
      <w:r>
        <w:rPr>
          <w:rFonts w:hint="eastAsia" w:cs="宋体"/>
          <w:sz w:val="24"/>
          <w:szCs w:val="24"/>
        </w:rPr>
        <w:t>南通市崇川区数据局：</w:t>
      </w:r>
    </w:p>
    <w:p w14:paraId="4E1AB5DC">
      <w:pPr>
        <w:overflowPunct w:val="0"/>
        <w:adjustRightInd w:val="0"/>
        <w:spacing w:line="420" w:lineRule="exact"/>
        <w:ind w:firstLine="426"/>
        <w:jc w:val="left"/>
        <w:textAlignment w:val="baseline"/>
        <w:rPr>
          <w:rFonts w:cs="宋体"/>
          <w:sz w:val="24"/>
          <w:szCs w:val="24"/>
        </w:rPr>
      </w:pPr>
      <w:r>
        <w:rPr>
          <w:rFonts w:hint="eastAsia" w:cs="宋体"/>
          <w:sz w:val="24"/>
          <w:szCs w:val="24"/>
        </w:rPr>
        <w:t>本公司愿意就贵单位委托的采购代理机构组织实施的</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项目编号：NTHH2026011(JT01)</w:t>
      </w:r>
      <w:r>
        <w:rPr>
          <w:rFonts w:cs="宋体"/>
          <w:sz w:val="24"/>
          <w:szCs w:val="24"/>
          <w:u w:val="single"/>
        </w:rPr>
        <w:t xml:space="preserve">  </w:t>
      </w:r>
      <w:r>
        <w:rPr>
          <w:rFonts w:cs="宋体"/>
          <w:sz w:val="24"/>
          <w:szCs w:val="24"/>
        </w:rPr>
        <w:t>的</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南通市崇川区电子政务外网机房精密空调运行维护和防鼠灭鼠服务采购项目</w:t>
      </w:r>
      <w:r>
        <w:rPr>
          <w:rFonts w:cs="宋体"/>
          <w:sz w:val="24"/>
          <w:szCs w:val="24"/>
          <w:u w:val="single"/>
        </w:rPr>
        <w:t xml:space="preserve"> </w:t>
      </w:r>
      <w:r>
        <w:rPr>
          <w:rFonts w:hint="eastAsia" w:cs="宋体"/>
          <w:sz w:val="24"/>
          <w:szCs w:val="24"/>
        </w:rPr>
        <w:t>的采购活动进行谈判响应。</w:t>
      </w:r>
    </w:p>
    <w:p w14:paraId="71BFA99C">
      <w:pPr>
        <w:overflowPunct w:val="0"/>
        <w:adjustRightInd w:val="0"/>
        <w:spacing w:line="420" w:lineRule="exact"/>
        <w:ind w:firstLine="660"/>
        <w:jc w:val="left"/>
        <w:textAlignment w:val="baseline"/>
        <w:rPr>
          <w:sz w:val="24"/>
          <w:szCs w:val="24"/>
        </w:rPr>
      </w:pPr>
      <w:r>
        <w:rPr>
          <w:rFonts w:hint="eastAsia" w:cs="宋体"/>
          <w:sz w:val="24"/>
          <w:szCs w:val="24"/>
        </w:rPr>
        <w:t>本公司所提交的谈判响应文件中所有关于谈判响应资格的文件、证明和陈述均是真实的、准确的。若与真实情况不符，本公司愿意承担由此而产生的一切后果。</w:t>
      </w:r>
    </w:p>
    <w:p w14:paraId="60DACD11">
      <w:pPr>
        <w:overflowPunct w:val="0"/>
        <w:adjustRightInd w:val="0"/>
        <w:spacing w:line="420" w:lineRule="exact"/>
        <w:ind w:firstLine="660"/>
        <w:jc w:val="left"/>
        <w:textAlignment w:val="baseline"/>
        <w:rPr>
          <w:sz w:val="24"/>
          <w:szCs w:val="24"/>
        </w:rPr>
      </w:pPr>
    </w:p>
    <w:p w14:paraId="44F9E7B5">
      <w:pPr>
        <w:overflowPunct w:val="0"/>
        <w:adjustRightInd w:val="0"/>
        <w:spacing w:line="420" w:lineRule="exact"/>
        <w:ind w:firstLine="660"/>
        <w:jc w:val="left"/>
        <w:textAlignment w:val="baseline"/>
        <w:rPr>
          <w:sz w:val="24"/>
          <w:szCs w:val="24"/>
        </w:rPr>
      </w:pPr>
    </w:p>
    <w:p w14:paraId="423ADF20">
      <w:pPr>
        <w:overflowPunct w:val="0"/>
        <w:adjustRightInd w:val="0"/>
        <w:spacing w:line="420" w:lineRule="exact"/>
        <w:ind w:firstLine="420"/>
        <w:jc w:val="right"/>
        <w:textAlignment w:val="baseline"/>
        <w:rPr>
          <w:sz w:val="24"/>
          <w:szCs w:val="24"/>
        </w:rPr>
      </w:pPr>
      <w:r>
        <w:rPr>
          <w:rFonts w:hint="eastAsia" w:cs="宋体"/>
          <w:sz w:val="24"/>
          <w:szCs w:val="24"/>
        </w:rPr>
        <w:t>法定代表人（或负责人）或被委托受权人（签字或盖章）：</w:t>
      </w:r>
    </w:p>
    <w:p w14:paraId="678E9654">
      <w:pPr>
        <w:overflowPunct w:val="0"/>
        <w:adjustRightInd w:val="0"/>
        <w:spacing w:line="420" w:lineRule="exact"/>
        <w:ind w:left="1700" w:firstLine="3262"/>
        <w:jc w:val="left"/>
        <w:textAlignment w:val="baseline"/>
        <w:rPr>
          <w:sz w:val="24"/>
          <w:szCs w:val="24"/>
        </w:rPr>
      </w:pPr>
      <w:r>
        <w:rPr>
          <w:rFonts w:hint="eastAsia" w:cs="宋体"/>
          <w:sz w:val="24"/>
          <w:szCs w:val="24"/>
        </w:rPr>
        <w:t>供应商（须加盖公章）：</w:t>
      </w:r>
    </w:p>
    <w:p w14:paraId="642A0E33">
      <w:pPr>
        <w:wordWrap w:val="0"/>
        <w:overflowPunct w:val="0"/>
        <w:adjustRightInd w:val="0"/>
        <w:spacing w:line="420" w:lineRule="exact"/>
        <w:ind w:firstLine="420"/>
        <w:jc w:val="right"/>
        <w:textAlignment w:val="baseline"/>
        <w:rPr>
          <w:sz w:val="24"/>
          <w:szCs w:val="24"/>
        </w:rPr>
      </w:pPr>
      <w:r>
        <w:rPr>
          <w:rFonts w:hint="eastAsia" w:cs="宋体"/>
          <w:sz w:val="24"/>
          <w:szCs w:val="24"/>
        </w:rPr>
        <w:t xml:space="preserve">2026年 </w:t>
      </w:r>
      <w:r>
        <w:rPr>
          <w:rFonts w:cs="宋体"/>
          <w:sz w:val="24"/>
          <w:szCs w:val="24"/>
        </w:rPr>
        <w:t xml:space="preserve"> </w:t>
      </w:r>
      <w:r>
        <w:rPr>
          <w:rFonts w:hint="eastAsia" w:cs="宋体"/>
          <w:sz w:val="24"/>
          <w:szCs w:val="24"/>
        </w:rPr>
        <w:t xml:space="preserve">月 </w:t>
      </w:r>
      <w:r>
        <w:rPr>
          <w:rFonts w:cs="宋体"/>
          <w:sz w:val="24"/>
          <w:szCs w:val="24"/>
        </w:rPr>
        <w:t xml:space="preserve"> </w:t>
      </w:r>
      <w:r>
        <w:rPr>
          <w:rFonts w:hint="eastAsia" w:cs="宋体"/>
          <w:sz w:val="24"/>
          <w:szCs w:val="24"/>
        </w:rPr>
        <w:t>日</w:t>
      </w:r>
    </w:p>
    <w:p w14:paraId="3C6F93C4">
      <w:pPr>
        <w:widowControl/>
        <w:spacing w:line="20" w:lineRule="exact"/>
        <w:jc w:val="left"/>
        <w:rPr>
          <w:sz w:val="24"/>
          <w:szCs w:val="24"/>
        </w:rPr>
      </w:pPr>
      <w:r>
        <w:rPr>
          <w:sz w:val="24"/>
          <w:szCs w:val="24"/>
        </w:rPr>
        <w:br w:type="page"/>
      </w:r>
    </w:p>
    <w:p w14:paraId="59B3E981">
      <w:pPr>
        <w:snapToGrid w:val="0"/>
        <w:spacing w:line="420" w:lineRule="exact"/>
        <w:ind w:firstLine="565" w:firstLineChars="235"/>
        <w:jc w:val="left"/>
        <w:outlineLvl w:val="4"/>
        <w:rPr>
          <w:b/>
          <w:bCs/>
          <w:sz w:val="24"/>
          <w:szCs w:val="24"/>
        </w:rPr>
      </w:pPr>
      <w:r>
        <w:rPr>
          <w:rFonts w:hint="eastAsia"/>
          <w:b/>
          <w:bCs/>
          <w:sz w:val="24"/>
          <w:szCs w:val="24"/>
        </w:rPr>
        <w:t>（</w:t>
      </w:r>
      <w:r>
        <w:rPr>
          <w:b/>
          <w:bCs/>
          <w:sz w:val="24"/>
          <w:szCs w:val="24"/>
        </w:rPr>
        <w:t>2</w:t>
      </w:r>
      <w:r>
        <w:rPr>
          <w:rFonts w:hint="eastAsia"/>
          <w:b/>
          <w:bCs/>
          <w:sz w:val="24"/>
          <w:szCs w:val="24"/>
        </w:rPr>
        <w:t>）</w:t>
      </w:r>
      <w:bookmarkStart w:id="133" w:name="_Hlk153035894"/>
      <w:r>
        <w:rPr>
          <w:rFonts w:hint="eastAsia"/>
          <w:b/>
          <w:bCs/>
          <w:sz w:val="24"/>
          <w:szCs w:val="24"/>
        </w:rPr>
        <w:t>法定代表人的身份证明</w:t>
      </w:r>
      <w:bookmarkEnd w:id="133"/>
    </w:p>
    <w:p w14:paraId="3F4082EB">
      <w:pPr>
        <w:snapToGrid w:val="0"/>
        <w:spacing w:before="240" w:beforeLines="100" w:after="240" w:afterLines="100" w:line="420" w:lineRule="exact"/>
        <w:jc w:val="center"/>
        <w:rPr>
          <w:rFonts w:cs="宋体"/>
          <w:sz w:val="24"/>
          <w:szCs w:val="24"/>
        </w:rPr>
      </w:pPr>
      <w:bookmarkStart w:id="134" w:name="_Hlk49178957"/>
      <w:r>
        <w:rPr>
          <w:rFonts w:hint="eastAsia" w:cs="宋体"/>
          <w:b/>
          <w:bCs/>
          <w:sz w:val="28"/>
          <w:szCs w:val="28"/>
        </w:rPr>
        <w:t>法定代表人身份证明</w:t>
      </w:r>
    </w:p>
    <w:p w14:paraId="6611E648">
      <w:pPr>
        <w:snapToGrid w:val="0"/>
        <w:spacing w:before="240" w:beforeLines="100" w:after="240" w:afterLines="100" w:line="420" w:lineRule="exact"/>
        <w:rPr>
          <w:sz w:val="24"/>
          <w:szCs w:val="24"/>
        </w:rPr>
      </w:pPr>
      <w:r>
        <w:rPr>
          <w:rFonts w:hint="eastAsia" w:cs="宋体"/>
          <w:sz w:val="24"/>
          <w:szCs w:val="24"/>
        </w:rPr>
        <w:t>南通市崇川区数据局：</w:t>
      </w:r>
      <w:bookmarkEnd w:id="134"/>
    </w:p>
    <w:p w14:paraId="57BC51FD">
      <w:pPr>
        <w:snapToGrid w:val="0"/>
        <w:spacing w:line="420" w:lineRule="exact"/>
        <w:ind w:firstLine="480" w:firstLineChars="200"/>
        <w:rPr>
          <w:sz w:val="24"/>
          <w:szCs w:val="24"/>
        </w:rPr>
      </w:pPr>
      <w:r>
        <w:rPr>
          <w:rFonts w:hint="eastAsia" w:cs="宋体"/>
          <w:sz w:val="24"/>
          <w:szCs w:val="24"/>
        </w:rPr>
        <w:t>（先生／女士）现任我单位</w:t>
      </w:r>
      <w:r>
        <w:rPr>
          <w:rFonts w:hint="eastAsia" w:cs="宋体"/>
          <w:sz w:val="24"/>
          <w:szCs w:val="24"/>
          <w:u w:val="single"/>
        </w:rPr>
        <w:t>　　　　　　　</w:t>
      </w:r>
      <w:r>
        <w:rPr>
          <w:rFonts w:hint="eastAsia" w:cs="宋体"/>
          <w:sz w:val="24"/>
          <w:szCs w:val="24"/>
        </w:rPr>
        <w:t>职务，为法定代表人（或负责人），特此证明。</w:t>
      </w:r>
    </w:p>
    <w:p w14:paraId="6EA23E15">
      <w:pPr>
        <w:snapToGrid w:val="0"/>
        <w:spacing w:line="420" w:lineRule="exact"/>
        <w:ind w:firstLine="480" w:firstLineChars="200"/>
        <w:rPr>
          <w:rFonts w:cs="宋体"/>
          <w:sz w:val="24"/>
          <w:szCs w:val="24"/>
        </w:rPr>
      </w:pPr>
      <w:r>
        <w:rPr>
          <w:rFonts w:hint="eastAsia" w:cs="宋体"/>
          <w:sz w:val="24"/>
          <w:szCs w:val="24"/>
        </w:rPr>
        <w:t>身份证号码：</w:t>
      </w:r>
    </w:p>
    <w:p w14:paraId="6134B066">
      <w:pPr>
        <w:snapToGrid w:val="0"/>
        <w:spacing w:line="420" w:lineRule="exact"/>
        <w:ind w:firstLine="480" w:firstLineChars="200"/>
        <w:rPr>
          <w:sz w:val="24"/>
          <w:szCs w:val="24"/>
          <w:u w:val="single"/>
        </w:rPr>
      </w:pPr>
      <w:r>
        <w:rPr>
          <w:rFonts w:hint="eastAsia" w:cs="宋体"/>
          <w:sz w:val="24"/>
          <w:szCs w:val="24"/>
        </w:rPr>
        <w:t>联系电话：</w:t>
      </w:r>
    </w:p>
    <w:p w14:paraId="3D60342A">
      <w:pPr>
        <w:snapToGrid w:val="0"/>
        <w:spacing w:line="420" w:lineRule="exact"/>
        <w:ind w:firstLine="484" w:firstLineChars="202"/>
        <w:jc w:val="right"/>
        <w:rPr>
          <w:sz w:val="24"/>
          <w:szCs w:val="24"/>
        </w:rPr>
      </w:pPr>
      <w:r>
        <w:rPr>
          <w:rFonts w:hint="eastAsia" w:cs="宋体"/>
          <w:sz w:val="24"/>
          <w:szCs w:val="24"/>
        </w:rPr>
        <w:t>供应商（须加盖公章）</w:t>
      </w:r>
    </w:p>
    <w:p w14:paraId="2EBDF372">
      <w:pPr>
        <w:snapToGrid w:val="0"/>
        <w:spacing w:line="420" w:lineRule="exact"/>
        <w:ind w:firstLine="484" w:firstLineChars="202"/>
        <w:jc w:val="right"/>
        <w:rPr>
          <w:sz w:val="24"/>
          <w:szCs w:val="24"/>
        </w:rPr>
      </w:pPr>
      <w:r>
        <w:rPr>
          <w:rFonts w:hint="eastAsia" w:cs="宋体"/>
          <w:sz w:val="24"/>
          <w:szCs w:val="24"/>
        </w:rPr>
        <w:t>2026年 月 日</w:t>
      </w:r>
    </w:p>
    <w:p w14:paraId="48311B21">
      <w:pPr>
        <w:snapToGrid w:val="0"/>
        <w:spacing w:line="420" w:lineRule="exact"/>
        <w:ind w:firstLine="484" w:firstLineChars="202"/>
        <w:jc w:val="left"/>
        <w:rPr>
          <w:sz w:val="24"/>
          <w:szCs w:val="24"/>
        </w:rPr>
      </w:pPr>
    </w:p>
    <w:p w14:paraId="1EEA9C1A">
      <w:pPr>
        <w:snapToGrid w:val="0"/>
        <w:spacing w:line="420" w:lineRule="exact"/>
        <w:ind w:firstLine="484" w:firstLineChars="202"/>
        <w:jc w:val="left"/>
        <w:rPr>
          <w:sz w:val="24"/>
          <w:szCs w:val="24"/>
        </w:rPr>
      </w:pPr>
    </w:p>
    <w:p w14:paraId="2973667E">
      <w:pPr>
        <w:snapToGrid w:val="0"/>
        <w:spacing w:line="420" w:lineRule="exact"/>
        <w:jc w:val="center"/>
        <w:rPr>
          <w:b/>
          <w:bCs/>
          <w:sz w:val="24"/>
          <w:szCs w:val="24"/>
        </w:rPr>
      </w:pPr>
      <w:r>
        <w:rPr>
          <w:rFonts w:hint="eastAsia" w:cs="宋体"/>
          <w:b/>
          <w:bCs/>
          <w:sz w:val="24"/>
          <w:szCs w:val="24"/>
        </w:rPr>
        <w:t>法定代表人（或负责人）身份证复印件</w:t>
      </w:r>
    </w:p>
    <w:p w14:paraId="4B2FA978">
      <w:pPr>
        <w:snapToGrid w:val="0"/>
        <w:spacing w:line="420" w:lineRule="exact"/>
        <w:jc w:val="center"/>
        <w:rPr>
          <w:b/>
          <w:bCs/>
          <w:sz w:val="24"/>
          <w:szCs w:val="24"/>
        </w:rPr>
      </w:pPr>
    </w:p>
    <w:p w14:paraId="7E85352F">
      <w:pPr>
        <w:snapToGrid w:val="0"/>
        <w:spacing w:line="420" w:lineRule="exact"/>
        <w:jc w:val="center"/>
        <w:rPr>
          <w:b/>
          <w:bCs/>
          <w:sz w:val="24"/>
          <w:szCs w:val="24"/>
        </w:rPr>
      </w:pPr>
    </w:p>
    <w:p w14:paraId="57564F0C">
      <w:pPr>
        <w:snapToGrid w:val="0"/>
        <w:spacing w:line="420" w:lineRule="exact"/>
        <w:jc w:val="center"/>
        <w:rPr>
          <w:b/>
          <w:bCs/>
          <w:sz w:val="24"/>
          <w:szCs w:val="24"/>
        </w:rPr>
      </w:pPr>
    </w:p>
    <w:p w14:paraId="25236CAF">
      <w:pPr>
        <w:snapToGrid w:val="0"/>
        <w:spacing w:line="420" w:lineRule="exact"/>
        <w:jc w:val="center"/>
        <w:rPr>
          <w:sz w:val="24"/>
          <w:szCs w:val="24"/>
        </w:rPr>
      </w:pPr>
      <w:r>
        <w:rPr>
          <w:rFonts w:hint="eastAsia" w:cs="宋体"/>
          <w:sz w:val="24"/>
          <w:szCs w:val="24"/>
        </w:rPr>
        <w:t>（放置此处）</w:t>
      </w:r>
    </w:p>
    <w:p w14:paraId="5B0D2993">
      <w:pPr>
        <w:snapToGrid w:val="0"/>
        <w:spacing w:line="420" w:lineRule="exact"/>
        <w:jc w:val="center"/>
        <w:rPr>
          <w:sz w:val="24"/>
          <w:szCs w:val="24"/>
        </w:rPr>
      </w:pPr>
    </w:p>
    <w:p w14:paraId="2300C87E">
      <w:pPr>
        <w:snapToGrid w:val="0"/>
        <w:spacing w:line="420" w:lineRule="exact"/>
        <w:jc w:val="center"/>
        <w:rPr>
          <w:sz w:val="24"/>
          <w:szCs w:val="24"/>
        </w:rPr>
      </w:pPr>
    </w:p>
    <w:p w14:paraId="70184650">
      <w:pPr>
        <w:snapToGrid w:val="0"/>
        <w:spacing w:line="420" w:lineRule="exact"/>
        <w:jc w:val="center"/>
        <w:rPr>
          <w:sz w:val="24"/>
          <w:szCs w:val="24"/>
        </w:rPr>
      </w:pPr>
    </w:p>
    <w:p w14:paraId="6E4E6245">
      <w:pPr>
        <w:snapToGrid w:val="0"/>
        <w:spacing w:line="420" w:lineRule="exact"/>
        <w:jc w:val="left"/>
        <w:rPr>
          <w:b/>
          <w:bCs/>
          <w:sz w:val="24"/>
          <w:szCs w:val="24"/>
        </w:rPr>
      </w:pPr>
      <w:r>
        <w:rPr>
          <w:rFonts w:hint="eastAsia" w:cs="宋体"/>
          <w:b/>
          <w:bCs/>
          <w:sz w:val="24"/>
          <w:szCs w:val="24"/>
        </w:rPr>
        <w:t>注：提供法定代表人（或负责人）的身份证复印件（正、反面）</w:t>
      </w:r>
      <w:r>
        <w:rPr>
          <w:rFonts w:hint="eastAsia" w:cs="宋体"/>
          <w:b/>
          <w:bCs/>
          <w:sz w:val="24"/>
          <w:szCs w:val="24"/>
          <w:u w:val="thick" w:color="FF0000"/>
        </w:rPr>
        <w:t>并加盖公章</w:t>
      </w:r>
      <w:r>
        <w:rPr>
          <w:rFonts w:hint="eastAsia" w:cs="宋体"/>
          <w:b/>
          <w:bCs/>
          <w:sz w:val="24"/>
          <w:szCs w:val="24"/>
        </w:rPr>
        <w:t>。</w:t>
      </w:r>
    </w:p>
    <w:p w14:paraId="501CF0F8">
      <w:pPr>
        <w:widowControl/>
        <w:spacing w:line="20" w:lineRule="exact"/>
        <w:jc w:val="left"/>
        <w:rPr>
          <w:sz w:val="24"/>
          <w:szCs w:val="24"/>
        </w:rPr>
      </w:pPr>
      <w:r>
        <w:rPr>
          <w:sz w:val="24"/>
          <w:szCs w:val="24"/>
        </w:rPr>
        <w:br w:type="page"/>
      </w:r>
    </w:p>
    <w:p w14:paraId="5F618185">
      <w:pPr>
        <w:snapToGrid w:val="0"/>
        <w:spacing w:line="420" w:lineRule="exact"/>
        <w:ind w:firstLine="565" w:firstLineChars="235"/>
        <w:jc w:val="left"/>
        <w:outlineLvl w:val="4"/>
        <w:rPr>
          <w:b/>
          <w:bCs/>
          <w:sz w:val="24"/>
          <w:szCs w:val="24"/>
        </w:rPr>
      </w:pPr>
      <w:r>
        <w:rPr>
          <w:rFonts w:hint="eastAsia"/>
          <w:b/>
          <w:bCs/>
          <w:sz w:val="24"/>
          <w:szCs w:val="24"/>
        </w:rPr>
        <w:t>（</w:t>
      </w:r>
      <w:r>
        <w:rPr>
          <w:b/>
          <w:bCs/>
          <w:sz w:val="24"/>
          <w:szCs w:val="24"/>
        </w:rPr>
        <w:t>3</w:t>
      </w:r>
      <w:r>
        <w:rPr>
          <w:rFonts w:hint="eastAsia"/>
          <w:b/>
          <w:bCs/>
          <w:sz w:val="24"/>
          <w:szCs w:val="24"/>
        </w:rPr>
        <w:t>）</w:t>
      </w:r>
      <w:bookmarkStart w:id="135" w:name="_Hlk153036098"/>
      <w:r>
        <w:rPr>
          <w:rFonts w:hint="eastAsia"/>
          <w:b/>
          <w:bCs/>
          <w:sz w:val="24"/>
          <w:szCs w:val="24"/>
        </w:rPr>
        <w:t>法定代表人授权委托书</w:t>
      </w:r>
      <w:bookmarkEnd w:id="135"/>
    </w:p>
    <w:p w14:paraId="54C63466">
      <w:pPr>
        <w:snapToGrid w:val="0"/>
        <w:spacing w:before="240" w:beforeLines="100" w:after="240" w:afterLines="100" w:line="420" w:lineRule="exact"/>
        <w:jc w:val="center"/>
        <w:rPr>
          <w:rFonts w:cs="宋体"/>
          <w:sz w:val="24"/>
          <w:szCs w:val="24"/>
        </w:rPr>
      </w:pPr>
      <w:r>
        <w:rPr>
          <w:rFonts w:hint="eastAsia" w:cs="宋体"/>
          <w:b/>
          <w:bCs/>
          <w:sz w:val="28"/>
          <w:szCs w:val="28"/>
        </w:rPr>
        <w:t>法定代表人授权委托书</w:t>
      </w:r>
    </w:p>
    <w:p w14:paraId="3AB2A95A">
      <w:pPr>
        <w:snapToGrid w:val="0"/>
        <w:spacing w:before="240" w:beforeLines="100" w:after="240" w:afterLines="100" w:line="420" w:lineRule="exact"/>
        <w:rPr>
          <w:sz w:val="24"/>
          <w:szCs w:val="24"/>
        </w:rPr>
      </w:pPr>
      <w:r>
        <w:rPr>
          <w:rFonts w:hint="eastAsia" w:cs="宋体"/>
          <w:sz w:val="24"/>
          <w:szCs w:val="24"/>
        </w:rPr>
        <w:t>南通市崇川区数据局：</w:t>
      </w:r>
    </w:p>
    <w:p w14:paraId="7317B9F5">
      <w:pPr>
        <w:snapToGrid w:val="0"/>
        <w:spacing w:line="420" w:lineRule="exact"/>
        <w:ind w:firstLine="484" w:firstLineChars="202"/>
        <w:rPr>
          <w:rFonts w:cs="宋体"/>
          <w:sz w:val="24"/>
          <w:szCs w:val="24"/>
        </w:rPr>
      </w:pPr>
      <w:r>
        <w:rPr>
          <w:rFonts w:hint="eastAsia" w:cs="宋体"/>
          <w:sz w:val="24"/>
          <w:szCs w:val="24"/>
        </w:rPr>
        <w:t>本授权委托书声明：我</w:t>
      </w:r>
      <w:r>
        <w:rPr>
          <w:rFonts w:hint="eastAsia" w:cs="宋体"/>
          <w:sz w:val="24"/>
          <w:szCs w:val="24"/>
          <w:u w:val="single"/>
        </w:rPr>
        <w:t>　</w:t>
      </w:r>
      <w:r>
        <w:rPr>
          <w:rFonts w:hint="eastAsia" w:cs="宋体"/>
          <w:sz w:val="24"/>
          <w:szCs w:val="24"/>
        </w:rPr>
        <w:t>（姓名）系</w:t>
      </w:r>
      <w:r>
        <w:rPr>
          <w:rFonts w:hint="eastAsia" w:cs="宋体"/>
          <w:sz w:val="24"/>
          <w:szCs w:val="24"/>
          <w:u w:val="single"/>
        </w:rPr>
        <w:t>　</w:t>
      </w:r>
      <w:r>
        <w:rPr>
          <w:rFonts w:hint="eastAsia" w:cs="宋体"/>
          <w:sz w:val="24"/>
          <w:szCs w:val="24"/>
        </w:rPr>
        <w:t>（供应商名称）的法定代表人，现授权委托</w:t>
      </w:r>
      <w:r>
        <w:rPr>
          <w:rFonts w:hint="eastAsia" w:cs="宋体"/>
          <w:sz w:val="24"/>
          <w:szCs w:val="24"/>
          <w:u w:val="single"/>
        </w:rPr>
        <w:t>　　</w:t>
      </w:r>
      <w:r>
        <w:rPr>
          <w:rFonts w:hint="eastAsia" w:cs="宋体"/>
          <w:sz w:val="24"/>
          <w:szCs w:val="24"/>
        </w:rPr>
        <w:t>（姓名）为我公司为被委托受权人，以本公司的名义参加</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项目编号：NTHH2026011(JT01)</w:t>
      </w:r>
      <w:r>
        <w:rPr>
          <w:rFonts w:cs="宋体"/>
          <w:sz w:val="24"/>
          <w:szCs w:val="24"/>
          <w:u w:val="single"/>
        </w:rPr>
        <w:t xml:space="preserve">  </w:t>
      </w:r>
      <w:r>
        <w:rPr>
          <w:rFonts w:cs="宋体"/>
          <w:sz w:val="24"/>
          <w:szCs w:val="24"/>
        </w:rPr>
        <w:t>的</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 xml:space="preserve">南通市崇川区电子政务外网机房精密空调运行维护和防鼠灭鼠服务采购项目 </w:t>
      </w:r>
      <w:r>
        <w:rPr>
          <w:rFonts w:cs="宋体"/>
          <w:sz w:val="24"/>
          <w:szCs w:val="24"/>
          <w:u w:val="single"/>
        </w:rPr>
        <w:t xml:space="preserve"> </w:t>
      </w:r>
      <w:r>
        <w:rPr>
          <w:rFonts w:hint="eastAsia" w:cs="宋体"/>
          <w:sz w:val="24"/>
          <w:szCs w:val="24"/>
        </w:rPr>
        <w:t>的谈判响应活动。</w:t>
      </w:r>
    </w:p>
    <w:p w14:paraId="7045EB28">
      <w:pPr>
        <w:snapToGrid w:val="0"/>
        <w:spacing w:line="420" w:lineRule="exact"/>
        <w:ind w:firstLine="484" w:firstLineChars="202"/>
        <w:rPr>
          <w:sz w:val="24"/>
          <w:szCs w:val="24"/>
        </w:rPr>
      </w:pPr>
      <w:r>
        <w:rPr>
          <w:rFonts w:hint="eastAsia" w:cs="宋体"/>
          <w:sz w:val="24"/>
          <w:szCs w:val="24"/>
        </w:rPr>
        <w:t>被委托受权人在项目开启、评审、合同签订过程中所签署的一切文件和处理与之有关的一切事务，我均予以承认。</w:t>
      </w:r>
    </w:p>
    <w:p w14:paraId="455B40D0">
      <w:pPr>
        <w:snapToGrid w:val="0"/>
        <w:spacing w:line="420" w:lineRule="exact"/>
        <w:ind w:firstLine="484" w:firstLineChars="202"/>
        <w:rPr>
          <w:rFonts w:cs="宋体"/>
          <w:sz w:val="24"/>
          <w:szCs w:val="24"/>
        </w:rPr>
      </w:pPr>
      <w:r>
        <w:rPr>
          <w:rFonts w:hint="eastAsia" w:cs="宋体"/>
          <w:sz w:val="24"/>
          <w:szCs w:val="24"/>
        </w:rPr>
        <w:t>被委托受权人无转委托权，特此委托。</w:t>
      </w:r>
    </w:p>
    <w:p w14:paraId="58D238F6">
      <w:pPr>
        <w:spacing w:line="400" w:lineRule="exact"/>
        <w:rPr>
          <w:rFonts w:ascii="楷体_GB2312" w:eastAsia="楷体_GB2312" w:cs="楷体_GB2312"/>
          <w:kern w:val="0"/>
          <w:sz w:val="20"/>
        </w:rPr>
      </w:pPr>
    </w:p>
    <w:p w14:paraId="13E02790">
      <w:pPr>
        <w:snapToGrid w:val="0"/>
        <w:spacing w:line="420" w:lineRule="exact"/>
        <w:ind w:firstLine="972" w:firstLineChars="405"/>
        <w:rPr>
          <w:rFonts w:cs="宋体"/>
          <w:sz w:val="24"/>
          <w:szCs w:val="24"/>
        </w:rPr>
      </w:pPr>
      <w:r>
        <w:rPr>
          <w:rFonts w:hint="eastAsia" w:cs="宋体"/>
          <w:sz w:val="24"/>
          <w:szCs w:val="24"/>
        </w:rPr>
        <w:t>法定代表人（或负责人）签字或盖章：</w:t>
      </w:r>
    </w:p>
    <w:p w14:paraId="195A6BE6">
      <w:pPr>
        <w:spacing w:line="400" w:lineRule="exact"/>
        <w:rPr>
          <w:rFonts w:ascii="楷体_GB2312" w:eastAsia="楷体_GB2312" w:cs="楷体_GB2312"/>
          <w:kern w:val="0"/>
          <w:sz w:val="20"/>
        </w:rPr>
      </w:pPr>
    </w:p>
    <w:p w14:paraId="3CEA0CF4">
      <w:pPr>
        <w:snapToGrid w:val="0"/>
        <w:spacing w:line="420" w:lineRule="exact"/>
        <w:ind w:firstLine="972" w:firstLineChars="405"/>
        <w:rPr>
          <w:rFonts w:cs="宋体"/>
          <w:sz w:val="24"/>
          <w:szCs w:val="24"/>
        </w:rPr>
      </w:pPr>
      <w:r>
        <w:rPr>
          <w:rFonts w:hint="eastAsia" w:cs="宋体"/>
          <w:sz w:val="24"/>
          <w:szCs w:val="24"/>
        </w:rPr>
        <w:t>被委托受权人身份证号：</w:t>
      </w:r>
    </w:p>
    <w:p w14:paraId="79FFC188">
      <w:pPr>
        <w:spacing w:line="400" w:lineRule="exact"/>
        <w:rPr>
          <w:rFonts w:ascii="楷体_GB2312" w:eastAsia="楷体_GB2312" w:cs="楷体_GB2312"/>
          <w:kern w:val="0"/>
          <w:sz w:val="20"/>
        </w:rPr>
      </w:pPr>
    </w:p>
    <w:p w14:paraId="63B076E4">
      <w:pPr>
        <w:snapToGrid w:val="0"/>
        <w:spacing w:line="420" w:lineRule="exact"/>
        <w:ind w:firstLine="972" w:firstLineChars="405"/>
        <w:rPr>
          <w:rFonts w:cs="宋体"/>
          <w:sz w:val="24"/>
          <w:szCs w:val="24"/>
        </w:rPr>
      </w:pPr>
      <w:r>
        <w:rPr>
          <w:rFonts w:hint="eastAsia" w:cs="宋体"/>
          <w:sz w:val="24"/>
          <w:szCs w:val="24"/>
        </w:rPr>
        <w:t>被委托受权人联系电话：</w:t>
      </w:r>
    </w:p>
    <w:p w14:paraId="03CDE5AB">
      <w:pPr>
        <w:spacing w:line="400" w:lineRule="exact"/>
        <w:rPr>
          <w:rFonts w:ascii="楷体_GB2312" w:eastAsia="楷体_GB2312" w:cs="楷体_GB2312"/>
          <w:kern w:val="0"/>
          <w:sz w:val="20"/>
        </w:rPr>
      </w:pPr>
    </w:p>
    <w:p w14:paraId="0CF086A0">
      <w:pPr>
        <w:snapToGrid w:val="0"/>
        <w:spacing w:line="420" w:lineRule="exact"/>
        <w:ind w:firstLine="972" w:firstLineChars="405"/>
        <w:rPr>
          <w:rFonts w:cs="宋体"/>
          <w:sz w:val="24"/>
          <w:szCs w:val="24"/>
        </w:rPr>
      </w:pPr>
      <w:r>
        <w:rPr>
          <w:rFonts w:hint="eastAsia" w:cs="宋体"/>
          <w:sz w:val="24"/>
          <w:szCs w:val="24"/>
        </w:rPr>
        <w:t>被委托受权人签字或盖章：</w:t>
      </w:r>
    </w:p>
    <w:p w14:paraId="02694FC4">
      <w:pPr>
        <w:spacing w:line="400" w:lineRule="exact"/>
        <w:rPr>
          <w:rFonts w:ascii="楷体_GB2312" w:eastAsia="楷体_GB2312" w:cs="楷体_GB2312"/>
          <w:kern w:val="0"/>
          <w:sz w:val="20"/>
        </w:rPr>
      </w:pPr>
    </w:p>
    <w:p w14:paraId="1D25C90E">
      <w:pPr>
        <w:snapToGrid w:val="0"/>
        <w:spacing w:line="420" w:lineRule="exact"/>
        <w:ind w:firstLine="484" w:firstLineChars="202"/>
        <w:jc w:val="right"/>
        <w:rPr>
          <w:sz w:val="24"/>
          <w:szCs w:val="24"/>
        </w:rPr>
      </w:pPr>
      <w:r>
        <w:rPr>
          <w:rFonts w:hint="eastAsia" w:cs="宋体"/>
          <w:sz w:val="24"/>
          <w:szCs w:val="24"/>
        </w:rPr>
        <w:t>供应商（须加盖公章）</w:t>
      </w:r>
    </w:p>
    <w:p w14:paraId="4D9ED011">
      <w:pPr>
        <w:snapToGrid w:val="0"/>
        <w:spacing w:line="420" w:lineRule="exact"/>
        <w:ind w:firstLine="484" w:firstLineChars="202"/>
        <w:jc w:val="right"/>
        <w:rPr>
          <w:sz w:val="24"/>
          <w:szCs w:val="24"/>
        </w:rPr>
      </w:pPr>
      <w:r>
        <w:rPr>
          <w:rFonts w:hint="eastAsia" w:cs="宋体"/>
          <w:sz w:val="24"/>
          <w:szCs w:val="24"/>
        </w:rPr>
        <w:t xml:space="preserve">2026年 </w:t>
      </w:r>
      <w:r>
        <w:rPr>
          <w:rFonts w:cs="宋体"/>
          <w:sz w:val="24"/>
          <w:szCs w:val="24"/>
        </w:rPr>
        <w:t xml:space="preserve"> </w:t>
      </w:r>
      <w:r>
        <w:rPr>
          <w:rFonts w:hint="eastAsia" w:cs="宋体"/>
          <w:sz w:val="24"/>
          <w:szCs w:val="24"/>
        </w:rPr>
        <w:t xml:space="preserve">月 </w:t>
      </w:r>
      <w:r>
        <w:rPr>
          <w:rFonts w:cs="宋体"/>
          <w:sz w:val="24"/>
          <w:szCs w:val="24"/>
        </w:rPr>
        <w:t xml:space="preserve"> </w:t>
      </w:r>
      <w:r>
        <w:rPr>
          <w:rFonts w:hint="eastAsia" w:cs="宋体"/>
          <w:sz w:val="24"/>
          <w:szCs w:val="24"/>
        </w:rPr>
        <w:t>日</w:t>
      </w:r>
    </w:p>
    <w:p w14:paraId="60A0EC92">
      <w:pPr>
        <w:snapToGrid w:val="0"/>
        <w:spacing w:line="420" w:lineRule="exact"/>
        <w:ind w:firstLine="484" w:firstLineChars="202"/>
        <w:jc w:val="left"/>
        <w:rPr>
          <w:sz w:val="24"/>
          <w:szCs w:val="24"/>
        </w:rPr>
      </w:pPr>
    </w:p>
    <w:p w14:paraId="18A0996C">
      <w:pPr>
        <w:snapToGrid w:val="0"/>
        <w:spacing w:line="420" w:lineRule="exact"/>
        <w:jc w:val="center"/>
        <w:rPr>
          <w:b/>
          <w:bCs/>
          <w:sz w:val="24"/>
          <w:szCs w:val="24"/>
        </w:rPr>
      </w:pPr>
      <w:r>
        <w:rPr>
          <w:rFonts w:hint="eastAsia" w:cs="宋体"/>
          <w:b/>
          <w:bCs/>
          <w:sz w:val="24"/>
          <w:szCs w:val="24"/>
        </w:rPr>
        <w:t>被委托受权人身份证复印件</w:t>
      </w:r>
    </w:p>
    <w:p w14:paraId="642A8BCA">
      <w:pPr>
        <w:snapToGrid w:val="0"/>
        <w:spacing w:line="420" w:lineRule="exact"/>
        <w:jc w:val="center"/>
        <w:rPr>
          <w:b/>
          <w:bCs/>
          <w:sz w:val="24"/>
          <w:szCs w:val="24"/>
        </w:rPr>
      </w:pPr>
    </w:p>
    <w:p w14:paraId="4F41B021">
      <w:pPr>
        <w:snapToGrid w:val="0"/>
        <w:spacing w:line="420" w:lineRule="exact"/>
        <w:jc w:val="center"/>
        <w:rPr>
          <w:b/>
          <w:bCs/>
          <w:sz w:val="24"/>
          <w:szCs w:val="24"/>
        </w:rPr>
      </w:pPr>
    </w:p>
    <w:p w14:paraId="260EC379">
      <w:pPr>
        <w:snapToGrid w:val="0"/>
        <w:spacing w:line="420" w:lineRule="exact"/>
        <w:jc w:val="center"/>
        <w:rPr>
          <w:b/>
          <w:bCs/>
          <w:sz w:val="24"/>
          <w:szCs w:val="24"/>
        </w:rPr>
      </w:pPr>
    </w:p>
    <w:p w14:paraId="1F6DB880">
      <w:pPr>
        <w:snapToGrid w:val="0"/>
        <w:spacing w:line="420" w:lineRule="exact"/>
        <w:jc w:val="center"/>
        <w:rPr>
          <w:sz w:val="24"/>
          <w:szCs w:val="24"/>
        </w:rPr>
      </w:pPr>
      <w:r>
        <w:rPr>
          <w:rFonts w:hint="eastAsia" w:cs="宋体"/>
          <w:sz w:val="24"/>
          <w:szCs w:val="24"/>
        </w:rPr>
        <w:t>（放置此处）</w:t>
      </w:r>
    </w:p>
    <w:p w14:paraId="4F4BBB2D">
      <w:pPr>
        <w:snapToGrid w:val="0"/>
        <w:spacing w:line="420" w:lineRule="exact"/>
        <w:jc w:val="center"/>
        <w:rPr>
          <w:sz w:val="24"/>
          <w:szCs w:val="24"/>
        </w:rPr>
      </w:pPr>
    </w:p>
    <w:p w14:paraId="27587B6D">
      <w:pPr>
        <w:snapToGrid w:val="0"/>
        <w:spacing w:line="420" w:lineRule="exact"/>
        <w:jc w:val="center"/>
        <w:rPr>
          <w:sz w:val="24"/>
          <w:szCs w:val="24"/>
        </w:rPr>
      </w:pPr>
    </w:p>
    <w:p w14:paraId="0883C26B">
      <w:pPr>
        <w:snapToGrid w:val="0"/>
        <w:spacing w:line="420" w:lineRule="exact"/>
        <w:jc w:val="center"/>
        <w:rPr>
          <w:sz w:val="24"/>
          <w:szCs w:val="24"/>
        </w:rPr>
      </w:pPr>
    </w:p>
    <w:p w14:paraId="41C630BA">
      <w:pPr>
        <w:snapToGrid w:val="0"/>
        <w:spacing w:line="420" w:lineRule="exact"/>
        <w:jc w:val="left"/>
        <w:rPr>
          <w:b/>
          <w:bCs/>
          <w:sz w:val="24"/>
          <w:szCs w:val="24"/>
        </w:rPr>
      </w:pPr>
      <w:r>
        <w:rPr>
          <w:rFonts w:hint="eastAsia" w:cs="宋体"/>
          <w:b/>
          <w:bCs/>
          <w:sz w:val="24"/>
          <w:szCs w:val="24"/>
        </w:rPr>
        <w:t>注：</w:t>
      </w:r>
    </w:p>
    <w:p w14:paraId="6B482FB3">
      <w:pPr>
        <w:snapToGrid w:val="0"/>
        <w:spacing w:line="420" w:lineRule="exact"/>
        <w:jc w:val="left"/>
        <w:rPr>
          <w:b/>
          <w:bCs/>
          <w:sz w:val="24"/>
          <w:szCs w:val="24"/>
        </w:rPr>
      </w:pPr>
      <w:r>
        <w:rPr>
          <w:rFonts w:hint="eastAsia" w:cs="宋体"/>
          <w:b/>
          <w:bCs/>
          <w:sz w:val="24"/>
          <w:szCs w:val="24"/>
        </w:rPr>
        <w:t>提供被委托受权人的身份证（正、反面）复印件</w:t>
      </w:r>
      <w:r>
        <w:rPr>
          <w:rFonts w:hint="eastAsia" w:cs="宋体"/>
          <w:b/>
          <w:bCs/>
          <w:sz w:val="24"/>
          <w:szCs w:val="24"/>
          <w:u w:val="thick" w:color="FF0000"/>
        </w:rPr>
        <w:t>并加盖公章</w:t>
      </w:r>
      <w:r>
        <w:rPr>
          <w:rFonts w:hint="eastAsia" w:cs="宋体"/>
          <w:b/>
          <w:bCs/>
          <w:sz w:val="24"/>
          <w:szCs w:val="24"/>
        </w:rPr>
        <w:t>。</w:t>
      </w:r>
    </w:p>
    <w:p w14:paraId="79815447">
      <w:pPr>
        <w:widowControl/>
        <w:spacing w:line="20" w:lineRule="exact"/>
        <w:jc w:val="left"/>
        <w:rPr>
          <w:sz w:val="24"/>
          <w:szCs w:val="24"/>
        </w:rPr>
      </w:pPr>
      <w:r>
        <w:rPr>
          <w:sz w:val="24"/>
          <w:szCs w:val="24"/>
        </w:rPr>
        <w:br w:type="page"/>
      </w:r>
    </w:p>
    <w:p w14:paraId="441DBB93">
      <w:pPr>
        <w:snapToGrid w:val="0"/>
        <w:spacing w:line="420" w:lineRule="exact"/>
        <w:ind w:firstLine="565" w:firstLineChars="235"/>
        <w:jc w:val="left"/>
        <w:outlineLvl w:val="4"/>
        <w:rPr>
          <w:b/>
          <w:bCs/>
          <w:sz w:val="24"/>
          <w:szCs w:val="24"/>
        </w:rPr>
      </w:pPr>
      <w:r>
        <w:rPr>
          <w:rFonts w:hint="eastAsia"/>
          <w:b/>
          <w:bCs/>
          <w:sz w:val="24"/>
          <w:szCs w:val="24"/>
        </w:rPr>
        <w:t>（</w:t>
      </w:r>
      <w:r>
        <w:rPr>
          <w:b/>
          <w:bCs/>
          <w:sz w:val="24"/>
          <w:szCs w:val="24"/>
        </w:rPr>
        <w:t>4</w:t>
      </w:r>
      <w:r>
        <w:rPr>
          <w:rFonts w:hint="eastAsia"/>
          <w:b/>
          <w:bCs/>
          <w:sz w:val="24"/>
          <w:szCs w:val="24"/>
        </w:rPr>
        <w:t>）履行合同所必需的设备和专业技术能力承诺函</w:t>
      </w:r>
    </w:p>
    <w:p w14:paraId="55BC7DE0">
      <w:pPr>
        <w:snapToGrid w:val="0"/>
        <w:spacing w:before="240" w:beforeLines="100" w:after="240" w:afterLines="100" w:line="420" w:lineRule="exact"/>
        <w:jc w:val="center"/>
        <w:rPr>
          <w:rFonts w:cs="宋体"/>
          <w:sz w:val="24"/>
          <w:szCs w:val="24"/>
        </w:rPr>
      </w:pPr>
      <w:r>
        <w:rPr>
          <w:rFonts w:hint="eastAsia" w:cs="宋体"/>
          <w:b/>
          <w:bCs/>
          <w:sz w:val="28"/>
          <w:szCs w:val="28"/>
        </w:rPr>
        <w:t>履行合同所必需的设备和专业技术能力承诺函</w:t>
      </w:r>
    </w:p>
    <w:p w14:paraId="17F35EAD">
      <w:pPr>
        <w:snapToGrid w:val="0"/>
        <w:spacing w:before="240" w:beforeLines="100" w:after="240" w:afterLines="100" w:line="420" w:lineRule="exact"/>
        <w:rPr>
          <w:rFonts w:hint="eastAsia" w:ascii="宋体" w:hAnsi="宋体" w:cs="宋体"/>
          <w:sz w:val="24"/>
          <w:szCs w:val="24"/>
        </w:rPr>
      </w:pPr>
      <w:r>
        <w:rPr>
          <w:rFonts w:hint="eastAsia" w:cs="宋体"/>
          <w:sz w:val="24"/>
          <w:szCs w:val="24"/>
        </w:rPr>
        <w:t>南通市崇川区数据局：</w:t>
      </w:r>
    </w:p>
    <w:p w14:paraId="6E83C605">
      <w:pPr>
        <w:spacing w:line="360" w:lineRule="auto"/>
        <w:ind w:firstLine="560"/>
        <w:jc w:val="left"/>
        <w:rPr>
          <w:rFonts w:hint="eastAsia" w:ascii="宋体" w:hAnsi="宋体" w:cs="宋体"/>
          <w:sz w:val="24"/>
          <w:szCs w:val="24"/>
        </w:rPr>
      </w:pPr>
      <w:r>
        <w:rPr>
          <w:rFonts w:hint="eastAsia" w:ascii="宋体" w:hAnsi="宋体" w:cs="宋体"/>
          <w:sz w:val="24"/>
          <w:szCs w:val="24"/>
        </w:rPr>
        <w:t>我</w:t>
      </w:r>
      <w:r>
        <w:rPr>
          <w:rFonts w:hint="eastAsia" w:cs="宋体"/>
          <w:sz w:val="24"/>
          <w:szCs w:val="24"/>
          <w:u w:val="single"/>
        </w:rPr>
        <w:t>（供应商名称）</w:t>
      </w:r>
      <w:r>
        <w:rPr>
          <w:rFonts w:hint="eastAsia" w:ascii="宋体" w:hAnsi="宋体" w:cs="宋体"/>
          <w:sz w:val="24"/>
          <w:szCs w:val="24"/>
        </w:rPr>
        <w:t>郑重承诺：</w:t>
      </w:r>
    </w:p>
    <w:p w14:paraId="5050B057">
      <w:pPr>
        <w:spacing w:line="360" w:lineRule="auto"/>
        <w:ind w:firstLine="560"/>
        <w:jc w:val="left"/>
        <w:rPr>
          <w:rFonts w:hint="eastAsia" w:ascii="宋体" w:hAnsi="宋体" w:cs="宋体"/>
          <w:color w:val="FF0000"/>
          <w:sz w:val="24"/>
          <w:szCs w:val="24"/>
        </w:rPr>
      </w:pPr>
      <w:r>
        <w:rPr>
          <w:rFonts w:hint="eastAsia" w:cs="宋体"/>
          <w:sz w:val="24"/>
          <w:szCs w:val="24"/>
        </w:rPr>
        <w:t>参加</w:t>
      </w:r>
      <w:bookmarkStart w:id="136" w:name="_Hlk148320614"/>
      <w:r>
        <w:rPr>
          <w:rFonts w:hint="eastAsia" w:cs="宋体"/>
          <w:sz w:val="24"/>
          <w:szCs w:val="24"/>
        </w:rPr>
        <w:t>项目编号：</w:t>
      </w:r>
      <w:r>
        <w:rPr>
          <w:sz w:val="24"/>
          <w:szCs w:val="24"/>
          <w:u w:val="single"/>
        </w:rPr>
        <w:t xml:space="preserve">  NTHH2026011(JT01)  </w:t>
      </w:r>
      <w:r>
        <w:rPr>
          <w:rFonts w:hint="eastAsia" w:cs="宋体"/>
          <w:sz w:val="24"/>
          <w:szCs w:val="24"/>
        </w:rPr>
        <w:t>的</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南通市崇川区电子政务外网机房精密空调运行维护和防鼠灭鼠服务采购项目</w:t>
      </w:r>
      <w:r>
        <w:rPr>
          <w:rFonts w:cs="宋体"/>
          <w:sz w:val="24"/>
          <w:szCs w:val="24"/>
          <w:u w:val="single"/>
        </w:rPr>
        <w:t xml:space="preserve"> </w:t>
      </w:r>
      <w:r>
        <w:rPr>
          <w:rFonts w:hint="eastAsia" w:cs="宋体"/>
          <w:sz w:val="24"/>
          <w:szCs w:val="24"/>
        </w:rPr>
        <w:t>的</w:t>
      </w:r>
      <w:bookmarkEnd w:id="136"/>
      <w:r>
        <w:rPr>
          <w:rFonts w:hint="eastAsia" w:cs="宋体"/>
          <w:sz w:val="24"/>
          <w:szCs w:val="24"/>
        </w:rPr>
        <w:t>竞争性谈判采购活动</w:t>
      </w:r>
      <w:r>
        <w:rPr>
          <w:rFonts w:hint="eastAsia" w:ascii="宋体" w:hAnsi="宋体" w:cs="宋体"/>
          <w:sz w:val="24"/>
          <w:szCs w:val="24"/>
        </w:rPr>
        <w:t>，我单位</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(在下划线上如实填写：有或没有）履行合同所必需的设备和专业技术能力。</w:t>
      </w:r>
    </w:p>
    <w:p w14:paraId="4289E3A1">
      <w:pPr>
        <w:spacing w:line="360" w:lineRule="auto"/>
        <w:ind w:firstLine="560"/>
        <w:jc w:val="left"/>
        <w:rPr>
          <w:rFonts w:hint="eastAsia" w:ascii="宋体" w:hAnsi="宋体" w:cs="宋体"/>
          <w:sz w:val="24"/>
          <w:szCs w:val="24"/>
        </w:rPr>
      </w:pPr>
    </w:p>
    <w:p w14:paraId="3EEE7227">
      <w:pPr>
        <w:spacing w:line="360" w:lineRule="auto"/>
        <w:ind w:firstLine="560"/>
        <w:jc w:val="left"/>
        <w:rPr>
          <w:rFonts w:hint="eastAsia" w:ascii="宋体" w:hAnsi="宋体" w:cs="宋体"/>
          <w:sz w:val="24"/>
          <w:szCs w:val="24"/>
        </w:rPr>
      </w:pPr>
    </w:p>
    <w:p w14:paraId="5C9E13C3">
      <w:pPr>
        <w:snapToGrid w:val="0"/>
        <w:spacing w:line="460" w:lineRule="exact"/>
        <w:jc w:val="right"/>
        <w:rPr>
          <w:rFonts w:hint="eastAsia" w:ascii="宋体" w:hAnsi="宋体"/>
          <w:bCs/>
          <w:sz w:val="24"/>
          <w:szCs w:val="24"/>
        </w:rPr>
      </w:pPr>
      <w:r>
        <w:rPr>
          <w:rFonts w:hint="eastAsia" w:ascii="宋体" w:hAnsi="宋体"/>
          <w:bCs/>
          <w:sz w:val="24"/>
          <w:szCs w:val="24"/>
        </w:rPr>
        <w:t>法定代表人（或负责人）或被委托受权人（签字或盖章）：</w:t>
      </w:r>
    </w:p>
    <w:p w14:paraId="376918A0">
      <w:pPr>
        <w:snapToGrid w:val="0"/>
        <w:spacing w:line="460" w:lineRule="exact"/>
        <w:jc w:val="right"/>
        <w:rPr>
          <w:rFonts w:hint="eastAsia" w:ascii="宋体" w:hAnsi="宋体"/>
          <w:bCs/>
          <w:sz w:val="24"/>
          <w:szCs w:val="24"/>
        </w:rPr>
      </w:pPr>
    </w:p>
    <w:p w14:paraId="55E28478">
      <w:pPr>
        <w:snapToGrid w:val="0"/>
        <w:spacing w:line="460" w:lineRule="exact"/>
        <w:jc w:val="right"/>
        <w:rPr>
          <w:rFonts w:hint="eastAsia" w:ascii="宋体" w:hAnsi="宋体"/>
          <w:bCs/>
          <w:sz w:val="24"/>
          <w:szCs w:val="24"/>
        </w:rPr>
      </w:pPr>
      <w:r>
        <w:rPr>
          <w:rFonts w:hint="eastAsia" w:ascii="宋体" w:hAnsi="宋体"/>
          <w:bCs/>
          <w:sz w:val="24"/>
          <w:szCs w:val="24"/>
        </w:rPr>
        <w:t>供应商（须加盖公章）：</w:t>
      </w:r>
    </w:p>
    <w:p w14:paraId="6E00E155">
      <w:pPr>
        <w:snapToGrid w:val="0"/>
        <w:spacing w:line="460" w:lineRule="exact"/>
        <w:jc w:val="right"/>
        <w:rPr>
          <w:rFonts w:hint="eastAsia" w:ascii="宋体" w:hAnsi="宋体"/>
          <w:bCs/>
          <w:sz w:val="24"/>
          <w:szCs w:val="24"/>
        </w:rPr>
      </w:pPr>
    </w:p>
    <w:p w14:paraId="32D16FBE">
      <w:pPr>
        <w:wordWrap w:val="0"/>
        <w:snapToGrid w:val="0"/>
        <w:spacing w:line="460" w:lineRule="exact"/>
        <w:jc w:val="right"/>
        <w:rPr>
          <w:rFonts w:hint="eastAsia" w:ascii="宋体" w:hAnsi="宋体"/>
          <w:bCs/>
          <w:sz w:val="24"/>
          <w:szCs w:val="24"/>
        </w:rPr>
      </w:pPr>
      <w:r>
        <w:rPr>
          <w:bCs/>
          <w:sz w:val="24"/>
          <w:szCs w:val="24"/>
        </w:rPr>
        <w:t>2026年</w:t>
      </w:r>
      <w:r>
        <w:rPr>
          <w:rFonts w:hint="eastAsia" w:ascii="宋体" w:hAnsi="宋体"/>
          <w:bCs/>
          <w:sz w:val="24"/>
          <w:szCs w:val="24"/>
        </w:rPr>
        <w:t xml:space="preserve"> 月 日</w:t>
      </w:r>
    </w:p>
    <w:p w14:paraId="27B89B39">
      <w:pPr>
        <w:widowControl/>
        <w:spacing w:line="20" w:lineRule="exact"/>
        <w:jc w:val="left"/>
        <w:rPr>
          <w:sz w:val="24"/>
          <w:szCs w:val="24"/>
        </w:rPr>
      </w:pPr>
      <w:r>
        <w:rPr>
          <w:sz w:val="24"/>
          <w:szCs w:val="24"/>
        </w:rPr>
        <w:br w:type="page"/>
      </w:r>
    </w:p>
    <w:p w14:paraId="3C5A47E2">
      <w:pPr>
        <w:snapToGrid w:val="0"/>
        <w:spacing w:line="420" w:lineRule="exact"/>
        <w:ind w:firstLine="565" w:firstLineChars="235"/>
        <w:jc w:val="left"/>
        <w:outlineLvl w:val="4"/>
        <w:rPr>
          <w:b/>
          <w:bCs/>
          <w:sz w:val="24"/>
          <w:szCs w:val="24"/>
        </w:rPr>
      </w:pPr>
      <w:r>
        <w:rPr>
          <w:rFonts w:hint="eastAsia"/>
          <w:b/>
          <w:bCs/>
          <w:sz w:val="24"/>
          <w:szCs w:val="24"/>
        </w:rPr>
        <w:t>（</w:t>
      </w:r>
      <w:r>
        <w:rPr>
          <w:b/>
          <w:bCs/>
          <w:sz w:val="24"/>
          <w:szCs w:val="24"/>
        </w:rPr>
        <w:t>5</w:t>
      </w:r>
      <w:r>
        <w:rPr>
          <w:rFonts w:hint="eastAsia"/>
          <w:b/>
          <w:bCs/>
          <w:sz w:val="24"/>
          <w:szCs w:val="24"/>
        </w:rPr>
        <w:t>）无重大违法记录声明</w:t>
      </w:r>
    </w:p>
    <w:p w14:paraId="675994F5">
      <w:pPr>
        <w:snapToGrid w:val="0"/>
        <w:spacing w:before="240" w:beforeLines="100" w:after="240" w:afterLines="100" w:line="420" w:lineRule="exact"/>
        <w:jc w:val="center"/>
        <w:rPr>
          <w:rFonts w:cs="宋体"/>
          <w:sz w:val="24"/>
          <w:szCs w:val="24"/>
        </w:rPr>
      </w:pPr>
      <w:r>
        <w:rPr>
          <w:rFonts w:hint="eastAsia" w:cs="宋体"/>
          <w:b/>
          <w:bCs/>
          <w:sz w:val="28"/>
          <w:szCs w:val="28"/>
        </w:rPr>
        <w:t>无重大违法记录声明</w:t>
      </w:r>
    </w:p>
    <w:p w14:paraId="6E848C74">
      <w:pPr>
        <w:snapToGrid w:val="0"/>
        <w:spacing w:before="240" w:beforeLines="100" w:after="240" w:afterLines="100" w:line="420" w:lineRule="exact"/>
        <w:rPr>
          <w:sz w:val="24"/>
          <w:szCs w:val="24"/>
        </w:rPr>
      </w:pPr>
      <w:r>
        <w:rPr>
          <w:rFonts w:hint="eastAsia" w:cs="宋体"/>
          <w:sz w:val="24"/>
          <w:szCs w:val="24"/>
        </w:rPr>
        <w:t>南通市崇川区数据局：</w:t>
      </w:r>
    </w:p>
    <w:p w14:paraId="6E0D38CC">
      <w:pPr>
        <w:spacing w:line="420" w:lineRule="exact"/>
        <w:ind w:firstLine="566" w:firstLineChars="236"/>
        <w:rPr>
          <w:sz w:val="24"/>
          <w:szCs w:val="24"/>
        </w:rPr>
      </w:pPr>
      <w:r>
        <w:rPr>
          <w:rFonts w:hint="eastAsia" w:cs="宋体"/>
          <w:sz w:val="24"/>
          <w:szCs w:val="24"/>
        </w:rPr>
        <w:t>我单位</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 xml:space="preserve">（供应商名称） </w:t>
      </w:r>
      <w:r>
        <w:rPr>
          <w:rFonts w:cs="宋体"/>
          <w:sz w:val="24"/>
          <w:szCs w:val="24"/>
          <w:u w:val="single"/>
        </w:rPr>
        <w:t xml:space="preserve"> </w:t>
      </w:r>
      <w:r>
        <w:rPr>
          <w:rFonts w:hint="eastAsia" w:cs="宋体"/>
          <w:sz w:val="24"/>
          <w:szCs w:val="24"/>
        </w:rPr>
        <w:t>郑重声明：</w:t>
      </w:r>
    </w:p>
    <w:p w14:paraId="0C48D14A">
      <w:pPr>
        <w:spacing w:line="420" w:lineRule="exact"/>
        <w:ind w:firstLine="566" w:firstLineChars="236"/>
        <w:rPr>
          <w:sz w:val="24"/>
          <w:szCs w:val="24"/>
        </w:rPr>
      </w:pPr>
      <w:r>
        <w:rPr>
          <w:rFonts w:hint="eastAsia" w:cs="宋体"/>
          <w:sz w:val="24"/>
          <w:szCs w:val="24"/>
        </w:rPr>
        <w:t>参加本次项目编号：</w:t>
      </w:r>
      <w:r>
        <w:rPr>
          <w:sz w:val="24"/>
          <w:szCs w:val="24"/>
          <w:u w:val="single"/>
        </w:rPr>
        <w:t xml:space="preserve">  NTHH2026011(JT01)  </w:t>
      </w:r>
      <w:r>
        <w:rPr>
          <w:rFonts w:hint="eastAsia" w:cs="宋体"/>
          <w:sz w:val="24"/>
          <w:szCs w:val="24"/>
        </w:rPr>
        <w:t>的</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南通市崇川区电子政务外网机房精密空调运行维护和防鼠灭鼠服务采购项目</w:t>
      </w:r>
      <w:r>
        <w:rPr>
          <w:rFonts w:cs="宋体"/>
          <w:sz w:val="24"/>
          <w:szCs w:val="24"/>
          <w:u w:val="single"/>
        </w:rPr>
        <w:t xml:space="preserve"> </w:t>
      </w:r>
      <w:r>
        <w:rPr>
          <w:rFonts w:hint="eastAsia" w:cs="宋体"/>
          <w:sz w:val="24"/>
          <w:szCs w:val="24"/>
        </w:rPr>
        <w:t>的政府采购活动前</w:t>
      </w:r>
      <w:r>
        <w:rPr>
          <w:sz w:val="24"/>
          <w:szCs w:val="24"/>
        </w:rPr>
        <w:t>3</w:t>
      </w:r>
      <w:r>
        <w:rPr>
          <w:rFonts w:hint="eastAsia" w:cs="宋体"/>
          <w:sz w:val="24"/>
          <w:szCs w:val="24"/>
        </w:rPr>
        <w:t>年内，在经营活动中</w:t>
      </w:r>
      <w:r>
        <w:rPr>
          <w:rFonts w:hint="eastAsia" w:cs="宋体"/>
          <w:sz w:val="24"/>
          <w:szCs w:val="24"/>
          <w:u w:val="single"/>
        </w:rPr>
        <w:t xml:space="preserve"> </w:t>
      </w:r>
      <w:r>
        <w:rPr>
          <w:rFonts w:cs="宋体"/>
          <w:sz w:val="24"/>
          <w:szCs w:val="24"/>
          <w:u w:val="single"/>
        </w:rPr>
        <w:t xml:space="preserve">    </w:t>
      </w:r>
      <w:r>
        <w:rPr>
          <w:rFonts w:hint="eastAsia" w:cs="宋体"/>
          <w:sz w:val="24"/>
          <w:szCs w:val="24"/>
        </w:rPr>
        <w:t>（在下划线上如实填写：有或没有）重大违法记录。</w:t>
      </w:r>
    </w:p>
    <w:p w14:paraId="6091BC01">
      <w:pPr>
        <w:spacing w:line="420" w:lineRule="exact"/>
        <w:ind w:firstLine="424" w:firstLineChars="177"/>
        <w:rPr>
          <w:sz w:val="24"/>
          <w:szCs w:val="24"/>
        </w:rPr>
      </w:pPr>
    </w:p>
    <w:p w14:paraId="51E64E13">
      <w:pPr>
        <w:spacing w:line="420" w:lineRule="exact"/>
        <w:ind w:firstLine="424" w:firstLineChars="177"/>
        <w:rPr>
          <w:rFonts w:cs="宋体"/>
          <w:sz w:val="24"/>
          <w:szCs w:val="24"/>
        </w:rPr>
      </w:pPr>
      <w:bookmarkStart w:id="137" w:name="_Hlk118066190"/>
      <w:r>
        <w:rPr>
          <w:rFonts w:hint="eastAsia" w:cs="宋体"/>
          <w:sz w:val="24"/>
          <w:szCs w:val="24"/>
        </w:rPr>
        <w:t xml:space="preserve">说明： </w:t>
      </w:r>
    </w:p>
    <w:p w14:paraId="0B4E1555">
      <w:pPr>
        <w:spacing w:line="420" w:lineRule="exact"/>
        <w:ind w:firstLine="424" w:firstLineChars="177"/>
        <w:rPr>
          <w:rFonts w:cs="宋体"/>
          <w:sz w:val="24"/>
          <w:szCs w:val="24"/>
        </w:rPr>
      </w:pPr>
      <w:r>
        <w:rPr>
          <w:rFonts w:hint="eastAsia" w:cs="宋体"/>
          <w:sz w:val="24"/>
          <w:szCs w:val="24"/>
        </w:rPr>
        <w:t>1.《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p>
    <w:p w14:paraId="4D951CF8">
      <w:pPr>
        <w:spacing w:line="420" w:lineRule="exact"/>
        <w:ind w:firstLine="424" w:firstLineChars="177"/>
        <w:rPr>
          <w:sz w:val="24"/>
          <w:szCs w:val="24"/>
        </w:rPr>
      </w:pPr>
      <w:r>
        <w:rPr>
          <w:rFonts w:hint="eastAsia" w:cs="宋体"/>
          <w:sz w:val="24"/>
          <w:szCs w:val="24"/>
        </w:rPr>
        <w:t>2. 《财政部关于&lt;中华人民共和国政府采购法实施条例&g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bookmarkEnd w:id="137"/>
    </w:p>
    <w:p w14:paraId="6C852DAF">
      <w:pPr>
        <w:spacing w:line="420" w:lineRule="exact"/>
        <w:ind w:firstLine="424" w:firstLineChars="177"/>
        <w:rPr>
          <w:sz w:val="24"/>
          <w:szCs w:val="24"/>
        </w:rPr>
      </w:pPr>
    </w:p>
    <w:p w14:paraId="4C367960">
      <w:pPr>
        <w:spacing w:line="420" w:lineRule="exact"/>
        <w:ind w:firstLine="424" w:firstLineChars="177"/>
        <w:rPr>
          <w:sz w:val="24"/>
          <w:szCs w:val="24"/>
        </w:rPr>
      </w:pPr>
    </w:p>
    <w:p w14:paraId="60DB39CE">
      <w:pPr>
        <w:spacing w:line="420" w:lineRule="exact"/>
        <w:jc w:val="right"/>
        <w:rPr>
          <w:sz w:val="24"/>
          <w:szCs w:val="24"/>
        </w:rPr>
      </w:pPr>
      <w:r>
        <w:rPr>
          <w:rFonts w:hint="eastAsia" w:cs="宋体"/>
          <w:sz w:val="24"/>
          <w:szCs w:val="24"/>
        </w:rPr>
        <w:t>声明人：（须加盖公章）</w:t>
      </w:r>
    </w:p>
    <w:p w14:paraId="55457D2F">
      <w:pPr>
        <w:spacing w:line="420" w:lineRule="exact"/>
        <w:jc w:val="right"/>
        <w:rPr>
          <w:sz w:val="24"/>
          <w:szCs w:val="24"/>
        </w:rPr>
      </w:pPr>
      <w:r>
        <w:rPr>
          <w:rFonts w:hint="eastAsia" w:cs="宋体"/>
          <w:sz w:val="24"/>
          <w:szCs w:val="24"/>
        </w:rPr>
        <w:t xml:space="preserve">2026年 </w:t>
      </w:r>
      <w:r>
        <w:rPr>
          <w:rFonts w:cs="宋体"/>
          <w:sz w:val="24"/>
          <w:szCs w:val="24"/>
        </w:rPr>
        <w:t xml:space="preserve"> </w:t>
      </w:r>
      <w:r>
        <w:rPr>
          <w:rFonts w:hint="eastAsia" w:cs="宋体"/>
          <w:sz w:val="24"/>
          <w:szCs w:val="24"/>
        </w:rPr>
        <w:t xml:space="preserve">月 </w:t>
      </w:r>
      <w:r>
        <w:rPr>
          <w:rFonts w:cs="宋体"/>
          <w:sz w:val="24"/>
          <w:szCs w:val="24"/>
        </w:rPr>
        <w:t xml:space="preserve"> </w:t>
      </w:r>
      <w:r>
        <w:rPr>
          <w:rFonts w:hint="eastAsia" w:cs="宋体"/>
          <w:sz w:val="24"/>
          <w:szCs w:val="24"/>
        </w:rPr>
        <w:t>日</w:t>
      </w:r>
    </w:p>
    <w:p w14:paraId="65E05CBF">
      <w:pPr>
        <w:widowControl/>
        <w:spacing w:line="20" w:lineRule="exact"/>
        <w:jc w:val="left"/>
        <w:rPr>
          <w:sz w:val="24"/>
          <w:szCs w:val="24"/>
        </w:rPr>
      </w:pPr>
      <w:r>
        <w:rPr>
          <w:sz w:val="24"/>
          <w:szCs w:val="24"/>
        </w:rPr>
        <w:br w:type="page"/>
      </w:r>
    </w:p>
    <w:p w14:paraId="2ECBB393">
      <w:pPr>
        <w:snapToGrid w:val="0"/>
        <w:spacing w:line="420" w:lineRule="exact"/>
        <w:ind w:firstLine="565" w:firstLineChars="235"/>
        <w:jc w:val="left"/>
        <w:outlineLvl w:val="4"/>
        <w:rPr>
          <w:b/>
          <w:bCs/>
          <w:sz w:val="24"/>
          <w:szCs w:val="24"/>
        </w:rPr>
      </w:pPr>
      <w:r>
        <w:rPr>
          <w:rFonts w:hint="eastAsia"/>
          <w:b/>
          <w:bCs/>
          <w:sz w:val="24"/>
          <w:szCs w:val="24"/>
        </w:rPr>
        <w:t>（6）中小企业声明函（格式，必须提供）</w:t>
      </w:r>
    </w:p>
    <w:p w14:paraId="57B4D668">
      <w:pPr>
        <w:snapToGrid w:val="0"/>
        <w:spacing w:before="240" w:beforeLines="100" w:after="240" w:afterLines="100" w:line="420" w:lineRule="exact"/>
        <w:jc w:val="center"/>
        <w:rPr>
          <w:b/>
          <w:bCs/>
          <w:sz w:val="32"/>
          <w:szCs w:val="32"/>
        </w:rPr>
      </w:pPr>
      <w:r>
        <w:rPr>
          <w:rFonts w:hint="eastAsia" w:cs="宋体"/>
          <w:b/>
          <w:bCs/>
          <w:sz w:val="28"/>
          <w:szCs w:val="28"/>
        </w:rPr>
        <w:t>中小企业声明函</w:t>
      </w:r>
    </w:p>
    <w:p w14:paraId="4F9242F9">
      <w:pPr>
        <w:snapToGrid w:val="0"/>
        <w:spacing w:line="420" w:lineRule="exact"/>
        <w:ind w:firstLine="494" w:firstLineChars="206"/>
        <w:rPr>
          <w:rFonts w:cs="宋体"/>
          <w:sz w:val="24"/>
          <w:szCs w:val="24"/>
          <w:lang w:val="zh-CN"/>
        </w:rPr>
      </w:pPr>
      <w:r>
        <w:rPr>
          <w:rFonts w:hint="eastAsia" w:cs="宋体"/>
          <w:sz w:val="24"/>
          <w:szCs w:val="24"/>
          <w:lang w:val="zh-CN"/>
        </w:rPr>
        <w:t>本公司郑重声明，根据《政府采购促进中小企业发展管理办法》财库﹝2020﹞46 号的规定，本公司参加</w:t>
      </w:r>
      <w:r>
        <w:rPr>
          <w:rFonts w:hint="eastAsia" w:cs="宋体"/>
          <w:sz w:val="24"/>
          <w:szCs w:val="24"/>
          <w:u w:val="single"/>
          <w:lang w:val="zh-CN"/>
        </w:rPr>
        <w:t>南通市崇川区数据局</w:t>
      </w:r>
      <w:r>
        <w:rPr>
          <w:rFonts w:hint="eastAsia" w:cs="宋体"/>
          <w:sz w:val="24"/>
          <w:szCs w:val="24"/>
          <w:lang w:val="zh-CN"/>
        </w:rPr>
        <w:t>的</w:t>
      </w:r>
      <w:r>
        <w:rPr>
          <w:rFonts w:hint="eastAsia" w:cs="宋体"/>
          <w:sz w:val="24"/>
          <w:szCs w:val="24"/>
          <w:u w:val="single"/>
          <w:lang w:val="zh-CN"/>
        </w:rPr>
        <w:t>南通市崇川区电子政务外网机房精密空调运行维护和防鼠灭鼠服务采购项目 [项目编号：</w:t>
      </w:r>
      <w:r>
        <w:rPr>
          <w:rFonts w:cs="宋体"/>
          <w:sz w:val="24"/>
          <w:szCs w:val="24"/>
          <w:u w:val="single"/>
          <w:lang w:val="zh-CN"/>
        </w:rPr>
        <w:t>NTHH2026011(JT01)</w:t>
      </w:r>
      <w:r>
        <w:rPr>
          <w:rFonts w:hint="eastAsia" w:cs="宋体"/>
          <w:sz w:val="24"/>
          <w:szCs w:val="24"/>
          <w:u w:val="single"/>
          <w:lang w:val="zh-CN"/>
        </w:rPr>
        <w:t xml:space="preserve">] </w:t>
      </w:r>
      <w:r>
        <w:rPr>
          <w:rFonts w:hint="eastAsia" w:cs="宋体"/>
          <w:sz w:val="24"/>
          <w:szCs w:val="24"/>
          <w:lang w:val="zh-CN"/>
        </w:rPr>
        <w:t>采购活动，该项目</w:t>
      </w:r>
      <w:r>
        <w:rPr>
          <w:rFonts w:hint="eastAsia" w:cs="宋体"/>
          <w:sz w:val="24"/>
          <w:szCs w:val="24"/>
          <w:u w:val="single"/>
          <w:lang w:val="zh-CN"/>
        </w:rPr>
        <w:t>服务</w:t>
      </w:r>
      <w:r>
        <w:rPr>
          <w:rFonts w:hint="eastAsia" w:cs="宋体"/>
          <w:sz w:val="24"/>
          <w:szCs w:val="24"/>
          <w:lang w:val="zh-CN"/>
        </w:rPr>
        <w:t>全部由符合政策要求的中小企业：本公司承接。本公司具体情况如下：</w:t>
      </w:r>
    </w:p>
    <w:p w14:paraId="39203994">
      <w:pPr>
        <w:snapToGrid w:val="0"/>
        <w:spacing w:line="420" w:lineRule="exact"/>
        <w:ind w:firstLine="494" w:firstLineChars="206"/>
        <w:rPr>
          <w:rFonts w:cs="宋体"/>
          <w:sz w:val="24"/>
          <w:szCs w:val="24"/>
          <w:lang w:val="zh-CN"/>
        </w:rPr>
      </w:pPr>
      <w:r>
        <w:rPr>
          <w:rFonts w:hint="eastAsia" w:cs="宋体"/>
          <w:sz w:val="24"/>
          <w:szCs w:val="24"/>
          <w:lang w:val="zh-CN"/>
        </w:rPr>
        <w:t>1.</w:t>
      </w:r>
      <w:r>
        <w:rPr>
          <w:rFonts w:hint="eastAsia"/>
        </w:rPr>
        <w:t xml:space="preserve"> </w:t>
      </w:r>
      <w:r>
        <w:rPr>
          <w:rFonts w:hint="eastAsia" w:cs="宋体"/>
          <w:sz w:val="24"/>
          <w:szCs w:val="24"/>
          <w:u w:val="single"/>
          <w:lang w:val="zh-CN"/>
        </w:rPr>
        <w:t xml:space="preserve">机房精密空调运行维护和防鼠灭鼠服务 </w:t>
      </w:r>
      <w:r>
        <w:rPr>
          <w:rFonts w:hint="eastAsia" w:cs="宋体"/>
          <w:sz w:val="24"/>
          <w:szCs w:val="24"/>
          <w:lang w:val="zh-CN"/>
        </w:rPr>
        <w:t>属于</w:t>
      </w:r>
      <w:r>
        <w:rPr>
          <w:rFonts w:hint="eastAsia" w:cs="宋体"/>
          <w:sz w:val="24"/>
          <w:szCs w:val="24"/>
          <w:u w:val="single"/>
          <w:lang w:val="zh-CN"/>
        </w:rPr>
        <w:t>采购文件中明确规定的“其他未列明行业”</w:t>
      </w:r>
      <w:r>
        <w:rPr>
          <w:rFonts w:hint="eastAsia" w:cs="宋体"/>
          <w:sz w:val="24"/>
          <w:szCs w:val="24"/>
          <w:lang w:val="zh-CN"/>
        </w:rPr>
        <w:t>；</w:t>
      </w:r>
    </w:p>
    <w:p w14:paraId="244DA48E">
      <w:pPr>
        <w:snapToGrid w:val="0"/>
        <w:spacing w:line="420" w:lineRule="exact"/>
        <w:ind w:firstLine="494" w:firstLineChars="206"/>
        <w:rPr>
          <w:rFonts w:cs="宋体"/>
          <w:sz w:val="24"/>
          <w:szCs w:val="24"/>
          <w:lang w:val="zh-CN"/>
        </w:rPr>
      </w:pPr>
      <w:r>
        <w:rPr>
          <w:rFonts w:hint="eastAsia" w:cs="宋体"/>
          <w:sz w:val="24"/>
          <w:szCs w:val="24"/>
          <w:lang w:val="zh-CN"/>
        </w:rPr>
        <w:t>2</w:t>
      </w:r>
      <w:r>
        <w:rPr>
          <w:rFonts w:cs="宋体"/>
          <w:sz w:val="24"/>
          <w:szCs w:val="24"/>
          <w:lang w:val="zh-CN"/>
        </w:rPr>
        <w:t>.</w:t>
      </w:r>
      <w:r>
        <w:rPr>
          <w:rFonts w:hint="eastAsia" w:cs="宋体"/>
          <w:sz w:val="24"/>
          <w:szCs w:val="24"/>
          <w:lang w:val="zh-CN"/>
        </w:rPr>
        <w:t>承接企业为</w:t>
      </w:r>
      <w:r>
        <w:rPr>
          <w:rFonts w:hint="eastAsia" w:cs="宋体"/>
          <w:i/>
          <w:iCs/>
          <w:sz w:val="24"/>
          <w:szCs w:val="24"/>
          <w:u w:val="single"/>
          <w:lang w:val="zh-CN"/>
        </w:rPr>
        <w:t>（填具响应供应商名称）</w:t>
      </w:r>
      <w:r>
        <w:rPr>
          <w:rFonts w:hint="eastAsia" w:cs="宋体"/>
          <w:sz w:val="24"/>
          <w:szCs w:val="24"/>
          <w:lang w:val="zh-CN"/>
        </w:rPr>
        <w:t>；</w:t>
      </w:r>
    </w:p>
    <w:p w14:paraId="51AEA17E">
      <w:pPr>
        <w:snapToGrid w:val="0"/>
        <w:spacing w:line="420" w:lineRule="exact"/>
        <w:ind w:firstLine="494" w:firstLineChars="206"/>
        <w:rPr>
          <w:rFonts w:cs="宋体"/>
          <w:sz w:val="24"/>
          <w:szCs w:val="24"/>
          <w:lang w:val="zh-CN"/>
        </w:rPr>
      </w:pPr>
      <w:r>
        <w:rPr>
          <w:rFonts w:hint="eastAsia" w:cs="宋体"/>
          <w:sz w:val="24"/>
          <w:szCs w:val="24"/>
          <w:lang w:val="zh-CN"/>
        </w:rPr>
        <w:t>3</w:t>
      </w:r>
      <w:r>
        <w:rPr>
          <w:rFonts w:cs="宋体"/>
          <w:sz w:val="24"/>
          <w:szCs w:val="24"/>
          <w:lang w:val="zh-CN"/>
        </w:rPr>
        <w:t>.</w:t>
      </w:r>
      <w:r>
        <w:rPr>
          <w:rFonts w:hint="eastAsia" w:cs="宋体"/>
          <w:sz w:val="24"/>
          <w:szCs w:val="24"/>
          <w:lang w:val="zh-CN"/>
        </w:rPr>
        <w:t>本公司从业人员</w:t>
      </w:r>
      <w:r>
        <w:rPr>
          <w:rFonts w:hint="eastAsia" w:cs="宋体"/>
          <w:sz w:val="24"/>
          <w:szCs w:val="24"/>
          <w:u w:val="single"/>
          <w:lang w:val="zh-CN"/>
        </w:rPr>
        <w:tab/>
      </w:r>
      <w:r>
        <w:rPr>
          <w:rFonts w:cs="宋体"/>
          <w:sz w:val="24"/>
          <w:szCs w:val="24"/>
          <w:u w:val="single"/>
          <w:lang w:val="zh-CN"/>
        </w:rPr>
        <w:t xml:space="preserve">        </w:t>
      </w:r>
      <w:r>
        <w:rPr>
          <w:rFonts w:hint="eastAsia" w:cs="宋体"/>
          <w:sz w:val="24"/>
          <w:szCs w:val="24"/>
          <w:lang w:val="zh-CN"/>
        </w:rPr>
        <w:t>人；</w:t>
      </w:r>
    </w:p>
    <w:p w14:paraId="33764AAC">
      <w:pPr>
        <w:snapToGrid w:val="0"/>
        <w:spacing w:line="420" w:lineRule="exact"/>
        <w:ind w:firstLine="494" w:firstLineChars="206"/>
        <w:rPr>
          <w:rFonts w:cs="宋体"/>
          <w:sz w:val="24"/>
          <w:szCs w:val="24"/>
          <w:lang w:val="zh-CN"/>
        </w:rPr>
      </w:pPr>
      <w:r>
        <w:rPr>
          <w:rFonts w:hint="eastAsia" w:cs="宋体"/>
          <w:sz w:val="24"/>
          <w:szCs w:val="24"/>
          <w:lang w:val="zh-CN"/>
        </w:rPr>
        <w:t>4</w:t>
      </w:r>
      <w:r>
        <w:rPr>
          <w:rFonts w:cs="宋体"/>
          <w:sz w:val="24"/>
          <w:szCs w:val="24"/>
          <w:lang w:val="zh-CN"/>
        </w:rPr>
        <w:t>.</w:t>
      </w:r>
      <w:r>
        <w:rPr>
          <w:rFonts w:hint="eastAsia" w:cs="宋体"/>
          <w:sz w:val="24"/>
          <w:szCs w:val="24"/>
          <w:lang w:val="zh-CN"/>
        </w:rPr>
        <w:t>本公司营业收入为</w:t>
      </w:r>
      <w:r>
        <w:rPr>
          <w:rFonts w:hint="eastAsia" w:cs="宋体"/>
          <w:sz w:val="24"/>
          <w:szCs w:val="24"/>
          <w:u w:val="single"/>
          <w:lang w:val="zh-CN"/>
        </w:rPr>
        <w:tab/>
      </w:r>
      <w:r>
        <w:rPr>
          <w:rFonts w:cs="宋体"/>
          <w:sz w:val="24"/>
          <w:szCs w:val="24"/>
          <w:u w:val="single"/>
          <w:lang w:val="zh-CN"/>
        </w:rPr>
        <w:t xml:space="preserve">    </w:t>
      </w:r>
      <w:r>
        <w:rPr>
          <w:rFonts w:hint="eastAsia" w:cs="宋体"/>
          <w:sz w:val="24"/>
          <w:szCs w:val="24"/>
          <w:lang w:val="zh-CN"/>
        </w:rPr>
        <w:t>万元，资产总额为</w:t>
      </w:r>
      <w:r>
        <w:rPr>
          <w:rFonts w:hint="eastAsia" w:cs="宋体"/>
          <w:sz w:val="24"/>
          <w:szCs w:val="24"/>
          <w:u w:val="single"/>
          <w:lang w:val="zh-CN"/>
        </w:rPr>
        <w:tab/>
      </w:r>
      <w:r>
        <w:rPr>
          <w:rFonts w:cs="宋体"/>
          <w:sz w:val="24"/>
          <w:szCs w:val="24"/>
          <w:u w:val="single"/>
          <w:lang w:val="zh-CN"/>
        </w:rPr>
        <w:t xml:space="preserve">      </w:t>
      </w:r>
      <w:r>
        <w:rPr>
          <w:rFonts w:hint="eastAsia" w:cs="宋体"/>
          <w:sz w:val="24"/>
          <w:szCs w:val="24"/>
          <w:lang w:val="zh-CN"/>
        </w:rPr>
        <w:t>万元；</w:t>
      </w:r>
    </w:p>
    <w:p w14:paraId="5C1B718A">
      <w:pPr>
        <w:snapToGrid w:val="0"/>
        <w:spacing w:line="420" w:lineRule="exact"/>
        <w:ind w:firstLine="494" w:firstLineChars="206"/>
        <w:rPr>
          <w:rFonts w:cs="宋体"/>
          <w:sz w:val="24"/>
          <w:szCs w:val="24"/>
          <w:lang w:val="zh-CN"/>
        </w:rPr>
      </w:pPr>
      <w:r>
        <w:rPr>
          <w:rFonts w:hint="eastAsia" w:cs="宋体"/>
          <w:sz w:val="24"/>
          <w:szCs w:val="24"/>
          <w:lang w:val="zh-CN"/>
        </w:rPr>
        <w:t>5</w:t>
      </w:r>
      <w:r>
        <w:rPr>
          <w:rFonts w:cs="宋体"/>
          <w:sz w:val="24"/>
          <w:szCs w:val="24"/>
          <w:lang w:val="zh-CN"/>
        </w:rPr>
        <w:t>.</w:t>
      </w:r>
      <w:r>
        <w:rPr>
          <w:rFonts w:hint="eastAsia" w:cs="宋体"/>
          <w:sz w:val="24"/>
          <w:szCs w:val="24"/>
          <w:lang w:val="zh-CN"/>
        </w:rPr>
        <w:t>属于</w:t>
      </w:r>
      <w:r>
        <w:rPr>
          <w:rFonts w:hint="eastAsia" w:cs="宋体"/>
          <w:i/>
          <w:iCs/>
          <w:sz w:val="24"/>
          <w:szCs w:val="24"/>
          <w:u w:val="single"/>
          <w:lang w:val="zh-CN"/>
        </w:rPr>
        <w:t>（选择填具：中型企业或小型企业或微型企业）</w:t>
      </w:r>
      <w:r>
        <w:rPr>
          <w:rFonts w:hint="eastAsia" w:cs="宋体"/>
          <w:sz w:val="24"/>
          <w:szCs w:val="24"/>
          <w:lang w:val="zh-CN"/>
        </w:rPr>
        <w:t>。</w:t>
      </w:r>
    </w:p>
    <w:p w14:paraId="23DF98CC">
      <w:pPr>
        <w:snapToGrid w:val="0"/>
        <w:spacing w:line="420" w:lineRule="exact"/>
        <w:ind w:firstLine="494" w:firstLineChars="206"/>
        <w:rPr>
          <w:rFonts w:cs="宋体"/>
          <w:sz w:val="24"/>
          <w:szCs w:val="24"/>
          <w:lang w:val="zh-CN"/>
        </w:rPr>
      </w:pPr>
    </w:p>
    <w:p w14:paraId="53F57F88">
      <w:pPr>
        <w:snapToGrid w:val="0"/>
        <w:spacing w:line="420" w:lineRule="exact"/>
        <w:ind w:firstLine="494" w:firstLineChars="206"/>
        <w:rPr>
          <w:rFonts w:cs="宋体"/>
          <w:sz w:val="24"/>
          <w:szCs w:val="24"/>
          <w:lang w:val="zh-CN"/>
        </w:rPr>
      </w:pPr>
      <w:r>
        <w:rPr>
          <w:rFonts w:hint="eastAsia" w:cs="宋体"/>
          <w:sz w:val="24"/>
          <w:szCs w:val="24"/>
          <w:lang w:val="zh-CN"/>
        </w:rPr>
        <w:t>以上企业，不属于大企业的分支机构，不存在控股股东为大企业的情形，也不存在与大企业的负责人为同一人的情形。</w:t>
      </w:r>
    </w:p>
    <w:p w14:paraId="0C2A71CE">
      <w:pPr>
        <w:snapToGrid w:val="0"/>
        <w:spacing w:line="420" w:lineRule="exact"/>
        <w:ind w:firstLine="494" w:firstLineChars="206"/>
        <w:rPr>
          <w:rFonts w:cs="宋体"/>
          <w:sz w:val="24"/>
          <w:szCs w:val="24"/>
          <w:lang w:val="zh-CN"/>
        </w:rPr>
      </w:pPr>
      <w:r>
        <w:rPr>
          <w:rFonts w:hint="eastAsia" w:cs="宋体"/>
          <w:sz w:val="24"/>
          <w:szCs w:val="24"/>
          <w:lang w:val="zh-CN"/>
        </w:rPr>
        <w:t>本企业对上述声明内容的真实性负责。如有虚假，将依法承担相应责任。</w:t>
      </w:r>
    </w:p>
    <w:p w14:paraId="535CA6CE">
      <w:pPr>
        <w:snapToGrid w:val="0"/>
        <w:spacing w:line="420" w:lineRule="exact"/>
        <w:ind w:firstLine="494" w:firstLineChars="206"/>
        <w:rPr>
          <w:rFonts w:cs="宋体"/>
          <w:sz w:val="24"/>
          <w:szCs w:val="24"/>
          <w:lang w:val="zh-CN"/>
        </w:rPr>
      </w:pPr>
    </w:p>
    <w:p w14:paraId="247804CE">
      <w:pPr>
        <w:snapToGrid w:val="0"/>
        <w:spacing w:line="420" w:lineRule="exact"/>
        <w:ind w:firstLine="5102" w:firstLineChars="2126"/>
        <w:rPr>
          <w:rFonts w:cs="宋体"/>
          <w:sz w:val="24"/>
          <w:szCs w:val="24"/>
          <w:lang w:val="zh-CN"/>
        </w:rPr>
      </w:pPr>
      <w:r>
        <w:rPr>
          <w:rFonts w:hint="eastAsia" w:cs="宋体"/>
          <w:sz w:val="24"/>
          <w:szCs w:val="24"/>
          <w:lang w:val="zh-CN"/>
        </w:rPr>
        <w:t>企业名称（盖章）：</w:t>
      </w:r>
    </w:p>
    <w:p w14:paraId="2B5D0FC1">
      <w:pPr>
        <w:snapToGrid w:val="0"/>
        <w:spacing w:line="420" w:lineRule="exact"/>
        <w:ind w:firstLine="5102" w:firstLineChars="2126"/>
        <w:rPr>
          <w:sz w:val="24"/>
          <w:szCs w:val="24"/>
          <w:lang w:val="zh-CN"/>
        </w:rPr>
      </w:pPr>
      <w:r>
        <w:rPr>
          <w:rFonts w:hint="eastAsia" w:cs="宋体"/>
          <w:sz w:val="24"/>
          <w:szCs w:val="24"/>
          <w:lang w:val="zh-CN"/>
        </w:rPr>
        <w:t>日期：</w:t>
      </w:r>
    </w:p>
    <w:p w14:paraId="2C322C71">
      <w:pPr>
        <w:snapToGrid w:val="0"/>
        <w:spacing w:line="420" w:lineRule="exact"/>
        <w:ind w:firstLine="495" w:firstLineChars="206"/>
        <w:rPr>
          <w:b/>
          <w:bCs/>
          <w:sz w:val="24"/>
          <w:szCs w:val="24"/>
        </w:rPr>
      </w:pPr>
      <w:r>
        <w:rPr>
          <w:rFonts w:hint="eastAsia" w:cs="宋体"/>
          <w:b/>
          <w:bCs/>
          <w:sz w:val="24"/>
          <w:szCs w:val="24"/>
        </w:rPr>
        <w:t>注：</w:t>
      </w:r>
    </w:p>
    <w:p w14:paraId="1BDFAFEA">
      <w:pPr>
        <w:snapToGrid w:val="0"/>
        <w:spacing w:line="420" w:lineRule="exact"/>
        <w:ind w:firstLine="494" w:firstLineChars="206"/>
        <w:rPr>
          <w:rFonts w:cs="宋体"/>
          <w:sz w:val="24"/>
          <w:szCs w:val="24"/>
        </w:rPr>
      </w:pPr>
      <w:r>
        <w:rPr>
          <w:rFonts w:hint="eastAsia" w:cs="宋体"/>
          <w:sz w:val="24"/>
          <w:szCs w:val="24"/>
        </w:rPr>
        <w:t>（1）本次采购项目响应供应商符合：工信部联企业〔2011〕300号《关于印发中小企业划型标准规定的通知》中的中小企业划型标准规定，属于“租赁和商务服务业”的，将享受中小企业扶持政策。</w:t>
      </w:r>
    </w:p>
    <w:p w14:paraId="6F6C54B5">
      <w:pPr>
        <w:snapToGrid w:val="0"/>
        <w:spacing w:line="420" w:lineRule="exact"/>
        <w:ind w:firstLine="494" w:firstLineChars="206"/>
        <w:rPr>
          <w:sz w:val="24"/>
          <w:szCs w:val="24"/>
        </w:rPr>
      </w:pPr>
      <w:r>
        <w:rPr>
          <w:rFonts w:hint="eastAsia" w:cs="宋体"/>
          <w:sz w:val="24"/>
          <w:szCs w:val="24"/>
        </w:rPr>
        <w:t>“其他未列明行业”中小企业划型标准：从业人员300人以下的为中小微型企业。其中，从业人员100人及以上的为中型企业；从业人员10人及以上的为小型企业；从业人员10人以下的为微型企业。</w:t>
      </w:r>
    </w:p>
    <w:p w14:paraId="29FAA681">
      <w:pPr>
        <w:snapToGrid w:val="0"/>
        <w:spacing w:line="420" w:lineRule="exact"/>
        <w:ind w:firstLine="494" w:firstLineChars="206"/>
        <w:rPr>
          <w:sz w:val="24"/>
          <w:szCs w:val="24"/>
        </w:rPr>
      </w:pPr>
      <w:r>
        <w:rPr>
          <w:rFonts w:hint="eastAsia"/>
          <w:sz w:val="24"/>
          <w:szCs w:val="24"/>
        </w:rPr>
        <w:t>（</w:t>
      </w:r>
      <w:r>
        <w:rPr>
          <w:sz w:val="24"/>
          <w:szCs w:val="24"/>
        </w:rPr>
        <w:t>2</w:t>
      </w:r>
      <w:r>
        <w:rPr>
          <w:rFonts w:hint="eastAsia"/>
          <w:sz w:val="24"/>
          <w:szCs w:val="24"/>
        </w:rPr>
        <w:t>）从业人员、营业收入、资产总额填报2025年度数据，无2025年度数据的新成立企业可不填报。</w:t>
      </w:r>
    </w:p>
    <w:p w14:paraId="7E27FA5E">
      <w:pPr>
        <w:snapToGrid w:val="0"/>
        <w:spacing w:line="420" w:lineRule="exact"/>
        <w:ind w:firstLine="495" w:firstLineChars="206"/>
        <w:rPr>
          <w:sz w:val="24"/>
          <w:szCs w:val="24"/>
        </w:rPr>
      </w:pPr>
      <w:r>
        <w:rPr>
          <w:rFonts w:hint="eastAsia"/>
          <w:b/>
          <w:bCs/>
          <w:sz w:val="24"/>
          <w:szCs w:val="24"/>
        </w:rPr>
        <w:t>（</w:t>
      </w:r>
      <w:r>
        <w:rPr>
          <w:b/>
          <w:bCs/>
          <w:sz w:val="24"/>
          <w:szCs w:val="24"/>
        </w:rPr>
        <w:t>3</w:t>
      </w:r>
      <w:r>
        <w:rPr>
          <w:rFonts w:hint="eastAsia"/>
          <w:b/>
          <w:bCs/>
          <w:sz w:val="24"/>
          <w:szCs w:val="24"/>
        </w:rPr>
        <w:t>）响应供应商必须严格按“工信部联企业〔2011〕300号通知”中的《中小企业划型标准规定》填报并提供“中小企业声明函”。</w:t>
      </w:r>
    </w:p>
    <w:p w14:paraId="11B184DB">
      <w:pPr>
        <w:widowControl/>
        <w:spacing w:line="20" w:lineRule="exact"/>
        <w:jc w:val="left"/>
        <w:rPr>
          <w:sz w:val="24"/>
          <w:szCs w:val="24"/>
        </w:rPr>
      </w:pPr>
      <w:r>
        <w:rPr>
          <w:sz w:val="24"/>
          <w:szCs w:val="24"/>
        </w:rPr>
        <w:br w:type="page"/>
      </w:r>
    </w:p>
    <w:p w14:paraId="24AD317C">
      <w:pPr>
        <w:snapToGrid w:val="0"/>
        <w:spacing w:line="420" w:lineRule="exact"/>
        <w:ind w:firstLine="565" w:firstLineChars="235"/>
        <w:jc w:val="left"/>
        <w:outlineLvl w:val="4"/>
        <w:rPr>
          <w:b/>
          <w:bCs/>
          <w:sz w:val="24"/>
          <w:szCs w:val="24"/>
        </w:rPr>
      </w:pPr>
      <w:bookmarkStart w:id="138" w:name="_Hlk70132600"/>
      <w:r>
        <w:rPr>
          <w:rFonts w:hint="eastAsia"/>
          <w:b/>
          <w:bCs/>
          <w:sz w:val="24"/>
          <w:szCs w:val="24"/>
        </w:rPr>
        <w:t>（7）残疾人福利性单位声明函</w:t>
      </w:r>
      <w:bookmarkStart w:id="139" w:name="_Hlk75340550"/>
      <w:r>
        <w:rPr>
          <w:rFonts w:hint="eastAsia"/>
          <w:b/>
          <w:bCs/>
          <w:sz w:val="24"/>
          <w:szCs w:val="24"/>
        </w:rPr>
        <w:t>（格式，如涉有则提供，否则无需提供）</w:t>
      </w:r>
      <w:bookmarkEnd w:id="139"/>
    </w:p>
    <w:p w14:paraId="235038AB">
      <w:pPr>
        <w:snapToGrid w:val="0"/>
        <w:spacing w:before="240" w:beforeLines="100" w:after="240" w:afterLines="100" w:line="420" w:lineRule="exact"/>
        <w:jc w:val="center"/>
        <w:rPr>
          <w:b/>
          <w:bCs/>
          <w:sz w:val="24"/>
          <w:szCs w:val="24"/>
        </w:rPr>
      </w:pPr>
      <w:bookmarkStart w:id="140" w:name="OLE_LINK14"/>
      <w:bookmarkStart w:id="141" w:name="OLE_LINK13"/>
      <w:r>
        <w:rPr>
          <w:rFonts w:hint="eastAsia" w:cs="宋体"/>
          <w:b/>
          <w:bCs/>
          <w:sz w:val="28"/>
          <w:szCs w:val="28"/>
        </w:rPr>
        <w:t>残疾人福利性单位声明函</w:t>
      </w:r>
    </w:p>
    <w:bookmarkEnd w:id="140"/>
    <w:bookmarkEnd w:id="141"/>
    <w:p w14:paraId="579AAAB2">
      <w:pPr>
        <w:snapToGrid w:val="0"/>
        <w:spacing w:line="420" w:lineRule="exact"/>
        <w:ind w:firstLine="566" w:firstLineChars="236"/>
        <w:rPr>
          <w:sz w:val="24"/>
          <w:szCs w:val="24"/>
        </w:rPr>
      </w:pPr>
      <w:r>
        <w:rPr>
          <w:rFonts w:hint="eastAsia" w:cs="宋体"/>
          <w:sz w:val="24"/>
          <w:szCs w:val="24"/>
        </w:rPr>
        <w:t>本单位郑重声明，根据《财政部民政部中国残疾人联合会关于促进残疾人就业政府采购政策的通知》财库〔</w:t>
      </w:r>
      <w:r>
        <w:rPr>
          <w:sz w:val="24"/>
          <w:szCs w:val="24"/>
        </w:rPr>
        <w:t>2017</w:t>
      </w:r>
      <w:r>
        <w:rPr>
          <w:rFonts w:hint="eastAsia" w:cs="宋体"/>
          <w:sz w:val="24"/>
          <w:szCs w:val="24"/>
        </w:rPr>
        <w:t>〕</w:t>
      </w:r>
      <w:r>
        <w:rPr>
          <w:sz w:val="24"/>
          <w:szCs w:val="24"/>
        </w:rPr>
        <w:t>141</w:t>
      </w:r>
      <w:r>
        <w:rPr>
          <w:rFonts w:hint="eastAsia" w:cs="宋体"/>
          <w:sz w:val="24"/>
          <w:szCs w:val="24"/>
        </w:rPr>
        <w:t>号的规定，本单位为符合条件的残疾人福利性单位，且本单位参加</w:t>
      </w:r>
      <w:r>
        <w:rPr>
          <w:rFonts w:hint="eastAsia" w:cs="宋体"/>
          <w:sz w:val="24"/>
          <w:szCs w:val="24"/>
          <w:u w:val="single"/>
          <w:lang w:val="zh-CN"/>
        </w:rPr>
        <w:t>南通市崇川区数据局</w:t>
      </w:r>
      <w:r>
        <w:rPr>
          <w:rFonts w:hint="eastAsia" w:cs="宋体"/>
          <w:sz w:val="24"/>
          <w:szCs w:val="24"/>
          <w:lang w:val="zh-CN"/>
        </w:rPr>
        <w:t>的</w:t>
      </w:r>
      <w:r>
        <w:rPr>
          <w:rFonts w:hint="eastAsia" w:cs="宋体"/>
          <w:sz w:val="24"/>
          <w:szCs w:val="24"/>
          <w:u w:val="single"/>
          <w:lang w:val="zh-CN"/>
        </w:rPr>
        <w:t>南通市崇川区电子政务外网机房精密空调运行维护和防鼠灭鼠服务采购项目 [项目编号：NTHH2026011(JT01)]</w:t>
      </w:r>
      <w:r>
        <w:rPr>
          <w:rFonts w:hint="eastAsia" w:cs="宋体"/>
          <w:sz w:val="24"/>
          <w:szCs w:val="24"/>
        </w:rPr>
        <w:t>采购活动，针对项目需求，由本单位提供服务。</w:t>
      </w:r>
    </w:p>
    <w:p w14:paraId="63935FCE">
      <w:pPr>
        <w:snapToGrid w:val="0"/>
        <w:spacing w:line="420" w:lineRule="exact"/>
        <w:ind w:firstLine="566" w:firstLineChars="236"/>
        <w:rPr>
          <w:sz w:val="24"/>
          <w:szCs w:val="24"/>
        </w:rPr>
      </w:pPr>
    </w:p>
    <w:p w14:paraId="27CF4651">
      <w:pPr>
        <w:snapToGrid w:val="0"/>
        <w:spacing w:line="420" w:lineRule="exact"/>
        <w:ind w:firstLine="566" w:firstLineChars="236"/>
        <w:rPr>
          <w:sz w:val="24"/>
          <w:szCs w:val="24"/>
        </w:rPr>
      </w:pPr>
      <w:r>
        <w:rPr>
          <w:rFonts w:hint="eastAsia" w:cs="宋体"/>
          <w:sz w:val="24"/>
          <w:szCs w:val="24"/>
        </w:rPr>
        <w:t>本单位对上述声明的真实性负责。如有虚假，将依法承担相应责任。</w:t>
      </w:r>
    </w:p>
    <w:p w14:paraId="55C95B27">
      <w:pPr>
        <w:snapToGrid w:val="0"/>
        <w:spacing w:line="420" w:lineRule="exact"/>
        <w:rPr>
          <w:sz w:val="24"/>
          <w:szCs w:val="24"/>
        </w:rPr>
      </w:pPr>
    </w:p>
    <w:p w14:paraId="28BADD2F">
      <w:pPr>
        <w:snapToGrid w:val="0"/>
        <w:spacing w:line="420" w:lineRule="exact"/>
        <w:rPr>
          <w:sz w:val="24"/>
          <w:szCs w:val="24"/>
        </w:rPr>
      </w:pPr>
    </w:p>
    <w:p w14:paraId="23C40AC6">
      <w:pPr>
        <w:snapToGrid w:val="0"/>
        <w:spacing w:line="420" w:lineRule="exact"/>
        <w:ind w:firstLine="5102" w:firstLineChars="2126"/>
        <w:rPr>
          <w:rFonts w:cs="宋体"/>
          <w:sz w:val="24"/>
          <w:szCs w:val="24"/>
          <w:lang w:val="zh-CN"/>
        </w:rPr>
      </w:pPr>
      <w:r>
        <w:rPr>
          <w:rFonts w:hint="eastAsia" w:cs="宋体"/>
          <w:sz w:val="24"/>
          <w:szCs w:val="24"/>
          <w:lang w:val="zh-CN"/>
        </w:rPr>
        <w:t>企业名称（盖章）：</w:t>
      </w:r>
    </w:p>
    <w:p w14:paraId="2509850C">
      <w:pPr>
        <w:snapToGrid w:val="0"/>
        <w:spacing w:line="420" w:lineRule="exact"/>
        <w:ind w:firstLine="5102" w:firstLineChars="2126"/>
        <w:rPr>
          <w:sz w:val="24"/>
          <w:szCs w:val="24"/>
        </w:rPr>
      </w:pPr>
      <w:r>
        <w:rPr>
          <w:rFonts w:hint="eastAsia" w:cs="宋体"/>
          <w:sz w:val="24"/>
          <w:szCs w:val="24"/>
          <w:lang w:val="zh-CN"/>
        </w:rPr>
        <w:t>日期：</w:t>
      </w:r>
      <w:bookmarkEnd w:id="138"/>
    </w:p>
    <w:p w14:paraId="71B55CB5">
      <w:pPr>
        <w:widowControl/>
        <w:spacing w:line="20" w:lineRule="exact"/>
        <w:jc w:val="left"/>
        <w:rPr>
          <w:sz w:val="24"/>
          <w:szCs w:val="24"/>
        </w:rPr>
      </w:pPr>
      <w:r>
        <w:rPr>
          <w:sz w:val="24"/>
          <w:szCs w:val="24"/>
        </w:rPr>
        <w:br w:type="page"/>
      </w:r>
    </w:p>
    <w:p w14:paraId="28BB3A30">
      <w:pPr>
        <w:adjustRightInd w:val="0"/>
        <w:snapToGrid w:val="0"/>
        <w:spacing w:line="420" w:lineRule="exact"/>
        <w:ind w:firstLine="485" w:firstLineChars="202"/>
        <w:outlineLvl w:val="2"/>
        <w:rPr>
          <w:b/>
          <w:sz w:val="24"/>
          <w:szCs w:val="24"/>
        </w:rPr>
      </w:pPr>
      <w:r>
        <w:rPr>
          <w:rFonts w:hint="eastAsia"/>
          <w:b/>
          <w:sz w:val="24"/>
          <w:szCs w:val="24"/>
        </w:rPr>
        <w:t>（二）</w:t>
      </w:r>
      <w:r>
        <w:rPr>
          <w:b/>
          <w:sz w:val="24"/>
          <w:szCs w:val="24"/>
        </w:rPr>
        <w:t>技术响应文件</w:t>
      </w:r>
      <w:r>
        <w:rPr>
          <w:sz w:val="24"/>
          <w:szCs w:val="24"/>
        </w:rPr>
        <w:t>（一个密封包，内含一正两副文件）</w:t>
      </w:r>
    </w:p>
    <w:p w14:paraId="31B41902">
      <w:pPr>
        <w:snapToGrid w:val="0"/>
        <w:spacing w:line="420" w:lineRule="exact"/>
        <w:ind w:firstLine="565" w:firstLineChars="235"/>
        <w:jc w:val="left"/>
        <w:outlineLvl w:val="3"/>
        <w:rPr>
          <w:b/>
          <w:bCs/>
          <w:sz w:val="24"/>
          <w:szCs w:val="24"/>
        </w:rPr>
      </w:pPr>
      <w:r>
        <w:rPr>
          <w:b/>
          <w:sz w:val="24"/>
          <w:szCs w:val="24"/>
        </w:rPr>
        <w:t>1.</w:t>
      </w:r>
      <w:bookmarkStart w:id="142" w:name="_Hlk153036559"/>
      <w:r>
        <w:rPr>
          <w:b/>
          <w:sz w:val="24"/>
          <w:szCs w:val="24"/>
        </w:rPr>
        <w:t>竞争性谈判响应函</w:t>
      </w:r>
      <w:bookmarkEnd w:id="142"/>
    </w:p>
    <w:p w14:paraId="464C5716">
      <w:pPr>
        <w:snapToGrid w:val="0"/>
        <w:spacing w:before="240" w:beforeLines="100" w:after="240" w:afterLines="100" w:line="420" w:lineRule="exact"/>
        <w:jc w:val="center"/>
        <w:rPr>
          <w:sz w:val="24"/>
          <w:szCs w:val="24"/>
        </w:rPr>
      </w:pPr>
      <w:r>
        <w:rPr>
          <w:rFonts w:hint="eastAsia" w:cs="宋体"/>
          <w:b/>
          <w:bCs/>
          <w:sz w:val="28"/>
          <w:szCs w:val="28"/>
        </w:rPr>
        <w:t>竞争性谈判响应函</w:t>
      </w:r>
    </w:p>
    <w:p w14:paraId="653025D6">
      <w:pPr>
        <w:snapToGrid w:val="0"/>
        <w:spacing w:line="420" w:lineRule="exact"/>
        <w:rPr>
          <w:sz w:val="24"/>
          <w:szCs w:val="24"/>
        </w:rPr>
      </w:pPr>
      <w:r>
        <w:rPr>
          <w:rFonts w:hint="eastAsia"/>
          <w:sz w:val="24"/>
          <w:szCs w:val="24"/>
        </w:rPr>
        <w:t>南通市崇川区数据局</w:t>
      </w:r>
      <w:r>
        <w:rPr>
          <w:sz w:val="24"/>
          <w:szCs w:val="24"/>
        </w:rPr>
        <w:t>：</w:t>
      </w:r>
    </w:p>
    <w:p w14:paraId="032860DB">
      <w:pPr>
        <w:snapToGrid w:val="0"/>
        <w:spacing w:line="420" w:lineRule="exact"/>
        <w:ind w:firstLine="480" w:firstLineChars="200"/>
        <w:rPr>
          <w:sz w:val="24"/>
          <w:szCs w:val="24"/>
        </w:rPr>
      </w:pPr>
      <w:r>
        <w:rPr>
          <w:sz w:val="24"/>
          <w:szCs w:val="24"/>
        </w:rPr>
        <w:t>依据贵单位</w:t>
      </w:r>
      <w:r>
        <w:rPr>
          <w:rFonts w:hint="eastAsia"/>
          <w:sz w:val="24"/>
          <w:szCs w:val="24"/>
          <w:u w:val="single"/>
        </w:rPr>
        <w:t>项目编号：NTHH2026011(JT01)</w:t>
      </w:r>
      <w:r>
        <w:rPr>
          <w:rFonts w:hint="eastAsia"/>
          <w:sz w:val="24"/>
          <w:szCs w:val="24"/>
        </w:rPr>
        <w:t>的</w:t>
      </w:r>
      <w:r>
        <w:rPr>
          <w:rFonts w:hint="eastAsia"/>
          <w:sz w:val="24"/>
          <w:szCs w:val="24"/>
          <w:u w:val="single"/>
        </w:rPr>
        <w:t>南通市崇川区电子政务外网机房精密空调运行维护和防鼠灭鼠服务采购项目</w:t>
      </w:r>
      <w:r>
        <w:rPr>
          <w:sz w:val="24"/>
          <w:szCs w:val="24"/>
        </w:rPr>
        <w:t>竞争性谈判的邀请，我方被委托受权人（姓名）（职务）为全权代表参加该项目的谈判工作，全权处理本次竞争性谈判的有关事宜。同时，我公司声明如下：</w:t>
      </w:r>
    </w:p>
    <w:p w14:paraId="3F186A6E">
      <w:pPr>
        <w:spacing w:line="420" w:lineRule="exact"/>
        <w:ind w:firstLine="484" w:firstLineChars="202"/>
        <w:rPr>
          <w:sz w:val="24"/>
          <w:szCs w:val="24"/>
        </w:rPr>
      </w:pPr>
      <w:bookmarkStart w:id="143" w:name="_Hlk79714411"/>
      <w:bookmarkStart w:id="144" w:name="_Hlk79714362"/>
      <w:r>
        <w:rPr>
          <w:rFonts w:hint="eastAsia"/>
          <w:sz w:val="24"/>
          <w:szCs w:val="24"/>
        </w:rPr>
        <w:t>（1）</w:t>
      </w:r>
      <w:r>
        <w:rPr>
          <w:sz w:val="24"/>
          <w:szCs w:val="24"/>
        </w:rPr>
        <w:t>我们愿意按照本项目</w:t>
      </w:r>
      <w:r>
        <w:rPr>
          <w:rFonts w:hint="eastAsia"/>
          <w:sz w:val="24"/>
          <w:szCs w:val="24"/>
        </w:rPr>
        <w:t>竞争性谈判</w:t>
      </w:r>
      <w:r>
        <w:rPr>
          <w:sz w:val="24"/>
          <w:szCs w:val="24"/>
        </w:rPr>
        <w:t>文件的一切要求，提供本项目要求的所有服务内容。</w:t>
      </w:r>
      <w:r>
        <w:rPr>
          <w:rFonts w:hint="eastAsia"/>
          <w:sz w:val="24"/>
          <w:szCs w:val="24"/>
        </w:rPr>
        <w:t>我方</w:t>
      </w:r>
      <w:r>
        <w:rPr>
          <w:sz w:val="24"/>
          <w:szCs w:val="24"/>
        </w:rPr>
        <w:t>响应报价表内的总价</w:t>
      </w:r>
      <w:r>
        <w:rPr>
          <w:rFonts w:hint="eastAsia"/>
          <w:sz w:val="24"/>
          <w:szCs w:val="24"/>
        </w:rPr>
        <w:t>是采购文件所确定的服务范围内的全部内容的价格体现，是完成本项目所需的服务成本、经营成本以及我方企业利润、税金和政策性文件规定与合同包含的所有风险、责任等各项应有费。</w:t>
      </w:r>
    </w:p>
    <w:p w14:paraId="26B7D2A2">
      <w:pPr>
        <w:spacing w:line="420" w:lineRule="exact"/>
        <w:ind w:firstLine="484" w:firstLineChars="202"/>
        <w:rPr>
          <w:sz w:val="24"/>
          <w:szCs w:val="24"/>
        </w:rPr>
      </w:pPr>
      <w:r>
        <w:rPr>
          <w:rFonts w:hint="eastAsia"/>
          <w:sz w:val="24"/>
          <w:szCs w:val="24"/>
        </w:rPr>
        <w:t>（2）</w:t>
      </w:r>
      <w:r>
        <w:rPr>
          <w:sz w:val="24"/>
          <w:szCs w:val="24"/>
        </w:rPr>
        <w:t>我们的</w:t>
      </w:r>
      <w:r>
        <w:rPr>
          <w:rFonts w:hint="eastAsia"/>
          <w:sz w:val="24"/>
          <w:szCs w:val="24"/>
        </w:rPr>
        <w:t>竞争性谈判</w:t>
      </w:r>
      <w:r>
        <w:rPr>
          <w:sz w:val="24"/>
          <w:szCs w:val="24"/>
        </w:rPr>
        <w:t>响应文件，从递交接收截止之日算起，45个日历天内保持有效。</w:t>
      </w:r>
    </w:p>
    <w:p w14:paraId="75186511">
      <w:pPr>
        <w:spacing w:line="420" w:lineRule="exact"/>
        <w:ind w:firstLine="484" w:firstLineChars="202"/>
        <w:rPr>
          <w:sz w:val="24"/>
          <w:szCs w:val="24"/>
        </w:rPr>
      </w:pPr>
      <w:r>
        <w:rPr>
          <w:rFonts w:hint="eastAsia"/>
          <w:sz w:val="24"/>
          <w:szCs w:val="24"/>
        </w:rPr>
        <w:t>（3）</w:t>
      </w:r>
      <w:r>
        <w:rPr>
          <w:sz w:val="24"/>
          <w:szCs w:val="24"/>
        </w:rPr>
        <w:t>如果我们的</w:t>
      </w:r>
      <w:r>
        <w:rPr>
          <w:rFonts w:hint="eastAsia"/>
          <w:sz w:val="24"/>
          <w:szCs w:val="24"/>
        </w:rPr>
        <w:t>竞争性谈判</w:t>
      </w:r>
      <w:r>
        <w:rPr>
          <w:sz w:val="24"/>
          <w:szCs w:val="24"/>
        </w:rPr>
        <w:t>响应文件被接受，我们将严格履行</w:t>
      </w:r>
      <w:r>
        <w:rPr>
          <w:rFonts w:hint="eastAsia"/>
          <w:sz w:val="24"/>
          <w:szCs w:val="24"/>
        </w:rPr>
        <w:t>本项目竞争性谈判</w:t>
      </w:r>
      <w:r>
        <w:rPr>
          <w:sz w:val="24"/>
          <w:szCs w:val="24"/>
        </w:rPr>
        <w:t>文件中规定的每一项要求，按期、按质、按量履行合同的义务。</w:t>
      </w:r>
    </w:p>
    <w:p w14:paraId="43EA43AC">
      <w:pPr>
        <w:spacing w:line="420" w:lineRule="exact"/>
        <w:ind w:firstLine="484" w:firstLineChars="202"/>
        <w:rPr>
          <w:sz w:val="24"/>
          <w:szCs w:val="24"/>
        </w:rPr>
      </w:pPr>
      <w:r>
        <w:rPr>
          <w:rFonts w:hint="eastAsia"/>
          <w:sz w:val="24"/>
          <w:szCs w:val="24"/>
        </w:rPr>
        <w:t>（4）</w:t>
      </w:r>
      <w:r>
        <w:rPr>
          <w:sz w:val="24"/>
          <w:szCs w:val="24"/>
        </w:rPr>
        <w:t>如果我们成交，我们将在成交</w:t>
      </w:r>
      <w:r>
        <w:rPr>
          <w:rFonts w:hint="eastAsia"/>
          <w:sz w:val="24"/>
          <w:szCs w:val="24"/>
        </w:rPr>
        <w:t>通知书</w:t>
      </w:r>
      <w:r>
        <w:rPr>
          <w:sz w:val="24"/>
          <w:szCs w:val="24"/>
        </w:rPr>
        <w:t>发出之日起在</w:t>
      </w:r>
      <w:r>
        <w:rPr>
          <w:rFonts w:hint="eastAsia"/>
          <w:sz w:val="24"/>
          <w:szCs w:val="24"/>
        </w:rPr>
        <w:t>本项目竞争性谈判</w:t>
      </w:r>
      <w:r>
        <w:rPr>
          <w:sz w:val="24"/>
          <w:szCs w:val="24"/>
        </w:rPr>
        <w:t>文件约定的时间内与采购</w:t>
      </w:r>
      <w:r>
        <w:rPr>
          <w:rFonts w:hint="eastAsia"/>
          <w:sz w:val="24"/>
          <w:szCs w:val="24"/>
        </w:rPr>
        <w:t>人</w:t>
      </w:r>
      <w:r>
        <w:rPr>
          <w:sz w:val="24"/>
          <w:szCs w:val="24"/>
        </w:rPr>
        <w:t>签订采购合同，否则将视为我方自行放弃关于本</w:t>
      </w:r>
      <w:r>
        <w:rPr>
          <w:rFonts w:hint="eastAsia"/>
          <w:sz w:val="24"/>
          <w:szCs w:val="24"/>
        </w:rPr>
        <w:t>项目</w:t>
      </w:r>
      <w:r>
        <w:rPr>
          <w:sz w:val="24"/>
          <w:szCs w:val="24"/>
        </w:rPr>
        <w:t>采购</w:t>
      </w:r>
      <w:r>
        <w:rPr>
          <w:rFonts w:hint="eastAsia"/>
          <w:sz w:val="24"/>
          <w:szCs w:val="24"/>
        </w:rPr>
        <w:t>成交结果</w:t>
      </w:r>
      <w:r>
        <w:rPr>
          <w:sz w:val="24"/>
          <w:szCs w:val="24"/>
        </w:rPr>
        <w:t>的成交人资格，并承担所有因此而对采购</w:t>
      </w:r>
      <w:r>
        <w:rPr>
          <w:rFonts w:hint="eastAsia"/>
          <w:sz w:val="24"/>
          <w:szCs w:val="24"/>
        </w:rPr>
        <w:t>人</w:t>
      </w:r>
      <w:r>
        <w:rPr>
          <w:sz w:val="24"/>
          <w:szCs w:val="24"/>
        </w:rPr>
        <w:t>造成的损失。</w:t>
      </w:r>
    </w:p>
    <w:p w14:paraId="0D32F920">
      <w:pPr>
        <w:spacing w:line="420" w:lineRule="exact"/>
        <w:ind w:firstLine="484" w:firstLineChars="202"/>
        <w:rPr>
          <w:sz w:val="24"/>
          <w:szCs w:val="24"/>
        </w:rPr>
      </w:pPr>
      <w:r>
        <w:rPr>
          <w:rFonts w:hint="eastAsia"/>
          <w:sz w:val="24"/>
          <w:szCs w:val="24"/>
        </w:rPr>
        <w:t>（5）</w:t>
      </w:r>
      <w:r>
        <w:rPr>
          <w:sz w:val="24"/>
          <w:szCs w:val="24"/>
        </w:rPr>
        <w:t>我们已详细审查</w:t>
      </w:r>
      <w:r>
        <w:rPr>
          <w:rFonts w:hint="eastAsia"/>
          <w:sz w:val="24"/>
          <w:szCs w:val="24"/>
        </w:rPr>
        <w:t>本项目竞争性谈判</w:t>
      </w:r>
      <w:r>
        <w:rPr>
          <w:sz w:val="24"/>
          <w:szCs w:val="24"/>
        </w:rPr>
        <w:t>文件</w:t>
      </w:r>
      <w:r>
        <w:rPr>
          <w:rFonts w:hint="eastAsia"/>
          <w:sz w:val="24"/>
          <w:szCs w:val="24"/>
        </w:rPr>
        <w:t>的所有内容</w:t>
      </w:r>
      <w:r>
        <w:rPr>
          <w:sz w:val="24"/>
          <w:szCs w:val="24"/>
        </w:rPr>
        <w:t>，包括补充文件(如有)。我们完全理解并同意放弃对</w:t>
      </w:r>
      <w:r>
        <w:rPr>
          <w:rFonts w:hint="eastAsia"/>
          <w:sz w:val="24"/>
          <w:szCs w:val="24"/>
        </w:rPr>
        <w:t>本项目竞争性谈判文件</w:t>
      </w:r>
      <w:r>
        <w:rPr>
          <w:sz w:val="24"/>
          <w:szCs w:val="24"/>
        </w:rPr>
        <w:t>有不</w:t>
      </w:r>
      <w:r>
        <w:rPr>
          <w:rFonts w:hint="eastAsia"/>
          <w:sz w:val="24"/>
          <w:szCs w:val="24"/>
        </w:rPr>
        <w:t>明了</w:t>
      </w:r>
      <w:r>
        <w:rPr>
          <w:sz w:val="24"/>
          <w:szCs w:val="24"/>
        </w:rPr>
        <w:t>及误解的权力。</w:t>
      </w:r>
    </w:p>
    <w:p w14:paraId="778BF9B8">
      <w:pPr>
        <w:spacing w:line="420" w:lineRule="exact"/>
        <w:ind w:firstLine="484" w:firstLineChars="202"/>
        <w:rPr>
          <w:sz w:val="24"/>
          <w:szCs w:val="24"/>
        </w:rPr>
      </w:pPr>
      <w:r>
        <w:rPr>
          <w:rFonts w:hint="eastAsia"/>
          <w:sz w:val="24"/>
          <w:szCs w:val="24"/>
        </w:rPr>
        <w:t>（6）</w:t>
      </w:r>
      <w:r>
        <w:rPr>
          <w:sz w:val="24"/>
          <w:szCs w:val="24"/>
        </w:rPr>
        <w:t>我们愿意提供采购</w:t>
      </w:r>
      <w:r>
        <w:rPr>
          <w:rFonts w:hint="eastAsia"/>
          <w:sz w:val="24"/>
          <w:szCs w:val="24"/>
        </w:rPr>
        <w:t>人</w:t>
      </w:r>
      <w:r>
        <w:rPr>
          <w:sz w:val="24"/>
          <w:szCs w:val="24"/>
        </w:rPr>
        <w:t>在</w:t>
      </w:r>
      <w:bookmarkStart w:id="145" w:name="_Hlk79545487"/>
      <w:r>
        <w:rPr>
          <w:rFonts w:hint="eastAsia"/>
          <w:sz w:val="24"/>
          <w:szCs w:val="24"/>
        </w:rPr>
        <w:t>本项目竞争性谈判</w:t>
      </w:r>
      <w:r>
        <w:rPr>
          <w:sz w:val="24"/>
          <w:szCs w:val="24"/>
        </w:rPr>
        <w:t>文件</w:t>
      </w:r>
      <w:bookmarkEnd w:id="145"/>
      <w:r>
        <w:rPr>
          <w:sz w:val="24"/>
          <w:szCs w:val="24"/>
        </w:rPr>
        <w:t>中要求的所有资料并配合采购</w:t>
      </w:r>
      <w:r>
        <w:rPr>
          <w:rFonts w:hint="eastAsia"/>
          <w:sz w:val="24"/>
          <w:szCs w:val="24"/>
        </w:rPr>
        <w:t>人</w:t>
      </w:r>
      <w:r>
        <w:rPr>
          <w:sz w:val="24"/>
          <w:szCs w:val="24"/>
        </w:rPr>
        <w:t>对该等资料的真实性进行验证。</w:t>
      </w:r>
    </w:p>
    <w:p w14:paraId="4FF7F16B">
      <w:pPr>
        <w:spacing w:line="420" w:lineRule="exact"/>
        <w:ind w:firstLine="484" w:firstLineChars="202"/>
        <w:rPr>
          <w:sz w:val="24"/>
          <w:szCs w:val="24"/>
        </w:rPr>
      </w:pPr>
      <w:r>
        <w:rPr>
          <w:rFonts w:hint="eastAsia"/>
          <w:sz w:val="24"/>
          <w:szCs w:val="24"/>
        </w:rPr>
        <w:t>（7）</w:t>
      </w:r>
      <w:r>
        <w:rPr>
          <w:sz w:val="24"/>
          <w:szCs w:val="24"/>
        </w:rPr>
        <w:t>我们</w:t>
      </w:r>
      <w:r>
        <w:rPr>
          <w:rFonts w:hint="eastAsia"/>
          <w:sz w:val="24"/>
          <w:szCs w:val="24"/>
        </w:rPr>
        <w:t>完全同意本项目竞争性谈判文件</w:t>
      </w:r>
      <w:r>
        <w:rPr>
          <w:sz w:val="24"/>
          <w:szCs w:val="24"/>
        </w:rPr>
        <w:t>中所列的</w:t>
      </w:r>
      <w:r>
        <w:rPr>
          <w:rFonts w:hint="eastAsia"/>
          <w:sz w:val="24"/>
          <w:szCs w:val="24"/>
        </w:rPr>
        <w:t>一切</w:t>
      </w:r>
      <w:r>
        <w:rPr>
          <w:sz w:val="24"/>
          <w:szCs w:val="24"/>
        </w:rPr>
        <w:t>收费标准</w:t>
      </w:r>
      <w:r>
        <w:rPr>
          <w:rFonts w:hint="eastAsia"/>
          <w:sz w:val="24"/>
          <w:szCs w:val="24"/>
        </w:rPr>
        <w:t>，并</w:t>
      </w:r>
      <w:r>
        <w:rPr>
          <w:sz w:val="24"/>
          <w:szCs w:val="24"/>
        </w:rPr>
        <w:t>愿意遵守</w:t>
      </w:r>
      <w:r>
        <w:rPr>
          <w:rFonts w:hint="eastAsia"/>
          <w:sz w:val="24"/>
          <w:szCs w:val="24"/>
        </w:rPr>
        <w:t>和执行该等条款、标准的约定</w:t>
      </w:r>
      <w:r>
        <w:rPr>
          <w:sz w:val="24"/>
          <w:szCs w:val="24"/>
        </w:rPr>
        <w:t>。</w:t>
      </w:r>
    </w:p>
    <w:p w14:paraId="75F56D29">
      <w:pPr>
        <w:spacing w:line="420" w:lineRule="exact"/>
        <w:ind w:firstLine="484" w:firstLineChars="202"/>
        <w:rPr>
          <w:sz w:val="24"/>
          <w:szCs w:val="24"/>
        </w:rPr>
      </w:pPr>
      <w:r>
        <w:rPr>
          <w:rFonts w:hint="eastAsia"/>
          <w:sz w:val="24"/>
          <w:szCs w:val="24"/>
        </w:rPr>
        <w:t>（8）</w:t>
      </w:r>
      <w:r>
        <w:rPr>
          <w:sz w:val="24"/>
          <w:szCs w:val="24"/>
        </w:rPr>
        <w:t>我们承诺</w:t>
      </w:r>
      <w:r>
        <w:rPr>
          <w:rFonts w:hint="eastAsia"/>
          <w:sz w:val="24"/>
          <w:szCs w:val="24"/>
        </w:rPr>
        <w:t>：我们的竞争性谈判</w:t>
      </w:r>
      <w:r>
        <w:rPr>
          <w:sz w:val="24"/>
          <w:szCs w:val="24"/>
        </w:rPr>
        <w:t>响应文件在被接受后至合同</w:t>
      </w:r>
      <w:r>
        <w:rPr>
          <w:rFonts w:hint="eastAsia"/>
          <w:sz w:val="24"/>
          <w:szCs w:val="24"/>
        </w:rPr>
        <w:t>规定的服务</w:t>
      </w:r>
      <w:r>
        <w:rPr>
          <w:sz w:val="24"/>
          <w:szCs w:val="24"/>
        </w:rPr>
        <w:t>履行结束</w:t>
      </w:r>
      <w:r>
        <w:rPr>
          <w:rFonts w:hint="eastAsia"/>
          <w:sz w:val="24"/>
          <w:szCs w:val="24"/>
        </w:rPr>
        <w:t>，</w:t>
      </w:r>
      <w:r>
        <w:rPr>
          <w:sz w:val="24"/>
          <w:szCs w:val="24"/>
        </w:rPr>
        <w:t>全过程中</w:t>
      </w:r>
      <w:r>
        <w:rPr>
          <w:rFonts w:hint="eastAsia"/>
          <w:sz w:val="24"/>
          <w:szCs w:val="24"/>
        </w:rPr>
        <w:t>均</w:t>
      </w:r>
      <w:r>
        <w:rPr>
          <w:sz w:val="24"/>
          <w:szCs w:val="24"/>
        </w:rPr>
        <w:t>保持有效，不作任何更改和变动。</w:t>
      </w:r>
    </w:p>
    <w:p w14:paraId="6369AF2F">
      <w:pPr>
        <w:spacing w:line="420" w:lineRule="exact"/>
        <w:ind w:firstLine="484" w:firstLineChars="202"/>
        <w:rPr>
          <w:sz w:val="24"/>
          <w:szCs w:val="24"/>
        </w:rPr>
      </w:pPr>
      <w:r>
        <w:rPr>
          <w:rFonts w:hint="eastAsia"/>
          <w:sz w:val="24"/>
          <w:szCs w:val="24"/>
        </w:rPr>
        <w:t>（9）</w:t>
      </w:r>
      <w:r>
        <w:rPr>
          <w:sz w:val="24"/>
          <w:szCs w:val="24"/>
        </w:rPr>
        <w:t>一旦我方成交，我方将根据</w:t>
      </w:r>
      <w:r>
        <w:rPr>
          <w:rFonts w:hint="eastAsia"/>
          <w:sz w:val="24"/>
          <w:szCs w:val="24"/>
        </w:rPr>
        <w:t>竞争性谈判文件</w:t>
      </w:r>
      <w:r>
        <w:rPr>
          <w:sz w:val="24"/>
          <w:szCs w:val="24"/>
        </w:rPr>
        <w:t>的规定，严格履行</w:t>
      </w:r>
      <w:r>
        <w:rPr>
          <w:rFonts w:hint="eastAsia"/>
          <w:sz w:val="24"/>
          <w:szCs w:val="24"/>
        </w:rPr>
        <w:t>本项目竞争性谈判文件</w:t>
      </w:r>
      <w:r>
        <w:rPr>
          <w:sz w:val="24"/>
          <w:szCs w:val="24"/>
        </w:rPr>
        <w:t>中规定的每一项要求，</w:t>
      </w:r>
      <w:r>
        <w:rPr>
          <w:rFonts w:hint="eastAsia"/>
          <w:sz w:val="24"/>
          <w:szCs w:val="24"/>
        </w:rPr>
        <w:t>且负有</w:t>
      </w:r>
      <w:r>
        <w:rPr>
          <w:sz w:val="24"/>
          <w:szCs w:val="24"/>
        </w:rPr>
        <w:t>按期、按质、按量履行合同的义务。</w:t>
      </w:r>
      <w:bookmarkEnd w:id="143"/>
    </w:p>
    <w:bookmarkEnd w:id="144"/>
    <w:p w14:paraId="6872907D">
      <w:pPr>
        <w:snapToGrid w:val="0"/>
        <w:spacing w:line="420" w:lineRule="exact"/>
        <w:ind w:firstLine="480" w:firstLineChars="200"/>
        <w:rPr>
          <w:sz w:val="24"/>
          <w:szCs w:val="24"/>
        </w:rPr>
      </w:pPr>
    </w:p>
    <w:p w14:paraId="5D9DA558">
      <w:pPr>
        <w:snapToGrid w:val="0"/>
        <w:spacing w:line="420" w:lineRule="exact"/>
        <w:ind w:firstLine="2400" w:firstLineChars="1000"/>
        <w:jc w:val="right"/>
        <w:rPr>
          <w:sz w:val="24"/>
          <w:szCs w:val="24"/>
        </w:rPr>
      </w:pPr>
      <w:r>
        <w:rPr>
          <w:rFonts w:hint="eastAsia" w:cs="宋体"/>
          <w:sz w:val="24"/>
          <w:szCs w:val="24"/>
        </w:rPr>
        <w:t>供应商：（加盖公章）</w:t>
      </w:r>
    </w:p>
    <w:p w14:paraId="03DD1915">
      <w:pPr>
        <w:snapToGrid w:val="0"/>
        <w:spacing w:line="420" w:lineRule="exact"/>
        <w:ind w:firstLine="2400" w:firstLineChars="1000"/>
        <w:jc w:val="right"/>
        <w:rPr>
          <w:sz w:val="24"/>
          <w:szCs w:val="24"/>
        </w:rPr>
      </w:pPr>
      <w:r>
        <w:rPr>
          <w:rFonts w:hint="eastAsia" w:cs="宋体"/>
          <w:sz w:val="24"/>
          <w:szCs w:val="24"/>
        </w:rPr>
        <w:t>法定代表人（或负责人）或被委托受权人：（签字）</w:t>
      </w:r>
    </w:p>
    <w:p w14:paraId="5417F49F">
      <w:pPr>
        <w:snapToGrid w:val="0"/>
        <w:spacing w:line="420" w:lineRule="exact"/>
        <w:jc w:val="right"/>
        <w:rPr>
          <w:rFonts w:cs="宋体"/>
          <w:sz w:val="24"/>
          <w:szCs w:val="24"/>
        </w:rPr>
      </w:pPr>
      <w:r>
        <w:rPr>
          <w:rFonts w:hint="eastAsia" w:cs="宋体"/>
          <w:sz w:val="24"/>
          <w:szCs w:val="24"/>
        </w:rPr>
        <w:t xml:space="preserve">2026年 </w:t>
      </w:r>
      <w:r>
        <w:rPr>
          <w:rFonts w:cs="宋体"/>
          <w:sz w:val="24"/>
          <w:szCs w:val="24"/>
        </w:rPr>
        <w:t xml:space="preserve"> </w:t>
      </w:r>
      <w:r>
        <w:rPr>
          <w:rFonts w:hint="eastAsia" w:cs="宋体"/>
          <w:sz w:val="24"/>
          <w:szCs w:val="24"/>
        </w:rPr>
        <w:t xml:space="preserve">月 </w:t>
      </w:r>
      <w:r>
        <w:rPr>
          <w:rFonts w:cs="宋体"/>
          <w:sz w:val="24"/>
          <w:szCs w:val="24"/>
        </w:rPr>
        <w:t xml:space="preserve"> </w:t>
      </w:r>
      <w:r>
        <w:rPr>
          <w:rFonts w:hint="eastAsia" w:cs="宋体"/>
          <w:sz w:val="24"/>
          <w:szCs w:val="24"/>
        </w:rPr>
        <w:t>日</w:t>
      </w:r>
    </w:p>
    <w:p w14:paraId="4E317610">
      <w:pPr>
        <w:snapToGrid w:val="0"/>
        <w:spacing w:line="420" w:lineRule="exact"/>
        <w:jc w:val="left"/>
        <w:rPr>
          <w:rFonts w:cs="宋体"/>
          <w:sz w:val="24"/>
          <w:szCs w:val="24"/>
        </w:rPr>
      </w:pPr>
    </w:p>
    <w:p w14:paraId="41AF3723">
      <w:pPr>
        <w:snapToGrid w:val="0"/>
        <w:spacing w:line="420" w:lineRule="exact"/>
        <w:jc w:val="center"/>
        <w:rPr>
          <w:rFonts w:cs="宋体"/>
          <w:sz w:val="24"/>
          <w:szCs w:val="24"/>
        </w:rPr>
      </w:pPr>
      <w:r>
        <w:rPr>
          <w:rFonts w:hint="eastAsia"/>
          <w:b/>
          <w:bCs/>
          <w:sz w:val="24"/>
          <w:szCs w:val="24"/>
        </w:rPr>
        <w:t>注：竞争性谈判响应函为格式文字表述，供应商</w:t>
      </w:r>
      <w:r>
        <w:rPr>
          <w:rFonts w:hint="eastAsia" w:cs="宋体"/>
          <w:b/>
          <w:bCs/>
          <w:sz w:val="24"/>
          <w:szCs w:val="24"/>
          <w:u w:val="thick" w:color="FF0000"/>
        </w:rPr>
        <w:t>不得改动，必须提供</w:t>
      </w:r>
      <w:r>
        <w:rPr>
          <w:rFonts w:hint="eastAsia"/>
          <w:b/>
          <w:bCs/>
          <w:sz w:val="24"/>
          <w:szCs w:val="24"/>
        </w:rPr>
        <w:t>。</w:t>
      </w:r>
    </w:p>
    <w:p w14:paraId="17EABAD4">
      <w:pPr>
        <w:widowControl/>
        <w:spacing w:line="20" w:lineRule="exact"/>
        <w:jc w:val="left"/>
        <w:rPr>
          <w:rFonts w:cs="宋体"/>
          <w:sz w:val="24"/>
          <w:szCs w:val="24"/>
        </w:rPr>
      </w:pPr>
      <w:r>
        <w:rPr>
          <w:rFonts w:cs="宋体"/>
          <w:sz w:val="24"/>
          <w:szCs w:val="24"/>
        </w:rPr>
        <w:br w:type="page"/>
      </w:r>
    </w:p>
    <w:p w14:paraId="6B3482CC">
      <w:pPr>
        <w:snapToGrid w:val="0"/>
        <w:spacing w:line="420" w:lineRule="exact"/>
        <w:ind w:firstLine="565" w:firstLineChars="235"/>
        <w:jc w:val="left"/>
        <w:outlineLvl w:val="3"/>
        <w:rPr>
          <w:sz w:val="24"/>
          <w:szCs w:val="24"/>
        </w:rPr>
      </w:pPr>
      <w:r>
        <w:rPr>
          <w:b/>
          <w:sz w:val="24"/>
          <w:szCs w:val="24"/>
        </w:rPr>
        <w:t>2.技术响应文件</w:t>
      </w:r>
    </w:p>
    <w:p w14:paraId="2BEC11D4">
      <w:pPr>
        <w:spacing w:line="420" w:lineRule="exact"/>
        <w:ind w:firstLine="484" w:firstLineChars="202"/>
        <w:rPr>
          <w:sz w:val="24"/>
          <w:szCs w:val="24"/>
        </w:rPr>
      </w:pPr>
      <w:r>
        <w:rPr>
          <w:rFonts w:hint="eastAsia"/>
          <w:sz w:val="24"/>
          <w:szCs w:val="24"/>
        </w:rPr>
        <w:t>（1）提供针对本项目须实质性响应的内容的综合应答表（格式，不得变动）。</w:t>
      </w:r>
    </w:p>
    <w:tbl>
      <w:tblPr>
        <w:tblStyle w:val="15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6033"/>
        <w:gridCol w:w="1201"/>
        <w:gridCol w:w="926"/>
      </w:tblGrid>
      <w:tr w14:paraId="2C4B6CBB">
        <w:tc>
          <w:tcPr>
            <w:tcW w:w="1701" w:type="dxa"/>
            <w:vAlign w:val="center"/>
          </w:tcPr>
          <w:p w14:paraId="6F602C0D">
            <w:pPr>
              <w:adjustRightInd w:val="0"/>
              <w:snapToGrid w:val="0"/>
              <w:spacing w:line="400" w:lineRule="exact"/>
              <w:jc w:val="center"/>
              <w:rPr>
                <w:sz w:val="24"/>
                <w:szCs w:val="24"/>
              </w:rPr>
            </w:pPr>
            <w:r>
              <w:rPr>
                <w:b/>
                <w:bCs/>
                <w:sz w:val="24"/>
                <w:szCs w:val="24"/>
              </w:rPr>
              <w:t>项目</w:t>
            </w:r>
          </w:p>
        </w:tc>
        <w:tc>
          <w:tcPr>
            <w:tcW w:w="5524" w:type="dxa"/>
            <w:vAlign w:val="center"/>
          </w:tcPr>
          <w:p w14:paraId="5786DEE4">
            <w:pPr>
              <w:adjustRightInd w:val="0"/>
              <w:snapToGrid w:val="0"/>
              <w:spacing w:line="400" w:lineRule="exact"/>
              <w:jc w:val="center"/>
              <w:rPr>
                <w:sz w:val="24"/>
                <w:szCs w:val="24"/>
              </w:rPr>
            </w:pPr>
            <w:r>
              <w:rPr>
                <w:rFonts w:hint="eastAsia"/>
                <w:b/>
                <w:bCs/>
                <w:sz w:val="24"/>
                <w:szCs w:val="24"/>
              </w:rPr>
              <w:t>采购</w:t>
            </w:r>
            <w:r>
              <w:rPr>
                <w:b/>
                <w:bCs/>
                <w:sz w:val="24"/>
                <w:szCs w:val="24"/>
              </w:rPr>
              <w:t>文件条款要求</w:t>
            </w:r>
          </w:p>
        </w:tc>
        <w:tc>
          <w:tcPr>
            <w:tcW w:w="1417" w:type="dxa"/>
            <w:vAlign w:val="center"/>
          </w:tcPr>
          <w:p w14:paraId="6C21A785">
            <w:pPr>
              <w:adjustRightInd w:val="0"/>
              <w:snapToGrid w:val="0"/>
              <w:spacing w:line="400" w:lineRule="exact"/>
              <w:jc w:val="center"/>
              <w:rPr>
                <w:sz w:val="24"/>
                <w:szCs w:val="24"/>
              </w:rPr>
            </w:pPr>
            <w:r>
              <w:rPr>
                <w:b/>
                <w:bCs/>
                <w:sz w:val="24"/>
                <w:szCs w:val="24"/>
              </w:rPr>
              <w:t>应答响应</w:t>
            </w:r>
          </w:p>
        </w:tc>
        <w:tc>
          <w:tcPr>
            <w:tcW w:w="992" w:type="dxa"/>
            <w:vAlign w:val="center"/>
          </w:tcPr>
          <w:p w14:paraId="62247939">
            <w:pPr>
              <w:adjustRightInd w:val="0"/>
              <w:snapToGrid w:val="0"/>
              <w:spacing w:line="400" w:lineRule="exact"/>
              <w:jc w:val="center"/>
              <w:rPr>
                <w:sz w:val="24"/>
                <w:szCs w:val="24"/>
              </w:rPr>
            </w:pPr>
            <w:r>
              <w:rPr>
                <w:b/>
                <w:bCs/>
                <w:sz w:val="24"/>
                <w:szCs w:val="24"/>
              </w:rPr>
              <w:t>说明</w:t>
            </w:r>
          </w:p>
        </w:tc>
      </w:tr>
      <w:tr w14:paraId="0006CAB5">
        <w:tc>
          <w:tcPr>
            <w:tcW w:w="1701" w:type="dxa"/>
            <w:vAlign w:val="center"/>
          </w:tcPr>
          <w:p w14:paraId="6497006C">
            <w:pPr>
              <w:adjustRightInd w:val="0"/>
              <w:snapToGrid w:val="0"/>
              <w:spacing w:line="400" w:lineRule="exact"/>
              <w:jc w:val="center"/>
              <w:rPr>
                <w:sz w:val="24"/>
                <w:szCs w:val="24"/>
              </w:rPr>
            </w:pPr>
            <w:r>
              <w:rPr>
                <w:rFonts w:hint="eastAsia"/>
                <w:sz w:val="24"/>
                <w:szCs w:val="24"/>
              </w:rPr>
              <w:t>一、服务范围</w:t>
            </w:r>
          </w:p>
        </w:tc>
        <w:tc>
          <w:tcPr>
            <w:tcW w:w="5524" w:type="dxa"/>
            <w:vAlign w:val="center"/>
          </w:tcPr>
          <w:p w14:paraId="61E57E42">
            <w:pPr>
              <w:adjustRightInd w:val="0"/>
              <w:snapToGrid w:val="0"/>
              <w:spacing w:line="400" w:lineRule="exact"/>
              <w:jc w:val="left"/>
              <w:rPr>
                <w:sz w:val="24"/>
                <w:szCs w:val="24"/>
              </w:rPr>
            </w:pPr>
            <w:r>
              <w:rPr>
                <w:rFonts w:hint="eastAsia"/>
                <w:sz w:val="24"/>
                <w:szCs w:val="24"/>
              </w:rPr>
              <w:t>提供南通市崇川区电子政务外网两处机房的：4台精密空调维保服务及约600平方米的关键区域防鼠灭鼠服务。</w:t>
            </w:r>
          </w:p>
          <w:p w14:paraId="3C2995F3">
            <w:pPr>
              <w:adjustRightInd w:val="0"/>
              <w:snapToGrid w:val="0"/>
              <w:spacing w:line="400" w:lineRule="exact"/>
              <w:jc w:val="left"/>
              <w:rPr>
                <w:sz w:val="24"/>
                <w:szCs w:val="24"/>
              </w:rPr>
            </w:pPr>
            <w:r>
              <w:rPr>
                <w:rFonts w:hint="eastAsia"/>
                <w:sz w:val="24"/>
                <w:szCs w:val="24"/>
              </w:rPr>
              <w:t>1.精密空调维保服务范围</w:t>
            </w:r>
          </w:p>
          <w:p w14:paraId="226A5B4E">
            <w:pPr>
              <w:adjustRightInd w:val="0"/>
              <w:snapToGrid w:val="0"/>
              <w:spacing w:line="400" w:lineRule="exact"/>
              <w:jc w:val="left"/>
              <w:rPr>
                <w:sz w:val="24"/>
                <w:szCs w:val="24"/>
              </w:rPr>
            </w:pPr>
            <w:r>
              <w:rPr>
                <w:rFonts w:hint="eastAsia"/>
                <w:sz w:val="24"/>
                <w:szCs w:val="24"/>
              </w:rPr>
              <w:t>桃坞路2F网络核心主机房2台40KW艾特网能精密空调、1FUPS间1台12KW艾默生精密空调、城港路5F弱电间机房1台7KW艾默生精密空调维保服务已于2025年底到期。</w:t>
            </w:r>
          </w:p>
          <w:p w14:paraId="30ED9AA0">
            <w:pPr>
              <w:adjustRightInd w:val="0"/>
              <w:snapToGrid w:val="0"/>
              <w:spacing w:line="400" w:lineRule="exact"/>
              <w:jc w:val="left"/>
              <w:rPr>
                <w:sz w:val="24"/>
                <w:szCs w:val="24"/>
              </w:rPr>
            </w:pPr>
            <w:r>
              <w:rPr>
                <w:rFonts w:hint="eastAsia"/>
                <w:sz w:val="24"/>
                <w:szCs w:val="24"/>
              </w:rPr>
              <w:t>本次服务要求对4台精密空调设备进行维护、维修及保养。如：定期巡查巡检设备运行情况、设备零配件及耗材的更换、提供24小时不间断技术支持服务及重大事件现场保障服务等。本次维护保养的精密空调清单如下：</w:t>
            </w:r>
          </w:p>
          <w:tbl>
            <w:tblPr>
              <w:tblStyle w:val="49"/>
              <w:tblW w:w="5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78"/>
              <w:gridCol w:w="1617"/>
              <w:gridCol w:w="996"/>
              <w:gridCol w:w="887"/>
            </w:tblGrid>
            <w:tr w14:paraId="563CD7BF">
              <w:trPr>
                <w:trHeight w:val="153" w:hRule="atLeast"/>
              </w:trPr>
              <w:tc>
                <w:tcPr>
                  <w:tcW w:w="685" w:type="dxa"/>
                  <w:vAlign w:val="center"/>
                </w:tcPr>
                <w:p w14:paraId="67F6E5C5">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序号</w:t>
                  </w:r>
                </w:p>
              </w:tc>
              <w:tc>
                <w:tcPr>
                  <w:tcW w:w="1378" w:type="dxa"/>
                  <w:vAlign w:val="center"/>
                </w:tcPr>
                <w:p w14:paraId="05D9A2EB">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设备名称</w:t>
                  </w:r>
                </w:p>
              </w:tc>
              <w:tc>
                <w:tcPr>
                  <w:tcW w:w="1617" w:type="dxa"/>
                  <w:vAlign w:val="center"/>
                </w:tcPr>
                <w:p w14:paraId="094BB783">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rPr>
                    <w:t>品牌</w:t>
                  </w:r>
                  <w:r>
                    <w:rPr>
                      <w:b/>
                      <w:snapToGrid w:val="0"/>
                      <w:color w:val="000000"/>
                      <w:kern w:val="0"/>
                      <w:sz w:val="24"/>
                      <w:szCs w:val="24"/>
                      <w:lang w:eastAsia="en-US"/>
                    </w:rPr>
                    <w:t>型号</w:t>
                  </w:r>
                </w:p>
              </w:tc>
              <w:tc>
                <w:tcPr>
                  <w:tcW w:w="996" w:type="dxa"/>
                  <w:vAlign w:val="center"/>
                </w:tcPr>
                <w:p w14:paraId="38CBE186">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购买日期</w:t>
                  </w:r>
                </w:p>
              </w:tc>
              <w:tc>
                <w:tcPr>
                  <w:tcW w:w="887" w:type="dxa"/>
                  <w:vAlign w:val="center"/>
                </w:tcPr>
                <w:p w14:paraId="0097AFB8">
                  <w:pPr>
                    <w:widowControl/>
                    <w:kinsoku w:val="0"/>
                    <w:autoSpaceDE w:val="0"/>
                    <w:autoSpaceDN w:val="0"/>
                    <w:adjustRightInd w:val="0"/>
                    <w:snapToGrid w:val="0"/>
                    <w:spacing w:line="420" w:lineRule="exact"/>
                    <w:jc w:val="center"/>
                    <w:textAlignment w:val="baseline"/>
                    <w:rPr>
                      <w:b/>
                      <w:snapToGrid w:val="0"/>
                      <w:color w:val="000000"/>
                      <w:kern w:val="0"/>
                      <w:sz w:val="24"/>
                      <w:szCs w:val="24"/>
                      <w:lang w:eastAsia="en-US"/>
                    </w:rPr>
                  </w:pPr>
                  <w:r>
                    <w:rPr>
                      <w:b/>
                      <w:snapToGrid w:val="0"/>
                      <w:color w:val="000000"/>
                      <w:kern w:val="0"/>
                      <w:sz w:val="24"/>
                      <w:szCs w:val="24"/>
                      <w:lang w:eastAsia="en-US"/>
                    </w:rPr>
                    <w:t>数量</w:t>
                  </w:r>
                </w:p>
              </w:tc>
            </w:tr>
            <w:tr w14:paraId="28AA25AC">
              <w:trPr>
                <w:trHeight w:val="338" w:hRule="atLeast"/>
              </w:trPr>
              <w:tc>
                <w:tcPr>
                  <w:tcW w:w="685" w:type="dxa"/>
                  <w:vAlign w:val="center"/>
                </w:tcPr>
                <w:p w14:paraId="772D932D">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1</w:t>
                  </w:r>
                </w:p>
              </w:tc>
              <w:tc>
                <w:tcPr>
                  <w:tcW w:w="1378" w:type="dxa"/>
                  <w:vMerge w:val="restart"/>
                  <w:vAlign w:val="center"/>
                </w:tcPr>
                <w:p w14:paraId="2A741405">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桃坞路网络核心机房精密空调</w:t>
                  </w:r>
                </w:p>
              </w:tc>
              <w:tc>
                <w:tcPr>
                  <w:tcW w:w="1617" w:type="dxa"/>
                  <w:vAlign w:val="center"/>
                </w:tcPr>
                <w:p w14:paraId="4230C23B">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艾默生</w:t>
                  </w:r>
                  <w:r>
                    <w:rPr>
                      <w:snapToGrid w:val="0"/>
                      <w:color w:val="000000"/>
                      <w:kern w:val="0"/>
                      <w:sz w:val="24"/>
                      <w:szCs w:val="24"/>
                      <w:lang w:eastAsia="en-US"/>
                    </w:rPr>
                    <w:t>DME12MCP5</w:t>
                  </w:r>
                </w:p>
              </w:tc>
              <w:tc>
                <w:tcPr>
                  <w:tcW w:w="996" w:type="dxa"/>
                  <w:vAlign w:val="center"/>
                </w:tcPr>
                <w:p w14:paraId="63983709">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2018.6</w:t>
                  </w:r>
                </w:p>
              </w:tc>
              <w:tc>
                <w:tcPr>
                  <w:tcW w:w="887" w:type="dxa"/>
                  <w:vAlign w:val="center"/>
                </w:tcPr>
                <w:p w14:paraId="618439CC">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lang w:eastAsia="en-US"/>
                    </w:rPr>
                    <w:t>1台</w:t>
                  </w:r>
                </w:p>
              </w:tc>
            </w:tr>
            <w:tr w14:paraId="6B8FF9B4">
              <w:trPr>
                <w:trHeight w:val="218" w:hRule="atLeast"/>
              </w:trPr>
              <w:tc>
                <w:tcPr>
                  <w:tcW w:w="685" w:type="dxa"/>
                  <w:vAlign w:val="center"/>
                </w:tcPr>
                <w:p w14:paraId="2273F3CE">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w:t>
                  </w:r>
                </w:p>
              </w:tc>
              <w:tc>
                <w:tcPr>
                  <w:tcW w:w="1378" w:type="dxa"/>
                  <w:vMerge w:val="continue"/>
                  <w:vAlign w:val="center"/>
                </w:tcPr>
                <w:p w14:paraId="555CE1C7">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p>
              </w:tc>
              <w:tc>
                <w:tcPr>
                  <w:tcW w:w="1617" w:type="dxa"/>
                  <w:vAlign w:val="center"/>
                </w:tcPr>
                <w:p w14:paraId="674E751E">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艾特网能CM040</w:t>
                  </w:r>
                </w:p>
              </w:tc>
              <w:tc>
                <w:tcPr>
                  <w:tcW w:w="996" w:type="dxa"/>
                  <w:vAlign w:val="center"/>
                </w:tcPr>
                <w:p w14:paraId="47EFFA55">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2021</w:t>
                  </w:r>
                  <w:r>
                    <w:rPr>
                      <w:snapToGrid w:val="0"/>
                      <w:color w:val="000000"/>
                      <w:kern w:val="0"/>
                      <w:sz w:val="24"/>
                      <w:szCs w:val="24"/>
                      <w:lang w:eastAsia="en-US"/>
                    </w:rPr>
                    <w:t>.10</w:t>
                  </w:r>
                </w:p>
              </w:tc>
              <w:tc>
                <w:tcPr>
                  <w:tcW w:w="887" w:type="dxa"/>
                  <w:vAlign w:val="center"/>
                </w:tcPr>
                <w:p w14:paraId="5C636113">
                  <w:pPr>
                    <w:widowControl/>
                    <w:kinsoku w:val="0"/>
                    <w:autoSpaceDE w:val="0"/>
                    <w:autoSpaceDN w:val="0"/>
                    <w:adjustRightInd w:val="0"/>
                    <w:snapToGrid w:val="0"/>
                    <w:spacing w:line="420" w:lineRule="exact"/>
                    <w:jc w:val="center"/>
                    <w:textAlignment w:val="baseline"/>
                    <w:rPr>
                      <w:snapToGrid w:val="0"/>
                      <w:color w:val="000000"/>
                      <w:kern w:val="0"/>
                      <w:sz w:val="24"/>
                      <w:szCs w:val="24"/>
                      <w:lang w:eastAsia="en-US"/>
                    </w:rPr>
                  </w:pPr>
                  <w:r>
                    <w:rPr>
                      <w:snapToGrid w:val="0"/>
                      <w:color w:val="000000"/>
                      <w:kern w:val="0"/>
                      <w:sz w:val="24"/>
                      <w:szCs w:val="24"/>
                    </w:rPr>
                    <w:t>2</w:t>
                  </w:r>
                  <w:r>
                    <w:rPr>
                      <w:snapToGrid w:val="0"/>
                      <w:color w:val="000000"/>
                      <w:kern w:val="0"/>
                      <w:sz w:val="24"/>
                      <w:szCs w:val="24"/>
                      <w:lang w:eastAsia="en-US"/>
                    </w:rPr>
                    <w:t>台</w:t>
                  </w:r>
                </w:p>
              </w:tc>
            </w:tr>
            <w:tr w14:paraId="6A57517E">
              <w:trPr>
                <w:trHeight w:val="210" w:hRule="atLeast"/>
              </w:trPr>
              <w:tc>
                <w:tcPr>
                  <w:tcW w:w="685" w:type="dxa"/>
                  <w:vAlign w:val="center"/>
                </w:tcPr>
                <w:p w14:paraId="0D6B6C80">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3</w:t>
                  </w:r>
                </w:p>
              </w:tc>
              <w:tc>
                <w:tcPr>
                  <w:tcW w:w="1378" w:type="dxa"/>
                  <w:vAlign w:val="center"/>
                </w:tcPr>
                <w:p w14:paraId="6D2E1296">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城港路视频汇聚机房精密空调</w:t>
                  </w:r>
                </w:p>
              </w:tc>
              <w:tc>
                <w:tcPr>
                  <w:tcW w:w="1617" w:type="dxa"/>
                  <w:vAlign w:val="center"/>
                </w:tcPr>
                <w:p w14:paraId="1B8BE527">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艾默生DME07MH2</w:t>
                  </w:r>
                </w:p>
              </w:tc>
              <w:tc>
                <w:tcPr>
                  <w:tcW w:w="996" w:type="dxa"/>
                  <w:vAlign w:val="center"/>
                </w:tcPr>
                <w:p w14:paraId="60E2C8EE">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2012.11</w:t>
                  </w:r>
                </w:p>
              </w:tc>
              <w:tc>
                <w:tcPr>
                  <w:tcW w:w="887" w:type="dxa"/>
                  <w:vAlign w:val="center"/>
                </w:tcPr>
                <w:p w14:paraId="77434267">
                  <w:pPr>
                    <w:widowControl/>
                    <w:kinsoku w:val="0"/>
                    <w:autoSpaceDE w:val="0"/>
                    <w:autoSpaceDN w:val="0"/>
                    <w:adjustRightInd w:val="0"/>
                    <w:snapToGrid w:val="0"/>
                    <w:spacing w:line="420" w:lineRule="exact"/>
                    <w:jc w:val="center"/>
                    <w:textAlignment w:val="baseline"/>
                    <w:rPr>
                      <w:snapToGrid w:val="0"/>
                      <w:color w:val="000000"/>
                      <w:kern w:val="0"/>
                      <w:sz w:val="24"/>
                      <w:szCs w:val="24"/>
                    </w:rPr>
                  </w:pPr>
                  <w:r>
                    <w:rPr>
                      <w:snapToGrid w:val="0"/>
                      <w:color w:val="000000"/>
                      <w:kern w:val="0"/>
                      <w:sz w:val="24"/>
                      <w:szCs w:val="24"/>
                    </w:rPr>
                    <w:t>1台</w:t>
                  </w:r>
                </w:p>
              </w:tc>
            </w:tr>
          </w:tbl>
          <w:p w14:paraId="7519A385">
            <w:pPr>
              <w:adjustRightInd w:val="0"/>
              <w:snapToGrid w:val="0"/>
              <w:spacing w:line="400" w:lineRule="exact"/>
              <w:jc w:val="left"/>
              <w:rPr>
                <w:sz w:val="24"/>
                <w:szCs w:val="24"/>
              </w:rPr>
            </w:pPr>
            <w:r>
              <w:rPr>
                <w:rFonts w:hint="eastAsia"/>
                <w:sz w:val="24"/>
                <w:szCs w:val="24"/>
              </w:rPr>
              <w:t>2.防鼠灭鼠服务范围</w:t>
            </w:r>
          </w:p>
          <w:p w14:paraId="73A32D75">
            <w:pPr>
              <w:adjustRightInd w:val="0"/>
              <w:snapToGrid w:val="0"/>
              <w:spacing w:line="400" w:lineRule="exact"/>
              <w:jc w:val="left"/>
              <w:rPr>
                <w:sz w:val="24"/>
                <w:szCs w:val="24"/>
              </w:rPr>
            </w:pPr>
            <w:r>
              <w:rPr>
                <w:rFonts w:hint="eastAsia"/>
                <w:sz w:val="24"/>
                <w:szCs w:val="24"/>
              </w:rPr>
              <w:t>桃坞路网络核心机房：服务总面积约400平方米（以实际为准），涵盖一楼（UPS间、机房、会议室、卫生间）、二楼（核心机房、卫生间）、三楼（办公区各房间、卫生间）及四楼（会议室、音控室）的所有空间。</w:t>
            </w:r>
          </w:p>
          <w:p w14:paraId="7E6DA634">
            <w:pPr>
              <w:adjustRightInd w:val="0"/>
              <w:snapToGrid w:val="0"/>
              <w:spacing w:line="400" w:lineRule="exact"/>
              <w:jc w:val="left"/>
              <w:rPr>
                <w:sz w:val="24"/>
                <w:szCs w:val="24"/>
              </w:rPr>
            </w:pPr>
            <w:r>
              <w:rPr>
                <w:rFonts w:hint="eastAsia"/>
                <w:sz w:val="24"/>
                <w:szCs w:val="24"/>
              </w:rPr>
              <w:t>城港路视频汇聚机房：服务总面积约200平方米，涵盖五楼（接入机房）和十楼（视频汇聚机房、机房办公区各房间、仓库）的整体区域。</w:t>
            </w:r>
          </w:p>
        </w:tc>
        <w:tc>
          <w:tcPr>
            <w:tcW w:w="1417" w:type="dxa"/>
            <w:vAlign w:val="center"/>
          </w:tcPr>
          <w:p w14:paraId="4F8E01B7">
            <w:pPr>
              <w:adjustRightInd w:val="0"/>
              <w:snapToGrid w:val="0"/>
              <w:spacing w:line="400" w:lineRule="exact"/>
              <w:jc w:val="center"/>
              <w:rPr>
                <w:sz w:val="24"/>
                <w:szCs w:val="24"/>
              </w:rPr>
            </w:pPr>
          </w:p>
        </w:tc>
        <w:tc>
          <w:tcPr>
            <w:tcW w:w="992" w:type="dxa"/>
            <w:vMerge w:val="restart"/>
            <w:vAlign w:val="center"/>
          </w:tcPr>
          <w:p w14:paraId="15E4A7D1">
            <w:pPr>
              <w:adjustRightInd w:val="0"/>
              <w:snapToGrid w:val="0"/>
              <w:spacing w:line="400" w:lineRule="exact"/>
              <w:jc w:val="left"/>
              <w:rPr>
                <w:b/>
                <w:bCs/>
                <w:sz w:val="24"/>
                <w:szCs w:val="24"/>
              </w:rPr>
            </w:pPr>
            <w:r>
              <w:rPr>
                <w:b/>
                <w:bCs/>
                <w:sz w:val="24"/>
                <w:szCs w:val="24"/>
              </w:rPr>
              <w:t>该表为格式表，必须完全响应，仅接受正偏离不接受任何负偏离。</w:t>
            </w:r>
          </w:p>
        </w:tc>
      </w:tr>
      <w:tr w14:paraId="5F09C525">
        <w:tc>
          <w:tcPr>
            <w:tcW w:w="1701" w:type="dxa"/>
            <w:vAlign w:val="center"/>
          </w:tcPr>
          <w:p w14:paraId="1F9B23B3">
            <w:pPr>
              <w:adjustRightInd w:val="0"/>
              <w:snapToGrid w:val="0"/>
              <w:spacing w:line="400" w:lineRule="exact"/>
              <w:jc w:val="center"/>
              <w:rPr>
                <w:sz w:val="24"/>
                <w:szCs w:val="24"/>
              </w:rPr>
            </w:pPr>
            <w:r>
              <w:rPr>
                <w:rFonts w:hint="eastAsia"/>
                <w:sz w:val="24"/>
                <w:szCs w:val="24"/>
              </w:rPr>
              <w:t>二、服务要求</w:t>
            </w:r>
          </w:p>
        </w:tc>
        <w:tc>
          <w:tcPr>
            <w:tcW w:w="5524" w:type="dxa"/>
            <w:vAlign w:val="center"/>
          </w:tcPr>
          <w:p w14:paraId="337A0FD4">
            <w:pPr>
              <w:adjustRightInd w:val="0"/>
              <w:snapToGrid w:val="0"/>
              <w:spacing w:line="400" w:lineRule="exact"/>
              <w:jc w:val="left"/>
              <w:rPr>
                <w:sz w:val="24"/>
                <w:szCs w:val="24"/>
              </w:rPr>
            </w:pPr>
            <w:r>
              <w:rPr>
                <w:rFonts w:hint="eastAsia"/>
                <w:sz w:val="24"/>
                <w:szCs w:val="24"/>
              </w:rPr>
              <w:t>1.人员服务要求</w:t>
            </w:r>
          </w:p>
          <w:p w14:paraId="6CBE1380">
            <w:pPr>
              <w:adjustRightInd w:val="0"/>
              <w:snapToGrid w:val="0"/>
              <w:spacing w:line="400" w:lineRule="exact"/>
              <w:jc w:val="left"/>
              <w:rPr>
                <w:sz w:val="24"/>
                <w:szCs w:val="24"/>
              </w:rPr>
            </w:pPr>
            <w:r>
              <w:rPr>
                <w:rFonts w:hint="eastAsia"/>
                <w:sz w:val="24"/>
                <w:szCs w:val="24"/>
              </w:rPr>
              <w:t>拟派本项目的项目负责人和上门维保人员须为供应商的正式员工，具有从业的相关证书。</w:t>
            </w:r>
          </w:p>
          <w:p w14:paraId="52FF0D62">
            <w:pPr>
              <w:adjustRightInd w:val="0"/>
              <w:snapToGrid w:val="0"/>
              <w:spacing w:line="400" w:lineRule="exact"/>
              <w:jc w:val="left"/>
              <w:rPr>
                <w:sz w:val="24"/>
                <w:szCs w:val="24"/>
              </w:rPr>
            </w:pPr>
            <w:r>
              <w:rPr>
                <w:rFonts w:hint="eastAsia"/>
                <w:sz w:val="24"/>
                <w:szCs w:val="24"/>
              </w:rPr>
              <w:t>2.精密空调维保服务要求</w:t>
            </w:r>
          </w:p>
          <w:p w14:paraId="1DB15A6C">
            <w:pPr>
              <w:adjustRightInd w:val="0"/>
              <w:snapToGrid w:val="0"/>
              <w:spacing w:line="400" w:lineRule="exact"/>
              <w:jc w:val="left"/>
              <w:rPr>
                <w:sz w:val="24"/>
                <w:szCs w:val="24"/>
              </w:rPr>
            </w:pPr>
            <w:r>
              <w:rPr>
                <w:rFonts w:hint="eastAsia"/>
                <w:sz w:val="24"/>
                <w:szCs w:val="24"/>
              </w:rPr>
              <w:t>（1）巡查巡检：服务供应商应根据用户要求，在服务期内对精密空调每月提供1次现场例行检查，每次巡检向用户提供巡检报告，并说明目前精密空调运行情况、存在问题及维护保养等详细情况。</w:t>
            </w:r>
          </w:p>
          <w:p w14:paraId="37E69157">
            <w:pPr>
              <w:adjustRightInd w:val="0"/>
              <w:snapToGrid w:val="0"/>
              <w:spacing w:line="400" w:lineRule="exact"/>
              <w:jc w:val="left"/>
              <w:rPr>
                <w:sz w:val="24"/>
                <w:szCs w:val="24"/>
              </w:rPr>
            </w:pPr>
            <w:r>
              <w:rPr>
                <w:rFonts w:hint="eastAsia"/>
                <w:sz w:val="24"/>
                <w:szCs w:val="24"/>
              </w:rPr>
              <w:t>（2）空气过滤器的清洗：每月定期对空气过滤器进行检查，根据检查情况对空气过滤器进行清洗、清洁冷凝盘管等。</w:t>
            </w:r>
          </w:p>
          <w:p w14:paraId="2362819C">
            <w:pPr>
              <w:adjustRightInd w:val="0"/>
              <w:snapToGrid w:val="0"/>
              <w:spacing w:line="400" w:lineRule="exact"/>
              <w:jc w:val="left"/>
              <w:rPr>
                <w:sz w:val="24"/>
                <w:szCs w:val="24"/>
              </w:rPr>
            </w:pPr>
            <w:r>
              <w:rPr>
                <w:rFonts w:hint="eastAsia"/>
                <w:sz w:val="24"/>
                <w:szCs w:val="24"/>
              </w:rPr>
              <w:t>（3）水冷式冷凝器的清洁：每月定期对水冷式冷凝器进行检查，根据检查情况进行保洁（检查并清洗排水管路）。</w:t>
            </w:r>
          </w:p>
          <w:p w14:paraId="151310B2">
            <w:pPr>
              <w:adjustRightInd w:val="0"/>
              <w:snapToGrid w:val="0"/>
              <w:spacing w:line="400" w:lineRule="exact"/>
              <w:jc w:val="left"/>
              <w:rPr>
                <w:sz w:val="24"/>
                <w:szCs w:val="24"/>
              </w:rPr>
            </w:pPr>
            <w:r>
              <w:rPr>
                <w:rFonts w:hint="eastAsia"/>
                <w:sz w:val="24"/>
                <w:szCs w:val="24"/>
              </w:rPr>
              <w:t>（4）每月定期检查传动皮带，如有必要进行更换。</w:t>
            </w:r>
          </w:p>
          <w:p w14:paraId="17743A08">
            <w:pPr>
              <w:adjustRightInd w:val="0"/>
              <w:snapToGrid w:val="0"/>
              <w:spacing w:line="400" w:lineRule="exact"/>
              <w:jc w:val="left"/>
              <w:rPr>
                <w:sz w:val="24"/>
                <w:szCs w:val="24"/>
              </w:rPr>
            </w:pPr>
            <w:r>
              <w:rPr>
                <w:rFonts w:hint="eastAsia"/>
                <w:sz w:val="24"/>
                <w:szCs w:val="24"/>
              </w:rPr>
              <w:t>（5）每月定期检查加湿系统，如存在隐患或出现故障时须及时修复或更换。</w:t>
            </w:r>
          </w:p>
          <w:p w14:paraId="60E315AD">
            <w:pPr>
              <w:adjustRightInd w:val="0"/>
              <w:snapToGrid w:val="0"/>
              <w:spacing w:line="400" w:lineRule="exact"/>
              <w:jc w:val="left"/>
              <w:rPr>
                <w:sz w:val="24"/>
                <w:szCs w:val="24"/>
              </w:rPr>
            </w:pPr>
            <w:r>
              <w:rPr>
                <w:rFonts w:hint="eastAsia"/>
                <w:sz w:val="24"/>
                <w:szCs w:val="24"/>
              </w:rPr>
              <w:t>（6）每月定期对室外机进行检查和保洁。</w:t>
            </w:r>
          </w:p>
          <w:p w14:paraId="02C386B6">
            <w:pPr>
              <w:adjustRightInd w:val="0"/>
              <w:snapToGrid w:val="0"/>
              <w:spacing w:line="400" w:lineRule="exact"/>
              <w:jc w:val="left"/>
              <w:rPr>
                <w:sz w:val="24"/>
                <w:szCs w:val="24"/>
              </w:rPr>
            </w:pPr>
            <w:r>
              <w:rPr>
                <w:rFonts w:hint="eastAsia"/>
                <w:sz w:val="24"/>
                <w:szCs w:val="24"/>
              </w:rPr>
              <w:t>（7）每月定期检查压力容器的运行情况，如有必要进行更换。</w:t>
            </w:r>
          </w:p>
          <w:p w14:paraId="2213A712">
            <w:pPr>
              <w:adjustRightInd w:val="0"/>
              <w:snapToGrid w:val="0"/>
              <w:spacing w:line="400" w:lineRule="exact"/>
              <w:jc w:val="left"/>
              <w:rPr>
                <w:sz w:val="24"/>
                <w:szCs w:val="24"/>
              </w:rPr>
            </w:pPr>
            <w:r>
              <w:rPr>
                <w:rFonts w:hint="eastAsia"/>
                <w:sz w:val="24"/>
                <w:szCs w:val="24"/>
              </w:rPr>
              <w:t>（8）每月定期检查空调压缩机运行情况，如果损坏给予及时更换。</w:t>
            </w:r>
          </w:p>
          <w:p w14:paraId="53AA16A0">
            <w:pPr>
              <w:adjustRightInd w:val="0"/>
              <w:snapToGrid w:val="0"/>
              <w:spacing w:line="400" w:lineRule="exact"/>
              <w:jc w:val="left"/>
              <w:rPr>
                <w:sz w:val="24"/>
                <w:szCs w:val="24"/>
              </w:rPr>
            </w:pPr>
            <w:r>
              <w:rPr>
                <w:rFonts w:hint="eastAsia"/>
                <w:sz w:val="24"/>
                <w:szCs w:val="24"/>
              </w:rPr>
              <w:t>（9）在维保期内须对下列耗材进行更换（服务）：</w:t>
            </w:r>
          </w:p>
          <w:tbl>
            <w:tblPr>
              <w:tblStyle w:val="49"/>
              <w:tblW w:w="5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655"/>
              <w:gridCol w:w="1497"/>
              <w:gridCol w:w="1308"/>
              <w:gridCol w:w="930"/>
              <w:gridCol w:w="766"/>
            </w:tblGrid>
            <w:tr w14:paraId="1AA8FB52">
              <w:trPr>
                <w:trHeight w:val="443" w:hRule="atLeast"/>
                <w:tblHeader/>
              </w:trPr>
              <w:tc>
                <w:tcPr>
                  <w:tcW w:w="704" w:type="dxa"/>
                  <w:vAlign w:val="center"/>
                </w:tcPr>
                <w:p w14:paraId="5E27015C">
                  <w:pPr>
                    <w:widowControl/>
                    <w:kinsoku w:val="0"/>
                    <w:autoSpaceDE w:val="0"/>
                    <w:autoSpaceDN w:val="0"/>
                    <w:adjustRightInd w:val="0"/>
                    <w:snapToGrid w:val="0"/>
                    <w:spacing w:line="420" w:lineRule="exact"/>
                    <w:jc w:val="center"/>
                    <w:textAlignment w:val="baseline"/>
                    <w:rPr>
                      <w:b/>
                      <w:bCs/>
                      <w:snapToGrid w:val="0"/>
                      <w:color w:val="000000"/>
                      <w:kern w:val="0"/>
                      <w:sz w:val="24"/>
                      <w:lang w:eastAsia="en-US"/>
                    </w:rPr>
                  </w:pPr>
                  <w:r>
                    <w:rPr>
                      <w:rFonts w:hint="eastAsia"/>
                      <w:b/>
                      <w:bCs/>
                      <w:snapToGrid w:val="0"/>
                      <w:color w:val="000000"/>
                      <w:kern w:val="0"/>
                      <w:sz w:val="24"/>
                      <w:lang w:eastAsia="en-US"/>
                    </w:rPr>
                    <w:t>序号</w:t>
                  </w:r>
                </w:p>
              </w:tc>
              <w:tc>
                <w:tcPr>
                  <w:tcW w:w="709" w:type="dxa"/>
                  <w:vAlign w:val="center"/>
                </w:tcPr>
                <w:p w14:paraId="196C0270">
                  <w:pPr>
                    <w:widowControl/>
                    <w:kinsoku w:val="0"/>
                    <w:autoSpaceDE w:val="0"/>
                    <w:autoSpaceDN w:val="0"/>
                    <w:adjustRightInd w:val="0"/>
                    <w:snapToGrid w:val="0"/>
                    <w:spacing w:line="420" w:lineRule="exact"/>
                    <w:jc w:val="center"/>
                    <w:textAlignment w:val="baseline"/>
                    <w:rPr>
                      <w:b/>
                      <w:bCs/>
                      <w:snapToGrid w:val="0"/>
                      <w:color w:val="000000"/>
                      <w:kern w:val="0"/>
                      <w:sz w:val="24"/>
                      <w:lang w:eastAsia="en-US"/>
                    </w:rPr>
                  </w:pPr>
                  <w:r>
                    <w:rPr>
                      <w:rFonts w:hint="eastAsia"/>
                      <w:b/>
                      <w:bCs/>
                      <w:snapToGrid w:val="0"/>
                      <w:color w:val="000000"/>
                      <w:kern w:val="0"/>
                      <w:sz w:val="24"/>
                    </w:rPr>
                    <w:t>耗材</w:t>
                  </w:r>
                </w:p>
              </w:tc>
              <w:tc>
                <w:tcPr>
                  <w:tcW w:w="1134" w:type="dxa"/>
                  <w:vAlign w:val="center"/>
                </w:tcPr>
                <w:p w14:paraId="5FA63842">
                  <w:pPr>
                    <w:widowControl/>
                    <w:kinsoku w:val="0"/>
                    <w:autoSpaceDE w:val="0"/>
                    <w:autoSpaceDN w:val="0"/>
                    <w:adjustRightInd w:val="0"/>
                    <w:snapToGrid w:val="0"/>
                    <w:spacing w:line="420" w:lineRule="exact"/>
                    <w:jc w:val="center"/>
                    <w:textAlignment w:val="baseline"/>
                    <w:rPr>
                      <w:b/>
                      <w:bCs/>
                      <w:snapToGrid w:val="0"/>
                      <w:color w:val="000000"/>
                      <w:kern w:val="0"/>
                      <w:sz w:val="24"/>
                      <w:lang w:eastAsia="en-US"/>
                    </w:rPr>
                  </w:pPr>
                  <w:r>
                    <w:rPr>
                      <w:rFonts w:hint="eastAsia"/>
                      <w:b/>
                      <w:bCs/>
                      <w:snapToGrid w:val="0"/>
                      <w:color w:val="000000"/>
                      <w:kern w:val="0"/>
                      <w:sz w:val="24"/>
                    </w:rPr>
                    <w:t>设备</w:t>
                  </w:r>
                </w:p>
              </w:tc>
              <w:tc>
                <w:tcPr>
                  <w:tcW w:w="1417" w:type="dxa"/>
                  <w:vAlign w:val="center"/>
                </w:tcPr>
                <w:p w14:paraId="06C93750">
                  <w:pPr>
                    <w:widowControl/>
                    <w:kinsoku w:val="0"/>
                    <w:autoSpaceDE w:val="0"/>
                    <w:autoSpaceDN w:val="0"/>
                    <w:adjustRightInd w:val="0"/>
                    <w:snapToGrid w:val="0"/>
                    <w:spacing w:line="420" w:lineRule="exact"/>
                    <w:jc w:val="center"/>
                    <w:textAlignment w:val="baseline"/>
                    <w:rPr>
                      <w:b/>
                      <w:bCs/>
                      <w:snapToGrid w:val="0"/>
                      <w:color w:val="000000"/>
                      <w:kern w:val="0"/>
                      <w:sz w:val="24"/>
                    </w:rPr>
                  </w:pPr>
                  <w:r>
                    <w:rPr>
                      <w:rFonts w:hint="eastAsia"/>
                      <w:b/>
                      <w:bCs/>
                      <w:snapToGrid w:val="0"/>
                      <w:color w:val="000000"/>
                      <w:kern w:val="0"/>
                      <w:sz w:val="24"/>
                    </w:rPr>
                    <w:t>地点</w:t>
                  </w:r>
                </w:p>
              </w:tc>
              <w:tc>
                <w:tcPr>
                  <w:tcW w:w="993" w:type="dxa"/>
                  <w:vAlign w:val="center"/>
                </w:tcPr>
                <w:p w14:paraId="705BAAC9">
                  <w:pPr>
                    <w:widowControl/>
                    <w:kinsoku w:val="0"/>
                    <w:autoSpaceDE w:val="0"/>
                    <w:autoSpaceDN w:val="0"/>
                    <w:adjustRightInd w:val="0"/>
                    <w:snapToGrid w:val="0"/>
                    <w:spacing w:line="420" w:lineRule="exact"/>
                    <w:jc w:val="center"/>
                    <w:textAlignment w:val="baseline"/>
                    <w:rPr>
                      <w:b/>
                      <w:bCs/>
                      <w:snapToGrid w:val="0"/>
                      <w:color w:val="000000"/>
                      <w:kern w:val="0"/>
                      <w:sz w:val="24"/>
                      <w:lang w:eastAsia="en-US"/>
                    </w:rPr>
                  </w:pPr>
                  <w:r>
                    <w:rPr>
                      <w:rFonts w:hint="eastAsia"/>
                      <w:b/>
                      <w:bCs/>
                      <w:snapToGrid w:val="0"/>
                      <w:color w:val="000000"/>
                      <w:kern w:val="0"/>
                      <w:sz w:val="24"/>
                      <w:lang w:eastAsia="en-US"/>
                    </w:rPr>
                    <w:t>更换</w:t>
                  </w:r>
                  <w:r>
                    <w:rPr>
                      <w:rFonts w:hint="eastAsia"/>
                      <w:b/>
                      <w:bCs/>
                      <w:snapToGrid w:val="0"/>
                      <w:color w:val="000000"/>
                      <w:kern w:val="0"/>
                      <w:sz w:val="24"/>
                    </w:rPr>
                    <w:t>（服务）</w:t>
                  </w:r>
                  <w:r>
                    <w:rPr>
                      <w:rFonts w:hint="eastAsia"/>
                      <w:b/>
                      <w:bCs/>
                      <w:snapToGrid w:val="0"/>
                      <w:color w:val="000000"/>
                      <w:kern w:val="0"/>
                      <w:sz w:val="24"/>
                      <w:lang w:eastAsia="en-US"/>
                    </w:rPr>
                    <w:t>次数</w:t>
                  </w:r>
                </w:p>
              </w:tc>
              <w:tc>
                <w:tcPr>
                  <w:tcW w:w="850" w:type="dxa"/>
                  <w:vAlign w:val="center"/>
                </w:tcPr>
                <w:p w14:paraId="07B3E01A">
                  <w:pPr>
                    <w:widowControl/>
                    <w:kinsoku w:val="0"/>
                    <w:autoSpaceDE w:val="0"/>
                    <w:autoSpaceDN w:val="0"/>
                    <w:adjustRightInd w:val="0"/>
                    <w:snapToGrid w:val="0"/>
                    <w:spacing w:line="420" w:lineRule="exact"/>
                    <w:jc w:val="center"/>
                    <w:textAlignment w:val="baseline"/>
                    <w:rPr>
                      <w:b/>
                      <w:bCs/>
                      <w:snapToGrid w:val="0"/>
                      <w:color w:val="000000"/>
                      <w:kern w:val="0"/>
                      <w:sz w:val="24"/>
                      <w:lang w:eastAsia="en-US"/>
                    </w:rPr>
                  </w:pPr>
                  <w:r>
                    <w:rPr>
                      <w:rFonts w:hint="eastAsia"/>
                      <w:b/>
                      <w:bCs/>
                      <w:snapToGrid w:val="0"/>
                      <w:color w:val="000000"/>
                      <w:kern w:val="0"/>
                      <w:sz w:val="24"/>
                      <w:lang w:eastAsia="en-US"/>
                    </w:rPr>
                    <w:t>每次更换数量</w:t>
                  </w:r>
                </w:p>
              </w:tc>
            </w:tr>
            <w:tr w14:paraId="5605829A">
              <w:trPr>
                <w:trHeight w:val="443" w:hRule="atLeast"/>
              </w:trPr>
              <w:tc>
                <w:tcPr>
                  <w:tcW w:w="704" w:type="dxa"/>
                  <w:vMerge w:val="restart"/>
                  <w:tcBorders>
                    <w:right w:val="single" w:color="auto" w:sz="4" w:space="0"/>
                  </w:tcBorders>
                  <w:vAlign w:val="center"/>
                </w:tcPr>
                <w:p w14:paraId="5FBE4344">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1</w:t>
                  </w:r>
                </w:p>
              </w:tc>
              <w:tc>
                <w:tcPr>
                  <w:tcW w:w="709" w:type="dxa"/>
                  <w:vMerge w:val="restart"/>
                  <w:tcBorders>
                    <w:right w:val="single" w:color="auto" w:sz="4" w:space="0"/>
                  </w:tcBorders>
                  <w:vAlign w:val="center"/>
                </w:tcPr>
                <w:p w14:paraId="212776AD">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过滤网</w:t>
                  </w:r>
                </w:p>
              </w:tc>
              <w:tc>
                <w:tcPr>
                  <w:tcW w:w="1134" w:type="dxa"/>
                  <w:tcBorders>
                    <w:right w:val="single" w:color="auto" w:sz="4" w:space="0"/>
                  </w:tcBorders>
                  <w:vAlign w:val="center"/>
                </w:tcPr>
                <w:p w14:paraId="02007EB4">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艾特网能CM040</w:t>
                  </w:r>
                </w:p>
              </w:tc>
              <w:tc>
                <w:tcPr>
                  <w:tcW w:w="1417" w:type="dxa"/>
                  <w:tcBorders>
                    <w:left w:val="single" w:color="auto" w:sz="4" w:space="0"/>
                  </w:tcBorders>
                  <w:vAlign w:val="center"/>
                </w:tcPr>
                <w:p w14:paraId="6809672D">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桃坞路2F机房西</w:t>
                  </w:r>
                </w:p>
              </w:tc>
              <w:tc>
                <w:tcPr>
                  <w:tcW w:w="993" w:type="dxa"/>
                  <w:tcBorders>
                    <w:left w:val="single" w:color="auto" w:sz="4" w:space="0"/>
                  </w:tcBorders>
                  <w:vAlign w:val="center"/>
                </w:tcPr>
                <w:p w14:paraId="4BC8147F">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lang w:eastAsia="en-US"/>
                    </w:rPr>
                    <w:t>每年至少4次</w:t>
                  </w:r>
                </w:p>
              </w:tc>
              <w:tc>
                <w:tcPr>
                  <w:tcW w:w="850" w:type="dxa"/>
                  <w:vAlign w:val="center"/>
                </w:tcPr>
                <w:p w14:paraId="55C7333D">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6</w:t>
                  </w:r>
                  <w:r>
                    <w:rPr>
                      <w:rFonts w:hint="eastAsia"/>
                      <w:snapToGrid w:val="0"/>
                      <w:color w:val="000000"/>
                      <w:kern w:val="0"/>
                      <w:sz w:val="24"/>
                      <w:lang w:eastAsia="en-US"/>
                    </w:rPr>
                    <w:t>张</w:t>
                  </w:r>
                </w:p>
              </w:tc>
            </w:tr>
            <w:tr w14:paraId="3A7978DE">
              <w:trPr>
                <w:trHeight w:val="443" w:hRule="atLeast"/>
              </w:trPr>
              <w:tc>
                <w:tcPr>
                  <w:tcW w:w="704" w:type="dxa"/>
                  <w:vMerge w:val="continue"/>
                  <w:tcBorders>
                    <w:right w:val="single" w:color="auto" w:sz="4" w:space="0"/>
                  </w:tcBorders>
                  <w:vAlign w:val="center"/>
                </w:tcPr>
                <w:p w14:paraId="2C7026D0">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709" w:type="dxa"/>
                  <w:vMerge w:val="continue"/>
                  <w:tcBorders>
                    <w:right w:val="single" w:color="auto" w:sz="4" w:space="0"/>
                  </w:tcBorders>
                  <w:vAlign w:val="center"/>
                </w:tcPr>
                <w:p w14:paraId="658DBD5F">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1134" w:type="dxa"/>
                  <w:vAlign w:val="center"/>
                </w:tcPr>
                <w:p w14:paraId="09A6CE1E">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艾特网能CM040</w:t>
                  </w:r>
                </w:p>
              </w:tc>
              <w:tc>
                <w:tcPr>
                  <w:tcW w:w="1417" w:type="dxa"/>
                  <w:vAlign w:val="center"/>
                </w:tcPr>
                <w:p w14:paraId="5F3DF7E3">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桃坞路2F机房西</w:t>
                  </w:r>
                </w:p>
              </w:tc>
              <w:tc>
                <w:tcPr>
                  <w:tcW w:w="993" w:type="dxa"/>
                  <w:vAlign w:val="center"/>
                </w:tcPr>
                <w:p w14:paraId="675BB8FF">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lang w:eastAsia="en-US"/>
                    </w:rPr>
                    <w:t>每年至少4次</w:t>
                  </w:r>
                </w:p>
              </w:tc>
              <w:tc>
                <w:tcPr>
                  <w:tcW w:w="850" w:type="dxa"/>
                  <w:vAlign w:val="center"/>
                </w:tcPr>
                <w:p w14:paraId="44D5004E">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6</w:t>
                  </w:r>
                  <w:r>
                    <w:rPr>
                      <w:rFonts w:hint="eastAsia"/>
                      <w:snapToGrid w:val="0"/>
                      <w:color w:val="000000"/>
                      <w:kern w:val="0"/>
                      <w:sz w:val="24"/>
                      <w:lang w:eastAsia="en-US"/>
                    </w:rPr>
                    <w:t>张</w:t>
                  </w:r>
                </w:p>
              </w:tc>
            </w:tr>
            <w:tr w14:paraId="297A16F5">
              <w:trPr>
                <w:trHeight w:val="443" w:hRule="atLeast"/>
              </w:trPr>
              <w:tc>
                <w:tcPr>
                  <w:tcW w:w="704" w:type="dxa"/>
                  <w:vMerge w:val="continue"/>
                  <w:tcBorders>
                    <w:right w:val="single" w:color="auto" w:sz="4" w:space="0"/>
                  </w:tcBorders>
                  <w:vAlign w:val="center"/>
                </w:tcPr>
                <w:p w14:paraId="611EAFE4">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709" w:type="dxa"/>
                  <w:vMerge w:val="continue"/>
                  <w:tcBorders>
                    <w:right w:val="single" w:color="auto" w:sz="4" w:space="0"/>
                  </w:tcBorders>
                  <w:vAlign w:val="center"/>
                </w:tcPr>
                <w:p w14:paraId="714EB676">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1134" w:type="dxa"/>
                  <w:vAlign w:val="center"/>
                </w:tcPr>
                <w:p w14:paraId="73BAB7A3">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艾默生</w:t>
                  </w:r>
                  <w:r>
                    <w:rPr>
                      <w:rFonts w:hint="eastAsia"/>
                      <w:snapToGrid w:val="0"/>
                      <w:color w:val="000000"/>
                      <w:kern w:val="0"/>
                      <w:sz w:val="24"/>
                      <w:lang w:eastAsia="en-US"/>
                    </w:rPr>
                    <w:t>ME12MCP5</w:t>
                  </w:r>
                </w:p>
              </w:tc>
              <w:tc>
                <w:tcPr>
                  <w:tcW w:w="1417" w:type="dxa"/>
                  <w:vAlign w:val="center"/>
                </w:tcPr>
                <w:p w14:paraId="5D23E246">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桃坞路1FUPS间东</w:t>
                  </w:r>
                </w:p>
              </w:tc>
              <w:tc>
                <w:tcPr>
                  <w:tcW w:w="993" w:type="dxa"/>
                  <w:vAlign w:val="center"/>
                </w:tcPr>
                <w:p w14:paraId="44AC6D39">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每年至少4次清洗</w:t>
                  </w:r>
                </w:p>
              </w:tc>
              <w:tc>
                <w:tcPr>
                  <w:tcW w:w="850" w:type="dxa"/>
                  <w:vAlign w:val="center"/>
                </w:tcPr>
                <w:p w14:paraId="25E6FCB9">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必要时进行更换</w:t>
                  </w:r>
                </w:p>
              </w:tc>
            </w:tr>
            <w:tr w14:paraId="37EC79B2">
              <w:trPr>
                <w:trHeight w:val="90" w:hRule="atLeast"/>
              </w:trPr>
              <w:tc>
                <w:tcPr>
                  <w:tcW w:w="704" w:type="dxa"/>
                  <w:vMerge w:val="continue"/>
                  <w:tcBorders>
                    <w:right w:val="single" w:color="auto" w:sz="4" w:space="0"/>
                  </w:tcBorders>
                  <w:vAlign w:val="center"/>
                </w:tcPr>
                <w:p w14:paraId="4BCF6EFF">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709" w:type="dxa"/>
                  <w:vMerge w:val="continue"/>
                  <w:tcBorders>
                    <w:right w:val="single" w:color="auto" w:sz="4" w:space="0"/>
                  </w:tcBorders>
                  <w:vAlign w:val="center"/>
                </w:tcPr>
                <w:p w14:paraId="6FE21D1A">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1134" w:type="dxa"/>
                  <w:vAlign w:val="center"/>
                </w:tcPr>
                <w:p w14:paraId="508360EF">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艾默生DME07MH2</w:t>
                  </w:r>
                </w:p>
              </w:tc>
              <w:tc>
                <w:tcPr>
                  <w:tcW w:w="1417" w:type="dxa"/>
                  <w:vAlign w:val="center"/>
                </w:tcPr>
                <w:p w14:paraId="5B2A9FA4">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城港路5F弱电间北</w:t>
                  </w:r>
                </w:p>
              </w:tc>
              <w:tc>
                <w:tcPr>
                  <w:tcW w:w="993" w:type="dxa"/>
                  <w:vAlign w:val="center"/>
                </w:tcPr>
                <w:p w14:paraId="0D3B4939">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lang w:eastAsia="en-US"/>
                    </w:rPr>
                    <w:t>每年至少4次</w:t>
                  </w:r>
                </w:p>
              </w:tc>
              <w:tc>
                <w:tcPr>
                  <w:tcW w:w="850" w:type="dxa"/>
                  <w:vAlign w:val="center"/>
                </w:tcPr>
                <w:p w14:paraId="3674BFBD">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1</w:t>
                  </w:r>
                  <w:r>
                    <w:rPr>
                      <w:rFonts w:hint="eastAsia"/>
                      <w:snapToGrid w:val="0"/>
                      <w:color w:val="000000"/>
                      <w:kern w:val="0"/>
                      <w:sz w:val="24"/>
                      <w:lang w:eastAsia="en-US"/>
                    </w:rPr>
                    <w:t>张</w:t>
                  </w:r>
                </w:p>
              </w:tc>
            </w:tr>
            <w:tr w14:paraId="5DCEE248">
              <w:trPr>
                <w:trHeight w:val="443" w:hRule="atLeast"/>
              </w:trPr>
              <w:tc>
                <w:tcPr>
                  <w:tcW w:w="704" w:type="dxa"/>
                  <w:vMerge w:val="restart"/>
                  <w:vAlign w:val="center"/>
                </w:tcPr>
                <w:p w14:paraId="060578CF">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2</w:t>
                  </w:r>
                </w:p>
              </w:tc>
              <w:tc>
                <w:tcPr>
                  <w:tcW w:w="709" w:type="dxa"/>
                  <w:vMerge w:val="restart"/>
                  <w:vAlign w:val="center"/>
                </w:tcPr>
                <w:p w14:paraId="1AF85A32">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加湿罐</w:t>
                  </w:r>
                </w:p>
              </w:tc>
              <w:tc>
                <w:tcPr>
                  <w:tcW w:w="1134" w:type="dxa"/>
                  <w:vAlign w:val="center"/>
                </w:tcPr>
                <w:p w14:paraId="44A8DE18">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艾特网能CM040</w:t>
                  </w:r>
                </w:p>
              </w:tc>
              <w:tc>
                <w:tcPr>
                  <w:tcW w:w="1417" w:type="dxa"/>
                  <w:vAlign w:val="center"/>
                </w:tcPr>
                <w:p w14:paraId="1D5D25D3">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桃坞路2F机房西</w:t>
                  </w:r>
                </w:p>
              </w:tc>
              <w:tc>
                <w:tcPr>
                  <w:tcW w:w="993" w:type="dxa"/>
                  <w:vAlign w:val="center"/>
                </w:tcPr>
                <w:p w14:paraId="1980C0BC">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lang w:eastAsia="en-US"/>
                    </w:rPr>
                    <w:t>每年至少</w:t>
                  </w:r>
                  <w:r>
                    <w:rPr>
                      <w:rFonts w:hint="eastAsia"/>
                      <w:snapToGrid w:val="0"/>
                      <w:color w:val="000000"/>
                      <w:kern w:val="0"/>
                      <w:sz w:val="24"/>
                    </w:rPr>
                    <w:t>2</w:t>
                  </w:r>
                  <w:r>
                    <w:rPr>
                      <w:rFonts w:hint="eastAsia"/>
                      <w:snapToGrid w:val="0"/>
                      <w:color w:val="000000"/>
                      <w:kern w:val="0"/>
                      <w:sz w:val="24"/>
                      <w:lang w:eastAsia="en-US"/>
                    </w:rPr>
                    <w:t>次</w:t>
                  </w:r>
                </w:p>
              </w:tc>
              <w:tc>
                <w:tcPr>
                  <w:tcW w:w="850" w:type="dxa"/>
                  <w:vAlign w:val="center"/>
                </w:tcPr>
                <w:p w14:paraId="7B6E9ECC">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1个</w:t>
                  </w:r>
                </w:p>
              </w:tc>
            </w:tr>
            <w:tr w14:paraId="1B321ED4">
              <w:trPr>
                <w:trHeight w:val="443" w:hRule="atLeast"/>
              </w:trPr>
              <w:tc>
                <w:tcPr>
                  <w:tcW w:w="704" w:type="dxa"/>
                  <w:vMerge w:val="continue"/>
                  <w:vAlign w:val="center"/>
                </w:tcPr>
                <w:p w14:paraId="64CBCCD4">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709" w:type="dxa"/>
                  <w:vMerge w:val="continue"/>
                  <w:vAlign w:val="center"/>
                </w:tcPr>
                <w:p w14:paraId="797DD7B3">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1134" w:type="dxa"/>
                  <w:vAlign w:val="center"/>
                </w:tcPr>
                <w:p w14:paraId="6BC8E370">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艾特网能CM040</w:t>
                  </w:r>
                </w:p>
              </w:tc>
              <w:tc>
                <w:tcPr>
                  <w:tcW w:w="1417" w:type="dxa"/>
                  <w:vAlign w:val="center"/>
                </w:tcPr>
                <w:p w14:paraId="14CA31CE">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桃坞路2F机房西</w:t>
                  </w:r>
                </w:p>
              </w:tc>
              <w:tc>
                <w:tcPr>
                  <w:tcW w:w="993" w:type="dxa"/>
                  <w:vAlign w:val="center"/>
                </w:tcPr>
                <w:p w14:paraId="2BE577E4">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lang w:eastAsia="en-US"/>
                    </w:rPr>
                    <w:t>每年至少</w:t>
                  </w:r>
                  <w:r>
                    <w:rPr>
                      <w:rFonts w:hint="eastAsia"/>
                      <w:snapToGrid w:val="0"/>
                      <w:color w:val="000000"/>
                      <w:kern w:val="0"/>
                      <w:sz w:val="24"/>
                    </w:rPr>
                    <w:t>2</w:t>
                  </w:r>
                  <w:r>
                    <w:rPr>
                      <w:rFonts w:hint="eastAsia"/>
                      <w:snapToGrid w:val="0"/>
                      <w:color w:val="000000"/>
                      <w:kern w:val="0"/>
                      <w:sz w:val="24"/>
                      <w:lang w:eastAsia="en-US"/>
                    </w:rPr>
                    <w:t>次</w:t>
                  </w:r>
                </w:p>
              </w:tc>
              <w:tc>
                <w:tcPr>
                  <w:tcW w:w="850" w:type="dxa"/>
                  <w:vAlign w:val="center"/>
                </w:tcPr>
                <w:p w14:paraId="1D352751">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1个</w:t>
                  </w:r>
                </w:p>
              </w:tc>
            </w:tr>
            <w:tr w14:paraId="2A64320B">
              <w:trPr>
                <w:trHeight w:val="443" w:hRule="atLeast"/>
              </w:trPr>
              <w:tc>
                <w:tcPr>
                  <w:tcW w:w="704" w:type="dxa"/>
                  <w:vMerge w:val="continue"/>
                  <w:vAlign w:val="center"/>
                </w:tcPr>
                <w:p w14:paraId="6CD55AAB">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709" w:type="dxa"/>
                  <w:vMerge w:val="continue"/>
                  <w:vAlign w:val="center"/>
                </w:tcPr>
                <w:p w14:paraId="5004400A">
                  <w:pPr>
                    <w:widowControl/>
                    <w:kinsoku w:val="0"/>
                    <w:autoSpaceDE w:val="0"/>
                    <w:autoSpaceDN w:val="0"/>
                    <w:adjustRightInd w:val="0"/>
                    <w:snapToGrid w:val="0"/>
                    <w:spacing w:line="420" w:lineRule="exact"/>
                    <w:jc w:val="center"/>
                    <w:textAlignment w:val="baseline"/>
                    <w:rPr>
                      <w:snapToGrid w:val="0"/>
                      <w:color w:val="000000"/>
                      <w:kern w:val="0"/>
                      <w:sz w:val="24"/>
                    </w:rPr>
                  </w:pPr>
                </w:p>
              </w:tc>
              <w:tc>
                <w:tcPr>
                  <w:tcW w:w="1134" w:type="dxa"/>
                  <w:vAlign w:val="center"/>
                </w:tcPr>
                <w:p w14:paraId="4E19AB74">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艾默生DME07MH2</w:t>
                  </w:r>
                </w:p>
              </w:tc>
              <w:tc>
                <w:tcPr>
                  <w:tcW w:w="1417" w:type="dxa"/>
                  <w:vAlign w:val="center"/>
                </w:tcPr>
                <w:p w14:paraId="49D36997">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rPr>
                    <w:t>城港路5F弱电间北</w:t>
                  </w:r>
                </w:p>
              </w:tc>
              <w:tc>
                <w:tcPr>
                  <w:tcW w:w="993" w:type="dxa"/>
                  <w:vAlign w:val="center"/>
                </w:tcPr>
                <w:p w14:paraId="4E86A7A3">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lang w:eastAsia="en-US"/>
                    </w:rPr>
                    <w:t>每年至少</w:t>
                  </w:r>
                  <w:r>
                    <w:rPr>
                      <w:rFonts w:hint="eastAsia"/>
                      <w:snapToGrid w:val="0"/>
                      <w:color w:val="000000"/>
                      <w:kern w:val="0"/>
                      <w:sz w:val="24"/>
                    </w:rPr>
                    <w:t>2</w:t>
                  </w:r>
                  <w:r>
                    <w:rPr>
                      <w:rFonts w:hint="eastAsia"/>
                      <w:snapToGrid w:val="0"/>
                      <w:color w:val="000000"/>
                      <w:kern w:val="0"/>
                      <w:sz w:val="24"/>
                      <w:lang w:eastAsia="en-US"/>
                    </w:rPr>
                    <w:t>次</w:t>
                  </w:r>
                </w:p>
              </w:tc>
              <w:tc>
                <w:tcPr>
                  <w:tcW w:w="850" w:type="dxa"/>
                  <w:vAlign w:val="center"/>
                </w:tcPr>
                <w:p w14:paraId="1ED9F3A1">
                  <w:pPr>
                    <w:widowControl/>
                    <w:kinsoku w:val="0"/>
                    <w:autoSpaceDE w:val="0"/>
                    <w:autoSpaceDN w:val="0"/>
                    <w:adjustRightInd w:val="0"/>
                    <w:snapToGrid w:val="0"/>
                    <w:spacing w:line="420" w:lineRule="exact"/>
                    <w:jc w:val="center"/>
                    <w:textAlignment w:val="baseline"/>
                    <w:rPr>
                      <w:snapToGrid w:val="0"/>
                      <w:color w:val="000000"/>
                      <w:kern w:val="0"/>
                      <w:sz w:val="24"/>
                    </w:rPr>
                  </w:pPr>
                  <w:r>
                    <w:rPr>
                      <w:rFonts w:hint="eastAsia"/>
                      <w:snapToGrid w:val="0"/>
                      <w:color w:val="000000"/>
                      <w:kern w:val="0"/>
                      <w:sz w:val="24"/>
                    </w:rPr>
                    <w:t>1个</w:t>
                  </w:r>
                </w:p>
              </w:tc>
            </w:tr>
            <w:tr w14:paraId="7ECAD0FF">
              <w:trPr>
                <w:trHeight w:val="443" w:hRule="atLeast"/>
              </w:trPr>
              <w:tc>
                <w:tcPr>
                  <w:tcW w:w="704" w:type="dxa"/>
                  <w:vAlign w:val="center"/>
                </w:tcPr>
                <w:p w14:paraId="60E09F91">
                  <w:pPr>
                    <w:widowControl/>
                    <w:kinsoku w:val="0"/>
                    <w:autoSpaceDE w:val="0"/>
                    <w:autoSpaceDN w:val="0"/>
                    <w:adjustRightInd w:val="0"/>
                    <w:snapToGrid w:val="0"/>
                    <w:spacing w:line="420" w:lineRule="exact"/>
                    <w:jc w:val="center"/>
                    <w:textAlignment w:val="baseline"/>
                    <w:rPr>
                      <w:snapToGrid w:val="0"/>
                      <w:color w:val="000000"/>
                      <w:kern w:val="0"/>
                      <w:sz w:val="24"/>
                      <w:lang w:eastAsia="en-US"/>
                    </w:rPr>
                  </w:pPr>
                  <w:r>
                    <w:rPr>
                      <w:rFonts w:hint="eastAsia"/>
                      <w:snapToGrid w:val="0"/>
                      <w:color w:val="000000"/>
                      <w:kern w:val="0"/>
                      <w:sz w:val="24"/>
                      <w:lang w:eastAsia="en-US"/>
                    </w:rPr>
                    <w:t>备注</w:t>
                  </w:r>
                </w:p>
              </w:tc>
              <w:tc>
                <w:tcPr>
                  <w:tcW w:w="5103" w:type="dxa"/>
                  <w:gridSpan w:val="5"/>
                  <w:vAlign w:val="center"/>
                </w:tcPr>
                <w:p w14:paraId="24567A22">
                  <w:pPr>
                    <w:widowControl/>
                    <w:kinsoku w:val="0"/>
                    <w:autoSpaceDE w:val="0"/>
                    <w:autoSpaceDN w:val="0"/>
                    <w:adjustRightInd w:val="0"/>
                    <w:snapToGrid w:val="0"/>
                    <w:spacing w:line="420" w:lineRule="exact"/>
                    <w:textAlignment w:val="baseline"/>
                    <w:rPr>
                      <w:snapToGrid w:val="0"/>
                      <w:color w:val="000000"/>
                      <w:kern w:val="0"/>
                      <w:sz w:val="24"/>
                    </w:rPr>
                  </w:pPr>
                  <w:r>
                    <w:rPr>
                      <w:rFonts w:hint="eastAsia"/>
                      <w:snapToGrid w:val="0"/>
                      <w:color w:val="000000"/>
                      <w:kern w:val="0"/>
                      <w:sz w:val="24"/>
                    </w:rPr>
                    <w:t>（1）耗材更换次数，视根据机房实际</w:t>
                  </w:r>
                  <w:r>
                    <w:rPr>
                      <w:rFonts w:hint="eastAsia"/>
                      <w:snapToGrid w:val="0"/>
                      <w:kern w:val="0"/>
                      <w:sz w:val="24"/>
                    </w:rPr>
                    <w:t>环境要求而定，但加湿罐至少每年必须更换2次，空调过滤网每年至少更换4次。</w:t>
                  </w:r>
                  <w:r>
                    <w:rPr>
                      <w:rFonts w:hint="eastAsia"/>
                      <w:snapToGrid w:val="0"/>
                      <w:color w:val="000000"/>
                      <w:kern w:val="0"/>
                      <w:sz w:val="24"/>
                    </w:rPr>
                    <w:t>如因水质、机房空气环境较差，需要增加更换次数。其他耗材如皮带等根据实际使用情况进行更换。</w:t>
                  </w:r>
                </w:p>
                <w:p w14:paraId="249838E1">
                  <w:pPr>
                    <w:widowControl/>
                    <w:kinsoku w:val="0"/>
                    <w:autoSpaceDE w:val="0"/>
                    <w:autoSpaceDN w:val="0"/>
                    <w:adjustRightInd w:val="0"/>
                    <w:snapToGrid w:val="0"/>
                    <w:spacing w:line="420" w:lineRule="exact"/>
                    <w:textAlignment w:val="baseline"/>
                    <w:rPr>
                      <w:b/>
                      <w:bCs/>
                      <w:snapToGrid w:val="0"/>
                      <w:color w:val="000000"/>
                      <w:kern w:val="0"/>
                      <w:sz w:val="24"/>
                      <w:u w:val="thick" w:color="FF0000"/>
                    </w:rPr>
                  </w:pPr>
                  <w:r>
                    <w:rPr>
                      <w:rFonts w:hint="eastAsia"/>
                      <w:snapToGrid w:val="0"/>
                      <w:color w:val="000000"/>
                      <w:kern w:val="0"/>
                      <w:sz w:val="24"/>
                    </w:rPr>
                    <w:t>（2）上述耗材须为质量合格的配件，若上述精密空调原配件停产，可以提供相似的适配件，但需提供情况说明。</w:t>
                  </w:r>
                </w:p>
              </w:tc>
            </w:tr>
          </w:tbl>
          <w:p w14:paraId="686F9E4A">
            <w:pPr>
              <w:adjustRightInd w:val="0"/>
              <w:snapToGrid w:val="0"/>
              <w:spacing w:line="400" w:lineRule="exact"/>
              <w:jc w:val="left"/>
              <w:rPr>
                <w:sz w:val="24"/>
                <w:szCs w:val="24"/>
              </w:rPr>
            </w:pPr>
            <w:r>
              <w:rPr>
                <w:rFonts w:hint="eastAsia"/>
                <w:sz w:val="24"/>
                <w:szCs w:val="24"/>
              </w:rPr>
              <w:t xml:space="preserve">（10）零配件的更换：在维护保养服务期内，如发现设备发生任何故障、元器件自然老化或损坏、运行故障、不明原因的自身故障等，以及运行异常问题，包括制冷异常、设备异响等，均由服务供应商负责维修或更换零配件（包含空调压缩主机）。所有维修更换配件均为质量合格的配件，不允许使用老旧配件或拆机件，不能对故障零件进行人工修复而不更换。若精密空调原配件停产或因情况紧急急需恢复设备运行的情况下，在征得用户同意的情况下，可以使用通用适配件。 </w:t>
            </w:r>
          </w:p>
          <w:p w14:paraId="1D186F00">
            <w:pPr>
              <w:adjustRightInd w:val="0"/>
              <w:snapToGrid w:val="0"/>
              <w:spacing w:line="400" w:lineRule="exact"/>
              <w:jc w:val="left"/>
              <w:rPr>
                <w:sz w:val="24"/>
                <w:szCs w:val="24"/>
              </w:rPr>
            </w:pPr>
            <w:r>
              <w:rPr>
                <w:rFonts w:hint="eastAsia"/>
                <w:sz w:val="24"/>
                <w:szCs w:val="24"/>
              </w:rPr>
              <w:t>（11）如空调出现故障，且在夏季3小时内，其他季节8小时内无法修复的，服务供应商应提供其他制冷方式控制机房温度，确保机房正常运行。</w:t>
            </w:r>
          </w:p>
          <w:p w14:paraId="4D671EFA">
            <w:pPr>
              <w:adjustRightInd w:val="0"/>
              <w:snapToGrid w:val="0"/>
              <w:spacing w:line="400" w:lineRule="exact"/>
              <w:jc w:val="left"/>
              <w:rPr>
                <w:sz w:val="24"/>
                <w:szCs w:val="24"/>
              </w:rPr>
            </w:pPr>
            <w:r>
              <w:rPr>
                <w:rFonts w:hint="eastAsia"/>
                <w:sz w:val="24"/>
                <w:szCs w:val="24"/>
              </w:rPr>
              <w:t>3.防鼠灭鼠服务要求</w:t>
            </w:r>
          </w:p>
          <w:p w14:paraId="081C3DB5">
            <w:pPr>
              <w:adjustRightInd w:val="0"/>
              <w:snapToGrid w:val="0"/>
              <w:spacing w:line="400" w:lineRule="exact"/>
              <w:jc w:val="left"/>
              <w:rPr>
                <w:sz w:val="24"/>
                <w:szCs w:val="24"/>
              </w:rPr>
            </w:pPr>
            <w:r>
              <w:rPr>
                <w:rFonts w:hint="eastAsia"/>
                <w:sz w:val="24"/>
                <w:szCs w:val="24"/>
              </w:rPr>
              <w:t>本次机房防鼠灭鼠服务主要涉及桃坞路网络核心机房整体区域和城港路5楼和10楼整体机房区域。本次服务须严格按照IPM（综合虫害控制）理念和HACCP（危害分析和关键控制点）运作标准开展鼠害防治作业。每月至少做一次鼠害防治，包括鼠征监测、趋避剂更新、鼠情控制和新漏洞封堵。具体要求如下：</w:t>
            </w:r>
          </w:p>
          <w:p w14:paraId="3E77F6E9">
            <w:pPr>
              <w:adjustRightInd w:val="0"/>
              <w:snapToGrid w:val="0"/>
              <w:spacing w:line="400" w:lineRule="exact"/>
              <w:jc w:val="left"/>
              <w:rPr>
                <w:sz w:val="24"/>
                <w:szCs w:val="24"/>
              </w:rPr>
            </w:pPr>
            <w:r>
              <w:rPr>
                <w:rFonts w:hint="eastAsia"/>
                <w:sz w:val="24"/>
                <w:szCs w:val="24"/>
              </w:rPr>
              <w:t>（1）首次服务：根据防鼠灭鼠范围区域，根据灭鼠场地实际情况制订详细的灭鼠方案。灭鼠方案应详细，包括服务范围内的外围、室内、桥架、吊顶、办公司区域，按国家行业标准提供鼠密度监测、鼠害灭治。</w:t>
            </w:r>
          </w:p>
          <w:p w14:paraId="1B481E4A">
            <w:pPr>
              <w:adjustRightInd w:val="0"/>
              <w:snapToGrid w:val="0"/>
              <w:spacing w:line="400" w:lineRule="exact"/>
              <w:jc w:val="left"/>
              <w:rPr>
                <w:sz w:val="24"/>
                <w:szCs w:val="24"/>
              </w:rPr>
            </w:pPr>
            <w:r>
              <w:rPr>
                <w:rFonts w:hint="eastAsia"/>
                <w:sz w:val="24"/>
                <w:szCs w:val="24"/>
              </w:rPr>
              <w:t>（2）巡查巡检：根据用户要求，在服务期内对灭鼠范围区域每月提供1次现场检查，每次巡查巡检向用户提供巡检报告，并说明目前鼠害防治工作情况、存在问题及建议等。包括鼠征监测、趋避剂更新、鼠情控制和新漏洞封堵。</w:t>
            </w:r>
          </w:p>
          <w:p w14:paraId="38BEC7F6">
            <w:pPr>
              <w:adjustRightInd w:val="0"/>
              <w:snapToGrid w:val="0"/>
              <w:spacing w:line="400" w:lineRule="exact"/>
              <w:jc w:val="left"/>
              <w:rPr>
                <w:sz w:val="24"/>
                <w:szCs w:val="24"/>
              </w:rPr>
            </w:pPr>
            <w:r>
              <w:rPr>
                <w:rFonts w:hint="eastAsia"/>
                <w:sz w:val="24"/>
                <w:szCs w:val="24"/>
              </w:rPr>
              <w:t>（3）安全要求：采用化学或机械灭鼠方法的，要防止中毒事件发生，防止机械伤人；化学药物必须符合国家相关标准，绝不允许采用自行混配的无证产品；化学药物或机械放置点须设立明确标识标记；电子类产品确保不能对机房设备产生干扰等。</w:t>
            </w:r>
          </w:p>
          <w:p w14:paraId="6B7D96FF">
            <w:pPr>
              <w:adjustRightInd w:val="0"/>
              <w:snapToGrid w:val="0"/>
              <w:spacing w:line="400" w:lineRule="exact"/>
              <w:jc w:val="left"/>
              <w:rPr>
                <w:sz w:val="24"/>
                <w:szCs w:val="24"/>
              </w:rPr>
            </w:pPr>
            <w:r>
              <w:rPr>
                <w:rFonts w:hint="eastAsia"/>
                <w:sz w:val="24"/>
                <w:szCs w:val="24"/>
              </w:rPr>
              <w:t>（4）鼠尸处理：按国家相关标准处置。</w:t>
            </w:r>
          </w:p>
        </w:tc>
        <w:tc>
          <w:tcPr>
            <w:tcW w:w="1417" w:type="dxa"/>
            <w:vAlign w:val="center"/>
          </w:tcPr>
          <w:p w14:paraId="4C16B1B1">
            <w:pPr>
              <w:adjustRightInd w:val="0"/>
              <w:snapToGrid w:val="0"/>
              <w:spacing w:line="400" w:lineRule="exact"/>
              <w:jc w:val="center"/>
              <w:rPr>
                <w:sz w:val="24"/>
                <w:szCs w:val="24"/>
              </w:rPr>
            </w:pPr>
          </w:p>
        </w:tc>
        <w:tc>
          <w:tcPr>
            <w:tcW w:w="992" w:type="dxa"/>
            <w:vMerge w:val="continue"/>
            <w:vAlign w:val="center"/>
          </w:tcPr>
          <w:p w14:paraId="1DABB349">
            <w:pPr>
              <w:adjustRightInd w:val="0"/>
              <w:snapToGrid w:val="0"/>
              <w:spacing w:line="400" w:lineRule="exact"/>
              <w:jc w:val="left"/>
              <w:rPr>
                <w:sz w:val="24"/>
                <w:szCs w:val="24"/>
              </w:rPr>
            </w:pPr>
          </w:p>
        </w:tc>
      </w:tr>
      <w:tr w14:paraId="1EA09D4D">
        <w:tc>
          <w:tcPr>
            <w:tcW w:w="1701" w:type="dxa"/>
            <w:vAlign w:val="center"/>
          </w:tcPr>
          <w:p w14:paraId="14DCFD2D">
            <w:pPr>
              <w:adjustRightInd w:val="0"/>
              <w:snapToGrid w:val="0"/>
              <w:spacing w:line="400" w:lineRule="exact"/>
              <w:jc w:val="center"/>
              <w:rPr>
                <w:sz w:val="24"/>
                <w:szCs w:val="24"/>
              </w:rPr>
            </w:pPr>
            <w:r>
              <w:rPr>
                <w:rFonts w:hint="eastAsia"/>
                <w:sz w:val="24"/>
                <w:szCs w:val="24"/>
              </w:rPr>
              <w:t>三、合同履行期限</w:t>
            </w:r>
          </w:p>
        </w:tc>
        <w:tc>
          <w:tcPr>
            <w:tcW w:w="5524" w:type="dxa"/>
            <w:vAlign w:val="center"/>
          </w:tcPr>
          <w:p w14:paraId="1BD7723E">
            <w:pPr>
              <w:adjustRightInd w:val="0"/>
              <w:snapToGrid w:val="0"/>
              <w:spacing w:line="400" w:lineRule="exact"/>
              <w:jc w:val="left"/>
              <w:rPr>
                <w:sz w:val="24"/>
                <w:szCs w:val="24"/>
              </w:rPr>
            </w:pPr>
            <w:r>
              <w:rPr>
                <w:rFonts w:hint="eastAsia"/>
                <w:sz w:val="24"/>
                <w:szCs w:val="24"/>
              </w:rPr>
              <w:t>1.本项目服务期三年，合同一年一签订（即单年度合同履行期限为12个月）。</w:t>
            </w:r>
          </w:p>
          <w:p w14:paraId="33467124">
            <w:pPr>
              <w:adjustRightInd w:val="0"/>
              <w:snapToGrid w:val="0"/>
              <w:spacing w:line="400" w:lineRule="exact"/>
              <w:jc w:val="left"/>
              <w:rPr>
                <w:sz w:val="24"/>
                <w:szCs w:val="24"/>
              </w:rPr>
            </w:pPr>
            <w:r>
              <w:rPr>
                <w:rFonts w:hint="eastAsia"/>
                <w:sz w:val="24"/>
                <w:szCs w:val="24"/>
              </w:rPr>
              <w:t>2.本项目服务期内的首年度合同履行期限为采购合同签订生效，采购人通知服务之日起计的1年（即12个月），经服务评价合格且下一年度财政预算下达后，签订服务期内第2年度的合同，并以此类推至服务期期满。</w:t>
            </w:r>
          </w:p>
          <w:p w14:paraId="7CE96DED">
            <w:pPr>
              <w:adjustRightInd w:val="0"/>
              <w:snapToGrid w:val="0"/>
              <w:spacing w:line="400" w:lineRule="exact"/>
              <w:jc w:val="left"/>
              <w:rPr>
                <w:sz w:val="24"/>
                <w:szCs w:val="24"/>
              </w:rPr>
            </w:pPr>
            <w:r>
              <w:rPr>
                <w:rFonts w:hint="eastAsia"/>
                <w:sz w:val="24"/>
                <w:szCs w:val="24"/>
              </w:rPr>
              <w:t>3.服务期内，如本项目服务范围、服务内容等发生实质性变更，双方应本着公平合理原则协商一致，根据实际情况确定继续履行合同或提前终止合同；合同提前终止的，双方应就已完成服务及费用结算妥善处理完毕，同时采购人可以根据项目新的服务范围、服务内容及要求，重新开展采购活动。</w:t>
            </w:r>
          </w:p>
        </w:tc>
        <w:tc>
          <w:tcPr>
            <w:tcW w:w="1417" w:type="dxa"/>
            <w:vAlign w:val="center"/>
          </w:tcPr>
          <w:p w14:paraId="222B2159">
            <w:pPr>
              <w:adjustRightInd w:val="0"/>
              <w:snapToGrid w:val="0"/>
              <w:spacing w:line="400" w:lineRule="exact"/>
              <w:jc w:val="center"/>
              <w:rPr>
                <w:sz w:val="24"/>
                <w:szCs w:val="24"/>
              </w:rPr>
            </w:pPr>
          </w:p>
        </w:tc>
        <w:tc>
          <w:tcPr>
            <w:tcW w:w="992" w:type="dxa"/>
            <w:vMerge w:val="continue"/>
            <w:vAlign w:val="center"/>
          </w:tcPr>
          <w:p w14:paraId="6BAB1DBC">
            <w:pPr>
              <w:adjustRightInd w:val="0"/>
              <w:snapToGrid w:val="0"/>
              <w:spacing w:line="400" w:lineRule="exact"/>
              <w:jc w:val="left"/>
              <w:rPr>
                <w:sz w:val="24"/>
                <w:szCs w:val="24"/>
              </w:rPr>
            </w:pPr>
          </w:p>
        </w:tc>
      </w:tr>
      <w:tr w14:paraId="5046D018">
        <w:tc>
          <w:tcPr>
            <w:tcW w:w="1701" w:type="dxa"/>
            <w:vAlign w:val="center"/>
          </w:tcPr>
          <w:p w14:paraId="12BF4AF2">
            <w:pPr>
              <w:adjustRightInd w:val="0"/>
              <w:snapToGrid w:val="0"/>
              <w:spacing w:line="400" w:lineRule="exact"/>
              <w:jc w:val="center"/>
              <w:rPr>
                <w:sz w:val="24"/>
                <w:szCs w:val="24"/>
              </w:rPr>
            </w:pPr>
            <w:r>
              <w:rPr>
                <w:rFonts w:hint="eastAsia"/>
                <w:sz w:val="24"/>
                <w:szCs w:val="24"/>
              </w:rPr>
              <w:t>四、服务标准</w:t>
            </w:r>
          </w:p>
        </w:tc>
        <w:tc>
          <w:tcPr>
            <w:tcW w:w="5524" w:type="dxa"/>
            <w:vAlign w:val="center"/>
          </w:tcPr>
          <w:p w14:paraId="6D0F2854">
            <w:pPr>
              <w:adjustRightInd w:val="0"/>
              <w:snapToGrid w:val="0"/>
              <w:spacing w:line="400" w:lineRule="exact"/>
              <w:jc w:val="left"/>
              <w:rPr>
                <w:sz w:val="24"/>
                <w:szCs w:val="24"/>
              </w:rPr>
            </w:pPr>
            <w:r>
              <w:rPr>
                <w:rFonts w:hint="eastAsia"/>
                <w:sz w:val="24"/>
                <w:szCs w:val="24"/>
              </w:rPr>
              <w:t>1.为保证机房设备精密空调正常运行应当定期进行日常维护保养。</w:t>
            </w:r>
          </w:p>
          <w:p w14:paraId="798B035E">
            <w:pPr>
              <w:adjustRightInd w:val="0"/>
              <w:snapToGrid w:val="0"/>
              <w:spacing w:line="400" w:lineRule="exact"/>
              <w:jc w:val="left"/>
              <w:rPr>
                <w:sz w:val="24"/>
                <w:szCs w:val="24"/>
              </w:rPr>
            </w:pPr>
            <w:r>
              <w:rPr>
                <w:rFonts w:hint="eastAsia"/>
                <w:sz w:val="24"/>
                <w:szCs w:val="24"/>
              </w:rPr>
              <w:t>2.根据服务要求，每月提供服务周报，服务期结束前提供年报。</w:t>
            </w:r>
          </w:p>
          <w:p w14:paraId="650D19DE">
            <w:pPr>
              <w:adjustRightInd w:val="0"/>
              <w:snapToGrid w:val="0"/>
              <w:spacing w:line="400" w:lineRule="exact"/>
              <w:jc w:val="left"/>
              <w:rPr>
                <w:sz w:val="24"/>
                <w:szCs w:val="24"/>
              </w:rPr>
            </w:pPr>
            <w:r>
              <w:rPr>
                <w:rFonts w:hint="eastAsia"/>
                <w:sz w:val="24"/>
                <w:szCs w:val="24"/>
              </w:rPr>
              <w:t>3.防鼠灭鼠服务须严格按照IPM（综合虫害控制）理念和HACCP（危害分析和关键控制点）运作标准开展鼠害防治作业。</w:t>
            </w:r>
          </w:p>
          <w:p w14:paraId="470CFDBD">
            <w:pPr>
              <w:adjustRightInd w:val="0"/>
              <w:snapToGrid w:val="0"/>
              <w:spacing w:line="400" w:lineRule="exact"/>
              <w:jc w:val="left"/>
              <w:rPr>
                <w:sz w:val="24"/>
                <w:szCs w:val="24"/>
              </w:rPr>
            </w:pPr>
            <w:r>
              <w:rPr>
                <w:rFonts w:hint="eastAsia"/>
                <w:sz w:val="24"/>
                <w:szCs w:val="24"/>
              </w:rPr>
              <w:t>4.供应商应提供7*24小时（包括节假日）故障报修服务，同时，在接到报修电话通知后，服务工程师必须在1小时内到达用户现场，提供紧急抢修服务。</w:t>
            </w:r>
          </w:p>
        </w:tc>
        <w:tc>
          <w:tcPr>
            <w:tcW w:w="1417" w:type="dxa"/>
            <w:vAlign w:val="center"/>
          </w:tcPr>
          <w:p w14:paraId="586F1C8B">
            <w:pPr>
              <w:adjustRightInd w:val="0"/>
              <w:snapToGrid w:val="0"/>
              <w:spacing w:line="400" w:lineRule="exact"/>
              <w:jc w:val="center"/>
              <w:rPr>
                <w:sz w:val="24"/>
                <w:szCs w:val="24"/>
              </w:rPr>
            </w:pPr>
          </w:p>
        </w:tc>
        <w:tc>
          <w:tcPr>
            <w:tcW w:w="992" w:type="dxa"/>
            <w:vMerge w:val="continue"/>
            <w:vAlign w:val="center"/>
          </w:tcPr>
          <w:p w14:paraId="39A6D504">
            <w:pPr>
              <w:adjustRightInd w:val="0"/>
              <w:snapToGrid w:val="0"/>
              <w:spacing w:line="400" w:lineRule="exact"/>
              <w:jc w:val="left"/>
              <w:rPr>
                <w:sz w:val="24"/>
                <w:szCs w:val="24"/>
              </w:rPr>
            </w:pPr>
          </w:p>
        </w:tc>
      </w:tr>
      <w:tr w14:paraId="4DAF5124">
        <w:tc>
          <w:tcPr>
            <w:tcW w:w="1701" w:type="dxa"/>
            <w:vAlign w:val="center"/>
          </w:tcPr>
          <w:p w14:paraId="488D31B9">
            <w:pPr>
              <w:adjustRightInd w:val="0"/>
              <w:snapToGrid w:val="0"/>
              <w:spacing w:line="400" w:lineRule="exact"/>
              <w:jc w:val="center"/>
              <w:rPr>
                <w:sz w:val="24"/>
                <w:szCs w:val="24"/>
              </w:rPr>
            </w:pPr>
            <w:r>
              <w:rPr>
                <w:rFonts w:hint="eastAsia"/>
                <w:sz w:val="24"/>
                <w:szCs w:val="24"/>
              </w:rPr>
              <w:t>五、服务评价</w:t>
            </w:r>
          </w:p>
        </w:tc>
        <w:tc>
          <w:tcPr>
            <w:tcW w:w="5524" w:type="dxa"/>
            <w:vAlign w:val="center"/>
          </w:tcPr>
          <w:p w14:paraId="48960DDE">
            <w:pPr>
              <w:adjustRightInd w:val="0"/>
              <w:snapToGrid w:val="0"/>
              <w:spacing w:line="400" w:lineRule="exact"/>
              <w:jc w:val="left"/>
              <w:rPr>
                <w:sz w:val="24"/>
                <w:szCs w:val="24"/>
              </w:rPr>
            </w:pPr>
            <w:r>
              <w:rPr>
                <w:rFonts w:hint="eastAsia"/>
                <w:sz w:val="24"/>
                <w:szCs w:val="24"/>
              </w:rPr>
              <w:t>1.在年度合同履行期满的当月，用户组织专家对当年度服务情况进行评价，主要对照服务范围、服务要求、服务标准评价服务工作完成情况，查看维护服务台帐、维护记录、服务态度等。</w:t>
            </w:r>
          </w:p>
          <w:p w14:paraId="6BB9563A">
            <w:pPr>
              <w:adjustRightInd w:val="0"/>
              <w:snapToGrid w:val="0"/>
              <w:spacing w:line="400" w:lineRule="exact"/>
              <w:jc w:val="left"/>
              <w:rPr>
                <w:sz w:val="24"/>
                <w:szCs w:val="24"/>
              </w:rPr>
            </w:pPr>
            <w:r>
              <w:rPr>
                <w:rFonts w:hint="eastAsia"/>
                <w:sz w:val="24"/>
                <w:szCs w:val="24"/>
              </w:rPr>
              <w:t>2.用户根据专家评估意见，支付项目余款，若未达服务要求，用户有权扣除最高不超过合同总价金额的10%作为违约金。</w:t>
            </w:r>
          </w:p>
        </w:tc>
        <w:tc>
          <w:tcPr>
            <w:tcW w:w="1417" w:type="dxa"/>
            <w:vAlign w:val="center"/>
          </w:tcPr>
          <w:p w14:paraId="402DEEF9">
            <w:pPr>
              <w:adjustRightInd w:val="0"/>
              <w:snapToGrid w:val="0"/>
              <w:spacing w:line="400" w:lineRule="exact"/>
              <w:jc w:val="center"/>
              <w:rPr>
                <w:sz w:val="24"/>
                <w:szCs w:val="24"/>
              </w:rPr>
            </w:pPr>
          </w:p>
        </w:tc>
        <w:tc>
          <w:tcPr>
            <w:tcW w:w="992" w:type="dxa"/>
            <w:vMerge w:val="continue"/>
            <w:vAlign w:val="center"/>
          </w:tcPr>
          <w:p w14:paraId="3D35A2B2">
            <w:pPr>
              <w:adjustRightInd w:val="0"/>
              <w:snapToGrid w:val="0"/>
              <w:spacing w:line="400" w:lineRule="exact"/>
              <w:jc w:val="left"/>
              <w:rPr>
                <w:sz w:val="24"/>
                <w:szCs w:val="24"/>
              </w:rPr>
            </w:pPr>
          </w:p>
        </w:tc>
      </w:tr>
      <w:tr w14:paraId="31A7C200">
        <w:tc>
          <w:tcPr>
            <w:tcW w:w="1701" w:type="dxa"/>
            <w:vAlign w:val="center"/>
          </w:tcPr>
          <w:p w14:paraId="47AA1A29">
            <w:pPr>
              <w:adjustRightInd w:val="0"/>
              <w:snapToGrid w:val="0"/>
              <w:spacing w:line="400" w:lineRule="exact"/>
              <w:jc w:val="center"/>
              <w:rPr>
                <w:sz w:val="24"/>
                <w:szCs w:val="24"/>
              </w:rPr>
            </w:pPr>
            <w:r>
              <w:rPr>
                <w:rFonts w:hint="eastAsia"/>
                <w:sz w:val="24"/>
                <w:szCs w:val="24"/>
              </w:rPr>
              <w:t>六、履约保证金</w:t>
            </w:r>
          </w:p>
        </w:tc>
        <w:tc>
          <w:tcPr>
            <w:tcW w:w="5524" w:type="dxa"/>
            <w:vAlign w:val="center"/>
          </w:tcPr>
          <w:p w14:paraId="6441488D">
            <w:pPr>
              <w:adjustRightInd w:val="0"/>
              <w:snapToGrid w:val="0"/>
              <w:spacing w:line="400" w:lineRule="exact"/>
              <w:jc w:val="left"/>
              <w:rPr>
                <w:sz w:val="24"/>
                <w:szCs w:val="24"/>
                <w:lang w:val="zh-CN"/>
              </w:rPr>
            </w:pPr>
            <w:r>
              <w:rPr>
                <w:rFonts w:hint="eastAsia"/>
                <w:sz w:val="24"/>
                <w:szCs w:val="24"/>
                <w:lang w:val="zh-CN"/>
              </w:rPr>
              <w:t>1.本项目服务实施免收履约保证金。</w:t>
            </w:r>
          </w:p>
          <w:p w14:paraId="02896DB7">
            <w:pPr>
              <w:adjustRightInd w:val="0"/>
              <w:snapToGrid w:val="0"/>
              <w:spacing w:line="400" w:lineRule="exact"/>
              <w:jc w:val="left"/>
              <w:rPr>
                <w:sz w:val="24"/>
                <w:szCs w:val="24"/>
                <w:lang w:val="zh-CN"/>
              </w:rPr>
            </w:pPr>
            <w:r>
              <w:rPr>
                <w:rFonts w:hint="eastAsia"/>
                <w:sz w:val="24"/>
                <w:szCs w:val="24"/>
                <w:lang w:val="zh-CN"/>
              </w:rPr>
              <w:t>2.由于供应商的原因，在签订合同后出现不按合同履行或不适当履行的情况，按合同违约处理；同时采购人亦有权终止合同，供应商须依法承担相应的责任。</w:t>
            </w:r>
          </w:p>
        </w:tc>
        <w:tc>
          <w:tcPr>
            <w:tcW w:w="1417" w:type="dxa"/>
            <w:vAlign w:val="center"/>
          </w:tcPr>
          <w:p w14:paraId="6D42B043">
            <w:pPr>
              <w:adjustRightInd w:val="0"/>
              <w:snapToGrid w:val="0"/>
              <w:spacing w:line="400" w:lineRule="exact"/>
              <w:jc w:val="center"/>
              <w:rPr>
                <w:sz w:val="24"/>
                <w:szCs w:val="24"/>
              </w:rPr>
            </w:pPr>
          </w:p>
        </w:tc>
        <w:tc>
          <w:tcPr>
            <w:tcW w:w="992" w:type="dxa"/>
            <w:vMerge w:val="continue"/>
            <w:vAlign w:val="center"/>
          </w:tcPr>
          <w:p w14:paraId="3270EFAE">
            <w:pPr>
              <w:adjustRightInd w:val="0"/>
              <w:snapToGrid w:val="0"/>
              <w:spacing w:line="400" w:lineRule="exact"/>
              <w:jc w:val="left"/>
              <w:rPr>
                <w:sz w:val="24"/>
                <w:szCs w:val="24"/>
              </w:rPr>
            </w:pPr>
          </w:p>
        </w:tc>
      </w:tr>
      <w:tr w14:paraId="741BDD87">
        <w:trPr>
          <w:trHeight w:val="552" w:hRule="atLeast"/>
        </w:trPr>
        <w:tc>
          <w:tcPr>
            <w:tcW w:w="1701" w:type="dxa"/>
            <w:vAlign w:val="center"/>
          </w:tcPr>
          <w:p w14:paraId="0BCA4109">
            <w:pPr>
              <w:adjustRightInd w:val="0"/>
              <w:snapToGrid w:val="0"/>
              <w:spacing w:line="400" w:lineRule="exact"/>
              <w:jc w:val="center"/>
              <w:rPr>
                <w:sz w:val="24"/>
                <w:szCs w:val="24"/>
              </w:rPr>
            </w:pPr>
            <w:r>
              <w:rPr>
                <w:rFonts w:hint="eastAsia"/>
                <w:sz w:val="24"/>
                <w:szCs w:val="24"/>
              </w:rPr>
              <w:t>七、</w:t>
            </w:r>
            <w:r>
              <w:rPr>
                <w:sz w:val="24"/>
                <w:szCs w:val="24"/>
              </w:rPr>
              <w:t>付款方式</w:t>
            </w:r>
          </w:p>
        </w:tc>
        <w:tc>
          <w:tcPr>
            <w:tcW w:w="5524" w:type="dxa"/>
            <w:vAlign w:val="center"/>
          </w:tcPr>
          <w:p w14:paraId="1684B58C">
            <w:pPr>
              <w:adjustRightInd w:val="0"/>
              <w:snapToGrid w:val="0"/>
              <w:spacing w:line="400" w:lineRule="exact"/>
              <w:jc w:val="left"/>
              <w:rPr>
                <w:sz w:val="24"/>
                <w:szCs w:val="24"/>
                <w:lang w:val="zh-CN"/>
              </w:rPr>
            </w:pPr>
            <w:r>
              <w:rPr>
                <w:rFonts w:hint="eastAsia"/>
                <w:sz w:val="24"/>
                <w:szCs w:val="24"/>
                <w:lang w:val="zh-CN"/>
              </w:rPr>
              <w:t>【特别提醒】付款方式不接受负偏离及任何意图改变付款方式的意图表达，否则作无效响应处理。</w:t>
            </w:r>
          </w:p>
          <w:p w14:paraId="7C3577F3">
            <w:pPr>
              <w:adjustRightInd w:val="0"/>
              <w:snapToGrid w:val="0"/>
              <w:spacing w:line="400" w:lineRule="exact"/>
              <w:jc w:val="left"/>
              <w:rPr>
                <w:sz w:val="24"/>
                <w:szCs w:val="24"/>
                <w:lang w:val="zh-CN"/>
              </w:rPr>
            </w:pPr>
            <w:r>
              <w:rPr>
                <w:rFonts w:hint="eastAsia"/>
                <w:sz w:val="24"/>
                <w:szCs w:val="24"/>
                <w:lang w:val="zh-CN"/>
              </w:rPr>
              <w:t>1.按照《关于进一步促进政府采购公平竞争优化营商环境的通知》（通财购〔2020〕39号）第九条之规定，本项目年度服务合同签订生效后，采购人自收到服务供应商合格发票后的10个工作日内，支付合同总价金额的50%，作为项目服务实施的预付款。</w:t>
            </w:r>
          </w:p>
          <w:p w14:paraId="2A47990B">
            <w:pPr>
              <w:adjustRightInd w:val="0"/>
              <w:snapToGrid w:val="0"/>
              <w:spacing w:line="400" w:lineRule="exact"/>
              <w:jc w:val="left"/>
              <w:rPr>
                <w:sz w:val="24"/>
                <w:szCs w:val="24"/>
                <w:lang w:val="zh-CN"/>
              </w:rPr>
            </w:pPr>
            <w:r>
              <w:rPr>
                <w:rFonts w:hint="eastAsia"/>
                <w:sz w:val="24"/>
                <w:szCs w:val="24"/>
                <w:lang w:val="zh-CN"/>
              </w:rPr>
              <w:t>2.在供应商服务至年度合同履行期满的当月内，经服务评价合格，采购人自收到服务供应商合格发票后的10个工作日内，支付年度服务合同总价金额的50%，服务期内的年度服务合同总价金额支付完毕，并以此类推至服务期满。</w:t>
            </w:r>
          </w:p>
          <w:p w14:paraId="17C706E7">
            <w:pPr>
              <w:adjustRightInd w:val="0"/>
              <w:snapToGrid w:val="0"/>
              <w:spacing w:line="400" w:lineRule="exact"/>
              <w:jc w:val="left"/>
              <w:rPr>
                <w:sz w:val="24"/>
                <w:szCs w:val="24"/>
                <w:lang w:val="zh-CN"/>
              </w:rPr>
            </w:pPr>
            <w:r>
              <w:rPr>
                <w:rFonts w:hint="eastAsia"/>
                <w:sz w:val="24"/>
                <w:szCs w:val="24"/>
                <w:lang w:val="zh-CN"/>
              </w:rPr>
              <w:t>3.采购人付款时，供应商应根据结算金额开具并提供正式发票。</w:t>
            </w:r>
          </w:p>
          <w:p w14:paraId="18F54921">
            <w:pPr>
              <w:adjustRightInd w:val="0"/>
              <w:snapToGrid w:val="0"/>
              <w:spacing w:line="400" w:lineRule="exact"/>
              <w:jc w:val="left"/>
              <w:rPr>
                <w:sz w:val="24"/>
                <w:szCs w:val="24"/>
                <w:lang w:val="zh-CN"/>
              </w:rPr>
            </w:pPr>
            <w:r>
              <w:rPr>
                <w:rFonts w:hint="eastAsia"/>
                <w:sz w:val="24"/>
                <w:szCs w:val="24"/>
                <w:lang w:val="zh-CN"/>
              </w:rPr>
              <w:t>4.支付方式：银行转账。</w:t>
            </w:r>
          </w:p>
        </w:tc>
        <w:tc>
          <w:tcPr>
            <w:tcW w:w="1417" w:type="dxa"/>
            <w:vAlign w:val="center"/>
          </w:tcPr>
          <w:p w14:paraId="150333E8">
            <w:pPr>
              <w:adjustRightInd w:val="0"/>
              <w:snapToGrid w:val="0"/>
              <w:spacing w:line="400" w:lineRule="exact"/>
              <w:jc w:val="center"/>
              <w:rPr>
                <w:sz w:val="24"/>
                <w:szCs w:val="24"/>
              </w:rPr>
            </w:pPr>
          </w:p>
        </w:tc>
        <w:tc>
          <w:tcPr>
            <w:tcW w:w="992" w:type="dxa"/>
            <w:vMerge w:val="continue"/>
            <w:vAlign w:val="center"/>
          </w:tcPr>
          <w:p w14:paraId="36EB189C">
            <w:pPr>
              <w:adjustRightInd w:val="0"/>
              <w:snapToGrid w:val="0"/>
              <w:spacing w:line="400" w:lineRule="exact"/>
              <w:jc w:val="left"/>
              <w:rPr>
                <w:sz w:val="24"/>
                <w:szCs w:val="24"/>
              </w:rPr>
            </w:pPr>
          </w:p>
        </w:tc>
      </w:tr>
      <w:tr w14:paraId="5AB65733">
        <w:trPr>
          <w:trHeight w:val="552" w:hRule="atLeast"/>
        </w:trPr>
        <w:tc>
          <w:tcPr>
            <w:tcW w:w="1701" w:type="dxa"/>
            <w:vAlign w:val="center"/>
          </w:tcPr>
          <w:p w14:paraId="6C0E8178">
            <w:pPr>
              <w:adjustRightInd w:val="0"/>
              <w:snapToGrid w:val="0"/>
              <w:spacing w:line="400" w:lineRule="exact"/>
              <w:jc w:val="center"/>
              <w:rPr>
                <w:b/>
                <w:bCs/>
                <w:sz w:val="24"/>
                <w:szCs w:val="24"/>
              </w:rPr>
            </w:pPr>
            <w:r>
              <w:rPr>
                <w:rFonts w:hint="eastAsia"/>
                <w:b/>
                <w:bCs/>
                <w:sz w:val="24"/>
                <w:szCs w:val="24"/>
              </w:rPr>
              <w:t>备注</w:t>
            </w:r>
          </w:p>
        </w:tc>
        <w:tc>
          <w:tcPr>
            <w:tcW w:w="7933" w:type="dxa"/>
            <w:gridSpan w:val="3"/>
            <w:vAlign w:val="center"/>
          </w:tcPr>
          <w:p w14:paraId="0389DB7F">
            <w:pPr>
              <w:adjustRightInd w:val="0"/>
              <w:snapToGrid w:val="0"/>
              <w:spacing w:line="400" w:lineRule="exact"/>
              <w:jc w:val="left"/>
              <w:rPr>
                <w:b/>
                <w:bCs/>
                <w:sz w:val="24"/>
                <w:szCs w:val="24"/>
                <w:u w:val="thick" w:color="FF0000"/>
              </w:rPr>
            </w:pPr>
            <w:r>
              <w:rPr>
                <w:rFonts w:hint="eastAsia"/>
                <w:b/>
                <w:bCs/>
                <w:sz w:val="24"/>
                <w:szCs w:val="24"/>
                <w:u w:val="thick" w:color="FF0000"/>
              </w:rPr>
              <w:t>该表不作为供应商提供项目服务实施方案等的详细描述和说明的替代。</w:t>
            </w:r>
          </w:p>
        </w:tc>
      </w:tr>
    </w:tbl>
    <w:p w14:paraId="203C24FC">
      <w:pPr>
        <w:snapToGrid w:val="0"/>
        <w:spacing w:line="420" w:lineRule="exact"/>
        <w:ind w:firstLine="2400" w:firstLineChars="1000"/>
        <w:jc w:val="right"/>
        <w:rPr>
          <w:sz w:val="24"/>
          <w:szCs w:val="24"/>
        </w:rPr>
      </w:pPr>
      <w:r>
        <w:rPr>
          <w:rFonts w:hint="eastAsia" w:cs="宋体"/>
          <w:sz w:val="24"/>
          <w:szCs w:val="24"/>
        </w:rPr>
        <w:t>供应商：（须加盖公章）</w:t>
      </w:r>
    </w:p>
    <w:p w14:paraId="3E6388C6">
      <w:pPr>
        <w:snapToGrid w:val="0"/>
        <w:spacing w:line="420" w:lineRule="exact"/>
        <w:ind w:firstLine="2400" w:firstLineChars="1000"/>
        <w:jc w:val="right"/>
        <w:rPr>
          <w:sz w:val="24"/>
          <w:szCs w:val="24"/>
        </w:rPr>
      </w:pPr>
      <w:r>
        <w:rPr>
          <w:rFonts w:hint="eastAsia" w:cs="宋体"/>
          <w:sz w:val="24"/>
          <w:szCs w:val="24"/>
        </w:rPr>
        <w:t>法定代表人或被委托受权人：（签字或盖章）</w:t>
      </w:r>
    </w:p>
    <w:p w14:paraId="0B82FABC">
      <w:pPr>
        <w:snapToGrid w:val="0"/>
        <w:spacing w:line="420" w:lineRule="exact"/>
        <w:jc w:val="right"/>
        <w:rPr>
          <w:sz w:val="24"/>
          <w:szCs w:val="24"/>
        </w:rPr>
      </w:pPr>
      <w:r>
        <w:rPr>
          <w:rFonts w:hint="eastAsia" w:cs="宋体"/>
          <w:sz w:val="24"/>
          <w:szCs w:val="24"/>
        </w:rPr>
        <w:t>2</w:t>
      </w:r>
      <w:r>
        <w:rPr>
          <w:rFonts w:cs="宋体"/>
          <w:sz w:val="24"/>
          <w:szCs w:val="24"/>
        </w:rPr>
        <w:t>02</w:t>
      </w:r>
      <w:r>
        <w:rPr>
          <w:rFonts w:hint="eastAsia" w:cs="宋体"/>
          <w:sz w:val="24"/>
          <w:szCs w:val="24"/>
        </w:rPr>
        <w:t>6年  月  日</w:t>
      </w:r>
    </w:p>
    <w:p w14:paraId="7E3C0867">
      <w:pPr>
        <w:spacing w:line="420" w:lineRule="exact"/>
        <w:ind w:firstLine="484" w:firstLineChars="202"/>
        <w:rPr>
          <w:sz w:val="24"/>
          <w:szCs w:val="24"/>
        </w:rPr>
      </w:pPr>
    </w:p>
    <w:p w14:paraId="1A74CF61">
      <w:pPr>
        <w:spacing w:line="420" w:lineRule="exact"/>
        <w:ind w:firstLine="484" w:firstLineChars="202"/>
        <w:rPr>
          <w:sz w:val="24"/>
          <w:szCs w:val="24"/>
        </w:rPr>
      </w:pPr>
      <w:r>
        <w:rPr>
          <w:rFonts w:hint="eastAsia"/>
          <w:sz w:val="24"/>
          <w:szCs w:val="24"/>
        </w:rPr>
        <w:t>（2）针对本项目服务需求，提供项目服务实施方案，包含提供供应商为拟派项目负责人和上门维保人员缴纳的2026年任意一个月的社会保险和该名人员具有从业的相关证书的证明材料。</w:t>
      </w:r>
    </w:p>
    <w:p w14:paraId="18D7042B">
      <w:pPr>
        <w:spacing w:line="420" w:lineRule="exact"/>
        <w:ind w:firstLine="484" w:firstLineChars="202"/>
        <w:rPr>
          <w:sz w:val="24"/>
          <w:szCs w:val="24"/>
        </w:rPr>
      </w:pPr>
      <w:r>
        <w:rPr>
          <w:rFonts w:hint="eastAsia"/>
          <w:sz w:val="24"/>
          <w:szCs w:val="24"/>
        </w:rPr>
        <w:t>格式自拟……</w:t>
      </w:r>
    </w:p>
    <w:p w14:paraId="28EA4665">
      <w:pPr>
        <w:spacing w:line="420" w:lineRule="exact"/>
        <w:ind w:firstLine="484" w:firstLineChars="202"/>
        <w:rPr>
          <w:sz w:val="24"/>
          <w:szCs w:val="24"/>
        </w:rPr>
      </w:pPr>
    </w:p>
    <w:p w14:paraId="4C39CBBB">
      <w:pPr>
        <w:spacing w:line="420" w:lineRule="exact"/>
        <w:ind w:firstLine="484" w:firstLineChars="202"/>
        <w:rPr>
          <w:sz w:val="24"/>
          <w:szCs w:val="24"/>
        </w:rPr>
      </w:pPr>
      <w:r>
        <w:rPr>
          <w:rFonts w:hint="eastAsia"/>
          <w:sz w:val="24"/>
          <w:szCs w:val="24"/>
        </w:rPr>
        <w:t>（3）采购文件中未涉及的事项，供应商认为需要提交的其他材料。。</w:t>
      </w:r>
    </w:p>
    <w:p w14:paraId="0E23A1FB">
      <w:pPr>
        <w:spacing w:line="420" w:lineRule="exact"/>
        <w:ind w:firstLine="484" w:firstLineChars="202"/>
        <w:rPr>
          <w:sz w:val="24"/>
          <w:szCs w:val="24"/>
        </w:rPr>
      </w:pPr>
      <w:r>
        <w:rPr>
          <w:rFonts w:hint="eastAsia"/>
          <w:sz w:val="24"/>
          <w:szCs w:val="24"/>
        </w:rPr>
        <w:t>格式自拟……</w:t>
      </w:r>
    </w:p>
    <w:p w14:paraId="0809D5FB">
      <w:pPr>
        <w:widowControl/>
        <w:spacing w:line="20" w:lineRule="exact"/>
        <w:jc w:val="left"/>
        <w:rPr>
          <w:sz w:val="24"/>
          <w:szCs w:val="24"/>
        </w:rPr>
      </w:pPr>
      <w:r>
        <w:rPr>
          <w:sz w:val="24"/>
          <w:szCs w:val="24"/>
        </w:rPr>
        <w:br w:type="page"/>
      </w:r>
    </w:p>
    <w:p w14:paraId="113D2D53">
      <w:pPr>
        <w:snapToGrid w:val="0"/>
        <w:spacing w:line="420" w:lineRule="exact"/>
        <w:ind w:firstLine="425" w:firstLineChars="177"/>
        <w:outlineLvl w:val="2"/>
        <w:rPr>
          <w:sz w:val="24"/>
          <w:szCs w:val="24"/>
        </w:rPr>
      </w:pPr>
      <w:r>
        <w:rPr>
          <w:rFonts w:hint="eastAsia"/>
          <w:b/>
          <w:sz w:val="24"/>
          <w:szCs w:val="24"/>
        </w:rPr>
        <w:t>（三）</w:t>
      </w:r>
      <w:r>
        <w:rPr>
          <w:b/>
          <w:sz w:val="24"/>
          <w:szCs w:val="24"/>
        </w:rPr>
        <w:t>报价响应文件</w:t>
      </w:r>
      <w:r>
        <w:rPr>
          <w:sz w:val="24"/>
          <w:szCs w:val="24"/>
        </w:rPr>
        <w:t>（一个密封包，内含一正两副文件）</w:t>
      </w:r>
    </w:p>
    <w:p w14:paraId="73008877">
      <w:pPr>
        <w:snapToGrid w:val="0"/>
        <w:spacing w:line="420" w:lineRule="exact"/>
        <w:ind w:firstLine="567" w:firstLineChars="236"/>
        <w:jc w:val="left"/>
        <w:outlineLvl w:val="3"/>
        <w:rPr>
          <w:b/>
          <w:sz w:val="24"/>
          <w:szCs w:val="24"/>
        </w:rPr>
      </w:pPr>
      <w:r>
        <w:rPr>
          <w:b/>
          <w:sz w:val="24"/>
          <w:szCs w:val="24"/>
        </w:rPr>
        <w:t>1.</w:t>
      </w:r>
      <w:bookmarkStart w:id="146" w:name="_Hlk70194465"/>
      <w:r>
        <w:rPr>
          <w:rFonts w:hint="eastAsia"/>
          <w:b/>
          <w:sz w:val="24"/>
          <w:szCs w:val="24"/>
        </w:rPr>
        <w:t>竞争性</w:t>
      </w:r>
      <w:r>
        <w:rPr>
          <w:b/>
          <w:sz w:val="24"/>
          <w:szCs w:val="24"/>
        </w:rPr>
        <w:t>谈判响应报价（首次）总表</w:t>
      </w:r>
      <w:bookmarkEnd w:id="146"/>
    </w:p>
    <w:p w14:paraId="768029B9">
      <w:pPr>
        <w:snapToGrid w:val="0"/>
        <w:spacing w:before="240" w:beforeLines="100" w:after="240" w:afterLines="100" w:line="420" w:lineRule="exact"/>
        <w:jc w:val="center"/>
        <w:rPr>
          <w:sz w:val="24"/>
          <w:szCs w:val="24"/>
        </w:rPr>
      </w:pPr>
      <w:r>
        <w:rPr>
          <w:rFonts w:hint="eastAsia" w:cs="宋体"/>
          <w:b/>
          <w:bCs/>
          <w:sz w:val="28"/>
          <w:szCs w:val="28"/>
        </w:rPr>
        <w:t>竞争性谈判响应报价（首次）总表</w:t>
      </w:r>
    </w:p>
    <w:p w14:paraId="2DCD9F03">
      <w:pPr>
        <w:snapToGrid w:val="0"/>
        <w:spacing w:line="420" w:lineRule="exact"/>
        <w:ind w:left="1214" w:hanging="1214" w:hangingChars="506"/>
        <w:rPr>
          <w:sz w:val="24"/>
          <w:szCs w:val="24"/>
        </w:rPr>
      </w:pPr>
      <w:r>
        <w:rPr>
          <w:sz w:val="24"/>
          <w:szCs w:val="24"/>
        </w:rPr>
        <w:t>项目名称：南通市崇川区电子政务外网机房精密空调运行维护和防鼠灭鼠服务采购项目</w:t>
      </w:r>
    </w:p>
    <w:p w14:paraId="4459F2DB">
      <w:pPr>
        <w:snapToGrid w:val="0"/>
        <w:spacing w:line="420" w:lineRule="exact"/>
        <w:ind w:left="1214" w:hanging="1214" w:hangingChars="506"/>
        <w:rPr>
          <w:sz w:val="24"/>
          <w:szCs w:val="24"/>
        </w:rPr>
      </w:pPr>
      <w:r>
        <w:rPr>
          <w:sz w:val="24"/>
          <w:szCs w:val="24"/>
        </w:rPr>
        <w:t>项目编号：NTHH2026011(JT01)</w:t>
      </w:r>
    </w:p>
    <w:tbl>
      <w:tblPr>
        <w:tblStyle w:val="49"/>
        <w:tblW w:w="0" w:type="auto"/>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2977"/>
        <w:gridCol w:w="6662"/>
      </w:tblGrid>
      <w:tr w14:paraId="51E1EC93">
        <w:trPr>
          <w:trHeight w:val="572" w:hRule="atLeast"/>
        </w:trPr>
        <w:tc>
          <w:tcPr>
            <w:tcW w:w="2977" w:type="dxa"/>
            <w:tcBorders>
              <w:top w:val="single" w:color="auto" w:sz="4" w:space="0"/>
              <w:left w:val="single" w:color="auto" w:sz="4" w:space="0"/>
              <w:bottom w:val="single" w:color="auto" w:sz="4" w:space="0"/>
            </w:tcBorders>
            <w:vAlign w:val="center"/>
          </w:tcPr>
          <w:p w14:paraId="49C6A150">
            <w:pPr>
              <w:snapToGrid w:val="0"/>
              <w:spacing w:line="420" w:lineRule="exact"/>
              <w:ind w:left="1137" w:hanging="1134" w:hangingChars="472"/>
              <w:jc w:val="center"/>
              <w:rPr>
                <w:rFonts w:hint="eastAsia" w:ascii="宋体" w:hAnsi="宋体"/>
                <w:b/>
                <w:bCs/>
                <w:sz w:val="24"/>
                <w:szCs w:val="24"/>
              </w:rPr>
            </w:pPr>
            <w:r>
              <w:rPr>
                <w:rFonts w:hint="eastAsia" w:ascii="宋体" w:hAnsi="宋体"/>
                <w:b/>
                <w:bCs/>
                <w:sz w:val="24"/>
                <w:szCs w:val="24"/>
              </w:rPr>
              <w:t>标的名称</w:t>
            </w:r>
          </w:p>
        </w:tc>
        <w:tc>
          <w:tcPr>
            <w:tcW w:w="6662" w:type="dxa"/>
            <w:tcBorders>
              <w:top w:val="single" w:color="auto" w:sz="4" w:space="0"/>
              <w:bottom w:val="single" w:color="auto" w:sz="4" w:space="0"/>
              <w:right w:val="single" w:color="auto" w:sz="4" w:space="0"/>
            </w:tcBorders>
            <w:vAlign w:val="center"/>
          </w:tcPr>
          <w:p w14:paraId="64274729">
            <w:pPr>
              <w:snapToGrid w:val="0"/>
              <w:spacing w:line="420" w:lineRule="exact"/>
              <w:ind w:left="36" w:hanging="36" w:hangingChars="15"/>
              <w:jc w:val="center"/>
              <w:rPr>
                <w:rFonts w:hint="eastAsia" w:ascii="宋体" w:hAnsi="宋体"/>
                <w:b/>
                <w:bCs/>
                <w:sz w:val="24"/>
                <w:szCs w:val="24"/>
              </w:rPr>
            </w:pPr>
            <w:bookmarkStart w:id="147" w:name="_Hlk62786405"/>
            <w:r>
              <w:rPr>
                <w:rFonts w:hint="eastAsia" w:ascii="宋体" w:hAnsi="宋体"/>
                <w:b/>
                <w:bCs/>
                <w:sz w:val="24"/>
                <w:szCs w:val="24"/>
              </w:rPr>
              <w:t>服务（首次）报价</w:t>
            </w:r>
            <w:bookmarkEnd w:id="147"/>
            <w:r>
              <w:rPr>
                <w:rFonts w:hint="eastAsia" w:ascii="宋体" w:hAnsi="宋体"/>
                <w:b/>
                <w:bCs/>
                <w:sz w:val="24"/>
                <w:szCs w:val="24"/>
              </w:rPr>
              <w:t>（元）</w:t>
            </w:r>
          </w:p>
        </w:tc>
      </w:tr>
      <w:tr w14:paraId="24A128CE">
        <w:trPr>
          <w:trHeight w:val="1208" w:hRule="atLeast"/>
        </w:trPr>
        <w:tc>
          <w:tcPr>
            <w:tcW w:w="2977" w:type="dxa"/>
            <w:tcBorders>
              <w:top w:val="single" w:color="auto" w:sz="4" w:space="0"/>
              <w:left w:val="single" w:color="auto" w:sz="4" w:space="0"/>
              <w:bottom w:val="single" w:color="auto" w:sz="4" w:space="0"/>
            </w:tcBorders>
            <w:vAlign w:val="center"/>
          </w:tcPr>
          <w:p w14:paraId="102FD713">
            <w:pPr>
              <w:snapToGrid w:val="0"/>
              <w:spacing w:line="420" w:lineRule="exact"/>
              <w:ind w:left="2"/>
              <w:jc w:val="center"/>
              <w:rPr>
                <w:rFonts w:hint="eastAsia" w:ascii="宋体" w:hAnsi="宋体"/>
                <w:b/>
                <w:bCs/>
                <w:sz w:val="24"/>
                <w:szCs w:val="24"/>
              </w:rPr>
            </w:pPr>
            <w:r>
              <w:rPr>
                <w:rFonts w:hint="eastAsia" w:ascii="宋体" w:hAnsi="宋体"/>
                <w:b/>
                <w:bCs/>
                <w:sz w:val="24"/>
                <w:szCs w:val="24"/>
              </w:rPr>
              <w:t>南通市崇川区电子政务外网机房精密空调运行维护和防鼠灭鼠服务</w:t>
            </w:r>
          </w:p>
        </w:tc>
        <w:tc>
          <w:tcPr>
            <w:tcW w:w="6662" w:type="dxa"/>
            <w:tcBorders>
              <w:top w:val="single" w:color="auto" w:sz="4" w:space="0"/>
              <w:bottom w:val="single" w:color="auto" w:sz="4" w:space="0"/>
              <w:right w:val="single" w:color="auto" w:sz="4" w:space="0"/>
            </w:tcBorders>
            <w:vAlign w:val="center"/>
          </w:tcPr>
          <w:p w14:paraId="165AABA7">
            <w:pPr>
              <w:snapToGrid w:val="0"/>
              <w:spacing w:line="420" w:lineRule="exact"/>
              <w:ind w:left="1137" w:hanging="1134" w:hangingChars="472"/>
              <w:rPr>
                <w:rFonts w:hint="eastAsia" w:ascii="宋体" w:hAnsi="宋体"/>
                <w:b/>
                <w:bCs/>
                <w:sz w:val="24"/>
                <w:szCs w:val="24"/>
              </w:rPr>
            </w:pPr>
            <w:r>
              <w:rPr>
                <w:rFonts w:hint="eastAsia" w:ascii="宋体" w:hAnsi="宋体"/>
                <w:b/>
                <w:bCs/>
                <w:sz w:val="24"/>
                <w:szCs w:val="24"/>
              </w:rPr>
              <w:t>每年人民币大写：</w:t>
            </w:r>
            <w:r>
              <w:rPr>
                <w:rFonts w:hint="eastAsia" w:ascii="宋体" w:hAnsi="宋体"/>
                <w:b/>
                <w:bCs/>
                <w:sz w:val="24"/>
                <w:szCs w:val="24"/>
                <w:u w:val="single"/>
              </w:rPr>
              <w:t xml:space="preserve"> </w:t>
            </w:r>
            <w:r>
              <w:rPr>
                <w:rFonts w:ascii="宋体" w:hAnsi="宋体"/>
                <w:b/>
                <w:bCs/>
                <w:sz w:val="24"/>
                <w:szCs w:val="24"/>
                <w:u w:val="single"/>
              </w:rPr>
              <w:t xml:space="preserve">                        </w:t>
            </w:r>
          </w:p>
          <w:p w14:paraId="2F77DE8A">
            <w:pPr>
              <w:snapToGrid w:val="0"/>
              <w:spacing w:line="420" w:lineRule="exact"/>
              <w:ind w:left="1137" w:hanging="1134" w:hangingChars="472"/>
              <w:rPr>
                <w:rFonts w:hint="eastAsia" w:ascii="宋体" w:hAnsi="宋体"/>
                <w:b/>
                <w:bCs/>
                <w:sz w:val="24"/>
                <w:szCs w:val="24"/>
              </w:rPr>
            </w:pPr>
            <w:r>
              <w:rPr>
                <w:rFonts w:hint="eastAsia" w:ascii="宋体" w:hAnsi="宋体"/>
                <w:b/>
                <w:bCs/>
                <w:sz w:val="24"/>
                <w:szCs w:val="24"/>
              </w:rPr>
              <w:t>每年人民币小写¥：</w:t>
            </w:r>
            <w:r>
              <w:rPr>
                <w:rFonts w:hint="eastAsia" w:ascii="宋体" w:hAnsi="宋体"/>
                <w:b/>
                <w:bCs/>
                <w:sz w:val="24"/>
                <w:szCs w:val="24"/>
                <w:u w:val="single"/>
              </w:rPr>
              <w:t xml:space="preserve"> </w:t>
            </w:r>
            <w:r>
              <w:rPr>
                <w:rFonts w:ascii="宋体" w:hAnsi="宋体"/>
                <w:b/>
                <w:bCs/>
                <w:sz w:val="24"/>
                <w:szCs w:val="24"/>
                <w:u w:val="single"/>
              </w:rPr>
              <w:t xml:space="preserve">                       </w:t>
            </w:r>
          </w:p>
        </w:tc>
      </w:tr>
      <w:tr w14:paraId="25E70B79">
        <w:trPr>
          <w:trHeight w:val="607" w:hRule="atLeast"/>
        </w:trPr>
        <w:tc>
          <w:tcPr>
            <w:tcW w:w="2977" w:type="dxa"/>
            <w:tcBorders>
              <w:top w:val="single" w:color="auto" w:sz="4" w:space="0"/>
              <w:left w:val="single" w:color="auto" w:sz="4" w:space="0"/>
              <w:bottom w:val="single" w:color="auto" w:sz="18" w:space="0"/>
              <w:right w:val="single" w:color="auto" w:sz="4" w:space="0"/>
            </w:tcBorders>
            <w:vAlign w:val="center"/>
          </w:tcPr>
          <w:p w14:paraId="55A7240D">
            <w:pPr>
              <w:snapToGrid w:val="0"/>
              <w:spacing w:line="420" w:lineRule="exact"/>
              <w:ind w:left="2"/>
              <w:rPr>
                <w:rFonts w:hint="eastAsia" w:ascii="宋体" w:hAnsi="宋体"/>
                <w:b/>
                <w:bCs/>
                <w:sz w:val="24"/>
                <w:szCs w:val="24"/>
              </w:rPr>
            </w:pPr>
            <w:r>
              <w:rPr>
                <w:rFonts w:hint="eastAsia" w:ascii="宋体" w:hAnsi="宋体"/>
                <w:b/>
                <w:bCs/>
                <w:sz w:val="24"/>
                <w:szCs w:val="24"/>
              </w:rPr>
              <w:t>商务付款条件</w:t>
            </w:r>
          </w:p>
        </w:tc>
        <w:tc>
          <w:tcPr>
            <w:tcW w:w="6662" w:type="dxa"/>
            <w:tcBorders>
              <w:top w:val="single" w:color="auto" w:sz="4" w:space="0"/>
              <w:left w:val="single" w:color="auto" w:sz="4" w:space="0"/>
              <w:bottom w:val="single" w:color="auto" w:sz="18" w:space="0"/>
              <w:right w:val="single" w:color="auto" w:sz="4" w:space="0"/>
            </w:tcBorders>
            <w:vAlign w:val="center"/>
          </w:tcPr>
          <w:p w14:paraId="081EEFED">
            <w:pPr>
              <w:snapToGrid w:val="0"/>
              <w:spacing w:line="420" w:lineRule="exact"/>
              <w:ind w:left="1137" w:hanging="1134" w:hangingChars="472"/>
              <w:rPr>
                <w:rFonts w:hint="eastAsia" w:ascii="宋体" w:hAnsi="宋体"/>
                <w:b/>
                <w:bCs/>
                <w:sz w:val="24"/>
                <w:szCs w:val="24"/>
              </w:rPr>
            </w:pPr>
            <w:r>
              <w:rPr>
                <w:rFonts w:hint="eastAsia" w:ascii="宋体" w:hAnsi="宋体"/>
                <w:b/>
                <w:bCs/>
                <w:sz w:val="24"/>
                <w:szCs w:val="24"/>
              </w:rPr>
              <w:t>完全接受并响应本项目竞争性谈判文件的要求。</w:t>
            </w:r>
          </w:p>
        </w:tc>
      </w:tr>
      <w:tr w14:paraId="190457FC">
        <w:trPr>
          <w:trHeight w:val="508" w:hRule="atLeast"/>
        </w:trPr>
        <w:tc>
          <w:tcPr>
            <w:tcW w:w="9639" w:type="dxa"/>
            <w:gridSpan w:val="2"/>
            <w:tcBorders>
              <w:top w:val="single" w:color="auto" w:sz="18" w:space="0"/>
              <w:left w:val="single" w:color="auto" w:sz="18" w:space="0"/>
              <w:bottom w:val="single" w:color="auto" w:sz="4" w:space="0"/>
              <w:right w:val="single" w:color="auto" w:sz="18" w:space="0"/>
            </w:tcBorders>
            <w:vAlign w:val="center"/>
          </w:tcPr>
          <w:p w14:paraId="2BAFF986">
            <w:pPr>
              <w:snapToGrid w:val="0"/>
              <w:spacing w:line="420" w:lineRule="exact"/>
              <w:ind w:left="1137" w:hanging="1134" w:hangingChars="472"/>
              <w:jc w:val="center"/>
              <w:rPr>
                <w:rFonts w:hint="eastAsia" w:ascii="宋体" w:hAnsi="宋体"/>
                <w:b/>
                <w:bCs/>
                <w:i/>
                <w:iCs/>
                <w:sz w:val="24"/>
                <w:szCs w:val="24"/>
                <w:u w:val="thick" w:color="FF0000"/>
              </w:rPr>
            </w:pPr>
            <w:r>
              <w:rPr>
                <w:rFonts w:hint="eastAsia" w:ascii="宋体" w:hAnsi="宋体"/>
                <w:b/>
                <w:bCs/>
                <w:i/>
                <w:iCs/>
                <w:sz w:val="24"/>
                <w:szCs w:val="24"/>
                <w:u w:val="thick" w:color="FF0000"/>
              </w:rPr>
              <w:t>以下为竞争性谈判评审活动现场填写</w:t>
            </w:r>
          </w:p>
        </w:tc>
      </w:tr>
      <w:tr w14:paraId="27968E0E">
        <w:trPr>
          <w:trHeight w:val="984" w:hRule="atLeast"/>
        </w:trPr>
        <w:tc>
          <w:tcPr>
            <w:tcW w:w="2977" w:type="dxa"/>
            <w:tcBorders>
              <w:top w:val="single" w:color="auto" w:sz="4" w:space="0"/>
            </w:tcBorders>
            <w:vAlign w:val="center"/>
          </w:tcPr>
          <w:p w14:paraId="39CA5533">
            <w:pPr>
              <w:snapToGrid w:val="0"/>
              <w:spacing w:line="420" w:lineRule="exact"/>
              <w:ind w:left="2"/>
              <w:rPr>
                <w:rFonts w:hint="eastAsia" w:ascii="宋体" w:hAnsi="宋体"/>
                <w:i/>
                <w:iCs/>
                <w:sz w:val="24"/>
                <w:szCs w:val="24"/>
              </w:rPr>
            </w:pPr>
            <w:r>
              <w:rPr>
                <w:rFonts w:hint="eastAsia" w:ascii="宋体" w:hAnsi="宋体"/>
                <w:i/>
                <w:iCs/>
                <w:sz w:val="24"/>
                <w:szCs w:val="24"/>
              </w:rPr>
              <w:t>服务“最后报价”总价（元）</w:t>
            </w:r>
          </w:p>
        </w:tc>
        <w:tc>
          <w:tcPr>
            <w:tcW w:w="6662" w:type="dxa"/>
            <w:tcBorders>
              <w:top w:val="single" w:color="auto" w:sz="4" w:space="0"/>
            </w:tcBorders>
            <w:vAlign w:val="center"/>
          </w:tcPr>
          <w:p w14:paraId="53066B4E">
            <w:pPr>
              <w:snapToGrid w:val="0"/>
              <w:spacing w:line="420" w:lineRule="exact"/>
              <w:ind w:left="1133" w:hanging="1132" w:hangingChars="472"/>
              <w:rPr>
                <w:rFonts w:hint="eastAsia" w:ascii="宋体" w:hAnsi="宋体"/>
                <w:i/>
                <w:iCs/>
                <w:sz w:val="24"/>
                <w:szCs w:val="24"/>
              </w:rPr>
            </w:pPr>
            <w:r>
              <w:rPr>
                <w:rFonts w:hint="eastAsia" w:ascii="宋体" w:hAnsi="宋体"/>
                <w:i/>
                <w:iCs/>
                <w:sz w:val="24"/>
                <w:szCs w:val="24"/>
              </w:rPr>
              <w:t>每年人民币大写：</w:t>
            </w:r>
          </w:p>
          <w:p w14:paraId="22335D7F">
            <w:pPr>
              <w:snapToGrid w:val="0"/>
              <w:spacing w:line="420" w:lineRule="exact"/>
              <w:ind w:left="1133" w:hanging="1132" w:hangingChars="472"/>
              <w:rPr>
                <w:rFonts w:hint="eastAsia" w:ascii="宋体" w:hAnsi="宋体"/>
                <w:i/>
                <w:iCs/>
                <w:sz w:val="24"/>
                <w:szCs w:val="24"/>
              </w:rPr>
            </w:pPr>
            <w:r>
              <w:rPr>
                <w:rFonts w:hint="eastAsia" w:ascii="宋体" w:hAnsi="宋体"/>
                <w:i/>
                <w:iCs/>
                <w:sz w:val="24"/>
                <w:szCs w:val="24"/>
              </w:rPr>
              <w:t>每年人民币小写¥：</w:t>
            </w:r>
          </w:p>
        </w:tc>
      </w:tr>
    </w:tbl>
    <w:p w14:paraId="35E2240B">
      <w:pPr>
        <w:adjustRightInd w:val="0"/>
        <w:snapToGrid w:val="0"/>
        <w:spacing w:line="420" w:lineRule="exact"/>
        <w:rPr>
          <w:rFonts w:cs="宋体"/>
          <w:sz w:val="24"/>
          <w:szCs w:val="24"/>
        </w:rPr>
      </w:pPr>
      <w:r>
        <w:rPr>
          <w:rFonts w:hint="eastAsia" w:cs="宋体"/>
          <w:sz w:val="24"/>
          <w:szCs w:val="24"/>
        </w:rPr>
        <w:t>供应商：（加盖公章）</w:t>
      </w:r>
    </w:p>
    <w:p w14:paraId="3F8D9AA7">
      <w:pPr>
        <w:adjustRightInd w:val="0"/>
        <w:snapToGrid w:val="0"/>
        <w:spacing w:line="420" w:lineRule="exact"/>
        <w:rPr>
          <w:rFonts w:cs="宋体"/>
          <w:sz w:val="24"/>
          <w:szCs w:val="24"/>
        </w:rPr>
      </w:pPr>
      <w:r>
        <w:rPr>
          <w:rFonts w:hint="eastAsia" w:cs="宋体"/>
          <w:sz w:val="24"/>
          <w:szCs w:val="24"/>
        </w:rPr>
        <w:t>法定代表人或被委托受权人（签字）：</w:t>
      </w:r>
    </w:p>
    <w:p w14:paraId="3672DEA5">
      <w:pPr>
        <w:adjustRightInd w:val="0"/>
        <w:snapToGrid w:val="0"/>
        <w:spacing w:line="420" w:lineRule="exact"/>
        <w:rPr>
          <w:rFonts w:cs="宋体"/>
          <w:sz w:val="24"/>
          <w:szCs w:val="24"/>
        </w:rPr>
      </w:pPr>
      <w:r>
        <w:rPr>
          <w:rFonts w:hint="eastAsia" w:cs="宋体"/>
          <w:sz w:val="24"/>
          <w:szCs w:val="24"/>
        </w:rPr>
        <w:t>日期：2026年 月 日</w:t>
      </w:r>
    </w:p>
    <w:p w14:paraId="245BA2BB">
      <w:pPr>
        <w:adjustRightInd w:val="0"/>
        <w:snapToGrid w:val="0"/>
        <w:spacing w:line="420" w:lineRule="exact"/>
        <w:rPr>
          <w:rFonts w:cs="宋体"/>
          <w:sz w:val="24"/>
          <w:szCs w:val="24"/>
        </w:rPr>
      </w:pPr>
    </w:p>
    <w:p w14:paraId="6A7E9A3A">
      <w:pPr>
        <w:snapToGrid w:val="0"/>
        <w:spacing w:line="420" w:lineRule="exact"/>
        <w:ind w:firstLine="494" w:firstLineChars="206"/>
        <w:rPr>
          <w:sz w:val="24"/>
          <w:szCs w:val="24"/>
        </w:rPr>
      </w:pPr>
      <w:r>
        <w:rPr>
          <w:sz w:val="24"/>
          <w:szCs w:val="24"/>
        </w:rPr>
        <w:t>注：</w:t>
      </w:r>
    </w:p>
    <w:p w14:paraId="15EF890D">
      <w:pPr>
        <w:snapToGrid w:val="0"/>
        <w:spacing w:line="420" w:lineRule="exact"/>
        <w:ind w:firstLine="494" w:firstLineChars="206"/>
        <w:rPr>
          <w:sz w:val="24"/>
          <w:szCs w:val="24"/>
        </w:rPr>
      </w:pPr>
      <w:r>
        <w:rPr>
          <w:sz w:val="24"/>
          <w:szCs w:val="24"/>
        </w:rPr>
        <w:t>（1）本表为格式表，不得自行改动，必须提供，否则视为未实质性响应采购文件。</w:t>
      </w:r>
    </w:p>
    <w:p w14:paraId="2169735E">
      <w:pPr>
        <w:snapToGrid w:val="0"/>
        <w:spacing w:line="420" w:lineRule="exact"/>
        <w:ind w:firstLine="494" w:firstLineChars="206"/>
        <w:rPr>
          <w:sz w:val="24"/>
          <w:szCs w:val="24"/>
        </w:rPr>
      </w:pPr>
      <w:r>
        <w:rPr>
          <w:sz w:val="24"/>
          <w:szCs w:val="24"/>
        </w:rPr>
        <w:t>（2）</w:t>
      </w:r>
      <w:r>
        <w:rPr>
          <w:rFonts w:hint="eastAsia"/>
          <w:sz w:val="24"/>
          <w:szCs w:val="24"/>
        </w:rPr>
        <w:t>谈判响应报价按本竞争性谈判文件第二章第七条规定执行。</w:t>
      </w:r>
    </w:p>
    <w:p w14:paraId="657BA71A">
      <w:pPr>
        <w:snapToGrid w:val="0"/>
        <w:spacing w:line="420" w:lineRule="exact"/>
        <w:ind w:firstLine="494" w:firstLineChars="206"/>
        <w:rPr>
          <w:sz w:val="24"/>
          <w:szCs w:val="24"/>
        </w:rPr>
      </w:pPr>
      <w:r>
        <w:rPr>
          <w:rFonts w:hint="eastAsia"/>
          <w:sz w:val="24"/>
          <w:szCs w:val="24"/>
        </w:rPr>
        <w:t>（3）服务“最后报价”总价（元）将在竞争性谈判评审活动现场填写，响应文件密封提交时只需填写服务（首次）报价（元）。</w:t>
      </w:r>
    </w:p>
    <w:p w14:paraId="53C67500">
      <w:pPr>
        <w:snapToGrid w:val="0"/>
        <w:spacing w:line="420" w:lineRule="exact"/>
        <w:ind w:firstLine="494" w:firstLineChars="206"/>
        <w:rPr>
          <w:sz w:val="24"/>
          <w:szCs w:val="24"/>
        </w:rPr>
      </w:pPr>
      <w:r>
        <w:rPr>
          <w:rFonts w:hint="eastAsia"/>
          <w:sz w:val="24"/>
          <w:szCs w:val="24"/>
        </w:rPr>
        <w:t>（4）本项目最后报价仅接受等于或低于供应商的首次报价，否则作无效响应处理。</w:t>
      </w:r>
    </w:p>
    <w:p w14:paraId="7F8351B2">
      <w:pPr>
        <w:snapToGrid w:val="0"/>
        <w:spacing w:line="420" w:lineRule="exact"/>
        <w:ind w:firstLine="494" w:firstLineChars="206"/>
        <w:rPr>
          <w:sz w:val="24"/>
          <w:szCs w:val="24"/>
        </w:rPr>
      </w:pPr>
      <w:r>
        <w:rPr>
          <w:rFonts w:hint="eastAsia"/>
          <w:sz w:val="24"/>
          <w:szCs w:val="24"/>
        </w:rPr>
        <w:t>（5）一旦成交，最终的成交价按比例分拆到首次报价的各项明细报价中。</w:t>
      </w:r>
    </w:p>
    <w:p w14:paraId="3EB682A8">
      <w:pPr>
        <w:widowControl/>
        <w:spacing w:line="20" w:lineRule="exact"/>
        <w:jc w:val="left"/>
        <w:rPr>
          <w:sz w:val="24"/>
          <w:szCs w:val="24"/>
        </w:rPr>
      </w:pPr>
      <w:r>
        <w:rPr>
          <w:sz w:val="24"/>
          <w:szCs w:val="24"/>
        </w:rPr>
        <w:br w:type="page"/>
      </w:r>
    </w:p>
    <w:bookmarkEnd w:id="59"/>
    <w:bookmarkEnd w:id="60"/>
    <w:bookmarkEnd w:id="61"/>
    <w:bookmarkEnd w:id="62"/>
    <w:bookmarkEnd w:id="63"/>
    <w:bookmarkEnd w:id="64"/>
    <w:bookmarkEnd w:id="65"/>
    <w:bookmarkEnd w:id="66"/>
    <w:bookmarkEnd w:id="67"/>
    <w:bookmarkEnd w:id="68"/>
    <w:bookmarkEnd w:id="69"/>
    <w:bookmarkEnd w:id="70"/>
    <w:p w14:paraId="6BE20B8D">
      <w:pPr>
        <w:snapToGrid w:val="0"/>
        <w:spacing w:line="420" w:lineRule="exact"/>
        <w:ind w:firstLine="567" w:firstLineChars="236"/>
        <w:jc w:val="left"/>
        <w:outlineLvl w:val="3"/>
        <w:rPr>
          <w:b/>
          <w:sz w:val="24"/>
          <w:szCs w:val="24"/>
        </w:rPr>
      </w:pPr>
      <w:r>
        <w:rPr>
          <w:b/>
          <w:sz w:val="24"/>
          <w:szCs w:val="24"/>
        </w:rPr>
        <w:t>2.</w:t>
      </w:r>
      <w:bookmarkStart w:id="148" w:name="_Hlk70194530"/>
      <w:r>
        <w:rPr>
          <w:rFonts w:hint="eastAsia"/>
          <w:b/>
          <w:sz w:val="24"/>
          <w:szCs w:val="24"/>
        </w:rPr>
        <w:t>竞争性</w:t>
      </w:r>
      <w:r>
        <w:rPr>
          <w:b/>
          <w:sz w:val="24"/>
          <w:szCs w:val="24"/>
        </w:rPr>
        <w:t>谈判响应报价明细表</w:t>
      </w:r>
    </w:p>
    <w:bookmarkEnd w:id="148"/>
    <w:p w14:paraId="59E22405">
      <w:pPr>
        <w:snapToGrid w:val="0"/>
        <w:spacing w:before="240" w:beforeLines="100" w:after="240" w:afterLines="100" w:line="420" w:lineRule="exact"/>
        <w:jc w:val="center"/>
        <w:rPr>
          <w:sz w:val="24"/>
          <w:szCs w:val="24"/>
        </w:rPr>
      </w:pPr>
      <w:r>
        <w:rPr>
          <w:rFonts w:hint="eastAsia" w:cs="宋体"/>
          <w:b/>
          <w:bCs/>
          <w:sz w:val="28"/>
          <w:szCs w:val="28"/>
        </w:rPr>
        <w:t>竞争性谈判响应报价明细表</w:t>
      </w:r>
    </w:p>
    <w:p w14:paraId="538CC123">
      <w:pPr>
        <w:snapToGrid w:val="0"/>
        <w:spacing w:line="420" w:lineRule="exact"/>
        <w:ind w:left="1214" w:hanging="1214" w:hangingChars="506"/>
        <w:rPr>
          <w:sz w:val="24"/>
          <w:szCs w:val="24"/>
        </w:rPr>
      </w:pPr>
      <w:r>
        <w:rPr>
          <w:sz w:val="24"/>
          <w:szCs w:val="24"/>
        </w:rPr>
        <w:t>项目名称：南通市崇川区电子政务外网机房精密空调运行维护和防鼠灭鼠服务采购项目</w:t>
      </w:r>
    </w:p>
    <w:p w14:paraId="59DA3614">
      <w:pPr>
        <w:snapToGrid w:val="0"/>
        <w:spacing w:line="420" w:lineRule="exact"/>
        <w:ind w:left="1214" w:hanging="1214" w:hangingChars="506"/>
        <w:rPr>
          <w:sz w:val="24"/>
          <w:szCs w:val="24"/>
        </w:rPr>
      </w:pPr>
      <w:r>
        <w:rPr>
          <w:sz w:val="24"/>
          <w:szCs w:val="24"/>
        </w:rPr>
        <w:t>项目编号：NTHH2026011(JT01)</w:t>
      </w:r>
    </w:p>
    <w:tbl>
      <w:tblPr>
        <w:tblStyle w:val="1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01"/>
        <w:gridCol w:w="1931"/>
        <w:gridCol w:w="1214"/>
        <w:gridCol w:w="849"/>
        <w:gridCol w:w="1376"/>
        <w:gridCol w:w="1271"/>
        <w:gridCol w:w="1154"/>
      </w:tblGrid>
      <w:tr w14:paraId="1FF070DE">
        <w:trPr>
          <w:trHeight w:val="706" w:hRule="atLeast"/>
        </w:trPr>
        <w:tc>
          <w:tcPr>
            <w:tcW w:w="333" w:type="pct"/>
            <w:vAlign w:val="center"/>
          </w:tcPr>
          <w:p w14:paraId="10C98CCB">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序号</w:t>
            </w:r>
          </w:p>
        </w:tc>
        <w:tc>
          <w:tcPr>
            <w:tcW w:w="711" w:type="pct"/>
            <w:vAlign w:val="center"/>
          </w:tcPr>
          <w:p w14:paraId="1F2B1081">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服务类型</w:t>
            </w:r>
          </w:p>
        </w:tc>
        <w:tc>
          <w:tcPr>
            <w:tcW w:w="980" w:type="pct"/>
            <w:vAlign w:val="center"/>
          </w:tcPr>
          <w:p w14:paraId="5224E6A6">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具体型号</w:t>
            </w:r>
          </w:p>
        </w:tc>
        <w:tc>
          <w:tcPr>
            <w:tcW w:w="616" w:type="pct"/>
            <w:vAlign w:val="center"/>
          </w:tcPr>
          <w:p w14:paraId="6CB15A93">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主要</w:t>
            </w:r>
          </w:p>
          <w:p w14:paraId="6AECA54C">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配置</w:t>
            </w:r>
          </w:p>
        </w:tc>
        <w:tc>
          <w:tcPr>
            <w:tcW w:w="431" w:type="pct"/>
            <w:vAlign w:val="center"/>
          </w:tcPr>
          <w:p w14:paraId="138E4408">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数量</w:t>
            </w:r>
          </w:p>
        </w:tc>
        <w:tc>
          <w:tcPr>
            <w:tcW w:w="698" w:type="pct"/>
            <w:vAlign w:val="center"/>
          </w:tcPr>
          <w:p w14:paraId="53D49E47">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维护周期</w:t>
            </w:r>
          </w:p>
        </w:tc>
        <w:tc>
          <w:tcPr>
            <w:tcW w:w="645" w:type="pct"/>
            <w:vAlign w:val="center"/>
          </w:tcPr>
          <w:p w14:paraId="1EC8EC8D">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单价</w:t>
            </w:r>
          </w:p>
          <w:p w14:paraId="1D27A023">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（元）</w:t>
            </w:r>
          </w:p>
        </w:tc>
        <w:tc>
          <w:tcPr>
            <w:tcW w:w="586" w:type="pct"/>
            <w:vAlign w:val="center"/>
          </w:tcPr>
          <w:p w14:paraId="14371A10">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总价</w:t>
            </w:r>
          </w:p>
          <w:p w14:paraId="20EF85E5">
            <w:pPr>
              <w:kinsoku w:val="0"/>
              <w:autoSpaceDE w:val="0"/>
              <w:autoSpaceDN w:val="0"/>
              <w:adjustRightInd w:val="0"/>
              <w:snapToGrid w:val="0"/>
              <w:spacing w:line="420" w:lineRule="exact"/>
              <w:jc w:val="center"/>
              <w:textAlignment w:val="baseline"/>
              <w:rPr>
                <w:rFonts w:ascii="Times New Roman" w:hAnsi="Times New Roman" w:eastAsia="宋体"/>
                <w:b/>
                <w:bCs/>
                <w:snapToGrid w:val="0"/>
                <w:color w:val="000000"/>
                <w:kern w:val="0"/>
                <w:sz w:val="24"/>
                <w:szCs w:val="24"/>
              </w:rPr>
            </w:pPr>
            <w:r>
              <w:rPr>
                <w:rFonts w:ascii="Times New Roman" w:hAnsi="Times New Roman" w:eastAsia="宋体"/>
                <w:b/>
                <w:bCs/>
                <w:snapToGrid w:val="0"/>
                <w:color w:val="000000"/>
                <w:kern w:val="0"/>
                <w:sz w:val="24"/>
                <w:szCs w:val="24"/>
              </w:rPr>
              <w:t>（元）</w:t>
            </w:r>
          </w:p>
        </w:tc>
      </w:tr>
      <w:tr w14:paraId="1BFFE4A8">
        <w:trPr>
          <w:trHeight w:val="714" w:hRule="atLeast"/>
        </w:trPr>
        <w:tc>
          <w:tcPr>
            <w:tcW w:w="333" w:type="pct"/>
            <w:vAlign w:val="center"/>
          </w:tcPr>
          <w:p w14:paraId="6626C3D8">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w:t>
            </w:r>
          </w:p>
        </w:tc>
        <w:tc>
          <w:tcPr>
            <w:tcW w:w="711" w:type="pct"/>
            <w:vAlign w:val="center"/>
          </w:tcPr>
          <w:p w14:paraId="78343571">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精密空调巡检服务</w:t>
            </w:r>
          </w:p>
        </w:tc>
        <w:tc>
          <w:tcPr>
            <w:tcW w:w="980" w:type="pct"/>
            <w:vAlign w:val="center"/>
          </w:tcPr>
          <w:p w14:paraId="05F3398C">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艾特网能CM040</w:t>
            </w:r>
          </w:p>
        </w:tc>
        <w:tc>
          <w:tcPr>
            <w:tcW w:w="616" w:type="pct"/>
            <w:vAlign w:val="center"/>
          </w:tcPr>
          <w:p w14:paraId="5EF36F52">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40KW</w:t>
            </w:r>
          </w:p>
        </w:tc>
        <w:tc>
          <w:tcPr>
            <w:tcW w:w="431" w:type="pct"/>
            <w:vAlign w:val="center"/>
          </w:tcPr>
          <w:p w14:paraId="3C029739">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2</w:t>
            </w:r>
          </w:p>
        </w:tc>
        <w:tc>
          <w:tcPr>
            <w:tcW w:w="698" w:type="pct"/>
            <w:vAlign w:val="center"/>
          </w:tcPr>
          <w:p w14:paraId="4A7037E7">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1年</w:t>
            </w:r>
          </w:p>
        </w:tc>
        <w:tc>
          <w:tcPr>
            <w:tcW w:w="645" w:type="pct"/>
            <w:vAlign w:val="center"/>
          </w:tcPr>
          <w:p w14:paraId="4E1D7CB9">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c>
          <w:tcPr>
            <w:tcW w:w="586" w:type="pct"/>
            <w:vAlign w:val="center"/>
          </w:tcPr>
          <w:p w14:paraId="5C469CF2">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r>
      <w:tr w14:paraId="4DEF7917">
        <w:trPr>
          <w:trHeight w:val="706" w:hRule="atLeast"/>
        </w:trPr>
        <w:tc>
          <w:tcPr>
            <w:tcW w:w="333" w:type="pct"/>
            <w:vAlign w:val="center"/>
          </w:tcPr>
          <w:p w14:paraId="42F3B45B">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2</w:t>
            </w:r>
          </w:p>
        </w:tc>
        <w:tc>
          <w:tcPr>
            <w:tcW w:w="711" w:type="pct"/>
            <w:vAlign w:val="center"/>
          </w:tcPr>
          <w:p w14:paraId="1A5AF129">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精密空调</w:t>
            </w:r>
          </w:p>
          <w:p w14:paraId="2DE26D2A">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巡检服务</w:t>
            </w:r>
          </w:p>
        </w:tc>
        <w:tc>
          <w:tcPr>
            <w:tcW w:w="980" w:type="pct"/>
            <w:vAlign w:val="center"/>
          </w:tcPr>
          <w:p w14:paraId="6282B1BB">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艾默生</w:t>
            </w:r>
            <w:r>
              <w:rPr>
                <w:rFonts w:ascii="Times New Roman" w:hAnsi="Times New Roman" w:eastAsia="宋体"/>
                <w:snapToGrid w:val="0"/>
                <w:color w:val="000000"/>
                <w:kern w:val="0"/>
                <w:sz w:val="24"/>
                <w:szCs w:val="24"/>
                <w:lang w:eastAsia="en-US"/>
              </w:rPr>
              <w:t>DME12MCP5</w:t>
            </w:r>
          </w:p>
        </w:tc>
        <w:tc>
          <w:tcPr>
            <w:tcW w:w="616" w:type="pct"/>
            <w:vAlign w:val="center"/>
          </w:tcPr>
          <w:p w14:paraId="4AE94C18">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12KW</w:t>
            </w:r>
          </w:p>
        </w:tc>
        <w:tc>
          <w:tcPr>
            <w:tcW w:w="431" w:type="pct"/>
            <w:vAlign w:val="center"/>
          </w:tcPr>
          <w:p w14:paraId="7319038A">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w:t>
            </w:r>
          </w:p>
        </w:tc>
        <w:tc>
          <w:tcPr>
            <w:tcW w:w="698" w:type="pct"/>
            <w:vAlign w:val="center"/>
          </w:tcPr>
          <w:p w14:paraId="21A9C8A2">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1年</w:t>
            </w:r>
          </w:p>
        </w:tc>
        <w:tc>
          <w:tcPr>
            <w:tcW w:w="645" w:type="pct"/>
            <w:vAlign w:val="center"/>
          </w:tcPr>
          <w:p w14:paraId="0982C04D">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c>
          <w:tcPr>
            <w:tcW w:w="586" w:type="pct"/>
            <w:vAlign w:val="center"/>
          </w:tcPr>
          <w:p w14:paraId="78180E74">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r>
      <w:tr w14:paraId="2B347578">
        <w:trPr>
          <w:trHeight w:val="714" w:hRule="atLeast"/>
        </w:trPr>
        <w:tc>
          <w:tcPr>
            <w:tcW w:w="333" w:type="pct"/>
            <w:vAlign w:val="center"/>
          </w:tcPr>
          <w:p w14:paraId="7705586B">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3</w:t>
            </w:r>
          </w:p>
        </w:tc>
        <w:tc>
          <w:tcPr>
            <w:tcW w:w="711" w:type="pct"/>
            <w:vAlign w:val="center"/>
          </w:tcPr>
          <w:p w14:paraId="231E04BF">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精密空调</w:t>
            </w:r>
          </w:p>
          <w:p w14:paraId="51A8E13D">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巡检服务</w:t>
            </w:r>
          </w:p>
        </w:tc>
        <w:tc>
          <w:tcPr>
            <w:tcW w:w="980" w:type="pct"/>
            <w:vAlign w:val="center"/>
          </w:tcPr>
          <w:p w14:paraId="56D5B06F">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艾默生DME07MH2</w:t>
            </w:r>
          </w:p>
        </w:tc>
        <w:tc>
          <w:tcPr>
            <w:tcW w:w="616" w:type="pct"/>
            <w:vAlign w:val="center"/>
          </w:tcPr>
          <w:p w14:paraId="5EDE72E8">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7KW</w:t>
            </w:r>
          </w:p>
        </w:tc>
        <w:tc>
          <w:tcPr>
            <w:tcW w:w="431" w:type="pct"/>
            <w:vAlign w:val="center"/>
          </w:tcPr>
          <w:p w14:paraId="16EB0D4B">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w:t>
            </w:r>
          </w:p>
        </w:tc>
        <w:tc>
          <w:tcPr>
            <w:tcW w:w="698" w:type="pct"/>
            <w:vAlign w:val="center"/>
          </w:tcPr>
          <w:p w14:paraId="5269B602">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1年</w:t>
            </w:r>
          </w:p>
        </w:tc>
        <w:tc>
          <w:tcPr>
            <w:tcW w:w="645" w:type="pct"/>
            <w:vAlign w:val="center"/>
          </w:tcPr>
          <w:p w14:paraId="3C785AAC">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c>
          <w:tcPr>
            <w:tcW w:w="586" w:type="pct"/>
            <w:vAlign w:val="center"/>
          </w:tcPr>
          <w:p w14:paraId="703B3A32">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r>
      <w:tr w14:paraId="527B90B3">
        <w:trPr>
          <w:trHeight w:val="1059" w:hRule="atLeast"/>
        </w:trPr>
        <w:tc>
          <w:tcPr>
            <w:tcW w:w="333" w:type="pct"/>
            <w:vAlign w:val="center"/>
          </w:tcPr>
          <w:p w14:paraId="168B4640">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4</w:t>
            </w:r>
          </w:p>
        </w:tc>
        <w:tc>
          <w:tcPr>
            <w:tcW w:w="711" w:type="pct"/>
            <w:vAlign w:val="center"/>
          </w:tcPr>
          <w:p w14:paraId="7812CDED">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精密空调耗材</w:t>
            </w:r>
          </w:p>
        </w:tc>
        <w:tc>
          <w:tcPr>
            <w:tcW w:w="980" w:type="pct"/>
            <w:vAlign w:val="center"/>
          </w:tcPr>
          <w:p w14:paraId="047304A6">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精密空调一年耗材</w:t>
            </w:r>
          </w:p>
        </w:tc>
        <w:tc>
          <w:tcPr>
            <w:tcW w:w="616" w:type="pct"/>
            <w:vAlign w:val="center"/>
          </w:tcPr>
          <w:p w14:paraId="4B85F80C">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包含52片 过滤网、6个加湿罐</w:t>
            </w:r>
          </w:p>
        </w:tc>
        <w:tc>
          <w:tcPr>
            <w:tcW w:w="431" w:type="pct"/>
            <w:vAlign w:val="center"/>
          </w:tcPr>
          <w:p w14:paraId="6D89B07C">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w:t>
            </w:r>
          </w:p>
        </w:tc>
        <w:tc>
          <w:tcPr>
            <w:tcW w:w="698" w:type="pct"/>
            <w:vAlign w:val="center"/>
          </w:tcPr>
          <w:p w14:paraId="564473DD">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批/年</w:t>
            </w:r>
          </w:p>
        </w:tc>
        <w:tc>
          <w:tcPr>
            <w:tcW w:w="645" w:type="pct"/>
            <w:vAlign w:val="center"/>
          </w:tcPr>
          <w:p w14:paraId="1B1DD801">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lang w:bidi="ar"/>
              </w:rPr>
            </w:pPr>
          </w:p>
        </w:tc>
        <w:tc>
          <w:tcPr>
            <w:tcW w:w="586" w:type="pct"/>
            <w:vAlign w:val="center"/>
          </w:tcPr>
          <w:p w14:paraId="62F4555C">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lang w:bidi="ar"/>
              </w:rPr>
            </w:pPr>
          </w:p>
        </w:tc>
      </w:tr>
      <w:tr w14:paraId="57A3080D">
        <w:trPr>
          <w:trHeight w:val="714" w:hRule="atLeast"/>
        </w:trPr>
        <w:tc>
          <w:tcPr>
            <w:tcW w:w="333" w:type="pct"/>
            <w:vAlign w:val="center"/>
          </w:tcPr>
          <w:p w14:paraId="696AFA8B">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5</w:t>
            </w:r>
          </w:p>
        </w:tc>
        <w:tc>
          <w:tcPr>
            <w:tcW w:w="711" w:type="pct"/>
            <w:vAlign w:val="center"/>
          </w:tcPr>
          <w:p w14:paraId="481A8654">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防鼠灭鼠</w:t>
            </w:r>
          </w:p>
        </w:tc>
        <w:tc>
          <w:tcPr>
            <w:tcW w:w="980" w:type="pct"/>
            <w:vAlign w:val="center"/>
          </w:tcPr>
          <w:p w14:paraId="3CA02A92">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防鼠灭鼠服务</w:t>
            </w:r>
          </w:p>
        </w:tc>
        <w:tc>
          <w:tcPr>
            <w:tcW w:w="616" w:type="pct"/>
            <w:vAlign w:val="center"/>
          </w:tcPr>
          <w:p w14:paraId="678DE5A6">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两地机房灭鼠</w:t>
            </w:r>
          </w:p>
        </w:tc>
        <w:tc>
          <w:tcPr>
            <w:tcW w:w="431" w:type="pct"/>
            <w:vAlign w:val="center"/>
          </w:tcPr>
          <w:p w14:paraId="49AFFD80">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w:t>
            </w:r>
          </w:p>
        </w:tc>
        <w:tc>
          <w:tcPr>
            <w:tcW w:w="698" w:type="pct"/>
            <w:vAlign w:val="center"/>
          </w:tcPr>
          <w:p w14:paraId="7F9CFC6D">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1年</w:t>
            </w:r>
          </w:p>
        </w:tc>
        <w:tc>
          <w:tcPr>
            <w:tcW w:w="645" w:type="pct"/>
            <w:vAlign w:val="center"/>
          </w:tcPr>
          <w:p w14:paraId="448CD523">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c>
          <w:tcPr>
            <w:tcW w:w="586" w:type="pct"/>
            <w:vAlign w:val="center"/>
          </w:tcPr>
          <w:p w14:paraId="69D97D26">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r>
      <w:tr w14:paraId="27AF3E14">
        <w:trPr>
          <w:trHeight w:val="714" w:hRule="atLeast"/>
        </w:trPr>
        <w:tc>
          <w:tcPr>
            <w:tcW w:w="333" w:type="pct"/>
            <w:vAlign w:val="center"/>
          </w:tcPr>
          <w:p w14:paraId="6A9613DD">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6</w:t>
            </w:r>
          </w:p>
        </w:tc>
        <w:tc>
          <w:tcPr>
            <w:tcW w:w="711" w:type="pct"/>
            <w:vAlign w:val="center"/>
          </w:tcPr>
          <w:p w14:paraId="1A84E3B3">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w:t>
            </w:r>
          </w:p>
        </w:tc>
        <w:tc>
          <w:tcPr>
            <w:tcW w:w="980" w:type="pct"/>
            <w:vAlign w:val="center"/>
          </w:tcPr>
          <w:p w14:paraId="771FF868">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p>
        </w:tc>
        <w:tc>
          <w:tcPr>
            <w:tcW w:w="616" w:type="pct"/>
            <w:vAlign w:val="center"/>
          </w:tcPr>
          <w:p w14:paraId="20899855">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p>
        </w:tc>
        <w:tc>
          <w:tcPr>
            <w:tcW w:w="431" w:type="pct"/>
            <w:vAlign w:val="center"/>
          </w:tcPr>
          <w:p w14:paraId="59A5B3BE">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p>
        </w:tc>
        <w:tc>
          <w:tcPr>
            <w:tcW w:w="698" w:type="pct"/>
            <w:vAlign w:val="center"/>
          </w:tcPr>
          <w:p w14:paraId="44ED6913">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p>
        </w:tc>
        <w:tc>
          <w:tcPr>
            <w:tcW w:w="645" w:type="pct"/>
            <w:vAlign w:val="center"/>
          </w:tcPr>
          <w:p w14:paraId="62E4CAB4">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c>
          <w:tcPr>
            <w:tcW w:w="586" w:type="pct"/>
            <w:vAlign w:val="center"/>
          </w:tcPr>
          <w:p w14:paraId="7E413C32">
            <w:pPr>
              <w:widowControl/>
              <w:kinsoku w:val="0"/>
              <w:autoSpaceDE w:val="0"/>
              <w:autoSpaceDN w:val="0"/>
              <w:adjustRightInd w:val="0"/>
              <w:snapToGrid w:val="0"/>
              <w:spacing w:line="420" w:lineRule="exact"/>
              <w:jc w:val="center"/>
              <w:textAlignment w:val="center"/>
              <w:rPr>
                <w:rFonts w:ascii="Times New Roman" w:hAnsi="Times New Roman" w:eastAsia="宋体"/>
                <w:snapToGrid w:val="0"/>
                <w:color w:val="000000"/>
                <w:kern w:val="0"/>
                <w:sz w:val="24"/>
                <w:szCs w:val="24"/>
              </w:rPr>
            </w:pPr>
          </w:p>
        </w:tc>
      </w:tr>
      <w:tr w14:paraId="3D28A060">
        <w:trPr>
          <w:trHeight w:val="353" w:hRule="atLeast"/>
        </w:trPr>
        <w:tc>
          <w:tcPr>
            <w:tcW w:w="333" w:type="pct"/>
            <w:vAlign w:val="center"/>
          </w:tcPr>
          <w:p w14:paraId="2478AE1F">
            <w:pPr>
              <w:kinsoku w:val="0"/>
              <w:autoSpaceDE w:val="0"/>
              <w:autoSpaceDN w:val="0"/>
              <w:adjustRightInd w:val="0"/>
              <w:snapToGrid w:val="0"/>
              <w:spacing w:line="420" w:lineRule="exact"/>
              <w:jc w:val="center"/>
              <w:textAlignment w:val="baseline"/>
              <w:rPr>
                <w:rFonts w:ascii="Times New Roman" w:hAnsi="Times New Roman" w:eastAsia="宋体"/>
                <w:snapToGrid w:val="0"/>
                <w:color w:val="000000"/>
                <w:kern w:val="0"/>
                <w:sz w:val="24"/>
                <w:szCs w:val="24"/>
              </w:rPr>
            </w:pPr>
            <w:r>
              <w:rPr>
                <w:rFonts w:ascii="Times New Roman" w:hAnsi="Times New Roman" w:eastAsia="宋体"/>
                <w:snapToGrid w:val="0"/>
                <w:color w:val="000000"/>
                <w:kern w:val="0"/>
                <w:sz w:val="24"/>
                <w:szCs w:val="24"/>
              </w:rPr>
              <w:t>合计</w:t>
            </w:r>
          </w:p>
        </w:tc>
        <w:tc>
          <w:tcPr>
            <w:tcW w:w="4081" w:type="pct"/>
            <w:gridSpan w:val="6"/>
            <w:vAlign w:val="center"/>
          </w:tcPr>
          <w:p w14:paraId="04291D07">
            <w:pPr>
              <w:widowControl/>
              <w:kinsoku w:val="0"/>
              <w:autoSpaceDE w:val="0"/>
              <w:autoSpaceDN w:val="0"/>
              <w:adjustRightInd w:val="0"/>
              <w:snapToGrid w:val="0"/>
              <w:spacing w:line="420" w:lineRule="exact"/>
              <w:jc w:val="left"/>
              <w:textAlignment w:val="center"/>
              <w:rPr>
                <w:rFonts w:ascii="Times New Roman" w:hAnsi="Times New Roman" w:eastAsia="宋体"/>
                <w:snapToGrid w:val="0"/>
                <w:color w:val="000000"/>
                <w:kern w:val="0"/>
                <w:sz w:val="24"/>
                <w:szCs w:val="24"/>
              </w:rPr>
            </w:pPr>
            <w:r>
              <w:rPr>
                <w:rFonts w:ascii="Times New Roman" w:hAnsi="Times New Roman" w:eastAsia="宋体"/>
                <w:sz w:val="24"/>
                <w:szCs w:val="24"/>
              </w:rPr>
              <w:t>人民币大写：</w:t>
            </w:r>
          </w:p>
        </w:tc>
        <w:tc>
          <w:tcPr>
            <w:tcW w:w="586" w:type="pct"/>
            <w:vAlign w:val="center"/>
          </w:tcPr>
          <w:p w14:paraId="384B55D5">
            <w:pPr>
              <w:widowControl/>
              <w:kinsoku w:val="0"/>
              <w:autoSpaceDE w:val="0"/>
              <w:autoSpaceDN w:val="0"/>
              <w:adjustRightInd w:val="0"/>
              <w:snapToGrid w:val="0"/>
              <w:spacing w:line="420" w:lineRule="exact"/>
              <w:jc w:val="left"/>
              <w:textAlignment w:val="center"/>
              <w:rPr>
                <w:rFonts w:ascii="Times New Roman" w:hAnsi="Times New Roman" w:eastAsia="宋体"/>
                <w:snapToGrid w:val="0"/>
                <w:color w:val="000000"/>
                <w:kern w:val="0"/>
                <w:sz w:val="24"/>
                <w:szCs w:val="24"/>
              </w:rPr>
            </w:pPr>
            <w:r>
              <w:rPr>
                <w:rFonts w:ascii="Times New Roman" w:hAnsi="Times New Roman" w:eastAsia="宋体"/>
                <w:sz w:val="24"/>
                <w:szCs w:val="24"/>
              </w:rPr>
              <w:t>¥：</w:t>
            </w:r>
          </w:p>
        </w:tc>
      </w:tr>
    </w:tbl>
    <w:p w14:paraId="0BCC865A">
      <w:pPr>
        <w:adjustRightInd w:val="0"/>
        <w:snapToGrid w:val="0"/>
        <w:spacing w:line="420" w:lineRule="exact"/>
        <w:rPr>
          <w:rFonts w:cs="宋体"/>
          <w:sz w:val="24"/>
          <w:szCs w:val="24"/>
        </w:rPr>
      </w:pPr>
      <w:r>
        <w:rPr>
          <w:rFonts w:hint="eastAsia" w:cs="宋体"/>
          <w:sz w:val="24"/>
          <w:szCs w:val="24"/>
        </w:rPr>
        <w:t>供应商：（加盖公章）</w:t>
      </w:r>
    </w:p>
    <w:p w14:paraId="404AF493">
      <w:pPr>
        <w:adjustRightInd w:val="0"/>
        <w:snapToGrid w:val="0"/>
        <w:spacing w:line="420" w:lineRule="exact"/>
        <w:rPr>
          <w:rFonts w:cs="宋体"/>
          <w:sz w:val="24"/>
          <w:szCs w:val="24"/>
        </w:rPr>
      </w:pPr>
      <w:r>
        <w:rPr>
          <w:rFonts w:hint="eastAsia" w:cs="宋体"/>
          <w:sz w:val="24"/>
          <w:szCs w:val="24"/>
        </w:rPr>
        <w:t>法定代表人或被委托受权人（签字）：</w:t>
      </w:r>
    </w:p>
    <w:p w14:paraId="169588FE">
      <w:pPr>
        <w:adjustRightInd w:val="0"/>
        <w:snapToGrid w:val="0"/>
        <w:spacing w:line="420" w:lineRule="exact"/>
        <w:rPr>
          <w:rFonts w:cs="宋体"/>
          <w:sz w:val="24"/>
          <w:szCs w:val="24"/>
        </w:rPr>
      </w:pPr>
      <w:r>
        <w:rPr>
          <w:rFonts w:hint="eastAsia" w:cs="宋体"/>
          <w:sz w:val="24"/>
          <w:szCs w:val="24"/>
        </w:rPr>
        <w:t>日期：2026年 月 日</w:t>
      </w:r>
    </w:p>
    <w:p w14:paraId="01B526BC">
      <w:pPr>
        <w:adjustRightInd w:val="0"/>
        <w:snapToGrid w:val="0"/>
        <w:spacing w:line="420" w:lineRule="exact"/>
        <w:rPr>
          <w:rFonts w:cs="宋体"/>
          <w:sz w:val="24"/>
          <w:szCs w:val="24"/>
        </w:rPr>
      </w:pPr>
    </w:p>
    <w:p w14:paraId="7D3D57D2">
      <w:pPr>
        <w:snapToGrid w:val="0"/>
        <w:spacing w:line="420" w:lineRule="exact"/>
        <w:ind w:firstLine="649" w:firstLineChars="270"/>
        <w:rPr>
          <w:b/>
          <w:sz w:val="24"/>
          <w:szCs w:val="24"/>
        </w:rPr>
      </w:pPr>
      <w:r>
        <w:rPr>
          <w:b/>
          <w:sz w:val="24"/>
          <w:szCs w:val="24"/>
        </w:rPr>
        <w:t>注：</w:t>
      </w:r>
    </w:p>
    <w:p w14:paraId="355F1B6F">
      <w:pPr>
        <w:snapToGrid w:val="0"/>
        <w:spacing w:line="420" w:lineRule="exact"/>
        <w:ind w:firstLine="648" w:firstLineChars="270"/>
        <w:rPr>
          <w:sz w:val="24"/>
          <w:szCs w:val="24"/>
        </w:rPr>
      </w:pPr>
      <w:r>
        <w:rPr>
          <w:sz w:val="24"/>
          <w:szCs w:val="24"/>
        </w:rPr>
        <w:t>（1）本表式可根据需要自行添加</w:t>
      </w:r>
      <w:r>
        <w:rPr>
          <w:rFonts w:hint="eastAsia"/>
          <w:sz w:val="24"/>
          <w:szCs w:val="24"/>
        </w:rPr>
        <w:t>，但表格中序号1-5项不得删除</w:t>
      </w:r>
      <w:r>
        <w:rPr>
          <w:sz w:val="24"/>
          <w:szCs w:val="24"/>
        </w:rPr>
        <w:t>。</w:t>
      </w:r>
    </w:p>
    <w:p w14:paraId="1CAC4CD0">
      <w:pPr>
        <w:snapToGrid w:val="0"/>
        <w:spacing w:line="420" w:lineRule="exact"/>
        <w:ind w:firstLine="648" w:firstLineChars="270"/>
        <w:rPr>
          <w:sz w:val="24"/>
          <w:szCs w:val="24"/>
        </w:rPr>
      </w:pPr>
      <w:r>
        <w:rPr>
          <w:sz w:val="24"/>
          <w:szCs w:val="24"/>
        </w:rPr>
        <w:t>（2）如果不提供详细分项报价将视为未实质性响应竞争性谈判文件要求。</w:t>
      </w:r>
    </w:p>
    <w:p w14:paraId="190B9916">
      <w:pPr>
        <w:snapToGrid w:val="0"/>
        <w:spacing w:line="420" w:lineRule="exact"/>
        <w:ind w:firstLine="648" w:firstLineChars="270"/>
        <w:rPr>
          <w:sz w:val="24"/>
          <w:szCs w:val="24"/>
        </w:rPr>
      </w:pPr>
      <w:r>
        <w:rPr>
          <w:sz w:val="24"/>
          <w:szCs w:val="24"/>
        </w:rPr>
        <w:t>（3）如果按综合单价计算的结果与总价不一致，以综合单价为准，修正总价。</w:t>
      </w:r>
    </w:p>
    <w:p w14:paraId="6CFCAC71">
      <w:pPr>
        <w:adjustRightInd w:val="0"/>
        <w:snapToGrid w:val="0"/>
        <w:spacing w:line="420" w:lineRule="exact"/>
        <w:rPr>
          <w:rFonts w:cs="宋体"/>
          <w:sz w:val="24"/>
          <w:szCs w:val="24"/>
        </w:rPr>
      </w:pPr>
    </w:p>
    <w:p w14:paraId="02E631E6">
      <w:pPr>
        <w:adjustRightInd w:val="0"/>
        <w:snapToGrid w:val="0"/>
        <w:spacing w:line="420" w:lineRule="exact"/>
        <w:rPr>
          <w:rFonts w:cs="宋体"/>
          <w:sz w:val="24"/>
          <w:szCs w:val="24"/>
        </w:rPr>
      </w:pPr>
    </w:p>
    <w:p w14:paraId="2DCD6036">
      <w:pPr>
        <w:overflowPunct w:val="0"/>
        <w:spacing w:line="420" w:lineRule="exact"/>
        <w:jc w:val="center"/>
        <w:textAlignment w:val="baseline"/>
        <w:rPr>
          <w:b/>
          <w:bCs/>
          <w:sz w:val="24"/>
          <w:szCs w:val="24"/>
        </w:rPr>
      </w:pPr>
      <w:r>
        <w:rPr>
          <w:b/>
          <w:bCs/>
          <w:sz w:val="24"/>
          <w:szCs w:val="24"/>
        </w:rPr>
        <w:t>……</w:t>
      </w:r>
      <w:r>
        <w:rPr>
          <w:rFonts w:hint="eastAsia" w:cs="宋体"/>
          <w:b/>
          <w:bCs/>
          <w:sz w:val="24"/>
          <w:szCs w:val="24"/>
        </w:rPr>
        <w:t>全文结束</w:t>
      </w:r>
      <w:r>
        <w:rPr>
          <w:b/>
          <w:bCs/>
          <w:sz w:val="24"/>
          <w:szCs w:val="24"/>
        </w:rPr>
        <w:t>……</w:t>
      </w:r>
    </w:p>
    <w:p w14:paraId="3AF0CA7D">
      <w:pPr>
        <w:snapToGrid w:val="0"/>
        <w:spacing w:line="420" w:lineRule="exact"/>
        <w:ind w:firstLine="649" w:firstLineChars="270"/>
        <w:rPr>
          <w:b/>
          <w:bCs/>
          <w:sz w:val="24"/>
          <w:szCs w:val="24"/>
        </w:rPr>
      </w:pPr>
    </w:p>
    <w:sectPr>
      <w:type w:val="continuous"/>
      <w:pgSz w:w="11907" w:h="16840"/>
      <w:pgMar w:top="1134" w:right="851" w:bottom="851" w:left="1418" w:header="709" w:footer="380" w:gutter="0"/>
      <w:cols w:space="720" w:num="1"/>
      <w:docGrid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swiss"/>
    <w:pitch w:val="default"/>
    <w:sig w:usb0="E1002AFF" w:usb1="C000605B" w:usb2="00000029" w:usb3="00000000" w:csb0="200101FF" w:csb1="20280000"/>
  </w:font>
  <w:font w:name="Arial,Bold">
    <w:altName w:val="Arial"/>
    <w:panose1 w:val="00000000000000000000"/>
    <w:charset w:val="00"/>
    <w:family w:val="swiss"/>
    <w:pitch w:val="default"/>
    <w:sig w:usb0="00000000" w:usb1="00000000" w:usb2="00000000" w:usb3="00000000" w:csb0="00000001" w:csb1="00000000"/>
  </w:font>
  <w:font w:name="PMingLiU">
    <w:altName w:val="宋体-繁"/>
    <w:panose1 w:val="02020500000000000000"/>
    <w:charset w:val="88"/>
    <w:family w:val="roman"/>
    <w:pitch w:val="default"/>
    <w:sig w:usb0="00000000" w:usb1="00000000" w:usb2="00000016" w:usb3="00000000" w:csb0="00100001" w:csb1="00000000"/>
  </w:font>
  <w:font w:name="宋体-繁">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Arial">
    <w:panose1 w:val="020B0604020202090204"/>
    <w:charset w:val="00"/>
    <w:family w:val="auto"/>
    <w:pitch w:val="default"/>
    <w:sig w:usb0="E0000AFF" w:usb1="00007843" w:usb2="00000001" w:usb3="00000000" w:csb0="400001BF" w:csb1="DFF70000"/>
  </w:font>
  <w:font w:name="PingFang SC">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7AB2">
    <w:pPr>
      <w:pStyle w:val="29"/>
      <w:jc w:val="center"/>
    </w:pPr>
    <w:r>
      <w:rPr>
        <w:rFonts w:hint="eastAsia" w:ascii="宋体" w:hAnsi="宋体"/>
        <w:lang w:val="zh-CN"/>
      </w:rPr>
      <w:t xml:space="preserve">采购代理机构：南通辉华企业管理咨询有限公司 </w:t>
    </w:r>
    <w:r>
      <w:rPr>
        <w:rFonts w:ascii="宋体" w:hAnsi="宋体"/>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44</w:t>
    </w:r>
    <w:r>
      <w:rPr>
        <w:b/>
        <w:bCs/>
        <w:sz w:val="24"/>
        <w:szCs w:val="24"/>
      </w:rPr>
      <w:fldChar w:fldCharType="end"/>
    </w:r>
  </w:p>
  <w:p w14:paraId="0AB5DE0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FDF5">
    <w:pPr>
      <w:pStyle w:val="29"/>
      <w:framePr w:wrap="around" w:vAnchor="text" w:hAnchor="margin" w:xAlign="right" w:y="1"/>
      <w:rPr>
        <w:rStyle w:val="53"/>
      </w:rPr>
    </w:pPr>
    <w:r>
      <w:fldChar w:fldCharType="begin"/>
    </w:r>
    <w:r>
      <w:rPr>
        <w:rStyle w:val="53"/>
      </w:rPr>
      <w:instrText xml:space="preserve">PAGE  </w:instrText>
    </w:r>
    <w:r>
      <w:fldChar w:fldCharType="separate"/>
    </w:r>
    <w:r>
      <w:rPr>
        <w:rStyle w:val="53"/>
      </w:rPr>
      <w:t>60</w:t>
    </w:r>
    <w:r>
      <w:fldChar w:fldCharType="end"/>
    </w:r>
  </w:p>
  <w:p w14:paraId="384C7FD7">
    <w:pPr>
      <w:pStyle w:val="29"/>
      <w:ind w:right="360"/>
    </w:pPr>
  </w:p>
  <w:p w14:paraId="69D11ACB"/>
  <w:p w14:paraId="15FDC6B9"/>
  <w:p w14:paraId="43BD6D0A"/>
  <w:p w14:paraId="550CFD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D06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2AA77">
    <w:pPr>
      <w:pStyle w:val="30"/>
      <w:pBdr>
        <w:bottom w:val="single" w:color="auto" w:sz="6" w:space="0"/>
      </w:pBdr>
      <w:rPr>
        <w:rFonts w:ascii="Arial" w:hAnsi="Arial" w:eastAsia="楷体_GB2312"/>
        <w:b/>
        <w:color w:val="000000"/>
        <w:kern w:val="0"/>
        <w:szCs w:val="18"/>
      </w:rPr>
    </w:pPr>
    <w:r>
      <w:rPr>
        <w:rFonts w:ascii="宋体" w:hAnsi="宋体"/>
        <w:b/>
        <w:color w:val="000000"/>
        <w:kern w:val="0"/>
        <w:szCs w:val="18"/>
      </w:rPr>
      <w:t>南通市崇川区电子政务外网机房精密空调</w:t>
    </w:r>
    <w:r>
      <w:rPr>
        <w:rFonts w:hint="eastAsia" w:ascii="宋体" w:hAnsi="宋体"/>
        <w:b/>
        <w:color w:val="000000"/>
        <w:kern w:val="0"/>
        <w:szCs w:val="18"/>
      </w:rPr>
      <w:t>运行维护</w:t>
    </w:r>
    <w:r>
      <w:rPr>
        <w:rFonts w:ascii="宋体" w:hAnsi="宋体"/>
        <w:b/>
        <w:color w:val="000000"/>
        <w:kern w:val="0"/>
        <w:szCs w:val="18"/>
      </w:rPr>
      <w:t>和防鼠灭鼠服务采购项目</w:t>
    </w:r>
    <w:r>
      <w:rPr>
        <w:rFonts w:hint="eastAsia" w:ascii="宋体" w:hAnsi="宋体"/>
        <w:b/>
        <w:color w:val="000000"/>
        <w:kern w:val="0"/>
        <w:szCs w:val="18"/>
      </w:rPr>
      <w:t xml:space="preserve"> </w:t>
    </w:r>
    <w:r>
      <w:rPr>
        <w:rFonts w:ascii="宋体" w:hAnsi="宋体"/>
        <w:b/>
        <w:color w:val="000000"/>
        <w:kern w:val="0"/>
        <w:szCs w:val="18"/>
      </w:rPr>
      <w:t xml:space="preserve">          </w:t>
    </w:r>
    <w:r>
      <w:rPr>
        <w:rFonts w:hint="eastAsia" w:ascii="宋体" w:hAnsi="宋体"/>
        <w:b/>
        <w:color w:val="000000"/>
        <w:kern w:val="0"/>
        <w:szCs w:val="18"/>
      </w:rPr>
      <w:t xml:space="preserve"> </w:t>
    </w:r>
    <w:r>
      <w:rPr>
        <w:rFonts w:hint="eastAsia" w:ascii="宋体" w:hAnsi="宋体"/>
        <w:bCs/>
        <w:color w:val="000000"/>
        <w:kern w:val="0"/>
        <w:szCs w:val="18"/>
      </w:rPr>
      <w:t>项目</w:t>
    </w:r>
    <w:r>
      <w:rPr>
        <w:rFonts w:hint="eastAsia" w:ascii="宋体" w:hAnsi="宋体"/>
        <w:color w:val="000000"/>
        <w:kern w:val="0"/>
        <w:szCs w:val="18"/>
      </w:rPr>
      <w:t>编号：</w:t>
    </w:r>
    <w:r>
      <w:rPr>
        <w:rFonts w:eastAsia="楷体_GB2312"/>
        <w:color w:val="000000"/>
        <w:kern w:val="0"/>
        <w:szCs w:val="18"/>
      </w:rPr>
      <w:t>NTHH202</w:t>
    </w:r>
    <w:r>
      <w:rPr>
        <w:rFonts w:hint="eastAsia" w:eastAsia="楷体_GB2312"/>
        <w:color w:val="000000"/>
        <w:kern w:val="0"/>
        <w:szCs w:val="18"/>
      </w:rPr>
      <w:t>6011</w:t>
    </w:r>
    <w:r>
      <w:rPr>
        <w:rFonts w:eastAsia="楷体_GB2312"/>
        <w:color w:val="000000"/>
        <w:kern w:val="0"/>
        <w:szCs w:val="18"/>
      </w:rPr>
      <w:t xml:space="preserve"> (JT01)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861C9">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6311">
    <w:pPr>
      <w:pStyle w:val="30"/>
    </w:pPr>
    <w:r>
      <w:rPr>
        <w:rFonts w:hint="eastAsia"/>
      </w:rPr>
      <w:t>南京国衡工程造价咨询有限公司南通分公司-招标代理文件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F7"/>
    <w:rsid w:val="000043F5"/>
    <w:rsid w:val="000048BC"/>
    <w:rsid w:val="00004C83"/>
    <w:rsid w:val="00006E7C"/>
    <w:rsid w:val="0000760C"/>
    <w:rsid w:val="00010680"/>
    <w:rsid w:val="000140B9"/>
    <w:rsid w:val="00015270"/>
    <w:rsid w:val="00015CD5"/>
    <w:rsid w:val="000163D1"/>
    <w:rsid w:val="000201E4"/>
    <w:rsid w:val="000219B2"/>
    <w:rsid w:val="00021B3D"/>
    <w:rsid w:val="0002247E"/>
    <w:rsid w:val="0002331C"/>
    <w:rsid w:val="00023523"/>
    <w:rsid w:val="00023B5E"/>
    <w:rsid w:val="00025BCD"/>
    <w:rsid w:val="00025C2D"/>
    <w:rsid w:val="00026ED5"/>
    <w:rsid w:val="00030D41"/>
    <w:rsid w:val="0003103A"/>
    <w:rsid w:val="0003127F"/>
    <w:rsid w:val="00031C6D"/>
    <w:rsid w:val="00032781"/>
    <w:rsid w:val="00032B19"/>
    <w:rsid w:val="00032B7C"/>
    <w:rsid w:val="00034311"/>
    <w:rsid w:val="00034A09"/>
    <w:rsid w:val="00034C6A"/>
    <w:rsid w:val="00037600"/>
    <w:rsid w:val="000415FA"/>
    <w:rsid w:val="00041903"/>
    <w:rsid w:val="00042125"/>
    <w:rsid w:val="000421F0"/>
    <w:rsid w:val="00043585"/>
    <w:rsid w:val="00043591"/>
    <w:rsid w:val="000438BC"/>
    <w:rsid w:val="00043B2C"/>
    <w:rsid w:val="00044AB7"/>
    <w:rsid w:val="00044C9F"/>
    <w:rsid w:val="00045D62"/>
    <w:rsid w:val="000469F8"/>
    <w:rsid w:val="00047B78"/>
    <w:rsid w:val="0005041E"/>
    <w:rsid w:val="0005217D"/>
    <w:rsid w:val="000539D9"/>
    <w:rsid w:val="000540AD"/>
    <w:rsid w:val="000540F3"/>
    <w:rsid w:val="00054686"/>
    <w:rsid w:val="00054FA4"/>
    <w:rsid w:val="000561DF"/>
    <w:rsid w:val="000578A9"/>
    <w:rsid w:val="0006123C"/>
    <w:rsid w:val="000613BE"/>
    <w:rsid w:val="00063427"/>
    <w:rsid w:val="00064D6D"/>
    <w:rsid w:val="000664FF"/>
    <w:rsid w:val="0006738B"/>
    <w:rsid w:val="000703DB"/>
    <w:rsid w:val="00070CC2"/>
    <w:rsid w:val="000721FB"/>
    <w:rsid w:val="00074814"/>
    <w:rsid w:val="0007491E"/>
    <w:rsid w:val="00074E5D"/>
    <w:rsid w:val="00075B00"/>
    <w:rsid w:val="00076157"/>
    <w:rsid w:val="000764BE"/>
    <w:rsid w:val="00080F45"/>
    <w:rsid w:val="00080F5D"/>
    <w:rsid w:val="00082306"/>
    <w:rsid w:val="00082935"/>
    <w:rsid w:val="00083048"/>
    <w:rsid w:val="00083C6F"/>
    <w:rsid w:val="000867EF"/>
    <w:rsid w:val="00086A38"/>
    <w:rsid w:val="00087800"/>
    <w:rsid w:val="00090839"/>
    <w:rsid w:val="0009221E"/>
    <w:rsid w:val="00092CFF"/>
    <w:rsid w:val="00094EED"/>
    <w:rsid w:val="000962D3"/>
    <w:rsid w:val="00096497"/>
    <w:rsid w:val="00096639"/>
    <w:rsid w:val="00096C3D"/>
    <w:rsid w:val="00097058"/>
    <w:rsid w:val="000A07DA"/>
    <w:rsid w:val="000A09FF"/>
    <w:rsid w:val="000A0F06"/>
    <w:rsid w:val="000A158C"/>
    <w:rsid w:val="000A1C1D"/>
    <w:rsid w:val="000A1E83"/>
    <w:rsid w:val="000A4315"/>
    <w:rsid w:val="000A5D0C"/>
    <w:rsid w:val="000A6D8F"/>
    <w:rsid w:val="000A7110"/>
    <w:rsid w:val="000A754B"/>
    <w:rsid w:val="000A775B"/>
    <w:rsid w:val="000B06E3"/>
    <w:rsid w:val="000B09CD"/>
    <w:rsid w:val="000B0D2F"/>
    <w:rsid w:val="000B2DDC"/>
    <w:rsid w:val="000B3304"/>
    <w:rsid w:val="000B3DBE"/>
    <w:rsid w:val="000B63D6"/>
    <w:rsid w:val="000B704E"/>
    <w:rsid w:val="000B7470"/>
    <w:rsid w:val="000C2322"/>
    <w:rsid w:val="000C397A"/>
    <w:rsid w:val="000C3A02"/>
    <w:rsid w:val="000C4CF3"/>
    <w:rsid w:val="000C68BF"/>
    <w:rsid w:val="000C69C9"/>
    <w:rsid w:val="000D7C8A"/>
    <w:rsid w:val="000E0F15"/>
    <w:rsid w:val="000E1019"/>
    <w:rsid w:val="000E15FD"/>
    <w:rsid w:val="000E1924"/>
    <w:rsid w:val="000E2094"/>
    <w:rsid w:val="000E2459"/>
    <w:rsid w:val="000E4303"/>
    <w:rsid w:val="000E6697"/>
    <w:rsid w:val="000E735F"/>
    <w:rsid w:val="000E761D"/>
    <w:rsid w:val="000E7C24"/>
    <w:rsid w:val="000F07EF"/>
    <w:rsid w:val="000F0FC0"/>
    <w:rsid w:val="000F1166"/>
    <w:rsid w:val="000F1AFA"/>
    <w:rsid w:val="000F3A2A"/>
    <w:rsid w:val="000F49C5"/>
    <w:rsid w:val="000F4A38"/>
    <w:rsid w:val="000F5513"/>
    <w:rsid w:val="000F650E"/>
    <w:rsid w:val="000F698D"/>
    <w:rsid w:val="000F6A93"/>
    <w:rsid w:val="000F746E"/>
    <w:rsid w:val="000F76C3"/>
    <w:rsid w:val="00100383"/>
    <w:rsid w:val="00100490"/>
    <w:rsid w:val="00100967"/>
    <w:rsid w:val="00100B52"/>
    <w:rsid w:val="00101C52"/>
    <w:rsid w:val="00103091"/>
    <w:rsid w:val="00105381"/>
    <w:rsid w:val="00106FF7"/>
    <w:rsid w:val="0010701E"/>
    <w:rsid w:val="0011177B"/>
    <w:rsid w:val="00111AD7"/>
    <w:rsid w:val="0011283E"/>
    <w:rsid w:val="00113BDE"/>
    <w:rsid w:val="00113D26"/>
    <w:rsid w:val="00114DA4"/>
    <w:rsid w:val="001157A9"/>
    <w:rsid w:val="00120604"/>
    <w:rsid w:val="001213BA"/>
    <w:rsid w:val="001216A3"/>
    <w:rsid w:val="00122580"/>
    <w:rsid w:val="00122F1F"/>
    <w:rsid w:val="001239A1"/>
    <w:rsid w:val="00123BBF"/>
    <w:rsid w:val="001257E0"/>
    <w:rsid w:val="00127C44"/>
    <w:rsid w:val="00131400"/>
    <w:rsid w:val="0013163D"/>
    <w:rsid w:val="001336A6"/>
    <w:rsid w:val="00134362"/>
    <w:rsid w:val="00134FD7"/>
    <w:rsid w:val="00135E25"/>
    <w:rsid w:val="001369A8"/>
    <w:rsid w:val="00140843"/>
    <w:rsid w:val="00140BDC"/>
    <w:rsid w:val="00140F0E"/>
    <w:rsid w:val="00142520"/>
    <w:rsid w:val="00142ED9"/>
    <w:rsid w:val="0014332B"/>
    <w:rsid w:val="001433B7"/>
    <w:rsid w:val="00143482"/>
    <w:rsid w:val="0014423B"/>
    <w:rsid w:val="00146978"/>
    <w:rsid w:val="0015010B"/>
    <w:rsid w:val="001509DF"/>
    <w:rsid w:val="0015127E"/>
    <w:rsid w:val="001516DC"/>
    <w:rsid w:val="0015402E"/>
    <w:rsid w:val="00155B65"/>
    <w:rsid w:val="00155C50"/>
    <w:rsid w:val="001568E3"/>
    <w:rsid w:val="00156BAF"/>
    <w:rsid w:val="001576EA"/>
    <w:rsid w:val="00157F0F"/>
    <w:rsid w:val="001602B8"/>
    <w:rsid w:val="001621CE"/>
    <w:rsid w:val="0016256E"/>
    <w:rsid w:val="00163813"/>
    <w:rsid w:val="00163AB7"/>
    <w:rsid w:val="00164FBC"/>
    <w:rsid w:val="001651DD"/>
    <w:rsid w:val="001668A7"/>
    <w:rsid w:val="00166CDB"/>
    <w:rsid w:val="00167040"/>
    <w:rsid w:val="00167F40"/>
    <w:rsid w:val="00167F60"/>
    <w:rsid w:val="00171655"/>
    <w:rsid w:val="00172A27"/>
    <w:rsid w:val="00172BC1"/>
    <w:rsid w:val="00173822"/>
    <w:rsid w:val="001764AD"/>
    <w:rsid w:val="001766B1"/>
    <w:rsid w:val="00180129"/>
    <w:rsid w:val="0018062F"/>
    <w:rsid w:val="001810F0"/>
    <w:rsid w:val="00181DF6"/>
    <w:rsid w:val="00182E26"/>
    <w:rsid w:val="0018309F"/>
    <w:rsid w:val="00183A29"/>
    <w:rsid w:val="00185413"/>
    <w:rsid w:val="0018639E"/>
    <w:rsid w:val="00186DBE"/>
    <w:rsid w:val="00187DDA"/>
    <w:rsid w:val="00190891"/>
    <w:rsid w:val="00190FC1"/>
    <w:rsid w:val="001947A0"/>
    <w:rsid w:val="00194C1C"/>
    <w:rsid w:val="0019512E"/>
    <w:rsid w:val="00196E0C"/>
    <w:rsid w:val="001970C3"/>
    <w:rsid w:val="001A1EF6"/>
    <w:rsid w:val="001A20CD"/>
    <w:rsid w:val="001A21AD"/>
    <w:rsid w:val="001A3A6F"/>
    <w:rsid w:val="001A4EF0"/>
    <w:rsid w:val="001A5641"/>
    <w:rsid w:val="001A7371"/>
    <w:rsid w:val="001B3584"/>
    <w:rsid w:val="001B3C0A"/>
    <w:rsid w:val="001B41D9"/>
    <w:rsid w:val="001B60F0"/>
    <w:rsid w:val="001B643B"/>
    <w:rsid w:val="001B6C65"/>
    <w:rsid w:val="001B7D46"/>
    <w:rsid w:val="001C020E"/>
    <w:rsid w:val="001C062A"/>
    <w:rsid w:val="001C0637"/>
    <w:rsid w:val="001C082F"/>
    <w:rsid w:val="001C0D9D"/>
    <w:rsid w:val="001C34C6"/>
    <w:rsid w:val="001C4C65"/>
    <w:rsid w:val="001C5327"/>
    <w:rsid w:val="001C5C4D"/>
    <w:rsid w:val="001D0201"/>
    <w:rsid w:val="001D1DF0"/>
    <w:rsid w:val="001D2969"/>
    <w:rsid w:val="001D2FAA"/>
    <w:rsid w:val="001D3CC3"/>
    <w:rsid w:val="001D3E66"/>
    <w:rsid w:val="001D473E"/>
    <w:rsid w:val="001D49AE"/>
    <w:rsid w:val="001D65AB"/>
    <w:rsid w:val="001E3879"/>
    <w:rsid w:val="001E4684"/>
    <w:rsid w:val="001E4811"/>
    <w:rsid w:val="001E4DC5"/>
    <w:rsid w:val="001E4F81"/>
    <w:rsid w:val="001E5580"/>
    <w:rsid w:val="001E5E6B"/>
    <w:rsid w:val="001E5E82"/>
    <w:rsid w:val="001E7142"/>
    <w:rsid w:val="001F09D5"/>
    <w:rsid w:val="001F0FE6"/>
    <w:rsid w:val="001F1CEE"/>
    <w:rsid w:val="001F1D9F"/>
    <w:rsid w:val="001F365C"/>
    <w:rsid w:val="001F398A"/>
    <w:rsid w:val="001F58F4"/>
    <w:rsid w:val="001F6037"/>
    <w:rsid w:val="002002C0"/>
    <w:rsid w:val="00201EE3"/>
    <w:rsid w:val="002036EA"/>
    <w:rsid w:val="00205313"/>
    <w:rsid w:val="00205327"/>
    <w:rsid w:val="00205627"/>
    <w:rsid w:val="0020596C"/>
    <w:rsid w:val="0020598B"/>
    <w:rsid w:val="00205E5D"/>
    <w:rsid w:val="00206262"/>
    <w:rsid w:val="00206609"/>
    <w:rsid w:val="00207176"/>
    <w:rsid w:val="0021008A"/>
    <w:rsid w:val="002100F8"/>
    <w:rsid w:val="00210F28"/>
    <w:rsid w:val="00211361"/>
    <w:rsid w:val="00211410"/>
    <w:rsid w:val="0021356F"/>
    <w:rsid w:val="00214F09"/>
    <w:rsid w:val="00215651"/>
    <w:rsid w:val="0021628E"/>
    <w:rsid w:val="0021650B"/>
    <w:rsid w:val="002171A3"/>
    <w:rsid w:val="00220160"/>
    <w:rsid w:val="002210E9"/>
    <w:rsid w:val="00221F08"/>
    <w:rsid w:val="002226C3"/>
    <w:rsid w:val="002226E5"/>
    <w:rsid w:val="0022470C"/>
    <w:rsid w:val="00225230"/>
    <w:rsid w:val="00225AA2"/>
    <w:rsid w:val="002321D9"/>
    <w:rsid w:val="00232A82"/>
    <w:rsid w:val="0023309F"/>
    <w:rsid w:val="00234689"/>
    <w:rsid w:val="00236844"/>
    <w:rsid w:val="00240718"/>
    <w:rsid w:val="002410E6"/>
    <w:rsid w:val="00241AD8"/>
    <w:rsid w:val="00244EFF"/>
    <w:rsid w:val="00245B4C"/>
    <w:rsid w:val="00245F4F"/>
    <w:rsid w:val="00246C03"/>
    <w:rsid w:val="00246C5F"/>
    <w:rsid w:val="00246CA9"/>
    <w:rsid w:val="002477F5"/>
    <w:rsid w:val="00247BD0"/>
    <w:rsid w:val="00247FA6"/>
    <w:rsid w:val="002523D1"/>
    <w:rsid w:val="00254289"/>
    <w:rsid w:val="002547CD"/>
    <w:rsid w:val="00256139"/>
    <w:rsid w:val="00256CDB"/>
    <w:rsid w:val="00257B50"/>
    <w:rsid w:val="002606CB"/>
    <w:rsid w:val="00263A22"/>
    <w:rsid w:val="00265D6D"/>
    <w:rsid w:val="002700C2"/>
    <w:rsid w:val="002703FC"/>
    <w:rsid w:val="0027109D"/>
    <w:rsid w:val="00274A29"/>
    <w:rsid w:val="00275626"/>
    <w:rsid w:val="002758D1"/>
    <w:rsid w:val="00276CDF"/>
    <w:rsid w:val="00277170"/>
    <w:rsid w:val="002771C4"/>
    <w:rsid w:val="0027737D"/>
    <w:rsid w:val="00277991"/>
    <w:rsid w:val="0028213F"/>
    <w:rsid w:val="002838E4"/>
    <w:rsid w:val="002844F5"/>
    <w:rsid w:val="00284808"/>
    <w:rsid w:val="00285B63"/>
    <w:rsid w:val="0028739C"/>
    <w:rsid w:val="00287CC2"/>
    <w:rsid w:val="0029091F"/>
    <w:rsid w:val="00292D7A"/>
    <w:rsid w:val="00293E25"/>
    <w:rsid w:val="00295241"/>
    <w:rsid w:val="00295872"/>
    <w:rsid w:val="00295E54"/>
    <w:rsid w:val="00296570"/>
    <w:rsid w:val="002A0378"/>
    <w:rsid w:val="002A07F6"/>
    <w:rsid w:val="002A10D5"/>
    <w:rsid w:val="002A1347"/>
    <w:rsid w:val="002A1C2C"/>
    <w:rsid w:val="002A3AC6"/>
    <w:rsid w:val="002A6A66"/>
    <w:rsid w:val="002A6CF3"/>
    <w:rsid w:val="002A6E1F"/>
    <w:rsid w:val="002A719E"/>
    <w:rsid w:val="002A7730"/>
    <w:rsid w:val="002A7CA0"/>
    <w:rsid w:val="002B23A4"/>
    <w:rsid w:val="002B45BD"/>
    <w:rsid w:val="002B7650"/>
    <w:rsid w:val="002B776B"/>
    <w:rsid w:val="002B7E46"/>
    <w:rsid w:val="002C0B83"/>
    <w:rsid w:val="002C145C"/>
    <w:rsid w:val="002C1E48"/>
    <w:rsid w:val="002C4561"/>
    <w:rsid w:val="002C5D4F"/>
    <w:rsid w:val="002C694D"/>
    <w:rsid w:val="002C72F1"/>
    <w:rsid w:val="002D0EF7"/>
    <w:rsid w:val="002D1871"/>
    <w:rsid w:val="002D2278"/>
    <w:rsid w:val="002D2556"/>
    <w:rsid w:val="002D30FC"/>
    <w:rsid w:val="002D35F9"/>
    <w:rsid w:val="002D4A19"/>
    <w:rsid w:val="002D579C"/>
    <w:rsid w:val="002D65A2"/>
    <w:rsid w:val="002D6784"/>
    <w:rsid w:val="002D7B14"/>
    <w:rsid w:val="002E1F34"/>
    <w:rsid w:val="002E2603"/>
    <w:rsid w:val="002E32A2"/>
    <w:rsid w:val="002E384B"/>
    <w:rsid w:val="002E4D09"/>
    <w:rsid w:val="002E5289"/>
    <w:rsid w:val="002E5F9D"/>
    <w:rsid w:val="002E624E"/>
    <w:rsid w:val="002E68E2"/>
    <w:rsid w:val="002E778B"/>
    <w:rsid w:val="002F090E"/>
    <w:rsid w:val="002F0E43"/>
    <w:rsid w:val="002F1145"/>
    <w:rsid w:val="002F294F"/>
    <w:rsid w:val="002F2DF4"/>
    <w:rsid w:val="002F3C69"/>
    <w:rsid w:val="002F43AA"/>
    <w:rsid w:val="002F5CDF"/>
    <w:rsid w:val="002F75C9"/>
    <w:rsid w:val="002F7806"/>
    <w:rsid w:val="00300BC0"/>
    <w:rsid w:val="003012FE"/>
    <w:rsid w:val="00302DA9"/>
    <w:rsid w:val="003068A5"/>
    <w:rsid w:val="0031018B"/>
    <w:rsid w:val="00310AED"/>
    <w:rsid w:val="003116C4"/>
    <w:rsid w:val="00312E6A"/>
    <w:rsid w:val="00313DE9"/>
    <w:rsid w:val="00313E4E"/>
    <w:rsid w:val="003146F1"/>
    <w:rsid w:val="00315312"/>
    <w:rsid w:val="00316ECD"/>
    <w:rsid w:val="003207D1"/>
    <w:rsid w:val="0032293C"/>
    <w:rsid w:val="00322E05"/>
    <w:rsid w:val="00323299"/>
    <w:rsid w:val="0032459F"/>
    <w:rsid w:val="00326B2B"/>
    <w:rsid w:val="003301EB"/>
    <w:rsid w:val="003303C9"/>
    <w:rsid w:val="00330BB3"/>
    <w:rsid w:val="003310C9"/>
    <w:rsid w:val="0033307E"/>
    <w:rsid w:val="00334E42"/>
    <w:rsid w:val="00336404"/>
    <w:rsid w:val="00336BEF"/>
    <w:rsid w:val="00337A1B"/>
    <w:rsid w:val="00337ED6"/>
    <w:rsid w:val="003400A6"/>
    <w:rsid w:val="0034162D"/>
    <w:rsid w:val="003443EB"/>
    <w:rsid w:val="00344A86"/>
    <w:rsid w:val="00345E6B"/>
    <w:rsid w:val="0034673F"/>
    <w:rsid w:val="00347B4D"/>
    <w:rsid w:val="00350B8C"/>
    <w:rsid w:val="00350FCE"/>
    <w:rsid w:val="00351EC5"/>
    <w:rsid w:val="00352B23"/>
    <w:rsid w:val="00354D39"/>
    <w:rsid w:val="00354F47"/>
    <w:rsid w:val="00355314"/>
    <w:rsid w:val="00355A69"/>
    <w:rsid w:val="00357161"/>
    <w:rsid w:val="00357758"/>
    <w:rsid w:val="00360950"/>
    <w:rsid w:val="00361C76"/>
    <w:rsid w:val="00361EF7"/>
    <w:rsid w:val="00364AF4"/>
    <w:rsid w:val="003652F9"/>
    <w:rsid w:val="0036556D"/>
    <w:rsid w:val="00365B7A"/>
    <w:rsid w:val="00365C1E"/>
    <w:rsid w:val="0036715F"/>
    <w:rsid w:val="0036744E"/>
    <w:rsid w:val="00367D98"/>
    <w:rsid w:val="00367D9D"/>
    <w:rsid w:val="00370E98"/>
    <w:rsid w:val="00372BCD"/>
    <w:rsid w:val="00373179"/>
    <w:rsid w:val="00373DD0"/>
    <w:rsid w:val="00374BF5"/>
    <w:rsid w:val="0037570D"/>
    <w:rsid w:val="00376915"/>
    <w:rsid w:val="00376B21"/>
    <w:rsid w:val="00376D00"/>
    <w:rsid w:val="00377017"/>
    <w:rsid w:val="003772CF"/>
    <w:rsid w:val="00381943"/>
    <w:rsid w:val="003826E8"/>
    <w:rsid w:val="00382CFA"/>
    <w:rsid w:val="00382E4A"/>
    <w:rsid w:val="003843C5"/>
    <w:rsid w:val="0038579A"/>
    <w:rsid w:val="00387397"/>
    <w:rsid w:val="003901F3"/>
    <w:rsid w:val="00390C92"/>
    <w:rsid w:val="00391141"/>
    <w:rsid w:val="003917DD"/>
    <w:rsid w:val="00392E6E"/>
    <w:rsid w:val="0039466B"/>
    <w:rsid w:val="003951B1"/>
    <w:rsid w:val="00395A22"/>
    <w:rsid w:val="00396A9C"/>
    <w:rsid w:val="00397106"/>
    <w:rsid w:val="0039751A"/>
    <w:rsid w:val="003A0081"/>
    <w:rsid w:val="003A0DD5"/>
    <w:rsid w:val="003A10D7"/>
    <w:rsid w:val="003A1A03"/>
    <w:rsid w:val="003A2C3A"/>
    <w:rsid w:val="003A44F6"/>
    <w:rsid w:val="003A454C"/>
    <w:rsid w:val="003A5B5A"/>
    <w:rsid w:val="003A6C94"/>
    <w:rsid w:val="003A7F7C"/>
    <w:rsid w:val="003B0CC6"/>
    <w:rsid w:val="003B2303"/>
    <w:rsid w:val="003B3C04"/>
    <w:rsid w:val="003B5CB6"/>
    <w:rsid w:val="003B60C2"/>
    <w:rsid w:val="003B7811"/>
    <w:rsid w:val="003B7873"/>
    <w:rsid w:val="003C01A0"/>
    <w:rsid w:val="003C1818"/>
    <w:rsid w:val="003C191D"/>
    <w:rsid w:val="003C2CB7"/>
    <w:rsid w:val="003C52A6"/>
    <w:rsid w:val="003C5E69"/>
    <w:rsid w:val="003C73AD"/>
    <w:rsid w:val="003C7BC4"/>
    <w:rsid w:val="003D222D"/>
    <w:rsid w:val="003D3989"/>
    <w:rsid w:val="003D3BDD"/>
    <w:rsid w:val="003D4832"/>
    <w:rsid w:val="003D4AC6"/>
    <w:rsid w:val="003D56DD"/>
    <w:rsid w:val="003D6021"/>
    <w:rsid w:val="003D6688"/>
    <w:rsid w:val="003D6741"/>
    <w:rsid w:val="003D69E6"/>
    <w:rsid w:val="003D7018"/>
    <w:rsid w:val="003D716D"/>
    <w:rsid w:val="003E316B"/>
    <w:rsid w:val="003E4210"/>
    <w:rsid w:val="003E4281"/>
    <w:rsid w:val="003E452E"/>
    <w:rsid w:val="003E53B9"/>
    <w:rsid w:val="003E545B"/>
    <w:rsid w:val="003E5A06"/>
    <w:rsid w:val="003E613C"/>
    <w:rsid w:val="003E7B4D"/>
    <w:rsid w:val="003F055F"/>
    <w:rsid w:val="003F1B25"/>
    <w:rsid w:val="003F2067"/>
    <w:rsid w:val="003F3042"/>
    <w:rsid w:val="003F37F1"/>
    <w:rsid w:val="003F4703"/>
    <w:rsid w:val="003F47AA"/>
    <w:rsid w:val="003F4A6C"/>
    <w:rsid w:val="003F5E2E"/>
    <w:rsid w:val="003F6643"/>
    <w:rsid w:val="003F6BFB"/>
    <w:rsid w:val="003F7358"/>
    <w:rsid w:val="004013F6"/>
    <w:rsid w:val="00403B08"/>
    <w:rsid w:val="0040562B"/>
    <w:rsid w:val="00407908"/>
    <w:rsid w:val="00407F9B"/>
    <w:rsid w:val="004104E8"/>
    <w:rsid w:val="00410890"/>
    <w:rsid w:val="004117BC"/>
    <w:rsid w:val="00412352"/>
    <w:rsid w:val="00413847"/>
    <w:rsid w:val="00414E04"/>
    <w:rsid w:val="00415936"/>
    <w:rsid w:val="0041669C"/>
    <w:rsid w:val="00421100"/>
    <w:rsid w:val="0042352B"/>
    <w:rsid w:val="004243A8"/>
    <w:rsid w:val="00424412"/>
    <w:rsid w:val="004248CB"/>
    <w:rsid w:val="004251E4"/>
    <w:rsid w:val="00426D49"/>
    <w:rsid w:val="00427566"/>
    <w:rsid w:val="00427D4C"/>
    <w:rsid w:val="00430458"/>
    <w:rsid w:val="0043049B"/>
    <w:rsid w:val="004309C2"/>
    <w:rsid w:val="0043102C"/>
    <w:rsid w:val="004319F2"/>
    <w:rsid w:val="00431CE0"/>
    <w:rsid w:val="00432C90"/>
    <w:rsid w:val="00433CAC"/>
    <w:rsid w:val="00433EA9"/>
    <w:rsid w:val="00433F30"/>
    <w:rsid w:val="004346C7"/>
    <w:rsid w:val="0043511B"/>
    <w:rsid w:val="0043575D"/>
    <w:rsid w:val="00435D2C"/>
    <w:rsid w:val="00435E3C"/>
    <w:rsid w:val="004372CE"/>
    <w:rsid w:val="00437668"/>
    <w:rsid w:val="00440ACB"/>
    <w:rsid w:val="00440FC1"/>
    <w:rsid w:val="00441DC8"/>
    <w:rsid w:val="004422AC"/>
    <w:rsid w:val="004424CC"/>
    <w:rsid w:val="00443A55"/>
    <w:rsid w:val="0044434D"/>
    <w:rsid w:val="0044480A"/>
    <w:rsid w:val="00444BF1"/>
    <w:rsid w:val="0044506A"/>
    <w:rsid w:val="00445517"/>
    <w:rsid w:val="00445918"/>
    <w:rsid w:val="00446F81"/>
    <w:rsid w:val="0045006C"/>
    <w:rsid w:val="0045036E"/>
    <w:rsid w:val="00451BE5"/>
    <w:rsid w:val="004535D0"/>
    <w:rsid w:val="004544E2"/>
    <w:rsid w:val="004553D6"/>
    <w:rsid w:val="00456738"/>
    <w:rsid w:val="00461B0D"/>
    <w:rsid w:val="00463FA4"/>
    <w:rsid w:val="00465425"/>
    <w:rsid w:val="00466717"/>
    <w:rsid w:val="004667F7"/>
    <w:rsid w:val="00466CA5"/>
    <w:rsid w:val="00466F46"/>
    <w:rsid w:val="00467AD1"/>
    <w:rsid w:val="00470763"/>
    <w:rsid w:val="00472EF0"/>
    <w:rsid w:val="00473281"/>
    <w:rsid w:val="00473584"/>
    <w:rsid w:val="00473D0D"/>
    <w:rsid w:val="00473F9F"/>
    <w:rsid w:val="00474131"/>
    <w:rsid w:val="00474649"/>
    <w:rsid w:val="004749C6"/>
    <w:rsid w:val="00474ECF"/>
    <w:rsid w:val="00475792"/>
    <w:rsid w:val="0047654C"/>
    <w:rsid w:val="00476C8F"/>
    <w:rsid w:val="00477129"/>
    <w:rsid w:val="00477304"/>
    <w:rsid w:val="004779C4"/>
    <w:rsid w:val="00480279"/>
    <w:rsid w:val="00482309"/>
    <w:rsid w:val="0048250A"/>
    <w:rsid w:val="004829C8"/>
    <w:rsid w:val="00482EA4"/>
    <w:rsid w:val="004838BF"/>
    <w:rsid w:val="00485695"/>
    <w:rsid w:val="00485C2A"/>
    <w:rsid w:val="00485D88"/>
    <w:rsid w:val="00487412"/>
    <w:rsid w:val="004900FE"/>
    <w:rsid w:val="00490EEC"/>
    <w:rsid w:val="00491E23"/>
    <w:rsid w:val="00491F46"/>
    <w:rsid w:val="00494D29"/>
    <w:rsid w:val="00494E11"/>
    <w:rsid w:val="004A2AA6"/>
    <w:rsid w:val="004A3E6B"/>
    <w:rsid w:val="004A3EAD"/>
    <w:rsid w:val="004A5458"/>
    <w:rsid w:val="004A5F2E"/>
    <w:rsid w:val="004A699E"/>
    <w:rsid w:val="004B0646"/>
    <w:rsid w:val="004B08F5"/>
    <w:rsid w:val="004B1EF1"/>
    <w:rsid w:val="004B2457"/>
    <w:rsid w:val="004B40D1"/>
    <w:rsid w:val="004B4437"/>
    <w:rsid w:val="004B49A6"/>
    <w:rsid w:val="004B612B"/>
    <w:rsid w:val="004B67DB"/>
    <w:rsid w:val="004B7857"/>
    <w:rsid w:val="004C1AF5"/>
    <w:rsid w:val="004C3625"/>
    <w:rsid w:val="004C432E"/>
    <w:rsid w:val="004C457F"/>
    <w:rsid w:val="004C6B03"/>
    <w:rsid w:val="004C6BC6"/>
    <w:rsid w:val="004D059A"/>
    <w:rsid w:val="004D2672"/>
    <w:rsid w:val="004D3462"/>
    <w:rsid w:val="004D34C2"/>
    <w:rsid w:val="004D3AC2"/>
    <w:rsid w:val="004D3CC5"/>
    <w:rsid w:val="004D4B8E"/>
    <w:rsid w:val="004D789D"/>
    <w:rsid w:val="004E0369"/>
    <w:rsid w:val="004E1809"/>
    <w:rsid w:val="004E1F10"/>
    <w:rsid w:val="004E1F31"/>
    <w:rsid w:val="004E21F6"/>
    <w:rsid w:val="004E2D9D"/>
    <w:rsid w:val="004E3714"/>
    <w:rsid w:val="004E494C"/>
    <w:rsid w:val="004E4DA0"/>
    <w:rsid w:val="004E5DFE"/>
    <w:rsid w:val="004F0726"/>
    <w:rsid w:val="004F108B"/>
    <w:rsid w:val="004F4554"/>
    <w:rsid w:val="004F46A4"/>
    <w:rsid w:val="004F4B88"/>
    <w:rsid w:val="004F5448"/>
    <w:rsid w:val="004F61D4"/>
    <w:rsid w:val="004F6642"/>
    <w:rsid w:val="00500861"/>
    <w:rsid w:val="00501285"/>
    <w:rsid w:val="00501379"/>
    <w:rsid w:val="00501AE7"/>
    <w:rsid w:val="0050607E"/>
    <w:rsid w:val="005073F4"/>
    <w:rsid w:val="00510883"/>
    <w:rsid w:val="00510F20"/>
    <w:rsid w:val="00514B01"/>
    <w:rsid w:val="005200CE"/>
    <w:rsid w:val="00520C77"/>
    <w:rsid w:val="00521DD5"/>
    <w:rsid w:val="00522698"/>
    <w:rsid w:val="0052336A"/>
    <w:rsid w:val="0052492D"/>
    <w:rsid w:val="00524F8A"/>
    <w:rsid w:val="00525066"/>
    <w:rsid w:val="005260F4"/>
    <w:rsid w:val="0053134B"/>
    <w:rsid w:val="0053167E"/>
    <w:rsid w:val="00531DE8"/>
    <w:rsid w:val="00531E86"/>
    <w:rsid w:val="00532FF5"/>
    <w:rsid w:val="005335E4"/>
    <w:rsid w:val="00533973"/>
    <w:rsid w:val="0053428D"/>
    <w:rsid w:val="00534558"/>
    <w:rsid w:val="005348FC"/>
    <w:rsid w:val="00534C3B"/>
    <w:rsid w:val="00535A8B"/>
    <w:rsid w:val="00535FDA"/>
    <w:rsid w:val="00536CDC"/>
    <w:rsid w:val="00536F5D"/>
    <w:rsid w:val="005376F1"/>
    <w:rsid w:val="00537800"/>
    <w:rsid w:val="005379B5"/>
    <w:rsid w:val="00540178"/>
    <w:rsid w:val="005405B0"/>
    <w:rsid w:val="0054359C"/>
    <w:rsid w:val="005450A5"/>
    <w:rsid w:val="0054635F"/>
    <w:rsid w:val="00547C94"/>
    <w:rsid w:val="00550185"/>
    <w:rsid w:val="005505E1"/>
    <w:rsid w:val="00551769"/>
    <w:rsid w:val="00551951"/>
    <w:rsid w:val="00553A67"/>
    <w:rsid w:val="00553C26"/>
    <w:rsid w:val="005544BB"/>
    <w:rsid w:val="005579E2"/>
    <w:rsid w:val="005613E2"/>
    <w:rsid w:val="005620C9"/>
    <w:rsid w:val="00562F86"/>
    <w:rsid w:val="00563892"/>
    <w:rsid w:val="0056412D"/>
    <w:rsid w:val="0056426D"/>
    <w:rsid w:val="0056586D"/>
    <w:rsid w:val="00565B05"/>
    <w:rsid w:val="00566AF7"/>
    <w:rsid w:val="0056750D"/>
    <w:rsid w:val="00567891"/>
    <w:rsid w:val="00570919"/>
    <w:rsid w:val="00571017"/>
    <w:rsid w:val="00571C36"/>
    <w:rsid w:val="00571C8A"/>
    <w:rsid w:val="005720EC"/>
    <w:rsid w:val="00572133"/>
    <w:rsid w:val="00573389"/>
    <w:rsid w:val="005750AD"/>
    <w:rsid w:val="005768E8"/>
    <w:rsid w:val="00576B35"/>
    <w:rsid w:val="00576C42"/>
    <w:rsid w:val="00577151"/>
    <w:rsid w:val="00580235"/>
    <w:rsid w:val="005805AE"/>
    <w:rsid w:val="005821DF"/>
    <w:rsid w:val="00583D08"/>
    <w:rsid w:val="00583F31"/>
    <w:rsid w:val="00584C43"/>
    <w:rsid w:val="00590C1E"/>
    <w:rsid w:val="0059275E"/>
    <w:rsid w:val="0059285D"/>
    <w:rsid w:val="00593615"/>
    <w:rsid w:val="00593DC1"/>
    <w:rsid w:val="00595F8B"/>
    <w:rsid w:val="00596186"/>
    <w:rsid w:val="00596AF5"/>
    <w:rsid w:val="00597161"/>
    <w:rsid w:val="00597653"/>
    <w:rsid w:val="005A058E"/>
    <w:rsid w:val="005A2041"/>
    <w:rsid w:val="005A249C"/>
    <w:rsid w:val="005A274C"/>
    <w:rsid w:val="005A5827"/>
    <w:rsid w:val="005A5ABD"/>
    <w:rsid w:val="005A64AE"/>
    <w:rsid w:val="005A68E7"/>
    <w:rsid w:val="005A6D18"/>
    <w:rsid w:val="005A7845"/>
    <w:rsid w:val="005B07C8"/>
    <w:rsid w:val="005B1971"/>
    <w:rsid w:val="005B1DA7"/>
    <w:rsid w:val="005B27DC"/>
    <w:rsid w:val="005B3494"/>
    <w:rsid w:val="005B37F2"/>
    <w:rsid w:val="005B3A77"/>
    <w:rsid w:val="005B5E0E"/>
    <w:rsid w:val="005B6208"/>
    <w:rsid w:val="005B6AA3"/>
    <w:rsid w:val="005B6F1B"/>
    <w:rsid w:val="005C016A"/>
    <w:rsid w:val="005C0C0D"/>
    <w:rsid w:val="005C0C2E"/>
    <w:rsid w:val="005C1769"/>
    <w:rsid w:val="005C3521"/>
    <w:rsid w:val="005C360E"/>
    <w:rsid w:val="005C4643"/>
    <w:rsid w:val="005C4819"/>
    <w:rsid w:val="005C4BCB"/>
    <w:rsid w:val="005C4E50"/>
    <w:rsid w:val="005C68DA"/>
    <w:rsid w:val="005C7CAC"/>
    <w:rsid w:val="005D0D0F"/>
    <w:rsid w:val="005D2E18"/>
    <w:rsid w:val="005D498B"/>
    <w:rsid w:val="005D53DD"/>
    <w:rsid w:val="005D6AB4"/>
    <w:rsid w:val="005D6BE6"/>
    <w:rsid w:val="005D6C59"/>
    <w:rsid w:val="005D798C"/>
    <w:rsid w:val="005D7CDB"/>
    <w:rsid w:val="005E02CE"/>
    <w:rsid w:val="005E0DB5"/>
    <w:rsid w:val="005E1648"/>
    <w:rsid w:val="005E194D"/>
    <w:rsid w:val="005E2EC2"/>
    <w:rsid w:val="005E32EB"/>
    <w:rsid w:val="005E373B"/>
    <w:rsid w:val="005E379F"/>
    <w:rsid w:val="005E4486"/>
    <w:rsid w:val="005E4A4D"/>
    <w:rsid w:val="005E5303"/>
    <w:rsid w:val="005F01ED"/>
    <w:rsid w:val="005F074E"/>
    <w:rsid w:val="005F083C"/>
    <w:rsid w:val="005F0A54"/>
    <w:rsid w:val="005F0CF7"/>
    <w:rsid w:val="005F11EC"/>
    <w:rsid w:val="005F1340"/>
    <w:rsid w:val="005F1699"/>
    <w:rsid w:val="005F2738"/>
    <w:rsid w:val="005F3AD7"/>
    <w:rsid w:val="005F4241"/>
    <w:rsid w:val="005F4605"/>
    <w:rsid w:val="005F5584"/>
    <w:rsid w:val="005F6467"/>
    <w:rsid w:val="005F6EEB"/>
    <w:rsid w:val="005F7F99"/>
    <w:rsid w:val="0060091D"/>
    <w:rsid w:val="00600EB3"/>
    <w:rsid w:val="00602F3B"/>
    <w:rsid w:val="006037B9"/>
    <w:rsid w:val="00603939"/>
    <w:rsid w:val="00604E6F"/>
    <w:rsid w:val="00607B26"/>
    <w:rsid w:val="00607F7C"/>
    <w:rsid w:val="00611A24"/>
    <w:rsid w:val="00611C94"/>
    <w:rsid w:val="006141DA"/>
    <w:rsid w:val="00615687"/>
    <w:rsid w:val="00615A8C"/>
    <w:rsid w:val="00615F89"/>
    <w:rsid w:val="006166AB"/>
    <w:rsid w:val="0062307D"/>
    <w:rsid w:val="00623A39"/>
    <w:rsid w:val="00623A90"/>
    <w:rsid w:val="00623DBC"/>
    <w:rsid w:val="00624507"/>
    <w:rsid w:val="0062720A"/>
    <w:rsid w:val="006278EB"/>
    <w:rsid w:val="00627A89"/>
    <w:rsid w:val="00627FFD"/>
    <w:rsid w:val="0063165B"/>
    <w:rsid w:val="006320A2"/>
    <w:rsid w:val="006348A7"/>
    <w:rsid w:val="00634975"/>
    <w:rsid w:val="00634DA5"/>
    <w:rsid w:val="00635399"/>
    <w:rsid w:val="006355BC"/>
    <w:rsid w:val="0063731D"/>
    <w:rsid w:val="00640A45"/>
    <w:rsid w:val="00642792"/>
    <w:rsid w:val="006430E0"/>
    <w:rsid w:val="006443E9"/>
    <w:rsid w:val="00644A5F"/>
    <w:rsid w:val="00646007"/>
    <w:rsid w:val="006508B5"/>
    <w:rsid w:val="0065157E"/>
    <w:rsid w:val="00653D47"/>
    <w:rsid w:val="00653FCE"/>
    <w:rsid w:val="00655512"/>
    <w:rsid w:val="0065559C"/>
    <w:rsid w:val="006560D3"/>
    <w:rsid w:val="00657242"/>
    <w:rsid w:val="006606D7"/>
    <w:rsid w:val="006607AC"/>
    <w:rsid w:val="0066289E"/>
    <w:rsid w:val="0066337E"/>
    <w:rsid w:val="006635AA"/>
    <w:rsid w:val="00664BF1"/>
    <w:rsid w:val="006663E5"/>
    <w:rsid w:val="00666AE8"/>
    <w:rsid w:val="00666C46"/>
    <w:rsid w:val="00666DAE"/>
    <w:rsid w:val="00667780"/>
    <w:rsid w:val="0067165E"/>
    <w:rsid w:val="006726E9"/>
    <w:rsid w:val="00672847"/>
    <w:rsid w:val="00673116"/>
    <w:rsid w:val="00673860"/>
    <w:rsid w:val="006738F8"/>
    <w:rsid w:val="00674EC0"/>
    <w:rsid w:val="00675F8C"/>
    <w:rsid w:val="0067619F"/>
    <w:rsid w:val="0067649F"/>
    <w:rsid w:val="006776CF"/>
    <w:rsid w:val="00682C32"/>
    <w:rsid w:val="0068318A"/>
    <w:rsid w:val="006840B2"/>
    <w:rsid w:val="00684712"/>
    <w:rsid w:val="0068778A"/>
    <w:rsid w:val="00690AD3"/>
    <w:rsid w:val="00692A07"/>
    <w:rsid w:val="00693035"/>
    <w:rsid w:val="00694E0D"/>
    <w:rsid w:val="00695163"/>
    <w:rsid w:val="0069560B"/>
    <w:rsid w:val="00695683"/>
    <w:rsid w:val="00696ECE"/>
    <w:rsid w:val="006A261F"/>
    <w:rsid w:val="006A26F1"/>
    <w:rsid w:val="006A2B05"/>
    <w:rsid w:val="006A3F38"/>
    <w:rsid w:val="006A57A5"/>
    <w:rsid w:val="006A5924"/>
    <w:rsid w:val="006B04D2"/>
    <w:rsid w:val="006B18C6"/>
    <w:rsid w:val="006B1D18"/>
    <w:rsid w:val="006B20B5"/>
    <w:rsid w:val="006B24E4"/>
    <w:rsid w:val="006B26A7"/>
    <w:rsid w:val="006B3DCF"/>
    <w:rsid w:val="006B5EF7"/>
    <w:rsid w:val="006B5F3F"/>
    <w:rsid w:val="006B6887"/>
    <w:rsid w:val="006B798A"/>
    <w:rsid w:val="006C009D"/>
    <w:rsid w:val="006C0547"/>
    <w:rsid w:val="006C1416"/>
    <w:rsid w:val="006C2197"/>
    <w:rsid w:val="006C2FEC"/>
    <w:rsid w:val="006C487F"/>
    <w:rsid w:val="006C54D3"/>
    <w:rsid w:val="006C612E"/>
    <w:rsid w:val="006C6554"/>
    <w:rsid w:val="006D02A9"/>
    <w:rsid w:val="006D0534"/>
    <w:rsid w:val="006D14B4"/>
    <w:rsid w:val="006D2099"/>
    <w:rsid w:val="006D4029"/>
    <w:rsid w:val="006D5381"/>
    <w:rsid w:val="006D5F84"/>
    <w:rsid w:val="006D5FF4"/>
    <w:rsid w:val="006D6283"/>
    <w:rsid w:val="006D6DFC"/>
    <w:rsid w:val="006E009C"/>
    <w:rsid w:val="006E0D51"/>
    <w:rsid w:val="006E191E"/>
    <w:rsid w:val="006E2C96"/>
    <w:rsid w:val="006E3289"/>
    <w:rsid w:val="006E397C"/>
    <w:rsid w:val="006E3E19"/>
    <w:rsid w:val="006E53D5"/>
    <w:rsid w:val="006E5C19"/>
    <w:rsid w:val="006E6531"/>
    <w:rsid w:val="006E7805"/>
    <w:rsid w:val="006E7EEB"/>
    <w:rsid w:val="006F1F41"/>
    <w:rsid w:val="006F3C42"/>
    <w:rsid w:val="006F3F1F"/>
    <w:rsid w:val="006F44C3"/>
    <w:rsid w:val="006F613B"/>
    <w:rsid w:val="006F66FE"/>
    <w:rsid w:val="0070064D"/>
    <w:rsid w:val="00700A40"/>
    <w:rsid w:val="007015DC"/>
    <w:rsid w:val="0070177C"/>
    <w:rsid w:val="0070254A"/>
    <w:rsid w:val="007051F5"/>
    <w:rsid w:val="00705E8D"/>
    <w:rsid w:val="00706BBF"/>
    <w:rsid w:val="0070723E"/>
    <w:rsid w:val="00711F8C"/>
    <w:rsid w:val="00711FBA"/>
    <w:rsid w:val="00712B96"/>
    <w:rsid w:val="00714230"/>
    <w:rsid w:val="00715834"/>
    <w:rsid w:val="00715AC9"/>
    <w:rsid w:val="007161EB"/>
    <w:rsid w:val="007164A7"/>
    <w:rsid w:val="007173EC"/>
    <w:rsid w:val="00717FBF"/>
    <w:rsid w:val="00721BD7"/>
    <w:rsid w:val="00726CC8"/>
    <w:rsid w:val="00726D66"/>
    <w:rsid w:val="0072790F"/>
    <w:rsid w:val="007301B1"/>
    <w:rsid w:val="00730A68"/>
    <w:rsid w:val="00731251"/>
    <w:rsid w:val="00732841"/>
    <w:rsid w:val="007332AE"/>
    <w:rsid w:val="007336EC"/>
    <w:rsid w:val="00735BDD"/>
    <w:rsid w:val="00736215"/>
    <w:rsid w:val="0073631D"/>
    <w:rsid w:val="007364AC"/>
    <w:rsid w:val="00736F1B"/>
    <w:rsid w:val="00737858"/>
    <w:rsid w:val="00737901"/>
    <w:rsid w:val="00737E37"/>
    <w:rsid w:val="00740712"/>
    <w:rsid w:val="00743F15"/>
    <w:rsid w:val="00744B8E"/>
    <w:rsid w:val="00745119"/>
    <w:rsid w:val="00747E00"/>
    <w:rsid w:val="00747FF2"/>
    <w:rsid w:val="00750A76"/>
    <w:rsid w:val="00751AC3"/>
    <w:rsid w:val="007546B0"/>
    <w:rsid w:val="007551EE"/>
    <w:rsid w:val="007555A3"/>
    <w:rsid w:val="00755B61"/>
    <w:rsid w:val="00755ED0"/>
    <w:rsid w:val="007561D8"/>
    <w:rsid w:val="007569E5"/>
    <w:rsid w:val="00760F2E"/>
    <w:rsid w:val="0076136F"/>
    <w:rsid w:val="007614B7"/>
    <w:rsid w:val="00761CA3"/>
    <w:rsid w:val="00762B85"/>
    <w:rsid w:val="00763A6F"/>
    <w:rsid w:val="00764F02"/>
    <w:rsid w:val="007658D7"/>
    <w:rsid w:val="00766474"/>
    <w:rsid w:val="00766524"/>
    <w:rsid w:val="00766E4A"/>
    <w:rsid w:val="00767EB4"/>
    <w:rsid w:val="007710F8"/>
    <w:rsid w:val="00771EBC"/>
    <w:rsid w:val="00772238"/>
    <w:rsid w:val="0077328D"/>
    <w:rsid w:val="00774825"/>
    <w:rsid w:val="0077651C"/>
    <w:rsid w:val="0077695A"/>
    <w:rsid w:val="00776EE9"/>
    <w:rsid w:val="00777BDA"/>
    <w:rsid w:val="00777DC3"/>
    <w:rsid w:val="00781B85"/>
    <w:rsid w:val="007852EE"/>
    <w:rsid w:val="007852FD"/>
    <w:rsid w:val="007856E9"/>
    <w:rsid w:val="00785C17"/>
    <w:rsid w:val="00785CC0"/>
    <w:rsid w:val="00787584"/>
    <w:rsid w:val="00787798"/>
    <w:rsid w:val="0079265C"/>
    <w:rsid w:val="007932BF"/>
    <w:rsid w:val="00793479"/>
    <w:rsid w:val="0079365B"/>
    <w:rsid w:val="00793A0C"/>
    <w:rsid w:val="00794625"/>
    <w:rsid w:val="0079644A"/>
    <w:rsid w:val="00797535"/>
    <w:rsid w:val="0079768C"/>
    <w:rsid w:val="007A0D51"/>
    <w:rsid w:val="007A0E3F"/>
    <w:rsid w:val="007A1E09"/>
    <w:rsid w:val="007A20FC"/>
    <w:rsid w:val="007A33B9"/>
    <w:rsid w:val="007A34DB"/>
    <w:rsid w:val="007A3D23"/>
    <w:rsid w:val="007A3D85"/>
    <w:rsid w:val="007A402E"/>
    <w:rsid w:val="007A48B8"/>
    <w:rsid w:val="007A5757"/>
    <w:rsid w:val="007A73C6"/>
    <w:rsid w:val="007A7D59"/>
    <w:rsid w:val="007B2182"/>
    <w:rsid w:val="007B2D71"/>
    <w:rsid w:val="007B391C"/>
    <w:rsid w:val="007B3EEE"/>
    <w:rsid w:val="007B5708"/>
    <w:rsid w:val="007B6033"/>
    <w:rsid w:val="007B6B8C"/>
    <w:rsid w:val="007C0D61"/>
    <w:rsid w:val="007C205D"/>
    <w:rsid w:val="007C2E2C"/>
    <w:rsid w:val="007C4212"/>
    <w:rsid w:val="007C4AF1"/>
    <w:rsid w:val="007C4FE3"/>
    <w:rsid w:val="007C5279"/>
    <w:rsid w:val="007C5F00"/>
    <w:rsid w:val="007C639F"/>
    <w:rsid w:val="007C6D6A"/>
    <w:rsid w:val="007C7C23"/>
    <w:rsid w:val="007D0F02"/>
    <w:rsid w:val="007D1448"/>
    <w:rsid w:val="007D15AF"/>
    <w:rsid w:val="007D1ECB"/>
    <w:rsid w:val="007D282E"/>
    <w:rsid w:val="007D4D2E"/>
    <w:rsid w:val="007D4D60"/>
    <w:rsid w:val="007E07C3"/>
    <w:rsid w:val="007E0B46"/>
    <w:rsid w:val="007E322C"/>
    <w:rsid w:val="007E3D82"/>
    <w:rsid w:val="007E4B6C"/>
    <w:rsid w:val="007E624C"/>
    <w:rsid w:val="007E6A4D"/>
    <w:rsid w:val="007F19F3"/>
    <w:rsid w:val="007F1ADF"/>
    <w:rsid w:val="007F1BC7"/>
    <w:rsid w:val="007F3617"/>
    <w:rsid w:val="007F39A8"/>
    <w:rsid w:val="007F3ADA"/>
    <w:rsid w:val="007F577F"/>
    <w:rsid w:val="007F58E3"/>
    <w:rsid w:val="007F5F0F"/>
    <w:rsid w:val="007F624C"/>
    <w:rsid w:val="007F6B07"/>
    <w:rsid w:val="007F74DA"/>
    <w:rsid w:val="0080123D"/>
    <w:rsid w:val="008026C0"/>
    <w:rsid w:val="00803CA6"/>
    <w:rsid w:val="00804E36"/>
    <w:rsid w:val="00805E48"/>
    <w:rsid w:val="00805F1F"/>
    <w:rsid w:val="0080603F"/>
    <w:rsid w:val="00806726"/>
    <w:rsid w:val="008105AC"/>
    <w:rsid w:val="00810BFF"/>
    <w:rsid w:val="008116A6"/>
    <w:rsid w:val="00812941"/>
    <w:rsid w:val="00812D62"/>
    <w:rsid w:val="008138E6"/>
    <w:rsid w:val="00813BBD"/>
    <w:rsid w:val="00813C05"/>
    <w:rsid w:val="00813F42"/>
    <w:rsid w:val="00814834"/>
    <w:rsid w:val="0081526A"/>
    <w:rsid w:val="008155EE"/>
    <w:rsid w:val="008160D6"/>
    <w:rsid w:val="00816A22"/>
    <w:rsid w:val="00816DBC"/>
    <w:rsid w:val="00821911"/>
    <w:rsid w:val="00822F7C"/>
    <w:rsid w:val="0082346E"/>
    <w:rsid w:val="00824C09"/>
    <w:rsid w:val="00824CE7"/>
    <w:rsid w:val="0082618D"/>
    <w:rsid w:val="0083017F"/>
    <w:rsid w:val="008301C9"/>
    <w:rsid w:val="008314C2"/>
    <w:rsid w:val="008332D1"/>
    <w:rsid w:val="008358C6"/>
    <w:rsid w:val="00837960"/>
    <w:rsid w:val="00837EB2"/>
    <w:rsid w:val="00841452"/>
    <w:rsid w:val="00842093"/>
    <w:rsid w:val="00843100"/>
    <w:rsid w:val="00844C2C"/>
    <w:rsid w:val="00847599"/>
    <w:rsid w:val="00847B18"/>
    <w:rsid w:val="0085004D"/>
    <w:rsid w:val="00851942"/>
    <w:rsid w:val="00851D56"/>
    <w:rsid w:val="00853D95"/>
    <w:rsid w:val="0085672C"/>
    <w:rsid w:val="0085773C"/>
    <w:rsid w:val="00860001"/>
    <w:rsid w:val="008600C1"/>
    <w:rsid w:val="00861B9B"/>
    <w:rsid w:val="00862138"/>
    <w:rsid w:val="00863423"/>
    <w:rsid w:val="0086397E"/>
    <w:rsid w:val="00863FEE"/>
    <w:rsid w:val="008642C8"/>
    <w:rsid w:val="008677BE"/>
    <w:rsid w:val="008704B1"/>
    <w:rsid w:val="00870B2E"/>
    <w:rsid w:val="00871F7E"/>
    <w:rsid w:val="00872440"/>
    <w:rsid w:val="0087278A"/>
    <w:rsid w:val="008737A2"/>
    <w:rsid w:val="0087468C"/>
    <w:rsid w:val="0087786E"/>
    <w:rsid w:val="00880CB2"/>
    <w:rsid w:val="00881752"/>
    <w:rsid w:val="00882D31"/>
    <w:rsid w:val="00884AFF"/>
    <w:rsid w:val="00885033"/>
    <w:rsid w:val="008854E0"/>
    <w:rsid w:val="0088594F"/>
    <w:rsid w:val="008913FE"/>
    <w:rsid w:val="00891A49"/>
    <w:rsid w:val="00892072"/>
    <w:rsid w:val="0089406F"/>
    <w:rsid w:val="008951BD"/>
    <w:rsid w:val="00895A70"/>
    <w:rsid w:val="00895F7D"/>
    <w:rsid w:val="008965E8"/>
    <w:rsid w:val="00896910"/>
    <w:rsid w:val="00896A87"/>
    <w:rsid w:val="008A1099"/>
    <w:rsid w:val="008A123C"/>
    <w:rsid w:val="008A1A4C"/>
    <w:rsid w:val="008A267A"/>
    <w:rsid w:val="008A48AF"/>
    <w:rsid w:val="008A4A8A"/>
    <w:rsid w:val="008A549E"/>
    <w:rsid w:val="008A5F05"/>
    <w:rsid w:val="008B0206"/>
    <w:rsid w:val="008B0F4A"/>
    <w:rsid w:val="008B136B"/>
    <w:rsid w:val="008B193D"/>
    <w:rsid w:val="008B1F77"/>
    <w:rsid w:val="008B5579"/>
    <w:rsid w:val="008C00DE"/>
    <w:rsid w:val="008C0D11"/>
    <w:rsid w:val="008C1236"/>
    <w:rsid w:val="008C2AF9"/>
    <w:rsid w:val="008C3D68"/>
    <w:rsid w:val="008C4AB8"/>
    <w:rsid w:val="008C519B"/>
    <w:rsid w:val="008C7431"/>
    <w:rsid w:val="008D22E4"/>
    <w:rsid w:val="008D2E66"/>
    <w:rsid w:val="008D41BB"/>
    <w:rsid w:val="008D6321"/>
    <w:rsid w:val="008D65F1"/>
    <w:rsid w:val="008D6844"/>
    <w:rsid w:val="008D7377"/>
    <w:rsid w:val="008D78E3"/>
    <w:rsid w:val="008D7CAD"/>
    <w:rsid w:val="008E2A3A"/>
    <w:rsid w:val="008E387A"/>
    <w:rsid w:val="008E3B2B"/>
    <w:rsid w:val="008E3BFB"/>
    <w:rsid w:val="008E3D0F"/>
    <w:rsid w:val="008E3EE5"/>
    <w:rsid w:val="008E4C13"/>
    <w:rsid w:val="008E4DB2"/>
    <w:rsid w:val="008E5EB6"/>
    <w:rsid w:val="008E701A"/>
    <w:rsid w:val="008E7855"/>
    <w:rsid w:val="008F17F8"/>
    <w:rsid w:val="008F1A9F"/>
    <w:rsid w:val="008F2A57"/>
    <w:rsid w:val="008F2E23"/>
    <w:rsid w:val="008F3FBD"/>
    <w:rsid w:val="008F491A"/>
    <w:rsid w:val="008F5C92"/>
    <w:rsid w:val="008F6500"/>
    <w:rsid w:val="008F679E"/>
    <w:rsid w:val="008F7684"/>
    <w:rsid w:val="009003EB"/>
    <w:rsid w:val="00903010"/>
    <w:rsid w:val="0090356A"/>
    <w:rsid w:val="0090363C"/>
    <w:rsid w:val="00903D14"/>
    <w:rsid w:val="009050A4"/>
    <w:rsid w:val="00905277"/>
    <w:rsid w:val="0090705D"/>
    <w:rsid w:val="009072D5"/>
    <w:rsid w:val="009115B3"/>
    <w:rsid w:val="0091167D"/>
    <w:rsid w:val="009118D5"/>
    <w:rsid w:val="00914CAC"/>
    <w:rsid w:val="00914EB4"/>
    <w:rsid w:val="009166B0"/>
    <w:rsid w:val="00916830"/>
    <w:rsid w:val="00916F49"/>
    <w:rsid w:val="00917FEC"/>
    <w:rsid w:val="0092096B"/>
    <w:rsid w:val="009219AB"/>
    <w:rsid w:val="00921D7A"/>
    <w:rsid w:val="0092225B"/>
    <w:rsid w:val="00924499"/>
    <w:rsid w:val="00924E4C"/>
    <w:rsid w:val="00925160"/>
    <w:rsid w:val="00926E53"/>
    <w:rsid w:val="00927A4D"/>
    <w:rsid w:val="009311CA"/>
    <w:rsid w:val="00932D12"/>
    <w:rsid w:val="00932D74"/>
    <w:rsid w:val="00933921"/>
    <w:rsid w:val="00933F0F"/>
    <w:rsid w:val="009346A5"/>
    <w:rsid w:val="00934A35"/>
    <w:rsid w:val="00934D6A"/>
    <w:rsid w:val="009362D4"/>
    <w:rsid w:val="009372F1"/>
    <w:rsid w:val="00937324"/>
    <w:rsid w:val="00940046"/>
    <w:rsid w:val="0094097C"/>
    <w:rsid w:val="009413A6"/>
    <w:rsid w:val="00945D41"/>
    <w:rsid w:val="00947DC9"/>
    <w:rsid w:val="009509F4"/>
    <w:rsid w:val="00952F1A"/>
    <w:rsid w:val="00954469"/>
    <w:rsid w:val="00954A25"/>
    <w:rsid w:val="00954A85"/>
    <w:rsid w:val="00956E90"/>
    <w:rsid w:val="00957255"/>
    <w:rsid w:val="0095749B"/>
    <w:rsid w:val="00957DAD"/>
    <w:rsid w:val="00960E2E"/>
    <w:rsid w:val="00961B38"/>
    <w:rsid w:val="00961EEB"/>
    <w:rsid w:val="0096275B"/>
    <w:rsid w:val="00965331"/>
    <w:rsid w:val="009654AF"/>
    <w:rsid w:val="00965AC5"/>
    <w:rsid w:val="00967BC7"/>
    <w:rsid w:val="00970A0D"/>
    <w:rsid w:val="00970A89"/>
    <w:rsid w:val="00970B78"/>
    <w:rsid w:val="0097283C"/>
    <w:rsid w:val="00972A68"/>
    <w:rsid w:val="00973550"/>
    <w:rsid w:val="009757A4"/>
    <w:rsid w:val="00976499"/>
    <w:rsid w:val="00976E1E"/>
    <w:rsid w:val="00980735"/>
    <w:rsid w:val="009810DD"/>
    <w:rsid w:val="00981388"/>
    <w:rsid w:val="00983057"/>
    <w:rsid w:val="009831EA"/>
    <w:rsid w:val="00983CCC"/>
    <w:rsid w:val="009861A1"/>
    <w:rsid w:val="009874C6"/>
    <w:rsid w:val="009879E0"/>
    <w:rsid w:val="009902C7"/>
    <w:rsid w:val="00990AC0"/>
    <w:rsid w:val="00990ADD"/>
    <w:rsid w:val="0099125F"/>
    <w:rsid w:val="0099149E"/>
    <w:rsid w:val="00991996"/>
    <w:rsid w:val="009926F6"/>
    <w:rsid w:val="00995527"/>
    <w:rsid w:val="009966B4"/>
    <w:rsid w:val="00997E86"/>
    <w:rsid w:val="009A02E8"/>
    <w:rsid w:val="009A1939"/>
    <w:rsid w:val="009A2360"/>
    <w:rsid w:val="009A2C0B"/>
    <w:rsid w:val="009A310C"/>
    <w:rsid w:val="009A4608"/>
    <w:rsid w:val="009A4CDD"/>
    <w:rsid w:val="009A53ED"/>
    <w:rsid w:val="009A5578"/>
    <w:rsid w:val="009A5FA3"/>
    <w:rsid w:val="009A6F47"/>
    <w:rsid w:val="009A7005"/>
    <w:rsid w:val="009A76AD"/>
    <w:rsid w:val="009A7C0B"/>
    <w:rsid w:val="009A7C69"/>
    <w:rsid w:val="009B1AF5"/>
    <w:rsid w:val="009B23D6"/>
    <w:rsid w:val="009B2FDA"/>
    <w:rsid w:val="009B33A1"/>
    <w:rsid w:val="009B33F6"/>
    <w:rsid w:val="009B35F5"/>
    <w:rsid w:val="009B6A3B"/>
    <w:rsid w:val="009B792D"/>
    <w:rsid w:val="009C1038"/>
    <w:rsid w:val="009C2417"/>
    <w:rsid w:val="009C30A5"/>
    <w:rsid w:val="009C4855"/>
    <w:rsid w:val="009C71A9"/>
    <w:rsid w:val="009D3145"/>
    <w:rsid w:val="009D3408"/>
    <w:rsid w:val="009D4215"/>
    <w:rsid w:val="009D4540"/>
    <w:rsid w:val="009D4548"/>
    <w:rsid w:val="009D4E25"/>
    <w:rsid w:val="009D50F3"/>
    <w:rsid w:val="009D679B"/>
    <w:rsid w:val="009D6F52"/>
    <w:rsid w:val="009E0452"/>
    <w:rsid w:val="009E0DD3"/>
    <w:rsid w:val="009E1C1D"/>
    <w:rsid w:val="009E3559"/>
    <w:rsid w:val="009E3E6C"/>
    <w:rsid w:val="009E51AA"/>
    <w:rsid w:val="009E60BB"/>
    <w:rsid w:val="009E61EC"/>
    <w:rsid w:val="009E6B38"/>
    <w:rsid w:val="009E7B99"/>
    <w:rsid w:val="009F237B"/>
    <w:rsid w:val="009F3141"/>
    <w:rsid w:val="009F4F11"/>
    <w:rsid w:val="009F591C"/>
    <w:rsid w:val="009F6064"/>
    <w:rsid w:val="009F6D43"/>
    <w:rsid w:val="00A0160F"/>
    <w:rsid w:val="00A03145"/>
    <w:rsid w:val="00A034D4"/>
    <w:rsid w:val="00A03FD1"/>
    <w:rsid w:val="00A067DD"/>
    <w:rsid w:val="00A06867"/>
    <w:rsid w:val="00A075EE"/>
    <w:rsid w:val="00A11028"/>
    <w:rsid w:val="00A1211A"/>
    <w:rsid w:val="00A1338A"/>
    <w:rsid w:val="00A15CBC"/>
    <w:rsid w:val="00A16D3E"/>
    <w:rsid w:val="00A17177"/>
    <w:rsid w:val="00A17CCF"/>
    <w:rsid w:val="00A21218"/>
    <w:rsid w:val="00A2181C"/>
    <w:rsid w:val="00A22A28"/>
    <w:rsid w:val="00A22B26"/>
    <w:rsid w:val="00A23597"/>
    <w:rsid w:val="00A23E25"/>
    <w:rsid w:val="00A24CF7"/>
    <w:rsid w:val="00A25A7F"/>
    <w:rsid w:val="00A25DBA"/>
    <w:rsid w:val="00A2641C"/>
    <w:rsid w:val="00A27D6D"/>
    <w:rsid w:val="00A30361"/>
    <w:rsid w:val="00A30482"/>
    <w:rsid w:val="00A304B4"/>
    <w:rsid w:val="00A30A61"/>
    <w:rsid w:val="00A328B8"/>
    <w:rsid w:val="00A32EDD"/>
    <w:rsid w:val="00A3566A"/>
    <w:rsid w:val="00A35E66"/>
    <w:rsid w:val="00A36714"/>
    <w:rsid w:val="00A37514"/>
    <w:rsid w:val="00A40521"/>
    <w:rsid w:val="00A40AC8"/>
    <w:rsid w:val="00A41178"/>
    <w:rsid w:val="00A41A4A"/>
    <w:rsid w:val="00A41A52"/>
    <w:rsid w:val="00A43E9C"/>
    <w:rsid w:val="00A454F9"/>
    <w:rsid w:val="00A455C5"/>
    <w:rsid w:val="00A459ED"/>
    <w:rsid w:val="00A45C73"/>
    <w:rsid w:val="00A4737E"/>
    <w:rsid w:val="00A47683"/>
    <w:rsid w:val="00A50B55"/>
    <w:rsid w:val="00A510CA"/>
    <w:rsid w:val="00A513EE"/>
    <w:rsid w:val="00A51938"/>
    <w:rsid w:val="00A52358"/>
    <w:rsid w:val="00A523F2"/>
    <w:rsid w:val="00A541AC"/>
    <w:rsid w:val="00A545C9"/>
    <w:rsid w:val="00A572B1"/>
    <w:rsid w:val="00A57DE9"/>
    <w:rsid w:val="00A60C26"/>
    <w:rsid w:val="00A63197"/>
    <w:rsid w:val="00A6328E"/>
    <w:rsid w:val="00A644F0"/>
    <w:rsid w:val="00A656B2"/>
    <w:rsid w:val="00A67FAB"/>
    <w:rsid w:val="00A72EC7"/>
    <w:rsid w:val="00A73538"/>
    <w:rsid w:val="00A7409B"/>
    <w:rsid w:val="00A741FD"/>
    <w:rsid w:val="00A74261"/>
    <w:rsid w:val="00A74F95"/>
    <w:rsid w:val="00A7575D"/>
    <w:rsid w:val="00A75F1D"/>
    <w:rsid w:val="00A7767F"/>
    <w:rsid w:val="00A80624"/>
    <w:rsid w:val="00A86BA5"/>
    <w:rsid w:val="00A86DDD"/>
    <w:rsid w:val="00A87AA5"/>
    <w:rsid w:val="00A93F6D"/>
    <w:rsid w:val="00A94B1A"/>
    <w:rsid w:val="00A94E08"/>
    <w:rsid w:val="00A952D0"/>
    <w:rsid w:val="00A97E5E"/>
    <w:rsid w:val="00AA1185"/>
    <w:rsid w:val="00AA1937"/>
    <w:rsid w:val="00AA1E42"/>
    <w:rsid w:val="00AA1F3F"/>
    <w:rsid w:val="00AA2F91"/>
    <w:rsid w:val="00AA510A"/>
    <w:rsid w:val="00AA571F"/>
    <w:rsid w:val="00AA7309"/>
    <w:rsid w:val="00AB04EF"/>
    <w:rsid w:val="00AB1254"/>
    <w:rsid w:val="00AB1655"/>
    <w:rsid w:val="00AB2577"/>
    <w:rsid w:val="00AB2B84"/>
    <w:rsid w:val="00AB324F"/>
    <w:rsid w:val="00AB33B9"/>
    <w:rsid w:val="00AB3CE3"/>
    <w:rsid w:val="00AB43F4"/>
    <w:rsid w:val="00AB5C39"/>
    <w:rsid w:val="00AB5C44"/>
    <w:rsid w:val="00AB5FEE"/>
    <w:rsid w:val="00AB70C2"/>
    <w:rsid w:val="00AB7FD7"/>
    <w:rsid w:val="00AC17A5"/>
    <w:rsid w:val="00AC37C6"/>
    <w:rsid w:val="00AC3C50"/>
    <w:rsid w:val="00AC498C"/>
    <w:rsid w:val="00AC7F59"/>
    <w:rsid w:val="00AD05DC"/>
    <w:rsid w:val="00AD1529"/>
    <w:rsid w:val="00AD1E29"/>
    <w:rsid w:val="00AD2742"/>
    <w:rsid w:val="00AD32BF"/>
    <w:rsid w:val="00AD33A6"/>
    <w:rsid w:val="00AD437F"/>
    <w:rsid w:val="00AD4F14"/>
    <w:rsid w:val="00AD570B"/>
    <w:rsid w:val="00AD642E"/>
    <w:rsid w:val="00AE049B"/>
    <w:rsid w:val="00AE04FE"/>
    <w:rsid w:val="00AE07E7"/>
    <w:rsid w:val="00AE4F3B"/>
    <w:rsid w:val="00AE7BC4"/>
    <w:rsid w:val="00AF000E"/>
    <w:rsid w:val="00AF4425"/>
    <w:rsid w:val="00AF4BC8"/>
    <w:rsid w:val="00AF70C5"/>
    <w:rsid w:val="00AF72EC"/>
    <w:rsid w:val="00B0056A"/>
    <w:rsid w:val="00B02A9A"/>
    <w:rsid w:val="00B02B95"/>
    <w:rsid w:val="00B02BCB"/>
    <w:rsid w:val="00B0364A"/>
    <w:rsid w:val="00B049B7"/>
    <w:rsid w:val="00B04BF4"/>
    <w:rsid w:val="00B118B0"/>
    <w:rsid w:val="00B14AF6"/>
    <w:rsid w:val="00B154B8"/>
    <w:rsid w:val="00B1667D"/>
    <w:rsid w:val="00B207B2"/>
    <w:rsid w:val="00B20DF9"/>
    <w:rsid w:val="00B2104C"/>
    <w:rsid w:val="00B214D1"/>
    <w:rsid w:val="00B247B2"/>
    <w:rsid w:val="00B24D8D"/>
    <w:rsid w:val="00B25434"/>
    <w:rsid w:val="00B25ED0"/>
    <w:rsid w:val="00B26CE1"/>
    <w:rsid w:val="00B27794"/>
    <w:rsid w:val="00B278AC"/>
    <w:rsid w:val="00B27C12"/>
    <w:rsid w:val="00B3011D"/>
    <w:rsid w:val="00B31293"/>
    <w:rsid w:val="00B31515"/>
    <w:rsid w:val="00B326EF"/>
    <w:rsid w:val="00B34A3A"/>
    <w:rsid w:val="00B36035"/>
    <w:rsid w:val="00B36797"/>
    <w:rsid w:val="00B37F47"/>
    <w:rsid w:val="00B402A8"/>
    <w:rsid w:val="00B40D9F"/>
    <w:rsid w:val="00B4364F"/>
    <w:rsid w:val="00B43A11"/>
    <w:rsid w:val="00B45643"/>
    <w:rsid w:val="00B46627"/>
    <w:rsid w:val="00B47306"/>
    <w:rsid w:val="00B51A89"/>
    <w:rsid w:val="00B52B97"/>
    <w:rsid w:val="00B5309C"/>
    <w:rsid w:val="00B541F3"/>
    <w:rsid w:val="00B558BC"/>
    <w:rsid w:val="00B56A15"/>
    <w:rsid w:val="00B56CCB"/>
    <w:rsid w:val="00B57648"/>
    <w:rsid w:val="00B616BD"/>
    <w:rsid w:val="00B62C08"/>
    <w:rsid w:val="00B630F9"/>
    <w:rsid w:val="00B63AB6"/>
    <w:rsid w:val="00B651B5"/>
    <w:rsid w:val="00B65474"/>
    <w:rsid w:val="00B654BC"/>
    <w:rsid w:val="00B65EC7"/>
    <w:rsid w:val="00B67005"/>
    <w:rsid w:val="00B72B1A"/>
    <w:rsid w:val="00B7422F"/>
    <w:rsid w:val="00B751B6"/>
    <w:rsid w:val="00B80B43"/>
    <w:rsid w:val="00B81458"/>
    <w:rsid w:val="00B83338"/>
    <w:rsid w:val="00B84EE9"/>
    <w:rsid w:val="00B84EF6"/>
    <w:rsid w:val="00B85B8D"/>
    <w:rsid w:val="00B85E39"/>
    <w:rsid w:val="00B864BC"/>
    <w:rsid w:val="00B90405"/>
    <w:rsid w:val="00B90485"/>
    <w:rsid w:val="00B919F1"/>
    <w:rsid w:val="00B937CC"/>
    <w:rsid w:val="00B939BE"/>
    <w:rsid w:val="00B94659"/>
    <w:rsid w:val="00B94815"/>
    <w:rsid w:val="00B94DE7"/>
    <w:rsid w:val="00B9563E"/>
    <w:rsid w:val="00B95921"/>
    <w:rsid w:val="00B96642"/>
    <w:rsid w:val="00B96B90"/>
    <w:rsid w:val="00B97E9A"/>
    <w:rsid w:val="00BA0155"/>
    <w:rsid w:val="00BA1A94"/>
    <w:rsid w:val="00BA1E31"/>
    <w:rsid w:val="00BA358A"/>
    <w:rsid w:val="00BA41D7"/>
    <w:rsid w:val="00BA5D49"/>
    <w:rsid w:val="00BA6638"/>
    <w:rsid w:val="00BA6E01"/>
    <w:rsid w:val="00BA742F"/>
    <w:rsid w:val="00BA74FA"/>
    <w:rsid w:val="00BB05EF"/>
    <w:rsid w:val="00BB0EB8"/>
    <w:rsid w:val="00BB39BA"/>
    <w:rsid w:val="00BB42D7"/>
    <w:rsid w:val="00BB5E6D"/>
    <w:rsid w:val="00BB75BB"/>
    <w:rsid w:val="00BB76BD"/>
    <w:rsid w:val="00BC10C5"/>
    <w:rsid w:val="00BC152A"/>
    <w:rsid w:val="00BC1B79"/>
    <w:rsid w:val="00BC2356"/>
    <w:rsid w:val="00BC29D0"/>
    <w:rsid w:val="00BC2D22"/>
    <w:rsid w:val="00BC3083"/>
    <w:rsid w:val="00BC35D4"/>
    <w:rsid w:val="00BC5669"/>
    <w:rsid w:val="00BC6D67"/>
    <w:rsid w:val="00BC6E4B"/>
    <w:rsid w:val="00BC7CC5"/>
    <w:rsid w:val="00BD06A4"/>
    <w:rsid w:val="00BD1597"/>
    <w:rsid w:val="00BD24DC"/>
    <w:rsid w:val="00BD27BD"/>
    <w:rsid w:val="00BD3EB5"/>
    <w:rsid w:val="00BD6E19"/>
    <w:rsid w:val="00BD71E9"/>
    <w:rsid w:val="00BD764D"/>
    <w:rsid w:val="00BD76CA"/>
    <w:rsid w:val="00BD77DD"/>
    <w:rsid w:val="00BD7F52"/>
    <w:rsid w:val="00BE05A7"/>
    <w:rsid w:val="00BE08B0"/>
    <w:rsid w:val="00BE1C50"/>
    <w:rsid w:val="00BE1C78"/>
    <w:rsid w:val="00BE2B32"/>
    <w:rsid w:val="00BE4060"/>
    <w:rsid w:val="00BE66A3"/>
    <w:rsid w:val="00BE6E88"/>
    <w:rsid w:val="00BF0CC5"/>
    <w:rsid w:val="00BF51E3"/>
    <w:rsid w:val="00BF5F44"/>
    <w:rsid w:val="00BF6D29"/>
    <w:rsid w:val="00C00993"/>
    <w:rsid w:val="00C00A23"/>
    <w:rsid w:val="00C011BD"/>
    <w:rsid w:val="00C020A9"/>
    <w:rsid w:val="00C02287"/>
    <w:rsid w:val="00C0255D"/>
    <w:rsid w:val="00C05A09"/>
    <w:rsid w:val="00C06091"/>
    <w:rsid w:val="00C06AE0"/>
    <w:rsid w:val="00C06BCA"/>
    <w:rsid w:val="00C07003"/>
    <w:rsid w:val="00C07EBB"/>
    <w:rsid w:val="00C10E65"/>
    <w:rsid w:val="00C11283"/>
    <w:rsid w:val="00C11941"/>
    <w:rsid w:val="00C11A0F"/>
    <w:rsid w:val="00C12AC1"/>
    <w:rsid w:val="00C1385C"/>
    <w:rsid w:val="00C13B16"/>
    <w:rsid w:val="00C1627F"/>
    <w:rsid w:val="00C16310"/>
    <w:rsid w:val="00C164CC"/>
    <w:rsid w:val="00C167B8"/>
    <w:rsid w:val="00C16952"/>
    <w:rsid w:val="00C17239"/>
    <w:rsid w:val="00C176F2"/>
    <w:rsid w:val="00C21A5F"/>
    <w:rsid w:val="00C23FDB"/>
    <w:rsid w:val="00C245E8"/>
    <w:rsid w:val="00C2590F"/>
    <w:rsid w:val="00C2772F"/>
    <w:rsid w:val="00C30CC4"/>
    <w:rsid w:val="00C3239B"/>
    <w:rsid w:val="00C323B8"/>
    <w:rsid w:val="00C331E8"/>
    <w:rsid w:val="00C348ED"/>
    <w:rsid w:val="00C3519C"/>
    <w:rsid w:val="00C35D20"/>
    <w:rsid w:val="00C3640F"/>
    <w:rsid w:val="00C4147A"/>
    <w:rsid w:val="00C42350"/>
    <w:rsid w:val="00C42633"/>
    <w:rsid w:val="00C43C88"/>
    <w:rsid w:val="00C43EAA"/>
    <w:rsid w:val="00C43EC7"/>
    <w:rsid w:val="00C44198"/>
    <w:rsid w:val="00C44F3A"/>
    <w:rsid w:val="00C46071"/>
    <w:rsid w:val="00C468B7"/>
    <w:rsid w:val="00C50DEE"/>
    <w:rsid w:val="00C60BF0"/>
    <w:rsid w:val="00C60E4C"/>
    <w:rsid w:val="00C62554"/>
    <w:rsid w:val="00C62660"/>
    <w:rsid w:val="00C6325A"/>
    <w:rsid w:val="00C64B98"/>
    <w:rsid w:val="00C67218"/>
    <w:rsid w:val="00C708DA"/>
    <w:rsid w:val="00C70CE1"/>
    <w:rsid w:val="00C712B1"/>
    <w:rsid w:val="00C71A4C"/>
    <w:rsid w:val="00C71C70"/>
    <w:rsid w:val="00C71F00"/>
    <w:rsid w:val="00C76EA5"/>
    <w:rsid w:val="00C77402"/>
    <w:rsid w:val="00C77A0E"/>
    <w:rsid w:val="00C80C3B"/>
    <w:rsid w:val="00C80DA9"/>
    <w:rsid w:val="00C810B3"/>
    <w:rsid w:val="00C82313"/>
    <w:rsid w:val="00C8248F"/>
    <w:rsid w:val="00C82B2D"/>
    <w:rsid w:val="00C82F32"/>
    <w:rsid w:val="00C86306"/>
    <w:rsid w:val="00C87B6D"/>
    <w:rsid w:val="00C87BCA"/>
    <w:rsid w:val="00C91D6B"/>
    <w:rsid w:val="00C9238D"/>
    <w:rsid w:val="00C92C2A"/>
    <w:rsid w:val="00C93472"/>
    <w:rsid w:val="00C93FE0"/>
    <w:rsid w:val="00C9441D"/>
    <w:rsid w:val="00C95164"/>
    <w:rsid w:val="00C959AD"/>
    <w:rsid w:val="00C97806"/>
    <w:rsid w:val="00C97ECC"/>
    <w:rsid w:val="00CA0502"/>
    <w:rsid w:val="00CA18C3"/>
    <w:rsid w:val="00CA28F4"/>
    <w:rsid w:val="00CA4027"/>
    <w:rsid w:val="00CA44EB"/>
    <w:rsid w:val="00CA509E"/>
    <w:rsid w:val="00CA5D59"/>
    <w:rsid w:val="00CA6EEB"/>
    <w:rsid w:val="00CA72D2"/>
    <w:rsid w:val="00CA7CD8"/>
    <w:rsid w:val="00CA7EAE"/>
    <w:rsid w:val="00CB06C6"/>
    <w:rsid w:val="00CB0A0C"/>
    <w:rsid w:val="00CB0A56"/>
    <w:rsid w:val="00CB0ED2"/>
    <w:rsid w:val="00CB142F"/>
    <w:rsid w:val="00CB30FE"/>
    <w:rsid w:val="00CB4527"/>
    <w:rsid w:val="00CB511B"/>
    <w:rsid w:val="00CB6AFD"/>
    <w:rsid w:val="00CB6DCE"/>
    <w:rsid w:val="00CB77ED"/>
    <w:rsid w:val="00CB784F"/>
    <w:rsid w:val="00CC1080"/>
    <w:rsid w:val="00CC12A7"/>
    <w:rsid w:val="00CC1D73"/>
    <w:rsid w:val="00CC5D97"/>
    <w:rsid w:val="00CC65D5"/>
    <w:rsid w:val="00CC7126"/>
    <w:rsid w:val="00CC7210"/>
    <w:rsid w:val="00CD0472"/>
    <w:rsid w:val="00CD0E81"/>
    <w:rsid w:val="00CD2216"/>
    <w:rsid w:val="00CD3FC8"/>
    <w:rsid w:val="00CD5596"/>
    <w:rsid w:val="00CD5683"/>
    <w:rsid w:val="00CD5FDF"/>
    <w:rsid w:val="00CD6135"/>
    <w:rsid w:val="00CD67E0"/>
    <w:rsid w:val="00CD7E10"/>
    <w:rsid w:val="00CE4AD1"/>
    <w:rsid w:val="00CE5F6D"/>
    <w:rsid w:val="00CE7914"/>
    <w:rsid w:val="00CF0443"/>
    <w:rsid w:val="00CF17E0"/>
    <w:rsid w:val="00CF1834"/>
    <w:rsid w:val="00CF1F2F"/>
    <w:rsid w:val="00CF2032"/>
    <w:rsid w:val="00CF22D1"/>
    <w:rsid w:val="00CF2682"/>
    <w:rsid w:val="00CF39D8"/>
    <w:rsid w:val="00CF4B28"/>
    <w:rsid w:val="00CF566A"/>
    <w:rsid w:val="00CF60BB"/>
    <w:rsid w:val="00CF7720"/>
    <w:rsid w:val="00CF78B0"/>
    <w:rsid w:val="00D00124"/>
    <w:rsid w:val="00D01CEF"/>
    <w:rsid w:val="00D02642"/>
    <w:rsid w:val="00D02CD5"/>
    <w:rsid w:val="00D0348A"/>
    <w:rsid w:val="00D0352A"/>
    <w:rsid w:val="00D0477D"/>
    <w:rsid w:val="00D04A1B"/>
    <w:rsid w:val="00D04EED"/>
    <w:rsid w:val="00D05B4D"/>
    <w:rsid w:val="00D06C16"/>
    <w:rsid w:val="00D0730E"/>
    <w:rsid w:val="00D10422"/>
    <w:rsid w:val="00D10F91"/>
    <w:rsid w:val="00D1348D"/>
    <w:rsid w:val="00D15C61"/>
    <w:rsid w:val="00D161DB"/>
    <w:rsid w:val="00D16243"/>
    <w:rsid w:val="00D17753"/>
    <w:rsid w:val="00D20295"/>
    <w:rsid w:val="00D23799"/>
    <w:rsid w:val="00D23833"/>
    <w:rsid w:val="00D23ACD"/>
    <w:rsid w:val="00D23BD8"/>
    <w:rsid w:val="00D246CD"/>
    <w:rsid w:val="00D24A25"/>
    <w:rsid w:val="00D261EF"/>
    <w:rsid w:val="00D263DB"/>
    <w:rsid w:val="00D26786"/>
    <w:rsid w:val="00D267A2"/>
    <w:rsid w:val="00D348A7"/>
    <w:rsid w:val="00D35A78"/>
    <w:rsid w:val="00D35D4E"/>
    <w:rsid w:val="00D36016"/>
    <w:rsid w:val="00D369D7"/>
    <w:rsid w:val="00D36E7F"/>
    <w:rsid w:val="00D377AA"/>
    <w:rsid w:val="00D41360"/>
    <w:rsid w:val="00D42169"/>
    <w:rsid w:val="00D4333C"/>
    <w:rsid w:val="00D4338D"/>
    <w:rsid w:val="00D473B4"/>
    <w:rsid w:val="00D47E0C"/>
    <w:rsid w:val="00D5182B"/>
    <w:rsid w:val="00D53614"/>
    <w:rsid w:val="00D542CD"/>
    <w:rsid w:val="00D55D8C"/>
    <w:rsid w:val="00D55E74"/>
    <w:rsid w:val="00D56809"/>
    <w:rsid w:val="00D57DCD"/>
    <w:rsid w:val="00D60471"/>
    <w:rsid w:val="00D605CA"/>
    <w:rsid w:val="00D60DED"/>
    <w:rsid w:val="00D620D2"/>
    <w:rsid w:val="00D64024"/>
    <w:rsid w:val="00D64289"/>
    <w:rsid w:val="00D643E9"/>
    <w:rsid w:val="00D6486C"/>
    <w:rsid w:val="00D65BAC"/>
    <w:rsid w:val="00D66095"/>
    <w:rsid w:val="00D67248"/>
    <w:rsid w:val="00D70B2D"/>
    <w:rsid w:val="00D72691"/>
    <w:rsid w:val="00D73532"/>
    <w:rsid w:val="00D75B06"/>
    <w:rsid w:val="00D803DC"/>
    <w:rsid w:val="00D8057C"/>
    <w:rsid w:val="00D81B3E"/>
    <w:rsid w:val="00D82040"/>
    <w:rsid w:val="00D824F4"/>
    <w:rsid w:val="00D827AF"/>
    <w:rsid w:val="00D83C11"/>
    <w:rsid w:val="00D84534"/>
    <w:rsid w:val="00D86DB8"/>
    <w:rsid w:val="00D87F20"/>
    <w:rsid w:val="00D90625"/>
    <w:rsid w:val="00D9082A"/>
    <w:rsid w:val="00D91449"/>
    <w:rsid w:val="00D91D61"/>
    <w:rsid w:val="00D92168"/>
    <w:rsid w:val="00D92D31"/>
    <w:rsid w:val="00D9340C"/>
    <w:rsid w:val="00D934F6"/>
    <w:rsid w:val="00D93992"/>
    <w:rsid w:val="00D93C62"/>
    <w:rsid w:val="00D94E38"/>
    <w:rsid w:val="00D95078"/>
    <w:rsid w:val="00D9584A"/>
    <w:rsid w:val="00D96167"/>
    <w:rsid w:val="00D97D39"/>
    <w:rsid w:val="00DA0380"/>
    <w:rsid w:val="00DA0AF8"/>
    <w:rsid w:val="00DA0FB4"/>
    <w:rsid w:val="00DA1225"/>
    <w:rsid w:val="00DA22D2"/>
    <w:rsid w:val="00DA23A8"/>
    <w:rsid w:val="00DA2493"/>
    <w:rsid w:val="00DA26BC"/>
    <w:rsid w:val="00DA3F63"/>
    <w:rsid w:val="00DA454B"/>
    <w:rsid w:val="00DA55BF"/>
    <w:rsid w:val="00DA73DA"/>
    <w:rsid w:val="00DB05AB"/>
    <w:rsid w:val="00DB0AEA"/>
    <w:rsid w:val="00DB2692"/>
    <w:rsid w:val="00DB3835"/>
    <w:rsid w:val="00DB7054"/>
    <w:rsid w:val="00DC01FC"/>
    <w:rsid w:val="00DC4976"/>
    <w:rsid w:val="00DC546F"/>
    <w:rsid w:val="00DC63A7"/>
    <w:rsid w:val="00DC734E"/>
    <w:rsid w:val="00DC7815"/>
    <w:rsid w:val="00DD06F5"/>
    <w:rsid w:val="00DD207F"/>
    <w:rsid w:val="00DD24EF"/>
    <w:rsid w:val="00DD3394"/>
    <w:rsid w:val="00DD551D"/>
    <w:rsid w:val="00DD57A0"/>
    <w:rsid w:val="00DD636B"/>
    <w:rsid w:val="00DD75F9"/>
    <w:rsid w:val="00DE05C7"/>
    <w:rsid w:val="00DE068E"/>
    <w:rsid w:val="00DE1F0F"/>
    <w:rsid w:val="00DE308B"/>
    <w:rsid w:val="00DE4184"/>
    <w:rsid w:val="00DE678E"/>
    <w:rsid w:val="00DF084C"/>
    <w:rsid w:val="00DF0A7A"/>
    <w:rsid w:val="00DF24AC"/>
    <w:rsid w:val="00DF3087"/>
    <w:rsid w:val="00DF7221"/>
    <w:rsid w:val="00DF79F8"/>
    <w:rsid w:val="00E02951"/>
    <w:rsid w:val="00E038EC"/>
    <w:rsid w:val="00E04A8A"/>
    <w:rsid w:val="00E05426"/>
    <w:rsid w:val="00E064C3"/>
    <w:rsid w:val="00E10382"/>
    <w:rsid w:val="00E138C0"/>
    <w:rsid w:val="00E13E6F"/>
    <w:rsid w:val="00E17514"/>
    <w:rsid w:val="00E20A13"/>
    <w:rsid w:val="00E21719"/>
    <w:rsid w:val="00E21DA7"/>
    <w:rsid w:val="00E243CC"/>
    <w:rsid w:val="00E25065"/>
    <w:rsid w:val="00E2546A"/>
    <w:rsid w:val="00E26443"/>
    <w:rsid w:val="00E273D5"/>
    <w:rsid w:val="00E300EC"/>
    <w:rsid w:val="00E30D6C"/>
    <w:rsid w:val="00E310BA"/>
    <w:rsid w:val="00E3176C"/>
    <w:rsid w:val="00E31AE1"/>
    <w:rsid w:val="00E32BBD"/>
    <w:rsid w:val="00E33C35"/>
    <w:rsid w:val="00E367E2"/>
    <w:rsid w:val="00E36E76"/>
    <w:rsid w:val="00E41FD9"/>
    <w:rsid w:val="00E42AC3"/>
    <w:rsid w:val="00E42DC2"/>
    <w:rsid w:val="00E43F5A"/>
    <w:rsid w:val="00E4483F"/>
    <w:rsid w:val="00E457C9"/>
    <w:rsid w:val="00E46317"/>
    <w:rsid w:val="00E47CC9"/>
    <w:rsid w:val="00E506FE"/>
    <w:rsid w:val="00E50B82"/>
    <w:rsid w:val="00E51257"/>
    <w:rsid w:val="00E531E8"/>
    <w:rsid w:val="00E53659"/>
    <w:rsid w:val="00E55754"/>
    <w:rsid w:val="00E55ABC"/>
    <w:rsid w:val="00E55B81"/>
    <w:rsid w:val="00E61A0D"/>
    <w:rsid w:val="00E621FD"/>
    <w:rsid w:val="00E6252C"/>
    <w:rsid w:val="00E62619"/>
    <w:rsid w:val="00E62ABA"/>
    <w:rsid w:val="00E634B0"/>
    <w:rsid w:val="00E63A8B"/>
    <w:rsid w:val="00E64A90"/>
    <w:rsid w:val="00E66137"/>
    <w:rsid w:val="00E661B5"/>
    <w:rsid w:val="00E70902"/>
    <w:rsid w:val="00E71F76"/>
    <w:rsid w:val="00E73A59"/>
    <w:rsid w:val="00E7436A"/>
    <w:rsid w:val="00E74CE5"/>
    <w:rsid w:val="00E753AB"/>
    <w:rsid w:val="00E76994"/>
    <w:rsid w:val="00E76D42"/>
    <w:rsid w:val="00E77120"/>
    <w:rsid w:val="00E773CC"/>
    <w:rsid w:val="00E8114A"/>
    <w:rsid w:val="00E81A36"/>
    <w:rsid w:val="00E8342F"/>
    <w:rsid w:val="00E84107"/>
    <w:rsid w:val="00E84BDA"/>
    <w:rsid w:val="00E8798F"/>
    <w:rsid w:val="00E90AE7"/>
    <w:rsid w:val="00E90CBC"/>
    <w:rsid w:val="00E90EF9"/>
    <w:rsid w:val="00E93A0F"/>
    <w:rsid w:val="00E93C46"/>
    <w:rsid w:val="00E94273"/>
    <w:rsid w:val="00E94378"/>
    <w:rsid w:val="00E96053"/>
    <w:rsid w:val="00E962FC"/>
    <w:rsid w:val="00E96A7B"/>
    <w:rsid w:val="00E9715C"/>
    <w:rsid w:val="00EA0A07"/>
    <w:rsid w:val="00EA0A4E"/>
    <w:rsid w:val="00EA0C02"/>
    <w:rsid w:val="00EA1D7D"/>
    <w:rsid w:val="00EA2808"/>
    <w:rsid w:val="00EA2DA1"/>
    <w:rsid w:val="00EA3358"/>
    <w:rsid w:val="00EA417C"/>
    <w:rsid w:val="00EA4A52"/>
    <w:rsid w:val="00EA4E50"/>
    <w:rsid w:val="00EA5413"/>
    <w:rsid w:val="00EA5CD9"/>
    <w:rsid w:val="00EA608A"/>
    <w:rsid w:val="00EA628F"/>
    <w:rsid w:val="00EA6481"/>
    <w:rsid w:val="00EA6A4C"/>
    <w:rsid w:val="00EA7F9F"/>
    <w:rsid w:val="00EB03F7"/>
    <w:rsid w:val="00EB0718"/>
    <w:rsid w:val="00EB0B1F"/>
    <w:rsid w:val="00EB1324"/>
    <w:rsid w:val="00EB1444"/>
    <w:rsid w:val="00EB25E6"/>
    <w:rsid w:val="00EB4ADD"/>
    <w:rsid w:val="00EB5DF8"/>
    <w:rsid w:val="00EB60E8"/>
    <w:rsid w:val="00EB65F1"/>
    <w:rsid w:val="00EB6969"/>
    <w:rsid w:val="00EB744E"/>
    <w:rsid w:val="00EC0301"/>
    <w:rsid w:val="00EC0A8C"/>
    <w:rsid w:val="00EC1699"/>
    <w:rsid w:val="00EC2202"/>
    <w:rsid w:val="00EC2655"/>
    <w:rsid w:val="00EC30F2"/>
    <w:rsid w:val="00EC387C"/>
    <w:rsid w:val="00EC454D"/>
    <w:rsid w:val="00EC5494"/>
    <w:rsid w:val="00EC6994"/>
    <w:rsid w:val="00ED0236"/>
    <w:rsid w:val="00ED0887"/>
    <w:rsid w:val="00ED149A"/>
    <w:rsid w:val="00ED1949"/>
    <w:rsid w:val="00ED31FC"/>
    <w:rsid w:val="00ED4E6C"/>
    <w:rsid w:val="00ED5362"/>
    <w:rsid w:val="00ED6BB3"/>
    <w:rsid w:val="00ED735C"/>
    <w:rsid w:val="00EE0AEE"/>
    <w:rsid w:val="00EE0B02"/>
    <w:rsid w:val="00EE0B8F"/>
    <w:rsid w:val="00EE67A0"/>
    <w:rsid w:val="00EF1969"/>
    <w:rsid w:val="00EF2168"/>
    <w:rsid w:val="00EF2249"/>
    <w:rsid w:val="00EF2273"/>
    <w:rsid w:val="00EF258C"/>
    <w:rsid w:val="00EF26C8"/>
    <w:rsid w:val="00EF390D"/>
    <w:rsid w:val="00EF4CE2"/>
    <w:rsid w:val="00EF5802"/>
    <w:rsid w:val="00EF5CDC"/>
    <w:rsid w:val="00EF5F7F"/>
    <w:rsid w:val="00F01616"/>
    <w:rsid w:val="00F01AB8"/>
    <w:rsid w:val="00F01BF9"/>
    <w:rsid w:val="00F02984"/>
    <w:rsid w:val="00F0324F"/>
    <w:rsid w:val="00F04856"/>
    <w:rsid w:val="00F050B7"/>
    <w:rsid w:val="00F068C6"/>
    <w:rsid w:val="00F07D0B"/>
    <w:rsid w:val="00F102E8"/>
    <w:rsid w:val="00F122AE"/>
    <w:rsid w:val="00F1241C"/>
    <w:rsid w:val="00F12A63"/>
    <w:rsid w:val="00F13924"/>
    <w:rsid w:val="00F15693"/>
    <w:rsid w:val="00F1590E"/>
    <w:rsid w:val="00F160A2"/>
    <w:rsid w:val="00F16849"/>
    <w:rsid w:val="00F17B13"/>
    <w:rsid w:val="00F17EF9"/>
    <w:rsid w:val="00F20AFB"/>
    <w:rsid w:val="00F20C99"/>
    <w:rsid w:val="00F22221"/>
    <w:rsid w:val="00F239F7"/>
    <w:rsid w:val="00F23CF3"/>
    <w:rsid w:val="00F23D6F"/>
    <w:rsid w:val="00F245B9"/>
    <w:rsid w:val="00F24DC2"/>
    <w:rsid w:val="00F257A8"/>
    <w:rsid w:val="00F2645C"/>
    <w:rsid w:val="00F26B27"/>
    <w:rsid w:val="00F270C9"/>
    <w:rsid w:val="00F2714F"/>
    <w:rsid w:val="00F30C45"/>
    <w:rsid w:val="00F30C6C"/>
    <w:rsid w:val="00F31395"/>
    <w:rsid w:val="00F32F32"/>
    <w:rsid w:val="00F3350E"/>
    <w:rsid w:val="00F33EF6"/>
    <w:rsid w:val="00F34A31"/>
    <w:rsid w:val="00F35047"/>
    <w:rsid w:val="00F3516E"/>
    <w:rsid w:val="00F36850"/>
    <w:rsid w:val="00F400FA"/>
    <w:rsid w:val="00F406CC"/>
    <w:rsid w:val="00F41CA2"/>
    <w:rsid w:val="00F44165"/>
    <w:rsid w:val="00F468B4"/>
    <w:rsid w:val="00F47167"/>
    <w:rsid w:val="00F47498"/>
    <w:rsid w:val="00F47E9C"/>
    <w:rsid w:val="00F5061F"/>
    <w:rsid w:val="00F51AF8"/>
    <w:rsid w:val="00F53C1C"/>
    <w:rsid w:val="00F54554"/>
    <w:rsid w:val="00F545E9"/>
    <w:rsid w:val="00F5567E"/>
    <w:rsid w:val="00F56A15"/>
    <w:rsid w:val="00F605F7"/>
    <w:rsid w:val="00F62DFB"/>
    <w:rsid w:val="00F6591E"/>
    <w:rsid w:val="00F66B42"/>
    <w:rsid w:val="00F71D01"/>
    <w:rsid w:val="00F72785"/>
    <w:rsid w:val="00F7337B"/>
    <w:rsid w:val="00F74C30"/>
    <w:rsid w:val="00F7520C"/>
    <w:rsid w:val="00F76456"/>
    <w:rsid w:val="00F76BC4"/>
    <w:rsid w:val="00F77832"/>
    <w:rsid w:val="00F80B26"/>
    <w:rsid w:val="00F80BEA"/>
    <w:rsid w:val="00F80EAA"/>
    <w:rsid w:val="00F81590"/>
    <w:rsid w:val="00F83174"/>
    <w:rsid w:val="00F83540"/>
    <w:rsid w:val="00F839E4"/>
    <w:rsid w:val="00F83E55"/>
    <w:rsid w:val="00F84779"/>
    <w:rsid w:val="00F849E9"/>
    <w:rsid w:val="00F8545D"/>
    <w:rsid w:val="00F85E90"/>
    <w:rsid w:val="00F91AAE"/>
    <w:rsid w:val="00F91D86"/>
    <w:rsid w:val="00F924FC"/>
    <w:rsid w:val="00F92FEB"/>
    <w:rsid w:val="00F93E26"/>
    <w:rsid w:val="00F9610E"/>
    <w:rsid w:val="00F968FD"/>
    <w:rsid w:val="00F96AAD"/>
    <w:rsid w:val="00F97183"/>
    <w:rsid w:val="00F97863"/>
    <w:rsid w:val="00FA02C0"/>
    <w:rsid w:val="00FA2348"/>
    <w:rsid w:val="00FA2B82"/>
    <w:rsid w:val="00FA2D61"/>
    <w:rsid w:val="00FA2DC8"/>
    <w:rsid w:val="00FA4785"/>
    <w:rsid w:val="00FA4DD7"/>
    <w:rsid w:val="00FA58B6"/>
    <w:rsid w:val="00FA62E7"/>
    <w:rsid w:val="00FA6418"/>
    <w:rsid w:val="00FA6B80"/>
    <w:rsid w:val="00FA72F1"/>
    <w:rsid w:val="00FB03B9"/>
    <w:rsid w:val="00FB0CA3"/>
    <w:rsid w:val="00FB1CD5"/>
    <w:rsid w:val="00FB4281"/>
    <w:rsid w:val="00FB44DE"/>
    <w:rsid w:val="00FB5889"/>
    <w:rsid w:val="00FB59AD"/>
    <w:rsid w:val="00FB61ED"/>
    <w:rsid w:val="00FB7504"/>
    <w:rsid w:val="00FB7E5E"/>
    <w:rsid w:val="00FC0D39"/>
    <w:rsid w:val="00FC215A"/>
    <w:rsid w:val="00FC2A3F"/>
    <w:rsid w:val="00FC300A"/>
    <w:rsid w:val="00FC34FF"/>
    <w:rsid w:val="00FC412B"/>
    <w:rsid w:val="00FC4A04"/>
    <w:rsid w:val="00FC4ED7"/>
    <w:rsid w:val="00FC4F64"/>
    <w:rsid w:val="00FC5254"/>
    <w:rsid w:val="00FC5622"/>
    <w:rsid w:val="00FC5734"/>
    <w:rsid w:val="00FC742F"/>
    <w:rsid w:val="00FC7CE6"/>
    <w:rsid w:val="00FD0307"/>
    <w:rsid w:val="00FD1A30"/>
    <w:rsid w:val="00FD210D"/>
    <w:rsid w:val="00FD2742"/>
    <w:rsid w:val="00FD2750"/>
    <w:rsid w:val="00FD34E6"/>
    <w:rsid w:val="00FD5424"/>
    <w:rsid w:val="00FD7A67"/>
    <w:rsid w:val="00FE22F3"/>
    <w:rsid w:val="00FE3725"/>
    <w:rsid w:val="00FE40BF"/>
    <w:rsid w:val="00FE4622"/>
    <w:rsid w:val="00FE52EB"/>
    <w:rsid w:val="00FE567A"/>
    <w:rsid w:val="00FF05CA"/>
    <w:rsid w:val="00FF1166"/>
    <w:rsid w:val="00FF178F"/>
    <w:rsid w:val="00FF2886"/>
    <w:rsid w:val="00FF4927"/>
    <w:rsid w:val="00FF5583"/>
    <w:rsid w:val="00FF60EC"/>
    <w:rsid w:val="0E2D7130"/>
    <w:rsid w:val="0FAB0000"/>
    <w:rsid w:val="223614FB"/>
    <w:rsid w:val="23DA150A"/>
    <w:rsid w:val="2CD21C59"/>
    <w:rsid w:val="31DE7919"/>
    <w:rsid w:val="357E1D3D"/>
    <w:rsid w:val="38063B0E"/>
    <w:rsid w:val="3FBF163D"/>
    <w:rsid w:val="3FF1513F"/>
    <w:rsid w:val="444332BD"/>
    <w:rsid w:val="475E2D32"/>
    <w:rsid w:val="4A4B5177"/>
    <w:rsid w:val="4C047E50"/>
    <w:rsid w:val="4C5A4B89"/>
    <w:rsid w:val="4E6F5B1D"/>
    <w:rsid w:val="53380C25"/>
    <w:rsid w:val="59B5107E"/>
    <w:rsid w:val="69324D06"/>
    <w:rsid w:val="6E8E27C0"/>
    <w:rsid w:val="6EB82AD6"/>
    <w:rsid w:val="6F733FBE"/>
    <w:rsid w:val="79C87100"/>
    <w:rsid w:val="7E9F1FC3"/>
    <w:rsid w:val="7EBFBFC6"/>
    <w:rsid w:val="7EDB249B"/>
    <w:rsid w:val="BF751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semiHidden="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3"/>
    <w:qFormat/>
    <w:uiPriority w:val="0"/>
    <w:pPr>
      <w:keepNext/>
      <w:keepLines/>
      <w:adjustRightInd w:val="0"/>
      <w:spacing w:before="340" w:after="330" w:line="578" w:lineRule="atLeast"/>
      <w:textAlignment w:val="baseline"/>
      <w:outlineLvl w:val="0"/>
    </w:pPr>
    <w:rPr>
      <w:b/>
      <w:kern w:val="44"/>
      <w:sz w:val="44"/>
    </w:rPr>
  </w:style>
  <w:style w:type="paragraph" w:styleId="3">
    <w:name w:val="heading 2"/>
    <w:basedOn w:val="1"/>
    <w:next w:val="1"/>
    <w:link w:val="91"/>
    <w:qFormat/>
    <w:uiPriority w:val="9"/>
    <w:pPr>
      <w:keepNext/>
      <w:keepLines/>
      <w:adjustRightInd w:val="0"/>
      <w:spacing w:before="260" w:after="260" w:line="416" w:lineRule="atLeast"/>
      <w:textAlignment w:val="baseline"/>
      <w:outlineLvl w:val="1"/>
    </w:pPr>
    <w:rPr>
      <w:rFonts w:ascii="Arial" w:hAnsi="Arial" w:eastAsia="黑体"/>
      <w:b/>
      <w:kern w:val="0"/>
      <w:sz w:val="32"/>
    </w:rPr>
  </w:style>
  <w:style w:type="paragraph" w:styleId="4">
    <w:name w:val="heading 3"/>
    <w:basedOn w:val="1"/>
    <w:next w:val="1"/>
    <w:link w:val="59"/>
    <w:qFormat/>
    <w:uiPriority w:val="9"/>
    <w:pPr>
      <w:keepNext/>
      <w:keepLines/>
      <w:adjustRightInd w:val="0"/>
      <w:spacing w:before="260" w:after="260" w:line="416" w:lineRule="atLeast"/>
      <w:textAlignment w:val="baseline"/>
      <w:outlineLvl w:val="2"/>
    </w:pPr>
    <w:rPr>
      <w:b/>
      <w:kern w:val="0"/>
      <w:sz w:val="32"/>
    </w:rPr>
  </w:style>
  <w:style w:type="paragraph" w:styleId="5">
    <w:name w:val="heading 4"/>
    <w:basedOn w:val="1"/>
    <w:next w:val="1"/>
    <w:link w:val="69"/>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7"/>
    <w:qFormat/>
    <w:uiPriority w:val="9"/>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76"/>
    <w:qFormat/>
    <w:uiPriority w:val="9"/>
    <w:pPr>
      <w:keepNext/>
      <w:keepLines/>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link w:val="94"/>
    <w:qFormat/>
    <w:uiPriority w:val="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3"/>
    <w:qFormat/>
    <w:uiPriority w:val="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71"/>
    <w:qFormat/>
    <w:uiPriority w:val="9"/>
    <w:pPr>
      <w:keepNext/>
      <w:keepLines/>
      <w:adjustRightInd w:val="0"/>
      <w:spacing w:before="240" w:after="64" w:line="320" w:lineRule="atLeast"/>
      <w:textAlignment w:val="baseline"/>
      <w:outlineLvl w:val="8"/>
    </w:pPr>
    <w:rPr>
      <w:rFonts w:ascii="Arial" w:hAnsi="Arial" w:eastAsia="黑体"/>
      <w:kern w:val="0"/>
    </w:r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1260"/>
      <w:jc w:val="left"/>
    </w:pPr>
    <w:rPr>
      <w:sz w:val="18"/>
    </w:rPr>
  </w:style>
  <w:style w:type="paragraph" w:styleId="13">
    <w:name w:val="Normal Indent"/>
    <w:basedOn w:val="1"/>
    <w:uiPriority w:val="0"/>
    <w:pPr>
      <w:ind w:firstLine="420"/>
    </w:pPr>
  </w:style>
  <w:style w:type="paragraph" w:styleId="14">
    <w:name w:val="Document Map"/>
    <w:basedOn w:val="1"/>
    <w:link w:val="93"/>
    <w:qFormat/>
    <w:uiPriority w:val="99"/>
    <w:pPr>
      <w:shd w:val="clear" w:color="auto" w:fill="000080"/>
    </w:pPr>
  </w:style>
  <w:style w:type="paragraph" w:styleId="15">
    <w:name w:val="annotation text"/>
    <w:basedOn w:val="1"/>
    <w:link w:val="80"/>
    <w:uiPriority w:val="0"/>
    <w:pPr>
      <w:jc w:val="left"/>
    </w:pPr>
  </w:style>
  <w:style w:type="paragraph" w:styleId="16">
    <w:name w:val="Body Text"/>
    <w:basedOn w:val="1"/>
    <w:link w:val="66"/>
    <w:qFormat/>
    <w:uiPriority w:val="99"/>
    <w:rPr>
      <w:sz w:val="24"/>
    </w:rPr>
  </w:style>
  <w:style w:type="paragraph" w:styleId="17">
    <w:name w:val="Body Text Indent"/>
    <w:basedOn w:val="1"/>
    <w:link w:val="72"/>
    <w:qFormat/>
    <w:uiPriority w:val="99"/>
    <w:pPr>
      <w:spacing w:after="156"/>
      <w:ind w:firstLine="480"/>
    </w:pPr>
    <w:rPr>
      <w:sz w:val="24"/>
    </w:rPr>
  </w:style>
  <w:style w:type="paragraph" w:styleId="18">
    <w:name w:val="List 2"/>
    <w:basedOn w:val="1"/>
    <w:qFormat/>
    <w:uiPriority w:val="0"/>
    <w:pPr>
      <w:ind w:left="100" w:leftChars="200" w:hanging="200" w:hangingChars="200"/>
    </w:pPr>
  </w:style>
  <w:style w:type="paragraph" w:styleId="19">
    <w:name w:val="List Continue"/>
    <w:basedOn w:val="1"/>
    <w:qFormat/>
    <w:uiPriority w:val="0"/>
    <w:pPr>
      <w:spacing w:after="120"/>
      <w:ind w:left="420" w:leftChars="200"/>
    </w:pPr>
  </w:style>
  <w:style w:type="paragraph" w:styleId="20">
    <w:name w:val="Block Text"/>
    <w:basedOn w:val="1"/>
    <w:qFormat/>
    <w:uiPriority w:val="0"/>
    <w:pPr>
      <w:autoSpaceDE w:val="0"/>
      <w:autoSpaceDN w:val="0"/>
      <w:adjustRightInd w:val="0"/>
      <w:spacing w:line="300" w:lineRule="auto"/>
      <w:ind w:left="29" w:leftChars="12" w:right="6" w:firstLine="560" w:firstLineChars="200"/>
    </w:pPr>
    <w:rPr>
      <w:kern w:val="0"/>
      <w:sz w:val="28"/>
    </w:rPr>
  </w:style>
  <w:style w:type="paragraph" w:styleId="21">
    <w:name w:val="toc 5"/>
    <w:basedOn w:val="1"/>
    <w:next w:val="1"/>
    <w:qFormat/>
    <w:uiPriority w:val="0"/>
    <w:pPr>
      <w:ind w:left="840"/>
      <w:jc w:val="left"/>
    </w:pPr>
    <w:rPr>
      <w:sz w:val="18"/>
    </w:rPr>
  </w:style>
  <w:style w:type="paragraph" w:styleId="22">
    <w:name w:val="toc 3"/>
    <w:basedOn w:val="1"/>
    <w:next w:val="1"/>
    <w:qFormat/>
    <w:uiPriority w:val="39"/>
    <w:pPr>
      <w:ind w:left="420"/>
      <w:jc w:val="left"/>
    </w:pPr>
    <w:rPr>
      <w:i/>
      <w:sz w:val="20"/>
    </w:rPr>
  </w:style>
  <w:style w:type="paragraph" w:styleId="23">
    <w:name w:val="Plain Text"/>
    <w:basedOn w:val="1"/>
    <w:link w:val="85"/>
    <w:qFormat/>
    <w:uiPriority w:val="99"/>
    <w:rPr>
      <w:rFonts w:ascii="宋体" w:hAnsi="Courier New"/>
    </w:rPr>
  </w:style>
  <w:style w:type="paragraph" w:styleId="24">
    <w:name w:val="toc 8"/>
    <w:basedOn w:val="1"/>
    <w:next w:val="1"/>
    <w:qFormat/>
    <w:uiPriority w:val="0"/>
    <w:pPr>
      <w:ind w:left="1470"/>
      <w:jc w:val="left"/>
    </w:pPr>
    <w:rPr>
      <w:sz w:val="18"/>
    </w:rPr>
  </w:style>
  <w:style w:type="paragraph" w:styleId="25">
    <w:name w:val="Date"/>
    <w:basedOn w:val="1"/>
    <w:next w:val="1"/>
    <w:link w:val="75"/>
    <w:qFormat/>
    <w:uiPriority w:val="99"/>
    <w:pPr>
      <w:widowControl/>
      <w:ind w:left="100"/>
      <w:jc w:val="left"/>
    </w:pPr>
    <w:rPr>
      <w:rFonts w:ascii="宋体" w:hAnsi="宋体"/>
      <w:kern w:val="0"/>
      <w:sz w:val="28"/>
    </w:rPr>
  </w:style>
  <w:style w:type="paragraph" w:styleId="26">
    <w:name w:val="Body Text Indent 2"/>
    <w:basedOn w:val="1"/>
    <w:link w:val="74"/>
    <w:qFormat/>
    <w:uiPriority w:val="99"/>
    <w:pPr>
      <w:ind w:left="1436" w:leftChars="684"/>
    </w:pPr>
    <w:rPr>
      <w:sz w:val="24"/>
    </w:rPr>
  </w:style>
  <w:style w:type="paragraph" w:styleId="27">
    <w:name w:val="List Continue 5"/>
    <w:basedOn w:val="1"/>
    <w:qFormat/>
    <w:uiPriority w:val="0"/>
    <w:pPr>
      <w:spacing w:after="120"/>
      <w:ind w:left="2100" w:leftChars="1000"/>
    </w:pPr>
  </w:style>
  <w:style w:type="paragraph" w:styleId="28">
    <w:name w:val="Balloon Text"/>
    <w:basedOn w:val="1"/>
    <w:link w:val="87"/>
    <w:qFormat/>
    <w:uiPriority w:val="99"/>
    <w:rPr>
      <w:sz w:val="18"/>
    </w:rPr>
  </w:style>
  <w:style w:type="paragraph" w:styleId="29">
    <w:name w:val="footer"/>
    <w:basedOn w:val="1"/>
    <w:link w:val="88"/>
    <w:qFormat/>
    <w:uiPriority w:val="99"/>
    <w:pPr>
      <w:tabs>
        <w:tab w:val="center" w:pos="4153"/>
        <w:tab w:val="right" w:pos="8306"/>
      </w:tabs>
      <w:snapToGrid w:val="0"/>
      <w:jc w:val="left"/>
    </w:pPr>
    <w:rPr>
      <w:sz w:val="18"/>
    </w:rPr>
  </w:style>
  <w:style w:type="paragraph" w:styleId="30">
    <w:name w:val="header"/>
    <w:basedOn w:val="1"/>
    <w:link w:val="92"/>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styleId="32">
    <w:name w:val="List Continue 4"/>
    <w:basedOn w:val="1"/>
    <w:qFormat/>
    <w:uiPriority w:val="0"/>
    <w:pPr>
      <w:spacing w:after="120"/>
      <w:ind w:left="1680" w:leftChars="800"/>
    </w:pPr>
  </w:style>
  <w:style w:type="paragraph" w:styleId="33">
    <w:name w:val="toc 4"/>
    <w:basedOn w:val="1"/>
    <w:next w:val="1"/>
    <w:qFormat/>
    <w:uiPriority w:val="0"/>
    <w:pPr>
      <w:tabs>
        <w:tab w:val="left" w:pos="1080"/>
        <w:tab w:val="right" w:leader="dot" w:pos="9125"/>
      </w:tabs>
      <w:adjustRightInd w:val="0"/>
      <w:snapToGrid w:val="0"/>
      <w:spacing w:line="360" w:lineRule="auto"/>
      <w:jc w:val="left"/>
    </w:pPr>
    <w:rPr>
      <w:sz w:val="18"/>
    </w:rPr>
  </w:style>
  <w:style w:type="paragraph" w:styleId="34">
    <w:name w:val="List"/>
    <w:basedOn w:val="1"/>
    <w:qFormat/>
    <w:uiPriority w:val="0"/>
    <w:pPr>
      <w:ind w:left="200" w:hanging="200" w:hangingChars="200"/>
    </w:pPr>
  </w:style>
  <w:style w:type="paragraph" w:styleId="35">
    <w:name w:val="footnote text"/>
    <w:basedOn w:val="1"/>
    <w:link w:val="89"/>
    <w:qFormat/>
    <w:uiPriority w:val="99"/>
    <w:pPr>
      <w:snapToGrid w:val="0"/>
      <w:jc w:val="left"/>
    </w:pPr>
    <w:rPr>
      <w:sz w:val="18"/>
    </w:rPr>
  </w:style>
  <w:style w:type="paragraph" w:styleId="36">
    <w:name w:val="toc 6"/>
    <w:basedOn w:val="1"/>
    <w:next w:val="1"/>
    <w:qFormat/>
    <w:uiPriority w:val="0"/>
    <w:pPr>
      <w:ind w:left="1050"/>
      <w:jc w:val="left"/>
    </w:pPr>
    <w:rPr>
      <w:sz w:val="18"/>
    </w:rPr>
  </w:style>
  <w:style w:type="paragraph" w:styleId="37">
    <w:name w:val="List 5"/>
    <w:basedOn w:val="1"/>
    <w:qFormat/>
    <w:uiPriority w:val="0"/>
    <w:pPr>
      <w:ind w:left="100" w:leftChars="800" w:hanging="200" w:hangingChars="200"/>
    </w:pPr>
  </w:style>
  <w:style w:type="paragraph" w:styleId="38">
    <w:name w:val="Body Text Indent 3"/>
    <w:basedOn w:val="1"/>
    <w:link w:val="73"/>
    <w:qFormat/>
    <w:uiPriority w:val="99"/>
    <w:pPr>
      <w:spacing w:after="120"/>
      <w:ind w:left="420" w:leftChars="200"/>
    </w:pPr>
    <w:rPr>
      <w:sz w:val="16"/>
    </w:rPr>
  </w:style>
  <w:style w:type="paragraph" w:styleId="39">
    <w:name w:val="toc 2"/>
    <w:basedOn w:val="1"/>
    <w:next w:val="1"/>
    <w:qFormat/>
    <w:uiPriority w:val="39"/>
    <w:pPr>
      <w:ind w:left="210"/>
      <w:jc w:val="left"/>
    </w:pPr>
    <w:rPr>
      <w:smallCaps/>
      <w:sz w:val="20"/>
    </w:rPr>
  </w:style>
  <w:style w:type="paragraph" w:styleId="40">
    <w:name w:val="toc 9"/>
    <w:basedOn w:val="1"/>
    <w:next w:val="1"/>
    <w:uiPriority w:val="0"/>
    <w:pPr>
      <w:ind w:left="1680"/>
      <w:jc w:val="left"/>
    </w:pPr>
    <w:rPr>
      <w:sz w:val="18"/>
    </w:rPr>
  </w:style>
  <w:style w:type="paragraph" w:styleId="41">
    <w:name w:val="Body Text 2"/>
    <w:basedOn w:val="1"/>
    <w:link w:val="68"/>
    <w:qFormat/>
    <w:uiPriority w:val="99"/>
    <w:rPr>
      <w:rFonts w:ascii="宋体" w:hAnsi="宋体"/>
      <w:sz w:val="24"/>
    </w:rPr>
  </w:style>
  <w:style w:type="paragraph" w:styleId="42">
    <w:name w:val="List 4"/>
    <w:basedOn w:val="1"/>
    <w:uiPriority w:val="0"/>
    <w:pPr>
      <w:ind w:left="100" w:leftChars="600" w:hanging="200" w:hangingChars="200"/>
    </w:pPr>
  </w:style>
  <w:style w:type="paragraph" w:styleId="43">
    <w:name w:val="List Continue 2"/>
    <w:basedOn w:val="1"/>
    <w:uiPriority w:val="0"/>
    <w:pPr>
      <w:spacing w:after="120"/>
      <w:ind w:left="840" w:leftChars="400"/>
    </w:pPr>
  </w:style>
  <w:style w:type="paragraph" w:styleId="44">
    <w:name w:val="HTML Preformatted"/>
    <w:basedOn w:val="1"/>
    <w:link w:val="84"/>
    <w:unhideWhenUsed/>
    <w:qFormat/>
    <w:uiPriority w:val="99"/>
    <w:rPr>
      <w:rFonts w:ascii="Courier New" w:hAnsi="Courier New"/>
      <w:sz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List Continue 3"/>
    <w:basedOn w:val="1"/>
    <w:qFormat/>
    <w:uiPriority w:val="0"/>
    <w:pPr>
      <w:spacing w:after="120"/>
      <w:ind w:left="1260" w:leftChars="600"/>
    </w:pPr>
  </w:style>
  <w:style w:type="paragraph" w:styleId="47">
    <w:name w:val="annotation subject"/>
    <w:basedOn w:val="15"/>
    <w:next w:val="15"/>
    <w:link w:val="79"/>
    <w:qFormat/>
    <w:uiPriority w:val="99"/>
    <w:rPr>
      <w:b/>
    </w:rPr>
  </w:style>
  <w:style w:type="paragraph" w:styleId="48">
    <w:name w:val="Body Text First Indent"/>
    <w:basedOn w:val="1"/>
    <w:link w:val="65"/>
    <w:qFormat/>
    <w:uiPriority w:val="99"/>
    <w:pPr>
      <w:spacing w:line="360" w:lineRule="auto"/>
      <w:ind w:firstLine="482"/>
    </w:pPr>
    <w:rPr>
      <w:b/>
      <w:sz w:val="24"/>
    </w:rPr>
  </w:style>
  <w:style w:type="table" w:styleId="50">
    <w:name w:val="Table Grid"/>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rPr>
  </w:style>
  <w:style w:type="character" w:styleId="53">
    <w:name w:val="page number"/>
    <w:basedOn w:val="51"/>
    <w:uiPriority w:val="0"/>
  </w:style>
  <w:style w:type="character" w:styleId="54">
    <w:name w:val="FollowedHyperlink"/>
    <w:unhideWhenUsed/>
    <w:uiPriority w:val="99"/>
    <w:rPr>
      <w:color w:val="800080"/>
      <w:u w:val="single"/>
    </w:rPr>
  </w:style>
  <w:style w:type="character" w:styleId="55">
    <w:name w:val="HTML Variable"/>
    <w:unhideWhenUsed/>
    <w:uiPriority w:val="99"/>
    <w:rPr>
      <w:i/>
    </w:rPr>
  </w:style>
  <w:style w:type="character" w:styleId="56">
    <w:name w:val="Hyperlink"/>
    <w:qFormat/>
    <w:uiPriority w:val="99"/>
    <w:rPr>
      <w:color w:val="0000FF"/>
      <w:u w:val="single"/>
    </w:rPr>
  </w:style>
  <w:style w:type="character" w:styleId="57">
    <w:name w:val="annotation reference"/>
    <w:uiPriority w:val="0"/>
    <w:rPr>
      <w:sz w:val="21"/>
    </w:rPr>
  </w:style>
  <w:style w:type="character" w:styleId="58">
    <w:name w:val="footnote reference"/>
    <w:qFormat/>
    <w:uiPriority w:val="0"/>
    <w:rPr>
      <w:vertAlign w:val="superscript"/>
    </w:rPr>
  </w:style>
  <w:style w:type="character" w:customStyle="1" w:styleId="59">
    <w:name w:val="标题 3 字符"/>
    <w:link w:val="4"/>
    <w:qFormat/>
    <w:uiPriority w:val="9"/>
    <w:rPr>
      <w:b/>
      <w:sz w:val="32"/>
    </w:rPr>
  </w:style>
  <w:style w:type="character" w:customStyle="1" w:styleId="60">
    <w:name w:val="Style Heading 3 + Char"/>
    <w:link w:val="61"/>
    <w:qFormat/>
    <w:uiPriority w:val="0"/>
    <w:rPr>
      <w:rFonts w:eastAsia="宋体"/>
      <w:b/>
      <w:kern w:val="2"/>
      <w:sz w:val="28"/>
      <w:lang w:val="en-US" w:eastAsia="zh-CN"/>
    </w:rPr>
  </w:style>
  <w:style w:type="paragraph" w:customStyle="1" w:styleId="61">
    <w:name w:val="Style Heading 3 +"/>
    <w:basedOn w:val="4"/>
    <w:link w:val="60"/>
    <w:qFormat/>
    <w:uiPriority w:val="0"/>
    <w:pPr>
      <w:adjustRightInd/>
      <w:spacing w:before="120" w:after="120" w:line="120" w:lineRule="atLeast"/>
      <w:textAlignment w:val="auto"/>
    </w:pPr>
    <w:rPr>
      <w:kern w:val="2"/>
      <w:sz w:val="28"/>
    </w:rPr>
  </w:style>
  <w:style w:type="character" w:customStyle="1" w:styleId="62">
    <w:name w:val="style1"/>
    <w:basedOn w:val="51"/>
    <w:qFormat/>
    <w:uiPriority w:val="0"/>
  </w:style>
  <w:style w:type="character" w:customStyle="1" w:styleId="63">
    <w:name w:val="标题 8 字符"/>
    <w:link w:val="9"/>
    <w:qFormat/>
    <w:uiPriority w:val="9"/>
    <w:rPr>
      <w:rFonts w:ascii="Arial" w:hAnsi="Arial" w:eastAsia="黑体"/>
      <w:sz w:val="24"/>
    </w:rPr>
  </w:style>
  <w:style w:type="character" w:customStyle="1" w:styleId="64">
    <w:name w:val="批注框文本 Char1"/>
    <w:semiHidden/>
    <w:qFormat/>
    <w:uiPriority w:val="99"/>
    <w:rPr>
      <w:rFonts w:ascii="Times New Roman" w:hAnsi="Times New Roman" w:eastAsia="宋体" w:cs="Times New Roman"/>
      <w:sz w:val="18"/>
      <w:szCs w:val="18"/>
    </w:rPr>
  </w:style>
  <w:style w:type="character" w:customStyle="1" w:styleId="65">
    <w:name w:val="正文文本首行缩进 字符"/>
    <w:link w:val="48"/>
    <w:qFormat/>
    <w:uiPriority w:val="99"/>
    <w:rPr>
      <w:b/>
      <w:kern w:val="2"/>
      <w:sz w:val="24"/>
    </w:rPr>
  </w:style>
  <w:style w:type="character" w:customStyle="1" w:styleId="66">
    <w:name w:val="正文文本 字符"/>
    <w:link w:val="16"/>
    <w:qFormat/>
    <w:uiPriority w:val="99"/>
    <w:rPr>
      <w:kern w:val="2"/>
      <w:sz w:val="24"/>
    </w:rPr>
  </w:style>
  <w:style w:type="character" w:customStyle="1" w:styleId="67">
    <w:name w:val="标题 5 字符"/>
    <w:link w:val="6"/>
    <w:qFormat/>
    <w:uiPriority w:val="9"/>
    <w:rPr>
      <w:b/>
      <w:sz w:val="28"/>
    </w:rPr>
  </w:style>
  <w:style w:type="character" w:customStyle="1" w:styleId="68">
    <w:name w:val="正文文本 2 字符"/>
    <w:link w:val="41"/>
    <w:uiPriority w:val="99"/>
    <w:rPr>
      <w:rFonts w:ascii="宋体" w:hAnsi="宋体"/>
      <w:kern w:val="2"/>
      <w:sz w:val="24"/>
    </w:rPr>
  </w:style>
  <w:style w:type="character" w:customStyle="1" w:styleId="69">
    <w:name w:val="标题 4 字符"/>
    <w:link w:val="5"/>
    <w:qFormat/>
    <w:uiPriority w:val="0"/>
    <w:rPr>
      <w:rFonts w:ascii="Arial" w:hAnsi="Arial" w:eastAsia="黑体"/>
      <w:b/>
      <w:kern w:val="2"/>
      <w:sz w:val="28"/>
      <w:lang w:val="en-US" w:eastAsia="zh-CN" w:bidi="ar-SA"/>
    </w:rPr>
  </w:style>
  <w:style w:type="character" w:customStyle="1" w:styleId="70">
    <w:name w:val="批注文字 Char1"/>
    <w:semiHidden/>
    <w:qFormat/>
    <w:uiPriority w:val="99"/>
    <w:rPr>
      <w:rFonts w:ascii="Times New Roman" w:hAnsi="Times New Roman" w:eastAsia="宋体" w:cs="Times New Roman"/>
      <w:szCs w:val="20"/>
    </w:rPr>
  </w:style>
  <w:style w:type="character" w:customStyle="1" w:styleId="71">
    <w:name w:val="标题 9 字符"/>
    <w:link w:val="10"/>
    <w:qFormat/>
    <w:uiPriority w:val="9"/>
    <w:rPr>
      <w:rFonts w:ascii="Arial" w:hAnsi="Arial" w:eastAsia="黑体"/>
      <w:sz w:val="21"/>
    </w:rPr>
  </w:style>
  <w:style w:type="character" w:customStyle="1" w:styleId="72">
    <w:name w:val="正文文本缩进 字符"/>
    <w:link w:val="17"/>
    <w:qFormat/>
    <w:uiPriority w:val="99"/>
    <w:rPr>
      <w:kern w:val="2"/>
      <w:sz w:val="24"/>
    </w:rPr>
  </w:style>
  <w:style w:type="character" w:customStyle="1" w:styleId="73">
    <w:name w:val="正文文本缩进 3 字符"/>
    <w:link w:val="38"/>
    <w:qFormat/>
    <w:uiPriority w:val="99"/>
    <w:rPr>
      <w:kern w:val="2"/>
      <w:sz w:val="16"/>
    </w:rPr>
  </w:style>
  <w:style w:type="character" w:customStyle="1" w:styleId="74">
    <w:name w:val="正文文本缩进 2 字符"/>
    <w:link w:val="26"/>
    <w:qFormat/>
    <w:uiPriority w:val="99"/>
    <w:rPr>
      <w:kern w:val="2"/>
      <w:sz w:val="24"/>
    </w:rPr>
  </w:style>
  <w:style w:type="character" w:customStyle="1" w:styleId="75">
    <w:name w:val="日期 字符"/>
    <w:link w:val="25"/>
    <w:qFormat/>
    <w:uiPriority w:val="99"/>
    <w:rPr>
      <w:rFonts w:ascii="宋体" w:hAnsi="宋体"/>
      <w:sz w:val="28"/>
    </w:rPr>
  </w:style>
  <w:style w:type="character" w:customStyle="1" w:styleId="76">
    <w:name w:val="标题 6 字符"/>
    <w:link w:val="7"/>
    <w:qFormat/>
    <w:uiPriority w:val="9"/>
    <w:rPr>
      <w:rFonts w:ascii="Arial" w:hAnsi="Arial" w:eastAsia="黑体"/>
      <w:b/>
      <w:sz w:val="24"/>
    </w:rPr>
  </w:style>
  <w:style w:type="character" w:customStyle="1" w:styleId="77">
    <w:name w:val="HTML 预设格式 Char1"/>
    <w:semiHidden/>
    <w:qFormat/>
    <w:uiPriority w:val="99"/>
    <w:rPr>
      <w:rFonts w:ascii="Courier New" w:hAnsi="Courier New" w:eastAsia="宋体" w:cs="Courier New"/>
      <w:sz w:val="20"/>
      <w:szCs w:val="20"/>
    </w:rPr>
  </w:style>
  <w:style w:type="character" w:customStyle="1" w:styleId="78">
    <w:name w:val="font21"/>
    <w:qFormat/>
    <w:uiPriority w:val="0"/>
    <w:rPr>
      <w:rFonts w:hint="eastAsia" w:ascii="宋体" w:hAnsi="宋体" w:eastAsia="宋体" w:cs="宋体"/>
      <w:color w:val="000000"/>
      <w:sz w:val="20"/>
      <w:szCs w:val="20"/>
      <w:u w:val="none"/>
    </w:rPr>
  </w:style>
  <w:style w:type="character" w:customStyle="1" w:styleId="79">
    <w:name w:val="批注主题 字符"/>
    <w:link w:val="47"/>
    <w:qFormat/>
    <w:uiPriority w:val="99"/>
    <w:rPr>
      <w:b/>
      <w:kern w:val="2"/>
      <w:sz w:val="21"/>
    </w:rPr>
  </w:style>
  <w:style w:type="character" w:customStyle="1" w:styleId="80">
    <w:name w:val="批注文字 字符"/>
    <w:link w:val="15"/>
    <w:qFormat/>
    <w:uiPriority w:val="0"/>
    <w:rPr>
      <w:kern w:val="2"/>
      <w:sz w:val="21"/>
    </w:rPr>
  </w:style>
  <w:style w:type="character" w:customStyle="1" w:styleId="81">
    <w:name w:val="列出段落 Char"/>
    <w:link w:val="82"/>
    <w:qFormat/>
    <w:uiPriority w:val="34"/>
    <w:rPr>
      <w:rFonts w:ascii="Calibri" w:hAnsi="Calibri" w:eastAsia="宋体" w:cs="Times New Roman"/>
      <w:kern w:val="2"/>
      <w:sz w:val="21"/>
      <w:szCs w:val="22"/>
    </w:rPr>
  </w:style>
  <w:style w:type="paragraph" w:customStyle="1" w:styleId="82">
    <w:name w:val="列出段落1"/>
    <w:basedOn w:val="1"/>
    <w:link w:val="81"/>
    <w:qFormat/>
    <w:uiPriority w:val="34"/>
    <w:pPr>
      <w:ind w:firstLine="420" w:firstLineChars="200"/>
    </w:pPr>
    <w:rPr>
      <w:rFonts w:ascii="Calibri" w:hAnsi="Calibri"/>
      <w:szCs w:val="22"/>
    </w:rPr>
  </w:style>
  <w:style w:type="character" w:customStyle="1" w:styleId="83">
    <w:name w:val="标题 1 字符"/>
    <w:link w:val="2"/>
    <w:qFormat/>
    <w:uiPriority w:val="0"/>
    <w:rPr>
      <w:b/>
      <w:kern w:val="44"/>
      <w:sz w:val="44"/>
    </w:rPr>
  </w:style>
  <w:style w:type="character" w:customStyle="1" w:styleId="84">
    <w:name w:val="HTML 预设格式 字符"/>
    <w:link w:val="44"/>
    <w:qFormat/>
    <w:uiPriority w:val="99"/>
    <w:rPr>
      <w:rFonts w:ascii="Courier New" w:hAnsi="Courier New" w:cs="Courier New"/>
      <w:kern w:val="2"/>
    </w:rPr>
  </w:style>
  <w:style w:type="character" w:customStyle="1" w:styleId="85">
    <w:name w:val="纯文本 字符"/>
    <w:link w:val="23"/>
    <w:qFormat/>
    <w:uiPriority w:val="99"/>
    <w:rPr>
      <w:rFonts w:ascii="宋体" w:hAnsi="Courier New"/>
      <w:kern w:val="2"/>
      <w:sz w:val="21"/>
    </w:rPr>
  </w:style>
  <w:style w:type="character" w:customStyle="1" w:styleId="86">
    <w:name w:val="font11"/>
    <w:qFormat/>
    <w:uiPriority w:val="0"/>
    <w:rPr>
      <w:rFonts w:hint="eastAsia" w:ascii="宋体" w:hAnsi="宋体" w:eastAsia="宋体" w:cs="宋体"/>
      <w:b/>
      <w:color w:val="000000"/>
      <w:sz w:val="20"/>
      <w:szCs w:val="20"/>
      <w:u w:val="none"/>
    </w:rPr>
  </w:style>
  <w:style w:type="character" w:customStyle="1" w:styleId="87">
    <w:name w:val="批注框文本 字符"/>
    <w:link w:val="28"/>
    <w:qFormat/>
    <w:uiPriority w:val="99"/>
    <w:rPr>
      <w:rFonts w:eastAsia="宋体"/>
      <w:kern w:val="2"/>
      <w:sz w:val="18"/>
      <w:lang w:val="en-US" w:eastAsia="zh-CN"/>
    </w:rPr>
  </w:style>
  <w:style w:type="character" w:customStyle="1" w:styleId="88">
    <w:name w:val="页脚 字符"/>
    <w:link w:val="29"/>
    <w:qFormat/>
    <w:uiPriority w:val="99"/>
    <w:rPr>
      <w:kern w:val="2"/>
      <w:sz w:val="18"/>
    </w:rPr>
  </w:style>
  <w:style w:type="character" w:customStyle="1" w:styleId="89">
    <w:name w:val="脚注文本 字符"/>
    <w:link w:val="35"/>
    <w:qFormat/>
    <w:uiPriority w:val="99"/>
    <w:rPr>
      <w:kern w:val="2"/>
      <w:sz w:val="18"/>
    </w:rPr>
  </w:style>
  <w:style w:type="character" w:customStyle="1" w:styleId="90">
    <w:name w:val="apple-converted-space"/>
    <w:basedOn w:val="51"/>
    <w:qFormat/>
    <w:uiPriority w:val="0"/>
  </w:style>
  <w:style w:type="character" w:customStyle="1" w:styleId="91">
    <w:name w:val="标题 2 字符"/>
    <w:link w:val="3"/>
    <w:qFormat/>
    <w:uiPriority w:val="9"/>
    <w:rPr>
      <w:rFonts w:ascii="Arial" w:hAnsi="Arial" w:eastAsia="黑体"/>
      <w:b/>
      <w:sz w:val="32"/>
    </w:rPr>
  </w:style>
  <w:style w:type="character" w:customStyle="1" w:styleId="92">
    <w:name w:val="页眉 字符"/>
    <w:link w:val="30"/>
    <w:qFormat/>
    <w:uiPriority w:val="99"/>
    <w:rPr>
      <w:kern w:val="2"/>
      <w:sz w:val="18"/>
    </w:rPr>
  </w:style>
  <w:style w:type="character" w:customStyle="1" w:styleId="93">
    <w:name w:val="文档结构图 字符"/>
    <w:link w:val="14"/>
    <w:qFormat/>
    <w:uiPriority w:val="99"/>
    <w:rPr>
      <w:kern w:val="2"/>
      <w:sz w:val="21"/>
      <w:shd w:val="clear" w:color="auto" w:fill="000080"/>
    </w:rPr>
  </w:style>
  <w:style w:type="character" w:customStyle="1" w:styleId="94">
    <w:name w:val="标题 7 字符"/>
    <w:link w:val="8"/>
    <w:qFormat/>
    <w:uiPriority w:val="9"/>
    <w:rPr>
      <w:b/>
      <w:sz w:val="24"/>
    </w:rPr>
  </w:style>
  <w:style w:type="character" w:customStyle="1" w:styleId="95">
    <w:name w:val="param-name"/>
    <w:basedOn w:val="51"/>
    <w:qFormat/>
    <w:uiPriority w:val="0"/>
  </w:style>
  <w:style w:type="paragraph" w:customStyle="1" w:styleId="96">
    <w:name w:val="font10"/>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9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98">
    <w:name w:val="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9">
    <w:name w:val="xl7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00">
    <w:name w:val="xl7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0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rPr>
  </w:style>
  <w:style w:type="paragraph" w:customStyle="1" w:styleId="10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03">
    <w:name w:val="TOC 标题1"/>
    <w:basedOn w:val="2"/>
    <w:next w:val="1"/>
    <w:unhideWhenUsed/>
    <w:qFormat/>
    <w:uiPriority w:val="39"/>
    <w:pPr>
      <w:widowControl/>
      <w:tabs>
        <w:tab w:val="left" w:pos="574"/>
      </w:tabs>
      <w:adjustRightInd/>
      <w:spacing w:before="240" w:after="0" w:line="259" w:lineRule="auto"/>
      <w:jc w:val="left"/>
      <w:textAlignment w:val="auto"/>
      <w:outlineLvl w:val="9"/>
    </w:pPr>
    <w:rPr>
      <w:rFonts w:ascii="Cambria" w:hAnsi="Cambria"/>
      <w:b w:val="0"/>
      <w:color w:val="365F91"/>
      <w:kern w:val="0"/>
      <w:sz w:val="32"/>
      <w:szCs w:val="32"/>
    </w:rPr>
  </w:style>
  <w:style w:type="paragraph" w:customStyle="1" w:styleId="104">
    <w:name w:val="1"/>
    <w:basedOn w:val="1"/>
    <w:next w:val="23"/>
    <w:qFormat/>
    <w:uiPriority w:val="0"/>
    <w:rPr>
      <w:rFonts w:ascii="宋体" w:hAnsi="Courier New"/>
    </w:rPr>
  </w:style>
  <w:style w:type="paragraph" w:customStyle="1" w:styleId="105">
    <w:name w:val="xl7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0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10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08">
    <w:name w:val="xl8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0">
    <w:name w:val="xl8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Symbol" w:hAnsi="Symbol" w:cs="宋体"/>
      <w:kern w:val="0"/>
      <w:sz w:val="20"/>
    </w:rPr>
  </w:style>
  <w:style w:type="paragraph" w:customStyle="1" w:styleId="111">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2">
    <w:name w:val="Char Char Char1 Char"/>
    <w:basedOn w:val="1"/>
    <w:qFormat/>
    <w:uiPriority w:val="0"/>
  </w:style>
  <w:style w:type="paragraph" w:customStyle="1" w:styleId="113">
    <w:name w:val="xl7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1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16">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17">
    <w:name w:val="图文"/>
    <w:basedOn w:val="1"/>
    <w:qFormat/>
    <w:uiPriority w:val="0"/>
    <w:pPr>
      <w:adjustRightInd w:val="0"/>
      <w:snapToGrid w:val="0"/>
      <w:spacing w:after="50" w:line="360" w:lineRule="auto"/>
    </w:pPr>
    <w:rPr>
      <w:sz w:val="24"/>
    </w:rPr>
  </w:style>
  <w:style w:type="paragraph" w:customStyle="1" w:styleId="11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1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0">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12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24">
    <w:name w:val="简单回函地址"/>
    <w:basedOn w:val="1"/>
    <w:qFormat/>
    <w:uiPriority w:val="0"/>
  </w:style>
  <w:style w:type="paragraph" w:customStyle="1" w:styleId="12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rPr>
  </w:style>
  <w:style w:type="paragraph" w:customStyle="1" w:styleId="126">
    <w:name w:val="font8"/>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27">
    <w:name w:val="Char"/>
    <w:basedOn w:val="1"/>
    <w:qFormat/>
    <w:uiPriority w:val="0"/>
    <w:pPr>
      <w:tabs>
        <w:tab w:val="left" w:pos="420"/>
      </w:tabs>
      <w:ind w:left="420" w:hanging="420"/>
    </w:pPr>
    <w:rPr>
      <w:rFonts w:ascii="Tahoma" w:hAnsi="Tahoma"/>
      <w:sz w:val="24"/>
    </w:rPr>
  </w:style>
  <w:style w:type="paragraph" w:customStyle="1" w:styleId="128">
    <w:name w:val="font5"/>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29">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30">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1">
    <w:name w:val="xl7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32">
    <w:name w:val="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3">
    <w:name w:val="font12"/>
    <w:basedOn w:val="1"/>
    <w:qFormat/>
    <w:uiPriority w:val="0"/>
    <w:pPr>
      <w:widowControl/>
      <w:spacing w:before="100" w:beforeAutospacing="1" w:after="100" w:afterAutospacing="1"/>
      <w:jc w:val="left"/>
    </w:pPr>
    <w:rPr>
      <w:rFonts w:ascii="宋体" w:hAnsi="宋体" w:cs="宋体"/>
      <w:kern w:val="0"/>
      <w:sz w:val="20"/>
      <w:u w:val="single"/>
    </w:rPr>
  </w:style>
  <w:style w:type="paragraph" w:customStyle="1" w:styleId="134">
    <w:name w:val="xl7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35">
    <w:name w:val="默认段落字体 Para Char Char Char Char"/>
    <w:basedOn w:val="1"/>
    <w:qFormat/>
    <w:uiPriority w:val="0"/>
  </w:style>
  <w:style w:type="paragraph" w:customStyle="1" w:styleId="1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8">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Symbol" w:hAnsi="Symbol" w:cs="宋体"/>
      <w:kern w:val="0"/>
      <w:sz w:val="20"/>
    </w:rPr>
  </w:style>
  <w:style w:type="paragraph" w:customStyle="1" w:styleId="139">
    <w:name w:val="xl84"/>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140">
    <w:name w:val="p0"/>
    <w:basedOn w:val="1"/>
    <w:qFormat/>
    <w:uiPriority w:val="0"/>
    <w:pPr>
      <w:widowControl/>
    </w:pPr>
    <w:rPr>
      <w:kern w:val="0"/>
      <w:szCs w:val="21"/>
    </w:rPr>
  </w:style>
  <w:style w:type="paragraph" w:customStyle="1" w:styleId="141">
    <w:name w:val="xl80"/>
    <w:basedOn w:val="1"/>
    <w:qFormat/>
    <w:uiPriority w:val="0"/>
    <w:pPr>
      <w:widowControl/>
      <w:spacing w:before="100" w:beforeAutospacing="1" w:after="100" w:afterAutospacing="1"/>
      <w:jc w:val="left"/>
      <w:textAlignment w:val="center"/>
    </w:pPr>
    <w:rPr>
      <w:rFonts w:ascii="Symbol" w:hAnsi="Symbol" w:cs="宋体"/>
      <w:kern w:val="0"/>
      <w:sz w:val="20"/>
    </w:rPr>
  </w:style>
  <w:style w:type="paragraph" w:customStyle="1" w:styleId="142">
    <w:name w:val="Char2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Symbol" w:hAnsi="Symbol" w:cs="宋体"/>
      <w:kern w:val="0"/>
      <w:sz w:val="20"/>
    </w:rPr>
  </w:style>
  <w:style w:type="paragraph" w:customStyle="1" w:styleId="144">
    <w:name w:val="Char Char Char1 Char1"/>
    <w:basedOn w:val="1"/>
    <w:qFormat/>
    <w:uiPriority w:val="0"/>
  </w:style>
  <w:style w:type="paragraph" w:customStyle="1" w:styleId="145">
    <w:name w:val="列出段落2"/>
    <w:basedOn w:val="1"/>
    <w:qFormat/>
    <w:uiPriority w:val="99"/>
    <w:pPr>
      <w:ind w:firstLine="420" w:firstLineChars="200"/>
    </w:pPr>
  </w:style>
  <w:style w:type="paragraph" w:customStyle="1" w:styleId="146">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47">
    <w:name w:val="xl83"/>
    <w:basedOn w:val="1"/>
    <w:qFormat/>
    <w:uiPriority w:val="0"/>
    <w:pPr>
      <w:widowControl/>
      <w:spacing w:before="100" w:beforeAutospacing="1" w:after="100" w:afterAutospacing="1"/>
      <w:jc w:val="left"/>
      <w:textAlignment w:val="center"/>
    </w:pPr>
    <w:rPr>
      <w:rFonts w:ascii="Calibri" w:hAnsi="Calibri" w:cs="Calibri"/>
      <w:kern w:val="0"/>
      <w:sz w:val="20"/>
    </w:rPr>
  </w:style>
  <w:style w:type="paragraph" w:customStyle="1" w:styleId="148">
    <w:name w:val="Char1"/>
    <w:basedOn w:val="1"/>
    <w:qFormat/>
    <w:uiPriority w:val="0"/>
    <w:pPr>
      <w:tabs>
        <w:tab w:val="left" w:pos="420"/>
      </w:tabs>
      <w:ind w:left="420" w:hanging="420"/>
    </w:pPr>
    <w:rPr>
      <w:rFonts w:ascii="Tahoma" w:hAnsi="Tahoma"/>
      <w:sz w:val="24"/>
    </w:rPr>
  </w:style>
  <w:style w:type="paragraph" w:customStyle="1" w:styleId="149">
    <w:name w:val="font9"/>
    <w:basedOn w:val="1"/>
    <w:qFormat/>
    <w:uiPriority w:val="0"/>
    <w:pPr>
      <w:widowControl/>
      <w:spacing w:before="100" w:beforeAutospacing="1" w:after="100" w:afterAutospacing="1"/>
      <w:jc w:val="left"/>
    </w:pPr>
    <w:rPr>
      <w:rFonts w:ascii="Calibri" w:hAnsi="Calibri" w:cs="Calibri"/>
      <w:color w:val="000000"/>
      <w:kern w:val="0"/>
      <w:sz w:val="20"/>
    </w:rPr>
  </w:style>
  <w:style w:type="paragraph" w:customStyle="1" w:styleId="15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2">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table" w:customStyle="1" w:styleId="153">
    <w:name w:val="网格型1"/>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2"/>
    <w:basedOn w:val="4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3"/>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6"/>
    <w:basedOn w:val="4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11"/>
    <w:basedOn w:val="49"/>
    <w:unhideWhenUsed/>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18300</Words>
  <Characters>19034</Characters>
  <Lines>906</Lines>
  <Paragraphs>848</Paragraphs>
  <TotalTime>916</TotalTime>
  <ScaleCrop>false</ScaleCrop>
  <LinksUpToDate>false</LinksUpToDate>
  <CharactersWithSpaces>36486</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2023-12-13T18:31:00Z</dcterms:created>
  <dc:creator>三师南通-戴健秋</dc:creator>
  <cp:lastModifiedBy>Cognac</cp:lastModifiedBy>
  <cp:lastPrinted>2025-06-16T14:52:00Z</cp:lastPrinted>
  <dcterms:modified xsi:type="dcterms:W3CDTF">2026-05-22T16:24:44Z</dcterms:modified>
  <dc:title>崇川政府采购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FDE07BC01DB1EC23C212106A98C68515_43</vt:lpwstr>
  </property>
</Properties>
</file>