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91259">
      <w:pPr>
        <w:pStyle w:val="3"/>
        <w:ind w:firstLine="0"/>
        <w:rPr>
          <w:rFonts w:ascii="Times New Roman" w:hAnsi="Times New Roman" w:eastAsia="仿宋_GB2312"/>
          <w:szCs w:val="32"/>
        </w:rPr>
      </w:pPr>
      <w:bookmarkStart w:id="0" w:name="_GoBack"/>
      <w:r>
        <w:rPr>
          <w:rFonts w:ascii="Times New Roman" w:hAnsi="Times New Roman" w:eastAsia="黑体"/>
          <w:szCs w:val="32"/>
        </w:rPr>
        <w:t>附件</w:t>
      </w:r>
      <w:r>
        <w:rPr>
          <w:rFonts w:ascii="Times New Roman" w:hAnsi="Times New Roman" w:eastAsia="仿宋_GB2312"/>
          <w:szCs w:val="32"/>
        </w:rPr>
        <w:t>1</w:t>
      </w:r>
    </w:p>
    <w:p w14:paraId="578E8C8C">
      <w:pPr>
        <w:pStyle w:val="2"/>
        <w:spacing w:before="156" w:beforeLines="50" w:after="312" w:afterLines="100"/>
        <w:rPr>
          <w:rFonts w:eastAsia="黑体"/>
        </w:rPr>
      </w:pPr>
      <w:r>
        <w:rPr>
          <w:rFonts w:eastAsia="方正小标宋简体"/>
        </w:rPr>
        <w:t>崇川区推动大规模设备更新和消费品以旧换新任务清单</w:t>
      </w:r>
      <w:bookmarkEnd w:id="0"/>
    </w:p>
    <w:tbl>
      <w:tblPr>
        <w:tblStyle w:val="5"/>
        <w:tblW w:w="50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910"/>
        <w:gridCol w:w="9572"/>
        <w:gridCol w:w="1662"/>
      </w:tblGrid>
      <w:tr w14:paraId="7E6C7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tblHeader/>
          <w:jc w:val="center"/>
        </w:trPr>
        <w:tc>
          <w:tcPr>
            <w:tcW w:w="347" w:type="pct"/>
            <w:vAlign w:val="center"/>
          </w:tcPr>
          <w:p w14:paraId="457E5233">
            <w:pPr>
              <w:spacing w:line="400" w:lineRule="exact"/>
              <w:ind w:firstLine="140" w:firstLineChars="50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序号</w:t>
            </w:r>
          </w:p>
        </w:tc>
        <w:tc>
          <w:tcPr>
            <w:tcW w:w="676" w:type="pct"/>
            <w:vAlign w:val="center"/>
          </w:tcPr>
          <w:p w14:paraId="5D2348CE">
            <w:pPr>
              <w:spacing w:line="400" w:lineRule="exact"/>
              <w:ind w:firstLine="0"/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领域</w:t>
            </w:r>
          </w:p>
        </w:tc>
        <w:tc>
          <w:tcPr>
            <w:tcW w:w="3388" w:type="pct"/>
            <w:vAlign w:val="center"/>
          </w:tcPr>
          <w:p w14:paraId="470C4B34">
            <w:pPr>
              <w:spacing w:line="400" w:lineRule="exact"/>
              <w:ind w:firstLine="0"/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推进任务</w:t>
            </w:r>
          </w:p>
        </w:tc>
        <w:tc>
          <w:tcPr>
            <w:tcW w:w="587" w:type="pct"/>
            <w:vAlign w:val="center"/>
          </w:tcPr>
          <w:p w14:paraId="0FE67E28">
            <w:pPr>
              <w:spacing w:line="400" w:lineRule="exact"/>
              <w:ind w:firstLine="0"/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牵头部门</w:t>
            </w:r>
          </w:p>
        </w:tc>
      </w:tr>
      <w:tr w14:paraId="70763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47" w:type="pct"/>
            <w:vAlign w:val="center"/>
          </w:tcPr>
          <w:p w14:paraId="75B5BA44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方正小标宋简体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color w:val="333333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4652" w:type="pct"/>
            <w:gridSpan w:val="3"/>
            <w:vAlign w:val="center"/>
          </w:tcPr>
          <w:p w14:paraId="4F401311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  <w:t>实施设备更新行动</w:t>
            </w:r>
          </w:p>
        </w:tc>
      </w:tr>
      <w:tr w14:paraId="3F31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  <w:jc w:val="center"/>
        </w:trPr>
        <w:tc>
          <w:tcPr>
            <w:tcW w:w="347" w:type="pct"/>
            <w:vAlign w:val="center"/>
          </w:tcPr>
          <w:p w14:paraId="4B497B79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76" w:type="pct"/>
            <w:vMerge w:val="restart"/>
            <w:vAlign w:val="center"/>
          </w:tcPr>
          <w:p w14:paraId="09D5357D">
            <w:pPr>
              <w:pStyle w:val="7"/>
              <w:spacing w:line="400" w:lineRule="exact"/>
              <w:ind w:left="0" w:right="12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工业</w:t>
            </w:r>
          </w:p>
        </w:tc>
        <w:tc>
          <w:tcPr>
            <w:tcW w:w="3388" w:type="pct"/>
            <w:vAlign w:val="center"/>
          </w:tcPr>
          <w:p w14:paraId="4CBA4915">
            <w:pPr>
              <w:pStyle w:val="7"/>
              <w:spacing w:line="400" w:lineRule="exact"/>
              <w:ind w:left="0" w:firstLine="0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组织实施设备更新相关的技术改造项目，到2027年完成200个，其中：2024年50个，2025年50个，2026年50个，2027年50个。</w:t>
            </w:r>
          </w:p>
        </w:tc>
        <w:tc>
          <w:tcPr>
            <w:tcW w:w="587" w:type="pct"/>
            <w:vMerge w:val="restart"/>
            <w:vAlign w:val="center"/>
          </w:tcPr>
          <w:p w14:paraId="4DAA86D4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区工信局</w:t>
            </w:r>
          </w:p>
        </w:tc>
      </w:tr>
      <w:tr w14:paraId="32BAF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347" w:type="pct"/>
            <w:vAlign w:val="center"/>
          </w:tcPr>
          <w:p w14:paraId="61EAF3FA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  <w:vMerge w:val="continue"/>
            <w:tcBorders>
              <w:top w:val="nil"/>
            </w:tcBorders>
            <w:vAlign w:val="center"/>
          </w:tcPr>
          <w:p w14:paraId="44C7172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pct"/>
            <w:vAlign w:val="center"/>
          </w:tcPr>
          <w:p w14:paraId="56A39C6B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推动企业数字化改造，到2027年完成100家，其中：2024年30家，2025年30家，2026年20家，2027年20家。</w:t>
            </w:r>
          </w:p>
        </w:tc>
        <w:tc>
          <w:tcPr>
            <w:tcW w:w="587" w:type="pct"/>
            <w:vMerge w:val="continue"/>
            <w:vAlign w:val="center"/>
          </w:tcPr>
          <w:p w14:paraId="3E51748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BF60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  <w:jc w:val="center"/>
        </w:trPr>
        <w:tc>
          <w:tcPr>
            <w:tcW w:w="347" w:type="pct"/>
            <w:vAlign w:val="center"/>
          </w:tcPr>
          <w:p w14:paraId="0EFE661C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76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DFF559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pct"/>
            <w:tcBorders>
              <w:bottom w:val="single" w:color="auto" w:sz="4" w:space="0"/>
            </w:tcBorders>
            <w:vAlign w:val="center"/>
          </w:tcPr>
          <w:p w14:paraId="069D56FC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培育智能车间（工厂），到2027年培育超30家，其中：2024年超8家，2025年超8家，2026年超8家，2027年超8家。</w:t>
            </w:r>
          </w:p>
        </w:tc>
        <w:tc>
          <w:tcPr>
            <w:tcW w:w="587" w:type="pct"/>
            <w:vMerge w:val="continue"/>
            <w:tcBorders>
              <w:bottom w:val="single" w:color="auto" w:sz="4" w:space="0"/>
            </w:tcBorders>
            <w:vAlign w:val="center"/>
          </w:tcPr>
          <w:p w14:paraId="2EF454E2">
            <w:pPr>
              <w:pStyle w:val="7"/>
              <w:spacing w:line="400" w:lineRule="exact"/>
              <w:ind w:left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00B2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47" w:type="pct"/>
            <w:vAlign w:val="center"/>
          </w:tcPr>
          <w:p w14:paraId="5AC1CA59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76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6BCA3F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pct"/>
            <w:tcBorders>
              <w:bottom w:val="single" w:color="auto" w:sz="4" w:space="0"/>
            </w:tcBorders>
            <w:vAlign w:val="center"/>
          </w:tcPr>
          <w:p w14:paraId="355467C7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完成老旧化工装置更新替代，2027年完成3台（套）。</w:t>
            </w:r>
          </w:p>
        </w:tc>
        <w:tc>
          <w:tcPr>
            <w:tcW w:w="587" w:type="pct"/>
            <w:vMerge w:val="restart"/>
            <w:vAlign w:val="center"/>
          </w:tcPr>
          <w:p w14:paraId="71781498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区应急管理局</w:t>
            </w:r>
          </w:p>
        </w:tc>
      </w:tr>
      <w:tr w14:paraId="0552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  <w:jc w:val="center"/>
        </w:trPr>
        <w:tc>
          <w:tcPr>
            <w:tcW w:w="347" w:type="pct"/>
            <w:vAlign w:val="center"/>
          </w:tcPr>
          <w:p w14:paraId="562AFF7B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76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E12B08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pct"/>
            <w:tcBorders>
              <w:bottom w:val="single" w:color="auto" w:sz="4" w:space="0"/>
            </w:tcBorders>
            <w:vAlign w:val="center"/>
          </w:tcPr>
          <w:p w14:paraId="23C04E29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推动重点粉尘涉爆企业设施设备更新，到2027年完成10家，其中：2024年2家，2025年2家，2026年3家，2027年3家。</w:t>
            </w:r>
          </w:p>
        </w:tc>
        <w:tc>
          <w:tcPr>
            <w:tcW w:w="587" w:type="pct"/>
            <w:vMerge w:val="continue"/>
            <w:tcBorders>
              <w:bottom w:val="single" w:color="auto" w:sz="4" w:space="0"/>
            </w:tcBorders>
            <w:vAlign w:val="center"/>
          </w:tcPr>
          <w:p w14:paraId="78235A56">
            <w:pPr>
              <w:pStyle w:val="7"/>
              <w:spacing w:line="400" w:lineRule="exact"/>
              <w:ind w:left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6E1FC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57CA976F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93298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能源和环保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DC21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淘汰落后煤电，2024年淘汰落后煤电产能0.6万千瓦。</w:t>
            </w:r>
          </w:p>
        </w:tc>
        <w:tc>
          <w:tcPr>
            <w:tcW w:w="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D440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区发改委</w:t>
            </w:r>
          </w:p>
        </w:tc>
      </w:tr>
      <w:tr w14:paraId="3C853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37A485F8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D4533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BB4F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新增储能，2024年新增储能容量20万千瓦。</w:t>
            </w:r>
          </w:p>
        </w:tc>
        <w:tc>
          <w:tcPr>
            <w:tcW w:w="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FF0E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</w:tr>
      <w:tr w14:paraId="59716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6E724D7D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D42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E177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推动生态环境领域设备更新，到2027年完成16家，其中：2024年4家，2025年4家，2026年4家，2027年4家。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233D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崇川生态环境局</w:t>
            </w:r>
          </w:p>
        </w:tc>
      </w:tr>
      <w:tr w14:paraId="3F7B6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066CA36B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6C2A4">
            <w:pPr>
              <w:spacing w:line="400" w:lineRule="exact"/>
              <w:ind w:firstLine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建筑和市政</w:t>
            </w:r>
          </w:p>
          <w:p w14:paraId="422DD03E">
            <w:pPr>
              <w:spacing w:line="400" w:lineRule="exact"/>
              <w:ind w:firstLine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基础设施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324A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开展老旧住宅电梯评估，到2027年完成800台，其中：2024年300台，2025年400台，2026年50台，2027年50台。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ECB4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区市监局</w:t>
            </w:r>
          </w:p>
        </w:tc>
      </w:tr>
      <w:tr w14:paraId="21DD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677D25A8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BD2D8B">
            <w:pPr>
              <w:spacing w:line="400" w:lineRule="exact"/>
              <w:jc w:val="center"/>
              <w:rPr>
                <w:rFonts w:eastAsia="仿宋_GB2312"/>
                <w:color w:val="000000"/>
                <w:sz w:val="2"/>
                <w:szCs w:val="2"/>
              </w:rPr>
            </w:pP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90E1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推进公共机构既有建筑节能改造，到2027年完成改造面积8万平方米左右，其中：2024年2万平方米，2025年2万平方米,2026年2万平方米，2027年2万平方米。</w:t>
            </w:r>
          </w:p>
          <w:p w14:paraId="4A4FD624"/>
          <w:p w14:paraId="5547DC29"/>
          <w:p w14:paraId="08B8871F"/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B2F8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区机关事务服务中心</w:t>
            </w:r>
          </w:p>
        </w:tc>
      </w:tr>
      <w:tr w14:paraId="49FB8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683AC84B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2628">
            <w:pPr>
              <w:spacing w:line="400" w:lineRule="exact"/>
              <w:jc w:val="center"/>
              <w:rPr>
                <w:rFonts w:eastAsia="仿宋_GB2312"/>
                <w:color w:val="000000"/>
                <w:sz w:val="2"/>
                <w:szCs w:val="2"/>
              </w:rPr>
            </w:pP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C508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推动环卫设施设备更新，到2027年更新环卫车辆49辆，更新垃圾转运箱30只，其中：2024年更新车辆2辆、垃圾转运箱2个；2025年更新车辆14辆、垃圾转运箱6个；2026年更新车辆16辆、垃圾转运箱8个；2027年更新车辆17辆、垃圾转运箱14个。完成钟秀、北城两座生活垃圾转运中心、一套混合垃圾分拣处理生产线，一套大件垃圾破碎机等环卫设施设备提升改造。更新环卫车辆49辆，更新垃圾转运箱30只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E5CA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区环卫处、</w:t>
            </w:r>
          </w:p>
          <w:p w14:paraId="05C45640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建发集团</w:t>
            </w:r>
          </w:p>
        </w:tc>
      </w:tr>
      <w:tr w14:paraId="4B7B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1A667ECC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F1A9">
            <w:pPr>
              <w:spacing w:line="400" w:lineRule="exact"/>
              <w:ind w:firstLine="0"/>
              <w:jc w:val="center"/>
              <w:rPr>
                <w:rFonts w:eastAsia="仿宋_GB2312"/>
                <w:sz w:val="2"/>
                <w:szCs w:val="2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078D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淘汰国Ⅲ及以下排放标准柴油货车，力争2025年底基本淘汰国Ⅲ及以下排放标准柴油货车，2024年淘汰60辆。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B5C3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崇川生态环境局</w:t>
            </w:r>
          </w:p>
        </w:tc>
      </w:tr>
      <w:tr w14:paraId="0AF1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4DAF39C8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7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33510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农业农村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A9E1E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报废更新农机设备，到2027年完成20台（套），其中：2024年2台（套），2025年5台（套），2026年6台（套），2027年7台（套）。</w:t>
            </w:r>
          </w:p>
        </w:tc>
        <w:tc>
          <w:tcPr>
            <w:tcW w:w="5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844E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区农水局</w:t>
            </w:r>
          </w:p>
        </w:tc>
      </w:tr>
      <w:tr w14:paraId="00E3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50E14FE0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F11D">
            <w:pPr>
              <w:pStyle w:val="7"/>
              <w:spacing w:line="400" w:lineRule="exact"/>
              <w:ind w:left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DAE1F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改造提升老旧设施棚室，2024年完成550亩。</w:t>
            </w:r>
          </w:p>
        </w:tc>
        <w:tc>
          <w:tcPr>
            <w:tcW w:w="5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B480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区农水局</w:t>
            </w:r>
          </w:p>
        </w:tc>
      </w:tr>
      <w:tr w14:paraId="242B1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2BF6DFD2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C2B9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文旅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5B3E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更新文旅设施设备，到2027年累计更新4台（套），新增2台（套），其中：2024年更新1台（套）、新增1台（套）；2025年更新1台（套）、新增1台（套）；2026更新1台（套）；2027年更新1台（套）。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B9D7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区文旅局</w:t>
            </w:r>
          </w:p>
        </w:tc>
      </w:tr>
      <w:tr w14:paraId="78C3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3407B3A4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E60A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教育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7ABB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添置更新小学实验室仪器设备、信息化教学设备，到2027年更新300台（套），其中：2024年60台（套），2025年80台（套），2026年80台（套），2027年80台（套）。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06BF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区教体局</w:t>
            </w:r>
          </w:p>
        </w:tc>
      </w:tr>
      <w:tr w14:paraId="64851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4A38FB46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0BCD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医疗卫生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5F97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更新医疗设备，到2027年更新医疗设备500台（套），其中：2024年50台（套），2025年150台（套）,2026年150台（套）,2027年150台（套）。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6B1E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区卫健委</w:t>
            </w:r>
          </w:p>
        </w:tc>
      </w:tr>
      <w:tr w14:paraId="350F9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614A1FF9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4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D1C8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  <w:t>实施消费品以旧换新行动</w:t>
            </w:r>
          </w:p>
        </w:tc>
      </w:tr>
      <w:tr w14:paraId="396C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07F44D31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3D19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家电产品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B58C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更新家电（含电冰箱、洗衣机、空调、电视等），到2027年更新36万台，其中：2024年10万台，2025年9万台，2026年9万台，2027年8万台。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34D6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区商务局</w:t>
            </w:r>
          </w:p>
        </w:tc>
      </w:tr>
      <w:tr w14:paraId="5CCA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6859DF55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方正小标宋简体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color w:val="333333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4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DB13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28"/>
                <w:szCs w:val="28"/>
                <w:lang w:eastAsia="zh-CN"/>
              </w:rPr>
              <w:t>实施标准升级行动</w:t>
            </w:r>
          </w:p>
        </w:tc>
      </w:tr>
      <w:tr w14:paraId="67ECF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088B90A2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D3A4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能耗、排放安全标准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3170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推动新制定实施能耗、能效、排放、安全领域的团体标准和企业标准，到2027年推动新制定实施2项标准，其中：2024年1项，2027年1项。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DE97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市场监管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局</w:t>
            </w:r>
          </w:p>
        </w:tc>
      </w:tr>
      <w:tr w14:paraId="4778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exact"/>
          <w:jc w:val="center"/>
        </w:trPr>
        <w:tc>
          <w:tcPr>
            <w:tcW w:w="347" w:type="pct"/>
            <w:tcBorders>
              <w:right w:val="single" w:color="auto" w:sz="4" w:space="0"/>
            </w:tcBorders>
            <w:vAlign w:val="center"/>
          </w:tcPr>
          <w:p w14:paraId="63B73A2D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7E43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产品技术标准</w:t>
            </w:r>
          </w:p>
        </w:tc>
        <w:tc>
          <w:tcPr>
            <w:tcW w:w="3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1762">
            <w:pPr>
              <w:pStyle w:val="7"/>
              <w:spacing w:line="40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推动新制定实施产品技术领域的团体标准和企业标准，到2027年推动新制定实施2项，其中：2024年1项，2027年1项。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87CF">
            <w:pPr>
              <w:pStyle w:val="7"/>
              <w:spacing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市场监管局</w:t>
            </w:r>
          </w:p>
        </w:tc>
      </w:tr>
    </w:tbl>
    <w:p w14:paraId="0BA89A5E"/>
    <w:sectPr>
      <w:pgSz w:w="16838" w:h="11906" w:orient="landscape"/>
      <w:pgMar w:top="1800" w:right="1440" w:bottom="1800" w:left="144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2BDB4B2B"/>
    <w:rsid w:val="2BDB4B2B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afterLines="50" w:line="590" w:lineRule="exact"/>
      <w:jc w:val="center"/>
      <w:outlineLvl w:val="0"/>
    </w:pPr>
    <w:rPr>
      <w:rFonts w:eastAsia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  <w:rPr>
      <w:rFonts w:ascii="Calibri" w:hAnsi="Calibri" w:eastAsia="宋体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7">
    <w:name w:val="Table Paragraph"/>
    <w:basedOn w:val="1"/>
    <w:qFormat/>
    <w:uiPriority w:val="99"/>
    <w:pPr>
      <w:ind w:left="108"/>
      <w:jc w:val="left"/>
    </w:pPr>
    <w:rPr>
      <w:rFonts w:ascii="方正仿宋_GBK" w:hAnsi="方正仿宋_GBK" w:cs="方正仿宋_GBK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2024-08-20T01:19:00Z</dcterms:created>
  <dc:creator>0803</dc:creator>
  <cp:lastModifiedBy>0803</cp:lastModifiedBy>
  <dcterms:modified xsi:type="dcterms:W3CDTF">2024-08-20T01:20:39Z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971006C9820A4514882EBA086E4AEC24_11</vt:lpwstr>
  </property>
</Properties>
</file>