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4"/>
        <w:ind w:left="524"/>
        <w:rPr>
          <w:rFonts w:hint="eastAsia" w:ascii="黑体" w:hAnsi="黑体" w:eastAsia="黑体" w:cs="黑体"/>
        </w:rPr>
      </w:pPr>
      <w:r>
        <w:rPr>
          <w:rFonts w:hint="eastAsia" w:ascii="黑体" w:hAnsi="黑体" w:eastAsia="黑体" w:cs="黑体"/>
        </w:rPr>
        <w:t>附件</w:t>
      </w:r>
    </w:p>
    <w:p>
      <w:pPr>
        <w:spacing w:before="295"/>
        <w:ind w:left="3597" w:right="3023" w:firstLine="0"/>
        <w:jc w:val="center"/>
        <w:rPr>
          <w:rFonts w:hint="eastAsia" w:ascii="方正小标宋简体" w:eastAsia="方正小标宋简体"/>
          <w:sz w:val="44"/>
        </w:rPr>
      </w:pPr>
      <w:bookmarkStart w:id="0" w:name="_GoBack"/>
      <w:r>
        <w:rPr>
          <w:rFonts w:hint="eastAsia" w:ascii="方正小标宋简体" w:eastAsia="方正小标宋简体"/>
          <w:sz w:val="44"/>
          <w:lang w:val="en-US" w:eastAsia="zh-CN"/>
        </w:rPr>
        <w:t>崇川区</w:t>
      </w:r>
      <w:r>
        <w:rPr>
          <w:rFonts w:hint="eastAsia" w:ascii="方正小标宋简体" w:eastAsia="方正小标宋简体"/>
          <w:sz w:val="44"/>
        </w:rPr>
        <w:t>行政许可事项清单（</w:t>
      </w:r>
      <w:r>
        <w:rPr>
          <w:rFonts w:ascii="Times New Roman" w:eastAsia="Times New Roman"/>
          <w:sz w:val="44"/>
        </w:rPr>
        <w:t>202</w:t>
      </w:r>
      <w:r>
        <w:rPr>
          <w:rFonts w:hint="eastAsia" w:ascii="Times New Roman" w:eastAsia="宋体"/>
          <w:sz w:val="44"/>
          <w:lang w:val="en-US" w:eastAsia="zh-CN"/>
        </w:rPr>
        <w:t>3</w:t>
      </w:r>
      <w:r>
        <w:rPr>
          <w:rFonts w:hint="eastAsia" w:ascii="方正小标宋简体" w:eastAsia="方正小标宋简体"/>
          <w:sz w:val="44"/>
        </w:rPr>
        <w:t>年版）</w:t>
      </w:r>
    </w:p>
    <w:bookmarkEnd w:id="0"/>
    <w:p>
      <w:pPr>
        <w:pStyle w:val="3"/>
        <w:spacing w:before="14"/>
        <w:rPr>
          <w:rFonts w:ascii="方正小标宋简体"/>
          <w:sz w:val="15"/>
        </w:rPr>
      </w:pPr>
    </w:p>
    <w:tbl>
      <w:tblPr>
        <w:tblStyle w:val="6"/>
        <w:tblW w:w="13856"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0"/>
        <w:gridCol w:w="2388"/>
        <w:gridCol w:w="2340"/>
        <w:gridCol w:w="2460"/>
        <w:gridCol w:w="4140"/>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blHeader/>
        </w:trPr>
        <w:tc>
          <w:tcPr>
            <w:tcW w:w="630" w:type="dxa"/>
            <w:vAlign w:val="center"/>
          </w:tcPr>
          <w:p>
            <w:pPr>
              <w:spacing w:line="240" w:lineRule="auto"/>
              <w:jc w:val="center"/>
            </w:pPr>
            <w:r>
              <w:rPr>
                <w:rFonts w:hint="eastAsia" w:ascii="黑体" w:hAnsi="仿宋_GB2312" w:eastAsia="黑体" w:cs="仿宋_GB2312"/>
                <w:snapToGrid/>
                <w:kern w:val="0"/>
                <w:sz w:val="24"/>
                <w:szCs w:val="22"/>
                <w:lang w:val="en-US" w:eastAsia="zh-CN" w:bidi="zh-CN"/>
              </w:rPr>
              <w:t>序号</w:t>
            </w:r>
          </w:p>
        </w:tc>
        <w:tc>
          <w:tcPr>
            <w:tcW w:w="2388" w:type="dxa"/>
            <w:vAlign w:val="center"/>
          </w:tcPr>
          <w:p>
            <w:pPr>
              <w:spacing w:line="240" w:lineRule="auto"/>
              <w:jc w:val="center"/>
              <w:rPr>
                <w:rFonts w:hint="eastAsia" w:ascii="黑体" w:hAnsi="仿宋_GB2312" w:eastAsia="黑体" w:cs="仿宋_GB2312"/>
                <w:snapToGrid/>
                <w:kern w:val="0"/>
                <w:sz w:val="24"/>
                <w:szCs w:val="22"/>
                <w:lang w:val="en-US" w:eastAsia="zh-CN" w:bidi="zh-CN"/>
              </w:rPr>
            </w:pPr>
            <w:r>
              <w:rPr>
                <w:rFonts w:hint="eastAsia" w:ascii="黑体" w:eastAsia="黑体"/>
                <w:sz w:val="24"/>
              </w:rPr>
              <w:t>主管部门</w:t>
            </w:r>
          </w:p>
        </w:tc>
        <w:tc>
          <w:tcPr>
            <w:tcW w:w="2340" w:type="dxa"/>
            <w:vAlign w:val="center"/>
          </w:tcPr>
          <w:p>
            <w:pPr>
              <w:spacing w:line="240" w:lineRule="auto"/>
              <w:jc w:val="center"/>
              <w:rPr>
                <w:rFonts w:hint="default" w:ascii="黑体" w:hAnsi="仿宋_GB2312" w:eastAsia="黑体" w:cs="仿宋_GB2312"/>
                <w:snapToGrid/>
                <w:kern w:val="0"/>
                <w:sz w:val="24"/>
                <w:szCs w:val="22"/>
                <w:lang w:val="en-US" w:eastAsia="zh-CN" w:bidi="zh-CN"/>
              </w:rPr>
            </w:pPr>
            <w:r>
              <w:rPr>
                <w:rFonts w:hint="eastAsia" w:ascii="黑体" w:hAnsi="仿宋_GB2312" w:eastAsia="黑体" w:cs="仿宋_GB2312"/>
                <w:sz w:val="24"/>
                <w:szCs w:val="22"/>
                <w:lang w:val="en-US" w:eastAsia="zh-CN" w:bidi="zh-CN"/>
              </w:rPr>
              <w:t>事项名称</w:t>
            </w:r>
          </w:p>
        </w:tc>
        <w:tc>
          <w:tcPr>
            <w:tcW w:w="2460" w:type="dxa"/>
            <w:vAlign w:val="center"/>
          </w:tcPr>
          <w:p>
            <w:pPr>
              <w:spacing w:line="240" w:lineRule="auto"/>
              <w:jc w:val="center"/>
              <w:rPr>
                <w:rFonts w:hint="default" w:ascii="黑体" w:hAnsi="仿宋_GB2312" w:eastAsia="黑体" w:cs="仿宋_GB2312"/>
                <w:snapToGrid/>
                <w:kern w:val="0"/>
                <w:sz w:val="24"/>
                <w:szCs w:val="22"/>
                <w:lang w:val="en-US" w:eastAsia="zh-CN" w:bidi="zh-CN"/>
              </w:rPr>
            </w:pPr>
            <w:r>
              <w:rPr>
                <w:rFonts w:hint="eastAsia" w:ascii="黑体" w:hAnsi="仿宋_GB2312" w:eastAsia="黑体" w:cs="仿宋_GB2312"/>
                <w:sz w:val="24"/>
                <w:szCs w:val="22"/>
                <w:lang w:val="en-US" w:eastAsia="zh-CN" w:bidi="zh-CN"/>
              </w:rPr>
              <w:t>实施机关</w:t>
            </w:r>
          </w:p>
        </w:tc>
        <w:tc>
          <w:tcPr>
            <w:tcW w:w="4140" w:type="dxa"/>
            <w:vAlign w:val="center"/>
          </w:tcPr>
          <w:p>
            <w:pPr>
              <w:spacing w:line="240" w:lineRule="auto"/>
              <w:jc w:val="center"/>
              <w:rPr>
                <w:rFonts w:hint="default" w:ascii="黑体" w:hAnsi="仿宋_GB2312" w:eastAsia="黑体" w:cs="仿宋_GB2312"/>
                <w:snapToGrid/>
                <w:kern w:val="0"/>
                <w:sz w:val="24"/>
                <w:szCs w:val="22"/>
                <w:lang w:val="en-US" w:eastAsia="zh-CN" w:bidi="zh-CN"/>
              </w:rPr>
            </w:pPr>
            <w:r>
              <w:rPr>
                <w:rFonts w:hint="eastAsia" w:ascii="黑体" w:hAnsi="仿宋_GB2312" w:eastAsia="黑体" w:cs="仿宋_GB2312"/>
                <w:sz w:val="24"/>
                <w:szCs w:val="22"/>
                <w:lang w:val="en-US" w:eastAsia="zh-CN" w:bidi="zh-CN"/>
              </w:rPr>
              <w:t>设定和实施依据</w:t>
            </w:r>
          </w:p>
        </w:tc>
        <w:tc>
          <w:tcPr>
            <w:tcW w:w="1898" w:type="dxa"/>
            <w:vAlign w:val="center"/>
          </w:tcPr>
          <w:p>
            <w:pPr>
              <w:spacing w:line="240" w:lineRule="auto"/>
              <w:jc w:val="center"/>
              <w:rPr>
                <w:rFonts w:hint="eastAsia" w:ascii="黑体" w:hAnsi="仿宋_GB2312" w:eastAsia="黑体" w:cs="仿宋_GB2312"/>
                <w:snapToGrid/>
                <w:kern w:val="0"/>
                <w:sz w:val="24"/>
                <w:szCs w:val="22"/>
                <w:lang w:val="en-US" w:eastAsia="zh-CN" w:bidi="zh-CN"/>
              </w:rPr>
            </w:pPr>
            <w:r>
              <w:rPr>
                <w:rFonts w:hint="eastAsia" w:ascii="黑体" w:hAnsi="仿宋_GB2312" w:eastAsia="黑体" w:cs="仿宋_GB2312"/>
                <w:sz w:val="24"/>
                <w:szCs w:val="22"/>
                <w:lang w:val="en-US" w:eastAsia="zh-CN" w:bidi="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3856" w:type="dxa"/>
            <w:gridSpan w:val="6"/>
            <w:vAlign w:val="center"/>
          </w:tcPr>
          <w:p>
            <w:pPr>
              <w:pStyle w:val="7"/>
              <w:keepNext w:val="0"/>
              <w:keepLines w:val="0"/>
              <w:pageBreakBefore w:val="0"/>
              <w:widowControl w:val="0"/>
              <w:kinsoku/>
              <w:wordWrap/>
              <w:overflowPunct/>
              <w:topLinePunct w:val="0"/>
              <w:autoSpaceDE w:val="0"/>
              <w:autoSpaceDN w:val="0"/>
              <w:bidi w:val="0"/>
              <w:adjustRightInd/>
              <w:snapToGrid/>
              <w:spacing w:beforeAutospacing="0" w:after="0" w:line="240" w:lineRule="auto"/>
              <w:ind w:left="1320" w:leftChars="600" w:right="1883" w:rightChars="856" w:firstLine="0" w:firstLine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z w:val="24"/>
                <w:szCs w:val="22"/>
                <w:lang w:val="en-US" w:eastAsia="zh-CN"/>
              </w:rPr>
              <w:t>法律、行政法规、国务院决定设定的行政许可事项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区委办公室         （区档案局）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left"/>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rPr>
              <w:t>延期移交档案审批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left"/>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区委办公室（区档案局）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left"/>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《中华人民共和国档案法实施办法》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区委宣传部         （区新闻出版局）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出版物零售业务经营许可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区行政审批局/区新闻出版局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《出版管理条例》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区委宣传部</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电影放映单位设立审批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《中华人民共和国电影产业促进法》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《电影管理条例》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《外商投资电影院暂行规定》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区委统战部         （区侨办）</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华侨回国定居审批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区侨办（初审）</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《中华人民共和国出境入境管理法》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《华侨回国定居办理工作规定》（国侨发〔2013〕18号）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区委编办             （区事业单位登记管理局）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事业单位登记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区事业单位登记管理局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《事业单位登记管理暂行条例》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《事业单位登记管理暂行条例实施细则》(中央编办发〔2014〕4号)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区发展和改革委员会；区工业和信息化局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固定资产投资项目核准（含国发〔2016〕72号文件规定的外商投资项目）</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区政府（由</w:t>
            </w:r>
            <w:r>
              <w:rPr>
                <w:rFonts w:hint="eastAsia" w:ascii="仿宋_GB2312" w:hAnsi="仿宋_GB2312" w:eastAsia="仿宋_GB2312" w:cs="仿宋_GB2312"/>
                <w:snapToGrid/>
                <w:kern w:val="0"/>
                <w:sz w:val="24"/>
                <w:szCs w:val="22"/>
                <w:lang w:val="en-US" w:eastAsia="zh-CN"/>
              </w:rPr>
              <w:t>区行政审批局</w:t>
            </w:r>
            <w:r>
              <w:rPr>
                <w:rFonts w:hint="eastAsia" w:cs="仿宋_GB2312"/>
                <w:snapToGrid/>
                <w:kern w:val="0"/>
                <w:sz w:val="24"/>
                <w:szCs w:val="22"/>
                <w:lang w:val="en-US" w:eastAsia="zh-CN"/>
              </w:rPr>
              <w:t>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《企业投资项目核准和备案管理条例》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《国务院关于发布政府核准的投资项目目录(2016年本）的通知》（国发〔2016〕72号）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区发展和改革委员会；区工业和信息化局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固定资产投资项目节能审查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《中华人民共和国节约能源法》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《固定资产投资项目节能审查办法》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民办、中外合作开办中等及以下学校和其他教育机构筹设审批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《中华人民共和国民办教育促进法》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《中华人民共和国中外合作办学条例》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《国务院关于当前发展学前教育的若干意见》（国发〔2010〕41号）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中等及以下学校和其他教育机构设置审批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《中华人民共和国教育法》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《中华人民共和国民办教育促进法》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《中华人民共和国民办教育促进法实施条例》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《中华人民共和国中外合作办学条例》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mc:AlternateContent>
                <mc:Choice Requires="wps">
                  <w:drawing>
                    <wp:anchor distT="0" distB="0" distL="114300" distR="114300" simplePos="0" relativeHeight="251660288" behindDoc="0" locked="0" layoutInCell="1" allowOverlap="1">
                      <wp:simplePos x="0" y="0"/>
                      <wp:positionH relativeFrom="page">
                        <wp:posOffset>15240</wp:posOffset>
                      </wp:positionH>
                      <wp:positionV relativeFrom="page">
                        <wp:posOffset>1698625</wp:posOffset>
                      </wp:positionV>
                      <wp:extent cx="2916555" cy="76200"/>
                      <wp:effectExtent l="0" t="0" r="0" b="0"/>
                      <wp:wrapNone/>
                      <wp:docPr id="2" name="文本框 2"/>
                      <wp:cNvGraphicFramePr/>
                      <a:graphic xmlns:a="http://schemas.openxmlformats.org/drawingml/2006/main">
                        <a:graphicData uri="http://schemas.microsoft.com/office/word/2010/wordprocessingShape">
                          <wps:wsp>
                            <wps:cNvSpPr txBox="1"/>
                            <wps:spPr>
                              <a:xfrm rot="-10800000" flipV="1">
                                <a:off x="0" y="0"/>
                                <a:ext cx="2916555" cy="76200"/>
                              </a:xfrm>
                              <a:prstGeom prst="rect">
                                <a:avLst/>
                              </a:prstGeom>
                              <a:noFill/>
                              <a:ln>
                                <a:noFill/>
                              </a:ln>
                            </wps:spPr>
                            <wps:txbx>
                              <w:txbxContent>
                                <w:p>
                                  <w:pPr>
                                    <w:spacing w:line="240" w:lineRule="auto"/>
                                  </w:pPr>
                                </w:p>
                              </w:txbxContent>
                            </wps:txbx>
                            <wps:bodyPr lIns="0" tIns="0" rIns="0" bIns="0" upright="1"/>
                          </wps:wsp>
                        </a:graphicData>
                      </a:graphic>
                    </wp:anchor>
                  </w:drawing>
                </mc:Choice>
                <mc:Fallback>
                  <w:pict>
                    <v:shape id="_x0000_s1026" o:spid="_x0000_s1026" o:spt="202" type="#_x0000_t202" style="position:absolute;left:0pt;flip:y;margin-left:1.2pt;margin-top:133.75pt;height:6pt;width:229.65pt;mso-position-horizontal-relative:page;mso-position-vertical-relative:page;rotation:11796480f;z-index:251660288;mso-width-relative:page;mso-height-relative:page;" filled="f" stroked="f" coordsize="21600,21600" o:gfxdata="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BTUYjZAAAACQEAAA8AAAAAAAAAAQAgAAAAIgAAAGRy&#10;cy9kb3ducmV2LnhtbFBLAQIUABQAAAAIAIdO4kDO+66SywEAAIsDAAAOAAAAAAAAAAEAIAAAACgB&#10;AABkcnMvZTJvRG9jLnhtbFBLBQYAAAAABgAGAFkBAABlBQAAAAA=&#10;">
                      <v:fill on="f" focussize="0,0"/>
                      <v:stroke on="f"/>
                      <v:imagedata o:title=""/>
                      <o:lock v:ext="edit" aspectratio="f"/>
                      <v:textbox inset="0mm,0mm,0mm,0mm">
                        <w:txbxContent>
                          <w:p>
                            <w:pPr>
                              <w:spacing w:line="240" w:lineRule="auto"/>
                            </w:pPr>
                          </w:p>
                        </w:txbxContent>
                      </v:textbox>
                    </v:shape>
                  </w:pict>
                </mc:Fallback>
              </mc:AlternateContent>
            </w:r>
            <w:r>
              <w:rPr>
                <w:rFonts w:hint="eastAsia" w:ascii="仿宋_GB2312" w:hAnsi="仿宋_GB2312" w:eastAsia="仿宋_GB2312" w:cs="仿宋_GB2312"/>
                <w:snapToGrid/>
                <w:kern w:val="0"/>
                <w:sz w:val="24"/>
                <w:szCs w:val="22"/>
                <w:lang w:val="en-US" w:eastAsia="zh-CN"/>
              </w:rPr>
              <w:t>《国务院关于当前发展学前教育的若干意见》（国发〔2010〕41号）</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《国务院办公厅关于规范校外培训机构发展的意见》(国办发〔2018〕80号)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从事文艺、体育等专业训练的社会组织自行实施义务教育审批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《中华人民共和国义务教育法》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校车使用许可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区政府（由</w:t>
            </w:r>
            <w:r>
              <w:rPr>
                <w:rFonts w:hint="eastAsia" w:ascii="仿宋_GB2312" w:hAnsi="仿宋_GB2312" w:eastAsia="仿宋_GB2312" w:cs="仿宋_GB2312"/>
                <w:snapToGrid/>
                <w:kern w:val="0"/>
                <w:sz w:val="24"/>
                <w:szCs w:val="22"/>
                <w:lang w:val="en-US" w:eastAsia="zh-CN"/>
              </w:rPr>
              <w:t>区教育体育局会同公安机关、交通运输部门承办）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《校车安全管理条例》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教师资格认定</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《中华人民共和国教师法》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《教师资格条例》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《国家职业资格目录（2021年版）》</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适龄儿童、少年因身体状况需要延缓入学或者休学审批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区教育体育局；街道办事处</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《中华人民共和国义务教育法》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区委统战部</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w:t>
            </w:r>
            <w:r>
              <w:rPr>
                <w:rFonts w:hint="eastAsia" w:ascii="仿宋_GB2312" w:hAnsi="仿宋_GB2312" w:eastAsia="仿宋_GB2312" w:cs="仿宋_GB2312"/>
                <w:snapToGrid/>
                <w:kern w:val="0"/>
                <w:sz w:val="24"/>
                <w:szCs w:val="22"/>
                <w:lang w:val="en-US" w:eastAsia="zh-CN"/>
              </w:rPr>
              <w:t>区民族宗教事务局</w:t>
            </w:r>
            <w:r>
              <w:rPr>
                <w:rFonts w:hint="eastAsia" w:cs="仿宋_GB2312"/>
                <w:snapToGrid/>
                <w:kern w:val="0"/>
                <w:sz w:val="24"/>
                <w:szCs w:val="22"/>
                <w:lang w:val="en-US" w:eastAsia="zh-CN"/>
              </w:rPr>
              <w:t>）</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宗教活动场所筹备设立审批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区民族宗教事务局（初审</w:t>
            </w:r>
            <w:r>
              <w:rPr>
                <w:rFonts w:hint="eastAsia" w:cs="仿宋_GB2312"/>
                <w:snapToGrid/>
                <w:kern w:val="0"/>
                <w:sz w:val="24"/>
                <w:szCs w:val="22"/>
                <w:lang w:val="en-US" w:eastAsia="zh-CN"/>
              </w:rPr>
              <w:t>省民宗委及市民族宗教事务局事权事项</w:t>
            </w:r>
            <w:r>
              <w:rPr>
                <w:rFonts w:hint="eastAsia" w:ascii="仿宋_GB2312" w:hAnsi="仿宋_GB2312" w:eastAsia="仿宋_GB2312" w:cs="仿宋_GB2312"/>
                <w:snapToGrid/>
                <w:kern w:val="0"/>
                <w:sz w:val="24"/>
                <w:szCs w:val="22"/>
                <w:lang w:val="en-US" w:eastAsia="zh-CN"/>
              </w:rPr>
              <w:t>）</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区委统战部</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w:t>
            </w:r>
            <w:r>
              <w:rPr>
                <w:rFonts w:hint="eastAsia" w:ascii="仿宋_GB2312" w:hAnsi="仿宋_GB2312" w:eastAsia="仿宋_GB2312" w:cs="仿宋_GB2312"/>
                <w:snapToGrid/>
                <w:kern w:val="0"/>
                <w:sz w:val="24"/>
                <w:szCs w:val="22"/>
                <w:lang w:val="en-US" w:eastAsia="zh-CN"/>
              </w:rPr>
              <w:t>区民族宗教事务局</w:t>
            </w:r>
            <w:r>
              <w:rPr>
                <w:rFonts w:hint="eastAsia" w:cs="仿宋_GB2312"/>
                <w:snapToGrid/>
                <w:kern w:val="0"/>
                <w:sz w:val="24"/>
                <w:szCs w:val="22"/>
                <w:lang w:val="en-US" w:eastAsia="zh-CN"/>
              </w:rPr>
              <w:t>）</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宗教活动场所设立、变更、注销登记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区民族宗教事务局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区委统战部</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w:t>
            </w:r>
            <w:r>
              <w:rPr>
                <w:rFonts w:hint="eastAsia" w:ascii="仿宋_GB2312" w:hAnsi="仿宋_GB2312" w:eastAsia="仿宋_GB2312" w:cs="仿宋_GB2312"/>
                <w:snapToGrid/>
                <w:kern w:val="0"/>
                <w:sz w:val="24"/>
                <w:szCs w:val="22"/>
                <w:lang w:val="en-US" w:eastAsia="zh-CN"/>
              </w:rPr>
              <w:t>区民族宗教事务局</w:t>
            </w:r>
            <w:r>
              <w:rPr>
                <w:rFonts w:hint="eastAsia" w:cs="仿宋_GB2312"/>
                <w:snapToGrid/>
                <w:kern w:val="0"/>
                <w:sz w:val="24"/>
                <w:szCs w:val="22"/>
                <w:lang w:val="en-US" w:eastAsia="zh-CN"/>
              </w:rPr>
              <w:t>）</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宗教活动场所内改建或者新建建筑物许可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区民族宗教事务局（初审）；区民族宗教事务局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《宗教事务部分行政许可项目实施办法》（国宗发〔2018〕11号）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区委统战部</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w:t>
            </w:r>
            <w:r>
              <w:rPr>
                <w:rFonts w:hint="eastAsia" w:ascii="仿宋_GB2312" w:hAnsi="仿宋_GB2312" w:eastAsia="仿宋_GB2312" w:cs="仿宋_GB2312"/>
                <w:snapToGrid/>
                <w:kern w:val="0"/>
                <w:sz w:val="24"/>
                <w:szCs w:val="22"/>
                <w:lang w:val="en-US" w:eastAsia="zh-CN"/>
              </w:rPr>
              <w:t>区民族宗教事务局</w:t>
            </w:r>
            <w:r>
              <w:rPr>
                <w:rFonts w:hint="eastAsia" w:cs="仿宋_GB2312"/>
                <w:snapToGrid/>
                <w:kern w:val="0"/>
                <w:sz w:val="24"/>
                <w:szCs w:val="22"/>
                <w:lang w:val="en-US" w:eastAsia="zh-CN"/>
              </w:rPr>
              <w:t>）</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宗教临时活动地点审批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区民族宗教事务局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区委统战部</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w:t>
            </w:r>
            <w:r>
              <w:rPr>
                <w:rFonts w:hint="eastAsia" w:ascii="仿宋_GB2312" w:hAnsi="仿宋_GB2312" w:eastAsia="仿宋_GB2312" w:cs="仿宋_GB2312"/>
                <w:snapToGrid/>
                <w:kern w:val="0"/>
                <w:sz w:val="24"/>
                <w:szCs w:val="22"/>
                <w:lang w:val="en-US" w:eastAsia="zh-CN"/>
              </w:rPr>
              <w:t>区民族宗教事务局</w:t>
            </w:r>
            <w:r>
              <w:rPr>
                <w:rFonts w:hint="eastAsia" w:cs="仿宋_GB2312"/>
                <w:snapToGrid/>
                <w:kern w:val="0"/>
                <w:sz w:val="24"/>
                <w:szCs w:val="22"/>
                <w:lang w:val="en-US" w:eastAsia="zh-CN"/>
              </w:rPr>
              <w:t>）</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宗教团体、宗教院校、宗教活动场所接受境外捐赠审批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区民族宗教事务局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《宗教事务部分行政许可项目实施办法》（国宗发〔2018〕11号）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民用枪支及枪支主要零部件、弹药配置许可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《中华人民共和国枪支管理法》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举行集会游行示威许可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《中华人民共和国集会游行示威法》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《中华人民共和国集会游行示威法实施条例》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大型群众性活动安全许可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《中华人民共和国消防法》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《大型群众性活动安全管理条例》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公章刻制业特种行业许可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《印铸刻字业暂行管理规则》</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《公安部关于深化娱乐服务场所和特种行业治安管理改革进一步依法加强事中事后监管的工作意见》（公治〔2017〕529号）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旅馆业特种行业许可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《旅馆业治安管理办法》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《公安部关于深化娱乐服务场所和特种行业治安管理改革进一步依法加强事中事后监管的工作意见》（公治〔2017〕529号）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互联网上网服务营业场所信息网络安全审核</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《互联网上网服务营业场所管理条例》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举办焰火晚会及其他大型焰火燃放活动许可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《公安部办公厅关于贯彻执行〈大型焰火燃放作业人员资格条件及管理〉和〈大型焰火燃放作业单位资质条件及管理〉有关事项的通知》（公治〔2010〕592号）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烟花爆竹道路运输许可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公安分局（运达地或者启运地）</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《关于优化烟花爆竹道路运输许可审批进一步深化烟花爆竹“放管服”改革工作的通知》（公治安明发〔2019〕218号）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民用爆炸物品购买许可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《民用爆炸物品安全管理条例》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民用爆炸物品运输许可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公安分局（运达地）</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《民用爆炸物品安全管理条例》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29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剧毒化学品购买许可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剧毒化学品道路运输通行许可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《剧毒化学品购买和公路运输许可证件管理办法》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放射性物品道路运输许可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《中华人民共和国核安全法》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《放射性物品运输安全管理条例》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运输危险化学品的车辆进入危险化学品运输车辆限制通行区域审批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spacing w:before="3" w:line="218" w:lineRule="auto"/>
              <w:ind w:left="57" w:right="45"/>
              <w:jc w:val="both"/>
              <w:rPr>
                <w:sz w:val="24"/>
              </w:rPr>
            </w:pPr>
            <w:r>
              <w:rPr>
                <w:sz w:val="24"/>
              </w:rPr>
              <w:t>易制毒化学品购买许可（除第一类中的药品类易制毒化学品</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sz w:val="24"/>
              </w:rPr>
              <w:t>外）</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《中华人民共和国禁毒法》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《易制毒化学品管理条例》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易制毒化学品运输许可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《中华人民共和国禁毒法》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《易制毒化学品管理条例》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金融机构营业场所和金库安全防范设施建设方案审批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《金融机构营业场所和金库安全防范设施建设许可实施办法》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center"/>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金融机构营业场所和金库安全防范设施建设工程验收</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《金融机构营业场所和金库安全防范设施建设许可实施办法》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户口迁移审批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《中华人民共和国户口登记条例》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犬类准养证核发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《中华人民共和国动物防疫法》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《中华人民共和国传染病防治法实施办法》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39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普通护照签发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公安分局（受国家移民局委托）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《中华人民共和国护照法》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出入境通行证签发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公安分局（受国家移民局委托）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《中华人民共和国护照法》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《中国公民因私事往来香港地区或者澳门地区的暂行管理办法》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边境管理区通行证核发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公安分局（含指定的派出所）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内地居民前往港澳通行证、往来港澳通行证及签注签发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公安分局（受中华人民共和国出入境管理局委托）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《中国公民因私事往来香港地区或者澳门地区的暂行管理办法》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港澳居民来往内地通行证签发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公安分局（受中华人民共和国出入境管理局委托）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《中国公民因私事往来香港地区或者澳门地区的暂行管理办法》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大陆居民往来台湾通行证及签注签发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公安分局（受中华人民共和国出入境管理局委托）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《中国公民往来台湾地区管理办法》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公安分局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台湾居民来往大陆通行证签发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公安分局（受中华人民共和国出入境管理局委托）</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《中国公民往来台湾地区管理办法》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区民政局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sz w:val="24"/>
              </w:rPr>
              <w:t>社会团体成立、变更注销登记及修改章程核准</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区民政局（实行登记管理机关和业务主管单位双重负责管理体制的，由有关业务主管单位实施前置审查）</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《社会团体登记管理条例》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区民政局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sz w:val="24"/>
              </w:rPr>
              <w:t>民办非企业单位成立、变更、注销登记及修改章程核准</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区民政局（实行登记管理机关和业务主管单位双重负责管理体制的，由有关业务主管单位实施前置审查）</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《民办非企业单位登记管理暂行条例》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区民政局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宗教活动场所法人成立、变更、注销登记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区民政局（由区民族宗教事务局实施前置审查）</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《宗教事务条例》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49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区民政局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慈善组织公开募捐资格审批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区民政局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《中华人民共和国慈善法》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区民政局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殡葬设施建设审批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区政府；区民政局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《殡葬管理条例》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区财政局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中介机构从事代理记账业务审批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区财政局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《中华人民共和国会计法》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《代理记账管理办法》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区人力资源和社会保障局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职业培训学校筹设审批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区人力资源和社会保障局（负责民办职业培训学校办学许可）</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《中华人民共和国民办教育促进法》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《中华人民共和国中外合作办学条例》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区人力资源和社会保障局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职业培训学校办学许可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区人力资源和社会保障局（负责民办职业培训学校办学许可）</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《中华人民共和国民办教育促进法》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《中华人民共和国中外合作办学条例》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区人力资源和社会保障局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人力资源服务许可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区人力资源和社会保障局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《中华人民共和国就业促进法》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《人力资源市场暂行条例》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区人力资源和社会保障局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劳务派遣经营许可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区人力资源和社会保障局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《中华人民共和国劳动合同法》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《劳务派遣行政许可实施办法》</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区人力资源和社会保障局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企业实行不定时工作制和综合计算工时工作制审批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区人力资源和社会保障局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《中华人民共和国劳动法》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《关于企业实行不定时工作制和综合计算工时工作制的审批办法》(劳部发〔1994〕503号)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57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崇川生态环境局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一般建设项目环境影响评价审批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《中华人民共和国环境保护法》                              《中华人民共和国环境影响评价法》                      《中华人民共和国水污染防治法》                          《中华人民共和国大气污染防治法》                      《中华人民共和国土壤污染防治法》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《中华人民共和国固体废物污染环境防治法》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《中华人民共和国环境噪声污染防治法》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建设项目环境保护管理条例</w:t>
            </w:r>
            <w:r>
              <w:rPr>
                <w:rFonts w:hint="eastAsia" w:ascii="仿宋_GB2312" w:hAnsi="仿宋_GB2312" w:eastAsia="仿宋_GB2312" w:cs="仿宋_GB2312"/>
                <w:snapToGrid/>
                <w:kern w:val="0"/>
                <w:sz w:val="24"/>
                <w:szCs w:val="22"/>
                <w:lang w:val="en-US" w:eastAsia="zh-CN"/>
              </w:rPr>
              <w:t>》</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highlight w:val="none"/>
                <w:lang w:val="en-US" w:eastAsia="zh-CN"/>
              </w:rPr>
            </w:pPr>
            <w:r>
              <w:rPr>
                <w:rFonts w:hint="eastAsia" w:cs="仿宋_GB2312"/>
                <w:snapToGrid/>
                <w:kern w:val="0"/>
                <w:sz w:val="24"/>
                <w:szCs w:val="22"/>
                <w:highlight w:val="none"/>
                <w:lang w:val="en-US" w:eastAsia="zh-CN"/>
              </w:rPr>
              <w:t>58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崇川生态环境局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江河、湖泊新建、改建或者扩大排污口审批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崇川生态环境局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《中华人民共和国水污染防治法》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《中华人民共和国长江保护法》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《中央编办关于生态环境部流域生态环境监管机构设置有关事项的通知》(中编办发〔2019〕26号)</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2" w:hRule="atLeast"/>
        </w:trPr>
        <w:tc>
          <w:tcPr>
            <w:tcW w:w="630" w:type="dxa"/>
            <w:vAlign w:val="center"/>
          </w:tcPr>
          <w:p>
            <w:pPr>
              <w:pStyle w:val="7"/>
              <w:widowControl w:val="0"/>
              <w:kinsoku/>
              <w:adjustRightInd/>
              <w:snapToGrid/>
              <w:spacing w:before="160" w:after="0" w:line="240" w:lineRule="auto"/>
              <w:ind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59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崇川生态环境局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拆除或闲置海洋工程环境保护设施审批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崇川生态环境局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《中华人民共和国环境保护法》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《中华人民共和国海洋环境保护法》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《防治海洋工程建设项目污染损害海洋环境管理条例》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崇川生态环境局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危险废物经营许可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《中华人民共和国固体废物污染环境防治法》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危险废物经营许可证管理办法</w:t>
            </w:r>
            <w:r>
              <w:rPr>
                <w:rFonts w:hint="eastAsia" w:ascii="仿宋_GB2312" w:hAnsi="仿宋_GB2312" w:eastAsia="仿宋_GB2312" w:cs="仿宋_GB2312"/>
                <w:snapToGrid/>
                <w:kern w:val="0"/>
                <w:sz w:val="24"/>
                <w:szCs w:val="22"/>
                <w:lang w:val="en-US" w:eastAsia="zh-CN"/>
              </w:rPr>
              <w:t>》</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cs="仿宋_GB2312"/>
                <w:snapToGrid/>
                <w:kern w:val="0"/>
                <w:sz w:val="24"/>
                <w:szCs w:val="22"/>
                <w:lang w:val="en-US" w:eastAsia="zh-CN"/>
              </w:rPr>
              <w:t>崇川生态环境局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延长危险废物贮存期限审批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崇川生态环境局</w:t>
            </w:r>
            <w:r>
              <w:rPr>
                <w:rFonts w:hint="eastAsia" w:ascii="仿宋_GB2312" w:hAnsi="仿宋_GB2312" w:eastAsia="仿宋_GB2312" w:cs="仿宋_GB2312"/>
                <w:snapToGrid/>
                <w:kern w:val="0"/>
                <w:sz w:val="24"/>
                <w:szCs w:val="22"/>
                <w:lang w:val="en-US" w:eastAsia="zh-CN"/>
              </w:rPr>
              <w:t>（受市生态环境部门委托实施）</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《中华人民共和国固体废物污染环境防治法》</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关闭、闲置、拆除城市环境卫生设施许可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区城市管理局会同</w:t>
            </w:r>
            <w:r>
              <w:rPr>
                <w:rFonts w:hint="eastAsia" w:cs="仿宋_GB2312"/>
                <w:snapToGrid/>
                <w:kern w:val="0"/>
                <w:sz w:val="24"/>
                <w:szCs w:val="22"/>
                <w:lang w:val="en-US" w:eastAsia="zh-CN"/>
              </w:rPr>
              <w:t>崇川生态环境局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《中华人民共和国固体废物污染环境防治法》</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拆除环境卫生设施许可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《城市市容和环境卫生管理条例》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从事城市生活垃圾经营性清扫、收集、运输、处理服务审批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城市建筑垃圾处置核准</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燃气经营许可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《城镇燃气管理条例》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燃气经营者改动市政燃气设施审批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《城镇燃气管理条例》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《国务院关于第六批取消和调整行政审批项目的决定》（国发〔2012〕52号）</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6</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市政设施建设类审批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区政府（由区市政和绿化管理局承办)；区市政和绿化管理局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《城市道路管理条例》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69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特殊车辆在城市道路上行驶审批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《城市道路管理条例》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70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改变绿化规划、绿化用地的使用性质审批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工程建设涉及城市绿地、树木审批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《城市绿化条例》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区住房和城乡建设局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在村庄、集镇规划区内公共场所修建临时建筑等设施审批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街道办事处</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《村庄和集镇规划建设管理条例》</w:t>
            </w:r>
          </w:p>
        </w:tc>
        <w:tc>
          <w:tcPr>
            <w:tcW w:w="1898" w:type="dxa"/>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设置大型户外广告及在城市建筑物、设施上悬挂、张贴宣传品审批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《城市市容和环境卫生管理条例》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临时性建筑物搭建、堆放物料、占道施工审批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《城市市容和环境卫生管理条例》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道路旅客运输站经营许可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《中华人民共和国道路运输条例》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道路旅客运输及客运站管理规定</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道路货物运输经营许可（除使用4500千克及以下普通货运车辆从事普通货运经营外）</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《中华人民共和国道路运输条例》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《道路货物运输及站场管理规定》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设置或者撤销内河渡口审批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w:t>
            </w:r>
            <w:r>
              <w:rPr>
                <w:rFonts w:hint="eastAsia" w:cs="仿宋_GB2312"/>
                <w:snapToGrid/>
                <w:kern w:val="0"/>
                <w:sz w:val="24"/>
                <w:szCs w:val="22"/>
                <w:lang w:val="en-US" w:eastAsia="zh-CN"/>
              </w:rPr>
              <w:t>级</w:t>
            </w:r>
            <w:r>
              <w:rPr>
                <w:rFonts w:hint="eastAsia" w:ascii="仿宋_GB2312" w:hAnsi="仿宋_GB2312" w:eastAsia="仿宋_GB2312" w:cs="仿宋_GB2312"/>
                <w:snapToGrid/>
                <w:kern w:val="0"/>
                <w:sz w:val="24"/>
                <w:szCs w:val="22"/>
                <w:lang w:val="en-US" w:eastAsia="zh-CN"/>
              </w:rPr>
              <w:t>交通运输部门承办）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《中华人民共和国内河交通安全管理条例》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7</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洪水影响评价类审批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《中华人民共和国防洪法》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《中华人民共和国河道管理条例》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《中华人民共和国水文条例》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79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河道管理范围内特定活动审批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《中华人民共和国河道管理条例》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河道采砂许可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《中华人民共和国长江保护法》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《中华人民共和国河道管理条例》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《长江河道采砂管理条例》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生产建设项目水土保持方案审批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《中华人民共和国水土保持法》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占用农业灌溉水源、灌排工程设施审批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利用堤顶、戗台兼做公路审批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《中华人民共和国河道管理条例》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大坝管理和保护范围内修建码头、鱼塘许可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《水库大坝安全管理条例》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农药经营许可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《农药管理条例》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兽药经营许可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区农业农村和水利局（受省农业农村厅委托实施）；区农业农村和水利局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《兽药管理条例》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农作物种子生产经营许可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《中华人民共和国种子法》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《农业转基因生物安全管理条例》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农作物种子生产经营许可管理办法</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8</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食用菌菌种生产经营许可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区农业农村和水利局（受理市农业农村局事权事项）；区农业农村和水利局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《中华人民共和国种子法》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《食用菌菌种管理办法》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89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使用低于国家或地方规定的种用标准的农作物</w:t>
            </w:r>
            <w:r>
              <w:rPr>
                <w:rFonts w:hint="eastAsia" w:ascii="仿宋_GB2312" w:hAnsi="仿宋_GB2312" w:eastAsia="仿宋_GB2312" w:cs="仿宋_GB2312"/>
                <w:snapToGrid/>
                <w:kern w:val="0"/>
                <w:sz w:val="24"/>
                <w:szCs w:val="22"/>
                <w:lang w:val="en-US"/>
              </w:rPr>
              <w:t>种子审批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区政府（由区农业农村和水利局承办）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《中华人民共和国种子法》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种畜禽生产经营许可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《中华人民共和国畜牧法》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《农业转基因生物安全管理条例》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《养蜂管理办法（试行）》（农业部公告第1692号)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农业植物检疫证书核发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r>
              <w:rPr>
                <w:rFonts w:hint="eastAsia" w:cs="仿宋_GB2312"/>
                <w:snapToGrid/>
                <w:kern w:val="0"/>
                <w:sz w:val="24"/>
                <w:szCs w:val="22"/>
                <w:lang w:val="en-US" w:eastAsia="zh-CN"/>
              </w:rPr>
              <w:t>及其所属的植物检疫机构</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《植物检疫条例》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农业植物产地检疫合格证签发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r>
              <w:rPr>
                <w:rFonts w:hint="eastAsia" w:cs="仿宋_GB2312"/>
                <w:snapToGrid/>
                <w:kern w:val="0"/>
                <w:sz w:val="24"/>
                <w:szCs w:val="22"/>
                <w:lang w:val="en-US" w:eastAsia="zh-CN"/>
              </w:rPr>
              <w:t>及其所属的植物检疫机构</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《植物检疫条例》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动物及动物产品检疫合格证核发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《中华人民共和国动物防疫法》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《动物检疫管理办法》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动物防疫条件合格证核发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《中华人民共和国动物防疫法》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《动物防疫</w:t>
            </w:r>
            <w:r>
              <w:rPr>
                <w:rFonts w:hint="eastAsia" w:cs="仿宋_GB2312"/>
                <w:snapToGrid/>
                <w:kern w:val="0"/>
                <w:sz w:val="24"/>
                <w:szCs w:val="22"/>
                <w:lang w:val="en-US" w:eastAsia="zh-CN"/>
              </w:rPr>
              <w:t>条件审查办法</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动物诊疗许可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《中华人民共和国动物防疫法》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《动物诊疗机构管理办法》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生鲜乳收购站许可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《乳品质量安全监督管理条例》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生鲜乳准运证明核发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《乳品质量安全监督管理条例》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9</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z w:val="24"/>
              </w:rPr>
              <w:t>拖拉机和联合收割机驾驶证核发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《中华人民共和国道路交通安全法》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《农业机械安全监督管理条例》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99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拖拉机和联合收割机登记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《中华人民共和国道路交通安全法》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《农业机械安全监督管理条例》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工商企业等社会资本通过流转取得土地经营权审批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区政府（由区农业农村和水利局承办)、街道办事处（由农业农村部门或者农村经营管理部门</w:t>
            </w:r>
            <w:r>
              <w:rPr>
                <w:rFonts w:hint="eastAsia" w:ascii="仿宋_GB2312" w:hAnsi="仿宋_GB2312" w:eastAsia="仿宋_GB2312" w:cs="仿宋_GB2312"/>
                <w:sz w:val="24"/>
              </w:rPr>
              <w:t>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《中华人民共和国农村土地承包法》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《农村土地经营权流转管理办法》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农村村民宅基地审批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街道办事处</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《中华人民共和国土地管理法》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渔业船舶船员证书核发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《中华人民共和国渔港水域交通安全管理条例》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《中华人民共和国渔业船员管理办法》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《国家职业资格目录(2021年版)》</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水产苗种生产经营审批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《中华人民共和国渔业法》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《水产苗种管理办法》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农业转基因生物安全管理条例</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水域滩涂养殖证核发</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区政府（由区农业农村和水利局承办）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《中华人民共和国渔业法》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专用航标的设置、撤除、位置移动和其他状况</w:t>
            </w:r>
            <w:r>
              <w:rPr>
                <w:rFonts w:hint="eastAsia" w:cs="仿宋_GB2312"/>
                <w:snapToGrid/>
                <w:kern w:val="0"/>
                <w:sz w:val="24"/>
                <w:szCs w:val="22"/>
                <w:lang w:val="en-US" w:eastAsia="zh-CN"/>
              </w:rPr>
              <w:t>改变审批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《中华人民共和国航标条例》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《渔业航标管理办法》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渔港内新建、改建、扩建设施或者其他水上、水下施工审批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《中华人民共和国渔港水域交通安全管理条例》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渔港内易燃、易爆、有毒等危险品装卸审批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《中华人民共和国渔港水域交通安全管理条例》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w:t>
            </w:r>
            <w:r>
              <w:rPr>
                <w:rFonts w:hint="eastAsia" w:cs="仿宋_GB2312"/>
                <w:snapToGrid/>
                <w:kern w:val="0"/>
                <w:sz w:val="24"/>
                <w:szCs w:val="22"/>
                <w:lang w:val="en-US" w:eastAsia="zh-CN"/>
              </w:rPr>
              <w:t>内河交通安全管理</w:t>
            </w:r>
            <w:r>
              <w:rPr>
                <w:rFonts w:hint="eastAsia" w:ascii="仿宋_GB2312" w:hAnsi="仿宋_GB2312" w:eastAsia="仿宋_GB2312" w:cs="仿宋_GB2312"/>
                <w:snapToGrid/>
                <w:kern w:val="0"/>
                <w:sz w:val="24"/>
                <w:szCs w:val="22"/>
                <w:lang w:val="en-US" w:eastAsia="zh-CN"/>
              </w:rPr>
              <w:t>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10</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渔业船舶国籍登记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《中华人民共和国船舶登记条例》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《中华人民共和国渔港水域交通安全管理条例》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《中华人民共和国渔业船舶登记办法》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09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文艺表演团体设立审批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《营业性演出管理条例》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营业性演出审批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《营业性演出管理条例》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《营业性演出管理条例实施细则》</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娱乐场所经营活动审批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《娱乐场所管理条例》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互联网上网服务营业场所筹建审批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《互联网上网服务营业场所管理条例》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互联网上网服务经营活动审批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《互联网上网服务营业场所管理条例》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建设工程文物保护许可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区政府（由区文化和旅游局承办，征得上一级文物部门同意）；区文化和旅游局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《中华人民共和国文物保护法》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文物保护单位原址保护措施审批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《中华人民共和国文物保护法》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z w:val="24"/>
              </w:rPr>
              <w:t>核定为文物保护单位的属于国家所有的纪念建筑物或者古建筑改变用途审批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区政府(由区文化和旅游局承办，征得上一级文物部门同意)</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《中华人民共和国文物保护法》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不可移动文物修缮审批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《中华人民共和国文物保护法》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11</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非国有文物收藏单位和其他单位借用国有馆藏文物审批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《中华人民共和国文物保护法》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19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博物馆处理不够入藏标准、无保存价值的文物或标本审批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公共场所卫生许可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《公共场所卫生管理条例》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医疗机构设置审批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医疗机构执业登记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母婴保健技术服务机构执业许可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《中华人民共和国母婴保健法》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《中华人民共和国母婴保健法实施办法》《母婴保健专项技术服务许可及人员资格管理办法》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单采血浆站设置审批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区卫生健康委员会（初审省卫生健康委事权事项）</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《血液制品管理条例》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医师执业注册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《中华人民共和国医师法》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《医师执业注册管理办法》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1"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乡村医生执业注册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《乡村医生从业管理条例》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8"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母婴保健服务人员资格认定</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《中华人民共和国母婴保健法》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《中华人民共和国母婴保健法实施办法》</w:t>
            </w:r>
            <w:r>
              <w:rPr>
                <w:rFonts w:hint="eastAsia" w:cs="仿宋_GB2312"/>
                <w:snapToGrid/>
                <w:kern w:val="0"/>
                <w:sz w:val="24"/>
                <w:szCs w:val="22"/>
                <w:lang w:val="en-US" w:eastAsia="zh-CN"/>
              </w:rPr>
              <w:t xml:space="preserve">                            </w:t>
            </w:r>
            <w:r>
              <w:rPr>
                <w:rFonts w:hint="eastAsia" w:ascii="仿宋_GB2312" w:hAnsi="仿宋_GB2312" w:eastAsia="仿宋_GB2312" w:cs="仿宋_GB2312"/>
                <w:snapToGrid/>
                <w:kern w:val="0"/>
                <w:sz w:val="24"/>
                <w:szCs w:val="22"/>
                <w:lang w:val="en-US" w:eastAsia="zh-CN"/>
              </w:rPr>
              <w:t>《母婴保健专项技术服务许可及人员资格管理办法》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《国家职业资格目录（2021年版）》</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12</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护士执业注册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《护士条例》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《国家职业资格目录（2021年版）》</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0" w:hRule="atLeast"/>
        </w:trPr>
        <w:tc>
          <w:tcPr>
            <w:tcW w:w="630" w:type="dxa"/>
            <w:vAlign w:val="center"/>
          </w:tcPr>
          <w:p>
            <w:pPr>
              <w:pStyle w:val="7"/>
              <w:widowControl w:val="0"/>
              <w:kinsoku/>
              <w:adjustRightInd/>
              <w:snapToGrid/>
              <w:spacing w:before="160" w:after="0" w:line="240" w:lineRule="auto"/>
              <w:ind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29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确有专长的中医医师资格认定</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区卫生健康委员会（受理省卫生健康委事权事项并逐级上报）</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《中华人民共和国中医药法》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《中医医术确有专长人员医师资格考核注册管理暂行办法》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确有专长的中医医师执业注册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《中华人民共和国中医药法》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《中医医术确有专长人员医师资格考核注册管理暂行办法》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中医医疗机构设置审批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《中华人民共和国中医药法》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区卫生健康委员会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中医医疗机构执业登记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区卫生健康委员会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《中华人民共和国中医药法》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《医疗机构管理条例》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石油天然气建设项目安全设施设计审查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区应急管理局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《中华人民共和国安全生产法》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《建设项目安全设施“三同时”监督管理办法》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《国家安全监管总局办公厅关于明确非煤矿山建设项目安全监管职责等事项的通知》（安监总厅管一〔2013〕143号）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金属冶炼建设项目安全设施设计审查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区应急管理局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《中华人民共和国安全生产法》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《建设项目安全设施“三同时”监督管理办法》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《冶金企业和有色金属企业安全生产规定》</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5"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《危险化学品经营许可证管理办法》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生产、储存烟花爆竹建设项目安全设施设计审查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区应急管理局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《中华人民共和国安全生产法》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《建设项目安全设施“三同时”监督管理办法》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13</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《烟花爆竹安全管理条例》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《烟花爆竹经营许可实施办法》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22" w:leftChars="10"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38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区应急管理局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矿山建设项目安全设施设计审查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区应急管理局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《中华人民共和国安全生产法》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《煤矿安全监察条例》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《煤矿建设项目安全设施监察规定》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《建设项目安全设施“三同时”监督管理办法》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《国家安全监管总局办公厅关于切实做好国家取消和下放投资审批有关建设项目安全监管工作的通知》（安监总厅政法〔2013〕120号）</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both"/>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《国家安全监管总局办公厅关于明确非煤矿山建设项目安全监管职责等事项的通知》（安监总厅管一〔2013〕143号）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39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食品经营许可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区市场监督管理局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《中华人民共和国食品安全法》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食品经营许可管理办法</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企业登记注册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《中华人民共和国公司法》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《中华人民共和国合伙企业法》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《中华人民共和国个人独资企业法》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《中华人民共和国外商投资法》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《中华人民共和国外商投资法实施条例》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《中华人民共和国市场主体登记管理条例》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《中华人民共和国市场主体登记管理条例</w:t>
            </w:r>
            <w:r>
              <w:rPr>
                <w:rFonts w:hint="eastAsia" w:cs="仿宋_GB2312"/>
                <w:snapToGrid/>
                <w:kern w:val="0"/>
                <w:sz w:val="24"/>
                <w:szCs w:val="22"/>
                <w:lang w:val="en-US" w:eastAsia="zh-CN"/>
              </w:rPr>
              <w:t>实施细则</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6"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个体工商户登记注册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区市场监督管理局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《中华人民共和国市场主体登记管理条例》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促进</w:t>
            </w:r>
            <w:r>
              <w:rPr>
                <w:rFonts w:hint="eastAsia" w:ascii="仿宋_GB2312" w:hAnsi="仿宋_GB2312" w:eastAsia="仿宋_GB2312" w:cs="仿宋_GB2312"/>
                <w:snapToGrid/>
                <w:kern w:val="0"/>
                <w:sz w:val="24"/>
                <w:szCs w:val="22"/>
                <w:lang w:val="en-US" w:eastAsia="zh-CN"/>
              </w:rPr>
              <w:t>个体工商户</w:t>
            </w:r>
            <w:r>
              <w:rPr>
                <w:rFonts w:hint="eastAsia" w:cs="仿宋_GB2312"/>
                <w:snapToGrid/>
                <w:kern w:val="0"/>
                <w:sz w:val="24"/>
                <w:szCs w:val="22"/>
                <w:lang w:val="en-US" w:eastAsia="zh-CN"/>
              </w:rPr>
              <w:t>发展</w:t>
            </w:r>
            <w:r>
              <w:rPr>
                <w:rFonts w:hint="eastAsia" w:ascii="仿宋_GB2312" w:hAnsi="仿宋_GB2312" w:eastAsia="仿宋_GB2312" w:cs="仿宋_GB2312"/>
                <w:snapToGrid/>
                <w:kern w:val="0"/>
                <w:sz w:val="24"/>
                <w:szCs w:val="22"/>
                <w:lang w:val="en-US" w:eastAsia="zh-CN"/>
              </w:rPr>
              <w:t>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0"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中华人民共和国市场主体登记管理条例实施细则</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z w:val="24"/>
              </w:rPr>
              <w:t>农民专业合作社登记注册</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区行政审批局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《中华人民共和国农民专业合作</w:t>
            </w:r>
            <w:r>
              <w:rPr>
                <w:rFonts w:hint="eastAsia" w:cs="仿宋_GB2312"/>
                <w:snapToGrid/>
                <w:kern w:val="0"/>
                <w:sz w:val="24"/>
                <w:szCs w:val="22"/>
                <w:lang w:val="en-US" w:eastAsia="zh-CN"/>
              </w:rPr>
              <w:t>社</w:t>
            </w:r>
            <w:r>
              <w:rPr>
                <w:rFonts w:hint="eastAsia" w:ascii="仿宋_GB2312" w:hAnsi="仿宋_GB2312" w:eastAsia="仿宋_GB2312" w:cs="仿宋_GB2312"/>
                <w:snapToGrid/>
                <w:kern w:val="0"/>
                <w:sz w:val="24"/>
                <w:szCs w:val="22"/>
                <w:lang w:val="en-US" w:eastAsia="zh-CN"/>
              </w:rPr>
              <w:t>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《中华人民共和国市场主体登记管理条例》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w:t>
            </w:r>
            <w:r>
              <w:rPr>
                <w:rFonts w:hint="eastAsia" w:cs="仿宋_GB2312"/>
                <w:snapToGrid/>
                <w:kern w:val="0"/>
                <w:sz w:val="24"/>
                <w:szCs w:val="22"/>
                <w:lang w:val="en-US" w:eastAsia="zh-CN"/>
              </w:rPr>
              <w:t>中华人民共和国市场主体登记管理条例实施细则</w:t>
            </w:r>
            <w:r>
              <w:rPr>
                <w:rFonts w:hint="eastAsia" w:ascii="仿宋_GB2312" w:hAnsi="仿宋_GB2312" w:eastAsia="仿宋_GB2312" w:cs="仿宋_GB2312"/>
                <w:snapToGrid/>
                <w:kern w:val="0"/>
                <w:sz w:val="24"/>
                <w:szCs w:val="22"/>
                <w:lang w:val="en-US" w:eastAsia="zh-CN"/>
              </w:rPr>
              <w:t>》</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举办健身气功活动及设立站点审批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《健身气功管理办法》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highlight w:val="none"/>
                <w:lang w:val="en-US" w:eastAsia="zh-CN"/>
              </w:rPr>
              <w:t>14</w:t>
            </w:r>
            <w:r>
              <w:rPr>
                <w:rFonts w:hint="eastAsia" w:cs="仿宋_GB2312"/>
                <w:snapToGrid/>
                <w:kern w:val="0"/>
                <w:sz w:val="24"/>
                <w:szCs w:val="22"/>
                <w:highlight w:val="none"/>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临时占用公共体育</w:t>
            </w:r>
            <w:r>
              <w:rPr>
                <w:rFonts w:hint="eastAsia" w:cs="仿宋_GB2312"/>
                <w:snapToGrid/>
                <w:kern w:val="0"/>
                <w:sz w:val="24"/>
                <w:szCs w:val="22"/>
                <w:lang w:val="en-US" w:eastAsia="zh-CN"/>
              </w:rPr>
              <w:t>场地</w:t>
            </w:r>
            <w:r>
              <w:rPr>
                <w:rFonts w:hint="eastAsia" w:ascii="仿宋_GB2312" w:hAnsi="仿宋_GB2312" w:eastAsia="仿宋_GB2312" w:cs="仿宋_GB2312"/>
                <w:snapToGrid/>
                <w:kern w:val="0"/>
                <w:sz w:val="24"/>
                <w:szCs w:val="22"/>
                <w:lang w:val="en-US" w:eastAsia="zh-CN"/>
              </w:rPr>
              <w:t>设施审批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《中华人民共和国体育法》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145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举办高危险性体育赛事活动许可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区教育体育局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《中华人民共和国体育法》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w:t>
            </w:r>
          </w:p>
        </w:tc>
        <w:tc>
          <w:tcPr>
            <w:tcW w:w="2340" w:type="dxa"/>
            <w:vAlign w:val="center"/>
          </w:tcPr>
          <w:p>
            <w:pPr>
              <w:pStyle w:val="7"/>
              <w:spacing w:before="5" w:line="218" w:lineRule="auto"/>
              <w:ind w:left="57" w:right="45"/>
              <w:jc w:val="both"/>
              <w:rPr>
                <w:rFonts w:hint="eastAsia" w:ascii="仿宋_GB2312" w:hAnsi="仿宋_GB2312" w:eastAsia="仿宋_GB2312" w:cs="仿宋_GB2312"/>
                <w:sz w:val="24"/>
              </w:rPr>
            </w:pPr>
            <w:r>
              <w:rPr>
                <w:rFonts w:hint="eastAsia" w:ascii="仿宋_GB2312" w:hAnsi="仿宋_GB2312" w:eastAsia="仿宋_GB2312" w:cs="仿宋_GB2312"/>
                <w:sz w:val="24"/>
              </w:rPr>
              <w:t>在电力设施周围或者电力设施保护区内进行可能危及电力设施</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z w:val="24"/>
              </w:rPr>
              <w:t>安全作业审批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区发展和改革委员会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《中华人民共和国电力法》</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《电力设施保护条例》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固定资产投资项目核准</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区政府(由区行政审批局承办)</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《企业投资项目核准和备案管理条例》</w:t>
            </w:r>
          </w:p>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《国务院关于发布政府核准的投资项目目录(2016年本）的通知》（国发〔2016〕72号）</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能源类项目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14</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新建不能满足管道保护要求的石油天然气管道防护方案审批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区发展和改革委员会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《中华人民共和国石油天然气管道保护法》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right="0"/>
              <w:jc w:val="center"/>
              <w:textAlignment w:val="auto"/>
              <w:rPr>
                <w:rFonts w:hint="default"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49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区发展和改革委员会</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可能影响石油天然气管道保护的施工作业审批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区发展和改革委员会</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kern w:val="0"/>
                <w:sz w:val="24"/>
                <w:szCs w:val="22"/>
                <w:lang w:val="en-US" w:eastAsia="zh-CN"/>
              </w:rPr>
              <w:t>《中华人民共和国石油天然气管道保护法》</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right="0"/>
              <w:jc w:val="left"/>
              <w:textAlignment w:val="auto"/>
              <w:rPr>
                <w:rFonts w:hint="eastAsia" w:ascii="仿宋_GB2312" w:hAnsi="仿宋_GB2312" w:eastAsia="仿宋_GB2312" w:cs="仿宋_GB2312"/>
                <w:snapToGrid/>
                <w:kern w:val="0"/>
                <w:sz w:val="24"/>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default"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w:t>
            </w:r>
            <w:r>
              <w:rPr>
                <w:rFonts w:hint="eastAsia" w:cs="仿宋_GB2312"/>
                <w:snapToGrid/>
                <w:kern w:val="0"/>
                <w:sz w:val="24"/>
                <w:szCs w:val="22"/>
                <w:lang w:val="en-US" w:eastAsia="zh-CN"/>
              </w:rPr>
              <w:t>50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区消防救援大队</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公众聚集场所投入使用、营业前消防安全检查</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区消防救援大队</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《中华人民共和国消防法》</w:t>
            </w:r>
          </w:p>
        </w:tc>
        <w:tc>
          <w:tcPr>
            <w:tcW w:w="1898" w:type="dxa"/>
            <w:vAlign w:val="top"/>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7"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1</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区税务局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增值税防伪税控系统最高开票限额审批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区税务局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《国务院对确需保留的行政审批项目设定行政许可的决定》</w:t>
            </w:r>
          </w:p>
        </w:tc>
        <w:tc>
          <w:tcPr>
            <w:tcW w:w="1898" w:type="dxa"/>
            <w:vAlign w:val="top"/>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trPr>
        <w:tc>
          <w:tcPr>
            <w:tcW w:w="13856" w:type="dxa"/>
            <w:gridSpan w:val="6"/>
            <w:vAlign w:val="center"/>
          </w:tcPr>
          <w:p>
            <w:pPr>
              <w:pStyle w:val="7"/>
              <w:keepNext w:val="0"/>
              <w:keepLines w:val="0"/>
              <w:pageBreakBefore w:val="0"/>
              <w:widowControl w:val="0"/>
              <w:tabs>
                <w:tab w:val="left" w:pos="5548"/>
              </w:tabs>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cs="仿宋_GB2312"/>
                <w:snapToGrid/>
                <w:kern w:val="0"/>
                <w:sz w:val="24"/>
                <w:szCs w:val="22"/>
                <w:lang w:val="en-US" w:eastAsia="zh-CN" w:bidi="zh-CN"/>
              </w:rPr>
              <w:tab/>
            </w:r>
            <w:r>
              <w:rPr>
                <w:rFonts w:hint="eastAsia" w:ascii="仿宋_GB2312" w:hAnsi="仿宋_GB2312" w:eastAsia="仿宋_GB2312" w:cs="仿宋_GB2312"/>
                <w:snapToGrid/>
                <w:kern w:val="0"/>
                <w:sz w:val="24"/>
                <w:szCs w:val="22"/>
                <w:lang w:val="en-US" w:eastAsia="zh-CN"/>
              </w:rPr>
              <w:t>地方性法规设定的行政许可事项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3"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2</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燃气场站工程、市政中高压燃气管道工程的初步设计文件审批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《江苏省燃气管理条例》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8"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3</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临时占用道路以及其他公共场地摆摊经营许可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《江苏省城市市容和环境卫生管理条例》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2"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4</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建筑垃圾消纳场地设置审批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区城市管理局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《江苏省固体废物污染环境防治条例》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5</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移植城市树木审批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区市政和绿化管理局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《江苏省城市绿化管理条例》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2"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6</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渔业港口经营许可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区农业农村和水利局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《江苏省渔业港口和渔业船舶管理条例》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5"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7</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尚未核定公布为文物保护单位的不可移动文物需要迁移、拆除的批准</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区文化和旅游局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《江苏省文物保护条例》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2" w:hRule="atLeast"/>
        </w:trPr>
        <w:tc>
          <w:tcPr>
            <w:tcW w:w="630" w:type="dxa"/>
            <w:vAlign w:val="center"/>
          </w:tcPr>
          <w:p>
            <w:pPr>
              <w:pStyle w:val="7"/>
              <w:widowControl w:val="0"/>
              <w:kinsoku/>
              <w:adjustRightInd/>
              <w:snapToGrid/>
              <w:spacing w:before="160" w:after="0" w:line="240" w:lineRule="auto"/>
              <w:ind w:left="11" w:leftChars="0" w:right="0" w:rightChars="0"/>
              <w:jc w:val="center"/>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15</w:t>
            </w:r>
            <w:r>
              <w:rPr>
                <w:rFonts w:hint="eastAsia" w:cs="仿宋_GB2312"/>
                <w:snapToGrid/>
                <w:kern w:val="0"/>
                <w:sz w:val="24"/>
                <w:szCs w:val="22"/>
                <w:lang w:val="en-US" w:eastAsia="zh-CN"/>
              </w:rPr>
              <w:t>8</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center"/>
              <w:textAlignment w:val="auto"/>
              <w:rPr>
                <w:rFonts w:hint="eastAsia" w:ascii="仿宋_GB2312" w:hAnsi="仿宋_GB2312" w:eastAsia="仿宋_GB2312" w:cs="仿宋_GB2312"/>
                <w:snapToGrid/>
                <w:color w:val="000000"/>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食品生产加工小作坊登记</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区市场监督管理局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r>
              <w:rPr>
                <w:rFonts w:hint="eastAsia" w:ascii="仿宋_GB2312" w:hAnsi="仿宋_GB2312" w:eastAsia="仿宋_GB2312" w:cs="仿宋_GB2312"/>
                <w:snapToGrid/>
                <w:kern w:val="0"/>
                <w:sz w:val="24"/>
                <w:szCs w:val="22"/>
                <w:lang w:val="en-US" w:eastAsia="zh-CN"/>
              </w:rPr>
              <w:t>《江苏省食品小作坊和食品摊贩管理条例》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0" w:after="0" w:line="240" w:lineRule="auto"/>
              <w:ind w:left="57" w:leftChars="0" w:right="0" w:rightChars="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159</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color w:val="auto"/>
                <w:kern w:val="0"/>
                <w:sz w:val="24"/>
                <w:szCs w:val="22"/>
                <w:lang w:val="en-US" w:eastAsia="zh-CN"/>
              </w:rPr>
              <w:t>自然资源和规划崇川分局</w:t>
            </w:r>
            <w:r>
              <w:rPr>
                <w:rFonts w:hint="eastAsia" w:ascii="仿宋_GB2312" w:hAnsi="仿宋_GB2312" w:eastAsia="仿宋_GB2312" w:cs="仿宋_GB2312"/>
                <w:snapToGrid/>
                <w:color w:val="auto"/>
                <w:kern w:val="0"/>
                <w:sz w:val="24"/>
                <w:szCs w:val="22"/>
                <w:lang w:val="en-US"/>
              </w:rPr>
              <w:t>、</w:t>
            </w:r>
            <w:r>
              <w:rPr>
                <w:rFonts w:hint="eastAsia" w:ascii="仿宋_GB2312" w:hAnsi="仿宋_GB2312" w:eastAsia="仿宋_GB2312" w:cs="仿宋_GB2312"/>
                <w:snapToGrid/>
                <w:color w:val="auto"/>
                <w:kern w:val="0"/>
                <w:sz w:val="24"/>
                <w:szCs w:val="22"/>
                <w:lang w:val="en-US" w:eastAsia="zh-CN"/>
              </w:rPr>
              <w:t>区农业农村和水利局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color w:val="auto"/>
                <w:kern w:val="0"/>
                <w:sz w:val="24"/>
                <w:szCs w:val="22"/>
                <w:lang w:val="en-US"/>
              </w:rPr>
              <w:t>外国人对省重点保护野生动物和国务院野生动物保护行政主管部门公布的有重要生态、科学、社会价值的陆生野生动物进行野外考察或在野外拍摄电影、录像审批</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color w:val="auto"/>
                <w:kern w:val="0"/>
                <w:sz w:val="24"/>
                <w:szCs w:val="22"/>
                <w:lang w:val="en-US" w:eastAsia="zh-CN"/>
              </w:rPr>
              <w:t>自然资源和规划崇川分局</w:t>
            </w:r>
            <w:r>
              <w:rPr>
                <w:rFonts w:hint="eastAsia" w:ascii="仿宋_GB2312" w:hAnsi="仿宋_GB2312" w:eastAsia="仿宋_GB2312" w:cs="仿宋_GB2312"/>
                <w:snapToGrid/>
                <w:color w:val="auto"/>
                <w:kern w:val="0"/>
                <w:sz w:val="24"/>
                <w:szCs w:val="22"/>
                <w:lang w:val="en-US"/>
              </w:rPr>
              <w:t>（</w:t>
            </w:r>
            <w:r>
              <w:rPr>
                <w:rFonts w:hint="eastAsia" w:cs="仿宋_GB2312"/>
                <w:snapToGrid/>
                <w:color w:val="auto"/>
                <w:kern w:val="0"/>
                <w:sz w:val="24"/>
                <w:szCs w:val="22"/>
                <w:lang w:val="en-US" w:eastAsia="zh-CN"/>
              </w:rPr>
              <w:t>初审</w:t>
            </w:r>
            <w:r>
              <w:rPr>
                <w:rFonts w:hint="eastAsia" w:ascii="仿宋_GB2312" w:hAnsi="仿宋_GB2312" w:eastAsia="仿宋_GB2312" w:cs="仿宋_GB2312"/>
                <w:snapToGrid/>
                <w:color w:val="auto"/>
                <w:kern w:val="0"/>
                <w:sz w:val="24"/>
                <w:szCs w:val="22"/>
                <w:lang w:val="en-US"/>
              </w:rPr>
              <w:t>省林业局</w:t>
            </w:r>
            <w:r>
              <w:rPr>
                <w:rFonts w:hint="eastAsia" w:ascii="仿宋_GB2312" w:hAnsi="仿宋_GB2312" w:eastAsia="仿宋_GB2312" w:cs="仿宋_GB2312"/>
                <w:snapToGrid/>
                <w:color w:val="auto"/>
                <w:kern w:val="0"/>
                <w:sz w:val="24"/>
                <w:szCs w:val="22"/>
                <w:lang w:val="en-US" w:eastAsia="zh-CN"/>
              </w:rPr>
              <w:t>实施的</w:t>
            </w:r>
            <w:r>
              <w:rPr>
                <w:rFonts w:hint="eastAsia" w:ascii="仿宋_GB2312" w:hAnsi="仿宋_GB2312" w:eastAsia="仿宋_GB2312" w:cs="仿宋_GB2312"/>
                <w:snapToGrid/>
                <w:color w:val="auto"/>
                <w:kern w:val="0"/>
                <w:sz w:val="24"/>
                <w:szCs w:val="22"/>
                <w:lang w:val="en-US"/>
              </w:rPr>
              <w:t>省重点保护陆生野生动物和国务院野生动物保护行政主管部门公布的有重要生态、科学、社会价值的陆生野生动物）、</w:t>
            </w:r>
            <w:r>
              <w:rPr>
                <w:rFonts w:hint="eastAsia" w:ascii="仿宋_GB2312" w:hAnsi="仿宋_GB2312" w:eastAsia="仿宋_GB2312" w:cs="仿宋_GB2312"/>
                <w:snapToGrid/>
                <w:color w:val="auto"/>
                <w:kern w:val="0"/>
                <w:sz w:val="24"/>
                <w:szCs w:val="22"/>
                <w:lang w:val="en-US" w:eastAsia="zh-CN"/>
              </w:rPr>
              <w:t>区农业农村和水利局</w:t>
            </w:r>
            <w:r>
              <w:rPr>
                <w:rFonts w:hint="eastAsia" w:ascii="仿宋_GB2312" w:hAnsi="仿宋_GB2312" w:eastAsia="仿宋_GB2312" w:cs="仿宋_GB2312"/>
                <w:snapToGrid/>
                <w:color w:val="auto"/>
                <w:kern w:val="0"/>
                <w:sz w:val="24"/>
                <w:szCs w:val="22"/>
                <w:lang w:val="en-US"/>
              </w:rPr>
              <w:t>（</w:t>
            </w:r>
            <w:r>
              <w:rPr>
                <w:rFonts w:hint="eastAsia" w:ascii="仿宋_GB2312" w:hAnsi="仿宋_GB2312" w:eastAsia="仿宋_GB2312" w:cs="仿宋_GB2312"/>
                <w:snapToGrid/>
                <w:color w:val="auto"/>
                <w:kern w:val="0"/>
                <w:sz w:val="24"/>
                <w:szCs w:val="22"/>
                <w:lang w:val="en-US" w:eastAsia="zh-CN"/>
              </w:rPr>
              <w:t>受理</w:t>
            </w:r>
            <w:r>
              <w:rPr>
                <w:rFonts w:hint="eastAsia" w:ascii="仿宋_GB2312" w:hAnsi="仿宋_GB2312" w:eastAsia="仿宋_GB2312" w:cs="仿宋_GB2312"/>
                <w:snapToGrid/>
                <w:color w:val="auto"/>
                <w:kern w:val="0"/>
                <w:sz w:val="24"/>
                <w:szCs w:val="22"/>
                <w:lang w:val="en-US"/>
              </w:rPr>
              <w:t>省农业农村厅</w:t>
            </w:r>
            <w:r>
              <w:rPr>
                <w:rFonts w:hint="eastAsia" w:ascii="仿宋_GB2312" w:hAnsi="仿宋_GB2312" w:eastAsia="仿宋_GB2312" w:cs="仿宋_GB2312"/>
                <w:snapToGrid/>
                <w:color w:val="auto"/>
                <w:kern w:val="0"/>
                <w:sz w:val="24"/>
                <w:szCs w:val="22"/>
                <w:lang w:val="en-US" w:eastAsia="zh-CN"/>
              </w:rPr>
              <w:t>实施的</w:t>
            </w:r>
            <w:r>
              <w:rPr>
                <w:rFonts w:hint="eastAsia" w:ascii="仿宋_GB2312" w:hAnsi="仿宋_GB2312" w:eastAsia="仿宋_GB2312" w:cs="仿宋_GB2312"/>
                <w:snapToGrid/>
                <w:color w:val="auto"/>
                <w:kern w:val="0"/>
                <w:sz w:val="24"/>
                <w:szCs w:val="22"/>
                <w:lang w:val="en-US"/>
              </w:rPr>
              <w:t>省重点保护水生野生动物）</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color w:val="auto"/>
                <w:kern w:val="0"/>
                <w:sz w:val="24"/>
                <w:szCs w:val="22"/>
                <w:lang w:val="en-US"/>
              </w:rPr>
              <w:t>《江苏省野生动物保护条例》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630" w:type="dxa"/>
            <w:vAlign w:val="center"/>
          </w:tcPr>
          <w:p>
            <w:pPr>
              <w:pStyle w:val="7"/>
              <w:widowControl w:val="0"/>
              <w:kinsoku/>
              <w:adjustRightInd/>
              <w:snapToGrid/>
              <w:spacing w:before="0" w:after="0" w:line="240" w:lineRule="auto"/>
              <w:ind w:left="57" w:leftChars="0" w:right="0" w:rightChars="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160</w:t>
            </w:r>
          </w:p>
        </w:tc>
        <w:tc>
          <w:tcPr>
            <w:tcW w:w="238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default"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区住房和城乡建设局</w:t>
            </w:r>
          </w:p>
        </w:tc>
        <w:tc>
          <w:tcPr>
            <w:tcW w:w="23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color w:val="auto"/>
                <w:kern w:val="0"/>
                <w:sz w:val="24"/>
                <w:szCs w:val="22"/>
                <w:lang w:val="en-US"/>
              </w:rPr>
              <w:t>房屋楼面结构变动许可</w:t>
            </w:r>
          </w:p>
        </w:tc>
        <w:tc>
          <w:tcPr>
            <w:tcW w:w="246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cs="仿宋_GB2312"/>
                <w:snapToGrid/>
                <w:kern w:val="0"/>
                <w:sz w:val="24"/>
                <w:szCs w:val="22"/>
                <w:lang w:val="en-US" w:eastAsia="zh-CN"/>
              </w:rPr>
              <w:t>区住房和城乡建设局</w:t>
            </w:r>
          </w:p>
        </w:tc>
        <w:tc>
          <w:tcPr>
            <w:tcW w:w="4140"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rPr>
            </w:pPr>
            <w:r>
              <w:rPr>
                <w:rFonts w:hint="eastAsia" w:ascii="仿宋_GB2312" w:hAnsi="仿宋_GB2312" w:eastAsia="仿宋_GB2312" w:cs="仿宋_GB2312"/>
                <w:snapToGrid/>
                <w:color w:val="auto"/>
                <w:kern w:val="0"/>
                <w:sz w:val="24"/>
                <w:szCs w:val="22"/>
                <w:lang w:val="en-US"/>
              </w:rPr>
              <w:t>《南通市房屋安全管理条例》</w:t>
            </w:r>
          </w:p>
        </w:tc>
        <w:tc>
          <w:tcPr>
            <w:tcW w:w="1898" w:type="dxa"/>
            <w:vAlign w:val="center"/>
          </w:tcPr>
          <w:p>
            <w:pPr>
              <w:pStyle w:val="7"/>
              <w:keepNext w:val="0"/>
              <w:keepLines w:val="0"/>
              <w:pageBreakBefore w:val="0"/>
              <w:widowControl w:val="0"/>
              <w:kinsoku/>
              <w:wordWrap/>
              <w:overflowPunct/>
              <w:topLinePunct w:val="0"/>
              <w:autoSpaceDE w:val="0"/>
              <w:autoSpaceDN w:val="0"/>
              <w:bidi w:val="0"/>
              <w:adjustRightInd/>
              <w:snapToGrid/>
              <w:spacing w:after="0" w:line="240" w:lineRule="auto"/>
              <w:ind w:left="57" w:leftChars="0" w:right="0" w:rightChars="0"/>
              <w:jc w:val="left"/>
              <w:textAlignment w:val="auto"/>
              <w:rPr>
                <w:rFonts w:hint="eastAsia" w:ascii="仿宋_GB2312" w:hAnsi="仿宋_GB2312" w:eastAsia="仿宋_GB2312" w:cs="仿宋_GB2312"/>
                <w:snapToGrid/>
                <w:kern w:val="0"/>
                <w:sz w:val="24"/>
                <w:szCs w:val="22"/>
                <w:lang w:val="en-US" w:eastAsia="zh-CN" w:bidi="zh-CN"/>
              </w:rPr>
            </w:pPr>
          </w:p>
        </w:tc>
      </w:tr>
    </w:tbl>
    <w:p>
      <w:pPr>
        <w:spacing w:beforeLines="30" w:after="0" w:line="305" w:lineRule="auto"/>
        <w:ind w:right="194" w:rightChars="88" w:firstLine="480" w:firstLineChars="200"/>
        <w:jc w:val="left"/>
        <w:rPr>
          <w:rFonts w:hint="eastAsia" w:ascii="仿宋_GB2312" w:hAnsi="仿宋_GB2312" w:eastAsia="仿宋_GB2312" w:cs="仿宋_GB2312"/>
          <w:sz w:val="24"/>
        </w:rPr>
        <w:sectPr>
          <w:footerReference r:id="rId5" w:type="default"/>
          <w:footerReference r:id="rId6" w:type="even"/>
          <w:pgSz w:w="16840" w:h="11910" w:orient="landscape"/>
          <w:pgMar w:top="1100" w:right="1240" w:bottom="1760" w:left="1460" w:header="0" w:footer="1563" w:gutter="0"/>
          <w:cols w:space="720" w:num="1"/>
        </w:sectPr>
      </w:pPr>
      <w:r>
        <w:rPr>
          <w:rFonts w:hint="eastAsia" w:ascii="仿宋_GB2312" w:hAnsi="仿宋_GB2312" w:eastAsia="仿宋_GB2312" w:cs="仿宋_GB2312"/>
          <w:snapToGrid/>
          <w:kern w:val="0"/>
          <w:sz w:val="24"/>
          <w:szCs w:val="22"/>
          <w:lang w:val="en-US" w:eastAsia="zh-CN" w:bidi="zh-CN"/>
        </w:rPr>
        <w:t>备注：根据相对集中行政许可权改革方案，行政许可事项清单中的主管部门按照行业主管部门编列，实施机关按照改革方案确定的审批部门编列。</w:t>
      </w:r>
    </w:p>
    <w:p/>
    <w:sectPr>
      <w:footerReference r:id="rId7"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1" locked="0" layoutInCell="1" allowOverlap="1">
              <wp:simplePos x="0" y="0"/>
              <wp:positionH relativeFrom="page">
                <wp:posOffset>8612505</wp:posOffset>
              </wp:positionH>
              <wp:positionV relativeFrom="page">
                <wp:posOffset>6376670</wp:posOffset>
              </wp:positionV>
              <wp:extent cx="737235" cy="23495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wps:spPr>
                    <wps:txbx>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71</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18" o:spid="_x0000_s1026" o:spt="202" type="#_x0000_t202" style="position:absolute;left:0pt;margin-left:678.15pt;margin-top:502.1pt;height:18.5pt;width:58.05pt;mso-position-horizontal-relative:page;mso-position-vertical-relative:page;z-index:-251654144;mso-width-relative:page;mso-height-relative:page;" filled="f" stroked="f" coordsize="21600,21600" o:gfxdata="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mhpu2wAAAA8BAAAPAAAAAAAAAAEAIAAAACIAAABkcnMvZG93bnJldi54bWxQ&#10;SwECFAAUAAAACACHTuJA8j693rsBAAByAwAADgAAAAAAAAABACAAAAAqAQAAZHJzL2Uyb0RvYy54&#10;bWxQSwUGAAAAAAYABgBZAQAAVwUAAAAA&#10;">
              <v:fill on="f" focussize="0,0"/>
              <v:stroke on="f"/>
              <v:imagedata o:title=""/>
              <o:lock v:ext="edit" aspectratio="f"/>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71</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1449705</wp:posOffset>
              </wp:positionH>
              <wp:positionV relativeFrom="page">
                <wp:posOffset>6376670</wp:posOffset>
              </wp:positionV>
              <wp:extent cx="737235" cy="234950"/>
              <wp:effectExtent l="0" t="0" r="0" b="0"/>
              <wp:wrapNone/>
              <wp:docPr id="24" name="文本框 17"/>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wps:spPr>
                    <wps:txbx>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17" o:spid="_x0000_s1026" o:spt="202" type="#_x0000_t202" style="position:absolute;left:0pt;margin-left:114.15pt;margin-top:502.1pt;height:18.5pt;width:58.05pt;mso-position-horizontal-relative:page;mso-position-vertical-relative:page;z-index:-251655168;mso-width-relative:page;mso-height-relative:page;" filled="f" stroked="f" coordsize="21600,21600" o:gfxdata="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ditEtoAAAANAQAADwAAAAAAAAABACAAAAAiAAAAZHJzL2Rvd25yZXYueG1s&#10;UEsBAhQAFAAAAAgAh07iQNibKYW9AQAAcwMAAA4AAAAAAAAAAQAgAAAAKQEAAGRycy9lMm9Eb2Mu&#10;eG1sUEsFBgAAAAAGAAYAWQEAAFgFAAAAAA==&#10;">
              <v:fill on="f" focussize="0,0"/>
              <v:stroke on="f"/>
              <v:imagedata o:title=""/>
              <o:lock v:ext="edit" aspectratio="f"/>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70</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8612505</wp:posOffset>
              </wp:positionH>
              <wp:positionV relativeFrom="page">
                <wp:posOffset>6376670</wp:posOffset>
              </wp:positionV>
              <wp:extent cx="737235" cy="234950"/>
              <wp:effectExtent l="0" t="0" r="0" b="0"/>
              <wp:wrapNone/>
              <wp:docPr id="25" name="文本框 18"/>
              <wp:cNvGraphicFramePr/>
              <a:graphic xmlns:a="http://schemas.openxmlformats.org/drawingml/2006/main">
                <a:graphicData uri="http://schemas.microsoft.com/office/word/2010/wordprocessingShape">
                  <wps:wsp>
                    <wps:cNvSpPr txBox="1"/>
                    <wps:spPr>
                      <a:xfrm>
                        <a:off x="0" y="0"/>
                        <a:ext cx="737235" cy="234950"/>
                      </a:xfrm>
                      <a:prstGeom prst="rect">
                        <a:avLst/>
                      </a:prstGeom>
                      <a:noFill/>
                      <a:ln>
                        <a:noFill/>
                      </a:ln>
                    </wps:spPr>
                    <wps:txbx>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71</w:t>
                          </w:r>
                          <w:r>
                            <w:fldChar w:fldCharType="end"/>
                          </w:r>
                          <w:r>
                            <w:rPr>
                              <w:rFonts w:ascii="Times New Roman" w:hAnsi="Times New Roman"/>
                              <w:spacing w:val="68"/>
                              <w:sz w:val="28"/>
                            </w:rPr>
                            <w:t xml:space="preserve"> </w:t>
                          </w:r>
                          <w:r>
                            <w:rPr>
                              <w:sz w:val="28"/>
                            </w:rPr>
                            <w:t>—</w:t>
                          </w:r>
                        </w:p>
                      </w:txbxContent>
                    </wps:txbx>
                    <wps:bodyPr lIns="0" tIns="0" rIns="0" bIns="0" upright="1"/>
                  </wps:wsp>
                </a:graphicData>
              </a:graphic>
            </wp:anchor>
          </w:drawing>
        </mc:Choice>
        <mc:Fallback>
          <w:pict>
            <v:shape id="文本框 18" o:spid="_x0000_s1026" o:spt="202" type="#_x0000_t202" style="position:absolute;left:0pt;margin-left:678.15pt;margin-top:502.1pt;height:18.5pt;width:58.05pt;mso-position-horizontal-relative:page;mso-position-vertical-relative:page;z-index:-251657216;mso-width-relative:page;mso-height-relative:page;" filled="f" stroked="f" coordsize="21600,21600" o:gfxdata="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WaGm7bAAAADwEAAA8AAAAAAAAAAQAgAAAAIgAAAGRycy9kb3ducmV2Lnht&#10;bFBLAQIUABQAAAAIAIdO4kCL6liRvQEAAHMDAAAOAAAAAAAAAAEAIAAAACoBAABkcnMvZTJvRG9j&#10;LnhtbFBLBQYAAAAABgAGAFkBAABZBQAAAAA=&#10;">
              <v:fill on="f" focussize="0,0"/>
              <v:stroke on="f"/>
              <v:imagedata o:title=""/>
              <o:lock v:ext="edit" aspectratio="f"/>
              <v:textbox inset="0mm,0mm,0mm,0mm">
                <w:txbxContent>
                  <w:p>
                    <w:pPr>
                      <w:spacing w:before="0" w:line="349" w:lineRule="exact"/>
                      <w:ind w:left="20" w:right="0" w:firstLine="0"/>
                      <w:jc w:val="left"/>
                      <w:rPr>
                        <w:sz w:val="28"/>
                      </w:rPr>
                    </w:pPr>
                    <w:r>
                      <w:rPr>
                        <w:sz w:val="28"/>
                      </w:rPr>
                      <w:t xml:space="preserve">— </w:t>
                    </w:r>
                    <w:r>
                      <w:fldChar w:fldCharType="begin"/>
                    </w:r>
                    <w:r>
                      <w:rPr>
                        <w:rFonts w:ascii="Times New Roman" w:hAnsi="Times New Roman"/>
                        <w:sz w:val="28"/>
                      </w:rPr>
                      <w:instrText xml:space="preserve"> PAGE </w:instrText>
                    </w:r>
                    <w:r>
                      <w:fldChar w:fldCharType="separate"/>
                    </w:r>
                    <w:r>
                      <w:t>71</w:t>
                    </w:r>
                    <w:r>
                      <w:fldChar w:fldCharType="end"/>
                    </w:r>
                    <w:r>
                      <w:rPr>
                        <w:rFonts w:ascii="Times New Roman" w:hAnsi="Times New Roman"/>
                        <w:spacing w:val="68"/>
                        <w:sz w:val="28"/>
                      </w:rPr>
                      <w:t xml:space="preserve"> </w:t>
                    </w:r>
                    <w:r>
                      <w:rPr>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6A0F5119"/>
    <w:rsid w:val="6A0F5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next w:val="1"/>
    <w:qFormat/>
    <w:uiPriority w:val="0"/>
    <w:pPr>
      <w:ind w:firstLine="567"/>
    </w:pPr>
    <w:rPr>
      <w:rFonts w:ascii="Calibri" w:hAnsi="Calibri" w:eastAsia="宋体" w:cs="Times New Roman"/>
      <w:szCs w:val="24"/>
    </w:r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customStyle="1" w:styleId="7">
    <w:name w:val="Table Paragraph"/>
    <w:basedOn w:val="1"/>
    <w:qFormat/>
    <w:uiPriority w:val="1"/>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2023-08-21T03:01:00Z</dcterms:created>
  <dc:creator>Nothing</dc:creator>
  <cp:lastModifiedBy>Nothing</cp:lastModifiedBy>
  <dcterms:modified xsi:type="dcterms:W3CDTF">2023-08-21T03:03:06Z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974DE472C74747BAB539E3DC40903F28_11</vt:lpwstr>
  </property>
</Properties>
</file>