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4"/>
        <w:overflowPunct w:val="0"/>
        <w:adjustRightInd/>
        <w:spacing w:line="440" w:lineRule="exact"/>
        <w:textAlignment w:val="auto"/>
        <w:rPr>
          <w:rFonts w:hint="eastAsia" w:hAnsi="宋体" w:eastAsia="宋体"/>
          <w:lang w:val="en-US" w:eastAsia="zh-CN"/>
        </w:rPr>
      </w:pPr>
      <w:r>
        <w:rPr>
          <w:rFonts w:hint="eastAsia" w:hAnsi="宋体" w:eastAsia="宋体"/>
          <w:lang w:val="en-US" w:eastAsia="zh-CN"/>
        </w:rPr>
        <w:t>·</w:t>
      </w:r>
    </w:p>
    <w:p>
      <w:pPr>
        <w:tabs>
          <w:tab w:val="left" w:pos="1050"/>
          <w:tab w:val="right" w:leader="dot" w:pos="9402"/>
        </w:tabs>
        <w:spacing w:before="720" w:beforeLines="300" w:line="480" w:lineRule="auto"/>
        <w:jc w:val="center"/>
        <w:rPr>
          <w:rFonts w:ascii="宋体" w:hAnsi="宋体" w:eastAsia="宋体"/>
          <w:w w:val="80"/>
          <w:sz w:val="60"/>
          <w:szCs w:val="60"/>
        </w:rPr>
      </w:pPr>
      <w:r>
        <w:rPr>
          <w:rFonts w:hint="eastAsia" w:ascii="宋体" w:hAnsi="宋体" w:eastAsia="宋体"/>
          <w:w w:val="80"/>
          <w:sz w:val="60"/>
          <w:szCs w:val="60"/>
        </w:rPr>
        <w:t>永兴街道永通花苑物业服务项目</w:t>
      </w:r>
    </w:p>
    <w:p>
      <w:pPr>
        <w:tabs>
          <w:tab w:val="left" w:pos="1050"/>
          <w:tab w:val="right" w:leader="dot" w:pos="9402"/>
        </w:tabs>
        <w:spacing w:line="520" w:lineRule="exact"/>
        <w:jc w:val="center"/>
        <w:rPr>
          <w:rFonts w:ascii="宋体" w:hAnsi="宋体" w:eastAsia="宋体"/>
          <w:w w:val="80"/>
          <w:sz w:val="36"/>
          <w:szCs w:val="36"/>
        </w:rPr>
      </w:pPr>
    </w:p>
    <w:p>
      <w:pPr>
        <w:tabs>
          <w:tab w:val="left" w:pos="1050"/>
          <w:tab w:val="right" w:leader="dot" w:pos="9402"/>
        </w:tabs>
        <w:spacing w:line="520" w:lineRule="exact"/>
        <w:jc w:val="center"/>
        <w:rPr>
          <w:rFonts w:ascii="宋体" w:hAnsi="宋体" w:eastAsia="宋体"/>
          <w:w w:val="80"/>
          <w:sz w:val="36"/>
          <w:szCs w:val="36"/>
        </w:rPr>
      </w:pPr>
    </w:p>
    <w:p>
      <w:pPr>
        <w:tabs>
          <w:tab w:val="left" w:pos="1050"/>
          <w:tab w:val="right" w:leader="dot" w:pos="9402"/>
        </w:tabs>
        <w:spacing w:line="1600" w:lineRule="exact"/>
        <w:jc w:val="center"/>
        <w:rPr>
          <w:rFonts w:ascii="宋体" w:hAnsi="宋体" w:eastAsia="宋体"/>
          <w:color w:val="FF0000"/>
          <w:w w:val="80"/>
          <w:sz w:val="84"/>
          <w:szCs w:val="84"/>
          <w:highlight w:val="yellow"/>
        </w:rPr>
      </w:pPr>
      <w:r>
        <w:rPr>
          <w:rFonts w:hint="eastAsia" w:ascii="宋体" w:hAnsi="宋体" w:eastAsia="宋体"/>
          <w:w w:val="80"/>
          <w:sz w:val="72"/>
          <w:szCs w:val="72"/>
        </w:rPr>
        <w:t>竞争性磋商文件</w:t>
      </w:r>
    </w:p>
    <w:p>
      <w:pPr>
        <w:jc w:val="center"/>
        <w:rPr>
          <w:rFonts w:ascii="宋体" w:hAnsi="宋体" w:eastAsia="宋体"/>
          <w:b/>
          <w:sz w:val="44"/>
          <w:szCs w:val="44"/>
        </w:rPr>
      </w:pPr>
    </w:p>
    <w:p>
      <w:pPr>
        <w:tabs>
          <w:tab w:val="left" w:pos="1050"/>
          <w:tab w:val="right" w:leader="dot" w:pos="9402"/>
        </w:tabs>
        <w:spacing w:line="520" w:lineRule="exact"/>
        <w:jc w:val="center"/>
        <w:rPr>
          <w:rFonts w:ascii="宋体" w:hAnsi="宋体" w:eastAsia="宋体"/>
          <w:w w:val="80"/>
          <w:sz w:val="32"/>
          <w:szCs w:val="32"/>
        </w:rPr>
      </w:pPr>
      <w:r>
        <w:rPr>
          <w:rFonts w:hint="eastAsia" w:ascii="宋体" w:hAnsi="宋体" w:eastAsia="宋体"/>
          <w:w w:val="80"/>
          <w:sz w:val="32"/>
          <w:szCs w:val="32"/>
        </w:rPr>
        <w:t>（资格后审）</w:t>
      </w:r>
    </w:p>
    <w:p>
      <w:pPr>
        <w:snapToGrid w:val="0"/>
        <w:spacing w:line="360" w:lineRule="auto"/>
        <w:jc w:val="center"/>
        <w:rPr>
          <w:rFonts w:ascii="宋体" w:hAnsi="宋体" w:eastAsia="宋体"/>
          <w:sz w:val="36"/>
        </w:rPr>
      </w:pPr>
    </w:p>
    <w:p>
      <w:pPr>
        <w:snapToGrid w:val="0"/>
        <w:spacing w:line="360" w:lineRule="auto"/>
        <w:rPr>
          <w:rFonts w:ascii="宋体" w:hAnsi="宋体" w:eastAsia="宋体"/>
          <w:b/>
          <w:sz w:val="36"/>
        </w:rPr>
      </w:pPr>
    </w:p>
    <w:p>
      <w:pPr>
        <w:snapToGrid w:val="0"/>
        <w:spacing w:line="360" w:lineRule="auto"/>
        <w:rPr>
          <w:rFonts w:ascii="宋体" w:hAnsi="宋体" w:eastAsia="宋体"/>
          <w:b/>
          <w:sz w:val="36"/>
        </w:rPr>
      </w:pPr>
    </w:p>
    <w:p>
      <w:pPr>
        <w:snapToGrid w:val="0"/>
        <w:spacing w:line="360" w:lineRule="auto"/>
        <w:rPr>
          <w:rFonts w:ascii="宋体" w:hAnsi="宋体" w:eastAsia="宋体"/>
          <w:b/>
          <w:sz w:val="36"/>
        </w:rPr>
      </w:pPr>
    </w:p>
    <w:p>
      <w:pPr>
        <w:snapToGrid w:val="0"/>
        <w:spacing w:line="360" w:lineRule="auto"/>
        <w:rPr>
          <w:rFonts w:ascii="宋体" w:hAnsi="宋体" w:eastAsia="宋体"/>
          <w:b/>
          <w:sz w:val="36"/>
        </w:rPr>
      </w:pPr>
    </w:p>
    <w:p>
      <w:pPr>
        <w:snapToGrid w:val="0"/>
        <w:spacing w:line="360" w:lineRule="auto"/>
        <w:rPr>
          <w:rFonts w:ascii="宋体" w:hAnsi="宋体" w:eastAsia="宋体"/>
          <w:b/>
          <w:sz w:val="36"/>
        </w:rPr>
      </w:pPr>
    </w:p>
    <w:p>
      <w:pPr>
        <w:snapToGrid w:val="0"/>
        <w:spacing w:line="360" w:lineRule="auto"/>
        <w:rPr>
          <w:rFonts w:ascii="宋体" w:hAnsi="宋体" w:eastAsia="宋体"/>
          <w:b/>
          <w:sz w:val="36"/>
        </w:rPr>
      </w:pPr>
    </w:p>
    <w:p>
      <w:pPr>
        <w:tabs>
          <w:tab w:val="left" w:pos="1050"/>
          <w:tab w:val="right" w:leader="dot" w:pos="9402"/>
        </w:tabs>
        <w:spacing w:line="520" w:lineRule="exact"/>
        <w:ind w:firstLine="2464" w:firstLineChars="1100"/>
        <w:rPr>
          <w:rFonts w:ascii="宋体" w:hAnsi="宋体" w:eastAsia="宋体"/>
          <w:w w:val="80"/>
          <w:sz w:val="28"/>
          <w:szCs w:val="28"/>
        </w:rPr>
      </w:pPr>
      <w:r>
        <w:rPr>
          <w:rFonts w:hint="eastAsia" w:ascii="宋体" w:hAnsi="宋体" w:eastAsia="宋体"/>
          <w:w w:val="80"/>
          <w:sz w:val="28"/>
          <w:szCs w:val="28"/>
        </w:rPr>
        <w:t>采   购   人：南通市崇川区永兴街道办事处</w:t>
      </w:r>
    </w:p>
    <w:p>
      <w:pPr>
        <w:tabs>
          <w:tab w:val="left" w:pos="1050"/>
          <w:tab w:val="right" w:leader="dot" w:pos="9402"/>
        </w:tabs>
        <w:spacing w:line="520" w:lineRule="exact"/>
        <w:jc w:val="center"/>
        <w:rPr>
          <w:rFonts w:ascii="宋体" w:hAnsi="宋体" w:eastAsia="宋体"/>
          <w:w w:val="80"/>
          <w:sz w:val="28"/>
          <w:szCs w:val="28"/>
        </w:rPr>
      </w:pPr>
      <w:r>
        <w:rPr>
          <w:rFonts w:hint="eastAsia" w:ascii="宋体" w:hAnsi="宋体" w:eastAsia="宋体"/>
          <w:w w:val="80"/>
          <w:sz w:val="28"/>
          <w:szCs w:val="28"/>
        </w:rPr>
        <w:t>招标代理机构：南通城建工程项目管理有限公司</w:t>
      </w:r>
    </w:p>
    <w:p>
      <w:pPr>
        <w:tabs>
          <w:tab w:val="left" w:pos="1050"/>
          <w:tab w:val="right" w:leader="dot" w:pos="9402"/>
        </w:tabs>
        <w:spacing w:line="440" w:lineRule="exact"/>
        <w:jc w:val="center"/>
        <w:rPr>
          <w:rFonts w:ascii="宋体" w:hAnsi="宋体" w:eastAsia="宋体"/>
          <w:b/>
          <w:w w:val="80"/>
          <w:sz w:val="32"/>
          <w:szCs w:val="32"/>
        </w:rPr>
      </w:pPr>
      <w:r>
        <w:rPr>
          <w:rFonts w:hint="eastAsia" w:ascii="宋体" w:hAnsi="宋体" w:eastAsia="宋体"/>
          <w:w w:val="80"/>
          <w:sz w:val="28"/>
          <w:szCs w:val="28"/>
        </w:rPr>
        <w:t>二0二</w:t>
      </w:r>
      <w:r>
        <w:rPr>
          <w:rFonts w:hint="eastAsia" w:ascii="宋体" w:hAnsi="宋体" w:eastAsia="宋体"/>
          <w:w w:val="80"/>
          <w:sz w:val="28"/>
          <w:szCs w:val="28"/>
          <w:lang w:val="en-US" w:eastAsia="zh-CN"/>
        </w:rPr>
        <w:t>二</w:t>
      </w:r>
      <w:r>
        <w:rPr>
          <w:rFonts w:hint="eastAsia" w:ascii="宋体" w:hAnsi="宋体" w:eastAsia="宋体"/>
          <w:w w:val="80"/>
          <w:sz w:val="28"/>
          <w:szCs w:val="28"/>
        </w:rPr>
        <w:t>年</w:t>
      </w:r>
      <w:r>
        <w:rPr>
          <w:rFonts w:hint="eastAsia" w:ascii="宋体" w:hAnsi="宋体" w:eastAsia="宋体"/>
          <w:w w:val="80"/>
          <w:sz w:val="28"/>
          <w:szCs w:val="28"/>
          <w:lang w:val="en-US" w:eastAsia="zh-CN"/>
        </w:rPr>
        <w:t>二</w:t>
      </w:r>
      <w:r>
        <w:rPr>
          <w:rFonts w:hint="eastAsia" w:ascii="宋体" w:hAnsi="宋体" w:eastAsia="宋体"/>
          <w:w w:val="80"/>
          <w:sz w:val="28"/>
          <w:szCs w:val="28"/>
        </w:rPr>
        <w:t>月</w:t>
      </w:r>
      <w:r>
        <w:rPr>
          <w:rFonts w:hint="eastAsia" w:ascii="宋体" w:hAnsi="宋体" w:eastAsia="宋体"/>
          <w:w w:val="80"/>
          <w:sz w:val="28"/>
          <w:szCs w:val="28"/>
          <w:lang w:val="en-US" w:eastAsia="zh-CN"/>
        </w:rPr>
        <w:t>十一</w:t>
      </w:r>
      <w:r>
        <w:rPr>
          <w:rFonts w:hint="eastAsia" w:ascii="宋体" w:hAnsi="宋体" w:eastAsia="宋体"/>
          <w:w w:val="80"/>
          <w:sz w:val="28"/>
          <w:szCs w:val="28"/>
        </w:rPr>
        <w:t>日</w:t>
      </w:r>
      <w:r>
        <w:rPr>
          <w:rFonts w:ascii="宋体" w:hAnsi="宋体" w:eastAsia="宋体"/>
          <w:w w:val="80"/>
          <w:sz w:val="28"/>
          <w:szCs w:val="28"/>
        </w:rPr>
        <w:br w:type="page"/>
      </w:r>
      <w:r>
        <w:rPr>
          <w:rFonts w:hint="eastAsia" w:ascii="宋体" w:hAnsi="宋体" w:eastAsia="宋体"/>
          <w:b/>
          <w:w w:val="80"/>
          <w:sz w:val="32"/>
          <w:szCs w:val="32"/>
        </w:rPr>
        <w:t>目     录</w:t>
      </w:r>
    </w:p>
    <w:p>
      <w:pPr>
        <w:pStyle w:val="6"/>
        <w:overflowPunct w:val="0"/>
        <w:spacing w:line="440" w:lineRule="exact"/>
        <w:ind w:firstLine="0"/>
        <w:jc w:val="center"/>
        <w:rPr>
          <w:rFonts w:ascii="宋体" w:hAnsi="宋体" w:eastAsia="宋体"/>
          <w:sz w:val="30"/>
        </w:rPr>
      </w:pPr>
    </w:p>
    <w:p>
      <w:pPr>
        <w:pStyle w:val="30"/>
        <w:tabs>
          <w:tab w:val="right" w:leader="dot" w:pos="9072"/>
        </w:tabs>
        <w:spacing w:line="720" w:lineRule="auto"/>
        <w:ind w:left="3018" w:leftChars="350" w:hanging="2108" w:hangingChars="700"/>
        <w:rPr>
          <w:rFonts w:ascii="宋体" w:hAnsi="宋体" w:eastAsia="宋体"/>
          <w:szCs w:val="24"/>
        </w:rPr>
      </w:pPr>
      <w:r>
        <w:rPr>
          <w:rFonts w:ascii="宋体" w:hAnsi="宋体" w:eastAsia="宋体"/>
          <w:b/>
          <w:bCs/>
          <w:sz w:val="30"/>
          <w:szCs w:val="30"/>
        </w:rPr>
        <w:fldChar w:fldCharType="begin"/>
      </w:r>
      <w:r>
        <w:rPr>
          <w:rFonts w:ascii="宋体" w:hAnsi="宋体" w:eastAsia="宋体"/>
          <w:b/>
          <w:bCs/>
          <w:sz w:val="30"/>
          <w:szCs w:val="30"/>
        </w:rPr>
        <w:instrText xml:space="preserve"> TOC \o "1-1"</w:instrText>
      </w:r>
      <w:r>
        <w:rPr>
          <w:rFonts w:ascii="宋体" w:hAnsi="宋体" w:eastAsia="宋体"/>
          <w:b/>
          <w:bCs/>
          <w:sz w:val="30"/>
          <w:szCs w:val="30"/>
        </w:rPr>
        <w:fldChar w:fldCharType="separate"/>
      </w:r>
      <w:r>
        <w:rPr>
          <w:rFonts w:hint="eastAsia" w:ascii="宋体" w:hAnsi="宋体" w:eastAsia="宋体"/>
          <w:szCs w:val="24"/>
        </w:rPr>
        <w:t>第一章  竞争性磋商公告</w:t>
      </w:r>
    </w:p>
    <w:p>
      <w:pPr>
        <w:pStyle w:val="30"/>
        <w:tabs>
          <w:tab w:val="right" w:leader="dot" w:pos="9072"/>
        </w:tabs>
        <w:spacing w:line="720" w:lineRule="auto"/>
        <w:ind w:left="2590" w:leftChars="350" w:hanging="1680" w:hangingChars="700"/>
        <w:rPr>
          <w:rFonts w:ascii="宋体" w:hAnsi="宋体" w:eastAsia="宋体"/>
          <w:szCs w:val="24"/>
        </w:rPr>
      </w:pPr>
      <w:r>
        <w:rPr>
          <w:rFonts w:hint="eastAsia" w:ascii="宋体" w:hAnsi="宋体" w:eastAsia="宋体"/>
          <w:szCs w:val="24"/>
        </w:rPr>
        <w:t>第二章  供应商须知</w:t>
      </w:r>
    </w:p>
    <w:p>
      <w:pPr>
        <w:pStyle w:val="30"/>
        <w:tabs>
          <w:tab w:val="right" w:leader="dot" w:pos="9072"/>
        </w:tabs>
        <w:spacing w:line="720" w:lineRule="auto"/>
        <w:ind w:left="2590" w:leftChars="350" w:hanging="1680" w:hangingChars="700"/>
        <w:rPr>
          <w:rFonts w:ascii="宋体" w:hAnsi="宋体" w:eastAsia="宋体"/>
          <w:szCs w:val="24"/>
        </w:rPr>
      </w:pPr>
      <w:r>
        <w:rPr>
          <w:rFonts w:hint="eastAsia" w:ascii="宋体" w:hAnsi="宋体" w:eastAsia="宋体"/>
          <w:szCs w:val="24"/>
        </w:rPr>
        <w:t>第三章  项目需求</w:t>
      </w:r>
    </w:p>
    <w:p>
      <w:pPr>
        <w:pStyle w:val="30"/>
        <w:tabs>
          <w:tab w:val="right" w:leader="dot" w:pos="9072"/>
        </w:tabs>
        <w:spacing w:line="720" w:lineRule="auto"/>
        <w:ind w:left="2590" w:leftChars="350" w:hanging="1680" w:hangingChars="700"/>
        <w:rPr>
          <w:rFonts w:ascii="宋体" w:hAnsi="宋体" w:eastAsia="宋体"/>
          <w:szCs w:val="24"/>
        </w:rPr>
      </w:pPr>
      <w:r>
        <w:rPr>
          <w:rFonts w:hint="eastAsia" w:ascii="宋体" w:hAnsi="宋体" w:eastAsia="宋体"/>
          <w:szCs w:val="24"/>
        </w:rPr>
        <w:t>第四章  评审方法和程序</w:t>
      </w:r>
    </w:p>
    <w:p>
      <w:pPr>
        <w:pStyle w:val="30"/>
        <w:tabs>
          <w:tab w:val="right" w:leader="dot" w:pos="9072"/>
        </w:tabs>
        <w:spacing w:line="720" w:lineRule="auto"/>
        <w:ind w:left="2590" w:leftChars="350" w:hanging="1680" w:hangingChars="700"/>
        <w:rPr>
          <w:rFonts w:ascii="宋体" w:hAnsi="宋体" w:eastAsia="宋体"/>
          <w:szCs w:val="24"/>
        </w:rPr>
      </w:pPr>
      <w:r>
        <w:rPr>
          <w:rFonts w:hint="eastAsia" w:ascii="宋体" w:hAnsi="宋体" w:eastAsia="宋体"/>
          <w:szCs w:val="24"/>
        </w:rPr>
        <w:t>第五章  合同授予</w:t>
      </w:r>
    </w:p>
    <w:p>
      <w:pPr>
        <w:pStyle w:val="30"/>
        <w:tabs>
          <w:tab w:val="right" w:leader="dot" w:pos="9072"/>
        </w:tabs>
        <w:spacing w:line="720" w:lineRule="auto"/>
        <w:ind w:left="2590" w:leftChars="350" w:hanging="1680" w:hangingChars="700"/>
        <w:rPr>
          <w:rFonts w:ascii="宋体" w:hAnsi="宋体" w:eastAsia="宋体"/>
          <w:szCs w:val="24"/>
        </w:rPr>
      </w:pPr>
      <w:r>
        <w:rPr>
          <w:rFonts w:hint="eastAsia" w:ascii="宋体" w:hAnsi="宋体" w:eastAsia="宋体"/>
          <w:szCs w:val="24"/>
        </w:rPr>
        <w:t>第六章  履约验收及付款</w:t>
      </w:r>
    </w:p>
    <w:p>
      <w:pPr>
        <w:pStyle w:val="30"/>
        <w:tabs>
          <w:tab w:val="right" w:leader="dot" w:pos="9072"/>
        </w:tabs>
        <w:spacing w:line="720" w:lineRule="auto"/>
        <w:ind w:left="2590" w:leftChars="350" w:hanging="1680" w:hangingChars="700"/>
        <w:rPr>
          <w:rFonts w:ascii="宋体" w:hAnsi="宋体" w:eastAsia="宋体"/>
          <w:szCs w:val="24"/>
        </w:rPr>
      </w:pPr>
      <w:r>
        <w:rPr>
          <w:rFonts w:hint="eastAsia" w:ascii="宋体" w:hAnsi="宋体" w:eastAsia="宋体"/>
          <w:szCs w:val="24"/>
        </w:rPr>
        <w:t>第七章  质疑提出和处理</w:t>
      </w:r>
    </w:p>
    <w:p>
      <w:pPr>
        <w:pStyle w:val="30"/>
        <w:tabs>
          <w:tab w:val="right" w:leader="dot" w:pos="9072"/>
        </w:tabs>
        <w:spacing w:line="720" w:lineRule="auto"/>
        <w:ind w:left="2590" w:leftChars="350" w:hanging="1680" w:hangingChars="700"/>
        <w:rPr>
          <w:rFonts w:ascii="宋体" w:hAnsi="宋体" w:eastAsia="宋体"/>
          <w:szCs w:val="24"/>
        </w:rPr>
      </w:pPr>
      <w:r>
        <w:rPr>
          <w:rFonts w:hint="eastAsia" w:ascii="宋体" w:hAnsi="宋体" w:eastAsia="宋体"/>
          <w:szCs w:val="24"/>
        </w:rPr>
        <w:t>第八章   磋商响应相关格式及文件</w:t>
      </w:r>
    </w:p>
    <w:p>
      <w:pPr>
        <w:tabs>
          <w:tab w:val="right" w:leader="dot" w:pos="9072"/>
        </w:tabs>
        <w:spacing w:line="720" w:lineRule="auto"/>
        <w:jc w:val="center"/>
        <w:rPr>
          <w:rFonts w:ascii="宋体" w:hAnsi="宋体" w:eastAsia="宋体"/>
          <w:sz w:val="30"/>
          <w:szCs w:val="30"/>
        </w:rPr>
      </w:pPr>
    </w:p>
    <w:p>
      <w:pPr>
        <w:pStyle w:val="6"/>
        <w:tabs>
          <w:tab w:val="right" w:leader="dot" w:pos="9072"/>
        </w:tabs>
        <w:overflowPunct w:val="0"/>
        <w:spacing w:line="720" w:lineRule="auto"/>
        <w:ind w:firstLine="0"/>
        <w:jc w:val="center"/>
        <w:rPr>
          <w:rFonts w:ascii="宋体" w:hAnsi="宋体" w:eastAsia="宋体"/>
          <w:b/>
          <w:bCs/>
          <w:sz w:val="30"/>
          <w:szCs w:val="30"/>
        </w:rPr>
      </w:pPr>
      <w:r>
        <w:rPr>
          <w:rFonts w:ascii="宋体" w:hAnsi="宋体" w:eastAsia="宋体"/>
          <w:b/>
          <w:bCs/>
          <w:sz w:val="30"/>
          <w:szCs w:val="30"/>
        </w:rPr>
        <w:fldChar w:fldCharType="end"/>
      </w:r>
    </w:p>
    <w:p>
      <w:pPr>
        <w:snapToGrid w:val="0"/>
        <w:spacing w:line="440" w:lineRule="exact"/>
        <w:rPr>
          <w:rFonts w:ascii="宋体" w:hAnsi="宋体" w:eastAsia="宋体"/>
          <w:sz w:val="21"/>
          <w:szCs w:val="21"/>
        </w:rPr>
      </w:pPr>
    </w:p>
    <w:p>
      <w:pPr>
        <w:snapToGrid w:val="0"/>
        <w:spacing w:line="440" w:lineRule="exact"/>
        <w:rPr>
          <w:rFonts w:ascii="宋体" w:hAnsi="宋体" w:eastAsia="宋体"/>
          <w:sz w:val="21"/>
          <w:szCs w:val="21"/>
        </w:rPr>
      </w:pPr>
    </w:p>
    <w:p>
      <w:pPr>
        <w:snapToGrid w:val="0"/>
        <w:spacing w:line="440" w:lineRule="exact"/>
        <w:rPr>
          <w:rFonts w:ascii="宋体" w:hAnsi="宋体" w:eastAsia="宋体"/>
          <w:sz w:val="21"/>
          <w:szCs w:val="21"/>
        </w:rPr>
      </w:pPr>
    </w:p>
    <w:p>
      <w:pPr>
        <w:snapToGrid w:val="0"/>
        <w:spacing w:line="440" w:lineRule="exact"/>
        <w:rPr>
          <w:rFonts w:ascii="宋体" w:hAnsi="宋体" w:eastAsia="宋体"/>
          <w:sz w:val="21"/>
          <w:szCs w:val="21"/>
        </w:rPr>
      </w:pPr>
    </w:p>
    <w:p>
      <w:pPr>
        <w:snapToGrid w:val="0"/>
        <w:spacing w:line="440" w:lineRule="exact"/>
        <w:rPr>
          <w:rFonts w:ascii="宋体" w:hAnsi="宋体" w:eastAsia="宋体"/>
          <w:sz w:val="21"/>
          <w:szCs w:val="21"/>
        </w:rPr>
      </w:pPr>
    </w:p>
    <w:p>
      <w:pPr>
        <w:snapToGrid w:val="0"/>
        <w:spacing w:line="440" w:lineRule="exact"/>
        <w:rPr>
          <w:rFonts w:ascii="宋体" w:hAnsi="宋体" w:eastAsia="宋体"/>
          <w:sz w:val="21"/>
          <w:szCs w:val="21"/>
        </w:rPr>
        <w:sectPr>
          <w:headerReference r:id="rId4" w:type="first"/>
          <w:footerReference r:id="rId6" w:type="first"/>
          <w:headerReference r:id="rId3" w:type="default"/>
          <w:footerReference r:id="rId5" w:type="default"/>
          <w:pgSz w:w="11906" w:h="16838"/>
          <w:pgMar w:top="1134" w:right="1134" w:bottom="1134" w:left="1134" w:header="851" w:footer="448" w:gutter="0"/>
          <w:pgNumType w:start="0"/>
          <w:cols w:space="720" w:num="1"/>
          <w:titlePg/>
          <w:docGrid w:linePitch="380" w:charSpace="-5735"/>
        </w:sectPr>
      </w:pPr>
    </w:p>
    <w:p>
      <w:pPr>
        <w:snapToGrid w:val="0"/>
        <w:spacing w:line="440" w:lineRule="exact"/>
        <w:rPr>
          <w:rFonts w:ascii="宋体" w:hAnsi="宋体" w:eastAsia="宋体"/>
          <w:sz w:val="21"/>
          <w:szCs w:val="21"/>
        </w:rPr>
      </w:pPr>
      <w:r>
        <w:rPr>
          <w:rFonts w:hint="eastAsia" w:ascii="宋体" w:hAnsi="宋体" w:eastAsia="宋体"/>
          <w:sz w:val="21"/>
          <w:szCs w:val="21"/>
        </w:rPr>
        <w:t>尊敬的投标供应商（以下称供应商）：</w:t>
      </w:r>
    </w:p>
    <w:p>
      <w:pPr>
        <w:snapToGrid w:val="0"/>
        <w:spacing w:line="440" w:lineRule="exact"/>
        <w:ind w:firstLine="420" w:firstLineChars="200"/>
        <w:rPr>
          <w:rFonts w:ascii="宋体" w:hAnsi="宋体" w:eastAsia="宋体"/>
          <w:sz w:val="21"/>
          <w:szCs w:val="21"/>
        </w:rPr>
      </w:pPr>
      <w:r>
        <w:rPr>
          <w:rFonts w:hint="eastAsia" w:ascii="宋体" w:hAnsi="宋体" w:eastAsia="宋体"/>
          <w:sz w:val="21"/>
          <w:szCs w:val="21"/>
        </w:rPr>
        <w:t>欢迎参加本采购项目的竞争性磋商活动。为了保证本次招标顺利进行，请在制作投标响应文件（以下称投标文件）之前，仔细阅读本招标文件的各项条款，并按要求制作和递交投标文件。谢谢合作！</w:t>
      </w:r>
    </w:p>
    <w:p>
      <w:pPr>
        <w:tabs>
          <w:tab w:val="left" w:pos="1050"/>
          <w:tab w:val="right" w:leader="dot" w:pos="9402"/>
        </w:tabs>
        <w:spacing w:before="240" w:beforeLines="100" w:line="440" w:lineRule="exact"/>
        <w:jc w:val="center"/>
        <w:outlineLvl w:val="0"/>
        <w:rPr>
          <w:rFonts w:ascii="宋体" w:hAnsi="宋体" w:eastAsia="宋体"/>
          <w:b/>
          <w:w w:val="80"/>
          <w:sz w:val="32"/>
          <w:szCs w:val="32"/>
        </w:rPr>
      </w:pPr>
      <w:bookmarkStart w:id="0" w:name="_Toc363573853"/>
      <w:r>
        <w:rPr>
          <w:rFonts w:hint="eastAsia" w:ascii="宋体" w:hAnsi="宋体" w:eastAsia="宋体"/>
          <w:b/>
          <w:w w:val="80"/>
          <w:sz w:val="32"/>
          <w:szCs w:val="32"/>
        </w:rPr>
        <w:t>第一章</w:t>
      </w:r>
      <w:bookmarkEnd w:id="0"/>
      <w:r>
        <w:rPr>
          <w:rFonts w:hint="eastAsia" w:ascii="宋体" w:hAnsi="宋体" w:eastAsia="宋体"/>
          <w:b/>
          <w:w w:val="80"/>
          <w:sz w:val="32"/>
          <w:szCs w:val="32"/>
        </w:rPr>
        <w:t xml:space="preserve">  竞争性磋商公告</w:t>
      </w:r>
    </w:p>
    <w:p>
      <w:pPr>
        <w:pBdr>
          <w:top w:val="single" w:color="auto" w:sz="4" w:space="1"/>
          <w:left w:val="single" w:color="auto" w:sz="4" w:space="4"/>
          <w:bottom w:val="single" w:color="auto" w:sz="4" w:space="1"/>
          <w:right w:val="single" w:color="auto" w:sz="4" w:space="4"/>
        </w:pBdr>
        <w:spacing w:line="480" w:lineRule="exact"/>
        <w:ind w:firstLine="422" w:firstLineChars="200"/>
        <w:rPr>
          <w:rFonts w:ascii="宋体" w:hAnsi="宋体" w:eastAsia="宋体"/>
          <w:sz w:val="21"/>
          <w:szCs w:val="21"/>
        </w:rPr>
      </w:pPr>
      <w:bookmarkStart w:id="1" w:name="_Hlk527374068"/>
      <w:r>
        <w:rPr>
          <w:rFonts w:hint="eastAsia" w:ascii="宋体" w:hAnsi="宋体" w:eastAsia="宋体"/>
          <w:b/>
          <w:sz w:val="21"/>
          <w:szCs w:val="21"/>
          <w:u w:val="single"/>
        </w:rPr>
        <w:t>永兴街道永通花苑物业服务项目</w:t>
      </w:r>
      <w:r>
        <w:rPr>
          <w:rFonts w:hint="eastAsia" w:ascii="宋体" w:hAnsi="宋体" w:eastAsia="宋体"/>
          <w:sz w:val="21"/>
          <w:szCs w:val="21"/>
        </w:rPr>
        <w:t>的潜在供应商应在</w:t>
      </w:r>
      <w:r>
        <w:rPr>
          <w:rFonts w:ascii="宋体" w:hAnsi="宋体" w:eastAsia="宋体"/>
          <w:b/>
          <w:bCs/>
          <w:sz w:val="21"/>
          <w:szCs w:val="21"/>
          <w:u w:val="single"/>
        </w:rPr>
        <w:t>“</w:t>
      </w:r>
      <w:r>
        <w:rPr>
          <w:rFonts w:hint="eastAsia" w:ascii="宋体" w:hAnsi="宋体" w:eastAsia="宋体" w:cs="宋体"/>
          <w:b/>
          <w:bCs/>
          <w:sz w:val="21"/>
          <w:szCs w:val="21"/>
          <w:u w:val="single"/>
        </w:rPr>
        <w:t>南通市崇川区人民政府网→我要看→公示公告栏</w:t>
      </w:r>
      <w:r>
        <w:rPr>
          <w:rFonts w:ascii="宋体" w:hAnsi="宋体" w:eastAsia="宋体"/>
          <w:b/>
          <w:bCs/>
          <w:sz w:val="21"/>
          <w:szCs w:val="21"/>
          <w:u w:val="single"/>
        </w:rPr>
        <w:t>”</w:t>
      </w:r>
      <w:r>
        <w:rPr>
          <w:rFonts w:hint="eastAsia" w:ascii="宋体" w:hAnsi="宋体" w:eastAsia="宋体"/>
          <w:sz w:val="21"/>
          <w:szCs w:val="21"/>
        </w:rPr>
        <w:t>下载获取采购文件，并于</w:t>
      </w:r>
      <w:r>
        <w:rPr>
          <w:rFonts w:hint="eastAsia" w:ascii="宋体" w:hAnsi="宋体" w:eastAsia="宋体"/>
          <w:b/>
          <w:sz w:val="21"/>
          <w:szCs w:val="21"/>
          <w:u w:val="single"/>
        </w:rPr>
        <w:t xml:space="preserve"> 202</w:t>
      </w:r>
      <w:r>
        <w:rPr>
          <w:rFonts w:hint="eastAsia" w:ascii="宋体" w:hAnsi="宋体" w:eastAsia="宋体"/>
          <w:b/>
          <w:sz w:val="21"/>
          <w:szCs w:val="21"/>
          <w:u w:val="single"/>
          <w:lang w:val="en-US" w:eastAsia="zh-CN"/>
        </w:rPr>
        <w:t>2</w:t>
      </w:r>
      <w:r>
        <w:rPr>
          <w:rFonts w:hint="eastAsia" w:ascii="宋体" w:hAnsi="宋体" w:eastAsia="宋体"/>
          <w:b/>
          <w:bCs/>
          <w:sz w:val="21"/>
          <w:szCs w:val="21"/>
        </w:rPr>
        <w:t>年</w:t>
      </w:r>
      <w:r>
        <w:rPr>
          <w:rFonts w:hint="eastAsia" w:ascii="宋体" w:hAnsi="宋体" w:eastAsia="宋体" w:cs="宋体"/>
          <w:b/>
          <w:sz w:val="21"/>
          <w:szCs w:val="21"/>
        </w:rPr>
        <w:t xml:space="preserve"> 2月</w:t>
      </w:r>
      <w:r>
        <w:rPr>
          <w:rFonts w:hint="eastAsia" w:ascii="宋体" w:hAnsi="宋体" w:eastAsia="宋体" w:cs="宋体"/>
          <w:b/>
          <w:sz w:val="21"/>
          <w:szCs w:val="21"/>
          <w:lang w:val="en-US" w:eastAsia="zh-CN"/>
        </w:rPr>
        <w:t>21</w:t>
      </w:r>
      <w:r>
        <w:rPr>
          <w:rFonts w:hint="eastAsia" w:ascii="宋体" w:hAnsi="宋体" w:eastAsia="宋体" w:cs="宋体"/>
          <w:b/>
          <w:sz w:val="21"/>
          <w:szCs w:val="21"/>
        </w:rPr>
        <w:t>日</w:t>
      </w:r>
      <w:r>
        <w:rPr>
          <w:rFonts w:hint="eastAsia" w:ascii="宋体" w:hAnsi="宋体" w:eastAsia="宋体"/>
          <w:b/>
          <w:bCs/>
          <w:sz w:val="21"/>
          <w:szCs w:val="21"/>
          <w:u w:val="single"/>
        </w:rPr>
        <w:t xml:space="preserve"> 14 </w:t>
      </w:r>
      <w:r>
        <w:rPr>
          <w:rFonts w:hint="eastAsia" w:ascii="宋体" w:hAnsi="宋体" w:eastAsia="宋体"/>
          <w:b/>
          <w:bCs/>
          <w:sz w:val="21"/>
          <w:szCs w:val="21"/>
        </w:rPr>
        <w:t>点</w:t>
      </w:r>
      <w:r>
        <w:rPr>
          <w:rFonts w:hint="eastAsia" w:ascii="宋体" w:hAnsi="宋体" w:eastAsia="宋体"/>
          <w:b/>
          <w:bCs/>
          <w:sz w:val="21"/>
          <w:szCs w:val="21"/>
          <w:u w:val="single"/>
        </w:rPr>
        <w:t xml:space="preserve"> 30 </w:t>
      </w:r>
      <w:r>
        <w:rPr>
          <w:rFonts w:hint="eastAsia" w:ascii="宋体" w:hAnsi="宋体" w:eastAsia="宋体"/>
          <w:b/>
          <w:bCs/>
          <w:sz w:val="21"/>
          <w:szCs w:val="21"/>
        </w:rPr>
        <w:t>分</w:t>
      </w:r>
      <w:r>
        <w:rPr>
          <w:rFonts w:hint="eastAsia" w:ascii="宋体" w:hAnsi="宋体" w:eastAsia="宋体"/>
          <w:bCs/>
          <w:sz w:val="21"/>
          <w:szCs w:val="21"/>
        </w:rPr>
        <w:t>（北京时间）前提交响应文件</w:t>
      </w:r>
      <w:r>
        <w:rPr>
          <w:rFonts w:hint="eastAsia" w:ascii="宋体" w:hAnsi="宋体" w:eastAsia="宋体"/>
          <w:sz w:val="21"/>
          <w:szCs w:val="21"/>
        </w:rPr>
        <w:t>。</w:t>
      </w:r>
    </w:p>
    <w:p>
      <w:pPr>
        <w:widowControl/>
        <w:snapToGrid w:val="0"/>
        <w:spacing w:line="440" w:lineRule="exact"/>
        <w:ind w:firstLine="413" w:firstLineChars="196"/>
        <w:jc w:val="left"/>
        <w:rPr>
          <w:rFonts w:ascii="宋体" w:hAnsi="宋体" w:eastAsia="宋体" w:cs="宋体"/>
          <w:b/>
          <w:sz w:val="21"/>
          <w:szCs w:val="21"/>
        </w:rPr>
      </w:pPr>
      <w:r>
        <w:rPr>
          <w:rFonts w:hint="eastAsia" w:ascii="宋体" w:hAnsi="宋体" w:eastAsia="宋体" w:cs="宋体"/>
          <w:b/>
          <w:sz w:val="21"/>
          <w:szCs w:val="21"/>
        </w:rPr>
        <w:t>一、项目基本情况：</w:t>
      </w:r>
    </w:p>
    <w:p>
      <w:pPr>
        <w:spacing w:line="440" w:lineRule="exact"/>
        <w:ind w:firstLine="420" w:firstLineChars="200"/>
        <w:jc w:val="left"/>
        <w:rPr>
          <w:rFonts w:ascii="宋体" w:hAnsi="宋体" w:eastAsia="宋体" w:cs="仿宋_GB2312"/>
          <w:color w:val="000000"/>
          <w:sz w:val="21"/>
          <w:szCs w:val="21"/>
        </w:rPr>
      </w:pPr>
      <w:r>
        <w:rPr>
          <w:rFonts w:hint="eastAsia" w:ascii="宋体" w:hAnsi="宋体" w:eastAsia="宋体" w:cs="仿宋_GB2312"/>
          <w:color w:val="000000"/>
          <w:sz w:val="21"/>
          <w:szCs w:val="21"/>
        </w:rPr>
        <w:t>1、项目名称：永兴街道永通</w:t>
      </w:r>
      <w:r>
        <w:rPr>
          <w:rFonts w:hint="eastAsia" w:ascii="宋体" w:hAnsi="宋体" w:eastAsia="宋体" w:cs="仿宋_GB2312"/>
          <w:color w:val="000000"/>
          <w:sz w:val="21"/>
          <w:szCs w:val="21"/>
          <w:lang w:val="en-US" w:eastAsia="zh-CN"/>
        </w:rPr>
        <w:t>花苑</w:t>
      </w:r>
      <w:r>
        <w:rPr>
          <w:rFonts w:hint="eastAsia" w:ascii="宋体" w:hAnsi="宋体" w:eastAsia="宋体" w:cs="仿宋_GB2312"/>
          <w:color w:val="000000"/>
          <w:sz w:val="21"/>
          <w:szCs w:val="21"/>
        </w:rPr>
        <w:t>物业服务项目。</w:t>
      </w:r>
    </w:p>
    <w:p>
      <w:pPr>
        <w:widowControl/>
        <w:spacing w:line="440" w:lineRule="exact"/>
        <w:ind w:firstLine="525" w:firstLineChars="250"/>
        <w:jc w:val="left"/>
        <w:rPr>
          <w:rFonts w:ascii="宋体" w:hAnsi="宋体" w:eastAsia="宋体"/>
          <w:sz w:val="21"/>
          <w:szCs w:val="21"/>
        </w:rPr>
      </w:pPr>
      <w:r>
        <w:rPr>
          <w:rFonts w:hint="eastAsia" w:ascii="宋体" w:hAnsi="宋体" w:eastAsia="宋体"/>
          <w:sz w:val="21"/>
          <w:szCs w:val="21"/>
        </w:rPr>
        <w:t>地处黄海路北,永和路西。该地块规划用地面积100934.08㎡，规划建筑面积295024㎡,其中住宅面积196912㎡，配套公建13198㎡(含商业6151㎡），普通地下室面积64624㎡，人防地下室面积20290㎡。地块由7幢9层住宅、9幢15层住宅、10幢16层，2幢3层公建、1幢2层公建组成，共有安置房1450套。</w:t>
      </w:r>
    </w:p>
    <w:p>
      <w:pPr>
        <w:spacing w:line="440" w:lineRule="exact"/>
        <w:ind w:firstLine="420" w:firstLineChars="200"/>
        <w:jc w:val="left"/>
        <w:rPr>
          <w:rFonts w:ascii="宋体" w:hAnsi="宋体" w:eastAsia="宋体" w:cs="仿宋_GB2312"/>
          <w:color w:val="000000"/>
          <w:sz w:val="21"/>
          <w:szCs w:val="21"/>
        </w:rPr>
      </w:pPr>
      <w:r>
        <w:rPr>
          <w:rFonts w:hint="eastAsia" w:ascii="宋体" w:hAnsi="宋体" w:eastAsia="宋体" w:cs="仿宋_GB2312"/>
          <w:color w:val="000000"/>
          <w:sz w:val="21"/>
          <w:szCs w:val="21"/>
        </w:rPr>
        <w:t>2、采购方式：竞争性磋商。</w:t>
      </w:r>
    </w:p>
    <w:p>
      <w:pPr>
        <w:spacing w:line="440" w:lineRule="exact"/>
        <w:ind w:firstLine="420" w:firstLineChars="200"/>
        <w:jc w:val="left"/>
        <w:rPr>
          <w:rFonts w:ascii="宋体" w:hAnsi="宋体" w:eastAsia="宋体" w:cs="仿宋_GB2312"/>
          <w:sz w:val="21"/>
          <w:szCs w:val="21"/>
        </w:rPr>
      </w:pPr>
      <w:r>
        <w:rPr>
          <w:rFonts w:hint="eastAsia" w:ascii="宋体" w:hAnsi="宋体" w:eastAsia="宋体" w:cs="仿宋_GB2312"/>
          <w:sz w:val="21"/>
          <w:szCs w:val="21"/>
        </w:rPr>
        <w:t>3、项目预算：物业费收取标准补贴金额为：</w:t>
      </w:r>
    </w:p>
    <w:p>
      <w:pPr>
        <w:spacing w:line="440" w:lineRule="exact"/>
        <w:ind w:firstLine="420" w:firstLineChars="200"/>
        <w:jc w:val="left"/>
        <w:rPr>
          <w:rFonts w:ascii="宋体" w:hAnsi="宋体" w:eastAsia="宋体" w:cs="仿宋_GB2312"/>
          <w:sz w:val="21"/>
          <w:szCs w:val="21"/>
        </w:rPr>
      </w:pPr>
      <w:r>
        <w:rPr>
          <w:rFonts w:hint="eastAsia" w:ascii="宋体" w:hAnsi="宋体" w:eastAsia="宋体" w:cs="仿宋_GB2312"/>
          <w:sz w:val="21"/>
          <w:szCs w:val="21"/>
        </w:rPr>
        <w:t>①前两年由成交人参照2021年《崇川区社区物业管理办法》标准向业主收取；两年后</w:t>
      </w:r>
      <w:r>
        <w:rPr>
          <w:rFonts w:hint="eastAsia" w:ascii="宋体" w:hAnsi="宋体" w:eastAsia="宋体" w:cs="仿宋_GB2312"/>
          <w:sz w:val="21"/>
          <w:szCs w:val="21"/>
          <w:lang w:val="en-US" w:eastAsia="zh-CN"/>
        </w:rPr>
        <w:t>享</w:t>
      </w:r>
      <w:r>
        <w:rPr>
          <w:rFonts w:hint="eastAsia" w:ascii="宋体" w:hAnsi="宋体" w:eastAsia="宋体" w:cs="仿宋_GB2312"/>
          <w:sz w:val="21"/>
          <w:szCs w:val="21"/>
        </w:rPr>
        <w:t>受安置房补贴部分（面积待区住建局核定）由采购人按0.5元/㎡/月补贴。成交人进场后由区住建局考核、街道打分，按规拨付。</w:t>
      </w:r>
    </w:p>
    <w:p>
      <w:pPr>
        <w:spacing w:line="440" w:lineRule="exact"/>
        <w:ind w:firstLine="420" w:firstLineChars="200"/>
        <w:jc w:val="left"/>
        <w:rPr>
          <w:rFonts w:ascii="宋体" w:hAnsi="宋体" w:eastAsia="宋体" w:cs="仿宋_GB2312"/>
          <w:sz w:val="21"/>
          <w:szCs w:val="21"/>
        </w:rPr>
      </w:pPr>
      <w:r>
        <w:rPr>
          <w:rFonts w:hint="eastAsia" w:ascii="宋体" w:hAnsi="宋体" w:eastAsia="宋体" w:cs="仿宋_GB2312"/>
          <w:sz w:val="21"/>
          <w:szCs w:val="21"/>
        </w:rPr>
        <w:t>②不享受安置房补贴部分（总面积减去补贴部分面积）由成交人参照2021年《崇川区社区物业管理办法》标准向业主收取。</w:t>
      </w:r>
    </w:p>
    <w:p>
      <w:pPr>
        <w:spacing w:line="440" w:lineRule="exact"/>
        <w:ind w:firstLine="420" w:firstLineChars="200"/>
        <w:jc w:val="left"/>
        <w:rPr>
          <w:rFonts w:ascii="宋体" w:hAnsi="宋体" w:eastAsia="宋体" w:cs="仿宋_GB2312"/>
          <w:sz w:val="21"/>
          <w:szCs w:val="21"/>
        </w:rPr>
      </w:pPr>
      <w:r>
        <w:rPr>
          <w:rFonts w:hint="eastAsia" w:ascii="宋体" w:hAnsi="宋体" w:eastAsia="宋体" w:cs="仿宋_GB2312"/>
          <w:sz w:val="21"/>
          <w:szCs w:val="21"/>
        </w:rPr>
        <w:t>③上述两年后安置房补贴面积目前暂未确定且每年更新，合同期间，具体补贴及自收面积以即时实际数据为准。</w:t>
      </w:r>
    </w:p>
    <w:p>
      <w:pPr>
        <w:spacing w:line="440" w:lineRule="exact"/>
        <w:ind w:firstLine="420" w:firstLineChars="200"/>
        <w:jc w:val="left"/>
        <w:rPr>
          <w:rFonts w:ascii="宋体" w:hAnsi="宋体" w:eastAsia="宋体" w:cs="仿宋_GB2312"/>
          <w:sz w:val="21"/>
          <w:szCs w:val="21"/>
        </w:rPr>
      </w:pPr>
      <w:r>
        <w:rPr>
          <w:rFonts w:hint="eastAsia" w:ascii="宋体" w:hAnsi="宋体" w:eastAsia="宋体" w:cs="仿宋_GB2312"/>
          <w:sz w:val="21"/>
          <w:szCs w:val="21"/>
        </w:rPr>
        <w:t>4、项目需求：详见竞争性磋商文件第三章。</w:t>
      </w:r>
    </w:p>
    <w:p>
      <w:pPr>
        <w:spacing w:line="440" w:lineRule="exact"/>
        <w:ind w:firstLine="420" w:firstLineChars="200"/>
        <w:jc w:val="left"/>
        <w:rPr>
          <w:rFonts w:ascii="宋体" w:hAnsi="宋体" w:eastAsia="宋体" w:cs="仿宋_GB2312"/>
          <w:color w:val="000000"/>
          <w:sz w:val="21"/>
          <w:szCs w:val="21"/>
        </w:rPr>
      </w:pPr>
      <w:r>
        <w:rPr>
          <w:rFonts w:hint="eastAsia" w:ascii="宋体" w:hAnsi="宋体" w:eastAsia="宋体" w:cs="仿宋_GB2312"/>
          <w:color w:val="000000"/>
          <w:sz w:val="21"/>
          <w:szCs w:val="21"/>
        </w:rPr>
        <w:t>5、服务期限：本项目服务期为</w:t>
      </w:r>
      <w:r>
        <w:rPr>
          <w:rFonts w:hint="eastAsia" w:ascii="宋体" w:hAnsi="宋体" w:eastAsia="宋体" w:cs="仿宋_GB2312"/>
          <w:sz w:val="21"/>
          <w:szCs w:val="21"/>
        </w:rPr>
        <w:t>2年。从合同签订之日起算。</w:t>
      </w:r>
      <w:r>
        <w:rPr>
          <w:rFonts w:hint="eastAsia" w:ascii="宋体" w:hAnsi="宋体" w:eastAsia="宋体" w:cs="仿宋_GB2312"/>
          <w:color w:val="000000"/>
          <w:sz w:val="21"/>
          <w:szCs w:val="21"/>
        </w:rPr>
        <w:t>履约情况良好，可续签。</w:t>
      </w:r>
    </w:p>
    <w:p>
      <w:pPr>
        <w:spacing w:line="440" w:lineRule="exact"/>
        <w:ind w:firstLine="420" w:firstLineChars="200"/>
        <w:jc w:val="left"/>
        <w:rPr>
          <w:rFonts w:ascii="宋体" w:hAnsi="宋体" w:eastAsia="宋体" w:cs="仿宋_GB2312"/>
          <w:color w:val="000000"/>
          <w:sz w:val="21"/>
          <w:szCs w:val="21"/>
        </w:rPr>
      </w:pPr>
      <w:r>
        <w:rPr>
          <w:rFonts w:hint="eastAsia" w:ascii="宋体" w:hAnsi="宋体" w:eastAsia="宋体" w:cs="仿宋_GB2312"/>
          <w:color w:val="000000"/>
          <w:sz w:val="21"/>
          <w:szCs w:val="21"/>
        </w:rPr>
        <w:t>6、本项目不接受任何形式的联合体参与磋商。</w:t>
      </w:r>
    </w:p>
    <w:p>
      <w:pPr>
        <w:spacing w:line="440" w:lineRule="exact"/>
        <w:ind w:firstLine="420" w:firstLineChars="200"/>
        <w:jc w:val="left"/>
        <w:rPr>
          <w:rFonts w:ascii="宋体" w:hAnsi="宋体" w:eastAsia="宋体" w:cs="仿宋_GB2312"/>
          <w:color w:val="000000"/>
          <w:sz w:val="21"/>
          <w:szCs w:val="21"/>
        </w:rPr>
      </w:pPr>
      <w:r>
        <w:rPr>
          <w:rFonts w:hint="eastAsia" w:ascii="宋体" w:hAnsi="宋体" w:eastAsia="宋体" w:cs="仿宋_GB2312"/>
          <w:color w:val="000000"/>
          <w:sz w:val="21"/>
          <w:szCs w:val="21"/>
        </w:rPr>
        <w:t>二、申请人的资格要求：</w:t>
      </w:r>
    </w:p>
    <w:p>
      <w:pPr>
        <w:spacing w:line="440" w:lineRule="exact"/>
        <w:ind w:firstLine="420" w:firstLineChars="200"/>
        <w:jc w:val="left"/>
        <w:rPr>
          <w:rFonts w:ascii="宋体" w:hAnsi="宋体" w:eastAsia="宋体" w:cs="仿宋_GB2312"/>
          <w:color w:val="000000"/>
          <w:sz w:val="21"/>
          <w:szCs w:val="21"/>
        </w:rPr>
      </w:pPr>
      <w:r>
        <w:rPr>
          <w:rFonts w:hint="eastAsia" w:ascii="宋体" w:hAnsi="宋体" w:eastAsia="宋体" w:cs="仿宋_GB2312"/>
          <w:color w:val="000000"/>
          <w:sz w:val="21"/>
          <w:szCs w:val="21"/>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pacing w:line="440" w:lineRule="exact"/>
        <w:ind w:firstLine="420" w:firstLineChars="200"/>
        <w:jc w:val="left"/>
        <w:rPr>
          <w:rFonts w:ascii="宋体" w:hAnsi="宋体" w:eastAsia="宋体" w:cs="仿宋_GB2312"/>
          <w:color w:val="000000"/>
          <w:sz w:val="21"/>
          <w:szCs w:val="21"/>
        </w:rPr>
      </w:pPr>
      <w:r>
        <w:rPr>
          <w:rFonts w:ascii="宋体" w:hAnsi="宋体" w:eastAsia="宋体" w:cs="仿宋_GB2312"/>
          <w:color w:val="000000"/>
          <w:sz w:val="21"/>
          <w:szCs w:val="21"/>
        </w:rPr>
        <w:t>2</w:t>
      </w:r>
      <w:r>
        <w:rPr>
          <w:rFonts w:hint="eastAsia" w:ascii="宋体" w:hAnsi="宋体" w:eastAsia="宋体" w:cs="仿宋_GB2312"/>
          <w:color w:val="000000"/>
          <w:sz w:val="21"/>
          <w:szCs w:val="21"/>
        </w:rPr>
        <w:t>、法定代表人为同一个人的两个及两个以上法人，母公司、全资子公司及其控股公司，都不得在同一采购项目相同标段中同时参加投标，一经发现，将视同围标处理。</w:t>
      </w:r>
    </w:p>
    <w:p>
      <w:pPr>
        <w:spacing w:line="440" w:lineRule="exact"/>
        <w:ind w:firstLine="420" w:firstLineChars="200"/>
        <w:jc w:val="left"/>
        <w:rPr>
          <w:rFonts w:ascii="宋体" w:hAnsi="宋体" w:eastAsia="宋体" w:cs="仿宋_GB2312"/>
          <w:color w:val="000000"/>
          <w:sz w:val="21"/>
          <w:szCs w:val="21"/>
        </w:rPr>
      </w:pPr>
      <w:r>
        <w:rPr>
          <w:rFonts w:hint="eastAsia" w:ascii="宋体" w:hAnsi="宋体" w:eastAsia="宋体" w:cs="仿宋_GB2312"/>
          <w:color w:val="000000"/>
          <w:sz w:val="21"/>
          <w:szCs w:val="21"/>
        </w:rPr>
        <w:t>3、磋商供应商的企业法人营业执照副本复印件、税务登记证副本复印件；或三证合一的营业执照副本复印件。</w:t>
      </w:r>
    </w:p>
    <w:p>
      <w:pPr>
        <w:spacing w:line="440" w:lineRule="exact"/>
        <w:ind w:firstLine="420" w:firstLineChars="200"/>
        <w:jc w:val="left"/>
        <w:rPr>
          <w:rFonts w:ascii="宋体" w:hAnsi="宋体" w:eastAsia="宋体" w:cs="仿宋_GB2312"/>
          <w:color w:val="000000"/>
          <w:sz w:val="21"/>
          <w:szCs w:val="21"/>
        </w:rPr>
      </w:pPr>
      <w:r>
        <w:rPr>
          <w:rFonts w:hint="eastAsia" w:ascii="宋体" w:hAnsi="宋体" w:eastAsia="宋体" w:cs="仿宋_GB2312"/>
          <w:color w:val="000000"/>
          <w:sz w:val="21"/>
          <w:szCs w:val="21"/>
        </w:rPr>
        <w:t>4、磋商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为供应商正式人员证明材料【提供①与供应商签订的有效劳动合同复印件；②社保机构出具并盖章的供应商为其缴纳2021年度连续三个月的养老保险缴费清单复印件】（格式参见第八章）。</w:t>
      </w:r>
    </w:p>
    <w:p>
      <w:pPr>
        <w:spacing w:line="440" w:lineRule="exact"/>
        <w:ind w:firstLine="420" w:firstLineChars="200"/>
        <w:jc w:val="left"/>
        <w:rPr>
          <w:rFonts w:ascii="宋体" w:hAnsi="宋体" w:eastAsia="宋体" w:cs="仿宋_GB2312"/>
          <w:color w:val="000000"/>
          <w:sz w:val="21"/>
          <w:szCs w:val="21"/>
        </w:rPr>
      </w:pPr>
      <w:r>
        <w:rPr>
          <w:rFonts w:hint="eastAsia" w:ascii="宋体" w:hAnsi="宋体" w:eastAsia="宋体" w:cs="仿宋_GB2312"/>
          <w:color w:val="000000"/>
          <w:sz w:val="21"/>
          <w:szCs w:val="21"/>
        </w:rPr>
        <w:t>5、投标供应商须提供参与本次项目政府采购活动前三年内，在经营活动中没有重大违法记录的书面《无重大违法记录声明函》（格式参见第八章）；</w:t>
      </w:r>
    </w:p>
    <w:p>
      <w:pPr>
        <w:spacing w:line="440" w:lineRule="exact"/>
        <w:ind w:firstLine="420" w:firstLineChars="200"/>
        <w:jc w:val="left"/>
        <w:rPr>
          <w:rFonts w:ascii="宋体" w:hAnsi="宋体" w:eastAsia="宋体" w:cs="仿宋_GB2312"/>
          <w:color w:val="000000"/>
          <w:sz w:val="21"/>
          <w:szCs w:val="21"/>
        </w:rPr>
      </w:pPr>
      <w:r>
        <w:rPr>
          <w:rFonts w:hint="eastAsia" w:ascii="宋体" w:hAnsi="宋体" w:eastAsia="宋体" w:cs="仿宋_GB2312"/>
          <w:color w:val="000000"/>
          <w:sz w:val="21"/>
          <w:szCs w:val="21"/>
        </w:rPr>
        <w:t>6、投标供应商须提供资格文件声明函（格式参见第八章）。</w:t>
      </w:r>
    </w:p>
    <w:p>
      <w:pPr>
        <w:spacing w:line="440" w:lineRule="exact"/>
        <w:ind w:firstLine="420" w:firstLineChars="200"/>
        <w:rPr>
          <w:rFonts w:ascii="宋体" w:hAnsi="宋体" w:eastAsia="宋体"/>
          <w:sz w:val="21"/>
          <w:szCs w:val="21"/>
        </w:rPr>
      </w:pPr>
      <w:r>
        <w:rPr>
          <w:rFonts w:hint="eastAsia" w:ascii="宋体" w:hAnsi="宋体" w:eastAsia="宋体"/>
          <w:sz w:val="21"/>
          <w:szCs w:val="21"/>
        </w:rPr>
        <w:t xml:space="preserve">具体资格要求详见第八章中的“资格审查文件”。 </w:t>
      </w:r>
    </w:p>
    <w:p>
      <w:pPr>
        <w:widowControl/>
        <w:snapToGrid w:val="0"/>
        <w:spacing w:line="440" w:lineRule="exact"/>
        <w:ind w:firstLine="422" w:firstLineChars="200"/>
        <w:jc w:val="left"/>
        <w:rPr>
          <w:rFonts w:ascii="宋体" w:hAnsi="宋体" w:eastAsia="宋体" w:cs="宋体"/>
          <w:b/>
          <w:sz w:val="21"/>
          <w:szCs w:val="21"/>
        </w:rPr>
      </w:pPr>
      <w:r>
        <w:rPr>
          <w:rFonts w:hint="eastAsia" w:ascii="宋体" w:hAnsi="宋体" w:eastAsia="宋体" w:cs="宋体"/>
          <w:b/>
          <w:sz w:val="21"/>
          <w:szCs w:val="21"/>
        </w:rPr>
        <w:t>请供应商认真对照资格要求，如不符合要求，无意或故意参与磋商的，所产生的一切后果由供应商承担。若响应供应商提供虚假材料的，将作无效响应处理，并报财政部门将其列入政府采购黑名单，视情公布在崇川区人民政府网。</w:t>
      </w:r>
    </w:p>
    <w:p>
      <w:pPr>
        <w:widowControl/>
        <w:snapToGrid w:val="0"/>
        <w:spacing w:line="440" w:lineRule="exact"/>
        <w:ind w:firstLine="422" w:firstLineChars="200"/>
        <w:jc w:val="left"/>
        <w:rPr>
          <w:rFonts w:ascii="宋体" w:hAnsi="宋体" w:eastAsia="宋体" w:cs="宋体"/>
          <w:b/>
          <w:sz w:val="21"/>
          <w:szCs w:val="21"/>
        </w:rPr>
      </w:pPr>
      <w:r>
        <w:rPr>
          <w:rFonts w:hint="eastAsia" w:ascii="宋体" w:hAnsi="宋体" w:eastAsia="宋体" w:cs="宋体"/>
          <w:b/>
          <w:sz w:val="21"/>
          <w:szCs w:val="21"/>
        </w:rPr>
        <w:t>非采购人原因成交人放弃中标资格的，报财政部门将其列入政府采购黑名单，视情公布在崇川区人民政府网。</w:t>
      </w:r>
    </w:p>
    <w:p>
      <w:pPr>
        <w:widowControl/>
        <w:snapToGrid w:val="0"/>
        <w:spacing w:line="440" w:lineRule="exact"/>
        <w:ind w:firstLine="422" w:firstLineChars="200"/>
        <w:jc w:val="left"/>
        <w:rPr>
          <w:rFonts w:ascii="宋体" w:hAnsi="宋体" w:eastAsia="宋体" w:cs="宋体"/>
          <w:b/>
          <w:sz w:val="21"/>
          <w:szCs w:val="21"/>
        </w:rPr>
      </w:pPr>
      <w:r>
        <w:rPr>
          <w:rFonts w:hint="eastAsia" w:ascii="宋体" w:hAnsi="宋体" w:eastAsia="宋体" w:cs="宋体"/>
          <w:b/>
          <w:sz w:val="21"/>
          <w:szCs w:val="21"/>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政府采购项目的其他采购活动；如发现供应商递交的资格后审材料有弄虚作假行为，该供应商将记入不良记录，并上报有关监管部门，如已中标，采购人有权取消其中标资格，并由该供应商承担由此带来可能的一切责任和损失。</w:t>
      </w:r>
    </w:p>
    <w:p>
      <w:pPr>
        <w:spacing w:line="440" w:lineRule="exact"/>
        <w:ind w:firstLine="422" w:firstLineChars="200"/>
        <w:rPr>
          <w:rFonts w:ascii="宋体" w:hAnsi="宋体" w:eastAsia="宋体" w:cs="宋体"/>
          <w:b/>
          <w:sz w:val="21"/>
          <w:szCs w:val="21"/>
        </w:rPr>
      </w:pPr>
      <w:r>
        <w:rPr>
          <w:rFonts w:hint="eastAsia" w:ascii="宋体" w:hAnsi="宋体" w:eastAsia="宋体" w:cs="宋体"/>
          <w:b/>
          <w:sz w:val="21"/>
          <w:szCs w:val="21"/>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pacing w:line="440" w:lineRule="exact"/>
        <w:ind w:firstLine="422" w:firstLineChars="200"/>
        <w:rPr>
          <w:rFonts w:ascii="宋体" w:hAnsi="宋体" w:eastAsia="宋体" w:cs="宋体"/>
          <w:b/>
          <w:sz w:val="21"/>
          <w:szCs w:val="21"/>
        </w:rPr>
      </w:pPr>
      <w:r>
        <w:rPr>
          <w:rFonts w:hint="eastAsia" w:ascii="宋体" w:hAnsi="宋体" w:eastAsia="宋体" w:cs="宋体"/>
          <w:b/>
          <w:sz w:val="21"/>
          <w:szCs w:val="21"/>
        </w:rPr>
        <w:t>三、磋商文件的获取</w:t>
      </w:r>
    </w:p>
    <w:p>
      <w:pPr>
        <w:widowControl/>
        <w:snapToGrid w:val="0"/>
        <w:spacing w:line="440" w:lineRule="exact"/>
        <w:ind w:firstLine="525" w:firstLineChars="250"/>
        <w:jc w:val="left"/>
        <w:rPr>
          <w:rFonts w:hint="eastAsia" w:ascii="宋体" w:hAnsi="宋体" w:eastAsia="宋体" w:cs="宋体"/>
          <w:sz w:val="21"/>
          <w:szCs w:val="21"/>
        </w:rPr>
      </w:pPr>
      <w:r>
        <w:rPr>
          <w:rFonts w:hint="eastAsia" w:ascii="宋体" w:hAnsi="宋体" w:eastAsia="宋体" w:cs="宋体"/>
          <w:sz w:val="21"/>
          <w:szCs w:val="21"/>
        </w:rPr>
        <w:t>本项目磋商文件请于202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11</w:t>
      </w:r>
      <w:r>
        <w:rPr>
          <w:rFonts w:hint="eastAsia" w:ascii="宋体" w:hAnsi="宋体" w:eastAsia="宋体" w:cs="宋体"/>
          <w:sz w:val="21"/>
          <w:szCs w:val="21"/>
        </w:rPr>
        <w:t>日至 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21</w:t>
      </w:r>
      <w:r>
        <w:rPr>
          <w:rFonts w:hint="eastAsia" w:ascii="宋体" w:hAnsi="宋体" w:eastAsia="宋体" w:cs="宋体"/>
          <w:sz w:val="21"/>
          <w:szCs w:val="21"/>
        </w:rPr>
        <w:t>日在南通市崇川区人民政府网→我要看→公示公告栏下载。</w:t>
      </w:r>
    </w:p>
    <w:p>
      <w:pPr>
        <w:spacing w:line="440" w:lineRule="exact"/>
        <w:ind w:firstLine="422" w:firstLineChars="200"/>
        <w:rPr>
          <w:rFonts w:ascii="宋体" w:hAnsi="宋体" w:eastAsia="宋体" w:cs="宋体"/>
          <w:b/>
          <w:sz w:val="21"/>
          <w:szCs w:val="21"/>
        </w:rPr>
      </w:pPr>
      <w:r>
        <w:rPr>
          <w:rFonts w:hint="eastAsia" w:ascii="宋体" w:hAnsi="宋体" w:eastAsia="宋体" w:cs="宋体"/>
          <w:b/>
          <w:sz w:val="21"/>
          <w:szCs w:val="21"/>
        </w:rPr>
        <w:t>四、响应文件提交</w:t>
      </w:r>
    </w:p>
    <w:p>
      <w:pPr>
        <w:spacing w:line="440" w:lineRule="exact"/>
        <w:ind w:firstLine="420" w:firstLineChars="200"/>
        <w:rPr>
          <w:rFonts w:ascii="宋体" w:hAnsi="宋体" w:eastAsia="宋体" w:cs="宋体"/>
          <w:b/>
          <w:sz w:val="21"/>
          <w:szCs w:val="21"/>
        </w:rPr>
      </w:pPr>
      <w:r>
        <w:rPr>
          <w:rFonts w:hint="eastAsia" w:ascii="宋体" w:hAnsi="宋体" w:eastAsia="宋体" w:cs="宋体"/>
          <w:sz w:val="21"/>
          <w:szCs w:val="21"/>
        </w:rPr>
        <w:t>1、响应文件接收截止及磋商开始时间：202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2</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21 </w:t>
      </w:r>
      <w:r>
        <w:rPr>
          <w:rFonts w:hint="eastAsia" w:ascii="宋体" w:hAnsi="宋体" w:eastAsia="宋体" w:cs="宋体"/>
          <w:sz w:val="21"/>
          <w:szCs w:val="21"/>
        </w:rPr>
        <w:t>日 14 时 30 分。</w:t>
      </w:r>
    </w:p>
    <w:p>
      <w:pPr>
        <w:spacing w:line="440" w:lineRule="exact"/>
        <w:ind w:firstLine="422" w:firstLineChars="200"/>
        <w:rPr>
          <w:rFonts w:ascii="宋体" w:hAnsi="宋体" w:eastAsia="宋体"/>
          <w:b/>
          <w:bCs/>
          <w:sz w:val="21"/>
          <w:szCs w:val="21"/>
        </w:rPr>
      </w:pPr>
      <w:r>
        <w:rPr>
          <w:rFonts w:hint="eastAsia" w:ascii="宋体" w:hAnsi="宋体" w:eastAsia="宋体" w:cs="宋体"/>
          <w:b/>
          <w:sz w:val="21"/>
          <w:szCs w:val="21"/>
        </w:rPr>
        <w:t>2、递交地址：</w:t>
      </w:r>
      <w:r>
        <w:rPr>
          <w:rFonts w:hint="eastAsia" w:ascii="宋体" w:hAnsi="宋体" w:eastAsia="宋体"/>
          <w:b/>
          <w:sz w:val="21"/>
          <w:szCs w:val="21"/>
          <w:u w:val="single"/>
        </w:rPr>
        <w:t>南通市崇川区永兴街道办事处</w:t>
      </w:r>
      <w:r>
        <w:rPr>
          <w:rFonts w:hint="eastAsia" w:ascii="宋体" w:hAnsi="宋体" w:eastAsia="宋体"/>
          <w:b/>
          <w:sz w:val="21"/>
          <w:szCs w:val="21"/>
          <w:u w:val="single"/>
          <w:lang w:val="en-US" w:eastAsia="zh-CN"/>
        </w:rPr>
        <w:t>六</w:t>
      </w:r>
      <w:r>
        <w:rPr>
          <w:rFonts w:hint="eastAsia" w:ascii="宋体" w:hAnsi="宋体" w:eastAsia="宋体"/>
          <w:b/>
          <w:sz w:val="21"/>
          <w:szCs w:val="21"/>
          <w:u w:val="single"/>
        </w:rPr>
        <w:t>楼会议室</w:t>
      </w:r>
      <w:r>
        <w:rPr>
          <w:rFonts w:hint="eastAsia" w:ascii="宋体" w:hAnsi="宋体" w:eastAsia="宋体" w:cs="宋体"/>
          <w:b/>
          <w:sz w:val="21"/>
          <w:szCs w:val="21"/>
        </w:rPr>
        <w:t>，如有变动另行通知。</w:t>
      </w:r>
    </w:p>
    <w:p>
      <w:pPr>
        <w:widowControl/>
        <w:snapToGrid w:val="0"/>
        <w:spacing w:line="440" w:lineRule="exact"/>
        <w:ind w:firstLine="413" w:firstLineChars="196"/>
        <w:jc w:val="left"/>
        <w:rPr>
          <w:rFonts w:hint="eastAsia" w:ascii="宋体" w:hAnsi="宋体" w:eastAsia="宋体" w:cs="宋体"/>
          <w:b/>
          <w:sz w:val="21"/>
          <w:szCs w:val="21"/>
          <w:lang w:eastAsia="zh-CN"/>
        </w:rPr>
      </w:pPr>
      <w:r>
        <w:rPr>
          <w:rFonts w:hint="eastAsia" w:ascii="宋体" w:hAnsi="宋体" w:eastAsia="宋体" w:cs="宋体"/>
          <w:b/>
          <w:bCs/>
          <w:sz w:val="21"/>
          <w:szCs w:val="21"/>
        </w:rPr>
        <w:t>【特别提醒】</w:t>
      </w:r>
      <w:r>
        <w:rPr>
          <w:rFonts w:hint="eastAsia" w:ascii="宋体" w:hAnsi="宋体" w:eastAsia="宋体" w:cs="宋体"/>
          <w:b/>
          <w:sz w:val="21"/>
          <w:szCs w:val="21"/>
        </w:rPr>
        <w:t>：</w:t>
      </w:r>
      <w:r>
        <w:rPr>
          <w:rFonts w:ascii="宋体" w:hAnsi="宋体" w:eastAsia="宋体" w:cs="宋体"/>
          <w:b/>
          <w:sz w:val="21"/>
          <w:szCs w:val="21"/>
        </w:rPr>
        <w:t>根据疫情防控工作要求，请参加本项目招投标活动的人员，在进入开标现场时，务必携带有效身份证件，规范佩戴口罩，接受实名登记和体温检测，出具近14日健康码及行程轨迹，自觉服从和配合现场工作人员安排。如各省、市有最新防控要求的，按当地最新发布的防控要求执行。</w:t>
      </w:r>
    </w:p>
    <w:p>
      <w:pPr>
        <w:widowControl/>
        <w:snapToGrid w:val="0"/>
        <w:spacing w:line="440" w:lineRule="exact"/>
        <w:ind w:firstLine="413" w:firstLineChars="196"/>
        <w:jc w:val="left"/>
        <w:rPr>
          <w:rFonts w:ascii="宋体" w:hAnsi="宋体" w:eastAsia="宋体" w:cs="宋体"/>
          <w:b/>
          <w:sz w:val="21"/>
          <w:szCs w:val="21"/>
        </w:rPr>
      </w:pPr>
      <w:r>
        <w:rPr>
          <w:rFonts w:hint="eastAsia" w:ascii="宋体" w:hAnsi="宋体" w:eastAsia="宋体" w:cs="宋体"/>
          <w:b/>
          <w:sz w:val="21"/>
          <w:szCs w:val="21"/>
        </w:rPr>
        <w:t xml:space="preserve">    </w:t>
      </w:r>
      <w:r>
        <w:rPr>
          <w:rFonts w:ascii="宋体" w:hAnsi="宋体" w:eastAsia="宋体" w:cs="宋体"/>
          <w:b/>
          <w:sz w:val="21"/>
          <w:szCs w:val="21"/>
        </w:rPr>
        <w:t>各投标人</w:t>
      </w:r>
      <w:r>
        <w:rPr>
          <w:rFonts w:hint="eastAsia" w:ascii="宋体" w:hAnsi="宋体" w:eastAsia="宋体" w:cs="宋体"/>
          <w:b/>
          <w:sz w:val="21"/>
          <w:szCs w:val="21"/>
        </w:rPr>
        <w:t>须</w:t>
      </w:r>
      <w:r>
        <w:rPr>
          <w:rFonts w:ascii="宋体" w:hAnsi="宋体" w:eastAsia="宋体" w:cs="宋体"/>
          <w:b/>
          <w:sz w:val="21"/>
          <w:szCs w:val="21"/>
        </w:rPr>
        <w:t>关注微信公众号“江海南通”，及时查看已发布或最新发布的相关疫情防控要求，并按照最新发布的疫情防控要求执行，疫情防控咨询电话：0513-85590062。如因未达到当地疫情防控要求，而被限制进入开标场地的或被强制隔离等情况的，由当事人自行承担相关风险和责任</w:t>
      </w:r>
    </w:p>
    <w:p>
      <w:pPr>
        <w:spacing w:line="440" w:lineRule="exact"/>
        <w:ind w:firstLine="422" w:firstLineChars="200"/>
        <w:rPr>
          <w:rFonts w:ascii="宋体" w:hAnsi="宋体" w:eastAsia="宋体" w:cs="宋体"/>
          <w:b/>
          <w:sz w:val="21"/>
          <w:szCs w:val="21"/>
        </w:rPr>
      </w:pPr>
      <w:bookmarkStart w:id="2" w:name="_Toc35393802"/>
      <w:bookmarkStart w:id="3" w:name="_Toc28359093"/>
      <w:bookmarkStart w:id="4" w:name="_Toc28359016"/>
      <w:bookmarkStart w:id="5" w:name="_Toc35393633"/>
      <w:r>
        <w:rPr>
          <w:rFonts w:hint="eastAsia" w:ascii="宋体" w:hAnsi="宋体" w:eastAsia="宋体" w:cs="宋体"/>
          <w:b/>
          <w:sz w:val="21"/>
          <w:szCs w:val="21"/>
        </w:rPr>
        <w:t>五、开启</w:t>
      </w:r>
      <w:bookmarkEnd w:id="2"/>
      <w:bookmarkEnd w:id="3"/>
      <w:bookmarkEnd w:id="4"/>
      <w:bookmarkEnd w:id="5"/>
    </w:p>
    <w:p>
      <w:pPr>
        <w:spacing w:line="440" w:lineRule="exact"/>
        <w:ind w:firstLine="420" w:firstLineChars="200"/>
        <w:rPr>
          <w:rFonts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b/>
          <w:color w:val="FF0000"/>
          <w:sz w:val="21"/>
          <w:szCs w:val="21"/>
        </w:rPr>
        <w:t xml:space="preserve"> </w:t>
      </w:r>
      <w:r>
        <w:rPr>
          <w:rFonts w:hint="eastAsia" w:ascii="宋体" w:hAnsi="宋体" w:eastAsia="宋体" w:cs="宋体"/>
          <w:b/>
          <w:sz w:val="21"/>
          <w:szCs w:val="21"/>
        </w:rPr>
        <w:t>202</w:t>
      </w:r>
      <w:r>
        <w:rPr>
          <w:rFonts w:hint="eastAsia" w:ascii="宋体" w:hAnsi="宋体" w:eastAsia="宋体" w:cs="宋体"/>
          <w:b/>
          <w:sz w:val="21"/>
          <w:szCs w:val="21"/>
          <w:lang w:val="en-US" w:eastAsia="zh-CN"/>
        </w:rPr>
        <w:t>2</w:t>
      </w:r>
      <w:r>
        <w:rPr>
          <w:rFonts w:hint="eastAsia" w:ascii="宋体" w:hAnsi="宋体" w:eastAsia="宋体" w:cs="宋体"/>
          <w:b/>
          <w:sz w:val="21"/>
          <w:szCs w:val="21"/>
        </w:rPr>
        <w:t>年</w:t>
      </w:r>
      <w:r>
        <w:rPr>
          <w:rFonts w:hint="eastAsia" w:ascii="宋体" w:hAnsi="宋体" w:eastAsia="宋体" w:cs="宋体"/>
          <w:b/>
          <w:sz w:val="21"/>
          <w:szCs w:val="21"/>
          <w:lang w:val="en-US" w:eastAsia="zh-CN"/>
        </w:rPr>
        <w:t xml:space="preserve"> 2</w:t>
      </w:r>
      <w:r>
        <w:rPr>
          <w:rFonts w:hint="eastAsia" w:ascii="宋体" w:hAnsi="宋体" w:eastAsia="宋体" w:cs="宋体"/>
          <w:b/>
          <w:sz w:val="21"/>
          <w:szCs w:val="21"/>
        </w:rPr>
        <w:t>月</w:t>
      </w:r>
      <w:r>
        <w:rPr>
          <w:rFonts w:hint="eastAsia" w:ascii="宋体" w:hAnsi="宋体" w:eastAsia="宋体" w:cs="宋体"/>
          <w:b/>
          <w:sz w:val="21"/>
          <w:szCs w:val="21"/>
          <w:lang w:val="en-US" w:eastAsia="zh-CN"/>
        </w:rPr>
        <w:t>21</w:t>
      </w:r>
      <w:r>
        <w:rPr>
          <w:rFonts w:hint="eastAsia" w:ascii="宋体" w:hAnsi="宋体" w:eastAsia="宋体" w:cs="宋体"/>
          <w:b/>
          <w:sz w:val="21"/>
          <w:szCs w:val="21"/>
        </w:rPr>
        <w:t>日 14 时 30 分</w:t>
      </w:r>
      <w:r>
        <w:rPr>
          <w:rFonts w:hint="eastAsia" w:ascii="宋体" w:hAnsi="宋体" w:eastAsia="宋体" w:cs="宋体"/>
          <w:sz w:val="21"/>
          <w:szCs w:val="21"/>
        </w:rPr>
        <w:t>（北京时间）</w:t>
      </w:r>
    </w:p>
    <w:p>
      <w:pPr>
        <w:spacing w:line="440" w:lineRule="exact"/>
        <w:ind w:firstLine="420" w:firstLineChars="200"/>
        <w:rPr>
          <w:rFonts w:ascii="宋体" w:hAnsi="宋体" w:eastAsia="宋体" w:cs="宋体"/>
          <w:b/>
          <w:sz w:val="21"/>
          <w:szCs w:val="21"/>
        </w:rPr>
      </w:pPr>
      <w:r>
        <w:rPr>
          <w:rFonts w:hint="eastAsia" w:ascii="宋体" w:hAnsi="宋体" w:eastAsia="宋体" w:cs="宋体"/>
          <w:sz w:val="21"/>
          <w:szCs w:val="21"/>
        </w:rPr>
        <w:t>地点：</w:t>
      </w:r>
      <w:r>
        <w:rPr>
          <w:rFonts w:hint="eastAsia" w:ascii="宋体" w:hAnsi="宋体" w:eastAsia="宋体"/>
          <w:b/>
          <w:sz w:val="21"/>
          <w:szCs w:val="21"/>
          <w:u w:val="single"/>
        </w:rPr>
        <w:t>南通市崇川区永兴街道办事处</w:t>
      </w:r>
      <w:r>
        <w:rPr>
          <w:rFonts w:hint="eastAsia" w:ascii="宋体" w:hAnsi="宋体" w:eastAsia="宋体"/>
          <w:b/>
          <w:sz w:val="21"/>
          <w:szCs w:val="21"/>
          <w:u w:val="single"/>
          <w:lang w:val="en-US" w:eastAsia="zh-CN"/>
        </w:rPr>
        <w:t>六</w:t>
      </w:r>
      <w:r>
        <w:rPr>
          <w:rFonts w:hint="eastAsia" w:ascii="宋体" w:hAnsi="宋体" w:eastAsia="宋体"/>
          <w:b/>
          <w:sz w:val="21"/>
          <w:szCs w:val="21"/>
          <w:u w:val="single"/>
        </w:rPr>
        <w:t>楼会议室</w:t>
      </w:r>
    </w:p>
    <w:p>
      <w:pPr>
        <w:spacing w:line="440" w:lineRule="exact"/>
        <w:ind w:firstLine="422" w:firstLineChars="200"/>
        <w:rPr>
          <w:rFonts w:ascii="宋体" w:hAnsi="宋体" w:eastAsia="宋体" w:cs="宋体"/>
          <w:b/>
          <w:sz w:val="21"/>
          <w:szCs w:val="21"/>
        </w:rPr>
      </w:pPr>
      <w:bookmarkStart w:id="6" w:name="_Toc28359094"/>
      <w:bookmarkStart w:id="7" w:name="_Toc28359017"/>
      <w:bookmarkStart w:id="8" w:name="_Toc35393803"/>
      <w:bookmarkStart w:id="9" w:name="_Toc35393634"/>
      <w:r>
        <w:rPr>
          <w:rFonts w:hint="eastAsia" w:ascii="宋体" w:hAnsi="宋体" w:eastAsia="宋体" w:cs="宋体"/>
          <w:b/>
          <w:sz w:val="21"/>
          <w:szCs w:val="21"/>
        </w:rPr>
        <w:t>六、公告期限</w:t>
      </w:r>
      <w:bookmarkEnd w:id="6"/>
      <w:bookmarkEnd w:id="7"/>
      <w:bookmarkEnd w:id="8"/>
      <w:bookmarkEnd w:id="9"/>
    </w:p>
    <w:p>
      <w:pPr>
        <w:spacing w:line="440" w:lineRule="exact"/>
        <w:ind w:firstLine="420" w:firstLineChars="200"/>
        <w:rPr>
          <w:rFonts w:ascii="宋体" w:hAnsi="宋体" w:eastAsia="宋体" w:cs="宋体"/>
          <w:sz w:val="21"/>
          <w:szCs w:val="21"/>
        </w:rPr>
      </w:pPr>
      <w:r>
        <w:rPr>
          <w:rFonts w:hint="eastAsia" w:ascii="宋体" w:hAnsi="宋体" w:eastAsia="宋体" w:cs="宋体"/>
          <w:sz w:val="21"/>
          <w:szCs w:val="21"/>
        </w:rPr>
        <w:t>自本公告发布之日起3个工作日。</w:t>
      </w:r>
    </w:p>
    <w:p>
      <w:pPr>
        <w:spacing w:line="440" w:lineRule="exact"/>
        <w:ind w:firstLine="422" w:firstLineChars="200"/>
        <w:rPr>
          <w:rFonts w:ascii="宋体" w:hAnsi="宋体" w:eastAsia="宋体" w:cs="宋体"/>
          <w:b/>
          <w:sz w:val="21"/>
          <w:szCs w:val="21"/>
        </w:rPr>
      </w:pPr>
      <w:r>
        <w:rPr>
          <w:rFonts w:hint="eastAsia" w:ascii="宋体" w:hAnsi="宋体" w:eastAsia="宋体" w:cs="宋体"/>
          <w:b/>
          <w:sz w:val="21"/>
          <w:szCs w:val="21"/>
        </w:rPr>
        <w:t>七、联系方式</w:t>
      </w:r>
    </w:p>
    <w:p>
      <w:pPr>
        <w:keepNext/>
        <w:keepLines/>
        <w:spacing w:line="440" w:lineRule="exact"/>
        <w:ind w:firstLine="630" w:firstLineChars="300"/>
        <w:outlineLvl w:val="1"/>
        <w:rPr>
          <w:rFonts w:ascii="宋体" w:hAnsi="宋体" w:eastAsia="宋体" w:cs="宋体"/>
          <w:bCs/>
          <w:sz w:val="21"/>
          <w:szCs w:val="21"/>
        </w:rPr>
      </w:pPr>
      <w:bookmarkStart w:id="10" w:name="_Toc28359019"/>
      <w:bookmarkStart w:id="11" w:name="_Toc35393806"/>
      <w:bookmarkStart w:id="12" w:name="_Toc28359096"/>
      <w:bookmarkStart w:id="13" w:name="_Toc35393637"/>
      <w:r>
        <w:rPr>
          <w:rFonts w:hint="eastAsia" w:ascii="宋体" w:hAnsi="宋体" w:eastAsia="宋体" w:cs="宋体"/>
          <w:bCs/>
          <w:sz w:val="21"/>
          <w:szCs w:val="21"/>
        </w:rPr>
        <w:t>1.采购人信息</w:t>
      </w:r>
      <w:bookmarkEnd w:id="10"/>
      <w:bookmarkEnd w:id="11"/>
      <w:bookmarkEnd w:id="12"/>
      <w:bookmarkEnd w:id="13"/>
    </w:p>
    <w:p>
      <w:pPr>
        <w:spacing w:line="440" w:lineRule="exact"/>
        <w:ind w:firstLine="420" w:firstLineChars="200"/>
        <w:rPr>
          <w:rFonts w:ascii="宋体" w:hAnsi="宋体" w:eastAsia="宋体" w:cs="宋体"/>
          <w:bCs/>
          <w:sz w:val="21"/>
          <w:szCs w:val="21"/>
        </w:rPr>
      </w:pPr>
      <w:r>
        <w:rPr>
          <w:rFonts w:hint="eastAsia" w:ascii="宋体" w:hAnsi="宋体" w:eastAsia="宋体" w:cs="宋体"/>
          <w:bCs/>
          <w:sz w:val="21"/>
          <w:szCs w:val="21"/>
        </w:rPr>
        <w:t>名称：南通市崇川区永兴街道办事处</w:t>
      </w:r>
    </w:p>
    <w:p>
      <w:pPr>
        <w:widowControl/>
        <w:spacing w:line="440" w:lineRule="exact"/>
        <w:ind w:firstLine="420" w:firstLineChars="200"/>
        <w:jc w:val="left"/>
        <w:rPr>
          <w:rFonts w:ascii="宋体" w:hAnsi="宋体" w:eastAsia="宋体" w:cs="Arial"/>
          <w:color w:val="333333"/>
          <w:sz w:val="21"/>
          <w:szCs w:val="21"/>
        </w:rPr>
      </w:pPr>
      <w:r>
        <w:rPr>
          <w:rFonts w:hint="eastAsia" w:ascii="宋体" w:hAnsi="宋体" w:eastAsia="宋体" w:cs="宋体"/>
          <w:bCs/>
          <w:sz w:val="21"/>
          <w:szCs w:val="21"/>
        </w:rPr>
        <w:t>地址：</w:t>
      </w:r>
      <w:bookmarkStart w:id="14" w:name="_Toc35393638"/>
      <w:bookmarkStart w:id="15" w:name="_Toc28359097"/>
      <w:bookmarkStart w:id="16" w:name="_Toc35393807"/>
      <w:bookmarkStart w:id="17" w:name="_Toc28359020"/>
      <w:r>
        <w:rPr>
          <w:rFonts w:ascii="宋体" w:hAnsi="宋体" w:eastAsia="宋体" w:cs="Arial"/>
          <w:color w:val="333333"/>
          <w:sz w:val="21"/>
          <w:szCs w:val="21"/>
        </w:rPr>
        <w:t>江苏省南通市崇川区城港路28号</w:t>
      </w:r>
    </w:p>
    <w:p>
      <w:pPr>
        <w:widowControl/>
        <w:spacing w:line="440" w:lineRule="exact"/>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联系人：王萍</w:t>
      </w:r>
    </w:p>
    <w:p>
      <w:pPr>
        <w:keepNext/>
        <w:keepLines/>
        <w:tabs>
          <w:tab w:val="left" w:pos="3156"/>
        </w:tabs>
        <w:spacing w:line="440" w:lineRule="exact"/>
        <w:ind w:firstLine="420" w:firstLineChars="200"/>
        <w:outlineLvl w:val="1"/>
        <w:rPr>
          <w:rFonts w:ascii="宋体" w:hAnsi="宋体" w:eastAsia="宋体"/>
          <w:color w:val="000000"/>
          <w:sz w:val="21"/>
          <w:szCs w:val="21"/>
        </w:rPr>
      </w:pPr>
      <w:r>
        <w:rPr>
          <w:rFonts w:hint="eastAsia" w:ascii="宋体" w:hAnsi="宋体" w:eastAsia="宋体"/>
          <w:color w:val="000000"/>
          <w:sz w:val="21"/>
          <w:szCs w:val="21"/>
        </w:rPr>
        <w:t>电话13862910885</w:t>
      </w:r>
    </w:p>
    <w:p>
      <w:pPr>
        <w:keepNext/>
        <w:keepLines/>
        <w:spacing w:line="440" w:lineRule="exact"/>
        <w:ind w:firstLine="630" w:firstLineChars="300"/>
        <w:outlineLvl w:val="1"/>
        <w:rPr>
          <w:rFonts w:ascii="宋体" w:hAnsi="宋体" w:eastAsia="宋体" w:cs="宋体"/>
          <w:bCs/>
          <w:sz w:val="21"/>
          <w:szCs w:val="21"/>
        </w:rPr>
      </w:pPr>
      <w:r>
        <w:rPr>
          <w:rFonts w:hint="eastAsia" w:ascii="宋体" w:hAnsi="宋体" w:eastAsia="宋体"/>
          <w:color w:val="000000"/>
          <w:sz w:val="21"/>
          <w:szCs w:val="21"/>
        </w:rPr>
        <w:t xml:space="preserve"> </w:t>
      </w:r>
      <w:r>
        <w:rPr>
          <w:rFonts w:hint="eastAsia" w:ascii="宋体" w:hAnsi="宋体" w:eastAsia="宋体" w:cs="宋体"/>
          <w:bCs/>
          <w:sz w:val="21"/>
          <w:szCs w:val="21"/>
        </w:rPr>
        <w:t>2.采购代理机构信息</w:t>
      </w:r>
      <w:bookmarkEnd w:id="14"/>
      <w:bookmarkEnd w:id="15"/>
      <w:bookmarkEnd w:id="16"/>
      <w:bookmarkEnd w:id="17"/>
    </w:p>
    <w:p>
      <w:pPr>
        <w:spacing w:line="440" w:lineRule="exact"/>
        <w:ind w:firstLine="420" w:firstLineChars="200"/>
        <w:rPr>
          <w:rFonts w:ascii="宋体" w:hAnsi="宋体" w:eastAsia="宋体"/>
          <w:sz w:val="21"/>
          <w:szCs w:val="21"/>
        </w:rPr>
      </w:pPr>
      <w:r>
        <w:rPr>
          <w:rFonts w:hint="eastAsia" w:ascii="宋体" w:hAnsi="宋体" w:eastAsia="宋体"/>
          <w:sz w:val="21"/>
          <w:szCs w:val="21"/>
        </w:rPr>
        <w:t>名称：南通城建工程项目管理有限公司</w:t>
      </w:r>
    </w:p>
    <w:p>
      <w:pPr>
        <w:spacing w:line="440" w:lineRule="exact"/>
        <w:ind w:firstLine="420" w:firstLineChars="200"/>
        <w:rPr>
          <w:rFonts w:ascii="宋体" w:hAnsi="宋体" w:eastAsia="宋体"/>
          <w:sz w:val="21"/>
          <w:szCs w:val="21"/>
        </w:rPr>
      </w:pPr>
      <w:r>
        <w:rPr>
          <w:rFonts w:hint="eastAsia" w:ascii="宋体" w:hAnsi="宋体" w:eastAsia="宋体"/>
          <w:sz w:val="21"/>
          <w:szCs w:val="21"/>
        </w:rPr>
        <w:t>地址：南通市崇川区世纪大道18号恒隆国际A座801室</w:t>
      </w:r>
    </w:p>
    <w:p>
      <w:pPr>
        <w:spacing w:line="440" w:lineRule="exact"/>
        <w:ind w:firstLine="420" w:firstLineChars="200"/>
        <w:rPr>
          <w:rFonts w:ascii="宋体" w:hAnsi="宋体" w:eastAsia="宋体"/>
          <w:sz w:val="21"/>
          <w:szCs w:val="21"/>
        </w:rPr>
      </w:pPr>
      <w:r>
        <w:rPr>
          <w:rFonts w:hint="eastAsia" w:ascii="宋体" w:hAnsi="宋体" w:eastAsia="宋体"/>
          <w:sz w:val="21"/>
          <w:szCs w:val="21"/>
        </w:rPr>
        <w:t>联系方式：0513-85539679 189122689</w:t>
      </w:r>
      <w:r>
        <w:rPr>
          <w:rFonts w:hint="eastAsia" w:ascii="宋体" w:hAnsi="宋体" w:eastAsia="宋体"/>
          <w:sz w:val="21"/>
          <w:szCs w:val="21"/>
          <w:lang w:val="en-US" w:eastAsia="zh-CN"/>
        </w:rPr>
        <w:t>38</w:t>
      </w:r>
      <w:r>
        <w:rPr>
          <w:rFonts w:hint="eastAsia" w:ascii="宋体" w:hAnsi="宋体" w:eastAsia="宋体"/>
          <w:sz w:val="21"/>
          <w:szCs w:val="21"/>
        </w:rPr>
        <w:t>　</w:t>
      </w:r>
    </w:p>
    <w:p>
      <w:pPr>
        <w:keepNext/>
        <w:keepLines/>
        <w:spacing w:line="440" w:lineRule="exact"/>
        <w:ind w:firstLine="630" w:firstLineChars="300"/>
        <w:outlineLvl w:val="1"/>
        <w:rPr>
          <w:rFonts w:ascii="宋体" w:hAnsi="宋体" w:eastAsia="宋体" w:cs="宋体"/>
          <w:bCs/>
          <w:sz w:val="21"/>
          <w:szCs w:val="21"/>
        </w:rPr>
      </w:pPr>
      <w:bookmarkStart w:id="18" w:name="_Toc35393639"/>
      <w:bookmarkStart w:id="19" w:name="_Toc28359098"/>
      <w:bookmarkStart w:id="20" w:name="_Toc35393808"/>
      <w:bookmarkStart w:id="21" w:name="_Toc28359021"/>
      <w:r>
        <w:rPr>
          <w:rFonts w:hint="eastAsia" w:ascii="宋体" w:hAnsi="宋体" w:eastAsia="宋体" w:cs="宋体"/>
          <w:bCs/>
          <w:sz w:val="21"/>
          <w:szCs w:val="21"/>
        </w:rPr>
        <w:t>3.项目联系方式</w:t>
      </w:r>
      <w:bookmarkEnd w:id="18"/>
      <w:bookmarkEnd w:id="19"/>
      <w:bookmarkEnd w:id="20"/>
      <w:bookmarkEnd w:id="21"/>
    </w:p>
    <w:p>
      <w:pPr>
        <w:spacing w:line="440" w:lineRule="exact"/>
        <w:ind w:firstLine="420" w:firstLineChars="200"/>
        <w:rPr>
          <w:rFonts w:ascii="宋体" w:hAnsi="宋体" w:eastAsia="宋体"/>
          <w:sz w:val="21"/>
          <w:szCs w:val="21"/>
        </w:rPr>
      </w:pPr>
      <w:r>
        <w:rPr>
          <w:rFonts w:hint="eastAsia" w:ascii="宋体" w:hAnsi="宋体" w:eastAsia="宋体"/>
          <w:sz w:val="21"/>
          <w:szCs w:val="21"/>
        </w:rPr>
        <w:t xml:space="preserve">项目联系人：王晓卫 </w:t>
      </w:r>
    </w:p>
    <w:p>
      <w:pPr>
        <w:spacing w:line="440" w:lineRule="exact"/>
        <w:ind w:firstLine="420" w:firstLineChars="200"/>
        <w:rPr>
          <w:rFonts w:ascii="宋体" w:hAnsi="宋体" w:eastAsia="宋体" w:cs="宋体"/>
          <w:kern w:val="0"/>
          <w:sz w:val="21"/>
          <w:szCs w:val="21"/>
        </w:rPr>
      </w:pPr>
      <w:r>
        <w:rPr>
          <w:rFonts w:hint="eastAsia" w:ascii="宋体" w:hAnsi="宋体" w:eastAsia="宋体"/>
          <w:sz w:val="21"/>
          <w:szCs w:val="21"/>
        </w:rPr>
        <w:t>电　话：　0513-85539679 18912268938　</w:t>
      </w:r>
    </w:p>
    <w:p>
      <w:pPr>
        <w:spacing w:line="440" w:lineRule="exact"/>
        <w:ind w:firstLine="420" w:firstLineChars="200"/>
        <w:rPr>
          <w:rFonts w:ascii="宋体" w:hAnsi="宋体" w:eastAsia="宋体"/>
          <w:color w:val="000000"/>
          <w:kern w:val="0"/>
          <w:sz w:val="21"/>
          <w:szCs w:val="21"/>
        </w:rPr>
      </w:pPr>
    </w:p>
    <w:bookmarkEnd w:id="1"/>
    <w:p>
      <w:pPr>
        <w:widowControl/>
        <w:topLinePunct/>
        <w:adjustRightInd w:val="0"/>
        <w:snapToGrid w:val="0"/>
        <w:spacing w:before="160" w:after="120" w:line="240" w:lineRule="atLeast"/>
        <w:ind w:left="520" w:leftChars="200" w:firstLine="515" w:firstLineChars="200"/>
        <w:jc w:val="left"/>
        <w:rPr>
          <w:rFonts w:ascii="宋体" w:hAnsi="宋体" w:eastAsia="宋体" w:cs="Arial"/>
          <w:b/>
          <w:color w:val="FFFFFF" w:themeColor="background1"/>
          <w:w w:val="80"/>
          <w:kern w:val="0"/>
          <w:sz w:val="32"/>
          <w:szCs w:val="32"/>
          <w14:textFill>
            <w14:solidFill>
              <w14:schemeClr w14:val="bg1"/>
            </w14:solidFill>
          </w14:textFill>
        </w:rPr>
      </w:pPr>
    </w:p>
    <w:p>
      <w:pPr>
        <w:tabs>
          <w:tab w:val="left" w:pos="1050"/>
          <w:tab w:val="right" w:leader="dot" w:pos="9402"/>
        </w:tabs>
        <w:spacing w:before="240" w:beforeLines="100" w:line="440" w:lineRule="exact"/>
        <w:jc w:val="center"/>
        <w:outlineLvl w:val="0"/>
        <w:rPr>
          <w:rFonts w:ascii="宋体" w:hAnsi="宋体" w:eastAsia="宋体"/>
          <w:b/>
          <w:w w:val="80"/>
          <w:sz w:val="32"/>
          <w:szCs w:val="32"/>
        </w:rPr>
      </w:pPr>
    </w:p>
    <w:p>
      <w:pPr>
        <w:tabs>
          <w:tab w:val="left" w:pos="1050"/>
          <w:tab w:val="right" w:leader="dot" w:pos="9402"/>
        </w:tabs>
        <w:spacing w:before="240" w:beforeLines="100" w:line="440" w:lineRule="exact"/>
        <w:ind w:firstLine="3344" w:firstLineChars="1300"/>
        <w:outlineLvl w:val="0"/>
        <w:rPr>
          <w:rFonts w:ascii="宋体" w:hAnsi="宋体" w:eastAsia="宋体"/>
          <w:b/>
          <w:w w:val="80"/>
          <w:sz w:val="32"/>
          <w:szCs w:val="32"/>
        </w:rPr>
      </w:pPr>
      <w:bookmarkStart w:id="22" w:name="_Toc363573854"/>
      <w:r>
        <w:rPr>
          <w:rFonts w:ascii="宋体" w:hAnsi="宋体" w:eastAsia="宋体"/>
          <w:b/>
          <w:w w:val="80"/>
          <w:sz w:val="32"/>
          <w:szCs w:val="32"/>
        </w:rPr>
        <w:br w:type="page"/>
      </w:r>
      <w:r>
        <w:rPr>
          <w:rFonts w:hint="eastAsia" w:ascii="宋体" w:hAnsi="宋体" w:eastAsia="宋体"/>
          <w:b/>
          <w:w w:val="80"/>
          <w:sz w:val="32"/>
          <w:szCs w:val="32"/>
        </w:rPr>
        <w:t>第二章  供应商须知</w:t>
      </w:r>
      <w:bookmarkEnd w:id="22"/>
    </w:p>
    <w:p>
      <w:pPr>
        <w:snapToGrid w:val="0"/>
        <w:spacing w:line="400" w:lineRule="exact"/>
        <w:ind w:firstLine="422" w:firstLineChars="200"/>
        <w:outlineLvl w:val="1"/>
        <w:rPr>
          <w:rFonts w:ascii="宋体" w:hAnsi="宋体" w:eastAsia="宋体"/>
          <w:b/>
          <w:bCs/>
          <w:sz w:val="21"/>
          <w:szCs w:val="21"/>
        </w:rPr>
      </w:pPr>
      <w:r>
        <w:rPr>
          <w:rFonts w:hint="eastAsia" w:ascii="宋体" w:hAnsi="宋体" w:eastAsia="宋体"/>
          <w:b/>
          <w:bCs/>
          <w:sz w:val="21"/>
          <w:szCs w:val="21"/>
        </w:rPr>
        <w:t>一、说明</w:t>
      </w:r>
    </w:p>
    <w:p>
      <w:pPr>
        <w:snapToGrid w:val="0"/>
        <w:spacing w:line="400" w:lineRule="exact"/>
        <w:ind w:firstLine="420" w:firstLineChars="200"/>
        <w:rPr>
          <w:rFonts w:ascii="宋体" w:hAnsi="宋体" w:eastAsia="宋体"/>
          <w:bCs/>
          <w:sz w:val="21"/>
          <w:szCs w:val="21"/>
        </w:rPr>
      </w:pPr>
      <w:r>
        <w:rPr>
          <w:rFonts w:ascii="宋体" w:hAnsi="宋体" w:eastAsia="宋体"/>
          <w:bCs/>
          <w:sz w:val="21"/>
          <w:szCs w:val="21"/>
        </w:rPr>
        <w:t>1</w:t>
      </w:r>
      <w:r>
        <w:rPr>
          <w:rFonts w:hint="eastAsia" w:ascii="宋体" w:hAnsi="宋体" w:eastAsia="宋体"/>
          <w:bCs/>
          <w:sz w:val="21"/>
          <w:szCs w:val="21"/>
        </w:rPr>
        <w:t>、本磋商文件仅适用于本代理机构组织的招标采购活动。</w:t>
      </w:r>
    </w:p>
    <w:p>
      <w:pPr>
        <w:snapToGrid w:val="0"/>
        <w:spacing w:line="400" w:lineRule="exact"/>
        <w:ind w:firstLine="420" w:firstLineChars="200"/>
        <w:rPr>
          <w:rFonts w:ascii="宋体" w:hAnsi="宋体" w:eastAsia="宋体"/>
          <w:bCs/>
          <w:sz w:val="21"/>
          <w:szCs w:val="21"/>
        </w:rPr>
      </w:pPr>
      <w:r>
        <w:rPr>
          <w:rFonts w:ascii="宋体" w:hAnsi="宋体" w:eastAsia="宋体"/>
          <w:bCs/>
          <w:sz w:val="21"/>
          <w:szCs w:val="21"/>
        </w:rPr>
        <w:t>2</w:t>
      </w:r>
      <w:r>
        <w:rPr>
          <w:rFonts w:hint="eastAsia" w:ascii="宋体" w:hAnsi="宋体" w:eastAsia="宋体"/>
          <w:bCs/>
          <w:sz w:val="21"/>
          <w:szCs w:val="21"/>
        </w:rPr>
        <w:t>、招标采购活动及因本次招标产生的合同受中国法律制约和保护。</w:t>
      </w:r>
    </w:p>
    <w:p>
      <w:pPr>
        <w:snapToGrid w:val="0"/>
        <w:spacing w:line="400" w:lineRule="exact"/>
        <w:ind w:firstLine="420" w:firstLineChars="200"/>
        <w:rPr>
          <w:rFonts w:ascii="宋体" w:hAnsi="宋体" w:eastAsia="宋体"/>
          <w:bCs/>
          <w:sz w:val="21"/>
          <w:szCs w:val="21"/>
        </w:rPr>
      </w:pPr>
      <w:r>
        <w:rPr>
          <w:rFonts w:ascii="宋体" w:hAnsi="宋体" w:eastAsia="宋体"/>
          <w:bCs/>
          <w:sz w:val="21"/>
          <w:szCs w:val="21"/>
        </w:rPr>
        <w:t>3</w:t>
      </w:r>
      <w:r>
        <w:rPr>
          <w:rFonts w:hint="eastAsia" w:ascii="宋体" w:hAnsi="宋体" w:eastAsia="宋体"/>
          <w:bCs/>
          <w:sz w:val="21"/>
          <w:szCs w:val="21"/>
        </w:rPr>
        <w:t>、磋商文件的解释权属于代理机构。</w:t>
      </w:r>
    </w:p>
    <w:p>
      <w:pPr>
        <w:snapToGrid w:val="0"/>
        <w:spacing w:line="400" w:lineRule="exact"/>
        <w:ind w:firstLine="420" w:firstLineChars="200"/>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、投标供应商在知道或应当知道本项目磋商公告及磋商文件中的所有内容：如内容或页码短缺、资格要求和技术参数出现倾向性或排他性等表述的，</w:t>
      </w:r>
      <w:r>
        <w:rPr>
          <w:rFonts w:hint="eastAsia" w:ascii="宋体" w:hAnsi="宋体" w:eastAsia="宋体" w:cs="宋体"/>
          <w:b/>
          <w:sz w:val="21"/>
          <w:szCs w:val="21"/>
          <w:u w:val="none" w:color="auto"/>
        </w:rPr>
        <w:t>应在本项目磋商公告期限及期限届满之日后的7个工作日内提出询问或以书面实名制形式提出质疑；</w:t>
      </w:r>
      <w:r>
        <w:rPr>
          <w:rFonts w:hint="eastAsia" w:ascii="宋体" w:hAnsi="宋体" w:eastAsia="宋体" w:cs="宋体"/>
          <w:sz w:val="21"/>
          <w:szCs w:val="21"/>
          <w:u w:val="none" w:color="auto"/>
        </w:rPr>
        <w:t>未</w:t>
      </w:r>
      <w:r>
        <w:rPr>
          <w:rFonts w:hint="eastAsia" w:ascii="宋体" w:hAnsi="宋体" w:eastAsia="宋体" w:cs="宋体"/>
          <w:sz w:val="21"/>
          <w:szCs w:val="21"/>
        </w:rPr>
        <w:t>提出询问、质疑或是未在规定期间内提出询问、质疑的，视作供应商接受本项目招标公告及招标文件中的全部内容；投标供应商不得在招标活动期间及招标结束后针对本项目招标公告及招标文件中的所有内容提出质疑、投诉。</w:t>
      </w:r>
      <w:r>
        <w:rPr>
          <w:rFonts w:hint="eastAsia" w:ascii="宋体" w:hAnsi="宋体" w:eastAsia="宋体" w:cs="宋体"/>
          <w:b/>
          <w:bCs/>
          <w:sz w:val="21"/>
          <w:szCs w:val="21"/>
        </w:rPr>
        <w:t>非书面形式的不作为日后质疑提出的依据</w:t>
      </w:r>
      <w:r>
        <w:rPr>
          <w:rFonts w:hint="eastAsia" w:ascii="宋体" w:hAnsi="宋体" w:eastAsia="宋体"/>
          <w:b/>
          <w:bCs/>
          <w:sz w:val="21"/>
          <w:szCs w:val="21"/>
        </w:rPr>
        <w:t>。</w:t>
      </w:r>
    </w:p>
    <w:p>
      <w:pPr>
        <w:snapToGrid w:val="0"/>
        <w:spacing w:line="400" w:lineRule="exact"/>
        <w:ind w:firstLine="420" w:firstLineChars="200"/>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400" w:lineRule="exact"/>
        <w:ind w:firstLine="422" w:firstLineChars="200"/>
        <w:outlineLvl w:val="1"/>
        <w:rPr>
          <w:rFonts w:ascii="宋体" w:hAnsi="宋体" w:eastAsia="宋体"/>
          <w:b/>
          <w:sz w:val="21"/>
          <w:szCs w:val="21"/>
        </w:rPr>
      </w:pPr>
      <w:r>
        <w:rPr>
          <w:rFonts w:hint="eastAsia" w:ascii="宋体" w:hAnsi="宋体" w:eastAsia="宋体"/>
          <w:b/>
          <w:sz w:val="21"/>
          <w:szCs w:val="21"/>
        </w:rPr>
        <w:t>二、磋商文件的补充说明、澄清、修改、答疑、</w:t>
      </w:r>
      <w:r>
        <w:rPr>
          <w:rFonts w:hint="eastAsia" w:ascii="宋体" w:hAnsi="宋体" w:eastAsia="宋体" w:cs="仿宋_GB2312"/>
          <w:b/>
          <w:bCs/>
          <w:sz w:val="21"/>
          <w:szCs w:val="21"/>
        </w:rPr>
        <w:t>现场勘察</w:t>
      </w:r>
    </w:p>
    <w:p>
      <w:pPr>
        <w:snapToGrid w:val="0"/>
        <w:spacing w:line="400" w:lineRule="exact"/>
        <w:ind w:firstLine="420" w:firstLineChars="200"/>
        <w:rPr>
          <w:rFonts w:ascii="宋体" w:hAnsi="宋体" w:eastAsia="宋体"/>
          <w:sz w:val="21"/>
          <w:szCs w:val="21"/>
        </w:rPr>
      </w:pPr>
      <w:r>
        <w:rPr>
          <w:rFonts w:ascii="宋体" w:hAnsi="宋体" w:eastAsia="宋体" w:cs="宋体"/>
          <w:sz w:val="21"/>
          <w:szCs w:val="21"/>
        </w:rPr>
        <w:t>1</w:t>
      </w:r>
      <w:r>
        <w:rPr>
          <w:rFonts w:hint="eastAsia" w:ascii="宋体" w:hAnsi="宋体" w:eastAsia="宋体" w:cs="宋体"/>
          <w:sz w:val="21"/>
          <w:szCs w:val="21"/>
        </w:rPr>
        <w:t>、代理机构有权对发出的磋商文件进行必要的澄清、修改或补充。</w:t>
      </w:r>
    </w:p>
    <w:p>
      <w:pPr>
        <w:snapToGrid w:val="0"/>
        <w:spacing w:line="400" w:lineRule="exact"/>
        <w:ind w:firstLine="420" w:firstLineChars="200"/>
        <w:jc w:val="left"/>
        <w:rPr>
          <w:rFonts w:ascii="宋体" w:hAnsi="宋体" w:eastAsia="宋体"/>
          <w:sz w:val="21"/>
          <w:szCs w:val="21"/>
        </w:rPr>
      </w:pPr>
      <w:r>
        <w:rPr>
          <w:rFonts w:ascii="宋体" w:hAnsi="宋体" w:eastAsia="宋体" w:cs="宋体"/>
          <w:sz w:val="21"/>
          <w:szCs w:val="21"/>
        </w:rPr>
        <w:t>2</w:t>
      </w:r>
      <w:r>
        <w:rPr>
          <w:rFonts w:hint="eastAsia" w:ascii="宋体" w:hAnsi="宋体" w:eastAsia="宋体" w:cs="宋体"/>
          <w:sz w:val="21"/>
          <w:szCs w:val="21"/>
        </w:rPr>
        <w:t>、磋商文件的澄清、修改、补充等内容均以书面明确的形式发布，并以南通市崇川区人民政府网（</w:t>
      </w:r>
      <w:r>
        <w:rPr>
          <w:rFonts w:ascii="宋体" w:hAnsi="宋体" w:eastAsia="宋体" w:cs="宋体"/>
          <w:sz w:val="21"/>
          <w:szCs w:val="21"/>
        </w:rPr>
        <w:t>http://www.chongchuan.gov.cn/</w:t>
      </w:r>
      <w:r>
        <w:rPr>
          <w:rFonts w:hint="eastAsia" w:ascii="宋体" w:hAnsi="宋体" w:eastAsia="宋体" w:cs="宋体"/>
          <w:sz w:val="21"/>
          <w:szCs w:val="21"/>
        </w:rPr>
        <w:t>）→我要看→公示公告栏栏发布的信息为准。</w:t>
      </w:r>
    </w:p>
    <w:p>
      <w:pPr>
        <w:snapToGrid w:val="0"/>
        <w:spacing w:line="400" w:lineRule="exact"/>
        <w:ind w:firstLine="420" w:firstLineChars="20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、代理机构对磋商文件的澄清、修改将构成磋商文件的一部分，对响应磋商的供应商具有约束力。</w:t>
      </w:r>
    </w:p>
    <w:p>
      <w:pPr>
        <w:snapToGrid w:val="0"/>
        <w:spacing w:line="400" w:lineRule="exact"/>
        <w:ind w:firstLine="420" w:firstLineChars="200"/>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补充说明、澄清或修改的内容可能影响到竞争性磋商响应文件编制的，采购代理机构将在首次提交竞争性磋商响应文件截止日5天前，发布补充说明、澄清或修改公告。不足5日的，应当顺延首次提交竞争性磋商响应文件截止之日。</w:t>
      </w:r>
    </w:p>
    <w:p>
      <w:pPr>
        <w:snapToGrid w:val="0"/>
        <w:spacing w:line="400" w:lineRule="exact"/>
        <w:ind w:firstLine="420" w:firstLineChars="200"/>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rPr>
        <w:t>、除非代理机构以书面的形式对磋商文件作出澄清、修改及补充，供应商对涉及磋商文件的任何推论、理解和结论所造成的结果，均由供应商自负。</w:t>
      </w:r>
    </w:p>
    <w:p>
      <w:pPr>
        <w:snapToGrid w:val="0"/>
        <w:spacing w:line="400" w:lineRule="exact"/>
        <w:ind w:firstLine="420" w:firstLineChars="200"/>
        <w:rPr>
          <w:rFonts w:ascii="宋体" w:hAnsi="宋体" w:eastAsia="宋体" w:cs="宋体"/>
          <w:sz w:val="21"/>
          <w:szCs w:val="21"/>
        </w:rPr>
      </w:pPr>
      <w:r>
        <w:rPr>
          <w:rFonts w:ascii="宋体" w:hAnsi="宋体" w:eastAsia="宋体" w:cs="宋体"/>
          <w:sz w:val="21"/>
          <w:szCs w:val="21"/>
        </w:rPr>
        <w:t>6</w:t>
      </w:r>
      <w:r>
        <w:rPr>
          <w:rFonts w:hint="eastAsia" w:ascii="宋体" w:hAnsi="宋体" w:eastAsia="宋体" w:cs="宋体"/>
          <w:sz w:val="21"/>
          <w:szCs w:val="21"/>
        </w:rPr>
        <w:t>、采购单位视情组织答疑会。如有产生答疑且对磋商文件内容有修改，代理机构将按照本须知有关规定，以补充通知（公告）的方式发出。</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7、招标项目涉及到的现场勘察</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7.1、磋商文件所提供的项目相关数据仅做参考，供应商必须在响应文件递交日前自行对有关现场和周围环境进行勘察，以获取编制响应文件所需的信息。勘察现场如有费用产生，由供应商自行承担。</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7.2、采购人向供应商提供有关现场的资料和数据，是采购人现有的并认为能使供应商可利用的资料。采购人对供应商由此而做出的推论、理解和结论概不负责。</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7.3、潜在供应商为投标而勘察项目现场，但不得因此使采购人承担有关的责任和蒙受损失。供应商须承担勘察现场而带来的一切责任及风险。</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7.4、供应商在现场勘察时，熟悉现场及周围交通道路等情况，以获得一切可能影响磋商响应内容的直接资料。供应商成交后，不得以不完全了解现场情况为理由而向采购人提出任何索赔的要求，对此采购人不承担任何责任，且不作任何答复。</w:t>
      </w:r>
    </w:p>
    <w:p>
      <w:pPr>
        <w:snapToGrid w:val="0"/>
        <w:spacing w:line="400" w:lineRule="exact"/>
        <w:ind w:firstLine="422" w:firstLineChars="200"/>
        <w:outlineLvl w:val="1"/>
        <w:rPr>
          <w:rFonts w:ascii="宋体" w:hAnsi="宋体" w:eastAsia="宋体"/>
          <w:b/>
          <w:sz w:val="21"/>
          <w:szCs w:val="21"/>
        </w:rPr>
      </w:pPr>
      <w:r>
        <w:rPr>
          <w:rFonts w:hint="eastAsia" w:ascii="宋体" w:hAnsi="宋体" w:eastAsia="宋体"/>
          <w:b/>
          <w:sz w:val="21"/>
          <w:szCs w:val="21"/>
        </w:rPr>
        <w:t>三、磋商响应文件的组成及装订</w:t>
      </w:r>
    </w:p>
    <w:p>
      <w:pPr>
        <w:snapToGrid w:val="0"/>
        <w:spacing w:line="400" w:lineRule="exact"/>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、磋商响应文件由：①资格后审材料文件、②商务技术磋商响应文件共2部分组成（以下由文件序号代称）。</w:t>
      </w:r>
    </w:p>
    <w:p>
      <w:pPr>
        <w:spacing w:line="400" w:lineRule="exact"/>
        <w:ind w:firstLine="424" w:firstLineChars="202"/>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、供应商按磋商响应文件组成顺序编写响应文件，并牢固装订成册。磋商响应文件均需采用</w:t>
      </w:r>
      <w:r>
        <w:rPr>
          <w:rFonts w:ascii="宋体" w:hAnsi="宋体" w:eastAsia="宋体"/>
          <w:sz w:val="21"/>
          <w:szCs w:val="21"/>
        </w:rPr>
        <w:t>A4</w:t>
      </w:r>
      <w:r>
        <w:rPr>
          <w:rFonts w:hint="eastAsia" w:ascii="宋体" w:hAnsi="宋体" w:eastAsia="宋体"/>
          <w:sz w:val="21"/>
          <w:szCs w:val="21"/>
        </w:rPr>
        <w:t>纸（图纸等除外），不允许使用活页夹、拉杆夹、文件夹、塑料方便式书脊（插入式或穿孔式）装订。磋商响应文件不得行间插字、涂改、增删。修改错漏处，须经供应商法人代表或其委托的代理人（以下称被委托授权人）签字（或盖章）并加盖公章。</w:t>
      </w:r>
    </w:p>
    <w:p>
      <w:pPr>
        <w:snapToGrid w:val="0"/>
        <w:spacing w:line="400" w:lineRule="exact"/>
        <w:ind w:firstLine="420" w:firstLineChars="200"/>
        <w:rPr>
          <w:rFonts w:ascii="宋体" w:hAnsi="宋体" w:eastAsia="宋体"/>
          <w:bCs/>
          <w:sz w:val="21"/>
          <w:szCs w:val="21"/>
        </w:rPr>
      </w:pPr>
      <w:r>
        <w:rPr>
          <w:rFonts w:ascii="宋体" w:hAnsi="宋体" w:eastAsia="宋体"/>
          <w:bCs/>
          <w:sz w:val="21"/>
          <w:szCs w:val="21"/>
        </w:rPr>
        <w:t>3</w:t>
      </w:r>
      <w:r>
        <w:rPr>
          <w:rFonts w:hint="eastAsia" w:ascii="宋体" w:hAnsi="宋体" w:eastAsia="宋体"/>
          <w:bCs/>
          <w:sz w:val="21"/>
          <w:szCs w:val="21"/>
        </w:rPr>
        <w:t>、商务磋商响应文件中的所有报价表，必须装订成册。</w:t>
      </w:r>
    </w:p>
    <w:p>
      <w:pPr>
        <w:snapToGrid w:val="0"/>
        <w:spacing w:line="400" w:lineRule="exact"/>
        <w:ind w:firstLine="422" w:firstLineChars="200"/>
        <w:outlineLvl w:val="1"/>
        <w:rPr>
          <w:rFonts w:ascii="宋体" w:hAnsi="宋体" w:eastAsia="宋体"/>
          <w:b/>
          <w:bCs/>
          <w:sz w:val="21"/>
          <w:szCs w:val="21"/>
        </w:rPr>
      </w:pPr>
      <w:r>
        <w:rPr>
          <w:rFonts w:hint="eastAsia" w:ascii="宋体" w:hAnsi="宋体" w:eastAsia="宋体"/>
          <w:b/>
          <w:bCs/>
          <w:sz w:val="21"/>
          <w:szCs w:val="21"/>
        </w:rPr>
        <w:t>四、磋商响应文件的份数、签署和退还</w:t>
      </w:r>
    </w:p>
    <w:p>
      <w:pPr>
        <w:snapToGrid w:val="0"/>
        <w:spacing w:line="400" w:lineRule="exact"/>
        <w:ind w:firstLine="315" w:firstLineChars="150"/>
        <w:rPr>
          <w:rFonts w:ascii="宋体" w:hAnsi="宋体" w:eastAsia="宋体"/>
          <w:b/>
          <w:sz w:val="21"/>
          <w:szCs w:val="21"/>
        </w:rPr>
      </w:pPr>
      <w:r>
        <w:rPr>
          <w:rFonts w:ascii="宋体" w:hAnsi="宋体" w:eastAsia="宋体"/>
          <w:sz w:val="21"/>
          <w:szCs w:val="21"/>
        </w:rPr>
        <w:t>1</w:t>
      </w:r>
      <w:r>
        <w:rPr>
          <w:rFonts w:hint="eastAsia" w:ascii="宋体" w:hAnsi="宋体" w:eastAsia="宋体"/>
          <w:sz w:val="21"/>
          <w:szCs w:val="21"/>
        </w:rPr>
        <w:t>、磋商响应文件中，均为一份“正本”和贰份“副本”</w:t>
      </w:r>
      <w:r>
        <w:rPr>
          <w:rFonts w:hint="eastAsia" w:ascii="宋体" w:hAnsi="宋体" w:eastAsia="宋体"/>
          <w:b/>
          <w:sz w:val="21"/>
          <w:szCs w:val="21"/>
        </w:rPr>
        <w:t xml:space="preserve">。 </w:t>
      </w:r>
    </w:p>
    <w:p>
      <w:pPr>
        <w:snapToGrid w:val="0"/>
        <w:spacing w:line="400" w:lineRule="exact"/>
        <w:ind w:firstLine="315" w:firstLineChars="15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、在每一份磋商响应文件上要明确标注项目名称、磋商响应文件各自对应的名称、供应商全称、</w:t>
      </w:r>
      <w:r>
        <w:rPr>
          <w:rFonts w:ascii="宋体" w:hAnsi="宋体" w:eastAsia="宋体"/>
          <w:sz w:val="21"/>
          <w:szCs w:val="21"/>
        </w:rPr>
        <w:t>“</w:t>
      </w:r>
      <w:r>
        <w:rPr>
          <w:rFonts w:hint="eastAsia" w:ascii="宋体" w:hAnsi="宋体" w:eastAsia="宋体"/>
          <w:sz w:val="21"/>
          <w:szCs w:val="21"/>
        </w:rPr>
        <w:t>正本</w:t>
      </w:r>
      <w:r>
        <w:rPr>
          <w:rFonts w:ascii="宋体" w:hAnsi="宋体" w:eastAsia="宋体"/>
          <w:sz w:val="21"/>
          <w:szCs w:val="21"/>
        </w:rPr>
        <w:t>”</w:t>
      </w:r>
      <w:r>
        <w:rPr>
          <w:rFonts w:hint="eastAsia" w:ascii="宋体" w:hAnsi="宋体" w:eastAsia="宋体"/>
          <w:sz w:val="21"/>
          <w:szCs w:val="21"/>
        </w:rPr>
        <w:t>、</w:t>
      </w:r>
      <w:r>
        <w:rPr>
          <w:rFonts w:ascii="宋体" w:hAnsi="宋体" w:eastAsia="宋体"/>
          <w:sz w:val="21"/>
          <w:szCs w:val="21"/>
        </w:rPr>
        <w:t>“</w:t>
      </w:r>
      <w:r>
        <w:rPr>
          <w:rFonts w:hint="eastAsia" w:ascii="宋体" w:hAnsi="宋体" w:eastAsia="宋体"/>
          <w:sz w:val="21"/>
          <w:szCs w:val="21"/>
        </w:rPr>
        <w:t>副本</w:t>
      </w:r>
      <w:r>
        <w:rPr>
          <w:rFonts w:ascii="宋体" w:hAnsi="宋体" w:eastAsia="宋体"/>
          <w:sz w:val="21"/>
          <w:szCs w:val="21"/>
        </w:rPr>
        <w:t>”</w:t>
      </w:r>
      <w:r>
        <w:rPr>
          <w:rFonts w:hint="eastAsia" w:ascii="宋体" w:hAnsi="宋体" w:eastAsia="宋体"/>
          <w:sz w:val="21"/>
          <w:szCs w:val="21"/>
        </w:rPr>
        <w:t>字样，“正本”和“副本”若有差异，概以“正本”为准。</w:t>
      </w:r>
    </w:p>
    <w:p>
      <w:pPr>
        <w:snapToGrid w:val="0"/>
        <w:spacing w:line="400" w:lineRule="exact"/>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、磋商响应文件中的所有“正本”，须为打印的，其正文内容由法定代表人或被委托授权人签字（或盖章）并加盖公章，“副本”可为“正本”的复印件。</w:t>
      </w:r>
    </w:p>
    <w:p>
      <w:pPr>
        <w:snapToGrid w:val="0"/>
        <w:spacing w:line="400" w:lineRule="exact"/>
        <w:ind w:firstLine="420" w:firstLineChars="200"/>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、磋商程序顺利进行后所有磋商响应文件都将作为档案保存，不论成交与否，代理机构均不退回（未拆封的除外）。</w:t>
      </w:r>
    </w:p>
    <w:p>
      <w:pPr>
        <w:snapToGrid w:val="0"/>
        <w:spacing w:line="400" w:lineRule="exact"/>
        <w:ind w:firstLine="413" w:firstLineChars="196"/>
        <w:outlineLvl w:val="1"/>
        <w:rPr>
          <w:rFonts w:ascii="宋体" w:hAnsi="宋体" w:eastAsia="宋体"/>
          <w:b/>
          <w:bCs/>
          <w:sz w:val="21"/>
          <w:szCs w:val="21"/>
        </w:rPr>
      </w:pPr>
      <w:r>
        <w:rPr>
          <w:rFonts w:hint="eastAsia" w:ascii="宋体" w:hAnsi="宋体" w:eastAsia="宋体"/>
          <w:b/>
          <w:bCs/>
          <w:sz w:val="21"/>
          <w:szCs w:val="21"/>
        </w:rPr>
        <w:t>五、磋商响应文件的密封及标记</w:t>
      </w:r>
    </w:p>
    <w:p>
      <w:pPr>
        <w:snapToGrid w:val="0"/>
        <w:spacing w:line="440" w:lineRule="exact"/>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、供应商须将本项目磋商响应文件：①、②</w:t>
      </w:r>
      <w:r>
        <w:rPr>
          <w:rFonts w:hint="eastAsia" w:ascii="宋体" w:hAnsi="宋体" w:eastAsia="宋体"/>
          <w:b/>
          <w:sz w:val="21"/>
          <w:szCs w:val="21"/>
        </w:rPr>
        <w:t>分别单独密封</w:t>
      </w:r>
      <w:r>
        <w:rPr>
          <w:rFonts w:hint="eastAsia" w:ascii="宋体" w:hAnsi="宋体" w:eastAsia="宋体"/>
          <w:sz w:val="21"/>
          <w:szCs w:val="21"/>
        </w:rPr>
        <w:t>。</w:t>
      </w:r>
    </w:p>
    <w:p>
      <w:pPr>
        <w:snapToGrid w:val="0"/>
        <w:spacing w:line="440" w:lineRule="exact"/>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、密封后，应在每一密封件上明确标注磋商项目名称、磋商响应文件各自对应的名称、供应商全称及日期，同时加盖供应商公章。</w:t>
      </w:r>
    </w:p>
    <w:p>
      <w:pPr>
        <w:snapToGrid w:val="0"/>
        <w:spacing w:line="440" w:lineRule="exact"/>
        <w:ind w:firstLine="413" w:firstLineChars="196"/>
        <w:outlineLvl w:val="1"/>
        <w:rPr>
          <w:rFonts w:ascii="宋体" w:hAnsi="宋体" w:eastAsia="宋体"/>
          <w:b/>
          <w:bCs/>
          <w:sz w:val="21"/>
          <w:szCs w:val="21"/>
        </w:rPr>
      </w:pPr>
      <w:r>
        <w:rPr>
          <w:rFonts w:hint="eastAsia" w:ascii="宋体" w:hAnsi="宋体" w:eastAsia="宋体"/>
          <w:b/>
          <w:bCs/>
          <w:sz w:val="21"/>
          <w:szCs w:val="21"/>
        </w:rPr>
        <w:t>六、磋商报价</w:t>
      </w:r>
    </w:p>
    <w:p>
      <w:pPr>
        <w:snapToGrid w:val="0"/>
        <w:spacing w:line="440" w:lineRule="exact"/>
        <w:ind w:firstLine="422" w:firstLineChars="200"/>
        <w:rPr>
          <w:rFonts w:ascii="宋体" w:hAnsi="宋体" w:eastAsia="宋体"/>
          <w:b/>
          <w:bCs/>
          <w:sz w:val="21"/>
          <w:szCs w:val="21"/>
        </w:rPr>
      </w:pPr>
      <w:r>
        <w:rPr>
          <w:rFonts w:hint="eastAsia" w:ascii="宋体" w:hAnsi="宋体" w:eastAsia="宋体"/>
          <w:b/>
          <w:bCs/>
          <w:sz w:val="21"/>
          <w:szCs w:val="21"/>
        </w:rPr>
        <w:t>服务补贴金额为：</w:t>
      </w:r>
    </w:p>
    <w:p>
      <w:pPr>
        <w:widowControl/>
        <w:spacing w:line="440" w:lineRule="exact"/>
        <w:ind w:firstLine="525" w:firstLineChars="250"/>
        <w:jc w:val="left"/>
        <w:rPr>
          <w:rFonts w:ascii="宋体" w:hAnsi="宋体" w:eastAsia="宋体"/>
          <w:sz w:val="21"/>
          <w:szCs w:val="21"/>
        </w:rPr>
      </w:pPr>
      <w:r>
        <w:rPr>
          <w:rFonts w:hint="eastAsia" w:ascii="宋体" w:hAnsi="宋体" w:eastAsia="宋体"/>
          <w:sz w:val="21"/>
          <w:szCs w:val="21"/>
        </w:rPr>
        <w:t>（1）本项目规划建筑面积295024㎡,其中：</w:t>
      </w:r>
    </w:p>
    <w:p>
      <w:pPr>
        <w:spacing w:line="440" w:lineRule="exact"/>
        <w:ind w:firstLine="420" w:firstLineChars="200"/>
        <w:jc w:val="left"/>
        <w:rPr>
          <w:rFonts w:ascii="宋体" w:hAnsi="宋体" w:eastAsia="宋体" w:cs="仿宋_GB2312"/>
          <w:sz w:val="21"/>
          <w:szCs w:val="21"/>
        </w:rPr>
      </w:pPr>
      <w:r>
        <w:rPr>
          <w:rFonts w:hint="eastAsia" w:ascii="宋体" w:hAnsi="宋体" w:eastAsia="宋体" w:cs="仿宋_GB2312"/>
          <w:sz w:val="21"/>
          <w:szCs w:val="21"/>
        </w:rPr>
        <w:t>①前两年由成交人参照2021年《崇川区社区物业管理办法》标准向业主收取；两年后</w:t>
      </w:r>
      <w:r>
        <w:rPr>
          <w:rFonts w:hint="eastAsia" w:ascii="宋体" w:hAnsi="宋体" w:eastAsia="宋体" w:cs="仿宋_GB2312"/>
          <w:sz w:val="21"/>
          <w:szCs w:val="21"/>
          <w:lang w:val="en-US" w:eastAsia="zh-CN"/>
        </w:rPr>
        <w:t>享</w:t>
      </w:r>
      <w:r>
        <w:rPr>
          <w:rFonts w:hint="eastAsia" w:ascii="宋体" w:hAnsi="宋体" w:eastAsia="宋体" w:cs="仿宋_GB2312"/>
          <w:sz w:val="21"/>
          <w:szCs w:val="21"/>
        </w:rPr>
        <w:t>受安置房补贴部分（面积待区住建局核定）由采购人按0.5元/㎡/月补贴。成交人进场后由区住建局考核、街道打分，按规拨付。</w:t>
      </w:r>
    </w:p>
    <w:p>
      <w:pPr>
        <w:spacing w:line="440" w:lineRule="exact"/>
        <w:ind w:firstLine="420" w:firstLineChars="200"/>
        <w:jc w:val="left"/>
        <w:rPr>
          <w:rFonts w:ascii="宋体" w:hAnsi="宋体" w:eastAsia="宋体" w:cs="仿宋_GB2312"/>
          <w:sz w:val="21"/>
          <w:szCs w:val="21"/>
        </w:rPr>
      </w:pPr>
      <w:r>
        <w:rPr>
          <w:rFonts w:hint="eastAsia" w:ascii="宋体" w:hAnsi="宋体" w:eastAsia="宋体" w:cs="仿宋_GB2312"/>
          <w:sz w:val="21"/>
          <w:szCs w:val="21"/>
        </w:rPr>
        <w:t>②不享受安置房补贴部分（总面积减去补贴部分面积）由成交人参照2021年《崇川区社区物业管理办法》标准向业主收取。</w:t>
      </w:r>
    </w:p>
    <w:p>
      <w:pPr>
        <w:spacing w:line="440" w:lineRule="exact"/>
        <w:ind w:firstLine="420" w:firstLineChars="200"/>
        <w:jc w:val="left"/>
        <w:rPr>
          <w:rFonts w:ascii="宋体" w:hAnsi="宋体" w:eastAsia="宋体" w:cs="仿宋_GB2312"/>
          <w:sz w:val="21"/>
          <w:szCs w:val="21"/>
        </w:rPr>
      </w:pPr>
      <w:r>
        <w:rPr>
          <w:rFonts w:hint="eastAsia" w:ascii="宋体" w:hAnsi="宋体" w:eastAsia="宋体" w:cs="仿宋_GB2312"/>
          <w:sz w:val="21"/>
          <w:szCs w:val="21"/>
        </w:rPr>
        <w:t>③上述两年后安置房补贴面积目前暂未确定且每年更新，合同期间，具体补贴及自收面积以即时实际数据为准。</w:t>
      </w:r>
    </w:p>
    <w:p>
      <w:pPr>
        <w:snapToGrid w:val="0"/>
        <w:spacing w:line="440" w:lineRule="exact"/>
        <w:ind w:firstLine="420" w:firstLineChars="200"/>
        <w:rPr>
          <w:rFonts w:ascii="宋体" w:hAnsi="宋体" w:eastAsia="宋体"/>
          <w:sz w:val="21"/>
          <w:szCs w:val="21"/>
        </w:rPr>
      </w:pPr>
      <w:r>
        <w:rPr>
          <w:rFonts w:hint="eastAsia" w:ascii="宋体" w:hAnsi="宋体" w:eastAsia="宋体"/>
          <w:sz w:val="21"/>
          <w:szCs w:val="21"/>
        </w:rPr>
        <w:t>（2）上述费用包含但不限于如所有人员开支费用(包括人员工资、社保、保险费、餐费、补贴费、加班费、福利、清洁耗材等所有费用)、专用设备及其备品、备件、小型维修的人工材料机械费用、易耗品耗材、通讯和专用工具费用、税费、运输、保险、技术支持与培训、售后服务及相关劳务支出等工作所发生的全部费用以及投标人企业利润、税金和政策性文件规定及合同包含的所有风险、责任，即响应本项目的各项应有费用。</w:t>
      </w:r>
    </w:p>
    <w:p>
      <w:pPr>
        <w:snapToGrid w:val="0"/>
        <w:spacing w:line="440" w:lineRule="exact"/>
        <w:ind w:firstLine="432" w:firstLineChars="206"/>
        <w:outlineLvl w:val="1"/>
        <w:rPr>
          <w:rFonts w:ascii="宋体" w:hAnsi="宋体" w:eastAsia="宋体"/>
          <w:color w:val="FF0000"/>
          <w:sz w:val="21"/>
          <w:szCs w:val="21"/>
        </w:rPr>
      </w:pPr>
      <w:r>
        <w:rPr>
          <w:rFonts w:hint="eastAsia" w:ascii="宋体" w:hAnsi="宋体" w:eastAsia="宋体"/>
          <w:sz w:val="21"/>
          <w:szCs w:val="21"/>
        </w:rPr>
        <w:t>（3）本项目实行期间，人员安排、费用考虑等均须符合国家相关规定。本项目物业服务管理事务繁杂，需设置项目经理和项目副经理</w:t>
      </w:r>
    </w:p>
    <w:p>
      <w:pPr>
        <w:adjustRightInd w:val="0"/>
        <w:snapToGrid w:val="0"/>
        <w:spacing w:line="440" w:lineRule="exact"/>
        <w:ind w:firstLine="315" w:firstLineChars="150"/>
        <w:rPr>
          <w:rFonts w:ascii="宋体" w:hAnsi="宋体" w:eastAsia="宋体"/>
          <w:color w:val="000000"/>
          <w:sz w:val="21"/>
          <w:szCs w:val="21"/>
        </w:rPr>
      </w:pPr>
      <w:r>
        <w:rPr>
          <w:rFonts w:hint="eastAsia" w:ascii="宋体" w:hAnsi="宋体" w:eastAsia="宋体"/>
          <w:color w:val="000000"/>
          <w:sz w:val="21"/>
          <w:szCs w:val="21"/>
        </w:rPr>
        <w:t>2、本次采购项目收费只需要承诺按以上规定收取。</w:t>
      </w:r>
    </w:p>
    <w:p>
      <w:pPr>
        <w:adjustRightInd w:val="0"/>
        <w:snapToGrid w:val="0"/>
        <w:spacing w:line="440" w:lineRule="exact"/>
        <w:ind w:firstLine="316" w:firstLineChars="150"/>
        <w:rPr>
          <w:rFonts w:ascii="宋体" w:hAnsi="宋体" w:eastAsia="宋体"/>
          <w:color w:val="000000"/>
          <w:sz w:val="21"/>
          <w:szCs w:val="21"/>
        </w:rPr>
      </w:pPr>
      <w:r>
        <w:rPr>
          <w:rFonts w:hint="eastAsia" w:ascii="宋体" w:hAnsi="宋体" w:eastAsia="宋体"/>
          <w:b/>
          <w:sz w:val="21"/>
          <w:szCs w:val="21"/>
        </w:rPr>
        <w:t>七、磋商费用：</w:t>
      </w:r>
    </w:p>
    <w:p>
      <w:pPr>
        <w:adjustRightInd w:val="0"/>
        <w:snapToGrid w:val="0"/>
        <w:spacing w:line="440" w:lineRule="exact"/>
        <w:ind w:firstLine="315" w:firstLineChars="150"/>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无论</w:t>
      </w:r>
      <w:r>
        <w:rPr>
          <w:rFonts w:hint="eastAsia" w:ascii="宋体" w:hAnsi="宋体" w:eastAsia="宋体"/>
          <w:color w:val="000000"/>
          <w:sz w:val="21"/>
          <w:szCs w:val="21"/>
        </w:rPr>
        <w:t>磋商</w:t>
      </w:r>
      <w:r>
        <w:rPr>
          <w:rFonts w:ascii="宋体" w:hAnsi="宋体" w:eastAsia="宋体"/>
          <w:color w:val="000000"/>
          <w:sz w:val="21"/>
          <w:szCs w:val="21"/>
        </w:rPr>
        <w:t>过程和结果如何，</w:t>
      </w:r>
      <w:r>
        <w:rPr>
          <w:rFonts w:hint="eastAsia" w:ascii="宋体" w:hAnsi="宋体" w:eastAsia="宋体"/>
          <w:color w:val="000000"/>
          <w:sz w:val="21"/>
          <w:szCs w:val="21"/>
        </w:rPr>
        <w:t>磋商供应商</w:t>
      </w:r>
      <w:r>
        <w:rPr>
          <w:rFonts w:ascii="宋体" w:hAnsi="宋体" w:eastAsia="宋体"/>
          <w:color w:val="000000"/>
          <w:sz w:val="21"/>
          <w:szCs w:val="21"/>
        </w:rPr>
        <w:t>自行承担与本项目</w:t>
      </w:r>
      <w:r>
        <w:rPr>
          <w:rFonts w:hint="eastAsia" w:ascii="宋体" w:hAnsi="宋体" w:eastAsia="宋体"/>
          <w:color w:val="000000"/>
          <w:sz w:val="21"/>
          <w:szCs w:val="21"/>
        </w:rPr>
        <w:t>磋商</w:t>
      </w:r>
      <w:r>
        <w:rPr>
          <w:rFonts w:ascii="宋体" w:hAnsi="宋体" w:eastAsia="宋体"/>
          <w:color w:val="000000"/>
          <w:sz w:val="21"/>
          <w:szCs w:val="21"/>
        </w:rPr>
        <w:t>有关的全部费用。</w:t>
      </w:r>
    </w:p>
    <w:p>
      <w:pPr>
        <w:adjustRightInd w:val="0"/>
        <w:snapToGrid w:val="0"/>
        <w:spacing w:line="440" w:lineRule="exact"/>
        <w:ind w:firstLine="315" w:firstLineChars="150"/>
        <w:rPr>
          <w:rFonts w:ascii="宋体" w:hAnsi="宋体" w:eastAsia="宋体"/>
          <w:color w:val="000000"/>
          <w:sz w:val="21"/>
          <w:szCs w:val="21"/>
        </w:rPr>
      </w:pPr>
      <w:r>
        <w:rPr>
          <w:rFonts w:hint="eastAsia" w:ascii="宋体" w:hAnsi="宋体" w:eastAsia="宋体"/>
          <w:color w:val="000000"/>
          <w:sz w:val="21"/>
          <w:szCs w:val="21"/>
        </w:rPr>
        <w:t>2、磋商供应商在提交磋商文件的同时提交300元（现金）磋商文件相关费用，无论是否中标，该费用不予退还。</w:t>
      </w:r>
    </w:p>
    <w:p>
      <w:pPr>
        <w:snapToGrid w:val="0"/>
        <w:spacing w:line="440" w:lineRule="exact"/>
        <w:ind w:firstLine="434" w:firstLineChars="206"/>
        <w:outlineLvl w:val="1"/>
        <w:rPr>
          <w:rFonts w:ascii="宋体" w:hAnsi="宋体" w:eastAsia="宋体"/>
          <w:b/>
          <w:bCs/>
          <w:sz w:val="21"/>
          <w:szCs w:val="21"/>
          <w:lang w:val="zh-CN"/>
        </w:rPr>
      </w:pPr>
      <w:r>
        <w:rPr>
          <w:rFonts w:hint="eastAsia" w:ascii="宋体" w:hAnsi="宋体" w:eastAsia="宋体"/>
          <w:b/>
          <w:bCs/>
          <w:sz w:val="21"/>
          <w:szCs w:val="21"/>
          <w:lang w:val="zh-CN"/>
        </w:rPr>
        <w:t>八、履约保证金</w:t>
      </w:r>
    </w:p>
    <w:p>
      <w:pPr>
        <w:snapToGrid w:val="0"/>
        <w:spacing w:line="440" w:lineRule="exact"/>
        <w:ind w:firstLine="420" w:firstLineChars="200"/>
        <w:rPr>
          <w:rFonts w:ascii="宋体" w:hAnsi="宋体" w:eastAsia="宋体"/>
          <w:bCs/>
          <w:sz w:val="21"/>
          <w:szCs w:val="21"/>
          <w:lang w:val="zh-CN"/>
        </w:rPr>
      </w:pPr>
      <w:r>
        <w:rPr>
          <w:rFonts w:hint="eastAsia" w:ascii="宋体" w:hAnsi="宋体" w:eastAsia="宋体"/>
          <w:sz w:val="21"/>
          <w:szCs w:val="21"/>
        </w:rPr>
        <w:t>1、本项目成交后的服务期为2年（24个月），</w:t>
      </w:r>
      <w:r>
        <w:rPr>
          <w:rFonts w:hint="eastAsia" w:ascii="宋体" w:hAnsi="宋体" w:eastAsia="宋体"/>
          <w:bCs/>
          <w:sz w:val="21"/>
          <w:szCs w:val="21"/>
          <w:lang w:val="zh-CN"/>
        </w:rPr>
        <w:t>履约情况良好，可续签。</w:t>
      </w:r>
    </w:p>
    <w:p>
      <w:pPr>
        <w:snapToGrid w:val="0"/>
        <w:spacing w:line="440" w:lineRule="exact"/>
        <w:ind w:firstLine="432" w:firstLineChars="206"/>
        <w:outlineLvl w:val="1"/>
        <w:rPr>
          <w:rFonts w:ascii="宋体" w:hAnsi="宋体" w:eastAsia="宋体"/>
          <w:sz w:val="21"/>
          <w:szCs w:val="21"/>
        </w:rPr>
      </w:pPr>
      <w:r>
        <w:rPr>
          <w:rFonts w:hint="eastAsia" w:ascii="宋体" w:hAnsi="宋体" w:eastAsia="宋体"/>
          <w:sz w:val="21"/>
          <w:szCs w:val="21"/>
        </w:rPr>
        <w:t>2、本项目履约保证金为10万元。</w:t>
      </w:r>
    </w:p>
    <w:p>
      <w:pPr>
        <w:snapToGrid w:val="0"/>
        <w:spacing w:line="440" w:lineRule="exact"/>
        <w:ind w:firstLine="432" w:firstLineChars="206"/>
        <w:outlineLvl w:val="1"/>
        <w:rPr>
          <w:rFonts w:ascii="宋体" w:hAnsi="宋体" w:eastAsia="宋体"/>
          <w:sz w:val="21"/>
          <w:szCs w:val="21"/>
        </w:rPr>
      </w:pPr>
      <w:r>
        <w:rPr>
          <w:rFonts w:hint="eastAsia" w:ascii="宋体" w:hAnsi="宋体" w:eastAsia="宋体"/>
          <w:sz w:val="21"/>
          <w:szCs w:val="21"/>
        </w:rPr>
        <w:t>3、在成交通知书发出送达后3个工作日内，成交人凭“成交通知书”、“履约保证金”已经汇至采购人账上的凭证，与采购人签订合同，超期或未有协商，则视为自动放弃中标资格。</w:t>
      </w:r>
    </w:p>
    <w:p>
      <w:pPr>
        <w:snapToGrid w:val="0"/>
        <w:spacing w:line="440" w:lineRule="exact"/>
        <w:ind w:firstLine="432" w:firstLineChars="206"/>
        <w:outlineLvl w:val="1"/>
        <w:rPr>
          <w:rFonts w:ascii="宋体" w:hAnsi="宋体" w:eastAsia="宋体"/>
          <w:sz w:val="21"/>
          <w:szCs w:val="21"/>
        </w:rPr>
      </w:pPr>
      <w:r>
        <w:rPr>
          <w:rFonts w:hint="eastAsia" w:ascii="宋体" w:hAnsi="宋体" w:eastAsia="宋体"/>
          <w:sz w:val="21"/>
          <w:szCs w:val="21"/>
        </w:rPr>
        <w:t>4、因成交人在签订合同后出现不按合同履行或不适当履行的情况，采购人有权将履约保证金作为违约金或考核罚款，全额或部分不予退还，同时采购人亦有权单方面终止合同，成交人还须依法承担相应的赔偿责任。</w:t>
      </w:r>
    </w:p>
    <w:p>
      <w:pPr>
        <w:snapToGrid w:val="0"/>
        <w:spacing w:line="440" w:lineRule="exact"/>
        <w:ind w:firstLine="434" w:firstLineChars="206"/>
        <w:outlineLvl w:val="1"/>
        <w:rPr>
          <w:rFonts w:ascii="宋体" w:hAnsi="宋体" w:eastAsia="宋体"/>
          <w:b/>
          <w:sz w:val="21"/>
          <w:szCs w:val="21"/>
        </w:rPr>
      </w:pPr>
      <w:r>
        <w:rPr>
          <w:rFonts w:hint="eastAsia" w:ascii="宋体" w:hAnsi="宋体" w:eastAsia="宋体"/>
          <w:b/>
          <w:sz w:val="21"/>
          <w:szCs w:val="21"/>
        </w:rPr>
        <w:t>九、付款方式</w:t>
      </w:r>
    </w:p>
    <w:p>
      <w:pPr>
        <w:snapToGrid w:val="0"/>
        <w:spacing w:line="440" w:lineRule="exact"/>
        <w:ind w:firstLine="434" w:firstLineChars="206"/>
        <w:outlineLvl w:val="1"/>
        <w:rPr>
          <w:rFonts w:ascii="宋体" w:hAnsi="宋体" w:eastAsia="宋体"/>
          <w:b/>
          <w:sz w:val="21"/>
          <w:szCs w:val="21"/>
        </w:rPr>
      </w:pPr>
      <w:r>
        <w:rPr>
          <w:rFonts w:hint="eastAsia" w:ascii="宋体" w:hAnsi="宋体" w:eastAsia="宋体"/>
          <w:b/>
          <w:sz w:val="21"/>
          <w:szCs w:val="21"/>
        </w:rPr>
        <w:t>【特别提醒】付款方式不接受任何意图改变付款方式的意图表达，否则作无效投标处理。</w:t>
      </w:r>
    </w:p>
    <w:p>
      <w:pPr>
        <w:snapToGrid w:val="0"/>
        <w:spacing w:line="440" w:lineRule="exact"/>
        <w:ind w:firstLine="420" w:firstLineChars="200"/>
        <w:rPr>
          <w:rFonts w:ascii="宋体" w:hAnsi="宋体" w:eastAsia="宋体"/>
          <w:sz w:val="21"/>
          <w:szCs w:val="21"/>
        </w:rPr>
      </w:pPr>
      <w:r>
        <w:rPr>
          <w:rFonts w:hint="eastAsia" w:ascii="宋体" w:hAnsi="宋体" w:eastAsia="宋体"/>
          <w:sz w:val="21"/>
          <w:szCs w:val="21"/>
        </w:rPr>
        <w:t>采购人支付部分由区住建局和街道按照标准进行考核，最终按区住建局补贴拨付进度支付。</w:t>
      </w:r>
    </w:p>
    <w:p>
      <w:pPr>
        <w:snapToGrid w:val="0"/>
        <w:spacing w:line="440" w:lineRule="exact"/>
        <w:ind w:firstLine="434" w:firstLineChars="206"/>
        <w:outlineLvl w:val="1"/>
        <w:rPr>
          <w:rFonts w:ascii="宋体" w:hAnsi="宋体" w:eastAsia="宋体"/>
          <w:b/>
          <w:sz w:val="21"/>
          <w:szCs w:val="21"/>
        </w:rPr>
      </w:pPr>
      <w:r>
        <w:rPr>
          <w:rFonts w:hint="eastAsia" w:ascii="宋体" w:hAnsi="宋体" w:eastAsia="宋体"/>
          <w:b/>
          <w:sz w:val="21"/>
          <w:szCs w:val="21"/>
        </w:rPr>
        <w:t>十、服务量的调整及结算方式</w:t>
      </w:r>
    </w:p>
    <w:p>
      <w:pPr>
        <w:snapToGrid w:val="0"/>
        <w:spacing w:line="440" w:lineRule="exact"/>
        <w:ind w:firstLine="420" w:firstLineChars="200"/>
        <w:outlineLvl w:val="1"/>
        <w:rPr>
          <w:rFonts w:ascii="宋体" w:hAnsi="宋体" w:eastAsia="宋体"/>
          <w:bCs/>
          <w:color w:val="000000"/>
          <w:sz w:val="21"/>
          <w:szCs w:val="21"/>
        </w:rPr>
      </w:pPr>
      <w:r>
        <w:rPr>
          <w:rFonts w:hint="eastAsia" w:ascii="宋体" w:hAnsi="宋体" w:eastAsia="宋体"/>
          <w:bCs/>
          <w:color w:val="000000"/>
          <w:sz w:val="21"/>
          <w:szCs w:val="21"/>
        </w:rPr>
        <w:t>如因采购人实际需求，采购的服务数量发生变化，成交人须无条件满足采购人要求，确保服务质量；结算时按采购人确认的实际服务量进行结算，项目综合单价不变。</w:t>
      </w:r>
    </w:p>
    <w:p>
      <w:pPr>
        <w:snapToGrid w:val="0"/>
        <w:spacing w:line="440" w:lineRule="exact"/>
        <w:ind w:firstLine="422" w:firstLineChars="200"/>
        <w:outlineLvl w:val="1"/>
        <w:rPr>
          <w:rFonts w:ascii="宋体" w:hAnsi="宋体" w:eastAsia="宋体"/>
          <w:b/>
          <w:color w:val="FF0000"/>
          <w:sz w:val="21"/>
          <w:szCs w:val="21"/>
        </w:rPr>
      </w:pPr>
      <w:r>
        <w:rPr>
          <w:rFonts w:hint="eastAsia" w:ascii="宋体" w:hAnsi="宋体" w:eastAsia="宋体"/>
          <w:b/>
          <w:sz w:val="21"/>
          <w:szCs w:val="21"/>
        </w:rPr>
        <w:t>十一、代理服务费</w:t>
      </w:r>
    </w:p>
    <w:p>
      <w:pPr>
        <w:snapToGrid w:val="0"/>
        <w:spacing w:line="440" w:lineRule="exact"/>
        <w:ind w:firstLine="403" w:firstLineChars="192"/>
        <w:rPr>
          <w:rFonts w:ascii="宋体" w:hAnsi="宋体" w:eastAsia="宋体" w:cs="宋体"/>
          <w:sz w:val="21"/>
          <w:szCs w:val="21"/>
        </w:rPr>
      </w:pPr>
      <w:r>
        <w:rPr>
          <w:rFonts w:hint="eastAsia" w:ascii="宋体" w:hAnsi="宋体" w:eastAsia="宋体" w:cs="宋体"/>
          <w:sz w:val="21"/>
          <w:szCs w:val="21"/>
        </w:rPr>
        <w:t>本项目采购代理服务费4500元由成交人承担，请参加磋商响应的供应商在成本中自行考虑。</w:t>
      </w:r>
    </w:p>
    <w:p>
      <w:pPr>
        <w:snapToGrid w:val="0"/>
        <w:spacing w:line="440" w:lineRule="exact"/>
        <w:ind w:firstLine="422" w:firstLineChars="200"/>
        <w:outlineLvl w:val="1"/>
        <w:rPr>
          <w:rFonts w:ascii="宋体" w:hAnsi="宋体" w:eastAsia="宋体"/>
          <w:b/>
          <w:sz w:val="21"/>
          <w:szCs w:val="21"/>
        </w:rPr>
      </w:pPr>
      <w:r>
        <w:rPr>
          <w:rFonts w:hint="eastAsia" w:ascii="宋体" w:hAnsi="宋体" w:eastAsia="宋体"/>
          <w:b/>
          <w:sz w:val="21"/>
          <w:szCs w:val="21"/>
        </w:rPr>
        <w:t>十二、未尽事宜</w:t>
      </w:r>
    </w:p>
    <w:p>
      <w:pPr>
        <w:snapToGrid w:val="0"/>
        <w:spacing w:line="440" w:lineRule="exact"/>
        <w:ind w:firstLine="432" w:firstLineChars="206"/>
        <w:rPr>
          <w:rFonts w:ascii="宋体" w:hAnsi="宋体" w:eastAsia="宋体"/>
          <w:sz w:val="21"/>
          <w:szCs w:val="21"/>
        </w:rPr>
      </w:pPr>
      <w:r>
        <w:rPr>
          <w:rFonts w:hint="eastAsia" w:ascii="宋体" w:hAnsi="宋体" w:eastAsia="宋体"/>
          <w:sz w:val="21"/>
          <w:szCs w:val="21"/>
        </w:rPr>
        <w:t>按有关法律法规的规定执行。</w:t>
      </w:r>
      <w:bookmarkStart w:id="23" w:name="_Toc363573855"/>
    </w:p>
    <w:p>
      <w:pPr>
        <w:snapToGrid w:val="0"/>
        <w:spacing w:line="440" w:lineRule="exact"/>
        <w:ind w:firstLine="432" w:firstLineChars="206"/>
        <w:jc w:val="center"/>
        <w:rPr>
          <w:rFonts w:ascii="宋体" w:hAnsi="宋体" w:eastAsia="宋体"/>
          <w:b/>
          <w:color w:val="000000"/>
          <w:w w:val="80"/>
          <w:sz w:val="32"/>
          <w:szCs w:val="32"/>
        </w:rPr>
      </w:pPr>
      <w:r>
        <w:rPr>
          <w:rFonts w:ascii="宋体" w:hAnsi="宋体" w:eastAsia="宋体"/>
          <w:sz w:val="21"/>
          <w:szCs w:val="21"/>
        </w:rPr>
        <w:br w:type="page"/>
      </w:r>
      <w:r>
        <w:rPr>
          <w:rFonts w:hint="eastAsia" w:ascii="宋体" w:hAnsi="宋体" w:eastAsia="宋体"/>
          <w:b/>
          <w:color w:val="000000"/>
          <w:w w:val="80"/>
          <w:sz w:val="32"/>
          <w:szCs w:val="32"/>
        </w:rPr>
        <w:t>第三章  项目需求</w:t>
      </w:r>
      <w:bookmarkEnd w:id="23"/>
    </w:p>
    <w:p>
      <w:pPr>
        <w:spacing w:line="400" w:lineRule="exact"/>
        <w:ind w:firstLine="422" w:firstLineChars="200"/>
        <w:outlineLvl w:val="1"/>
        <w:rPr>
          <w:rFonts w:ascii="宋体" w:hAnsi="宋体" w:eastAsia="宋体"/>
          <w:b/>
          <w:bCs/>
          <w:sz w:val="21"/>
          <w:szCs w:val="21"/>
        </w:rPr>
      </w:pPr>
      <w:bookmarkStart w:id="24" w:name="_Toc13642116"/>
      <w:r>
        <w:rPr>
          <w:rFonts w:hint="eastAsia" w:ascii="宋体" w:hAnsi="宋体" w:eastAsia="宋体" w:cs="仿宋_GB2312"/>
          <w:b/>
          <w:bCs/>
          <w:sz w:val="21"/>
          <w:szCs w:val="21"/>
        </w:rPr>
        <w:t>一、项目物业委托期限</w:t>
      </w:r>
    </w:p>
    <w:p>
      <w:pPr>
        <w:snapToGrid w:val="0"/>
        <w:spacing w:line="400" w:lineRule="exact"/>
        <w:ind w:firstLine="420" w:firstLineChars="200"/>
        <w:rPr>
          <w:rFonts w:ascii="宋体" w:hAnsi="宋体" w:eastAsia="宋体"/>
          <w:sz w:val="21"/>
          <w:szCs w:val="21"/>
        </w:rPr>
      </w:pPr>
      <w:r>
        <w:rPr>
          <w:rFonts w:hint="eastAsia" w:ascii="宋体" w:hAnsi="宋体" w:eastAsia="宋体" w:cs="仿宋_GB2312"/>
          <w:sz w:val="21"/>
          <w:szCs w:val="21"/>
        </w:rPr>
        <w:t>项目物业管理服务期暂定为2年（24个月）。履约情况良好，可续签。</w:t>
      </w:r>
    </w:p>
    <w:p>
      <w:pPr>
        <w:spacing w:line="400" w:lineRule="exact"/>
        <w:ind w:firstLine="422" w:firstLineChars="200"/>
        <w:outlineLvl w:val="1"/>
        <w:rPr>
          <w:rFonts w:ascii="宋体" w:hAnsi="宋体" w:eastAsia="宋体"/>
          <w:b/>
          <w:bCs/>
          <w:sz w:val="21"/>
          <w:szCs w:val="21"/>
        </w:rPr>
      </w:pPr>
      <w:r>
        <w:rPr>
          <w:rFonts w:hint="eastAsia" w:ascii="宋体" w:hAnsi="宋体" w:eastAsia="宋体" w:cs="仿宋_GB2312"/>
          <w:b/>
          <w:bCs/>
          <w:sz w:val="21"/>
          <w:szCs w:val="21"/>
        </w:rPr>
        <w:t>二、物业基本情况</w:t>
      </w:r>
    </w:p>
    <w:p>
      <w:pPr>
        <w:widowControl/>
        <w:spacing w:line="360" w:lineRule="auto"/>
        <w:ind w:firstLine="525" w:firstLineChars="250"/>
        <w:jc w:val="left"/>
        <w:rPr>
          <w:rFonts w:ascii="宋体" w:hAnsi="宋体" w:eastAsia="宋体"/>
          <w:sz w:val="21"/>
          <w:szCs w:val="21"/>
        </w:rPr>
      </w:pPr>
      <w:r>
        <w:rPr>
          <w:rFonts w:hint="eastAsia" w:ascii="宋体" w:hAnsi="宋体" w:eastAsia="宋体" w:cs="黑体"/>
          <w:sz w:val="21"/>
          <w:szCs w:val="21"/>
        </w:rPr>
        <w:t>1、本项目</w:t>
      </w:r>
      <w:r>
        <w:rPr>
          <w:rFonts w:hint="eastAsia" w:ascii="宋体" w:hAnsi="宋体" w:eastAsia="宋体"/>
          <w:sz w:val="21"/>
          <w:szCs w:val="21"/>
        </w:rPr>
        <w:t>地处黄海路北,永和路西。该地块规划用地面积100934.08㎡，规划建筑面积295024㎡,其中住宅面积196912㎡，配套公建13198㎡(含商业6151㎡），普通地下室面积64624㎡，人防地下室面积20290㎡。地块由7幢9层住宅、9幢15层住宅、10幢16层，2幢3层公建、1幢2层公建组成，共有安置房1450套。</w:t>
      </w:r>
    </w:p>
    <w:p>
      <w:pPr>
        <w:spacing w:line="400" w:lineRule="exact"/>
        <w:ind w:firstLine="420" w:firstLineChars="200"/>
        <w:rPr>
          <w:rFonts w:ascii="宋体" w:hAnsi="宋体" w:eastAsia="宋体"/>
          <w:b/>
          <w:bCs/>
          <w:sz w:val="21"/>
          <w:szCs w:val="21"/>
        </w:rPr>
      </w:pPr>
      <w:r>
        <w:rPr>
          <w:rFonts w:hint="eastAsia" w:ascii="宋体" w:hAnsi="宋体" w:eastAsia="宋体"/>
          <w:sz w:val="21"/>
          <w:szCs w:val="21"/>
        </w:rPr>
        <w:t>三、</w:t>
      </w:r>
      <w:r>
        <w:rPr>
          <w:rFonts w:hint="eastAsia" w:ascii="宋体" w:hAnsi="宋体" w:eastAsia="宋体"/>
          <w:b/>
          <w:bCs/>
          <w:sz w:val="21"/>
          <w:szCs w:val="21"/>
        </w:rPr>
        <w:t>服务补贴金额为：</w:t>
      </w:r>
    </w:p>
    <w:p>
      <w:pPr>
        <w:snapToGrid w:val="0"/>
        <w:spacing w:line="400" w:lineRule="exact"/>
        <w:ind w:firstLine="420" w:firstLineChars="200"/>
        <w:rPr>
          <w:rFonts w:ascii="宋体" w:hAnsi="宋体" w:eastAsia="宋体"/>
          <w:sz w:val="21"/>
          <w:szCs w:val="21"/>
        </w:rPr>
      </w:pPr>
      <w:r>
        <w:rPr>
          <w:rFonts w:hint="eastAsia" w:ascii="宋体" w:hAnsi="宋体" w:eastAsia="宋体"/>
          <w:sz w:val="21"/>
          <w:szCs w:val="21"/>
        </w:rPr>
        <w:t>1、本项目规划住宅部门面积共295024㎡，其中：</w:t>
      </w:r>
    </w:p>
    <w:p>
      <w:pPr>
        <w:snapToGrid w:val="0"/>
        <w:spacing w:line="400" w:lineRule="exact"/>
        <w:ind w:firstLine="420" w:firstLineChars="200"/>
        <w:rPr>
          <w:rFonts w:ascii="宋体" w:hAnsi="宋体" w:eastAsia="宋体"/>
          <w:sz w:val="21"/>
          <w:szCs w:val="21"/>
        </w:rPr>
      </w:pPr>
      <w:r>
        <w:rPr>
          <w:rFonts w:hint="eastAsia" w:ascii="宋体" w:hAnsi="宋体" w:eastAsia="宋体"/>
          <w:sz w:val="21"/>
          <w:szCs w:val="21"/>
        </w:rPr>
        <w:t>①享受安置房补贴部分（面积待区住建局核定）由采购人按0.5元/㎡/月补贴。中标人进场后由区住建局考核、街道打分，按规拨付。</w:t>
      </w:r>
    </w:p>
    <w:p>
      <w:pPr>
        <w:snapToGrid w:val="0"/>
        <w:spacing w:line="400" w:lineRule="exact"/>
        <w:ind w:firstLine="420" w:firstLineChars="200"/>
        <w:rPr>
          <w:rFonts w:ascii="宋体" w:hAnsi="宋体" w:eastAsia="宋体"/>
          <w:sz w:val="21"/>
          <w:szCs w:val="21"/>
        </w:rPr>
      </w:pPr>
      <w:r>
        <w:rPr>
          <w:rFonts w:hint="eastAsia" w:ascii="宋体" w:hAnsi="宋体" w:eastAsia="宋体"/>
          <w:sz w:val="21"/>
          <w:szCs w:val="21"/>
        </w:rPr>
        <w:t>②不享受安置房补贴部分（总面积减去补贴部分面积）由中标人参照2021年《崇川区社区物业管理办法》标准向业主收取。</w:t>
      </w:r>
    </w:p>
    <w:p>
      <w:pPr>
        <w:spacing w:line="400" w:lineRule="exact"/>
        <w:ind w:firstLine="369" w:firstLineChars="176"/>
        <w:outlineLvl w:val="1"/>
        <w:rPr>
          <w:rFonts w:ascii="宋体" w:hAnsi="宋体" w:eastAsia="宋体"/>
          <w:sz w:val="21"/>
          <w:szCs w:val="21"/>
        </w:rPr>
      </w:pPr>
      <w:r>
        <w:rPr>
          <w:rFonts w:hint="eastAsia" w:ascii="宋体" w:hAnsi="宋体" w:eastAsia="宋体"/>
          <w:sz w:val="21"/>
          <w:szCs w:val="21"/>
        </w:rPr>
        <w:t>③上述面积仅为目前暂未确定且每年更新，合同期间，具体补贴及自收面积以即时实际数据为准。</w:t>
      </w:r>
    </w:p>
    <w:p>
      <w:pPr>
        <w:snapToGrid w:val="0"/>
        <w:spacing w:line="400" w:lineRule="exact"/>
        <w:ind w:firstLine="420" w:firstLineChars="200"/>
        <w:rPr>
          <w:rFonts w:ascii="宋体" w:hAnsi="宋体" w:eastAsia="宋体"/>
          <w:sz w:val="21"/>
          <w:szCs w:val="21"/>
        </w:rPr>
      </w:pPr>
      <w:r>
        <w:rPr>
          <w:rFonts w:hint="eastAsia" w:ascii="宋体" w:hAnsi="宋体" w:eastAsia="宋体"/>
          <w:sz w:val="21"/>
          <w:szCs w:val="21"/>
        </w:rPr>
        <w:t>2、上述费用包含但不限于如所有人员开支费用(包括人员工资、社保、保险费、餐费、补贴费、加班费、福利、清洁耗材等所有费用)、专用设备及其备品、备件、小型维修的人工材料机械费用、易耗品耗材、通讯和专用工具费用、税费、运输、保险、技术支持与培训、售后服务及相关劳务支出等工作所发生的全部费用以及投标人企业利润、税金和政策性文件规定及合同包含的所有风险、责任，即响应本项目的各项应有费用。</w:t>
      </w:r>
    </w:p>
    <w:p>
      <w:pPr>
        <w:snapToGrid w:val="0"/>
        <w:spacing w:line="400" w:lineRule="exact"/>
        <w:ind w:firstLine="420" w:firstLineChars="200"/>
        <w:rPr>
          <w:rFonts w:ascii="宋体" w:hAnsi="宋体" w:eastAsia="宋体"/>
          <w:sz w:val="21"/>
          <w:szCs w:val="21"/>
        </w:rPr>
      </w:pPr>
      <w:r>
        <w:rPr>
          <w:rFonts w:hint="eastAsia" w:ascii="宋体" w:hAnsi="宋体" w:eastAsia="宋体"/>
          <w:sz w:val="21"/>
          <w:szCs w:val="21"/>
        </w:rPr>
        <w:t>3、本项目实行期间，人员安排、费用考虑等均须符合国家相关规定。</w:t>
      </w:r>
    </w:p>
    <w:p>
      <w:pPr>
        <w:snapToGrid w:val="0"/>
        <w:spacing w:line="400" w:lineRule="exact"/>
        <w:ind w:firstLine="420" w:firstLineChars="200"/>
        <w:rPr>
          <w:rFonts w:hint="eastAsia" w:ascii="宋体" w:hAnsi="宋体" w:eastAsia="宋体"/>
          <w:sz w:val="21"/>
          <w:szCs w:val="21"/>
        </w:rPr>
      </w:pPr>
      <w:r>
        <w:rPr>
          <w:rFonts w:hint="eastAsia" w:ascii="宋体" w:hAnsi="宋体" w:eastAsia="宋体"/>
          <w:sz w:val="21"/>
          <w:szCs w:val="21"/>
        </w:rPr>
        <w:t>4、本项目需设置项目经理和项目副经理，项目经理全盘负责本项目物业服务管理，项目副经理协助各项管理。</w:t>
      </w:r>
    </w:p>
    <w:p>
      <w:pPr>
        <w:spacing w:line="400" w:lineRule="exact"/>
        <w:ind w:firstLine="422" w:firstLineChars="200"/>
        <w:outlineLvl w:val="1"/>
        <w:rPr>
          <w:rFonts w:ascii="宋体" w:hAnsi="宋体" w:eastAsia="宋体"/>
          <w:b/>
          <w:bCs/>
          <w:sz w:val="21"/>
          <w:szCs w:val="21"/>
        </w:rPr>
      </w:pPr>
      <w:r>
        <w:rPr>
          <w:rFonts w:hint="eastAsia" w:ascii="宋体" w:hAnsi="宋体" w:eastAsia="宋体" w:cs="仿宋_GB2312"/>
          <w:b/>
          <w:bCs/>
          <w:sz w:val="21"/>
          <w:szCs w:val="21"/>
        </w:rPr>
        <w:t>四、物业管理范围内容</w:t>
      </w:r>
    </w:p>
    <w:p>
      <w:pPr>
        <w:spacing w:line="400" w:lineRule="exact"/>
        <w:ind w:firstLine="420" w:firstLineChars="200"/>
        <w:outlineLvl w:val="1"/>
        <w:rPr>
          <w:rFonts w:ascii="宋体" w:hAnsi="宋体" w:eastAsia="宋体" w:cs="黑体"/>
          <w:sz w:val="21"/>
          <w:szCs w:val="21"/>
        </w:rPr>
      </w:pPr>
      <w:r>
        <w:rPr>
          <w:rFonts w:hint="eastAsia" w:ascii="宋体" w:hAnsi="宋体" w:eastAsia="宋体" w:cs="黑体"/>
          <w:sz w:val="21"/>
          <w:szCs w:val="21"/>
        </w:rPr>
        <w:t>本次招标的物业服务包括以下几个方面的内容：卫生保洁、秩序管理、安保服务等内容。</w:t>
      </w:r>
    </w:p>
    <w:p>
      <w:pPr>
        <w:spacing w:line="400" w:lineRule="exact"/>
        <w:ind w:firstLine="420" w:firstLineChars="200"/>
        <w:outlineLvl w:val="1"/>
        <w:rPr>
          <w:rFonts w:ascii="宋体" w:hAnsi="宋体" w:eastAsia="宋体" w:cs="黑体"/>
          <w:sz w:val="21"/>
          <w:szCs w:val="21"/>
        </w:rPr>
      </w:pPr>
      <w:r>
        <w:rPr>
          <w:rFonts w:hint="eastAsia" w:ascii="宋体" w:hAnsi="宋体" w:eastAsia="宋体" w:cs="黑体"/>
          <w:sz w:val="21"/>
          <w:szCs w:val="21"/>
        </w:rPr>
        <w:t>具体为：</w:t>
      </w:r>
    </w:p>
    <w:p>
      <w:pPr>
        <w:spacing w:line="400" w:lineRule="exact"/>
        <w:ind w:firstLine="420" w:firstLineChars="200"/>
        <w:outlineLvl w:val="1"/>
        <w:rPr>
          <w:rFonts w:ascii="宋体" w:hAnsi="宋体" w:eastAsia="宋体" w:cs="黑体"/>
          <w:sz w:val="21"/>
          <w:szCs w:val="21"/>
        </w:rPr>
      </w:pPr>
      <w:r>
        <w:rPr>
          <w:rFonts w:hint="eastAsia" w:ascii="宋体" w:hAnsi="宋体" w:eastAsia="宋体" w:cs="黑体"/>
          <w:sz w:val="21"/>
          <w:szCs w:val="21"/>
        </w:rPr>
        <w:t>1、建立服务系统和服务网络；宣传物业管理的相关法规和知识，宣传维护物业完好使用的具体要求；</w:t>
      </w:r>
    </w:p>
    <w:p>
      <w:pPr>
        <w:spacing w:line="400" w:lineRule="exact"/>
        <w:ind w:firstLine="420" w:firstLineChars="200"/>
        <w:outlineLvl w:val="1"/>
        <w:rPr>
          <w:rFonts w:ascii="宋体" w:hAnsi="宋体" w:eastAsia="宋体" w:cs="黑体"/>
          <w:sz w:val="21"/>
          <w:szCs w:val="21"/>
        </w:rPr>
      </w:pPr>
      <w:r>
        <w:rPr>
          <w:rFonts w:hint="eastAsia" w:ascii="宋体" w:hAnsi="宋体" w:eastAsia="宋体" w:cs="黑体"/>
          <w:sz w:val="21"/>
          <w:szCs w:val="21"/>
        </w:rPr>
        <w:t>2、房屋建筑共用部位管理及维修养护，包括楼盖、屋顶、墙面、楼梯间、走廊通道、连廊、门厅、楼梯扶手等；</w:t>
      </w:r>
    </w:p>
    <w:p>
      <w:pPr>
        <w:spacing w:line="400" w:lineRule="exact"/>
        <w:ind w:firstLine="420" w:firstLineChars="200"/>
        <w:outlineLvl w:val="1"/>
        <w:rPr>
          <w:rFonts w:ascii="宋体" w:hAnsi="宋体" w:eastAsia="宋体" w:cs="黑体"/>
          <w:sz w:val="21"/>
          <w:szCs w:val="21"/>
        </w:rPr>
      </w:pPr>
      <w:r>
        <w:rPr>
          <w:rFonts w:hint="eastAsia" w:ascii="宋体" w:hAnsi="宋体" w:eastAsia="宋体" w:cs="黑体"/>
          <w:sz w:val="21"/>
          <w:szCs w:val="21"/>
        </w:rPr>
        <w:t>3、共用设施设备的维修、养护、管理和运行服务，包括门卫、消防设施、机电设备、智能化设施设备、道路、公共照明、公共绿化、公益性文体设施、安全设施、管道、水泵及设备、地下车库等，消防、监控等安全消防设施需落实专业维保单位，定期进行检修。有完善的消防安全管理制度，配备相应特种设备管理人员。</w:t>
      </w:r>
    </w:p>
    <w:p>
      <w:pPr>
        <w:spacing w:line="400" w:lineRule="exact"/>
        <w:ind w:firstLine="420" w:firstLineChars="200"/>
        <w:outlineLvl w:val="1"/>
        <w:rPr>
          <w:rFonts w:ascii="宋体" w:hAnsi="宋体" w:eastAsia="宋体" w:cs="黑体"/>
          <w:sz w:val="21"/>
          <w:szCs w:val="21"/>
        </w:rPr>
      </w:pPr>
      <w:r>
        <w:rPr>
          <w:rFonts w:hint="eastAsia" w:ascii="宋体" w:hAnsi="宋体" w:eastAsia="宋体" w:cs="黑体"/>
          <w:sz w:val="21"/>
          <w:szCs w:val="21"/>
        </w:rPr>
        <w:t>4、物业管理区域内公共秩序和环境卫生的维护，包括公共场所、物业共用部位的清洁卫生、垃圾的收集、清运；中标人需自行落实各类垃圾临时堆放点。</w:t>
      </w:r>
    </w:p>
    <w:p>
      <w:pPr>
        <w:spacing w:line="400" w:lineRule="exact"/>
        <w:ind w:firstLine="420" w:firstLineChars="200"/>
        <w:outlineLvl w:val="1"/>
        <w:rPr>
          <w:rFonts w:ascii="宋体" w:hAnsi="宋体" w:eastAsia="宋体" w:cs="黑体"/>
          <w:sz w:val="21"/>
          <w:szCs w:val="21"/>
        </w:rPr>
      </w:pPr>
      <w:r>
        <w:rPr>
          <w:rFonts w:hint="eastAsia" w:ascii="宋体" w:hAnsi="宋体" w:eastAsia="宋体" w:cs="黑体"/>
          <w:sz w:val="21"/>
          <w:szCs w:val="21"/>
        </w:rPr>
        <w:t>5、物业管理区域内的绿化养护管理。</w:t>
      </w:r>
    </w:p>
    <w:p>
      <w:pPr>
        <w:spacing w:line="400" w:lineRule="exact"/>
        <w:ind w:firstLine="420" w:firstLineChars="200"/>
        <w:outlineLvl w:val="1"/>
        <w:rPr>
          <w:rFonts w:ascii="宋体" w:hAnsi="宋体" w:eastAsia="宋体" w:cs="黑体"/>
          <w:sz w:val="21"/>
          <w:szCs w:val="21"/>
        </w:rPr>
      </w:pPr>
      <w:r>
        <w:rPr>
          <w:rFonts w:hint="eastAsia" w:ascii="宋体" w:hAnsi="宋体" w:eastAsia="宋体" w:cs="黑体"/>
          <w:sz w:val="21"/>
          <w:szCs w:val="21"/>
        </w:rPr>
        <w:t>6、物业管理区域内车辆（机动车和非机动车）行驶、停放及场所秩序管理。</w:t>
      </w:r>
    </w:p>
    <w:p>
      <w:pPr>
        <w:spacing w:line="400" w:lineRule="exact"/>
        <w:ind w:firstLine="420" w:firstLineChars="200"/>
        <w:outlineLvl w:val="1"/>
        <w:rPr>
          <w:rFonts w:ascii="宋体" w:hAnsi="宋体" w:eastAsia="宋体" w:cs="黑体"/>
          <w:sz w:val="21"/>
          <w:szCs w:val="21"/>
        </w:rPr>
      </w:pPr>
      <w:r>
        <w:rPr>
          <w:rFonts w:hint="eastAsia" w:ascii="宋体" w:hAnsi="宋体" w:eastAsia="宋体" w:cs="黑体"/>
          <w:sz w:val="21"/>
          <w:szCs w:val="21"/>
        </w:rPr>
        <w:t>7、供水、供电、供气、电信等专业单位在物业管理区域内对相关管线、设施维修养护时，进行必要的协调和管理。</w:t>
      </w:r>
    </w:p>
    <w:p>
      <w:pPr>
        <w:spacing w:line="400" w:lineRule="exact"/>
        <w:ind w:firstLine="420" w:firstLineChars="200"/>
        <w:outlineLvl w:val="1"/>
        <w:rPr>
          <w:rFonts w:ascii="宋体" w:hAnsi="宋体" w:eastAsia="宋体" w:cs="黑体"/>
          <w:sz w:val="21"/>
          <w:szCs w:val="21"/>
        </w:rPr>
      </w:pPr>
      <w:r>
        <w:rPr>
          <w:rFonts w:hint="eastAsia" w:ascii="宋体" w:hAnsi="宋体" w:eastAsia="宋体" w:cs="黑体"/>
          <w:sz w:val="21"/>
          <w:szCs w:val="21"/>
        </w:rPr>
        <w:t>8、物业管理区域的安全治安保卫及日常巡查服务。</w:t>
      </w:r>
    </w:p>
    <w:p>
      <w:pPr>
        <w:spacing w:line="400" w:lineRule="exact"/>
        <w:ind w:firstLine="420" w:firstLineChars="200"/>
        <w:outlineLvl w:val="1"/>
        <w:rPr>
          <w:rFonts w:ascii="宋体" w:hAnsi="宋体" w:eastAsia="宋体" w:cs="黑体"/>
          <w:sz w:val="21"/>
          <w:szCs w:val="21"/>
        </w:rPr>
      </w:pPr>
      <w:r>
        <w:rPr>
          <w:rFonts w:hint="eastAsia" w:ascii="宋体" w:hAnsi="宋体" w:eastAsia="宋体" w:cs="黑体"/>
          <w:sz w:val="21"/>
          <w:szCs w:val="21"/>
        </w:rPr>
        <w:t>9、物业档案资料的保管及有关物业服务费用的账务管理。</w:t>
      </w:r>
    </w:p>
    <w:p>
      <w:pPr>
        <w:spacing w:line="400" w:lineRule="exact"/>
        <w:ind w:firstLine="420" w:firstLineChars="200"/>
        <w:outlineLvl w:val="1"/>
        <w:rPr>
          <w:rFonts w:ascii="宋体" w:hAnsi="宋体" w:eastAsia="宋体" w:cs="黑体"/>
          <w:sz w:val="21"/>
          <w:szCs w:val="21"/>
        </w:rPr>
      </w:pPr>
      <w:r>
        <w:rPr>
          <w:rFonts w:hint="eastAsia" w:ascii="宋体" w:hAnsi="宋体" w:eastAsia="宋体" w:cs="黑体"/>
          <w:sz w:val="21"/>
          <w:szCs w:val="21"/>
        </w:rPr>
        <w:t>10、物业管理区域内业主、使用人装饰装修物业的管理服务，将装饰装修物业的禁止行为和注意事项告知业主，做好装饰装修的管理，违法建筑的管控，严禁业主地面违建、破坏房屋承重墙、楼顶平台消防通道搭建违法建筑，保护业主的生命安全和房屋安全。</w:t>
      </w:r>
    </w:p>
    <w:p>
      <w:pPr>
        <w:spacing w:line="400" w:lineRule="exact"/>
        <w:ind w:firstLine="420" w:firstLineChars="200"/>
        <w:outlineLvl w:val="1"/>
        <w:rPr>
          <w:rFonts w:ascii="宋体" w:hAnsi="宋体" w:eastAsia="宋体" w:cs="黑体"/>
          <w:sz w:val="21"/>
          <w:szCs w:val="21"/>
        </w:rPr>
      </w:pPr>
      <w:r>
        <w:rPr>
          <w:rFonts w:hint="eastAsia" w:ascii="宋体" w:hAnsi="宋体" w:eastAsia="宋体" w:cs="黑体"/>
          <w:sz w:val="21"/>
          <w:szCs w:val="21"/>
        </w:rPr>
        <w:t>11、配合完成街道办、居委会布置的各项工作。</w:t>
      </w:r>
    </w:p>
    <w:p>
      <w:pPr>
        <w:spacing w:line="400" w:lineRule="exact"/>
        <w:ind w:firstLine="420" w:firstLineChars="200"/>
        <w:outlineLvl w:val="1"/>
        <w:rPr>
          <w:rFonts w:ascii="宋体" w:hAnsi="宋体" w:eastAsia="宋体" w:cs="黑体"/>
          <w:sz w:val="21"/>
          <w:szCs w:val="21"/>
        </w:rPr>
      </w:pPr>
      <w:r>
        <w:rPr>
          <w:rFonts w:hint="eastAsia" w:ascii="宋体" w:hAnsi="宋体" w:eastAsia="宋体" w:cs="黑体"/>
          <w:sz w:val="21"/>
          <w:szCs w:val="21"/>
        </w:rPr>
        <w:t>12、根据业主需要与约定，提供其他有偿服务等，并按约定向业主和物业使用人收取物业管理服务费、特约有偿服务费等。</w:t>
      </w:r>
    </w:p>
    <w:p>
      <w:pPr>
        <w:spacing w:line="400" w:lineRule="exact"/>
        <w:ind w:firstLine="420" w:firstLineChars="200"/>
        <w:outlineLvl w:val="1"/>
        <w:rPr>
          <w:rFonts w:ascii="宋体" w:hAnsi="宋体" w:eastAsia="宋体" w:cs="黑体"/>
          <w:sz w:val="21"/>
          <w:szCs w:val="21"/>
        </w:rPr>
      </w:pPr>
      <w:r>
        <w:rPr>
          <w:rFonts w:hint="eastAsia" w:ascii="宋体" w:hAnsi="宋体" w:eastAsia="宋体" w:cs="黑体"/>
          <w:sz w:val="21"/>
          <w:szCs w:val="21"/>
        </w:rPr>
        <w:t>13、其他工作要求：</w:t>
      </w:r>
    </w:p>
    <w:p>
      <w:pPr>
        <w:spacing w:line="400" w:lineRule="exact"/>
        <w:ind w:firstLine="420" w:firstLineChars="200"/>
        <w:outlineLvl w:val="1"/>
        <w:rPr>
          <w:rFonts w:ascii="宋体" w:hAnsi="宋体" w:eastAsia="宋体" w:cs="黑体"/>
          <w:sz w:val="21"/>
          <w:szCs w:val="21"/>
        </w:rPr>
      </w:pPr>
      <w:r>
        <w:rPr>
          <w:rFonts w:hint="eastAsia" w:ascii="宋体" w:hAnsi="宋体" w:eastAsia="宋体" w:cs="黑体"/>
          <w:sz w:val="21"/>
          <w:szCs w:val="21"/>
        </w:rPr>
        <w:t>（1）中标单位需按照</w:t>
      </w:r>
      <w:r>
        <w:rPr>
          <w:rFonts w:hint="eastAsia" w:ascii="宋体" w:hAnsi="宋体" w:eastAsia="宋体" w:cs="黑体"/>
          <w:sz w:val="21"/>
          <w:szCs w:val="21"/>
          <w:lang w:val="en-US" w:eastAsia="zh-CN"/>
        </w:rPr>
        <w:t>崇川</w:t>
      </w:r>
      <w:r>
        <w:rPr>
          <w:rFonts w:hint="eastAsia" w:ascii="宋体" w:hAnsi="宋体" w:eastAsia="宋体" w:cs="黑体"/>
          <w:sz w:val="21"/>
          <w:szCs w:val="21"/>
        </w:rPr>
        <w:t>区2021年3</w:t>
      </w:r>
      <w:r>
        <w:rPr>
          <w:rFonts w:hint="eastAsia" w:ascii="宋体" w:hAnsi="宋体" w:eastAsia="宋体" w:cs="黑体"/>
          <w:sz w:val="21"/>
          <w:szCs w:val="21"/>
          <w:lang w:val="en-US" w:eastAsia="zh-CN"/>
        </w:rPr>
        <w:t>3</w:t>
      </w:r>
      <w:r>
        <w:rPr>
          <w:rFonts w:hint="eastAsia" w:ascii="宋体" w:hAnsi="宋体" w:eastAsia="宋体" w:cs="黑体"/>
          <w:sz w:val="21"/>
          <w:szCs w:val="21"/>
        </w:rPr>
        <w:t>号文中对于安置房物业费补贴、收取及安置面积更新后的新标准执行，风险系数请投标前自行研判。</w:t>
      </w:r>
    </w:p>
    <w:p>
      <w:pPr>
        <w:spacing w:line="400" w:lineRule="exact"/>
        <w:ind w:firstLine="420" w:firstLineChars="200"/>
        <w:outlineLvl w:val="1"/>
        <w:rPr>
          <w:rFonts w:ascii="宋体" w:hAnsi="宋体" w:eastAsia="宋体" w:cs="黑体"/>
          <w:sz w:val="21"/>
          <w:szCs w:val="21"/>
        </w:rPr>
      </w:pPr>
      <w:r>
        <w:rPr>
          <w:rFonts w:hint="eastAsia" w:ascii="宋体" w:hAnsi="宋体" w:eastAsia="宋体" w:cs="黑体"/>
          <w:sz w:val="21"/>
          <w:szCs w:val="21"/>
        </w:rPr>
        <w:t>（</w:t>
      </w:r>
      <w:r>
        <w:rPr>
          <w:rFonts w:ascii="宋体" w:hAnsi="宋体" w:eastAsia="宋体" w:cs="黑体"/>
          <w:sz w:val="21"/>
          <w:szCs w:val="21"/>
        </w:rPr>
        <w:t>2</w:t>
      </w:r>
      <w:r>
        <w:rPr>
          <w:rFonts w:hint="eastAsia" w:ascii="宋体" w:hAnsi="宋体" w:eastAsia="宋体" w:cs="黑体"/>
          <w:sz w:val="21"/>
          <w:szCs w:val="21"/>
        </w:rPr>
        <w:t>）一年内中标单位中标后不得以管理、收费等难度为由退出或消极工作。出现此类情况街道将给予相应处罚，包括罚款、项目清退、报入黑名单等措施。</w:t>
      </w:r>
    </w:p>
    <w:p>
      <w:pPr>
        <w:spacing w:line="400" w:lineRule="exact"/>
        <w:ind w:firstLine="420" w:firstLineChars="200"/>
        <w:outlineLvl w:val="1"/>
        <w:rPr>
          <w:rFonts w:ascii="宋体" w:hAnsi="宋体" w:eastAsia="宋体" w:cs="黑体"/>
          <w:sz w:val="21"/>
          <w:szCs w:val="21"/>
        </w:rPr>
      </w:pPr>
      <w:r>
        <w:rPr>
          <w:rFonts w:hint="eastAsia" w:ascii="宋体" w:hAnsi="宋体" w:eastAsia="宋体" w:cs="黑体"/>
          <w:sz w:val="21"/>
          <w:szCs w:val="21"/>
        </w:rPr>
        <w:t>（</w:t>
      </w:r>
      <w:r>
        <w:rPr>
          <w:rFonts w:ascii="宋体" w:hAnsi="宋体" w:eastAsia="宋体" w:cs="黑体"/>
          <w:sz w:val="21"/>
          <w:szCs w:val="21"/>
        </w:rPr>
        <w:t>3</w:t>
      </w:r>
      <w:r>
        <w:rPr>
          <w:rFonts w:hint="eastAsia" w:ascii="宋体" w:hAnsi="宋体" w:eastAsia="宋体" w:cs="黑体"/>
          <w:sz w:val="21"/>
          <w:szCs w:val="21"/>
        </w:rPr>
        <w:t>）有长效管理及配合上级部门做好迎查的承诺。根据市、区、街道长效管理考核办法，结合本项目的特点，从物业管理的角度，制定行之有效的迎查方案，无条件配合社区及上级部门做好长效管理迎查工作。</w:t>
      </w:r>
    </w:p>
    <w:p>
      <w:pPr>
        <w:spacing w:line="400" w:lineRule="exact"/>
        <w:ind w:firstLine="422" w:firstLineChars="200"/>
        <w:outlineLvl w:val="1"/>
        <w:rPr>
          <w:rFonts w:ascii="宋体" w:hAnsi="宋体" w:eastAsia="宋体"/>
          <w:b/>
          <w:bCs/>
          <w:color w:val="FF0000"/>
          <w:sz w:val="21"/>
          <w:szCs w:val="21"/>
        </w:rPr>
      </w:pPr>
      <w:r>
        <w:rPr>
          <w:rFonts w:hint="eastAsia" w:ascii="宋体" w:hAnsi="宋体" w:eastAsia="宋体" w:cs="仿宋_GB2312"/>
          <w:b/>
          <w:bCs/>
          <w:sz w:val="21"/>
          <w:szCs w:val="21"/>
        </w:rPr>
        <w:t>六、管理服务应达到的各项指标：</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1</w:t>
      </w:r>
      <w:r>
        <w:rPr>
          <w:rFonts w:hint="eastAsia" w:ascii="宋体" w:hAnsi="宋体" w:eastAsia="宋体" w:cs="仿宋_GB2312"/>
          <w:sz w:val="21"/>
          <w:szCs w:val="21"/>
        </w:rPr>
        <w:t>、杜绝火灾责任事故，杜绝盗窍及刑事案件；</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2</w:t>
      </w:r>
      <w:r>
        <w:rPr>
          <w:rFonts w:hint="eastAsia" w:ascii="宋体" w:hAnsi="宋体" w:eastAsia="宋体" w:cs="仿宋_GB2312"/>
          <w:sz w:val="21"/>
          <w:szCs w:val="21"/>
        </w:rPr>
        <w:t>、环境卫生、清洁率达</w:t>
      </w:r>
      <w:r>
        <w:rPr>
          <w:rFonts w:hint="eastAsia" w:ascii="宋体" w:hAnsi="宋体" w:eastAsia="宋体"/>
          <w:sz w:val="21"/>
          <w:szCs w:val="21"/>
        </w:rPr>
        <w:t>99%</w:t>
      </w:r>
      <w:r>
        <w:rPr>
          <w:rFonts w:hint="eastAsia" w:ascii="宋体" w:hAnsi="宋体" w:eastAsia="宋体" w:cs="仿宋_GB2312"/>
          <w:sz w:val="21"/>
          <w:szCs w:val="21"/>
        </w:rPr>
        <w:t>；</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3</w:t>
      </w:r>
      <w:r>
        <w:rPr>
          <w:rFonts w:hint="eastAsia" w:ascii="宋体" w:hAnsi="宋体" w:eastAsia="宋体" w:cs="仿宋_GB2312"/>
          <w:sz w:val="21"/>
          <w:szCs w:val="21"/>
        </w:rPr>
        <w:t>、服务有效投诉少于１</w:t>
      </w:r>
      <w:r>
        <w:rPr>
          <w:rFonts w:hint="eastAsia" w:ascii="宋体" w:hAnsi="宋体" w:eastAsia="宋体"/>
          <w:sz w:val="21"/>
          <w:szCs w:val="21"/>
        </w:rPr>
        <w:t>%</w:t>
      </w:r>
      <w:r>
        <w:rPr>
          <w:rFonts w:hint="eastAsia" w:ascii="宋体" w:hAnsi="宋体" w:eastAsia="宋体" w:cs="仿宋_GB2312"/>
          <w:sz w:val="21"/>
          <w:szCs w:val="21"/>
        </w:rPr>
        <w:t>，处理率</w:t>
      </w:r>
      <w:r>
        <w:rPr>
          <w:rFonts w:hint="eastAsia" w:ascii="宋体" w:hAnsi="宋体" w:eastAsia="宋体"/>
          <w:sz w:val="21"/>
          <w:szCs w:val="21"/>
        </w:rPr>
        <w:t>100%</w:t>
      </w:r>
      <w:r>
        <w:rPr>
          <w:rFonts w:hint="eastAsia" w:ascii="宋体" w:hAnsi="宋体" w:eastAsia="宋体" w:cs="仿宋_GB2312"/>
          <w:sz w:val="21"/>
          <w:szCs w:val="21"/>
        </w:rPr>
        <w:t>；</w:t>
      </w:r>
    </w:p>
    <w:p>
      <w:pPr>
        <w:spacing w:line="400" w:lineRule="exact"/>
        <w:ind w:firstLine="420" w:firstLineChars="200"/>
        <w:outlineLvl w:val="1"/>
        <w:rPr>
          <w:rFonts w:ascii="宋体" w:hAnsi="宋体" w:eastAsia="宋体" w:cs="仿宋_GB2312"/>
          <w:sz w:val="21"/>
          <w:szCs w:val="21"/>
        </w:rPr>
      </w:pPr>
      <w:r>
        <w:rPr>
          <w:rFonts w:hint="eastAsia" w:ascii="宋体" w:hAnsi="宋体" w:eastAsia="宋体"/>
          <w:sz w:val="21"/>
          <w:szCs w:val="21"/>
        </w:rPr>
        <w:t>4</w:t>
      </w:r>
      <w:r>
        <w:rPr>
          <w:rFonts w:hint="eastAsia" w:ascii="宋体" w:hAnsi="宋体" w:eastAsia="宋体" w:cs="仿宋_GB2312"/>
          <w:sz w:val="21"/>
          <w:szCs w:val="21"/>
        </w:rPr>
        <w:t>、满意率</w:t>
      </w:r>
      <w:r>
        <w:rPr>
          <w:rFonts w:hint="eastAsia" w:ascii="宋体" w:hAnsi="宋体" w:eastAsia="宋体"/>
          <w:sz w:val="21"/>
          <w:szCs w:val="21"/>
        </w:rPr>
        <w:t>98%</w:t>
      </w:r>
      <w:r>
        <w:rPr>
          <w:rFonts w:hint="eastAsia" w:ascii="宋体" w:hAnsi="宋体" w:eastAsia="宋体" w:cs="仿宋_GB2312"/>
          <w:sz w:val="21"/>
          <w:szCs w:val="21"/>
        </w:rPr>
        <w:t>以上。</w:t>
      </w:r>
    </w:p>
    <w:p>
      <w:pPr>
        <w:spacing w:line="400" w:lineRule="exact"/>
        <w:ind w:firstLine="422" w:firstLineChars="200"/>
        <w:outlineLvl w:val="1"/>
        <w:rPr>
          <w:rFonts w:ascii="宋体" w:hAnsi="宋体" w:eastAsia="宋体" w:cs="仿宋_GB2312"/>
          <w:b/>
          <w:bCs/>
          <w:sz w:val="21"/>
          <w:szCs w:val="21"/>
        </w:rPr>
      </w:pPr>
      <w:r>
        <w:rPr>
          <w:rFonts w:hint="eastAsia" w:ascii="宋体" w:hAnsi="宋体" w:eastAsia="宋体" w:cs="仿宋_GB2312"/>
          <w:b/>
          <w:bCs/>
          <w:sz w:val="21"/>
          <w:szCs w:val="21"/>
        </w:rPr>
        <w:t>七、付款方式：</w:t>
      </w:r>
    </w:p>
    <w:p>
      <w:pPr>
        <w:spacing w:line="400" w:lineRule="exact"/>
        <w:ind w:firstLine="420" w:firstLineChars="200"/>
        <w:outlineLvl w:val="1"/>
        <w:rPr>
          <w:rFonts w:ascii="宋体" w:hAnsi="宋体" w:eastAsia="宋体" w:cs="仿宋_GB2312"/>
          <w:bCs/>
          <w:sz w:val="21"/>
          <w:szCs w:val="21"/>
        </w:rPr>
      </w:pPr>
      <w:r>
        <w:rPr>
          <w:rFonts w:hint="eastAsia" w:ascii="宋体" w:hAnsi="宋体" w:eastAsia="宋体" w:cs="仿宋_GB2312"/>
          <w:bCs/>
          <w:sz w:val="21"/>
          <w:szCs w:val="21"/>
        </w:rPr>
        <w:t>1、前两年由中中标人向业主收取，两年后安置房补贴面积部分按区</w:t>
      </w:r>
      <w:r>
        <w:rPr>
          <w:rFonts w:hint="eastAsia" w:ascii="宋体" w:hAnsi="宋体" w:eastAsia="宋体" w:cs="仿宋_GB2312"/>
          <w:bCs/>
          <w:sz w:val="21"/>
          <w:szCs w:val="21"/>
          <w:lang w:val="en-US" w:eastAsia="zh-CN"/>
        </w:rPr>
        <w:t>财政</w:t>
      </w:r>
      <w:r>
        <w:rPr>
          <w:rFonts w:hint="eastAsia" w:ascii="宋体" w:hAnsi="宋体" w:eastAsia="宋体" w:cs="仿宋_GB2312"/>
          <w:bCs/>
          <w:sz w:val="21"/>
          <w:szCs w:val="21"/>
        </w:rPr>
        <w:t>补贴拨付进度支付。</w:t>
      </w:r>
    </w:p>
    <w:p>
      <w:pPr>
        <w:spacing w:line="400" w:lineRule="exact"/>
        <w:ind w:firstLine="420" w:firstLineChars="200"/>
        <w:outlineLvl w:val="1"/>
        <w:rPr>
          <w:rFonts w:ascii="宋体" w:hAnsi="宋体" w:eastAsia="宋体" w:cs="仿宋_GB2312"/>
          <w:bCs/>
          <w:sz w:val="21"/>
          <w:szCs w:val="21"/>
        </w:rPr>
      </w:pPr>
      <w:r>
        <w:rPr>
          <w:rFonts w:hint="eastAsia" w:ascii="宋体" w:hAnsi="宋体" w:eastAsia="宋体" w:cs="仿宋_GB2312"/>
          <w:bCs/>
          <w:sz w:val="21"/>
          <w:szCs w:val="21"/>
        </w:rPr>
        <w:t>2、最终以双方签订的政府采购合同内确定的付款结算条款为准。</w:t>
      </w:r>
    </w:p>
    <w:p>
      <w:pPr>
        <w:spacing w:line="400" w:lineRule="exact"/>
        <w:ind w:firstLine="422" w:firstLineChars="200"/>
        <w:outlineLvl w:val="1"/>
        <w:rPr>
          <w:rFonts w:ascii="宋体" w:hAnsi="宋体" w:eastAsia="宋体"/>
          <w:b/>
          <w:bCs/>
          <w:sz w:val="21"/>
          <w:szCs w:val="21"/>
        </w:rPr>
      </w:pPr>
      <w:r>
        <w:rPr>
          <w:rFonts w:hint="eastAsia" w:ascii="宋体" w:hAnsi="宋体" w:eastAsia="宋体" w:cs="仿宋_GB2312"/>
          <w:b/>
          <w:bCs/>
          <w:sz w:val="21"/>
          <w:szCs w:val="21"/>
        </w:rPr>
        <w:t>八、其他要求：</w:t>
      </w:r>
    </w:p>
    <w:p>
      <w:pPr>
        <w:spacing w:line="400" w:lineRule="exact"/>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1</w:t>
      </w:r>
      <w:r>
        <w:rPr>
          <w:rFonts w:hint="eastAsia" w:ascii="宋体" w:hAnsi="宋体" w:eastAsia="宋体" w:cs="仿宋_GB2312"/>
          <w:color w:val="000000"/>
          <w:sz w:val="21"/>
          <w:szCs w:val="21"/>
        </w:rPr>
        <w:t>、</w:t>
      </w:r>
      <w:r>
        <w:rPr>
          <w:rFonts w:hint="eastAsia" w:ascii="宋体" w:hAnsi="宋体" w:eastAsia="宋体" w:cs="黑体"/>
          <w:color w:val="000000"/>
          <w:sz w:val="21"/>
          <w:szCs w:val="21"/>
        </w:rPr>
        <w:t>本项目投标时，投标人应先行确定本项目派驻现场的专职项目经理</w:t>
      </w:r>
      <w:r>
        <w:rPr>
          <w:rFonts w:hint="eastAsia" w:ascii="宋体" w:hAnsi="宋体" w:eastAsia="宋体" w:cs="仿宋_GB2312"/>
          <w:color w:val="000000"/>
          <w:sz w:val="21"/>
          <w:szCs w:val="21"/>
        </w:rPr>
        <w:t>；</w:t>
      </w:r>
    </w:p>
    <w:p>
      <w:pPr>
        <w:spacing w:line="400" w:lineRule="exact"/>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2</w:t>
      </w:r>
      <w:r>
        <w:rPr>
          <w:rFonts w:hint="eastAsia" w:ascii="宋体" w:hAnsi="宋体" w:eastAsia="宋体" w:cs="仿宋_GB2312"/>
          <w:color w:val="000000"/>
          <w:sz w:val="21"/>
          <w:szCs w:val="21"/>
        </w:rPr>
        <w:t>、本项目须投标人自行对项目现场和周围环境进行仔细认真查勘，在随后的招标活动中，对现场资料和数据所作出的推论、解释和结论及由此造成的后果由投标人负责。</w:t>
      </w:r>
    </w:p>
    <w:p>
      <w:pPr>
        <w:spacing w:line="400" w:lineRule="exact"/>
        <w:ind w:firstLine="422" w:firstLineChars="200"/>
        <w:outlineLvl w:val="1"/>
        <w:rPr>
          <w:rFonts w:ascii="宋体" w:hAnsi="宋体" w:eastAsia="宋体" w:cs="仿宋_GB2312"/>
          <w:b/>
          <w:color w:val="000000"/>
          <w:sz w:val="21"/>
          <w:szCs w:val="21"/>
        </w:rPr>
      </w:pPr>
      <w:r>
        <w:rPr>
          <w:rFonts w:hint="eastAsia" w:ascii="宋体" w:hAnsi="宋体" w:eastAsia="宋体" w:cs="仿宋_GB2312"/>
          <w:b/>
          <w:color w:val="000000"/>
          <w:sz w:val="21"/>
          <w:szCs w:val="21"/>
        </w:rPr>
        <w:t>九、有下列情况之一的，采购人有权提前解除合同：</w:t>
      </w:r>
    </w:p>
    <w:p>
      <w:pPr>
        <w:spacing w:line="400" w:lineRule="exact"/>
        <w:ind w:firstLine="420" w:firstLineChars="200"/>
        <w:jc w:val="left"/>
        <w:rPr>
          <w:rFonts w:ascii="宋体" w:hAnsi="宋体" w:eastAsia="宋体" w:cs="黑体"/>
          <w:color w:val="000000"/>
          <w:sz w:val="21"/>
          <w:szCs w:val="21"/>
        </w:rPr>
      </w:pPr>
      <w:r>
        <w:rPr>
          <w:rFonts w:hint="eastAsia" w:ascii="宋体" w:hAnsi="宋体" w:eastAsia="宋体" w:cs="黑体"/>
          <w:color w:val="000000"/>
          <w:sz w:val="21"/>
          <w:szCs w:val="21"/>
        </w:rPr>
        <w:t>1、因管理、服务不到位，有效投诉较多且处理不力的；</w:t>
      </w:r>
    </w:p>
    <w:p>
      <w:pPr>
        <w:spacing w:line="400" w:lineRule="exact"/>
        <w:ind w:firstLine="420" w:firstLineChars="200"/>
        <w:jc w:val="left"/>
        <w:rPr>
          <w:rFonts w:ascii="宋体" w:hAnsi="宋体" w:eastAsia="宋体" w:cs="黑体"/>
          <w:color w:val="000000"/>
          <w:sz w:val="21"/>
          <w:szCs w:val="21"/>
        </w:rPr>
      </w:pPr>
      <w:r>
        <w:rPr>
          <w:rFonts w:hint="eastAsia" w:ascii="宋体" w:hAnsi="宋体" w:eastAsia="宋体" w:cs="黑体"/>
          <w:color w:val="000000"/>
          <w:sz w:val="21"/>
          <w:szCs w:val="21"/>
        </w:rPr>
        <w:t>2、因物业管理原因发生业主多次集体上访事件的；</w:t>
      </w:r>
    </w:p>
    <w:p>
      <w:pPr>
        <w:spacing w:line="400" w:lineRule="exact"/>
        <w:ind w:firstLine="420" w:firstLineChars="200"/>
        <w:jc w:val="left"/>
        <w:rPr>
          <w:rFonts w:ascii="宋体" w:hAnsi="宋体" w:eastAsia="宋体" w:cs="黑体"/>
          <w:color w:val="000000"/>
          <w:sz w:val="21"/>
          <w:szCs w:val="21"/>
        </w:rPr>
      </w:pPr>
      <w:r>
        <w:rPr>
          <w:rFonts w:hint="eastAsia" w:ascii="宋体" w:hAnsi="宋体" w:eastAsia="宋体" w:cs="黑体"/>
          <w:color w:val="000000"/>
          <w:sz w:val="21"/>
          <w:szCs w:val="21"/>
        </w:rPr>
        <w:t>3、发生重大盗窃、重大火灾、重大人为安全事故的；</w:t>
      </w:r>
    </w:p>
    <w:p>
      <w:pPr>
        <w:spacing w:line="400" w:lineRule="exact"/>
        <w:ind w:firstLine="420" w:firstLineChars="200"/>
        <w:jc w:val="left"/>
        <w:rPr>
          <w:rFonts w:ascii="宋体" w:hAnsi="宋体" w:eastAsia="宋体" w:cs="黑体"/>
          <w:color w:val="000000"/>
          <w:sz w:val="21"/>
          <w:szCs w:val="21"/>
        </w:rPr>
      </w:pPr>
      <w:r>
        <w:rPr>
          <w:rFonts w:hint="eastAsia" w:ascii="宋体" w:hAnsi="宋体" w:eastAsia="宋体" w:cs="黑体"/>
          <w:color w:val="000000"/>
          <w:sz w:val="21"/>
          <w:szCs w:val="21"/>
        </w:rPr>
        <w:t>4、被主流媒体曝光造成较大社会影响，经查实负有管理责任的；</w:t>
      </w:r>
    </w:p>
    <w:p>
      <w:pPr>
        <w:spacing w:line="400" w:lineRule="exact"/>
        <w:ind w:firstLine="420" w:firstLineChars="200"/>
        <w:jc w:val="left"/>
        <w:rPr>
          <w:rFonts w:ascii="宋体" w:hAnsi="宋体" w:eastAsia="宋体" w:cs="黑体"/>
          <w:color w:val="000000"/>
          <w:sz w:val="21"/>
          <w:szCs w:val="21"/>
        </w:rPr>
      </w:pPr>
      <w:r>
        <w:rPr>
          <w:rFonts w:hint="eastAsia" w:ascii="宋体" w:hAnsi="宋体" w:eastAsia="宋体" w:cs="黑体"/>
          <w:color w:val="000000"/>
          <w:sz w:val="21"/>
          <w:szCs w:val="21"/>
        </w:rPr>
        <w:t>5、在区工作检查中被二次以上通报批评或当年度考核累计3个月低于70分；</w:t>
      </w:r>
    </w:p>
    <w:p>
      <w:pPr>
        <w:spacing w:line="400" w:lineRule="exact"/>
        <w:ind w:firstLine="420" w:firstLineChars="200"/>
        <w:jc w:val="left"/>
        <w:rPr>
          <w:rFonts w:ascii="宋体" w:hAnsi="宋体" w:eastAsia="宋体" w:cs="黑体"/>
          <w:color w:val="000000"/>
          <w:sz w:val="21"/>
          <w:szCs w:val="21"/>
        </w:rPr>
      </w:pPr>
      <w:r>
        <w:rPr>
          <w:rFonts w:hint="eastAsia" w:ascii="宋体" w:hAnsi="宋体" w:eastAsia="宋体" w:cs="黑体"/>
          <w:color w:val="000000"/>
          <w:sz w:val="21"/>
          <w:szCs w:val="21"/>
        </w:rPr>
        <w:t>6、其它有影响社会稳定重大行为的。</w:t>
      </w:r>
    </w:p>
    <w:p>
      <w:pPr>
        <w:spacing w:line="360" w:lineRule="exact"/>
        <w:ind w:firstLine="480" w:firstLineChars="200"/>
        <w:jc w:val="left"/>
        <w:rPr>
          <w:rFonts w:ascii="宋体" w:hAnsi="宋体" w:eastAsia="宋体" w:cs="黑体"/>
          <w:color w:val="000000"/>
          <w:sz w:val="24"/>
          <w:szCs w:val="24"/>
        </w:rPr>
      </w:pPr>
    </w:p>
    <w:bookmarkEnd w:id="24"/>
    <w:p>
      <w:pPr>
        <w:snapToGrid w:val="0"/>
        <w:spacing w:line="440" w:lineRule="exact"/>
        <w:jc w:val="center"/>
        <w:rPr>
          <w:rFonts w:ascii="宋体" w:hAnsi="宋体" w:eastAsia="宋体"/>
          <w:b/>
          <w:bCs/>
          <w:color w:val="000000"/>
          <w:sz w:val="21"/>
          <w:szCs w:val="21"/>
        </w:rPr>
      </w:pPr>
      <w:bookmarkStart w:id="25" w:name="_Toc13543213"/>
      <w:r>
        <w:rPr>
          <w:rFonts w:hint="eastAsia" w:ascii="宋体" w:hAnsi="宋体" w:eastAsia="宋体"/>
          <w:b/>
          <w:w w:val="80"/>
          <w:sz w:val="32"/>
          <w:szCs w:val="32"/>
        </w:rPr>
        <w:t>第四章</w:t>
      </w:r>
      <w:bookmarkStart w:id="26" w:name="_Toc182848996"/>
      <w:r>
        <w:rPr>
          <w:rFonts w:hint="eastAsia" w:ascii="宋体" w:hAnsi="宋体" w:eastAsia="宋体"/>
          <w:b/>
          <w:w w:val="80"/>
          <w:sz w:val="32"/>
          <w:szCs w:val="32"/>
        </w:rPr>
        <w:t xml:space="preserve">  评审方法和程序</w:t>
      </w:r>
    </w:p>
    <w:p>
      <w:pPr>
        <w:snapToGrid w:val="0"/>
        <w:spacing w:line="480" w:lineRule="exact"/>
        <w:ind w:firstLine="422" w:firstLineChars="200"/>
        <w:outlineLvl w:val="1"/>
        <w:rPr>
          <w:rFonts w:ascii="宋体" w:eastAsia="宋体"/>
          <w:b/>
          <w:bCs/>
          <w:sz w:val="21"/>
          <w:szCs w:val="21"/>
        </w:rPr>
      </w:pPr>
      <w:r>
        <w:rPr>
          <w:rFonts w:hint="eastAsia" w:ascii="宋体" w:hAnsi="宋体" w:eastAsia="宋体" w:cs="宋体"/>
          <w:b/>
          <w:bCs/>
          <w:sz w:val="21"/>
          <w:szCs w:val="21"/>
        </w:rPr>
        <w:t>一、代理机构组织磋商</w:t>
      </w:r>
    </w:p>
    <w:p>
      <w:pPr>
        <w:snapToGrid w:val="0"/>
        <w:spacing w:line="480" w:lineRule="exact"/>
        <w:ind w:firstLine="420" w:firstLineChars="20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、本次竞争性磋商依据相关法规成立竞争性磋商小组。竞争性磋商小组由采购人代表和评审专家共计3人及以上单数组成，其中评审专家人数不得少于竞争性磋商小组成员总数的2/3。</w:t>
      </w:r>
      <w:r>
        <w:rPr>
          <w:rFonts w:hint="eastAsia" w:ascii="宋体" w:hAnsi="宋体" w:eastAsia="宋体" w:cs="宋体"/>
          <w:b/>
          <w:bCs/>
          <w:sz w:val="21"/>
          <w:szCs w:val="21"/>
        </w:rPr>
        <w:t>本项目竞争性磋商小组由采购单位代表和评审专家共3人组成，其中评审专家2人，采购人代表1人。</w:t>
      </w:r>
    </w:p>
    <w:p>
      <w:pPr>
        <w:snapToGrid w:val="0"/>
        <w:spacing w:line="480" w:lineRule="exact"/>
        <w:ind w:firstLine="420" w:firstLineChars="200"/>
        <w:rPr>
          <w:rFonts w:ascii="宋体" w:eastAsia="宋体"/>
          <w:sz w:val="21"/>
          <w:szCs w:val="21"/>
        </w:rPr>
      </w:pPr>
      <w:r>
        <w:rPr>
          <w:rFonts w:ascii="宋体" w:hAnsi="宋体" w:eastAsia="宋体" w:cs="宋体"/>
          <w:sz w:val="21"/>
          <w:szCs w:val="21"/>
        </w:rPr>
        <w:t>2</w:t>
      </w:r>
      <w:r>
        <w:rPr>
          <w:rFonts w:hint="eastAsia" w:ascii="宋体" w:hAnsi="宋体" w:eastAsia="宋体" w:cs="宋体"/>
          <w:sz w:val="21"/>
          <w:szCs w:val="21"/>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480" w:lineRule="exact"/>
        <w:ind w:firstLine="420" w:firstLineChars="200"/>
        <w:rPr>
          <w:rFonts w:ascii="宋体" w:eastAsia="宋体"/>
          <w:sz w:val="21"/>
          <w:szCs w:val="21"/>
        </w:rPr>
      </w:pPr>
      <w:r>
        <w:rPr>
          <w:rFonts w:ascii="宋体" w:hAnsi="宋体" w:eastAsia="宋体" w:cs="宋体"/>
          <w:sz w:val="21"/>
          <w:szCs w:val="21"/>
        </w:rPr>
        <w:t>3</w:t>
      </w:r>
      <w:r>
        <w:rPr>
          <w:rFonts w:hint="eastAsia" w:ascii="宋体" w:hAnsi="宋体" w:eastAsia="宋体" w:cs="宋体"/>
          <w:sz w:val="21"/>
          <w:szCs w:val="21"/>
        </w:rPr>
        <w:t>、磋商小组的职责：</w:t>
      </w:r>
    </w:p>
    <w:p>
      <w:pPr>
        <w:snapToGrid w:val="0"/>
        <w:spacing w:line="480" w:lineRule="exact"/>
        <w:ind w:firstLine="420" w:firstLineChars="200"/>
        <w:rPr>
          <w:rFonts w:ascii="宋体" w:eastAsia="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）磋商小组成员应当按照客观、公正、审慎的原则，根据磋商文件规定的评审程序、评审方法和评审标准进行独立评审。</w:t>
      </w:r>
    </w:p>
    <w:p>
      <w:pPr>
        <w:snapToGrid w:val="0"/>
        <w:spacing w:line="480" w:lineRule="exact"/>
        <w:ind w:firstLine="420" w:firstLineChars="200"/>
        <w:rPr>
          <w:rFonts w:ascii="宋体" w:eastAsia="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）磋商小组成员应当遵守评审工作纪律，不得泄露评审情况和评审中获悉的商业秘密，对个人的评审意见承担法律责任。</w:t>
      </w:r>
    </w:p>
    <w:p>
      <w:pPr>
        <w:snapToGrid w:val="0"/>
        <w:spacing w:line="480" w:lineRule="exact"/>
        <w:ind w:firstLine="420" w:firstLineChars="200"/>
        <w:rPr>
          <w:rFonts w:ascii="宋体" w:eastAsia="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）磋商小组成员在评审过程中发现供应商有行贿、提供虚假材料或者串通等违法行为的，应当及时向财政部门报告</w:t>
      </w:r>
      <w:r>
        <w:rPr>
          <w:rFonts w:ascii="宋体" w:eastAsia="宋体" w:cs="宋体"/>
          <w:sz w:val="21"/>
          <w:szCs w:val="21"/>
        </w:rPr>
        <w:t>,</w:t>
      </w:r>
      <w:r>
        <w:rPr>
          <w:rFonts w:hint="eastAsia" w:ascii="宋体" w:hAnsi="宋体" w:eastAsia="宋体" w:cs="宋体"/>
          <w:sz w:val="21"/>
          <w:szCs w:val="21"/>
        </w:rPr>
        <w:t>并建议将其列入政府采购黑名单。</w:t>
      </w:r>
    </w:p>
    <w:p>
      <w:pPr>
        <w:snapToGrid w:val="0"/>
        <w:spacing w:line="480" w:lineRule="exact"/>
        <w:ind w:firstLine="420" w:firstLineChars="200"/>
        <w:rPr>
          <w:rFonts w:ascii="宋体" w:eastAsia="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）磋商小组成员在评审过程中受到非法干涉的，应当及时向财政、监察等部门举报。</w:t>
      </w:r>
    </w:p>
    <w:p>
      <w:pPr>
        <w:snapToGrid w:val="0"/>
        <w:spacing w:line="480" w:lineRule="exact"/>
        <w:ind w:firstLine="420" w:firstLineChars="200"/>
        <w:rPr>
          <w:rFonts w:ascii="宋体" w:eastAsia="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）答复供应商提出的质疑及财政部门的投诉处理和监督检查工作。</w:t>
      </w:r>
    </w:p>
    <w:p>
      <w:pPr>
        <w:snapToGrid w:val="0"/>
        <w:spacing w:line="480" w:lineRule="exact"/>
        <w:ind w:firstLine="420" w:firstLineChars="200"/>
        <w:rPr>
          <w:rFonts w:ascii="宋体" w:eastAsia="宋体"/>
          <w:sz w:val="21"/>
          <w:szCs w:val="21"/>
        </w:rPr>
      </w:pPr>
      <w:r>
        <w:rPr>
          <w:rFonts w:ascii="宋体" w:hAnsi="宋体" w:eastAsia="宋体" w:cs="宋体"/>
          <w:sz w:val="21"/>
          <w:szCs w:val="21"/>
        </w:rPr>
        <w:t>4</w:t>
      </w:r>
      <w:r>
        <w:rPr>
          <w:rFonts w:hint="eastAsia" w:ascii="宋体" w:hAnsi="宋体" w:eastAsia="宋体" w:cs="宋体"/>
          <w:sz w:val="21"/>
          <w:szCs w:val="21"/>
        </w:rPr>
        <w:t>、评审有关记录由磋商小组成员签名，存档备查。</w:t>
      </w:r>
    </w:p>
    <w:p>
      <w:pPr>
        <w:snapToGrid w:val="0"/>
        <w:spacing w:line="480" w:lineRule="exact"/>
        <w:ind w:firstLine="420" w:firstLineChars="200"/>
        <w:rPr>
          <w:rFonts w:ascii="宋体" w:eastAsia="宋体"/>
          <w:sz w:val="21"/>
          <w:szCs w:val="21"/>
        </w:rPr>
      </w:pPr>
      <w:r>
        <w:rPr>
          <w:rFonts w:ascii="宋体" w:hAnsi="宋体" w:eastAsia="宋体" w:cs="宋体"/>
          <w:sz w:val="21"/>
          <w:szCs w:val="21"/>
        </w:rPr>
        <w:t>5</w:t>
      </w:r>
      <w:r>
        <w:rPr>
          <w:rFonts w:hint="eastAsia" w:ascii="宋体" w:hAnsi="宋体" w:eastAsia="宋体" w:cs="宋体"/>
          <w:sz w:val="21"/>
          <w:szCs w:val="21"/>
        </w:rPr>
        <w:t>、供应商的法定代表人或被授权人须持身份证准时参加磋商开标会。</w:t>
      </w:r>
    </w:p>
    <w:p>
      <w:pPr>
        <w:adjustRightInd w:val="0"/>
        <w:snapToGrid w:val="0"/>
        <w:spacing w:line="440" w:lineRule="exact"/>
        <w:ind w:firstLine="426" w:firstLineChars="202"/>
        <w:outlineLvl w:val="1"/>
        <w:rPr>
          <w:rFonts w:ascii="宋体" w:hAnsi="宋体" w:eastAsia="宋体"/>
          <w:b/>
          <w:sz w:val="21"/>
          <w:szCs w:val="21"/>
        </w:rPr>
      </w:pPr>
      <w:r>
        <w:rPr>
          <w:rFonts w:hint="eastAsia" w:ascii="宋体" w:hAnsi="宋体" w:eastAsia="宋体"/>
          <w:b/>
          <w:sz w:val="21"/>
          <w:szCs w:val="21"/>
        </w:rPr>
        <w:t>三、磋商原则及方法</w:t>
      </w:r>
    </w:p>
    <w:p>
      <w:pPr>
        <w:snapToGrid w:val="0"/>
        <w:spacing w:line="440" w:lineRule="exact"/>
        <w:ind w:firstLine="424" w:firstLineChars="202"/>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、磋商小组依据有关政府采购的相关法规，遵循“公开、公平、公正、择优、信用”的原则进行磋商评审。</w:t>
      </w:r>
    </w:p>
    <w:p>
      <w:pPr>
        <w:snapToGrid w:val="0"/>
        <w:spacing w:line="440" w:lineRule="exact"/>
        <w:ind w:firstLine="424" w:firstLineChars="202"/>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、磋商小组将按照竞争性磋商文件的规定，只对资格审查合格的供应商的磋商响应文件进行评审和比较。</w:t>
      </w:r>
    </w:p>
    <w:p>
      <w:pPr>
        <w:snapToGrid w:val="0"/>
        <w:spacing w:line="440" w:lineRule="exact"/>
        <w:ind w:firstLine="424" w:firstLineChars="202"/>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、磋商小组根据磋商文件规定的程序、评定成交的标准等事项与实质性响应磋商文件要求的供应商进行磋商。未实质性响应磋商文件要求的磋商响应文件按无效处理，磋商小组应当告知提交响应文件的供应商。</w:t>
      </w:r>
    </w:p>
    <w:p>
      <w:pPr>
        <w:snapToGrid w:val="0"/>
        <w:spacing w:line="440" w:lineRule="exact"/>
        <w:ind w:firstLine="424" w:firstLineChars="202"/>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、磋商小组所有成员应当集中与单一供应商分别进行磋商，并给予所有参加磋商的供应商平等的磋商机会。</w:t>
      </w:r>
    </w:p>
    <w:p>
      <w:pPr>
        <w:snapToGrid w:val="0"/>
        <w:spacing w:line="440" w:lineRule="exact"/>
        <w:ind w:firstLine="424" w:firstLineChars="202"/>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440" w:lineRule="exact"/>
        <w:ind w:firstLine="424" w:firstLineChars="202"/>
        <w:rPr>
          <w:rFonts w:ascii="宋体" w:hAnsi="宋体" w:eastAsia="宋体"/>
          <w:sz w:val="21"/>
          <w:szCs w:val="21"/>
        </w:rPr>
      </w:pPr>
      <w:r>
        <w:rPr>
          <w:rFonts w:ascii="宋体" w:hAnsi="宋体" w:eastAsia="宋体"/>
          <w:sz w:val="21"/>
          <w:szCs w:val="21"/>
        </w:rPr>
        <w:t>6</w:t>
      </w:r>
      <w:r>
        <w:rPr>
          <w:rFonts w:hint="eastAsia" w:ascii="宋体" w:hAnsi="宋体" w:eastAsia="宋体"/>
          <w:sz w:val="21"/>
          <w:szCs w:val="21"/>
        </w:rPr>
        <w:t>、对磋商文件作出的实质性变动是磋商文件的有效组成部分，磋商小组应当及时以书面形式同时通知所有参加磋商的供应商。</w:t>
      </w:r>
    </w:p>
    <w:p>
      <w:pPr>
        <w:snapToGrid w:val="0"/>
        <w:spacing w:line="440" w:lineRule="exact"/>
        <w:ind w:firstLine="424" w:firstLineChars="202"/>
        <w:rPr>
          <w:rFonts w:ascii="宋体" w:hAnsi="宋体" w:eastAsia="宋体"/>
          <w:sz w:val="21"/>
          <w:szCs w:val="21"/>
        </w:rPr>
      </w:pPr>
      <w:r>
        <w:rPr>
          <w:rFonts w:ascii="宋体" w:hAnsi="宋体" w:eastAsia="宋体"/>
          <w:sz w:val="21"/>
          <w:szCs w:val="21"/>
        </w:rPr>
        <w:t>7</w:t>
      </w:r>
      <w:r>
        <w:rPr>
          <w:rFonts w:hint="eastAsia" w:ascii="宋体" w:hAnsi="宋体" w:eastAsia="宋体"/>
          <w:sz w:val="21"/>
          <w:szCs w:val="21"/>
        </w:rPr>
        <w:t>、供应商应当按照磋商文件的变动情况和磋商小组的要求重新提交响应文件，并由其法定代表人或委托代理人签字或者加盖公章。由委托代理人签字的，应当附法定代表人授权书。供应商为自然人的，应当由本人签字并附身份证明。</w:t>
      </w:r>
    </w:p>
    <w:p>
      <w:pPr>
        <w:snapToGrid w:val="0"/>
        <w:spacing w:line="440" w:lineRule="exact"/>
        <w:ind w:firstLine="424" w:firstLineChars="202"/>
        <w:rPr>
          <w:rFonts w:ascii="宋体" w:hAnsi="宋体" w:eastAsia="宋体"/>
          <w:sz w:val="21"/>
          <w:szCs w:val="21"/>
          <w:u w:val="single" w:color="auto"/>
        </w:rPr>
      </w:pPr>
      <w:r>
        <w:rPr>
          <w:rFonts w:ascii="宋体" w:hAnsi="宋体" w:eastAsia="宋体"/>
          <w:sz w:val="21"/>
          <w:szCs w:val="21"/>
        </w:rPr>
        <w:t>8</w:t>
      </w:r>
      <w:r>
        <w:rPr>
          <w:rFonts w:hint="eastAsia" w:ascii="宋体" w:hAnsi="宋体" w:eastAsia="宋体"/>
          <w:sz w:val="21"/>
          <w:szCs w:val="21"/>
          <w:u w:val="single" w:color="auto"/>
        </w:rPr>
        <w:t>、经磋商确定最终采购需求的供应商：</w:t>
      </w:r>
    </w:p>
    <w:tbl>
      <w:tblPr>
        <w:tblStyle w:val="4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spacing w:line="440" w:lineRule="exact"/>
              <w:jc w:val="center"/>
              <w:rPr>
                <w:rFonts w:ascii="宋体" w:hAnsi="宋体" w:eastAsia="宋体"/>
                <w:kern w:val="0"/>
                <w:sz w:val="21"/>
                <w:szCs w:val="21"/>
              </w:rPr>
            </w:pPr>
            <w:r>
              <w:rPr>
                <w:rFonts w:hint="eastAsia" w:ascii="宋体" w:hAnsi="宋体" w:eastAsia="宋体" w:cs="宋体"/>
                <w:kern w:val="0"/>
                <w:sz w:val="21"/>
                <w:szCs w:val="21"/>
              </w:rPr>
              <w:t>序号</w:t>
            </w:r>
          </w:p>
        </w:tc>
        <w:tc>
          <w:tcPr>
            <w:tcW w:w="8930" w:type="dxa"/>
            <w:vAlign w:val="center"/>
          </w:tcPr>
          <w:p>
            <w:pPr>
              <w:spacing w:line="440" w:lineRule="exact"/>
              <w:jc w:val="center"/>
              <w:rPr>
                <w:rFonts w:ascii="宋体" w:hAnsi="宋体" w:eastAsia="宋体"/>
                <w:kern w:val="0"/>
                <w:sz w:val="21"/>
                <w:szCs w:val="21"/>
              </w:rPr>
            </w:pPr>
            <w:r>
              <w:rPr>
                <w:rFonts w:hint="eastAsia" w:ascii="宋体" w:hAnsi="宋体" w:eastAsia="宋体" w:cs="宋体"/>
                <w:kern w:val="0"/>
                <w:sz w:val="21"/>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tabs>
                <w:tab w:val="left" w:pos="0"/>
              </w:tabs>
              <w:spacing w:line="440" w:lineRule="exact"/>
              <w:jc w:val="center"/>
              <w:rPr>
                <w:rFonts w:ascii="宋体" w:hAnsi="宋体" w:eastAsia="宋体"/>
                <w:kern w:val="0"/>
                <w:sz w:val="21"/>
                <w:szCs w:val="21"/>
              </w:rPr>
            </w:pPr>
            <w:r>
              <w:rPr>
                <w:rFonts w:ascii="宋体" w:hAnsi="宋体" w:eastAsia="宋体" w:cs="宋体"/>
                <w:kern w:val="0"/>
                <w:sz w:val="21"/>
                <w:szCs w:val="21"/>
              </w:rPr>
              <w:t>1</w:t>
            </w:r>
          </w:p>
        </w:tc>
        <w:tc>
          <w:tcPr>
            <w:tcW w:w="8930" w:type="dxa"/>
            <w:vAlign w:val="center"/>
          </w:tcPr>
          <w:p>
            <w:pPr>
              <w:tabs>
                <w:tab w:val="left" w:pos="0"/>
              </w:tabs>
              <w:spacing w:line="440" w:lineRule="exact"/>
              <w:rPr>
                <w:rFonts w:ascii="宋体" w:hAnsi="宋体" w:eastAsia="宋体"/>
                <w:kern w:val="0"/>
                <w:sz w:val="21"/>
                <w:szCs w:val="21"/>
              </w:rPr>
            </w:pPr>
            <w:r>
              <w:rPr>
                <w:rFonts w:hint="eastAsia" w:ascii="宋体" w:hAnsi="宋体" w:eastAsia="宋体" w:cs="宋体"/>
                <w:kern w:val="0"/>
                <w:sz w:val="21"/>
                <w:szCs w:val="21"/>
              </w:rPr>
              <w:t>磋商响应提供的服务、承办方案与磋商文件要求的符合度，是否可列入最后评审供应商；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tabs>
                <w:tab w:val="left" w:pos="0"/>
              </w:tabs>
              <w:spacing w:line="440" w:lineRule="exact"/>
              <w:jc w:val="center"/>
              <w:rPr>
                <w:rFonts w:ascii="宋体" w:hAnsi="宋体" w:eastAsia="宋体"/>
                <w:kern w:val="0"/>
                <w:sz w:val="21"/>
                <w:szCs w:val="21"/>
              </w:rPr>
            </w:pPr>
            <w:r>
              <w:rPr>
                <w:rFonts w:ascii="宋体" w:hAnsi="宋体" w:eastAsia="宋体" w:cs="宋体"/>
                <w:kern w:val="0"/>
                <w:sz w:val="21"/>
                <w:szCs w:val="21"/>
              </w:rPr>
              <w:t>2</w:t>
            </w:r>
          </w:p>
        </w:tc>
        <w:tc>
          <w:tcPr>
            <w:tcW w:w="8930" w:type="dxa"/>
            <w:vAlign w:val="center"/>
          </w:tcPr>
          <w:p>
            <w:pPr>
              <w:spacing w:line="440" w:lineRule="exact"/>
              <w:rPr>
                <w:rFonts w:ascii="宋体" w:hAnsi="宋体" w:eastAsia="宋体"/>
                <w:kern w:val="0"/>
                <w:sz w:val="21"/>
                <w:szCs w:val="21"/>
              </w:rPr>
            </w:pPr>
            <w:r>
              <w:rPr>
                <w:rFonts w:hint="eastAsia" w:ascii="宋体" w:hAnsi="宋体" w:eastAsia="宋体" w:cs="宋体"/>
                <w:kern w:val="0"/>
                <w:sz w:val="21"/>
                <w:szCs w:val="21"/>
              </w:rPr>
              <w:t>磋商响应提交的服务项目响应承诺与磋商文件要求的符合度，是否可列入最后评审供应商；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vAlign w:val="center"/>
          </w:tcPr>
          <w:p>
            <w:pPr>
              <w:tabs>
                <w:tab w:val="left" w:pos="0"/>
              </w:tabs>
              <w:spacing w:line="440" w:lineRule="exact"/>
              <w:jc w:val="center"/>
              <w:rPr>
                <w:rFonts w:ascii="宋体" w:hAnsi="宋体" w:eastAsia="宋体"/>
                <w:kern w:val="0"/>
                <w:sz w:val="21"/>
                <w:szCs w:val="21"/>
              </w:rPr>
            </w:pPr>
            <w:r>
              <w:rPr>
                <w:rFonts w:ascii="宋体" w:hAnsi="宋体" w:eastAsia="宋体" w:cs="宋体"/>
                <w:kern w:val="0"/>
                <w:sz w:val="21"/>
                <w:szCs w:val="21"/>
              </w:rPr>
              <w:t>3</w:t>
            </w:r>
          </w:p>
        </w:tc>
        <w:tc>
          <w:tcPr>
            <w:tcW w:w="8930" w:type="dxa"/>
            <w:vAlign w:val="center"/>
          </w:tcPr>
          <w:p>
            <w:pPr>
              <w:tabs>
                <w:tab w:val="left" w:pos="0"/>
              </w:tabs>
              <w:spacing w:line="440" w:lineRule="exact"/>
              <w:rPr>
                <w:rFonts w:ascii="宋体" w:hAnsi="宋体" w:eastAsia="宋体"/>
                <w:kern w:val="0"/>
                <w:sz w:val="21"/>
                <w:szCs w:val="21"/>
              </w:rPr>
            </w:pPr>
            <w:r>
              <w:rPr>
                <w:rFonts w:hint="eastAsia" w:ascii="宋体" w:hAnsi="宋体" w:eastAsia="宋体" w:cs="宋体"/>
                <w:kern w:val="0"/>
                <w:sz w:val="21"/>
                <w:szCs w:val="21"/>
              </w:rPr>
              <w:t>磋商文件所要求的其它技术条款的响应是否满足磋商文件的要求，是否可列入最后评审供应商；</w:t>
            </w:r>
          </w:p>
        </w:tc>
      </w:tr>
    </w:tbl>
    <w:p>
      <w:pPr>
        <w:snapToGrid w:val="0"/>
        <w:spacing w:before="120" w:beforeLines="50" w:line="440" w:lineRule="exact"/>
        <w:ind w:firstLine="424" w:firstLineChars="202"/>
        <w:rPr>
          <w:rFonts w:ascii="宋体" w:hAnsi="宋体" w:eastAsia="宋体"/>
          <w:sz w:val="21"/>
          <w:szCs w:val="21"/>
        </w:rPr>
      </w:pPr>
      <w:r>
        <w:rPr>
          <w:rFonts w:ascii="宋体" w:hAnsi="宋体" w:eastAsia="宋体"/>
          <w:sz w:val="21"/>
          <w:szCs w:val="21"/>
        </w:rPr>
        <w:t>9</w:t>
      </w:r>
      <w:r>
        <w:rPr>
          <w:rFonts w:hint="eastAsia" w:ascii="宋体" w:hAnsi="宋体" w:eastAsia="宋体"/>
          <w:sz w:val="21"/>
          <w:szCs w:val="21"/>
        </w:rPr>
        <w:t>、磋商文件不能详细列明采购标的的技术、服务要求，需经磋商由供应商提供最终设计方案或解决方案的，磋商结束后，磋商小组应当按照少数服从多数的原则投票推荐</w:t>
      </w:r>
      <w:r>
        <w:rPr>
          <w:rFonts w:ascii="宋体" w:hAnsi="宋体" w:eastAsia="宋体"/>
          <w:sz w:val="21"/>
          <w:szCs w:val="21"/>
        </w:rPr>
        <w:t>3</w:t>
      </w:r>
      <w:r>
        <w:rPr>
          <w:rFonts w:hint="eastAsia" w:ascii="宋体" w:hAnsi="宋体" w:eastAsia="宋体"/>
          <w:sz w:val="21"/>
          <w:szCs w:val="21"/>
        </w:rPr>
        <w:t>家以上供应商的设计方案或者解决方案。</w:t>
      </w:r>
    </w:p>
    <w:p>
      <w:pPr>
        <w:snapToGrid w:val="0"/>
        <w:spacing w:line="440" w:lineRule="exact"/>
        <w:ind w:firstLine="424" w:firstLineChars="202"/>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0、在磋商中，磋商的任何一方不得透露与磋商有关的其他响应磋商的供应商的技术资料、价格及其他信息。</w:t>
      </w:r>
    </w:p>
    <w:p>
      <w:pPr>
        <w:snapToGrid w:val="0"/>
        <w:spacing w:line="440" w:lineRule="exact"/>
        <w:ind w:firstLine="424" w:firstLineChars="202"/>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1、凡两家或以上公司同一法人代表或其中一家公司为另一家公司单一最大股东的，不能同时参与同一采购项目相同标段的磋商采购活动，一经发现，将视同串标处理。</w:t>
      </w:r>
    </w:p>
    <w:p>
      <w:pPr>
        <w:snapToGrid w:val="0"/>
        <w:spacing w:line="440" w:lineRule="exact"/>
        <w:ind w:firstLine="426" w:firstLineChars="202"/>
        <w:outlineLvl w:val="1"/>
        <w:rPr>
          <w:rFonts w:ascii="宋体" w:hAnsi="宋体" w:eastAsia="宋体"/>
          <w:b/>
          <w:sz w:val="21"/>
          <w:szCs w:val="21"/>
        </w:rPr>
      </w:pPr>
      <w:r>
        <w:rPr>
          <w:rFonts w:hint="eastAsia" w:ascii="宋体" w:hAnsi="宋体" w:eastAsia="宋体"/>
          <w:b/>
          <w:sz w:val="21"/>
          <w:szCs w:val="21"/>
        </w:rPr>
        <w:t>四、磋商评定结果的方法</w:t>
      </w:r>
    </w:p>
    <w:p>
      <w:pPr>
        <w:snapToGrid w:val="0"/>
        <w:spacing w:line="440" w:lineRule="exact"/>
        <w:ind w:firstLine="424" w:firstLineChars="202"/>
        <w:rPr>
          <w:rFonts w:ascii="宋体" w:hAnsi="宋体" w:eastAsia="宋体"/>
          <w:sz w:val="21"/>
          <w:szCs w:val="21"/>
        </w:rPr>
      </w:pPr>
      <w:r>
        <w:rPr>
          <w:rFonts w:hint="eastAsia" w:ascii="宋体" w:hAnsi="宋体" w:eastAsia="宋体"/>
          <w:sz w:val="21"/>
          <w:szCs w:val="21"/>
        </w:rPr>
        <w:t>经磋商</w:t>
      </w:r>
      <w:r>
        <w:rPr>
          <w:rFonts w:hint="eastAsia" w:ascii="宋体" w:hAnsi="宋体" w:eastAsia="宋体"/>
          <w:sz w:val="21"/>
          <w:szCs w:val="21"/>
          <w:u w:val="single"/>
        </w:rPr>
        <w:t>确定最终采购需求的供应商</w:t>
      </w:r>
      <w:r>
        <w:rPr>
          <w:rFonts w:hint="eastAsia" w:ascii="宋体" w:hAnsi="宋体" w:eastAsia="宋体"/>
          <w:sz w:val="21"/>
          <w:szCs w:val="21"/>
        </w:rPr>
        <w:t>后，由磋商小组采用</w:t>
      </w:r>
      <w:r>
        <w:rPr>
          <w:rFonts w:hint="eastAsia" w:ascii="宋体" w:hAnsi="宋体" w:eastAsia="宋体"/>
          <w:sz w:val="21"/>
          <w:szCs w:val="21"/>
          <w:u w:val="single"/>
        </w:rPr>
        <w:t>综合评分法</w:t>
      </w:r>
      <w:r>
        <w:rPr>
          <w:rFonts w:hint="eastAsia" w:ascii="宋体" w:hAnsi="宋体" w:eastAsia="宋体"/>
          <w:sz w:val="21"/>
          <w:szCs w:val="21"/>
        </w:rPr>
        <w:t>对响应文件满足磋商文件全部实质性要求的</w:t>
      </w:r>
      <w:r>
        <w:rPr>
          <w:rFonts w:hint="eastAsia" w:ascii="宋体" w:hAnsi="宋体" w:eastAsia="宋体"/>
          <w:sz w:val="21"/>
          <w:szCs w:val="21"/>
          <w:u w:val="single"/>
        </w:rPr>
        <w:t>提交最后评审的供应商</w:t>
      </w:r>
      <w:r>
        <w:rPr>
          <w:rFonts w:hint="eastAsia" w:ascii="宋体" w:hAnsi="宋体" w:eastAsia="宋体"/>
          <w:sz w:val="21"/>
          <w:szCs w:val="21"/>
        </w:rPr>
        <w:t>的响应文件，按评审因素的量化指标进行评审，得分最高的供应商为中标候选供应商。</w:t>
      </w:r>
    </w:p>
    <w:p>
      <w:pPr>
        <w:snapToGrid w:val="0"/>
        <w:spacing w:line="440" w:lineRule="exact"/>
        <w:ind w:firstLine="424" w:firstLineChars="202"/>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、进入综合评分评审阶段后，磋商小组成员会将仅对按本磋商文件载明的方法与规定，对满足磋商文件全部实质性要求的磋商响应文件进行评审、评价和比较。</w:t>
      </w:r>
    </w:p>
    <w:p>
      <w:pPr>
        <w:snapToGrid w:val="0"/>
        <w:spacing w:line="440" w:lineRule="exact"/>
        <w:ind w:firstLine="424" w:firstLineChars="202"/>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、磋商小组各成员应当独立对每个有效的磋商响应文件进行评价、打分，然后汇总每个供应商每项评分因素的得分（计算结果均四舍五入保留两位小数）。</w:t>
      </w:r>
    </w:p>
    <w:p>
      <w:pPr>
        <w:snapToGrid w:val="0"/>
        <w:spacing w:line="440" w:lineRule="exact"/>
        <w:ind w:firstLine="424" w:firstLineChars="202"/>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、本次磋商项目进入到综合评分阶段中的技术部分评审因素比重如下：</w:t>
      </w:r>
    </w:p>
    <w:p>
      <w:pPr>
        <w:snapToGrid w:val="0"/>
        <w:spacing w:line="440" w:lineRule="exact"/>
        <w:ind w:firstLine="424" w:firstLineChars="202"/>
        <w:rPr>
          <w:rFonts w:ascii="宋体" w:hAnsi="宋体" w:eastAsia="宋体"/>
          <w:sz w:val="21"/>
          <w:szCs w:val="21"/>
        </w:rPr>
      </w:pPr>
      <w:r>
        <w:rPr>
          <w:rFonts w:hint="eastAsia" w:ascii="宋体" w:hAnsi="宋体" w:eastAsia="宋体"/>
          <w:sz w:val="21"/>
          <w:szCs w:val="21"/>
        </w:rPr>
        <w:t>（1）技术分值占总分值的比重为</w:t>
      </w:r>
      <w:r>
        <w:rPr>
          <w:rFonts w:hint="eastAsia" w:ascii="宋体" w:hAnsi="宋体" w:eastAsia="宋体"/>
          <w:sz w:val="21"/>
          <w:szCs w:val="21"/>
          <w:u w:val="single"/>
        </w:rPr>
        <w:t xml:space="preserve"> 9</w:t>
      </w:r>
      <w:r>
        <w:rPr>
          <w:rFonts w:ascii="宋体" w:hAnsi="宋体" w:eastAsia="宋体"/>
          <w:sz w:val="21"/>
          <w:szCs w:val="21"/>
          <w:u w:val="single"/>
        </w:rPr>
        <w:t>0%</w:t>
      </w:r>
      <w:r>
        <w:rPr>
          <w:rFonts w:hint="eastAsia" w:ascii="宋体" w:hAnsi="宋体" w:eastAsia="宋体"/>
          <w:sz w:val="21"/>
          <w:szCs w:val="21"/>
          <w:u w:val="single"/>
        </w:rPr>
        <w:t>（权重）</w:t>
      </w:r>
      <w:r>
        <w:rPr>
          <w:rFonts w:hint="eastAsia" w:ascii="宋体" w:hAnsi="宋体" w:eastAsia="宋体"/>
          <w:sz w:val="21"/>
          <w:szCs w:val="21"/>
        </w:rPr>
        <w:t>（四舍五入保留两位小数）。</w:t>
      </w:r>
    </w:p>
    <w:p>
      <w:pPr>
        <w:snapToGrid w:val="0"/>
        <w:spacing w:line="440" w:lineRule="exact"/>
        <w:ind w:firstLine="424" w:firstLineChars="202"/>
        <w:rPr>
          <w:rFonts w:ascii="宋体" w:hAnsi="宋体" w:eastAsia="宋体"/>
          <w:sz w:val="21"/>
          <w:szCs w:val="21"/>
        </w:rPr>
      </w:pPr>
      <w:r>
        <w:rPr>
          <w:rFonts w:hint="eastAsia" w:ascii="宋体" w:hAnsi="宋体" w:eastAsia="宋体"/>
          <w:sz w:val="21"/>
          <w:szCs w:val="21"/>
        </w:rPr>
        <w:t>（2）商务报价分值占总分值的比重为</w:t>
      </w:r>
      <w:r>
        <w:rPr>
          <w:rFonts w:hint="eastAsia" w:ascii="宋体" w:hAnsi="宋体" w:eastAsia="宋体"/>
          <w:sz w:val="21"/>
          <w:szCs w:val="21"/>
          <w:u w:val="single"/>
        </w:rPr>
        <w:t>1</w:t>
      </w:r>
      <w:r>
        <w:rPr>
          <w:rFonts w:ascii="宋体" w:hAnsi="宋体" w:eastAsia="宋体"/>
          <w:sz w:val="21"/>
          <w:szCs w:val="21"/>
          <w:u w:val="single"/>
        </w:rPr>
        <w:t>0%</w:t>
      </w:r>
      <w:r>
        <w:rPr>
          <w:rFonts w:hint="eastAsia" w:ascii="宋体" w:hAnsi="宋体" w:eastAsia="宋体"/>
          <w:sz w:val="21"/>
          <w:szCs w:val="21"/>
          <w:u w:val="single"/>
        </w:rPr>
        <w:t>（权重）</w:t>
      </w:r>
      <w:r>
        <w:rPr>
          <w:rFonts w:hint="eastAsia" w:ascii="宋体" w:hAnsi="宋体" w:eastAsia="宋体"/>
          <w:sz w:val="21"/>
          <w:szCs w:val="21"/>
        </w:rPr>
        <w:t>（四舍五入保留两位小数）。</w:t>
      </w:r>
    </w:p>
    <w:p>
      <w:pPr>
        <w:snapToGrid w:val="0"/>
        <w:spacing w:line="440" w:lineRule="exact"/>
        <w:ind w:firstLine="424" w:firstLineChars="202"/>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、技术分按算术平均值计算，分值四舍五入保留两位小数。</w:t>
      </w:r>
    </w:p>
    <w:p>
      <w:pPr>
        <w:snapToGrid w:val="0"/>
        <w:spacing w:line="440" w:lineRule="exact"/>
        <w:ind w:firstLine="424" w:firstLineChars="202"/>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、综合得分最高的推荐为本项目的成交供应商并出具评审磋商报告。</w:t>
      </w:r>
    </w:p>
    <w:p>
      <w:pPr>
        <w:snapToGrid w:val="0"/>
        <w:spacing w:line="440" w:lineRule="exact"/>
        <w:ind w:firstLine="424" w:firstLineChars="202"/>
        <w:rPr>
          <w:rFonts w:ascii="宋体" w:hAnsi="宋体" w:eastAsia="宋体"/>
          <w:sz w:val="21"/>
          <w:szCs w:val="21"/>
        </w:rPr>
      </w:pPr>
      <w:r>
        <w:rPr>
          <w:rFonts w:hint="eastAsia" w:ascii="宋体" w:hAnsi="宋体" w:eastAsia="宋体"/>
          <w:sz w:val="21"/>
          <w:szCs w:val="21"/>
        </w:rPr>
        <w:t>6、评审得分相同的，按照技术指标优劣顺序推荐。</w:t>
      </w:r>
    </w:p>
    <w:p>
      <w:pPr>
        <w:snapToGrid w:val="0"/>
        <w:spacing w:line="440" w:lineRule="exact"/>
        <w:ind w:firstLine="426" w:firstLineChars="202"/>
        <w:outlineLvl w:val="1"/>
        <w:rPr>
          <w:rFonts w:ascii="宋体" w:hAnsi="宋体" w:eastAsia="宋体"/>
          <w:b/>
          <w:color w:val="000000"/>
          <w:sz w:val="21"/>
          <w:szCs w:val="21"/>
        </w:rPr>
      </w:pPr>
      <w:r>
        <w:rPr>
          <w:rFonts w:hint="eastAsia" w:ascii="宋体" w:hAnsi="宋体" w:eastAsia="宋体"/>
          <w:b/>
          <w:color w:val="000000"/>
          <w:sz w:val="21"/>
          <w:szCs w:val="21"/>
        </w:rPr>
        <w:t>五、综合评分评审标准</w:t>
      </w:r>
    </w:p>
    <w:p>
      <w:pPr>
        <w:snapToGrid w:val="0"/>
        <w:spacing w:line="440" w:lineRule="exact"/>
        <w:ind w:firstLine="426" w:firstLineChars="202"/>
        <w:outlineLvl w:val="2"/>
        <w:rPr>
          <w:rFonts w:ascii="宋体" w:hAnsi="宋体" w:eastAsia="宋体"/>
          <w:b/>
          <w:sz w:val="21"/>
          <w:szCs w:val="21"/>
        </w:rPr>
      </w:pPr>
      <w:r>
        <w:rPr>
          <w:rFonts w:hint="eastAsia" w:ascii="宋体" w:hAnsi="宋体" w:eastAsia="宋体"/>
          <w:b/>
          <w:sz w:val="21"/>
          <w:szCs w:val="21"/>
        </w:rPr>
        <w:t>（一）技术磋商响应评审：（90分）</w:t>
      </w:r>
      <w:bookmarkEnd w:id="26"/>
    </w:p>
    <w:tbl>
      <w:tblPr>
        <w:tblStyle w:val="46"/>
        <w:tblW w:w="96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2"/>
        <w:gridCol w:w="1276"/>
        <w:gridCol w:w="1219"/>
        <w:gridCol w:w="5595"/>
        <w:gridCol w:w="9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2" w:type="dxa"/>
            <w:tcBorders>
              <w:bottom w:val="single" w:color="auto" w:sz="4" w:space="0"/>
            </w:tcBorders>
            <w:vAlign w:val="center"/>
          </w:tcPr>
          <w:p>
            <w:pPr>
              <w:widowControl/>
              <w:adjustRightInd w:val="0"/>
              <w:snapToGrid w:val="0"/>
              <w:jc w:val="center"/>
              <w:rPr>
                <w:rFonts w:ascii="宋体" w:hAnsi="宋体" w:eastAsia="宋体"/>
                <w:sz w:val="21"/>
                <w:szCs w:val="21"/>
              </w:rPr>
            </w:pPr>
            <w:r>
              <w:rPr>
                <w:rFonts w:hint="eastAsia" w:ascii="宋体" w:hAnsi="宋体" w:eastAsia="宋体"/>
                <w:sz w:val="21"/>
                <w:szCs w:val="21"/>
              </w:rPr>
              <w:t>序号</w:t>
            </w:r>
          </w:p>
        </w:tc>
        <w:tc>
          <w:tcPr>
            <w:tcW w:w="2495" w:type="dxa"/>
            <w:gridSpan w:val="2"/>
            <w:tcBorders>
              <w:bottom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项目</w:t>
            </w:r>
          </w:p>
        </w:tc>
        <w:tc>
          <w:tcPr>
            <w:tcW w:w="5595" w:type="dxa"/>
            <w:vAlign w:val="center"/>
          </w:tcPr>
          <w:p>
            <w:pPr>
              <w:jc w:val="center"/>
              <w:rPr>
                <w:rFonts w:ascii="宋体" w:hAnsi="宋体" w:eastAsia="宋体"/>
                <w:sz w:val="21"/>
                <w:szCs w:val="21"/>
              </w:rPr>
            </w:pPr>
            <w:r>
              <w:rPr>
                <w:rFonts w:hint="eastAsia" w:ascii="宋体" w:hAnsi="宋体" w:eastAsia="宋体"/>
                <w:sz w:val="21"/>
                <w:szCs w:val="21"/>
              </w:rPr>
              <w:t>评标要求</w:t>
            </w:r>
          </w:p>
        </w:tc>
        <w:tc>
          <w:tcPr>
            <w:tcW w:w="985" w:type="dxa"/>
            <w:vAlign w:val="center"/>
          </w:tcPr>
          <w:p>
            <w:pPr>
              <w:jc w:val="center"/>
              <w:rPr>
                <w:rFonts w:ascii="宋体" w:hAnsi="宋体" w:eastAsia="宋体"/>
                <w:sz w:val="21"/>
                <w:szCs w:val="21"/>
              </w:rPr>
            </w:pPr>
            <w:r>
              <w:rPr>
                <w:rFonts w:hint="eastAsia" w:ascii="宋体" w:hAnsi="宋体" w:eastAsia="宋体"/>
                <w:sz w:val="21"/>
                <w:szCs w:val="21"/>
              </w:rPr>
              <w:t>满分值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56" w:hRule="atLeast"/>
          <w:jc w:val="center"/>
        </w:trPr>
        <w:tc>
          <w:tcPr>
            <w:tcW w:w="552" w:type="dxa"/>
            <w:vAlign w:val="center"/>
          </w:tcPr>
          <w:p>
            <w:pPr>
              <w:widowControl/>
              <w:adjustRightInd w:val="0"/>
              <w:snapToGrid w:val="0"/>
              <w:jc w:val="center"/>
              <w:rPr>
                <w:rFonts w:ascii="宋体" w:hAnsi="宋体" w:cs="宋体"/>
                <w:bCs/>
                <w:kern w:val="0"/>
                <w:sz w:val="24"/>
              </w:rPr>
            </w:pPr>
            <w:r>
              <w:rPr>
                <w:rFonts w:ascii="宋体" w:hAnsi="宋体" w:cs="宋体"/>
                <w:bCs/>
                <w:kern w:val="0"/>
                <w:sz w:val="24"/>
              </w:rPr>
              <w:t>1</w:t>
            </w:r>
          </w:p>
        </w:tc>
        <w:tc>
          <w:tcPr>
            <w:tcW w:w="1276" w:type="dxa"/>
            <w:vMerge w:val="restart"/>
            <w:vAlign w:val="center"/>
          </w:tcPr>
          <w:p>
            <w:pPr>
              <w:snapToGrid w:val="0"/>
              <w:spacing w:line="320" w:lineRule="exact"/>
              <w:rPr>
                <w:rFonts w:ascii="宋体" w:hAnsi="宋体" w:eastAsia="宋体"/>
                <w:sz w:val="21"/>
                <w:szCs w:val="21"/>
              </w:rPr>
            </w:pPr>
            <w:r>
              <w:rPr>
                <w:rFonts w:hint="eastAsia" w:ascii="宋体" w:hAnsi="宋体" w:eastAsia="宋体"/>
                <w:sz w:val="21"/>
                <w:szCs w:val="21"/>
              </w:rPr>
              <w:t>商务部分（2</w:t>
            </w:r>
            <w:r>
              <w:rPr>
                <w:rFonts w:ascii="宋体" w:hAnsi="宋体" w:eastAsia="宋体"/>
                <w:sz w:val="21"/>
                <w:szCs w:val="21"/>
              </w:rPr>
              <w:t>8</w:t>
            </w:r>
            <w:r>
              <w:rPr>
                <w:rFonts w:hint="eastAsia" w:ascii="宋体" w:hAnsi="宋体" w:eastAsia="宋体"/>
                <w:sz w:val="21"/>
                <w:szCs w:val="21"/>
              </w:rPr>
              <w:t>分）</w:t>
            </w:r>
          </w:p>
        </w:tc>
        <w:tc>
          <w:tcPr>
            <w:tcW w:w="1219" w:type="dxa"/>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rPr>
              <w:t>体系认证（</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5595" w:type="dxa"/>
            <w:vAlign w:val="center"/>
          </w:tcPr>
          <w:p>
            <w:pPr>
              <w:snapToGrid w:val="0"/>
              <w:spacing w:line="280" w:lineRule="exact"/>
              <w:jc w:val="left"/>
              <w:rPr>
                <w:rFonts w:ascii="宋体" w:hAnsi="宋体" w:eastAsia="宋体"/>
                <w:sz w:val="21"/>
                <w:szCs w:val="21"/>
              </w:rPr>
            </w:pPr>
            <w:r>
              <w:rPr>
                <w:rFonts w:hint="eastAsia" w:ascii="宋体" w:hAnsi="宋体" w:eastAsia="宋体"/>
                <w:sz w:val="21"/>
                <w:szCs w:val="21"/>
              </w:rPr>
              <w:t>具有质量管理体系、环境管理体系、职业健康安全管理体系认证证书得</w:t>
            </w:r>
            <w:r>
              <w:rPr>
                <w:rFonts w:hint="eastAsia" w:ascii="宋体" w:hAnsi="宋体" w:eastAsia="宋体"/>
                <w:sz w:val="21"/>
                <w:szCs w:val="21"/>
                <w:lang w:val="en-US" w:eastAsia="zh-CN"/>
              </w:rPr>
              <w:t>1</w:t>
            </w:r>
            <w:r>
              <w:rPr>
                <w:rFonts w:hint="eastAsia" w:ascii="宋体" w:hAnsi="宋体" w:eastAsia="宋体"/>
                <w:sz w:val="21"/>
                <w:szCs w:val="21"/>
              </w:rPr>
              <w:t>分（以国家认证认可监督管理委员会CNCA官网查询为准，投标文件中提供的证书编号对应证书为“有效”状态方可得分；证书为“过期失效”、“撤销”状态或“有效”状态对应证书编号的证书未在投标文件中提供，均不得分）。（提供相关认证证书复印件并加盖公章）</w:t>
            </w:r>
          </w:p>
        </w:tc>
        <w:tc>
          <w:tcPr>
            <w:tcW w:w="985" w:type="dxa"/>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4" w:hRule="atLeast"/>
          <w:jc w:val="center"/>
        </w:trPr>
        <w:tc>
          <w:tcPr>
            <w:tcW w:w="552" w:type="dxa"/>
            <w:vMerge w:val="restart"/>
            <w:vAlign w:val="center"/>
          </w:tcPr>
          <w:p>
            <w:pPr>
              <w:widowControl/>
              <w:adjustRightInd w:val="0"/>
              <w:snapToGrid w:val="0"/>
              <w:jc w:val="center"/>
              <w:rPr>
                <w:rFonts w:ascii="宋体" w:hAnsi="宋体" w:cs="宋体"/>
                <w:bCs/>
                <w:kern w:val="0"/>
                <w:sz w:val="24"/>
              </w:rPr>
            </w:pPr>
            <w:r>
              <w:rPr>
                <w:rFonts w:ascii="宋体" w:hAnsi="宋体" w:cs="宋体"/>
                <w:bCs/>
                <w:kern w:val="0"/>
                <w:sz w:val="24"/>
              </w:rPr>
              <w:t>2</w:t>
            </w:r>
          </w:p>
        </w:tc>
        <w:tc>
          <w:tcPr>
            <w:tcW w:w="1276" w:type="dxa"/>
            <w:vMerge w:val="continue"/>
            <w:vAlign w:val="center"/>
          </w:tcPr>
          <w:p>
            <w:pPr>
              <w:snapToGrid w:val="0"/>
              <w:spacing w:line="320" w:lineRule="exact"/>
              <w:ind w:firstLine="424" w:firstLineChars="202"/>
              <w:rPr>
                <w:rFonts w:ascii="宋体" w:hAnsi="宋体" w:eastAsia="宋体"/>
                <w:sz w:val="21"/>
                <w:szCs w:val="21"/>
              </w:rPr>
            </w:pPr>
          </w:p>
        </w:tc>
        <w:tc>
          <w:tcPr>
            <w:tcW w:w="1219" w:type="dxa"/>
            <w:vMerge w:val="restart"/>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rPr>
              <w:t>获奖荣誉（</w:t>
            </w:r>
            <w:r>
              <w:rPr>
                <w:rFonts w:hint="eastAsia" w:ascii="宋体" w:hAnsi="宋体" w:eastAsia="宋体"/>
                <w:sz w:val="21"/>
                <w:szCs w:val="21"/>
                <w:lang w:val="en-US" w:eastAsia="zh-CN"/>
              </w:rPr>
              <w:t>3</w:t>
            </w:r>
            <w:r>
              <w:rPr>
                <w:rFonts w:hint="eastAsia" w:ascii="宋体" w:hAnsi="宋体" w:eastAsia="宋体"/>
                <w:sz w:val="21"/>
                <w:szCs w:val="21"/>
              </w:rPr>
              <w:t>分）</w:t>
            </w:r>
          </w:p>
        </w:tc>
        <w:tc>
          <w:tcPr>
            <w:tcW w:w="5595" w:type="dxa"/>
            <w:tcBorders>
              <w:bottom w:val="single" w:color="auto" w:sz="4" w:space="0"/>
            </w:tcBorders>
            <w:vAlign w:val="center"/>
          </w:tcPr>
          <w:p>
            <w:pPr>
              <w:pStyle w:val="118"/>
              <w:numPr>
                <w:ilvl w:val="0"/>
                <w:numId w:val="1"/>
              </w:numPr>
              <w:snapToGrid w:val="0"/>
              <w:spacing w:line="280" w:lineRule="exact"/>
              <w:ind w:left="0" w:firstLine="0" w:firstLineChars="0"/>
              <w:jc w:val="left"/>
              <w:rPr>
                <w:rFonts w:ascii="宋体" w:hAnsi="宋体"/>
                <w:szCs w:val="21"/>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年1月以来，公司党支部被评为省级（直辖市）先进基层党组织的得</w:t>
            </w:r>
            <w:r>
              <w:rPr>
                <w:rFonts w:hint="eastAsia" w:ascii="宋体" w:hAnsi="宋体"/>
                <w:szCs w:val="21"/>
                <w:lang w:val="en-US" w:eastAsia="zh-CN"/>
              </w:rPr>
              <w:t>1</w:t>
            </w:r>
            <w:r>
              <w:rPr>
                <w:rFonts w:hint="eastAsia" w:ascii="宋体" w:hAnsi="宋体"/>
                <w:szCs w:val="21"/>
              </w:rPr>
              <w:t>分；被评为设区县市级先进基层党组织的得</w:t>
            </w:r>
            <w:r>
              <w:rPr>
                <w:rFonts w:hint="eastAsia" w:ascii="宋体" w:hAnsi="宋体"/>
                <w:szCs w:val="21"/>
                <w:lang w:val="en-US" w:eastAsia="zh-CN"/>
              </w:rPr>
              <w:t>0.5</w:t>
            </w:r>
            <w:r>
              <w:rPr>
                <w:rFonts w:hint="eastAsia" w:ascii="宋体" w:hAnsi="宋体"/>
                <w:szCs w:val="21"/>
              </w:rPr>
              <w:t>分；（提供奖状或荣誉证书复印件并加盖公章）</w:t>
            </w:r>
          </w:p>
        </w:tc>
        <w:tc>
          <w:tcPr>
            <w:tcW w:w="985" w:type="dxa"/>
            <w:tcBorders>
              <w:bottom w:val="single" w:color="auto" w:sz="4" w:space="0"/>
            </w:tcBorders>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7" w:hRule="atLeast"/>
          <w:jc w:val="center"/>
        </w:trPr>
        <w:tc>
          <w:tcPr>
            <w:tcW w:w="552" w:type="dxa"/>
            <w:vMerge w:val="continue"/>
            <w:vAlign w:val="center"/>
          </w:tcPr>
          <w:p>
            <w:pPr>
              <w:widowControl/>
              <w:adjustRightInd w:val="0"/>
              <w:snapToGrid w:val="0"/>
              <w:jc w:val="center"/>
              <w:rPr>
                <w:rFonts w:ascii="宋体" w:hAnsi="宋体" w:cs="宋体"/>
                <w:bCs/>
                <w:kern w:val="0"/>
                <w:sz w:val="24"/>
              </w:rPr>
            </w:pPr>
          </w:p>
        </w:tc>
        <w:tc>
          <w:tcPr>
            <w:tcW w:w="1276" w:type="dxa"/>
            <w:vMerge w:val="continue"/>
            <w:vAlign w:val="center"/>
          </w:tcPr>
          <w:p>
            <w:pPr>
              <w:snapToGrid w:val="0"/>
              <w:spacing w:line="320" w:lineRule="exact"/>
              <w:ind w:firstLine="424" w:firstLineChars="202"/>
              <w:rPr>
                <w:rFonts w:ascii="宋体" w:hAnsi="宋体" w:eastAsia="宋体"/>
                <w:sz w:val="21"/>
                <w:szCs w:val="21"/>
              </w:rPr>
            </w:pPr>
          </w:p>
        </w:tc>
        <w:tc>
          <w:tcPr>
            <w:tcW w:w="1219" w:type="dxa"/>
            <w:vMerge w:val="continue"/>
            <w:vAlign w:val="center"/>
          </w:tcPr>
          <w:p>
            <w:pPr>
              <w:snapToGrid w:val="0"/>
              <w:spacing w:line="280" w:lineRule="exact"/>
              <w:jc w:val="center"/>
              <w:rPr>
                <w:rFonts w:ascii="宋体" w:hAnsi="宋体" w:eastAsia="宋体"/>
                <w:sz w:val="21"/>
                <w:szCs w:val="21"/>
              </w:rPr>
            </w:pPr>
          </w:p>
        </w:tc>
        <w:tc>
          <w:tcPr>
            <w:tcW w:w="5595" w:type="dxa"/>
            <w:tcBorders>
              <w:top w:val="single" w:color="auto" w:sz="4" w:space="0"/>
              <w:bottom w:val="single" w:color="auto" w:sz="4" w:space="0"/>
            </w:tcBorders>
            <w:vAlign w:val="center"/>
          </w:tcPr>
          <w:p>
            <w:pPr>
              <w:pStyle w:val="118"/>
              <w:numPr>
                <w:ilvl w:val="0"/>
                <w:numId w:val="1"/>
              </w:numPr>
              <w:snapToGrid w:val="0"/>
              <w:spacing w:line="280" w:lineRule="exact"/>
              <w:ind w:left="0" w:firstLine="0" w:firstLineChars="0"/>
              <w:jc w:val="left"/>
              <w:rPr>
                <w:rFonts w:ascii="宋体" w:hAnsi="宋体"/>
                <w:szCs w:val="21"/>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年1月以来，公司所管理项目有荣获省级（直辖市）行业党建部门颁发的优秀服务示范窗口称号的得</w:t>
            </w:r>
            <w:r>
              <w:rPr>
                <w:rFonts w:hint="eastAsia" w:ascii="宋体" w:hAnsi="宋体"/>
                <w:szCs w:val="21"/>
                <w:lang w:val="en-US" w:eastAsia="zh-CN"/>
              </w:rPr>
              <w:t>1</w:t>
            </w:r>
            <w:r>
              <w:rPr>
                <w:rFonts w:hint="eastAsia" w:ascii="宋体" w:hAnsi="宋体"/>
                <w:szCs w:val="21"/>
              </w:rPr>
              <w:t>分；市级行业党建部门颁发得优秀服务示范窗口称号的得</w:t>
            </w:r>
            <w:r>
              <w:rPr>
                <w:rFonts w:hint="eastAsia" w:ascii="宋体" w:hAnsi="宋体"/>
                <w:szCs w:val="21"/>
                <w:lang w:val="en-US" w:eastAsia="zh-CN"/>
              </w:rPr>
              <w:t>0.5</w:t>
            </w:r>
            <w:r>
              <w:rPr>
                <w:rFonts w:hint="eastAsia" w:ascii="宋体" w:hAnsi="宋体"/>
                <w:szCs w:val="21"/>
              </w:rPr>
              <w:t>分。（提供奖状或荣誉证书复印件并加盖公章）。</w:t>
            </w:r>
          </w:p>
        </w:tc>
        <w:tc>
          <w:tcPr>
            <w:tcW w:w="985" w:type="dxa"/>
            <w:tcBorders>
              <w:top w:val="single" w:color="auto" w:sz="4" w:space="0"/>
              <w:bottom w:val="single" w:color="auto" w:sz="4" w:space="0"/>
            </w:tcBorders>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5" w:hRule="atLeast"/>
          <w:jc w:val="center"/>
        </w:trPr>
        <w:tc>
          <w:tcPr>
            <w:tcW w:w="552" w:type="dxa"/>
            <w:vMerge w:val="continue"/>
            <w:vAlign w:val="center"/>
          </w:tcPr>
          <w:p>
            <w:pPr>
              <w:widowControl/>
              <w:adjustRightInd w:val="0"/>
              <w:snapToGrid w:val="0"/>
              <w:jc w:val="center"/>
              <w:rPr>
                <w:rFonts w:ascii="宋体" w:hAnsi="宋体" w:cs="宋体"/>
                <w:bCs/>
                <w:kern w:val="0"/>
                <w:sz w:val="24"/>
              </w:rPr>
            </w:pPr>
          </w:p>
        </w:tc>
        <w:tc>
          <w:tcPr>
            <w:tcW w:w="1276" w:type="dxa"/>
            <w:vMerge w:val="continue"/>
            <w:vAlign w:val="center"/>
          </w:tcPr>
          <w:p>
            <w:pPr>
              <w:snapToGrid w:val="0"/>
              <w:spacing w:line="320" w:lineRule="exact"/>
              <w:ind w:firstLine="424" w:firstLineChars="202"/>
              <w:rPr>
                <w:rFonts w:ascii="宋体" w:hAnsi="宋体" w:eastAsia="宋体"/>
                <w:sz w:val="21"/>
                <w:szCs w:val="21"/>
              </w:rPr>
            </w:pPr>
          </w:p>
        </w:tc>
        <w:tc>
          <w:tcPr>
            <w:tcW w:w="1219" w:type="dxa"/>
            <w:vMerge w:val="continue"/>
            <w:vAlign w:val="center"/>
          </w:tcPr>
          <w:p>
            <w:pPr>
              <w:snapToGrid w:val="0"/>
              <w:spacing w:line="280" w:lineRule="exact"/>
              <w:jc w:val="center"/>
              <w:rPr>
                <w:rFonts w:ascii="宋体" w:hAnsi="宋体" w:eastAsia="宋体"/>
                <w:sz w:val="21"/>
                <w:szCs w:val="21"/>
              </w:rPr>
            </w:pPr>
          </w:p>
        </w:tc>
        <w:tc>
          <w:tcPr>
            <w:tcW w:w="5595" w:type="dxa"/>
            <w:tcBorders>
              <w:top w:val="single" w:color="auto" w:sz="4" w:space="0"/>
            </w:tcBorders>
            <w:vAlign w:val="center"/>
          </w:tcPr>
          <w:p>
            <w:pPr>
              <w:pStyle w:val="118"/>
              <w:numPr>
                <w:ilvl w:val="0"/>
                <w:numId w:val="1"/>
              </w:numPr>
              <w:snapToGrid w:val="0"/>
              <w:spacing w:line="280" w:lineRule="exact"/>
              <w:ind w:left="0" w:firstLine="0" w:firstLineChars="0"/>
              <w:jc w:val="left"/>
              <w:rPr>
                <w:rFonts w:ascii="宋体" w:hAnsi="宋体"/>
                <w:szCs w:val="21"/>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年1月以来，公司所管理项目有荣获省级（直辖市）优秀或示范项目的得</w:t>
            </w:r>
            <w:r>
              <w:rPr>
                <w:rFonts w:hint="eastAsia" w:ascii="宋体" w:hAnsi="宋体"/>
                <w:szCs w:val="21"/>
                <w:lang w:val="en-US" w:eastAsia="zh-CN"/>
              </w:rPr>
              <w:t>1</w:t>
            </w:r>
            <w:r>
              <w:rPr>
                <w:rFonts w:hint="eastAsia" w:ascii="宋体" w:hAnsi="宋体"/>
                <w:szCs w:val="21"/>
              </w:rPr>
              <w:t>分；市级优秀或示范项目的得</w:t>
            </w:r>
            <w:r>
              <w:rPr>
                <w:rFonts w:hint="eastAsia" w:ascii="宋体" w:hAnsi="宋体"/>
                <w:szCs w:val="21"/>
                <w:lang w:val="en-US" w:eastAsia="zh-CN"/>
              </w:rPr>
              <w:t>0.5</w:t>
            </w:r>
            <w:r>
              <w:rPr>
                <w:rFonts w:hint="eastAsia" w:ascii="宋体" w:hAnsi="宋体"/>
                <w:szCs w:val="21"/>
              </w:rPr>
              <w:t>分。（提供奖状或荣誉证书或通报文件复印件并加盖公章）</w:t>
            </w:r>
          </w:p>
        </w:tc>
        <w:tc>
          <w:tcPr>
            <w:tcW w:w="985" w:type="dxa"/>
            <w:tcBorders>
              <w:top w:val="single" w:color="auto" w:sz="4" w:space="0"/>
            </w:tcBorders>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552" w:type="dxa"/>
            <w:vAlign w:val="center"/>
          </w:tcPr>
          <w:p>
            <w:pPr>
              <w:widowControl/>
              <w:adjustRightInd w:val="0"/>
              <w:snapToGrid w:val="0"/>
              <w:jc w:val="center"/>
              <w:rPr>
                <w:rFonts w:ascii="宋体" w:hAnsi="宋体" w:cs="宋体"/>
                <w:bCs/>
                <w:kern w:val="0"/>
                <w:sz w:val="24"/>
              </w:rPr>
            </w:pPr>
            <w:r>
              <w:rPr>
                <w:rFonts w:ascii="宋体" w:hAnsi="宋体" w:cs="宋体"/>
                <w:bCs/>
                <w:kern w:val="0"/>
                <w:sz w:val="24"/>
              </w:rPr>
              <w:t>3</w:t>
            </w:r>
          </w:p>
        </w:tc>
        <w:tc>
          <w:tcPr>
            <w:tcW w:w="1276" w:type="dxa"/>
            <w:vMerge w:val="continue"/>
            <w:vAlign w:val="center"/>
          </w:tcPr>
          <w:p>
            <w:pPr>
              <w:snapToGrid w:val="0"/>
              <w:spacing w:line="320" w:lineRule="exact"/>
              <w:ind w:firstLine="424" w:firstLineChars="202"/>
              <w:rPr>
                <w:rFonts w:ascii="宋体" w:hAnsi="宋体" w:eastAsia="宋体"/>
                <w:sz w:val="21"/>
                <w:szCs w:val="21"/>
              </w:rPr>
            </w:pPr>
          </w:p>
        </w:tc>
        <w:tc>
          <w:tcPr>
            <w:tcW w:w="1219" w:type="dxa"/>
            <w:vAlign w:val="center"/>
          </w:tcPr>
          <w:p>
            <w:pPr>
              <w:snapToGrid w:val="0"/>
              <w:spacing w:line="280" w:lineRule="exact"/>
              <w:rPr>
                <w:rFonts w:ascii="宋体" w:hAnsi="宋体" w:eastAsia="宋体"/>
                <w:sz w:val="21"/>
                <w:szCs w:val="21"/>
              </w:rPr>
            </w:pPr>
            <w:r>
              <w:rPr>
                <w:rFonts w:hint="eastAsia" w:ascii="宋体" w:hAnsi="宋体" w:eastAsia="宋体"/>
                <w:sz w:val="21"/>
                <w:szCs w:val="21"/>
                <w:lang w:val="en-US" w:eastAsia="zh-CN"/>
              </w:rPr>
              <w:t>信用等级、类似项目业绩</w:t>
            </w:r>
            <w:r>
              <w:rPr>
                <w:rFonts w:hint="eastAsia" w:ascii="宋体" w:hAnsi="宋体" w:eastAsia="宋体"/>
                <w:sz w:val="21"/>
                <w:szCs w:val="21"/>
              </w:rPr>
              <w:t>（</w:t>
            </w:r>
            <w:r>
              <w:rPr>
                <w:rFonts w:hint="eastAsia" w:ascii="宋体" w:hAnsi="宋体" w:eastAsia="宋体"/>
                <w:sz w:val="21"/>
                <w:szCs w:val="21"/>
                <w:lang w:val="en-US" w:eastAsia="zh-CN"/>
              </w:rPr>
              <w:t>8</w:t>
            </w:r>
            <w:r>
              <w:rPr>
                <w:rFonts w:hint="eastAsia" w:ascii="宋体" w:hAnsi="宋体" w:eastAsia="宋体"/>
                <w:sz w:val="21"/>
                <w:szCs w:val="21"/>
              </w:rPr>
              <w:t>分）</w:t>
            </w:r>
          </w:p>
        </w:tc>
        <w:tc>
          <w:tcPr>
            <w:tcW w:w="5595" w:type="dxa"/>
            <w:vAlign w:val="center"/>
          </w:tcPr>
          <w:p>
            <w:pPr>
              <w:snapToGrid w:val="0"/>
              <w:spacing w:line="28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提供2021年度南通市物业服务企业信用分值（南通市住房和城乡建设局官网查询下载并加盖企业公章），基础分100-199分值得4分；200-299分值得5分，300分值以上得6分。投标人有</w:t>
            </w:r>
            <w:bookmarkStart w:id="32" w:name="_GoBack"/>
            <w:bookmarkEnd w:id="32"/>
            <w:r>
              <w:rPr>
                <w:rFonts w:hint="eastAsia" w:ascii="宋体" w:hAnsi="宋体" w:eastAsia="宋体" w:cs="Times New Roman"/>
                <w:kern w:val="2"/>
                <w:sz w:val="21"/>
                <w:szCs w:val="21"/>
                <w:lang w:val="en-US" w:eastAsia="zh-CN" w:bidi="ar-SA"/>
              </w:rPr>
              <w:t>类似住宅物业管理服务业绩，有1份得1分，最高2分 （提供合同复印件并加盖公章）。</w:t>
            </w:r>
          </w:p>
        </w:tc>
        <w:tc>
          <w:tcPr>
            <w:tcW w:w="985" w:type="dxa"/>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lang w:val="en-US" w:eastAsia="zh-CN"/>
              </w:rPr>
              <w:t>8</w:t>
            </w:r>
            <w:r>
              <w:rPr>
                <w:rFonts w:hint="eastAsia" w:ascii="宋体" w:hAnsi="宋体" w:eastAsia="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6" w:hRule="atLeast"/>
          <w:jc w:val="center"/>
        </w:trPr>
        <w:tc>
          <w:tcPr>
            <w:tcW w:w="552" w:type="dxa"/>
            <w:vMerge w:val="restart"/>
            <w:vAlign w:val="center"/>
          </w:tcPr>
          <w:p>
            <w:pPr>
              <w:widowControl/>
              <w:adjustRightInd w:val="0"/>
              <w:snapToGrid w:val="0"/>
              <w:jc w:val="center"/>
              <w:rPr>
                <w:rFonts w:ascii="宋体" w:hAnsi="宋体" w:cs="宋体"/>
                <w:bCs/>
                <w:kern w:val="0"/>
                <w:sz w:val="24"/>
              </w:rPr>
            </w:pPr>
            <w:r>
              <w:rPr>
                <w:rFonts w:ascii="宋体" w:hAnsi="宋体" w:cs="宋体"/>
                <w:bCs/>
                <w:kern w:val="0"/>
                <w:sz w:val="24"/>
              </w:rPr>
              <w:t>4</w:t>
            </w:r>
          </w:p>
        </w:tc>
        <w:tc>
          <w:tcPr>
            <w:tcW w:w="1276" w:type="dxa"/>
            <w:vMerge w:val="continue"/>
            <w:vAlign w:val="center"/>
          </w:tcPr>
          <w:p>
            <w:pPr>
              <w:snapToGrid w:val="0"/>
              <w:spacing w:line="320" w:lineRule="exact"/>
              <w:ind w:firstLine="424" w:firstLineChars="202"/>
              <w:rPr>
                <w:rFonts w:ascii="宋体" w:hAnsi="宋体" w:eastAsia="宋体"/>
                <w:sz w:val="21"/>
                <w:szCs w:val="21"/>
              </w:rPr>
            </w:pPr>
          </w:p>
        </w:tc>
        <w:tc>
          <w:tcPr>
            <w:tcW w:w="1219" w:type="dxa"/>
            <w:vMerge w:val="restart"/>
            <w:vAlign w:val="center"/>
          </w:tcPr>
          <w:p>
            <w:pPr>
              <w:snapToGrid w:val="0"/>
              <w:spacing w:line="280" w:lineRule="exact"/>
              <w:rPr>
                <w:rFonts w:ascii="宋体" w:hAnsi="宋体" w:eastAsia="宋体"/>
                <w:sz w:val="21"/>
                <w:szCs w:val="21"/>
              </w:rPr>
            </w:pPr>
            <w:r>
              <w:rPr>
                <w:rFonts w:hint="eastAsia" w:ascii="宋体" w:hAnsi="宋体" w:eastAsia="宋体"/>
                <w:sz w:val="21"/>
                <w:szCs w:val="21"/>
              </w:rPr>
              <w:t>人员资质（</w:t>
            </w:r>
            <w:r>
              <w:rPr>
                <w:rFonts w:ascii="宋体" w:hAnsi="宋体" w:eastAsia="宋体"/>
                <w:sz w:val="21"/>
                <w:szCs w:val="21"/>
              </w:rPr>
              <w:t>1</w:t>
            </w:r>
            <w:r>
              <w:rPr>
                <w:rFonts w:hint="eastAsia" w:ascii="宋体" w:hAnsi="宋体" w:eastAsia="宋体"/>
                <w:sz w:val="21"/>
                <w:szCs w:val="21"/>
                <w:lang w:val="en-US" w:eastAsia="zh-CN"/>
              </w:rPr>
              <w:t>6</w:t>
            </w:r>
            <w:r>
              <w:rPr>
                <w:rFonts w:hint="eastAsia" w:ascii="宋体" w:hAnsi="宋体" w:eastAsia="宋体"/>
                <w:sz w:val="21"/>
                <w:szCs w:val="21"/>
              </w:rPr>
              <w:t>分）</w:t>
            </w:r>
          </w:p>
        </w:tc>
        <w:tc>
          <w:tcPr>
            <w:tcW w:w="5595" w:type="dxa"/>
            <w:tcBorders>
              <w:bottom w:val="single" w:color="auto" w:sz="4" w:space="0"/>
            </w:tcBorders>
            <w:vAlign w:val="center"/>
          </w:tcPr>
          <w:p>
            <w:pPr>
              <w:snapToGrid w:val="0"/>
              <w:spacing w:line="28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1、项目经理有较强的综合管理能力，亲和力强。具有全国物业项目经理上岗证得2分，具有三级及以上建（构）筑物消防员证书得2分，具有本科及以上学历得2分，具有三级及以上保安员证书得2分，满分8分。</w:t>
            </w:r>
          </w:p>
        </w:tc>
        <w:tc>
          <w:tcPr>
            <w:tcW w:w="985" w:type="dxa"/>
            <w:tcBorders>
              <w:bottom w:val="single" w:color="auto" w:sz="4" w:space="0"/>
            </w:tcBorders>
            <w:vAlign w:val="center"/>
          </w:tcPr>
          <w:p>
            <w:pPr>
              <w:snapToGrid w:val="0"/>
              <w:spacing w:line="28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15" w:hRule="atLeast"/>
          <w:jc w:val="center"/>
        </w:trPr>
        <w:tc>
          <w:tcPr>
            <w:tcW w:w="552" w:type="dxa"/>
            <w:vMerge w:val="continue"/>
            <w:vAlign w:val="center"/>
          </w:tcPr>
          <w:p>
            <w:pPr>
              <w:widowControl/>
              <w:adjustRightInd w:val="0"/>
              <w:snapToGrid w:val="0"/>
              <w:jc w:val="center"/>
              <w:rPr>
                <w:rFonts w:ascii="宋体" w:hAnsi="宋体" w:cs="宋体"/>
                <w:bCs/>
                <w:kern w:val="0"/>
                <w:sz w:val="24"/>
              </w:rPr>
            </w:pPr>
          </w:p>
        </w:tc>
        <w:tc>
          <w:tcPr>
            <w:tcW w:w="1276" w:type="dxa"/>
            <w:vMerge w:val="continue"/>
            <w:vAlign w:val="center"/>
          </w:tcPr>
          <w:p>
            <w:pPr>
              <w:snapToGrid w:val="0"/>
              <w:spacing w:line="320" w:lineRule="exact"/>
              <w:ind w:firstLine="424" w:firstLineChars="202"/>
              <w:rPr>
                <w:rFonts w:ascii="宋体" w:hAnsi="宋体" w:eastAsia="宋体"/>
                <w:sz w:val="21"/>
                <w:szCs w:val="21"/>
              </w:rPr>
            </w:pPr>
          </w:p>
        </w:tc>
        <w:tc>
          <w:tcPr>
            <w:tcW w:w="1219" w:type="dxa"/>
            <w:vMerge w:val="continue"/>
            <w:vAlign w:val="center"/>
          </w:tcPr>
          <w:p>
            <w:pPr>
              <w:snapToGrid w:val="0"/>
              <w:spacing w:line="280" w:lineRule="exact"/>
              <w:rPr>
                <w:rFonts w:ascii="宋体" w:hAnsi="宋体" w:eastAsia="宋体"/>
                <w:sz w:val="21"/>
                <w:szCs w:val="21"/>
              </w:rPr>
            </w:pPr>
          </w:p>
        </w:tc>
        <w:tc>
          <w:tcPr>
            <w:tcW w:w="5595" w:type="dxa"/>
            <w:tcBorders>
              <w:top w:val="single" w:color="auto" w:sz="4" w:space="0"/>
            </w:tcBorders>
            <w:vAlign w:val="center"/>
          </w:tcPr>
          <w:p>
            <w:pPr>
              <w:snapToGrid w:val="0"/>
              <w:spacing w:line="28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2、项目副经理有较强的综合管理能力，亲和力强。具有中级职称得2分，具有清洁管理师证书得2分，具有本科及以上学历得2分，具有消防设施操作员证书得2分，满分8分。                                 </w:t>
            </w:r>
          </w:p>
          <w:p>
            <w:pPr>
              <w:snapToGrid w:val="0"/>
              <w:spacing w:line="28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（需要提供投标为项目经理和项目副经理缴纳人2021年度任意连续三个月及以上社保证明，相关证件的原件需带至开标现场备查否则不与得分）</w:t>
            </w:r>
          </w:p>
        </w:tc>
        <w:tc>
          <w:tcPr>
            <w:tcW w:w="985" w:type="dxa"/>
            <w:tcBorders>
              <w:top w:val="single" w:color="auto" w:sz="4" w:space="0"/>
            </w:tcBorders>
            <w:vAlign w:val="center"/>
          </w:tcPr>
          <w:p>
            <w:pPr>
              <w:snapToGrid w:val="0"/>
              <w:spacing w:line="28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2" w:type="dxa"/>
            <w:vAlign w:val="center"/>
          </w:tcPr>
          <w:p>
            <w:pPr>
              <w:widowControl/>
              <w:adjustRightInd w:val="0"/>
              <w:snapToGrid w:val="0"/>
              <w:jc w:val="center"/>
              <w:rPr>
                <w:rFonts w:ascii="宋体" w:hAnsi="宋体" w:cs="宋体"/>
                <w:bCs/>
                <w:kern w:val="0"/>
                <w:sz w:val="24"/>
              </w:rPr>
            </w:pPr>
            <w:r>
              <w:rPr>
                <w:rFonts w:ascii="宋体" w:hAnsi="宋体" w:cs="宋体"/>
                <w:bCs/>
                <w:kern w:val="0"/>
                <w:sz w:val="24"/>
              </w:rPr>
              <w:t>5</w:t>
            </w:r>
          </w:p>
        </w:tc>
        <w:tc>
          <w:tcPr>
            <w:tcW w:w="1276" w:type="dxa"/>
            <w:vMerge w:val="restart"/>
            <w:vAlign w:val="center"/>
          </w:tcPr>
          <w:p>
            <w:pPr>
              <w:snapToGrid w:val="0"/>
              <w:spacing w:line="320" w:lineRule="exact"/>
              <w:rPr>
                <w:rFonts w:ascii="宋体" w:hAnsi="宋体" w:eastAsia="宋体"/>
                <w:sz w:val="21"/>
                <w:szCs w:val="21"/>
              </w:rPr>
            </w:pPr>
            <w:r>
              <w:rPr>
                <w:rFonts w:hint="eastAsia" w:ascii="宋体" w:hAnsi="宋体" w:eastAsia="宋体"/>
                <w:sz w:val="21"/>
                <w:szCs w:val="21"/>
              </w:rPr>
              <w:t>技术部分</w:t>
            </w:r>
          </w:p>
          <w:p>
            <w:pPr>
              <w:snapToGrid w:val="0"/>
              <w:spacing w:line="320" w:lineRule="exact"/>
              <w:rPr>
                <w:rFonts w:ascii="宋体" w:hAnsi="宋体" w:eastAsia="宋体"/>
                <w:sz w:val="21"/>
                <w:szCs w:val="21"/>
              </w:rPr>
            </w:pPr>
            <w:r>
              <w:rPr>
                <w:rFonts w:hint="eastAsia" w:ascii="宋体" w:hAnsi="宋体" w:eastAsia="宋体"/>
                <w:sz w:val="21"/>
                <w:szCs w:val="21"/>
              </w:rPr>
              <w:t>（62分）</w:t>
            </w:r>
          </w:p>
        </w:tc>
        <w:tc>
          <w:tcPr>
            <w:tcW w:w="1219" w:type="dxa"/>
            <w:vAlign w:val="center"/>
          </w:tcPr>
          <w:p>
            <w:pPr>
              <w:snapToGrid w:val="0"/>
              <w:spacing w:line="280" w:lineRule="exact"/>
              <w:rPr>
                <w:rFonts w:ascii="宋体" w:hAnsi="宋体" w:eastAsia="宋体"/>
                <w:sz w:val="21"/>
                <w:szCs w:val="21"/>
              </w:rPr>
            </w:pPr>
            <w:r>
              <w:rPr>
                <w:rFonts w:hint="eastAsia" w:ascii="宋体" w:hAnsi="宋体" w:eastAsia="宋体"/>
                <w:sz w:val="21"/>
                <w:szCs w:val="21"/>
              </w:rPr>
              <w:t>保洁工作方案（8分）</w:t>
            </w:r>
          </w:p>
        </w:tc>
        <w:tc>
          <w:tcPr>
            <w:tcW w:w="5595" w:type="dxa"/>
            <w:vAlign w:val="center"/>
          </w:tcPr>
          <w:p>
            <w:pPr>
              <w:snapToGrid w:val="0"/>
              <w:spacing w:line="280" w:lineRule="exact"/>
              <w:jc w:val="left"/>
              <w:rPr>
                <w:rFonts w:ascii="宋体" w:hAnsi="宋体" w:eastAsia="宋体"/>
                <w:sz w:val="21"/>
                <w:szCs w:val="21"/>
              </w:rPr>
            </w:pPr>
            <w:r>
              <w:rPr>
                <w:rFonts w:hint="eastAsia" w:ascii="宋体" w:hAnsi="宋体" w:eastAsia="宋体"/>
                <w:sz w:val="21"/>
                <w:szCs w:val="21"/>
              </w:rPr>
              <w:t>评标委员会根据投标人提供的保洁服务方案酌情打分，包括分区域制定保洁方案的合理性、有效的质量控制体系等相关内容。优：6-8分；一般：3-5分；差：0-2分；无相关内容得0分。</w:t>
            </w:r>
          </w:p>
        </w:tc>
        <w:tc>
          <w:tcPr>
            <w:tcW w:w="985" w:type="dxa"/>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rPr>
              <w:t>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2" w:type="dxa"/>
            <w:vAlign w:val="center"/>
          </w:tcPr>
          <w:p>
            <w:pPr>
              <w:widowControl/>
              <w:adjustRightInd w:val="0"/>
              <w:snapToGrid w:val="0"/>
              <w:jc w:val="center"/>
              <w:rPr>
                <w:rFonts w:ascii="宋体" w:hAnsi="宋体" w:cs="宋体"/>
                <w:bCs/>
                <w:kern w:val="0"/>
                <w:sz w:val="24"/>
              </w:rPr>
            </w:pPr>
            <w:r>
              <w:rPr>
                <w:rFonts w:ascii="宋体" w:hAnsi="宋体" w:cs="宋体"/>
                <w:bCs/>
                <w:kern w:val="0"/>
                <w:sz w:val="24"/>
              </w:rPr>
              <w:t>6</w:t>
            </w:r>
          </w:p>
        </w:tc>
        <w:tc>
          <w:tcPr>
            <w:tcW w:w="1276" w:type="dxa"/>
            <w:vMerge w:val="continue"/>
            <w:vAlign w:val="center"/>
          </w:tcPr>
          <w:p>
            <w:pPr>
              <w:snapToGrid w:val="0"/>
              <w:spacing w:line="320" w:lineRule="exact"/>
              <w:ind w:firstLine="424" w:firstLineChars="202"/>
              <w:rPr>
                <w:rFonts w:ascii="宋体" w:hAnsi="宋体" w:eastAsia="宋体"/>
                <w:sz w:val="21"/>
                <w:szCs w:val="21"/>
              </w:rPr>
            </w:pPr>
          </w:p>
        </w:tc>
        <w:tc>
          <w:tcPr>
            <w:tcW w:w="1219" w:type="dxa"/>
            <w:vAlign w:val="center"/>
          </w:tcPr>
          <w:p>
            <w:pPr>
              <w:snapToGrid w:val="0"/>
              <w:spacing w:line="280" w:lineRule="exact"/>
              <w:rPr>
                <w:rFonts w:ascii="宋体" w:hAnsi="宋体" w:eastAsia="宋体"/>
                <w:sz w:val="21"/>
                <w:szCs w:val="21"/>
              </w:rPr>
            </w:pPr>
            <w:r>
              <w:rPr>
                <w:rFonts w:hint="eastAsia" w:ascii="宋体" w:hAnsi="宋体" w:eastAsia="宋体"/>
                <w:sz w:val="21"/>
                <w:szCs w:val="21"/>
              </w:rPr>
              <w:t>保安工作方案（8分）</w:t>
            </w:r>
          </w:p>
        </w:tc>
        <w:tc>
          <w:tcPr>
            <w:tcW w:w="5595" w:type="dxa"/>
            <w:vAlign w:val="center"/>
          </w:tcPr>
          <w:p>
            <w:pPr>
              <w:snapToGrid w:val="0"/>
              <w:spacing w:line="280" w:lineRule="exact"/>
              <w:jc w:val="left"/>
              <w:rPr>
                <w:rFonts w:ascii="宋体" w:hAnsi="宋体" w:eastAsia="宋体"/>
                <w:sz w:val="21"/>
                <w:szCs w:val="21"/>
              </w:rPr>
            </w:pPr>
            <w:r>
              <w:rPr>
                <w:rFonts w:hint="eastAsia" w:ascii="宋体" w:hAnsi="宋体" w:eastAsia="宋体"/>
                <w:sz w:val="21"/>
                <w:szCs w:val="21"/>
              </w:rPr>
              <w:t>评标委员会根据投标人提供的保安服务方案酌情打分，包括分岗位制定保安方案的合理性、有效的质量控制体系等相关内容。优：6-8分；一般：3-5分；差：0-2分；无相关内容得0分。</w:t>
            </w:r>
          </w:p>
        </w:tc>
        <w:tc>
          <w:tcPr>
            <w:tcW w:w="985" w:type="dxa"/>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rPr>
              <w:t>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2" w:type="dxa"/>
            <w:vAlign w:val="center"/>
          </w:tcPr>
          <w:p>
            <w:pPr>
              <w:widowControl/>
              <w:adjustRightInd w:val="0"/>
              <w:snapToGrid w:val="0"/>
              <w:jc w:val="center"/>
              <w:rPr>
                <w:rFonts w:ascii="宋体" w:hAnsi="宋体" w:cs="宋体"/>
                <w:bCs/>
                <w:kern w:val="0"/>
                <w:sz w:val="24"/>
              </w:rPr>
            </w:pPr>
            <w:r>
              <w:rPr>
                <w:rFonts w:ascii="宋体" w:hAnsi="宋体" w:cs="宋体"/>
                <w:bCs/>
                <w:kern w:val="0"/>
                <w:sz w:val="24"/>
              </w:rPr>
              <w:t>7</w:t>
            </w:r>
          </w:p>
        </w:tc>
        <w:tc>
          <w:tcPr>
            <w:tcW w:w="1276" w:type="dxa"/>
            <w:vMerge w:val="continue"/>
            <w:vAlign w:val="center"/>
          </w:tcPr>
          <w:p>
            <w:pPr>
              <w:snapToGrid w:val="0"/>
              <w:spacing w:line="320" w:lineRule="exact"/>
              <w:ind w:firstLine="424" w:firstLineChars="202"/>
              <w:rPr>
                <w:rFonts w:ascii="宋体" w:hAnsi="宋体" w:eastAsia="宋体"/>
                <w:sz w:val="21"/>
                <w:szCs w:val="21"/>
              </w:rPr>
            </w:pPr>
          </w:p>
        </w:tc>
        <w:tc>
          <w:tcPr>
            <w:tcW w:w="1219" w:type="dxa"/>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rPr>
              <w:t>公共设施设备</w:t>
            </w:r>
            <w:r>
              <w:rPr>
                <w:rFonts w:hint="eastAsia" w:ascii="宋体" w:hAnsi="宋体" w:eastAsia="宋体"/>
                <w:sz w:val="21"/>
                <w:szCs w:val="21"/>
                <w:lang w:val="en-US" w:eastAsia="zh-CN"/>
              </w:rPr>
              <w:t>的维护和管理</w:t>
            </w:r>
            <w:r>
              <w:rPr>
                <w:rFonts w:hint="eastAsia" w:ascii="宋体" w:hAnsi="宋体" w:eastAsia="宋体"/>
                <w:sz w:val="21"/>
                <w:szCs w:val="21"/>
                <w:lang w:eastAsia="zh-CN"/>
              </w:rPr>
              <w:t>、</w:t>
            </w:r>
            <w:r>
              <w:rPr>
                <w:rFonts w:hint="eastAsia" w:ascii="宋体" w:hAnsi="宋体" w:eastAsia="宋体"/>
                <w:sz w:val="21"/>
                <w:szCs w:val="21"/>
                <w:lang w:val="en-US" w:eastAsia="zh-CN"/>
              </w:rPr>
              <w:t>公共</w:t>
            </w:r>
            <w:r>
              <w:rPr>
                <w:rFonts w:hint="eastAsia" w:ascii="宋体" w:hAnsi="宋体" w:eastAsia="宋体"/>
                <w:sz w:val="21"/>
                <w:szCs w:val="21"/>
              </w:rPr>
              <w:t>绿化</w:t>
            </w:r>
            <w:r>
              <w:rPr>
                <w:rFonts w:hint="eastAsia" w:ascii="宋体" w:hAnsi="宋体" w:eastAsia="宋体"/>
                <w:sz w:val="21"/>
                <w:szCs w:val="21"/>
                <w:lang w:val="en-US" w:eastAsia="zh-CN"/>
              </w:rPr>
              <w:t>的监管</w:t>
            </w:r>
            <w:r>
              <w:rPr>
                <w:rFonts w:hint="eastAsia" w:ascii="宋体" w:hAnsi="宋体" w:eastAsia="宋体"/>
                <w:sz w:val="21"/>
                <w:szCs w:val="21"/>
              </w:rPr>
              <w:t>（15分）</w:t>
            </w:r>
          </w:p>
        </w:tc>
        <w:tc>
          <w:tcPr>
            <w:tcW w:w="5595" w:type="dxa"/>
            <w:vAlign w:val="center"/>
          </w:tcPr>
          <w:p>
            <w:pPr>
              <w:snapToGrid w:val="0"/>
              <w:spacing w:line="280" w:lineRule="exact"/>
              <w:jc w:val="left"/>
              <w:rPr>
                <w:rFonts w:ascii="宋体" w:hAnsi="宋体" w:eastAsia="宋体"/>
                <w:sz w:val="21"/>
                <w:szCs w:val="21"/>
              </w:rPr>
            </w:pPr>
            <w:r>
              <w:rPr>
                <w:rFonts w:hint="eastAsia" w:ascii="宋体" w:hAnsi="宋体" w:eastAsia="宋体"/>
                <w:sz w:val="21"/>
                <w:szCs w:val="21"/>
                <w:lang w:val="en-US" w:eastAsia="zh-CN"/>
              </w:rPr>
              <w:t>物业公用部位的维护和管理；</w:t>
            </w:r>
            <w:r>
              <w:rPr>
                <w:rFonts w:hint="eastAsia" w:ascii="宋体" w:hAnsi="宋体" w:eastAsia="宋体"/>
                <w:sz w:val="21"/>
                <w:szCs w:val="21"/>
              </w:rPr>
              <w:t>消防、监控等安全消防设施落实专业</w:t>
            </w:r>
            <w:r>
              <w:rPr>
                <w:rFonts w:hint="eastAsia" w:ascii="宋体" w:hAnsi="宋体" w:eastAsia="宋体"/>
                <w:sz w:val="21"/>
                <w:szCs w:val="21"/>
                <w:lang w:val="en-US" w:eastAsia="zh-CN"/>
              </w:rPr>
              <w:t>管理人员</w:t>
            </w:r>
            <w:r>
              <w:rPr>
                <w:rFonts w:hint="eastAsia" w:ascii="宋体" w:hAnsi="宋体" w:eastAsia="宋体"/>
                <w:sz w:val="21"/>
                <w:szCs w:val="21"/>
              </w:rPr>
              <w:t>，定期进行检</w:t>
            </w:r>
            <w:r>
              <w:rPr>
                <w:rFonts w:hint="eastAsia" w:ascii="宋体" w:hAnsi="宋体" w:eastAsia="宋体"/>
                <w:sz w:val="21"/>
                <w:szCs w:val="21"/>
                <w:lang w:val="en-US" w:eastAsia="zh-CN"/>
              </w:rPr>
              <w:t>查</w:t>
            </w:r>
            <w:r>
              <w:rPr>
                <w:rFonts w:hint="eastAsia" w:ascii="宋体" w:hAnsi="宋体" w:eastAsia="宋体"/>
                <w:sz w:val="21"/>
                <w:szCs w:val="21"/>
                <w:lang w:eastAsia="zh-CN"/>
              </w:rPr>
              <w:t>，</w:t>
            </w:r>
            <w:r>
              <w:rPr>
                <w:rFonts w:hint="eastAsia" w:ascii="宋体" w:hAnsi="宋体" w:eastAsia="宋体"/>
                <w:sz w:val="21"/>
                <w:szCs w:val="21"/>
              </w:rPr>
              <w:t>有完善的消防安全管理制度，配备特种设备管理人员</w:t>
            </w:r>
            <w:r>
              <w:rPr>
                <w:rFonts w:hint="eastAsia" w:ascii="宋体" w:hAnsi="宋体" w:eastAsia="宋体"/>
                <w:sz w:val="21"/>
                <w:szCs w:val="21"/>
                <w:lang w:eastAsia="zh-CN"/>
              </w:rPr>
              <w:t>；</w:t>
            </w:r>
            <w:r>
              <w:rPr>
                <w:rFonts w:hint="eastAsia" w:ascii="宋体" w:hAnsi="宋体" w:eastAsia="宋体"/>
                <w:sz w:val="21"/>
                <w:szCs w:val="21"/>
              </w:rPr>
              <w:t>公共设施设备</w:t>
            </w:r>
            <w:r>
              <w:rPr>
                <w:rFonts w:hint="eastAsia" w:ascii="宋体" w:hAnsi="宋体" w:eastAsia="宋体"/>
                <w:sz w:val="21"/>
                <w:szCs w:val="21"/>
                <w:lang w:val="en-US" w:eastAsia="zh-CN"/>
              </w:rPr>
              <w:t>的运行、监管</w:t>
            </w:r>
            <w:r>
              <w:rPr>
                <w:rFonts w:hint="eastAsia" w:ascii="宋体" w:hAnsi="宋体" w:eastAsia="宋体"/>
                <w:sz w:val="21"/>
                <w:szCs w:val="21"/>
                <w:lang w:eastAsia="zh-CN"/>
              </w:rPr>
              <w:t>；</w:t>
            </w:r>
            <w:r>
              <w:rPr>
                <w:rFonts w:hint="eastAsia" w:ascii="宋体" w:hAnsi="宋体" w:eastAsia="宋体"/>
                <w:sz w:val="21"/>
                <w:szCs w:val="21"/>
                <w:lang w:val="en-US" w:eastAsia="zh-CN"/>
              </w:rPr>
              <w:t>公共</w:t>
            </w:r>
            <w:r>
              <w:rPr>
                <w:rFonts w:hint="eastAsia" w:ascii="宋体" w:hAnsi="宋体" w:eastAsia="宋体"/>
                <w:sz w:val="21"/>
                <w:szCs w:val="21"/>
              </w:rPr>
              <w:t>绿化</w:t>
            </w:r>
            <w:r>
              <w:rPr>
                <w:rFonts w:hint="eastAsia" w:ascii="宋体" w:hAnsi="宋体" w:eastAsia="宋体"/>
                <w:sz w:val="21"/>
                <w:szCs w:val="21"/>
                <w:lang w:val="en-US" w:eastAsia="zh-CN"/>
              </w:rPr>
              <w:t>监管。措施完整</w:t>
            </w:r>
            <w:r>
              <w:rPr>
                <w:rFonts w:hint="eastAsia" w:ascii="宋体" w:hAnsi="宋体" w:eastAsia="宋体"/>
                <w:sz w:val="21"/>
                <w:szCs w:val="21"/>
              </w:rPr>
              <w:t>全面得</w:t>
            </w:r>
            <w:r>
              <w:rPr>
                <w:rFonts w:ascii="宋体" w:hAnsi="宋体" w:eastAsia="宋体"/>
                <w:sz w:val="21"/>
                <w:szCs w:val="21"/>
              </w:rPr>
              <w:t>10</w:t>
            </w:r>
            <w:r>
              <w:rPr>
                <w:rFonts w:hint="eastAsia" w:ascii="宋体" w:hAnsi="宋体" w:eastAsia="宋体"/>
                <w:sz w:val="21"/>
                <w:szCs w:val="21"/>
              </w:rPr>
              <w:t>-1</w:t>
            </w:r>
            <w:r>
              <w:rPr>
                <w:rFonts w:ascii="宋体" w:hAnsi="宋体" w:eastAsia="宋体"/>
                <w:sz w:val="21"/>
                <w:szCs w:val="21"/>
              </w:rPr>
              <w:t>5</w:t>
            </w:r>
            <w:r>
              <w:rPr>
                <w:rFonts w:hint="eastAsia" w:ascii="宋体" w:hAnsi="宋体" w:eastAsia="宋体"/>
                <w:sz w:val="21"/>
                <w:szCs w:val="21"/>
              </w:rPr>
              <w:t>分；一般得</w:t>
            </w:r>
            <w:r>
              <w:rPr>
                <w:rFonts w:ascii="宋体" w:hAnsi="宋体" w:eastAsia="宋体"/>
                <w:sz w:val="21"/>
                <w:szCs w:val="21"/>
              </w:rPr>
              <w:t>5</w:t>
            </w:r>
            <w:r>
              <w:rPr>
                <w:rFonts w:hint="eastAsia" w:ascii="宋体" w:hAnsi="宋体" w:eastAsia="宋体"/>
                <w:sz w:val="21"/>
                <w:szCs w:val="21"/>
              </w:rPr>
              <w:t>-</w:t>
            </w:r>
            <w:r>
              <w:rPr>
                <w:rFonts w:ascii="宋体" w:hAnsi="宋体" w:eastAsia="宋体"/>
                <w:sz w:val="21"/>
                <w:szCs w:val="21"/>
              </w:rPr>
              <w:t>9</w:t>
            </w:r>
            <w:r>
              <w:rPr>
                <w:rFonts w:hint="eastAsia" w:ascii="宋体" w:hAnsi="宋体" w:eastAsia="宋体"/>
                <w:sz w:val="21"/>
                <w:szCs w:val="21"/>
              </w:rPr>
              <w:t>分；不全面得</w:t>
            </w:r>
            <w:r>
              <w:rPr>
                <w:rFonts w:ascii="宋体" w:hAnsi="宋体" w:eastAsia="宋体"/>
                <w:sz w:val="21"/>
                <w:szCs w:val="21"/>
              </w:rPr>
              <w:t>2</w:t>
            </w:r>
            <w:r>
              <w:rPr>
                <w:rFonts w:hint="eastAsia" w:ascii="宋体" w:hAnsi="宋体" w:eastAsia="宋体"/>
                <w:sz w:val="21"/>
                <w:szCs w:val="21"/>
              </w:rPr>
              <w:t>-</w:t>
            </w:r>
            <w:r>
              <w:rPr>
                <w:rFonts w:ascii="宋体" w:hAnsi="宋体" w:eastAsia="宋体"/>
                <w:sz w:val="21"/>
                <w:szCs w:val="21"/>
              </w:rPr>
              <w:t>4</w:t>
            </w:r>
            <w:r>
              <w:rPr>
                <w:rFonts w:hint="eastAsia" w:ascii="宋体" w:hAnsi="宋体" w:eastAsia="宋体"/>
                <w:sz w:val="21"/>
                <w:szCs w:val="21"/>
              </w:rPr>
              <w:t>分；没有计划得0分。</w:t>
            </w:r>
          </w:p>
        </w:tc>
        <w:tc>
          <w:tcPr>
            <w:tcW w:w="985" w:type="dxa"/>
            <w:vAlign w:val="center"/>
          </w:tcPr>
          <w:p>
            <w:pPr>
              <w:snapToGrid w:val="0"/>
              <w:spacing w:line="280" w:lineRule="exact"/>
              <w:ind w:firstLine="210" w:firstLineChars="100"/>
              <w:rPr>
                <w:rFonts w:ascii="宋体" w:hAnsi="宋体" w:eastAsia="宋体"/>
                <w:sz w:val="21"/>
                <w:szCs w:val="21"/>
              </w:rPr>
            </w:pPr>
            <w:r>
              <w:rPr>
                <w:rFonts w:hint="eastAsia" w:ascii="宋体" w:hAnsi="宋体" w:eastAsia="宋体"/>
                <w:sz w:val="21"/>
                <w:szCs w:val="21"/>
              </w:rPr>
              <w:t>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2" w:type="dxa"/>
            <w:vAlign w:val="center"/>
          </w:tcPr>
          <w:p>
            <w:pPr>
              <w:widowControl/>
              <w:adjustRightInd w:val="0"/>
              <w:snapToGrid w:val="0"/>
              <w:jc w:val="center"/>
              <w:rPr>
                <w:rFonts w:ascii="宋体" w:hAnsi="宋体" w:cs="宋体"/>
                <w:bCs/>
                <w:kern w:val="0"/>
                <w:sz w:val="24"/>
              </w:rPr>
            </w:pPr>
            <w:r>
              <w:rPr>
                <w:rFonts w:ascii="宋体" w:hAnsi="宋体" w:cs="宋体"/>
                <w:bCs/>
                <w:kern w:val="0"/>
                <w:sz w:val="24"/>
              </w:rPr>
              <w:t>8</w:t>
            </w:r>
          </w:p>
        </w:tc>
        <w:tc>
          <w:tcPr>
            <w:tcW w:w="1276" w:type="dxa"/>
            <w:vMerge w:val="continue"/>
            <w:vAlign w:val="center"/>
          </w:tcPr>
          <w:p>
            <w:pPr>
              <w:snapToGrid w:val="0"/>
              <w:spacing w:line="320" w:lineRule="exact"/>
              <w:ind w:firstLine="424" w:firstLineChars="202"/>
              <w:rPr>
                <w:rFonts w:ascii="宋体" w:hAnsi="宋体" w:eastAsia="宋体"/>
                <w:sz w:val="21"/>
                <w:szCs w:val="21"/>
              </w:rPr>
            </w:pPr>
          </w:p>
        </w:tc>
        <w:tc>
          <w:tcPr>
            <w:tcW w:w="1219" w:type="dxa"/>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rPr>
              <w:t>突发应急处置预案（6分）</w:t>
            </w:r>
          </w:p>
        </w:tc>
        <w:tc>
          <w:tcPr>
            <w:tcW w:w="5595" w:type="dxa"/>
            <w:vAlign w:val="center"/>
          </w:tcPr>
          <w:p>
            <w:pPr>
              <w:snapToGrid w:val="0"/>
              <w:spacing w:line="280" w:lineRule="exact"/>
              <w:jc w:val="left"/>
              <w:rPr>
                <w:rFonts w:ascii="宋体" w:hAnsi="宋体" w:eastAsia="宋体"/>
                <w:sz w:val="21"/>
                <w:szCs w:val="21"/>
              </w:rPr>
            </w:pPr>
            <w:r>
              <w:rPr>
                <w:rFonts w:hint="eastAsia" w:ascii="宋体" w:hAnsi="宋体" w:eastAsia="宋体"/>
                <w:sz w:val="21"/>
                <w:szCs w:val="21"/>
              </w:rPr>
              <w:t>评标委员会根据投标人提供的突发应急处置方案酌情打分。优：5-6分；一般：3-4分；差：1-2分；无相关内容得0分。</w:t>
            </w:r>
          </w:p>
        </w:tc>
        <w:tc>
          <w:tcPr>
            <w:tcW w:w="985" w:type="dxa"/>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2" w:type="dxa"/>
            <w:vAlign w:val="center"/>
          </w:tcPr>
          <w:p>
            <w:pPr>
              <w:widowControl/>
              <w:adjustRightInd w:val="0"/>
              <w:snapToGrid w:val="0"/>
              <w:jc w:val="center"/>
              <w:rPr>
                <w:rFonts w:ascii="宋体" w:hAnsi="宋体" w:cs="宋体"/>
                <w:bCs/>
                <w:kern w:val="0"/>
                <w:sz w:val="24"/>
              </w:rPr>
            </w:pPr>
            <w:r>
              <w:rPr>
                <w:rFonts w:ascii="宋体" w:hAnsi="宋体" w:cs="宋体"/>
                <w:bCs/>
                <w:kern w:val="0"/>
                <w:sz w:val="24"/>
              </w:rPr>
              <w:t>9</w:t>
            </w:r>
          </w:p>
        </w:tc>
        <w:tc>
          <w:tcPr>
            <w:tcW w:w="1276" w:type="dxa"/>
            <w:vMerge w:val="continue"/>
            <w:vAlign w:val="center"/>
          </w:tcPr>
          <w:p>
            <w:pPr>
              <w:snapToGrid w:val="0"/>
              <w:spacing w:line="320" w:lineRule="exact"/>
              <w:ind w:firstLine="424" w:firstLineChars="202"/>
              <w:rPr>
                <w:rFonts w:ascii="宋体" w:hAnsi="宋体" w:eastAsia="宋体"/>
                <w:sz w:val="21"/>
                <w:szCs w:val="21"/>
              </w:rPr>
            </w:pPr>
          </w:p>
        </w:tc>
        <w:tc>
          <w:tcPr>
            <w:tcW w:w="1219" w:type="dxa"/>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rPr>
              <w:t>人员合理性（6分）</w:t>
            </w:r>
          </w:p>
        </w:tc>
        <w:tc>
          <w:tcPr>
            <w:tcW w:w="5595" w:type="dxa"/>
            <w:vAlign w:val="center"/>
          </w:tcPr>
          <w:p>
            <w:pPr>
              <w:tabs>
                <w:tab w:val="left" w:pos="3675"/>
              </w:tabs>
              <w:snapToGrid w:val="0"/>
              <w:spacing w:line="280" w:lineRule="exact"/>
              <w:jc w:val="left"/>
              <w:rPr>
                <w:rFonts w:ascii="宋体" w:hAnsi="宋体" w:eastAsia="宋体"/>
                <w:sz w:val="21"/>
                <w:szCs w:val="21"/>
              </w:rPr>
            </w:pPr>
            <w:r>
              <w:rPr>
                <w:rFonts w:hint="eastAsia" w:ascii="宋体" w:hAnsi="宋体" w:eastAsia="宋体"/>
                <w:sz w:val="21"/>
                <w:szCs w:val="21"/>
              </w:rPr>
              <w:t>评标委员会根据投标文件中对各岗位的人员设置安排及“组织管理”内容的合理性、科学性进行评审。优：5-6分；一般：3-4分；差：1-2分；无相关内容得0分。</w:t>
            </w:r>
          </w:p>
        </w:tc>
        <w:tc>
          <w:tcPr>
            <w:tcW w:w="985" w:type="dxa"/>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2" w:type="dxa"/>
            <w:tcBorders>
              <w:bottom w:val="single" w:color="auto" w:sz="4" w:space="0"/>
            </w:tcBorders>
            <w:vAlign w:val="center"/>
          </w:tcPr>
          <w:p>
            <w:pPr>
              <w:widowControl/>
              <w:adjustRightInd w:val="0"/>
              <w:snapToGrid w:val="0"/>
              <w:jc w:val="center"/>
              <w:rPr>
                <w:rFonts w:ascii="宋体" w:hAnsi="宋体" w:cs="宋体"/>
                <w:bCs/>
                <w:kern w:val="0"/>
                <w:sz w:val="24"/>
              </w:rPr>
            </w:pPr>
            <w:r>
              <w:rPr>
                <w:rFonts w:ascii="宋体" w:hAnsi="宋体" w:cs="宋体"/>
                <w:bCs/>
                <w:kern w:val="0"/>
                <w:sz w:val="24"/>
              </w:rPr>
              <w:t>10</w:t>
            </w:r>
          </w:p>
        </w:tc>
        <w:tc>
          <w:tcPr>
            <w:tcW w:w="1276" w:type="dxa"/>
            <w:vMerge w:val="continue"/>
            <w:vAlign w:val="center"/>
          </w:tcPr>
          <w:p>
            <w:pPr>
              <w:snapToGrid w:val="0"/>
              <w:spacing w:line="320" w:lineRule="exact"/>
              <w:ind w:firstLine="424" w:firstLineChars="202"/>
              <w:rPr>
                <w:rFonts w:ascii="宋体" w:hAnsi="宋体" w:eastAsia="宋体"/>
                <w:sz w:val="21"/>
                <w:szCs w:val="21"/>
              </w:rPr>
            </w:pPr>
          </w:p>
        </w:tc>
        <w:tc>
          <w:tcPr>
            <w:tcW w:w="1219" w:type="dxa"/>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rPr>
              <w:t>管理制度（6分）</w:t>
            </w:r>
          </w:p>
        </w:tc>
        <w:tc>
          <w:tcPr>
            <w:tcW w:w="5595" w:type="dxa"/>
            <w:vAlign w:val="center"/>
          </w:tcPr>
          <w:p>
            <w:pPr>
              <w:snapToGrid w:val="0"/>
              <w:spacing w:line="280" w:lineRule="exact"/>
              <w:jc w:val="left"/>
              <w:rPr>
                <w:rFonts w:ascii="宋体" w:hAnsi="宋体" w:eastAsia="宋体"/>
                <w:sz w:val="21"/>
                <w:szCs w:val="21"/>
              </w:rPr>
            </w:pPr>
            <w:r>
              <w:rPr>
                <w:rFonts w:hint="eastAsia" w:ascii="宋体" w:hAnsi="宋体" w:eastAsia="宋体"/>
                <w:sz w:val="21"/>
                <w:szCs w:val="21"/>
              </w:rPr>
              <w:t>评委根据投标人对各个岗位的服务内容、形式及具体工作程序、细则，以及分别设置相应健全、明细的管理规章制度、标准情况、奖惩措施等酌情打分。优：5-6分；一般：3-4分；差：1-2分；无相关内容得0分。</w:t>
            </w:r>
          </w:p>
        </w:tc>
        <w:tc>
          <w:tcPr>
            <w:tcW w:w="985" w:type="dxa"/>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jc w:val="center"/>
        </w:trPr>
        <w:tc>
          <w:tcPr>
            <w:tcW w:w="552" w:type="dxa"/>
            <w:vAlign w:val="center"/>
          </w:tcPr>
          <w:p>
            <w:pPr>
              <w:adjustRightInd w:val="0"/>
              <w:snapToGrid w:val="0"/>
              <w:jc w:val="center"/>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1</w:t>
            </w:r>
          </w:p>
        </w:tc>
        <w:tc>
          <w:tcPr>
            <w:tcW w:w="1276" w:type="dxa"/>
            <w:vMerge w:val="continue"/>
            <w:vAlign w:val="center"/>
          </w:tcPr>
          <w:p>
            <w:pPr>
              <w:snapToGrid w:val="0"/>
              <w:spacing w:line="320" w:lineRule="exact"/>
              <w:ind w:firstLine="424" w:firstLineChars="202"/>
              <w:rPr>
                <w:rFonts w:ascii="宋体" w:hAnsi="宋体" w:eastAsia="宋体"/>
                <w:sz w:val="21"/>
                <w:szCs w:val="21"/>
              </w:rPr>
            </w:pPr>
          </w:p>
        </w:tc>
        <w:tc>
          <w:tcPr>
            <w:tcW w:w="1219" w:type="dxa"/>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rPr>
              <w:t>社区文化建设方案</w:t>
            </w:r>
          </w:p>
          <w:p>
            <w:pPr>
              <w:snapToGrid w:val="0"/>
              <w:spacing w:line="280" w:lineRule="exact"/>
              <w:jc w:val="center"/>
              <w:rPr>
                <w:rFonts w:ascii="宋体" w:hAnsi="宋体" w:eastAsia="宋体"/>
                <w:sz w:val="21"/>
                <w:szCs w:val="21"/>
              </w:rPr>
            </w:pPr>
            <w:r>
              <w:rPr>
                <w:rFonts w:hint="eastAsia" w:ascii="宋体" w:hAnsi="宋体" w:eastAsia="宋体"/>
                <w:sz w:val="21"/>
                <w:szCs w:val="21"/>
              </w:rPr>
              <w:t>（3分）</w:t>
            </w:r>
          </w:p>
        </w:tc>
        <w:tc>
          <w:tcPr>
            <w:tcW w:w="5595" w:type="dxa"/>
            <w:vAlign w:val="center"/>
          </w:tcPr>
          <w:p>
            <w:pPr>
              <w:snapToGrid w:val="0"/>
              <w:spacing w:line="280" w:lineRule="exact"/>
              <w:jc w:val="left"/>
              <w:rPr>
                <w:rFonts w:ascii="宋体" w:hAnsi="宋体" w:eastAsia="宋体"/>
                <w:sz w:val="21"/>
                <w:szCs w:val="21"/>
              </w:rPr>
            </w:pPr>
            <w:r>
              <w:rPr>
                <w:rFonts w:hint="eastAsia" w:ascii="宋体" w:hAnsi="宋体" w:eastAsia="宋体"/>
                <w:sz w:val="21"/>
                <w:szCs w:val="21"/>
              </w:rPr>
              <w:t>社区文化建设计划，周密且易于实施得</w:t>
            </w:r>
            <w:r>
              <w:rPr>
                <w:rFonts w:ascii="宋体" w:hAnsi="宋体" w:eastAsia="宋体"/>
                <w:sz w:val="21"/>
                <w:szCs w:val="21"/>
              </w:rPr>
              <w:t>3</w:t>
            </w:r>
            <w:r>
              <w:rPr>
                <w:rFonts w:hint="eastAsia" w:ascii="宋体" w:hAnsi="宋体" w:eastAsia="宋体"/>
                <w:sz w:val="21"/>
                <w:szCs w:val="21"/>
              </w:rPr>
              <w:t>分，一般得1-2分；不合理得0分。</w:t>
            </w:r>
          </w:p>
        </w:tc>
        <w:tc>
          <w:tcPr>
            <w:tcW w:w="985" w:type="dxa"/>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jc w:val="center"/>
        </w:trPr>
        <w:tc>
          <w:tcPr>
            <w:tcW w:w="552" w:type="dxa"/>
            <w:vAlign w:val="center"/>
          </w:tcPr>
          <w:p>
            <w:pPr>
              <w:adjustRightInd w:val="0"/>
              <w:snapToGrid w:val="0"/>
              <w:jc w:val="center"/>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2</w:t>
            </w:r>
          </w:p>
        </w:tc>
        <w:tc>
          <w:tcPr>
            <w:tcW w:w="1276" w:type="dxa"/>
            <w:vMerge w:val="continue"/>
            <w:vAlign w:val="center"/>
          </w:tcPr>
          <w:p>
            <w:pPr>
              <w:snapToGrid w:val="0"/>
              <w:spacing w:line="320" w:lineRule="exact"/>
              <w:ind w:firstLine="424" w:firstLineChars="202"/>
              <w:rPr>
                <w:rFonts w:ascii="宋体" w:hAnsi="宋体" w:eastAsia="宋体"/>
                <w:sz w:val="21"/>
                <w:szCs w:val="21"/>
              </w:rPr>
            </w:pPr>
          </w:p>
        </w:tc>
        <w:tc>
          <w:tcPr>
            <w:tcW w:w="1219" w:type="dxa"/>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rPr>
              <w:t>小区“六乱”现象管控方案</w:t>
            </w:r>
          </w:p>
          <w:p>
            <w:pPr>
              <w:snapToGrid w:val="0"/>
              <w:spacing w:line="280" w:lineRule="exact"/>
              <w:jc w:val="center"/>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0分）</w:t>
            </w:r>
          </w:p>
        </w:tc>
        <w:tc>
          <w:tcPr>
            <w:tcW w:w="5595" w:type="dxa"/>
            <w:vAlign w:val="center"/>
          </w:tcPr>
          <w:p>
            <w:pPr>
              <w:snapToGrid w:val="0"/>
              <w:spacing w:line="280" w:lineRule="exact"/>
              <w:jc w:val="left"/>
              <w:rPr>
                <w:rFonts w:ascii="宋体" w:hAnsi="宋体" w:eastAsia="宋体"/>
                <w:sz w:val="21"/>
                <w:szCs w:val="21"/>
              </w:rPr>
            </w:pPr>
            <w:r>
              <w:rPr>
                <w:rFonts w:hint="eastAsia" w:ascii="宋体" w:hAnsi="宋体" w:eastAsia="宋体"/>
                <w:sz w:val="21"/>
                <w:szCs w:val="21"/>
              </w:rPr>
              <w:t>（1）“六乱”管控方案合理得8-</w:t>
            </w:r>
            <w:r>
              <w:rPr>
                <w:rFonts w:ascii="宋体" w:hAnsi="宋体" w:eastAsia="宋体"/>
                <w:sz w:val="21"/>
                <w:szCs w:val="21"/>
              </w:rPr>
              <w:t>1</w:t>
            </w:r>
            <w:r>
              <w:rPr>
                <w:rFonts w:hint="eastAsia" w:ascii="宋体" w:hAnsi="宋体" w:eastAsia="宋体"/>
                <w:sz w:val="21"/>
                <w:szCs w:val="21"/>
              </w:rPr>
              <w:t>0分；</w:t>
            </w:r>
          </w:p>
          <w:p>
            <w:pPr>
              <w:snapToGrid w:val="0"/>
              <w:spacing w:line="280" w:lineRule="exact"/>
              <w:jc w:val="left"/>
              <w:rPr>
                <w:rFonts w:ascii="宋体" w:hAnsi="宋体" w:eastAsia="宋体"/>
                <w:sz w:val="21"/>
                <w:szCs w:val="21"/>
              </w:rPr>
            </w:pPr>
            <w:r>
              <w:rPr>
                <w:rFonts w:hint="eastAsia" w:ascii="宋体" w:hAnsi="宋体" w:eastAsia="宋体"/>
                <w:sz w:val="21"/>
                <w:szCs w:val="21"/>
              </w:rPr>
              <w:t>（2）“六乱”管控方案较合理得5-</w:t>
            </w:r>
            <w:r>
              <w:rPr>
                <w:rFonts w:ascii="宋体" w:hAnsi="宋体" w:eastAsia="宋体"/>
                <w:sz w:val="21"/>
                <w:szCs w:val="21"/>
              </w:rPr>
              <w:t>7</w:t>
            </w:r>
            <w:r>
              <w:rPr>
                <w:rFonts w:hint="eastAsia" w:ascii="宋体" w:hAnsi="宋体" w:eastAsia="宋体"/>
                <w:sz w:val="21"/>
                <w:szCs w:val="21"/>
              </w:rPr>
              <w:t>分；</w:t>
            </w:r>
          </w:p>
          <w:p>
            <w:pPr>
              <w:snapToGrid w:val="0"/>
              <w:spacing w:line="280" w:lineRule="exact"/>
              <w:jc w:val="left"/>
              <w:rPr>
                <w:rFonts w:ascii="宋体" w:hAnsi="宋体" w:eastAsia="宋体"/>
                <w:sz w:val="21"/>
                <w:szCs w:val="21"/>
              </w:rPr>
            </w:pPr>
            <w:r>
              <w:rPr>
                <w:rFonts w:hint="eastAsia" w:ascii="宋体" w:hAnsi="宋体" w:eastAsia="宋体"/>
                <w:sz w:val="21"/>
                <w:szCs w:val="21"/>
              </w:rPr>
              <w:t>（3）“六乱”管理一般得</w:t>
            </w:r>
            <w:r>
              <w:rPr>
                <w:rFonts w:ascii="宋体" w:hAnsi="宋体" w:eastAsia="宋体"/>
                <w:sz w:val="21"/>
                <w:szCs w:val="21"/>
              </w:rPr>
              <w:t>3</w:t>
            </w:r>
            <w:r>
              <w:rPr>
                <w:rFonts w:hint="eastAsia" w:ascii="宋体" w:hAnsi="宋体" w:eastAsia="宋体"/>
                <w:sz w:val="21"/>
                <w:szCs w:val="21"/>
              </w:rPr>
              <w:t>分以下。</w:t>
            </w:r>
          </w:p>
        </w:tc>
        <w:tc>
          <w:tcPr>
            <w:tcW w:w="985" w:type="dxa"/>
            <w:vAlign w:val="center"/>
          </w:tcPr>
          <w:p>
            <w:pPr>
              <w:snapToGrid w:val="0"/>
              <w:spacing w:line="280" w:lineRule="exact"/>
              <w:jc w:val="center"/>
              <w:rPr>
                <w:rFonts w:ascii="宋体" w:hAnsi="宋体" w:eastAsia="宋体"/>
                <w:sz w:val="21"/>
                <w:szCs w:val="21"/>
              </w:rPr>
            </w:pPr>
            <w:r>
              <w:rPr>
                <w:rFonts w:hint="eastAsia" w:ascii="宋体" w:hAnsi="宋体" w:eastAsia="宋体"/>
                <w:sz w:val="21"/>
                <w:szCs w:val="21"/>
              </w:rPr>
              <w:t>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52" w:type="dxa"/>
            <w:vAlign w:val="center"/>
          </w:tcPr>
          <w:p>
            <w:pPr>
              <w:widowControl/>
              <w:adjustRightInd w:val="0"/>
              <w:snapToGrid w:val="0"/>
              <w:jc w:val="center"/>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3</w:t>
            </w:r>
          </w:p>
        </w:tc>
        <w:tc>
          <w:tcPr>
            <w:tcW w:w="1276" w:type="dxa"/>
            <w:vAlign w:val="center"/>
          </w:tcPr>
          <w:p>
            <w:pPr>
              <w:snapToGrid w:val="0"/>
              <w:spacing w:line="320" w:lineRule="exact"/>
              <w:rPr>
                <w:rFonts w:ascii="宋体" w:hAnsi="宋体" w:eastAsia="宋体"/>
                <w:sz w:val="21"/>
                <w:szCs w:val="21"/>
              </w:rPr>
            </w:pPr>
            <w:r>
              <w:rPr>
                <w:rFonts w:hint="eastAsia" w:ascii="宋体" w:hAnsi="宋体" w:eastAsia="宋体"/>
                <w:sz w:val="21"/>
                <w:szCs w:val="21"/>
              </w:rPr>
              <w:t>价格部分（10分）</w:t>
            </w:r>
          </w:p>
        </w:tc>
        <w:tc>
          <w:tcPr>
            <w:tcW w:w="6814" w:type="dxa"/>
            <w:gridSpan w:val="2"/>
            <w:vAlign w:val="center"/>
          </w:tcPr>
          <w:p>
            <w:pPr>
              <w:snapToGrid w:val="0"/>
              <w:spacing w:line="320" w:lineRule="exact"/>
              <w:rPr>
                <w:rFonts w:ascii="宋体" w:hAnsi="宋体" w:eastAsia="宋体"/>
                <w:sz w:val="21"/>
                <w:szCs w:val="21"/>
              </w:rPr>
            </w:pPr>
            <w:r>
              <w:rPr>
                <w:rFonts w:hint="eastAsia" w:ascii="宋体" w:hAnsi="宋体" w:eastAsia="宋体"/>
                <w:sz w:val="21"/>
                <w:szCs w:val="21"/>
              </w:rPr>
              <w:t>提供投标响应函，承诺按照磋商文件的一切要求，提供完成该项目的全部内容，并接受磋商文件的支付方式，即：物业费收取标准和服务补贴金额为：①前两年由成交人参照2021年《崇川区社区物业管理办法》标准向业主收取；两年后</w:t>
            </w:r>
            <w:r>
              <w:rPr>
                <w:rFonts w:hint="eastAsia" w:ascii="宋体" w:hAnsi="宋体" w:eastAsia="宋体"/>
                <w:sz w:val="21"/>
                <w:szCs w:val="21"/>
                <w:lang w:val="en-US" w:eastAsia="zh-CN"/>
              </w:rPr>
              <w:t>享</w:t>
            </w:r>
            <w:r>
              <w:rPr>
                <w:rFonts w:hint="eastAsia" w:ascii="宋体" w:hAnsi="宋体" w:eastAsia="宋体"/>
                <w:sz w:val="21"/>
                <w:szCs w:val="21"/>
              </w:rPr>
              <w:t>受安置房补贴部分（面积待区住建局核定）由采购人按0.5元/㎡/月补贴。成交人进场后由区住建局考核、街道打分，按规拨付。</w:t>
            </w:r>
          </w:p>
          <w:p>
            <w:pPr>
              <w:snapToGrid w:val="0"/>
              <w:spacing w:line="320" w:lineRule="exact"/>
              <w:ind w:firstLine="424" w:firstLineChars="202"/>
              <w:rPr>
                <w:rFonts w:ascii="宋体" w:hAnsi="宋体" w:eastAsia="宋体"/>
                <w:sz w:val="21"/>
                <w:szCs w:val="21"/>
              </w:rPr>
            </w:pPr>
            <w:r>
              <w:rPr>
                <w:rFonts w:hint="eastAsia" w:ascii="宋体" w:hAnsi="宋体" w:eastAsia="宋体"/>
                <w:sz w:val="21"/>
                <w:szCs w:val="21"/>
              </w:rPr>
              <w:t>②不享受安置房补贴部分（总面积减去补贴部分面积）由成交人参照2021年《崇川区社区物业管理办法》标准向业主收取。</w:t>
            </w:r>
          </w:p>
          <w:p>
            <w:pPr>
              <w:snapToGrid w:val="0"/>
              <w:spacing w:line="320" w:lineRule="exact"/>
              <w:ind w:firstLine="424" w:firstLineChars="202"/>
              <w:rPr>
                <w:rFonts w:ascii="宋体" w:hAnsi="宋体" w:eastAsia="宋体"/>
                <w:sz w:val="21"/>
                <w:szCs w:val="21"/>
              </w:rPr>
            </w:pPr>
            <w:r>
              <w:rPr>
                <w:rFonts w:hint="eastAsia" w:ascii="宋体" w:hAnsi="宋体" w:eastAsia="宋体"/>
                <w:sz w:val="21"/>
                <w:szCs w:val="21"/>
              </w:rPr>
              <w:t>③上述两年后安置房补贴面积目前暂未确定且每年更新，合同期间，具体补贴及自收面积以即时实际数据为准。</w:t>
            </w:r>
          </w:p>
        </w:tc>
        <w:tc>
          <w:tcPr>
            <w:tcW w:w="985" w:type="dxa"/>
            <w:vAlign w:val="center"/>
          </w:tcPr>
          <w:p>
            <w:pPr>
              <w:snapToGrid w:val="0"/>
              <w:spacing w:line="320" w:lineRule="exact"/>
              <w:jc w:val="center"/>
              <w:rPr>
                <w:rFonts w:ascii="宋体" w:hAnsi="宋体" w:eastAsia="宋体"/>
                <w:sz w:val="21"/>
                <w:szCs w:val="21"/>
              </w:rPr>
            </w:pPr>
            <w:r>
              <w:rPr>
                <w:rFonts w:hint="eastAsia" w:ascii="宋体" w:hAnsi="宋体" w:eastAsia="宋体"/>
                <w:sz w:val="21"/>
                <w:szCs w:val="21"/>
              </w:rPr>
              <w:t>10分</w:t>
            </w:r>
          </w:p>
          <w:p>
            <w:pPr>
              <w:snapToGrid w:val="0"/>
              <w:spacing w:line="320" w:lineRule="exact"/>
              <w:jc w:val="center"/>
              <w:rPr>
                <w:rFonts w:ascii="宋体" w:hAnsi="宋体" w:eastAsia="宋体"/>
                <w:sz w:val="21"/>
                <w:szCs w:val="21"/>
              </w:rPr>
            </w:pPr>
          </w:p>
          <w:p>
            <w:pPr>
              <w:snapToGrid w:val="0"/>
              <w:spacing w:line="320" w:lineRule="exact"/>
              <w:jc w:val="center"/>
              <w:rPr>
                <w:rFonts w:ascii="宋体" w:hAnsi="宋体" w:eastAsia="宋体"/>
                <w:sz w:val="21"/>
                <w:szCs w:val="21"/>
              </w:rPr>
            </w:pPr>
            <w:r>
              <w:rPr>
                <w:rFonts w:hint="eastAsia" w:ascii="宋体" w:hAnsi="宋体" w:eastAsia="宋体"/>
                <w:sz w:val="21"/>
                <w:szCs w:val="21"/>
              </w:rPr>
              <w:t>提供此承诺的能得10分，否则投标无效。</w:t>
            </w:r>
          </w:p>
        </w:tc>
      </w:tr>
    </w:tbl>
    <w:p>
      <w:pPr>
        <w:snapToGrid w:val="0"/>
        <w:spacing w:line="440" w:lineRule="exact"/>
        <w:ind w:firstLine="426" w:firstLineChars="202"/>
        <w:outlineLvl w:val="2"/>
        <w:rPr>
          <w:rFonts w:ascii="宋体" w:hAnsi="宋体" w:eastAsia="宋体"/>
          <w:b/>
          <w:sz w:val="21"/>
          <w:szCs w:val="21"/>
        </w:rPr>
      </w:pPr>
      <w:r>
        <w:rPr>
          <w:rFonts w:hint="eastAsia" w:ascii="宋体" w:hAnsi="宋体" w:eastAsia="宋体"/>
          <w:b/>
          <w:sz w:val="21"/>
          <w:szCs w:val="21"/>
        </w:rPr>
        <w:t>（二）磋商评审时，磋商小组成员对评审的细则若有争议，由磋商小组成员集体讨论确定，并对未尽情况有最终解释权。</w:t>
      </w:r>
    </w:p>
    <w:p>
      <w:pPr>
        <w:adjustRightInd w:val="0"/>
        <w:snapToGrid w:val="0"/>
        <w:spacing w:line="440" w:lineRule="exact"/>
        <w:ind w:firstLine="422" w:firstLineChars="200"/>
        <w:outlineLvl w:val="2"/>
        <w:rPr>
          <w:rFonts w:ascii="宋体" w:hAnsi="宋体" w:eastAsia="宋体"/>
          <w:b/>
          <w:sz w:val="21"/>
          <w:szCs w:val="21"/>
        </w:rPr>
      </w:pPr>
      <w:r>
        <w:rPr>
          <w:rFonts w:hint="eastAsia" w:ascii="宋体" w:hAnsi="宋体" w:eastAsia="宋体"/>
          <w:b/>
          <w:sz w:val="21"/>
          <w:szCs w:val="21"/>
        </w:rPr>
        <w:t>（三）落标原因的解释</w:t>
      </w:r>
    </w:p>
    <w:p>
      <w:pPr>
        <w:snapToGrid w:val="0"/>
        <w:spacing w:line="440" w:lineRule="exact"/>
        <w:ind w:firstLine="420" w:firstLineChars="200"/>
        <w:rPr>
          <w:rFonts w:ascii="宋体" w:hAnsi="宋体" w:eastAsia="宋体"/>
          <w:sz w:val="21"/>
          <w:szCs w:val="21"/>
        </w:rPr>
      </w:pPr>
      <w:r>
        <w:rPr>
          <w:rFonts w:hint="eastAsia" w:ascii="宋体" w:hAnsi="宋体" w:eastAsia="宋体"/>
          <w:sz w:val="21"/>
          <w:szCs w:val="21"/>
        </w:rPr>
        <w:t>磋商小组成员或磋商小组不对落标的磋商响应供应商做落标原因的解释。</w:t>
      </w:r>
    </w:p>
    <w:p>
      <w:pPr>
        <w:snapToGrid w:val="0"/>
        <w:spacing w:line="440" w:lineRule="exact"/>
        <w:ind w:firstLine="426" w:firstLineChars="202"/>
        <w:outlineLvl w:val="1"/>
        <w:rPr>
          <w:rFonts w:ascii="宋体" w:hAnsi="宋体" w:eastAsia="宋体"/>
          <w:b/>
          <w:sz w:val="21"/>
          <w:szCs w:val="21"/>
        </w:rPr>
      </w:pPr>
      <w:r>
        <w:rPr>
          <w:rFonts w:hint="eastAsia" w:ascii="宋体" w:hAnsi="宋体" w:eastAsia="宋体"/>
          <w:b/>
          <w:sz w:val="21"/>
          <w:szCs w:val="21"/>
        </w:rPr>
        <w:t>六、出现下列情形之一的，作无效磋商处理</w:t>
      </w:r>
    </w:p>
    <w:p>
      <w:pPr>
        <w:snapToGrid w:val="0"/>
        <w:spacing w:line="440" w:lineRule="exact"/>
        <w:ind w:firstLine="424" w:firstLineChars="202"/>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、未按时交纳磋商保证金或金额不足的。</w:t>
      </w:r>
    </w:p>
    <w:p>
      <w:pPr>
        <w:snapToGrid w:val="0"/>
        <w:spacing w:line="440" w:lineRule="exact"/>
        <w:ind w:firstLine="424" w:firstLineChars="202"/>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、磋商响应文件未按规定要求装订、密封、签署、盖章及资料不齐全的。</w:t>
      </w:r>
    </w:p>
    <w:p>
      <w:pPr>
        <w:snapToGrid w:val="0"/>
        <w:spacing w:line="440" w:lineRule="exact"/>
        <w:ind w:firstLine="424" w:firstLineChars="202"/>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、磋商响应文件的资料有虚报或者谎报的。</w:t>
      </w:r>
    </w:p>
    <w:p>
      <w:pPr>
        <w:snapToGrid w:val="0"/>
        <w:spacing w:line="440" w:lineRule="exact"/>
        <w:ind w:firstLine="424" w:firstLineChars="202"/>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、不具备磋商文件规定的资格要求的。</w:t>
      </w:r>
    </w:p>
    <w:p>
      <w:pPr>
        <w:snapToGrid w:val="0"/>
        <w:spacing w:line="440" w:lineRule="exact"/>
        <w:ind w:firstLine="424" w:firstLineChars="202"/>
        <w:rPr>
          <w:rFonts w:ascii="宋体" w:hAnsi="宋体" w:eastAsia="宋体"/>
          <w:sz w:val="21"/>
          <w:szCs w:val="21"/>
        </w:rPr>
      </w:pPr>
      <w:r>
        <w:rPr>
          <w:rFonts w:hint="eastAsia" w:ascii="宋体" w:hAnsi="宋体" w:eastAsia="宋体"/>
          <w:sz w:val="21"/>
          <w:szCs w:val="21"/>
        </w:rPr>
        <w:t>5、磋商响应文件有重大漏项或重大不合理的。</w:t>
      </w:r>
    </w:p>
    <w:p>
      <w:pPr>
        <w:snapToGrid w:val="0"/>
        <w:spacing w:line="440" w:lineRule="exact"/>
        <w:ind w:firstLine="424" w:firstLineChars="202"/>
        <w:rPr>
          <w:rFonts w:ascii="宋体" w:hAnsi="宋体" w:eastAsia="宋体"/>
          <w:sz w:val="21"/>
          <w:szCs w:val="21"/>
        </w:rPr>
      </w:pPr>
      <w:r>
        <w:rPr>
          <w:rFonts w:hint="eastAsia" w:ascii="宋体" w:hAnsi="宋体" w:eastAsia="宋体"/>
          <w:sz w:val="21"/>
          <w:szCs w:val="21"/>
        </w:rPr>
        <w:t>6、项目技术、方案不满足项目需求中的要求，有重大偏离或保留的。</w:t>
      </w:r>
    </w:p>
    <w:p>
      <w:pPr>
        <w:snapToGrid w:val="0"/>
        <w:spacing w:line="440" w:lineRule="exact"/>
        <w:ind w:firstLine="424" w:firstLineChars="202"/>
        <w:rPr>
          <w:rFonts w:ascii="宋体" w:hAnsi="宋体" w:eastAsia="宋体"/>
          <w:sz w:val="21"/>
          <w:szCs w:val="21"/>
        </w:rPr>
      </w:pPr>
      <w:r>
        <w:rPr>
          <w:rFonts w:hint="eastAsia" w:ascii="宋体" w:hAnsi="宋体" w:eastAsia="宋体"/>
          <w:sz w:val="21"/>
          <w:szCs w:val="21"/>
        </w:rPr>
        <w:t>7、磋商响应函不符合磋商文件要求。</w:t>
      </w:r>
    </w:p>
    <w:p>
      <w:pPr>
        <w:snapToGrid w:val="0"/>
        <w:spacing w:line="440" w:lineRule="exact"/>
        <w:ind w:firstLine="424" w:firstLineChars="202"/>
        <w:rPr>
          <w:rFonts w:ascii="宋体" w:hAnsi="宋体" w:eastAsia="宋体"/>
          <w:sz w:val="21"/>
          <w:szCs w:val="21"/>
        </w:rPr>
      </w:pPr>
      <w:r>
        <w:rPr>
          <w:rFonts w:hint="eastAsia" w:ascii="宋体" w:hAnsi="宋体" w:eastAsia="宋体"/>
          <w:sz w:val="21"/>
          <w:szCs w:val="21"/>
        </w:rPr>
        <w:t>8、不符合法律、法规和磋商文件中规定的实质性响应要求的。</w:t>
      </w:r>
    </w:p>
    <w:p>
      <w:pPr>
        <w:snapToGrid w:val="0"/>
        <w:spacing w:line="440" w:lineRule="exact"/>
        <w:ind w:firstLine="424" w:firstLineChars="202"/>
        <w:rPr>
          <w:rFonts w:ascii="宋体" w:hAnsi="宋体" w:eastAsia="宋体"/>
          <w:sz w:val="21"/>
          <w:szCs w:val="21"/>
        </w:rPr>
      </w:pPr>
      <w:r>
        <w:rPr>
          <w:rFonts w:hint="eastAsia" w:ascii="宋体" w:hAnsi="宋体" w:eastAsia="宋体"/>
          <w:sz w:val="21"/>
          <w:szCs w:val="21"/>
        </w:rPr>
        <w:t>9、磋商小组认定为其他情况可确定为无效投标的。</w:t>
      </w:r>
    </w:p>
    <w:p>
      <w:pPr>
        <w:snapToGrid w:val="0"/>
        <w:spacing w:line="440" w:lineRule="exact"/>
        <w:ind w:firstLine="426" w:firstLineChars="202"/>
        <w:outlineLvl w:val="1"/>
        <w:rPr>
          <w:rFonts w:ascii="宋体" w:hAnsi="宋体" w:eastAsia="宋体"/>
          <w:b/>
          <w:sz w:val="21"/>
          <w:szCs w:val="21"/>
        </w:rPr>
      </w:pPr>
      <w:r>
        <w:rPr>
          <w:rFonts w:hint="eastAsia" w:ascii="宋体" w:hAnsi="宋体" w:eastAsia="宋体"/>
          <w:b/>
          <w:sz w:val="21"/>
          <w:szCs w:val="21"/>
        </w:rPr>
        <w:t>七、出现下列情形之一的，作废标处理</w:t>
      </w:r>
    </w:p>
    <w:p>
      <w:pPr>
        <w:snapToGrid w:val="0"/>
        <w:spacing w:line="440" w:lineRule="exact"/>
        <w:ind w:firstLine="424" w:firstLineChars="202"/>
        <w:rPr>
          <w:rFonts w:ascii="宋体" w:hAnsi="宋体" w:eastAsia="宋体"/>
          <w:sz w:val="21"/>
          <w:szCs w:val="21"/>
        </w:rPr>
      </w:pPr>
      <w:r>
        <w:rPr>
          <w:rFonts w:hint="eastAsia" w:ascii="宋体" w:hAnsi="宋体" w:eastAsia="宋体"/>
          <w:sz w:val="21"/>
          <w:szCs w:val="21"/>
        </w:rPr>
        <w:t>1.因情况变化，不再符合规定的竞争性磋商采购方式所适用情形的。</w:t>
      </w:r>
    </w:p>
    <w:p>
      <w:pPr>
        <w:snapToGrid w:val="0"/>
        <w:spacing w:line="440" w:lineRule="exact"/>
        <w:ind w:firstLine="424" w:firstLineChars="202"/>
        <w:rPr>
          <w:rFonts w:ascii="宋体" w:hAnsi="宋体" w:eastAsia="宋体"/>
          <w:sz w:val="21"/>
          <w:szCs w:val="21"/>
        </w:rPr>
      </w:pPr>
      <w:r>
        <w:rPr>
          <w:rFonts w:hint="eastAsia" w:ascii="宋体" w:hAnsi="宋体" w:eastAsia="宋体"/>
          <w:sz w:val="21"/>
          <w:szCs w:val="21"/>
        </w:rPr>
        <w:t>2.在采购过程中符合要求的供应商或者进入最后评审供应商不足2家的。</w:t>
      </w:r>
    </w:p>
    <w:p>
      <w:pPr>
        <w:snapToGrid w:val="0"/>
        <w:spacing w:line="440" w:lineRule="exact"/>
        <w:ind w:firstLine="424" w:firstLineChars="202"/>
        <w:rPr>
          <w:rFonts w:ascii="宋体" w:hAnsi="宋体" w:eastAsia="宋体"/>
          <w:sz w:val="21"/>
          <w:szCs w:val="21"/>
        </w:rPr>
      </w:pPr>
      <w:r>
        <w:rPr>
          <w:rFonts w:hint="eastAsia" w:ascii="宋体" w:hAnsi="宋体" w:eastAsia="宋体"/>
          <w:sz w:val="21"/>
          <w:szCs w:val="21"/>
        </w:rPr>
        <w:t>3.出现影响采购公正的违法、违规行为的。</w:t>
      </w:r>
    </w:p>
    <w:p>
      <w:pPr>
        <w:snapToGrid w:val="0"/>
        <w:spacing w:line="440" w:lineRule="exact"/>
        <w:ind w:firstLine="424" w:firstLineChars="202"/>
        <w:rPr>
          <w:rFonts w:ascii="宋体" w:hAnsi="宋体" w:eastAsia="宋体"/>
          <w:sz w:val="21"/>
          <w:szCs w:val="21"/>
        </w:rPr>
      </w:pPr>
      <w:r>
        <w:rPr>
          <w:rFonts w:hint="eastAsia" w:ascii="宋体" w:hAnsi="宋体" w:eastAsia="宋体"/>
          <w:sz w:val="21"/>
          <w:szCs w:val="21"/>
        </w:rPr>
        <w:t>4.因重大变故，采购任务取消的。</w:t>
      </w:r>
    </w:p>
    <w:p>
      <w:pPr>
        <w:snapToGrid w:val="0"/>
        <w:spacing w:line="440" w:lineRule="exact"/>
        <w:ind w:firstLine="426" w:firstLineChars="202"/>
        <w:outlineLvl w:val="1"/>
        <w:rPr>
          <w:rFonts w:ascii="宋体" w:hAnsi="宋体" w:eastAsia="宋体"/>
          <w:b/>
          <w:sz w:val="21"/>
          <w:szCs w:val="21"/>
        </w:rPr>
      </w:pPr>
      <w:r>
        <w:rPr>
          <w:rFonts w:hint="eastAsia" w:ascii="宋体" w:hAnsi="宋体" w:eastAsia="宋体"/>
          <w:b/>
          <w:sz w:val="21"/>
          <w:szCs w:val="21"/>
        </w:rPr>
        <w:t>八、成交通知</w:t>
      </w:r>
    </w:p>
    <w:p>
      <w:pPr>
        <w:snapToGrid w:val="0"/>
        <w:spacing w:line="440" w:lineRule="exact"/>
        <w:ind w:firstLine="424" w:firstLineChars="202"/>
        <w:rPr>
          <w:rFonts w:ascii="宋体" w:hAnsi="宋体" w:eastAsia="宋体"/>
          <w:sz w:val="21"/>
          <w:szCs w:val="21"/>
        </w:rPr>
      </w:pPr>
      <w:r>
        <w:rPr>
          <w:rFonts w:hint="eastAsia" w:ascii="宋体" w:hAnsi="宋体" w:eastAsia="宋体"/>
          <w:sz w:val="21"/>
          <w:szCs w:val="21"/>
        </w:rPr>
        <w:t>1、竞争性磋商结束后，采购人自成交人确定之日起2个工作日内在指定媒体上公示成交结果。</w:t>
      </w:r>
    </w:p>
    <w:p>
      <w:pPr>
        <w:snapToGrid w:val="0"/>
        <w:spacing w:line="440" w:lineRule="exact"/>
        <w:ind w:firstLine="424" w:firstLineChars="202"/>
        <w:rPr>
          <w:rFonts w:ascii="宋体" w:hAnsi="宋体" w:eastAsia="宋体"/>
          <w:sz w:val="21"/>
          <w:szCs w:val="21"/>
        </w:rPr>
      </w:pPr>
      <w:r>
        <w:rPr>
          <w:rFonts w:hint="eastAsia" w:ascii="宋体" w:hAnsi="宋体" w:eastAsia="宋体"/>
          <w:sz w:val="21"/>
          <w:szCs w:val="21"/>
        </w:rPr>
        <w:t>2、成交公告期限为1个工作日，期限结束后向成交人发出《成交通知书》。</w:t>
      </w:r>
    </w:p>
    <w:p>
      <w:pPr>
        <w:snapToGrid w:val="0"/>
        <w:spacing w:line="440" w:lineRule="exact"/>
        <w:ind w:firstLine="424" w:firstLineChars="202"/>
        <w:rPr>
          <w:rFonts w:ascii="宋体" w:hAnsi="宋体" w:eastAsia="宋体"/>
          <w:sz w:val="21"/>
          <w:szCs w:val="21"/>
        </w:rPr>
      </w:pPr>
      <w:r>
        <w:rPr>
          <w:rFonts w:hint="eastAsia" w:ascii="宋体" w:hAnsi="宋体" w:eastAsia="宋体"/>
          <w:sz w:val="21"/>
          <w:szCs w:val="21"/>
        </w:rPr>
        <w:t>3、《成交通知书》一经发出，即具有法律效力。采购人、成交人依法承担法律责任。</w:t>
      </w:r>
    </w:p>
    <w:p>
      <w:pPr>
        <w:snapToGrid w:val="0"/>
        <w:spacing w:line="440" w:lineRule="exact"/>
        <w:ind w:firstLine="424" w:firstLineChars="202"/>
        <w:rPr>
          <w:rFonts w:ascii="宋体" w:hAnsi="宋体" w:eastAsia="宋体"/>
          <w:sz w:val="21"/>
          <w:szCs w:val="21"/>
        </w:rPr>
      </w:pPr>
    </w:p>
    <w:bookmarkEnd w:id="25"/>
    <w:p>
      <w:pPr>
        <w:snapToGrid w:val="0"/>
        <w:spacing w:line="440" w:lineRule="exact"/>
        <w:ind w:firstLine="520" w:firstLineChars="202"/>
        <w:jc w:val="center"/>
        <w:rPr>
          <w:rFonts w:ascii="宋体" w:hAnsi="宋体" w:eastAsia="宋体"/>
          <w:b/>
          <w:w w:val="80"/>
          <w:sz w:val="32"/>
          <w:szCs w:val="32"/>
        </w:rPr>
      </w:pPr>
      <w:bookmarkStart w:id="27" w:name="_Toc363573857"/>
    </w:p>
    <w:p>
      <w:pPr>
        <w:snapToGrid w:val="0"/>
        <w:spacing w:line="440" w:lineRule="exact"/>
        <w:jc w:val="center"/>
        <w:rPr>
          <w:rFonts w:ascii="宋体" w:hAnsi="宋体" w:eastAsia="宋体"/>
          <w:b/>
          <w:w w:val="80"/>
          <w:sz w:val="32"/>
          <w:szCs w:val="32"/>
        </w:rPr>
      </w:pPr>
      <w:r>
        <w:rPr>
          <w:rFonts w:ascii="宋体" w:hAnsi="宋体" w:eastAsia="宋体"/>
          <w:b/>
          <w:w w:val="80"/>
          <w:sz w:val="32"/>
          <w:szCs w:val="32"/>
        </w:rPr>
        <w:br w:type="page"/>
      </w:r>
      <w:r>
        <w:rPr>
          <w:rFonts w:hint="eastAsia" w:ascii="宋体" w:hAnsi="宋体" w:eastAsia="宋体"/>
          <w:b/>
          <w:w w:val="80"/>
          <w:sz w:val="32"/>
          <w:szCs w:val="32"/>
        </w:rPr>
        <w:t>第五章 合同授予</w:t>
      </w:r>
      <w:bookmarkEnd w:id="27"/>
    </w:p>
    <w:p>
      <w:pPr>
        <w:spacing w:line="440" w:lineRule="exact"/>
        <w:ind w:firstLine="424" w:firstLineChars="202"/>
        <w:rPr>
          <w:rFonts w:ascii="宋体" w:hAnsi="宋体" w:eastAsia="宋体"/>
          <w:kern w:val="0"/>
          <w:sz w:val="21"/>
          <w:szCs w:val="21"/>
        </w:rPr>
      </w:pPr>
      <w:bookmarkStart w:id="28" w:name="_Toc94585343"/>
      <w:bookmarkStart w:id="29" w:name="_Toc363573858"/>
      <w:r>
        <w:rPr>
          <w:rFonts w:ascii="宋体" w:hAnsi="宋体" w:eastAsia="宋体"/>
          <w:kern w:val="0"/>
          <w:sz w:val="21"/>
          <w:szCs w:val="21"/>
        </w:rPr>
        <w:t>1</w:t>
      </w:r>
      <w:r>
        <w:rPr>
          <w:rFonts w:hint="eastAsia" w:ascii="宋体" w:hAnsi="宋体" w:eastAsia="宋体"/>
          <w:kern w:val="0"/>
          <w:sz w:val="21"/>
          <w:szCs w:val="21"/>
        </w:rPr>
        <w:t>、成交人在接到代理机构发出送达的《成交通知书》后3个工作日内与采购人签订政府采购合同（一式陆份，采购人、中标人各执三份），所签合同不得对磋商文件作实质性修改，否则给采购人造成损失的，成交人还应承担赔偿责任。采购人不得向成交人提出不合理的要求作为签订合同的条件，不得与成交人私下订立背离磋商文件实质性内容的协议。</w:t>
      </w:r>
    </w:p>
    <w:p>
      <w:pPr>
        <w:spacing w:line="440" w:lineRule="exact"/>
        <w:ind w:firstLine="424" w:firstLineChars="202"/>
        <w:rPr>
          <w:rFonts w:ascii="宋体" w:hAnsi="宋体" w:eastAsia="宋体"/>
          <w:kern w:val="0"/>
          <w:sz w:val="21"/>
          <w:szCs w:val="21"/>
        </w:rPr>
      </w:pPr>
      <w:r>
        <w:rPr>
          <w:rFonts w:ascii="宋体" w:hAnsi="宋体" w:eastAsia="宋体"/>
          <w:kern w:val="0"/>
          <w:sz w:val="21"/>
          <w:szCs w:val="21"/>
        </w:rPr>
        <w:t>2</w:t>
      </w:r>
      <w:r>
        <w:rPr>
          <w:rFonts w:hint="eastAsia" w:ascii="宋体" w:hAnsi="宋体" w:eastAsia="宋体"/>
          <w:kern w:val="0"/>
          <w:sz w:val="21"/>
          <w:szCs w:val="21"/>
        </w:rPr>
        <w:t>、磋商文件、成交人的磋商响应文件及评审过程中有关书面澄清、承诺等均应作为合同附件，具有同等的法律效力。</w:t>
      </w:r>
    </w:p>
    <w:p>
      <w:pPr>
        <w:spacing w:line="440" w:lineRule="exact"/>
        <w:ind w:firstLine="424" w:firstLineChars="202"/>
        <w:rPr>
          <w:rFonts w:ascii="宋体" w:hAnsi="宋体" w:eastAsia="宋体"/>
          <w:kern w:val="0"/>
          <w:sz w:val="21"/>
          <w:szCs w:val="21"/>
        </w:rPr>
      </w:pPr>
      <w:r>
        <w:rPr>
          <w:rFonts w:ascii="宋体" w:hAnsi="宋体" w:eastAsia="宋体"/>
          <w:kern w:val="0"/>
          <w:sz w:val="21"/>
          <w:szCs w:val="21"/>
        </w:rPr>
        <w:t>3</w:t>
      </w:r>
      <w:r>
        <w:rPr>
          <w:rFonts w:hint="eastAsia" w:ascii="宋体" w:hAnsi="宋体" w:eastAsia="宋体"/>
          <w:kern w:val="0"/>
          <w:sz w:val="21"/>
          <w:szCs w:val="21"/>
        </w:rPr>
        <w:t>、成交人不得采用转包、分包的形式履行合同，否则，采购人有权终止合同，造成采购人损失的，成交人应承担相应赔偿责任。</w:t>
      </w:r>
    </w:p>
    <w:p>
      <w:pPr>
        <w:tabs>
          <w:tab w:val="left" w:pos="1050"/>
          <w:tab w:val="right" w:leader="dot" w:pos="9402"/>
        </w:tabs>
        <w:spacing w:before="240" w:beforeLines="100" w:line="440" w:lineRule="exact"/>
        <w:jc w:val="center"/>
        <w:outlineLvl w:val="0"/>
        <w:rPr>
          <w:rFonts w:ascii="宋体" w:hAnsi="宋体" w:eastAsia="宋体"/>
          <w:b/>
          <w:w w:val="80"/>
          <w:sz w:val="18"/>
          <w:szCs w:val="18"/>
        </w:rPr>
      </w:pPr>
    </w:p>
    <w:p>
      <w:pPr>
        <w:tabs>
          <w:tab w:val="left" w:pos="1050"/>
          <w:tab w:val="right" w:leader="dot" w:pos="9402"/>
        </w:tabs>
        <w:spacing w:before="240" w:beforeLines="100" w:line="440" w:lineRule="exact"/>
        <w:jc w:val="center"/>
        <w:outlineLvl w:val="0"/>
        <w:rPr>
          <w:rFonts w:ascii="宋体" w:hAnsi="宋体" w:eastAsia="宋体"/>
          <w:b/>
          <w:w w:val="80"/>
          <w:sz w:val="18"/>
          <w:szCs w:val="18"/>
        </w:rPr>
      </w:pPr>
    </w:p>
    <w:p>
      <w:pPr>
        <w:snapToGrid w:val="0"/>
        <w:spacing w:line="440" w:lineRule="exact"/>
        <w:jc w:val="center"/>
        <w:rPr>
          <w:rFonts w:ascii="宋体" w:hAnsi="宋体" w:eastAsia="宋体"/>
          <w:b/>
          <w:w w:val="80"/>
          <w:sz w:val="32"/>
          <w:szCs w:val="32"/>
        </w:rPr>
      </w:pPr>
      <w:r>
        <w:rPr>
          <w:rFonts w:hint="eastAsia" w:ascii="宋体" w:hAnsi="宋体" w:eastAsia="宋体"/>
          <w:b/>
          <w:w w:val="80"/>
          <w:sz w:val="32"/>
          <w:szCs w:val="32"/>
        </w:rPr>
        <w:t>第六章</w:t>
      </w:r>
      <w:bookmarkEnd w:id="28"/>
      <w:r>
        <w:rPr>
          <w:rFonts w:hint="eastAsia" w:ascii="宋体" w:hAnsi="宋体" w:eastAsia="宋体"/>
          <w:b/>
          <w:w w:val="80"/>
          <w:sz w:val="32"/>
          <w:szCs w:val="32"/>
        </w:rPr>
        <w:t xml:space="preserve"> 履约验收及付款</w:t>
      </w:r>
      <w:bookmarkEnd w:id="29"/>
    </w:p>
    <w:p>
      <w:pPr>
        <w:spacing w:line="440" w:lineRule="exact"/>
        <w:ind w:firstLine="424" w:firstLineChars="202"/>
        <w:rPr>
          <w:rFonts w:ascii="宋体" w:hAnsi="宋体" w:eastAsia="宋体"/>
          <w:kern w:val="0"/>
          <w:sz w:val="21"/>
          <w:szCs w:val="21"/>
        </w:rPr>
      </w:pPr>
      <w:bookmarkStart w:id="30" w:name="_Toc363573859"/>
      <w:r>
        <w:rPr>
          <w:rFonts w:hint="eastAsia" w:ascii="宋体" w:hAnsi="宋体" w:eastAsia="宋体"/>
          <w:kern w:val="0"/>
          <w:sz w:val="21"/>
          <w:szCs w:val="21"/>
        </w:rPr>
        <w:t>一、采购人和成交人应相互配合，按政府采购合同约定积极组织本项目的实施，确保服务按时完成。</w:t>
      </w:r>
    </w:p>
    <w:p>
      <w:pPr>
        <w:spacing w:line="440" w:lineRule="exact"/>
        <w:ind w:firstLine="424" w:firstLineChars="202"/>
        <w:rPr>
          <w:rFonts w:ascii="宋体" w:hAnsi="宋体" w:eastAsia="宋体"/>
          <w:kern w:val="0"/>
          <w:sz w:val="21"/>
          <w:szCs w:val="21"/>
        </w:rPr>
      </w:pPr>
      <w:r>
        <w:rPr>
          <w:rFonts w:hint="eastAsia" w:ascii="宋体" w:hAnsi="宋体" w:eastAsia="宋体"/>
          <w:kern w:val="0"/>
          <w:sz w:val="21"/>
          <w:szCs w:val="21"/>
        </w:rPr>
        <w:t>二、成交供应商履约到位后，成交人应以书面形式向采购单位提出验收申请。采购人接到申请后应及时组织验收。</w:t>
      </w:r>
    </w:p>
    <w:p>
      <w:pPr>
        <w:spacing w:line="440" w:lineRule="exact"/>
        <w:ind w:firstLine="424" w:firstLineChars="202"/>
        <w:rPr>
          <w:rFonts w:ascii="宋体" w:hAnsi="宋体" w:eastAsia="宋体"/>
          <w:kern w:val="0"/>
          <w:sz w:val="21"/>
          <w:szCs w:val="21"/>
        </w:rPr>
      </w:pPr>
      <w:r>
        <w:rPr>
          <w:rFonts w:hint="eastAsia" w:ascii="宋体" w:hAnsi="宋体" w:eastAsia="宋体"/>
          <w:kern w:val="0"/>
          <w:sz w:val="21"/>
          <w:szCs w:val="21"/>
        </w:rPr>
        <w:t>三、采购人、成交人不按政府采购合同规定履约，出现违约情形，应当及时纠正或补偿，造成损失的，按合同约定追究违约责任；履约中发现有假冒、商业贿赂等违法情形的，应由采购人移交工商、质监、公安等行政执法部门依法查处。</w:t>
      </w:r>
    </w:p>
    <w:bookmarkEnd w:id="30"/>
    <w:p>
      <w:pPr>
        <w:spacing w:line="440" w:lineRule="exact"/>
        <w:ind w:firstLine="424" w:firstLineChars="202"/>
        <w:rPr>
          <w:rFonts w:ascii="宋体" w:hAnsi="宋体" w:eastAsia="宋体"/>
          <w:kern w:val="0"/>
          <w:sz w:val="21"/>
          <w:szCs w:val="21"/>
        </w:rPr>
      </w:pPr>
      <w:bookmarkStart w:id="31" w:name="_Toc363573860"/>
      <w:r>
        <w:rPr>
          <w:rFonts w:hint="eastAsia" w:ascii="宋体" w:hAnsi="宋体" w:eastAsia="宋体"/>
          <w:kern w:val="0"/>
          <w:sz w:val="21"/>
          <w:szCs w:val="21"/>
        </w:rPr>
        <w:t>四、不响应付款方式的，视同响应文件无效，按无效响应文件处理。</w:t>
      </w:r>
    </w:p>
    <w:p>
      <w:pPr>
        <w:spacing w:line="440" w:lineRule="exact"/>
        <w:ind w:firstLine="424" w:firstLineChars="202"/>
        <w:rPr>
          <w:rFonts w:ascii="宋体" w:hAnsi="宋体" w:eastAsia="宋体"/>
          <w:kern w:val="0"/>
          <w:sz w:val="21"/>
          <w:szCs w:val="21"/>
        </w:rPr>
      </w:pPr>
      <w:r>
        <w:rPr>
          <w:rFonts w:hint="eastAsia" w:ascii="宋体" w:hAnsi="宋体" w:eastAsia="宋体"/>
          <w:kern w:val="0"/>
          <w:sz w:val="21"/>
          <w:szCs w:val="21"/>
        </w:rPr>
        <w:t>五、付款方式详见磋商文件第三章。</w:t>
      </w:r>
    </w:p>
    <w:p>
      <w:pPr>
        <w:spacing w:line="440" w:lineRule="exact"/>
        <w:ind w:firstLine="424" w:firstLineChars="202"/>
        <w:rPr>
          <w:rFonts w:ascii="宋体" w:hAnsi="宋体" w:eastAsia="宋体"/>
          <w:kern w:val="0"/>
          <w:sz w:val="21"/>
          <w:szCs w:val="21"/>
        </w:rPr>
      </w:pPr>
      <w:r>
        <w:rPr>
          <w:rFonts w:hint="eastAsia" w:ascii="宋体" w:hAnsi="宋体" w:eastAsia="宋体"/>
          <w:kern w:val="0"/>
          <w:sz w:val="21"/>
          <w:szCs w:val="21"/>
        </w:rPr>
        <w:t>六、以上项目款的支付不计息。</w:t>
      </w:r>
    </w:p>
    <w:p>
      <w:pPr>
        <w:tabs>
          <w:tab w:val="left" w:pos="1050"/>
          <w:tab w:val="right" w:leader="dot" w:pos="9402"/>
        </w:tabs>
        <w:spacing w:before="240" w:beforeLines="100" w:line="440" w:lineRule="exact"/>
        <w:jc w:val="center"/>
        <w:outlineLvl w:val="0"/>
        <w:rPr>
          <w:rFonts w:ascii="宋体" w:hAnsi="宋体" w:eastAsia="宋体"/>
          <w:b/>
          <w:w w:val="80"/>
          <w:sz w:val="32"/>
          <w:szCs w:val="32"/>
        </w:rPr>
      </w:pPr>
    </w:p>
    <w:p>
      <w:pPr>
        <w:snapToGrid w:val="0"/>
        <w:spacing w:line="440" w:lineRule="exact"/>
        <w:jc w:val="center"/>
        <w:rPr>
          <w:rFonts w:ascii="宋体" w:hAnsi="宋体" w:eastAsia="宋体"/>
          <w:b/>
          <w:w w:val="80"/>
          <w:sz w:val="32"/>
          <w:szCs w:val="32"/>
        </w:rPr>
      </w:pPr>
      <w:r>
        <w:rPr>
          <w:rFonts w:ascii="宋体" w:hAnsi="宋体" w:eastAsia="宋体"/>
          <w:b/>
          <w:w w:val="80"/>
          <w:sz w:val="32"/>
          <w:szCs w:val="32"/>
        </w:rPr>
        <w:br w:type="page"/>
      </w:r>
      <w:r>
        <w:rPr>
          <w:rFonts w:hint="eastAsia" w:ascii="宋体" w:hAnsi="宋体" w:eastAsia="宋体"/>
          <w:b/>
          <w:w w:val="80"/>
          <w:sz w:val="32"/>
          <w:szCs w:val="32"/>
        </w:rPr>
        <w:t>第七章</w:t>
      </w:r>
      <w:bookmarkEnd w:id="31"/>
      <w:r>
        <w:rPr>
          <w:rFonts w:hint="eastAsia" w:ascii="宋体" w:hAnsi="宋体" w:eastAsia="宋体"/>
          <w:b/>
          <w:w w:val="80"/>
          <w:sz w:val="32"/>
          <w:szCs w:val="32"/>
        </w:rPr>
        <w:t xml:space="preserve">  质疑提出和处理</w:t>
      </w:r>
    </w:p>
    <w:p>
      <w:pPr>
        <w:adjustRightInd w:val="0"/>
        <w:snapToGrid w:val="0"/>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格式请在崇川区人民政府网</w:t>
      </w:r>
      <w:r>
        <w:rPr>
          <w:rFonts w:ascii="宋体" w:hAnsi="宋体" w:eastAsia="宋体"/>
          <w:sz w:val="21"/>
          <w:szCs w:val="21"/>
        </w:rPr>
        <w:t>http://www.chongchuan.gov.cn/ “下载中心--质疑函</w:t>
      </w:r>
      <w:r>
        <w:rPr>
          <w:rFonts w:hint="eastAsia" w:ascii="宋体" w:hAnsi="宋体" w:eastAsia="宋体"/>
          <w:sz w:val="21"/>
          <w:szCs w:val="21"/>
        </w:rPr>
        <w:t>”下载。</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一、质疑的提出</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1、质疑人必须是直接参加本次投标活动的当事人。</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2、下载招标文件的供应商应根据第二章“投标供应商须知”中第一条第4款的约定提出；响应文件接收截止后，供应商未进行投标登记的，不能就响应文件接收截止后的招投标过程、</w:t>
      </w:r>
      <w:r>
        <w:rPr>
          <w:rFonts w:hint="eastAsia" w:ascii="宋体" w:hAnsi="宋体" w:eastAsia="宋体"/>
          <w:sz w:val="21"/>
          <w:szCs w:val="21"/>
        </w:rPr>
        <w:t>中标</w:t>
      </w:r>
      <w:r>
        <w:rPr>
          <w:rFonts w:ascii="宋体" w:hAnsi="宋体" w:eastAsia="宋体"/>
          <w:sz w:val="21"/>
          <w:szCs w:val="21"/>
        </w:rPr>
        <w:t>结果提出质疑；在投标过程中，凡主持人或评标小组明确提出须由供应商确认的事项，供应商当场无异议的，事后不得提出质疑。</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3、提出质疑时，必须坚持“谁主张，谁举证”、“实事求是”的原则，不能臆测。属于须由法定部门调查、侦查或先行作出相关认定的事项，质疑人应当依法申请具有法定职权的部门查清、认定，并将相关结果提供给采购人或代理机构。采购人或代理机构不具有法定调查、认定权限。</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对不能提供相关佐证材料的、涉及商业秘密的、非书面形式的、非送达的、匿名的《质疑函》将不予受理。</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相关佐证材料要具备客观性、关联性、合法性，无法查实的（如宣传册、媒体报道、猜测、推理等）不能作为佐证材料。</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采购人或代理机构不负责搜集相关佐证材料等工作。</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二、《质疑函》的受理和回复</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1、《质疑函》须由质疑人的法定代表人</w:t>
      </w:r>
      <w:r>
        <w:rPr>
          <w:rFonts w:hint="eastAsia" w:ascii="宋体" w:hAnsi="宋体" w:eastAsia="宋体"/>
          <w:sz w:val="21"/>
          <w:szCs w:val="21"/>
        </w:rPr>
        <w:t>（</w:t>
      </w:r>
      <w:r>
        <w:rPr>
          <w:rFonts w:ascii="宋体" w:hAnsi="宋体" w:eastAsia="宋体"/>
          <w:sz w:val="21"/>
          <w:szCs w:val="21"/>
        </w:rPr>
        <w:t>或</w:t>
      </w:r>
      <w:r>
        <w:rPr>
          <w:rFonts w:hint="eastAsia" w:ascii="宋体" w:hAnsi="宋体" w:eastAsia="宋体"/>
          <w:sz w:val="21"/>
          <w:szCs w:val="21"/>
        </w:rPr>
        <w:t>负责人）</w:t>
      </w:r>
      <w:r>
        <w:rPr>
          <w:rFonts w:ascii="宋体" w:hAnsi="宋体" w:eastAsia="宋体"/>
          <w:sz w:val="21"/>
          <w:szCs w:val="21"/>
        </w:rPr>
        <w:t>或参加本次投标授权人送达采购人和代理机构。</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2、对符合提出质疑要求的，采购人、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3、对不符合提出质疑要求的，出具《质疑退回通知书》并提出相关补充材料要求，质疑人未在规定的时间内提供补充佐证材料的，视同放弃质疑。</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4、采购单位、代理机构负责将质疑人提出的质疑相关材料提供给相关专家或评标小组审核，并将审核意见回复质疑人。</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5、因质疑情况复杂，组织论证或审查时间较长的，采购单位、代理机构以书面形式通知质疑人，可适当延长质疑回复处理时间。</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三、质疑处理</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1、质疑成立的处理。采购单位或代理机构终止采购，并建议有关部门给相关当事人予以处理。</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2、质疑不成立的处理。</w:t>
      </w:r>
    </w:p>
    <w:p>
      <w:pPr>
        <w:adjustRightInd w:val="0"/>
        <w:snapToGrid w:val="0"/>
        <w:spacing w:line="500" w:lineRule="exact"/>
        <w:ind w:firstLine="420" w:firstLineChars="200"/>
        <w:contextualSpacing/>
        <w:jc w:val="left"/>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1）质疑人书面《申请撤回质疑函》的，不作违约处理。</w:t>
      </w:r>
    </w:p>
    <w:p>
      <w:pPr>
        <w:adjustRightInd w:val="0"/>
        <w:snapToGrid w:val="0"/>
        <w:spacing w:line="500" w:lineRule="exact"/>
        <w:ind w:firstLine="420" w:firstLineChars="200"/>
        <w:contextualSpacing/>
        <w:jc w:val="left"/>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2）质疑人在规定的时间内不配合进行质疑调查处理的，按自动撤回《质疑函》处理。</w:t>
      </w:r>
    </w:p>
    <w:p>
      <w:pPr>
        <w:adjustRightInd w:val="0"/>
        <w:snapToGrid w:val="0"/>
        <w:spacing w:line="500" w:lineRule="exact"/>
        <w:ind w:firstLine="420" w:firstLineChars="200"/>
        <w:contextualSpacing/>
        <w:jc w:val="left"/>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3）质疑人不按《质疑函》格式就提出质疑的，作违约处理。同时，视情列入不良供应商名单。</w:t>
      </w:r>
    </w:p>
    <w:p>
      <w:pPr>
        <w:adjustRightInd w:val="0"/>
        <w:snapToGrid w:val="0"/>
        <w:spacing w:line="500" w:lineRule="exact"/>
        <w:ind w:firstLine="420" w:firstLineChars="200"/>
        <w:contextualSpacing/>
        <w:jc w:val="left"/>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4）质疑人虽提供了相关佐证材料，但不能证明其质疑成立的，采购单位或代理机构请质疑人补充相关佐证材料，仍不能证明其质疑成立的，作违约处理。并将其列入不良供应商名单。</w:t>
      </w:r>
    </w:p>
    <w:p>
      <w:pPr>
        <w:adjustRightInd w:val="0"/>
        <w:snapToGrid w:val="0"/>
        <w:spacing w:line="500" w:lineRule="exact"/>
        <w:ind w:firstLine="420" w:firstLineChars="200"/>
        <w:contextualSpacing/>
        <w:jc w:val="left"/>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5）质疑人不能提供相关佐证材料的，采购单位、代理机构已指出，质疑人仍然坚持提出质疑的，作违约处理。同时，列入不良供应商名单。</w:t>
      </w:r>
    </w:p>
    <w:p>
      <w:pPr>
        <w:adjustRightInd w:val="0"/>
        <w:snapToGrid w:val="0"/>
        <w:spacing w:line="500" w:lineRule="exact"/>
        <w:ind w:firstLine="420" w:firstLineChars="200"/>
        <w:contextualSpacing/>
        <w:jc w:val="left"/>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6）对明显有违事实的、经相关专家或评标小组认定无依据的、经其他供应商举证无依据的质疑，作违约处理，列入不良供应商名单；同时，对其中每一项不成立的质疑给予质疑人1年内禁入本区域内的采购活动的违约处理，依次类推；视情在相关媒体予以披露。</w:t>
      </w:r>
    </w:p>
    <w:p>
      <w:pPr>
        <w:adjustRightInd w:val="0"/>
        <w:snapToGrid w:val="0"/>
        <w:spacing w:line="500" w:lineRule="exact"/>
        <w:ind w:firstLine="420" w:firstLineChars="200"/>
        <w:contextualSpacing/>
        <w:jc w:val="left"/>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7）质疑人承担使用虚假材料或恶意方式质疑的法律责任。</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四、无佐证材料的举报作违约处理。供应商不得进行不提供相关佐证材料（含无法查实的如宣传册、媒体报道、猜测、推理等）向有关部门的举报，否则作违约处理。同时对其在1至3年内禁入由采购人组织的采购活动的违约处理。</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五、投诉不成立的作违约处理。供应商进行质疑后，采购人回复质疑不成立，供应商仍进行投诉的，并最终投诉不成立的，作违约处理。采购人有权对其在1至3年内禁入由采购人组织的采购活动的违约处理。</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六、《质疑函》、《质疑回复函》，质疑、举报、投诉不成立的等相关情况，视情在相关媒体予以披露。并建议相关采购机构对该供应商同步实施1至3年内禁入。</w:t>
      </w:r>
    </w:p>
    <w:p>
      <w:pPr>
        <w:adjustRightInd w:val="0"/>
        <w:snapToGrid w:val="0"/>
        <w:spacing w:line="500" w:lineRule="exact"/>
        <w:ind w:firstLine="420" w:firstLineChars="200"/>
        <w:contextualSpacing/>
        <w:rPr>
          <w:rFonts w:ascii="宋体" w:hAnsi="宋体" w:eastAsia="宋体"/>
          <w:sz w:val="21"/>
          <w:szCs w:val="21"/>
        </w:rPr>
      </w:pPr>
      <w:r>
        <w:rPr>
          <w:rFonts w:ascii="宋体" w:hAnsi="宋体" w:eastAsia="宋体"/>
          <w:sz w:val="21"/>
          <w:szCs w:val="21"/>
        </w:rPr>
        <w:t>七、质疑供应商对采购人或代理机构的答复不满意或者采购人或代理机构未在规定的时间内作出答复的，可以在答复期满后15个工作日内向</w:t>
      </w:r>
      <w:r>
        <w:rPr>
          <w:rFonts w:hint="eastAsia" w:ascii="宋体" w:hAnsi="宋体" w:eastAsia="宋体"/>
          <w:sz w:val="21"/>
          <w:szCs w:val="21"/>
        </w:rPr>
        <w:t>相关</w:t>
      </w:r>
      <w:r>
        <w:rPr>
          <w:rFonts w:ascii="宋体" w:hAnsi="宋体" w:eastAsia="宋体"/>
          <w:sz w:val="21"/>
          <w:szCs w:val="21"/>
        </w:rPr>
        <w:t>部门投诉。</w:t>
      </w:r>
    </w:p>
    <w:p>
      <w:pPr>
        <w:tabs>
          <w:tab w:val="left" w:pos="1050"/>
          <w:tab w:val="right" w:leader="dot" w:pos="9402"/>
        </w:tabs>
        <w:spacing w:before="120" w:beforeLines="50" w:line="440" w:lineRule="exact"/>
        <w:jc w:val="center"/>
        <w:outlineLvl w:val="0"/>
        <w:rPr>
          <w:rFonts w:ascii="宋体" w:hAnsi="宋体" w:eastAsia="宋体"/>
          <w:b/>
          <w:w w:val="80"/>
          <w:sz w:val="32"/>
          <w:szCs w:val="32"/>
        </w:rPr>
      </w:pPr>
    </w:p>
    <w:p>
      <w:pPr>
        <w:snapToGrid w:val="0"/>
        <w:spacing w:line="440" w:lineRule="exact"/>
        <w:jc w:val="center"/>
        <w:rPr>
          <w:rFonts w:ascii="宋体" w:hAnsi="宋体" w:eastAsia="宋体"/>
          <w:b/>
          <w:w w:val="80"/>
          <w:sz w:val="32"/>
          <w:szCs w:val="32"/>
        </w:rPr>
      </w:pPr>
      <w:r>
        <w:rPr>
          <w:rFonts w:hint="eastAsia" w:ascii="宋体" w:hAnsi="宋体" w:eastAsia="宋体"/>
          <w:b/>
          <w:w w:val="80"/>
          <w:sz w:val="32"/>
          <w:szCs w:val="32"/>
        </w:rPr>
        <w:t>第八章 磋商响应相关格式及文件</w:t>
      </w:r>
    </w:p>
    <w:p>
      <w:pPr>
        <w:widowControl/>
        <w:snapToGrid w:val="0"/>
        <w:spacing w:line="360" w:lineRule="auto"/>
        <w:ind w:firstLine="197" w:firstLineChars="196"/>
        <w:jc w:val="left"/>
        <w:rPr>
          <w:rFonts w:ascii="宋体" w:hAnsi="宋体" w:eastAsia="宋体" w:cs="宋体"/>
          <w:b/>
          <w:bCs/>
          <w:sz w:val="10"/>
          <w:szCs w:val="10"/>
        </w:rPr>
      </w:pPr>
    </w:p>
    <w:p>
      <w:pPr>
        <w:widowControl/>
        <w:snapToGrid w:val="0"/>
        <w:spacing w:line="360" w:lineRule="auto"/>
        <w:ind w:firstLine="413" w:firstLineChars="196"/>
        <w:jc w:val="left"/>
        <w:rPr>
          <w:rFonts w:ascii="宋体" w:eastAsia="宋体"/>
          <w:b/>
          <w:bCs/>
          <w:sz w:val="21"/>
          <w:szCs w:val="21"/>
        </w:rPr>
      </w:pPr>
      <w:r>
        <w:rPr>
          <w:rFonts w:hint="eastAsia" w:ascii="宋体" w:hAnsi="宋体" w:eastAsia="宋体" w:cs="宋体"/>
          <w:b/>
          <w:bCs/>
          <w:sz w:val="21"/>
          <w:szCs w:val="21"/>
        </w:rPr>
        <w:t>响应文件由资格审查文件、商务技术响应文件二部分组成。本次竞争性磋商采用资格后审方式，供应商须将资格审查文件作为响应文件组成部分，按磋商文件要求装订密封后一起递交。</w:t>
      </w:r>
    </w:p>
    <w:p>
      <w:pPr>
        <w:snapToGrid w:val="0"/>
        <w:spacing w:line="400" w:lineRule="exact"/>
        <w:ind w:firstLine="426" w:firstLineChars="202"/>
        <w:outlineLvl w:val="2"/>
        <w:rPr>
          <w:rFonts w:ascii="宋体" w:hAnsi="宋体" w:eastAsia="宋体"/>
          <w:b/>
          <w:sz w:val="21"/>
          <w:szCs w:val="21"/>
        </w:rPr>
      </w:pPr>
      <w:r>
        <w:rPr>
          <w:rFonts w:hint="eastAsia" w:ascii="宋体" w:hAnsi="宋体" w:eastAsia="宋体"/>
          <w:b/>
          <w:bCs/>
          <w:sz w:val="21"/>
          <w:szCs w:val="21"/>
        </w:rPr>
        <w:t>一、</w:t>
      </w:r>
      <w:r>
        <w:rPr>
          <w:rFonts w:hint="eastAsia" w:ascii="宋体" w:hAnsi="宋体" w:eastAsia="宋体"/>
          <w:b/>
          <w:sz w:val="21"/>
          <w:szCs w:val="21"/>
        </w:rPr>
        <w:t>资格后审材料文件（一个密封包，内含：1份“正本”和2份“副本”）：</w:t>
      </w:r>
    </w:p>
    <w:p>
      <w:pPr>
        <w:snapToGrid w:val="0"/>
        <w:spacing w:line="400" w:lineRule="exact"/>
        <w:ind w:firstLine="430" w:firstLineChars="205"/>
        <w:rPr>
          <w:rFonts w:ascii="宋体" w:hAnsi="宋体" w:eastAsia="宋体"/>
          <w:sz w:val="21"/>
          <w:szCs w:val="21"/>
        </w:rPr>
      </w:pPr>
      <w:r>
        <w:rPr>
          <w:rFonts w:hint="eastAsia" w:ascii="宋体" w:hAnsi="宋体" w:eastAsia="宋体"/>
          <w:sz w:val="21"/>
          <w:szCs w:val="21"/>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成交资格，并由该供应商承担一切责任和损失。</w:t>
      </w:r>
    </w:p>
    <w:p>
      <w:pPr>
        <w:snapToGrid w:val="0"/>
        <w:spacing w:line="400" w:lineRule="exact"/>
        <w:ind w:firstLine="430" w:firstLineChars="205"/>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、提供《营业执照》（副本）及《税务登记证》（副本）（提供新版“三证合一”具有统一社会信用代码的营业执照除外）原件的复印件（须加盖公章）。</w:t>
      </w:r>
    </w:p>
    <w:p>
      <w:pPr>
        <w:spacing w:line="400" w:lineRule="exact"/>
        <w:ind w:firstLine="420" w:firstLineChars="200"/>
        <w:jc w:val="lef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如为法定代表人参加磋商的，必须提供法定代表人身份证明及本人身份证原件的复印件。如为被委托授权人参加投标的，还须提供法人代表签名或盖章的授权委托书及被委托授权人身份证的这两项原件的复印件及</w:t>
      </w:r>
      <w:r>
        <w:rPr>
          <w:rFonts w:hint="eastAsia" w:ascii="宋体" w:hAnsi="宋体" w:eastAsia="宋体" w:cs="仿宋_GB2312"/>
          <w:sz w:val="21"/>
          <w:szCs w:val="21"/>
        </w:rPr>
        <w:t>被授权人为供应商正式人员证明材料【提供①与供应商签订的有效劳动合同复印件；</w:t>
      </w:r>
      <w:r>
        <w:rPr>
          <w:rFonts w:hint="eastAsia" w:ascii="宋体" w:hAnsi="宋体" w:eastAsia="宋体"/>
          <w:sz w:val="21"/>
          <w:szCs w:val="21"/>
        </w:rPr>
        <w:t>②社保机构出具并盖章的供应商为其缴纳连续三个月的养老保险缴费清单复印件】（格式参见第八章）。（须加盖公章）。</w:t>
      </w:r>
    </w:p>
    <w:p>
      <w:pPr>
        <w:spacing w:line="400" w:lineRule="exact"/>
        <w:ind w:firstLine="420" w:firstLineChars="200"/>
        <w:jc w:val="lef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、供应商须提供参与本次项目政府采购活动前三年内在经营活动中没有重大违法记录的书面《无重大违法记录声明函》原件的复印件（须加盖公章）。</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4、供应商还须提供：关于资格文件的声明函（须加盖公章）。</w:t>
      </w:r>
    </w:p>
    <w:p>
      <w:pPr>
        <w:spacing w:line="400" w:lineRule="exact"/>
        <w:ind w:firstLine="426" w:firstLineChars="202"/>
        <w:outlineLvl w:val="2"/>
        <w:rPr>
          <w:rFonts w:ascii="宋体" w:hAnsi="宋体" w:eastAsia="宋体"/>
          <w:b/>
          <w:sz w:val="21"/>
          <w:szCs w:val="21"/>
        </w:rPr>
      </w:pPr>
      <w:r>
        <w:rPr>
          <w:rFonts w:hint="eastAsia" w:ascii="宋体" w:hAnsi="宋体" w:eastAsia="宋体"/>
          <w:b/>
          <w:sz w:val="21"/>
          <w:szCs w:val="21"/>
        </w:rPr>
        <w:t>二、商务、技术磋商响应文件（一个密封包，内含：1份“正本”和2份“副本”）（格式参见第八章）：</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特别提醒】供应商应根据本磋商文件第三章“项目需求”提供的主要技术规范，服务要求标准等，仔细阅读并在理解的基础上结合第四章“评审方法和程序”内的评审细则，编写编制技术磋商响应文件。以下商务、技术磋商响应文件的内容，不得有缺项或漏项。否则将有可能被视为未实质性响应磋商文件要求而作无效投磋商处理，或可能直接影响技术磋商评审的得分。</w:t>
      </w:r>
    </w:p>
    <w:p>
      <w:pPr>
        <w:spacing w:line="400" w:lineRule="exact"/>
        <w:ind w:firstLine="424" w:firstLineChars="202"/>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、竞争性磋商响应函（格式参见第八章）；</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2、物业管理方案（包括不限于）：</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（1）拟采用的管理方式，服务理念及特色服务。</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（2）内部管理架构。</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（3）工作流程。</w:t>
      </w:r>
    </w:p>
    <w:p>
      <w:pPr>
        <w:spacing w:line="400" w:lineRule="exact"/>
        <w:ind w:firstLine="424" w:firstLineChars="202"/>
        <w:rPr>
          <w:rFonts w:hint="eastAsia" w:ascii="宋体" w:hAnsi="宋体" w:eastAsia="宋体"/>
          <w:sz w:val="21"/>
          <w:szCs w:val="21"/>
        </w:rPr>
      </w:pPr>
      <w:r>
        <w:rPr>
          <w:rFonts w:hint="eastAsia" w:ascii="宋体" w:hAnsi="宋体" w:eastAsia="宋体"/>
          <w:sz w:val="21"/>
          <w:szCs w:val="21"/>
        </w:rPr>
        <w:t>（4）物业管理人员配备：管理正、副经理简历、人员数量、各岗位配置等。</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（5）物业管理工作必须的工器具装备情况。</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（6）各项管理规章制度。</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（7）各部门考核细则。</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（8）住宅小区客户服务管理及资料档案管理办法。</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（9）公共设施设备维修保养以及绿化养护计划。</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（10）停车秩序管理办法。</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（11）特约服务以及物业接管验收。</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（12）应急预案（包括制定火灾、雪灾、水浸、台风、盗窃、停电、消防安全等突发事件应急预案）。</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 xml:space="preserve">（13）各项管理指标的承诺： </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房屋完好率；房屋零修、急修及时率；房屋零修工程合格率；消防设施、设备完好率；路灯完好率；道路完好率；排水管、明、暗沟完好率；消防报警系统完好率；消防连动系统完好率；绿化完好率；用户投诉、回访率。</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4</w:t>
      </w:r>
      <w:r>
        <w:rPr>
          <w:rFonts w:hint="eastAsia" w:ascii="宋体" w:hAnsi="宋体" w:eastAsia="宋体"/>
          <w:sz w:val="21"/>
          <w:szCs w:val="21"/>
        </w:rPr>
        <w:t>）社区文化建设计划。</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5</w:t>
      </w:r>
      <w:r>
        <w:rPr>
          <w:rFonts w:hint="eastAsia" w:ascii="宋体" w:hAnsi="宋体" w:eastAsia="宋体"/>
          <w:sz w:val="21"/>
          <w:szCs w:val="21"/>
        </w:rPr>
        <w:t>）针对小区“六乱”现象管控方案。</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上述项目应逐一例举，要体现出合理、先进、完备、可行，评标委员会将以此作为评标依据。</w:t>
      </w:r>
    </w:p>
    <w:p>
      <w:pPr>
        <w:spacing w:line="400" w:lineRule="exact"/>
        <w:ind w:firstLine="424" w:firstLineChars="202"/>
        <w:rPr>
          <w:rFonts w:hint="eastAsia" w:ascii="宋体" w:hAnsi="宋体" w:eastAsia="宋体"/>
          <w:sz w:val="21"/>
          <w:szCs w:val="21"/>
        </w:rPr>
      </w:pPr>
      <w:r>
        <w:rPr>
          <w:rFonts w:hint="eastAsia" w:ascii="宋体" w:hAnsi="宋体" w:eastAsia="宋体"/>
          <w:sz w:val="21"/>
          <w:szCs w:val="21"/>
        </w:rPr>
        <w:t>3、评标办法中所涉及的事项需提供的所有资料，包括认证证书、人员证书、奖项证明材料、业绩合同等；</w:t>
      </w:r>
    </w:p>
    <w:p>
      <w:pPr>
        <w:spacing w:line="400" w:lineRule="exact"/>
        <w:ind w:firstLine="424" w:firstLineChars="202"/>
        <w:rPr>
          <w:rFonts w:hint="eastAsia" w:ascii="宋体" w:hAnsi="宋体" w:eastAsia="宋体"/>
          <w:sz w:val="21"/>
          <w:szCs w:val="21"/>
        </w:rPr>
      </w:pPr>
      <w:r>
        <w:rPr>
          <w:rFonts w:hint="eastAsia" w:ascii="宋体" w:hAnsi="宋体" w:eastAsia="宋体"/>
          <w:sz w:val="21"/>
          <w:szCs w:val="21"/>
        </w:rPr>
        <w:t>4、评分办法中未涉及的事项，投标供应商认为需要提交的其他资料。</w:t>
      </w:r>
    </w:p>
    <w:p>
      <w:pPr>
        <w:spacing w:line="400" w:lineRule="exact"/>
        <w:ind w:firstLine="424" w:firstLineChars="202"/>
        <w:rPr>
          <w:rFonts w:ascii="宋体" w:hAnsi="宋体" w:eastAsia="宋体"/>
          <w:b/>
          <w:bCs/>
          <w:sz w:val="21"/>
          <w:szCs w:val="21"/>
        </w:rPr>
      </w:pPr>
      <w:r>
        <w:rPr>
          <w:rFonts w:hint="eastAsia" w:ascii="宋体" w:hAnsi="宋体" w:eastAsia="宋体"/>
          <w:sz w:val="21"/>
          <w:szCs w:val="21"/>
        </w:rPr>
        <w:t>注：为方便评委评审，请投标人按评标办法中所涉及的事项顺序进行编制，可以补充相关材料；</w:t>
      </w:r>
    </w:p>
    <w:p>
      <w:pPr>
        <w:spacing w:line="400" w:lineRule="exact"/>
        <w:ind w:firstLine="426" w:firstLineChars="202"/>
        <w:rPr>
          <w:rFonts w:ascii="宋体" w:hAnsi="宋体" w:eastAsia="宋体"/>
          <w:b/>
          <w:sz w:val="21"/>
          <w:szCs w:val="21"/>
        </w:rPr>
      </w:pPr>
      <w:r>
        <w:rPr>
          <w:rFonts w:hint="eastAsia" w:ascii="宋体" w:hAnsi="宋体" w:eastAsia="宋体"/>
          <w:b/>
          <w:sz w:val="21"/>
          <w:szCs w:val="21"/>
        </w:rPr>
        <w:t>特别提醒：“资格审查文件”、“商务技术响应文件”所须提供材料的复印件（须加盖供应商公章）按采购文件要求装订，密封，递交。</w:t>
      </w:r>
    </w:p>
    <w:p>
      <w:pPr>
        <w:spacing w:line="400" w:lineRule="exact"/>
        <w:ind w:firstLine="424" w:firstLineChars="202"/>
        <w:rPr>
          <w:rFonts w:ascii="宋体" w:hAnsi="宋体" w:eastAsia="宋体"/>
          <w:sz w:val="21"/>
          <w:szCs w:val="21"/>
        </w:rPr>
      </w:pPr>
      <w:r>
        <w:rPr>
          <w:rFonts w:hint="eastAsia" w:ascii="宋体" w:hAnsi="宋体" w:eastAsia="宋体"/>
          <w:sz w:val="21"/>
          <w:szCs w:val="21"/>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adjustRightInd w:val="0"/>
        <w:snapToGrid w:val="0"/>
        <w:spacing w:line="440" w:lineRule="exact"/>
        <w:jc w:val="left"/>
        <w:outlineLvl w:val="1"/>
        <w:rPr>
          <w:rFonts w:ascii="宋体" w:hAnsi="宋体" w:eastAsia="宋体"/>
          <w:b/>
          <w:bCs/>
          <w:color w:val="000000"/>
          <w:sz w:val="21"/>
          <w:szCs w:val="21"/>
        </w:rPr>
      </w:pPr>
    </w:p>
    <w:p>
      <w:pPr>
        <w:adjustRightInd w:val="0"/>
        <w:snapToGrid w:val="0"/>
        <w:spacing w:line="440" w:lineRule="exact"/>
        <w:jc w:val="left"/>
        <w:outlineLvl w:val="1"/>
        <w:rPr>
          <w:rFonts w:ascii="宋体" w:hAnsi="宋体" w:eastAsia="宋体"/>
          <w:b/>
          <w:bCs/>
          <w:color w:val="000000"/>
          <w:sz w:val="21"/>
          <w:szCs w:val="21"/>
        </w:rPr>
      </w:pPr>
    </w:p>
    <w:p>
      <w:pPr>
        <w:adjustRightInd w:val="0"/>
        <w:snapToGrid w:val="0"/>
        <w:spacing w:line="440" w:lineRule="exact"/>
        <w:jc w:val="left"/>
        <w:outlineLvl w:val="1"/>
        <w:rPr>
          <w:rFonts w:ascii="宋体" w:hAnsi="宋体" w:eastAsia="宋体"/>
          <w:b/>
          <w:bCs/>
          <w:color w:val="000000"/>
          <w:sz w:val="21"/>
          <w:szCs w:val="21"/>
        </w:rPr>
      </w:pPr>
    </w:p>
    <w:p>
      <w:pPr>
        <w:adjustRightInd w:val="0"/>
        <w:snapToGrid w:val="0"/>
        <w:spacing w:line="440" w:lineRule="exact"/>
        <w:jc w:val="left"/>
        <w:outlineLvl w:val="1"/>
        <w:rPr>
          <w:rFonts w:ascii="宋体" w:hAnsi="宋体" w:eastAsia="宋体"/>
          <w:b/>
          <w:bCs/>
          <w:color w:val="000000"/>
          <w:sz w:val="21"/>
          <w:szCs w:val="21"/>
        </w:rPr>
      </w:pPr>
    </w:p>
    <w:p>
      <w:pPr>
        <w:adjustRightInd w:val="0"/>
        <w:snapToGrid w:val="0"/>
        <w:spacing w:line="440" w:lineRule="exact"/>
        <w:jc w:val="left"/>
        <w:outlineLvl w:val="1"/>
        <w:rPr>
          <w:rFonts w:ascii="宋体" w:hAnsi="宋体" w:eastAsia="宋体"/>
          <w:b/>
          <w:bCs/>
          <w:color w:val="000000"/>
          <w:sz w:val="21"/>
          <w:szCs w:val="21"/>
        </w:rPr>
      </w:pPr>
    </w:p>
    <w:p>
      <w:pPr>
        <w:adjustRightInd w:val="0"/>
        <w:snapToGrid w:val="0"/>
        <w:spacing w:line="440" w:lineRule="exact"/>
        <w:jc w:val="left"/>
        <w:outlineLvl w:val="1"/>
        <w:rPr>
          <w:rFonts w:ascii="宋体" w:hAnsi="宋体" w:eastAsia="宋体"/>
          <w:b/>
          <w:bCs/>
          <w:color w:val="000000"/>
          <w:sz w:val="21"/>
          <w:szCs w:val="21"/>
        </w:rPr>
      </w:pPr>
    </w:p>
    <w:p>
      <w:pPr>
        <w:adjustRightInd w:val="0"/>
        <w:snapToGrid w:val="0"/>
        <w:spacing w:line="440" w:lineRule="exact"/>
        <w:jc w:val="left"/>
        <w:outlineLvl w:val="1"/>
        <w:rPr>
          <w:rFonts w:ascii="宋体" w:hAnsi="宋体" w:eastAsia="宋体"/>
          <w:b/>
          <w:bCs/>
          <w:color w:val="000000"/>
          <w:sz w:val="21"/>
          <w:szCs w:val="21"/>
        </w:rPr>
      </w:pPr>
    </w:p>
    <w:p>
      <w:pPr>
        <w:adjustRightInd w:val="0"/>
        <w:snapToGrid w:val="0"/>
        <w:spacing w:line="440" w:lineRule="exact"/>
        <w:jc w:val="left"/>
        <w:outlineLvl w:val="1"/>
        <w:rPr>
          <w:rFonts w:ascii="宋体" w:hAnsi="宋体" w:eastAsia="宋体"/>
          <w:b/>
          <w:bCs/>
          <w:color w:val="000000"/>
          <w:sz w:val="21"/>
          <w:szCs w:val="21"/>
        </w:rPr>
      </w:pPr>
    </w:p>
    <w:p>
      <w:pPr>
        <w:adjustRightInd w:val="0"/>
        <w:snapToGrid w:val="0"/>
        <w:spacing w:line="440" w:lineRule="exact"/>
        <w:jc w:val="left"/>
        <w:outlineLvl w:val="1"/>
        <w:rPr>
          <w:rFonts w:ascii="宋体" w:hAnsi="宋体" w:eastAsia="宋体"/>
          <w:b/>
          <w:bCs/>
          <w:color w:val="000000"/>
          <w:sz w:val="21"/>
          <w:szCs w:val="21"/>
        </w:rPr>
      </w:pPr>
    </w:p>
    <w:p>
      <w:pPr>
        <w:adjustRightInd w:val="0"/>
        <w:snapToGrid w:val="0"/>
        <w:spacing w:line="440" w:lineRule="exact"/>
        <w:jc w:val="left"/>
        <w:outlineLvl w:val="1"/>
        <w:rPr>
          <w:rFonts w:ascii="宋体" w:hAnsi="宋体" w:eastAsia="宋体"/>
          <w:b/>
          <w:bCs/>
          <w:color w:val="000000"/>
          <w:sz w:val="21"/>
          <w:szCs w:val="21"/>
        </w:rPr>
      </w:pPr>
    </w:p>
    <w:p>
      <w:pPr>
        <w:adjustRightInd w:val="0"/>
        <w:snapToGrid w:val="0"/>
        <w:spacing w:line="440" w:lineRule="exact"/>
        <w:jc w:val="left"/>
        <w:outlineLvl w:val="1"/>
        <w:rPr>
          <w:rFonts w:ascii="宋体" w:hAnsi="宋体" w:eastAsia="宋体"/>
          <w:b/>
          <w:bCs/>
          <w:color w:val="000000"/>
          <w:sz w:val="21"/>
          <w:szCs w:val="21"/>
        </w:rPr>
      </w:pPr>
    </w:p>
    <w:p>
      <w:pPr>
        <w:adjustRightInd w:val="0"/>
        <w:snapToGrid w:val="0"/>
        <w:spacing w:line="440" w:lineRule="exact"/>
        <w:jc w:val="left"/>
        <w:outlineLvl w:val="1"/>
        <w:rPr>
          <w:rFonts w:ascii="宋体" w:hAnsi="宋体" w:eastAsia="宋体"/>
          <w:b/>
          <w:bCs/>
          <w:color w:val="000000"/>
          <w:sz w:val="21"/>
          <w:szCs w:val="21"/>
        </w:rPr>
      </w:pPr>
    </w:p>
    <w:p>
      <w:pPr>
        <w:adjustRightInd w:val="0"/>
        <w:snapToGrid w:val="0"/>
        <w:spacing w:line="440" w:lineRule="exact"/>
        <w:jc w:val="left"/>
        <w:outlineLvl w:val="1"/>
        <w:rPr>
          <w:rFonts w:ascii="宋体" w:hAnsi="宋体" w:eastAsia="宋体"/>
          <w:b/>
          <w:bCs/>
          <w:color w:val="000000"/>
          <w:sz w:val="21"/>
          <w:szCs w:val="21"/>
        </w:rPr>
      </w:pPr>
    </w:p>
    <w:p>
      <w:pPr>
        <w:snapToGrid w:val="0"/>
        <w:spacing w:line="440" w:lineRule="exact"/>
        <w:jc w:val="left"/>
        <w:rPr>
          <w:rFonts w:ascii="宋体" w:hAnsi="宋体" w:eastAsia="宋体"/>
          <w:b/>
          <w:bCs/>
          <w:color w:val="000000"/>
          <w:sz w:val="21"/>
          <w:szCs w:val="21"/>
        </w:rPr>
      </w:pPr>
    </w:p>
    <w:p>
      <w:pPr>
        <w:snapToGrid w:val="0"/>
        <w:spacing w:line="440" w:lineRule="exact"/>
        <w:jc w:val="left"/>
        <w:rPr>
          <w:rFonts w:ascii="宋体" w:hAnsi="宋体" w:eastAsia="宋体"/>
          <w:b/>
          <w:bCs/>
          <w:color w:val="000000"/>
          <w:sz w:val="21"/>
          <w:szCs w:val="21"/>
        </w:rPr>
      </w:pPr>
      <w:r>
        <w:rPr>
          <w:rFonts w:hint="eastAsia" w:ascii="宋体" w:hAnsi="宋体" w:eastAsia="宋体"/>
          <w:b/>
          <w:bCs/>
          <w:color w:val="000000"/>
          <w:sz w:val="21"/>
          <w:szCs w:val="21"/>
        </w:rPr>
        <w:t>二、磋商响应文件封面范例</w:t>
      </w:r>
    </w:p>
    <w:p>
      <w:pPr>
        <w:spacing w:line="440" w:lineRule="exact"/>
        <w:jc w:val="center"/>
        <w:rPr>
          <w:rFonts w:ascii="宋体" w:hAnsi="宋体" w:eastAsia="宋体"/>
          <w:sz w:val="10"/>
          <w:szCs w:val="10"/>
        </w:rPr>
      </w:pPr>
    </w:p>
    <w:p>
      <w:pPr>
        <w:spacing w:line="600" w:lineRule="exact"/>
        <w:jc w:val="center"/>
        <w:rPr>
          <w:rFonts w:ascii="宋体" w:hAnsi="宋体" w:eastAsia="宋体"/>
          <w:sz w:val="32"/>
          <w:szCs w:val="32"/>
        </w:rPr>
      </w:pPr>
      <w:r>
        <w:rPr>
          <w:rFonts w:hint="eastAsia" w:ascii="宋体" w:hAnsi="宋体" w:eastAsia="宋体"/>
          <w:sz w:val="32"/>
          <w:szCs w:val="32"/>
        </w:rPr>
        <w:t>永兴街道永通花苑前期物业项目</w:t>
      </w:r>
    </w:p>
    <w:p>
      <w:pPr>
        <w:spacing w:line="600" w:lineRule="exact"/>
        <w:jc w:val="center"/>
        <w:rPr>
          <w:rFonts w:ascii="宋体" w:hAnsi="宋体" w:eastAsia="宋体"/>
          <w:sz w:val="36"/>
          <w:szCs w:val="36"/>
        </w:rPr>
      </w:pPr>
      <w:r>
        <w:rPr>
          <w:rFonts w:hint="eastAsia" w:ascii="宋体" w:hAnsi="宋体" w:eastAsia="宋体"/>
          <w:sz w:val="36"/>
          <w:szCs w:val="36"/>
        </w:rPr>
        <w:t>竞争性磋商响应文件</w:t>
      </w:r>
    </w:p>
    <w:p>
      <w:pPr>
        <w:spacing w:line="440" w:lineRule="exact"/>
        <w:jc w:val="center"/>
        <w:rPr>
          <w:rFonts w:ascii="宋体" w:hAnsi="宋体" w:eastAsia="宋体"/>
          <w:b/>
          <w:sz w:val="10"/>
          <w:szCs w:val="10"/>
        </w:rPr>
      </w:pPr>
    </w:p>
    <w:p>
      <w:pPr>
        <w:spacing w:line="440" w:lineRule="exact"/>
        <w:ind w:firstLine="1680" w:firstLineChars="800"/>
        <w:rPr>
          <w:rFonts w:ascii="宋体" w:hAnsi="宋体" w:eastAsia="宋体"/>
          <w:sz w:val="21"/>
          <w:szCs w:val="21"/>
        </w:rPr>
      </w:pPr>
      <w:r>
        <w:rPr>
          <w:rFonts w:hint="eastAsia" w:ascii="宋体" w:hAnsi="宋体" w:eastAsia="宋体"/>
          <w:sz w:val="21"/>
          <w:szCs w:val="21"/>
        </w:rPr>
        <w:t>对应磋商响应文件，相应填写：</w:t>
      </w:r>
      <w:r>
        <w:rPr>
          <w:rFonts w:ascii="宋体" w:hAnsi="宋体" w:eastAsia="宋体"/>
          <w:sz w:val="21"/>
          <w:szCs w:val="21"/>
        </w:rPr>
        <w:t xml:space="preserve"> </w:t>
      </w:r>
    </w:p>
    <w:p>
      <w:pPr>
        <w:spacing w:line="440" w:lineRule="exact"/>
        <w:ind w:firstLine="4758" w:firstLineChars="2266"/>
        <w:jc w:val="left"/>
        <w:rPr>
          <w:rFonts w:ascii="宋体" w:hAnsi="宋体" w:eastAsia="宋体"/>
          <w:sz w:val="21"/>
          <w:szCs w:val="21"/>
        </w:rPr>
      </w:pPr>
      <w:r>
        <w:rPr>
          <w:rFonts w:hint="eastAsia" w:ascii="宋体" w:hAnsi="宋体" w:eastAsia="宋体"/>
          <w:sz w:val="21"/>
          <w:szCs w:val="21"/>
        </w:rPr>
        <w:t>资格后审材料文件</w:t>
      </w:r>
    </w:p>
    <w:p>
      <w:pPr>
        <w:spacing w:line="440" w:lineRule="exact"/>
        <w:ind w:firstLine="4758" w:firstLineChars="2266"/>
        <w:jc w:val="left"/>
        <w:rPr>
          <w:rFonts w:ascii="宋体" w:hAnsi="宋体" w:eastAsia="宋体"/>
          <w:sz w:val="21"/>
          <w:szCs w:val="21"/>
        </w:rPr>
      </w:pPr>
      <w:r>
        <w:rPr>
          <w:rFonts w:hint="eastAsia" w:ascii="宋体" w:hAnsi="宋体" w:eastAsia="宋体"/>
          <w:sz w:val="21"/>
          <w:szCs w:val="21"/>
        </w:rPr>
        <w:t>商务技术磋商响应文件</w:t>
      </w:r>
    </w:p>
    <w:p>
      <w:pPr>
        <w:spacing w:line="440" w:lineRule="exact"/>
        <w:jc w:val="center"/>
        <w:rPr>
          <w:rFonts w:ascii="宋体" w:hAnsi="宋体" w:eastAsia="宋体"/>
          <w:b/>
          <w:sz w:val="21"/>
          <w:szCs w:val="21"/>
        </w:rPr>
      </w:pPr>
      <w:r>
        <w:rPr>
          <w:rFonts w:hint="eastAsia" w:ascii="宋体" w:hAnsi="宋体" w:eastAsia="宋体"/>
          <w:b/>
          <w:sz w:val="21"/>
          <w:szCs w:val="21"/>
        </w:rPr>
        <w:t>（资格后审）</w:t>
      </w:r>
    </w:p>
    <w:p>
      <w:pPr>
        <w:adjustRightInd w:val="0"/>
        <w:snapToGrid w:val="0"/>
        <w:spacing w:line="440" w:lineRule="exact"/>
        <w:jc w:val="center"/>
        <w:rPr>
          <w:rFonts w:ascii="宋体" w:hAnsi="宋体" w:eastAsia="宋体"/>
          <w:sz w:val="21"/>
          <w:szCs w:val="21"/>
        </w:rPr>
      </w:pPr>
      <w:r>
        <w:rPr>
          <w:rFonts w:hint="eastAsia" w:ascii="宋体" w:hAnsi="宋体" w:eastAsia="宋体"/>
          <w:sz w:val="21"/>
          <w:szCs w:val="21"/>
        </w:rPr>
        <w:t xml:space="preserve"> </w:t>
      </w:r>
    </w:p>
    <w:p>
      <w:pPr>
        <w:adjustRightInd w:val="0"/>
        <w:snapToGrid w:val="0"/>
        <w:spacing w:line="440" w:lineRule="exact"/>
        <w:jc w:val="center"/>
        <w:rPr>
          <w:rFonts w:ascii="宋体" w:hAnsi="宋体" w:eastAsia="宋体"/>
          <w:sz w:val="21"/>
          <w:szCs w:val="21"/>
        </w:rPr>
      </w:pPr>
      <w:r>
        <w:rPr>
          <w:rFonts w:hint="eastAsia" w:ascii="宋体" w:hAnsi="宋体" w:eastAsia="宋体"/>
          <w:sz w:val="21"/>
          <w:szCs w:val="21"/>
        </w:rPr>
        <w:t>供应商：参加磋商响应单位全称</w:t>
      </w:r>
    </w:p>
    <w:p>
      <w:pPr>
        <w:snapToGrid w:val="0"/>
        <w:spacing w:line="440" w:lineRule="exact"/>
        <w:jc w:val="center"/>
        <w:rPr>
          <w:rFonts w:ascii="宋体" w:hAnsi="宋体" w:eastAsia="宋体"/>
          <w:sz w:val="21"/>
          <w:szCs w:val="21"/>
        </w:rPr>
      </w:pPr>
      <w:r>
        <w:rPr>
          <w:rFonts w:hint="eastAsia" w:ascii="宋体" w:hAnsi="宋体" w:eastAsia="宋体"/>
          <w:sz w:val="21"/>
          <w:szCs w:val="21"/>
        </w:rPr>
        <w:t>二O二</w:t>
      </w:r>
      <w:r>
        <w:rPr>
          <w:rFonts w:hint="eastAsia" w:ascii="宋体" w:hAnsi="宋体" w:eastAsia="宋体"/>
          <w:sz w:val="21"/>
          <w:szCs w:val="21"/>
          <w:lang w:val="en-US" w:eastAsia="zh-CN"/>
        </w:rPr>
        <w:t>二</w:t>
      </w:r>
      <w:r>
        <w:rPr>
          <w:rFonts w:hint="eastAsia" w:ascii="宋体" w:hAnsi="宋体" w:eastAsia="宋体"/>
          <w:sz w:val="21"/>
          <w:szCs w:val="21"/>
        </w:rPr>
        <w:t>年   月   日</w:t>
      </w:r>
    </w:p>
    <w:p>
      <w:pPr>
        <w:adjustRightInd w:val="0"/>
        <w:snapToGrid w:val="0"/>
        <w:spacing w:line="440" w:lineRule="exact"/>
        <w:outlineLvl w:val="1"/>
        <w:rPr>
          <w:rFonts w:ascii="宋体" w:hAnsi="宋体" w:eastAsia="宋体"/>
          <w:b/>
          <w:sz w:val="21"/>
          <w:szCs w:val="21"/>
        </w:rPr>
      </w:pPr>
    </w:p>
    <w:p>
      <w:pPr>
        <w:adjustRightInd w:val="0"/>
        <w:snapToGrid w:val="0"/>
        <w:spacing w:line="440" w:lineRule="exact"/>
        <w:outlineLvl w:val="1"/>
        <w:rPr>
          <w:rFonts w:ascii="宋体" w:hAnsi="宋体" w:eastAsia="宋体"/>
          <w:b/>
          <w:sz w:val="21"/>
          <w:szCs w:val="21"/>
        </w:rPr>
      </w:pPr>
      <w:r>
        <w:rPr>
          <w:rFonts w:hint="eastAsia" w:ascii="宋体" w:hAnsi="宋体" w:eastAsia="宋体"/>
          <w:b/>
          <w:sz w:val="21"/>
          <w:szCs w:val="21"/>
        </w:rPr>
        <w:t>三、资格后审材料相关格式文件</w:t>
      </w:r>
    </w:p>
    <w:p>
      <w:pPr>
        <w:adjustRightInd w:val="0"/>
        <w:snapToGrid w:val="0"/>
        <w:spacing w:line="440" w:lineRule="exact"/>
        <w:outlineLvl w:val="3"/>
        <w:rPr>
          <w:rFonts w:ascii="宋体" w:hAnsi="宋体" w:eastAsia="宋体"/>
          <w:b/>
          <w:sz w:val="21"/>
          <w:szCs w:val="21"/>
        </w:rPr>
      </w:pPr>
    </w:p>
    <w:p>
      <w:pPr>
        <w:snapToGrid w:val="0"/>
        <w:spacing w:line="440" w:lineRule="exact"/>
        <w:jc w:val="center"/>
        <w:outlineLvl w:val="4"/>
        <w:rPr>
          <w:rFonts w:ascii="宋体" w:hAnsi="宋体" w:eastAsia="宋体"/>
          <w:b/>
          <w:bCs/>
          <w:sz w:val="21"/>
          <w:szCs w:val="21"/>
        </w:rPr>
      </w:pPr>
      <w:r>
        <w:rPr>
          <w:rFonts w:ascii="宋体" w:hAnsi="宋体" w:eastAsia="宋体"/>
          <w:b/>
          <w:bCs/>
          <w:sz w:val="21"/>
          <w:szCs w:val="21"/>
        </w:rPr>
        <w:t>1</w:t>
      </w:r>
      <w:r>
        <w:rPr>
          <w:rFonts w:hint="eastAsia" w:ascii="宋体" w:hAnsi="宋体" w:eastAsia="宋体"/>
          <w:b/>
          <w:bCs/>
          <w:sz w:val="21"/>
          <w:szCs w:val="21"/>
        </w:rPr>
        <w:t>、法定代表人身份证明</w:t>
      </w:r>
    </w:p>
    <w:p>
      <w:pPr>
        <w:snapToGrid w:val="0"/>
        <w:spacing w:line="440" w:lineRule="exact"/>
        <w:jc w:val="left"/>
        <w:rPr>
          <w:rFonts w:ascii="宋体" w:hAnsi="宋体" w:eastAsia="宋体"/>
          <w:sz w:val="21"/>
          <w:szCs w:val="21"/>
        </w:rPr>
      </w:pPr>
      <w:r>
        <w:rPr>
          <w:rFonts w:hint="eastAsia" w:ascii="宋体" w:hAnsi="宋体" w:eastAsia="宋体"/>
          <w:sz w:val="21"/>
          <w:szCs w:val="21"/>
        </w:rPr>
        <w:t>南通市崇川区永兴街道办事处：</w:t>
      </w:r>
    </w:p>
    <w:p>
      <w:pPr>
        <w:snapToGrid w:val="0"/>
        <w:spacing w:line="440" w:lineRule="exact"/>
        <w:ind w:firstLine="420" w:firstLineChars="200"/>
        <w:jc w:val="left"/>
        <w:rPr>
          <w:rFonts w:ascii="宋体" w:hAnsi="宋体" w:eastAsia="宋体"/>
          <w:sz w:val="21"/>
          <w:szCs w:val="21"/>
        </w:rPr>
      </w:pPr>
      <w:r>
        <w:rPr>
          <w:rFonts w:hint="eastAsia" w:ascii="宋体" w:hAnsi="宋体" w:eastAsia="宋体"/>
          <w:sz w:val="21"/>
          <w:szCs w:val="21"/>
          <w:u w:val="single"/>
        </w:rPr>
        <w:t>先生／女士：</w:t>
      </w:r>
      <w:r>
        <w:rPr>
          <w:rFonts w:hint="eastAsia" w:ascii="宋体" w:hAnsi="宋体" w:eastAsia="宋体"/>
          <w:sz w:val="21"/>
          <w:szCs w:val="21"/>
        </w:rPr>
        <w:t>现任我单位</w:t>
      </w:r>
      <w:r>
        <w:rPr>
          <w:rFonts w:hint="eastAsia" w:ascii="宋体" w:hAnsi="宋体" w:eastAsia="宋体"/>
          <w:sz w:val="21"/>
          <w:szCs w:val="21"/>
          <w:u w:val="single"/>
        </w:rPr>
        <w:t>　　　　　　　</w:t>
      </w:r>
      <w:r>
        <w:rPr>
          <w:rFonts w:hint="eastAsia" w:ascii="宋体" w:hAnsi="宋体" w:eastAsia="宋体"/>
          <w:sz w:val="21"/>
          <w:szCs w:val="21"/>
        </w:rPr>
        <w:t>职务，为法定代表人，特此证明。</w:t>
      </w:r>
    </w:p>
    <w:p>
      <w:pPr>
        <w:snapToGrid w:val="0"/>
        <w:spacing w:line="440" w:lineRule="exact"/>
        <w:jc w:val="left"/>
        <w:rPr>
          <w:rFonts w:ascii="宋体" w:hAnsi="宋体" w:eastAsia="宋体"/>
          <w:sz w:val="21"/>
          <w:szCs w:val="21"/>
          <w:u w:val="single"/>
        </w:rPr>
      </w:pPr>
      <w:r>
        <w:rPr>
          <w:rFonts w:hint="eastAsia" w:ascii="宋体" w:hAnsi="宋体" w:eastAsia="宋体"/>
          <w:sz w:val="21"/>
          <w:szCs w:val="21"/>
        </w:rPr>
        <w:t>身份证号码：</w:t>
      </w:r>
    </w:p>
    <w:p>
      <w:pPr>
        <w:snapToGrid w:val="0"/>
        <w:spacing w:line="440" w:lineRule="exact"/>
        <w:ind w:firstLine="2520" w:firstLineChars="1200"/>
        <w:jc w:val="center"/>
        <w:rPr>
          <w:rFonts w:ascii="宋体" w:hAnsi="宋体" w:eastAsia="宋体"/>
          <w:sz w:val="21"/>
          <w:szCs w:val="21"/>
        </w:rPr>
      </w:pPr>
      <w:r>
        <w:rPr>
          <w:rFonts w:hint="eastAsia" w:ascii="宋体" w:hAnsi="宋体" w:eastAsia="宋体"/>
          <w:sz w:val="21"/>
          <w:szCs w:val="21"/>
        </w:rPr>
        <w:t>供应商（盖章）</w:t>
      </w:r>
    </w:p>
    <w:p>
      <w:pPr>
        <w:snapToGrid w:val="0"/>
        <w:spacing w:line="440" w:lineRule="exact"/>
        <w:ind w:firstLine="2520" w:firstLineChars="1200"/>
        <w:jc w:val="center"/>
        <w:rPr>
          <w:rFonts w:ascii="宋体" w:hAnsi="宋体" w:eastAsia="宋体"/>
          <w:bCs/>
          <w:sz w:val="21"/>
          <w:szCs w:val="21"/>
        </w:rPr>
      </w:pPr>
      <w:r>
        <w:rPr>
          <w:rFonts w:hint="eastAsia" w:ascii="宋体" w:hAnsi="宋体" w:eastAsia="宋体"/>
          <w:bCs/>
          <w:sz w:val="21"/>
          <w:szCs w:val="21"/>
        </w:rPr>
        <w:t xml:space="preserve">                   年  月  日</w:t>
      </w:r>
    </w:p>
    <w:p>
      <w:pPr>
        <w:snapToGrid w:val="0"/>
        <w:spacing w:line="440" w:lineRule="exact"/>
        <w:jc w:val="center"/>
        <w:rPr>
          <w:rFonts w:ascii="宋体" w:hAnsi="宋体" w:eastAsia="宋体"/>
          <w:sz w:val="21"/>
          <w:szCs w:val="21"/>
        </w:rPr>
      </w:pPr>
      <w:r>
        <w:rPr>
          <w:rFonts w:hint="eastAsia" w:ascii="宋体" w:hAnsi="宋体" w:eastAsia="宋体"/>
          <w:sz w:val="21"/>
          <w:szCs w:val="21"/>
        </w:rPr>
        <w:t>注：提供法定代表人的身份证复印件并加盖公章</w:t>
      </w:r>
    </w:p>
    <w:p>
      <w:pPr>
        <w:snapToGrid w:val="0"/>
        <w:spacing w:line="440" w:lineRule="exact"/>
        <w:jc w:val="center"/>
        <w:rPr>
          <w:rFonts w:ascii="宋体" w:hAnsi="宋体" w:eastAsia="宋体"/>
          <w:b/>
          <w:bCs/>
          <w:sz w:val="21"/>
          <w:szCs w:val="21"/>
        </w:rPr>
      </w:pPr>
    </w:p>
    <w:p>
      <w:pPr>
        <w:snapToGrid w:val="0"/>
        <w:spacing w:line="440" w:lineRule="exact"/>
        <w:jc w:val="center"/>
        <w:outlineLvl w:val="4"/>
        <w:rPr>
          <w:rFonts w:ascii="宋体" w:hAnsi="宋体" w:eastAsia="宋体"/>
          <w:b/>
          <w:bCs/>
          <w:sz w:val="21"/>
          <w:szCs w:val="21"/>
        </w:rPr>
      </w:pPr>
    </w:p>
    <w:p>
      <w:pPr>
        <w:widowControl/>
        <w:jc w:val="left"/>
        <w:rPr>
          <w:rFonts w:ascii="宋体" w:hAnsi="宋体" w:eastAsia="宋体"/>
          <w:b/>
          <w:bCs/>
          <w:sz w:val="21"/>
          <w:szCs w:val="21"/>
        </w:rPr>
      </w:pPr>
      <w:r>
        <w:rPr>
          <w:rFonts w:ascii="宋体" w:hAnsi="宋体" w:eastAsia="宋体"/>
          <w:b/>
          <w:bCs/>
          <w:sz w:val="21"/>
          <w:szCs w:val="21"/>
        </w:rPr>
        <w:br w:type="page"/>
      </w:r>
    </w:p>
    <w:p>
      <w:pPr>
        <w:snapToGrid w:val="0"/>
        <w:spacing w:line="440" w:lineRule="exact"/>
        <w:jc w:val="center"/>
        <w:outlineLvl w:val="4"/>
        <w:rPr>
          <w:rFonts w:ascii="宋体" w:hAnsi="宋体" w:eastAsia="宋体"/>
          <w:b/>
          <w:bCs/>
          <w:sz w:val="21"/>
          <w:szCs w:val="21"/>
        </w:rPr>
      </w:pPr>
      <w:r>
        <w:rPr>
          <w:rFonts w:ascii="宋体" w:hAnsi="宋体" w:eastAsia="宋体"/>
          <w:b/>
          <w:bCs/>
          <w:sz w:val="21"/>
          <w:szCs w:val="21"/>
        </w:rPr>
        <w:t>2</w:t>
      </w:r>
      <w:r>
        <w:rPr>
          <w:rFonts w:hint="eastAsia" w:ascii="宋体" w:hAnsi="宋体" w:eastAsia="宋体"/>
          <w:b/>
          <w:bCs/>
          <w:sz w:val="21"/>
          <w:szCs w:val="21"/>
        </w:rPr>
        <w:t>、法定代表人授权委托书</w:t>
      </w:r>
    </w:p>
    <w:p>
      <w:pPr>
        <w:snapToGrid w:val="0"/>
        <w:spacing w:line="440" w:lineRule="exact"/>
        <w:jc w:val="left"/>
        <w:rPr>
          <w:rFonts w:ascii="宋体" w:hAnsi="宋体" w:eastAsia="宋体"/>
          <w:sz w:val="21"/>
          <w:szCs w:val="21"/>
        </w:rPr>
      </w:pPr>
      <w:r>
        <w:rPr>
          <w:rFonts w:hint="eastAsia" w:ascii="宋体" w:hAnsi="宋体" w:eastAsia="宋体"/>
          <w:sz w:val="21"/>
          <w:szCs w:val="21"/>
        </w:rPr>
        <w:t>南通市崇川区永兴街道办事处：</w:t>
      </w:r>
    </w:p>
    <w:p>
      <w:pPr>
        <w:snapToGrid w:val="0"/>
        <w:spacing w:line="440" w:lineRule="exact"/>
        <w:ind w:firstLine="424" w:firstLineChars="202"/>
        <w:rPr>
          <w:rFonts w:ascii="宋体" w:hAnsi="宋体" w:eastAsia="宋体"/>
          <w:sz w:val="21"/>
          <w:szCs w:val="21"/>
        </w:rPr>
      </w:pPr>
      <w:r>
        <w:rPr>
          <w:rFonts w:hint="eastAsia" w:ascii="宋体" w:hAnsi="宋体" w:eastAsia="宋体"/>
          <w:sz w:val="21"/>
          <w:szCs w:val="21"/>
        </w:rPr>
        <w:t>本授权委托书声明：我</w:t>
      </w:r>
      <w:r>
        <w:rPr>
          <w:rFonts w:hint="eastAsia" w:ascii="宋体" w:hAnsi="宋体" w:eastAsia="宋体"/>
          <w:sz w:val="21"/>
          <w:szCs w:val="21"/>
          <w:u w:val="single"/>
        </w:rPr>
        <w:t>　　　</w:t>
      </w:r>
      <w:r>
        <w:rPr>
          <w:rFonts w:hint="eastAsia" w:ascii="宋体" w:hAnsi="宋体" w:eastAsia="宋体"/>
          <w:sz w:val="21"/>
          <w:szCs w:val="21"/>
        </w:rPr>
        <w:t>（姓名）系</w:t>
      </w:r>
      <w:r>
        <w:rPr>
          <w:rFonts w:hint="eastAsia" w:ascii="宋体" w:hAnsi="宋体" w:eastAsia="宋体"/>
          <w:sz w:val="21"/>
          <w:szCs w:val="21"/>
          <w:u w:val="single"/>
        </w:rPr>
        <w:t>　　　</w:t>
      </w:r>
      <w:r>
        <w:rPr>
          <w:rFonts w:hint="eastAsia" w:ascii="宋体" w:hAnsi="宋体" w:eastAsia="宋体"/>
          <w:sz w:val="21"/>
          <w:szCs w:val="21"/>
        </w:rPr>
        <w:t>（供应商名称）的法定代表人，现授权委托</w:t>
      </w:r>
      <w:r>
        <w:rPr>
          <w:rFonts w:hint="eastAsia" w:ascii="宋体" w:hAnsi="宋体" w:eastAsia="宋体"/>
          <w:sz w:val="21"/>
          <w:szCs w:val="21"/>
          <w:u w:val="single"/>
        </w:rPr>
        <w:t>　　</w:t>
      </w:r>
      <w:r>
        <w:rPr>
          <w:rFonts w:hint="eastAsia" w:ascii="宋体" w:hAnsi="宋体" w:eastAsia="宋体"/>
          <w:sz w:val="21"/>
          <w:szCs w:val="21"/>
        </w:rPr>
        <w:t>（姓名）为我公司代理人，以本公司的名义参加本项目的磋商响应活动。代理人在开标、评标、合同谈判过程中所签署的一切文件和处理与之有关的一切事务，我均予以承认。</w:t>
      </w:r>
    </w:p>
    <w:p>
      <w:pPr>
        <w:snapToGrid w:val="0"/>
        <w:spacing w:line="440" w:lineRule="exact"/>
        <w:ind w:firstLine="424" w:firstLineChars="202"/>
        <w:rPr>
          <w:rFonts w:ascii="宋体" w:hAnsi="宋体" w:eastAsia="宋体"/>
          <w:sz w:val="21"/>
          <w:szCs w:val="21"/>
        </w:rPr>
      </w:pPr>
      <w:r>
        <w:rPr>
          <w:rFonts w:hint="eastAsia" w:ascii="宋体" w:hAnsi="宋体" w:eastAsia="宋体"/>
          <w:sz w:val="21"/>
          <w:szCs w:val="21"/>
        </w:rPr>
        <w:t>被委托授权人无转委权。特此委托。</w:t>
      </w:r>
    </w:p>
    <w:p>
      <w:pPr>
        <w:snapToGrid w:val="0"/>
        <w:spacing w:line="440" w:lineRule="exact"/>
        <w:ind w:firstLine="850" w:firstLineChars="405"/>
        <w:rPr>
          <w:rFonts w:ascii="宋体" w:hAnsi="宋体" w:eastAsia="宋体"/>
          <w:sz w:val="21"/>
          <w:szCs w:val="21"/>
        </w:rPr>
      </w:pPr>
      <w:r>
        <w:rPr>
          <w:rFonts w:hint="eastAsia" w:ascii="宋体" w:hAnsi="宋体" w:eastAsia="宋体"/>
          <w:sz w:val="21"/>
          <w:szCs w:val="21"/>
        </w:rPr>
        <w:t>被委托授权人身份证号：</w:t>
      </w:r>
    </w:p>
    <w:p>
      <w:pPr>
        <w:snapToGrid w:val="0"/>
        <w:spacing w:line="440" w:lineRule="exact"/>
        <w:ind w:firstLine="850" w:firstLineChars="405"/>
        <w:rPr>
          <w:rFonts w:ascii="宋体" w:hAnsi="宋体" w:eastAsia="宋体"/>
          <w:sz w:val="21"/>
          <w:szCs w:val="21"/>
        </w:rPr>
      </w:pPr>
      <w:r>
        <w:rPr>
          <w:rFonts w:hint="eastAsia" w:ascii="宋体" w:hAnsi="宋体" w:eastAsia="宋体"/>
          <w:sz w:val="21"/>
          <w:szCs w:val="21"/>
        </w:rPr>
        <w:t>法定代表人签字：</w:t>
      </w:r>
    </w:p>
    <w:p>
      <w:pPr>
        <w:snapToGrid w:val="0"/>
        <w:spacing w:line="440" w:lineRule="exact"/>
        <w:ind w:firstLine="850" w:firstLineChars="405"/>
        <w:rPr>
          <w:rFonts w:ascii="宋体" w:hAnsi="宋体" w:eastAsia="宋体"/>
          <w:sz w:val="21"/>
          <w:szCs w:val="21"/>
        </w:rPr>
      </w:pPr>
      <w:r>
        <w:rPr>
          <w:rFonts w:hint="eastAsia" w:ascii="宋体" w:hAnsi="宋体" w:eastAsia="宋体"/>
          <w:sz w:val="21"/>
          <w:szCs w:val="21"/>
        </w:rPr>
        <w:t>被委托授权人签字：</w:t>
      </w:r>
    </w:p>
    <w:p>
      <w:pPr>
        <w:snapToGrid w:val="0"/>
        <w:spacing w:line="440" w:lineRule="exact"/>
        <w:ind w:firstLine="2520" w:firstLineChars="1200"/>
        <w:jc w:val="center"/>
        <w:rPr>
          <w:rFonts w:ascii="宋体" w:hAnsi="宋体" w:eastAsia="宋体"/>
          <w:sz w:val="21"/>
          <w:szCs w:val="21"/>
        </w:rPr>
      </w:pPr>
      <w:r>
        <w:rPr>
          <w:rFonts w:hint="eastAsia" w:ascii="宋体" w:hAnsi="宋体" w:eastAsia="宋体"/>
          <w:sz w:val="21"/>
          <w:szCs w:val="21"/>
        </w:rPr>
        <w:t>供应商（盖章）</w:t>
      </w:r>
    </w:p>
    <w:p>
      <w:pPr>
        <w:snapToGrid w:val="0"/>
        <w:spacing w:line="440" w:lineRule="exact"/>
        <w:ind w:firstLine="2520" w:firstLineChars="1200"/>
        <w:jc w:val="center"/>
        <w:rPr>
          <w:rFonts w:ascii="宋体" w:hAnsi="宋体" w:eastAsia="宋体"/>
          <w:bCs/>
          <w:sz w:val="21"/>
          <w:szCs w:val="21"/>
        </w:rPr>
      </w:pPr>
      <w:r>
        <w:rPr>
          <w:rFonts w:hint="eastAsia" w:ascii="宋体" w:hAnsi="宋体" w:eastAsia="宋体"/>
          <w:bCs/>
          <w:sz w:val="21"/>
          <w:szCs w:val="21"/>
        </w:rPr>
        <w:t xml:space="preserve">                   年  月  日</w:t>
      </w:r>
    </w:p>
    <w:p>
      <w:pPr>
        <w:snapToGrid w:val="0"/>
        <w:spacing w:line="440" w:lineRule="exact"/>
        <w:ind w:firstLine="424" w:firstLineChars="202"/>
        <w:jc w:val="center"/>
        <w:rPr>
          <w:rFonts w:ascii="宋体" w:hAnsi="宋体" w:eastAsia="宋体"/>
          <w:bCs/>
          <w:sz w:val="21"/>
          <w:szCs w:val="21"/>
        </w:rPr>
      </w:pPr>
    </w:p>
    <w:p>
      <w:pPr>
        <w:snapToGrid w:val="0"/>
        <w:spacing w:line="440" w:lineRule="exact"/>
        <w:ind w:firstLine="281" w:firstLineChars="134"/>
        <w:jc w:val="center"/>
        <w:rPr>
          <w:rFonts w:ascii="宋体" w:hAnsi="宋体" w:eastAsia="宋体"/>
          <w:sz w:val="21"/>
          <w:szCs w:val="21"/>
        </w:rPr>
      </w:pPr>
      <w:r>
        <w:rPr>
          <w:rFonts w:hint="eastAsia" w:ascii="宋体" w:hAnsi="宋体" w:eastAsia="宋体"/>
          <w:sz w:val="21"/>
          <w:szCs w:val="21"/>
        </w:rPr>
        <w:t>注：提供被委托授权人的身份证复印件盖公章，将身份证原件带至开标现场备查</w:t>
      </w:r>
    </w:p>
    <w:p>
      <w:pPr>
        <w:snapToGrid w:val="0"/>
        <w:spacing w:line="440" w:lineRule="exact"/>
        <w:ind w:firstLine="281" w:firstLineChars="134"/>
        <w:jc w:val="center"/>
        <w:rPr>
          <w:rFonts w:ascii="宋体" w:hAnsi="宋体" w:eastAsia="宋体"/>
          <w:sz w:val="21"/>
          <w:szCs w:val="21"/>
        </w:rPr>
      </w:pPr>
    </w:p>
    <w:p>
      <w:pPr>
        <w:snapToGrid w:val="0"/>
        <w:spacing w:line="440" w:lineRule="exact"/>
        <w:ind w:firstLine="281" w:firstLineChars="134"/>
        <w:jc w:val="center"/>
        <w:rPr>
          <w:rFonts w:ascii="宋体" w:hAnsi="宋体" w:eastAsia="宋体"/>
          <w:sz w:val="21"/>
          <w:szCs w:val="21"/>
        </w:rPr>
      </w:pPr>
    </w:p>
    <w:p>
      <w:pPr>
        <w:snapToGrid w:val="0"/>
        <w:spacing w:line="440" w:lineRule="exact"/>
        <w:ind w:firstLine="281" w:firstLineChars="134"/>
        <w:jc w:val="center"/>
        <w:rPr>
          <w:rFonts w:ascii="宋体" w:hAnsi="宋体" w:eastAsia="宋体"/>
          <w:sz w:val="21"/>
          <w:szCs w:val="21"/>
        </w:rPr>
      </w:pPr>
    </w:p>
    <w:p>
      <w:pPr>
        <w:snapToGrid w:val="0"/>
        <w:spacing w:line="440" w:lineRule="exact"/>
        <w:jc w:val="center"/>
        <w:outlineLvl w:val="4"/>
        <w:rPr>
          <w:rFonts w:ascii="宋体" w:hAnsi="宋体" w:eastAsia="宋体"/>
          <w:sz w:val="21"/>
          <w:szCs w:val="21"/>
        </w:rPr>
      </w:pPr>
      <w:r>
        <w:rPr>
          <w:rFonts w:ascii="宋体" w:hAnsi="宋体" w:eastAsia="宋体"/>
          <w:b/>
          <w:bCs/>
          <w:sz w:val="21"/>
          <w:szCs w:val="21"/>
        </w:rPr>
        <w:t>3</w:t>
      </w:r>
      <w:r>
        <w:rPr>
          <w:rFonts w:hint="eastAsia" w:ascii="宋体" w:hAnsi="宋体" w:eastAsia="宋体"/>
          <w:b/>
          <w:bCs/>
          <w:sz w:val="21"/>
          <w:szCs w:val="21"/>
        </w:rPr>
        <w:t>、关于资格文件的声明函</w:t>
      </w:r>
    </w:p>
    <w:p>
      <w:pPr>
        <w:overflowPunct w:val="0"/>
        <w:adjustRightInd w:val="0"/>
        <w:spacing w:line="440" w:lineRule="exact"/>
        <w:jc w:val="left"/>
        <w:textAlignment w:val="baseline"/>
        <w:rPr>
          <w:rFonts w:ascii="宋体" w:hAnsi="宋体" w:eastAsia="宋体"/>
          <w:bCs/>
          <w:sz w:val="21"/>
          <w:szCs w:val="21"/>
        </w:rPr>
      </w:pPr>
      <w:r>
        <w:rPr>
          <w:rFonts w:hint="eastAsia" w:ascii="宋体" w:hAnsi="宋体" w:eastAsia="宋体"/>
          <w:sz w:val="21"/>
          <w:szCs w:val="21"/>
        </w:rPr>
        <w:t>南通市崇川区永兴街道办事处：</w:t>
      </w:r>
    </w:p>
    <w:p>
      <w:pPr>
        <w:overflowPunct w:val="0"/>
        <w:adjustRightInd w:val="0"/>
        <w:spacing w:line="440" w:lineRule="exact"/>
        <w:ind w:firstLine="660"/>
        <w:jc w:val="left"/>
        <w:textAlignment w:val="baseline"/>
        <w:rPr>
          <w:rFonts w:ascii="宋体" w:hAnsi="宋体" w:eastAsia="宋体"/>
          <w:sz w:val="21"/>
          <w:szCs w:val="21"/>
        </w:rPr>
      </w:pPr>
      <w:r>
        <w:rPr>
          <w:rFonts w:hint="eastAsia" w:ascii="宋体" w:hAnsi="宋体" w:eastAsia="宋体"/>
          <w:sz w:val="21"/>
          <w:szCs w:val="21"/>
        </w:rPr>
        <w:t>本公司愿就由贵公司组织实施的</w:t>
      </w:r>
      <w:r>
        <w:rPr>
          <w:rFonts w:hint="eastAsia" w:ascii="宋体" w:hAnsi="宋体" w:eastAsia="宋体"/>
          <w:sz w:val="21"/>
          <w:szCs w:val="21"/>
          <w:u w:val="single"/>
        </w:rPr>
        <w:t xml:space="preserve">      项目</w:t>
      </w:r>
      <w:r>
        <w:rPr>
          <w:rFonts w:hint="eastAsia" w:ascii="宋体" w:hAnsi="宋体" w:eastAsia="宋体"/>
          <w:sz w:val="21"/>
          <w:szCs w:val="21"/>
        </w:rPr>
        <w:t>招标活动进行投标。本公司所提交的投标文件中所有关于投标资格的文件、证明和陈述均是真实的、准确的。若与真实情况不符，本公司愿意承担由此而产生的一切后果。</w:t>
      </w:r>
    </w:p>
    <w:p>
      <w:pPr>
        <w:overflowPunct w:val="0"/>
        <w:adjustRightInd w:val="0"/>
        <w:spacing w:line="440" w:lineRule="exact"/>
        <w:ind w:right="482" w:firstLine="1260" w:firstLineChars="600"/>
        <w:jc w:val="center"/>
        <w:textAlignment w:val="baseline"/>
        <w:rPr>
          <w:rFonts w:ascii="宋体" w:hAnsi="宋体" w:eastAsia="宋体"/>
          <w:sz w:val="21"/>
          <w:szCs w:val="21"/>
        </w:rPr>
      </w:pPr>
      <w:r>
        <w:rPr>
          <w:rFonts w:hint="eastAsia" w:ascii="宋体" w:hAnsi="宋体" w:eastAsia="宋体"/>
          <w:sz w:val="21"/>
          <w:szCs w:val="21"/>
        </w:rPr>
        <w:t>（供应商）法定代表人或被委托授权人（签字或盖章）：</w:t>
      </w:r>
    </w:p>
    <w:p>
      <w:pPr>
        <w:overflowPunct w:val="0"/>
        <w:adjustRightInd w:val="0"/>
        <w:spacing w:line="440" w:lineRule="exact"/>
        <w:ind w:right="482" w:firstLine="1260" w:firstLineChars="600"/>
        <w:jc w:val="center"/>
        <w:textAlignment w:val="baseline"/>
        <w:rPr>
          <w:rFonts w:ascii="宋体" w:hAnsi="宋体" w:eastAsia="宋体"/>
          <w:sz w:val="21"/>
          <w:szCs w:val="21"/>
        </w:rPr>
      </w:pPr>
      <w:r>
        <w:rPr>
          <w:rFonts w:hint="eastAsia" w:ascii="宋体" w:hAnsi="宋体" w:eastAsia="宋体"/>
          <w:sz w:val="21"/>
          <w:szCs w:val="21"/>
        </w:rPr>
        <w:t>（供应商）公章：</w:t>
      </w:r>
    </w:p>
    <w:p>
      <w:pPr>
        <w:overflowPunct w:val="0"/>
        <w:adjustRightInd w:val="0"/>
        <w:spacing w:line="440" w:lineRule="exact"/>
        <w:ind w:right="482" w:firstLine="1260" w:firstLineChars="600"/>
        <w:jc w:val="center"/>
        <w:textAlignment w:val="baseline"/>
        <w:rPr>
          <w:rFonts w:ascii="宋体" w:hAnsi="宋体" w:eastAsia="宋体"/>
          <w:sz w:val="21"/>
          <w:szCs w:val="21"/>
        </w:rPr>
      </w:pPr>
      <w:r>
        <w:rPr>
          <w:rFonts w:hint="eastAsia" w:ascii="宋体" w:hAnsi="宋体" w:eastAsia="宋体"/>
          <w:sz w:val="21"/>
          <w:szCs w:val="21"/>
        </w:rPr>
        <w:t xml:space="preserve">                     年  </w:t>
      </w:r>
      <w:r>
        <w:rPr>
          <w:rFonts w:ascii="宋体" w:hAnsi="宋体" w:eastAsia="宋体"/>
          <w:sz w:val="21"/>
          <w:szCs w:val="21"/>
        </w:rPr>
        <w:tab/>
      </w:r>
      <w:r>
        <w:rPr>
          <w:rFonts w:hint="eastAsia" w:ascii="宋体" w:hAnsi="宋体" w:eastAsia="宋体"/>
          <w:sz w:val="21"/>
          <w:szCs w:val="21"/>
        </w:rPr>
        <w:t>月   日</w:t>
      </w:r>
    </w:p>
    <w:p>
      <w:pPr>
        <w:snapToGrid w:val="0"/>
        <w:spacing w:line="440" w:lineRule="exact"/>
        <w:jc w:val="center"/>
        <w:outlineLvl w:val="4"/>
        <w:rPr>
          <w:rFonts w:ascii="宋体" w:hAnsi="宋体" w:eastAsia="宋体"/>
          <w:b/>
          <w:bCs/>
          <w:sz w:val="21"/>
          <w:szCs w:val="21"/>
        </w:rPr>
      </w:pPr>
    </w:p>
    <w:p>
      <w:pPr>
        <w:snapToGrid w:val="0"/>
        <w:spacing w:line="440" w:lineRule="exact"/>
        <w:jc w:val="center"/>
        <w:outlineLvl w:val="4"/>
        <w:rPr>
          <w:rFonts w:ascii="宋体" w:hAnsi="宋体" w:eastAsia="宋体"/>
          <w:b/>
          <w:bCs/>
          <w:sz w:val="21"/>
          <w:szCs w:val="21"/>
        </w:rPr>
      </w:pPr>
    </w:p>
    <w:p>
      <w:pPr>
        <w:widowControl/>
        <w:jc w:val="left"/>
        <w:rPr>
          <w:rFonts w:ascii="宋体" w:hAnsi="宋体" w:eastAsia="宋体"/>
          <w:b/>
          <w:bCs/>
          <w:sz w:val="21"/>
          <w:szCs w:val="21"/>
        </w:rPr>
      </w:pPr>
      <w:r>
        <w:rPr>
          <w:rFonts w:ascii="宋体" w:hAnsi="宋体" w:eastAsia="宋体"/>
          <w:b/>
          <w:bCs/>
          <w:sz w:val="21"/>
          <w:szCs w:val="21"/>
        </w:rPr>
        <w:br w:type="page"/>
      </w:r>
    </w:p>
    <w:p>
      <w:pPr>
        <w:snapToGrid w:val="0"/>
        <w:spacing w:line="440" w:lineRule="exact"/>
        <w:jc w:val="center"/>
        <w:outlineLvl w:val="4"/>
        <w:rPr>
          <w:rFonts w:ascii="宋体" w:hAnsi="宋体" w:eastAsia="宋体"/>
          <w:b/>
          <w:bCs/>
          <w:sz w:val="21"/>
          <w:szCs w:val="21"/>
        </w:rPr>
      </w:pPr>
      <w:r>
        <w:rPr>
          <w:rFonts w:hint="eastAsia" w:ascii="宋体" w:hAnsi="宋体" w:eastAsia="宋体"/>
          <w:b/>
          <w:bCs/>
          <w:sz w:val="21"/>
          <w:szCs w:val="21"/>
        </w:rPr>
        <w:t>4、无重大违法记录声明函</w:t>
      </w:r>
    </w:p>
    <w:p>
      <w:pPr>
        <w:spacing w:line="440" w:lineRule="exact"/>
        <w:rPr>
          <w:rFonts w:ascii="宋体" w:hAnsi="宋体" w:eastAsia="宋体"/>
          <w:color w:val="000000"/>
          <w:sz w:val="21"/>
          <w:szCs w:val="21"/>
        </w:rPr>
      </w:pPr>
      <w:r>
        <w:rPr>
          <w:rFonts w:hint="eastAsia" w:ascii="宋体" w:hAnsi="宋体" w:eastAsia="宋体"/>
          <w:sz w:val="21"/>
          <w:szCs w:val="21"/>
        </w:rPr>
        <w:t>南通市崇川区永兴街道办事处：</w:t>
      </w:r>
    </w:p>
    <w:p>
      <w:pPr>
        <w:spacing w:line="44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我单位</w:t>
      </w:r>
      <w:r>
        <w:rPr>
          <w:rFonts w:hint="eastAsia" w:ascii="宋体" w:hAnsi="宋体" w:eastAsia="宋体"/>
          <w:color w:val="000000"/>
          <w:sz w:val="21"/>
          <w:szCs w:val="21"/>
          <w:u w:val="single"/>
        </w:rPr>
        <w:t xml:space="preserve">     （供应商名称）</w:t>
      </w:r>
      <w:r>
        <w:rPr>
          <w:rFonts w:hint="eastAsia" w:ascii="宋体" w:hAnsi="宋体" w:eastAsia="宋体"/>
          <w:color w:val="000000"/>
          <w:sz w:val="21"/>
          <w:szCs w:val="21"/>
        </w:rPr>
        <w:t>郑重声明：</w:t>
      </w:r>
    </w:p>
    <w:p>
      <w:pPr>
        <w:spacing w:line="440" w:lineRule="exact"/>
        <w:rPr>
          <w:rFonts w:ascii="宋体" w:hAnsi="宋体" w:eastAsia="宋体"/>
          <w:color w:val="000000"/>
          <w:sz w:val="21"/>
          <w:szCs w:val="21"/>
        </w:rPr>
      </w:pPr>
      <w:r>
        <w:rPr>
          <w:rFonts w:hint="eastAsia" w:ascii="宋体" w:hAnsi="宋体" w:eastAsia="宋体"/>
          <w:color w:val="000000"/>
          <w:sz w:val="21"/>
          <w:szCs w:val="21"/>
        </w:rPr>
        <w:t>参加政府采购活动前</w:t>
      </w:r>
      <w:r>
        <w:rPr>
          <w:rFonts w:ascii="宋体" w:hAnsi="宋体" w:eastAsia="宋体"/>
          <w:color w:val="000000"/>
          <w:sz w:val="21"/>
          <w:szCs w:val="21"/>
        </w:rPr>
        <w:t>3</w:t>
      </w:r>
      <w:r>
        <w:rPr>
          <w:rFonts w:hint="eastAsia" w:ascii="宋体" w:hAnsi="宋体" w:eastAsia="宋体"/>
          <w:color w:val="000000"/>
          <w:sz w:val="21"/>
          <w:szCs w:val="21"/>
        </w:rPr>
        <w:t>年内在经营活动中</w:t>
      </w:r>
      <w:r>
        <w:rPr>
          <w:rFonts w:hint="eastAsia" w:ascii="宋体" w:hAnsi="宋体" w:eastAsia="宋体"/>
          <w:color w:val="000000"/>
          <w:sz w:val="21"/>
          <w:szCs w:val="21"/>
          <w:u w:val="single"/>
        </w:rPr>
        <w:t xml:space="preserve">    （在下划线上如实填写：有或没有）</w:t>
      </w:r>
      <w:r>
        <w:rPr>
          <w:rFonts w:hint="eastAsia" w:ascii="宋体" w:hAnsi="宋体" w:eastAsia="宋体"/>
          <w:color w:val="000000"/>
          <w:sz w:val="21"/>
          <w:szCs w:val="21"/>
        </w:rPr>
        <w:t>重大违法记录。</w:t>
      </w:r>
    </w:p>
    <w:p>
      <w:pPr>
        <w:spacing w:line="440" w:lineRule="exact"/>
        <w:ind w:firstLine="480"/>
        <w:rPr>
          <w:rFonts w:ascii="宋体" w:hAnsi="宋体" w:eastAsia="宋体"/>
          <w:color w:val="000000"/>
          <w:sz w:val="21"/>
          <w:szCs w:val="21"/>
        </w:rPr>
      </w:pPr>
      <w:r>
        <w:rPr>
          <w:rFonts w:hint="eastAsia" w:ascii="宋体" w:hAnsi="宋体" w:eastAsia="宋体"/>
          <w:color w:val="000000"/>
          <w:sz w:val="21"/>
          <w:szCs w:val="21"/>
        </w:rPr>
        <w:t>（说明：政府采购法第二十二条第一款第五项所称重大违法记录，是指供应商因违法经营受到刑事处罚或者责令停产停业、吊销许可证或者执照、较大数额罚款等行政处罚。）</w:t>
      </w:r>
    </w:p>
    <w:p>
      <w:pPr>
        <w:spacing w:line="440" w:lineRule="exact"/>
        <w:rPr>
          <w:rFonts w:ascii="宋体" w:hAnsi="宋体" w:eastAsia="宋体"/>
          <w:color w:val="000000"/>
          <w:sz w:val="21"/>
          <w:szCs w:val="21"/>
        </w:rPr>
      </w:pPr>
    </w:p>
    <w:p>
      <w:pPr>
        <w:spacing w:line="440" w:lineRule="exact"/>
        <w:rPr>
          <w:rFonts w:ascii="宋体" w:hAnsi="宋体" w:eastAsia="宋体"/>
          <w:color w:val="000000"/>
          <w:sz w:val="21"/>
          <w:szCs w:val="21"/>
        </w:rPr>
      </w:pPr>
      <w:r>
        <w:rPr>
          <w:rFonts w:hint="eastAsia" w:ascii="宋体" w:hAnsi="宋体" w:eastAsia="宋体"/>
          <w:color w:val="000000"/>
          <w:sz w:val="21"/>
          <w:szCs w:val="21"/>
        </w:rPr>
        <w:t>声明人：（公章）</w:t>
      </w:r>
    </w:p>
    <w:p>
      <w:pPr>
        <w:spacing w:line="440" w:lineRule="exact"/>
        <w:ind w:firstLine="4200" w:firstLineChars="2000"/>
        <w:jc w:val="center"/>
        <w:rPr>
          <w:rFonts w:ascii="宋体" w:hAnsi="宋体" w:eastAsia="宋体"/>
          <w:color w:val="000000"/>
          <w:sz w:val="21"/>
          <w:szCs w:val="21"/>
        </w:rPr>
      </w:pPr>
      <w:r>
        <w:rPr>
          <w:rFonts w:hint="eastAsia" w:ascii="宋体" w:hAnsi="宋体" w:eastAsia="宋体"/>
          <w:color w:val="000000"/>
          <w:sz w:val="21"/>
          <w:szCs w:val="21"/>
        </w:rPr>
        <w:t>年  月  日</w:t>
      </w:r>
    </w:p>
    <w:p>
      <w:pPr>
        <w:adjustRightInd w:val="0"/>
        <w:snapToGrid w:val="0"/>
        <w:spacing w:line="440" w:lineRule="exact"/>
        <w:ind w:left="1015" w:leftChars="1" w:hanging="1012" w:hangingChars="482"/>
        <w:jc w:val="center"/>
        <w:rPr>
          <w:rFonts w:ascii="宋体" w:hAnsi="宋体" w:eastAsia="宋体"/>
          <w:sz w:val="21"/>
          <w:szCs w:val="21"/>
        </w:rPr>
      </w:pPr>
    </w:p>
    <w:p>
      <w:pPr>
        <w:snapToGrid w:val="0"/>
        <w:spacing w:line="440" w:lineRule="exact"/>
        <w:outlineLvl w:val="2"/>
        <w:rPr>
          <w:rFonts w:ascii="宋体" w:hAnsi="宋体" w:eastAsia="宋体"/>
          <w:sz w:val="21"/>
          <w:szCs w:val="21"/>
        </w:rPr>
      </w:pPr>
    </w:p>
    <w:p>
      <w:pPr>
        <w:snapToGrid w:val="0"/>
        <w:spacing w:line="440" w:lineRule="exact"/>
        <w:outlineLvl w:val="2"/>
        <w:rPr>
          <w:rFonts w:ascii="宋体" w:hAnsi="宋体" w:eastAsia="宋体"/>
          <w:b/>
          <w:sz w:val="21"/>
          <w:szCs w:val="21"/>
        </w:rPr>
      </w:pPr>
      <w:r>
        <w:rPr>
          <w:rFonts w:ascii="宋体" w:hAnsi="宋体" w:eastAsia="宋体"/>
          <w:b/>
          <w:sz w:val="21"/>
          <w:szCs w:val="21"/>
        </w:rPr>
        <w:br w:type="page"/>
      </w:r>
      <w:r>
        <w:rPr>
          <w:rFonts w:hint="eastAsia" w:ascii="宋体" w:hAnsi="宋体" w:eastAsia="宋体"/>
          <w:b/>
          <w:sz w:val="21"/>
          <w:szCs w:val="21"/>
        </w:rPr>
        <w:t>四、商务技术磋商响应文件（单独密封）</w:t>
      </w:r>
    </w:p>
    <w:p>
      <w:pPr>
        <w:snapToGrid w:val="0"/>
        <w:spacing w:line="440" w:lineRule="exact"/>
        <w:jc w:val="center"/>
        <w:outlineLvl w:val="3"/>
        <w:rPr>
          <w:rFonts w:ascii="宋体" w:hAnsi="宋体" w:eastAsia="宋体"/>
          <w:b/>
          <w:bCs/>
          <w:sz w:val="21"/>
          <w:szCs w:val="21"/>
        </w:rPr>
      </w:pPr>
      <w:r>
        <w:rPr>
          <w:rFonts w:ascii="宋体" w:hAnsi="宋体" w:eastAsia="宋体"/>
          <w:b/>
          <w:sz w:val="21"/>
          <w:szCs w:val="21"/>
        </w:rPr>
        <w:t>1</w:t>
      </w:r>
      <w:r>
        <w:rPr>
          <w:rFonts w:hint="eastAsia" w:ascii="宋体" w:hAnsi="宋体" w:eastAsia="宋体"/>
          <w:b/>
          <w:bCs/>
          <w:sz w:val="21"/>
          <w:szCs w:val="21"/>
        </w:rPr>
        <w:t>、竞争性磋商响应函</w:t>
      </w:r>
    </w:p>
    <w:p>
      <w:pPr>
        <w:snapToGrid w:val="0"/>
        <w:spacing w:line="400" w:lineRule="exact"/>
        <w:jc w:val="left"/>
        <w:rPr>
          <w:rFonts w:ascii="宋体" w:hAnsi="宋体" w:eastAsia="宋体"/>
          <w:sz w:val="21"/>
          <w:szCs w:val="21"/>
        </w:rPr>
      </w:pPr>
      <w:r>
        <w:rPr>
          <w:rFonts w:hint="eastAsia" w:ascii="宋体" w:hAnsi="宋体" w:eastAsia="宋体"/>
          <w:sz w:val="21"/>
          <w:szCs w:val="21"/>
        </w:rPr>
        <w:t>南通市崇川区永兴街道办事处：</w:t>
      </w:r>
    </w:p>
    <w:p>
      <w:pPr>
        <w:snapToGrid w:val="0"/>
        <w:spacing w:line="400" w:lineRule="exact"/>
        <w:ind w:firstLine="420" w:firstLineChars="200"/>
        <w:rPr>
          <w:rFonts w:ascii="宋体" w:hAnsi="宋体" w:eastAsia="宋体"/>
          <w:sz w:val="21"/>
          <w:szCs w:val="21"/>
        </w:rPr>
      </w:pPr>
      <w:r>
        <w:rPr>
          <w:rFonts w:hint="eastAsia" w:ascii="宋体" w:hAnsi="宋体" w:eastAsia="宋体"/>
          <w:sz w:val="21"/>
          <w:szCs w:val="21"/>
        </w:rPr>
        <w:t>依据贵单位</w:t>
      </w:r>
      <w:r>
        <w:rPr>
          <w:rFonts w:hint="eastAsia" w:ascii="宋体" w:hAnsi="宋体" w:eastAsia="宋体"/>
          <w:sz w:val="21"/>
          <w:szCs w:val="21"/>
          <w:u w:val="single"/>
        </w:rPr>
        <w:t xml:space="preserve"> （招标项目名称</w:t>
      </w:r>
      <w:r>
        <w:rPr>
          <w:rFonts w:ascii="宋体" w:hAnsi="宋体" w:eastAsia="宋体"/>
          <w:sz w:val="21"/>
          <w:szCs w:val="21"/>
          <w:u w:val="single"/>
        </w:rPr>
        <w:t>)</w:t>
      </w:r>
      <w:r>
        <w:rPr>
          <w:rFonts w:hint="eastAsia" w:ascii="宋体" w:hAnsi="宋体" w:eastAsia="宋体"/>
          <w:sz w:val="21"/>
          <w:szCs w:val="21"/>
          <w:u w:val="single"/>
        </w:rPr>
        <w:t xml:space="preserve">  </w:t>
      </w:r>
      <w:r>
        <w:rPr>
          <w:rFonts w:hint="eastAsia" w:ascii="宋体" w:hAnsi="宋体" w:eastAsia="宋体"/>
          <w:sz w:val="21"/>
          <w:szCs w:val="21"/>
        </w:rPr>
        <w:t>项目竞争性磋商的邀请，我方授权</w:t>
      </w:r>
      <w:r>
        <w:rPr>
          <w:rFonts w:hint="eastAsia" w:ascii="宋体" w:hAnsi="宋体" w:eastAsia="宋体"/>
          <w:sz w:val="21"/>
          <w:szCs w:val="21"/>
          <w:u w:val="single"/>
        </w:rPr>
        <w:t xml:space="preserve">  （姓名）（职务） </w:t>
      </w:r>
      <w:r>
        <w:rPr>
          <w:rFonts w:hint="eastAsia" w:ascii="宋体" w:hAnsi="宋体" w:eastAsia="宋体"/>
          <w:sz w:val="21"/>
          <w:szCs w:val="21"/>
        </w:rPr>
        <w:t>为全权代表参加该项目的磋商响应工作，全权处理本次磋商的有关事宜。同时，我公司声明如下：</w:t>
      </w:r>
    </w:p>
    <w:p>
      <w:pPr>
        <w:spacing w:line="440" w:lineRule="exact"/>
        <w:ind w:firstLine="420" w:firstLineChars="200"/>
        <w:jc w:val="left"/>
        <w:rPr>
          <w:rFonts w:ascii="宋体" w:hAnsi="宋体" w:eastAsia="宋体" w:cs="仿宋_GB2312"/>
          <w:sz w:val="21"/>
          <w:szCs w:val="21"/>
        </w:rPr>
      </w:pPr>
      <w:r>
        <w:rPr>
          <w:rFonts w:ascii="宋体" w:hAnsi="宋体" w:eastAsia="宋体"/>
          <w:sz w:val="21"/>
          <w:szCs w:val="21"/>
        </w:rPr>
        <w:t>1</w:t>
      </w:r>
      <w:r>
        <w:rPr>
          <w:rFonts w:hint="eastAsia" w:ascii="宋体" w:hAnsi="宋体" w:eastAsia="宋体"/>
          <w:sz w:val="21"/>
          <w:szCs w:val="21"/>
        </w:rPr>
        <w:t>、我方愿意按照磋商文件的一切要求，提供完成该项目的全部内容，我方接受你方的支付方式，即：（1）物业费收取标准和服务补贴金额为：</w:t>
      </w:r>
      <w:r>
        <w:rPr>
          <w:rFonts w:hint="eastAsia" w:ascii="宋体" w:hAnsi="宋体" w:eastAsia="宋体" w:cs="仿宋_GB2312"/>
          <w:sz w:val="21"/>
          <w:szCs w:val="21"/>
        </w:rPr>
        <w:t>①前两年由成交人参照2021年《崇川区社区物业管理办法》标准向业主收取；两年后受安置房补贴部分（面积待区住建局核定）由采购人按0.5元/㎡/月补贴。成交人进场后由区住建局考核、街道打分，按规拨付。</w:t>
      </w:r>
    </w:p>
    <w:p>
      <w:pPr>
        <w:spacing w:line="440" w:lineRule="exact"/>
        <w:ind w:firstLine="420" w:firstLineChars="200"/>
        <w:jc w:val="left"/>
        <w:rPr>
          <w:rFonts w:ascii="宋体" w:hAnsi="宋体" w:eastAsia="宋体" w:cs="仿宋_GB2312"/>
          <w:sz w:val="21"/>
          <w:szCs w:val="21"/>
        </w:rPr>
      </w:pPr>
      <w:r>
        <w:rPr>
          <w:rFonts w:hint="eastAsia" w:ascii="宋体" w:hAnsi="宋体" w:eastAsia="宋体" w:cs="仿宋_GB2312"/>
          <w:sz w:val="21"/>
          <w:szCs w:val="21"/>
        </w:rPr>
        <w:t>②不享受安置房补贴部分（总面积减去补贴部分面积）由成交人参照2021年《崇川区社区物业管理办法》标准向业主收取。</w:t>
      </w:r>
    </w:p>
    <w:p>
      <w:pPr>
        <w:spacing w:line="440" w:lineRule="exact"/>
        <w:ind w:firstLine="420" w:firstLineChars="200"/>
        <w:jc w:val="left"/>
        <w:rPr>
          <w:rFonts w:ascii="宋体" w:hAnsi="宋体" w:eastAsia="宋体" w:cs="仿宋_GB2312"/>
          <w:sz w:val="21"/>
          <w:szCs w:val="21"/>
        </w:rPr>
      </w:pPr>
      <w:r>
        <w:rPr>
          <w:rFonts w:hint="eastAsia" w:ascii="宋体" w:hAnsi="宋体" w:eastAsia="宋体" w:cs="仿宋_GB2312"/>
          <w:sz w:val="21"/>
          <w:szCs w:val="21"/>
        </w:rPr>
        <w:t>③上述两年后安置房补贴面积目前暂未确定且每年更新，合同期间，具体补贴及自收面积以即时实际数据为准。</w:t>
      </w:r>
    </w:p>
    <w:p>
      <w:pPr>
        <w:snapToGrid w:val="0"/>
        <w:spacing w:line="400" w:lineRule="exact"/>
        <w:ind w:left="312" w:leftChars="120" w:firstLine="105" w:firstLineChars="50"/>
        <w:rPr>
          <w:rFonts w:ascii="宋体" w:hAnsi="宋体" w:eastAsia="宋体"/>
          <w:sz w:val="21"/>
          <w:szCs w:val="21"/>
        </w:rPr>
      </w:pPr>
      <w:r>
        <w:rPr>
          <w:rFonts w:hint="eastAsia" w:ascii="宋体" w:hAnsi="宋体" w:eastAsia="宋体"/>
          <w:sz w:val="21"/>
          <w:szCs w:val="21"/>
        </w:rPr>
        <w:t>（2）上述费用包含但不限于如所有人员开支费用(包括人员工资、社保、保险费、餐费、补贴费、加班费、福利、清洁耗材等所有费用)、专用设备及其备品、备件、小型维修的人工材料机械费用、易耗品耗材、通讯和专用工具费用、税费、运输、保险、技术支持与培训、售后服务及相关劳务支出等工作所发生的全部费用以及投标人企业利润、税金和政策性文件规定及合同包含的所有风险、责任，即响应本项目的各项应有费用。</w:t>
      </w:r>
    </w:p>
    <w:p>
      <w:pPr>
        <w:snapToGrid w:val="0"/>
        <w:spacing w:line="400" w:lineRule="exact"/>
        <w:ind w:firstLine="432" w:firstLineChars="206"/>
        <w:outlineLvl w:val="1"/>
        <w:rPr>
          <w:rFonts w:ascii="宋体" w:hAnsi="宋体" w:eastAsia="宋体"/>
          <w:sz w:val="21"/>
          <w:szCs w:val="21"/>
        </w:rPr>
      </w:pPr>
      <w:r>
        <w:rPr>
          <w:rFonts w:hint="eastAsia" w:ascii="宋体" w:hAnsi="宋体" w:eastAsia="宋体"/>
          <w:sz w:val="21"/>
          <w:szCs w:val="21"/>
        </w:rPr>
        <w:t>（3）本项目实行期间，人员安排、费用考虑等均须符合国家相关规定。</w:t>
      </w:r>
    </w:p>
    <w:p>
      <w:pPr>
        <w:snapToGrid w:val="0"/>
        <w:spacing w:line="400" w:lineRule="exact"/>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、我方已经详细审查了全部磋商文件，我方已完全清晰理解磋商文件的要求，不存在任何含糊不清和误解之处，同意放弃对这些文件所提出的异议和质疑的权利。</w:t>
      </w:r>
    </w:p>
    <w:p>
      <w:pPr>
        <w:snapToGrid w:val="0"/>
        <w:spacing w:line="400" w:lineRule="exact"/>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、我方愿意提供招标采购单位在磋商文件中要求的所有资料。</w:t>
      </w:r>
    </w:p>
    <w:p>
      <w:pPr>
        <w:snapToGrid w:val="0"/>
        <w:spacing w:line="400" w:lineRule="exact"/>
        <w:ind w:firstLine="420" w:firstLineChars="200"/>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、我方承诺在本次磋商响应中提供的一切文件，无论是原件还是复印件均真实有效，绝无任何虚假、伪造和夸大的成份。否则，愿承担相应的后果和法律责任。</w:t>
      </w:r>
    </w:p>
    <w:p>
      <w:pPr>
        <w:snapToGrid w:val="0"/>
        <w:spacing w:line="400" w:lineRule="exact"/>
        <w:ind w:firstLine="420" w:firstLineChars="200"/>
        <w:rPr>
          <w:rFonts w:ascii="宋体" w:hAnsi="宋体" w:eastAsia="宋体"/>
          <w:sz w:val="21"/>
          <w:szCs w:val="21"/>
        </w:rPr>
      </w:pPr>
      <w:r>
        <w:rPr>
          <w:rFonts w:ascii="宋体" w:hAnsi="宋体" w:eastAsia="宋体"/>
          <w:sz w:val="21"/>
          <w:szCs w:val="21"/>
        </w:rPr>
        <w:t>7</w:t>
      </w:r>
      <w:r>
        <w:rPr>
          <w:rFonts w:hint="eastAsia" w:ascii="宋体" w:hAnsi="宋体" w:eastAsia="宋体"/>
          <w:sz w:val="21"/>
          <w:szCs w:val="21"/>
        </w:rPr>
        <w:t>、如果我方成交，我方愿意按磋商文件的规定支付招标代理服务费；</w:t>
      </w:r>
    </w:p>
    <w:p>
      <w:pPr>
        <w:snapToGrid w:val="0"/>
        <w:spacing w:line="400" w:lineRule="exact"/>
        <w:ind w:firstLine="420" w:firstLineChars="200"/>
        <w:rPr>
          <w:rFonts w:ascii="宋体" w:hAnsi="宋体" w:eastAsia="宋体"/>
          <w:sz w:val="21"/>
          <w:szCs w:val="21"/>
        </w:rPr>
      </w:pPr>
      <w:r>
        <w:rPr>
          <w:rFonts w:ascii="宋体" w:hAnsi="宋体" w:eastAsia="宋体"/>
          <w:sz w:val="21"/>
          <w:szCs w:val="21"/>
        </w:rPr>
        <w:t>8</w:t>
      </w:r>
      <w:r>
        <w:rPr>
          <w:rFonts w:hint="eastAsia" w:ascii="宋体" w:hAnsi="宋体" w:eastAsia="宋体"/>
          <w:sz w:val="21"/>
          <w:szCs w:val="21"/>
        </w:rPr>
        <w:t>、一旦我方成交，我方将根据磋商文件的规定，严格履行磋商文件中规定的每一项要求，按期、按质、按量履行合同的义务。</w:t>
      </w:r>
    </w:p>
    <w:p>
      <w:pPr>
        <w:snapToGrid w:val="0"/>
        <w:spacing w:line="400" w:lineRule="exact"/>
        <w:ind w:firstLine="2100" w:firstLineChars="1000"/>
        <w:jc w:val="center"/>
        <w:rPr>
          <w:rFonts w:ascii="宋体" w:hAnsi="宋体" w:eastAsia="宋体"/>
          <w:sz w:val="21"/>
          <w:szCs w:val="21"/>
        </w:rPr>
      </w:pPr>
      <w:r>
        <w:rPr>
          <w:rFonts w:hint="eastAsia" w:ascii="宋体" w:hAnsi="宋体" w:eastAsia="宋体"/>
          <w:sz w:val="21"/>
          <w:szCs w:val="21"/>
        </w:rPr>
        <w:t>供应商：（加盖公章）</w:t>
      </w:r>
    </w:p>
    <w:p>
      <w:pPr>
        <w:snapToGrid w:val="0"/>
        <w:spacing w:line="400" w:lineRule="exact"/>
        <w:ind w:firstLine="2100" w:firstLineChars="1000"/>
        <w:jc w:val="center"/>
        <w:rPr>
          <w:rFonts w:ascii="宋体" w:hAnsi="宋体" w:eastAsia="宋体"/>
          <w:sz w:val="21"/>
          <w:szCs w:val="21"/>
        </w:rPr>
      </w:pPr>
      <w:r>
        <w:rPr>
          <w:rFonts w:hint="eastAsia" w:ascii="宋体" w:hAnsi="宋体" w:eastAsia="宋体"/>
          <w:sz w:val="21"/>
          <w:szCs w:val="21"/>
        </w:rPr>
        <w:t>法定代表人或被委托授权人：（签字）</w:t>
      </w:r>
    </w:p>
    <w:p>
      <w:pPr>
        <w:snapToGrid w:val="0"/>
        <w:spacing w:line="400" w:lineRule="exact"/>
        <w:jc w:val="center"/>
        <w:rPr>
          <w:rFonts w:ascii="宋体" w:hAnsi="宋体" w:eastAsia="宋体"/>
          <w:sz w:val="21"/>
          <w:szCs w:val="21"/>
        </w:rPr>
      </w:pPr>
      <w:r>
        <w:rPr>
          <w:rFonts w:hint="eastAsia" w:ascii="宋体" w:hAnsi="宋体" w:eastAsia="宋体"/>
          <w:sz w:val="21"/>
          <w:szCs w:val="21"/>
        </w:rPr>
        <w:t xml:space="preserve">                                                          年  月  日</w:t>
      </w:r>
    </w:p>
    <w:p>
      <w:pPr>
        <w:snapToGrid w:val="0"/>
        <w:spacing w:line="440" w:lineRule="exact"/>
        <w:jc w:val="center"/>
        <w:rPr>
          <w:rFonts w:ascii="宋体" w:hAnsi="宋体" w:eastAsia="宋体"/>
          <w:sz w:val="21"/>
          <w:szCs w:val="21"/>
        </w:rPr>
      </w:pPr>
    </w:p>
    <w:p>
      <w:pPr>
        <w:snapToGrid w:val="0"/>
        <w:spacing w:line="440" w:lineRule="exact"/>
        <w:jc w:val="center"/>
        <w:rPr>
          <w:rFonts w:ascii="宋体" w:hAnsi="宋体" w:eastAsia="宋体"/>
          <w:sz w:val="21"/>
          <w:szCs w:val="21"/>
        </w:rPr>
      </w:pPr>
    </w:p>
    <w:p>
      <w:pPr>
        <w:snapToGrid w:val="0"/>
        <w:spacing w:line="440" w:lineRule="exact"/>
        <w:jc w:val="center"/>
        <w:rPr>
          <w:rFonts w:ascii="宋体" w:hAnsi="宋体" w:eastAsia="宋体"/>
          <w:sz w:val="21"/>
          <w:szCs w:val="21"/>
        </w:rPr>
      </w:pPr>
    </w:p>
    <w:sectPr>
      <w:footerReference r:id="rId7" w:type="default"/>
      <w:pgSz w:w="11906" w:h="16838"/>
      <w:pgMar w:top="1134" w:right="1134" w:bottom="992" w:left="1134" w:header="851" w:footer="454"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方正舒体"/>
    <w:panose1 w:val="00000000000000000000"/>
    <w:charset w:val="00"/>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Menlo">
    <w:altName w:val="Segoe Print"/>
    <w:panose1 w:val="00000000000000000000"/>
    <w:charset w:val="00"/>
    <w:family w:val="auto"/>
    <w:pitch w:val="default"/>
    <w:sig w:usb0="00000000" w:usb1="00000000" w:usb2="02000028" w:usb3="00000000" w:csb0="600001DF" w:csb1="FFDF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lang w:val="zh-CN"/>
      </w:rPr>
      <w:t xml:space="preserve"> </w:t>
    </w:r>
    <w:r>
      <w:rPr>
        <w:lang w:val="zh-CN"/>
      </w:rPr>
      <w:fldChar w:fldCharType="begin"/>
    </w:r>
    <w:r>
      <w:rPr>
        <w:lang w:val="zh-CN"/>
      </w:rPr>
      <w:instrText xml:space="preserve">PAGE</w:instrText>
    </w:r>
    <w:r>
      <w:rPr>
        <w:lang w:val="zh-CN"/>
      </w:rPr>
      <w:fldChar w:fldCharType="separate"/>
    </w:r>
    <w:r>
      <w:rPr>
        <w:lang w:val="zh-CN"/>
      </w:rPr>
      <w:t>1</w:t>
    </w:r>
    <w:r>
      <w:rPr>
        <w:lang w:val="zh-CN"/>
      </w:rPr>
      <w:fldChar w:fldCharType="end"/>
    </w:r>
    <w:r>
      <w:rPr>
        <w:lang w:val="zh-CN"/>
      </w:rPr>
      <w:t xml:space="preserve"> /</w:t>
    </w:r>
    <w:r>
      <w:rPr>
        <w:rFonts w:hint="eastAsia"/>
        <w:lang w:val="zh-CN"/>
      </w:rPr>
      <w:t>21</w:t>
    </w:r>
    <w:r>
      <w:rPr>
        <w:lang w:val="zh-CN"/>
      </w:rPr>
      <w:t xml:space="preserve"> </w:t>
    </w:r>
  </w:p>
  <w:p>
    <w:pPr>
      <w:pStyle w:val="28"/>
      <w:ind w:right="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ind w:right="18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b/>
      </w:rPr>
    </w:pPr>
    <w:r>
      <w:rPr>
        <w:lang w:val="zh-CN"/>
      </w:rPr>
      <w:t xml:space="preserve"> </w:t>
    </w:r>
    <w:r>
      <w:rPr>
        <w:b/>
      </w:rPr>
      <w:fldChar w:fldCharType="begin"/>
    </w:r>
    <w:r>
      <w:rPr>
        <w:b/>
      </w:rPr>
      <w:instrText xml:space="preserve">PAGE</w:instrText>
    </w:r>
    <w:r>
      <w:rPr>
        <w:b/>
      </w:rPr>
      <w:fldChar w:fldCharType="separate"/>
    </w:r>
    <w:r>
      <w:rPr>
        <w:b/>
      </w:rPr>
      <w:t>23</w:t>
    </w:r>
    <w:r>
      <w:rPr>
        <w:b/>
      </w:rPr>
      <w:fldChar w:fldCharType="end"/>
    </w:r>
    <w:r>
      <w:rPr>
        <w:b/>
      </w:rPr>
      <w:t xml:space="preserve"> /</w:t>
    </w:r>
    <w:r>
      <w:rPr>
        <w:rFonts w:hint="eastAsia"/>
        <w:b/>
      </w:rPr>
      <w:t>23</w:t>
    </w:r>
  </w:p>
  <w:p>
    <w:pPr>
      <w:pStyle w:val="28"/>
      <w:jc w:val="center"/>
    </w:pPr>
  </w:p>
  <w:p>
    <w:pPr>
      <w:pStyle w:val="28"/>
      <w:ind w:right="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20" w:lineRule="exact"/>
      <w:rPr>
        <w:rFonts w:ascii="仿宋_GB2312" w:eastAsia="仿宋_GB2312"/>
        <w:b/>
        <w:sz w:val="18"/>
        <w:szCs w:val="22"/>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20" w:lineRule="exac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0C2226"/>
    <w:multiLevelType w:val="multilevel"/>
    <w:tmpl w:val="330C22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17"/>
  <w:drawingGridVerticalSpacing w:val="190"/>
  <w:displayHorizontalDrawingGridEvery w:val="2"/>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1B"/>
    <w:rsid w:val="000018D1"/>
    <w:rsid w:val="0000455F"/>
    <w:rsid w:val="0001043F"/>
    <w:rsid w:val="000120DE"/>
    <w:rsid w:val="00016408"/>
    <w:rsid w:val="00021335"/>
    <w:rsid w:val="00021D1A"/>
    <w:rsid w:val="00026332"/>
    <w:rsid w:val="0002688A"/>
    <w:rsid w:val="00030AED"/>
    <w:rsid w:val="0003721A"/>
    <w:rsid w:val="000375E7"/>
    <w:rsid w:val="0004090E"/>
    <w:rsid w:val="0004091D"/>
    <w:rsid w:val="000422B0"/>
    <w:rsid w:val="00043D3D"/>
    <w:rsid w:val="000452F4"/>
    <w:rsid w:val="0005183F"/>
    <w:rsid w:val="0005188F"/>
    <w:rsid w:val="000535F8"/>
    <w:rsid w:val="00054EA7"/>
    <w:rsid w:val="00055B1C"/>
    <w:rsid w:val="00056D39"/>
    <w:rsid w:val="00061C60"/>
    <w:rsid w:val="000629B9"/>
    <w:rsid w:val="00062F5C"/>
    <w:rsid w:val="00063331"/>
    <w:rsid w:val="00067CCD"/>
    <w:rsid w:val="00070471"/>
    <w:rsid w:val="000734A8"/>
    <w:rsid w:val="000751EC"/>
    <w:rsid w:val="00080695"/>
    <w:rsid w:val="00080F94"/>
    <w:rsid w:val="00082023"/>
    <w:rsid w:val="00082795"/>
    <w:rsid w:val="00082C11"/>
    <w:rsid w:val="00083D2D"/>
    <w:rsid w:val="00084C18"/>
    <w:rsid w:val="00085192"/>
    <w:rsid w:val="0008603D"/>
    <w:rsid w:val="00087AC4"/>
    <w:rsid w:val="00087F0D"/>
    <w:rsid w:val="000A1E68"/>
    <w:rsid w:val="000A2566"/>
    <w:rsid w:val="000A5C64"/>
    <w:rsid w:val="000A5DF9"/>
    <w:rsid w:val="000B0CED"/>
    <w:rsid w:val="000B3F2B"/>
    <w:rsid w:val="000B4100"/>
    <w:rsid w:val="000B5C71"/>
    <w:rsid w:val="000B61D8"/>
    <w:rsid w:val="000C7A29"/>
    <w:rsid w:val="000D07AE"/>
    <w:rsid w:val="000D2520"/>
    <w:rsid w:val="000D5D52"/>
    <w:rsid w:val="000E0699"/>
    <w:rsid w:val="000E3A46"/>
    <w:rsid w:val="000E6F88"/>
    <w:rsid w:val="000F0A06"/>
    <w:rsid w:val="000F0F3A"/>
    <w:rsid w:val="000F4557"/>
    <w:rsid w:val="001031CC"/>
    <w:rsid w:val="00104C38"/>
    <w:rsid w:val="00105023"/>
    <w:rsid w:val="001060A0"/>
    <w:rsid w:val="001077F1"/>
    <w:rsid w:val="001124BB"/>
    <w:rsid w:val="00113B12"/>
    <w:rsid w:val="00114124"/>
    <w:rsid w:val="0011545A"/>
    <w:rsid w:val="00116096"/>
    <w:rsid w:val="00120A8E"/>
    <w:rsid w:val="0012234F"/>
    <w:rsid w:val="00131198"/>
    <w:rsid w:val="0013129B"/>
    <w:rsid w:val="001332AE"/>
    <w:rsid w:val="00133E25"/>
    <w:rsid w:val="00134A4A"/>
    <w:rsid w:val="0013622E"/>
    <w:rsid w:val="001405AB"/>
    <w:rsid w:val="00144181"/>
    <w:rsid w:val="00145B43"/>
    <w:rsid w:val="001501CD"/>
    <w:rsid w:val="001523D0"/>
    <w:rsid w:val="00156462"/>
    <w:rsid w:val="0016141A"/>
    <w:rsid w:val="0016166A"/>
    <w:rsid w:val="00161689"/>
    <w:rsid w:val="00162476"/>
    <w:rsid w:val="0016302E"/>
    <w:rsid w:val="0016481C"/>
    <w:rsid w:val="00164888"/>
    <w:rsid w:val="00165311"/>
    <w:rsid w:val="00170FB0"/>
    <w:rsid w:val="00172A27"/>
    <w:rsid w:val="001734DA"/>
    <w:rsid w:val="00174C07"/>
    <w:rsid w:val="00176730"/>
    <w:rsid w:val="0018042D"/>
    <w:rsid w:val="00181EAF"/>
    <w:rsid w:val="001823D5"/>
    <w:rsid w:val="00183F16"/>
    <w:rsid w:val="00184573"/>
    <w:rsid w:val="00187FF6"/>
    <w:rsid w:val="00190723"/>
    <w:rsid w:val="00192392"/>
    <w:rsid w:val="0019348C"/>
    <w:rsid w:val="001940ED"/>
    <w:rsid w:val="00194A8E"/>
    <w:rsid w:val="001965A2"/>
    <w:rsid w:val="00196CA1"/>
    <w:rsid w:val="001A2B16"/>
    <w:rsid w:val="001A379F"/>
    <w:rsid w:val="001A59E0"/>
    <w:rsid w:val="001A703D"/>
    <w:rsid w:val="001B5CA0"/>
    <w:rsid w:val="001B5DCA"/>
    <w:rsid w:val="001B6CCB"/>
    <w:rsid w:val="001B7395"/>
    <w:rsid w:val="001B7572"/>
    <w:rsid w:val="001C1688"/>
    <w:rsid w:val="001C3730"/>
    <w:rsid w:val="001C5DA3"/>
    <w:rsid w:val="001C7656"/>
    <w:rsid w:val="001C7824"/>
    <w:rsid w:val="001D0870"/>
    <w:rsid w:val="001D11BB"/>
    <w:rsid w:val="001D16BB"/>
    <w:rsid w:val="001D26D0"/>
    <w:rsid w:val="001D56D1"/>
    <w:rsid w:val="001D65C1"/>
    <w:rsid w:val="001D67EF"/>
    <w:rsid w:val="001E1F91"/>
    <w:rsid w:val="001E398F"/>
    <w:rsid w:val="001E5B56"/>
    <w:rsid w:val="001F0BED"/>
    <w:rsid w:val="001F4298"/>
    <w:rsid w:val="001F78E3"/>
    <w:rsid w:val="002006E8"/>
    <w:rsid w:val="00202917"/>
    <w:rsid w:val="00205CA1"/>
    <w:rsid w:val="00206A3B"/>
    <w:rsid w:val="002072AF"/>
    <w:rsid w:val="00207585"/>
    <w:rsid w:val="00216A7B"/>
    <w:rsid w:val="00217B18"/>
    <w:rsid w:val="00222B6E"/>
    <w:rsid w:val="00222CE3"/>
    <w:rsid w:val="002267B4"/>
    <w:rsid w:val="002309A2"/>
    <w:rsid w:val="002344F3"/>
    <w:rsid w:val="002345C5"/>
    <w:rsid w:val="0023518E"/>
    <w:rsid w:val="00235D20"/>
    <w:rsid w:val="00240F1A"/>
    <w:rsid w:val="00244886"/>
    <w:rsid w:val="00244D4C"/>
    <w:rsid w:val="00244D6A"/>
    <w:rsid w:val="002454FD"/>
    <w:rsid w:val="00250079"/>
    <w:rsid w:val="00250BB8"/>
    <w:rsid w:val="00251328"/>
    <w:rsid w:val="00251D53"/>
    <w:rsid w:val="002540E7"/>
    <w:rsid w:val="00254513"/>
    <w:rsid w:val="002562E0"/>
    <w:rsid w:val="00262955"/>
    <w:rsid w:val="002643E3"/>
    <w:rsid w:val="00265873"/>
    <w:rsid w:val="002721D8"/>
    <w:rsid w:val="00275CFE"/>
    <w:rsid w:val="00276FBA"/>
    <w:rsid w:val="00277152"/>
    <w:rsid w:val="00281543"/>
    <w:rsid w:val="0028253F"/>
    <w:rsid w:val="00290D06"/>
    <w:rsid w:val="002955D5"/>
    <w:rsid w:val="00295E54"/>
    <w:rsid w:val="002A38C3"/>
    <w:rsid w:val="002A6C57"/>
    <w:rsid w:val="002B0673"/>
    <w:rsid w:val="002B2DC6"/>
    <w:rsid w:val="002B692D"/>
    <w:rsid w:val="002B7D50"/>
    <w:rsid w:val="002C0A7E"/>
    <w:rsid w:val="002C58B3"/>
    <w:rsid w:val="002D2A2F"/>
    <w:rsid w:val="002D7CDC"/>
    <w:rsid w:val="002E35A3"/>
    <w:rsid w:val="002E64EF"/>
    <w:rsid w:val="002E669E"/>
    <w:rsid w:val="002E795A"/>
    <w:rsid w:val="002E7F2C"/>
    <w:rsid w:val="002F0B0A"/>
    <w:rsid w:val="002F40EA"/>
    <w:rsid w:val="002F7139"/>
    <w:rsid w:val="00301165"/>
    <w:rsid w:val="003022B1"/>
    <w:rsid w:val="003160E9"/>
    <w:rsid w:val="00316EA7"/>
    <w:rsid w:val="003261C3"/>
    <w:rsid w:val="00326FF0"/>
    <w:rsid w:val="0033212D"/>
    <w:rsid w:val="00334616"/>
    <w:rsid w:val="00336479"/>
    <w:rsid w:val="00340116"/>
    <w:rsid w:val="00341C6F"/>
    <w:rsid w:val="003474ED"/>
    <w:rsid w:val="003513BB"/>
    <w:rsid w:val="00352E9C"/>
    <w:rsid w:val="003555D2"/>
    <w:rsid w:val="00357676"/>
    <w:rsid w:val="003608E5"/>
    <w:rsid w:val="003639FA"/>
    <w:rsid w:val="0036432C"/>
    <w:rsid w:val="003708F7"/>
    <w:rsid w:val="00371893"/>
    <w:rsid w:val="0037426D"/>
    <w:rsid w:val="00374E1A"/>
    <w:rsid w:val="00375987"/>
    <w:rsid w:val="0037794E"/>
    <w:rsid w:val="00377E4F"/>
    <w:rsid w:val="00381008"/>
    <w:rsid w:val="00383D3D"/>
    <w:rsid w:val="00385694"/>
    <w:rsid w:val="00386C56"/>
    <w:rsid w:val="003877D0"/>
    <w:rsid w:val="00391AA6"/>
    <w:rsid w:val="0039406B"/>
    <w:rsid w:val="00395222"/>
    <w:rsid w:val="003962B9"/>
    <w:rsid w:val="003A041B"/>
    <w:rsid w:val="003A3FB5"/>
    <w:rsid w:val="003A5458"/>
    <w:rsid w:val="003A596D"/>
    <w:rsid w:val="003B5297"/>
    <w:rsid w:val="003B6396"/>
    <w:rsid w:val="003C015D"/>
    <w:rsid w:val="003C4AF1"/>
    <w:rsid w:val="003C727A"/>
    <w:rsid w:val="003C7DDD"/>
    <w:rsid w:val="003D0387"/>
    <w:rsid w:val="003D0CAF"/>
    <w:rsid w:val="003D196C"/>
    <w:rsid w:val="003D1E7C"/>
    <w:rsid w:val="003D25D4"/>
    <w:rsid w:val="003D46EF"/>
    <w:rsid w:val="003D5373"/>
    <w:rsid w:val="003D66D6"/>
    <w:rsid w:val="003E4163"/>
    <w:rsid w:val="003E7786"/>
    <w:rsid w:val="003F69D9"/>
    <w:rsid w:val="00403E61"/>
    <w:rsid w:val="00404AF9"/>
    <w:rsid w:val="00410F95"/>
    <w:rsid w:val="00411062"/>
    <w:rsid w:val="00414029"/>
    <w:rsid w:val="00414D05"/>
    <w:rsid w:val="00416FCB"/>
    <w:rsid w:val="00423213"/>
    <w:rsid w:val="00423BB9"/>
    <w:rsid w:val="004257F2"/>
    <w:rsid w:val="0043193E"/>
    <w:rsid w:val="00431BA7"/>
    <w:rsid w:val="0043363D"/>
    <w:rsid w:val="0043372F"/>
    <w:rsid w:val="0043396C"/>
    <w:rsid w:val="00433F4C"/>
    <w:rsid w:val="00436EEE"/>
    <w:rsid w:val="00437AE8"/>
    <w:rsid w:val="0044024E"/>
    <w:rsid w:val="0044710D"/>
    <w:rsid w:val="00447819"/>
    <w:rsid w:val="00451E99"/>
    <w:rsid w:val="00452A20"/>
    <w:rsid w:val="00453594"/>
    <w:rsid w:val="00455D6E"/>
    <w:rsid w:val="0046200B"/>
    <w:rsid w:val="0046266E"/>
    <w:rsid w:val="00463305"/>
    <w:rsid w:val="00465CCF"/>
    <w:rsid w:val="004708BD"/>
    <w:rsid w:val="00471869"/>
    <w:rsid w:val="00472909"/>
    <w:rsid w:val="00473A69"/>
    <w:rsid w:val="004746F8"/>
    <w:rsid w:val="00475FA7"/>
    <w:rsid w:val="00476713"/>
    <w:rsid w:val="00491E38"/>
    <w:rsid w:val="004927C1"/>
    <w:rsid w:val="00492D76"/>
    <w:rsid w:val="004946E1"/>
    <w:rsid w:val="004A58E9"/>
    <w:rsid w:val="004B1356"/>
    <w:rsid w:val="004B416F"/>
    <w:rsid w:val="004B4A53"/>
    <w:rsid w:val="004B7197"/>
    <w:rsid w:val="004C1AAE"/>
    <w:rsid w:val="004C41C4"/>
    <w:rsid w:val="004C4D31"/>
    <w:rsid w:val="004C6E5D"/>
    <w:rsid w:val="004D1D17"/>
    <w:rsid w:val="004D4197"/>
    <w:rsid w:val="004D6CF6"/>
    <w:rsid w:val="004D6DC3"/>
    <w:rsid w:val="004E02C9"/>
    <w:rsid w:val="004E143A"/>
    <w:rsid w:val="004E19A5"/>
    <w:rsid w:val="004E2A6F"/>
    <w:rsid w:val="004E47CA"/>
    <w:rsid w:val="004F27B7"/>
    <w:rsid w:val="004F28EC"/>
    <w:rsid w:val="004F2A64"/>
    <w:rsid w:val="004F337C"/>
    <w:rsid w:val="004F4C2C"/>
    <w:rsid w:val="004F65E3"/>
    <w:rsid w:val="00500ED9"/>
    <w:rsid w:val="00502872"/>
    <w:rsid w:val="00505FCD"/>
    <w:rsid w:val="00506118"/>
    <w:rsid w:val="0051338C"/>
    <w:rsid w:val="005238B4"/>
    <w:rsid w:val="0052405F"/>
    <w:rsid w:val="00525279"/>
    <w:rsid w:val="005277E0"/>
    <w:rsid w:val="00532322"/>
    <w:rsid w:val="005325F8"/>
    <w:rsid w:val="00534DEE"/>
    <w:rsid w:val="005408A5"/>
    <w:rsid w:val="00540E80"/>
    <w:rsid w:val="0054362F"/>
    <w:rsid w:val="005472A9"/>
    <w:rsid w:val="005477E8"/>
    <w:rsid w:val="00550CFF"/>
    <w:rsid w:val="005513C0"/>
    <w:rsid w:val="005516BC"/>
    <w:rsid w:val="00551FFA"/>
    <w:rsid w:val="00553021"/>
    <w:rsid w:val="005565E6"/>
    <w:rsid w:val="00561F21"/>
    <w:rsid w:val="005621B6"/>
    <w:rsid w:val="00562CDA"/>
    <w:rsid w:val="00565F9B"/>
    <w:rsid w:val="00566C63"/>
    <w:rsid w:val="00574A7A"/>
    <w:rsid w:val="00575C75"/>
    <w:rsid w:val="00576B57"/>
    <w:rsid w:val="00577EAF"/>
    <w:rsid w:val="005831DC"/>
    <w:rsid w:val="0059081A"/>
    <w:rsid w:val="00590F18"/>
    <w:rsid w:val="0059111E"/>
    <w:rsid w:val="005925E9"/>
    <w:rsid w:val="00593133"/>
    <w:rsid w:val="00596B06"/>
    <w:rsid w:val="005A11AA"/>
    <w:rsid w:val="005A6E89"/>
    <w:rsid w:val="005A78D4"/>
    <w:rsid w:val="005B46FB"/>
    <w:rsid w:val="005B7E69"/>
    <w:rsid w:val="005C31C7"/>
    <w:rsid w:val="005C5831"/>
    <w:rsid w:val="005C70FD"/>
    <w:rsid w:val="005D3C3B"/>
    <w:rsid w:val="005D4228"/>
    <w:rsid w:val="005D64B6"/>
    <w:rsid w:val="005D674F"/>
    <w:rsid w:val="005D77DF"/>
    <w:rsid w:val="005E39BE"/>
    <w:rsid w:val="005E3A5A"/>
    <w:rsid w:val="005E3FB9"/>
    <w:rsid w:val="005E7887"/>
    <w:rsid w:val="005F0F8E"/>
    <w:rsid w:val="005F10BC"/>
    <w:rsid w:val="005F2398"/>
    <w:rsid w:val="005F3490"/>
    <w:rsid w:val="005F3A91"/>
    <w:rsid w:val="00606539"/>
    <w:rsid w:val="0060724C"/>
    <w:rsid w:val="00615920"/>
    <w:rsid w:val="006171B6"/>
    <w:rsid w:val="0061750C"/>
    <w:rsid w:val="00617EC3"/>
    <w:rsid w:val="00624ED6"/>
    <w:rsid w:val="00630DB5"/>
    <w:rsid w:val="0063178C"/>
    <w:rsid w:val="00636441"/>
    <w:rsid w:val="00644677"/>
    <w:rsid w:val="006465E4"/>
    <w:rsid w:val="006517DB"/>
    <w:rsid w:val="00654AFD"/>
    <w:rsid w:val="00654C95"/>
    <w:rsid w:val="00657D92"/>
    <w:rsid w:val="00660D06"/>
    <w:rsid w:val="00662AF5"/>
    <w:rsid w:val="00663AE4"/>
    <w:rsid w:val="00665AB9"/>
    <w:rsid w:val="00670580"/>
    <w:rsid w:val="00673E15"/>
    <w:rsid w:val="00674A15"/>
    <w:rsid w:val="00675176"/>
    <w:rsid w:val="00675196"/>
    <w:rsid w:val="006870C9"/>
    <w:rsid w:val="0069366E"/>
    <w:rsid w:val="00693E72"/>
    <w:rsid w:val="00694D07"/>
    <w:rsid w:val="00695244"/>
    <w:rsid w:val="006960EA"/>
    <w:rsid w:val="00696CAB"/>
    <w:rsid w:val="00697D91"/>
    <w:rsid w:val="006A7B34"/>
    <w:rsid w:val="006B12EB"/>
    <w:rsid w:val="006B5C45"/>
    <w:rsid w:val="006B680E"/>
    <w:rsid w:val="006B68F2"/>
    <w:rsid w:val="006B69E7"/>
    <w:rsid w:val="006C5456"/>
    <w:rsid w:val="006C78C5"/>
    <w:rsid w:val="006D1759"/>
    <w:rsid w:val="006D1BB9"/>
    <w:rsid w:val="006D4F22"/>
    <w:rsid w:val="006D5EB0"/>
    <w:rsid w:val="006D7428"/>
    <w:rsid w:val="006E2CBC"/>
    <w:rsid w:val="006E2D63"/>
    <w:rsid w:val="006E2D9A"/>
    <w:rsid w:val="006E3ABF"/>
    <w:rsid w:val="006E499B"/>
    <w:rsid w:val="006E5E03"/>
    <w:rsid w:val="006F13C0"/>
    <w:rsid w:val="006F1C28"/>
    <w:rsid w:val="006F644E"/>
    <w:rsid w:val="006F6451"/>
    <w:rsid w:val="006F736B"/>
    <w:rsid w:val="007001BD"/>
    <w:rsid w:val="00700BDE"/>
    <w:rsid w:val="00700E0E"/>
    <w:rsid w:val="00701801"/>
    <w:rsid w:val="007020A1"/>
    <w:rsid w:val="00703A46"/>
    <w:rsid w:val="00704384"/>
    <w:rsid w:val="00707754"/>
    <w:rsid w:val="0071080E"/>
    <w:rsid w:val="00712DF0"/>
    <w:rsid w:val="007141B2"/>
    <w:rsid w:val="00714FBE"/>
    <w:rsid w:val="00720EFB"/>
    <w:rsid w:val="0072262C"/>
    <w:rsid w:val="00722E4A"/>
    <w:rsid w:val="00724B8D"/>
    <w:rsid w:val="00725F4A"/>
    <w:rsid w:val="007278D7"/>
    <w:rsid w:val="007310A1"/>
    <w:rsid w:val="00731DFF"/>
    <w:rsid w:val="00734564"/>
    <w:rsid w:val="00736390"/>
    <w:rsid w:val="00743083"/>
    <w:rsid w:val="0074309D"/>
    <w:rsid w:val="007431FD"/>
    <w:rsid w:val="00746F0B"/>
    <w:rsid w:val="007471AC"/>
    <w:rsid w:val="007508EB"/>
    <w:rsid w:val="007515A1"/>
    <w:rsid w:val="00752841"/>
    <w:rsid w:val="0075444E"/>
    <w:rsid w:val="00756424"/>
    <w:rsid w:val="0076360B"/>
    <w:rsid w:val="00766BAE"/>
    <w:rsid w:val="00767B64"/>
    <w:rsid w:val="007727D6"/>
    <w:rsid w:val="00784988"/>
    <w:rsid w:val="0078644D"/>
    <w:rsid w:val="00786C07"/>
    <w:rsid w:val="007879E5"/>
    <w:rsid w:val="00790BD4"/>
    <w:rsid w:val="00790DA1"/>
    <w:rsid w:val="007A5D34"/>
    <w:rsid w:val="007A7262"/>
    <w:rsid w:val="007B051A"/>
    <w:rsid w:val="007B1053"/>
    <w:rsid w:val="007B245C"/>
    <w:rsid w:val="007B2A3E"/>
    <w:rsid w:val="007B60F9"/>
    <w:rsid w:val="007C0DD4"/>
    <w:rsid w:val="007C3169"/>
    <w:rsid w:val="007C3F52"/>
    <w:rsid w:val="007C474D"/>
    <w:rsid w:val="007C4B56"/>
    <w:rsid w:val="007C530B"/>
    <w:rsid w:val="007C7E25"/>
    <w:rsid w:val="007C7E3B"/>
    <w:rsid w:val="007D07B2"/>
    <w:rsid w:val="007D3269"/>
    <w:rsid w:val="007D360F"/>
    <w:rsid w:val="007D41FE"/>
    <w:rsid w:val="007D499E"/>
    <w:rsid w:val="007E0CA1"/>
    <w:rsid w:val="007E123D"/>
    <w:rsid w:val="007E1CD4"/>
    <w:rsid w:val="007E6429"/>
    <w:rsid w:val="007E70BB"/>
    <w:rsid w:val="007E7151"/>
    <w:rsid w:val="007E7A5B"/>
    <w:rsid w:val="007F0204"/>
    <w:rsid w:val="007F62DB"/>
    <w:rsid w:val="007F62DF"/>
    <w:rsid w:val="0080527F"/>
    <w:rsid w:val="00806B94"/>
    <w:rsid w:val="00807A54"/>
    <w:rsid w:val="00810E74"/>
    <w:rsid w:val="00811438"/>
    <w:rsid w:val="008140B3"/>
    <w:rsid w:val="00814F75"/>
    <w:rsid w:val="00814F97"/>
    <w:rsid w:val="00815DE4"/>
    <w:rsid w:val="00816184"/>
    <w:rsid w:val="00817685"/>
    <w:rsid w:val="0083253B"/>
    <w:rsid w:val="008357BC"/>
    <w:rsid w:val="00836646"/>
    <w:rsid w:val="00836737"/>
    <w:rsid w:val="00841D12"/>
    <w:rsid w:val="00845618"/>
    <w:rsid w:val="008504BC"/>
    <w:rsid w:val="00850E73"/>
    <w:rsid w:val="008520D8"/>
    <w:rsid w:val="00853F4E"/>
    <w:rsid w:val="0085686D"/>
    <w:rsid w:val="00857E59"/>
    <w:rsid w:val="0086055C"/>
    <w:rsid w:val="00861386"/>
    <w:rsid w:val="00862531"/>
    <w:rsid w:val="00865C4F"/>
    <w:rsid w:val="00870435"/>
    <w:rsid w:val="00872E37"/>
    <w:rsid w:val="008731F0"/>
    <w:rsid w:val="00873F0F"/>
    <w:rsid w:val="008754C1"/>
    <w:rsid w:val="00880BC0"/>
    <w:rsid w:val="00881A50"/>
    <w:rsid w:val="00884959"/>
    <w:rsid w:val="008904B9"/>
    <w:rsid w:val="0089285F"/>
    <w:rsid w:val="00892CD7"/>
    <w:rsid w:val="00893EE9"/>
    <w:rsid w:val="00894C90"/>
    <w:rsid w:val="008977DD"/>
    <w:rsid w:val="008A3B70"/>
    <w:rsid w:val="008A5AD2"/>
    <w:rsid w:val="008A74CB"/>
    <w:rsid w:val="008B06F9"/>
    <w:rsid w:val="008B0D14"/>
    <w:rsid w:val="008B30EB"/>
    <w:rsid w:val="008B4332"/>
    <w:rsid w:val="008B49CD"/>
    <w:rsid w:val="008C430E"/>
    <w:rsid w:val="008C5F2F"/>
    <w:rsid w:val="008D020D"/>
    <w:rsid w:val="008D0962"/>
    <w:rsid w:val="008D25F1"/>
    <w:rsid w:val="008D2916"/>
    <w:rsid w:val="008D37F3"/>
    <w:rsid w:val="008D6BA5"/>
    <w:rsid w:val="008D6D55"/>
    <w:rsid w:val="008E11B2"/>
    <w:rsid w:val="008E14FA"/>
    <w:rsid w:val="008E2194"/>
    <w:rsid w:val="008E3517"/>
    <w:rsid w:val="008E4704"/>
    <w:rsid w:val="008E7139"/>
    <w:rsid w:val="008F0649"/>
    <w:rsid w:val="008F45B1"/>
    <w:rsid w:val="009025E7"/>
    <w:rsid w:val="00905EEF"/>
    <w:rsid w:val="00906843"/>
    <w:rsid w:val="009117A8"/>
    <w:rsid w:val="00913447"/>
    <w:rsid w:val="00914BF4"/>
    <w:rsid w:val="00915157"/>
    <w:rsid w:val="009153B3"/>
    <w:rsid w:val="00915524"/>
    <w:rsid w:val="009205E5"/>
    <w:rsid w:val="00920B77"/>
    <w:rsid w:val="00920BC2"/>
    <w:rsid w:val="00921DB9"/>
    <w:rsid w:val="009223AF"/>
    <w:rsid w:val="009223B8"/>
    <w:rsid w:val="00923BD2"/>
    <w:rsid w:val="009242F4"/>
    <w:rsid w:val="009268BF"/>
    <w:rsid w:val="00930657"/>
    <w:rsid w:val="00931E69"/>
    <w:rsid w:val="0093686C"/>
    <w:rsid w:val="00936BFF"/>
    <w:rsid w:val="00942041"/>
    <w:rsid w:val="0094351D"/>
    <w:rsid w:val="00945C90"/>
    <w:rsid w:val="00946167"/>
    <w:rsid w:val="009503AB"/>
    <w:rsid w:val="009539DF"/>
    <w:rsid w:val="00954CD8"/>
    <w:rsid w:val="009551FB"/>
    <w:rsid w:val="00957C52"/>
    <w:rsid w:val="00961898"/>
    <w:rsid w:val="00961D41"/>
    <w:rsid w:val="00964A0C"/>
    <w:rsid w:val="00966ACF"/>
    <w:rsid w:val="00966DBD"/>
    <w:rsid w:val="00966F6E"/>
    <w:rsid w:val="009671A8"/>
    <w:rsid w:val="0098452C"/>
    <w:rsid w:val="0098465E"/>
    <w:rsid w:val="00984919"/>
    <w:rsid w:val="009850DA"/>
    <w:rsid w:val="00987835"/>
    <w:rsid w:val="00991B71"/>
    <w:rsid w:val="009938C5"/>
    <w:rsid w:val="009A05E7"/>
    <w:rsid w:val="009B03D7"/>
    <w:rsid w:val="009B1AC1"/>
    <w:rsid w:val="009B3DE0"/>
    <w:rsid w:val="009B3EBC"/>
    <w:rsid w:val="009B4300"/>
    <w:rsid w:val="009B44E7"/>
    <w:rsid w:val="009B5AEE"/>
    <w:rsid w:val="009B6252"/>
    <w:rsid w:val="009B7BF6"/>
    <w:rsid w:val="009C4CFC"/>
    <w:rsid w:val="009C51C3"/>
    <w:rsid w:val="009D016F"/>
    <w:rsid w:val="009D0C1C"/>
    <w:rsid w:val="009D24FD"/>
    <w:rsid w:val="009D29F9"/>
    <w:rsid w:val="009D4E78"/>
    <w:rsid w:val="009D55BD"/>
    <w:rsid w:val="009D6B83"/>
    <w:rsid w:val="009E186F"/>
    <w:rsid w:val="009E1FC0"/>
    <w:rsid w:val="009E3B3E"/>
    <w:rsid w:val="009E49D1"/>
    <w:rsid w:val="009E53F1"/>
    <w:rsid w:val="009F1817"/>
    <w:rsid w:val="009F2E7B"/>
    <w:rsid w:val="009F38E6"/>
    <w:rsid w:val="009F4052"/>
    <w:rsid w:val="009F4958"/>
    <w:rsid w:val="009F6BD4"/>
    <w:rsid w:val="009F6CDA"/>
    <w:rsid w:val="00A05904"/>
    <w:rsid w:val="00A06F70"/>
    <w:rsid w:val="00A11DCB"/>
    <w:rsid w:val="00A1396B"/>
    <w:rsid w:val="00A15624"/>
    <w:rsid w:val="00A166A3"/>
    <w:rsid w:val="00A21C83"/>
    <w:rsid w:val="00A23AAD"/>
    <w:rsid w:val="00A25F3B"/>
    <w:rsid w:val="00A30173"/>
    <w:rsid w:val="00A30BA7"/>
    <w:rsid w:val="00A31E63"/>
    <w:rsid w:val="00A34160"/>
    <w:rsid w:val="00A350F3"/>
    <w:rsid w:val="00A374EB"/>
    <w:rsid w:val="00A37ABA"/>
    <w:rsid w:val="00A612C4"/>
    <w:rsid w:val="00A61BC0"/>
    <w:rsid w:val="00A65381"/>
    <w:rsid w:val="00A6740E"/>
    <w:rsid w:val="00A67B29"/>
    <w:rsid w:val="00A72EB0"/>
    <w:rsid w:val="00A72F8E"/>
    <w:rsid w:val="00A763A8"/>
    <w:rsid w:val="00A77498"/>
    <w:rsid w:val="00A8183D"/>
    <w:rsid w:val="00A81C7D"/>
    <w:rsid w:val="00A82880"/>
    <w:rsid w:val="00A83774"/>
    <w:rsid w:val="00A839F5"/>
    <w:rsid w:val="00A85A3B"/>
    <w:rsid w:val="00A86370"/>
    <w:rsid w:val="00A86531"/>
    <w:rsid w:val="00A920DD"/>
    <w:rsid w:val="00A95884"/>
    <w:rsid w:val="00A95AEE"/>
    <w:rsid w:val="00A962E0"/>
    <w:rsid w:val="00A97327"/>
    <w:rsid w:val="00AA04D0"/>
    <w:rsid w:val="00AA0577"/>
    <w:rsid w:val="00AA0D52"/>
    <w:rsid w:val="00AA331F"/>
    <w:rsid w:val="00AA7009"/>
    <w:rsid w:val="00AA7839"/>
    <w:rsid w:val="00AB3D34"/>
    <w:rsid w:val="00AB55F2"/>
    <w:rsid w:val="00AB661F"/>
    <w:rsid w:val="00AB7543"/>
    <w:rsid w:val="00AC31C3"/>
    <w:rsid w:val="00AC5398"/>
    <w:rsid w:val="00AC5A9B"/>
    <w:rsid w:val="00AC7ACC"/>
    <w:rsid w:val="00AE1B72"/>
    <w:rsid w:val="00AE1DC0"/>
    <w:rsid w:val="00AE2234"/>
    <w:rsid w:val="00AE2821"/>
    <w:rsid w:val="00AE3851"/>
    <w:rsid w:val="00AE60E7"/>
    <w:rsid w:val="00AE7F48"/>
    <w:rsid w:val="00AF00EF"/>
    <w:rsid w:val="00AF061B"/>
    <w:rsid w:val="00AF2133"/>
    <w:rsid w:val="00AF3A9F"/>
    <w:rsid w:val="00AF5616"/>
    <w:rsid w:val="00AF65FC"/>
    <w:rsid w:val="00B020A0"/>
    <w:rsid w:val="00B02272"/>
    <w:rsid w:val="00B03A89"/>
    <w:rsid w:val="00B04A00"/>
    <w:rsid w:val="00B06929"/>
    <w:rsid w:val="00B07FD1"/>
    <w:rsid w:val="00B10397"/>
    <w:rsid w:val="00B12914"/>
    <w:rsid w:val="00B15071"/>
    <w:rsid w:val="00B2055A"/>
    <w:rsid w:val="00B20CB8"/>
    <w:rsid w:val="00B26C70"/>
    <w:rsid w:val="00B274DD"/>
    <w:rsid w:val="00B37216"/>
    <w:rsid w:val="00B4312C"/>
    <w:rsid w:val="00B459BE"/>
    <w:rsid w:val="00B513E2"/>
    <w:rsid w:val="00B5617F"/>
    <w:rsid w:val="00B56734"/>
    <w:rsid w:val="00B6019E"/>
    <w:rsid w:val="00B62582"/>
    <w:rsid w:val="00B6375F"/>
    <w:rsid w:val="00B70C6A"/>
    <w:rsid w:val="00B71E55"/>
    <w:rsid w:val="00B73C1B"/>
    <w:rsid w:val="00B75680"/>
    <w:rsid w:val="00B7657E"/>
    <w:rsid w:val="00B76A34"/>
    <w:rsid w:val="00B81D23"/>
    <w:rsid w:val="00B8372A"/>
    <w:rsid w:val="00B83C28"/>
    <w:rsid w:val="00B8477D"/>
    <w:rsid w:val="00B87F05"/>
    <w:rsid w:val="00B9357D"/>
    <w:rsid w:val="00B94C27"/>
    <w:rsid w:val="00B953A2"/>
    <w:rsid w:val="00B96916"/>
    <w:rsid w:val="00B97CAA"/>
    <w:rsid w:val="00B97E46"/>
    <w:rsid w:val="00BA48F9"/>
    <w:rsid w:val="00BA5547"/>
    <w:rsid w:val="00BA57DC"/>
    <w:rsid w:val="00BA5891"/>
    <w:rsid w:val="00BA5B53"/>
    <w:rsid w:val="00BB22A9"/>
    <w:rsid w:val="00BB23A2"/>
    <w:rsid w:val="00BC00F5"/>
    <w:rsid w:val="00BC1CC8"/>
    <w:rsid w:val="00BD0CA8"/>
    <w:rsid w:val="00BD1605"/>
    <w:rsid w:val="00BD22D7"/>
    <w:rsid w:val="00BD2C45"/>
    <w:rsid w:val="00BD2CA9"/>
    <w:rsid w:val="00BD2CFB"/>
    <w:rsid w:val="00BD3D13"/>
    <w:rsid w:val="00BD49D2"/>
    <w:rsid w:val="00BD5F55"/>
    <w:rsid w:val="00BD6B66"/>
    <w:rsid w:val="00BE041F"/>
    <w:rsid w:val="00BE0AA9"/>
    <w:rsid w:val="00BE7BB2"/>
    <w:rsid w:val="00BF36F4"/>
    <w:rsid w:val="00BF392F"/>
    <w:rsid w:val="00BF45AC"/>
    <w:rsid w:val="00BF4866"/>
    <w:rsid w:val="00BF4B65"/>
    <w:rsid w:val="00BF6200"/>
    <w:rsid w:val="00BF6EFA"/>
    <w:rsid w:val="00BF71AB"/>
    <w:rsid w:val="00C0095D"/>
    <w:rsid w:val="00C02745"/>
    <w:rsid w:val="00C0586A"/>
    <w:rsid w:val="00C0648E"/>
    <w:rsid w:val="00C11609"/>
    <w:rsid w:val="00C12347"/>
    <w:rsid w:val="00C1425C"/>
    <w:rsid w:val="00C14C8A"/>
    <w:rsid w:val="00C222D4"/>
    <w:rsid w:val="00C227FE"/>
    <w:rsid w:val="00C2637A"/>
    <w:rsid w:val="00C27AA2"/>
    <w:rsid w:val="00C307DA"/>
    <w:rsid w:val="00C313E4"/>
    <w:rsid w:val="00C31457"/>
    <w:rsid w:val="00C31900"/>
    <w:rsid w:val="00C32F12"/>
    <w:rsid w:val="00C33AAA"/>
    <w:rsid w:val="00C3410B"/>
    <w:rsid w:val="00C34757"/>
    <w:rsid w:val="00C35197"/>
    <w:rsid w:val="00C35DC9"/>
    <w:rsid w:val="00C36A56"/>
    <w:rsid w:val="00C36DFD"/>
    <w:rsid w:val="00C37151"/>
    <w:rsid w:val="00C377B8"/>
    <w:rsid w:val="00C409E5"/>
    <w:rsid w:val="00C40A15"/>
    <w:rsid w:val="00C42D0A"/>
    <w:rsid w:val="00C47EFB"/>
    <w:rsid w:val="00C5139F"/>
    <w:rsid w:val="00C51D0E"/>
    <w:rsid w:val="00C52D34"/>
    <w:rsid w:val="00C53181"/>
    <w:rsid w:val="00C6068F"/>
    <w:rsid w:val="00C613AF"/>
    <w:rsid w:val="00C613E4"/>
    <w:rsid w:val="00C6276C"/>
    <w:rsid w:val="00C63604"/>
    <w:rsid w:val="00C64492"/>
    <w:rsid w:val="00C656DC"/>
    <w:rsid w:val="00C70D61"/>
    <w:rsid w:val="00C716C6"/>
    <w:rsid w:val="00C73EB5"/>
    <w:rsid w:val="00C74602"/>
    <w:rsid w:val="00C8073F"/>
    <w:rsid w:val="00C80B00"/>
    <w:rsid w:val="00C82062"/>
    <w:rsid w:val="00C85B31"/>
    <w:rsid w:val="00C87B84"/>
    <w:rsid w:val="00C9245A"/>
    <w:rsid w:val="00C928C7"/>
    <w:rsid w:val="00C933B9"/>
    <w:rsid w:val="00C93B50"/>
    <w:rsid w:val="00C96705"/>
    <w:rsid w:val="00C97BA9"/>
    <w:rsid w:val="00CA3FB5"/>
    <w:rsid w:val="00CA4C7C"/>
    <w:rsid w:val="00CA5079"/>
    <w:rsid w:val="00CA68DA"/>
    <w:rsid w:val="00CB23DF"/>
    <w:rsid w:val="00CB329F"/>
    <w:rsid w:val="00CB3536"/>
    <w:rsid w:val="00CB3EBB"/>
    <w:rsid w:val="00CB45D2"/>
    <w:rsid w:val="00CB5229"/>
    <w:rsid w:val="00CB5453"/>
    <w:rsid w:val="00CC014E"/>
    <w:rsid w:val="00CC5043"/>
    <w:rsid w:val="00CC6E29"/>
    <w:rsid w:val="00CD2618"/>
    <w:rsid w:val="00CD3BAE"/>
    <w:rsid w:val="00CD5172"/>
    <w:rsid w:val="00CD5E5A"/>
    <w:rsid w:val="00CE0438"/>
    <w:rsid w:val="00CE2048"/>
    <w:rsid w:val="00CE348A"/>
    <w:rsid w:val="00CE54C8"/>
    <w:rsid w:val="00CE742C"/>
    <w:rsid w:val="00D007A9"/>
    <w:rsid w:val="00D0573F"/>
    <w:rsid w:val="00D06EDD"/>
    <w:rsid w:val="00D070A2"/>
    <w:rsid w:val="00D10083"/>
    <w:rsid w:val="00D100F2"/>
    <w:rsid w:val="00D142E6"/>
    <w:rsid w:val="00D14C9E"/>
    <w:rsid w:val="00D154D9"/>
    <w:rsid w:val="00D161E2"/>
    <w:rsid w:val="00D17779"/>
    <w:rsid w:val="00D20676"/>
    <w:rsid w:val="00D20C28"/>
    <w:rsid w:val="00D2149A"/>
    <w:rsid w:val="00D23668"/>
    <w:rsid w:val="00D23961"/>
    <w:rsid w:val="00D25374"/>
    <w:rsid w:val="00D255CD"/>
    <w:rsid w:val="00D27CE8"/>
    <w:rsid w:val="00D30D9B"/>
    <w:rsid w:val="00D319BA"/>
    <w:rsid w:val="00D379B7"/>
    <w:rsid w:val="00D42FF8"/>
    <w:rsid w:val="00D4360E"/>
    <w:rsid w:val="00D43F34"/>
    <w:rsid w:val="00D44C3A"/>
    <w:rsid w:val="00D44E74"/>
    <w:rsid w:val="00D45D13"/>
    <w:rsid w:val="00D4670C"/>
    <w:rsid w:val="00D47202"/>
    <w:rsid w:val="00D539C3"/>
    <w:rsid w:val="00D5405C"/>
    <w:rsid w:val="00D5417B"/>
    <w:rsid w:val="00D57BD3"/>
    <w:rsid w:val="00D6005A"/>
    <w:rsid w:val="00D601AD"/>
    <w:rsid w:val="00D626F4"/>
    <w:rsid w:val="00D62768"/>
    <w:rsid w:val="00D62A4D"/>
    <w:rsid w:val="00D62EB3"/>
    <w:rsid w:val="00D663C5"/>
    <w:rsid w:val="00D719FC"/>
    <w:rsid w:val="00D72AD8"/>
    <w:rsid w:val="00D74AD6"/>
    <w:rsid w:val="00D750A0"/>
    <w:rsid w:val="00D8002D"/>
    <w:rsid w:val="00D812E9"/>
    <w:rsid w:val="00D815D2"/>
    <w:rsid w:val="00D81626"/>
    <w:rsid w:val="00D834BF"/>
    <w:rsid w:val="00D83DE9"/>
    <w:rsid w:val="00D87F7C"/>
    <w:rsid w:val="00D901F5"/>
    <w:rsid w:val="00D925D0"/>
    <w:rsid w:val="00D92738"/>
    <w:rsid w:val="00D96FCC"/>
    <w:rsid w:val="00D97AA3"/>
    <w:rsid w:val="00D97DB1"/>
    <w:rsid w:val="00DA0B25"/>
    <w:rsid w:val="00DA40BD"/>
    <w:rsid w:val="00DA5140"/>
    <w:rsid w:val="00DA6672"/>
    <w:rsid w:val="00DA6FF2"/>
    <w:rsid w:val="00DB282A"/>
    <w:rsid w:val="00DB31AA"/>
    <w:rsid w:val="00DB3F77"/>
    <w:rsid w:val="00DB5CAE"/>
    <w:rsid w:val="00DC4A79"/>
    <w:rsid w:val="00DC7571"/>
    <w:rsid w:val="00DC7787"/>
    <w:rsid w:val="00DD241F"/>
    <w:rsid w:val="00DD2B29"/>
    <w:rsid w:val="00DD2FC7"/>
    <w:rsid w:val="00DD642B"/>
    <w:rsid w:val="00DD6D67"/>
    <w:rsid w:val="00DD73F9"/>
    <w:rsid w:val="00DE30A2"/>
    <w:rsid w:val="00DE38D8"/>
    <w:rsid w:val="00DE5B57"/>
    <w:rsid w:val="00DE5EE7"/>
    <w:rsid w:val="00DE7732"/>
    <w:rsid w:val="00DF0573"/>
    <w:rsid w:val="00DF1670"/>
    <w:rsid w:val="00DF17B9"/>
    <w:rsid w:val="00DF221E"/>
    <w:rsid w:val="00DF67F1"/>
    <w:rsid w:val="00DF6E0F"/>
    <w:rsid w:val="00E00CF7"/>
    <w:rsid w:val="00E045CF"/>
    <w:rsid w:val="00E062CA"/>
    <w:rsid w:val="00E07CF2"/>
    <w:rsid w:val="00E1221D"/>
    <w:rsid w:val="00E157D7"/>
    <w:rsid w:val="00E20A74"/>
    <w:rsid w:val="00E21375"/>
    <w:rsid w:val="00E24C4A"/>
    <w:rsid w:val="00E267E2"/>
    <w:rsid w:val="00E31214"/>
    <w:rsid w:val="00E41713"/>
    <w:rsid w:val="00E44100"/>
    <w:rsid w:val="00E44A64"/>
    <w:rsid w:val="00E52EEC"/>
    <w:rsid w:val="00E6029C"/>
    <w:rsid w:val="00E61A58"/>
    <w:rsid w:val="00E63CEF"/>
    <w:rsid w:val="00E64D59"/>
    <w:rsid w:val="00E65E6E"/>
    <w:rsid w:val="00E66FC5"/>
    <w:rsid w:val="00E70F7E"/>
    <w:rsid w:val="00E72186"/>
    <w:rsid w:val="00E74964"/>
    <w:rsid w:val="00E754F2"/>
    <w:rsid w:val="00E76C3E"/>
    <w:rsid w:val="00E776BD"/>
    <w:rsid w:val="00E8038F"/>
    <w:rsid w:val="00E824AC"/>
    <w:rsid w:val="00E86AAF"/>
    <w:rsid w:val="00E878A3"/>
    <w:rsid w:val="00E90A93"/>
    <w:rsid w:val="00E9151E"/>
    <w:rsid w:val="00E93421"/>
    <w:rsid w:val="00E93780"/>
    <w:rsid w:val="00E94AF2"/>
    <w:rsid w:val="00E94B4D"/>
    <w:rsid w:val="00E9542D"/>
    <w:rsid w:val="00E9573F"/>
    <w:rsid w:val="00E976C9"/>
    <w:rsid w:val="00EA1FCC"/>
    <w:rsid w:val="00EA2E7F"/>
    <w:rsid w:val="00EA5FD5"/>
    <w:rsid w:val="00EA68D3"/>
    <w:rsid w:val="00EA7BC6"/>
    <w:rsid w:val="00EB0DFD"/>
    <w:rsid w:val="00EB1171"/>
    <w:rsid w:val="00EB13E2"/>
    <w:rsid w:val="00EB487E"/>
    <w:rsid w:val="00EB74C3"/>
    <w:rsid w:val="00EB7BF3"/>
    <w:rsid w:val="00EC1807"/>
    <w:rsid w:val="00EC3445"/>
    <w:rsid w:val="00EC400E"/>
    <w:rsid w:val="00EC7448"/>
    <w:rsid w:val="00ED0216"/>
    <w:rsid w:val="00ED1268"/>
    <w:rsid w:val="00ED3279"/>
    <w:rsid w:val="00ED3E27"/>
    <w:rsid w:val="00ED503E"/>
    <w:rsid w:val="00ED5625"/>
    <w:rsid w:val="00ED5BF4"/>
    <w:rsid w:val="00EE1637"/>
    <w:rsid w:val="00EE258A"/>
    <w:rsid w:val="00EF0B11"/>
    <w:rsid w:val="00EF144E"/>
    <w:rsid w:val="00EF5BE6"/>
    <w:rsid w:val="00EF6A7B"/>
    <w:rsid w:val="00F00359"/>
    <w:rsid w:val="00F00984"/>
    <w:rsid w:val="00F00BF7"/>
    <w:rsid w:val="00F01181"/>
    <w:rsid w:val="00F021EC"/>
    <w:rsid w:val="00F075A7"/>
    <w:rsid w:val="00F075F7"/>
    <w:rsid w:val="00F11186"/>
    <w:rsid w:val="00F11B2E"/>
    <w:rsid w:val="00F11DA4"/>
    <w:rsid w:val="00F13CBD"/>
    <w:rsid w:val="00F13DA0"/>
    <w:rsid w:val="00F1604C"/>
    <w:rsid w:val="00F17A15"/>
    <w:rsid w:val="00F228F4"/>
    <w:rsid w:val="00F27E50"/>
    <w:rsid w:val="00F3039A"/>
    <w:rsid w:val="00F3042C"/>
    <w:rsid w:val="00F30794"/>
    <w:rsid w:val="00F31D30"/>
    <w:rsid w:val="00F4015B"/>
    <w:rsid w:val="00F40458"/>
    <w:rsid w:val="00F40583"/>
    <w:rsid w:val="00F44EB0"/>
    <w:rsid w:val="00F47455"/>
    <w:rsid w:val="00F50507"/>
    <w:rsid w:val="00F533AC"/>
    <w:rsid w:val="00F549A9"/>
    <w:rsid w:val="00F55B9A"/>
    <w:rsid w:val="00F57F4A"/>
    <w:rsid w:val="00F60BDC"/>
    <w:rsid w:val="00F618CE"/>
    <w:rsid w:val="00F61CCC"/>
    <w:rsid w:val="00F660ED"/>
    <w:rsid w:val="00F66476"/>
    <w:rsid w:val="00F665B7"/>
    <w:rsid w:val="00F66F93"/>
    <w:rsid w:val="00F67660"/>
    <w:rsid w:val="00F71BB8"/>
    <w:rsid w:val="00F73F9C"/>
    <w:rsid w:val="00F74D0F"/>
    <w:rsid w:val="00F7543B"/>
    <w:rsid w:val="00F76B6A"/>
    <w:rsid w:val="00F76F16"/>
    <w:rsid w:val="00F7740B"/>
    <w:rsid w:val="00F80BD5"/>
    <w:rsid w:val="00F81555"/>
    <w:rsid w:val="00F81F87"/>
    <w:rsid w:val="00F84C6A"/>
    <w:rsid w:val="00F852CC"/>
    <w:rsid w:val="00F85651"/>
    <w:rsid w:val="00F8723D"/>
    <w:rsid w:val="00F95129"/>
    <w:rsid w:val="00FA27BC"/>
    <w:rsid w:val="00FA4CEF"/>
    <w:rsid w:val="00FA7D41"/>
    <w:rsid w:val="00FB2B86"/>
    <w:rsid w:val="00FB2C98"/>
    <w:rsid w:val="00FB61FA"/>
    <w:rsid w:val="00FC1B5B"/>
    <w:rsid w:val="00FC321B"/>
    <w:rsid w:val="00FC32D0"/>
    <w:rsid w:val="00FD0A89"/>
    <w:rsid w:val="00FD0EFD"/>
    <w:rsid w:val="00FD12F3"/>
    <w:rsid w:val="00FE40B2"/>
    <w:rsid w:val="00FE7192"/>
    <w:rsid w:val="00FE74BF"/>
    <w:rsid w:val="00FE77C0"/>
    <w:rsid w:val="00FF5172"/>
    <w:rsid w:val="00FF5FA6"/>
    <w:rsid w:val="00FF6081"/>
    <w:rsid w:val="03E15717"/>
    <w:rsid w:val="06D40937"/>
    <w:rsid w:val="09083A3B"/>
    <w:rsid w:val="0BBA21D9"/>
    <w:rsid w:val="0CA55A95"/>
    <w:rsid w:val="0D0617B2"/>
    <w:rsid w:val="0E33780E"/>
    <w:rsid w:val="12B9724A"/>
    <w:rsid w:val="133E0ACB"/>
    <w:rsid w:val="138E3239"/>
    <w:rsid w:val="1584515F"/>
    <w:rsid w:val="16F334B1"/>
    <w:rsid w:val="17D777AE"/>
    <w:rsid w:val="1B756948"/>
    <w:rsid w:val="1E634E61"/>
    <w:rsid w:val="20633D8E"/>
    <w:rsid w:val="212B02BF"/>
    <w:rsid w:val="212F0B83"/>
    <w:rsid w:val="21363856"/>
    <w:rsid w:val="233F11EF"/>
    <w:rsid w:val="252F7989"/>
    <w:rsid w:val="273D7F35"/>
    <w:rsid w:val="27627D78"/>
    <w:rsid w:val="27A86150"/>
    <w:rsid w:val="2AAA7750"/>
    <w:rsid w:val="2B7A0FB9"/>
    <w:rsid w:val="2D201C06"/>
    <w:rsid w:val="2FCA5240"/>
    <w:rsid w:val="2FE02E0F"/>
    <w:rsid w:val="301B1DEB"/>
    <w:rsid w:val="30971A44"/>
    <w:rsid w:val="30A71A03"/>
    <w:rsid w:val="31607A38"/>
    <w:rsid w:val="339D4F0C"/>
    <w:rsid w:val="35DD04BB"/>
    <w:rsid w:val="36622FB3"/>
    <w:rsid w:val="368A238B"/>
    <w:rsid w:val="3AF567D8"/>
    <w:rsid w:val="3D007DAA"/>
    <w:rsid w:val="3D3B61A9"/>
    <w:rsid w:val="3DC414CC"/>
    <w:rsid w:val="40256EC0"/>
    <w:rsid w:val="42FE308B"/>
    <w:rsid w:val="48D35491"/>
    <w:rsid w:val="4AFB6587"/>
    <w:rsid w:val="4B0938AD"/>
    <w:rsid w:val="4C7E5299"/>
    <w:rsid w:val="4CED2962"/>
    <w:rsid w:val="4F4D11C7"/>
    <w:rsid w:val="509017E4"/>
    <w:rsid w:val="50EE5F5C"/>
    <w:rsid w:val="54203525"/>
    <w:rsid w:val="55C301F8"/>
    <w:rsid w:val="5E2D061F"/>
    <w:rsid w:val="5EE05C0D"/>
    <w:rsid w:val="5FCB5446"/>
    <w:rsid w:val="5FD301A1"/>
    <w:rsid w:val="62D03CD9"/>
    <w:rsid w:val="64507592"/>
    <w:rsid w:val="64AC3D58"/>
    <w:rsid w:val="65CA46EF"/>
    <w:rsid w:val="69EC41C7"/>
    <w:rsid w:val="6DC320D2"/>
    <w:rsid w:val="6ED92B31"/>
    <w:rsid w:val="6FA434FF"/>
    <w:rsid w:val="70300DE9"/>
    <w:rsid w:val="72690461"/>
    <w:rsid w:val="72914E2E"/>
    <w:rsid w:val="73510B54"/>
    <w:rsid w:val="74FC69EE"/>
    <w:rsid w:val="769A4C32"/>
    <w:rsid w:val="77F53568"/>
    <w:rsid w:val="791A5AD9"/>
    <w:rsid w:val="79911D22"/>
    <w:rsid w:val="79FA6DDA"/>
    <w:rsid w:val="7BD056C8"/>
    <w:rsid w:val="7BD40DAA"/>
    <w:rsid w:val="7DCC6F07"/>
    <w:rsid w:val="7E9B2C88"/>
    <w:rsid w:val="7EE30A84"/>
    <w:rsid w:val="7F100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name="Balloon Text"/>
    <w:lsdException w:qFormat="1" w:unhideWhenUsed="0" w:uiPriority="99" w:semiHidden="0" w:name="Table Grid"/>
    <w:lsdException w:unhideWhenUsed="0" w:uiPriority="99"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6"/>
      <w:lang w:val="en-US" w:eastAsia="zh-CN" w:bidi="ar-SA"/>
    </w:rPr>
  </w:style>
  <w:style w:type="paragraph" w:styleId="2">
    <w:name w:val="heading 1"/>
    <w:basedOn w:val="1"/>
    <w:next w:val="1"/>
    <w:link w:val="85"/>
    <w:qFormat/>
    <w:uiPriority w:val="99"/>
    <w:pPr>
      <w:keepNext/>
      <w:keepLines/>
      <w:spacing w:line="578" w:lineRule="auto"/>
      <w:outlineLvl w:val="0"/>
    </w:pPr>
    <w:rPr>
      <w:b/>
      <w:kern w:val="44"/>
      <w:sz w:val="44"/>
    </w:rPr>
  </w:style>
  <w:style w:type="paragraph" w:styleId="3">
    <w:name w:val="heading 2"/>
    <w:basedOn w:val="1"/>
    <w:next w:val="1"/>
    <w:link w:val="102"/>
    <w:qFormat/>
    <w:uiPriority w:val="99"/>
    <w:pPr>
      <w:keepNext/>
      <w:keepLines/>
      <w:overflowPunct w:val="0"/>
      <w:adjustRightInd w:val="0"/>
      <w:jc w:val="left"/>
      <w:textAlignment w:val="baseline"/>
      <w:outlineLvl w:val="1"/>
    </w:pPr>
    <w:rPr>
      <w:rFonts w:ascii="宋体" w:hAnsi="宋体"/>
      <w:b/>
    </w:rPr>
  </w:style>
  <w:style w:type="paragraph" w:styleId="4">
    <w:name w:val="heading 3"/>
    <w:basedOn w:val="1"/>
    <w:next w:val="1"/>
    <w:link w:val="90"/>
    <w:qFormat/>
    <w:uiPriority w:val="99"/>
    <w:pPr>
      <w:keepNext/>
      <w:keepLines/>
      <w:adjustRightInd w:val="0"/>
      <w:jc w:val="left"/>
      <w:textAlignment w:val="baseline"/>
      <w:outlineLvl w:val="2"/>
    </w:pPr>
    <w:rPr>
      <w:b/>
    </w:rPr>
  </w:style>
  <w:style w:type="paragraph" w:styleId="5">
    <w:name w:val="heading 5"/>
    <w:basedOn w:val="1"/>
    <w:next w:val="6"/>
    <w:link w:val="87"/>
    <w:qFormat/>
    <w:uiPriority w:val="99"/>
    <w:pPr>
      <w:keepNext/>
      <w:keepLines/>
      <w:tabs>
        <w:tab w:val="left" w:pos="1008"/>
      </w:tabs>
      <w:spacing w:line="376" w:lineRule="auto"/>
      <w:ind w:left="1008" w:hanging="1008"/>
      <w:outlineLvl w:val="4"/>
    </w:pPr>
    <w:rPr>
      <w:rFonts w:ascii="宋体" w:eastAsia="宋体"/>
      <w:b/>
      <w:spacing w:val="-2"/>
      <w:position w:val="-6"/>
      <w:sz w:val="28"/>
    </w:rPr>
  </w:style>
  <w:style w:type="paragraph" w:styleId="7">
    <w:name w:val="heading 6"/>
    <w:basedOn w:val="1"/>
    <w:next w:val="6"/>
    <w:link w:val="88"/>
    <w:qFormat/>
    <w:uiPriority w:val="99"/>
    <w:pPr>
      <w:keepNext/>
      <w:keepLines/>
      <w:tabs>
        <w:tab w:val="left" w:pos="1152"/>
      </w:tabs>
      <w:spacing w:line="320" w:lineRule="auto"/>
      <w:ind w:left="1152" w:hanging="1152"/>
      <w:outlineLvl w:val="5"/>
    </w:pPr>
    <w:rPr>
      <w:rFonts w:ascii="Arial" w:hAnsi="Arial" w:eastAsia="黑体"/>
      <w:b/>
      <w:spacing w:val="-2"/>
      <w:position w:val="-6"/>
      <w:sz w:val="24"/>
    </w:rPr>
  </w:style>
  <w:style w:type="paragraph" w:styleId="8">
    <w:name w:val="heading 7"/>
    <w:basedOn w:val="1"/>
    <w:next w:val="6"/>
    <w:link w:val="83"/>
    <w:qFormat/>
    <w:uiPriority w:val="99"/>
    <w:pPr>
      <w:keepNext/>
      <w:keepLines/>
      <w:tabs>
        <w:tab w:val="left" w:pos="1296"/>
      </w:tabs>
      <w:spacing w:line="320" w:lineRule="auto"/>
      <w:ind w:left="1296" w:hanging="1296"/>
      <w:outlineLvl w:val="6"/>
    </w:pPr>
    <w:rPr>
      <w:rFonts w:ascii="宋体" w:eastAsia="宋体"/>
      <w:b/>
      <w:spacing w:val="-2"/>
      <w:position w:val="-6"/>
      <w:sz w:val="24"/>
    </w:rPr>
  </w:style>
  <w:style w:type="paragraph" w:styleId="9">
    <w:name w:val="heading 8"/>
    <w:basedOn w:val="1"/>
    <w:next w:val="6"/>
    <w:link w:val="89"/>
    <w:qFormat/>
    <w:uiPriority w:val="99"/>
    <w:pPr>
      <w:keepNext/>
      <w:keepLines/>
      <w:tabs>
        <w:tab w:val="left" w:pos="1440"/>
      </w:tabs>
      <w:spacing w:line="320" w:lineRule="auto"/>
      <w:ind w:left="1440" w:hanging="1440"/>
      <w:outlineLvl w:val="7"/>
    </w:pPr>
    <w:rPr>
      <w:rFonts w:ascii="Arial" w:hAnsi="Arial" w:eastAsia="黑体"/>
      <w:spacing w:val="-2"/>
      <w:position w:val="-6"/>
      <w:sz w:val="24"/>
    </w:rPr>
  </w:style>
  <w:style w:type="paragraph" w:styleId="10">
    <w:name w:val="heading 9"/>
    <w:basedOn w:val="1"/>
    <w:next w:val="6"/>
    <w:link w:val="106"/>
    <w:qFormat/>
    <w:uiPriority w:val="99"/>
    <w:pPr>
      <w:keepNext/>
      <w:keepLines/>
      <w:tabs>
        <w:tab w:val="left" w:pos="1584"/>
      </w:tabs>
      <w:spacing w:line="320" w:lineRule="auto"/>
      <w:ind w:left="1584" w:hanging="1584"/>
      <w:outlineLvl w:val="8"/>
    </w:pPr>
    <w:rPr>
      <w:rFonts w:ascii="Arial" w:hAnsi="Arial" w:eastAsia="黑体"/>
      <w:spacing w:val="-2"/>
      <w:position w:val="-6"/>
      <w:sz w:val="28"/>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86"/>
    <w:qFormat/>
    <w:uiPriority w:val="99"/>
    <w:pPr>
      <w:adjustRightInd w:val="0"/>
      <w:ind w:firstLine="420"/>
      <w:jc w:val="left"/>
      <w:textAlignment w:val="baseline"/>
    </w:pPr>
    <w:rPr>
      <w:sz w:val="24"/>
    </w:rPr>
  </w:style>
  <w:style w:type="paragraph" w:styleId="11">
    <w:name w:val="toc 7"/>
    <w:basedOn w:val="1"/>
    <w:next w:val="1"/>
    <w:semiHidden/>
    <w:qFormat/>
    <w:uiPriority w:val="99"/>
    <w:pPr>
      <w:ind w:left="2520"/>
    </w:pPr>
  </w:style>
  <w:style w:type="paragraph" w:styleId="12">
    <w:name w:val="index 8"/>
    <w:basedOn w:val="1"/>
    <w:next w:val="1"/>
    <w:semiHidden/>
    <w:qFormat/>
    <w:uiPriority w:val="99"/>
    <w:pPr>
      <w:ind w:left="2940"/>
    </w:pPr>
  </w:style>
  <w:style w:type="paragraph" w:styleId="13">
    <w:name w:val="index 5"/>
    <w:basedOn w:val="1"/>
    <w:next w:val="1"/>
    <w:semiHidden/>
    <w:qFormat/>
    <w:uiPriority w:val="99"/>
    <w:pPr>
      <w:ind w:left="1680"/>
    </w:pPr>
  </w:style>
  <w:style w:type="paragraph" w:styleId="14">
    <w:name w:val="Document Map"/>
    <w:basedOn w:val="1"/>
    <w:link w:val="95"/>
    <w:semiHidden/>
    <w:qFormat/>
    <w:uiPriority w:val="99"/>
    <w:pPr>
      <w:shd w:val="clear" w:color="auto" w:fill="000080"/>
    </w:pPr>
  </w:style>
  <w:style w:type="paragraph" w:styleId="15">
    <w:name w:val="annotation text"/>
    <w:basedOn w:val="1"/>
    <w:link w:val="82"/>
    <w:semiHidden/>
    <w:qFormat/>
    <w:uiPriority w:val="99"/>
    <w:pPr>
      <w:jc w:val="left"/>
    </w:pPr>
  </w:style>
  <w:style w:type="paragraph" w:styleId="16">
    <w:name w:val="index 6"/>
    <w:basedOn w:val="1"/>
    <w:next w:val="1"/>
    <w:semiHidden/>
    <w:qFormat/>
    <w:uiPriority w:val="99"/>
    <w:pPr>
      <w:ind w:left="2100"/>
    </w:pPr>
  </w:style>
  <w:style w:type="paragraph" w:styleId="17">
    <w:name w:val="Body Text"/>
    <w:basedOn w:val="1"/>
    <w:link w:val="81"/>
    <w:qFormat/>
    <w:uiPriority w:val="0"/>
    <w:pPr>
      <w:spacing w:line="400" w:lineRule="exact"/>
    </w:pPr>
    <w:rPr>
      <w:rFonts w:ascii="楷体_GB2312"/>
      <w:sz w:val="28"/>
    </w:rPr>
  </w:style>
  <w:style w:type="paragraph" w:styleId="18">
    <w:name w:val="Body Text Indent"/>
    <w:basedOn w:val="1"/>
    <w:link w:val="79"/>
    <w:qFormat/>
    <w:uiPriority w:val="99"/>
    <w:pPr>
      <w:spacing w:line="520" w:lineRule="exact"/>
      <w:ind w:left="570"/>
    </w:pPr>
    <w:rPr>
      <w:rFonts w:ascii="方正仿宋简体" w:hAnsi="创艺简仿宋" w:eastAsia="方正仿宋简体"/>
      <w:sz w:val="24"/>
    </w:rPr>
  </w:style>
  <w:style w:type="paragraph" w:styleId="19">
    <w:name w:val="index 4"/>
    <w:basedOn w:val="1"/>
    <w:next w:val="1"/>
    <w:semiHidden/>
    <w:qFormat/>
    <w:uiPriority w:val="99"/>
    <w:pPr>
      <w:ind w:left="1260"/>
    </w:pPr>
  </w:style>
  <w:style w:type="paragraph" w:styleId="20">
    <w:name w:val="toc 5"/>
    <w:basedOn w:val="1"/>
    <w:next w:val="1"/>
    <w:semiHidden/>
    <w:qFormat/>
    <w:uiPriority w:val="99"/>
    <w:pPr>
      <w:ind w:left="1680"/>
    </w:pPr>
  </w:style>
  <w:style w:type="paragraph" w:styleId="21">
    <w:name w:val="toc 3"/>
    <w:basedOn w:val="1"/>
    <w:next w:val="1"/>
    <w:semiHidden/>
    <w:qFormat/>
    <w:uiPriority w:val="99"/>
    <w:pPr>
      <w:ind w:left="840"/>
    </w:pPr>
  </w:style>
  <w:style w:type="paragraph" w:styleId="22">
    <w:name w:val="Plain Text"/>
    <w:basedOn w:val="1"/>
    <w:link w:val="78"/>
    <w:qFormat/>
    <w:uiPriority w:val="99"/>
    <w:rPr>
      <w:rFonts w:ascii="宋体" w:hAnsi="Courier New"/>
    </w:rPr>
  </w:style>
  <w:style w:type="paragraph" w:styleId="23">
    <w:name w:val="toc 8"/>
    <w:basedOn w:val="1"/>
    <w:next w:val="1"/>
    <w:semiHidden/>
    <w:qFormat/>
    <w:uiPriority w:val="99"/>
    <w:pPr>
      <w:ind w:left="2940"/>
    </w:pPr>
  </w:style>
  <w:style w:type="paragraph" w:styleId="24">
    <w:name w:val="index 3"/>
    <w:basedOn w:val="1"/>
    <w:next w:val="1"/>
    <w:semiHidden/>
    <w:qFormat/>
    <w:uiPriority w:val="99"/>
    <w:pPr>
      <w:ind w:left="840"/>
    </w:pPr>
  </w:style>
  <w:style w:type="paragraph" w:styleId="25">
    <w:name w:val="Date"/>
    <w:basedOn w:val="1"/>
    <w:next w:val="1"/>
    <w:link w:val="77"/>
    <w:qFormat/>
    <w:uiPriority w:val="99"/>
    <w:rPr>
      <w:rFonts w:ascii="宋体" w:hAnsi="宋体"/>
      <w:sz w:val="24"/>
    </w:rPr>
  </w:style>
  <w:style w:type="paragraph" w:styleId="26">
    <w:name w:val="Body Text Indent 2"/>
    <w:basedOn w:val="1"/>
    <w:link w:val="100"/>
    <w:qFormat/>
    <w:uiPriority w:val="99"/>
    <w:pPr>
      <w:tabs>
        <w:tab w:val="left" w:pos="0"/>
      </w:tabs>
      <w:spacing w:line="360" w:lineRule="auto"/>
      <w:ind w:firstLine="502" w:firstLineChars="209"/>
    </w:pPr>
    <w:rPr>
      <w:rFonts w:ascii="宋体" w:eastAsia="宋体"/>
      <w:b/>
      <w:bCs/>
      <w:sz w:val="24"/>
    </w:rPr>
  </w:style>
  <w:style w:type="paragraph" w:styleId="27">
    <w:name w:val="Balloon Text"/>
    <w:basedOn w:val="1"/>
    <w:link w:val="99"/>
    <w:semiHidden/>
    <w:qFormat/>
    <w:uiPriority w:val="99"/>
    <w:rPr>
      <w:sz w:val="18"/>
      <w:szCs w:val="18"/>
    </w:rPr>
  </w:style>
  <w:style w:type="paragraph" w:styleId="28">
    <w:name w:val="footer"/>
    <w:basedOn w:val="1"/>
    <w:link w:val="97"/>
    <w:qFormat/>
    <w:uiPriority w:val="99"/>
    <w:pPr>
      <w:tabs>
        <w:tab w:val="center" w:pos="4153"/>
        <w:tab w:val="right" w:pos="8306"/>
      </w:tabs>
      <w:snapToGrid w:val="0"/>
      <w:jc w:val="left"/>
    </w:pPr>
    <w:rPr>
      <w:sz w:val="18"/>
    </w:rPr>
  </w:style>
  <w:style w:type="paragraph" w:styleId="29">
    <w:name w:val="header"/>
    <w:basedOn w:val="1"/>
    <w:link w:val="93"/>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99"/>
    <w:pPr>
      <w:adjustRightInd w:val="0"/>
      <w:jc w:val="left"/>
      <w:textAlignment w:val="baseline"/>
    </w:pPr>
    <w:rPr>
      <w:sz w:val="24"/>
    </w:rPr>
  </w:style>
  <w:style w:type="paragraph" w:styleId="31">
    <w:name w:val="toc 4"/>
    <w:basedOn w:val="1"/>
    <w:next w:val="1"/>
    <w:semiHidden/>
    <w:qFormat/>
    <w:uiPriority w:val="99"/>
    <w:pPr>
      <w:ind w:left="1260"/>
    </w:pPr>
  </w:style>
  <w:style w:type="paragraph" w:styleId="32">
    <w:name w:val="index heading"/>
    <w:basedOn w:val="1"/>
    <w:next w:val="33"/>
    <w:semiHidden/>
    <w:qFormat/>
    <w:uiPriority w:val="99"/>
  </w:style>
  <w:style w:type="paragraph" w:styleId="33">
    <w:name w:val="index 1"/>
    <w:basedOn w:val="1"/>
    <w:next w:val="1"/>
    <w:semiHidden/>
    <w:qFormat/>
    <w:uiPriority w:val="99"/>
  </w:style>
  <w:style w:type="paragraph" w:styleId="34">
    <w:name w:val="footnote text"/>
    <w:basedOn w:val="1"/>
    <w:link w:val="84"/>
    <w:semiHidden/>
    <w:qFormat/>
    <w:uiPriority w:val="99"/>
    <w:pPr>
      <w:snapToGrid w:val="0"/>
      <w:jc w:val="left"/>
    </w:pPr>
    <w:rPr>
      <w:sz w:val="18"/>
    </w:rPr>
  </w:style>
  <w:style w:type="paragraph" w:styleId="35">
    <w:name w:val="toc 6"/>
    <w:basedOn w:val="1"/>
    <w:next w:val="1"/>
    <w:semiHidden/>
    <w:qFormat/>
    <w:uiPriority w:val="99"/>
    <w:pPr>
      <w:ind w:left="2100"/>
    </w:pPr>
  </w:style>
  <w:style w:type="paragraph" w:styleId="36">
    <w:name w:val="Body Text Indent 3"/>
    <w:basedOn w:val="1"/>
    <w:link w:val="105"/>
    <w:qFormat/>
    <w:uiPriority w:val="99"/>
    <w:pPr>
      <w:spacing w:line="360" w:lineRule="auto"/>
      <w:ind w:firstLine="617" w:firstLineChars="257"/>
    </w:pPr>
    <w:rPr>
      <w:rFonts w:eastAsia="宋体"/>
      <w:sz w:val="24"/>
      <w:szCs w:val="24"/>
    </w:rPr>
  </w:style>
  <w:style w:type="paragraph" w:styleId="37">
    <w:name w:val="index 7"/>
    <w:basedOn w:val="1"/>
    <w:next w:val="1"/>
    <w:semiHidden/>
    <w:qFormat/>
    <w:uiPriority w:val="99"/>
    <w:pPr>
      <w:ind w:left="2520"/>
    </w:pPr>
  </w:style>
  <w:style w:type="paragraph" w:styleId="38">
    <w:name w:val="index 9"/>
    <w:basedOn w:val="1"/>
    <w:next w:val="1"/>
    <w:semiHidden/>
    <w:qFormat/>
    <w:uiPriority w:val="99"/>
    <w:pPr>
      <w:ind w:left="3360"/>
    </w:pPr>
  </w:style>
  <w:style w:type="paragraph" w:styleId="39">
    <w:name w:val="table of figures"/>
    <w:basedOn w:val="1"/>
    <w:next w:val="1"/>
    <w:semiHidden/>
    <w:qFormat/>
    <w:uiPriority w:val="99"/>
    <w:pPr>
      <w:adjustRightInd w:val="0"/>
      <w:ind w:left="420" w:hanging="420"/>
      <w:jc w:val="left"/>
      <w:textAlignment w:val="baseline"/>
    </w:pPr>
    <w:rPr>
      <w:smallCaps/>
      <w:sz w:val="24"/>
    </w:rPr>
  </w:style>
  <w:style w:type="paragraph" w:styleId="40">
    <w:name w:val="toc 2"/>
    <w:basedOn w:val="1"/>
    <w:next w:val="1"/>
    <w:semiHidden/>
    <w:qFormat/>
    <w:uiPriority w:val="99"/>
    <w:pPr>
      <w:ind w:left="420"/>
    </w:pPr>
  </w:style>
  <w:style w:type="paragraph" w:styleId="41">
    <w:name w:val="toc 9"/>
    <w:basedOn w:val="1"/>
    <w:next w:val="1"/>
    <w:semiHidden/>
    <w:qFormat/>
    <w:uiPriority w:val="99"/>
    <w:pPr>
      <w:ind w:left="3360"/>
    </w:pPr>
  </w:style>
  <w:style w:type="paragraph" w:styleId="42">
    <w:name w:val="HTML Preformatted"/>
    <w:basedOn w:val="1"/>
    <w:link w:val="10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楷体_GB2312"/>
      <w:kern w:val="0"/>
      <w:sz w:val="20"/>
    </w:rPr>
  </w:style>
  <w:style w:type="paragraph" w:styleId="43">
    <w:name w:val="Normal (Web)"/>
    <w:basedOn w:val="1"/>
    <w:qFormat/>
    <w:uiPriority w:val="99"/>
    <w:pPr>
      <w:spacing w:before="100" w:beforeAutospacing="1" w:after="100" w:afterAutospacing="1"/>
      <w:jc w:val="left"/>
    </w:pPr>
    <w:rPr>
      <w:kern w:val="0"/>
      <w:sz w:val="24"/>
    </w:rPr>
  </w:style>
  <w:style w:type="paragraph" w:styleId="44">
    <w:name w:val="index 2"/>
    <w:basedOn w:val="1"/>
    <w:next w:val="1"/>
    <w:semiHidden/>
    <w:qFormat/>
    <w:uiPriority w:val="99"/>
    <w:pPr>
      <w:ind w:left="420"/>
    </w:pPr>
  </w:style>
  <w:style w:type="paragraph" w:styleId="45">
    <w:name w:val="annotation subject"/>
    <w:basedOn w:val="15"/>
    <w:next w:val="15"/>
    <w:link w:val="76"/>
    <w:semiHidden/>
    <w:qFormat/>
    <w:uiPriority w:val="99"/>
    <w:rPr>
      <w:b/>
      <w:bCs/>
    </w:rPr>
  </w:style>
  <w:style w:type="table" w:styleId="47">
    <w:name w:val="Table Grid"/>
    <w:basedOn w:val="4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99"/>
    <w:rPr>
      <w:rFonts w:cs="Times New Roman"/>
      <w:b/>
    </w:rPr>
  </w:style>
  <w:style w:type="character" w:styleId="50">
    <w:name w:val="page number"/>
    <w:qFormat/>
    <w:uiPriority w:val="99"/>
    <w:rPr>
      <w:rFonts w:cs="Times New Roman"/>
    </w:rPr>
  </w:style>
  <w:style w:type="character" w:styleId="51">
    <w:name w:val="FollowedHyperlink"/>
    <w:qFormat/>
    <w:uiPriority w:val="99"/>
    <w:rPr>
      <w:rFonts w:cs="Times New Roman"/>
      <w:color w:val="954F72"/>
      <w:u w:val="single"/>
    </w:rPr>
  </w:style>
  <w:style w:type="character" w:styleId="52">
    <w:name w:val="Emphasis"/>
    <w:qFormat/>
    <w:uiPriority w:val="99"/>
    <w:rPr>
      <w:rFonts w:cs="Times New Roman"/>
      <w:i/>
    </w:rPr>
  </w:style>
  <w:style w:type="character" w:styleId="53">
    <w:name w:val="line number"/>
    <w:qFormat/>
    <w:uiPriority w:val="99"/>
    <w:rPr>
      <w:rFonts w:cs="Times New Roman"/>
    </w:rPr>
  </w:style>
  <w:style w:type="character" w:styleId="54">
    <w:name w:val="HTML Definition"/>
    <w:qFormat/>
    <w:uiPriority w:val="99"/>
    <w:rPr>
      <w:rFonts w:cs="Times New Roman"/>
      <w:i/>
    </w:rPr>
  </w:style>
  <w:style w:type="character" w:styleId="55">
    <w:name w:val="Hyperlink"/>
    <w:qFormat/>
    <w:uiPriority w:val="99"/>
    <w:rPr>
      <w:rFonts w:cs="Times New Roman"/>
      <w:color w:val="0000FF"/>
      <w:u w:val="single"/>
    </w:rPr>
  </w:style>
  <w:style w:type="character" w:styleId="56">
    <w:name w:val="HTML Code"/>
    <w:qFormat/>
    <w:uiPriority w:val="99"/>
    <w:rPr>
      <w:rFonts w:ascii="Menlo" w:hAnsi="Menlo" w:eastAsia="Times New Roman" w:cs="Times New Roman"/>
      <w:color w:val="C7254E"/>
      <w:sz w:val="21"/>
      <w:shd w:val="clear" w:color="auto" w:fill="F9F2F4"/>
    </w:rPr>
  </w:style>
  <w:style w:type="character" w:styleId="57">
    <w:name w:val="annotation reference"/>
    <w:semiHidden/>
    <w:qFormat/>
    <w:uiPriority w:val="99"/>
    <w:rPr>
      <w:rFonts w:cs="Times New Roman"/>
      <w:sz w:val="21"/>
    </w:rPr>
  </w:style>
  <w:style w:type="character" w:styleId="58">
    <w:name w:val="HTML Cite"/>
    <w:qFormat/>
    <w:uiPriority w:val="99"/>
    <w:rPr>
      <w:rFonts w:cs="Times New Roman"/>
    </w:rPr>
  </w:style>
  <w:style w:type="character" w:styleId="59">
    <w:name w:val="footnote reference"/>
    <w:semiHidden/>
    <w:qFormat/>
    <w:uiPriority w:val="99"/>
    <w:rPr>
      <w:rFonts w:cs="Times New Roman"/>
      <w:vertAlign w:val="superscript"/>
    </w:rPr>
  </w:style>
  <w:style w:type="character" w:styleId="60">
    <w:name w:val="HTML Keyboard"/>
    <w:qFormat/>
    <w:uiPriority w:val="99"/>
    <w:rPr>
      <w:rFonts w:ascii="Menlo" w:hAnsi="Menlo" w:eastAsia="Times New Roman" w:cs="Times New Roman"/>
      <w:sz w:val="21"/>
    </w:rPr>
  </w:style>
  <w:style w:type="character" w:styleId="61">
    <w:name w:val="HTML Sample"/>
    <w:qFormat/>
    <w:uiPriority w:val="99"/>
    <w:rPr>
      <w:rFonts w:ascii="Menlo" w:hAnsi="Menlo" w:eastAsia="Times New Roman" w:cs="Times New Roman"/>
      <w:sz w:val="21"/>
    </w:rPr>
  </w:style>
  <w:style w:type="character" w:customStyle="1" w:styleId="62">
    <w:name w:val="bds_more6"/>
    <w:qFormat/>
    <w:uiPriority w:val="99"/>
    <w:rPr>
      <w:rFonts w:cs="Times New Roman"/>
    </w:rPr>
  </w:style>
  <w:style w:type="character" w:customStyle="1" w:styleId="63">
    <w:name w:val="other"/>
    <w:qFormat/>
    <w:uiPriority w:val="99"/>
    <w:rPr>
      <w:rFonts w:cs="Times New Roman"/>
    </w:rPr>
  </w:style>
  <w:style w:type="character" w:customStyle="1" w:styleId="64">
    <w:name w:val="grid"/>
    <w:qFormat/>
    <w:uiPriority w:val="99"/>
    <w:rPr>
      <w:rFonts w:cs="Times New Roman"/>
    </w:rPr>
  </w:style>
  <w:style w:type="character" w:customStyle="1" w:styleId="65">
    <w:name w:val="hover61"/>
    <w:qFormat/>
    <w:uiPriority w:val="99"/>
    <w:rPr>
      <w:shd w:val="clear" w:color="auto" w:fill="FF0000"/>
    </w:rPr>
  </w:style>
  <w:style w:type="character" w:customStyle="1" w:styleId="66">
    <w:name w:val="bds_more4"/>
    <w:qFormat/>
    <w:uiPriority w:val="99"/>
    <w:rPr>
      <w:rFonts w:ascii="宋体" w:hAnsi="宋体" w:eastAsia="宋体"/>
    </w:rPr>
  </w:style>
  <w:style w:type="character" w:customStyle="1" w:styleId="67">
    <w:name w:val="active"/>
    <w:qFormat/>
    <w:uiPriority w:val="99"/>
    <w:rPr>
      <w:color w:val="00FF00"/>
      <w:shd w:val="clear" w:color="auto" w:fill="000000"/>
    </w:rPr>
  </w:style>
  <w:style w:type="character" w:customStyle="1" w:styleId="68">
    <w:name w:val="active8"/>
    <w:qFormat/>
    <w:uiPriority w:val="99"/>
    <w:rPr>
      <w:color w:val="00FF00"/>
      <w:shd w:val="clear" w:color="auto" w:fill="000000"/>
    </w:rPr>
  </w:style>
  <w:style w:type="character" w:customStyle="1" w:styleId="69">
    <w:name w:val="bds_nopic1"/>
    <w:qFormat/>
    <w:uiPriority w:val="99"/>
    <w:rPr>
      <w:rFonts w:cs="Times New Roman"/>
    </w:rPr>
  </w:style>
  <w:style w:type="character" w:customStyle="1" w:styleId="70">
    <w:name w:val="bds_more7"/>
    <w:qFormat/>
    <w:uiPriority w:val="99"/>
    <w:rPr>
      <w:rFonts w:cs="Times New Roman"/>
    </w:rPr>
  </w:style>
  <w:style w:type="character" w:customStyle="1" w:styleId="71">
    <w:name w:val="Char Char2"/>
    <w:qFormat/>
    <w:uiPriority w:val="99"/>
    <w:rPr>
      <w:rFonts w:ascii="宋体" w:hAnsi="宋体" w:eastAsia="楷体_GB2312"/>
      <w:b/>
      <w:kern w:val="2"/>
      <w:sz w:val="26"/>
      <w:lang w:val="en-US" w:eastAsia="zh-CN"/>
    </w:rPr>
  </w:style>
  <w:style w:type="character" w:customStyle="1" w:styleId="72">
    <w:name w:val="hilite"/>
    <w:qFormat/>
    <w:uiPriority w:val="99"/>
    <w:rPr>
      <w:color w:val="FFFFFF"/>
      <w:shd w:val="clear" w:color="auto" w:fill="776666"/>
    </w:rPr>
  </w:style>
  <w:style w:type="character" w:customStyle="1" w:styleId="73">
    <w:name w:val="bds_more8"/>
    <w:qFormat/>
    <w:uiPriority w:val="99"/>
    <w:rPr>
      <w:rFonts w:ascii="宋体" w:hAnsi="宋体" w:eastAsia="宋体"/>
    </w:rPr>
  </w:style>
  <w:style w:type="character" w:customStyle="1" w:styleId="74">
    <w:name w:val="bds_nopic"/>
    <w:qFormat/>
    <w:uiPriority w:val="99"/>
    <w:rPr>
      <w:rFonts w:cs="Times New Roman"/>
    </w:rPr>
  </w:style>
  <w:style w:type="character" w:customStyle="1" w:styleId="75">
    <w:name w:val="hilite6"/>
    <w:qFormat/>
    <w:uiPriority w:val="99"/>
    <w:rPr>
      <w:color w:val="FFFFFF"/>
      <w:shd w:val="clear" w:color="auto" w:fill="776666"/>
    </w:rPr>
  </w:style>
  <w:style w:type="character" w:customStyle="1" w:styleId="76">
    <w:name w:val="批注主题 字符"/>
    <w:link w:val="45"/>
    <w:semiHidden/>
    <w:qFormat/>
    <w:uiPriority w:val="99"/>
    <w:rPr>
      <w:b/>
      <w:bCs/>
      <w:szCs w:val="20"/>
    </w:rPr>
  </w:style>
  <w:style w:type="character" w:customStyle="1" w:styleId="77">
    <w:name w:val="日期 字符"/>
    <w:link w:val="25"/>
    <w:semiHidden/>
    <w:qFormat/>
    <w:uiPriority w:val="99"/>
    <w:rPr>
      <w:rFonts w:eastAsia="楷体_GB2312"/>
      <w:sz w:val="26"/>
      <w:szCs w:val="20"/>
    </w:rPr>
  </w:style>
  <w:style w:type="character" w:customStyle="1" w:styleId="78">
    <w:name w:val="纯文本 字符"/>
    <w:link w:val="22"/>
    <w:qFormat/>
    <w:locked/>
    <w:uiPriority w:val="99"/>
    <w:rPr>
      <w:rFonts w:ascii="宋体" w:hAnsi="Courier New" w:eastAsia="楷体_GB2312"/>
      <w:kern w:val="2"/>
      <w:sz w:val="26"/>
      <w:lang w:val="en-US" w:eastAsia="zh-CN"/>
    </w:rPr>
  </w:style>
  <w:style w:type="character" w:customStyle="1" w:styleId="79">
    <w:name w:val="正文文本缩进 字符"/>
    <w:link w:val="18"/>
    <w:qFormat/>
    <w:locked/>
    <w:uiPriority w:val="99"/>
    <w:rPr>
      <w:rFonts w:ascii="方正仿宋简体" w:hAnsi="创艺简仿宋" w:eastAsia="方正仿宋简体"/>
      <w:kern w:val="2"/>
      <w:sz w:val="24"/>
      <w:lang w:val="en-US" w:eastAsia="zh-CN"/>
    </w:rPr>
  </w:style>
  <w:style w:type="character" w:customStyle="1" w:styleId="80">
    <w:name w:val="state"/>
    <w:qFormat/>
    <w:uiPriority w:val="99"/>
    <w:rPr>
      <w:b/>
      <w:color w:val="FFFFFF"/>
      <w:sz w:val="19"/>
    </w:rPr>
  </w:style>
  <w:style w:type="character" w:customStyle="1" w:styleId="81">
    <w:name w:val="正文文本 字符"/>
    <w:link w:val="17"/>
    <w:semiHidden/>
    <w:qFormat/>
    <w:uiPriority w:val="0"/>
    <w:rPr>
      <w:rFonts w:eastAsia="楷体_GB2312"/>
      <w:sz w:val="26"/>
      <w:szCs w:val="20"/>
    </w:rPr>
  </w:style>
  <w:style w:type="character" w:customStyle="1" w:styleId="82">
    <w:name w:val="批注文字 字符"/>
    <w:link w:val="15"/>
    <w:semiHidden/>
    <w:qFormat/>
    <w:locked/>
    <w:uiPriority w:val="99"/>
    <w:rPr>
      <w:rFonts w:eastAsia="楷体_GB2312"/>
      <w:kern w:val="2"/>
      <w:sz w:val="26"/>
    </w:rPr>
  </w:style>
  <w:style w:type="character" w:customStyle="1" w:styleId="83">
    <w:name w:val="标题 7 字符"/>
    <w:link w:val="8"/>
    <w:qFormat/>
    <w:uiPriority w:val="99"/>
    <w:rPr>
      <w:rFonts w:ascii="宋体"/>
      <w:b/>
      <w:spacing w:val="-2"/>
      <w:kern w:val="2"/>
      <w:position w:val="-6"/>
      <w:sz w:val="24"/>
    </w:rPr>
  </w:style>
  <w:style w:type="character" w:customStyle="1" w:styleId="84">
    <w:name w:val="脚注文本 字符"/>
    <w:link w:val="34"/>
    <w:semiHidden/>
    <w:qFormat/>
    <w:uiPriority w:val="99"/>
    <w:rPr>
      <w:rFonts w:eastAsia="楷体_GB2312"/>
      <w:sz w:val="18"/>
      <w:szCs w:val="18"/>
    </w:rPr>
  </w:style>
  <w:style w:type="character" w:customStyle="1" w:styleId="85">
    <w:name w:val="标题 1 字符"/>
    <w:link w:val="2"/>
    <w:qFormat/>
    <w:uiPriority w:val="9"/>
    <w:rPr>
      <w:rFonts w:eastAsia="楷体_GB2312"/>
      <w:b/>
      <w:bCs/>
      <w:kern w:val="44"/>
      <w:sz w:val="44"/>
      <w:szCs w:val="44"/>
    </w:rPr>
  </w:style>
  <w:style w:type="character" w:customStyle="1" w:styleId="86">
    <w:name w:val="正文缩进 字符"/>
    <w:link w:val="6"/>
    <w:qFormat/>
    <w:locked/>
    <w:uiPriority w:val="99"/>
    <w:rPr>
      <w:rFonts w:eastAsia="楷体_GB2312"/>
      <w:kern w:val="2"/>
      <w:sz w:val="24"/>
      <w:lang w:val="en-US" w:eastAsia="zh-CN"/>
    </w:rPr>
  </w:style>
  <w:style w:type="character" w:customStyle="1" w:styleId="87">
    <w:name w:val="标题 5 字符"/>
    <w:link w:val="5"/>
    <w:qFormat/>
    <w:uiPriority w:val="99"/>
    <w:rPr>
      <w:rFonts w:ascii="宋体"/>
      <w:b/>
      <w:spacing w:val="-2"/>
      <w:kern w:val="2"/>
      <w:position w:val="-6"/>
      <w:sz w:val="28"/>
    </w:rPr>
  </w:style>
  <w:style w:type="character" w:customStyle="1" w:styleId="88">
    <w:name w:val="标题 6 字符"/>
    <w:link w:val="7"/>
    <w:qFormat/>
    <w:uiPriority w:val="99"/>
    <w:rPr>
      <w:rFonts w:ascii="Arial" w:hAnsi="Arial" w:eastAsia="黑体"/>
      <w:b/>
      <w:spacing w:val="-2"/>
      <w:kern w:val="2"/>
      <w:position w:val="-6"/>
      <w:sz w:val="24"/>
    </w:rPr>
  </w:style>
  <w:style w:type="character" w:customStyle="1" w:styleId="89">
    <w:name w:val="标题 8 字符"/>
    <w:link w:val="9"/>
    <w:qFormat/>
    <w:uiPriority w:val="99"/>
    <w:rPr>
      <w:rFonts w:ascii="Arial" w:hAnsi="Arial" w:eastAsia="黑体"/>
      <w:spacing w:val="-2"/>
      <w:kern w:val="2"/>
      <w:position w:val="-6"/>
      <w:sz w:val="24"/>
    </w:rPr>
  </w:style>
  <w:style w:type="character" w:customStyle="1" w:styleId="90">
    <w:name w:val="标题 3 字符"/>
    <w:link w:val="4"/>
    <w:semiHidden/>
    <w:qFormat/>
    <w:uiPriority w:val="9"/>
    <w:rPr>
      <w:rFonts w:eastAsia="楷体_GB2312"/>
      <w:b/>
      <w:bCs/>
      <w:sz w:val="32"/>
      <w:szCs w:val="32"/>
    </w:rPr>
  </w:style>
  <w:style w:type="character" w:customStyle="1" w:styleId="91">
    <w:name w:val="无间隔 字符"/>
    <w:link w:val="92"/>
    <w:qFormat/>
    <w:uiPriority w:val="1"/>
    <w:rPr>
      <w:rFonts w:ascii="Calibri" w:hAnsi="Calibri"/>
      <w:sz w:val="22"/>
      <w:szCs w:val="22"/>
      <w:lang w:val="en-US" w:eastAsia="zh-CN" w:bidi="ar-SA"/>
    </w:rPr>
  </w:style>
  <w:style w:type="paragraph" w:styleId="92">
    <w:name w:val="No Spacing"/>
    <w:link w:val="91"/>
    <w:qFormat/>
    <w:uiPriority w:val="1"/>
    <w:rPr>
      <w:rFonts w:ascii="Calibri" w:hAnsi="Calibri" w:eastAsia="宋体" w:cs="Times New Roman"/>
      <w:sz w:val="22"/>
      <w:szCs w:val="22"/>
      <w:lang w:val="en-US" w:eastAsia="zh-CN" w:bidi="ar-SA"/>
    </w:rPr>
  </w:style>
  <w:style w:type="character" w:customStyle="1" w:styleId="93">
    <w:name w:val="页眉 字符"/>
    <w:link w:val="29"/>
    <w:qFormat/>
    <w:locked/>
    <w:uiPriority w:val="99"/>
    <w:rPr>
      <w:rFonts w:eastAsia="楷体_GB2312"/>
      <w:kern w:val="2"/>
      <w:sz w:val="18"/>
    </w:rPr>
  </w:style>
  <w:style w:type="character" w:customStyle="1" w:styleId="94">
    <w:name w:val="grid2"/>
    <w:qFormat/>
    <w:uiPriority w:val="99"/>
    <w:rPr>
      <w:rFonts w:cs="Times New Roman"/>
    </w:rPr>
  </w:style>
  <w:style w:type="character" w:customStyle="1" w:styleId="95">
    <w:name w:val="文档结构图 字符"/>
    <w:link w:val="14"/>
    <w:semiHidden/>
    <w:qFormat/>
    <w:uiPriority w:val="99"/>
    <w:rPr>
      <w:rFonts w:eastAsia="楷体_GB2312"/>
      <w:sz w:val="16"/>
      <w:szCs w:val="0"/>
    </w:rPr>
  </w:style>
  <w:style w:type="character" w:customStyle="1" w:styleId="96">
    <w:name w:val="bsharetext"/>
    <w:qFormat/>
    <w:uiPriority w:val="99"/>
    <w:rPr>
      <w:rFonts w:cs="Times New Roman"/>
    </w:rPr>
  </w:style>
  <w:style w:type="character" w:customStyle="1" w:styleId="97">
    <w:name w:val="页脚 字符"/>
    <w:link w:val="28"/>
    <w:qFormat/>
    <w:uiPriority w:val="99"/>
    <w:rPr>
      <w:rFonts w:eastAsia="楷体_GB2312"/>
      <w:sz w:val="18"/>
      <w:szCs w:val="18"/>
    </w:rPr>
  </w:style>
  <w:style w:type="character" w:customStyle="1" w:styleId="98">
    <w:name w:val="noused"/>
    <w:qFormat/>
    <w:uiPriority w:val="99"/>
    <w:rPr>
      <w:b/>
      <w:color w:val="FFFFFF"/>
      <w:sz w:val="21"/>
    </w:rPr>
  </w:style>
  <w:style w:type="character" w:customStyle="1" w:styleId="99">
    <w:name w:val="批注框文本 字符"/>
    <w:link w:val="27"/>
    <w:semiHidden/>
    <w:qFormat/>
    <w:uiPriority w:val="99"/>
    <w:rPr>
      <w:rFonts w:eastAsia="楷体_GB2312"/>
      <w:sz w:val="16"/>
      <w:szCs w:val="0"/>
    </w:rPr>
  </w:style>
  <w:style w:type="character" w:customStyle="1" w:styleId="100">
    <w:name w:val="正文文本缩进 2 字符"/>
    <w:link w:val="26"/>
    <w:semiHidden/>
    <w:qFormat/>
    <w:uiPriority w:val="99"/>
    <w:rPr>
      <w:rFonts w:eastAsia="楷体_GB2312"/>
      <w:sz w:val="26"/>
      <w:szCs w:val="20"/>
    </w:rPr>
  </w:style>
  <w:style w:type="character" w:customStyle="1" w:styleId="101">
    <w:name w:val="bds_more5"/>
    <w:qFormat/>
    <w:uiPriority w:val="99"/>
    <w:rPr>
      <w:rFonts w:cs="Times New Roman"/>
    </w:rPr>
  </w:style>
  <w:style w:type="character" w:customStyle="1" w:styleId="102">
    <w:name w:val="标题 2 字符"/>
    <w:link w:val="3"/>
    <w:qFormat/>
    <w:locked/>
    <w:uiPriority w:val="99"/>
    <w:rPr>
      <w:rFonts w:ascii="宋体" w:hAnsi="宋体" w:eastAsia="楷体_GB2312"/>
      <w:b/>
      <w:kern w:val="2"/>
      <w:sz w:val="26"/>
      <w:lang w:val="en-US" w:eastAsia="zh-CN"/>
    </w:rPr>
  </w:style>
  <w:style w:type="character" w:customStyle="1" w:styleId="103">
    <w:name w:val="bds_nopic2"/>
    <w:qFormat/>
    <w:uiPriority w:val="99"/>
    <w:rPr>
      <w:rFonts w:cs="Times New Roman"/>
    </w:rPr>
  </w:style>
  <w:style w:type="character" w:customStyle="1" w:styleId="104">
    <w:name w:val="HTML 预设格式 字符"/>
    <w:link w:val="42"/>
    <w:semiHidden/>
    <w:qFormat/>
    <w:uiPriority w:val="99"/>
    <w:rPr>
      <w:rFonts w:ascii="Courier New" w:hAnsi="Courier New" w:eastAsia="楷体_GB2312" w:cs="Courier New"/>
      <w:sz w:val="20"/>
      <w:szCs w:val="20"/>
    </w:rPr>
  </w:style>
  <w:style w:type="character" w:customStyle="1" w:styleId="105">
    <w:name w:val="正文文本缩进 3 字符"/>
    <w:link w:val="36"/>
    <w:semiHidden/>
    <w:qFormat/>
    <w:uiPriority w:val="99"/>
    <w:rPr>
      <w:rFonts w:eastAsia="楷体_GB2312"/>
      <w:sz w:val="16"/>
      <w:szCs w:val="16"/>
    </w:rPr>
  </w:style>
  <w:style w:type="character" w:customStyle="1" w:styleId="106">
    <w:name w:val="标题 9 字符"/>
    <w:link w:val="10"/>
    <w:qFormat/>
    <w:uiPriority w:val="99"/>
    <w:rPr>
      <w:rFonts w:ascii="Arial" w:hAnsi="Arial" w:eastAsia="黑体"/>
      <w:spacing w:val="-2"/>
      <w:kern w:val="2"/>
      <w:position w:val="-6"/>
      <w:sz w:val="28"/>
    </w:rPr>
  </w:style>
  <w:style w:type="paragraph" w:customStyle="1" w:styleId="107">
    <w:name w:val="Char Char Char Char"/>
    <w:basedOn w:val="1"/>
    <w:qFormat/>
    <w:uiPriority w:val="0"/>
    <w:rPr>
      <w:rFonts w:eastAsia="宋体"/>
      <w:sz w:val="21"/>
    </w:rPr>
  </w:style>
  <w:style w:type="paragraph" w:customStyle="1" w:styleId="108">
    <w:name w:val="Char1"/>
    <w:basedOn w:val="1"/>
    <w:qFormat/>
    <w:uiPriority w:val="99"/>
    <w:rPr>
      <w:rFonts w:ascii="Tahoma" w:hAnsi="Tahoma" w:eastAsia="宋体"/>
      <w:sz w:val="24"/>
    </w:rPr>
  </w:style>
  <w:style w:type="paragraph" w:customStyle="1" w:styleId="109">
    <w:name w:val="纯文本1"/>
    <w:basedOn w:val="1"/>
    <w:qFormat/>
    <w:uiPriority w:val="99"/>
    <w:pPr>
      <w:adjustRightInd w:val="0"/>
      <w:textAlignment w:val="baseline"/>
    </w:pPr>
    <w:rPr>
      <w:rFonts w:ascii="宋体" w:hAnsi="Courier New"/>
      <w:sz w:val="28"/>
    </w:rPr>
  </w:style>
  <w:style w:type="paragraph" w:customStyle="1" w:styleId="110">
    <w:name w:val="Char Char1 Char Char Char Char"/>
    <w:basedOn w:val="14"/>
    <w:qFormat/>
    <w:uiPriority w:val="99"/>
    <w:pPr>
      <w:adjustRightInd w:val="0"/>
      <w:snapToGrid w:val="0"/>
      <w:spacing w:line="360" w:lineRule="auto"/>
    </w:pPr>
    <w:rPr>
      <w:rFonts w:ascii="Tahoma" w:hAnsi="Tahoma" w:eastAsia="宋体"/>
      <w:sz w:val="24"/>
      <w:szCs w:val="24"/>
    </w:rPr>
  </w:style>
  <w:style w:type="paragraph" w:styleId="111">
    <w:name w:val="List Paragraph"/>
    <w:basedOn w:val="1"/>
    <w:qFormat/>
    <w:uiPriority w:val="34"/>
    <w:pPr>
      <w:ind w:firstLine="420" w:firstLineChars="200"/>
    </w:pPr>
    <w:rPr>
      <w:rFonts w:eastAsia="宋体"/>
      <w:sz w:val="21"/>
      <w:szCs w:val="24"/>
    </w:rPr>
  </w:style>
  <w:style w:type="paragraph" w:customStyle="1" w:styleId="112">
    <w:name w:val="图"/>
    <w:basedOn w:val="1"/>
    <w:qFormat/>
    <w:uiPriority w:val="99"/>
    <w:pPr>
      <w:keepNext/>
      <w:adjustRightInd w:val="0"/>
      <w:spacing w:line="300" w:lineRule="auto"/>
      <w:jc w:val="center"/>
      <w:textAlignment w:val="center"/>
    </w:pPr>
    <w:rPr>
      <w:rFonts w:eastAsia="宋体"/>
      <w:spacing w:val="20"/>
      <w:kern w:val="0"/>
      <w:sz w:val="24"/>
    </w:rPr>
  </w:style>
  <w:style w:type="paragraph" w:customStyle="1" w:styleId="113">
    <w:name w:val="_Style 1"/>
    <w:basedOn w:val="1"/>
    <w:qFormat/>
    <w:uiPriority w:val="99"/>
    <w:pPr>
      <w:ind w:firstLine="420" w:firstLineChars="200"/>
    </w:pPr>
  </w:style>
  <w:style w:type="paragraph" w:customStyle="1" w:styleId="114">
    <w:name w:val="纯文本2"/>
    <w:basedOn w:val="1"/>
    <w:qFormat/>
    <w:uiPriority w:val="99"/>
    <w:pPr>
      <w:adjustRightInd w:val="0"/>
      <w:textAlignment w:val="baseline"/>
    </w:pPr>
    <w:rPr>
      <w:rFonts w:ascii="宋体" w:hAnsi="Courier New"/>
    </w:rPr>
  </w:style>
  <w:style w:type="paragraph" w:customStyle="1" w:styleId="115">
    <w:name w:val="Char"/>
    <w:basedOn w:val="1"/>
    <w:qFormat/>
    <w:uiPriority w:val="99"/>
    <w:pPr>
      <w:widowControl/>
      <w:spacing w:line="240" w:lineRule="exact"/>
      <w:jc w:val="left"/>
    </w:pPr>
    <w:rPr>
      <w:rFonts w:ascii="Verdana" w:hAnsi="Verdana" w:eastAsia="宋体"/>
      <w:kern w:val="0"/>
      <w:sz w:val="21"/>
      <w:lang w:eastAsia="en-US"/>
    </w:rPr>
  </w:style>
  <w:style w:type="paragraph" w:customStyle="1" w:styleId="116">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列出段落1"/>
    <w:basedOn w:val="1"/>
    <w:qFormat/>
    <w:uiPriority w:val="99"/>
    <w:pPr>
      <w:ind w:firstLine="420" w:firstLineChars="200"/>
    </w:pPr>
    <w:rPr>
      <w:rFonts w:eastAsia="宋体"/>
      <w:sz w:val="21"/>
      <w:szCs w:val="24"/>
    </w:rPr>
  </w:style>
  <w:style w:type="paragraph" w:customStyle="1" w:styleId="118">
    <w:name w:val="_Style 117"/>
    <w:basedOn w:val="1"/>
    <w:next w:val="111"/>
    <w:qFormat/>
    <w:uiPriority w:val="34"/>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5307;&#26631;&#25991;&#20214;\&#25307;&#26631;&#25991;&#20214;2002&#24180;&#20462;&#25913;&#2641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招标文件2002年修改本</Template>
  <Company>南京国衡南通分公司</Company>
  <Pages>24</Pages>
  <Words>2727</Words>
  <Characters>15544</Characters>
  <Lines>129</Lines>
  <Paragraphs>36</Paragraphs>
  <TotalTime>296</TotalTime>
  <ScaleCrop>false</ScaleCrop>
  <LinksUpToDate>false</LinksUpToDate>
  <CharactersWithSpaces>18235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2021-12-06T01:28:00Z</dcterms:created>
  <dc:creator>国衡南通</dc:creator>
  <cp:lastModifiedBy>平平</cp:lastModifiedBy>
  <cp:lastPrinted>2022-02-11T02:52:11Z</cp:lastPrinted>
  <dcterms:modified xsi:type="dcterms:W3CDTF">2022-02-11T02:55:54Z</dcterms:modified>
  <dc:title>崇川区政府采购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C19951011B0145DFA607BD83E15A6101</vt:lpwstr>
  </property>
</Properties>
</file>