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jc w:val="left"/>
        <w:textAlignment w:val="auto"/>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w:t>
      </w:r>
    </w:p>
    <w:p>
      <w:pPr>
        <w:keepNext w:val="0"/>
        <w:keepLines w:val="0"/>
        <w:pageBreakBefore w:val="0"/>
        <w:kinsoku/>
        <w:wordWrap/>
        <w:overflowPunct/>
        <w:topLinePunct w:val="0"/>
        <w:bidi w:val="0"/>
        <w:snapToGrid/>
        <w:spacing w:line="240" w:lineRule="auto"/>
        <w:jc w:val="center"/>
        <w:textAlignment w:val="auto"/>
        <w:outlineLvl w:val="0"/>
        <w:rPr>
          <w:rFonts w:hint="eastAsia" w:ascii="宋体" w:hAnsi="宋体" w:eastAsia="宋体" w:cs="宋体"/>
          <w:b w:val="0"/>
          <w:bCs/>
          <w:kern w:val="0"/>
          <w:sz w:val="44"/>
          <w:szCs w:val="44"/>
        </w:rPr>
      </w:pPr>
      <w:bookmarkStart w:id="0" w:name="_GoBack"/>
      <w:r>
        <w:rPr>
          <w:rFonts w:hint="eastAsia" w:ascii="宋体" w:hAnsi="宋体" w:eastAsia="宋体" w:cs="宋体"/>
          <w:b w:val="0"/>
          <w:bCs/>
          <w:kern w:val="0"/>
          <w:sz w:val="44"/>
          <w:szCs w:val="44"/>
        </w:rPr>
        <w:t>崇川区生态环境总体准入管控要求</w:t>
      </w:r>
    </w:p>
    <w:bookmarkEnd w:id="0"/>
    <w:tbl>
      <w:tblPr>
        <w:tblStyle w:val="2"/>
        <w:tblpPr w:leftFromText="180" w:rightFromText="180" w:vertAnchor="text" w:horzAnchor="margin" w:tblpXSpec="center" w:tblpY="354"/>
        <w:tblW w:w="8714" w:type="dxa"/>
        <w:jc w:val="center"/>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Layout w:type="fixed"/>
        <w:tblCellMar>
          <w:top w:w="0" w:type="dxa"/>
          <w:left w:w="108" w:type="dxa"/>
          <w:bottom w:w="0" w:type="dxa"/>
          <w:right w:w="108" w:type="dxa"/>
        </w:tblCellMar>
      </w:tblPr>
      <w:tblGrid>
        <w:gridCol w:w="1242"/>
        <w:gridCol w:w="7472"/>
      </w:tblGrid>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547" w:hRule="atLeast"/>
          <w:jc w:val="center"/>
        </w:trPr>
        <w:tc>
          <w:tcPr>
            <w:tcW w:w="1242" w:type="dxa"/>
            <w:tcBorders>
              <w:top w:val="single" w:color="auto" w:sz="8" w:space="0"/>
              <w:bottom w:val="single" w:color="auto" w:sz="8" w:space="0"/>
            </w:tcBorders>
            <w:vAlign w:val="center"/>
          </w:tcPr>
          <w:p>
            <w:pPr>
              <w:pStyle w:val="4"/>
              <w:keepNext w:val="0"/>
              <w:keepLines w:val="0"/>
              <w:pageBreakBefore w:val="0"/>
              <w:kinsoku/>
              <w:wordWrap/>
              <w:overflowPunct/>
              <w:topLinePunct w:val="0"/>
              <w:bidi w:val="0"/>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管控类别</w:t>
            </w:r>
          </w:p>
        </w:tc>
        <w:tc>
          <w:tcPr>
            <w:tcW w:w="747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重点管控要求</w:t>
            </w: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3158" w:hRule="atLeast"/>
          <w:jc w:val="center"/>
        </w:trPr>
        <w:tc>
          <w:tcPr>
            <w:tcW w:w="1242" w:type="dxa"/>
            <w:tcBorders>
              <w:bottom w:val="single" w:color="auto" w:sz="8" w:space="0"/>
            </w:tcBorders>
            <w:vAlign w:val="center"/>
          </w:tcPr>
          <w:p>
            <w:pPr>
              <w:pStyle w:val="4"/>
              <w:keepNext w:val="0"/>
              <w:keepLines w:val="0"/>
              <w:pageBreakBefore w:val="0"/>
              <w:kinsoku/>
              <w:wordWrap/>
              <w:overflowPunct/>
              <w:topLinePunct w:val="0"/>
              <w:bidi w:val="0"/>
              <w:snapToGrid/>
              <w:spacing w:line="240" w:lineRule="auto"/>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空间布局约束</w:t>
            </w:r>
          </w:p>
        </w:tc>
        <w:tc>
          <w:tcPr>
            <w:tcW w:w="7472" w:type="dxa"/>
            <w:tcBorders>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1.优化产业布局和结构，严格执行《长江经济带发展负面清单指南-江苏省实施细则（试行）》（苏长江办发〔2019〕136 号）中负面清单内容。禁止引入《南通市工业结构调整指导目录》淘汰类的产业和列入《南通市工业产业技术改造负面清单》严格禁止的技术改造工艺装备及产品。</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严格执行《南通市关于加大污染减排力度推进重点行业绿色发展的指导意见》（通办〔2021〕59号）、《崇川区国民经济和社会发展第十四个五年规划和二0三五年远景目标纲要》《南通市崇川区“绿水青山就是金山银山”实践创新基地建设实施方案的通知》（崇川政发〔2021〕31号）、《关于全面推进长江水域禁捕退捕工作的实施方案》（崇川政办发〔2020〕19号）等文件相关要求。</w:t>
            </w: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406" w:hRule="atLeast"/>
          <w:jc w:val="center"/>
        </w:trPr>
        <w:tc>
          <w:tcPr>
            <w:tcW w:w="124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污染物排放管控</w:t>
            </w:r>
          </w:p>
        </w:tc>
        <w:tc>
          <w:tcPr>
            <w:tcW w:w="747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严格落实污染物排放总量控制制度，把主要污染物排放总量指标作为建设项目环境影响评价审批的前置条件。排放主要污染物的建设项目，在环境影响评价文件审批前，须取得主要污染物排放总量指标。</w:t>
            </w: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1556" w:hRule="atLeast"/>
          <w:jc w:val="center"/>
        </w:trPr>
        <w:tc>
          <w:tcPr>
            <w:tcW w:w="124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环境风险防控</w:t>
            </w:r>
          </w:p>
        </w:tc>
        <w:tc>
          <w:tcPr>
            <w:tcW w:w="747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严格落实《南通市突发环境事件应急预案（2020年修订版）》（通政办发〔2020〕46号）、《南通市崇川区突发环境事件应急预案（2020年1月）》《长江狼山饮用水源地突发环境事件专项应急预案》等文件要求。</w:t>
            </w:r>
          </w:p>
        </w:tc>
      </w:tr>
      <w:tr>
        <w:tblPrEx>
          <w:tblBorders>
            <w:top w:val="single" w:color="auto" w:sz="8" w:space="0"/>
            <w:left w:val="single" w:color="auto" w:sz="8" w:space="0"/>
            <w:bottom w:val="single" w:color="auto" w:sz="8" w:space="0"/>
            <w:right w:val="single" w:color="auto" w:sz="8" w:space="0"/>
            <w:insideH w:val="none" w:color="auto" w:sz="0" w:space="0"/>
            <w:insideV w:val="single" w:color="auto" w:sz="8" w:space="0"/>
          </w:tblBorders>
          <w:tblCellMar>
            <w:top w:w="0" w:type="dxa"/>
            <w:left w:w="108" w:type="dxa"/>
            <w:bottom w:w="0" w:type="dxa"/>
            <w:right w:w="108" w:type="dxa"/>
          </w:tblCellMar>
        </w:tblPrEx>
        <w:trPr>
          <w:trHeight w:val="3158" w:hRule="atLeast"/>
          <w:jc w:val="center"/>
        </w:trPr>
        <w:tc>
          <w:tcPr>
            <w:tcW w:w="124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资源利用效率要求</w:t>
            </w:r>
          </w:p>
        </w:tc>
        <w:tc>
          <w:tcPr>
            <w:tcW w:w="7472" w:type="dxa"/>
            <w:tcBorders>
              <w:top w:val="single" w:color="auto" w:sz="8" w:space="0"/>
              <w:bottom w:val="single" w:color="auto" w:sz="8"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1.根据《关于下达2021年度实行最严格水资源管理制度目标任务的通知》（通水资考〔2021〕3号）文件要求，2021年全区用水总量不得超过11.71亿立方米。</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2.根据《崇川区国民经济和社会发展第十四个五年规划和二0三五年远景目标纲要》文件要求，2025年全区林木覆盖率不低于上级下达的林木覆盖率指标。</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3.2025年全区耕地保有量及永久基本农田数量不低于上级下达的指标。</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4.根据《崇川区“十四五”能源发展规划》文件要求，2025年能源消费总量控制在425万吨标准煤以内。</w:t>
            </w:r>
          </w:p>
          <w:p>
            <w:pPr>
              <w:keepNext w:val="0"/>
              <w:keepLines w:val="0"/>
              <w:pageBreakBefore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5.根据《南通市人民政府关于划定市区高污染燃料禁燃区的通告》，全区范围内严格按照文件要求划定禁燃区范围，并执行文件管理要求。</w:t>
            </w:r>
          </w:p>
        </w:tc>
      </w:tr>
    </w:tbl>
    <w:p/>
    <w:sectPr>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C5B3A1D"/>
    <w:rsid w:val="0C5B3A1D"/>
    <w:rsid w:val="7BCF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FZFangSong-Z02" w:hAnsi="Calibri" w:eastAsia="FZFangSong-Z02" w:cs="FZFangSong-Z0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2023-12-21T01:34:00Z</dcterms:created>
  <dc:creator>Nothing</dc:creator>
  <cp:lastModifiedBy>Nothing</cp:lastModifiedBy>
  <dcterms:modified xsi:type="dcterms:W3CDTF">2023-12-21T01:35:15Z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23852FB5A6E9445BB7CB034DB96C1DAC_11</vt:lpwstr>
  </property>
</Properties>
</file>