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430"/>
        </w:tabs>
        <w:jc w:val="center"/>
        <w:rPr>
          <w:rFonts w:hint="eastAsia" w:ascii="宋体" w:hAnsi="宋体" w:eastAsia="宋体" w:cs="宋体"/>
          <w:color w:val="auto"/>
          <w:w w:val="80"/>
          <w:sz w:val="44"/>
          <w:szCs w:val="44"/>
          <w:highlight w:val="none"/>
        </w:rPr>
      </w:pPr>
    </w:p>
    <w:p>
      <w:pPr>
        <w:tabs>
          <w:tab w:val="left" w:pos="6430"/>
        </w:tabs>
        <w:jc w:val="center"/>
        <w:rPr>
          <w:rFonts w:hint="eastAsia" w:ascii="宋体" w:hAnsi="宋体" w:eastAsia="宋体" w:cs="宋体"/>
          <w:color w:val="auto"/>
          <w:w w:val="80"/>
          <w:sz w:val="44"/>
          <w:szCs w:val="44"/>
          <w:highlight w:val="none"/>
        </w:rPr>
      </w:pPr>
    </w:p>
    <w:p>
      <w:pPr>
        <w:tabs>
          <w:tab w:val="left" w:pos="6430"/>
        </w:tabs>
        <w:jc w:val="center"/>
        <w:rPr>
          <w:rFonts w:hint="eastAsia" w:ascii="宋体" w:hAnsi="宋体" w:eastAsia="宋体" w:cs="宋体"/>
          <w:color w:val="auto"/>
          <w:w w:val="80"/>
          <w:sz w:val="44"/>
          <w:szCs w:val="44"/>
          <w:highlight w:val="none"/>
        </w:rPr>
      </w:pPr>
    </w:p>
    <w:p>
      <w:pPr>
        <w:tabs>
          <w:tab w:val="left" w:pos="6430"/>
        </w:tabs>
        <w:jc w:val="center"/>
        <w:rPr>
          <w:rFonts w:hint="eastAsia" w:ascii="宋体" w:hAnsi="宋体" w:eastAsia="宋体" w:cs="宋体"/>
          <w:color w:val="auto"/>
          <w:w w:val="80"/>
          <w:sz w:val="44"/>
          <w:szCs w:val="44"/>
          <w:highlight w:val="none"/>
        </w:rPr>
      </w:pPr>
      <w:r>
        <w:rPr>
          <w:rFonts w:hint="eastAsia" w:ascii="宋体" w:hAnsi="宋体" w:eastAsia="宋体" w:cs="宋体"/>
          <w:color w:val="auto"/>
          <w:w w:val="80"/>
          <w:sz w:val="44"/>
          <w:szCs w:val="44"/>
          <w:highlight w:val="none"/>
          <w:lang w:eastAsia="zh-CN"/>
        </w:rPr>
        <w:t>城港路56号配电间低压改造项目</w:t>
      </w:r>
    </w:p>
    <w:p>
      <w:pPr>
        <w:jc w:val="center"/>
        <w:rPr>
          <w:rFonts w:hint="eastAsia" w:ascii="宋体" w:hAnsi="宋体" w:eastAsia="宋体" w:cs="宋体"/>
          <w:color w:val="auto"/>
          <w:w w:val="80"/>
          <w:sz w:val="44"/>
          <w:szCs w:val="44"/>
          <w:highlight w:val="none"/>
        </w:rPr>
      </w:pPr>
    </w:p>
    <w:p>
      <w:pPr>
        <w:tabs>
          <w:tab w:val="left" w:pos="6300"/>
        </w:tabs>
        <w:snapToGrid w:val="0"/>
        <w:spacing w:line="300" w:lineRule="auto"/>
        <w:jc w:val="center"/>
        <w:rPr>
          <w:rFonts w:hint="eastAsia" w:ascii="宋体" w:hAnsi="宋体" w:eastAsia="宋体" w:cs="宋体"/>
          <w:color w:val="auto"/>
          <w:w w:val="80"/>
          <w:sz w:val="44"/>
          <w:szCs w:val="44"/>
          <w:highlight w:val="none"/>
        </w:rPr>
      </w:pPr>
    </w:p>
    <w:p>
      <w:pPr>
        <w:tabs>
          <w:tab w:val="left" w:pos="6430"/>
        </w:tabs>
        <w:jc w:val="center"/>
        <w:rPr>
          <w:rFonts w:hint="eastAsia" w:ascii="宋体" w:hAnsi="宋体" w:eastAsia="宋体" w:cs="宋体"/>
          <w:color w:val="auto"/>
          <w:w w:val="80"/>
          <w:sz w:val="44"/>
          <w:szCs w:val="44"/>
          <w:highlight w:val="none"/>
          <w:lang w:eastAsia="zh-CN"/>
        </w:rPr>
      </w:pPr>
      <w:r>
        <w:rPr>
          <w:rFonts w:hint="eastAsia" w:ascii="宋体" w:hAnsi="宋体" w:eastAsia="宋体" w:cs="宋体"/>
          <w:color w:val="auto"/>
          <w:w w:val="80"/>
          <w:sz w:val="44"/>
          <w:szCs w:val="44"/>
          <w:highlight w:val="none"/>
          <w:lang w:eastAsia="zh-CN"/>
        </w:rPr>
        <w:t>竞争性磋商采购文件</w:t>
      </w:r>
    </w:p>
    <w:p>
      <w:pPr>
        <w:tabs>
          <w:tab w:val="left" w:pos="6430"/>
        </w:tabs>
        <w:jc w:val="center"/>
        <w:rPr>
          <w:rFonts w:hint="eastAsia" w:ascii="宋体" w:hAnsi="宋体" w:eastAsia="宋体" w:cs="宋体"/>
          <w:color w:val="auto"/>
          <w:w w:val="80"/>
          <w:sz w:val="44"/>
          <w:szCs w:val="44"/>
          <w:highlight w:val="none"/>
          <w:lang w:eastAsia="zh-CN"/>
        </w:rPr>
      </w:pPr>
      <w:r>
        <w:rPr>
          <w:rFonts w:hint="eastAsia" w:ascii="宋体" w:hAnsi="宋体" w:eastAsia="宋体" w:cs="宋体"/>
          <w:color w:val="auto"/>
          <w:w w:val="80"/>
          <w:sz w:val="44"/>
          <w:szCs w:val="44"/>
          <w:highlight w:val="none"/>
          <w:lang w:eastAsia="zh-CN"/>
        </w:rPr>
        <w:t>（资格后审）</w:t>
      </w:r>
    </w:p>
    <w:p>
      <w:pPr>
        <w:snapToGrid w:val="0"/>
        <w:spacing w:line="360" w:lineRule="auto"/>
        <w:jc w:val="center"/>
        <w:rPr>
          <w:rFonts w:hint="eastAsia" w:ascii="宋体" w:hAnsi="宋体" w:eastAsia="宋体" w:cs="宋体"/>
          <w:b/>
          <w:bCs/>
          <w:color w:val="auto"/>
          <w:sz w:val="44"/>
          <w:szCs w:val="44"/>
          <w:highlight w:val="none"/>
        </w:rPr>
      </w:pPr>
    </w:p>
    <w:p>
      <w:pPr>
        <w:snapToGrid w:val="0"/>
        <w:spacing w:line="360" w:lineRule="auto"/>
        <w:jc w:val="center"/>
        <w:rPr>
          <w:rFonts w:hint="eastAsia" w:ascii="宋体" w:hAnsi="宋体" w:eastAsia="宋体" w:cs="宋体"/>
          <w:b/>
          <w:bCs/>
          <w:color w:val="auto"/>
          <w:sz w:val="44"/>
          <w:szCs w:val="44"/>
          <w:highlight w:val="none"/>
        </w:rPr>
      </w:pPr>
    </w:p>
    <w:p>
      <w:pPr>
        <w:snapToGrid w:val="0"/>
        <w:spacing w:line="360" w:lineRule="auto"/>
        <w:jc w:val="center"/>
        <w:rPr>
          <w:rFonts w:hint="eastAsia" w:ascii="宋体" w:hAnsi="宋体" w:eastAsia="宋体" w:cs="宋体"/>
          <w:b/>
          <w:bCs/>
          <w:color w:val="auto"/>
          <w:sz w:val="44"/>
          <w:szCs w:val="44"/>
          <w:highlight w:val="none"/>
        </w:rPr>
      </w:pPr>
    </w:p>
    <w:p>
      <w:pPr>
        <w:snapToGrid w:val="0"/>
        <w:spacing w:line="360" w:lineRule="auto"/>
        <w:jc w:val="center"/>
        <w:rPr>
          <w:rFonts w:hint="eastAsia" w:ascii="宋体" w:hAnsi="宋体" w:eastAsia="宋体" w:cs="宋体"/>
          <w:b/>
          <w:bCs/>
          <w:color w:val="auto"/>
          <w:sz w:val="44"/>
          <w:szCs w:val="44"/>
          <w:highlight w:val="none"/>
        </w:rPr>
      </w:pPr>
    </w:p>
    <w:p>
      <w:pPr>
        <w:snapToGrid w:val="0"/>
        <w:spacing w:line="360" w:lineRule="auto"/>
        <w:jc w:val="center"/>
        <w:rPr>
          <w:rFonts w:hint="eastAsia" w:ascii="宋体" w:hAnsi="宋体" w:eastAsia="宋体" w:cs="宋体"/>
          <w:b/>
          <w:bCs/>
          <w:color w:val="auto"/>
          <w:sz w:val="44"/>
          <w:szCs w:val="44"/>
          <w:highlight w:val="none"/>
        </w:rPr>
      </w:pPr>
    </w:p>
    <w:p>
      <w:pPr>
        <w:snapToGrid w:val="0"/>
        <w:spacing w:line="360" w:lineRule="auto"/>
        <w:jc w:val="center"/>
        <w:rPr>
          <w:rFonts w:hint="eastAsia" w:ascii="宋体" w:hAnsi="宋体" w:eastAsia="宋体" w:cs="宋体"/>
          <w:b/>
          <w:bCs/>
          <w:color w:val="auto"/>
          <w:sz w:val="44"/>
          <w:szCs w:val="44"/>
          <w:highlight w:val="none"/>
        </w:rPr>
      </w:pPr>
    </w:p>
    <w:p>
      <w:pPr>
        <w:snapToGrid w:val="0"/>
        <w:spacing w:line="360" w:lineRule="auto"/>
        <w:jc w:val="center"/>
        <w:rPr>
          <w:rFonts w:hint="eastAsia" w:ascii="宋体" w:hAnsi="宋体" w:eastAsia="宋体" w:cs="宋体"/>
          <w:b/>
          <w:bCs/>
          <w:color w:val="auto"/>
          <w:sz w:val="44"/>
          <w:szCs w:val="44"/>
          <w:highlight w:val="none"/>
        </w:rPr>
      </w:pPr>
    </w:p>
    <w:p>
      <w:pPr>
        <w:tabs>
          <w:tab w:val="left" w:pos="1050"/>
          <w:tab w:val="right" w:leader="dot" w:pos="9402"/>
        </w:tabs>
        <w:spacing w:line="520" w:lineRule="exact"/>
        <w:jc w:val="center"/>
        <w:rPr>
          <w:rFonts w:hint="eastAsia" w:ascii="宋体" w:hAnsi="宋体" w:eastAsia="宋体" w:cs="宋体"/>
          <w:color w:val="auto"/>
          <w:w w:val="80"/>
          <w:sz w:val="44"/>
          <w:szCs w:val="44"/>
          <w:highlight w:val="none"/>
        </w:rPr>
      </w:pPr>
    </w:p>
    <w:p>
      <w:pPr>
        <w:tabs>
          <w:tab w:val="left" w:pos="6430"/>
        </w:tabs>
        <w:jc w:val="center"/>
        <w:rPr>
          <w:rFonts w:hint="eastAsia" w:ascii="宋体" w:hAnsi="宋体" w:eastAsia="宋体" w:cs="宋体"/>
          <w:color w:val="auto"/>
          <w:w w:val="80"/>
          <w:sz w:val="44"/>
          <w:szCs w:val="44"/>
          <w:highlight w:val="none"/>
          <w:lang w:eastAsia="zh-CN"/>
        </w:rPr>
      </w:pPr>
      <w:r>
        <w:rPr>
          <w:rFonts w:hint="eastAsia" w:ascii="宋体" w:hAnsi="宋体" w:eastAsia="宋体" w:cs="宋体"/>
          <w:color w:val="auto"/>
          <w:w w:val="80"/>
          <w:sz w:val="44"/>
          <w:szCs w:val="44"/>
          <w:highlight w:val="none"/>
          <w:lang w:eastAsia="zh-CN"/>
        </w:rPr>
        <w:t>采购单位：南通市崇川区机关事务服务中心</w:t>
      </w:r>
    </w:p>
    <w:p>
      <w:pPr>
        <w:tabs>
          <w:tab w:val="left" w:pos="6430"/>
        </w:tabs>
        <w:jc w:val="center"/>
        <w:rPr>
          <w:rFonts w:hint="eastAsia" w:ascii="宋体" w:hAnsi="宋体" w:eastAsia="宋体" w:cs="宋体"/>
          <w:color w:val="auto"/>
          <w:w w:val="80"/>
          <w:sz w:val="44"/>
          <w:szCs w:val="44"/>
          <w:highlight w:val="none"/>
          <w:lang w:eastAsia="zh-CN"/>
        </w:rPr>
      </w:pPr>
      <w:r>
        <w:rPr>
          <w:rFonts w:hint="eastAsia" w:ascii="宋体" w:hAnsi="宋体" w:eastAsia="宋体" w:cs="宋体"/>
          <w:color w:val="auto"/>
          <w:w w:val="80"/>
          <w:sz w:val="44"/>
          <w:szCs w:val="44"/>
          <w:highlight w:val="none"/>
          <w:lang w:eastAsia="zh-CN"/>
        </w:rPr>
        <w:t>采购代理机构：江苏希地丰华项目管理集团有限公司</w:t>
      </w:r>
    </w:p>
    <w:p>
      <w:pPr>
        <w:tabs>
          <w:tab w:val="left" w:pos="6430"/>
        </w:tabs>
        <w:jc w:val="center"/>
        <w:rPr>
          <w:rFonts w:hint="eastAsia" w:ascii="宋体" w:hAnsi="宋体" w:eastAsia="宋体" w:cs="宋体"/>
          <w:color w:val="auto"/>
          <w:w w:val="80"/>
          <w:sz w:val="44"/>
          <w:szCs w:val="44"/>
          <w:highlight w:val="none"/>
          <w:lang w:eastAsia="zh-CN"/>
        </w:rPr>
      </w:pPr>
      <w:r>
        <w:rPr>
          <w:rFonts w:hint="eastAsia" w:ascii="宋体" w:hAnsi="宋体" w:eastAsia="宋体" w:cs="宋体"/>
          <w:color w:val="auto"/>
          <w:w w:val="80"/>
          <w:sz w:val="44"/>
          <w:szCs w:val="44"/>
          <w:highlight w:val="none"/>
          <w:lang w:eastAsia="zh-CN"/>
        </w:rPr>
        <w:t>二〇二二年三月</w:t>
      </w:r>
      <w:r>
        <w:rPr>
          <w:rFonts w:hint="eastAsia" w:ascii="宋体" w:hAnsi="宋体" w:eastAsia="宋体" w:cs="宋体"/>
          <w:color w:val="auto"/>
          <w:w w:val="80"/>
          <w:sz w:val="44"/>
          <w:szCs w:val="44"/>
          <w:highlight w:val="none"/>
          <w:lang w:val="en-US" w:eastAsia="zh-CN"/>
        </w:rPr>
        <w:t>二十八</w:t>
      </w:r>
      <w:r>
        <w:rPr>
          <w:rFonts w:hint="eastAsia" w:ascii="宋体" w:hAnsi="宋体" w:eastAsia="宋体" w:cs="宋体"/>
          <w:color w:val="auto"/>
          <w:w w:val="80"/>
          <w:sz w:val="44"/>
          <w:szCs w:val="44"/>
          <w:highlight w:val="none"/>
          <w:lang w:eastAsia="zh-CN"/>
        </w:rPr>
        <w:t>日</w:t>
      </w:r>
    </w:p>
    <w:p>
      <w:pPr>
        <w:tabs>
          <w:tab w:val="left" w:pos="1050"/>
          <w:tab w:val="right" w:leader="dot" w:pos="9402"/>
        </w:tabs>
        <w:spacing w:line="520" w:lineRule="exact"/>
        <w:jc w:val="center"/>
        <w:rPr>
          <w:rFonts w:hint="eastAsia" w:ascii="宋体" w:hAnsi="宋体" w:eastAsia="宋体" w:cs="宋体"/>
          <w:color w:val="auto"/>
          <w:w w:val="80"/>
          <w:sz w:val="32"/>
          <w:szCs w:val="32"/>
          <w:highlight w:val="none"/>
        </w:rPr>
      </w:pPr>
    </w:p>
    <w:p>
      <w:pPr>
        <w:tabs>
          <w:tab w:val="left" w:pos="1050"/>
          <w:tab w:val="right" w:leader="dot" w:pos="9402"/>
        </w:tabs>
        <w:spacing w:line="520" w:lineRule="exact"/>
        <w:jc w:val="center"/>
        <w:rPr>
          <w:rFonts w:hint="eastAsia" w:ascii="宋体" w:hAnsi="宋体" w:eastAsia="宋体" w:cs="宋体"/>
          <w:color w:val="auto"/>
          <w:w w:val="80"/>
          <w:sz w:val="32"/>
          <w:szCs w:val="32"/>
          <w:highlight w:val="none"/>
        </w:rPr>
      </w:pPr>
    </w:p>
    <w:p>
      <w:pPr>
        <w:tabs>
          <w:tab w:val="left" w:pos="1050"/>
          <w:tab w:val="right" w:leader="dot" w:pos="9402"/>
        </w:tabs>
        <w:spacing w:line="520" w:lineRule="exact"/>
        <w:jc w:val="center"/>
        <w:rPr>
          <w:rFonts w:hint="eastAsia" w:ascii="宋体" w:hAnsi="宋体" w:eastAsia="宋体" w:cs="宋体"/>
          <w:color w:val="auto"/>
          <w:w w:val="80"/>
          <w:sz w:val="32"/>
          <w:szCs w:val="32"/>
          <w:highlight w:val="none"/>
        </w:rPr>
      </w:pPr>
    </w:p>
    <w:p>
      <w:pPr>
        <w:tabs>
          <w:tab w:val="left" w:pos="1050"/>
          <w:tab w:val="right" w:leader="dot" w:pos="9402"/>
        </w:tabs>
        <w:spacing w:line="520" w:lineRule="exact"/>
        <w:jc w:val="center"/>
        <w:rPr>
          <w:rFonts w:hint="eastAsia" w:ascii="宋体" w:hAnsi="宋体" w:eastAsia="宋体" w:cs="宋体"/>
          <w:color w:val="auto"/>
          <w:w w:val="80"/>
          <w:sz w:val="32"/>
          <w:szCs w:val="32"/>
          <w:highlight w:val="none"/>
        </w:rPr>
      </w:pPr>
    </w:p>
    <w:p>
      <w:pPr>
        <w:tabs>
          <w:tab w:val="left" w:pos="1050"/>
          <w:tab w:val="right" w:leader="dot" w:pos="9402"/>
        </w:tabs>
        <w:spacing w:line="520" w:lineRule="exact"/>
        <w:jc w:val="center"/>
        <w:rPr>
          <w:rFonts w:hint="eastAsia" w:ascii="宋体" w:hAnsi="宋体" w:eastAsia="宋体" w:cs="宋体"/>
          <w:color w:val="auto"/>
          <w:w w:val="80"/>
          <w:sz w:val="32"/>
          <w:szCs w:val="32"/>
          <w:highlight w:val="none"/>
        </w:rPr>
      </w:pPr>
    </w:p>
    <w:p>
      <w:pPr>
        <w:tabs>
          <w:tab w:val="left" w:pos="1050"/>
          <w:tab w:val="right" w:leader="dot" w:pos="9402"/>
        </w:tabs>
        <w:spacing w:line="520" w:lineRule="exact"/>
        <w:jc w:val="center"/>
        <w:outlineLvl w:val="0"/>
        <w:rPr>
          <w:rFonts w:hint="eastAsia" w:ascii="宋体" w:hAnsi="宋体" w:eastAsia="宋体" w:cs="宋体"/>
          <w:b/>
          <w:bCs/>
          <w:color w:val="auto"/>
          <w:w w:val="80"/>
          <w:sz w:val="44"/>
          <w:szCs w:val="44"/>
          <w:highlight w:val="none"/>
        </w:rPr>
      </w:pPr>
      <w:r>
        <w:rPr>
          <w:rFonts w:hint="eastAsia" w:ascii="宋体" w:hAnsi="宋体" w:eastAsia="宋体" w:cs="宋体"/>
          <w:b/>
          <w:bCs/>
          <w:color w:val="auto"/>
          <w:w w:val="80"/>
          <w:sz w:val="44"/>
          <w:szCs w:val="44"/>
          <w:highlight w:val="none"/>
        </w:rPr>
        <w:t>目  录</w:t>
      </w:r>
    </w:p>
    <w:p>
      <w:pPr>
        <w:tabs>
          <w:tab w:val="right" w:leader="dot" w:pos="9072"/>
        </w:tabs>
        <w:adjustRightInd w:val="0"/>
        <w:spacing w:line="1200" w:lineRule="exact"/>
        <w:ind w:right="-2"/>
        <w:jc w:val="center"/>
        <w:textAlignment w:val="baseline"/>
        <w:rPr>
          <w:rFonts w:hint="eastAsia" w:ascii="宋体" w:hAnsi="宋体" w:eastAsia="宋体" w:cs="宋体"/>
          <w:color w:val="auto"/>
          <w:w w:val="80"/>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TOC \o "1-1"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color w:val="auto"/>
          <w:sz w:val="28"/>
          <w:szCs w:val="28"/>
          <w:highlight w:val="none"/>
        </w:rPr>
        <w:t>第一章竞争性磋商公告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3</w:t>
      </w:r>
    </w:p>
    <w:p>
      <w:pPr>
        <w:tabs>
          <w:tab w:val="right" w:leader="dot" w:pos="9072"/>
        </w:tabs>
        <w:adjustRightInd w:val="0"/>
        <w:spacing w:line="1200" w:lineRule="exact"/>
        <w:ind w:right="-2"/>
        <w:jc w:val="center"/>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第二章竞争性磋商响应供应商须知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5</w:t>
      </w:r>
    </w:p>
    <w:p>
      <w:pPr>
        <w:tabs>
          <w:tab w:val="right" w:leader="dot" w:pos="9072"/>
        </w:tabs>
        <w:adjustRightInd w:val="0"/>
        <w:spacing w:line="1200" w:lineRule="exact"/>
        <w:ind w:right="-2"/>
        <w:jc w:val="center"/>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第三章项目需求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11</w:t>
      </w:r>
    </w:p>
    <w:p>
      <w:pPr>
        <w:tabs>
          <w:tab w:val="right" w:leader="dot" w:pos="9072"/>
        </w:tabs>
        <w:adjustRightInd w:val="0"/>
        <w:spacing w:line="1200" w:lineRule="exact"/>
        <w:ind w:right="-2"/>
        <w:jc w:val="center"/>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第四章评审程序和方法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15</w:t>
      </w:r>
    </w:p>
    <w:p>
      <w:pPr>
        <w:tabs>
          <w:tab w:val="right" w:leader="dot" w:pos="9072"/>
        </w:tabs>
        <w:adjustRightInd w:val="0"/>
        <w:spacing w:line="1200" w:lineRule="exact"/>
        <w:ind w:right="-2"/>
        <w:jc w:val="center"/>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第五章合同主要条款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28</w:t>
      </w:r>
    </w:p>
    <w:p>
      <w:pPr>
        <w:tabs>
          <w:tab w:val="right" w:leader="dot" w:pos="9072"/>
        </w:tabs>
        <w:adjustRightInd w:val="0"/>
        <w:spacing w:line="1200" w:lineRule="exact"/>
        <w:ind w:right="-2"/>
        <w:jc w:val="center"/>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第六章合同授予</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33</w:t>
      </w:r>
    </w:p>
    <w:p>
      <w:pPr>
        <w:tabs>
          <w:tab w:val="right" w:leader="dot" w:pos="9072"/>
        </w:tabs>
        <w:adjustRightInd w:val="0"/>
        <w:spacing w:line="1200" w:lineRule="exact"/>
        <w:ind w:right="-2"/>
        <w:jc w:val="center"/>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第七章质疑与投诉</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34</w:t>
      </w:r>
    </w:p>
    <w:p>
      <w:pPr>
        <w:tabs>
          <w:tab w:val="right" w:leader="dot" w:pos="9072"/>
        </w:tabs>
        <w:adjustRightInd w:val="0"/>
        <w:spacing w:line="1200" w:lineRule="exact"/>
        <w:ind w:right="-2"/>
        <w:jc w:val="center"/>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第八章竞争性磋商响应文件组成及格式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37</w:t>
      </w:r>
    </w:p>
    <w:p>
      <w:pPr>
        <w:spacing w:line="420" w:lineRule="exact"/>
        <w:rPr>
          <w:rFonts w:hint="eastAsia" w:ascii="宋体" w:hAnsi="宋体" w:eastAsia="宋体" w:cs="宋体"/>
          <w:color w:val="auto"/>
          <w:kern w:val="0"/>
          <w:highlight w:val="none"/>
        </w:rPr>
      </w:pPr>
      <w:r>
        <w:rPr>
          <w:rFonts w:hint="eastAsia" w:ascii="宋体" w:hAnsi="宋体" w:eastAsia="宋体" w:cs="宋体"/>
          <w:b/>
          <w:bCs/>
          <w:color w:val="auto"/>
          <w:sz w:val="28"/>
          <w:szCs w:val="28"/>
          <w:highlight w:val="none"/>
        </w:rPr>
        <w:fldChar w:fldCharType="end"/>
      </w:r>
    </w:p>
    <w:p>
      <w:pPr>
        <w:spacing w:line="420" w:lineRule="exact"/>
        <w:rPr>
          <w:rFonts w:hint="eastAsia" w:ascii="宋体" w:hAnsi="宋体" w:eastAsia="宋体" w:cs="宋体"/>
          <w:color w:val="auto"/>
          <w:kern w:val="0"/>
          <w:highlight w:val="none"/>
        </w:rPr>
      </w:pPr>
    </w:p>
    <w:p>
      <w:pPr>
        <w:spacing w:line="420" w:lineRule="exact"/>
        <w:rPr>
          <w:rFonts w:hint="eastAsia" w:ascii="宋体" w:hAnsi="宋体" w:eastAsia="宋体" w:cs="宋体"/>
          <w:color w:val="auto"/>
          <w:kern w:val="0"/>
          <w:highlight w:val="none"/>
        </w:rPr>
      </w:pPr>
    </w:p>
    <w:p>
      <w:pPr>
        <w:spacing w:line="420" w:lineRule="exact"/>
        <w:rPr>
          <w:rFonts w:hint="eastAsia" w:ascii="宋体" w:hAnsi="宋体" w:eastAsia="宋体" w:cs="宋体"/>
          <w:color w:val="auto"/>
          <w:kern w:val="0"/>
          <w:highlight w:val="none"/>
        </w:rPr>
      </w:pPr>
    </w:p>
    <w:p>
      <w:pPr>
        <w:spacing w:line="420" w:lineRule="exact"/>
        <w:rPr>
          <w:rFonts w:hint="eastAsia" w:ascii="宋体" w:hAnsi="宋体" w:eastAsia="宋体" w:cs="宋体"/>
          <w:color w:val="auto"/>
          <w:kern w:val="0"/>
          <w:highlight w:val="none"/>
        </w:rPr>
      </w:pPr>
    </w:p>
    <w:p>
      <w:pPr>
        <w:spacing w:line="420" w:lineRule="exact"/>
        <w:rPr>
          <w:rFonts w:hint="eastAsia" w:ascii="宋体" w:hAnsi="宋体" w:eastAsia="宋体" w:cs="宋体"/>
          <w:color w:val="auto"/>
          <w:kern w:val="0"/>
          <w:highlight w:val="none"/>
        </w:rPr>
      </w:pPr>
    </w:p>
    <w:p>
      <w:pPr>
        <w:spacing w:line="420" w:lineRule="exact"/>
        <w:rPr>
          <w:rFonts w:hint="eastAsia" w:ascii="宋体" w:hAnsi="宋体" w:eastAsia="宋体" w:cs="宋体"/>
          <w:color w:val="auto"/>
          <w:kern w:val="0"/>
          <w:highlight w:val="none"/>
        </w:rPr>
      </w:pPr>
    </w:p>
    <w:p>
      <w:pPr>
        <w:spacing w:line="420" w:lineRule="exact"/>
        <w:rPr>
          <w:rFonts w:hint="eastAsia" w:ascii="宋体" w:hAnsi="宋体" w:eastAsia="宋体" w:cs="宋体"/>
          <w:color w:val="auto"/>
          <w:kern w:val="0"/>
          <w:highlight w:val="none"/>
        </w:rPr>
      </w:pPr>
    </w:p>
    <w:p>
      <w:pPr>
        <w:spacing w:line="420" w:lineRule="exact"/>
        <w:rPr>
          <w:rFonts w:hint="eastAsia" w:ascii="宋体" w:hAnsi="宋体" w:eastAsia="宋体" w:cs="宋体"/>
          <w:color w:val="auto"/>
          <w:kern w:val="0"/>
          <w:highlight w:val="none"/>
        </w:rPr>
      </w:pPr>
    </w:p>
    <w:p>
      <w:pPr>
        <w:spacing w:line="420" w:lineRule="exact"/>
        <w:rPr>
          <w:rFonts w:hint="eastAsia" w:ascii="宋体" w:hAnsi="宋体" w:eastAsia="宋体" w:cs="宋体"/>
          <w:color w:val="auto"/>
          <w:kern w:val="0"/>
          <w:highlight w:val="none"/>
        </w:rPr>
      </w:pPr>
    </w:p>
    <w:p>
      <w:pPr>
        <w:snapToGrid w:val="0"/>
        <w:spacing w:line="36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尊敬的竞争性磋商响应供应商：</w:t>
      </w:r>
    </w:p>
    <w:p>
      <w:pPr>
        <w:snapToGrid w:val="0"/>
        <w:spacing w:line="36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欢迎参加本项目竞争性磋商采购活动。为了保证本项目竞争性磋商采购活动的顺利进行，请在制作竞争性磋商响应文件之前，仔细阅读本竞争性磋商文件的各项条款，并按要求制作和提交竞争性磋商响应文件。谢谢合作！</w:t>
      </w:r>
    </w:p>
    <w:p>
      <w:pPr>
        <w:tabs>
          <w:tab w:val="left" w:pos="1050"/>
          <w:tab w:val="right" w:leader="dot" w:pos="9402"/>
        </w:tabs>
        <w:spacing w:before="156" w:beforeLines="50" w:after="156" w:afterLines="50" w:line="600" w:lineRule="exact"/>
        <w:jc w:val="center"/>
        <w:outlineLvl w:val="0"/>
        <w:rPr>
          <w:rFonts w:hint="eastAsia" w:ascii="宋体" w:hAnsi="宋体" w:eastAsia="宋体" w:cs="宋体"/>
          <w:b/>
          <w:bCs/>
          <w:color w:val="auto"/>
          <w:w w:val="80"/>
          <w:sz w:val="36"/>
          <w:szCs w:val="36"/>
          <w:highlight w:val="none"/>
        </w:rPr>
      </w:pPr>
      <w:bookmarkStart w:id="0" w:name="_Toc363573853"/>
      <w:r>
        <w:rPr>
          <w:rFonts w:hint="eastAsia" w:ascii="宋体" w:hAnsi="宋体" w:eastAsia="宋体" w:cs="宋体"/>
          <w:b/>
          <w:bCs/>
          <w:color w:val="auto"/>
          <w:w w:val="80"/>
          <w:sz w:val="36"/>
          <w:szCs w:val="36"/>
          <w:highlight w:val="none"/>
        </w:rPr>
        <w:t>第一章</w:t>
      </w:r>
      <w:bookmarkEnd w:id="0"/>
      <w:r>
        <w:rPr>
          <w:rFonts w:hint="eastAsia" w:ascii="宋体" w:hAnsi="宋体" w:eastAsia="宋体" w:cs="宋体"/>
          <w:b/>
          <w:bCs/>
          <w:color w:val="auto"/>
          <w:w w:val="80"/>
          <w:sz w:val="36"/>
          <w:szCs w:val="36"/>
          <w:highlight w:val="none"/>
        </w:rPr>
        <w:t xml:space="preserve">  竞争性磋商公告</w:t>
      </w:r>
    </w:p>
    <w:p>
      <w:pPr>
        <w:pBdr>
          <w:top w:val="single" w:color="auto" w:sz="4" w:space="1"/>
          <w:left w:val="single" w:color="auto" w:sz="4" w:space="4"/>
          <w:bottom w:val="single" w:color="auto" w:sz="4" w:space="10"/>
          <w:right w:val="single" w:color="auto" w:sz="4" w:space="0"/>
        </w:pBdr>
        <w:spacing w:line="420" w:lineRule="exact"/>
        <w:ind w:firstLine="480" w:firstLineChars="200"/>
        <w:rPr>
          <w:rFonts w:hint="eastAsia" w:ascii="宋体" w:hAnsi="宋体" w:eastAsia="宋体" w:cs="宋体"/>
          <w:b w:val="0"/>
          <w:bCs w:val="0"/>
          <w:color w:val="auto"/>
          <w:highlight w:val="none"/>
        </w:rPr>
      </w:pPr>
      <w:bookmarkStart w:id="1" w:name="_Hlk67480463"/>
      <w:bookmarkStart w:id="2" w:name="_Hlk80647832"/>
      <w:bookmarkStart w:id="3" w:name="_Hlk22000923"/>
      <w:bookmarkStart w:id="4" w:name="_Hlk46362535"/>
      <w:bookmarkStart w:id="5" w:name="_Hlk47464923"/>
      <w:bookmarkStart w:id="6" w:name="_Hlk88166259"/>
      <w:bookmarkStart w:id="7" w:name="_Hlk95273545"/>
      <w:bookmarkStart w:id="8" w:name="_Hlk23325252"/>
      <w:r>
        <w:rPr>
          <w:rFonts w:hint="eastAsia" w:ascii="宋体" w:hAnsi="宋体" w:eastAsia="宋体" w:cs="宋体"/>
          <w:b w:val="0"/>
          <w:bCs w:val="0"/>
          <w:color w:val="auto"/>
          <w:highlight w:val="none"/>
        </w:rPr>
        <w:t>项目概况</w:t>
      </w:r>
    </w:p>
    <w:p>
      <w:pPr>
        <w:pBdr>
          <w:top w:val="single" w:color="auto" w:sz="4" w:space="1"/>
          <w:left w:val="single" w:color="auto" w:sz="4" w:space="4"/>
          <w:bottom w:val="single" w:color="auto" w:sz="4" w:space="10"/>
          <w:right w:val="single" w:color="auto" w:sz="4" w:space="0"/>
        </w:pBdr>
        <w:spacing w:line="420" w:lineRule="exact"/>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u w:val="single"/>
          <w:lang w:eastAsia="zh-CN"/>
        </w:rPr>
        <w:t>城港路56号配电间低压改造项目</w:t>
      </w:r>
      <w:r>
        <w:rPr>
          <w:rFonts w:hint="eastAsia" w:ascii="宋体" w:hAnsi="宋体" w:eastAsia="宋体" w:cs="宋体"/>
          <w:b w:val="0"/>
          <w:bCs w:val="0"/>
          <w:color w:val="auto"/>
          <w:highlight w:val="none"/>
        </w:rPr>
        <w:t>的潜在供应商应在</w:t>
      </w:r>
      <w:r>
        <w:rPr>
          <w:rFonts w:hint="eastAsia" w:ascii="宋体" w:hAnsi="宋体" w:eastAsia="宋体" w:cs="宋体"/>
          <w:b w:val="0"/>
          <w:bCs w:val="0"/>
          <w:color w:val="auto"/>
          <w:highlight w:val="none"/>
          <w:u w:val="single"/>
        </w:rPr>
        <w:t>“南通市崇川区人民政府网→我要看→公示公告栏”栏内</w:t>
      </w:r>
      <w:r>
        <w:rPr>
          <w:rFonts w:hint="eastAsia" w:ascii="宋体" w:hAnsi="宋体" w:eastAsia="宋体" w:cs="宋体"/>
          <w:b w:val="0"/>
          <w:bCs w:val="0"/>
          <w:color w:val="auto"/>
          <w:highlight w:val="none"/>
        </w:rPr>
        <w:t>获取采购文件，并于</w:t>
      </w:r>
      <w:r>
        <w:rPr>
          <w:rFonts w:hint="eastAsia" w:ascii="宋体" w:hAnsi="宋体" w:eastAsia="宋体" w:cs="宋体"/>
          <w:b/>
          <w:bCs/>
          <w:color w:val="auto"/>
          <w:highlight w:val="none"/>
          <w:u w:val="thick" w:color="FF0000"/>
        </w:rPr>
        <w:t>2022年</w:t>
      </w:r>
      <w:r>
        <w:rPr>
          <w:rFonts w:hint="eastAsia" w:ascii="宋体" w:hAnsi="宋体" w:eastAsia="宋体" w:cs="宋体"/>
          <w:b/>
          <w:bCs/>
          <w:color w:val="auto"/>
          <w:highlight w:val="none"/>
          <w:u w:val="thick" w:color="FF0000"/>
          <w:lang w:val="en-US" w:eastAsia="zh-CN"/>
        </w:rPr>
        <w:t>3</w:t>
      </w:r>
      <w:r>
        <w:rPr>
          <w:rFonts w:hint="eastAsia" w:ascii="宋体" w:hAnsi="宋体" w:eastAsia="宋体" w:cs="宋体"/>
          <w:b/>
          <w:bCs/>
          <w:color w:val="auto"/>
          <w:highlight w:val="none"/>
          <w:u w:val="thick" w:color="FF0000"/>
        </w:rPr>
        <w:t>月</w:t>
      </w:r>
      <w:r>
        <w:rPr>
          <w:rFonts w:hint="eastAsia" w:ascii="宋体" w:hAnsi="宋体" w:eastAsia="宋体" w:cs="宋体"/>
          <w:b/>
          <w:bCs/>
          <w:color w:val="auto"/>
          <w:highlight w:val="none"/>
          <w:u w:val="thick" w:color="FF0000"/>
          <w:lang w:val="en-US" w:eastAsia="zh-CN"/>
        </w:rPr>
        <w:t>28</w:t>
      </w:r>
      <w:r>
        <w:rPr>
          <w:rFonts w:hint="eastAsia" w:ascii="宋体" w:hAnsi="宋体" w:eastAsia="宋体" w:cs="宋体"/>
          <w:b/>
          <w:bCs/>
          <w:color w:val="auto"/>
          <w:highlight w:val="none"/>
          <w:u w:val="thick" w:color="FF0000"/>
        </w:rPr>
        <w:t>日至2022年</w:t>
      </w:r>
      <w:r>
        <w:rPr>
          <w:rFonts w:hint="eastAsia" w:ascii="宋体" w:hAnsi="宋体" w:eastAsia="宋体" w:cs="宋体"/>
          <w:b/>
          <w:bCs/>
          <w:color w:val="auto"/>
          <w:highlight w:val="none"/>
          <w:u w:val="thick" w:color="FF0000"/>
          <w:lang w:val="en-US" w:eastAsia="zh-CN"/>
        </w:rPr>
        <w:t>4</w:t>
      </w:r>
      <w:r>
        <w:rPr>
          <w:rFonts w:hint="eastAsia" w:ascii="宋体" w:hAnsi="宋体" w:eastAsia="宋体" w:cs="宋体"/>
          <w:b/>
          <w:bCs/>
          <w:color w:val="auto"/>
          <w:highlight w:val="none"/>
          <w:u w:val="thick" w:color="FF0000"/>
        </w:rPr>
        <w:t>月</w:t>
      </w:r>
      <w:r>
        <w:rPr>
          <w:rFonts w:hint="eastAsia" w:ascii="宋体" w:hAnsi="宋体" w:eastAsia="宋体" w:cs="宋体"/>
          <w:b/>
          <w:bCs/>
          <w:color w:val="auto"/>
          <w:highlight w:val="none"/>
          <w:u w:val="thick" w:color="FF0000"/>
          <w:lang w:val="en-US" w:eastAsia="zh-CN"/>
        </w:rPr>
        <w:t>11</w:t>
      </w:r>
      <w:r>
        <w:rPr>
          <w:rFonts w:hint="eastAsia" w:ascii="宋体" w:hAnsi="宋体" w:eastAsia="宋体" w:cs="宋体"/>
          <w:b/>
          <w:bCs/>
          <w:color w:val="auto"/>
          <w:highlight w:val="none"/>
          <w:u w:val="thick" w:color="FF0000"/>
        </w:rPr>
        <w:t>日</w:t>
      </w:r>
      <w:r>
        <w:rPr>
          <w:rFonts w:hint="eastAsia" w:ascii="宋体" w:hAnsi="宋体" w:eastAsia="宋体" w:cs="宋体"/>
          <w:b/>
          <w:bCs/>
          <w:color w:val="auto"/>
          <w:highlight w:val="none"/>
          <w:u w:val="thick" w:color="FF0000"/>
          <w:lang w:val="en-US" w:eastAsia="zh-CN"/>
        </w:rPr>
        <w:t>9</w:t>
      </w:r>
      <w:r>
        <w:rPr>
          <w:rFonts w:hint="eastAsia" w:ascii="宋体" w:hAnsi="宋体" w:eastAsia="宋体" w:cs="宋体"/>
          <w:b/>
          <w:bCs/>
          <w:color w:val="auto"/>
          <w:highlight w:val="none"/>
          <w:u w:val="thick" w:color="FF0000"/>
        </w:rPr>
        <w:t>时</w:t>
      </w:r>
      <w:r>
        <w:rPr>
          <w:rFonts w:hint="eastAsia" w:ascii="宋体" w:hAnsi="宋体" w:eastAsia="宋体" w:cs="宋体"/>
          <w:b/>
          <w:bCs/>
          <w:color w:val="auto"/>
          <w:highlight w:val="none"/>
          <w:u w:val="thick" w:color="FF0000"/>
          <w:lang w:val="en-US" w:eastAsia="zh-CN"/>
        </w:rPr>
        <w:t>30分</w:t>
      </w:r>
      <w:r>
        <w:rPr>
          <w:rFonts w:hint="eastAsia" w:ascii="宋体" w:hAnsi="宋体" w:eastAsia="宋体" w:cs="宋体"/>
          <w:b w:val="0"/>
          <w:bCs w:val="0"/>
          <w:color w:val="auto"/>
          <w:highlight w:val="none"/>
        </w:rPr>
        <w:t>（北京时间，以下相同。）提交竞争性磋商响应文件。</w:t>
      </w:r>
    </w:p>
    <w:bookmarkEnd w:id="1"/>
    <w:p>
      <w:pPr>
        <w:snapToGrid w:val="0"/>
        <w:spacing w:line="420" w:lineRule="exact"/>
        <w:ind w:left="-2" w:leftChars="-1" w:firstLine="431"/>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江苏希地丰华项目管理集团有限公司</w:t>
      </w:r>
      <w:r>
        <w:rPr>
          <w:rFonts w:hint="eastAsia" w:ascii="宋体" w:hAnsi="宋体" w:eastAsia="宋体" w:cs="宋体"/>
          <w:b w:val="0"/>
          <w:bCs w:val="0"/>
          <w:color w:val="auto"/>
          <w:highlight w:val="none"/>
        </w:rPr>
        <w:t>（以下称采购代理机构）受</w:t>
      </w:r>
      <w:r>
        <w:rPr>
          <w:rFonts w:hint="eastAsia" w:ascii="宋体" w:hAnsi="宋体" w:eastAsia="宋体" w:cs="宋体"/>
          <w:b w:val="0"/>
          <w:bCs w:val="0"/>
          <w:color w:val="auto"/>
          <w:highlight w:val="none"/>
          <w:lang w:eastAsia="zh-CN"/>
        </w:rPr>
        <w:t>南通市崇川区机关事务服务中心</w:t>
      </w:r>
      <w:r>
        <w:rPr>
          <w:rFonts w:hint="eastAsia" w:ascii="宋体" w:hAnsi="宋体" w:eastAsia="宋体" w:cs="宋体"/>
          <w:b w:val="0"/>
          <w:bCs w:val="0"/>
          <w:color w:val="auto"/>
          <w:highlight w:val="none"/>
        </w:rPr>
        <w:t>（以下称采购人）的委托，就</w:t>
      </w:r>
      <w:r>
        <w:rPr>
          <w:rFonts w:hint="eastAsia" w:ascii="宋体" w:hAnsi="宋体" w:eastAsia="宋体" w:cs="宋体"/>
          <w:b w:val="0"/>
          <w:bCs w:val="0"/>
          <w:color w:val="auto"/>
          <w:highlight w:val="none"/>
          <w:lang w:eastAsia="zh-CN"/>
        </w:rPr>
        <w:t>城港路56号配电间低压改造项目</w:t>
      </w:r>
      <w:r>
        <w:rPr>
          <w:rFonts w:hint="eastAsia" w:ascii="宋体" w:hAnsi="宋体" w:eastAsia="宋体" w:cs="宋体"/>
          <w:b w:val="0"/>
          <w:bCs w:val="0"/>
          <w:color w:val="auto"/>
          <w:highlight w:val="none"/>
        </w:rPr>
        <w:t>组织竞争性磋商采购，诚邀符合资格条件的潜在供应商参加竞争性磋商响应。</w:t>
      </w:r>
    </w:p>
    <w:p>
      <w:pPr>
        <w:snapToGrid w:val="0"/>
        <w:spacing w:line="420" w:lineRule="exact"/>
        <w:ind w:left="-2" w:leftChars="-1" w:firstLine="431"/>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一、项目基本情况：</w:t>
      </w:r>
    </w:p>
    <w:p>
      <w:pPr>
        <w:snapToGrid w:val="0"/>
        <w:spacing w:line="420" w:lineRule="exact"/>
        <w:ind w:left="-2" w:leftChars="-1" w:firstLine="42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城港路56号配电间低压改造项目</w:t>
      </w:r>
      <w:r>
        <w:rPr>
          <w:rFonts w:hint="eastAsia" w:ascii="宋体" w:hAnsi="宋体" w:eastAsia="宋体" w:cs="宋体"/>
          <w:color w:val="auto"/>
          <w:highlight w:val="none"/>
        </w:rPr>
        <w:t>；</w:t>
      </w:r>
    </w:p>
    <w:p>
      <w:pPr>
        <w:snapToGrid w:val="0"/>
        <w:spacing w:line="420" w:lineRule="exact"/>
        <w:ind w:left="-2" w:leftChars="-1" w:firstLine="42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.采购方式：竞争性磋商；</w:t>
      </w:r>
    </w:p>
    <w:p>
      <w:pPr>
        <w:snapToGrid w:val="0"/>
        <w:spacing w:line="420" w:lineRule="exact"/>
        <w:ind w:left="-2" w:leftChars="-1" w:firstLine="42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.项目预算：</w:t>
      </w:r>
      <w:bookmarkStart w:id="9" w:name="_Hlk95267797"/>
      <w:r>
        <w:rPr>
          <w:rFonts w:hint="eastAsia" w:ascii="宋体" w:hAnsi="宋体" w:eastAsia="宋体" w:cs="宋体"/>
          <w:color w:val="auto"/>
          <w:highlight w:val="none"/>
          <w:lang w:val="en-US" w:eastAsia="zh-CN"/>
        </w:rPr>
        <w:t>23.5万元</w:t>
      </w:r>
      <w:r>
        <w:rPr>
          <w:rFonts w:hint="eastAsia" w:ascii="宋体" w:hAnsi="宋体" w:eastAsia="宋体" w:cs="宋体"/>
          <w:color w:val="auto"/>
          <w:highlight w:val="none"/>
        </w:rPr>
        <w:t>；</w:t>
      </w:r>
      <w:bookmarkEnd w:id="9"/>
    </w:p>
    <w:p>
      <w:pPr>
        <w:snapToGrid w:val="0"/>
        <w:spacing w:line="420" w:lineRule="exact"/>
        <w:ind w:left="-2" w:leftChars="-1" w:firstLine="42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.最高限价：</w:t>
      </w:r>
      <w:r>
        <w:rPr>
          <w:rFonts w:hint="eastAsia" w:ascii="宋体" w:hAnsi="宋体" w:eastAsia="宋体" w:cs="宋体"/>
          <w:color w:val="auto"/>
          <w:highlight w:val="none"/>
          <w:lang w:val="en-US" w:eastAsia="zh-CN"/>
        </w:rPr>
        <w:t>23.5万元</w:t>
      </w:r>
      <w:r>
        <w:rPr>
          <w:rFonts w:hint="eastAsia" w:ascii="宋体" w:hAnsi="宋体" w:eastAsia="宋体" w:cs="宋体"/>
          <w:color w:val="auto"/>
          <w:highlight w:val="none"/>
        </w:rPr>
        <w:t>；</w:t>
      </w:r>
    </w:p>
    <w:p>
      <w:pPr>
        <w:snapToGrid w:val="0"/>
        <w:spacing w:line="420" w:lineRule="exact"/>
        <w:ind w:left="-2" w:leftChars="-1" w:firstLine="42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.采购需求：具体需求详见竞争性磋商文件第三章；</w:t>
      </w:r>
    </w:p>
    <w:p>
      <w:pPr>
        <w:snapToGrid w:val="0"/>
        <w:spacing w:line="420" w:lineRule="exact"/>
        <w:ind w:left="-2" w:leftChars="-1" w:firstLine="429"/>
        <w:rPr>
          <w:rFonts w:hint="eastAsia" w:ascii="宋体" w:hAnsi="宋体" w:eastAsia="宋体" w:cs="宋体"/>
          <w:b/>
          <w:bCs/>
          <w:color w:val="auto"/>
          <w:highlight w:val="none"/>
          <w:lang w:eastAsia="zh-CN"/>
        </w:rPr>
      </w:pPr>
      <w:bookmarkStart w:id="10" w:name="_Hlk67482895"/>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bookmarkStart w:id="11" w:name="_Hlk89364258"/>
      <w:r>
        <w:rPr>
          <w:rFonts w:hint="eastAsia" w:ascii="宋体" w:hAnsi="宋体" w:eastAsia="宋体" w:cs="宋体"/>
          <w:color w:val="auto"/>
          <w:highlight w:val="none"/>
        </w:rPr>
        <w:t>合同履约期限：</w:t>
      </w:r>
      <w:bookmarkStart w:id="12" w:name="_Hlk89362013"/>
      <w:r>
        <w:rPr>
          <w:rFonts w:hint="eastAsia" w:ascii="宋体" w:hAnsi="宋体" w:eastAsia="宋体" w:cs="宋体"/>
          <w:color w:val="auto"/>
          <w:highlight w:val="none"/>
        </w:rPr>
        <w:t>自</w:t>
      </w:r>
      <w:r>
        <w:rPr>
          <w:rFonts w:hint="eastAsia" w:ascii="宋体" w:hAnsi="宋体" w:eastAsia="宋体" w:cs="宋体"/>
          <w:color w:val="auto"/>
          <w:highlight w:val="none"/>
          <w:lang w:val="en-US" w:eastAsia="zh-CN"/>
        </w:rPr>
        <w:t>合同签订之日起3</w:t>
      </w:r>
      <w:r>
        <w:rPr>
          <w:rFonts w:hint="eastAsia" w:ascii="宋体" w:hAnsi="宋体" w:eastAsia="宋体" w:cs="宋体"/>
          <w:color w:val="auto"/>
          <w:highlight w:val="none"/>
        </w:rPr>
        <w:t>0日历天内完成改造并通过验收</w:t>
      </w:r>
      <w:bookmarkEnd w:id="11"/>
      <w:bookmarkEnd w:id="12"/>
      <w:r>
        <w:rPr>
          <w:rFonts w:hint="eastAsia" w:ascii="宋体" w:hAnsi="宋体" w:eastAsia="宋体" w:cs="宋体"/>
          <w:color w:val="auto"/>
          <w:highlight w:val="none"/>
          <w:lang w:eastAsia="zh-CN"/>
        </w:rPr>
        <w:t>；</w:t>
      </w:r>
    </w:p>
    <w:p>
      <w:pPr>
        <w:snapToGrid w:val="0"/>
        <w:spacing w:line="420" w:lineRule="exact"/>
        <w:ind w:left="-2" w:leftChars="-1" w:firstLine="43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.联合体：本项目不接受联合体。</w:t>
      </w:r>
    </w:p>
    <w:bookmarkEnd w:id="10"/>
    <w:p>
      <w:pPr>
        <w:snapToGrid w:val="0"/>
        <w:spacing w:line="420" w:lineRule="exact"/>
        <w:ind w:left="-2" w:leftChars="-1" w:firstLine="431"/>
        <w:outlineLvl w:val="1"/>
        <w:rPr>
          <w:rFonts w:hint="eastAsia" w:ascii="宋体" w:hAnsi="宋体" w:eastAsia="宋体" w:cs="宋体"/>
          <w:color w:val="auto"/>
          <w:highlight w:val="none"/>
        </w:rPr>
      </w:pPr>
      <w:r>
        <w:rPr>
          <w:rFonts w:hint="eastAsia" w:ascii="宋体" w:hAnsi="宋体" w:eastAsia="宋体" w:cs="宋体"/>
          <w:b/>
          <w:bCs/>
          <w:color w:val="auto"/>
          <w:highlight w:val="none"/>
        </w:rPr>
        <w:t>二、供应商的资格要求</w:t>
      </w:r>
    </w:p>
    <w:p>
      <w:pPr>
        <w:snapToGrid w:val="0"/>
        <w:spacing w:line="420" w:lineRule="exact"/>
        <w:ind w:left="-2" w:leftChars="-1" w:firstLine="429"/>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pPr>
        <w:snapToGrid w:val="0"/>
        <w:spacing w:line="420" w:lineRule="exact"/>
        <w:ind w:left="-2" w:leftChars="-1" w:firstLine="42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2.未被“信用中国”网站（www.creditchina.gov.cn）列入失信被执行人、重大税收违法案件当事人名单、政府采购严重失信行为记录名单；</w:t>
      </w:r>
    </w:p>
    <w:p>
      <w:pPr>
        <w:snapToGrid w:val="0"/>
        <w:spacing w:line="420" w:lineRule="exact"/>
        <w:ind w:left="-2" w:leftChars="-1" w:firstLine="42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.落实政府采购政策需满足的资格要求：无。</w:t>
      </w:r>
    </w:p>
    <w:p>
      <w:pPr>
        <w:snapToGrid w:val="0"/>
        <w:spacing w:line="420" w:lineRule="exact"/>
        <w:ind w:left="-2" w:leftChars="-1" w:firstLine="42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.本项目的特定资格要求：</w:t>
      </w:r>
    </w:p>
    <w:p>
      <w:pPr>
        <w:snapToGrid w:val="0"/>
        <w:spacing w:line="420" w:lineRule="exact"/>
        <w:ind w:left="-2" w:leftChars="-1" w:firstLine="429"/>
        <w:rPr>
          <w:rFonts w:hint="eastAsia" w:ascii="宋体" w:hAnsi="宋体" w:eastAsia="宋体" w:cs="宋体"/>
          <w:color w:val="auto"/>
          <w:highlight w:val="none"/>
          <w:lang w:val="zh-CN" w:eastAsia="zh-CN"/>
        </w:rPr>
      </w:pPr>
      <w:r>
        <w:rPr>
          <w:rFonts w:hint="default" w:ascii="宋体" w:hAnsi="宋体" w:eastAsia="宋体" w:cs="宋体"/>
          <w:color w:val="auto"/>
          <w:highlight w:val="none"/>
          <w:lang w:val="en-US" w:eastAsia="zh-CN"/>
        </w:rPr>
        <w:t>①</w:t>
      </w:r>
      <w:r>
        <w:rPr>
          <w:rFonts w:hint="eastAsia" w:ascii="宋体" w:hAnsi="宋体" w:eastAsia="宋体" w:cs="宋体"/>
          <w:color w:val="auto"/>
          <w:highlight w:val="none"/>
          <w:lang w:val="en-US" w:eastAsia="zh-CN"/>
        </w:rPr>
        <w:t>投标供应商具有有效的营业执照</w:t>
      </w:r>
      <w:r>
        <w:rPr>
          <w:rFonts w:hint="eastAsia" w:ascii="宋体" w:hAnsi="宋体" w:eastAsia="宋体" w:cs="宋体"/>
          <w:color w:val="auto"/>
          <w:highlight w:val="none"/>
          <w:lang w:val="zh-CN" w:eastAsia="zh-CN"/>
        </w:rPr>
        <w:t>。</w:t>
      </w:r>
    </w:p>
    <w:p>
      <w:pPr>
        <w:snapToGrid w:val="0"/>
        <w:spacing w:line="420" w:lineRule="exact"/>
        <w:ind w:left="-2" w:leftChars="-1" w:firstLine="429"/>
        <w:rPr>
          <w:rFonts w:hint="eastAsia" w:ascii="宋体" w:hAnsi="宋体" w:eastAsia="宋体" w:cs="宋体"/>
          <w:color w:val="auto"/>
          <w:highlight w:val="none"/>
          <w:lang w:val="zh-CN" w:eastAsia="zh-CN"/>
        </w:rPr>
      </w:pPr>
      <w:r>
        <w:rPr>
          <w:rFonts w:hint="default" w:ascii="宋体" w:hAnsi="宋体" w:eastAsia="宋体" w:cs="宋体"/>
          <w:color w:val="auto"/>
          <w:highlight w:val="none"/>
          <w:lang w:val="zh-CN" w:eastAsia="zh-CN"/>
        </w:rPr>
        <w:t>②</w:t>
      </w:r>
      <w:r>
        <w:rPr>
          <w:rFonts w:hint="eastAsia" w:ascii="宋体" w:hAnsi="宋体" w:eastAsia="宋体" w:cs="宋体"/>
          <w:color w:val="auto"/>
          <w:highlight w:val="none"/>
          <w:lang w:val="zh-CN" w:eastAsia="zh-CN"/>
        </w:rPr>
        <w:t>投标人须具备电力工程施工总承包三级及以上或输变电工程专业承包三级及以上资质，并同时具有承装（修、试）电力设施许可证五级及以上。</w:t>
      </w:r>
    </w:p>
    <w:p>
      <w:pPr>
        <w:snapToGrid w:val="0"/>
        <w:spacing w:line="420" w:lineRule="exact"/>
        <w:ind w:left="-2" w:leftChars="-1" w:firstLine="429"/>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备注：投标人必须进入《</w:t>
      </w:r>
      <w:r>
        <w:rPr>
          <w:rFonts w:hint="eastAsia" w:ascii="宋体" w:hAnsi="宋体" w:eastAsia="宋体" w:cs="宋体"/>
          <w:color w:val="auto"/>
          <w:highlight w:val="none"/>
          <w:lang w:val="en-US" w:eastAsia="zh-CN"/>
        </w:rPr>
        <w:t>国网江苏省电力有限公司南通供电分公司2020-2021年度10（20）KV业扩接入工程</w:t>
      </w:r>
      <w:r>
        <w:rPr>
          <w:rFonts w:hint="eastAsia" w:ascii="宋体" w:hAnsi="宋体" w:eastAsia="宋体" w:cs="宋体"/>
          <w:color w:val="auto"/>
          <w:highlight w:val="none"/>
          <w:lang w:val="zh-CN" w:eastAsia="zh-CN"/>
        </w:rPr>
        <w:t>》施工企业入围名单。</w:t>
      </w:r>
    </w:p>
    <w:p>
      <w:pPr>
        <w:snapToGrid w:val="0"/>
        <w:spacing w:line="420" w:lineRule="exact"/>
        <w:ind w:left="-2" w:leftChars="-1" w:firstLine="429"/>
        <w:rPr>
          <w:rFonts w:hint="eastAsia" w:ascii="宋体" w:hAnsi="宋体" w:eastAsia="宋体" w:cs="宋体"/>
          <w:color w:val="auto"/>
          <w:highlight w:val="none"/>
          <w:lang w:val="zh-CN" w:eastAsia="zh-CN"/>
        </w:rPr>
      </w:pPr>
      <w:r>
        <w:rPr>
          <w:rFonts w:hint="default" w:ascii="宋体" w:hAnsi="宋体" w:eastAsia="宋体" w:cs="宋体"/>
          <w:color w:val="auto"/>
          <w:highlight w:val="none"/>
          <w:lang w:val="zh-CN" w:eastAsia="zh-CN"/>
        </w:rPr>
        <w:t>③</w:t>
      </w:r>
      <w:r>
        <w:rPr>
          <w:rFonts w:hint="eastAsia" w:ascii="宋体" w:hAnsi="宋体" w:eastAsia="宋体" w:cs="宋体"/>
          <w:color w:val="auto"/>
          <w:highlight w:val="none"/>
          <w:lang w:val="zh-CN" w:eastAsia="zh-CN"/>
        </w:rPr>
        <w:t>拟派项目负责人须具备机电工程专业二级及以上注册建造师，同时具备B类安全考核证。</w:t>
      </w:r>
    </w:p>
    <w:p>
      <w:pPr>
        <w:snapToGrid w:val="0"/>
        <w:spacing w:line="420" w:lineRule="exact"/>
        <w:ind w:left="-2" w:leftChars="-1" w:firstLine="431"/>
        <w:outlineLvl w:val="1"/>
        <w:rPr>
          <w:rFonts w:hint="eastAsia" w:ascii="宋体" w:hAnsi="宋体" w:eastAsia="宋体" w:cs="宋体"/>
          <w:color w:val="auto"/>
          <w:kern w:val="0"/>
          <w:highlight w:val="none"/>
        </w:rPr>
      </w:pPr>
      <w:bookmarkStart w:id="13" w:name="_Hlk56731280"/>
      <w:r>
        <w:rPr>
          <w:rFonts w:hint="eastAsia" w:ascii="宋体" w:hAnsi="宋体" w:eastAsia="宋体" w:cs="宋体"/>
          <w:b/>
          <w:bCs/>
          <w:color w:val="auto"/>
          <w:highlight w:val="none"/>
        </w:rPr>
        <w:t>三、竞争性磋商文件的获取</w:t>
      </w:r>
    </w:p>
    <w:p>
      <w:pPr>
        <w:autoSpaceDE w:val="0"/>
        <w:autoSpaceDN w:val="0"/>
        <w:adjustRightInd w:val="0"/>
        <w:spacing w:line="420" w:lineRule="exact"/>
        <w:ind w:firstLine="429"/>
        <w:rPr>
          <w:rFonts w:hint="eastAsia" w:ascii="宋体" w:hAnsi="宋体" w:eastAsia="宋体" w:cs="宋体"/>
          <w:color w:val="auto"/>
          <w:kern w:val="0"/>
          <w:highlight w:val="none"/>
        </w:rPr>
      </w:pPr>
      <w:r>
        <w:rPr>
          <w:rFonts w:hint="eastAsia" w:ascii="宋体" w:hAnsi="宋体" w:eastAsia="宋体" w:cs="宋体"/>
          <w:color w:val="auto"/>
          <w:kern w:val="0"/>
          <w:highlight w:val="none"/>
        </w:rPr>
        <w:t>有意愿参与本项目竞争性磋商响应的供应商，请于本公告日起至开启截止时间前，到</w:t>
      </w:r>
      <w:r>
        <w:rPr>
          <w:rFonts w:hint="eastAsia" w:ascii="宋体" w:hAnsi="宋体" w:eastAsia="宋体" w:cs="宋体"/>
          <w:b/>
          <w:bCs/>
          <w:color w:val="auto"/>
          <w:kern w:val="0"/>
          <w:highlight w:val="none"/>
        </w:rPr>
        <w:t>“南通市崇川区人民政府网→我要看→公示公告栏”</w:t>
      </w:r>
      <w:r>
        <w:rPr>
          <w:rFonts w:hint="eastAsia" w:ascii="宋体" w:hAnsi="宋体" w:eastAsia="宋体" w:cs="宋体"/>
          <w:color w:val="auto"/>
          <w:kern w:val="0"/>
          <w:highlight w:val="none"/>
        </w:rPr>
        <w:t>栏内下载本项目竞争性磋商文件。</w:t>
      </w:r>
      <w:bookmarkEnd w:id="13"/>
    </w:p>
    <w:p>
      <w:pPr>
        <w:snapToGrid w:val="0"/>
        <w:spacing w:line="420" w:lineRule="exact"/>
        <w:ind w:left="-2" w:leftChars="-1" w:firstLine="431"/>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四、</w:t>
      </w:r>
      <w:bookmarkStart w:id="14" w:name="_Hlk49179741"/>
      <w:r>
        <w:rPr>
          <w:rFonts w:hint="eastAsia" w:ascii="宋体" w:hAnsi="宋体" w:eastAsia="宋体" w:cs="宋体"/>
          <w:b/>
          <w:bCs/>
          <w:color w:val="auto"/>
          <w:highlight w:val="none"/>
        </w:rPr>
        <w:t>竞争性磋商响应文件的提交</w:t>
      </w:r>
    </w:p>
    <w:bookmarkEnd w:id="14"/>
    <w:p>
      <w:pPr>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1.时间：</w:t>
      </w:r>
      <w:bookmarkStart w:id="15" w:name="_Hlk80645407"/>
      <w:r>
        <w:rPr>
          <w:rFonts w:hint="eastAsia" w:ascii="宋体" w:hAnsi="宋体" w:eastAsia="宋体" w:cs="宋体"/>
          <w:b/>
          <w:bCs/>
          <w:color w:val="auto"/>
          <w:highlight w:val="none"/>
          <w:u w:val="thick" w:color="FF0000"/>
        </w:rPr>
        <w:t>2022年</w:t>
      </w:r>
      <w:r>
        <w:rPr>
          <w:rFonts w:hint="eastAsia" w:ascii="宋体" w:hAnsi="宋体" w:eastAsia="宋体" w:cs="宋体"/>
          <w:b/>
          <w:bCs/>
          <w:color w:val="auto"/>
          <w:highlight w:val="none"/>
          <w:u w:val="thick" w:color="FF0000"/>
          <w:lang w:val="en-US" w:eastAsia="zh-CN"/>
        </w:rPr>
        <w:t>3</w:t>
      </w:r>
      <w:r>
        <w:rPr>
          <w:rFonts w:hint="eastAsia" w:ascii="宋体" w:hAnsi="宋体" w:eastAsia="宋体" w:cs="宋体"/>
          <w:b/>
          <w:bCs/>
          <w:color w:val="auto"/>
          <w:highlight w:val="none"/>
          <w:u w:val="thick" w:color="FF0000"/>
        </w:rPr>
        <w:t>月</w:t>
      </w:r>
      <w:r>
        <w:rPr>
          <w:rFonts w:hint="eastAsia" w:ascii="宋体" w:hAnsi="宋体" w:eastAsia="宋体" w:cs="宋体"/>
          <w:b/>
          <w:bCs/>
          <w:color w:val="auto"/>
          <w:highlight w:val="none"/>
          <w:u w:val="thick" w:color="FF0000"/>
          <w:lang w:val="en-US" w:eastAsia="zh-CN"/>
        </w:rPr>
        <w:t>28</w:t>
      </w:r>
      <w:r>
        <w:rPr>
          <w:rFonts w:hint="eastAsia" w:ascii="宋体" w:hAnsi="宋体" w:eastAsia="宋体" w:cs="宋体"/>
          <w:b/>
          <w:bCs/>
          <w:color w:val="auto"/>
          <w:highlight w:val="none"/>
          <w:u w:val="thick" w:color="FF0000"/>
        </w:rPr>
        <w:t>日至2022年</w:t>
      </w:r>
      <w:bookmarkEnd w:id="15"/>
      <w:r>
        <w:rPr>
          <w:rFonts w:hint="eastAsia" w:ascii="宋体" w:hAnsi="宋体" w:eastAsia="宋体" w:cs="宋体"/>
          <w:b/>
          <w:bCs/>
          <w:color w:val="auto"/>
          <w:highlight w:val="none"/>
          <w:u w:val="thick" w:color="FF0000"/>
          <w:lang w:val="en-US" w:eastAsia="zh-CN"/>
        </w:rPr>
        <w:t>4</w:t>
      </w:r>
      <w:r>
        <w:rPr>
          <w:rFonts w:hint="eastAsia" w:ascii="宋体" w:hAnsi="宋体" w:eastAsia="宋体" w:cs="宋体"/>
          <w:b/>
          <w:bCs/>
          <w:color w:val="auto"/>
          <w:highlight w:val="none"/>
          <w:u w:val="thick" w:color="FF0000"/>
        </w:rPr>
        <w:t>月</w:t>
      </w:r>
      <w:r>
        <w:rPr>
          <w:rFonts w:hint="eastAsia" w:ascii="宋体" w:hAnsi="宋体" w:eastAsia="宋体" w:cs="宋体"/>
          <w:b/>
          <w:bCs/>
          <w:color w:val="auto"/>
          <w:highlight w:val="none"/>
          <w:u w:val="thick" w:color="FF0000"/>
          <w:lang w:val="en-US" w:eastAsia="zh-CN"/>
        </w:rPr>
        <w:t>11</w:t>
      </w:r>
      <w:r>
        <w:rPr>
          <w:rFonts w:hint="eastAsia" w:ascii="宋体" w:hAnsi="宋体" w:eastAsia="宋体" w:cs="宋体"/>
          <w:b/>
          <w:bCs/>
          <w:color w:val="auto"/>
          <w:highlight w:val="none"/>
          <w:u w:val="thick" w:color="FF0000"/>
        </w:rPr>
        <w:t>日</w:t>
      </w:r>
      <w:r>
        <w:rPr>
          <w:rFonts w:hint="eastAsia" w:ascii="宋体" w:hAnsi="宋体" w:eastAsia="宋体" w:cs="宋体"/>
          <w:b/>
          <w:bCs/>
          <w:color w:val="auto"/>
          <w:highlight w:val="none"/>
          <w:u w:val="thick" w:color="FF0000"/>
          <w:lang w:val="en-US" w:eastAsia="zh-CN"/>
        </w:rPr>
        <w:t>9</w:t>
      </w:r>
      <w:r>
        <w:rPr>
          <w:rFonts w:hint="eastAsia" w:ascii="宋体" w:hAnsi="宋体" w:eastAsia="宋体" w:cs="宋体"/>
          <w:b/>
          <w:bCs/>
          <w:color w:val="auto"/>
          <w:highlight w:val="none"/>
          <w:u w:val="thick" w:color="FF0000"/>
        </w:rPr>
        <w:t>时</w:t>
      </w:r>
      <w:r>
        <w:rPr>
          <w:rFonts w:hint="eastAsia" w:ascii="宋体" w:hAnsi="宋体" w:eastAsia="宋体" w:cs="宋体"/>
          <w:b/>
          <w:bCs/>
          <w:color w:val="auto"/>
          <w:highlight w:val="none"/>
          <w:u w:val="thick" w:color="FF0000"/>
          <w:lang w:val="en-US" w:eastAsia="zh-CN"/>
        </w:rPr>
        <w:t>30分</w:t>
      </w:r>
      <w:r>
        <w:rPr>
          <w:rFonts w:hint="eastAsia" w:ascii="宋体" w:hAnsi="宋体" w:eastAsia="宋体" w:cs="宋体"/>
          <w:color w:val="auto"/>
          <w:kern w:val="0"/>
          <w:highlight w:val="none"/>
        </w:rPr>
        <w:t>。</w:t>
      </w:r>
    </w:p>
    <w:p>
      <w:pPr>
        <w:spacing w:line="420" w:lineRule="exact"/>
        <w:ind w:firstLine="480" w:firstLineChars="200"/>
        <w:rPr>
          <w:rFonts w:hint="eastAsia" w:ascii="宋体" w:hAnsi="宋体" w:eastAsia="宋体" w:cs="宋体"/>
          <w:b/>
          <w:bCs/>
          <w:color w:val="auto"/>
          <w:highlight w:val="none"/>
        </w:rPr>
      </w:pPr>
      <w:r>
        <w:rPr>
          <w:rFonts w:hint="eastAsia" w:ascii="宋体" w:hAnsi="宋体" w:eastAsia="宋体" w:cs="宋体"/>
          <w:color w:val="auto"/>
          <w:highlight w:val="none"/>
        </w:rPr>
        <w:t>2.地点：</w:t>
      </w:r>
      <w:r>
        <w:rPr>
          <w:rFonts w:hint="eastAsia" w:ascii="宋体" w:hAnsi="宋体" w:eastAsia="宋体" w:cs="宋体"/>
          <w:b/>
          <w:bCs/>
          <w:color w:val="auto"/>
          <w:highlight w:val="none"/>
          <w:u w:val="single"/>
        </w:rPr>
        <w:t>南通市崇川区机关事务服务中心会议室</w:t>
      </w:r>
      <w:r>
        <w:rPr>
          <w:rFonts w:hint="eastAsia" w:ascii="宋体" w:hAnsi="宋体" w:eastAsia="宋体" w:cs="宋体"/>
          <w:color w:val="auto"/>
          <w:highlight w:val="none"/>
        </w:rPr>
        <w:t>，如有变动另行通知。</w:t>
      </w:r>
    </w:p>
    <w:p>
      <w:pPr>
        <w:snapToGrid w:val="0"/>
        <w:spacing w:line="420" w:lineRule="exact"/>
        <w:ind w:left="-2" w:leftChars="-1" w:firstLine="431"/>
        <w:outlineLvl w:val="1"/>
        <w:rPr>
          <w:rFonts w:hint="eastAsia" w:ascii="宋体" w:hAnsi="宋体" w:eastAsia="宋体" w:cs="宋体"/>
          <w:color w:val="auto"/>
          <w:highlight w:val="none"/>
        </w:rPr>
      </w:pPr>
      <w:bookmarkStart w:id="16" w:name="_Toc28359016"/>
      <w:bookmarkStart w:id="17" w:name="_Toc35393633"/>
      <w:bookmarkStart w:id="18" w:name="_Toc28359093"/>
      <w:bookmarkStart w:id="19" w:name="_Toc35393802"/>
      <w:r>
        <w:rPr>
          <w:rFonts w:hint="eastAsia" w:ascii="宋体" w:hAnsi="宋体" w:eastAsia="宋体" w:cs="宋体"/>
          <w:b/>
          <w:bCs/>
          <w:color w:val="auto"/>
          <w:highlight w:val="none"/>
        </w:rPr>
        <w:t>五、开启</w:t>
      </w:r>
      <w:bookmarkEnd w:id="16"/>
      <w:bookmarkEnd w:id="17"/>
      <w:bookmarkEnd w:id="18"/>
      <w:bookmarkEnd w:id="19"/>
    </w:p>
    <w:p>
      <w:pPr>
        <w:spacing w:line="42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1.时间：</w:t>
      </w:r>
      <w:r>
        <w:rPr>
          <w:rFonts w:hint="eastAsia" w:ascii="宋体" w:hAnsi="宋体" w:eastAsia="宋体" w:cs="宋体"/>
          <w:b/>
          <w:bCs/>
          <w:color w:val="auto"/>
          <w:highlight w:val="none"/>
          <w:u w:val="thick" w:color="FF0000"/>
        </w:rPr>
        <w:t>2022年</w:t>
      </w:r>
      <w:r>
        <w:rPr>
          <w:rFonts w:hint="eastAsia" w:ascii="宋体" w:hAnsi="宋体" w:eastAsia="宋体" w:cs="宋体"/>
          <w:b/>
          <w:bCs/>
          <w:color w:val="auto"/>
          <w:highlight w:val="none"/>
          <w:u w:val="thick" w:color="FF0000"/>
          <w:lang w:val="en-US" w:eastAsia="zh-CN"/>
        </w:rPr>
        <w:t>4</w:t>
      </w:r>
      <w:r>
        <w:rPr>
          <w:rFonts w:hint="eastAsia" w:ascii="宋体" w:hAnsi="宋体" w:eastAsia="宋体" w:cs="宋体"/>
          <w:b/>
          <w:bCs/>
          <w:color w:val="auto"/>
          <w:highlight w:val="none"/>
          <w:u w:val="thick" w:color="FF0000"/>
        </w:rPr>
        <w:t>月</w:t>
      </w:r>
      <w:r>
        <w:rPr>
          <w:rFonts w:hint="eastAsia" w:ascii="宋体" w:hAnsi="宋体" w:eastAsia="宋体" w:cs="宋体"/>
          <w:b/>
          <w:bCs/>
          <w:color w:val="auto"/>
          <w:highlight w:val="none"/>
          <w:u w:val="thick" w:color="FF0000"/>
          <w:lang w:val="en-US" w:eastAsia="zh-CN"/>
        </w:rPr>
        <w:t>11</w:t>
      </w:r>
      <w:r>
        <w:rPr>
          <w:rFonts w:hint="eastAsia" w:ascii="宋体" w:hAnsi="宋体" w:eastAsia="宋体" w:cs="宋体"/>
          <w:b/>
          <w:bCs/>
          <w:color w:val="auto"/>
          <w:highlight w:val="none"/>
          <w:u w:val="thick" w:color="FF0000"/>
        </w:rPr>
        <w:t>日</w:t>
      </w:r>
      <w:r>
        <w:rPr>
          <w:rFonts w:hint="eastAsia" w:ascii="宋体" w:hAnsi="宋体" w:eastAsia="宋体" w:cs="宋体"/>
          <w:b/>
          <w:bCs/>
          <w:color w:val="auto"/>
          <w:highlight w:val="none"/>
          <w:u w:val="thick" w:color="FF0000"/>
          <w:lang w:val="en-US" w:eastAsia="zh-CN"/>
        </w:rPr>
        <w:t>9</w:t>
      </w:r>
      <w:r>
        <w:rPr>
          <w:rFonts w:hint="eastAsia" w:ascii="宋体" w:hAnsi="宋体" w:eastAsia="宋体" w:cs="宋体"/>
          <w:b/>
          <w:bCs/>
          <w:color w:val="auto"/>
          <w:highlight w:val="none"/>
          <w:u w:val="thick" w:color="FF0000"/>
        </w:rPr>
        <w:t>时</w:t>
      </w:r>
      <w:r>
        <w:rPr>
          <w:rFonts w:hint="eastAsia" w:ascii="宋体" w:hAnsi="宋体" w:eastAsia="宋体" w:cs="宋体"/>
          <w:b/>
          <w:bCs/>
          <w:color w:val="auto"/>
          <w:highlight w:val="none"/>
          <w:u w:val="thick" w:color="FF0000"/>
          <w:lang w:val="en-US" w:eastAsia="zh-CN"/>
        </w:rPr>
        <w:t>30分</w:t>
      </w:r>
      <w:r>
        <w:rPr>
          <w:rFonts w:hint="eastAsia" w:ascii="宋体" w:hAnsi="宋体" w:eastAsia="宋体" w:cs="宋体"/>
          <w:color w:val="auto"/>
          <w:kern w:val="0"/>
          <w:highlight w:val="none"/>
        </w:rPr>
        <w:t>。</w:t>
      </w:r>
    </w:p>
    <w:p>
      <w:pPr>
        <w:spacing w:line="420" w:lineRule="exact"/>
        <w:ind w:firstLine="480" w:firstLineChars="200"/>
        <w:rPr>
          <w:rFonts w:hint="eastAsia" w:ascii="宋体" w:hAnsi="宋体" w:eastAsia="宋体" w:cs="宋体"/>
          <w:b/>
          <w:bCs/>
          <w:color w:val="auto"/>
          <w:highlight w:val="none"/>
        </w:rPr>
      </w:pPr>
      <w:r>
        <w:rPr>
          <w:rFonts w:hint="eastAsia" w:ascii="宋体" w:hAnsi="宋体" w:eastAsia="宋体" w:cs="宋体"/>
          <w:color w:val="auto"/>
          <w:highlight w:val="none"/>
        </w:rPr>
        <w:t>2.地点：</w:t>
      </w:r>
      <w:r>
        <w:rPr>
          <w:rFonts w:hint="eastAsia" w:ascii="宋体" w:hAnsi="宋体" w:eastAsia="宋体" w:cs="宋体"/>
          <w:b/>
          <w:bCs/>
          <w:color w:val="auto"/>
          <w:highlight w:val="none"/>
          <w:u w:val="single"/>
        </w:rPr>
        <w:t>南通市崇川区机关事务服务中心会议室</w:t>
      </w:r>
      <w:r>
        <w:rPr>
          <w:rFonts w:hint="eastAsia" w:ascii="宋体" w:hAnsi="宋体" w:eastAsia="宋体" w:cs="宋体"/>
          <w:color w:val="auto"/>
          <w:highlight w:val="none"/>
        </w:rPr>
        <w:t>，如有变动另行通知。</w:t>
      </w:r>
    </w:p>
    <w:p>
      <w:pPr>
        <w:snapToGrid w:val="0"/>
        <w:spacing w:line="420" w:lineRule="exact"/>
        <w:ind w:left="-2" w:leftChars="-1" w:firstLine="431"/>
        <w:outlineLvl w:val="1"/>
        <w:rPr>
          <w:rFonts w:hint="eastAsia" w:ascii="宋体" w:hAnsi="宋体" w:eastAsia="宋体" w:cs="宋体"/>
          <w:color w:val="auto"/>
          <w:highlight w:val="none"/>
        </w:rPr>
      </w:pPr>
      <w:bookmarkStart w:id="20" w:name="_Hlk67483824"/>
      <w:bookmarkStart w:id="21" w:name="_Toc363573854"/>
      <w:r>
        <w:rPr>
          <w:rFonts w:hint="eastAsia" w:ascii="宋体" w:hAnsi="宋体" w:eastAsia="宋体" w:cs="宋体"/>
          <w:b/>
          <w:bCs/>
          <w:color w:val="auto"/>
          <w:highlight w:val="none"/>
        </w:rPr>
        <w:t>六、竞争性磋商公告期限</w:t>
      </w:r>
      <w:r>
        <w:rPr>
          <w:rFonts w:hint="eastAsia" w:ascii="宋体" w:hAnsi="宋体" w:eastAsia="宋体" w:cs="宋体"/>
          <w:color w:val="auto"/>
          <w:highlight w:val="none"/>
        </w:rPr>
        <w:t>：</w:t>
      </w:r>
    </w:p>
    <w:p>
      <w:pPr>
        <w:snapToGrid w:val="0"/>
        <w:spacing w:line="420" w:lineRule="exact"/>
        <w:ind w:left="-2" w:leftChars="-1" w:firstLine="431"/>
        <w:rPr>
          <w:rFonts w:hint="eastAsia" w:ascii="宋体" w:hAnsi="宋体" w:eastAsia="宋体" w:cs="宋体"/>
          <w:color w:val="auto"/>
          <w:highlight w:val="none"/>
        </w:rPr>
      </w:pPr>
      <w:r>
        <w:rPr>
          <w:rFonts w:hint="eastAsia" w:ascii="宋体" w:hAnsi="宋体" w:eastAsia="宋体" w:cs="宋体"/>
          <w:color w:val="auto"/>
          <w:highlight w:val="none"/>
        </w:rPr>
        <w:t>自本公告发布之日起3个工作日。</w:t>
      </w:r>
    </w:p>
    <w:p>
      <w:pPr>
        <w:snapToGrid w:val="0"/>
        <w:spacing w:line="420" w:lineRule="exact"/>
        <w:ind w:left="-2" w:leftChars="-1" w:firstLine="431"/>
        <w:outlineLvl w:val="1"/>
        <w:rPr>
          <w:rFonts w:hint="eastAsia" w:ascii="宋体" w:hAnsi="宋体" w:eastAsia="宋体" w:cs="宋体"/>
          <w:color w:val="auto"/>
          <w:highlight w:val="none"/>
        </w:rPr>
      </w:pPr>
      <w:r>
        <w:rPr>
          <w:rFonts w:hint="eastAsia" w:ascii="宋体" w:hAnsi="宋体" w:eastAsia="宋体" w:cs="宋体"/>
          <w:b/>
          <w:bCs/>
          <w:color w:val="auto"/>
          <w:highlight w:val="none"/>
        </w:rPr>
        <w:t>七、其他补充事宜</w:t>
      </w:r>
      <w:bookmarkStart w:id="22" w:name="_Hlk67575695"/>
      <w:r>
        <w:rPr>
          <w:rFonts w:hint="eastAsia" w:ascii="宋体" w:hAnsi="宋体" w:eastAsia="宋体" w:cs="宋体"/>
          <w:color w:val="auto"/>
          <w:highlight w:val="none"/>
        </w:rPr>
        <w:t>：</w:t>
      </w:r>
    </w:p>
    <w:p>
      <w:pPr>
        <w:snapToGrid w:val="0"/>
        <w:spacing w:line="420" w:lineRule="exact"/>
        <w:ind w:left="-2" w:leftChars="-1" w:firstLine="431"/>
        <w:rPr>
          <w:rFonts w:hint="eastAsia" w:ascii="宋体" w:hAnsi="宋体" w:eastAsia="宋体" w:cs="宋体"/>
          <w:color w:val="auto"/>
          <w:highlight w:val="none"/>
        </w:rPr>
      </w:pPr>
      <w:r>
        <w:rPr>
          <w:rFonts w:hint="eastAsia" w:ascii="宋体" w:hAnsi="宋体" w:eastAsia="宋体" w:cs="宋体"/>
          <w:color w:val="auto"/>
          <w:highlight w:val="none"/>
        </w:rPr>
        <w:t>供应商应依照规定提交各类声明函、承诺函的，不再同时提供原件备查或提供有关部门出具的相关证明文件。但本项目成交的供应商，应做好提交声明函、承诺函相应原件的核查准备；核查后发现虚假或违背承诺的，将依照相关法律法规规定处理。</w:t>
      </w:r>
      <w:bookmarkEnd w:id="22"/>
    </w:p>
    <w:p>
      <w:pPr>
        <w:snapToGrid w:val="0"/>
        <w:spacing w:line="420" w:lineRule="exact"/>
        <w:ind w:left="-2" w:leftChars="-1" w:firstLine="431"/>
        <w:outlineLvl w:val="1"/>
        <w:rPr>
          <w:rFonts w:hint="eastAsia" w:ascii="宋体" w:hAnsi="宋体" w:eastAsia="宋体" w:cs="宋体"/>
          <w:color w:val="auto"/>
          <w:highlight w:val="none"/>
        </w:rPr>
      </w:pPr>
      <w:r>
        <w:rPr>
          <w:rFonts w:hint="eastAsia" w:ascii="宋体" w:hAnsi="宋体" w:eastAsia="宋体" w:cs="宋体"/>
          <w:b/>
          <w:bCs/>
          <w:color w:val="auto"/>
          <w:highlight w:val="none"/>
        </w:rPr>
        <w:t>八、凡对本次采购提出询问，请按以下方式联系</w:t>
      </w:r>
    </w:p>
    <w:bookmarkEnd w:id="20"/>
    <w:p>
      <w:pPr>
        <w:snapToGrid w:val="0"/>
        <w:spacing w:line="400" w:lineRule="exact"/>
        <w:ind w:left="-2" w:leftChars="-1" w:firstLine="431"/>
        <w:rPr>
          <w:rFonts w:hint="eastAsia" w:ascii="宋体" w:hAnsi="宋体" w:eastAsia="宋体" w:cs="宋体"/>
          <w:color w:val="auto"/>
          <w:highlight w:val="none"/>
        </w:rPr>
      </w:pPr>
      <w:r>
        <w:rPr>
          <w:rFonts w:hint="eastAsia" w:ascii="宋体" w:hAnsi="宋体" w:eastAsia="宋体" w:cs="宋体"/>
          <w:color w:val="auto"/>
          <w:highlight w:val="none"/>
        </w:rPr>
        <w:t>1.采购人信息</w:t>
      </w:r>
    </w:p>
    <w:p>
      <w:pPr>
        <w:snapToGrid w:val="0"/>
        <w:spacing w:line="400" w:lineRule="exact"/>
        <w:ind w:left="-2" w:leftChars="-1" w:firstLine="431"/>
        <w:rPr>
          <w:rFonts w:hint="eastAsia" w:ascii="宋体" w:hAnsi="宋体" w:eastAsia="宋体" w:cs="宋体"/>
          <w:color w:val="auto"/>
          <w:highlight w:val="none"/>
        </w:rPr>
      </w:pPr>
      <w:bookmarkStart w:id="23" w:name="_Hlk88165633"/>
      <w:r>
        <w:rPr>
          <w:rFonts w:hint="eastAsia" w:ascii="宋体" w:hAnsi="宋体" w:eastAsia="宋体" w:cs="宋体"/>
          <w:color w:val="auto"/>
          <w:highlight w:val="none"/>
        </w:rPr>
        <w:t>名称：</w:t>
      </w:r>
      <w:r>
        <w:rPr>
          <w:rFonts w:hint="eastAsia" w:ascii="宋体" w:hAnsi="宋体" w:eastAsia="宋体" w:cs="宋体"/>
          <w:color w:val="auto"/>
          <w:highlight w:val="none"/>
          <w:lang w:eastAsia="zh-CN"/>
        </w:rPr>
        <w:t>南通市崇川区机关事务服务中心</w:t>
      </w:r>
      <w:r>
        <w:rPr>
          <w:rFonts w:hint="eastAsia" w:ascii="宋体" w:hAnsi="宋体" w:eastAsia="宋体" w:cs="宋体"/>
          <w:color w:val="auto"/>
          <w:highlight w:val="none"/>
        </w:rPr>
        <w:t>；</w:t>
      </w:r>
    </w:p>
    <w:p>
      <w:pPr>
        <w:snapToGrid w:val="0"/>
        <w:spacing w:line="400" w:lineRule="exact"/>
        <w:ind w:left="-2" w:leftChars="-1" w:firstLine="431"/>
        <w:rPr>
          <w:rFonts w:hint="eastAsia" w:ascii="宋体" w:hAnsi="宋体" w:eastAsia="宋体" w:cs="宋体"/>
          <w:color w:val="auto"/>
          <w:highlight w:val="none"/>
        </w:rPr>
      </w:pPr>
      <w:bookmarkStart w:id="24" w:name="_Hlk89361983"/>
      <w:bookmarkStart w:id="25" w:name="_Hlk89361824"/>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施亚敏</w:t>
      </w:r>
      <w:r>
        <w:rPr>
          <w:rFonts w:hint="eastAsia" w:ascii="宋体" w:hAnsi="宋体" w:eastAsia="宋体" w:cs="宋体"/>
          <w:color w:val="auto"/>
          <w:highlight w:val="none"/>
        </w:rPr>
        <w:t>；</w:t>
      </w:r>
    </w:p>
    <w:p>
      <w:pPr>
        <w:snapToGrid w:val="0"/>
        <w:spacing w:line="400" w:lineRule="exact"/>
        <w:ind w:left="-2" w:leftChars="-1" w:firstLine="431"/>
        <w:rPr>
          <w:rFonts w:hint="eastAsia" w:ascii="宋体" w:hAnsi="宋体" w:eastAsia="宋体" w:cs="宋体"/>
          <w:color w:val="auto"/>
          <w:highlight w:val="none"/>
        </w:rPr>
      </w:pPr>
      <w:r>
        <w:rPr>
          <w:rFonts w:hint="eastAsia" w:ascii="宋体" w:hAnsi="宋体" w:eastAsia="宋体" w:cs="宋体"/>
          <w:color w:val="auto"/>
          <w:highlight w:val="none"/>
        </w:rPr>
        <w:t>电话：</w:t>
      </w:r>
      <w:r>
        <w:rPr>
          <w:rFonts w:hint="eastAsia" w:ascii="宋体" w:hAnsi="宋体" w:eastAsia="宋体" w:cs="宋体"/>
          <w:color w:val="auto"/>
          <w:highlight w:val="none"/>
          <w:lang w:val="en-US" w:eastAsia="zh-CN"/>
        </w:rPr>
        <w:t>15152880300</w:t>
      </w:r>
      <w:r>
        <w:rPr>
          <w:rFonts w:hint="eastAsia" w:ascii="宋体" w:hAnsi="宋体" w:eastAsia="宋体" w:cs="宋体"/>
          <w:color w:val="auto"/>
          <w:highlight w:val="none"/>
        </w:rPr>
        <w:t>。</w:t>
      </w:r>
      <w:bookmarkEnd w:id="23"/>
      <w:bookmarkEnd w:id="24"/>
    </w:p>
    <w:bookmarkEnd w:id="25"/>
    <w:p>
      <w:pPr>
        <w:snapToGrid w:val="0"/>
        <w:spacing w:line="400" w:lineRule="exact"/>
        <w:ind w:left="-2" w:leftChars="-1" w:firstLine="431"/>
        <w:rPr>
          <w:rFonts w:hint="eastAsia" w:ascii="宋体" w:hAnsi="宋体" w:eastAsia="宋体" w:cs="宋体"/>
          <w:color w:val="auto"/>
          <w:highlight w:val="none"/>
        </w:rPr>
      </w:pPr>
      <w:r>
        <w:rPr>
          <w:rFonts w:hint="eastAsia" w:ascii="宋体" w:hAnsi="宋体" w:eastAsia="宋体" w:cs="宋体"/>
          <w:color w:val="auto"/>
          <w:highlight w:val="none"/>
        </w:rPr>
        <w:t>2.采购代理机构信息：</w:t>
      </w:r>
    </w:p>
    <w:p>
      <w:pPr>
        <w:snapToGrid w:val="0"/>
        <w:spacing w:line="400" w:lineRule="exact"/>
        <w:ind w:left="-2" w:leftChars="-1" w:firstLine="431"/>
        <w:rPr>
          <w:rFonts w:hint="eastAsia" w:ascii="宋体" w:hAnsi="宋体" w:eastAsia="宋体" w:cs="宋体"/>
          <w:color w:val="auto"/>
          <w:highlight w:val="none"/>
        </w:rPr>
      </w:pPr>
      <w:r>
        <w:rPr>
          <w:rFonts w:hint="eastAsia" w:ascii="宋体" w:hAnsi="宋体" w:eastAsia="宋体" w:cs="宋体"/>
          <w:color w:val="auto"/>
          <w:highlight w:val="none"/>
        </w:rPr>
        <w:t>名称：</w:t>
      </w:r>
      <w:r>
        <w:rPr>
          <w:rFonts w:hint="eastAsia" w:ascii="宋体" w:hAnsi="宋体" w:eastAsia="宋体" w:cs="宋体"/>
          <w:color w:val="auto"/>
          <w:highlight w:val="none"/>
          <w:lang w:eastAsia="zh-CN"/>
        </w:rPr>
        <w:t>江苏希地丰华项目管理集团有限公司</w:t>
      </w:r>
      <w:r>
        <w:rPr>
          <w:rFonts w:hint="eastAsia" w:ascii="宋体" w:hAnsi="宋体" w:eastAsia="宋体" w:cs="宋体"/>
          <w:color w:val="auto"/>
          <w:highlight w:val="none"/>
        </w:rPr>
        <w:t>；</w:t>
      </w:r>
    </w:p>
    <w:p>
      <w:pPr>
        <w:snapToGrid w:val="0"/>
        <w:spacing w:line="400" w:lineRule="exact"/>
        <w:ind w:left="-2" w:leftChars="-1" w:firstLine="431"/>
        <w:rPr>
          <w:rFonts w:hint="eastAsia" w:ascii="宋体" w:hAnsi="宋体" w:eastAsia="宋体" w:cs="宋体"/>
          <w:color w:val="auto"/>
          <w:highlight w:val="none"/>
        </w:rPr>
      </w:pPr>
      <w:r>
        <w:rPr>
          <w:rFonts w:hint="eastAsia" w:ascii="宋体" w:hAnsi="宋体" w:eastAsia="宋体" w:cs="宋体"/>
          <w:color w:val="auto"/>
          <w:highlight w:val="none"/>
        </w:rPr>
        <w:t>地址：南通市开发区通盛大道188号C座611室；</w:t>
      </w:r>
    </w:p>
    <w:p>
      <w:pPr>
        <w:snapToGrid w:val="0"/>
        <w:spacing w:line="400" w:lineRule="exact"/>
        <w:ind w:left="-2" w:leftChars="-1" w:firstLine="431"/>
        <w:rPr>
          <w:rFonts w:hint="eastAsia" w:ascii="宋体" w:hAnsi="宋体" w:eastAsia="宋体" w:cs="宋体"/>
          <w:color w:val="auto"/>
          <w:highlight w:val="none"/>
        </w:rPr>
      </w:pPr>
      <w:r>
        <w:rPr>
          <w:rFonts w:hint="eastAsia" w:ascii="宋体" w:hAnsi="宋体" w:eastAsia="宋体" w:cs="宋体"/>
          <w:color w:val="auto"/>
          <w:highlight w:val="none"/>
        </w:rPr>
        <w:t>联系人：顾工；</w:t>
      </w:r>
    </w:p>
    <w:p>
      <w:pPr>
        <w:snapToGrid w:val="0"/>
        <w:spacing w:line="400" w:lineRule="exact"/>
        <w:ind w:left="-2" w:leftChars="-1" w:firstLine="431"/>
        <w:rPr>
          <w:rFonts w:hint="eastAsia" w:ascii="宋体" w:hAnsi="宋体" w:eastAsia="宋体" w:cs="宋体"/>
          <w:color w:val="auto"/>
          <w:highlight w:val="none"/>
        </w:rPr>
      </w:pPr>
      <w:r>
        <w:rPr>
          <w:rFonts w:hint="eastAsia" w:ascii="宋体" w:hAnsi="宋体" w:eastAsia="宋体" w:cs="宋体"/>
          <w:color w:val="auto"/>
          <w:highlight w:val="none"/>
        </w:rPr>
        <w:t>联系电话：0513-83109381。</w:t>
      </w:r>
    </w:p>
    <w:bookmarkEnd w:id="2"/>
    <w:p>
      <w:pPr>
        <w:snapToGrid w:val="0"/>
        <w:spacing w:line="400" w:lineRule="exact"/>
        <w:ind w:left="-2" w:leftChars="-1" w:firstLine="431"/>
        <w:rPr>
          <w:rFonts w:hint="eastAsia" w:ascii="宋体" w:hAnsi="宋体" w:eastAsia="宋体" w:cs="宋体"/>
          <w:color w:val="auto"/>
          <w:highlight w:val="none"/>
        </w:rPr>
      </w:pPr>
      <w:bookmarkStart w:id="26" w:name="_Hlk89361855"/>
      <w:r>
        <w:rPr>
          <w:rFonts w:hint="eastAsia" w:ascii="宋体" w:hAnsi="宋体" w:eastAsia="宋体" w:cs="宋体"/>
          <w:color w:val="auto"/>
          <w:highlight w:val="none"/>
        </w:rPr>
        <w:t>3.项目联系方式</w:t>
      </w:r>
    </w:p>
    <w:p>
      <w:pPr>
        <w:snapToGrid w:val="0"/>
        <w:spacing w:line="400" w:lineRule="exact"/>
        <w:ind w:left="-2" w:leftChars="-1" w:firstLine="431"/>
        <w:rPr>
          <w:rFonts w:hint="eastAsia" w:ascii="宋体" w:hAnsi="宋体" w:eastAsia="宋体" w:cs="宋体"/>
          <w:color w:val="auto"/>
          <w:highlight w:val="none"/>
        </w:rPr>
      </w:pPr>
      <w:r>
        <w:rPr>
          <w:rFonts w:hint="eastAsia" w:ascii="宋体" w:hAnsi="宋体" w:eastAsia="宋体" w:cs="宋体"/>
          <w:color w:val="auto"/>
          <w:highlight w:val="none"/>
        </w:rPr>
        <w:t>联系人：顾工；</w:t>
      </w:r>
    </w:p>
    <w:p>
      <w:pPr>
        <w:snapToGrid w:val="0"/>
        <w:spacing w:line="400" w:lineRule="exact"/>
        <w:ind w:left="-2" w:leftChars="-1" w:firstLine="431"/>
        <w:rPr>
          <w:rFonts w:hint="eastAsia" w:ascii="宋体" w:hAnsi="宋体" w:eastAsia="宋体" w:cs="宋体"/>
          <w:color w:val="auto"/>
          <w:highlight w:val="none"/>
        </w:rPr>
      </w:pPr>
      <w:r>
        <w:rPr>
          <w:rFonts w:hint="eastAsia" w:ascii="宋体" w:hAnsi="宋体" w:eastAsia="宋体" w:cs="宋体"/>
          <w:color w:val="auto"/>
          <w:highlight w:val="none"/>
        </w:rPr>
        <w:t>联系电话：0513-83109381。</w:t>
      </w: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注：</w:t>
      </w:r>
      <w:r>
        <w:rPr>
          <w:rFonts w:hint="eastAsia" w:ascii="宋体" w:hAnsi="宋体" w:eastAsia="宋体" w:cs="宋体"/>
          <w:b/>
          <w:bCs/>
          <w:color w:val="auto"/>
          <w:highlight w:val="none"/>
        </w:rPr>
        <w:t>（1）根据</w:t>
      </w:r>
      <w:r>
        <w:rPr>
          <w:rFonts w:hint="eastAsia" w:ascii="宋体" w:hAnsi="宋体" w:eastAsia="宋体" w:cs="宋体"/>
          <w:b/>
          <w:bCs/>
          <w:color w:val="auto"/>
          <w:highlight w:val="none"/>
          <w:lang w:val="en-US" w:eastAsia="zh-CN"/>
        </w:rPr>
        <w:t>南通市</w:t>
      </w:r>
      <w:r>
        <w:rPr>
          <w:rFonts w:hint="eastAsia" w:ascii="宋体" w:hAnsi="宋体" w:eastAsia="宋体" w:cs="宋体"/>
          <w:b/>
          <w:bCs/>
          <w:color w:val="auto"/>
          <w:highlight w:val="none"/>
        </w:rPr>
        <w:t>新型冠状病毒感染的肺炎疫情防控工作指挥部通告的相关规定及疫情防控要求，本项目</w:t>
      </w:r>
      <w:r>
        <w:rPr>
          <w:rFonts w:hint="eastAsia" w:ascii="宋体" w:hAnsi="宋体" w:eastAsia="宋体" w:cs="宋体"/>
          <w:b/>
          <w:bCs/>
          <w:color w:val="auto"/>
          <w:highlight w:val="none"/>
          <w:lang w:val="en-US" w:eastAsia="zh-CN"/>
        </w:rPr>
        <w:t>调整</w:t>
      </w:r>
      <w:r>
        <w:rPr>
          <w:rFonts w:hint="eastAsia" w:ascii="宋体" w:hAnsi="宋体" w:eastAsia="宋体" w:cs="宋体"/>
          <w:b/>
          <w:bCs/>
          <w:color w:val="auto"/>
          <w:highlight w:val="none"/>
        </w:rPr>
        <w:t>为不见面开标，投标人须在规定的投标文件接收截止时间前将投标文件（原件无需提交）邮寄（只接收顺丰）至规定接收地点。请各潜在投标人充分考虑天气、快递速度、路程等因素，不接受到付。未在规定时间内送达的投标文件将不予接收，后果由各潜在投标人自行承担。</w:t>
      </w:r>
    </w:p>
    <w:p>
      <w:pPr>
        <w:snapToGrid w:val="0"/>
        <w:spacing w:line="400" w:lineRule="exact"/>
        <w:ind w:left="-2" w:leftChars="-1" w:firstLine="431"/>
        <w:rPr>
          <w:rFonts w:hint="eastAsia" w:ascii="宋体" w:hAnsi="宋体" w:eastAsia="宋体" w:cs="宋体"/>
          <w:b/>
          <w:bCs/>
          <w:color w:val="auto"/>
          <w:highlight w:val="none"/>
        </w:rPr>
      </w:pPr>
      <w:r>
        <w:rPr>
          <w:rFonts w:hint="eastAsia" w:ascii="宋体" w:hAnsi="宋体" w:eastAsia="宋体" w:cs="宋体"/>
          <w:b/>
          <w:bCs/>
          <w:color w:val="auto"/>
          <w:highlight w:val="none"/>
        </w:rPr>
        <w:t>（2）投标文件接收截止时间及接收地点：2022年</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月</w:t>
      </w:r>
      <w:r>
        <w:rPr>
          <w:rFonts w:hint="eastAsia" w:ascii="宋体" w:hAnsi="宋体" w:eastAsia="宋体" w:cs="宋体"/>
          <w:b/>
          <w:bCs/>
          <w:color w:val="auto"/>
          <w:highlight w:val="none"/>
          <w:lang w:val="en-US" w:eastAsia="zh-CN"/>
        </w:rPr>
        <w:t>11</w:t>
      </w:r>
      <w:bookmarkStart w:id="57" w:name="_GoBack"/>
      <w:bookmarkEnd w:id="57"/>
      <w:r>
        <w:rPr>
          <w:rFonts w:hint="eastAsia" w:ascii="宋体" w:hAnsi="宋体" w:eastAsia="宋体" w:cs="宋体"/>
          <w:b/>
          <w:bCs/>
          <w:color w:val="auto"/>
          <w:highlight w:val="none"/>
        </w:rPr>
        <w:t>日</w:t>
      </w:r>
      <w:r>
        <w:rPr>
          <w:rFonts w:hint="eastAsia" w:ascii="宋体" w:hAnsi="宋体" w:eastAsia="宋体" w:cs="宋体"/>
          <w:b/>
          <w:bCs/>
          <w:color w:val="auto"/>
          <w:highlight w:val="none"/>
          <w:lang w:val="en-US" w:eastAsia="zh-CN"/>
        </w:rPr>
        <w:t>9</w:t>
      </w:r>
      <w:r>
        <w:rPr>
          <w:rFonts w:hint="eastAsia" w:ascii="宋体" w:hAnsi="宋体" w:eastAsia="宋体" w:cs="宋体"/>
          <w:b/>
          <w:bCs/>
          <w:color w:val="auto"/>
          <w:highlight w:val="none"/>
        </w:rPr>
        <w:t>时</w:t>
      </w:r>
      <w:r>
        <w:rPr>
          <w:rFonts w:hint="eastAsia" w:ascii="宋体" w:hAnsi="宋体" w:eastAsia="宋体" w:cs="宋体"/>
          <w:b/>
          <w:bCs/>
          <w:color w:val="auto"/>
          <w:highlight w:val="none"/>
          <w:lang w:val="en-US" w:eastAsia="zh-CN"/>
        </w:rPr>
        <w:t>30</w:t>
      </w:r>
      <w:r>
        <w:rPr>
          <w:rFonts w:hint="eastAsia" w:ascii="宋体" w:hAnsi="宋体" w:eastAsia="宋体" w:cs="宋体"/>
          <w:b/>
          <w:bCs/>
          <w:color w:val="auto"/>
          <w:highlight w:val="none"/>
        </w:rPr>
        <w:t>分前寄达（以送达签收时间为准），接收地点：南通市崇川区机关事务服务中心桃坞路44号，接收联系人：</w:t>
      </w:r>
      <w:r>
        <w:rPr>
          <w:rFonts w:hint="eastAsia" w:ascii="宋体" w:hAnsi="宋体" w:eastAsia="宋体" w:cs="宋体"/>
          <w:b/>
          <w:bCs/>
          <w:color w:val="auto"/>
          <w:highlight w:val="none"/>
          <w:lang w:val="en-US" w:eastAsia="zh-CN"/>
        </w:rPr>
        <w:t>曹金波</w:t>
      </w:r>
      <w:r>
        <w:rPr>
          <w:rFonts w:hint="eastAsia" w:ascii="宋体" w:hAnsi="宋体" w:eastAsia="宋体" w:cs="宋体"/>
          <w:b/>
          <w:bCs/>
          <w:color w:val="auto"/>
          <w:highlight w:val="none"/>
        </w:rPr>
        <w:t>，联系电话</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18018412333</w:t>
      </w:r>
      <w:r>
        <w:rPr>
          <w:rFonts w:hint="eastAsia" w:ascii="宋体" w:hAnsi="宋体" w:eastAsia="宋体" w:cs="宋体"/>
          <w:b/>
          <w:bCs/>
          <w:color w:val="auto"/>
          <w:highlight w:val="none"/>
        </w:rPr>
        <w:t>。</w:t>
      </w:r>
    </w:p>
    <w:p>
      <w:pPr>
        <w:snapToGrid w:val="0"/>
        <w:spacing w:line="400" w:lineRule="exact"/>
        <w:ind w:left="-2" w:leftChars="-1" w:firstLine="431"/>
        <w:rPr>
          <w:rFonts w:hint="eastAsia" w:ascii="宋体" w:hAnsi="宋体" w:eastAsia="宋体" w:cs="宋体"/>
          <w:b/>
          <w:bCs/>
          <w:color w:val="auto"/>
          <w:highlight w:val="none"/>
        </w:rPr>
      </w:pPr>
      <w:r>
        <w:rPr>
          <w:rFonts w:hint="eastAsia" w:ascii="宋体" w:hAnsi="宋体" w:eastAsia="宋体" w:cs="宋体"/>
          <w:b/>
          <w:bCs/>
          <w:color w:val="auto"/>
          <w:highlight w:val="none"/>
        </w:rPr>
        <w:t>（3）招标代理机构代理费用的收取标准和方式：在投标截止前递交报价文件的收取，采购文件资料费300元（随同投标文件一起邮寄），不论何种原因文件的相关费用售后不退。</w:t>
      </w:r>
    </w:p>
    <w:p>
      <w:pPr>
        <w:snapToGrid w:val="0"/>
        <w:spacing w:line="400" w:lineRule="exact"/>
        <w:ind w:left="-2" w:leftChars="-1" w:firstLine="431"/>
        <w:rPr>
          <w:rFonts w:hint="eastAsia" w:ascii="宋体" w:hAnsi="宋体" w:eastAsia="宋体" w:cs="宋体"/>
          <w:b/>
          <w:bCs/>
          <w:color w:val="auto"/>
          <w:highlight w:val="none"/>
        </w:rPr>
      </w:pPr>
      <w:r>
        <w:rPr>
          <w:rFonts w:hint="eastAsia" w:ascii="宋体" w:hAnsi="宋体" w:eastAsia="宋体" w:cs="宋体"/>
          <w:b/>
          <w:bCs/>
          <w:color w:val="auto"/>
          <w:highlight w:val="none"/>
        </w:rPr>
        <w:t>友情提醒：拒绝接收未按照招标文件要求密封的投标文件，拒绝接收在投标文件接收截止时间后寄达（以送达签收时间为准）的投标文件，上述情况各潜在投标人充分考虑相关因素，不得就此提出任何异议。</w:t>
      </w: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p>
      <w:pPr>
        <w:snapToGrid w:val="0"/>
        <w:spacing w:line="400" w:lineRule="exact"/>
        <w:ind w:left="-2" w:leftChars="-1" w:firstLine="431"/>
        <w:rPr>
          <w:rFonts w:hint="eastAsia" w:ascii="宋体" w:hAnsi="宋体" w:eastAsia="宋体" w:cs="宋体"/>
          <w:color w:val="auto"/>
          <w:highlight w:val="none"/>
        </w:rPr>
      </w:pPr>
    </w:p>
    <w:bookmarkEnd w:id="3"/>
    <w:bookmarkEnd w:id="4"/>
    <w:bookmarkEnd w:id="5"/>
    <w:bookmarkEnd w:id="6"/>
    <w:bookmarkEnd w:id="7"/>
    <w:bookmarkEnd w:id="8"/>
    <w:bookmarkEnd w:id="26"/>
    <w:p>
      <w:pPr>
        <w:tabs>
          <w:tab w:val="left" w:pos="1050"/>
          <w:tab w:val="left" w:pos="2375"/>
          <w:tab w:val="center" w:pos="4818"/>
          <w:tab w:val="right" w:leader="dot" w:pos="9402"/>
        </w:tabs>
        <w:spacing w:before="312" w:beforeLines="100" w:line="600" w:lineRule="exact"/>
        <w:jc w:val="center"/>
        <w:outlineLvl w:val="0"/>
        <w:rPr>
          <w:rFonts w:hint="eastAsia" w:ascii="宋体" w:hAnsi="宋体" w:eastAsia="宋体" w:cs="宋体"/>
          <w:b/>
          <w:bCs/>
          <w:color w:val="auto"/>
          <w:w w:val="80"/>
          <w:sz w:val="36"/>
          <w:szCs w:val="36"/>
          <w:highlight w:val="none"/>
        </w:rPr>
      </w:pPr>
      <w:r>
        <w:rPr>
          <w:rFonts w:hint="eastAsia" w:ascii="宋体" w:hAnsi="宋体" w:eastAsia="宋体" w:cs="宋体"/>
          <w:b/>
          <w:bCs/>
          <w:color w:val="auto"/>
          <w:w w:val="80"/>
          <w:sz w:val="36"/>
          <w:szCs w:val="36"/>
          <w:highlight w:val="none"/>
        </w:rPr>
        <w:t>第二章  竞争性磋商响应供应商须知</w:t>
      </w:r>
      <w:bookmarkEnd w:id="21"/>
    </w:p>
    <w:p>
      <w:pPr>
        <w:snapToGrid w:val="0"/>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一、说明</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1.本磋商文件仅适用于</w:t>
      </w:r>
      <w:r>
        <w:rPr>
          <w:rFonts w:hint="eastAsia" w:ascii="宋体" w:hAnsi="宋体" w:eastAsia="宋体" w:cs="宋体"/>
          <w:color w:val="auto"/>
          <w:highlight w:val="none"/>
          <w:lang w:eastAsia="zh-CN"/>
        </w:rPr>
        <w:t>江苏希地丰华项目管理集团有限公司</w:t>
      </w:r>
      <w:r>
        <w:rPr>
          <w:rFonts w:hint="eastAsia" w:ascii="宋体" w:hAnsi="宋体" w:eastAsia="宋体" w:cs="宋体"/>
          <w:color w:val="auto"/>
          <w:highlight w:val="none"/>
        </w:rPr>
        <w:t>组织的招标采购活动。</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2.本次招标采购活动及因本次招标产生的合同受中国法律制约和保护。</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3.本磋商文件的解释权属于本采购代理机构。</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4.供应商在知道或应当知道本项目磋商公告及磋商文件中的所有内容：如内容或页码短缺、资格要求和技术参数出现倾向性或排他性等表述的，应当在获取采购文件或者采购文件公告期限届满之日起</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个</w:t>
      </w:r>
      <w:r>
        <w:rPr>
          <w:rFonts w:hint="eastAsia" w:ascii="宋体" w:hAnsi="宋体" w:eastAsia="宋体" w:cs="宋体"/>
          <w:color w:val="auto"/>
          <w:highlight w:val="none"/>
          <w:lang w:val="en-US" w:eastAsia="zh-CN"/>
        </w:rPr>
        <w:t>日历天</w:t>
      </w:r>
      <w:r>
        <w:rPr>
          <w:rFonts w:hint="eastAsia" w:ascii="宋体" w:hAnsi="宋体" w:eastAsia="宋体" w:cs="宋体"/>
          <w:color w:val="auto"/>
          <w:highlight w:val="none"/>
        </w:rPr>
        <w:t>内提出质疑；未提出或是未在规定期间内提出质疑的视作供应商接受本项目磋商公告及磋商文件中的全部内容；供应商不得在招标活动期间及招标结束后针对本项目磋商公告及磋商文件中的所有内容提出质疑事项。非书面形式的不作为日后质疑提出的依据。</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应认真审阅本磋商文件中的所有事项、格式、条款和规范要求等，如果供应商没有按照磋商文件要求提交竞争性磋商响应文件，或者竞争性磋商响应文件没有对磋商文件做出实质性响应，有可能被拒绝参与磋商。</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6.本采购文件内所称的“以上”、“以下”、“内”、“以内”，包括本数；所称的“不足”、“少于”，不包括本数。</w:t>
      </w:r>
    </w:p>
    <w:p>
      <w:pPr>
        <w:snapToGrid w:val="0"/>
        <w:spacing w:line="420" w:lineRule="exact"/>
        <w:ind w:firstLine="480" w:firstLineChars="200"/>
        <w:rPr>
          <w:rFonts w:hint="eastAsia" w:ascii="宋体" w:hAnsi="宋体" w:eastAsia="宋体" w:cs="宋体"/>
          <w:color w:val="auto"/>
          <w:highlight w:val="none"/>
        </w:rPr>
      </w:pPr>
      <w:bookmarkStart w:id="27" w:name="_Hlk69659517"/>
      <w:r>
        <w:rPr>
          <w:rFonts w:hint="eastAsia" w:ascii="宋体" w:hAnsi="宋体" w:eastAsia="宋体" w:cs="宋体"/>
          <w:color w:val="auto"/>
          <w:highlight w:val="none"/>
        </w:rPr>
        <w:t>7.法定代表人为同一个人的两个及两个以上法人，母公司、全资子公司及其控股公司，都不得在同一采购项目相同标段中同时参加投标，一经发现，将视同围标处理。</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供应商应认真对照资格要求，如不符合要求，无意或故意参与竞争性磋商响应的，所产生的一切后果由供应商承担。若竞争性磋商响应供应商提供虚假材料的，将作无效响应处理，并报财政部门将其列入政府采购黑名单，视情公布在南通市崇川区人民政府网。</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9.非采购人原因，成交的供应商</w:t>
      </w:r>
      <w:r>
        <w:rPr>
          <w:rFonts w:hint="eastAsia" w:ascii="宋体" w:hAnsi="宋体" w:eastAsia="宋体" w:cs="宋体"/>
          <w:b/>
          <w:bCs/>
          <w:color w:val="auto"/>
          <w:highlight w:val="none"/>
        </w:rPr>
        <w:t>（以下称成交人）</w:t>
      </w:r>
      <w:r>
        <w:rPr>
          <w:rFonts w:hint="eastAsia" w:ascii="宋体" w:hAnsi="宋体" w:eastAsia="宋体" w:cs="宋体"/>
          <w:color w:val="auto"/>
          <w:highlight w:val="none"/>
        </w:rPr>
        <w:t>放弃成交资格的，报财政部门将其列入政府采购黑名单，视情公布在南通市崇川区人民政府网。</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p>
      <w:pPr>
        <w:snapToGrid w:val="0"/>
        <w:spacing w:line="420" w:lineRule="exact"/>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11.参与本项目竞争性磋商响应的供应商，应依照规定提交各类声明函、承诺函（如涉有），不再同时提供原件备查或提供有关部门出具的相关证明文件。但本项目成交供应商，应做好提交声明函、承诺函相应原件的核查准备；核查后发现虚假或违背承诺的，将依照相关法律法规规定处理。</w:t>
      </w:r>
    </w:p>
    <w:bookmarkEnd w:id="27"/>
    <w:p>
      <w:pPr>
        <w:snapToGrid w:val="0"/>
        <w:spacing w:line="420" w:lineRule="exact"/>
        <w:ind w:firstLine="482" w:firstLineChars="200"/>
        <w:outlineLvl w:val="1"/>
        <w:rPr>
          <w:rFonts w:hint="eastAsia" w:ascii="宋体" w:hAnsi="宋体" w:eastAsia="宋体" w:cs="宋体"/>
          <w:color w:val="auto"/>
          <w:highlight w:val="none"/>
        </w:rPr>
      </w:pPr>
      <w:bookmarkStart w:id="28" w:name="_Hlk69659762"/>
      <w:r>
        <w:rPr>
          <w:rFonts w:hint="eastAsia" w:ascii="宋体" w:hAnsi="宋体" w:eastAsia="宋体" w:cs="宋体"/>
          <w:b/>
          <w:bCs/>
          <w:color w:val="auto"/>
          <w:highlight w:val="none"/>
        </w:rPr>
        <w:t>二、词语释义</w:t>
      </w:r>
      <w:bookmarkEnd w:id="28"/>
    </w:p>
    <w:p>
      <w:pPr>
        <w:snapToGrid w:val="0"/>
        <w:spacing w:line="420" w:lineRule="exact"/>
        <w:ind w:firstLine="480" w:firstLineChars="200"/>
        <w:rPr>
          <w:rFonts w:hint="eastAsia" w:ascii="宋体" w:hAnsi="宋体" w:eastAsia="宋体" w:cs="宋体"/>
          <w:color w:val="auto"/>
          <w:highlight w:val="none"/>
        </w:rPr>
      </w:pPr>
      <w:bookmarkStart w:id="29" w:name="_Hlk69659745"/>
      <w:r>
        <w:rPr>
          <w:rFonts w:hint="eastAsia" w:ascii="宋体" w:hAnsi="宋体" w:eastAsia="宋体" w:cs="宋体"/>
          <w:color w:val="auto"/>
          <w:highlight w:val="none"/>
        </w:rPr>
        <w:t>1.采购人：指依法进行政府采购的国家机关、事业单位、团体组织。</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2.采购代理机构：指依法接受采购人委托，从事货物、工程和服务等政府采购业务的采购代理机构。</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bookmarkStart w:id="30" w:name="_Hlk69304190"/>
      <w:r>
        <w:rPr>
          <w:rFonts w:hint="eastAsia" w:ascii="宋体" w:hAnsi="宋体" w:eastAsia="宋体" w:cs="宋体"/>
          <w:color w:val="auto"/>
          <w:highlight w:val="none"/>
        </w:rPr>
        <w:t>供应商</w:t>
      </w:r>
      <w:bookmarkEnd w:id="30"/>
      <w:r>
        <w:rPr>
          <w:rFonts w:hint="eastAsia" w:ascii="宋体" w:hAnsi="宋体" w:eastAsia="宋体" w:cs="宋体"/>
          <w:color w:val="auto"/>
          <w:highlight w:val="none"/>
        </w:rPr>
        <w:t>：指响应磋商采购、参加本项目竞争性磋商响应的法人、其他组织或者自然人。</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4.单位负责人：指单位法定代表人或者法律、行政法规规定代表单位行使职权的主要负责人。</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5.直接控股：是指供应商的控股股东或者实际控制人。</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6.管理关系：指不具有出资持股关系的其他单位之间存在的管理与被管理关系。</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7.响应：本项目响应供应商根据采购人或采购代理机构发布的竞争性磋商采购文件，编制竞争性磋商响应文件并按规定参与竞争性磋商采购活动的行为。</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8.合同：采供双方根据竞争性磋商文件和成交的磋商响应文件及成交通知书规定的内容签署的以书面形式所达成的协议，包括所有的附件、附录和构成协议的所有文件。</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9.甲方（采购人）：合同中明确规定的实际购买货物和服务的国家机关、事业单位、团体组织。</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10.乙方（供应商）：合同中规定的向采购人提供货物和服务的法人或其他组织和自然人。</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11.货物：系指乙方按竞争性磋商文件规定，应向甲方提供的一切设备、备品、备件、工具、手册及其它有关技术资料和材料。</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12.服务：系指本次竞争性磋商文件规定乙方应承担的与提供货物和服务有关的辅助服务，比如运输、保险、安装、调试、提供技术援助、培训、配合措施、维修响应及合同中规定乙方应承担的其他义务。</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13.知识产权:指专利权、商标权、著作权等无形财产专有权的统称。</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14.天:日历日；工作日：指排除国家法定节假日、休息日外的其余日历日；时间：除特别说明，均指北京时间。</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15.交货地点:合同中明确约定的乙方提交的货物和服务最终到达地点。</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16.合同价款:根据合同规定,乙方在正确地履行合同义务后甲方应支付乙方的价款。</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17.不可抗力:不能预见、不能避免并且不能克服的客观情况。</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18.实质性响应：满足有关本次采购标的、数量、质量、价款或者报酬、履行期限、履行地点和方式、违约责任和解决争议方法等要求。</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19.书面形式：指书面文字、合同书、信件等可有形地表现所载内容的形式。</w:t>
      </w:r>
    </w:p>
    <w:bookmarkEnd w:id="29"/>
    <w:p>
      <w:pPr>
        <w:snapToGrid w:val="0"/>
        <w:spacing w:line="420" w:lineRule="exact"/>
        <w:ind w:firstLine="482" w:firstLineChars="200"/>
        <w:outlineLvl w:val="1"/>
        <w:rPr>
          <w:rFonts w:hint="eastAsia" w:ascii="宋体" w:hAnsi="宋体" w:eastAsia="宋体" w:cs="宋体"/>
          <w:color w:val="auto"/>
          <w:kern w:val="0"/>
          <w:highlight w:val="none"/>
        </w:rPr>
      </w:pPr>
      <w:r>
        <w:rPr>
          <w:rFonts w:hint="eastAsia" w:ascii="宋体" w:hAnsi="宋体" w:eastAsia="宋体" w:cs="宋体"/>
          <w:b/>
          <w:bCs/>
          <w:color w:val="auto"/>
          <w:highlight w:val="none"/>
        </w:rPr>
        <w:t>三、竞争性磋商文件的获取</w:t>
      </w:r>
    </w:p>
    <w:p>
      <w:pPr>
        <w:snapToGrid w:val="0"/>
        <w:spacing w:line="420" w:lineRule="exact"/>
        <w:ind w:firstLine="480" w:firstLineChars="200"/>
        <w:rPr>
          <w:rFonts w:hint="eastAsia" w:ascii="宋体" w:hAnsi="宋体" w:eastAsia="宋体" w:cs="宋体"/>
          <w:color w:val="auto"/>
          <w:kern w:val="0"/>
          <w:highlight w:val="none"/>
        </w:rPr>
      </w:pPr>
      <w:r>
        <w:rPr>
          <w:rFonts w:hint="eastAsia" w:ascii="宋体" w:hAnsi="宋体" w:eastAsia="宋体" w:cs="宋体"/>
          <w:color w:val="auto"/>
          <w:highlight w:val="none"/>
        </w:rPr>
        <w:t>有意愿参与本项目竞争性磋商响应的供应商，请于本公告日起至开标截止时间前，到“南通市崇川区人民政府网→我要看→公示公告栏”栏内下载本项目的竞争性磋商文件。</w:t>
      </w:r>
    </w:p>
    <w:p>
      <w:pPr>
        <w:snapToGrid w:val="0"/>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四、磋商文件的补充说明、澄清、修改、答疑</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1.采购代理机构有权对发出的磋商文件进行必要的补充说明、澄清或修改。</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2.凡涉及磋商文件的补充说明、澄清或修改，均以采购代理机构在</w:t>
      </w:r>
      <w:r>
        <w:rPr>
          <w:rFonts w:hint="eastAsia" w:ascii="宋体" w:hAnsi="宋体" w:eastAsia="宋体" w:cs="宋体"/>
          <w:b/>
          <w:bCs/>
          <w:color w:val="auto"/>
          <w:kern w:val="0"/>
          <w:highlight w:val="none"/>
        </w:rPr>
        <w:t>“南通市崇川区人民政府网→我要看→公示公告栏”</w:t>
      </w:r>
      <w:r>
        <w:rPr>
          <w:rFonts w:hint="eastAsia" w:ascii="宋体" w:hAnsi="宋体" w:eastAsia="宋体" w:cs="宋体"/>
          <w:color w:val="auto"/>
          <w:kern w:val="0"/>
          <w:highlight w:val="none"/>
        </w:rPr>
        <w:t>栏内</w:t>
      </w:r>
      <w:r>
        <w:rPr>
          <w:rFonts w:hint="eastAsia" w:ascii="宋体" w:hAnsi="宋体" w:eastAsia="宋体" w:cs="宋体"/>
          <w:color w:val="auto"/>
          <w:highlight w:val="none"/>
        </w:rPr>
        <w:t>发布的信息为准。</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3.采购代理机构对磋商文件的补充说明、澄清或修改，将构成本项目采购文件的一部分，对供应商具有约束力。</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补充说明、澄清或修改的内容可能影响到竞争性磋商响应文件编制的，采购代理机构将在首次提交竞争性磋商响应文件截止日5天前，发布补充说明、澄清或修改公告。不足5日的，应当顺延首次提交竞争性磋商响应文件截止之日。</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5.除非采购代理机构以书面、公告的形式对磋商文件作出澄清、修改、补充并通知到供应商，供应商对涉及磋商文件的任何推论、理解和结论所造成的结果，均由供应商自负。</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6.招标采购单位视情组织答疑会。如有产生答疑且对磋商文件内容有修改，采购代理机构将按照本须知有关规定，以补充通知（公告）的方式发出并通知到供应商。</w:t>
      </w:r>
    </w:p>
    <w:p>
      <w:pPr>
        <w:snapToGrid w:val="0"/>
        <w:spacing w:line="420" w:lineRule="exact"/>
        <w:ind w:firstLine="482" w:firstLineChars="200"/>
        <w:outlineLvl w:val="1"/>
        <w:rPr>
          <w:rFonts w:hint="eastAsia" w:ascii="宋体" w:hAnsi="宋体" w:eastAsia="宋体" w:cs="宋体"/>
          <w:b/>
          <w:bCs/>
          <w:color w:val="auto"/>
          <w:highlight w:val="none"/>
        </w:rPr>
      </w:pPr>
      <w:bookmarkStart w:id="31" w:name="_Hlk69660165"/>
      <w:r>
        <w:rPr>
          <w:rFonts w:hint="eastAsia" w:ascii="宋体" w:hAnsi="宋体" w:eastAsia="宋体" w:cs="宋体"/>
          <w:b/>
          <w:bCs/>
          <w:color w:val="auto"/>
          <w:highlight w:val="none"/>
        </w:rPr>
        <w:t>五、竞争性磋商响应文件的组成及装订</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1.竞争性磋商响应文件由：</w:t>
      </w:r>
      <w:r>
        <w:rPr>
          <w:rFonts w:hint="eastAsia" w:ascii="宋体" w:hAnsi="宋体" w:eastAsia="宋体" w:cs="宋体"/>
          <w:b/>
          <w:bCs/>
          <w:color w:val="auto"/>
          <w:highlight w:val="none"/>
        </w:rPr>
        <w:t>资格后审材料文件、竞争性磋商响应技术文件、竞争性磋商响应价格文件</w:t>
      </w:r>
      <w:r>
        <w:rPr>
          <w:rFonts w:hint="eastAsia" w:ascii="宋体" w:hAnsi="宋体" w:eastAsia="宋体" w:cs="宋体"/>
          <w:color w:val="auto"/>
          <w:highlight w:val="none"/>
        </w:rPr>
        <w:t>，共3部分组成，</w:t>
      </w:r>
      <w:r>
        <w:rPr>
          <w:rFonts w:hint="eastAsia" w:ascii="宋体" w:hAnsi="宋体" w:eastAsia="宋体" w:cs="宋体"/>
          <w:b/>
          <w:bCs/>
          <w:color w:val="auto"/>
          <w:highlight w:val="none"/>
          <w:u w:val="thick" w:color="FF0000"/>
        </w:rPr>
        <w:t>具体相关内容见本竞争性磋商文件第八章</w:t>
      </w:r>
      <w:r>
        <w:rPr>
          <w:rFonts w:hint="eastAsia" w:ascii="宋体" w:hAnsi="宋体" w:eastAsia="宋体" w:cs="宋体"/>
          <w:color w:val="auto"/>
          <w:highlight w:val="none"/>
        </w:rPr>
        <w:t>。</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供应商按竞争性磋商响应文件组成顺序编写竞争性磋商响应文件，并牢固装订成册。竞争性磋商响应文件均需采用A4纸（图纸等除外），不允许使用活页夹、拉杆夹、文件夹、塑料方便式书脊（插入式或穿孔式）装订。竞争性磋商响应文件不得行间插字、涂改、增删。修改错漏处，</w:t>
      </w:r>
      <w:r>
        <w:rPr>
          <w:rFonts w:hint="eastAsia" w:ascii="宋体" w:hAnsi="宋体" w:eastAsia="宋体" w:cs="宋体"/>
          <w:b/>
          <w:bCs/>
          <w:color w:val="auto"/>
          <w:highlight w:val="none"/>
          <w:u w:val="thick" w:color="FF0000"/>
        </w:rPr>
        <w:t>须经过供应商法人代表或自然人委托的“代理人”（以下称被委托受权人）签字或盖章（法人、其他组织须加盖公章，自然人须签名并按手印）</w:t>
      </w:r>
      <w:r>
        <w:rPr>
          <w:rFonts w:hint="eastAsia" w:ascii="宋体" w:hAnsi="宋体" w:eastAsia="宋体" w:cs="宋体"/>
          <w:color w:val="auto"/>
          <w:highlight w:val="none"/>
        </w:rPr>
        <w:t>。</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3.竞争性磋商响应价格文件中的所有报价表，必须装订成册。</w:t>
      </w:r>
    </w:p>
    <w:p>
      <w:pPr>
        <w:snapToGrid w:val="0"/>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七、竞争性磋商响应文件的份数、签署和退还</w:t>
      </w:r>
    </w:p>
    <w:p>
      <w:pPr>
        <w:snapToGrid w:val="0"/>
        <w:spacing w:line="420" w:lineRule="exact"/>
        <w:ind w:firstLine="480" w:firstLineChars="200"/>
        <w:rPr>
          <w:rFonts w:hint="eastAsia" w:ascii="宋体" w:hAnsi="宋体" w:eastAsia="宋体" w:cs="宋体"/>
          <w:b/>
          <w:bCs/>
          <w:color w:val="auto"/>
          <w:highlight w:val="none"/>
        </w:rPr>
      </w:pPr>
      <w:bookmarkStart w:id="32" w:name="_Hlk69852003"/>
      <w:r>
        <w:rPr>
          <w:rFonts w:hint="eastAsia" w:ascii="宋体" w:hAnsi="宋体" w:eastAsia="宋体" w:cs="宋体"/>
          <w:color w:val="auto"/>
          <w:highlight w:val="none"/>
        </w:rPr>
        <w:t>1.竞争性磋商响应文件，各部分均为</w:t>
      </w:r>
      <w:r>
        <w:rPr>
          <w:rFonts w:hint="eastAsia" w:ascii="宋体" w:hAnsi="宋体" w:eastAsia="宋体" w:cs="宋体"/>
          <w:b/>
          <w:bCs/>
          <w:color w:val="auto"/>
          <w:highlight w:val="none"/>
          <w:u w:val="thick" w:color="FF0000"/>
        </w:rPr>
        <w:t>壹份“正本”和贰份“副本”</w:t>
      </w:r>
      <w:r>
        <w:rPr>
          <w:rFonts w:hint="eastAsia" w:ascii="宋体" w:hAnsi="宋体" w:eastAsia="宋体" w:cs="宋体"/>
          <w:b/>
          <w:bCs/>
          <w:color w:val="auto"/>
          <w:highlight w:val="none"/>
        </w:rPr>
        <w:t>。</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2.在每一份竞争性磋商响应文件上要明确标注项目名称、项目编号、竞争性磋商响应文件各自对应的名称、供应商全称、“正本”、“副本”字样，“正本”和“副本”若有差异，概以“正本”为准。</w:t>
      </w:r>
    </w:p>
    <w:p>
      <w:pPr>
        <w:snapToGrid w:val="0"/>
        <w:spacing w:line="420" w:lineRule="exact"/>
        <w:ind w:firstLine="480" w:firstLineChars="200"/>
        <w:rPr>
          <w:rFonts w:hint="eastAsia" w:ascii="宋体" w:hAnsi="宋体" w:eastAsia="宋体" w:cs="宋体"/>
          <w:b/>
          <w:bCs/>
          <w:color w:val="auto"/>
          <w:highlight w:val="none"/>
          <w:u w:val="thick" w:color="FF0000"/>
        </w:rPr>
      </w:pPr>
      <w:r>
        <w:rPr>
          <w:rFonts w:hint="eastAsia" w:ascii="宋体" w:hAnsi="宋体" w:eastAsia="宋体" w:cs="宋体"/>
          <w:color w:val="auto"/>
          <w:highlight w:val="none"/>
        </w:rPr>
        <w:t>3.</w:t>
      </w:r>
      <w:r>
        <w:rPr>
          <w:rFonts w:hint="eastAsia" w:ascii="宋体" w:hAnsi="宋体" w:eastAsia="宋体" w:cs="宋体"/>
          <w:b/>
          <w:bCs/>
          <w:color w:val="auto"/>
          <w:highlight w:val="none"/>
          <w:u w:val="thick" w:color="FF0000"/>
        </w:rPr>
        <w:t>竞争性磋商响应文件中的所有正文内容均由参与本项目的法人、其他组织的法定代表人或自然人或者被委托受权人签字（或盖章）（法人、其他组织须加盖公章，自然人须签名并按手印）。</w:t>
      </w:r>
    </w:p>
    <w:p>
      <w:pPr>
        <w:snapToGrid w:val="0"/>
        <w:spacing w:line="42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4.</w:t>
      </w:r>
      <w:r>
        <w:rPr>
          <w:rFonts w:hint="eastAsia" w:ascii="宋体" w:hAnsi="宋体" w:eastAsia="宋体" w:cs="宋体"/>
          <w:b/>
          <w:bCs/>
          <w:color w:val="auto"/>
          <w:highlight w:val="none"/>
          <w:u w:val="thick" w:color="FF0000"/>
        </w:rPr>
        <w:t>竞争性磋商响应文件中的所有“正本”，须为打印的，所有“副本”可为“正本”的复印件</w:t>
      </w:r>
      <w:r>
        <w:rPr>
          <w:rFonts w:hint="eastAsia" w:ascii="宋体" w:hAnsi="宋体" w:eastAsia="宋体" w:cs="宋体"/>
          <w:b/>
          <w:bCs/>
          <w:color w:val="auto"/>
          <w:highlight w:val="none"/>
        </w:rPr>
        <w:t>。</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5.磋商程序顺利进行后，所有竞争性磋商响应文件都将作为档案保存，不论成交与否，采购代理机构均不退回（未拆封的除外）。</w:t>
      </w:r>
      <w:bookmarkEnd w:id="32"/>
    </w:p>
    <w:p>
      <w:pPr>
        <w:snapToGrid w:val="0"/>
        <w:spacing w:line="420" w:lineRule="exact"/>
        <w:ind w:firstLine="472" w:firstLineChars="196"/>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八、竞争性磋商响应文件的密封及标记</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1.供应商须将本项目竞争性磋商响应文件：【资格后审材料文件】、【竞争性磋商响应技术文件】、【竞争性磋商响应价格文件】</w:t>
      </w:r>
      <w:r>
        <w:rPr>
          <w:rFonts w:hint="eastAsia" w:ascii="宋体" w:hAnsi="宋体" w:eastAsia="宋体" w:cs="宋体"/>
          <w:b/>
          <w:bCs/>
          <w:color w:val="auto"/>
          <w:highlight w:val="none"/>
        </w:rPr>
        <w:t>分别单独密封</w:t>
      </w:r>
      <w:r>
        <w:rPr>
          <w:rFonts w:hint="eastAsia" w:ascii="宋体" w:hAnsi="宋体" w:eastAsia="宋体" w:cs="宋体"/>
          <w:color w:val="auto"/>
          <w:highlight w:val="none"/>
        </w:rPr>
        <w:t>。</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2.密封后，应在每一密封件上明确标注磋商项目名称、项目编号、竞争性磋商响应文件各自对应的名称、供应商全称及日期，同时加盖供应商公章。</w:t>
      </w:r>
    </w:p>
    <w:p>
      <w:pPr>
        <w:snapToGrid w:val="0"/>
        <w:spacing w:line="42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特别提醒：竞争性磋商响应文件中的【资格后审材料文件】、【竞争性磋商响应技术文件】的“正本”或“副本”内，均不得含有任何【竞争性磋商响应价格文件】中的报价表（报价单）的内容，否则作无效磋商处理</w:t>
      </w:r>
      <w:r>
        <w:rPr>
          <w:rFonts w:hint="eastAsia" w:ascii="宋体" w:hAnsi="宋体" w:eastAsia="宋体" w:cs="宋体"/>
          <w:color w:val="auto"/>
          <w:highlight w:val="none"/>
        </w:rPr>
        <w:t>。</w:t>
      </w:r>
      <w:bookmarkEnd w:id="31"/>
    </w:p>
    <w:p>
      <w:pPr>
        <w:snapToGrid w:val="0"/>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九、磋商报价</w:t>
      </w:r>
    </w:p>
    <w:p>
      <w:pPr>
        <w:snapToGrid w:val="0"/>
        <w:spacing w:line="420" w:lineRule="exact"/>
        <w:ind w:firstLine="496" w:firstLineChars="206"/>
        <w:rPr>
          <w:rFonts w:hint="eastAsia" w:ascii="宋体" w:hAnsi="宋体" w:eastAsia="宋体" w:cs="宋体"/>
          <w:b/>
          <w:bCs/>
          <w:color w:val="auto"/>
          <w:highlight w:val="none"/>
        </w:rPr>
      </w:pPr>
      <w:r>
        <w:rPr>
          <w:rFonts w:hint="eastAsia" w:ascii="宋体" w:hAnsi="宋体" w:eastAsia="宋体" w:cs="宋体"/>
          <w:b/>
          <w:bCs/>
          <w:color w:val="auto"/>
          <w:highlight w:val="none"/>
        </w:rPr>
        <w:t>【特别提醒】本项目价格响应涉及</w:t>
      </w:r>
      <w:r>
        <w:rPr>
          <w:rFonts w:hint="eastAsia" w:ascii="宋体" w:hAnsi="宋体" w:eastAsia="宋体" w:cs="宋体"/>
          <w:b/>
          <w:bCs/>
          <w:color w:val="auto"/>
          <w:highlight w:val="none"/>
          <w:lang w:val="en-US" w:eastAsia="zh-CN"/>
        </w:rPr>
        <w:t>固定总价报价</w:t>
      </w:r>
      <w:r>
        <w:rPr>
          <w:rFonts w:hint="eastAsia" w:ascii="宋体" w:hAnsi="宋体" w:eastAsia="宋体" w:cs="宋体"/>
          <w:b/>
          <w:bCs/>
          <w:color w:val="auto"/>
          <w:highlight w:val="none"/>
        </w:rPr>
        <w:t>，无论材料、人工、税费等价格在成交后至项目履约期间的上涨或下跌，项目总价不作任何调整。</w:t>
      </w:r>
    </w:p>
    <w:p>
      <w:pPr>
        <w:snapToGrid w:val="0"/>
        <w:spacing w:line="420" w:lineRule="exact"/>
        <w:ind w:firstLine="494" w:firstLineChars="206"/>
        <w:rPr>
          <w:rFonts w:hint="eastAsia" w:ascii="宋体" w:hAnsi="宋体" w:eastAsia="宋体" w:cs="宋体"/>
          <w:color w:val="auto"/>
          <w:highlight w:val="none"/>
        </w:rPr>
      </w:pPr>
      <w:r>
        <w:rPr>
          <w:rFonts w:hint="eastAsia" w:ascii="宋体" w:hAnsi="宋体" w:eastAsia="宋体" w:cs="宋体"/>
          <w:color w:val="auto"/>
          <w:highlight w:val="none"/>
        </w:rPr>
        <w:t>1.本项目不接受任何有选择的报价。</w:t>
      </w:r>
    </w:p>
    <w:p>
      <w:pPr>
        <w:snapToGrid w:val="0"/>
        <w:spacing w:line="420" w:lineRule="exact"/>
        <w:ind w:firstLine="494" w:firstLineChars="206"/>
        <w:rPr>
          <w:rFonts w:hint="eastAsia" w:ascii="宋体" w:hAnsi="宋体" w:eastAsia="宋体" w:cs="宋体"/>
          <w:color w:val="auto"/>
          <w:highlight w:val="none"/>
        </w:rPr>
      </w:pPr>
      <w:r>
        <w:rPr>
          <w:rFonts w:hint="eastAsia" w:ascii="宋体" w:hAnsi="宋体" w:eastAsia="宋体" w:cs="宋体"/>
          <w:color w:val="auto"/>
          <w:highlight w:val="none"/>
        </w:rPr>
        <w:t>2.磋商报价均以人民币为报价的货币单位。</w:t>
      </w:r>
    </w:p>
    <w:p>
      <w:pPr>
        <w:snapToGrid w:val="0"/>
        <w:spacing w:line="420" w:lineRule="exact"/>
        <w:ind w:firstLine="494" w:firstLineChars="206"/>
        <w:rPr>
          <w:rFonts w:hint="eastAsia" w:ascii="宋体" w:hAnsi="宋体" w:eastAsia="宋体" w:cs="宋体"/>
          <w:color w:val="auto"/>
          <w:highlight w:val="none"/>
        </w:rPr>
      </w:pPr>
      <w:r>
        <w:rPr>
          <w:rFonts w:hint="eastAsia" w:ascii="宋体" w:hAnsi="宋体" w:eastAsia="宋体" w:cs="宋体"/>
          <w:color w:val="auto"/>
          <w:highlight w:val="none"/>
        </w:rPr>
        <w:t>3.</w:t>
      </w:r>
      <w:bookmarkStart w:id="33" w:name="_Hlk86875455"/>
      <w:r>
        <w:rPr>
          <w:rFonts w:hint="eastAsia" w:ascii="宋体" w:hAnsi="宋体" w:eastAsia="宋体" w:cs="宋体"/>
          <w:color w:val="auto"/>
          <w:highlight w:val="none"/>
        </w:rPr>
        <w:t>磋商报价表须经供应商法人代表或自然人或其被委托受权人签字或盖章（法人、其他组织须加盖公章，自然人须签名并按手印）。</w:t>
      </w:r>
      <w:bookmarkEnd w:id="33"/>
    </w:p>
    <w:p>
      <w:pPr>
        <w:snapToGrid w:val="0"/>
        <w:spacing w:line="420" w:lineRule="exact"/>
        <w:ind w:firstLine="494" w:firstLineChars="206"/>
        <w:rPr>
          <w:rFonts w:hint="eastAsia" w:ascii="宋体" w:hAnsi="宋体" w:eastAsia="宋体" w:cs="宋体"/>
          <w:color w:val="auto"/>
          <w:highlight w:val="none"/>
        </w:rPr>
      </w:pPr>
      <w:r>
        <w:rPr>
          <w:rFonts w:hint="eastAsia" w:ascii="宋体" w:hAnsi="宋体" w:eastAsia="宋体" w:cs="宋体"/>
          <w:color w:val="auto"/>
          <w:highlight w:val="none"/>
        </w:rPr>
        <w:t>4.报价出现前后不一致的，按照下列规定修正：</w:t>
      </w:r>
    </w:p>
    <w:p>
      <w:pPr>
        <w:snapToGrid w:val="0"/>
        <w:spacing w:line="420" w:lineRule="exact"/>
        <w:ind w:firstLine="494" w:firstLineChars="206"/>
        <w:rPr>
          <w:rFonts w:hint="eastAsia" w:ascii="宋体" w:hAnsi="宋体" w:eastAsia="宋体" w:cs="宋体"/>
          <w:color w:val="auto"/>
          <w:highlight w:val="none"/>
        </w:rPr>
      </w:pPr>
      <w:r>
        <w:rPr>
          <w:rFonts w:hint="eastAsia" w:ascii="宋体" w:hAnsi="宋体" w:eastAsia="宋体" w:cs="宋体"/>
          <w:color w:val="auto"/>
          <w:highlight w:val="none"/>
        </w:rPr>
        <w:t>（1）磋商响应文件中报价总表内容与磋商响应文件中的相应内容不一致的，以报价总表为准；</w:t>
      </w:r>
    </w:p>
    <w:p>
      <w:pPr>
        <w:snapToGrid w:val="0"/>
        <w:spacing w:line="420" w:lineRule="exact"/>
        <w:ind w:firstLine="494" w:firstLineChars="206"/>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pPr>
        <w:snapToGrid w:val="0"/>
        <w:spacing w:line="420" w:lineRule="exact"/>
        <w:ind w:firstLine="494" w:firstLineChars="206"/>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（3）单价金额小数点或者百分比有明显错位的，以报价总表中的总价为准，并修改单价；</w:t>
      </w:r>
    </w:p>
    <w:p>
      <w:pPr>
        <w:snapToGrid w:val="0"/>
        <w:spacing w:line="420" w:lineRule="exact"/>
        <w:ind w:firstLine="494" w:firstLineChars="206"/>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pPr>
        <w:snapToGrid w:val="0"/>
        <w:spacing w:line="420" w:lineRule="exact"/>
        <w:ind w:firstLine="494" w:firstLineChars="206"/>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同时出现两种以上不一致的，按照前款规定的顺序修正。修正后的报价应当由磋商响应供应商的法定代表人或自然人或授权的代表签字确认后产生约束力，磋商响应供应商不确认的，其磋商响应无效。</w:t>
      </w:r>
    </w:p>
    <w:p>
      <w:pPr>
        <w:snapToGrid w:val="0"/>
        <w:spacing w:line="420" w:lineRule="exact"/>
        <w:ind w:firstLine="494" w:firstLineChars="206"/>
        <w:rPr>
          <w:rFonts w:hint="eastAsia" w:ascii="宋体" w:hAnsi="宋体" w:eastAsia="宋体" w:cs="宋体"/>
          <w:color w:val="auto"/>
          <w:highlight w:val="none"/>
        </w:rPr>
      </w:pPr>
      <w:r>
        <w:rPr>
          <w:rFonts w:hint="eastAsia" w:ascii="宋体" w:hAnsi="宋体" w:eastAsia="宋体" w:cs="宋体"/>
          <w:color w:val="auto"/>
          <w:highlight w:val="none"/>
        </w:rPr>
        <w:t>5.竞争性磋商响应报价</w:t>
      </w:r>
      <w:bookmarkStart w:id="34" w:name="_Hlk95267725"/>
      <w:r>
        <w:rPr>
          <w:rFonts w:hint="eastAsia" w:ascii="宋体" w:hAnsi="宋体" w:eastAsia="宋体" w:cs="宋体"/>
          <w:color w:val="auto"/>
          <w:highlight w:val="none"/>
        </w:rPr>
        <w:t>总价</w:t>
      </w:r>
      <w:bookmarkEnd w:id="34"/>
      <w:r>
        <w:rPr>
          <w:rFonts w:hint="eastAsia" w:ascii="宋体" w:hAnsi="宋体" w:eastAsia="宋体" w:cs="宋体"/>
          <w:color w:val="auto"/>
          <w:highlight w:val="none"/>
        </w:rPr>
        <w:t>应包括本项目的全部费用(含一切必须的辅助材料费用)及相关服务费等。报价中应包含</w:t>
      </w:r>
      <w:r>
        <w:rPr>
          <w:rFonts w:hint="eastAsia" w:ascii="宋体" w:hAnsi="宋体" w:eastAsia="宋体" w:cs="宋体"/>
          <w:color w:val="auto"/>
          <w:highlight w:val="none"/>
          <w:lang w:val="en-US" w:eastAsia="zh-CN"/>
        </w:rPr>
        <w:t>原设备的拆除费用、材料费、货物运至最终目的地的运输费、装车费、卸车费、有关部门的手续费、采购与保管费、改造费、模拟盘费、安全器具费、包装费、保险费、安装调试费、管理费、税费、技术服务费、质保费等政策性文件规定及合同包含的所有风险、责任等各项应有费用。</w:t>
      </w:r>
      <w:r>
        <w:rPr>
          <w:rFonts w:hint="eastAsia" w:ascii="宋体" w:hAnsi="宋体" w:eastAsia="宋体" w:cs="宋体"/>
          <w:color w:val="auto"/>
          <w:highlight w:val="none"/>
        </w:rPr>
        <w:t>以上相关费用由投标单位自行考虑并包含在投标总价中，结算时一律不再调整（建筑垃圾清运必须符合有关部门的规定）。应充分考虑市场风险和供货过程中可能发生的费用进行报价。本费用为一次性包干，结算时不作调整。</w:t>
      </w:r>
    </w:p>
    <w:p>
      <w:pPr>
        <w:snapToGrid w:val="0"/>
        <w:spacing w:line="420" w:lineRule="exact"/>
        <w:ind w:firstLine="494" w:firstLineChars="206"/>
        <w:rPr>
          <w:rFonts w:hint="eastAsia" w:ascii="宋体" w:hAnsi="宋体" w:eastAsia="宋体" w:cs="宋体"/>
          <w:color w:val="auto"/>
          <w:highlight w:val="none"/>
        </w:rPr>
      </w:pPr>
      <w:r>
        <w:rPr>
          <w:rFonts w:hint="eastAsia" w:ascii="宋体" w:hAnsi="宋体" w:eastAsia="宋体" w:cs="宋体"/>
          <w:color w:val="auto"/>
          <w:highlight w:val="none"/>
        </w:rPr>
        <w:t>本项目要求成交供应商提供的发票为增值税发票（一般纳税人，税率9%），如提交的发票不是增值税发票（一般纳税人，税率9%）的，则成交供应商需将两者之间的税率差补缴给采购人（成交供应商不补缴的，采购人可直接从合同款中扣除。）</w:t>
      </w:r>
    </w:p>
    <w:p>
      <w:pPr>
        <w:snapToGrid w:val="0"/>
        <w:spacing w:line="420" w:lineRule="exact"/>
        <w:ind w:firstLine="480" w:firstLineChars="200"/>
        <w:rPr>
          <w:rFonts w:hint="eastAsia" w:ascii="宋体" w:hAnsi="宋体" w:eastAsia="宋体" w:cs="宋体"/>
          <w:b/>
          <w:bCs/>
          <w:color w:val="auto"/>
          <w:highlight w:val="none"/>
        </w:rPr>
      </w:pPr>
      <w:r>
        <w:rPr>
          <w:rFonts w:hint="eastAsia" w:ascii="宋体" w:hAnsi="宋体" w:eastAsia="宋体" w:cs="宋体"/>
          <w:color w:val="auto"/>
          <w:highlight w:val="none"/>
        </w:rPr>
        <w:t>6.</w:t>
      </w:r>
      <w:r>
        <w:rPr>
          <w:rFonts w:hint="eastAsia" w:ascii="宋体" w:hAnsi="宋体" w:eastAsia="宋体" w:cs="宋体"/>
          <w:b/>
          <w:bCs/>
          <w:color w:val="auto"/>
          <w:highlight w:val="none"/>
        </w:rPr>
        <w:t>本磋商项目响应报价有现场最终（二次）报价</w:t>
      </w:r>
      <w:r>
        <w:rPr>
          <w:rFonts w:hint="eastAsia" w:ascii="宋体" w:hAnsi="宋体" w:eastAsia="宋体" w:cs="宋体"/>
          <w:color w:val="auto"/>
          <w:highlight w:val="none"/>
        </w:rPr>
        <w:t>。最低的磋商报价是成交的重要条件，但不是成交的唯一条件。</w:t>
      </w:r>
      <w:r>
        <w:rPr>
          <w:rFonts w:hint="eastAsia" w:ascii="宋体" w:hAnsi="宋体" w:eastAsia="宋体" w:cs="宋体"/>
          <w:b/>
          <w:bCs/>
          <w:color w:val="auto"/>
          <w:highlight w:val="none"/>
          <w:u w:val="thick" w:color="FF0000"/>
        </w:rPr>
        <w:t>注：本项目有最后报价，如成交，则按比例计算到项目首次报价的各项明细价格中。</w:t>
      </w:r>
    </w:p>
    <w:p>
      <w:pPr>
        <w:snapToGrid w:val="0"/>
        <w:spacing w:line="420" w:lineRule="exact"/>
        <w:ind w:firstLine="494" w:firstLineChars="206"/>
        <w:rPr>
          <w:rFonts w:hint="eastAsia" w:ascii="宋体" w:hAnsi="宋体" w:eastAsia="宋体" w:cs="宋体"/>
          <w:color w:val="auto"/>
          <w:highlight w:val="none"/>
        </w:rPr>
      </w:pPr>
      <w:r>
        <w:rPr>
          <w:rFonts w:hint="eastAsia" w:ascii="宋体" w:hAnsi="宋体" w:eastAsia="宋体" w:cs="宋体"/>
          <w:color w:val="auto"/>
          <w:highlight w:val="none"/>
        </w:rPr>
        <w:t>7.成交供应商的成交价在合同实施期间不因市场变化因素而变动。</w:t>
      </w:r>
    </w:p>
    <w:p>
      <w:pPr>
        <w:snapToGrid w:val="0"/>
        <w:spacing w:line="420" w:lineRule="exact"/>
        <w:ind w:firstLine="494" w:firstLineChars="206"/>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8</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lang w:val="en-US" w:eastAsia="zh-CN"/>
        </w:rPr>
        <w:t>本项目采购代理费按计价格[2011]534号文标准向成交人收取，不足3000元的按3000元收取；评审费用按南通市财政局通财购（2018）18号文件执行按实结算，供应商须综合考虑在投标报价内（不单列）。</w:t>
      </w:r>
    </w:p>
    <w:p>
      <w:pPr>
        <w:snapToGrid w:val="0"/>
        <w:spacing w:line="420" w:lineRule="exact"/>
        <w:ind w:firstLine="494" w:firstLineChars="206"/>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供应商应详细阅读磋商文件的全部内容，根据采购项目需求，准确制定相关工作方案等，必须对本采购项目全部进行报价，如有漏项，视同对本项目的优惠。不按磋商文件的要求提供竞争性磋商响应文件，导致报价无效，按无效磋商处理。</w:t>
      </w:r>
    </w:p>
    <w:p>
      <w:pPr>
        <w:snapToGrid w:val="0"/>
        <w:spacing w:line="420" w:lineRule="exact"/>
        <w:ind w:firstLine="496" w:firstLineChars="206"/>
        <w:outlineLvl w:val="1"/>
        <w:rPr>
          <w:rFonts w:hint="eastAsia" w:ascii="宋体" w:hAnsi="宋体" w:eastAsia="宋体" w:cs="宋体"/>
          <w:color w:val="auto"/>
          <w:highlight w:val="none"/>
        </w:rPr>
      </w:pPr>
      <w:r>
        <w:rPr>
          <w:rFonts w:hint="eastAsia" w:ascii="宋体" w:hAnsi="宋体" w:eastAsia="宋体" w:cs="宋体"/>
          <w:b/>
          <w:bCs/>
          <w:color w:val="auto"/>
          <w:highlight w:val="none"/>
        </w:rPr>
        <w:t>十、竞争性磋商响应文件的有效期</w:t>
      </w:r>
    </w:p>
    <w:p>
      <w:pPr>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1.从竞争性磋商响应文件接收截止之日算起，</w:t>
      </w:r>
      <w:r>
        <w:rPr>
          <w:rFonts w:hint="eastAsia" w:ascii="宋体" w:hAnsi="宋体" w:eastAsia="宋体" w:cs="宋体"/>
          <w:b/>
          <w:bCs/>
          <w:color w:val="auto"/>
          <w:highlight w:val="none"/>
        </w:rPr>
        <w:t>45</w:t>
      </w:r>
      <w:r>
        <w:rPr>
          <w:rFonts w:hint="eastAsia" w:ascii="宋体" w:hAnsi="宋体" w:eastAsia="宋体" w:cs="宋体"/>
          <w:color w:val="auto"/>
          <w:highlight w:val="none"/>
        </w:rPr>
        <w:t>个“日历天”内投标书应保持有效。有效期短于这个规定期限的投标，将被拒绝。</w:t>
      </w:r>
    </w:p>
    <w:p>
      <w:pPr>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在特殊情况下，采购代理机构可与竞争性磋商响应供应商协商延长投标书的有效期。这种要求和答复都应以书面、传真、或电报的形式进行。同意延长有效期的竞争性磋商响应供应商不能修改竞争性磋商响应文件。拒绝接受延期要求的竞争性磋商响应供应商的投标将被拒绝。</w:t>
      </w:r>
    </w:p>
    <w:p>
      <w:pPr>
        <w:snapToGrid w:val="0"/>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十一、磋商费用</w:t>
      </w:r>
    </w:p>
    <w:p>
      <w:pPr>
        <w:snapToGrid w:val="0"/>
        <w:spacing w:line="420" w:lineRule="exact"/>
        <w:ind w:firstLine="494" w:firstLineChars="206"/>
        <w:rPr>
          <w:rFonts w:hint="eastAsia" w:ascii="宋体" w:hAnsi="宋体" w:eastAsia="宋体" w:cs="宋体"/>
          <w:color w:val="auto"/>
          <w:highlight w:val="none"/>
        </w:rPr>
      </w:pPr>
      <w:r>
        <w:rPr>
          <w:rFonts w:hint="eastAsia" w:ascii="宋体" w:hAnsi="宋体" w:eastAsia="宋体" w:cs="宋体"/>
          <w:color w:val="auto"/>
          <w:highlight w:val="none"/>
        </w:rPr>
        <w:t>无论磋商过程和结果如何，供应商自行承担与本项目磋商有关的全部费用。</w:t>
      </w:r>
    </w:p>
    <w:p>
      <w:pPr>
        <w:snapToGrid w:val="0"/>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十二、未尽事宜</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按《中华人民共和国政府采购法》及《政府采购竞争性磋商采购方式管理暂行办法》与其他有关法律法规的规定执行。</w:t>
      </w:r>
    </w:p>
    <w:p>
      <w:pPr>
        <w:snapToGrid w:val="0"/>
        <w:spacing w:line="420" w:lineRule="exact"/>
        <w:ind w:firstLine="480" w:firstLineChars="200"/>
        <w:rPr>
          <w:rFonts w:hint="eastAsia" w:ascii="宋体" w:hAnsi="宋体" w:eastAsia="宋体" w:cs="宋体"/>
          <w:color w:val="auto"/>
          <w:highlight w:val="none"/>
        </w:rPr>
      </w:pPr>
    </w:p>
    <w:p>
      <w:pPr>
        <w:snapToGrid w:val="0"/>
        <w:spacing w:line="420" w:lineRule="exact"/>
        <w:ind w:firstLine="480" w:firstLineChars="200"/>
        <w:rPr>
          <w:rFonts w:hint="eastAsia" w:ascii="宋体" w:hAnsi="宋体" w:eastAsia="宋体" w:cs="宋体"/>
          <w:color w:val="auto"/>
          <w:highlight w:val="none"/>
        </w:rPr>
      </w:pPr>
    </w:p>
    <w:p>
      <w:pPr>
        <w:snapToGrid w:val="0"/>
        <w:spacing w:line="420" w:lineRule="exact"/>
        <w:ind w:firstLine="480" w:firstLineChars="200"/>
        <w:rPr>
          <w:rFonts w:hint="eastAsia" w:ascii="宋体" w:hAnsi="宋体" w:eastAsia="宋体" w:cs="宋体"/>
          <w:color w:val="auto"/>
          <w:highlight w:val="none"/>
        </w:rPr>
      </w:pPr>
    </w:p>
    <w:p>
      <w:pPr>
        <w:snapToGrid w:val="0"/>
        <w:spacing w:line="420" w:lineRule="exact"/>
        <w:ind w:firstLine="480" w:firstLineChars="200"/>
        <w:rPr>
          <w:rFonts w:hint="eastAsia" w:ascii="宋体" w:hAnsi="宋体" w:eastAsia="宋体" w:cs="宋体"/>
          <w:color w:val="auto"/>
          <w:highlight w:val="none"/>
        </w:rPr>
      </w:pPr>
    </w:p>
    <w:p>
      <w:pPr>
        <w:snapToGrid w:val="0"/>
        <w:spacing w:line="420" w:lineRule="exact"/>
        <w:ind w:firstLine="480" w:firstLineChars="200"/>
        <w:rPr>
          <w:rFonts w:hint="eastAsia" w:ascii="宋体" w:hAnsi="宋体" w:eastAsia="宋体" w:cs="宋体"/>
          <w:color w:val="auto"/>
          <w:highlight w:val="none"/>
        </w:rPr>
      </w:pPr>
    </w:p>
    <w:p>
      <w:pPr>
        <w:snapToGrid w:val="0"/>
        <w:spacing w:line="420" w:lineRule="exact"/>
        <w:ind w:firstLine="480" w:firstLineChars="200"/>
        <w:rPr>
          <w:rFonts w:hint="eastAsia" w:ascii="宋体" w:hAnsi="宋体" w:eastAsia="宋体" w:cs="宋体"/>
          <w:color w:val="auto"/>
          <w:highlight w:val="none"/>
        </w:rPr>
      </w:pPr>
    </w:p>
    <w:p>
      <w:pPr>
        <w:snapToGrid w:val="0"/>
        <w:spacing w:line="420" w:lineRule="exact"/>
        <w:ind w:firstLine="480" w:firstLineChars="200"/>
        <w:rPr>
          <w:rFonts w:hint="eastAsia" w:ascii="宋体" w:hAnsi="宋体" w:eastAsia="宋体" w:cs="宋体"/>
          <w:color w:val="auto"/>
          <w:highlight w:val="none"/>
        </w:rPr>
      </w:pPr>
    </w:p>
    <w:p>
      <w:pPr>
        <w:snapToGrid w:val="0"/>
        <w:spacing w:line="420" w:lineRule="exact"/>
        <w:ind w:firstLine="480" w:firstLineChars="200"/>
        <w:rPr>
          <w:rFonts w:hint="eastAsia" w:ascii="宋体" w:hAnsi="宋体" w:eastAsia="宋体" w:cs="宋体"/>
          <w:color w:val="auto"/>
          <w:highlight w:val="none"/>
        </w:rPr>
      </w:pPr>
    </w:p>
    <w:p>
      <w:pPr>
        <w:snapToGrid w:val="0"/>
        <w:spacing w:line="420" w:lineRule="exact"/>
        <w:ind w:firstLine="480" w:firstLineChars="200"/>
        <w:rPr>
          <w:rFonts w:hint="eastAsia" w:ascii="宋体" w:hAnsi="宋体" w:eastAsia="宋体" w:cs="宋体"/>
          <w:color w:val="auto"/>
          <w:highlight w:val="none"/>
        </w:rPr>
      </w:pPr>
    </w:p>
    <w:p>
      <w:pPr>
        <w:snapToGrid w:val="0"/>
        <w:spacing w:line="420" w:lineRule="exact"/>
        <w:ind w:firstLine="480" w:firstLineChars="200"/>
        <w:rPr>
          <w:rFonts w:hint="eastAsia" w:ascii="宋体" w:hAnsi="宋体" w:eastAsia="宋体" w:cs="宋体"/>
          <w:color w:val="auto"/>
          <w:highlight w:val="none"/>
        </w:rPr>
      </w:pPr>
    </w:p>
    <w:p>
      <w:pPr>
        <w:tabs>
          <w:tab w:val="left" w:pos="1050"/>
          <w:tab w:val="right" w:leader="dot" w:pos="9402"/>
        </w:tabs>
        <w:spacing w:before="312" w:beforeLines="100" w:line="600" w:lineRule="exact"/>
        <w:jc w:val="center"/>
        <w:outlineLvl w:val="0"/>
        <w:rPr>
          <w:rFonts w:hint="eastAsia" w:ascii="宋体" w:hAnsi="宋体" w:eastAsia="宋体" w:cs="宋体"/>
          <w:b/>
          <w:bCs/>
          <w:color w:val="auto"/>
          <w:w w:val="80"/>
          <w:sz w:val="36"/>
          <w:szCs w:val="36"/>
          <w:highlight w:val="none"/>
        </w:rPr>
        <w:sectPr>
          <w:pgSz w:w="11906" w:h="16838"/>
          <w:pgMar w:top="1418" w:right="851" w:bottom="851" w:left="1418" w:header="851" w:footer="471" w:gutter="0"/>
          <w:cols w:space="425" w:num="1"/>
          <w:docGrid w:type="lines" w:linePitch="312" w:charSpace="0"/>
        </w:sectPr>
      </w:pPr>
      <w:bookmarkStart w:id="35" w:name="_Toc363573855"/>
    </w:p>
    <w:p>
      <w:pPr>
        <w:numPr>
          <w:ilvl w:val="0"/>
          <w:numId w:val="2"/>
        </w:numPr>
        <w:tabs>
          <w:tab w:val="left" w:pos="1050"/>
          <w:tab w:val="right" w:leader="dot" w:pos="9402"/>
        </w:tabs>
        <w:spacing w:before="312" w:beforeLines="100" w:line="600" w:lineRule="exact"/>
        <w:jc w:val="center"/>
        <w:outlineLvl w:val="0"/>
        <w:rPr>
          <w:rFonts w:hint="default" w:ascii="宋体" w:hAnsi="宋体" w:eastAsia="宋体" w:cs="宋体"/>
          <w:b/>
          <w:bCs/>
          <w:color w:val="auto"/>
          <w:w w:val="80"/>
          <w:sz w:val="36"/>
          <w:szCs w:val="36"/>
          <w:highlight w:val="none"/>
          <w:lang w:val="en-US" w:eastAsia="zh-CN"/>
        </w:rPr>
      </w:pPr>
      <w:r>
        <w:rPr>
          <w:rFonts w:hint="eastAsia" w:ascii="宋体" w:hAnsi="宋体" w:eastAsia="宋体" w:cs="宋体"/>
          <w:b/>
          <w:bCs/>
          <w:color w:val="auto"/>
          <w:w w:val="80"/>
          <w:sz w:val="36"/>
          <w:szCs w:val="36"/>
          <w:highlight w:val="none"/>
        </w:rPr>
        <w:t xml:space="preserve"> 项目需求</w:t>
      </w:r>
      <w:bookmarkEnd w:id="35"/>
    </w:p>
    <w:p>
      <w:pPr>
        <w:spacing w:line="420" w:lineRule="exact"/>
        <w:ind w:firstLine="482" w:firstLineChars="200"/>
        <w:outlineLvl w:val="1"/>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一、项目需求</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3059"/>
        <w:gridCol w:w="288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pPr>
              <w:spacing w:line="420" w:lineRule="exact"/>
              <w:jc w:val="center"/>
              <w:outlineLvl w:val="1"/>
              <w:rPr>
                <w:rFonts w:hint="eastAsia" w:ascii="宋体" w:hAnsi="宋体" w:eastAsia="宋体" w:cs="宋体"/>
                <w:b/>
                <w:bCs/>
                <w:color w:val="auto"/>
                <w:highlight w:val="none"/>
                <w:lang w:val="en-US" w:eastAsia="zh-CN"/>
              </w:rPr>
            </w:pPr>
            <w:bookmarkStart w:id="36" w:name="_Toc13642116"/>
            <w:r>
              <w:rPr>
                <w:rFonts w:hint="eastAsia" w:ascii="宋体" w:hAnsi="宋体" w:eastAsia="宋体" w:cs="宋体"/>
                <w:b/>
                <w:bCs/>
                <w:color w:val="auto"/>
                <w:highlight w:val="none"/>
                <w:lang w:val="en-US" w:eastAsia="zh-CN"/>
              </w:rPr>
              <w:t>序号</w:t>
            </w:r>
          </w:p>
        </w:tc>
        <w:tc>
          <w:tcPr>
            <w:tcW w:w="3059" w:type="dxa"/>
            <w:noWrap w:val="0"/>
            <w:vAlign w:val="center"/>
          </w:tcPr>
          <w:p>
            <w:pPr>
              <w:spacing w:line="420" w:lineRule="exact"/>
              <w:ind w:firstLine="482" w:firstLineChars="200"/>
              <w:jc w:val="both"/>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项目名称</w:t>
            </w:r>
          </w:p>
        </w:tc>
        <w:tc>
          <w:tcPr>
            <w:tcW w:w="2881" w:type="dxa"/>
            <w:noWrap w:val="0"/>
            <w:vAlign w:val="center"/>
          </w:tcPr>
          <w:p>
            <w:pPr>
              <w:spacing w:line="420" w:lineRule="exact"/>
              <w:ind w:firstLine="482" w:firstLineChars="200"/>
              <w:jc w:val="both"/>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主体规格</w:t>
            </w:r>
          </w:p>
        </w:tc>
        <w:tc>
          <w:tcPr>
            <w:tcW w:w="1381" w:type="dxa"/>
            <w:noWrap w:val="0"/>
            <w:vAlign w:val="center"/>
          </w:tcPr>
          <w:p>
            <w:pPr>
              <w:spacing w:line="420" w:lineRule="exact"/>
              <w:jc w:val="center"/>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201" w:type="dxa"/>
            <w:noWrap w:val="0"/>
            <w:vAlign w:val="center"/>
          </w:tcPr>
          <w:p>
            <w:pPr>
              <w:spacing w:line="420" w:lineRule="exact"/>
              <w:ind w:firstLine="482" w:firstLineChars="200"/>
              <w:jc w:val="both"/>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w:t>
            </w:r>
          </w:p>
        </w:tc>
        <w:tc>
          <w:tcPr>
            <w:tcW w:w="3059" w:type="dxa"/>
            <w:noWrap w:val="0"/>
            <w:vAlign w:val="center"/>
          </w:tcPr>
          <w:p>
            <w:pPr>
              <w:spacing w:line="420" w:lineRule="exact"/>
              <w:jc w:val="center"/>
              <w:outlineLvl w:val="1"/>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城港路56号配电间低压改造项目</w:t>
            </w:r>
          </w:p>
        </w:tc>
        <w:tc>
          <w:tcPr>
            <w:tcW w:w="2881" w:type="dxa"/>
            <w:noWrap w:val="0"/>
            <w:vAlign w:val="center"/>
          </w:tcPr>
          <w:p>
            <w:pPr>
              <w:spacing w:line="420" w:lineRule="exact"/>
              <w:jc w:val="left"/>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定制设备</w:t>
            </w:r>
          </w:p>
        </w:tc>
        <w:tc>
          <w:tcPr>
            <w:tcW w:w="1381" w:type="dxa"/>
            <w:noWrap w:val="0"/>
            <w:vAlign w:val="center"/>
          </w:tcPr>
          <w:p>
            <w:pPr>
              <w:spacing w:line="420" w:lineRule="exact"/>
              <w:jc w:val="center"/>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pPr>
              <w:spacing w:line="420" w:lineRule="exact"/>
              <w:ind w:firstLine="482" w:firstLineChars="200"/>
              <w:jc w:val="both"/>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p>
        </w:tc>
        <w:tc>
          <w:tcPr>
            <w:tcW w:w="3059" w:type="dxa"/>
            <w:noWrap w:val="0"/>
            <w:vAlign w:val="center"/>
          </w:tcPr>
          <w:p>
            <w:pPr>
              <w:spacing w:line="420" w:lineRule="exact"/>
              <w:ind w:firstLine="482" w:firstLineChars="200"/>
              <w:jc w:val="both"/>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空调</w:t>
            </w:r>
          </w:p>
        </w:tc>
        <w:tc>
          <w:tcPr>
            <w:tcW w:w="2881" w:type="dxa"/>
            <w:noWrap w:val="0"/>
            <w:vAlign w:val="center"/>
          </w:tcPr>
          <w:p>
            <w:pPr>
              <w:spacing w:line="420" w:lineRule="exact"/>
              <w:jc w:val="left"/>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立式，3P</w:t>
            </w:r>
          </w:p>
          <w:p>
            <w:pPr>
              <w:spacing w:line="420" w:lineRule="exact"/>
              <w:jc w:val="left"/>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制冷量(W)：7300；制冷功率(W)：2370；制热量(W)：8000；制热功率(W)：2480；电辅加热功率(W)：2500</w:t>
            </w:r>
          </w:p>
        </w:tc>
        <w:tc>
          <w:tcPr>
            <w:tcW w:w="1381" w:type="dxa"/>
            <w:noWrap w:val="0"/>
            <w:vAlign w:val="center"/>
          </w:tcPr>
          <w:p>
            <w:pPr>
              <w:spacing w:line="420" w:lineRule="exact"/>
              <w:jc w:val="center"/>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1台</w:t>
            </w:r>
          </w:p>
        </w:tc>
      </w:tr>
    </w:tbl>
    <w:p>
      <w:pPr>
        <w:spacing w:line="420" w:lineRule="exact"/>
        <w:ind w:firstLine="482" w:firstLineChars="200"/>
        <w:outlineLvl w:val="1"/>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注：其余内容详见附件图纸。中标供应商需无条件响应图纸中的各项参数，若中标后提供的设备各项参数存在负偏离的情况，采购单位有权不接受，相关后果由中标供应商自行承担。</w:t>
      </w:r>
    </w:p>
    <w:p>
      <w:pPr>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二</w:t>
      </w:r>
      <w:r>
        <w:rPr>
          <w:rFonts w:hint="eastAsia" w:ascii="宋体" w:hAnsi="宋体" w:eastAsia="宋体" w:cs="宋体"/>
          <w:b/>
          <w:bCs/>
          <w:color w:val="auto"/>
          <w:highlight w:val="none"/>
        </w:rPr>
        <w:t>、其他约定</w:t>
      </w:r>
    </w:p>
    <w:p>
      <w:pPr>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、投标单位</w:t>
      </w:r>
      <w:r>
        <w:rPr>
          <w:rFonts w:hint="eastAsia" w:ascii="宋体" w:hAnsi="宋体" w:eastAsia="宋体" w:cs="宋体"/>
          <w:b/>
          <w:bCs/>
          <w:color w:val="auto"/>
          <w:highlight w:val="none"/>
          <w:lang w:val="en-US" w:eastAsia="zh-CN"/>
        </w:rPr>
        <w:t>需</w:t>
      </w:r>
      <w:r>
        <w:rPr>
          <w:rFonts w:hint="eastAsia" w:ascii="宋体" w:hAnsi="宋体" w:eastAsia="宋体" w:cs="宋体"/>
          <w:b/>
          <w:bCs/>
          <w:color w:val="auto"/>
          <w:highlight w:val="none"/>
        </w:rPr>
        <w:t>自行踏勘现场后根据施工现场情况及现行规定，自行拟定切实可行的施工方案，不得以场地、施工现状及条件等为由提出额外要求和增加工程费用，招标人不再对此项费用另行签证。</w:t>
      </w:r>
    </w:p>
    <w:p>
      <w:pPr>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、投标人自行考察施工现场情况，采取切实可行的措施，尽可能减小对周围环境秩序的影响以及解决好周边群众关系，所有费用包含在投标报价中，竣工结算时一律不作调整。</w:t>
      </w:r>
    </w:p>
    <w:p>
      <w:pPr>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承包人应严格按《建设工程安全生产管理条例》等法律法规要求采取安全措施组织施工，全面负责施工现场的安全及第三方人生安全，杜绝安全事故发生，如发生安全事故，由此带来的一切责任均由承包人全权承担。</w:t>
      </w:r>
    </w:p>
    <w:p>
      <w:pPr>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、施工期间，乙方施工人员须服从甲方代表的指挥，自行做好与其他单位及群众的协调工作，并保护好场地内部及周边设施，如有破坏，由承包人全权负责，费用将从工程款中扣除。</w:t>
      </w:r>
    </w:p>
    <w:p>
      <w:pPr>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、其他</w:t>
      </w:r>
    </w:p>
    <w:p>
      <w:pPr>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1）工期：自</w:t>
      </w:r>
      <w:r>
        <w:rPr>
          <w:rFonts w:hint="eastAsia" w:ascii="宋体" w:hAnsi="宋体" w:eastAsia="宋体" w:cs="宋体"/>
          <w:b/>
          <w:bCs/>
          <w:color w:val="auto"/>
          <w:highlight w:val="none"/>
          <w:lang w:val="en-US" w:eastAsia="zh-CN"/>
        </w:rPr>
        <w:t>合同签订之日起3</w:t>
      </w:r>
      <w:r>
        <w:rPr>
          <w:rFonts w:hint="eastAsia" w:ascii="宋体" w:hAnsi="宋体" w:eastAsia="宋体" w:cs="宋体"/>
          <w:b/>
          <w:bCs/>
          <w:color w:val="auto"/>
          <w:highlight w:val="none"/>
        </w:rPr>
        <w:t>0日历天内完成改造并通过验收。</w:t>
      </w:r>
    </w:p>
    <w:p>
      <w:pPr>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2）施工地点：城港路56（原港闸区委党校配电间）。</w:t>
      </w:r>
    </w:p>
    <w:p>
      <w:pPr>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3）工程质量标准：合格（满足采购人要求）。</w:t>
      </w:r>
    </w:p>
    <w:p>
      <w:pPr>
        <w:spacing w:line="420" w:lineRule="exact"/>
        <w:ind w:firstLine="482" w:firstLineChars="200"/>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4）质保期：2年。</w:t>
      </w:r>
    </w:p>
    <w:p>
      <w:pPr>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、履约保证金：金额为</w:t>
      </w:r>
      <w:r>
        <w:rPr>
          <w:rFonts w:hint="eastAsia" w:ascii="宋体" w:hAnsi="宋体" w:eastAsia="宋体" w:cs="宋体"/>
          <w:b/>
          <w:bCs/>
          <w:color w:val="auto"/>
          <w:highlight w:val="none"/>
          <w:lang w:val="zh-CN"/>
        </w:rPr>
        <w:t>合同价款的10%。履约保证金在</w:t>
      </w:r>
      <w:r>
        <w:rPr>
          <w:rFonts w:hint="eastAsia" w:ascii="宋体" w:hAnsi="宋体" w:eastAsia="宋体" w:cs="宋体"/>
          <w:b/>
          <w:bCs/>
          <w:color w:val="auto"/>
          <w:highlight w:val="none"/>
        </w:rPr>
        <w:t>改造完成且经采购单位验收合格后</w:t>
      </w:r>
      <w:r>
        <w:rPr>
          <w:rFonts w:hint="eastAsia" w:ascii="宋体" w:hAnsi="宋体" w:eastAsia="宋体" w:cs="宋体"/>
          <w:b/>
          <w:bCs/>
          <w:color w:val="auto"/>
          <w:highlight w:val="none"/>
          <w:lang w:val="zh-CN"/>
        </w:rPr>
        <w:t>无息退还。</w:t>
      </w:r>
    </w:p>
    <w:p>
      <w:pPr>
        <w:spacing w:line="420" w:lineRule="exact"/>
        <w:ind w:firstLine="482" w:firstLineChars="200"/>
        <w:outlineLvl w:val="1"/>
        <w:rPr>
          <w:rFonts w:hint="eastAsia" w:ascii="宋体" w:hAnsi="宋体" w:eastAsia="宋体" w:cs="宋体"/>
          <w:b/>
          <w:bCs/>
          <w:color w:val="auto"/>
          <w:highlight w:val="none"/>
        </w:rPr>
      </w:pPr>
    </w:p>
    <w:bookmarkEnd w:id="36"/>
    <w:p>
      <w:pPr>
        <w:spacing w:line="420" w:lineRule="exact"/>
        <w:ind w:firstLine="482" w:firstLineChars="200"/>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三、付款方式</w:t>
      </w:r>
    </w:p>
    <w:p>
      <w:pPr>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工程竣工验收合格并向业主提供完整的竣工验收资料并提交结算资料后一个月内付至合同价的70%；工程竣工验收合格满一年后一个月内付至工程审定价的97%，余款（3%作为质保金）在质保期满后一个月内付清。以上付款均不计利息</w:t>
      </w:r>
    </w:p>
    <w:p>
      <w:pPr>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乙方每次付款前须提供齐全的付款资料，</w:t>
      </w:r>
      <w:r>
        <w:rPr>
          <w:rFonts w:hint="eastAsia" w:ascii="宋体" w:hAnsi="宋体" w:eastAsia="宋体" w:cs="宋体"/>
          <w:b/>
          <w:bCs/>
          <w:color w:val="auto"/>
          <w:highlight w:val="none"/>
          <w:lang w:val="en-US" w:eastAsia="zh-CN"/>
        </w:rPr>
        <w:t>需提供</w:t>
      </w:r>
      <w:r>
        <w:rPr>
          <w:rFonts w:hint="eastAsia" w:ascii="宋体" w:hAnsi="宋体" w:eastAsia="宋体" w:cs="宋体"/>
          <w:b/>
          <w:bCs/>
          <w:color w:val="auto"/>
          <w:highlight w:val="none"/>
        </w:rPr>
        <w:t>经国家认可的增值税发票（一般纳税人，税率9%）。</w:t>
      </w:r>
    </w:p>
    <w:p>
      <w:pPr>
        <w:spacing w:line="420" w:lineRule="exact"/>
        <w:ind w:firstLine="482" w:firstLineChars="200"/>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如乙方提供的发票不是增值税发票（一般纳税人，税率9%）的，则乙方需</w:t>
      </w:r>
      <w:r>
        <w:rPr>
          <w:rFonts w:hint="eastAsia" w:ascii="宋体" w:hAnsi="宋体" w:eastAsia="宋体" w:cs="宋体"/>
          <w:b/>
          <w:bCs/>
          <w:color w:val="auto"/>
          <w:highlight w:val="none"/>
          <w:lang w:val="en-US" w:eastAsia="zh-CN"/>
        </w:rPr>
        <w:t>将两者之间的税率差补缴给甲方（乙方不补缴的，甲方可直接从合同款中扣除。）</w:t>
      </w:r>
    </w:p>
    <w:p>
      <w:pPr>
        <w:spacing w:line="420" w:lineRule="exact"/>
        <w:ind w:firstLine="482" w:firstLineChars="200"/>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注：最终付款金额不得高于合同价。</w:t>
      </w:r>
    </w:p>
    <w:p>
      <w:pPr>
        <w:snapToGrid w:val="0"/>
        <w:spacing w:line="420" w:lineRule="exact"/>
        <w:ind w:firstLine="566" w:firstLineChars="236"/>
        <w:rPr>
          <w:rFonts w:hint="eastAsia" w:ascii="宋体" w:hAnsi="宋体" w:eastAsia="宋体" w:cs="宋体"/>
          <w:color w:val="auto"/>
          <w:highlight w:val="none"/>
        </w:rPr>
      </w:pPr>
    </w:p>
    <w:p>
      <w:pPr>
        <w:snapToGrid w:val="0"/>
        <w:spacing w:line="420" w:lineRule="exact"/>
        <w:ind w:firstLine="566" w:firstLineChars="236"/>
        <w:rPr>
          <w:rFonts w:hint="eastAsia" w:ascii="宋体" w:hAnsi="宋体" w:eastAsia="宋体" w:cs="宋体"/>
          <w:color w:val="auto"/>
          <w:highlight w:val="none"/>
        </w:rPr>
      </w:pPr>
    </w:p>
    <w:p>
      <w:pPr>
        <w:snapToGrid w:val="0"/>
        <w:spacing w:line="420" w:lineRule="exact"/>
        <w:ind w:firstLine="566" w:firstLineChars="236"/>
        <w:rPr>
          <w:rFonts w:hint="eastAsia" w:ascii="宋体" w:hAnsi="宋体" w:eastAsia="宋体" w:cs="宋体"/>
          <w:color w:val="auto"/>
          <w:highlight w:val="none"/>
        </w:rPr>
      </w:pPr>
    </w:p>
    <w:p>
      <w:pPr>
        <w:snapToGrid w:val="0"/>
        <w:spacing w:line="420" w:lineRule="exact"/>
        <w:ind w:firstLine="566" w:firstLineChars="236"/>
        <w:rPr>
          <w:rFonts w:hint="eastAsia" w:ascii="宋体" w:hAnsi="宋体" w:eastAsia="宋体" w:cs="宋体"/>
          <w:color w:val="auto"/>
          <w:highlight w:val="none"/>
        </w:rPr>
      </w:pPr>
    </w:p>
    <w:p>
      <w:pPr>
        <w:snapToGrid w:val="0"/>
        <w:spacing w:line="420" w:lineRule="exact"/>
        <w:ind w:firstLine="566" w:firstLineChars="236"/>
        <w:rPr>
          <w:rFonts w:hint="eastAsia" w:ascii="宋体" w:hAnsi="宋体" w:eastAsia="宋体" w:cs="宋体"/>
          <w:color w:val="auto"/>
          <w:highlight w:val="none"/>
        </w:rPr>
      </w:pPr>
    </w:p>
    <w:p>
      <w:pPr>
        <w:snapToGrid w:val="0"/>
        <w:spacing w:line="420" w:lineRule="exact"/>
        <w:ind w:firstLine="566" w:firstLineChars="236"/>
        <w:rPr>
          <w:rFonts w:hint="eastAsia" w:ascii="宋体" w:hAnsi="宋体" w:eastAsia="宋体" w:cs="宋体"/>
          <w:color w:val="auto"/>
          <w:highlight w:val="none"/>
        </w:rPr>
      </w:pPr>
    </w:p>
    <w:p>
      <w:pPr>
        <w:snapToGrid w:val="0"/>
        <w:spacing w:line="420" w:lineRule="exact"/>
        <w:ind w:firstLine="566" w:firstLineChars="236"/>
        <w:rPr>
          <w:rFonts w:hint="eastAsia" w:ascii="宋体" w:hAnsi="宋体" w:eastAsia="宋体" w:cs="宋体"/>
          <w:color w:val="auto"/>
          <w:highlight w:val="none"/>
        </w:rPr>
      </w:pPr>
    </w:p>
    <w:p>
      <w:pPr>
        <w:snapToGrid w:val="0"/>
        <w:spacing w:line="420" w:lineRule="exact"/>
        <w:ind w:firstLine="566" w:firstLineChars="236"/>
        <w:rPr>
          <w:rFonts w:hint="eastAsia" w:ascii="宋体" w:hAnsi="宋体" w:eastAsia="宋体" w:cs="宋体"/>
          <w:color w:val="auto"/>
          <w:highlight w:val="none"/>
        </w:rPr>
      </w:pPr>
    </w:p>
    <w:p>
      <w:pPr>
        <w:snapToGrid w:val="0"/>
        <w:spacing w:line="420" w:lineRule="exact"/>
        <w:ind w:firstLine="566" w:firstLineChars="236"/>
        <w:rPr>
          <w:rFonts w:hint="eastAsia" w:ascii="宋体" w:hAnsi="宋体" w:eastAsia="宋体" w:cs="宋体"/>
          <w:color w:val="auto"/>
          <w:highlight w:val="none"/>
        </w:rPr>
      </w:pPr>
    </w:p>
    <w:p>
      <w:pPr>
        <w:snapToGrid w:val="0"/>
        <w:spacing w:line="420" w:lineRule="exact"/>
        <w:ind w:firstLine="566" w:firstLineChars="236"/>
        <w:rPr>
          <w:rFonts w:hint="eastAsia" w:ascii="宋体" w:hAnsi="宋体" w:eastAsia="宋体" w:cs="宋体"/>
          <w:color w:val="auto"/>
          <w:highlight w:val="none"/>
        </w:rPr>
      </w:pPr>
    </w:p>
    <w:p>
      <w:pPr>
        <w:tabs>
          <w:tab w:val="left" w:pos="1050"/>
          <w:tab w:val="right" w:leader="dot" w:pos="9402"/>
        </w:tabs>
        <w:spacing w:before="312" w:beforeLines="100" w:line="600" w:lineRule="exact"/>
        <w:jc w:val="center"/>
        <w:outlineLvl w:val="0"/>
        <w:rPr>
          <w:rFonts w:hint="eastAsia" w:ascii="宋体" w:hAnsi="宋体" w:eastAsia="宋体" w:cs="宋体"/>
          <w:b/>
          <w:bCs/>
          <w:color w:val="auto"/>
          <w:w w:val="80"/>
          <w:sz w:val="36"/>
          <w:szCs w:val="36"/>
          <w:highlight w:val="none"/>
        </w:rPr>
        <w:sectPr>
          <w:pgSz w:w="11906" w:h="16838"/>
          <w:pgMar w:top="1418" w:right="851" w:bottom="851" w:left="1418" w:header="851" w:footer="471" w:gutter="0"/>
          <w:cols w:space="425" w:num="1"/>
          <w:docGrid w:type="lines" w:linePitch="312" w:charSpace="0"/>
        </w:sectPr>
      </w:pPr>
    </w:p>
    <w:p>
      <w:pPr>
        <w:tabs>
          <w:tab w:val="left" w:pos="1050"/>
          <w:tab w:val="right" w:leader="dot" w:pos="9402"/>
        </w:tabs>
        <w:spacing w:before="312" w:beforeLines="100" w:line="600" w:lineRule="exact"/>
        <w:jc w:val="center"/>
        <w:outlineLvl w:val="0"/>
        <w:rPr>
          <w:rFonts w:hint="eastAsia" w:ascii="宋体" w:hAnsi="宋体" w:eastAsia="宋体" w:cs="宋体"/>
          <w:b/>
          <w:bCs/>
          <w:color w:val="auto"/>
          <w:w w:val="80"/>
          <w:sz w:val="36"/>
          <w:szCs w:val="36"/>
          <w:highlight w:val="none"/>
        </w:rPr>
      </w:pPr>
      <w:r>
        <w:rPr>
          <w:rFonts w:hint="eastAsia" w:ascii="宋体" w:hAnsi="宋体" w:eastAsia="宋体" w:cs="宋体"/>
          <w:b/>
          <w:bCs/>
          <w:color w:val="auto"/>
          <w:w w:val="80"/>
          <w:sz w:val="36"/>
          <w:szCs w:val="36"/>
          <w:highlight w:val="none"/>
        </w:rPr>
        <w:t>第四章</w:t>
      </w:r>
      <w:bookmarkStart w:id="37" w:name="_Toc182848996"/>
      <w:r>
        <w:rPr>
          <w:rFonts w:hint="eastAsia" w:ascii="宋体" w:hAnsi="宋体" w:eastAsia="宋体" w:cs="宋体"/>
          <w:b/>
          <w:bCs/>
          <w:color w:val="auto"/>
          <w:w w:val="80"/>
          <w:sz w:val="36"/>
          <w:szCs w:val="36"/>
          <w:highlight w:val="none"/>
        </w:rPr>
        <w:t xml:space="preserve">  评审程序和方法</w:t>
      </w:r>
    </w:p>
    <w:p>
      <w:pPr>
        <w:snapToGrid w:val="0"/>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一、采购人委托采购代理机构组织磋商</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本次竞争性磋商依据相关法规成立竞争性磋商小组。竞争性磋商小组由采购人代表和评审专家共计3人及以上单数组成，其中评审专家人数不得少于竞争性磋商小组成员总数的2/3。本项目竞争性磋商小组评审专家共3人。</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采用竞争性磋商方式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3.竞争性磋商响应供应商的法定代表人或被委托受权人须持身份证准时参加磋商评审会。</w:t>
      </w:r>
    </w:p>
    <w:p>
      <w:pPr>
        <w:snapToGrid w:val="0"/>
        <w:spacing w:line="420" w:lineRule="exact"/>
        <w:ind w:firstLine="482" w:firstLineChars="200"/>
        <w:outlineLvl w:val="1"/>
        <w:rPr>
          <w:rFonts w:hint="eastAsia" w:ascii="宋体" w:hAnsi="宋体" w:eastAsia="宋体" w:cs="宋体"/>
          <w:color w:val="auto"/>
          <w:highlight w:val="none"/>
        </w:rPr>
      </w:pPr>
      <w:r>
        <w:rPr>
          <w:rFonts w:hint="eastAsia" w:ascii="宋体" w:hAnsi="宋体" w:eastAsia="宋体" w:cs="宋体"/>
          <w:b/>
          <w:bCs/>
          <w:color w:val="auto"/>
          <w:highlight w:val="none"/>
        </w:rPr>
        <w:t>二、开启</w:t>
      </w:r>
    </w:p>
    <w:p>
      <w:pPr>
        <w:adjustRightInd w:val="0"/>
        <w:snapToGrid w:val="0"/>
        <w:spacing w:line="420" w:lineRule="exact"/>
        <w:ind w:firstLine="484" w:firstLineChars="202"/>
        <w:rPr>
          <w:rFonts w:hint="eastAsia" w:ascii="宋体" w:hAnsi="宋体" w:eastAsia="宋体" w:cs="宋体"/>
          <w:color w:val="auto"/>
          <w:highlight w:val="none"/>
        </w:rPr>
      </w:pPr>
      <w:bookmarkStart w:id="38" w:name="_Hlk45420790"/>
      <w:r>
        <w:rPr>
          <w:rFonts w:hint="eastAsia" w:ascii="宋体" w:hAnsi="宋体" w:eastAsia="宋体" w:cs="宋体"/>
          <w:color w:val="auto"/>
          <w:highlight w:val="none"/>
        </w:rPr>
        <w:t>1.竞争性磋商响应供应商不足3家的，不得开启。</w:t>
      </w:r>
      <w:bookmarkEnd w:id="38"/>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2.开启时间：</w:t>
      </w:r>
      <w:r>
        <w:rPr>
          <w:rFonts w:hint="eastAsia" w:ascii="宋体" w:hAnsi="宋体" w:eastAsia="宋体" w:cs="宋体"/>
          <w:b/>
          <w:bCs/>
          <w:color w:val="auto"/>
          <w:highlight w:val="none"/>
          <w:u w:val="thick" w:color="FF0000"/>
        </w:rPr>
        <w:t>2022年</w:t>
      </w:r>
      <w:r>
        <w:rPr>
          <w:rFonts w:hint="eastAsia" w:ascii="宋体" w:hAnsi="宋体" w:eastAsia="宋体" w:cs="宋体"/>
          <w:b/>
          <w:bCs/>
          <w:color w:val="auto"/>
          <w:highlight w:val="none"/>
          <w:u w:val="thick" w:color="FF0000"/>
          <w:lang w:val="en-US" w:eastAsia="zh-CN"/>
        </w:rPr>
        <w:t>4</w:t>
      </w:r>
      <w:r>
        <w:rPr>
          <w:rFonts w:hint="eastAsia" w:ascii="宋体" w:hAnsi="宋体" w:eastAsia="宋体" w:cs="宋体"/>
          <w:b/>
          <w:bCs/>
          <w:color w:val="auto"/>
          <w:highlight w:val="none"/>
          <w:u w:val="thick" w:color="FF0000"/>
        </w:rPr>
        <w:t>月</w:t>
      </w:r>
      <w:r>
        <w:rPr>
          <w:rFonts w:hint="eastAsia" w:ascii="宋体" w:hAnsi="宋体" w:eastAsia="宋体" w:cs="宋体"/>
          <w:b/>
          <w:bCs/>
          <w:color w:val="auto"/>
          <w:highlight w:val="none"/>
          <w:u w:val="thick" w:color="FF0000"/>
          <w:lang w:val="en-US" w:eastAsia="zh-CN"/>
        </w:rPr>
        <w:t>11</w:t>
      </w:r>
      <w:r>
        <w:rPr>
          <w:rFonts w:hint="eastAsia" w:ascii="宋体" w:hAnsi="宋体" w:eastAsia="宋体" w:cs="宋体"/>
          <w:b/>
          <w:bCs/>
          <w:color w:val="auto"/>
          <w:highlight w:val="none"/>
          <w:u w:val="thick" w:color="FF0000"/>
        </w:rPr>
        <w:t>日</w:t>
      </w:r>
      <w:r>
        <w:rPr>
          <w:rFonts w:hint="eastAsia" w:ascii="宋体" w:hAnsi="宋体" w:eastAsia="宋体" w:cs="宋体"/>
          <w:b/>
          <w:bCs/>
          <w:color w:val="auto"/>
          <w:highlight w:val="none"/>
          <w:u w:val="thick" w:color="FF0000"/>
          <w:lang w:val="en-US" w:eastAsia="zh-CN"/>
        </w:rPr>
        <w:t>9</w:t>
      </w:r>
      <w:r>
        <w:rPr>
          <w:rFonts w:hint="eastAsia" w:ascii="宋体" w:hAnsi="宋体" w:eastAsia="宋体" w:cs="宋体"/>
          <w:b/>
          <w:bCs/>
          <w:color w:val="auto"/>
          <w:highlight w:val="none"/>
          <w:u w:val="thick" w:color="FF0000"/>
        </w:rPr>
        <w:t>时</w:t>
      </w:r>
      <w:r>
        <w:rPr>
          <w:rFonts w:hint="eastAsia" w:ascii="宋体" w:hAnsi="宋体" w:eastAsia="宋体" w:cs="宋体"/>
          <w:b/>
          <w:bCs/>
          <w:color w:val="auto"/>
          <w:highlight w:val="none"/>
          <w:u w:val="thick" w:color="FF0000"/>
          <w:lang w:val="en-US" w:eastAsia="zh-CN"/>
        </w:rPr>
        <w:t>30分</w:t>
      </w:r>
      <w:r>
        <w:rPr>
          <w:rFonts w:hint="eastAsia" w:ascii="宋体" w:hAnsi="宋体" w:eastAsia="宋体" w:cs="宋体"/>
          <w:color w:val="auto"/>
          <w:highlight w:val="none"/>
        </w:rPr>
        <w:t>。开启地点：</w:t>
      </w:r>
      <w:r>
        <w:rPr>
          <w:rFonts w:hint="eastAsia" w:ascii="宋体" w:hAnsi="宋体" w:eastAsia="宋体" w:cs="宋体"/>
          <w:b/>
          <w:bCs/>
          <w:color w:val="auto"/>
          <w:highlight w:val="none"/>
          <w:u w:val="thick" w:color="FF0000"/>
        </w:rPr>
        <w:t>南通市崇川区机关事务服务中心会议室</w:t>
      </w:r>
      <w:r>
        <w:rPr>
          <w:rFonts w:hint="eastAsia" w:ascii="宋体" w:hAnsi="宋体" w:eastAsia="宋体" w:cs="宋体"/>
          <w:color w:val="auto"/>
          <w:highlight w:val="none"/>
        </w:rPr>
        <w:t>，如有变动另行通知；</w:t>
      </w:r>
    </w:p>
    <w:p>
      <w:pPr>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3.采购代理机构主持开启并记录，及时处理竞争性磋商响应供应商代表提出的询问或回避申请。</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4.开启后竞争性磋商响应供应商不得撤回竞争性磋商响应文件，否则将被视作失信行为而被列入“政府采购严重违法失信行为记录名单”。</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5.开启后，采购人委托竞争性磋商小组根据磋商文件载明的资格审查要求，对供应商的资格进行审查（含信用信息审查），合格的竞争性磋商响应供应商进入评审，参与项目的磋商技术响应、磋商价格响应磋商评审综合环节。</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6.资格审查时间：</w:t>
      </w:r>
      <w:r>
        <w:rPr>
          <w:rFonts w:hint="eastAsia" w:ascii="宋体" w:hAnsi="宋体" w:eastAsia="宋体" w:cs="宋体"/>
          <w:b/>
          <w:bCs/>
          <w:color w:val="auto"/>
          <w:highlight w:val="none"/>
          <w:u w:val="thick" w:color="FF0000"/>
        </w:rPr>
        <w:t>本项目开启后当即开始</w:t>
      </w:r>
      <w:r>
        <w:rPr>
          <w:rFonts w:hint="eastAsia" w:ascii="宋体" w:hAnsi="宋体" w:eastAsia="宋体" w:cs="宋体"/>
          <w:color w:val="auto"/>
          <w:highlight w:val="none"/>
        </w:rPr>
        <w:t>。</w:t>
      </w:r>
    </w:p>
    <w:p>
      <w:pPr>
        <w:adjustRightInd w:val="0"/>
        <w:snapToGrid w:val="0"/>
        <w:spacing w:line="420" w:lineRule="exact"/>
        <w:ind w:firstLine="487" w:firstLineChars="202"/>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三、评审</w:t>
      </w:r>
    </w:p>
    <w:p>
      <w:pPr>
        <w:snapToGrid w:val="0"/>
        <w:spacing w:line="420" w:lineRule="exact"/>
        <w:ind w:firstLine="482" w:firstLineChars="200"/>
        <w:outlineLvl w:val="2"/>
        <w:rPr>
          <w:rFonts w:hint="eastAsia" w:ascii="宋体" w:hAnsi="宋体" w:eastAsia="宋体" w:cs="宋体"/>
          <w:b/>
          <w:bCs/>
          <w:color w:val="auto"/>
          <w:highlight w:val="none"/>
        </w:rPr>
      </w:pPr>
      <w:r>
        <w:rPr>
          <w:rFonts w:hint="eastAsia" w:ascii="宋体" w:hAnsi="宋体" w:eastAsia="宋体" w:cs="宋体"/>
          <w:b/>
          <w:bCs/>
          <w:color w:val="auto"/>
          <w:highlight w:val="none"/>
        </w:rPr>
        <w:t>（一）评审事项</w:t>
      </w:r>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bookmarkStart w:id="39" w:name="_Hlk45420967"/>
      <w:r>
        <w:rPr>
          <w:rFonts w:hint="eastAsia" w:ascii="宋体" w:hAnsi="宋体" w:eastAsia="宋体" w:cs="宋体"/>
          <w:color w:val="auto"/>
          <w:highlight w:val="none"/>
        </w:rPr>
        <w:t>符合资格要求的竞争性磋商响应供应商不足3家的，不得评审；</w:t>
      </w:r>
      <w:bookmarkEnd w:id="39"/>
    </w:p>
    <w:p>
      <w:pPr>
        <w:snapToGrid w:val="0"/>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2.评审时间：</w:t>
      </w:r>
      <w:r>
        <w:rPr>
          <w:rFonts w:hint="eastAsia" w:ascii="宋体" w:hAnsi="宋体" w:eastAsia="宋体" w:cs="宋体"/>
          <w:b/>
          <w:bCs/>
          <w:color w:val="auto"/>
          <w:highlight w:val="none"/>
          <w:u w:val="thick" w:color="FF0000"/>
        </w:rPr>
        <w:t>本项目资格审查后当即开始</w:t>
      </w:r>
      <w:r>
        <w:rPr>
          <w:rFonts w:hint="eastAsia" w:ascii="宋体" w:hAnsi="宋体" w:eastAsia="宋体" w:cs="宋体"/>
          <w:color w:val="auto"/>
          <w:highlight w:val="none"/>
        </w:rPr>
        <w:t>；</w:t>
      </w:r>
    </w:p>
    <w:p>
      <w:pPr>
        <w:adjustRightInd w:val="0"/>
        <w:snapToGrid w:val="0"/>
        <w:spacing w:line="420" w:lineRule="exact"/>
        <w:ind w:firstLine="484" w:firstLineChars="202"/>
        <w:rPr>
          <w:rFonts w:hint="eastAsia" w:ascii="宋体" w:hAnsi="宋体" w:eastAsia="宋体" w:cs="宋体"/>
          <w:color w:val="auto"/>
          <w:highlight w:val="none"/>
        </w:rPr>
      </w:pPr>
      <w:bookmarkStart w:id="40" w:name="_Hlk45421153"/>
      <w:r>
        <w:rPr>
          <w:rFonts w:hint="eastAsia" w:ascii="宋体" w:hAnsi="宋体" w:eastAsia="宋体" w:cs="宋体"/>
          <w:color w:val="auto"/>
          <w:highlight w:val="none"/>
        </w:rPr>
        <w:t>3.采购代理机构负责组织评审工作，并履行下列职责：</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（1）核对评审专家身份和采购人代表授权函，对评审专家在采购活动中的职责履行情况予以记录，并及时将有关违法违规行为向财政部门报告。</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（2）宣布评审纪律。</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（3）公布竞争性磋商响应供应商名单，告知评审专家应当回避的情形。</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（4）组织竞争性磋商小组推选评审组长，采购人代表不得担任组长。</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（5）在评审期间采取必要的通讯管理措施，保证评审活动不受外界干扰；除采购人代表、评审现场组织人员外，采购人的其他工作人员以及与评审工作无关的人员不得进入评审现场。</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（6）根据竞争性磋商小组的要求介绍采购相关政策法规、竞争性磋商文件。</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7）维护评审秩序，监督竞争性磋商小组依照竞争性磋商文件规定的评审程序、方法和标准进行独立评审，及时制止和纠正采购人代表、评审专家的倾向性言论或者违法违规行为；采购人可以在评审前说明项目背景和采购需求，说明内容不得含有歧视性、倾向性意见，不得超出竞争性磋商文件所述范围。说明应当提交书面材料，并随采购文件一并存档。</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8）核对评审结果，除资格性检查认定错误、分值汇总计算错误、分项评分超出评分标准范围、客观分评分不一致、经竞争性磋商小组一致认定评分畸高、畸低的情形外，采购人或者采购代理机构不得以任何理由组织重新评审。采购人、采购代理机构发现竞争性磋商小组未按照磋商文件规定的评审标准进行评审的，应当重新开展采购活动，并同时书面报告本级财政部门。</w:t>
      </w:r>
    </w:p>
    <w:p>
      <w:pPr>
        <w:snapToGrid w:val="0"/>
        <w:spacing w:line="420" w:lineRule="exact"/>
        <w:ind w:firstLine="487" w:firstLineChars="202"/>
        <w:textAlignment w:val="baseline"/>
        <w:rPr>
          <w:rFonts w:hint="eastAsia" w:ascii="宋体" w:hAnsi="宋体" w:eastAsia="宋体" w:cs="宋体"/>
          <w:color w:val="auto"/>
          <w:highlight w:val="none"/>
        </w:rPr>
      </w:pPr>
      <w:r>
        <w:rPr>
          <w:rFonts w:hint="eastAsia" w:ascii="宋体" w:hAnsi="宋体" w:eastAsia="宋体" w:cs="宋体"/>
          <w:b/>
          <w:bCs/>
          <w:color w:val="auto"/>
          <w:highlight w:val="none"/>
        </w:rPr>
        <w:t>（9）</w:t>
      </w:r>
      <w:r>
        <w:rPr>
          <w:rFonts w:hint="eastAsia" w:ascii="宋体" w:hAnsi="宋体" w:eastAsia="宋体" w:cs="宋体"/>
          <w:b/>
          <w:bCs/>
          <w:color w:val="auto"/>
          <w:highlight w:val="none"/>
          <w:u w:val="thick" w:color="FF0000"/>
        </w:rPr>
        <w:t>评审工作完成后，采购代理机构向评审专家支付规定的劳务报酬和异地评审差旅费，不得向评审专家以外的其他人员支付评审劳务报酬</w:t>
      </w:r>
      <w:r>
        <w:rPr>
          <w:rFonts w:hint="eastAsia" w:ascii="宋体" w:hAnsi="宋体" w:eastAsia="宋体" w:cs="宋体"/>
          <w:b/>
          <w:bCs/>
          <w:color w:val="auto"/>
          <w:highlight w:val="none"/>
        </w:rPr>
        <w:t>。</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（10）处理与评审有关的其他事项。</w:t>
      </w:r>
    </w:p>
    <w:bookmarkEnd w:id="40"/>
    <w:p>
      <w:pPr>
        <w:adjustRightInd w:val="0"/>
        <w:snapToGrid w:val="0"/>
        <w:spacing w:line="420" w:lineRule="exact"/>
        <w:ind w:firstLine="487" w:firstLineChars="202"/>
        <w:rPr>
          <w:rFonts w:hint="eastAsia" w:ascii="宋体" w:hAnsi="宋体" w:eastAsia="宋体" w:cs="宋体"/>
          <w:b/>
          <w:bCs/>
          <w:color w:val="auto"/>
          <w:highlight w:val="none"/>
        </w:rPr>
      </w:pPr>
      <w:r>
        <w:rPr>
          <w:rFonts w:hint="eastAsia" w:ascii="宋体" w:hAnsi="宋体" w:eastAsia="宋体" w:cs="宋体"/>
          <w:b/>
          <w:bCs/>
          <w:color w:val="auto"/>
          <w:highlight w:val="none"/>
        </w:rPr>
        <w:t>4.竞争性磋商小组负责具体的磋商评审事务，并独立履行以下职责：</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（1）审查合格竞争性磋商响应供应商的技术竞争性磋商响应文件是否实质性响应竞争性磋商文件要求，并做出评价；</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（2）可以要求竞争性磋商响应供应商对竞争性磋商响应文件中的有关事项做出解释或澄清；</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（3）按竞争性磋商文件载明的方法确定成交人；</w:t>
      </w:r>
    </w:p>
    <w:p>
      <w:pPr>
        <w:snapToGrid w:val="0"/>
        <w:spacing w:line="420" w:lineRule="exact"/>
        <w:ind w:left="2"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4）竞争性磋商小组发现竞争性磋商文件存在歧义、重大缺陷导致磋商评审工作无法进行，或者竞争性磋商文件内容违反国家有关强制性规定的，应当停止磋商评审工作，与采购人或者采购代理机构沟通并作书面记录。采购人或者采购代理机构确认后，应当修改竞争性磋商文件，重新组织采购活动。</w:t>
      </w:r>
    </w:p>
    <w:p>
      <w:pPr>
        <w:adjustRightInd w:val="0"/>
        <w:snapToGrid w:val="0"/>
        <w:spacing w:line="420" w:lineRule="exact"/>
        <w:ind w:firstLine="487" w:firstLineChars="202"/>
        <w:rPr>
          <w:rFonts w:hint="eastAsia" w:ascii="宋体" w:hAnsi="宋体" w:eastAsia="宋体" w:cs="宋体"/>
          <w:b/>
          <w:bCs/>
          <w:color w:val="auto"/>
          <w:highlight w:val="none"/>
        </w:rPr>
      </w:pPr>
      <w:r>
        <w:rPr>
          <w:rFonts w:hint="eastAsia" w:ascii="宋体" w:hAnsi="宋体" w:eastAsia="宋体" w:cs="宋体"/>
          <w:b/>
          <w:bCs/>
          <w:color w:val="auto"/>
          <w:highlight w:val="none"/>
        </w:rPr>
        <w:t>5.竞争性磋商小组成员应当履行下列义务：</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（1）遵纪守法，客观、公正、廉洁地履行职责；</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（2）竞争性磋商小组成员应当按照客观、公正、审慎的原则，根据磋商文件规定的评审程序、评审方法和评审标准进行独立评审并对评审意见承担个人责任。</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（3）竞争性磋商小组成员应当遵守评审工作纪律，不得泄露磋商评审情况和磋商评审中获悉的商业秘密；</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（4）磋商评审程序中的有关记录由竞争性磋商小组成员签名，存档备查。</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（5）竞争性磋商小组成员在评审过程中发现供应商有行贿、提供虚假材料或者串通等违法行为的，应当及时向上级主管部门或监管部门报告。</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（6）磋商评委在磋商评审过程中受到非法干涉的，应当及时向监管部门举报。</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（7）竞争性磋商小组成员有义务及责任配合采购人答复供应商提出的质疑，配合监管部门的投诉处理和监督检查工作。</w:t>
      </w:r>
    </w:p>
    <w:p>
      <w:pPr>
        <w:adjustRightInd w:val="0"/>
        <w:snapToGrid w:val="0"/>
        <w:spacing w:line="420" w:lineRule="exact"/>
        <w:ind w:firstLine="487" w:firstLineChars="202"/>
        <w:rPr>
          <w:rFonts w:hint="eastAsia" w:ascii="宋体" w:hAnsi="宋体" w:eastAsia="宋体" w:cs="宋体"/>
          <w:b/>
          <w:bCs/>
          <w:color w:val="auto"/>
          <w:highlight w:val="none"/>
        </w:rPr>
      </w:pPr>
      <w:r>
        <w:rPr>
          <w:rFonts w:hint="eastAsia" w:ascii="宋体" w:hAnsi="宋体" w:eastAsia="宋体" w:cs="宋体"/>
          <w:b/>
          <w:bCs/>
          <w:color w:val="auto"/>
          <w:highlight w:val="none"/>
        </w:rPr>
        <w:t>6.竞争性磋商小组成员参与项目评审活动前应当禁止的情形：</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（1）未将通讯工具交由采购人或代理机构统一保管；</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（2）与供应商存在利害关系未回避；</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（3）收受采购人、采购代理机构、供应商贿赂或者获取其他不正当利益；</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（4）确定参与本项目评审至评审活动结束前私自接触供应商；</w:t>
      </w:r>
    </w:p>
    <w:p>
      <w:pPr>
        <w:adjustRightInd w:val="0"/>
        <w:snapToGrid w:val="0"/>
        <w:spacing w:line="420" w:lineRule="exact"/>
        <w:ind w:firstLine="487" w:firstLineChars="202"/>
        <w:rPr>
          <w:rFonts w:hint="eastAsia" w:ascii="宋体" w:hAnsi="宋体" w:eastAsia="宋体" w:cs="宋体"/>
          <w:b/>
          <w:bCs/>
          <w:color w:val="auto"/>
          <w:highlight w:val="none"/>
        </w:rPr>
      </w:pPr>
      <w:r>
        <w:rPr>
          <w:rFonts w:hint="eastAsia" w:ascii="宋体" w:hAnsi="宋体" w:eastAsia="宋体" w:cs="宋体"/>
          <w:b/>
          <w:bCs/>
          <w:color w:val="auto"/>
          <w:highlight w:val="none"/>
        </w:rPr>
        <w:t>7.竞争性磋商小组成员参与项目评审活动过程中应当禁止的情形：</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（1）未按照采购文件规定的评审程序、评审方法和评审标准进行独立评审；</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（2）除竞争性磋商响应文件中含义不明确、同类问题表述不一致或者有明显文字和计算错误情形外，接受竞争性磋商响应供应商提出的与竞争性磋商响应文件不一致的澄清或者说明；</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（3）违反评审纪律发表倾向性意见或者征询采购人的倾向性意见；</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（4）对需要专业判断的主观评审因素协商评分；</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（5）在评审过程中擅离职守，影响评审程序正常进行；</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（6）拒绝在评审报告上签字，或者有异议不签署不同意见并说明原因；</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b/>
          <w:bCs/>
          <w:color w:val="auto"/>
          <w:highlight w:val="none"/>
        </w:rPr>
        <w:t>未要求报价明显偏低的供应商提供合理说明</w:t>
      </w:r>
      <w:r>
        <w:rPr>
          <w:rFonts w:hint="eastAsia" w:ascii="宋体" w:hAnsi="宋体" w:eastAsia="宋体" w:cs="宋体"/>
          <w:color w:val="auto"/>
          <w:highlight w:val="none"/>
        </w:rPr>
        <w:t>；</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（8）评审现场未对评分、供应商报价等重要数据履行核对义务；</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（9）评审过程中发现供应商有行贿、提供虚假材料或者串通等违法行为，不及时向财政部门报告；</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（10）评审过程中受到非法干预，未及时向财政、监察等部门举报。</w:t>
      </w:r>
    </w:p>
    <w:p>
      <w:pPr>
        <w:adjustRightInd w:val="0"/>
        <w:snapToGrid w:val="0"/>
        <w:spacing w:line="420" w:lineRule="exact"/>
        <w:ind w:firstLine="487" w:firstLineChars="202"/>
        <w:rPr>
          <w:rFonts w:hint="eastAsia" w:ascii="宋体" w:hAnsi="宋体" w:eastAsia="宋体" w:cs="宋体"/>
          <w:b/>
          <w:bCs/>
          <w:color w:val="auto"/>
          <w:highlight w:val="none"/>
        </w:rPr>
      </w:pPr>
      <w:r>
        <w:rPr>
          <w:rFonts w:hint="eastAsia" w:ascii="宋体" w:hAnsi="宋体" w:eastAsia="宋体" w:cs="宋体"/>
          <w:b/>
          <w:bCs/>
          <w:color w:val="auto"/>
          <w:highlight w:val="none"/>
        </w:rPr>
        <w:t>8.竞争性磋商小组成员参与项目评审活动结束后应当禁止的情形：</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（1）泄露评审文件、评审情况和评审中获悉的国家秘密、商业秘密；</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（2）记录、复制或者带走任何本项目的评审资料；</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（3）在本项目评审活动中有违法违规行为的原竞争性磋商小组成员参加本项目重新组建的竞争性磋商小组；</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（4）拒不履行配合答复供应商询问、质疑、投诉等法定义务；</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（5）以评审专家身份从事有损政府采购公信力的活动。</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9.除采购人代表、磋商评审现场组织人员外，采购人的其他工作人员以及与磋商评审工作无关的人员不得进入评审现场。</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10.有关人员对评审情况以及在评审过程中获悉的商业秘密负有保密责任。</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11.竞争性磋商开启后，直到公告项目成交结果，发出成交通知书并授予成交人合同为止，凡属于评审、澄清、评价和比较竞争性磋商响应的所有资料及有关授予合同等的相关信息，都严禁向竞争性磋商响应供应商或与磋商评审无关的其他人（单位）泄露。</w:t>
      </w:r>
    </w:p>
    <w:p>
      <w:pPr>
        <w:adjustRightInd w:val="0"/>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12.在竞争性磋商响应文件的评审、澄清、评价和比较的过程中，供应商对采购人和竞争性磋商小组成员有施加影响的任何行为，都将取消其磋商资格。在授予合同的过程中，供应商对采购人和竞争性磋商小组成员有施加影响的任何行为，都将取消其成交资格。</w:t>
      </w:r>
    </w:p>
    <w:p>
      <w:pPr>
        <w:snapToGrid w:val="0"/>
        <w:spacing w:line="420" w:lineRule="exact"/>
        <w:ind w:firstLine="482" w:firstLineChars="200"/>
        <w:outlineLvl w:val="2"/>
        <w:rPr>
          <w:rFonts w:hint="eastAsia" w:ascii="宋体" w:hAnsi="宋体" w:eastAsia="宋体" w:cs="宋体"/>
          <w:b/>
          <w:bCs/>
          <w:color w:val="auto"/>
          <w:highlight w:val="none"/>
        </w:rPr>
      </w:pPr>
      <w:r>
        <w:rPr>
          <w:rFonts w:hint="eastAsia" w:ascii="宋体" w:hAnsi="宋体" w:eastAsia="宋体" w:cs="宋体"/>
          <w:b/>
          <w:bCs/>
          <w:color w:val="auto"/>
          <w:highlight w:val="none"/>
        </w:rPr>
        <w:t>（二）竞争性磋商程序</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1.竞争性磋商小组依据《中华人民共和国政府采购法》、《政府采购竞争性磋商采购方式管理暂行办法》以及有关政府采购的相关法规，遵循“公开、公平、公正、择优、信用”的原则进行磋商评审。</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2.竞争性磋商小组将按照竞争性磋商文件的规定，只对资格审查合格的供应商的竞争性磋商响应文件进行评审和比较。</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竞争性磋商小组根据磋商文件规定的程序、评定成交的标准等事项与实质性响应磋商文件要求的供应商进行磋商。未实质性响应磋商文件要求的竞争性磋商响应文件按无效处理，竞争性磋商小组应当告知提交竞争性磋商响应文件的供应商。</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（1）对符合资格要求的供应商的竞争性磋商技术响应的有效性、完整性和响应程度进行比较评审：</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trPr>
        <w:tc>
          <w:tcPr>
            <w:tcW w:w="709" w:type="dxa"/>
            <w:vAlign w:val="center"/>
          </w:tcPr>
          <w:p>
            <w:pPr>
              <w:spacing w:line="42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序号</w:t>
            </w:r>
          </w:p>
        </w:tc>
        <w:tc>
          <w:tcPr>
            <w:tcW w:w="8930" w:type="dxa"/>
            <w:vAlign w:val="center"/>
          </w:tcPr>
          <w:p>
            <w:pPr>
              <w:spacing w:line="42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技术响应内容评审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9" w:type="dxa"/>
            <w:vAlign w:val="center"/>
          </w:tcPr>
          <w:p>
            <w:pPr>
              <w:spacing w:line="42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8930" w:type="dxa"/>
            <w:vAlign w:val="center"/>
          </w:tcPr>
          <w:p>
            <w:pPr>
              <w:spacing w:line="42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提供的供应商机构情况说明与磋商文件的技术要求对比，是否可进入磋商环节；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9" w:type="dxa"/>
            <w:vAlign w:val="center"/>
          </w:tcPr>
          <w:p>
            <w:pPr>
              <w:spacing w:line="42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8930" w:type="dxa"/>
            <w:vAlign w:val="center"/>
          </w:tcPr>
          <w:p>
            <w:pPr>
              <w:spacing w:line="42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供应商的履约能力与经验与磋商文件的技术要求对比，是否可进入磋商环节；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9" w:type="dxa"/>
            <w:vAlign w:val="center"/>
          </w:tcPr>
          <w:p>
            <w:pPr>
              <w:tabs>
                <w:tab w:val="left" w:pos="0"/>
              </w:tabs>
              <w:spacing w:line="42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p>
        </w:tc>
        <w:tc>
          <w:tcPr>
            <w:tcW w:w="8930" w:type="dxa"/>
            <w:vAlign w:val="center"/>
          </w:tcPr>
          <w:p>
            <w:pPr>
              <w:tabs>
                <w:tab w:val="left" w:pos="0"/>
              </w:tabs>
              <w:spacing w:line="42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提供响应项目的人员配备、服务方案、《质量保证技术措施方案》与磋商文件要求对比，是否可进入磋商环节；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9" w:type="dxa"/>
            <w:vAlign w:val="center"/>
          </w:tcPr>
          <w:p>
            <w:pPr>
              <w:tabs>
                <w:tab w:val="left" w:pos="0"/>
              </w:tabs>
              <w:spacing w:line="42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c>
          <w:tcPr>
            <w:tcW w:w="8930" w:type="dxa"/>
            <w:vAlign w:val="center"/>
          </w:tcPr>
          <w:p>
            <w:pPr>
              <w:spacing w:line="42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提供的服务期时间、付款方式等其他综合内容与磋商文件要求对比，在满足性上是否可进入磋商环节。</w:t>
            </w:r>
          </w:p>
        </w:tc>
      </w:tr>
    </w:tbl>
    <w:p>
      <w:pPr>
        <w:snapToGrid w:val="0"/>
        <w:spacing w:before="156" w:beforeLines="50"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w:t>
      </w:r>
      <w:bookmarkStart w:id="41" w:name="_Hlk69662757"/>
      <w:r>
        <w:rPr>
          <w:rFonts w:hint="eastAsia" w:ascii="宋体" w:hAnsi="宋体" w:eastAsia="宋体" w:cs="宋体"/>
          <w:color w:val="auto"/>
          <w:highlight w:val="none"/>
        </w:rPr>
        <w:t>在技术响应内容评审后，</w:t>
      </w:r>
      <w:bookmarkEnd w:id="41"/>
      <w:r>
        <w:rPr>
          <w:rFonts w:hint="eastAsia" w:ascii="宋体" w:hAnsi="宋体" w:eastAsia="宋体" w:cs="宋体"/>
          <w:b/>
          <w:bCs/>
          <w:color w:val="auto"/>
          <w:highlight w:val="none"/>
          <w:u w:val="thick" w:color="FF0000"/>
        </w:rPr>
        <w:t>经首次竞争性磋商响应报价进入磋商环节</w:t>
      </w:r>
      <w:r>
        <w:rPr>
          <w:rFonts w:hint="eastAsia" w:ascii="宋体" w:hAnsi="宋体" w:eastAsia="宋体" w:cs="宋体"/>
          <w:color w:val="auto"/>
          <w:highlight w:val="none"/>
        </w:rPr>
        <w:t>。</w:t>
      </w:r>
    </w:p>
    <w:p>
      <w:pPr>
        <w:snapToGrid w:val="0"/>
        <w:spacing w:line="420" w:lineRule="exact"/>
        <w:ind w:firstLine="487" w:firstLineChars="202"/>
        <w:rPr>
          <w:rFonts w:hint="eastAsia" w:ascii="宋体" w:hAnsi="宋体" w:eastAsia="宋体" w:cs="宋体"/>
          <w:b/>
          <w:bCs/>
          <w:color w:val="auto"/>
          <w:highlight w:val="none"/>
        </w:rPr>
      </w:pPr>
      <w:r>
        <w:rPr>
          <w:rFonts w:hint="eastAsia" w:ascii="宋体" w:hAnsi="宋体" w:eastAsia="宋体" w:cs="宋体"/>
          <w:b/>
          <w:bCs/>
          <w:color w:val="auto"/>
          <w:highlight w:val="none"/>
        </w:rPr>
        <w:t>（3）关于首次报价的价格评审</w:t>
      </w:r>
    </w:p>
    <w:p>
      <w:pPr>
        <w:snapToGrid w:val="0"/>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1）竞争性磋商响应价格首次评审内容包括分析项目需求服务价格是否合理，价格所含范围是否完整，有无重大错漏项。如果供应商的响应价格清单中有漏项并构成未实质性响应竞争性磋商文件要求的，按无效的磋商处理。</w:t>
      </w:r>
    </w:p>
    <w:p>
      <w:pPr>
        <w:snapToGrid w:val="0"/>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2）竞争性磋商小组认为供应商首次报价明显低于其他合格供应商的报价，有可能影响产品质量或者不能诚信履约的，应当要求其在评审现场合理时间内提供书面说明，必要时提供相关证明材料；供应商不能证明其首次报价合理性的，竞争性磋商小组应当将其作为无效响应处理。</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（3）进入竞争性磋商环节后，竞争性磋商小组所有成员应当集中与单一供应商分别进行磋商，并给予所有参加磋商的供应商平等的磋商机会。</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（4）在磋商过程中，竞争性磋商小组可以根据磋商文件和磋商情况实质性变动采购需求中的技术、服务要求以及合同草案条款，但不得变动磋商文件中的其他内容。实质性变动的内容，须经采购人代表确认。</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（5）对磋商文件做出的实质性变动是磋商文件的有效组成部分，竞争性磋商小组应当及时以书面形式同时通知所有参加磋商的供应商。</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（6）供应商应当按照磋商文件的变动情况和竞争性磋商小组的要求重新提交竞争性磋商响应文件，并由其法定代表人或授权代表签字或者加盖公章。供应商为自然人的，应当由本人签字并附身份证明。</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（7）磋商文件能够详细列明采购标的技术、服务要求的，磋商结束后，竞争性磋商小组应当要求所有实质性响应的供应商在规定时间内提交最后报价，提交最后报价的供应商不得少于3家。</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磋商文件不能详细列明采购标的技术、服务要求的，需经磋商由供应商提供最终设计方案或解决方案的，磋商结束后，竞争性磋商小组应当按照少数服从多数的原则投票推荐3家以上供应商的设计方案或者解决方案，并要求其在规定时间内提交最后报价。</w:t>
      </w:r>
    </w:p>
    <w:p>
      <w:pPr>
        <w:snapToGrid w:val="0"/>
        <w:spacing w:line="420" w:lineRule="exact"/>
        <w:ind w:firstLine="484" w:firstLineChars="202"/>
        <w:rPr>
          <w:rFonts w:hint="eastAsia" w:ascii="宋体" w:hAnsi="宋体" w:eastAsia="宋体" w:cs="宋体"/>
          <w:color w:val="auto"/>
          <w:highlight w:val="none"/>
        </w:rPr>
      </w:pPr>
      <w:bookmarkStart w:id="42" w:name="_Hlk69856116"/>
      <w:r>
        <w:rPr>
          <w:rFonts w:hint="eastAsia" w:ascii="宋体" w:hAnsi="宋体" w:eastAsia="宋体" w:cs="宋体"/>
          <w:color w:val="auto"/>
          <w:highlight w:val="none"/>
        </w:rPr>
        <w:t>【</w:t>
      </w:r>
      <w:r>
        <w:rPr>
          <w:rFonts w:hint="eastAsia" w:ascii="宋体" w:hAnsi="宋体" w:eastAsia="宋体" w:cs="宋体"/>
          <w:b/>
          <w:bCs/>
          <w:color w:val="auto"/>
          <w:highlight w:val="none"/>
        </w:rPr>
        <w:t>特别说明</w:t>
      </w:r>
      <w:r>
        <w:rPr>
          <w:rFonts w:hint="eastAsia" w:ascii="宋体" w:hAnsi="宋体" w:eastAsia="宋体" w:cs="宋体"/>
          <w:color w:val="auto"/>
          <w:highlight w:val="none"/>
        </w:rPr>
        <w:t>】</w:t>
      </w:r>
      <w:bookmarkStart w:id="43" w:name="_Hlk69836472"/>
      <w:r>
        <w:rPr>
          <w:rFonts w:hint="eastAsia" w:ascii="宋体" w:hAnsi="宋体" w:eastAsia="宋体" w:cs="宋体"/>
          <w:b/>
          <w:bCs/>
          <w:color w:val="auto"/>
          <w:highlight w:val="none"/>
          <w:u w:val="thick" w:color="FF0000"/>
        </w:rPr>
        <w:t>最后报价</w:t>
      </w:r>
      <w:bookmarkEnd w:id="43"/>
      <w:r>
        <w:rPr>
          <w:rFonts w:hint="eastAsia" w:ascii="宋体" w:hAnsi="宋体" w:eastAsia="宋体" w:cs="宋体"/>
          <w:b/>
          <w:bCs/>
          <w:color w:val="auto"/>
          <w:highlight w:val="none"/>
          <w:u w:val="thick" w:color="FF0000"/>
        </w:rPr>
        <w:t>供应商在规定时间内提交的最后报价（表）</w:t>
      </w:r>
      <w:r>
        <w:rPr>
          <w:rFonts w:hint="eastAsia" w:ascii="宋体" w:hAnsi="宋体" w:eastAsia="宋体" w:cs="宋体"/>
          <w:b/>
          <w:bCs/>
          <w:color w:val="auto"/>
          <w:highlight w:val="none"/>
          <w:u w:val="thick" w:color="FF0000"/>
          <w:lang w:eastAsia="zh-CN"/>
        </w:rPr>
        <w:t>。</w:t>
      </w:r>
      <w:r>
        <w:rPr>
          <w:rFonts w:hint="eastAsia" w:ascii="宋体" w:hAnsi="宋体" w:eastAsia="宋体" w:cs="宋体"/>
          <w:b/>
          <w:bCs/>
          <w:color w:val="auto"/>
          <w:highlight w:val="none"/>
          <w:u w:val="thick" w:color="FF0000"/>
        </w:rPr>
        <w:t>在竞争性磋商小组采用综合评分法对提交最后报价的供应商的竞争性磋商响应文件评审打分结束后，由采购代理机构现场收取，其后告知所有供应商的磋商技术响应得分，并同时唱报最后报价供应商的</w:t>
      </w:r>
      <w:r>
        <w:rPr>
          <w:rFonts w:hint="eastAsia" w:ascii="宋体" w:hAnsi="宋体" w:eastAsia="宋体" w:cs="宋体"/>
          <w:b/>
          <w:bCs/>
          <w:color w:val="auto"/>
          <w:highlight w:val="none"/>
          <w:u w:val="thick" w:color="FF0000"/>
          <w:lang w:val="en-US" w:eastAsia="zh-CN"/>
        </w:rPr>
        <w:t>一、二轮</w:t>
      </w:r>
      <w:r>
        <w:rPr>
          <w:rFonts w:hint="eastAsia" w:ascii="宋体" w:hAnsi="宋体" w:eastAsia="宋体" w:cs="宋体"/>
          <w:b/>
          <w:bCs/>
          <w:color w:val="auto"/>
          <w:highlight w:val="none"/>
          <w:u w:val="thick" w:color="FF0000"/>
        </w:rPr>
        <w:t>报价。</w:t>
      </w:r>
    </w:p>
    <w:bookmarkEnd w:id="42"/>
    <w:p>
      <w:pPr>
        <w:snapToGrid w:val="0"/>
        <w:spacing w:line="420" w:lineRule="exact"/>
        <w:ind w:firstLine="484" w:firstLineChars="202"/>
        <w:rPr>
          <w:rFonts w:hint="eastAsia" w:ascii="宋体" w:hAnsi="宋体" w:eastAsia="宋体" w:cs="宋体"/>
          <w:color w:val="auto"/>
          <w:highlight w:val="none"/>
        </w:rPr>
      </w:pPr>
      <w:bookmarkStart w:id="44" w:name="_Hlk69856725"/>
      <w:r>
        <w:rPr>
          <w:rFonts w:hint="eastAsia" w:ascii="宋体" w:hAnsi="宋体" w:eastAsia="宋体" w:cs="宋体"/>
          <w:color w:val="auto"/>
          <w:highlight w:val="none"/>
        </w:rPr>
        <w:t>（8）最后报价是供应商竞争性磋商响应文件的有效组成部分。</w:t>
      </w:r>
    </w:p>
    <w:bookmarkEnd w:id="44"/>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（9）已提交竞争性磋商响应文件的供应商，在提交最后报价之前，可以根据磋商情况退出磋商。</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（10）在磋商中，磋商的任何一方不得透露与磋商有关的其他响应磋商的供应商的技术资料、价格及其他信息。</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4.经磋商</w:t>
      </w:r>
      <w:r>
        <w:rPr>
          <w:rFonts w:hint="eastAsia" w:ascii="宋体" w:hAnsi="宋体" w:eastAsia="宋体" w:cs="宋体"/>
          <w:b/>
          <w:bCs/>
          <w:color w:val="auto"/>
          <w:highlight w:val="none"/>
          <w:u w:val="single"/>
        </w:rPr>
        <w:t>确定最终采购需求和进入最后报价的供应商</w:t>
      </w:r>
      <w:r>
        <w:rPr>
          <w:rFonts w:hint="eastAsia" w:ascii="宋体" w:hAnsi="宋体" w:eastAsia="宋体" w:cs="宋体"/>
          <w:color w:val="auto"/>
          <w:highlight w:val="none"/>
        </w:rPr>
        <w:t>后，由竞争性磋商小组采用综合评分法对提交最后报价的供应商的竞争性磋商响应文件和最后报价进行综合评分。</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综合评分法，是指竞争性磋商响应文件满足磋商文件全部实质性要求且按评审因素的量化指标评审得分最高的供应商为成交供应商的评审方法。</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（1）进入综合评分评审阶段后，竞争性磋商小组成员会将仅对按本磋商文件载明的方法与规定，对满足磋商文件全部实质性要求的竞争性磋商响应文件进行评审、评价和比较。</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（2）竞争性磋商小组各成员应当独立对每个有效的竞争性磋商响应文件进行评价、打分，然后汇总每个供应商每项评分因素的得分（计算结果均四舍五入保留两位小数）。</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（3）本次磋商项目进入到综合评分阶段中的技术和商务报价磋商评审总分值为100分。两部分评审因素比重如下：</w:t>
      </w:r>
    </w:p>
    <w:p>
      <w:pPr>
        <w:snapToGrid w:val="0"/>
        <w:spacing w:line="420" w:lineRule="exact"/>
        <w:ind w:left="708" w:leftChars="295" w:firstLine="564" w:firstLineChars="235"/>
        <w:rPr>
          <w:rFonts w:hint="eastAsia" w:ascii="宋体" w:hAnsi="宋体" w:eastAsia="宋体" w:cs="宋体"/>
          <w:color w:val="auto"/>
          <w:highlight w:val="none"/>
        </w:rPr>
      </w:pPr>
      <w:r>
        <w:rPr>
          <w:rFonts w:hint="eastAsia" w:ascii="宋体" w:hAnsi="宋体" w:eastAsia="宋体" w:cs="宋体"/>
          <w:color w:val="auto"/>
          <w:highlight w:val="none"/>
        </w:rPr>
        <w:t>①磋商技术响应分值占总分值的比重为</w:t>
      </w:r>
      <w:r>
        <w:rPr>
          <w:rFonts w:hint="eastAsia" w:ascii="宋体" w:hAnsi="宋体" w:eastAsia="宋体" w:cs="宋体"/>
          <w:b/>
          <w:bCs/>
          <w:color w:val="auto"/>
          <w:highlight w:val="none"/>
          <w:u w:val="single"/>
          <w:lang w:val="en-US" w:eastAsia="zh-CN"/>
        </w:rPr>
        <w:t>70</w:t>
      </w:r>
      <w:r>
        <w:rPr>
          <w:rFonts w:hint="eastAsia" w:ascii="宋体" w:hAnsi="宋体" w:eastAsia="宋体" w:cs="宋体"/>
          <w:b/>
          <w:bCs/>
          <w:color w:val="auto"/>
          <w:highlight w:val="none"/>
          <w:u w:val="single"/>
        </w:rPr>
        <w:t>%（权重）</w:t>
      </w:r>
      <w:r>
        <w:rPr>
          <w:rFonts w:hint="eastAsia" w:ascii="宋体" w:hAnsi="宋体" w:eastAsia="宋体" w:cs="宋体"/>
          <w:color w:val="auto"/>
          <w:highlight w:val="none"/>
        </w:rPr>
        <w:t>（四舍五入保留两位小数）；</w:t>
      </w:r>
    </w:p>
    <w:p>
      <w:pPr>
        <w:snapToGrid w:val="0"/>
        <w:spacing w:line="420" w:lineRule="exact"/>
        <w:ind w:left="708" w:leftChars="295" w:firstLine="564" w:firstLineChars="235"/>
        <w:rPr>
          <w:rFonts w:hint="eastAsia" w:ascii="宋体" w:hAnsi="宋体" w:eastAsia="宋体" w:cs="宋体"/>
          <w:color w:val="auto"/>
          <w:highlight w:val="none"/>
        </w:rPr>
      </w:pPr>
      <w:r>
        <w:rPr>
          <w:rFonts w:hint="eastAsia" w:ascii="宋体" w:hAnsi="宋体" w:eastAsia="宋体" w:cs="宋体"/>
          <w:color w:val="auto"/>
          <w:highlight w:val="none"/>
        </w:rPr>
        <w:t>②竞争性磋商响应最后报价分值占总分值的比重为</w:t>
      </w:r>
      <w:r>
        <w:rPr>
          <w:rFonts w:hint="eastAsia" w:ascii="宋体" w:hAnsi="宋体" w:eastAsia="宋体" w:cs="宋体"/>
          <w:b/>
          <w:bCs/>
          <w:color w:val="auto"/>
          <w:highlight w:val="none"/>
          <w:u w:val="single"/>
          <w:lang w:val="en-US" w:eastAsia="zh-CN"/>
        </w:rPr>
        <w:t>30</w:t>
      </w:r>
      <w:r>
        <w:rPr>
          <w:rFonts w:hint="eastAsia" w:ascii="宋体" w:hAnsi="宋体" w:eastAsia="宋体" w:cs="宋体"/>
          <w:b/>
          <w:bCs/>
          <w:color w:val="auto"/>
          <w:highlight w:val="none"/>
          <w:u w:val="single"/>
        </w:rPr>
        <w:t>%（权重）</w:t>
      </w:r>
      <w:r>
        <w:rPr>
          <w:rFonts w:hint="eastAsia" w:ascii="宋体" w:hAnsi="宋体" w:eastAsia="宋体" w:cs="宋体"/>
          <w:color w:val="auto"/>
          <w:highlight w:val="none"/>
        </w:rPr>
        <w:t>（四舍五入保留两位小数）。</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5.技术分按算术平均值计算，四舍五入保留两位小数。</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b/>
          <w:bCs/>
          <w:color w:val="auto"/>
          <w:highlight w:val="none"/>
          <w:u w:val="thick" w:color="FF0000"/>
        </w:rPr>
        <w:t>现场收取供应商在规定时间内提交的最后报价（表），</w:t>
      </w:r>
      <w:bookmarkStart w:id="45" w:name="_Hlk69836439"/>
      <w:r>
        <w:rPr>
          <w:rFonts w:hint="eastAsia" w:ascii="宋体" w:hAnsi="宋体" w:eastAsia="宋体" w:cs="宋体"/>
          <w:b/>
          <w:bCs/>
          <w:color w:val="auto"/>
          <w:highlight w:val="none"/>
          <w:u w:val="thick" w:color="FF0000"/>
        </w:rPr>
        <w:t>其后告知所有供应商的磋商技术响应得分，并同时唱报供应商的报价供应商的</w:t>
      </w:r>
      <w:r>
        <w:rPr>
          <w:rFonts w:hint="eastAsia" w:ascii="宋体" w:hAnsi="宋体" w:eastAsia="宋体" w:cs="宋体"/>
          <w:b/>
          <w:bCs/>
          <w:color w:val="auto"/>
          <w:highlight w:val="none"/>
          <w:u w:val="thick" w:color="FF0000"/>
          <w:lang w:val="en-US" w:eastAsia="zh-CN"/>
        </w:rPr>
        <w:t>一、二轮</w:t>
      </w:r>
      <w:r>
        <w:rPr>
          <w:rFonts w:hint="eastAsia" w:ascii="宋体" w:hAnsi="宋体" w:eastAsia="宋体" w:cs="宋体"/>
          <w:b/>
          <w:bCs/>
          <w:color w:val="auto"/>
          <w:highlight w:val="none"/>
          <w:u w:val="thick" w:color="FF0000"/>
        </w:rPr>
        <w:t>报价。</w:t>
      </w:r>
      <w:bookmarkEnd w:id="45"/>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7.供应商的最后报价分统一采用低价优先法计算直接取得，与技术得分相加为竞争性磋商响应供应商的综合得分（四舍五入保留两位小数）。</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b/>
          <w:bCs/>
          <w:color w:val="auto"/>
          <w:highlight w:val="none"/>
          <w:u w:val="thick" w:color="FF0000"/>
        </w:rPr>
        <w:t>采购人以本条款约定，授权竞争性磋商小组推荐综合得分排名第一的为本项目成交供应商并出具《竞争性磋商评审报告》</w:t>
      </w:r>
      <w:r>
        <w:rPr>
          <w:rFonts w:hint="eastAsia" w:ascii="宋体" w:hAnsi="宋体" w:eastAsia="宋体" w:cs="宋体"/>
          <w:color w:val="auto"/>
          <w:highlight w:val="none"/>
        </w:rPr>
        <w:t>。</w:t>
      </w:r>
    </w:p>
    <w:p>
      <w:pPr>
        <w:snapToGrid w:val="0"/>
        <w:spacing w:line="420" w:lineRule="exact"/>
        <w:ind w:firstLine="484" w:firstLineChars="202"/>
        <w:rPr>
          <w:rFonts w:hint="eastAsia" w:ascii="宋体" w:hAnsi="宋体" w:eastAsia="宋体" w:cs="宋体"/>
          <w:b/>
          <w:bCs/>
          <w:color w:val="auto"/>
          <w:highlight w:val="none"/>
        </w:rPr>
      </w:pPr>
      <w:r>
        <w:rPr>
          <w:rFonts w:hint="eastAsia" w:ascii="宋体" w:hAnsi="宋体" w:eastAsia="宋体" w:cs="宋体"/>
          <w:color w:val="auto"/>
          <w:highlight w:val="none"/>
        </w:rPr>
        <w:t>9.</w:t>
      </w:r>
      <w:r>
        <w:rPr>
          <w:rFonts w:hint="eastAsia" w:ascii="宋体" w:hAnsi="宋体" w:eastAsia="宋体" w:cs="宋体"/>
          <w:b/>
          <w:bCs/>
          <w:color w:val="auto"/>
          <w:highlight w:val="none"/>
          <w:u w:val="thick" w:color="FF0000"/>
        </w:rPr>
        <w:t>评审时的特殊情况处理</w:t>
      </w:r>
      <w:r>
        <w:rPr>
          <w:rFonts w:hint="eastAsia" w:ascii="宋体" w:hAnsi="宋体" w:eastAsia="宋体" w:cs="宋体"/>
          <w:b/>
          <w:bCs/>
          <w:color w:val="auto"/>
          <w:highlight w:val="none"/>
        </w:rPr>
        <w:t>：</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采用综合评分法的：本项目采用综合评分法，评审结果按评审后综合得分由高到低顺序排列；综合得分相同的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则采取现场抽签的方式确定。</w:t>
      </w:r>
    </w:p>
    <w:p>
      <w:pPr>
        <w:snapToGrid w:val="0"/>
        <w:spacing w:line="420" w:lineRule="exact"/>
        <w:ind w:firstLine="480" w:firstLineChars="200"/>
        <w:outlineLvl w:val="2"/>
        <w:rPr>
          <w:rFonts w:hint="eastAsia" w:ascii="宋体" w:hAnsi="宋体" w:eastAsia="宋体" w:cs="宋体"/>
          <w:color w:val="auto"/>
          <w:highlight w:val="none"/>
        </w:rPr>
      </w:pPr>
      <w:bookmarkStart w:id="46" w:name="_Hlk69388449"/>
      <w:bookmarkStart w:id="47" w:name="_Hlk69436101"/>
      <w:r>
        <w:rPr>
          <w:rFonts w:hint="eastAsia" w:ascii="宋体" w:hAnsi="宋体" w:eastAsia="宋体" w:cs="宋体"/>
          <w:color w:val="auto"/>
          <w:highlight w:val="none"/>
        </w:rPr>
        <w:t>（三）</w:t>
      </w:r>
      <w:r>
        <w:rPr>
          <w:rFonts w:hint="eastAsia" w:ascii="宋体" w:hAnsi="宋体" w:eastAsia="宋体" w:cs="宋体"/>
          <w:b/>
          <w:bCs/>
          <w:color w:val="auto"/>
          <w:highlight w:val="none"/>
          <w:u w:val="thick" w:color="FF0000"/>
        </w:rPr>
        <w:t>政府采购政策</w:t>
      </w:r>
    </w:p>
    <w:bookmarkEnd w:id="46"/>
    <w:bookmarkEnd w:id="47"/>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1、小微型企业价格扣除</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（1）本项目对小型和微型企业产品给予10%的扣除价格，用扣除后的价格参与评审。</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（2）供应商需按照《政府采购促进中小企业发展管理办法》（财库﹝2020﹞46 号）的规定提供相应的《中小企业声明函》。</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（3）企业标准请参照《关于印发中小企业划型标准规定的通知》（工信部联企业[2011]300号）文件规定自行填写。</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2、残疾人福利单位价格扣除</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（1）本项目对残疾人福利性单位，给予10%的价格扣除，用扣除后的价格参与评审。</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（2）残疾人福利单位需按照采购文件的要求提供《残疾人福利性单位声明函》。</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（3）残疾人福利单位标准请参照《关于促进残疾人就业政府采购政策的通知》（财库〔2017〕141号）。</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3、监狱和戒毒企业价格扣除</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（1）本项目对监狱和戒毒企业（简称监狱企业）给予10%的价格扣除，用扣除后的价格参与评审。</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（3）监狱企业标准请参照《关于政府采购支持监狱企业发展有关问题的通知》（财库[2014]68号）。</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4、残疾人福利单位、监狱企业属于小型、微型企业的，不重复享受政策。</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6、联合体各方均为小型、微型企业（残疾人福利单位、监狱企业）的，联合体享受上述同类价格扣除，用扣除后的价格参与评审。</w:t>
      </w:r>
    </w:p>
    <w:p>
      <w:pPr>
        <w:snapToGrid w:val="0"/>
        <w:spacing w:line="420" w:lineRule="exact"/>
        <w:ind w:firstLine="482" w:firstLineChars="200"/>
        <w:outlineLvl w:val="2"/>
        <w:rPr>
          <w:rFonts w:hint="eastAsia" w:ascii="宋体" w:hAnsi="宋体" w:eastAsia="宋体" w:cs="宋体"/>
          <w:color w:val="auto"/>
          <w:highlight w:val="none"/>
        </w:rPr>
      </w:pPr>
      <w:r>
        <w:rPr>
          <w:rFonts w:hint="eastAsia" w:ascii="宋体" w:hAnsi="宋体" w:eastAsia="宋体" w:cs="宋体"/>
          <w:b/>
          <w:bCs/>
          <w:color w:val="auto"/>
          <w:highlight w:val="none"/>
        </w:rPr>
        <w:t>（四）</w:t>
      </w:r>
      <w:r>
        <w:rPr>
          <w:rFonts w:hint="eastAsia" w:ascii="宋体" w:hAnsi="宋体" w:eastAsia="宋体" w:cs="宋体"/>
          <w:b/>
          <w:bCs/>
          <w:color w:val="auto"/>
          <w:highlight w:val="none"/>
          <w:u w:val="thick" w:color="FF0000"/>
        </w:rPr>
        <w:t>关于最后报价的价格评审</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竞争性磋商小组将审查每份入围最后报价的竞争性磋商响应供应商的现场最后报价是否实质上响应了竞争性磋商文件或经磋商后变更的技术要求。实质性响应是指与竞争性磋商文件或经磋商后变更的技术要求的全部条款、条件和规格相符，没有重大偏离或保留。所谓重大偏离或保留是指实质上影响合同的供货范围、服务质量和性能，或者实质上与竞争性磋商文件或经磋商后变更的技术要求不一致。纠正这些偏离或保留将会对其他实质性响应要求的竞争性磋商响应供应商的竞争地位产生不公正的影响。如未实质性响应，则按无效磋商处理。</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b/>
          <w:bCs/>
          <w:color w:val="auto"/>
          <w:highlight w:val="none"/>
          <w:u w:val="thick" w:color="FF0000"/>
        </w:rPr>
        <w:t>竞争性磋商小组认为入围最后报价的竞争性磋商响应供应商的现场最后报价明显低于其他入围最后报价的竞争性磋商响应供应商的最后报价，有可能影响产品或服务的质量或者不能诚信履约的，应当要求其“在评审现场”合理的时间内提供“书面”说明，必要时提交“相关证明”材料；入围最后报价的竞争性磋商响应供应商不能证明其“最后报价合理性”的，竞争性磋商小组应当将其作为无效竞争性磋商响应处理。</w:t>
      </w:r>
    </w:p>
    <w:p>
      <w:pPr>
        <w:snapToGrid w:val="0"/>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四、综合评分评审因素</w:t>
      </w:r>
    </w:p>
    <w:p>
      <w:pPr>
        <w:adjustRightInd w:val="0"/>
        <w:snapToGrid w:val="0"/>
        <w:spacing w:line="420" w:lineRule="exact"/>
        <w:ind w:firstLine="482" w:firstLineChars="200"/>
        <w:outlineLvl w:val="3"/>
        <w:rPr>
          <w:rFonts w:hint="eastAsia" w:ascii="宋体" w:hAnsi="宋体" w:eastAsia="宋体" w:cs="宋体"/>
          <w:b/>
          <w:bCs/>
          <w:color w:val="auto"/>
          <w:highlight w:val="none"/>
        </w:rPr>
      </w:pPr>
      <w:r>
        <w:rPr>
          <w:rFonts w:hint="eastAsia" w:ascii="宋体" w:hAnsi="宋体" w:eastAsia="宋体" w:cs="宋体"/>
          <w:b/>
          <w:bCs/>
          <w:color w:val="auto"/>
          <w:highlight w:val="none"/>
        </w:rPr>
        <w:t>1.技术竞争性磋商响应评审表：（</w:t>
      </w:r>
      <w:r>
        <w:rPr>
          <w:rFonts w:hint="eastAsia" w:ascii="宋体" w:hAnsi="宋体" w:eastAsia="宋体" w:cs="宋体"/>
          <w:b/>
          <w:bCs/>
          <w:color w:val="auto"/>
          <w:highlight w:val="none"/>
          <w:lang w:val="en-US" w:eastAsia="zh-CN"/>
        </w:rPr>
        <w:t>70</w:t>
      </w:r>
      <w:r>
        <w:rPr>
          <w:rFonts w:hint="eastAsia" w:ascii="宋体" w:hAnsi="宋体" w:eastAsia="宋体" w:cs="宋体"/>
          <w:b/>
          <w:bCs/>
          <w:color w:val="auto"/>
          <w:highlight w:val="none"/>
        </w:rPr>
        <w:t>分）</w:t>
      </w:r>
    </w:p>
    <w:tbl>
      <w:tblPr>
        <w:tblStyle w:val="55"/>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7580"/>
        <w:gridCol w:w="852"/>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670" w:hRule="atLeast"/>
        </w:trPr>
        <w:tc>
          <w:tcPr>
            <w:tcW w:w="712"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项目内容</w:t>
            </w:r>
          </w:p>
        </w:tc>
        <w:tc>
          <w:tcPr>
            <w:tcW w:w="3853" w:type="pct"/>
            <w:tcBorders>
              <w:top w:val="single" w:color="auto" w:sz="4" w:space="0"/>
              <w:left w:val="single" w:color="auto" w:sz="4" w:space="0"/>
              <w:right w:val="single" w:color="auto" w:sz="4" w:space="0"/>
            </w:tcBorders>
            <w:noWrap w:val="0"/>
            <w:vAlign w:val="center"/>
          </w:tcPr>
          <w:p>
            <w:pPr>
              <w:spacing w:line="320" w:lineRule="exact"/>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评审因素</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2"/>
              <w:spacing w:line="320" w:lineRule="exact"/>
              <w:jc w:val="center"/>
              <w:rPr>
                <w:rFonts w:hint="default"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1656" w:hRule="atLeast"/>
        </w:trPr>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工作技术方案</w:t>
            </w:r>
          </w:p>
        </w:tc>
        <w:tc>
          <w:tcPr>
            <w:tcW w:w="3853" w:type="pct"/>
            <w:tcBorders>
              <w:top w:val="single" w:color="auto" w:sz="4" w:space="0"/>
              <w:left w:val="single" w:color="auto" w:sz="4" w:space="0"/>
              <w:right w:val="single" w:color="auto" w:sz="4" w:space="0"/>
            </w:tcBorders>
            <w:noWrap w:val="0"/>
            <w:vAlign w:val="center"/>
          </w:tcPr>
          <w:p>
            <w:pPr>
              <w:spacing w:line="320" w:lineRule="exac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从供应商的工作方法、工作思路、项目的重点、难点分析、</w:t>
            </w:r>
            <w:r>
              <w:rPr>
                <w:rFonts w:hint="eastAsia" w:ascii="宋体" w:hAnsi="宋体" w:eastAsia="宋体" w:cs="宋体"/>
                <w:color w:val="auto"/>
                <w:szCs w:val="21"/>
                <w:highlight w:val="none"/>
              </w:rPr>
              <w:t>针对重点难点的应对策略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项目进度时间节点安排等方面进行横向比较综合打分：</w:t>
            </w:r>
          </w:p>
          <w:p>
            <w:pPr>
              <w:spacing w:line="320" w:lineRule="exac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（1）主要的工作方法、工作思路：工作方法及思路先进、科学、合理得6（含）-5（含）分，方法及思路较科学合理得3（含）-5（不含）分，方法及思路简单或有欠缺得1（含）-3（不含）分。</w:t>
            </w:r>
          </w:p>
          <w:p>
            <w:pPr>
              <w:spacing w:line="320" w:lineRule="exac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（2）项目的重点、难点分析：重点难点考虑全面、分析透彻得6（含）-5（含）分，重点难点基本考虑到位，分析较透彻得3（含）-5（不含）分，重点难点考虑简单，分析欠合理得1（含）-3（不含）分。</w:t>
            </w:r>
          </w:p>
          <w:p>
            <w:pPr>
              <w:spacing w:line="32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针对重点难点的应对策略：策略科学先进，可操作性强得</w:t>
            </w:r>
            <w:r>
              <w:rPr>
                <w:rFonts w:hint="eastAsia" w:ascii="宋体" w:hAnsi="宋体" w:eastAsia="宋体" w:cs="宋体"/>
                <w:color w:val="auto"/>
                <w:szCs w:val="21"/>
                <w:highlight w:val="none"/>
                <w:lang w:val="en-US" w:eastAsia="zh-CN"/>
              </w:rPr>
              <w:t>6（含）-5（含）</w:t>
            </w:r>
            <w:r>
              <w:rPr>
                <w:rFonts w:hint="eastAsia" w:ascii="宋体" w:hAnsi="宋体" w:eastAsia="宋体" w:cs="宋体"/>
                <w:color w:val="auto"/>
                <w:szCs w:val="21"/>
                <w:highlight w:val="none"/>
              </w:rPr>
              <w:t>分，策略较先进，可操作性较强得</w:t>
            </w:r>
            <w:r>
              <w:rPr>
                <w:rFonts w:hint="eastAsia" w:ascii="宋体" w:hAnsi="宋体" w:eastAsia="宋体" w:cs="宋体"/>
                <w:color w:val="auto"/>
                <w:szCs w:val="21"/>
                <w:highlight w:val="none"/>
                <w:lang w:val="en-US" w:eastAsia="zh-CN"/>
              </w:rPr>
              <w:t>3（含）-5（不含）</w:t>
            </w:r>
            <w:r>
              <w:rPr>
                <w:rFonts w:hint="eastAsia" w:ascii="宋体" w:hAnsi="宋体" w:eastAsia="宋体" w:cs="宋体"/>
                <w:color w:val="auto"/>
                <w:szCs w:val="21"/>
                <w:highlight w:val="none"/>
              </w:rPr>
              <w:t>分，策略简单，有可操作性不足得</w:t>
            </w:r>
            <w:r>
              <w:rPr>
                <w:rFonts w:hint="eastAsia" w:ascii="宋体" w:hAnsi="宋体" w:eastAsia="宋体" w:cs="宋体"/>
                <w:color w:val="auto"/>
                <w:szCs w:val="21"/>
                <w:highlight w:val="none"/>
                <w:lang w:val="en-US" w:eastAsia="zh-CN"/>
              </w:rPr>
              <w:t>1（含）-3（不含）</w:t>
            </w:r>
            <w:r>
              <w:rPr>
                <w:rFonts w:hint="eastAsia" w:ascii="宋体" w:hAnsi="宋体" w:eastAsia="宋体" w:cs="宋体"/>
                <w:color w:val="auto"/>
                <w:szCs w:val="21"/>
                <w:highlight w:val="none"/>
              </w:rPr>
              <w:t>分。</w:t>
            </w:r>
          </w:p>
          <w:p>
            <w:pPr>
              <w:spacing w:line="320" w:lineRule="exac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（4）项目进度时间节点安排：时间进度安排科学合理详尽得6（含）-5（含）分，时间进度安排较合理详细得3（含）-5（不含）分，时间进度安排简单得1（含）-3（不含）分。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2"/>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1656" w:hRule="atLeast"/>
        </w:trPr>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项目组织实施方案</w:t>
            </w:r>
          </w:p>
        </w:tc>
        <w:tc>
          <w:tcPr>
            <w:tcW w:w="3853" w:type="pct"/>
            <w:tcBorders>
              <w:top w:val="single" w:color="auto" w:sz="4" w:space="0"/>
              <w:left w:val="single" w:color="auto" w:sz="4" w:space="0"/>
              <w:right w:val="single" w:color="auto" w:sz="4" w:space="0"/>
            </w:tcBorders>
            <w:noWrap w:val="0"/>
            <w:vAlign w:val="center"/>
          </w:tcPr>
          <w:p>
            <w:pPr>
              <w:spacing w:line="320" w:lineRule="exac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从供应商的项目技术力量组织、项目工作流程、工作内容组织实施、后续安排与服务承诺等方面进行横向比较综合打分：</w:t>
            </w:r>
          </w:p>
          <w:p>
            <w:pPr>
              <w:spacing w:line="320" w:lineRule="exac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（2）项目技术力量组织：技术实力强、人员分配合理的得7（含）-5（含）分，技术实力强但人员分配不够合理的得3（含）-5（不含）分，技术实力一般且人员分配不够合理的得1（含）-3（不含）分。</w:t>
            </w:r>
          </w:p>
          <w:p>
            <w:pPr>
              <w:spacing w:line="320" w:lineRule="exac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（2）项目工作流程：全面完整、可行性高的得6（含）-5（含）分，全面完整但可行性一般的得3（含）-5（不含）分，不够全面完且可行性一般的得1（含）-3（不含）分。</w:t>
            </w:r>
          </w:p>
          <w:p>
            <w:pPr>
              <w:spacing w:line="320" w:lineRule="exac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（3）工作内容组织实施：全面完整、可行性高的得6（含）-5（含）分，全面完整但可行性一般的得3（含）-5（不含）分，不够全面完且可行性一般的得1（含）-3（不含）分。</w:t>
            </w:r>
          </w:p>
          <w:p>
            <w:pPr>
              <w:spacing w:line="32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（4）后续安排与服务承诺：安排科学、服务全面的得6（含）-5（含）分，安排科学但服务不够全面的得3（含）-5（不含）分，安排不够科学且服务不够全面的得1（含）-3（不含）分。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2"/>
              <w:spacing w:line="320" w:lineRule="exact"/>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业绩</w:t>
            </w:r>
          </w:p>
          <w:p>
            <w:pPr>
              <w:widowControl/>
              <w:spacing w:line="320" w:lineRule="exact"/>
              <w:jc w:val="center"/>
              <w:rPr>
                <w:rFonts w:hint="eastAsia" w:ascii="宋体" w:hAnsi="宋体" w:eastAsia="宋体" w:cs="宋体"/>
                <w:color w:val="auto"/>
                <w:szCs w:val="21"/>
                <w:highlight w:val="none"/>
              </w:rPr>
            </w:pPr>
          </w:p>
        </w:tc>
        <w:tc>
          <w:tcPr>
            <w:tcW w:w="3853" w:type="pct"/>
            <w:tcBorders>
              <w:top w:val="single" w:color="auto" w:sz="4" w:space="0"/>
              <w:left w:val="single" w:color="auto" w:sz="4" w:space="0"/>
              <w:right w:val="single" w:color="auto" w:sz="4" w:space="0"/>
            </w:tcBorders>
            <w:noWrap w:val="0"/>
            <w:vAlign w:val="center"/>
          </w:tcPr>
          <w:p>
            <w:pPr>
              <w:spacing w:line="32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投标人自201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月1日至投标截止时间（以合同签订时间为准）承担过</w:t>
            </w:r>
            <w:r>
              <w:rPr>
                <w:rFonts w:hint="eastAsia" w:ascii="宋体" w:hAnsi="宋体" w:eastAsia="宋体" w:cs="宋体"/>
                <w:color w:val="auto"/>
                <w:szCs w:val="21"/>
                <w:highlight w:val="none"/>
                <w:lang w:val="en-US" w:eastAsia="zh-CN"/>
              </w:rPr>
              <w:t>类似项目业绩的</w:t>
            </w:r>
            <w:r>
              <w:rPr>
                <w:rFonts w:hint="eastAsia" w:ascii="宋体" w:hAnsi="宋体" w:eastAsia="宋体" w:cs="宋体"/>
                <w:color w:val="auto"/>
                <w:szCs w:val="21"/>
                <w:highlight w:val="none"/>
              </w:rPr>
              <w:t>，有1个得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分，本项最高</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分。（注：提供合同</w:t>
            </w:r>
            <w:r>
              <w:rPr>
                <w:rFonts w:hint="eastAsia" w:ascii="宋体" w:hAnsi="宋体" w:eastAsia="宋体" w:cs="宋体"/>
                <w:color w:val="auto"/>
                <w:szCs w:val="21"/>
                <w:highlight w:val="none"/>
                <w:lang w:val="en-US" w:eastAsia="zh-CN"/>
              </w:rPr>
              <w:t>及中标通知书</w:t>
            </w:r>
            <w:r>
              <w:rPr>
                <w:rFonts w:hint="eastAsia" w:ascii="宋体" w:hAnsi="宋体" w:eastAsia="宋体" w:cs="宋体"/>
                <w:color w:val="auto"/>
                <w:szCs w:val="21"/>
                <w:highlight w:val="none"/>
              </w:rPr>
              <w:t>复印件。）</w:t>
            </w:r>
          </w:p>
        </w:tc>
        <w:tc>
          <w:tcPr>
            <w:tcW w:w="434" w:type="pct"/>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320" w:lineRule="exact"/>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678" w:hRule="atLeast"/>
        </w:trPr>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管理体系认证证书评价</w:t>
            </w:r>
          </w:p>
        </w:tc>
        <w:tc>
          <w:tcPr>
            <w:tcW w:w="3853" w:type="pct"/>
            <w:tcBorders>
              <w:top w:val="single" w:color="auto" w:sz="4" w:space="0"/>
              <w:left w:val="single" w:color="auto" w:sz="4" w:space="0"/>
              <w:bottom w:val="single" w:color="auto" w:sz="4" w:space="0"/>
              <w:right w:val="single" w:color="auto" w:sz="4" w:space="0"/>
            </w:tcBorders>
            <w:noWrap w:val="0"/>
            <w:vAlign w:val="center"/>
          </w:tcPr>
          <w:p>
            <w:pPr>
              <w:spacing w:line="32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投标人具有有效期内的质量管理体系认证证书、环境管理体系认证证书、职业健康安全管理体系认证证书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有一项得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分，本项最高6分。</w:t>
            </w:r>
          </w:p>
          <w:p>
            <w:pPr>
              <w:spacing w:line="32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上述认证证书必须在中国国家认证认可监督管理委员会官网可查，投标文件中必须提供在此网站上查验的截图及证书复印件，否则对应评分项不得分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2"/>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678" w:hRule="atLeast"/>
        </w:trPr>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售后服务承诺</w:t>
            </w:r>
          </w:p>
        </w:tc>
        <w:tc>
          <w:tcPr>
            <w:tcW w:w="3853" w:type="pct"/>
            <w:tcBorders>
              <w:top w:val="single" w:color="auto" w:sz="4" w:space="0"/>
              <w:left w:val="single" w:color="auto" w:sz="4" w:space="0"/>
              <w:bottom w:val="single" w:color="auto" w:sz="4" w:space="0"/>
              <w:right w:val="single" w:color="auto" w:sz="4" w:space="0"/>
            </w:tcBorders>
            <w:noWrap w:val="0"/>
            <w:vAlign w:val="center"/>
          </w:tcPr>
          <w:p>
            <w:pPr>
              <w:spacing w:line="320" w:lineRule="exac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本项目的质保期为2年，每增加一年得1分，做多得3分。</w:t>
            </w:r>
          </w:p>
          <w:p>
            <w:pPr>
              <w:spacing w:line="320" w:lineRule="exact"/>
              <w:textAlignment w:val="baseline"/>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承诺书格式自拟。</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2"/>
              <w:spacing w:line="32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r>
    </w:tbl>
    <w:p>
      <w:pPr>
        <w:adjustRightInd w:val="0"/>
        <w:snapToGrid w:val="0"/>
        <w:spacing w:line="420" w:lineRule="exact"/>
        <w:ind w:firstLine="482" w:firstLineChars="200"/>
        <w:outlineLvl w:val="3"/>
        <w:rPr>
          <w:rFonts w:hint="eastAsia" w:ascii="宋体" w:hAnsi="宋体" w:eastAsia="宋体" w:cs="宋体"/>
          <w:b/>
          <w:bCs/>
          <w:color w:val="auto"/>
          <w:highlight w:val="none"/>
        </w:rPr>
      </w:pPr>
    </w:p>
    <w:p>
      <w:pPr>
        <w:adjustRightInd w:val="0"/>
        <w:snapToGrid w:val="0"/>
        <w:spacing w:line="420" w:lineRule="exact"/>
        <w:ind w:firstLine="482" w:firstLineChars="200"/>
        <w:outlineLvl w:val="3"/>
        <w:rPr>
          <w:rFonts w:hint="eastAsia" w:ascii="宋体" w:hAnsi="宋体" w:eastAsia="宋体" w:cs="宋体"/>
          <w:b/>
          <w:bCs/>
          <w:color w:val="auto"/>
          <w:highlight w:val="none"/>
        </w:rPr>
      </w:pPr>
      <w:r>
        <w:rPr>
          <w:rFonts w:hint="eastAsia" w:ascii="宋体" w:hAnsi="宋体" w:eastAsia="宋体" w:cs="宋体"/>
          <w:b/>
          <w:bCs/>
          <w:color w:val="auto"/>
          <w:highlight w:val="none"/>
        </w:rPr>
        <w:t>2.竞争性磋商响应最后报价评审：（</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0分）</w:t>
      </w:r>
    </w:p>
    <w:p>
      <w:pPr>
        <w:snapToGrid w:val="0"/>
        <w:spacing w:line="420" w:lineRule="exact"/>
        <w:ind w:firstLine="487" w:firstLineChars="202"/>
        <w:rPr>
          <w:rFonts w:hint="eastAsia" w:ascii="宋体" w:hAnsi="宋体" w:eastAsia="宋体" w:cs="宋体"/>
          <w:b/>
          <w:bCs/>
          <w:color w:val="auto"/>
          <w:highlight w:val="none"/>
        </w:rPr>
      </w:pPr>
      <w:r>
        <w:rPr>
          <w:rFonts w:hint="eastAsia" w:ascii="宋体" w:hAnsi="宋体" w:eastAsia="宋体" w:cs="宋体"/>
          <w:b/>
          <w:bCs/>
          <w:color w:val="auto"/>
          <w:highlight w:val="none"/>
        </w:rPr>
        <w:t>（1）价格分统一采用低价优先法计算，即满足招标文件要求且投标价格最低的投标报价为评标基准价，其价格分为满分。其他投标人的价格分统一按照下列公式计算（</w:t>
      </w:r>
      <w:r>
        <w:rPr>
          <w:rFonts w:hint="eastAsia" w:ascii="宋体" w:hAnsi="宋体" w:eastAsia="宋体" w:cs="宋体"/>
          <w:b/>
          <w:bCs/>
          <w:color w:val="auto"/>
          <w:highlight w:val="none"/>
          <w:lang w:val="zh-CN"/>
        </w:rPr>
        <w:t>分值保留小数点后两位）</w:t>
      </w:r>
      <w:r>
        <w:rPr>
          <w:rFonts w:hint="eastAsia" w:ascii="宋体" w:hAnsi="宋体" w:eastAsia="宋体" w:cs="宋体"/>
          <w:b/>
          <w:bCs/>
          <w:color w:val="auto"/>
          <w:highlight w:val="none"/>
        </w:rPr>
        <w:t>：</w:t>
      </w:r>
    </w:p>
    <w:p>
      <w:pPr>
        <w:snapToGrid w:val="0"/>
        <w:spacing w:line="420" w:lineRule="exact"/>
        <w:ind w:firstLine="487" w:firstLineChars="202"/>
        <w:rPr>
          <w:rFonts w:hint="eastAsia" w:ascii="宋体" w:hAnsi="宋体" w:eastAsia="宋体" w:cs="宋体"/>
          <w:b/>
          <w:bCs/>
          <w:color w:val="auto"/>
          <w:highlight w:val="none"/>
        </w:rPr>
      </w:pPr>
      <w:r>
        <w:rPr>
          <w:rFonts w:hint="eastAsia" w:ascii="宋体" w:hAnsi="宋体" w:eastAsia="宋体" w:cs="宋体"/>
          <w:b/>
          <w:bCs/>
          <w:color w:val="auto"/>
          <w:highlight w:val="none"/>
        </w:rPr>
        <w:t>投标报价得分=(评标基准价/投标报价)×价格权值×100</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）评审过程中，不得去掉“各项费用”最后报价中的最高报价和最低报价。</w:t>
      </w:r>
    </w:p>
    <w:p>
      <w:pPr>
        <w:adjustRightInd w:val="0"/>
        <w:snapToGrid w:val="0"/>
        <w:spacing w:line="420" w:lineRule="exact"/>
        <w:ind w:firstLine="480" w:firstLineChars="200"/>
        <w:outlineLvl w:val="3"/>
        <w:rPr>
          <w:rFonts w:hint="eastAsia" w:ascii="宋体" w:hAnsi="宋体" w:eastAsia="宋体" w:cs="宋体"/>
          <w:color w:val="auto"/>
          <w:highlight w:val="none"/>
        </w:rPr>
      </w:pPr>
      <w:r>
        <w:rPr>
          <w:rFonts w:hint="eastAsia" w:ascii="宋体" w:hAnsi="宋体" w:eastAsia="宋体" w:cs="宋体"/>
          <w:color w:val="auto"/>
          <w:highlight w:val="none"/>
        </w:rPr>
        <w:t>3.评审磋商时竞争性磋商小组评委成员对评审磋商细则若有争议，由竞争性磋商小组评委成员集体讨论确定并对未尽情况有最终解释权。竞争性磋商小组评委成员对需要共同认定的事项存在争议的，应当按照少数服从多数的原则作出结论。持不同意见的竞争性磋商小组评委成员应当在评审磋商报告上签署不同意见及理由，否则视为同意评审磋商报告。</w:t>
      </w:r>
    </w:p>
    <w:p>
      <w:pPr>
        <w:adjustRightInd w:val="0"/>
        <w:snapToGrid w:val="0"/>
        <w:spacing w:line="420" w:lineRule="exact"/>
        <w:ind w:firstLine="480" w:firstLineChars="200"/>
        <w:outlineLvl w:val="3"/>
        <w:rPr>
          <w:rFonts w:hint="eastAsia" w:ascii="宋体" w:hAnsi="宋体" w:eastAsia="宋体" w:cs="宋体"/>
          <w:color w:val="auto"/>
          <w:highlight w:val="none"/>
        </w:rPr>
      </w:pPr>
      <w:r>
        <w:rPr>
          <w:rFonts w:hint="eastAsia" w:ascii="宋体" w:hAnsi="宋体" w:eastAsia="宋体" w:cs="宋体"/>
          <w:color w:val="auto"/>
          <w:highlight w:val="none"/>
        </w:rPr>
        <w:t>4.对落标的竞争性磋商响应供应商不做落标原因的解释。</w:t>
      </w:r>
    </w:p>
    <w:bookmarkEnd w:id="37"/>
    <w:p>
      <w:pPr>
        <w:snapToGrid w:val="0"/>
        <w:spacing w:line="420" w:lineRule="exact"/>
        <w:ind w:firstLine="487" w:firstLineChars="202"/>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五、出现下列情形之一的，作无效磋商处理</w:t>
      </w:r>
    </w:p>
    <w:p>
      <w:pPr>
        <w:spacing w:line="420" w:lineRule="exact"/>
        <w:ind w:firstLine="484" w:firstLineChars="202"/>
        <w:rPr>
          <w:rFonts w:hint="eastAsia" w:ascii="宋体" w:hAnsi="宋体" w:eastAsia="宋体" w:cs="宋体"/>
          <w:color w:val="auto"/>
          <w:highlight w:val="none"/>
        </w:rPr>
      </w:pPr>
      <w:bookmarkStart w:id="48" w:name="_Hlk69493558"/>
      <w:r>
        <w:rPr>
          <w:rFonts w:hint="eastAsia" w:ascii="宋体" w:hAnsi="宋体" w:eastAsia="宋体" w:cs="宋体"/>
          <w:color w:val="auto"/>
          <w:highlight w:val="none"/>
        </w:rPr>
        <w:t>1.竞争性磋商响应文件未按磋商文件要求装订、密封、签署、盖章及主要资料不齐全的；</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2.竞争性磋商响应文件的资料有虚报或者谎报的；</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3.竞争性磋商响应文件中资格审查文件及技术竞争性磋商响应文件出现竞争性磋商报价内容的；</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4.不具备竞争性磋商文件规定的资格要求的；</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5.竞争性磋商响应文件有重大漏项或重大不合理的；</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6.项目技术、方案不满足项目需求中的要求，有重大偏离或保留的；</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7.竞争性磋商响应报价超出项目预算的；</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8.被认定为低于成本报价而进行竞争性磋商响应的；</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9.供应商的磋商报价高于自己前一轮的；</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10.不符合法律、法规和磋商文件中规定的其他实质性响应要求的；</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11.竞争性磋商小组依据法律法规可以认定为无效投标的其他情况。</w:t>
      </w:r>
      <w:bookmarkEnd w:id="48"/>
    </w:p>
    <w:p>
      <w:pPr>
        <w:snapToGrid w:val="0"/>
        <w:spacing w:line="420" w:lineRule="exact"/>
        <w:ind w:firstLine="482" w:firstLineChars="200"/>
        <w:outlineLvl w:val="1"/>
        <w:rPr>
          <w:rFonts w:hint="eastAsia" w:ascii="宋体" w:hAnsi="宋体" w:eastAsia="宋体" w:cs="宋体"/>
          <w:color w:val="auto"/>
          <w:highlight w:val="none"/>
        </w:rPr>
      </w:pPr>
      <w:r>
        <w:rPr>
          <w:rFonts w:hint="eastAsia" w:ascii="宋体" w:hAnsi="宋体" w:eastAsia="宋体" w:cs="宋体"/>
          <w:b/>
          <w:bCs/>
          <w:color w:val="auto"/>
          <w:highlight w:val="none"/>
        </w:rPr>
        <w:t>六、有下列情形之一的，视为竞争性磋商响应供应商恶意串通竞标，其磋商无效</w:t>
      </w:r>
    </w:p>
    <w:p>
      <w:pPr>
        <w:snapToGrid w:val="0"/>
        <w:spacing w:line="420" w:lineRule="exact"/>
        <w:ind w:firstLine="484" w:firstLineChars="202"/>
        <w:rPr>
          <w:rFonts w:hint="eastAsia" w:ascii="宋体" w:hAnsi="宋体" w:eastAsia="宋体" w:cs="宋体"/>
          <w:color w:val="auto"/>
          <w:highlight w:val="none"/>
        </w:rPr>
      </w:pPr>
      <w:bookmarkStart w:id="49" w:name="_Hlk69493470"/>
      <w:r>
        <w:rPr>
          <w:rFonts w:hint="eastAsia" w:ascii="宋体" w:hAnsi="宋体" w:eastAsia="宋体" w:cs="宋体"/>
          <w:color w:val="auto"/>
          <w:highlight w:val="none"/>
        </w:rPr>
        <w:t>1.直接或者间接从采购人或者采购代理机构处获得其他供应商的相关情况并修改其竞争性磋商响应文件；</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2.按照采购人或者采购代理机构的授意撤换、修改竞争性磋商响应文件；</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3.与其他的供应商协商报价、技术方案等竞争性磋商响应文件的实质性内容；</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5.供应商之间事先约定由某一特定供应商成交；</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6.供应商之间商定部分供应商放弃参加政府采购活动或者放弃成交；</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7.供应商与采购人或者采购代理机构之间、供应商相互之间，为谋求特定供应商成交或者排斥其他供应商的其他串通行为；</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8.不同的竞争性磋商响应供应商的竞争性磋商响应文件由同一单位或者个人编制；</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9.不同的竞争性磋商响应供应商委托同一单位或者个人办理竞争性磋商响应事宜；</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10.不同的竞争性磋商响应供应商的竞争性磋商响应文件载明的项目管理成员或者联系人员为同一人；</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11.不同的竞争性磋商响应供应商的竞争性磋商响应文件异常一致或者首次、二次（最后）报价呈规律性差异；</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12.不同的竞争性磋商响应供应商的竞争性磋商响应文件相互混装。</w:t>
      </w:r>
      <w:bookmarkEnd w:id="49"/>
    </w:p>
    <w:p>
      <w:pPr>
        <w:snapToGrid w:val="0"/>
        <w:spacing w:line="420" w:lineRule="exact"/>
        <w:ind w:firstLine="482" w:firstLineChars="200"/>
        <w:outlineLvl w:val="1"/>
        <w:rPr>
          <w:rFonts w:hint="eastAsia" w:ascii="宋体" w:hAnsi="宋体" w:eastAsia="宋体" w:cs="宋体"/>
          <w:color w:val="auto"/>
          <w:highlight w:val="none"/>
        </w:rPr>
      </w:pPr>
      <w:r>
        <w:rPr>
          <w:rFonts w:hint="eastAsia" w:ascii="宋体" w:hAnsi="宋体" w:eastAsia="宋体" w:cs="宋体"/>
          <w:b/>
          <w:bCs/>
          <w:color w:val="auto"/>
          <w:highlight w:val="none"/>
        </w:rPr>
        <w:t>七、出现下列情形之一的，采购人或者采购代理机构应当终止竞争性磋商采购活动，发布项目终止公告并说明原因，重新开展采购活动：</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1.因情况变化，不再符合规定的竞争性磋商采购方式适用情形的；</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pPr>
        <w:snapToGrid w:val="0"/>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3.除本竞争性磋商文件第四章第三条（二）款第3点下的（10）条规定的情形外，在采购过程中符合要求的供应商或者报价未超过采购预算的供应商不足3家的。</w:t>
      </w:r>
    </w:p>
    <w:p>
      <w:pPr>
        <w:snapToGrid w:val="0"/>
        <w:spacing w:line="42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八、在采购活动中因重大变故，采购任务取消的，采购人或者采购代理机构应当终止采购活动，通知所有参加采购活动的供应商，并将项目实施情况和采购任务取消原因报送本级财政部门。</w:t>
      </w:r>
    </w:p>
    <w:p>
      <w:pPr>
        <w:snapToGrid w:val="0"/>
        <w:spacing w:line="420" w:lineRule="exact"/>
        <w:ind w:firstLine="487" w:firstLineChars="202"/>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九、成交通知</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1.竞争性磋商结束后，招标采购单位将成交结果在“南通市崇川区人民政府网→我要看→公示公告栏”栏内发布；</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2.成交结果公告的期限为1个工作日，期限结束后向成交人发出《成交通知书》。</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3.《成交通知书》一经发出，即具有法律效力。采购人、成交人依法承担法律责任，且《成交通知书》是本项目采购合同的组成部分。</w:t>
      </w: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jc w:val="center"/>
        <w:outlineLvl w:val="0"/>
        <w:rPr>
          <w:rFonts w:hint="eastAsia" w:ascii="宋体" w:hAnsi="宋体" w:eastAsia="宋体" w:cs="宋体"/>
          <w:b/>
          <w:bCs/>
          <w:color w:val="auto"/>
          <w:w w:val="80"/>
          <w:sz w:val="36"/>
          <w:szCs w:val="36"/>
          <w:highlight w:val="none"/>
        </w:rPr>
        <w:sectPr>
          <w:pgSz w:w="11906" w:h="16838"/>
          <w:pgMar w:top="1418" w:right="851" w:bottom="851" w:left="1418" w:header="851" w:footer="471" w:gutter="0"/>
          <w:cols w:space="425" w:num="1"/>
          <w:docGrid w:type="lines" w:linePitch="312" w:charSpace="0"/>
        </w:sectPr>
      </w:pP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第五章  合同主要条款</w:t>
      </w: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第一部分 合同协议书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发包人（又称甲方或业主单位）：</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承包人（又称乙方或施工单位）：</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r>
        <w:rPr>
          <w:rFonts w:hint="eastAsia" w:ascii="宋体" w:hAnsi="宋体" w:eastAsia="宋体" w:cs="宋体"/>
          <w:color w:val="auto"/>
          <w:sz w:val="24"/>
          <w:szCs w:val="24"/>
          <w:highlight w:val="none"/>
          <w:u w:val="single"/>
          <w:lang w:eastAsia="zh-CN"/>
        </w:rPr>
        <w:t>城港路56号配电间低压改造项目</w:t>
      </w:r>
      <w:r>
        <w:rPr>
          <w:rFonts w:hint="eastAsia" w:ascii="宋体" w:hAnsi="宋体" w:eastAsia="宋体" w:cs="宋体"/>
          <w:color w:val="auto"/>
          <w:sz w:val="24"/>
          <w:szCs w:val="24"/>
          <w:highlight w:val="none"/>
        </w:rPr>
        <w:t>及有关事项协商一致，共同达成如下协议：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1、工程名称：</w:t>
      </w:r>
      <w:r>
        <w:rPr>
          <w:rFonts w:hint="eastAsia" w:ascii="宋体" w:hAnsi="宋体" w:eastAsia="宋体" w:cs="宋体"/>
          <w:color w:val="auto"/>
          <w:sz w:val="24"/>
          <w:szCs w:val="24"/>
          <w:highlight w:val="none"/>
          <w:u w:val="single"/>
          <w:lang w:eastAsia="zh-CN"/>
        </w:rPr>
        <w:t>城港路56号配电间低压改造项目</w:t>
      </w:r>
      <w:r>
        <w:rPr>
          <w:rFonts w:hint="eastAsia" w:ascii="宋体" w:hAnsi="宋体" w:eastAsia="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2、工程地点：</w:t>
      </w:r>
      <w:r>
        <w:rPr>
          <w:rFonts w:hint="eastAsia" w:ascii="宋体" w:hAnsi="宋体" w:eastAsia="宋体" w:cs="宋体"/>
          <w:color w:val="auto"/>
          <w:sz w:val="24"/>
          <w:szCs w:val="24"/>
          <w:highlight w:val="none"/>
          <w:u w:val="single"/>
          <w:lang w:eastAsia="zh-CN"/>
        </w:rPr>
        <w:t>城港路56（原港闸区委党校配电间）；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u w:val="single"/>
          <w:shd w:val="pct10" w:color="auto" w:fill="FFFFFF"/>
        </w:rPr>
      </w:pPr>
      <w:r>
        <w:rPr>
          <w:rFonts w:hint="eastAsia" w:ascii="宋体" w:hAnsi="宋体" w:eastAsia="宋体" w:cs="宋体"/>
          <w:color w:val="auto"/>
          <w:sz w:val="24"/>
          <w:szCs w:val="24"/>
          <w:highlight w:val="none"/>
        </w:rPr>
        <w:t>3、工程内容：</w:t>
      </w:r>
      <w:r>
        <w:rPr>
          <w:rFonts w:hint="eastAsia" w:ascii="宋体" w:hAnsi="宋体" w:eastAsia="宋体" w:cs="宋体"/>
          <w:color w:val="auto"/>
          <w:sz w:val="24"/>
          <w:szCs w:val="24"/>
          <w:highlight w:val="none"/>
          <w:u w:val="single"/>
          <w:lang w:eastAsia="zh-CN"/>
        </w:rPr>
        <w:t>详见</w:t>
      </w:r>
      <w:r>
        <w:rPr>
          <w:rFonts w:hint="eastAsia" w:ascii="宋体" w:hAnsi="宋体" w:eastAsia="宋体" w:cs="宋体"/>
          <w:color w:val="auto"/>
          <w:sz w:val="24"/>
          <w:szCs w:val="24"/>
          <w:highlight w:val="none"/>
          <w:u w:val="single"/>
          <w:lang w:val="en-US" w:eastAsia="zh-CN"/>
        </w:rPr>
        <w:t>项目需求</w:t>
      </w:r>
      <w:r>
        <w:rPr>
          <w:rFonts w:hint="eastAsia" w:ascii="宋体" w:hAnsi="宋体" w:eastAsia="宋体" w:cs="宋体"/>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4、资金来源：</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5、工程承包范围：</w:t>
      </w:r>
      <w:r>
        <w:rPr>
          <w:rFonts w:hint="eastAsia" w:ascii="宋体" w:hAnsi="宋体" w:eastAsia="宋体" w:cs="宋体"/>
          <w:color w:val="auto"/>
          <w:sz w:val="24"/>
          <w:szCs w:val="24"/>
          <w:highlight w:val="none"/>
          <w:u w:val="single"/>
          <w:lang w:eastAsia="zh-CN"/>
        </w:rPr>
        <w:t>详见工</w:t>
      </w:r>
      <w:r>
        <w:rPr>
          <w:rFonts w:hint="eastAsia" w:ascii="宋体" w:hAnsi="宋体" w:eastAsia="宋体" w:cs="宋体"/>
          <w:color w:val="auto"/>
          <w:sz w:val="24"/>
          <w:szCs w:val="24"/>
          <w:highlight w:val="none"/>
          <w:u w:val="single"/>
          <w:lang w:val="en-US" w:eastAsia="zh-CN"/>
        </w:rPr>
        <w:t>项目需求</w:t>
      </w:r>
      <w:r>
        <w:rPr>
          <w:rFonts w:hint="eastAsia" w:ascii="宋体" w:hAnsi="宋体" w:eastAsia="宋体" w:cs="宋体"/>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承包方式：</w:t>
      </w:r>
      <w:r>
        <w:rPr>
          <w:rFonts w:hint="eastAsia" w:ascii="宋体" w:hAnsi="宋体" w:eastAsia="宋体" w:cs="宋体"/>
          <w:color w:val="auto"/>
          <w:sz w:val="24"/>
          <w:szCs w:val="24"/>
          <w:highlight w:val="none"/>
          <w:u w:val="single"/>
        </w:rPr>
        <w:t>包工包料、包质量、包安全文明施工、包验收通过。</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二、合同工期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工期：自合同签订之日起30日历天内完成改造并通过验收</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双方确认本合同所确定工期为承包人保质保量完成工程的合理工期。承包人应在总工期到期日前完成并交付全部工程，遇雨、雾、台风、停电、群众矛盾影响施工的，工期不变。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三、质量标准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、本项目为固定</w:t>
      </w:r>
      <w:r>
        <w:rPr>
          <w:rFonts w:hint="eastAsia" w:ascii="宋体" w:hAnsi="宋体" w:eastAsia="宋体" w:cs="宋体"/>
          <w:color w:val="auto"/>
          <w:sz w:val="24"/>
          <w:szCs w:val="24"/>
          <w:highlight w:val="none"/>
          <w:lang w:val="en-US" w:eastAsia="zh-CN"/>
        </w:rPr>
        <w:t>总价</w:t>
      </w:r>
      <w:r>
        <w:rPr>
          <w:rFonts w:hint="eastAsia" w:ascii="宋体" w:hAnsi="宋体" w:eastAsia="宋体" w:cs="宋体"/>
          <w:color w:val="auto"/>
          <w:sz w:val="24"/>
          <w:szCs w:val="24"/>
          <w:highlight w:val="none"/>
        </w:rPr>
        <w:t>合同。供应商应充分考虑本项目合同实施期间可能发生的费用，并承担由此而带来的风险。</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、本项目质保期为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四、签约合同价与合同价格形式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1、签约合同价：</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元 </w:t>
      </w:r>
      <w:r>
        <w:rPr>
          <w:rFonts w:hint="eastAsia" w:ascii="宋体" w:hAnsi="宋体" w:eastAsia="宋体" w:cs="宋体"/>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w:t>
      </w:r>
      <w:r>
        <w:rPr>
          <w:rFonts w:hint="eastAsia" w:ascii="宋体" w:hAnsi="宋体" w:eastAsia="宋体" w:cs="宋体"/>
          <w:color w:val="auto"/>
          <w:sz w:val="24"/>
          <w:szCs w:val="24"/>
          <w:highlight w:val="none"/>
          <w:u w:val="single"/>
        </w:rPr>
        <w:t>固定总价合同</w:t>
      </w:r>
      <w:r>
        <w:rPr>
          <w:rFonts w:hint="eastAsia" w:ascii="宋体" w:hAnsi="宋体" w:eastAsia="宋体" w:cs="宋体"/>
          <w:color w:val="auto"/>
          <w:sz w:val="24"/>
          <w:szCs w:val="24"/>
          <w:highlight w:val="none"/>
        </w:rPr>
        <w:t>。合同履行期间，除发包人因设计变更或现场签证造成工程量增减而调整合同价格外，合同总价不作调整。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认为无漏算项目，也无漏算工程量，标单内工程量清单及发包方人员口头、书面解释说明系供承包人审查及参考估价之用，不作计算工程造价之用。除非因政府部门、设计单位及发包人要求增加工程外，承包人决不籍任何理由要求加价，并愿照本合同约定造价、期限及图说规定完成全部工程。</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固定总价包含的风险范围：</w:t>
      </w:r>
      <w:r>
        <w:rPr>
          <w:rFonts w:hint="default" w:ascii="宋体" w:hAnsi="宋体" w:eastAsia="宋体" w:cs="宋体"/>
          <w:color w:val="auto"/>
          <w:sz w:val="24"/>
          <w:szCs w:val="24"/>
          <w:highlight w:val="none"/>
        </w:rPr>
        <w:t>①</w:t>
      </w:r>
      <w:r>
        <w:rPr>
          <w:rFonts w:hint="eastAsia" w:ascii="宋体" w:hAnsi="宋体" w:eastAsia="宋体" w:cs="宋体"/>
          <w:color w:val="auto"/>
          <w:sz w:val="24"/>
          <w:szCs w:val="24"/>
          <w:highlight w:val="none"/>
        </w:rPr>
        <w:t>本项目施工内容所包含的工程量双方已核实无误（包括可能出现的漏算错算），工程结算时除发包人书面确认的变更签证外，不予调整。</w:t>
      </w:r>
      <w:r>
        <w:rPr>
          <w:rFonts w:hint="default" w:ascii="宋体" w:hAnsi="宋体" w:eastAsia="宋体" w:cs="宋体"/>
          <w:color w:val="auto"/>
          <w:sz w:val="24"/>
          <w:szCs w:val="24"/>
          <w:highlight w:val="none"/>
        </w:rPr>
        <w:t>②</w:t>
      </w:r>
      <w:r>
        <w:rPr>
          <w:rFonts w:hint="eastAsia" w:ascii="宋体" w:hAnsi="宋体" w:eastAsia="宋体" w:cs="宋体"/>
          <w:color w:val="auto"/>
          <w:sz w:val="24"/>
          <w:szCs w:val="24"/>
          <w:highlight w:val="none"/>
        </w:rPr>
        <w:t>合同工期内，如遇建设主管部门或造价管理部门发布价格调整文件、市场价格涨跌均不予调整。不包括暂定价材料价格的调差。</w:t>
      </w:r>
      <w:r>
        <w:rPr>
          <w:rFonts w:hint="default" w:ascii="宋体" w:hAnsi="宋体" w:eastAsia="宋体" w:cs="宋体"/>
          <w:color w:val="auto"/>
          <w:sz w:val="24"/>
          <w:szCs w:val="24"/>
          <w:highlight w:val="none"/>
        </w:rPr>
        <w:t>③</w:t>
      </w:r>
      <w:r>
        <w:rPr>
          <w:rFonts w:hint="eastAsia" w:ascii="宋体" w:hAnsi="宋体" w:eastAsia="宋体" w:cs="宋体"/>
          <w:color w:val="auto"/>
          <w:sz w:val="24"/>
          <w:szCs w:val="24"/>
          <w:highlight w:val="none"/>
        </w:rPr>
        <w:t>承包人已认真踏勘现场，并根据施工现场的实际情况和各自的施工经验确定合理的施工组织方案，由于现场条件而引起的施工增加费不再计取，该部分费用已在综合单价和措施费中考虑。</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已含在合同价内。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lang w:val="en-US" w:eastAsia="zh-CN"/>
        </w:rPr>
        <w:t>本</w:t>
      </w:r>
      <w:r>
        <w:rPr>
          <w:rFonts w:hint="eastAsia" w:ascii="宋体" w:hAnsi="宋体" w:eastAsia="宋体" w:cs="宋体"/>
          <w:color w:val="auto"/>
          <w:sz w:val="24"/>
          <w:szCs w:val="24"/>
          <w:highlight w:val="none"/>
          <w:u w:val="single"/>
        </w:rPr>
        <w:t>合同承包范围内发生设计变更或现场签证，合同价调整办法</w:t>
      </w:r>
      <w:r>
        <w:rPr>
          <w:rFonts w:hint="default" w:ascii="宋体" w:hAnsi="宋体" w:eastAsia="宋体" w:cs="宋体"/>
          <w:color w:val="auto"/>
          <w:sz w:val="24"/>
          <w:szCs w:val="24"/>
          <w:highlight w:val="none"/>
          <w:u w:val="single"/>
        </w:rPr>
        <w:t>①</w:t>
      </w:r>
      <w:r>
        <w:rPr>
          <w:rFonts w:hint="eastAsia" w:ascii="宋体" w:hAnsi="宋体" w:eastAsia="宋体" w:cs="宋体"/>
          <w:color w:val="auto"/>
          <w:sz w:val="24"/>
          <w:szCs w:val="24"/>
          <w:highlight w:val="none"/>
          <w:u w:val="single"/>
        </w:rPr>
        <w:t>合同价中已有适用新增（或变更、签证）项目的综合单价，按合同价中已有的综合单价，乘以新增(或变更、签证)工程量，以其为计价基础的其它费用按合同价中的计价程序、费率标准执行。</w:t>
      </w:r>
      <w:r>
        <w:rPr>
          <w:rFonts w:hint="default" w:ascii="宋体" w:hAnsi="宋体" w:eastAsia="宋体" w:cs="宋体"/>
          <w:color w:val="auto"/>
          <w:sz w:val="24"/>
          <w:szCs w:val="24"/>
          <w:highlight w:val="none"/>
          <w:u w:val="single"/>
        </w:rPr>
        <w:t>②</w:t>
      </w:r>
      <w:r>
        <w:rPr>
          <w:rFonts w:hint="eastAsia" w:ascii="宋体" w:hAnsi="宋体" w:eastAsia="宋体" w:cs="宋体"/>
          <w:color w:val="auto"/>
          <w:sz w:val="24"/>
          <w:szCs w:val="24"/>
          <w:highlight w:val="none"/>
          <w:u w:val="single"/>
        </w:rPr>
        <w:t>合同价中没有适用新增（或变更、签证）项目的综合单价，按发包人标底价编制原则组成新的综合单价后,乘以新增(或变更、签证)工程量，以其为计价基础的其它费用按标底价中的计价程序、费率标准执行；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五、项目经理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身份证号:</w:t>
      </w:r>
      <w:r>
        <w:rPr>
          <w:rFonts w:hint="eastAsia" w:ascii="宋体" w:hAnsi="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建造师执业资格等级：</w:t>
      </w:r>
      <w:r>
        <w:rPr>
          <w:rFonts w:hint="eastAsia" w:ascii="宋体" w:hAnsi="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建造师注册</w:t>
      </w:r>
      <w:r>
        <w:rPr>
          <w:rFonts w:hint="eastAsia" w:ascii="宋体" w:hAnsi="宋体" w:eastAsia="宋体" w:cs="宋体"/>
          <w:color w:val="auto"/>
          <w:sz w:val="24"/>
          <w:szCs w:val="24"/>
          <w:highlight w:val="none"/>
          <w:lang w:eastAsia="zh-CN"/>
        </w:rPr>
        <w:t>编</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安全生产考核合格证书号：</w:t>
      </w:r>
      <w:r>
        <w:rPr>
          <w:rFonts w:hint="eastAsia" w:ascii="宋体" w:hAnsi="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 安全文明施工与环境保护</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6.1.1安全生产要求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承包人应达到的施工项目安全生产标准化达标目标及相应事项是：</w:t>
      </w:r>
      <w:r>
        <w:rPr>
          <w:rFonts w:hint="eastAsia" w:ascii="宋体" w:hAnsi="宋体" w:eastAsia="宋体" w:cs="宋体"/>
          <w:color w:val="auto"/>
          <w:sz w:val="24"/>
          <w:szCs w:val="24"/>
          <w:highlight w:val="none"/>
          <w:u w:val="single"/>
        </w:rPr>
        <w:t>承包人应当遵守工程建设安全生产有关管理规定，严格按安全标准组织施工，并随时接受行业安全检查人员的监督检查，采取必要的防护措施，确保施工中不发生任何安全事故；承包人对安全施工承担全责，施工过程中如发生安全事故的，承包人必须负全责处理，因此发生的费用亦由承包人全额负责</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 文明施工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发包人对承包人文明施工的其他要求： </w:t>
      </w:r>
      <w:r>
        <w:rPr>
          <w:rFonts w:hint="eastAsia" w:ascii="宋体" w:hAnsi="宋体" w:eastAsia="宋体" w:cs="宋体"/>
          <w:color w:val="auto"/>
          <w:sz w:val="24"/>
          <w:szCs w:val="24"/>
          <w:highlight w:val="none"/>
          <w:u w:val="single"/>
        </w:rPr>
        <w:t>1、承包人进场施工，要注意对已完工程的成品保护，损坏照价赔偿或恢复原样；2、施工人员进入施工现场不正确佩戴安全帽，每人每次罚200元；3、现场材料堆放混乱，且口头通知2次不整改的，每次罚200元；4、施工现场发生工人打架斗殴的，每次罚500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安全文明施工费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安全文明施工费包含在合同价以内，合同履行过程中不作调整，安全文明施工费附随进度款支付，不单独支付。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安全生产责任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6.1.5.1 承包人的安全责任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工程基本的安全文明施工目标为无死亡和重大伤亡事故，承包方应加强施工人员安全教育，缴纳相关保险，如发生安全、文明施工问题，受到行政机关查处的、或媒体曝光的，一切责任由承包方负责，发包方不承担任何责任；每出现一次，承包人按照合同总价的</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向发包人支付违约金。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6.1.6施工场地周围地下管线和邻近建筑物、构筑物、绿化的保护要求及费用承担：</w:t>
      </w:r>
      <w:r>
        <w:rPr>
          <w:rFonts w:hint="eastAsia" w:ascii="宋体" w:hAnsi="宋体" w:eastAsia="宋体" w:cs="宋体"/>
          <w:b/>
          <w:color w:val="auto"/>
          <w:sz w:val="24"/>
          <w:szCs w:val="24"/>
          <w:highlight w:val="none"/>
          <w:u w:val="single"/>
        </w:rPr>
        <w:t>做好上述建筑的保护工作，如有损坏，费用由承包人自理。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七、合同文件构成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w:t>
      </w:r>
    </w:p>
    <w:p>
      <w:pPr>
        <w:pStyle w:val="44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)中标通知书(如果有)；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(2)投标函及其附录(如果有)；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(6)已标价工程量清单或预算书；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(7)竞谈文件及其他合同文件。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八、承诺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1.承包人承诺按照法律规定及合同约定组织完成工程施工，确保工程质量和安全，不进行转包及违法分包，并在缺陷责任期及保修期内承担相应的工程维修责任。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2.发包人和承包人通过招投标形式签订合同的，双方理解并承诺不再就同一工程另行签订与合同实质性内容相背离的协议。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九、词语含义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本协议书中词语含义与第二部分通用合同条款中赋予的含义相同。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十、签订时间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本合同于</w:t>
      </w:r>
      <w:r>
        <w:rPr>
          <w:rFonts w:hint="eastAsia" w:ascii="宋体" w:hAnsi="宋体" w:eastAsia="宋体" w:cs="宋体"/>
          <w:color w:val="auto"/>
          <w:sz w:val="24"/>
          <w:szCs w:val="24"/>
          <w:highlight w:val="none"/>
          <w:u w:val="single"/>
        </w:rPr>
        <w:t xml:space="preserve"> 20</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日签订。</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十一、签订地点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签订。</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十二、补充协议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十三、合同生效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u w:val="single"/>
        </w:rPr>
        <w:t>双方签字盖章</w:t>
      </w:r>
      <w:r>
        <w:rPr>
          <w:rFonts w:hint="eastAsia" w:ascii="宋体" w:hAnsi="宋体" w:eastAsia="宋体" w:cs="宋体"/>
          <w:color w:val="auto"/>
          <w:sz w:val="24"/>
          <w:szCs w:val="24"/>
          <w:highlight w:val="none"/>
        </w:rPr>
        <w:t>生效。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十四、合同份数</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eastAsia="zh-CN"/>
        </w:rPr>
        <w:t>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份，均具有同等法律效力，发包人执</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eastAsia="zh-CN"/>
        </w:rPr>
        <w:t>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份，承包人执</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发包人：(公章)                 承包人：(公章)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法定代表人或其委托代理人(签字)：法定代表人或其委托代理人(签字)：</w:t>
      </w:r>
    </w:p>
    <w:p>
      <w:pPr>
        <w:keepNext w:val="0"/>
        <w:keepLines w:val="0"/>
        <w:pageBreakBefore w:val="0"/>
        <w:widowControl w:val="0"/>
        <w:tabs>
          <w:tab w:val="left" w:pos="441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地 址：</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税号：                                 税号：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                             电子信箱：</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                                账 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第二部分 通用合同条款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（详见《建设工程施工合同(示范文本)》(GF-2013-0201)）</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第三部分 专用合同条款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 一般约定</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1.1词语定义与解释</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合同协议书、通用合同条款、专用合同条款中的下列词语具有本款所赋予的含义：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1.1.1已标价工程量清单：除具有通用条款含义外，工程量清单不作为合同价款计价依据。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 合同当事人：是指发包人（即为业主单位、或甲方）、(或)承包人（即施工单位、或乙方）。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 项目经理：是指由承包人任命并派驻施工现场，具有法律规定任职资格的承包人在合同文件中指定的负责施工管理和合同履行的代表。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1.1.3日期和期限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 开工日期：实际开工日期是指发包人在开工文件中通知或批准的开工日期。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1.1.3.2 竣工日期：当实际交付工程日期、或者递交完整竣工资料日期迟于竣工验收合格日的，取其中最晚的日期为竣工日期。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1.2法律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《中华人民共和国</w:t>
      </w:r>
      <w:r>
        <w:rPr>
          <w:rFonts w:hint="eastAsia" w:ascii="宋体" w:hAnsi="宋体" w:eastAsia="宋体" w:cs="宋体"/>
          <w:color w:val="auto"/>
          <w:sz w:val="24"/>
          <w:szCs w:val="24"/>
          <w:highlight w:val="none"/>
          <w:u w:val="single"/>
          <w:lang w:val="en-US" w:eastAsia="zh-CN"/>
        </w:rPr>
        <w:t>民</w:t>
      </w:r>
      <w:r>
        <w:rPr>
          <w:rFonts w:hint="eastAsia" w:ascii="宋体" w:hAnsi="宋体" w:eastAsia="宋体" w:cs="宋体"/>
          <w:color w:val="auto"/>
          <w:sz w:val="24"/>
          <w:szCs w:val="24"/>
          <w:highlight w:val="none"/>
          <w:u w:val="single"/>
        </w:rPr>
        <w:t>法</w:t>
      </w:r>
      <w:r>
        <w:rPr>
          <w:rFonts w:hint="eastAsia" w:ascii="宋体" w:hAnsi="宋体" w:eastAsia="宋体" w:cs="宋体"/>
          <w:color w:val="auto"/>
          <w:sz w:val="24"/>
          <w:szCs w:val="24"/>
          <w:highlight w:val="none"/>
          <w:u w:val="single"/>
          <w:lang w:val="en-US" w:eastAsia="zh-CN"/>
        </w:rPr>
        <w:t>典</w:t>
      </w:r>
      <w:r>
        <w:rPr>
          <w:rFonts w:hint="eastAsia" w:ascii="宋体" w:hAnsi="宋体" w:eastAsia="宋体" w:cs="宋体"/>
          <w:color w:val="auto"/>
          <w:sz w:val="24"/>
          <w:szCs w:val="24"/>
          <w:highlight w:val="none"/>
          <w:u w:val="single"/>
        </w:rPr>
        <w:t>》、《中华人民共和国建筑法》、《中华人民共和国招标投标法》、《工程质量管理条例》等。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1.3 标准和规范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发包人对工程的技术标准、功能要求高于或严于现行国家、行业或地方标准的，以发包人对工程的技术标准、功能为准。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合同文件的优先顺序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组成合同的各项文件应互相解释，互为说明。除专用合同条款另有约定外，解释合同文件的优先顺序如下：</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(2)专用合同条款及其附件；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(3)竞谈文件及补充及答疑；</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(4)中标通知书(如果有)；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(5)投标函及其附录(如果有)；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(6)通用合同条款；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(7)技术标准和要求；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(8)设计变更、设计修改；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(9)已标价工程量清单或预算书；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(10)本合同实施过程中发包人、总承包人或其代表共同签署的工程签证，除非经业主单位盖章确认，但相关人员事后补签的工程签证，不作为计算工期顺延、合同价款调整的依据；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(11）其他合同文件。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专用条款是对通用条款作出的修改、另行或重新约定，专用条款与通用条款互为补充，专用条款与通用条款二者内容发生冲突时，适用专用条款；专用条款与通用条款二者产生歧义时，适用专用条款。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1.5图纸和承包人文件：不提供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1.6联络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书面形式联络可以是纸质载体，也可以是电子邮件、手机短信为载体。</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发包人指定的接收人为：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邮箱地址：                     联系手机：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通信地址：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承包人指定的接收人为：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邮箱地址：                     联系手机：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1.7工程进度款支付：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工程竣工验收合格并向业主提供完整的竣工验收资料并提交结算资料后一个月内付至合同价的70%；工程竣工验收合格满一年后一个月内付至工程审定价的97%，余款（3%作为质保金）在质保期满后一个月内付清。以上付款均不计利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乙方每次付款前须提供齐全的付款资料，</w:t>
      </w:r>
      <w:r>
        <w:rPr>
          <w:rFonts w:hint="eastAsia" w:ascii="宋体" w:hAnsi="宋体" w:eastAsia="宋体" w:cs="宋体"/>
          <w:b/>
          <w:bCs/>
          <w:color w:val="auto"/>
          <w:sz w:val="24"/>
          <w:szCs w:val="24"/>
          <w:highlight w:val="none"/>
          <w:lang w:val="en-US" w:eastAsia="zh-CN"/>
        </w:rPr>
        <w:t>需提供</w:t>
      </w:r>
      <w:r>
        <w:rPr>
          <w:rFonts w:hint="eastAsia" w:ascii="宋体" w:hAnsi="宋体" w:eastAsia="宋体" w:cs="宋体"/>
          <w:b/>
          <w:bCs/>
          <w:color w:val="auto"/>
          <w:sz w:val="24"/>
          <w:szCs w:val="24"/>
          <w:highlight w:val="none"/>
        </w:rPr>
        <w:t>经国家认可的增值税发票（一般纳税人，税率9%）。</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如乙方提供的发票不是增值税发票（一般纳税人，税率9%）的，则乙方需</w:t>
      </w:r>
      <w:r>
        <w:rPr>
          <w:rFonts w:hint="eastAsia" w:ascii="宋体" w:hAnsi="宋体" w:eastAsia="宋体" w:cs="宋体"/>
          <w:b/>
          <w:bCs/>
          <w:color w:val="auto"/>
          <w:sz w:val="24"/>
          <w:szCs w:val="24"/>
          <w:highlight w:val="none"/>
          <w:lang w:val="en-US" w:eastAsia="zh-CN"/>
        </w:rPr>
        <w:t>将两者之间的税率差补缴给甲方（乙方不补缴的，甲方可直接从合同款中扣除。）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注：最终付款金额不得高于合同价。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缺陷责任与保修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 </w:t>
      </w:r>
      <w:r>
        <w:rPr>
          <w:rFonts w:hint="eastAsia" w:ascii="宋体" w:hAnsi="宋体" w:eastAsia="宋体" w:cs="宋体"/>
          <w:color w:val="auto"/>
          <w:sz w:val="24"/>
          <w:szCs w:val="24"/>
          <w:highlight w:val="none"/>
          <w:u w:val="single"/>
        </w:rPr>
        <w:t>缺陷责任期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2.1.1缺陷责任期自实际竣工日期起计算，缺陷责任期的期限为</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年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3.质量保证金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本工程项目质量保修金 ：</w:t>
      </w:r>
      <w:r>
        <w:rPr>
          <w:rFonts w:hint="eastAsia" w:ascii="宋体" w:hAnsi="宋体" w:eastAsia="宋体" w:cs="宋体"/>
          <w:color w:val="auto"/>
          <w:sz w:val="24"/>
          <w:szCs w:val="24"/>
          <w:highlight w:val="none"/>
          <w:u w:val="single"/>
        </w:rPr>
        <w:t>工程</w:t>
      </w:r>
      <w:r>
        <w:rPr>
          <w:rFonts w:hint="eastAsia" w:ascii="宋体" w:hAnsi="宋体" w:eastAsia="宋体" w:cs="宋体"/>
          <w:b/>
          <w:bCs/>
          <w:color w:val="auto"/>
          <w:sz w:val="24"/>
          <w:szCs w:val="24"/>
          <w:highlight w:val="none"/>
          <w:u w:val="single"/>
          <w:lang w:eastAsia="zh-CN"/>
        </w:rPr>
        <w:t>合同价</w:t>
      </w:r>
      <w:r>
        <w:rPr>
          <w:rFonts w:hint="eastAsia" w:ascii="宋体" w:hAnsi="宋体" w:eastAsia="宋体" w:cs="宋体"/>
          <w:color w:val="auto"/>
          <w:sz w:val="24"/>
          <w:szCs w:val="24"/>
          <w:highlight w:val="none"/>
          <w:u w:val="single"/>
        </w:rPr>
        <w:t>的</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%(无息)。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sz w:val="24"/>
          <w:szCs w:val="24"/>
          <w:highlight w:val="none"/>
          <w:u w:val="single"/>
        </w:rPr>
        <w:t xml:space="preserve"> 在质保期内，承包方必须在规定时间内到现场进行维修，否则发包方有权另请他人维修，费用在本质量保修金中扣除；质量保证期满，发包方将质量保修金余额退给承包方</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4.保修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承包人收到保修通知并到达工程现场的合理时间为</w:t>
      </w:r>
      <w:r>
        <w:rPr>
          <w:rFonts w:hint="eastAsia" w:ascii="宋体" w:hAnsi="宋体" w:eastAsia="宋体" w:cs="宋体"/>
          <w:color w:val="auto"/>
          <w:sz w:val="24"/>
          <w:szCs w:val="24"/>
          <w:highlight w:val="none"/>
          <w:u w:val="single"/>
        </w:rPr>
        <w:t>2天</w:t>
      </w:r>
      <w:r>
        <w:rPr>
          <w:rFonts w:hint="eastAsia" w:ascii="宋体" w:hAnsi="宋体" w:eastAsia="宋体" w:cs="宋体"/>
          <w:color w:val="auto"/>
          <w:sz w:val="24"/>
          <w:szCs w:val="24"/>
          <w:highlight w:val="none"/>
        </w:rPr>
        <w:t>以内，修复时间应满足发包人要求，因保修不及时落实并完成造成发包人损失的，承包人应双倍赔偿。</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5、违约条款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承包人违约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承包人违约的情形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在合同履行过程中发生的下列情形，属于承包人违约：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(1)承包人违反合同约定进行转包或违法分包的；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(2)承包人违反合同约定采购或使用不合格的材料和工程设备的；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(3)因承包人原因导致工程质量不符合合同要求的；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(4)承包人未能按施工进度计划及时完成合同约定的工作，造成工期延误的；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(5)承包人在缺陷责任期及保修期内，未能在合理期限对工程缺陷进行修复，或拒绝按发包人要求进行修复的；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(6)承包人明确表示或者以其行为表明不履行合同主要义务的；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(7)怂恿、指使、或不能劝阻施工人员采取静坐、请愿、围堵车辆人员通行等方式讨薪的；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(8)承包人未能按照合同约定履行其他义务的。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承包人发生除本项第(7)目约定以外的其他违约情况时，发包人、监理人可向承包人发出整改通知，要求其在指定的期限内改正。发生本项第(1)、(3)、(6)目约定违约情况时，扣减合同造价的</w:t>
      </w:r>
      <w:r>
        <w:rPr>
          <w:rFonts w:hint="eastAsia" w:ascii="宋体" w:hAnsi="宋体" w:eastAsia="宋体" w:cs="宋体"/>
          <w:color w:val="auto"/>
          <w:sz w:val="24"/>
          <w:szCs w:val="24"/>
          <w:highlight w:val="none"/>
          <w:u w:val="single"/>
          <w:lang w:val="en-US" w:eastAsia="zh-CN"/>
        </w:rPr>
        <w:t>10%/项</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 承包人违约的责任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承包人延误工期的，逾期每天按合同造价的</w:t>
      </w:r>
      <w:r>
        <w:rPr>
          <w:rFonts w:hint="eastAsia" w:ascii="宋体" w:hAnsi="宋体" w:eastAsia="宋体" w:cs="宋体"/>
          <w:b/>
          <w:bCs/>
          <w:color w:val="auto"/>
          <w:sz w:val="24"/>
          <w:szCs w:val="24"/>
          <w:highlight w:val="none"/>
          <w:lang w:eastAsia="zh-CN"/>
        </w:rPr>
        <w:t>千分之一</w:t>
      </w:r>
      <w:r>
        <w:rPr>
          <w:rFonts w:hint="eastAsia" w:ascii="宋体" w:hAnsi="宋体" w:eastAsia="宋体" w:cs="宋体"/>
          <w:color w:val="auto"/>
          <w:sz w:val="24"/>
          <w:szCs w:val="24"/>
          <w:highlight w:val="none"/>
        </w:rPr>
        <w:t>为标准承担违约金。违约金累积计算，并可在当期工程款中扣付。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 因承包人违约解除合同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且不需发包人因此向承包人支付（弥补）任何费用。发包人继续使用的行为不免除或减轻承包人应承担的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.1.4因承包人违约解除合同后的处理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因承包人原因导致合同解除的，则合同当事人应在合同解除后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天内完成估价，并按以下约定执行：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(1)合同解除后，商定或确定承包人实际完成工作对应的合同价款，以及承包人已提供的材料、工程设备、施工设备和临时工程等的价值；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(2)合同解除后，承包人应支付的违约金；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(3)合同解除后，因解除合同给发包人造成的损失（可按未完工程量折价的</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rPr>
        <w:t>确定损失额）；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(4)合同解除后，承包人应按照发包人要求和监理人的指示完成现场的清理和撤离。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因承包人违约解除合同的，发包人有权暂停对承包人的付款，查清各项付款和已扣款项。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其他</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履行合同职责和义务期间造成的所有人身、财产损失由乙方自行承担相关费用，甲方概不负责。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乙方所投入的工作人员均需带证上岗，若发现无证件或未带证件上岗的，罚10000元/人/次。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争议解决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.1仲裁或诉讼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因合同及合同有关事项产生的争议，双方决定采取如下第</w:t>
      </w:r>
      <w:r>
        <w:rPr>
          <w:rFonts w:hint="eastAsia"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种方式解决：</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(1)提请南通仲裁委员会仲裁；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(2)向工程所在地有管辖权的人民法院起诉</w:t>
      </w:r>
      <w:r>
        <w:rPr>
          <w:rFonts w:hint="eastAsia" w:ascii="宋体" w:hAnsi="宋体" w:eastAsia="宋体" w:cs="宋体"/>
          <w:color w:val="auto"/>
          <w:sz w:val="24"/>
          <w:szCs w:val="24"/>
          <w:highlight w:val="none"/>
          <w:lang w:eastAsia="zh-CN"/>
        </w:rPr>
        <w:t>。</w:t>
      </w:r>
    </w:p>
    <w:p>
      <w:pPr>
        <w:pStyle w:val="2"/>
        <w:rPr>
          <w:rFonts w:hint="eastAsia"/>
          <w:color w:val="auto"/>
          <w:highlight w:val="none"/>
          <w:lang w:eastAsia="zh-CN"/>
        </w:rPr>
      </w:pPr>
    </w:p>
    <w:p>
      <w:pPr>
        <w:autoSpaceDE w:val="0"/>
        <w:autoSpaceDN w:val="0"/>
        <w:spacing w:line="500" w:lineRule="exact"/>
        <w:ind w:right="538"/>
        <w:jc w:val="left"/>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甲方：（公章）                              乙方：(公章）</w:t>
      </w:r>
    </w:p>
    <w:p>
      <w:pPr>
        <w:pStyle w:val="2"/>
        <w:rPr>
          <w:rFonts w:hint="eastAsia" w:ascii="宋体" w:hAnsi="宋体" w:eastAsia="宋体" w:cs="宋体"/>
          <w:color w:val="auto"/>
          <w:sz w:val="24"/>
          <w:szCs w:val="24"/>
          <w:highlight w:val="none"/>
          <w:lang w:val="zh-CN"/>
        </w:rPr>
      </w:pPr>
    </w:p>
    <w:p>
      <w:pPr>
        <w:autoSpaceDE w:val="0"/>
        <w:autoSpaceDN w:val="0"/>
        <w:spacing w:line="500" w:lineRule="exact"/>
        <w:ind w:right="538"/>
        <w:jc w:val="left"/>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法人代表或委托代理人：                    法人代表或委托代理人：</w:t>
      </w:r>
    </w:p>
    <w:p>
      <w:pPr>
        <w:pStyle w:val="2"/>
        <w:rPr>
          <w:rFonts w:hint="eastAsia" w:ascii="宋体" w:hAnsi="宋体" w:eastAsia="宋体" w:cs="宋体"/>
          <w:color w:val="auto"/>
          <w:sz w:val="24"/>
          <w:szCs w:val="24"/>
          <w:highlight w:val="none"/>
          <w:lang w:val="zh-CN"/>
        </w:rPr>
      </w:pPr>
    </w:p>
    <w:p>
      <w:pPr>
        <w:autoSpaceDE w:val="0"/>
        <w:autoSpaceDN w:val="0"/>
        <w:spacing w:line="500" w:lineRule="exact"/>
        <w:ind w:right="538"/>
        <w:jc w:val="left"/>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电话：                                      电话：</w:t>
      </w:r>
    </w:p>
    <w:p>
      <w:pPr>
        <w:pStyle w:val="2"/>
        <w:rPr>
          <w:rFonts w:hint="eastAsia" w:ascii="宋体" w:hAnsi="宋体" w:eastAsia="宋体" w:cs="宋体"/>
          <w:color w:val="auto"/>
          <w:sz w:val="24"/>
          <w:szCs w:val="24"/>
          <w:highlight w:val="none"/>
          <w:lang w:val="zh-CN"/>
        </w:rPr>
      </w:pPr>
    </w:p>
    <w:p>
      <w:pPr>
        <w:autoSpaceDE w:val="0"/>
        <w:autoSpaceDN w:val="0"/>
        <w:spacing w:line="500" w:lineRule="exact"/>
        <w:ind w:right="538"/>
        <w:jc w:val="left"/>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地址：                                      地址：</w:t>
      </w:r>
    </w:p>
    <w:p>
      <w:pPr>
        <w:pStyle w:val="2"/>
        <w:rPr>
          <w:rFonts w:hint="eastAsia" w:ascii="宋体" w:hAnsi="宋体" w:eastAsia="宋体" w:cs="宋体"/>
          <w:color w:val="auto"/>
          <w:sz w:val="24"/>
          <w:szCs w:val="24"/>
          <w:highlight w:val="none"/>
          <w:lang w:val="zh-CN"/>
        </w:rPr>
      </w:pPr>
    </w:p>
    <w:p>
      <w:pPr>
        <w:autoSpaceDE w:val="0"/>
        <w:autoSpaceDN w:val="0"/>
        <w:spacing w:line="500" w:lineRule="exact"/>
        <w:ind w:left="319" w:right="538" w:firstLine="480"/>
        <w:jc w:val="left"/>
        <w:rPr>
          <w:rFonts w:hint="eastAsia" w:ascii="宋体" w:hAnsi="宋体" w:eastAsia="宋体" w:cs="宋体"/>
          <w:b/>
          <w:color w:val="auto"/>
          <w:kern w:val="0"/>
          <w:sz w:val="24"/>
          <w:szCs w:val="24"/>
          <w:highlight w:val="none"/>
          <w:lang w:val="zh-CN" w:bidi="zh-CN"/>
        </w:rPr>
        <w:sectPr>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b/>
          <w:color w:val="auto"/>
          <w:kern w:val="0"/>
          <w:sz w:val="24"/>
          <w:szCs w:val="24"/>
          <w:highlight w:val="none"/>
          <w:lang w:val="zh-CN" w:bidi="zh-CN"/>
        </w:rPr>
        <w:t xml:space="preserve">                                           合同签订日期：</w:t>
      </w:r>
    </w:p>
    <w:p>
      <w:pPr>
        <w:spacing w:line="4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p>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廉 政 告 知 书</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工程（工程名称）双方能够勤政廉洁地履行，规范维护双方合法权益，防止发生商业贿赂、谋取不正当利益的违法违纪行为，保证项目安全、资金安全、干部安全，根据国家有关行业管理法律法规和廉政建设责任制规定，特订立本廉政告知书。 </w:t>
      </w:r>
    </w:p>
    <w:p>
      <w:pPr>
        <w:spacing w:line="52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第一条  甲方为负责项目或工程的分管领导，乙方为承接项目或工程的主要负责人（以下简称甲方、乙方）。</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甲乙双方的责任</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一、甲乙双方应严格遵守国家、行业主管部门有关法律法规和党风廉政建设的各项规定。</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二、甲乙双方应严格执行经济合同文件，自觉按合同办事。 </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三、除法律认定的商业秘密和合同文件另有规定外，甲乙双方的业务活动应坚持公开、公正、透明的原则，严禁损害国家和企业利益、违反相关法律法规及管理规章制度的不正当交易。</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四、甲乙双方如发现对方在业务活动中有违规、违纪、违法的行为，应及时提醒对方，情节严重的，应向其上级主管部门或纪检监察部门举报。</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第三条  甲方责任 </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甲方的领导和具体办事工作人员，在工作中应遵守以下规定：　　</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一、不准向乙方或相关单位索要或接受回扣、礼金、有价证券（卡）、贵重物品和好处费等。　　</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二、不准在乙方或相关单位报销任何应由甲方或个人支付的费用。</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三、不准要求、暗示或接受乙方或相关单位为个人装修住房、婚丧嫁娶、配偶子女的工作安排以及出国（境）、旅游等提供方便。</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四、不准参加有可能影响公正执行公务的乙方或相关单位的宴请、娱乐等活动。</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五、不准向乙方介绍其配偶、子女、亲属参与负责的合同有关的设备、材料、工程分包、劳务等经济活动。不得以任何理由向乙方或相关单位推荐分包人或供应商并要求乙方购买合同规定以外的材料、设备等。</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六、甲方工作人员不得为乙方多算工程量、多结工程款，并从中收受回扣，谋取私利。 </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七、甲方工作人员不得因乙方拒绝本人的不合理要求，而故意刁难乙方。 </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第四条 乙方责任 </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乙方应与甲方保持正常的业务关系，按照有关法律法规和程序开展业务工作，并遵守以下规定：</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一、不准以任何理由为甲方或相关单位报销应由对方或个人支付的费用。</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二、不准接受或暗示为甲方或相关单位及个人装修住房、婚丧嫁娶、配偶子女的工作安排以及出国（境）、旅游等提供方便。</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三、不准以任何理由向甲方及其工作人员行贿或赠送礼金、有价证券（卡）、贵重物品及回扣、好处费等。</w:t>
      </w:r>
    </w:p>
    <w:p>
      <w:pPr>
        <w:spacing w:line="520" w:lineRule="exact"/>
        <w:ind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四、不准用黄、赌、贿等各种手段拉拢腐蚀甲方工作人员。</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五、不准违反国家有关维护农民工利益的各项法规和政策规定。</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第五条 违约责任 </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及其工作人员有违反本告知书规定的行为，情节轻微的，由甲方党委及其纪检监察部门或上级纪委、监委给予提醒或诫勉谈话；情节较重并造成损失的，依据有关规定对责任人给予党纪政纪处分和经济处罚，并建议调离原岗位，不再从事相关工作；情节严重构成犯罪的，将责任人移交司法机关追究其刑事责任。</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二、乙方单位或个人有违反本告知书规定的行为，情节轻微的，由甲方党委及其纪检监察部门对乙方进行提醒；情节较重并给甲方造成损失的，移交上级相关部门处理。 </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第六条 双方约定如下事项： </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一、本告知书由甲方纪检监察部门负责监督。</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二、双方其他约定：</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本告知书签字盖章后即生效。</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 本告知书一式三份，甲乙双方以及甲方党委各执一份。</w:t>
      </w:r>
    </w:p>
    <w:p>
      <w:pPr>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pPr>
        <w:spacing w:line="520" w:lineRule="exact"/>
        <w:ind w:left="735" w:hanging="840" w:hangingChars="35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年   月   日                    年   月   日</w:t>
      </w:r>
    </w:p>
    <w:p>
      <w:pPr>
        <w:pStyle w:val="2"/>
        <w:rPr>
          <w:rFonts w:hint="eastAsia"/>
          <w:color w:val="auto"/>
          <w:highlight w:val="none"/>
          <w:lang w:val="zh-CN"/>
        </w:rPr>
        <w:sectPr>
          <w:pgSz w:w="11906" w:h="16838"/>
          <w:pgMar w:top="1440" w:right="1800" w:bottom="1440" w:left="1800" w:header="851" w:footer="992" w:gutter="0"/>
          <w:pgNumType w:fmt="numberInDash"/>
          <w:cols w:space="720" w:num="1"/>
          <w:docGrid w:type="lines" w:linePitch="312" w:charSpace="0"/>
        </w:sectPr>
      </w:pPr>
    </w:p>
    <w:p>
      <w:pPr>
        <w:tabs>
          <w:tab w:val="left" w:pos="1050"/>
          <w:tab w:val="right" w:leader="dot" w:pos="9402"/>
        </w:tabs>
        <w:spacing w:before="312" w:beforeLines="100" w:line="600" w:lineRule="exact"/>
        <w:jc w:val="center"/>
        <w:outlineLvl w:val="0"/>
        <w:rPr>
          <w:rFonts w:hint="eastAsia" w:ascii="宋体" w:hAnsi="宋体" w:eastAsia="宋体" w:cs="宋体"/>
          <w:b/>
          <w:bCs/>
          <w:color w:val="auto"/>
          <w:w w:val="80"/>
          <w:sz w:val="36"/>
          <w:szCs w:val="36"/>
          <w:highlight w:val="none"/>
        </w:rPr>
      </w:pPr>
      <w:r>
        <w:rPr>
          <w:rFonts w:hint="eastAsia" w:ascii="宋体" w:hAnsi="宋体" w:eastAsia="宋体" w:cs="宋体"/>
          <w:b/>
          <w:bCs/>
          <w:color w:val="auto"/>
          <w:w w:val="80"/>
          <w:sz w:val="36"/>
          <w:szCs w:val="36"/>
          <w:highlight w:val="none"/>
        </w:rPr>
        <w:t>第六章  合同授予</w:t>
      </w:r>
    </w:p>
    <w:p>
      <w:pPr>
        <w:spacing w:line="420" w:lineRule="exact"/>
        <w:ind w:firstLine="484" w:firstLineChars="202"/>
        <w:rPr>
          <w:rFonts w:hint="eastAsia" w:ascii="宋体" w:hAnsi="宋体" w:eastAsia="宋体" w:cs="宋体"/>
          <w:color w:val="auto"/>
          <w:kern w:val="0"/>
          <w:highlight w:val="none"/>
        </w:rPr>
      </w:pPr>
      <w:bookmarkStart w:id="50" w:name="_Toc363573859"/>
      <w:r>
        <w:rPr>
          <w:rFonts w:hint="eastAsia" w:ascii="宋体" w:hAnsi="宋体" w:eastAsia="宋体" w:cs="宋体"/>
          <w:color w:val="auto"/>
          <w:kern w:val="0"/>
          <w:highlight w:val="none"/>
        </w:rPr>
        <w:t>一、依据“关于进一步促进政府采购公平竞争优化营商环境的通知”（通财购[2020]39号）文件第（十）条规定，成交供应商在《成交通知书》发出后15日内必须按照磋商文件确定的事项和项目的采购结果，签订政府采购合同。合同一式陆份，采购人、成交人各执叁份。</w:t>
      </w:r>
    </w:p>
    <w:p>
      <w:pPr>
        <w:spacing w:line="420" w:lineRule="exact"/>
        <w:ind w:firstLine="484" w:firstLineChars="202"/>
        <w:rPr>
          <w:rFonts w:hint="eastAsia" w:ascii="宋体" w:hAnsi="宋体" w:eastAsia="宋体" w:cs="宋体"/>
          <w:color w:val="auto"/>
          <w:kern w:val="0"/>
          <w:highlight w:val="none"/>
        </w:rPr>
      </w:pPr>
      <w:r>
        <w:rPr>
          <w:rFonts w:hint="eastAsia" w:ascii="宋体" w:hAnsi="宋体" w:eastAsia="宋体" w:cs="宋体"/>
          <w:color w:val="auto"/>
          <w:kern w:val="0"/>
          <w:highlight w:val="none"/>
        </w:rPr>
        <w:t>所签合同不得对磋商文件作实质性修改。采购单位不得向成交供应商提出不合理的要求作为签订合同的条件，不得与成交人私下订立背离磋商文件实质性内容的协议。</w:t>
      </w:r>
    </w:p>
    <w:p>
      <w:pPr>
        <w:spacing w:line="420" w:lineRule="exact"/>
        <w:ind w:firstLine="484" w:firstLineChars="202"/>
        <w:rPr>
          <w:rFonts w:hint="eastAsia" w:ascii="宋体" w:hAnsi="宋体" w:eastAsia="宋体" w:cs="宋体"/>
          <w:color w:val="auto"/>
          <w:kern w:val="0"/>
          <w:highlight w:val="none"/>
        </w:rPr>
      </w:pPr>
      <w:r>
        <w:rPr>
          <w:rFonts w:hint="eastAsia" w:ascii="宋体" w:hAnsi="宋体" w:eastAsia="宋体" w:cs="宋体"/>
          <w:color w:val="auto"/>
          <w:kern w:val="0"/>
          <w:highlight w:val="none"/>
        </w:rPr>
        <w:t>二、采购单位按合同约定积极配合成交人履约，成交人年度履约到位后，请以书面形式向采购单位提出年度考核申请，考核合格双方可续签本项目服务期内的年度合同。</w:t>
      </w:r>
    </w:p>
    <w:p>
      <w:pPr>
        <w:spacing w:line="420" w:lineRule="exact"/>
        <w:ind w:firstLine="484" w:firstLineChars="202"/>
        <w:rPr>
          <w:rFonts w:hint="eastAsia" w:ascii="宋体" w:hAnsi="宋体" w:eastAsia="宋体" w:cs="宋体"/>
          <w:color w:val="auto"/>
          <w:kern w:val="0"/>
          <w:highlight w:val="none"/>
        </w:rPr>
      </w:pPr>
      <w:r>
        <w:rPr>
          <w:rFonts w:hint="eastAsia" w:ascii="宋体" w:hAnsi="宋体" w:eastAsia="宋体" w:cs="宋体"/>
          <w:color w:val="auto"/>
          <w:kern w:val="0"/>
          <w:highlight w:val="none"/>
        </w:rPr>
        <w:t>三、成交人出现违约情形，应当及时纠正或补偿；造成损失的，按合同约定追究违约责任；履约中发现有商业贿赂等违法情形的，应由采购人移交工商、质监、公安等行政执法部门依法查处</w:t>
      </w:r>
    </w:p>
    <w:p>
      <w:pPr>
        <w:spacing w:line="420" w:lineRule="exact"/>
        <w:ind w:firstLine="484" w:firstLineChars="202"/>
        <w:rPr>
          <w:rFonts w:hint="eastAsia" w:ascii="宋体" w:hAnsi="宋体" w:eastAsia="宋体" w:cs="宋体"/>
          <w:color w:val="auto"/>
          <w:kern w:val="0"/>
          <w:highlight w:val="none"/>
        </w:rPr>
      </w:pPr>
      <w:r>
        <w:rPr>
          <w:rFonts w:hint="eastAsia" w:ascii="宋体" w:hAnsi="宋体" w:eastAsia="宋体" w:cs="宋体"/>
          <w:color w:val="auto"/>
          <w:kern w:val="0"/>
          <w:highlight w:val="none"/>
        </w:rPr>
        <w:t>四、按政府采购合同约定，采购人及时支付合同价款。</w:t>
      </w:r>
    </w:p>
    <w:p>
      <w:pPr>
        <w:spacing w:line="420" w:lineRule="exact"/>
        <w:ind w:firstLine="484" w:firstLineChars="202"/>
        <w:rPr>
          <w:rFonts w:hint="eastAsia" w:ascii="宋体" w:hAnsi="宋体" w:eastAsia="宋体" w:cs="宋体"/>
          <w:color w:val="auto"/>
          <w:kern w:val="0"/>
          <w:highlight w:val="none"/>
        </w:rPr>
      </w:pPr>
      <w:r>
        <w:rPr>
          <w:rFonts w:hint="eastAsia" w:ascii="宋体" w:hAnsi="宋体" w:eastAsia="宋体" w:cs="宋体"/>
          <w:color w:val="auto"/>
          <w:kern w:val="0"/>
          <w:highlight w:val="none"/>
        </w:rPr>
        <w:t>五、付款方式详见本竞争性磋商文件</w:t>
      </w:r>
      <w:r>
        <w:rPr>
          <w:rFonts w:hint="eastAsia" w:ascii="宋体" w:hAnsi="宋体" w:eastAsia="宋体" w:cs="宋体"/>
          <w:color w:val="auto"/>
          <w:kern w:val="0"/>
          <w:highlight w:val="none"/>
          <w:lang w:val="en-US" w:eastAsia="zh-CN"/>
        </w:rPr>
        <w:t>第三章项目需求</w:t>
      </w:r>
      <w:r>
        <w:rPr>
          <w:rFonts w:hint="eastAsia" w:ascii="宋体" w:hAnsi="宋体" w:eastAsia="宋体" w:cs="宋体"/>
          <w:color w:val="auto"/>
          <w:kern w:val="0"/>
          <w:highlight w:val="none"/>
        </w:rPr>
        <w:t>。</w:t>
      </w:r>
    </w:p>
    <w:p>
      <w:pPr>
        <w:spacing w:line="420" w:lineRule="exact"/>
        <w:ind w:firstLine="484" w:firstLineChars="202"/>
        <w:rPr>
          <w:rFonts w:hint="eastAsia" w:ascii="宋体" w:hAnsi="宋体" w:eastAsia="宋体" w:cs="宋体"/>
          <w:color w:val="auto"/>
          <w:kern w:val="0"/>
          <w:highlight w:val="none"/>
        </w:rPr>
      </w:pPr>
      <w:r>
        <w:rPr>
          <w:rFonts w:hint="eastAsia" w:ascii="宋体" w:hAnsi="宋体" w:eastAsia="宋体" w:cs="宋体"/>
          <w:color w:val="auto"/>
          <w:kern w:val="0"/>
          <w:highlight w:val="none"/>
        </w:rPr>
        <w:t>六、合同项目价款的支付不计息。</w:t>
      </w: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spacing w:line="420" w:lineRule="exact"/>
        <w:ind w:firstLine="484" w:firstLineChars="202"/>
        <w:rPr>
          <w:rFonts w:hint="eastAsia" w:ascii="宋体" w:hAnsi="宋体" w:eastAsia="宋体" w:cs="宋体"/>
          <w:color w:val="auto"/>
          <w:kern w:val="0"/>
          <w:highlight w:val="none"/>
        </w:rPr>
      </w:pPr>
    </w:p>
    <w:p>
      <w:pPr>
        <w:tabs>
          <w:tab w:val="left" w:pos="1050"/>
          <w:tab w:val="right" w:leader="dot" w:pos="9402"/>
        </w:tabs>
        <w:spacing w:before="312" w:beforeLines="100" w:line="600" w:lineRule="exact"/>
        <w:jc w:val="center"/>
        <w:outlineLvl w:val="0"/>
        <w:rPr>
          <w:rFonts w:hint="eastAsia" w:ascii="宋体" w:hAnsi="宋体" w:eastAsia="宋体" w:cs="宋体"/>
          <w:b/>
          <w:bCs/>
          <w:color w:val="auto"/>
          <w:w w:val="80"/>
          <w:sz w:val="36"/>
          <w:szCs w:val="36"/>
          <w:highlight w:val="none"/>
        </w:rPr>
      </w:pPr>
      <w:r>
        <w:rPr>
          <w:rFonts w:hint="eastAsia" w:ascii="宋体" w:hAnsi="宋体" w:eastAsia="宋体" w:cs="宋体"/>
          <w:b/>
          <w:bCs/>
          <w:color w:val="auto"/>
          <w:w w:val="80"/>
          <w:sz w:val="36"/>
          <w:szCs w:val="36"/>
          <w:highlight w:val="none"/>
        </w:rPr>
        <w:t>第七章  质疑与投诉</w:t>
      </w:r>
      <w:bookmarkEnd w:id="50"/>
    </w:p>
    <w:p>
      <w:pPr>
        <w:spacing w:line="420" w:lineRule="exact"/>
        <w:ind w:firstLine="487" w:firstLineChars="202"/>
        <w:outlineLvl w:val="1"/>
        <w:rPr>
          <w:rFonts w:hint="eastAsia" w:ascii="宋体" w:hAnsi="宋体" w:eastAsia="宋体" w:cs="宋体"/>
          <w:color w:val="auto"/>
          <w:highlight w:val="none"/>
        </w:rPr>
      </w:pPr>
      <w:r>
        <w:rPr>
          <w:rFonts w:hint="eastAsia" w:ascii="宋体" w:hAnsi="宋体" w:eastAsia="宋体" w:cs="宋体"/>
          <w:b/>
          <w:bCs/>
          <w:color w:val="auto"/>
          <w:kern w:val="0"/>
          <w:highlight w:val="none"/>
        </w:rPr>
        <w:t>一、质疑的提出</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1.根据《政府采购质疑和投诉办法》（财政部第94号令）第十一条规定，提出质疑的供应商（以下称质疑人）必须是直接参加本项目竞争性磋商采购活动的当事人。</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下载磋商文件的供应商应根据第二章“磋商供应商须知”中第一条第4款的约定提出；响应文件接收截止后，供应商未进行磋商响应登记的，不能就响应文件接收截止后的采购过程、成交结果提出质疑；在磋商过程中，凡主持人或评估小组明确提出须由供应商确认的事项，供应商当场无异议的，事后不得提出质疑。</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3.对采购过程、成交或者成交结果使自己的权益受到损害的，可以在知道或者应知其权益受到损害之日起7个工作日内，以书面形式向采购人、采购代理机构提出质疑。</w:t>
      </w:r>
    </w:p>
    <w:p>
      <w:pPr>
        <w:spacing w:line="420" w:lineRule="exact"/>
        <w:ind w:firstLine="487" w:firstLineChars="202"/>
        <w:rPr>
          <w:rFonts w:hint="eastAsia" w:ascii="宋体" w:hAnsi="宋体" w:eastAsia="宋体" w:cs="宋体"/>
          <w:b/>
          <w:bCs/>
          <w:color w:val="auto"/>
          <w:highlight w:val="none"/>
        </w:rPr>
      </w:pPr>
      <w:r>
        <w:rPr>
          <w:rFonts w:hint="eastAsia" w:ascii="宋体" w:hAnsi="宋体" w:eastAsia="宋体" w:cs="宋体"/>
          <w:b/>
          <w:bCs/>
          <w:color w:val="auto"/>
          <w:highlight w:val="none"/>
        </w:rPr>
        <w:t>4.</w:t>
      </w:r>
      <w:r>
        <w:rPr>
          <w:rFonts w:hint="eastAsia" w:ascii="宋体" w:hAnsi="宋体" w:eastAsia="宋体" w:cs="宋体"/>
          <w:b/>
          <w:bCs/>
          <w:color w:val="auto"/>
          <w:highlight w:val="none"/>
          <w:u w:val="thick" w:color="FF0000"/>
        </w:rPr>
        <w:t>供应商应当在法定质疑期内一次性提出针对同一采购程序环节的质疑</w:t>
      </w:r>
      <w:r>
        <w:rPr>
          <w:rFonts w:hint="eastAsia" w:ascii="宋体" w:hAnsi="宋体" w:eastAsia="宋体" w:cs="宋体"/>
          <w:b/>
          <w:bCs/>
          <w:color w:val="auto"/>
          <w:highlight w:val="none"/>
        </w:rPr>
        <w:t>。</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5.提出质疑时，必须坚持“谁主张，谁举证”、“实事求是”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6.对本次采购有质疑的，实行实名制，不得进行虚假、恶意质疑。质疑人应在质疑有效期内以书面形式提出《质疑函》，《质疑函》内容应当包括：</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（1）供应商的姓名或者名称（以营业执照副本复印件为准）、地址、邮编、联系人及联系电话；</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（4）事实依据；</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7.供应商为自然人的，应当由本人签字并按手印；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8.与事实依据相关的佐证材料要具备客观性、关联性、合法性，无法查实的（如宣传册、媒体报道、猜测、推理等）不能作为佐证材料。</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9.采购人或采购代理机构不负责搜集与事实依据相关的佐证材料等工作。</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10.对不能提供与事实依据相关的佐证材料的、涉及商业秘密的、非书面形式的、非送达的、匿名的《质疑函》将不予受理。</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11.接收质疑函的方式：书面形式（当场送达或邮寄方式）；</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12.联系方式：</w:t>
      </w:r>
    </w:p>
    <w:p>
      <w:pPr>
        <w:spacing w:line="420" w:lineRule="exact"/>
        <w:ind w:firstLine="484" w:firstLineChars="202"/>
        <w:outlineLvl w:val="1"/>
        <w:rPr>
          <w:rFonts w:hint="eastAsia" w:ascii="宋体" w:hAnsi="宋体" w:eastAsia="宋体" w:cs="宋体"/>
          <w:b w:val="0"/>
          <w:bCs w:val="0"/>
          <w:color w:val="auto"/>
          <w:kern w:val="0"/>
          <w:highlight w:val="none"/>
          <w:lang w:val="en-US" w:eastAsia="zh-CN"/>
        </w:rPr>
      </w:pPr>
      <w:r>
        <w:rPr>
          <w:rFonts w:hint="eastAsia" w:ascii="宋体" w:hAnsi="宋体" w:eastAsia="宋体" w:cs="宋体"/>
          <w:b w:val="0"/>
          <w:bCs w:val="0"/>
          <w:color w:val="auto"/>
          <w:kern w:val="0"/>
          <w:highlight w:val="none"/>
          <w:lang w:val="en-US" w:eastAsia="zh-CN"/>
        </w:rPr>
        <w:t>采购人：南通市崇川区机关事务服务中心</w:t>
      </w:r>
    </w:p>
    <w:p>
      <w:pPr>
        <w:spacing w:line="420" w:lineRule="exact"/>
        <w:ind w:firstLine="484" w:firstLineChars="202"/>
        <w:outlineLvl w:val="1"/>
        <w:rPr>
          <w:rFonts w:hint="eastAsia" w:ascii="宋体" w:hAnsi="宋体" w:eastAsia="宋体" w:cs="宋体"/>
          <w:b w:val="0"/>
          <w:bCs w:val="0"/>
          <w:color w:val="auto"/>
          <w:kern w:val="0"/>
          <w:highlight w:val="none"/>
          <w:lang w:val="en-US" w:eastAsia="zh-CN"/>
        </w:rPr>
      </w:pPr>
      <w:r>
        <w:rPr>
          <w:rFonts w:hint="eastAsia" w:ascii="宋体" w:hAnsi="宋体" w:eastAsia="宋体" w:cs="宋体"/>
          <w:b w:val="0"/>
          <w:bCs w:val="0"/>
          <w:color w:val="auto"/>
          <w:kern w:val="0"/>
          <w:highlight w:val="none"/>
          <w:lang w:val="en-US" w:eastAsia="zh-CN"/>
        </w:rPr>
        <w:t>联系人：施亚敏</w:t>
      </w:r>
    </w:p>
    <w:p>
      <w:pPr>
        <w:spacing w:line="420" w:lineRule="exact"/>
        <w:ind w:firstLine="484" w:firstLineChars="202"/>
        <w:outlineLvl w:val="1"/>
        <w:rPr>
          <w:rFonts w:hint="eastAsia" w:ascii="宋体" w:hAnsi="宋体" w:eastAsia="宋体" w:cs="宋体"/>
          <w:b w:val="0"/>
          <w:bCs w:val="0"/>
          <w:color w:val="auto"/>
          <w:kern w:val="0"/>
          <w:highlight w:val="none"/>
          <w:lang w:val="en-US" w:eastAsia="zh-CN"/>
        </w:rPr>
      </w:pPr>
      <w:r>
        <w:rPr>
          <w:rFonts w:hint="eastAsia" w:ascii="宋体" w:hAnsi="宋体" w:eastAsia="宋体" w:cs="宋体"/>
          <w:b w:val="0"/>
          <w:bCs w:val="0"/>
          <w:color w:val="auto"/>
          <w:kern w:val="0"/>
          <w:highlight w:val="none"/>
          <w:lang w:val="en-US" w:eastAsia="zh-CN"/>
        </w:rPr>
        <w:t>联系电话：15152880300</w:t>
      </w:r>
    </w:p>
    <w:p>
      <w:pPr>
        <w:spacing w:line="420" w:lineRule="exact"/>
        <w:ind w:firstLine="484" w:firstLineChars="202"/>
        <w:outlineLvl w:val="1"/>
        <w:rPr>
          <w:rFonts w:hint="eastAsia" w:ascii="宋体" w:hAnsi="宋体" w:eastAsia="宋体" w:cs="宋体"/>
          <w:b w:val="0"/>
          <w:bCs w:val="0"/>
          <w:color w:val="auto"/>
          <w:kern w:val="0"/>
          <w:highlight w:val="none"/>
          <w:lang w:val="en-US" w:eastAsia="zh-CN"/>
        </w:rPr>
      </w:pPr>
      <w:r>
        <w:rPr>
          <w:rFonts w:hint="eastAsia" w:ascii="宋体" w:hAnsi="宋体" w:eastAsia="宋体" w:cs="宋体"/>
          <w:b w:val="0"/>
          <w:bCs w:val="0"/>
          <w:color w:val="auto"/>
          <w:kern w:val="0"/>
          <w:highlight w:val="none"/>
          <w:lang w:val="en-US" w:eastAsia="zh-CN"/>
        </w:rPr>
        <w:t>招标代理机构：江苏希地丰华项目管理集团有限公司</w:t>
      </w:r>
    </w:p>
    <w:p>
      <w:pPr>
        <w:spacing w:line="420" w:lineRule="exact"/>
        <w:ind w:firstLine="484" w:firstLineChars="202"/>
        <w:outlineLvl w:val="1"/>
        <w:rPr>
          <w:rFonts w:hint="eastAsia" w:ascii="宋体" w:hAnsi="宋体" w:eastAsia="宋体" w:cs="宋体"/>
          <w:b w:val="0"/>
          <w:bCs w:val="0"/>
          <w:color w:val="auto"/>
          <w:kern w:val="0"/>
          <w:highlight w:val="none"/>
          <w:lang w:val="en-US" w:eastAsia="zh-CN"/>
        </w:rPr>
      </w:pPr>
      <w:r>
        <w:rPr>
          <w:rFonts w:hint="eastAsia" w:ascii="宋体" w:hAnsi="宋体" w:eastAsia="宋体" w:cs="宋体"/>
          <w:b w:val="0"/>
          <w:bCs w:val="0"/>
          <w:color w:val="auto"/>
          <w:kern w:val="0"/>
          <w:highlight w:val="none"/>
          <w:lang w:val="en-US" w:eastAsia="zh-CN"/>
        </w:rPr>
        <w:t>地        址：南通市开发区通盛大道188号C座611室　</w:t>
      </w:r>
    </w:p>
    <w:p>
      <w:pPr>
        <w:spacing w:line="420" w:lineRule="exact"/>
        <w:ind w:firstLine="484" w:firstLineChars="202"/>
        <w:outlineLvl w:val="1"/>
        <w:rPr>
          <w:rFonts w:hint="eastAsia" w:ascii="宋体" w:hAnsi="宋体" w:eastAsia="宋体" w:cs="宋体"/>
          <w:b w:val="0"/>
          <w:bCs w:val="0"/>
          <w:color w:val="auto"/>
          <w:kern w:val="0"/>
          <w:highlight w:val="none"/>
          <w:lang w:val="en-US" w:eastAsia="zh-CN"/>
        </w:rPr>
      </w:pPr>
      <w:r>
        <w:rPr>
          <w:rFonts w:hint="eastAsia" w:ascii="宋体" w:hAnsi="宋体" w:eastAsia="宋体" w:cs="宋体"/>
          <w:b w:val="0"/>
          <w:bCs w:val="0"/>
          <w:color w:val="auto"/>
          <w:kern w:val="0"/>
          <w:highlight w:val="none"/>
          <w:lang w:val="en-US" w:eastAsia="zh-CN"/>
        </w:rPr>
        <w:t>联   系   人：顾工</w:t>
      </w:r>
    </w:p>
    <w:p>
      <w:pPr>
        <w:spacing w:line="420" w:lineRule="exact"/>
        <w:ind w:firstLine="484" w:firstLineChars="202"/>
        <w:outlineLvl w:val="1"/>
        <w:rPr>
          <w:rFonts w:hint="eastAsia" w:ascii="宋体" w:hAnsi="宋体" w:eastAsia="宋体" w:cs="宋体"/>
          <w:b w:val="0"/>
          <w:bCs w:val="0"/>
          <w:color w:val="auto"/>
          <w:kern w:val="0"/>
          <w:highlight w:val="none"/>
          <w:lang w:val="en-US" w:eastAsia="zh-CN"/>
        </w:rPr>
      </w:pPr>
      <w:r>
        <w:rPr>
          <w:rFonts w:hint="eastAsia" w:ascii="宋体" w:hAnsi="宋体" w:eastAsia="宋体" w:cs="宋体"/>
          <w:b w:val="0"/>
          <w:bCs w:val="0"/>
          <w:color w:val="auto"/>
          <w:kern w:val="0"/>
          <w:highlight w:val="none"/>
          <w:lang w:val="en-US" w:eastAsia="zh-CN"/>
        </w:rPr>
        <w:t>电        话：0513-83109381</w:t>
      </w:r>
    </w:p>
    <w:p>
      <w:pPr>
        <w:spacing w:line="420" w:lineRule="exact"/>
        <w:ind w:firstLine="484" w:firstLineChars="202"/>
        <w:outlineLvl w:val="1"/>
        <w:rPr>
          <w:rFonts w:hint="eastAsia" w:ascii="宋体" w:hAnsi="宋体" w:eastAsia="宋体" w:cs="宋体"/>
          <w:b w:val="0"/>
          <w:bCs w:val="0"/>
          <w:color w:val="auto"/>
          <w:kern w:val="0"/>
          <w:highlight w:val="none"/>
          <w:lang w:val="en-US" w:eastAsia="zh-CN"/>
        </w:rPr>
      </w:pPr>
      <w:r>
        <w:rPr>
          <w:rFonts w:hint="eastAsia" w:ascii="宋体" w:hAnsi="宋体" w:eastAsia="宋体" w:cs="宋体"/>
          <w:b w:val="0"/>
          <w:bCs w:val="0"/>
          <w:color w:val="auto"/>
          <w:kern w:val="0"/>
          <w:highlight w:val="none"/>
          <w:lang w:val="en-US" w:eastAsia="zh-CN"/>
        </w:rPr>
        <w:t>电 子 邮 箱：</w:t>
      </w:r>
      <w:r>
        <w:rPr>
          <w:rFonts w:hint="eastAsia" w:ascii="宋体" w:hAnsi="宋体" w:eastAsia="宋体" w:cs="宋体"/>
          <w:b w:val="0"/>
          <w:bCs w:val="0"/>
          <w:color w:val="auto"/>
          <w:kern w:val="0"/>
          <w:highlight w:val="none"/>
          <w:lang w:val="en-US" w:eastAsia="zh-CN"/>
        </w:rPr>
        <w:fldChar w:fldCharType="begin"/>
      </w:r>
      <w:r>
        <w:rPr>
          <w:rFonts w:hint="eastAsia" w:ascii="宋体" w:hAnsi="宋体" w:eastAsia="宋体" w:cs="宋体"/>
          <w:b w:val="0"/>
          <w:bCs w:val="0"/>
          <w:color w:val="auto"/>
          <w:kern w:val="0"/>
          <w:highlight w:val="none"/>
          <w:lang w:val="en-US" w:eastAsia="zh-CN"/>
        </w:rPr>
        <w:instrText xml:space="preserve"> HYPERLINK "mailto:xdhqgs@163.com" </w:instrText>
      </w:r>
      <w:r>
        <w:rPr>
          <w:rFonts w:hint="eastAsia" w:ascii="宋体" w:hAnsi="宋体" w:eastAsia="宋体" w:cs="宋体"/>
          <w:b w:val="0"/>
          <w:bCs w:val="0"/>
          <w:color w:val="auto"/>
          <w:kern w:val="0"/>
          <w:highlight w:val="none"/>
          <w:lang w:val="en-US" w:eastAsia="zh-CN"/>
        </w:rPr>
        <w:fldChar w:fldCharType="separate"/>
      </w:r>
      <w:r>
        <w:rPr>
          <w:rFonts w:hint="eastAsia" w:ascii="宋体" w:hAnsi="宋体" w:eastAsia="宋体" w:cs="宋体"/>
          <w:b w:val="0"/>
          <w:bCs w:val="0"/>
          <w:color w:val="auto"/>
          <w:kern w:val="0"/>
          <w:highlight w:val="none"/>
          <w:lang w:val="en-US" w:eastAsia="zh-CN"/>
        </w:rPr>
        <w:t>xdhqgs@163.com</w:t>
      </w:r>
      <w:r>
        <w:rPr>
          <w:rFonts w:hint="eastAsia" w:ascii="宋体" w:hAnsi="宋体" w:eastAsia="宋体" w:cs="宋体"/>
          <w:b w:val="0"/>
          <w:bCs w:val="0"/>
          <w:color w:val="auto"/>
          <w:kern w:val="0"/>
          <w:highlight w:val="none"/>
          <w:lang w:val="en-US" w:eastAsia="zh-CN"/>
        </w:rPr>
        <w:fldChar w:fldCharType="end"/>
      </w:r>
    </w:p>
    <w:p>
      <w:pPr>
        <w:spacing w:line="420" w:lineRule="exact"/>
        <w:ind w:firstLine="487" w:firstLineChars="202"/>
        <w:outlineLvl w:val="1"/>
        <w:rPr>
          <w:rFonts w:hint="eastAsia" w:ascii="宋体" w:hAnsi="宋体" w:eastAsia="宋体" w:cs="宋体"/>
          <w:color w:val="auto"/>
          <w:highlight w:val="none"/>
        </w:rPr>
      </w:pPr>
      <w:r>
        <w:rPr>
          <w:rFonts w:hint="eastAsia" w:ascii="宋体" w:hAnsi="宋体" w:eastAsia="宋体" w:cs="宋体"/>
          <w:b/>
          <w:bCs/>
          <w:color w:val="auto"/>
          <w:kern w:val="0"/>
          <w:highlight w:val="none"/>
        </w:rPr>
        <w:t>二、《质疑函》的受理和回复</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2.对不符合提出质疑要求的，出具《质疑退回通知书》并提出相关补充材料要求，质疑人未在规定的时间内提供补充佐证材料的，视同放弃质疑。</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3.采购人或采购代理机构有权将质疑人的质疑相关材料提供给相关专家或磋商小组审核，并将审核意见回复质疑人。</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4.因质疑情况复杂的，组织论证或审查时间较长的，采购人或采购代理机构以书面形式通知质疑人，可适当延长质疑回复处理时间。</w:t>
      </w:r>
    </w:p>
    <w:p>
      <w:pPr>
        <w:spacing w:line="420" w:lineRule="exact"/>
        <w:ind w:firstLine="487" w:firstLineChars="202"/>
        <w:outlineLvl w:val="1"/>
        <w:rPr>
          <w:rFonts w:hint="eastAsia" w:ascii="宋体" w:hAnsi="宋体" w:eastAsia="宋体" w:cs="宋体"/>
          <w:color w:val="auto"/>
          <w:highlight w:val="none"/>
        </w:rPr>
      </w:pPr>
      <w:r>
        <w:rPr>
          <w:rFonts w:hint="eastAsia" w:ascii="宋体" w:hAnsi="宋体" w:eastAsia="宋体" w:cs="宋体"/>
          <w:b/>
          <w:bCs/>
          <w:color w:val="auto"/>
          <w:kern w:val="0"/>
          <w:highlight w:val="none"/>
        </w:rPr>
        <w:t>三、质疑处理</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1.质疑成立的处理：</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采购人或采购代理机构终止采购，</w:t>
      </w:r>
      <w:bookmarkStart w:id="51" w:name="_Hlk84035436"/>
      <w:r>
        <w:rPr>
          <w:rFonts w:hint="eastAsia" w:ascii="宋体" w:hAnsi="宋体" w:eastAsia="宋体" w:cs="宋体"/>
          <w:color w:val="auto"/>
          <w:highlight w:val="none"/>
        </w:rPr>
        <w:t>并建议监管部门给相关当事人予以处理。</w:t>
      </w:r>
      <w:bookmarkEnd w:id="51"/>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2.质疑不成立的处理：</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（1）质疑人书面《申请撤回质疑函》的，不作违约处理。</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（2）质疑人在规定的时间内不配合进行质疑调查处理的，按自动撤回《质疑函》处理。</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（3）质疑人虽提供了与事实依据相关的佐证材料，但不能证明其质疑成立的，采购人或采购代理机构请质疑人补充相关佐证材料，但</w:t>
      </w:r>
      <w:bookmarkStart w:id="52" w:name="_Hlk84035676"/>
      <w:r>
        <w:rPr>
          <w:rFonts w:hint="eastAsia" w:ascii="宋体" w:hAnsi="宋体" w:eastAsia="宋体" w:cs="宋体"/>
          <w:color w:val="auto"/>
          <w:highlight w:val="none"/>
        </w:rPr>
        <w:t>仍不能证明其质疑成立的，</w:t>
      </w:r>
      <w:bookmarkEnd w:id="52"/>
      <w:r>
        <w:rPr>
          <w:rFonts w:hint="eastAsia" w:ascii="宋体" w:hAnsi="宋体" w:eastAsia="宋体" w:cs="宋体"/>
          <w:color w:val="auto"/>
          <w:highlight w:val="none"/>
        </w:rPr>
        <w:t>依法回复质疑不成立。</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（4）经采购人或采购代理机构、相关专家或磋商小组认定无事实依据的质疑，经其他供应商举证无依据的质疑，依法回复质疑不成立。</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（5）质疑人明显有违事实的、使用虚假材料捏造事实的，以恶意方式质疑的，承担法律责任，采购人视情在区、市、省、国家级等相关媒体予以披露，并建议监管部门对该等质疑人依法予以处理，如</w:t>
      </w:r>
      <w:bookmarkStart w:id="53" w:name="_Hlk84035774"/>
      <w:r>
        <w:rPr>
          <w:rFonts w:hint="eastAsia" w:ascii="宋体" w:hAnsi="宋体" w:eastAsia="宋体" w:cs="宋体"/>
          <w:color w:val="auto"/>
          <w:highlight w:val="none"/>
        </w:rPr>
        <w:t>列入失信名单</w:t>
      </w:r>
      <w:bookmarkEnd w:id="53"/>
      <w:r>
        <w:rPr>
          <w:rFonts w:hint="eastAsia" w:ascii="宋体" w:hAnsi="宋体" w:eastAsia="宋体" w:cs="宋体"/>
          <w:color w:val="auto"/>
          <w:highlight w:val="none"/>
        </w:rPr>
        <w:t>等。</w:t>
      </w:r>
    </w:p>
    <w:p>
      <w:pPr>
        <w:spacing w:line="420" w:lineRule="exact"/>
        <w:ind w:firstLine="487" w:firstLineChars="202"/>
        <w:outlineLvl w:val="1"/>
        <w:rPr>
          <w:rFonts w:hint="eastAsia" w:ascii="宋体" w:hAnsi="宋体" w:eastAsia="宋体" w:cs="宋体"/>
          <w:color w:val="auto"/>
          <w:highlight w:val="none"/>
        </w:rPr>
      </w:pPr>
      <w:r>
        <w:rPr>
          <w:rFonts w:hint="eastAsia" w:ascii="宋体" w:hAnsi="宋体" w:eastAsia="宋体" w:cs="宋体"/>
          <w:b/>
          <w:bCs/>
          <w:color w:val="auto"/>
          <w:kern w:val="0"/>
          <w:highlight w:val="none"/>
        </w:rPr>
        <w:t>四、关于投诉</w:t>
      </w:r>
    </w:p>
    <w:p>
      <w:pPr>
        <w:spacing w:line="420" w:lineRule="exact"/>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质疑供应商对采购人或采购代理机构的答复不满意的，采购人或代理机构未在规定的时间内作出答复的，可以在答复期满后15个工作日内向崇川区政府采购监督管理部门投诉。</w:t>
      </w: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tabs>
          <w:tab w:val="left" w:pos="1050"/>
          <w:tab w:val="right" w:leader="dot" w:pos="9402"/>
        </w:tabs>
        <w:spacing w:before="312" w:beforeLines="100" w:line="600" w:lineRule="exact"/>
        <w:jc w:val="center"/>
        <w:outlineLvl w:val="0"/>
        <w:rPr>
          <w:rFonts w:hint="eastAsia" w:ascii="宋体" w:hAnsi="宋体" w:eastAsia="宋体" w:cs="宋体"/>
          <w:b/>
          <w:bCs/>
          <w:color w:val="auto"/>
          <w:w w:val="80"/>
          <w:sz w:val="36"/>
          <w:szCs w:val="36"/>
          <w:highlight w:val="none"/>
        </w:rPr>
        <w:sectPr>
          <w:pgSz w:w="11906" w:h="16838"/>
          <w:pgMar w:top="1418" w:right="851" w:bottom="851" w:left="1418" w:header="851" w:footer="471" w:gutter="0"/>
          <w:cols w:space="425" w:num="1"/>
          <w:docGrid w:type="lines" w:linePitch="312" w:charSpace="0"/>
        </w:sectPr>
      </w:pPr>
      <w:bookmarkStart w:id="54" w:name="_Toc363573860"/>
    </w:p>
    <w:p>
      <w:pPr>
        <w:tabs>
          <w:tab w:val="left" w:pos="1050"/>
          <w:tab w:val="right" w:leader="dot" w:pos="9402"/>
        </w:tabs>
        <w:spacing w:before="312" w:beforeLines="100" w:line="600" w:lineRule="exact"/>
        <w:jc w:val="center"/>
        <w:outlineLvl w:val="0"/>
        <w:rPr>
          <w:rFonts w:hint="eastAsia" w:ascii="宋体" w:hAnsi="宋体" w:eastAsia="宋体" w:cs="宋体"/>
          <w:b/>
          <w:bCs/>
          <w:color w:val="auto"/>
          <w:w w:val="80"/>
          <w:sz w:val="36"/>
          <w:szCs w:val="36"/>
          <w:highlight w:val="none"/>
        </w:rPr>
      </w:pPr>
      <w:r>
        <w:rPr>
          <w:rFonts w:hint="eastAsia" w:ascii="宋体" w:hAnsi="宋体" w:eastAsia="宋体" w:cs="宋体"/>
          <w:b/>
          <w:bCs/>
          <w:color w:val="auto"/>
          <w:w w:val="80"/>
          <w:sz w:val="36"/>
          <w:szCs w:val="36"/>
          <w:highlight w:val="none"/>
        </w:rPr>
        <w:t>第八章</w:t>
      </w:r>
      <w:bookmarkEnd w:id="54"/>
      <w:r>
        <w:rPr>
          <w:rFonts w:hint="eastAsia" w:ascii="宋体" w:hAnsi="宋体" w:eastAsia="宋体" w:cs="宋体"/>
          <w:b/>
          <w:bCs/>
          <w:color w:val="auto"/>
          <w:w w:val="80"/>
          <w:sz w:val="36"/>
          <w:szCs w:val="36"/>
          <w:highlight w:val="none"/>
        </w:rPr>
        <w:t xml:space="preserve">  竞争性磋商响应文件组成及格式</w:t>
      </w:r>
    </w:p>
    <w:p>
      <w:pPr>
        <w:adjustRightInd w:val="0"/>
        <w:snapToGrid w:val="0"/>
        <w:spacing w:line="420" w:lineRule="exact"/>
        <w:ind w:firstLine="487" w:firstLineChars="202"/>
        <w:jc w:val="left"/>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一、竞争性磋商响应文件</w:t>
      </w:r>
    </w:p>
    <w:p>
      <w:pPr>
        <w:adjustRightInd w:val="0"/>
        <w:snapToGrid w:val="0"/>
        <w:spacing w:line="420" w:lineRule="exact"/>
        <w:ind w:firstLine="484" w:firstLineChars="202"/>
        <w:jc w:val="left"/>
        <w:rPr>
          <w:rFonts w:hint="eastAsia" w:ascii="宋体" w:hAnsi="宋体" w:eastAsia="宋体" w:cs="宋体"/>
          <w:color w:val="auto"/>
          <w:highlight w:val="none"/>
        </w:rPr>
      </w:pPr>
      <w:r>
        <w:rPr>
          <w:rFonts w:hint="eastAsia" w:ascii="宋体" w:hAnsi="宋体" w:eastAsia="宋体" w:cs="宋体"/>
          <w:color w:val="auto"/>
          <w:highlight w:val="none"/>
        </w:rPr>
        <w:t>1.资格后审材料文件（</w:t>
      </w:r>
      <w:r>
        <w:rPr>
          <w:rFonts w:hint="eastAsia" w:ascii="宋体" w:hAnsi="宋体" w:eastAsia="宋体" w:cs="宋体"/>
          <w:color w:val="auto"/>
          <w:highlight w:val="none"/>
          <w:u w:val="thick" w:color="FF0000"/>
        </w:rPr>
        <w:t>一个密封包，内含：1份“正本”和2份“副本”。</w:t>
      </w:r>
      <w:r>
        <w:rPr>
          <w:rFonts w:hint="eastAsia" w:ascii="宋体" w:hAnsi="宋体" w:eastAsia="宋体" w:cs="宋体"/>
          <w:color w:val="auto"/>
          <w:highlight w:val="none"/>
        </w:rPr>
        <w:t>）</w:t>
      </w:r>
    </w:p>
    <w:p>
      <w:pPr>
        <w:adjustRightInd w:val="0"/>
        <w:snapToGrid w:val="0"/>
        <w:spacing w:line="420" w:lineRule="exact"/>
        <w:ind w:firstLine="484" w:firstLineChars="202"/>
        <w:jc w:val="left"/>
        <w:rPr>
          <w:rFonts w:hint="eastAsia" w:ascii="宋体" w:hAnsi="宋体" w:eastAsia="宋体" w:cs="宋体"/>
          <w:color w:val="auto"/>
          <w:highlight w:val="none"/>
        </w:rPr>
      </w:pPr>
      <w:r>
        <w:rPr>
          <w:rFonts w:hint="eastAsia" w:ascii="宋体" w:hAnsi="宋体" w:eastAsia="宋体" w:cs="宋体"/>
          <w:color w:val="auto"/>
          <w:highlight w:val="none"/>
        </w:rPr>
        <w:t>2.竞争性磋商响应技术文件（</w:t>
      </w:r>
      <w:r>
        <w:rPr>
          <w:rFonts w:hint="eastAsia" w:ascii="宋体" w:hAnsi="宋体" w:eastAsia="宋体" w:cs="宋体"/>
          <w:color w:val="auto"/>
          <w:highlight w:val="none"/>
          <w:u w:val="thick" w:color="FF0000"/>
        </w:rPr>
        <w:t>一个密封包，内含：1份“正本”和2份“副本”。</w:t>
      </w:r>
      <w:r>
        <w:rPr>
          <w:rFonts w:hint="eastAsia" w:ascii="宋体" w:hAnsi="宋体" w:eastAsia="宋体" w:cs="宋体"/>
          <w:color w:val="auto"/>
          <w:highlight w:val="none"/>
        </w:rPr>
        <w:t>）</w:t>
      </w:r>
    </w:p>
    <w:p>
      <w:pPr>
        <w:adjustRightInd w:val="0"/>
        <w:snapToGrid w:val="0"/>
        <w:spacing w:line="420" w:lineRule="exact"/>
        <w:ind w:firstLine="484" w:firstLineChars="202"/>
        <w:jc w:val="left"/>
        <w:rPr>
          <w:rFonts w:hint="eastAsia" w:ascii="宋体" w:hAnsi="宋体" w:eastAsia="宋体" w:cs="宋体"/>
          <w:color w:val="auto"/>
          <w:highlight w:val="none"/>
        </w:rPr>
      </w:pPr>
      <w:r>
        <w:rPr>
          <w:rFonts w:hint="eastAsia" w:ascii="宋体" w:hAnsi="宋体" w:eastAsia="宋体" w:cs="宋体"/>
          <w:color w:val="auto"/>
          <w:highlight w:val="none"/>
        </w:rPr>
        <w:t>3.竞争性磋商响应价格文件（</w:t>
      </w:r>
      <w:r>
        <w:rPr>
          <w:rFonts w:hint="eastAsia" w:ascii="宋体" w:hAnsi="宋体" w:eastAsia="宋体" w:cs="宋体"/>
          <w:color w:val="auto"/>
          <w:highlight w:val="none"/>
          <w:u w:val="thick" w:color="FF0000"/>
        </w:rPr>
        <w:t>一个密封包，内含：1份“正本”和2份“副本”。</w:t>
      </w:r>
      <w:r>
        <w:rPr>
          <w:rFonts w:hint="eastAsia" w:ascii="宋体" w:hAnsi="宋体" w:eastAsia="宋体" w:cs="宋体"/>
          <w:color w:val="auto"/>
          <w:highlight w:val="none"/>
        </w:rPr>
        <w:t>）</w:t>
      </w:r>
    </w:p>
    <w:p>
      <w:pPr>
        <w:adjustRightInd w:val="0"/>
        <w:snapToGrid w:val="0"/>
        <w:spacing w:line="420" w:lineRule="exact"/>
        <w:ind w:firstLine="487" w:firstLineChars="202"/>
        <w:jc w:val="left"/>
        <w:outlineLvl w:val="1"/>
        <w:rPr>
          <w:rFonts w:hint="eastAsia" w:ascii="宋体" w:hAnsi="宋体" w:eastAsia="宋体" w:cs="宋体"/>
          <w:color w:val="auto"/>
          <w:highlight w:val="none"/>
        </w:rPr>
      </w:pPr>
      <w:r>
        <w:rPr>
          <w:rFonts w:hint="eastAsia" w:ascii="宋体" w:hAnsi="宋体" w:eastAsia="宋体" w:cs="宋体"/>
          <w:b/>
          <w:bCs/>
          <w:color w:val="auto"/>
          <w:highlight w:val="none"/>
        </w:rPr>
        <w:t>二、竞争性磋商响应文件的内容</w:t>
      </w:r>
    </w:p>
    <w:p>
      <w:pPr>
        <w:adjustRightInd w:val="0"/>
        <w:snapToGrid w:val="0"/>
        <w:spacing w:line="420" w:lineRule="exact"/>
        <w:ind w:firstLine="487" w:firstLineChars="202"/>
        <w:jc w:val="left"/>
        <w:outlineLvl w:val="2"/>
        <w:rPr>
          <w:rFonts w:hint="eastAsia" w:ascii="宋体" w:hAnsi="宋体" w:eastAsia="宋体" w:cs="宋体"/>
          <w:color w:val="auto"/>
          <w:highlight w:val="none"/>
        </w:rPr>
      </w:pPr>
      <w:r>
        <w:rPr>
          <w:rFonts w:hint="eastAsia" w:ascii="宋体" w:hAnsi="宋体" w:eastAsia="宋体" w:cs="宋体"/>
          <w:b/>
          <w:bCs/>
          <w:color w:val="auto"/>
          <w:highlight w:val="none"/>
        </w:rPr>
        <w:t>（一）资格后审材料文件的内容（格式参见第八章）</w:t>
      </w:r>
    </w:p>
    <w:p>
      <w:pPr>
        <w:adjustRightInd w:val="0"/>
        <w:snapToGrid w:val="0"/>
        <w:spacing w:line="420" w:lineRule="exact"/>
        <w:ind w:firstLine="487" w:firstLineChars="202"/>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特别提醒】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招标采购单位有权取消其成交资格，并由该供应商承担一切责任和损失。</w:t>
      </w:r>
    </w:p>
    <w:p>
      <w:pPr>
        <w:adjustRightInd w:val="0"/>
        <w:snapToGrid w:val="0"/>
        <w:spacing w:line="420" w:lineRule="exact"/>
        <w:ind w:firstLine="484" w:firstLineChars="202"/>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1、投标供应商营业执照、相关资质证书复印件；</w:t>
      </w:r>
    </w:p>
    <w:p>
      <w:pPr>
        <w:adjustRightInd w:val="0"/>
        <w:snapToGrid w:val="0"/>
        <w:spacing w:line="420" w:lineRule="exact"/>
        <w:ind w:firstLine="484" w:firstLineChars="202"/>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、法定代表人参加询价的，必须提供法人身份证明及法定代表人身份证；非法定代表人参加的，必须提供法定代表人签名或盖章的授权委托书及被委托授权人身份证的这</w:t>
      </w:r>
      <w:r>
        <w:rPr>
          <w:rFonts w:hint="eastAsia" w:ascii="宋体" w:hAnsi="宋体" w:eastAsia="宋体" w:cs="宋体"/>
          <w:color w:val="auto"/>
          <w:highlight w:val="none"/>
          <w:lang w:val="en-US" w:eastAsia="zh-CN"/>
        </w:rPr>
        <w:t>两项（须加盖公章）；</w:t>
      </w:r>
    </w:p>
    <w:p>
      <w:pPr>
        <w:adjustRightInd w:val="0"/>
        <w:snapToGrid w:val="0"/>
        <w:spacing w:line="420" w:lineRule="exact"/>
        <w:ind w:firstLine="484" w:firstLineChars="202"/>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3、拟派项目负责人相关证书复印件及安全生产许可证；</w:t>
      </w:r>
    </w:p>
    <w:p>
      <w:pPr>
        <w:adjustRightInd w:val="0"/>
        <w:snapToGrid w:val="0"/>
        <w:spacing w:line="420" w:lineRule="exact"/>
        <w:ind w:firstLine="484" w:firstLineChars="202"/>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default" w:ascii="宋体" w:hAnsi="宋体" w:eastAsia="宋体" w:cs="宋体"/>
          <w:color w:val="auto"/>
          <w:highlight w:val="none"/>
          <w:lang w:val="en-US" w:eastAsia="zh-CN"/>
        </w:rPr>
        <w:t>投标人</w:t>
      </w:r>
      <w:r>
        <w:rPr>
          <w:rFonts w:hint="eastAsia" w:ascii="宋体" w:hAnsi="宋体" w:eastAsia="宋体" w:cs="宋体"/>
          <w:color w:val="auto"/>
          <w:highlight w:val="none"/>
          <w:lang w:val="en-US" w:eastAsia="zh-CN"/>
        </w:rPr>
        <w:t>需提供</w:t>
      </w:r>
      <w:r>
        <w:rPr>
          <w:rFonts w:hint="default" w:ascii="宋体" w:hAnsi="宋体" w:eastAsia="宋体" w:cs="宋体"/>
          <w:color w:val="auto"/>
          <w:highlight w:val="none"/>
          <w:lang w:val="en-US" w:eastAsia="zh-CN"/>
        </w:rPr>
        <w:t>《国网江苏省电力有限公司南通供电分公司2020-2021年度10（20）KV业扩接入工程》施工企业</w:t>
      </w:r>
      <w:r>
        <w:rPr>
          <w:rFonts w:hint="eastAsia" w:ascii="宋体" w:hAnsi="宋体" w:eastAsia="宋体" w:cs="宋体"/>
          <w:color w:val="auto"/>
          <w:highlight w:val="none"/>
          <w:lang w:val="en-US" w:eastAsia="zh-CN"/>
        </w:rPr>
        <w:t>名单。</w:t>
      </w:r>
    </w:p>
    <w:p>
      <w:pPr>
        <w:adjustRightInd w:val="0"/>
        <w:snapToGrid w:val="0"/>
        <w:spacing w:line="420" w:lineRule="exact"/>
        <w:ind w:firstLine="484" w:firstLineChars="202"/>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、提供未被“信用中国”网站（www.creditchina.gov.cn）列入失信被执行人、重大税收违法案件当事人名单、政府采购严重失信行为记录名单的承诺函（格式详见</w:t>
      </w:r>
      <w:r>
        <w:rPr>
          <w:rFonts w:hint="eastAsia" w:ascii="宋体" w:hAnsi="宋体" w:eastAsia="宋体" w:cs="宋体"/>
          <w:color w:val="auto"/>
          <w:highlight w:val="none"/>
          <w:lang w:val="en-US" w:eastAsia="zh-CN"/>
        </w:rPr>
        <w:t>附件</w:t>
      </w:r>
      <w:r>
        <w:rPr>
          <w:rFonts w:hint="eastAsia" w:ascii="宋体" w:hAnsi="宋体" w:eastAsia="宋体" w:cs="宋体"/>
          <w:color w:val="auto"/>
          <w:highlight w:val="none"/>
        </w:rPr>
        <w:t>）。</w:t>
      </w:r>
    </w:p>
    <w:p>
      <w:pPr>
        <w:adjustRightInd w:val="0"/>
        <w:snapToGrid w:val="0"/>
        <w:spacing w:line="420" w:lineRule="exact"/>
        <w:ind w:firstLine="484" w:firstLineChars="202"/>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、关于资格文件的声明函（格式详见</w:t>
      </w:r>
      <w:r>
        <w:rPr>
          <w:rFonts w:hint="eastAsia" w:ascii="宋体" w:hAnsi="宋体" w:eastAsia="宋体" w:cs="宋体"/>
          <w:color w:val="auto"/>
          <w:highlight w:val="none"/>
          <w:lang w:val="en-US" w:eastAsia="zh-CN"/>
        </w:rPr>
        <w:t>附件</w:t>
      </w:r>
      <w:r>
        <w:rPr>
          <w:rFonts w:hint="eastAsia" w:ascii="宋体" w:hAnsi="宋体" w:eastAsia="宋体" w:cs="宋体"/>
          <w:color w:val="auto"/>
          <w:highlight w:val="none"/>
        </w:rPr>
        <w:t>）；</w:t>
      </w:r>
    </w:p>
    <w:p>
      <w:pPr>
        <w:pStyle w:val="2"/>
        <w:rPr>
          <w:rFonts w:hint="eastAsia"/>
          <w:color w:val="auto"/>
          <w:highlight w:val="none"/>
        </w:rPr>
      </w:pPr>
    </w:p>
    <w:p>
      <w:pPr>
        <w:adjustRightInd w:val="0"/>
        <w:snapToGrid w:val="0"/>
        <w:spacing w:line="420" w:lineRule="exact"/>
        <w:ind w:firstLine="487" w:firstLineChars="202"/>
        <w:jc w:val="left"/>
        <w:outlineLvl w:val="2"/>
        <w:rPr>
          <w:rFonts w:hint="eastAsia" w:ascii="宋体" w:hAnsi="宋体" w:eastAsia="宋体" w:cs="宋体"/>
          <w:color w:val="auto"/>
          <w:highlight w:val="none"/>
        </w:rPr>
      </w:pPr>
      <w:r>
        <w:rPr>
          <w:rFonts w:hint="eastAsia" w:ascii="宋体" w:hAnsi="宋体" w:eastAsia="宋体" w:cs="宋体"/>
          <w:b/>
          <w:bCs/>
          <w:color w:val="auto"/>
          <w:highlight w:val="none"/>
        </w:rPr>
        <w:t>（二）竞争性磋商响应技术文件的内容</w:t>
      </w:r>
    </w:p>
    <w:p>
      <w:pPr>
        <w:adjustRightInd w:val="0"/>
        <w:snapToGrid w:val="0"/>
        <w:spacing w:line="420" w:lineRule="exact"/>
        <w:ind w:firstLine="484" w:firstLineChars="202"/>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1、本磋商文件评标办法中要求提供的证明材料</w:t>
      </w:r>
    </w:p>
    <w:p>
      <w:pPr>
        <w:pStyle w:val="2"/>
        <w:rPr>
          <w:rFonts w:hint="eastAsia"/>
          <w:color w:val="auto"/>
          <w:highlight w:val="none"/>
          <w:lang w:val="en-US" w:eastAsia="zh-CN"/>
        </w:rPr>
      </w:pPr>
    </w:p>
    <w:p>
      <w:pPr>
        <w:adjustRightInd w:val="0"/>
        <w:snapToGrid w:val="0"/>
        <w:spacing w:line="420" w:lineRule="exact"/>
        <w:ind w:firstLine="487" w:firstLineChars="202"/>
        <w:jc w:val="left"/>
        <w:outlineLvl w:val="2"/>
        <w:rPr>
          <w:rFonts w:hint="eastAsia" w:ascii="宋体" w:hAnsi="宋体" w:eastAsia="宋体" w:cs="宋体"/>
          <w:color w:val="auto"/>
          <w:highlight w:val="none"/>
        </w:rPr>
      </w:pPr>
      <w:r>
        <w:rPr>
          <w:rFonts w:hint="eastAsia" w:ascii="宋体" w:hAnsi="宋体" w:eastAsia="宋体" w:cs="宋体"/>
          <w:b/>
          <w:bCs/>
          <w:color w:val="auto"/>
          <w:highlight w:val="none"/>
        </w:rPr>
        <w:t>（三）竞争性磋商响应价格文件的内容</w:t>
      </w:r>
    </w:p>
    <w:p>
      <w:pPr>
        <w:adjustRightInd w:val="0"/>
        <w:snapToGrid w:val="0"/>
        <w:spacing w:line="420" w:lineRule="exact"/>
        <w:ind w:firstLine="487" w:firstLineChars="202"/>
        <w:jc w:val="left"/>
        <w:rPr>
          <w:rFonts w:hint="eastAsia" w:ascii="宋体" w:hAnsi="宋体" w:eastAsia="宋体" w:cs="宋体"/>
          <w:color w:val="auto"/>
          <w:highlight w:val="none"/>
        </w:rPr>
      </w:pPr>
      <w:r>
        <w:rPr>
          <w:rFonts w:hint="eastAsia" w:ascii="宋体" w:hAnsi="宋体" w:eastAsia="宋体" w:cs="宋体"/>
          <w:b/>
          <w:bCs/>
          <w:color w:val="auto"/>
          <w:highlight w:val="none"/>
        </w:rPr>
        <w:t>【特别说明】磋商价格响应竞争性磋商响应文件中的报价，包括本采购文件规定涵盖的所有范围及相应说明的全部内容涉及到的费用。本采购项目的付款方式要求，必须完全响应不得有任何负偏离，且不接受任何意在更改的说明，否则作无效响应处理。</w:t>
      </w:r>
    </w:p>
    <w:p>
      <w:pPr>
        <w:adjustRightInd w:val="0"/>
        <w:snapToGrid w:val="0"/>
        <w:spacing w:line="420" w:lineRule="exact"/>
        <w:ind w:firstLine="484" w:firstLineChars="202"/>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磋商响应报价（首次）表</w:t>
      </w:r>
      <w:r>
        <w:rPr>
          <w:rFonts w:hint="eastAsia" w:ascii="宋体" w:hAnsi="宋体" w:eastAsia="宋体" w:cs="宋体"/>
          <w:color w:val="auto"/>
          <w:highlight w:val="none"/>
          <w:lang w:eastAsia="zh-CN"/>
        </w:rPr>
        <w:t>；</w:t>
      </w:r>
    </w:p>
    <w:p>
      <w:pPr>
        <w:adjustRightInd w:val="0"/>
        <w:snapToGrid w:val="0"/>
        <w:spacing w:line="420" w:lineRule="exact"/>
        <w:ind w:firstLine="484" w:firstLineChars="202"/>
        <w:jc w:val="left"/>
        <w:rPr>
          <w:rFonts w:hint="eastAsia" w:ascii="宋体" w:hAnsi="宋体" w:eastAsia="宋体" w:cs="宋体"/>
          <w:color w:val="auto"/>
          <w:highlight w:val="none"/>
          <w:lang w:val="en-US" w:eastAsia="zh-CN"/>
        </w:rPr>
        <w:sectPr>
          <w:pgSz w:w="11906" w:h="16838"/>
          <w:pgMar w:top="1418" w:right="851" w:bottom="851" w:left="1418" w:header="851" w:footer="471" w:gutter="0"/>
          <w:cols w:space="425" w:num="1"/>
          <w:docGrid w:type="lines" w:linePitch="312" w:charSpace="0"/>
        </w:sect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磋商响应报价</w:t>
      </w:r>
      <w:r>
        <w:rPr>
          <w:rFonts w:hint="eastAsia" w:ascii="宋体" w:hAnsi="宋体" w:eastAsia="宋体" w:cs="宋体"/>
          <w:color w:val="auto"/>
          <w:highlight w:val="none"/>
          <w:lang w:val="en-US" w:eastAsia="zh-CN"/>
        </w:rPr>
        <w:t>明细表（格式自拟）；</w:t>
      </w:r>
    </w:p>
    <w:p>
      <w:pPr>
        <w:adjustRightInd w:val="0"/>
        <w:snapToGrid w:val="0"/>
        <w:spacing w:line="420" w:lineRule="exact"/>
        <w:ind w:firstLine="484" w:firstLineChars="202"/>
        <w:jc w:val="left"/>
        <w:rPr>
          <w:rFonts w:hint="eastAsia" w:ascii="宋体" w:hAnsi="宋体" w:eastAsia="宋体" w:cs="宋体"/>
          <w:color w:val="auto"/>
          <w:highlight w:val="none"/>
        </w:rPr>
      </w:pPr>
      <w:bookmarkStart w:id="55" w:name="_Hlk69437140"/>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.中小企业声明函（如涉有，则提供）；</w:t>
      </w:r>
      <w:bookmarkEnd w:id="55"/>
    </w:p>
    <w:p>
      <w:pPr>
        <w:adjustRightInd w:val="0"/>
        <w:snapToGrid w:val="0"/>
        <w:spacing w:line="420" w:lineRule="exact"/>
        <w:ind w:firstLine="484" w:firstLineChars="202"/>
        <w:jc w:val="left"/>
        <w:rPr>
          <w:rFonts w:hint="eastAsia" w:ascii="宋体" w:hAnsi="宋体" w:eastAsia="宋体" w:cs="宋体"/>
          <w:color w:val="auto"/>
          <w:highlight w:val="none"/>
        </w:rPr>
        <w:sectPr>
          <w:pgSz w:w="11906" w:h="16838"/>
          <w:pgMar w:top="1361" w:right="1361" w:bottom="1361" w:left="1361" w:header="851" w:footer="992" w:gutter="0"/>
          <w:cols w:space="720" w:num="1"/>
          <w:docGrid w:type="lines" w:linePitch="328" w:charSpace="0"/>
        </w:sectPr>
      </w:pPr>
      <w:bookmarkStart w:id="56" w:name="_Hlk69860959"/>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残疾人福利性单位声明函（如涉有，则提供）</w:t>
      </w:r>
      <w:bookmarkEnd w:id="56"/>
      <w:r>
        <w:rPr>
          <w:rFonts w:hint="eastAsia" w:ascii="宋体" w:hAnsi="宋体" w:eastAsia="宋体" w:cs="宋体"/>
          <w:color w:val="auto"/>
          <w:highlight w:val="none"/>
        </w:rPr>
        <w:t>。</w:t>
      </w:r>
    </w:p>
    <w:p>
      <w:pPr>
        <w:snapToGrid w:val="0"/>
        <w:spacing w:line="520" w:lineRule="exact"/>
        <w:jc w:val="both"/>
        <w:outlineLvl w:val="4"/>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p>
    <w:p>
      <w:pPr>
        <w:snapToGrid w:val="0"/>
        <w:spacing w:line="520" w:lineRule="exact"/>
        <w:jc w:val="center"/>
        <w:outlineLvl w:val="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1、法定代表人身份证明</w:t>
      </w:r>
    </w:p>
    <w:p>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（法定代表人参加投标，须出示此证明）</w:t>
      </w:r>
    </w:p>
    <w:p>
      <w:pPr>
        <w:snapToGrid w:val="0"/>
        <w:spacing w:line="520" w:lineRule="exact"/>
        <w:jc w:val="center"/>
        <w:rPr>
          <w:rFonts w:hint="eastAsia" w:ascii="宋体" w:hAnsi="宋体" w:eastAsia="宋体" w:cs="宋体"/>
          <w:color w:val="auto"/>
          <w:sz w:val="24"/>
          <w:szCs w:val="24"/>
          <w:highlight w:val="none"/>
        </w:rPr>
      </w:pPr>
    </w:p>
    <w:p>
      <w:pPr>
        <w:snapToGrid w:val="0"/>
        <w:spacing w:line="520" w:lineRule="exact"/>
        <w:rPr>
          <w:rFonts w:hint="eastAsia" w:ascii="宋体" w:hAnsi="宋体" w:eastAsia="宋体" w:cs="宋体"/>
          <w:color w:val="auto"/>
          <w:sz w:val="24"/>
          <w:szCs w:val="24"/>
          <w:highlight w:val="none"/>
          <w:u w:val="single"/>
        </w:rPr>
      </w:pPr>
      <w:r>
        <w:rPr>
          <w:rFonts w:hint="eastAsia" w:ascii="宋体" w:hAnsi="宋体" w:eastAsia="宋体" w:cs="宋体"/>
          <w:bCs/>
          <w:color w:val="auto"/>
          <w:sz w:val="32"/>
          <w:szCs w:val="32"/>
          <w:highlight w:val="none"/>
          <w:u w:val="single"/>
        </w:rPr>
        <w:t xml:space="preserve"> </w:t>
      </w:r>
      <w:r>
        <w:rPr>
          <w:rFonts w:hint="eastAsia" w:ascii="宋体" w:hAnsi="宋体" w:eastAsia="宋体" w:cs="宋体"/>
          <w:color w:val="auto"/>
          <w:sz w:val="24"/>
          <w:szCs w:val="24"/>
          <w:highlight w:val="none"/>
          <w:u w:val="single"/>
          <w:lang w:eastAsia="zh-CN"/>
        </w:rPr>
        <w:t>南通市崇川区机关事务服务中心</w:t>
      </w:r>
      <w:r>
        <w:rPr>
          <w:rFonts w:hint="eastAsia" w:ascii="宋体" w:hAnsi="宋体" w:eastAsia="宋体" w:cs="宋体"/>
          <w:color w:val="auto"/>
          <w:sz w:val="24"/>
          <w:szCs w:val="24"/>
          <w:highlight w:val="none"/>
          <w:u w:val="single"/>
        </w:rPr>
        <w:t xml:space="preserve"> ：</w:t>
      </w:r>
    </w:p>
    <w:p>
      <w:pPr>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参加贵单位组织的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（询价项目名称及项目编号)项目询价活动，全权代表我公司处理该询价活动的有关事宜。</w:t>
      </w:r>
    </w:p>
    <w:p>
      <w:pPr>
        <w:snapToGrid w:val="0"/>
        <w:spacing w:line="520" w:lineRule="exact"/>
        <w:rPr>
          <w:rFonts w:hint="eastAsia" w:ascii="宋体" w:hAnsi="宋体" w:eastAsia="宋体" w:cs="宋体"/>
          <w:color w:val="auto"/>
          <w:sz w:val="24"/>
          <w:szCs w:val="24"/>
          <w:highlight w:val="none"/>
        </w:rPr>
      </w:pPr>
    </w:p>
    <w:p>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附：法定代表人情况：</w:t>
      </w:r>
    </w:p>
    <w:p>
      <w:pPr>
        <w:snapToGrid w:val="0"/>
        <w:spacing w:line="5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snapToGrid w:val="0"/>
        <w:spacing w:line="520" w:lineRule="exact"/>
        <w:rPr>
          <w:rFonts w:hint="eastAsia" w:ascii="宋体" w:hAnsi="宋体" w:eastAsia="宋体" w:cs="宋体"/>
          <w:color w:val="auto"/>
          <w:sz w:val="24"/>
          <w:szCs w:val="24"/>
          <w:highlight w:val="none"/>
        </w:rPr>
      </w:pPr>
    </w:p>
    <w:p>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             法定代表人（签字或盖章）</w:t>
      </w:r>
    </w:p>
    <w:p>
      <w:pPr>
        <w:snapToGrid w:val="0"/>
        <w:spacing w:line="52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年   月    日  </w:t>
      </w:r>
    </w:p>
    <w:p>
      <w:pPr>
        <w:snapToGrid w:val="0"/>
        <w:spacing w:line="520" w:lineRule="exact"/>
        <w:rPr>
          <w:rFonts w:hint="eastAsia" w:ascii="宋体" w:hAnsi="宋体" w:eastAsia="宋体" w:cs="宋体"/>
          <w:color w:val="auto"/>
          <w:sz w:val="24"/>
          <w:szCs w:val="24"/>
          <w:highlight w:val="none"/>
        </w:rPr>
      </w:pPr>
    </w:p>
    <w:p>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pPr>
        <w:snapToGrid w:val="0"/>
        <w:spacing w:line="520" w:lineRule="exact"/>
        <w:rPr>
          <w:rFonts w:hint="eastAsia" w:ascii="宋体" w:hAnsi="宋体" w:eastAsia="宋体" w:cs="宋体"/>
          <w:color w:val="auto"/>
          <w:sz w:val="24"/>
          <w:szCs w:val="24"/>
          <w:highlight w:val="none"/>
        </w:rPr>
      </w:pPr>
    </w:p>
    <w:p>
      <w:pPr>
        <w:snapToGrid w:val="0"/>
        <w:spacing w:line="520" w:lineRule="exact"/>
        <w:rPr>
          <w:rFonts w:hint="eastAsia" w:ascii="宋体" w:hAnsi="宋体" w:eastAsia="宋体" w:cs="宋体"/>
          <w:color w:val="auto"/>
          <w:sz w:val="24"/>
          <w:szCs w:val="24"/>
          <w:highlight w:val="none"/>
        </w:rPr>
      </w:pPr>
    </w:p>
    <w:p>
      <w:pPr>
        <w:snapToGrid w:val="0"/>
        <w:spacing w:line="520" w:lineRule="exact"/>
        <w:ind w:firstLine="2280" w:firstLineChars="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（粘贴此处）</w:t>
      </w:r>
    </w:p>
    <w:p>
      <w:pPr>
        <w:snapToGrid w:val="0"/>
        <w:spacing w:line="52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注:参加询价活动时法定代表人将身份证原件带至现场备查。</w:t>
      </w:r>
    </w:p>
    <w:p>
      <w:pPr>
        <w:snapToGrid w:val="0"/>
        <w:spacing w:line="520" w:lineRule="exact"/>
        <w:jc w:val="center"/>
        <w:outlineLvl w:val="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2、授权委托书</w:t>
      </w:r>
    </w:p>
    <w:p>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（委托代理人参加询价，须出示此证明）</w:t>
      </w:r>
    </w:p>
    <w:p>
      <w:pPr>
        <w:snapToGrid w:val="0"/>
        <w:spacing w:line="5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南通市崇川区机关事务服务中心</w:t>
      </w:r>
      <w:r>
        <w:rPr>
          <w:rFonts w:hint="eastAsia" w:ascii="宋体" w:hAnsi="宋体" w:eastAsia="宋体" w:cs="宋体"/>
          <w:color w:val="auto"/>
          <w:sz w:val="24"/>
          <w:szCs w:val="24"/>
          <w:highlight w:val="none"/>
          <w:u w:val="single"/>
        </w:rPr>
        <w:t xml:space="preserve"> ：</w:t>
      </w:r>
    </w:p>
    <w:p>
      <w:pPr>
        <w:snapToGrid w:val="0"/>
        <w:spacing w:line="52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被授权人的姓名）代表我公司参加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（询价项目名称及项目编号)项目的询价活动，全权处理一切与该项目询价有关的事务。其在办理上述事宜过程中所签署的所有文件我公司均予以承认。</w:t>
      </w:r>
    </w:p>
    <w:p>
      <w:pPr>
        <w:snapToGrid w:val="0"/>
        <w:spacing w:line="52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附：被授权人情况：</w:t>
      </w:r>
    </w:p>
    <w:p>
      <w:pPr>
        <w:snapToGrid w:val="0"/>
        <w:spacing w:line="5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             法定代表人（签字或盖章）</w:t>
      </w:r>
    </w:p>
    <w:p>
      <w:pPr>
        <w:snapToGrid w:val="0"/>
        <w:spacing w:line="52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年   月    日  </w:t>
      </w:r>
    </w:p>
    <w:p>
      <w:pPr>
        <w:snapToGrid w:val="0"/>
        <w:spacing w:line="520" w:lineRule="exact"/>
        <w:rPr>
          <w:rFonts w:hint="eastAsia" w:ascii="宋体" w:hAnsi="宋体" w:eastAsia="宋体" w:cs="宋体"/>
          <w:color w:val="auto"/>
          <w:sz w:val="24"/>
          <w:szCs w:val="24"/>
          <w:highlight w:val="none"/>
        </w:rPr>
      </w:pPr>
    </w:p>
    <w:p>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pPr>
        <w:spacing w:line="480" w:lineRule="exact"/>
        <w:rPr>
          <w:rFonts w:hint="eastAsia" w:ascii="宋体" w:hAnsi="宋体" w:eastAsia="宋体" w:cs="宋体"/>
          <w:color w:val="auto"/>
          <w:sz w:val="28"/>
          <w:szCs w:val="28"/>
          <w:highlight w:val="none"/>
        </w:rPr>
      </w:pPr>
    </w:p>
    <w:p>
      <w:pPr>
        <w:snapToGrid w:val="0"/>
        <w:spacing w:line="520" w:lineRule="exact"/>
        <w:ind w:firstLine="3720" w:firstLineChars="1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（粘贴此处）</w:t>
      </w:r>
    </w:p>
    <w:p>
      <w:pPr>
        <w:spacing w:line="480" w:lineRule="exact"/>
        <w:rPr>
          <w:rFonts w:hint="eastAsia" w:ascii="宋体" w:hAnsi="宋体" w:eastAsia="宋体" w:cs="宋体"/>
          <w:color w:val="auto"/>
          <w:sz w:val="28"/>
          <w:szCs w:val="28"/>
          <w:highlight w:val="none"/>
        </w:rPr>
      </w:pPr>
    </w:p>
    <w:p>
      <w:pPr>
        <w:snapToGrid w:val="0"/>
        <w:spacing w:line="520" w:lineRule="exact"/>
        <w:rPr>
          <w:rFonts w:hint="eastAsia" w:ascii="宋体" w:hAnsi="宋体" w:eastAsia="宋体" w:cs="宋体"/>
          <w:color w:val="auto"/>
          <w:sz w:val="24"/>
          <w:szCs w:val="24"/>
          <w:highlight w:val="none"/>
        </w:rPr>
      </w:pPr>
    </w:p>
    <w:p>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被授权人身份证复印件</w:t>
      </w:r>
    </w:p>
    <w:p>
      <w:pPr>
        <w:snapToGrid w:val="0"/>
        <w:spacing w:line="520" w:lineRule="exact"/>
        <w:rPr>
          <w:rFonts w:hint="eastAsia" w:ascii="宋体" w:hAnsi="宋体" w:eastAsia="宋体" w:cs="宋体"/>
          <w:color w:val="auto"/>
          <w:sz w:val="24"/>
          <w:szCs w:val="24"/>
          <w:highlight w:val="none"/>
        </w:rPr>
      </w:pPr>
    </w:p>
    <w:p>
      <w:pPr>
        <w:snapToGrid w:val="0"/>
        <w:spacing w:line="520" w:lineRule="exact"/>
        <w:rPr>
          <w:rFonts w:hint="eastAsia" w:ascii="宋体" w:hAnsi="宋体" w:eastAsia="宋体" w:cs="宋体"/>
          <w:color w:val="auto"/>
          <w:sz w:val="24"/>
          <w:szCs w:val="24"/>
          <w:highlight w:val="none"/>
        </w:rPr>
      </w:pPr>
    </w:p>
    <w:p>
      <w:pPr>
        <w:snapToGrid w:val="0"/>
        <w:spacing w:line="520" w:lineRule="exact"/>
        <w:rPr>
          <w:rFonts w:hint="eastAsia" w:ascii="宋体" w:hAnsi="宋体" w:eastAsia="宋体" w:cs="宋体"/>
          <w:color w:val="auto"/>
          <w:sz w:val="24"/>
          <w:szCs w:val="24"/>
          <w:highlight w:val="none"/>
        </w:rPr>
      </w:pPr>
    </w:p>
    <w:p>
      <w:pPr>
        <w:snapToGrid w:val="0"/>
        <w:spacing w:line="52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（粘贴此处）</w:t>
      </w: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t>注:参加询价活动时被授权人将身份证原件带至现场备查。</w:t>
      </w: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3、关于资格文件的声明函</w:t>
      </w:r>
    </w:p>
    <w:p>
      <w:pPr>
        <w:snapToGrid w:val="0"/>
        <w:spacing w:line="52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本公司愿就由贵公司组织实施的编号</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为项目</w:t>
      </w:r>
      <w:r>
        <w:rPr>
          <w:rFonts w:hint="eastAsia" w:ascii="宋体" w:hAnsi="宋体" w:eastAsia="宋体" w:cs="宋体"/>
          <w:color w:val="auto"/>
          <w:sz w:val="24"/>
          <w:szCs w:val="24"/>
          <w:highlight w:val="none"/>
        </w:rPr>
        <w:t>的询价活动进行响应。本公司所提交的询价响应文件中所有关于资格的文件、证明和陈述均是真实的、准确的。若与真实情况不符，本公司愿意承担由此而产生的一切后果。</w:t>
      </w:r>
    </w:p>
    <w:p>
      <w:pPr>
        <w:snapToGrid w:val="0"/>
        <w:spacing w:line="52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具有良好的商业信誉和健全的财务会计制度；具有履行合同所必须的设备和专业技术能力；有依法缴纳税收和社会保障资金的良好记录；参加政府采购活动前三年内，在经营活动中没有重大违法记录；</w:t>
      </w:r>
    </w:p>
    <w:p>
      <w:pPr>
        <w:pStyle w:val="8"/>
        <w:overflowPunct w:val="0"/>
        <w:spacing w:line="520" w:lineRule="exact"/>
        <w:rPr>
          <w:rFonts w:hint="eastAsia" w:ascii="宋体" w:hAnsi="宋体" w:eastAsia="宋体" w:cs="宋体"/>
          <w:color w:val="auto"/>
          <w:szCs w:val="24"/>
          <w:highlight w:val="none"/>
        </w:rPr>
      </w:pPr>
    </w:p>
    <w:p>
      <w:pPr>
        <w:pStyle w:val="8"/>
        <w:overflowPunct w:val="0"/>
        <w:spacing w:line="520" w:lineRule="exact"/>
        <w:rPr>
          <w:rFonts w:hint="eastAsia" w:ascii="宋体" w:hAnsi="宋体" w:eastAsia="宋体" w:cs="宋体"/>
          <w:color w:val="auto"/>
          <w:szCs w:val="24"/>
          <w:highlight w:val="none"/>
        </w:rPr>
      </w:pPr>
    </w:p>
    <w:p>
      <w:pPr>
        <w:pStyle w:val="8"/>
        <w:overflowPunct w:val="0"/>
        <w:spacing w:line="52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法定代表人或被委托授权人（签字或盖章）：</w:t>
      </w:r>
    </w:p>
    <w:p>
      <w:pPr>
        <w:pStyle w:val="8"/>
        <w:overflowPunct w:val="0"/>
        <w:spacing w:line="52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（响应供应商）公章：</w:t>
      </w:r>
    </w:p>
    <w:p>
      <w:pPr>
        <w:pStyle w:val="8"/>
        <w:overflowPunct w:val="0"/>
        <w:spacing w:line="520" w:lineRule="exact"/>
        <w:jc w:val="right"/>
        <w:rPr>
          <w:rFonts w:hint="eastAsia" w:ascii="宋体" w:hAnsi="宋体" w:eastAsia="宋体" w:cs="宋体"/>
          <w:color w:val="auto"/>
          <w:sz w:val="24"/>
          <w:szCs w:val="24"/>
          <w:highlight w:val="none"/>
        </w:rPr>
        <w:sectPr>
          <w:pgSz w:w="11906" w:h="16838"/>
          <w:pgMar w:top="1361" w:right="1361" w:bottom="1361" w:left="1361" w:header="851" w:footer="992" w:gutter="0"/>
          <w:cols w:space="720" w:num="1"/>
          <w:docGrid w:type="lines" w:linePitch="328" w:charSpace="0"/>
        </w:sect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 xml:space="preserve">  日</w:t>
      </w:r>
    </w:p>
    <w:p>
      <w:pPr>
        <w:snapToGrid w:val="0"/>
        <w:spacing w:line="520" w:lineRule="exact"/>
        <w:jc w:val="center"/>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4、承诺函</w:t>
      </w:r>
    </w:p>
    <w:p>
      <w:pPr>
        <w:pStyle w:val="8"/>
        <w:overflowPunct w:val="0"/>
        <w:spacing w:line="5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（采购人）</w:t>
      </w:r>
    </w:p>
    <w:p>
      <w:pPr>
        <w:pStyle w:val="8"/>
        <w:overflowPunct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我方郑重承诺：未被“信用中国”网站（www.creditchina.gov.cn）列入失信被执行人、重大税收违法案件当事人名单、政府采购严重失信行为记录名单。</w:t>
      </w:r>
    </w:p>
    <w:p>
      <w:pPr>
        <w:pStyle w:val="8"/>
        <w:overflowPunct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我方若有违反承诺内容的行为，自愿接受取消招投标资格、将不良行为记录记入档案、没收投标保证金等有关处理，并承担相应的法律责任。给招标人造成损失的，依法承担赔偿责任。</w:t>
      </w:r>
    </w:p>
    <w:p>
      <w:pPr>
        <w:pStyle w:val="2"/>
        <w:rPr>
          <w:rFonts w:hint="eastAsia" w:ascii="宋体" w:hAnsi="宋体" w:eastAsia="宋体" w:cs="宋体"/>
          <w:color w:val="auto"/>
          <w:highlight w:val="none"/>
        </w:rPr>
      </w:pPr>
    </w:p>
    <w:p>
      <w:pPr>
        <w:pStyle w:val="8"/>
        <w:overflowPunct w:val="0"/>
        <w:spacing w:line="52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承诺单位（盖章）：</w:t>
      </w:r>
    </w:p>
    <w:p>
      <w:pPr>
        <w:pStyle w:val="8"/>
        <w:overflowPunct w:val="0"/>
        <w:spacing w:line="52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法定代表人（签名）：</w:t>
      </w:r>
    </w:p>
    <w:p>
      <w:pPr>
        <w:pStyle w:val="8"/>
        <w:overflowPunct w:val="0"/>
        <w:spacing w:line="52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授权委托人（签名）：</w:t>
      </w:r>
    </w:p>
    <w:p>
      <w:pPr>
        <w:pStyle w:val="8"/>
        <w:overflowPunct w:val="0"/>
        <w:spacing w:line="52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年月日</w:t>
      </w:r>
    </w:p>
    <w:p>
      <w:pPr>
        <w:spacing w:line="312" w:lineRule="auto"/>
        <w:rPr>
          <w:rFonts w:hint="eastAsia" w:ascii="宋体" w:hAnsi="宋体" w:cs="宋体"/>
          <w:color w:val="auto"/>
          <w:sz w:val="32"/>
          <w:szCs w:val="32"/>
          <w:highlight w:val="none"/>
        </w:rPr>
        <w:sectPr>
          <w:pgSz w:w="11915" w:h="16840"/>
          <w:pgMar w:top="1440" w:right="1758" w:bottom="1440" w:left="1758" w:header="851" w:footer="850" w:gutter="0"/>
          <w:pgNumType w:start="133"/>
          <w:cols w:space="720" w:num="1"/>
          <w:docGrid w:type="linesAndChars" w:linePitch="312" w:charSpace="0"/>
        </w:sectPr>
      </w:pPr>
    </w:p>
    <w:p>
      <w:pPr>
        <w:snapToGrid w:val="0"/>
        <w:spacing w:line="420" w:lineRule="exact"/>
        <w:ind w:firstLine="566" w:firstLineChars="235"/>
        <w:outlineLvl w:val="2"/>
        <w:rPr>
          <w:rFonts w:hint="eastAsia" w:ascii="宋体" w:hAnsi="宋体" w:eastAsia="宋体" w:cs="宋体"/>
          <w:b/>
          <w:bCs/>
          <w:color w:val="auto"/>
          <w:highlight w:val="none"/>
        </w:rPr>
      </w:pPr>
      <w:r>
        <w:rPr>
          <w:rFonts w:hint="eastAsia" w:ascii="宋体" w:hAnsi="宋体" w:eastAsia="宋体" w:cs="宋体"/>
          <w:b/>
          <w:bCs/>
          <w:color w:val="auto"/>
          <w:highlight w:val="none"/>
        </w:rPr>
        <w:t>（二）竞争性磋商响应技术文件</w:t>
      </w:r>
      <w:r>
        <w:rPr>
          <w:rFonts w:hint="eastAsia" w:ascii="宋体" w:hAnsi="宋体" w:eastAsia="宋体" w:cs="宋体"/>
          <w:color w:val="auto"/>
          <w:highlight w:val="none"/>
        </w:rPr>
        <w:t>（</w:t>
      </w:r>
      <w:r>
        <w:rPr>
          <w:rFonts w:hint="eastAsia" w:ascii="宋体" w:hAnsi="宋体" w:eastAsia="宋体" w:cs="宋体"/>
          <w:color w:val="auto"/>
          <w:highlight w:val="none"/>
          <w:u w:val="thick" w:color="FF0000"/>
        </w:rPr>
        <w:t>一个密封包，内含：1份“正本”和2份“副本”。</w:t>
      </w:r>
      <w:r>
        <w:rPr>
          <w:rFonts w:hint="eastAsia" w:ascii="宋体" w:hAnsi="宋体" w:eastAsia="宋体" w:cs="宋体"/>
          <w:color w:val="auto"/>
          <w:highlight w:val="none"/>
        </w:rPr>
        <w:t>）</w:t>
      </w: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adjustRightInd w:val="0"/>
        <w:snapToGrid w:val="0"/>
        <w:spacing w:line="420" w:lineRule="exact"/>
        <w:ind w:firstLine="484" w:firstLineChars="202"/>
        <w:jc w:val="left"/>
        <w:rPr>
          <w:rFonts w:hint="eastAsia" w:ascii="宋体" w:hAnsi="宋体" w:eastAsia="宋体" w:cs="宋体"/>
          <w:color w:val="auto"/>
          <w:highlight w:val="none"/>
        </w:rPr>
      </w:pPr>
    </w:p>
    <w:p>
      <w:pPr>
        <w:snapToGrid w:val="0"/>
        <w:spacing w:line="420" w:lineRule="exact"/>
        <w:ind w:firstLine="566" w:firstLineChars="235"/>
        <w:outlineLvl w:val="2"/>
        <w:rPr>
          <w:rFonts w:hint="eastAsia" w:ascii="宋体" w:hAnsi="宋体" w:eastAsia="宋体" w:cs="宋体"/>
          <w:b/>
          <w:bCs/>
          <w:color w:val="auto"/>
          <w:highlight w:val="none"/>
        </w:rPr>
        <w:sectPr>
          <w:pgSz w:w="11906" w:h="16838"/>
          <w:pgMar w:top="1418" w:right="851" w:bottom="851" w:left="1418" w:header="851" w:footer="471" w:gutter="0"/>
          <w:cols w:space="425" w:num="1"/>
          <w:docGrid w:type="lines" w:linePitch="312" w:charSpace="0"/>
        </w:sectPr>
      </w:pPr>
    </w:p>
    <w:p>
      <w:pPr>
        <w:snapToGrid w:val="0"/>
        <w:spacing w:line="420" w:lineRule="exact"/>
        <w:ind w:firstLine="566" w:firstLineChars="235"/>
        <w:outlineLvl w:val="2"/>
        <w:rPr>
          <w:rFonts w:hint="eastAsia" w:ascii="宋体" w:hAnsi="宋体" w:eastAsia="宋体" w:cs="宋体"/>
          <w:b/>
          <w:bCs/>
          <w:color w:val="auto"/>
          <w:highlight w:val="none"/>
        </w:rPr>
      </w:pPr>
      <w:r>
        <w:rPr>
          <w:rFonts w:hint="eastAsia" w:ascii="宋体" w:hAnsi="宋体" w:eastAsia="宋体" w:cs="宋体"/>
          <w:b/>
          <w:bCs/>
          <w:color w:val="auto"/>
          <w:highlight w:val="none"/>
        </w:rPr>
        <w:t>（三）竞争性磋商响应价格文件</w:t>
      </w:r>
      <w:r>
        <w:rPr>
          <w:rFonts w:hint="eastAsia" w:ascii="宋体" w:hAnsi="宋体" w:eastAsia="宋体" w:cs="宋体"/>
          <w:color w:val="auto"/>
          <w:highlight w:val="none"/>
        </w:rPr>
        <w:t>（</w:t>
      </w:r>
      <w:r>
        <w:rPr>
          <w:rFonts w:hint="eastAsia" w:ascii="宋体" w:hAnsi="宋体" w:eastAsia="宋体" w:cs="宋体"/>
          <w:color w:val="auto"/>
          <w:highlight w:val="none"/>
          <w:u w:val="thick" w:color="FF0000"/>
        </w:rPr>
        <w:t>一个密封包，内含：1份“正本”和2份“副本”。</w:t>
      </w:r>
      <w:r>
        <w:rPr>
          <w:rFonts w:hint="eastAsia" w:ascii="宋体" w:hAnsi="宋体" w:eastAsia="宋体" w:cs="宋体"/>
          <w:color w:val="auto"/>
          <w:highlight w:val="none"/>
        </w:rPr>
        <w:t>）</w:t>
      </w:r>
    </w:p>
    <w:p>
      <w:pPr>
        <w:snapToGrid w:val="0"/>
        <w:spacing w:line="420" w:lineRule="exact"/>
        <w:ind w:firstLine="566" w:firstLineChars="235"/>
        <w:jc w:val="left"/>
        <w:outlineLvl w:val="3"/>
        <w:rPr>
          <w:rFonts w:hint="eastAsia" w:ascii="宋体" w:hAnsi="宋体" w:eastAsia="宋体" w:cs="宋体"/>
          <w:b/>
          <w:bCs/>
          <w:color w:val="auto"/>
          <w:highlight w:val="none"/>
        </w:rPr>
      </w:pPr>
    </w:p>
    <w:p>
      <w:pPr>
        <w:snapToGrid w:val="0"/>
        <w:spacing w:line="420" w:lineRule="exact"/>
        <w:ind w:firstLine="566" w:firstLineChars="235"/>
        <w:jc w:val="center"/>
        <w:outlineLvl w:val="3"/>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磋商响应报价表</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首次</w:t>
      </w:r>
      <w:r>
        <w:rPr>
          <w:rFonts w:hint="eastAsia" w:ascii="宋体" w:hAnsi="宋体" w:eastAsia="宋体" w:cs="宋体"/>
          <w:b/>
          <w:bCs/>
          <w:color w:val="auto"/>
          <w:highlight w:val="none"/>
          <w:lang w:eastAsia="zh-CN"/>
        </w:rPr>
        <w:t>）</w:t>
      </w:r>
    </w:p>
    <w:p>
      <w:pPr>
        <w:widowControl/>
        <w:spacing w:before="100" w:beforeAutospacing="1" w:after="100" w:afterAutospacing="1"/>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响应供应商全称（盖公章）：</w:t>
      </w:r>
    </w:p>
    <w:p>
      <w:pPr>
        <w:widowControl/>
        <w:spacing w:before="100" w:beforeAutospacing="1" w:after="100" w:afterAutospacing="1"/>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879"/>
        <w:gridCol w:w="2318"/>
        <w:gridCol w:w="1442"/>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序号</w:t>
            </w:r>
          </w:p>
        </w:tc>
        <w:tc>
          <w:tcPr>
            <w:tcW w:w="1879"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项目名称</w:t>
            </w:r>
          </w:p>
        </w:tc>
        <w:tc>
          <w:tcPr>
            <w:tcW w:w="2318"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主体规格</w:t>
            </w:r>
          </w:p>
        </w:tc>
        <w:tc>
          <w:tcPr>
            <w:tcW w:w="1442"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数量</w:t>
            </w:r>
          </w:p>
        </w:tc>
        <w:tc>
          <w:tcPr>
            <w:tcW w:w="1880"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879"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1</w:t>
            </w:r>
          </w:p>
        </w:tc>
        <w:tc>
          <w:tcPr>
            <w:tcW w:w="1879"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rPr>
            </w:pPr>
            <w:r>
              <w:rPr>
                <w:rFonts w:hint="eastAsia" w:ascii="宋体" w:hAnsi="宋体" w:eastAsia="宋体" w:cs="宋体"/>
                <w:b/>
                <w:color w:val="auto"/>
                <w:sz w:val="21"/>
                <w:szCs w:val="21"/>
                <w:highlight w:val="none"/>
                <w:vertAlign w:val="baseline"/>
                <w:lang w:eastAsia="zh-CN"/>
              </w:rPr>
              <w:t>城港路56号配电间低压改造项目</w:t>
            </w:r>
          </w:p>
        </w:tc>
        <w:tc>
          <w:tcPr>
            <w:tcW w:w="2318"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定制设备</w:t>
            </w:r>
          </w:p>
        </w:tc>
        <w:tc>
          <w:tcPr>
            <w:tcW w:w="1442"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1项</w:t>
            </w:r>
          </w:p>
        </w:tc>
        <w:tc>
          <w:tcPr>
            <w:tcW w:w="1880" w:type="dxa"/>
            <w:vMerge w:val="restart"/>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大写：</w:t>
            </w:r>
          </w:p>
          <w:p>
            <w:pPr>
              <w:numPr>
                <w:ilvl w:val="0"/>
                <w:numId w:val="0"/>
              </w:numPr>
              <w:adjustRightInd w:val="0"/>
              <w:snapToGrid w:val="0"/>
              <w:spacing w:line="480" w:lineRule="exact"/>
              <w:jc w:val="center"/>
              <w:outlineLvl w:val="1"/>
              <w:rPr>
                <w:rFonts w:hint="eastAsia" w:ascii="宋体" w:hAnsi="宋体" w:eastAsia="宋体" w:cs="宋体"/>
                <w:color w:val="auto"/>
                <w:highlight w:val="none"/>
                <w:lang w:val="en-US" w:eastAsia="zh-CN"/>
              </w:rPr>
            </w:pPr>
            <w:r>
              <w:rPr>
                <w:rFonts w:hint="eastAsia" w:ascii="宋体" w:hAnsi="宋体" w:eastAsia="宋体" w:cs="宋体"/>
                <w:b/>
                <w:color w:val="auto"/>
                <w:sz w:val="21"/>
                <w:szCs w:val="21"/>
                <w:highlight w:val="none"/>
                <w:vertAlign w:val="baseli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879"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2</w:t>
            </w:r>
          </w:p>
        </w:tc>
        <w:tc>
          <w:tcPr>
            <w:tcW w:w="1879"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空调</w:t>
            </w:r>
          </w:p>
        </w:tc>
        <w:tc>
          <w:tcPr>
            <w:tcW w:w="2318"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立式，3P</w:t>
            </w:r>
          </w:p>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default" w:ascii="宋体" w:hAnsi="宋体" w:eastAsia="宋体" w:cs="宋体"/>
                <w:b/>
                <w:color w:val="auto"/>
                <w:sz w:val="21"/>
                <w:szCs w:val="21"/>
                <w:highlight w:val="none"/>
                <w:vertAlign w:val="baseline"/>
                <w:lang w:val="en-US" w:eastAsia="zh-CN"/>
              </w:rPr>
              <w:t>制冷量(W)：7300；制冷功率(W)：2370；制热量(W)：8000；制热功率(W)：2480；电辅加热功率(W)：2500</w:t>
            </w:r>
          </w:p>
        </w:tc>
        <w:tc>
          <w:tcPr>
            <w:tcW w:w="1442"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1台</w:t>
            </w:r>
          </w:p>
        </w:tc>
        <w:tc>
          <w:tcPr>
            <w:tcW w:w="1880" w:type="dxa"/>
            <w:vMerge w:val="continue"/>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p>
        </w:tc>
      </w:tr>
    </w:tbl>
    <w:p>
      <w:pPr>
        <w:widowControl/>
        <w:spacing w:before="100" w:beforeAutospacing="1" w:after="100" w:afterAutospacing="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widowControl/>
        <w:spacing w:before="100" w:beforeAutospacing="1" w:after="100" w:afterAutospacing="1"/>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填写说明：报价总表必须加盖响应单位公章（复印件无效）</w:t>
      </w:r>
      <w:r>
        <w:rPr>
          <w:rFonts w:hint="eastAsia" w:ascii="宋体" w:hAnsi="宋体" w:eastAsia="宋体" w:cs="宋体"/>
          <w:color w:val="auto"/>
          <w:sz w:val="28"/>
          <w:szCs w:val="28"/>
          <w:highlight w:val="none"/>
        </w:rPr>
        <w:t>。</w:t>
      </w:r>
    </w:p>
    <w:p>
      <w:pPr>
        <w:kinsoku w:val="0"/>
        <w:topLinePunct/>
        <w:snapToGrid w:val="0"/>
        <w:spacing w:line="52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响应单位：（盖章）</w:t>
      </w:r>
    </w:p>
    <w:p>
      <w:pPr>
        <w:kinsoku w:val="0"/>
        <w:topLinePunct/>
        <w:snapToGrid w:val="0"/>
        <w:spacing w:line="52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法定代表人或被授权人（签字或盖章）：</w:t>
      </w:r>
    </w:p>
    <w:p>
      <w:pPr>
        <w:kinsoku w:val="0"/>
        <w:topLinePunct/>
        <w:snapToGrid w:val="0"/>
        <w:spacing w:line="520" w:lineRule="exact"/>
        <w:jc w:val="right"/>
        <w:rPr>
          <w:rFonts w:hint="eastAsia" w:ascii="宋体" w:hAnsi="宋体" w:eastAsia="宋体" w:cs="宋体"/>
          <w:color w:val="auto"/>
          <w:sz w:val="24"/>
          <w:szCs w:val="24"/>
          <w:highlight w:val="none"/>
        </w:rPr>
        <w:sectPr>
          <w:pgSz w:w="11906" w:h="16838"/>
          <w:pgMar w:top="1418" w:right="851" w:bottom="851" w:left="1418" w:header="851" w:footer="471" w:gutter="0"/>
          <w:cols w:space="425" w:num="1"/>
          <w:docGrid w:type="lines" w:linePitch="312" w:charSpace="0"/>
        </w:sectPr>
      </w:pPr>
      <w:r>
        <w:rPr>
          <w:rFonts w:hint="eastAsia" w:ascii="宋体" w:hAnsi="宋体" w:eastAsia="宋体" w:cs="宋体"/>
          <w:color w:val="auto"/>
          <w:sz w:val="24"/>
          <w:szCs w:val="24"/>
          <w:highlight w:val="none"/>
        </w:rPr>
        <w:t>日期：</w:t>
      </w:r>
    </w:p>
    <w:p>
      <w:pPr>
        <w:snapToGrid w:val="0"/>
        <w:spacing w:line="420" w:lineRule="exact"/>
        <w:ind w:firstLine="566" w:firstLineChars="235"/>
        <w:jc w:val="center"/>
        <w:outlineLvl w:val="3"/>
        <w:rPr>
          <w:rFonts w:hint="eastAsia" w:ascii="宋体" w:hAnsi="宋体" w:eastAsia="宋体" w:cs="宋体"/>
          <w:b/>
          <w:bCs/>
          <w:color w:val="auto"/>
          <w:highlight w:val="none"/>
          <w:lang w:val="en-US" w:eastAsia="zh-CN"/>
        </w:rPr>
        <w:sectPr>
          <w:pgSz w:w="11906" w:h="16838"/>
          <w:pgMar w:top="1418" w:right="851" w:bottom="851" w:left="1418" w:header="851" w:footer="471" w:gutter="0"/>
          <w:cols w:space="425" w:num="1"/>
          <w:docGrid w:type="lines" w:linePitch="312" w:charSpace="0"/>
        </w:sectPr>
      </w:pPr>
      <w:r>
        <w:rPr>
          <w:rFonts w:hint="eastAsia" w:ascii="宋体" w:hAnsi="宋体" w:eastAsia="宋体" w:cs="宋体"/>
          <w:b/>
          <w:bCs/>
          <w:color w:val="auto"/>
          <w:highlight w:val="none"/>
        </w:rPr>
        <w:t>磋商响应报价</w:t>
      </w:r>
      <w:r>
        <w:rPr>
          <w:rFonts w:hint="eastAsia" w:ascii="宋体" w:hAnsi="宋体" w:eastAsia="宋体" w:cs="宋体"/>
          <w:b/>
          <w:bCs/>
          <w:color w:val="auto"/>
          <w:highlight w:val="none"/>
          <w:lang w:val="en-US" w:eastAsia="zh-CN"/>
        </w:rPr>
        <w:t>明细表（格式自拟）</w:t>
      </w:r>
    </w:p>
    <w:p>
      <w:pPr>
        <w:snapToGrid w:val="0"/>
        <w:spacing w:line="420" w:lineRule="exact"/>
        <w:ind w:firstLine="566" w:firstLineChars="235"/>
        <w:jc w:val="center"/>
        <w:outlineLvl w:val="3"/>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磋商响应报价表</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最终</w:t>
      </w:r>
      <w:r>
        <w:rPr>
          <w:rFonts w:hint="eastAsia" w:ascii="宋体" w:hAnsi="宋体" w:eastAsia="宋体" w:cs="宋体"/>
          <w:b/>
          <w:bCs/>
          <w:color w:val="auto"/>
          <w:highlight w:val="none"/>
          <w:lang w:eastAsia="zh-CN"/>
        </w:rPr>
        <w:t>）</w:t>
      </w:r>
    </w:p>
    <w:p>
      <w:pPr>
        <w:widowControl/>
        <w:spacing w:before="100" w:beforeAutospacing="1" w:after="100" w:afterAutospacing="1"/>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响应供应商全称（盖公章）：</w:t>
      </w:r>
    </w:p>
    <w:p>
      <w:pPr>
        <w:widowControl/>
        <w:spacing w:before="100" w:beforeAutospacing="1" w:after="100" w:afterAutospacing="1"/>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879"/>
        <w:gridCol w:w="2318"/>
        <w:gridCol w:w="1442"/>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序号</w:t>
            </w:r>
          </w:p>
        </w:tc>
        <w:tc>
          <w:tcPr>
            <w:tcW w:w="1879"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项目名称</w:t>
            </w:r>
          </w:p>
        </w:tc>
        <w:tc>
          <w:tcPr>
            <w:tcW w:w="2318"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主体规格</w:t>
            </w:r>
          </w:p>
        </w:tc>
        <w:tc>
          <w:tcPr>
            <w:tcW w:w="1442"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数量</w:t>
            </w:r>
          </w:p>
        </w:tc>
        <w:tc>
          <w:tcPr>
            <w:tcW w:w="1880"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879"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1</w:t>
            </w:r>
          </w:p>
        </w:tc>
        <w:tc>
          <w:tcPr>
            <w:tcW w:w="1879"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rPr>
            </w:pPr>
            <w:r>
              <w:rPr>
                <w:rFonts w:hint="eastAsia" w:ascii="宋体" w:hAnsi="宋体" w:eastAsia="宋体" w:cs="宋体"/>
                <w:b/>
                <w:color w:val="auto"/>
                <w:sz w:val="21"/>
                <w:szCs w:val="21"/>
                <w:highlight w:val="none"/>
                <w:vertAlign w:val="baseline"/>
                <w:lang w:eastAsia="zh-CN"/>
              </w:rPr>
              <w:t>城港路56号配电间低压改造项目</w:t>
            </w:r>
          </w:p>
        </w:tc>
        <w:tc>
          <w:tcPr>
            <w:tcW w:w="2318"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定制设备</w:t>
            </w:r>
          </w:p>
        </w:tc>
        <w:tc>
          <w:tcPr>
            <w:tcW w:w="1442"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1项</w:t>
            </w:r>
          </w:p>
        </w:tc>
        <w:tc>
          <w:tcPr>
            <w:tcW w:w="1880" w:type="dxa"/>
            <w:vMerge w:val="restart"/>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大写：</w:t>
            </w:r>
          </w:p>
          <w:p>
            <w:pPr>
              <w:numPr>
                <w:ilvl w:val="0"/>
                <w:numId w:val="0"/>
              </w:numPr>
              <w:adjustRightInd w:val="0"/>
              <w:snapToGrid w:val="0"/>
              <w:spacing w:line="480" w:lineRule="exact"/>
              <w:jc w:val="center"/>
              <w:outlineLvl w:val="1"/>
              <w:rPr>
                <w:rFonts w:hint="eastAsia" w:ascii="宋体" w:hAnsi="宋体" w:eastAsia="宋体" w:cs="宋体"/>
                <w:color w:val="auto"/>
                <w:highlight w:val="none"/>
                <w:lang w:val="en-US" w:eastAsia="zh-CN"/>
              </w:rPr>
            </w:pPr>
            <w:r>
              <w:rPr>
                <w:rFonts w:hint="eastAsia" w:ascii="宋体" w:hAnsi="宋体" w:eastAsia="宋体" w:cs="宋体"/>
                <w:b/>
                <w:color w:val="auto"/>
                <w:sz w:val="21"/>
                <w:szCs w:val="21"/>
                <w:highlight w:val="none"/>
                <w:vertAlign w:val="baseli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879"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2</w:t>
            </w:r>
          </w:p>
        </w:tc>
        <w:tc>
          <w:tcPr>
            <w:tcW w:w="1879"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空调</w:t>
            </w:r>
          </w:p>
        </w:tc>
        <w:tc>
          <w:tcPr>
            <w:tcW w:w="2318"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立式，3P</w:t>
            </w:r>
          </w:p>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default" w:ascii="宋体" w:hAnsi="宋体" w:eastAsia="宋体" w:cs="宋体"/>
                <w:b/>
                <w:color w:val="auto"/>
                <w:sz w:val="21"/>
                <w:szCs w:val="21"/>
                <w:highlight w:val="none"/>
                <w:vertAlign w:val="baseline"/>
                <w:lang w:val="en-US" w:eastAsia="zh-CN"/>
              </w:rPr>
              <w:t>制冷量(W)：7300；制冷功率(W)：2370；制热量(W)：8000；制热功率(W)：2480；电辅加热功率(W)：2500</w:t>
            </w:r>
          </w:p>
        </w:tc>
        <w:tc>
          <w:tcPr>
            <w:tcW w:w="1442" w:type="dxa"/>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1台</w:t>
            </w:r>
          </w:p>
        </w:tc>
        <w:tc>
          <w:tcPr>
            <w:tcW w:w="1880" w:type="dxa"/>
            <w:vMerge w:val="continue"/>
            <w:noWrap w:val="0"/>
            <w:vAlign w:val="center"/>
          </w:tcPr>
          <w:p>
            <w:pPr>
              <w:numPr>
                <w:ilvl w:val="0"/>
                <w:numId w:val="0"/>
              </w:numPr>
              <w:adjustRightInd w:val="0"/>
              <w:snapToGrid w:val="0"/>
              <w:spacing w:line="480" w:lineRule="exact"/>
              <w:jc w:val="center"/>
              <w:outlineLvl w:val="1"/>
              <w:rPr>
                <w:rFonts w:hint="eastAsia" w:ascii="宋体" w:hAnsi="宋体" w:eastAsia="宋体" w:cs="宋体"/>
                <w:b/>
                <w:color w:val="auto"/>
                <w:sz w:val="21"/>
                <w:szCs w:val="21"/>
                <w:highlight w:val="none"/>
                <w:vertAlign w:val="baseline"/>
                <w:lang w:val="en-US" w:eastAsia="zh-CN"/>
              </w:rPr>
            </w:pPr>
          </w:p>
        </w:tc>
      </w:tr>
    </w:tbl>
    <w:p>
      <w:pPr>
        <w:widowControl/>
        <w:spacing w:before="100" w:beforeAutospacing="1" w:after="100" w:afterAutospacing="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widowControl/>
        <w:spacing w:before="100" w:beforeAutospacing="1" w:after="100" w:afterAutospacing="1"/>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填写说明：报价总表必须加盖响应单位公章（复印件无效）</w:t>
      </w:r>
      <w:r>
        <w:rPr>
          <w:rFonts w:hint="eastAsia" w:ascii="宋体" w:hAnsi="宋体" w:eastAsia="宋体" w:cs="宋体"/>
          <w:color w:val="auto"/>
          <w:sz w:val="28"/>
          <w:szCs w:val="28"/>
          <w:highlight w:val="none"/>
        </w:rPr>
        <w:t>。</w:t>
      </w:r>
    </w:p>
    <w:p>
      <w:pPr>
        <w:kinsoku w:val="0"/>
        <w:topLinePunct/>
        <w:snapToGrid w:val="0"/>
        <w:spacing w:line="52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响应单位：（盖章）</w:t>
      </w:r>
    </w:p>
    <w:p>
      <w:pPr>
        <w:kinsoku w:val="0"/>
        <w:topLinePunct/>
        <w:snapToGrid w:val="0"/>
        <w:spacing w:line="52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法定代表人或被授权人（签字或盖章）：</w:t>
      </w:r>
    </w:p>
    <w:p>
      <w:pPr>
        <w:kinsoku w:val="0"/>
        <w:topLinePunct/>
        <w:snapToGrid w:val="0"/>
        <w:spacing w:line="52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pStyle w:val="2"/>
        <w:rPr>
          <w:rFonts w:hint="eastAsia"/>
          <w:color w:val="auto"/>
          <w:highlight w:val="none"/>
        </w:rPr>
      </w:pPr>
    </w:p>
    <w:p>
      <w:pPr>
        <w:pStyle w:val="2"/>
        <w:rPr>
          <w:rFonts w:hint="default" w:ascii="宋体" w:hAnsi="宋体" w:eastAsia="宋体" w:cs="宋体"/>
          <w:b/>
          <w:bCs/>
          <w:color w:val="auto"/>
          <w:kern w:val="2"/>
          <w:sz w:val="24"/>
          <w:szCs w:val="24"/>
          <w:highlight w:val="none"/>
          <w:u w:val="single"/>
          <w:lang w:val="en-US" w:eastAsia="zh-CN" w:bidi="ar-SA"/>
        </w:rPr>
      </w:pPr>
      <w:r>
        <w:rPr>
          <w:rFonts w:hint="eastAsia" w:ascii="宋体" w:hAnsi="宋体" w:eastAsia="宋体" w:cs="宋体"/>
          <w:b/>
          <w:bCs/>
          <w:color w:val="auto"/>
          <w:kern w:val="2"/>
          <w:sz w:val="24"/>
          <w:szCs w:val="24"/>
          <w:highlight w:val="none"/>
          <w:u w:val="single"/>
          <w:lang w:val="en-US" w:eastAsia="zh-CN" w:bidi="ar-SA"/>
        </w:rPr>
        <w:t>本表不需要装订在密封袋里，加盖公章之后携带至开标现场。</w:t>
      </w:r>
    </w:p>
    <w:p>
      <w:pPr>
        <w:snapToGrid w:val="0"/>
        <w:spacing w:line="420" w:lineRule="exact"/>
        <w:rPr>
          <w:rFonts w:hint="eastAsia" w:ascii="宋体" w:hAnsi="宋体" w:eastAsia="宋体" w:cs="宋体"/>
          <w:b/>
          <w:bCs/>
          <w:color w:val="auto"/>
          <w:highlight w:val="none"/>
        </w:rPr>
      </w:pPr>
    </w:p>
    <w:p>
      <w:pPr>
        <w:snapToGrid w:val="0"/>
        <w:spacing w:line="420" w:lineRule="exact"/>
        <w:rPr>
          <w:rFonts w:hint="eastAsia" w:ascii="宋体" w:hAnsi="宋体" w:eastAsia="宋体" w:cs="宋体"/>
          <w:color w:val="auto"/>
          <w:highlight w:val="none"/>
        </w:rPr>
        <w:sectPr>
          <w:pgSz w:w="11906" w:h="16838"/>
          <w:pgMar w:top="1418" w:right="851" w:bottom="851" w:left="1418" w:header="851" w:footer="471" w:gutter="0"/>
          <w:cols w:space="425" w:num="1"/>
          <w:docGrid w:type="lines" w:linePitch="312" w:charSpace="0"/>
        </w:sectPr>
      </w:pPr>
    </w:p>
    <w:p>
      <w:pPr>
        <w:widowControl/>
        <w:spacing w:before="100" w:beforeAutospacing="1" w:after="100" w:afterAutospacing="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中小企业声明函（服务）</w:t>
      </w:r>
    </w:p>
    <w:p>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50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adjustRightInd w:val="0"/>
        <w:snapToGrid w:val="0"/>
        <w:spacing w:line="50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pPr>
        <w:spacing w:line="312" w:lineRule="auto"/>
        <w:ind w:firstLine="5040" w:firstLineChars="2100"/>
        <w:rPr>
          <w:rFonts w:hint="eastAsia" w:ascii="宋体" w:hAnsi="宋体" w:eastAsia="宋体" w:cs="宋体"/>
          <w:color w:val="auto"/>
          <w:sz w:val="24"/>
          <w:szCs w:val="24"/>
          <w:highlight w:val="none"/>
          <w:u w:val="single"/>
        </w:rPr>
      </w:pPr>
    </w:p>
    <w:p>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响应供应商为中小企业，请在系统中上传此声明函，企业标准请参照《关于印发中小企业划型标准规定的通知》（工信部联企业[2011]300号）文件规定自行填写，供应商如不提供此声明函，价格将不做相应扣除。</w:t>
      </w:r>
    </w:p>
    <w:p>
      <w:pPr>
        <w:widowControl/>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、残疾人福利性单位声明函（如有）</w:t>
      </w:r>
    </w:p>
    <w:p>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本单位郑重声明，根据《财政部民政部中国残疾人联合会关于促进残疾人就业政府采购政策的通知》（财库〔2017〕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本单位在本次政府采购活动中提供的残疾人福利单位产品报价合计为人民币（大写）圆整（￥：）。</w:t>
      </w:r>
    </w:p>
    <w:p>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p>
    <w:p>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（备注：1、供应商如不提供此声明函，价格将不做相应扣除。2、中标供应商为残疾人福利单位的，此声明函将随中标结果同时公告，接受社会监督）</w:t>
      </w:r>
    </w:p>
    <w:p>
      <w:pPr>
        <w:spacing w:line="360" w:lineRule="auto"/>
        <w:ind w:firstLine="504" w:firstLineChars="200"/>
        <w:rPr>
          <w:rFonts w:hint="eastAsia" w:ascii="宋体" w:hAnsi="宋体" w:eastAsia="宋体" w:cs="宋体"/>
          <w:color w:val="auto"/>
          <w:spacing w:val="6"/>
          <w:sz w:val="24"/>
          <w:szCs w:val="24"/>
          <w:highlight w:val="none"/>
        </w:rPr>
      </w:pPr>
    </w:p>
    <w:p>
      <w:pPr>
        <w:pStyle w:val="54"/>
        <w:widowControl/>
        <w:spacing w:line="360" w:lineRule="auto"/>
        <w:ind w:firstLine="48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tabs>
          <w:tab w:val="left" w:pos="4860"/>
          <w:tab w:val="left" w:pos="8647"/>
        </w:tabs>
        <w:spacing w:line="360" w:lineRule="auto"/>
        <w:ind w:right="-199" w:firstLine="4560" w:firstLineChars="19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企业名称（盖章）：</w:t>
      </w:r>
    </w:p>
    <w:p>
      <w:pPr>
        <w:tabs>
          <w:tab w:val="left" w:pos="4860"/>
        </w:tabs>
        <w:spacing w:line="360" w:lineRule="auto"/>
        <w:ind w:right="-57"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pPr>
        <w:adjustRightInd w:val="0"/>
        <w:spacing w:before="120" w:after="120" w:line="360" w:lineRule="auto"/>
        <w:ind w:right="120"/>
        <w:textAlignment w:val="baseline"/>
        <w:rPr>
          <w:rFonts w:hint="eastAsia" w:ascii="宋体" w:hAnsi="宋体" w:eastAsia="宋体" w:cs="宋体"/>
          <w:bCs/>
          <w:color w:val="auto"/>
          <w:sz w:val="24"/>
          <w:szCs w:val="24"/>
          <w:highlight w:val="none"/>
        </w:rPr>
      </w:pPr>
    </w:p>
    <w:p>
      <w:pPr>
        <w:spacing w:line="312" w:lineRule="auto"/>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、监狱和戒毒企业证明材料</w:t>
      </w:r>
    </w:p>
    <w:p>
      <w:pPr>
        <w:adjustRightInd w:val="0"/>
        <w:snapToGrid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（格式自拟）</w:t>
      </w:r>
    </w:p>
    <w:p>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snapToGrid w:val="0"/>
        <w:spacing w:line="300" w:lineRule="auto"/>
        <w:outlineLvl w:val="0"/>
        <w:rPr>
          <w:rFonts w:hint="eastAsia" w:ascii="宋体" w:hAnsi="宋体" w:cs="宋体"/>
          <w:color w:val="auto"/>
          <w:sz w:val="24"/>
          <w:szCs w:val="24"/>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p>
      <w:pPr>
        <w:spacing w:line="420" w:lineRule="exact"/>
        <w:ind w:firstLine="484" w:firstLineChars="202"/>
        <w:rPr>
          <w:rFonts w:hint="eastAsia" w:ascii="宋体" w:hAnsi="宋体" w:eastAsia="宋体" w:cs="宋体"/>
          <w:color w:val="auto"/>
          <w:highlight w:val="none"/>
        </w:rPr>
      </w:pPr>
    </w:p>
    <w:sectPr>
      <w:pgSz w:w="11906" w:h="16838"/>
      <w:pgMar w:top="1418" w:right="851" w:bottom="851" w:left="1418" w:header="851" w:footer="4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enl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86"/>
    <w:family w:val="auto"/>
    <w:pitch w:val="default"/>
    <w:sig w:usb0="00000000" w:usb1="0000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仿宋">
    <w:altName w:val="仿宋"/>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Century">
    <w:altName w:val="Times New Roman"/>
    <w:panose1 w:val="02040604050505020304"/>
    <w:charset w:val="00"/>
    <w:family w:val="roman"/>
    <w:pitch w:val="default"/>
    <w:sig w:usb0="00000000" w:usb1="00000000" w:usb2="00000000" w:usb3="00000000" w:csb0="0000009F" w:csb1="00000000"/>
  </w:font>
  <w:font w:name=".a..DD..">
    <w:altName w:val="宋体"/>
    <w:panose1 w:val="00000000000000000000"/>
    <w:charset w:val="86"/>
    <w:family w:val="swiss"/>
    <w:pitch w:val="default"/>
    <w:sig w:usb0="00000000" w:usb1="00000000" w:usb2="00000010" w:usb3="00000000" w:csb0="00040000" w:csb1="00000000"/>
  </w:font>
  <w:font w:name="金山简黑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B67BD"/>
    <w:multiLevelType w:val="singleLevel"/>
    <w:tmpl w:val="D73B67BD"/>
    <w:lvl w:ilvl="0" w:tentative="0">
      <w:start w:val="3"/>
      <w:numFmt w:val="chineseCounting"/>
      <w:suff w:val="space"/>
      <w:lvlText w:val="第%1章"/>
      <w:lvlJc w:val="left"/>
      <w:rPr>
        <w:rFonts w:hint="eastAsia"/>
      </w:rPr>
    </w:lvl>
  </w:abstractNum>
  <w:abstractNum w:abstractNumId="1">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9D44D5"/>
    <w:rsid w:val="0000390E"/>
    <w:rsid w:val="00004DE1"/>
    <w:rsid w:val="0001186B"/>
    <w:rsid w:val="00011E1A"/>
    <w:rsid w:val="00016C09"/>
    <w:rsid w:val="00017BB1"/>
    <w:rsid w:val="00021F0C"/>
    <w:rsid w:val="000271FC"/>
    <w:rsid w:val="00030885"/>
    <w:rsid w:val="00032E7C"/>
    <w:rsid w:val="0003386E"/>
    <w:rsid w:val="00040C96"/>
    <w:rsid w:val="0004273D"/>
    <w:rsid w:val="00042766"/>
    <w:rsid w:val="00043305"/>
    <w:rsid w:val="000506CC"/>
    <w:rsid w:val="000514DA"/>
    <w:rsid w:val="0005580C"/>
    <w:rsid w:val="00061CBC"/>
    <w:rsid w:val="00062C77"/>
    <w:rsid w:val="00063F18"/>
    <w:rsid w:val="0006407D"/>
    <w:rsid w:val="000643A7"/>
    <w:rsid w:val="00065545"/>
    <w:rsid w:val="0007029A"/>
    <w:rsid w:val="0007194F"/>
    <w:rsid w:val="000724A1"/>
    <w:rsid w:val="00074B21"/>
    <w:rsid w:val="0007600E"/>
    <w:rsid w:val="00080B9C"/>
    <w:rsid w:val="000811BC"/>
    <w:rsid w:val="00084570"/>
    <w:rsid w:val="00087990"/>
    <w:rsid w:val="00090B86"/>
    <w:rsid w:val="000911E8"/>
    <w:rsid w:val="00094448"/>
    <w:rsid w:val="000945C5"/>
    <w:rsid w:val="0009636F"/>
    <w:rsid w:val="000A0F66"/>
    <w:rsid w:val="000A3F8A"/>
    <w:rsid w:val="000A3FDA"/>
    <w:rsid w:val="000A773D"/>
    <w:rsid w:val="000B0415"/>
    <w:rsid w:val="000B042F"/>
    <w:rsid w:val="000B0A14"/>
    <w:rsid w:val="000B435D"/>
    <w:rsid w:val="000B698A"/>
    <w:rsid w:val="000C1DDB"/>
    <w:rsid w:val="000C37E9"/>
    <w:rsid w:val="000C59ED"/>
    <w:rsid w:val="000D0078"/>
    <w:rsid w:val="000D5F53"/>
    <w:rsid w:val="000E0837"/>
    <w:rsid w:val="000E187E"/>
    <w:rsid w:val="000E6641"/>
    <w:rsid w:val="000F3308"/>
    <w:rsid w:val="000F6054"/>
    <w:rsid w:val="000F6A4B"/>
    <w:rsid w:val="001000E2"/>
    <w:rsid w:val="00101793"/>
    <w:rsid w:val="00101CCE"/>
    <w:rsid w:val="001025F5"/>
    <w:rsid w:val="0010472B"/>
    <w:rsid w:val="00105A41"/>
    <w:rsid w:val="00105AE0"/>
    <w:rsid w:val="00111C52"/>
    <w:rsid w:val="001133DF"/>
    <w:rsid w:val="00113BDA"/>
    <w:rsid w:val="00114A9F"/>
    <w:rsid w:val="0012396A"/>
    <w:rsid w:val="00124109"/>
    <w:rsid w:val="00127CCE"/>
    <w:rsid w:val="0013484D"/>
    <w:rsid w:val="001436C2"/>
    <w:rsid w:val="00146BEF"/>
    <w:rsid w:val="001513E1"/>
    <w:rsid w:val="0015197E"/>
    <w:rsid w:val="00160282"/>
    <w:rsid w:val="00163EB2"/>
    <w:rsid w:val="001648EF"/>
    <w:rsid w:val="00165806"/>
    <w:rsid w:val="001669E9"/>
    <w:rsid w:val="00167DC7"/>
    <w:rsid w:val="00173EE8"/>
    <w:rsid w:val="00173FDE"/>
    <w:rsid w:val="00176DA5"/>
    <w:rsid w:val="00180151"/>
    <w:rsid w:val="001806D6"/>
    <w:rsid w:val="0018462C"/>
    <w:rsid w:val="001858CA"/>
    <w:rsid w:val="0019231E"/>
    <w:rsid w:val="001943C3"/>
    <w:rsid w:val="001A0CC4"/>
    <w:rsid w:val="001A3434"/>
    <w:rsid w:val="001A566F"/>
    <w:rsid w:val="001A6972"/>
    <w:rsid w:val="001A6E23"/>
    <w:rsid w:val="001B0519"/>
    <w:rsid w:val="001B26D6"/>
    <w:rsid w:val="001B5871"/>
    <w:rsid w:val="001C1D64"/>
    <w:rsid w:val="001C27FC"/>
    <w:rsid w:val="001C3128"/>
    <w:rsid w:val="001C5D2A"/>
    <w:rsid w:val="001C62A6"/>
    <w:rsid w:val="001D2CC0"/>
    <w:rsid w:val="001D38ED"/>
    <w:rsid w:val="001D40A6"/>
    <w:rsid w:val="001D6EF7"/>
    <w:rsid w:val="001D71AC"/>
    <w:rsid w:val="001E2BCF"/>
    <w:rsid w:val="001E39DF"/>
    <w:rsid w:val="001E41F4"/>
    <w:rsid w:val="001E5613"/>
    <w:rsid w:val="001E6476"/>
    <w:rsid w:val="001F35C2"/>
    <w:rsid w:val="001F6D45"/>
    <w:rsid w:val="00202AB9"/>
    <w:rsid w:val="002110EE"/>
    <w:rsid w:val="00211343"/>
    <w:rsid w:val="00212009"/>
    <w:rsid w:val="00212E84"/>
    <w:rsid w:val="002153F5"/>
    <w:rsid w:val="00215DF9"/>
    <w:rsid w:val="00225278"/>
    <w:rsid w:val="00233277"/>
    <w:rsid w:val="00233F6F"/>
    <w:rsid w:val="0023471B"/>
    <w:rsid w:val="00235F54"/>
    <w:rsid w:val="00235F64"/>
    <w:rsid w:val="002374CD"/>
    <w:rsid w:val="00237896"/>
    <w:rsid w:val="002407B2"/>
    <w:rsid w:val="002415B6"/>
    <w:rsid w:val="00243AFC"/>
    <w:rsid w:val="00244005"/>
    <w:rsid w:val="00245B04"/>
    <w:rsid w:val="00247EE1"/>
    <w:rsid w:val="00250E74"/>
    <w:rsid w:val="00252133"/>
    <w:rsid w:val="00252A74"/>
    <w:rsid w:val="00257E5F"/>
    <w:rsid w:val="00257F59"/>
    <w:rsid w:val="00262E65"/>
    <w:rsid w:val="00263BF0"/>
    <w:rsid w:val="00265B24"/>
    <w:rsid w:val="0026654D"/>
    <w:rsid w:val="0027547F"/>
    <w:rsid w:val="002768FD"/>
    <w:rsid w:val="0027781C"/>
    <w:rsid w:val="00283DC4"/>
    <w:rsid w:val="00284697"/>
    <w:rsid w:val="0028481C"/>
    <w:rsid w:val="00291B8C"/>
    <w:rsid w:val="00292987"/>
    <w:rsid w:val="00295150"/>
    <w:rsid w:val="00295DFC"/>
    <w:rsid w:val="00296D63"/>
    <w:rsid w:val="002A1E9F"/>
    <w:rsid w:val="002A2525"/>
    <w:rsid w:val="002A2F14"/>
    <w:rsid w:val="002A4543"/>
    <w:rsid w:val="002B2293"/>
    <w:rsid w:val="002C0D6E"/>
    <w:rsid w:val="002C18F6"/>
    <w:rsid w:val="002C1922"/>
    <w:rsid w:val="002C2294"/>
    <w:rsid w:val="002C48E6"/>
    <w:rsid w:val="002C6CC6"/>
    <w:rsid w:val="002D4B71"/>
    <w:rsid w:val="002D57EE"/>
    <w:rsid w:val="002E04EB"/>
    <w:rsid w:val="002E1F84"/>
    <w:rsid w:val="002E39AA"/>
    <w:rsid w:val="002E7222"/>
    <w:rsid w:val="002F1EDA"/>
    <w:rsid w:val="002F20E7"/>
    <w:rsid w:val="002F4E74"/>
    <w:rsid w:val="002F6A46"/>
    <w:rsid w:val="002F7806"/>
    <w:rsid w:val="002F7885"/>
    <w:rsid w:val="00301375"/>
    <w:rsid w:val="0030217D"/>
    <w:rsid w:val="003021B2"/>
    <w:rsid w:val="00304C17"/>
    <w:rsid w:val="003058EA"/>
    <w:rsid w:val="00305C8F"/>
    <w:rsid w:val="003104F0"/>
    <w:rsid w:val="003104FC"/>
    <w:rsid w:val="00310DCF"/>
    <w:rsid w:val="00311516"/>
    <w:rsid w:val="003127EF"/>
    <w:rsid w:val="00312DA5"/>
    <w:rsid w:val="00316B18"/>
    <w:rsid w:val="003206AD"/>
    <w:rsid w:val="003207EA"/>
    <w:rsid w:val="00321986"/>
    <w:rsid w:val="00322A84"/>
    <w:rsid w:val="00327566"/>
    <w:rsid w:val="0032793B"/>
    <w:rsid w:val="0032794E"/>
    <w:rsid w:val="00327B45"/>
    <w:rsid w:val="0033035C"/>
    <w:rsid w:val="00330B61"/>
    <w:rsid w:val="00331208"/>
    <w:rsid w:val="00332E73"/>
    <w:rsid w:val="00334732"/>
    <w:rsid w:val="00337AA6"/>
    <w:rsid w:val="00345FC5"/>
    <w:rsid w:val="00350AA1"/>
    <w:rsid w:val="00352097"/>
    <w:rsid w:val="003574B5"/>
    <w:rsid w:val="0036340A"/>
    <w:rsid w:val="0036369A"/>
    <w:rsid w:val="003637D8"/>
    <w:rsid w:val="00365B2A"/>
    <w:rsid w:val="00366228"/>
    <w:rsid w:val="00367CFF"/>
    <w:rsid w:val="003702EF"/>
    <w:rsid w:val="00372514"/>
    <w:rsid w:val="00372718"/>
    <w:rsid w:val="0037346F"/>
    <w:rsid w:val="00373FEB"/>
    <w:rsid w:val="0037706E"/>
    <w:rsid w:val="00381179"/>
    <w:rsid w:val="00382B45"/>
    <w:rsid w:val="003864FD"/>
    <w:rsid w:val="00393901"/>
    <w:rsid w:val="00396AC3"/>
    <w:rsid w:val="00396E42"/>
    <w:rsid w:val="003A1712"/>
    <w:rsid w:val="003A6B28"/>
    <w:rsid w:val="003B030A"/>
    <w:rsid w:val="003B2927"/>
    <w:rsid w:val="003B2D16"/>
    <w:rsid w:val="003B5CD3"/>
    <w:rsid w:val="003C12F7"/>
    <w:rsid w:val="003C6222"/>
    <w:rsid w:val="003D0B6F"/>
    <w:rsid w:val="003D1483"/>
    <w:rsid w:val="003D3A4F"/>
    <w:rsid w:val="003D5752"/>
    <w:rsid w:val="003D70C7"/>
    <w:rsid w:val="003E10DD"/>
    <w:rsid w:val="003E1B6E"/>
    <w:rsid w:val="003E432B"/>
    <w:rsid w:val="003E45A3"/>
    <w:rsid w:val="003E55BD"/>
    <w:rsid w:val="003F2556"/>
    <w:rsid w:val="003F5C85"/>
    <w:rsid w:val="00401C0B"/>
    <w:rsid w:val="00401F0D"/>
    <w:rsid w:val="0040271C"/>
    <w:rsid w:val="0040682B"/>
    <w:rsid w:val="00410920"/>
    <w:rsid w:val="00411D14"/>
    <w:rsid w:val="004127BF"/>
    <w:rsid w:val="0041448E"/>
    <w:rsid w:val="0041483E"/>
    <w:rsid w:val="004163C8"/>
    <w:rsid w:val="00416424"/>
    <w:rsid w:val="004173B2"/>
    <w:rsid w:val="00417FBF"/>
    <w:rsid w:val="00421CCB"/>
    <w:rsid w:val="004245E0"/>
    <w:rsid w:val="0042499A"/>
    <w:rsid w:val="00424BAA"/>
    <w:rsid w:val="00427DEE"/>
    <w:rsid w:val="00431F50"/>
    <w:rsid w:val="00433AC1"/>
    <w:rsid w:val="0043479F"/>
    <w:rsid w:val="00435D1A"/>
    <w:rsid w:val="004431A7"/>
    <w:rsid w:val="004431BF"/>
    <w:rsid w:val="00443C6C"/>
    <w:rsid w:val="00444232"/>
    <w:rsid w:val="004506D4"/>
    <w:rsid w:val="00461BE1"/>
    <w:rsid w:val="00465B88"/>
    <w:rsid w:val="004714BA"/>
    <w:rsid w:val="00471A5E"/>
    <w:rsid w:val="00475D98"/>
    <w:rsid w:val="0047735D"/>
    <w:rsid w:val="0048577C"/>
    <w:rsid w:val="00490973"/>
    <w:rsid w:val="00491FAF"/>
    <w:rsid w:val="00492CAB"/>
    <w:rsid w:val="00495D0B"/>
    <w:rsid w:val="00496250"/>
    <w:rsid w:val="0049740A"/>
    <w:rsid w:val="004A0A48"/>
    <w:rsid w:val="004A1632"/>
    <w:rsid w:val="004A59BC"/>
    <w:rsid w:val="004A6B16"/>
    <w:rsid w:val="004B0F63"/>
    <w:rsid w:val="004B42B8"/>
    <w:rsid w:val="004B59D6"/>
    <w:rsid w:val="004C4BF5"/>
    <w:rsid w:val="004C4D78"/>
    <w:rsid w:val="004C58BA"/>
    <w:rsid w:val="004D0024"/>
    <w:rsid w:val="004D4106"/>
    <w:rsid w:val="004D43E5"/>
    <w:rsid w:val="004D6190"/>
    <w:rsid w:val="004D6B64"/>
    <w:rsid w:val="004D76C0"/>
    <w:rsid w:val="004E1FD7"/>
    <w:rsid w:val="004E2A06"/>
    <w:rsid w:val="004E2C7F"/>
    <w:rsid w:val="004E394C"/>
    <w:rsid w:val="004E4BE9"/>
    <w:rsid w:val="004E5829"/>
    <w:rsid w:val="004E61CA"/>
    <w:rsid w:val="004F03D2"/>
    <w:rsid w:val="004F1C67"/>
    <w:rsid w:val="004F496C"/>
    <w:rsid w:val="00510719"/>
    <w:rsid w:val="00511923"/>
    <w:rsid w:val="00511E0F"/>
    <w:rsid w:val="00513B28"/>
    <w:rsid w:val="00515E8C"/>
    <w:rsid w:val="00516F16"/>
    <w:rsid w:val="0052061E"/>
    <w:rsid w:val="00521293"/>
    <w:rsid w:val="005228AD"/>
    <w:rsid w:val="005251B2"/>
    <w:rsid w:val="0053242E"/>
    <w:rsid w:val="00533242"/>
    <w:rsid w:val="00533CDE"/>
    <w:rsid w:val="00535A9D"/>
    <w:rsid w:val="00537D92"/>
    <w:rsid w:val="00542811"/>
    <w:rsid w:val="00544071"/>
    <w:rsid w:val="005442AB"/>
    <w:rsid w:val="00544BA4"/>
    <w:rsid w:val="0054633B"/>
    <w:rsid w:val="00546549"/>
    <w:rsid w:val="00547F12"/>
    <w:rsid w:val="00551714"/>
    <w:rsid w:val="0055406D"/>
    <w:rsid w:val="005546C1"/>
    <w:rsid w:val="00556472"/>
    <w:rsid w:val="00562708"/>
    <w:rsid w:val="00563AA6"/>
    <w:rsid w:val="005647AB"/>
    <w:rsid w:val="0057133B"/>
    <w:rsid w:val="005744EC"/>
    <w:rsid w:val="005750FB"/>
    <w:rsid w:val="00584B1D"/>
    <w:rsid w:val="005860AD"/>
    <w:rsid w:val="005917C8"/>
    <w:rsid w:val="0059690D"/>
    <w:rsid w:val="005A06E1"/>
    <w:rsid w:val="005A1C2F"/>
    <w:rsid w:val="005A5BD1"/>
    <w:rsid w:val="005A6094"/>
    <w:rsid w:val="005A6AE9"/>
    <w:rsid w:val="005A6BDE"/>
    <w:rsid w:val="005A7D5C"/>
    <w:rsid w:val="005B0975"/>
    <w:rsid w:val="005B0A4D"/>
    <w:rsid w:val="005B50EC"/>
    <w:rsid w:val="005B782F"/>
    <w:rsid w:val="005C20F1"/>
    <w:rsid w:val="005C25C5"/>
    <w:rsid w:val="005C2C40"/>
    <w:rsid w:val="005C4F42"/>
    <w:rsid w:val="005C5AC1"/>
    <w:rsid w:val="005D0AB7"/>
    <w:rsid w:val="005D148C"/>
    <w:rsid w:val="005D2887"/>
    <w:rsid w:val="005D2FEB"/>
    <w:rsid w:val="005D3F87"/>
    <w:rsid w:val="005D7B95"/>
    <w:rsid w:val="005E00B8"/>
    <w:rsid w:val="005E3832"/>
    <w:rsid w:val="005E5E09"/>
    <w:rsid w:val="005F5468"/>
    <w:rsid w:val="005F5AF6"/>
    <w:rsid w:val="005F743D"/>
    <w:rsid w:val="00600A9E"/>
    <w:rsid w:val="006017B1"/>
    <w:rsid w:val="00603686"/>
    <w:rsid w:val="0060531A"/>
    <w:rsid w:val="00610198"/>
    <w:rsid w:val="00610217"/>
    <w:rsid w:val="006132A1"/>
    <w:rsid w:val="00615C41"/>
    <w:rsid w:val="006166D0"/>
    <w:rsid w:val="006204AB"/>
    <w:rsid w:val="006211DA"/>
    <w:rsid w:val="00630AAF"/>
    <w:rsid w:val="00630F44"/>
    <w:rsid w:val="006372E3"/>
    <w:rsid w:val="0064245A"/>
    <w:rsid w:val="006426A8"/>
    <w:rsid w:val="006426EF"/>
    <w:rsid w:val="00645780"/>
    <w:rsid w:val="00645D89"/>
    <w:rsid w:val="006519F5"/>
    <w:rsid w:val="0065258C"/>
    <w:rsid w:val="006609F1"/>
    <w:rsid w:val="0066161C"/>
    <w:rsid w:val="00664E40"/>
    <w:rsid w:val="00666F1E"/>
    <w:rsid w:val="006679BA"/>
    <w:rsid w:val="00670CAC"/>
    <w:rsid w:val="00671722"/>
    <w:rsid w:val="00673375"/>
    <w:rsid w:val="00674AF2"/>
    <w:rsid w:val="006755DD"/>
    <w:rsid w:val="00677C58"/>
    <w:rsid w:val="0068096B"/>
    <w:rsid w:val="00681993"/>
    <w:rsid w:val="0068304A"/>
    <w:rsid w:val="0068337D"/>
    <w:rsid w:val="006842E3"/>
    <w:rsid w:val="006847F7"/>
    <w:rsid w:val="00684BD7"/>
    <w:rsid w:val="006918FD"/>
    <w:rsid w:val="00694943"/>
    <w:rsid w:val="00695765"/>
    <w:rsid w:val="00696491"/>
    <w:rsid w:val="006A03E3"/>
    <w:rsid w:val="006A45EB"/>
    <w:rsid w:val="006A712C"/>
    <w:rsid w:val="006B1703"/>
    <w:rsid w:val="006B4678"/>
    <w:rsid w:val="006B54AD"/>
    <w:rsid w:val="006B7C38"/>
    <w:rsid w:val="006C1C98"/>
    <w:rsid w:val="006C3909"/>
    <w:rsid w:val="006C451F"/>
    <w:rsid w:val="006C5865"/>
    <w:rsid w:val="006C697E"/>
    <w:rsid w:val="006C71F4"/>
    <w:rsid w:val="006D066A"/>
    <w:rsid w:val="006D08E5"/>
    <w:rsid w:val="006D0999"/>
    <w:rsid w:val="006D1D02"/>
    <w:rsid w:val="006D4804"/>
    <w:rsid w:val="006D74DF"/>
    <w:rsid w:val="006D78AF"/>
    <w:rsid w:val="006E0F6F"/>
    <w:rsid w:val="006E1392"/>
    <w:rsid w:val="006E2119"/>
    <w:rsid w:val="006E25DE"/>
    <w:rsid w:val="006F2864"/>
    <w:rsid w:val="006F3BDB"/>
    <w:rsid w:val="006F585D"/>
    <w:rsid w:val="006F6789"/>
    <w:rsid w:val="00702E12"/>
    <w:rsid w:val="00710C49"/>
    <w:rsid w:val="00713585"/>
    <w:rsid w:val="007152E7"/>
    <w:rsid w:val="007202EE"/>
    <w:rsid w:val="00722241"/>
    <w:rsid w:val="00722F8C"/>
    <w:rsid w:val="00725142"/>
    <w:rsid w:val="00726216"/>
    <w:rsid w:val="00731294"/>
    <w:rsid w:val="00735A41"/>
    <w:rsid w:val="007410BD"/>
    <w:rsid w:val="007416BD"/>
    <w:rsid w:val="00742610"/>
    <w:rsid w:val="0074317A"/>
    <w:rsid w:val="00743FD9"/>
    <w:rsid w:val="00756636"/>
    <w:rsid w:val="00762670"/>
    <w:rsid w:val="0076306E"/>
    <w:rsid w:val="00763725"/>
    <w:rsid w:val="00765FE0"/>
    <w:rsid w:val="0076782E"/>
    <w:rsid w:val="00771FB6"/>
    <w:rsid w:val="007732B1"/>
    <w:rsid w:val="00773472"/>
    <w:rsid w:val="00776405"/>
    <w:rsid w:val="0078051B"/>
    <w:rsid w:val="007809CB"/>
    <w:rsid w:val="00780F4A"/>
    <w:rsid w:val="007832EA"/>
    <w:rsid w:val="00783A5D"/>
    <w:rsid w:val="007841B4"/>
    <w:rsid w:val="00785243"/>
    <w:rsid w:val="00786B80"/>
    <w:rsid w:val="00787F9A"/>
    <w:rsid w:val="007924F3"/>
    <w:rsid w:val="00794D0F"/>
    <w:rsid w:val="0079536F"/>
    <w:rsid w:val="007974DB"/>
    <w:rsid w:val="007A09A3"/>
    <w:rsid w:val="007A2749"/>
    <w:rsid w:val="007A2C46"/>
    <w:rsid w:val="007A305D"/>
    <w:rsid w:val="007A30DB"/>
    <w:rsid w:val="007A495D"/>
    <w:rsid w:val="007A6CDB"/>
    <w:rsid w:val="007B122B"/>
    <w:rsid w:val="007B5EAD"/>
    <w:rsid w:val="007B6713"/>
    <w:rsid w:val="007C2D28"/>
    <w:rsid w:val="007C3187"/>
    <w:rsid w:val="007C6112"/>
    <w:rsid w:val="007C7FDC"/>
    <w:rsid w:val="007D06F5"/>
    <w:rsid w:val="007D0F2E"/>
    <w:rsid w:val="007E61F7"/>
    <w:rsid w:val="007F0C05"/>
    <w:rsid w:val="007F1A58"/>
    <w:rsid w:val="007F30E1"/>
    <w:rsid w:val="007F62A0"/>
    <w:rsid w:val="007F6604"/>
    <w:rsid w:val="007F6CC6"/>
    <w:rsid w:val="00800966"/>
    <w:rsid w:val="0080193A"/>
    <w:rsid w:val="00802B1E"/>
    <w:rsid w:val="00803BFB"/>
    <w:rsid w:val="00804AD5"/>
    <w:rsid w:val="00805C62"/>
    <w:rsid w:val="008070A4"/>
    <w:rsid w:val="008076CB"/>
    <w:rsid w:val="00812BA8"/>
    <w:rsid w:val="00813731"/>
    <w:rsid w:val="008163CE"/>
    <w:rsid w:val="00817DBA"/>
    <w:rsid w:val="008200FA"/>
    <w:rsid w:val="00823556"/>
    <w:rsid w:val="00825345"/>
    <w:rsid w:val="00825FAD"/>
    <w:rsid w:val="00832249"/>
    <w:rsid w:val="00835039"/>
    <w:rsid w:val="008360B6"/>
    <w:rsid w:val="008406EE"/>
    <w:rsid w:val="00842AAE"/>
    <w:rsid w:val="00845F5B"/>
    <w:rsid w:val="00846480"/>
    <w:rsid w:val="0084798A"/>
    <w:rsid w:val="00847C3A"/>
    <w:rsid w:val="00847F49"/>
    <w:rsid w:val="008519A3"/>
    <w:rsid w:val="00852C95"/>
    <w:rsid w:val="00852FE1"/>
    <w:rsid w:val="0085347E"/>
    <w:rsid w:val="008577C6"/>
    <w:rsid w:val="00866095"/>
    <w:rsid w:val="00866A17"/>
    <w:rsid w:val="008737C2"/>
    <w:rsid w:val="00875334"/>
    <w:rsid w:val="008755B2"/>
    <w:rsid w:val="00875B9F"/>
    <w:rsid w:val="00876044"/>
    <w:rsid w:val="00876B8A"/>
    <w:rsid w:val="00881CAF"/>
    <w:rsid w:val="008863E8"/>
    <w:rsid w:val="008927C6"/>
    <w:rsid w:val="00892A31"/>
    <w:rsid w:val="00893F25"/>
    <w:rsid w:val="008946C3"/>
    <w:rsid w:val="00895C23"/>
    <w:rsid w:val="00895FCE"/>
    <w:rsid w:val="008961FF"/>
    <w:rsid w:val="00896F2E"/>
    <w:rsid w:val="00897BE4"/>
    <w:rsid w:val="008A02BF"/>
    <w:rsid w:val="008A1C7D"/>
    <w:rsid w:val="008A381A"/>
    <w:rsid w:val="008B093F"/>
    <w:rsid w:val="008B79A1"/>
    <w:rsid w:val="008C1117"/>
    <w:rsid w:val="008C1788"/>
    <w:rsid w:val="008C7D82"/>
    <w:rsid w:val="008D5A8A"/>
    <w:rsid w:val="008E0AD6"/>
    <w:rsid w:val="008E0ADF"/>
    <w:rsid w:val="008E2F07"/>
    <w:rsid w:val="008E4139"/>
    <w:rsid w:val="008E4EB9"/>
    <w:rsid w:val="008E5133"/>
    <w:rsid w:val="008E7FBC"/>
    <w:rsid w:val="008F012A"/>
    <w:rsid w:val="008F19C4"/>
    <w:rsid w:val="008F2477"/>
    <w:rsid w:val="008F2880"/>
    <w:rsid w:val="008F28AC"/>
    <w:rsid w:val="008F610C"/>
    <w:rsid w:val="009007A4"/>
    <w:rsid w:val="009014B5"/>
    <w:rsid w:val="0090180F"/>
    <w:rsid w:val="009022E4"/>
    <w:rsid w:val="00902CAE"/>
    <w:rsid w:val="009052A1"/>
    <w:rsid w:val="009052E9"/>
    <w:rsid w:val="00905FB0"/>
    <w:rsid w:val="009060F6"/>
    <w:rsid w:val="009063B5"/>
    <w:rsid w:val="009104CE"/>
    <w:rsid w:val="009127D6"/>
    <w:rsid w:val="00912A2B"/>
    <w:rsid w:val="00912A3A"/>
    <w:rsid w:val="00916FCD"/>
    <w:rsid w:val="00917C5E"/>
    <w:rsid w:val="00920554"/>
    <w:rsid w:val="009253CD"/>
    <w:rsid w:val="009255B7"/>
    <w:rsid w:val="0092770A"/>
    <w:rsid w:val="00933B4C"/>
    <w:rsid w:val="00935924"/>
    <w:rsid w:val="0094014E"/>
    <w:rsid w:val="0094207E"/>
    <w:rsid w:val="00944434"/>
    <w:rsid w:val="009444C8"/>
    <w:rsid w:val="00945D24"/>
    <w:rsid w:val="00947EDF"/>
    <w:rsid w:val="009511AD"/>
    <w:rsid w:val="00953D79"/>
    <w:rsid w:val="00954BD4"/>
    <w:rsid w:val="00954E5A"/>
    <w:rsid w:val="00956353"/>
    <w:rsid w:val="009618CB"/>
    <w:rsid w:val="00962168"/>
    <w:rsid w:val="00964A86"/>
    <w:rsid w:val="009678E3"/>
    <w:rsid w:val="009700E0"/>
    <w:rsid w:val="009708AE"/>
    <w:rsid w:val="009753C0"/>
    <w:rsid w:val="00984A70"/>
    <w:rsid w:val="009935B9"/>
    <w:rsid w:val="0099405C"/>
    <w:rsid w:val="009A264B"/>
    <w:rsid w:val="009A4C11"/>
    <w:rsid w:val="009B03B2"/>
    <w:rsid w:val="009C0D8C"/>
    <w:rsid w:val="009C183C"/>
    <w:rsid w:val="009C3459"/>
    <w:rsid w:val="009C4506"/>
    <w:rsid w:val="009C5AD4"/>
    <w:rsid w:val="009C6DCD"/>
    <w:rsid w:val="009C74BA"/>
    <w:rsid w:val="009C7C9E"/>
    <w:rsid w:val="009D0C38"/>
    <w:rsid w:val="009D15F1"/>
    <w:rsid w:val="009D3C1B"/>
    <w:rsid w:val="009D3E25"/>
    <w:rsid w:val="009D44D5"/>
    <w:rsid w:val="009D5F67"/>
    <w:rsid w:val="009D62F7"/>
    <w:rsid w:val="009E0051"/>
    <w:rsid w:val="009E0D52"/>
    <w:rsid w:val="009E10FC"/>
    <w:rsid w:val="009E3D51"/>
    <w:rsid w:val="009E4B7C"/>
    <w:rsid w:val="009E7E2B"/>
    <w:rsid w:val="009E7FAC"/>
    <w:rsid w:val="00A022D3"/>
    <w:rsid w:val="00A040FE"/>
    <w:rsid w:val="00A04131"/>
    <w:rsid w:val="00A043A0"/>
    <w:rsid w:val="00A05598"/>
    <w:rsid w:val="00A06403"/>
    <w:rsid w:val="00A06767"/>
    <w:rsid w:val="00A11EF4"/>
    <w:rsid w:val="00A127C0"/>
    <w:rsid w:val="00A155D3"/>
    <w:rsid w:val="00A21F18"/>
    <w:rsid w:val="00A2488E"/>
    <w:rsid w:val="00A257C9"/>
    <w:rsid w:val="00A31CDE"/>
    <w:rsid w:val="00A362BC"/>
    <w:rsid w:val="00A36A90"/>
    <w:rsid w:val="00A36F77"/>
    <w:rsid w:val="00A370D8"/>
    <w:rsid w:val="00A4163A"/>
    <w:rsid w:val="00A424B9"/>
    <w:rsid w:val="00A43AA8"/>
    <w:rsid w:val="00A452F5"/>
    <w:rsid w:val="00A461E1"/>
    <w:rsid w:val="00A4641D"/>
    <w:rsid w:val="00A46B7F"/>
    <w:rsid w:val="00A47BD5"/>
    <w:rsid w:val="00A50681"/>
    <w:rsid w:val="00A52D68"/>
    <w:rsid w:val="00A53614"/>
    <w:rsid w:val="00A54A19"/>
    <w:rsid w:val="00A55323"/>
    <w:rsid w:val="00A55CEF"/>
    <w:rsid w:val="00A62032"/>
    <w:rsid w:val="00A707F6"/>
    <w:rsid w:val="00A709CD"/>
    <w:rsid w:val="00A7297D"/>
    <w:rsid w:val="00A75BDF"/>
    <w:rsid w:val="00A76306"/>
    <w:rsid w:val="00A77B6D"/>
    <w:rsid w:val="00A818EE"/>
    <w:rsid w:val="00A83BDB"/>
    <w:rsid w:val="00A8751E"/>
    <w:rsid w:val="00A90761"/>
    <w:rsid w:val="00A92F8B"/>
    <w:rsid w:val="00A93348"/>
    <w:rsid w:val="00A93857"/>
    <w:rsid w:val="00A93BB4"/>
    <w:rsid w:val="00A9421E"/>
    <w:rsid w:val="00AA0764"/>
    <w:rsid w:val="00AA1248"/>
    <w:rsid w:val="00AA5F4D"/>
    <w:rsid w:val="00AA6BDC"/>
    <w:rsid w:val="00AA708A"/>
    <w:rsid w:val="00AA7605"/>
    <w:rsid w:val="00AA7E12"/>
    <w:rsid w:val="00AB1198"/>
    <w:rsid w:val="00AB1BAF"/>
    <w:rsid w:val="00AB2823"/>
    <w:rsid w:val="00AB6646"/>
    <w:rsid w:val="00AC0B30"/>
    <w:rsid w:val="00AC2301"/>
    <w:rsid w:val="00AC59E5"/>
    <w:rsid w:val="00AC72DC"/>
    <w:rsid w:val="00AD06F9"/>
    <w:rsid w:val="00AD209B"/>
    <w:rsid w:val="00AD5676"/>
    <w:rsid w:val="00AD5C35"/>
    <w:rsid w:val="00AD7D94"/>
    <w:rsid w:val="00AE01E1"/>
    <w:rsid w:val="00AE12CA"/>
    <w:rsid w:val="00AE5293"/>
    <w:rsid w:val="00AE5B06"/>
    <w:rsid w:val="00AF02FE"/>
    <w:rsid w:val="00AF211C"/>
    <w:rsid w:val="00AF2E47"/>
    <w:rsid w:val="00AF6514"/>
    <w:rsid w:val="00AF6A40"/>
    <w:rsid w:val="00B00917"/>
    <w:rsid w:val="00B01A18"/>
    <w:rsid w:val="00B02091"/>
    <w:rsid w:val="00B03172"/>
    <w:rsid w:val="00B0652E"/>
    <w:rsid w:val="00B07102"/>
    <w:rsid w:val="00B07D56"/>
    <w:rsid w:val="00B1404E"/>
    <w:rsid w:val="00B14D6F"/>
    <w:rsid w:val="00B1559B"/>
    <w:rsid w:val="00B21401"/>
    <w:rsid w:val="00B21447"/>
    <w:rsid w:val="00B21DDF"/>
    <w:rsid w:val="00B2241C"/>
    <w:rsid w:val="00B27AB3"/>
    <w:rsid w:val="00B27EEE"/>
    <w:rsid w:val="00B3016E"/>
    <w:rsid w:val="00B317C5"/>
    <w:rsid w:val="00B33552"/>
    <w:rsid w:val="00B34786"/>
    <w:rsid w:val="00B3620F"/>
    <w:rsid w:val="00B36F44"/>
    <w:rsid w:val="00B37E02"/>
    <w:rsid w:val="00B41752"/>
    <w:rsid w:val="00B4326F"/>
    <w:rsid w:val="00B450F4"/>
    <w:rsid w:val="00B50E6F"/>
    <w:rsid w:val="00B55ABC"/>
    <w:rsid w:val="00B56788"/>
    <w:rsid w:val="00B6141B"/>
    <w:rsid w:val="00B64260"/>
    <w:rsid w:val="00B702D6"/>
    <w:rsid w:val="00B70C1D"/>
    <w:rsid w:val="00B71CF5"/>
    <w:rsid w:val="00B72645"/>
    <w:rsid w:val="00B77958"/>
    <w:rsid w:val="00B812F9"/>
    <w:rsid w:val="00B82AF8"/>
    <w:rsid w:val="00B8505A"/>
    <w:rsid w:val="00B87CE7"/>
    <w:rsid w:val="00B906DE"/>
    <w:rsid w:val="00B908A6"/>
    <w:rsid w:val="00B955D3"/>
    <w:rsid w:val="00BA3D12"/>
    <w:rsid w:val="00BA6408"/>
    <w:rsid w:val="00BA71DB"/>
    <w:rsid w:val="00BB256D"/>
    <w:rsid w:val="00BB3E63"/>
    <w:rsid w:val="00BB663E"/>
    <w:rsid w:val="00BC01D5"/>
    <w:rsid w:val="00BC0BBC"/>
    <w:rsid w:val="00BC13FE"/>
    <w:rsid w:val="00BC48CE"/>
    <w:rsid w:val="00BC6A35"/>
    <w:rsid w:val="00BD1435"/>
    <w:rsid w:val="00BD16C9"/>
    <w:rsid w:val="00BD2646"/>
    <w:rsid w:val="00BD3429"/>
    <w:rsid w:val="00BD650A"/>
    <w:rsid w:val="00BE1543"/>
    <w:rsid w:val="00BE41E8"/>
    <w:rsid w:val="00BE45E3"/>
    <w:rsid w:val="00BE5665"/>
    <w:rsid w:val="00BE5AF8"/>
    <w:rsid w:val="00BE6232"/>
    <w:rsid w:val="00BF0CC4"/>
    <w:rsid w:val="00BF12E6"/>
    <w:rsid w:val="00BF5AF4"/>
    <w:rsid w:val="00C02175"/>
    <w:rsid w:val="00C053A8"/>
    <w:rsid w:val="00C06FB6"/>
    <w:rsid w:val="00C07C2C"/>
    <w:rsid w:val="00C10112"/>
    <w:rsid w:val="00C10E52"/>
    <w:rsid w:val="00C12610"/>
    <w:rsid w:val="00C1380C"/>
    <w:rsid w:val="00C13C00"/>
    <w:rsid w:val="00C1586E"/>
    <w:rsid w:val="00C15F07"/>
    <w:rsid w:val="00C205FF"/>
    <w:rsid w:val="00C2152D"/>
    <w:rsid w:val="00C227B0"/>
    <w:rsid w:val="00C22CD9"/>
    <w:rsid w:val="00C2506F"/>
    <w:rsid w:val="00C25E57"/>
    <w:rsid w:val="00C26E1C"/>
    <w:rsid w:val="00C26E57"/>
    <w:rsid w:val="00C27596"/>
    <w:rsid w:val="00C318AA"/>
    <w:rsid w:val="00C339EC"/>
    <w:rsid w:val="00C33F99"/>
    <w:rsid w:val="00C40151"/>
    <w:rsid w:val="00C427B4"/>
    <w:rsid w:val="00C4350A"/>
    <w:rsid w:val="00C531E6"/>
    <w:rsid w:val="00C54163"/>
    <w:rsid w:val="00C5458F"/>
    <w:rsid w:val="00C549C5"/>
    <w:rsid w:val="00C55997"/>
    <w:rsid w:val="00C56980"/>
    <w:rsid w:val="00C60262"/>
    <w:rsid w:val="00C6070F"/>
    <w:rsid w:val="00C60D2E"/>
    <w:rsid w:val="00C62D43"/>
    <w:rsid w:val="00C62FFB"/>
    <w:rsid w:val="00C65E1C"/>
    <w:rsid w:val="00C70DD7"/>
    <w:rsid w:val="00C71044"/>
    <w:rsid w:val="00C71FB5"/>
    <w:rsid w:val="00C756E0"/>
    <w:rsid w:val="00C75895"/>
    <w:rsid w:val="00C7658E"/>
    <w:rsid w:val="00C77B4C"/>
    <w:rsid w:val="00C83208"/>
    <w:rsid w:val="00C91020"/>
    <w:rsid w:val="00C93E8F"/>
    <w:rsid w:val="00C94262"/>
    <w:rsid w:val="00C9572C"/>
    <w:rsid w:val="00CA08EB"/>
    <w:rsid w:val="00CA25C9"/>
    <w:rsid w:val="00CA2BCB"/>
    <w:rsid w:val="00CA50B2"/>
    <w:rsid w:val="00CA71B0"/>
    <w:rsid w:val="00CB4A9F"/>
    <w:rsid w:val="00CB6C1B"/>
    <w:rsid w:val="00CB75EA"/>
    <w:rsid w:val="00CB7FF7"/>
    <w:rsid w:val="00CC50EA"/>
    <w:rsid w:val="00CC564B"/>
    <w:rsid w:val="00CD028D"/>
    <w:rsid w:val="00CD2DD4"/>
    <w:rsid w:val="00CD4953"/>
    <w:rsid w:val="00CE2E15"/>
    <w:rsid w:val="00CE4710"/>
    <w:rsid w:val="00CE71CB"/>
    <w:rsid w:val="00CE7CC6"/>
    <w:rsid w:val="00CF1D64"/>
    <w:rsid w:val="00CF5D7E"/>
    <w:rsid w:val="00D015C9"/>
    <w:rsid w:val="00D02A2A"/>
    <w:rsid w:val="00D04403"/>
    <w:rsid w:val="00D0741B"/>
    <w:rsid w:val="00D07ABB"/>
    <w:rsid w:val="00D13257"/>
    <w:rsid w:val="00D13FB8"/>
    <w:rsid w:val="00D15C34"/>
    <w:rsid w:val="00D22001"/>
    <w:rsid w:val="00D220EA"/>
    <w:rsid w:val="00D24F7A"/>
    <w:rsid w:val="00D27EEE"/>
    <w:rsid w:val="00D300D4"/>
    <w:rsid w:val="00D31C75"/>
    <w:rsid w:val="00D33D4F"/>
    <w:rsid w:val="00D344B1"/>
    <w:rsid w:val="00D358D7"/>
    <w:rsid w:val="00D36E81"/>
    <w:rsid w:val="00D4057F"/>
    <w:rsid w:val="00D41DEA"/>
    <w:rsid w:val="00D43627"/>
    <w:rsid w:val="00D445FC"/>
    <w:rsid w:val="00D50D66"/>
    <w:rsid w:val="00D5194A"/>
    <w:rsid w:val="00D52374"/>
    <w:rsid w:val="00D53EF4"/>
    <w:rsid w:val="00D55281"/>
    <w:rsid w:val="00D5688F"/>
    <w:rsid w:val="00D57511"/>
    <w:rsid w:val="00D642B2"/>
    <w:rsid w:val="00D650FE"/>
    <w:rsid w:val="00D66B2D"/>
    <w:rsid w:val="00D7071A"/>
    <w:rsid w:val="00D7657A"/>
    <w:rsid w:val="00D7744B"/>
    <w:rsid w:val="00D8185A"/>
    <w:rsid w:val="00D81EEF"/>
    <w:rsid w:val="00D81FAC"/>
    <w:rsid w:val="00D82188"/>
    <w:rsid w:val="00D86CF9"/>
    <w:rsid w:val="00D87A60"/>
    <w:rsid w:val="00D87DAF"/>
    <w:rsid w:val="00D92AE6"/>
    <w:rsid w:val="00D9385D"/>
    <w:rsid w:val="00D93945"/>
    <w:rsid w:val="00D9470D"/>
    <w:rsid w:val="00DA2D9F"/>
    <w:rsid w:val="00DA6488"/>
    <w:rsid w:val="00DB09F6"/>
    <w:rsid w:val="00DB0B65"/>
    <w:rsid w:val="00DB43EB"/>
    <w:rsid w:val="00DB6B22"/>
    <w:rsid w:val="00DB6C75"/>
    <w:rsid w:val="00DB6EBB"/>
    <w:rsid w:val="00DC0452"/>
    <w:rsid w:val="00DC21D3"/>
    <w:rsid w:val="00DC6F44"/>
    <w:rsid w:val="00DC77B2"/>
    <w:rsid w:val="00DD6498"/>
    <w:rsid w:val="00DD66A9"/>
    <w:rsid w:val="00DD66FC"/>
    <w:rsid w:val="00DD7B78"/>
    <w:rsid w:val="00DE0014"/>
    <w:rsid w:val="00DE0B60"/>
    <w:rsid w:val="00DE2C4A"/>
    <w:rsid w:val="00DE57F9"/>
    <w:rsid w:val="00DE5995"/>
    <w:rsid w:val="00DE735B"/>
    <w:rsid w:val="00DF0E6B"/>
    <w:rsid w:val="00DF0F26"/>
    <w:rsid w:val="00DF207B"/>
    <w:rsid w:val="00DF6709"/>
    <w:rsid w:val="00DF7931"/>
    <w:rsid w:val="00E01AAE"/>
    <w:rsid w:val="00E07C6A"/>
    <w:rsid w:val="00E110A8"/>
    <w:rsid w:val="00E20DC1"/>
    <w:rsid w:val="00E21FA3"/>
    <w:rsid w:val="00E24210"/>
    <w:rsid w:val="00E249F4"/>
    <w:rsid w:val="00E30CCA"/>
    <w:rsid w:val="00E3667B"/>
    <w:rsid w:val="00E3727C"/>
    <w:rsid w:val="00E37CA1"/>
    <w:rsid w:val="00E4001C"/>
    <w:rsid w:val="00E4261E"/>
    <w:rsid w:val="00E44EEB"/>
    <w:rsid w:val="00E4610A"/>
    <w:rsid w:val="00E46B17"/>
    <w:rsid w:val="00E571E0"/>
    <w:rsid w:val="00E57D0A"/>
    <w:rsid w:val="00E63330"/>
    <w:rsid w:val="00E65CB6"/>
    <w:rsid w:val="00E67652"/>
    <w:rsid w:val="00E719FF"/>
    <w:rsid w:val="00E7465A"/>
    <w:rsid w:val="00E838B2"/>
    <w:rsid w:val="00E87437"/>
    <w:rsid w:val="00E87ACB"/>
    <w:rsid w:val="00E91D91"/>
    <w:rsid w:val="00E9201A"/>
    <w:rsid w:val="00E934A6"/>
    <w:rsid w:val="00E93EA8"/>
    <w:rsid w:val="00E977CF"/>
    <w:rsid w:val="00EA3252"/>
    <w:rsid w:val="00EA7631"/>
    <w:rsid w:val="00EC7C46"/>
    <w:rsid w:val="00ED12AE"/>
    <w:rsid w:val="00ED2E0C"/>
    <w:rsid w:val="00ED3105"/>
    <w:rsid w:val="00ED3D0B"/>
    <w:rsid w:val="00ED48CE"/>
    <w:rsid w:val="00ED65A9"/>
    <w:rsid w:val="00ED665A"/>
    <w:rsid w:val="00ED7474"/>
    <w:rsid w:val="00ED7666"/>
    <w:rsid w:val="00ED7B6E"/>
    <w:rsid w:val="00EE0E27"/>
    <w:rsid w:val="00EE249F"/>
    <w:rsid w:val="00EE2BA5"/>
    <w:rsid w:val="00EE3EDB"/>
    <w:rsid w:val="00EF26B0"/>
    <w:rsid w:val="00EF3F18"/>
    <w:rsid w:val="00EF403B"/>
    <w:rsid w:val="00EF5A22"/>
    <w:rsid w:val="00EF77FE"/>
    <w:rsid w:val="00F006BD"/>
    <w:rsid w:val="00F00C28"/>
    <w:rsid w:val="00F0145E"/>
    <w:rsid w:val="00F017A2"/>
    <w:rsid w:val="00F044E4"/>
    <w:rsid w:val="00F05785"/>
    <w:rsid w:val="00F125CB"/>
    <w:rsid w:val="00F1365D"/>
    <w:rsid w:val="00F1534E"/>
    <w:rsid w:val="00F20EA8"/>
    <w:rsid w:val="00F237C5"/>
    <w:rsid w:val="00F251F9"/>
    <w:rsid w:val="00F25355"/>
    <w:rsid w:val="00F27CC8"/>
    <w:rsid w:val="00F30B23"/>
    <w:rsid w:val="00F32023"/>
    <w:rsid w:val="00F3376D"/>
    <w:rsid w:val="00F34451"/>
    <w:rsid w:val="00F34AE6"/>
    <w:rsid w:val="00F430F3"/>
    <w:rsid w:val="00F4717B"/>
    <w:rsid w:val="00F509E7"/>
    <w:rsid w:val="00F5229D"/>
    <w:rsid w:val="00F52F57"/>
    <w:rsid w:val="00F576F3"/>
    <w:rsid w:val="00F700F2"/>
    <w:rsid w:val="00F71DFD"/>
    <w:rsid w:val="00F751F2"/>
    <w:rsid w:val="00F75D0D"/>
    <w:rsid w:val="00F7612A"/>
    <w:rsid w:val="00F80054"/>
    <w:rsid w:val="00F84EEE"/>
    <w:rsid w:val="00F92F20"/>
    <w:rsid w:val="00F935DE"/>
    <w:rsid w:val="00F97E9C"/>
    <w:rsid w:val="00FA243C"/>
    <w:rsid w:val="00FA46E4"/>
    <w:rsid w:val="00FB065C"/>
    <w:rsid w:val="00FB1724"/>
    <w:rsid w:val="00FB368E"/>
    <w:rsid w:val="00FB664F"/>
    <w:rsid w:val="00FC0508"/>
    <w:rsid w:val="00FC2B80"/>
    <w:rsid w:val="00FC2EF4"/>
    <w:rsid w:val="00FC3CC0"/>
    <w:rsid w:val="00FC44F1"/>
    <w:rsid w:val="00FC5FC3"/>
    <w:rsid w:val="00FD320B"/>
    <w:rsid w:val="00FD3B1A"/>
    <w:rsid w:val="00FD520E"/>
    <w:rsid w:val="00FD564E"/>
    <w:rsid w:val="00FD6240"/>
    <w:rsid w:val="00FE237E"/>
    <w:rsid w:val="00FE40A2"/>
    <w:rsid w:val="00FE44D9"/>
    <w:rsid w:val="00FE6C7A"/>
    <w:rsid w:val="00FF1AE3"/>
    <w:rsid w:val="00FF50B1"/>
    <w:rsid w:val="01091F7C"/>
    <w:rsid w:val="013D4B60"/>
    <w:rsid w:val="014063FE"/>
    <w:rsid w:val="01D17056"/>
    <w:rsid w:val="01D54D98"/>
    <w:rsid w:val="020E2058"/>
    <w:rsid w:val="024C2B81"/>
    <w:rsid w:val="028B36A9"/>
    <w:rsid w:val="02924A37"/>
    <w:rsid w:val="02CE5187"/>
    <w:rsid w:val="02D768EE"/>
    <w:rsid w:val="02D84414"/>
    <w:rsid w:val="02D84C0B"/>
    <w:rsid w:val="02FC76B4"/>
    <w:rsid w:val="03B14202"/>
    <w:rsid w:val="03D42E2E"/>
    <w:rsid w:val="04D16A79"/>
    <w:rsid w:val="04D2180A"/>
    <w:rsid w:val="04D57CB8"/>
    <w:rsid w:val="04FC088E"/>
    <w:rsid w:val="0516342C"/>
    <w:rsid w:val="05640AE8"/>
    <w:rsid w:val="05CA59F1"/>
    <w:rsid w:val="05CD222A"/>
    <w:rsid w:val="05FE20CE"/>
    <w:rsid w:val="067D77AC"/>
    <w:rsid w:val="072146D9"/>
    <w:rsid w:val="07573D64"/>
    <w:rsid w:val="0763350E"/>
    <w:rsid w:val="07874297"/>
    <w:rsid w:val="079C3C62"/>
    <w:rsid w:val="07A62D33"/>
    <w:rsid w:val="084D31AF"/>
    <w:rsid w:val="085A5FF7"/>
    <w:rsid w:val="095D34C7"/>
    <w:rsid w:val="0963712E"/>
    <w:rsid w:val="09BE25B6"/>
    <w:rsid w:val="09D24B74"/>
    <w:rsid w:val="09D9119E"/>
    <w:rsid w:val="09FA34EB"/>
    <w:rsid w:val="0A287A2F"/>
    <w:rsid w:val="0A7F7F97"/>
    <w:rsid w:val="0AAB42F1"/>
    <w:rsid w:val="0AD32091"/>
    <w:rsid w:val="0B275D15"/>
    <w:rsid w:val="0B403080"/>
    <w:rsid w:val="0CC17E6B"/>
    <w:rsid w:val="0D1A5D55"/>
    <w:rsid w:val="0DA6583B"/>
    <w:rsid w:val="0DEE5E53"/>
    <w:rsid w:val="0DF81C36"/>
    <w:rsid w:val="0EDD04D2"/>
    <w:rsid w:val="0F4E2F1A"/>
    <w:rsid w:val="0F557C4C"/>
    <w:rsid w:val="10404008"/>
    <w:rsid w:val="105E064F"/>
    <w:rsid w:val="10D91A83"/>
    <w:rsid w:val="117143B2"/>
    <w:rsid w:val="11D0732A"/>
    <w:rsid w:val="123603D9"/>
    <w:rsid w:val="123C03D2"/>
    <w:rsid w:val="12BE53D5"/>
    <w:rsid w:val="130B063D"/>
    <w:rsid w:val="13547AE7"/>
    <w:rsid w:val="135F2739"/>
    <w:rsid w:val="13A753C5"/>
    <w:rsid w:val="13FB2D72"/>
    <w:rsid w:val="140432BB"/>
    <w:rsid w:val="146944C2"/>
    <w:rsid w:val="147A357D"/>
    <w:rsid w:val="151A3F56"/>
    <w:rsid w:val="151D2886"/>
    <w:rsid w:val="15335936"/>
    <w:rsid w:val="1639417E"/>
    <w:rsid w:val="16A06596"/>
    <w:rsid w:val="16EA01F6"/>
    <w:rsid w:val="16ED6288"/>
    <w:rsid w:val="16F05347"/>
    <w:rsid w:val="1733656C"/>
    <w:rsid w:val="17525EAA"/>
    <w:rsid w:val="176946F7"/>
    <w:rsid w:val="17723FBF"/>
    <w:rsid w:val="17E11EA2"/>
    <w:rsid w:val="18095C8B"/>
    <w:rsid w:val="181A30AD"/>
    <w:rsid w:val="18BA663E"/>
    <w:rsid w:val="18CA2C3F"/>
    <w:rsid w:val="18D3325C"/>
    <w:rsid w:val="18D74C85"/>
    <w:rsid w:val="194D300E"/>
    <w:rsid w:val="19AA220F"/>
    <w:rsid w:val="19AE781E"/>
    <w:rsid w:val="1AC45552"/>
    <w:rsid w:val="1B3A2C32"/>
    <w:rsid w:val="1B3F2E2B"/>
    <w:rsid w:val="1BAD5FE6"/>
    <w:rsid w:val="1BC25F36"/>
    <w:rsid w:val="1C8B4320"/>
    <w:rsid w:val="1C931680"/>
    <w:rsid w:val="1C964CCC"/>
    <w:rsid w:val="1CFE11EF"/>
    <w:rsid w:val="1DEC54EC"/>
    <w:rsid w:val="1DF223D6"/>
    <w:rsid w:val="1DFE521F"/>
    <w:rsid w:val="1E041A26"/>
    <w:rsid w:val="1E220F0E"/>
    <w:rsid w:val="1EFC175F"/>
    <w:rsid w:val="1F447FA0"/>
    <w:rsid w:val="1F4D5417"/>
    <w:rsid w:val="1F9951FF"/>
    <w:rsid w:val="1F996FAD"/>
    <w:rsid w:val="20046E70"/>
    <w:rsid w:val="20B22ABC"/>
    <w:rsid w:val="20C444FE"/>
    <w:rsid w:val="210B3EDB"/>
    <w:rsid w:val="214F6ACB"/>
    <w:rsid w:val="216D06F2"/>
    <w:rsid w:val="21AB121A"/>
    <w:rsid w:val="22287479"/>
    <w:rsid w:val="22A55D80"/>
    <w:rsid w:val="22FB3ADB"/>
    <w:rsid w:val="23D22A8E"/>
    <w:rsid w:val="24303C58"/>
    <w:rsid w:val="2432494D"/>
    <w:rsid w:val="24351427"/>
    <w:rsid w:val="2447702E"/>
    <w:rsid w:val="253F4153"/>
    <w:rsid w:val="25525847"/>
    <w:rsid w:val="25F34F3E"/>
    <w:rsid w:val="269009DE"/>
    <w:rsid w:val="26A30712"/>
    <w:rsid w:val="26C6444F"/>
    <w:rsid w:val="27435A51"/>
    <w:rsid w:val="27765E26"/>
    <w:rsid w:val="27914A0E"/>
    <w:rsid w:val="27C85FA9"/>
    <w:rsid w:val="280E42B1"/>
    <w:rsid w:val="284C442A"/>
    <w:rsid w:val="288A7DDB"/>
    <w:rsid w:val="29893232"/>
    <w:rsid w:val="2A021BF3"/>
    <w:rsid w:val="2A5D2EAE"/>
    <w:rsid w:val="2AA42CAA"/>
    <w:rsid w:val="2B25203D"/>
    <w:rsid w:val="2B6A5CA2"/>
    <w:rsid w:val="2BD15D21"/>
    <w:rsid w:val="2C1856FE"/>
    <w:rsid w:val="2C387B4E"/>
    <w:rsid w:val="2C5A1872"/>
    <w:rsid w:val="2C7F5A34"/>
    <w:rsid w:val="2CA43435"/>
    <w:rsid w:val="2E53148E"/>
    <w:rsid w:val="2E617BCB"/>
    <w:rsid w:val="2EBD0E37"/>
    <w:rsid w:val="2FAF3122"/>
    <w:rsid w:val="2FB040D9"/>
    <w:rsid w:val="2FD302BA"/>
    <w:rsid w:val="30113460"/>
    <w:rsid w:val="302B1826"/>
    <w:rsid w:val="30C61609"/>
    <w:rsid w:val="30E9735D"/>
    <w:rsid w:val="30F85AFE"/>
    <w:rsid w:val="31AB27D7"/>
    <w:rsid w:val="31CB755E"/>
    <w:rsid w:val="32C4213C"/>
    <w:rsid w:val="33381B4A"/>
    <w:rsid w:val="333E5ADD"/>
    <w:rsid w:val="33792F26"/>
    <w:rsid w:val="337D597D"/>
    <w:rsid w:val="33AC1439"/>
    <w:rsid w:val="342A033D"/>
    <w:rsid w:val="342C4973"/>
    <w:rsid w:val="346F3D26"/>
    <w:rsid w:val="34BA1455"/>
    <w:rsid w:val="353D7F83"/>
    <w:rsid w:val="36073E2F"/>
    <w:rsid w:val="36076005"/>
    <w:rsid w:val="3619279E"/>
    <w:rsid w:val="362C24D2"/>
    <w:rsid w:val="372C6921"/>
    <w:rsid w:val="373C5463"/>
    <w:rsid w:val="37A83DDA"/>
    <w:rsid w:val="37AB38CA"/>
    <w:rsid w:val="37C404E8"/>
    <w:rsid w:val="37C7002F"/>
    <w:rsid w:val="38052FFB"/>
    <w:rsid w:val="389D14F6"/>
    <w:rsid w:val="393916D3"/>
    <w:rsid w:val="393A3157"/>
    <w:rsid w:val="3A233BEC"/>
    <w:rsid w:val="3A956EBD"/>
    <w:rsid w:val="3ACC0FF5"/>
    <w:rsid w:val="3B8A0DC3"/>
    <w:rsid w:val="3C710E3B"/>
    <w:rsid w:val="3CAF5C0A"/>
    <w:rsid w:val="3CC35212"/>
    <w:rsid w:val="3D0F10F6"/>
    <w:rsid w:val="3D2E2FD3"/>
    <w:rsid w:val="3D6407A3"/>
    <w:rsid w:val="3E0E070F"/>
    <w:rsid w:val="3E4660FB"/>
    <w:rsid w:val="3E8D7433"/>
    <w:rsid w:val="3F9B4224"/>
    <w:rsid w:val="402D40B1"/>
    <w:rsid w:val="403C22EF"/>
    <w:rsid w:val="404D1D57"/>
    <w:rsid w:val="4057639D"/>
    <w:rsid w:val="40B557B9"/>
    <w:rsid w:val="40D20119"/>
    <w:rsid w:val="415E7BFF"/>
    <w:rsid w:val="41E77BF5"/>
    <w:rsid w:val="424E1A22"/>
    <w:rsid w:val="428E71B6"/>
    <w:rsid w:val="439D67BD"/>
    <w:rsid w:val="441D78FE"/>
    <w:rsid w:val="448170BD"/>
    <w:rsid w:val="449A00E0"/>
    <w:rsid w:val="45352A25"/>
    <w:rsid w:val="45442C68"/>
    <w:rsid w:val="45490368"/>
    <w:rsid w:val="4550160D"/>
    <w:rsid w:val="45834AF0"/>
    <w:rsid w:val="4588349D"/>
    <w:rsid w:val="45AD4CB1"/>
    <w:rsid w:val="460A657F"/>
    <w:rsid w:val="46252D4D"/>
    <w:rsid w:val="462C3E28"/>
    <w:rsid w:val="467331FA"/>
    <w:rsid w:val="471E7C15"/>
    <w:rsid w:val="47413903"/>
    <w:rsid w:val="47606EEA"/>
    <w:rsid w:val="47DB3EA0"/>
    <w:rsid w:val="47E2384A"/>
    <w:rsid w:val="487F0D0D"/>
    <w:rsid w:val="48FC7C98"/>
    <w:rsid w:val="491C12E0"/>
    <w:rsid w:val="4981092F"/>
    <w:rsid w:val="49BF4FB3"/>
    <w:rsid w:val="4A11580F"/>
    <w:rsid w:val="4A980983"/>
    <w:rsid w:val="4B047121"/>
    <w:rsid w:val="4B566C6A"/>
    <w:rsid w:val="4B68136B"/>
    <w:rsid w:val="4B7A5635"/>
    <w:rsid w:val="4C6205A3"/>
    <w:rsid w:val="4CCF550D"/>
    <w:rsid w:val="4D0755FD"/>
    <w:rsid w:val="4D3B3919"/>
    <w:rsid w:val="4D4C3F77"/>
    <w:rsid w:val="4D6620BA"/>
    <w:rsid w:val="4DDF1F7B"/>
    <w:rsid w:val="4ECD0FFC"/>
    <w:rsid w:val="4F2C7E69"/>
    <w:rsid w:val="4F55619D"/>
    <w:rsid w:val="50474E33"/>
    <w:rsid w:val="507C3BFE"/>
    <w:rsid w:val="509C7DFC"/>
    <w:rsid w:val="509F2BD7"/>
    <w:rsid w:val="50D61560"/>
    <w:rsid w:val="514F1402"/>
    <w:rsid w:val="518B635C"/>
    <w:rsid w:val="519A433C"/>
    <w:rsid w:val="52462715"/>
    <w:rsid w:val="52A3653F"/>
    <w:rsid w:val="52CB118B"/>
    <w:rsid w:val="52E71DAC"/>
    <w:rsid w:val="53395DD6"/>
    <w:rsid w:val="533C16FA"/>
    <w:rsid w:val="535367A5"/>
    <w:rsid w:val="53762B86"/>
    <w:rsid w:val="54001829"/>
    <w:rsid w:val="540E2DBF"/>
    <w:rsid w:val="55074CB5"/>
    <w:rsid w:val="556233C2"/>
    <w:rsid w:val="558F7F2F"/>
    <w:rsid w:val="55CD7B80"/>
    <w:rsid w:val="56066443"/>
    <w:rsid w:val="57776ECD"/>
    <w:rsid w:val="57853398"/>
    <w:rsid w:val="57B8376D"/>
    <w:rsid w:val="5851771E"/>
    <w:rsid w:val="58555460"/>
    <w:rsid w:val="58615BB3"/>
    <w:rsid w:val="5878710A"/>
    <w:rsid w:val="58E95BA9"/>
    <w:rsid w:val="59586497"/>
    <w:rsid w:val="597F05C6"/>
    <w:rsid w:val="5A867B53"/>
    <w:rsid w:val="5A91789C"/>
    <w:rsid w:val="5AA61FA3"/>
    <w:rsid w:val="5AAC584A"/>
    <w:rsid w:val="5B5E287E"/>
    <w:rsid w:val="5B6A2FD1"/>
    <w:rsid w:val="5BEA2BBC"/>
    <w:rsid w:val="5C8D4654"/>
    <w:rsid w:val="5C8E0135"/>
    <w:rsid w:val="5DBC002B"/>
    <w:rsid w:val="5DC01CC1"/>
    <w:rsid w:val="5E2D2690"/>
    <w:rsid w:val="5E510478"/>
    <w:rsid w:val="5ED97CC8"/>
    <w:rsid w:val="5F14370C"/>
    <w:rsid w:val="5F903222"/>
    <w:rsid w:val="5FAA42E4"/>
    <w:rsid w:val="5FB7255D"/>
    <w:rsid w:val="5FDF4A88"/>
    <w:rsid w:val="601259E5"/>
    <w:rsid w:val="6062270A"/>
    <w:rsid w:val="60680F20"/>
    <w:rsid w:val="60B116A2"/>
    <w:rsid w:val="60CA4511"/>
    <w:rsid w:val="60E71AF6"/>
    <w:rsid w:val="6118527D"/>
    <w:rsid w:val="614269CB"/>
    <w:rsid w:val="61974B52"/>
    <w:rsid w:val="620A72BB"/>
    <w:rsid w:val="622B7232"/>
    <w:rsid w:val="6247406C"/>
    <w:rsid w:val="624A0C9F"/>
    <w:rsid w:val="62595B4D"/>
    <w:rsid w:val="62634C1E"/>
    <w:rsid w:val="62CA6A4B"/>
    <w:rsid w:val="62D41C0B"/>
    <w:rsid w:val="62DB77BF"/>
    <w:rsid w:val="63343EC4"/>
    <w:rsid w:val="63850634"/>
    <w:rsid w:val="63C82F8A"/>
    <w:rsid w:val="63C8561D"/>
    <w:rsid w:val="63DA2CBD"/>
    <w:rsid w:val="64835103"/>
    <w:rsid w:val="648D270F"/>
    <w:rsid w:val="64F423B7"/>
    <w:rsid w:val="6578278E"/>
    <w:rsid w:val="65C71020"/>
    <w:rsid w:val="65D976D1"/>
    <w:rsid w:val="66C82907"/>
    <w:rsid w:val="671E1113"/>
    <w:rsid w:val="67762CFD"/>
    <w:rsid w:val="67C73559"/>
    <w:rsid w:val="67DC14D2"/>
    <w:rsid w:val="6852376A"/>
    <w:rsid w:val="6874718B"/>
    <w:rsid w:val="688472F1"/>
    <w:rsid w:val="699670B1"/>
    <w:rsid w:val="6A4327A4"/>
    <w:rsid w:val="6A503CD9"/>
    <w:rsid w:val="6A86139C"/>
    <w:rsid w:val="6AA05414"/>
    <w:rsid w:val="6ABA73A5"/>
    <w:rsid w:val="6ACE12E4"/>
    <w:rsid w:val="6AE64505"/>
    <w:rsid w:val="6B294AFB"/>
    <w:rsid w:val="6B2A62D8"/>
    <w:rsid w:val="6BB91062"/>
    <w:rsid w:val="6BD879A8"/>
    <w:rsid w:val="6BDA065F"/>
    <w:rsid w:val="6C3F583D"/>
    <w:rsid w:val="6D1E3C1B"/>
    <w:rsid w:val="6DAA31E4"/>
    <w:rsid w:val="6DCC3677"/>
    <w:rsid w:val="6E0E01A3"/>
    <w:rsid w:val="6ECB392F"/>
    <w:rsid w:val="6EF966EE"/>
    <w:rsid w:val="6F155C03"/>
    <w:rsid w:val="6F812615"/>
    <w:rsid w:val="6FB46AB9"/>
    <w:rsid w:val="6FDA2CCF"/>
    <w:rsid w:val="704020FA"/>
    <w:rsid w:val="70416647"/>
    <w:rsid w:val="70887EC5"/>
    <w:rsid w:val="70F829D5"/>
    <w:rsid w:val="717402AD"/>
    <w:rsid w:val="71C351CC"/>
    <w:rsid w:val="724156D9"/>
    <w:rsid w:val="73661CFE"/>
    <w:rsid w:val="73E04A67"/>
    <w:rsid w:val="743E1047"/>
    <w:rsid w:val="74795BDB"/>
    <w:rsid w:val="74BB4445"/>
    <w:rsid w:val="74C50E20"/>
    <w:rsid w:val="74F33BDF"/>
    <w:rsid w:val="7516167C"/>
    <w:rsid w:val="755F1275"/>
    <w:rsid w:val="75904AE2"/>
    <w:rsid w:val="76155804"/>
    <w:rsid w:val="76992564"/>
    <w:rsid w:val="76FF4ABD"/>
    <w:rsid w:val="770E6B49"/>
    <w:rsid w:val="77120749"/>
    <w:rsid w:val="772832FC"/>
    <w:rsid w:val="781C3C44"/>
    <w:rsid w:val="7872670E"/>
    <w:rsid w:val="789E3E62"/>
    <w:rsid w:val="78A21BA4"/>
    <w:rsid w:val="78EE303B"/>
    <w:rsid w:val="79015BD4"/>
    <w:rsid w:val="794C38BE"/>
    <w:rsid w:val="79F70218"/>
    <w:rsid w:val="7A212F9C"/>
    <w:rsid w:val="7A765096"/>
    <w:rsid w:val="7A8377B3"/>
    <w:rsid w:val="7B0C77A9"/>
    <w:rsid w:val="7B933A26"/>
    <w:rsid w:val="7C5E4D58"/>
    <w:rsid w:val="7C8021FC"/>
    <w:rsid w:val="7CA12173"/>
    <w:rsid w:val="7CBA0DF9"/>
    <w:rsid w:val="7CD51E1C"/>
    <w:rsid w:val="7D841250"/>
    <w:rsid w:val="7F052E8D"/>
    <w:rsid w:val="7FDD34C2"/>
    <w:rsid w:val="7FE900B8"/>
    <w:rsid w:val="7FF54CA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99" w:name="index 1"/>
    <w:lsdException w:unhideWhenUsed="0" w:uiPriority="99" w:name="index 2"/>
    <w:lsdException w:qFormat="1" w:unhideWhenUsed="0" w:uiPriority="99" w:name="index 3"/>
    <w:lsdException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name="toc 1"/>
    <w:lsdException w:qFormat="1" w:unhideWhenUsed="0" w:uiPriority="99" w:name="toc 2"/>
    <w:lsdException w:qFormat="1" w:unhideWhenUsed="0" w:uiPriority="99" w:name="toc 3"/>
    <w:lsdException w:unhideWhenUsed="0" w:uiPriority="99" w:name="toc 4"/>
    <w:lsdException w:unhideWhenUsed="0" w:uiPriority="99" w:name="toc 5"/>
    <w:lsdException w:unhideWhenUsed="0" w:uiPriority="99" w:name="toc 6"/>
    <w:lsdException w:qFormat="1" w:unhideWhenUsed="0" w:uiPriority="99" w:name="toc 7"/>
    <w:lsdException w:unhideWhenUsed="0" w:uiPriority="99" w:name="toc 8"/>
    <w:lsdException w:qFormat="1" w:unhideWhenUsed="0" w:uiPriority="99" w:name="toc 9"/>
    <w:lsdException w:qFormat="1" w:unhideWhenUsed="0" w:uiPriority="99" w:semiHidden="0" w:name="Normal Indent"/>
    <w:lsdException w:unhideWhenUsed="0" w:uiPriority="99" w:name="footnote text"/>
    <w:lsdException w:qFormat="1" w:unhideWhenUsed="0" w:uiPriority="99" w:name="annotation text"/>
    <w:lsdException w:unhideWhenUsed="0" w:uiPriority="99" w:semiHidden="0" w:name="header"/>
    <w:lsdException w:unhideWhenUsed="0" w:uiPriority="99" w:semiHidden="0" w:name="footer"/>
    <w:lsdException w:qFormat="1" w:unhideWhenUsed="0" w:uiPriority="99" w:name="index heading"/>
    <w:lsdException w:qFormat="1" w:uiPriority="35" w:name="caption" w:locked="1"/>
    <w:lsdException w:qFormat="1" w:unhideWhenUsed="0" w:uiPriority="99" w:name="table of figures"/>
    <w:lsdException w:uiPriority="99" w:name="envelope address" w:locked="1"/>
    <w:lsdException w:qFormat="1" w:unhideWhenUsed="0" w:uiPriority="99" w:semiHidden="0" w:name="envelope return" w:locked="1"/>
    <w:lsdException w:qFormat="1" w:unhideWhenUsed="0" w:uiPriority="99" w:name="footnote reference"/>
    <w:lsdException w:unhideWhenUsed="0" w:uiPriority="99" w:name="annotation reference"/>
    <w:lsdException w:qFormat="1" w:unhideWhenUsed="0" w:uiPriority="99" w:semiHidden="0" w:name="line number"/>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nhideWhenUsed="0" w:uiPriority="99" w:name="toa heading" w:locked="1"/>
    <w:lsdException w:uiPriority="99" w:name="List" w:locked="1"/>
    <w:lsdException w:unhideWhenUsed="0"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name="Body Text 2" w:locked="1"/>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nhideWhenUsed="0" w:uiPriority="99" w:semiHidden="0" w:name="HTML Cite"/>
    <w:lsdException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5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71"/>
    <w:qFormat/>
    <w:uiPriority w:val="99"/>
    <w:pPr>
      <w:keepNext/>
      <w:keepLines/>
      <w:spacing w:before="340" w:after="330" w:line="578" w:lineRule="auto"/>
      <w:outlineLvl w:val="0"/>
    </w:pPr>
    <w:rPr>
      <w:rFonts w:eastAsia="楷体_GB2312"/>
      <w:b/>
      <w:bCs/>
      <w:kern w:val="44"/>
      <w:sz w:val="20"/>
      <w:szCs w:val="20"/>
    </w:rPr>
  </w:style>
  <w:style w:type="paragraph" w:styleId="4">
    <w:name w:val="heading 2"/>
    <w:basedOn w:val="1"/>
    <w:next w:val="1"/>
    <w:link w:val="72"/>
    <w:qFormat/>
    <w:uiPriority w:val="99"/>
    <w:pPr>
      <w:keepNext/>
      <w:keepLines/>
      <w:overflowPunct w:val="0"/>
      <w:adjustRightInd w:val="0"/>
      <w:jc w:val="left"/>
      <w:textAlignment w:val="baseline"/>
      <w:outlineLvl w:val="1"/>
    </w:pPr>
    <w:rPr>
      <w:rFonts w:ascii="宋体" w:hAnsi="宋体" w:eastAsia="楷体_GB2312" w:cs="宋体"/>
      <w:b/>
      <w:bCs/>
      <w:kern w:val="0"/>
      <w:sz w:val="20"/>
      <w:szCs w:val="20"/>
    </w:rPr>
  </w:style>
  <w:style w:type="paragraph" w:styleId="5">
    <w:name w:val="heading 3"/>
    <w:basedOn w:val="1"/>
    <w:next w:val="1"/>
    <w:link w:val="73"/>
    <w:qFormat/>
    <w:uiPriority w:val="99"/>
    <w:pPr>
      <w:keepNext/>
      <w:keepLines/>
      <w:adjustRightInd w:val="0"/>
      <w:jc w:val="left"/>
      <w:textAlignment w:val="baseline"/>
      <w:outlineLvl w:val="2"/>
    </w:pPr>
    <w:rPr>
      <w:rFonts w:eastAsia="楷体_GB2312"/>
      <w:b/>
      <w:bCs/>
      <w:kern w:val="0"/>
      <w:sz w:val="20"/>
      <w:szCs w:val="20"/>
    </w:rPr>
  </w:style>
  <w:style w:type="paragraph" w:styleId="6">
    <w:name w:val="heading 4"/>
    <w:basedOn w:val="1"/>
    <w:next w:val="1"/>
    <w:link w:val="74"/>
    <w:qFormat/>
    <w:uiPriority w:val="99"/>
    <w:pPr>
      <w:keepNext/>
      <w:keepLines/>
      <w:spacing w:before="280" w:after="290" w:line="376" w:lineRule="auto"/>
      <w:outlineLvl w:val="3"/>
    </w:pPr>
    <w:rPr>
      <w:rFonts w:ascii="Cambria" w:hAnsi="Cambria" w:eastAsia="宋体" w:cs="Cambria"/>
      <w:b/>
      <w:bCs/>
      <w:kern w:val="0"/>
      <w:sz w:val="28"/>
      <w:szCs w:val="28"/>
    </w:rPr>
  </w:style>
  <w:style w:type="paragraph" w:styleId="7">
    <w:name w:val="heading 5"/>
    <w:basedOn w:val="1"/>
    <w:next w:val="8"/>
    <w:link w:val="75"/>
    <w:qFormat/>
    <w:uiPriority w:val="99"/>
    <w:pPr>
      <w:keepNext/>
      <w:keepLines/>
      <w:numPr>
        <w:ilvl w:val="4"/>
        <w:numId w:val="1"/>
      </w:numPr>
      <w:spacing w:before="280" w:after="290" w:line="376" w:lineRule="auto"/>
      <w:outlineLvl w:val="4"/>
    </w:pPr>
    <w:rPr>
      <w:rFonts w:ascii="宋体" w:eastAsia="宋体" w:cs="宋体"/>
      <w:b/>
      <w:bCs/>
      <w:spacing w:val="-2"/>
      <w:kern w:val="0"/>
      <w:position w:val="-6"/>
      <w:sz w:val="20"/>
      <w:szCs w:val="20"/>
    </w:rPr>
  </w:style>
  <w:style w:type="paragraph" w:styleId="9">
    <w:name w:val="heading 6"/>
    <w:basedOn w:val="1"/>
    <w:next w:val="8"/>
    <w:link w:val="76"/>
    <w:qFormat/>
    <w:uiPriority w:val="99"/>
    <w:pPr>
      <w:keepNext/>
      <w:keepLines/>
      <w:numPr>
        <w:ilvl w:val="5"/>
        <w:numId w:val="1"/>
      </w:numPr>
      <w:spacing w:before="240" w:after="64" w:line="320" w:lineRule="auto"/>
      <w:outlineLvl w:val="5"/>
    </w:pPr>
    <w:rPr>
      <w:rFonts w:ascii="Arial" w:hAnsi="Arial" w:eastAsia="黑体" w:cs="Arial"/>
      <w:b/>
      <w:bCs/>
      <w:spacing w:val="-2"/>
      <w:kern w:val="0"/>
      <w:position w:val="-6"/>
      <w:sz w:val="20"/>
      <w:szCs w:val="20"/>
    </w:rPr>
  </w:style>
  <w:style w:type="paragraph" w:styleId="10">
    <w:name w:val="heading 7"/>
    <w:basedOn w:val="1"/>
    <w:next w:val="8"/>
    <w:link w:val="77"/>
    <w:qFormat/>
    <w:uiPriority w:val="99"/>
    <w:pPr>
      <w:keepNext/>
      <w:keepLines/>
      <w:numPr>
        <w:ilvl w:val="6"/>
        <w:numId w:val="1"/>
      </w:numPr>
      <w:spacing w:before="240" w:after="64" w:line="320" w:lineRule="auto"/>
      <w:outlineLvl w:val="6"/>
    </w:pPr>
    <w:rPr>
      <w:rFonts w:ascii="宋体" w:eastAsia="宋体" w:cs="宋体"/>
      <w:b/>
      <w:bCs/>
      <w:spacing w:val="-2"/>
      <w:kern w:val="0"/>
      <w:position w:val="-6"/>
      <w:sz w:val="20"/>
      <w:szCs w:val="20"/>
    </w:rPr>
  </w:style>
  <w:style w:type="paragraph" w:styleId="11">
    <w:name w:val="heading 8"/>
    <w:basedOn w:val="1"/>
    <w:next w:val="8"/>
    <w:link w:val="78"/>
    <w:qFormat/>
    <w:uiPriority w:val="99"/>
    <w:pPr>
      <w:keepNext/>
      <w:keepLines/>
      <w:numPr>
        <w:ilvl w:val="7"/>
        <w:numId w:val="1"/>
      </w:numPr>
      <w:spacing w:before="240" w:after="64" w:line="320" w:lineRule="auto"/>
      <w:outlineLvl w:val="7"/>
    </w:pPr>
    <w:rPr>
      <w:rFonts w:ascii="Arial" w:hAnsi="Arial" w:eastAsia="黑体" w:cs="Arial"/>
      <w:spacing w:val="-2"/>
      <w:kern w:val="0"/>
      <w:position w:val="-6"/>
      <w:sz w:val="20"/>
      <w:szCs w:val="20"/>
    </w:rPr>
  </w:style>
  <w:style w:type="paragraph" w:styleId="12">
    <w:name w:val="heading 9"/>
    <w:basedOn w:val="1"/>
    <w:next w:val="8"/>
    <w:link w:val="79"/>
    <w:qFormat/>
    <w:uiPriority w:val="99"/>
    <w:pPr>
      <w:keepNext/>
      <w:keepLines/>
      <w:numPr>
        <w:ilvl w:val="8"/>
        <w:numId w:val="1"/>
      </w:numPr>
      <w:spacing w:before="240" w:after="64" w:line="320" w:lineRule="auto"/>
      <w:outlineLvl w:val="8"/>
    </w:pPr>
    <w:rPr>
      <w:rFonts w:ascii="Arial" w:hAnsi="Arial" w:eastAsia="黑体" w:cs="Arial"/>
      <w:spacing w:val="-2"/>
      <w:kern w:val="0"/>
      <w:position w:val="-6"/>
      <w:sz w:val="20"/>
      <w:szCs w:val="20"/>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3"/>
    <w:uiPriority w:val="99"/>
    <w:pPr>
      <w:spacing w:line="400" w:lineRule="exact"/>
    </w:pPr>
    <w:rPr>
      <w:rFonts w:ascii="楷体_GB2312" w:eastAsia="楷体_GB2312" w:cs="楷体_GB2312"/>
      <w:kern w:val="0"/>
      <w:sz w:val="20"/>
      <w:szCs w:val="20"/>
    </w:rPr>
  </w:style>
  <w:style w:type="paragraph" w:styleId="8">
    <w:name w:val="Normal Indent"/>
    <w:basedOn w:val="1"/>
    <w:link w:val="100"/>
    <w:qFormat/>
    <w:uiPriority w:val="99"/>
    <w:pPr>
      <w:adjustRightInd w:val="0"/>
      <w:ind w:firstLine="420"/>
      <w:jc w:val="left"/>
      <w:textAlignment w:val="baseline"/>
    </w:pPr>
    <w:rPr>
      <w:rFonts w:eastAsia="楷体_GB2312"/>
      <w:kern w:val="0"/>
      <w:sz w:val="20"/>
      <w:szCs w:val="20"/>
    </w:rPr>
  </w:style>
  <w:style w:type="paragraph" w:styleId="13">
    <w:name w:val="toc 7"/>
    <w:basedOn w:val="1"/>
    <w:next w:val="1"/>
    <w:semiHidden/>
    <w:qFormat/>
    <w:uiPriority w:val="99"/>
    <w:pPr>
      <w:ind w:left="2520"/>
    </w:pPr>
    <w:rPr>
      <w:rFonts w:eastAsia="楷体_GB2312"/>
      <w:sz w:val="26"/>
      <w:szCs w:val="26"/>
    </w:rPr>
  </w:style>
  <w:style w:type="paragraph" w:styleId="14">
    <w:name w:val="index 8"/>
    <w:basedOn w:val="1"/>
    <w:next w:val="1"/>
    <w:semiHidden/>
    <w:qFormat/>
    <w:uiPriority w:val="99"/>
    <w:pPr>
      <w:ind w:left="2940"/>
    </w:pPr>
    <w:rPr>
      <w:rFonts w:eastAsia="楷体_GB2312"/>
      <w:sz w:val="26"/>
      <w:szCs w:val="26"/>
    </w:rPr>
  </w:style>
  <w:style w:type="paragraph" w:styleId="15">
    <w:name w:val="index 5"/>
    <w:basedOn w:val="1"/>
    <w:next w:val="1"/>
    <w:semiHidden/>
    <w:qFormat/>
    <w:uiPriority w:val="99"/>
    <w:pPr>
      <w:ind w:left="1680"/>
    </w:pPr>
    <w:rPr>
      <w:rFonts w:eastAsia="楷体_GB2312"/>
      <w:sz w:val="26"/>
      <w:szCs w:val="26"/>
    </w:rPr>
  </w:style>
  <w:style w:type="paragraph" w:styleId="16">
    <w:name w:val="List Bullet"/>
    <w:basedOn w:val="1"/>
    <w:semiHidden/>
    <w:locked/>
    <w:uiPriority w:val="99"/>
    <w:pPr>
      <w:tabs>
        <w:tab w:val="left" w:pos="360"/>
      </w:tabs>
      <w:spacing w:beforeLines="50" w:afterLines="50"/>
      <w:ind w:left="360" w:hanging="360" w:hangingChars="200"/>
    </w:pPr>
    <w:rPr>
      <w:rFonts w:eastAsia="宋体"/>
    </w:rPr>
  </w:style>
  <w:style w:type="paragraph" w:styleId="17">
    <w:name w:val="Document Map"/>
    <w:basedOn w:val="1"/>
    <w:link w:val="80"/>
    <w:semiHidden/>
    <w:qFormat/>
    <w:uiPriority w:val="99"/>
    <w:pPr>
      <w:shd w:val="clear" w:color="auto" w:fill="000080"/>
    </w:pPr>
    <w:rPr>
      <w:rFonts w:eastAsia="楷体_GB2312"/>
      <w:kern w:val="0"/>
      <w:sz w:val="20"/>
      <w:szCs w:val="20"/>
    </w:rPr>
  </w:style>
  <w:style w:type="paragraph" w:styleId="18">
    <w:name w:val="toa heading"/>
    <w:basedOn w:val="1"/>
    <w:next w:val="1"/>
    <w:semiHidden/>
    <w:locked/>
    <w:uiPriority w:val="99"/>
    <w:pPr>
      <w:adjustRightInd w:val="0"/>
      <w:spacing w:before="120" w:line="312" w:lineRule="atLeast"/>
      <w:textAlignment w:val="baseline"/>
    </w:pPr>
    <w:rPr>
      <w:rFonts w:ascii="Arial" w:hAnsi="Arial" w:eastAsia="宋体" w:cs="Arial"/>
      <w:b/>
      <w:bCs/>
      <w:kern w:val="0"/>
    </w:rPr>
  </w:style>
  <w:style w:type="paragraph" w:styleId="19">
    <w:name w:val="annotation text"/>
    <w:basedOn w:val="1"/>
    <w:link w:val="81"/>
    <w:semiHidden/>
    <w:qFormat/>
    <w:uiPriority w:val="99"/>
    <w:pPr>
      <w:jc w:val="left"/>
    </w:pPr>
  </w:style>
  <w:style w:type="paragraph" w:styleId="20">
    <w:name w:val="index 6"/>
    <w:basedOn w:val="1"/>
    <w:next w:val="1"/>
    <w:semiHidden/>
    <w:qFormat/>
    <w:uiPriority w:val="99"/>
    <w:pPr>
      <w:ind w:left="2100"/>
    </w:pPr>
    <w:rPr>
      <w:rFonts w:eastAsia="楷体_GB2312"/>
      <w:sz w:val="26"/>
      <w:szCs w:val="26"/>
    </w:rPr>
  </w:style>
  <w:style w:type="paragraph" w:styleId="21">
    <w:name w:val="Body Text 3"/>
    <w:basedOn w:val="1"/>
    <w:link w:val="82"/>
    <w:qFormat/>
    <w:locked/>
    <w:uiPriority w:val="99"/>
    <w:pPr>
      <w:spacing w:after="120"/>
    </w:pPr>
    <w:rPr>
      <w:rFonts w:eastAsia="宋体"/>
      <w:kern w:val="0"/>
      <w:sz w:val="16"/>
      <w:szCs w:val="16"/>
    </w:rPr>
  </w:style>
  <w:style w:type="paragraph" w:styleId="22">
    <w:name w:val="Body Text Indent"/>
    <w:basedOn w:val="1"/>
    <w:next w:val="23"/>
    <w:link w:val="131"/>
    <w:qFormat/>
    <w:uiPriority w:val="99"/>
    <w:pPr>
      <w:spacing w:line="520" w:lineRule="exact"/>
      <w:ind w:left="570"/>
    </w:pPr>
    <w:rPr>
      <w:rFonts w:eastAsia="宋体"/>
      <w:kern w:val="0"/>
    </w:rPr>
  </w:style>
  <w:style w:type="paragraph" w:styleId="23">
    <w:name w:val="envelope return"/>
    <w:basedOn w:val="1"/>
    <w:qFormat/>
    <w:locked/>
    <w:uiPriority w:val="99"/>
    <w:pPr>
      <w:snapToGrid w:val="0"/>
    </w:pPr>
    <w:rPr>
      <w:rFonts w:ascii="Arial" w:hAnsi="Arial"/>
    </w:rPr>
  </w:style>
  <w:style w:type="paragraph" w:styleId="24">
    <w:name w:val="Block Text"/>
    <w:basedOn w:val="1"/>
    <w:qFormat/>
    <w:locked/>
    <w:uiPriority w:val="99"/>
    <w:pPr>
      <w:spacing w:line="360" w:lineRule="auto"/>
      <w:ind w:left="238" w:right="238"/>
    </w:pPr>
    <w:rPr>
      <w:rFonts w:eastAsia="宋体"/>
    </w:rPr>
  </w:style>
  <w:style w:type="paragraph" w:styleId="25">
    <w:name w:val="index 4"/>
    <w:basedOn w:val="1"/>
    <w:next w:val="1"/>
    <w:semiHidden/>
    <w:uiPriority w:val="99"/>
    <w:pPr>
      <w:ind w:left="1260"/>
    </w:pPr>
    <w:rPr>
      <w:rFonts w:eastAsia="楷体_GB2312"/>
      <w:sz w:val="26"/>
      <w:szCs w:val="26"/>
    </w:rPr>
  </w:style>
  <w:style w:type="paragraph" w:styleId="26">
    <w:name w:val="toc 5"/>
    <w:basedOn w:val="1"/>
    <w:next w:val="1"/>
    <w:semiHidden/>
    <w:uiPriority w:val="99"/>
    <w:pPr>
      <w:ind w:left="1680"/>
    </w:pPr>
    <w:rPr>
      <w:rFonts w:eastAsia="楷体_GB2312"/>
      <w:sz w:val="26"/>
      <w:szCs w:val="26"/>
    </w:rPr>
  </w:style>
  <w:style w:type="paragraph" w:styleId="27">
    <w:name w:val="toc 3"/>
    <w:basedOn w:val="1"/>
    <w:next w:val="1"/>
    <w:semiHidden/>
    <w:qFormat/>
    <w:uiPriority w:val="99"/>
    <w:pPr>
      <w:ind w:left="840"/>
    </w:pPr>
    <w:rPr>
      <w:rFonts w:eastAsia="楷体_GB2312"/>
      <w:sz w:val="26"/>
      <w:szCs w:val="26"/>
    </w:rPr>
  </w:style>
  <w:style w:type="paragraph" w:styleId="28">
    <w:name w:val="Plain Text"/>
    <w:basedOn w:val="1"/>
    <w:link w:val="127"/>
    <w:qFormat/>
    <w:uiPriority w:val="99"/>
    <w:rPr>
      <w:rFonts w:ascii="宋体" w:hAnsi="Courier New" w:eastAsia="宋体" w:cs="宋体"/>
      <w:kern w:val="0"/>
      <w:sz w:val="21"/>
      <w:szCs w:val="21"/>
    </w:rPr>
  </w:style>
  <w:style w:type="paragraph" w:styleId="29">
    <w:name w:val="toc 8"/>
    <w:basedOn w:val="1"/>
    <w:next w:val="1"/>
    <w:semiHidden/>
    <w:uiPriority w:val="99"/>
    <w:pPr>
      <w:ind w:left="2940"/>
    </w:pPr>
    <w:rPr>
      <w:rFonts w:eastAsia="楷体_GB2312"/>
      <w:sz w:val="26"/>
      <w:szCs w:val="26"/>
    </w:rPr>
  </w:style>
  <w:style w:type="paragraph" w:styleId="30">
    <w:name w:val="index 3"/>
    <w:basedOn w:val="1"/>
    <w:next w:val="1"/>
    <w:semiHidden/>
    <w:qFormat/>
    <w:uiPriority w:val="99"/>
    <w:pPr>
      <w:ind w:left="840"/>
    </w:pPr>
    <w:rPr>
      <w:rFonts w:eastAsia="楷体_GB2312"/>
      <w:sz w:val="26"/>
      <w:szCs w:val="26"/>
    </w:rPr>
  </w:style>
  <w:style w:type="paragraph" w:styleId="31">
    <w:name w:val="Date"/>
    <w:basedOn w:val="1"/>
    <w:next w:val="1"/>
    <w:link w:val="86"/>
    <w:qFormat/>
    <w:uiPriority w:val="99"/>
    <w:rPr>
      <w:rFonts w:ascii="宋体" w:hAnsi="宋体" w:eastAsia="楷体_GB2312" w:cs="宋体"/>
      <w:kern w:val="0"/>
      <w:sz w:val="20"/>
      <w:szCs w:val="20"/>
    </w:rPr>
  </w:style>
  <w:style w:type="paragraph" w:styleId="32">
    <w:name w:val="Body Text Indent 2"/>
    <w:basedOn w:val="1"/>
    <w:link w:val="87"/>
    <w:qFormat/>
    <w:uiPriority w:val="99"/>
    <w:pPr>
      <w:tabs>
        <w:tab w:val="left" w:pos="0"/>
      </w:tabs>
      <w:spacing w:line="360" w:lineRule="auto"/>
      <w:ind w:firstLine="502" w:firstLineChars="209"/>
    </w:pPr>
    <w:rPr>
      <w:rFonts w:ascii="宋体" w:eastAsia="宋体" w:cs="宋体"/>
      <w:b/>
      <w:bCs/>
      <w:kern w:val="0"/>
      <w:sz w:val="20"/>
      <w:szCs w:val="20"/>
    </w:rPr>
  </w:style>
  <w:style w:type="paragraph" w:styleId="33">
    <w:name w:val="Balloon Text"/>
    <w:basedOn w:val="1"/>
    <w:link w:val="88"/>
    <w:semiHidden/>
    <w:uiPriority w:val="99"/>
    <w:rPr>
      <w:rFonts w:eastAsia="楷体_GB2312"/>
      <w:kern w:val="0"/>
      <w:sz w:val="18"/>
      <w:szCs w:val="18"/>
    </w:rPr>
  </w:style>
  <w:style w:type="paragraph" w:styleId="34">
    <w:name w:val="footer"/>
    <w:basedOn w:val="1"/>
    <w:link w:val="118"/>
    <w:uiPriority w:val="99"/>
    <w:pPr>
      <w:tabs>
        <w:tab w:val="center" w:pos="4153"/>
        <w:tab w:val="right" w:pos="8306"/>
      </w:tabs>
      <w:snapToGrid w:val="0"/>
      <w:jc w:val="left"/>
    </w:pPr>
    <w:rPr>
      <w:rFonts w:eastAsia="宋体"/>
      <w:kern w:val="0"/>
      <w:sz w:val="18"/>
      <w:szCs w:val="18"/>
    </w:rPr>
  </w:style>
  <w:style w:type="paragraph" w:styleId="35">
    <w:name w:val="header"/>
    <w:basedOn w:val="1"/>
    <w:link w:val="121"/>
    <w:uiPriority w:val="99"/>
    <w:pPr>
      <w:pBdr>
        <w:bottom w:val="single" w:color="auto" w:sz="6" w:space="1"/>
      </w:pBdr>
      <w:tabs>
        <w:tab w:val="center" w:pos="4153"/>
        <w:tab w:val="right" w:pos="8306"/>
      </w:tabs>
      <w:snapToGrid w:val="0"/>
      <w:jc w:val="center"/>
    </w:pPr>
    <w:rPr>
      <w:rFonts w:eastAsia="宋体"/>
      <w:kern w:val="0"/>
      <w:sz w:val="18"/>
      <w:szCs w:val="18"/>
    </w:rPr>
  </w:style>
  <w:style w:type="paragraph" w:styleId="36">
    <w:name w:val="toc 1"/>
    <w:basedOn w:val="1"/>
    <w:next w:val="1"/>
    <w:semiHidden/>
    <w:qFormat/>
    <w:uiPriority w:val="99"/>
    <w:pPr>
      <w:adjustRightInd w:val="0"/>
      <w:jc w:val="left"/>
      <w:textAlignment w:val="baseline"/>
    </w:pPr>
    <w:rPr>
      <w:rFonts w:eastAsia="楷体_GB2312"/>
    </w:rPr>
  </w:style>
  <w:style w:type="paragraph" w:styleId="37">
    <w:name w:val="toc 4"/>
    <w:basedOn w:val="1"/>
    <w:next w:val="1"/>
    <w:semiHidden/>
    <w:uiPriority w:val="99"/>
    <w:pPr>
      <w:ind w:left="1260"/>
    </w:pPr>
    <w:rPr>
      <w:rFonts w:eastAsia="楷体_GB2312"/>
      <w:sz w:val="26"/>
      <w:szCs w:val="26"/>
    </w:rPr>
  </w:style>
  <w:style w:type="paragraph" w:styleId="38">
    <w:name w:val="index heading"/>
    <w:basedOn w:val="1"/>
    <w:next w:val="39"/>
    <w:semiHidden/>
    <w:qFormat/>
    <w:uiPriority w:val="99"/>
    <w:rPr>
      <w:rFonts w:eastAsia="楷体_GB2312"/>
      <w:sz w:val="26"/>
      <w:szCs w:val="26"/>
    </w:rPr>
  </w:style>
  <w:style w:type="paragraph" w:styleId="39">
    <w:name w:val="index 1"/>
    <w:basedOn w:val="1"/>
    <w:next w:val="1"/>
    <w:semiHidden/>
    <w:uiPriority w:val="99"/>
    <w:rPr>
      <w:rFonts w:eastAsia="楷体_GB2312"/>
      <w:sz w:val="26"/>
      <w:szCs w:val="26"/>
    </w:rPr>
  </w:style>
  <w:style w:type="paragraph" w:styleId="40">
    <w:name w:val="footnote text"/>
    <w:basedOn w:val="1"/>
    <w:link w:val="91"/>
    <w:semiHidden/>
    <w:uiPriority w:val="99"/>
    <w:pPr>
      <w:snapToGrid w:val="0"/>
      <w:jc w:val="left"/>
    </w:pPr>
    <w:rPr>
      <w:rFonts w:eastAsia="楷体_GB2312"/>
      <w:kern w:val="0"/>
      <w:sz w:val="20"/>
      <w:szCs w:val="20"/>
    </w:rPr>
  </w:style>
  <w:style w:type="paragraph" w:styleId="41">
    <w:name w:val="toc 6"/>
    <w:basedOn w:val="1"/>
    <w:next w:val="1"/>
    <w:semiHidden/>
    <w:uiPriority w:val="99"/>
    <w:pPr>
      <w:ind w:left="2100"/>
    </w:pPr>
    <w:rPr>
      <w:rFonts w:eastAsia="楷体_GB2312"/>
      <w:sz w:val="26"/>
      <w:szCs w:val="26"/>
    </w:rPr>
  </w:style>
  <w:style w:type="paragraph" w:styleId="42">
    <w:name w:val="Body Text Indent 3"/>
    <w:basedOn w:val="1"/>
    <w:link w:val="92"/>
    <w:qFormat/>
    <w:uiPriority w:val="99"/>
    <w:pPr>
      <w:spacing w:line="360" w:lineRule="auto"/>
      <w:ind w:firstLine="617" w:firstLineChars="257"/>
    </w:pPr>
    <w:rPr>
      <w:rFonts w:eastAsia="宋体"/>
      <w:kern w:val="0"/>
      <w:sz w:val="20"/>
      <w:szCs w:val="20"/>
    </w:rPr>
  </w:style>
  <w:style w:type="paragraph" w:styleId="43">
    <w:name w:val="index 7"/>
    <w:basedOn w:val="1"/>
    <w:next w:val="1"/>
    <w:semiHidden/>
    <w:qFormat/>
    <w:uiPriority w:val="99"/>
    <w:pPr>
      <w:ind w:left="2520"/>
    </w:pPr>
    <w:rPr>
      <w:rFonts w:eastAsia="楷体_GB2312"/>
      <w:sz w:val="26"/>
      <w:szCs w:val="26"/>
    </w:rPr>
  </w:style>
  <w:style w:type="paragraph" w:styleId="44">
    <w:name w:val="index 9"/>
    <w:basedOn w:val="1"/>
    <w:next w:val="1"/>
    <w:semiHidden/>
    <w:qFormat/>
    <w:uiPriority w:val="99"/>
    <w:pPr>
      <w:ind w:left="3360"/>
    </w:pPr>
    <w:rPr>
      <w:rFonts w:eastAsia="楷体_GB2312"/>
      <w:sz w:val="26"/>
      <w:szCs w:val="26"/>
    </w:rPr>
  </w:style>
  <w:style w:type="paragraph" w:styleId="45">
    <w:name w:val="table of figures"/>
    <w:basedOn w:val="1"/>
    <w:next w:val="1"/>
    <w:semiHidden/>
    <w:qFormat/>
    <w:uiPriority w:val="99"/>
    <w:pPr>
      <w:adjustRightInd w:val="0"/>
      <w:ind w:left="420" w:hanging="420"/>
      <w:jc w:val="left"/>
      <w:textAlignment w:val="baseline"/>
    </w:pPr>
    <w:rPr>
      <w:rFonts w:eastAsia="楷体_GB2312"/>
      <w:smallCaps/>
    </w:rPr>
  </w:style>
  <w:style w:type="paragraph" w:styleId="46">
    <w:name w:val="toc 2"/>
    <w:basedOn w:val="1"/>
    <w:next w:val="1"/>
    <w:semiHidden/>
    <w:qFormat/>
    <w:uiPriority w:val="99"/>
    <w:pPr>
      <w:ind w:left="420"/>
    </w:pPr>
    <w:rPr>
      <w:rFonts w:eastAsia="楷体_GB2312"/>
      <w:sz w:val="26"/>
      <w:szCs w:val="26"/>
    </w:rPr>
  </w:style>
  <w:style w:type="paragraph" w:styleId="47">
    <w:name w:val="toc 9"/>
    <w:basedOn w:val="1"/>
    <w:next w:val="1"/>
    <w:semiHidden/>
    <w:qFormat/>
    <w:uiPriority w:val="99"/>
    <w:pPr>
      <w:ind w:left="3360"/>
    </w:pPr>
    <w:rPr>
      <w:rFonts w:eastAsia="楷体_GB2312"/>
      <w:sz w:val="26"/>
      <w:szCs w:val="26"/>
    </w:rPr>
  </w:style>
  <w:style w:type="paragraph" w:styleId="48">
    <w:name w:val="Body Text 2"/>
    <w:basedOn w:val="1"/>
    <w:link w:val="93"/>
    <w:semiHidden/>
    <w:qFormat/>
    <w:locked/>
    <w:uiPriority w:val="99"/>
    <w:pPr>
      <w:spacing w:after="120" w:line="480" w:lineRule="auto"/>
    </w:pPr>
    <w:rPr>
      <w:rFonts w:eastAsia="宋体"/>
      <w:sz w:val="21"/>
      <w:szCs w:val="21"/>
    </w:rPr>
  </w:style>
  <w:style w:type="paragraph" w:styleId="49">
    <w:name w:val="HTML Preformatted"/>
    <w:basedOn w:val="1"/>
    <w:link w:val="9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50">
    <w:name w:val="Normal (Web)"/>
    <w:basedOn w:val="1"/>
    <w:uiPriority w:val="99"/>
    <w:pPr>
      <w:spacing w:before="100" w:beforeAutospacing="1" w:after="100" w:afterAutospacing="1"/>
      <w:jc w:val="left"/>
    </w:pPr>
    <w:rPr>
      <w:rFonts w:ascii="Calibri" w:hAnsi="Calibri" w:eastAsia="宋体" w:cs="Calibri"/>
      <w:kern w:val="0"/>
    </w:rPr>
  </w:style>
  <w:style w:type="paragraph" w:styleId="51">
    <w:name w:val="index 2"/>
    <w:basedOn w:val="1"/>
    <w:next w:val="1"/>
    <w:semiHidden/>
    <w:uiPriority w:val="99"/>
    <w:pPr>
      <w:ind w:left="420"/>
    </w:pPr>
    <w:rPr>
      <w:rFonts w:eastAsia="楷体_GB2312"/>
      <w:sz w:val="26"/>
      <w:szCs w:val="26"/>
    </w:rPr>
  </w:style>
  <w:style w:type="paragraph" w:styleId="52">
    <w:name w:val="Title"/>
    <w:basedOn w:val="1"/>
    <w:next w:val="1"/>
    <w:link w:val="95"/>
    <w:qFormat/>
    <w:uiPriority w:val="99"/>
    <w:pPr>
      <w:spacing w:before="240" w:after="60"/>
      <w:jc w:val="center"/>
      <w:outlineLvl w:val="0"/>
    </w:pPr>
    <w:rPr>
      <w:rFonts w:ascii="Cambria" w:hAnsi="Cambria" w:eastAsia="宋体" w:cs="Cambria"/>
      <w:b/>
      <w:bCs/>
      <w:kern w:val="0"/>
      <w:sz w:val="32"/>
      <w:szCs w:val="32"/>
    </w:rPr>
  </w:style>
  <w:style w:type="paragraph" w:styleId="53">
    <w:name w:val="annotation subject"/>
    <w:basedOn w:val="19"/>
    <w:next w:val="19"/>
    <w:link w:val="96"/>
    <w:semiHidden/>
    <w:qFormat/>
    <w:uiPriority w:val="99"/>
    <w:rPr>
      <w:rFonts w:eastAsia="楷体_GB2312"/>
      <w:b/>
      <w:bCs/>
      <w:kern w:val="0"/>
      <w:sz w:val="20"/>
      <w:szCs w:val="20"/>
    </w:rPr>
  </w:style>
  <w:style w:type="paragraph" w:styleId="54">
    <w:name w:val="Body Text First Indent 2"/>
    <w:basedOn w:val="22"/>
    <w:next w:val="1"/>
    <w:link w:val="440"/>
    <w:semiHidden/>
    <w:unhideWhenUsed/>
    <w:locked/>
    <w:uiPriority w:val="99"/>
    <w:pPr>
      <w:spacing w:after="120" w:line="240" w:lineRule="auto"/>
      <w:ind w:left="420" w:leftChars="200" w:firstLine="420" w:firstLineChars="200"/>
    </w:pPr>
    <w:rPr>
      <w:rFonts w:eastAsia="仿宋_GB2312"/>
      <w:kern w:val="2"/>
    </w:rPr>
  </w:style>
  <w:style w:type="table" w:styleId="56">
    <w:name w:val="Table Grid"/>
    <w:basedOn w:val="5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99"/>
    <w:rPr>
      <w:b/>
      <w:bCs/>
    </w:rPr>
  </w:style>
  <w:style w:type="character" w:styleId="59">
    <w:name w:val="page number"/>
    <w:basedOn w:val="57"/>
    <w:uiPriority w:val="99"/>
  </w:style>
  <w:style w:type="character" w:styleId="60">
    <w:name w:val="FollowedHyperlink"/>
    <w:qFormat/>
    <w:uiPriority w:val="99"/>
    <w:rPr>
      <w:color w:val="auto"/>
      <w:u w:val="single"/>
    </w:rPr>
  </w:style>
  <w:style w:type="character" w:styleId="61">
    <w:name w:val="Emphasis"/>
    <w:qFormat/>
    <w:uiPriority w:val="99"/>
    <w:rPr>
      <w:i/>
      <w:iCs/>
    </w:rPr>
  </w:style>
  <w:style w:type="character" w:styleId="62">
    <w:name w:val="line number"/>
    <w:basedOn w:val="57"/>
    <w:qFormat/>
    <w:uiPriority w:val="99"/>
  </w:style>
  <w:style w:type="character" w:styleId="63">
    <w:name w:val="HTML Definition"/>
    <w:qFormat/>
    <w:uiPriority w:val="99"/>
    <w:rPr>
      <w:i/>
      <w:iCs/>
    </w:rPr>
  </w:style>
  <w:style w:type="character" w:styleId="64">
    <w:name w:val="Hyperlink"/>
    <w:qFormat/>
    <w:uiPriority w:val="99"/>
    <w:rPr>
      <w:color w:val="0000FF"/>
      <w:u w:val="single"/>
    </w:rPr>
  </w:style>
  <w:style w:type="character" w:styleId="65">
    <w:name w:val="HTML Code"/>
    <w:uiPriority w:val="99"/>
    <w:rPr>
      <w:rFonts w:ascii="Menlo" w:hAnsi="Menlo" w:cs="Menlo"/>
      <w:color w:val="auto"/>
      <w:sz w:val="21"/>
      <w:szCs w:val="21"/>
      <w:shd w:val="clear" w:color="auto" w:fill="auto"/>
    </w:rPr>
  </w:style>
  <w:style w:type="character" w:styleId="66">
    <w:name w:val="annotation reference"/>
    <w:semiHidden/>
    <w:uiPriority w:val="99"/>
    <w:rPr>
      <w:sz w:val="21"/>
      <w:szCs w:val="21"/>
    </w:rPr>
  </w:style>
  <w:style w:type="character" w:styleId="67">
    <w:name w:val="HTML Cite"/>
    <w:basedOn w:val="57"/>
    <w:uiPriority w:val="99"/>
  </w:style>
  <w:style w:type="character" w:styleId="68">
    <w:name w:val="footnote reference"/>
    <w:semiHidden/>
    <w:qFormat/>
    <w:uiPriority w:val="99"/>
    <w:rPr>
      <w:vertAlign w:val="superscript"/>
    </w:rPr>
  </w:style>
  <w:style w:type="character" w:styleId="69">
    <w:name w:val="HTML Keyboard"/>
    <w:qFormat/>
    <w:uiPriority w:val="99"/>
    <w:rPr>
      <w:rFonts w:ascii="Menlo" w:hAnsi="Menlo" w:cs="Menlo"/>
      <w:sz w:val="21"/>
      <w:szCs w:val="21"/>
    </w:rPr>
  </w:style>
  <w:style w:type="character" w:styleId="70">
    <w:name w:val="HTML Sample"/>
    <w:qFormat/>
    <w:uiPriority w:val="99"/>
    <w:rPr>
      <w:rFonts w:ascii="Menlo" w:hAnsi="Menlo" w:cs="Menlo"/>
      <w:sz w:val="21"/>
      <w:szCs w:val="21"/>
    </w:rPr>
  </w:style>
  <w:style w:type="character" w:customStyle="1" w:styleId="71">
    <w:name w:val="标题 1 字符"/>
    <w:link w:val="3"/>
    <w:qFormat/>
    <w:locked/>
    <w:uiPriority w:val="99"/>
    <w:rPr>
      <w:rFonts w:eastAsia="楷体_GB2312"/>
      <w:b/>
      <w:bCs/>
      <w:kern w:val="44"/>
      <w:sz w:val="20"/>
      <w:szCs w:val="20"/>
    </w:rPr>
  </w:style>
  <w:style w:type="character" w:customStyle="1" w:styleId="72">
    <w:name w:val="标题 2 字符"/>
    <w:link w:val="4"/>
    <w:qFormat/>
    <w:locked/>
    <w:uiPriority w:val="99"/>
    <w:rPr>
      <w:rFonts w:ascii="宋体" w:hAnsi="宋体" w:eastAsia="楷体_GB2312" w:cs="宋体"/>
      <w:b/>
      <w:bCs/>
      <w:sz w:val="20"/>
      <w:szCs w:val="20"/>
    </w:rPr>
  </w:style>
  <w:style w:type="character" w:customStyle="1" w:styleId="73">
    <w:name w:val="标题 3 字符"/>
    <w:link w:val="5"/>
    <w:qFormat/>
    <w:locked/>
    <w:uiPriority w:val="99"/>
    <w:rPr>
      <w:rFonts w:eastAsia="楷体_GB2312"/>
      <w:b/>
      <w:bCs/>
      <w:sz w:val="20"/>
      <w:szCs w:val="20"/>
    </w:rPr>
  </w:style>
  <w:style w:type="character" w:customStyle="1" w:styleId="74">
    <w:name w:val="标题 4 字符"/>
    <w:link w:val="6"/>
    <w:qFormat/>
    <w:locked/>
    <w:uiPriority w:val="99"/>
    <w:rPr>
      <w:rFonts w:ascii="Cambria" w:hAnsi="Cambria" w:eastAsia="宋体" w:cs="Cambria"/>
      <w:b/>
      <w:bCs/>
      <w:sz w:val="28"/>
      <w:szCs w:val="28"/>
    </w:rPr>
  </w:style>
  <w:style w:type="character" w:customStyle="1" w:styleId="75">
    <w:name w:val="标题 5 字符"/>
    <w:link w:val="7"/>
    <w:qFormat/>
    <w:locked/>
    <w:uiPriority w:val="99"/>
    <w:rPr>
      <w:rFonts w:ascii="宋体" w:cs="宋体"/>
      <w:b/>
      <w:bCs/>
      <w:spacing w:val="-2"/>
      <w:kern w:val="0"/>
      <w:position w:val="-6"/>
      <w:sz w:val="20"/>
      <w:szCs w:val="20"/>
    </w:rPr>
  </w:style>
  <w:style w:type="character" w:customStyle="1" w:styleId="76">
    <w:name w:val="标题 6 字符"/>
    <w:link w:val="9"/>
    <w:qFormat/>
    <w:locked/>
    <w:uiPriority w:val="99"/>
    <w:rPr>
      <w:rFonts w:ascii="Arial" w:hAnsi="Arial" w:eastAsia="黑体" w:cs="Arial"/>
      <w:b/>
      <w:bCs/>
      <w:spacing w:val="-2"/>
      <w:kern w:val="0"/>
      <w:position w:val="-6"/>
      <w:sz w:val="20"/>
      <w:szCs w:val="20"/>
    </w:rPr>
  </w:style>
  <w:style w:type="character" w:customStyle="1" w:styleId="77">
    <w:name w:val="标题 7 字符"/>
    <w:link w:val="10"/>
    <w:qFormat/>
    <w:locked/>
    <w:uiPriority w:val="99"/>
    <w:rPr>
      <w:rFonts w:ascii="宋体" w:cs="宋体"/>
      <w:b/>
      <w:bCs/>
      <w:spacing w:val="-2"/>
      <w:kern w:val="0"/>
      <w:position w:val="-6"/>
      <w:sz w:val="20"/>
      <w:szCs w:val="20"/>
    </w:rPr>
  </w:style>
  <w:style w:type="character" w:customStyle="1" w:styleId="78">
    <w:name w:val="标题 8 字符"/>
    <w:link w:val="11"/>
    <w:qFormat/>
    <w:locked/>
    <w:uiPriority w:val="99"/>
    <w:rPr>
      <w:rFonts w:ascii="Arial" w:hAnsi="Arial" w:eastAsia="黑体" w:cs="Arial"/>
      <w:spacing w:val="-2"/>
      <w:kern w:val="0"/>
      <w:position w:val="-6"/>
      <w:sz w:val="20"/>
      <w:szCs w:val="20"/>
    </w:rPr>
  </w:style>
  <w:style w:type="character" w:customStyle="1" w:styleId="79">
    <w:name w:val="标题 9 字符"/>
    <w:link w:val="12"/>
    <w:qFormat/>
    <w:locked/>
    <w:uiPriority w:val="99"/>
    <w:rPr>
      <w:rFonts w:ascii="Arial" w:hAnsi="Arial" w:eastAsia="黑体" w:cs="Arial"/>
      <w:spacing w:val="-2"/>
      <w:kern w:val="0"/>
      <w:position w:val="-6"/>
      <w:sz w:val="20"/>
      <w:szCs w:val="20"/>
    </w:rPr>
  </w:style>
  <w:style w:type="character" w:customStyle="1" w:styleId="80">
    <w:name w:val="文档结构图 字符"/>
    <w:link w:val="17"/>
    <w:semiHidden/>
    <w:qFormat/>
    <w:locked/>
    <w:uiPriority w:val="99"/>
    <w:rPr>
      <w:rFonts w:eastAsia="楷体_GB2312"/>
      <w:sz w:val="20"/>
      <w:szCs w:val="20"/>
      <w:shd w:val="clear" w:color="auto" w:fill="000080"/>
    </w:rPr>
  </w:style>
  <w:style w:type="character" w:customStyle="1" w:styleId="81">
    <w:name w:val="批注文字 字符1"/>
    <w:basedOn w:val="57"/>
    <w:link w:val="19"/>
    <w:semiHidden/>
    <w:qFormat/>
    <w:locked/>
    <w:uiPriority w:val="99"/>
  </w:style>
  <w:style w:type="character" w:customStyle="1" w:styleId="82">
    <w:name w:val="正文文本 3 字符"/>
    <w:link w:val="21"/>
    <w:locked/>
    <w:uiPriority w:val="99"/>
    <w:rPr>
      <w:sz w:val="16"/>
      <w:szCs w:val="16"/>
    </w:rPr>
  </w:style>
  <w:style w:type="character" w:customStyle="1" w:styleId="83">
    <w:name w:val="正文文本 字符1"/>
    <w:link w:val="2"/>
    <w:locked/>
    <w:uiPriority w:val="99"/>
    <w:rPr>
      <w:rFonts w:ascii="楷体_GB2312" w:eastAsia="楷体_GB2312" w:cs="楷体_GB2312"/>
      <w:sz w:val="20"/>
      <w:szCs w:val="20"/>
    </w:rPr>
  </w:style>
  <w:style w:type="character" w:customStyle="1" w:styleId="84">
    <w:name w:val="Body Text Indent Char"/>
    <w:qFormat/>
    <w:locked/>
    <w:uiPriority w:val="99"/>
    <w:rPr>
      <w:rFonts w:ascii="方正仿宋简体" w:hAnsi="创艺简仿宋" w:eastAsia="方正仿宋简体" w:cs="方正仿宋简体"/>
    </w:rPr>
  </w:style>
  <w:style w:type="character" w:customStyle="1" w:styleId="85">
    <w:name w:val="Plain Text Char"/>
    <w:qFormat/>
    <w:locked/>
    <w:uiPriority w:val="99"/>
    <w:rPr>
      <w:rFonts w:ascii="宋体" w:hAnsi="Courier New" w:eastAsia="楷体_GB2312" w:cs="宋体"/>
      <w:sz w:val="26"/>
      <w:szCs w:val="26"/>
    </w:rPr>
  </w:style>
  <w:style w:type="character" w:customStyle="1" w:styleId="86">
    <w:name w:val="日期 字符"/>
    <w:link w:val="31"/>
    <w:locked/>
    <w:uiPriority w:val="99"/>
    <w:rPr>
      <w:rFonts w:ascii="宋体" w:hAnsi="宋体" w:eastAsia="楷体_GB2312" w:cs="宋体"/>
      <w:sz w:val="20"/>
      <w:szCs w:val="20"/>
    </w:rPr>
  </w:style>
  <w:style w:type="character" w:customStyle="1" w:styleId="87">
    <w:name w:val="正文文本缩进 2 字符"/>
    <w:link w:val="32"/>
    <w:qFormat/>
    <w:locked/>
    <w:uiPriority w:val="99"/>
    <w:rPr>
      <w:rFonts w:ascii="宋体" w:eastAsia="宋体" w:cs="宋体"/>
      <w:b/>
      <w:bCs/>
      <w:sz w:val="20"/>
      <w:szCs w:val="20"/>
    </w:rPr>
  </w:style>
  <w:style w:type="character" w:customStyle="1" w:styleId="88">
    <w:name w:val="批注框文本 字符"/>
    <w:link w:val="33"/>
    <w:semiHidden/>
    <w:qFormat/>
    <w:locked/>
    <w:uiPriority w:val="99"/>
    <w:rPr>
      <w:rFonts w:eastAsia="楷体_GB2312"/>
      <w:sz w:val="18"/>
      <w:szCs w:val="18"/>
    </w:rPr>
  </w:style>
  <w:style w:type="character" w:customStyle="1" w:styleId="89">
    <w:name w:val="Footer Char"/>
    <w:qFormat/>
    <w:locked/>
    <w:uiPriority w:val="99"/>
    <w:rPr>
      <w:rFonts w:eastAsia="楷体_GB2312"/>
      <w:sz w:val="18"/>
      <w:szCs w:val="18"/>
    </w:rPr>
  </w:style>
  <w:style w:type="character" w:customStyle="1" w:styleId="90">
    <w:name w:val="Header Char"/>
    <w:locked/>
    <w:uiPriority w:val="99"/>
    <w:rPr>
      <w:rFonts w:eastAsia="楷体_GB2312"/>
      <w:sz w:val="18"/>
      <w:szCs w:val="18"/>
    </w:rPr>
  </w:style>
  <w:style w:type="character" w:customStyle="1" w:styleId="91">
    <w:name w:val="脚注文本 字符"/>
    <w:link w:val="40"/>
    <w:semiHidden/>
    <w:qFormat/>
    <w:locked/>
    <w:uiPriority w:val="99"/>
    <w:rPr>
      <w:rFonts w:eastAsia="楷体_GB2312"/>
      <w:sz w:val="20"/>
      <w:szCs w:val="20"/>
    </w:rPr>
  </w:style>
  <w:style w:type="character" w:customStyle="1" w:styleId="92">
    <w:name w:val="正文文本缩进 3 字符"/>
    <w:link w:val="42"/>
    <w:qFormat/>
    <w:locked/>
    <w:uiPriority w:val="99"/>
    <w:rPr>
      <w:rFonts w:eastAsia="宋体"/>
    </w:rPr>
  </w:style>
  <w:style w:type="character" w:customStyle="1" w:styleId="93">
    <w:name w:val="正文文本 2 字符"/>
    <w:link w:val="48"/>
    <w:semiHidden/>
    <w:locked/>
    <w:uiPriority w:val="99"/>
    <w:rPr>
      <w:kern w:val="2"/>
      <w:sz w:val="24"/>
      <w:szCs w:val="24"/>
    </w:rPr>
  </w:style>
  <w:style w:type="character" w:customStyle="1" w:styleId="94">
    <w:name w:val="HTML 预设格式 字符"/>
    <w:link w:val="49"/>
    <w:locked/>
    <w:uiPriority w:val="99"/>
    <w:rPr>
      <w:rFonts w:ascii="黑体" w:hAnsi="Courier New" w:eastAsia="黑体" w:cs="黑体"/>
      <w:kern w:val="0"/>
      <w:sz w:val="20"/>
      <w:szCs w:val="20"/>
    </w:rPr>
  </w:style>
  <w:style w:type="character" w:customStyle="1" w:styleId="95">
    <w:name w:val="标题 字符"/>
    <w:link w:val="52"/>
    <w:locked/>
    <w:uiPriority w:val="99"/>
    <w:rPr>
      <w:rFonts w:ascii="Cambria" w:hAnsi="Cambria" w:cs="Cambria"/>
      <w:b/>
      <w:bCs/>
      <w:sz w:val="32"/>
      <w:szCs w:val="32"/>
    </w:rPr>
  </w:style>
  <w:style w:type="character" w:customStyle="1" w:styleId="96">
    <w:name w:val="批注主题 字符"/>
    <w:link w:val="53"/>
    <w:semiHidden/>
    <w:qFormat/>
    <w:locked/>
    <w:uiPriority w:val="99"/>
    <w:rPr>
      <w:rFonts w:eastAsia="楷体_GB2312"/>
      <w:b/>
      <w:bCs/>
      <w:sz w:val="20"/>
      <w:szCs w:val="20"/>
    </w:rPr>
  </w:style>
  <w:style w:type="character" w:customStyle="1" w:styleId="97">
    <w:name w:val="grid"/>
    <w:basedOn w:val="57"/>
    <w:uiPriority w:val="99"/>
  </w:style>
  <w:style w:type="character" w:customStyle="1" w:styleId="98">
    <w:name w:val="hilite"/>
    <w:qFormat/>
    <w:uiPriority w:val="99"/>
    <w:rPr>
      <w:color w:val="FFFFFF"/>
      <w:shd w:val="clear" w:color="auto" w:fill="auto"/>
    </w:rPr>
  </w:style>
  <w:style w:type="character" w:customStyle="1" w:styleId="99">
    <w:name w:val="bds_nopic"/>
    <w:basedOn w:val="57"/>
    <w:qFormat/>
    <w:uiPriority w:val="99"/>
  </w:style>
  <w:style w:type="character" w:customStyle="1" w:styleId="100">
    <w:name w:val="正文缩进 字符"/>
    <w:link w:val="8"/>
    <w:locked/>
    <w:uiPriority w:val="99"/>
    <w:rPr>
      <w:rFonts w:eastAsia="楷体_GB2312"/>
    </w:rPr>
  </w:style>
  <w:style w:type="character" w:customStyle="1" w:styleId="101">
    <w:name w:val="bds_more4"/>
    <w:qFormat/>
    <w:uiPriority w:val="99"/>
    <w:rPr>
      <w:rFonts w:ascii="宋体" w:hAnsi="宋体" w:eastAsia="宋体" w:cs="宋体"/>
    </w:rPr>
  </w:style>
  <w:style w:type="character" w:customStyle="1" w:styleId="102">
    <w:name w:val="批注文字 字符"/>
    <w:semiHidden/>
    <w:qFormat/>
    <w:uiPriority w:val="99"/>
    <w:rPr>
      <w:rFonts w:eastAsia="楷体_GB2312"/>
      <w:kern w:val="2"/>
      <w:sz w:val="26"/>
      <w:szCs w:val="26"/>
    </w:rPr>
  </w:style>
  <w:style w:type="character" w:customStyle="1" w:styleId="103">
    <w:name w:val="active"/>
    <w:qFormat/>
    <w:uiPriority w:val="99"/>
    <w:rPr>
      <w:color w:val="00FF00"/>
      <w:shd w:val="clear" w:color="auto" w:fill="000000"/>
    </w:rPr>
  </w:style>
  <w:style w:type="character" w:customStyle="1" w:styleId="104">
    <w:name w:val="other"/>
    <w:basedOn w:val="57"/>
    <w:qFormat/>
    <w:uiPriority w:val="99"/>
  </w:style>
  <w:style w:type="character" w:customStyle="1" w:styleId="105">
    <w:name w:val="grid2"/>
    <w:basedOn w:val="57"/>
    <w:uiPriority w:val="99"/>
  </w:style>
  <w:style w:type="character" w:customStyle="1" w:styleId="106">
    <w:name w:val="active8"/>
    <w:qFormat/>
    <w:uiPriority w:val="99"/>
    <w:rPr>
      <w:color w:val="00FF00"/>
      <w:shd w:val="clear" w:color="auto" w:fill="000000"/>
    </w:rPr>
  </w:style>
  <w:style w:type="character" w:customStyle="1" w:styleId="107">
    <w:name w:val="hilite6"/>
    <w:qFormat/>
    <w:uiPriority w:val="99"/>
    <w:rPr>
      <w:color w:val="FFFFFF"/>
      <w:shd w:val="clear" w:color="auto" w:fill="auto"/>
    </w:rPr>
  </w:style>
  <w:style w:type="character" w:customStyle="1" w:styleId="108">
    <w:name w:val="bds_more6"/>
    <w:basedOn w:val="57"/>
    <w:qFormat/>
    <w:uiPriority w:val="99"/>
  </w:style>
  <w:style w:type="character" w:customStyle="1" w:styleId="109">
    <w:name w:val="bds_more8"/>
    <w:qFormat/>
    <w:uiPriority w:val="99"/>
    <w:rPr>
      <w:rFonts w:ascii="宋体" w:hAnsi="宋体" w:eastAsia="宋体" w:cs="宋体"/>
    </w:rPr>
  </w:style>
  <w:style w:type="character" w:customStyle="1" w:styleId="110">
    <w:name w:val="noused"/>
    <w:uiPriority w:val="99"/>
    <w:rPr>
      <w:b/>
      <w:bCs/>
      <w:color w:val="FFFFFF"/>
      <w:sz w:val="21"/>
      <w:szCs w:val="21"/>
    </w:rPr>
  </w:style>
  <w:style w:type="character" w:customStyle="1" w:styleId="111">
    <w:name w:val="bds_nopic1"/>
    <w:basedOn w:val="57"/>
    <w:qFormat/>
    <w:uiPriority w:val="99"/>
  </w:style>
  <w:style w:type="character" w:customStyle="1" w:styleId="112">
    <w:name w:val="bds_more7"/>
    <w:basedOn w:val="57"/>
    <w:qFormat/>
    <w:uiPriority w:val="99"/>
  </w:style>
  <w:style w:type="character" w:customStyle="1" w:styleId="113">
    <w:name w:val="bds_more5"/>
    <w:basedOn w:val="57"/>
    <w:uiPriority w:val="99"/>
  </w:style>
  <w:style w:type="character" w:customStyle="1" w:styleId="114">
    <w:name w:val="bds_nopic2"/>
    <w:basedOn w:val="57"/>
    <w:qFormat/>
    <w:uiPriority w:val="99"/>
  </w:style>
  <w:style w:type="character" w:customStyle="1" w:styleId="115">
    <w:name w:val="Char Char2"/>
    <w:qFormat/>
    <w:uiPriority w:val="99"/>
    <w:rPr>
      <w:rFonts w:ascii="宋体" w:hAnsi="宋体" w:eastAsia="楷体_GB2312" w:cs="宋体"/>
      <w:b/>
      <w:bCs/>
      <w:kern w:val="2"/>
      <w:sz w:val="26"/>
      <w:szCs w:val="26"/>
      <w:lang w:val="en-US" w:eastAsia="zh-CN"/>
    </w:rPr>
  </w:style>
  <w:style w:type="character" w:customStyle="1" w:styleId="116">
    <w:name w:val="hover61"/>
    <w:qFormat/>
    <w:uiPriority w:val="99"/>
    <w:rPr>
      <w:shd w:val="clear" w:color="auto" w:fill="FF0000"/>
    </w:rPr>
  </w:style>
  <w:style w:type="character" w:customStyle="1" w:styleId="117">
    <w:name w:val="state"/>
    <w:uiPriority w:val="99"/>
    <w:rPr>
      <w:b/>
      <w:bCs/>
      <w:color w:val="FFFFFF"/>
      <w:sz w:val="19"/>
      <w:szCs w:val="19"/>
    </w:rPr>
  </w:style>
  <w:style w:type="character" w:customStyle="1" w:styleId="118">
    <w:name w:val="页脚 字符"/>
    <w:link w:val="34"/>
    <w:qFormat/>
    <w:locked/>
    <w:uiPriority w:val="99"/>
    <w:rPr>
      <w:sz w:val="18"/>
      <w:szCs w:val="18"/>
    </w:rPr>
  </w:style>
  <w:style w:type="character" w:customStyle="1" w:styleId="119">
    <w:name w:val="页脚 字符1"/>
    <w:semiHidden/>
    <w:qFormat/>
    <w:uiPriority w:val="99"/>
    <w:rPr>
      <w:sz w:val="18"/>
      <w:szCs w:val="18"/>
    </w:rPr>
  </w:style>
  <w:style w:type="paragraph" w:customStyle="1" w:styleId="120">
    <w:name w:val="Char"/>
    <w:basedOn w:val="1"/>
    <w:qFormat/>
    <w:uiPriority w:val="99"/>
    <w:rPr>
      <w:rFonts w:ascii="Tahoma" w:hAnsi="Tahoma" w:eastAsia="宋体" w:cs="Tahoma"/>
    </w:rPr>
  </w:style>
  <w:style w:type="character" w:customStyle="1" w:styleId="121">
    <w:name w:val="页眉 字符"/>
    <w:link w:val="35"/>
    <w:qFormat/>
    <w:locked/>
    <w:uiPriority w:val="99"/>
    <w:rPr>
      <w:sz w:val="18"/>
      <w:szCs w:val="18"/>
    </w:rPr>
  </w:style>
  <w:style w:type="character" w:customStyle="1" w:styleId="122">
    <w:name w:val="页眉 字符1"/>
    <w:semiHidden/>
    <w:uiPriority w:val="99"/>
    <w:rPr>
      <w:sz w:val="18"/>
      <w:szCs w:val="18"/>
    </w:rPr>
  </w:style>
  <w:style w:type="paragraph" w:customStyle="1" w:styleId="123">
    <w:name w:val="Char Char1 Char Char Char Char"/>
    <w:basedOn w:val="17"/>
    <w:qFormat/>
    <w:uiPriority w:val="99"/>
    <w:pPr>
      <w:adjustRightInd w:val="0"/>
      <w:snapToGrid w:val="0"/>
      <w:spacing w:line="360" w:lineRule="auto"/>
    </w:pPr>
    <w:rPr>
      <w:rFonts w:ascii="Tahoma" w:hAnsi="Tahoma" w:eastAsia="宋体" w:cs="Tahoma"/>
      <w:sz w:val="24"/>
      <w:szCs w:val="24"/>
    </w:rPr>
  </w:style>
  <w:style w:type="paragraph" w:customStyle="1" w:styleId="124">
    <w:name w:val="图"/>
    <w:basedOn w:val="1"/>
    <w:uiPriority w:val="99"/>
    <w:pPr>
      <w:keepNext/>
      <w:adjustRightInd w:val="0"/>
      <w:spacing w:before="60" w:after="60" w:line="300" w:lineRule="auto"/>
      <w:jc w:val="center"/>
      <w:textAlignment w:val="center"/>
    </w:pPr>
    <w:rPr>
      <w:rFonts w:eastAsia="宋体"/>
      <w:spacing w:val="20"/>
      <w:kern w:val="0"/>
    </w:rPr>
  </w:style>
  <w:style w:type="paragraph" w:customStyle="1" w:styleId="125">
    <w:name w:val="p15"/>
    <w:basedOn w:val="1"/>
    <w:uiPriority w:val="99"/>
    <w:pPr>
      <w:widowControl/>
      <w:spacing w:before="100" w:beforeAutospacing="1" w:after="100" w:afterAutospacing="1"/>
      <w:jc w:val="left"/>
    </w:pPr>
    <w:rPr>
      <w:rFonts w:ascii="宋体" w:hAnsi="宋体" w:eastAsia="楷体_GB2312" w:cs="宋体"/>
      <w:kern w:val="0"/>
    </w:rPr>
  </w:style>
  <w:style w:type="paragraph" w:customStyle="1" w:styleId="126">
    <w:name w:val="Char1"/>
    <w:basedOn w:val="1"/>
    <w:qFormat/>
    <w:uiPriority w:val="99"/>
    <w:pPr>
      <w:widowControl/>
      <w:spacing w:after="160" w:line="240" w:lineRule="exact"/>
      <w:jc w:val="left"/>
    </w:pPr>
    <w:rPr>
      <w:rFonts w:ascii="Verdana" w:hAnsi="Verdana" w:eastAsia="宋体" w:cs="Verdana"/>
      <w:kern w:val="0"/>
      <w:sz w:val="21"/>
      <w:szCs w:val="21"/>
      <w:lang w:eastAsia="en-US"/>
    </w:rPr>
  </w:style>
  <w:style w:type="character" w:customStyle="1" w:styleId="127">
    <w:name w:val="纯文本 字符"/>
    <w:link w:val="28"/>
    <w:qFormat/>
    <w:locked/>
    <w:uiPriority w:val="99"/>
    <w:rPr>
      <w:rFonts w:ascii="宋体" w:hAnsi="Courier New" w:eastAsia="宋体" w:cs="宋体"/>
      <w:sz w:val="21"/>
      <w:szCs w:val="21"/>
    </w:rPr>
  </w:style>
  <w:style w:type="character" w:customStyle="1" w:styleId="128">
    <w:name w:val="纯文本 字符1"/>
    <w:semiHidden/>
    <w:uiPriority w:val="99"/>
    <w:rPr>
      <w:rFonts w:ascii="等线" w:hAnsi="Courier New" w:eastAsia="等线" w:cs="等线"/>
    </w:rPr>
  </w:style>
  <w:style w:type="paragraph" w:styleId="129">
    <w:name w:val="List Paragraph"/>
    <w:basedOn w:val="1"/>
    <w:link w:val="420"/>
    <w:qFormat/>
    <w:uiPriority w:val="99"/>
    <w:pPr>
      <w:ind w:firstLine="420" w:firstLineChars="200"/>
    </w:pPr>
    <w:rPr>
      <w:rFonts w:eastAsia="宋体"/>
      <w:sz w:val="21"/>
      <w:szCs w:val="21"/>
    </w:rPr>
  </w:style>
  <w:style w:type="paragraph" w:customStyle="1" w:styleId="130">
    <w:name w:val="纯文本1"/>
    <w:basedOn w:val="1"/>
    <w:qFormat/>
    <w:uiPriority w:val="99"/>
    <w:pPr>
      <w:adjustRightInd w:val="0"/>
      <w:textAlignment w:val="baseline"/>
    </w:pPr>
    <w:rPr>
      <w:rFonts w:ascii="宋体" w:hAnsi="Courier New" w:eastAsia="楷体_GB2312" w:cs="宋体"/>
      <w:sz w:val="26"/>
      <w:szCs w:val="26"/>
    </w:rPr>
  </w:style>
  <w:style w:type="character" w:customStyle="1" w:styleId="131">
    <w:name w:val="正文文本缩进 字符"/>
    <w:link w:val="22"/>
    <w:qFormat/>
    <w:locked/>
    <w:uiPriority w:val="99"/>
    <w:rPr>
      <w:sz w:val="24"/>
      <w:szCs w:val="24"/>
    </w:rPr>
  </w:style>
  <w:style w:type="character" w:customStyle="1" w:styleId="132">
    <w:name w:val="正文文本缩进 字符1"/>
    <w:basedOn w:val="57"/>
    <w:semiHidden/>
    <w:uiPriority w:val="99"/>
  </w:style>
  <w:style w:type="paragraph" w:customStyle="1" w:styleId="133">
    <w:name w:val="纯文本11"/>
    <w:basedOn w:val="1"/>
    <w:uiPriority w:val="99"/>
    <w:pPr>
      <w:adjustRightInd w:val="0"/>
      <w:textAlignment w:val="baseline"/>
    </w:pPr>
    <w:rPr>
      <w:rFonts w:ascii="宋体" w:hAnsi="Courier New" w:eastAsia="楷体_GB2312" w:cs="宋体"/>
      <w:sz w:val="28"/>
      <w:szCs w:val="28"/>
    </w:rPr>
  </w:style>
  <w:style w:type="table" w:customStyle="1" w:styleId="134">
    <w:name w:val="网格型1"/>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5">
    <w:name w:val="font01"/>
    <w:uiPriority w:val="99"/>
    <w:rPr>
      <w:rFonts w:ascii="宋体" w:hAnsi="宋体" w:eastAsia="宋体" w:cs="宋体"/>
      <w:b/>
      <w:bCs/>
      <w:color w:val="000000"/>
      <w:sz w:val="18"/>
      <w:szCs w:val="18"/>
      <w:u w:val="none"/>
      <w:vertAlign w:val="superscript"/>
    </w:rPr>
  </w:style>
  <w:style w:type="paragraph" w:customStyle="1" w:styleId="136">
    <w:name w:val="图例"/>
    <w:basedOn w:val="1"/>
    <w:uiPriority w:val="99"/>
    <w:pPr>
      <w:spacing w:before="120" w:after="120" w:line="360" w:lineRule="auto"/>
      <w:jc w:val="center"/>
    </w:pPr>
    <w:rPr>
      <w:rFonts w:ascii="Calibri" w:hAnsi="Calibri" w:cs="Calibri"/>
      <w:b/>
      <w:bCs/>
      <w:sz w:val="21"/>
      <w:szCs w:val="21"/>
    </w:rPr>
  </w:style>
  <w:style w:type="paragraph" w:customStyle="1" w:styleId="137">
    <w:name w:val="Table Paragraph"/>
    <w:basedOn w:val="1"/>
    <w:uiPriority w:val="99"/>
    <w:rPr>
      <w:rFonts w:ascii="微软雅黑" w:hAnsi="微软雅黑" w:eastAsia="微软雅黑" w:cs="微软雅黑"/>
      <w:sz w:val="21"/>
      <w:szCs w:val="21"/>
      <w:lang w:val="zh-CN"/>
    </w:rPr>
  </w:style>
  <w:style w:type="table" w:customStyle="1" w:styleId="138">
    <w:name w:val="网格型2"/>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9">
    <w:name w:val="Char Char21"/>
    <w:qFormat/>
    <w:uiPriority w:val="99"/>
    <w:rPr>
      <w:rFonts w:ascii="宋体" w:hAnsi="宋体" w:eastAsia="楷体_GB2312" w:cs="宋体"/>
      <w:b/>
      <w:bCs/>
      <w:kern w:val="2"/>
      <w:sz w:val="26"/>
      <w:szCs w:val="26"/>
      <w:lang w:val="en-US" w:eastAsia="zh-CN"/>
    </w:rPr>
  </w:style>
  <w:style w:type="paragraph" w:customStyle="1" w:styleId="140">
    <w:name w:val="Char Char1 Char Char Char Char1"/>
    <w:basedOn w:val="17"/>
    <w:qFormat/>
    <w:uiPriority w:val="99"/>
    <w:pPr>
      <w:adjustRightInd w:val="0"/>
      <w:snapToGrid w:val="0"/>
      <w:spacing w:line="360" w:lineRule="auto"/>
    </w:pPr>
    <w:rPr>
      <w:rFonts w:ascii="Tahoma" w:hAnsi="Tahoma" w:eastAsia="宋体" w:cs="Tahoma"/>
      <w:kern w:val="2"/>
      <w:sz w:val="24"/>
      <w:szCs w:val="24"/>
    </w:rPr>
  </w:style>
  <w:style w:type="paragraph" w:customStyle="1" w:styleId="141">
    <w:name w:val="Char2"/>
    <w:basedOn w:val="1"/>
    <w:uiPriority w:val="99"/>
    <w:pPr>
      <w:widowControl/>
      <w:spacing w:after="160" w:line="240" w:lineRule="exact"/>
      <w:jc w:val="left"/>
    </w:pPr>
    <w:rPr>
      <w:rFonts w:ascii="Verdana" w:hAnsi="Verdana" w:eastAsia="宋体" w:cs="Verdana"/>
      <w:kern w:val="0"/>
      <w:sz w:val="21"/>
      <w:szCs w:val="21"/>
      <w:lang w:eastAsia="en-US"/>
    </w:rPr>
  </w:style>
  <w:style w:type="paragraph" w:customStyle="1" w:styleId="142">
    <w:name w:val="纯文本2"/>
    <w:basedOn w:val="1"/>
    <w:qFormat/>
    <w:uiPriority w:val="99"/>
    <w:pPr>
      <w:adjustRightInd w:val="0"/>
      <w:textAlignment w:val="baseline"/>
    </w:pPr>
    <w:rPr>
      <w:rFonts w:ascii="宋体" w:hAnsi="Courier New" w:eastAsia="楷体_GB2312" w:cs="宋体"/>
      <w:sz w:val="26"/>
      <w:szCs w:val="26"/>
    </w:rPr>
  </w:style>
  <w:style w:type="table" w:customStyle="1" w:styleId="143">
    <w:name w:val="网格型21"/>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4">
    <w:name w:val="标题 1 Char"/>
    <w:locked/>
    <w:uiPriority w:val="99"/>
    <w:rPr>
      <w:rFonts w:ascii="宋体" w:hAnsi="宋体" w:eastAsia="宋体" w:cs="宋体"/>
      <w:b/>
      <w:bCs/>
      <w:kern w:val="44"/>
      <w:sz w:val="44"/>
      <w:szCs w:val="44"/>
    </w:rPr>
  </w:style>
  <w:style w:type="character" w:customStyle="1" w:styleId="145">
    <w:name w:val="标题 2 Char"/>
    <w:qFormat/>
    <w:locked/>
    <w:uiPriority w:val="99"/>
    <w:rPr>
      <w:rFonts w:ascii="Calibri Light" w:hAnsi="Calibri Light" w:eastAsia="宋体" w:cs="Calibri Light"/>
      <w:b/>
      <w:bCs/>
      <w:kern w:val="2"/>
      <w:sz w:val="32"/>
      <w:szCs w:val="32"/>
    </w:rPr>
  </w:style>
  <w:style w:type="character" w:customStyle="1" w:styleId="146">
    <w:name w:val="标题 3 Char"/>
    <w:locked/>
    <w:uiPriority w:val="99"/>
    <w:rPr>
      <w:rFonts w:ascii="宋体" w:hAnsi="宋体" w:eastAsia="宋体" w:cs="宋体"/>
      <w:b/>
      <w:bCs/>
      <w:kern w:val="2"/>
      <w:sz w:val="32"/>
      <w:szCs w:val="32"/>
    </w:rPr>
  </w:style>
  <w:style w:type="character" w:customStyle="1" w:styleId="147">
    <w:name w:val="标题 4 Char"/>
    <w:locked/>
    <w:uiPriority w:val="99"/>
    <w:rPr>
      <w:rFonts w:ascii="Calibri Light" w:hAnsi="Calibri Light" w:eastAsia="宋体" w:cs="Calibri Light"/>
      <w:b/>
      <w:bCs/>
      <w:kern w:val="2"/>
      <w:sz w:val="28"/>
      <w:szCs w:val="28"/>
    </w:rPr>
  </w:style>
  <w:style w:type="character" w:customStyle="1" w:styleId="148">
    <w:name w:val="标题 5 Char"/>
    <w:qFormat/>
    <w:locked/>
    <w:uiPriority w:val="99"/>
    <w:rPr>
      <w:rFonts w:ascii="宋体" w:hAnsi="宋体" w:eastAsia="宋体" w:cs="宋体"/>
      <w:b/>
      <w:bCs/>
      <w:kern w:val="2"/>
      <w:sz w:val="28"/>
      <w:szCs w:val="28"/>
    </w:rPr>
  </w:style>
  <w:style w:type="character" w:customStyle="1" w:styleId="149">
    <w:name w:val="标题 6 Char"/>
    <w:qFormat/>
    <w:locked/>
    <w:uiPriority w:val="99"/>
    <w:rPr>
      <w:rFonts w:ascii="Calibri Light" w:hAnsi="Calibri Light" w:eastAsia="宋体" w:cs="Calibri Light"/>
      <w:b/>
      <w:bCs/>
      <w:kern w:val="2"/>
      <w:sz w:val="24"/>
      <w:szCs w:val="24"/>
    </w:rPr>
  </w:style>
  <w:style w:type="character" w:customStyle="1" w:styleId="150">
    <w:name w:val="HTML 预设格式 Char"/>
    <w:semiHidden/>
    <w:locked/>
    <w:uiPriority w:val="99"/>
    <w:rPr>
      <w:rFonts w:ascii="Courier New" w:hAnsi="Courier New" w:eastAsia="宋体" w:cs="Courier New"/>
      <w:kern w:val="2"/>
    </w:rPr>
  </w:style>
  <w:style w:type="paragraph" w:customStyle="1" w:styleId="151">
    <w:name w:val="_Style 139"/>
    <w:basedOn w:val="1"/>
    <w:next w:val="129"/>
    <w:qFormat/>
    <w:uiPriority w:val="99"/>
    <w:pPr>
      <w:ind w:firstLine="420" w:firstLineChars="200"/>
    </w:pPr>
    <w:rPr>
      <w:rFonts w:eastAsia="宋体"/>
      <w:sz w:val="21"/>
      <w:szCs w:val="21"/>
    </w:rPr>
  </w:style>
  <w:style w:type="character" w:customStyle="1" w:styleId="152">
    <w:name w:val="批注文字 Char"/>
    <w:semiHidden/>
    <w:locked/>
    <w:uiPriority w:val="99"/>
    <w:rPr>
      <w:rFonts w:ascii="宋体" w:hAnsi="宋体" w:eastAsia="宋体" w:cs="宋体"/>
      <w:kern w:val="2"/>
      <w:sz w:val="21"/>
      <w:szCs w:val="21"/>
    </w:rPr>
  </w:style>
  <w:style w:type="character" w:customStyle="1" w:styleId="153">
    <w:name w:val="页眉 Char"/>
    <w:locked/>
    <w:uiPriority w:val="99"/>
    <w:rPr>
      <w:rFonts w:ascii="宋体" w:hAnsi="宋体" w:eastAsia="宋体" w:cs="宋体"/>
      <w:kern w:val="2"/>
      <w:sz w:val="18"/>
      <w:szCs w:val="18"/>
    </w:rPr>
  </w:style>
  <w:style w:type="character" w:customStyle="1" w:styleId="154">
    <w:name w:val="页脚 Char"/>
    <w:qFormat/>
    <w:locked/>
    <w:uiPriority w:val="99"/>
    <w:rPr>
      <w:rFonts w:ascii="宋体" w:hAnsi="宋体" w:eastAsia="宋体" w:cs="宋体"/>
      <w:kern w:val="2"/>
      <w:sz w:val="18"/>
      <w:szCs w:val="18"/>
    </w:rPr>
  </w:style>
  <w:style w:type="character" w:customStyle="1" w:styleId="155">
    <w:name w:val="文档结构图 Char"/>
    <w:semiHidden/>
    <w:locked/>
    <w:uiPriority w:val="99"/>
    <w:rPr>
      <w:rFonts w:ascii="宋体" w:hAnsi="宋体" w:eastAsia="宋体" w:cs="宋体"/>
      <w:kern w:val="2"/>
      <w:sz w:val="18"/>
      <w:szCs w:val="18"/>
    </w:rPr>
  </w:style>
  <w:style w:type="character" w:customStyle="1" w:styleId="156">
    <w:name w:val="纯文本 Char"/>
    <w:qFormat/>
    <w:locked/>
    <w:uiPriority w:val="99"/>
    <w:rPr>
      <w:rFonts w:ascii="宋体" w:hAnsi="Courier New" w:eastAsia="宋体" w:cs="宋体"/>
      <w:kern w:val="2"/>
      <w:sz w:val="21"/>
      <w:szCs w:val="21"/>
    </w:rPr>
  </w:style>
  <w:style w:type="character" w:customStyle="1" w:styleId="157">
    <w:name w:val="批注框文本 Char"/>
    <w:semiHidden/>
    <w:qFormat/>
    <w:locked/>
    <w:uiPriority w:val="99"/>
    <w:rPr>
      <w:rFonts w:ascii="宋体" w:hAnsi="宋体" w:eastAsia="宋体" w:cs="宋体"/>
      <w:kern w:val="2"/>
      <w:sz w:val="18"/>
      <w:szCs w:val="18"/>
    </w:rPr>
  </w:style>
  <w:style w:type="paragraph" w:customStyle="1" w:styleId="158">
    <w:name w:val="列出段落1"/>
    <w:basedOn w:val="1"/>
    <w:uiPriority w:val="99"/>
    <w:pPr>
      <w:widowControl/>
      <w:ind w:left="720"/>
      <w:jc w:val="left"/>
    </w:pPr>
    <w:rPr>
      <w:rFonts w:ascii="Calibri" w:hAnsi="Calibri" w:eastAsia="宋体" w:cs="Calibri"/>
      <w:kern w:val="0"/>
    </w:rPr>
  </w:style>
  <w:style w:type="paragraph" w:customStyle="1" w:styleId="159">
    <w:name w:val="普通正文"/>
    <w:basedOn w:val="1"/>
    <w:qFormat/>
    <w:uiPriority w:val="99"/>
    <w:pPr>
      <w:adjustRightInd w:val="0"/>
      <w:spacing w:before="120" w:after="120" w:line="360" w:lineRule="auto"/>
      <w:ind w:firstLine="480"/>
      <w:jc w:val="left"/>
    </w:pPr>
    <w:rPr>
      <w:rFonts w:ascii="Arial" w:hAnsi="Arial" w:eastAsia="宋体" w:cs="Arial"/>
      <w:kern w:val="0"/>
    </w:rPr>
  </w:style>
  <w:style w:type="paragraph" w:customStyle="1" w:styleId="160">
    <w:name w:val="正文缩进2格"/>
    <w:basedOn w:val="1"/>
    <w:qFormat/>
    <w:uiPriority w:val="99"/>
    <w:pPr>
      <w:spacing w:line="600" w:lineRule="exact"/>
      <w:ind w:firstLine="639" w:firstLineChars="206"/>
    </w:pPr>
    <w:rPr>
      <w:rFonts w:ascii="仿宋_GB2312" w:hAnsi="宋体" w:cs="仿宋_GB2312"/>
      <w:sz w:val="31"/>
      <w:szCs w:val="31"/>
    </w:rPr>
  </w:style>
  <w:style w:type="character" w:customStyle="1" w:styleId="161">
    <w:name w:val="10"/>
    <w:uiPriority w:val="99"/>
    <w:rPr>
      <w:rFonts w:ascii="Times New Roman" w:hAnsi="Times New Roman" w:cs="Times New Roman"/>
    </w:rPr>
  </w:style>
  <w:style w:type="character" w:customStyle="1" w:styleId="162">
    <w:name w:val="15"/>
    <w:qFormat/>
    <w:uiPriority w:val="99"/>
    <w:rPr>
      <w:rFonts w:ascii="Times New Roman" w:hAnsi="Times New Roman" w:cs="Times New Roman"/>
      <w:color w:val="0000FF"/>
    </w:rPr>
  </w:style>
  <w:style w:type="character" w:customStyle="1" w:styleId="163">
    <w:name w:val="16"/>
    <w:qFormat/>
    <w:uiPriority w:val="99"/>
    <w:rPr>
      <w:rFonts w:ascii="Times New Roman" w:hAnsi="Times New Roman" w:cs="Times New Roman"/>
    </w:rPr>
  </w:style>
  <w:style w:type="character" w:customStyle="1" w:styleId="164">
    <w:name w:val="17"/>
    <w:qFormat/>
    <w:uiPriority w:val="99"/>
    <w:rPr>
      <w:rFonts w:ascii="Times New Roman" w:hAnsi="Times New Roman" w:cs="Times New Roman"/>
    </w:rPr>
  </w:style>
  <w:style w:type="character" w:customStyle="1" w:styleId="165">
    <w:name w:val="18"/>
    <w:uiPriority w:val="99"/>
    <w:rPr>
      <w:rFonts w:ascii="宋体" w:hAnsi="宋体" w:eastAsia="宋体" w:cs="宋体"/>
      <w:kern w:val="2"/>
      <w:sz w:val="18"/>
      <w:szCs w:val="18"/>
    </w:rPr>
  </w:style>
  <w:style w:type="character" w:customStyle="1" w:styleId="166">
    <w:name w:val="19"/>
    <w:qFormat/>
    <w:uiPriority w:val="99"/>
    <w:rPr>
      <w:rFonts w:ascii="Times New Roman" w:hAnsi="Times New Roman" w:cs="Times New Roman"/>
      <w:b/>
      <w:bCs/>
      <w:vanish/>
    </w:rPr>
  </w:style>
  <w:style w:type="character" w:customStyle="1" w:styleId="167">
    <w:name w:val="20"/>
    <w:uiPriority w:val="99"/>
    <w:rPr>
      <w:rFonts w:ascii="Times New Roman" w:hAnsi="Times New Roman" w:cs="Times New Roman"/>
    </w:rPr>
  </w:style>
  <w:style w:type="character" w:customStyle="1" w:styleId="168">
    <w:name w:val="21"/>
    <w:uiPriority w:val="99"/>
    <w:rPr>
      <w:rFonts w:ascii="Times New Roman" w:hAnsi="Times New Roman" w:cs="Times New Roman"/>
      <w:kern w:val="2"/>
      <w:sz w:val="18"/>
      <w:szCs w:val="18"/>
    </w:rPr>
  </w:style>
  <w:style w:type="character" w:customStyle="1" w:styleId="169">
    <w:name w:val="22"/>
    <w:qFormat/>
    <w:uiPriority w:val="99"/>
    <w:rPr>
      <w:rFonts w:ascii="Times New Roman" w:hAnsi="Times New Roman" w:cs="Times New Roman"/>
    </w:rPr>
  </w:style>
  <w:style w:type="character" w:customStyle="1" w:styleId="170">
    <w:name w:val="23"/>
    <w:uiPriority w:val="99"/>
    <w:rPr>
      <w:rFonts w:ascii="Courier New" w:hAnsi="Courier New" w:cs="Courier New"/>
      <w:sz w:val="20"/>
      <w:szCs w:val="20"/>
    </w:rPr>
  </w:style>
  <w:style w:type="character" w:customStyle="1" w:styleId="171">
    <w:name w:val="24"/>
    <w:qFormat/>
    <w:uiPriority w:val="99"/>
    <w:rPr>
      <w:rFonts w:ascii="Courier New" w:hAnsi="Courier New" w:cs="Courier New"/>
    </w:rPr>
  </w:style>
  <w:style w:type="character" w:customStyle="1" w:styleId="172">
    <w:name w:val="25"/>
    <w:uiPriority w:val="99"/>
    <w:rPr>
      <w:rFonts w:ascii="Times New Roman" w:hAnsi="Times New Roman" w:cs="Times New Roman"/>
      <w:b/>
      <w:bCs/>
    </w:rPr>
  </w:style>
  <w:style w:type="character" w:customStyle="1" w:styleId="173">
    <w:name w:val="26"/>
    <w:qFormat/>
    <w:uiPriority w:val="99"/>
    <w:rPr>
      <w:rFonts w:ascii="Times New Roman" w:hAnsi="Times New Roman" w:cs="Times New Roman"/>
      <w:color w:val="800080"/>
    </w:rPr>
  </w:style>
  <w:style w:type="character" w:customStyle="1" w:styleId="174">
    <w:name w:val="27"/>
    <w:qFormat/>
    <w:uiPriority w:val="99"/>
    <w:rPr>
      <w:rFonts w:ascii="Cambria" w:hAnsi="Cambria" w:eastAsia="宋体" w:cs="Cambria"/>
      <w:b/>
      <w:bCs/>
      <w:kern w:val="2"/>
      <w:sz w:val="28"/>
      <w:szCs w:val="28"/>
    </w:rPr>
  </w:style>
  <w:style w:type="character" w:customStyle="1" w:styleId="175">
    <w:name w:val="28"/>
    <w:uiPriority w:val="99"/>
    <w:rPr>
      <w:rFonts w:ascii="Courier New" w:hAnsi="Courier New" w:cs="Courier New"/>
      <w:sz w:val="20"/>
      <w:szCs w:val="20"/>
    </w:rPr>
  </w:style>
  <w:style w:type="character" w:customStyle="1" w:styleId="176">
    <w:name w:val="29"/>
    <w:qFormat/>
    <w:uiPriority w:val="99"/>
    <w:rPr>
      <w:rFonts w:ascii="Times New Roman" w:hAnsi="Times New Roman" w:cs="Times New Roman"/>
      <w:kern w:val="2"/>
      <w:sz w:val="18"/>
      <w:szCs w:val="18"/>
    </w:rPr>
  </w:style>
  <w:style w:type="character" w:customStyle="1" w:styleId="177">
    <w:name w:val="30"/>
    <w:qFormat/>
    <w:uiPriority w:val="99"/>
    <w:rPr>
      <w:rFonts w:ascii="Times New Roman" w:hAnsi="Times New Roman" w:cs="Times New Roman"/>
    </w:rPr>
  </w:style>
  <w:style w:type="character" w:customStyle="1" w:styleId="178">
    <w:name w:val="31"/>
    <w:qFormat/>
    <w:uiPriority w:val="99"/>
    <w:rPr>
      <w:rFonts w:ascii="Courier New" w:hAnsi="Courier New" w:cs="Courier New"/>
      <w:sz w:val="20"/>
      <w:szCs w:val="20"/>
    </w:rPr>
  </w:style>
  <w:style w:type="character" w:customStyle="1" w:styleId="179">
    <w:name w:val="32"/>
    <w:qFormat/>
    <w:uiPriority w:val="99"/>
    <w:rPr>
      <w:rFonts w:ascii="Times New Roman" w:hAnsi="Times New Roman" w:cs="Times New Roman"/>
    </w:rPr>
  </w:style>
  <w:style w:type="character" w:customStyle="1" w:styleId="180">
    <w:name w:val="33"/>
    <w:uiPriority w:val="99"/>
    <w:rPr>
      <w:rFonts w:ascii="Times New Roman" w:hAnsi="Times New Roman" w:cs="Times New Roman"/>
      <w:shd w:val="clear" w:color="auto" w:fill="FFFFFF"/>
    </w:rPr>
  </w:style>
  <w:style w:type="paragraph" w:customStyle="1" w:styleId="181">
    <w:name w:val="正文1"/>
    <w:uiPriority w:val="99"/>
    <w:rPr>
      <w:rFonts w:ascii="Times New Roman" w:hAnsi="Times New Roman" w:eastAsia="宋体" w:cs="Times New Roman"/>
      <w:sz w:val="24"/>
      <w:szCs w:val="24"/>
      <w:lang w:val="en-US" w:eastAsia="zh-CN" w:bidi="ar-SA"/>
    </w:rPr>
  </w:style>
  <w:style w:type="paragraph" w:customStyle="1" w:styleId="182">
    <w:name w:val="font5"/>
    <w:basedOn w:val="1"/>
    <w:uiPriority w:val="99"/>
    <w:pPr>
      <w:widowControl/>
      <w:spacing w:before="100" w:beforeAutospacing="1" w:after="100" w:afterAutospacing="1"/>
      <w:jc w:val="left"/>
    </w:pPr>
    <w:rPr>
      <w:rFonts w:eastAsia="宋体"/>
      <w:color w:val="000000"/>
      <w:kern w:val="0"/>
      <w:sz w:val="20"/>
      <w:szCs w:val="20"/>
    </w:rPr>
  </w:style>
  <w:style w:type="paragraph" w:customStyle="1" w:styleId="183">
    <w:name w:val="font6"/>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184">
    <w:name w:val="font7"/>
    <w:basedOn w:val="1"/>
    <w:qFormat/>
    <w:uiPriority w:val="99"/>
    <w:pPr>
      <w:widowControl/>
      <w:spacing w:before="100" w:beforeAutospacing="1" w:after="100" w:afterAutospacing="1"/>
      <w:jc w:val="left"/>
    </w:pPr>
    <w:rPr>
      <w:rFonts w:eastAsia="宋体"/>
      <w:b/>
      <w:bCs/>
      <w:color w:val="000000"/>
      <w:kern w:val="0"/>
      <w:sz w:val="20"/>
      <w:szCs w:val="20"/>
    </w:rPr>
  </w:style>
  <w:style w:type="paragraph" w:customStyle="1" w:styleId="185">
    <w:name w:val="font8"/>
    <w:basedOn w:val="1"/>
    <w:qFormat/>
    <w:uiPriority w:val="99"/>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86">
    <w:name w:val="font9"/>
    <w:basedOn w:val="1"/>
    <w:uiPriority w:val="99"/>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87">
    <w:name w:val="font10"/>
    <w:basedOn w:val="1"/>
    <w:uiPriority w:val="99"/>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88">
    <w:name w:val="font11"/>
    <w:basedOn w:val="1"/>
    <w:qFormat/>
    <w:uiPriority w:val="99"/>
    <w:pPr>
      <w:widowControl/>
      <w:spacing w:before="100" w:beforeAutospacing="1" w:after="100" w:afterAutospacing="1"/>
      <w:jc w:val="left"/>
    </w:pPr>
    <w:rPr>
      <w:rFonts w:eastAsia="宋体"/>
      <w:kern w:val="0"/>
      <w:sz w:val="20"/>
      <w:szCs w:val="20"/>
    </w:rPr>
  </w:style>
  <w:style w:type="paragraph" w:customStyle="1" w:styleId="189">
    <w:name w:val="font12"/>
    <w:basedOn w:val="1"/>
    <w:qFormat/>
    <w:uiPriority w:val="99"/>
    <w:pPr>
      <w:widowControl/>
      <w:spacing w:before="100" w:beforeAutospacing="1" w:after="100" w:afterAutospacing="1"/>
      <w:jc w:val="left"/>
    </w:pPr>
    <w:rPr>
      <w:rFonts w:ascii="宋体" w:hAnsi="宋体" w:eastAsia="宋体" w:cs="宋体"/>
      <w:kern w:val="0"/>
    </w:rPr>
  </w:style>
  <w:style w:type="paragraph" w:customStyle="1" w:styleId="190">
    <w:name w:val="font13"/>
    <w:basedOn w:val="1"/>
    <w:uiPriority w:val="99"/>
    <w:pPr>
      <w:widowControl/>
      <w:spacing w:before="100" w:beforeAutospacing="1" w:after="100" w:afterAutospacing="1"/>
      <w:jc w:val="left"/>
    </w:pPr>
    <w:rPr>
      <w:rFonts w:ascii="宋体" w:hAnsi="宋体" w:eastAsia="宋体" w:cs="宋体"/>
      <w:kern w:val="0"/>
      <w:sz w:val="20"/>
      <w:szCs w:val="20"/>
    </w:rPr>
  </w:style>
  <w:style w:type="paragraph" w:customStyle="1" w:styleId="191">
    <w:name w:val="font14"/>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192">
    <w:name w:val="font15"/>
    <w:basedOn w:val="1"/>
    <w:uiPriority w:val="99"/>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3">
    <w:name w:val="font16"/>
    <w:basedOn w:val="1"/>
    <w:qFormat/>
    <w:uiPriority w:val="99"/>
    <w:pPr>
      <w:widowControl/>
      <w:spacing w:before="100" w:beforeAutospacing="1" w:after="100" w:afterAutospacing="1"/>
      <w:jc w:val="left"/>
    </w:pPr>
    <w:rPr>
      <w:rFonts w:eastAsia="宋体"/>
      <w:color w:val="000000"/>
      <w:kern w:val="0"/>
      <w:sz w:val="20"/>
      <w:szCs w:val="20"/>
    </w:rPr>
  </w:style>
  <w:style w:type="paragraph" w:customStyle="1" w:styleId="194">
    <w:name w:val="font17"/>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195">
    <w:name w:val="font18"/>
    <w:basedOn w:val="1"/>
    <w:qFormat/>
    <w:uiPriority w:val="99"/>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6">
    <w:name w:val="font19"/>
    <w:basedOn w:val="1"/>
    <w:qFormat/>
    <w:uiPriority w:val="99"/>
    <w:pPr>
      <w:widowControl/>
      <w:spacing w:before="100" w:beforeAutospacing="1" w:after="100" w:afterAutospacing="1"/>
      <w:jc w:val="left"/>
    </w:pPr>
    <w:rPr>
      <w:rFonts w:eastAsia="宋体"/>
      <w:color w:val="000000"/>
      <w:kern w:val="0"/>
      <w:sz w:val="20"/>
      <w:szCs w:val="20"/>
    </w:rPr>
  </w:style>
  <w:style w:type="paragraph" w:customStyle="1" w:styleId="197">
    <w:name w:val="font20"/>
    <w:basedOn w:val="1"/>
    <w:qFormat/>
    <w:uiPriority w:val="99"/>
    <w:pPr>
      <w:widowControl/>
      <w:spacing w:before="100" w:beforeAutospacing="1" w:after="100" w:afterAutospacing="1"/>
      <w:jc w:val="left"/>
    </w:pPr>
    <w:rPr>
      <w:rFonts w:ascii="仿宋_GB2312" w:hAnsi="宋体" w:cs="仿宋_GB2312"/>
      <w:color w:val="000000"/>
      <w:kern w:val="0"/>
      <w:sz w:val="20"/>
      <w:szCs w:val="20"/>
    </w:rPr>
  </w:style>
  <w:style w:type="paragraph" w:customStyle="1" w:styleId="198">
    <w:name w:val="xl79"/>
    <w:basedOn w:val="1"/>
    <w:uiPriority w:val="99"/>
    <w:pPr>
      <w:widowControl/>
      <w:spacing w:before="100" w:beforeAutospacing="1" w:after="100" w:afterAutospacing="1"/>
      <w:jc w:val="center"/>
      <w:textAlignment w:val="center"/>
    </w:pPr>
    <w:rPr>
      <w:rFonts w:eastAsia="宋体"/>
      <w:kern w:val="0"/>
      <w:sz w:val="20"/>
      <w:szCs w:val="20"/>
    </w:rPr>
  </w:style>
  <w:style w:type="paragraph" w:customStyle="1" w:styleId="199">
    <w:name w:val="xl8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00">
    <w:name w:val="xl81"/>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01">
    <w:name w:val="xl8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02">
    <w:name w:val="xl8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03">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04">
    <w:name w:val="xl85"/>
    <w:basedOn w:val="1"/>
    <w:uiPriority w:val="99"/>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szCs w:val="20"/>
    </w:rPr>
  </w:style>
  <w:style w:type="paragraph" w:customStyle="1" w:styleId="205">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06">
    <w:name w:val="xl87"/>
    <w:basedOn w:val="1"/>
    <w:qFormat/>
    <w:uiPriority w:val="99"/>
    <w:pPr>
      <w:widowControl/>
      <w:spacing w:before="100" w:beforeAutospacing="1" w:after="100" w:afterAutospacing="1"/>
      <w:jc w:val="center"/>
      <w:textAlignment w:val="center"/>
    </w:pPr>
    <w:rPr>
      <w:rFonts w:eastAsia="宋体"/>
      <w:kern w:val="0"/>
      <w:sz w:val="20"/>
      <w:szCs w:val="20"/>
    </w:rPr>
  </w:style>
  <w:style w:type="paragraph" w:customStyle="1" w:styleId="207">
    <w:name w:val="xl8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08">
    <w:name w:val="xl8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09">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eastAsia="宋体"/>
      <w:kern w:val="0"/>
      <w:sz w:val="20"/>
      <w:szCs w:val="20"/>
    </w:rPr>
  </w:style>
  <w:style w:type="paragraph" w:customStyle="1" w:styleId="210">
    <w:name w:val="xl91"/>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eastAsia="宋体"/>
      <w:kern w:val="0"/>
      <w:sz w:val="20"/>
      <w:szCs w:val="20"/>
    </w:rPr>
  </w:style>
  <w:style w:type="paragraph" w:customStyle="1" w:styleId="211">
    <w:name w:val="xl9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12">
    <w:name w:val="xl9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color w:val="000000"/>
      <w:kern w:val="0"/>
      <w:sz w:val="20"/>
      <w:szCs w:val="20"/>
    </w:rPr>
  </w:style>
  <w:style w:type="paragraph" w:customStyle="1" w:styleId="213">
    <w:name w:val="xl9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14">
    <w:name w:val="xl9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15">
    <w:name w:val="xl9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16">
    <w:name w:val="xl97"/>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宋体"/>
      <w:kern w:val="0"/>
      <w:sz w:val="20"/>
      <w:szCs w:val="20"/>
    </w:rPr>
  </w:style>
  <w:style w:type="paragraph" w:customStyle="1" w:styleId="217">
    <w:name w:val="xl98"/>
    <w:basedOn w:val="1"/>
    <w:uiPriority w:val="99"/>
    <w:pPr>
      <w:widowControl/>
      <w:spacing w:before="100" w:beforeAutospacing="1" w:after="100" w:afterAutospacing="1"/>
      <w:jc w:val="left"/>
      <w:textAlignment w:val="center"/>
    </w:pPr>
    <w:rPr>
      <w:rFonts w:eastAsia="宋体"/>
      <w:kern w:val="0"/>
      <w:sz w:val="20"/>
      <w:szCs w:val="20"/>
    </w:rPr>
  </w:style>
  <w:style w:type="paragraph" w:customStyle="1" w:styleId="218">
    <w:name w:val="xl99"/>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19">
    <w:name w:val="xl100"/>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color w:val="000000"/>
      <w:kern w:val="0"/>
      <w:sz w:val="20"/>
      <w:szCs w:val="20"/>
    </w:rPr>
  </w:style>
  <w:style w:type="paragraph" w:customStyle="1" w:styleId="220">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21">
    <w:name w:val="xl102"/>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22">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23">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24">
    <w:name w:val="xl10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eastAsia="宋体"/>
      <w:color w:val="000000"/>
      <w:kern w:val="0"/>
      <w:sz w:val="20"/>
      <w:szCs w:val="20"/>
    </w:rPr>
  </w:style>
  <w:style w:type="paragraph" w:customStyle="1" w:styleId="225">
    <w:name w:val="xl10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26">
    <w:name w:val="xl107"/>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2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28">
    <w:name w:val="xl10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29">
    <w:name w:val="xl11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30">
    <w:name w:val="xl11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color w:val="000000"/>
      <w:kern w:val="0"/>
      <w:sz w:val="20"/>
      <w:szCs w:val="20"/>
    </w:rPr>
  </w:style>
  <w:style w:type="paragraph" w:customStyle="1" w:styleId="231">
    <w:name w:val="xl11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32">
    <w:name w:val="xl11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33">
    <w:name w:val="xl11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34">
    <w:name w:val="xl11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35">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36">
    <w:name w:val="xl11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37">
    <w:name w:val="xl11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szCs w:val="20"/>
    </w:rPr>
  </w:style>
  <w:style w:type="paragraph" w:customStyle="1" w:styleId="238">
    <w:name w:val="xl11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39">
    <w:name w:val="xl12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color w:val="000000"/>
      <w:kern w:val="0"/>
      <w:sz w:val="20"/>
      <w:szCs w:val="20"/>
    </w:rPr>
  </w:style>
  <w:style w:type="paragraph" w:customStyle="1" w:styleId="240">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color w:val="000000"/>
      <w:kern w:val="0"/>
      <w:sz w:val="20"/>
      <w:szCs w:val="20"/>
    </w:rPr>
  </w:style>
  <w:style w:type="paragraph" w:customStyle="1" w:styleId="241">
    <w:name w:val="xl1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宋体"/>
      <w:kern w:val="0"/>
      <w:sz w:val="20"/>
      <w:szCs w:val="20"/>
    </w:rPr>
  </w:style>
  <w:style w:type="paragraph" w:customStyle="1" w:styleId="242">
    <w:name w:val="xl1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43">
    <w:name w:val="xl12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44">
    <w:name w:val="xl12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45">
    <w:name w:val="xl12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46">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47">
    <w:name w:val="xl12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48">
    <w:name w:val="xl129"/>
    <w:basedOn w:val="1"/>
    <w:qFormat/>
    <w:uiPriority w:val="99"/>
    <w:pPr>
      <w:widowControl/>
      <w:spacing w:before="100" w:beforeAutospacing="1" w:after="100" w:afterAutospacing="1"/>
      <w:jc w:val="left"/>
      <w:textAlignment w:val="center"/>
    </w:pPr>
    <w:rPr>
      <w:rFonts w:eastAsia="宋体"/>
      <w:kern w:val="0"/>
      <w:sz w:val="20"/>
      <w:szCs w:val="20"/>
    </w:rPr>
  </w:style>
  <w:style w:type="paragraph" w:customStyle="1" w:styleId="249">
    <w:name w:val="xl130"/>
    <w:basedOn w:val="1"/>
    <w:qFormat/>
    <w:uiPriority w:val="99"/>
    <w:pPr>
      <w:widowControl/>
      <w:spacing w:before="100" w:beforeAutospacing="1" w:after="100" w:afterAutospacing="1"/>
      <w:jc w:val="right"/>
      <w:textAlignment w:val="center"/>
    </w:pPr>
    <w:rPr>
      <w:rFonts w:eastAsia="宋体"/>
      <w:kern w:val="0"/>
      <w:sz w:val="20"/>
      <w:szCs w:val="20"/>
    </w:rPr>
  </w:style>
  <w:style w:type="paragraph" w:customStyle="1" w:styleId="250">
    <w:name w:val="xl131"/>
    <w:basedOn w:val="1"/>
    <w:qFormat/>
    <w:uiPriority w:val="99"/>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szCs w:val="20"/>
    </w:rPr>
  </w:style>
  <w:style w:type="paragraph" w:customStyle="1" w:styleId="251">
    <w:name w:val="xl13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52">
    <w:name w:val="xl13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3">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54">
    <w:name w:val="xl135"/>
    <w:basedOn w:val="1"/>
    <w:qFormat/>
    <w:uiPriority w:val="99"/>
    <w:pPr>
      <w:widowControl/>
      <w:spacing w:before="100" w:beforeAutospacing="1" w:after="100" w:afterAutospacing="1"/>
      <w:jc w:val="left"/>
      <w:textAlignment w:val="center"/>
    </w:pPr>
    <w:rPr>
      <w:rFonts w:eastAsia="宋体"/>
      <w:kern w:val="0"/>
      <w:sz w:val="20"/>
      <w:szCs w:val="20"/>
    </w:rPr>
  </w:style>
  <w:style w:type="paragraph" w:customStyle="1" w:styleId="255">
    <w:name w:val="xl13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6">
    <w:name w:val="xl1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7">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8">
    <w:name w:val="xl1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9">
    <w:name w:val="xl1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60">
    <w:name w:val="xl1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61">
    <w:name w:val="xl1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color w:val="000000"/>
      <w:kern w:val="0"/>
      <w:sz w:val="20"/>
      <w:szCs w:val="20"/>
    </w:rPr>
  </w:style>
  <w:style w:type="paragraph" w:customStyle="1" w:styleId="262">
    <w:name w:val="xl1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63">
    <w:name w:val="xl1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64">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65">
    <w:name w:val="xl14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66">
    <w:name w:val="xl1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67">
    <w:name w:val="xl1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宋体"/>
      <w:kern w:val="0"/>
      <w:sz w:val="20"/>
      <w:szCs w:val="20"/>
    </w:rPr>
  </w:style>
  <w:style w:type="paragraph" w:customStyle="1" w:styleId="268">
    <w:name w:val="xl1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宋体"/>
      <w:kern w:val="0"/>
      <w:sz w:val="20"/>
      <w:szCs w:val="20"/>
    </w:rPr>
  </w:style>
  <w:style w:type="paragraph" w:customStyle="1" w:styleId="269">
    <w:name w:val="xl1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70">
    <w:name w:val="xl1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71">
    <w:name w:val="xl15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72">
    <w:name w:val="xl15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73">
    <w:name w:val="xl154"/>
    <w:basedOn w:val="1"/>
    <w:qFormat/>
    <w:uiPriority w:val="99"/>
    <w:pPr>
      <w:widowControl/>
      <w:spacing w:before="100" w:beforeAutospacing="1" w:after="100" w:afterAutospacing="1"/>
      <w:jc w:val="left"/>
      <w:textAlignment w:val="center"/>
    </w:pPr>
    <w:rPr>
      <w:rFonts w:eastAsia="宋体"/>
      <w:color w:val="000000"/>
      <w:kern w:val="0"/>
      <w:sz w:val="20"/>
      <w:szCs w:val="20"/>
    </w:rPr>
  </w:style>
  <w:style w:type="paragraph" w:customStyle="1" w:styleId="274">
    <w:name w:val="xl155"/>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eastAsia="宋体"/>
      <w:kern w:val="0"/>
      <w:sz w:val="20"/>
      <w:szCs w:val="20"/>
    </w:rPr>
  </w:style>
  <w:style w:type="paragraph" w:customStyle="1" w:styleId="275">
    <w:name w:val="xl15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76">
    <w:name w:val="xl15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77">
    <w:name w:val="xl15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78">
    <w:name w:val="xl15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79">
    <w:name w:val="xl16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280">
    <w:name w:val="xl161"/>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81">
    <w:name w:val="xl16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282">
    <w:name w:val="xl1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83">
    <w:name w:val="xl1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84">
    <w:name w:val="xl16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85">
    <w:name w:val="xl166"/>
    <w:basedOn w:val="1"/>
    <w:qFormat/>
    <w:uiPriority w:val="99"/>
    <w:pPr>
      <w:widowControl/>
      <w:pBdr>
        <w:top w:val="single" w:color="auto" w:sz="4" w:space="0"/>
        <w:bottom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86">
    <w:name w:val="xl167"/>
    <w:basedOn w:val="1"/>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87">
    <w:name w:val="xl1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88">
    <w:name w:val="xl16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89">
    <w:name w:val="xl17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90">
    <w:name w:val="xl171"/>
    <w:basedOn w:val="1"/>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character" w:customStyle="1" w:styleId="291">
    <w:name w:val="style1"/>
    <w:qFormat/>
    <w:uiPriority w:val="99"/>
  </w:style>
  <w:style w:type="paragraph" w:customStyle="1" w:styleId="292">
    <w:name w:val="xl78"/>
    <w:basedOn w:val="1"/>
    <w:qFormat/>
    <w:uiPriority w:val="99"/>
    <w:pPr>
      <w:widowControl/>
      <w:spacing w:before="100" w:beforeAutospacing="1" w:after="100" w:afterAutospacing="1"/>
      <w:jc w:val="center"/>
      <w:textAlignment w:val="center"/>
    </w:pPr>
    <w:rPr>
      <w:rFonts w:eastAsia="宋体"/>
      <w:kern w:val="0"/>
      <w:sz w:val="20"/>
      <w:szCs w:val="20"/>
    </w:rPr>
  </w:style>
  <w:style w:type="paragraph" w:styleId="293">
    <w:name w:val="No Spacing"/>
    <w:qFormat/>
    <w:uiPriority w:val="99"/>
    <w:pPr>
      <w:widowControl w:val="0"/>
    </w:pPr>
    <w:rPr>
      <w:rFonts w:ascii="Calibri" w:hAnsi="Calibri" w:eastAsia="仿宋" w:cs="Calibri"/>
      <w:kern w:val="2"/>
      <w:sz w:val="28"/>
      <w:szCs w:val="28"/>
      <w:lang w:val="en-US" w:eastAsia="zh-CN" w:bidi="ar-SA"/>
    </w:rPr>
  </w:style>
  <w:style w:type="character" w:customStyle="1" w:styleId="294">
    <w:name w:val="NormalCharacter"/>
    <w:semiHidden/>
    <w:qFormat/>
    <w:uiPriority w:val="99"/>
    <w:rPr>
      <w:rFonts w:ascii="Times New Roman" w:hAnsi="Times New Roman" w:eastAsia="宋体" w:cs="Times New Roman"/>
      <w:kern w:val="2"/>
      <w:sz w:val="21"/>
      <w:szCs w:val="21"/>
      <w:lang w:val="en-US" w:eastAsia="zh-CN"/>
    </w:rPr>
  </w:style>
  <w:style w:type="character" w:customStyle="1" w:styleId="295">
    <w:name w:val="张伟正文 Char"/>
    <w:link w:val="296"/>
    <w:qFormat/>
    <w:locked/>
    <w:uiPriority w:val="99"/>
    <w:rPr>
      <w:sz w:val="18"/>
      <w:szCs w:val="18"/>
    </w:rPr>
  </w:style>
  <w:style w:type="paragraph" w:customStyle="1" w:styleId="296">
    <w:name w:val="张伟正文"/>
    <w:basedOn w:val="1"/>
    <w:link w:val="295"/>
    <w:qFormat/>
    <w:uiPriority w:val="99"/>
    <w:pPr>
      <w:spacing w:line="280" w:lineRule="exact"/>
      <w:ind w:firstLine="420"/>
    </w:pPr>
    <w:rPr>
      <w:rFonts w:eastAsia="宋体"/>
      <w:kern w:val="0"/>
      <w:sz w:val="18"/>
      <w:szCs w:val="18"/>
    </w:rPr>
  </w:style>
  <w:style w:type="character" w:customStyle="1" w:styleId="297">
    <w:name w:val="标题 Char1"/>
    <w:qFormat/>
    <w:uiPriority w:val="99"/>
    <w:rPr>
      <w:rFonts w:ascii="Cambria" w:hAnsi="Cambria" w:cs="Cambria"/>
      <w:b/>
      <w:bCs/>
      <w:kern w:val="2"/>
      <w:sz w:val="32"/>
      <w:szCs w:val="32"/>
    </w:rPr>
  </w:style>
  <w:style w:type="character" w:customStyle="1" w:styleId="298">
    <w:name w:val="a41"/>
    <w:uiPriority w:val="99"/>
    <w:rPr>
      <w:color w:val="auto"/>
      <w:sz w:val="20"/>
      <w:szCs w:val="20"/>
    </w:rPr>
  </w:style>
  <w:style w:type="character" w:customStyle="1" w:styleId="299">
    <w:name w:val="正文文本 3 Char1"/>
    <w:semiHidden/>
    <w:qFormat/>
    <w:uiPriority w:val="99"/>
    <w:rPr>
      <w:rFonts w:eastAsia="仿宋_GB2312"/>
      <w:kern w:val="2"/>
      <w:sz w:val="16"/>
      <w:szCs w:val="16"/>
    </w:rPr>
  </w:style>
  <w:style w:type="character" w:customStyle="1" w:styleId="300">
    <w:name w:val="3zw1"/>
    <w:basedOn w:val="57"/>
    <w:qFormat/>
    <w:uiPriority w:val="99"/>
  </w:style>
  <w:style w:type="character" w:customStyle="1" w:styleId="301">
    <w:name w:val="huei12b1"/>
    <w:uiPriority w:val="99"/>
    <w:rPr>
      <w:b/>
      <w:bCs/>
      <w:color w:val="333333"/>
      <w:sz w:val="18"/>
      <w:szCs w:val="18"/>
    </w:rPr>
  </w:style>
  <w:style w:type="character" w:customStyle="1" w:styleId="302">
    <w:name w:val="juhuang1"/>
    <w:qFormat/>
    <w:uiPriority w:val="99"/>
    <w:rPr>
      <w:b/>
      <w:bCs/>
      <w:color w:val="auto"/>
      <w:sz w:val="21"/>
      <w:szCs w:val="21"/>
      <w:u w:val="none"/>
    </w:rPr>
  </w:style>
  <w:style w:type="character" w:customStyle="1" w:styleId="303">
    <w:name w:val="line1"/>
    <w:basedOn w:val="57"/>
    <w:uiPriority w:val="99"/>
  </w:style>
  <w:style w:type="character" w:customStyle="1" w:styleId="304">
    <w:name w:val="unnamed11"/>
    <w:uiPriority w:val="99"/>
    <w:rPr>
      <w:rFonts w:ascii="Tahoma" w:hAnsi="Tahoma" w:eastAsia="宋体" w:cs="Tahoma"/>
      <w:color w:val="000000"/>
      <w:kern w:val="2"/>
      <w:sz w:val="18"/>
      <w:szCs w:val="18"/>
      <w:u w:val="none"/>
      <w:lang w:val="en-US" w:eastAsia="zh-CN"/>
    </w:rPr>
  </w:style>
  <w:style w:type="character" w:customStyle="1" w:styleId="305">
    <w:name w:val="style181"/>
    <w:uiPriority w:val="99"/>
    <w:rPr>
      <w:color w:val="auto"/>
    </w:rPr>
  </w:style>
  <w:style w:type="character" w:customStyle="1" w:styleId="306">
    <w:name w:val="次小点说明 Char1"/>
    <w:link w:val="307"/>
    <w:locked/>
    <w:uiPriority w:val="99"/>
    <w:rPr>
      <w:sz w:val="24"/>
      <w:szCs w:val="24"/>
    </w:rPr>
  </w:style>
  <w:style w:type="paragraph" w:customStyle="1" w:styleId="307">
    <w:name w:val="次小点说明"/>
    <w:basedOn w:val="8"/>
    <w:link w:val="306"/>
    <w:qFormat/>
    <w:uiPriority w:val="99"/>
    <w:pPr>
      <w:adjustRightInd/>
      <w:spacing w:line="360" w:lineRule="auto"/>
      <w:ind w:left="480" w:leftChars="200" w:firstLine="482" w:firstLineChars="200"/>
      <w:jc w:val="both"/>
      <w:textAlignment w:val="auto"/>
    </w:pPr>
    <w:rPr>
      <w:rFonts w:eastAsia="宋体"/>
      <w:sz w:val="24"/>
      <w:szCs w:val="24"/>
    </w:rPr>
  </w:style>
  <w:style w:type="character" w:customStyle="1" w:styleId="308">
    <w:name w:val="3zw"/>
    <w:basedOn w:val="57"/>
    <w:uiPriority w:val="99"/>
  </w:style>
  <w:style w:type="character" w:customStyle="1" w:styleId="309">
    <w:name w:val="fbxx1"/>
    <w:uiPriority w:val="99"/>
    <w:rPr>
      <w:b/>
      <w:bCs/>
      <w:color w:val="auto"/>
      <w:sz w:val="24"/>
      <w:szCs w:val="24"/>
      <w:u w:val="none"/>
    </w:rPr>
  </w:style>
  <w:style w:type="character" w:customStyle="1" w:styleId="310">
    <w:name w:val="text1"/>
    <w:qFormat/>
    <w:uiPriority w:val="99"/>
    <w:rPr>
      <w:sz w:val="20"/>
      <w:szCs w:val="20"/>
      <w:u w:val="none"/>
    </w:rPr>
  </w:style>
  <w:style w:type="character" w:customStyle="1" w:styleId="311">
    <w:name w:val="c lh15"/>
    <w:basedOn w:val="57"/>
    <w:qFormat/>
    <w:uiPriority w:val="99"/>
  </w:style>
  <w:style w:type="character" w:customStyle="1" w:styleId="312">
    <w:name w:val="hongse1"/>
    <w:qFormat/>
    <w:uiPriority w:val="99"/>
    <w:rPr>
      <w:color w:val="auto"/>
      <w:sz w:val="18"/>
      <w:szCs w:val="18"/>
      <w:u w:val="none"/>
    </w:rPr>
  </w:style>
  <w:style w:type="character" w:customStyle="1" w:styleId="313">
    <w:name w:val="titletext11"/>
    <w:qFormat/>
    <w:uiPriority w:val="99"/>
    <w:rPr>
      <w:b/>
      <w:bCs/>
      <w:color w:val="C50B1E"/>
    </w:rPr>
  </w:style>
  <w:style w:type="character" w:customStyle="1" w:styleId="314">
    <w:name w:val="style121"/>
    <w:qFormat/>
    <w:uiPriority w:val="99"/>
    <w:rPr>
      <w:color w:val="FF0000"/>
    </w:rPr>
  </w:style>
  <w:style w:type="character" w:customStyle="1" w:styleId="315">
    <w:name w:val="apple-style-span"/>
    <w:basedOn w:val="57"/>
    <w:qFormat/>
    <w:uiPriority w:val="99"/>
  </w:style>
  <w:style w:type="character" w:customStyle="1" w:styleId="316">
    <w:name w:val="!我的正文 Ctr+Q Char"/>
    <w:link w:val="317"/>
    <w:locked/>
    <w:uiPriority w:val="99"/>
    <w:rPr>
      <w:rFonts w:ascii="Arial" w:hAnsi="Arial" w:cs="Arial"/>
      <w:sz w:val="21"/>
      <w:szCs w:val="21"/>
    </w:rPr>
  </w:style>
  <w:style w:type="paragraph" w:customStyle="1" w:styleId="317">
    <w:name w:val="!我的正文 Ctr+Q"/>
    <w:basedOn w:val="1"/>
    <w:link w:val="316"/>
    <w:qFormat/>
    <w:uiPriority w:val="99"/>
    <w:pPr>
      <w:adjustRightInd w:val="0"/>
      <w:snapToGrid w:val="0"/>
      <w:spacing w:line="360" w:lineRule="auto"/>
      <w:ind w:firstLine="480" w:firstLineChars="200"/>
    </w:pPr>
    <w:rPr>
      <w:rFonts w:ascii="Arial" w:hAnsi="Arial" w:eastAsia="宋体" w:cs="Arial"/>
      <w:kern w:val="0"/>
    </w:rPr>
  </w:style>
  <w:style w:type="paragraph" w:customStyle="1" w:styleId="318">
    <w:name w:val="xl3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宋体" w:cs="Arial Unicode MS"/>
      <w:kern w:val="0"/>
    </w:rPr>
  </w:style>
  <w:style w:type="paragraph" w:customStyle="1" w:styleId="319">
    <w:name w:val="列项——"/>
    <w:qFormat/>
    <w:uiPriority w:val="99"/>
    <w:pPr>
      <w:widowControl w:val="0"/>
      <w:tabs>
        <w:tab w:val="left" w:pos="854"/>
      </w:tabs>
      <w:ind w:left="840" w:leftChars="200" w:hanging="420" w:hangingChars="200"/>
      <w:jc w:val="both"/>
    </w:pPr>
    <w:rPr>
      <w:rFonts w:ascii="宋体" w:hAnsi="Times New Roman" w:eastAsia="宋体" w:cs="宋体"/>
      <w:sz w:val="21"/>
      <w:szCs w:val="21"/>
      <w:lang w:val="en-US" w:eastAsia="zh-CN" w:bidi="ar-SA"/>
    </w:rPr>
  </w:style>
  <w:style w:type="paragraph" w:customStyle="1" w:styleId="320">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008080"/>
      <w:spacing w:before="100" w:beforeAutospacing="1" w:after="100" w:afterAutospacing="1"/>
      <w:jc w:val="left"/>
      <w:textAlignment w:val="center"/>
    </w:pPr>
    <w:rPr>
      <w:rFonts w:ascii="宋体" w:hAnsi="宋体" w:eastAsia="宋体" w:cs="宋体"/>
      <w:kern w:val="0"/>
      <w:sz w:val="22"/>
      <w:szCs w:val="22"/>
    </w:rPr>
  </w:style>
  <w:style w:type="paragraph" w:customStyle="1" w:styleId="321">
    <w:name w:val="xl42"/>
    <w:basedOn w:val="1"/>
    <w:qFormat/>
    <w:uiPriority w:val="99"/>
    <w:pPr>
      <w:widowControl/>
      <w:pBdr>
        <w:right w:val="single" w:color="auto" w:sz="4" w:space="0"/>
      </w:pBdr>
      <w:spacing w:before="100" w:beforeAutospacing="1" w:after="100" w:afterAutospacing="1"/>
      <w:jc w:val="center"/>
    </w:pPr>
    <w:rPr>
      <w:rFonts w:ascii="Arial Unicode MS" w:hAnsi="Arial Unicode MS" w:eastAsia="宋体" w:cs="Arial Unicode MS"/>
      <w:kern w:val="0"/>
    </w:rPr>
  </w:style>
  <w:style w:type="paragraph" w:customStyle="1" w:styleId="322">
    <w:name w:val="xl5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eastAsia="宋体"/>
      <w:kern w:val="0"/>
    </w:rPr>
  </w:style>
  <w:style w:type="paragraph" w:customStyle="1" w:styleId="323">
    <w:name w:val="xl44"/>
    <w:basedOn w:val="1"/>
    <w:uiPriority w:val="99"/>
    <w:pPr>
      <w:widowControl/>
      <w:pBdr>
        <w:left w:val="single" w:color="auto" w:sz="4" w:space="0"/>
      </w:pBdr>
      <w:spacing w:before="100" w:beforeAutospacing="1" w:after="100" w:afterAutospacing="1"/>
      <w:jc w:val="left"/>
    </w:pPr>
    <w:rPr>
      <w:rFonts w:ascii="Arial Unicode MS" w:hAnsi="Arial Unicode MS" w:eastAsia="宋体" w:cs="Arial Unicode MS"/>
      <w:kern w:val="0"/>
    </w:rPr>
  </w:style>
  <w:style w:type="character" w:customStyle="1" w:styleId="324">
    <w:name w:val="正文文本 Char1"/>
    <w:semiHidden/>
    <w:uiPriority w:val="99"/>
    <w:rPr>
      <w:rFonts w:ascii="Times New Roman" w:hAnsi="Times New Roman" w:eastAsia="宋体" w:cs="Times New Roman"/>
      <w:sz w:val="20"/>
      <w:szCs w:val="20"/>
    </w:rPr>
  </w:style>
  <w:style w:type="paragraph" w:customStyle="1" w:styleId="325">
    <w:name w:val="xl30"/>
    <w:basedOn w:val="1"/>
    <w:uiPriority w:val="99"/>
    <w:pPr>
      <w:widowControl/>
      <w:pBdr>
        <w:top w:val="single" w:color="auto" w:sz="4" w:space="0"/>
        <w:left w:val="single" w:color="auto" w:sz="4" w:space="0"/>
        <w:bottom w:val="single" w:color="auto" w:sz="4" w:space="0"/>
        <w:right w:val="single" w:color="auto" w:sz="4" w:space="0"/>
      </w:pBdr>
      <w:shd w:val="clear" w:color="auto" w:fill="008080"/>
      <w:spacing w:before="100" w:beforeAutospacing="1" w:after="100" w:afterAutospacing="1"/>
      <w:jc w:val="center"/>
      <w:textAlignment w:val="center"/>
    </w:pPr>
    <w:rPr>
      <w:rFonts w:ascii="宋体" w:hAnsi="宋体" w:eastAsia="宋体" w:cs="宋体"/>
      <w:kern w:val="0"/>
      <w:sz w:val="22"/>
      <w:szCs w:val="22"/>
    </w:rPr>
  </w:style>
  <w:style w:type="paragraph" w:customStyle="1" w:styleId="326">
    <w:name w:val="xl43"/>
    <w:basedOn w:val="1"/>
    <w:qFormat/>
    <w:uiPriority w:val="99"/>
    <w:pPr>
      <w:widowControl/>
      <w:pBdr>
        <w:left w:val="single" w:color="auto" w:sz="4" w:space="0"/>
        <w:right w:val="single" w:color="auto" w:sz="4" w:space="0"/>
      </w:pBdr>
      <w:spacing w:before="100" w:beforeAutospacing="1" w:after="100" w:afterAutospacing="1"/>
      <w:jc w:val="left"/>
    </w:pPr>
    <w:rPr>
      <w:rFonts w:ascii="Arial Unicode MS" w:hAnsi="Arial Unicode MS" w:eastAsia="宋体" w:cs="Arial Unicode MS"/>
      <w:kern w:val="0"/>
    </w:rPr>
  </w:style>
  <w:style w:type="paragraph" w:customStyle="1" w:styleId="327">
    <w:name w:val="xl2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kern w:val="0"/>
      <w:sz w:val="22"/>
      <w:szCs w:val="22"/>
    </w:rPr>
  </w:style>
  <w:style w:type="paragraph" w:customStyle="1" w:styleId="328">
    <w:name w:val="xl52"/>
    <w:basedOn w:val="1"/>
    <w:qFormat/>
    <w:uiPriority w:val="99"/>
    <w:pPr>
      <w:widowControl/>
      <w:pBdr>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宋体" w:cs="Arial Unicode MS"/>
      <w:kern w:val="0"/>
    </w:rPr>
  </w:style>
  <w:style w:type="paragraph" w:customStyle="1" w:styleId="329">
    <w:name w:val="xl25"/>
    <w:basedOn w:val="1"/>
    <w:qFormat/>
    <w:uiPriority w:val="99"/>
    <w:pPr>
      <w:widowControl/>
      <w:pBdr>
        <w:top w:val="single" w:color="auto" w:sz="4" w:space="0"/>
        <w:left w:val="single" w:color="auto" w:sz="4" w:space="0"/>
        <w:bottom w:val="single" w:color="auto" w:sz="4" w:space="0"/>
        <w:right w:val="single" w:color="auto" w:sz="4" w:space="0"/>
      </w:pBdr>
      <w:shd w:val="clear" w:color="auto" w:fill="0000FF"/>
      <w:spacing w:before="100" w:beforeAutospacing="1" w:after="100" w:afterAutospacing="1"/>
      <w:jc w:val="left"/>
      <w:textAlignment w:val="center"/>
    </w:pPr>
    <w:rPr>
      <w:rFonts w:ascii="宋体" w:hAnsi="宋体" w:eastAsia="宋体" w:cs="宋体"/>
      <w:kern w:val="0"/>
      <w:sz w:val="22"/>
      <w:szCs w:val="22"/>
    </w:rPr>
  </w:style>
  <w:style w:type="paragraph" w:customStyle="1" w:styleId="330">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仿宋" w:hAnsi="华文仿宋" w:eastAsia="华文仿宋" w:cs="华文仿宋"/>
      <w:kern w:val="0"/>
    </w:rPr>
  </w:style>
  <w:style w:type="paragraph" w:customStyle="1" w:styleId="331">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楷体" w:hAnsi="Arial Unicode MS" w:eastAsia="华文楷体" w:cs="华文楷体"/>
      <w:kern w:val="0"/>
    </w:rPr>
  </w:style>
  <w:style w:type="paragraph" w:customStyle="1" w:styleId="332">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0000FF"/>
      <w:spacing w:before="100" w:beforeAutospacing="1" w:after="100" w:afterAutospacing="1"/>
      <w:jc w:val="center"/>
      <w:textAlignment w:val="center"/>
    </w:pPr>
    <w:rPr>
      <w:rFonts w:ascii="宋体" w:hAnsi="宋体" w:eastAsia="宋体" w:cs="宋体"/>
      <w:kern w:val="0"/>
      <w:sz w:val="22"/>
      <w:szCs w:val="22"/>
    </w:rPr>
  </w:style>
  <w:style w:type="paragraph" w:customStyle="1" w:styleId="333">
    <w:name w:val="Question"/>
    <w:basedOn w:val="21"/>
    <w:uiPriority w:val="99"/>
    <w:pPr>
      <w:widowControl/>
      <w:tabs>
        <w:tab w:val="left" w:pos="720"/>
      </w:tabs>
      <w:spacing w:after="0"/>
      <w:ind w:left="720" w:hanging="436"/>
      <w:jc w:val="left"/>
    </w:pPr>
    <w:rPr>
      <w:rFonts w:ascii="Arial" w:hAnsi="Arial" w:cs="Arial"/>
      <w:sz w:val="20"/>
      <w:szCs w:val="20"/>
      <w:lang w:val="en-GB" w:eastAsia="en-US"/>
    </w:rPr>
  </w:style>
  <w:style w:type="paragraph" w:customStyle="1" w:styleId="334">
    <w:name w:val="xl31"/>
    <w:basedOn w:val="1"/>
    <w:uiPriority w:val="99"/>
    <w:pPr>
      <w:widowControl/>
      <w:pBdr>
        <w:top w:val="single" w:color="auto" w:sz="4" w:space="0"/>
        <w:left w:val="single" w:color="auto" w:sz="4" w:space="0"/>
        <w:bottom w:val="single" w:color="auto" w:sz="4" w:space="0"/>
        <w:right w:val="single" w:color="auto" w:sz="4" w:space="0"/>
      </w:pBdr>
      <w:shd w:val="clear" w:color="auto" w:fill="008080"/>
      <w:spacing w:before="100" w:beforeAutospacing="1" w:after="100" w:afterAutospacing="1"/>
      <w:jc w:val="right"/>
      <w:textAlignment w:val="center"/>
    </w:pPr>
    <w:rPr>
      <w:rFonts w:ascii="宋体" w:hAnsi="宋体" w:eastAsia="宋体" w:cs="宋体"/>
      <w:kern w:val="0"/>
      <w:sz w:val="22"/>
      <w:szCs w:val="22"/>
    </w:rPr>
  </w:style>
  <w:style w:type="paragraph" w:customStyle="1" w:styleId="335">
    <w:name w:val="xl49"/>
    <w:basedOn w:val="1"/>
    <w:uiPriority w:val="99"/>
    <w:pPr>
      <w:widowControl/>
      <w:pBdr>
        <w:left w:val="single" w:color="auto" w:sz="4" w:space="0"/>
      </w:pBdr>
      <w:spacing w:before="100" w:beforeAutospacing="1" w:after="100" w:afterAutospacing="1"/>
      <w:jc w:val="left"/>
    </w:pPr>
    <w:rPr>
      <w:rFonts w:ascii="Arial Unicode MS" w:hAnsi="Arial Unicode MS" w:eastAsia="宋体" w:cs="Arial Unicode MS"/>
      <w:kern w:val="0"/>
    </w:rPr>
  </w:style>
  <w:style w:type="paragraph" w:customStyle="1" w:styleId="336">
    <w:name w:val="xl46"/>
    <w:basedOn w:val="1"/>
    <w:qFormat/>
    <w:uiPriority w:val="99"/>
    <w:pPr>
      <w:widowControl/>
      <w:pBdr>
        <w:top w:val="single" w:color="auto" w:sz="4" w:space="0"/>
        <w:left w:val="single" w:color="auto" w:sz="4" w:space="0"/>
      </w:pBdr>
      <w:spacing w:before="100" w:beforeAutospacing="1" w:after="100" w:afterAutospacing="1"/>
      <w:jc w:val="left"/>
    </w:pPr>
    <w:rPr>
      <w:rFonts w:ascii="Arial Unicode MS" w:hAnsi="Arial Unicode MS" w:eastAsia="宋体" w:cs="Arial Unicode MS"/>
      <w:kern w:val="0"/>
    </w:rPr>
  </w:style>
  <w:style w:type="paragraph" w:customStyle="1" w:styleId="337">
    <w:name w:val="xl27"/>
    <w:basedOn w:val="1"/>
    <w:uiPriority w:val="99"/>
    <w:pPr>
      <w:widowControl/>
      <w:pBdr>
        <w:top w:val="single" w:color="auto" w:sz="4" w:space="0"/>
        <w:left w:val="single" w:color="auto" w:sz="4" w:space="0"/>
        <w:bottom w:val="single" w:color="auto" w:sz="4" w:space="0"/>
        <w:right w:val="single" w:color="auto" w:sz="4" w:space="0"/>
      </w:pBdr>
      <w:shd w:val="clear" w:color="auto" w:fill="0000FF"/>
      <w:spacing w:before="100" w:beforeAutospacing="1" w:after="100" w:afterAutospacing="1"/>
      <w:jc w:val="right"/>
      <w:textAlignment w:val="center"/>
    </w:pPr>
    <w:rPr>
      <w:rFonts w:ascii="宋体" w:hAnsi="宋体" w:eastAsia="宋体" w:cs="宋体"/>
      <w:kern w:val="0"/>
      <w:sz w:val="22"/>
      <w:szCs w:val="22"/>
    </w:rPr>
  </w:style>
  <w:style w:type="paragraph" w:customStyle="1" w:styleId="338">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宋体" w:cs="Arial Unicode MS"/>
      <w:kern w:val="0"/>
    </w:rPr>
  </w:style>
  <w:style w:type="paragraph" w:customStyle="1" w:styleId="339">
    <w:name w:val="二"/>
    <w:basedOn w:val="1"/>
    <w:next w:val="8"/>
    <w:uiPriority w:val="99"/>
    <w:pPr>
      <w:spacing w:line="360" w:lineRule="auto"/>
    </w:pPr>
    <w:rPr>
      <w:rFonts w:eastAsia="宋体"/>
    </w:rPr>
  </w:style>
  <w:style w:type="paragraph" w:customStyle="1" w:styleId="340">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entury" w:hAnsi="Century" w:eastAsia="宋体" w:cs="Century"/>
      <w:kern w:val="0"/>
      <w:sz w:val="22"/>
      <w:szCs w:val="22"/>
    </w:rPr>
  </w:style>
  <w:style w:type="paragraph" w:customStyle="1" w:styleId="341">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楷体" w:hAnsi="Arial Unicode MS" w:eastAsia="华文楷体" w:cs="华文楷体"/>
      <w:kern w:val="0"/>
    </w:rPr>
  </w:style>
  <w:style w:type="paragraph" w:customStyle="1" w:styleId="342">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Arial Unicode MS"/>
      <w:kern w:val="0"/>
    </w:rPr>
  </w:style>
  <w:style w:type="paragraph" w:customStyle="1" w:styleId="343">
    <w:name w:val="titletext4"/>
    <w:basedOn w:val="1"/>
    <w:uiPriority w:val="99"/>
    <w:pPr>
      <w:widowControl/>
      <w:spacing w:before="120" w:after="100" w:afterAutospacing="1" w:line="300" w:lineRule="atLeast"/>
      <w:jc w:val="left"/>
    </w:pPr>
    <w:rPr>
      <w:rFonts w:ascii="Arial Unicode MS" w:hAnsi="Arial Unicode MS" w:eastAsia="宋体" w:cs="Arial Unicode MS"/>
      <w:b/>
      <w:bCs/>
      <w:color w:val="C50B1E"/>
      <w:kern w:val="0"/>
    </w:rPr>
  </w:style>
  <w:style w:type="paragraph" w:customStyle="1" w:styleId="344">
    <w:name w:val="xl3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华文楷体" w:hAnsi="Arial Unicode MS" w:eastAsia="华文楷体" w:cs="华文楷体"/>
      <w:kern w:val="0"/>
    </w:rPr>
  </w:style>
  <w:style w:type="paragraph" w:customStyle="1" w:styleId="345">
    <w:name w:val="xl3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华文楷体" w:hAnsi="Arial Unicode MS" w:eastAsia="华文楷体" w:cs="华文楷体"/>
      <w:kern w:val="0"/>
    </w:rPr>
  </w:style>
  <w:style w:type="paragraph" w:customStyle="1" w:styleId="346">
    <w:name w:val="font0"/>
    <w:basedOn w:val="1"/>
    <w:uiPriority w:val="99"/>
    <w:pPr>
      <w:widowControl/>
      <w:spacing w:before="100" w:beforeAutospacing="1" w:after="100" w:afterAutospacing="1"/>
      <w:jc w:val="left"/>
    </w:pPr>
    <w:rPr>
      <w:rFonts w:ascii="宋体" w:hAnsi="宋体" w:eastAsia="宋体" w:cs="宋体"/>
      <w:kern w:val="0"/>
    </w:rPr>
  </w:style>
  <w:style w:type="paragraph" w:customStyle="1" w:styleId="347">
    <w:name w:val="xl40"/>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宋体" w:cs="Arial Unicode MS"/>
      <w:kern w:val="0"/>
    </w:rPr>
  </w:style>
  <w:style w:type="paragraph" w:customStyle="1" w:styleId="348">
    <w:name w:val="xl41"/>
    <w:basedOn w:val="1"/>
    <w:qFormat/>
    <w:uiPriority w:val="99"/>
    <w:pPr>
      <w:widowControl/>
      <w:pBdr>
        <w:top w:val="single" w:color="auto" w:sz="4" w:space="0"/>
        <w:right w:val="single" w:color="auto" w:sz="4" w:space="0"/>
      </w:pBdr>
      <w:spacing w:before="100" w:beforeAutospacing="1" w:after="100" w:afterAutospacing="1"/>
      <w:jc w:val="center"/>
    </w:pPr>
    <w:rPr>
      <w:rFonts w:ascii="Arial Unicode MS" w:hAnsi="Arial Unicode MS" w:eastAsia="宋体" w:cs="Arial Unicode MS"/>
      <w:kern w:val="0"/>
    </w:rPr>
  </w:style>
  <w:style w:type="paragraph" w:customStyle="1" w:styleId="349">
    <w:name w:val="xl4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eastAsia="宋体"/>
      <w:kern w:val="0"/>
    </w:rPr>
  </w:style>
  <w:style w:type="paragraph" w:customStyle="1" w:styleId="350">
    <w:name w:val="xl47"/>
    <w:basedOn w:val="1"/>
    <w:uiPriority w:val="99"/>
    <w:pPr>
      <w:widowControl/>
      <w:pBdr>
        <w:top w:val="single" w:color="auto" w:sz="4" w:space="0"/>
      </w:pBdr>
      <w:spacing w:before="100" w:beforeAutospacing="1" w:after="100" w:afterAutospacing="1"/>
      <w:jc w:val="center"/>
    </w:pPr>
    <w:rPr>
      <w:rFonts w:ascii="Arial Unicode MS" w:hAnsi="Arial Unicode MS" w:eastAsia="宋体" w:cs="Arial Unicode MS"/>
      <w:kern w:val="0"/>
    </w:rPr>
  </w:style>
  <w:style w:type="paragraph" w:customStyle="1" w:styleId="351">
    <w:name w:val="xl55"/>
    <w:basedOn w:val="1"/>
    <w:qFormat/>
    <w:uiPriority w:val="99"/>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宋体" w:cs="Arial Unicode MS"/>
      <w:kern w:val="0"/>
    </w:rPr>
  </w:style>
  <w:style w:type="paragraph" w:customStyle="1" w:styleId="352">
    <w:name w:val="xl48"/>
    <w:basedOn w:val="1"/>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宋体" w:cs="Arial Unicode MS"/>
      <w:kern w:val="0"/>
    </w:rPr>
  </w:style>
  <w:style w:type="paragraph" w:customStyle="1" w:styleId="353">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rPr>
  </w:style>
  <w:style w:type="paragraph" w:customStyle="1" w:styleId="354">
    <w:name w:val="xl5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宋体" w:cs="Arial Unicode MS"/>
      <w:kern w:val="0"/>
    </w:rPr>
  </w:style>
  <w:style w:type="paragraph" w:customStyle="1" w:styleId="355">
    <w:name w:val="xl54"/>
    <w:basedOn w:val="1"/>
    <w:qFormat/>
    <w:uiPriority w:val="99"/>
    <w:pPr>
      <w:widowControl/>
      <w:pBdr>
        <w:top w:val="single" w:color="auto" w:sz="4" w:space="0"/>
        <w:bottom w:val="single" w:color="auto" w:sz="4" w:space="0"/>
      </w:pBdr>
      <w:spacing w:before="100" w:beforeAutospacing="1" w:after="100" w:afterAutospacing="1"/>
      <w:jc w:val="right"/>
    </w:pPr>
    <w:rPr>
      <w:rFonts w:ascii="Arial Unicode MS" w:hAnsi="Arial Unicode MS" w:eastAsia="宋体" w:cs="Arial Unicode MS"/>
      <w:kern w:val="0"/>
    </w:rPr>
  </w:style>
  <w:style w:type="paragraph" w:customStyle="1" w:styleId="356">
    <w:name w:val="xl56"/>
    <w:basedOn w:val="1"/>
    <w:uiPriority w:val="99"/>
    <w:pPr>
      <w:widowControl/>
      <w:spacing w:before="100" w:beforeAutospacing="1" w:after="100" w:afterAutospacing="1"/>
      <w:jc w:val="right"/>
    </w:pPr>
    <w:rPr>
      <w:rFonts w:ascii="Arial Unicode MS" w:hAnsi="Arial Unicode MS" w:eastAsia="宋体" w:cs="Arial Unicode MS"/>
      <w:kern w:val="0"/>
    </w:rPr>
  </w:style>
  <w:style w:type="paragraph" w:customStyle="1" w:styleId="357">
    <w:name w:val="left2"/>
    <w:basedOn w:val="1"/>
    <w:uiPriority w:val="99"/>
    <w:pPr>
      <w:widowControl/>
      <w:shd w:val="clear" w:color="auto" w:fill="FF8F00"/>
      <w:spacing w:before="75" w:after="45" w:line="300" w:lineRule="atLeast"/>
      <w:jc w:val="left"/>
    </w:pPr>
    <w:rPr>
      <w:rFonts w:ascii="Arial Unicode MS" w:hAnsi="Arial Unicode MS" w:eastAsia="宋体" w:cs="Arial Unicode MS"/>
      <w:kern w:val="0"/>
    </w:rPr>
  </w:style>
  <w:style w:type="paragraph" w:customStyle="1" w:styleId="358">
    <w:name w:val="xl57"/>
    <w:basedOn w:val="1"/>
    <w:uiPriority w:val="99"/>
    <w:pPr>
      <w:widowControl/>
      <w:pBdr>
        <w:top w:val="single" w:color="auto" w:sz="4" w:space="0"/>
        <w:bottom w:val="single" w:color="auto" w:sz="4" w:space="0"/>
      </w:pBdr>
      <w:spacing w:before="100" w:beforeAutospacing="1" w:after="100" w:afterAutospacing="1"/>
      <w:jc w:val="center"/>
    </w:pPr>
    <w:rPr>
      <w:rFonts w:eastAsia="宋体"/>
      <w:kern w:val="0"/>
    </w:rPr>
  </w:style>
  <w:style w:type="paragraph" w:customStyle="1" w:styleId="359">
    <w:name w:val="right1"/>
    <w:basedOn w:val="1"/>
    <w:qFormat/>
    <w:uiPriority w:val="99"/>
    <w:pPr>
      <w:widowControl/>
      <w:spacing w:before="120" w:after="100" w:afterAutospacing="1" w:line="300" w:lineRule="atLeast"/>
      <w:ind w:left="90"/>
      <w:jc w:val="left"/>
    </w:pPr>
    <w:rPr>
      <w:rFonts w:ascii="Arial Unicode MS" w:hAnsi="Arial Unicode MS" w:eastAsia="宋体" w:cs="Arial Unicode MS"/>
      <w:kern w:val="0"/>
    </w:rPr>
  </w:style>
  <w:style w:type="paragraph" w:customStyle="1" w:styleId="360">
    <w:name w:val="textfield1"/>
    <w:basedOn w:val="1"/>
    <w:qFormat/>
    <w:uiPriority w:val="99"/>
    <w:pPr>
      <w:widowControl/>
      <w:pBdr>
        <w:top w:val="single" w:color="404040" w:sz="6" w:space="0"/>
        <w:left w:val="single" w:color="404040" w:sz="6" w:space="0"/>
        <w:bottom w:val="single" w:color="D4D0C8" w:sz="6" w:space="0"/>
        <w:right w:val="single" w:color="D4D0C8" w:sz="6" w:space="0"/>
      </w:pBdr>
      <w:shd w:val="clear" w:color="auto" w:fill="FFFFFF"/>
      <w:spacing w:before="120" w:after="100" w:afterAutospacing="1" w:line="300" w:lineRule="atLeast"/>
      <w:jc w:val="left"/>
    </w:pPr>
    <w:rPr>
      <w:rFonts w:ascii="Arial Unicode MS" w:hAnsi="Arial Unicode MS" w:eastAsia="宋体" w:cs="Arial Unicode MS"/>
      <w:kern w:val="0"/>
    </w:rPr>
  </w:style>
  <w:style w:type="paragraph" w:customStyle="1" w:styleId="361">
    <w:name w:val="xl58"/>
    <w:basedOn w:val="1"/>
    <w:uiPriority w:val="99"/>
    <w:pPr>
      <w:widowControl/>
      <w:pBdr>
        <w:left w:val="single" w:color="auto" w:sz="4" w:space="0"/>
        <w:bottom w:val="single" w:color="auto" w:sz="4" w:space="0"/>
      </w:pBdr>
      <w:spacing w:before="100" w:beforeAutospacing="1" w:after="100" w:afterAutospacing="1"/>
      <w:jc w:val="left"/>
    </w:pPr>
    <w:rPr>
      <w:rFonts w:ascii="Arial Unicode MS" w:hAnsi="Arial Unicode MS" w:eastAsia="宋体" w:cs="Arial Unicode MS"/>
      <w:kern w:val="0"/>
    </w:rPr>
  </w:style>
  <w:style w:type="paragraph" w:customStyle="1" w:styleId="362">
    <w:name w:val="right3"/>
    <w:basedOn w:val="1"/>
    <w:qFormat/>
    <w:uiPriority w:val="99"/>
    <w:pPr>
      <w:widowControl/>
      <w:shd w:val="clear" w:color="auto" w:fill="E0E0E0"/>
      <w:spacing w:before="120" w:after="100" w:afterAutospacing="1" w:line="300" w:lineRule="atLeast"/>
      <w:ind w:left="90"/>
      <w:jc w:val="left"/>
    </w:pPr>
    <w:rPr>
      <w:rFonts w:ascii="Arial Unicode MS" w:hAnsi="Arial Unicode MS" w:eastAsia="宋体" w:cs="Arial Unicode MS"/>
      <w:kern w:val="0"/>
    </w:rPr>
  </w:style>
  <w:style w:type="paragraph" w:customStyle="1" w:styleId="363">
    <w:name w:val="textred"/>
    <w:basedOn w:val="1"/>
    <w:qFormat/>
    <w:uiPriority w:val="99"/>
    <w:pPr>
      <w:widowControl/>
      <w:spacing w:before="120" w:after="100" w:afterAutospacing="1" w:line="300" w:lineRule="atLeast"/>
      <w:jc w:val="left"/>
    </w:pPr>
    <w:rPr>
      <w:rFonts w:ascii="Arial Unicode MS" w:hAnsi="Arial Unicode MS" w:eastAsia="宋体" w:cs="Arial Unicode MS"/>
      <w:color w:val="C50B1E"/>
      <w:kern w:val="0"/>
    </w:rPr>
  </w:style>
  <w:style w:type="paragraph" w:customStyle="1" w:styleId="364">
    <w:name w:val="xl59"/>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宋体" w:cs="Arial Unicode MS"/>
      <w:kern w:val="0"/>
    </w:rPr>
  </w:style>
  <w:style w:type="paragraph" w:customStyle="1" w:styleId="365">
    <w:name w:val="标题1"/>
    <w:basedOn w:val="1"/>
    <w:uiPriority w:val="99"/>
    <w:pPr>
      <w:widowControl/>
      <w:spacing w:before="100" w:beforeAutospacing="1" w:after="100" w:afterAutospacing="1"/>
      <w:jc w:val="left"/>
    </w:pPr>
    <w:rPr>
      <w:rFonts w:ascii="Arial Unicode MS" w:hAnsi="Arial Unicode MS" w:eastAsia="宋体" w:cs="Arial Unicode MS"/>
      <w:b/>
      <w:bCs/>
      <w:color w:val="003596"/>
      <w:kern w:val="0"/>
    </w:rPr>
  </w:style>
  <w:style w:type="paragraph" w:customStyle="1" w:styleId="366">
    <w:name w:val="imgalign"/>
    <w:basedOn w:val="1"/>
    <w:uiPriority w:val="99"/>
    <w:pPr>
      <w:widowControl/>
      <w:spacing w:before="120" w:after="100" w:afterAutospacing="1" w:line="300" w:lineRule="atLeast"/>
      <w:jc w:val="left"/>
    </w:pPr>
    <w:rPr>
      <w:rFonts w:ascii="Arial Unicode MS" w:hAnsi="Arial Unicode MS" w:eastAsia="宋体" w:cs="Arial Unicode MS"/>
      <w:kern w:val="0"/>
    </w:rPr>
  </w:style>
  <w:style w:type="paragraph" w:customStyle="1" w:styleId="367">
    <w:name w:val="select1"/>
    <w:basedOn w:val="1"/>
    <w:uiPriority w:val="99"/>
    <w:pPr>
      <w:widowControl/>
      <w:spacing w:before="100" w:beforeAutospacing="1" w:after="100" w:afterAutospacing="1"/>
      <w:jc w:val="left"/>
    </w:pPr>
    <w:rPr>
      <w:rFonts w:ascii="Arial Unicode MS" w:hAnsi="Arial Unicode MS" w:eastAsia="宋体" w:cs="Arial Unicode MS"/>
      <w:kern w:val="0"/>
    </w:rPr>
  </w:style>
  <w:style w:type="paragraph" w:customStyle="1" w:styleId="368">
    <w:name w:val="style2"/>
    <w:basedOn w:val="1"/>
    <w:uiPriority w:val="99"/>
    <w:pPr>
      <w:widowControl/>
      <w:spacing w:before="100" w:beforeAutospacing="1" w:after="100" w:afterAutospacing="1"/>
      <w:jc w:val="left"/>
    </w:pPr>
    <w:rPr>
      <w:rFonts w:ascii="Arial Unicode MS" w:hAnsi="Arial Unicode MS" w:eastAsia="宋体" w:cs="Arial Unicode MS"/>
      <w:kern w:val="0"/>
      <w:sz w:val="20"/>
      <w:szCs w:val="20"/>
    </w:rPr>
  </w:style>
  <w:style w:type="paragraph" w:customStyle="1" w:styleId="369">
    <w:name w:val="select2"/>
    <w:basedOn w:val="1"/>
    <w:uiPriority w:val="99"/>
    <w:pPr>
      <w:widowControl/>
      <w:spacing w:before="100" w:beforeAutospacing="1" w:after="100" w:afterAutospacing="1"/>
      <w:jc w:val="left"/>
    </w:pPr>
    <w:rPr>
      <w:rFonts w:ascii="Arial Unicode MS" w:hAnsi="Arial Unicode MS" w:eastAsia="宋体" w:cs="Arial Unicode MS"/>
      <w:color w:val="7F7F7F"/>
      <w:kern w:val="0"/>
    </w:rPr>
  </w:style>
  <w:style w:type="paragraph" w:customStyle="1" w:styleId="370">
    <w:name w:val="style4"/>
    <w:basedOn w:val="1"/>
    <w:qFormat/>
    <w:uiPriority w:val="99"/>
    <w:pPr>
      <w:widowControl/>
      <w:spacing w:before="100" w:beforeAutospacing="1" w:after="100" w:afterAutospacing="1"/>
      <w:jc w:val="left"/>
    </w:pPr>
    <w:rPr>
      <w:rFonts w:ascii="Arial Unicode MS" w:hAnsi="Arial Unicode MS" w:eastAsia="宋体" w:cs="Arial Unicode MS"/>
      <w:color w:val="0000FF"/>
      <w:kern w:val="0"/>
      <w:sz w:val="20"/>
      <w:szCs w:val="20"/>
    </w:rPr>
  </w:style>
  <w:style w:type="paragraph" w:customStyle="1" w:styleId="371">
    <w:name w:val="bottonred"/>
    <w:basedOn w:val="1"/>
    <w:uiPriority w:val="99"/>
    <w:pPr>
      <w:widowControl/>
      <w:shd w:val="clear" w:color="auto" w:fill="C50B1E"/>
      <w:spacing w:before="120" w:after="100" w:afterAutospacing="1" w:line="300" w:lineRule="atLeast"/>
      <w:jc w:val="left"/>
    </w:pPr>
    <w:rPr>
      <w:rFonts w:ascii="Arial Unicode MS" w:hAnsi="Arial Unicode MS" w:eastAsia="宋体" w:cs="Arial Unicode MS"/>
      <w:color w:val="FFFFFF"/>
      <w:kern w:val="0"/>
      <w:sz w:val="18"/>
      <w:szCs w:val="18"/>
    </w:rPr>
  </w:style>
  <w:style w:type="paragraph" w:customStyle="1" w:styleId="372">
    <w:name w:val="contenttext"/>
    <w:basedOn w:val="1"/>
    <w:qFormat/>
    <w:uiPriority w:val="99"/>
    <w:pPr>
      <w:widowControl/>
      <w:spacing w:before="75" w:after="100" w:afterAutospacing="1" w:line="300" w:lineRule="atLeast"/>
      <w:ind w:left="75"/>
      <w:jc w:val="left"/>
    </w:pPr>
    <w:rPr>
      <w:rFonts w:ascii="Arial Unicode MS" w:hAnsi="Arial Unicode MS" w:eastAsia="宋体" w:cs="Arial Unicode MS"/>
      <w:kern w:val="0"/>
    </w:rPr>
  </w:style>
  <w:style w:type="paragraph" w:customStyle="1" w:styleId="373">
    <w:name w:val="textfield2"/>
    <w:basedOn w:val="1"/>
    <w:uiPriority w:val="99"/>
    <w:pPr>
      <w:widowControl/>
      <w:pBdr>
        <w:top w:val="single" w:color="737373" w:sz="6" w:space="0"/>
        <w:left w:val="single" w:color="737373" w:sz="6" w:space="0"/>
        <w:bottom w:val="single" w:color="737373" w:sz="6" w:space="0"/>
        <w:right w:val="single" w:color="737373" w:sz="6" w:space="0"/>
      </w:pBdr>
      <w:spacing w:before="120" w:after="100" w:afterAutospacing="1" w:line="300" w:lineRule="atLeast"/>
      <w:jc w:val="left"/>
    </w:pPr>
    <w:rPr>
      <w:rFonts w:ascii="Arial Unicode MS" w:hAnsi="Arial Unicode MS" w:eastAsia="宋体" w:cs="Arial Unicode MS"/>
      <w:color w:val="737373"/>
      <w:kern w:val="0"/>
    </w:rPr>
  </w:style>
  <w:style w:type="paragraph" w:customStyle="1" w:styleId="374">
    <w:name w:val="leftmenu"/>
    <w:basedOn w:val="1"/>
    <w:qFormat/>
    <w:uiPriority w:val="99"/>
    <w:pPr>
      <w:widowControl/>
      <w:pBdr>
        <w:bottom w:val="single" w:color="FFFFFF" w:sz="6" w:space="0"/>
      </w:pBdr>
      <w:shd w:val="clear" w:color="auto" w:fill="C50B1E"/>
      <w:spacing w:before="120" w:after="100" w:afterAutospacing="1" w:line="300" w:lineRule="atLeast"/>
      <w:jc w:val="left"/>
    </w:pPr>
    <w:rPr>
      <w:rFonts w:ascii="Arial Unicode MS" w:hAnsi="Arial Unicode MS" w:eastAsia="宋体" w:cs="Arial Unicode MS"/>
      <w:color w:val="FFFFFF"/>
      <w:kern w:val="0"/>
    </w:rPr>
  </w:style>
  <w:style w:type="paragraph" w:customStyle="1" w:styleId="375">
    <w:name w:val="leftmenu1"/>
    <w:basedOn w:val="1"/>
    <w:qFormat/>
    <w:uiPriority w:val="99"/>
    <w:pPr>
      <w:widowControl/>
      <w:pBdr>
        <w:bottom w:val="single" w:color="FFFFFF" w:sz="6" w:space="0"/>
      </w:pBdr>
      <w:shd w:val="clear" w:color="auto" w:fill="B7B8B7"/>
      <w:spacing w:before="120" w:after="100" w:afterAutospacing="1" w:line="300" w:lineRule="atLeast"/>
      <w:jc w:val="left"/>
    </w:pPr>
    <w:rPr>
      <w:rFonts w:ascii="Arial Unicode MS" w:hAnsi="Arial Unicode MS" w:eastAsia="宋体" w:cs="Arial Unicode MS"/>
      <w:color w:val="000000"/>
      <w:kern w:val="0"/>
    </w:rPr>
  </w:style>
  <w:style w:type="paragraph" w:customStyle="1" w:styleId="376">
    <w:name w:val="size12lh18"/>
    <w:basedOn w:val="1"/>
    <w:qFormat/>
    <w:uiPriority w:val="99"/>
    <w:pPr>
      <w:widowControl/>
      <w:spacing w:before="100" w:beforeAutospacing="1" w:after="100" w:afterAutospacing="1" w:line="270" w:lineRule="atLeast"/>
      <w:jc w:val="left"/>
    </w:pPr>
    <w:rPr>
      <w:rFonts w:ascii="Arial" w:hAnsi="Arial" w:eastAsia="宋体" w:cs="Arial"/>
      <w:kern w:val="0"/>
      <w:sz w:val="18"/>
      <w:szCs w:val="18"/>
    </w:rPr>
  </w:style>
  <w:style w:type="paragraph" w:customStyle="1" w:styleId="377">
    <w:name w:val="leftmenu3"/>
    <w:basedOn w:val="1"/>
    <w:qFormat/>
    <w:uiPriority w:val="99"/>
    <w:pPr>
      <w:widowControl/>
      <w:pBdr>
        <w:left w:val="single" w:color="B7B8B7" w:sz="6" w:space="22"/>
        <w:bottom w:val="single" w:color="B7B8B7" w:sz="6" w:space="0"/>
        <w:right w:val="single" w:color="B7B8B7" w:sz="6" w:space="0"/>
      </w:pBdr>
      <w:shd w:val="clear" w:color="auto" w:fill="FFFFFF"/>
      <w:spacing w:before="120" w:after="100" w:afterAutospacing="1" w:line="300" w:lineRule="atLeast"/>
      <w:jc w:val="left"/>
    </w:pPr>
    <w:rPr>
      <w:rFonts w:ascii="Arial Unicode MS" w:hAnsi="Arial Unicode MS" w:eastAsia="宋体" w:cs="Arial Unicode MS"/>
      <w:color w:val="C50B1E"/>
      <w:kern w:val="0"/>
    </w:rPr>
  </w:style>
  <w:style w:type="paragraph" w:customStyle="1" w:styleId="378">
    <w:name w:val="titlebar"/>
    <w:basedOn w:val="1"/>
    <w:qFormat/>
    <w:uiPriority w:val="99"/>
    <w:pPr>
      <w:widowControl/>
      <w:pBdr>
        <w:top w:val="dotted" w:color="6F6F6F" w:sz="6" w:space="2"/>
        <w:bottom w:val="dotted" w:color="6F6F6F" w:sz="6" w:space="0"/>
      </w:pBdr>
      <w:shd w:val="clear" w:color="auto" w:fill="E0E0E0"/>
      <w:spacing w:before="120" w:after="100" w:afterAutospacing="1" w:line="300" w:lineRule="atLeast"/>
      <w:jc w:val="left"/>
    </w:pPr>
    <w:rPr>
      <w:rFonts w:ascii="Arial Unicode MS" w:hAnsi="Arial Unicode MS" w:eastAsia="宋体" w:cs="Arial Unicode MS"/>
      <w:b/>
      <w:bCs/>
      <w:color w:val="000000"/>
      <w:kern w:val="0"/>
    </w:rPr>
  </w:style>
  <w:style w:type="paragraph" w:customStyle="1" w:styleId="379">
    <w:name w:val="CM18"/>
    <w:basedOn w:val="380"/>
    <w:next w:val="380"/>
    <w:uiPriority w:val="99"/>
    <w:pPr>
      <w:spacing w:line="626" w:lineRule="atLeast"/>
    </w:pPr>
    <w:rPr>
      <w:color w:val="auto"/>
    </w:rPr>
  </w:style>
  <w:style w:type="paragraph" w:customStyle="1" w:styleId="380">
    <w:name w:val="Default"/>
    <w:qFormat/>
    <w:uiPriority w:val="99"/>
    <w:pPr>
      <w:widowControl w:val="0"/>
      <w:autoSpaceDE w:val="0"/>
      <w:autoSpaceDN w:val="0"/>
      <w:adjustRightInd w:val="0"/>
    </w:pPr>
    <w:rPr>
      <w:rFonts w:ascii=".a..DD.." w:hAnsi="Times New Roman" w:eastAsia=".a..DD.." w:cs=".a..DD.."/>
      <w:color w:val="000000"/>
      <w:sz w:val="24"/>
      <w:szCs w:val="24"/>
      <w:lang w:val="en-US" w:eastAsia="zh-CN" w:bidi="ar-SA"/>
    </w:rPr>
  </w:style>
  <w:style w:type="paragraph" w:customStyle="1" w:styleId="381">
    <w:name w:val="titletext"/>
    <w:basedOn w:val="1"/>
    <w:qFormat/>
    <w:uiPriority w:val="99"/>
    <w:pPr>
      <w:widowControl/>
      <w:spacing w:before="120" w:after="100" w:afterAutospacing="1" w:line="300" w:lineRule="atLeast"/>
      <w:jc w:val="center"/>
    </w:pPr>
    <w:rPr>
      <w:rFonts w:ascii="Arial Unicode MS" w:hAnsi="Arial Unicode MS" w:eastAsia="宋体" w:cs="Arial Unicode MS"/>
      <w:b/>
      <w:bCs/>
      <w:color w:val="FFFFFF"/>
      <w:kern w:val="0"/>
    </w:rPr>
  </w:style>
  <w:style w:type="paragraph" w:customStyle="1" w:styleId="382">
    <w:name w:val="CM20"/>
    <w:basedOn w:val="380"/>
    <w:next w:val="380"/>
    <w:uiPriority w:val="99"/>
    <w:pPr>
      <w:spacing w:after="115"/>
    </w:pPr>
    <w:rPr>
      <w:color w:val="auto"/>
    </w:rPr>
  </w:style>
  <w:style w:type="paragraph" w:customStyle="1" w:styleId="383">
    <w:name w:val="titletext1"/>
    <w:basedOn w:val="1"/>
    <w:qFormat/>
    <w:uiPriority w:val="99"/>
    <w:pPr>
      <w:widowControl/>
      <w:spacing w:before="120" w:after="100" w:afterAutospacing="1" w:line="300" w:lineRule="atLeast"/>
      <w:jc w:val="left"/>
    </w:pPr>
    <w:rPr>
      <w:rFonts w:ascii="Arial Unicode MS" w:hAnsi="Arial Unicode MS" w:eastAsia="宋体" w:cs="Arial Unicode MS"/>
      <w:b/>
      <w:bCs/>
      <w:color w:val="C50B1E"/>
      <w:kern w:val="0"/>
    </w:rPr>
  </w:style>
  <w:style w:type="paragraph" w:customStyle="1" w:styleId="384">
    <w:name w:val="font1"/>
    <w:basedOn w:val="1"/>
    <w:qFormat/>
    <w:uiPriority w:val="99"/>
    <w:pPr>
      <w:widowControl/>
      <w:spacing w:before="100" w:beforeAutospacing="1" w:after="100" w:afterAutospacing="1"/>
      <w:jc w:val="left"/>
    </w:pPr>
    <w:rPr>
      <w:rFonts w:ascii="宋体" w:hAnsi="宋体" w:eastAsia="宋体" w:cs="宋体"/>
      <w:kern w:val="0"/>
    </w:rPr>
  </w:style>
  <w:style w:type="paragraph" w:customStyle="1" w:styleId="385">
    <w:name w:val="titletext2"/>
    <w:basedOn w:val="1"/>
    <w:qFormat/>
    <w:uiPriority w:val="99"/>
    <w:pPr>
      <w:widowControl/>
      <w:spacing w:before="120" w:after="100" w:afterAutospacing="1" w:line="300" w:lineRule="atLeast"/>
      <w:jc w:val="left"/>
    </w:pPr>
    <w:rPr>
      <w:rFonts w:ascii="Arial Unicode MS" w:hAnsi="Arial Unicode MS" w:eastAsia="宋体" w:cs="Arial Unicode MS"/>
      <w:b/>
      <w:bCs/>
      <w:color w:val="000000"/>
      <w:kern w:val="0"/>
      <w:sz w:val="21"/>
      <w:szCs w:val="21"/>
    </w:rPr>
  </w:style>
  <w:style w:type="paragraph" w:customStyle="1" w:styleId="386">
    <w:name w:val="left1"/>
    <w:basedOn w:val="1"/>
    <w:qFormat/>
    <w:uiPriority w:val="99"/>
    <w:pPr>
      <w:widowControl/>
      <w:pBdr>
        <w:left w:val="single" w:color="9C9A9C" w:sz="6" w:space="0"/>
        <w:bottom w:val="single" w:color="9C9A9C" w:sz="6" w:space="0"/>
        <w:right w:val="single" w:color="9C9A9C" w:sz="6" w:space="0"/>
      </w:pBdr>
      <w:spacing w:before="120" w:after="100" w:afterAutospacing="1" w:line="300" w:lineRule="atLeast"/>
      <w:jc w:val="left"/>
    </w:pPr>
    <w:rPr>
      <w:rFonts w:ascii="Arial Unicode MS" w:hAnsi="Arial Unicode MS" w:eastAsia="宋体" w:cs="Arial Unicode MS"/>
      <w:kern w:val="0"/>
    </w:rPr>
  </w:style>
  <w:style w:type="paragraph" w:customStyle="1" w:styleId="387">
    <w:name w:val="titletext2s"/>
    <w:basedOn w:val="1"/>
    <w:uiPriority w:val="99"/>
    <w:pPr>
      <w:widowControl/>
      <w:spacing w:before="120" w:after="100" w:afterAutospacing="1" w:line="300" w:lineRule="atLeast"/>
      <w:jc w:val="left"/>
    </w:pPr>
    <w:rPr>
      <w:rFonts w:ascii="Arial Unicode MS" w:hAnsi="Arial Unicode MS" w:eastAsia="宋体" w:cs="Arial Unicode MS"/>
      <w:b/>
      <w:bCs/>
      <w:color w:val="000000"/>
      <w:kern w:val="0"/>
    </w:rPr>
  </w:style>
  <w:style w:type="paragraph" w:customStyle="1" w:styleId="388">
    <w:name w:val="titletext3"/>
    <w:basedOn w:val="1"/>
    <w:uiPriority w:val="99"/>
    <w:pPr>
      <w:widowControl/>
      <w:spacing w:before="120" w:after="100" w:afterAutospacing="1" w:line="300" w:lineRule="atLeast"/>
      <w:jc w:val="left"/>
    </w:pPr>
    <w:rPr>
      <w:rFonts w:ascii="Arial Unicode MS" w:hAnsi="Arial Unicode MS" w:eastAsia="宋体" w:cs="Arial Unicode MS"/>
      <w:b/>
      <w:bCs/>
      <w:color w:val="000000"/>
      <w:kern w:val="0"/>
    </w:rPr>
  </w:style>
  <w:style w:type="paragraph" w:customStyle="1" w:styleId="389">
    <w:name w:val="map2"/>
    <w:basedOn w:val="1"/>
    <w:qFormat/>
    <w:uiPriority w:val="99"/>
    <w:pPr>
      <w:widowControl/>
      <w:pBdr>
        <w:bottom w:val="single" w:color="FFFFFF" w:sz="6" w:space="0"/>
      </w:pBdr>
      <w:shd w:val="clear" w:color="auto" w:fill="CECFCE"/>
      <w:spacing w:before="120" w:after="100" w:afterAutospacing="1" w:line="285" w:lineRule="atLeast"/>
      <w:jc w:val="left"/>
    </w:pPr>
    <w:rPr>
      <w:rFonts w:ascii="Arial Unicode MS" w:hAnsi="Arial Unicode MS" w:eastAsia="宋体" w:cs="Arial Unicode MS"/>
      <w:color w:val="000000"/>
      <w:kern w:val="0"/>
    </w:rPr>
  </w:style>
  <w:style w:type="paragraph" w:customStyle="1" w:styleId="390">
    <w:name w:val="titletext6"/>
    <w:basedOn w:val="1"/>
    <w:uiPriority w:val="99"/>
    <w:pPr>
      <w:widowControl/>
      <w:spacing w:before="120" w:after="100" w:afterAutospacing="1" w:line="450" w:lineRule="atLeast"/>
      <w:jc w:val="left"/>
    </w:pPr>
    <w:rPr>
      <w:rFonts w:ascii="Arial Unicode MS" w:hAnsi="Arial Unicode MS" w:eastAsia="宋体" w:cs="Arial Unicode MS"/>
      <w:color w:val="C50B1E"/>
      <w:kern w:val="0"/>
    </w:rPr>
  </w:style>
  <w:style w:type="paragraph" w:customStyle="1" w:styleId="391">
    <w:name w:val="downtitle"/>
    <w:basedOn w:val="1"/>
    <w:qFormat/>
    <w:uiPriority w:val="99"/>
    <w:pPr>
      <w:widowControl/>
      <w:pBdr>
        <w:bottom w:val="single" w:color="C50B1E" w:sz="6" w:space="0"/>
      </w:pBdr>
      <w:spacing w:before="120" w:after="75" w:line="300" w:lineRule="atLeast"/>
      <w:jc w:val="left"/>
    </w:pPr>
    <w:rPr>
      <w:rFonts w:ascii="Arial Unicode MS" w:hAnsi="Arial Unicode MS" w:eastAsia="宋体" w:cs="Arial Unicode MS"/>
      <w:b/>
      <w:bCs/>
      <w:kern w:val="0"/>
    </w:rPr>
  </w:style>
  <w:style w:type="paragraph" w:customStyle="1" w:styleId="392">
    <w:name w:val="pic1"/>
    <w:basedOn w:val="1"/>
    <w:qFormat/>
    <w:uiPriority w:val="99"/>
    <w:pPr>
      <w:widowControl/>
      <w:spacing w:after="100" w:afterAutospacing="1"/>
      <w:jc w:val="left"/>
    </w:pPr>
    <w:rPr>
      <w:rFonts w:ascii="Arial Unicode MS" w:hAnsi="Arial Unicode MS" w:eastAsia="宋体" w:cs="Arial Unicode MS"/>
      <w:color w:val="000000"/>
      <w:kern w:val="0"/>
    </w:rPr>
  </w:style>
  <w:style w:type="paragraph" w:customStyle="1" w:styleId="393">
    <w:name w:val="downtitle2"/>
    <w:basedOn w:val="1"/>
    <w:uiPriority w:val="99"/>
    <w:pPr>
      <w:widowControl/>
      <w:pBdr>
        <w:bottom w:val="single" w:color="C50B1E" w:sz="6" w:space="0"/>
      </w:pBdr>
      <w:spacing w:before="120" w:after="75" w:line="300" w:lineRule="atLeast"/>
      <w:ind w:left="300"/>
      <w:jc w:val="left"/>
    </w:pPr>
    <w:rPr>
      <w:rFonts w:ascii="Arial Unicode MS" w:hAnsi="Arial Unicode MS" w:eastAsia="宋体" w:cs="Arial Unicode MS"/>
      <w:b/>
      <w:bCs/>
      <w:kern w:val="0"/>
    </w:rPr>
  </w:style>
  <w:style w:type="paragraph" w:customStyle="1" w:styleId="394">
    <w:name w:val="downtitle3"/>
    <w:basedOn w:val="1"/>
    <w:qFormat/>
    <w:uiPriority w:val="99"/>
    <w:pPr>
      <w:widowControl/>
      <w:spacing w:before="120" w:after="100" w:afterAutospacing="1" w:line="300" w:lineRule="atLeast"/>
      <w:ind w:left="300"/>
      <w:jc w:val="left"/>
    </w:pPr>
    <w:rPr>
      <w:rFonts w:ascii="Arial Unicode MS" w:hAnsi="Arial Unicode MS" w:eastAsia="宋体" w:cs="Arial Unicode MS"/>
      <w:kern w:val="0"/>
    </w:rPr>
  </w:style>
  <w:style w:type="paragraph" w:customStyle="1" w:styleId="395">
    <w:name w:val="right2"/>
    <w:basedOn w:val="1"/>
    <w:qFormat/>
    <w:uiPriority w:val="99"/>
    <w:pPr>
      <w:widowControl/>
      <w:shd w:val="clear" w:color="auto" w:fill="A7A7A7"/>
      <w:spacing w:before="120" w:after="100" w:afterAutospacing="1" w:line="300" w:lineRule="atLeast"/>
      <w:ind w:left="90"/>
      <w:jc w:val="left"/>
    </w:pPr>
    <w:rPr>
      <w:rFonts w:ascii="Arial Unicode MS" w:hAnsi="Arial Unicode MS" w:eastAsia="宋体" w:cs="Arial Unicode MS"/>
      <w:kern w:val="0"/>
    </w:rPr>
  </w:style>
  <w:style w:type="paragraph" w:customStyle="1" w:styleId="396">
    <w:name w:val="lefttext"/>
    <w:basedOn w:val="1"/>
    <w:uiPriority w:val="99"/>
    <w:pPr>
      <w:widowControl/>
      <w:spacing w:before="120" w:after="100" w:afterAutospacing="1" w:line="300" w:lineRule="atLeast"/>
      <w:jc w:val="left"/>
    </w:pPr>
    <w:rPr>
      <w:rFonts w:ascii="Arial Unicode MS" w:hAnsi="Arial Unicode MS" w:eastAsia="宋体" w:cs="Arial Unicode MS"/>
      <w:kern w:val="0"/>
    </w:rPr>
  </w:style>
  <w:style w:type="paragraph" w:customStyle="1" w:styleId="397">
    <w:name w:val="lefttext2"/>
    <w:basedOn w:val="1"/>
    <w:qFormat/>
    <w:uiPriority w:val="99"/>
    <w:pPr>
      <w:widowControl/>
      <w:spacing w:before="120" w:after="100" w:afterAutospacing="1" w:line="300" w:lineRule="atLeast"/>
      <w:jc w:val="left"/>
    </w:pPr>
    <w:rPr>
      <w:rFonts w:ascii="Arial Unicode MS" w:hAnsi="Arial Unicode MS" w:eastAsia="宋体" w:cs="Arial Unicode MS"/>
      <w:kern w:val="0"/>
    </w:rPr>
  </w:style>
  <w:style w:type="paragraph" w:customStyle="1" w:styleId="398">
    <w:name w:val="段落正文 Char Char"/>
    <w:basedOn w:val="1"/>
    <w:uiPriority w:val="99"/>
    <w:pPr>
      <w:spacing w:line="360" w:lineRule="auto"/>
      <w:ind w:firstLine="461" w:firstLineChars="192"/>
    </w:pPr>
    <w:rPr>
      <w:rFonts w:ascii="宋体" w:hAnsi="宋体" w:eastAsia="宋体" w:cs="宋体"/>
    </w:rPr>
  </w:style>
  <w:style w:type="paragraph" w:customStyle="1" w:styleId="399">
    <w:name w:val="tableabout"/>
    <w:basedOn w:val="1"/>
    <w:uiPriority w:val="99"/>
    <w:pPr>
      <w:widowControl/>
      <w:pBdr>
        <w:top w:val="single" w:color="BFBFBF" w:sz="6" w:space="0"/>
        <w:left w:val="single" w:color="BFBFBF" w:sz="6" w:space="0"/>
        <w:bottom w:val="single" w:color="BFBFBF" w:sz="6" w:space="0"/>
        <w:right w:val="single" w:color="BFBFBF" w:sz="6" w:space="0"/>
      </w:pBdr>
      <w:spacing w:before="120" w:after="100" w:afterAutospacing="1" w:line="300" w:lineRule="atLeast"/>
      <w:jc w:val="left"/>
    </w:pPr>
    <w:rPr>
      <w:rFonts w:ascii="Arial Unicode MS" w:hAnsi="Arial Unicode MS" w:eastAsia="宋体" w:cs="Arial Unicode MS"/>
      <w:kern w:val="0"/>
    </w:rPr>
  </w:style>
  <w:style w:type="paragraph" w:customStyle="1" w:styleId="400">
    <w:name w:val="mapred"/>
    <w:basedOn w:val="1"/>
    <w:uiPriority w:val="99"/>
    <w:pPr>
      <w:widowControl/>
      <w:pBdr>
        <w:bottom w:val="single" w:color="FFFFFF" w:sz="6" w:space="0"/>
      </w:pBdr>
      <w:shd w:val="clear" w:color="auto" w:fill="C50B1E"/>
      <w:spacing w:before="120" w:after="100" w:afterAutospacing="1" w:line="285" w:lineRule="atLeast"/>
      <w:jc w:val="left"/>
    </w:pPr>
    <w:rPr>
      <w:rFonts w:ascii="Arial Unicode MS" w:hAnsi="Arial Unicode MS" w:eastAsia="宋体" w:cs="Arial Unicode MS"/>
      <w:color w:val="FFFFFF"/>
      <w:kern w:val="0"/>
    </w:rPr>
  </w:style>
  <w:style w:type="paragraph" w:customStyle="1" w:styleId="401">
    <w:name w:val="CM4"/>
    <w:basedOn w:val="380"/>
    <w:next w:val="380"/>
    <w:qFormat/>
    <w:uiPriority w:val="99"/>
    <w:pPr>
      <w:spacing w:line="626" w:lineRule="atLeast"/>
    </w:pPr>
    <w:rPr>
      <w:color w:val="auto"/>
    </w:rPr>
  </w:style>
  <w:style w:type="paragraph" w:customStyle="1" w:styleId="402">
    <w:name w:val="map3"/>
    <w:basedOn w:val="1"/>
    <w:uiPriority w:val="99"/>
    <w:pPr>
      <w:widowControl/>
      <w:pBdr>
        <w:bottom w:val="single" w:color="FFFFFF" w:sz="6" w:space="0"/>
      </w:pBdr>
      <w:shd w:val="clear" w:color="auto" w:fill="E5E6E5"/>
      <w:spacing w:before="120" w:after="100" w:afterAutospacing="1" w:line="285" w:lineRule="atLeast"/>
      <w:jc w:val="left"/>
    </w:pPr>
    <w:rPr>
      <w:rFonts w:ascii="Arial Unicode MS" w:hAnsi="Arial Unicode MS" w:eastAsia="宋体" w:cs="Arial Unicode MS"/>
      <w:color w:val="656565"/>
      <w:kern w:val="0"/>
    </w:rPr>
  </w:style>
  <w:style w:type="paragraph" w:customStyle="1" w:styleId="403">
    <w:name w:val="whiteb"/>
    <w:basedOn w:val="1"/>
    <w:qFormat/>
    <w:uiPriority w:val="99"/>
    <w:pPr>
      <w:widowControl/>
      <w:spacing w:before="120" w:after="100" w:afterAutospacing="1" w:line="300" w:lineRule="atLeast"/>
      <w:jc w:val="left"/>
    </w:pPr>
    <w:rPr>
      <w:rFonts w:ascii="Arial Unicode MS" w:hAnsi="Arial Unicode MS" w:eastAsia="宋体" w:cs="Arial Unicode MS"/>
      <w:b/>
      <w:bCs/>
      <w:color w:val="FFFFFF"/>
      <w:kern w:val="0"/>
    </w:rPr>
  </w:style>
  <w:style w:type="paragraph" w:customStyle="1" w:styleId="404">
    <w:name w:val="inputs"/>
    <w:basedOn w:val="1"/>
    <w:qFormat/>
    <w:uiPriority w:val="99"/>
    <w:pPr>
      <w:widowControl/>
      <w:pBdr>
        <w:top w:val="single" w:color="000000" w:sz="6" w:space="0"/>
        <w:left w:val="single" w:color="000000" w:sz="6" w:space="0"/>
        <w:bottom w:val="single" w:color="000000" w:sz="6" w:space="0"/>
        <w:right w:val="single" w:color="000000" w:sz="6" w:space="0"/>
      </w:pBdr>
      <w:spacing w:before="120" w:after="100" w:afterAutospacing="1" w:line="300" w:lineRule="atLeast"/>
      <w:jc w:val="left"/>
    </w:pPr>
    <w:rPr>
      <w:rFonts w:ascii="Arial Unicode MS" w:hAnsi="Arial Unicode MS" w:eastAsia="宋体" w:cs="Arial Unicode MS"/>
      <w:kern w:val="0"/>
      <w:sz w:val="18"/>
      <w:szCs w:val="18"/>
    </w:rPr>
  </w:style>
  <w:style w:type="paragraph" w:customStyle="1" w:styleId="405">
    <w:name w:val="unnamed1"/>
    <w:basedOn w:val="1"/>
    <w:qFormat/>
    <w:uiPriority w:val="99"/>
    <w:pPr>
      <w:widowControl/>
      <w:spacing w:before="120" w:after="100" w:afterAutospacing="1" w:line="240" w:lineRule="atLeast"/>
      <w:jc w:val="left"/>
    </w:pPr>
    <w:rPr>
      <w:rFonts w:ascii="Arial Unicode MS" w:hAnsi="Arial Unicode MS" w:eastAsia="宋体" w:cs="Arial Unicode MS"/>
      <w:color w:val="194D87"/>
      <w:kern w:val="0"/>
    </w:rPr>
  </w:style>
  <w:style w:type="paragraph" w:customStyle="1" w:styleId="406">
    <w:name w:val="bodytext"/>
    <w:basedOn w:val="1"/>
    <w:qFormat/>
    <w:uiPriority w:val="99"/>
    <w:pPr>
      <w:widowControl/>
      <w:spacing w:before="100" w:beforeAutospacing="1" w:after="100" w:afterAutospacing="1" w:line="320" w:lineRule="atLeast"/>
      <w:jc w:val="left"/>
    </w:pPr>
    <w:rPr>
      <w:rFonts w:ascii="Verdana" w:hAnsi="Verdana" w:eastAsia="宋体" w:cs="Verdana"/>
      <w:color w:val="FFFFFF"/>
      <w:kern w:val="0"/>
      <w:sz w:val="22"/>
      <w:szCs w:val="22"/>
    </w:rPr>
  </w:style>
  <w:style w:type="paragraph" w:customStyle="1" w:styleId="407">
    <w:name w:val="CM21"/>
    <w:basedOn w:val="380"/>
    <w:next w:val="380"/>
    <w:qFormat/>
    <w:uiPriority w:val="99"/>
    <w:pPr>
      <w:spacing w:after="600"/>
    </w:pPr>
    <w:rPr>
      <w:color w:val="auto"/>
    </w:rPr>
  </w:style>
  <w:style w:type="paragraph" w:customStyle="1" w:styleId="408">
    <w:name w:val="列表符号"/>
    <w:basedOn w:val="1"/>
    <w:uiPriority w:val="99"/>
    <w:pPr>
      <w:tabs>
        <w:tab w:val="left" w:pos="360"/>
      </w:tabs>
      <w:spacing w:line="360" w:lineRule="auto"/>
      <w:ind w:left="360" w:hanging="360"/>
    </w:pPr>
    <w:rPr>
      <w:rFonts w:eastAsia="宋体"/>
    </w:rPr>
  </w:style>
  <w:style w:type="paragraph" w:customStyle="1" w:styleId="409">
    <w:name w:val="CM2"/>
    <w:basedOn w:val="380"/>
    <w:next w:val="380"/>
    <w:uiPriority w:val="99"/>
    <w:pPr>
      <w:spacing w:line="623" w:lineRule="atLeast"/>
    </w:pPr>
    <w:rPr>
      <w:color w:val="auto"/>
    </w:rPr>
  </w:style>
  <w:style w:type="paragraph" w:customStyle="1" w:styleId="410">
    <w:name w:val="CM23"/>
    <w:basedOn w:val="380"/>
    <w:next w:val="380"/>
    <w:qFormat/>
    <w:uiPriority w:val="99"/>
    <w:pPr>
      <w:spacing w:after="893"/>
    </w:pPr>
    <w:rPr>
      <w:color w:val="auto"/>
    </w:rPr>
  </w:style>
  <w:style w:type="paragraph" w:customStyle="1" w:styleId="411">
    <w:name w:val="CM5"/>
    <w:basedOn w:val="380"/>
    <w:next w:val="380"/>
    <w:uiPriority w:val="99"/>
    <w:pPr>
      <w:spacing w:line="626" w:lineRule="atLeast"/>
    </w:pPr>
    <w:rPr>
      <w:color w:val="auto"/>
    </w:rPr>
  </w:style>
  <w:style w:type="paragraph" w:customStyle="1" w:styleId="412">
    <w:name w:val="CM26"/>
    <w:basedOn w:val="380"/>
    <w:next w:val="380"/>
    <w:qFormat/>
    <w:uiPriority w:val="99"/>
    <w:pPr>
      <w:spacing w:after="163"/>
    </w:pPr>
    <w:rPr>
      <w:color w:val="auto"/>
    </w:rPr>
  </w:style>
  <w:style w:type="paragraph" w:customStyle="1" w:styleId="413">
    <w:name w:val="CM25"/>
    <w:basedOn w:val="380"/>
    <w:next w:val="380"/>
    <w:qFormat/>
    <w:uiPriority w:val="99"/>
    <w:pPr>
      <w:spacing w:after="768"/>
    </w:pPr>
    <w:rPr>
      <w:color w:val="auto"/>
    </w:rPr>
  </w:style>
  <w:style w:type="paragraph" w:customStyle="1" w:styleId="414">
    <w:name w:val="CM24"/>
    <w:basedOn w:val="380"/>
    <w:next w:val="380"/>
    <w:uiPriority w:val="99"/>
    <w:pPr>
      <w:spacing w:after="393"/>
    </w:pPr>
    <w:rPr>
      <w:color w:val="auto"/>
    </w:rPr>
  </w:style>
  <w:style w:type="paragraph" w:customStyle="1" w:styleId="415">
    <w:name w:val="手册文字"/>
    <w:qFormat/>
    <w:uiPriority w:val="99"/>
    <w:pPr>
      <w:spacing w:line="360" w:lineRule="auto"/>
      <w:ind w:right="105" w:rightChars="50"/>
      <w:jc w:val="both"/>
    </w:pPr>
    <w:rPr>
      <w:rFonts w:ascii="宋体" w:hAnsi="宋体" w:eastAsia="宋体" w:cs="宋体"/>
      <w:sz w:val="21"/>
      <w:szCs w:val="21"/>
      <w:lang w:val="en-US" w:eastAsia="zh-CN" w:bidi="ar-SA"/>
    </w:rPr>
  </w:style>
  <w:style w:type="paragraph" w:customStyle="1" w:styleId="416">
    <w:name w:val="CM3"/>
    <w:basedOn w:val="380"/>
    <w:next w:val="380"/>
    <w:qFormat/>
    <w:uiPriority w:val="99"/>
    <w:pPr>
      <w:spacing w:line="626" w:lineRule="atLeast"/>
    </w:pPr>
    <w:rPr>
      <w:color w:val="auto"/>
    </w:rPr>
  </w:style>
  <w:style w:type="paragraph" w:customStyle="1" w:styleId="417">
    <w:name w:val="CM11"/>
    <w:basedOn w:val="380"/>
    <w:next w:val="380"/>
    <w:qFormat/>
    <w:uiPriority w:val="99"/>
    <w:pPr>
      <w:spacing w:line="626" w:lineRule="atLeast"/>
    </w:pPr>
    <w:rPr>
      <w:color w:val="auto"/>
    </w:rPr>
  </w:style>
  <w:style w:type="paragraph" w:customStyle="1" w:styleId="418">
    <w:name w:val="style4 style5"/>
    <w:basedOn w:val="1"/>
    <w:qFormat/>
    <w:uiPriority w:val="99"/>
    <w:pPr>
      <w:widowControl/>
      <w:spacing w:before="100" w:beforeAutospacing="1" w:after="100" w:afterAutospacing="1"/>
      <w:jc w:val="left"/>
    </w:pPr>
    <w:rPr>
      <w:rFonts w:ascii="Arial Unicode MS" w:hAnsi="Arial Unicode MS" w:eastAsia="宋体" w:cs="Arial Unicode MS"/>
      <w:kern w:val="0"/>
    </w:rPr>
  </w:style>
  <w:style w:type="paragraph" w:customStyle="1" w:styleId="419">
    <w:name w:val="样式 正文缩进 + 首行缩进:  2 字符"/>
    <w:basedOn w:val="8"/>
    <w:qFormat/>
    <w:uiPriority w:val="99"/>
    <w:pPr>
      <w:adjustRightInd/>
      <w:spacing w:after="80" w:line="360" w:lineRule="auto"/>
      <w:ind w:firstLine="480" w:firstLineChars="200"/>
      <w:jc w:val="both"/>
      <w:textAlignment w:val="auto"/>
    </w:pPr>
    <w:rPr>
      <w:rFonts w:ascii="Calibri" w:hAnsi="Calibri" w:eastAsia="宋体" w:cs="Calibri"/>
      <w:kern w:val="2"/>
      <w:sz w:val="24"/>
      <w:szCs w:val="24"/>
    </w:rPr>
  </w:style>
  <w:style w:type="character" w:customStyle="1" w:styleId="420">
    <w:name w:val="列表段落 字符"/>
    <w:link w:val="129"/>
    <w:locked/>
    <w:uiPriority w:val="99"/>
    <w:rPr>
      <w:kern w:val="2"/>
      <w:sz w:val="21"/>
      <w:szCs w:val="21"/>
    </w:rPr>
  </w:style>
  <w:style w:type="character" w:customStyle="1" w:styleId="421">
    <w:name w:val="apple-converted-space"/>
    <w:basedOn w:val="57"/>
    <w:uiPriority w:val="99"/>
  </w:style>
  <w:style w:type="paragraph" w:customStyle="1" w:styleId="422">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423">
    <w:name w:val="xl64"/>
    <w:basedOn w:val="1"/>
    <w:uiPriority w:val="99"/>
    <w:pPr>
      <w:widowControl/>
      <w:spacing w:before="100" w:beforeAutospacing="1" w:after="100" w:afterAutospacing="1"/>
      <w:jc w:val="left"/>
      <w:textAlignment w:val="center"/>
    </w:pPr>
    <w:rPr>
      <w:rFonts w:ascii="宋体" w:hAnsi="宋体" w:eastAsia="宋体" w:cs="宋体"/>
      <w:kern w:val="0"/>
    </w:rPr>
  </w:style>
  <w:style w:type="paragraph" w:customStyle="1" w:styleId="42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425">
    <w:name w:val="xl66"/>
    <w:basedOn w:val="1"/>
    <w:uiPriority w:val="99"/>
    <w:pPr>
      <w:widowControl/>
      <w:shd w:val="clear" w:color="000000" w:fill="FFFFFF"/>
      <w:spacing w:before="100" w:beforeAutospacing="1" w:after="100" w:afterAutospacing="1"/>
      <w:jc w:val="left"/>
    </w:pPr>
    <w:rPr>
      <w:rFonts w:ascii="宋体" w:hAnsi="宋体" w:eastAsia="宋体" w:cs="宋体"/>
      <w:kern w:val="0"/>
    </w:rPr>
  </w:style>
  <w:style w:type="paragraph" w:customStyle="1" w:styleId="426">
    <w:name w:val="xl67"/>
    <w:basedOn w:val="1"/>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rPr>
  </w:style>
  <w:style w:type="paragraph" w:customStyle="1" w:styleId="427">
    <w:name w:val="xl68"/>
    <w:basedOn w:val="1"/>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rPr>
  </w:style>
  <w:style w:type="paragraph" w:customStyle="1" w:styleId="428">
    <w:name w:val="xl69"/>
    <w:basedOn w:val="1"/>
    <w:uiPriority w:val="99"/>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rPr>
  </w:style>
  <w:style w:type="paragraph" w:customStyle="1" w:styleId="429">
    <w:name w:val="xl70"/>
    <w:basedOn w:val="1"/>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430">
    <w:name w:val="xl71"/>
    <w:basedOn w:val="1"/>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table" w:customStyle="1" w:styleId="431">
    <w:name w:val="网格型浅色1"/>
    <w:qFormat/>
    <w:uiPriority w:val="99"/>
    <w:rPr>
      <w:rFonts w:ascii="Calibri" w:hAnsi="Calibri" w:cs="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paragraph" w:customStyle="1" w:styleId="432">
    <w:name w:val="xl7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433">
    <w:name w:val="xl73"/>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434">
    <w:name w:val="xl74"/>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435">
    <w:name w:val="xl75"/>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436">
    <w:name w:val="xl76"/>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437">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438">
    <w:name w:val="msonormal"/>
    <w:basedOn w:val="1"/>
    <w:qFormat/>
    <w:uiPriority w:val="99"/>
    <w:pPr>
      <w:widowControl/>
      <w:spacing w:before="100" w:beforeAutospacing="1" w:after="100" w:afterAutospacing="1"/>
      <w:jc w:val="left"/>
    </w:pPr>
    <w:rPr>
      <w:rFonts w:ascii="宋体" w:hAnsi="宋体" w:eastAsia="宋体" w:cs="宋体"/>
      <w:kern w:val="0"/>
    </w:rPr>
  </w:style>
  <w:style w:type="character" w:customStyle="1" w:styleId="439">
    <w:name w:val="正文文本 字符"/>
    <w:qFormat/>
    <w:uiPriority w:val="99"/>
    <w:rPr>
      <w:rFonts w:ascii="金山简黑体" w:hAnsi="Courier New" w:eastAsia="金山简黑体" w:cs="金山简黑体"/>
      <w:b/>
      <w:bCs/>
      <w:spacing w:val="-8"/>
      <w:kern w:val="2"/>
      <w:sz w:val="44"/>
      <w:szCs w:val="44"/>
    </w:rPr>
  </w:style>
  <w:style w:type="character" w:customStyle="1" w:styleId="440">
    <w:name w:val="正文文本首行缩进 2 字符"/>
    <w:link w:val="54"/>
    <w:semiHidden/>
    <w:qFormat/>
    <w:uiPriority w:val="99"/>
    <w:rPr>
      <w:rFonts w:eastAsia="仿宋_GB2312"/>
      <w:kern w:val="2"/>
      <w:sz w:val="24"/>
      <w:szCs w:val="24"/>
    </w:rPr>
  </w:style>
  <w:style w:type="character" w:customStyle="1" w:styleId="441">
    <w:name w:val="标题 1 Char Char"/>
    <w:qFormat/>
    <w:uiPriority w:val="0"/>
    <w:rPr>
      <w:rFonts w:hint="eastAsia" w:ascii="宋体" w:hAnsi="宋体" w:eastAsia="宋体"/>
      <w:b/>
      <w:spacing w:val="-2"/>
      <w:sz w:val="24"/>
      <w:lang w:val="en-US" w:eastAsia="zh-CN"/>
    </w:rPr>
  </w:style>
  <w:style w:type="paragraph" w:customStyle="1" w:styleId="442">
    <w:name w:val="List Paragraph1"/>
    <w:basedOn w:val="1"/>
    <w:qFormat/>
    <w:uiPriority w:val="99"/>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8330D7-733D-4D53-9475-1C8AE66F416E}">
  <ds:schemaRefs/>
</ds:datastoreItem>
</file>

<file path=docProps/app.xml><?xml version="1.0" encoding="utf-8"?>
<Properties xmlns="http://schemas.openxmlformats.org/officeDocument/2006/extended-properties" xmlns:vt="http://schemas.openxmlformats.org/officeDocument/2006/docPropsVTypes">
  <Template>Normal.dotm</Template>
  <Company>ql</Company>
  <Pages>53</Pages>
  <Words>5842</Words>
  <Characters>33303</Characters>
  <Lines>277</Lines>
  <Paragraphs>78</Paragraphs>
  <TotalTime>1</TotalTime>
  <ScaleCrop>false</ScaleCrop>
  <LinksUpToDate>false</LinksUpToDate>
  <CharactersWithSpaces>39067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2022-03-08T01:32:00Z</dcterms:created>
  <dc:creator>戴 健秋</dc:creator>
  <cp:lastModifiedBy>Ugly Betty</cp:lastModifiedBy>
  <cp:lastPrinted>2022-03-08T06:34:00Z</cp:lastPrinted>
  <dcterms:modified xsi:type="dcterms:W3CDTF">2022-03-28T01:00:46Z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7135138E11CA40DA8B07E806BF2905CA</vt:lpwstr>
  </property>
  <property fmtid="{D5CDD505-2E9C-101B-9397-08002B2CF9AE}" pid="4" name="KSOSaveFontToCloudKey">
    <vt:lpwstr>302262780_btnclosed</vt:lpwstr>
  </property>
</Properties>
</file>