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02AF1">
      <w:pPr>
        <w:ind w:firstLine="0"/>
        <w:jc w:val="left"/>
        <w:rPr>
          <w:rFonts w:eastAsia="仿宋_GB2312"/>
        </w:rPr>
      </w:pPr>
      <w:r>
        <w:rPr>
          <w:rFonts w:eastAsia="黑体"/>
        </w:rPr>
        <w:t>附件</w:t>
      </w:r>
      <w:r>
        <w:rPr>
          <w:rFonts w:eastAsia="仿宋_GB2312"/>
        </w:rPr>
        <w:t>2-6</w:t>
      </w:r>
    </w:p>
    <w:p w14:paraId="11A9BC73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推动商品住房“以旧换新”操作指南</w:t>
      </w:r>
    </w:p>
    <w:bookmarkEnd w:id="0"/>
    <w:p w14:paraId="3680B72D">
      <w:pPr>
        <w:spacing w:line="590" w:lineRule="exact"/>
        <w:ind w:firstLine="640" w:firstLineChars="200"/>
        <w:jc w:val="left"/>
        <w:rPr>
          <w:rFonts w:eastAsia="仿宋_GB2312"/>
        </w:rPr>
      </w:pPr>
      <w:r>
        <w:rPr>
          <w:rFonts w:eastAsia="仿宋_GB2312"/>
        </w:rPr>
        <w:t>根据《关于鼓励实施商品住房“以旧换新”的通知》（通住建房〔2024〕92号）、《关于主城区实施商品住房“以旧换新”奖补政策的通知》（通住建房〔2024〕90号）文件精神，着眼解决购房者换房交易周期长、卖房难等问题，有效提升交易便利度和居住品质，实现多方共赢，结合楼盘实际，制定该操作指南。</w:t>
      </w:r>
    </w:p>
    <w:p w14:paraId="7C03F6E6">
      <w:pPr>
        <w:spacing w:line="590" w:lineRule="exact"/>
        <w:ind w:firstLine="640" w:firstLineChars="200"/>
        <w:jc w:val="left"/>
        <w:rPr>
          <w:rFonts w:eastAsia="黑体"/>
        </w:rPr>
      </w:pPr>
      <w:r>
        <w:rPr>
          <w:rFonts w:eastAsia="黑体"/>
        </w:rPr>
        <w:t>一、政策适用范围</w:t>
      </w:r>
    </w:p>
    <w:p w14:paraId="5DB0C921">
      <w:pPr>
        <w:spacing w:line="590" w:lineRule="exact"/>
        <w:ind w:firstLine="640" w:firstLineChars="200"/>
        <w:jc w:val="left"/>
        <w:rPr>
          <w:rFonts w:eastAsia="仿宋_GB2312"/>
        </w:rPr>
      </w:pPr>
      <w:r>
        <w:rPr>
          <w:rFonts w:eastAsia="仿宋_GB2312"/>
        </w:rPr>
        <w:t>北城壹号、五龙云</w:t>
      </w:r>
      <w:r>
        <w:t>璟</w:t>
      </w:r>
      <w:r>
        <w:rPr>
          <w:rFonts w:eastAsia="仿宋_GB2312"/>
        </w:rPr>
        <w:t>、阳光悦城、滨江国际街区等楼盘根据自身实际制定各自政策。</w:t>
      </w:r>
    </w:p>
    <w:p w14:paraId="244E69F3">
      <w:pPr>
        <w:spacing w:line="590" w:lineRule="exact"/>
        <w:ind w:firstLine="640" w:firstLineChars="200"/>
        <w:jc w:val="left"/>
        <w:rPr>
          <w:rFonts w:eastAsia="黑体"/>
        </w:rPr>
      </w:pPr>
      <w:r>
        <w:rPr>
          <w:rFonts w:eastAsia="黑体"/>
        </w:rPr>
        <w:t>二、申请流程</w:t>
      </w:r>
    </w:p>
    <w:p w14:paraId="71DAF654">
      <w:pPr>
        <w:spacing w:line="590" w:lineRule="exact"/>
        <w:ind w:firstLine="640" w:firstLineChars="200"/>
        <w:jc w:val="left"/>
        <w:rPr>
          <w:rFonts w:eastAsia="仿宋_GB2312"/>
        </w:rPr>
      </w:pPr>
      <w:r>
        <w:rPr>
          <w:rFonts w:eastAsia="仿宋_GB2312"/>
        </w:rPr>
        <w:t>各楼盘各自制定流程，基本为，置换房源资格初审（开发商审核）——缴纳意向金——置换房源资格终审——专业机构评估（或开发商代卖）——评估（或出售）结果告知——签署“以旧换新”协议——签署存量房交易合同——签署商品房买卖合同。</w:t>
      </w:r>
    </w:p>
    <w:p w14:paraId="4499381E">
      <w:pPr>
        <w:spacing w:line="590" w:lineRule="exact"/>
        <w:ind w:firstLine="640" w:firstLineChars="200"/>
        <w:jc w:val="left"/>
        <w:rPr>
          <w:rFonts w:eastAsia="黑体"/>
        </w:rPr>
      </w:pPr>
      <w:r>
        <w:rPr>
          <w:rFonts w:eastAsia="黑体"/>
        </w:rPr>
        <w:t>三、宣讲计划</w:t>
      </w:r>
    </w:p>
    <w:p w14:paraId="209F66DD">
      <w:r>
        <w:rPr>
          <w:rFonts w:eastAsia="仿宋_GB2312"/>
        </w:rPr>
        <w:t>加强与市住建局的沟通，将我区商品房“以旧换新”政策纳入南通发布等公众号予以发布；通过“逛崇川 看新房”等活动进行政策宣传；动员各楼盘利用多种形式宣传本楼盘“以旧换新”政策。</w:t>
      </w:r>
    </w:p>
    <w:sectPr>
      <w:pgSz w:w="11906" w:h="16838"/>
      <w:pgMar w:top="1440" w:right="1800" w:bottom="1440" w:left="1800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51FF64FD"/>
    <w:rsid w:val="51FF64FD"/>
    <w:rsid w:val="7BC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2024-08-20T01:22:00Z</dcterms:created>
  <dc:creator>0803</dc:creator>
  <cp:lastModifiedBy>0803</cp:lastModifiedBy>
  <dcterms:modified xsi:type="dcterms:W3CDTF">2024-08-20T01:23:02Z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B757A6A87B5641EABB783C9B78AACFE7_11</vt:lpwstr>
  </property>
</Properties>
</file>