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hint="eastAsia" w:ascii="宋体" w:hAnsi="宋体" w:eastAsia="宋体" w:cs="宋体"/>
          <w:color w:val="000000"/>
          <w:w w:val="80"/>
          <w:sz w:val="44"/>
          <w:szCs w:val="44"/>
        </w:rPr>
      </w:pPr>
      <w:bookmarkStart w:id="100" w:name="_GoBack"/>
      <w:bookmarkEnd w:id="100"/>
    </w:p>
    <w:p>
      <w:pPr>
        <w:tabs>
          <w:tab w:val="left" w:pos="6300"/>
        </w:tabs>
        <w:snapToGrid w:val="0"/>
        <w:spacing w:line="300" w:lineRule="auto"/>
        <w:jc w:val="center"/>
        <w:rPr>
          <w:rFonts w:hint="eastAsia" w:ascii="宋体" w:hAnsi="宋体" w:eastAsia="宋体" w:cs="宋体"/>
          <w:b/>
          <w:w w:val="80"/>
          <w:sz w:val="44"/>
          <w:szCs w:val="44"/>
          <w:lang w:eastAsia="zh-CN"/>
        </w:rPr>
      </w:pPr>
      <w:r>
        <w:rPr>
          <w:rFonts w:hint="eastAsia" w:ascii="宋体" w:hAnsi="宋体" w:eastAsia="宋体" w:cs="宋体"/>
          <w:b/>
          <w:sz w:val="44"/>
          <w:szCs w:val="44"/>
          <w:lang w:eastAsia="zh-CN"/>
        </w:rPr>
        <w:t>钟秀街道环保管家服务项目</w:t>
      </w:r>
    </w:p>
    <w:p>
      <w:pPr>
        <w:tabs>
          <w:tab w:val="left" w:pos="6300"/>
        </w:tabs>
        <w:snapToGrid w:val="0"/>
        <w:spacing w:line="300" w:lineRule="auto"/>
        <w:jc w:val="center"/>
        <w:rPr>
          <w:rFonts w:hint="eastAsia" w:ascii="宋体" w:hAnsi="宋体" w:eastAsia="宋体" w:cs="宋体"/>
          <w:b/>
          <w:color w:val="000000"/>
          <w:w w:val="80"/>
          <w:sz w:val="96"/>
          <w:szCs w:val="96"/>
        </w:rPr>
      </w:pPr>
    </w:p>
    <w:p>
      <w:pPr>
        <w:pStyle w:val="50"/>
        <w:rPr>
          <w:rFonts w:hint="eastAsia"/>
        </w:rPr>
      </w:pPr>
    </w:p>
    <w:p>
      <w:pPr>
        <w:tabs>
          <w:tab w:val="left" w:pos="6300"/>
        </w:tabs>
        <w:snapToGrid w:val="0"/>
        <w:spacing w:line="300" w:lineRule="auto"/>
        <w:jc w:val="center"/>
        <w:rPr>
          <w:rFonts w:hint="eastAsia" w:ascii="宋体" w:hAnsi="宋体" w:eastAsia="宋体" w:cs="宋体"/>
          <w:b/>
          <w:color w:val="000000"/>
          <w:w w:val="80"/>
          <w:sz w:val="96"/>
          <w:szCs w:val="96"/>
        </w:rPr>
      </w:pPr>
    </w:p>
    <w:p>
      <w:pPr>
        <w:pStyle w:val="50"/>
        <w:rPr>
          <w:rFonts w:hint="eastAsia"/>
        </w:rPr>
      </w:pPr>
    </w:p>
    <w:p>
      <w:pPr>
        <w:pStyle w:val="50"/>
        <w:rPr>
          <w:rFonts w:hint="eastAsia"/>
        </w:rPr>
      </w:pPr>
    </w:p>
    <w:p>
      <w:pPr>
        <w:tabs>
          <w:tab w:val="left" w:pos="6300"/>
        </w:tabs>
        <w:snapToGrid w:val="0"/>
        <w:spacing w:line="300" w:lineRule="auto"/>
        <w:jc w:val="center"/>
        <w:rPr>
          <w:rFonts w:hint="eastAsia" w:ascii="宋体" w:hAnsi="宋体" w:eastAsia="宋体" w:cs="宋体"/>
          <w:b/>
          <w:color w:val="000000"/>
          <w:w w:val="80"/>
          <w:sz w:val="72"/>
          <w:szCs w:val="72"/>
        </w:rPr>
      </w:pPr>
      <w:r>
        <w:rPr>
          <w:rFonts w:hint="eastAsia" w:ascii="宋体" w:hAnsi="宋体" w:eastAsia="宋体" w:cs="宋体"/>
          <w:b/>
          <w:color w:val="000000"/>
          <w:w w:val="80"/>
          <w:sz w:val="72"/>
          <w:szCs w:val="72"/>
        </w:rPr>
        <w:t>政府采购磋商文件</w:t>
      </w:r>
    </w:p>
    <w:p>
      <w:pPr>
        <w:spacing w:line="640" w:lineRule="exact"/>
        <w:jc w:val="center"/>
        <w:rPr>
          <w:rFonts w:hint="eastAsia" w:ascii="宋体" w:hAnsi="宋体" w:eastAsia="宋体" w:cs="宋体"/>
          <w:b/>
          <w:sz w:val="44"/>
          <w:szCs w:val="44"/>
        </w:rPr>
      </w:pPr>
      <w:r>
        <w:rPr>
          <w:rFonts w:hint="eastAsia" w:ascii="宋体" w:hAnsi="宋体" w:eastAsia="宋体" w:cs="宋体"/>
          <w:b/>
          <w:sz w:val="44"/>
          <w:szCs w:val="44"/>
        </w:rPr>
        <w:t>（资格后审）</w:t>
      </w:r>
    </w:p>
    <w:p>
      <w:pPr>
        <w:spacing w:line="520" w:lineRule="exact"/>
        <w:ind w:left="570" w:firstLine="480" w:firstLineChars="200"/>
        <w:rPr>
          <w:rFonts w:hint="eastAsia" w:ascii="宋体" w:hAnsi="宋体" w:eastAsia="宋体" w:cs="宋体"/>
          <w:sz w:val="24"/>
        </w:rPr>
      </w:pPr>
    </w:p>
    <w:p>
      <w:pPr>
        <w:snapToGrid w:val="0"/>
        <w:spacing w:line="360" w:lineRule="auto"/>
        <w:rPr>
          <w:rFonts w:hint="eastAsia" w:ascii="宋体" w:hAnsi="宋体" w:eastAsia="宋体" w:cs="宋体"/>
          <w:b/>
          <w:color w:val="000000"/>
          <w:sz w:val="36"/>
        </w:rPr>
      </w:pPr>
    </w:p>
    <w:p>
      <w:pPr>
        <w:snapToGrid w:val="0"/>
        <w:spacing w:line="360" w:lineRule="auto"/>
        <w:rPr>
          <w:rFonts w:hint="eastAsia" w:ascii="宋体" w:hAnsi="宋体" w:eastAsia="宋体" w:cs="宋体"/>
          <w:b/>
          <w:color w:val="000000"/>
          <w:sz w:val="36"/>
        </w:rPr>
      </w:pPr>
    </w:p>
    <w:p>
      <w:pPr>
        <w:snapToGrid w:val="0"/>
        <w:spacing w:line="360" w:lineRule="auto"/>
        <w:jc w:val="center"/>
        <w:rPr>
          <w:rFonts w:hint="eastAsia" w:ascii="宋体" w:hAnsi="宋体" w:eastAsia="宋体" w:cs="宋体"/>
          <w:b/>
          <w:sz w:val="36"/>
        </w:rPr>
      </w:pPr>
    </w:p>
    <w:p>
      <w:pPr>
        <w:snapToGrid w:val="0"/>
        <w:spacing w:line="360" w:lineRule="auto"/>
        <w:jc w:val="both"/>
        <w:rPr>
          <w:rFonts w:hint="eastAsia"/>
          <w:lang w:eastAsia="zh-CN"/>
        </w:rPr>
      </w:pPr>
    </w:p>
    <w:p>
      <w:pPr>
        <w:pStyle w:val="50"/>
        <w:rPr>
          <w:rFonts w:hint="eastAsia"/>
          <w:lang w:eastAsia="zh-CN"/>
        </w:rPr>
      </w:pPr>
    </w:p>
    <w:p>
      <w:pPr>
        <w:rPr>
          <w:rFonts w:hint="eastAsia"/>
          <w:lang w:eastAsia="zh-CN"/>
        </w:rPr>
      </w:pPr>
    </w:p>
    <w:p>
      <w:pPr>
        <w:snapToGrid w:val="0"/>
        <w:spacing w:line="360" w:lineRule="auto"/>
        <w:rPr>
          <w:rFonts w:hint="eastAsia" w:ascii="宋体" w:hAnsi="宋体" w:eastAsia="宋体" w:cs="宋体"/>
          <w:b/>
          <w:color w:val="000000"/>
          <w:sz w:val="36"/>
        </w:rPr>
      </w:pPr>
    </w:p>
    <w:p>
      <w:pPr>
        <w:adjustRightInd w:val="0"/>
        <w:snapToGrid w:val="0"/>
        <w:spacing w:line="360" w:lineRule="auto"/>
        <w:rPr>
          <w:rFonts w:hint="eastAsia" w:ascii="宋体" w:hAnsi="宋体" w:eastAsia="宋体" w:cs="宋体"/>
          <w:b/>
          <w:sz w:val="30"/>
          <w:szCs w:val="30"/>
          <w:lang w:eastAsia="zh-CN"/>
        </w:rPr>
      </w:pPr>
      <w:bookmarkStart w:id="0" w:name="_Toc521203417"/>
      <w:bookmarkStart w:id="1" w:name="_Toc12670502"/>
      <w:bookmarkStart w:id="2" w:name="_Toc11500279"/>
      <w:bookmarkStart w:id="3" w:name="_Toc11554638"/>
      <w:bookmarkStart w:id="4" w:name="_Toc94585339"/>
      <w:bookmarkStart w:id="5" w:name="_Toc94544827"/>
      <w:bookmarkStart w:id="6" w:name="_Toc94544743"/>
      <w:bookmarkStart w:id="7" w:name="_Toc8895738"/>
      <w:bookmarkStart w:id="8" w:name="_Toc11499583"/>
      <w:bookmarkStart w:id="9" w:name="_Toc521201596"/>
      <w:r>
        <w:rPr>
          <w:rFonts w:hint="eastAsia" w:ascii="宋体" w:hAnsi="宋体" w:eastAsia="宋体" w:cs="宋体"/>
          <w:b/>
          <w:sz w:val="30"/>
          <w:szCs w:val="30"/>
        </w:rPr>
        <w:t xml:space="preserve">             采购单位：</w:t>
      </w:r>
      <w:r>
        <w:rPr>
          <w:rFonts w:hint="eastAsia" w:ascii="宋体" w:hAnsi="宋体" w:eastAsia="宋体" w:cs="宋体"/>
          <w:b/>
          <w:sz w:val="30"/>
          <w:szCs w:val="30"/>
          <w:lang w:eastAsia="zh-CN"/>
        </w:rPr>
        <w:t>南通市崇川区钟秀街道办事处</w:t>
      </w:r>
    </w:p>
    <w:p>
      <w:pPr>
        <w:adjustRightInd w:val="0"/>
        <w:snapToGrid w:val="0"/>
        <w:spacing w:line="360" w:lineRule="auto"/>
        <w:rPr>
          <w:rFonts w:hint="eastAsia" w:ascii="宋体" w:hAnsi="宋体" w:eastAsia="宋体" w:cs="宋体"/>
          <w:b/>
          <w:sz w:val="30"/>
          <w:szCs w:val="30"/>
        </w:rPr>
      </w:pPr>
      <w:r>
        <w:rPr>
          <w:rFonts w:hint="eastAsia" w:ascii="宋体" w:hAnsi="宋体" w:eastAsia="宋体" w:cs="宋体"/>
          <w:b/>
          <w:sz w:val="30"/>
          <w:szCs w:val="30"/>
        </w:rPr>
        <w:t xml:space="preserve">             代理机构：</w:t>
      </w:r>
      <w:r>
        <w:rPr>
          <w:rFonts w:hint="eastAsia" w:ascii="宋体" w:hAnsi="宋体" w:eastAsia="宋体" w:cs="宋体"/>
          <w:b/>
          <w:sz w:val="30"/>
          <w:szCs w:val="30"/>
        </w:rPr>
        <w:t>江苏建诚工程咨询有限公司</w:t>
      </w:r>
    </w:p>
    <w:p>
      <w:pPr>
        <w:adjustRightInd w:val="0"/>
        <w:snapToGri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二〇二</w:t>
      </w:r>
      <w:r>
        <w:rPr>
          <w:rFonts w:hint="eastAsia" w:ascii="宋体" w:hAnsi="宋体" w:eastAsia="宋体" w:cs="宋体"/>
          <w:b/>
          <w:sz w:val="30"/>
          <w:szCs w:val="30"/>
          <w:lang w:val="en-US" w:eastAsia="zh-CN"/>
        </w:rPr>
        <w:t>四</w:t>
      </w:r>
      <w:r>
        <w:rPr>
          <w:rFonts w:hint="eastAsia" w:ascii="宋体" w:hAnsi="宋体" w:eastAsia="宋体" w:cs="宋体"/>
          <w:b/>
          <w:sz w:val="30"/>
          <w:szCs w:val="30"/>
        </w:rPr>
        <w:t>年</w:t>
      </w:r>
      <w:r>
        <w:rPr>
          <w:rFonts w:hint="eastAsia" w:ascii="宋体" w:hAnsi="宋体" w:eastAsia="宋体" w:cs="宋体"/>
          <w:b/>
          <w:sz w:val="30"/>
          <w:szCs w:val="30"/>
          <w:lang w:val="en-US" w:eastAsia="zh-CN"/>
        </w:rPr>
        <w:t>六</w:t>
      </w:r>
      <w:r>
        <w:rPr>
          <w:rFonts w:hint="eastAsia" w:ascii="宋体" w:hAnsi="宋体" w:eastAsia="宋体" w:cs="宋体"/>
          <w:b/>
          <w:sz w:val="30"/>
          <w:szCs w:val="30"/>
        </w:rPr>
        <w:t>月</w:t>
      </w:r>
    </w:p>
    <w:p>
      <w:pPr>
        <w:overflowPunct w:val="0"/>
        <w:rPr>
          <w:rFonts w:hint="eastAsia" w:ascii="宋体" w:hAnsi="宋体" w:eastAsia="宋体" w:cs="宋体"/>
          <w:b/>
          <w:sz w:val="32"/>
        </w:rPr>
        <w:sectPr>
          <w:footerReference r:id="rId6" w:type="first"/>
          <w:footerReference r:id="rId4" w:type="default"/>
          <w:headerReference r:id="rId3" w:type="even"/>
          <w:footerReference r:id="rId5" w:type="even"/>
          <w:type w:val="continuous"/>
          <w:pgSz w:w="11906" w:h="16838"/>
          <w:pgMar w:top="1134" w:right="1113" w:bottom="1134" w:left="1255" w:header="851" w:footer="992" w:gutter="0"/>
          <w:pgNumType w:fmt="decimal" w:start="1"/>
          <w:cols w:space="720" w:num="1"/>
          <w:titlePg/>
          <w:docGrid w:linePitch="380" w:charSpace="-5735"/>
        </w:sectPr>
      </w:pPr>
    </w:p>
    <w:p>
      <w:pPr>
        <w:pStyle w:val="23"/>
        <w:tabs>
          <w:tab w:val="left" w:pos="1050"/>
          <w:tab w:val="right" w:leader="dot" w:pos="9402"/>
        </w:tabs>
        <w:spacing w:line="960" w:lineRule="exact"/>
        <w:ind w:left="0"/>
        <w:jc w:val="center"/>
        <w:outlineLvl w:val="0"/>
        <w:rPr>
          <w:rFonts w:hint="eastAsia" w:ascii="宋体" w:hAnsi="宋体" w:eastAsia="宋体" w:cs="宋体"/>
          <w:b/>
          <w:i w:val="0"/>
          <w:color w:val="000000"/>
          <w:w w:val="80"/>
          <w:sz w:val="52"/>
          <w:szCs w:val="52"/>
        </w:rPr>
      </w:pPr>
      <w:r>
        <w:rPr>
          <w:rFonts w:hint="eastAsia" w:ascii="宋体" w:hAnsi="宋体" w:eastAsia="宋体" w:cs="宋体"/>
          <w:b/>
          <w:i w:val="0"/>
          <w:color w:val="000000"/>
          <w:w w:val="80"/>
          <w:sz w:val="52"/>
          <w:szCs w:val="52"/>
        </w:rPr>
        <w:t>目   录</w:t>
      </w:r>
    </w:p>
    <w:p>
      <w:pPr>
        <w:spacing w:line="800" w:lineRule="exact"/>
        <w:jc w:val="center"/>
        <w:rPr>
          <w:rFonts w:hint="eastAsia" w:ascii="宋体" w:hAnsi="宋体" w:eastAsia="宋体" w:cs="宋体"/>
          <w:b/>
          <w:color w:val="000000"/>
          <w:sz w:val="52"/>
          <w:szCs w:val="52"/>
        </w:rPr>
      </w:pPr>
    </w:p>
    <w:p>
      <w:pPr>
        <w:pStyle w:val="23"/>
        <w:tabs>
          <w:tab w:val="left" w:pos="1050"/>
          <w:tab w:val="right" w:leader="dot" w:pos="9402"/>
        </w:tabs>
        <w:spacing w:line="520" w:lineRule="exact"/>
        <w:ind w:left="0"/>
        <w:rPr>
          <w:rFonts w:hint="eastAsia" w:ascii="宋体" w:hAnsi="宋体" w:eastAsia="宋体" w:cs="宋体"/>
          <w:i w:val="0"/>
          <w:color w:val="000000"/>
          <w:w w:val="80"/>
          <w:sz w:val="36"/>
          <w:szCs w:val="36"/>
        </w:rPr>
      </w:pPr>
      <w:r>
        <w:rPr>
          <w:rFonts w:hint="eastAsia" w:ascii="宋体" w:hAnsi="宋体" w:eastAsia="宋体" w:cs="宋体"/>
          <w:i w:val="0"/>
          <w:color w:val="000000"/>
          <w:w w:val="80"/>
          <w:sz w:val="36"/>
          <w:szCs w:val="36"/>
        </w:rPr>
        <w:t>第一章       竞争性磋商公告</w:t>
      </w:r>
    </w:p>
    <w:p>
      <w:pPr>
        <w:rPr>
          <w:rFonts w:hint="eastAsia" w:ascii="宋体" w:hAnsi="宋体" w:eastAsia="宋体" w:cs="宋体"/>
        </w:rPr>
      </w:pPr>
    </w:p>
    <w:p>
      <w:pPr>
        <w:rPr>
          <w:rFonts w:hint="eastAsia" w:ascii="宋体" w:hAnsi="宋体" w:eastAsia="宋体" w:cs="宋体"/>
        </w:rPr>
      </w:pPr>
    </w:p>
    <w:p>
      <w:pPr>
        <w:pStyle w:val="23"/>
        <w:tabs>
          <w:tab w:val="left" w:pos="1050"/>
          <w:tab w:val="right" w:leader="dot" w:pos="9402"/>
        </w:tabs>
        <w:spacing w:line="520" w:lineRule="exact"/>
        <w:ind w:left="0"/>
        <w:rPr>
          <w:rFonts w:hint="eastAsia" w:ascii="宋体" w:hAnsi="宋体" w:eastAsia="宋体" w:cs="宋体"/>
          <w:i w:val="0"/>
          <w:color w:val="000000"/>
          <w:w w:val="80"/>
          <w:sz w:val="36"/>
          <w:szCs w:val="36"/>
        </w:rPr>
      </w:pPr>
      <w:r>
        <w:rPr>
          <w:rFonts w:hint="eastAsia" w:ascii="宋体" w:hAnsi="宋体" w:eastAsia="宋体" w:cs="宋体"/>
          <w:i w:val="0"/>
          <w:color w:val="000000"/>
          <w:w w:val="80"/>
          <w:sz w:val="36"/>
          <w:szCs w:val="36"/>
        </w:rPr>
        <w:t>第二章       供应商须知</w:t>
      </w:r>
    </w:p>
    <w:p>
      <w:pPr>
        <w:rPr>
          <w:rFonts w:hint="eastAsia" w:ascii="宋体" w:hAnsi="宋体" w:eastAsia="宋体" w:cs="宋体"/>
          <w:color w:val="000000"/>
          <w:sz w:val="36"/>
          <w:szCs w:val="36"/>
        </w:rPr>
      </w:pPr>
    </w:p>
    <w:p>
      <w:pPr>
        <w:pStyle w:val="23"/>
        <w:tabs>
          <w:tab w:val="left" w:pos="1050"/>
          <w:tab w:val="right" w:leader="dot" w:pos="9402"/>
        </w:tabs>
        <w:spacing w:line="520" w:lineRule="exact"/>
        <w:ind w:left="0"/>
        <w:rPr>
          <w:rFonts w:hint="eastAsia" w:ascii="宋体" w:hAnsi="宋体" w:eastAsia="宋体" w:cs="宋体"/>
          <w:i w:val="0"/>
          <w:color w:val="000000"/>
          <w:w w:val="80"/>
          <w:sz w:val="36"/>
          <w:szCs w:val="36"/>
        </w:rPr>
      </w:pPr>
      <w:r>
        <w:rPr>
          <w:rFonts w:hint="eastAsia" w:ascii="宋体" w:hAnsi="宋体" w:eastAsia="宋体" w:cs="宋体"/>
          <w:i w:val="0"/>
          <w:color w:val="000000"/>
          <w:w w:val="80"/>
          <w:sz w:val="36"/>
          <w:szCs w:val="36"/>
        </w:rPr>
        <w:t>第三章       项目需求</w:t>
      </w:r>
    </w:p>
    <w:p>
      <w:pPr>
        <w:rPr>
          <w:rFonts w:hint="eastAsia" w:ascii="宋体" w:hAnsi="宋体" w:eastAsia="宋体" w:cs="宋体"/>
          <w:color w:val="000000"/>
          <w:sz w:val="36"/>
          <w:szCs w:val="36"/>
        </w:rPr>
      </w:pPr>
    </w:p>
    <w:p>
      <w:pPr>
        <w:pStyle w:val="23"/>
        <w:tabs>
          <w:tab w:val="left" w:pos="1050"/>
          <w:tab w:val="right" w:leader="dot" w:pos="9402"/>
        </w:tabs>
        <w:spacing w:line="520" w:lineRule="exact"/>
        <w:ind w:left="1"/>
        <w:rPr>
          <w:rFonts w:hint="eastAsia" w:ascii="宋体" w:hAnsi="宋体" w:eastAsia="宋体" w:cs="宋体"/>
          <w:i w:val="0"/>
          <w:color w:val="000000"/>
          <w:w w:val="80"/>
          <w:sz w:val="36"/>
          <w:szCs w:val="36"/>
        </w:rPr>
      </w:pPr>
      <w:r>
        <w:rPr>
          <w:rFonts w:hint="eastAsia" w:ascii="宋体" w:hAnsi="宋体" w:eastAsia="宋体" w:cs="宋体"/>
          <w:i w:val="0"/>
          <w:color w:val="000000"/>
          <w:w w:val="80"/>
          <w:sz w:val="36"/>
          <w:szCs w:val="36"/>
        </w:rPr>
        <w:t>第四章       评审方法和程序</w:t>
      </w:r>
    </w:p>
    <w:p>
      <w:pPr>
        <w:rPr>
          <w:rFonts w:hint="eastAsia" w:ascii="宋体" w:hAnsi="宋体" w:eastAsia="宋体" w:cs="宋体"/>
          <w:color w:val="000000"/>
          <w:sz w:val="36"/>
          <w:szCs w:val="36"/>
        </w:rPr>
      </w:pPr>
    </w:p>
    <w:p>
      <w:pPr>
        <w:pStyle w:val="23"/>
        <w:tabs>
          <w:tab w:val="left" w:pos="1050"/>
          <w:tab w:val="right" w:leader="dot" w:pos="9402"/>
        </w:tabs>
        <w:spacing w:line="520" w:lineRule="exact"/>
        <w:ind w:left="0"/>
        <w:rPr>
          <w:rFonts w:hint="eastAsia" w:ascii="宋体" w:hAnsi="宋体" w:eastAsia="宋体" w:cs="宋体"/>
          <w:i w:val="0"/>
          <w:color w:val="000000"/>
          <w:w w:val="80"/>
          <w:sz w:val="36"/>
          <w:szCs w:val="36"/>
        </w:rPr>
      </w:pPr>
      <w:r>
        <w:rPr>
          <w:rFonts w:hint="eastAsia" w:ascii="宋体" w:hAnsi="宋体" w:eastAsia="宋体" w:cs="宋体"/>
          <w:i w:val="0"/>
          <w:color w:val="000000"/>
          <w:w w:val="80"/>
          <w:sz w:val="36"/>
          <w:szCs w:val="36"/>
        </w:rPr>
        <w:t xml:space="preserve">第五章       </w:t>
      </w:r>
      <w:r>
        <w:rPr>
          <w:rFonts w:hint="eastAsia" w:ascii="宋体" w:hAnsi="宋体" w:eastAsia="宋体" w:cs="宋体"/>
          <w:i w:val="0"/>
          <w:iCs/>
          <w:color w:val="000000"/>
          <w:w w:val="80"/>
          <w:sz w:val="36"/>
          <w:szCs w:val="36"/>
        </w:rPr>
        <w:t>合同授予</w:t>
      </w:r>
    </w:p>
    <w:p>
      <w:pPr>
        <w:pStyle w:val="23"/>
        <w:tabs>
          <w:tab w:val="left" w:pos="1050"/>
          <w:tab w:val="right" w:leader="dot" w:pos="9402"/>
        </w:tabs>
        <w:spacing w:line="520" w:lineRule="exact"/>
        <w:ind w:left="0"/>
        <w:rPr>
          <w:rFonts w:hint="eastAsia" w:ascii="宋体" w:hAnsi="宋体" w:eastAsia="宋体" w:cs="宋体"/>
          <w:color w:val="000000"/>
          <w:w w:val="80"/>
          <w:sz w:val="36"/>
          <w:szCs w:val="36"/>
        </w:rPr>
      </w:pPr>
    </w:p>
    <w:p>
      <w:pPr>
        <w:pStyle w:val="23"/>
        <w:tabs>
          <w:tab w:val="left" w:pos="1050"/>
          <w:tab w:val="right" w:leader="dot" w:pos="9402"/>
        </w:tabs>
        <w:spacing w:line="520" w:lineRule="exact"/>
        <w:ind w:left="0"/>
        <w:rPr>
          <w:rFonts w:hint="eastAsia" w:ascii="宋体" w:hAnsi="宋体" w:eastAsia="宋体" w:cs="宋体"/>
          <w:i w:val="0"/>
          <w:color w:val="000000"/>
          <w:w w:val="80"/>
          <w:sz w:val="36"/>
          <w:szCs w:val="36"/>
        </w:rPr>
      </w:pPr>
      <w:r>
        <w:rPr>
          <w:rFonts w:hint="eastAsia" w:ascii="宋体" w:hAnsi="宋体" w:eastAsia="宋体" w:cs="宋体"/>
          <w:i w:val="0"/>
          <w:color w:val="000000"/>
          <w:w w:val="80"/>
          <w:sz w:val="36"/>
          <w:szCs w:val="36"/>
        </w:rPr>
        <w:t>第六章       质疑提出和处理</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color w:val="000000"/>
          <w:w w:val="80"/>
          <w:sz w:val="36"/>
          <w:szCs w:val="36"/>
        </w:rPr>
      </w:pPr>
      <w:r>
        <w:rPr>
          <w:rFonts w:hint="eastAsia" w:ascii="宋体" w:hAnsi="宋体" w:eastAsia="宋体" w:cs="宋体"/>
          <w:color w:val="000000"/>
          <w:w w:val="80"/>
          <w:sz w:val="36"/>
          <w:szCs w:val="36"/>
        </w:rPr>
        <w:t>第七章       响应文件组成及格式</w:t>
      </w:r>
    </w:p>
    <w:p>
      <w:pPr>
        <w:rPr>
          <w:rFonts w:hint="eastAsia" w:ascii="宋体" w:hAnsi="宋体" w:eastAsia="宋体" w:cs="宋体"/>
          <w:color w:val="000000"/>
          <w:sz w:val="36"/>
          <w:szCs w:val="36"/>
        </w:rPr>
      </w:pPr>
    </w:p>
    <w:p>
      <w:pPr>
        <w:pStyle w:val="23"/>
        <w:tabs>
          <w:tab w:val="left" w:pos="1050"/>
          <w:tab w:val="right" w:leader="dot" w:pos="9402"/>
        </w:tabs>
        <w:spacing w:line="520" w:lineRule="exact"/>
        <w:ind w:left="0"/>
        <w:rPr>
          <w:rFonts w:hint="eastAsia" w:ascii="宋体" w:hAnsi="宋体" w:eastAsia="宋体" w:cs="宋体"/>
          <w:i w:val="0"/>
          <w:color w:val="000000"/>
          <w:w w:val="80"/>
          <w:sz w:val="36"/>
          <w:szCs w:val="36"/>
        </w:rPr>
      </w:pPr>
      <w:r>
        <w:rPr>
          <w:rFonts w:hint="eastAsia" w:ascii="宋体" w:hAnsi="宋体" w:eastAsia="宋体" w:cs="宋体"/>
          <w:i w:val="0"/>
          <w:color w:val="000000"/>
          <w:w w:val="80"/>
          <w:sz w:val="36"/>
          <w:szCs w:val="36"/>
        </w:rPr>
        <w:t xml:space="preserve">       </w:t>
      </w:r>
    </w:p>
    <w:p>
      <w:pPr>
        <w:rPr>
          <w:rFonts w:hint="eastAsia" w:ascii="宋体" w:hAnsi="宋体" w:eastAsia="宋体" w:cs="宋体"/>
          <w:color w:val="000000"/>
          <w:sz w:val="36"/>
          <w:szCs w:val="36"/>
        </w:rPr>
      </w:pPr>
    </w:p>
    <w:p>
      <w:pPr>
        <w:rPr>
          <w:rFonts w:hint="eastAsia" w:ascii="宋体" w:hAnsi="宋体" w:eastAsia="宋体" w:cs="宋体"/>
          <w:color w:val="000000"/>
          <w:sz w:val="36"/>
          <w:szCs w:val="36"/>
          <w:lang/>
        </w:rPr>
      </w:pPr>
    </w:p>
    <w:p>
      <w:pPr>
        <w:snapToGrid w:val="0"/>
        <w:spacing w:line="360" w:lineRule="auto"/>
        <w:jc w:val="both"/>
        <w:rPr>
          <w:rFonts w:hint="eastAsia" w:ascii="宋体" w:hAnsi="宋体" w:eastAsia="宋体" w:cs="宋体"/>
          <w:b/>
          <w:color w:val="000000"/>
          <w:w w:val="80"/>
          <w:kern w:val="44"/>
          <w:sz w:val="44"/>
          <w:szCs w:val="44"/>
          <w:lang w:val="en-US" w:eastAsia="zh-CN"/>
        </w:rPr>
      </w:pPr>
    </w:p>
    <w:p>
      <w:pPr>
        <w:pStyle w:val="16"/>
        <w:rPr>
          <w:rFonts w:hint="eastAsia" w:ascii="宋体" w:hAnsi="宋体" w:eastAsia="宋体" w:cs="宋体"/>
          <w:b/>
          <w:color w:val="000000"/>
          <w:w w:val="80"/>
          <w:kern w:val="44"/>
          <w:sz w:val="44"/>
          <w:szCs w:val="44"/>
          <w:lang w:val="en-US" w:eastAsia="zh-CN"/>
        </w:rPr>
      </w:pPr>
    </w:p>
    <w:p>
      <w:pPr>
        <w:pStyle w:val="42"/>
        <w:rPr>
          <w:rFonts w:hint="eastAsia" w:ascii="宋体" w:hAnsi="宋体" w:eastAsia="宋体" w:cs="宋体"/>
          <w:b/>
          <w:color w:val="000000"/>
          <w:w w:val="80"/>
          <w:kern w:val="44"/>
          <w:sz w:val="44"/>
          <w:szCs w:val="44"/>
          <w:lang w:val="en-US" w:eastAsia="zh-CN"/>
        </w:rPr>
      </w:pPr>
    </w:p>
    <w:p>
      <w:pPr>
        <w:pStyle w:val="42"/>
        <w:rPr>
          <w:rFonts w:hint="eastAsia" w:ascii="宋体" w:hAnsi="宋体" w:eastAsia="宋体" w:cs="宋体"/>
          <w:b/>
          <w:color w:val="000000"/>
          <w:w w:val="80"/>
          <w:kern w:val="44"/>
          <w:sz w:val="44"/>
          <w:szCs w:val="44"/>
          <w:lang w:val="en-US" w:eastAsia="zh-CN"/>
        </w:rPr>
      </w:pPr>
    </w:p>
    <w:bookmarkEnd w:id="0"/>
    <w:bookmarkEnd w:id="1"/>
    <w:bookmarkEnd w:id="2"/>
    <w:bookmarkEnd w:id="3"/>
    <w:bookmarkEnd w:id="4"/>
    <w:bookmarkEnd w:id="5"/>
    <w:bookmarkEnd w:id="6"/>
    <w:bookmarkEnd w:id="7"/>
    <w:bookmarkEnd w:id="8"/>
    <w:bookmarkEnd w:id="9"/>
    <w:p>
      <w:pPr>
        <w:keepNext/>
        <w:keepLines/>
        <w:tabs>
          <w:tab w:val="left" w:pos="0"/>
        </w:tabs>
        <w:autoSpaceDE w:val="0"/>
        <w:autoSpaceDN w:val="0"/>
        <w:adjustRightInd w:val="0"/>
        <w:spacing w:line="360" w:lineRule="auto"/>
        <w:jc w:val="center"/>
        <w:outlineLvl w:val="0"/>
        <w:rPr>
          <w:rFonts w:hint="eastAsia" w:ascii="宋体" w:hAnsi="宋体" w:eastAsia="宋体" w:cs="宋体"/>
          <w:b/>
          <w:iCs/>
          <w:w w:val="80"/>
          <w:sz w:val="44"/>
          <w:szCs w:val="44"/>
        </w:rPr>
      </w:pPr>
      <w:bookmarkStart w:id="10" w:name="_Toc11500280"/>
      <w:bookmarkStart w:id="11" w:name="_Toc94585340"/>
      <w:bookmarkStart w:id="12" w:name="_Toc521203418"/>
      <w:bookmarkStart w:id="13" w:name="_Toc8895739"/>
      <w:bookmarkStart w:id="14" w:name="_Toc521201597"/>
      <w:bookmarkStart w:id="15" w:name="_Toc94544744"/>
      <w:bookmarkStart w:id="16" w:name="_Toc11554639"/>
      <w:bookmarkStart w:id="17" w:name="_Toc12670503"/>
      <w:bookmarkStart w:id="18" w:name="_Toc94544828"/>
      <w:bookmarkStart w:id="19" w:name="_Toc11499584"/>
      <w:bookmarkStart w:id="20" w:name="_Toc363573854"/>
      <w:r>
        <w:rPr>
          <w:rFonts w:hint="eastAsia" w:ascii="宋体" w:hAnsi="宋体" w:eastAsia="宋体" w:cs="宋体"/>
          <w:b/>
          <w:iCs/>
          <w:w w:val="80"/>
          <w:sz w:val="44"/>
          <w:szCs w:val="44"/>
          <w:lang w:val="en-US" w:eastAsia="zh-CN"/>
        </w:rPr>
        <w:t>第一章</w:t>
      </w:r>
      <w:r>
        <w:rPr>
          <w:rFonts w:hint="eastAsia" w:ascii="宋体" w:hAnsi="宋体" w:eastAsia="宋体" w:cs="宋体"/>
          <w:b/>
          <w:iCs/>
          <w:w w:val="80"/>
          <w:sz w:val="44"/>
          <w:szCs w:val="44"/>
          <w:lang w:val="en-US" w:eastAsia="zh-CN"/>
        </w:rPr>
        <w:t xml:space="preserve">  </w:t>
      </w:r>
      <w:r>
        <w:rPr>
          <w:rFonts w:hint="eastAsia" w:ascii="宋体" w:hAnsi="宋体" w:eastAsia="宋体" w:cs="宋体"/>
          <w:b/>
          <w:iCs/>
          <w:w w:val="80"/>
          <w:sz w:val="44"/>
          <w:szCs w:val="44"/>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u w:val="single"/>
          <w:lang w:eastAsia="zh-CN"/>
        </w:rPr>
        <w:t>钟秀街道环保管家服务项目</w:t>
      </w:r>
      <w:r>
        <w:rPr>
          <w:rFonts w:hint="eastAsia" w:ascii="宋体" w:hAnsi="宋体" w:eastAsia="宋体" w:cs="宋体"/>
          <w:sz w:val="24"/>
          <w:szCs w:val="24"/>
        </w:rPr>
        <w:t>的潜在供应商应在</w:t>
      </w:r>
      <w:r>
        <w:rPr>
          <w:rFonts w:hint="eastAsia" w:ascii="宋体" w:hAnsi="宋体" w:eastAsia="宋体" w:cs="宋体"/>
          <w:sz w:val="24"/>
          <w:highlight w:val="none"/>
        </w:rPr>
        <w:t>“</w:t>
      </w:r>
      <w:r>
        <w:rPr>
          <w:rFonts w:hint="eastAsia" w:ascii="宋体" w:hAnsi="宋体" w:eastAsia="宋体" w:cs="宋体"/>
          <w:sz w:val="24"/>
          <w:highlight w:val="none"/>
          <w:u w:val="single"/>
        </w:rPr>
        <w:t>崇川区人民政府网</w:t>
      </w:r>
      <w:r>
        <w:rPr>
          <w:rFonts w:hint="eastAsia" w:ascii="宋体" w:hAnsi="宋体" w:eastAsia="宋体" w:cs="宋体"/>
          <w:sz w:val="24"/>
          <w:highlight w:val="none"/>
        </w:rPr>
        <w:t>”</w:t>
      </w:r>
      <w:r>
        <w:rPr>
          <w:rFonts w:hint="eastAsia" w:ascii="宋体" w:hAnsi="宋体" w:eastAsia="宋体" w:cs="宋体"/>
          <w:sz w:val="24"/>
          <w:szCs w:val="24"/>
          <w:u w:val="none"/>
        </w:rPr>
        <w:t>自行下载</w:t>
      </w:r>
      <w:r>
        <w:rPr>
          <w:rFonts w:hint="eastAsia" w:ascii="宋体" w:hAnsi="宋体" w:eastAsia="宋体" w:cs="宋体"/>
          <w:sz w:val="24"/>
          <w:szCs w:val="24"/>
        </w:rPr>
        <w:t>获取磋商文件，</w:t>
      </w:r>
      <w:r>
        <w:rPr>
          <w:rFonts w:hint="eastAsia" w:ascii="宋体" w:hAnsi="宋体" w:eastAsia="宋体" w:cs="宋体"/>
          <w:sz w:val="24"/>
          <w:highlight w:val="none"/>
        </w:rPr>
        <w:t>并于</w:t>
      </w:r>
      <w:r>
        <w:rPr>
          <w:rFonts w:hint="eastAsia" w:ascii="宋体" w:hAnsi="宋体" w:eastAsia="宋体" w:cs="宋体"/>
          <w:b/>
          <w:bCs/>
          <w:sz w:val="24"/>
          <w:highlight w:val="none"/>
          <w:u w:val="single"/>
        </w:rPr>
        <w:t>202</w:t>
      </w:r>
      <w:r>
        <w:rPr>
          <w:rFonts w:hint="eastAsia" w:ascii="宋体" w:hAnsi="宋体" w:eastAsia="宋体" w:cs="宋体"/>
          <w:b/>
          <w:bCs/>
          <w:sz w:val="24"/>
          <w:highlight w:val="none"/>
          <w:u w:val="single"/>
          <w:lang w:val="en-US" w:eastAsia="zh-CN"/>
        </w:rPr>
        <w:t>4</w:t>
      </w:r>
      <w:r>
        <w:rPr>
          <w:rFonts w:hint="eastAsia" w:ascii="宋体" w:hAnsi="宋体" w:eastAsia="宋体" w:cs="宋体"/>
          <w:b/>
          <w:bCs/>
          <w:sz w:val="24"/>
          <w:highlight w:val="none"/>
          <w:u w:val="single"/>
        </w:rPr>
        <w:t>年</w:t>
      </w:r>
      <w:r>
        <w:rPr>
          <w:rFonts w:hint="eastAsia" w:ascii="宋体" w:hAnsi="宋体" w:eastAsia="宋体" w:cs="宋体"/>
          <w:b/>
          <w:bCs/>
          <w:sz w:val="24"/>
          <w:highlight w:val="none"/>
          <w:u w:val="single"/>
          <w:lang w:val="en-US" w:eastAsia="zh-CN"/>
        </w:rPr>
        <w:t>6</w:t>
      </w:r>
      <w:r>
        <w:rPr>
          <w:rFonts w:hint="eastAsia" w:ascii="宋体" w:hAnsi="宋体" w:eastAsia="宋体" w:cs="宋体"/>
          <w:b/>
          <w:bCs/>
          <w:sz w:val="24"/>
          <w:highlight w:val="none"/>
          <w:u w:val="single"/>
        </w:rPr>
        <w:t>月</w:t>
      </w:r>
      <w:r>
        <w:rPr>
          <w:rFonts w:hint="eastAsia" w:ascii="宋体" w:hAnsi="宋体" w:eastAsia="宋体" w:cs="宋体"/>
          <w:b/>
          <w:bCs/>
          <w:sz w:val="24"/>
          <w:highlight w:val="none"/>
          <w:u w:val="single"/>
          <w:lang w:val="en-US" w:eastAsia="zh-CN"/>
        </w:rPr>
        <w:t>24</w:t>
      </w:r>
      <w:r>
        <w:rPr>
          <w:rFonts w:hint="eastAsia" w:ascii="宋体" w:hAnsi="宋体" w:eastAsia="宋体" w:cs="宋体"/>
          <w:b/>
          <w:bCs/>
          <w:sz w:val="24"/>
          <w:highlight w:val="none"/>
          <w:u w:val="single"/>
        </w:rPr>
        <w:t>日</w:t>
      </w:r>
      <w:r>
        <w:rPr>
          <w:rFonts w:hint="eastAsia" w:ascii="宋体" w:hAnsi="宋体" w:eastAsia="宋体" w:cs="宋体"/>
          <w:b/>
          <w:bCs/>
          <w:sz w:val="24"/>
          <w:highlight w:val="none"/>
          <w:u w:val="single"/>
          <w:lang w:val="en-US" w:eastAsia="zh-CN"/>
        </w:rPr>
        <w:t>09</w:t>
      </w:r>
      <w:r>
        <w:rPr>
          <w:rFonts w:hint="eastAsia" w:ascii="宋体" w:hAnsi="宋体" w:eastAsia="宋体" w:cs="宋体"/>
          <w:b/>
          <w:bCs/>
          <w:sz w:val="24"/>
          <w:highlight w:val="none"/>
          <w:u w:val="single"/>
        </w:rPr>
        <w:t>点</w:t>
      </w:r>
      <w:r>
        <w:rPr>
          <w:rFonts w:hint="eastAsia" w:ascii="宋体" w:hAnsi="宋体" w:eastAsia="宋体" w:cs="宋体"/>
          <w:b/>
          <w:bCs/>
          <w:sz w:val="24"/>
          <w:highlight w:val="none"/>
          <w:u w:val="single"/>
          <w:lang w:val="en-US" w:eastAsia="zh-CN"/>
        </w:rPr>
        <w:t>30</w:t>
      </w:r>
      <w:r>
        <w:rPr>
          <w:rFonts w:hint="eastAsia" w:ascii="宋体" w:hAnsi="宋体" w:eastAsia="宋体" w:cs="宋体"/>
          <w:b/>
          <w:bCs/>
          <w:sz w:val="24"/>
          <w:highlight w:val="none"/>
          <w:u w:val="single"/>
        </w:rPr>
        <w:t>分</w:t>
      </w:r>
      <w:r>
        <w:rPr>
          <w:rFonts w:hint="eastAsia" w:ascii="宋体" w:hAnsi="宋体" w:eastAsia="宋体" w:cs="宋体"/>
          <w:sz w:val="24"/>
          <w:highlight w:val="none"/>
        </w:rPr>
        <w:t>（北京时间）前提交响应文件。</w:t>
      </w:r>
    </w:p>
    <w:p>
      <w:pPr>
        <w:keepNext/>
        <w:keepLines/>
        <w:pageBreakBefore w:val="0"/>
        <w:widowControl w:val="0"/>
        <w:kinsoku/>
        <w:wordWrap/>
        <w:overflowPunct/>
        <w:topLinePunct w:val="0"/>
        <w:autoSpaceDE/>
        <w:autoSpaceDN/>
        <w:bidi w:val="0"/>
        <w:adjustRightInd/>
        <w:spacing w:line="360" w:lineRule="auto"/>
        <w:ind w:left="0" w:leftChars="0" w:firstLine="482" w:firstLineChars="200"/>
        <w:textAlignment w:val="auto"/>
        <w:outlineLvl w:val="1"/>
        <w:rPr>
          <w:rFonts w:hint="eastAsia" w:ascii="宋体" w:hAnsi="宋体" w:eastAsia="宋体" w:cs="宋体"/>
          <w:b/>
          <w:bCs w:val="0"/>
          <w:sz w:val="24"/>
          <w:szCs w:val="24"/>
        </w:rPr>
      </w:pPr>
      <w:bookmarkStart w:id="21" w:name="_Toc28359089"/>
      <w:bookmarkStart w:id="22" w:name="_Toc35393798"/>
      <w:bookmarkStart w:id="23" w:name="_Toc28359012"/>
      <w:bookmarkStart w:id="24" w:name="_Toc35393629"/>
      <w:r>
        <w:rPr>
          <w:rFonts w:hint="eastAsia" w:ascii="宋体" w:hAnsi="宋体" w:eastAsia="宋体" w:cs="宋体"/>
          <w:b/>
          <w:bCs w:val="0"/>
          <w:sz w:val="24"/>
          <w:szCs w:val="24"/>
        </w:rPr>
        <w:t>一、项目基本情况</w:t>
      </w:r>
      <w:bookmarkEnd w:id="21"/>
      <w:bookmarkEnd w:id="22"/>
      <w:bookmarkEnd w:id="23"/>
      <w:bookmarkEnd w:id="24"/>
    </w:p>
    <w:p>
      <w:pPr>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.项目名称：</w:t>
      </w:r>
      <w:r>
        <w:rPr>
          <w:rFonts w:hint="eastAsia" w:ascii="宋体" w:hAnsi="宋体" w:eastAsia="宋体" w:cs="宋体"/>
          <w:sz w:val="24"/>
          <w:szCs w:val="24"/>
          <w:lang w:eastAsia="zh-CN"/>
        </w:rPr>
        <w:t>钟秀街道环保管家服务项目。</w:t>
      </w:r>
    </w:p>
    <w:p>
      <w:pPr>
        <w:pageBreakBefore w:val="0"/>
        <w:widowControl w:val="0"/>
        <w:tabs>
          <w:tab w:val="left" w:pos="1710"/>
        </w:tabs>
        <w:kinsoku/>
        <w:wordWrap/>
        <w:overflowPunct/>
        <w:topLinePunct w:val="0"/>
        <w:autoSpaceDE/>
        <w:autoSpaceDN/>
        <w:bidi w:val="0"/>
        <w:adjustRightInd/>
        <w:snapToGrid w:val="0"/>
        <w:spacing w:line="360" w:lineRule="auto"/>
        <w:ind w:left="0" w:leftChars="0" w:firstLine="480" w:firstLineChars="200"/>
        <w:contextualSpacing/>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采购</w:t>
      </w:r>
      <w:r>
        <w:rPr>
          <w:rFonts w:hint="eastAsia" w:ascii="宋体" w:hAnsi="宋体" w:eastAsia="宋体" w:cs="宋体"/>
          <w:sz w:val="24"/>
          <w:szCs w:val="24"/>
          <w:highlight w:val="none"/>
        </w:rPr>
        <w:t>方式：竞争性磋商</w:t>
      </w:r>
      <w:r>
        <w:rPr>
          <w:rFonts w:hint="eastAsia" w:ascii="宋体" w:hAnsi="宋体" w:eastAsia="宋体" w:cs="宋体"/>
          <w:sz w:val="24"/>
          <w:szCs w:val="24"/>
          <w:highlight w:val="none"/>
          <w:lang w:eastAsia="zh-CN"/>
        </w:rPr>
        <w:t>。</w:t>
      </w:r>
    </w:p>
    <w:p>
      <w:pPr>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8.5万元。</w:t>
      </w:r>
    </w:p>
    <w:p>
      <w:pPr>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8.5</w:t>
      </w:r>
      <w:r>
        <w:rPr>
          <w:rFonts w:hint="eastAsia" w:ascii="宋体" w:hAnsi="宋体" w:eastAsia="宋体" w:cs="宋体"/>
          <w:sz w:val="24"/>
          <w:szCs w:val="24"/>
          <w:highlight w:val="none"/>
        </w:rPr>
        <w:t>万元。最终报价超过最高限价的为无效响应文件。</w:t>
      </w:r>
    </w:p>
    <w:p>
      <w:pPr>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eastAsia="zh-CN"/>
        </w:rPr>
        <w:t>钟秀街道环保管家服务项目，</w:t>
      </w:r>
      <w:r>
        <w:rPr>
          <w:rFonts w:hint="eastAsia" w:ascii="宋体" w:hAnsi="宋体" w:eastAsia="宋体" w:cs="宋体"/>
          <w:sz w:val="24"/>
          <w:szCs w:val="24"/>
          <w:highlight w:val="none"/>
        </w:rPr>
        <w:t>具体详见招标文件第三章</w:t>
      </w:r>
      <w:r>
        <w:rPr>
          <w:rFonts w:hint="eastAsia" w:ascii="宋体" w:hAnsi="宋体" w:eastAsia="宋体" w:cs="宋体"/>
          <w:sz w:val="24"/>
          <w:szCs w:val="24"/>
          <w:highlight w:val="none"/>
          <w:lang w:eastAsia="zh-CN"/>
        </w:rPr>
        <w:t>。</w:t>
      </w:r>
    </w:p>
    <w:p>
      <w:pPr>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val="en-US" w:eastAsia="zh-CN"/>
        </w:rPr>
        <w:t>自合同签订之日起1年</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.本项目不接受联合体投标</w:t>
      </w:r>
      <w:r>
        <w:rPr>
          <w:rFonts w:hint="eastAsia" w:ascii="宋体" w:hAnsi="宋体" w:eastAsia="宋体" w:cs="宋体"/>
          <w:sz w:val="24"/>
          <w:szCs w:val="24"/>
          <w:highlight w:val="none"/>
          <w:lang w:eastAsia="zh-CN"/>
        </w:rPr>
        <w:t>。</w:t>
      </w:r>
    </w:p>
    <w:p>
      <w:pPr>
        <w:keepNext/>
        <w:keepLines/>
        <w:pageBreakBefore w:val="0"/>
        <w:widowControl w:val="0"/>
        <w:kinsoku/>
        <w:wordWrap/>
        <w:overflowPunct/>
        <w:topLinePunct w:val="0"/>
        <w:autoSpaceDE/>
        <w:autoSpaceDN/>
        <w:bidi w:val="0"/>
        <w:adjustRightInd/>
        <w:spacing w:line="360" w:lineRule="auto"/>
        <w:ind w:left="0" w:leftChars="0" w:firstLine="482" w:firstLineChars="200"/>
        <w:textAlignment w:val="auto"/>
        <w:outlineLvl w:val="1"/>
        <w:rPr>
          <w:rFonts w:hint="eastAsia" w:ascii="宋体" w:hAnsi="宋体" w:eastAsia="宋体" w:cs="宋体"/>
          <w:b/>
          <w:bCs w:val="0"/>
          <w:sz w:val="24"/>
          <w:szCs w:val="24"/>
        </w:rPr>
      </w:pPr>
      <w:bookmarkStart w:id="25" w:name="_Toc35393630"/>
      <w:bookmarkStart w:id="26" w:name="_Toc35393799"/>
      <w:bookmarkStart w:id="27" w:name="_Toc28359090"/>
      <w:bookmarkStart w:id="28" w:name="_Toc28359013"/>
      <w:r>
        <w:rPr>
          <w:rFonts w:hint="eastAsia" w:ascii="宋体" w:hAnsi="宋体" w:eastAsia="宋体" w:cs="宋体"/>
          <w:b/>
          <w:bCs w:val="0"/>
          <w:sz w:val="24"/>
          <w:szCs w:val="24"/>
        </w:rPr>
        <w:t>二、申请人的资格要求：</w:t>
      </w:r>
      <w:bookmarkEnd w:id="25"/>
      <w:bookmarkEnd w:id="26"/>
      <w:bookmarkEnd w:id="27"/>
      <w:bookmarkEnd w:id="28"/>
    </w:p>
    <w:p>
      <w:pPr>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r>
        <w:rPr>
          <w:rFonts w:hint="eastAsia" w:ascii="宋体" w:hAnsi="宋体" w:eastAsia="宋体" w:cs="宋体"/>
          <w:sz w:val="24"/>
          <w:szCs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en-US" w:eastAsia="zh-CN"/>
        </w:rPr>
      </w:pPr>
      <w:bookmarkStart w:id="29" w:name="_Toc28359014"/>
      <w:bookmarkStart w:id="30" w:name="_Toc28359091"/>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color w:val="auto"/>
          <w:spacing w:val="7"/>
          <w:sz w:val="24"/>
          <w:szCs w:val="24"/>
          <w:highlight w:val="none"/>
          <w:lang w:val="zh-CN"/>
        </w:rPr>
        <w:t>未被“信用中国”网站列入失信被执行人、重大税收违法案件当事人名单、采购严重失信行为记录名单。</w:t>
      </w:r>
    </w:p>
    <w:p>
      <w:pPr>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.法定代表人为同一个人的两个及两个以上法人，母公司、全资子公司及其控股公司，都不得在同一采购项目相同标段中同时参加投标，一经发现，将视同围标处理。</w:t>
      </w:r>
    </w:p>
    <w:p>
      <w:pPr>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w:t>
      </w:r>
    </w:p>
    <w:p>
      <w:pPr>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i/>
          <w:iCs/>
          <w:sz w:val="24"/>
          <w:szCs w:val="24"/>
          <w:u w:val="single"/>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.本项目的特定资格要求：</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none"/>
        </w:rPr>
        <w:t>。</w:t>
      </w:r>
    </w:p>
    <w:p>
      <w:pPr>
        <w:keepNext/>
        <w:keepLines/>
        <w:pageBreakBefore w:val="0"/>
        <w:widowControl w:val="0"/>
        <w:kinsoku/>
        <w:wordWrap/>
        <w:overflowPunct/>
        <w:topLinePunct w:val="0"/>
        <w:autoSpaceDE/>
        <w:autoSpaceDN/>
        <w:bidi w:val="0"/>
        <w:adjustRightInd/>
        <w:spacing w:line="360" w:lineRule="auto"/>
        <w:ind w:left="0" w:leftChars="0" w:firstLine="482" w:firstLineChars="200"/>
        <w:textAlignment w:val="auto"/>
        <w:outlineLvl w:val="1"/>
        <w:rPr>
          <w:rFonts w:hint="eastAsia" w:ascii="宋体" w:hAnsi="宋体" w:eastAsia="宋体" w:cs="宋体"/>
          <w:b/>
          <w:bCs w:val="0"/>
          <w:sz w:val="24"/>
          <w:szCs w:val="24"/>
        </w:rPr>
      </w:pPr>
      <w:bookmarkStart w:id="31" w:name="_Toc35393800"/>
      <w:bookmarkStart w:id="32" w:name="_Toc35393631"/>
      <w:r>
        <w:rPr>
          <w:rFonts w:hint="eastAsia" w:ascii="宋体" w:hAnsi="宋体" w:eastAsia="宋体" w:cs="宋体"/>
          <w:b/>
          <w:bCs w:val="0"/>
          <w:sz w:val="24"/>
          <w:szCs w:val="24"/>
        </w:rPr>
        <w:t>三、获取</w:t>
      </w:r>
      <w:bookmarkEnd w:id="29"/>
      <w:bookmarkEnd w:id="30"/>
      <w:bookmarkEnd w:id="31"/>
      <w:bookmarkEnd w:id="32"/>
      <w:r>
        <w:rPr>
          <w:rFonts w:hint="eastAsia" w:ascii="宋体" w:hAnsi="宋体" w:eastAsia="宋体" w:cs="宋体"/>
          <w:b/>
          <w:bCs w:val="0"/>
          <w:sz w:val="24"/>
          <w:szCs w:val="24"/>
        </w:rPr>
        <w:t>磋商文件</w:t>
      </w:r>
    </w:p>
    <w:p>
      <w:pPr>
        <w:keepNext/>
        <w:keepLines/>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Cs/>
          <w:sz w:val="24"/>
          <w:szCs w:val="24"/>
          <w:lang w:val="en-US" w:eastAsia="zh-CN"/>
        </w:rPr>
      </w:pPr>
      <w:bookmarkStart w:id="33" w:name="_Toc35393632"/>
      <w:bookmarkStart w:id="34" w:name="_Toc28359092"/>
      <w:bookmarkStart w:id="35" w:name="_Toc28359015"/>
      <w:bookmarkStart w:id="36" w:name="_Toc35393801"/>
      <w:r>
        <w:rPr>
          <w:rFonts w:hint="eastAsia" w:ascii="宋体" w:hAnsi="宋体" w:eastAsia="宋体" w:cs="宋体"/>
          <w:bCs/>
          <w:sz w:val="24"/>
          <w:szCs w:val="24"/>
          <w:lang w:val="en-US" w:eastAsia="zh-CN"/>
        </w:rPr>
        <w:t>1.时间：</w:t>
      </w:r>
      <w:r>
        <w:rPr>
          <w:rFonts w:hint="eastAsia" w:ascii="宋体" w:hAnsi="宋体" w:eastAsia="宋体" w:cs="宋体"/>
          <w:bCs/>
          <w:sz w:val="24"/>
          <w:szCs w:val="24"/>
        </w:rPr>
        <w:t>磋商公告发布之日起至磋商响应截止之日。</w:t>
      </w:r>
    </w:p>
    <w:p>
      <w:pPr>
        <w:keepNext/>
        <w:keepLines/>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2.地点：本项目磋商公告、磋商文件等资料在“崇川区人民政府网”发布。</w:t>
      </w:r>
    </w:p>
    <w:p>
      <w:pPr>
        <w:pStyle w:val="5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3.方式：自行下载。</w:t>
      </w:r>
      <w:bookmarkEnd w:id="33"/>
      <w:bookmarkEnd w:id="34"/>
      <w:bookmarkEnd w:id="35"/>
      <w:bookmarkEnd w:id="36"/>
      <w:bookmarkStart w:id="37" w:name="_Toc35393802"/>
      <w:bookmarkStart w:id="38" w:name="_Toc28359093"/>
      <w:bookmarkStart w:id="39" w:name="_Toc28359016"/>
      <w:bookmarkStart w:id="40" w:name="_Toc35393633"/>
    </w:p>
    <w:p>
      <w:pPr>
        <w:keepNext/>
        <w:keepLines/>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highlight w:val="none"/>
          <w:lang w:val="en-US" w:eastAsia="zh-CN"/>
        </w:rPr>
        <w:t>.售价：免费。</w:t>
      </w:r>
    </w:p>
    <w:p>
      <w:pPr>
        <w:pStyle w:val="50"/>
        <w:pageBreakBefore w:val="0"/>
        <w:widowControl w:val="0"/>
        <w:kinsoku/>
        <w:wordWrap/>
        <w:overflowPunct/>
        <w:topLinePunct w:val="0"/>
        <w:autoSpaceDE/>
        <w:autoSpaceDN/>
        <w:bidi w:val="0"/>
        <w:adjustRightInd/>
        <w:spacing w:after="0" w:afterLines="0" w:line="360" w:lineRule="auto"/>
        <w:ind w:left="0" w:leftChars="0"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四、响应文件提交</w:t>
      </w:r>
    </w:p>
    <w:p>
      <w:pPr>
        <w:keepNext/>
        <w:keepLines/>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1.响应文件接收截止时间：</w:t>
      </w:r>
      <w:r>
        <w:rPr>
          <w:rFonts w:hint="eastAsia" w:ascii="宋体" w:hAnsi="宋体" w:eastAsia="宋体" w:cs="宋体"/>
          <w:bCs/>
          <w:sz w:val="24"/>
          <w:szCs w:val="24"/>
          <w:highlight w:val="none"/>
          <w:u w:val="single"/>
          <w:lang w:val="en-US" w:eastAsia="zh-CN"/>
        </w:rPr>
        <w:t>2024年6月24日09时30分（北京时间）</w:t>
      </w:r>
      <w:r>
        <w:rPr>
          <w:rFonts w:hint="eastAsia" w:ascii="宋体" w:hAnsi="宋体" w:eastAsia="宋体" w:cs="宋体"/>
          <w:bCs/>
          <w:sz w:val="24"/>
          <w:szCs w:val="24"/>
          <w:highlight w:val="none"/>
          <w:lang w:val="en-US" w:eastAsia="zh-CN"/>
        </w:rPr>
        <w:t>。</w:t>
      </w:r>
    </w:p>
    <w:p>
      <w:pPr>
        <w:keepNext/>
        <w:keepLines/>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2.响应文件递交地址</w:t>
      </w:r>
      <w:r>
        <w:rPr>
          <w:rFonts w:hint="eastAsia" w:ascii="宋体" w:hAnsi="宋体" w:eastAsia="宋体" w:cs="宋体"/>
          <w:bCs/>
          <w:sz w:val="24"/>
          <w:szCs w:val="24"/>
          <w:highlight w:val="none"/>
          <w:u w:val="none"/>
          <w:lang w:val="en-US" w:eastAsia="zh-CN"/>
        </w:rPr>
        <w:t>：</w:t>
      </w:r>
      <w:r>
        <w:rPr>
          <w:rFonts w:hint="eastAsia" w:ascii="宋体" w:hAnsi="宋体" w:eastAsia="宋体" w:cs="宋体"/>
          <w:sz w:val="24"/>
          <w:szCs w:val="24"/>
          <w:highlight w:val="none"/>
          <w:lang w:eastAsia="zh-CN"/>
        </w:rPr>
        <w:t>南通市崇川区钟秀街道办事处210会议室，</w:t>
      </w:r>
      <w:r>
        <w:rPr>
          <w:rFonts w:hint="eastAsia" w:ascii="宋体" w:hAnsi="宋体" w:eastAsia="宋体" w:cs="宋体"/>
          <w:bCs/>
          <w:sz w:val="24"/>
          <w:szCs w:val="24"/>
          <w:highlight w:val="none"/>
          <w:lang w:val="en-US" w:eastAsia="zh-CN"/>
        </w:rPr>
        <w:t>如有变动，另行通知。</w:t>
      </w:r>
    </w:p>
    <w:p>
      <w:pPr>
        <w:keepNext/>
        <w:keepLines/>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3.逾期送达或者未送达指定地点的响应文件，采购单位不予受理。</w:t>
      </w:r>
    </w:p>
    <w:p>
      <w:pPr>
        <w:pageBreakBefore w:val="0"/>
        <w:widowControl w:val="0"/>
        <w:kinsoku/>
        <w:wordWrap/>
        <w:overflowPunct/>
        <w:topLinePunct w:val="0"/>
        <w:autoSpaceDE/>
        <w:autoSpaceDN/>
        <w:bidi w:val="0"/>
        <w:adjustRightInd/>
        <w:spacing w:line="360" w:lineRule="auto"/>
        <w:ind w:left="0" w:leftChars="0" w:firstLine="482" w:firstLineChars="200"/>
        <w:jc w:val="left"/>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五、开启</w:t>
      </w:r>
      <w:bookmarkEnd w:id="37"/>
      <w:bookmarkEnd w:id="38"/>
      <w:bookmarkEnd w:id="39"/>
      <w:bookmarkEnd w:id="40"/>
    </w:p>
    <w:p>
      <w:pPr>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bCs/>
          <w:sz w:val="24"/>
          <w:szCs w:val="24"/>
          <w:highlight w:val="none"/>
          <w:u w:val="single"/>
          <w:lang w:eastAsia="zh-CN"/>
        </w:rPr>
      </w:pPr>
      <w:bookmarkStart w:id="41" w:name="_Toc28359017"/>
      <w:bookmarkStart w:id="42" w:name="_Toc35393634"/>
      <w:bookmarkStart w:id="43" w:name="_Toc35393803"/>
      <w:bookmarkStart w:id="44" w:name="_Toc28359094"/>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24</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09点30</w:t>
      </w:r>
      <w:r>
        <w:rPr>
          <w:rFonts w:hint="eastAsia" w:ascii="宋体" w:hAnsi="宋体" w:eastAsia="宋体" w:cs="宋体"/>
          <w:sz w:val="24"/>
          <w:szCs w:val="24"/>
          <w:highlight w:val="none"/>
          <w:u w:val="single"/>
        </w:rPr>
        <w:t>分（北京时间）</w:t>
      </w:r>
      <w:r>
        <w:rPr>
          <w:rFonts w:hint="eastAsia" w:ascii="宋体" w:hAnsi="宋体" w:eastAsia="宋体" w:cs="宋体"/>
          <w:sz w:val="24"/>
          <w:szCs w:val="24"/>
          <w:highlight w:val="none"/>
          <w:u w:val="single"/>
          <w:lang w:eastAsia="zh-CN"/>
        </w:rPr>
        <w:t>。</w:t>
      </w:r>
    </w:p>
    <w:p>
      <w:pPr>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南通市崇川区钟秀街道办事处210会议室</w:t>
      </w:r>
      <w:r>
        <w:rPr>
          <w:rFonts w:hint="eastAsia" w:ascii="宋体" w:hAnsi="宋体" w:eastAsia="宋体" w:cs="宋体"/>
          <w:sz w:val="24"/>
          <w:szCs w:val="24"/>
          <w:highlight w:val="none"/>
          <w:u w:val="none"/>
        </w:rPr>
        <w:t>，如</w:t>
      </w:r>
      <w:r>
        <w:rPr>
          <w:rFonts w:hint="eastAsia" w:ascii="宋体" w:hAnsi="宋体" w:eastAsia="宋体" w:cs="宋体"/>
          <w:sz w:val="24"/>
          <w:szCs w:val="24"/>
          <w:u w:val="none"/>
        </w:rPr>
        <w:t>有变动，另行通知。</w:t>
      </w:r>
    </w:p>
    <w:p>
      <w:pPr>
        <w:pageBreakBefore w:val="0"/>
        <w:widowControl w:val="0"/>
        <w:kinsoku/>
        <w:wordWrap/>
        <w:overflowPunct/>
        <w:topLinePunct w:val="0"/>
        <w:autoSpaceDE/>
        <w:autoSpaceDN/>
        <w:bidi w:val="0"/>
        <w:adjustRightInd/>
        <w:spacing w:line="360" w:lineRule="auto"/>
        <w:ind w:left="0" w:leftChars="0"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六、公告期限</w:t>
      </w:r>
      <w:bookmarkEnd w:id="41"/>
      <w:bookmarkEnd w:id="42"/>
      <w:bookmarkEnd w:id="43"/>
      <w:bookmarkEnd w:id="44"/>
    </w:p>
    <w:p>
      <w:pPr>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个工作日。</w:t>
      </w:r>
    </w:p>
    <w:p>
      <w:pPr>
        <w:keepNext/>
        <w:keepLines/>
        <w:pageBreakBefore w:val="0"/>
        <w:widowControl w:val="0"/>
        <w:kinsoku/>
        <w:wordWrap/>
        <w:overflowPunct/>
        <w:topLinePunct w:val="0"/>
        <w:autoSpaceDE/>
        <w:autoSpaceDN/>
        <w:bidi w:val="0"/>
        <w:adjustRightInd/>
        <w:spacing w:line="360" w:lineRule="auto"/>
        <w:ind w:left="0" w:leftChars="0" w:firstLine="482" w:firstLineChars="200"/>
        <w:textAlignment w:val="auto"/>
        <w:outlineLvl w:val="1"/>
        <w:rPr>
          <w:rFonts w:hint="eastAsia" w:ascii="宋体" w:hAnsi="宋体" w:eastAsia="宋体" w:cs="宋体"/>
          <w:b/>
          <w:bCs w:val="0"/>
          <w:sz w:val="24"/>
          <w:szCs w:val="24"/>
        </w:rPr>
      </w:pPr>
      <w:bookmarkStart w:id="45" w:name="_Toc35393804"/>
      <w:bookmarkStart w:id="46" w:name="_Toc35393635"/>
      <w:r>
        <w:rPr>
          <w:rFonts w:hint="eastAsia" w:ascii="宋体" w:hAnsi="宋体" w:eastAsia="宋体" w:cs="宋体"/>
          <w:b/>
          <w:bCs w:val="0"/>
          <w:sz w:val="24"/>
          <w:szCs w:val="24"/>
        </w:rPr>
        <w:t>七、其他补充事宜</w:t>
      </w:r>
      <w:bookmarkEnd w:id="45"/>
      <w:bookmarkEnd w:id="46"/>
    </w:p>
    <w:p>
      <w:pPr>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    无</w:t>
      </w:r>
      <w:r>
        <w:rPr>
          <w:rFonts w:hint="eastAsia" w:ascii="宋体" w:hAnsi="宋体" w:eastAsia="宋体" w:cs="宋体"/>
          <w:kern w:val="0"/>
          <w:sz w:val="24"/>
          <w:szCs w:val="24"/>
          <w:lang w:eastAsia="zh-CN"/>
        </w:rPr>
        <w:t>。</w:t>
      </w:r>
    </w:p>
    <w:p>
      <w:pPr>
        <w:keepNext/>
        <w:keepLines/>
        <w:pageBreakBefore w:val="0"/>
        <w:widowControl w:val="0"/>
        <w:kinsoku/>
        <w:wordWrap/>
        <w:overflowPunct/>
        <w:topLinePunct w:val="0"/>
        <w:autoSpaceDE/>
        <w:autoSpaceDN/>
        <w:bidi w:val="0"/>
        <w:adjustRightInd/>
        <w:spacing w:line="360" w:lineRule="auto"/>
        <w:ind w:left="0" w:leftChars="0" w:firstLine="482" w:firstLineChars="200"/>
        <w:textAlignment w:val="auto"/>
        <w:outlineLvl w:val="1"/>
        <w:rPr>
          <w:rFonts w:hint="eastAsia" w:ascii="宋体" w:hAnsi="宋体" w:eastAsia="宋体" w:cs="宋体"/>
          <w:b/>
          <w:bCs w:val="0"/>
          <w:sz w:val="24"/>
          <w:szCs w:val="24"/>
        </w:rPr>
      </w:pPr>
      <w:bookmarkStart w:id="47" w:name="_Toc35393636"/>
      <w:bookmarkStart w:id="48" w:name="_Toc28359018"/>
      <w:bookmarkStart w:id="49" w:name="_Toc35393805"/>
      <w:bookmarkStart w:id="50" w:name="_Toc28359095"/>
      <w:r>
        <w:rPr>
          <w:rFonts w:hint="eastAsia" w:ascii="宋体" w:hAnsi="宋体" w:eastAsia="宋体" w:cs="宋体"/>
          <w:b/>
          <w:bCs w:val="0"/>
          <w:sz w:val="24"/>
          <w:szCs w:val="24"/>
        </w:rPr>
        <w:t>八、凡对本次采购提出询问，请按以下方式联系。</w:t>
      </w:r>
      <w:bookmarkEnd w:id="47"/>
      <w:bookmarkEnd w:id="48"/>
      <w:bookmarkEnd w:id="49"/>
      <w:bookmarkEnd w:id="50"/>
    </w:p>
    <w:p>
      <w:pPr>
        <w:keepNext/>
        <w:keepLines/>
        <w:pageBreakBefore w:val="0"/>
        <w:widowControl w:val="0"/>
        <w:kinsoku/>
        <w:wordWrap/>
        <w:overflowPunct/>
        <w:topLinePunct w:val="0"/>
        <w:autoSpaceDE/>
        <w:autoSpaceDN/>
        <w:bidi w:val="0"/>
        <w:adjustRightInd/>
        <w:spacing w:line="360" w:lineRule="auto"/>
        <w:ind w:firstLine="480" w:firstLineChars="200"/>
        <w:textAlignment w:val="auto"/>
        <w:outlineLvl w:val="1"/>
        <w:rPr>
          <w:rFonts w:hint="eastAsia" w:ascii="宋体" w:hAnsi="宋体" w:eastAsia="宋体" w:cs="宋体"/>
          <w:bCs/>
          <w:sz w:val="24"/>
          <w:szCs w:val="24"/>
          <w:highlight w:val="none"/>
        </w:rPr>
      </w:pPr>
      <w:bookmarkStart w:id="51" w:name="_Toc28359019"/>
      <w:bookmarkStart w:id="52" w:name="_Toc35393806"/>
      <w:bookmarkStart w:id="53" w:name="_Toc28359096"/>
      <w:bookmarkStart w:id="54" w:name="_Toc35393637"/>
      <w:r>
        <w:rPr>
          <w:rFonts w:hint="eastAsia" w:ascii="宋体" w:hAnsi="宋体" w:eastAsia="宋体" w:cs="宋体"/>
          <w:bCs/>
          <w:sz w:val="24"/>
          <w:szCs w:val="24"/>
        </w:rPr>
        <w:t>1</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采购单位</w:t>
      </w:r>
      <w:r>
        <w:rPr>
          <w:rFonts w:hint="eastAsia" w:ascii="宋体" w:hAnsi="宋体" w:eastAsia="宋体" w:cs="宋体"/>
          <w:bCs/>
          <w:sz w:val="24"/>
          <w:szCs w:val="24"/>
          <w:highlight w:val="none"/>
        </w:rPr>
        <w:t>信息</w:t>
      </w:r>
      <w:bookmarkEnd w:id="51"/>
      <w:bookmarkEnd w:id="52"/>
      <w:bookmarkEnd w:id="53"/>
      <w:bookmarkEnd w:id="54"/>
    </w:p>
    <w:p>
      <w:pPr>
        <w:pageBreakBefore w:val="0"/>
        <w:widowControl w:val="0"/>
        <w:kinsoku/>
        <w:wordWrap/>
        <w:overflowPunct/>
        <w:topLinePunct w:val="0"/>
        <w:autoSpaceDE/>
        <w:autoSpaceDN/>
        <w:bidi w:val="0"/>
        <w:adjustRightInd/>
        <w:spacing w:line="360" w:lineRule="auto"/>
        <w:ind w:left="300" w:leftChars="0" w:hanging="300" w:hangingChars="125"/>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eastAsia="宋体" w:cs="宋体"/>
          <w:sz w:val="24"/>
          <w:szCs w:val="24"/>
          <w:highlight w:val="none"/>
          <w:lang w:eastAsia="zh-CN"/>
        </w:rPr>
        <w:t>南通市崇川区钟秀街道办事处</w:t>
      </w:r>
    </w:p>
    <w:p>
      <w:pPr>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毛主任   13776951008</w:t>
      </w:r>
    </w:p>
    <w:p>
      <w:pPr>
        <w:keepNext/>
        <w:keepLines/>
        <w:pageBreakBefore w:val="0"/>
        <w:widowControl w:val="0"/>
        <w:kinsoku/>
        <w:wordWrap/>
        <w:overflowPunct/>
        <w:topLinePunct w:val="0"/>
        <w:autoSpaceDE/>
        <w:autoSpaceDN/>
        <w:bidi w:val="0"/>
        <w:adjustRightInd/>
        <w:spacing w:line="360" w:lineRule="auto"/>
        <w:ind w:firstLine="480" w:firstLineChars="200"/>
        <w:textAlignment w:val="auto"/>
        <w:outlineLvl w:val="1"/>
        <w:rPr>
          <w:rFonts w:hint="eastAsia" w:ascii="宋体" w:hAnsi="宋体" w:eastAsia="宋体" w:cs="宋体"/>
          <w:bCs/>
          <w:sz w:val="24"/>
          <w:szCs w:val="24"/>
        </w:rPr>
      </w:pPr>
      <w:bookmarkStart w:id="55" w:name="_Toc35393638"/>
      <w:bookmarkStart w:id="56" w:name="_Toc28359097"/>
      <w:bookmarkStart w:id="57" w:name="_Toc28359020"/>
      <w:bookmarkStart w:id="58" w:name="_Toc35393807"/>
      <w:r>
        <w:rPr>
          <w:rFonts w:hint="eastAsia" w:ascii="宋体" w:hAnsi="宋体" w:eastAsia="宋体" w:cs="宋体"/>
          <w:bCs/>
          <w:sz w:val="24"/>
          <w:szCs w:val="24"/>
        </w:rPr>
        <w:t>2.采购代理机构信息</w:t>
      </w:r>
      <w:bookmarkEnd w:id="55"/>
      <w:bookmarkEnd w:id="56"/>
      <w:bookmarkEnd w:id="57"/>
      <w:bookmarkEnd w:id="58"/>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称：江苏建诚工程咨询有限公司</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址：南通市崇川区崇川路58号产业</w:t>
      </w:r>
      <w:r>
        <w:rPr>
          <w:rFonts w:hint="eastAsia" w:ascii="宋体" w:hAnsi="宋体" w:eastAsia="宋体" w:cs="宋体"/>
          <w:sz w:val="24"/>
          <w:szCs w:val="24"/>
          <w:lang w:val="en-US" w:eastAsia="zh-CN"/>
        </w:rPr>
        <w:t>技术</w:t>
      </w:r>
      <w:r>
        <w:rPr>
          <w:rFonts w:hint="eastAsia" w:ascii="宋体" w:hAnsi="宋体" w:eastAsia="宋体" w:cs="宋体"/>
          <w:sz w:val="24"/>
          <w:szCs w:val="24"/>
        </w:rPr>
        <w:t>研究院9号楼601室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w:t>
      </w:r>
      <w:r>
        <w:rPr>
          <w:rFonts w:hint="eastAsia" w:ascii="宋体" w:hAnsi="宋体" w:eastAsia="宋体" w:cs="宋体"/>
          <w:sz w:val="24"/>
          <w:szCs w:val="24"/>
          <w:lang w:val="en-US" w:eastAsia="zh-CN"/>
        </w:rPr>
        <w:t>方式</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戴琦琦   </w:t>
      </w:r>
      <w:r>
        <w:rPr>
          <w:rFonts w:hint="eastAsia" w:ascii="宋体" w:hAnsi="宋体" w:eastAsia="宋体" w:cs="宋体"/>
          <w:sz w:val="24"/>
          <w:szCs w:val="24"/>
        </w:rPr>
        <w:t>18</w:t>
      </w:r>
      <w:r>
        <w:rPr>
          <w:rFonts w:hint="eastAsia" w:ascii="宋体" w:hAnsi="宋体" w:eastAsia="宋体" w:cs="宋体"/>
          <w:sz w:val="24"/>
          <w:szCs w:val="24"/>
          <w:lang w:val="en-US" w:eastAsia="zh-CN"/>
        </w:rPr>
        <w:t>862940675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邮箱号码：</w:t>
      </w:r>
      <w:r>
        <w:rPr>
          <w:rFonts w:hint="eastAsia" w:ascii="宋体" w:hAnsi="宋体" w:eastAsia="宋体" w:cs="宋体"/>
          <w:sz w:val="24"/>
          <w:szCs w:val="24"/>
          <w:lang w:val="en-US" w:eastAsia="zh-CN"/>
        </w:rPr>
        <w:t xml:space="preserve">jsjc_nt@163.com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毛主任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13776951008</w:t>
      </w:r>
    </w:p>
    <w:p>
      <w:pPr>
        <w:pStyle w:val="2"/>
        <w:keepNext w:val="0"/>
        <w:keepLines w:val="0"/>
        <w:numPr>
          <w:ilvl w:val="0"/>
          <w:numId w:val="0"/>
        </w:numPr>
        <w:snapToGrid w:val="0"/>
        <w:spacing w:before="0" w:after="0" w:line="360" w:lineRule="auto"/>
        <w:jc w:val="center"/>
        <w:rPr>
          <w:rFonts w:hint="eastAsia" w:ascii="宋体" w:hAnsi="宋体" w:eastAsia="宋体" w:cs="宋体"/>
          <w:color w:val="000000"/>
          <w:w w:val="80"/>
          <w:szCs w:val="44"/>
        </w:rPr>
      </w:pPr>
      <w:r>
        <w:rPr>
          <w:rFonts w:hint="eastAsia" w:ascii="宋体" w:hAnsi="宋体" w:eastAsia="宋体" w:cs="宋体"/>
          <w:color w:val="000000"/>
          <w:w w:val="80"/>
          <w:szCs w:val="44"/>
        </w:rPr>
        <w:br w:type="page"/>
      </w:r>
      <w:r>
        <w:rPr>
          <w:rFonts w:hint="eastAsia" w:ascii="宋体" w:hAnsi="宋体" w:eastAsia="宋体" w:cs="宋体"/>
          <w:color w:val="000000"/>
          <w:w w:val="80"/>
          <w:szCs w:val="44"/>
        </w:rPr>
        <w:t xml:space="preserve">第二章  </w:t>
      </w:r>
      <w:bookmarkEnd w:id="10"/>
      <w:bookmarkEnd w:id="11"/>
      <w:bookmarkEnd w:id="12"/>
      <w:bookmarkEnd w:id="13"/>
      <w:bookmarkEnd w:id="14"/>
      <w:bookmarkEnd w:id="15"/>
      <w:bookmarkEnd w:id="16"/>
      <w:bookmarkEnd w:id="17"/>
      <w:bookmarkEnd w:id="18"/>
      <w:bookmarkEnd w:id="19"/>
      <w:r>
        <w:rPr>
          <w:rFonts w:hint="eastAsia" w:ascii="宋体" w:hAnsi="宋体" w:eastAsia="宋体" w:cs="宋体"/>
          <w:color w:val="000000"/>
          <w:w w:val="80"/>
          <w:szCs w:val="44"/>
        </w:rPr>
        <w:t>供应商须知</w:t>
      </w:r>
      <w:bookmarkEnd w:id="2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color w:val="000000"/>
          <w:sz w:val="24"/>
          <w:szCs w:val="24"/>
        </w:rPr>
      </w:pPr>
      <w:bookmarkStart w:id="59" w:name="_Toc94544745"/>
      <w:bookmarkStart w:id="60" w:name="_Toc94585341"/>
      <w:bookmarkStart w:id="61" w:name="_Toc11554640"/>
      <w:bookmarkStart w:id="62" w:name="_Toc8895740"/>
      <w:bookmarkStart w:id="63" w:name="_Toc94544871"/>
      <w:bookmarkStart w:id="64" w:name="_Toc11499585"/>
      <w:bookmarkStart w:id="65" w:name="_Toc521203419"/>
      <w:bookmarkStart w:id="66" w:name="_Toc12670504"/>
      <w:bookmarkStart w:id="67" w:name="_Toc521201598"/>
      <w:bookmarkStart w:id="68" w:name="_Toc11500281"/>
      <w:r>
        <w:rPr>
          <w:rFonts w:hint="eastAsia" w:ascii="宋体" w:hAnsi="宋体" w:eastAsia="宋体" w:cs="宋体"/>
          <w:b/>
          <w:bCs/>
          <w:color w:val="000000"/>
          <w:sz w:val="24"/>
          <w:szCs w:val="24"/>
        </w:rPr>
        <w:t>一、说明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1.本磋商文件仅适用于</w:t>
      </w:r>
      <w:r>
        <w:rPr>
          <w:rFonts w:hint="eastAsia" w:ascii="宋体" w:hAnsi="宋体" w:eastAsia="宋体" w:cs="宋体"/>
          <w:bCs/>
          <w:color w:val="000000"/>
          <w:sz w:val="24"/>
          <w:szCs w:val="24"/>
          <w:lang w:val="en-US" w:eastAsia="zh-CN"/>
        </w:rPr>
        <w:t>采购单位</w:t>
      </w:r>
      <w:r>
        <w:rPr>
          <w:rFonts w:hint="eastAsia" w:ascii="宋体" w:hAnsi="宋体" w:eastAsia="宋体" w:cs="宋体"/>
          <w:bCs/>
          <w:color w:val="000000"/>
          <w:sz w:val="24"/>
          <w:szCs w:val="24"/>
        </w:rPr>
        <w:t>组织的竞争性磋商采购活动。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2.竞争性磋商活动及因本次磋商产生的合同受中国法律制约和保护。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3.磋商文件的解释权属于</w:t>
      </w:r>
      <w:r>
        <w:rPr>
          <w:rFonts w:hint="eastAsia" w:ascii="宋体" w:hAnsi="宋体" w:eastAsia="宋体" w:cs="宋体"/>
          <w:bCs/>
          <w:color w:val="000000"/>
          <w:sz w:val="24"/>
          <w:szCs w:val="24"/>
          <w:lang w:val="en-US" w:eastAsia="zh-CN"/>
        </w:rPr>
        <w:t>采购单位</w:t>
      </w:r>
      <w:r>
        <w:rPr>
          <w:rFonts w:hint="eastAsia" w:ascii="宋体" w:hAnsi="宋体" w:eastAsia="宋体" w:cs="宋体"/>
          <w:bCs/>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FF00FF"/>
          <w:sz w:val="24"/>
          <w:szCs w:val="24"/>
        </w:rPr>
      </w:pPr>
      <w:r>
        <w:rPr>
          <w:rFonts w:hint="eastAsia" w:ascii="宋体" w:hAnsi="宋体" w:eastAsia="宋体" w:cs="宋体"/>
          <w:color w:val="000000"/>
          <w:sz w:val="24"/>
          <w:szCs w:val="24"/>
        </w:rPr>
        <w:t>4.供应商</w:t>
      </w:r>
      <w:r>
        <w:rPr>
          <w:rFonts w:hint="eastAsia" w:ascii="宋体" w:hAnsi="宋体" w:eastAsia="宋体" w:cs="宋体"/>
          <w:sz w:val="24"/>
          <w:szCs w:val="24"/>
        </w:rPr>
        <w:t>下载</w:t>
      </w:r>
      <w:r>
        <w:rPr>
          <w:rFonts w:hint="eastAsia" w:ascii="宋体" w:hAnsi="宋体" w:eastAsia="宋体" w:cs="宋体"/>
          <w:color w:val="000000"/>
          <w:sz w:val="24"/>
          <w:szCs w:val="24"/>
        </w:rPr>
        <w:t>磋商文件后，应仔细检查磋商文件的所有内容。如内容中有页码短缺、资格要求以及任何设置有不合理的条件对供应商实行差别待遇或者歧视待遇的，应在</w:t>
      </w:r>
      <w:r>
        <w:rPr>
          <w:rFonts w:hint="eastAsia" w:ascii="宋体" w:hAnsi="宋体" w:eastAsia="宋体" w:cs="宋体"/>
          <w:sz w:val="24"/>
          <w:szCs w:val="24"/>
        </w:rPr>
        <w:t>提交首次响应文件截止时间至少7日前，</w:t>
      </w:r>
      <w:r>
        <w:rPr>
          <w:rFonts w:hint="eastAsia" w:ascii="宋体" w:hAnsi="宋体" w:eastAsia="宋体" w:cs="宋体"/>
          <w:color w:val="000000"/>
          <w:sz w:val="24"/>
          <w:szCs w:val="24"/>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eastAsia="宋体" w:cs="宋体"/>
          <w:b/>
          <w:color w:val="000000"/>
          <w:sz w:val="24"/>
          <w:szCs w:val="24"/>
        </w:rPr>
        <w:t>非书面形式的不作为日后质疑提出的依据。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5.供应商应认真审阅</w:t>
      </w:r>
      <w:r>
        <w:rPr>
          <w:rFonts w:hint="eastAsia" w:ascii="宋体" w:hAnsi="宋体" w:eastAsia="宋体" w:cs="宋体"/>
          <w:sz w:val="24"/>
          <w:szCs w:val="24"/>
        </w:rPr>
        <w:t>磋商文件中</w:t>
      </w:r>
      <w:r>
        <w:rPr>
          <w:rFonts w:hint="eastAsia" w:ascii="宋体" w:hAnsi="宋体" w:eastAsia="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二、磋商文件的澄清、修改、答疑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1.代理机构有权对发出</w:t>
      </w:r>
      <w:r>
        <w:rPr>
          <w:rFonts w:hint="eastAsia" w:ascii="宋体" w:hAnsi="宋体" w:eastAsia="宋体" w:cs="宋体"/>
          <w:sz w:val="24"/>
          <w:szCs w:val="24"/>
        </w:rPr>
        <w:t>的磋商文件进</w:t>
      </w:r>
      <w:r>
        <w:rPr>
          <w:rFonts w:hint="eastAsia" w:ascii="宋体" w:hAnsi="宋体" w:eastAsia="宋体" w:cs="宋体"/>
          <w:color w:val="000000"/>
          <w:sz w:val="24"/>
          <w:szCs w:val="24"/>
        </w:rPr>
        <w:t>行必要的澄清、修改或补充。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2.磋商文件的澄清、修改、补充等内容均以书面明确的形式发布，并以本公告发布网站发布的信息为准。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3.代理机构对磋商文件的澄清、修改将构成磋商文件的一部分，对响应磋商的供应商具有约束力。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4.澄清或者修改的内容可能影响到响应文件编制的，代理机构将在提交响应文件接收截止之日5日前，发布澄清或者修改公告，不足5日的，当顺延提交响应文件接收截</w:t>
      </w:r>
      <w:r>
        <w:rPr>
          <w:rFonts w:hint="eastAsia" w:ascii="宋体" w:hAnsi="宋体" w:eastAsia="宋体" w:cs="宋体"/>
          <w:sz w:val="24"/>
          <w:szCs w:val="24"/>
        </w:rPr>
        <w:t>止时间。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5.除非代理机构以书面的形式对磋商文件作出澄清、修改及补充，供应商对涉及磋商文件的任何推论、理解和结论所造成的结果，均由供应商自负。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6.采购单位视情组织答疑会。如有产生答疑且对磋商文件内容有修改，代理机构将按照本须知有关规定，以补充通知（公告）的方式发出。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三、响应文件的编制及装订</w:t>
      </w:r>
    </w:p>
    <w:p>
      <w:pPr>
        <w:keepNext w:val="0"/>
        <w:keepLines w:val="0"/>
        <w:pageBreakBefore w:val="0"/>
        <w:widowControl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w:t>
      </w:r>
      <w:r>
        <w:rPr>
          <w:rFonts w:hint="eastAsia" w:ascii="宋体" w:hAnsi="宋体" w:eastAsia="宋体" w:cs="宋体"/>
          <w:sz w:val="24"/>
          <w:szCs w:val="24"/>
        </w:rPr>
        <w:t>商按磋商文件</w:t>
      </w:r>
      <w:r>
        <w:rPr>
          <w:rFonts w:hint="eastAsia" w:ascii="宋体" w:hAnsi="宋体" w:eastAsia="宋体" w:cs="宋体"/>
          <w:sz w:val="24"/>
          <w:szCs w:val="24"/>
          <w:highlight w:val="none"/>
          <w:lang w:val="zh-CN"/>
        </w:rPr>
        <w:t>“第七章 响应文件组成及格式”</w:t>
      </w:r>
      <w:r>
        <w:rPr>
          <w:rFonts w:hint="eastAsia" w:ascii="宋体" w:hAnsi="宋体" w:eastAsia="宋体" w:cs="宋体"/>
          <w:sz w:val="24"/>
          <w:szCs w:val="24"/>
        </w:rPr>
        <w:t>要求编写响应文件，并牢固装订成册。响应文件均需采用A4纸（图纸等除外），不允许使用活页夹、拉杆夹、文件夹、塑料方便式书脊（插入式或穿孔式）装订。响应文件不得行间插字、涂改、增删，如修改错漏处，须经响应文件签署人签字并加</w:t>
      </w:r>
      <w:r>
        <w:rPr>
          <w:rFonts w:hint="eastAsia" w:ascii="宋体" w:hAnsi="宋体" w:eastAsia="宋体" w:cs="宋体"/>
          <w:color w:val="000000"/>
          <w:sz w:val="24"/>
          <w:szCs w:val="24"/>
        </w:rPr>
        <w:t>盖公章。</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四、响应文件的份数和签署</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1.响应文件由：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资格审查文件、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技术响应文件</w:t>
      </w:r>
      <w:r>
        <w:rPr>
          <w:rFonts w:hint="eastAsia" w:ascii="宋体" w:hAnsi="宋体" w:eastAsia="宋体" w:cs="宋体"/>
          <w:sz w:val="24"/>
          <w:szCs w:val="24"/>
          <w:lang w:eastAsia="zh-CN"/>
        </w:rPr>
        <w:t>、</w:t>
      </w:r>
      <w:r>
        <w:rPr>
          <w:rFonts w:hint="eastAsia" w:ascii="宋体" w:hAnsi="宋体" w:eastAsia="宋体" w:cs="宋体"/>
          <w:sz w:val="24"/>
          <w:szCs w:val="24"/>
        </w:rPr>
        <w:t>③商务报价响应文件</w:t>
      </w:r>
      <w:r>
        <w:rPr>
          <w:rFonts w:hint="eastAsia" w:ascii="宋体" w:hAnsi="宋体" w:eastAsia="宋体" w:cs="宋体"/>
          <w:sz w:val="24"/>
          <w:szCs w:val="24"/>
          <w:lang w:eastAsia="zh-CN"/>
        </w:rPr>
        <w:t>、④电子</w:t>
      </w:r>
      <w:r>
        <w:rPr>
          <w:rFonts w:hint="eastAsia" w:ascii="宋体" w:hAnsi="宋体" w:eastAsia="宋体" w:cs="宋体"/>
          <w:sz w:val="24"/>
          <w:szCs w:val="24"/>
          <w:lang w:val="en-US" w:eastAsia="zh-CN"/>
        </w:rPr>
        <w:t>版响应</w:t>
      </w:r>
      <w:r>
        <w:rPr>
          <w:rFonts w:hint="eastAsia" w:ascii="宋体" w:hAnsi="宋体" w:eastAsia="宋体" w:cs="宋体"/>
          <w:sz w:val="24"/>
          <w:szCs w:val="24"/>
          <w:lang w:eastAsia="zh-CN"/>
        </w:rPr>
        <w:t>文件（</w:t>
      </w:r>
      <w:r>
        <w:rPr>
          <w:rFonts w:hint="eastAsia" w:ascii="宋体" w:hAnsi="宋体" w:eastAsia="宋体" w:cs="宋体"/>
          <w:sz w:val="24"/>
          <w:szCs w:val="24"/>
          <w:lang w:val="en-US" w:eastAsia="zh-CN"/>
        </w:rPr>
        <w:t>u盘或光盘</w:t>
      </w:r>
      <w:r>
        <w:rPr>
          <w:rFonts w:hint="eastAsia" w:ascii="宋体" w:hAnsi="宋体" w:eastAsia="宋体" w:cs="宋体"/>
          <w:sz w:val="24"/>
          <w:szCs w:val="24"/>
          <w:lang w:eastAsia="zh-CN"/>
        </w:rPr>
        <w:t>）</w:t>
      </w:r>
      <w:r>
        <w:rPr>
          <w:rFonts w:hint="eastAsia" w:ascii="宋体" w:hAnsi="宋体" w:eastAsia="宋体" w:cs="宋体"/>
          <w:sz w:val="24"/>
          <w:szCs w:val="24"/>
        </w:rPr>
        <w:t>共</w:t>
      </w:r>
      <w:r>
        <w:rPr>
          <w:rFonts w:hint="eastAsia" w:ascii="宋体" w:hAnsi="宋体" w:eastAsia="宋体" w:cs="宋体"/>
          <w:sz w:val="24"/>
          <w:szCs w:val="24"/>
          <w:lang w:val="en-US" w:eastAsia="zh-CN"/>
        </w:rPr>
        <w:t>四</w:t>
      </w:r>
      <w:r>
        <w:rPr>
          <w:rFonts w:hint="eastAsia" w:ascii="宋体" w:hAnsi="宋体" w:eastAsia="宋体" w:cs="宋体"/>
          <w:sz w:val="24"/>
          <w:szCs w:val="24"/>
        </w:rPr>
        <w:t>部分组成（以下由文件序号代称）。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sz w:val="24"/>
          <w:szCs w:val="24"/>
          <w:u w:val="single"/>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纸质</w:t>
      </w:r>
      <w:r>
        <w:rPr>
          <w:rFonts w:hint="eastAsia" w:ascii="宋体" w:hAnsi="宋体" w:eastAsia="宋体" w:cs="宋体"/>
          <w:sz w:val="24"/>
          <w:szCs w:val="24"/>
        </w:rPr>
        <w:t>响应文件均为</w:t>
      </w:r>
      <w:r>
        <w:rPr>
          <w:rFonts w:hint="eastAsia" w:ascii="宋体" w:hAnsi="宋体" w:eastAsia="宋体" w:cs="宋体"/>
          <w:b/>
          <w:sz w:val="24"/>
          <w:szCs w:val="24"/>
        </w:rPr>
        <w:t>一式叁份，其中“正本”壹份和“副本”贰份</w:t>
      </w:r>
      <w:r>
        <w:rPr>
          <w:rFonts w:hint="eastAsia" w:ascii="宋体" w:hAnsi="宋体" w:eastAsia="宋体" w:cs="宋体"/>
          <w:b/>
          <w:sz w:val="24"/>
          <w:szCs w:val="24"/>
          <w:lang w:eastAsia="zh-CN"/>
        </w:rPr>
        <w:t>，</w:t>
      </w:r>
      <w:r>
        <w:rPr>
          <w:rFonts w:hint="eastAsia" w:ascii="宋体" w:hAnsi="宋体" w:eastAsia="宋体" w:cs="宋体"/>
          <w:sz w:val="24"/>
          <w:szCs w:val="24"/>
          <w:lang w:eastAsia="zh-CN"/>
        </w:rPr>
        <w:t>电子</w:t>
      </w:r>
      <w:r>
        <w:rPr>
          <w:rFonts w:hint="eastAsia" w:ascii="宋体" w:hAnsi="宋体" w:eastAsia="宋体" w:cs="宋体"/>
          <w:sz w:val="24"/>
          <w:szCs w:val="24"/>
          <w:lang w:val="en-US" w:eastAsia="zh-CN"/>
        </w:rPr>
        <w:t>版响应</w:t>
      </w:r>
      <w:r>
        <w:rPr>
          <w:rFonts w:hint="eastAsia" w:ascii="宋体" w:hAnsi="宋体" w:eastAsia="宋体" w:cs="宋体"/>
          <w:sz w:val="24"/>
          <w:szCs w:val="24"/>
          <w:lang w:eastAsia="zh-CN"/>
        </w:rPr>
        <w:t>文件（</w:t>
      </w:r>
      <w:r>
        <w:rPr>
          <w:rFonts w:hint="eastAsia" w:ascii="宋体" w:hAnsi="宋体" w:eastAsia="宋体" w:cs="宋体"/>
          <w:sz w:val="24"/>
          <w:szCs w:val="24"/>
          <w:lang w:val="en-US" w:eastAsia="zh-CN"/>
        </w:rPr>
        <w:t>u盘或光盘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壹份，</w:t>
      </w:r>
      <w:r>
        <w:rPr>
          <w:rFonts w:hint="eastAsia" w:ascii="宋体" w:hAnsi="宋体" w:eastAsia="宋体" w:cs="宋体"/>
          <w:sz w:val="24"/>
          <w:szCs w:val="24"/>
        </w:rPr>
        <w:t>供留档使用</w:t>
      </w:r>
      <w:r>
        <w:rPr>
          <w:rFonts w:hint="eastAsia" w:ascii="宋体" w:hAnsi="宋体" w:eastAsia="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3.在每份响应文件上要明确标注</w:t>
      </w:r>
      <w:r>
        <w:rPr>
          <w:rFonts w:hint="eastAsia" w:ascii="宋体" w:hAnsi="宋体" w:eastAsia="宋体" w:cs="宋体"/>
          <w:sz w:val="24"/>
          <w:szCs w:val="24"/>
          <w:u w:val="single"/>
        </w:rPr>
        <w:t>项目名称、对应的响应文件名称、供应商的全称、日期、“正本”、“副本”字样</w:t>
      </w:r>
      <w:r>
        <w:rPr>
          <w:rFonts w:hint="eastAsia" w:ascii="宋体" w:hAnsi="宋体" w:eastAsia="宋体" w:cs="宋体"/>
          <w:sz w:val="24"/>
          <w:szCs w:val="24"/>
        </w:rPr>
        <w:t>。“正本”和“副本”若有差异，概以“正本”为准。</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4.供应商可将响应文件正副本统一密封或分别密封，如正本和副本分别密封的，应在封袋上标明正、副本字样。</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响应文件中的所有“正本”，其正文内容须按磋商文件要求由供应商法定代表人或被授权人签字（或盖章）并加盖单位公章。“副本”可复印，但须加盖单位公章。</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rPr>
        <w:t>五、响应文件的密封及标记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1.供应商须将本项目响应文件：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lang/>
        </w:rPr>
        <w:t>③</w:t>
      </w:r>
      <w:r>
        <w:rPr>
          <w:rFonts w:hint="eastAsia" w:ascii="宋体" w:hAnsi="宋体" w:eastAsia="宋体" w:cs="宋体"/>
          <w:sz w:val="24"/>
          <w:szCs w:val="24"/>
        </w:rPr>
        <w:fldChar w:fldCharType="end"/>
      </w:r>
      <w:r>
        <w:rPr>
          <w:rFonts w:hint="eastAsia" w:ascii="宋体" w:hAnsi="宋体" w:eastAsia="宋体" w:cs="宋体"/>
          <w:sz w:val="24"/>
          <w:szCs w:val="24"/>
          <w:lang w:eastAsia="zh-CN"/>
        </w:rPr>
        <w:t>、④</w:t>
      </w:r>
      <w:r>
        <w:rPr>
          <w:rFonts w:hint="eastAsia" w:ascii="宋体" w:hAnsi="宋体" w:eastAsia="宋体" w:cs="宋体"/>
          <w:b/>
          <w:sz w:val="24"/>
          <w:szCs w:val="24"/>
        </w:rPr>
        <w:t>单独密封</w:t>
      </w:r>
      <w:r>
        <w:rPr>
          <w:rFonts w:hint="eastAsia" w:ascii="宋体" w:hAnsi="宋体" w:eastAsia="宋体" w:cs="宋体"/>
          <w:sz w:val="24"/>
          <w:szCs w:val="24"/>
        </w:rPr>
        <w:t>，并牢固装订成册（不接受活页装订），不得相互混淆，</w:t>
      </w:r>
      <w:r>
        <w:rPr>
          <w:rFonts w:hint="eastAsia" w:ascii="宋体" w:hAnsi="宋体" w:eastAsia="宋体" w:cs="宋体"/>
          <w:color w:val="auto"/>
          <w:sz w:val="24"/>
          <w:szCs w:val="24"/>
          <w:u w:val="single" w:color="FF0000"/>
        </w:rPr>
        <w:t>文件自编目录并连续标注页码</w:t>
      </w:r>
      <w:r>
        <w:rPr>
          <w:rFonts w:hint="eastAsia" w:ascii="宋体" w:hAnsi="宋体" w:eastAsia="宋体" w:cs="宋体"/>
          <w:sz w:val="24"/>
          <w:szCs w:val="24"/>
        </w:rPr>
        <w:t>，不得将内容拆开。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2.密封后，应在每一密封的响应文件上明确标注磋商项目名称、响应文件各自对应的名称、供应商的全称及日期。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3.在边缝处加盖供应商公章或骑缝签字。</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【特别提醒】</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响应文件中的</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 1 \* GB3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①</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t>和</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 2 \* GB3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②</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t>的“正本”或“副本”中，均不得含有商务报价响应文件中报价表（报价单）内的任何项目价格，否则作无效投标处理。</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2.供应商提供的电子版响应文件（u盘或光盘），内容应与纸质响应文件保持一致。</w:t>
      </w: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六、本项目涉及到的现场勘察</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sz w:val="24"/>
          <w:szCs w:val="24"/>
        </w:rPr>
      </w:pPr>
      <w:r>
        <w:rPr>
          <w:rFonts w:hint="eastAsia" w:ascii="宋体" w:hAnsi="宋体" w:eastAsia="宋体" w:cs="宋体"/>
          <w:sz w:val="24"/>
          <w:szCs w:val="24"/>
        </w:rPr>
        <w:t>1.磋商文件所提供的项目相关内容仅做参考，根据自身需要，供应商可在响应文件递交之日前对有关现场和周围环境进行勘察，以获取编制响应文件和签署合同所需的信息。勘察现场所发生的费用由供应商自己承担。</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sz w:val="24"/>
          <w:szCs w:val="24"/>
        </w:rPr>
      </w:pPr>
      <w:r>
        <w:rPr>
          <w:rFonts w:hint="eastAsia" w:ascii="宋体" w:hAnsi="宋体" w:eastAsia="宋体" w:cs="宋体"/>
          <w:sz w:val="24"/>
          <w:szCs w:val="24"/>
        </w:rPr>
        <w:t>2.采购单位向供应商提供的有关现场的资料和数据，是采购单位现有的并认为能使供应商可利用的资料。采购单位对供应商由此而做出的推论、理解和结论概不负责。</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sz w:val="24"/>
          <w:szCs w:val="24"/>
        </w:rPr>
      </w:pPr>
      <w:r>
        <w:rPr>
          <w:rFonts w:hint="eastAsia" w:ascii="宋体" w:hAnsi="宋体" w:eastAsia="宋体" w:cs="宋体"/>
          <w:sz w:val="24"/>
          <w:szCs w:val="24"/>
        </w:rPr>
        <w:t>3.经采购单位允许，供应商可为勘察目的进入采购单位的项目现场，但供应商不得因此使采购单位承担有关的责任和蒙受损失。供应商应承担勘察现场的责任和风险。</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sz w:val="24"/>
          <w:szCs w:val="24"/>
        </w:rPr>
      </w:pPr>
      <w:r>
        <w:rPr>
          <w:rFonts w:hint="eastAsia" w:ascii="宋体" w:hAnsi="宋体" w:eastAsia="宋体" w:cs="宋体"/>
          <w:sz w:val="24"/>
          <w:szCs w:val="24"/>
        </w:rPr>
        <w:t>4.供应商应认真踏勘现场。在现场勘察时，熟悉作业现场、现场周围交通道路等情况，以获得一切可能影响其磋商响应的直接资料。供应商成交后，不得以不完全了解现场情况为理由而向采购单位提出任何索赔的要求，对此采购单位不承担任何责任并将不作任何答复与考虑。</w:t>
      </w: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七、磋商报价</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sz w:val="24"/>
          <w:szCs w:val="24"/>
        </w:rPr>
      </w:pPr>
      <w:r>
        <w:rPr>
          <w:rFonts w:hint="eastAsia" w:ascii="宋体" w:hAnsi="宋体" w:eastAsia="宋体" w:cs="宋体"/>
          <w:sz w:val="24"/>
          <w:szCs w:val="24"/>
        </w:rPr>
        <w:t>1.本项目不接受任何有选择的报价。</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sz w:val="24"/>
          <w:szCs w:val="24"/>
        </w:rPr>
      </w:pPr>
      <w:r>
        <w:rPr>
          <w:rFonts w:hint="eastAsia" w:ascii="宋体" w:hAnsi="宋体" w:eastAsia="宋体" w:cs="宋体"/>
          <w:sz w:val="24"/>
          <w:szCs w:val="24"/>
        </w:rPr>
        <w:t>2.磋商报价均以人民币为报价的币种。</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sz w:val="24"/>
          <w:szCs w:val="24"/>
        </w:rPr>
      </w:pPr>
      <w:r>
        <w:rPr>
          <w:rFonts w:hint="eastAsia" w:ascii="宋体" w:hAnsi="宋体"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sz w:val="24"/>
          <w:szCs w:val="24"/>
        </w:rPr>
      </w:pPr>
      <w:r>
        <w:rPr>
          <w:rFonts w:hint="eastAsia" w:ascii="宋体" w:hAnsi="宋体" w:eastAsia="宋体" w:cs="宋体"/>
          <w:sz w:val="24"/>
          <w:szCs w:val="24"/>
        </w:rPr>
        <w:t>4.供应商应按本磋商文件内项目需求的全部采购内容计算总价。</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sz w:val="24"/>
          <w:szCs w:val="24"/>
          <w:lang w:eastAsia="zh-CN"/>
        </w:rPr>
      </w:pPr>
      <w:r>
        <w:rPr>
          <w:rFonts w:hint="eastAsia" w:ascii="宋体" w:hAnsi="宋体" w:eastAsia="宋体" w:cs="宋体"/>
          <w:sz w:val="24"/>
          <w:szCs w:val="24"/>
        </w:rPr>
        <w:t>5.磋商响应报价应包含：服务及完成本项目工作所需的一切费用。包含但不限于以</w:t>
      </w:r>
      <w:r>
        <w:rPr>
          <w:rFonts w:hint="eastAsia" w:ascii="宋体" w:hAnsi="宋体" w:eastAsia="宋体" w:cs="宋体"/>
          <w:sz w:val="24"/>
          <w:szCs w:val="24"/>
          <w:highlight w:val="none"/>
        </w:rPr>
        <w:t>下费用：场地勘察、收集资料费、调查费、人员费（含周末及节假日加班费）、交通费、办公设备费、</w:t>
      </w:r>
      <w:r>
        <w:rPr>
          <w:rFonts w:hint="eastAsia" w:ascii="宋体" w:hAnsi="宋体" w:eastAsia="宋体" w:cs="宋体"/>
          <w:sz w:val="24"/>
          <w:szCs w:val="24"/>
          <w:highlight w:val="none"/>
          <w:lang w:val="en-US" w:eastAsia="zh-CN"/>
        </w:rPr>
        <w:t>检测费</w:t>
      </w:r>
      <w:r>
        <w:rPr>
          <w:rFonts w:hint="eastAsia" w:ascii="宋体" w:hAnsi="宋体" w:eastAsia="宋体" w:cs="宋体"/>
          <w:sz w:val="24"/>
          <w:szCs w:val="24"/>
          <w:highlight w:val="none"/>
        </w:rPr>
        <w:t>、风险费、保险费、税金、利润等政策性文件规定及合同包含的所有风险、责任等各项应有费用，即招标服务周期结束前的所有费用且包含响应磋商文件采购要求的所有费用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供应商的报价中应充分考虑上述的要求和风险因素，服务期限内出现的任何遗漏，均由成交供应商负责，采购单位不再支付任何费用</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6.除非因特殊原因并经双方协商同意，成交的供应商不得再要求追加任何费用。同时，除非合同条款中另有规定，否则，成交供应商的成交金额在合同实施期间不因市场变化因素而变动。</w:t>
      </w:r>
    </w:p>
    <w:p>
      <w:pPr>
        <w:keepNext w:val="0"/>
        <w:keepLines w:val="0"/>
        <w:pageBreakBefore w:val="0"/>
        <w:widowControl w:val="0"/>
        <w:kinsoku/>
        <w:wordWrap/>
        <w:overflowPunct/>
        <w:topLinePunct w:val="0"/>
        <w:autoSpaceDE/>
        <w:autoSpaceDN/>
        <w:bidi w:val="0"/>
        <w:adjustRightInd/>
        <w:spacing w:line="360" w:lineRule="auto"/>
        <w:ind w:firstLine="494" w:firstLineChars="206"/>
        <w:textAlignment w:val="auto"/>
        <w:rPr>
          <w:rFonts w:hint="eastAsia" w:ascii="宋体" w:hAnsi="宋体" w:eastAsia="宋体" w:cs="宋体"/>
          <w:sz w:val="24"/>
          <w:szCs w:val="24"/>
        </w:rPr>
      </w:pPr>
      <w:r>
        <w:rPr>
          <w:rFonts w:hint="eastAsia" w:ascii="宋体" w:hAnsi="宋体" w:eastAsia="宋体" w:cs="宋体"/>
          <w:sz w:val="24"/>
          <w:szCs w:val="24"/>
        </w:rPr>
        <w:t>7.竞争性磋商的最终报价为成交价。同时，供应商的最终成交价在合同实施期间不因市场变化因素而变动。</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sz w:val="24"/>
          <w:szCs w:val="24"/>
          <w:u w:val="none" w:color="FF0000"/>
        </w:rPr>
      </w:pPr>
      <w:r>
        <w:rPr>
          <w:rFonts w:hint="eastAsia" w:ascii="宋体" w:hAnsi="宋体" w:eastAsia="宋体" w:cs="宋体"/>
          <w:sz w:val="24"/>
          <w:szCs w:val="24"/>
        </w:rPr>
        <w:t>8.最低的磋商报价是成交的重要条件，但不是成交的唯一条件。</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sz w:val="24"/>
          <w:szCs w:val="24"/>
        </w:rPr>
      </w:pPr>
      <w:r>
        <w:rPr>
          <w:rFonts w:hint="eastAsia" w:ascii="宋体" w:hAnsi="宋体" w:eastAsia="宋体" w:cs="宋体"/>
          <w:b/>
          <w:bCs/>
          <w:sz w:val="24"/>
          <w:szCs w:val="24"/>
        </w:rPr>
        <w:t>八、响应文件及</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000000"/>
          <w:sz w:val="24"/>
          <w:szCs w:val="24"/>
        </w:rPr>
      </w:pPr>
      <w:r>
        <w:rPr>
          <w:rFonts w:hint="eastAsia" w:ascii="宋体" w:hAnsi="宋体" w:eastAsia="宋体" w:cs="宋体"/>
          <w:sz w:val="24"/>
          <w:szCs w:val="24"/>
        </w:rPr>
        <w:t>1.磋商程序顺利进行后，除供应商的原件可退回外，其余所有的响应文件都将作为档案保存，不</w:t>
      </w:r>
      <w:r>
        <w:rPr>
          <w:rFonts w:hint="eastAsia" w:ascii="宋体" w:hAnsi="宋体" w:eastAsia="宋体" w:cs="宋体"/>
          <w:color w:val="000000"/>
          <w:sz w:val="24"/>
          <w:szCs w:val="24"/>
        </w:rPr>
        <w:t>论成交与否，代理机构均不退回。</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2.无论磋商过程和结果如何，参加项目磋商的供应商自行承担与本次项目磋商有关的全部费用。</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3.</w:t>
      </w:r>
      <w:r>
        <w:rPr>
          <w:rFonts w:hint="eastAsia" w:ascii="宋体" w:hAnsi="宋体" w:eastAsia="宋体" w:cs="宋体"/>
          <w:bCs/>
          <w:sz w:val="24"/>
          <w:szCs w:val="24"/>
        </w:rPr>
        <w:t>本项目的招标代</w:t>
      </w:r>
      <w:r>
        <w:rPr>
          <w:rFonts w:hint="eastAsia" w:ascii="宋体" w:hAnsi="宋体" w:eastAsia="宋体" w:cs="宋体"/>
          <w:bCs/>
          <w:sz w:val="24"/>
          <w:szCs w:val="24"/>
          <w:highlight w:val="none"/>
        </w:rPr>
        <w:t>理服务费</w:t>
      </w:r>
      <w:r>
        <w:rPr>
          <w:rFonts w:hint="eastAsia" w:ascii="宋体" w:hAnsi="宋体" w:eastAsia="宋体" w:cs="宋体"/>
          <w:bCs/>
          <w:sz w:val="24"/>
          <w:szCs w:val="24"/>
          <w:highlight w:val="none"/>
          <w:lang w:val="en-US" w:eastAsia="zh-CN"/>
        </w:rPr>
        <w:t>1500元</w:t>
      </w:r>
      <w:r>
        <w:rPr>
          <w:rFonts w:hint="eastAsia" w:ascii="宋体" w:hAnsi="宋体" w:eastAsia="宋体" w:cs="宋体"/>
          <w:bCs/>
          <w:sz w:val="24"/>
          <w:szCs w:val="24"/>
          <w:highlight w:val="none"/>
        </w:rPr>
        <w:t>。由成交供应商在取得成交通知书时，向采购代理机构一次性付清</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投标中可能产生的其他费用请供应商自行考虑在报价内</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.供应商自行考虑包含在磋商响应报价内的该项费用及风险并将其综合在单价内，不得单列。</w:t>
      </w:r>
    </w:p>
    <w:p>
      <w:pPr>
        <w:keepNext w:val="0"/>
        <w:keepLines w:val="0"/>
        <w:pageBreakBefore w:val="0"/>
        <w:widowControl w:val="0"/>
        <w:kinsoku/>
        <w:wordWrap/>
        <w:overflowPunct/>
        <w:topLinePunct w:val="0"/>
        <w:autoSpaceDE/>
        <w:autoSpaceDN/>
        <w:bidi w:val="0"/>
        <w:adjustRightInd/>
        <w:snapToGrid w:val="0"/>
        <w:spacing w:line="360" w:lineRule="auto"/>
        <w:ind w:firstLine="463" w:firstLineChars="192"/>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九、履约保证金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1.本项目各标段成交供应商须支付其合同价款</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%作为履约保证金。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2.成交供应商的履约保证金须在成交通知书发出3日内汇入采购单位账</w:t>
      </w:r>
      <w:r>
        <w:rPr>
          <w:rFonts w:hint="eastAsia" w:ascii="宋体" w:hAnsi="宋体" w:eastAsia="宋体" w:cs="宋体"/>
          <w:color w:val="000000"/>
          <w:sz w:val="24"/>
          <w:szCs w:val="24"/>
        </w:rPr>
        <w:t>户，成交供应商凭成交通知书及履约保证金缴费证明</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日内与采购单位签订合同。超期或未有协商，则视为自动放弃成交资格。</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3.成交供应商按要求保质保量的履行完成年度服务，且通过采购单位确认后，一次性无息退还履约保证金。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4.由于成交供应商原因，在签订合同后出现不按合同履行的情况，采购单位有权将履约保证金作为违约金，全额不予退还，同时采购单位亦有权终止合同，成交供应商还</w:t>
      </w:r>
      <w:r>
        <w:rPr>
          <w:rFonts w:hint="eastAsia" w:ascii="宋体" w:hAnsi="宋体" w:eastAsia="宋体" w:cs="宋体"/>
          <w:color w:val="000000"/>
          <w:sz w:val="24"/>
          <w:szCs w:val="24"/>
          <w:highlight w:val="none"/>
        </w:rPr>
        <w:t>须承担相应的法律赔偿责任。</w:t>
      </w:r>
    </w:p>
    <w:p>
      <w:pPr>
        <w:keepNext w:val="0"/>
        <w:keepLines w:val="0"/>
        <w:pageBreakBefore w:val="0"/>
        <w:widowControl w:val="0"/>
        <w:kinsoku/>
        <w:wordWrap/>
        <w:overflowPunct/>
        <w:topLinePunct w:val="0"/>
        <w:autoSpaceDE/>
        <w:autoSpaceDN/>
        <w:bidi w:val="0"/>
        <w:adjustRightInd/>
        <w:snapToGrid w:val="0"/>
        <w:spacing w:line="360" w:lineRule="auto"/>
        <w:ind w:firstLine="463" w:firstLineChars="19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十、付款方式</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合同签订后，一周内支付合同价款的30%，6个月后支付合同价的40%，余款</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rPr>
        <w:t>服务期满</w:t>
      </w:r>
      <w:r>
        <w:rPr>
          <w:rFonts w:hint="eastAsia" w:ascii="宋体" w:hAnsi="宋体" w:eastAsia="宋体" w:cs="宋体"/>
          <w:sz w:val="24"/>
          <w:szCs w:val="24"/>
          <w:highlight w:val="none"/>
          <w:lang w:val="en-US" w:eastAsia="zh-CN"/>
        </w:rPr>
        <w:t>，经</w:t>
      </w:r>
      <w:r>
        <w:rPr>
          <w:rFonts w:hint="eastAsia" w:ascii="宋体" w:hAnsi="宋体" w:eastAsia="宋体" w:cs="宋体"/>
          <w:color w:val="000000"/>
          <w:sz w:val="24"/>
          <w:szCs w:val="24"/>
          <w:highlight w:val="none"/>
          <w:lang w:val="en-US" w:eastAsia="zh-CN"/>
        </w:rPr>
        <w:t>采购单位考核能较好完成工作任务后一次性付清</w:t>
      </w:r>
      <w:r>
        <w:rPr>
          <w:rFonts w:hint="eastAsia" w:ascii="宋体" w:hAnsi="宋体" w:eastAsia="宋体" w:cs="宋体"/>
          <w:sz w:val="24"/>
          <w:szCs w:val="24"/>
          <w:highlight w:val="none"/>
        </w:rPr>
        <w:t>（不计利息）。</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rPr>
        <w:t>应在</w:t>
      </w:r>
      <w:r>
        <w:rPr>
          <w:rFonts w:hint="eastAsia" w:ascii="宋体" w:hAnsi="宋体" w:cs="宋体"/>
          <w:sz w:val="24"/>
          <w:szCs w:val="24"/>
          <w:highlight w:val="none"/>
          <w:lang w:val="en-US" w:eastAsia="zh-CN"/>
        </w:rPr>
        <w:t>采购单位</w:t>
      </w:r>
      <w:r>
        <w:rPr>
          <w:rFonts w:hint="eastAsia" w:ascii="宋体" w:hAnsi="宋体" w:eastAsia="宋体" w:cs="宋体"/>
          <w:sz w:val="24"/>
          <w:szCs w:val="24"/>
          <w:highlight w:val="none"/>
        </w:rPr>
        <w:t>付款前分别向付款方开具相应金额的增值税专用发票，否则</w:t>
      </w:r>
      <w:r>
        <w:rPr>
          <w:rFonts w:hint="eastAsia" w:ascii="宋体" w:hAnsi="宋体" w:cs="宋体"/>
          <w:sz w:val="24"/>
          <w:szCs w:val="24"/>
          <w:highlight w:val="none"/>
          <w:lang w:val="en-US" w:eastAsia="zh-CN"/>
        </w:rPr>
        <w:t>采购单位</w:t>
      </w:r>
      <w:r>
        <w:rPr>
          <w:rFonts w:hint="eastAsia" w:ascii="宋体" w:hAnsi="宋体" w:eastAsia="宋体" w:cs="宋体"/>
          <w:sz w:val="24"/>
          <w:szCs w:val="24"/>
          <w:highlight w:val="none"/>
        </w:rPr>
        <w:t>有权延迟付款。</w:t>
      </w:r>
    </w:p>
    <w:p>
      <w:pPr>
        <w:keepNext w:val="0"/>
        <w:keepLines w:val="0"/>
        <w:pageBreakBefore w:val="0"/>
        <w:widowControl w:val="0"/>
        <w:kinsoku/>
        <w:wordWrap/>
        <w:overflowPunct/>
        <w:topLinePunct w:val="0"/>
        <w:autoSpaceDE/>
        <w:autoSpaceDN/>
        <w:bidi w:val="0"/>
        <w:adjustRightInd/>
        <w:snapToGrid w:val="0"/>
        <w:spacing w:line="360" w:lineRule="auto"/>
        <w:ind w:firstLine="463" w:firstLineChars="192"/>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w:t>
      </w:r>
      <w:r>
        <w:rPr>
          <w:rFonts w:hint="eastAsia" w:ascii="宋体" w:hAnsi="宋体" w:eastAsia="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、知识产权</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成交供应商应保证本项目采购单位及最终用户在使用本项目合同标的物的任何部分</w:t>
      </w:r>
      <w:r>
        <w:rPr>
          <w:rFonts w:hint="eastAsia" w:ascii="宋体" w:hAnsi="宋体" w:eastAsia="宋体" w:cs="宋体"/>
          <w:color w:val="000000"/>
          <w:sz w:val="24"/>
          <w:szCs w:val="24"/>
        </w:rPr>
        <w:t>（含软、硬件及相关配套设备）均不受第三方关于侵犯其所有权，专利权、商标权等一切可能的知识产权侵权的指控。采购单位或最终用户因此而受到的全部损失包括对第三方的任何赔偿、补偿、垫付的款项以及应对指控而支出的全部费用，均由成交供应商承担。</w:t>
      </w:r>
    </w:p>
    <w:p>
      <w:pPr>
        <w:keepNext w:val="0"/>
        <w:keepLines w:val="0"/>
        <w:pageBreakBefore w:val="0"/>
        <w:widowControl w:val="0"/>
        <w:kinsoku/>
        <w:wordWrap/>
        <w:overflowPunct/>
        <w:topLinePunct w:val="0"/>
        <w:autoSpaceDE/>
        <w:autoSpaceDN/>
        <w:bidi w:val="0"/>
        <w:adjustRightInd/>
        <w:snapToGrid w:val="0"/>
        <w:spacing w:line="360" w:lineRule="auto"/>
        <w:ind w:firstLine="463" w:firstLineChars="192"/>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、未尽事宜</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按《中华人民共和国政府采购法》、《政府采购竞争性磋商采购方式管理暂行办法》及其他有关法律法规的规定执行。若本文件与法律法规规定有冲突之处，则按照法律法规规定执行。</w:t>
      </w:r>
    </w:p>
    <w:p>
      <w:pPr>
        <w:numPr>
          <w:ilvl w:val="0"/>
          <w:numId w:val="2"/>
        </w:numPr>
        <w:snapToGrid w:val="0"/>
        <w:spacing w:line="360" w:lineRule="auto"/>
        <w:jc w:val="center"/>
        <w:rPr>
          <w:rFonts w:hint="eastAsia" w:ascii="宋体" w:hAnsi="宋体" w:eastAsia="宋体" w:cs="宋体"/>
          <w:b/>
          <w:iCs/>
          <w:w w:val="80"/>
          <w:sz w:val="44"/>
          <w:szCs w:val="44"/>
          <w:highlight w:val="none"/>
        </w:rPr>
      </w:pPr>
      <w:bookmarkStart w:id="69" w:name="_Toc363573855"/>
      <w:r>
        <w:rPr>
          <w:rFonts w:hint="eastAsia" w:ascii="宋体" w:hAnsi="宋体" w:eastAsia="宋体" w:cs="宋体"/>
          <w:b/>
          <w:iCs/>
          <w:w w:val="80"/>
          <w:sz w:val="44"/>
          <w:szCs w:val="44"/>
        </w:rPr>
        <w:t xml:space="preserve"> </w:t>
      </w:r>
      <w:bookmarkEnd w:id="59"/>
      <w:bookmarkEnd w:id="60"/>
      <w:bookmarkEnd w:id="61"/>
      <w:bookmarkEnd w:id="62"/>
      <w:bookmarkEnd w:id="63"/>
      <w:bookmarkEnd w:id="64"/>
      <w:bookmarkEnd w:id="65"/>
      <w:bookmarkEnd w:id="66"/>
      <w:bookmarkEnd w:id="67"/>
      <w:bookmarkEnd w:id="68"/>
      <w:r>
        <w:rPr>
          <w:rFonts w:hint="eastAsia" w:ascii="宋体" w:hAnsi="宋体" w:eastAsia="宋体" w:cs="宋体"/>
          <w:b/>
          <w:iCs/>
          <w:color w:val="auto"/>
          <w:w w:val="80"/>
          <w:sz w:val="44"/>
          <w:szCs w:val="44"/>
          <w:highlight w:val="none"/>
        </w:rPr>
        <w:t>项目需求</w:t>
      </w:r>
      <w:bookmarkEnd w:id="69"/>
      <w:bookmarkStart w:id="70" w:name="_Toc11500282"/>
      <w:bookmarkStart w:id="71" w:name="_Toc94585342"/>
      <w:bookmarkStart w:id="72" w:name="_Toc8895741"/>
      <w:bookmarkStart w:id="73" w:name="_Toc94544746"/>
      <w:bookmarkStart w:id="74" w:name="_Toc94544872"/>
      <w:bookmarkStart w:id="75" w:name="_Toc521203420"/>
      <w:bookmarkStart w:id="76" w:name="_Toc11554641"/>
      <w:bookmarkStart w:id="77" w:name="_Toc521201599"/>
      <w:bookmarkStart w:id="78" w:name="_Toc13803483"/>
      <w:bookmarkStart w:id="79" w:name="_Toc12670505"/>
      <w:bookmarkStart w:id="80" w:name="_Toc11499586"/>
      <w:bookmarkStart w:id="81" w:name="_Toc363573856"/>
    </w:p>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zh-CN"/>
        </w:rPr>
        <w:t>请供应商在制作响应文件时仔细研究项目需求说明。</w:t>
      </w:r>
      <w:r>
        <w:rPr>
          <w:rFonts w:hint="eastAsia" w:ascii="宋体" w:hAnsi="宋体" w:eastAsia="宋体" w:cs="宋体"/>
          <w:kern w:val="0"/>
          <w:sz w:val="24"/>
          <w:szCs w:val="24"/>
          <w:lang w:val="zh-CN"/>
        </w:rPr>
        <w:t>供应商必须</w:t>
      </w:r>
      <w:r>
        <w:rPr>
          <w:rFonts w:hint="eastAsia" w:ascii="宋体" w:hAnsi="宋体" w:eastAsia="宋体" w:cs="宋体"/>
          <w:kern w:val="0"/>
          <w:sz w:val="24"/>
          <w:szCs w:val="24"/>
        </w:rPr>
        <w:t>对</w:t>
      </w:r>
      <w:r>
        <w:rPr>
          <w:rFonts w:hint="eastAsia" w:ascii="宋体" w:hAnsi="宋体" w:eastAsia="宋体" w:cs="宋体"/>
          <w:kern w:val="0"/>
          <w:sz w:val="24"/>
          <w:szCs w:val="24"/>
          <w:lang w:val="zh-CN"/>
        </w:rPr>
        <w:t>采购单位项目需求说明中的技术、商务要求作实事求是的响应。成交后成交供应商在同采购单位签订合同和履约环节中不得提出异议，一切后果和损失由成交供应商承担。供应商提供的货物和服务</w:t>
      </w:r>
      <w:r>
        <w:rPr>
          <w:rFonts w:hint="eastAsia" w:ascii="宋体" w:hAnsi="宋体" w:eastAsia="宋体" w:cs="宋体"/>
          <w:kern w:val="0"/>
          <w:sz w:val="24"/>
          <w:szCs w:val="24"/>
        </w:rPr>
        <w:t>必须完全响应</w:t>
      </w:r>
      <w:r>
        <w:rPr>
          <w:rFonts w:hint="eastAsia" w:ascii="宋体" w:hAnsi="宋体" w:eastAsia="宋体" w:cs="宋体"/>
          <w:kern w:val="0"/>
          <w:sz w:val="24"/>
          <w:szCs w:val="24"/>
          <w:lang w:val="zh-CN"/>
        </w:rPr>
        <w:t>采购单位提出的项目需求说明中的技术、商务要求。</w:t>
      </w:r>
      <w:r>
        <w:rPr>
          <w:rFonts w:hint="eastAsia" w:ascii="宋体" w:hAnsi="宋体" w:eastAsia="宋体" w:cs="宋体"/>
          <w:kern w:val="0"/>
          <w:sz w:val="24"/>
          <w:szCs w:val="24"/>
        </w:rPr>
        <w:t>本项目不接受负偏离。</w:t>
      </w:r>
    </w:p>
    <w:p>
      <w:pPr>
        <w:pStyle w:val="127"/>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kern w:val="0"/>
          <w:sz w:val="24"/>
          <w:szCs w:val="24"/>
          <w:lang w:val="en-US" w:eastAsia="zh-CN"/>
        </w:rPr>
        <w:t>一、项目背景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根据《中华人民共和国环境保护法》和相关法律法规，依据国家环保部对环保管家服务的倡导和意见，结合南通市、区两级政府相关环保专项行动要求，为更好地推进</w:t>
      </w:r>
      <w:r>
        <w:rPr>
          <w:rFonts w:hint="eastAsia" w:ascii="宋体" w:hAnsi="宋体" w:eastAsia="宋体" w:cs="宋体"/>
          <w:b w:val="0"/>
          <w:bCs/>
          <w:sz w:val="24"/>
          <w:szCs w:val="24"/>
          <w:highlight w:val="none"/>
          <w:lang w:val="en-US" w:eastAsia="zh-CN"/>
        </w:rPr>
        <w:t>采购单位</w:t>
      </w:r>
      <w:r>
        <w:rPr>
          <w:rFonts w:hint="eastAsia" w:ascii="宋体" w:hAnsi="宋体" w:eastAsia="宋体" w:cs="宋体"/>
          <w:b w:val="0"/>
          <w:bCs/>
          <w:sz w:val="24"/>
          <w:szCs w:val="24"/>
          <w:highlight w:val="none"/>
        </w:rPr>
        <w:t>管辖区域内企业的环保工作，确定由</w:t>
      </w:r>
      <w:r>
        <w:rPr>
          <w:sz w:val="24"/>
        </w:rPr>
        <w:t>专业第三方机构</w:t>
      </w:r>
      <w:r>
        <w:rPr>
          <w:rFonts w:hint="eastAsia" w:ascii="宋体" w:hAnsi="宋体" w:eastAsia="宋体" w:cs="宋体"/>
          <w:b w:val="0"/>
          <w:bCs/>
          <w:sz w:val="24"/>
          <w:szCs w:val="24"/>
          <w:highlight w:val="none"/>
        </w:rPr>
        <w:t>为</w:t>
      </w:r>
      <w:r>
        <w:rPr>
          <w:rFonts w:hint="eastAsia" w:ascii="宋体" w:hAnsi="宋体" w:eastAsia="宋体" w:cs="宋体"/>
          <w:b w:val="0"/>
          <w:bCs/>
          <w:sz w:val="24"/>
          <w:szCs w:val="24"/>
          <w:highlight w:val="none"/>
          <w:lang w:val="en-US" w:eastAsia="zh-CN"/>
        </w:rPr>
        <w:t>采购单位</w:t>
      </w:r>
      <w:r>
        <w:rPr>
          <w:rFonts w:hint="eastAsia" w:ascii="宋体" w:hAnsi="宋体" w:eastAsia="宋体" w:cs="宋体"/>
          <w:b w:val="0"/>
          <w:bCs/>
          <w:sz w:val="24"/>
          <w:szCs w:val="24"/>
          <w:highlight w:val="none"/>
        </w:rPr>
        <w:t>提供管辖区域内企业的环保问题诊断排查技术服务，及时发现并督促整改企业生产经营过程中产生的废气、废水、噪音、危废、固废等环保问题，最大限度降低环保违法风险，并防范环境污染事件的发生，督促企业按国家和地方环保法规进行生产经营。</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二、</w:t>
      </w:r>
      <w:r>
        <w:rPr>
          <w:rFonts w:hint="eastAsia" w:ascii="宋体" w:hAnsi="宋体" w:eastAsia="宋体" w:cs="宋体"/>
          <w:b/>
          <w:bCs w:val="0"/>
          <w:sz w:val="24"/>
          <w:szCs w:val="24"/>
          <w:highlight w:val="none"/>
        </w:rPr>
        <w:t>服务工作内容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协助服务</w:t>
      </w:r>
      <w:r>
        <w:rPr>
          <w:rFonts w:hint="eastAsia" w:ascii="宋体" w:hAnsi="宋体" w:eastAsia="宋体" w:cs="宋体"/>
          <w:b w:val="0"/>
          <w:bCs/>
          <w:sz w:val="24"/>
          <w:szCs w:val="24"/>
          <w:highlight w:val="none"/>
          <w:lang w:val="en-US" w:eastAsia="zh-CN"/>
        </w:rPr>
        <w:t>采购单位</w:t>
      </w:r>
      <w:r>
        <w:rPr>
          <w:rFonts w:hint="eastAsia" w:ascii="宋体" w:hAnsi="宋体" w:eastAsia="宋体" w:cs="宋体"/>
          <w:b w:val="0"/>
          <w:bCs/>
          <w:sz w:val="24"/>
          <w:szCs w:val="24"/>
          <w:highlight w:val="none"/>
        </w:rPr>
        <w:t>对辖区内重点监管企业进行入厂排查，对企业基本信息、环评及“三同时”落实情况、废水污染防治情况、废气污染防治情况、固废污染防治情况、排污许可执行情况以及其他环保要求落实情况进行调查，结合现行法律法规和环保管理要求，以及企业存在的环保问题提出整改建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配合</w:t>
      </w:r>
      <w:r>
        <w:rPr>
          <w:rFonts w:hint="eastAsia" w:ascii="宋体" w:hAnsi="宋体" w:eastAsia="宋体" w:cs="宋体"/>
          <w:b w:val="0"/>
          <w:bCs/>
          <w:sz w:val="24"/>
          <w:szCs w:val="24"/>
          <w:highlight w:val="none"/>
          <w:lang w:val="en-US" w:eastAsia="zh-CN"/>
        </w:rPr>
        <w:t>采购单位</w:t>
      </w:r>
      <w:r>
        <w:rPr>
          <w:rFonts w:hint="eastAsia" w:ascii="宋体" w:hAnsi="宋体" w:eastAsia="宋体" w:cs="宋体"/>
          <w:b w:val="0"/>
          <w:bCs/>
          <w:sz w:val="24"/>
          <w:szCs w:val="24"/>
          <w:highlight w:val="none"/>
        </w:rPr>
        <w:t>完成上级下达的专项环保行动任务，直到全年各专项环保行动任务完成并达标；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对于上级单位临时下达的企业环境整治工作或社会举报经查实后确定存在环保问题的企业，协助</w:t>
      </w:r>
      <w:r>
        <w:rPr>
          <w:rFonts w:hint="eastAsia" w:ascii="宋体" w:hAnsi="宋体" w:eastAsia="宋体" w:cs="宋体"/>
          <w:b w:val="0"/>
          <w:bCs/>
          <w:sz w:val="24"/>
          <w:szCs w:val="24"/>
          <w:highlight w:val="none"/>
          <w:lang w:val="en-US" w:eastAsia="zh-CN"/>
        </w:rPr>
        <w:t>采购单位</w:t>
      </w:r>
      <w:r>
        <w:rPr>
          <w:rFonts w:hint="eastAsia" w:ascii="宋体" w:hAnsi="宋体" w:eastAsia="宋体" w:cs="宋体"/>
          <w:b w:val="0"/>
          <w:bCs/>
          <w:sz w:val="24"/>
          <w:szCs w:val="24"/>
          <w:highlight w:val="none"/>
        </w:rPr>
        <w:t>开展对接、检查工作并提出整改意见、治理方案，配合</w:t>
      </w:r>
      <w:r>
        <w:rPr>
          <w:rFonts w:hint="eastAsia" w:ascii="宋体" w:hAnsi="宋体" w:eastAsia="宋体" w:cs="宋体"/>
          <w:b w:val="0"/>
          <w:bCs/>
          <w:sz w:val="24"/>
          <w:szCs w:val="24"/>
          <w:highlight w:val="none"/>
          <w:lang w:val="en-US" w:eastAsia="zh-CN"/>
        </w:rPr>
        <w:t>采购单位</w:t>
      </w:r>
      <w:r>
        <w:rPr>
          <w:rFonts w:hint="eastAsia" w:ascii="宋体" w:hAnsi="宋体" w:eastAsia="宋体" w:cs="宋体"/>
          <w:b w:val="0"/>
          <w:bCs/>
          <w:sz w:val="24"/>
          <w:szCs w:val="24"/>
          <w:highlight w:val="none"/>
        </w:rPr>
        <w:t>定期回访督查，直到环境整治工作完成或环保问题得到解决；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按照</w:t>
      </w:r>
      <w:r>
        <w:rPr>
          <w:rFonts w:hint="eastAsia" w:ascii="宋体" w:hAnsi="宋体" w:eastAsia="宋体" w:cs="宋体"/>
          <w:b w:val="0"/>
          <w:bCs/>
          <w:sz w:val="24"/>
          <w:szCs w:val="24"/>
          <w:highlight w:val="none"/>
          <w:lang w:val="en-US" w:eastAsia="zh-CN"/>
        </w:rPr>
        <w:t>采购单位</w:t>
      </w:r>
      <w:r>
        <w:rPr>
          <w:rFonts w:hint="eastAsia" w:ascii="宋体" w:hAnsi="宋体" w:eastAsia="宋体" w:cs="宋体"/>
          <w:b w:val="0"/>
          <w:bCs/>
          <w:sz w:val="24"/>
          <w:szCs w:val="24"/>
          <w:highlight w:val="none"/>
        </w:rPr>
        <w:t>的要求，完成对指定企业的环境检测工作</w:t>
      </w:r>
      <w:r>
        <w:rPr>
          <w:rFonts w:hint="eastAsia" w:ascii="宋体" w:hAnsi="宋体" w:eastAsia="宋体" w:cs="宋体"/>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kern w:val="0"/>
          <w:sz w:val="24"/>
          <w:szCs w:val="24"/>
          <w:highlight w:val="none"/>
          <w:lang w:val="zh-CN"/>
        </w:rPr>
      </w:pPr>
      <w:r>
        <w:rPr>
          <w:rFonts w:hint="eastAsia" w:ascii="宋体" w:hAnsi="宋体" w:eastAsia="宋体" w:cs="宋体"/>
          <w:b w:val="0"/>
          <w:bCs/>
          <w:sz w:val="24"/>
          <w:szCs w:val="24"/>
          <w:highlight w:val="none"/>
        </w:rPr>
        <w:t>5</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除上述工作外，国家、省、市、区等相关单位或部门要求执行的其他环保工作。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三、服务要求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成交供应商必须在接到采购</w:t>
      </w:r>
      <w:r>
        <w:rPr>
          <w:rFonts w:hint="eastAsia" w:ascii="宋体" w:hAnsi="宋体" w:eastAsia="宋体" w:cs="宋体"/>
          <w:b w:val="0"/>
          <w:bCs/>
          <w:color w:val="auto"/>
          <w:sz w:val="24"/>
          <w:szCs w:val="24"/>
          <w:highlight w:val="none"/>
          <w:lang w:val="en-US" w:eastAsia="zh-CN"/>
        </w:rPr>
        <w:t>单位</w:t>
      </w:r>
      <w:r>
        <w:rPr>
          <w:rFonts w:hint="eastAsia" w:ascii="宋体" w:hAnsi="宋体" w:eastAsia="宋体" w:cs="宋体"/>
          <w:b w:val="0"/>
          <w:bCs/>
          <w:color w:val="auto"/>
          <w:sz w:val="24"/>
          <w:szCs w:val="24"/>
          <w:highlight w:val="none"/>
        </w:rPr>
        <w:t>任务通知后两小时内予以响应并完成相关工作内容的对接，成交供应商不得以各种理由推脱、拒绝。成交供应商必须在</w:t>
      </w:r>
      <w:r>
        <w:rPr>
          <w:rFonts w:hint="eastAsia" w:ascii="宋体" w:hAnsi="宋体" w:eastAsia="宋体" w:cs="宋体"/>
          <w:b w:val="0"/>
          <w:bCs/>
          <w:color w:val="auto"/>
          <w:sz w:val="24"/>
          <w:szCs w:val="24"/>
          <w:highlight w:val="none"/>
          <w:lang w:val="en-US" w:eastAsia="zh-CN"/>
        </w:rPr>
        <w:t>采购单位</w:t>
      </w:r>
      <w:r>
        <w:rPr>
          <w:rFonts w:hint="eastAsia" w:ascii="宋体" w:hAnsi="宋体" w:eastAsia="宋体" w:cs="宋体"/>
          <w:b w:val="0"/>
          <w:bCs/>
          <w:color w:val="auto"/>
          <w:sz w:val="24"/>
          <w:szCs w:val="24"/>
          <w:highlight w:val="none"/>
        </w:rPr>
        <w:t>规定的时间内完成相关任务要求。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2.成交供应商应按照采购单位的要求按时保质保量开展入厂排查、提出整改建议、档案建设、咨询培训等各项工作，如供应商提供的服务不符合采购单位要求的，</w:t>
      </w:r>
      <w:r>
        <w:rPr>
          <w:rFonts w:hint="eastAsia" w:ascii="宋体" w:hAnsi="宋体" w:eastAsia="宋体" w:cs="宋体"/>
          <w:b w:val="0"/>
          <w:bCs/>
          <w:sz w:val="24"/>
          <w:szCs w:val="24"/>
          <w:highlight w:val="none"/>
          <w:lang w:val="en-US" w:eastAsia="zh-CN"/>
        </w:rPr>
        <w:t>供应商</w:t>
      </w:r>
      <w:r>
        <w:rPr>
          <w:rFonts w:hint="eastAsia" w:ascii="宋体" w:hAnsi="宋体" w:eastAsia="宋体" w:cs="宋体"/>
          <w:b w:val="0"/>
          <w:bCs/>
          <w:sz w:val="24"/>
          <w:szCs w:val="24"/>
          <w:highlight w:val="none"/>
          <w:lang w:val="en-US" w:eastAsia="zh-CN"/>
        </w:rPr>
        <w:t>应按照</w:t>
      </w:r>
      <w:r>
        <w:rPr>
          <w:rFonts w:hint="eastAsia" w:ascii="宋体" w:hAnsi="宋体" w:eastAsia="宋体" w:cs="宋体"/>
          <w:b w:val="0"/>
          <w:bCs/>
          <w:sz w:val="24"/>
          <w:szCs w:val="24"/>
          <w:highlight w:val="none"/>
          <w:lang w:val="en-US" w:eastAsia="zh-CN"/>
        </w:rPr>
        <w:t>采购单位</w:t>
      </w:r>
      <w:r>
        <w:rPr>
          <w:rFonts w:hint="eastAsia" w:ascii="宋体" w:hAnsi="宋体" w:eastAsia="宋体" w:cs="宋体"/>
          <w:b w:val="0"/>
          <w:bCs/>
          <w:sz w:val="24"/>
          <w:szCs w:val="24"/>
          <w:highlight w:val="none"/>
          <w:lang w:val="en-US" w:eastAsia="zh-CN"/>
        </w:rPr>
        <w:t>要求进行整改；如供应商拒绝整改或整改后仍不符合要求的，</w:t>
      </w:r>
      <w:r>
        <w:rPr>
          <w:rFonts w:hint="eastAsia" w:ascii="宋体" w:hAnsi="宋体" w:eastAsia="宋体" w:cs="宋体"/>
          <w:b w:val="0"/>
          <w:bCs/>
          <w:sz w:val="24"/>
          <w:szCs w:val="24"/>
          <w:highlight w:val="none"/>
          <w:lang w:val="en-US" w:eastAsia="zh-CN"/>
        </w:rPr>
        <w:t>采购单位</w:t>
      </w:r>
      <w:r>
        <w:rPr>
          <w:rFonts w:hint="eastAsia" w:ascii="宋体" w:hAnsi="宋体" w:eastAsia="宋体" w:cs="宋体"/>
          <w:b w:val="0"/>
          <w:bCs/>
          <w:sz w:val="24"/>
          <w:szCs w:val="24"/>
          <w:highlight w:val="none"/>
          <w:lang w:val="en-US" w:eastAsia="zh-CN"/>
        </w:rPr>
        <w:t>有权解除本合同、成交供应商缴纳的履约保证金不予退还。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成交供应商服务过程中对疑难问题、突发情况应能及时采取有效措施应对，进行真实、全面、准确，清晰、规范记录，服务全过程可追溯。服务成果应对污染治理或生态环境质量改善起到有效作用，并得到采购单位的认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4.成交供应商应维护环境服务领域的公平竞争和正当权益，诚实守信，公正廉洁，敬业进取，以高质量的专业服务成果和优质的专业服务素养，赢得信任与尊重。</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四</w:t>
      </w:r>
      <w:r>
        <w:rPr>
          <w:rFonts w:hint="eastAsia" w:ascii="宋体" w:hAnsi="宋体" w:eastAsia="宋体" w:cs="宋体"/>
          <w:b/>
          <w:bCs/>
          <w:kern w:val="0"/>
          <w:sz w:val="24"/>
          <w:szCs w:val="24"/>
        </w:rPr>
        <w:t>、付款方式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合同签订后，一周内支付合同价款的30%，6个月后支付合同价的40%，余款在服务期满，经采购单位考核能较好完成工作任务后一次性付清（不计利息）。成交供应商应在采购单位付款前分别向付款方开具相应金额的增值税专用发票，否则采购单位有权延迟付款。</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五</w:t>
      </w:r>
      <w:r>
        <w:rPr>
          <w:rFonts w:hint="eastAsia" w:ascii="宋体" w:hAnsi="宋体" w:eastAsia="宋体" w:cs="宋体"/>
          <w:b/>
          <w:bCs/>
          <w:kern w:val="0"/>
          <w:sz w:val="24"/>
          <w:szCs w:val="24"/>
        </w:rPr>
        <w:t>、其他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其他未尽事宜按磋商文件相关规定执行。如磋商文件或合同文件未提及，则由双方协商解决处理。</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FF0000"/>
          <w:kern w:val="0"/>
          <w:sz w:val="24"/>
          <w:szCs w:val="24"/>
        </w:rPr>
      </w:pPr>
      <w:r>
        <w:rPr>
          <w:rFonts w:hint="eastAsia" w:ascii="宋体" w:hAnsi="宋体" w:eastAsia="宋体" w:cs="宋体"/>
          <w:b/>
          <w:iCs/>
          <w:color w:val="000000"/>
          <w:w w:val="80"/>
          <w:sz w:val="44"/>
          <w:szCs w:val="44"/>
        </w:rPr>
        <w:br w:type="page"/>
      </w:r>
      <w:r>
        <w:rPr>
          <w:rFonts w:hint="eastAsia" w:ascii="宋体" w:hAnsi="宋体" w:eastAsia="宋体" w:cs="宋体"/>
          <w:b/>
          <w:iCs/>
          <w:color w:val="000000"/>
          <w:w w:val="80"/>
          <w:sz w:val="44"/>
          <w:szCs w:val="44"/>
        </w:rPr>
        <w:t xml:space="preserve">第四章  </w:t>
      </w:r>
      <w:bookmarkEnd w:id="70"/>
      <w:bookmarkEnd w:id="71"/>
      <w:bookmarkEnd w:id="72"/>
      <w:bookmarkEnd w:id="73"/>
      <w:bookmarkEnd w:id="74"/>
      <w:bookmarkEnd w:id="75"/>
      <w:bookmarkEnd w:id="76"/>
      <w:bookmarkEnd w:id="77"/>
      <w:bookmarkEnd w:id="78"/>
      <w:bookmarkEnd w:id="79"/>
      <w:bookmarkEnd w:id="80"/>
      <w:bookmarkStart w:id="82" w:name="_Toc85627670"/>
      <w:bookmarkStart w:id="83" w:name="_Toc38121794"/>
      <w:bookmarkStart w:id="84" w:name="_Toc43217893"/>
      <w:bookmarkStart w:id="85" w:name="_Toc182848996"/>
      <w:bookmarkStart w:id="86" w:name="_Toc37322565"/>
      <w:bookmarkStart w:id="87" w:name="_Toc11554642"/>
      <w:bookmarkStart w:id="88" w:name="_Toc94544873"/>
      <w:bookmarkStart w:id="89" w:name="_Toc11499587"/>
      <w:bookmarkStart w:id="90" w:name="_Toc94544747"/>
      <w:bookmarkStart w:id="91" w:name="_Toc8895742"/>
      <w:bookmarkStart w:id="92" w:name="_Toc11500283"/>
      <w:bookmarkStart w:id="93" w:name="_Toc12670506"/>
      <w:bookmarkStart w:id="94" w:name="_Toc13803484"/>
      <w:r>
        <w:rPr>
          <w:rFonts w:hint="eastAsia" w:ascii="宋体" w:hAnsi="宋体" w:eastAsia="宋体" w:cs="宋体"/>
          <w:b/>
          <w:iCs/>
          <w:color w:val="000000"/>
          <w:w w:val="80"/>
          <w:sz w:val="44"/>
          <w:szCs w:val="44"/>
        </w:rPr>
        <w:t>评审方法和程序</w:t>
      </w:r>
      <w:bookmarkEnd w:id="81"/>
    </w:p>
    <w:bookmarkEnd w:id="82"/>
    <w:bookmarkEnd w:id="83"/>
    <w:bookmarkEnd w:id="84"/>
    <w:bookmarkEnd w:id="85"/>
    <w:bookmarkEnd w:id="86"/>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sz w:val="24"/>
          <w:szCs w:val="24"/>
        </w:rPr>
      </w:pPr>
      <w:bookmarkStart w:id="95" w:name="_Toc363573857"/>
      <w:bookmarkEnd w:id="95"/>
      <w:r>
        <w:rPr>
          <w:rFonts w:hint="eastAsia" w:ascii="宋体" w:hAnsi="宋体" w:eastAsia="宋体" w:cs="宋体"/>
          <w:b/>
          <w:sz w:val="24"/>
          <w:szCs w:val="24"/>
        </w:rPr>
        <w:t>一、代理机构组织磋商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次竞争性磋商依据《中华人民共和国政府采购法》、《政府采购竞争性磋商采购方式管理暂行办法》及有关法规成立磋商小组。磋商小组由采购单位代表和评审专家共计3人及以上单数组成，其中评审专家人数不得少于磋商小组成员总数的2/3。</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2.磋商小组的职责：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（1）磋商小组成员应当按照客观、公正、审慎的原则，根据磋商文件规定的评审程序、评审方法和评审标准进行独立评审。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（2）磋商小组成员应当遵守评审工作纪律，不得泄露评审情况和评审中获悉的商业秘密，对个人的评审意见承担法律责任；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（3）磋商小组成员在评审过程中发现供应商有行贿、提供虚假材料或者串通等违法行为的，应当及时向财政部门报告。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（4）磋商小组成员在评审过程中受到非法干涉的，应及时向财政、监察等部门举报。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（5）配合采购单位答复供应商提出的质疑；配合财政部门的投诉处理和监督检查工作。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3.评审有关记录由磋商小组成员签名，存档备查。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4.供应商的法定代表人或被授权人须持身份证、法定代表人身份证明（或授权委托书）原件准时参加磋商会议。</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rPr>
        <w:t>二、磋商的原则及方法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2.磋商小组将按照磋商文件的规定，独立对每个进入打分程序的有效供应商的响应文件的技术部分以打分的形式进行评审和评价。技术分取算术平均值（计算结果均四舍五入保留两位小数）。</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6.在磋商过程中，磋商小组可以根据磋商文件和磋商情况实质性变动采购需求中的技术、服务要求以及合同草案条款，但不得变动磋商文件中的其他内容。实质性变动的内容，须经采购单位代表确认。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经磋商确定最终采购需求和提交最后报价的供应商：磋商文件能够详细列明采购标的的技术、服务要求的，磋商结束后，磋商小组应当要求所有实质性响应的供应商在规定时间内提交最后报价，提交最后报价的供应商不得少于3家（本章第二条第11款除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bdr w:val="single" w:color="auto" w:sz="4" w:space="0"/>
          <w:shd w:val="pct10" w:color="auto" w:fill="FFFFFF"/>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.除非在磋商中磋商小组对采购单位需求内容作了调整增加，或对采购内容作了实质性变更，否则</w:t>
      </w:r>
      <w:r>
        <w:rPr>
          <w:rFonts w:hint="eastAsia" w:ascii="宋体" w:hAnsi="宋体" w:eastAsia="宋体" w:cs="宋体"/>
          <w:b/>
          <w:sz w:val="24"/>
          <w:szCs w:val="24"/>
        </w:rPr>
        <w:t>采购单位不接受供应商高于自己前一轮的磋商报价</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.对于在磋商顺利开始后至最终报价前，根据磋商情况退出磋商的供应商，须以书面形式说明退出磋商的原因，经磋商小组同意可以退出磋商。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.在磋商中，磋商的任何一方不得透露与磋商有关的其他响应磋商的供应商的技术资料、价格及其他信息。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.凡两家或以上公司同一法人代表或其中一家公司为另一家公司单一最大股东的，不能同时参与同一采购项目相同标段的磋商采购活动，一经发现，将视同串标处理。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磋商响应处理。</w:t>
      </w:r>
    </w:p>
    <w:p>
      <w:pPr>
        <w:pStyle w:val="50"/>
        <w:keepNext w:val="0"/>
        <w:keepLines w:val="0"/>
        <w:pageBreakBefore w:val="0"/>
        <w:widowControl w:val="0"/>
        <w:kinsoku/>
        <w:wordWrap/>
        <w:overflowPunct/>
        <w:topLinePunct w:val="0"/>
        <w:autoSpaceDE/>
        <w:autoSpaceDN/>
        <w:bidi w:val="0"/>
        <w:adjustRightInd/>
        <w:spacing w:after="0" w:afterLines="0"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商务报价磋商响应评审内容包括分析总报价（首次）及各个分项报价是否合理，报价范围是否完整，有无重大错漏项及是否完全符合商务付款方式要求。如果供应商的响应报价中有漏项，且漏项构成未实质性响应磋商文件要求的，按无效磋商处理。</w:t>
      </w:r>
    </w:p>
    <w:p>
      <w:pPr>
        <w:pStyle w:val="50"/>
        <w:keepNext w:val="0"/>
        <w:keepLines w:val="0"/>
        <w:pageBreakBefore w:val="0"/>
        <w:widowControl w:val="0"/>
        <w:kinsoku/>
        <w:wordWrap/>
        <w:overflowPunct/>
        <w:topLinePunct w:val="0"/>
        <w:autoSpaceDE/>
        <w:autoSpaceDN/>
        <w:bidi w:val="0"/>
        <w:adjustRightInd/>
        <w:spacing w:after="0" w:afterLines="0"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供应商的磋商响应报价未完全响应商务付款方式要求，则按无效磋商处理。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三、评审步骤</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1.评审步骤规定：</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本次资格审查采用资格后审，各</w:t>
      </w: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lang w:val="zh-CN"/>
        </w:rPr>
        <w:t>资格审查通过后方能进入技术标的开标。先开技术标，技术标打分结束后再开商务标。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第一阶段：</w:t>
      </w:r>
      <w:r>
        <w:rPr>
          <w:rFonts w:hint="eastAsia" w:ascii="宋体" w:hAnsi="宋体" w:eastAsia="宋体" w:cs="宋体"/>
          <w:sz w:val="24"/>
          <w:szCs w:val="24"/>
        </w:rPr>
        <w:t>磋商小组</w:t>
      </w:r>
      <w:r>
        <w:rPr>
          <w:rFonts w:hint="eastAsia" w:ascii="宋体" w:hAnsi="宋体" w:eastAsia="宋体" w:cs="宋体"/>
          <w:sz w:val="24"/>
          <w:szCs w:val="24"/>
          <w:lang w:val="zh-CN"/>
        </w:rPr>
        <w:t>对每个供应商的资格进行审查。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第二阶段：</w:t>
      </w:r>
      <w:r>
        <w:rPr>
          <w:rFonts w:hint="eastAsia" w:ascii="宋体" w:hAnsi="宋体" w:eastAsia="宋体" w:cs="宋体"/>
          <w:sz w:val="24"/>
          <w:szCs w:val="24"/>
        </w:rPr>
        <w:t>磋商小组</w:t>
      </w:r>
      <w:r>
        <w:rPr>
          <w:rFonts w:hint="eastAsia" w:ascii="宋体" w:hAnsi="宋体" w:eastAsia="宋体" w:cs="宋体"/>
          <w:sz w:val="24"/>
          <w:szCs w:val="24"/>
          <w:lang w:val="zh-CN"/>
        </w:rPr>
        <w:t>对每个符合资格要求的供应商的技术标进行</w:t>
      </w:r>
      <w:r>
        <w:rPr>
          <w:rFonts w:hint="eastAsia" w:ascii="宋体" w:hAnsi="宋体" w:eastAsia="宋体" w:cs="宋体"/>
          <w:sz w:val="24"/>
          <w:szCs w:val="24"/>
        </w:rPr>
        <w:t>评审</w:t>
      </w:r>
      <w:r>
        <w:rPr>
          <w:rFonts w:hint="eastAsia" w:ascii="宋体" w:hAnsi="宋体" w:eastAsia="宋体" w:cs="宋体"/>
          <w:sz w:val="24"/>
          <w:szCs w:val="24"/>
          <w:lang w:val="zh-CN"/>
        </w:rPr>
        <w:t>。主要审查技术标提交的内容是否齐全，技术方案及项目实施是否完全满足采购文件的要求。</w:t>
      </w:r>
      <w:r>
        <w:rPr>
          <w:rFonts w:hint="eastAsia" w:ascii="宋体" w:hAnsi="宋体" w:eastAsia="宋体" w:cs="宋体"/>
          <w:sz w:val="24"/>
          <w:szCs w:val="24"/>
        </w:rPr>
        <w:t>磋商小组严格按照磋商文件的要求、条件、评分标准，对</w:t>
      </w:r>
      <w:r>
        <w:rPr>
          <w:rFonts w:hint="eastAsia" w:ascii="宋体" w:hAnsi="宋体" w:eastAsia="宋体" w:cs="宋体"/>
          <w:sz w:val="24"/>
          <w:szCs w:val="24"/>
          <w:lang w:val="en-US" w:eastAsia="zh-CN"/>
        </w:rPr>
        <w:t>供应商</w:t>
      </w:r>
      <w:r>
        <w:rPr>
          <w:rFonts w:hint="eastAsia" w:ascii="宋体" w:hAnsi="宋体" w:eastAsia="宋体" w:cs="宋体"/>
          <w:sz w:val="24"/>
          <w:szCs w:val="24"/>
        </w:rPr>
        <w:t>所提供货物或服务的先进性、可靠性、售后服务承诺、质量保证承诺等实质性响应内容进行比较。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第三阶段：以</w:t>
      </w:r>
      <w:r>
        <w:rPr>
          <w:rFonts w:hint="eastAsia" w:ascii="宋体" w:hAnsi="宋体" w:eastAsia="宋体" w:cs="宋体"/>
          <w:sz w:val="24"/>
          <w:szCs w:val="24"/>
        </w:rPr>
        <w:t>投标</w:t>
      </w:r>
      <w:r>
        <w:rPr>
          <w:rFonts w:hint="eastAsia" w:ascii="宋体" w:hAnsi="宋体" w:eastAsia="宋体" w:cs="宋体"/>
          <w:sz w:val="24"/>
          <w:szCs w:val="24"/>
          <w:lang w:val="zh-CN"/>
        </w:rPr>
        <w:t>供应商价格标文件内的</w:t>
      </w:r>
      <w:r>
        <w:rPr>
          <w:rFonts w:hint="eastAsia" w:ascii="宋体" w:hAnsi="宋体" w:eastAsia="宋体" w:cs="宋体"/>
          <w:sz w:val="24"/>
          <w:szCs w:val="24"/>
        </w:rPr>
        <w:t>竞争性磋商</w:t>
      </w:r>
      <w:r>
        <w:rPr>
          <w:rFonts w:hint="eastAsia" w:ascii="宋体" w:hAnsi="宋体" w:eastAsia="宋体" w:cs="宋体"/>
          <w:sz w:val="24"/>
          <w:szCs w:val="24"/>
          <w:lang w:val="zh-CN"/>
        </w:rPr>
        <w:t>报价（即首次报价）为基础，</w:t>
      </w:r>
      <w:r>
        <w:rPr>
          <w:rFonts w:hint="eastAsia" w:ascii="宋体" w:hAnsi="宋体" w:eastAsia="宋体" w:cs="宋体"/>
          <w:sz w:val="24"/>
          <w:szCs w:val="24"/>
        </w:rPr>
        <w:t>磋商小组与投标</w:t>
      </w:r>
      <w:r>
        <w:rPr>
          <w:rFonts w:hint="eastAsia" w:ascii="宋体" w:hAnsi="宋体" w:eastAsia="宋体" w:cs="宋体"/>
          <w:sz w:val="24"/>
          <w:szCs w:val="24"/>
          <w:lang w:val="zh-CN"/>
        </w:rPr>
        <w:t>供应商单一分别进行</w:t>
      </w:r>
      <w:r>
        <w:rPr>
          <w:rFonts w:hint="eastAsia" w:ascii="宋体" w:hAnsi="宋体" w:eastAsia="宋体" w:cs="宋体"/>
          <w:sz w:val="24"/>
          <w:szCs w:val="24"/>
        </w:rPr>
        <w:t>磋商</w:t>
      </w:r>
      <w:r>
        <w:rPr>
          <w:rFonts w:hint="eastAsia" w:ascii="宋体" w:hAnsi="宋体" w:eastAsia="宋体" w:cs="宋体"/>
          <w:sz w:val="24"/>
          <w:szCs w:val="24"/>
          <w:lang w:val="zh-CN"/>
        </w:rPr>
        <w:t>：内容主要是对</w:t>
      </w:r>
      <w:r>
        <w:rPr>
          <w:rFonts w:hint="eastAsia" w:ascii="宋体" w:hAnsi="宋体" w:eastAsia="宋体" w:cs="宋体"/>
          <w:sz w:val="24"/>
          <w:szCs w:val="24"/>
        </w:rPr>
        <w:t>竞争性磋商</w:t>
      </w:r>
      <w:r>
        <w:rPr>
          <w:rFonts w:hint="eastAsia" w:ascii="宋体" w:hAnsi="宋体" w:eastAsia="宋体" w:cs="宋体"/>
          <w:sz w:val="24"/>
          <w:szCs w:val="24"/>
          <w:lang w:val="zh-CN"/>
        </w:rPr>
        <w:t>响应文件中的项目方案的澄清、修正、补充、确认以及价格调整等。</w:t>
      </w:r>
      <w:r>
        <w:rPr>
          <w:rFonts w:hint="eastAsia" w:ascii="宋体" w:hAnsi="宋体" w:eastAsia="宋体" w:cs="宋体"/>
          <w:sz w:val="24"/>
          <w:szCs w:val="24"/>
        </w:rPr>
        <w:t>磋商</w:t>
      </w:r>
      <w:r>
        <w:rPr>
          <w:rFonts w:hint="eastAsia" w:ascii="宋体" w:hAnsi="宋体" w:eastAsia="宋体" w:cs="宋体"/>
          <w:sz w:val="24"/>
          <w:szCs w:val="24"/>
          <w:lang w:val="zh-CN"/>
        </w:rPr>
        <w:t>明确各供应商符合并满足</w:t>
      </w:r>
      <w:r>
        <w:rPr>
          <w:rFonts w:hint="eastAsia" w:ascii="宋体" w:hAnsi="宋体" w:eastAsia="宋体" w:cs="宋体"/>
          <w:sz w:val="24"/>
          <w:szCs w:val="24"/>
        </w:rPr>
        <w:t>磋商</w:t>
      </w:r>
      <w:r>
        <w:rPr>
          <w:rFonts w:hint="eastAsia" w:ascii="宋体" w:hAnsi="宋体" w:eastAsia="宋体" w:cs="宋体"/>
          <w:sz w:val="24"/>
          <w:szCs w:val="24"/>
          <w:lang w:val="zh-CN"/>
        </w:rPr>
        <w:t>文件要求，并能完全响应</w:t>
      </w:r>
      <w:r>
        <w:rPr>
          <w:rFonts w:hint="eastAsia" w:ascii="宋体" w:hAnsi="宋体" w:eastAsia="宋体" w:cs="宋体"/>
          <w:sz w:val="24"/>
          <w:szCs w:val="24"/>
        </w:rPr>
        <w:t>磋商</w:t>
      </w:r>
      <w:r>
        <w:rPr>
          <w:rFonts w:hint="eastAsia" w:ascii="宋体" w:hAnsi="宋体" w:eastAsia="宋体" w:cs="宋体"/>
          <w:sz w:val="24"/>
          <w:szCs w:val="24"/>
          <w:lang w:val="zh-CN"/>
        </w:rPr>
        <w:t>内容后，要求其二次报价。如</w:t>
      </w:r>
      <w:r>
        <w:rPr>
          <w:rFonts w:hint="eastAsia" w:ascii="宋体" w:hAnsi="宋体" w:eastAsia="宋体" w:cs="宋体"/>
          <w:sz w:val="24"/>
          <w:szCs w:val="24"/>
        </w:rPr>
        <w:t>磋商</w:t>
      </w:r>
      <w:r>
        <w:rPr>
          <w:rFonts w:hint="eastAsia" w:ascii="宋体" w:hAnsi="宋体" w:eastAsia="宋体" w:cs="宋体"/>
          <w:sz w:val="24"/>
          <w:szCs w:val="24"/>
          <w:lang w:val="zh-CN"/>
        </w:rPr>
        <w:t>内容导致</w:t>
      </w:r>
      <w:r>
        <w:rPr>
          <w:rFonts w:hint="eastAsia" w:ascii="宋体" w:hAnsi="宋体" w:eastAsia="宋体" w:cs="宋体"/>
          <w:sz w:val="24"/>
          <w:szCs w:val="24"/>
        </w:rPr>
        <w:t>竞争性磋商</w:t>
      </w:r>
      <w:r>
        <w:rPr>
          <w:rFonts w:hint="eastAsia" w:ascii="宋体" w:hAnsi="宋体" w:eastAsia="宋体" w:cs="宋体"/>
          <w:sz w:val="24"/>
          <w:szCs w:val="24"/>
          <w:lang w:val="zh-CN"/>
        </w:rPr>
        <w:t>文件有实质性变动的，</w:t>
      </w:r>
      <w:r>
        <w:rPr>
          <w:rFonts w:hint="eastAsia" w:ascii="宋体" w:hAnsi="宋体" w:eastAsia="宋体" w:cs="宋体"/>
          <w:sz w:val="24"/>
          <w:szCs w:val="24"/>
        </w:rPr>
        <w:t>磋商小组</w:t>
      </w:r>
      <w:r>
        <w:rPr>
          <w:rFonts w:hint="eastAsia" w:ascii="宋体" w:hAnsi="宋体" w:eastAsia="宋体" w:cs="宋体"/>
          <w:sz w:val="24"/>
          <w:szCs w:val="24"/>
          <w:lang w:val="zh-CN"/>
        </w:rPr>
        <w:t>应当以书面形式通知所有供应商。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第四阶段：单一分别</w:t>
      </w:r>
      <w:r>
        <w:rPr>
          <w:rFonts w:hint="eastAsia" w:ascii="宋体" w:hAnsi="宋体" w:eastAsia="宋体" w:cs="宋体"/>
          <w:sz w:val="24"/>
          <w:szCs w:val="24"/>
        </w:rPr>
        <w:t>磋商</w:t>
      </w:r>
      <w:r>
        <w:rPr>
          <w:rFonts w:hint="eastAsia" w:ascii="宋体" w:hAnsi="宋体" w:eastAsia="宋体" w:cs="宋体"/>
          <w:sz w:val="24"/>
          <w:szCs w:val="24"/>
          <w:lang w:val="zh-CN"/>
        </w:rPr>
        <w:t>结束后，</w:t>
      </w:r>
      <w:r>
        <w:rPr>
          <w:rFonts w:hint="eastAsia" w:ascii="宋体" w:hAnsi="宋体" w:eastAsia="宋体" w:cs="宋体"/>
          <w:sz w:val="24"/>
          <w:szCs w:val="24"/>
        </w:rPr>
        <w:t>磋商小组</w:t>
      </w:r>
      <w:r>
        <w:rPr>
          <w:rFonts w:hint="eastAsia" w:ascii="宋体" w:hAnsi="宋体" w:eastAsia="宋体" w:cs="宋体"/>
          <w:sz w:val="24"/>
          <w:szCs w:val="24"/>
          <w:lang w:val="zh-CN"/>
        </w:rPr>
        <w:t>告知所有供应商的项目二次报价，并要求所有作出实质性响应的有效供应商在规定的时间内，在</w:t>
      </w:r>
      <w:r>
        <w:rPr>
          <w:rFonts w:hint="eastAsia" w:ascii="宋体" w:hAnsi="宋体" w:eastAsia="宋体" w:cs="宋体"/>
          <w:sz w:val="24"/>
          <w:szCs w:val="24"/>
        </w:rPr>
        <w:t>磋商</w:t>
      </w:r>
      <w:r>
        <w:rPr>
          <w:rFonts w:hint="eastAsia" w:ascii="宋体" w:hAnsi="宋体" w:eastAsia="宋体" w:cs="宋体"/>
          <w:sz w:val="24"/>
          <w:szCs w:val="24"/>
          <w:lang w:val="zh-CN"/>
        </w:rPr>
        <w:t>现场集体给出最终报价，同时最终报价中可包括但不限于如最终澄清方案、有关优惠承诺等。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第五阶段：</w:t>
      </w:r>
      <w:r>
        <w:rPr>
          <w:rFonts w:hint="eastAsia" w:ascii="宋体" w:hAnsi="宋体" w:eastAsia="宋体" w:cs="宋体"/>
          <w:sz w:val="24"/>
          <w:szCs w:val="24"/>
        </w:rPr>
        <w:t>磋商小组</w:t>
      </w:r>
      <w:r>
        <w:rPr>
          <w:rFonts w:hint="eastAsia" w:ascii="宋体" w:hAnsi="宋体" w:eastAsia="宋体" w:cs="宋体"/>
          <w:sz w:val="24"/>
          <w:szCs w:val="24"/>
          <w:lang w:val="zh-CN"/>
        </w:rPr>
        <w:t>对供应商的最终报价进行评议和比较，在实质性响应</w:t>
      </w:r>
      <w:r>
        <w:rPr>
          <w:rFonts w:hint="eastAsia" w:ascii="宋体" w:hAnsi="宋体" w:eastAsia="宋体" w:cs="宋体"/>
          <w:sz w:val="24"/>
          <w:szCs w:val="24"/>
        </w:rPr>
        <w:t>竞争性磋商</w:t>
      </w:r>
      <w:r>
        <w:rPr>
          <w:rFonts w:hint="eastAsia" w:ascii="宋体" w:hAnsi="宋体" w:eastAsia="宋体" w:cs="宋体"/>
          <w:sz w:val="24"/>
          <w:szCs w:val="24"/>
          <w:lang w:val="zh-CN"/>
        </w:rPr>
        <w:t>文件，技术标和价格标部分都能满足</w:t>
      </w:r>
      <w:r>
        <w:rPr>
          <w:rFonts w:hint="eastAsia" w:ascii="宋体" w:hAnsi="宋体" w:eastAsia="宋体" w:cs="宋体"/>
          <w:sz w:val="24"/>
          <w:szCs w:val="24"/>
        </w:rPr>
        <w:t>竞争性磋商</w:t>
      </w:r>
      <w:r>
        <w:rPr>
          <w:rFonts w:hint="eastAsia" w:ascii="宋体" w:hAnsi="宋体" w:eastAsia="宋体" w:cs="宋体"/>
          <w:sz w:val="24"/>
          <w:szCs w:val="24"/>
          <w:lang w:val="zh-CN"/>
        </w:rPr>
        <w:t>文件的前提下，</w:t>
      </w:r>
      <w:r>
        <w:rPr>
          <w:rFonts w:hint="eastAsia" w:ascii="宋体" w:hAnsi="宋体" w:eastAsia="宋体" w:cs="宋体"/>
          <w:sz w:val="24"/>
          <w:szCs w:val="24"/>
        </w:rPr>
        <w:t>磋商小组</w:t>
      </w:r>
      <w:r>
        <w:rPr>
          <w:rFonts w:hint="eastAsia" w:ascii="宋体" w:hAnsi="宋体" w:eastAsia="宋体" w:cs="宋体"/>
          <w:sz w:val="24"/>
          <w:szCs w:val="24"/>
          <w:lang w:val="zh-CN"/>
        </w:rPr>
        <w:t>将校核后的各供应商的报价从低到高排序。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2.在</w:t>
      </w:r>
      <w:r>
        <w:rPr>
          <w:rFonts w:hint="eastAsia" w:ascii="宋体" w:hAnsi="宋体" w:eastAsia="宋体" w:cs="宋体"/>
          <w:sz w:val="24"/>
          <w:szCs w:val="24"/>
        </w:rPr>
        <w:t>磋商</w:t>
      </w:r>
      <w:r>
        <w:rPr>
          <w:rFonts w:hint="eastAsia" w:ascii="宋体" w:hAnsi="宋体" w:eastAsia="宋体" w:cs="宋体"/>
          <w:sz w:val="24"/>
          <w:szCs w:val="24"/>
          <w:lang w:val="zh-CN"/>
        </w:rPr>
        <w:t>过程中，供应商提交的澄清文件和最终报价文件，由供应商法定代表人或被授权人签字盖章后生效，供应商受其约束。</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、磋商评定结果的方法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u w:val="single"/>
        </w:rPr>
        <w:t>经磋商确定最终采购需求和提交最后报价的供应商后，</w:t>
      </w:r>
      <w:r>
        <w:rPr>
          <w:rFonts w:hint="eastAsia" w:ascii="宋体" w:hAnsi="宋体" w:eastAsia="宋体" w:cs="宋体"/>
          <w:sz w:val="24"/>
          <w:szCs w:val="24"/>
        </w:rPr>
        <w:t>由磋商小组采用综合评分法</w:t>
      </w:r>
      <w:r>
        <w:rPr>
          <w:rFonts w:hint="eastAsia" w:ascii="宋体" w:hAnsi="宋体" w:eastAsia="宋体" w:cs="宋体"/>
          <w:b/>
          <w:sz w:val="24"/>
          <w:szCs w:val="24"/>
          <w:u w:val="single"/>
        </w:rPr>
        <w:t>对提交最后报价的供应商的响应文件和最后报价</w:t>
      </w:r>
      <w:r>
        <w:rPr>
          <w:rFonts w:hint="eastAsia" w:ascii="宋体" w:hAnsi="宋体" w:eastAsia="宋体" w:cs="宋体"/>
          <w:sz w:val="24"/>
          <w:szCs w:val="24"/>
        </w:rPr>
        <w:t>进行综合评分。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2.评审时，磋商小组各成员应当独立对每个有效响应的文件进行评价、打分，然后汇总每个供应商每项评分因素的得分（计算结果均四舍五入保留两位小数）。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 xml:space="preserve">3.本次项目磋商的技术和商务报价评审总分值为100分。两部分评审因素比重如下：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技术分值占总分值的比重为</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7</w:t>
      </w:r>
      <w:r>
        <w:rPr>
          <w:rFonts w:hint="eastAsia" w:ascii="宋体" w:hAnsi="宋体" w:eastAsia="宋体" w:cs="宋体"/>
          <w:b/>
          <w:sz w:val="24"/>
          <w:szCs w:val="24"/>
          <w:highlight w:val="none"/>
          <w:u w:val="single"/>
        </w:rPr>
        <w:t>0%（权重）</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sz w:val="24"/>
          <w:szCs w:val="24"/>
          <w:highlight w:val="none"/>
        </w:rPr>
        <w:t>（四舍五入保留两位小数）；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商务报价分值占总分值的比重为</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3</w:t>
      </w:r>
      <w:r>
        <w:rPr>
          <w:rFonts w:hint="eastAsia" w:ascii="宋体" w:hAnsi="宋体" w:eastAsia="宋体" w:cs="宋体"/>
          <w:b/>
          <w:sz w:val="24"/>
          <w:szCs w:val="24"/>
          <w:highlight w:val="none"/>
          <w:u w:val="single"/>
        </w:rPr>
        <w:t xml:space="preserve">0%（权重） </w:t>
      </w:r>
      <w:r>
        <w:rPr>
          <w:rFonts w:hint="eastAsia" w:ascii="宋体" w:hAnsi="宋体" w:eastAsia="宋体" w:cs="宋体"/>
          <w:sz w:val="24"/>
          <w:szCs w:val="24"/>
          <w:highlight w:val="none"/>
        </w:rPr>
        <w:t>（四舍五入保留两位小数）。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4.技术分按算术平均值计算，分值四舍五入保留两位小数。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5.商务报价分统一采用低价优先法计算直接取得，与技术分相加</w:t>
      </w:r>
      <w:r>
        <w:rPr>
          <w:rFonts w:hint="eastAsia" w:ascii="宋体" w:hAnsi="宋体" w:eastAsia="宋体" w:cs="宋体"/>
          <w:sz w:val="24"/>
          <w:szCs w:val="24"/>
        </w:rPr>
        <w:t>为供应商的综合得分（四舍五入保留两位小数）。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6.各标段综合得分最高的供应商推荐为该标段项目预成交供应商并出具评审磋商报告。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 xml:space="preserve">7.确定成交候选人的特殊情况处理：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（1）若总分相同，则按最终报价响应得分高者优先成交。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（2）若总分且最终报价响应得分相同，则采取现场抽签的方式确定（供应商的抽签顺序分别为各供应商递交响应文件签到顺序号）。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8.磋商评审时，评委对评审的细则若有争议，由磋商小组集体讨论确定，并对未尽情况有最终解释权。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9.对落标的供应商不做落标原因的解释。</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、综合评分评审标准</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rPr>
        <w:t>（一）技术标得分：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70</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rPr>
      </w:pPr>
      <w:r>
        <w:rPr>
          <w:rFonts w:hint="eastAsia" w:ascii="宋体" w:hAnsi="宋体" w:eastAsia="宋体" w:cs="宋体"/>
          <w:sz w:val="24"/>
          <w:szCs w:val="24"/>
        </w:rPr>
        <w:t>各供应商得分为评委会成员评分的算术平均分，分值保留小数点后两位。</w:t>
      </w:r>
    </w:p>
    <w:tbl>
      <w:tblPr>
        <w:tblStyle w:val="51"/>
        <w:tblW w:w="1017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28"/>
        <w:gridCol w:w="1563"/>
        <w:gridCol w:w="990"/>
        <w:gridCol w:w="67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6" w:hRule="atLeast"/>
          <w:jc w:val="center"/>
        </w:trPr>
        <w:tc>
          <w:tcPr>
            <w:tcW w:w="8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38" w:lineRule="atLeast"/>
              <w:jc w:val="left"/>
              <w:rPr>
                <w:rFonts w:hint="eastAsia" w:ascii="宋体" w:hAnsi="宋体" w:eastAsia="宋体" w:cs="宋体"/>
                <w:kern w:val="0"/>
                <w:sz w:val="24"/>
                <w:szCs w:val="24"/>
              </w:rPr>
            </w:pPr>
            <w:r>
              <w:rPr>
                <w:rFonts w:hint="eastAsia" w:ascii="宋体" w:hAnsi="宋体" w:eastAsia="宋体" w:cs="宋体"/>
                <w:b/>
                <w:bCs/>
                <w:kern w:val="0"/>
                <w:sz w:val="24"/>
                <w:szCs w:val="24"/>
              </w:rPr>
              <w:t>序号</w:t>
            </w:r>
          </w:p>
        </w:tc>
        <w:tc>
          <w:tcPr>
            <w:tcW w:w="15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38" w:lineRule="atLeast"/>
              <w:jc w:val="center"/>
              <w:rPr>
                <w:rFonts w:hint="eastAsia" w:ascii="宋体" w:hAnsi="宋体" w:eastAsia="宋体" w:cs="宋体"/>
                <w:kern w:val="0"/>
                <w:sz w:val="24"/>
                <w:szCs w:val="24"/>
              </w:rPr>
            </w:pPr>
            <w:r>
              <w:rPr>
                <w:rFonts w:hint="eastAsia" w:ascii="宋体" w:hAnsi="宋体" w:eastAsia="宋体" w:cs="宋体"/>
                <w:b/>
                <w:bCs/>
                <w:kern w:val="0"/>
                <w:sz w:val="24"/>
                <w:szCs w:val="24"/>
              </w:rPr>
              <w:t>评分因素</w:t>
            </w:r>
          </w:p>
        </w:tc>
        <w:tc>
          <w:tcPr>
            <w:tcW w:w="9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38" w:lineRule="atLeast"/>
              <w:jc w:val="center"/>
              <w:rPr>
                <w:rFonts w:hint="eastAsia" w:ascii="宋体" w:hAnsi="宋体" w:eastAsia="宋体" w:cs="宋体"/>
                <w:kern w:val="0"/>
                <w:sz w:val="24"/>
                <w:szCs w:val="24"/>
              </w:rPr>
            </w:pPr>
            <w:r>
              <w:rPr>
                <w:rFonts w:hint="eastAsia" w:ascii="宋体" w:hAnsi="宋体" w:eastAsia="宋体" w:cs="宋体"/>
                <w:b/>
                <w:bCs/>
                <w:kern w:val="0"/>
                <w:sz w:val="24"/>
                <w:szCs w:val="24"/>
              </w:rPr>
              <w:t>分值</w:t>
            </w:r>
          </w:p>
        </w:tc>
        <w:tc>
          <w:tcPr>
            <w:tcW w:w="67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38" w:lineRule="atLeast"/>
              <w:jc w:val="center"/>
              <w:rPr>
                <w:rFonts w:hint="eastAsia" w:ascii="宋体" w:hAnsi="宋体" w:eastAsia="宋体" w:cs="宋体"/>
                <w:kern w:val="0"/>
                <w:sz w:val="24"/>
                <w:szCs w:val="24"/>
              </w:rPr>
            </w:pPr>
            <w:r>
              <w:rPr>
                <w:rFonts w:hint="eastAsia" w:ascii="宋体" w:hAnsi="宋体" w:eastAsia="宋体" w:cs="宋体"/>
                <w:b/>
                <w:bCs/>
                <w:kern w:val="0"/>
                <w:sz w:val="24"/>
                <w:szCs w:val="24"/>
              </w:rPr>
              <w:t>评分标准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8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5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供应商实力</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9分）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9分</w:t>
            </w:r>
          </w:p>
        </w:tc>
        <w:tc>
          <w:tcPr>
            <w:tcW w:w="6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（1）供应商具有质量管理体系认证、环境管理体系认证、职业健康安全管理体系认证证书的，每有一个得1分，最高得3分。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（2）供应商具有信用评级报告，等级为AAA级的得3分，AA级的得2分，A级的得1分，没有的不得分。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（3）企业获得省级及以上高新技术企业称号的得3分，没有的不得分。</w:t>
            </w:r>
          </w:p>
          <w:p>
            <w:pPr>
              <w:widowControl/>
              <w:spacing w:line="320" w:lineRule="exact"/>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以上内容须</w:t>
            </w:r>
            <w:r>
              <w:rPr>
                <w:rFonts w:hint="eastAsia" w:ascii="宋体" w:hAnsi="宋体" w:eastAsia="宋体" w:cs="宋体"/>
                <w:color w:val="auto"/>
                <w:kern w:val="0"/>
                <w:sz w:val="24"/>
                <w:szCs w:val="24"/>
              </w:rPr>
              <w:t>提供证书复印件或扫描件并加盖公章。</w:t>
            </w:r>
            <w:r>
              <w:rPr>
                <w:rFonts w:hint="eastAsia" w:ascii="宋体" w:hAnsi="宋体" w:eastAsia="宋体" w:cs="宋体"/>
                <w:color w:val="auto"/>
                <w:kern w:val="0"/>
                <w:sz w:val="24"/>
                <w:szCs w:val="24"/>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6" w:hRule="atLeast"/>
          <w:jc w:val="center"/>
        </w:trPr>
        <w:tc>
          <w:tcPr>
            <w:tcW w:w="828"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56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投标供应商相关技术能力</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10分）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6分</w:t>
            </w:r>
          </w:p>
        </w:tc>
        <w:tc>
          <w:tcPr>
            <w:tcW w:w="6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1.1</w:t>
            </w:r>
            <w:r>
              <w:rPr>
                <w:rFonts w:hint="eastAsia" w:ascii="宋体" w:hAnsi="宋体" w:eastAsia="宋体" w:cs="宋体"/>
                <w:i w:val="0"/>
                <w:iCs w:val="0"/>
                <w:color w:val="auto"/>
                <w:kern w:val="0"/>
                <w:sz w:val="24"/>
                <w:szCs w:val="24"/>
                <w:u w:val="none"/>
                <w:lang w:val="en-US" w:eastAsia="zh-CN" w:bidi="ar"/>
              </w:rPr>
              <w:t>供应商自有检测的实验室，且该机构具备检验检测机构计量认证（CMA）资质并具备水、气、声、固废检测能力，得</w:t>
            </w:r>
            <w:r>
              <w:rPr>
                <w:rFonts w:hint="eastAsia" w:ascii="宋体" w:hAnsi="宋体"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分。（提供资质证书及检测能力证明材料复印件并加盖公章，未提供或缺项均不得分）。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1.2</w:t>
            </w:r>
            <w:r>
              <w:rPr>
                <w:rFonts w:hint="eastAsia" w:ascii="宋体" w:hAnsi="宋体" w:eastAsia="宋体" w:cs="宋体"/>
                <w:i w:val="0"/>
                <w:iCs w:val="0"/>
                <w:color w:val="auto"/>
                <w:kern w:val="0"/>
                <w:sz w:val="24"/>
                <w:szCs w:val="24"/>
                <w:u w:val="none"/>
                <w:lang w:val="en-US" w:eastAsia="zh-CN" w:bidi="ar"/>
              </w:rPr>
              <w:t>供应商自</w:t>
            </w:r>
            <w:r>
              <w:rPr>
                <w:rFonts w:hint="eastAsia" w:ascii="宋体" w:hAnsi="宋体" w:eastAsia="宋体" w:cs="宋体"/>
                <w:i w:val="0"/>
                <w:iCs w:val="0"/>
                <w:color w:val="auto"/>
                <w:kern w:val="0"/>
                <w:sz w:val="24"/>
                <w:szCs w:val="24"/>
                <w:highlight w:val="none"/>
                <w:u w:val="none"/>
                <w:lang w:val="en-US" w:eastAsia="zh-CN" w:bidi="ar"/>
              </w:rPr>
              <w:t>有控股子公司或长</w:t>
            </w:r>
            <w:r>
              <w:rPr>
                <w:rFonts w:hint="eastAsia" w:ascii="宋体" w:hAnsi="宋体" w:eastAsia="宋体" w:cs="宋体"/>
                <w:i w:val="0"/>
                <w:iCs w:val="0"/>
                <w:color w:val="auto"/>
                <w:kern w:val="0"/>
                <w:sz w:val="24"/>
                <w:szCs w:val="24"/>
                <w:u w:val="none"/>
                <w:lang w:val="en-US" w:eastAsia="zh-CN" w:bidi="ar"/>
              </w:rPr>
              <w:t>期合作检测机构，且该机构具备检验检测机构计量认证（CMA）资质并具备水、气、声、固废检测能力，得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分。（提供自</w:t>
            </w:r>
            <w:r>
              <w:rPr>
                <w:rFonts w:hint="eastAsia" w:ascii="宋体" w:hAnsi="宋体" w:eastAsia="宋体" w:cs="宋体"/>
                <w:i w:val="0"/>
                <w:iCs w:val="0"/>
                <w:color w:val="auto"/>
                <w:kern w:val="0"/>
                <w:sz w:val="24"/>
                <w:szCs w:val="24"/>
                <w:highlight w:val="none"/>
                <w:u w:val="none"/>
                <w:lang w:val="en-US" w:eastAsia="zh-CN" w:bidi="ar"/>
              </w:rPr>
              <w:t>有控股子公司证明材料或</w:t>
            </w:r>
            <w:r>
              <w:rPr>
                <w:rFonts w:hint="eastAsia" w:ascii="宋体" w:hAnsi="宋体" w:eastAsia="宋体" w:cs="宋体"/>
                <w:i w:val="0"/>
                <w:iCs w:val="0"/>
                <w:color w:val="auto"/>
                <w:kern w:val="0"/>
                <w:sz w:val="24"/>
                <w:szCs w:val="24"/>
                <w:u w:val="none"/>
                <w:lang w:val="en-US" w:eastAsia="zh-CN" w:bidi="ar"/>
              </w:rPr>
              <w:t>合作协议及相关单位资质证书及检测能力证明材料复印件并加盖公章，未提供或缺项均不得分）。</w:t>
            </w:r>
          </w:p>
          <w:p>
            <w:pPr>
              <w:keepNext w:val="0"/>
              <w:keepLines w:val="0"/>
              <w:widowControl/>
              <w:suppressLineNumbers w:val="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i w:val="0"/>
                <w:iCs w:val="0"/>
                <w:color w:val="auto"/>
                <w:kern w:val="0"/>
                <w:sz w:val="24"/>
                <w:szCs w:val="24"/>
                <w:u w:val="none"/>
                <w:lang w:val="en-US" w:eastAsia="zh-CN" w:bidi="ar"/>
              </w:rPr>
              <w:t>注：检测机构检测能力中缺少水、气、声、固废检测能力中任意一项的不得分</w:t>
            </w:r>
            <w:r>
              <w:rPr>
                <w:rFonts w:hint="eastAsia" w:ascii="宋体" w:hAnsi="宋体" w:eastAsia="宋体" w:cs="宋体"/>
                <w:i w:val="0"/>
                <w:iCs w:val="0"/>
                <w:color w:val="auto"/>
                <w:kern w:val="0"/>
                <w:sz w:val="24"/>
                <w:szCs w:val="24"/>
                <w:u w:val="none"/>
                <w:lang w:val="en-US" w:eastAsia="zh-CN"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12" w:hRule="atLeast"/>
          <w:jc w:val="center"/>
        </w:trPr>
        <w:tc>
          <w:tcPr>
            <w:tcW w:w="828"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rPr>
            </w:pPr>
          </w:p>
        </w:tc>
        <w:tc>
          <w:tcPr>
            <w:tcW w:w="1563"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lang w:eastAsia="zh-CN"/>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4分</w:t>
            </w:r>
          </w:p>
        </w:tc>
        <w:tc>
          <w:tcPr>
            <w:tcW w:w="6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供应商</w:t>
            </w:r>
            <w:r>
              <w:rPr>
                <w:rFonts w:ascii="宋体" w:hAnsi="宋体" w:eastAsia="宋体" w:cs="宋体"/>
                <w:color w:val="auto"/>
                <w:sz w:val="24"/>
                <w:szCs w:val="24"/>
              </w:rPr>
              <w:t>为本次“环保管家”服务配置相关设备（便携式VOC</w:t>
            </w:r>
            <w:r>
              <w:rPr>
                <w:rFonts w:hint="eastAsia" w:ascii="宋体" w:hAnsi="宋体" w:eastAsia="宋体" w:cs="宋体"/>
                <w:color w:val="auto"/>
                <w:sz w:val="24"/>
                <w:szCs w:val="24"/>
                <w:lang w:val="en-US" w:eastAsia="zh-CN"/>
              </w:rPr>
              <w:t>s</w:t>
            </w:r>
            <w:r>
              <w:rPr>
                <w:rFonts w:ascii="宋体" w:hAnsi="宋体" w:eastAsia="宋体" w:cs="宋体"/>
                <w:color w:val="auto"/>
                <w:sz w:val="24"/>
                <w:szCs w:val="24"/>
              </w:rPr>
              <w:t>检测仪，</w:t>
            </w:r>
            <w:r>
              <w:rPr>
                <w:rFonts w:hint="eastAsia" w:ascii="宋体" w:hAnsi="宋体" w:eastAsia="宋体" w:cs="宋体"/>
                <w:color w:val="auto"/>
                <w:sz w:val="24"/>
                <w:szCs w:val="24"/>
              </w:rPr>
              <w:t>携式噪声仪</w:t>
            </w:r>
            <w:r>
              <w:rPr>
                <w:rFonts w:ascii="宋体" w:hAnsi="宋体" w:eastAsia="宋体" w:cs="宋体"/>
                <w:color w:val="auto"/>
                <w:sz w:val="24"/>
                <w:szCs w:val="24"/>
              </w:rPr>
              <w:t>等），每有1台专业设备得1分</w:t>
            </w:r>
            <w:r>
              <w:rPr>
                <w:rFonts w:hint="eastAsia" w:ascii="宋体" w:hAnsi="宋体" w:eastAsia="宋体" w:cs="宋体"/>
                <w:color w:val="auto"/>
                <w:sz w:val="24"/>
                <w:szCs w:val="24"/>
                <w:lang w:val="en-US" w:eastAsia="zh-CN"/>
              </w:rPr>
              <w:t>，同一设备不重复得分，本项</w:t>
            </w:r>
            <w:r>
              <w:rPr>
                <w:rFonts w:ascii="宋体" w:hAnsi="宋体" w:eastAsia="宋体" w:cs="宋体"/>
                <w:color w:val="auto"/>
                <w:sz w:val="24"/>
                <w:szCs w:val="24"/>
              </w:rPr>
              <w:t>最多得</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须</w:t>
            </w:r>
            <w:r>
              <w:rPr>
                <w:rFonts w:ascii="宋体" w:hAnsi="宋体" w:eastAsia="宋体" w:cs="宋体"/>
                <w:color w:val="auto"/>
                <w:sz w:val="24"/>
                <w:szCs w:val="24"/>
              </w:rPr>
              <w:t>提供设备购置发票或租赁协议等有效证明材料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否则不得分</w:t>
            </w:r>
            <w:r>
              <w:rPr>
                <w:rFonts w:hint="eastAsia" w:ascii="宋体" w:hAnsi="宋体" w:eastAsia="宋体" w:cs="宋体"/>
                <w:color w:val="auto"/>
                <w:sz w:val="24"/>
                <w:szCs w:val="24"/>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320" w:hRule="atLeast"/>
          <w:jc w:val="center"/>
        </w:trPr>
        <w:tc>
          <w:tcPr>
            <w:tcW w:w="828"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56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项目组成员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15分）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6分</w:t>
            </w:r>
          </w:p>
        </w:tc>
        <w:tc>
          <w:tcPr>
            <w:tcW w:w="6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1、拟派项目负责人</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拟派项目负责人具有注册环境影响评价工程师证书的得3分，具有环境保护类专业高级及以上职称的得3分，本项最高得6分。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须提供资格证书复印件并加盖公章，</w:t>
            </w:r>
            <w:r>
              <w:rPr>
                <w:rFonts w:hint="eastAsia" w:ascii="宋体" w:hAnsi="宋体" w:eastAsia="宋体" w:cs="宋体"/>
                <w:color w:val="auto"/>
                <w:kern w:val="0"/>
                <w:sz w:val="24"/>
                <w:szCs w:val="24"/>
              </w:rPr>
              <w:t>具有注册环境影响评价工程师</w:t>
            </w:r>
            <w:r>
              <w:rPr>
                <w:rFonts w:hint="eastAsia" w:ascii="宋体" w:hAnsi="宋体" w:eastAsia="宋体" w:cs="宋体"/>
                <w:color w:val="auto"/>
                <w:kern w:val="0"/>
                <w:sz w:val="24"/>
                <w:szCs w:val="24"/>
                <w:lang w:val="en-US" w:eastAsia="zh-CN"/>
              </w:rPr>
              <w:t>的须</w:t>
            </w:r>
            <w:r>
              <w:rPr>
                <w:rFonts w:hint="eastAsia" w:ascii="宋体" w:hAnsi="宋体" w:eastAsia="宋体" w:cs="宋体"/>
                <w:color w:val="auto"/>
                <w:kern w:val="0"/>
                <w:sz w:val="24"/>
                <w:szCs w:val="24"/>
                <w:lang w:val="en-US" w:eastAsia="zh-CN"/>
              </w:rPr>
              <w:t>提供生态环境部环境影响评价工程师注册的网页截图，提供供应商近半年（至少1个月）为其缴纳的社会保险的证明材料，以上未提供不予得分）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60" w:hRule="atLeast"/>
          <w:jc w:val="center"/>
        </w:trPr>
        <w:tc>
          <w:tcPr>
            <w:tcW w:w="828"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rPr>
            </w:pPr>
          </w:p>
        </w:tc>
        <w:tc>
          <w:tcPr>
            <w:tcW w:w="1563"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9分</w:t>
            </w:r>
          </w:p>
        </w:tc>
        <w:tc>
          <w:tcPr>
            <w:tcW w:w="6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2、项目组成员（不含项目负责人）</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项目组成员中要求至少有</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名成员组成(项目负责人除外)，否则不得分。在此基础上，拟派项目组成员中具有环境影响评价工程师</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lang w:eastAsia="zh-CN"/>
              </w:rPr>
              <w:t>具备环境保护类专业高级工程师职称，每提供1人得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分，最多得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分；具有环保类中级</w:t>
            </w:r>
            <w:r>
              <w:rPr>
                <w:rFonts w:hint="eastAsia" w:ascii="宋体" w:hAnsi="宋体" w:eastAsia="宋体" w:cs="宋体"/>
                <w:color w:val="auto"/>
                <w:kern w:val="0"/>
                <w:sz w:val="24"/>
                <w:szCs w:val="24"/>
                <w:lang w:val="en-US" w:eastAsia="zh-CN"/>
              </w:rPr>
              <w:t>工程师</w:t>
            </w:r>
            <w:r>
              <w:rPr>
                <w:rFonts w:hint="eastAsia" w:ascii="宋体" w:hAnsi="宋体" w:eastAsia="宋体" w:cs="宋体"/>
                <w:color w:val="auto"/>
                <w:kern w:val="0"/>
                <w:sz w:val="24"/>
                <w:szCs w:val="24"/>
                <w:lang w:eastAsia="zh-CN"/>
              </w:rPr>
              <w:t>职称，每提供</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人得1分，</w:t>
            </w:r>
            <w:r>
              <w:rPr>
                <w:rFonts w:hint="eastAsia" w:ascii="宋体" w:hAnsi="宋体" w:eastAsia="宋体" w:cs="宋体"/>
                <w:color w:val="auto"/>
                <w:kern w:val="0"/>
                <w:sz w:val="24"/>
                <w:szCs w:val="24"/>
                <w:lang w:val="en-US" w:eastAsia="zh-CN"/>
              </w:rPr>
              <w:t>最多得3分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须提供资格证书复印件并加盖公章，</w:t>
            </w:r>
            <w:r>
              <w:rPr>
                <w:rFonts w:hint="eastAsia" w:ascii="宋体" w:hAnsi="宋体" w:eastAsia="宋体" w:cs="宋体"/>
                <w:color w:val="auto"/>
                <w:kern w:val="0"/>
                <w:sz w:val="24"/>
                <w:szCs w:val="24"/>
              </w:rPr>
              <w:t>具有注册环境影响评价工程师</w:t>
            </w:r>
            <w:r>
              <w:rPr>
                <w:rFonts w:hint="eastAsia" w:ascii="宋体" w:hAnsi="宋体" w:eastAsia="宋体" w:cs="宋体"/>
                <w:color w:val="auto"/>
                <w:kern w:val="0"/>
                <w:sz w:val="24"/>
                <w:szCs w:val="24"/>
                <w:lang w:val="en-US" w:eastAsia="zh-CN"/>
              </w:rPr>
              <w:t>的须提供生态环境部环境影响评价工程师注册的网页截图，提供供应商近半年（至少1个月）为相关人员缴纳的社会保险的证明材料，以上未提供不予得分）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15" w:hRule="atLeast"/>
          <w:jc w:val="center"/>
        </w:trPr>
        <w:tc>
          <w:tcPr>
            <w:tcW w:w="8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15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业绩（12分）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12分</w:t>
            </w:r>
          </w:p>
        </w:tc>
        <w:tc>
          <w:tcPr>
            <w:tcW w:w="6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2021年1月1日以来（以合同签订时间为准）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投标人具备环保管家类或第三方环境监管服务类等环保服务项目</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val="en-US" w:eastAsia="zh-CN"/>
              </w:rPr>
              <w:t>成功</w:t>
            </w:r>
            <w:r>
              <w:rPr>
                <w:rFonts w:hint="eastAsia" w:ascii="宋体" w:hAnsi="宋体" w:eastAsia="宋体" w:cs="宋体"/>
                <w:color w:val="auto"/>
                <w:kern w:val="0"/>
                <w:sz w:val="24"/>
                <w:szCs w:val="24"/>
              </w:rPr>
              <w:t>案例，每有一个得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分，本项最高得</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须</w:t>
            </w:r>
            <w:r>
              <w:rPr>
                <w:rFonts w:hint="eastAsia" w:ascii="宋体" w:hAnsi="宋体" w:eastAsia="宋体" w:cs="宋体"/>
                <w:color w:val="auto"/>
                <w:kern w:val="0"/>
                <w:sz w:val="24"/>
                <w:szCs w:val="24"/>
              </w:rPr>
              <w:t>提供有效</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合同复印件或扫描件并加盖公章。</w:t>
            </w:r>
            <w:r>
              <w:rPr>
                <w:rFonts w:hint="eastAsia" w:ascii="宋体" w:hAnsi="宋体" w:eastAsia="宋体" w:cs="宋体"/>
                <w:color w:val="auto"/>
                <w:kern w:val="0"/>
                <w:sz w:val="24"/>
                <w:szCs w:val="24"/>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4" w:hRule="atLeast"/>
          <w:jc w:val="center"/>
        </w:trPr>
        <w:tc>
          <w:tcPr>
            <w:tcW w:w="828"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56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技术方案（24分）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8分</w:t>
            </w:r>
          </w:p>
        </w:tc>
        <w:tc>
          <w:tcPr>
            <w:tcW w:w="6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（1）根据投标人制定的服务实施方案是否可行、规范、科学进行综合评分,包含：①项目团队组织管理架构</w:t>
            </w:r>
            <w:r>
              <w:rPr>
                <w:rFonts w:hint="eastAsia" w:ascii="宋体" w:hAnsi="宋体" w:eastAsia="宋体" w:cs="宋体"/>
                <w:color w:val="auto"/>
                <w:kern w:val="0"/>
                <w:sz w:val="24"/>
                <w:szCs w:val="24"/>
                <w:lang w:val="en-US" w:eastAsia="zh-CN"/>
              </w:rPr>
              <w:t>②项目目标和计划③项目</w:t>
            </w:r>
            <w:r>
              <w:rPr>
                <w:rFonts w:hint="eastAsia" w:ascii="宋体" w:hAnsi="宋体" w:eastAsia="宋体" w:cs="宋体"/>
                <w:color w:val="auto"/>
                <w:kern w:val="0"/>
                <w:sz w:val="24"/>
                <w:szCs w:val="24"/>
              </w:rPr>
              <w:t>重点难点分析</w:t>
            </w:r>
            <w:r>
              <w:rPr>
                <w:rFonts w:hint="eastAsia" w:ascii="宋体" w:hAnsi="宋体" w:eastAsia="宋体" w:cs="宋体"/>
                <w:color w:val="auto"/>
                <w:kern w:val="0"/>
                <w:sz w:val="24"/>
                <w:szCs w:val="24"/>
                <w:lang w:val="en-US" w:eastAsia="zh-CN"/>
              </w:rPr>
              <w:t>④项目执行及具体措施⑤档案管理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可行性、规范性、科学性强，符合项目实际所需得</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可行性、规范性、科学性较强，基本符合项目实际所需得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可行性、规范性、科学性较差，不太符合项目实际所需得4分；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可行性、规范性、科学性差，不符合项目实际所需的得2分；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1" w:hRule="atLeast"/>
          <w:jc w:val="center"/>
        </w:trPr>
        <w:tc>
          <w:tcPr>
            <w:tcW w:w="828"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rPr>
            </w:pPr>
          </w:p>
        </w:tc>
        <w:tc>
          <w:tcPr>
            <w:tcW w:w="1563" w:type="dxa"/>
            <w:vMerge w:val="continue"/>
            <w:tcBorders>
              <w:left w:val="nil"/>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8分</w:t>
            </w:r>
          </w:p>
        </w:tc>
        <w:tc>
          <w:tcPr>
            <w:tcW w:w="6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（2）根据投标人制定的项目质量保证方案是否明确、可行、具有操作性进行综合评分，包含：①质量保证制度②质量保证措施</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十分明确、可行</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具有操作性得8分；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比较明确、可行</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比较</w:t>
            </w:r>
            <w:r>
              <w:rPr>
                <w:rFonts w:hint="eastAsia" w:ascii="宋体" w:hAnsi="宋体" w:eastAsia="宋体" w:cs="宋体"/>
                <w:color w:val="auto"/>
                <w:kern w:val="0"/>
                <w:sz w:val="24"/>
                <w:szCs w:val="24"/>
              </w:rPr>
              <w:t>具有操作性得6分；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不太明确、可行</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不太具有操作性得4分；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不明确、可行，不具有操作性得2分；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1" w:hRule="atLeast"/>
          <w:jc w:val="center"/>
        </w:trPr>
        <w:tc>
          <w:tcPr>
            <w:tcW w:w="828"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rPr>
            </w:pPr>
          </w:p>
        </w:tc>
        <w:tc>
          <w:tcPr>
            <w:tcW w:w="1563"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auto"/>
                <w:kern w:val="0"/>
                <w:sz w:val="24"/>
                <w:szCs w:val="24"/>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8分</w:t>
            </w:r>
          </w:p>
        </w:tc>
        <w:tc>
          <w:tcPr>
            <w:tcW w:w="6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（3）根据投标人制定的项目实施进度是否快速、合理、可行进行综合评分，包含：①工作阶段及任务划分②进度控制及措施③响应时间承诺（格式自拟）</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十分快速、合理、可行，表述十分完整有针对性得8分；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比较快速、合理、可行，表述比较完整有针对性得6分；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不太快速、合理、可行，表述不太完整有针对性得4分；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不快速、合理、可行，表述不完整有针对性得2分；</w:t>
            </w:r>
          </w:p>
          <w:p>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3" w:hRule="atLeast"/>
          <w:jc w:val="center"/>
        </w:trPr>
        <w:tc>
          <w:tcPr>
            <w:tcW w:w="10176" w:type="dxa"/>
            <w:gridSpan w:val="4"/>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32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注：上述证书均须在有效期内</w:t>
            </w:r>
          </w:p>
        </w:tc>
      </w:tr>
    </w:tbl>
    <w:p>
      <w:pPr>
        <w:snapToGrid w:val="0"/>
        <w:outlineLvl w:val="2"/>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（二）商务报价得分：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b/>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sz w:val="24"/>
          <w:szCs w:val="24"/>
          <w:highlight w:val="none"/>
        </w:rPr>
        <w:t>本次项目最高限价：</w:t>
      </w:r>
      <w:r>
        <w:rPr>
          <w:rFonts w:hint="eastAsia" w:ascii="宋体" w:hAnsi="宋体" w:eastAsia="宋体" w:cs="宋体"/>
          <w:b/>
          <w:bCs/>
          <w:kern w:val="0"/>
          <w:sz w:val="24"/>
          <w:szCs w:val="24"/>
          <w:highlight w:val="none"/>
          <w:u w:val="single"/>
          <w:lang w:val="en-US" w:eastAsia="zh-CN"/>
        </w:rPr>
        <w:t>8.5</w:t>
      </w:r>
      <w:r>
        <w:rPr>
          <w:rFonts w:hint="eastAsia" w:ascii="宋体" w:hAnsi="宋体" w:eastAsia="宋体" w:cs="宋体"/>
          <w:b/>
          <w:bCs/>
          <w:kern w:val="0"/>
          <w:sz w:val="24"/>
          <w:szCs w:val="24"/>
          <w:highlight w:val="none"/>
          <w:u w:val="single"/>
        </w:rPr>
        <w:t>万元</w:t>
      </w:r>
      <w:r>
        <w:rPr>
          <w:rFonts w:hint="eastAsia" w:ascii="宋体" w:hAnsi="宋体" w:eastAsia="宋体" w:cs="宋体"/>
          <w:b/>
          <w:sz w:val="24"/>
          <w:szCs w:val="24"/>
          <w:highlight w:val="none"/>
        </w:rPr>
        <w:t>，超过限价作无效标处理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rPr>
      </w:pPr>
      <w:r>
        <w:rPr>
          <w:rFonts w:hint="eastAsia" w:ascii="宋体" w:hAnsi="宋体" w:eastAsia="宋体" w:cs="宋体"/>
          <w:sz w:val="24"/>
          <w:szCs w:val="24"/>
          <w:highlight w:val="none"/>
        </w:rPr>
        <w:t>2.采用低价优先法计算，即满足磋商文件要求且最后报价最低的供应</w:t>
      </w:r>
      <w:r>
        <w:rPr>
          <w:rFonts w:hint="eastAsia" w:ascii="宋体" w:hAnsi="宋体" w:eastAsia="宋体" w:cs="宋体"/>
          <w:sz w:val="24"/>
          <w:szCs w:val="24"/>
        </w:rPr>
        <w:t>商报价为该标段磋商基准价，其价格分为满分。其他供应商的价格分按照下列公式计算（分值四舍五入小数点后保留2位）：</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outlineLvl w:val="2"/>
        <w:rPr>
          <w:rFonts w:hint="eastAsia" w:ascii="宋体" w:hAnsi="宋体" w:eastAsia="宋体" w:cs="宋体"/>
          <w:b/>
          <w:sz w:val="24"/>
          <w:szCs w:val="24"/>
        </w:rPr>
      </w:pPr>
      <w:r>
        <w:rPr>
          <w:rFonts w:hint="eastAsia" w:ascii="宋体" w:hAnsi="宋体" w:eastAsia="宋体" w:cs="宋体"/>
          <w:b/>
          <w:sz w:val="24"/>
          <w:szCs w:val="24"/>
        </w:rPr>
        <w:t>商务报价分=（磋商基准价/</w:t>
      </w:r>
      <w:r>
        <w:rPr>
          <w:rFonts w:hint="eastAsia" w:ascii="宋体" w:hAnsi="宋体" w:eastAsia="宋体" w:cs="宋体"/>
          <w:b/>
          <w:sz w:val="24"/>
          <w:szCs w:val="24"/>
          <w:lang w:val="en-US" w:eastAsia="zh-CN"/>
        </w:rPr>
        <w:t>最后</w:t>
      </w:r>
      <w:r>
        <w:rPr>
          <w:rFonts w:hint="eastAsia" w:ascii="宋体" w:hAnsi="宋体" w:eastAsia="宋体" w:cs="宋体"/>
          <w:b/>
          <w:sz w:val="24"/>
          <w:szCs w:val="24"/>
        </w:rPr>
        <w:t>磋商报价）×</w:t>
      </w:r>
      <w:r>
        <w:rPr>
          <w:rFonts w:hint="eastAsia" w:ascii="宋体" w:hAnsi="宋体" w:eastAsia="宋体" w:cs="宋体"/>
          <w:b/>
          <w:sz w:val="24"/>
          <w:szCs w:val="24"/>
          <w:lang w:val="en-US" w:eastAsia="zh-CN"/>
        </w:rPr>
        <w:t>3</w:t>
      </w:r>
      <w:r>
        <w:rPr>
          <w:rFonts w:hint="eastAsia" w:ascii="宋体" w:hAnsi="宋体" w:eastAsia="宋体" w:cs="宋体"/>
          <w:b/>
          <w:sz w:val="24"/>
          <w:szCs w:val="24"/>
        </w:rPr>
        <w:t>0%×100</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3.评标结果按投标文件满足招标文件全部实质性要求，且按照评审因素的量化指标评审综合得分从高到低排名一的投标人确定为中标候选人，其报价为中标价，出具评审报告并将结果通知所有投标人。</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本项目第一</w:t>
      </w:r>
      <w:r>
        <w:rPr>
          <w:rFonts w:hint="eastAsia" w:ascii="宋体" w:hAnsi="宋体" w:eastAsia="宋体" w:cs="宋体"/>
          <w:sz w:val="24"/>
          <w:szCs w:val="24"/>
          <w:lang w:val="en-US" w:eastAsia="zh-CN"/>
        </w:rPr>
        <w:t>成交</w:t>
      </w:r>
      <w:r>
        <w:rPr>
          <w:rFonts w:hint="eastAsia" w:ascii="宋体" w:hAnsi="宋体" w:eastAsia="宋体" w:cs="宋体"/>
          <w:sz w:val="24"/>
          <w:szCs w:val="24"/>
        </w:rPr>
        <w:t>候选人原则上为</w:t>
      </w:r>
      <w:r>
        <w:rPr>
          <w:rFonts w:hint="eastAsia" w:ascii="宋体" w:hAnsi="宋体" w:eastAsia="宋体" w:cs="宋体"/>
          <w:sz w:val="24"/>
          <w:szCs w:val="24"/>
          <w:lang w:val="en-US" w:eastAsia="zh-CN"/>
        </w:rPr>
        <w:t>成交</w:t>
      </w:r>
      <w:r>
        <w:rPr>
          <w:rFonts w:hint="eastAsia" w:ascii="宋体" w:hAnsi="宋体" w:eastAsia="宋体" w:cs="宋体"/>
          <w:sz w:val="24"/>
          <w:szCs w:val="24"/>
        </w:rPr>
        <w:t>人。当排名第一的</w:t>
      </w:r>
      <w:r>
        <w:rPr>
          <w:rFonts w:hint="eastAsia" w:ascii="宋体" w:hAnsi="宋体" w:eastAsia="宋体" w:cs="宋体"/>
          <w:sz w:val="24"/>
          <w:szCs w:val="24"/>
          <w:lang w:val="en-US" w:eastAsia="zh-CN"/>
        </w:rPr>
        <w:t>成交</w:t>
      </w:r>
      <w:r>
        <w:rPr>
          <w:rFonts w:hint="eastAsia" w:ascii="宋体" w:hAnsi="宋体" w:eastAsia="宋体" w:cs="宋体"/>
          <w:sz w:val="24"/>
          <w:szCs w:val="24"/>
        </w:rPr>
        <w:t>候选人放弃中标、因不可抗力不能履行合同、不按照招标文件要求提交履约保证金，或者被查实存在影响中标结果的违法行为等情形，不符合中标条件的，招标人可以按照评标结果排名顺序依次确定其他</w:t>
      </w:r>
      <w:r>
        <w:rPr>
          <w:rFonts w:hint="eastAsia" w:ascii="宋体" w:hAnsi="宋体" w:eastAsia="宋体" w:cs="宋体"/>
          <w:sz w:val="24"/>
          <w:szCs w:val="24"/>
          <w:lang w:val="en-US" w:eastAsia="zh-CN"/>
        </w:rPr>
        <w:t>成交</w:t>
      </w:r>
      <w:r>
        <w:rPr>
          <w:rFonts w:hint="eastAsia" w:ascii="宋体" w:hAnsi="宋体" w:eastAsia="宋体" w:cs="宋体"/>
          <w:sz w:val="24"/>
          <w:szCs w:val="24"/>
        </w:rPr>
        <w:t>候选人为</w:t>
      </w:r>
      <w:r>
        <w:rPr>
          <w:rFonts w:hint="eastAsia" w:ascii="宋体" w:hAnsi="宋体" w:eastAsia="宋体" w:cs="宋体"/>
          <w:sz w:val="24"/>
          <w:szCs w:val="24"/>
          <w:lang w:val="en-US" w:eastAsia="zh-CN"/>
        </w:rPr>
        <w:t>成交</w:t>
      </w:r>
      <w:r>
        <w:rPr>
          <w:rFonts w:hint="eastAsia" w:ascii="宋体" w:hAnsi="宋体" w:eastAsia="宋体" w:cs="宋体"/>
          <w:sz w:val="24"/>
          <w:szCs w:val="24"/>
        </w:rPr>
        <w:t>人，也可以依法重新招标。</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5.政府采购政策</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5.1小微型企业价格扣除（本项目标的产品需求明确的所属行业为其他未列明行业）</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（1）本项目对小型和微型企业产品给予10%的扣除价格，用扣除后的价格参与评审，如果中标，则以其投标报价作为中标价。</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（2）供应商需按照采购文件的要求提供相应的《小型、微型企业声明函》。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（3）企业标准请参照《关于印发中小企业划型标准规定的通知》（工信部联企业[2011]300号）文件规定自行填写。</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5.2残疾人福利单位价格扣除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（1）本项目对残疾人福利性单位视同小型、微型企业，给予10%的价格扣除，用扣除后的价格参与评审，</w:t>
      </w:r>
      <w:r>
        <w:rPr>
          <w:rFonts w:hint="eastAsia" w:ascii="宋体" w:hAnsi="宋体" w:eastAsia="宋体" w:cs="宋体"/>
          <w:sz w:val="24"/>
          <w:szCs w:val="24"/>
          <w:lang w:val="en-US" w:eastAsia="zh-CN"/>
        </w:rPr>
        <w:t>如果中标，则以其投标报价作为中标价。</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（2）残疾人福利单位需按照采购文件的要求提供《残疾人福利性单位声明函》。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（3）残疾人福利单位标准请参照《关于促进残疾人就业政府采购政策的通知》（财库〔2017〕141号）。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5.3监狱和戒毒企业价格扣除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（1）本项目对监狱和戒毒企业（简称监狱企业）视同小型、微型企业，给予10%的价格扣除，用扣除后的价格参与评审，</w:t>
      </w:r>
      <w:r>
        <w:rPr>
          <w:rFonts w:hint="eastAsia" w:ascii="宋体" w:hAnsi="宋体" w:eastAsia="宋体" w:cs="宋体"/>
          <w:sz w:val="24"/>
          <w:szCs w:val="24"/>
          <w:lang w:val="en-US" w:eastAsia="zh-CN"/>
        </w:rPr>
        <w:t>如果中标，则以其投标报价作为中标价。</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（3）监狱企业标准请参照《关于政府采购支持监狱企业发展有关问题的通知》（财库[2014]68号）。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5.4残疾人福利单位、监狱企业属于小型、微型企业的，不重复享受政策。</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、出现下列情形之一的，作无效磋商响应处理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1.响应文件未按规定要求装订、密封、签署、盖章及主要资料不齐全的；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2.响应文件的资料有虚报或者谎报的；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3.响应文件中资格审查文件及技术响应文件出现磋商报价的内容；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4.不具备磋商文件规定的资格要求的；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5.响应文件有重大漏项或重大不合理的；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6.项目技术、方案不满足项目需求中的要求，有重大偏离或保留的；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7.磋商响应报价超出项目总预算、单价预算的；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8.被认定为低于成本报价磋商竞标的；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9.供应商的磋商报价高于自己前一轮的；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10.不符合法律、法规和磋商文件中规定的其他实质性响应要求的；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11.磋商小组依据法律法规可以认定为无效投标的其他情况。</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、出现下列情形之一的，作废标处理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1.供应商的报价均超出了采购预算，采购单位不能支付的；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2.因情况变化，不再符合规定的竞争性磋商采购方式所适用情形的；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5.磋商小组依据法律法规可以认定为废标的其他情况。</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、成交通知</w:t>
      </w:r>
    </w:p>
    <w:p>
      <w:pPr>
        <w:keepNext w:val="0"/>
        <w:keepLines w:val="0"/>
        <w:pageBreakBefore w:val="0"/>
        <w:widowControl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kern w:val="0"/>
          <w:sz w:val="24"/>
          <w:szCs w:val="24"/>
        </w:rPr>
      </w:pPr>
      <w:r>
        <w:rPr>
          <w:rFonts w:hint="eastAsia" w:ascii="宋体" w:hAnsi="宋体" w:eastAsia="宋体" w:cs="宋体"/>
          <w:kern w:val="0"/>
          <w:sz w:val="24"/>
          <w:szCs w:val="24"/>
        </w:rPr>
        <w:t>成交结果在公告发布网站公示</w:t>
      </w:r>
      <w:r>
        <w:rPr>
          <w:rFonts w:hint="eastAsia" w:ascii="宋体" w:hAnsi="宋体" w:eastAsia="宋体" w:cs="宋体"/>
          <w:kern w:val="0"/>
          <w:sz w:val="24"/>
          <w:szCs w:val="24"/>
          <w:u w:val="single"/>
        </w:rPr>
        <w:t xml:space="preserve">  </w:t>
      </w:r>
      <w:r>
        <w:rPr>
          <w:rFonts w:hint="eastAsia" w:ascii="宋体" w:hAnsi="宋体" w:eastAsia="宋体" w:cs="宋体"/>
          <w:b/>
          <w:kern w:val="0"/>
          <w:sz w:val="24"/>
          <w:szCs w:val="24"/>
          <w:u w:val="single"/>
        </w:rPr>
        <w:t xml:space="preserve">1  </w:t>
      </w:r>
      <w:r>
        <w:rPr>
          <w:rFonts w:hint="eastAsia" w:ascii="宋体" w:hAnsi="宋体" w:eastAsia="宋体" w:cs="宋体"/>
          <w:kern w:val="0"/>
          <w:sz w:val="24"/>
          <w:szCs w:val="24"/>
        </w:rPr>
        <w:t>个工作日。《成交通知书》一经发出，采购单位改变成交结果，或者成交供应商放弃成交的，各自承担相应的法律责任。《成交通知书》是采购合同的组成部分。</w:t>
      </w:r>
    </w:p>
    <w:bookmarkEnd w:id="87"/>
    <w:bookmarkEnd w:id="88"/>
    <w:bookmarkEnd w:id="89"/>
    <w:bookmarkEnd w:id="90"/>
    <w:bookmarkEnd w:id="91"/>
    <w:bookmarkEnd w:id="92"/>
    <w:bookmarkEnd w:id="93"/>
    <w:bookmarkEnd w:id="94"/>
    <w:p>
      <w:pPr>
        <w:pStyle w:val="23"/>
        <w:keepNext w:val="0"/>
        <w:keepLines w:val="0"/>
        <w:pageBreakBefore w:val="0"/>
        <w:widowControl w:val="0"/>
        <w:tabs>
          <w:tab w:val="left" w:pos="1050"/>
          <w:tab w:val="right" w:leader="dot" w:pos="9402"/>
        </w:tabs>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宋体"/>
          <w:b/>
          <w:i w:val="0"/>
          <w:iCs/>
          <w:w w:val="80"/>
          <w:sz w:val="44"/>
          <w:szCs w:val="44"/>
        </w:rPr>
      </w:pPr>
      <w:bookmarkStart w:id="96" w:name="_Toc94585343"/>
      <w:bookmarkStart w:id="97" w:name="_Toc363573858"/>
      <w:r>
        <w:rPr>
          <w:rFonts w:hint="eastAsia" w:ascii="宋体" w:hAnsi="宋体" w:eastAsia="宋体" w:cs="宋体"/>
          <w:b/>
          <w:i w:val="0"/>
          <w:iCs/>
          <w:w w:val="80"/>
          <w:sz w:val="24"/>
          <w:szCs w:val="24"/>
        </w:rPr>
        <w:br w:type="page"/>
      </w:r>
      <w:r>
        <w:rPr>
          <w:rFonts w:hint="eastAsia" w:ascii="宋体" w:hAnsi="宋体" w:eastAsia="宋体" w:cs="宋体"/>
          <w:b/>
          <w:i w:val="0"/>
          <w:iCs/>
          <w:w w:val="80"/>
          <w:sz w:val="44"/>
          <w:szCs w:val="44"/>
        </w:rPr>
        <w:t>第五章  合同授予</w:t>
      </w:r>
    </w:p>
    <w:p>
      <w:pPr>
        <w:keepNext w:val="0"/>
        <w:keepLines w:val="0"/>
        <w:pageBreakBefore w:val="0"/>
        <w:widowControl w:val="0"/>
        <w:kinsoku/>
        <w:wordWrap/>
        <w:overflowPunct/>
        <w:topLinePunct w:val="0"/>
        <w:autoSpaceDE/>
        <w:autoSpaceDN/>
        <w:bidi w:val="0"/>
        <w:adjustRightInd/>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color w:val="000000"/>
          <w:sz w:val="24"/>
          <w:szCs w:val="24"/>
        </w:rPr>
        <w:t>一、成交供应商在成交通知书发出后</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日内按照磋商文件确定的事项与采购单位签订政府采购合同</w:t>
      </w:r>
      <w:r>
        <w:rPr>
          <w:rFonts w:hint="eastAsia" w:ascii="宋体" w:hAnsi="宋体" w:eastAsia="宋体" w:cs="宋体"/>
          <w:sz w:val="24"/>
          <w:szCs w:val="24"/>
        </w:rPr>
        <w:t>。</w:t>
      </w:r>
      <w:r>
        <w:rPr>
          <w:rFonts w:hint="eastAsia" w:ascii="宋体" w:hAnsi="宋体" w:eastAsia="宋体" w:cs="宋体"/>
          <w:color w:val="000000"/>
          <w:sz w:val="24"/>
          <w:szCs w:val="24"/>
        </w:rPr>
        <w:t>所签合同不得对磋商文件作实质性修改。采购单位不得向成交供应商提出不合理的要求作为签订合同的条件，不得与成交供应商私下订立背离磋商文件实质性内容的协议。</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采购单位按合同约定积极配合成交供应商履约，成交供应商履约到位后，请以书面形式向采购单位提出验收申请，采购单位接到申请后原则上在5个工作日内及时组织相关专业技术人员，必要时邀请质检等部门共同参与验收，并出具验收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成交供应商出现违约情形，应当及时纠正或补偿；造成损失的，按合同约定追究违约责任；发现有假冒、伪劣、走私产品、商业贿赂等违法情形的，应由采购单位移交工商、质监、公安等行政执法部门依法查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w:t>
      </w:r>
      <w:r>
        <w:rPr>
          <w:rFonts w:hint="eastAsia" w:ascii="宋体" w:hAnsi="宋体" w:eastAsia="宋体" w:cs="宋体"/>
          <w:color w:val="000000"/>
          <w:sz w:val="24"/>
          <w:szCs w:val="24"/>
          <w:lang w:val="en-US" w:eastAsia="zh-CN"/>
        </w:rPr>
        <w:t>付款方式：合同签订后，一周内支付合同价款的30%，6个月后支付合同价的40%，余款在服务期满，经采购单位考核能较好完成工作任务后一次性付清（不计利息）。成交供应商应在采购单位付款前分别向付款方开具相应金额的增值税专用发票，否则采购单位有权延迟付款</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六、不响应付款方式的，视同响应文件无效，按无效响应文件处理。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七、以上项目款的支付不计息。</w:t>
      </w:r>
    </w:p>
    <w:p>
      <w:pPr>
        <w:keepNext w:val="0"/>
        <w:keepLines w:val="0"/>
        <w:pageBreakBefore w:val="0"/>
        <w:widowControl w:val="0"/>
        <w:tabs>
          <w:tab w:val="right" w:leader="dot" w:pos="8302"/>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rPr>
      </w:pPr>
      <w:r>
        <w:rPr>
          <w:rFonts w:hint="eastAsia" w:ascii="宋体" w:hAnsi="宋体" w:eastAsia="宋体" w:cs="宋体"/>
          <w:b/>
          <w:bCs/>
          <w:sz w:val="32"/>
          <w:highlight w:val="cyan"/>
        </w:rPr>
        <w:br w:type="page"/>
      </w:r>
      <w:r>
        <w:rPr>
          <w:rFonts w:hint="eastAsia" w:ascii="宋体" w:hAnsi="宋体" w:eastAsia="宋体" w:cs="宋体"/>
          <w:b/>
          <w:bCs/>
          <w:sz w:val="32"/>
        </w:rPr>
        <w:t>合同主要条款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                                   合同编号</w:t>
      </w:r>
      <w:r>
        <w:rPr>
          <w:rFonts w:hint="eastAsia" w:ascii="宋体" w:hAnsi="宋体" w:eastAsia="宋体" w:cs="宋体"/>
          <w:b/>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                                   签订地点：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合同时间:        年    月    日</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根据</w:t>
      </w:r>
      <w:r>
        <w:rPr>
          <w:rFonts w:hint="eastAsia" w:ascii="宋体" w:hAnsi="宋体" w:eastAsia="宋体" w:cs="宋体"/>
          <w:bCs/>
          <w:kern w:val="0"/>
          <w:sz w:val="24"/>
          <w:szCs w:val="24"/>
          <w:u w:val="single"/>
          <w:lang w:eastAsia="zh-CN"/>
        </w:rPr>
        <w:t>钟秀街道环保管家服务项目</w:t>
      </w:r>
      <w:r>
        <w:rPr>
          <w:rFonts w:hint="eastAsia" w:ascii="宋体" w:hAnsi="宋体" w:eastAsia="宋体" w:cs="宋体"/>
          <w:bCs/>
          <w:kern w:val="0"/>
          <w:sz w:val="24"/>
          <w:szCs w:val="24"/>
        </w:rPr>
        <w:t>政府采购的成交结果，甲、乙双方就乙方中标的项目标段，本着平等互利的原则，通过共同协商，根据《中华人民共和国民法典》、《中华人民共和国政府采购法》及有关法律法规，就相关事宜达成如下合同。</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、服务工作内容</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协助服务甲方对辖区内重点监管企业进行入厂排查，对企业基本信息、环评及“三同时”落实情况、废水污染防治情况、废气污染防治情况、固废污染防治情况、排污许可执行情况以及其他环保要求落实情况进行调查，结合现行法律法规和环保管理要求，以及企业存在的环保问题提出整改建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配合甲方完成上级下达的专项环保行动任务，直到全年各专项环保行动任务完成并达标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对于上级单位临时下达的企业环境整治工作或社会举报经查实后确定存在环保问题的企业，协助甲方开展对接、检查工作并提出整改意见、治理方案，配合甲方定期回访督查，直到环境整治工作完成或环保问题得到解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按照甲方的要求，完成对指定企业的环境检测工作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除上述工作外，国家、省、市、区等相关单位或部门要求执行的其他环保工作。</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、服务要求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2.1乙方</w:t>
      </w:r>
      <w:r>
        <w:rPr>
          <w:rFonts w:hint="eastAsia" w:ascii="宋体" w:hAnsi="宋体" w:eastAsia="宋体" w:cs="宋体"/>
          <w:b w:val="0"/>
          <w:bCs/>
          <w:sz w:val="24"/>
          <w:szCs w:val="24"/>
          <w:highlight w:val="none"/>
        </w:rPr>
        <w:t>必须在接到</w:t>
      </w:r>
      <w:r>
        <w:rPr>
          <w:rFonts w:hint="eastAsia" w:ascii="宋体" w:hAnsi="宋体" w:eastAsia="宋体" w:cs="宋体"/>
          <w:b w:val="0"/>
          <w:bCs/>
          <w:sz w:val="24"/>
          <w:szCs w:val="24"/>
          <w:highlight w:val="none"/>
          <w:lang w:val="en-US" w:eastAsia="zh-CN"/>
        </w:rPr>
        <w:t>甲方</w:t>
      </w:r>
      <w:r>
        <w:rPr>
          <w:rFonts w:hint="eastAsia" w:ascii="宋体" w:hAnsi="宋体" w:eastAsia="宋体" w:cs="宋体"/>
          <w:b w:val="0"/>
          <w:bCs/>
          <w:sz w:val="24"/>
          <w:szCs w:val="24"/>
          <w:highlight w:val="none"/>
        </w:rPr>
        <w:t>任务通知后两小时内予以响应并完成相关工作内容的对接，</w:t>
      </w:r>
      <w:r>
        <w:rPr>
          <w:rFonts w:hint="eastAsia" w:ascii="宋体" w:hAnsi="宋体" w:eastAsia="宋体" w:cs="宋体"/>
          <w:b w:val="0"/>
          <w:bCs/>
          <w:sz w:val="24"/>
          <w:szCs w:val="24"/>
          <w:highlight w:val="none"/>
          <w:lang w:val="en-US" w:eastAsia="zh-CN"/>
        </w:rPr>
        <w:t>乙方</w:t>
      </w:r>
      <w:r>
        <w:rPr>
          <w:rFonts w:hint="eastAsia" w:ascii="宋体" w:hAnsi="宋体" w:eastAsia="宋体" w:cs="宋体"/>
          <w:b w:val="0"/>
          <w:bCs/>
          <w:sz w:val="24"/>
          <w:szCs w:val="24"/>
          <w:highlight w:val="none"/>
        </w:rPr>
        <w:t>不得以各种理由推脱、拒绝。</w:t>
      </w:r>
      <w:r>
        <w:rPr>
          <w:rFonts w:hint="eastAsia" w:ascii="宋体" w:hAnsi="宋体" w:eastAsia="宋体" w:cs="宋体"/>
          <w:b w:val="0"/>
          <w:bCs/>
          <w:sz w:val="24"/>
          <w:szCs w:val="24"/>
          <w:highlight w:val="none"/>
          <w:lang w:val="en-US" w:eastAsia="zh-CN"/>
        </w:rPr>
        <w:t>乙方</w:t>
      </w:r>
      <w:r>
        <w:rPr>
          <w:rFonts w:hint="eastAsia" w:ascii="宋体" w:hAnsi="宋体" w:eastAsia="宋体" w:cs="宋体"/>
          <w:b w:val="0"/>
          <w:bCs/>
          <w:sz w:val="24"/>
          <w:szCs w:val="24"/>
          <w:highlight w:val="none"/>
        </w:rPr>
        <w:t>必须在</w:t>
      </w:r>
      <w:r>
        <w:rPr>
          <w:rFonts w:hint="eastAsia" w:ascii="宋体" w:hAnsi="宋体" w:eastAsia="宋体" w:cs="宋体"/>
          <w:b w:val="0"/>
          <w:bCs/>
          <w:sz w:val="24"/>
          <w:szCs w:val="24"/>
          <w:highlight w:val="none"/>
          <w:lang w:val="en-US" w:eastAsia="zh-CN"/>
        </w:rPr>
        <w:t>甲方</w:t>
      </w:r>
      <w:r>
        <w:rPr>
          <w:rFonts w:hint="eastAsia" w:ascii="宋体" w:hAnsi="宋体" w:eastAsia="宋体" w:cs="宋体"/>
          <w:b w:val="0"/>
          <w:bCs/>
          <w:sz w:val="24"/>
          <w:szCs w:val="24"/>
          <w:highlight w:val="none"/>
        </w:rPr>
        <w:t>规定的时间内完成相关任务要求。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2.2乙方应按照甲方的要求按时保质保量开展入厂排查、提出整改建议、档案建设、咨询培训等各项工作，如乙方提供的服务不符合甲方要求的，乙方应按照甲方要求进行整改；如乙方拒绝整改或整改后仍不符合要求的，甲方有权解除本合同、乙方缴纳的履约保证金不予退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2.3乙方服务过程中对疑难问题、突发情况应能及时采取有效措施应对，进行真实、全面、准确，清晰、规范记录，服务全过程可追溯。服务成果应对污染治理或生态环境质量改善起到有效作用，并得到甲方的认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b w:val="0"/>
          <w:bCs/>
          <w:sz w:val="24"/>
          <w:szCs w:val="24"/>
          <w:highlight w:val="none"/>
          <w:lang w:val="en-US" w:eastAsia="zh-CN"/>
        </w:rPr>
        <w:t>2.4乙方应维护环境服务领域的公平竞争和正当权益，诚实守信，公正廉洁，敬业进取，以高质量的专业服务成果和优质的专业服务素养，赢得信任与尊重。</w:t>
      </w:r>
    </w:p>
    <w:p>
      <w:pPr>
        <w:keepNext w:val="0"/>
        <w:keepLines w:val="0"/>
        <w:pageBreakBefore w:val="0"/>
        <w:widowControl w:val="0"/>
        <w:numPr>
          <w:ilvl w:val="0"/>
          <w:numId w:val="0"/>
        </w:numPr>
        <w:kinsoku/>
        <w:wordWrap/>
        <w:overflowPunct/>
        <w:topLinePunct w:val="0"/>
        <w:bidi w:val="0"/>
        <w:snapToGrid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三、服务地点和服务期限</w:t>
      </w:r>
    </w:p>
    <w:p>
      <w:pPr>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3.1服务地点：甲方指定地点。</w:t>
      </w:r>
    </w:p>
    <w:p>
      <w:pPr>
        <w:keepNext w:val="0"/>
        <w:keepLines w:val="0"/>
        <w:pageBreakBefore w:val="0"/>
        <w:widowControl w:val="0"/>
        <w:tabs>
          <w:tab w:val="left" w:pos="7307"/>
        </w:tabs>
        <w:kinsoku/>
        <w:wordWrap/>
        <w:overflowPunct/>
        <w:topLinePunct w:val="0"/>
        <w:bidi w:val="0"/>
        <w:snapToGrid w:val="0"/>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3.2服务期限</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自合同签订之日起1年。</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、合同价格与支付</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.1合同价格按此次成交价格执行，合同总金额为人民币：（大写）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。总报价（以人民币计价）</w:t>
      </w:r>
      <w:r>
        <w:rPr>
          <w:rFonts w:hint="eastAsia" w:ascii="宋体" w:hAnsi="宋体" w:eastAsia="宋体" w:cs="宋体"/>
          <w:sz w:val="24"/>
          <w:szCs w:val="24"/>
          <w:lang w:eastAsia="zh-CN"/>
        </w:rPr>
        <w:t>，</w:t>
      </w:r>
      <w:r>
        <w:rPr>
          <w:rFonts w:hint="eastAsia" w:ascii="宋体" w:hAnsi="宋体" w:eastAsia="宋体" w:cs="宋体"/>
          <w:sz w:val="24"/>
          <w:szCs w:val="24"/>
        </w:rPr>
        <w:t>包含但不限于以下费用：场地勘察、收集资料费、调查费、人员费（含周末及节假日加班费）、交通费、办公设备费、检测费、风险费、保险费、税金、利润等政策性文件规定及合同包含的所有风险、责任等各项应有费用，即招标服务周期结束前的所有费用且包含响应磋商文件采购要求的所有费用。</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.2付款方式：</w:t>
      </w:r>
    </w:p>
    <w:p>
      <w:pPr>
        <w:pStyle w:val="50"/>
        <w:keepNext w:val="0"/>
        <w:keepLines w:val="0"/>
        <w:pageBreakBefore w:val="0"/>
        <w:widowControl w:val="0"/>
        <w:numPr>
          <w:ilvl w:val="0"/>
          <w:numId w:val="0"/>
        </w:numPr>
        <w:kinsoku/>
        <w:wordWrap/>
        <w:overflowPunct/>
        <w:topLinePunct w:val="0"/>
        <w:bidi w:val="0"/>
        <w:spacing w:after="0" w:after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4.2.1合同签订后，一周内支付合同价款的30%，6个月后支付合同价的40%，余款在服务期满，经采购单位考核能较好完成工作任务后一次性付清（不计利息）。成交供应商应在采购单位付款前分别向付款方开具相应金额的增值税专用发票，否则采购单位有权延迟付款。</w:t>
      </w:r>
    </w:p>
    <w:p>
      <w:pPr>
        <w:keepNext w:val="0"/>
        <w:keepLines w:val="0"/>
        <w:pageBreakBefore w:val="0"/>
        <w:widowControl w:val="0"/>
        <w:tabs>
          <w:tab w:val="left" w:pos="360"/>
        </w:tabs>
        <w:kinsoku/>
        <w:wordWrap/>
        <w:overflowPunct/>
        <w:topLinePunct w:val="0"/>
        <w:bidi w:val="0"/>
        <w:snapToGrid w:val="0"/>
        <w:spacing w:line="360" w:lineRule="auto"/>
        <w:ind w:firstLine="494"/>
        <w:textAlignment w:val="auto"/>
        <w:rPr>
          <w:rFonts w:hint="eastAsia" w:ascii="宋体" w:hAnsi="宋体" w:eastAsia="宋体" w:cs="宋体"/>
          <w:bCs/>
          <w:sz w:val="24"/>
          <w:szCs w:val="24"/>
        </w:rPr>
      </w:pPr>
      <w:r>
        <w:rPr>
          <w:rFonts w:hint="eastAsia" w:ascii="宋体" w:hAnsi="宋体" w:eastAsia="宋体" w:cs="宋体"/>
          <w:color w:val="000000"/>
          <w:sz w:val="24"/>
          <w:szCs w:val="24"/>
          <w:lang w:val="en-US" w:eastAsia="zh-CN"/>
        </w:rPr>
        <w:t>4.2.2</w:t>
      </w:r>
      <w:r>
        <w:rPr>
          <w:rFonts w:hint="eastAsia" w:ascii="宋体" w:hAnsi="宋体" w:eastAsia="宋体" w:cs="宋体"/>
          <w:color w:val="000000"/>
          <w:sz w:val="24"/>
          <w:szCs w:val="24"/>
        </w:rPr>
        <w:t>如有未实施等导致合同价款减少的情况发生时，则支付合同价款时须扣除相关部分的价款。如</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有违约情形时，</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可以在当期合同款支付时直接扣除相关费用。</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 xml:space="preserve">、履约保证金  </w:t>
      </w:r>
    </w:p>
    <w:p>
      <w:pPr>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5.1本项目成交后乙方须向甲方缴纳的履约保证金为项目中标价的10%。</w:t>
      </w:r>
    </w:p>
    <w:p>
      <w:pPr>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5.2乙方的履约保证金须在中标通知书发出3个工作日内汇入甲方账户。</w:t>
      </w:r>
    </w:p>
    <w:p>
      <w:pPr>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5.3乙方在按要求保质保量的完成该项目合同并通过验收后，甲方凭乙方提交的申请，一次性无息退还该合同项目的履约保证金。</w:t>
      </w:r>
    </w:p>
    <w:p>
      <w:pPr>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5.4由于乙方原因，在签订合同后出现不按合同履行的情况，甲方有权将履约保证金作为违约金，全额不予退还，同时甲方亦有权终止合同，乙方还须承担相应的法律赔偿责任。</w:t>
      </w:r>
    </w:p>
    <w:p>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六、技术情报和资料的保密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乙方应对甲方提供的资料承担技术保密责任，并严格遵守以下原则：（1）乙方只有在甲方项目中有使用权，没有其它权力；（2）乙方不得复制甲方提供的技术资料，该项目结束后叁日内归还甲方提供的全部技术资料，并且无权向外扩散，未经甲方同意，乙方无权在第三方使用；（3）乙方应保证该技术只限该项目的了解，不得在无关人员中扩散。</w:t>
      </w:r>
    </w:p>
    <w:p>
      <w:pPr>
        <w:keepNext w:val="0"/>
        <w:keepLines w:val="0"/>
        <w:pageBreakBefore w:val="0"/>
        <w:widowControl w:val="0"/>
        <w:kinsoku/>
        <w:wordWrap/>
        <w:overflowPunct/>
        <w:topLinePunct w:val="0"/>
        <w:bidi w:val="0"/>
        <w:spacing w:line="360" w:lineRule="auto"/>
        <w:ind w:firstLine="480"/>
        <w:jc w:val="left"/>
        <w:textAlignment w:val="auto"/>
        <w:rPr>
          <w:rFonts w:hint="eastAsia" w:ascii="宋体" w:hAnsi="宋体" w:eastAsia="宋体" w:cs="宋体"/>
          <w:b/>
          <w:bCs/>
          <w:sz w:val="24"/>
        </w:rPr>
      </w:pPr>
      <w:r>
        <w:rPr>
          <w:rFonts w:hint="eastAsia" w:ascii="宋体" w:hAnsi="宋体" w:eastAsia="宋体" w:cs="宋体"/>
          <w:b/>
          <w:bCs/>
          <w:sz w:val="24"/>
        </w:rPr>
        <w:t>七、项目监督与验收</w:t>
      </w:r>
    </w:p>
    <w:p>
      <w:pPr>
        <w:keepNext w:val="0"/>
        <w:keepLines w:val="0"/>
        <w:pageBreakBefore w:val="0"/>
        <w:widowControl w:val="0"/>
        <w:kinsoku/>
        <w:wordWrap/>
        <w:overflowPunct/>
        <w:topLinePunct w:val="0"/>
        <w:bidi w:val="0"/>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lang w:val="en-US" w:eastAsia="zh-CN"/>
        </w:rPr>
        <w:t>7.1</w:t>
      </w:r>
      <w:r>
        <w:rPr>
          <w:rFonts w:hint="eastAsia" w:ascii="宋体" w:hAnsi="宋体" w:eastAsia="宋体" w:cs="宋体"/>
          <w:sz w:val="24"/>
        </w:rPr>
        <w:t>乙方承接服务项目后，由甲方对项目实施情况进行全程跟踪、监督和验收。</w:t>
      </w:r>
    </w:p>
    <w:p>
      <w:pPr>
        <w:keepNext w:val="0"/>
        <w:keepLines w:val="0"/>
        <w:pageBreakBefore w:val="0"/>
        <w:widowControl w:val="0"/>
        <w:kinsoku/>
        <w:wordWrap/>
        <w:overflowPunct/>
        <w:topLinePunct w:val="0"/>
        <w:bidi w:val="0"/>
        <w:spacing w:line="360" w:lineRule="auto"/>
        <w:ind w:firstLine="480"/>
        <w:jc w:val="left"/>
        <w:textAlignment w:val="auto"/>
        <w:rPr>
          <w:rFonts w:hint="eastAsia" w:ascii="宋体" w:hAnsi="宋体" w:eastAsia="宋体" w:cs="宋体"/>
          <w:sz w:val="24"/>
          <w:lang w:eastAsia="zh-CN"/>
        </w:rPr>
      </w:pPr>
      <w:r>
        <w:rPr>
          <w:rFonts w:hint="eastAsia" w:ascii="宋体" w:hAnsi="宋体" w:eastAsia="宋体" w:cs="宋体"/>
          <w:sz w:val="24"/>
          <w:szCs w:val="24"/>
          <w:lang w:val="en-US" w:eastAsia="zh-CN"/>
        </w:rPr>
        <w:t>7.2</w:t>
      </w:r>
      <w:r>
        <w:rPr>
          <w:rFonts w:ascii="宋体" w:hAnsi="宋体" w:eastAsia="宋体" w:cs="宋体"/>
          <w:sz w:val="24"/>
          <w:szCs w:val="24"/>
        </w:rPr>
        <w:t>乙方按照本合同要求完成项目后，及时向甲方提交工作成果，由甲方组织验收，乙方应给予配合，具体时间由甲方通知乙方，乙方应按照甲方通知的时间参加验收。乙方汇报工作成果，验收合格</w:t>
      </w:r>
      <w:r>
        <w:rPr>
          <w:rFonts w:hint="eastAsia" w:ascii="宋体" w:hAnsi="宋体" w:eastAsia="宋体" w:cs="宋体"/>
          <w:sz w:val="24"/>
          <w:szCs w:val="24"/>
          <w:lang w:val="en-US" w:eastAsia="zh-CN"/>
        </w:rPr>
        <w:t>后</w:t>
      </w:r>
      <w:r>
        <w:rPr>
          <w:rFonts w:ascii="宋体" w:hAnsi="宋体" w:eastAsia="宋体" w:cs="宋体"/>
          <w:sz w:val="24"/>
          <w:szCs w:val="24"/>
        </w:rPr>
        <w:t>由甲方出具技术服务验收证明</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八、双方权利和义务</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8.1</w:t>
      </w:r>
      <w:r>
        <w:rPr>
          <w:rFonts w:hint="eastAsia" w:ascii="宋体" w:hAnsi="宋体" w:eastAsia="宋体" w:cs="宋体"/>
          <w:sz w:val="24"/>
        </w:rPr>
        <w:t>甲方权利、义务</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8.1.1</w:t>
      </w:r>
      <w:r>
        <w:rPr>
          <w:rFonts w:hint="eastAsia" w:ascii="宋体" w:hAnsi="宋体" w:eastAsia="宋体" w:cs="宋体"/>
          <w:sz w:val="24"/>
        </w:rPr>
        <w:t>对项目实施情况进行全程跟踪、监督和验收</w:t>
      </w:r>
      <w:r>
        <w:rPr>
          <w:rFonts w:hint="eastAsia" w:ascii="宋体" w:hAnsi="宋体" w:eastAsia="宋体" w:cs="宋体"/>
          <w:sz w:val="24"/>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8.1.2</w:t>
      </w:r>
      <w:r>
        <w:rPr>
          <w:rFonts w:hint="eastAsia" w:ascii="宋体" w:hAnsi="宋体" w:eastAsia="宋体" w:cs="宋体"/>
          <w:sz w:val="24"/>
        </w:rPr>
        <w:t>协调乙方在提供服务过程相关的政府部门和单位。</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8.2</w:t>
      </w:r>
      <w:r>
        <w:rPr>
          <w:rFonts w:hint="eastAsia" w:ascii="宋体" w:hAnsi="宋体" w:eastAsia="宋体" w:cs="宋体"/>
          <w:sz w:val="24"/>
        </w:rPr>
        <w:t>乙方权利、义务</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8.2.1</w:t>
      </w:r>
      <w:r>
        <w:rPr>
          <w:rFonts w:hint="eastAsia" w:ascii="宋体" w:hAnsi="宋体" w:eastAsia="宋体" w:cs="宋体"/>
          <w:sz w:val="24"/>
        </w:rPr>
        <w:t>乙方可要求甲方按本合同的规定按时足额拨付项目经费。</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8.2.2</w:t>
      </w:r>
      <w:r>
        <w:rPr>
          <w:rFonts w:hint="eastAsia" w:ascii="宋体" w:hAnsi="宋体" w:eastAsia="宋体" w:cs="宋体"/>
          <w:sz w:val="24"/>
        </w:rPr>
        <w:t>乙方在履行合同过程中，不得将服务项目委托给第三方，应按本合同如实报告项目进展情况，按时、按标准完成项目任务。</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九、违约及赔偿</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9.1</w:t>
      </w:r>
      <w:r>
        <w:rPr>
          <w:rFonts w:hint="eastAsia" w:ascii="宋体" w:hAnsi="宋体" w:eastAsia="宋体" w:cs="宋体"/>
          <w:sz w:val="24"/>
        </w:rPr>
        <w:t>乙方应按照甲方的要求按时保质开展</w:t>
      </w:r>
      <w:r>
        <w:rPr>
          <w:rStyle w:val="129"/>
          <w:rFonts w:hint="eastAsia" w:ascii="宋体" w:hAnsi="宋体" w:eastAsia="宋体" w:cs="宋体"/>
          <w:sz w:val="24"/>
        </w:rPr>
        <w:t>入厂排查、</w:t>
      </w:r>
      <w:r>
        <w:rPr>
          <w:rFonts w:hint="eastAsia" w:ascii="宋体" w:hAnsi="宋体" w:eastAsia="宋体" w:cs="宋体"/>
          <w:sz w:val="24"/>
          <w:szCs w:val="24"/>
        </w:rPr>
        <w:t>提出整改建议</w:t>
      </w:r>
      <w:r>
        <w:rPr>
          <w:rFonts w:hint="eastAsia" w:ascii="宋体" w:hAnsi="宋体" w:eastAsia="宋体" w:cs="宋体"/>
          <w:sz w:val="24"/>
          <w:szCs w:val="24"/>
          <w:lang w:eastAsia="zh-CN"/>
        </w:rPr>
        <w:t>、</w:t>
      </w:r>
      <w:r>
        <w:rPr>
          <w:rStyle w:val="129"/>
          <w:rFonts w:hint="eastAsia" w:ascii="宋体" w:hAnsi="宋体" w:eastAsia="宋体" w:cs="宋体"/>
          <w:sz w:val="24"/>
        </w:rPr>
        <w:t>档案建设、咨询培训等各项工作，</w:t>
      </w:r>
      <w:r>
        <w:rPr>
          <w:rFonts w:hint="eastAsia" w:ascii="宋体" w:hAnsi="宋体" w:eastAsia="宋体" w:cs="宋体"/>
          <w:sz w:val="24"/>
        </w:rPr>
        <w:t>如乙方提供的服务不符合甲方要求的，乙方应按照甲方要求进行整改；如乙方拒绝整改或整改后仍不符合要求的，甲方有权解除本合同、乙方缴纳的履约保证金全额不予退还。</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9.2</w:t>
      </w:r>
      <w:r>
        <w:rPr>
          <w:rFonts w:hint="eastAsia" w:ascii="宋体" w:hAnsi="宋体" w:eastAsia="宋体" w:cs="宋体"/>
          <w:sz w:val="24"/>
        </w:rPr>
        <w:t>如乙方未经甲方书面同意，将本合同项下工作任务转包、分包或委托第三方的，甲方有权解除本合同、乙方缴纳的履约保证金全额不予退还。</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9.3</w:t>
      </w:r>
      <w:r>
        <w:rPr>
          <w:rFonts w:hint="eastAsia" w:ascii="宋体" w:hAnsi="宋体" w:eastAsia="宋体" w:cs="宋体"/>
          <w:sz w:val="24"/>
        </w:rPr>
        <w:t>在合同履行过程中，双方因违约或重大过失造成对方经济损失的，应当赔偿对方损失。</w:t>
      </w:r>
    </w:p>
    <w:p>
      <w:pPr>
        <w:keepNext w:val="0"/>
        <w:keepLines w:val="0"/>
        <w:pageBreakBefore w:val="0"/>
        <w:widowControl w:val="0"/>
        <w:kinsoku/>
        <w:wordWrap/>
        <w:overflowPunct/>
        <w:topLinePunct w:val="0"/>
        <w:bidi w:val="0"/>
        <w:snapToGrid w:val="0"/>
        <w:spacing w:line="360" w:lineRule="auto"/>
        <w:ind w:firstLine="496" w:firstLineChars="206"/>
        <w:textAlignment w:val="auto"/>
        <w:outlineLvl w:val="1"/>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、不可抗力</w:t>
      </w:r>
    </w:p>
    <w:p>
      <w:pPr>
        <w:keepNext w:val="0"/>
        <w:keepLines w:val="0"/>
        <w:pageBreakBefore w:val="0"/>
        <w:widowControl w:val="0"/>
        <w:kinsoku/>
        <w:wordWrap/>
        <w:overflowPunct/>
        <w:topLinePunct w:val="0"/>
        <w:bidi w:val="0"/>
        <w:adjustRightInd w:val="0"/>
        <w:snapToGrid w:val="0"/>
        <w:spacing w:line="360" w:lineRule="auto"/>
        <w:ind w:firstLine="55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.1因不可抗力不能履行合同的，根据不可抗力的影响，部分或者全部免除责任。但合同一方延迟履行后发生不可抗力的，不能免除责任。</w:t>
      </w:r>
    </w:p>
    <w:p>
      <w:pPr>
        <w:keepNext w:val="0"/>
        <w:keepLines w:val="0"/>
        <w:pageBreakBefore w:val="0"/>
        <w:widowControl w:val="0"/>
        <w:kinsoku/>
        <w:wordWrap/>
        <w:overflowPunct/>
        <w:topLinePunct w:val="0"/>
        <w:bidi w:val="0"/>
        <w:adjustRightInd w:val="0"/>
        <w:snapToGrid w:val="0"/>
        <w:spacing w:line="360" w:lineRule="auto"/>
        <w:ind w:firstLine="55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.2合同一方因不可抗力不能履行合同的，应当及时通知对方，以减轻可能给对方造成的损失，并应当在合理期限内提供证明。</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十一</w:t>
      </w:r>
      <w:r>
        <w:rPr>
          <w:rFonts w:hint="eastAsia" w:ascii="宋体" w:hAnsi="宋体" w:eastAsia="宋体" w:cs="宋体"/>
          <w:b/>
          <w:sz w:val="24"/>
          <w:szCs w:val="24"/>
        </w:rPr>
        <w:t>、合同的解除和转让</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.1甲方和乙方协商一致，可以解除合同。</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.2有下列情形之一，合同一方可以解除合同：</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.2.1因不可抗力致使不能实现合同目的，未受不可抗力影响的一方有权解除合同。</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.2.2因合同一方违约导致合同不能履行，另一方有权解除合同。</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.2.3有权解除合同的一方，应当在违约事实或不可抗力发生之后三十天内书面通知对方以主张解除合同，合同在书面通知到达对方时解除。</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.3合同的部分和全部都不得转让。</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十二</w:t>
      </w:r>
      <w:r>
        <w:rPr>
          <w:rFonts w:hint="eastAsia" w:ascii="宋体" w:hAnsi="宋体" w:eastAsia="宋体" w:cs="宋体"/>
          <w:b/>
          <w:sz w:val="24"/>
          <w:szCs w:val="24"/>
        </w:rPr>
        <w:t>、合同的生效</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本合同在</w:t>
      </w:r>
      <w:r>
        <w:rPr>
          <w:rFonts w:hint="eastAsia" w:ascii="宋体" w:hAnsi="宋体" w:eastAsia="宋体" w:cs="宋体"/>
          <w:sz w:val="24"/>
          <w:szCs w:val="24"/>
          <w:u w:val="single"/>
        </w:rPr>
        <w:t>乙方按规定缴纳了履约保证金且甲乙双方签字盖章后</w:t>
      </w:r>
      <w:r>
        <w:rPr>
          <w:rFonts w:hint="eastAsia" w:ascii="宋体" w:hAnsi="宋体" w:eastAsia="宋体" w:cs="宋体"/>
          <w:sz w:val="24"/>
          <w:szCs w:val="24"/>
        </w:rPr>
        <w:t xml:space="preserve">即生效。  </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三</w:t>
      </w:r>
      <w:r>
        <w:rPr>
          <w:rFonts w:hint="eastAsia" w:ascii="宋体" w:hAnsi="宋体" w:eastAsia="宋体" w:cs="宋体"/>
          <w:b/>
          <w:sz w:val="24"/>
          <w:szCs w:val="24"/>
        </w:rPr>
        <w:t>、争议的解决</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甲乙双方因合同发生争议，应在</w:t>
      </w:r>
      <w:r>
        <w:rPr>
          <w:rFonts w:hint="eastAsia" w:ascii="宋体" w:hAnsi="宋体" w:eastAsia="宋体" w:cs="宋体"/>
          <w:sz w:val="24"/>
          <w:szCs w:val="24"/>
          <w:lang w:val="en-US" w:eastAsia="zh-CN"/>
        </w:rPr>
        <w:t>甲方</w:t>
      </w:r>
      <w:r>
        <w:rPr>
          <w:rFonts w:hint="eastAsia" w:ascii="宋体" w:hAnsi="宋体" w:eastAsia="宋体" w:cs="宋体"/>
          <w:sz w:val="24"/>
          <w:szCs w:val="24"/>
        </w:rPr>
        <w:t>的主持下进行调解，协商不成，任何一方可以向项目属地的人民法院提起诉讼解决。</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四</w:t>
      </w:r>
      <w:r>
        <w:rPr>
          <w:rFonts w:hint="eastAsia" w:ascii="宋体" w:hAnsi="宋体" w:eastAsia="宋体" w:cs="宋体"/>
          <w:b/>
          <w:sz w:val="24"/>
          <w:szCs w:val="24"/>
        </w:rPr>
        <w:t>、附则</w:t>
      </w:r>
    </w:p>
    <w:p>
      <w:pPr>
        <w:keepNext w:val="0"/>
        <w:keepLines w:val="0"/>
        <w:pageBreakBefore w:val="0"/>
        <w:widowControl w:val="0"/>
        <w:kinsoku/>
        <w:wordWrap/>
        <w:overflowPunct/>
        <w:topLinePunct w:val="0"/>
        <w:bidi w:val="0"/>
        <w:snapToGrid w:val="0"/>
        <w:spacing w:line="360" w:lineRule="auto"/>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.1合同份数：本合同一式</w:t>
      </w:r>
      <w:r>
        <w:rPr>
          <w:rFonts w:hint="eastAsia" w:ascii="宋体" w:hAnsi="宋体" w:eastAsia="宋体" w:cs="宋体"/>
          <w:sz w:val="24"/>
          <w:szCs w:val="24"/>
          <w:u w:val="single"/>
          <w:lang w:val="en-US" w:eastAsia="zh-CN"/>
        </w:rPr>
        <w:t>肆</w:t>
      </w:r>
      <w:r>
        <w:rPr>
          <w:rFonts w:hint="eastAsia" w:ascii="宋体" w:hAnsi="宋体" w:eastAsia="宋体" w:cs="宋体"/>
          <w:sz w:val="24"/>
          <w:szCs w:val="24"/>
        </w:rPr>
        <w:t>份，</w:t>
      </w:r>
      <w:r>
        <w:rPr>
          <w:rFonts w:hint="eastAsia" w:ascii="宋体" w:hAnsi="宋体" w:eastAsia="宋体" w:cs="宋体"/>
          <w:sz w:val="24"/>
          <w:szCs w:val="24"/>
          <w:lang w:val="en-US" w:eastAsia="zh-CN"/>
        </w:rPr>
        <w:t>甲、乙</w:t>
      </w:r>
      <w:r>
        <w:rPr>
          <w:rFonts w:hint="eastAsia" w:ascii="宋体" w:hAnsi="宋体" w:eastAsia="宋体" w:cs="宋体"/>
          <w:sz w:val="24"/>
          <w:szCs w:val="24"/>
        </w:rPr>
        <w:t>双方各执</w:t>
      </w:r>
      <w:r>
        <w:rPr>
          <w:rFonts w:hint="eastAsia" w:ascii="宋体" w:hAnsi="宋体" w:eastAsia="宋体" w:cs="宋体"/>
          <w:sz w:val="24"/>
          <w:szCs w:val="24"/>
          <w:u w:val="single"/>
        </w:rPr>
        <w:t>贰</w:t>
      </w:r>
      <w:r>
        <w:rPr>
          <w:rFonts w:hint="eastAsia" w:ascii="宋体" w:hAnsi="宋体" w:eastAsia="宋体" w:cs="宋体"/>
          <w:sz w:val="24"/>
          <w:szCs w:val="24"/>
        </w:rPr>
        <w:t>份。</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.2本合同文件使用中文书写、解释和说明。</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.3本合同履行过程中产生的纪要、协议以及成交通知书、采购响应文件和采购文件为本合同的附件，与合同具有同等效力。</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.4未尽事宜</w:t>
      </w:r>
    </w:p>
    <w:p>
      <w:pPr>
        <w:keepNext w:val="0"/>
        <w:keepLines w:val="0"/>
        <w:pageBreakBefore w:val="0"/>
        <w:widowControl w:val="0"/>
        <w:kinsoku/>
        <w:wordWrap/>
        <w:overflowPunct/>
        <w:topLinePunct w:val="0"/>
        <w:bidi w:val="0"/>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本合同未尽事宜应按照《中华人民共和国民法典》、《中华人民共和国政府采购法》及其相关配套法律法规之规定解释。</w:t>
      </w:r>
    </w:p>
    <w:p>
      <w:pPr>
        <w:pStyle w:val="21"/>
        <w:keepNext w:val="0"/>
        <w:keepLines w:val="0"/>
        <w:pageBreakBefore w:val="0"/>
        <w:widowControl w:val="0"/>
        <w:kinsoku/>
        <w:wordWrap/>
        <w:overflowPunct/>
        <w:topLinePunct w:val="0"/>
        <w:bidi w:val="0"/>
        <w:spacing w:line="360" w:lineRule="auto"/>
        <w:ind w:left="25" w:firstLine="562"/>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甲方</w:t>
      </w:r>
      <w:r>
        <w:rPr>
          <w:rFonts w:hint="eastAsia" w:ascii="宋体" w:hAnsi="宋体" w:eastAsia="宋体" w:cs="宋体"/>
          <w:sz w:val="24"/>
          <w:szCs w:val="24"/>
        </w:rPr>
        <w:t xml:space="preserve">（盖章）：                 </w:t>
      </w:r>
      <w:r>
        <w:rPr>
          <w:rFonts w:hint="eastAsia" w:ascii="宋体" w:hAnsi="宋体" w:eastAsia="宋体" w:cs="宋体"/>
          <w:sz w:val="24"/>
          <w:szCs w:val="24"/>
          <w:lang w:val="en-US" w:eastAsia="zh-CN"/>
        </w:rPr>
        <w:t xml:space="preserve">     乙方</w:t>
      </w:r>
      <w:r>
        <w:rPr>
          <w:rFonts w:hint="eastAsia" w:ascii="宋体" w:hAnsi="宋体" w:eastAsia="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委托代理人：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委托代理人：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开户银行：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帐号： </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2"/>
        <w:jc w:val="right"/>
        <w:textAlignment w:val="auto"/>
        <w:rPr>
          <w:rFonts w:hint="eastAsia" w:ascii="宋体" w:hAnsi="宋体" w:eastAsia="宋体" w:cs="宋体"/>
          <w:b w:val="0"/>
          <w:bCs w:val="0"/>
          <w:color w:val="000000"/>
          <w:kern w:val="44"/>
          <w:sz w:val="24"/>
          <w:szCs w:val="24"/>
        </w:rPr>
      </w:pPr>
      <w:r>
        <w:rPr>
          <w:rFonts w:hint="eastAsia" w:ascii="宋体" w:hAnsi="宋体" w:eastAsia="宋体" w:cs="宋体"/>
          <w:b w:val="0"/>
          <w:bCs w:val="0"/>
          <w:color w:val="000000"/>
          <w:kern w:val="44"/>
          <w:sz w:val="24"/>
          <w:szCs w:val="24"/>
        </w:rPr>
        <w:t>年 月 日</w:t>
      </w:r>
    </w:p>
    <w:p>
      <w:pPr>
        <w:keepNext w:val="0"/>
        <w:keepLines w:val="0"/>
        <w:pageBreakBefore w:val="0"/>
        <w:widowControl w:val="0"/>
        <w:kinsoku/>
        <w:wordWrap/>
        <w:overflowPunct/>
        <w:topLinePunct w:val="0"/>
        <w:autoSpaceDE/>
        <w:autoSpaceDN/>
        <w:bidi w:val="0"/>
        <w:adjustRightInd/>
        <w:snapToGrid/>
        <w:spacing w:line="360" w:lineRule="auto"/>
        <w:ind w:firstLine="892" w:firstLineChars="202"/>
        <w:jc w:val="center"/>
        <w:textAlignment w:val="auto"/>
        <w:rPr>
          <w:rFonts w:hint="eastAsia" w:ascii="宋体" w:hAnsi="宋体" w:eastAsia="宋体" w:cs="宋体"/>
          <w:b/>
          <w:bCs/>
          <w:color w:val="000000"/>
          <w:kern w:val="44"/>
          <w:sz w:val="44"/>
          <w:szCs w:val="44"/>
        </w:rPr>
      </w:pPr>
      <w:r>
        <w:rPr>
          <w:rFonts w:hint="eastAsia" w:ascii="宋体" w:hAnsi="宋体" w:eastAsia="宋体" w:cs="宋体"/>
          <w:b/>
          <w:bCs/>
          <w:color w:val="000000"/>
          <w:kern w:val="44"/>
          <w:sz w:val="44"/>
          <w:szCs w:val="44"/>
        </w:rPr>
        <w:t>第六章</w:t>
      </w:r>
      <w:r>
        <w:rPr>
          <w:rFonts w:hint="eastAsia" w:ascii="宋体" w:hAnsi="宋体" w:eastAsia="宋体" w:cs="宋体"/>
          <w:b/>
          <w:bCs/>
          <w:color w:val="000000"/>
          <w:kern w:val="44"/>
          <w:sz w:val="44"/>
          <w:szCs w:val="44"/>
          <w:lang w:val="en-US" w:eastAsia="zh-CN"/>
        </w:rPr>
        <w:t xml:space="preserve"> </w:t>
      </w:r>
      <w:r>
        <w:rPr>
          <w:rFonts w:hint="eastAsia" w:ascii="宋体" w:hAnsi="宋体" w:eastAsia="宋体" w:cs="宋体"/>
          <w:b/>
          <w:bCs/>
          <w:color w:val="000000"/>
          <w:kern w:val="44"/>
          <w:sz w:val="44"/>
          <w:szCs w:val="44"/>
        </w:rPr>
        <w:t xml:space="preserve"> 质疑提出和处理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一、质疑的提出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1.质疑人必须是直接参加本次磋商活动的当事人。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2.下载磋商文件的供应商应</w:t>
      </w:r>
      <w:r>
        <w:rPr>
          <w:rFonts w:hint="eastAsia" w:ascii="宋体" w:hAnsi="宋体" w:eastAsia="宋体" w:cs="宋体"/>
          <w:sz w:val="24"/>
          <w:szCs w:val="24"/>
        </w:rPr>
        <w:t>根据第二章“磋商供应商须知”中第一条第4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本次招标有质疑的，实行实名制，不得进行虚假、恶意质疑。质疑人应在质疑有效期内以书面形式提出《质疑函》（格式请在崇川区人民政府网-“政府采购与工程招标--下载中心--质疑函”下载），《质疑函》内容应包括质疑事项、主要内容、事实依据、适应法规条款、佐证材料等。同时，质疑人应保证其提出的质疑内容及相关佐证材料的真实性及来源的合法性，并承担相应的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对不能提供相关佐证材料的、涉及商业秘密的、非书面形式的、非送达的、匿名的《质疑函》将不予受理。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相关佐证材料要具备客观性、关联性、合法性，无法查实的（如宣传册、媒体报道、猜测、推理等）不能作为佐证材料。</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采购单位或采购代理机构不负责搜集相关佐证材料等工作。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二、《质疑函》的受理和回复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1.《质疑函》须由质疑人的法定代表人或参加本次磋商被授权人</w:t>
      </w:r>
      <w:r>
        <w:rPr>
          <w:rFonts w:hint="eastAsia" w:ascii="宋体" w:hAnsi="宋体" w:eastAsia="宋体" w:cs="宋体"/>
          <w:color w:val="000000"/>
          <w:sz w:val="24"/>
          <w:szCs w:val="24"/>
        </w:rPr>
        <w:t>送达采购单位和采购代理机构。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3.对不符合提出质疑要求的，出具《质疑退回通知书》并提出相关补充材料要求，质疑人未在规定的时间内提供补充佐证材料的，视同放弃质疑。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4.采购单位、采购代理机构负责将质疑人提出的质疑相关材料提供给相关专家或评估小组审核，并将审核意见回复质疑人。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5.因质疑情况复杂，组织论证或审查时间较长的，采购单位、采购代理机构以书面形式通知质疑人，可适当延长质疑回复处理时间。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三、质疑处理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1.质疑成立的处理。采购单位或采购代理机构终止采购，并建议有关部门给相关当事人予以处理。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2.质疑不成立的处理。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1）质疑人书面《申请撤回质疑函》的，不作违约处理。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2）质疑人在规定的时间内不配合进行质疑调查处理的，按自动撤回《质疑函》处理。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3）质疑人不按《质疑函》格式就提出质疑的，作违约处理。同时，视情列入不良供应商名单。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4）质疑人虽提供了相关佐证材料，但不能证明其质疑成立的，采购单位或采购代理机构请质疑人补充相关佐证材料，仍不能证明其质疑成立的，作违约处理。并将其列入不良供应商名单。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5）质疑人不能提供相关佐证材料的，采购单位、采购代理机构已指出，质疑人仍然坚持提出质疑的，作违约处理。同时，列入不良供应商名单。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公共资源交易平台、省、国家级相关媒体予以披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7）质疑人承担使用虚假材料或恶意方式质疑的法律责任。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六、《质疑函》、《质疑回复函》，质疑、举报、投诉不成立的等相关情况，视情在南通公共资源交易平台、省、国家级等相关媒体予以披露。并建议相关政府采购机构对该供应商同步实施1至3年内禁入。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七、质疑供应商对采购单位或代理机构的答复不满意或者采购单位或代理机构未在规定的时间内作出答复的，可以在答复期满后15个工作日内向崇川区政府采购监督管理部门投诉。</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i/>
          <w:color w:val="000000"/>
          <w:kern w:val="44"/>
          <w:sz w:val="44"/>
          <w:szCs w:val="44"/>
        </w:rPr>
        <w:br w:type="page"/>
      </w:r>
      <w:bookmarkEnd w:id="96"/>
      <w:bookmarkEnd w:id="97"/>
      <w:r>
        <w:rPr>
          <w:rFonts w:hint="eastAsia" w:ascii="宋体" w:hAnsi="宋体" w:eastAsia="宋体" w:cs="宋体"/>
          <w:b/>
          <w:iCs/>
          <w:w w:val="80"/>
          <w:sz w:val="44"/>
          <w:szCs w:val="44"/>
        </w:rPr>
        <w:t>第七章  响应文件组成及格式</w:t>
      </w:r>
    </w:p>
    <w:p>
      <w:pPr>
        <w:keepNext w:val="0"/>
        <w:keepLines w:val="0"/>
        <w:pageBreakBefore w:val="0"/>
        <w:widowControl w:val="0"/>
        <w:kinsoku/>
        <w:wordWrap/>
        <w:overflowPunct/>
        <w:topLinePunct w:val="0"/>
        <w:autoSpaceDE/>
        <w:autoSpaceDN/>
        <w:bidi w:val="0"/>
        <w:adjustRightInd w:val="0"/>
        <w:snapToGrid w:val="0"/>
        <w:spacing w:line="360" w:lineRule="auto"/>
        <w:ind w:firstLine="487" w:firstLineChars="202"/>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响应文件由资格审查文件、技术响应文件、商务报价响应文件</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电子版响应文件（u盘）四</w:t>
      </w:r>
      <w:r>
        <w:rPr>
          <w:rFonts w:hint="eastAsia" w:ascii="宋体" w:hAnsi="宋体" w:eastAsia="宋体" w:cs="宋体"/>
          <w:b/>
          <w:bCs/>
          <w:sz w:val="24"/>
          <w:szCs w:val="24"/>
        </w:rPr>
        <w:t>部分组成</w:t>
      </w:r>
      <w:r>
        <w:rPr>
          <w:rFonts w:hint="eastAsia" w:ascii="宋体" w:hAnsi="宋体" w:eastAsia="宋体" w:cs="宋体"/>
          <w:b/>
          <w:bCs/>
          <w:sz w:val="24"/>
          <w:szCs w:val="24"/>
        </w:rPr>
        <w:t xml:space="preserve">。本次竞争性磋商采用资格后审方式，供应商须将资格审查文件作为响应文件组成部分，按磋商文件要求装订密封后一起递交。 </w:t>
      </w:r>
    </w:p>
    <w:p>
      <w:pPr>
        <w:keepNext w:val="0"/>
        <w:keepLines w:val="0"/>
        <w:pageBreakBefore w:val="0"/>
        <w:widowControl w:val="0"/>
        <w:kinsoku/>
        <w:wordWrap/>
        <w:overflowPunct/>
        <w:topLinePunct w:val="0"/>
        <w:autoSpaceDE/>
        <w:autoSpaceDN/>
        <w:bidi w:val="0"/>
        <w:adjustRightInd w:val="0"/>
        <w:snapToGrid w:val="0"/>
        <w:spacing w:line="360" w:lineRule="auto"/>
        <w:ind w:firstLine="487" w:firstLineChars="202"/>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一、资格审查文件（不得出现技术</w:t>
      </w:r>
      <w:r>
        <w:rPr>
          <w:rFonts w:hint="eastAsia" w:ascii="宋体" w:hAnsi="宋体" w:eastAsia="宋体" w:cs="宋体"/>
          <w:b/>
          <w:bCs/>
          <w:sz w:val="24"/>
          <w:szCs w:val="24"/>
          <w:lang w:val="en-US" w:eastAsia="zh-CN"/>
        </w:rPr>
        <w:t>及</w:t>
      </w:r>
      <w:r>
        <w:rPr>
          <w:rFonts w:hint="eastAsia" w:ascii="宋体" w:hAnsi="宋体" w:eastAsia="宋体" w:cs="宋体"/>
          <w:b/>
          <w:bCs/>
          <w:sz w:val="24"/>
          <w:szCs w:val="24"/>
        </w:rPr>
        <w:t>商务报价响应文件）：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1.供应商符合《政府采购法》第二十二条规定条件的声明函</w:t>
      </w:r>
      <w:r>
        <w:rPr>
          <w:rFonts w:hint="eastAsia" w:ascii="宋体" w:hAnsi="宋体" w:eastAsia="宋体" w:cs="宋体"/>
          <w:kern w:val="0"/>
          <w:sz w:val="24"/>
          <w:szCs w:val="24"/>
        </w:rPr>
        <w:t>（格式参见第七章）</w:t>
      </w:r>
      <w:r>
        <w:rPr>
          <w:rFonts w:hint="eastAsia" w:ascii="宋体" w:hAnsi="宋体" w:eastAsia="宋体" w:cs="宋体"/>
          <w:kern w:val="0"/>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.关于资格的声明函（格式参见第七章）；</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.供应商法定代表人参加</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的，必须提供法定代表人身份证明及法定代表人本人身份证复印件；非法定代表人参加</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的，必须提供法定代表人签字或盖章的授权委托书及法定代表人、被授权人的两人身份证的复印件（格式参见第七章）；</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4.供应商提供有效的营业执照复印件加盖公章；</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color w:val="auto"/>
          <w:sz w:val="24"/>
          <w:szCs w:val="24"/>
          <w:lang w:val="zh-CN"/>
        </w:rPr>
        <w:t>未被“信用中国”网站列入失信被执行人、重大税收违法案件当事人名单、采购严重失信行为记录名单，</w:t>
      </w:r>
      <w:r>
        <w:rPr>
          <w:rFonts w:hint="eastAsia" w:ascii="宋体" w:hAnsi="宋体" w:eastAsia="宋体" w:cs="宋体"/>
          <w:color w:val="auto"/>
          <w:sz w:val="24"/>
          <w:szCs w:val="24"/>
        </w:rPr>
        <w:t>并提供无重大违法记录声明（格式参见第</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章）</w:t>
      </w:r>
      <w:r>
        <w:rPr>
          <w:rFonts w:hint="eastAsia" w:ascii="宋体" w:hAnsi="宋体" w:eastAsia="宋体" w:cs="宋体"/>
          <w:kern w:val="0"/>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6.供应商认为需要提交的其他资料。</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技术标响应文件（不得出现报价，单独装订密封）：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应根据本磋商文件第三章“项目需求”提供的主要技术规范，服务要求标准等，仔细阅读并在理解的基础上结合第四章“评审方法和程序”内的评审细则，编写编制技术磋商响应文件。以下技术标响应文件的内容，不得有缺项或漏项。否则将有可能被视为未实质性响应磋商文件要求而作无效磋商响应处理，或可能直接影响技术标评审的得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1.竞争性磋商响应函</w:t>
      </w:r>
      <w:r>
        <w:rPr>
          <w:rFonts w:hint="eastAsia" w:ascii="宋体" w:hAnsi="宋体" w:eastAsia="宋体" w:cs="宋体"/>
          <w:kern w:val="0"/>
          <w:sz w:val="24"/>
          <w:szCs w:val="24"/>
        </w:rPr>
        <w:t>（格式参见第七章）</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2.供应商情况一览表</w:t>
      </w:r>
      <w:r>
        <w:rPr>
          <w:rFonts w:hint="eastAsia" w:ascii="宋体" w:hAnsi="宋体" w:eastAsia="宋体" w:cs="宋体"/>
          <w:kern w:val="0"/>
          <w:sz w:val="24"/>
          <w:szCs w:val="24"/>
        </w:rPr>
        <w:t>（格式参见第七章）</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.磋商文件中项目需求、评审方法和程序所涉及的事项需提供的所有资料；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en-GB"/>
        </w:rPr>
        <w:t>.</w:t>
      </w:r>
      <w:r>
        <w:rPr>
          <w:rFonts w:hint="eastAsia" w:ascii="宋体" w:hAnsi="宋体" w:eastAsia="宋体" w:cs="宋体"/>
          <w:bCs/>
          <w:sz w:val="24"/>
          <w:szCs w:val="24"/>
        </w:rPr>
        <w:t>磋商文件中项目需求、评审方法和程序未涉及的事项，供应商认为需要提交的其他资料</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en-US" w:eastAsia="zh-CN"/>
        </w:rPr>
        <w:t>.</w:t>
      </w:r>
      <w:r>
        <w:rPr>
          <w:rFonts w:hint="eastAsia" w:ascii="宋体" w:hAnsi="宋体" w:eastAsia="宋体" w:cs="宋体"/>
          <w:kern w:val="0"/>
          <w:sz w:val="24"/>
          <w:szCs w:val="24"/>
          <w:lang w:val="en-US" w:eastAsia="zh-CN"/>
        </w:rPr>
        <w:t>供应商认为需要提交的其他资料。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7" w:firstLineChars="202"/>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特别提醒：</w:t>
      </w:r>
      <w:r>
        <w:rPr>
          <w:rFonts w:hint="eastAsia" w:ascii="宋体" w:hAnsi="宋体" w:eastAsia="宋体" w:cs="宋体"/>
          <w:b/>
          <w:bCs/>
          <w:sz w:val="24"/>
          <w:szCs w:val="24"/>
          <w:u w:val="single" w:color="FF0000"/>
        </w:rPr>
        <w:t>为方便评委评审，请供应商按评审办法中所涉及的事项顺序进行编制，可以补充相关材料</w:t>
      </w:r>
      <w:r>
        <w:rPr>
          <w:rFonts w:hint="eastAsia" w:ascii="宋体" w:hAnsi="宋体" w:eastAsia="宋体" w:cs="宋体"/>
          <w:b/>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商务报价响应文件（按标段单独装订密封）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1.磋商响应报价表</w:t>
      </w:r>
      <w:r>
        <w:rPr>
          <w:rFonts w:hint="eastAsia" w:ascii="宋体" w:hAnsi="宋体" w:eastAsia="宋体" w:cs="宋体"/>
          <w:kern w:val="0"/>
          <w:sz w:val="24"/>
          <w:szCs w:val="24"/>
        </w:rPr>
        <w:t>（格式参见第七章）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.中小企业声明函（</w:t>
      </w:r>
      <w:r>
        <w:rPr>
          <w:rFonts w:hint="eastAsia" w:ascii="宋体" w:hAnsi="宋体" w:eastAsia="宋体" w:cs="宋体"/>
          <w:kern w:val="0"/>
          <w:sz w:val="24"/>
          <w:szCs w:val="24"/>
        </w:rPr>
        <w:t>格式参见第七章</w:t>
      </w:r>
      <w:r>
        <w:rPr>
          <w:rFonts w:hint="eastAsia" w:ascii="宋体" w:hAnsi="宋体" w:eastAsia="宋体" w:cs="宋体"/>
          <w:sz w:val="24"/>
          <w:szCs w:val="24"/>
        </w:rPr>
        <w:t>，如涉有，则提供）</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.残疾人福利性单位声明函（</w:t>
      </w:r>
      <w:r>
        <w:rPr>
          <w:rFonts w:hint="eastAsia" w:ascii="宋体" w:hAnsi="宋体" w:eastAsia="宋体" w:cs="宋体"/>
          <w:kern w:val="0"/>
          <w:sz w:val="24"/>
          <w:szCs w:val="24"/>
        </w:rPr>
        <w:t>格式参见第七章</w:t>
      </w:r>
      <w:r>
        <w:rPr>
          <w:rFonts w:hint="eastAsia" w:ascii="宋体" w:hAnsi="宋体" w:eastAsia="宋体" w:cs="宋体"/>
          <w:sz w:val="24"/>
          <w:szCs w:val="24"/>
        </w:rPr>
        <w:t>，如涉有，则提供）</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.监狱和戒毒企业声明函（格式自拟，如涉有，则提供）。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四、电子版应答文件（u盘或光盘）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rPr>
      </w:pPr>
      <w:r>
        <w:rPr>
          <w:rFonts w:hint="eastAsia" w:ascii="宋体" w:hAnsi="宋体" w:eastAsia="宋体" w:cs="宋体"/>
          <w:sz w:val="24"/>
          <w:szCs w:val="24"/>
        </w:rPr>
        <w:t>响应文件电子版单独封装U盘</w:t>
      </w:r>
      <w:r>
        <w:rPr>
          <w:rFonts w:hint="eastAsia" w:ascii="宋体" w:hAnsi="宋体" w:eastAsia="宋体" w:cs="宋体"/>
          <w:sz w:val="24"/>
          <w:szCs w:val="24"/>
          <w:lang w:val="en-US" w:eastAsia="zh-CN"/>
        </w:rPr>
        <w:t>或光盘</w:t>
      </w:r>
      <w:r>
        <w:rPr>
          <w:rFonts w:hint="eastAsia" w:ascii="宋体" w:hAnsi="宋体" w:eastAsia="宋体" w:cs="宋体"/>
          <w:sz w:val="24"/>
          <w:szCs w:val="24"/>
        </w:rPr>
        <w:t>1个（供留档使用），电子版为有签字盖章的PDF文件。</w:t>
      </w:r>
      <w:r>
        <w:rPr>
          <w:rFonts w:hint="eastAsia" w:ascii="宋体" w:hAnsi="宋体" w:eastAsia="宋体" w:cs="宋体"/>
          <w:sz w:val="24"/>
          <w:szCs w:val="24"/>
          <w:lang w:val="en-US" w:eastAsia="zh-CN"/>
        </w:rPr>
        <w:t>与纸质文件一并</w:t>
      </w:r>
      <w:r>
        <w:rPr>
          <w:rFonts w:hint="eastAsia" w:ascii="宋体" w:hAnsi="宋体" w:eastAsia="宋体" w:cs="宋体"/>
          <w:sz w:val="24"/>
          <w:szCs w:val="24"/>
        </w:rPr>
        <w:t>提交，内容包括：资格审查文件、技术响应文件、商务报价响应文件的全部内容。</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附件：</w:t>
      </w:r>
    </w:p>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封 面</w:t>
      </w:r>
    </w:p>
    <w:p>
      <w:pPr>
        <w:spacing w:line="480" w:lineRule="exact"/>
        <w:jc w:val="center"/>
        <w:rPr>
          <w:rFonts w:hint="eastAsia" w:ascii="宋体" w:hAnsi="宋体" w:eastAsia="宋体" w:cs="宋体"/>
          <w:b/>
          <w:bCs/>
          <w:sz w:val="28"/>
          <w:szCs w:val="28"/>
        </w:rPr>
      </w:pPr>
    </w:p>
    <w:p>
      <w:pPr>
        <w:tabs>
          <w:tab w:val="left" w:pos="6300"/>
        </w:tabs>
        <w:snapToGrid w:val="0"/>
        <w:spacing w:line="300" w:lineRule="auto"/>
        <w:jc w:val="center"/>
        <w:rPr>
          <w:rFonts w:hint="eastAsia" w:ascii="宋体" w:hAnsi="宋体" w:eastAsia="宋体" w:cs="宋体"/>
          <w:b/>
          <w:sz w:val="44"/>
          <w:szCs w:val="44"/>
        </w:rPr>
      </w:pPr>
    </w:p>
    <w:p>
      <w:pPr>
        <w:tabs>
          <w:tab w:val="left" w:pos="6300"/>
        </w:tabs>
        <w:snapToGrid w:val="0"/>
        <w:spacing w:line="300" w:lineRule="auto"/>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钟秀街道环保管家服务项目</w:t>
      </w:r>
    </w:p>
    <w:p>
      <w:pPr>
        <w:spacing w:line="420" w:lineRule="exact"/>
        <w:jc w:val="center"/>
        <w:rPr>
          <w:rFonts w:hint="eastAsia" w:ascii="宋体" w:hAnsi="宋体" w:eastAsia="宋体" w:cs="宋体"/>
          <w:w w:val="80"/>
          <w:kern w:val="44"/>
          <w:sz w:val="24"/>
          <w:szCs w:val="24"/>
        </w:rPr>
      </w:pPr>
    </w:p>
    <w:p>
      <w:pPr>
        <w:spacing w:line="420" w:lineRule="exact"/>
        <w:jc w:val="center"/>
        <w:rPr>
          <w:rFonts w:hint="eastAsia" w:ascii="宋体" w:hAnsi="宋体" w:eastAsia="宋体" w:cs="宋体"/>
          <w:w w:val="80"/>
          <w:kern w:val="44"/>
          <w:sz w:val="24"/>
          <w:szCs w:val="24"/>
        </w:rPr>
      </w:pPr>
    </w:p>
    <w:p>
      <w:pPr>
        <w:spacing w:line="520" w:lineRule="exact"/>
        <w:jc w:val="both"/>
        <w:rPr>
          <w:rFonts w:hint="eastAsia" w:ascii="宋体" w:hAnsi="宋体" w:eastAsia="宋体" w:cs="宋体"/>
          <w:b/>
          <w:sz w:val="36"/>
          <w:szCs w:val="36"/>
        </w:rPr>
      </w:pPr>
    </w:p>
    <w:p>
      <w:pPr>
        <w:spacing w:line="520" w:lineRule="exact"/>
        <w:jc w:val="center"/>
        <w:rPr>
          <w:rFonts w:hint="eastAsia" w:ascii="宋体" w:hAnsi="宋体" w:eastAsia="宋体" w:cs="宋体"/>
          <w:b/>
          <w:sz w:val="36"/>
          <w:szCs w:val="36"/>
        </w:rPr>
      </w:pPr>
    </w:p>
    <w:p>
      <w:pPr>
        <w:spacing w:line="520" w:lineRule="exact"/>
        <w:jc w:val="center"/>
        <w:rPr>
          <w:rFonts w:hint="eastAsia" w:ascii="宋体" w:hAnsi="宋体" w:eastAsia="宋体" w:cs="宋体"/>
          <w:b/>
          <w:sz w:val="36"/>
          <w:szCs w:val="36"/>
        </w:rPr>
      </w:pPr>
    </w:p>
    <w:p>
      <w:pPr>
        <w:spacing w:line="520" w:lineRule="exact"/>
        <w:jc w:val="center"/>
        <w:rPr>
          <w:rFonts w:hint="eastAsia" w:ascii="宋体" w:hAnsi="宋体" w:eastAsia="宋体" w:cs="宋体"/>
          <w:b/>
          <w:sz w:val="36"/>
          <w:szCs w:val="36"/>
        </w:rPr>
      </w:pPr>
      <w:r>
        <w:rPr>
          <w:rFonts w:hint="eastAsia" w:ascii="宋体" w:hAnsi="宋体" w:eastAsia="宋体" w:cs="宋体"/>
          <w:b/>
          <w:sz w:val="36"/>
          <w:szCs w:val="36"/>
        </w:rPr>
        <w:t>竞争性磋商响应文件</w:t>
      </w:r>
    </w:p>
    <w:p>
      <w:pPr>
        <w:spacing w:line="420" w:lineRule="exact"/>
        <w:jc w:val="center"/>
        <w:rPr>
          <w:rFonts w:hint="eastAsia" w:ascii="宋体" w:hAnsi="宋体" w:eastAsia="宋体" w:cs="宋体"/>
          <w:b/>
          <w:sz w:val="24"/>
          <w:szCs w:val="24"/>
        </w:rPr>
      </w:pPr>
    </w:p>
    <w:p>
      <w:pPr>
        <w:spacing w:line="420" w:lineRule="exact"/>
        <w:ind w:firstLine="1920" w:firstLineChars="800"/>
        <w:rPr>
          <w:rFonts w:hint="eastAsia" w:ascii="宋体" w:hAnsi="宋体" w:eastAsia="宋体" w:cs="宋体"/>
          <w:sz w:val="24"/>
          <w:szCs w:val="24"/>
        </w:rPr>
      </w:pPr>
      <w:r>
        <w:rPr>
          <w:rFonts w:hint="eastAsia" w:ascii="宋体" w:hAnsi="宋体" w:eastAsia="宋体" w:cs="宋体"/>
          <w:sz w:val="24"/>
          <w:szCs w:val="24"/>
        </w:rPr>
        <w:t>对应磋商响应文件，相应填写：</w:t>
      </w:r>
    </w:p>
    <w:p>
      <w:pPr>
        <w:spacing w:line="420" w:lineRule="exact"/>
        <w:ind w:firstLine="1920" w:firstLineChars="80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资格审查文件</w:t>
      </w:r>
    </w:p>
    <w:p>
      <w:pPr>
        <w:spacing w:line="420" w:lineRule="exact"/>
        <w:ind w:firstLine="1920" w:firstLineChars="800"/>
        <w:jc w:val="center"/>
        <w:rPr>
          <w:rFonts w:hint="eastAsia" w:ascii="宋体" w:hAnsi="宋体" w:eastAsia="宋体" w:cs="宋体"/>
          <w:sz w:val="24"/>
          <w:szCs w:val="24"/>
        </w:rPr>
      </w:pPr>
      <w:r>
        <w:rPr>
          <w:rFonts w:hint="eastAsia" w:ascii="宋体" w:hAnsi="宋体" w:eastAsia="宋体" w:cs="宋体"/>
          <w:sz w:val="24"/>
          <w:szCs w:val="24"/>
        </w:rPr>
        <w:t xml:space="preserve">    技术标响应文件</w:t>
      </w:r>
    </w:p>
    <w:p>
      <w:pPr>
        <w:spacing w:line="420" w:lineRule="exact"/>
        <w:ind w:firstLine="1920" w:firstLineChars="80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商务报价响应文件</w:t>
      </w:r>
    </w:p>
    <w:p>
      <w:pPr>
        <w:spacing w:line="420" w:lineRule="exact"/>
        <w:ind w:firstLine="1920" w:firstLineChars="8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电子版响应文件</w:t>
      </w:r>
    </w:p>
    <w:p>
      <w:pPr>
        <w:tabs>
          <w:tab w:val="left" w:pos="6300"/>
        </w:tabs>
        <w:snapToGrid w:val="0"/>
        <w:spacing w:line="300" w:lineRule="auto"/>
        <w:jc w:val="center"/>
        <w:rPr>
          <w:rFonts w:hint="eastAsia" w:ascii="宋体" w:hAnsi="宋体" w:eastAsia="宋体" w:cs="宋体"/>
          <w:b/>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b/>
          <w:sz w:val="24"/>
          <w:szCs w:val="24"/>
          <w:u w:val="thick" w:color="FF0000"/>
        </w:rPr>
        <w:t xml:space="preserve"> </w:t>
      </w:r>
      <w:r>
        <w:rPr>
          <w:rFonts w:hint="eastAsia" w:ascii="宋体" w:hAnsi="宋体" w:eastAsia="宋体" w:cs="宋体"/>
          <w:b/>
          <w:sz w:val="52"/>
          <w:szCs w:val="52"/>
          <w:u w:val="thick" w:color="FF0000"/>
        </w:rPr>
        <w:t xml:space="preserve">      </w:t>
      </w:r>
      <w:r>
        <w:rPr>
          <w:rFonts w:hint="eastAsia" w:ascii="宋体" w:hAnsi="宋体" w:eastAsia="宋体" w:cs="宋体"/>
          <w:sz w:val="24"/>
          <w:szCs w:val="24"/>
        </w:rPr>
        <w:t xml:space="preserve"> </w:t>
      </w:r>
    </w:p>
    <w:p>
      <w:pPr>
        <w:adjustRightInd w:val="0"/>
        <w:snapToGrid w:val="0"/>
        <w:spacing w:line="420" w:lineRule="exact"/>
        <w:jc w:val="center"/>
        <w:rPr>
          <w:rFonts w:hint="eastAsia" w:ascii="宋体" w:hAnsi="宋体" w:eastAsia="宋体" w:cs="宋体"/>
          <w:sz w:val="24"/>
          <w:szCs w:val="24"/>
        </w:rPr>
      </w:pPr>
    </w:p>
    <w:p>
      <w:pPr>
        <w:pStyle w:val="21"/>
        <w:ind w:left="0" w:leftChars="0" w:firstLine="0" w:firstLineChars="0"/>
        <w:rPr>
          <w:rFonts w:hint="eastAsia" w:ascii="宋体" w:hAnsi="宋体" w:eastAsia="宋体" w:cs="宋体"/>
          <w:sz w:val="24"/>
          <w:szCs w:val="24"/>
        </w:rPr>
      </w:pPr>
    </w:p>
    <w:p>
      <w:pPr>
        <w:adjustRightInd w:val="0"/>
        <w:snapToGrid w:val="0"/>
        <w:spacing w:line="420" w:lineRule="exact"/>
        <w:jc w:val="center"/>
        <w:rPr>
          <w:rFonts w:hint="eastAsia" w:ascii="宋体" w:hAnsi="宋体" w:eastAsia="宋体" w:cs="宋体"/>
          <w:sz w:val="24"/>
          <w:szCs w:val="24"/>
        </w:rPr>
      </w:pPr>
    </w:p>
    <w:p>
      <w:pPr>
        <w:adjustRightInd w:val="0"/>
        <w:snapToGrid w:val="0"/>
        <w:spacing w:line="420" w:lineRule="exact"/>
        <w:jc w:val="center"/>
        <w:rPr>
          <w:rFonts w:hint="eastAsia" w:ascii="宋体" w:hAnsi="宋体" w:eastAsia="宋体" w:cs="宋体"/>
          <w:sz w:val="24"/>
          <w:szCs w:val="24"/>
        </w:rPr>
      </w:pPr>
      <w:r>
        <w:rPr>
          <w:rFonts w:hint="eastAsia" w:ascii="宋体" w:hAnsi="宋体" w:eastAsia="宋体" w:cs="宋体"/>
          <w:sz w:val="24"/>
          <w:szCs w:val="24"/>
        </w:rPr>
        <w:t>供应商：参加磋商响应单位全称（公章）</w:t>
      </w:r>
    </w:p>
    <w:p>
      <w:pPr>
        <w:snapToGrid w:val="0"/>
        <w:spacing w:line="420" w:lineRule="exact"/>
        <w:jc w:val="center"/>
        <w:rPr>
          <w:rFonts w:hint="eastAsia" w:ascii="宋体" w:hAnsi="宋体" w:eastAsia="宋体" w:cs="宋体"/>
          <w:sz w:val="24"/>
          <w:szCs w:val="24"/>
        </w:rPr>
      </w:pPr>
      <w:r>
        <w:rPr>
          <w:rFonts w:hint="eastAsia" w:ascii="宋体" w:hAnsi="宋体" w:eastAsia="宋体" w:cs="宋体"/>
          <w:sz w:val="24"/>
          <w:szCs w:val="24"/>
        </w:rPr>
        <w:t>年     月     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3"/>
        <w:rPr>
          <w:rFonts w:hint="eastAsia"/>
          <w:sz w:val="24"/>
          <w:szCs w:val="24"/>
        </w:rPr>
      </w:pPr>
      <w:r>
        <w:rPr>
          <w:rFonts w:hint="eastAsia" w:ascii="宋体" w:hAnsi="宋体" w:eastAsia="宋体" w:cs="宋体"/>
          <w:b/>
          <w:sz w:val="24"/>
          <w:szCs w:val="24"/>
        </w:rPr>
        <w:br w:type="page"/>
      </w:r>
      <w:r>
        <w:rPr>
          <w:rFonts w:hint="eastAsia" w:ascii="宋体" w:hAnsi="宋体" w:eastAsia="宋体" w:cs="宋体"/>
          <w:b/>
          <w:sz w:val="24"/>
          <w:szCs w:val="24"/>
          <w:lang w:val="en-US" w:eastAsia="zh-CN"/>
        </w:rPr>
        <w:t>1.</w:t>
      </w:r>
      <w:r>
        <w:rPr>
          <w:rFonts w:hint="eastAsia" w:ascii="宋体" w:hAnsi="宋体" w:eastAsia="宋体" w:cs="宋体"/>
          <w:b/>
          <w:bCs/>
          <w:sz w:val="24"/>
          <w:szCs w:val="24"/>
          <w:highlight w:val="none"/>
        </w:rPr>
        <w:t>供应商符合《政府采购法》第二十二条规定条件的声明函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Cs/>
          <w:sz w:val="24"/>
          <w:highlight w:val="none"/>
        </w:rPr>
      </w:pPr>
      <w:r>
        <w:rPr>
          <w:rFonts w:hint="eastAsia" w:ascii="宋体" w:hAnsi="宋体" w:eastAsia="宋体" w:cs="宋体"/>
          <w:bCs/>
          <w:sz w:val="24"/>
          <w:highlight w:val="none"/>
        </w:rPr>
        <w:t>我单位参加</w:t>
      </w:r>
      <w:r>
        <w:rPr>
          <w:rFonts w:hint="eastAsia" w:ascii="宋体" w:hAnsi="宋体" w:eastAsia="宋体" w:cs="宋体"/>
          <w:bCs/>
          <w:sz w:val="24"/>
          <w:highlight w:val="none"/>
          <w:u w:val="single"/>
        </w:rPr>
        <w:t xml:space="preserve">       项目</w:t>
      </w:r>
      <w:r>
        <w:rPr>
          <w:rFonts w:hint="eastAsia" w:ascii="宋体" w:hAnsi="宋体" w:eastAsia="宋体" w:cs="宋体"/>
          <w:sz w:val="24"/>
          <w:szCs w:val="24"/>
        </w:rPr>
        <w:t>（竞争性磋商项目名称)</w:t>
      </w:r>
      <w:r>
        <w:rPr>
          <w:rFonts w:hint="eastAsia" w:ascii="宋体" w:hAnsi="宋体" w:eastAsia="宋体" w:cs="宋体"/>
          <w:bCs/>
          <w:sz w:val="24"/>
          <w:highlight w:val="none"/>
        </w:rPr>
        <w:t>磋商活动。针对《中华人民共和国政府采购法》第二十二条规定做出如下声明：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Cs/>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我单位具有独立承担民事责任的能力；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我单位具有良好的商业信誉和健全的财务会计制度；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Cs/>
          <w:sz w:val="24"/>
          <w:highlight w:val="none"/>
        </w:rPr>
      </w:pPr>
      <w:r>
        <w:rPr>
          <w:rFonts w:hint="eastAsia" w:ascii="宋体" w:hAnsi="宋体" w:eastAsia="宋体" w:cs="宋体"/>
          <w:bCs/>
          <w:sz w:val="24"/>
          <w:highlight w:val="none"/>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我单位具有履行合同所必需的设备和专业技术能力；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Cs/>
          <w:sz w:val="24"/>
          <w:highlight w:val="none"/>
        </w:rPr>
      </w:pPr>
      <w:r>
        <w:rPr>
          <w:rFonts w:hint="eastAsia" w:ascii="宋体" w:hAnsi="宋体" w:eastAsia="宋体" w:cs="宋体"/>
          <w:bCs/>
          <w:sz w:val="24"/>
          <w:highlight w:val="none"/>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我单位有依法缴纳税收和社会保障资金的良好记录；</w:t>
      </w:r>
    </w:p>
    <w:p>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eastAsia="宋体" w:cs="宋体"/>
          <w:sz w:val="24"/>
          <w:highlight w:val="none"/>
        </w:rPr>
      </w:pPr>
      <w:r>
        <w:rPr>
          <w:rFonts w:hint="eastAsia" w:ascii="宋体" w:hAnsi="宋体" w:eastAsia="宋体" w:cs="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Cs/>
          <w:sz w:val="24"/>
          <w:highlight w:val="none"/>
        </w:rPr>
      </w:pPr>
      <w:r>
        <w:rPr>
          <w:rFonts w:hint="eastAsia" w:ascii="宋体" w:hAnsi="宋体" w:eastAsia="宋体" w:cs="宋体"/>
          <w:bCs/>
          <w:sz w:val="24"/>
          <w:highlight w:val="none"/>
        </w:rPr>
        <w:t>6</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我单位满足法律、行政法规规定的其他条件。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2"/>
        <w:rPr>
          <w:rFonts w:hint="eastAsia" w:ascii="宋体" w:hAnsi="宋体" w:eastAsia="宋体" w:cs="宋体"/>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2"/>
        <w:rPr>
          <w:rFonts w:hint="eastAsia" w:ascii="宋体" w:hAnsi="宋体" w:eastAsia="宋体" w:cs="宋体"/>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2"/>
        <w:rPr>
          <w:rFonts w:hint="eastAsia" w:ascii="宋体" w:hAnsi="宋体" w:eastAsia="宋体" w:cs="宋体"/>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2"/>
        <w:rPr>
          <w:rFonts w:hint="eastAsia" w:ascii="宋体" w:hAnsi="宋体" w:eastAsia="宋体" w:cs="宋体"/>
          <w:bCs/>
          <w:sz w:val="24"/>
          <w:highlight w:val="none"/>
        </w:rPr>
      </w:pPr>
      <w:r>
        <w:rPr>
          <w:rFonts w:hint="eastAsia" w:ascii="宋体" w:hAnsi="宋体" w:eastAsia="宋体" w:cs="宋体"/>
          <w:bCs/>
          <w:sz w:val="24"/>
          <w:highlight w:val="none"/>
        </w:rPr>
        <w:t xml:space="preserve">                           声明人：（公章）</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4"/>
        <w:rPr>
          <w:rFonts w:hint="eastAsia" w:ascii="宋体" w:hAnsi="宋体" w:eastAsia="宋体" w:cs="宋体"/>
          <w:b/>
          <w:bCs/>
          <w:sz w:val="24"/>
          <w:highlight w:val="none"/>
        </w:rPr>
      </w:pPr>
      <w:r>
        <w:rPr>
          <w:rFonts w:hint="eastAsia" w:ascii="宋体" w:hAnsi="宋体" w:eastAsia="宋体" w:cs="宋体"/>
          <w:bCs/>
          <w:sz w:val="24"/>
          <w:highlight w:val="none"/>
        </w:rPr>
        <w:t xml:space="preserve">                                          日期：        年      月     日</w:t>
      </w:r>
    </w:p>
    <w:p>
      <w:pPr>
        <w:snapToGrid w:val="0"/>
        <w:spacing w:line="360" w:lineRule="auto"/>
        <w:jc w:val="center"/>
        <w:outlineLvl w:val="4"/>
        <w:rPr>
          <w:rFonts w:ascii="宋体" w:hAnsi="宋体" w:cs="宋体"/>
          <w:b/>
          <w:bCs/>
          <w:sz w:val="24"/>
          <w:highlight w:val="none"/>
        </w:rPr>
      </w:pPr>
    </w:p>
    <w:p>
      <w:pPr>
        <w:snapToGrid w:val="0"/>
        <w:spacing w:line="360" w:lineRule="auto"/>
        <w:ind w:firstLine="482" w:firstLineChars="200"/>
        <w:jc w:val="center"/>
        <w:rPr>
          <w:rFonts w:hint="eastAsia" w:ascii="宋体" w:hAnsi="宋体" w:eastAsia="宋体" w:cs="宋体"/>
          <w:b/>
          <w:sz w:val="24"/>
          <w:szCs w:val="24"/>
        </w:rPr>
      </w:pPr>
    </w:p>
    <w:p>
      <w:pPr>
        <w:snapToGrid w:val="0"/>
        <w:spacing w:line="360" w:lineRule="auto"/>
        <w:ind w:firstLine="482" w:firstLineChars="200"/>
        <w:jc w:val="center"/>
        <w:rPr>
          <w:rFonts w:hint="eastAsia" w:ascii="宋体" w:hAnsi="宋体" w:eastAsia="宋体" w:cs="宋体"/>
          <w:sz w:val="24"/>
          <w:szCs w:val="24"/>
        </w:rPr>
      </w:pPr>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.关于资格文件的声明函</w:t>
      </w:r>
    </w:p>
    <w:p>
      <w:pPr>
        <w:overflowPunct w:val="0"/>
        <w:adjustRightInd w:val="0"/>
        <w:spacing w:line="360" w:lineRule="auto"/>
        <w:ind w:firstLine="420"/>
        <w:jc w:val="center"/>
        <w:textAlignment w:val="baseline"/>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val="0"/>
        <w:spacing w:line="360" w:lineRule="auto"/>
        <w:jc w:val="left"/>
        <w:textAlignment w:val="baseline"/>
        <w:rPr>
          <w:rFonts w:hint="eastAsia" w:ascii="宋体" w:hAnsi="宋体" w:eastAsia="宋体" w:cs="宋体"/>
          <w:sz w:val="24"/>
          <w:szCs w:val="24"/>
          <w:u w:val="single"/>
        </w:rPr>
      </w:pPr>
      <w:r>
        <w:rPr>
          <w:rFonts w:hint="eastAsia" w:ascii="宋体" w:hAnsi="宋体" w:eastAsia="宋体" w:cs="宋体"/>
          <w:b/>
          <w:sz w:val="24"/>
          <w:szCs w:val="24"/>
          <w:u w:val="single"/>
          <w:lang w:eastAsia="zh-CN"/>
        </w:rPr>
        <w:t>南通市崇川区钟秀街道办事处</w:t>
      </w:r>
      <w:r>
        <w:rPr>
          <w:rFonts w:hint="eastAsia" w:ascii="宋体" w:hAnsi="宋体" w:eastAsia="宋体" w:cs="宋体"/>
          <w:sz w:val="24"/>
          <w:szCs w:val="24"/>
          <w:u w:val="single"/>
        </w:rPr>
        <w:t>：</w:t>
      </w:r>
    </w:p>
    <w:p>
      <w:pPr>
        <w:keepNext w:val="0"/>
        <w:keepLines w:val="0"/>
        <w:pageBreakBefore w:val="0"/>
        <w:widowControl w:val="0"/>
        <w:kinsoku/>
        <w:wordWrap/>
        <w:overflowPunct w:val="0"/>
        <w:topLinePunct w:val="0"/>
        <w:autoSpaceDE/>
        <w:autoSpaceDN/>
        <w:bidi w:val="0"/>
        <w:adjustRightInd w:val="0"/>
        <w:spacing w:line="360" w:lineRule="auto"/>
        <w:ind w:firstLine="660"/>
        <w:jc w:val="left"/>
        <w:textAlignment w:val="baseline"/>
        <w:rPr>
          <w:rFonts w:hint="eastAsia" w:ascii="宋体" w:hAnsi="宋体" w:eastAsia="宋体" w:cs="宋体"/>
          <w:sz w:val="24"/>
          <w:szCs w:val="24"/>
        </w:rPr>
      </w:pPr>
      <w:r>
        <w:rPr>
          <w:rFonts w:hint="eastAsia" w:ascii="宋体" w:hAnsi="宋体" w:eastAsia="宋体" w:cs="宋体"/>
          <w:sz w:val="24"/>
          <w:szCs w:val="24"/>
        </w:rPr>
        <w:t>本公司愿就由贵单位组织实施的</w:t>
      </w:r>
      <w:r>
        <w:rPr>
          <w:rFonts w:hint="eastAsia" w:ascii="宋体" w:hAnsi="宋体" w:eastAsia="宋体" w:cs="宋体"/>
          <w:sz w:val="24"/>
          <w:szCs w:val="24"/>
          <w:u w:val="single"/>
        </w:rPr>
        <w:t xml:space="preserve">            </w:t>
      </w:r>
      <w:r>
        <w:rPr>
          <w:rFonts w:hint="eastAsia" w:ascii="宋体" w:hAnsi="宋体" w:eastAsia="宋体" w:cs="宋体"/>
          <w:sz w:val="24"/>
          <w:szCs w:val="24"/>
        </w:rPr>
        <w:t>（竞争性磋商项目名称)磋商活动进行响应。本公司所提交的响应文件中所有关于磋商响应的资格的文件、证明和陈述均是真实的、准确的。若与真实情况不符，本公司愿意承担由此而产生的一切后果。</w:t>
      </w:r>
    </w:p>
    <w:p>
      <w:pPr>
        <w:keepNext w:val="0"/>
        <w:keepLines w:val="0"/>
        <w:pageBreakBefore w:val="0"/>
        <w:widowControl w:val="0"/>
        <w:kinsoku/>
        <w:wordWrap/>
        <w:overflowPunct w:val="0"/>
        <w:topLinePunct w:val="0"/>
        <w:autoSpaceDE/>
        <w:autoSpaceDN/>
        <w:bidi w:val="0"/>
        <w:adjustRightInd w:val="0"/>
        <w:spacing w:line="360" w:lineRule="auto"/>
        <w:ind w:firstLine="420"/>
        <w:jc w:val="left"/>
        <w:textAlignment w:val="baseline"/>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val="0"/>
        <w:spacing w:line="360" w:lineRule="auto"/>
        <w:ind w:firstLine="420"/>
        <w:jc w:val="left"/>
        <w:textAlignment w:val="baseline"/>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val="0"/>
        <w:spacing w:line="360" w:lineRule="auto"/>
        <w:ind w:firstLine="420"/>
        <w:jc w:val="left"/>
        <w:textAlignment w:val="baseline"/>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val="0"/>
        <w:spacing w:line="360" w:lineRule="auto"/>
        <w:ind w:firstLine="42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（供应商）法定代表人（签字或盖章）：</w:t>
      </w:r>
    </w:p>
    <w:p>
      <w:pPr>
        <w:keepNext w:val="0"/>
        <w:keepLines w:val="0"/>
        <w:pageBreakBefore w:val="0"/>
        <w:widowControl w:val="0"/>
        <w:kinsoku/>
        <w:wordWrap/>
        <w:overflowPunct w:val="0"/>
        <w:topLinePunct w:val="0"/>
        <w:autoSpaceDE/>
        <w:autoSpaceDN/>
        <w:bidi w:val="0"/>
        <w:adjustRightInd w:val="0"/>
        <w:spacing w:line="360" w:lineRule="auto"/>
        <w:ind w:left="1700" w:firstLine="425"/>
        <w:jc w:val="left"/>
        <w:textAlignment w:val="baseline"/>
        <w:rPr>
          <w:rFonts w:hint="eastAsia" w:ascii="宋体" w:hAnsi="宋体" w:eastAsia="宋体" w:cs="宋体"/>
          <w:sz w:val="24"/>
          <w:szCs w:val="24"/>
        </w:rPr>
      </w:pPr>
    </w:p>
    <w:p>
      <w:pPr>
        <w:keepNext w:val="0"/>
        <w:keepLines w:val="0"/>
        <w:pageBreakBefore w:val="0"/>
        <w:widowControl w:val="0"/>
        <w:kinsoku/>
        <w:wordWrap/>
        <w:overflowPunct w:val="0"/>
        <w:topLinePunct w:val="0"/>
        <w:autoSpaceDE/>
        <w:autoSpaceDN/>
        <w:bidi w:val="0"/>
        <w:adjustRightInd w:val="0"/>
        <w:spacing w:line="360" w:lineRule="auto"/>
        <w:ind w:left="1700" w:firstLine="425"/>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        （供应商）公章：</w:t>
      </w:r>
    </w:p>
    <w:p>
      <w:pPr>
        <w:keepNext w:val="0"/>
        <w:keepLines w:val="0"/>
        <w:pageBreakBefore w:val="0"/>
        <w:widowControl w:val="0"/>
        <w:kinsoku/>
        <w:wordWrap/>
        <w:overflowPunct w:val="0"/>
        <w:topLinePunct w:val="0"/>
        <w:autoSpaceDE/>
        <w:autoSpaceDN/>
        <w:bidi w:val="0"/>
        <w:adjustRightInd w:val="0"/>
        <w:spacing w:line="360" w:lineRule="auto"/>
        <w:ind w:firstLine="42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val="0"/>
        <w:topLinePunct w:val="0"/>
        <w:autoSpaceDE/>
        <w:autoSpaceDN/>
        <w:bidi w:val="0"/>
        <w:adjustRightInd w:val="0"/>
        <w:spacing w:line="360" w:lineRule="auto"/>
        <w:ind w:right="560" w:firstLine="42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                                       年</w:t>
      </w:r>
      <w:r>
        <w:rPr>
          <w:rFonts w:hint="eastAsia" w:ascii="宋体" w:hAnsi="宋体" w:eastAsia="宋体" w:cs="宋体"/>
          <w:sz w:val="24"/>
          <w:szCs w:val="24"/>
        </w:rPr>
        <w:tab/>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topLinePunct w:val="0"/>
        <w:autoSpaceDE/>
        <w:autoSpaceDN/>
        <w:bidi w:val="0"/>
        <w:snapToGrid w:val="0"/>
        <w:spacing w:line="360" w:lineRule="auto"/>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p>
    <w:p>
      <w:pPr>
        <w:snapToGrid w:val="0"/>
        <w:spacing w:line="520" w:lineRule="exact"/>
        <w:jc w:val="center"/>
        <w:outlineLvl w:val="3"/>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.法定代表人身份证明</w:t>
      </w:r>
    </w:p>
    <w:p>
      <w:pPr>
        <w:snapToGrid w:val="0"/>
        <w:spacing w:line="520" w:lineRule="exact"/>
        <w:jc w:val="center"/>
        <w:rPr>
          <w:rFonts w:hint="eastAsia"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sz w:val="24"/>
          <w:szCs w:val="24"/>
          <w:u w:val="single"/>
        </w:rPr>
      </w:pPr>
      <w:r>
        <w:rPr>
          <w:rFonts w:hint="eastAsia" w:ascii="宋体" w:hAnsi="宋体" w:eastAsia="宋体" w:cs="宋体"/>
          <w:b/>
          <w:sz w:val="24"/>
          <w:szCs w:val="24"/>
          <w:u w:val="single"/>
          <w:lang w:eastAsia="zh-CN"/>
        </w:rPr>
        <w:t>南通市崇川区钟秀街道办事处</w:t>
      </w:r>
      <w:r>
        <w:rPr>
          <w:rFonts w:hint="eastAsia" w:ascii="宋体" w:hAnsi="宋体" w:eastAsia="宋体" w:cs="宋体"/>
          <w:b/>
          <w:sz w:val="24"/>
          <w:szCs w:val="24"/>
          <w:u w:val="singl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（竞争性磋商项目名称)的磋商活动，全权代表我公司处理竞争性磋商的有关事宜。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附：法定代表人情况：</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单位名称（公章）             法定代表人（签字或盖章）</w:t>
      </w:r>
    </w:p>
    <w:p>
      <w:pPr>
        <w:keepNext w:val="0"/>
        <w:keepLines w:val="0"/>
        <w:pageBreakBefore w:val="0"/>
        <w:widowControl w:val="0"/>
        <w:kinsoku/>
        <w:wordWrap/>
        <w:overflowPunct/>
        <w:topLinePunct w:val="0"/>
        <w:autoSpaceDE/>
        <w:autoSpaceDN/>
        <w:bidi w:val="0"/>
        <w:adjustRightInd/>
        <w:snapToGrid w:val="0"/>
        <w:spacing w:line="36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年   月   日                 年   月    日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法定代表人身份证正反面复印件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2280" w:firstLineChars="950"/>
        <w:textAlignment w:val="auto"/>
        <w:rPr>
          <w:rFonts w:hint="eastAsia" w:ascii="宋体" w:hAnsi="宋体" w:eastAsia="宋体" w:cs="宋体"/>
          <w:sz w:val="24"/>
          <w:szCs w:val="24"/>
        </w:rPr>
      </w:pPr>
      <w:r>
        <w:rPr>
          <w:rFonts w:hint="eastAsia" w:ascii="宋体" w:hAnsi="宋体" w:eastAsia="宋体" w:cs="宋体"/>
          <w:sz w:val="24"/>
          <w:szCs w:val="24"/>
        </w:rPr>
        <w:t>（粘贴此处）</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注:参加磋商时法定代表人将身份证原件带至磋商现场备查。</w:t>
      </w:r>
    </w:p>
    <w:p>
      <w:pPr>
        <w:snapToGrid w:val="0"/>
        <w:spacing w:line="520" w:lineRule="exact"/>
        <w:jc w:val="center"/>
        <w:outlineLvl w:val="3"/>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lang w:val="en-US" w:eastAsia="zh-CN"/>
        </w:rPr>
        <w:t>4</w:t>
      </w:r>
      <w:r>
        <w:rPr>
          <w:rFonts w:hint="eastAsia" w:ascii="宋体" w:hAnsi="宋体" w:eastAsia="宋体" w:cs="宋体"/>
          <w:b/>
          <w:sz w:val="24"/>
          <w:szCs w:val="24"/>
        </w:rPr>
        <w:t>.授权委托书</w:t>
      </w:r>
    </w:p>
    <w:p>
      <w:pPr>
        <w:snapToGrid w:val="0"/>
        <w:spacing w:line="520" w:lineRule="exact"/>
        <w:jc w:val="center"/>
        <w:rPr>
          <w:rFonts w:hint="eastAsia"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sz w:val="24"/>
          <w:szCs w:val="24"/>
          <w:u w:val="single"/>
        </w:rPr>
      </w:pPr>
      <w:r>
        <w:rPr>
          <w:rFonts w:hint="eastAsia" w:ascii="宋体" w:hAnsi="宋体" w:eastAsia="宋体" w:cs="宋体"/>
          <w:b/>
          <w:sz w:val="24"/>
          <w:szCs w:val="24"/>
          <w:u w:val="single"/>
          <w:lang w:eastAsia="zh-CN"/>
        </w:rPr>
        <w:t>南通市崇川区钟秀街道办事处</w:t>
      </w:r>
      <w:r>
        <w:rPr>
          <w:rFonts w:hint="eastAsia" w:ascii="宋体" w:hAnsi="宋体" w:eastAsia="宋体" w:cs="宋体"/>
          <w:sz w:val="24"/>
          <w:szCs w:val="24"/>
          <w:u w:val="single"/>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（竞争性磋商项目名称）的政府采购活动，全权处理一切与该项目招标有关的事务。其在办理上述事宜过程中所签署的所有文件我公司均予以承认。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附：被授权人情况：</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单位名称（公章）                          法定代表人（签字或盖章）</w:t>
      </w:r>
    </w:p>
    <w:p>
      <w:pPr>
        <w:keepNext w:val="0"/>
        <w:keepLines w:val="0"/>
        <w:pageBreakBefore w:val="0"/>
        <w:widowControl w:val="0"/>
        <w:kinsoku/>
        <w:wordWrap/>
        <w:overflowPunct/>
        <w:topLinePunct w:val="0"/>
        <w:autoSpaceDE/>
        <w:autoSpaceDN/>
        <w:bidi w:val="0"/>
        <w:spacing w:line="36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年   月   日                                     年   月    日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法定代表人身份证正反面复印件</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ind w:firstLine="2280" w:firstLineChars="950"/>
        <w:textAlignment w:val="auto"/>
        <w:rPr>
          <w:rFonts w:hint="eastAsia" w:ascii="宋体" w:hAnsi="宋体" w:eastAsia="宋体" w:cs="宋体"/>
          <w:sz w:val="24"/>
          <w:szCs w:val="24"/>
        </w:rPr>
      </w:pPr>
      <w:r>
        <w:rPr>
          <w:rFonts w:hint="eastAsia" w:ascii="宋体" w:hAnsi="宋体" w:eastAsia="宋体" w:cs="宋体"/>
          <w:sz w:val="24"/>
          <w:szCs w:val="24"/>
        </w:rPr>
        <w:t>（粘贴此处）</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被授权人身份证正反面复印件</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360" w:lineRule="auto"/>
        <w:ind w:firstLine="2280" w:firstLineChars="950"/>
        <w:textAlignment w:val="auto"/>
        <w:rPr>
          <w:rFonts w:hint="eastAsia" w:ascii="宋体" w:hAnsi="宋体" w:eastAsia="宋体" w:cs="宋体"/>
          <w:b/>
          <w:bCs/>
          <w:sz w:val="24"/>
          <w:szCs w:val="24"/>
        </w:rPr>
      </w:pPr>
      <w:r>
        <w:rPr>
          <w:rFonts w:hint="eastAsia" w:ascii="宋体" w:hAnsi="宋体" w:eastAsia="宋体" w:cs="宋体"/>
          <w:sz w:val="24"/>
          <w:szCs w:val="24"/>
        </w:rPr>
        <w:t>（粘贴此处）</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注:参加磋商时被授权人将身份证原件带至现场备查。</w:t>
      </w:r>
    </w:p>
    <w:p>
      <w:pPr>
        <w:snapToGrid w:val="0"/>
        <w:spacing w:line="360" w:lineRule="auto"/>
        <w:jc w:val="both"/>
        <w:outlineLvl w:val="4"/>
        <w:rPr>
          <w:rFonts w:hint="eastAsia" w:ascii="宋体" w:hAnsi="宋体" w:eastAsia="宋体" w:cs="宋体"/>
          <w:b/>
          <w:bCs/>
          <w:sz w:val="24"/>
          <w:szCs w:val="24"/>
        </w:rPr>
      </w:pPr>
    </w:p>
    <w:p>
      <w:pPr>
        <w:spacing w:line="360" w:lineRule="auto"/>
        <w:jc w:val="both"/>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.无重大违法记录声明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sz w:val="24"/>
          <w:szCs w:val="24"/>
          <w:u w:val="single"/>
          <w:lang w:eastAsia="zh-CN"/>
        </w:rPr>
        <w:t>南通市崇川区钟秀街道办事处</w:t>
      </w:r>
      <w:r>
        <w:rPr>
          <w:rFonts w:hint="eastAsia" w:ascii="宋体" w:hAnsi="宋体" w:eastAsia="宋体" w:cs="宋体"/>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参加政府采购活动前3年内在经营活动中</w:t>
      </w:r>
      <w:r>
        <w:rPr>
          <w:rFonts w:hint="eastAsia"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在投标截止时间节点，没有被“信用中国”网站列入失信被执行人、重大税收违法案件当事人名单、采购严重违法失信行为记录名单。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2289" w:firstLineChars="950"/>
        <w:jc w:val="right"/>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2289" w:firstLineChars="950"/>
        <w:jc w:val="right"/>
        <w:textAlignment w:val="auto"/>
        <w:rPr>
          <w:rFonts w:hint="eastAsia" w:ascii="宋体" w:hAnsi="宋体" w:eastAsia="宋体" w:cs="宋体"/>
          <w:b w:val="0"/>
          <w:bCs/>
          <w:sz w:val="24"/>
          <w:szCs w:val="24"/>
        </w:rPr>
      </w:pPr>
      <w:r>
        <w:rPr>
          <w:rFonts w:hint="eastAsia" w:ascii="宋体" w:hAnsi="宋体" w:eastAsia="宋体" w:cs="宋体"/>
          <w:b/>
          <w:sz w:val="24"/>
          <w:szCs w:val="24"/>
        </w:rPr>
        <w:t xml:space="preserve">            </w:t>
      </w:r>
      <w:r>
        <w:rPr>
          <w:rFonts w:hint="eastAsia" w:ascii="宋体" w:hAnsi="宋体" w:eastAsia="宋体" w:cs="宋体"/>
          <w:b w:val="0"/>
          <w:bCs/>
          <w:sz w:val="24"/>
          <w:szCs w:val="24"/>
        </w:rPr>
        <w:t>声明人：（公章）</w:t>
      </w:r>
    </w:p>
    <w:p>
      <w:pPr>
        <w:keepNext w:val="0"/>
        <w:keepLines w:val="0"/>
        <w:pageBreakBefore w:val="0"/>
        <w:widowControl w:val="0"/>
        <w:kinsoku/>
        <w:wordWrap/>
        <w:overflowPunct/>
        <w:topLinePunct w:val="0"/>
        <w:autoSpaceDE/>
        <w:autoSpaceDN/>
        <w:bidi w:val="0"/>
        <w:adjustRightInd/>
        <w:snapToGrid/>
        <w:spacing w:line="360" w:lineRule="auto"/>
        <w:ind w:firstLine="2280" w:firstLineChars="950"/>
        <w:jc w:val="righ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年     月    日</w:t>
      </w:r>
    </w:p>
    <w:p>
      <w:pPr>
        <w:spacing w:line="360" w:lineRule="auto"/>
        <w:jc w:val="center"/>
        <w:rPr>
          <w:rFonts w:hint="eastAsia" w:ascii="宋体" w:hAnsi="宋体" w:eastAsia="宋体" w:cs="宋体"/>
          <w:b/>
          <w:bCs/>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keepNext w:val="0"/>
        <w:keepLines w:val="0"/>
        <w:pageBreakBefore w:val="0"/>
        <w:widowControl w:val="0"/>
        <w:kinsoku/>
        <w:wordWrap/>
        <w:overflowPunct w:val="0"/>
        <w:topLinePunct w:val="0"/>
        <w:autoSpaceDE/>
        <w:autoSpaceDN/>
        <w:bidi w:val="0"/>
        <w:adjustRightInd w:val="0"/>
        <w:spacing w:line="360" w:lineRule="auto"/>
        <w:jc w:val="left"/>
        <w:textAlignment w:val="baseline"/>
        <w:rPr>
          <w:rFonts w:hint="eastAsia" w:ascii="宋体" w:hAnsi="宋体" w:eastAsia="宋体" w:cs="宋体"/>
          <w:sz w:val="24"/>
          <w:szCs w:val="24"/>
          <w:u w:val="single"/>
        </w:rPr>
      </w:pPr>
      <w:r>
        <w:rPr>
          <w:rFonts w:hint="eastAsia" w:ascii="宋体" w:hAnsi="宋体" w:eastAsia="宋体" w:cs="宋体"/>
          <w:b/>
          <w:sz w:val="24"/>
          <w:szCs w:val="24"/>
          <w:u w:val="single"/>
          <w:lang w:eastAsia="zh-CN"/>
        </w:rPr>
        <w:t>南通市崇川区钟秀街道办事处</w:t>
      </w:r>
      <w:r>
        <w:rPr>
          <w:rFonts w:hint="eastAsia" w:ascii="宋体" w:hAnsi="宋体" w:eastAsia="宋体" w:cs="宋体"/>
          <w:sz w:val="24"/>
          <w:szCs w:val="24"/>
          <w:u w:val="single"/>
        </w:rPr>
        <w:t xml:space="preserve"> ：</w:t>
      </w:r>
    </w:p>
    <w:p>
      <w:pPr>
        <w:keepNext w:val="0"/>
        <w:keepLines w:val="0"/>
        <w:pageBreakBefore w:val="0"/>
        <w:widowControl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lang w:eastAsia="zh-CN"/>
        </w:rPr>
        <w:t>钟秀街道环保管家服务项目</w:t>
      </w:r>
      <w:r>
        <w:rPr>
          <w:rFonts w:hint="eastAsia" w:ascii="宋体" w:hAnsi="宋体" w:eastAsia="宋体" w:cs="宋体"/>
          <w:sz w:val="24"/>
          <w:szCs w:val="24"/>
        </w:rPr>
        <w:t>竞争性磋商</w:t>
      </w:r>
      <w:r>
        <w:rPr>
          <w:rFonts w:hint="eastAsia" w:ascii="宋体" w:hAnsi="宋体" w:eastAsia="宋体" w:cs="宋体"/>
          <w:sz w:val="24"/>
          <w:szCs w:val="24"/>
          <w:lang w:val="en-US" w:eastAsia="zh-CN"/>
        </w:rPr>
        <w:t>活动</w:t>
      </w:r>
      <w:r>
        <w:rPr>
          <w:rFonts w:hint="eastAsia" w:ascii="宋体" w:hAnsi="宋体" w:eastAsia="宋体" w:cs="宋体"/>
          <w:sz w:val="24"/>
          <w:szCs w:val="24"/>
        </w:rPr>
        <w:t>，我方授权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（职务）为全权代表参加该项目的磋商工作，全权处理本次竞争性磋商的有关事宜。同时，我公司声明如下：</w:t>
      </w:r>
    </w:p>
    <w:p>
      <w:pPr>
        <w:keepNext w:val="0"/>
        <w:keepLines w:val="0"/>
        <w:pageBreakBefore w:val="0"/>
        <w:widowControl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1.同意并接受磋商文件的各项要求，遵守磋商文件中的各项规定，按磋商文件的要求提供报价。</w:t>
      </w:r>
    </w:p>
    <w:p>
      <w:pPr>
        <w:keepNext w:val="0"/>
        <w:keepLines w:val="0"/>
        <w:pageBreakBefore w:val="0"/>
        <w:widowControl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2.我公司已经详细阅读了磋商文件的全部内容，我方已完全清晰理解磋商文件的要求，不存在任何含糊不清和误解之处，同意放弃对磋商文件所表述的内容提出异议和质疑的权利。</w:t>
      </w:r>
    </w:p>
    <w:p>
      <w:pPr>
        <w:keepNext w:val="0"/>
        <w:keepLines w:val="0"/>
        <w:pageBreakBefore w:val="0"/>
        <w:widowControl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keepNext w:val="0"/>
        <w:keepLines w:val="0"/>
        <w:pageBreakBefore w:val="0"/>
        <w:widowControl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keepNext w:val="0"/>
        <w:keepLines w:val="0"/>
        <w:pageBreakBefore w:val="0"/>
        <w:widowControl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我公司尊重磋商小组所作的评定结果，同时清楚理解到报价最低并非意味着必定获得成交资格。</w:t>
      </w:r>
    </w:p>
    <w:p>
      <w:pPr>
        <w:keepNext w:val="0"/>
        <w:keepLines w:val="0"/>
        <w:pageBreakBefore w:val="0"/>
        <w:widowControl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一旦成交，我方将根据磋商文件的规定，严格履行合同规定的责任和义务，并保证在磋商文件中规定的时间期限内完成合同项目。</w:t>
      </w:r>
    </w:p>
    <w:p>
      <w:pPr>
        <w:keepNext w:val="0"/>
        <w:keepLines w:val="0"/>
        <w:pageBreakBefore w:val="0"/>
        <w:widowControl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p>
    <w:p>
      <w:pPr>
        <w:keepNext w:val="0"/>
        <w:keepLines w:val="0"/>
        <w:pageBreakBefore w:val="0"/>
        <w:widowControl w:val="0"/>
        <w:kinsoku/>
        <w:wordWrap/>
        <w:topLinePunct w:val="0"/>
        <w:autoSpaceDE/>
        <w:autoSpaceDN/>
        <w:bidi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竞争性磋商响应单位：</w:t>
      </w:r>
      <w:r>
        <w:rPr>
          <w:rFonts w:hint="eastAsia" w:ascii="宋体" w:hAnsi="宋体" w:eastAsia="宋体" w:cs="宋体"/>
          <w:sz w:val="24"/>
          <w:szCs w:val="24"/>
          <w:u w:val="single"/>
        </w:rPr>
        <w:t xml:space="preserve">                    </w:t>
      </w:r>
      <w:r>
        <w:rPr>
          <w:rFonts w:hint="eastAsia" w:ascii="宋体" w:hAnsi="宋体" w:eastAsia="宋体" w:cs="宋体"/>
          <w:sz w:val="24"/>
          <w:szCs w:val="24"/>
        </w:rPr>
        <w:t>（加盖公章）</w:t>
      </w:r>
    </w:p>
    <w:p>
      <w:pPr>
        <w:keepNext w:val="0"/>
        <w:keepLines w:val="0"/>
        <w:pageBreakBefore w:val="0"/>
        <w:widowControl w:val="0"/>
        <w:kinsoku/>
        <w:wordWrap/>
        <w:topLinePunct w:val="0"/>
        <w:autoSpaceDE/>
        <w:autoSpaceDN/>
        <w:bidi w:val="0"/>
        <w:snapToGrid w:val="0"/>
        <w:spacing w:line="360" w:lineRule="auto"/>
        <w:ind w:firstLine="2400" w:firstLineChars="1000"/>
        <w:jc w:val="right"/>
        <w:rPr>
          <w:rFonts w:hint="eastAsia"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keepNext w:val="0"/>
        <w:keepLines w:val="0"/>
        <w:pageBreakBefore w:val="0"/>
        <w:widowControl w:val="0"/>
        <w:kinsoku/>
        <w:wordWrap/>
        <w:topLinePunct w:val="0"/>
        <w:autoSpaceDE/>
        <w:autoSpaceDN/>
        <w:bidi w:val="0"/>
        <w:snapToGrid w:val="0"/>
        <w:spacing w:line="360" w:lineRule="auto"/>
        <w:jc w:val="right"/>
        <w:rPr>
          <w:rFonts w:hint="eastAsia" w:ascii="宋体" w:hAnsi="宋体" w:eastAsia="宋体" w:cs="宋体"/>
          <w:b/>
          <w:bCs/>
          <w:sz w:val="24"/>
          <w:szCs w:val="24"/>
          <w:lang w:val="en-US" w:eastAsia="zh-CN"/>
        </w:rPr>
      </w:pPr>
      <w:r>
        <w:rPr>
          <w:rFonts w:hint="eastAsia" w:ascii="宋体" w:hAnsi="宋体" w:eastAsia="宋体" w:cs="宋体"/>
          <w:sz w:val="24"/>
          <w:szCs w:val="24"/>
        </w:rPr>
        <w:t>年      月     日</w:t>
      </w:r>
    </w:p>
    <w:p>
      <w:pPr>
        <w:snapToGrid w:val="0"/>
        <w:spacing w:line="420" w:lineRule="exact"/>
        <w:jc w:val="center"/>
        <w:outlineLvl w:val="4"/>
        <w:rPr>
          <w:rFonts w:hint="eastAsia" w:ascii="宋体" w:hAnsi="宋体" w:eastAsia="宋体" w:cs="宋体"/>
          <w:b/>
          <w:bCs/>
          <w:sz w:val="24"/>
          <w:szCs w:val="24"/>
        </w:rPr>
      </w:pPr>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.供应商一般情况</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43"/>
        <w:gridCol w:w="28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6" w:hRule="atLeast"/>
          <w:jc w:val="center"/>
        </w:trPr>
        <w:tc>
          <w:tcPr>
            <w:tcW w:w="851" w:type="dxa"/>
            <w:noWrap w:val="0"/>
            <w:vAlign w:val="center"/>
          </w:tcPr>
          <w:p>
            <w:pPr>
              <w:tabs>
                <w:tab w:val="left" w:pos="993"/>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363" w:type="dxa"/>
            <w:gridSpan w:val="3"/>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851" w:type="dxa"/>
            <w:noWrap w:val="0"/>
            <w:vAlign w:val="center"/>
          </w:tcPr>
          <w:p>
            <w:pPr>
              <w:tabs>
                <w:tab w:val="left" w:pos="993"/>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8363" w:type="dxa"/>
            <w:gridSpan w:val="3"/>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851" w:type="dxa"/>
            <w:noWrap w:val="0"/>
            <w:vAlign w:val="center"/>
          </w:tcPr>
          <w:p>
            <w:pPr>
              <w:tabs>
                <w:tab w:val="left" w:pos="993"/>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8363" w:type="dxa"/>
            <w:gridSpan w:val="3"/>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51" w:type="dxa"/>
            <w:noWrap w:val="0"/>
            <w:vAlign w:val="center"/>
          </w:tcPr>
          <w:p>
            <w:pPr>
              <w:tabs>
                <w:tab w:val="left" w:pos="993"/>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3543" w:type="dxa"/>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电话：</w:t>
            </w:r>
          </w:p>
        </w:tc>
        <w:tc>
          <w:tcPr>
            <w:tcW w:w="4820" w:type="dxa"/>
            <w:gridSpan w:val="2"/>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51" w:type="dxa"/>
            <w:noWrap w:val="0"/>
            <w:vAlign w:val="center"/>
          </w:tcPr>
          <w:p>
            <w:pPr>
              <w:tabs>
                <w:tab w:val="left" w:pos="993"/>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3543" w:type="dxa"/>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传真：</w:t>
            </w:r>
          </w:p>
        </w:tc>
        <w:tc>
          <w:tcPr>
            <w:tcW w:w="4820" w:type="dxa"/>
            <w:gridSpan w:val="2"/>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51" w:type="dxa"/>
            <w:noWrap w:val="0"/>
            <w:vAlign w:val="center"/>
          </w:tcPr>
          <w:p>
            <w:pPr>
              <w:tabs>
                <w:tab w:val="left" w:pos="993"/>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3543" w:type="dxa"/>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注册地：</w:t>
            </w:r>
          </w:p>
        </w:tc>
        <w:tc>
          <w:tcPr>
            <w:tcW w:w="4820" w:type="dxa"/>
            <w:gridSpan w:val="2"/>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851" w:type="dxa"/>
            <w:noWrap w:val="0"/>
            <w:vAlign w:val="center"/>
          </w:tcPr>
          <w:p>
            <w:pPr>
              <w:tabs>
                <w:tab w:val="left" w:pos="993"/>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8363" w:type="dxa"/>
            <w:gridSpan w:val="3"/>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851" w:type="dxa"/>
            <w:noWrap w:val="0"/>
            <w:vAlign w:val="center"/>
          </w:tcPr>
          <w:p>
            <w:pPr>
              <w:tabs>
                <w:tab w:val="left" w:pos="993"/>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8363" w:type="dxa"/>
            <w:gridSpan w:val="3"/>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公司</w:t>
            </w:r>
            <w:r>
              <w:rPr>
                <w:rFonts w:hint="eastAsia" w:ascii="宋体" w:hAnsi="宋体" w:eastAsia="宋体" w:cs="宋体"/>
                <w:sz w:val="24"/>
                <w:szCs w:val="24"/>
                <w:u w:val="single"/>
              </w:rPr>
              <w:t xml:space="preserve">   （是否通过，何种）   </w:t>
            </w:r>
            <w:r>
              <w:rPr>
                <w:rFonts w:hint="eastAsia" w:ascii="宋体" w:hAnsi="宋体" w:eastAsia="宋体" w:cs="宋体"/>
                <w:sz w:val="24"/>
                <w:szCs w:val="24"/>
              </w:rPr>
              <w:t>质量保证体系认证（如通过请附相关证书复印件，没有请忽略该项）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5" w:hRule="atLeast"/>
          <w:jc w:val="center"/>
        </w:trPr>
        <w:tc>
          <w:tcPr>
            <w:tcW w:w="851" w:type="dxa"/>
            <w:noWrap w:val="0"/>
            <w:vAlign w:val="center"/>
          </w:tcPr>
          <w:p>
            <w:pPr>
              <w:tabs>
                <w:tab w:val="left" w:pos="993"/>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8363" w:type="dxa"/>
            <w:gridSpan w:val="3"/>
            <w:noWrap w:val="0"/>
            <w:vAlign w:val="top"/>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服务经营范围：</w:t>
            </w:r>
          </w:p>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0" w:hRule="atLeast"/>
          <w:jc w:val="center"/>
        </w:trPr>
        <w:tc>
          <w:tcPr>
            <w:tcW w:w="851" w:type="dxa"/>
            <w:noWrap w:val="0"/>
            <w:vAlign w:val="center"/>
          </w:tcPr>
          <w:p>
            <w:pPr>
              <w:tabs>
                <w:tab w:val="left" w:pos="993"/>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3827" w:type="dxa"/>
            <w:gridSpan w:val="2"/>
            <w:noWrap w:val="0"/>
            <w:vAlign w:val="center"/>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供应商从事投标项目设备的年数</w:t>
            </w:r>
          </w:p>
        </w:tc>
        <w:tc>
          <w:tcPr>
            <w:tcW w:w="4536" w:type="dxa"/>
            <w:noWrap w:val="0"/>
            <w:vAlign w:val="center"/>
          </w:tcPr>
          <w:p>
            <w:pPr>
              <w:tabs>
                <w:tab w:val="left" w:pos="993"/>
              </w:tabs>
              <w:spacing w:line="4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8" w:hRule="atLeast"/>
          <w:jc w:val="center"/>
        </w:trPr>
        <w:tc>
          <w:tcPr>
            <w:tcW w:w="851" w:type="dxa"/>
            <w:noWrap w:val="0"/>
            <w:vAlign w:val="center"/>
          </w:tcPr>
          <w:p>
            <w:pPr>
              <w:tabs>
                <w:tab w:val="left" w:pos="993"/>
              </w:tabs>
              <w:spacing w:line="42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8363" w:type="dxa"/>
            <w:gridSpan w:val="3"/>
            <w:noWrap w:val="0"/>
            <w:vAlign w:val="center"/>
          </w:tcPr>
          <w:p>
            <w:pPr>
              <w:tabs>
                <w:tab w:val="left" w:pos="993"/>
              </w:tabs>
              <w:spacing w:line="420" w:lineRule="exact"/>
              <w:rPr>
                <w:rFonts w:hint="eastAsia" w:ascii="宋体" w:hAnsi="宋体" w:eastAsia="宋体" w:cs="宋体"/>
                <w:sz w:val="24"/>
                <w:szCs w:val="24"/>
              </w:rPr>
            </w:pPr>
            <w:r>
              <w:rPr>
                <w:rFonts w:hint="eastAsia" w:ascii="宋体" w:hAnsi="宋体" w:eastAsia="宋体" w:cs="宋体"/>
                <w:sz w:val="24"/>
                <w:szCs w:val="24"/>
              </w:rPr>
              <w:t>其他需要说明的情况，可自行添加</w:t>
            </w:r>
          </w:p>
        </w:tc>
      </w:tr>
    </w:tbl>
    <w:p>
      <w:pPr>
        <w:kinsoku w:val="0"/>
        <w:topLinePunct/>
        <w:snapToGrid w:val="0"/>
        <w:spacing w:line="360" w:lineRule="auto"/>
        <w:ind w:firstLine="600" w:firstLineChars="250"/>
        <w:rPr>
          <w:rFonts w:hint="eastAsia" w:ascii="宋体" w:hAnsi="宋体" w:eastAsia="宋体" w:cs="宋体"/>
          <w:sz w:val="24"/>
          <w:szCs w:val="24"/>
        </w:rPr>
      </w:pPr>
    </w:p>
    <w:p>
      <w:pPr>
        <w:keepNext w:val="0"/>
        <w:keepLines w:val="0"/>
        <w:pageBreakBefore w:val="0"/>
        <w:widowControl w:val="0"/>
        <w:kinsoku w:val="0"/>
        <w:wordWrap/>
        <w:overflowPunct/>
        <w:topLinePunct/>
        <w:autoSpaceDE/>
        <w:autoSpaceDN/>
        <w:bidi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val="0"/>
        <w:kinsoku w:val="0"/>
        <w:wordWrap/>
        <w:overflowPunct/>
        <w:topLinePunct/>
        <w:autoSpaceDE/>
        <w:autoSpaceDN/>
        <w:bidi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法定代表人或被委托授权人（签字）：</w:t>
      </w:r>
    </w:p>
    <w:p>
      <w:pPr>
        <w:keepNext w:val="0"/>
        <w:keepLines w:val="0"/>
        <w:pageBreakBefore w:val="0"/>
        <w:widowControl w:val="0"/>
        <w:wordWrap/>
        <w:overflowPunct/>
        <w:autoSpaceDE/>
        <w:autoSpaceDN/>
        <w:bidi w:val="0"/>
        <w:adjustRightInd w:val="0"/>
        <w:snapToGrid w:val="0"/>
        <w:spacing w:line="360" w:lineRule="auto"/>
        <w:ind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widowControl w:val="0"/>
        <w:wordWrap/>
        <w:overflowPunct/>
        <w:autoSpaceDE/>
        <w:autoSpaceDN/>
        <w:bidi w:val="0"/>
        <w:adjustRightInd w:val="0"/>
        <w:snapToGrid w:val="0"/>
        <w:spacing w:line="360" w:lineRule="auto"/>
        <w:ind w:left="1158" w:leftChars="1" w:hanging="1156" w:hangingChars="482"/>
        <w:jc w:val="both"/>
        <w:textAlignment w:val="auto"/>
        <w:rPr>
          <w:rFonts w:hint="eastAsia" w:ascii="宋体" w:hAnsi="宋体" w:eastAsia="宋体" w:cs="宋体"/>
          <w:sz w:val="24"/>
          <w:szCs w:val="24"/>
        </w:rPr>
      </w:pPr>
    </w:p>
    <w:p>
      <w:pPr>
        <w:keepNext w:val="0"/>
        <w:keepLines w:val="0"/>
        <w:pageBreakBefore w:val="0"/>
        <w:widowControl w:val="0"/>
        <w:wordWrap/>
        <w:overflowPunct/>
        <w:autoSpaceDE/>
        <w:autoSpaceDN/>
        <w:bidi w:val="0"/>
        <w:adjustRightInd w:val="0"/>
        <w:snapToGrid w:val="0"/>
        <w:spacing w:line="360" w:lineRule="auto"/>
        <w:ind w:left="1149" w:leftChars="457" w:hanging="189" w:hangingChars="79"/>
        <w:jc w:val="both"/>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注：本表不是格式化表格，供应商可根据需要，自行添加删除。</w:t>
      </w:r>
    </w:p>
    <w:p>
      <w:pPr>
        <w:numPr>
          <w:ilvl w:val="0"/>
          <w:numId w:val="0"/>
        </w:num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磋商响应报价表（首轮）</w:t>
      </w:r>
    </w:p>
    <w:p>
      <w:pPr>
        <w:numPr>
          <w:ilvl w:val="0"/>
          <w:numId w:val="0"/>
        </w:numPr>
        <w:spacing w:line="480" w:lineRule="exact"/>
        <w:jc w:val="both"/>
        <w:rPr>
          <w:rFonts w:hint="eastAsia" w:ascii="宋体" w:hAnsi="宋体" w:eastAsia="宋体" w:cs="宋体"/>
          <w:b/>
          <w:bCs/>
          <w:sz w:val="24"/>
          <w:szCs w:val="24"/>
        </w:rPr>
      </w:pPr>
    </w:p>
    <w:p>
      <w:pPr>
        <w:pStyle w:val="50"/>
        <w:ind w:firstLine="0" w:firstLineChars="0"/>
        <w:jc w:val="left"/>
        <w:rPr>
          <w:rFonts w:hint="eastAsia" w:ascii="宋体" w:hAnsi="宋体" w:eastAsia="宋体" w:cs="宋体"/>
          <w:b/>
          <w:sz w:val="24"/>
          <w:szCs w:val="24"/>
          <w:bdr w:val="single" w:color="auto" w:sz="4" w:space="0"/>
          <w:shd w:val="pct10" w:color="auto" w:fill="FFFFFF"/>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w:t>
      </w:r>
      <w:r>
        <w:rPr>
          <w:rFonts w:hint="eastAsia" w:ascii="宋体" w:hAnsi="宋体" w:eastAsia="宋体" w:cs="宋体"/>
          <w:sz w:val="24"/>
          <w:szCs w:val="24"/>
          <w:lang w:eastAsia="zh-CN"/>
        </w:rPr>
        <w:t>钟秀街道环保管家服务项目</w:t>
      </w:r>
    </w:p>
    <w:tbl>
      <w:tblPr>
        <w:tblStyle w:val="51"/>
        <w:tblW w:w="5082" w:type="pct"/>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4055"/>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1" w:type="pct"/>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项目名称</w:t>
            </w:r>
          </w:p>
        </w:tc>
        <w:tc>
          <w:tcPr>
            <w:tcW w:w="2158" w:type="pct"/>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投标报价</w:t>
            </w:r>
          </w:p>
        </w:tc>
        <w:tc>
          <w:tcPr>
            <w:tcW w:w="1300" w:type="pct"/>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541" w:type="pct"/>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钟秀街道环保管家服务项目</w:t>
            </w:r>
          </w:p>
        </w:tc>
        <w:tc>
          <w:tcPr>
            <w:tcW w:w="2158"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jc w:val="both"/>
              <w:textAlignment w:val="bottom"/>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大写：人民币</w:t>
            </w:r>
            <w:r>
              <w:rPr>
                <w:rFonts w:hint="eastAsia" w:ascii="宋体" w:hAnsi="宋体" w:eastAsia="宋体" w:cs="宋体"/>
                <w:b w:val="0"/>
                <w:bCs/>
                <w:kern w:val="0"/>
                <w:sz w:val="24"/>
                <w:szCs w:val="24"/>
                <w:u w:val="single"/>
              </w:rPr>
              <w:t xml:space="preserve">              </w:t>
            </w:r>
            <w:r>
              <w:rPr>
                <w:rFonts w:hint="eastAsia" w:ascii="宋体" w:hAnsi="宋体" w:eastAsia="宋体" w:cs="宋体"/>
                <w:b w:val="0"/>
                <w:bCs/>
                <w:kern w:val="0"/>
                <w:sz w:val="24"/>
                <w:szCs w:val="24"/>
                <w:u w:val="none"/>
              </w:rPr>
              <w:t xml:space="preserve">   </w:t>
            </w:r>
            <w:r>
              <w:rPr>
                <w:rFonts w:hint="eastAsia" w:ascii="宋体" w:hAnsi="宋体" w:eastAsia="宋体" w:cs="宋体"/>
                <w:b w:val="0"/>
                <w:bCs/>
                <w:kern w:val="0"/>
                <w:sz w:val="24"/>
                <w:szCs w:val="24"/>
                <w:u w:val="single"/>
              </w:rPr>
              <w:t xml:space="preserve"> </w:t>
            </w:r>
          </w:p>
          <w:p>
            <w:pPr>
              <w:kinsoku w:val="0"/>
              <w:topLinePunct/>
              <w:snapToGrid w:val="0"/>
              <w:spacing w:line="360" w:lineRule="auto"/>
              <w:ind w:firstLine="240" w:firstLineChars="100"/>
              <w:jc w:val="both"/>
              <w:rPr>
                <w:rFonts w:hint="eastAsia" w:ascii="宋体" w:hAnsi="宋体" w:eastAsia="宋体" w:cs="宋体"/>
                <w:sz w:val="24"/>
                <w:szCs w:val="24"/>
                <w:lang w:eastAsia="zh-CN"/>
              </w:rPr>
            </w:pPr>
            <w:r>
              <w:rPr>
                <w:rFonts w:hint="eastAsia" w:ascii="宋体" w:hAnsi="宋体" w:eastAsia="宋体" w:cs="宋体"/>
                <w:b w:val="0"/>
                <w:bCs/>
                <w:kern w:val="0"/>
                <w:sz w:val="24"/>
                <w:szCs w:val="24"/>
              </w:rPr>
              <w:t>小写：</w:t>
            </w:r>
            <w:r>
              <w:rPr>
                <w:rFonts w:hint="eastAsia" w:ascii="宋体" w:hAnsi="宋体" w:eastAsia="宋体" w:cs="宋体"/>
                <w:b w:val="0"/>
                <w:bCs/>
                <w:sz w:val="24"/>
                <w:szCs w:val="24"/>
              </w:rPr>
              <w:t>¥</w:t>
            </w:r>
            <w:r>
              <w:rPr>
                <w:rFonts w:hint="eastAsia" w:ascii="宋体" w:hAnsi="宋体" w:eastAsia="宋体" w:cs="宋体"/>
                <w:b w:val="0"/>
                <w:bCs/>
                <w:sz w:val="24"/>
                <w:szCs w:val="24"/>
                <w:u w:val="single"/>
              </w:rPr>
              <w:t xml:space="preserve">                       </w:t>
            </w:r>
            <w:r>
              <w:rPr>
                <w:rFonts w:hint="eastAsia" w:ascii="宋体" w:hAnsi="宋体" w:eastAsia="宋体" w:cs="宋体"/>
                <w:b w:val="0"/>
                <w:bCs/>
                <w:kern w:val="0"/>
                <w:sz w:val="24"/>
                <w:szCs w:val="24"/>
              </w:rPr>
              <w:t>　</w:t>
            </w:r>
          </w:p>
        </w:tc>
        <w:tc>
          <w:tcPr>
            <w:tcW w:w="1300" w:type="pct"/>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spacing w:line="360" w:lineRule="auto"/>
              <w:jc w:val="both"/>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完全接受并响应本项目磋商文件的要求。</w:t>
            </w:r>
          </w:p>
        </w:tc>
      </w:tr>
    </w:tbl>
    <w:p>
      <w:pPr>
        <w:kinsoku w:val="0"/>
        <w:topLinePunct/>
        <w:snapToGrid w:val="0"/>
        <w:spacing w:line="360" w:lineRule="auto"/>
        <w:rPr>
          <w:rFonts w:hint="eastAsia" w:ascii="宋体" w:hAnsi="宋体" w:eastAsia="宋体" w:cs="宋体"/>
          <w:sz w:val="24"/>
          <w:szCs w:val="24"/>
        </w:rPr>
      </w:pPr>
    </w:p>
    <w:p>
      <w:pPr>
        <w:kinsoku w:val="0"/>
        <w:topLinePunct/>
        <w:snapToGrid w:val="0"/>
        <w:spacing w:line="360" w:lineRule="auto"/>
        <w:rPr>
          <w:rFonts w:hint="eastAsia" w:ascii="宋体" w:hAnsi="宋体" w:eastAsia="宋体" w:cs="宋体"/>
          <w:sz w:val="24"/>
          <w:szCs w:val="24"/>
        </w:rPr>
      </w:pPr>
    </w:p>
    <w:p>
      <w:pPr>
        <w:keepNext w:val="0"/>
        <w:keepLines w:val="0"/>
        <w:pageBreakBefore w:val="0"/>
        <w:widowControl w:val="0"/>
        <w:kinsoku w:val="0"/>
        <w:wordWrap/>
        <w:overflowPunct/>
        <w:topLinePunct/>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val="0"/>
        <w:kinsoku w:val="0"/>
        <w:wordWrap/>
        <w:overflowPunct/>
        <w:topLinePunct/>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法定代表人或被授权人（签字）：</w:t>
      </w:r>
    </w:p>
    <w:p>
      <w:pPr>
        <w:keepNext w:val="0"/>
        <w:keepLines w:val="0"/>
        <w:pageBreakBefore w:val="0"/>
        <w:widowControl w:val="0"/>
        <w:kinsoku w:val="0"/>
        <w:wordWrap/>
        <w:overflowPunct/>
        <w:topLinePunct/>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widowControl w:val="0"/>
        <w:wordWrap/>
        <w:overflowPunct/>
        <w:autoSpaceDE/>
        <w:autoSpaceDN/>
        <w:bidi w:val="0"/>
        <w:adjustRightInd/>
        <w:snapToGrid w:val="0"/>
        <w:spacing w:line="360" w:lineRule="auto"/>
        <w:ind w:firstLine="496" w:firstLineChars="206"/>
        <w:textAlignment w:val="auto"/>
        <w:rPr>
          <w:rFonts w:hint="eastAsia" w:ascii="宋体" w:hAnsi="宋体" w:eastAsia="宋体" w:cs="宋体"/>
          <w:b/>
          <w:sz w:val="24"/>
          <w:szCs w:val="24"/>
        </w:rPr>
      </w:pPr>
    </w:p>
    <w:p>
      <w:pPr>
        <w:keepNext w:val="0"/>
        <w:keepLines w:val="0"/>
        <w:pageBreakBefore w:val="0"/>
        <w:widowControl w:val="0"/>
        <w:wordWrap/>
        <w:overflowPunct/>
        <w:autoSpaceDE/>
        <w:autoSpaceDN/>
        <w:bidi w:val="0"/>
        <w:adjustRightInd/>
        <w:snapToGrid w:val="0"/>
        <w:spacing w:line="360" w:lineRule="auto"/>
        <w:ind w:firstLine="496" w:firstLineChars="206"/>
        <w:textAlignment w:val="auto"/>
        <w:rPr>
          <w:rFonts w:hint="eastAsia" w:ascii="宋体" w:hAnsi="宋体" w:eastAsia="宋体" w:cs="宋体"/>
          <w:b/>
          <w:sz w:val="24"/>
          <w:szCs w:val="24"/>
        </w:rPr>
      </w:pPr>
      <w:r>
        <w:rPr>
          <w:rFonts w:hint="eastAsia" w:ascii="宋体" w:hAnsi="宋体" w:eastAsia="宋体" w:cs="宋体"/>
          <w:b/>
          <w:sz w:val="24"/>
          <w:szCs w:val="24"/>
        </w:rPr>
        <w:t>注：</w:t>
      </w:r>
    </w:p>
    <w:p>
      <w:pPr>
        <w:keepNext w:val="0"/>
        <w:keepLines w:val="0"/>
        <w:pageBreakBefore w:val="0"/>
        <w:widowControl w:val="0"/>
        <w:wordWrap/>
        <w:overflowPunct/>
        <w:autoSpaceDE/>
        <w:autoSpaceDN/>
        <w:bidi w:val="0"/>
        <w:adjustRightInd/>
        <w:snapToGrid w:val="0"/>
        <w:spacing w:line="360" w:lineRule="auto"/>
        <w:ind w:firstLine="494" w:firstLineChars="206"/>
        <w:textAlignment w:val="auto"/>
        <w:rPr>
          <w:rFonts w:hint="eastAsia" w:ascii="宋体" w:hAnsi="宋体" w:eastAsia="宋体" w:cs="宋体"/>
          <w:sz w:val="24"/>
          <w:szCs w:val="24"/>
        </w:rPr>
      </w:pPr>
      <w:r>
        <w:rPr>
          <w:rFonts w:hint="eastAsia" w:ascii="宋体" w:hAnsi="宋体" w:eastAsia="宋体" w:cs="宋体"/>
          <w:sz w:val="24"/>
          <w:szCs w:val="24"/>
        </w:rPr>
        <w:t>（1）本表为格式表，不得自行改动，必须提供。</w:t>
      </w:r>
    </w:p>
    <w:p>
      <w:pPr>
        <w:keepNext w:val="0"/>
        <w:keepLines w:val="0"/>
        <w:pageBreakBefore w:val="0"/>
        <w:widowControl w:val="0"/>
        <w:wordWrap/>
        <w:overflowPunct/>
        <w:autoSpaceDE/>
        <w:autoSpaceDN/>
        <w:bidi w:val="0"/>
        <w:adjustRightInd/>
        <w:snapToGrid w:val="0"/>
        <w:spacing w:line="360" w:lineRule="auto"/>
        <w:ind w:firstLine="494" w:firstLineChars="20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（2）磋商响应报价应包含：服务及完成本项目工作所需的一切费用。包含但不限于以下费用：</w:t>
      </w:r>
      <w:r>
        <w:rPr>
          <w:rFonts w:hint="eastAsia" w:ascii="宋体" w:hAnsi="宋体" w:eastAsia="宋体" w:cs="宋体"/>
          <w:sz w:val="24"/>
          <w:szCs w:val="24"/>
        </w:rPr>
        <w:t>场地勘察、收集资料费、调查费、人员费（含周末及节假日加班费）、交通费、办公设备费、检测费、风险费、保险费、税金、利润等政策性文件规定及合同包含的所有风险、责任等各项应有费用，即招标服务周期结束前的所有费用且包含响应磋商文件采购要求的所有费用。</w:t>
      </w:r>
      <w:r>
        <w:rPr>
          <w:rFonts w:hint="eastAsia" w:ascii="宋体" w:hAnsi="宋体" w:eastAsia="宋体" w:cs="宋体"/>
          <w:sz w:val="24"/>
          <w:szCs w:val="24"/>
          <w:highlight w:val="none"/>
        </w:rPr>
        <w:t>供应商的报价中应充分考虑上述的要求和风险因素，服务期限内出现的任何遗漏，均由成交供应商负责，采购单位不再支付任何费用。</w:t>
      </w:r>
    </w:p>
    <w:p>
      <w:pPr>
        <w:keepNext w:val="0"/>
        <w:keepLines w:val="0"/>
        <w:pageBreakBefore w:val="0"/>
        <w:widowControl w:val="0"/>
        <w:wordWrap/>
        <w:overflowPunct/>
        <w:autoSpaceDE/>
        <w:autoSpaceDN/>
        <w:bidi w:val="0"/>
        <w:adjustRightInd/>
        <w:snapToGrid w:val="0"/>
        <w:spacing w:line="360" w:lineRule="auto"/>
        <w:ind w:firstLine="494" w:firstLineChars="206"/>
        <w:textAlignment w:val="auto"/>
        <w:rPr>
          <w:rFonts w:hint="eastAsia" w:ascii="宋体" w:hAnsi="宋体" w:eastAsia="宋体" w:cs="宋体"/>
          <w:sz w:val="24"/>
          <w:szCs w:val="24"/>
          <w:lang w:eastAsia="zh-CN"/>
        </w:rPr>
      </w:pPr>
      <w:r>
        <w:rPr>
          <w:rFonts w:hint="eastAsia" w:ascii="宋体" w:hAnsi="宋体" w:eastAsia="宋体" w:cs="宋体"/>
          <w:sz w:val="24"/>
          <w:szCs w:val="24"/>
        </w:rPr>
        <w:t>（3）商务报价响应文件密封提交时只需填写磋商响应报价表（首次报价），二次报价将在开标现场填写，</w:t>
      </w:r>
      <w:r>
        <w:rPr>
          <w:rFonts w:hint="eastAsia" w:ascii="宋体" w:hAnsi="宋体" w:eastAsia="宋体" w:cs="宋体"/>
          <w:sz w:val="24"/>
          <w:szCs w:val="24"/>
        </w:rPr>
        <w:t>且第二次报价时，磋商响应报价明细表按同比例下浮</w:t>
      </w:r>
      <w:r>
        <w:rPr>
          <w:rFonts w:hint="eastAsia" w:ascii="宋体" w:hAnsi="宋体" w:cs="宋体"/>
          <w:sz w:val="24"/>
          <w:szCs w:val="24"/>
          <w:lang w:eastAsia="zh-CN"/>
        </w:rPr>
        <w:t>（</w:t>
      </w:r>
      <w:r>
        <w:rPr>
          <w:rFonts w:hint="eastAsia" w:ascii="宋体" w:hAnsi="宋体" w:cs="宋体"/>
          <w:sz w:val="24"/>
          <w:szCs w:val="24"/>
          <w:lang w:val="en-US" w:eastAsia="zh-CN"/>
        </w:rPr>
        <w:t>如有</w:t>
      </w:r>
      <w:r>
        <w:rPr>
          <w:rFonts w:hint="eastAsia" w:ascii="宋体" w:hAnsi="宋体" w:cs="宋体"/>
          <w:sz w:val="24"/>
          <w:szCs w:val="24"/>
          <w:lang w:eastAsia="zh-CN"/>
        </w:rPr>
        <w:t>）。</w:t>
      </w:r>
    </w:p>
    <w:p>
      <w:pPr>
        <w:pStyle w:val="127"/>
        <w:ind w:firstLine="480" w:firstLineChars="200"/>
        <w:rPr>
          <w:rFonts w:hint="eastAsia"/>
          <w:lang w:eastAsia="zh-CN"/>
        </w:rPr>
      </w:pPr>
      <w:r>
        <w:rPr>
          <w:rFonts w:hint="eastAsia" w:ascii="宋体" w:hAnsi="宋体" w:eastAsia="宋体" w:cs="宋体"/>
          <w:sz w:val="24"/>
          <w:szCs w:val="24"/>
        </w:rPr>
        <w:t>（4）二次报价表格由招标代理现场提供。</w:t>
      </w:r>
    </w:p>
    <w:p>
      <w:pPr>
        <w:jc w:val="center"/>
        <w:rPr>
          <w:rFonts w:hint="eastAsia" w:ascii="宋体" w:hAnsi="宋体" w:eastAsia="宋体" w:cs="宋体"/>
          <w:b/>
          <w:kern w:val="0"/>
          <w:sz w:val="24"/>
        </w:rPr>
      </w:pPr>
      <w:r>
        <w:rPr>
          <w:rFonts w:hint="eastAsia" w:ascii="宋体" w:hAnsi="宋体" w:eastAsia="宋体" w:cs="宋体"/>
          <w:b/>
          <w:sz w:val="24"/>
          <w:szCs w:val="24"/>
          <w:lang w:val="en-US" w:eastAsia="zh-CN"/>
        </w:rPr>
        <w:br w:type="page"/>
      </w:r>
      <w:r>
        <w:rPr>
          <w:rFonts w:hint="eastAsia" w:ascii="宋体" w:hAnsi="宋体" w:eastAsia="宋体" w:cs="宋体"/>
          <w:b/>
          <w:sz w:val="24"/>
          <w:szCs w:val="24"/>
          <w:lang w:val="en-US" w:eastAsia="zh-CN"/>
        </w:rPr>
        <w:t>9</w:t>
      </w:r>
      <w:r>
        <w:rPr>
          <w:rFonts w:hint="eastAsia" w:ascii="宋体" w:hAnsi="宋体" w:eastAsia="宋体" w:cs="宋体"/>
          <w:b/>
          <w:sz w:val="24"/>
          <w:szCs w:val="24"/>
        </w:rPr>
        <w:t>.</w:t>
      </w:r>
      <w:r>
        <w:rPr>
          <w:rFonts w:hint="eastAsia" w:ascii="宋体" w:hAnsi="宋体" w:eastAsia="宋体" w:cs="宋体"/>
          <w:b/>
          <w:kern w:val="0"/>
          <w:sz w:val="24"/>
        </w:rPr>
        <w:t>中小企业声明函</w:t>
      </w:r>
    </w:p>
    <w:p>
      <w:pPr>
        <w:jc w:val="center"/>
        <w:rPr>
          <w:rFonts w:hint="eastAsia" w:ascii="宋体" w:hAnsi="宋体" w:eastAsia="宋体" w:cs="宋体"/>
          <w:b/>
          <w:kern w:val="0"/>
          <w:sz w:val="24"/>
        </w:rPr>
      </w:pPr>
      <w:r>
        <w:rPr>
          <w:rFonts w:hint="eastAsia" w:ascii="宋体" w:hAnsi="宋体" w:eastAsia="宋体" w:cs="宋体"/>
          <w:b/>
          <w:kern w:val="0"/>
          <w:sz w:val="24"/>
        </w:rPr>
        <w:t>（格式，如涉有，则提供）</w:t>
      </w:r>
    </w:p>
    <w:p>
      <w:pPr>
        <w:spacing w:line="360" w:lineRule="auto"/>
        <w:ind w:firstLine="480"/>
        <w:jc w:val="left"/>
        <w:rPr>
          <w:rFonts w:hint="eastAsia" w:ascii="宋体" w:hAnsi="宋体" w:eastAsia="宋体" w:cs="宋体"/>
          <w:color w:val="auto"/>
          <w:sz w:val="24"/>
          <w:szCs w:val="24"/>
          <w:highlight w:val="none"/>
          <w:lang w:bidi="zh-CN"/>
        </w:rPr>
      </w:pPr>
    </w:p>
    <w:p>
      <w:pPr>
        <w:spacing w:line="360" w:lineRule="auto"/>
        <w:ind w:firstLine="48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bidi="zh-CN"/>
        </w:rPr>
        <w:t>（单位名称）</w:t>
      </w:r>
      <w:r>
        <w:rPr>
          <w:rFonts w:hint="eastAsia"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u w:val="single"/>
          <w:lang w:bidi="zh-CN"/>
        </w:rPr>
        <w:t>（项目名称）</w:t>
      </w:r>
      <w:r>
        <w:rPr>
          <w:rFonts w:hint="eastAsia" w:ascii="宋体" w:hAnsi="宋体" w:eastAsia="宋体" w:cs="宋体"/>
          <w:color w:val="auto"/>
          <w:sz w:val="24"/>
          <w:szCs w:val="24"/>
          <w:highlight w:val="none"/>
          <w:lang w:bidi="zh-CN"/>
        </w:rPr>
        <w:t>采购活动，服务全部由符合政策要求的中小企业承接。相关企业（含联合体中的中小企业、签订分包意向协议的中小企业）的具体情况如下：</w:t>
      </w:r>
    </w:p>
    <w:p>
      <w:pPr>
        <w:spacing w:line="360" w:lineRule="auto"/>
        <w:ind w:firstLine="48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u w:val="single"/>
          <w:lang w:bidi="zh-CN"/>
        </w:rPr>
        <w:t>（标的名称）</w:t>
      </w:r>
      <w:r>
        <w:rPr>
          <w:rFonts w:hint="eastAsia" w:ascii="宋体" w:hAnsi="宋体" w:eastAsia="宋体" w:cs="宋体"/>
          <w:color w:val="auto"/>
          <w:sz w:val="24"/>
          <w:szCs w:val="24"/>
          <w:highlight w:val="none"/>
          <w:lang w:bidi="zh-CN"/>
        </w:rPr>
        <w:t>，属于（</w:t>
      </w:r>
      <w:r>
        <w:rPr>
          <w:rFonts w:hint="eastAsia" w:ascii="宋体" w:hAnsi="宋体" w:eastAsia="宋体" w:cs="宋体"/>
          <w:color w:val="auto"/>
          <w:sz w:val="24"/>
          <w:szCs w:val="24"/>
          <w:highlight w:val="none"/>
          <w:u w:val="single"/>
          <w:lang w:bidi="zh-CN"/>
        </w:rPr>
        <w:t>采购文件中明确的所属行业）</w:t>
      </w:r>
      <w:r>
        <w:rPr>
          <w:rFonts w:hint="eastAsia" w:ascii="宋体" w:hAnsi="宋体" w:eastAsia="宋体" w:cs="宋体"/>
          <w:color w:val="auto"/>
          <w:sz w:val="24"/>
          <w:szCs w:val="24"/>
          <w:highlight w:val="none"/>
          <w:lang w:bidi="zh-CN"/>
        </w:rPr>
        <w:t>；承接企业为</w:t>
      </w:r>
      <w:r>
        <w:rPr>
          <w:rFonts w:hint="eastAsia" w:ascii="宋体" w:hAnsi="宋体" w:eastAsia="宋体" w:cs="宋体"/>
          <w:color w:val="auto"/>
          <w:sz w:val="24"/>
          <w:szCs w:val="24"/>
          <w:highlight w:val="none"/>
          <w:u w:val="single"/>
          <w:lang w:bidi="zh-CN"/>
        </w:rPr>
        <w:t>（企业名称）</w:t>
      </w:r>
      <w:r>
        <w:rPr>
          <w:rFonts w:hint="eastAsia" w:ascii="宋体" w:hAnsi="宋体" w:eastAsia="宋体" w:cs="宋体"/>
          <w:color w:val="auto"/>
          <w:sz w:val="24"/>
          <w:szCs w:val="24"/>
          <w:highlight w:val="none"/>
          <w:lang w:bidi="zh-CN"/>
        </w:rPr>
        <w:t>，从业人员</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lang w:bidi="zh-CN"/>
        </w:rPr>
        <w:t>人，营业收入为</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lang w:bidi="zh-CN"/>
        </w:rPr>
        <w:t>万元，资产总额为</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lang w:bidi="zh-CN"/>
        </w:rPr>
        <w:t>万元，属于</w:t>
      </w:r>
      <w:r>
        <w:rPr>
          <w:rFonts w:hint="eastAsia" w:ascii="宋体" w:hAnsi="宋体" w:eastAsia="宋体" w:cs="宋体"/>
          <w:color w:val="auto"/>
          <w:sz w:val="24"/>
          <w:szCs w:val="24"/>
          <w:highlight w:val="none"/>
          <w:u w:val="single"/>
          <w:lang w:bidi="zh-CN"/>
        </w:rPr>
        <w:t>（中型企业、小型企业、微型企业）</w:t>
      </w:r>
      <w:r>
        <w:rPr>
          <w:rFonts w:hint="eastAsia" w:ascii="宋体" w:hAnsi="宋体" w:eastAsia="宋体" w:cs="宋体"/>
          <w:color w:val="auto"/>
          <w:sz w:val="24"/>
          <w:szCs w:val="24"/>
          <w:highlight w:val="none"/>
          <w:lang w:bidi="zh-CN"/>
        </w:rPr>
        <w:t>；</w:t>
      </w:r>
    </w:p>
    <w:p>
      <w:pPr>
        <w:spacing w:line="360" w:lineRule="auto"/>
        <w:ind w:firstLine="48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w:t>
      </w:r>
      <w:r>
        <w:rPr>
          <w:rFonts w:hint="eastAsia" w:ascii="宋体" w:hAnsi="宋体" w:eastAsia="宋体" w:cs="宋体"/>
          <w:color w:val="auto"/>
          <w:sz w:val="24"/>
          <w:szCs w:val="24"/>
          <w:highlight w:val="none"/>
          <w:u w:val="single"/>
          <w:lang w:bidi="zh-CN"/>
        </w:rPr>
        <w:t>（标的名称）</w:t>
      </w:r>
      <w:r>
        <w:rPr>
          <w:rFonts w:hint="eastAsia" w:ascii="宋体" w:hAnsi="宋体" w:eastAsia="宋体" w:cs="宋体"/>
          <w:color w:val="auto"/>
          <w:sz w:val="24"/>
          <w:szCs w:val="24"/>
          <w:highlight w:val="none"/>
          <w:lang w:bidi="zh-CN"/>
        </w:rPr>
        <w:t>，属于（</w:t>
      </w:r>
      <w:r>
        <w:rPr>
          <w:rFonts w:hint="eastAsia" w:ascii="宋体" w:hAnsi="宋体" w:eastAsia="宋体" w:cs="宋体"/>
          <w:color w:val="auto"/>
          <w:sz w:val="24"/>
          <w:szCs w:val="24"/>
          <w:highlight w:val="none"/>
          <w:u w:val="single"/>
          <w:lang w:bidi="zh-CN"/>
        </w:rPr>
        <w:t>采购文件中明确的所属行业）</w:t>
      </w:r>
      <w:r>
        <w:rPr>
          <w:rFonts w:hint="eastAsia" w:ascii="宋体" w:hAnsi="宋体" w:eastAsia="宋体" w:cs="宋体"/>
          <w:color w:val="auto"/>
          <w:sz w:val="24"/>
          <w:szCs w:val="24"/>
          <w:highlight w:val="none"/>
          <w:lang w:bidi="zh-CN"/>
        </w:rPr>
        <w:t>；承接企业为</w:t>
      </w:r>
      <w:r>
        <w:rPr>
          <w:rFonts w:hint="eastAsia" w:ascii="宋体" w:hAnsi="宋体" w:eastAsia="宋体" w:cs="宋体"/>
          <w:color w:val="auto"/>
          <w:sz w:val="24"/>
          <w:szCs w:val="24"/>
          <w:highlight w:val="none"/>
          <w:u w:val="single"/>
          <w:lang w:bidi="zh-CN"/>
        </w:rPr>
        <w:t>（企业名称）</w:t>
      </w:r>
      <w:r>
        <w:rPr>
          <w:rFonts w:hint="eastAsia" w:ascii="宋体" w:hAnsi="宋体" w:eastAsia="宋体" w:cs="宋体"/>
          <w:color w:val="auto"/>
          <w:sz w:val="24"/>
          <w:szCs w:val="24"/>
          <w:highlight w:val="none"/>
          <w:lang w:bidi="zh-CN"/>
        </w:rPr>
        <w:t>，从业人员</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lang w:bidi="zh-CN"/>
        </w:rPr>
        <w:t>人，营业收入为</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lang w:bidi="zh-CN"/>
        </w:rPr>
        <w:t>万元，资产总额为</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lang w:bidi="zh-CN"/>
        </w:rPr>
        <w:t>万元，属于</w:t>
      </w:r>
      <w:r>
        <w:rPr>
          <w:rFonts w:hint="eastAsia" w:ascii="宋体" w:hAnsi="宋体" w:eastAsia="宋体" w:cs="宋体"/>
          <w:color w:val="auto"/>
          <w:sz w:val="24"/>
          <w:szCs w:val="24"/>
          <w:highlight w:val="none"/>
          <w:u w:val="single"/>
          <w:lang w:bidi="zh-CN"/>
        </w:rPr>
        <w:t>（中型企业、小型企业、微型企业）</w:t>
      </w:r>
      <w:r>
        <w:rPr>
          <w:rFonts w:hint="eastAsia" w:ascii="宋体" w:hAnsi="宋体" w:eastAsia="宋体" w:cs="宋体"/>
          <w:color w:val="auto"/>
          <w:sz w:val="24"/>
          <w:szCs w:val="24"/>
          <w:highlight w:val="none"/>
          <w:lang w:bidi="zh-CN"/>
        </w:rPr>
        <w:t>；</w:t>
      </w:r>
    </w:p>
    <w:p>
      <w:pPr>
        <w:spacing w:line="360" w:lineRule="auto"/>
        <w:ind w:firstLine="48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p>
    <w:p>
      <w:pPr>
        <w:spacing w:line="360" w:lineRule="auto"/>
        <w:ind w:firstLine="48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以上企业，不属于大企业的分支机构，不存在控股股东为大企业的情形，也不存在与大企业的负责人为同一人的情形。</w:t>
      </w:r>
    </w:p>
    <w:p>
      <w:pPr>
        <w:spacing w:line="360" w:lineRule="auto"/>
        <w:ind w:firstLine="48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本企业对上述声明内容的真实性负责。如有虚假，将依法承担相应责任。</w:t>
      </w:r>
    </w:p>
    <w:p>
      <w:pPr>
        <w:spacing w:line="360" w:lineRule="auto"/>
        <w:jc w:val="left"/>
        <w:rPr>
          <w:rFonts w:hint="eastAsia" w:ascii="宋体" w:hAnsi="宋体" w:eastAsia="宋体" w:cs="宋体"/>
          <w:color w:val="auto"/>
          <w:sz w:val="24"/>
          <w:szCs w:val="24"/>
          <w:highlight w:val="none"/>
          <w:lang w:bidi="zh-CN"/>
        </w:rPr>
      </w:pPr>
    </w:p>
    <w:p>
      <w:pPr>
        <w:spacing w:line="360" w:lineRule="auto"/>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企业名称（盖章）：</w:t>
      </w:r>
    </w:p>
    <w:p>
      <w:pPr>
        <w:spacing w:line="360" w:lineRule="auto"/>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日期：</w:t>
      </w:r>
    </w:p>
    <w:p>
      <w:pPr>
        <w:snapToGrid w:val="0"/>
        <w:spacing w:line="520" w:lineRule="exact"/>
        <w:rPr>
          <w:rFonts w:hint="eastAsia" w:ascii="宋体" w:hAnsi="宋体" w:eastAsia="宋体" w:cs="宋体"/>
          <w:b/>
          <w:sz w:val="24"/>
          <w:szCs w:val="24"/>
        </w:rPr>
      </w:pPr>
    </w:p>
    <w:p>
      <w:pPr>
        <w:snapToGrid w:val="0"/>
        <w:spacing w:line="520" w:lineRule="exact"/>
        <w:jc w:val="left"/>
        <w:rPr>
          <w:rFonts w:hint="eastAsia" w:ascii="宋体" w:hAnsi="宋体" w:eastAsia="宋体" w:cs="宋体"/>
          <w:szCs w:val="21"/>
        </w:rPr>
      </w:pPr>
      <w:r>
        <w:rPr>
          <w:rFonts w:hint="eastAsia" w:ascii="宋体" w:hAnsi="宋体" w:eastAsia="宋体" w:cs="宋体"/>
          <w:szCs w:val="21"/>
        </w:rPr>
        <w:t>注：</w:t>
      </w:r>
    </w:p>
    <w:p>
      <w:pPr>
        <w:snapToGrid w:val="0"/>
        <w:spacing w:line="520" w:lineRule="exact"/>
        <w:jc w:val="left"/>
        <w:rPr>
          <w:rFonts w:hint="eastAsia" w:ascii="宋体" w:hAnsi="宋体" w:eastAsia="宋体" w:cs="宋体"/>
          <w:szCs w:val="21"/>
        </w:rPr>
      </w:pPr>
      <w:r>
        <w:rPr>
          <w:rFonts w:hint="eastAsia" w:ascii="宋体" w:hAnsi="宋体" w:eastAsia="宋体" w:cs="宋体"/>
          <w:szCs w:val="21"/>
        </w:rPr>
        <w:t>（1）从业人员、营业收入、资产总额填报上一年度数据，无上一年度数据的新成立企业可不填报。</w:t>
      </w:r>
    </w:p>
    <w:p>
      <w:pPr>
        <w:snapToGrid w:val="0"/>
        <w:spacing w:line="520" w:lineRule="exact"/>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）本项目不享受中小企业扶持政策的投标供应商，无须提供“中小企业声明函”。</w:t>
      </w:r>
    </w:p>
    <w:p>
      <w:pPr>
        <w:numPr>
          <w:ilvl w:val="0"/>
          <w:numId w:val="0"/>
        </w:numPr>
        <w:snapToGrid w:val="0"/>
        <w:spacing w:before="240" w:beforeLines="100" w:after="240" w:afterLines="100" w:line="420" w:lineRule="exact"/>
        <w:jc w:val="center"/>
        <w:rPr>
          <w:rFonts w:hint="eastAsia" w:ascii="宋体" w:hAnsi="宋体" w:eastAsia="宋体" w:cs="宋体"/>
          <w:b/>
          <w:kern w:val="0"/>
          <w:sz w:val="24"/>
        </w:rPr>
      </w:pPr>
      <w:bookmarkStart w:id="98" w:name="OLE_LINK14"/>
      <w:bookmarkStart w:id="99" w:name="OLE_LINK13"/>
      <w:r>
        <w:rPr>
          <w:rFonts w:hint="eastAsia" w:ascii="宋体" w:hAnsi="宋体" w:eastAsia="宋体" w:cs="宋体"/>
          <w:b/>
          <w:bCs/>
          <w:sz w:val="28"/>
          <w:szCs w:val="28"/>
        </w:rPr>
        <w:br w:type="page"/>
      </w:r>
      <w:r>
        <w:rPr>
          <w:rFonts w:hint="eastAsia" w:ascii="宋体" w:hAnsi="宋体" w:eastAsia="宋体" w:cs="宋体"/>
          <w:b/>
          <w:bCs/>
          <w:sz w:val="24"/>
          <w:szCs w:val="24"/>
          <w:lang w:val="en-US" w:eastAsia="zh-CN"/>
        </w:rPr>
        <w:t>10.</w:t>
      </w:r>
      <w:r>
        <w:rPr>
          <w:rFonts w:hint="eastAsia" w:ascii="宋体" w:hAnsi="宋体" w:eastAsia="宋体" w:cs="宋体"/>
          <w:b/>
          <w:kern w:val="0"/>
          <w:sz w:val="24"/>
          <w:szCs w:val="24"/>
        </w:rPr>
        <w:t>残疾人福利性单位声明函</w:t>
      </w:r>
      <w:bookmarkEnd w:id="98"/>
      <w:bookmarkEnd w:id="99"/>
      <w:r>
        <w:rPr>
          <w:rFonts w:hint="eastAsia" w:ascii="宋体" w:hAnsi="宋体" w:eastAsia="宋体" w:cs="宋体"/>
          <w:b/>
          <w:kern w:val="0"/>
          <w:sz w:val="24"/>
          <w:szCs w:val="24"/>
        </w:rPr>
        <w:t>（格式，如涉有，则提供</w:t>
      </w:r>
      <w:r>
        <w:rPr>
          <w:rFonts w:hint="eastAsia" w:ascii="宋体" w:hAnsi="宋体" w:eastAsia="宋体" w:cs="宋体"/>
          <w:b/>
          <w:kern w:val="0"/>
          <w:sz w:val="24"/>
        </w:rPr>
        <w:t>）</w:t>
      </w:r>
    </w:p>
    <w:p>
      <w:pPr>
        <w:keepNext w:val="0"/>
        <w:keepLines w:val="0"/>
        <w:pageBreakBefore w:val="0"/>
        <w:widowControl w:val="0"/>
        <w:numPr>
          <w:ilvl w:val="0"/>
          <w:numId w:val="0"/>
        </w:numPr>
        <w:wordWrap/>
        <w:overflowPunct/>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采购活动，针对项目需求，由本单位提供服务。</w:t>
      </w:r>
    </w:p>
    <w:p>
      <w:pPr>
        <w:keepNext w:val="0"/>
        <w:keepLines w:val="0"/>
        <w:pageBreakBefore w:val="0"/>
        <w:widowControl w:val="0"/>
        <w:wordWrap/>
        <w:overflowPunct/>
        <w:autoSpaceDE/>
        <w:autoSpaceDN/>
        <w:bidi w:val="0"/>
        <w:adjustRightInd/>
        <w:snapToGrid w:val="0"/>
        <w:spacing w:line="360" w:lineRule="auto"/>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keepNext w:val="0"/>
        <w:keepLines w:val="0"/>
        <w:pageBreakBefore w:val="0"/>
        <w:widowControl w:val="0"/>
        <w:wordWrap/>
        <w:overflowPunct/>
        <w:autoSpaceDE/>
        <w:autoSpaceDN/>
        <w:bidi w:val="0"/>
        <w:adjustRightInd/>
        <w:snapToGrid w:val="0"/>
        <w:spacing w:line="360" w:lineRule="auto"/>
        <w:textAlignment w:val="auto"/>
        <w:rPr>
          <w:rFonts w:hint="eastAsia" w:ascii="宋体" w:hAnsi="宋体" w:eastAsia="宋体" w:cs="宋体"/>
          <w:sz w:val="24"/>
          <w:szCs w:val="24"/>
        </w:rPr>
      </w:pPr>
    </w:p>
    <w:p>
      <w:pPr>
        <w:keepNext w:val="0"/>
        <w:keepLines w:val="0"/>
        <w:pageBreakBefore w:val="0"/>
        <w:widowControl w:val="0"/>
        <w:wordWrap/>
        <w:overflowPunct/>
        <w:autoSpaceDE/>
        <w:autoSpaceDN/>
        <w:bidi w:val="0"/>
        <w:adjustRightInd/>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val="0"/>
        <w:wordWrap/>
        <w:overflowPunct/>
        <w:topLinePunct/>
        <w:autoSpaceDE/>
        <w:autoSpaceDN/>
        <w:bidi w:val="0"/>
        <w:adjustRightInd/>
        <w:snapToGrid w:val="0"/>
        <w:spacing w:line="360" w:lineRule="auto"/>
        <w:ind w:firstLine="5160" w:firstLineChars="2150"/>
        <w:jc w:val="left"/>
        <w:textAlignment w:val="auto"/>
        <w:rPr>
          <w:rFonts w:hint="eastAsia" w:ascii="宋体" w:hAnsi="宋体" w:eastAsia="宋体" w:cs="宋体"/>
          <w:sz w:val="24"/>
          <w:szCs w:val="24"/>
        </w:rPr>
      </w:pPr>
      <w:r>
        <w:rPr>
          <w:rFonts w:hint="eastAsia" w:ascii="宋体" w:hAnsi="宋体" w:eastAsia="宋体" w:cs="宋体"/>
          <w:sz w:val="24"/>
          <w:szCs w:val="24"/>
        </w:rPr>
        <w:t>供应商：（盖章）</w:t>
      </w:r>
    </w:p>
    <w:p>
      <w:pPr>
        <w:keepNext w:val="0"/>
        <w:keepLines w:val="0"/>
        <w:pageBreakBefore w:val="0"/>
        <w:widowControl w:val="0"/>
        <w:kinsoku w:val="0"/>
        <w:wordWrap/>
        <w:overflowPunct/>
        <w:topLinePunct/>
        <w:autoSpaceDE/>
        <w:autoSpaceDN/>
        <w:bidi w:val="0"/>
        <w:adjustRightInd/>
        <w:snapToGrid w:val="0"/>
        <w:spacing w:line="360" w:lineRule="auto"/>
        <w:ind w:firstLine="4080" w:firstLineChars="17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keepNext w:val="0"/>
        <w:keepLines w:val="0"/>
        <w:pageBreakBefore w:val="0"/>
        <w:widowControl w:val="0"/>
        <w:kinsoku w:val="0"/>
        <w:wordWrap/>
        <w:overflowPunct/>
        <w:topLinePunct/>
        <w:autoSpaceDE/>
        <w:autoSpaceDN/>
        <w:bidi w:val="0"/>
        <w:adjustRightInd/>
        <w:snapToGrid w:val="0"/>
        <w:spacing w:line="360" w:lineRule="auto"/>
        <w:ind w:firstLine="5880" w:firstLineChars="2450"/>
        <w:jc w:val="left"/>
        <w:textAlignment w:val="auto"/>
        <w:rPr>
          <w:rFonts w:hint="eastAsia" w:ascii="宋体" w:hAnsi="宋体" w:eastAsia="宋体" w:cs="宋体"/>
          <w:sz w:val="24"/>
          <w:szCs w:val="24"/>
        </w:rPr>
      </w:pPr>
      <w:r>
        <w:rPr>
          <w:rFonts w:hint="eastAsia" w:ascii="宋体" w:hAnsi="宋体" w:eastAsia="宋体" w:cs="宋体"/>
          <w:sz w:val="24"/>
          <w:szCs w:val="24"/>
        </w:rPr>
        <w:t>日期：</w:t>
      </w:r>
    </w:p>
    <w:p>
      <w:pPr>
        <w:snapToGrid w:val="0"/>
        <w:spacing w:before="240" w:beforeLines="100" w:after="240" w:afterLines="100" w:line="420" w:lineRule="exact"/>
        <w:jc w:val="center"/>
        <w:rPr>
          <w:rFonts w:hint="eastAsia" w:ascii="宋体" w:hAnsi="宋体" w:eastAsia="宋体" w:cs="宋体"/>
          <w:b/>
          <w:kern w:val="0"/>
          <w:sz w:val="24"/>
        </w:rPr>
      </w:pPr>
      <w:r>
        <w:rPr>
          <w:rFonts w:hint="eastAsia" w:ascii="宋体" w:hAnsi="宋体" w:eastAsia="宋体" w:cs="宋体"/>
          <w:b/>
          <w:kern w:val="0"/>
          <w:sz w:val="24"/>
        </w:rPr>
        <w:br w:type="page"/>
      </w:r>
      <w:r>
        <w:rPr>
          <w:rFonts w:hint="eastAsia" w:ascii="宋体" w:hAnsi="宋体" w:eastAsia="宋体" w:cs="宋体"/>
          <w:b/>
          <w:kern w:val="0"/>
          <w:sz w:val="24"/>
        </w:rPr>
        <w:t>1</w:t>
      </w:r>
      <w:r>
        <w:rPr>
          <w:rFonts w:hint="eastAsia" w:ascii="宋体" w:hAnsi="宋体" w:eastAsia="宋体" w:cs="宋体"/>
          <w:b/>
          <w:kern w:val="0"/>
          <w:sz w:val="24"/>
          <w:lang w:val="en-US" w:eastAsia="zh-CN"/>
        </w:rPr>
        <w:t>1</w:t>
      </w:r>
      <w:r>
        <w:rPr>
          <w:rFonts w:hint="eastAsia" w:ascii="宋体" w:hAnsi="宋体" w:eastAsia="宋体" w:cs="宋体"/>
          <w:b/>
          <w:kern w:val="0"/>
          <w:sz w:val="24"/>
        </w:rPr>
        <w:t>.监狱企业的证明（格式，如涉有，则提供）</w:t>
      </w:r>
    </w:p>
    <w:p>
      <w:pPr>
        <w:snapToGrid w:val="0"/>
        <w:spacing w:line="360" w:lineRule="auto"/>
        <w:ind w:firstLine="422" w:firstLineChars="176"/>
        <w:jc w:val="center"/>
        <w:outlineLvl w:val="3"/>
        <w:rPr>
          <w:rFonts w:hint="eastAsia" w:ascii="宋体" w:hAnsi="宋体" w:eastAsia="宋体" w:cs="宋体"/>
          <w:sz w:val="24"/>
          <w:szCs w:val="24"/>
        </w:rPr>
      </w:pPr>
      <w:r>
        <w:rPr>
          <w:rFonts w:hint="eastAsia" w:ascii="宋体" w:hAnsi="宋体" w:eastAsia="宋体" w:cs="宋体"/>
          <w:sz w:val="24"/>
          <w:szCs w:val="24"/>
        </w:rPr>
        <w:t>（格式自拟）</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176"/>
        <w:jc w:val="left"/>
        <w:textAlignment w:val="auto"/>
        <w:outlineLvl w:val="3"/>
        <w:rPr>
          <w:rFonts w:hint="eastAsia" w:ascii="宋体" w:hAnsi="宋体" w:eastAsia="宋体" w:cs="宋体"/>
          <w:kern w:val="0"/>
          <w:sz w:val="20"/>
        </w:rPr>
      </w:pPr>
      <w:r>
        <w:rPr>
          <w:rFonts w:hint="eastAsia" w:ascii="宋体" w:hAnsi="宋体" w:eastAsia="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sectPr>
      <w:footerReference r:id="rId8" w:type="first"/>
      <w:footerReference r:id="rId7" w:type="default"/>
      <w:type w:val="continuous"/>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aR8W45gEA&#10;AMgDAAAOAAAAAAAAAAEAIAAAACIBAABkcnMvZTJvRG9jLnhtbFBLBQYAAAAABgAGAFkBAAB6BQAA&#10;AAA=&#10;">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4"/>
      </w:rPr>
    </w:pPr>
    <w:r>
      <w:fldChar w:fldCharType="begin"/>
    </w:r>
    <w:r>
      <w:rPr>
        <w:rStyle w:val="54"/>
      </w:rPr>
      <w:instrText xml:space="preserve">PAGE  </w:instrText>
    </w:r>
    <w:r>
      <w:fldChar w:fldCharType="separate"/>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ascii="宋体" w:hAnsi="宋体" w:cs="宋体"/>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htNTWOcB&#10;AADIAwAADgAAAAAAAAABACAAAAAiAQAAZHJzL2Uyb0RvYy54bWxQSwUGAAAAAAYABgBZAQAAewUA&#10;AAAA&#10;">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p>
    <w:pPr>
      <w:pStyle w:val="30"/>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eIox5gEA&#10;AMkDAAAOAAAAAAAAAAEAIAAAACIBAABkcnMvZTJvRG9jLnhtbFBLBQYAAAAABgAGAFkBAAB6BQAA&#10;AAA=&#10;">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w:t>
                    </w:r>
                    <w:r>
                      <w:fldChar w:fldCharType="end"/>
                    </w:r>
                  </w:p>
                </w:txbxContent>
              </v:textbox>
            </v:shape>
          </w:pict>
        </mc:Fallback>
      </mc:AlternateContent>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jc w:val="center"/>
                          </w:pPr>
                          <w:r>
                            <w:fldChar w:fldCharType="begin"/>
                          </w:r>
                          <w:r>
                            <w:instrText xml:space="preserve">PAGE   \* MERGEFORMAT</w:instrText>
                          </w:r>
                          <w:r>
                            <w:fldChar w:fldCharType="separate"/>
                          </w:r>
                          <w:r>
                            <w:rPr>
                              <w:lang w:val="zh-CN"/>
                            </w:rPr>
                            <w:t>-</w:t>
                          </w:r>
                          <w:r>
                            <w:rPr>
                              <w:lang/>
                            </w:rPr>
                            <w:t xml:space="preserve"> 32 -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w:t>
                    </w:r>
                    <w:r>
                      <w:rPr>
                        <w:lang/>
                      </w:rPr>
                      <w:t xml:space="preserve"> 32 -</w:t>
                    </w:r>
                    <w:r>
                      <w:fldChar w:fldCharType="end"/>
                    </w:r>
                  </w:p>
                </w:txbxContent>
              </v:textbox>
            </v:shape>
          </w:pict>
        </mc:Fallback>
      </mc:AlternateContent>
    </w:r>
  </w:p>
  <w:p>
    <w:pPr>
      <w:pStyle w:val="30"/>
      <w:wordWrap w:val="0"/>
      <w:ind w:right="18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D"/>
    <w:multiLevelType w:val="multilevel"/>
    <w:tmpl w:val="0000003D"/>
    <w:lvl w:ilvl="0" w:tentative="0">
      <w:start w:val="1"/>
      <w:numFmt w:val="chineseCountingThousand"/>
      <w:pStyle w:val="2"/>
      <w:lvlText w:val="第%1部分"/>
      <w:lvlJc w:val="left"/>
      <w:rPr>
        <w:rFonts w:cs="Times New Roman"/>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1">
    <w:nsid w:val="6FAC9535"/>
    <w:multiLevelType w:val="singleLevel"/>
    <w:tmpl w:val="6FAC9535"/>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MjlmODI2NzRkZjU2M2M3Y2NmNWE0YmJmMGRjMmMifQ=="/>
  </w:docVars>
  <w:rsids>
    <w:rsidRoot w:val="00172A27"/>
    <w:rsid w:val="00004552"/>
    <w:rsid w:val="000047FD"/>
    <w:rsid w:val="00010AD0"/>
    <w:rsid w:val="00010D70"/>
    <w:rsid w:val="0001163B"/>
    <w:rsid w:val="000157B0"/>
    <w:rsid w:val="00022523"/>
    <w:rsid w:val="000231B9"/>
    <w:rsid w:val="00027413"/>
    <w:rsid w:val="000430DF"/>
    <w:rsid w:val="000514CD"/>
    <w:rsid w:val="00053DFD"/>
    <w:rsid w:val="00055634"/>
    <w:rsid w:val="00060EE1"/>
    <w:rsid w:val="0006101B"/>
    <w:rsid w:val="00062C9F"/>
    <w:rsid w:val="000633A5"/>
    <w:rsid w:val="000637C3"/>
    <w:rsid w:val="0006437D"/>
    <w:rsid w:val="0006603B"/>
    <w:rsid w:val="00067736"/>
    <w:rsid w:val="0007103D"/>
    <w:rsid w:val="00071678"/>
    <w:rsid w:val="000746F7"/>
    <w:rsid w:val="00075D89"/>
    <w:rsid w:val="000872D1"/>
    <w:rsid w:val="000913F2"/>
    <w:rsid w:val="000929D3"/>
    <w:rsid w:val="000A5543"/>
    <w:rsid w:val="000A5657"/>
    <w:rsid w:val="000A7A0E"/>
    <w:rsid w:val="000A7B16"/>
    <w:rsid w:val="000B2991"/>
    <w:rsid w:val="000B4A07"/>
    <w:rsid w:val="000B5200"/>
    <w:rsid w:val="000B653F"/>
    <w:rsid w:val="000B79AD"/>
    <w:rsid w:val="000C4DB7"/>
    <w:rsid w:val="000C4F65"/>
    <w:rsid w:val="000D1452"/>
    <w:rsid w:val="000D1A96"/>
    <w:rsid w:val="000D701B"/>
    <w:rsid w:val="000E2019"/>
    <w:rsid w:val="000E451A"/>
    <w:rsid w:val="000F04B8"/>
    <w:rsid w:val="000F3DC1"/>
    <w:rsid w:val="000F6DAA"/>
    <w:rsid w:val="0010043B"/>
    <w:rsid w:val="001017CD"/>
    <w:rsid w:val="00102BFE"/>
    <w:rsid w:val="001047D9"/>
    <w:rsid w:val="001119F5"/>
    <w:rsid w:val="00113F36"/>
    <w:rsid w:val="00117A4A"/>
    <w:rsid w:val="00121E27"/>
    <w:rsid w:val="00123E78"/>
    <w:rsid w:val="001302E4"/>
    <w:rsid w:val="0013185E"/>
    <w:rsid w:val="00131B1C"/>
    <w:rsid w:val="00131ECD"/>
    <w:rsid w:val="00132EA1"/>
    <w:rsid w:val="00135A7A"/>
    <w:rsid w:val="00140470"/>
    <w:rsid w:val="001410CC"/>
    <w:rsid w:val="0015716D"/>
    <w:rsid w:val="00157AA9"/>
    <w:rsid w:val="00160AE0"/>
    <w:rsid w:val="0016198A"/>
    <w:rsid w:val="00164354"/>
    <w:rsid w:val="00164D22"/>
    <w:rsid w:val="00171D71"/>
    <w:rsid w:val="00172574"/>
    <w:rsid w:val="00175D15"/>
    <w:rsid w:val="00182270"/>
    <w:rsid w:val="001832EF"/>
    <w:rsid w:val="00186A7E"/>
    <w:rsid w:val="001921DD"/>
    <w:rsid w:val="00197E17"/>
    <w:rsid w:val="001A3864"/>
    <w:rsid w:val="001B1120"/>
    <w:rsid w:val="001B5F6A"/>
    <w:rsid w:val="001C396A"/>
    <w:rsid w:val="001C6799"/>
    <w:rsid w:val="001D161E"/>
    <w:rsid w:val="001D2687"/>
    <w:rsid w:val="001D2828"/>
    <w:rsid w:val="001D28BA"/>
    <w:rsid w:val="001D36B7"/>
    <w:rsid w:val="001E163B"/>
    <w:rsid w:val="001E30E9"/>
    <w:rsid w:val="001E6C9F"/>
    <w:rsid w:val="001F0797"/>
    <w:rsid w:val="001F5A3A"/>
    <w:rsid w:val="001F7144"/>
    <w:rsid w:val="001F73C0"/>
    <w:rsid w:val="001F7429"/>
    <w:rsid w:val="002007E7"/>
    <w:rsid w:val="002008FF"/>
    <w:rsid w:val="0020170A"/>
    <w:rsid w:val="00204CA2"/>
    <w:rsid w:val="0020705D"/>
    <w:rsid w:val="00207784"/>
    <w:rsid w:val="00207F85"/>
    <w:rsid w:val="0021064B"/>
    <w:rsid w:val="00215875"/>
    <w:rsid w:val="0022126B"/>
    <w:rsid w:val="00223542"/>
    <w:rsid w:val="002268C0"/>
    <w:rsid w:val="00231148"/>
    <w:rsid w:val="0023169F"/>
    <w:rsid w:val="00235547"/>
    <w:rsid w:val="00236492"/>
    <w:rsid w:val="002368AD"/>
    <w:rsid w:val="00236917"/>
    <w:rsid w:val="00243780"/>
    <w:rsid w:val="00245FA3"/>
    <w:rsid w:val="002465F4"/>
    <w:rsid w:val="00250C2C"/>
    <w:rsid w:val="00251A51"/>
    <w:rsid w:val="00251F37"/>
    <w:rsid w:val="002551B5"/>
    <w:rsid w:val="00255DD2"/>
    <w:rsid w:val="0026041D"/>
    <w:rsid w:val="00261500"/>
    <w:rsid w:val="00261789"/>
    <w:rsid w:val="00265ECD"/>
    <w:rsid w:val="002803F8"/>
    <w:rsid w:val="00280666"/>
    <w:rsid w:val="00283812"/>
    <w:rsid w:val="002873E6"/>
    <w:rsid w:val="002902DA"/>
    <w:rsid w:val="00292D4B"/>
    <w:rsid w:val="002938E3"/>
    <w:rsid w:val="00297632"/>
    <w:rsid w:val="002A3886"/>
    <w:rsid w:val="002A45CF"/>
    <w:rsid w:val="002A4862"/>
    <w:rsid w:val="002A4B25"/>
    <w:rsid w:val="002B0488"/>
    <w:rsid w:val="002B1D48"/>
    <w:rsid w:val="002B2F1C"/>
    <w:rsid w:val="002B5599"/>
    <w:rsid w:val="002B6C80"/>
    <w:rsid w:val="002C0B08"/>
    <w:rsid w:val="002C7A40"/>
    <w:rsid w:val="002D06A9"/>
    <w:rsid w:val="002D368B"/>
    <w:rsid w:val="002D7C80"/>
    <w:rsid w:val="002E72FB"/>
    <w:rsid w:val="002F1963"/>
    <w:rsid w:val="002F1BD2"/>
    <w:rsid w:val="002F2F5E"/>
    <w:rsid w:val="002F662C"/>
    <w:rsid w:val="002F66D3"/>
    <w:rsid w:val="00303A7A"/>
    <w:rsid w:val="003045A2"/>
    <w:rsid w:val="00306487"/>
    <w:rsid w:val="003102C4"/>
    <w:rsid w:val="00315A94"/>
    <w:rsid w:val="00316AD5"/>
    <w:rsid w:val="00322405"/>
    <w:rsid w:val="0032485A"/>
    <w:rsid w:val="003268E8"/>
    <w:rsid w:val="003338A5"/>
    <w:rsid w:val="00334262"/>
    <w:rsid w:val="003352B3"/>
    <w:rsid w:val="00335403"/>
    <w:rsid w:val="00337005"/>
    <w:rsid w:val="00341C4B"/>
    <w:rsid w:val="00346B74"/>
    <w:rsid w:val="00347E07"/>
    <w:rsid w:val="0035008D"/>
    <w:rsid w:val="00351186"/>
    <w:rsid w:val="00353C73"/>
    <w:rsid w:val="003540B4"/>
    <w:rsid w:val="00356287"/>
    <w:rsid w:val="00357D62"/>
    <w:rsid w:val="0036544D"/>
    <w:rsid w:val="00366457"/>
    <w:rsid w:val="00366899"/>
    <w:rsid w:val="00367290"/>
    <w:rsid w:val="00372BAE"/>
    <w:rsid w:val="003823F8"/>
    <w:rsid w:val="00392A05"/>
    <w:rsid w:val="00395F3A"/>
    <w:rsid w:val="00395FAC"/>
    <w:rsid w:val="003A143B"/>
    <w:rsid w:val="003A5340"/>
    <w:rsid w:val="003A57BD"/>
    <w:rsid w:val="003A72F5"/>
    <w:rsid w:val="003B1EA6"/>
    <w:rsid w:val="003B2A2A"/>
    <w:rsid w:val="003B6532"/>
    <w:rsid w:val="003B7866"/>
    <w:rsid w:val="003C1239"/>
    <w:rsid w:val="003C3047"/>
    <w:rsid w:val="003C7AA9"/>
    <w:rsid w:val="003D1022"/>
    <w:rsid w:val="003D2BCB"/>
    <w:rsid w:val="003D3E67"/>
    <w:rsid w:val="003D410B"/>
    <w:rsid w:val="003E1E61"/>
    <w:rsid w:val="003E6787"/>
    <w:rsid w:val="003E73A4"/>
    <w:rsid w:val="003F0243"/>
    <w:rsid w:val="003F18A9"/>
    <w:rsid w:val="003F2F16"/>
    <w:rsid w:val="003F327B"/>
    <w:rsid w:val="00405C9F"/>
    <w:rsid w:val="00406017"/>
    <w:rsid w:val="0040635A"/>
    <w:rsid w:val="00406CA1"/>
    <w:rsid w:val="004131CF"/>
    <w:rsid w:val="00413440"/>
    <w:rsid w:val="004141F2"/>
    <w:rsid w:val="00415718"/>
    <w:rsid w:val="0041725D"/>
    <w:rsid w:val="00427524"/>
    <w:rsid w:val="004378BD"/>
    <w:rsid w:val="00441791"/>
    <w:rsid w:val="00441E85"/>
    <w:rsid w:val="00454A79"/>
    <w:rsid w:val="00460B2D"/>
    <w:rsid w:val="00464F45"/>
    <w:rsid w:val="00471E03"/>
    <w:rsid w:val="004724E0"/>
    <w:rsid w:val="0047412A"/>
    <w:rsid w:val="00481BAF"/>
    <w:rsid w:val="0048332B"/>
    <w:rsid w:val="00483771"/>
    <w:rsid w:val="00486B46"/>
    <w:rsid w:val="004907AC"/>
    <w:rsid w:val="00492DB7"/>
    <w:rsid w:val="00493AE2"/>
    <w:rsid w:val="004941C3"/>
    <w:rsid w:val="004977F2"/>
    <w:rsid w:val="004A42AD"/>
    <w:rsid w:val="004A51F3"/>
    <w:rsid w:val="004A56FE"/>
    <w:rsid w:val="004B67DE"/>
    <w:rsid w:val="004B6FBC"/>
    <w:rsid w:val="004C2460"/>
    <w:rsid w:val="004C2569"/>
    <w:rsid w:val="004C4F9F"/>
    <w:rsid w:val="004D097D"/>
    <w:rsid w:val="004D3E34"/>
    <w:rsid w:val="004D6063"/>
    <w:rsid w:val="004D64B0"/>
    <w:rsid w:val="004F0981"/>
    <w:rsid w:val="004F2239"/>
    <w:rsid w:val="004F4576"/>
    <w:rsid w:val="004F6DD7"/>
    <w:rsid w:val="00501497"/>
    <w:rsid w:val="00502EBE"/>
    <w:rsid w:val="00505E71"/>
    <w:rsid w:val="00511831"/>
    <w:rsid w:val="00520F93"/>
    <w:rsid w:val="00521623"/>
    <w:rsid w:val="005235F4"/>
    <w:rsid w:val="00524AF9"/>
    <w:rsid w:val="0053108B"/>
    <w:rsid w:val="00532A1F"/>
    <w:rsid w:val="005368AE"/>
    <w:rsid w:val="00540654"/>
    <w:rsid w:val="0054373C"/>
    <w:rsid w:val="005444B6"/>
    <w:rsid w:val="0055004D"/>
    <w:rsid w:val="00550A0C"/>
    <w:rsid w:val="005516E1"/>
    <w:rsid w:val="00553B17"/>
    <w:rsid w:val="00566E16"/>
    <w:rsid w:val="00566E79"/>
    <w:rsid w:val="00570C05"/>
    <w:rsid w:val="005828AE"/>
    <w:rsid w:val="00582BC2"/>
    <w:rsid w:val="00586974"/>
    <w:rsid w:val="00591B71"/>
    <w:rsid w:val="0059605D"/>
    <w:rsid w:val="005A1549"/>
    <w:rsid w:val="005A1C05"/>
    <w:rsid w:val="005A3DA2"/>
    <w:rsid w:val="005A3EEF"/>
    <w:rsid w:val="005A689B"/>
    <w:rsid w:val="005B5456"/>
    <w:rsid w:val="005B6D08"/>
    <w:rsid w:val="005B7C32"/>
    <w:rsid w:val="005C0614"/>
    <w:rsid w:val="005C3C31"/>
    <w:rsid w:val="005D0226"/>
    <w:rsid w:val="005D289B"/>
    <w:rsid w:val="005D56EA"/>
    <w:rsid w:val="005E17CF"/>
    <w:rsid w:val="005E4C2A"/>
    <w:rsid w:val="005F0DAB"/>
    <w:rsid w:val="005F16B8"/>
    <w:rsid w:val="005F645E"/>
    <w:rsid w:val="00600144"/>
    <w:rsid w:val="00602982"/>
    <w:rsid w:val="00603231"/>
    <w:rsid w:val="00605462"/>
    <w:rsid w:val="006167C8"/>
    <w:rsid w:val="0062304E"/>
    <w:rsid w:val="00625242"/>
    <w:rsid w:val="006266F5"/>
    <w:rsid w:val="0062727D"/>
    <w:rsid w:val="00632D09"/>
    <w:rsid w:val="00634B00"/>
    <w:rsid w:val="0063743E"/>
    <w:rsid w:val="00641D6B"/>
    <w:rsid w:val="00641FC1"/>
    <w:rsid w:val="00642454"/>
    <w:rsid w:val="00642C6F"/>
    <w:rsid w:val="00643F7A"/>
    <w:rsid w:val="006463CC"/>
    <w:rsid w:val="006509A6"/>
    <w:rsid w:val="0065184E"/>
    <w:rsid w:val="0065633D"/>
    <w:rsid w:val="00657939"/>
    <w:rsid w:val="00657EE1"/>
    <w:rsid w:val="006626BB"/>
    <w:rsid w:val="00662923"/>
    <w:rsid w:val="006631F7"/>
    <w:rsid w:val="00672543"/>
    <w:rsid w:val="00675B39"/>
    <w:rsid w:val="006810F8"/>
    <w:rsid w:val="00682C45"/>
    <w:rsid w:val="006868EF"/>
    <w:rsid w:val="00691A51"/>
    <w:rsid w:val="00694DD4"/>
    <w:rsid w:val="00696D55"/>
    <w:rsid w:val="006A089B"/>
    <w:rsid w:val="006A3D82"/>
    <w:rsid w:val="006A4FF1"/>
    <w:rsid w:val="006A6683"/>
    <w:rsid w:val="006A7F24"/>
    <w:rsid w:val="006B139E"/>
    <w:rsid w:val="006B1799"/>
    <w:rsid w:val="006B1DD3"/>
    <w:rsid w:val="006B2EFC"/>
    <w:rsid w:val="006B4F13"/>
    <w:rsid w:val="006B5AC1"/>
    <w:rsid w:val="006C60BF"/>
    <w:rsid w:val="006C6764"/>
    <w:rsid w:val="006D1E50"/>
    <w:rsid w:val="006D2367"/>
    <w:rsid w:val="006D449F"/>
    <w:rsid w:val="006D5B88"/>
    <w:rsid w:val="006D7319"/>
    <w:rsid w:val="006D7817"/>
    <w:rsid w:val="006E1945"/>
    <w:rsid w:val="006E2ADF"/>
    <w:rsid w:val="006F24B9"/>
    <w:rsid w:val="006F26ED"/>
    <w:rsid w:val="006F324C"/>
    <w:rsid w:val="006F7131"/>
    <w:rsid w:val="00707CDA"/>
    <w:rsid w:val="007119DA"/>
    <w:rsid w:val="00717D52"/>
    <w:rsid w:val="0072262A"/>
    <w:rsid w:val="00724799"/>
    <w:rsid w:val="007257DB"/>
    <w:rsid w:val="00730202"/>
    <w:rsid w:val="00732DBC"/>
    <w:rsid w:val="00743390"/>
    <w:rsid w:val="00743A18"/>
    <w:rsid w:val="00753EF7"/>
    <w:rsid w:val="00755A38"/>
    <w:rsid w:val="00763F91"/>
    <w:rsid w:val="00764185"/>
    <w:rsid w:val="007674B2"/>
    <w:rsid w:val="00773588"/>
    <w:rsid w:val="00775F84"/>
    <w:rsid w:val="00776A92"/>
    <w:rsid w:val="007914F0"/>
    <w:rsid w:val="00793D39"/>
    <w:rsid w:val="007943FB"/>
    <w:rsid w:val="007979C6"/>
    <w:rsid w:val="007A3872"/>
    <w:rsid w:val="007A3F1D"/>
    <w:rsid w:val="007A72CB"/>
    <w:rsid w:val="007A7353"/>
    <w:rsid w:val="007B08CA"/>
    <w:rsid w:val="007B0BBD"/>
    <w:rsid w:val="007B1336"/>
    <w:rsid w:val="007B3169"/>
    <w:rsid w:val="007B3F0B"/>
    <w:rsid w:val="007C0BB9"/>
    <w:rsid w:val="007C22FD"/>
    <w:rsid w:val="007C34AE"/>
    <w:rsid w:val="007C6B3D"/>
    <w:rsid w:val="007C732A"/>
    <w:rsid w:val="007D3CDB"/>
    <w:rsid w:val="007D5846"/>
    <w:rsid w:val="007D683C"/>
    <w:rsid w:val="007E1FA7"/>
    <w:rsid w:val="007E2268"/>
    <w:rsid w:val="007E49E7"/>
    <w:rsid w:val="007E5AE8"/>
    <w:rsid w:val="007F1AF7"/>
    <w:rsid w:val="007F31FC"/>
    <w:rsid w:val="007F3D6E"/>
    <w:rsid w:val="007F42D6"/>
    <w:rsid w:val="007F465A"/>
    <w:rsid w:val="007F7781"/>
    <w:rsid w:val="00800156"/>
    <w:rsid w:val="008004C3"/>
    <w:rsid w:val="00804320"/>
    <w:rsid w:val="00805874"/>
    <w:rsid w:val="008062B2"/>
    <w:rsid w:val="00810140"/>
    <w:rsid w:val="008110D4"/>
    <w:rsid w:val="00811A86"/>
    <w:rsid w:val="00812A6C"/>
    <w:rsid w:val="0081740D"/>
    <w:rsid w:val="00820B3B"/>
    <w:rsid w:val="00825311"/>
    <w:rsid w:val="0082783C"/>
    <w:rsid w:val="0083138B"/>
    <w:rsid w:val="00833462"/>
    <w:rsid w:val="00833A98"/>
    <w:rsid w:val="008434FF"/>
    <w:rsid w:val="00844042"/>
    <w:rsid w:val="008451AD"/>
    <w:rsid w:val="00850804"/>
    <w:rsid w:val="008533C0"/>
    <w:rsid w:val="00853866"/>
    <w:rsid w:val="00855F1B"/>
    <w:rsid w:val="00861230"/>
    <w:rsid w:val="00861AED"/>
    <w:rsid w:val="00866D43"/>
    <w:rsid w:val="00866FD3"/>
    <w:rsid w:val="00870854"/>
    <w:rsid w:val="00870A1D"/>
    <w:rsid w:val="00871487"/>
    <w:rsid w:val="00882743"/>
    <w:rsid w:val="00890A35"/>
    <w:rsid w:val="00892554"/>
    <w:rsid w:val="008977CA"/>
    <w:rsid w:val="008A348D"/>
    <w:rsid w:val="008A671F"/>
    <w:rsid w:val="008A7FD8"/>
    <w:rsid w:val="008B09AF"/>
    <w:rsid w:val="008B5939"/>
    <w:rsid w:val="008C5A98"/>
    <w:rsid w:val="008C5EC8"/>
    <w:rsid w:val="008C7C0D"/>
    <w:rsid w:val="008D2D0E"/>
    <w:rsid w:val="008D6EE5"/>
    <w:rsid w:val="008E28D5"/>
    <w:rsid w:val="008E29B7"/>
    <w:rsid w:val="008E4470"/>
    <w:rsid w:val="008E54F7"/>
    <w:rsid w:val="008E680D"/>
    <w:rsid w:val="008F1539"/>
    <w:rsid w:val="008F2D48"/>
    <w:rsid w:val="008F3641"/>
    <w:rsid w:val="008F37FA"/>
    <w:rsid w:val="008F5DE4"/>
    <w:rsid w:val="00901FD8"/>
    <w:rsid w:val="00906FCC"/>
    <w:rsid w:val="00910DF7"/>
    <w:rsid w:val="00923514"/>
    <w:rsid w:val="00927C33"/>
    <w:rsid w:val="009305AC"/>
    <w:rsid w:val="00930610"/>
    <w:rsid w:val="009320C9"/>
    <w:rsid w:val="009343DC"/>
    <w:rsid w:val="00934906"/>
    <w:rsid w:val="0093569B"/>
    <w:rsid w:val="0094016C"/>
    <w:rsid w:val="00942490"/>
    <w:rsid w:val="009433B0"/>
    <w:rsid w:val="00944ED1"/>
    <w:rsid w:val="00950D08"/>
    <w:rsid w:val="009551B8"/>
    <w:rsid w:val="00962F10"/>
    <w:rsid w:val="00967CE8"/>
    <w:rsid w:val="00970732"/>
    <w:rsid w:val="0097298E"/>
    <w:rsid w:val="00975FF9"/>
    <w:rsid w:val="0097677A"/>
    <w:rsid w:val="0097708D"/>
    <w:rsid w:val="00987F48"/>
    <w:rsid w:val="00992139"/>
    <w:rsid w:val="009929AF"/>
    <w:rsid w:val="009938CE"/>
    <w:rsid w:val="00994A91"/>
    <w:rsid w:val="009962CB"/>
    <w:rsid w:val="009A10F0"/>
    <w:rsid w:val="009A4FEA"/>
    <w:rsid w:val="009A5E9E"/>
    <w:rsid w:val="009C0CA5"/>
    <w:rsid w:val="009C3E11"/>
    <w:rsid w:val="009C42ED"/>
    <w:rsid w:val="009C491E"/>
    <w:rsid w:val="009C5338"/>
    <w:rsid w:val="009D0289"/>
    <w:rsid w:val="009D1B13"/>
    <w:rsid w:val="009D1BEC"/>
    <w:rsid w:val="009D1F01"/>
    <w:rsid w:val="009D6830"/>
    <w:rsid w:val="009E0D07"/>
    <w:rsid w:val="009E177C"/>
    <w:rsid w:val="009E36D7"/>
    <w:rsid w:val="009E4256"/>
    <w:rsid w:val="009E43B9"/>
    <w:rsid w:val="009E5FC9"/>
    <w:rsid w:val="00A03957"/>
    <w:rsid w:val="00A06039"/>
    <w:rsid w:val="00A1005B"/>
    <w:rsid w:val="00A12F07"/>
    <w:rsid w:val="00A17730"/>
    <w:rsid w:val="00A21AB9"/>
    <w:rsid w:val="00A23546"/>
    <w:rsid w:val="00A27176"/>
    <w:rsid w:val="00A278CC"/>
    <w:rsid w:val="00A301C9"/>
    <w:rsid w:val="00A31B69"/>
    <w:rsid w:val="00A3385C"/>
    <w:rsid w:val="00A362F8"/>
    <w:rsid w:val="00A506E6"/>
    <w:rsid w:val="00A50FBC"/>
    <w:rsid w:val="00A51FA1"/>
    <w:rsid w:val="00A56459"/>
    <w:rsid w:val="00A6601A"/>
    <w:rsid w:val="00A759C1"/>
    <w:rsid w:val="00A76ABF"/>
    <w:rsid w:val="00A76BDC"/>
    <w:rsid w:val="00A80202"/>
    <w:rsid w:val="00A84CF3"/>
    <w:rsid w:val="00A85A8F"/>
    <w:rsid w:val="00A9046C"/>
    <w:rsid w:val="00AA02B1"/>
    <w:rsid w:val="00AA186B"/>
    <w:rsid w:val="00AA70F6"/>
    <w:rsid w:val="00AB0B33"/>
    <w:rsid w:val="00AB1134"/>
    <w:rsid w:val="00AB2A21"/>
    <w:rsid w:val="00AC30E7"/>
    <w:rsid w:val="00AC4961"/>
    <w:rsid w:val="00AC702E"/>
    <w:rsid w:val="00AD1797"/>
    <w:rsid w:val="00AD64BB"/>
    <w:rsid w:val="00AE241D"/>
    <w:rsid w:val="00AE556B"/>
    <w:rsid w:val="00AE65EE"/>
    <w:rsid w:val="00AF5997"/>
    <w:rsid w:val="00AF6356"/>
    <w:rsid w:val="00B01534"/>
    <w:rsid w:val="00B01615"/>
    <w:rsid w:val="00B03609"/>
    <w:rsid w:val="00B0596D"/>
    <w:rsid w:val="00B1474B"/>
    <w:rsid w:val="00B14BFE"/>
    <w:rsid w:val="00B15DBC"/>
    <w:rsid w:val="00B15E55"/>
    <w:rsid w:val="00B17458"/>
    <w:rsid w:val="00B17645"/>
    <w:rsid w:val="00B17E40"/>
    <w:rsid w:val="00B21A7B"/>
    <w:rsid w:val="00B34CA0"/>
    <w:rsid w:val="00B35D5D"/>
    <w:rsid w:val="00B408BC"/>
    <w:rsid w:val="00B4138E"/>
    <w:rsid w:val="00B450D9"/>
    <w:rsid w:val="00B47071"/>
    <w:rsid w:val="00B47198"/>
    <w:rsid w:val="00B5124F"/>
    <w:rsid w:val="00B550EA"/>
    <w:rsid w:val="00B5563A"/>
    <w:rsid w:val="00B565FE"/>
    <w:rsid w:val="00B60043"/>
    <w:rsid w:val="00B611EE"/>
    <w:rsid w:val="00B61859"/>
    <w:rsid w:val="00B66B1F"/>
    <w:rsid w:val="00B7221C"/>
    <w:rsid w:val="00B757D0"/>
    <w:rsid w:val="00B76D1A"/>
    <w:rsid w:val="00B83B6D"/>
    <w:rsid w:val="00B858BD"/>
    <w:rsid w:val="00B87452"/>
    <w:rsid w:val="00B9168F"/>
    <w:rsid w:val="00B93496"/>
    <w:rsid w:val="00B9578A"/>
    <w:rsid w:val="00BA051E"/>
    <w:rsid w:val="00BA4E21"/>
    <w:rsid w:val="00BA5200"/>
    <w:rsid w:val="00BA54B1"/>
    <w:rsid w:val="00BA66AF"/>
    <w:rsid w:val="00BA67CE"/>
    <w:rsid w:val="00BA7B2A"/>
    <w:rsid w:val="00BB0034"/>
    <w:rsid w:val="00BB2D8F"/>
    <w:rsid w:val="00BB5C0D"/>
    <w:rsid w:val="00BB7D95"/>
    <w:rsid w:val="00BC1BA7"/>
    <w:rsid w:val="00BC39BC"/>
    <w:rsid w:val="00BD1973"/>
    <w:rsid w:val="00BD400B"/>
    <w:rsid w:val="00BD4C66"/>
    <w:rsid w:val="00BF2172"/>
    <w:rsid w:val="00BF21A9"/>
    <w:rsid w:val="00BF598D"/>
    <w:rsid w:val="00BF6030"/>
    <w:rsid w:val="00BF6836"/>
    <w:rsid w:val="00BF78D1"/>
    <w:rsid w:val="00C034B9"/>
    <w:rsid w:val="00C03C98"/>
    <w:rsid w:val="00C04201"/>
    <w:rsid w:val="00C044AE"/>
    <w:rsid w:val="00C14FA7"/>
    <w:rsid w:val="00C15387"/>
    <w:rsid w:val="00C21BE0"/>
    <w:rsid w:val="00C23A3E"/>
    <w:rsid w:val="00C26C08"/>
    <w:rsid w:val="00C27663"/>
    <w:rsid w:val="00C3184A"/>
    <w:rsid w:val="00C33180"/>
    <w:rsid w:val="00C3717A"/>
    <w:rsid w:val="00C42157"/>
    <w:rsid w:val="00C50B5A"/>
    <w:rsid w:val="00C51CD1"/>
    <w:rsid w:val="00C51F61"/>
    <w:rsid w:val="00C524CD"/>
    <w:rsid w:val="00C532C6"/>
    <w:rsid w:val="00C5642C"/>
    <w:rsid w:val="00C57EF8"/>
    <w:rsid w:val="00C8025E"/>
    <w:rsid w:val="00C80685"/>
    <w:rsid w:val="00C8547C"/>
    <w:rsid w:val="00C85804"/>
    <w:rsid w:val="00C90266"/>
    <w:rsid w:val="00C90E7C"/>
    <w:rsid w:val="00CA1810"/>
    <w:rsid w:val="00CA79DE"/>
    <w:rsid w:val="00CB5DCD"/>
    <w:rsid w:val="00CB677B"/>
    <w:rsid w:val="00CB6FD6"/>
    <w:rsid w:val="00CC3075"/>
    <w:rsid w:val="00CC3920"/>
    <w:rsid w:val="00CC59B6"/>
    <w:rsid w:val="00CC68A8"/>
    <w:rsid w:val="00CC698F"/>
    <w:rsid w:val="00CD426D"/>
    <w:rsid w:val="00CD60F4"/>
    <w:rsid w:val="00CE3EAB"/>
    <w:rsid w:val="00CE4179"/>
    <w:rsid w:val="00CE4E50"/>
    <w:rsid w:val="00CE7738"/>
    <w:rsid w:val="00CE7D3F"/>
    <w:rsid w:val="00CF03BE"/>
    <w:rsid w:val="00CF29A6"/>
    <w:rsid w:val="00CF2B5D"/>
    <w:rsid w:val="00CF37C3"/>
    <w:rsid w:val="00CF3FF2"/>
    <w:rsid w:val="00CF77C1"/>
    <w:rsid w:val="00CF7C9B"/>
    <w:rsid w:val="00D00AD0"/>
    <w:rsid w:val="00D01184"/>
    <w:rsid w:val="00D036AA"/>
    <w:rsid w:val="00D04372"/>
    <w:rsid w:val="00D049F6"/>
    <w:rsid w:val="00D06B2E"/>
    <w:rsid w:val="00D11CC7"/>
    <w:rsid w:val="00D126E9"/>
    <w:rsid w:val="00D135A1"/>
    <w:rsid w:val="00D1769B"/>
    <w:rsid w:val="00D223A8"/>
    <w:rsid w:val="00D24F8F"/>
    <w:rsid w:val="00D25DAC"/>
    <w:rsid w:val="00D3093A"/>
    <w:rsid w:val="00D30A79"/>
    <w:rsid w:val="00D315D1"/>
    <w:rsid w:val="00D31DFA"/>
    <w:rsid w:val="00D32A85"/>
    <w:rsid w:val="00D40E64"/>
    <w:rsid w:val="00D41787"/>
    <w:rsid w:val="00D44F18"/>
    <w:rsid w:val="00D46971"/>
    <w:rsid w:val="00D579AB"/>
    <w:rsid w:val="00D57D98"/>
    <w:rsid w:val="00D61F66"/>
    <w:rsid w:val="00D6456A"/>
    <w:rsid w:val="00D701AD"/>
    <w:rsid w:val="00D705BA"/>
    <w:rsid w:val="00D72E04"/>
    <w:rsid w:val="00D743C9"/>
    <w:rsid w:val="00D81E23"/>
    <w:rsid w:val="00D834A7"/>
    <w:rsid w:val="00D866A9"/>
    <w:rsid w:val="00D878EB"/>
    <w:rsid w:val="00D91F1B"/>
    <w:rsid w:val="00D92B15"/>
    <w:rsid w:val="00D95745"/>
    <w:rsid w:val="00D961F4"/>
    <w:rsid w:val="00D96AE3"/>
    <w:rsid w:val="00DA14B6"/>
    <w:rsid w:val="00DA1D08"/>
    <w:rsid w:val="00DA680C"/>
    <w:rsid w:val="00DA6DD0"/>
    <w:rsid w:val="00DB00E0"/>
    <w:rsid w:val="00DB29E3"/>
    <w:rsid w:val="00DB313C"/>
    <w:rsid w:val="00DB41D2"/>
    <w:rsid w:val="00DB7AED"/>
    <w:rsid w:val="00DC325D"/>
    <w:rsid w:val="00DC5012"/>
    <w:rsid w:val="00DC53B1"/>
    <w:rsid w:val="00DD1F42"/>
    <w:rsid w:val="00DD381A"/>
    <w:rsid w:val="00DD4786"/>
    <w:rsid w:val="00DD4E48"/>
    <w:rsid w:val="00DE53D3"/>
    <w:rsid w:val="00DE5ED1"/>
    <w:rsid w:val="00DF324E"/>
    <w:rsid w:val="00DF5457"/>
    <w:rsid w:val="00DF6BA0"/>
    <w:rsid w:val="00E00DF9"/>
    <w:rsid w:val="00E0304F"/>
    <w:rsid w:val="00E05CE2"/>
    <w:rsid w:val="00E10BE7"/>
    <w:rsid w:val="00E11945"/>
    <w:rsid w:val="00E13189"/>
    <w:rsid w:val="00E15D67"/>
    <w:rsid w:val="00E20479"/>
    <w:rsid w:val="00E25BDF"/>
    <w:rsid w:val="00E406F5"/>
    <w:rsid w:val="00E41C89"/>
    <w:rsid w:val="00E426F2"/>
    <w:rsid w:val="00E46F2E"/>
    <w:rsid w:val="00E53D55"/>
    <w:rsid w:val="00E54253"/>
    <w:rsid w:val="00E56B38"/>
    <w:rsid w:val="00E60170"/>
    <w:rsid w:val="00E64047"/>
    <w:rsid w:val="00E761C5"/>
    <w:rsid w:val="00E77976"/>
    <w:rsid w:val="00E80A47"/>
    <w:rsid w:val="00E81AFA"/>
    <w:rsid w:val="00E83AF4"/>
    <w:rsid w:val="00E861B8"/>
    <w:rsid w:val="00E87D8B"/>
    <w:rsid w:val="00E918D6"/>
    <w:rsid w:val="00E9195B"/>
    <w:rsid w:val="00E926DB"/>
    <w:rsid w:val="00E96DFE"/>
    <w:rsid w:val="00EA0D5A"/>
    <w:rsid w:val="00EA1624"/>
    <w:rsid w:val="00EA685C"/>
    <w:rsid w:val="00EA7621"/>
    <w:rsid w:val="00EA7C9D"/>
    <w:rsid w:val="00EB1D57"/>
    <w:rsid w:val="00EB2248"/>
    <w:rsid w:val="00EB2407"/>
    <w:rsid w:val="00EB2718"/>
    <w:rsid w:val="00EC1B71"/>
    <w:rsid w:val="00EC3945"/>
    <w:rsid w:val="00EC3BB0"/>
    <w:rsid w:val="00EC51EF"/>
    <w:rsid w:val="00EC6FF2"/>
    <w:rsid w:val="00EC7F23"/>
    <w:rsid w:val="00ED25FE"/>
    <w:rsid w:val="00ED338E"/>
    <w:rsid w:val="00ED7000"/>
    <w:rsid w:val="00EE15FB"/>
    <w:rsid w:val="00EE1F5B"/>
    <w:rsid w:val="00EE3F49"/>
    <w:rsid w:val="00EE50AA"/>
    <w:rsid w:val="00EE57CA"/>
    <w:rsid w:val="00EE7A3F"/>
    <w:rsid w:val="00EF19D4"/>
    <w:rsid w:val="00EF3D33"/>
    <w:rsid w:val="00EF5E16"/>
    <w:rsid w:val="00F01C6E"/>
    <w:rsid w:val="00F0423C"/>
    <w:rsid w:val="00F05E91"/>
    <w:rsid w:val="00F10578"/>
    <w:rsid w:val="00F11910"/>
    <w:rsid w:val="00F1538C"/>
    <w:rsid w:val="00F20F05"/>
    <w:rsid w:val="00F21691"/>
    <w:rsid w:val="00F217BC"/>
    <w:rsid w:val="00F23991"/>
    <w:rsid w:val="00F269FA"/>
    <w:rsid w:val="00F274A0"/>
    <w:rsid w:val="00F30D25"/>
    <w:rsid w:val="00F337A8"/>
    <w:rsid w:val="00F3594E"/>
    <w:rsid w:val="00F41132"/>
    <w:rsid w:val="00F43BDA"/>
    <w:rsid w:val="00F4524B"/>
    <w:rsid w:val="00F50EC7"/>
    <w:rsid w:val="00F55781"/>
    <w:rsid w:val="00F57FBC"/>
    <w:rsid w:val="00F62940"/>
    <w:rsid w:val="00F6663C"/>
    <w:rsid w:val="00F67B19"/>
    <w:rsid w:val="00F7725A"/>
    <w:rsid w:val="00F77A23"/>
    <w:rsid w:val="00F83D74"/>
    <w:rsid w:val="00F87EED"/>
    <w:rsid w:val="00F92877"/>
    <w:rsid w:val="00F92DB7"/>
    <w:rsid w:val="00F94AB0"/>
    <w:rsid w:val="00FA32B4"/>
    <w:rsid w:val="00FA34D0"/>
    <w:rsid w:val="00FB1850"/>
    <w:rsid w:val="00FB5A9B"/>
    <w:rsid w:val="00FB6E8E"/>
    <w:rsid w:val="00FB6F7C"/>
    <w:rsid w:val="00FC4F74"/>
    <w:rsid w:val="00FC7DAD"/>
    <w:rsid w:val="00FE4D10"/>
    <w:rsid w:val="00FE6AA9"/>
    <w:rsid w:val="00FF2FBD"/>
    <w:rsid w:val="00FF4BCD"/>
    <w:rsid w:val="00FF7910"/>
    <w:rsid w:val="00FF7FCD"/>
    <w:rsid w:val="01211AD4"/>
    <w:rsid w:val="016A5229"/>
    <w:rsid w:val="01D17D08"/>
    <w:rsid w:val="01E943A0"/>
    <w:rsid w:val="022C58D7"/>
    <w:rsid w:val="027F4BE6"/>
    <w:rsid w:val="03185CC9"/>
    <w:rsid w:val="03702E2F"/>
    <w:rsid w:val="03704A12"/>
    <w:rsid w:val="039B2AED"/>
    <w:rsid w:val="03B83858"/>
    <w:rsid w:val="03CE7CF1"/>
    <w:rsid w:val="03E33578"/>
    <w:rsid w:val="03F875A9"/>
    <w:rsid w:val="04081A6D"/>
    <w:rsid w:val="04487388"/>
    <w:rsid w:val="04877EA0"/>
    <w:rsid w:val="048E7480"/>
    <w:rsid w:val="04CC1D57"/>
    <w:rsid w:val="053C757E"/>
    <w:rsid w:val="05AE7070"/>
    <w:rsid w:val="06513245"/>
    <w:rsid w:val="080F7908"/>
    <w:rsid w:val="08FA3336"/>
    <w:rsid w:val="099C619C"/>
    <w:rsid w:val="0A1B5312"/>
    <w:rsid w:val="0A1C0FDD"/>
    <w:rsid w:val="0A982E07"/>
    <w:rsid w:val="0AB35A81"/>
    <w:rsid w:val="0AFF76F9"/>
    <w:rsid w:val="0B2D0853"/>
    <w:rsid w:val="0B6D4B72"/>
    <w:rsid w:val="0B711735"/>
    <w:rsid w:val="0B796EA8"/>
    <w:rsid w:val="0B980BE5"/>
    <w:rsid w:val="0BBF097C"/>
    <w:rsid w:val="0BC73880"/>
    <w:rsid w:val="0BCE1A5F"/>
    <w:rsid w:val="0C0E55E3"/>
    <w:rsid w:val="0C2B3214"/>
    <w:rsid w:val="0C351619"/>
    <w:rsid w:val="0C4C174B"/>
    <w:rsid w:val="0CBA266F"/>
    <w:rsid w:val="0D130222"/>
    <w:rsid w:val="0D675238"/>
    <w:rsid w:val="0D7022BE"/>
    <w:rsid w:val="0D896A37"/>
    <w:rsid w:val="0DB735A4"/>
    <w:rsid w:val="0E446E5D"/>
    <w:rsid w:val="0EFE71A9"/>
    <w:rsid w:val="0F7451E6"/>
    <w:rsid w:val="0FFB393F"/>
    <w:rsid w:val="101A606C"/>
    <w:rsid w:val="10C607BD"/>
    <w:rsid w:val="115B693C"/>
    <w:rsid w:val="11E75BB2"/>
    <w:rsid w:val="11FB1B56"/>
    <w:rsid w:val="12353631"/>
    <w:rsid w:val="126D2DCB"/>
    <w:rsid w:val="128E75D6"/>
    <w:rsid w:val="1371004B"/>
    <w:rsid w:val="14B101D2"/>
    <w:rsid w:val="14BF71E2"/>
    <w:rsid w:val="14CD5DA3"/>
    <w:rsid w:val="14EF67F9"/>
    <w:rsid w:val="14F879AB"/>
    <w:rsid w:val="1518015B"/>
    <w:rsid w:val="157C76F5"/>
    <w:rsid w:val="15992E71"/>
    <w:rsid w:val="15B87435"/>
    <w:rsid w:val="16256947"/>
    <w:rsid w:val="167C35DD"/>
    <w:rsid w:val="16E60479"/>
    <w:rsid w:val="171372CD"/>
    <w:rsid w:val="17982698"/>
    <w:rsid w:val="17A72D90"/>
    <w:rsid w:val="184779A7"/>
    <w:rsid w:val="18BE12E6"/>
    <w:rsid w:val="18C66D91"/>
    <w:rsid w:val="19AF523B"/>
    <w:rsid w:val="19E21982"/>
    <w:rsid w:val="19F85670"/>
    <w:rsid w:val="19FF69FF"/>
    <w:rsid w:val="1A6C6042"/>
    <w:rsid w:val="1A6E148E"/>
    <w:rsid w:val="1ABF16F5"/>
    <w:rsid w:val="1BAB04C0"/>
    <w:rsid w:val="1BB455C7"/>
    <w:rsid w:val="1C08543D"/>
    <w:rsid w:val="1C1B5646"/>
    <w:rsid w:val="1C40720A"/>
    <w:rsid w:val="1D2F65F9"/>
    <w:rsid w:val="1D3F5364"/>
    <w:rsid w:val="1E0946EE"/>
    <w:rsid w:val="1E4A3FC0"/>
    <w:rsid w:val="1E6865AF"/>
    <w:rsid w:val="1E7551EF"/>
    <w:rsid w:val="1EDD6BE3"/>
    <w:rsid w:val="1F17405C"/>
    <w:rsid w:val="1FD72501"/>
    <w:rsid w:val="2016513C"/>
    <w:rsid w:val="208E145F"/>
    <w:rsid w:val="20FD0AEC"/>
    <w:rsid w:val="213A031C"/>
    <w:rsid w:val="220A4192"/>
    <w:rsid w:val="223F3739"/>
    <w:rsid w:val="228D26CE"/>
    <w:rsid w:val="233D795B"/>
    <w:rsid w:val="237A1477"/>
    <w:rsid w:val="23850FDB"/>
    <w:rsid w:val="23E51541"/>
    <w:rsid w:val="249C309C"/>
    <w:rsid w:val="24E30482"/>
    <w:rsid w:val="250B331C"/>
    <w:rsid w:val="250B4395"/>
    <w:rsid w:val="25440DE3"/>
    <w:rsid w:val="25612EAB"/>
    <w:rsid w:val="25D773BF"/>
    <w:rsid w:val="26347A30"/>
    <w:rsid w:val="26425E72"/>
    <w:rsid w:val="26FD42C6"/>
    <w:rsid w:val="272D447F"/>
    <w:rsid w:val="27506B67"/>
    <w:rsid w:val="27DE2E7A"/>
    <w:rsid w:val="2817112C"/>
    <w:rsid w:val="28D32176"/>
    <w:rsid w:val="28DA0A11"/>
    <w:rsid w:val="28DA4424"/>
    <w:rsid w:val="29223850"/>
    <w:rsid w:val="29D139B0"/>
    <w:rsid w:val="29FB1E0E"/>
    <w:rsid w:val="2A702B2B"/>
    <w:rsid w:val="2AB803D2"/>
    <w:rsid w:val="2B1E3A77"/>
    <w:rsid w:val="2BDD3CFB"/>
    <w:rsid w:val="2BE416F1"/>
    <w:rsid w:val="2C1F42B7"/>
    <w:rsid w:val="2C354880"/>
    <w:rsid w:val="2C4465D8"/>
    <w:rsid w:val="2C7D5E14"/>
    <w:rsid w:val="2CE61358"/>
    <w:rsid w:val="2D2F71FE"/>
    <w:rsid w:val="2DE809C1"/>
    <w:rsid w:val="2E731311"/>
    <w:rsid w:val="2E833726"/>
    <w:rsid w:val="2E91599D"/>
    <w:rsid w:val="2EC50AEC"/>
    <w:rsid w:val="2FC13683"/>
    <w:rsid w:val="2FC55514"/>
    <w:rsid w:val="2FD7142C"/>
    <w:rsid w:val="2FF154DE"/>
    <w:rsid w:val="30121989"/>
    <w:rsid w:val="30464002"/>
    <w:rsid w:val="30ED1130"/>
    <w:rsid w:val="31162FAF"/>
    <w:rsid w:val="317345CD"/>
    <w:rsid w:val="31E7004C"/>
    <w:rsid w:val="331F7372"/>
    <w:rsid w:val="33541CEC"/>
    <w:rsid w:val="3381002D"/>
    <w:rsid w:val="33EB60DF"/>
    <w:rsid w:val="347A10D3"/>
    <w:rsid w:val="35C06B20"/>
    <w:rsid w:val="35E84393"/>
    <w:rsid w:val="362C2AF4"/>
    <w:rsid w:val="36482DCD"/>
    <w:rsid w:val="369066E5"/>
    <w:rsid w:val="36BB3856"/>
    <w:rsid w:val="376539C2"/>
    <w:rsid w:val="378D721F"/>
    <w:rsid w:val="37EE74D6"/>
    <w:rsid w:val="37F30DCD"/>
    <w:rsid w:val="383C2774"/>
    <w:rsid w:val="383F2BED"/>
    <w:rsid w:val="39355B41"/>
    <w:rsid w:val="396D266B"/>
    <w:rsid w:val="3971756B"/>
    <w:rsid w:val="39DA3FF3"/>
    <w:rsid w:val="39F8091D"/>
    <w:rsid w:val="3A8D5A2E"/>
    <w:rsid w:val="3A9A2466"/>
    <w:rsid w:val="3A9B5E78"/>
    <w:rsid w:val="3B084B8F"/>
    <w:rsid w:val="3B1E5F64"/>
    <w:rsid w:val="3BE01BF7"/>
    <w:rsid w:val="3C29300F"/>
    <w:rsid w:val="3CB90837"/>
    <w:rsid w:val="3CF30479"/>
    <w:rsid w:val="3D145785"/>
    <w:rsid w:val="3D416735"/>
    <w:rsid w:val="3D763C29"/>
    <w:rsid w:val="3D836B8D"/>
    <w:rsid w:val="3DDA6CB7"/>
    <w:rsid w:val="3E043AEE"/>
    <w:rsid w:val="3EEF6792"/>
    <w:rsid w:val="3F06588A"/>
    <w:rsid w:val="3FDC228E"/>
    <w:rsid w:val="3FE21578"/>
    <w:rsid w:val="3FF62B30"/>
    <w:rsid w:val="40624D42"/>
    <w:rsid w:val="40827192"/>
    <w:rsid w:val="40B140C5"/>
    <w:rsid w:val="40FC24EB"/>
    <w:rsid w:val="4126109F"/>
    <w:rsid w:val="41823C97"/>
    <w:rsid w:val="41943563"/>
    <w:rsid w:val="41A34053"/>
    <w:rsid w:val="41DD571A"/>
    <w:rsid w:val="422E137F"/>
    <w:rsid w:val="42D42281"/>
    <w:rsid w:val="42DF5034"/>
    <w:rsid w:val="42F7154A"/>
    <w:rsid w:val="438D7E4A"/>
    <w:rsid w:val="43A062AD"/>
    <w:rsid w:val="443C3A3F"/>
    <w:rsid w:val="443E1F63"/>
    <w:rsid w:val="44452700"/>
    <w:rsid w:val="447F6AC6"/>
    <w:rsid w:val="44EE31A9"/>
    <w:rsid w:val="45512668"/>
    <w:rsid w:val="45D517BF"/>
    <w:rsid w:val="45EA7CB3"/>
    <w:rsid w:val="4642189D"/>
    <w:rsid w:val="464F7EE0"/>
    <w:rsid w:val="46A6262F"/>
    <w:rsid w:val="471A627A"/>
    <w:rsid w:val="47691E71"/>
    <w:rsid w:val="47981171"/>
    <w:rsid w:val="47D95E77"/>
    <w:rsid w:val="488A5257"/>
    <w:rsid w:val="48F708DB"/>
    <w:rsid w:val="496438D9"/>
    <w:rsid w:val="4A897A9B"/>
    <w:rsid w:val="4A9D0119"/>
    <w:rsid w:val="4AAC6884"/>
    <w:rsid w:val="4B0E39AC"/>
    <w:rsid w:val="4B1A20A6"/>
    <w:rsid w:val="4B5414ED"/>
    <w:rsid w:val="4B5672EF"/>
    <w:rsid w:val="4B8111DE"/>
    <w:rsid w:val="4C312198"/>
    <w:rsid w:val="4CA01282"/>
    <w:rsid w:val="4CCF19B1"/>
    <w:rsid w:val="4D506D55"/>
    <w:rsid w:val="4DE04894"/>
    <w:rsid w:val="4E163E1C"/>
    <w:rsid w:val="4E226787"/>
    <w:rsid w:val="4E257ADB"/>
    <w:rsid w:val="4F270B08"/>
    <w:rsid w:val="4F3D70A6"/>
    <w:rsid w:val="50645F6F"/>
    <w:rsid w:val="50666188"/>
    <w:rsid w:val="50DD469C"/>
    <w:rsid w:val="51165E00"/>
    <w:rsid w:val="51FC6DA4"/>
    <w:rsid w:val="521D3C4D"/>
    <w:rsid w:val="522816AD"/>
    <w:rsid w:val="52F67AEF"/>
    <w:rsid w:val="52FD5814"/>
    <w:rsid w:val="531E6C97"/>
    <w:rsid w:val="5322291E"/>
    <w:rsid w:val="533E52C6"/>
    <w:rsid w:val="53692437"/>
    <w:rsid w:val="53AD4F5F"/>
    <w:rsid w:val="53D855EF"/>
    <w:rsid w:val="5415239F"/>
    <w:rsid w:val="54386191"/>
    <w:rsid w:val="543F566E"/>
    <w:rsid w:val="5463180B"/>
    <w:rsid w:val="547E6196"/>
    <w:rsid w:val="54913868"/>
    <w:rsid w:val="55AF7AA7"/>
    <w:rsid w:val="564A467A"/>
    <w:rsid w:val="56981066"/>
    <w:rsid w:val="56CD24B3"/>
    <w:rsid w:val="56E83D9B"/>
    <w:rsid w:val="56ED315F"/>
    <w:rsid w:val="57545F57"/>
    <w:rsid w:val="582F0470"/>
    <w:rsid w:val="58302C1B"/>
    <w:rsid w:val="584274DB"/>
    <w:rsid w:val="586236D9"/>
    <w:rsid w:val="586B6F75"/>
    <w:rsid w:val="592F7A5F"/>
    <w:rsid w:val="59935683"/>
    <w:rsid w:val="59A41E0B"/>
    <w:rsid w:val="5A90452E"/>
    <w:rsid w:val="5A987886"/>
    <w:rsid w:val="5AE00237"/>
    <w:rsid w:val="5B157129"/>
    <w:rsid w:val="5B380DE5"/>
    <w:rsid w:val="5C076E61"/>
    <w:rsid w:val="5C3162BE"/>
    <w:rsid w:val="5C4B5585"/>
    <w:rsid w:val="5C722DF8"/>
    <w:rsid w:val="5C8134C0"/>
    <w:rsid w:val="5CA60A3A"/>
    <w:rsid w:val="5CFD7D80"/>
    <w:rsid w:val="5D9E3405"/>
    <w:rsid w:val="5E012D0D"/>
    <w:rsid w:val="5E1C3E79"/>
    <w:rsid w:val="5E1E2947"/>
    <w:rsid w:val="5E2060B9"/>
    <w:rsid w:val="5F703D10"/>
    <w:rsid w:val="5FB24F46"/>
    <w:rsid w:val="5FE3453E"/>
    <w:rsid w:val="60172D5D"/>
    <w:rsid w:val="607C66CB"/>
    <w:rsid w:val="60997EB4"/>
    <w:rsid w:val="60B455AA"/>
    <w:rsid w:val="60B468E5"/>
    <w:rsid w:val="60E22F85"/>
    <w:rsid w:val="61893DB4"/>
    <w:rsid w:val="6206633E"/>
    <w:rsid w:val="62614A02"/>
    <w:rsid w:val="62776C09"/>
    <w:rsid w:val="628C1A7E"/>
    <w:rsid w:val="634E1FE2"/>
    <w:rsid w:val="63CC30A3"/>
    <w:rsid w:val="647C3D75"/>
    <w:rsid w:val="648375F2"/>
    <w:rsid w:val="64E431A7"/>
    <w:rsid w:val="64E530E9"/>
    <w:rsid w:val="65315B67"/>
    <w:rsid w:val="66342775"/>
    <w:rsid w:val="6699707D"/>
    <w:rsid w:val="66CC0FE3"/>
    <w:rsid w:val="67AC2BC3"/>
    <w:rsid w:val="67E45EB9"/>
    <w:rsid w:val="67F36709"/>
    <w:rsid w:val="68044DF0"/>
    <w:rsid w:val="683813C4"/>
    <w:rsid w:val="683A17A4"/>
    <w:rsid w:val="686A21E8"/>
    <w:rsid w:val="68914293"/>
    <w:rsid w:val="68D32829"/>
    <w:rsid w:val="694F3806"/>
    <w:rsid w:val="699A7243"/>
    <w:rsid w:val="699E6DDE"/>
    <w:rsid w:val="69B6118A"/>
    <w:rsid w:val="69BE3E7E"/>
    <w:rsid w:val="69D108ED"/>
    <w:rsid w:val="6A042F63"/>
    <w:rsid w:val="6A050368"/>
    <w:rsid w:val="6AFC4789"/>
    <w:rsid w:val="6B010F18"/>
    <w:rsid w:val="6B4B23F5"/>
    <w:rsid w:val="6B4F5D3F"/>
    <w:rsid w:val="6B855C05"/>
    <w:rsid w:val="6B976B70"/>
    <w:rsid w:val="6BAB130E"/>
    <w:rsid w:val="6C0E1756"/>
    <w:rsid w:val="6C30791F"/>
    <w:rsid w:val="6D721AC8"/>
    <w:rsid w:val="6DAA1953"/>
    <w:rsid w:val="6DF14DAF"/>
    <w:rsid w:val="6E8D1559"/>
    <w:rsid w:val="6EBD7464"/>
    <w:rsid w:val="6EFF7A7C"/>
    <w:rsid w:val="6F771548"/>
    <w:rsid w:val="6F79507A"/>
    <w:rsid w:val="710D026A"/>
    <w:rsid w:val="710D50F0"/>
    <w:rsid w:val="715B428C"/>
    <w:rsid w:val="717A0D22"/>
    <w:rsid w:val="718C7750"/>
    <w:rsid w:val="71D84510"/>
    <w:rsid w:val="7255001A"/>
    <w:rsid w:val="734674E3"/>
    <w:rsid w:val="735142CD"/>
    <w:rsid w:val="738E07C7"/>
    <w:rsid w:val="73960AC7"/>
    <w:rsid w:val="73D47896"/>
    <w:rsid w:val="73DB10C1"/>
    <w:rsid w:val="74664463"/>
    <w:rsid w:val="7487479C"/>
    <w:rsid w:val="74C701C8"/>
    <w:rsid w:val="74D26B5D"/>
    <w:rsid w:val="74F667BA"/>
    <w:rsid w:val="75346566"/>
    <w:rsid w:val="7557350F"/>
    <w:rsid w:val="75596C62"/>
    <w:rsid w:val="75614FED"/>
    <w:rsid w:val="75CC18DF"/>
    <w:rsid w:val="75E175BD"/>
    <w:rsid w:val="766222BD"/>
    <w:rsid w:val="76656F01"/>
    <w:rsid w:val="76C35EBD"/>
    <w:rsid w:val="76E71522"/>
    <w:rsid w:val="77147C99"/>
    <w:rsid w:val="778364FA"/>
    <w:rsid w:val="77D958D8"/>
    <w:rsid w:val="78281E40"/>
    <w:rsid w:val="78A4110D"/>
    <w:rsid w:val="79660E24"/>
    <w:rsid w:val="79904A0C"/>
    <w:rsid w:val="79A56FD7"/>
    <w:rsid w:val="7A712AA0"/>
    <w:rsid w:val="7AA80FC8"/>
    <w:rsid w:val="7AB83901"/>
    <w:rsid w:val="7ACF54AA"/>
    <w:rsid w:val="7AE77D42"/>
    <w:rsid w:val="7AF1296F"/>
    <w:rsid w:val="7B1D19B6"/>
    <w:rsid w:val="7C460A98"/>
    <w:rsid w:val="7CB77BE8"/>
    <w:rsid w:val="7D0A7D18"/>
    <w:rsid w:val="7D1B00FF"/>
    <w:rsid w:val="7D3F1F2B"/>
    <w:rsid w:val="7D8C2981"/>
    <w:rsid w:val="7DD24CD9"/>
    <w:rsid w:val="7DDC3837"/>
    <w:rsid w:val="7DFB5AE0"/>
    <w:rsid w:val="7E2779A1"/>
    <w:rsid w:val="7E2B798A"/>
    <w:rsid w:val="7E3E1262"/>
    <w:rsid w:val="7E8709B8"/>
    <w:rsid w:val="7E913E6D"/>
    <w:rsid w:val="7ED71E7C"/>
    <w:rsid w:val="7F71407E"/>
    <w:rsid w:val="7F8F1596"/>
    <w:rsid w:val="7FA34F54"/>
    <w:rsid w:val="7FBC71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name="toc 1"/>
    <w:lsdException w:unhideWhenUsed="0" w:uiPriority="0" w:name="toc 2"/>
    <w:lsdException w:qFormat="1" w:unhideWhenUsed="0" w:uiPriority="0"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qFormat="1" w:unhideWhenUsed="0" w:uiPriority="0" w:semiHidden="0" w:name="envelope return" w:locked="1"/>
    <w:lsdException w:unhideWhenUsed="0" w:uiPriority="0" w:name="footnote reference"/>
    <w:lsdException w:unhideWhenUsed="0" w:uiPriority="0" w:name="annotation reference"/>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sdException w:unhideWhenUsed="0" w:uiPriority="0" w:semiHidden="0" w:name="List Bullet" w:locked="1"/>
    <w:lsdException w:unhideWhenUsed="0" w:uiPriority="0" w:semiHidden="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sdException w:unhideWhenUsed="0" w:uiPriority="0" w:semiHidden="0" w:name="Body Text First Indent 2" w:locked="1"/>
    <w:lsdException w:unhideWhenUsed="0" w:uiPriority="0" w:semiHidden="0" w:name="Note Heading" w:locked="1"/>
    <w:lsdException w:unhideWhenUsed="0" w:uiPriority="0" w:semiHidden="0" w:name="Body Text 2"/>
    <w:lsdException w:unhideWhenUsed="0" w:uiPriority="0" w:semiHidden="0" w:name="Body Text 3" w:locked="1"/>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name="Document Map"/>
    <w:lsdException w:unhideWhenUsed="0" w:uiPriority="0" w:semiHidden="0" w:name="Plain Text"/>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67"/>
    <w:qFormat/>
    <w:uiPriority w:val="0"/>
    <w:pPr>
      <w:keepNext/>
      <w:keepLines/>
      <w:numPr>
        <w:ilvl w:val="0"/>
        <w:numId w:val="1"/>
      </w:numPr>
      <w:adjustRightInd w:val="0"/>
      <w:spacing w:before="340" w:beforeLines="0" w:after="330" w:afterLines="0" w:line="578" w:lineRule="atLeast"/>
      <w:textAlignment w:val="baseline"/>
      <w:outlineLvl w:val="0"/>
    </w:pPr>
    <w:rPr>
      <w:b/>
      <w:kern w:val="44"/>
      <w:sz w:val="44"/>
    </w:rPr>
  </w:style>
  <w:style w:type="paragraph" w:styleId="3">
    <w:name w:val="heading 2"/>
    <w:basedOn w:val="1"/>
    <w:next w:val="1"/>
    <w:link w:val="68"/>
    <w:qFormat/>
    <w:uiPriority w:val="0"/>
    <w:pPr>
      <w:keepNext/>
      <w:keepLines/>
      <w:adjustRightInd w:val="0"/>
      <w:spacing w:before="260" w:beforeLines="0" w:after="260" w:afterLines="0" w:line="416" w:lineRule="atLeast"/>
      <w:textAlignment w:val="baseline"/>
      <w:outlineLvl w:val="1"/>
    </w:pPr>
    <w:rPr>
      <w:rFonts w:ascii="Arial" w:hAnsi="Arial" w:eastAsia="黑体"/>
      <w:b/>
      <w:kern w:val="0"/>
      <w:sz w:val="32"/>
    </w:rPr>
  </w:style>
  <w:style w:type="paragraph" w:styleId="4">
    <w:name w:val="heading 3"/>
    <w:basedOn w:val="1"/>
    <w:next w:val="1"/>
    <w:qFormat/>
    <w:uiPriority w:val="0"/>
    <w:pPr>
      <w:keepNext/>
      <w:keepLines/>
      <w:adjustRightInd w:val="0"/>
      <w:spacing w:before="260" w:beforeLines="0" w:after="260" w:afterLines="0" w:line="416" w:lineRule="atLeast"/>
      <w:textAlignment w:val="baseline"/>
      <w:outlineLvl w:val="2"/>
    </w:pPr>
    <w:rPr>
      <w:b/>
      <w:kern w:val="0"/>
      <w:sz w:val="32"/>
    </w:rPr>
  </w:style>
  <w:style w:type="paragraph" w:styleId="5">
    <w:name w:val="heading 4"/>
    <w:basedOn w:val="1"/>
    <w:next w:val="1"/>
    <w:link w:val="69"/>
    <w:qFormat/>
    <w:uiPriority w:val="0"/>
    <w:pPr>
      <w:keepNext/>
      <w:keepLines/>
      <w:adjustRightInd w:val="0"/>
      <w:spacing w:before="280" w:beforeLines="0" w:after="290" w:afterLines="0" w:line="376" w:lineRule="atLeast"/>
      <w:textAlignment w:val="baseline"/>
      <w:outlineLvl w:val="3"/>
    </w:pPr>
    <w:rPr>
      <w:rFonts w:ascii="Arial" w:hAnsi="Arial" w:eastAsia="黑体"/>
      <w:b/>
      <w:sz w:val="28"/>
    </w:rPr>
  </w:style>
  <w:style w:type="paragraph" w:styleId="6">
    <w:name w:val="heading 5"/>
    <w:basedOn w:val="1"/>
    <w:next w:val="1"/>
    <w:qFormat/>
    <w:uiPriority w:val="0"/>
    <w:pPr>
      <w:keepNext/>
      <w:keepLines/>
      <w:adjustRightInd w:val="0"/>
      <w:spacing w:before="280" w:beforeLines="0" w:after="290" w:afterLines="0" w:line="376" w:lineRule="atLeast"/>
      <w:textAlignment w:val="baseline"/>
      <w:outlineLvl w:val="4"/>
    </w:pPr>
    <w:rPr>
      <w:b/>
      <w:kern w:val="0"/>
      <w:sz w:val="28"/>
    </w:rPr>
  </w:style>
  <w:style w:type="paragraph" w:styleId="7">
    <w:name w:val="heading 6"/>
    <w:basedOn w:val="1"/>
    <w:next w:val="1"/>
    <w:qFormat/>
    <w:uiPriority w:val="0"/>
    <w:pPr>
      <w:keepNext/>
      <w:keepLines/>
      <w:adjustRightInd w:val="0"/>
      <w:spacing w:before="240" w:beforeLines="0" w:after="64" w:afterLines="0" w:line="320" w:lineRule="atLeast"/>
      <w:textAlignment w:val="baseline"/>
      <w:outlineLvl w:val="5"/>
    </w:pPr>
    <w:rPr>
      <w:rFonts w:ascii="Arial" w:hAnsi="Arial" w:eastAsia="黑体"/>
      <w:b/>
      <w:kern w:val="0"/>
      <w:sz w:val="24"/>
    </w:rPr>
  </w:style>
  <w:style w:type="paragraph" w:styleId="8">
    <w:name w:val="heading 7"/>
    <w:basedOn w:val="1"/>
    <w:next w:val="1"/>
    <w:qFormat/>
    <w:uiPriority w:val="0"/>
    <w:pPr>
      <w:keepNext/>
      <w:keepLines/>
      <w:adjustRightInd w:val="0"/>
      <w:spacing w:before="240" w:beforeLines="0" w:after="64" w:afterLines="0" w:line="320" w:lineRule="atLeast"/>
      <w:textAlignment w:val="baseline"/>
      <w:outlineLvl w:val="6"/>
    </w:pPr>
    <w:rPr>
      <w:b/>
      <w:kern w:val="0"/>
      <w:sz w:val="24"/>
    </w:rPr>
  </w:style>
  <w:style w:type="paragraph" w:styleId="9">
    <w:name w:val="heading 8"/>
    <w:basedOn w:val="1"/>
    <w:next w:val="1"/>
    <w:qFormat/>
    <w:uiPriority w:val="0"/>
    <w:pPr>
      <w:keepNext/>
      <w:keepLines/>
      <w:adjustRightInd w:val="0"/>
      <w:spacing w:before="240" w:beforeLines="0" w:after="64" w:afterLines="0" w:line="320" w:lineRule="atLeas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beforeLines="0" w:after="64" w:afterLines="0" w:line="320" w:lineRule="atLeast"/>
      <w:textAlignment w:val="baseline"/>
      <w:outlineLvl w:val="8"/>
    </w:pPr>
    <w:rPr>
      <w:rFonts w:ascii="Arial" w:hAnsi="Arial" w:eastAsia="黑体"/>
      <w:kern w:val="0"/>
    </w:rPr>
  </w:style>
  <w:style w:type="character" w:default="1" w:styleId="53">
    <w:name w:val="Default Paragraph Font"/>
    <w:semiHidden/>
    <w:uiPriority w:val="0"/>
  </w:style>
  <w:style w:type="table" w:default="1" w:styleId="51">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51"/>
      <w:tblCellMar>
        <w:top w:w="0" w:type="dxa"/>
        <w:left w:w="108" w:type="dxa"/>
        <w:bottom w:w="0" w:type="dxa"/>
        <w:right w:w="108" w:type="dxa"/>
      </w:tblCellMar>
    </w:tblPr>
  </w:style>
  <w:style w:type="paragraph" w:styleId="11">
    <w:name w:val="List 3"/>
    <w:basedOn w:val="1"/>
    <w:uiPriority w:val="0"/>
    <w:pPr>
      <w:ind w:left="100" w:leftChars="400" w:hanging="200" w:hangingChars="200"/>
    </w:pPr>
  </w:style>
  <w:style w:type="paragraph" w:styleId="12">
    <w:name w:val="toc 7"/>
    <w:basedOn w:val="1"/>
    <w:next w:val="1"/>
    <w:semiHidden/>
    <w:uiPriority w:val="0"/>
    <w:pPr>
      <w:ind w:left="1260"/>
      <w:jc w:val="left"/>
    </w:pPr>
    <w:rPr>
      <w:sz w:val="18"/>
    </w:rPr>
  </w:style>
  <w:style w:type="paragraph" w:styleId="13">
    <w:name w:val="Normal Indent"/>
    <w:basedOn w:val="1"/>
    <w:link w:val="70"/>
    <w:qFormat/>
    <w:uiPriority w:val="0"/>
    <w:pPr>
      <w:ind w:firstLine="420"/>
    </w:pPr>
  </w:style>
  <w:style w:type="paragraph" w:styleId="14">
    <w:name w:val="Document Map"/>
    <w:basedOn w:val="1"/>
    <w:semiHidden/>
    <w:uiPriority w:val="0"/>
    <w:pPr>
      <w:shd w:val="clear" w:color="auto" w:fill="000080"/>
    </w:pPr>
  </w:style>
  <w:style w:type="paragraph" w:styleId="15">
    <w:name w:val="annotation text"/>
    <w:basedOn w:val="1"/>
    <w:link w:val="71"/>
    <w:semiHidden/>
    <w:uiPriority w:val="0"/>
    <w:pPr>
      <w:jc w:val="left"/>
    </w:pPr>
  </w:style>
  <w:style w:type="paragraph" w:styleId="16">
    <w:name w:val="Body Text"/>
    <w:basedOn w:val="1"/>
    <w:next w:val="1"/>
    <w:uiPriority w:val="0"/>
    <w:rPr>
      <w:sz w:val="24"/>
    </w:rPr>
  </w:style>
  <w:style w:type="paragraph" w:styleId="17">
    <w:name w:val="Body Text Indent"/>
    <w:basedOn w:val="1"/>
    <w:next w:val="18"/>
    <w:link w:val="72"/>
    <w:uiPriority w:val="0"/>
    <w:pPr>
      <w:spacing w:after="156" w:afterLines="0"/>
      <w:ind w:firstLine="480"/>
    </w:pPr>
    <w:rPr>
      <w:sz w:val="24"/>
    </w:rPr>
  </w:style>
  <w:style w:type="paragraph" w:styleId="18">
    <w:name w:val="envelope return"/>
    <w:basedOn w:val="1"/>
    <w:qFormat/>
    <w:locked/>
    <w:uiPriority w:val="0"/>
    <w:pPr>
      <w:widowControl/>
      <w:topLinePunct/>
      <w:adjustRightInd w:val="0"/>
      <w:snapToGrid w:val="0"/>
      <w:spacing w:before="160" w:after="160" w:line="240" w:lineRule="atLeast"/>
      <w:ind w:left="1701"/>
      <w:jc w:val="left"/>
    </w:pPr>
    <w:rPr>
      <w:rFonts w:ascii="Arial" w:hAnsi="Arial" w:cs="Arial"/>
      <w:szCs w:val="21"/>
    </w:rPr>
  </w:style>
  <w:style w:type="paragraph" w:styleId="19">
    <w:name w:val="List 2"/>
    <w:basedOn w:val="1"/>
    <w:uiPriority w:val="0"/>
    <w:pPr>
      <w:ind w:left="100" w:leftChars="200" w:hanging="200" w:hangingChars="200"/>
    </w:pPr>
  </w:style>
  <w:style w:type="paragraph" w:styleId="20">
    <w:name w:val="List Continue"/>
    <w:basedOn w:val="1"/>
    <w:uiPriority w:val="0"/>
    <w:pPr>
      <w:spacing w:after="120" w:afterLines="0"/>
      <w:ind w:left="420" w:leftChars="200"/>
    </w:pPr>
  </w:style>
  <w:style w:type="paragraph" w:styleId="21">
    <w:name w:val="Block Text"/>
    <w:basedOn w:val="1"/>
    <w:uiPriority w:val="0"/>
    <w:pPr>
      <w:autoSpaceDE w:val="0"/>
      <w:autoSpaceDN w:val="0"/>
      <w:adjustRightInd w:val="0"/>
      <w:spacing w:line="300" w:lineRule="auto"/>
      <w:ind w:left="29" w:leftChars="12" w:right="6" w:firstLine="560" w:firstLineChars="200"/>
    </w:pPr>
    <w:rPr>
      <w:kern w:val="0"/>
      <w:sz w:val="28"/>
    </w:rPr>
  </w:style>
  <w:style w:type="paragraph" w:styleId="22">
    <w:name w:val="toc 5"/>
    <w:basedOn w:val="1"/>
    <w:next w:val="1"/>
    <w:semiHidden/>
    <w:uiPriority w:val="0"/>
    <w:pPr>
      <w:ind w:left="840"/>
      <w:jc w:val="left"/>
    </w:pPr>
    <w:rPr>
      <w:sz w:val="18"/>
    </w:rPr>
  </w:style>
  <w:style w:type="paragraph" w:styleId="23">
    <w:name w:val="toc 3"/>
    <w:basedOn w:val="1"/>
    <w:next w:val="1"/>
    <w:qFormat/>
    <w:uiPriority w:val="0"/>
    <w:pPr>
      <w:ind w:left="420"/>
      <w:jc w:val="left"/>
    </w:pPr>
    <w:rPr>
      <w:i/>
      <w:sz w:val="20"/>
    </w:rPr>
  </w:style>
  <w:style w:type="paragraph" w:styleId="24">
    <w:name w:val="Plain Text"/>
    <w:basedOn w:val="1"/>
    <w:uiPriority w:val="0"/>
    <w:rPr>
      <w:rFonts w:ascii="宋体" w:hAnsi="Courier New"/>
    </w:rPr>
  </w:style>
  <w:style w:type="paragraph" w:styleId="25">
    <w:name w:val="toc 8"/>
    <w:basedOn w:val="1"/>
    <w:next w:val="1"/>
    <w:semiHidden/>
    <w:uiPriority w:val="0"/>
    <w:pPr>
      <w:ind w:left="1470"/>
      <w:jc w:val="left"/>
    </w:pPr>
    <w:rPr>
      <w:sz w:val="18"/>
    </w:rPr>
  </w:style>
  <w:style w:type="paragraph" w:styleId="26">
    <w:name w:val="Date"/>
    <w:basedOn w:val="1"/>
    <w:next w:val="1"/>
    <w:uiPriority w:val="0"/>
    <w:pPr>
      <w:widowControl/>
      <w:ind w:left="100"/>
      <w:jc w:val="left"/>
    </w:pPr>
    <w:rPr>
      <w:rFonts w:ascii="宋体" w:hAnsi="宋体"/>
      <w:kern w:val="0"/>
      <w:sz w:val="28"/>
    </w:rPr>
  </w:style>
  <w:style w:type="paragraph" w:styleId="27">
    <w:name w:val="Body Text Indent 2"/>
    <w:basedOn w:val="1"/>
    <w:uiPriority w:val="0"/>
    <w:pPr>
      <w:ind w:left="1436" w:leftChars="684"/>
    </w:pPr>
    <w:rPr>
      <w:sz w:val="24"/>
    </w:rPr>
  </w:style>
  <w:style w:type="paragraph" w:styleId="28">
    <w:name w:val="List Continue 5"/>
    <w:basedOn w:val="1"/>
    <w:uiPriority w:val="0"/>
    <w:pPr>
      <w:spacing w:after="120" w:afterLines="0"/>
      <w:ind w:left="2100" w:leftChars="1000"/>
    </w:pPr>
  </w:style>
  <w:style w:type="paragraph" w:styleId="29">
    <w:name w:val="Balloon Text"/>
    <w:basedOn w:val="1"/>
    <w:link w:val="73"/>
    <w:semiHidden/>
    <w:uiPriority w:val="0"/>
    <w:rPr>
      <w:sz w:val="18"/>
    </w:rPr>
  </w:style>
  <w:style w:type="paragraph" w:styleId="30">
    <w:name w:val="footer"/>
    <w:basedOn w:val="1"/>
    <w:link w:val="74"/>
    <w:uiPriority w:val="99"/>
    <w:pPr>
      <w:tabs>
        <w:tab w:val="center" w:pos="4153"/>
        <w:tab w:val="right" w:pos="8306"/>
      </w:tabs>
      <w:snapToGrid w:val="0"/>
      <w:jc w:val="left"/>
    </w:pPr>
    <w:rPr>
      <w:sz w:val="18"/>
    </w:rPr>
  </w:style>
  <w:style w:type="paragraph" w:styleId="31">
    <w:name w:val="header"/>
    <w:basedOn w:val="1"/>
    <w:link w:val="75"/>
    <w:uiPriority w:val="0"/>
    <w:pPr>
      <w:tabs>
        <w:tab w:val="center" w:pos="4153"/>
        <w:tab w:val="right" w:pos="8306"/>
      </w:tabs>
      <w:snapToGrid w:val="0"/>
      <w:jc w:val="center"/>
    </w:pPr>
    <w:rPr>
      <w:sz w:val="18"/>
      <w:szCs w:val="18"/>
    </w:rPr>
  </w:style>
  <w:style w:type="paragraph" w:styleId="32">
    <w:name w:val="toc 1"/>
    <w:basedOn w:val="1"/>
    <w:next w:val="1"/>
    <w:semiHidden/>
    <w:uiPriority w:val="0"/>
    <w:pPr>
      <w:tabs>
        <w:tab w:val="left" w:pos="840"/>
        <w:tab w:val="right" w:leader="dot" w:pos="9402"/>
      </w:tabs>
      <w:adjustRightInd w:val="0"/>
      <w:snapToGrid w:val="0"/>
      <w:spacing w:line="360" w:lineRule="auto"/>
      <w:jc w:val="left"/>
    </w:pPr>
    <w:rPr>
      <w:rFonts w:ascii="Arial" w:hAnsi="宋体"/>
      <w:caps/>
      <w:w w:val="80"/>
      <w:sz w:val="24"/>
    </w:rPr>
  </w:style>
  <w:style w:type="paragraph" w:styleId="33">
    <w:name w:val="List Continue 4"/>
    <w:basedOn w:val="1"/>
    <w:uiPriority w:val="0"/>
    <w:pPr>
      <w:spacing w:after="120" w:afterLines="0"/>
      <w:ind w:left="1680" w:leftChars="800"/>
    </w:pPr>
  </w:style>
  <w:style w:type="paragraph" w:styleId="34">
    <w:name w:val="toc 4"/>
    <w:basedOn w:val="1"/>
    <w:next w:val="1"/>
    <w:semiHidden/>
    <w:uiPriority w:val="0"/>
    <w:pPr>
      <w:tabs>
        <w:tab w:val="left" w:pos="1080"/>
        <w:tab w:val="right" w:leader="dot" w:pos="9125"/>
      </w:tabs>
      <w:adjustRightInd w:val="0"/>
      <w:snapToGrid w:val="0"/>
      <w:spacing w:line="360" w:lineRule="auto"/>
      <w:jc w:val="left"/>
    </w:pPr>
    <w:rPr>
      <w:sz w:val="18"/>
    </w:rPr>
  </w:style>
  <w:style w:type="paragraph" w:styleId="35">
    <w:name w:val="List"/>
    <w:basedOn w:val="1"/>
    <w:uiPriority w:val="0"/>
    <w:pPr>
      <w:ind w:left="200" w:hanging="200" w:hangingChars="200"/>
    </w:pPr>
  </w:style>
  <w:style w:type="paragraph" w:styleId="36">
    <w:name w:val="footnote text"/>
    <w:basedOn w:val="1"/>
    <w:semiHidden/>
    <w:uiPriority w:val="0"/>
    <w:pPr>
      <w:snapToGrid w:val="0"/>
      <w:jc w:val="left"/>
    </w:pPr>
    <w:rPr>
      <w:sz w:val="18"/>
    </w:rPr>
  </w:style>
  <w:style w:type="paragraph" w:styleId="37">
    <w:name w:val="toc 6"/>
    <w:basedOn w:val="1"/>
    <w:next w:val="1"/>
    <w:semiHidden/>
    <w:uiPriority w:val="0"/>
    <w:pPr>
      <w:ind w:left="1050"/>
      <w:jc w:val="left"/>
    </w:pPr>
    <w:rPr>
      <w:sz w:val="18"/>
    </w:rPr>
  </w:style>
  <w:style w:type="paragraph" w:styleId="38">
    <w:name w:val="List 5"/>
    <w:basedOn w:val="1"/>
    <w:uiPriority w:val="0"/>
    <w:pPr>
      <w:ind w:left="100" w:leftChars="800" w:hanging="200" w:hangingChars="200"/>
    </w:pPr>
  </w:style>
  <w:style w:type="paragraph" w:styleId="39">
    <w:name w:val="Body Text Indent 3"/>
    <w:basedOn w:val="1"/>
    <w:uiPriority w:val="0"/>
    <w:pPr>
      <w:spacing w:after="120" w:afterLines="0"/>
      <w:ind w:left="420" w:leftChars="200"/>
    </w:pPr>
    <w:rPr>
      <w:sz w:val="16"/>
    </w:rPr>
  </w:style>
  <w:style w:type="paragraph" w:styleId="40">
    <w:name w:val="toc 2"/>
    <w:basedOn w:val="1"/>
    <w:next w:val="1"/>
    <w:semiHidden/>
    <w:uiPriority w:val="0"/>
    <w:pPr>
      <w:ind w:left="210"/>
      <w:jc w:val="left"/>
    </w:pPr>
    <w:rPr>
      <w:smallCaps/>
      <w:sz w:val="20"/>
    </w:rPr>
  </w:style>
  <w:style w:type="paragraph" w:styleId="41">
    <w:name w:val="toc 9"/>
    <w:basedOn w:val="1"/>
    <w:next w:val="1"/>
    <w:semiHidden/>
    <w:uiPriority w:val="0"/>
    <w:pPr>
      <w:ind w:left="1680"/>
      <w:jc w:val="left"/>
    </w:pPr>
    <w:rPr>
      <w:sz w:val="18"/>
    </w:rPr>
  </w:style>
  <w:style w:type="paragraph" w:styleId="42">
    <w:name w:val="Body Text 2"/>
    <w:basedOn w:val="1"/>
    <w:uiPriority w:val="0"/>
    <w:rPr>
      <w:rFonts w:ascii="宋体" w:hAnsi="宋体"/>
      <w:sz w:val="24"/>
    </w:rPr>
  </w:style>
  <w:style w:type="paragraph" w:styleId="43">
    <w:name w:val="List 4"/>
    <w:basedOn w:val="1"/>
    <w:uiPriority w:val="0"/>
    <w:pPr>
      <w:ind w:left="100" w:leftChars="600" w:hanging="200" w:hangingChars="200"/>
    </w:pPr>
  </w:style>
  <w:style w:type="paragraph" w:styleId="44">
    <w:name w:val="List Continue 2"/>
    <w:basedOn w:val="1"/>
    <w:uiPriority w:val="0"/>
    <w:pPr>
      <w:spacing w:after="120" w:afterLines="0"/>
      <w:ind w:left="840" w:leftChars="400"/>
    </w:pPr>
  </w:style>
  <w:style w:type="paragraph" w:styleId="45">
    <w:name w:val="HTML Preformatted"/>
    <w:basedOn w:val="1"/>
    <w:link w:val="76"/>
    <w:uiPriority w:val="0"/>
    <w:rPr>
      <w:rFonts w:ascii="Courier New" w:hAnsi="Courier New"/>
      <w:sz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7">
    <w:name w:val="List Continue 3"/>
    <w:basedOn w:val="1"/>
    <w:uiPriority w:val="0"/>
    <w:pPr>
      <w:spacing w:after="120" w:afterLines="0"/>
      <w:ind w:left="1260" w:leftChars="600"/>
    </w:pPr>
  </w:style>
  <w:style w:type="paragraph" w:styleId="48">
    <w:name w:val="annotation subject"/>
    <w:basedOn w:val="15"/>
    <w:next w:val="15"/>
    <w:semiHidden/>
    <w:uiPriority w:val="0"/>
    <w:rPr>
      <w:b/>
    </w:rPr>
  </w:style>
  <w:style w:type="paragraph" w:styleId="49">
    <w:name w:val="Body Text First Indent"/>
    <w:basedOn w:val="1"/>
    <w:uiPriority w:val="0"/>
    <w:pPr>
      <w:spacing w:line="360" w:lineRule="auto"/>
      <w:ind w:firstLine="482"/>
    </w:pPr>
    <w:rPr>
      <w:b/>
      <w:sz w:val="24"/>
    </w:rPr>
  </w:style>
  <w:style w:type="paragraph" w:styleId="50">
    <w:name w:val="Body Text First Indent 2"/>
    <w:basedOn w:val="17"/>
    <w:next w:val="39"/>
    <w:link w:val="77"/>
    <w:locked/>
    <w:uiPriority w:val="0"/>
    <w:pPr>
      <w:spacing w:after="120"/>
      <w:ind w:left="420" w:leftChars="200" w:firstLine="420" w:firstLineChars="200"/>
    </w:pPr>
    <w:rPr>
      <w:sz w:val="21"/>
    </w:rPr>
  </w:style>
  <w:style w:type="table" w:styleId="52">
    <w:name w:val="Table Grid"/>
    <w:basedOn w:val="51"/>
    <w:unhideWhenUsed/>
    <w:uiPriority w:val="99"/>
    <w:pPr>
      <w:widowControl w:val="0"/>
      <w:jc w:val="both"/>
    </w:p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uiPriority w:val="0"/>
    <w:rPr>
      <w:rFonts w:cs="Times New Roman"/>
    </w:rPr>
  </w:style>
  <w:style w:type="character" w:styleId="55">
    <w:name w:val="FollowedHyperlink"/>
    <w:basedOn w:val="53"/>
    <w:locked/>
    <w:uiPriority w:val="0"/>
    <w:rPr>
      <w:color w:val="800080"/>
      <w:u w:val="none"/>
    </w:rPr>
  </w:style>
  <w:style w:type="character" w:styleId="56">
    <w:name w:val="HTML Definition"/>
    <w:basedOn w:val="53"/>
    <w:locked/>
    <w:uiPriority w:val="0"/>
  </w:style>
  <w:style w:type="character" w:styleId="57">
    <w:name w:val="HTML Typewriter"/>
    <w:basedOn w:val="53"/>
    <w:locked/>
    <w:uiPriority w:val="0"/>
    <w:rPr>
      <w:rFonts w:hint="default" w:ascii="monospace" w:hAnsi="monospace" w:eastAsia="monospace" w:cs="monospace"/>
      <w:sz w:val="20"/>
    </w:rPr>
  </w:style>
  <w:style w:type="character" w:styleId="58">
    <w:name w:val="HTML Acronym"/>
    <w:basedOn w:val="53"/>
    <w:locked/>
    <w:uiPriority w:val="0"/>
  </w:style>
  <w:style w:type="character" w:styleId="59">
    <w:name w:val="HTML Variable"/>
    <w:basedOn w:val="53"/>
    <w:locked/>
    <w:uiPriority w:val="0"/>
  </w:style>
  <w:style w:type="character" w:styleId="60">
    <w:name w:val="Hyperlink"/>
    <w:basedOn w:val="53"/>
    <w:uiPriority w:val="0"/>
    <w:rPr>
      <w:color w:val="0000FF"/>
      <w:u w:val="none"/>
    </w:rPr>
  </w:style>
  <w:style w:type="character" w:styleId="61">
    <w:name w:val="HTML Code"/>
    <w:basedOn w:val="53"/>
    <w:locked/>
    <w:uiPriority w:val="0"/>
    <w:rPr>
      <w:rFonts w:hint="default" w:ascii="monospace" w:hAnsi="monospace" w:eastAsia="monospace" w:cs="monospace"/>
      <w:sz w:val="20"/>
    </w:rPr>
  </w:style>
  <w:style w:type="character" w:styleId="62">
    <w:name w:val="annotation reference"/>
    <w:semiHidden/>
    <w:uiPriority w:val="0"/>
    <w:rPr>
      <w:sz w:val="21"/>
    </w:rPr>
  </w:style>
  <w:style w:type="character" w:styleId="63">
    <w:name w:val="HTML Cite"/>
    <w:basedOn w:val="53"/>
    <w:locked/>
    <w:uiPriority w:val="0"/>
  </w:style>
  <w:style w:type="character" w:styleId="64">
    <w:name w:val="footnote reference"/>
    <w:semiHidden/>
    <w:uiPriority w:val="0"/>
    <w:rPr>
      <w:vertAlign w:val="superscript"/>
    </w:rPr>
  </w:style>
  <w:style w:type="character" w:styleId="65">
    <w:name w:val="HTML Keyboard"/>
    <w:basedOn w:val="53"/>
    <w:locked/>
    <w:uiPriority w:val="0"/>
    <w:rPr>
      <w:rFonts w:hint="default" w:ascii="monospace" w:hAnsi="monospace" w:eastAsia="monospace" w:cs="monospace"/>
      <w:sz w:val="20"/>
    </w:rPr>
  </w:style>
  <w:style w:type="character" w:styleId="66">
    <w:name w:val="HTML Sample"/>
    <w:basedOn w:val="53"/>
    <w:locked/>
    <w:uiPriority w:val="0"/>
    <w:rPr>
      <w:rFonts w:ascii="monospace" w:hAnsi="monospace" w:eastAsia="monospace" w:cs="monospace"/>
      <w:color w:val="777620"/>
      <w:bdr w:val="single" w:color="DAD55E" w:sz="6" w:space="0"/>
      <w:shd w:val="clear" w:color="auto" w:fill="FFFA90"/>
    </w:rPr>
  </w:style>
  <w:style w:type="character" w:customStyle="1" w:styleId="67">
    <w:name w:val="标题 1 Char"/>
    <w:link w:val="2"/>
    <w:locked/>
    <w:uiPriority w:val="0"/>
    <w:rPr>
      <w:b/>
      <w:kern w:val="44"/>
      <w:sz w:val="44"/>
    </w:rPr>
  </w:style>
  <w:style w:type="character" w:customStyle="1" w:styleId="68">
    <w:name w:val="标题 2 Char"/>
    <w:link w:val="3"/>
    <w:uiPriority w:val="0"/>
    <w:rPr>
      <w:rFonts w:ascii="Arial" w:hAnsi="Arial" w:eastAsia="黑体"/>
      <w:b/>
      <w:sz w:val="32"/>
    </w:rPr>
  </w:style>
  <w:style w:type="character" w:customStyle="1" w:styleId="69">
    <w:name w:val="标题 4 Char"/>
    <w:link w:val="5"/>
    <w:locked/>
    <w:uiPriority w:val="0"/>
    <w:rPr>
      <w:rFonts w:ascii="Arial" w:hAnsi="Arial" w:eastAsia="黑体"/>
      <w:b/>
      <w:kern w:val="2"/>
      <w:sz w:val="28"/>
      <w:lang w:val="en-US" w:eastAsia="zh-CN"/>
    </w:rPr>
  </w:style>
  <w:style w:type="character" w:customStyle="1" w:styleId="70">
    <w:name w:val="正文缩进 Char"/>
    <w:link w:val="13"/>
    <w:locked/>
    <w:uiPriority w:val="0"/>
    <w:rPr>
      <w:kern w:val="2"/>
      <w:sz w:val="21"/>
    </w:rPr>
  </w:style>
  <w:style w:type="character" w:customStyle="1" w:styleId="71">
    <w:name w:val="批注文字 Char"/>
    <w:link w:val="15"/>
    <w:locked/>
    <w:uiPriority w:val="0"/>
    <w:rPr>
      <w:kern w:val="2"/>
      <w:sz w:val="21"/>
    </w:rPr>
  </w:style>
  <w:style w:type="character" w:customStyle="1" w:styleId="72">
    <w:name w:val="正文文本缩进 Char"/>
    <w:link w:val="17"/>
    <w:uiPriority w:val="0"/>
    <w:rPr>
      <w:kern w:val="2"/>
      <w:sz w:val="24"/>
    </w:rPr>
  </w:style>
  <w:style w:type="character" w:customStyle="1" w:styleId="73">
    <w:name w:val="批注框文本 Char"/>
    <w:link w:val="29"/>
    <w:locked/>
    <w:uiPriority w:val="0"/>
    <w:rPr>
      <w:rFonts w:eastAsia="宋体"/>
      <w:kern w:val="2"/>
      <w:sz w:val="18"/>
      <w:lang w:val="en-US" w:eastAsia="zh-CN"/>
    </w:rPr>
  </w:style>
  <w:style w:type="character" w:customStyle="1" w:styleId="74">
    <w:name w:val="页脚 Char"/>
    <w:link w:val="30"/>
    <w:locked/>
    <w:uiPriority w:val="99"/>
    <w:rPr>
      <w:kern w:val="2"/>
      <w:sz w:val="18"/>
    </w:rPr>
  </w:style>
  <w:style w:type="character" w:customStyle="1" w:styleId="75">
    <w:name w:val="页眉 Char"/>
    <w:link w:val="31"/>
    <w:uiPriority w:val="0"/>
    <w:rPr>
      <w:kern w:val="2"/>
      <w:sz w:val="18"/>
      <w:szCs w:val="18"/>
    </w:rPr>
  </w:style>
  <w:style w:type="character" w:customStyle="1" w:styleId="76">
    <w:name w:val="HTML 预设格式 Char"/>
    <w:link w:val="45"/>
    <w:locked/>
    <w:uiPriority w:val="0"/>
    <w:rPr>
      <w:rFonts w:ascii="Courier New" w:hAnsi="Courier New"/>
      <w:kern w:val="2"/>
    </w:rPr>
  </w:style>
  <w:style w:type="character" w:customStyle="1" w:styleId="77">
    <w:name w:val="正文首行缩进 2 Char"/>
    <w:link w:val="50"/>
    <w:uiPriority w:val="0"/>
    <w:rPr>
      <w:rFonts w:hint="default" w:ascii="Times New Roman" w:hAnsi="Times New Roman" w:eastAsia="宋体" w:cs="Times New Roman"/>
      <w:kern w:val="2"/>
      <w:sz w:val="21"/>
      <w:szCs w:val="21"/>
    </w:rPr>
  </w:style>
  <w:style w:type="character" w:customStyle="1" w:styleId="78">
    <w:name w:val="标题 1 Char Char"/>
    <w:uiPriority w:val="0"/>
    <w:rPr>
      <w:rFonts w:hint="eastAsia" w:ascii="宋体" w:hAnsi="宋体" w:eastAsia="宋体"/>
      <w:b/>
      <w:spacing w:val="-2"/>
      <w:sz w:val="24"/>
      <w:lang w:val="en-US" w:eastAsia="zh-CN"/>
    </w:rPr>
  </w:style>
  <w:style w:type="character" w:customStyle="1" w:styleId="79">
    <w:name w:val="title"/>
    <w:uiPriority w:val="0"/>
  </w:style>
  <w:style w:type="character" w:customStyle="1" w:styleId="80">
    <w:name w:val="style1"/>
    <w:uiPriority w:val="0"/>
    <w:rPr>
      <w:rFonts w:cs="Times New Roman"/>
    </w:rPr>
  </w:style>
  <w:style w:type="character" w:customStyle="1" w:styleId="81">
    <w:name w:val="Style Heading 3 + Char"/>
    <w:link w:val="82"/>
    <w:locked/>
    <w:uiPriority w:val="0"/>
    <w:rPr>
      <w:rFonts w:eastAsia="宋体"/>
      <w:b/>
      <w:kern w:val="2"/>
      <w:sz w:val="28"/>
      <w:lang w:val="en-US" w:eastAsia="zh-CN"/>
    </w:rPr>
  </w:style>
  <w:style w:type="paragraph" w:customStyle="1" w:styleId="82">
    <w:name w:val="Style Heading 3 +"/>
    <w:basedOn w:val="4"/>
    <w:link w:val="81"/>
    <w:uiPriority w:val="0"/>
    <w:pPr>
      <w:adjustRightInd/>
      <w:spacing w:before="120" w:beforeLines="0" w:after="120" w:afterLines="0" w:line="120" w:lineRule="atLeast"/>
      <w:textAlignment w:val="auto"/>
    </w:pPr>
    <w:rPr>
      <w:kern w:val="2"/>
      <w:sz w:val="28"/>
    </w:rPr>
  </w:style>
  <w:style w:type="character" w:customStyle="1" w:styleId="83">
    <w:name w:val="正文缩进2格 Char"/>
    <w:link w:val="84"/>
    <w:qFormat/>
    <w:uiPriority w:val="0"/>
    <w:rPr>
      <w:rFonts w:ascii="仿宋_GB2312" w:hAnsi="宋体" w:eastAsia="仿宋_GB2312"/>
      <w:sz w:val="31"/>
      <w:szCs w:val="28"/>
    </w:rPr>
  </w:style>
  <w:style w:type="paragraph" w:customStyle="1" w:styleId="84">
    <w:name w:val="正文缩进2格"/>
    <w:basedOn w:val="1"/>
    <w:link w:val="83"/>
    <w:qFormat/>
    <w:uiPriority w:val="0"/>
    <w:pPr>
      <w:spacing w:line="600" w:lineRule="exact"/>
      <w:ind w:firstLine="639" w:firstLineChars="206"/>
    </w:pPr>
    <w:rPr>
      <w:rFonts w:ascii="仿宋_GB2312" w:hAnsi="宋体" w:eastAsia="仿宋_GB2312"/>
      <w:kern w:val="0"/>
      <w:sz w:val="31"/>
      <w:szCs w:val="28"/>
    </w:rPr>
  </w:style>
  <w:style w:type="paragraph" w:customStyle="1" w:styleId="85">
    <w:name w:val="List Paragraph"/>
    <w:basedOn w:val="1"/>
    <w:uiPriority w:val="0"/>
    <w:pPr>
      <w:ind w:firstLine="420" w:firstLineChars="200"/>
    </w:pPr>
  </w:style>
  <w:style w:type="paragraph" w:customStyle="1" w:styleId="86">
    <w:name w:val="1"/>
    <w:basedOn w:val="1"/>
    <w:next w:val="24"/>
    <w:uiPriority w:val="0"/>
    <w:rPr>
      <w:rFonts w:ascii="宋体" w:hAnsi="Courier New"/>
    </w:rPr>
  </w:style>
  <w:style w:type="paragraph" w:customStyle="1" w:styleId="87">
    <w:name w:val="纯文本2"/>
    <w:basedOn w:val="1"/>
    <w:uiPriority w:val="0"/>
    <w:rPr>
      <w:rFonts w:ascii="宋体" w:hAnsi="Courier New"/>
      <w:sz w:val="28"/>
      <w:szCs w:val="24"/>
    </w:rPr>
  </w:style>
  <w:style w:type="paragraph" w:customStyle="1" w:styleId="88">
    <w:name w:val="样式 标题 2 + 黑色 行距: 1.5 倍行距"/>
    <w:basedOn w:val="3"/>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89">
    <w:name w:val="p0"/>
    <w:basedOn w:val="1"/>
    <w:uiPriority w:val="0"/>
    <w:pPr>
      <w:widowControl/>
    </w:pPr>
    <w:rPr>
      <w:kern w:val="0"/>
      <w:szCs w:val="21"/>
    </w:rPr>
  </w:style>
  <w:style w:type="paragraph" w:customStyle="1" w:styleId="90">
    <w:name w:val="图文"/>
    <w:basedOn w:val="1"/>
    <w:uiPriority w:val="0"/>
    <w:pPr>
      <w:adjustRightInd w:val="0"/>
      <w:snapToGrid w:val="0"/>
      <w:spacing w:after="50" w:afterLines="0" w:line="360" w:lineRule="auto"/>
    </w:pPr>
    <w:rPr>
      <w:sz w:val="24"/>
    </w:rPr>
  </w:style>
  <w:style w:type="paragraph" w:customStyle="1" w:styleId="91">
    <w:name w:val="文档正文"/>
    <w:basedOn w:val="1"/>
    <w:uiPriority w:val="0"/>
    <w:pPr>
      <w:adjustRightInd w:val="0"/>
      <w:spacing w:line="480" w:lineRule="atLeast"/>
      <w:ind w:firstLine="567"/>
      <w:textAlignment w:val="baseline"/>
    </w:pPr>
    <w:rPr>
      <w:rFonts w:ascii="仿宋_GB2312" w:eastAsia="仿宋_GB2312"/>
      <w:kern w:val="0"/>
      <w:sz w:val="28"/>
    </w:rPr>
  </w:style>
  <w:style w:type="paragraph" w:customStyle="1" w:styleId="92">
    <w:name w:val="Plain Text1"/>
    <w:basedOn w:val="1"/>
    <w:uiPriority w:val="0"/>
    <w:pPr>
      <w:widowControl/>
      <w:adjustRightInd w:val="0"/>
      <w:jc w:val="left"/>
      <w:textAlignment w:val="baseline"/>
    </w:pPr>
    <w:rPr>
      <w:rFonts w:ascii="宋体" w:hAnsi="Courier New" w:eastAsia="楷体_GB2312"/>
      <w:kern w:val="0"/>
      <w:sz w:val="26"/>
    </w:rPr>
  </w:style>
  <w:style w:type="paragraph" w:customStyle="1" w:styleId="93">
    <w:name w:val="简单回函地址"/>
    <w:basedOn w:val="1"/>
    <w:uiPriority w:val="0"/>
  </w:style>
  <w:style w:type="paragraph" w:customStyle="1" w:styleId="94">
    <w:name w:val="Char Char Char Char"/>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95">
    <w:name w:val="Char2"/>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96">
    <w:name w:val="title1"/>
    <w:basedOn w:val="1"/>
    <w:uiPriority w:val="0"/>
    <w:pPr>
      <w:widowControl/>
      <w:spacing w:before="100" w:beforeAutospacing="1" w:after="100" w:afterAutospacing="1"/>
      <w:jc w:val="left"/>
    </w:pPr>
    <w:rPr>
      <w:kern w:val="0"/>
      <w:sz w:val="24"/>
      <w:szCs w:val="24"/>
    </w:rPr>
  </w:style>
  <w:style w:type="paragraph" w:customStyle="1" w:styleId="97">
    <w:name w:val="默认段落字体 Para Char Char Char Char"/>
    <w:basedOn w:val="1"/>
    <w:uiPriority w:val="0"/>
  </w:style>
  <w:style w:type="paragraph" w:customStyle="1" w:styleId="98">
    <w:name w:val="Char Char Char1 Char"/>
    <w:basedOn w:val="1"/>
    <w:uiPriority w:val="0"/>
  </w:style>
  <w:style w:type="paragraph" w:customStyle="1" w:styleId="99">
    <w:name w:val="6"/>
    <w:basedOn w:val="1"/>
    <w:uiPriority w:val="0"/>
    <w:pPr>
      <w:widowControl/>
      <w:spacing w:after="160" w:afterLines="0" w:line="240" w:lineRule="exact"/>
      <w:jc w:val="left"/>
    </w:pPr>
    <w:rPr>
      <w:rFonts w:ascii="Verdana" w:hAnsi="Verdana" w:eastAsia="仿宋_GB2312"/>
      <w:kern w:val="0"/>
      <w:sz w:val="24"/>
      <w:lang w:eastAsia="en-US"/>
    </w:rPr>
  </w:style>
  <w:style w:type="paragraph" w:styleId="100">
    <w:name w:val="List Paragraph"/>
    <w:basedOn w:val="1"/>
    <w:qFormat/>
    <w:uiPriority w:val="34"/>
    <w:pPr>
      <w:ind w:firstLine="420" w:firstLineChars="200"/>
    </w:pPr>
    <w:rPr>
      <w:szCs w:val="24"/>
    </w:rPr>
  </w:style>
  <w:style w:type="paragraph" w:customStyle="1" w:styleId="101">
    <w:name w:val="段"/>
    <w:basedOn w:val="1"/>
    <w:next w:val="1"/>
    <w:qFormat/>
    <w:uiPriority w:val="0"/>
    <w:pPr>
      <w:ind w:firstLine="425"/>
    </w:pPr>
    <w:rPr>
      <w:rFonts w:ascii="宋体"/>
      <w:szCs w:val="24"/>
    </w:rPr>
  </w:style>
  <w:style w:type="character" w:customStyle="1" w:styleId="102">
    <w:name w:val="font01"/>
    <w:qFormat/>
    <w:uiPriority w:val="0"/>
    <w:rPr>
      <w:rFonts w:hint="eastAsia" w:ascii="宋体" w:hAnsi="宋体" w:eastAsia="宋体" w:cs="宋体"/>
      <w:color w:val="000000"/>
      <w:sz w:val="21"/>
      <w:szCs w:val="21"/>
      <w:u w:val="none"/>
    </w:rPr>
  </w:style>
  <w:style w:type="character" w:customStyle="1" w:styleId="103">
    <w:name w:val="font31"/>
    <w:uiPriority w:val="0"/>
    <w:rPr>
      <w:rFonts w:hint="eastAsia" w:ascii="宋体" w:hAnsi="宋体" w:eastAsia="宋体" w:cs="宋体"/>
      <w:color w:val="000000"/>
      <w:sz w:val="22"/>
      <w:szCs w:val="22"/>
      <w:u w:val="none"/>
    </w:rPr>
  </w:style>
  <w:style w:type="character" w:customStyle="1" w:styleId="104">
    <w:name w:val="font112"/>
    <w:uiPriority w:val="0"/>
    <w:rPr>
      <w:rFonts w:ascii="宋体" w:hAnsi="宋体" w:eastAsia="宋体" w:cs="宋体"/>
      <w:b/>
      <w:bCs/>
      <w:color w:val="000000"/>
      <w:sz w:val="22"/>
      <w:szCs w:val="22"/>
      <w:u w:val="none"/>
    </w:rPr>
  </w:style>
  <w:style w:type="character" w:customStyle="1" w:styleId="105">
    <w:name w:val="font91"/>
    <w:uiPriority w:val="0"/>
    <w:rPr>
      <w:rFonts w:hint="eastAsia" w:ascii="宋体" w:hAnsi="宋体" w:eastAsia="宋体" w:cs="宋体"/>
      <w:b/>
      <w:bCs/>
      <w:color w:val="000000"/>
      <w:sz w:val="22"/>
      <w:szCs w:val="22"/>
      <w:u w:val="none"/>
    </w:rPr>
  </w:style>
  <w:style w:type="character" w:customStyle="1" w:styleId="106">
    <w:name w:val="font41"/>
    <w:uiPriority w:val="0"/>
    <w:rPr>
      <w:rFonts w:hint="eastAsia" w:ascii="华文仿宋" w:hAnsi="华文仿宋" w:eastAsia="华文仿宋" w:cs="华文仿宋"/>
      <w:color w:val="000000"/>
      <w:sz w:val="22"/>
      <w:szCs w:val="22"/>
      <w:u w:val="none"/>
    </w:rPr>
  </w:style>
  <w:style w:type="character" w:customStyle="1" w:styleId="107">
    <w:name w:val="font131"/>
    <w:uiPriority w:val="0"/>
    <w:rPr>
      <w:rFonts w:hint="eastAsia" w:ascii="华文仿宋" w:hAnsi="华文仿宋" w:eastAsia="华文仿宋" w:cs="华文仿宋"/>
      <w:b/>
      <w:bCs/>
      <w:color w:val="000000"/>
      <w:sz w:val="22"/>
      <w:szCs w:val="22"/>
      <w:u w:val="none"/>
    </w:rPr>
  </w:style>
  <w:style w:type="character" w:customStyle="1" w:styleId="108">
    <w:name w:val="font51"/>
    <w:uiPriority w:val="0"/>
    <w:rPr>
      <w:rFonts w:hint="eastAsia" w:ascii="宋体" w:hAnsi="宋体" w:eastAsia="宋体" w:cs="宋体"/>
      <w:color w:val="000000"/>
      <w:sz w:val="24"/>
      <w:szCs w:val="24"/>
      <w:u w:val="none"/>
    </w:rPr>
  </w:style>
  <w:style w:type="character" w:customStyle="1" w:styleId="109">
    <w:name w:val="font141"/>
    <w:uiPriority w:val="0"/>
    <w:rPr>
      <w:rFonts w:hint="eastAsia" w:ascii="宋体" w:hAnsi="宋体" w:eastAsia="宋体" w:cs="宋体"/>
      <w:b/>
      <w:bCs/>
      <w:color w:val="000000"/>
      <w:sz w:val="24"/>
      <w:szCs w:val="24"/>
      <w:u w:val="none"/>
    </w:rPr>
  </w:style>
  <w:style w:type="character" w:customStyle="1" w:styleId="110">
    <w:name w:val="font71"/>
    <w:uiPriority w:val="0"/>
    <w:rPr>
      <w:rFonts w:hint="default" w:ascii="仿宋_GB2312" w:eastAsia="仿宋_GB2312" w:cs="仿宋_GB2312"/>
      <w:color w:val="000000"/>
      <w:sz w:val="22"/>
      <w:szCs w:val="22"/>
      <w:u w:val="none"/>
    </w:rPr>
  </w:style>
  <w:style w:type="character" w:customStyle="1" w:styleId="111">
    <w:name w:val="font121"/>
    <w:uiPriority w:val="0"/>
    <w:rPr>
      <w:rFonts w:hint="default" w:ascii="仿宋_GB2312" w:eastAsia="仿宋_GB2312" w:cs="仿宋_GB2312"/>
      <w:b/>
      <w:bCs/>
      <w:color w:val="000000"/>
      <w:sz w:val="22"/>
      <w:szCs w:val="22"/>
      <w:u w:val="none"/>
    </w:rPr>
  </w:style>
  <w:style w:type="character" w:customStyle="1" w:styleId="112">
    <w:name w:val="font151"/>
    <w:uiPriority w:val="0"/>
    <w:rPr>
      <w:rFonts w:ascii="Calibri" w:hAnsi="Calibri" w:cs="Calibri"/>
      <w:color w:val="000000"/>
      <w:sz w:val="22"/>
      <w:szCs w:val="22"/>
      <w:u w:val="none"/>
    </w:rPr>
  </w:style>
  <w:style w:type="character" w:customStyle="1" w:styleId="113">
    <w:name w:val="font161"/>
    <w:uiPriority w:val="0"/>
    <w:rPr>
      <w:rFonts w:hint="eastAsia" w:ascii="宋体" w:hAnsi="宋体" w:eastAsia="宋体" w:cs="宋体"/>
      <w:b/>
      <w:bCs/>
      <w:color w:val="000000"/>
      <w:sz w:val="22"/>
      <w:szCs w:val="22"/>
      <w:u w:val="none"/>
    </w:rPr>
  </w:style>
  <w:style w:type="character" w:customStyle="1" w:styleId="114">
    <w:name w:val="font171"/>
    <w:uiPriority w:val="0"/>
    <w:rPr>
      <w:rFonts w:hint="default" w:ascii="Calibri" w:hAnsi="Calibri" w:cs="Calibri"/>
      <w:color w:val="000000"/>
      <w:sz w:val="24"/>
      <w:szCs w:val="24"/>
      <w:u w:val="none"/>
    </w:rPr>
  </w:style>
  <w:style w:type="character" w:customStyle="1" w:styleId="115">
    <w:name w:val="font11"/>
    <w:basedOn w:val="53"/>
    <w:uiPriority w:val="0"/>
    <w:rPr>
      <w:rFonts w:hint="eastAsia" w:ascii="宋体" w:hAnsi="宋体" w:eastAsia="宋体" w:cs="宋体"/>
      <w:color w:val="000000"/>
      <w:sz w:val="22"/>
      <w:szCs w:val="22"/>
      <w:u w:val="none"/>
    </w:rPr>
  </w:style>
  <w:style w:type="character" w:customStyle="1" w:styleId="116">
    <w:name w:val="font61"/>
    <w:basedOn w:val="53"/>
    <w:uiPriority w:val="0"/>
    <w:rPr>
      <w:rFonts w:hint="default" w:ascii="仿宋_GB2312" w:eastAsia="仿宋_GB2312" w:cs="仿宋_GB2312"/>
      <w:color w:val="000000"/>
      <w:sz w:val="22"/>
      <w:szCs w:val="22"/>
      <w:u w:val="none"/>
    </w:rPr>
  </w:style>
  <w:style w:type="character" w:customStyle="1" w:styleId="117">
    <w:name w:val="hover3"/>
    <w:basedOn w:val="53"/>
    <w:uiPriority w:val="0"/>
    <w:rPr>
      <w:color w:val="5FB878"/>
    </w:rPr>
  </w:style>
  <w:style w:type="character" w:customStyle="1" w:styleId="118">
    <w:name w:val="hover4"/>
    <w:basedOn w:val="53"/>
    <w:uiPriority w:val="0"/>
    <w:rPr>
      <w:color w:val="5FB878"/>
    </w:rPr>
  </w:style>
  <w:style w:type="character" w:customStyle="1" w:styleId="119">
    <w:name w:val="hover5"/>
    <w:basedOn w:val="53"/>
    <w:uiPriority w:val="0"/>
    <w:rPr>
      <w:color w:val="FFFFFF"/>
    </w:rPr>
  </w:style>
  <w:style w:type="character" w:customStyle="1" w:styleId="120">
    <w:name w:val="layui-this2"/>
    <w:basedOn w:val="53"/>
    <w:uiPriority w:val="0"/>
    <w:rPr>
      <w:bdr w:val="single" w:color="EEEEEE" w:sz="6" w:space="0"/>
      <w:shd w:val="clear" w:color="auto" w:fill="FFFFFF"/>
    </w:rPr>
  </w:style>
  <w:style w:type="character" w:customStyle="1" w:styleId="121">
    <w:name w:val="first-child"/>
    <w:basedOn w:val="53"/>
    <w:uiPriority w:val="0"/>
  </w:style>
  <w:style w:type="character" w:customStyle="1" w:styleId="122">
    <w:name w:val="hover"/>
    <w:basedOn w:val="53"/>
    <w:uiPriority w:val="0"/>
    <w:rPr>
      <w:color w:val="FFFFFF"/>
    </w:rPr>
  </w:style>
  <w:style w:type="character" w:customStyle="1" w:styleId="123">
    <w:name w:val="hover1"/>
    <w:basedOn w:val="53"/>
    <w:uiPriority w:val="0"/>
    <w:rPr>
      <w:color w:val="5FB878"/>
    </w:rPr>
  </w:style>
  <w:style w:type="character" w:customStyle="1" w:styleId="124">
    <w:name w:val="hover2"/>
    <w:basedOn w:val="53"/>
    <w:uiPriority w:val="0"/>
    <w:rPr>
      <w:color w:val="5FB878"/>
    </w:rPr>
  </w:style>
  <w:style w:type="character" w:customStyle="1" w:styleId="125">
    <w:name w:val="layui-this"/>
    <w:basedOn w:val="53"/>
    <w:uiPriority w:val="0"/>
    <w:rPr>
      <w:bdr w:val="single" w:color="EEEEEE" w:sz="6" w:space="0"/>
      <w:shd w:val="clear" w:color="auto" w:fill="FFFFFF"/>
    </w:rPr>
  </w:style>
  <w:style w:type="character" w:customStyle="1" w:styleId="126">
    <w:name w:val="fontstyle01"/>
    <w:basedOn w:val="53"/>
    <w:qFormat/>
    <w:uiPriority w:val="0"/>
    <w:rPr>
      <w:rFonts w:hint="eastAsia" w:ascii="宋体" w:hAnsi="宋体" w:eastAsia="宋体"/>
      <w:color w:val="000000"/>
      <w:sz w:val="22"/>
      <w:szCs w:val="22"/>
    </w:rPr>
  </w:style>
  <w:style w:type="paragraph" w:customStyle="1" w:styleId="127">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128">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29">
    <w:name w:val="NormalCharacter"/>
    <w:qFormat/>
    <w:uiPriority w:val="0"/>
  </w:style>
  <w:style w:type="character" w:customStyle="1" w:styleId="130">
    <w:name w:val="font21"/>
    <w:basedOn w:val="53"/>
    <w:uiPriority w:val="0"/>
    <w:rPr>
      <w:rFonts w:hint="eastAsia" w:ascii="仿宋" w:hAnsi="仿宋" w:eastAsia="仿宋" w:cs="仿宋"/>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40</Pages>
  <Words>21351</Words>
  <Characters>21851</Characters>
  <Lines>375</Lines>
  <Paragraphs>105</Paragraphs>
  <TotalTime>3</TotalTime>
  <ScaleCrop>false</ScaleCrop>
  <LinksUpToDate>false</LinksUpToDate>
  <CharactersWithSpaces>23098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2022-06-28T11:54:00Z</dcterms:created>
  <dc:creator>Administrator</dc:creator>
  <cp:lastModifiedBy>NTKO</cp:lastModifiedBy>
  <cp:lastPrinted>2022-09-28T08:03:37Z</cp:lastPrinted>
  <dcterms:modified xsi:type="dcterms:W3CDTF">2024-06-12T08:36:46Z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FE55A3796E8C458ABF13C7F5C27B52FA_13</vt:lpwstr>
  </property>
  <property fmtid="{D5CDD505-2E9C-101B-9397-08002B2CF9AE}" pid="4" name="KSOSaveFontToCloudKey">
    <vt:lpwstr>377270752_btnclosed</vt:lpwstr>
  </property>
</Properties>
</file>