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区级监管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  <w:lang w:eastAsia="zh-CN"/>
        </w:rPr>
        <w:t>南通市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</w:rPr>
        <w:t>文物保护单位安全责任</w:t>
      </w:r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信息</w:t>
      </w:r>
    </w:p>
    <w:bookmarkEnd w:id="0"/>
    <w:tbl>
      <w:tblPr>
        <w:tblStyle w:val="3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92"/>
        <w:gridCol w:w="1783"/>
        <w:gridCol w:w="2545"/>
        <w:gridCol w:w="1066"/>
        <w:gridCol w:w="90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2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783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城隍庙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崇川区民族宗教事务局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南通市城隍庙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葛昆银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张  海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85589511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静业庵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和平桥街道办事处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南通风筝博物馆</w:t>
            </w:r>
          </w:p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崇川区和平桥街道办事处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徐俊华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朱建新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徐俊华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eastAsia="zh-CN"/>
              </w:rPr>
              <w:t>王冬梅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13003555519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85191320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富贵巷明代住宅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和平桥街道办事处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崇川区和平桥街道办事处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朱建新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张福均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89013201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倭子坟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文峰街道办事处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崇川区文峰街道办事处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eastAsia="zh-CN"/>
              </w:rPr>
              <w:t>徐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eastAsia="zh-CN"/>
              </w:rPr>
              <w:t>祥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程玉鑫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68151593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女红传习所旧址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南通濠河旅游园景建设有限公司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南通市沈绣博物馆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卜  元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胡庆祥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85529532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金沧江故居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崇川历史文化街区保护发展有限公司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eastAsia="zh-CN"/>
              </w:rPr>
              <w:t>范新峰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55088660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狼山天主教堂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崇川区民族宗教事务局</w:t>
            </w:r>
          </w:p>
        </w:tc>
        <w:tc>
          <w:tcPr>
            <w:tcW w:w="254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南通市狼山天主堂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陈小平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陈小平</w:t>
            </w:r>
          </w:p>
        </w:tc>
        <w:tc>
          <w:tcPr>
            <w:tcW w:w="1706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85705036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2E6A409C"/>
    <w:rsid w:val="2E6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2023-09-22T09:21:00Z</dcterms:created>
  <dc:creator>阳小茗</dc:creator>
  <cp:lastModifiedBy>阳小茗</cp:lastModifiedBy>
  <dcterms:modified xsi:type="dcterms:W3CDTF">2023-09-22T09:21:41Z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9C583BE953F846058CF60D9189352279_11</vt:lpwstr>
  </property>
</Properties>
</file>