
<file path=[Content_Types].xml><?xml version="1.0" encoding="utf-8"?>
<Types xmlns="http://schemas.openxmlformats.org/package/2006/content-types">
  <Default Extension="xml" ContentType="application/xml"/>
  <Default Extension="png" ContentType="image/png"/>
  <Default Extension="rels" ContentType="application/vnd.openxmlformats-package.relationships+xml"/>
  <Override PartName="/customXml/itemProps1.xml" ContentType="application/vnd.openxmlformats-officedocument.customXmlProperties+xml"/>
  <Override PartName="/docProps/app.xml" ContentType="application/vnd.openxmlformats-officedocument.extended-properties+xml"/>
  <Override PartName="/docProps/core.xml" ContentType="application/vnd.openxmlformats-package.core-properties+xml"/>
  <Override PartName="/docProps/custom.xml" ContentType="application/vnd.openxmlformats-officedocument.custom-properties+xml"/>
  <Override PartName="/word/document.xml" ContentType="application/vnd.openxmlformats-officedocument.wordprocessingml.document.main+xml"/>
  <Override PartName="/word/fontTable.xml" ContentType="application/vnd.openxmlformats-officedocument.wordprocessingml.fontTable+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footer4.xml" ContentType="application/vnd.openxmlformats-officedocument.wordprocessingml.footer+xml"/>
  <Override PartName="/word/numbering.xml" ContentType="application/vnd.openxmlformats-officedocument.wordprocessingml.numbering+xml"/>
  <Override PartName="/word/settings.xml" ContentType="application/vnd.openxmlformats-officedocument.wordprocessingml.settings+xml"/>
  <Override PartName="/word/styles.xml" ContentType="application/vnd.openxmlformats-officedocument.wordprocessingml.styles+xml"/>
  <Override PartName="/word/theme/theme1.xml" ContentType="application/vnd.openxmlformats-officedocument.theme+xml"/>
</Types>
</file>

<file path=_rels/.rels><?xml version="1.0" encoding="UTF-8" standalone="yes"?>
<Relationships xmlns="http://schemas.openxmlformats.org/package/2006/relationships"><Relationship Id="rId4" Type="http://schemas.openxmlformats.org/officeDocument/2006/relationships/officeDocument" Target="word/document.xml"/><Relationship Id="rId2" Type="http://schemas.openxmlformats.org/package/2006/relationships/metadata/core-properties" Target="docProps/core.xml"/><Relationship Id="rId1" Type="http://schemas.openxmlformats.org/officeDocument/2006/relationships/extended-properties" Target="docProps/app.xml"/><Relationship Id="rId3" Type="http://schemas.openxmlformats.org/officeDocument/2006/relationships/custom-properties" Target="docProps/custom.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http://schemas.openxmlformats.org/wordprocessingml/2006/main" xmlns:w14="http://schemas.microsoft.com/office/word/2010/wordml" xmlns:w10="urn:schemas-microsoft-com:office:word"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body>
    <w:p w14:paraId="22479614">
      <w:pPr>
        <w:spacing w:line="360" w:lineRule="auto"/>
        <w:ind w:firstLine="504" w:firstLineChars="200"/>
        <w:rPr>
          <w:rFonts w:ascii="宋体" w:hAnsi="宋体"/>
          <w:color w:val="auto"/>
          <w:spacing w:val="-34"/>
          <w:sz w:val="32"/>
          <w:szCs w:val="32"/>
          <w:highlight w:val="none"/>
        </w:rPr>
      </w:pPr>
    </w:p>
    <w:p w14:paraId="2F554307">
      <w:pPr>
        <w:spacing w:line="360" w:lineRule="auto"/>
        <w:jc w:val="center"/>
        <w:rPr>
          <w:rFonts w:ascii="宋体" w:hAnsi="宋体"/>
          <w:b/>
          <w:bCs/>
          <w:color w:val="auto"/>
          <w:sz w:val="48"/>
          <w:szCs w:val="48"/>
          <w:highlight w:val="none"/>
        </w:rPr>
      </w:pPr>
      <w:r>
        <w:rPr>
          <w:rFonts w:ascii="宋体" w:hAnsi="宋体"/>
          <w:b/>
          <w:bCs/>
          <w:color w:val="auto"/>
          <w:sz w:val="48"/>
          <w:szCs w:val="48"/>
          <w:highlight w:val="none"/>
        </w:rPr>
        <w:t>2024年崇川区钟秀街道老旧小区综合改造智慧技防建设工程</w:t>
      </w:r>
      <w:r>
        <w:rPr>
          <w:rFonts w:hint="eastAsia" w:ascii="宋体" w:hAnsi="宋体"/>
          <w:b/>
          <w:bCs/>
          <w:color w:val="auto"/>
          <w:sz w:val="48"/>
          <w:szCs w:val="48"/>
          <w:highlight w:val="none"/>
        </w:rPr>
        <w:t>施工</w:t>
      </w:r>
    </w:p>
    <w:p w14:paraId="74F926A3">
      <w:pPr>
        <w:spacing w:line="360" w:lineRule="auto"/>
        <w:ind w:firstLine="1044" w:firstLineChars="200"/>
        <w:jc w:val="center"/>
        <w:rPr>
          <w:rFonts w:ascii="宋体" w:hAnsi="宋体"/>
          <w:b/>
          <w:bCs/>
          <w:color w:val="auto"/>
          <w:sz w:val="52"/>
          <w:szCs w:val="52"/>
          <w:highlight w:val="none"/>
        </w:rPr>
      </w:pPr>
      <w:r>
        <w:rPr>
          <w:rFonts w:hint="eastAsia" w:ascii="宋体" w:hAnsi="宋体"/>
          <w:b/>
          <w:bCs/>
          <w:color w:val="auto"/>
          <w:sz w:val="52"/>
          <w:szCs w:val="52"/>
          <w:highlight w:val="none"/>
        </w:rPr>
        <w:t xml:space="preserve">                  </w:t>
      </w:r>
    </w:p>
    <w:p w14:paraId="154C4187">
      <w:pPr>
        <w:spacing w:line="360" w:lineRule="auto"/>
        <w:jc w:val="center"/>
        <w:rPr>
          <w:rFonts w:ascii="宋体" w:hAnsi="宋体"/>
          <w:b/>
          <w:bCs/>
          <w:color w:val="auto"/>
          <w:sz w:val="84"/>
          <w:szCs w:val="84"/>
          <w:highlight w:val="none"/>
          <w:u w:val="single"/>
        </w:rPr>
      </w:pPr>
      <w:r>
        <w:rPr>
          <w:rFonts w:ascii="宋体" w:hAnsi="宋体"/>
          <w:b/>
          <w:bCs/>
          <w:color w:val="auto"/>
          <w:sz w:val="84"/>
          <w:szCs w:val="84"/>
          <w:highlight w:val="none"/>
        </w:rPr>
        <w:t>招标文件</w:t>
      </w:r>
    </w:p>
    <w:p w14:paraId="297A8F1E">
      <w:pPr>
        <w:spacing w:line="360" w:lineRule="auto"/>
        <w:jc w:val="center"/>
        <w:rPr>
          <w:rFonts w:ascii="宋体" w:hAnsi="宋体"/>
          <w:b/>
          <w:bCs/>
          <w:color w:val="auto"/>
          <w:sz w:val="84"/>
          <w:szCs w:val="84"/>
          <w:highlight w:val="none"/>
          <w:u w:val="single"/>
        </w:rPr>
      </w:pPr>
      <w:r>
        <w:rPr>
          <w:rFonts w:ascii="宋体" w:hAnsi="宋体"/>
          <w:color w:val="auto"/>
          <w:sz w:val="36"/>
          <w:szCs w:val="36"/>
          <w:highlight w:val="none"/>
        </w:rPr>
        <w:t>（工程量清单计价）</w:t>
      </w:r>
    </w:p>
    <w:p w14:paraId="5DD138C7">
      <w:pPr>
        <w:spacing w:line="360" w:lineRule="auto"/>
        <w:jc w:val="center"/>
        <w:rPr>
          <w:rFonts w:ascii="宋体" w:hAnsi="宋体"/>
          <w:b/>
          <w:bCs/>
          <w:color w:val="auto"/>
          <w:sz w:val="84"/>
          <w:szCs w:val="84"/>
          <w:highlight w:val="none"/>
          <w:u w:val="single"/>
        </w:rPr>
      </w:pPr>
      <w:r>
        <w:rPr>
          <w:rFonts w:hint="eastAsia" w:ascii="宋体" w:hAnsi="宋体"/>
          <w:color w:val="auto"/>
          <w:sz w:val="32"/>
          <w:szCs w:val="32"/>
          <w:highlight w:val="none"/>
          <w:lang w:val="en-US" w:eastAsia="zh-CN"/>
        </w:rPr>
        <w:t>项目编号：xsj2024112901</w:t>
      </w:r>
      <w:r>
        <w:rPr>
          <w:rFonts w:hint="eastAsia" w:ascii="宋体" w:hAnsi="宋体"/>
          <w:color w:val="auto"/>
          <w:sz w:val="32"/>
          <w:szCs w:val="32"/>
          <w:highlight w:val="none"/>
        </w:rPr>
        <w:t xml:space="preserve"> </w:t>
      </w:r>
    </w:p>
    <w:p w14:paraId="3E7C240D">
      <w:pPr>
        <w:spacing w:line="360" w:lineRule="auto"/>
        <w:ind w:firstLine="500" w:firstLineChars="200"/>
        <w:jc w:val="center"/>
        <w:rPr>
          <w:rFonts w:ascii="宋体" w:hAnsi="宋体"/>
          <w:color w:val="auto"/>
          <w:sz w:val="25"/>
          <w:highlight w:val="none"/>
        </w:rPr>
      </w:pPr>
    </w:p>
    <w:p w14:paraId="3B7FE6EE">
      <w:pPr>
        <w:spacing w:line="360" w:lineRule="auto"/>
        <w:ind w:firstLine="500" w:firstLineChars="200"/>
        <w:jc w:val="center"/>
        <w:rPr>
          <w:rFonts w:ascii="宋体" w:hAnsi="宋体"/>
          <w:color w:val="auto"/>
          <w:sz w:val="25"/>
          <w:highlight w:val="none"/>
        </w:rPr>
      </w:pPr>
    </w:p>
    <w:p w14:paraId="34CB1AFE">
      <w:pPr>
        <w:spacing w:line="360" w:lineRule="auto"/>
        <w:ind w:firstLine="500" w:firstLineChars="200"/>
        <w:jc w:val="center"/>
        <w:rPr>
          <w:rFonts w:ascii="宋体" w:hAnsi="宋体"/>
          <w:color w:val="auto"/>
          <w:sz w:val="25"/>
          <w:highlight w:val="none"/>
        </w:rPr>
      </w:pPr>
    </w:p>
    <w:p w14:paraId="6ED756A4">
      <w:pPr>
        <w:spacing w:line="360" w:lineRule="auto"/>
        <w:ind w:firstLine="500" w:firstLineChars="200"/>
        <w:jc w:val="center"/>
        <w:rPr>
          <w:rFonts w:ascii="宋体" w:hAnsi="宋体"/>
          <w:color w:val="auto"/>
          <w:sz w:val="25"/>
          <w:highlight w:val="none"/>
        </w:rPr>
      </w:pPr>
    </w:p>
    <w:p w14:paraId="5623BFA6">
      <w:pPr>
        <w:spacing w:line="360" w:lineRule="auto"/>
        <w:ind w:firstLine="500" w:firstLineChars="200"/>
        <w:jc w:val="center"/>
        <w:rPr>
          <w:rFonts w:ascii="宋体" w:hAnsi="宋体"/>
          <w:color w:val="auto"/>
          <w:sz w:val="25"/>
          <w:highlight w:val="none"/>
        </w:rPr>
      </w:pPr>
    </w:p>
    <w:p w14:paraId="177FB13D">
      <w:pPr>
        <w:spacing w:line="360" w:lineRule="auto"/>
        <w:ind w:firstLine="500" w:firstLineChars="200"/>
        <w:jc w:val="center"/>
        <w:rPr>
          <w:rFonts w:ascii="宋体" w:hAnsi="宋体"/>
          <w:color w:val="auto"/>
          <w:sz w:val="25"/>
          <w:highlight w:val="none"/>
        </w:rPr>
      </w:pPr>
    </w:p>
    <w:p w14:paraId="18BF2D55">
      <w:pPr>
        <w:spacing w:line="360" w:lineRule="auto"/>
        <w:ind w:firstLine="500" w:firstLineChars="200"/>
        <w:jc w:val="center"/>
        <w:rPr>
          <w:rFonts w:ascii="宋体" w:hAnsi="宋体"/>
          <w:color w:val="auto"/>
          <w:sz w:val="25"/>
          <w:highlight w:val="none"/>
        </w:rPr>
      </w:pPr>
    </w:p>
    <w:p w14:paraId="5E79A32B">
      <w:pPr>
        <w:spacing w:line="360" w:lineRule="auto"/>
        <w:rPr>
          <w:rFonts w:ascii="宋体" w:hAnsi="宋体"/>
          <w:color w:val="auto"/>
          <w:sz w:val="25"/>
          <w:highlight w:val="none"/>
        </w:rPr>
      </w:pPr>
    </w:p>
    <w:p w14:paraId="7B75A260">
      <w:pPr>
        <w:spacing w:line="360" w:lineRule="auto"/>
        <w:jc w:val="center"/>
        <w:rPr>
          <w:rFonts w:ascii="宋体" w:hAnsi="宋体"/>
          <w:b/>
          <w:bCs/>
          <w:color w:val="auto"/>
          <w:sz w:val="32"/>
          <w:szCs w:val="32"/>
          <w:highlight w:val="none"/>
        </w:rPr>
      </w:pPr>
      <w:r>
        <w:rPr>
          <w:rFonts w:ascii="宋体" w:hAnsi="宋体"/>
          <w:b/>
          <w:bCs/>
          <w:color w:val="auto"/>
          <w:sz w:val="32"/>
          <w:szCs w:val="32"/>
          <w:highlight w:val="none"/>
        </w:rPr>
        <w:t>招标人：</w:t>
      </w:r>
      <w:r>
        <w:rPr>
          <w:rFonts w:hint="eastAsia" w:ascii="宋体" w:hAnsi="宋体"/>
          <w:b/>
          <w:bCs/>
          <w:color w:val="auto"/>
          <w:sz w:val="32"/>
          <w:szCs w:val="32"/>
          <w:highlight w:val="none"/>
        </w:rPr>
        <w:t>南通市崇川区钟秀街道办事处</w:t>
      </w:r>
    </w:p>
    <w:p w14:paraId="6AE34372">
      <w:pPr>
        <w:spacing w:line="360" w:lineRule="auto"/>
        <w:jc w:val="center"/>
        <w:rPr>
          <w:rFonts w:ascii="宋体" w:hAnsi="宋体"/>
          <w:b/>
          <w:bCs/>
          <w:color w:val="auto"/>
          <w:sz w:val="32"/>
          <w:szCs w:val="32"/>
          <w:highlight w:val="none"/>
        </w:rPr>
      </w:pPr>
      <w:r>
        <w:rPr>
          <w:rFonts w:hint="eastAsia" w:ascii="宋体" w:hAnsi="宋体"/>
          <w:b/>
          <w:bCs/>
          <w:color w:val="auto"/>
          <w:sz w:val="32"/>
          <w:szCs w:val="32"/>
          <w:highlight w:val="none"/>
        </w:rPr>
        <w:t>南通天一置业有限公司</w:t>
      </w:r>
    </w:p>
    <w:p w14:paraId="2B9F4EF2">
      <w:pPr>
        <w:spacing w:line="360" w:lineRule="auto"/>
        <w:jc w:val="center"/>
        <w:rPr>
          <w:rFonts w:ascii="宋体" w:hAnsi="宋体"/>
          <w:b/>
          <w:bCs/>
          <w:color w:val="auto"/>
          <w:sz w:val="32"/>
          <w:szCs w:val="32"/>
          <w:highlight w:val="none"/>
        </w:rPr>
      </w:pPr>
      <w:r>
        <w:rPr>
          <w:rFonts w:ascii="宋体" w:hAnsi="宋体"/>
          <w:b/>
          <w:bCs/>
          <w:color w:val="auto"/>
          <w:sz w:val="32"/>
          <w:szCs w:val="32"/>
          <w:highlight w:val="none"/>
        </w:rPr>
        <w:t>招标代理人：</w:t>
      </w:r>
      <w:r>
        <w:rPr>
          <w:rFonts w:hint="eastAsia" w:ascii="宋体" w:hAnsi="宋体"/>
          <w:b/>
          <w:bCs/>
          <w:color w:val="auto"/>
          <w:sz w:val="32"/>
          <w:szCs w:val="32"/>
          <w:highlight w:val="none"/>
        </w:rPr>
        <w:t>江苏新世纪工程项目管理有限公司</w:t>
      </w:r>
    </w:p>
    <w:p w14:paraId="19A46E5C">
      <w:pPr>
        <w:spacing w:line="360" w:lineRule="auto"/>
        <w:jc w:val="center"/>
        <w:rPr>
          <w:rFonts w:ascii="宋体" w:hAnsi="宋体"/>
          <w:b/>
          <w:bCs/>
          <w:color w:val="auto"/>
          <w:sz w:val="32"/>
          <w:szCs w:val="32"/>
          <w:highlight w:val="none"/>
        </w:rPr>
      </w:pPr>
      <w:r>
        <w:rPr>
          <w:rFonts w:ascii="宋体" w:hAnsi="宋体"/>
          <w:b/>
          <w:color w:val="auto"/>
          <w:sz w:val="32"/>
          <w:szCs w:val="32"/>
          <w:highlight w:val="none"/>
        </w:rPr>
        <w:t>二</w:t>
      </w:r>
      <w:r>
        <w:rPr>
          <w:rFonts w:hint="eastAsia" w:ascii="宋体" w:hAnsi="宋体"/>
          <w:b/>
          <w:color w:val="auto"/>
          <w:sz w:val="32"/>
          <w:szCs w:val="32"/>
          <w:highlight w:val="none"/>
        </w:rPr>
        <w:t>〇</w:t>
      </w:r>
      <w:r>
        <w:rPr>
          <w:rFonts w:ascii="宋体" w:hAnsi="宋体"/>
          <w:b/>
          <w:color w:val="auto"/>
          <w:sz w:val="32"/>
          <w:szCs w:val="32"/>
          <w:highlight w:val="none"/>
        </w:rPr>
        <w:t>二</w:t>
      </w:r>
      <w:r>
        <w:rPr>
          <w:rFonts w:hint="eastAsia" w:ascii="宋体" w:hAnsi="宋体"/>
          <w:b/>
          <w:color w:val="auto"/>
          <w:sz w:val="32"/>
          <w:szCs w:val="32"/>
          <w:highlight w:val="none"/>
        </w:rPr>
        <w:t>四年十一月</w:t>
      </w:r>
      <w:r>
        <w:rPr>
          <w:rFonts w:hint="eastAsia" w:ascii="宋体" w:hAnsi="宋体"/>
          <w:b/>
          <w:color w:val="auto"/>
          <w:sz w:val="32"/>
          <w:szCs w:val="32"/>
          <w:highlight w:val="none"/>
          <w:lang w:val="en-US" w:eastAsia="zh-CN"/>
        </w:rPr>
        <w:t>二十九</w:t>
      </w:r>
      <w:r>
        <w:rPr>
          <w:rFonts w:hint="eastAsia" w:ascii="宋体" w:hAnsi="宋体"/>
          <w:b/>
          <w:color w:val="auto"/>
          <w:sz w:val="32"/>
          <w:szCs w:val="32"/>
          <w:highlight w:val="none"/>
        </w:rPr>
        <w:t>日</w:t>
      </w:r>
      <w:bookmarkStart w:id="166" w:name="_GoBack"/>
      <w:bookmarkEnd w:id="166"/>
    </w:p>
    <w:p w14:paraId="542A8E18">
      <w:pPr>
        <w:pStyle w:val="2"/>
        <w:spacing w:line="360" w:lineRule="auto"/>
        <w:jc w:val="center"/>
        <w:rPr>
          <w:rFonts w:ascii="宋体" w:hAnsi="宋体"/>
          <w:b w:val="0"/>
          <w:color w:val="auto"/>
          <w:sz w:val="36"/>
          <w:highlight w:val="none"/>
        </w:rPr>
      </w:pPr>
      <w:bookmarkStart w:id="0" w:name="_Toc380681010"/>
      <w:bookmarkStart w:id="1" w:name="_Toc380680177"/>
      <w:bookmarkStart w:id="2" w:name="_Toc380680817"/>
      <w:bookmarkStart w:id="3" w:name="_Toc465181333"/>
      <w:bookmarkStart w:id="4" w:name="_Toc380681229"/>
      <w:r>
        <w:rPr>
          <w:rFonts w:ascii="宋体" w:hAnsi="宋体"/>
          <w:b w:val="0"/>
          <w:color w:val="auto"/>
          <w:sz w:val="36"/>
          <w:highlight w:val="none"/>
        </w:rPr>
        <w:t>工程招标文件备案表</w:t>
      </w:r>
      <w:bookmarkEnd w:id="0"/>
      <w:bookmarkEnd w:id="1"/>
      <w:bookmarkEnd w:id="2"/>
      <w:bookmarkEnd w:id="3"/>
      <w:bookmarkEnd w:id="4"/>
    </w:p>
    <w:tbl>
      <w:tblPr>
        <w:tblStyle w:val="17"/>
        <w:tblW w:w="8860" w:type="dxa"/>
        <w:tblInd w:w="392" w:type="dxa"/>
        <w:tblBorders>
          <w:top w:val="single" w:color="auto" w:sz="4" w:space="0"/>
          <w:left w:val="single" w:color="auto" w:sz="4" w:space="0"/>
          <w:bottom w:val="single" w:color="auto" w:sz="4" w:space="0"/>
          <w:right w:val="single" w:color="auto" w:sz="4" w:space="0"/>
          <w:insideH w:val="none" w:color="auto" w:sz="0" w:space="0"/>
          <w:insideV w:val="none" w:color="auto" w:sz="0" w:space="0"/>
        </w:tblBorders>
        <w:tblLayout w:type="fixed"/>
        <w:tblCellMar>
          <w:top w:w="0" w:type="dxa"/>
          <w:left w:w="108" w:type="dxa"/>
          <w:bottom w:w="0" w:type="dxa"/>
          <w:right w:w="108" w:type="dxa"/>
        </w:tblCellMar>
      </w:tblPr>
      <w:tblGrid>
        <w:gridCol w:w="8860"/>
      </w:tblGrid>
      <w:tr w14:paraId="613D98C6">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0" w:hRule="atLeast"/>
        </w:trPr>
        <w:tc>
          <w:tcPr>
            <w:tcW w:w="8860" w:type="dxa"/>
            <w:tcBorders>
              <w:top w:val="single" w:color="auto" w:sz="4" w:space="0"/>
              <w:left w:val="single" w:color="auto" w:sz="4" w:space="0"/>
              <w:bottom w:val="single" w:color="auto" w:sz="4" w:space="0"/>
              <w:right w:val="single" w:color="auto" w:sz="4" w:space="0"/>
            </w:tcBorders>
          </w:tcPr>
          <w:p w14:paraId="7F9A2447">
            <w:pPr>
              <w:spacing w:line="360" w:lineRule="auto"/>
              <w:ind w:firstLine="500" w:firstLineChars="200"/>
              <w:rPr>
                <w:rFonts w:ascii="宋体" w:hAnsi="宋体"/>
                <w:color w:val="auto"/>
                <w:sz w:val="25"/>
                <w:highlight w:val="none"/>
              </w:rPr>
            </w:pPr>
          </w:p>
          <w:p w14:paraId="576EB7C5">
            <w:pPr>
              <w:spacing w:line="360" w:lineRule="auto"/>
              <w:ind w:firstLine="560" w:firstLineChars="200"/>
              <w:jc w:val="center"/>
              <w:rPr>
                <w:rFonts w:ascii="宋体" w:hAnsi="宋体"/>
                <w:color w:val="auto"/>
                <w:sz w:val="28"/>
                <w:szCs w:val="28"/>
                <w:highlight w:val="none"/>
              </w:rPr>
            </w:pPr>
            <w:r>
              <w:rPr>
                <w:rFonts w:hint="eastAsia" w:ascii="宋体" w:hAnsi="宋体"/>
                <w:color w:val="auto"/>
                <w:sz w:val="28"/>
                <w:szCs w:val="28"/>
                <w:highlight w:val="none"/>
              </w:rPr>
              <w:t xml:space="preserve"> </w:t>
            </w:r>
            <w:r>
              <w:rPr>
                <w:rFonts w:ascii="宋体" w:hAnsi="宋体"/>
                <w:color w:val="auto"/>
                <w:sz w:val="28"/>
                <w:szCs w:val="28"/>
                <w:highlight w:val="none"/>
              </w:rPr>
              <w:t xml:space="preserve">      编制人：</w:t>
            </w:r>
            <w:r>
              <w:rPr>
                <w:rFonts w:hint="eastAsia" w:ascii="宋体" w:hAnsi="宋体"/>
                <w:color w:val="auto"/>
                <w:sz w:val="28"/>
                <w:szCs w:val="28"/>
                <w:highlight w:val="none"/>
              </w:rPr>
              <w:t>薛守银</w:t>
            </w:r>
          </w:p>
          <w:p w14:paraId="4D8CE3B2">
            <w:pPr>
              <w:spacing w:line="360" w:lineRule="auto"/>
              <w:ind w:firstLine="560" w:firstLineChars="200"/>
              <w:rPr>
                <w:rFonts w:ascii="宋体" w:hAnsi="宋体"/>
                <w:color w:val="auto"/>
                <w:sz w:val="28"/>
                <w:szCs w:val="28"/>
                <w:highlight w:val="none"/>
              </w:rPr>
            </w:pPr>
            <w:r>
              <w:rPr>
                <w:rFonts w:ascii="宋体" w:hAnsi="宋体"/>
                <w:color w:val="auto"/>
                <w:sz w:val="28"/>
                <w:szCs w:val="28"/>
                <w:highlight w:val="none"/>
              </w:rPr>
              <w:t>　</w:t>
            </w:r>
          </w:p>
          <w:p w14:paraId="3108096B">
            <w:pPr>
              <w:spacing w:line="360" w:lineRule="auto"/>
              <w:ind w:firstLine="560" w:firstLineChars="200"/>
              <w:rPr>
                <w:rFonts w:ascii="宋体" w:hAnsi="宋体"/>
                <w:color w:val="auto"/>
                <w:sz w:val="28"/>
                <w:szCs w:val="28"/>
                <w:highlight w:val="none"/>
              </w:rPr>
            </w:pPr>
          </w:p>
          <w:p w14:paraId="1C5E1AFA">
            <w:pPr>
              <w:spacing w:line="360" w:lineRule="auto"/>
              <w:ind w:right="840" w:firstLine="560" w:firstLineChars="200"/>
              <w:jc w:val="right"/>
              <w:rPr>
                <w:rFonts w:ascii="宋体" w:hAnsi="宋体"/>
                <w:color w:val="auto"/>
                <w:sz w:val="25"/>
                <w:highlight w:val="none"/>
              </w:rPr>
            </w:pPr>
            <w:r>
              <w:rPr>
                <w:rFonts w:ascii="宋体" w:hAnsi="宋体"/>
                <w:color w:val="auto"/>
                <w:sz w:val="28"/>
                <w:szCs w:val="28"/>
                <w:highlight w:val="none"/>
              </w:rPr>
              <w:t>日期：202</w:t>
            </w:r>
            <w:r>
              <w:rPr>
                <w:rFonts w:hint="eastAsia" w:ascii="宋体" w:hAnsi="宋体"/>
                <w:color w:val="auto"/>
                <w:sz w:val="28"/>
                <w:szCs w:val="28"/>
                <w:highlight w:val="none"/>
              </w:rPr>
              <w:t>4</w:t>
            </w:r>
            <w:r>
              <w:rPr>
                <w:rFonts w:ascii="宋体" w:hAnsi="宋体"/>
                <w:color w:val="auto"/>
                <w:sz w:val="28"/>
                <w:szCs w:val="28"/>
                <w:highlight w:val="none"/>
              </w:rPr>
              <w:t>年</w:t>
            </w:r>
            <w:r>
              <w:rPr>
                <w:rFonts w:hint="eastAsia" w:ascii="宋体" w:hAnsi="宋体"/>
                <w:color w:val="auto"/>
                <w:sz w:val="28"/>
                <w:szCs w:val="28"/>
                <w:highlight w:val="none"/>
              </w:rPr>
              <w:t xml:space="preserve">  </w:t>
            </w:r>
            <w:r>
              <w:rPr>
                <w:rFonts w:ascii="宋体" w:hAnsi="宋体"/>
                <w:color w:val="auto"/>
                <w:sz w:val="28"/>
                <w:szCs w:val="28"/>
                <w:highlight w:val="none"/>
              </w:rPr>
              <w:t>月</w:t>
            </w:r>
            <w:r>
              <w:rPr>
                <w:rFonts w:hint="eastAsia" w:ascii="宋体" w:hAnsi="宋体"/>
                <w:color w:val="auto"/>
                <w:sz w:val="28"/>
                <w:szCs w:val="28"/>
                <w:highlight w:val="none"/>
              </w:rPr>
              <w:t xml:space="preserve">  </w:t>
            </w:r>
            <w:r>
              <w:rPr>
                <w:rFonts w:ascii="宋体" w:hAnsi="宋体"/>
                <w:color w:val="auto"/>
                <w:sz w:val="28"/>
                <w:szCs w:val="28"/>
                <w:highlight w:val="none"/>
              </w:rPr>
              <w:t>日</w:t>
            </w:r>
          </w:p>
        </w:tc>
      </w:tr>
      <w:tr w14:paraId="2E61A06D">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0" w:hRule="atLeast"/>
        </w:trPr>
        <w:tc>
          <w:tcPr>
            <w:tcW w:w="8860" w:type="dxa"/>
            <w:tcBorders>
              <w:top w:val="single" w:color="auto" w:sz="4" w:space="0"/>
              <w:left w:val="single" w:color="auto" w:sz="4" w:space="0"/>
              <w:bottom w:val="single" w:color="auto" w:sz="4" w:space="0"/>
              <w:right w:val="single" w:color="auto" w:sz="4" w:space="0"/>
            </w:tcBorders>
          </w:tcPr>
          <w:p w14:paraId="131AC75D">
            <w:pPr>
              <w:spacing w:line="360" w:lineRule="auto"/>
              <w:ind w:firstLine="560" w:firstLineChars="200"/>
              <w:rPr>
                <w:rFonts w:ascii="宋体" w:hAnsi="宋体"/>
                <w:color w:val="auto"/>
                <w:sz w:val="28"/>
                <w:szCs w:val="28"/>
                <w:highlight w:val="none"/>
              </w:rPr>
            </w:pPr>
          </w:p>
          <w:p w14:paraId="055EEFB0">
            <w:pPr>
              <w:spacing w:line="360" w:lineRule="auto"/>
              <w:ind w:firstLine="560" w:firstLineChars="200"/>
              <w:rPr>
                <w:rFonts w:ascii="宋体" w:hAnsi="宋体"/>
                <w:color w:val="auto"/>
                <w:sz w:val="28"/>
                <w:szCs w:val="28"/>
                <w:highlight w:val="none"/>
              </w:rPr>
            </w:pPr>
          </w:p>
          <w:p w14:paraId="261DEF8E">
            <w:pPr>
              <w:spacing w:line="360" w:lineRule="auto"/>
              <w:ind w:firstLine="560" w:firstLineChars="200"/>
              <w:rPr>
                <w:rFonts w:ascii="宋体" w:hAnsi="宋体"/>
                <w:color w:val="auto"/>
                <w:sz w:val="28"/>
                <w:szCs w:val="28"/>
                <w:highlight w:val="none"/>
              </w:rPr>
            </w:pPr>
          </w:p>
          <w:p w14:paraId="657BF266">
            <w:pPr>
              <w:spacing w:line="360" w:lineRule="auto"/>
              <w:ind w:firstLine="560" w:firstLineChars="200"/>
              <w:rPr>
                <w:rFonts w:ascii="宋体" w:hAnsi="宋体"/>
                <w:color w:val="auto"/>
                <w:sz w:val="28"/>
                <w:szCs w:val="28"/>
                <w:highlight w:val="none"/>
              </w:rPr>
            </w:pPr>
            <w:r>
              <w:rPr>
                <w:rFonts w:ascii="宋体" w:hAnsi="宋体"/>
                <w:color w:val="auto"/>
                <w:sz w:val="28"/>
                <w:szCs w:val="28"/>
                <w:highlight w:val="none"/>
              </w:rPr>
              <w:t>招标人(盖章)             　法定代表人(签字或盖章)</w:t>
            </w:r>
          </w:p>
          <w:p w14:paraId="5F0F2EC2">
            <w:pPr>
              <w:spacing w:line="360" w:lineRule="auto"/>
              <w:ind w:firstLine="560" w:firstLineChars="200"/>
              <w:rPr>
                <w:rFonts w:ascii="宋体" w:hAnsi="宋体"/>
                <w:color w:val="auto"/>
                <w:sz w:val="28"/>
                <w:szCs w:val="28"/>
                <w:highlight w:val="none"/>
              </w:rPr>
            </w:pPr>
          </w:p>
          <w:p w14:paraId="6481C468">
            <w:pPr>
              <w:spacing w:line="360" w:lineRule="auto"/>
              <w:ind w:firstLine="560" w:firstLineChars="200"/>
              <w:rPr>
                <w:rFonts w:ascii="宋体" w:hAnsi="宋体"/>
                <w:color w:val="auto"/>
                <w:sz w:val="28"/>
                <w:szCs w:val="28"/>
                <w:highlight w:val="none"/>
              </w:rPr>
            </w:pPr>
          </w:p>
          <w:p w14:paraId="6158B441">
            <w:pPr>
              <w:spacing w:line="360" w:lineRule="auto"/>
              <w:ind w:firstLine="560" w:firstLineChars="200"/>
              <w:rPr>
                <w:rFonts w:ascii="宋体" w:hAnsi="宋体"/>
                <w:color w:val="auto"/>
                <w:sz w:val="28"/>
                <w:szCs w:val="28"/>
                <w:highlight w:val="none"/>
              </w:rPr>
            </w:pPr>
          </w:p>
          <w:p w14:paraId="2307FFBA">
            <w:pPr>
              <w:spacing w:line="360" w:lineRule="auto"/>
              <w:ind w:firstLine="560" w:firstLineChars="200"/>
              <w:rPr>
                <w:rFonts w:ascii="宋体" w:hAnsi="宋体"/>
                <w:color w:val="auto"/>
                <w:sz w:val="28"/>
                <w:szCs w:val="28"/>
                <w:highlight w:val="none"/>
              </w:rPr>
            </w:pPr>
          </w:p>
          <w:p w14:paraId="04EA3B72">
            <w:pPr>
              <w:spacing w:line="360" w:lineRule="auto"/>
              <w:ind w:firstLine="560" w:firstLineChars="200"/>
              <w:rPr>
                <w:rFonts w:ascii="宋体" w:hAnsi="宋体"/>
                <w:color w:val="auto"/>
                <w:sz w:val="28"/>
                <w:szCs w:val="28"/>
                <w:highlight w:val="none"/>
              </w:rPr>
            </w:pPr>
            <w:r>
              <w:rPr>
                <w:rFonts w:ascii="宋体" w:hAnsi="宋体"/>
                <w:color w:val="auto"/>
                <w:sz w:val="28"/>
                <w:szCs w:val="28"/>
                <w:highlight w:val="none"/>
              </w:rPr>
              <w:t>招标代理机构(盖章)         法定代表人(签字或盖章)</w:t>
            </w:r>
          </w:p>
          <w:p w14:paraId="28F732B9">
            <w:pPr>
              <w:spacing w:line="360" w:lineRule="auto"/>
              <w:ind w:right="840" w:firstLine="560" w:firstLineChars="200"/>
              <w:jc w:val="right"/>
              <w:rPr>
                <w:rFonts w:ascii="宋体" w:hAnsi="宋体"/>
                <w:color w:val="auto"/>
                <w:sz w:val="28"/>
                <w:szCs w:val="28"/>
                <w:highlight w:val="none"/>
              </w:rPr>
            </w:pPr>
            <w:r>
              <w:rPr>
                <w:rFonts w:ascii="宋体" w:hAnsi="宋体"/>
                <w:color w:val="auto"/>
                <w:sz w:val="28"/>
                <w:szCs w:val="28"/>
                <w:highlight w:val="none"/>
              </w:rPr>
              <w:t>日期：202</w:t>
            </w:r>
            <w:r>
              <w:rPr>
                <w:rFonts w:hint="eastAsia" w:ascii="宋体" w:hAnsi="宋体"/>
                <w:color w:val="auto"/>
                <w:sz w:val="28"/>
                <w:szCs w:val="28"/>
                <w:highlight w:val="none"/>
              </w:rPr>
              <w:t>4</w:t>
            </w:r>
            <w:r>
              <w:rPr>
                <w:rFonts w:ascii="宋体" w:hAnsi="宋体"/>
                <w:color w:val="auto"/>
                <w:sz w:val="28"/>
                <w:szCs w:val="28"/>
                <w:highlight w:val="none"/>
              </w:rPr>
              <w:t>年</w:t>
            </w:r>
            <w:r>
              <w:rPr>
                <w:rFonts w:hint="eastAsia" w:ascii="宋体" w:hAnsi="宋体"/>
                <w:color w:val="auto"/>
                <w:sz w:val="28"/>
                <w:szCs w:val="28"/>
                <w:highlight w:val="none"/>
              </w:rPr>
              <w:t xml:space="preserve">  </w:t>
            </w:r>
            <w:r>
              <w:rPr>
                <w:rFonts w:ascii="宋体" w:hAnsi="宋体"/>
                <w:color w:val="auto"/>
                <w:sz w:val="28"/>
                <w:szCs w:val="28"/>
                <w:highlight w:val="none"/>
              </w:rPr>
              <w:t>月</w:t>
            </w:r>
            <w:r>
              <w:rPr>
                <w:rFonts w:hint="eastAsia" w:ascii="宋体" w:hAnsi="宋体"/>
                <w:color w:val="auto"/>
                <w:sz w:val="28"/>
                <w:szCs w:val="28"/>
                <w:highlight w:val="none"/>
              </w:rPr>
              <w:t xml:space="preserve">  </w:t>
            </w:r>
            <w:r>
              <w:rPr>
                <w:rFonts w:ascii="宋体" w:hAnsi="宋体"/>
                <w:color w:val="auto"/>
                <w:sz w:val="28"/>
                <w:szCs w:val="28"/>
                <w:highlight w:val="none"/>
              </w:rPr>
              <w:t>日</w:t>
            </w:r>
          </w:p>
        </w:tc>
      </w:tr>
      <w:tr w14:paraId="3E89D39E">
        <w:tblPrEx>
          <w:tblBorders>
            <w:top w:val="single" w:color="auto" w:sz="4" w:space="0"/>
            <w:left w:val="single" w:color="auto" w:sz="4" w:space="0"/>
            <w:bottom w:val="single" w:color="auto" w:sz="4" w:space="0"/>
            <w:right w:val="single" w:color="auto" w:sz="4" w:space="0"/>
            <w:insideH w:val="none" w:color="auto" w:sz="0" w:space="0"/>
            <w:insideV w:val="none" w:color="auto" w:sz="0" w:space="0"/>
          </w:tblBorders>
          <w:tblCellMar>
            <w:top w:w="0" w:type="dxa"/>
            <w:left w:w="108" w:type="dxa"/>
            <w:bottom w:w="0" w:type="dxa"/>
            <w:right w:w="108" w:type="dxa"/>
          </w:tblCellMar>
        </w:tblPrEx>
        <w:trPr>
          <w:trHeight w:val="90" w:hRule="atLeast"/>
        </w:trPr>
        <w:tc>
          <w:tcPr>
            <w:tcW w:w="8860" w:type="dxa"/>
            <w:tcBorders>
              <w:top w:val="single" w:color="auto" w:sz="4" w:space="0"/>
              <w:left w:val="single" w:color="auto" w:sz="4" w:space="0"/>
              <w:bottom w:val="single" w:color="auto" w:sz="4" w:space="0"/>
              <w:right w:val="single" w:color="auto" w:sz="4" w:space="0"/>
            </w:tcBorders>
          </w:tcPr>
          <w:p w14:paraId="7254386E">
            <w:pPr>
              <w:spacing w:line="360" w:lineRule="auto"/>
              <w:rPr>
                <w:rFonts w:ascii="宋体" w:hAnsi="宋体"/>
                <w:color w:val="auto"/>
                <w:sz w:val="28"/>
                <w:szCs w:val="28"/>
                <w:highlight w:val="none"/>
              </w:rPr>
            </w:pPr>
          </w:p>
          <w:p w14:paraId="2405D510">
            <w:pPr>
              <w:spacing w:line="360" w:lineRule="auto"/>
              <w:rPr>
                <w:rFonts w:ascii="宋体" w:hAnsi="宋体"/>
                <w:color w:val="auto"/>
                <w:sz w:val="28"/>
                <w:szCs w:val="28"/>
                <w:highlight w:val="none"/>
              </w:rPr>
            </w:pPr>
          </w:p>
          <w:p w14:paraId="34B0FA69">
            <w:pPr>
              <w:spacing w:line="360" w:lineRule="auto"/>
              <w:ind w:firstLine="560" w:firstLineChars="200"/>
              <w:jc w:val="center"/>
              <w:rPr>
                <w:rFonts w:ascii="宋体" w:hAnsi="宋体"/>
                <w:color w:val="auto"/>
                <w:sz w:val="28"/>
                <w:szCs w:val="28"/>
                <w:highlight w:val="none"/>
              </w:rPr>
            </w:pPr>
          </w:p>
          <w:p w14:paraId="04835CC0">
            <w:pPr>
              <w:spacing w:line="360" w:lineRule="auto"/>
              <w:ind w:firstLine="560" w:firstLineChars="200"/>
              <w:jc w:val="center"/>
              <w:rPr>
                <w:rFonts w:ascii="宋体" w:hAnsi="宋体"/>
                <w:color w:val="auto"/>
                <w:sz w:val="28"/>
                <w:szCs w:val="28"/>
                <w:highlight w:val="none"/>
              </w:rPr>
            </w:pPr>
          </w:p>
        </w:tc>
      </w:tr>
    </w:tbl>
    <w:p w14:paraId="48883222">
      <w:pPr>
        <w:pStyle w:val="2"/>
        <w:spacing w:line="360" w:lineRule="auto"/>
        <w:ind w:firstLine="723" w:firstLineChars="200"/>
        <w:jc w:val="center"/>
        <w:rPr>
          <w:rFonts w:ascii="宋体" w:hAnsi="宋体"/>
          <w:color w:val="auto"/>
          <w:sz w:val="36"/>
          <w:highlight w:val="none"/>
        </w:rPr>
      </w:pPr>
      <w:r>
        <w:rPr>
          <w:rFonts w:ascii="宋体" w:hAnsi="宋体"/>
          <w:color w:val="auto"/>
          <w:sz w:val="36"/>
          <w:highlight w:val="none"/>
        </w:rPr>
        <w:br w:type="page"/>
      </w:r>
      <w:bookmarkStart w:id="5" w:name="_Toc380680818"/>
      <w:bookmarkStart w:id="6" w:name="_Toc380680178"/>
      <w:bookmarkStart w:id="7" w:name="_Toc380681011"/>
      <w:bookmarkStart w:id="8" w:name="_Toc465181334"/>
      <w:bookmarkStart w:id="9" w:name="_Toc380681230"/>
      <w:r>
        <w:rPr>
          <w:rFonts w:ascii="宋体" w:hAnsi="宋体"/>
          <w:color w:val="auto"/>
          <w:sz w:val="36"/>
          <w:highlight w:val="none"/>
        </w:rPr>
        <w:t>第一章</w:t>
      </w:r>
      <w:r>
        <w:rPr>
          <w:rFonts w:hint="eastAsia" w:ascii="宋体" w:hAnsi="宋体"/>
          <w:color w:val="auto"/>
          <w:sz w:val="36"/>
          <w:highlight w:val="none"/>
        </w:rPr>
        <w:t xml:space="preserve"> </w:t>
      </w:r>
      <w:r>
        <w:rPr>
          <w:rFonts w:ascii="宋体" w:hAnsi="宋体"/>
          <w:color w:val="auto"/>
          <w:sz w:val="36"/>
          <w:highlight w:val="none"/>
        </w:rPr>
        <w:t>投标人须知及投标人须知前附表</w:t>
      </w:r>
      <w:bookmarkEnd w:id="5"/>
      <w:bookmarkEnd w:id="6"/>
      <w:bookmarkEnd w:id="7"/>
      <w:bookmarkEnd w:id="8"/>
      <w:bookmarkEnd w:id="9"/>
    </w:p>
    <w:p w14:paraId="2BF8251C">
      <w:pPr>
        <w:pStyle w:val="3"/>
        <w:spacing w:line="360" w:lineRule="auto"/>
        <w:ind w:firstLine="602" w:firstLineChars="200"/>
        <w:jc w:val="center"/>
        <w:rPr>
          <w:rFonts w:ascii="宋体" w:hAnsi="宋体" w:eastAsia="宋体"/>
          <w:color w:val="auto"/>
          <w:sz w:val="25"/>
          <w:highlight w:val="none"/>
        </w:rPr>
      </w:pPr>
      <w:bookmarkStart w:id="10" w:name="_Toc380680179"/>
      <w:bookmarkStart w:id="11" w:name="_Toc380681231"/>
      <w:bookmarkStart w:id="12" w:name="_Toc380681012"/>
      <w:bookmarkStart w:id="13" w:name="_Toc380680819"/>
      <w:r>
        <w:rPr>
          <w:rFonts w:ascii="宋体" w:hAnsi="宋体" w:eastAsia="宋体"/>
          <w:color w:val="auto"/>
          <w:sz w:val="30"/>
          <w:highlight w:val="none"/>
        </w:rPr>
        <w:t>一、投标人须知前附表</w:t>
      </w:r>
      <w:bookmarkEnd w:id="10"/>
      <w:bookmarkEnd w:id="11"/>
      <w:bookmarkEnd w:id="12"/>
      <w:bookmarkEnd w:id="13"/>
    </w:p>
    <w:tbl>
      <w:tblPr>
        <w:tblStyle w:val="17"/>
        <w:tblW w:w="9394" w:type="dxa"/>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14"/>
        <w:gridCol w:w="992"/>
        <w:gridCol w:w="1701"/>
        <w:gridCol w:w="5887"/>
      </w:tblGrid>
      <w:tr w14:paraId="0899243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tblHeader/>
          <w:jc w:val="center"/>
        </w:trPr>
        <w:tc>
          <w:tcPr>
            <w:tcW w:w="814" w:type="dxa"/>
            <w:vAlign w:val="center"/>
          </w:tcPr>
          <w:p w14:paraId="69B46615">
            <w:pPr>
              <w:spacing w:line="360" w:lineRule="auto"/>
              <w:ind w:left="26"/>
              <w:rPr>
                <w:rFonts w:ascii="宋体" w:hAnsi="宋体"/>
                <w:b/>
                <w:color w:val="auto"/>
                <w:sz w:val="24"/>
                <w:highlight w:val="none"/>
              </w:rPr>
            </w:pPr>
            <w:r>
              <w:rPr>
                <w:rFonts w:ascii="宋体" w:hAnsi="宋体"/>
                <w:b/>
                <w:color w:val="auto"/>
                <w:sz w:val="24"/>
                <w:highlight w:val="none"/>
              </w:rPr>
              <w:t>项号</w:t>
            </w:r>
          </w:p>
        </w:tc>
        <w:tc>
          <w:tcPr>
            <w:tcW w:w="992" w:type="dxa"/>
            <w:vAlign w:val="center"/>
          </w:tcPr>
          <w:p w14:paraId="48BD1556">
            <w:pPr>
              <w:spacing w:line="360" w:lineRule="auto"/>
              <w:rPr>
                <w:rFonts w:ascii="宋体" w:hAnsi="宋体"/>
                <w:b/>
                <w:color w:val="auto"/>
                <w:sz w:val="24"/>
                <w:highlight w:val="none"/>
              </w:rPr>
            </w:pPr>
            <w:r>
              <w:rPr>
                <w:rFonts w:ascii="宋体" w:hAnsi="宋体"/>
                <w:b/>
                <w:color w:val="auto"/>
                <w:sz w:val="24"/>
                <w:highlight w:val="none"/>
              </w:rPr>
              <w:t>条款号</w:t>
            </w:r>
          </w:p>
        </w:tc>
        <w:tc>
          <w:tcPr>
            <w:tcW w:w="1701" w:type="dxa"/>
            <w:vAlign w:val="center"/>
          </w:tcPr>
          <w:p w14:paraId="18E858B0">
            <w:pPr>
              <w:spacing w:line="360" w:lineRule="auto"/>
              <w:jc w:val="center"/>
              <w:rPr>
                <w:rFonts w:ascii="宋体" w:hAnsi="宋体"/>
                <w:b/>
                <w:color w:val="auto"/>
                <w:sz w:val="24"/>
                <w:highlight w:val="none"/>
              </w:rPr>
            </w:pPr>
            <w:r>
              <w:rPr>
                <w:rFonts w:ascii="宋体" w:hAnsi="宋体"/>
                <w:b/>
                <w:color w:val="auto"/>
                <w:sz w:val="24"/>
                <w:highlight w:val="none"/>
              </w:rPr>
              <w:t>内容</w:t>
            </w:r>
          </w:p>
        </w:tc>
        <w:tc>
          <w:tcPr>
            <w:tcW w:w="5887" w:type="dxa"/>
            <w:vAlign w:val="center"/>
          </w:tcPr>
          <w:p w14:paraId="249F269D">
            <w:pPr>
              <w:spacing w:line="360" w:lineRule="auto"/>
              <w:jc w:val="center"/>
              <w:rPr>
                <w:rFonts w:ascii="宋体" w:hAnsi="宋体"/>
                <w:b/>
                <w:color w:val="auto"/>
                <w:sz w:val="24"/>
                <w:highlight w:val="none"/>
              </w:rPr>
            </w:pPr>
            <w:r>
              <w:rPr>
                <w:rFonts w:ascii="宋体" w:hAnsi="宋体"/>
                <w:b/>
                <w:color w:val="auto"/>
                <w:sz w:val="24"/>
                <w:highlight w:val="none"/>
              </w:rPr>
              <w:t>说明与要求</w:t>
            </w:r>
          </w:p>
        </w:tc>
      </w:tr>
      <w:tr w14:paraId="536627B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14" w:type="dxa"/>
            <w:vAlign w:val="center"/>
          </w:tcPr>
          <w:p w14:paraId="760FEB68">
            <w:pPr>
              <w:spacing w:line="360" w:lineRule="auto"/>
              <w:jc w:val="center"/>
              <w:rPr>
                <w:rFonts w:ascii="宋体" w:hAnsi="宋体"/>
                <w:color w:val="auto"/>
                <w:sz w:val="24"/>
                <w:highlight w:val="none"/>
              </w:rPr>
            </w:pPr>
            <w:r>
              <w:rPr>
                <w:rFonts w:ascii="宋体" w:hAnsi="宋体"/>
                <w:color w:val="auto"/>
                <w:sz w:val="24"/>
                <w:highlight w:val="none"/>
              </w:rPr>
              <w:t>1</w:t>
            </w:r>
          </w:p>
        </w:tc>
        <w:tc>
          <w:tcPr>
            <w:tcW w:w="992" w:type="dxa"/>
            <w:vAlign w:val="center"/>
          </w:tcPr>
          <w:p w14:paraId="5BC6FE46">
            <w:pPr>
              <w:spacing w:line="360" w:lineRule="auto"/>
              <w:jc w:val="center"/>
              <w:rPr>
                <w:rFonts w:ascii="宋体" w:hAnsi="宋体"/>
                <w:color w:val="auto"/>
                <w:sz w:val="24"/>
                <w:highlight w:val="none"/>
              </w:rPr>
            </w:pPr>
            <w:r>
              <w:rPr>
                <w:rFonts w:ascii="宋体" w:hAnsi="宋体"/>
                <w:color w:val="auto"/>
                <w:sz w:val="24"/>
                <w:highlight w:val="none"/>
              </w:rPr>
              <w:t>1.1</w:t>
            </w:r>
          </w:p>
        </w:tc>
        <w:tc>
          <w:tcPr>
            <w:tcW w:w="1701" w:type="dxa"/>
            <w:vAlign w:val="center"/>
          </w:tcPr>
          <w:p w14:paraId="7C15A941">
            <w:pPr>
              <w:spacing w:line="360" w:lineRule="auto"/>
              <w:jc w:val="center"/>
              <w:rPr>
                <w:rFonts w:ascii="宋体" w:hAnsi="宋体"/>
                <w:color w:val="auto"/>
                <w:sz w:val="24"/>
                <w:highlight w:val="none"/>
              </w:rPr>
            </w:pPr>
            <w:r>
              <w:rPr>
                <w:rFonts w:ascii="宋体" w:hAnsi="宋体"/>
                <w:color w:val="auto"/>
                <w:sz w:val="24"/>
                <w:highlight w:val="none"/>
              </w:rPr>
              <w:t>工程名称</w:t>
            </w:r>
          </w:p>
        </w:tc>
        <w:tc>
          <w:tcPr>
            <w:tcW w:w="5887" w:type="dxa"/>
            <w:vAlign w:val="center"/>
          </w:tcPr>
          <w:p w14:paraId="660B1D0B">
            <w:pPr>
              <w:spacing w:line="360" w:lineRule="auto"/>
              <w:rPr>
                <w:rFonts w:ascii="宋体" w:hAnsi="宋体"/>
                <w:color w:val="auto"/>
                <w:sz w:val="24"/>
                <w:highlight w:val="none"/>
              </w:rPr>
            </w:pPr>
            <w:r>
              <w:rPr>
                <w:rFonts w:hint="eastAsia" w:ascii="宋体" w:hAnsi="宋体"/>
                <w:color w:val="auto"/>
                <w:sz w:val="24"/>
                <w:highlight w:val="none"/>
              </w:rPr>
              <w:t>2024年崇川区钟秀街道老旧小区综合改造智慧技防建设工程施工</w:t>
            </w:r>
          </w:p>
        </w:tc>
      </w:tr>
      <w:tr w14:paraId="5D56F89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14" w:type="dxa"/>
            <w:vAlign w:val="center"/>
          </w:tcPr>
          <w:p w14:paraId="110E1623">
            <w:pPr>
              <w:spacing w:line="360" w:lineRule="auto"/>
              <w:jc w:val="center"/>
              <w:rPr>
                <w:rFonts w:ascii="宋体" w:hAnsi="宋体"/>
                <w:color w:val="auto"/>
                <w:sz w:val="24"/>
                <w:highlight w:val="none"/>
              </w:rPr>
            </w:pPr>
            <w:r>
              <w:rPr>
                <w:rFonts w:ascii="宋体" w:hAnsi="宋体"/>
                <w:color w:val="auto"/>
                <w:sz w:val="24"/>
                <w:highlight w:val="none"/>
              </w:rPr>
              <w:t>2</w:t>
            </w:r>
          </w:p>
        </w:tc>
        <w:tc>
          <w:tcPr>
            <w:tcW w:w="992" w:type="dxa"/>
            <w:vAlign w:val="center"/>
          </w:tcPr>
          <w:p w14:paraId="6473E5D9">
            <w:pPr>
              <w:spacing w:line="360" w:lineRule="auto"/>
              <w:jc w:val="center"/>
              <w:rPr>
                <w:rFonts w:ascii="宋体" w:hAnsi="宋体"/>
                <w:color w:val="auto"/>
                <w:sz w:val="24"/>
                <w:highlight w:val="none"/>
              </w:rPr>
            </w:pPr>
            <w:r>
              <w:rPr>
                <w:rFonts w:ascii="宋体" w:hAnsi="宋体"/>
                <w:color w:val="auto"/>
                <w:sz w:val="24"/>
                <w:highlight w:val="none"/>
              </w:rPr>
              <w:t>1.1</w:t>
            </w:r>
          </w:p>
        </w:tc>
        <w:tc>
          <w:tcPr>
            <w:tcW w:w="1701" w:type="dxa"/>
            <w:vAlign w:val="center"/>
          </w:tcPr>
          <w:p w14:paraId="4D45AB52">
            <w:pPr>
              <w:spacing w:line="360" w:lineRule="auto"/>
              <w:jc w:val="center"/>
              <w:rPr>
                <w:rFonts w:ascii="宋体" w:hAnsi="宋体"/>
                <w:color w:val="auto"/>
                <w:sz w:val="24"/>
                <w:highlight w:val="none"/>
              </w:rPr>
            </w:pPr>
            <w:r>
              <w:rPr>
                <w:rFonts w:ascii="宋体" w:hAnsi="宋体"/>
                <w:color w:val="auto"/>
                <w:sz w:val="24"/>
                <w:highlight w:val="none"/>
              </w:rPr>
              <w:t>建设地点</w:t>
            </w:r>
          </w:p>
        </w:tc>
        <w:tc>
          <w:tcPr>
            <w:tcW w:w="5887" w:type="dxa"/>
            <w:vAlign w:val="center"/>
          </w:tcPr>
          <w:p w14:paraId="04CA3B70">
            <w:pPr>
              <w:spacing w:line="360" w:lineRule="auto"/>
              <w:rPr>
                <w:rFonts w:ascii="宋体" w:hAnsi="宋体"/>
                <w:color w:val="auto"/>
                <w:sz w:val="24"/>
                <w:highlight w:val="none"/>
              </w:rPr>
            </w:pPr>
            <w:r>
              <w:rPr>
                <w:rFonts w:hint="eastAsia" w:ascii="宋体" w:hAnsi="宋体"/>
                <w:color w:val="auto"/>
                <w:sz w:val="24"/>
                <w:highlight w:val="none"/>
              </w:rPr>
              <w:t>南通市崇川区</w:t>
            </w:r>
          </w:p>
        </w:tc>
      </w:tr>
      <w:tr w14:paraId="3B934B2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14" w:type="dxa"/>
            <w:vAlign w:val="center"/>
          </w:tcPr>
          <w:p w14:paraId="6C8B04C7">
            <w:pPr>
              <w:spacing w:line="360" w:lineRule="auto"/>
              <w:jc w:val="center"/>
              <w:rPr>
                <w:rFonts w:ascii="宋体" w:hAnsi="宋体"/>
                <w:color w:val="auto"/>
                <w:sz w:val="24"/>
                <w:highlight w:val="none"/>
              </w:rPr>
            </w:pPr>
            <w:r>
              <w:rPr>
                <w:rFonts w:ascii="宋体" w:hAnsi="宋体"/>
                <w:color w:val="auto"/>
                <w:sz w:val="24"/>
                <w:highlight w:val="none"/>
              </w:rPr>
              <w:t>3</w:t>
            </w:r>
          </w:p>
        </w:tc>
        <w:tc>
          <w:tcPr>
            <w:tcW w:w="992" w:type="dxa"/>
            <w:vAlign w:val="center"/>
          </w:tcPr>
          <w:p w14:paraId="2C433D48">
            <w:pPr>
              <w:spacing w:line="360" w:lineRule="auto"/>
              <w:jc w:val="center"/>
              <w:rPr>
                <w:rFonts w:ascii="宋体" w:hAnsi="宋体"/>
                <w:color w:val="auto"/>
                <w:sz w:val="24"/>
                <w:highlight w:val="none"/>
              </w:rPr>
            </w:pPr>
            <w:r>
              <w:rPr>
                <w:rFonts w:ascii="宋体" w:hAnsi="宋体"/>
                <w:color w:val="auto"/>
                <w:sz w:val="24"/>
                <w:highlight w:val="none"/>
              </w:rPr>
              <w:t>1.1</w:t>
            </w:r>
          </w:p>
        </w:tc>
        <w:tc>
          <w:tcPr>
            <w:tcW w:w="1701" w:type="dxa"/>
            <w:vAlign w:val="center"/>
          </w:tcPr>
          <w:p w14:paraId="2A92B7B8">
            <w:pPr>
              <w:spacing w:line="360" w:lineRule="auto"/>
              <w:jc w:val="center"/>
              <w:rPr>
                <w:rFonts w:ascii="宋体" w:hAnsi="宋体"/>
                <w:color w:val="auto"/>
                <w:sz w:val="24"/>
                <w:highlight w:val="none"/>
              </w:rPr>
            </w:pPr>
            <w:r>
              <w:rPr>
                <w:rFonts w:ascii="宋体" w:hAnsi="宋体"/>
                <w:color w:val="auto"/>
                <w:sz w:val="24"/>
                <w:highlight w:val="none"/>
              </w:rPr>
              <w:t>建设规模</w:t>
            </w:r>
          </w:p>
        </w:tc>
        <w:tc>
          <w:tcPr>
            <w:tcW w:w="5887" w:type="dxa"/>
            <w:vAlign w:val="center"/>
          </w:tcPr>
          <w:p w14:paraId="599EC909">
            <w:pPr>
              <w:spacing w:line="360" w:lineRule="auto"/>
              <w:rPr>
                <w:rFonts w:ascii="宋体" w:hAnsi="宋体"/>
                <w:color w:val="auto"/>
                <w:sz w:val="24"/>
                <w:highlight w:val="none"/>
              </w:rPr>
            </w:pPr>
            <w:r>
              <w:rPr>
                <w:rFonts w:ascii="宋体" w:hAnsi="宋体"/>
                <w:color w:val="auto"/>
                <w:sz w:val="24"/>
                <w:highlight w:val="none"/>
              </w:rPr>
              <w:t>约</w:t>
            </w:r>
            <w:r>
              <w:rPr>
                <w:rFonts w:hint="eastAsia" w:ascii="宋体" w:hAnsi="宋体"/>
                <w:color w:val="auto"/>
                <w:sz w:val="24"/>
                <w:highlight w:val="none"/>
                <w:lang w:val="en-US" w:eastAsia="zh-CN"/>
              </w:rPr>
              <w:t>28</w:t>
            </w:r>
            <w:r>
              <w:rPr>
                <w:rFonts w:hint="eastAsia" w:ascii="宋体" w:hAnsi="宋体"/>
                <w:color w:val="auto"/>
                <w:sz w:val="24"/>
                <w:highlight w:val="none"/>
              </w:rPr>
              <w:t>万元</w:t>
            </w:r>
          </w:p>
        </w:tc>
      </w:tr>
      <w:tr w14:paraId="3659D9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14" w:type="dxa"/>
            <w:vAlign w:val="center"/>
          </w:tcPr>
          <w:p w14:paraId="1CB67AFF">
            <w:pPr>
              <w:spacing w:line="360" w:lineRule="auto"/>
              <w:jc w:val="center"/>
              <w:rPr>
                <w:rFonts w:ascii="宋体" w:hAnsi="宋体"/>
                <w:color w:val="auto"/>
                <w:sz w:val="24"/>
                <w:highlight w:val="none"/>
              </w:rPr>
            </w:pPr>
            <w:r>
              <w:rPr>
                <w:rFonts w:ascii="宋体" w:hAnsi="宋体"/>
                <w:color w:val="auto"/>
                <w:sz w:val="24"/>
                <w:highlight w:val="none"/>
              </w:rPr>
              <w:t>4</w:t>
            </w:r>
          </w:p>
        </w:tc>
        <w:tc>
          <w:tcPr>
            <w:tcW w:w="992" w:type="dxa"/>
            <w:vAlign w:val="center"/>
          </w:tcPr>
          <w:p w14:paraId="1F995717">
            <w:pPr>
              <w:spacing w:line="360" w:lineRule="auto"/>
              <w:jc w:val="center"/>
              <w:rPr>
                <w:rFonts w:ascii="宋体" w:hAnsi="宋体"/>
                <w:color w:val="auto"/>
                <w:sz w:val="24"/>
                <w:highlight w:val="none"/>
              </w:rPr>
            </w:pPr>
            <w:r>
              <w:rPr>
                <w:rFonts w:ascii="宋体" w:hAnsi="宋体"/>
                <w:color w:val="auto"/>
                <w:sz w:val="24"/>
                <w:highlight w:val="none"/>
              </w:rPr>
              <w:t>1.1</w:t>
            </w:r>
          </w:p>
        </w:tc>
        <w:tc>
          <w:tcPr>
            <w:tcW w:w="1701" w:type="dxa"/>
            <w:vAlign w:val="center"/>
          </w:tcPr>
          <w:p w14:paraId="58AEC7A6">
            <w:pPr>
              <w:spacing w:line="360" w:lineRule="auto"/>
              <w:jc w:val="center"/>
              <w:rPr>
                <w:rFonts w:ascii="宋体" w:hAnsi="宋体"/>
                <w:color w:val="auto"/>
                <w:sz w:val="24"/>
                <w:highlight w:val="none"/>
              </w:rPr>
            </w:pPr>
            <w:r>
              <w:rPr>
                <w:rFonts w:ascii="宋体" w:hAnsi="宋体"/>
                <w:color w:val="auto"/>
                <w:sz w:val="24"/>
                <w:highlight w:val="none"/>
              </w:rPr>
              <w:t>承包方式</w:t>
            </w:r>
          </w:p>
        </w:tc>
        <w:tc>
          <w:tcPr>
            <w:tcW w:w="5887" w:type="dxa"/>
            <w:vAlign w:val="center"/>
          </w:tcPr>
          <w:p w14:paraId="442E1148">
            <w:pPr>
              <w:spacing w:line="360" w:lineRule="auto"/>
              <w:rPr>
                <w:rFonts w:ascii="宋体" w:hAnsi="宋体"/>
                <w:color w:val="auto"/>
                <w:sz w:val="24"/>
                <w:highlight w:val="none"/>
              </w:rPr>
            </w:pPr>
            <w:r>
              <w:rPr>
                <w:rFonts w:ascii="宋体" w:hAnsi="宋体"/>
                <w:color w:val="auto"/>
                <w:sz w:val="24"/>
                <w:highlight w:val="none"/>
              </w:rPr>
              <w:t>包工包料</w:t>
            </w:r>
          </w:p>
        </w:tc>
      </w:tr>
      <w:tr w14:paraId="43DA31E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14" w:type="dxa"/>
            <w:vAlign w:val="center"/>
          </w:tcPr>
          <w:p w14:paraId="2FECEA37">
            <w:pPr>
              <w:spacing w:line="360" w:lineRule="auto"/>
              <w:jc w:val="center"/>
              <w:rPr>
                <w:rFonts w:ascii="宋体" w:hAnsi="宋体"/>
                <w:color w:val="auto"/>
                <w:sz w:val="24"/>
                <w:highlight w:val="none"/>
              </w:rPr>
            </w:pPr>
            <w:r>
              <w:rPr>
                <w:rFonts w:ascii="宋体" w:hAnsi="宋体"/>
                <w:color w:val="auto"/>
                <w:sz w:val="24"/>
                <w:highlight w:val="none"/>
              </w:rPr>
              <w:t>5</w:t>
            </w:r>
          </w:p>
        </w:tc>
        <w:tc>
          <w:tcPr>
            <w:tcW w:w="992" w:type="dxa"/>
            <w:vAlign w:val="center"/>
          </w:tcPr>
          <w:p w14:paraId="2EE1FE2C">
            <w:pPr>
              <w:spacing w:line="360" w:lineRule="auto"/>
              <w:jc w:val="center"/>
              <w:rPr>
                <w:rFonts w:ascii="宋体" w:hAnsi="宋体"/>
                <w:color w:val="auto"/>
                <w:sz w:val="24"/>
                <w:highlight w:val="none"/>
              </w:rPr>
            </w:pPr>
            <w:r>
              <w:rPr>
                <w:rFonts w:ascii="宋体" w:hAnsi="宋体"/>
                <w:color w:val="auto"/>
                <w:sz w:val="24"/>
                <w:highlight w:val="none"/>
              </w:rPr>
              <w:t>1.1</w:t>
            </w:r>
          </w:p>
        </w:tc>
        <w:tc>
          <w:tcPr>
            <w:tcW w:w="1701" w:type="dxa"/>
            <w:vAlign w:val="center"/>
          </w:tcPr>
          <w:p w14:paraId="2EE0AEAF">
            <w:pPr>
              <w:spacing w:line="360" w:lineRule="auto"/>
              <w:jc w:val="center"/>
              <w:rPr>
                <w:rFonts w:ascii="宋体" w:hAnsi="宋体"/>
                <w:color w:val="auto"/>
                <w:sz w:val="24"/>
                <w:highlight w:val="none"/>
              </w:rPr>
            </w:pPr>
            <w:r>
              <w:rPr>
                <w:rFonts w:ascii="宋体" w:hAnsi="宋体"/>
                <w:color w:val="auto"/>
                <w:sz w:val="24"/>
                <w:highlight w:val="none"/>
              </w:rPr>
              <w:t>质量标准</w:t>
            </w:r>
          </w:p>
        </w:tc>
        <w:tc>
          <w:tcPr>
            <w:tcW w:w="5887" w:type="dxa"/>
            <w:vAlign w:val="center"/>
          </w:tcPr>
          <w:p w14:paraId="7C9A3B19">
            <w:pPr>
              <w:spacing w:line="360" w:lineRule="auto"/>
              <w:jc w:val="left"/>
              <w:rPr>
                <w:rFonts w:ascii="宋体" w:hAnsi="宋体" w:cs="宋体"/>
                <w:color w:val="auto"/>
                <w:sz w:val="24"/>
                <w:highlight w:val="none"/>
              </w:rPr>
            </w:pPr>
            <w:r>
              <w:rPr>
                <w:rFonts w:hint="eastAsia" w:ascii="宋体" w:hAnsi="宋体" w:cs="宋体"/>
                <w:color w:val="auto"/>
                <w:sz w:val="24"/>
                <w:highlight w:val="none"/>
              </w:rPr>
              <w:t>通过政法委、公安等相关部门的验收合格</w:t>
            </w:r>
            <w:r>
              <w:rPr>
                <w:rFonts w:hint="eastAsia" w:ascii="宋体" w:hAnsi="宋体" w:cs="宋体"/>
                <w:color w:val="auto"/>
                <w:sz w:val="24"/>
                <w:highlight w:val="none"/>
              </w:rPr>
              <w:t>，满足国家验收标准、招标文件及合同约定的相关要求，不影响项目总体质量目标。</w:t>
            </w:r>
          </w:p>
        </w:tc>
      </w:tr>
      <w:tr w14:paraId="7C2B470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14" w:type="dxa"/>
            <w:vAlign w:val="center"/>
          </w:tcPr>
          <w:p w14:paraId="24B87210">
            <w:pPr>
              <w:spacing w:line="360" w:lineRule="auto"/>
              <w:jc w:val="center"/>
              <w:rPr>
                <w:rFonts w:ascii="宋体" w:hAnsi="宋体"/>
                <w:color w:val="auto"/>
                <w:sz w:val="24"/>
                <w:highlight w:val="none"/>
              </w:rPr>
            </w:pPr>
            <w:r>
              <w:rPr>
                <w:rFonts w:ascii="宋体" w:hAnsi="宋体"/>
                <w:color w:val="auto"/>
                <w:sz w:val="24"/>
                <w:highlight w:val="none"/>
              </w:rPr>
              <w:t>6</w:t>
            </w:r>
          </w:p>
        </w:tc>
        <w:tc>
          <w:tcPr>
            <w:tcW w:w="992" w:type="dxa"/>
            <w:vAlign w:val="center"/>
          </w:tcPr>
          <w:p w14:paraId="52FC83D0">
            <w:pPr>
              <w:spacing w:line="360" w:lineRule="auto"/>
              <w:jc w:val="center"/>
              <w:rPr>
                <w:rFonts w:ascii="宋体" w:hAnsi="宋体"/>
                <w:color w:val="auto"/>
                <w:sz w:val="24"/>
                <w:highlight w:val="none"/>
              </w:rPr>
            </w:pPr>
            <w:r>
              <w:rPr>
                <w:rFonts w:ascii="宋体" w:hAnsi="宋体"/>
                <w:color w:val="auto"/>
                <w:sz w:val="24"/>
                <w:highlight w:val="none"/>
              </w:rPr>
              <w:t>1.1</w:t>
            </w:r>
          </w:p>
        </w:tc>
        <w:tc>
          <w:tcPr>
            <w:tcW w:w="1701" w:type="dxa"/>
            <w:vAlign w:val="center"/>
          </w:tcPr>
          <w:p w14:paraId="3C599EA6">
            <w:pPr>
              <w:spacing w:line="360" w:lineRule="auto"/>
              <w:jc w:val="center"/>
              <w:rPr>
                <w:rFonts w:ascii="宋体" w:hAnsi="宋体"/>
                <w:color w:val="auto"/>
                <w:sz w:val="24"/>
                <w:highlight w:val="none"/>
              </w:rPr>
            </w:pPr>
            <w:r>
              <w:rPr>
                <w:rFonts w:ascii="宋体" w:hAnsi="宋体"/>
                <w:color w:val="auto"/>
                <w:sz w:val="24"/>
                <w:highlight w:val="none"/>
              </w:rPr>
              <w:t>工期要求</w:t>
            </w:r>
          </w:p>
        </w:tc>
        <w:tc>
          <w:tcPr>
            <w:tcW w:w="5887" w:type="dxa"/>
            <w:vAlign w:val="center"/>
          </w:tcPr>
          <w:p w14:paraId="55282936">
            <w:pPr>
              <w:spacing w:line="360" w:lineRule="auto"/>
              <w:rPr>
                <w:rFonts w:ascii="宋体" w:hAnsi="宋体"/>
                <w:color w:val="auto"/>
                <w:sz w:val="24"/>
                <w:highlight w:val="none"/>
                <w:u w:val="single"/>
              </w:rPr>
            </w:pPr>
            <w:r>
              <w:rPr>
                <w:rFonts w:ascii="宋体" w:hAnsi="宋体"/>
                <w:color w:val="auto"/>
                <w:sz w:val="24"/>
                <w:highlight w:val="none"/>
              </w:rPr>
              <w:t>计划开工时间：</w:t>
            </w:r>
            <w:r>
              <w:rPr>
                <w:rFonts w:ascii="宋体" w:hAnsi="宋体"/>
                <w:color w:val="auto"/>
                <w:sz w:val="24"/>
                <w:highlight w:val="none"/>
                <w:u w:val="single"/>
              </w:rPr>
              <w:t>202</w:t>
            </w:r>
            <w:r>
              <w:rPr>
                <w:rFonts w:hint="eastAsia" w:ascii="宋体" w:hAnsi="宋体"/>
                <w:color w:val="auto"/>
                <w:sz w:val="24"/>
                <w:highlight w:val="none"/>
                <w:u w:val="single"/>
              </w:rPr>
              <w:t>4</w:t>
            </w:r>
            <w:r>
              <w:rPr>
                <w:rFonts w:ascii="宋体" w:hAnsi="宋体"/>
                <w:color w:val="auto"/>
                <w:sz w:val="24"/>
                <w:highlight w:val="none"/>
                <w:u w:val="single"/>
              </w:rPr>
              <w:t>年</w:t>
            </w:r>
            <w:r>
              <w:rPr>
                <w:rFonts w:hint="eastAsia" w:ascii="宋体" w:hAnsi="宋体"/>
                <w:color w:val="auto"/>
                <w:sz w:val="24"/>
                <w:highlight w:val="none"/>
                <w:u w:val="single"/>
                <w:lang w:val="en-US" w:eastAsia="zh-CN"/>
              </w:rPr>
              <w:t>12</w:t>
            </w:r>
            <w:r>
              <w:rPr>
                <w:rFonts w:ascii="宋体" w:hAnsi="宋体"/>
                <w:color w:val="auto"/>
                <w:sz w:val="24"/>
                <w:highlight w:val="none"/>
                <w:u w:val="single"/>
              </w:rPr>
              <w:t>月</w:t>
            </w:r>
          </w:p>
          <w:p w14:paraId="00C1CD78">
            <w:pPr>
              <w:spacing w:line="360" w:lineRule="auto"/>
              <w:rPr>
                <w:rFonts w:ascii="宋体" w:hAnsi="宋体"/>
                <w:color w:val="auto"/>
                <w:sz w:val="24"/>
                <w:highlight w:val="none"/>
              </w:rPr>
            </w:pPr>
            <w:r>
              <w:rPr>
                <w:rFonts w:ascii="宋体" w:hAnsi="宋体"/>
                <w:color w:val="auto"/>
                <w:sz w:val="24"/>
                <w:highlight w:val="none"/>
              </w:rPr>
              <w:t>计划竣工时间：</w:t>
            </w:r>
            <w:r>
              <w:rPr>
                <w:rFonts w:ascii="宋体" w:hAnsi="宋体"/>
                <w:color w:val="auto"/>
                <w:sz w:val="24"/>
                <w:highlight w:val="none"/>
                <w:u w:val="single"/>
              </w:rPr>
              <w:t>20</w:t>
            </w:r>
            <w:r>
              <w:rPr>
                <w:rFonts w:hint="eastAsia" w:ascii="宋体" w:hAnsi="宋体"/>
                <w:color w:val="auto"/>
                <w:sz w:val="24"/>
                <w:highlight w:val="none"/>
                <w:u w:val="single"/>
              </w:rPr>
              <w:t>2</w:t>
            </w:r>
            <w:r>
              <w:rPr>
                <w:rFonts w:hint="eastAsia" w:ascii="宋体" w:hAnsi="宋体"/>
                <w:color w:val="auto"/>
                <w:sz w:val="24"/>
                <w:highlight w:val="none"/>
                <w:u w:val="single"/>
                <w:lang w:val="en-US" w:eastAsia="zh-CN"/>
              </w:rPr>
              <w:t>5</w:t>
            </w:r>
            <w:r>
              <w:rPr>
                <w:rFonts w:ascii="宋体" w:hAnsi="宋体"/>
                <w:color w:val="auto"/>
                <w:sz w:val="24"/>
                <w:highlight w:val="none"/>
                <w:u w:val="single"/>
              </w:rPr>
              <w:t>年</w:t>
            </w:r>
            <w:r>
              <w:rPr>
                <w:rFonts w:hint="eastAsia" w:ascii="宋体" w:hAnsi="宋体"/>
                <w:color w:val="auto"/>
                <w:sz w:val="24"/>
                <w:highlight w:val="none"/>
                <w:u w:val="single"/>
                <w:lang w:val="en-US" w:eastAsia="zh-CN"/>
              </w:rPr>
              <w:t>02</w:t>
            </w:r>
            <w:r>
              <w:rPr>
                <w:rFonts w:ascii="宋体" w:hAnsi="宋体"/>
                <w:color w:val="auto"/>
                <w:sz w:val="24"/>
                <w:highlight w:val="none"/>
                <w:u w:val="single"/>
              </w:rPr>
              <w:t>月</w:t>
            </w:r>
          </w:p>
          <w:p w14:paraId="25F427B2">
            <w:pPr>
              <w:spacing w:line="360" w:lineRule="auto"/>
              <w:rPr>
                <w:rFonts w:ascii="宋体" w:hAnsi="宋体"/>
                <w:color w:val="auto"/>
                <w:sz w:val="24"/>
                <w:highlight w:val="none"/>
              </w:rPr>
            </w:pPr>
            <w:r>
              <w:rPr>
                <w:rFonts w:ascii="宋体" w:hAnsi="宋体"/>
                <w:color w:val="auto"/>
                <w:sz w:val="24"/>
                <w:highlight w:val="none"/>
              </w:rPr>
              <w:t>施工总工期</w:t>
            </w:r>
            <w:r>
              <w:rPr>
                <w:rFonts w:hint="eastAsia" w:ascii="宋体" w:hAnsi="宋体"/>
                <w:color w:val="auto"/>
                <w:sz w:val="24"/>
                <w:highlight w:val="none"/>
                <w:u w:val="single"/>
              </w:rPr>
              <w:t>45</w:t>
            </w:r>
            <w:r>
              <w:rPr>
                <w:rFonts w:ascii="宋体" w:hAnsi="宋体"/>
                <w:color w:val="auto"/>
                <w:sz w:val="24"/>
                <w:highlight w:val="none"/>
              </w:rPr>
              <w:t>日历天</w:t>
            </w:r>
          </w:p>
          <w:p w14:paraId="22A3ACDC">
            <w:pPr>
              <w:spacing w:line="360" w:lineRule="auto"/>
              <w:rPr>
                <w:rFonts w:ascii="宋体" w:hAnsi="宋体"/>
                <w:color w:val="auto"/>
                <w:sz w:val="24"/>
                <w:highlight w:val="none"/>
              </w:rPr>
            </w:pPr>
            <w:r>
              <w:rPr>
                <w:rFonts w:ascii="宋体" w:hAnsi="宋体"/>
                <w:color w:val="auto"/>
                <w:sz w:val="24"/>
                <w:highlight w:val="none"/>
              </w:rPr>
              <w:t>（具体开工时间以发包人签发的开工通知书为准）</w:t>
            </w:r>
          </w:p>
        </w:tc>
      </w:tr>
      <w:tr w14:paraId="714A3AC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14" w:type="dxa"/>
            <w:vAlign w:val="center"/>
          </w:tcPr>
          <w:p w14:paraId="2351BF17">
            <w:pPr>
              <w:spacing w:line="360" w:lineRule="auto"/>
              <w:jc w:val="center"/>
              <w:rPr>
                <w:rFonts w:ascii="宋体" w:hAnsi="宋体"/>
                <w:color w:val="auto"/>
                <w:sz w:val="24"/>
                <w:highlight w:val="none"/>
              </w:rPr>
            </w:pPr>
            <w:r>
              <w:rPr>
                <w:rFonts w:ascii="宋体" w:hAnsi="宋体"/>
                <w:color w:val="auto"/>
                <w:sz w:val="24"/>
                <w:highlight w:val="none"/>
              </w:rPr>
              <w:t>7</w:t>
            </w:r>
          </w:p>
        </w:tc>
        <w:tc>
          <w:tcPr>
            <w:tcW w:w="992" w:type="dxa"/>
            <w:vAlign w:val="center"/>
          </w:tcPr>
          <w:p w14:paraId="121C8CE1">
            <w:pPr>
              <w:spacing w:line="360" w:lineRule="auto"/>
              <w:jc w:val="center"/>
              <w:rPr>
                <w:rFonts w:ascii="宋体" w:hAnsi="宋体"/>
                <w:color w:val="auto"/>
                <w:sz w:val="24"/>
                <w:highlight w:val="none"/>
              </w:rPr>
            </w:pPr>
            <w:r>
              <w:rPr>
                <w:rFonts w:ascii="宋体" w:hAnsi="宋体"/>
                <w:color w:val="auto"/>
                <w:sz w:val="24"/>
                <w:highlight w:val="none"/>
              </w:rPr>
              <w:t>1.1</w:t>
            </w:r>
          </w:p>
        </w:tc>
        <w:tc>
          <w:tcPr>
            <w:tcW w:w="1701" w:type="dxa"/>
            <w:vAlign w:val="center"/>
          </w:tcPr>
          <w:p w14:paraId="6C555E11">
            <w:pPr>
              <w:spacing w:line="360" w:lineRule="auto"/>
              <w:jc w:val="center"/>
              <w:rPr>
                <w:rFonts w:ascii="宋体" w:hAnsi="宋体"/>
                <w:color w:val="auto"/>
                <w:kern w:val="0"/>
                <w:sz w:val="24"/>
                <w:highlight w:val="none"/>
              </w:rPr>
            </w:pPr>
            <w:r>
              <w:rPr>
                <w:rFonts w:ascii="宋体" w:hAnsi="宋体"/>
                <w:color w:val="auto"/>
                <w:kern w:val="0"/>
                <w:sz w:val="24"/>
                <w:highlight w:val="none"/>
              </w:rPr>
              <w:t>资金来源</w:t>
            </w:r>
          </w:p>
        </w:tc>
        <w:tc>
          <w:tcPr>
            <w:tcW w:w="5887" w:type="dxa"/>
            <w:vAlign w:val="center"/>
          </w:tcPr>
          <w:p w14:paraId="22069336">
            <w:pPr>
              <w:spacing w:line="360" w:lineRule="auto"/>
              <w:rPr>
                <w:rFonts w:ascii="宋体" w:hAnsi="宋体"/>
                <w:color w:val="auto"/>
                <w:kern w:val="0"/>
                <w:sz w:val="24"/>
                <w:highlight w:val="none"/>
              </w:rPr>
            </w:pPr>
            <w:r>
              <w:rPr>
                <w:rFonts w:hint="eastAsia" w:ascii="宋体" w:hAnsi="宋体"/>
                <w:color w:val="auto"/>
                <w:kern w:val="0"/>
                <w:sz w:val="24"/>
                <w:highlight w:val="none"/>
              </w:rPr>
              <w:t>区财政</w:t>
            </w:r>
          </w:p>
        </w:tc>
      </w:tr>
      <w:tr w14:paraId="3514E6D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14" w:type="dxa"/>
            <w:vAlign w:val="center"/>
          </w:tcPr>
          <w:p w14:paraId="47BE0563">
            <w:pPr>
              <w:spacing w:line="360" w:lineRule="auto"/>
              <w:jc w:val="center"/>
              <w:rPr>
                <w:rFonts w:ascii="宋体" w:hAnsi="宋体"/>
                <w:color w:val="auto"/>
                <w:kern w:val="0"/>
                <w:sz w:val="24"/>
                <w:highlight w:val="none"/>
              </w:rPr>
            </w:pPr>
            <w:r>
              <w:rPr>
                <w:rFonts w:ascii="宋体" w:hAnsi="宋体"/>
                <w:color w:val="auto"/>
                <w:kern w:val="0"/>
                <w:sz w:val="24"/>
                <w:highlight w:val="none"/>
              </w:rPr>
              <w:t>8</w:t>
            </w:r>
          </w:p>
        </w:tc>
        <w:tc>
          <w:tcPr>
            <w:tcW w:w="992" w:type="dxa"/>
            <w:vAlign w:val="center"/>
          </w:tcPr>
          <w:p w14:paraId="5FE1952F">
            <w:pPr>
              <w:spacing w:line="360" w:lineRule="auto"/>
              <w:jc w:val="center"/>
              <w:rPr>
                <w:rFonts w:ascii="宋体" w:hAnsi="宋体"/>
                <w:color w:val="auto"/>
                <w:kern w:val="0"/>
                <w:sz w:val="24"/>
                <w:highlight w:val="none"/>
              </w:rPr>
            </w:pPr>
            <w:r>
              <w:rPr>
                <w:rFonts w:ascii="宋体" w:hAnsi="宋体"/>
                <w:color w:val="auto"/>
                <w:kern w:val="0"/>
                <w:sz w:val="24"/>
                <w:highlight w:val="none"/>
              </w:rPr>
              <w:t>1.2</w:t>
            </w:r>
          </w:p>
        </w:tc>
        <w:tc>
          <w:tcPr>
            <w:tcW w:w="1701" w:type="dxa"/>
            <w:vAlign w:val="center"/>
          </w:tcPr>
          <w:p w14:paraId="6C250D54">
            <w:pPr>
              <w:spacing w:line="360" w:lineRule="auto"/>
              <w:jc w:val="center"/>
              <w:rPr>
                <w:rFonts w:ascii="宋体" w:hAnsi="宋体"/>
                <w:color w:val="auto"/>
                <w:kern w:val="0"/>
                <w:sz w:val="24"/>
                <w:highlight w:val="none"/>
              </w:rPr>
            </w:pPr>
            <w:r>
              <w:rPr>
                <w:rFonts w:ascii="宋体" w:hAnsi="宋体"/>
                <w:color w:val="auto"/>
                <w:kern w:val="0"/>
                <w:sz w:val="24"/>
                <w:highlight w:val="none"/>
              </w:rPr>
              <w:t>招标范围</w:t>
            </w:r>
          </w:p>
        </w:tc>
        <w:tc>
          <w:tcPr>
            <w:tcW w:w="5887" w:type="dxa"/>
            <w:vAlign w:val="center"/>
          </w:tcPr>
          <w:p w14:paraId="647D46E0">
            <w:pPr>
              <w:adjustRightInd w:val="0"/>
              <w:snapToGrid w:val="0"/>
              <w:spacing w:line="360" w:lineRule="auto"/>
              <w:rPr>
                <w:rFonts w:ascii="宋体" w:hAnsi="宋体"/>
                <w:color w:val="auto"/>
                <w:kern w:val="0"/>
                <w:sz w:val="24"/>
                <w:highlight w:val="none"/>
              </w:rPr>
            </w:pPr>
            <w:r>
              <w:rPr>
                <w:rFonts w:hint="eastAsia" w:ascii="宋体" w:hAnsi="宋体"/>
                <w:color w:val="auto"/>
                <w:kern w:val="0"/>
                <w:sz w:val="24"/>
                <w:highlight w:val="none"/>
              </w:rPr>
              <w:t>本工程为</w:t>
            </w:r>
            <w:r>
              <w:rPr>
                <w:rFonts w:hint="eastAsia" w:ascii="宋体" w:hAnsi="宋体"/>
                <w:color w:val="auto"/>
                <w:sz w:val="24"/>
                <w:highlight w:val="none"/>
              </w:rPr>
              <w:t>2024年崇川区钟秀街道老旧小区综合改造智慧技防建设工程施工</w:t>
            </w:r>
            <w:r>
              <w:rPr>
                <w:rFonts w:hint="eastAsia" w:ascii="宋体" w:hAnsi="宋体"/>
                <w:color w:val="auto"/>
                <w:kern w:val="0"/>
                <w:sz w:val="24"/>
                <w:highlight w:val="none"/>
              </w:rPr>
              <w:t>，详见</w:t>
            </w:r>
            <w:r>
              <w:rPr>
                <w:rFonts w:ascii="宋体" w:hAnsi="宋体"/>
                <w:color w:val="auto"/>
                <w:kern w:val="0"/>
                <w:sz w:val="24"/>
                <w:highlight w:val="none"/>
              </w:rPr>
              <w:t>施工图纸及清单中所示的内容</w:t>
            </w:r>
          </w:p>
        </w:tc>
      </w:tr>
      <w:tr w14:paraId="528C4BA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14" w:type="dxa"/>
            <w:vAlign w:val="center"/>
          </w:tcPr>
          <w:p w14:paraId="7DE90D1D">
            <w:pPr>
              <w:spacing w:line="360" w:lineRule="auto"/>
              <w:jc w:val="center"/>
              <w:rPr>
                <w:rFonts w:ascii="宋体" w:hAnsi="宋体"/>
                <w:color w:val="auto"/>
                <w:sz w:val="24"/>
                <w:highlight w:val="none"/>
              </w:rPr>
            </w:pPr>
            <w:r>
              <w:rPr>
                <w:rFonts w:ascii="宋体" w:hAnsi="宋体"/>
                <w:color w:val="auto"/>
                <w:sz w:val="24"/>
                <w:highlight w:val="none"/>
              </w:rPr>
              <w:t>9</w:t>
            </w:r>
          </w:p>
        </w:tc>
        <w:tc>
          <w:tcPr>
            <w:tcW w:w="992" w:type="dxa"/>
            <w:vAlign w:val="center"/>
          </w:tcPr>
          <w:p w14:paraId="70A8FC28">
            <w:pPr>
              <w:spacing w:line="360" w:lineRule="auto"/>
              <w:jc w:val="center"/>
              <w:rPr>
                <w:rFonts w:ascii="宋体" w:hAnsi="宋体"/>
                <w:color w:val="auto"/>
                <w:sz w:val="24"/>
                <w:highlight w:val="none"/>
              </w:rPr>
            </w:pPr>
            <w:r>
              <w:rPr>
                <w:rFonts w:ascii="宋体" w:hAnsi="宋体"/>
                <w:color w:val="auto"/>
                <w:sz w:val="24"/>
                <w:highlight w:val="none"/>
              </w:rPr>
              <w:t>16</w:t>
            </w:r>
          </w:p>
        </w:tc>
        <w:tc>
          <w:tcPr>
            <w:tcW w:w="1701" w:type="dxa"/>
            <w:vAlign w:val="center"/>
          </w:tcPr>
          <w:p w14:paraId="1DDE76A8">
            <w:pPr>
              <w:spacing w:line="360" w:lineRule="auto"/>
              <w:jc w:val="center"/>
              <w:rPr>
                <w:rFonts w:ascii="宋体" w:hAnsi="宋体"/>
                <w:color w:val="auto"/>
                <w:sz w:val="24"/>
                <w:highlight w:val="none"/>
              </w:rPr>
            </w:pPr>
            <w:r>
              <w:rPr>
                <w:rFonts w:ascii="宋体" w:hAnsi="宋体"/>
                <w:color w:val="auto"/>
                <w:sz w:val="24"/>
                <w:highlight w:val="none"/>
              </w:rPr>
              <w:t>工程报价方式</w:t>
            </w:r>
          </w:p>
        </w:tc>
        <w:tc>
          <w:tcPr>
            <w:tcW w:w="5887" w:type="dxa"/>
            <w:vAlign w:val="center"/>
          </w:tcPr>
          <w:p w14:paraId="7A7AC2B3">
            <w:pPr>
              <w:spacing w:line="360" w:lineRule="auto"/>
              <w:jc w:val="left"/>
              <w:rPr>
                <w:rFonts w:ascii="宋体" w:hAnsi="宋体"/>
                <w:color w:val="auto"/>
                <w:sz w:val="24"/>
                <w:highlight w:val="none"/>
              </w:rPr>
            </w:pPr>
            <w:bookmarkStart w:id="14" w:name="_Hlk85715296"/>
            <w:r>
              <w:rPr>
                <w:rFonts w:ascii="宋体" w:hAnsi="宋体"/>
                <w:color w:val="auto"/>
                <w:sz w:val="24"/>
                <w:highlight w:val="none"/>
              </w:rPr>
              <w:t>固定单价报价</w:t>
            </w:r>
            <w:bookmarkEnd w:id="14"/>
          </w:p>
        </w:tc>
      </w:tr>
      <w:tr w14:paraId="447EAD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14" w:type="dxa"/>
            <w:vAlign w:val="center"/>
          </w:tcPr>
          <w:p w14:paraId="6B3F44F8">
            <w:pPr>
              <w:spacing w:line="360" w:lineRule="auto"/>
              <w:jc w:val="center"/>
              <w:rPr>
                <w:rFonts w:ascii="宋体" w:hAnsi="宋体"/>
                <w:color w:val="auto"/>
                <w:sz w:val="24"/>
                <w:highlight w:val="none"/>
              </w:rPr>
            </w:pPr>
            <w:r>
              <w:rPr>
                <w:rFonts w:ascii="宋体" w:hAnsi="宋体"/>
                <w:color w:val="auto"/>
                <w:sz w:val="24"/>
                <w:highlight w:val="none"/>
              </w:rPr>
              <w:t>10</w:t>
            </w:r>
          </w:p>
        </w:tc>
        <w:tc>
          <w:tcPr>
            <w:tcW w:w="992" w:type="dxa"/>
            <w:vAlign w:val="center"/>
          </w:tcPr>
          <w:p w14:paraId="7545CF3C">
            <w:pPr>
              <w:spacing w:line="360" w:lineRule="auto"/>
              <w:jc w:val="center"/>
              <w:rPr>
                <w:rFonts w:ascii="宋体" w:hAnsi="宋体"/>
                <w:color w:val="auto"/>
                <w:sz w:val="24"/>
                <w:highlight w:val="none"/>
              </w:rPr>
            </w:pPr>
            <w:r>
              <w:rPr>
                <w:rFonts w:ascii="宋体" w:hAnsi="宋体"/>
                <w:color w:val="auto"/>
                <w:sz w:val="24"/>
                <w:highlight w:val="none"/>
              </w:rPr>
              <w:t>12</w:t>
            </w:r>
          </w:p>
        </w:tc>
        <w:tc>
          <w:tcPr>
            <w:tcW w:w="1701" w:type="dxa"/>
            <w:vAlign w:val="center"/>
          </w:tcPr>
          <w:p w14:paraId="122C156E">
            <w:pPr>
              <w:spacing w:line="360" w:lineRule="auto"/>
              <w:jc w:val="center"/>
              <w:rPr>
                <w:rFonts w:ascii="宋体" w:hAnsi="宋体"/>
                <w:color w:val="auto"/>
                <w:sz w:val="24"/>
                <w:highlight w:val="none"/>
              </w:rPr>
            </w:pPr>
            <w:r>
              <w:rPr>
                <w:rFonts w:ascii="宋体" w:hAnsi="宋体"/>
                <w:color w:val="auto"/>
                <w:sz w:val="24"/>
                <w:highlight w:val="none"/>
              </w:rPr>
              <w:t>投标有效期</w:t>
            </w:r>
          </w:p>
        </w:tc>
        <w:tc>
          <w:tcPr>
            <w:tcW w:w="5887" w:type="dxa"/>
            <w:vAlign w:val="center"/>
          </w:tcPr>
          <w:p w14:paraId="403ECE57">
            <w:pPr>
              <w:spacing w:line="360" w:lineRule="auto"/>
              <w:jc w:val="left"/>
              <w:rPr>
                <w:rFonts w:ascii="宋体" w:hAnsi="宋体"/>
                <w:color w:val="auto"/>
                <w:sz w:val="24"/>
                <w:highlight w:val="none"/>
              </w:rPr>
            </w:pPr>
            <w:r>
              <w:rPr>
                <w:rFonts w:ascii="宋体" w:hAnsi="宋体"/>
                <w:color w:val="auto"/>
                <w:sz w:val="24"/>
                <w:highlight w:val="none"/>
                <w:u w:val="single"/>
              </w:rPr>
              <w:t xml:space="preserve"> 45</w:t>
            </w:r>
            <w:r>
              <w:rPr>
                <w:rFonts w:ascii="宋体" w:hAnsi="宋体"/>
                <w:color w:val="auto"/>
                <w:sz w:val="24"/>
                <w:highlight w:val="none"/>
              </w:rPr>
              <w:t>日历天(从投标截止之日算起)</w:t>
            </w:r>
          </w:p>
        </w:tc>
      </w:tr>
      <w:tr w14:paraId="0F3B5E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14" w:type="dxa"/>
            <w:vAlign w:val="center"/>
          </w:tcPr>
          <w:p w14:paraId="4AE54FDF">
            <w:pPr>
              <w:spacing w:line="360" w:lineRule="auto"/>
              <w:jc w:val="center"/>
              <w:rPr>
                <w:rFonts w:ascii="宋体" w:hAnsi="宋体"/>
                <w:color w:val="auto"/>
                <w:sz w:val="24"/>
                <w:highlight w:val="none"/>
              </w:rPr>
            </w:pPr>
            <w:r>
              <w:rPr>
                <w:rFonts w:ascii="宋体" w:hAnsi="宋体"/>
                <w:color w:val="auto"/>
                <w:sz w:val="24"/>
                <w:highlight w:val="none"/>
              </w:rPr>
              <w:t>11</w:t>
            </w:r>
          </w:p>
        </w:tc>
        <w:tc>
          <w:tcPr>
            <w:tcW w:w="992" w:type="dxa"/>
            <w:vAlign w:val="center"/>
          </w:tcPr>
          <w:p w14:paraId="5A36081C">
            <w:pPr>
              <w:spacing w:line="360" w:lineRule="auto"/>
              <w:jc w:val="center"/>
              <w:rPr>
                <w:rFonts w:ascii="宋体" w:hAnsi="宋体"/>
                <w:color w:val="auto"/>
                <w:sz w:val="24"/>
                <w:highlight w:val="none"/>
              </w:rPr>
            </w:pPr>
            <w:r>
              <w:rPr>
                <w:rFonts w:ascii="宋体" w:hAnsi="宋体"/>
                <w:color w:val="auto"/>
                <w:sz w:val="24"/>
                <w:highlight w:val="none"/>
              </w:rPr>
              <w:t>14</w:t>
            </w:r>
          </w:p>
        </w:tc>
        <w:tc>
          <w:tcPr>
            <w:tcW w:w="1701" w:type="dxa"/>
            <w:vAlign w:val="center"/>
          </w:tcPr>
          <w:p w14:paraId="65E1FBCD">
            <w:pPr>
              <w:spacing w:line="360" w:lineRule="auto"/>
              <w:jc w:val="center"/>
              <w:rPr>
                <w:rFonts w:ascii="宋体" w:hAnsi="宋体"/>
                <w:color w:val="auto"/>
                <w:sz w:val="24"/>
                <w:highlight w:val="none"/>
              </w:rPr>
            </w:pPr>
            <w:r>
              <w:rPr>
                <w:rFonts w:ascii="宋体" w:hAnsi="宋体"/>
                <w:color w:val="auto"/>
                <w:sz w:val="24"/>
                <w:highlight w:val="none"/>
              </w:rPr>
              <w:t>投标保证金额</w:t>
            </w:r>
          </w:p>
        </w:tc>
        <w:tc>
          <w:tcPr>
            <w:tcW w:w="5887" w:type="dxa"/>
            <w:vAlign w:val="center"/>
          </w:tcPr>
          <w:p w14:paraId="2985DB50">
            <w:pPr>
              <w:adjustRightInd w:val="0"/>
              <w:snapToGrid w:val="0"/>
              <w:spacing w:line="360" w:lineRule="auto"/>
              <w:jc w:val="left"/>
              <w:rPr>
                <w:rFonts w:ascii="宋体" w:hAnsi="宋体"/>
                <w:color w:val="auto"/>
                <w:sz w:val="24"/>
                <w:highlight w:val="none"/>
              </w:rPr>
            </w:pPr>
            <w:r>
              <w:rPr>
                <w:rFonts w:ascii="宋体" w:hAnsi="宋体"/>
                <w:color w:val="auto"/>
                <w:sz w:val="24"/>
                <w:highlight w:val="none"/>
              </w:rPr>
              <w:t>人民币</w:t>
            </w:r>
            <w:r>
              <w:rPr>
                <w:rFonts w:hint="eastAsia" w:ascii="宋体" w:hAnsi="宋体"/>
                <w:color w:val="auto"/>
                <w:sz w:val="24"/>
                <w:highlight w:val="none"/>
                <w:u w:val="single"/>
              </w:rPr>
              <w:t xml:space="preserve"> 伍仟</w:t>
            </w:r>
            <w:r>
              <w:rPr>
                <w:rFonts w:hint="eastAsia" w:ascii="宋体" w:hAnsi="宋体"/>
                <w:b/>
                <w:bCs/>
                <w:color w:val="auto"/>
                <w:sz w:val="24"/>
                <w:highlight w:val="none"/>
                <w:u w:val="single"/>
              </w:rPr>
              <w:t>元整</w:t>
            </w:r>
            <w:r>
              <w:rPr>
                <w:rFonts w:hint="eastAsia" w:ascii="宋体" w:hAnsi="宋体" w:cs="宋体"/>
                <w:color w:val="auto"/>
                <w:sz w:val="24"/>
                <w:highlight w:val="none"/>
              </w:rPr>
              <w:t>（递交方式：现金，密封在信封或档案袋内，并在封袋上注明单位名称，在开标时和投标文件同时递交，请勿和投标文件密封）</w:t>
            </w:r>
          </w:p>
        </w:tc>
      </w:tr>
      <w:tr w14:paraId="58EAC88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14" w:type="dxa"/>
            <w:vAlign w:val="center"/>
          </w:tcPr>
          <w:p w14:paraId="73B2ECBE">
            <w:pPr>
              <w:spacing w:line="360" w:lineRule="auto"/>
              <w:jc w:val="center"/>
              <w:rPr>
                <w:rFonts w:ascii="宋体" w:hAnsi="宋体"/>
                <w:color w:val="auto"/>
                <w:sz w:val="24"/>
                <w:highlight w:val="none"/>
              </w:rPr>
            </w:pPr>
            <w:r>
              <w:rPr>
                <w:rFonts w:ascii="宋体" w:hAnsi="宋体"/>
                <w:color w:val="auto"/>
                <w:sz w:val="24"/>
                <w:highlight w:val="none"/>
              </w:rPr>
              <w:t>12</w:t>
            </w:r>
          </w:p>
        </w:tc>
        <w:tc>
          <w:tcPr>
            <w:tcW w:w="992" w:type="dxa"/>
            <w:vAlign w:val="center"/>
          </w:tcPr>
          <w:p w14:paraId="32313886">
            <w:pPr>
              <w:spacing w:line="360" w:lineRule="auto"/>
              <w:jc w:val="center"/>
              <w:rPr>
                <w:rFonts w:ascii="宋体" w:hAnsi="宋体"/>
                <w:color w:val="auto"/>
                <w:sz w:val="24"/>
                <w:highlight w:val="none"/>
              </w:rPr>
            </w:pPr>
            <w:r>
              <w:rPr>
                <w:rFonts w:ascii="宋体" w:hAnsi="宋体"/>
                <w:color w:val="auto"/>
                <w:sz w:val="24"/>
                <w:highlight w:val="none"/>
              </w:rPr>
              <w:t>6.2</w:t>
            </w:r>
          </w:p>
        </w:tc>
        <w:tc>
          <w:tcPr>
            <w:tcW w:w="1701" w:type="dxa"/>
            <w:vAlign w:val="center"/>
          </w:tcPr>
          <w:p w14:paraId="25523E21">
            <w:pPr>
              <w:spacing w:line="360" w:lineRule="auto"/>
              <w:jc w:val="center"/>
              <w:rPr>
                <w:rFonts w:ascii="宋体" w:hAnsi="宋体"/>
                <w:color w:val="auto"/>
                <w:kern w:val="0"/>
                <w:sz w:val="24"/>
                <w:highlight w:val="none"/>
              </w:rPr>
            </w:pPr>
            <w:r>
              <w:rPr>
                <w:rFonts w:ascii="宋体" w:hAnsi="宋体"/>
                <w:color w:val="auto"/>
                <w:sz w:val="24"/>
                <w:highlight w:val="none"/>
              </w:rPr>
              <w:t>提交疑问材料时间及方式</w:t>
            </w:r>
          </w:p>
        </w:tc>
        <w:tc>
          <w:tcPr>
            <w:tcW w:w="5887" w:type="dxa"/>
            <w:vAlign w:val="center"/>
          </w:tcPr>
          <w:p w14:paraId="5F263C79">
            <w:pPr>
              <w:adjustRightInd w:val="0"/>
              <w:snapToGrid w:val="0"/>
              <w:spacing w:line="360" w:lineRule="auto"/>
              <w:rPr>
                <w:rFonts w:ascii="宋体" w:hAnsi="宋体"/>
                <w:color w:val="auto"/>
                <w:sz w:val="24"/>
                <w:highlight w:val="none"/>
              </w:rPr>
            </w:pPr>
            <w:r>
              <w:rPr>
                <w:rFonts w:ascii="宋体" w:hAnsi="宋体"/>
                <w:color w:val="auto"/>
                <w:sz w:val="24"/>
                <w:highlight w:val="none"/>
              </w:rPr>
              <w:t>如有疑问需要招标人澄清应在</w:t>
            </w:r>
            <w:r>
              <w:rPr>
                <w:rFonts w:ascii="宋体" w:hAnsi="宋体"/>
                <w:b/>
                <w:color w:val="auto"/>
                <w:sz w:val="24"/>
                <w:highlight w:val="none"/>
                <w:u w:val="single"/>
              </w:rPr>
              <w:t>202</w:t>
            </w:r>
            <w:r>
              <w:rPr>
                <w:rFonts w:hint="eastAsia" w:ascii="宋体" w:hAnsi="宋体"/>
                <w:b/>
                <w:color w:val="auto"/>
                <w:sz w:val="24"/>
                <w:highlight w:val="none"/>
                <w:u w:val="single"/>
              </w:rPr>
              <w:t>4</w:t>
            </w:r>
            <w:r>
              <w:rPr>
                <w:rFonts w:ascii="宋体" w:hAnsi="宋体"/>
                <w:b/>
                <w:color w:val="auto"/>
                <w:sz w:val="24"/>
                <w:highlight w:val="none"/>
                <w:u w:val="single"/>
              </w:rPr>
              <w:t>年</w:t>
            </w:r>
            <w:r>
              <w:rPr>
                <w:rFonts w:hint="eastAsia" w:ascii="宋体" w:hAnsi="宋体"/>
                <w:b/>
                <w:color w:val="auto"/>
                <w:sz w:val="24"/>
                <w:highlight w:val="none"/>
                <w:u w:val="single"/>
                <w:lang w:val="en-US" w:eastAsia="zh-CN"/>
              </w:rPr>
              <w:t>12</w:t>
            </w:r>
            <w:r>
              <w:rPr>
                <w:rFonts w:ascii="宋体" w:hAnsi="宋体"/>
                <w:b/>
                <w:color w:val="auto"/>
                <w:sz w:val="24"/>
                <w:highlight w:val="none"/>
                <w:u w:val="single"/>
              </w:rPr>
              <w:t>月</w:t>
            </w:r>
            <w:r>
              <w:rPr>
                <w:rFonts w:hint="eastAsia" w:ascii="宋体" w:hAnsi="宋体"/>
                <w:b/>
                <w:color w:val="auto"/>
                <w:sz w:val="24"/>
                <w:highlight w:val="none"/>
                <w:u w:val="single"/>
                <w:lang w:val="en-US" w:eastAsia="zh-CN"/>
              </w:rPr>
              <w:t>03</w:t>
            </w:r>
            <w:r>
              <w:rPr>
                <w:rFonts w:ascii="宋体" w:hAnsi="宋体"/>
                <w:b/>
                <w:color w:val="auto"/>
                <w:sz w:val="24"/>
                <w:highlight w:val="none"/>
                <w:u w:val="single"/>
              </w:rPr>
              <w:t>日17时</w:t>
            </w:r>
            <w:r>
              <w:rPr>
                <w:rFonts w:ascii="宋体" w:hAnsi="宋体"/>
                <w:color w:val="auto"/>
                <w:sz w:val="24"/>
                <w:highlight w:val="none"/>
              </w:rPr>
              <w:t>前以电子文件形式（不具单位名称、不加盖单位公章）发送至指定邮箱</w:t>
            </w:r>
            <w:r>
              <w:rPr>
                <w:rFonts w:ascii="宋体" w:hAnsi="宋体"/>
                <w:b/>
                <w:color w:val="auto"/>
                <w:sz w:val="24"/>
                <w:highlight w:val="none"/>
                <w:u w:val="single"/>
              </w:rPr>
              <w:t>（</w:t>
            </w:r>
            <w:r>
              <w:rPr>
                <w:rFonts w:ascii="宋体" w:hAnsi="宋体" w:cs="宋体"/>
                <w:color w:val="auto"/>
                <w:sz w:val="24"/>
                <w:highlight w:val="none"/>
                <w:u w:val="single"/>
              </w:rPr>
              <w:t>443608475</w:t>
            </w:r>
            <w:r>
              <w:rPr>
                <w:rFonts w:hint="eastAsia" w:ascii="宋体" w:hAnsi="宋体" w:cs="宋体"/>
                <w:color w:val="auto"/>
                <w:sz w:val="24"/>
                <w:highlight w:val="none"/>
                <w:u w:val="single"/>
              </w:rPr>
              <w:t>@qq.com</w:t>
            </w:r>
            <w:r>
              <w:rPr>
                <w:rFonts w:ascii="宋体" w:hAnsi="宋体"/>
                <w:b/>
                <w:color w:val="auto"/>
                <w:sz w:val="24"/>
                <w:highlight w:val="none"/>
                <w:u w:val="single"/>
              </w:rPr>
              <w:t>）</w:t>
            </w:r>
            <w:r>
              <w:rPr>
                <w:rFonts w:ascii="宋体" w:hAnsi="宋体"/>
                <w:color w:val="auto"/>
                <w:sz w:val="24"/>
                <w:highlight w:val="none"/>
              </w:rPr>
              <w:t>向招标人提出，招标人予以解答，</w:t>
            </w:r>
            <w:r>
              <w:rPr>
                <w:rFonts w:hint="eastAsia" w:ascii="宋体" w:hAnsi="宋体"/>
                <w:color w:val="auto"/>
                <w:sz w:val="24"/>
                <w:highlight w:val="none"/>
              </w:rPr>
              <w:t>解答的内容将在南通市崇川区人民政府网—公示公告栏公布</w:t>
            </w:r>
          </w:p>
        </w:tc>
      </w:tr>
      <w:tr w14:paraId="48E1CCB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14" w:type="dxa"/>
            <w:vAlign w:val="center"/>
          </w:tcPr>
          <w:p w14:paraId="421C6D7D">
            <w:pPr>
              <w:spacing w:line="360" w:lineRule="auto"/>
              <w:jc w:val="center"/>
              <w:rPr>
                <w:rFonts w:ascii="宋体" w:hAnsi="宋体"/>
                <w:color w:val="auto"/>
                <w:sz w:val="24"/>
                <w:highlight w:val="none"/>
              </w:rPr>
            </w:pPr>
            <w:r>
              <w:rPr>
                <w:rFonts w:ascii="宋体" w:hAnsi="宋体"/>
                <w:color w:val="auto"/>
                <w:sz w:val="24"/>
                <w:highlight w:val="none"/>
              </w:rPr>
              <w:t>13</w:t>
            </w:r>
          </w:p>
        </w:tc>
        <w:tc>
          <w:tcPr>
            <w:tcW w:w="992" w:type="dxa"/>
            <w:vAlign w:val="center"/>
          </w:tcPr>
          <w:p w14:paraId="57A12AF4">
            <w:pPr>
              <w:spacing w:line="360" w:lineRule="auto"/>
              <w:jc w:val="center"/>
              <w:rPr>
                <w:rFonts w:ascii="宋体" w:hAnsi="宋体"/>
                <w:color w:val="auto"/>
                <w:sz w:val="24"/>
                <w:highlight w:val="none"/>
              </w:rPr>
            </w:pPr>
            <w:r>
              <w:rPr>
                <w:rFonts w:ascii="宋体" w:hAnsi="宋体"/>
                <w:color w:val="auto"/>
                <w:sz w:val="24"/>
                <w:highlight w:val="none"/>
              </w:rPr>
              <w:t>4</w:t>
            </w:r>
          </w:p>
        </w:tc>
        <w:tc>
          <w:tcPr>
            <w:tcW w:w="1701" w:type="dxa"/>
            <w:vAlign w:val="center"/>
          </w:tcPr>
          <w:p w14:paraId="5CF9A49C">
            <w:pPr>
              <w:spacing w:line="360" w:lineRule="auto"/>
              <w:jc w:val="center"/>
              <w:rPr>
                <w:rFonts w:ascii="宋体" w:hAnsi="宋体"/>
                <w:color w:val="auto"/>
                <w:sz w:val="24"/>
                <w:highlight w:val="none"/>
              </w:rPr>
            </w:pPr>
            <w:r>
              <w:rPr>
                <w:rFonts w:ascii="宋体" w:hAnsi="宋体"/>
                <w:color w:val="auto"/>
                <w:sz w:val="24"/>
                <w:highlight w:val="none"/>
              </w:rPr>
              <w:t>踏勘现场答疑时间</w:t>
            </w:r>
          </w:p>
        </w:tc>
        <w:tc>
          <w:tcPr>
            <w:tcW w:w="5887" w:type="dxa"/>
            <w:vAlign w:val="center"/>
          </w:tcPr>
          <w:p w14:paraId="702CE9EF">
            <w:pPr>
              <w:spacing w:line="360" w:lineRule="auto"/>
              <w:jc w:val="left"/>
              <w:rPr>
                <w:rFonts w:ascii="宋体" w:hAnsi="宋体"/>
                <w:color w:val="auto"/>
                <w:sz w:val="24"/>
                <w:highlight w:val="none"/>
              </w:rPr>
            </w:pPr>
            <w:r>
              <w:rPr>
                <w:rFonts w:ascii="宋体" w:hAnsi="宋体"/>
                <w:color w:val="auto"/>
                <w:sz w:val="24"/>
                <w:highlight w:val="none"/>
              </w:rPr>
              <w:t>投标人自行踏勘现场</w:t>
            </w:r>
          </w:p>
          <w:p w14:paraId="061759EF">
            <w:pPr>
              <w:spacing w:line="360" w:lineRule="auto"/>
              <w:jc w:val="left"/>
              <w:rPr>
                <w:rFonts w:ascii="宋体" w:hAnsi="宋体"/>
                <w:color w:val="auto"/>
                <w:sz w:val="24"/>
                <w:highlight w:val="none"/>
              </w:rPr>
            </w:pPr>
            <w:r>
              <w:rPr>
                <w:rFonts w:ascii="宋体" w:hAnsi="宋体"/>
                <w:color w:val="auto"/>
                <w:sz w:val="24"/>
                <w:highlight w:val="none"/>
              </w:rPr>
              <w:t>答疑</w:t>
            </w:r>
            <w:r>
              <w:rPr>
                <w:rFonts w:hint="eastAsia" w:ascii="宋体" w:hAnsi="宋体"/>
                <w:color w:val="auto"/>
                <w:sz w:val="24"/>
                <w:highlight w:val="none"/>
              </w:rPr>
              <w:t>提交截止</w:t>
            </w:r>
            <w:r>
              <w:rPr>
                <w:rFonts w:ascii="宋体" w:hAnsi="宋体"/>
                <w:color w:val="auto"/>
                <w:sz w:val="24"/>
                <w:highlight w:val="none"/>
              </w:rPr>
              <w:t>时间：</w:t>
            </w:r>
            <w:r>
              <w:rPr>
                <w:rFonts w:ascii="宋体" w:hAnsi="宋体"/>
                <w:b/>
                <w:color w:val="auto"/>
                <w:sz w:val="24"/>
                <w:highlight w:val="none"/>
                <w:u w:val="single"/>
              </w:rPr>
              <w:t>202</w:t>
            </w:r>
            <w:r>
              <w:rPr>
                <w:rFonts w:hint="eastAsia" w:ascii="宋体" w:hAnsi="宋体"/>
                <w:b/>
                <w:color w:val="auto"/>
                <w:sz w:val="24"/>
                <w:highlight w:val="none"/>
                <w:u w:val="single"/>
              </w:rPr>
              <w:t>4</w:t>
            </w:r>
            <w:r>
              <w:rPr>
                <w:rFonts w:ascii="宋体" w:hAnsi="宋体"/>
                <w:b/>
                <w:color w:val="auto"/>
                <w:sz w:val="24"/>
                <w:highlight w:val="none"/>
                <w:u w:val="single"/>
              </w:rPr>
              <w:t>年</w:t>
            </w:r>
            <w:r>
              <w:rPr>
                <w:rFonts w:hint="eastAsia" w:ascii="宋体" w:hAnsi="宋体"/>
                <w:b/>
                <w:color w:val="auto"/>
                <w:sz w:val="24"/>
                <w:highlight w:val="none"/>
                <w:u w:val="single"/>
                <w:lang w:val="en-US" w:eastAsia="zh-CN"/>
              </w:rPr>
              <w:t>12</w:t>
            </w:r>
            <w:r>
              <w:rPr>
                <w:rFonts w:ascii="宋体" w:hAnsi="宋体"/>
                <w:b/>
                <w:color w:val="auto"/>
                <w:sz w:val="24"/>
                <w:highlight w:val="none"/>
                <w:u w:val="single"/>
              </w:rPr>
              <w:t>月</w:t>
            </w:r>
            <w:r>
              <w:rPr>
                <w:rFonts w:hint="eastAsia" w:ascii="宋体" w:hAnsi="宋体"/>
                <w:b/>
                <w:color w:val="auto"/>
                <w:sz w:val="24"/>
                <w:highlight w:val="none"/>
                <w:u w:val="single"/>
                <w:lang w:val="en-US" w:eastAsia="zh-CN"/>
              </w:rPr>
              <w:t>03</w:t>
            </w:r>
            <w:r>
              <w:rPr>
                <w:rFonts w:ascii="宋体" w:hAnsi="宋体"/>
                <w:b/>
                <w:color w:val="auto"/>
                <w:sz w:val="24"/>
                <w:highlight w:val="none"/>
                <w:u w:val="single"/>
              </w:rPr>
              <w:t>日17时</w:t>
            </w:r>
            <w:r>
              <w:rPr>
                <w:rFonts w:ascii="宋体" w:hAnsi="宋体"/>
                <w:color w:val="auto"/>
                <w:sz w:val="24"/>
                <w:highlight w:val="none"/>
                <w:u w:val="single"/>
              </w:rPr>
              <w:t>前</w:t>
            </w:r>
          </w:p>
        </w:tc>
      </w:tr>
      <w:tr w14:paraId="28D9DA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14" w:type="dxa"/>
            <w:vAlign w:val="center"/>
          </w:tcPr>
          <w:p w14:paraId="19774660">
            <w:pPr>
              <w:spacing w:line="360" w:lineRule="auto"/>
              <w:jc w:val="center"/>
              <w:rPr>
                <w:rFonts w:ascii="宋体" w:hAnsi="宋体"/>
                <w:color w:val="auto"/>
                <w:sz w:val="24"/>
                <w:highlight w:val="none"/>
              </w:rPr>
            </w:pPr>
            <w:r>
              <w:rPr>
                <w:rFonts w:ascii="宋体" w:hAnsi="宋体"/>
                <w:color w:val="auto"/>
                <w:sz w:val="24"/>
                <w:highlight w:val="none"/>
              </w:rPr>
              <w:t>14</w:t>
            </w:r>
          </w:p>
        </w:tc>
        <w:tc>
          <w:tcPr>
            <w:tcW w:w="992" w:type="dxa"/>
            <w:vAlign w:val="center"/>
          </w:tcPr>
          <w:p w14:paraId="0FD385B4">
            <w:pPr>
              <w:spacing w:line="360" w:lineRule="auto"/>
              <w:jc w:val="center"/>
              <w:rPr>
                <w:rFonts w:ascii="宋体" w:hAnsi="宋体"/>
                <w:color w:val="auto"/>
                <w:sz w:val="24"/>
                <w:highlight w:val="none"/>
              </w:rPr>
            </w:pPr>
            <w:r>
              <w:rPr>
                <w:rFonts w:ascii="宋体" w:hAnsi="宋体"/>
                <w:color w:val="auto"/>
                <w:sz w:val="24"/>
                <w:highlight w:val="none"/>
              </w:rPr>
              <w:t>18.2</w:t>
            </w:r>
          </w:p>
        </w:tc>
        <w:tc>
          <w:tcPr>
            <w:tcW w:w="1701" w:type="dxa"/>
            <w:vAlign w:val="center"/>
          </w:tcPr>
          <w:p w14:paraId="40BD000A">
            <w:pPr>
              <w:spacing w:line="360" w:lineRule="auto"/>
              <w:jc w:val="center"/>
              <w:rPr>
                <w:rFonts w:ascii="宋体" w:hAnsi="宋体"/>
                <w:color w:val="auto"/>
                <w:sz w:val="24"/>
                <w:highlight w:val="none"/>
              </w:rPr>
            </w:pPr>
            <w:r>
              <w:rPr>
                <w:rFonts w:ascii="宋体" w:hAnsi="宋体"/>
                <w:color w:val="auto"/>
                <w:sz w:val="24"/>
                <w:highlight w:val="none"/>
              </w:rPr>
              <w:t>招标控制价编制依据</w:t>
            </w:r>
          </w:p>
        </w:tc>
        <w:tc>
          <w:tcPr>
            <w:tcW w:w="5887" w:type="dxa"/>
            <w:vAlign w:val="center"/>
          </w:tcPr>
          <w:p w14:paraId="2DB75B92">
            <w:pPr>
              <w:spacing w:line="360" w:lineRule="auto"/>
              <w:jc w:val="left"/>
              <w:rPr>
                <w:rFonts w:ascii="宋体" w:hAnsi="宋体"/>
                <w:color w:val="auto"/>
                <w:sz w:val="24"/>
                <w:highlight w:val="none"/>
              </w:rPr>
            </w:pPr>
            <w:r>
              <w:rPr>
                <w:rFonts w:ascii="宋体" w:hAnsi="宋体"/>
                <w:color w:val="auto"/>
                <w:sz w:val="24"/>
                <w:highlight w:val="none"/>
              </w:rPr>
              <w:t>招标控制价编制执行：</w:t>
            </w:r>
          </w:p>
          <w:p w14:paraId="6E40C501">
            <w:pPr>
              <w:adjustRightInd w:val="0"/>
              <w:snapToGrid w:val="0"/>
              <w:spacing w:line="360" w:lineRule="auto"/>
              <w:jc w:val="left"/>
              <w:rPr>
                <w:rFonts w:ascii="宋体" w:hAnsi="宋体" w:cs="宋体"/>
                <w:color w:val="auto"/>
                <w:sz w:val="24"/>
                <w:highlight w:val="none"/>
              </w:rPr>
            </w:pPr>
            <w:r>
              <w:rPr>
                <w:rFonts w:hint="eastAsia" w:ascii="宋体" w:hAnsi="宋体" w:cs="宋体"/>
                <w:color w:val="auto"/>
                <w:sz w:val="24"/>
                <w:highlight w:val="none"/>
              </w:rPr>
              <w:t>(1)本工程施工图及其工程量清单；</w:t>
            </w:r>
          </w:p>
          <w:p w14:paraId="45D2B6D1">
            <w:pPr>
              <w:spacing w:line="360" w:lineRule="auto"/>
              <w:jc w:val="left"/>
              <w:rPr>
                <w:rFonts w:ascii="宋体" w:hAnsi="宋体" w:cs="宋体"/>
                <w:color w:val="auto"/>
                <w:sz w:val="24"/>
                <w:highlight w:val="none"/>
              </w:rPr>
            </w:pPr>
            <w:r>
              <w:rPr>
                <w:rFonts w:hint="eastAsia" w:ascii="宋体" w:hAnsi="宋体" w:cs="宋体"/>
                <w:color w:val="auto"/>
                <w:sz w:val="24"/>
                <w:highlight w:val="none"/>
              </w:rPr>
              <w:t>(2)《建设工程工程量清单计价规范》（GB50500-2013）；</w:t>
            </w:r>
          </w:p>
          <w:p w14:paraId="3FBC48B7">
            <w:pPr>
              <w:spacing w:line="360" w:lineRule="auto"/>
              <w:jc w:val="left"/>
              <w:rPr>
                <w:rFonts w:ascii="宋体" w:hAnsi="宋体" w:cs="宋体"/>
                <w:color w:val="auto"/>
                <w:sz w:val="24"/>
                <w:highlight w:val="none"/>
              </w:rPr>
            </w:pPr>
            <w:r>
              <w:rPr>
                <w:rFonts w:hint="eastAsia" w:ascii="宋体" w:hAnsi="宋体" w:cs="宋体"/>
                <w:color w:val="auto"/>
                <w:sz w:val="24"/>
                <w:highlight w:val="none"/>
              </w:rPr>
              <w:t>(3)《江苏省安装工程计价定额》（2014年）；</w:t>
            </w:r>
          </w:p>
          <w:p w14:paraId="353E77B0">
            <w:pPr>
              <w:spacing w:line="360" w:lineRule="auto"/>
              <w:jc w:val="left"/>
              <w:rPr>
                <w:rFonts w:ascii="宋体" w:hAnsi="宋体" w:cs="宋体"/>
                <w:color w:val="auto"/>
                <w:sz w:val="24"/>
                <w:highlight w:val="none"/>
              </w:rPr>
            </w:pPr>
            <w:r>
              <w:rPr>
                <w:rFonts w:hint="eastAsia" w:ascii="宋体" w:hAnsi="宋体" w:cs="宋体"/>
                <w:color w:val="auto"/>
                <w:sz w:val="24"/>
                <w:highlight w:val="none"/>
              </w:rPr>
              <w:t>(4)《江苏省建设工程费用定额》（2014年）；</w:t>
            </w:r>
          </w:p>
          <w:p w14:paraId="3882614C">
            <w:pPr>
              <w:spacing w:line="360" w:lineRule="auto"/>
              <w:jc w:val="left"/>
              <w:rPr>
                <w:rFonts w:ascii="宋体" w:hAnsi="宋体" w:cs="宋体"/>
                <w:color w:val="auto"/>
                <w:kern w:val="0"/>
                <w:sz w:val="24"/>
                <w:highlight w:val="none"/>
              </w:rPr>
            </w:pPr>
            <w:r>
              <w:rPr>
                <w:rFonts w:hint="eastAsia" w:ascii="宋体" w:hAnsi="宋体" w:cs="宋体"/>
                <w:color w:val="auto"/>
                <w:sz w:val="24"/>
                <w:highlight w:val="none"/>
              </w:rPr>
              <w:t>(5)</w:t>
            </w:r>
            <w:r>
              <w:rPr>
                <w:rFonts w:hint="eastAsia" w:ascii="宋体" w:hAnsi="宋体" w:cs="宋体"/>
                <w:color w:val="auto"/>
                <w:kern w:val="0"/>
                <w:sz w:val="24"/>
                <w:highlight w:val="none"/>
              </w:rPr>
              <w:t>《省住房和城乡建设厅关于发布2024年下半年建设工程人工工资指导价的通知》（苏建函价〔2024〕348号）</w:t>
            </w:r>
          </w:p>
          <w:p w14:paraId="7CDB6996">
            <w:pPr>
              <w:spacing w:line="360" w:lineRule="auto"/>
              <w:jc w:val="left"/>
              <w:rPr>
                <w:rFonts w:ascii="宋体" w:hAnsi="宋体" w:cs="宋体"/>
                <w:color w:val="auto"/>
                <w:sz w:val="24"/>
                <w:highlight w:val="none"/>
              </w:rPr>
            </w:pPr>
            <w:r>
              <w:rPr>
                <w:rFonts w:hint="eastAsia" w:ascii="宋体" w:hAnsi="宋体" w:cs="宋体"/>
                <w:color w:val="auto"/>
                <w:kern w:val="0"/>
                <w:sz w:val="24"/>
                <w:highlight w:val="none"/>
              </w:rPr>
              <w:t>(6)《省住房和城乡建设厅关于建筑业实施营改增后江苏省建设工程计价依据调整的通知》(苏建价[2016]154号)、《省住房城乡建设厅关于建筑业增值税计价政策调整的通知》苏建价【2018】298号文、《省住房城乡建设厅关于调整建设工程计价增值税税率的通知》苏建函价〔2019〕178号；征税方法采用一般计税法；</w:t>
            </w:r>
          </w:p>
          <w:p w14:paraId="086E9C8D">
            <w:pPr>
              <w:spacing w:line="360" w:lineRule="auto"/>
              <w:jc w:val="left"/>
              <w:rPr>
                <w:rFonts w:ascii="宋体" w:hAnsi="宋体" w:cs="宋体"/>
                <w:color w:val="auto"/>
                <w:sz w:val="24"/>
                <w:highlight w:val="none"/>
              </w:rPr>
            </w:pPr>
            <w:r>
              <w:rPr>
                <w:rFonts w:hint="eastAsia" w:ascii="宋体" w:hAnsi="宋体" w:cs="宋体"/>
                <w:color w:val="auto"/>
                <w:sz w:val="24"/>
                <w:highlight w:val="none"/>
              </w:rPr>
              <w:t>(7)材料价格参照《南通建设工程造价信息》</w:t>
            </w:r>
            <w:r>
              <w:rPr>
                <w:rFonts w:hint="eastAsia" w:ascii="宋体" w:hAnsi="宋体" w:cs="宋体"/>
                <w:color w:val="auto"/>
                <w:sz w:val="24"/>
                <w:highlight w:val="none"/>
              </w:rPr>
              <w:t>2024年第11期</w:t>
            </w:r>
            <w:r>
              <w:rPr>
                <w:rFonts w:hint="eastAsia" w:ascii="宋体" w:hAnsi="宋体" w:cs="宋体"/>
                <w:color w:val="auto"/>
                <w:sz w:val="24"/>
                <w:highlight w:val="none"/>
              </w:rPr>
              <w:t>中的材料信息价，若信息价中无材料信息价的材料的价格，则按市场价执行；</w:t>
            </w:r>
          </w:p>
          <w:p w14:paraId="167886D8">
            <w:pPr>
              <w:spacing w:line="360" w:lineRule="auto"/>
              <w:jc w:val="left"/>
              <w:rPr>
                <w:rFonts w:ascii="宋体" w:hAnsi="宋体"/>
                <w:color w:val="auto"/>
                <w:sz w:val="24"/>
                <w:highlight w:val="none"/>
              </w:rPr>
            </w:pPr>
            <w:r>
              <w:rPr>
                <w:rFonts w:hint="eastAsia" w:ascii="宋体" w:hAnsi="宋体" w:cs="宋体"/>
                <w:color w:val="auto"/>
                <w:sz w:val="24"/>
                <w:highlight w:val="none"/>
              </w:rPr>
              <w:t>(8)</w:t>
            </w:r>
            <w:r>
              <w:rPr>
                <w:rFonts w:hint="eastAsia" w:ascii="宋体" w:hAnsi="宋体" w:cs="宋体"/>
                <w:color w:val="auto"/>
                <w:kern w:val="0"/>
                <w:sz w:val="24"/>
                <w:highlight w:val="none"/>
              </w:rPr>
              <w:t>答疑、补充通知或澄清文件。</w:t>
            </w:r>
          </w:p>
        </w:tc>
      </w:tr>
      <w:tr w14:paraId="33D0764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14" w:type="dxa"/>
            <w:vAlign w:val="center"/>
          </w:tcPr>
          <w:p w14:paraId="4890AB73">
            <w:pPr>
              <w:spacing w:line="360" w:lineRule="auto"/>
              <w:jc w:val="center"/>
              <w:rPr>
                <w:rFonts w:ascii="宋体" w:hAnsi="宋体"/>
                <w:color w:val="auto"/>
                <w:sz w:val="24"/>
                <w:highlight w:val="none"/>
              </w:rPr>
            </w:pPr>
            <w:r>
              <w:rPr>
                <w:rFonts w:ascii="宋体" w:hAnsi="宋体"/>
                <w:color w:val="auto"/>
                <w:sz w:val="24"/>
                <w:highlight w:val="none"/>
              </w:rPr>
              <w:t>15</w:t>
            </w:r>
          </w:p>
        </w:tc>
        <w:tc>
          <w:tcPr>
            <w:tcW w:w="992" w:type="dxa"/>
            <w:vAlign w:val="center"/>
          </w:tcPr>
          <w:p w14:paraId="710E47B8">
            <w:pPr>
              <w:spacing w:line="360" w:lineRule="auto"/>
              <w:jc w:val="center"/>
              <w:rPr>
                <w:rFonts w:ascii="宋体" w:hAnsi="宋体"/>
                <w:color w:val="auto"/>
                <w:sz w:val="24"/>
                <w:highlight w:val="none"/>
              </w:rPr>
            </w:pPr>
            <w:r>
              <w:rPr>
                <w:rFonts w:ascii="宋体" w:hAnsi="宋体"/>
                <w:color w:val="auto"/>
                <w:sz w:val="24"/>
                <w:highlight w:val="none"/>
              </w:rPr>
              <w:t>18.3</w:t>
            </w:r>
          </w:p>
        </w:tc>
        <w:tc>
          <w:tcPr>
            <w:tcW w:w="1701" w:type="dxa"/>
            <w:vAlign w:val="center"/>
          </w:tcPr>
          <w:p w14:paraId="4BE26217">
            <w:pPr>
              <w:spacing w:line="360" w:lineRule="auto"/>
              <w:jc w:val="center"/>
              <w:rPr>
                <w:rFonts w:ascii="宋体" w:hAnsi="宋体"/>
                <w:color w:val="auto"/>
                <w:sz w:val="24"/>
                <w:highlight w:val="none"/>
              </w:rPr>
            </w:pPr>
            <w:r>
              <w:rPr>
                <w:rFonts w:ascii="宋体" w:hAnsi="宋体"/>
                <w:color w:val="auto"/>
                <w:sz w:val="24"/>
                <w:highlight w:val="none"/>
              </w:rPr>
              <w:t>公布的招标控制价文件组成</w:t>
            </w:r>
          </w:p>
        </w:tc>
        <w:tc>
          <w:tcPr>
            <w:tcW w:w="5887" w:type="dxa"/>
            <w:vAlign w:val="center"/>
          </w:tcPr>
          <w:p w14:paraId="46D9FD1F">
            <w:pPr>
              <w:spacing w:line="360" w:lineRule="auto"/>
              <w:jc w:val="left"/>
              <w:rPr>
                <w:rFonts w:ascii="宋体" w:hAnsi="宋体"/>
                <w:color w:val="auto"/>
                <w:sz w:val="24"/>
                <w:highlight w:val="none"/>
              </w:rPr>
            </w:pPr>
            <w:r>
              <w:rPr>
                <w:rFonts w:ascii="宋体" w:hAnsi="宋体"/>
                <w:color w:val="auto"/>
                <w:sz w:val="24"/>
                <w:highlight w:val="none"/>
              </w:rPr>
              <w:t>建设项目招标控制价汇总表、分部分项工程和单价措施项目清单与计价表、材料价格表……</w:t>
            </w:r>
          </w:p>
        </w:tc>
      </w:tr>
      <w:tr w14:paraId="29DC99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14" w:type="dxa"/>
            <w:vAlign w:val="center"/>
          </w:tcPr>
          <w:p w14:paraId="5F55C6AC">
            <w:pPr>
              <w:spacing w:line="360" w:lineRule="auto"/>
              <w:jc w:val="center"/>
              <w:rPr>
                <w:rFonts w:ascii="宋体" w:hAnsi="宋体"/>
                <w:color w:val="auto"/>
                <w:sz w:val="24"/>
                <w:highlight w:val="none"/>
              </w:rPr>
            </w:pPr>
            <w:r>
              <w:rPr>
                <w:rFonts w:ascii="宋体" w:hAnsi="宋体"/>
                <w:color w:val="auto"/>
                <w:sz w:val="24"/>
                <w:highlight w:val="none"/>
              </w:rPr>
              <w:t>16</w:t>
            </w:r>
          </w:p>
        </w:tc>
        <w:tc>
          <w:tcPr>
            <w:tcW w:w="992" w:type="dxa"/>
            <w:vAlign w:val="center"/>
          </w:tcPr>
          <w:p w14:paraId="78B3A89F">
            <w:pPr>
              <w:spacing w:line="360" w:lineRule="auto"/>
              <w:jc w:val="center"/>
              <w:rPr>
                <w:rFonts w:ascii="宋体" w:hAnsi="宋体"/>
                <w:color w:val="auto"/>
                <w:sz w:val="24"/>
                <w:highlight w:val="none"/>
              </w:rPr>
            </w:pPr>
            <w:r>
              <w:rPr>
                <w:rFonts w:ascii="宋体" w:hAnsi="宋体"/>
                <w:color w:val="auto"/>
                <w:sz w:val="24"/>
                <w:highlight w:val="none"/>
              </w:rPr>
              <w:t>18.4</w:t>
            </w:r>
          </w:p>
        </w:tc>
        <w:tc>
          <w:tcPr>
            <w:tcW w:w="1701" w:type="dxa"/>
            <w:vAlign w:val="center"/>
          </w:tcPr>
          <w:p w14:paraId="1F58CA6F">
            <w:pPr>
              <w:spacing w:line="360" w:lineRule="auto"/>
              <w:jc w:val="center"/>
              <w:rPr>
                <w:rFonts w:ascii="宋体" w:hAnsi="宋体"/>
                <w:color w:val="auto"/>
                <w:sz w:val="24"/>
                <w:highlight w:val="none"/>
              </w:rPr>
            </w:pPr>
            <w:r>
              <w:rPr>
                <w:rFonts w:ascii="宋体" w:hAnsi="宋体"/>
                <w:color w:val="auto"/>
                <w:sz w:val="24"/>
                <w:highlight w:val="none"/>
              </w:rPr>
              <w:t>招标控制价公布时间</w:t>
            </w:r>
          </w:p>
        </w:tc>
        <w:tc>
          <w:tcPr>
            <w:tcW w:w="5887" w:type="dxa"/>
            <w:vAlign w:val="center"/>
          </w:tcPr>
          <w:p w14:paraId="2C5AC2BE">
            <w:pPr>
              <w:spacing w:line="360" w:lineRule="auto"/>
              <w:jc w:val="left"/>
              <w:rPr>
                <w:rFonts w:hint="eastAsia" w:ascii="宋体" w:hAnsi="宋体"/>
                <w:b/>
                <w:color w:val="auto"/>
                <w:sz w:val="24"/>
                <w:highlight w:val="none"/>
                <w:u w:val="single"/>
              </w:rPr>
            </w:pPr>
            <w:r>
              <w:rPr>
                <w:rFonts w:ascii="宋体" w:hAnsi="宋体"/>
                <w:color w:val="auto"/>
                <w:sz w:val="24"/>
                <w:highlight w:val="none"/>
              </w:rPr>
              <w:t>本工程招标控制价：</w:t>
            </w:r>
            <w:r>
              <w:rPr>
                <w:rFonts w:hint="eastAsia" w:ascii="宋体" w:hAnsi="宋体"/>
                <w:b/>
                <w:color w:val="auto"/>
                <w:sz w:val="24"/>
                <w:highlight w:val="none"/>
                <w:u w:val="single"/>
                <w:lang w:val="en-US" w:eastAsia="zh-CN"/>
              </w:rPr>
              <w:t>277016.39</w:t>
            </w:r>
            <w:r>
              <w:rPr>
                <w:rFonts w:hint="eastAsia" w:ascii="宋体" w:hAnsi="宋体"/>
                <w:b/>
                <w:color w:val="auto"/>
                <w:sz w:val="24"/>
                <w:highlight w:val="none"/>
                <w:u w:val="single"/>
              </w:rPr>
              <w:t>元</w:t>
            </w:r>
          </w:p>
          <w:p w14:paraId="30EDB244">
            <w:pPr>
              <w:spacing w:line="360" w:lineRule="auto"/>
              <w:jc w:val="left"/>
              <w:rPr>
                <w:rFonts w:ascii="宋体" w:hAnsi="宋体"/>
                <w:color w:val="auto"/>
                <w:sz w:val="24"/>
                <w:highlight w:val="none"/>
              </w:rPr>
            </w:pPr>
            <w:r>
              <w:rPr>
                <w:rFonts w:ascii="宋体" w:hAnsi="宋体"/>
                <w:color w:val="auto"/>
                <w:sz w:val="24"/>
                <w:highlight w:val="none"/>
              </w:rPr>
              <w:t>招标控制价、标底等文件同招标文件同时在</w:t>
            </w:r>
            <w:r>
              <w:rPr>
                <w:rFonts w:hint="eastAsia" w:ascii="宋体" w:hAnsi="宋体"/>
                <w:color w:val="auto"/>
                <w:sz w:val="24"/>
                <w:highlight w:val="none"/>
              </w:rPr>
              <w:t>南通市崇川区人民政府网—公示公告栏中发布</w:t>
            </w:r>
          </w:p>
        </w:tc>
      </w:tr>
      <w:tr w14:paraId="0B75693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14" w:type="dxa"/>
            <w:vAlign w:val="center"/>
          </w:tcPr>
          <w:p w14:paraId="0F07B836">
            <w:pPr>
              <w:spacing w:line="360" w:lineRule="auto"/>
              <w:jc w:val="center"/>
              <w:rPr>
                <w:rFonts w:ascii="宋体" w:hAnsi="宋体"/>
                <w:color w:val="auto"/>
                <w:sz w:val="24"/>
                <w:highlight w:val="none"/>
              </w:rPr>
            </w:pPr>
            <w:r>
              <w:rPr>
                <w:rFonts w:ascii="宋体" w:hAnsi="宋体"/>
                <w:color w:val="auto"/>
                <w:sz w:val="24"/>
                <w:highlight w:val="none"/>
              </w:rPr>
              <w:t>17</w:t>
            </w:r>
          </w:p>
        </w:tc>
        <w:tc>
          <w:tcPr>
            <w:tcW w:w="992" w:type="dxa"/>
            <w:vAlign w:val="center"/>
          </w:tcPr>
          <w:p w14:paraId="3632ABEF">
            <w:pPr>
              <w:spacing w:line="360" w:lineRule="auto"/>
              <w:jc w:val="center"/>
              <w:rPr>
                <w:rFonts w:ascii="宋体" w:hAnsi="宋体"/>
                <w:color w:val="auto"/>
                <w:sz w:val="24"/>
                <w:highlight w:val="none"/>
              </w:rPr>
            </w:pPr>
            <w:r>
              <w:rPr>
                <w:rFonts w:ascii="宋体" w:hAnsi="宋体"/>
                <w:color w:val="auto"/>
                <w:sz w:val="24"/>
                <w:highlight w:val="none"/>
              </w:rPr>
              <w:t>20</w:t>
            </w:r>
          </w:p>
        </w:tc>
        <w:tc>
          <w:tcPr>
            <w:tcW w:w="1701" w:type="dxa"/>
            <w:vAlign w:val="center"/>
          </w:tcPr>
          <w:p w14:paraId="50FAD221">
            <w:pPr>
              <w:spacing w:line="360" w:lineRule="auto"/>
              <w:jc w:val="center"/>
              <w:rPr>
                <w:rFonts w:ascii="宋体" w:hAnsi="宋体"/>
                <w:color w:val="auto"/>
                <w:sz w:val="24"/>
                <w:highlight w:val="none"/>
              </w:rPr>
            </w:pPr>
            <w:r>
              <w:rPr>
                <w:rFonts w:ascii="宋体" w:hAnsi="宋体"/>
                <w:color w:val="auto"/>
                <w:sz w:val="24"/>
                <w:highlight w:val="none"/>
              </w:rPr>
              <w:t>投标文件份数</w:t>
            </w:r>
          </w:p>
        </w:tc>
        <w:tc>
          <w:tcPr>
            <w:tcW w:w="5887" w:type="dxa"/>
            <w:vAlign w:val="center"/>
          </w:tcPr>
          <w:p w14:paraId="415C21D1">
            <w:pPr>
              <w:spacing w:line="360" w:lineRule="auto"/>
              <w:jc w:val="left"/>
              <w:rPr>
                <w:rFonts w:ascii="宋体" w:hAnsi="宋体"/>
                <w:snapToGrid w:val="0"/>
                <w:color w:val="auto"/>
                <w:kern w:val="0"/>
                <w:sz w:val="24"/>
                <w:highlight w:val="none"/>
              </w:rPr>
            </w:pPr>
            <w:r>
              <w:rPr>
                <w:rFonts w:ascii="宋体" w:hAnsi="宋体"/>
                <w:b/>
                <w:snapToGrid w:val="0"/>
                <w:color w:val="auto"/>
                <w:kern w:val="0"/>
                <w:sz w:val="24"/>
                <w:highlight w:val="none"/>
              </w:rPr>
              <w:t>纸质文件</w:t>
            </w:r>
            <w:r>
              <w:rPr>
                <w:rFonts w:ascii="宋体" w:hAnsi="宋体"/>
                <w:snapToGrid w:val="0"/>
                <w:color w:val="auto"/>
                <w:kern w:val="0"/>
                <w:sz w:val="24"/>
                <w:highlight w:val="none"/>
              </w:rPr>
              <w:t>正本</w:t>
            </w:r>
            <w:r>
              <w:rPr>
                <w:rFonts w:ascii="宋体" w:hAnsi="宋体"/>
                <w:snapToGrid w:val="0"/>
                <w:color w:val="auto"/>
                <w:kern w:val="0"/>
                <w:sz w:val="24"/>
                <w:highlight w:val="none"/>
                <w:u w:val="single"/>
              </w:rPr>
              <w:t>壹</w:t>
            </w:r>
            <w:r>
              <w:rPr>
                <w:rFonts w:ascii="宋体" w:hAnsi="宋体"/>
                <w:snapToGrid w:val="0"/>
                <w:color w:val="auto"/>
                <w:kern w:val="0"/>
                <w:sz w:val="24"/>
                <w:highlight w:val="none"/>
              </w:rPr>
              <w:t>份</w:t>
            </w:r>
            <w:r>
              <w:rPr>
                <w:rFonts w:hint="eastAsia" w:ascii="宋体" w:hAnsi="宋体"/>
                <w:snapToGrid w:val="0"/>
                <w:color w:val="auto"/>
                <w:kern w:val="0"/>
                <w:sz w:val="24"/>
                <w:highlight w:val="none"/>
              </w:rPr>
              <w:t>、副本叁份。</w:t>
            </w:r>
          </w:p>
          <w:p w14:paraId="068A2300">
            <w:pPr>
              <w:spacing w:line="360" w:lineRule="auto"/>
              <w:jc w:val="left"/>
              <w:rPr>
                <w:rFonts w:ascii="宋体" w:hAnsi="宋体"/>
                <w:snapToGrid w:val="0"/>
                <w:color w:val="auto"/>
                <w:kern w:val="0"/>
                <w:sz w:val="24"/>
                <w:highlight w:val="none"/>
              </w:rPr>
            </w:pPr>
            <w:r>
              <w:rPr>
                <w:rFonts w:ascii="宋体" w:hAnsi="宋体"/>
                <w:b/>
                <w:snapToGrid w:val="0"/>
                <w:color w:val="auto"/>
                <w:kern w:val="0"/>
                <w:sz w:val="24"/>
                <w:highlight w:val="none"/>
              </w:rPr>
              <w:t>电子投标文件</w:t>
            </w:r>
            <w:r>
              <w:rPr>
                <w:rFonts w:ascii="宋体" w:hAnsi="宋体"/>
                <w:snapToGrid w:val="0"/>
                <w:color w:val="auto"/>
                <w:kern w:val="0"/>
                <w:sz w:val="24"/>
                <w:highlight w:val="none"/>
              </w:rPr>
              <w:t>光盘</w:t>
            </w:r>
            <w:r>
              <w:rPr>
                <w:rFonts w:hint="eastAsia" w:ascii="宋体" w:hAnsi="宋体"/>
                <w:snapToGrid w:val="0"/>
                <w:color w:val="auto"/>
                <w:kern w:val="0"/>
                <w:sz w:val="24"/>
                <w:highlight w:val="none"/>
              </w:rPr>
              <w:t>壹</w:t>
            </w:r>
            <w:r>
              <w:rPr>
                <w:rFonts w:ascii="宋体" w:hAnsi="宋体"/>
                <w:snapToGrid w:val="0"/>
                <w:color w:val="auto"/>
                <w:kern w:val="0"/>
                <w:sz w:val="24"/>
                <w:highlight w:val="none"/>
              </w:rPr>
              <w:t>份。</w:t>
            </w:r>
            <w:r>
              <w:rPr>
                <w:rFonts w:ascii="宋体" w:hAnsi="宋体"/>
                <w:bCs/>
                <w:snapToGrid w:val="0"/>
                <w:color w:val="auto"/>
                <w:kern w:val="0"/>
                <w:sz w:val="24"/>
                <w:highlight w:val="none"/>
              </w:rPr>
              <w:t>电子投标文件光盘单独密封，封袋上加盖投标人单位公章和法定代表人印章</w:t>
            </w:r>
          </w:p>
          <w:p w14:paraId="7C6D62D4">
            <w:pPr>
              <w:spacing w:line="360" w:lineRule="auto"/>
              <w:jc w:val="left"/>
              <w:rPr>
                <w:rFonts w:ascii="宋体" w:hAnsi="宋体"/>
                <w:b/>
                <w:snapToGrid w:val="0"/>
                <w:color w:val="auto"/>
                <w:kern w:val="0"/>
                <w:sz w:val="24"/>
                <w:highlight w:val="none"/>
              </w:rPr>
            </w:pPr>
            <w:r>
              <w:rPr>
                <w:rFonts w:ascii="宋体" w:hAnsi="宋体"/>
                <w:snapToGrid w:val="0"/>
                <w:color w:val="auto"/>
                <w:kern w:val="0"/>
                <w:sz w:val="24"/>
                <w:highlight w:val="none"/>
              </w:rPr>
              <w:t>投标人提供的纸质投标文件与电子投标文件（刻录于普通光盘</w:t>
            </w:r>
            <w:r>
              <w:rPr>
                <w:rFonts w:hint="eastAsia" w:ascii="宋体" w:hAnsi="宋体"/>
                <w:snapToGrid w:val="0"/>
                <w:color w:val="auto"/>
                <w:kern w:val="0"/>
                <w:sz w:val="24"/>
                <w:highlight w:val="none"/>
              </w:rPr>
              <w:t>或优盘中</w:t>
            </w:r>
            <w:r>
              <w:rPr>
                <w:rFonts w:ascii="宋体" w:hAnsi="宋体"/>
                <w:snapToGrid w:val="0"/>
                <w:color w:val="auto"/>
                <w:kern w:val="0"/>
                <w:sz w:val="24"/>
                <w:highlight w:val="none"/>
              </w:rPr>
              <w:t>）必须保持完全一致。</w:t>
            </w:r>
          </w:p>
        </w:tc>
      </w:tr>
      <w:tr w14:paraId="35EE49C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14" w:type="dxa"/>
            <w:vAlign w:val="center"/>
          </w:tcPr>
          <w:p w14:paraId="325107D1">
            <w:pPr>
              <w:spacing w:line="360" w:lineRule="auto"/>
              <w:jc w:val="center"/>
              <w:rPr>
                <w:rFonts w:ascii="宋体" w:hAnsi="宋体"/>
                <w:color w:val="auto"/>
                <w:sz w:val="24"/>
                <w:highlight w:val="none"/>
              </w:rPr>
            </w:pPr>
            <w:r>
              <w:rPr>
                <w:rFonts w:ascii="宋体" w:hAnsi="宋体"/>
                <w:color w:val="auto"/>
                <w:sz w:val="24"/>
                <w:highlight w:val="none"/>
              </w:rPr>
              <w:t>18</w:t>
            </w:r>
          </w:p>
        </w:tc>
        <w:tc>
          <w:tcPr>
            <w:tcW w:w="992" w:type="dxa"/>
            <w:vAlign w:val="center"/>
          </w:tcPr>
          <w:p w14:paraId="69A5AB4C">
            <w:pPr>
              <w:spacing w:line="360" w:lineRule="auto"/>
              <w:jc w:val="center"/>
              <w:rPr>
                <w:rFonts w:ascii="宋体" w:hAnsi="宋体"/>
                <w:color w:val="auto"/>
                <w:sz w:val="24"/>
                <w:highlight w:val="none"/>
              </w:rPr>
            </w:pPr>
            <w:r>
              <w:rPr>
                <w:rFonts w:ascii="宋体" w:hAnsi="宋体"/>
                <w:color w:val="auto"/>
                <w:sz w:val="24"/>
                <w:highlight w:val="none"/>
              </w:rPr>
              <w:t>21</w:t>
            </w:r>
          </w:p>
        </w:tc>
        <w:tc>
          <w:tcPr>
            <w:tcW w:w="1701" w:type="dxa"/>
            <w:vAlign w:val="center"/>
          </w:tcPr>
          <w:p w14:paraId="13A982AA">
            <w:pPr>
              <w:spacing w:line="360" w:lineRule="auto"/>
              <w:jc w:val="center"/>
              <w:rPr>
                <w:rFonts w:ascii="宋体" w:hAnsi="宋体"/>
                <w:color w:val="auto"/>
                <w:sz w:val="24"/>
                <w:highlight w:val="none"/>
              </w:rPr>
            </w:pPr>
            <w:r>
              <w:rPr>
                <w:rFonts w:ascii="宋体" w:hAnsi="宋体"/>
                <w:color w:val="auto"/>
                <w:sz w:val="24"/>
                <w:highlight w:val="none"/>
              </w:rPr>
              <w:t>投标文件提交地点及截止时间</w:t>
            </w:r>
          </w:p>
        </w:tc>
        <w:tc>
          <w:tcPr>
            <w:tcW w:w="5887" w:type="dxa"/>
            <w:vAlign w:val="center"/>
          </w:tcPr>
          <w:p w14:paraId="6906777E">
            <w:pPr>
              <w:spacing w:line="360" w:lineRule="auto"/>
              <w:jc w:val="left"/>
              <w:rPr>
                <w:rFonts w:ascii="宋体" w:hAnsi="宋体"/>
                <w:color w:val="auto"/>
                <w:sz w:val="24"/>
                <w:highlight w:val="none"/>
              </w:rPr>
            </w:pPr>
            <w:r>
              <w:rPr>
                <w:rFonts w:ascii="宋体" w:hAnsi="宋体"/>
                <w:b/>
                <w:color w:val="auto"/>
                <w:sz w:val="24"/>
                <w:highlight w:val="none"/>
              </w:rPr>
              <w:t>收件人：</w:t>
            </w:r>
            <w:r>
              <w:rPr>
                <w:rFonts w:hint="eastAsia" w:ascii="宋体" w:hAnsi="宋体"/>
                <w:color w:val="auto"/>
                <w:sz w:val="24"/>
                <w:highlight w:val="none"/>
              </w:rPr>
              <w:t>江苏新世纪工程项目管理有限公司</w:t>
            </w:r>
          </w:p>
          <w:p w14:paraId="3822FE68">
            <w:pPr>
              <w:spacing w:line="360" w:lineRule="auto"/>
              <w:jc w:val="left"/>
              <w:rPr>
                <w:rFonts w:ascii="宋体" w:hAnsi="宋体"/>
                <w:color w:val="auto"/>
                <w:sz w:val="24"/>
                <w:highlight w:val="none"/>
                <w:u w:val="single"/>
              </w:rPr>
            </w:pPr>
            <w:r>
              <w:rPr>
                <w:rFonts w:ascii="宋体" w:hAnsi="宋体"/>
                <w:b/>
                <w:color w:val="auto"/>
                <w:sz w:val="24"/>
                <w:highlight w:val="none"/>
              </w:rPr>
              <w:t>截止时间：</w:t>
            </w:r>
            <w:r>
              <w:rPr>
                <w:rFonts w:ascii="宋体" w:hAnsi="宋体"/>
                <w:b/>
                <w:color w:val="auto"/>
                <w:sz w:val="24"/>
                <w:highlight w:val="none"/>
                <w:u w:val="single"/>
              </w:rPr>
              <w:t>202</w:t>
            </w:r>
            <w:r>
              <w:rPr>
                <w:rFonts w:hint="eastAsia" w:ascii="宋体" w:hAnsi="宋体"/>
                <w:b/>
                <w:color w:val="auto"/>
                <w:sz w:val="24"/>
                <w:highlight w:val="none"/>
                <w:u w:val="single"/>
              </w:rPr>
              <w:t>4</w:t>
            </w:r>
            <w:r>
              <w:rPr>
                <w:rFonts w:ascii="宋体" w:hAnsi="宋体"/>
                <w:b/>
                <w:color w:val="auto"/>
                <w:sz w:val="24"/>
                <w:highlight w:val="none"/>
                <w:u w:val="single"/>
              </w:rPr>
              <w:t>年</w:t>
            </w:r>
            <w:r>
              <w:rPr>
                <w:rFonts w:hint="eastAsia" w:ascii="宋体" w:hAnsi="宋体"/>
                <w:b/>
                <w:color w:val="auto"/>
                <w:sz w:val="24"/>
                <w:highlight w:val="none"/>
                <w:u w:val="single"/>
                <w:lang w:val="en-US" w:eastAsia="zh-CN"/>
              </w:rPr>
              <w:t>12</w:t>
            </w:r>
            <w:r>
              <w:rPr>
                <w:rFonts w:ascii="宋体" w:hAnsi="宋体"/>
                <w:b/>
                <w:color w:val="auto"/>
                <w:sz w:val="24"/>
                <w:highlight w:val="none"/>
                <w:u w:val="single"/>
              </w:rPr>
              <w:t>月</w:t>
            </w:r>
            <w:r>
              <w:rPr>
                <w:rFonts w:hint="eastAsia" w:ascii="宋体" w:hAnsi="宋体"/>
                <w:b/>
                <w:color w:val="auto"/>
                <w:sz w:val="24"/>
                <w:highlight w:val="none"/>
                <w:u w:val="single"/>
                <w:lang w:val="en-US" w:eastAsia="zh-CN"/>
              </w:rPr>
              <w:t>11</w:t>
            </w:r>
            <w:r>
              <w:rPr>
                <w:rFonts w:ascii="宋体" w:hAnsi="宋体"/>
                <w:b/>
                <w:color w:val="auto"/>
                <w:sz w:val="24"/>
                <w:highlight w:val="none"/>
                <w:u w:val="single"/>
              </w:rPr>
              <w:t>日14时00分</w:t>
            </w:r>
            <w:r>
              <w:rPr>
                <w:rFonts w:ascii="宋体" w:hAnsi="宋体"/>
                <w:color w:val="auto"/>
                <w:sz w:val="24"/>
                <w:highlight w:val="none"/>
                <w:u w:val="single"/>
              </w:rPr>
              <w:t>（以开标室电子时钟显示时间为准）</w:t>
            </w:r>
          </w:p>
          <w:p w14:paraId="16181BC6">
            <w:pPr>
              <w:spacing w:line="360" w:lineRule="auto"/>
              <w:jc w:val="left"/>
              <w:rPr>
                <w:rFonts w:ascii="宋体" w:hAnsi="宋体"/>
                <w:color w:val="auto"/>
                <w:sz w:val="24"/>
                <w:highlight w:val="none"/>
                <w:u w:val="single"/>
              </w:rPr>
            </w:pPr>
            <w:r>
              <w:rPr>
                <w:rFonts w:ascii="宋体" w:hAnsi="宋体"/>
                <w:b/>
                <w:color w:val="auto"/>
                <w:sz w:val="24"/>
                <w:highlight w:val="none"/>
              </w:rPr>
              <w:t>提交地点：</w:t>
            </w:r>
            <w:r>
              <w:rPr>
                <w:rFonts w:hint="eastAsia" w:ascii="宋体" w:hAnsi="宋体"/>
                <w:b/>
                <w:snapToGrid w:val="0"/>
                <w:color w:val="auto"/>
                <w:kern w:val="0"/>
                <w:sz w:val="24"/>
                <w:highlight w:val="none"/>
              </w:rPr>
              <w:t>南通天一置业有限公司（南通市崇川区五一路505号）3楼会议室</w:t>
            </w:r>
          </w:p>
        </w:tc>
      </w:tr>
      <w:tr w14:paraId="6E6808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14" w:type="dxa"/>
            <w:vAlign w:val="center"/>
          </w:tcPr>
          <w:p w14:paraId="11904E41">
            <w:pPr>
              <w:spacing w:line="360" w:lineRule="auto"/>
              <w:jc w:val="center"/>
              <w:rPr>
                <w:rFonts w:ascii="宋体" w:hAnsi="宋体"/>
                <w:color w:val="auto"/>
                <w:sz w:val="24"/>
                <w:highlight w:val="none"/>
              </w:rPr>
            </w:pPr>
            <w:r>
              <w:rPr>
                <w:rFonts w:ascii="宋体" w:hAnsi="宋体"/>
                <w:color w:val="auto"/>
                <w:sz w:val="24"/>
                <w:highlight w:val="none"/>
              </w:rPr>
              <w:t>19</w:t>
            </w:r>
          </w:p>
        </w:tc>
        <w:tc>
          <w:tcPr>
            <w:tcW w:w="992" w:type="dxa"/>
            <w:vAlign w:val="center"/>
          </w:tcPr>
          <w:p w14:paraId="6816BE9F">
            <w:pPr>
              <w:spacing w:line="360" w:lineRule="auto"/>
              <w:jc w:val="center"/>
              <w:rPr>
                <w:rFonts w:ascii="宋体" w:hAnsi="宋体"/>
                <w:color w:val="auto"/>
                <w:sz w:val="24"/>
                <w:highlight w:val="none"/>
              </w:rPr>
            </w:pPr>
            <w:r>
              <w:rPr>
                <w:rFonts w:ascii="宋体" w:hAnsi="宋体"/>
                <w:color w:val="auto"/>
                <w:sz w:val="24"/>
                <w:highlight w:val="none"/>
              </w:rPr>
              <w:t>24</w:t>
            </w:r>
          </w:p>
        </w:tc>
        <w:tc>
          <w:tcPr>
            <w:tcW w:w="1701" w:type="dxa"/>
            <w:vAlign w:val="center"/>
          </w:tcPr>
          <w:p w14:paraId="4B9BBDA4">
            <w:pPr>
              <w:spacing w:line="360" w:lineRule="auto"/>
              <w:jc w:val="center"/>
              <w:rPr>
                <w:rFonts w:ascii="宋体" w:hAnsi="宋体"/>
                <w:color w:val="auto"/>
                <w:sz w:val="24"/>
                <w:highlight w:val="none"/>
              </w:rPr>
            </w:pPr>
            <w:r>
              <w:rPr>
                <w:rFonts w:ascii="宋体" w:hAnsi="宋体"/>
                <w:color w:val="auto"/>
                <w:sz w:val="24"/>
                <w:highlight w:val="none"/>
              </w:rPr>
              <w:t>开标</w:t>
            </w:r>
          </w:p>
        </w:tc>
        <w:tc>
          <w:tcPr>
            <w:tcW w:w="5887" w:type="dxa"/>
            <w:vAlign w:val="center"/>
          </w:tcPr>
          <w:p w14:paraId="30C71B4A">
            <w:pPr>
              <w:spacing w:line="360" w:lineRule="auto"/>
              <w:jc w:val="left"/>
              <w:rPr>
                <w:rFonts w:ascii="宋体" w:hAnsi="宋体"/>
                <w:color w:val="auto"/>
                <w:sz w:val="24"/>
                <w:highlight w:val="none"/>
                <w:u w:val="single"/>
              </w:rPr>
            </w:pPr>
            <w:r>
              <w:rPr>
                <w:rFonts w:ascii="宋体" w:hAnsi="宋体"/>
                <w:b/>
                <w:color w:val="auto"/>
                <w:sz w:val="24"/>
                <w:highlight w:val="none"/>
              </w:rPr>
              <w:t>开标时间：</w:t>
            </w:r>
            <w:r>
              <w:rPr>
                <w:rFonts w:ascii="宋体" w:hAnsi="宋体"/>
                <w:b/>
                <w:color w:val="auto"/>
                <w:sz w:val="24"/>
                <w:highlight w:val="none"/>
                <w:u w:val="single"/>
              </w:rPr>
              <w:t>202</w:t>
            </w:r>
            <w:r>
              <w:rPr>
                <w:rFonts w:hint="eastAsia" w:ascii="宋体" w:hAnsi="宋体"/>
                <w:b/>
                <w:color w:val="auto"/>
                <w:sz w:val="24"/>
                <w:highlight w:val="none"/>
                <w:u w:val="single"/>
              </w:rPr>
              <w:t>4</w:t>
            </w:r>
            <w:r>
              <w:rPr>
                <w:rFonts w:ascii="宋体" w:hAnsi="宋体"/>
                <w:b/>
                <w:color w:val="auto"/>
                <w:sz w:val="24"/>
                <w:highlight w:val="none"/>
                <w:u w:val="single"/>
              </w:rPr>
              <w:t>年</w:t>
            </w:r>
            <w:r>
              <w:rPr>
                <w:rFonts w:hint="eastAsia" w:ascii="宋体" w:hAnsi="宋体"/>
                <w:b/>
                <w:color w:val="auto"/>
                <w:sz w:val="24"/>
                <w:highlight w:val="none"/>
                <w:u w:val="single"/>
                <w:lang w:val="en-US" w:eastAsia="zh-CN"/>
              </w:rPr>
              <w:t>12</w:t>
            </w:r>
            <w:r>
              <w:rPr>
                <w:rFonts w:ascii="宋体" w:hAnsi="宋体"/>
                <w:b/>
                <w:color w:val="auto"/>
                <w:sz w:val="24"/>
                <w:highlight w:val="none"/>
                <w:u w:val="single"/>
              </w:rPr>
              <w:t>月</w:t>
            </w:r>
            <w:r>
              <w:rPr>
                <w:rFonts w:hint="eastAsia" w:ascii="宋体" w:hAnsi="宋体"/>
                <w:b/>
                <w:color w:val="auto"/>
                <w:sz w:val="24"/>
                <w:highlight w:val="none"/>
                <w:u w:val="single"/>
                <w:lang w:val="en-US" w:eastAsia="zh-CN"/>
              </w:rPr>
              <w:t>11</w:t>
            </w:r>
            <w:r>
              <w:rPr>
                <w:rFonts w:ascii="宋体" w:hAnsi="宋体"/>
                <w:b/>
                <w:color w:val="auto"/>
                <w:sz w:val="24"/>
                <w:highlight w:val="none"/>
                <w:u w:val="single"/>
              </w:rPr>
              <w:t>日14时00分</w:t>
            </w:r>
            <w:r>
              <w:rPr>
                <w:rFonts w:ascii="宋体" w:hAnsi="宋体"/>
                <w:color w:val="auto"/>
                <w:sz w:val="24"/>
                <w:highlight w:val="none"/>
                <w:u w:val="single"/>
              </w:rPr>
              <w:t>（以开标室电子时钟显示时间为准）</w:t>
            </w:r>
          </w:p>
          <w:p w14:paraId="616EB023">
            <w:pPr>
              <w:spacing w:line="360" w:lineRule="auto"/>
              <w:jc w:val="left"/>
              <w:rPr>
                <w:rFonts w:ascii="宋体" w:hAnsi="宋体"/>
                <w:color w:val="auto"/>
                <w:sz w:val="24"/>
                <w:highlight w:val="none"/>
              </w:rPr>
            </w:pPr>
            <w:r>
              <w:rPr>
                <w:rFonts w:ascii="宋体" w:hAnsi="宋体"/>
                <w:b/>
                <w:color w:val="auto"/>
                <w:sz w:val="24"/>
                <w:highlight w:val="none"/>
              </w:rPr>
              <w:t>开标地点：</w:t>
            </w:r>
            <w:r>
              <w:rPr>
                <w:rFonts w:hint="eastAsia" w:ascii="宋体" w:hAnsi="宋体"/>
                <w:b/>
                <w:snapToGrid w:val="0"/>
                <w:color w:val="auto"/>
                <w:kern w:val="0"/>
                <w:sz w:val="24"/>
                <w:highlight w:val="none"/>
              </w:rPr>
              <w:t>南通天一置业有限公司（南通市崇川区五一路505号）3楼会议室</w:t>
            </w:r>
          </w:p>
        </w:tc>
      </w:tr>
      <w:tr w14:paraId="34F741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14" w:type="dxa"/>
            <w:vAlign w:val="center"/>
          </w:tcPr>
          <w:p w14:paraId="2825A0DF">
            <w:pPr>
              <w:spacing w:line="360" w:lineRule="auto"/>
              <w:jc w:val="center"/>
              <w:rPr>
                <w:rFonts w:ascii="宋体" w:hAnsi="宋体"/>
                <w:color w:val="auto"/>
                <w:sz w:val="24"/>
                <w:highlight w:val="none"/>
              </w:rPr>
            </w:pPr>
            <w:r>
              <w:rPr>
                <w:rFonts w:ascii="宋体" w:hAnsi="宋体"/>
                <w:color w:val="auto"/>
                <w:sz w:val="24"/>
                <w:highlight w:val="none"/>
              </w:rPr>
              <w:t>20</w:t>
            </w:r>
          </w:p>
        </w:tc>
        <w:tc>
          <w:tcPr>
            <w:tcW w:w="992" w:type="dxa"/>
            <w:vAlign w:val="center"/>
          </w:tcPr>
          <w:p w14:paraId="4699581D">
            <w:pPr>
              <w:spacing w:line="360" w:lineRule="auto"/>
              <w:jc w:val="center"/>
              <w:rPr>
                <w:rFonts w:ascii="宋体" w:hAnsi="宋体"/>
                <w:color w:val="auto"/>
                <w:sz w:val="24"/>
                <w:highlight w:val="none"/>
              </w:rPr>
            </w:pPr>
            <w:r>
              <w:rPr>
                <w:rFonts w:ascii="宋体" w:hAnsi="宋体"/>
                <w:color w:val="auto"/>
                <w:sz w:val="24"/>
                <w:highlight w:val="none"/>
              </w:rPr>
              <w:t>25</w:t>
            </w:r>
          </w:p>
        </w:tc>
        <w:tc>
          <w:tcPr>
            <w:tcW w:w="1701" w:type="dxa"/>
            <w:vAlign w:val="center"/>
          </w:tcPr>
          <w:p w14:paraId="03D626DB">
            <w:pPr>
              <w:spacing w:line="360" w:lineRule="auto"/>
              <w:jc w:val="center"/>
              <w:rPr>
                <w:rFonts w:ascii="宋体" w:hAnsi="宋体"/>
                <w:color w:val="auto"/>
                <w:sz w:val="24"/>
                <w:highlight w:val="none"/>
              </w:rPr>
            </w:pPr>
            <w:r>
              <w:rPr>
                <w:rFonts w:ascii="宋体" w:hAnsi="宋体"/>
                <w:color w:val="auto"/>
                <w:sz w:val="24"/>
                <w:highlight w:val="none"/>
              </w:rPr>
              <w:t>评标委员会</w:t>
            </w:r>
          </w:p>
        </w:tc>
        <w:tc>
          <w:tcPr>
            <w:tcW w:w="5887" w:type="dxa"/>
            <w:vAlign w:val="center"/>
          </w:tcPr>
          <w:p w14:paraId="499D5CA0">
            <w:pPr>
              <w:spacing w:line="360" w:lineRule="auto"/>
              <w:jc w:val="left"/>
              <w:rPr>
                <w:rFonts w:ascii="宋体" w:hAnsi="宋体"/>
                <w:color w:val="auto"/>
                <w:sz w:val="24"/>
                <w:highlight w:val="none"/>
              </w:rPr>
            </w:pPr>
            <w:r>
              <w:rPr>
                <w:rFonts w:ascii="宋体" w:hAnsi="宋体"/>
                <w:color w:val="auto"/>
                <w:sz w:val="24"/>
                <w:highlight w:val="none"/>
              </w:rPr>
              <w:t>评标专家确定方式：在政府组建的专家库中随机抽取，采用语音系统自动通知。</w:t>
            </w:r>
          </w:p>
        </w:tc>
      </w:tr>
      <w:tr w14:paraId="3E8CDE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454" w:hRule="atLeast"/>
          <w:jc w:val="center"/>
        </w:trPr>
        <w:tc>
          <w:tcPr>
            <w:tcW w:w="814" w:type="dxa"/>
            <w:vAlign w:val="center"/>
          </w:tcPr>
          <w:p w14:paraId="0C9455F3">
            <w:pPr>
              <w:spacing w:line="360" w:lineRule="auto"/>
              <w:jc w:val="center"/>
              <w:rPr>
                <w:rFonts w:ascii="宋体" w:hAnsi="宋体"/>
                <w:color w:val="auto"/>
                <w:sz w:val="24"/>
                <w:highlight w:val="none"/>
              </w:rPr>
            </w:pPr>
            <w:r>
              <w:rPr>
                <w:rFonts w:ascii="宋体" w:hAnsi="宋体"/>
                <w:color w:val="auto"/>
                <w:sz w:val="24"/>
                <w:highlight w:val="none"/>
              </w:rPr>
              <w:t>21</w:t>
            </w:r>
          </w:p>
        </w:tc>
        <w:tc>
          <w:tcPr>
            <w:tcW w:w="992" w:type="dxa"/>
            <w:vAlign w:val="center"/>
          </w:tcPr>
          <w:p w14:paraId="31B1FCBB">
            <w:pPr>
              <w:spacing w:line="360" w:lineRule="auto"/>
              <w:jc w:val="center"/>
              <w:rPr>
                <w:rFonts w:ascii="宋体" w:hAnsi="宋体"/>
                <w:color w:val="auto"/>
                <w:sz w:val="24"/>
                <w:highlight w:val="none"/>
              </w:rPr>
            </w:pPr>
            <w:r>
              <w:rPr>
                <w:rFonts w:ascii="宋体" w:hAnsi="宋体"/>
                <w:color w:val="auto"/>
                <w:sz w:val="24"/>
                <w:highlight w:val="none"/>
              </w:rPr>
              <w:t>35</w:t>
            </w:r>
          </w:p>
        </w:tc>
        <w:tc>
          <w:tcPr>
            <w:tcW w:w="1701" w:type="dxa"/>
            <w:vAlign w:val="center"/>
          </w:tcPr>
          <w:p w14:paraId="14396748">
            <w:pPr>
              <w:spacing w:line="360" w:lineRule="auto"/>
              <w:jc w:val="center"/>
              <w:rPr>
                <w:rFonts w:ascii="宋体" w:hAnsi="宋体"/>
                <w:color w:val="auto"/>
                <w:sz w:val="24"/>
                <w:highlight w:val="none"/>
              </w:rPr>
            </w:pPr>
            <w:r>
              <w:rPr>
                <w:rFonts w:ascii="宋体" w:hAnsi="宋体"/>
                <w:color w:val="auto"/>
                <w:sz w:val="24"/>
                <w:highlight w:val="none"/>
              </w:rPr>
              <w:t>履约担保金额</w:t>
            </w:r>
          </w:p>
        </w:tc>
        <w:tc>
          <w:tcPr>
            <w:tcW w:w="5887" w:type="dxa"/>
            <w:vAlign w:val="center"/>
          </w:tcPr>
          <w:p w14:paraId="793BE45C">
            <w:pPr>
              <w:spacing w:line="360" w:lineRule="auto"/>
              <w:jc w:val="left"/>
              <w:rPr>
                <w:rFonts w:ascii="宋体" w:hAnsi="宋体"/>
                <w:color w:val="auto"/>
                <w:sz w:val="24"/>
                <w:highlight w:val="none"/>
              </w:rPr>
            </w:pPr>
            <w:r>
              <w:rPr>
                <w:rFonts w:hint="eastAsia" w:ascii="宋体" w:hAnsi="宋体"/>
                <w:color w:val="auto"/>
                <w:sz w:val="24"/>
                <w:highlight w:val="none"/>
              </w:rPr>
              <w:t>履约保证金的形式：银行转帐或支票等</w:t>
            </w:r>
          </w:p>
          <w:p w14:paraId="09B487E6">
            <w:pPr>
              <w:spacing w:line="360" w:lineRule="auto"/>
              <w:jc w:val="left"/>
              <w:rPr>
                <w:rFonts w:ascii="宋体" w:hAnsi="宋体"/>
                <w:color w:val="auto"/>
                <w:sz w:val="24"/>
                <w:highlight w:val="none"/>
              </w:rPr>
            </w:pPr>
            <w:r>
              <w:rPr>
                <w:rFonts w:ascii="宋体" w:hAnsi="宋体"/>
                <w:b/>
                <w:bCs/>
                <w:color w:val="auto"/>
                <w:sz w:val="24"/>
                <w:highlight w:val="none"/>
              </w:rPr>
              <w:t>履约保证金：</w:t>
            </w:r>
            <w:r>
              <w:rPr>
                <w:rFonts w:ascii="宋体" w:hAnsi="宋体"/>
                <w:color w:val="auto"/>
                <w:sz w:val="24"/>
                <w:highlight w:val="none"/>
              </w:rPr>
              <w:t>投标人提供的履约保证金为合同价的</w:t>
            </w:r>
            <w:r>
              <w:rPr>
                <w:rFonts w:hint="eastAsia" w:ascii="宋体" w:hAnsi="宋体"/>
                <w:color w:val="auto"/>
                <w:sz w:val="24"/>
                <w:highlight w:val="none"/>
              </w:rPr>
              <w:t>10</w:t>
            </w:r>
            <w:r>
              <w:rPr>
                <w:rFonts w:ascii="宋体" w:hAnsi="宋体"/>
                <w:color w:val="auto"/>
                <w:sz w:val="24"/>
                <w:highlight w:val="none"/>
              </w:rPr>
              <w:t>%，投标人在</w:t>
            </w:r>
            <w:r>
              <w:rPr>
                <w:rFonts w:hint="eastAsia" w:ascii="宋体" w:hAnsi="宋体"/>
                <w:color w:val="auto"/>
                <w:sz w:val="24"/>
                <w:highlight w:val="none"/>
              </w:rPr>
              <w:t>中标通知书</w:t>
            </w:r>
            <w:r>
              <w:rPr>
                <w:rFonts w:hint="eastAsia" w:ascii="宋体" w:hAnsi="宋体"/>
                <w:color w:val="auto"/>
                <w:sz w:val="24"/>
                <w:highlight w:val="none"/>
                <w:lang w:val="en-US" w:eastAsia="zh-CN"/>
              </w:rPr>
              <w:t>发出</w:t>
            </w:r>
            <w:r>
              <w:rPr>
                <w:rFonts w:hint="eastAsia" w:ascii="宋体" w:hAnsi="宋体"/>
                <w:color w:val="auto"/>
                <w:sz w:val="24"/>
                <w:highlight w:val="none"/>
              </w:rPr>
              <w:t>之日起7个工作日内（公休日顺延）</w:t>
            </w:r>
            <w:r>
              <w:rPr>
                <w:rFonts w:ascii="宋体" w:hAnsi="宋体"/>
                <w:color w:val="auto"/>
                <w:sz w:val="24"/>
                <w:highlight w:val="none"/>
              </w:rPr>
              <w:t>，向招标人足额提交履约保证金，否则招标人可以取消其中标资格。中标单位须充分考虑</w:t>
            </w:r>
            <w:r>
              <w:rPr>
                <w:rFonts w:hint="eastAsia" w:ascii="宋体" w:hAnsi="宋体"/>
                <w:color w:val="auto"/>
                <w:sz w:val="24"/>
                <w:highlight w:val="none"/>
              </w:rPr>
              <w:t>财政系统故障时间及项目特殊要求的时间（须先至财政部门开收据方可汇款）。</w:t>
            </w:r>
          </w:p>
          <w:p w14:paraId="6DCE3A60">
            <w:pPr>
              <w:spacing w:line="360" w:lineRule="auto"/>
              <w:jc w:val="left"/>
              <w:rPr>
                <w:rFonts w:ascii="宋体" w:hAnsi="宋体"/>
                <w:color w:val="auto"/>
                <w:sz w:val="24"/>
                <w:highlight w:val="none"/>
              </w:rPr>
            </w:pPr>
            <w:r>
              <w:rPr>
                <w:rFonts w:hint="eastAsia" w:ascii="宋体" w:hAnsi="宋体"/>
                <w:color w:val="auto"/>
                <w:sz w:val="24"/>
                <w:highlight w:val="none"/>
              </w:rPr>
              <w:t>若投标人采用银行保函形式的，在领取中标通知书之日起7个工作日内（公休日顺延）未递交银行保函形式的履约保证金的，则须递交现金形式的履约保证金，待银行保函办理完成后退还现金形式的履约保证金。</w:t>
            </w:r>
          </w:p>
          <w:p w14:paraId="1BA25B14">
            <w:pPr>
              <w:spacing w:line="360" w:lineRule="auto"/>
              <w:jc w:val="left"/>
              <w:rPr>
                <w:rFonts w:ascii="宋体" w:hAnsi="宋体"/>
                <w:color w:val="auto"/>
                <w:sz w:val="24"/>
                <w:highlight w:val="none"/>
              </w:rPr>
            </w:pPr>
            <w:r>
              <w:rPr>
                <w:rFonts w:hint="eastAsia" w:ascii="宋体" w:hAnsi="宋体"/>
                <w:b/>
                <w:bCs/>
                <w:color w:val="auto"/>
                <w:sz w:val="24"/>
                <w:highlight w:val="none"/>
              </w:rPr>
              <w:t>农民工工资保证金：</w:t>
            </w:r>
            <w:r>
              <w:rPr>
                <w:rFonts w:hint="eastAsia" w:ascii="宋体" w:hAnsi="宋体"/>
                <w:color w:val="auto"/>
                <w:sz w:val="24"/>
                <w:highlight w:val="none"/>
              </w:rPr>
              <w:t>本工程中标单位需按</w:t>
            </w:r>
            <w:r>
              <w:rPr>
                <w:rFonts w:hint="eastAsia" w:ascii="宋体" w:hAnsi="宋体"/>
                <w:color w:val="auto"/>
                <w:sz w:val="24"/>
                <w:highlight w:val="none"/>
              </w:rPr>
              <w:t>相关文件缴</w:t>
            </w:r>
            <w:r>
              <w:rPr>
                <w:rFonts w:ascii="宋体" w:hAnsi="宋体"/>
                <w:color w:val="auto"/>
                <w:sz w:val="24"/>
                <w:highlight w:val="none"/>
              </w:rPr>
              <w:t>纳农民工工资保证金</w:t>
            </w:r>
            <w:r>
              <w:rPr>
                <w:rFonts w:ascii="宋体" w:hAnsi="宋体"/>
                <w:color w:val="auto"/>
                <w:sz w:val="24"/>
                <w:highlight w:val="none"/>
              </w:rPr>
              <w:t>（此费用不包含在履约保证金中），此笔费用进入招标人指定账户。如中标单位出现拖欠农民工工资等现象，则罚没该笔保证金；如未出现拖欠农民工工资等现象，则该笔费用在</w:t>
            </w:r>
            <w:r>
              <w:rPr>
                <w:rFonts w:hint="eastAsia" w:ascii="宋体" w:hAnsi="宋体"/>
                <w:color w:val="auto"/>
                <w:sz w:val="24"/>
                <w:highlight w:val="none"/>
              </w:rPr>
              <w:t>工程最终审计结束后退还给中标单位</w:t>
            </w:r>
            <w:r>
              <w:rPr>
                <w:rFonts w:ascii="宋体" w:hAnsi="宋体"/>
                <w:color w:val="auto"/>
                <w:sz w:val="24"/>
                <w:highlight w:val="none"/>
              </w:rPr>
              <w:t>。</w:t>
            </w:r>
          </w:p>
        </w:tc>
      </w:tr>
      <w:tr w14:paraId="40258FB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814" w:type="dxa"/>
            <w:tcBorders>
              <w:left w:val="single" w:color="auto" w:sz="4" w:space="0"/>
              <w:bottom w:val="single" w:color="auto" w:sz="4" w:space="0"/>
              <w:right w:val="single" w:color="auto" w:sz="4" w:space="0"/>
            </w:tcBorders>
            <w:vAlign w:val="center"/>
          </w:tcPr>
          <w:p w14:paraId="3D4CB584">
            <w:pPr>
              <w:spacing w:line="360" w:lineRule="auto"/>
              <w:jc w:val="center"/>
              <w:rPr>
                <w:rFonts w:ascii="宋体" w:hAnsi="宋体"/>
                <w:color w:val="auto"/>
                <w:sz w:val="24"/>
                <w:highlight w:val="none"/>
              </w:rPr>
            </w:pPr>
            <w:r>
              <w:rPr>
                <w:rFonts w:ascii="宋体" w:hAnsi="宋体"/>
                <w:color w:val="auto"/>
                <w:sz w:val="24"/>
                <w:highlight w:val="none"/>
              </w:rPr>
              <w:t>22</w:t>
            </w:r>
          </w:p>
        </w:tc>
        <w:tc>
          <w:tcPr>
            <w:tcW w:w="2693" w:type="dxa"/>
            <w:gridSpan w:val="2"/>
            <w:tcBorders>
              <w:left w:val="single" w:color="auto" w:sz="4" w:space="0"/>
              <w:bottom w:val="single" w:color="auto" w:sz="4" w:space="0"/>
              <w:right w:val="single" w:color="auto" w:sz="4" w:space="0"/>
            </w:tcBorders>
            <w:vAlign w:val="center"/>
          </w:tcPr>
          <w:p w14:paraId="42DC6EA2">
            <w:pPr>
              <w:spacing w:line="360" w:lineRule="auto"/>
              <w:jc w:val="center"/>
              <w:rPr>
                <w:rFonts w:ascii="宋体" w:hAnsi="宋体"/>
                <w:color w:val="auto"/>
                <w:sz w:val="24"/>
                <w:highlight w:val="none"/>
              </w:rPr>
            </w:pPr>
            <w:r>
              <w:rPr>
                <w:rFonts w:ascii="宋体" w:hAnsi="宋体"/>
                <w:color w:val="auto"/>
                <w:sz w:val="24"/>
                <w:highlight w:val="none"/>
              </w:rPr>
              <w:t>招标单位</w:t>
            </w:r>
          </w:p>
        </w:tc>
        <w:tc>
          <w:tcPr>
            <w:tcW w:w="5887" w:type="dxa"/>
            <w:tcBorders>
              <w:top w:val="single" w:color="auto" w:sz="4" w:space="0"/>
              <w:left w:val="single" w:color="auto" w:sz="4" w:space="0"/>
              <w:bottom w:val="single" w:color="auto" w:sz="4" w:space="0"/>
              <w:right w:val="single" w:color="auto" w:sz="4" w:space="0"/>
            </w:tcBorders>
            <w:vAlign w:val="center"/>
          </w:tcPr>
          <w:p w14:paraId="1D8D02FD">
            <w:pPr>
              <w:adjustRightInd w:val="0"/>
              <w:snapToGrid w:val="0"/>
              <w:spacing w:line="360" w:lineRule="auto"/>
              <w:jc w:val="left"/>
              <w:rPr>
                <w:rFonts w:ascii="宋体" w:hAnsi="宋体"/>
                <w:color w:val="auto"/>
                <w:sz w:val="24"/>
                <w:highlight w:val="none"/>
              </w:rPr>
            </w:pPr>
            <w:r>
              <w:rPr>
                <w:rFonts w:hint="eastAsia" w:ascii="宋体" w:hAnsi="宋体"/>
                <w:color w:val="auto"/>
                <w:sz w:val="24"/>
                <w:highlight w:val="none"/>
              </w:rPr>
              <w:t>单位名称：南通市崇川区钟秀街道办事处、南通天一置业有限公司</w:t>
            </w:r>
          </w:p>
          <w:p w14:paraId="45B857FC">
            <w:pPr>
              <w:adjustRightInd w:val="0"/>
              <w:snapToGrid w:val="0"/>
              <w:spacing w:line="360" w:lineRule="auto"/>
              <w:jc w:val="left"/>
              <w:rPr>
                <w:rFonts w:ascii="宋体" w:hAnsi="宋体"/>
                <w:color w:val="auto"/>
                <w:sz w:val="24"/>
                <w:highlight w:val="none"/>
              </w:rPr>
            </w:pPr>
            <w:r>
              <w:rPr>
                <w:rFonts w:hint="eastAsia" w:ascii="宋体" w:hAnsi="宋体"/>
                <w:color w:val="auto"/>
                <w:sz w:val="24"/>
                <w:highlight w:val="none"/>
              </w:rPr>
              <w:t>联 系 人：张工</w:t>
            </w:r>
          </w:p>
          <w:p w14:paraId="4C14419A">
            <w:pPr>
              <w:adjustRightInd w:val="0"/>
              <w:snapToGrid w:val="0"/>
              <w:spacing w:line="360" w:lineRule="auto"/>
              <w:jc w:val="left"/>
              <w:rPr>
                <w:rFonts w:ascii="宋体" w:hAnsi="宋体"/>
                <w:color w:val="auto"/>
                <w:sz w:val="24"/>
                <w:highlight w:val="none"/>
              </w:rPr>
            </w:pPr>
            <w:r>
              <w:rPr>
                <w:rFonts w:hint="eastAsia" w:ascii="宋体" w:hAnsi="宋体"/>
                <w:color w:val="auto"/>
                <w:sz w:val="24"/>
                <w:highlight w:val="none"/>
              </w:rPr>
              <w:t>联系电话：</w:t>
            </w:r>
            <w:r>
              <w:rPr>
                <w:rFonts w:ascii="宋体" w:hAnsi="宋体"/>
                <w:color w:val="auto"/>
                <w:sz w:val="24"/>
                <w:highlight w:val="none"/>
              </w:rPr>
              <w:t>0513-85728012</w:t>
            </w:r>
          </w:p>
        </w:tc>
      </w:tr>
      <w:tr w14:paraId="2904033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814" w:type="dxa"/>
            <w:tcBorders>
              <w:left w:val="single" w:color="auto" w:sz="4" w:space="0"/>
              <w:bottom w:val="single" w:color="auto" w:sz="4" w:space="0"/>
              <w:right w:val="single" w:color="auto" w:sz="4" w:space="0"/>
            </w:tcBorders>
            <w:vAlign w:val="center"/>
          </w:tcPr>
          <w:p w14:paraId="7C07CA27">
            <w:pPr>
              <w:spacing w:line="360" w:lineRule="auto"/>
              <w:jc w:val="center"/>
              <w:rPr>
                <w:rFonts w:ascii="宋体" w:hAnsi="宋体"/>
                <w:color w:val="auto"/>
                <w:sz w:val="24"/>
                <w:highlight w:val="none"/>
              </w:rPr>
            </w:pPr>
            <w:r>
              <w:rPr>
                <w:rFonts w:ascii="宋体" w:hAnsi="宋体"/>
                <w:color w:val="auto"/>
                <w:sz w:val="24"/>
                <w:highlight w:val="none"/>
              </w:rPr>
              <w:t>23</w:t>
            </w:r>
          </w:p>
        </w:tc>
        <w:tc>
          <w:tcPr>
            <w:tcW w:w="2693" w:type="dxa"/>
            <w:gridSpan w:val="2"/>
            <w:tcBorders>
              <w:left w:val="single" w:color="auto" w:sz="4" w:space="0"/>
              <w:bottom w:val="single" w:color="auto" w:sz="4" w:space="0"/>
              <w:right w:val="single" w:color="auto" w:sz="4" w:space="0"/>
            </w:tcBorders>
            <w:vAlign w:val="center"/>
          </w:tcPr>
          <w:p w14:paraId="51E33679">
            <w:pPr>
              <w:spacing w:line="360" w:lineRule="auto"/>
              <w:jc w:val="center"/>
              <w:rPr>
                <w:rFonts w:ascii="宋体" w:hAnsi="宋体"/>
                <w:color w:val="auto"/>
                <w:sz w:val="24"/>
                <w:highlight w:val="none"/>
              </w:rPr>
            </w:pPr>
            <w:r>
              <w:rPr>
                <w:rFonts w:ascii="宋体" w:hAnsi="宋体"/>
                <w:color w:val="auto"/>
                <w:sz w:val="24"/>
                <w:highlight w:val="none"/>
              </w:rPr>
              <w:t>招标代理单位</w:t>
            </w:r>
          </w:p>
        </w:tc>
        <w:tc>
          <w:tcPr>
            <w:tcW w:w="5887" w:type="dxa"/>
            <w:tcBorders>
              <w:top w:val="single" w:color="auto" w:sz="4" w:space="0"/>
              <w:left w:val="single" w:color="auto" w:sz="4" w:space="0"/>
              <w:bottom w:val="single" w:color="auto" w:sz="4" w:space="0"/>
              <w:right w:val="single" w:color="auto" w:sz="4" w:space="0"/>
            </w:tcBorders>
            <w:vAlign w:val="center"/>
          </w:tcPr>
          <w:p w14:paraId="63F00C37">
            <w:pPr>
              <w:adjustRightInd w:val="0"/>
              <w:snapToGrid w:val="0"/>
              <w:spacing w:line="360" w:lineRule="auto"/>
              <w:jc w:val="left"/>
              <w:rPr>
                <w:rFonts w:ascii="宋体" w:hAnsi="宋体"/>
                <w:color w:val="auto"/>
                <w:sz w:val="24"/>
                <w:highlight w:val="none"/>
              </w:rPr>
            </w:pPr>
            <w:r>
              <w:rPr>
                <w:rFonts w:hint="eastAsia" w:ascii="宋体" w:hAnsi="宋体"/>
                <w:color w:val="auto"/>
                <w:sz w:val="24"/>
                <w:highlight w:val="none"/>
              </w:rPr>
              <w:t>名称：江苏新世纪工程项目管理有限公司</w:t>
            </w:r>
          </w:p>
          <w:p w14:paraId="0B118355">
            <w:pPr>
              <w:adjustRightInd w:val="0"/>
              <w:snapToGrid w:val="0"/>
              <w:spacing w:line="360" w:lineRule="auto"/>
              <w:jc w:val="left"/>
              <w:rPr>
                <w:rFonts w:ascii="宋体" w:hAnsi="宋体"/>
                <w:color w:val="auto"/>
                <w:sz w:val="24"/>
                <w:highlight w:val="none"/>
              </w:rPr>
            </w:pPr>
            <w:r>
              <w:rPr>
                <w:rFonts w:hint="eastAsia" w:ascii="宋体" w:hAnsi="宋体"/>
                <w:color w:val="auto"/>
                <w:sz w:val="24"/>
                <w:highlight w:val="none"/>
              </w:rPr>
              <w:t>地址：南通市崇川区江海大道555号鸿鸣摩尔1幢13层</w:t>
            </w:r>
          </w:p>
          <w:p w14:paraId="39E81631">
            <w:pPr>
              <w:adjustRightInd w:val="0"/>
              <w:snapToGrid w:val="0"/>
              <w:spacing w:line="360" w:lineRule="auto"/>
              <w:jc w:val="left"/>
              <w:rPr>
                <w:rFonts w:ascii="宋体" w:hAnsi="宋体"/>
                <w:color w:val="auto"/>
                <w:sz w:val="24"/>
                <w:highlight w:val="none"/>
              </w:rPr>
            </w:pPr>
            <w:r>
              <w:rPr>
                <w:rFonts w:hint="eastAsia" w:ascii="宋体" w:hAnsi="宋体"/>
                <w:color w:val="auto"/>
                <w:sz w:val="24"/>
                <w:highlight w:val="none"/>
              </w:rPr>
              <w:t>联系人：薛女士</w:t>
            </w:r>
          </w:p>
          <w:p w14:paraId="7553C045">
            <w:pPr>
              <w:adjustRightInd w:val="0"/>
              <w:snapToGrid w:val="0"/>
              <w:spacing w:line="360" w:lineRule="auto"/>
              <w:jc w:val="left"/>
              <w:rPr>
                <w:rFonts w:ascii="宋体" w:hAnsi="宋体"/>
                <w:color w:val="auto"/>
                <w:sz w:val="24"/>
                <w:highlight w:val="none"/>
              </w:rPr>
            </w:pPr>
            <w:r>
              <w:rPr>
                <w:rFonts w:hint="eastAsia" w:ascii="宋体" w:hAnsi="宋体"/>
                <w:color w:val="auto"/>
                <w:sz w:val="24"/>
                <w:highlight w:val="none"/>
              </w:rPr>
              <w:t>电话：18115810507</w:t>
            </w:r>
          </w:p>
        </w:tc>
      </w:tr>
      <w:tr w14:paraId="79B1C94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54" w:hRule="atLeast"/>
          <w:jc w:val="center"/>
        </w:trPr>
        <w:tc>
          <w:tcPr>
            <w:tcW w:w="814" w:type="dxa"/>
            <w:tcBorders>
              <w:left w:val="single" w:color="auto" w:sz="4" w:space="0"/>
              <w:bottom w:val="single" w:color="auto" w:sz="4" w:space="0"/>
              <w:right w:val="single" w:color="auto" w:sz="4" w:space="0"/>
            </w:tcBorders>
            <w:vAlign w:val="center"/>
          </w:tcPr>
          <w:p w14:paraId="1368C975">
            <w:pPr>
              <w:spacing w:line="360" w:lineRule="auto"/>
              <w:jc w:val="center"/>
              <w:rPr>
                <w:rFonts w:ascii="宋体" w:hAnsi="宋体"/>
                <w:color w:val="auto"/>
                <w:sz w:val="24"/>
                <w:highlight w:val="none"/>
              </w:rPr>
            </w:pPr>
            <w:r>
              <w:rPr>
                <w:rFonts w:hint="eastAsia" w:ascii="宋体" w:hAnsi="宋体"/>
                <w:color w:val="auto"/>
                <w:sz w:val="24"/>
                <w:highlight w:val="none"/>
              </w:rPr>
              <w:t>2</w:t>
            </w:r>
            <w:r>
              <w:rPr>
                <w:rFonts w:ascii="宋体" w:hAnsi="宋体"/>
                <w:color w:val="auto"/>
                <w:sz w:val="24"/>
                <w:highlight w:val="none"/>
              </w:rPr>
              <w:t>4</w:t>
            </w:r>
          </w:p>
        </w:tc>
        <w:tc>
          <w:tcPr>
            <w:tcW w:w="8580" w:type="dxa"/>
            <w:gridSpan w:val="3"/>
            <w:tcBorders>
              <w:left w:val="single" w:color="auto" w:sz="4" w:space="0"/>
              <w:bottom w:val="single" w:color="auto" w:sz="4" w:space="0"/>
              <w:right w:val="single" w:color="auto" w:sz="4" w:space="0"/>
            </w:tcBorders>
            <w:vAlign w:val="center"/>
          </w:tcPr>
          <w:p w14:paraId="360539B6">
            <w:pPr>
              <w:spacing w:line="360" w:lineRule="auto"/>
              <w:rPr>
                <w:rFonts w:ascii="宋体" w:hAnsi="宋体"/>
                <w:b/>
                <w:color w:val="auto"/>
                <w:sz w:val="24"/>
                <w:highlight w:val="none"/>
              </w:rPr>
            </w:pPr>
            <w:r>
              <w:rPr>
                <w:rFonts w:hint="eastAsia" w:ascii="宋体" w:hAnsi="宋体"/>
                <w:b/>
                <w:color w:val="auto"/>
                <w:sz w:val="24"/>
                <w:highlight w:val="none"/>
              </w:rPr>
              <w:t>特别提醒：</w:t>
            </w:r>
          </w:p>
          <w:p w14:paraId="0183DB67">
            <w:pPr>
              <w:spacing w:line="360" w:lineRule="auto"/>
              <w:rPr>
                <w:rFonts w:ascii="宋体" w:hAnsi="宋体"/>
                <w:b/>
                <w:color w:val="auto"/>
                <w:sz w:val="24"/>
                <w:highlight w:val="none"/>
              </w:rPr>
            </w:pPr>
            <w:r>
              <w:rPr>
                <w:rFonts w:hint="eastAsia" w:ascii="宋体" w:hAnsi="宋体"/>
                <w:b/>
                <w:color w:val="auto"/>
                <w:sz w:val="24"/>
                <w:highlight w:val="none"/>
              </w:rPr>
              <w:t>根据《省住房城乡建设厅关于开展建筑业企业资质动态监管工作的公告》要求：资质核查结果为不合格的企业，通过省建筑业监管信息平台2.0自动推送到省建筑市场监管与诚信信息一体化平台，供公开查询；企业即时被锁定并进入整改期，自锁定之日起，不能参加招投标、合同备案等相关活动（仅对企业某项被核查为不达标的资质进行限制）。</w:t>
            </w:r>
          </w:p>
          <w:p w14:paraId="3A84C18E">
            <w:pPr>
              <w:spacing w:line="360" w:lineRule="auto"/>
              <w:rPr>
                <w:rFonts w:ascii="宋体" w:hAnsi="宋体"/>
                <w:b/>
                <w:color w:val="auto"/>
                <w:sz w:val="24"/>
                <w:highlight w:val="none"/>
              </w:rPr>
            </w:pPr>
            <w:r>
              <w:rPr>
                <w:rFonts w:hint="eastAsia" w:ascii="宋体" w:hAnsi="宋体"/>
                <w:b/>
                <w:color w:val="auto"/>
                <w:sz w:val="24"/>
                <w:highlight w:val="none"/>
              </w:rPr>
              <w:t>请各潜在投标人引起重视，公告发布之日起自行查询，及时整改，对于在中标通知书发出之前经查实存在投标资质不达标的企业,崇川区公管办将取消其中标资格,并进行相关处罚。</w:t>
            </w:r>
          </w:p>
          <w:p w14:paraId="120234D7">
            <w:pPr>
              <w:spacing w:line="360" w:lineRule="auto"/>
              <w:rPr>
                <w:rFonts w:ascii="宋体" w:hAnsi="宋体"/>
                <w:b/>
                <w:color w:val="auto"/>
                <w:sz w:val="24"/>
                <w:highlight w:val="none"/>
              </w:rPr>
            </w:pPr>
            <w:r>
              <w:rPr>
                <w:rFonts w:hint="eastAsia" w:ascii="宋体" w:hAnsi="宋体"/>
                <w:b/>
                <w:color w:val="auto"/>
                <w:sz w:val="24"/>
                <w:highlight w:val="none"/>
              </w:rPr>
              <w:t>查询方式：登陆江苏省建筑市场监管与诚信信息一体化平台（http://58.213.147.230:7001/Jsjzyxyglpt/faces/public/default.jsp）-企业信息-建筑企业-动态监管不合格资质查询。</w:t>
            </w:r>
          </w:p>
        </w:tc>
      </w:tr>
    </w:tbl>
    <w:p w14:paraId="3483E3AA">
      <w:pPr>
        <w:pStyle w:val="3"/>
        <w:jc w:val="center"/>
        <w:rPr>
          <w:rFonts w:ascii="宋体" w:hAnsi="宋体"/>
          <w:b w:val="0"/>
          <w:color w:val="auto"/>
          <w:sz w:val="30"/>
          <w:highlight w:val="none"/>
        </w:rPr>
      </w:pPr>
      <w:bookmarkStart w:id="15" w:name="_Toc380680820"/>
      <w:bookmarkStart w:id="16" w:name="_Toc380680180"/>
      <w:bookmarkStart w:id="17" w:name="_Toc380681013"/>
      <w:bookmarkStart w:id="18" w:name="_Toc380681232"/>
      <w:r>
        <w:rPr>
          <w:rFonts w:ascii="宋体" w:hAnsi="宋体"/>
          <w:color w:val="auto"/>
          <w:sz w:val="30"/>
          <w:highlight w:val="none"/>
        </w:rPr>
        <w:br w:type="page"/>
      </w:r>
      <w:r>
        <w:rPr>
          <w:rFonts w:ascii="宋体" w:hAnsi="宋体"/>
          <w:b w:val="0"/>
          <w:color w:val="auto"/>
          <w:sz w:val="30"/>
          <w:highlight w:val="none"/>
        </w:rPr>
        <w:t>二、投标须知</w:t>
      </w:r>
      <w:bookmarkEnd w:id="15"/>
      <w:bookmarkEnd w:id="16"/>
      <w:bookmarkEnd w:id="17"/>
      <w:bookmarkEnd w:id="18"/>
    </w:p>
    <w:p w14:paraId="42C1CB32">
      <w:pPr>
        <w:pStyle w:val="4"/>
        <w:rPr>
          <w:rFonts w:ascii="宋体" w:hAnsi="宋体"/>
          <w:color w:val="auto"/>
          <w:sz w:val="24"/>
          <w:szCs w:val="24"/>
          <w:highlight w:val="none"/>
        </w:rPr>
      </w:pPr>
      <w:bookmarkStart w:id="19" w:name="_Toc380680181"/>
      <w:bookmarkStart w:id="20" w:name="_Toc380680821"/>
      <w:bookmarkStart w:id="21" w:name="_Toc380681014"/>
      <w:bookmarkStart w:id="22" w:name="_Toc286661158"/>
      <w:bookmarkStart w:id="23" w:name="_Toc380681233"/>
      <w:r>
        <w:rPr>
          <w:rFonts w:ascii="宋体" w:hAnsi="宋体"/>
          <w:color w:val="auto"/>
          <w:sz w:val="24"/>
          <w:szCs w:val="24"/>
          <w:highlight w:val="none"/>
        </w:rPr>
        <w:t>（一）总则</w:t>
      </w:r>
      <w:bookmarkEnd w:id="19"/>
      <w:bookmarkEnd w:id="20"/>
      <w:bookmarkEnd w:id="21"/>
      <w:bookmarkEnd w:id="22"/>
      <w:bookmarkEnd w:id="23"/>
    </w:p>
    <w:p w14:paraId="1F9D2039">
      <w:pPr>
        <w:spacing w:line="360" w:lineRule="auto"/>
        <w:outlineLvl w:val="3"/>
        <w:rPr>
          <w:rFonts w:ascii="宋体" w:hAnsi="宋体"/>
          <w:b/>
          <w:color w:val="auto"/>
          <w:kern w:val="0"/>
          <w:sz w:val="24"/>
          <w:highlight w:val="none"/>
        </w:rPr>
      </w:pPr>
      <w:r>
        <w:rPr>
          <w:rFonts w:ascii="宋体" w:hAnsi="宋体"/>
          <w:b/>
          <w:color w:val="auto"/>
          <w:kern w:val="0"/>
          <w:sz w:val="24"/>
          <w:highlight w:val="none"/>
        </w:rPr>
        <w:t>1.工程概况</w:t>
      </w:r>
    </w:p>
    <w:p w14:paraId="69E9E320">
      <w:pPr>
        <w:spacing w:line="360" w:lineRule="auto"/>
        <w:ind w:firstLine="480" w:firstLineChars="200"/>
        <w:rPr>
          <w:rFonts w:ascii="宋体" w:hAnsi="宋体"/>
          <w:color w:val="auto"/>
          <w:sz w:val="24"/>
          <w:highlight w:val="none"/>
        </w:rPr>
      </w:pPr>
      <w:r>
        <w:rPr>
          <w:rFonts w:ascii="宋体" w:hAnsi="宋体"/>
          <w:color w:val="auto"/>
          <w:sz w:val="24"/>
          <w:highlight w:val="none"/>
        </w:rPr>
        <w:t>1.1本招标工程项目说明详见本须知前附表第1项～第7项。</w:t>
      </w:r>
    </w:p>
    <w:p w14:paraId="4CBB3A36">
      <w:pPr>
        <w:spacing w:line="360" w:lineRule="auto"/>
        <w:ind w:firstLine="480" w:firstLineChars="200"/>
        <w:rPr>
          <w:rFonts w:ascii="宋体" w:hAnsi="宋体"/>
          <w:color w:val="auto"/>
          <w:sz w:val="24"/>
          <w:highlight w:val="none"/>
        </w:rPr>
      </w:pPr>
      <w:r>
        <w:rPr>
          <w:rFonts w:ascii="宋体" w:hAnsi="宋体"/>
          <w:color w:val="auto"/>
          <w:sz w:val="24"/>
          <w:highlight w:val="none"/>
        </w:rPr>
        <w:t>1.2招标范围：见本须知前附表第8项。</w:t>
      </w:r>
    </w:p>
    <w:p w14:paraId="45B4FF8F">
      <w:pPr>
        <w:spacing w:line="360" w:lineRule="auto"/>
        <w:ind w:firstLine="480" w:firstLineChars="200"/>
        <w:rPr>
          <w:rFonts w:ascii="宋体" w:hAnsi="宋体"/>
          <w:color w:val="auto"/>
          <w:sz w:val="24"/>
          <w:highlight w:val="none"/>
        </w:rPr>
      </w:pPr>
      <w:r>
        <w:rPr>
          <w:rFonts w:ascii="宋体" w:hAnsi="宋体"/>
          <w:color w:val="auto"/>
          <w:sz w:val="24"/>
          <w:highlight w:val="none"/>
        </w:rPr>
        <w:t>1.3现场条件：</w:t>
      </w:r>
    </w:p>
    <w:p w14:paraId="4BBCF7E6">
      <w:pPr>
        <w:spacing w:line="360" w:lineRule="auto"/>
        <w:ind w:firstLine="480" w:firstLineChars="200"/>
        <w:rPr>
          <w:rFonts w:ascii="宋体" w:hAnsi="宋体"/>
          <w:color w:val="auto"/>
          <w:sz w:val="24"/>
          <w:highlight w:val="none"/>
        </w:rPr>
      </w:pPr>
      <w:r>
        <w:rPr>
          <w:rFonts w:ascii="宋体" w:hAnsi="宋体"/>
          <w:color w:val="auto"/>
          <w:sz w:val="24"/>
          <w:highlight w:val="none"/>
        </w:rPr>
        <w:t>1.3.1施工现场拆迁及平整情况：</w:t>
      </w:r>
      <w:r>
        <w:rPr>
          <w:rFonts w:ascii="宋体" w:hAnsi="宋体"/>
          <w:bCs/>
          <w:snapToGrid w:val="0"/>
          <w:color w:val="auto"/>
          <w:kern w:val="0"/>
          <w:sz w:val="24"/>
          <w:highlight w:val="none"/>
          <w:u w:val="single"/>
        </w:rPr>
        <w:t>具备施工条件。</w:t>
      </w:r>
    </w:p>
    <w:p w14:paraId="2B7F226D">
      <w:pPr>
        <w:spacing w:line="360" w:lineRule="auto"/>
        <w:ind w:firstLine="480" w:firstLineChars="200"/>
        <w:rPr>
          <w:rFonts w:ascii="宋体" w:hAnsi="宋体"/>
          <w:color w:val="auto"/>
          <w:sz w:val="24"/>
          <w:highlight w:val="none"/>
          <w:u w:val="single"/>
        </w:rPr>
      </w:pPr>
      <w:r>
        <w:rPr>
          <w:rFonts w:ascii="宋体" w:hAnsi="宋体"/>
          <w:color w:val="auto"/>
          <w:sz w:val="24"/>
          <w:highlight w:val="none"/>
        </w:rPr>
        <w:t>1.3.2施工用水、电：</w:t>
      </w:r>
      <w:r>
        <w:rPr>
          <w:rFonts w:ascii="宋体" w:hAnsi="宋体"/>
          <w:bCs/>
          <w:snapToGrid w:val="0"/>
          <w:color w:val="auto"/>
          <w:kern w:val="0"/>
          <w:sz w:val="24"/>
          <w:highlight w:val="none"/>
          <w:u w:val="single"/>
        </w:rPr>
        <w:t>施工用水、用电</w:t>
      </w:r>
      <w:r>
        <w:rPr>
          <w:rFonts w:hint="eastAsia" w:ascii="宋体" w:hAnsi="宋体"/>
          <w:bCs/>
          <w:snapToGrid w:val="0"/>
          <w:color w:val="auto"/>
          <w:kern w:val="0"/>
          <w:sz w:val="24"/>
          <w:highlight w:val="none"/>
          <w:u w:val="single"/>
        </w:rPr>
        <w:t>中标单位自行解决</w:t>
      </w:r>
      <w:r>
        <w:rPr>
          <w:rFonts w:ascii="宋体" w:hAnsi="宋体"/>
          <w:bCs/>
          <w:snapToGrid w:val="0"/>
          <w:color w:val="auto"/>
          <w:kern w:val="0"/>
          <w:sz w:val="24"/>
          <w:highlight w:val="none"/>
          <w:u w:val="single"/>
        </w:rPr>
        <w:t>，</w:t>
      </w:r>
      <w:r>
        <w:rPr>
          <w:rFonts w:hint="eastAsia" w:ascii="宋体" w:hAnsi="宋体"/>
          <w:bCs/>
          <w:snapToGrid w:val="0"/>
          <w:color w:val="auto"/>
          <w:kern w:val="0"/>
          <w:sz w:val="24"/>
          <w:highlight w:val="none"/>
          <w:u w:val="single"/>
        </w:rPr>
        <w:t>施工</w:t>
      </w:r>
      <w:r>
        <w:rPr>
          <w:rFonts w:ascii="宋体" w:hAnsi="宋体"/>
          <w:bCs/>
          <w:snapToGrid w:val="0"/>
          <w:color w:val="auto"/>
          <w:kern w:val="0"/>
          <w:sz w:val="24"/>
          <w:highlight w:val="none"/>
          <w:u w:val="single"/>
        </w:rPr>
        <w:t>临时供水供电及施工中所用的水、电费用由承包人自行承担。</w:t>
      </w:r>
    </w:p>
    <w:p w14:paraId="47586A57">
      <w:pPr>
        <w:spacing w:line="360" w:lineRule="auto"/>
        <w:ind w:firstLine="480" w:firstLineChars="200"/>
        <w:rPr>
          <w:rFonts w:ascii="宋体" w:hAnsi="宋体"/>
          <w:snapToGrid w:val="0"/>
          <w:color w:val="auto"/>
          <w:kern w:val="0"/>
          <w:sz w:val="24"/>
          <w:highlight w:val="none"/>
          <w:u w:val="single"/>
        </w:rPr>
      </w:pPr>
      <w:r>
        <w:rPr>
          <w:rFonts w:ascii="宋体" w:hAnsi="宋体"/>
          <w:color w:val="auto"/>
          <w:sz w:val="24"/>
          <w:highlight w:val="none"/>
        </w:rPr>
        <w:t>1.3.3场内外道路：</w:t>
      </w:r>
      <w:r>
        <w:rPr>
          <w:rFonts w:ascii="宋体" w:hAnsi="宋体"/>
          <w:snapToGrid w:val="0"/>
          <w:color w:val="auto"/>
          <w:kern w:val="0"/>
          <w:sz w:val="24"/>
          <w:highlight w:val="none"/>
          <w:u w:val="single"/>
        </w:rPr>
        <w:t>场内、外道路已通。施工便道由投标人自行考虑，并列入投标报价，工程结算时不作调整。</w:t>
      </w:r>
    </w:p>
    <w:p w14:paraId="25F47508">
      <w:pPr>
        <w:spacing w:line="360" w:lineRule="auto"/>
        <w:ind w:firstLine="480" w:firstLineChars="200"/>
        <w:rPr>
          <w:rFonts w:ascii="宋体" w:hAnsi="宋体"/>
          <w:color w:val="auto"/>
          <w:sz w:val="28"/>
          <w:szCs w:val="28"/>
          <w:highlight w:val="none"/>
        </w:rPr>
      </w:pPr>
      <w:r>
        <w:rPr>
          <w:rFonts w:ascii="宋体" w:hAnsi="宋体"/>
          <w:color w:val="auto"/>
          <w:sz w:val="24"/>
          <w:highlight w:val="none"/>
        </w:rPr>
        <w:t>1.3.4其他：</w:t>
      </w:r>
      <w:r>
        <w:rPr>
          <w:rFonts w:ascii="宋体" w:hAnsi="宋体"/>
          <w:b/>
          <w:bCs/>
          <w:color w:val="auto"/>
          <w:spacing w:val="-6"/>
          <w:sz w:val="24"/>
          <w:highlight w:val="none"/>
          <w:u w:val="single"/>
        </w:rPr>
        <w:t>投标人应认真对现场</w:t>
      </w:r>
      <w:r>
        <w:rPr>
          <w:rFonts w:hint="eastAsia" w:ascii="宋体" w:hAnsi="宋体"/>
          <w:b/>
          <w:bCs/>
          <w:snapToGrid w:val="0"/>
          <w:color w:val="auto"/>
          <w:kern w:val="0"/>
          <w:sz w:val="24"/>
          <w:highlight w:val="none"/>
          <w:u w:val="single"/>
        </w:rPr>
        <w:t>和周围</w:t>
      </w:r>
      <w:r>
        <w:rPr>
          <w:rFonts w:ascii="宋体" w:hAnsi="宋体"/>
          <w:b/>
          <w:bCs/>
          <w:color w:val="auto"/>
          <w:spacing w:val="-6"/>
          <w:sz w:val="24"/>
          <w:highlight w:val="none"/>
          <w:u w:val="single"/>
        </w:rPr>
        <w:t>环境进行踏勘，对施工现场情况和影响施工的因素以及困难条件进行周密的勘察和研究，作出自己的判断结论和估价。</w:t>
      </w:r>
      <w:r>
        <w:rPr>
          <w:rFonts w:hint="eastAsia" w:ascii="宋体" w:hAnsi="宋体"/>
          <w:b/>
          <w:bCs/>
          <w:snapToGrid w:val="0"/>
          <w:color w:val="auto"/>
          <w:kern w:val="0"/>
          <w:sz w:val="24"/>
          <w:highlight w:val="none"/>
          <w:u w:val="single"/>
        </w:rPr>
        <w:t>投标人对工程现场的勘察应包括对工程现场土壤、水质的勘察，应充分考虑工程现场土壤和水质条件对工程中苗木绿化种植的影响。投标人的投标报价中已经充分考虑工程现场土壤、水质、当地气象、气候等条件能造成的所有影响，</w:t>
      </w:r>
      <w:r>
        <w:rPr>
          <w:rFonts w:ascii="宋体" w:hAnsi="宋体"/>
          <w:b/>
          <w:bCs/>
          <w:color w:val="auto"/>
          <w:spacing w:val="-6"/>
          <w:sz w:val="24"/>
          <w:highlight w:val="none"/>
          <w:u w:val="single"/>
        </w:rPr>
        <w:t>中标后和签订合同时及施工过程中，投标人均不得以不了解现场情况为由，提出任何形式增加工程造价的要求，施工时因场地问题引起的成本费用增加，均由投标人自行承担，结算时不予调整</w:t>
      </w:r>
      <w:r>
        <w:rPr>
          <w:rFonts w:ascii="宋体" w:hAnsi="宋体"/>
          <w:b/>
          <w:bCs/>
          <w:color w:val="auto"/>
          <w:sz w:val="24"/>
          <w:highlight w:val="none"/>
        </w:rPr>
        <w:t>。</w:t>
      </w:r>
    </w:p>
    <w:p w14:paraId="2E3A7D30">
      <w:pPr>
        <w:widowControl/>
        <w:tabs>
          <w:tab w:val="left" w:pos="0"/>
          <w:tab w:val="left" w:pos="993"/>
          <w:tab w:val="left" w:pos="1134"/>
        </w:tabs>
        <w:adjustRightInd w:val="0"/>
        <w:snapToGrid w:val="0"/>
        <w:spacing w:before="50" w:line="360" w:lineRule="auto"/>
        <w:ind w:firstLine="480" w:firstLineChars="200"/>
        <w:jc w:val="left"/>
        <w:rPr>
          <w:rFonts w:ascii="宋体" w:hAnsi="宋体"/>
          <w:color w:val="auto"/>
          <w:sz w:val="24"/>
          <w:highlight w:val="none"/>
          <w:u w:val="single"/>
        </w:rPr>
      </w:pPr>
      <w:r>
        <w:rPr>
          <w:rFonts w:ascii="宋体" w:hAnsi="宋体"/>
          <w:color w:val="auto"/>
          <w:sz w:val="24"/>
          <w:highlight w:val="none"/>
          <w:u w:val="single"/>
        </w:rPr>
        <w:t>中标人应独立、有效地做好该工程周边的有关群众工作，并充分考虑工程实施范围内外的单位、个人和其他可能出现阻挠施工的情况，若发生的机械台班停置费、二次机械进退场费、人员窝工、处理周边群众纠纷等费用和损失，由投标人自行考虑，并列入投标报价，工程结算时不作调整，并无条件接受发包单位、监理单位的协调、管理。投标人务必自行认真踏勘现场条件，如若对现场施工条件有疑问，请在提交疑问截止时间之</w:t>
      </w:r>
      <w:r>
        <w:rPr>
          <w:rFonts w:ascii="宋体" w:hAnsi="宋体"/>
          <w:bCs/>
          <w:color w:val="auto"/>
          <w:sz w:val="24"/>
          <w:highlight w:val="none"/>
          <w:u w:val="single"/>
        </w:rPr>
        <w:t>前</w:t>
      </w:r>
      <w:r>
        <w:rPr>
          <w:rFonts w:ascii="宋体" w:hAnsi="宋体"/>
          <w:color w:val="auto"/>
          <w:sz w:val="24"/>
          <w:highlight w:val="none"/>
          <w:u w:val="single"/>
        </w:rPr>
        <w:t>提出，否则视同认可。一旦中标不得对现场条件提出额外要求，且不得要求增加费用。</w:t>
      </w:r>
    </w:p>
    <w:p w14:paraId="14E166A4">
      <w:pPr>
        <w:spacing w:line="360" w:lineRule="auto"/>
        <w:ind w:firstLine="480" w:firstLineChars="200"/>
        <w:rPr>
          <w:rFonts w:ascii="宋体" w:hAnsi="宋体"/>
          <w:color w:val="auto"/>
          <w:sz w:val="24"/>
          <w:highlight w:val="none"/>
        </w:rPr>
      </w:pPr>
      <w:r>
        <w:rPr>
          <w:rFonts w:ascii="宋体" w:hAnsi="宋体"/>
          <w:color w:val="auto"/>
          <w:sz w:val="24"/>
          <w:highlight w:val="none"/>
        </w:rPr>
        <w:t>1.4承包方式说明：</w:t>
      </w:r>
    </w:p>
    <w:p w14:paraId="262B7101">
      <w:pPr>
        <w:spacing w:line="360" w:lineRule="auto"/>
        <w:ind w:firstLine="480" w:firstLineChars="200"/>
        <w:rPr>
          <w:rFonts w:ascii="宋体" w:hAnsi="宋体"/>
          <w:color w:val="auto"/>
          <w:sz w:val="24"/>
          <w:highlight w:val="none"/>
        </w:rPr>
      </w:pPr>
      <w:r>
        <w:rPr>
          <w:rFonts w:ascii="宋体" w:hAnsi="宋体"/>
          <w:color w:val="auto"/>
          <w:sz w:val="24"/>
          <w:highlight w:val="none"/>
        </w:rPr>
        <w:t>工程发包范围内的包工、包料（发包人供应或发包人另行发包的除外）、包质量、包工期、包安全、包文明、包成品养护、包风险等。</w:t>
      </w:r>
    </w:p>
    <w:p w14:paraId="6B9AFB84">
      <w:pPr>
        <w:spacing w:line="360" w:lineRule="auto"/>
        <w:ind w:firstLine="480" w:firstLineChars="200"/>
        <w:rPr>
          <w:rFonts w:ascii="宋体" w:hAnsi="宋体"/>
          <w:color w:val="auto"/>
          <w:sz w:val="24"/>
          <w:highlight w:val="none"/>
        </w:rPr>
      </w:pPr>
      <w:r>
        <w:rPr>
          <w:rFonts w:ascii="宋体" w:hAnsi="宋体"/>
          <w:color w:val="auto"/>
          <w:sz w:val="24"/>
          <w:highlight w:val="none"/>
        </w:rPr>
        <w:t>1.5按照《中华人民共和国招标投标法》、《工程建设项目施工招标投标办法》及相关规定，上述工程已符合招标条件，现采用</w:t>
      </w:r>
      <w:r>
        <w:rPr>
          <w:rFonts w:ascii="宋体" w:hAnsi="宋体"/>
          <w:b/>
          <w:color w:val="auto"/>
          <w:sz w:val="24"/>
          <w:highlight w:val="none"/>
          <w:u w:val="single"/>
        </w:rPr>
        <w:t>公开招标、资格后审</w:t>
      </w:r>
      <w:r>
        <w:rPr>
          <w:rFonts w:ascii="宋体" w:hAnsi="宋体"/>
          <w:color w:val="auto"/>
          <w:sz w:val="24"/>
          <w:highlight w:val="none"/>
        </w:rPr>
        <w:t>招标方式，择优选定施工单位。</w:t>
      </w:r>
    </w:p>
    <w:p w14:paraId="33AFF416">
      <w:pPr>
        <w:spacing w:line="360" w:lineRule="auto"/>
        <w:outlineLvl w:val="3"/>
        <w:rPr>
          <w:rFonts w:ascii="宋体" w:hAnsi="宋体"/>
          <w:b/>
          <w:color w:val="auto"/>
          <w:kern w:val="0"/>
          <w:sz w:val="24"/>
          <w:highlight w:val="none"/>
        </w:rPr>
      </w:pPr>
      <w:bookmarkStart w:id="24" w:name="_Toc286661161"/>
      <w:r>
        <w:rPr>
          <w:rFonts w:ascii="宋体" w:hAnsi="宋体"/>
          <w:b/>
          <w:color w:val="auto"/>
          <w:kern w:val="0"/>
          <w:sz w:val="24"/>
          <w:highlight w:val="none"/>
        </w:rPr>
        <w:t>2.投标人资格要求</w:t>
      </w:r>
    </w:p>
    <w:p w14:paraId="0033B0A9">
      <w:pPr>
        <w:spacing w:line="360" w:lineRule="auto"/>
        <w:ind w:firstLine="480"/>
        <w:rPr>
          <w:rFonts w:ascii="宋体" w:hAnsi="宋体" w:cs="宋体"/>
          <w:color w:val="auto"/>
          <w:sz w:val="24"/>
          <w:highlight w:val="none"/>
        </w:rPr>
      </w:pPr>
      <w:r>
        <w:rPr>
          <w:rFonts w:hint="eastAsia" w:ascii="宋体" w:hAnsi="宋体" w:cs="宋体"/>
          <w:color w:val="auto"/>
          <w:sz w:val="24"/>
          <w:highlight w:val="none"/>
        </w:rPr>
        <w:t>2.1投标人应具备承担本工程施工的资质条件、能力和信誉：</w:t>
      </w:r>
    </w:p>
    <w:p w14:paraId="5A0CED81">
      <w:pPr>
        <w:spacing w:line="360" w:lineRule="auto"/>
        <w:ind w:firstLine="480" w:firstLineChars="200"/>
        <w:rPr>
          <w:rFonts w:ascii="宋体" w:hAnsi="宋体" w:cs="宋体"/>
          <w:bCs/>
          <w:color w:val="auto"/>
          <w:sz w:val="24"/>
          <w:highlight w:val="none"/>
        </w:rPr>
      </w:pPr>
      <w:r>
        <w:rPr>
          <w:rFonts w:hint="eastAsia" w:ascii="宋体" w:hAnsi="宋体" w:cs="宋体"/>
          <w:bCs/>
          <w:color w:val="auto"/>
          <w:sz w:val="24"/>
          <w:highlight w:val="none"/>
        </w:rPr>
        <w:t>（1）</w:t>
      </w:r>
      <w:bookmarkStart w:id="25" w:name="_Hlk69811451"/>
      <w:r>
        <w:rPr>
          <w:rFonts w:hint="eastAsia" w:ascii="宋体" w:hAnsi="宋体" w:cs="宋体"/>
          <w:bCs/>
          <w:color w:val="auto"/>
          <w:sz w:val="24"/>
          <w:highlight w:val="none"/>
        </w:rPr>
        <w:t>企业资质条件：</w:t>
      </w:r>
      <w:r>
        <w:rPr>
          <w:rFonts w:hint="eastAsia" w:ascii="宋体" w:hAnsi="宋体" w:cs="宋体"/>
          <w:bCs/>
          <w:color w:val="auto"/>
          <w:sz w:val="24"/>
          <w:highlight w:val="none"/>
          <w:u w:val="single"/>
        </w:rPr>
        <w:t>具有电子与智能化工程专业承包二级及以上施工资质</w:t>
      </w:r>
      <w:r>
        <w:rPr>
          <w:rFonts w:hint="eastAsia" w:ascii="宋体" w:hAnsi="宋体" w:cs="宋体"/>
          <w:bCs/>
          <w:color w:val="auto"/>
          <w:sz w:val="24"/>
          <w:highlight w:val="none"/>
        </w:rPr>
        <w:t>；</w:t>
      </w:r>
    </w:p>
    <w:bookmarkEnd w:id="25"/>
    <w:p w14:paraId="3D004ADA">
      <w:pPr>
        <w:spacing w:line="360" w:lineRule="auto"/>
        <w:ind w:firstLine="480" w:firstLineChars="200"/>
        <w:rPr>
          <w:rFonts w:ascii="宋体" w:hAnsi="宋体" w:cs="宋体"/>
          <w:bCs/>
          <w:color w:val="auto"/>
          <w:sz w:val="24"/>
          <w:highlight w:val="none"/>
          <w:u w:val="single"/>
        </w:rPr>
      </w:pPr>
      <w:r>
        <w:rPr>
          <w:rFonts w:hint="eastAsia" w:ascii="宋体" w:hAnsi="宋体" w:cs="宋体"/>
          <w:bCs/>
          <w:color w:val="auto"/>
          <w:sz w:val="24"/>
          <w:highlight w:val="none"/>
        </w:rPr>
        <w:t>（2）拟派项目负责人资格：</w:t>
      </w:r>
      <w:r>
        <w:rPr>
          <w:rFonts w:hint="eastAsia" w:ascii="宋体" w:hAnsi="宋体" w:cs="宋体"/>
          <w:bCs/>
          <w:color w:val="auto"/>
          <w:sz w:val="24"/>
          <w:highlight w:val="none"/>
          <w:u w:val="single"/>
        </w:rPr>
        <w:t>机电工程专业二级及以上注册建造师(注册在投标人单位)，并同时具有安全生产考核合格证（B证）。</w:t>
      </w:r>
    </w:p>
    <w:p w14:paraId="4F445F04">
      <w:pPr>
        <w:spacing w:line="360" w:lineRule="auto"/>
        <w:ind w:firstLine="480" w:firstLineChars="200"/>
        <w:rPr>
          <w:rFonts w:ascii="宋体" w:hAnsi="宋体" w:cs="宋体"/>
          <w:bCs/>
          <w:color w:val="auto"/>
          <w:sz w:val="24"/>
          <w:highlight w:val="none"/>
        </w:rPr>
      </w:pPr>
      <w:r>
        <w:rPr>
          <w:rFonts w:hint="eastAsia" w:ascii="宋体" w:hAnsi="宋体" w:cs="宋体"/>
          <w:bCs/>
          <w:color w:val="auto"/>
          <w:sz w:val="24"/>
          <w:highlight w:val="none"/>
        </w:rPr>
        <w:t>特别提醒：</w:t>
      </w:r>
      <w:r>
        <w:rPr>
          <w:rFonts w:hint="eastAsia" w:ascii="宋体" w:hAnsi="宋体" w:cs="宋体"/>
          <w:b/>
          <w:bCs/>
          <w:color w:val="auto"/>
          <w:sz w:val="24"/>
          <w:highlight w:val="none"/>
        </w:rPr>
        <w:t>①本工程投标人拟派项目负责人为二级注册建造师的，必须根据《省住房和城乡建设厅关于我省二级建造师、二级造价工程师、二级注册结二级注册建筑师、构工程师注册证书电子证照换发的公告》（(2023)第26号）文件要求使用并提供证书，如未按文件要求提供证书，该证书无效，视为项目负责人的资格不符合要求。②本工程投标人拟派项目负责人为一级注册建造师的，必须根据《住房和城乡建设部办公厅关于全面实行一级建造师电子注册证书的通知》（建办市〔2021〕40 号）文件要求使用并提供电子证书，如未按文件要求提供电子证书，该电子证书无效，视为拟派项目负责人的资格不符合要求。</w:t>
      </w:r>
    </w:p>
    <w:p w14:paraId="0CFE03C8">
      <w:pPr>
        <w:widowControl/>
        <w:spacing w:line="360" w:lineRule="auto"/>
        <w:ind w:left="599" w:leftChars="228" w:hanging="120" w:hangingChars="50"/>
        <w:jc w:val="left"/>
        <w:rPr>
          <w:rFonts w:ascii="宋体" w:hAnsi="宋体" w:cs="宋体"/>
          <w:color w:val="auto"/>
          <w:sz w:val="24"/>
          <w:highlight w:val="none"/>
        </w:rPr>
      </w:pPr>
      <w:r>
        <w:rPr>
          <w:rFonts w:hint="eastAsia" w:ascii="宋体" w:hAnsi="宋体" w:cs="宋体"/>
          <w:color w:val="auto"/>
          <w:sz w:val="24"/>
          <w:highlight w:val="none"/>
        </w:rPr>
        <w:t>（3）</w:t>
      </w:r>
      <w:r>
        <w:rPr>
          <w:rFonts w:hint="eastAsia" w:ascii="宋体" w:hAnsi="宋体" w:cs="宋体"/>
          <w:b/>
          <w:color w:val="auto"/>
          <w:sz w:val="24"/>
          <w:highlight w:val="none"/>
        </w:rPr>
        <w:t>本工程不接受联合体方式的投标</w:t>
      </w:r>
      <w:r>
        <w:rPr>
          <w:rFonts w:hint="eastAsia" w:ascii="宋体" w:hAnsi="宋体" w:cs="宋体"/>
          <w:color w:val="auto"/>
          <w:sz w:val="24"/>
          <w:highlight w:val="none"/>
        </w:rPr>
        <w:t>。</w:t>
      </w:r>
    </w:p>
    <w:p w14:paraId="07E3D5A5">
      <w:pPr>
        <w:spacing w:line="360" w:lineRule="auto"/>
        <w:ind w:firstLine="480" w:firstLineChars="200"/>
        <w:outlineLvl w:val="3"/>
        <w:rPr>
          <w:rFonts w:ascii="宋体" w:hAnsi="宋体"/>
          <w:b/>
          <w:color w:val="auto"/>
          <w:kern w:val="0"/>
          <w:sz w:val="24"/>
          <w:highlight w:val="none"/>
        </w:rPr>
      </w:pPr>
      <w:r>
        <w:rPr>
          <w:rFonts w:hint="eastAsia" w:ascii="宋体" w:hAnsi="宋体" w:cs="宋体"/>
          <w:color w:val="auto"/>
          <w:sz w:val="24"/>
          <w:highlight w:val="none"/>
        </w:rPr>
        <w:t>（4）</w:t>
      </w:r>
      <w:r>
        <w:rPr>
          <w:rFonts w:hint="eastAsia" w:ascii="宋体" w:hAnsi="宋体" w:cs="宋体"/>
          <w:b/>
          <w:color w:val="auto"/>
          <w:sz w:val="24"/>
          <w:highlight w:val="none"/>
        </w:rPr>
        <w:t>未尽之处具体详见第二章“评标办法”中的“资格审查标准汇总表”提供的资格审查材料及审查标准，前后矛盾的以《资格审查标准汇总表》为准。</w:t>
      </w:r>
      <w:r>
        <w:rPr>
          <w:rFonts w:ascii="宋体" w:hAnsi="宋体"/>
          <w:b/>
          <w:color w:val="auto"/>
          <w:kern w:val="0"/>
          <w:sz w:val="24"/>
          <w:highlight w:val="none"/>
        </w:rPr>
        <w:t>3.投标费用</w:t>
      </w:r>
    </w:p>
    <w:p w14:paraId="4A87C114">
      <w:pPr>
        <w:spacing w:line="360" w:lineRule="auto"/>
        <w:ind w:firstLine="482" w:firstLineChars="200"/>
        <w:rPr>
          <w:rFonts w:ascii="宋体" w:hAnsi="宋体"/>
          <w:b/>
          <w:color w:val="auto"/>
          <w:sz w:val="24"/>
          <w:highlight w:val="none"/>
        </w:rPr>
      </w:pPr>
      <w:r>
        <w:rPr>
          <w:rFonts w:ascii="宋体" w:hAnsi="宋体"/>
          <w:b/>
          <w:color w:val="auto"/>
          <w:sz w:val="24"/>
          <w:highlight w:val="none"/>
        </w:rPr>
        <w:t>3.1投标人在提交投标文件的同时提交</w:t>
      </w:r>
      <w:r>
        <w:rPr>
          <w:rFonts w:ascii="宋体" w:hAnsi="宋体"/>
          <w:b/>
          <w:color w:val="auto"/>
          <w:sz w:val="24"/>
          <w:highlight w:val="none"/>
          <w:u w:val="single"/>
        </w:rPr>
        <w:t>300元（现金）</w:t>
      </w:r>
      <w:r>
        <w:rPr>
          <w:rFonts w:ascii="宋体" w:hAnsi="宋体"/>
          <w:b/>
          <w:color w:val="auto"/>
          <w:sz w:val="24"/>
          <w:highlight w:val="none"/>
        </w:rPr>
        <w:t>招标文件相关费用，无论是否中标，该费用不予退还。</w:t>
      </w:r>
    </w:p>
    <w:p w14:paraId="55070790">
      <w:pPr>
        <w:spacing w:line="360" w:lineRule="auto"/>
        <w:ind w:firstLine="480" w:firstLineChars="200"/>
        <w:rPr>
          <w:rFonts w:ascii="宋体" w:hAnsi="宋体"/>
          <w:color w:val="auto"/>
          <w:sz w:val="24"/>
          <w:highlight w:val="none"/>
        </w:rPr>
      </w:pPr>
      <w:r>
        <w:rPr>
          <w:rFonts w:ascii="宋体" w:hAnsi="宋体"/>
          <w:color w:val="auto"/>
          <w:sz w:val="24"/>
          <w:highlight w:val="none"/>
        </w:rPr>
        <w:t>3.2投标人应承担其编制投标文件以及递交投标文件所涉及的一切费用。无论投标结果如何，招标人对上述费用不负任何责任。</w:t>
      </w:r>
    </w:p>
    <w:p w14:paraId="09B9FD5A">
      <w:pPr>
        <w:spacing w:line="360" w:lineRule="auto"/>
        <w:outlineLvl w:val="3"/>
        <w:rPr>
          <w:rFonts w:ascii="宋体" w:hAnsi="宋体"/>
          <w:b/>
          <w:color w:val="auto"/>
          <w:kern w:val="0"/>
          <w:sz w:val="24"/>
          <w:highlight w:val="none"/>
        </w:rPr>
      </w:pPr>
      <w:r>
        <w:rPr>
          <w:rFonts w:ascii="宋体" w:hAnsi="宋体"/>
          <w:b/>
          <w:color w:val="auto"/>
          <w:kern w:val="0"/>
          <w:sz w:val="24"/>
          <w:highlight w:val="none"/>
        </w:rPr>
        <w:t>4</w:t>
      </w:r>
      <w:r>
        <w:rPr>
          <w:rFonts w:hint="eastAsia" w:ascii="宋体" w:hAnsi="宋体"/>
          <w:b/>
          <w:color w:val="auto"/>
          <w:kern w:val="0"/>
          <w:sz w:val="24"/>
          <w:highlight w:val="none"/>
        </w:rPr>
        <w:t>.</w:t>
      </w:r>
      <w:r>
        <w:rPr>
          <w:rFonts w:ascii="宋体" w:hAnsi="宋体"/>
          <w:b/>
          <w:color w:val="auto"/>
          <w:kern w:val="0"/>
          <w:sz w:val="24"/>
          <w:highlight w:val="none"/>
        </w:rPr>
        <w:t>踏勘现场</w:t>
      </w:r>
    </w:p>
    <w:p w14:paraId="3F391799">
      <w:pPr>
        <w:numPr>
          <w:ilvl w:val="0"/>
          <w:numId w:val="1"/>
        </w:numPr>
        <w:tabs>
          <w:tab w:val="left" w:pos="875"/>
          <w:tab w:val="clear" w:pos="720"/>
        </w:tabs>
        <w:overflowPunct w:val="0"/>
        <w:autoSpaceDE w:val="0"/>
        <w:autoSpaceDN w:val="0"/>
        <w:adjustRightInd w:val="0"/>
        <w:spacing w:line="360" w:lineRule="auto"/>
        <w:ind w:left="0" w:firstLine="480" w:firstLineChars="200"/>
        <w:rPr>
          <w:rFonts w:ascii="宋体" w:hAnsi="宋体"/>
          <w:color w:val="auto"/>
          <w:kern w:val="0"/>
          <w:sz w:val="24"/>
          <w:highlight w:val="none"/>
        </w:rPr>
      </w:pPr>
      <w:r>
        <w:rPr>
          <w:rFonts w:ascii="宋体" w:hAnsi="宋体"/>
          <w:color w:val="auto"/>
          <w:kern w:val="0"/>
          <w:sz w:val="24"/>
          <w:highlight w:val="none"/>
        </w:rPr>
        <w:t>经招标人允许，投标人可为踏勘目的进入招标人的项目现场，但投标人不得因此使招标人承担有关的责任和蒙受损失，投标人应承担踏勘现场的责任和风险。</w:t>
      </w:r>
    </w:p>
    <w:p w14:paraId="0C4B2160">
      <w:pPr>
        <w:numPr>
          <w:ilvl w:val="0"/>
          <w:numId w:val="1"/>
        </w:numPr>
        <w:tabs>
          <w:tab w:val="left" w:pos="875"/>
          <w:tab w:val="clear" w:pos="720"/>
        </w:tabs>
        <w:overflowPunct w:val="0"/>
        <w:autoSpaceDE w:val="0"/>
        <w:autoSpaceDN w:val="0"/>
        <w:adjustRightInd w:val="0"/>
        <w:spacing w:line="360" w:lineRule="auto"/>
        <w:ind w:left="0" w:firstLine="480" w:firstLineChars="200"/>
        <w:rPr>
          <w:rFonts w:ascii="宋体" w:hAnsi="宋体"/>
          <w:color w:val="auto"/>
          <w:kern w:val="0"/>
          <w:sz w:val="24"/>
          <w:highlight w:val="none"/>
        </w:rPr>
      </w:pPr>
      <w:r>
        <w:rPr>
          <w:rFonts w:ascii="宋体" w:hAnsi="宋体"/>
          <w:color w:val="auto"/>
          <w:kern w:val="0"/>
          <w:sz w:val="24"/>
          <w:highlight w:val="none"/>
        </w:rPr>
        <w:t>投标人自行对工程现场及周围环境进行踏勘，以便投标人获取有关编制投标文件和签署合同所涉及的现场资料。投标人承担踏勘现场发生的一切费用。</w:t>
      </w:r>
    </w:p>
    <w:p w14:paraId="394C1CB8">
      <w:pPr>
        <w:numPr>
          <w:ilvl w:val="0"/>
          <w:numId w:val="1"/>
        </w:numPr>
        <w:tabs>
          <w:tab w:val="left" w:pos="875"/>
          <w:tab w:val="clear" w:pos="720"/>
        </w:tabs>
        <w:overflowPunct w:val="0"/>
        <w:autoSpaceDE w:val="0"/>
        <w:autoSpaceDN w:val="0"/>
        <w:adjustRightInd w:val="0"/>
        <w:spacing w:line="360" w:lineRule="auto"/>
        <w:ind w:left="0" w:firstLine="480" w:firstLineChars="200"/>
        <w:rPr>
          <w:rFonts w:ascii="宋体" w:hAnsi="宋体"/>
          <w:color w:val="auto"/>
          <w:kern w:val="0"/>
          <w:sz w:val="24"/>
          <w:highlight w:val="none"/>
        </w:rPr>
      </w:pPr>
      <w:r>
        <w:rPr>
          <w:rFonts w:ascii="宋体" w:hAnsi="宋体"/>
          <w:color w:val="auto"/>
          <w:kern w:val="0"/>
          <w:sz w:val="24"/>
          <w:highlight w:val="none"/>
        </w:rPr>
        <w:t>招标人向投标人提供的有关现场的数据和资料，是招标人现有的能被投标人利用的资料，招标人对投标人作出的任何推论、理解和结论均不负责任。</w:t>
      </w:r>
    </w:p>
    <w:p w14:paraId="37F68534">
      <w:pPr>
        <w:numPr>
          <w:ilvl w:val="0"/>
          <w:numId w:val="1"/>
        </w:numPr>
        <w:tabs>
          <w:tab w:val="left" w:pos="875"/>
          <w:tab w:val="clear" w:pos="720"/>
        </w:tabs>
        <w:overflowPunct w:val="0"/>
        <w:autoSpaceDE w:val="0"/>
        <w:autoSpaceDN w:val="0"/>
        <w:adjustRightInd w:val="0"/>
        <w:spacing w:line="360" w:lineRule="auto"/>
        <w:ind w:left="0" w:firstLine="480" w:firstLineChars="200"/>
        <w:rPr>
          <w:rFonts w:ascii="宋体" w:hAnsi="宋体"/>
          <w:color w:val="auto"/>
          <w:kern w:val="0"/>
          <w:sz w:val="24"/>
          <w:highlight w:val="none"/>
        </w:rPr>
      </w:pPr>
      <w:r>
        <w:rPr>
          <w:rFonts w:ascii="宋体" w:hAnsi="宋体"/>
          <w:color w:val="auto"/>
          <w:kern w:val="0"/>
          <w:sz w:val="24"/>
          <w:highlight w:val="none"/>
        </w:rPr>
        <w:t>投标人应充分考虑标书制作过程中的数据变化因素，检查确认标书内容的正确完整和对招标文件的响应程度。</w:t>
      </w:r>
    </w:p>
    <w:p w14:paraId="0760E4E0">
      <w:pPr>
        <w:pStyle w:val="4"/>
        <w:rPr>
          <w:rFonts w:ascii="宋体" w:hAnsi="宋体"/>
          <w:color w:val="auto"/>
          <w:sz w:val="24"/>
          <w:szCs w:val="24"/>
          <w:highlight w:val="none"/>
        </w:rPr>
      </w:pPr>
      <w:bookmarkStart w:id="26" w:name="_Toc380681234"/>
      <w:bookmarkStart w:id="27" w:name="_Toc380680822"/>
      <w:bookmarkStart w:id="28" w:name="_Toc380681015"/>
      <w:r>
        <w:rPr>
          <w:rFonts w:ascii="宋体" w:hAnsi="宋体"/>
          <w:color w:val="auto"/>
          <w:sz w:val="24"/>
          <w:szCs w:val="24"/>
          <w:highlight w:val="none"/>
        </w:rPr>
        <w:t>（二）招标文件</w:t>
      </w:r>
      <w:bookmarkEnd w:id="26"/>
      <w:bookmarkEnd w:id="27"/>
      <w:bookmarkEnd w:id="28"/>
    </w:p>
    <w:p w14:paraId="2B3915B5">
      <w:pPr>
        <w:spacing w:line="360" w:lineRule="auto"/>
        <w:outlineLvl w:val="3"/>
        <w:rPr>
          <w:rFonts w:ascii="宋体" w:hAnsi="宋体"/>
          <w:b/>
          <w:color w:val="auto"/>
          <w:kern w:val="0"/>
          <w:sz w:val="24"/>
          <w:highlight w:val="none"/>
        </w:rPr>
      </w:pPr>
      <w:r>
        <w:rPr>
          <w:rFonts w:ascii="宋体" w:hAnsi="宋体"/>
          <w:b/>
          <w:color w:val="auto"/>
          <w:kern w:val="0"/>
          <w:sz w:val="24"/>
          <w:highlight w:val="none"/>
        </w:rPr>
        <w:t>5.招标文件的组成</w:t>
      </w:r>
    </w:p>
    <w:p w14:paraId="48027A4C">
      <w:pPr>
        <w:spacing w:line="360" w:lineRule="auto"/>
        <w:ind w:firstLine="480" w:firstLineChars="200"/>
        <w:rPr>
          <w:rFonts w:ascii="宋体" w:hAnsi="宋体"/>
          <w:color w:val="auto"/>
          <w:sz w:val="24"/>
          <w:highlight w:val="none"/>
        </w:rPr>
      </w:pPr>
      <w:r>
        <w:rPr>
          <w:rFonts w:ascii="宋体" w:hAnsi="宋体"/>
          <w:color w:val="auto"/>
          <w:sz w:val="24"/>
          <w:highlight w:val="none"/>
        </w:rPr>
        <w:t>5.1.招标文件包括下列内容：</w:t>
      </w:r>
    </w:p>
    <w:p w14:paraId="221AA2A2">
      <w:pPr>
        <w:spacing w:line="360" w:lineRule="auto"/>
        <w:ind w:firstLine="480" w:firstLineChars="200"/>
        <w:rPr>
          <w:rFonts w:ascii="宋体" w:hAnsi="宋体"/>
          <w:color w:val="auto"/>
          <w:sz w:val="24"/>
          <w:highlight w:val="none"/>
        </w:rPr>
      </w:pPr>
      <w:r>
        <w:rPr>
          <w:rFonts w:ascii="宋体" w:hAnsi="宋体"/>
          <w:color w:val="auto"/>
          <w:sz w:val="24"/>
          <w:highlight w:val="none"/>
        </w:rPr>
        <w:t>第一章：投标</w:t>
      </w:r>
      <w:r>
        <w:rPr>
          <w:rFonts w:hint="eastAsia" w:ascii="宋体" w:hAnsi="宋体"/>
          <w:color w:val="auto"/>
          <w:sz w:val="24"/>
          <w:highlight w:val="none"/>
        </w:rPr>
        <w:t>人</w:t>
      </w:r>
      <w:r>
        <w:rPr>
          <w:rFonts w:ascii="宋体" w:hAnsi="宋体"/>
          <w:color w:val="auto"/>
          <w:sz w:val="24"/>
          <w:highlight w:val="none"/>
        </w:rPr>
        <w:t>须知</w:t>
      </w:r>
      <w:r>
        <w:rPr>
          <w:rFonts w:hint="eastAsia" w:ascii="宋体" w:hAnsi="宋体"/>
          <w:color w:val="auto"/>
          <w:sz w:val="24"/>
          <w:highlight w:val="none"/>
        </w:rPr>
        <w:t>及投标人须知前附表</w:t>
      </w:r>
    </w:p>
    <w:p w14:paraId="72DDDF57">
      <w:pPr>
        <w:spacing w:line="360" w:lineRule="auto"/>
        <w:ind w:firstLine="480" w:firstLineChars="200"/>
        <w:rPr>
          <w:rFonts w:ascii="宋体" w:hAnsi="宋体"/>
          <w:color w:val="auto"/>
          <w:sz w:val="24"/>
          <w:highlight w:val="none"/>
        </w:rPr>
      </w:pPr>
      <w:r>
        <w:rPr>
          <w:rFonts w:ascii="宋体" w:hAnsi="宋体"/>
          <w:color w:val="auto"/>
          <w:sz w:val="24"/>
          <w:highlight w:val="none"/>
        </w:rPr>
        <w:t>第二章：评标办法</w:t>
      </w:r>
    </w:p>
    <w:p w14:paraId="44CDF92D">
      <w:pPr>
        <w:spacing w:line="360" w:lineRule="auto"/>
        <w:ind w:firstLine="480" w:firstLineChars="200"/>
        <w:rPr>
          <w:rFonts w:ascii="宋体" w:hAnsi="宋体"/>
          <w:color w:val="auto"/>
          <w:sz w:val="24"/>
          <w:highlight w:val="none"/>
        </w:rPr>
      </w:pPr>
      <w:r>
        <w:rPr>
          <w:rFonts w:ascii="宋体" w:hAnsi="宋体"/>
          <w:color w:val="auto"/>
          <w:sz w:val="24"/>
          <w:highlight w:val="none"/>
        </w:rPr>
        <w:t>第三章：合同条款</w:t>
      </w:r>
    </w:p>
    <w:p w14:paraId="2CDD14D5">
      <w:pPr>
        <w:spacing w:line="360" w:lineRule="auto"/>
        <w:ind w:firstLine="480" w:firstLineChars="200"/>
        <w:rPr>
          <w:rFonts w:ascii="宋体" w:hAnsi="宋体"/>
          <w:color w:val="auto"/>
          <w:sz w:val="24"/>
          <w:highlight w:val="none"/>
        </w:rPr>
      </w:pPr>
      <w:r>
        <w:rPr>
          <w:rFonts w:ascii="宋体" w:hAnsi="宋体"/>
          <w:color w:val="auto"/>
          <w:sz w:val="24"/>
          <w:highlight w:val="none"/>
        </w:rPr>
        <w:t>第四章：</w:t>
      </w:r>
      <w:r>
        <w:rPr>
          <w:rFonts w:hint="eastAsia" w:ascii="宋体" w:hAnsi="宋体"/>
          <w:color w:val="auto"/>
          <w:sz w:val="24"/>
          <w:highlight w:val="none"/>
        </w:rPr>
        <w:t>技术标准及要求</w:t>
      </w:r>
    </w:p>
    <w:p w14:paraId="3874EEEB">
      <w:pPr>
        <w:spacing w:line="360" w:lineRule="auto"/>
        <w:ind w:firstLine="480" w:firstLineChars="200"/>
        <w:rPr>
          <w:rFonts w:ascii="宋体" w:hAnsi="宋体"/>
          <w:color w:val="auto"/>
          <w:sz w:val="24"/>
          <w:highlight w:val="none"/>
        </w:rPr>
      </w:pPr>
      <w:r>
        <w:rPr>
          <w:rFonts w:ascii="宋体" w:hAnsi="宋体"/>
          <w:color w:val="auto"/>
          <w:sz w:val="24"/>
          <w:highlight w:val="none"/>
        </w:rPr>
        <w:t>第五章：图纸、技术资料及附件</w:t>
      </w:r>
    </w:p>
    <w:p w14:paraId="78FE8868">
      <w:pPr>
        <w:spacing w:line="360" w:lineRule="auto"/>
        <w:ind w:firstLine="480" w:firstLineChars="200"/>
        <w:rPr>
          <w:rFonts w:ascii="宋体" w:hAnsi="宋体"/>
          <w:color w:val="auto"/>
          <w:sz w:val="24"/>
          <w:highlight w:val="none"/>
        </w:rPr>
      </w:pPr>
      <w:r>
        <w:rPr>
          <w:rFonts w:ascii="宋体" w:hAnsi="宋体"/>
          <w:color w:val="auto"/>
          <w:sz w:val="24"/>
          <w:highlight w:val="none"/>
        </w:rPr>
        <w:t>第六章：投标文件格式</w:t>
      </w:r>
    </w:p>
    <w:p w14:paraId="57C3F238">
      <w:pPr>
        <w:spacing w:line="360" w:lineRule="auto"/>
        <w:ind w:firstLine="480" w:firstLineChars="200"/>
        <w:rPr>
          <w:rFonts w:ascii="宋体" w:hAnsi="宋体"/>
          <w:color w:val="auto"/>
          <w:sz w:val="24"/>
          <w:highlight w:val="none"/>
        </w:rPr>
      </w:pPr>
      <w:r>
        <w:rPr>
          <w:rFonts w:ascii="宋体" w:hAnsi="宋体"/>
          <w:color w:val="auto"/>
          <w:sz w:val="24"/>
          <w:highlight w:val="none"/>
        </w:rPr>
        <w:t>第七章：资格审查证明材料</w:t>
      </w:r>
    </w:p>
    <w:p w14:paraId="133032AD">
      <w:pPr>
        <w:spacing w:line="360" w:lineRule="auto"/>
        <w:ind w:firstLine="480" w:firstLineChars="200"/>
        <w:rPr>
          <w:rFonts w:ascii="宋体" w:hAnsi="宋体"/>
          <w:color w:val="auto"/>
          <w:sz w:val="24"/>
          <w:highlight w:val="none"/>
        </w:rPr>
      </w:pPr>
      <w:r>
        <w:rPr>
          <w:rFonts w:ascii="宋体" w:hAnsi="宋体"/>
          <w:color w:val="auto"/>
          <w:sz w:val="24"/>
          <w:highlight w:val="none"/>
        </w:rPr>
        <w:t>第八章：工程量清单</w:t>
      </w:r>
    </w:p>
    <w:p w14:paraId="3B14D2A4">
      <w:pPr>
        <w:spacing w:line="360" w:lineRule="auto"/>
        <w:ind w:firstLine="480" w:firstLineChars="200"/>
        <w:rPr>
          <w:rFonts w:ascii="宋体" w:hAnsi="宋体"/>
          <w:color w:val="auto"/>
          <w:sz w:val="24"/>
          <w:highlight w:val="none"/>
        </w:rPr>
      </w:pPr>
      <w:r>
        <w:rPr>
          <w:rFonts w:ascii="宋体" w:hAnsi="宋体"/>
          <w:color w:val="auto"/>
          <w:sz w:val="24"/>
          <w:highlight w:val="none"/>
        </w:rPr>
        <w:t>5.2根据本章第6、7款对招标文件所作的澄清、修改，构成招标文件的组成部分。投标人在投标截止时间前，应通过</w:t>
      </w:r>
      <w:r>
        <w:rPr>
          <w:rFonts w:hint="eastAsia" w:ascii="宋体" w:hAnsi="宋体"/>
          <w:b/>
          <w:color w:val="auto"/>
          <w:sz w:val="24"/>
          <w:highlight w:val="none"/>
        </w:rPr>
        <w:t>“南通市崇川区人民政府网”—公示公告栏板块</w:t>
      </w:r>
      <w:r>
        <w:rPr>
          <w:rFonts w:ascii="宋体" w:hAnsi="宋体"/>
          <w:color w:val="auto"/>
          <w:sz w:val="24"/>
          <w:highlight w:val="none"/>
        </w:rPr>
        <w:t>随时查阅有关该工程招标文件的澄清、招标文件的修改(招标答疑、补遗文件)、招标控制价公示等内容。</w:t>
      </w:r>
      <w:r>
        <w:rPr>
          <w:rFonts w:ascii="宋体" w:hAnsi="宋体"/>
          <w:b/>
          <w:color w:val="auto"/>
          <w:sz w:val="24"/>
          <w:highlight w:val="none"/>
        </w:rPr>
        <w:t>投标人查阅如有遗漏，其风险应由投标人自行承担。</w:t>
      </w:r>
    </w:p>
    <w:p w14:paraId="28E1B579">
      <w:pPr>
        <w:spacing w:line="360" w:lineRule="auto"/>
        <w:outlineLvl w:val="3"/>
        <w:rPr>
          <w:rFonts w:ascii="宋体" w:hAnsi="宋体"/>
          <w:b/>
          <w:color w:val="auto"/>
          <w:kern w:val="0"/>
          <w:sz w:val="24"/>
          <w:highlight w:val="none"/>
        </w:rPr>
      </w:pPr>
      <w:r>
        <w:rPr>
          <w:rFonts w:ascii="宋体" w:hAnsi="宋体"/>
          <w:b/>
          <w:color w:val="auto"/>
          <w:kern w:val="0"/>
          <w:sz w:val="24"/>
          <w:highlight w:val="none"/>
        </w:rPr>
        <w:t>6</w:t>
      </w:r>
      <w:r>
        <w:rPr>
          <w:rFonts w:hint="eastAsia" w:ascii="宋体" w:hAnsi="宋体"/>
          <w:b/>
          <w:color w:val="auto"/>
          <w:kern w:val="0"/>
          <w:sz w:val="24"/>
          <w:highlight w:val="none"/>
        </w:rPr>
        <w:t>.</w:t>
      </w:r>
      <w:r>
        <w:rPr>
          <w:rFonts w:ascii="宋体" w:hAnsi="宋体"/>
          <w:b/>
          <w:color w:val="auto"/>
          <w:kern w:val="0"/>
          <w:sz w:val="24"/>
          <w:highlight w:val="none"/>
        </w:rPr>
        <w:t>招标文件的澄清</w:t>
      </w:r>
    </w:p>
    <w:p w14:paraId="75FB98E7">
      <w:pPr>
        <w:spacing w:line="360" w:lineRule="auto"/>
        <w:ind w:firstLine="480" w:firstLineChars="200"/>
        <w:rPr>
          <w:rFonts w:ascii="宋体" w:hAnsi="宋体"/>
          <w:color w:val="auto"/>
          <w:sz w:val="24"/>
          <w:highlight w:val="none"/>
        </w:rPr>
      </w:pPr>
      <w:r>
        <w:rPr>
          <w:rFonts w:ascii="宋体" w:hAnsi="宋体"/>
          <w:color w:val="auto"/>
          <w:sz w:val="24"/>
          <w:highlight w:val="none"/>
        </w:rPr>
        <w:t>6.1投标人从</w:t>
      </w:r>
      <w:r>
        <w:rPr>
          <w:rFonts w:hint="eastAsia" w:ascii="宋体" w:hAnsi="宋体"/>
          <w:color w:val="auto"/>
          <w:sz w:val="24"/>
          <w:highlight w:val="none"/>
        </w:rPr>
        <w:t>“南通市崇川区人民政府网”（www.chongchuan.gov.cn）-公示公告栏</w:t>
      </w:r>
      <w:r>
        <w:rPr>
          <w:rFonts w:ascii="宋体" w:hAnsi="宋体"/>
          <w:color w:val="auto"/>
          <w:sz w:val="24"/>
          <w:highlight w:val="none"/>
        </w:rPr>
        <w:t>下载招标文件后应仔细阅读和检查招标文件的全部内容。如发现缺页或附件不全，应及时向招标人提出，以便补齐。投标人应对招标人提供的工程量清单进行认真细致的复核。这种复核包括对招标人提供的工程量清单中的子目编码、子目名称、子目特征描述、计量单位、工程量的准确性以及可能存在的任何书写、打印错误进行检查和复核，特别是对“分部分项工程和单价措施项目清单与计价表”中每个工作子目的工程量进行重新计算和校核。如果投标人经过检查和复核以后认为招标人提供的工程量清单存在差异，则投标人应将此类差异的详细情况连同按投标人须知规定提交的要求招标人澄清的其他问题一起提交给招标人，招标人将根据实际情况决定是否颁发工程量清单的补充和(或)修改文件。</w:t>
      </w:r>
    </w:p>
    <w:p w14:paraId="5025CDBA">
      <w:pPr>
        <w:spacing w:line="360" w:lineRule="auto"/>
        <w:ind w:firstLine="480" w:firstLineChars="200"/>
        <w:rPr>
          <w:rFonts w:ascii="宋体" w:hAnsi="宋体"/>
          <w:color w:val="auto"/>
          <w:sz w:val="24"/>
          <w:highlight w:val="none"/>
        </w:rPr>
      </w:pPr>
      <w:r>
        <w:rPr>
          <w:rFonts w:ascii="宋体" w:hAnsi="宋体"/>
          <w:color w:val="auto"/>
          <w:sz w:val="24"/>
          <w:highlight w:val="none"/>
        </w:rPr>
        <w:t>6.2招标人不组织集中答疑，投标人如对招标公告、招标文件、工程量清单、图纸、标底、招标控制价等文件存在前后矛盾，部分条款说明不清、存在歧义、违反相关法律法规，存在限制性条款等有疑问的应在</w:t>
      </w:r>
      <w:r>
        <w:rPr>
          <w:rFonts w:ascii="宋体" w:hAnsi="宋体"/>
          <w:b/>
          <w:color w:val="auto"/>
          <w:sz w:val="24"/>
          <w:highlight w:val="none"/>
          <w:u w:val="single"/>
        </w:rPr>
        <w:t>202</w:t>
      </w:r>
      <w:r>
        <w:rPr>
          <w:rFonts w:hint="eastAsia" w:ascii="宋体" w:hAnsi="宋体"/>
          <w:b/>
          <w:color w:val="auto"/>
          <w:sz w:val="24"/>
          <w:highlight w:val="none"/>
          <w:u w:val="single"/>
        </w:rPr>
        <w:t>4</w:t>
      </w:r>
      <w:r>
        <w:rPr>
          <w:rFonts w:ascii="宋体" w:hAnsi="宋体"/>
          <w:b/>
          <w:color w:val="auto"/>
          <w:sz w:val="24"/>
          <w:highlight w:val="none"/>
          <w:u w:val="single"/>
        </w:rPr>
        <w:t>年</w:t>
      </w:r>
      <w:r>
        <w:rPr>
          <w:rFonts w:hint="eastAsia" w:ascii="宋体" w:hAnsi="宋体"/>
          <w:b/>
          <w:color w:val="auto"/>
          <w:sz w:val="24"/>
          <w:highlight w:val="none"/>
          <w:u w:val="single"/>
          <w:lang w:val="en-US" w:eastAsia="zh-CN"/>
        </w:rPr>
        <w:t>12</w:t>
      </w:r>
      <w:r>
        <w:rPr>
          <w:rFonts w:ascii="宋体" w:hAnsi="宋体"/>
          <w:b/>
          <w:color w:val="auto"/>
          <w:sz w:val="24"/>
          <w:highlight w:val="none"/>
          <w:u w:val="single"/>
        </w:rPr>
        <w:t>月</w:t>
      </w:r>
      <w:r>
        <w:rPr>
          <w:rFonts w:hint="eastAsia" w:ascii="宋体" w:hAnsi="宋体"/>
          <w:b/>
          <w:color w:val="auto"/>
          <w:sz w:val="24"/>
          <w:highlight w:val="none"/>
          <w:u w:val="single"/>
          <w:lang w:val="en-US" w:eastAsia="zh-CN"/>
        </w:rPr>
        <w:t>03</w:t>
      </w:r>
      <w:r>
        <w:rPr>
          <w:rFonts w:ascii="宋体" w:hAnsi="宋体"/>
          <w:b/>
          <w:color w:val="auto"/>
          <w:sz w:val="24"/>
          <w:highlight w:val="none"/>
          <w:u w:val="single"/>
        </w:rPr>
        <w:t>日17时前</w:t>
      </w:r>
      <w:r>
        <w:rPr>
          <w:rFonts w:ascii="宋体" w:hAnsi="宋体"/>
          <w:color w:val="auto"/>
          <w:sz w:val="24"/>
          <w:highlight w:val="none"/>
        </w:rPr>
        <w:t>向招标人提出澄清要求，</w:t>
      </w:r>
      <w:r>
        <w:rPr>
          <w:color w:val="auto"/>
          <w:highlight w:val="none"/>
        </w:rPr>
        <w:fldChar w:fldCharType="begin"/>
      </w:r>
      <w:r>
        <w:rPr>
          <w:color w:val="auto"/>
          <w:highlight w:val="none"/>
        </w:rPr>
        <w:instrText xml:space="preserve"> HYPERLINK "mailto:以电子文件形式发送至550362779@qq.com" </w:instrText>
      </w:r>
      <w:r>
        <w:rPr>
          <w:color w:val="auto"/>
          <w:highlight w:val="none"/>
        </w:rPr>
        <w:fldChar w:fldCharType="separate"/>
      </w:r>
      <w:r>
        <w:rPr>
          <w:rFonts w:ascii="宋体" w:hAnsi="宋体"/>
          <w:color w:val="auto"/>
          <w:sz w:val="24"/>
          <w:highlight w:val="none"/>
        </w:rPr>
        <w:t>以电子文件形式发送至</w:t>
      </w:r>
      <w:r>
        <w:rPr>
          <w:rFonts w:ascii="宋体" w:hAnsi="宋体"/>
          <w:color w:val="auto"/>
          <w:sz w:val="24"/>
          <w:highlight w:val="none"/>
        </w:rPr>
        <w:fldChar w:fldCharType="end"/>
      </w:r>
      <w:r>
        <w:rPr>
          <w:rFonts w:ascii="宋体" w:hAnsi="宋体"/>
          <w:color w:val="auto"/>
          <w:sz w:val="24"/>
          <w:highlight w:val="none"/>
        </w:rPr>
        <w:t>指定邮箱：</w:t>
      </w:r>
      <w:r>
        <w:rPr>
          <w:rFonts w:hint="eastAsia" w:ascii="宋体" w:hAnsi="宋体"/>
          <w:color w:val="auto"/>
          <w:sz w:val="24"/>
          <w:highlight w:val="none"/>
        </w:rPr>
        <w:t>443608475@qq.com</w:t>
      </w:r>
      <w:r>
        <w:rPr>
          <w:rFonts w:ascii="宋体" w:hAnsi="宋体"/>
          <w:color w:val="auto"/>
          <w:sz w:val="24"/>
          <w:highlight w:val="none"/>
        </w:rPr>
        <w:t>（不具单位名称，不加盖单位公章）。招标人在收到疑问材料后</w:t>
      </w:r>
      <w:r>
        <w:rPr>
          <w:rFonts w:hint="eastAsia" w:ascii="宋体" w:hAnsi="宋体"/>
          <w:color w:val="auto"/>
          <w:sz w:val="24"/>
          <w:highlight w:val="none"/>
        </w:rPr>
        <w:t>2</w:t>
      </w:r>
      <w:r>
        <w:rPr>
          <w:rFonts w:ascii="宋体" w:hAnsi="宋体"/>
          <w:color w:val="auto"/>
          <w:sz w:val="24"/>
          <w:highlight w:val="none"/>
        </w:rPr>
        <w:t>日内予以解答，并于</w:t>
      </w:r>
      <w:r>
        <w:rPr>
          <w:rFonts w:ascii="宋体" w:hAnsi="宋体"/>
          <w:b/>
          <w:color w:val="auto"/>
          <w:sz w:val="24"/>
          <w:highlight w:val="none"/>
          <w:u w:val="single"/>
        </w:rPr>
        <w:t>202</w:t>
      </w:r>
      <w:r>
        <w:rPr>
          <w:rFonts w:hint="eastAsia" w:ascii="宋体" w:hAnsi="宋体"/>
          <w:b/>
          <w:color w:val="auto"/>
          <w:sz w:val="24"/>
          <w:highlight w:val="none"/>
          <w:u w:val="single"/>
        </w:rPr>
        <w:t>4</w:t>
      </w:r>
      <w:r>
        <w:rPr>
          <w:rFonts w:ascii="宋体" w:hAnsi="宋体"/>
          <w:b/>
          <w:color w:val="auto"/>
          <w:sz w:val="24"/>
          <w:highlight w:val="none"/>
          <w:u w:val="single"/>
        </w:rPr>
        <w:t>年</w:t>
      </w:r>
      <w:r>
        <w:rPr>
          <w:rFonts w:hint="eastAsia" w:ascii="宋体" w:hAnsi="宋体"/>
          <w:b/>
          <w:color w:val="auto"/>
          <w:sz w:val="24"/>
          <w:highlight w:val="none"/>
          <w:u w:val="single"/>
          <w:lang w:val="en-US" w:eastAsia="zh-CN"/>
        </w:rPr>
        <w:t>12</w:t>
      </w:r>
      <w:r>
        <w:rPr>
          <w:rFonts w:ascii="宋体" w:hAnsi="宋体"/>
          <w:b/>
          <w:color w:val="auto"/>
          <w:sz w:val="24"/>
          <w:highlight w:val="none"/>
          <w:u w:val="single"/>
        </w:rPr>
        <w:t>月</w:t>
      </w:r>
      <w:r>
        <w:rPr>
          <w:rFonts w:hint="eastAsia" w:ascii="宋体" w:hAnsi="宋体"/>
          <w:b/>
          <w:color w:val="auto"/>
          <w:sz w:val="24"/>
          <w:highlight w:val="none"/>
          <w:u w:val="single"/>
          <w:lang w:val="en-US" w:eastAsia="zh-CN"/>
        </w:rPr>
        <w:t>03</w:t>
      </w:r>
      <w:r>
        <w:rPr>
          <w:rFonts w:ascii="宋体" w:hAnsi="宋体"/>
          <w:b/>
          <w:color w:val="auto"/>
          <w:sz w:val="24"/>
          <w:highlight w:val="none"/>
          <w:u w:val="single"/>
        </w:rPr>
        <w:t>日17时前</w:t>
      </w:r>
      <w:r>
        <w:rPr>
          <w:rFonts w:ascii="宋体" w:hAnsi="宋体"/>
          <w:color w:val="auto"/>
          <w:sz w:val="24"/>
          <w:highlight w:val="none"/>
        </w:rPr>
        <w:t>将解答内容（若有）以电子文档上传至</w:t>
      </w:r>
      <w:r>
        <w:rPr>
          <w:rFonts w:hint="eastAsia" w:ascii="宋体" w:hAnsi="宋体"/>
          <w:color w:val="auto"/>
          <w:sz w:val="24"/>
          <w:highlight w:val="none"/>
        </w:rPr>
        <w:t>“南通市崇川区人民政府网”（www.chongchuan.gov.cn）-公示公告栏</w:t>
      </w:r>
      <w:r>
        <w:rPr>
          <w:rFonts w:ascii="宋体" w:hAnsi="宋体"/>
          <w:color w:val="auto"/>
          <w:sz w:val="24"/>
          <w:highlight w:val="none"/>
        </w:rPr>
        <w:t>，请各潜在投标人在</w:t>
      </w:r>
      <w:r>
        <w:rPr>
          <w:rFonts w:hint="eastAsia" w:ascii="宋体" w:hAnsi="宋体"/>
          <w:color w:val="auto"/>
          <w:sz w:val="24"/>
          <w:highlight w:val="none"/>
        </w:rPr>
        <w:t>“南通市崇川区人民政府网”（www.chongchuan.gov.cn）-公示公告栏</w:t>
      </w:r>
      <w:r>
        <w:rPr>
          <w:rFonts w:ascii="宋体" w:hAnsi="宋体"/>
          <w:color w:val="auto"/>
          <w:sz w:val="24"/>
          <w:highlight w:val="none"/>
        </w:rPr>
        <w:t>自行下载。</w:t>
      </w:r>
    </w:p>
    <w:p w14:paraId="5552437E">
      <w:pPr>
        <w:spacing w:line="360" w:lineRule="auto"/>
        <w:ind w:firstLine="482" w:firstLineChars="200"/>
        <w:rPr>
          <w:rFonts w:ascii="宋体" w:hAnsi="宋体"/>
          <w:b/>
          <w:color w:val="auto"/>
          <w:sz w:val="24"/>
          <w:highlight w:val="none"/>
        </w:rPr>
      </w:pPr>
      <w:r>
        <w:rPr>
          <w:rFonts w:ascii="宋体" w:hAnsi="宋体"/>
          <w:b/>
          <w:color w:val="auto"/>
          <w:sz w:val="24"/>
          <w:highlight w:val="none"/>
        </w:rPr>
        <w:t>在开标截止时间前，投标人未以电子文件形式提出疑问（质疑）的，视为投标人接受招标公告、招标文件所注全部条款。开标后投标人再对招标公告、招标文件等提出质疑或投诉的，招标人有理由不予受理，由此引起的损失由投标人自行承担。</w:t>
      </w:r>
    </w:p>
    <w:p w14:paraId="4FF41A54">
      <w:pPr>
        <w:spacing w:line="360" w:lineRule="auto"/>
        <w:ind w:firstLine="480" w:firstLineChars="200"/>
        <w:rPr>
          <w:rFonts w:ascii="宋体" w:hAnsi="宋体"/>
          <w:color w:val="auto"/>
          <w:sz w:val="24"/>
          <w:highlight w:val="none"/>
        </w:rPr>
      </w:pPr>
      <w:r>
        <w:rPr>
          <w:rFonts w:ascii="宋体" w:hAnsi="宋体"/>
          <w:color w:val="auto"/>
          <w:sz w:val="24"/>
          <w:highlight w:val="none"/>
        </w:rPr>
        <w:t>6.3招标文件的澄清答疑将在投标人须知前附表规定的时间前，在</w:t>
      </w:r>
      <w:r>
        <w:rPr>
          <w:rFonts w:hint="eastAsia" w:ascii="宋体" w:hAnsi="宋体"/>
          <w:color w:val="auto"/>
          <w:sz w:val="24"/>
          <w:highlight w:val="none"/>
        </w:rPr>
        <w:t>“南通市崇川区人民政府网”（www.chongchuan.gov.cn）-公示公告栏</w:t>
      </w:r>
      <w:r>
        <w:rPr>
          <w:rFonts w:ascii="宋体" w:hAnsi="宋体"/>
          <w:color w:val="auto"/>
          <w:sz w:val="24"/>
          <w:highlight w:val="none"/>
        </w:rPr>
        <w:t>向所有投标人公示，但招标人不指明澄清问题的来源。如果招标人在检查投标人提交的工程量差异问题后认为没有必要对工程量清单进行补充和(或)修改，或者招标人根据投标人所提问题对工程量清单进行了补充和(或)修改，但投标人认为工程量清单中的工程量依然存在差异，则此类差异不再提交招标人答疑和修正，而是直接按招标人提供的工程量清单(包括招标人已作的补充和(或)修改)进行投标报价。</w:t>
      </w:r>
    </w:p>
    <w:p w14:paraId="62A2F562">
      <w:pPr>
        <w:spacing w:line="360" w:lineRule="auto"/>
        <w:ind w:firstLine="480" w:firstLineChars="200"/>
        <w:rPr>
          <w:rFonts w:ascii="宋体" w:hAnsi="宋体"/>
          <w:color w:val="auto"/>
          <w:sz w:val="24"/>
          <w:highlight w:val="none"/>
        </w:rPr>
      </w:pPr>
      <w:r>
        <w:rPr>
          <w:rFonts w:ascii="宋体" w:hAnsi="宋体"/>
          <w:color w:val="auto"/>
          <w:sz w:val="24"/>
          <w:highlight w:val="none"/>
        </w:rPr>
        <w:t>投标人对招标人提供的招标文件所做出的推论、解释和结论，招标人概不负责。投标人由于对招标文件的任何推论和误解均由投标人自负。</w:t>
      </w:r>
    </w:p>
    <w:p w14:paraId="20ACADE2">
      <w:pPr>
        <w:spacing w:line="360" w:lineRule="auto"/>
        <w:ind w:firstLine="480" w:firstLineChars="200"/>
        <w:rPr>
          <w:rFonts w:ascii="宋体" w:hAnsi="宋体"/>
          <w:color w:val="auto"/>
          <w:sz w:val="24"/>
          <w:highlight w:val="none"/>
        </w:rPr>
      </w:pPr>
      <w:r>
        <w:rPr>
          <w:rFonts w:ascii="宋体" w:hAnsi="宋体"/>
          <w:color w:val="auto"/>
          <w:sz w:val="24"/>
          <w:highlight w:val="none"/>
        </w:rPr>
        <w:t>在投标截止时间</w:t>
      </w:r>
      <w:r>
        <w:rPr>
          <w:rFonts w:hint="eastAsia" w:ascii="宋体" w:hAnsi="宋体"/>
          <w:color w:val="auto"/>
          <w:sz w:val="24"/>
          <w:highlight w:val="none"/>
        </w:rPr>
        <w:t>3</w:t>
      </w:r>
      <w:r>
        <w:rPr>
          <w:rFonts w:ascii="宋体" w:hAnsi="宋体"/>
          <w:color w:val="auto"/>
          <w:sz w:val="24"/>
          <w:highlight w:val="none"/>
        </w:rPr>
        <w:t>天前，招标人可以修改招标文件，并以电子文档形式在</w:t>
      </w:r>
      <w:r>
        <w:rPr>
          <w:rFonts w:hint="eastAsia" w:ascii="宋体" w:hAnsi="宋体"/>
          <w:color w:val="auto"/>
          <w:sz w:val="24"/>
          <w:highlight w:val="none"/>
        </w:rPr>
        <w:t>“南通市崇川区人民政府网”（www.chongchuan.gov.cn）-公示公告栏</w:t>
      </w:r>
      <w:r>
        <w:rPr>
          <w:rFonts w:ascii="宋体" w:hAnsi="宋体"/>
          <w:color w:val="auto"/>
          <w:sz w:val="24"/>
          <w:highlight w:val="none"/>
        </w:rPr>
        <w:t>发布。如果修改招标文件的时间距投标截止时间不足</w:t>
      </w:r>
      <w:r>
        <w:rPr>
          <w:rFonts w:hint="eastAsia" w:ascii="宋体" w:hAnsi="宋体"/>
          <w:color w:val="auto"/>
          <w:sz w:val="24"/>
          <w:highlight w:val="none"/>
        </w:rPr>
        <w:t>3</w:t>
      </w:r>
      <w:r>
        <w:rPr>
          <w:rFonts w:ascii="宋体" w:hAnsi="宋体"/>
          <w:color w:val="auto"/>
          <w:sz w:val="24"/>
          <w:highlight w:val="none"/>
        </w:rPr>
        <w:t>天，相应延长投标截止时间。</w:t>
      </w:r>
    </w:p>
    <w:p w14:paraId="1B97858E">
      <w:pPr>
        <w:spacing w:line="360" w:lineRule="auto"/>
        <w:outlineLvl w:val="3"/>
        <w:rPr>
          <w:rFonts w:ascii="宋体" w:hAnsi="宋体"/>
          <w:b/>
          <w:color w:val="auto"/>
          <w:kern w:val="0"/>
          <w:sz w:val="24"/>
          <w:highlight w:val="none"/>
        </w:rPr>
      </w:pPr>
      <w:r>
        <w:rPr>
          <w:rFonts w:ascii="宋体" w:hAnsi="宋体"/>
          <w:b/>
          <w:color w:val="auto"/>
          <w:kern w:val="0"/>
          <w:sz w:val="24"/>
          <w:highlight w:val="none"/>
        </w:rPr>
        <w:t>7</w:t>
      </w:r>
      <w:r>
        <w:rPr>
          <w:rFonts w:hint="eastAsia" w:ascii="宋体" w:hAnsi="宋体"/>
          <w:b/>
          <w:color w:val="auto"/>
          <w:kern w:val="0"/>
          <w:sz w:val="24"/>
          <w:highlight w:val="none"/>
        </w:rPr>
        <w:t>.</w:t>
      </w:r>
      <w:r>
        <w:rPr>
          <w:rFonts w:ascii="宋体" w:hAnsi="宋体"/>
          <w:b/>
          <w:color w:val="auto"/>
          <w:kern w:val="0"/>
          <w:sz w:val="24"/>
          <w:highlight w:val="none"/>
        </w:rPr>
        <w:t>招标文件的修改</w:t>
      </w:r>
    </w:p>
    <w:p w14:paraId="1EEB52E2">
      <w:pPr>
        <w:spacing w:line="360" w:lineRule="auto"/>
        <w:ind w:firstLine="480" w:firstLineChars="200"/>
        <w:rPr>
          <w:rFonts w:ascii="宋体" w:hAnsi="宋体"/>
          <w:color w:val="auto"/>
          <w:sz w:val="24"/>
          <w:highlight w:val="none"/>
        </w:rPr>
      </w:pPr>
      <w:r>
        <w:rPr>
          <w:rFonts w:ascii="宋体" w:hAnsi="宋体"/>
          <w:color w:val="auto"/>
          <w:sz w:val="24"/>
          <w:highlight w:val="none"/>
        </w:rPr>
        <w:t>7.1招标文件发布后，在投标截止期前，确需对招标文件进行修改的，招标人以招标文件澄清、答疑方式，经</w:t>
      </w:r>
      <w:r>
        <w:rPr>
          <w:rFonts w:hint="eastAsia" w:ascii="宋体" w:hAnsi="宋体"/>
          <w:color w:val="auto"/>
          <w:sz w:val="24"/>
          <w:highlight w:val="none"/>
        </w:rPr>
        <w:t>“南通市崇川区人民政府网”（www.chongchuan.gov.cn）-公示公告栏</w:t>
      </w:r>
      <w:r>
        <w:rPr>
          <w:rFonts w:ascii="宋体" w:hAnsi="宋体"/>
          <w:color w:val="auto"/>
          <w:sz w:val="24"/>
          <w:highlight w:val="none"/>
        </w:rPr>
        <w:t>向所有投标人公示。</w:t>
      </w:r>
    </w:p>
    <w:p w14:paraId="44D767B7">
      <w:pPr>
        <w:spacing w:line="360" w:lineRule="auto"/>
        <w:ind w:firstLine="480" w:firstLineChars="200"/>
        <w:rPr>
          <w:rFonts w:ascii="宋体" w:hAnsi="宋体"/>
          <w:color w:val="auto"/>
          <w:sz w:val="24"/>
          <w:highlight w:val="none"/>
        </w:rPr>
      </w:pPr>
      <w:r>
        <w:rPr>
          <w:rFonts w:ascii="宋体" w:hAnsi="宋体"/>
          <w:color w:val="auto"/>
          <w:sz w:val="24"/>
          <w:highlight w:val="none"/>
        </w:rPr>
        <w:t>7.2招标人在投标截止期前对招标文件的所作澄清、答疑、修改作为招标文件的组成部分，对招标人、投标人均具有约束力。如果修改招标文件时间距投标截止时间不足</w:t>
      </w:r>
      <w:r>
        <w:rPr>
          <w:rFonts w:hint="eastAsia" w:ascii="宋体" w:hAnsi="宋体"/>
          <w:color w:val="auto"/>
          <w:sz w:val="24"/>
          <w:highlight w:val="none"/>
        </w:rPr>
        <w:t>3</w:t>
      </w:r>
      <w:r>
        <w:rPr>
          <w:rFonts w:ascii="宋体" w:hAnsi="宋体"/>
          <w:color w:val="auto"/>
          <w:sz w:val="24"/>
          <w:highlight w:val="none"/>
        </w:rPr>
        <w:t>天，为保证投标人合理时间编制投标文件，招标人应合理延长递交投标文件的截止日期。</w:t>
      </w:r>
    </w:p>
    <w:p w14:paraId="16B2B97D">
      <w:pPr>
        <w:spacing w:line="360" w:lineRule="auto"/>
        <w:ind w:firstLine="480" w:firstLineChars="200"/>
        <w:rPr>
          <w:rFonts w:ascii="宋体" w:hAnsi="宋体"/>
          <w:color w:val="auto"/>
          <w:sz w:val="24"/>
          <w:highlight w:val="none"/>
        </w:rPr>
      </w:pPr>
      <w:r>
        <w:rPr>
          <w:rFonts w:ascii="宋体" w:hAnsi="宋体"/>
          <w:color w:val="auto"/>
          <w:sz w:val="24"/>
          <w:highlight w:val="none"/>
        </w:rPr>
        <w:t>7.3本工程采用电子答疑，招标人对招标文件的所作澄清、答疑、修改均以“</w:t>
      </w:r>
      <w:r>
        <w:rPr>
          <w:rFonts w:hint="eastAsia" w:ascii="宋体" w:hAnsi="宋体"/>
          <w:color w:val="auto"/>
          <w:sz w:val="24"/>
          <w:highlight w:val="none"/>
        </w:rPr>
        <w:t>“南通市崇川区人民政府网”（www.chongchuan.gov.cn）-公示公告栏</w:t>
      </w:r>
      <w:r>
        <w:rPr>
          <w:rFonts w:ascii="宋体" w:hAnsi="宋体"/>
          <w:color w:val="auto"/>
          <w:sz w:val="24"/>
          <w:highlight w:val="none"/>
        </w:rPr>
        <w:t>上公布的内容为准。招标文件的答疑内容前后期相互矛盾时，以公示时间在后的文件为准。投标人应在投标截止时间前随时查看</w:t>
      </w:r>
      <w:r>
        <w:rPr>
          <w:rFonts w:hint="eastAsia" w:ascii="宋体" w:hAnsi="宋体"/>
          <w:color w:val="auto"/>
          <w:sz w:val="24"/>
          <w:highlight w:val="none"/>
        </w:rPr>
        <w:t>“南通市崇川区人民政府网”（www.chongchuan.gov.cn）-公示公告栏</w:t>
      </w:r>
      <w:r>
        <w:rPr>
          <w:rFonts w:ascii="宋体" w:hAnsi="宋体"/>
          <w:color w:val="auto"/>
          <w:sz w:val="24"/>
          <w:highlight w:val="none"/>
        </w:rPr>
        <w:t>中有关该工程招标文件的答疑内容。投标人因自身原因未能及时掌握上述网上公示信息，由此造成投标损失自负。</w:t>
      </w:r>
    </w:p>
    <w:p w14:paraId="6182BA5D">
      <w:pPr>
        <w:pStyle w:val="4"/>
        <w:rPr>
          <w:rFonts w:ascii="宋体" w:hAnsi="宋体"/>
          <w:color w:val="auto"/>
          <w:sz w:val="24"/>
          <w:szCs w:val="24"/>
          <w:highlight w:val="none"/>
        </w:rPr>
      </w:pPr>
      <w:r>
        <w:rPr>
          <w:rFonts w:ascii="宋体" w:hAnsi="宋体"/>
          <w:color w:val="auto"/>
          <w:sz w:val="24"/>
          <w:szCs w:val="24"/>
          <w:highlight w:val="none"/>
        </w:rPr>
        <w:t>（三）投标文件</w:t>
      </w:r>
    </w:p>
    <w:p w14:paraId="6F346656">
      <w:pPr>
        <w:spacing w:line="360" w:lineRule="auto"/>
        <w:ind w:firstLine="482" w:firstLineChars="200"/>
        <w:outlineLvl w:val="3"/>
        <w:rPr>
          <w:rFonts w:ascii="宋体" w:hAnsi="宋体"/>
          <w:b/>
          <w:color w:val="auto"/>
          <w:kern w:val="0"/>
          <w:sz w:val="24"/>
          <w:highlight w:val="none"/>
        </w:rPr>
      </w:pPr>
      <w:r>
        <w:rPr>
          <w:rFonts w:ascii="宋体" w:hAnsi="宋体"/>
          <w:b/>
          <w:color w:val="auto"/>
          <w:kern w:val="0"/>
          <w:sz w:val="24"/>
          <w:highlight w:val="none"/>
        </w:rPr>
        <w:t>8.投标人应认真阅读招标文件所有内容，未按招标文件要求编制的投标文件将被拒绝或者作为废标处理。</w:t>
      </w:r>
    </w:p>
    <w:p w14:paraId="4846E84E">
      <w:pPr>
        <w:spacing w:line="360" w:lineRule="auto"/>
        <w:ind w:firstLine="482" w:firstLineChars="200"/>
        <w:outlineLvl w:val="3"/>
        <w:rPr>
          <w:rFonts w:ascii="宋体" w:hAnsi="宋体"/>
          <w:b/>
          <w:color w:val="auto"/>
          <w:kern w:val="0"/>
          <w:sz w:val="24"/>
          <w:highlight w:val="none"/>
        </w:rPr>
      </w:pPr>
      <w:r>
        <w:rPr>
          <w:rFonts w:ascii="宋体" w:hAnsi="宋体"/>
          <w:b/>
          <w:color w:val="auto"/>
          <w:kern w:val="0"/>
          <w:sz w:val="24"/>
          <w:highlight w:val="none"/>
        </w:rPr>
        <w:t>9.本工程投标文件由电子投标文件</w:t>
      </w:r>
      <w:r>
        <w:rPr>
          <w:rFonts w:hint="eastAsia" w:ascii="宋体" w:hAnsi="宋体"/>
          <w:b/>
          <w:color w:val="auto"/>
          <w:kern w:val="0"/>
          <w:sz w:val="24"/>
          <w:highlight w:val="none"/>
        </w:rPr>
        <w:t>(</w:t>
      </w:r>
      <w:r>
        <w:rPr>
          <w:rFonts w:ascii="宋体" w:hAnsi="宋体"/>
          <w:b/>
          <w:color w:val="auto"/>
          <w:kern w:val="0"/>
          <w:sz w:val="24"/>
          <w:highlight w:val="none"/>
        </w:rPr>
        <w:t>光盘</w:t>
      </w:r>
      <w:r>
        <w:rPr>
          <w:rFonts w:hint="eastAsia" w:ascii="宋体" w:hAnsi="宋体"/>
          <w:b/>
          <w:color w:val="auto"/>
          <w:kern w:val="0"/>
          <w:sz w:val="24"/>
          <w:highlight w:val="none"/>
        </w:rPr>
        <w:t>)</w:t>
      </w:r>
      <w:r>
        <w:rPr>
          <w:rFonts w:ascii="宋体" w:hAnsi="宋体"/>
          <w:b/>
          <w:color w:val="auto"/>
          <w:kern w:val="0"/>
          <w:sz w:val="24"/>
          <w:highlight w:val="none"/>
        </w:rPr>
        <w:t>、资格审查资料包、商务标</w:t>
      </w:r>
      <w:r>
        <w:rPr>
          <w:rFonts w:hint="eastAsia" w:ascii="宋体" w:hAnsi="宋体"/>
          <w:b/>
          <w:color w:val="auto"/>
          <w:kern w:val="0"/>
          <w:sz w:val="24"/>
          <w:highlight w:val="none"/>
        </w:rPr>
        <w:t>三</w:t>
      </w:r>
      <w:r>
        <w:rPr>
          <w:rFonts w:ascii="宋体" w:hAnsi="宋体"/>
          <w:b/>
          <w:color w:val="auto"/>
          <w:kern w:val="0"/>
          <w:sz w:val="24"/>
          <w:highlight w:val="none"/>
        </w:rPr>
        <w:t>部分组成，具体应包括以下内容：</w:t>
      </w:r>
    </w:p>
    <w:p w14:paraId="634AC3F0">
      <w:pPr>
        <w:spacing w:line="360" w:lineRule="auto"/>
        <w:ind w:firstLine="482" w:firstLineChars="200"/>
        <w:rPr>
          <w:rFonts w:ascii="宋体" w:hAnsi="宋体"/>
          <w:b/>
          <w:color w:val="auto"/>
          <w:sz w:val="24"/>
          <w:highlight w:val="none"/>
        </w:rPr>
      </w:pPr>
      <w:r>
        <w:rPr>
          <w:rFonts w:ascii="宋体" w:hAnsi="宋体"/>
          <w:b/>
          <w:bCs/>
          <w:color w:val="auto"/>
          <w:sz w:val="24"/>
          <w:highlight w:val="none"/>
        </w:rPr>
        <w:t>9.1电子投标文件包括</w:t>
      </w:r>
      <w:r>
        <w:rPr>
          <w:rFonts w:ascii="宋体" w:hAnsi="宋体"/>
          <w:b/>
          <w:bCs/>
          <w:color w:val="auto"/>
          <w:sz w:val="24"/>
          <w:highlight w:val="none"/>
          <w:u w:val="single"/>
        </w:rPr>
        <w:t xml:space="preserve">9.2.1 </w:t>
      </w:r>
      <w:r>
        <w:rPr>
          <w:rFonts w:ascii="宋体" w:hAnsi="宋体"/>
          <w:b/>
          <w:bCs/>
          <w:color w:val="auto"/>
          <w:sz w:val="24"/>
          <w:highlight w:val="none"/>
        </w:rPr>
        <w:t>、</w:t>
      </w:r>
      <w:r>
        <w:rPr>
          <w:rFonts w:ascii="宋体" w:hAnsi="宋体"/>
          <w:b/>
          <w:bCs/>
          <w:color w:val="auto"/>
          <w:sz w:val="24"/>
          <w:highlight w:val="none"/>
          <w:u w:val="single"/>
        </w:rPr>
        <w:t>9.2.2</w:t>
      </w:r>
      <w:r>
        <w:rPr>
          <w:rFonts w:ascii="宋体" w:hAnsi="宋体"/>
          <w:b/>
          <w:bCs/>
          <w:color w:val="auto"/>
          <w:sz w:val="24"/>
          <w:highlight w:val="none"/>
        </w:rPr>
        <w:t>所有内容，投标人应将所有资料</w:t>
      </w:r>
      <w:r>
        <w:rPr>
          <w:rFonts w:ascii="宋体" w:hAnsi="宋体"/>
          <w:b/>
          <w:color w:val="auto"/>
          <w:sz w:val="24"/>
          <w:highlight w:val="none"/>
        </w:rPr>
        <w:t>刻录于普通空白光盘</w:t>
      </w:r>
      <w:r>
        <w:rPr>
          <w:rFonts w:hint="eastAsia" w:ascii="宋体" w:hAnsi="宋体"/>
          <w:b/>
          <w:color w:val="auto"/>
          <w:sz w:val="24"/>
          <w:highlight w:val="none"/>
        </w:rPr>
        <w:t>或优盘中</w:t>
      </w:r>
      <w:r>
        <w:rPr>
          <w:rFonts w:ascii="宋体" w:hAnsi="宋体"/>
          <w:b/>
          <w:color w:val="auto"/>
          <w:sz w:val="24"/>
          <w:highlight w:val="none"/>
        </w:rPr>
        <w:t>。</w:t>
      </w:r>
    </w:p>
    <w:p w14:paraId="464BB297">
      <w:pPr>
        <w:spacing w:line="360" w:lineRule="auto"/>
        <w:ind w:firstLine="482" w:firstLineChars="200"/>
        <w:rPr>
          <w:rFonts w:ascii="宋体" w:hAnsi="宋体"/>
          <w:b/>
          <w:bCs/>
          <w:color w:val="auto"/>
          <w:sz w:val="24"/>
          <w:highlight w:val="none"/>
        </w:rPr>
      </w:pPr>
      <w:r>
        <w:rPr>
          <w:rFonts w:ascii="宋体" w:hAnsi="宋体"/>
          <w:b/>
          <w:bCs/>
          <w:color w:val="auto"/>
          <w:sz w:val="24"/>
          <w:highlight w:val="none"/>
        </w:rPr>
        <w:t>9.1.1电子投标文件格式要求</w:t>
      </w:r>
    </w:p>
    <w:p w14:paraId="610F33FA">
      <w:pPr>
        <w:spacing w:line="360" w:lineRule="auto"/>
        <w:ind w:firstLine="482" w:firstLineChars="200"/>
        <w:rPr>
          <w:rFonts w:ascii="宋体" w:hAnsi="宋体"/>
          <w:b/>
          <w:color w:val="auto"/>
          <w:sz w:val="24"/>
          <w:highlight w:val="none"/>
        </w:rPr>
      </w:pPr>
      <w:r>
        <w:rPr>
          <w:rFonts w:ascii="宋体" w:hAnsi="宋体"/>
          <w:b/>
          <w:color w:val="auto"/>
          <w:sz w:val="24"/>
          <w:highlight w:val="none"/>
        </w:rPr>
        <w:t>9.1.1.1应将</w:t>
      </w:r>
      <w:r>
        <w:rPr>
          <w:rFonts w:ascii="宋体" w:hAnsi="宋体"/>
          <w:b/>
          <w:color w:val="auto"/>
          <w:sz w:val="24"/>
          <w:highlight w:val="none"/>
          <w:u w:val="single"/>
        </w:rPr>
        <w:t xml:space="preserve">  9.2.1条所有资料</w:t>
      </w:r>
      <w:r>
        <w:rPr>
          <w:rFonts w:ascii="宋体" w:hAnsi="宋体"/>
          <w:b/>
          <w:color w:val="auto"/>
          <w:sz w:val="24"/>
          <w:highlight w:val="none"/>
        </w:rPr>
        <w:t>原件扫描保存为JPGE图片格式或pdf格式。 9.2.1条所有资料保存刻录于光盘中。提供资料扫描件均须完整的原件扫描，否则视为不实质性响应招标文件。投标人须对所提供资料的真实性承担相应的法律责任。</w:t>
      </w:r>
    </w:p>
    <w:p w14:paraId="1F49F7F5">
      <w:pPr>
        <w:spacing w:line="360" w:lineRule="auto"/>
        <w:ind w:firstLine="482" w:firstLineChars="200"/>
        <w:rPr>
          <w:rFonts w:ascii="宋体" w:hAnsi="宋体"/>
          <w:b/>
          <w:color w:val="auto"/>
          <w:sz w:val="24"/>
          <w:highlight w:val="none"/>
        </w:rPr>
      </w:pPr>
      <w:r>
        <w:rPr>
          <w:rFonts w:hint="eastAsia" w:ascii="宋体" w:hAnsi="宋体"/>
          <w:b/>
          <w:color w:val="auto"/>
          <w:sz w:val="24"/>
          <w:highlight w:val="none"/>
        </w:rPr>
        <w:t>9</w:t>
      </w:r>
      <w:r>
        <w:rPr>
          <w:rFonts w:ascii="宋体" w:hAnsi="宋体"/>
          <w:b/>
          <w:color w:val="auto"/>
          <w:sz w:val="24"/>
          <w:highlight w:val="none"/>
        </w:rPr>
        <w:t>.1.1.2商务标中</w:t>
      </w:r>
      <w:r>
        <w:rPr>
          <w:rFonts w:ascii="宋体" w:hAnsi="宋体"/>
          <w:b/>
          <w:color w:val="auto"/>
          <w:sz w:val="24"/>
          <w:highlight w:val="none"/>
          <w:u w:val="single"/>
        </w:rPr>
        <w:t>已标价的工程量清单，必须保存为13jt格式，</w:t>
      </w:r>
      <w:r>
        <w:rPr>
          <w:rFonts w:ascii="宋体" w:hAnsi="宋体"/>
          <w:b/>
          <w:color w:val="auto"/>
          <w:sz w:val="24"/>
          <w:highlight w:val="none"/>
        </w:rPr>
        <w:t>除已标价的工程量外的其他文件资料应保存为office word 格式（.doc或.docx格式），9.2.2条商务标文件应保存刻录于光盘中。</w:t>
      </w:r>
      <w:r>
        <w:rPr>
          <w:rFonts w:ascii="宋体" w:hAnsi="宋体"/>
          <w:b/>
          <w:color w:val="auto"/>
          <w:sz w:val="24"/>
          <w:highlight w:val="none"/>
          <w:u w:val="single"/>
        </w:rPr>
        <w:t>如投标人未提供13jt格式的已标价工程量清单将导致废标，</w:t>
      </w:r>
      <w:r>
        <w:rPr>
          <w:rFonts w:ascii="宋体" w:hAnsi="宋体"/>
          <w:b/>
          <w:bCs/>
          <w:color w:val="auto"/>
          <w:sz w:val="24"/>
          <w:highlight w:val="none"/>
          <w:u w:val="single"/>
        </w:rPr>
        <w:t>其后果由投标人自负。</w:t>
      </w:r>
      <w:r>
        <w:rPr>
          <w:rFonts w:ascii="宋体" w:hAnsi="宋体"/>
          <w:b/>
          <w:color w:val="auto"/>
          <w:sz w:val="24"/>
          <w:highlight w:val="none"/>
          <w:u w:val="single"/>
        </w:rPr>
        <w:t>）</w:t>
      </w:r>
    </w:p>
    <w:p w14:paraId="73BA2853">
      <w:pPr>
        <w:spacing w:line="360" w:lineRule="auto"/>
        <w:ind w:firstLine="482" w:firstLineChars="200"/>
        <w:rPr>
          <w:rFonts w:ascii="宋体" w:hAnsi="宋体"/>
          <w:b/>
          <w:bCs/>
          <w:color w:val="auto"/>
          <w:sz w:val="24"/>
          <w:highlight w:val="none"/>
        </w:rPr>
      </w:pPr>
      <w:r>
        <w:rPr>
          <w:rFonts w:ascii="宋体" w:hAnsi="宋体"/>
          <w:b/>
          <w:bCs/>
          <w:color w:val="auto"/>
          <w:sz w:val="24"/>
          <w:highlight w:val="none"/>
        </w:rPr>
        <w:t>光盘</w:t>
      </w:r>
      <w:r>
        <w:rPr>
          <w:rFonts w:ascii="宋体" w:hAnsi="宋体"/>
          <w:b/>
          <w:color w:val="auto"/>
          <w:sz w:val="24"/>
          <w:highlight w:val="none"/>
        </w:rPr>
        <w:t>与纸质投标文件同时提交，并单独密封，封袋上加盖投标人单位公章和法定代表人印章。</w:t>
      </w:r>
    </w:p>
    <w:p w14:paraId="47A9EC71">
      <w:pPr>
        <w:spacing w:line="360" w:lineRule="auto"/>
        <w:ind w:firstLine="482" w:firstLineChars="200"/>
        <w:rPr>
          <w:rFonts w:ascii="宋体" w:hAnsi="宋体"/>
          <w:b/>
          <w:color w:val="auto"/>
          <w:sz w:val="24"/>
          <w:highlight w:val="none"/>
        </w:rPr>
      </w:pPr>
      <w:r>
        <w:rPr>
          <w:rFonts w:ascii="宋体" w:hAnsi="宋体"/>
          <w:b/>
          <w:color w:val="auto"/>
          <w:sz w:val="24"/>
          <w:highlight w:val="none"/>
        </w:rPr>
        <w:t>9.2.1 资格审查资料包包括内容：</w:t>
      </w:r>
    </w:p>
    <w:p w14:paraId="5CE0814B">
      <w:pPr>
        <w:spacing w:line="360" w:lineRule="auto"/>
        <w:ind w:firstLine="480" w:firstLineChars="200"/>
        <w:rPr>
          <w:rFonts w:ascii="宋体" w:hAnsi="宋体" w:cs="宋体"/>
          <w:color w:val="auto"/>
          <w:sz w:val="24"/>
          <w:highlight w:val="none"/>
        </w:rPr>
      </w:pPr>
      <w:r>
        <w:rPr>
          <w:rFonts w:hint="eastAsia" w:ascii="宋体" w:hAnsi="宋体" w:cs="宋体"/>
          <w:color w:val="auto"/>
          <w:sz w:val="24"/>
          <w:highlight w:val="none"/>
        </w:rPr>
        <w:t>(1)法定代表人身份证明书；</w:t>
      </w:r>
    </w:p>
    <w:p w14:paraId="2BCCF6B6">
      <w:pPr>
        <w:spacing w:line="360" w:lineRule="auto"/>
        <w:ind w:firstLine="480" w:firstLineChars="200"/>
        <w:rPr>
          <w:rFonts w:ascii="宋体" w:hAnsi="宋体" w:cs="宋体"/>
          <w:color w:val="auto"/>
          <w:sz w:val="24"/>
          <w:highlight w:val="none"/>
        </w:rPr>
      </w:pPr>
      <w:r>
        <w:rPr>
          <w:rFonts w:hint="eastAsia" w:ascii="宋体" w:hAnsi="宋体" w:cs="宋体"/>
          <w:color w:val="auto"/>
          <w:sz w:val="24"/>
          <w:highlight w:val="none"/>
        </w:rPr>
        <w:t>(2)授权委托书(如有授权)；</w:t>
      </w:r>
    </w:p>
    <w:p w14:paraId="71215D23">
      <w:pPr>
        <w:spacing w:line="360" w:lineRule="auto"/>
        <w:ind w:firstLine="480" w:firstLineChars="200"/>
        <w:rPr>
          <w:rFonts w:ascii="宋体" w:hAnsi="宋体" w:cs="宋体"/>
          <w:color w:val="auto"/>
          <w:sz w:val="24"/>
          <w:highlight w:val="none"/>
        </w:rPr>
      </w:pPr>
      <w:r>
        <w:rPr>
          <w:rFonts w:hint="eastAsia" w:ascii="宋体" w:hAnsi="宋体" w:cs="宋体"/>
          <w:color w:val="auto"/>
          <w:sz w:val="24"/>
          <w:highlight w:val="none"/>
        </w:rPr>
        <w:t>(3)有效的企业法人营业执照复印件；</w:t>
      </w:r>
    </w:p>
    <w:p w14:paraId="27FEEA53">
      <w:pPr>
        <w:spacing w:line="360" w:lineRule="auto"/>
        <w:ind w:firstLine="480" w:firstLineChars="200"/>
        <w:rPr>
          <w:rFonts w:ascii="宋体" w:hAnsi="宋体" w:cs="宋体"/>
          <w:color w:val="auto"/>
          <w:sz w:val="24"/>
          <w:highlight w:val="none"/>
        </w:rPr>
      </w:pPr>
      <w:r>
        <w:rPr>
          <w:rFonts w:hint="eastAsia" w:ascii="宋体" w:hAnsi="宋体" w:cs="宋体"/>
          <w:color w:val="auto"/>
          <w:sz w:val="24"/>
          <w:highlight w:val="none"/>
        </w:rPr>
        <w:t>(4)有效的企业资质证书复印件；</w:t>
      </w:r>
    </w:p>
    <w:p w14:paraId="79702720">
      <w:pPr>
        <w:spacing w:line="360" w:lineRule="auto"/>
        <w:ind w:firstLine="480" w:firstLineChars="200"/>
        <w:rPr>
          <w:rFonts w:ascii="宋体" w:hAnsi="宋体" w:cs="宋体"/>
          <w:color w:val="auto"/>
          <w:sz w:val="24"/>
          <w:highlight w:val="none"/>
        </w:rPr>
      </w:pPr>
      <w:r>
        <w:rPr>
          <w:rFonts w:hint="eastAsia" w:ascii="宋体" w:hAnsi="宋体" w:cs="宋体"/>
          <w:color w:val="auto"/>
          <w:sz w:val="24"/>
          <w:highlight w:val="none"/>
        </w:rPr>
        <w:t>(5)有效的企业安全生产许可证复印件；</w:t>
      </w:r>
    </w:p>
    <w:p w14:paraId="5E99E092">
      <w:pPr>
        <w:spacing w:line="360" w:lineRule="auto"/>
        <w:ind w:firstLine="480" w:firstLineChars="200"/>
        <w:rPr>
          <w:rFonts w:ascii="宋体" w:hAnsi="宋体" w:cs="宋体"/>
          <w:color w:val="auto"/>
          <w:sz w:val="24"/>
          <w:highlight w:val="none"/>
        </w:rPr>
      </w:pPr>
      <w:r>
        <w:rPr>
          <w:rFonts w:hint="eastAsia" w:ascii="宋体" w:hAnsi="宋体" w:cs="宋体"/>
          <w:color w:val="auto"/>
          <w:sz w:val="24"/>
          <w:highlight w:val="none"/>
        </w:rPr>
        <w:t>(6)拟派项目负责人有效的建造师注册证书复印件；</w:t>
      </w:r>
    </w:p>
    <w:p w14:paraId="50493B3F">
      <w:pPr>
        <w:spacing w:line="360" w:lineRule="auto"/>
        <w:ind w:firstLine="480" w:firstLineChars="200"/>
        <w:rPr>
          <w:rFonts w:ascii="宋体" w:hAnsi="宋体" w:cs="宋体"/>
          <w:color w:val="auto"/>
          <w:sz w:val="24"/>
          <w:highlight w:val="none"/>
        </w:rPr>
      </w:pPr>
      <w:r>
        <w:rPr>
          <w:rFonts w:hint="eastAsia" w:ascii="宋体" w:hAnsi="宋体" w:cs="宋体"/>
          <w:color w:val="auto"/>
          <w:sz w:val="24"/>
          <w:highlight w:val="none"/>
        </w:rPr>
        <w:t>(7)拟派项目负责人有效的安全生产考核合格证（B证）复印件；</w:t>
      </w:r>
    </w:p>
    <w:p w14:paraId="2472C38B">
      <w:pPr>
        <w:spacing w:line="360" w:lineRule="auto"/>
        <w:ind w:firstLine="480" w:firstLineChars="200"/>
        <w:rPr>
          <w:rFonts w:ascii="宋体" w:hAnsi="宋体" w:cs="宋体"/>
          <w:color w:val="auto"/>
          <w:sz w:val="24"/>
          <w:highlight w:val="none"/>
        </w:rPr>
      </w:pPr>
      <w:r>
        <w:rPr>
          <w:rFonts w:hint="eastAsia" w:ascii="宋体" w:hAnsi="宋体" w:cs="宋体"/>
          <w:color w:val="auto"/>
          <w:sz w:val="24"/>
          <w:highlight w:val="none"/>
        </w:rPr>
        <w:t>(8)拟派项目负责人为投标企业正式人员有效的证明材料复印件（投标企业必须提供：投标企业与拟派项目负责人双方签订的有效劳动合同书）</w:t>
      </w:r>
    </w:p>
    <w:p w14:paraId="61C4754C">
      <w:pPr>
        <w:spacing w:line="360" w:lineRule="auto"/>
        <w:ind w:firstLine="480" w:firstLineChars="200"/>
        <w:rPr>
          <w:rFonts w:ascii="宋体" w:hAnsi="宋体" w:cs="宋体"/>
          <w:color w:val="auto"/>
          <w:sz w:val="24"/>
          <w:highlight w:val="none"/>
        </w:rPr>
      </w:pPr>
      <w:r>
        <w:rPr>
          <w:rFonts w:hint="eastAsia" w:ascii="宋体" w:hAnsi="宋体" w:cs="宋体"/>
          <w:color w:val="auto"/>
          <w:sz w:val="24"/>
          <w:highlight w:val="none"/>
        </w:rPr>
        <w:t>(9)无在建工程承诺书（详见第七章）；</w:t>
      </w:r>
    </w:p>
    <w:p w14:paraId="48D4E197">
      <w:pPr>
        <w:spacing w:line="360" w:lineRule="auto"/>
        <w:ind w:firstLine="480" w:firstLineChars="200"/>
        <w:rPr>
          <w:rFonts w:ascii="宋体" w:hAnsi="宋体" w:cs="宋体"/>
          <w:b/>
          <w:color w:val="auto"/>
          <w:sz w:val="24"/>
          <w:highlight w:val="none"/>
        </w:rPr>
      </w:pPr>
      <w:r>
        <w:rPr>
          <w:rFonts w:hint="eastAsia" w:ascii="宋体" w:hAnsi="宋体" w:cs="宋体"/>
          <w:color w:val="auto"/>
          <w:sz w:val="24"/>
          <w:highlight w:val="none"/>
        </w:rPr>
        <w:t>(10)工程完工证明复印件</w:t>
      </w:r>
      <w:r>
        <w:rPr>
          <w:rFonts w:hint="eastAsia" w:ascii="宋体" w:hAnsi="宋体" w:cs="宋体"/>
          <w:b/>
          <w:color w:val="auto"/>
          <w:sz w:val="24"/>
          <w:highlight w:val="none"/>
        </w:rPr>
        <w:t>（如有）；</w:t>
      </w:r>
    </w:p>
    <w:p w14:paraId="29DF36CC">
      <w:pPr>
        <w:spacing w:line="360" w:lineRule="auto"/>
        <w:ind w:firstLine="480" w:firstLineChars="200"/>
        <w:rPr>
          <w:color w:val="auto"/>
          <w:highlight w:val="none"/>
        </w:rPr>
      </w:pPr>
      <w:r>
        <w:rPr>
          <w:rFonts w:hint="eastAsia" w:ascii="宋体" w:hAnsi="宋体" w:cs="宋体"/>
          <w:color w:val="auto"/>
          <w:sz w:val="24"/>
          <w:highlight w:val="none"/>
        </w:rPr>
        <w:t>拟派项目经理在崇川区范围内有在建工程的，虽然未正式竣工验收但工程确已完工的，必须有由建设单位出具“工程已完工，同意项目经理参加其他工程招投标活动”的证明。无此证明的一律做废标处理。证明格式详见第七章—工程完工证明。</w:t>
      </w:r>
    </w:p>
    <w:p w14:paraId="7C43AE21">
      <w:pPr>
        <w:spacing w:line="360" w:lineRule="auto"/>
        <w:ind w:firstLine="480" w:firstLineChars="200"/>
        <w:rPr>
          <w:rFonts w:ascii="宋体" w:hAnsi="宋体" w:cs="宋体"/>
          <w:color w:val="auto"/>
          <w:sz w:val="24"/>
          <w:highlight w:val="none"/>
        </w:rPr>
      </w:pPr>
      <w:r>
        <w:rPr>
          <w:rFonts w:hint="eastAsia" w:ascii="宋体" w:hAnsi="宋体" w:cs="宋体"/>
          <w:color w:val="auto"/>
          <w:sz w:val="24"/>
          <w:highlight w:val="none"/>
        </w:rPr>
        <w:t>(11)诚信承诺书（详见第七章）；</w:t>
      </w:r>
    </w:p>
    <w:p w14:paraId="51A7D906">
      <w:pPr>
        <w:spacing w:line="360" w:lineRule="auto"/>
        <w:ind w:firstLine="480" w:firstLineChars="200"/>
        <w:rPr>
          <w:rFonts w:ascii="宋体" w:hAnsi="宋体" w:cs="宋体"/>
          <w:color w:val="auto"/>
          <w:sz w:val="24"/>
          <w:highlight w:val="none"/>
        </w:rPr>
      </w:pPr>
      <w:r>
        <w:rPr>
          <w:rFonts w:hint="eastAsia" w:ascii="宋体" w:hAnsi="宋体" w:cs="宋体"/>
          <w:color w:val="auto"/>
          <w:sz w:val="24"/>
          <w:highlight w:val="none"/>
        </w:rPr>
        <w:t>(12)响应性承诺书（详见第七章）；</w:t>
      </w:r>
    </w:p>
    <w:p w14:paraId="5EB6BAF1">
      <w:pPr>
        <w:spacing w:line="360" w:lineRule="auto"/>
        <w:ind w:firstLine="480" w:firstLineChars="200"/>
        <w:rPr>
          <w:rFonts w:ascii="宋体" w:hAnsi="宋体" w:cs="宋体"/>
          <w:color w:val="auto"/>
          <w:sz w:val="24"/>
          <w:highlight w:val="none"/>
        </w:rPr>
      </w:pPr>
      <w:r>
        <w:rPr>
          <w:rFonts w:hint="eastAsia" w:ascii="宋体" w:hAnsi="宋体" w:cs="宋体"/>
          <w:color w:val="auto"/>
          <w:sz w:val="24"/>
          <w:highlight w:val="none"/>
        </w:rPr>
        <w:t>(13)资格审查文件表格</w:t>
      </w:r>
      <w:r>
        <w:rPr>
          <w:rFonts w:hint="eastAsia" w:ascii="宋体" w:hAnsi="宋体" w:cs="宋体"/>
          <w:b/>
          <w:color w:val="auto"/>
          <w:sz w:val="24"/>
          <w:highlight w:val="none"/>
        </w:rPr>
        <w:t>（格式详见招标文件第七章）</w:t>
      </w:r>
      <w:r>
        <w:rPr>
          <w:rFonts w:hint="eastAsia" w:ascii="宋体" w:hAnsi="宋体" w:cs="宋体"/>
          <w:color w:val="auto"/>
          <w:sz w:val="24"/>
          <w:highlight w:val="none"/>
        </w:rPr>
        <w:t>。</w:t>
      </w:r>
    </w:p>
    <w:p w14:paraId="232E9FB8">
      <w:pPr>
        <w:spacing w:line="360" w:lineRule="auto"/>
        <w:ind w:firstLine="602" w:firstLineChars="250"/>
        <w:rPr>
          <w:rFonts w:ascii="宋体" w:hAnsi="宋体" w:cs="宋体"/>
          <w:b/>
          <w:color w:val="auto"/>
          <w:sz w:val="24"/>
          <w:highlight w:val="none"/>
          <w:u w:val="single"/>
        </w:rPr>
      </w:pPr>
      <w:r>
        <w:rPr>
          <w:rFonts w:hint="eastAsia" w:ascii="宋体" w:hAnsi="宋体" w:cs="宋体"/>
          <w:b/>
          <w:color w:val="auto"/>
          <w:sz w:val="24"/>
          <w:highlight w:val="none"/>
          <w:u w:val="single"/>
        </w:rPr>
        <w:t>未尽之处具体详见“评标办法”中的“资格审查标准汇总表”。提供的资格审查材料及审查标准，前后矛盾的以《资格审查标准汇总表》为准。</w:t>
      </w:r>
    </w:p>
    <w:p w14:paraId="4EB22C76">
      <w:pPr>
        <w:spacing w:line="360" w:lineRule="auto"/>
        <w:ind w:firstLine="602" w:firstLineChars="250"/>
        <w:rPr>
          <w:rFonts w:ascii="宋体" w:hAnsi="宋体" w:cs="宋体"/>
          <w:color w:val="auto"/>
          <w:sz w:val="24"/>
          <w:highlight w:val="none"/>
        </w:rPr>
      </w:pPr>
      <w:r>
        <w:rPr>
          <w:rFonts w:hint="eastAsia" w:ascii="宋体" w:hAnsi="宋体" w:cs="宋体"/>
          <w:b/>
          <w:color w:val="auto"/>
          <w:sz w:val="24"/>
          <w:highlight w:val="none"/>
          <w:u w:val="single"/>
        </w:rPr>
        <w:t>以上复印件须加盖投标单位公章，所有材料须统一密封在一个封袋中并编写材料目录，以便在开标时核查，并在封袋上加盖投标人单位公章和法定代表人印章。</w:t>
      </w:r>
    </w:p>
    <w:p w14:paraId="246083CF">
      <w:pPr>
        <w:spacing w:line="360" w:lineRule="auto"/>
        <w:ind w:firstLine="482" w:firstLineChars="200"/>
        <w:rPr>
          <w:rFonts w:ascii="宋体" w:hAnsi="宋体" w:cs="宋体"/>
          <w:b/>
          <w:color w:val="auto"/>
          <w:sz w:val="24"/>
          <w:highlight w:val="none"/>
        </w:rPr>
      </w:pPr>
      <w:r>
        <w:rPr>
          <w:rFonts w:hint="eastAsia" w:ascii="宋体" w:hAnsi="宋体" w:cs="宋体"/>
          <w:b/>
          <w:color w:val="auto"/>
          <w:sz w:val="24"/>
          <w:highlight w:val="none"/>
        </w:rPr>
        <w:t>9.2.2商务标</w:t>
      </w:r>
    </w:p>
    <w:p w14:paraId="25AD66FB">
      <w:pPr>
        <w:spacing w:line="360" w:lineRule="auto"/>
        <w:ind w:firstLine="480" w:firstLineChars="200"/>
        <w:rPr>
          <w:rFonts w:ascii="宋体" w:hAnsi="宋体" w:cs="宋体"/>
          <w:color w:val="auto"/>
          <w:sz w:val="24"/>
          <w:highlight w:val="none"/>
        </w:rPr>
      </w:pPr>
      <w:r>
        <w:rPr>
          <w:rFonts w:hint="eastAsia" w:ascii="宋体" w:hAnsi="宋体" w:cs="宋体"/>
          <w:color w:val="auto"/>
          <w:sz w:val="24"/>
          <w:highlight w:val="none"/>
        </w:rPr>
        <w:t>（1）投标函；</w:t>
      </w:r>
    </w:p>
    <w:p w14:paraId="0854694E">
      <w:pPr>
        <w:spacing w:line="360" w:lineRule="auto"/>
        <w:ind w:firstLine="480" w:firstLineChars="200"/>
        <w:rPr>
          <w:rFonts w:ascii="宋体" w:hAnsi="宋体" w:cs="宋体"/>
          <w:color w:val="auto"/>
          <w:sz w:val="24"/>
          <w:highlight w:val="none"/>
        </w:rPr>
      </w:pPr>
      <w:r>
        <w:rPr>
          <w:rFonts w:hint="eastAsia" w:ascii="宋体" w:hAnsi="宋体" w:cs="宋体"/>
          <w:color w:val="auto"/>
          <w:sz w:val="24"/>
          <w:highlight w:val="none"/>
        </w:rPr>
        <w:t>（2）已标价的工程量清单；</w:t>
      </w:r>
    </w:p>
    <w:p w14:paraId="295878B4">
      <w:pPr>
        <w:spacing w:line="360" w:lineRule="auto"/>
        <w:ind w:firstLine="480" w:firstLineChars="200"/>
        <w:rPr>
          <w:rFonts w:ascii="宋体" w:hAnsi="宋体" w:cs="宋体"/>
          <w:color w:val="auto"/>
          <w:sz w:val="24"/>
          <w:highlight w:val="none"/>
        </w:rPr>
      </w:pPr>
      <w:r>
        <w:rPr>
          <w:rFonts w:hint="eastAsia" w:ascii="宋体" w:hAnsi="宋体" w:cs="宋体"/>
          <w:color w:val="auto"/>
          <w:sz w:val="24"/>
          <w:highlight w:val="none"/>
        </w:rPr>
        <w:t>（3）主材、特材和其他需发包人供应的材料用量；发包人供应材料一览表、承包人供应主要材料一览表；</w:t>
      </w:r>
    </w:p>
    <w:p w14:paraId="421B610A">
      <w:pPr>
        <w:spacing w:line="360" w:lineRule="auto"/>
        <w:ind w:left="-315" w:leftChars="-150" w:firstLine="792" w:firstLineChars="330"/>
        <w:rPr>
          <w:rFonts w:ascii="宋体" w:hAnsi="宋体" w:cs="宋体"/>
          <w:color w:val="auto"/>
          <w:sz w:val="24"/>
          <w:highlight w:val="none"/>
        </w:rPr>
      </w:pPr>
      <w:r>
        <w:rPr>
          <w:rFonts w:hint="eastAsia" w:ascii="宋体" w:hAnsi="宋体" w:cs="宋体"/>
          <w:color w:val="auto"/>
          <w:sz w:val="24"/>
          <w:highlight w:val="none"/>
        </w:rPr>
        <w:t>（4）计划投入的主要施工机械设备表、主要施工管理人员表。</w:t>
      </w:r>
    </w:p>
    <w:p w14:paraId="4DD2411B">
      <w:pPr>
        <w:spacing w:line="360" w:lineRule="auto"/>
        <w:outlineLvl w:val="3"/>
        <w:rPr>
          <w:rFonts w:ascii="宋体" w:hAnsi="宋体"/>
          <w:b/>
          <w:color w:val="auto"/>
          <w:kern w:val="0"/>
          <w:sz w:val="24"/>
          <w:highlight w:val="none"/>
        </w:rPr>
      </w:pPr>
      <w:r>
        <w:rPr>
          <w:rFonts w:ascii="宋体" w:hAnsi="宋体"/>
          <w:b/>
          <w:color w:val="auto"/>
          <w:kern w:val="0"/>
          <w:sz w:val="24"/>
          <w:highlight w:val="none"/>
        </w:rPr>
        <w:t>10.招标文件提供的文件格式(第六章)投标人必须使用。但表式可以按同样格式进行扩展。</w:t>
      </w:r>
    </w:p>
    <w:p w14:paraId="161890E3">
      <w:pPr>
        <w:spacing w:line="360" w:lineRule="auto"/>
        <w:outlineLvl w:val="3"/>
        <w:rPr>
          <w:rFonts w:ascii="宋体" w:hAnsi="宋体"/>
          <w:color w:val="auto"/>
          <w:sz w:val="24"/>
          <w:highlight w:val="none"/>
        </w:rPr>
      </w:pPr>
      <w:r>
        <w:rPr>
          <w:rFonts w:ascii="宋体" w:hAnsi="宋体"/>
          <w:b/>
          <w:color w:val="auto"/>
          <w:kern w:val="0"/>
          <w:sz w:val="24"/>
          <w:highlight w:val="none"/>
        </w:rPr>
        <w:t>11.</w:t>
      </w:r>
      <w:r>
        <w:rPr>
          <w:rFonts w:ascii="宋体" w:hAnsi="宋体"/>
          <w:color w:val="auto"/>
          <w:sz w:val="24"/>
          <w:highlight w:val="none"/>
        </w:rPr>
        <w:t>纸质投标文件</w:t>
      </w:r>
      <w:r>
        <w:rPr>
          <w:rFonts w:hint="eastAsia" w:ascii="宋体" w:hAnsi="宋体"/>
          <w:color w:val="auto"/>
          <w:sz w:val="24"/>
          <w:highlight w:val="none"/>
        </w:rPr>
        <w:t>正本壹份、副本叁份，</w:t>
      </w:r>
      <w:r>
        <w:rPr>
          <w:rFonts w:ascii="宋体" w:hAnsi="宋体"/>
          <w:color w:val="auto"/>
          <w:sz w:val="24"/>
          <w:highlight w:val="none"/>
        </w:rPr>
        <w:t>正本须用不能擦去的墨水书写或打印，投标文件副本可以复印，其正、副本都应装订成册，并在封面上正确标明“正本”、“副本”字样。电子</w:t>
      </w:r>
      <w:r>
        <w:rPr>
          <w:rFonts w:hint="eastAsia" w:ascii="宋体" w:hAnsi="宋体"/>
          <w:color w:val="auto"/>
          <w:sz w:val="24"/>
          <w:highlight w:val="none"/>
        </w:rPr>
        <w:t>投标文件</w:t>
      </w:r>
      <w:r>
        <w:rPr>
          <w:rFonts w:ascii="宋体" w:hAnsi="宋体"/>
          <w:color w:val="auto"/>
          <w:sz w:val="24"/>
          <w:highlight w:val="none"/>
        </w:rPr>
        <w:t>、资格审查资料包、商务标分开装袋密封。</w:t>
      </w:r>
    </w:p>
    <w:p w14:paraId="477B1368">
      <w:pPr>
        <w:spacing w:line="360" w:lineRule="auto"/>
        <w:ind w:firstLine="480" w:firstLineChars="200"/>
        <w:outlineLvl w:val="3"/>
        <w:rPr>
          <w:rFonts w:ascii="宋体" w:hAnsi="宋体"/>
          <w:color w:val="auto"/>
          <w:sz w:val="24"/>
          <w:highlight w:val="none"/>
        </w:rPr>
      </w:pPr>
      <w:r>
        <w:rPr>
          <w:rFonts w:ascii="宋体" w:hAnsi="宋体"/>
          <w:color w:val="auto"/>
          <w:sz w:val="24"/>
          <w:highlight w:val="none"/>
        </w:rPr>
        <w:t>全套投标文件应无修改和行间插字。如有修改，须在修改处加盖投标人法定代表人或其代理人的印鉴。</w:t>
      </w:r>
    </w:p>
    <w:p w14:paraId="57A4466F">
      <w:pPr>
        <w:spacing w:line="360" w:lineRule="auto"/>
        <w:outlineLvl w:val="3"/>
        <w:rPr>
          <w:rFonts w:ascii="宋体" w:hAnsi="宋体"/>
          <w:color w:val="auto"/>
          <w:sz w:val="24"/>
          <w:highlight w:val="none"/>
        </w:rPr>
      </w:pPr>
      <w:r>
        <w:rPr>
          <w:rFonts w:ascii="宋体" w:hAnsi="宋体"/>
          <w:b/>
          <w:color w:val="auto"/>
          <w:kern w:val="0"/>
          <w:sz w:val="24"/>
          <w:highlight w:val="none"/>
        </w:rPr>
        <w:t>12.投标有效期</w:t>
      </w:r>
    </w:p>
    <w:p w14:paraId="542EFF5E">
      <w:pPr>
        <w:autoSpaceDE w:val="0"/>
        <w:autoSpaceDN w:val="0"/>
        <w:adjustRightInd w:val="0"/>
        <w:spacing w:line="360" w:lineRule="auto"/>
        <w:ind w:firstLine="480" w:firstLineChars="200"/>
        <w:jc w:val="left"/>
        <w:rPr>
          <w:rFonts w:ascii="宋体" w:hAnsi="宋体"/>
          <w:b/>
          <w:color w:val="auto"/>
          <w:kern w:val="0"/>
          <w:sz w:val="24"/>
          <w:highlight w:val="none"/>
        </w:rPr>
      </w:pPr>
      <w:r>
        <w:rPr>
          <w:rFonts w:ascii="宋体" w:hAnsi="宋体"/>
          <w:color w:val="auto"/>
          <w:sz w:val="24"/>
          <w:highlight w:val="none"/>
        </w:rPr>
        <w:t>投标文件自投标截止时间起至投标须知前附表规定的时间内有效。</w:t>
      </w:r>
    </w:p>
    <w:p w14:paraId="2A079A55">
      <w:pPr>
        <w:spacing w:line="360" w:lineRule="auto"/>
        <w:outlineLvl w:val="3"/>
        <w:rPr>
          <w:rFonts w:ascii="宋体" w:hAnsi="宋体"/>
          <w:b/>
          <w:color w:val="auto"/>
          <w:kern w:val="0"/>
          <w:sz w:val="24"/>
          <w:highlight w:val="none"/>
        </w:rPr>
      </w:pPr>
      <w:r>
        <w:rPr>
          <w:rFonts w:ascii="宋体" w:hAnsi="宋体"/>
          <w:b/>
          <w:color w:val="auto"/>
          <w:kern w:val="0"/>
          <w:sz w:val="24"/>
          <w:highlight w:val="none"/>
        </w:rPr>
        <w:t>13.投标保证金</w:t>
      </w:r>
    </w:p>
    <w:p w14:paraId="19395D75">
      <w:pPr>
        <w:adjustRightInd w:val="0"/>
        <w:snapToGrid w:val="0"/>
        <w:spacing w:line="440" w:lineRule="exact"/>
        <w:ind w:firstLine="442" w:firstLineChars="200"/>
        <w:jc w:val="left"/>
        <w:rPr>
          <w:b/>
          <w:color w:val="auto"/>
          <w:kern w:val="0"/>
          <w:sz w:val="22"/>
          <w:szCs w:val="22"/>
          <w:highlight w:val="none"/>
        </w:rPr>
      </w:pPr>
      <w:r>
        <w:rPr>
          <w:rFonts w:hint="eastAsia"/>
          <w:b/>
          <w:color w:val="auto"/>
          <w:kern w:val="0"/>
          <w:sz w:val="22"/>
          <w:szCs w:val="22"/>
          <w:highlight w:val="none"/>
        </w:rPr>
        <w:t>投标人必须按照前附表第11项规定于投标文件提交截止时间前将投标保证金递交给招标代理查验。中标单位的投标保证金有效期在投标截止日后45天内有效。</w:t>
      </w:r>
    </w:p>
    <w:p w14:paraId="17B25373">
      <w:pPr>
        <w:spacing w:line="360" w:lineRule="auto"/>
        <w:outlineLvl w:val="3"/>
        <w:rPr>
          <w:rFonts w:ascii="宋体" w:hAnsi="宋体"/>
          <w:b/>
          <w:color w:val="auto"/>
          <w:kern w:val="0"/>
          <w:sz w:val="24"/>
          <w:highlight w:val="none"/>
        </w:rPr>
      </w:pPr>
      <w:r>
        <w:rPr>
          <w:rFonts w:ascii="宋体" w:hAnsi="宋体"/>
          <w:b/>
          <w:color w:val="auto"/>
          <w:kern w:val="0"/>
          <w:sz w:val="24"/>
          <w:highlight w:val="none"/>
        </w:rPr>
        <w:t>14.投标保证金退还</w:t>
      </w:r>
    </w:p>
    <w:p w14:paraId="2F382670">
      <w:pPr>
        <w:spacing w:line="360" w:lineRule="auto"/>
        <w:ind w:firstLine="482" w:firstLineChars="200"/>
        <w:rPr>
          <w:rFonts w:ascii="宋体" w:hAnsi="宋体"/>
          <w:b/>
          <w:bCs/>
          <w:color w:val="auto"/>
          <w:sz w:val="24"/>
          <w:highlight w:val="none"/>
        </w:rPr>
      </w:pPr>
      <w:r>
        <w:rPr>
          <w:rFonts w:ascii="宋体" w:hAnsi="宋体"/>
          <w:b/>
          <w:bCs/>
          <w:color w:val="auto"/>
          <w:sz w:val="24"/>
          <w:highlight w:val="none"/>
        </w:rPr>
        <w:t>14.1 未中标单位的投标保证金在定标后予以退还。</w:t>
      </w:r>
    </w:p>
    <w:p w14:paraId="1827715A">
      <w:pPr>
        <w:spacing w:line="360" w:lineRule="auto"/>
        <w:ind w:firstLine="482" w:firstLineChars="200"/>
        <w:rPr>
          <w:rFonts w:ascii="宋体" w:hAnsi="宋体"/>
          <w:b/>
          <w:bCs/>
          <w:color w:val="auto"/>
          <w:sz w:val="24"/>
          <w:highlight w:val="none"/>
        </w:rPr>
      </w:pPr>
      <w:r>
        <w:rPr>
          <w:rFonts w:ascii="宋体" w:hAnsi="宋体"/>
          <w:b/>
          <w:bCs/>
          <w:color w:val="auto"/>
          <w:sz w:val="24"/>
          <w:highlight w:val="none"/>
        </w:rPr>
        <w:t>14.2 中标单位的投标保证金在施工合同生效后一周内予以退还。</w:t>
      </w:r>
    </w:p>
    <w:p w14:paraId="3C345B4B">
      <w:pPr>
        <w:spacing w:line="360" w:lineRule="auto"/>
        <w:ind w:firstLine="482" w:firstLineChars="200"/>
        <w:rPr>
          <w:rFonts w:ascii="宋体" w:hAnsi="宋体"/>
          <w:b/>
          <w:bCs/>
          <w:color w:val="auto"/>
          <w:sz w:val="24"/>
          <w:highlight w:val="none"/>
        </w:rPr>
      </w:pPr>
      <w:r>
        <w:rPr>
          <w:rFonts w:ascii="宋体" w:hAnsi="宋体"/>
          <w:b/>
          <w:bCs/>
          <w:color w:val="auto"/>
          <w:sz w:val="24"/>
          <w:highlight w:val="none"/>
        </w:rPr>
        <w:t>14.3 投标人出现下列情况，其投标保证金一律不予退还。</w:t>
      </w:r>
    </w:p>
    <w:p w14:paraId="3F9F1EAB">
      <w:pPr>
        <w:spacing w:line="360" w:lineRule="auto"/>
        <w:ind w:firstLine="482" w:firstLineChars="200"/>
        <w:rPr>
          <w:rFonts w:ascii="宋体" w:hAnsi="宋体"/>
          <w:b/>
          <w:bCs/>
          <w:color w:val="auto"/>
          <w:sz w:val="24"/>
          <w:highlight w:val="none"/>
        </w:rPr>
      </w:pPr>
      <w:r>
        <w:rPr>
          <w:rFonts w:ascii="宋体" w:hAnsi="宋体"/>
          <w:b/>
          <w:bCs/>
          <w:color w:val="auto"/>
          <w:sz w:val="24"/>
          <w:highlight w:val="none"/>
        </w:rPr>
        <w:t>14.3.1投标人在投标有效期内撤回其投标文件；</w:t>
      </w:r>
    </w:p>
    <w:p w14:paraId="56685877">
      <w:pPr>
        <w:spacing w:line="360" w:lineRule="auto"/>
        <w:ind w:firstLine="482" w:firstLineChars="200"/>
        <w:rPr>
          <w:rFonts w:ascii="宋体" w:hAnsi="宋体"/>
          <w:b/>
          <w:bCs/>
          <w:color w:val="auto"/>
          <w:sz w:val="24"/>
          <w:highlight w:val="none"/>
        </w:rPr>
      </w:pPr>
      <w:r>
        <w:rPr>
          <w:rFonts w:ascii="宋体" w:hAnsi="宋体"/>
          <w:b/>
          <w:bCs/>
          <w:color w:val="auto"/>
          <w:sz w:val="24"/>
          <w:highlight w:val="none"/>
        </w:rPr>
        <w:t>14.3.2投标人存在《江苏省房屋建筑和市政基础设施工程招标投标中串通投标和弄虚作假行为认定处理办法（试行）》（苏建规字〔2014〕2号）第四条、第五条、第六条、第七条规定的串通投标、弄虚作假等行为的；</w:t>
      </w:r>
    </w:p>
    <w:p w14:paraId="7C16BEF8">
      <w:pPr>
        <w:spacing w:line="360" w:lineRule="auto"/>
        <w:ind w:firstLine="482" w:firstLineChars="200"/>
        <w:rPr>
          <w:rFonts w:ascii="宋体" w:hAnsi="宋体"/>
          <w:b/>
          <w:bCs/>
          <w:color w:val="auto"/>
          <w:sz w:val="24"/>
          <w:highlight w:val="none"/>
        </w:rPr>
      </w:pPr>
      <w:r>
        <w:rPr>
          <w:rFonts w:ascii="宋体" w:hAnsi="宋体"/>
          <w:b/>
          <w:bCs/>
          <w:color w:val="auto"/>
          <w:sz w:val="24"/>
          <w:highlight w:val="none"/>
        </w:rPr>
        <w:t>14.3.3不同投标人的投标文件、已标价的工程量清单经清标软件分析，出现了评标委员会认为不应当雷同的情况（相同错误）的，且被评委认定为串标的。</w:t>
      </w:r>
    </w:p>
    <w:p w14:paraId="0FA925F6">
      <w:pPr>
        <w:spacing w:line="360" w:lineRule="auto"/>
        <w:ind w:firstLine="482" w:firstLineChars="200"/>
        <w:rPr>
          <w:rFonts w:ascii="宋体" w:hAnsi="宋体"/>
          <w:b/>
          <w:bCs/>
          <w:color w:val="auto"/>
          <w:sz w:val="24"/>
          <w:highlight w:val="none"/>
        </w:rPr>
      </w:pPr>
      <w:r>
        <w:rPr>
          <w:rFonts w:ascii="宋体" w:hAnsi="宋体"/>
          <w:b/>
          <w:bCs/>
          <w:color w:val="auto"/>
          <w:sz w:val="24"/>
          <w:highlight w:val="none"/>
        </w:rPr>
        <w:t>14.3.4投标人已签订《诚信承诺书》（详见招标文件标准格式）的，自投标之日起，中标公示结束之日止，经举报或区招标监管机构（评标委员会）复核，有悖于《诚信承诺书》相关承诺的，且查证属实的。</w:t>
      </w:r>
    </w:p>
    <w:p w14:paraId="6721F733">
      <w:pPr>
        <w:spacing w:line="360" w:lineRule="auto"/>
        <w:ind w:firstLine="482" w:firstLineChars="200"/>
        <w:rPr>
          <w:rFonts w:ascii="宋体" w:hAnsi="宋体"/>
          <w:b/>
          <w:bCs/>
          <w:color w:val="auto"/>
          <w:sz w:val="24"/>
          <w:highlight w:val="none"/>
        </w:rPr>
      </w:pPr>
      <w:r>
        <w:rPr>
          <w:rFonts w:ascii="宋体" w:hAnsi="宋体"/>
          <w:b/>
          <w:bCs/>
          <w:color w:val="auto"/>
          <w:sz w:val="24"/>
          <w:highlight w:val="none"/>
        </w:rPr>
        <w:t>14.4中标通知书发出后，除不可抗力情况外，中标人出现下列情形之一的，招标人必须取消其中标资格，并不予退还其投标保证金：</w:t>
      </w:r>
    </w:p>
    <w:p w14:paraId="1D155F82">
      <w:pPr>
        <w:spacing w:line="360" w:lineRule="auto"/>
        <w:ind w:firstLine="482" w:firstLineChars="200"/>
        <w:rPr>
          <w:rFonts w:ascii="宋体" w:hAnsi="宋体"/>
          <w:b/>
          <w:bCs/>
          <w:color w:val="auto"/>
          <w:sz w:val="24"/>
          <w:highlight w:val="none"/>
        </w:rPr>
      </w:pPr>
      <w:r>
        <w:rPr>
          <w:rFonts w:ascii="宋体" w:hAnsi="宋体"/>
          <w:b/>
          <w:bCs/>
          <w:color w:val="auto"/>
          <w:sz w:val="24"/>
          <w:highlight w:val="none"/>
        </w:rPr>
        <w:t>14.4.1放弃中标项目的；</w:t>
      </w:r>
    </w:p>
    <w:p w14:paraId="57FDBAFE">
      <w:pPr>
        <w:spacing w:line="360" w:lineRule="auto"/>
        <w:ind w:firstLine="482" w:firstLineChars="200"/>
        <w:rPr>
          <w:rFonts w:ascii="宋体" w:hAnsi="宋体"/>
          <w:b/>
          <w:bCs/>
          <w:color w:val="auto"/>
          <w:sz w:val="24"/>
          <w:highlight w:val="none"/>
        </w:rPr>
      </w:pPr>
      <w:r>
        <w:rPr>
          <w:rFonts w:ascii="宋体" w:hAnsi="宋体"/>
          <w:b/>
          <w:bCs/>
          <w:color w:val="auto"/>
          <w:sz w:val="24"/>
          <w:highlight w:val="none"/>
        </w:rPr>
        <w:t>14.4.2拒不按照招标文件的要求提交履约保证金的；</w:t>
      </w:r>
    </w:p>
    <w:p w14:paraId="3BFB8807">
      <w:pPr>
        <w:spacing w:line="360" w:lineRule="auto"/>
        <w:ind w:firstLine="482" w:firstLineChars="200"/>
        <w:rPr>
          <w:rFonts w:ascii="宋体" w:hAnsi="宋体"/>
          <w:b/>
          <w:bCs/>
          <w:color w:val="auto"/>
          <w:sz w:val="24"/>
          <w:highlight w:val="none"/>
        </w:rPr>
      </w:pPr>
      <w:r>
        <w:rPr>
          <w:rFonts w:ascii="宋体" w:hAnsi="宋体"/>
          <w:b/>
          <w:bCs/>
          <w:color w:val="auto"/>
          <w:sz w:val="24"/>
          <w:highlight w:val="none"/>
        </w:rPr>
        <w:t>14.4.3除不可抗力情况外不执行本招标文件第一章第34条款、35条款的</w:t>
      </w:r>
    </w:p>
    <w:p w14:paraId="3B9E41A5">
      <w:pPr>
        <w:spacing w:line="360" w:lineRule="auto"/>
        <w:ind w:firstLine="482" w:firstLineChars="200"/>
        <w:rPr>
          <w:rFonts w:ascii="宋体" w:hAnsi="宋体"/>
          <w:b/>
          <w:bCs/>
          <w:color w:val="auto"/>
          <w:sz w:val="24"/>
          <w:highlight w:val="none"/>
        </w:rPr>
      </w:pPr>
      <w:r>
        <w:rPr>
          <w:rFonts w:ascii="宋体" w:hAnsi="宋体"/>
          <w:b/>
          <w:bCs/>
          <w:color w:val="auto"/>
          <w:sz w:val="24"/>
          <w:highlight w:val="none"/>
        </w:rPr>
        <w:t>14.4.4不与招标人签订合同的，或者在签订合同时向招标人提出附加条件或者更改合同实质性内容的。</w:t>
      </w:r>
    </w:p>
    <w:p w14:paraId="41492D42">
      <w:pPr>
        <w:spacing w:line="360" w:lineRule="auto"/>
        <w:ind w:firstLine="482" w:firstLineChars="200"/>
        <w:rPr>
          <w:rFonts w:ascii="宋体" w:hAnsi="宋体"/>
          <w:b/>
          <w:bCs/>
          <w:color w:val="auto"/>
          <w:sz w:val="24"/>
          <w:highlight w:val="none"/>
        </w:rPr>
      </w:pPr>
      <w:r>
        <w:rPr>
          <w:rFonts w:ascii="宋体" w:hAnsi="宋体"/>
          <w:b/>
          <w:bCs/>
          <w:color w:val="auto"/>
          <w:sz w:val="24"/>
          <w:highlight w:val="none"/>
        </w:rPr>
        <w:t>存在上述14.3--14.4行为的，招标人不退还投标保证金并上交国库，并自认定之日起一年内不得参与崇川区任何招投标活动，并在南通市崇川区人民政府网滚动公示直至解禁。参与投标的企业将视为遵守以上处理条款。</w:t>
      </w:r>
    </w:p>
    <w:p w14:paraId="2F9A110C">
      <w:pPr>
        <w:pStyle w:val="4"/>
        <w:rPr>
          <w:rFonts w:ascii="宋体" w:hAnsi="宋体"/>
          <w:color w:val="auto"/>
          <w:sz w:val="24"/>
          <w:szCs w:val="24"/>
          <w:highlight w:val="none"/>
        </w:rPr>
      </w:pPr>
      <w:r>
        <w:rPr>
          <w:rFonts w:ascii="宋体" w:hAnsi="宋体"/>
          <w:color w:val="auto"/>
          <w:sz w:val="24"/>
          <w:szCs w:val="24"/>
          <w:highlight w:val="none"/>
        </w:rPr>
        <w:t>（四）投标报价</w:t>
      </w:r>
      <w:bookmarkEnd w:id="24"/>
    </w:p>
    <w:p w14:paraId="448CB5FA">
      <w:pPr>
        <w:spacing w:line="360" w:lineRule="auto"/>
        <w:ind w:firstLine="482" w:firstLineChars="200"/>
        <w:outlineLvl w:val="3"/>
        <w:rPr>
          <w:rFonts w:ascii="宋体" w:hAnsi="宋体"/>
          <w:b/>
          <w:color w:val="auto"/>
          <w:kern w:val="0"/>
          <w:sz w:val="24"/>
          <w:highlight w:val="none"/>
        </w:rPr>
      </w:pPr>
      <w:r>
        <w:rPr>
          <w:rFonts w:ascii="宋体" w:hAnsi="宋体"/>
          <w:b/>
          <w:color w:val="auto"/>
          <w:kern w:val="0"/>
          <w:sz w:val="24"/>
          <w:highlight w:val="none"/>
        </w:rPr>
        <w:t>15</w:t>
      </w:r>
      <w:r>
        <w:rPr>
          <w:rFonts w:hint="eastAsia" w:ascii="宋体" w:hAnsi="宋体"/>
          <w:b/>
          <w:color w:val="auto"/>
          <w:kern w:val="0"/>
          <w:sz w:val="24"/>
          <w:highlight w:val="none"/>
        </w:rPr>
        <w:t>.</w:t>
      </w:r>
      <w:r>
        <w:rPr>
          <w:rFonts w:ascii="宋体" w:hAnsi="宋体"/>
          <w:b/>
          <w:color w:val="auto"/>
          <w:kern w:val="0"/>
          <w:sz w:val="24"/>
          <w:highlight w:val="none"/>
        </w:rPr>
        <w:t>投标报价应包括招标文件所确定的招标范围内相应工程量清单及相关资料及规范、规定等全部内容，以及为完成上述内容所必须的附属工程、临时工程、材料、劳务、机械、成品保护、垂直运输、脚手架搭设使用、与各工种间的协调配合工作、清洗、养护、验收、创优、安全措施、技术措施，作为一名有经验的投标人所应考虑到的各种因素、风险及所需的全部费用。</w:t>
      </w:r>
    </w:p>
    <w:p w14:paraId="652E0FA2">
      <w:pPr>
        <w:spacing w:line="360" w:lineRule="auto"/>
        <w:ind w:firstLine="480" w:firstLineChars="200"/>
        <w:rPr>
          <w:rFonts w:ascii="宋体" w:hAnsi="宋体"/>
          <w:color w:val="auto"/>
          <w:sz w:val="24"/>
          <w:highlight w:val="none"/>
        </w:rPr>
      </w:pPr>
      <w:r>
        <w:rPr>
          <w:rFonts w:ascii="宋体" w:hAnsi="宋体"/>
          <w:color w:val="auto"/>
          <w:sz w:val="24"/>
          <w:highlight w:val="none"/>
        </w:rPr>
        <w:t>招标文件后附的工程量清单标明的工程量清单表是投标人投标报价的共同基础。招标人提供的工程量清单，投标人应结合投标须知、投标须知前附表、合同条款、技术标准和要求与图纸一起阅读理解。</w:t>
      </w:r>
    </w:p>
    <w:p w14:paraId="331AB58F">
      <w:pPr>
        <w:spacing w:line="360" w:lineRule="auto"/>
        <w:outlineLvl w:val="3"/>
        <w:rPr>
          <w:rFonts w:ascii="宋体" w:hAnsi="宋体"/>
          <w:b/>
          <w:color w:val="auto"/>
          <w:kern w:val="0"/>
          <w:sz w:val="24"/>
          <w:highlight w:val="none"/>
        </w:rPr>
      </w:pPr>
      <w:r>
        <w:rPr>
          <w:rFonts w:ascii="宋体" w:hAnsi="宋体"/>
          <w:b/>
          <w:color w:val="auto"/>
          <w:kern w:val="0"/>
          <w:sz w:val="24"/>
          <w:highlight w:val="none"/>
        </w:rPr>
        <w:t>16</w:t>
      </w:r>
      <w:r>
        <w:rPr>
          <w:rFonts w:hint="eastAsia" w:ascii="宋体" w:hAnsi="宋体"/>
          <w:b/>
          <w:color w:val="auto"/>
          <w:kern w:val="0"/>
          <w:sz w:val="24"/>
          <w:highlight w:val="none"/>
        </w:rPr>
        <w:t>.</w:t>
      </w:r>
      <w:r>
        <w:rPr>
          <w:rFonts w:ascii="宋体" w:hAnsi="宋体"/>
          <w:b/>
          <w:color w:val="auto"/>
          <w:kern w:val="0"/>
          <w:sz w:val="24"/>
          <w:highlight w:val="none"/>
        </w:rPr>
        <w:t>投标报价方式：</w:t>
      </w:r>
    </w:p>
    <w:p w14:paraId="22B40485">
      <w:pPr>
        <w:spacing w:line="360" w:lineRule="auto"/>
        <w:ind w:firstLine="480" w:firstLineChars="200"/>
        <w:rPr>
          <w:rFonts w:ascii="宋体" w:hAnsi="宋体"/>
          <w:color w:val="auto"/>
          <w:sz w:val="24"/>
          <w:highlight w:val="none"/>
        </w:rPr>
      </w:pPr>
      <w:r>
        <w:rPr>
          <w:rFonts w:ascii="宋体" w:hAnsi="宋体"/>
          <w:color w:val="auto"/>
          <w:sz w:val="24"/>
          <w:highlight w:val="none"/>
        </w:rPr>
        <w:t>16.1本工程项目采用</w:t>
      </w:r>
      <w:r>
        <w:rPr>
          <w:rFonts w:ascii="宋体" w:hAnsi="宋体"/>
          <w:b/>
          <w:bCs/>
          <w:color w:val="auto"/>
          <w:sz w:val="24"/>
          <w:highlight w:val="none"/>
          <w:u w:val="single"/>
        </w:rPr>
        <w:t>固定单价报价</w:t>
      </w:r>
      <w:r>
        <w:rPr>
          <w:rFonts w:ascii="宋体" w:hAnsi="宋体"/>
          <w:color w:val="auto"/>
          <w:sz w:val="24"/>
          <w:highlight w:val="none"/>
        </w:rPr>
        <w:t>方式。投标人报价时应充分考虑施工期间各类建材的市场风险。工程量的风险由发包人承担，价格风险在约定风险范围内的，由承包人承担，风险范围以外的按合同约定承担。竣工结算的工程量按发承包双方在合同中约定应予计量且实际完成的工程量确定，完成发包人要求的合同以外的零星工作或发生非承包人责任事件的工程量按现场签证确定。</w:t>
      </w:r>
    </w:p>
    <w:p w14:paraId="6F1E266C">
      <w:pPr>
        <w:spacing w:line="360" w:lineRule="auto"/>
        <w:ind w:firstLine="480" w:firstLineChars="200"/>
        <w:rPr>
          <w:rFonts w:ascii="宋体" w:hAnsi="宋体"/>
          <w:color w:val="auto"/>
          <w:sz w:val="24"/>
          <w:highlight w:val="none"/>
        </w:rPr>
      </w:pPr>
      <w:r>
        <w:rPr>
          <w:rFonts w:ascii="宋体" w:hAnsi="宋体"/>
          <w:color w:val="auto"/>
          <w:sz w:val="24"/>
          <w:highlight w:val="none"/>
        </w:rPr>
        <w:t>16.2除下列条款中风险范围的内容可调整外，其余不可调整。</w:t>
      </w:r>
    </w:p>
    <w:p w14:paraId="72B501B4">
      <w:pPr>
        <w:adjustRightInd w:val="0"/>
        <w:snapToGrid w:val="0"/>
        <w:spacing w:line="360" w:lineRule="auto"/>
        <w:ind w:firstLine="480" w:firstLineChars="200"/>
        <w:rPr>
          <w:rFonts w:ascii="宋体" w:hAnsi="宋体"/>
          <w:color w:val="auto"/>
          <w:sz w:val="24"/>
          <w:highlight w:val="none"/>
        </w:rPr>
      </w:pPr>
      <w:r>
        <w:rPr>
          <w:rFonts w:ascii="宋体" w:hAnsi="宋体"/>
          <w:color w:val="auto"/>
          <w:sz w:val="24"/>
          <w:highlight w:val="none"/>
        </w:rPr>
        <w:t>（1）工程量；</w:t>
      </w:r>
    </w:p>
    <w:p w14:paraId="250F5BFD">
      <w:pPr>
        <w:adjustRightInd w:val="0"/>
        <w:snapToGrid w:val="0"/>
        <w:spacing w:line="360" w:lineRule="auto"/>
        <w:ind w:firstLine="480" w:firstLineChars="200"/>
        <w:rPr>
          <w:rFonts w:ascii="宋体" w:hAnsi="宋体"/>
          <w:color w:val="auto"/>
          <w:sz w:val="24"/>
          <w:highlight w:val="none"/>
        </w:rPr>
      </w:pPr>
      <w:r>
        <w:rPr>
          <w:rFonts w:ascii="宋体" w:hAnsi="宋体"/>
          <w:color w:val="auto"/>
          <w:sz w:val="24"/>
          <w:highlight w:val="none"/>
        </w:rPr>
        <w:t>（2）设计变更引起的工程量变化或直接造成的费用增加；</w:t>
      </w:r>
    </w:p>
    <w:p w14:paraId="5948CDA7">
      <w:pPr>
        <w:adjustRightInd w:val="0"/>
        <w:snapToGrid w:val="0"/>
        <w:spacing w:line="360" w:lineRule="auto"/>
        <w:ind w:firstLine="480" w:firstLineChars="200"/>
        <w:rPr>
          <w:rFonts w:ascii="宋体" w:hAnsi="宋体"/>
          <w:color w:val="auto"/>
          <w:sz w:val="24"/>
          <w:highlight w:val="none"/>
        </w:rPr>
      </w:pPr>
      <w:r>
        <w:rPr>
          <w:rFonts w:ascii="宋体" w:hAnsi="宋体"/>
          <w:color w:val="auto"/>
          <w:sz w:val="24"/>
          <w:highlight w:val="none"/>
        </w:rPr>
        <w:t>（3）发包人要求的承包范围以外的附加工程量；</w:t>
      </w:r>
    </w:p>
    <w:p w14:paraId="59066A37">
      <w:pPr>
        <w:adjustRightInd w:val="0"/>
        <w:snapToGrid w:val="0"/>
        <w:spacing w:line="360" w:lineRule="auto"/>
        <w:ind w:firstLine="480" w:firstLineChars="200"/>
        <w:rPr>
          <w:rFonts w:ascii="宋体" w:hAnsi="宋体"/>
          <w:color w:val="auto"/>
          <w:sz w:val="24"/>
          <w:highlight w:val="none"/>
        </w:rPr>
      </w:pPr>
      <w:r>
        <w:rPr>
          <w:rFonts w:ascii="宋体" w:hAnsi="宋体"/>
          <w:color w:val="auto"/>
          <w:sz w:val="24"/>
          <w:highlight w:val="none"/>
        </w:rPr>
        <w:t>（4）暂列金额及暂估价；</w:t>
      </w:r>
    </w:p>
    <w:p w14:paraId="6625A50F">
      <w:pPr>
        <w:widowControl/>
        <w:snapToGrid w:val="0"/>
        <w:spacing w:line="360" w:lineRule="auto"/>
        <w:ind w:firstLine="480" w:firstLineChars="200"/>
        <w:jc w:val="left"/>
        <w:rPr>
          <w:rFonts w:ascii="宋体" w:hAnsi="宋体"/>
          <w:color w:val="auto"/>
          <w:sz w:val="24"/>
          <w:highlight w:val="none"/>
        </w:rPr>
      </w:pPr>
      <w:r>
        <w:rPr>
          <w:rFonts w:ascii="宋体" w:hAnsi="宋体"/>
          <w:color w:val="auto"/>
          <w:sz w:val="24"/>
          <w:highlight w:val="none"/>
        </w:rPr>
        <w:t>（5）发包人确认的其它费用。</w:t>
      </w:r>
    </w:p>
    <w:p w14:paraId="4D3A0B90">
      <w:pPr>
        <w:widowControl/>
        <w:snapToGrid w:val="0"/>
        <w:spacing w:line="360" w:lineRule="auto"/>
        <w:ind w:firstLine="480" w:firstLineChars="200"/>
        <w:jc w:val="left"/>
        <w:rPr>
          <w:rFonts w:ascii="宋体" w:hAnsi="宋体"/>
          <w:color w:val="auto"/>
          <w:sz w:val="24"/>
          <w:highlight w:val="none"/>
        </w:rPr>
      </w:pPr>
      <w:r>
        <w:rPr>
          <w:rFonts w:ascii="宋体" w:hAnsi="宋体"/>
          <w:color w:val="auto"/>
          <w:sz w:val="24"/>
          <w:highlight w:val="none"/>
        </w:rPr>
        <w:t>16.3工程价款调整</w:t>
      </w:r>
    </w:p>
    <w:p w14:paraId="46DA685B">
      <w:pPr>
        <w:widowControl/>
        <w:snapToGrid w:val="0"/>
        <w:spacing w:line="360" w:lineRule="auto"/>
        <w:ind w:firstLine="480" w:firstLineChars="200"/>
        <w:jc w:val="left"/>
        <w:rPr>
          <w:rFonts w:ascii="宋体" w:hAnsi="宋体"/>
          <w:color w:val="auto"/>
          <w:sz w:val="24"/>
          <w:highlight w:val="none"/>
        </w:rPr>
      </w:pPr>
      <w:r>
        <w:rPr>
          <w:rFonts w:ascii="宋体" w:hAnsi="宋体"/>
          <w:color w:val="auto"/>
          <w:sz w:val="24"/>
          <w:highlight w:val="none"/>
        </w:rPr>
        <w:t>16.3.1本工程以投标截止日前28天为基准值,其后国家的法律、法规、规章和政策发生变化影响工程造价，除一般的规费、税金可按照省级或行业建设主管部分或其授权的造价管理机构发布的规定实际征收及缴纳情况调整合同价款外，其余一律不作调整。</w:t>
      </w:r>
    </w:p>
    <w:p w14:paraId="43E24B1E">
      <w:pPr>
        <w:widowControl/>
        <w:snapToGrid w:val="0"/>
        <w:spacing w:line="360" w:lineRule="auto"/>
        <w:ind w:firstLine="480" w:firstLineChars="200"/>
        <w:jc w:val="left"/>
        <w:rPr>
          <w:rFonts w:ascii="宋体" w:hAnsi="宋体"/>
          <w:color w:val="auto"/>
          <w:sz w:val="24"/>
          <w:highlight w:val="none"/>
        </w:rPr>
      </w:pPr>
      <w:r>
        <w:rPr>
          <w:rFonts w:ascii="宋体" w:hAnsi="宋体"/>
          <w:color w:val="auto"/>
          <w:sz w:val="24"/>
          <w:highlight w:val="none"/>
        </w:rPr>
        <w:t>16.3.2各投标人在投标报价时，应认真仔细核对工程量清单特征描述与设计图纸描述是否一致，如有异议请按招标文件约定答疑时间以书面形式提出，招标人核对后进行调整。施工中出现工程量清单特征描述与设计施工图纸不符或工程量清单描述不全面的，以图纸描述为准，结算时投标人报价将不予调整。竣工结算的工程量按发承包双方在合同中约定应予计量且实际完成并验收合格的工程量和项目确定，完成发包人要求的合同以外的零星工作或发生非承包人责任事件的工程量按现场签证确定。当招标工程量清单出现错误或者工程变更等发包人原因导致工程量清单偏差需要对综合单价应进行调整的，按照以下的计价办法结算：</w:t>
      </w:r>
    </w:p>
    <w:p w14:paraId="5B68927E">
      <w:pPr>
        <w:widowControl/>
        <w:snapToGrid w:val="0"/>
        <w:spacing w:line="360" w:lineRule="auto"/>
        <w:ind w:firstLine="480" w:firstLineChars="200"/>
        <w:jc w:val="left"/>
        <w:rPr>
          <w:rFonts w:ascii="宋体" w:hAnsi="宋体"/>
          <w:color w:val="auto"/>
          <w:sz w:val="24"/>
          <w:highlight w:val="none"/>
        </w:rPr>
      </w:pPr>
      <w:r>
        <w:rPr>
          <w:rFonts w:hint="eastAsia" w:ascii="宋体" w:hAnsi="宋体"/>
          <w:color w:val="auto"/>
          <w:sz w:val="24"/>
          <w:highlight w:val="none"/>
        </w:rPr>
        <w:t>当招标工程量清单出现错误或者工程变更等发包人原因导致工程量清单偏差需要对综合单价应进行调整的，按照以下的计价办法结算：</w:t>
      </w:r>
    </w:p>
    <w:p w14:paraId="55C8C862">
      <w:pPr>
        <w:widowControl/>
        <w:snapToGrid w:val="0"/>
        <w:spacing w:line="360" w:lineRule="auto"/>
        <w:ind w:firstLine="480" w:firstLineChars="200"/>
        <w:jc w:val="left"/>
        <w:rPr>
          <w:rFonts w:ascii="宋体" w:hAnsi="宋体"/>
          <w:color w:val="auto"/>
          <w:sz w:val="24"/>
          <w:highlight w:val="none"/>
        </w:rPr>
      </w:pPr>
      <w:r>
        <w:rPr>
          <w:rFonts w:hint="eastAsia" w:ascii="宋体" w:hAnsi="宋体"/>
          <w:color w:val="auto"/>
          <w:sz w:val="24"/>
          <w:highlight w:val="none"/>
        </w:rPr>
        <w:t>A、当工程因变更（包含增加项目或减少项目）、签证或清单工程量错误等原因导致实际工程量变化时，该项目的单价应按下列方式调整：</w:t>
      </w:r>
    </w:p>
    <w:p w14:paraId="12BC44ED">
      <w:pPr>
        <w:spacing w:line="360" w:lineRule="auto"/>
        <w:ind w:firstLine="480" w:firstLineChars="200"/>
        <w:rPr>
          <w:rFonts w:ascii="宋体" w:hAnsi="宋体"/>
          <w:color w:val="auto"/>
          <w:sz w:val="24"/>
          <w:highlight w:val="none"/>
        </w:rPr>
      </w:pPr>
      <w:r>
        <w:rPr>
          <w:rFonts w:hint="eastAsia" w:ascii="宋体" w:hAnsi="宋体"/>
          <w:color w:val="auto"/>
          <w:sz w:val="24"/>
          <w:highlight w:val="none"/>
        </w:rPr>
        <w:t>①当Q1＞1.15Q0时：  S＝1.15Q0×P0+(Q1－1.15Q0)×P1</w:t>
      </w:r>
    </w:p>
    <w:p w14:paraId="5BACEC19">
      <w:pPr>
        <w:spacing w:line="360" w:lineRule="auto"/>
        <w:ind w:firstLine="480" w:firstLineChars="200"/>
        <w:rPr>
          <w:rFonts w:ascii="宋体" w:hAnsi="宋体"/>
          <w:color w:val="auto"/>
          <w:sz w:val="24"/>
          <w:highlight w:val="none"/>
        </w:rPr>
      </w:pPr>
      <w:r>
        <w:rPr>
          <w:rFonts w:hint="eastAsia" w:ascii="宋体" w:hAnsi="宋体"/>
          <w:color w:val="auto"/>
          <w:sz w:val="24"/>
          <w:highlight w:val="none"/>
        </w:rPr>
        <w:t>②当Q1＜0.85Q0时：  S＝Q1×P1</w:t>
      </w:r>
    </w:p>
    <w:p w14:paraId="13EA572C">
      <w:pPr>
        <w:spacing w:line="360" w:lineRule="auto"/>
        <w:ind w:firstLine="480" w:firstLineChars="200"/>
        <w:rPr>
          <w:rFonts w:ascii="宋体" w:hAnsi="宋体"/>
          <w:color w:val="auto"/>
          <w:sz w:val="24"/>
          <w:highlight w:val="none"/>
        </w:rPr>
      </w:pPr>
      <w:r>
        <w:rPr>
          <w:rFonts w:hint="eastAsia" w:ascii="宋体" w:hAnsi="宋体"/>
          <w:color w:val="auto"/>
          <w:sz w:val="24"/>
          <w:highlight w:val="none"/>
        </w:rPr>
        <w:t xml:space="preserve">式中：S－调整后的某一分部分项工程费结算价；  </w:t>
      </w:r>
    </w:p>
    <w:p w14:paraId="201EEF87">
      <w:pPr>
        <w:spacing w:line="360" w:lineRule="auto"/>
        <w:ind w:firstLine="480" w:firstLineChars="200"/>
        <w:rPr>
          <w:rFonts w:ascii="宋体" w:hAnsi="宋体"/>
          <w:color w:val="auto"/>
          <w:sz w:val="24"/>
          <w:highlight w:val="none"/>
        </w:rPr>
      </w:pPr>
      <w:r>
        <w:rPr>
          <w:rFonts w:hint="eastAsia" w:ascii="宋体" w:hAnsi="宋体"/>
          <w:color w:val="auto"/>
          <w:sz w:val="24"/>
          <w:highlight w:val="none"/>
        </w:rPr>
        <w:t xml:space="preserve">Q1－最终完成的工程量 ；   </w:t>
      </w:r>
    </w:p>
    <w:p w14:paraId="5DD7DEE4">
      <w:pPr>
        <w:spacing w:line="360" w:lineRule="auto"/>
        <w:ind w:firstLine="480" w:firstLineChars="200"/>
        <w:rPr>
          <w:rFonts w:ascii="宋体" w:hAnsi="宋体"/>
          <w:color w:val="auto"/>
          <w:sz w:val="24"/>
          <w:highlight w:val="none"/>
        </w:rPr>
      </w:pPr>
      <w:r>
        <w:rPr>
          <w:rFonts w:hint="eastAsia" w:ascii="宋体" w:hAnsi="宋体"/>
          <w:color w:val="auto"/>
          <w:sz w:val="24"/>
          <w:highlight w:val="none"/>
        </w:rPr>
        <w:t xml:space="preserve">Q0－招标工程量清单中列出的工程量；  </w:t>
      </w:r>
    </w:p>
    <w:p w14:paraId="3D8EAA4B">
      <w:pPr>
        <w:spacing w:line="360" w:lineRule="auto"/>
        <w:ind w:firstLine="480" w:firstLineChars="200"/>
        <w:rPr>
          <w:rFonts w:ascii="宋体" w:hAnsi="宋体"/>
          <w:color w:val="auto"/>
          <w:sz w:val="24"/>
          <w:highlight w:val="none"/>
        </w:rPr>
      </w:pPr>
      <w:r>
        <w:rPr>
          <w:rFonts w:hint="eastAsia" w:ascii="宋体" w:hAnsi="宋体"/>
          <w:color w:val="auto"/>
          <w:sz w:val="24"/>
          <w:highlight w:val="none"/>
        </w:rPr>
        <w:t>P1－按照最终完成工程量重新调整后的综合单价；</w:t>
      </w:r>
    </w:p>
    <w:p w14:paraId="2527D471">
      <w:pPr>
        <w:spacing w:line="360" w:lineRule="auto"/>
        <w:ind w:firstLine="480" w:firstLineChars="200"/>
        <w:rPr>
          <w:rFonts w:ascii="宋体" w:hAnsi="宋体"/>
          <w:color w:val="auto"/>
          <w:sz w:val="24"/>
          <w:highlight w:val="none"/>
        </w:rPr>
      </w:pPr>
      <w:r>
        <w:rPr>
          <w:rFonts w:hint="eastAsia" w:ascii="宋体" w:hAnsi="宋体"/>
          <w:color w:val="auto"/>
          <w:sz w:val="24"/>
          <w:highlight w:val="none"/>
        </w:rPr>
        <w:t>P0－承包人在工程量清单中填报的综合单价。</w:t>
      </w:r>
    </w:p>
    <w:p w14:paraId="040DBAB0">
      <w:pPr>
        <w:spacing w:line="360" w:lineRule="auto"/>
        <w:ind w:firstLine="480" w:firstLineChars="200"/>
        <w:rPr>
          <w:rFonts w:ascii="宋体" w:hAnsi="宋体"/>
          <w:color w:val="auto"/>
          <w:sz w:val="24"/>
          <w:highlight w:val="none"/>
        </w:rPr>
      </w:pPr>
      <w:r>
        <w:rPr>
          <w:rFonts w:hint="eastAsia" w:ascii="宋体" w:hAnsi="宋体"/>
          <w:color w:val="auto"/>
          <w:sz w:val="24"/>
          <w:highlight w:val="none"/>
        </w:rPr>
        <w:t>P1的确定方法如下：</w:t>
      </w:r>
    </w:p>
    <w:p w14:paraId="1DBF97EE">
      <w:pPr>
        <w:spacing w:line="360" w:lineRule="auto"/>
        <w:ind w:firstLine="480" w:firstLineChars="200"/>
        <w:rPr>
          <w:rFonts w:ascii="宋体" w:hAnsi="宋体"/>
          <w:color w:val="auto"/>
          <w:sz w:val="24"/>
          <w:highlight w:val="none"/>
        </w:rPr>
      </w:pPr>
      <w:r>
        <w:rPr>
          <w:rFonts w:hint="eastAsia" w:ascii="宋体" w:hAnsi="宋体"/>
          <w:color w:val="auto"/>
          <w:sz w:val="24"/>
          <w:highlight w:val="none"/>
        </w:rPr>
        <w:t>当P0&lt;P2×（1-L）×（1-15%）时，P1=P2×（1-L）×（1-15%）</w:t>
      </w:r>
    </w:p>
    <w:p w14:paraId="5A343C75">
      <w:pPr>
        <w:spacing w:line="360" w:lineRule="auto"/>
        <w:ind w:firstLine="480" w:firstLineChars="200"/>
        <w:rPr>
          <w:rFonts w:ascii="宋体" w:hAnsi="宋体"/>
          <w:color w:val="auto"/>
          <w:sz w:val="24"/>
          <w:highlight w:val="none"/>
        </w:rPr>
      </w:pPr>
      <w:r>
        <w:rPr>
          <w:rFonts w:hint="eastAsia" w:ascii="宋体" w:hAnsi="宋体"/>
          <w:color w:val="auto"/>
          <w:sz w:val="24"/>
          <w:highlight w:val="none"/>
        </w:rPr>
        <w:t>当P0&gt;P2×（1+15%）时，P1=P2×（1+15%）</w:t>
      </w:r>
    </w:p>
    <w:p w14:paraId="21003AC9">
      <w:pPr>
        <w:spacing w:line="360" w:lineRule="auto"/>
        <w:ind w:firstLine="480" w:firstLineChars="200"/>
        <w:rPr>
          <w:rFonts w:ascii="宋体" w:hAnsi="宋体"/>
          <w:color w:val="auto"/>
          <w:sz w:val="24"/>
          <w:highlight w:val="none"/>
        </w:rPr>
      </w:pPr>
      <w:r>
        <w:rPr>
          <w:rFonts w:hint="eastAsia" w:ascii="宋体" w:hAnsi="宋体"/>
          <w:color w:val="auto"/>
          <w:sz w:val="24"/>
          <w:highlight w:val="none"/>
        </w:rPr>
        <w:t>当P0&gt;P2×（1-L）×（1-15%）或P0&lt;P2×（1+15%）时，可不调整</w:t>
      </w:r>
    </w:p>
    <w:p w14:paraId="20DBE22D">
      <w:pPr>
        <w:spacing w:line="360" w:lineRule="auto"/>
        <w:ind w:firstLine="480" w:firstLineChars="200"/>
        <w:rPr>
          <w:rFonts w:ascii="宋体" w:hAnsi="宋体"/>
          <w:color w:val="auto"/>
          <w:sz w:val="24"/>
          <w:highlight w:val="none"/>
        </w:rPr>
      </w:pPr>
      <w:r>
        <w:rPr>
          <w:rFonts w:hint="eastAsia" w:ascii="宋体" w:hAnsi="宋体"/>
          <w:color w:val="auto"/>
          <w:sz w:val="24"/>
          <w:highlight w:val="none"/>
        </w:rPr>
        <w:t>式中：P0－承包人在工程量清单中填报的综合单价；</w:t>
      </w:r>
    </w:p>
    <w:p w14:paraId="2E8091D2">
      <w:pPr>
        <w:spacing w:line="360" w:lineRule="auto"/>
        <w:ind w:firstLine="480" w:firstLineChars="200"/>
        <w:rPr>
          <w:rFonts w:ascii="宋体" w:hAnsi="宋体"/>
          <w:color w:val="auto"/>
          <w:sz w:val="24"/>
          <w:highlight w:val="none"/>
        </w:rPr>
      </w:pPr>
      <w:r>
        <w:rPr>
          <w:rFonts w:hint="eastAsia" w:ascii="宋体" w:hAnsi="宋体"/>
          <w:color w:val="auto"/>
          <w:sz w:val="24"/>
          <w:highlight w:val="none"/>
        </w:rPr>
        <w:t>P2－发包人招标控制价相应项目的综合单价；</w:t>
      </w:r>
    </w:p>
    <w:p w14:paraId="1566E4FB">
      <w:pPr>
        <w:spacing w:line="360" w:lineRule="auto"/>
        <w:ind w:firstLine="480" w:firstLineChars="200"/>
        <w:rPr>
          <w:rFonts w:ascii="宋体" w:hAnsi="宋体"/>
          <w:color w:val="auto"/>
          <w:sz w:val="24"/>
          <w:highlight w:val="none"/>
        </w:rPr>
      </w:pPr>
      <w:r>
        <w:rPr>
          <w:rFonts w:hint="eastAsia" w:ascii="宋体" w:hAnsi="宋体"/>
          <w:color w:val="auto"/>
          <w:sz w:val="24"/>
          <w:highlight w:val="none"/>
        </w:rPr>
        <w:t>L-承包人报价浮动率[报价浮动率L＝（1－中标价/招标控制价）×100%，中标价、招标控制价须扣除暂估价、暂列金额及相应的规费税金]。</w:t>
      </w:r>
    </w:p>
    <w:p w14:paraId="276B33CC">
      <w:pPr>
        <w:spacing w:line="360" w:lineRule="auto"/>
        <w:ind w:firstLine="480" w:firstLineChars="200"/>
        <w:rPr>
          <w:rFonts w:ascii="宋体" w:hAnsi="宋体"/>
          <w:color w:val="auto"/>
          <w:sz w:val="24"/>
          <w:highlight w:val="none"/>
        </w:rPr>
      </w:pPr>
      <w:r>
        <w:rPr>
          <w:rFonts w:hint="eastAsia" w:ascii="宋体" w:hAnsi="宋体"/>
          <w:color w:val="auto"/>
          <w:sz w:val="24"/>
          <w:highlight w:val="none"/>
        </w:rPr>
        <w:t>B、已标价工程量清单中有适用于变更工程项目的，应采用该项目的单价；已标价工程量清单中没有适用但有类似于变更工程项目的，可在合理范围内参照类似项目的单价。</w:t>
      </w:r>
    </w:p>
    <w:p w14:paraId="56AEDEF1">
      <w:pPr>
        <w:spacing w:line="360" w:lineRule="auto"/>
        <w:ind w:firstLine="480" w:firstLineChars="200"/>
        <w:rPr>
          <w:rFonts w:ascii="宋体" w:hAnsi="宋体"/>
          <w:color w:val="auto"/>
          <w:sz w:val="24"/>
          <w:highlight w:val="none"/>
        </w:rPr>
      </w:pPr>
      <w:r>
        <w:rPr>
          <w:rFonts w:hint="eastAsia" w:ascii="宋体" w:hAnsi="宋体"/>
          <w:color w:val="auto"/>
          <w:sz w:val="24"/>
          <w:highlight w:val="none"/>
        </w:rPr>
        <w:t>C、已标价工程量清单中没有适用也没有类似于变更工程项目的，应由承包人根据变更工程资料、计量规则和按招标控制价编制依据计价×（1-承包人报价浮动率）[报价浮动率L＝（1－中标价/招标控制价）×100%，中标价、招标控制价须扣除暂估价、暂列金额及相应的规费税金]提出变更工程项目的单价，并应报发包人确认后调整。</w:t>
      </w:r>
    </w:p>
    <w:p w14:paraId="0DABA87C">
      <w:pPr>
        <w:spacing w:line="360" w:lineRule="auto"/>
        <w:ind w:firstLine="480" w:firstLineChars="200"/>
        <w:rPr>
          <w:rFonts w:ascii="宋体" w:hAnsi="宋体"/>
          <w:color w:val="auto"/>
          <w:sz w:val="24"/>
          <w:highlight w:val="none"/>
        </w:rPr>
      </w:pPr>
      <w:r>
        <w:rPr>
          <w:rFonts w:hint="eastAsia" w:ascii="宋体" w:hAnsi="宋体"/>
          <w:color w:val="auto"/>
          <w:sz w:val="24"/>
          <w:highlight w:val="none"/>
        </w:rPr>
        <w:t>D、已标价工程量清单中没有适用也没有类似于变更工程项目，且南通市建设工程造价管理处发布的信息价格缺价的，应由承包人根据变更工程资料、计量规则和计价办法和通过市场调查等取得有合法依据的市场价格提出变更工程项目的单价，并应报发包人确认后调整。</w:t>
      </w:r>
    </w:p>
    <w:p w14:paraId="0D6B43DD">
      <w:pPr>
        <w:spacing w:line="360" w:lineRule="auto"/>
        <w:ind w:firstLine="480" w:firstLineChars="200"/>
        <w:rPr>
          <w:rFonts w:ascii="宋体" w:hAnsi="宋体"/>
          <w:color w:val="auto"/>
          <w:sz w:val="24"/>
          <w:highlight w:val="none"/>
        </w:rPr>
      </w:pPr>
      <w:r>
        <w:rPr>
          <w:rFonts w:ascii="宋体" w:hAnsi="宋体"/>
          <w:color w:val="auto"/>
          <w:sz w:val="24"/>
          <w:highlight w:val="none"/>
        </w:rPr>
        <w:t>16.3.3工程变更引起施工方案改变并使措施项目发生变化时，承包人提出调整措施项目费的，应事先将拟实施的方案提交发包人确认，并应详细说明与原方案措施项目相比的变化情况。经发承包双方确认后执行，并按照下列规定调整：安全文明施工费按招标文件规定的费率且以最终核定的结果为准；采用单价计算的措施项目费，应按照实际发生变化的措施项目调整，按上述方法确定单价；按总价（或系数）计算的措施项目费，则一次性包定，结算时不予调整。</w:t>
      </w:r>
    </w:p>
    <w:p w14:paraId="67172C35">
      <w:pPr>
        <w:spacing w:line="360" w:lineRule="auto"/>
        <w:ind w:firstLine="480" w:firstLineChars="200"/>
        <w:rPr>
          <w:rFonts w:ascii="宋体" w:hAnsi="宋体"/>
          <w:color w:val="auto"/>
          <w:sz w:val="24"/>
          <w:highlight w:val="none"/>
        </w:rPr>
      </w:pPr>
      <w:r>
        <w:rPr>
          <w:rFonts w:ascii="宋体" w:hAnsi="宋体"/>
          <w:color w:val="auto"/>
          <w:sz w:val="24"/>
          <w:highlight w:val="none"/>
        </w:rPr>
        <w:t>16.3.4无论市场价格涨跌，本工程材料单价均不予调整。</w:t>
      </w:r>
    </w:p>
    <w:p w14:paraId="7F07CC8F">
      <w:pPr>
        <w:spacing w:line="360" w:lineRule="auto"/>
        <w:outlineLvl w:val="3"/>
        <w:rPr>
          <w:rFonts w:ascii="宋体" w:hAnsi="宋体"/>
          <w:b/>
          <w:color w:val="auto"/>
          <w:kern w:val="0"/>
          <w:sz w:val="24"/>
          <w:highlight w:val="none"/>
        </w:rPr>
      </w:pPr>
      <w:r>
        <w:rPr>
          <w:rFonts w:ascii="宋体" w:hAnsi="宋体"/>
          <w:b/>
          <w:color w:val="auto"/>
          <w:kern w:val="0"/>
          <w:sz w:val="24"/>
          <w:highlight w:val="none"/>
        </w:rPr>
        <w:t>17</w:t>
      </w:r>
      <w:r>
        <w:rPr>
          <w:rFonts w:hint="eastAsia" w:ascii="宋体" w:hAnsi="宋体"/>
          <w:b/>
          <w:color w:val="auto"/>
          <w:kern w:val="0"/>
          <w:sz w:val="24"/>
          <w:highlight w:val="none"/>
        </w:rPr>
        <w:t>.</w:t>
      </w:r>
      <w:r>
        <w:rPr>
          <w:rFonts w:ascii="宋体" w:hAnsi="宋体"/>
          <w:b/>
          <w:color w:val="auto"/>
          <w:kern w:val="0"/>
          <w:sz w:val="24"/>
          <w:highlight w:val="none"/>
        </w:rPr>
        <w:t>投标报价的计价方法</w:t>
      </w:r>
    </w:p>
    <w:p w14:paraId="693F8BF3">
      <w:pPr>
        <w:spacing w:line="360" w:lineRule="auto"/>
        <w:ind w:firstLine="480" w:firstLineChars="200"/>
        <w:rPr>
          <w:rFonts w:ascii="宋体" w:hAnsi="宋体" w:cs="宋体"/>
          <w:b/>
          <w:bCs/>
          <w:color w:val="auto"/>
          <w:sz w:val="24"/>
          <w:highlight w:val="none"/>
        </w:rPr>
      </w:pPr>
      <w:r>
        <w:rPr>
          <w:rFonts w:hint="eastAsia" w:ascii="宋体" w:hAnsi="宋体" w:cs="宋体"/>
          <w:color w:val="auto"/>
          <w:sz w:val="24"/>
          <w:highlight w:val="none"/>
        </w:rPr>
        <w:t>按照国家统一的工程量清单计价规范，配套使用江苏省建筑与装饰、安装工程、市政工程计价定额等(以下简称江苏省计价定额)、费用计算规则和项目指引，由招标人提供工程量</w:t>
      </w:r>
      <w:r>
        <w:rPr>
          <w:rFonts w:hint="eastAsia" w:ascii="宋体" w:hAnsi="宋体" w:cs="宋体"/>
          <w:b/>
          <w:bCs/>
          <w:color w:val="auto"/>
          <w:sz w:val="24"/>
          <w:highlight w:val="none"/>
        </w:rPr>
        <w:t>，投标人自主报价确定工程造价的计价方式。</w:t>
      </w:r>
    </w:p>
    <w:p w14:paraId="45E8C8D0">
      <w:pPr>
        <w:spacing w:line="360" w:lineRule="auto"/>
        <w:outlineLvl w:val="3"/>
        <w:rPr>
          <w:rFonts w:ascii="宋体" w:hAnsi="宋体"/>
          <w:b/>
          <w:color w:val="auto"/>
          <w:kern w:val="0"/>
          <w:sz w:val="24"/>
          <w:highlight w:val="none"/>
        </w:rPr>
      </w:pPr>
      <w:r>
        <w:rPr>
          <w:rFonts w:ascii="宋体" w:hAnsi="宋体"/>
          <w:b/>
          <w:color w:val="auto"/>
          <w:kern w:val="0"/>
          <w:sz w:val="24"/>
          <w:highlight w:val="none"/>
        </w:rPr>
        <w:t>18．招标控制价</w:t>
      </w:r>
    </w:p>
    <w:p w14:paraId="0E6C9DBF">
      <w:pPr>
        <w:spacing w:line="360" w:lineRule="auto"/>
        <w:ind w:firstLine="480" w:firstLineChars="200"/>
        <w:rPr>
          <w:rFonts w:ascii="宋体" w:hAnsi="宋体"/>
          <w:color w:val="auto"/>
          <w:sz w:val="24"/>
          <w:highlight w:val="none"/>
        </w:rPr>
      </w:pPr>
      <w:r>
        <w:rPr>
          <w:rFonts w:ascii="宋体" w:hAnsi="宋体"/>
          <w:color w:val="auto"/>
          <w:sz w:val="24"/>
          <w:highlight w:val="none"/>
        </w:rPr>
        <w:t>18.1本工程全部使用国有资金，实行工程量清单招标，招标人委托编制招标控制价。投标人的投标报价高于招标控制价的，招标人将作废标处理。</w:t>
      </w:r>
    </w:p>
    <w:p w14:paraId="77EC551E">
      <w:pPr>
        <w:spacing w:line="360" w:lineRule="auto"/>
        <w:ind w:firstLine="480" w:firstLineChars="200"/>
        <w:rPr>
          <w:rFonts w:ascii="宋体" w:hAnsi="宋体"/>
          <w:color w:val="auto"/>
          <w:sz w:val="24"/>
          <w:highlight w:val="none"/>
        </w:rPr>
      </w:pPr>
      <w:r>
        <w:rPr>
          <w:rFonts w:ascii="宋体" w:hAnsi="宋体"/>
          <w:color w:val="auto"/>
          <w:sz w:val="24"/>
          <w:highlight w:val="none"/>
        </w:rPr>
        <w:t>18.2招标控制价编制依据</w:t>
      </w:r>
      <w:r>
        <w:rPr>
          <w:rFonts w:hint="eastAsia" w:ascii="宋体" w:hAnsi="宋体"/>
          <w:color w:val="auto"/>
          <w:sz w:val="24"/>
          <w:highlight w:val="none"/>
        </w:rPr>
        <w:t>：</w:t>
      </w:r>
    </w:p>
    <w:p w14:paraId="408A4A99">
      <w:pPr>
        <w:snapToGrid w:val="0"/>
        <w:spacing w:line="360" w:lineRule="auto"/>
        <w:ind w:firstLine="480" w:firstLineChars="200"/>
        <w:rPr>
          <w:rFonts w:ascii="宋体" w:hAnsi="宋体"/>
          <w:bCs/>
          <w:color w:val="auto"/>
          <w:sz w:val="24"/>
          <w:highlight w:val="none"/>
        </w:rPr>
      </w:pPr>
      <w:r>
        <w:rPr>
          <w:rFonts w:ascii="宋体" w:hAnsi="宋体"/>
          <w:bCs/>
          <w:color w:val="auto"/>
          <w:sz w:val="24"/>
          <w:highlight w:val="none"/>
        </w:rPr>
        <w:t>18.2.1</w:t>
      </w:r>
      <w:r>
        <w:rPr>
          <w:rFonts w:hint="eastAsia" w:ascii="宋体" w:hAnsi="宋体"/>
          <w:bCs/>
          <w:color w:val="auto"/>
          <w:sz w:val="24"/>
          <w:highlight w:val="none"/>
        </w:rPr>
        <w:t>本工程招标文件、施工图纸及现有的设计变更、图纸审查意见及回复、招标答疑（如有）等有关技术资料</w:t>
      </w:r>
      <w:r>
        <w:rPr>
          <w:rFonts w:ascii="宋体" w:hAnsi="宋体"/>
          <w:bCs/>
          <w:color w:val="auto"/>
          <w:sz w:val="24"/>
          <w:highlight w:val="none"/>
        </w:rPr>
        <w:t>。</w:t>
      </w:r>
    </w:p>
    <w:p w14:paraId="145C9C3D">
      <w:pPr>
        <w:snapToGrid w:val="0"/>
        <w:spacing w:line="360" w:lineRule="auto"/>
        <w:ind w:firstLine="480" w:firstLineChars="200"/>
        <w:rPr>
          <w:rFonts w:ascii="宋体" w:hAnsi="宋体"/>
          <w:bCs/>
          <w:color w:val="auto"/>
          <w:sz w:val="24"/>
          <w:highlight w:val="none"/>
        </w:rPr>
      </w:pPr>
      <w:r>
        <w:rPr>
          <w:rFonts w:ascii="宋体" w:hAnsi="宋体"/>
          <w:bCs/>
          <w:color w:val="auto"/>
          <w:kern w:val="0"/>
          <w:sz w:val="24"/>
          <w:highlight w:val="none"/>
        </w:rPr>
        <w:t xml:space="preserve">18.2.2 </w:t>
      </w:r>
      <w:r>
        <w:rPr>
          <w:rFonts w:ascii="宋体" w:hAnsi="宋体"/>
          <w:bCs/>
          <w:color w:val="auto"/>
          <w:sz w:val="24"/>
          <w:highlight w:val="none"/>
        </w:rPr>
        <w:t>《建设工程工程量清单计价规范》 (GB50500-2013)</w:t>
      </w:r>
      <w:r>
        <w:rPr>
          <w:rFonts w:hint="eastAsia" w:ascii="宋体" w:hAnsi="宋体"/>
          <w:bCs/>
          <w:color w:val="auto"/>
          <w:sz w:val="24"/>
          <w:highlight w:val="none"/>
        </w:rPr>
        <w:t>及配套的工程量清单计算规范</w:t>
      </w:r>
      <w:r>
        <w:rPr>
          <w:rFonts w:ascii="宋体" w:hAnsi="宋体"/>
          <w:bCs/>
          <w:color w:val="auto"/>
          <w:sz w:val="24"/>
          <w:highlight w:val="none"/>
        </w:rPr>
        <w:t>、</w:t>
      </w:r>
      <w:r>
        <w:rPr>
          <w:rFonts w:hint="eastAsia" w:ascii="宋体" w:hAnsi="宋体"/>
          <w:bCs/>
          <w:color w:val="auto"/>
          <w:sz w:val="24"/>
          <w:highlight w:val="none"/>
        </w:rPr>
        <w:t>《江苏省建筑与装饰工程计价定额》2014年版</w:t>
      </w:r>
      <w:r>
        <w:rPr>
          <w:rFonts w:ascii="宋体" w:hAnsi="宋体"/>
          <w:bCs/>
          <w:color w:val="auto"/>
          <w:sz w:val="24"/>
          <w:highlight w:val="none"/>
        </w:rPr>
        <w:t>、</w:t>
      </w:r>
      <w:r>
        <w:rPr>
          <w:rFonts w:hint="eastAsia" w:ascii="宋体" w:hAnsi="宋体"/>
          <w:bCs/>
          <w:color w:val="auto"/>
          <w:sz w:val="24"/>
          <w:highlight w:val="none"/>
        </w:rPr>
        <w:t>《通用安装工程工程量计算规范》（GB50856-2013）、《江苏省安装工程计价定额》（2014年版）、</w:t>
      </w:r>
      <w:r>
        <w:rPr>
          <w:rFonts w:ascii="宋体" w:hAnsi="宋体"/>
          <w:bCs/>
          <w:color w:val="auto"/>
          <w:sz w:val="24"/>
          <w:highlight w:val="none"/>
        </w:rPr>
        <w:t>《江苏省建设工程费用定额》2014年版等国家或省级、行业建设主管部门颁发的计价办法</w:t>
      </w:r>
      <w:r>
        <w:rPr>
          <w:rFonts w:hint="eastAsia" w:ascii="宋体" w:hAnsi="宋体"/>
          <w:bCs/>
          <w:color w:val="auto"/>
          <w:sz w:val="24"/>
          <w:highlight w:val="none"/>
        </w:rPr>
        <w:t>，</w:t>
      </w:r>
      <w:r>
        <w:rPr>
          <w:rFonts w:ascii="宋体" w:hAnsi="宋体"/>
          <w:color w:val="auto"/>
          <w:sz w:val="24"/>
          <w:highlight w:val="none"/>
        </w:rPr>
        <w:t>江苏省、</w:t>
      </w:r>
      <w:r>
        <w:rPr>
          <w:rFonts w:hint="eastAsia" w:ascii="宋体" w:hAnsi="宋体"/>
          <w:color w:val="auto"/>
          <w:sz w:val="24"/>
          <w:highlight w:val="none"/>
        </w:rPr>
        <w:t>南通</w:t>
      </w:r>
      <w:r>
        <w:rPr>
          <w:rFonts w:ascii="宋体" w:hAnsi="宋体"/>
          <w:color w:val="auto"/>
          <w:sz w:val="24"/>
          <w:highlight w:val="none"/>
        </w:rPr>
        <w:t>市现行的</w:t>
      </w:r>
      <w:r>
        <w:rPr>
          <w:rFonts w:hint="eastAsia" w:ascii="宋体" w:hAnsi="宋体"/>
          <w:color w:val="auto"/>
          <w:sz w:val="24"/>
          <w:highlight w:val="none"/>
        </w:rPr>
        <w:t>其它</w:t>
      </w:r>
      <w:r>
        <w:rPr>
          <w:rFonts w:ascii="宋体" w:hAnsi="宋体"/>
          <w:color w:val="auto"/>
          <w:sz w:val="24"/>
          <w:highlight w:val="none"/>
        </w:rPr>
        <w:t>计价文件</w:t>
      </w:r>
      <w:r>
        <w:rPr>
          <w:rFonts w:ascii="宋体" w:hAnsi="宋体"/>
          <w:bCs/>
          <w:color w:val="auto"/>
          <w:sz w:val="24"/>
          <w:highlight w:val="none"/>
        </w:rPr>
        <w:t>。</w:t>
      </w:r>
    </w:p>
    <w:p w14:paraId="3FE27CAB">
      <w:pPr>
        <w:snapToGrid w:val="0"/>
        <w:spacing w:line="360" w:lineRule="auto"/>
        <w:ind w:firstLine="480" w:firstLineChars="200"/>
        <w:rPr>
          <w:rFonts w:ascii="宋体" w:hAnsi="宋体"/>
          <w:bCs/>
          <w:color w:val="auto"/>
          <w:sz w:val="24"/>
          <w:highlight w:val="none"/>
        </w:rPr>
      </w:pPr>
      <w:r>
        <w:rPr>
          <w:rFonts w:ascii="宋体" w:hAnsi="宋体"/>
          <w:bCs/>
          <w:color w:val="auto"/>
          <w:sz w:val="24"/>
          <w:highlight w:val="none"/>
        </w:rPr>
        <w:t>18.2.3人工工资执行《</w:t>
      </w:r>
      <w:r>
        <w:rPr>
          <w:rFonts w:hint="eastAsia" w:ascii="宋体" w:hAnsi="宋体"/>
          <w:bCs/>
          <w:color w:val="auto"/>
          <w:sz w:val="24"/>
          <w:highlight w:val="none"/>
        </w:rPr>
        <w:t>省住房和城乡建设厅关于发布2024年下半年建设工程人工工资指导价的通知</w:t>
      </w:r>
      <w:r>
        <w:rPr>
          <w:rFonts w:ascii="宋体" w:hAnsi="宋体"/>
          <w:bCs/>
          <w:color w:val="auto"/>
          <w:sz w:val="24"/>
          <w:highlight w:val="none"/>
        </w:rPr>
        <w:t>》（</w:t>
      </w:r>
      <w:r>
        <w:rPr>
          <w:rFonts w:hint="eastAsia" w:ascii="宋体" w:hAnsi="宋体"/>
          <w:bCs/>
          <w:color w:val="auto"/>
          <w:sz w:val="24"/>
          <w:highlight w:val="none"/>
        </w:rPr>
        <w:t>苏建函价〔2024〕</w:t>
      </w:r>
      <w:r>
        <w:rPr>
          <w:rFonts w:ascii="宋体" w:hAnsi="宋体"/>
          <w:bCs/>
          <w:color w:val="auto"/>
          <w:sz w:val="24"/>
          <w:highlight w:val="none"/>
        </w:rPr>
        <w:t>348</w:t>
      </w:r>
      <w:r>
        <w:rPr>
          <w:rFonts w:hint="eastAsia" w:ascii="宋体" w:hAnsi="宋体"/>
          <w:bCs/>
          <w:color w:val="auto"/>
          <w:sz w:val="24"/>
          <w:highlight w:val="none"/>
        </w:rPr>
        <w:t>号</w:t>
      </w:r>
      <w:r>
        <w:rPr>
          <w:rFonts w:ascii="宋体" w:hAnsi="宋体"/>
          <w:bCs/>
          <w:color w:val="auto"/>
          <w:sz w:val="24"/>
          <w:highlight w:val="none"/>
        </w:rPr>
        <w:t>）</w:t>
      </w:r>
      <w:r>
        <w:rPr>
          <w:rFonts w:hint="eastAsia" w:ascii="宋体" w:hAnsi="宋体"/>
          <w:bCs/>
          <w:color w:val="auto"/>
          <w:sz w:val="24"/>
          <w:highlight w:val="none"/>
        </w:rPr>
        <w:t>，材料价格参考《南通建设工程造价信息》</w:t>
      </w:r>
      <w:r>
        <w:rPr>
          <w:rFonts w:hint="eastAsia" w:ascii="宋体" w:hAnsi="宋体"/>
          <w:bCs/>
          <w:color w:val="auto"/>
          <w:sz w:val="24"/>
          <w:highlight w:val="none"/>
        </w:rPr>
        <w:t>2024年第11期</w:t>
      </w:r>
      <w:r>
        <w:rPr>
          <w:rFonts w:hint="eastAsia" w:ascii="宋体" w:hAnsi="宋体"/>
          <w:bCs/>
          <w:color w:val="auto"/>
          <w:sz w:val="24"/>
          <w:highlight w:val="none"/>
        </w:rPr>
        <w:t>。</w:t>
      </w:r>
    </w:p>
    <w:p w14:paraId="6ED581E9">
      <w:pPr>
        <w:snapToGrid w:val="0"/>
        <w:spacing w:line="360" w:lineRule="auto"/>
        <w:ind w:firstLine="480" w:firstLineChars="200"/>
        <w:rPr>
          <w:rFonts w:ascii="宋体" w:hAnsi="宋体"/>
          <w:bCs/>
          <w:color w:val="auto"/>
          <w:sz w:val="24"/>
          <w:highlight w:val="none"/>
        </w:rPr>
      </w:pPr>
      <w:r>
        <w:rPr>
          <w:rFonts w:ascii="宋体" w:hAnsi="宋体"/>
          <w:bCs/>
          <w:color w:val="auto"/>
          <w:sz w:val="24"/>
          <w:highlight w:val="none"/>
        </w:rPr>
        <w:t>18.2.4本工程采用一般计税方法，具体按</w:t>
      </w:r>
      <w:r>
        <w:rPr>
          <w:rFonts w:hint="eastAsia" w:ascii="宋体" w:hAnsi="宋体"/>
          <w:bCs/>
          <w:color w:val="auto"/>
          <w:sz w:val="24"/>
          <w:highlight w:val="none"/>
        </w:rPr>
        <w:t>《省住房和城乡建设厅关于建筑业实施营改增后江苏省建设工程计价依据调整的通知》(苏建价[2016]154号)、《</w:t>
      </w:r>
      <w:r>
        <w:rPr>
          <w:rFonts w:ascii="宋体" w:hAnsi="宋体"/>
          <w:bCs/>
          <w:color w:val="auto"/>
          <w:sz w:val="24"/>
          <w:highlight w:val="none"/>
        </w:rPr>
        <w:t>省住房城乡建设厅关于调整建设工程计价增值税税率的通知</w:t>
      </w:r>
      <w:r>
        <w:rPr>
          <w:rFonts w:hint="eastAsia" w:ascii="宋体" w:hAnsi="宋体"/>
          <w:bCs/>
          <w:color w:val="auto"/>
          <w:sz w:val="24"/>
          <w:highlight w:val="none"/>
        </w:rPr>
        <w:t>》苏建函价〔</w:t>
      </w:r>
      <w:r>
        <w:rPr>
          <w:rFonts w:ascii="宋体" w:hAnsi="宋体"/>
          <w:bCs/>
          <w:color w:val="auto"/>
          <w:sz w:val="24"/>
          <w:highlight w:val="none"/>
        </w:rPr>
        <w:t>2019</w:t>
      </w:r>
      <w:r>
        <w:rPr>
          <w:rFonts w:hint="eastAsia" w:ascii="宋体" w:hAnsi="宋体"/>
          <w:bCs/>
          <w:color w:val="auto"/>
          <w:sz w:val="24"/>
          <w:highlight w:val="none"/>
        </w:rPr>
        <w:t>〕</w:t>
      </w:r>
      <w:r>
        <w:rPr>
          <w:rFonts w:ascii="宋体" w:hAnsi="宋体"/>
          <w:bCs/>
          <w:color w:val="auto"/>
          <w:sz w:val="24"/>
          <w:highlight w:val="none"/>
        </w:rPr>
        <w:t>178</w:t>
      </w:r>
      <w:r>
        <w:rPr>
          <w:rFonts w:hint="eastAsia" w:ascii="宋体" w:hAnsi="宋体"/>
          <w:bCs/>
          <w:color w:val="auto"/>
          <w:sz w:val="24"/>
          <w:highlight w:val="none"/>
        </w:rPr>
        <w:t>号</w:t>
      </w:r>
      <w:r>
        <w:rPr>
          <w:rFonts w:ascii="宋体" w:hAnsi="宋体"/>
          <w:bCs/>
          <w:color w:val="auto"/>
          <w:sz w:val="24"/>
          <w:highlight w:val="none"/>
        </w:rPr>
        <w:t>文相关要求执行。</w:t>
      </w:r>
    </w:p>
    <w:p w14:paraId="0FE5C707">
      <w:pPr>
        <w:snapToGrid w:val="0"/>
        <w:spacing w:line="360" w:lineRule="auto"/>
        <w:ind w:firstLine="480" w:firstLineChars="200"/>
        <w:rPr>
          <w:rFonts w:ascii="宋体" w:hAnsi="宋体"/>
          <w:b/>
          <w:color w:val="auto"/>
          <w:sz w:val="24"/>
          <w:highlight w:val="none"/>
        </w:rPr>
      </w:pPr>
      <w:r>
        <w:rPr>
          <w:rFonts w:ascii="宋体" w:hAnsi="宋体"/>
          <w:bCs/>
          <w:color w:val="auto"/>
          <w:sz w:val="24"/>
          <w:highlight w:val="none"/>
        </w:rPr>
        <w:t>18.2.5本工程不可竞争费用项目及其费率见下表</w:t>
      </w:r>
      <w:r>
        <w:rPr>
          <w:rFonts w:hint="eastAsia" w:ascii="宋体" w:hAnsi="宋体"/>
          <w:bCs/>
          <w:color w:val="auto"/>
          <w:sz w:val="24"/>
          <w:highlight w:val="none"/>
        </w:rPr>
        <w:t>(%)</w:t>
      </w:r>
      <w:r>
        <w:rPr>
          <w:rFonts w:ascii="宋体" w:hAnsi="宋体"/>
          <w:bCs/>
          <w:color w:val="auto"/>
          <w:sz w:val="24"/>
          <w:highlight w:val="none"/>
        </w:rPr>
        <w:t xml:space="preserve">： </w:t>
      </w:r>
    </w:p>
    <w:tbl>
      <w:tblPr>
        <w:tblStyle w:val="17"/>
        <w:tblW w:w="8931" w:type="dxa"/>
        <w:tblInd w:w="108" w:type="dxa"/>
        <w:tblLayout w:type="fixed"/>
        <w:tblCellMar>
          <w:top w:w="0" w:type="dxa"/>
          <w:left w:w="108" w:type="dxa"/>
          <w:bottom w:w="0" w:type="dxa"/>
          <w:right w:w="108" w:type="dxa"/>
        </w:tblCellMar>
      </w:tblPr>
      <w:tblGrid>
        <w:gridCol w:w="731"/>
        <w:gridCol w:w="1462"/>
        <w:gridCol w:w="2769"/>
        <w:gridCol w:w="1842"/>
        <w:gridCol w:w="2127"/>
      </w:tblGrid>
      <w:tr w14:paraId="68153B24">
        <w:tblPrEx>
          <w:tblCellMar>
            <w:top w:w="0" w:type="dxa"/>
            <w:left w:w="108" w:type="dxa"/>
            <w:bottom w:w="0" w:type="dxa"/>
            <w:right w:w="108" w:type="dxa"/>
          </w:tblCellMar>
        </w:tblPrEx>
        <w:trPr>
          <w:trHeight w:val="564" w:hRule="atLeast"/>
        </w:trPr>
        <w:tc>
          <w:tcPr>
            <w:tcW w:w="731" w:type="dxa"/>
            <w:tcBorders>
              <w:top w:val="single" w:color="auto" w:sz="4" w:space="0"/>
              <w:left w:val="single" w:color="auto" w:sz="4" w:space="0"/>
              <w:bottom w:val="single" w:color="auto" w:sz="4" w:space="0"/>
              <w:right w:val="single" w:color="auto" w:sz="4" w:space="0"/>
            </w:tcBorders>
            <w:vAlign w:val="center"/>
          </w:tcPr>
          <w:p w14:paraId="7D1102EC">
            <w:pPr>
              <w:tabs>
                <w:tab w:val="left" w:pos="2410"/>
              </w:tabs>
              <w:spacing w:line="360" w:lineRule="auto"/>
              <w:jc w:val="center"/>
              <w:rPr>
                <w:rFonts w:ascii="宋体" w:hAnsi="宋体" w:cs="宋体"/>
                <w:bCs/>
                <w:color w:val="auto"/>
                <w:sz w:val="24"/>
                <w:highlight w:val="none"/>
              </w:rPr>
            </w:pPr>
            <w:r>
              <w:rPr>
                <w:rFonts w:hint="eastAsia" w:ascii="宋体" w:hAnsi="宋体" w:cs="宋体"/>
                <w:bCs/>
                <w:color w:val="auto"/>
                <w:sz w:val="24"/>
                <w:highlight w:val="none"/>
              </w:rPr>
              <w:t>序号</w:t>
            </w:r>
          </w:p>
        </w:tc>
        <w:tc>
          <w:tcPr>
            <w:tcW w:w="1462" w:type="dxa"/>
            <w:tcBorders>
              <w:top w:val="single" w:color="auto" w:sz="4" w:space="0"/>
              <w:left w:val="single" w:color="auto" w:sz="4" w:space="0"/>
              <w:bottom w:val="single" w:color="auto" w:sz="4" w:space="0"/>
              <w:right w:val="single" w:color="auto" w:sz="4" w:space="0"/>
            </w:tcBorders>
            <w:vAlign w:val="center"/>
          </w:tcPr>
          <w:p w14:paraId="10AA1E75">
            <w:pPr>
              <w:tabs>
                <w:tab w:val="left" w:pos="2410"/>
              </w:tabs>
              <w:spacing w:line="360" w:lineRule="auto"/>
              <w:jc w:val="center"/>
              <w:rPr>
                <w:rFonts w:ascii="宋体" w:hAnsi="宋体" w:cs="宋体"/>
                <w:bCs/>
                <w:color w:val="auto"/>
                <w:sz w:val="24"/>
                <w:highlight w:val="none"/>
              </w:rPr>
            </w:pPr>
            <w:r>
              <w:rPr>
                <w:rFonts w:hint="eastAsia" w:ascii="宋体" w:hAnsi="宋体" w:cs="宋体"/>
                <w:bCs/>
                <w:color w:val="auto"/>
                <w:sz w:val="24"/>
                <w:highlight w:val="none"/>
              </w:rPr>
              <w:t>费用类别</w:t>
            </w:r>
          </w:p>
        </w:tc>
        <w:tc>
          <w:tcPr>
            <w:tcW w:w="2769" w:type="dxa"/>
            <w:tcBorders>
              <w:top w:val="single" w:color="auto" w:sz="4" w:space="0"/>
              <w:left w:val="single" w:color="auto" w:sz="4" w:space="0"/>
              <w:bottom w:val="single" w:color="auto" w:sz="4" w:space="0"/>
              <w:right w:val="single" w:color="auto" w:sz="4" w:space="0"/>
            </w:tcBorders>
            <w:vAlign w:val="center"/>
          </w:tcPr>
          <w:p w14:paraId="695F38C1">
            <w:pPr>
              <w:tabs>
                <w:tab w:val="left" w:pos="2410"/>
              </w:tabs>
              <w:spacing w:line="360" w:lineRule="auto"/>
              <w:jc w:val="center"/>
              <w:rPr>
                <w:rFonts w:ascii="宋体" w:hAnsi="宋体" w:cs="宋体"/>
                <w:bCs/>
                <w:color w:val="auto"/>
                <w:sz w:val="24"/>
                <w:highlight w:val="none"/>
              </w:rPr>
            </w:pPr>
            <w:r>
              <w:rPr>
                <w:rFonts w:hint="eastAsia" w:ascii="宋体" w:hAnsi="宋体" w:cs="宋体"/>
                <w:bCs/>
                <w:color w:val="auto"/>
                <w:sz w:val="24"/>
                <w:highlight w:val="none"/>
              </w:rPr>
              <w:t>费用名称</w:t>
            </w:r>
          </w:p>
        </w:tc>
        <w:tc>
          <w:tcPr>
            <w:tcW w:w="1842" w:type="dxa"/>
            <w:tcBorders>
              <w:top w:val="single" w:color="auto" w:sz="4" w:space="0"/>
              <w:left w:val="single" w:color="auto" w:sz="4" w:space="0"/>
              <w:bottom w:val="single" w:color="auto" w:sz="4" w:space="0"/>
              <w:right w:val="single" w:color="auto" w:sz="4" w:space="0"/>
            </w:tcBorders>
            <w:vAlign w:val="center"/>
          </w:tcPr>
          <w:p w14:paraId="0511448B">
            <w:pPr>
              <w:tabs>
                <w:tab w:val="left" w:pos="2410"/>
              </w:tabs>
              <w:spacing w:line="360" w:lineRule="auto"/>
              <w:jc w:val="center"/>
              <w:rPr>
                <w:rFonts w:ascii="宋体" w:hAnsi="宋体" w:cs="宋体"/>
                <w:bCs/>
                <w:color w:val="auto"/>
                <w:sz w:val="24"/>
                <w:highlight w:val="none"/>
              </w:rPr>
            </w:pPr>
            <w:r>
              <w:rPr>
                <w:rFonts w:hint="eastAsia" w:ascii="宋体" w:hAnsi="宋体" w:cs="宋体"/>
                <w:bCs/>
                <w:color w:val="auto"/>
                <w:sz w:val="24"/>
                <w:highlight w:val="none"/>
              </w:rPr>
              <w:t>计费基数</w:t>
            </w:r>
          </w:p>
        </w:tc>
        <w:tc>
          <w:tcPr>
            <w:tcW w:w="2127" w:type="dxa"/>
            <w:tcBorders>
              <w:top w:val="single" w:color="auto" w:sz="4" w:space="0"/>
              <w:left w:val="single" w:color="auto" w:sz="4" w:space="0"/>
              <w:bottom w:val="single" w:color="auto" w:sz="4" w:space="0"/>
              <w:right w:val="single" w:color="auto" w:sz="4" w:space="0"/>
            </w:tcBorders>
            <w:vAlign w:val="center"/>
          </w:tcPr>
          <w:p w14:paraId="027F48B7">
            <w:pPr>
              <w:tabs>
                <w:tab w:val="left" w:pos="2410"/>
              </w:tabs>
              <w:spacing w:line="360" w:lineRule="auto"/>
              <w:jc w:val="center"/>
              <w:rPr>
                <w:rFonts w:ascii="宋体" w:hAnsi="宋体" w:cs="宋体"/>
                <w:bCs/>
                <w:color w:val="auto"/>
                <w:sz w:val="24"/>
                <w:highlight w:val="none"/>
              </w:rPr>
            </w:pPr>
            <w:r>
              <w:rPr>
                <w:rFonts w:hint="eastAsia" w:ascii="宋体" w:hAnsi="宋体" w:cs="宋体"/>
                <w:bCs/>
                <w:color w:val="auto"/>
                <w:sz w:val="24"/>
                <w:highlight w:val="none"/>
              </w:rPr>
              <w:t>安装（%）</w:t>
            </w:r>
          </w:p>
        </w:tc>
      </w:tr>
      <w:tr w14:paraId="7AAD0B30">
        <w:tblPrEx>
          <w:tblCellMar>
            <w:top w:w="0" w:type="dxa"/>
            <w:left w:w="108" w:type="dxa"/>
            <w:bottom w:w="0" w:type="dxa"/>
            <w:right w:w="108" w:type="dxa"/>
          </w:tblCellMar>
        </w:tblPrEx>
        <w:trPr>
          <w:trHeight w:val="512" w:hRule="atLeast"/>
        </w:trPr>
        <w:tc>
          <w:tcPr>
            <w:tcW w:w="731" w:type="dxa"/>
            <w:tcBorders>
              <w:top w:val="single" w:color="auto" w:sz="4" w:space="0"/>
              <w:left w:val="single" w:color="auto" w:sz="4" w:space="0"/>
              <w:bottom w:val="single" w:color="auto" w:sz="4" w:space="0"/>
              <w:right w:val="single" w:color="auto" w:sz="4" w:space="0"/>
            </w:tcBorders>
            <w:vAlign w:val="center"/>
          </w:tcPr>
          <w:p w14:paraId="118AC9CC">
            <w:pPr>
              <w:tabs>
                <w:tab w:val="left" w:pos="2410"/>
              </w:tabs>
              <w:spacing w:line="360" w:lineRule="auto"/>
              <w:jc w:val="center"/>
              <w:rPr>
                <w:rFonts w:ascii="宋体" w:hAnsi="宋体" w:cs="宋体"/>
                <w:bCs/>
                <w:color w:val="auto"/>
                <w:sz w:val="24"/>
                <w:highlight w:val="none"/>
              </w:rPr>
            </w:pPr>
            <w:r>
              <w:rPr>
                <w:rFonts w:hint="eastAsia" w:ascii="宋体" w:hAnsi="宋体" w:cs="宋体"/>
                <w:bCs/>
                <w:color w:val="auto"/>
                <w:sz w:val="24"/>
                <w:highlight w:val="none"/>
              </w:rPr>
              <w:t>1</w:t>
            </w:r>
          </w:p>
        </w:tc>
        <w:tc>
          <w:tcPr>
            <w:tcW w:w="1462" w:type="dxa"/>
            <w:vMerge w:val="restart"/>
            <w:tcBorders>
              <w:top w:val="single" w:color="auto" w:sz="4" w:space="0"/>
              <w:left w:val="single" w:color="auto" w:sz="4" w:space="0"/>
              <w:bottom w:val="single" w:color="auto" w:sz="4" w:space="0"/>
              <w:right w:val="single" w:color="auto" w:sz="4" w:space="0"/>
            </w:tcBorders>
            <w:vAlign w:val="center"/>
          </w:tcPr>
          <w:p w14:paraId="146C48F1">
            <w:pPr>
              <w:tabs>
                <w:tab w:val="left" w:pos="2410"/>
              </w:tabs>
              <w:spacing w:line="360" w:lineRule="auto"/>
              <w:jc w:val="center"/>
              <w:rPr>
                <w:rFonts w:ascii="宋体" w:hAnsi="宋体" w:cs="宋体"/>
                <w:bCs/>
                <w:color w:val="auto"/>
                <w:sz w:val="24"/>
                <w:highlight w:val="none"/>
              </w:rPr>
            </w:pPr>
            <w:r>
              <w:rPr>
                <w:rFonts w:hint="eastAsia" w:ascii="宋体" w:hAnsi="宋体" w:cs="宋体"/>
                <w:bCs/>
                <w:color w:val="auto"/>
                <w:sz w:val="24"/>
                <w:highlight w:val="none"/>
              </w:rPr>
              <w:t>规费</w:t>
            </w:r>
          </w:p>
        </w:tc>
        <w:tc>
          <w:tcPr>
            <w:tcW w:w="2769" w:type="dxa"/>
            <w:tcBorders>
              <w:top w:val="single" w:color="auto" w:sz="4" w:space="0"/>
              <w:left w:val="single" w:color="auto" w:sz="4" w:space="0"/>
              <w:bottom w:val="single" w:color="auto" w:sz="4" w:space="0"/>
              <w:right w:val="single" w:color="auto" w:sz="4" w:space="0"/>
            </w:tcBorders>
            <w:vAlign w:val="center"/>
          </w:tcPr>
          <w:p w14:paraId="1936F103">
            <w:pPr>
              <w:tabs>
                <w:tab w:val="left" w:pos="2410"/>
              </w:tabs>
              <w:spacing w:line="360" w:lineRule="auto"/>
              <w:jc w:val="center"/>
              <w:rPr>
                <w:rFonts w:ascii="宋体" w:hAnsi="宋体" w:cs="宋体"/>
                <w:bCs/>
                <w:color w:val="auto"/>
                <w:sz w:val="24"/>
                <w:highlight w:val="none"/>
              </w:rPr>
            </w:pPr>
            <w:r>
              <w:rPr>
                <w:rFonts w:hint="eastAsia" w:ascii="宋体" w:hAnsi="宋体" w:cs="宋体"/>
                <w:bCs/>
                <w:color w:val="auto"/>
                <w:sz w:val="24"/>
                <w:highlight w:val="none"/>
              </w:rPr>
              <w:t>社会保险费</w:t>
            </w:r>
          </w:p>
        </w:tc>
        <w:tc>
          <w:tcPr>
            <w:tcW w:w="1842" w:type="dxa"/>
            <w:tcBorders>
              <w:top w:val="single" w:color="auto" w:sz="4" w:space="0"/>
              <w:left w:val="single" w:color="auto" w:sz="4" w:space="0"/>
              <w:bottom w:val="single" w:color="auto" w:sz="4" w:space="0"/>
              <w:right w:val="single" w:color="auto" w:sz="4" w:space="0"/>
            </w:tcBorders>
            <w:vAlign w:val="center"/>
          </w:tcPr>
          <w:p w14:paraId="6BC8C10D">
            <w:pPr>
              <w:tabs>
                <w:tab w:val="left" w:pos="2410"/>
              </w:tabs>
              <w:spacing w:line="360" w:lineRule="auto"/>
              <w:jc w:val="center"/>
              <w:rPr>
                <w:rFonts w:ascii="宋体" w:hAnsi="宋体" w:cs="宋体"/>
                <w:bCs/>
                <w:color w:val="auto"/>
                <w:sz w:val="24"/>
                <w:highlight w:val="none"/>
              </w:rPr>
            </w:pPr>
            <w:r>
              <w:rPr>
                <w:rFonts w:hint="eastAsia" w:ascii="宋体" w:hAnsi="宋体" w:cs="宋体"/>
                <w:bCs/>
                <w:color w:val="auto"/>
                <w:sz w:val="24"/>
                <w:highlight w:val="none"/>
              </w:rPr>
              <w:t>A+B+C-D</w:t>
            </w:r>
          </w:p>
        </w:tc>
        <w:tc>
          <w:tcPr>
            <w:tcW w:w="2127" w:type="dxa"/>
            <w:tcBorders>
              <w:top w:val="single" w:color="auto" w:sz="4" w:space="0"/>
              <w:left w:val="single" w:color="auto" w:sz="4" w:space="0"/>
              <w:bottom w:val="single" w:color="auto" w:sz="4" w:space="0"/>
              <w:right w:val="single" w:color="auto" w:sz="4" w:space="0"/>
            </w:tcBorders>
            <w:vAlign w:val="center"/>
          </w:tcPr>
          <w:p w14:paraId="0FA2FC12">
            <w:pPr>
              <w:tabs>
                <w:tab w:val="left" w:pos="2410"/>
              </w:tabs>
              <w:spacing w:line="360" w:lineRule="auto"/>
              <w:jc w:val="center"/>
              <w:rPr>
                <w:rFonts w:ascii="宋体" w:hAnsi="宋体" w:cs="宋体"/>
                <w:bCs/>
                <w:color w:val="auto"/>
                <w:sz w:val="24"/>
                <w:highlight w:val="none"/>
              </w:rPr>
            </w:pPr>
            <w:r>
              <w:rPr>
                <w:rFonts w:hint="eastAsia" w:ascii="宋体" w:hAnsi="宋体" w:cs="宋体"/>
                <w:bCs/>
                <w:color w:val="auto"/>
                <w:sz w:val="24"/>
                <w:highlight w:val="none"/>
              </w:rPr>
              <w:t>2.40</w:t>
            </w:r>
          </w:p>
        </w:tc>
      </w:tr>
      <w:tr w14:paraId="2FEBCD46">
        <w:tblPrEx>
          <w:tblCellMar>
            <w:top w:w="0" w:type="dxa"/>
            <w:left w:w="108" w:type="dxa"/>
            <w:bottom w:w="0" w:type="dxa"/>
            <w:right w:w="108" w:type="dxa"/>
          </w:tblCellMar>
        </w:tblPrEx>
        <w:trPr>
          <w:trHeight w:val="512" w:hRule="atLeast"/>
        </w:trPr>
        <w:tc>
          <w:tcPr>
            <w:tcW w:w="731" w:type="dxa"/>
            <w:tcBorders>
              <w:top w:val="single" w:color="auto" w:sz="4" w:space="0"/>
              <w:left w:val="single" w:color="auto" w:sz="4" w:space="0"/>
              <w:bottom w:val="single" w:color="auto" w:sz="4" w:space="0"/>
              <w:right w:val="single" w:color="auto" w:sz="4" w:space="0"/>
            </w:tcBorders>
            <w:vAlign w:val="center"/>
          </w:tcPr>
          <w:p w14:paraId="5B9329AC">
            <w:pPr>
              <w:tabs>
                <w:tab w:val="left" w:pos="2410"/>
              </w:tabs>
              <w:spacing w:line="360" w:lineRule="auto"/>
              <w:jc w:val="center"/>
              <w:rPr>
                <w:rFonts w:ascii="宋体" w:hAnsi="宋体" w:cs="宋体"/>
                <w:bCs/>
                <w:color w:val="auto"/>
                <w:sz w:val="24"/>
                <w:highlight w:val="none"/>
              </w:rPr>
            </w:pPr>
            <w:r>
              <w:rPr>
                <w:rFonts w:hint="eastAsia" w:ascii="宋体" w:hAnsi="宋体" w:cs="宋体"/>
                <w:bCs/>
                <w:color w:val="auto"/>
                <w:sz w:val="24"/>
                <w:highlight w:val="none"/>
              </w:rPr>
              <w:t>2</w:t>
            </w:r>
          </w:p>
        </w:tc>
        <w:tc>
          <w:tcPr>
            <w:tcW w:w="1462" w:type="dxa"/>
            <w:vMerge w:val="continue"/>
            <w:tcBorders>
              <w:top w:val="single" w:color="auto" w:sz="4" w:space="0"/>
              <w:left w:val="single" w:color="auto" w:sz="4" w:space="0"/>
              <w:bottom w:val="single" w:color="auto" w:sz="4" w:space="0"/>
              <w:right w:val="single" w:color="auto" w:sz="4" w:space="0"/>
            </w:tcBorders>
            <w:vAlign w:val="center"/>
          </w:tcPr>
          <w:p w14:paraId="37B2816E">
            <w:pPr>
              <w:tabs>
                <w:tab w:val="left" w:pos="2410"/>
              </w:tabs>
              <w:spacing w:line="360" w:lineRule="auto"/>
              <w:ind w:firstLine="482"/>
              <w:jc w:val="center"/>
              <w:rPr>
                <w:rFonts w:ascii="宋体" w:hAnsi="宋体" w:cs="宋体"/>
                <w:bCs/>
                <w:color w:val="auto"/>
                <w:sz w:val="24"/>
                <w:highlight w:val="none"/>
              </w:rPr>
            </w:pPr>
          </w:p>
        </w:tc>
        <w:tc>
          <w:tcPr>
            <w:tcW w:w="2769" w:type="dxa"/>
            <w:tcBorders>
              <w:top w:val="single" w:color="auto" w:sz="4" w:space="0"/>
              <w:left w:val="single" w:color="auto" w:sz="4" w:space="0"/>
              <w:bottom w:val="single" w:color="auto" w:sz="4" w:space="0"/>
              <w:right w:val="single" w:color="auto" w:sz="4" w:space="0"/>
            </w:tcBorders>
            <w:vAlign w:val="center"/>
          </w:tcPr>
          <w:p w14:paraId="561C198C">
            <w:pPr>
              <w:tabs>
                <w:tab w:val="left" w:pos="2410"/>
              </w:tabs>
              <w:spacing w:line="360" w:lineRule="auto"/>
              <w:jc w:val="center"/>
              <w:rPr>
                <w:rFonts w:ascii="宋体" w:hAnsi="宋体" w:cs="宋体"/>
                <w:bCs/>
                <w:color w:val="auto"/>
                <w:sz w:val="24"/>
                <w:highlight w:val="none"/>
              </w:rPr>
            </w:pPr>
            <w:r>
              <w:rPr>
                <w:rFonts w:hint="eastAsia" w:ascii="宋体" w:hAnsi="宋体" w:cs="宋体"/>
                <w:bCs/>
                <w:color w:val="auto"/>
                <w:sz w:val="24"/>
                <w:highlight w:val="none"/>
              </w:rPr>
              <w:t>住房公积金</w:t>
            </w:r>
          </w:p>
        </w:tc>
        <w:tc>
          <w:tcPr>
            <w:tcW w:w="1842" w:type="dxa"/>
            <w:tcBorders>
              <w:top w:val="single" w:color="auto" w:sz="4" w:space="0"/>
              <w:left w:val="single" w:color="auto" w:sz="4" w:space="0"/>
              <w:bottom w:val="single" w:color="auto" w:sz="4" w:space="0"/>
              <w:right w:val="single" w:color="auto" w:sz="4" w:space="0"/>
            </w:tcBorders>
            <w:vAlign w:val="center"/>
          </w:tcPr>
          <w:p w14:paraId="0F0CFFBB">
            <w:pPr>
              <w:tabs>
                <w:tab w:val="left" w:pos="2410"/>
              </w:tabs>
              <w:spacing w:line="360" w:lineRule="auto"/>
              <w:jc w:val="center"/>
              <w:rPr>
                <w:rFonts w:ascii="宋体" w:hAnsi="宋体" w:cs="宋体"/>
                <w:bCs/>
                <w:color w:val="auto"/>
                <w:sz w:val="24"/>
                <w:highlight w:val="none"/>
              </w:rPr>
            </w:pPr>
            <w:r>
              <w:rPr>
                <w:rFonts w:hint="eastAsia" w:ascii="宋体" w:hAnsi="宋体" w:cs="宋体"/>
                <w:bCs/>
                <w:color w:val="auto"/>
                <w:sz w:val="24"/>
                <w:highlight w:val="none"/>
              </w:rPr>
              <w:t>A+B+C-D</w:t>
            </w:r>
          </w:p>
        </w:tc>
        <w:tc>
          <w:tcPr>
            <w:tcW w:w="2127" w:type="dxa"/>
            <w:tcBorders>
              <w:top w:val="single" w:color="auto" w:sz="4" w:space="0"/>
              <w:left w:val="single" w:color="auto" w:sz="4" w:space="0"/>
              <w:bottom w:val="single" w:color="auto" w:sz="4" w:space="0"/>
              <w:right w:val="single" w:color="auto" w:sz="4" w:space="0"/>
            </w:tcBorders>
            <w:vAlign w:val="center"/>
          </w:tcPr>
          <w:p w14:paraId="00BB63AE">
            <w:pPr>
              <w:tabs>
                <w:tab w:val="left" w:pos="2410"/>
              </w:tabs>
              <w:spacing w:line="360" w:lineRule="auto"/>
              <w:jc w:val="center"/>
              <w:rPr>
                <w:rFonts w:ascii="宋体" w:hAnsi="宋体" w:cs="宋体"/>
                <w:bCs/>
                <w:color w:val="auto"/>
                <w:sz w:val="24"/>
                <w:highlight w:val="none"/>
              </w:rPr>
            </w:pPr>
            <w:r>
              <w:rPr>
                <w:rFonts w:hint="eastAsia" w:ascii="宋体" w:hAnsi="宋体" w:cs="宋体"/>
                <w:bCs/>
                <w:color w:val="auto"/>
                <w:sz w:val="24"/>
                <w:highlight w:val="none"/>
              </w:rPr>
              <w:t>0.42</w:t>
            </w:r>
          </w:p>
        </w:tc>
      </w:tr>
      <w:tr w14:paraId="2AB641A3">
        <w:tblPrEx>
          <w:tblCellMar>
            <w:top w:w="0" w:type="dxa"/>
            <w:left w:w="108" w:type="dxa"/>
            <w:bottom w:w="0" w:type="dxa"/>
            <w:right w:w="108" w:type="dxa"/>
          </w:tblCellMar>
        </w:tblPrEx>
        <w:trPr>
          <w:trHeight w:val="512" w:hRule="atLeast"/>
        </w:trPr>
        <w:tc>
          <w:tcPr>
            <w:tcW w:w="731" w:type="dxa"/>
            <w:tcBorders>
              <w:top w:val="single" w:color="auto" w:sz="4" w:space="0"/>
              <w:left w:val="single" w:color="auto" w:sz="4" w:space="0"/>
              <w:bottom w:val="single" w:color="auto" w:sz="4" w:space="0"/>
              <w:right w:val="single" w:color="auto" w:sz="4" w:space="0"/>
            </w:tcBorders>
            <w:vAlign w:val="center"/>
          </w:tcPr>
          <w:p w14:paraId="042EBFB7">
            <w:pPr>
              <w:tabs>
                <w:tab w:val="left" w:pos="2410"/>
              </w:tabs>
              <w:spacing w:line="360" w:lineRule="auto"/>
              <w:jc w:val="center"/>
              <w:rPr>
                <w:rFonts w:ascii="宋体" w:hAnsi="宋体" w:cs="宋体"/>
                <w:bCs/>
                <w:color w:val="auto"/>
                <w:sz w:val="24"/>
                <w:highlight w:val="none"/>
              </w:rPr>
            </w:pPr>
            <w:r>
              <w:rPr>
                <w:rFonts w:hint="eastAsia" w:ascii="宋体" w:hAnsi="宋体" w:cs="宋体"/>
                <w:bCs/>
                <w:color w:val="auto"/>
                <w:sz w:val="24"/>
                <w:highlight w:val="none"/>
              </w:rPr>
              <w:t>3</w:t>
            </w:r>
          </w:p>
        </w:tc>
        <w:tc>
          <w:tcPr>
            <w:tcW w:w="1462" w:type="dxa"/>
            <w:vMerge w:val="restart"/>
            <w:tcBorders>
              <w:top w:val="single" w:color="auto" w:sz="4" w:space="0"/>
              <w:left w:val="single" w:color="auto" w:sz="4" w:space="0"/>
              <w:bottom w:val="single" w:color="auto" w:sz="4" w:space="0"/>
              <w:right w:val="single" w:color="auto" w:sz="4" w:space="0"/>
            </w:tcBorders>
            <w:vAlign w:val="center"/>
          </w:tcPr>
          <w:p w14:paraId="107D80D3">
            <w:pPr>
              <w:tabs>
                <w:tab w:val="left" w:pos="2410"/>
              </w:tabs>
              <w:spacing w:line="360" w:lineRule="auto"/>
              <w:jc w:val="center"/>
              <w:rPr>
                <w:rFonts w:ascii="宋体" w:hAnsi="宋体" w:cs="宋体"/>
                <w:bCs/>
                <w:color w:val="auto"/>
                <w:sz w:val="24"/>
                <w:highlight w:val="none"/>
              </w:rPr>
            </w:pPr>
            <w:r>
              <w:rPr>
                <w:rFonts w:hint="eastAsia" w:ascii="宋体" w:hAnsi="宋体" w:cs="宋体"/>
                <w:bCs/>
                <w:color w:val="auto"/>
                <w:sz w:val="24"/>
                <w:highlight w:val="none"/>
              </w:rPr>
              <w:t>安全文明施工措施费</w:t>
            </w:r>
          </w:p>
        </w:tc>
        <w:tc>
          <w:tcPr>
            <w:tcW w:w="2769" w:type="dxa"/>
            <w:tcBorders>
              <w:top w:val="single" w:color="auto" w:sz="4" w:space="0"/>
              <w:left w:val="single" w:color="auto" w:sz="4" w:space="0"/>
              <w:bottom w:val="single" w:color="auto" w:sz="4" w:space="0"/>
              <w:right w:val="single" w:color="auto" w:sz="4" w:space="0"/>
            </w:tcBorders>
            <w:vAlign w:val="center"/>
          </w:tcPr>
          <w:p w14:paraId="39C3D65D">
            <w:pPr>
              <w:tabs>
                <w:tab w:val="left" w:pos="2410"/>
              </w:tabs>
              <w:spacing w:line="360" w:lineRule="auto"/>
              <w:jc w:val="center"/>
              <w:rPr>
                <w:rFonts w:ascii="宋体" w:hAnsi="宋体" w:cs="宋体"/>
                <w:bCs/>
                <w:color w:val="auto"/>
                <w:sz w:val="24"/>
                <w:highlight w:val="none"/>
              </w:rPr>
            </w:pPr>
            <w:r>
              <w:rPr>
                <w:rFonts w:hint="eastAsia" w:ascii="宋体" w:hAnsi="宋体" w:cs="宋体"/>
                <w:bCs/>
                <w:color w:val="auto"/>
                <w:sz w:val="24"/>
                <w:highlight w:val="none"/>
              </w:rPr>
              <w:t>基本费</w:t>
            </w:r>
          </w:p>
        </w:tc>
        <w:tc>
          <w:tcPr>
            <w:tcW w:w="1842" w:type="dxa"/>
            <w:tcBorders>
              <w:top w:val="single" w:color="auto" w:sz="4" w:space="0"/>
              <w:left w:val="single" w:color="auto" w:sz="4" w:space="0"/>
              <w:bottom w:val="single" w:color="auto" w:sz="4" w:space="0"/>
              <w:right w:val="single" w:color="auto" w:sz="4" w:space="0"/>
            </w:tcBorders>
            <w:vAlign w:val="center"/>
          </w:tcPr>
          <w:p w14:paraId="2903765B">
            <w:pPr>
              <w:tabs>
                <w:tab w:val="left" w:pos="2410"/>
              </w:tabs>
              <w:spacing w:line="360" w:lineRule="auto"/>
              <w:jc w:val="center"/>
              <w:rPr>
                <w:rFonts w:ascii="宋体" w:hAnsi="宋体" w:cs="宋体"/>
                <w:bCs/>
                <w:color w:val="auto"/>
                <w:sz w:val="24"/>
                <w:highlight w:val="none"/>
              </w:rPr>
            </w:pPr>
            <w:r>
              <w:rPr>
                <w:rFonts w:hint="eastAsia" w:ascii="宋体" w:hAnsi="宋体" w:cs="宋体"/>
                <w:bCs/>
                <w:color w:val="auto"/>
                <w:sz w:val="24"/>
                <w:highlight w:val="none"/>
              </w:rPr>
              <w:t>A+E-D</w:t>
            </w:r>
          </w:p>
        </w:tc>
        <w:tc>
          <w:tcPr>
            <w:tcW w:w="2127" w:type="dxa"/>
            <w:tcBorders>
              <w:top w:val="single" w:color="auto" w:sz="4" w:space="0"/>
              <w:left w:val="single" w:color="auto" w:sz="4" w:space="0"/>
              <w:bottom w:val="single" w:color="auto" w:sz="4" w:space="0"/>
              <w:right w:val="single" w:color="auto" w:sz="4" w:space="0"/>
            </w:tcBorders>
            <w:vAlign w:val="center"/>
          </w:tcPr>
          <w:p w14:paraId="04E044A6">
            <w:pPr>
              <w:tabs>
                <w:tab w:val="left" w:pos="2410"/>
              </w:tabs>
              <w:spacing w:line="360" w:lineRule="auto"/>
              <w:jc w:val="center"/>
              <w:rPr>
                <w:rFonts w:ascii="宋体" w:hAnsi="宋体" w:cs="宋体"/>
                <w:bCs/>
                <w:color w:val="auto"/>
                <w:sz w:val="24"/>
                <w:highlight w:val="none"/>
              </w:rPr>
            </w:pPr>
            <w:r>
              <w:rPr>
                <w:rFonts w:hint="eastAsia" w:ascii="宋体" w:hAnsi="宋体" w:cs="宋体"/>
                <w:bCs/>
                <w:color w:val="auto"/>
                <w:sz w:val="24"/>
                <w:highlight w:val="none"/>
              </w:rPr>
              <w:t>1.50</w:t>
            </w:r>
          </w:p>
        </w:tc>
      </w:tr>
      <w:tr w14:paraId="3034FE1D">
        <w:tblPrEx>
          <w:tblCellMar>
            <w:top w:w="0" w:type="dxa"/>
            <w:left w:w="108" w:type="dxa"/>
            <w:bottom w:w="0" w:type="dxa"/>
            <w:right w:w="108" w:type="dxa"/>
          </w:tblCellMar>
        </w:tblPrEx>
        <w:trPr>
          <w:trHeight w:val="512" w:hRule="atLeast"/>
        </w:trPr>
        <w:tc>
          <w:tcPr>
            <w:tcW w:w="731" w:type="dxa"/>
            <w:tcBorders>
              <w:top w:val="single" w:color="auto" w:sz="4" w:space="0"/>
              <w:left w:val="single" w:color="auto" w:sz="4" w:space="0"/>
              <w:bottom w:val="single" w:color="auto" w:sz="4" w:space="0"/>
              <w:right w:val="single" w:color="auto" w:sz="4" w:space="0"/>
            </w:tcBorders>
            <w:vAlign w:val="center"/>
          </w:tcPr>
          <w:p w14:paraId="2D00DFEF">
            <w:pPr>
              <w:tabs>
                <w:tab w:val="left" w:pos="2410"/>
              </w:tabs>
              <w:spacing w:line="360" w:lineRule="auto"/>
              <w:jc w:val="center"/>
              <w:rPr>
                <w:rFonts w:ascii="宋体" w:hAnsi="宋体" w:cs="宋体"/>
                <w:bCs/>
                <w:color w:val="auto"/>
                <w:sz w:val="24"/>
                <w:highlight w:val="none"/>
              </w:rPr>
            </w:pPr>
            <w:r>
              <w:rPr>
                <w:rFonts w:hint="eastAsia" w:ascii="宋体" w:hAnsi="宋体" w:cs="宋体"/>
                <w:bCs/>
                <w:color w:val="auto"/>
                <w:sz w:val="24"/>
                <w:highlight w:val="none"/>
              </w:rPr>
              <w:t>4</w:t>
            </w:r>
          </w:p>
        </w:tc>
        <w:tc>
          <w:tcPr>
            <w:tcW w:w="1462" w:type="dxa"/>
            <w:vMerge w:val="continue"/>
            <w:tcBorders>
              <w:top w:val="single" w:color="auto" w:sz="4" w:space="0"/>
              <w:left w:val="single" w:color="auto" w:sz="4" w:space="0"/>
              <w:bottom w:val="single" w:color="auto" w:sz="4" w:space="0"/>
              <w:right w:val="single" w:color="auto" w:sz="4" w:space="0"/>
            </w:tcBorders>
            <w:vAlign w:val="center"/>
          </w:tcPr>
          <w:p w14:paraId="159BA5E0">
            <w:pPr>
              <w:tabs>
                <w:tab w:val="left" w:pos="2410"/>
              </w:tabs>
              <w:spacing w:line="360" w:lineRule="auto"/>
              <w:ind w:firstLine="482"/>
              <w:jc w:val="center"/>
              <w:rPr>
                <w:rFonts w:ascii="宋体" w:hAnsi="宋体" w:cs="宋体"/>
                <w:bCs/>
                <w:color w:val="auto"/>
                <w:sz w:val="24"/>
                <w:highlight w:val="none"/>
              </w:rPr>
            </w:pPr>
          </w:p>
        </w:tc>
        <w:tc>
          <w:tcPr>
            <w:tcW w:w="2769" w:type="dxa"/>
            <w:tcBorders>
              <w:top w:val="single" w:color="auto" w:sz="4" w:space="0"/>
              <w:left w:val="single" w:color="auto" w:sz="4" w:space="0"/>
              <w:bottom w:val="single" w:color="auto" w:sz="4" w:space="0"/>
              <w:right w:val="single" w:color="auto" w:sz="4" w:space="0"/>
            </w:tcBorders>
            <w:vAlign w:val="center"/>
          </w:tcPr>
          <w:p w14:paraId="0F3731E2">
            <w:pPr>
              <w:tabs>
                <w:tab w:val="left" w:pos="2410"/>
              </w:tabs>
              <w:spacing w:line="360" w:lineRule="auto"/>
              <w:jc w:val="center"/>
              <w:rPr>
                <w:rFonts w:ascii="宋体" w:hAnsi="宋体" w:cs="宋体"/>
                <w:bCs/>
                <w:color w:val="auto"/>
                <w:sz w:val="24"/>
                <w:highlight w:val="none"/>
              </w:rPr>
            </w:pPr>
            <w:r>
              <w:rPr>
                <w:rFonts w:hint="eastAsia" w:ascii="宋体" w:hAnsi="宋体" w:cs="宋体"/>
                <w:bCs/>
                <w:color w:val="auto"/>
                <w:sz w:val="24"/>
                <w:highlight w:val="none"/>
              </w:rPr>
              <w:t>扬尘污染防治增加费</w:t>
            </w:r>
          </w:p>
        </w:tc>
        <w:tc>
          <w:tcPr>
            <w:tcW w:w="1842" w:type="dxa"/>
            <w:tcBorders>
              <w:top w:val="single" w:color="auto" w:sz="4" w:space="0"/>
              <w:left w:val="single" w:color="auto" w:sz="4" w:space="0"/>
              <w:bottom w:val="single" w:color="auto" w:sz="4" w:space="0"/>
              <w:right w:val="single" w:color="auto" w:sz="4" w:space="0"/>
            </w:tcBorders>
            <w:vAlign w:val="center"/>
          </w:tcPr>
          <w:p w14:paraId="538164B8">
            <w:pPr>
              <w:tabs>
                <w:tab w:val="left" w:pos="2410"/>
              </w:tabs>
              <w:spacing w:line="360" w:lineRule="auto"/>
              <w:jc w:val="center"/>
              <w:rPr>
                <w:rFonts w:ascii="宋体" w:hAnsi="宋体" w:cs="宋体"/>
                <w:bCs/>
                <w:color w:val="auto"/>
                <w:sz w:val="24"/>
                <w:highlight w:val="none"/>
              </w:rPr>
            </w:pPr>
            <w:r>
              <w:rPr>
                <w:rFonts w:hint="eastAsia" w:ascii="宋体" w:hAnsi="宋体" w:cs="宋体"/>
                <w:bCs/>
                <w:color w:val="auto"/>
                <w:sz w:val="24"/>
                <w:highlight w:val="none"/>
              </w:rPr>
              <w:t>A+E-D</w:t>
            </w:r>
          </w:p>
        </w:tc>
        <w:tc>
          <w:tcPr>
            <w:tcW w:w="2127" w:type="dxa"/>
            <w:tcBorders>
              <w:top w:val="single" w:color="auto" w:sz="4" w:space="0"/>
              <w:left w:val="single" w:color="auto" w:sz="4" w:space="0"/>
              <w:bottom w:val="single" w:color="auto" w:sz="4" w:space="0"/>
              <w:right w:val="single" w:color="auto" w:sz="4" w:space="0"/>
            </w:tcBorders>
            <w:vAlign w:val="center"/>
          </w:tcPr>
          <w:p w14:paraId="2601DAD6">
            <w:pPr>
              <w:tabs>
                <w:tab w:val="left" w:pos="2410"/>
              </w:tabs>
              <w:spacing w:line="360" w:lineRule="auto"/>
              <w:jc w:val="center"/>
              <w:rPr>
                <w:rFonts w:ascii="宋体" w:hAnsi="宋体" w:cs="宋体"/>
                <w:bCs/>
                <w:color w:val="auto"/>
                <w:sz w:val="24"/>
                <w:highlight w:val="none"/>
              </w:rPr>
            </w:pPr>
            <w:r>
              <w:rPr>
                <w:rFonts w:hint="eastAsia" w:ascii="宋体" w:hAnsi="宋体" w:cs="宋体"/>
                <w:bCs/>
                <w:color w:val="auto"/>
                <w:sz w:val="24"/>
                <w:highlight w:val="none"/>
              </w:rPr>
              <w:t>0.21</w:t>
            </w:r>
          </w:p>
        </w:tc>
      </w:tr>
      <w:tr w14:paraId="26FC7505">
        <w:tblPrEx>
          <w:tblCellMar>
            <w:top w:w="0" w:type="dxa"/>
            <w:left w:w="108" w:type="dxa"/>
            <w:bottom w:w="0" w:type="dxa"/>
            <w:right w:w="108" w:type="dxa"/>
          </w:tblCellMar>
        </w:tblPrEx>
        <w:trPr>
          <w:trHeight w:val="561" w:hRule="atLeast"/>
        </w:trPr>
        <w:tc>
          <w:tcPr>
            <w:tcW w:w="731" w:type="dxa"/>
            <w:tcBorders>
              <w:top w:val="single" w:color="auto" w:sz="4" w:space="0"/>
              <w:left w:val="single" w:color="auto" w:sz="4" w:space="0"/>
              <w:bottom w:val="single" w:color="auto" w:sz="4" w:space="0"/>
              <w:right w:val="single" w:color="auto" w:sz="4" w:space="0"/>
            </w:tcBorders>
            <w:vAlign w:val="center"/>
          </w:tcPr>
          <w:p w14:paraId="7C05651D">
            <w:pPr>
              <w:tabs>
                <w:tab w:val="left" w:pos="2410"/>
              </w:tabs>
              <w:spacing w:line="360" w:lineRule="auto"/>
              <w:jc w:val="center"/>
              <w:rPr>
                <w:rFonts w:ascii="宋体" w:hAnsi="宋体" w:cs="宋体"/>
                <w:bCs/>
                <w:color w:val="auto"/>
                <w:sz w:val="24"/>
                <w:highlight w:val="none"/>
              </w:rPr>
            </w:pPr>
            <w:r>
              <w:rPr>
                <w:rFonts w:hint="eastAsia" w:ascii="宋体" w:hAnsi="宋体" w:cs="宋体"/>
                <w:bCs/>
                <w:color w:val="auto"/>
                <w:sz w:val="24"/>
                <w:highlight w:val="none"/>
              </w:rPr>
              <w:t>5</w:t>
            </w:r>
          </w:p>
        </w:tc>
        <w:tc>
          <w:tcPr>
            <w:tcW w:w="1462" w:type="dxa"/>
            <w:tcBorders>
              <w:top w:val="single" w:color="auto" w:sz="4" w:space="0"/>
              <w:left w:val="single" w:color="auto" w:sz="4" w:space="0"/>
              <w:bottom w:val="single" w:color="auto" w:sz="4" w:space="0"/>
              <w:right w:val="single" w:color="auto" w:sz="4" w:space="0"/>
            </w:tcBorders>
            <w:vAlign w:val="center"/>
          </w:tcPr>
          <w:p w14:paraId="76050DC8">
            <w:pPr>
              <w:tabs>
                <w:tab w:val="left" w:pos="2410"/>
              </w:tabs>
              <w:spacing w:line="360" w:lineRule="auto"/>
              <w:jc w:val="center"/>
              <w:rPr>
                <w:rFonts w:ascii="宋体" w:hAnsi="宋体" w:cs="宋体"/>
                <w:bCs/>
                <w:color w:val="auto"/>
                <w:sz w:val="24"/>
                <w:highlight w:val="none"/>
              </w:rPr>
            </w:pPr>
            <w:r>
              <w:rPr>
                <w:rFonts w:hint="eastAsia" w:ascii="宋体" w:hAnsi="宋体" w:cs="宋体"/>
                <w:bCs/>
                <w:color w:val="auto"/>
                <w:sz w:val="24"/>
                <w:highlight w:val="none"/>
              </w:rPr>
              <w:t>税  金</w:t>
            </w:r>
          </w:p>
        </w:tc>
        <w:tc>
          <w:tcPr>
            <w:tcW w:w="2769" w:type="dxa"/>
            <w:tcBorders>
              <w:top w:val="single" w:color="auto" w:sz="4" w:space="0"/>
              <w:left w:val="single" w:color="auto" w:sz="4" w:space="0"/>
              <w:bottom w:val="single" w:color="auto" w:sz="4" w:space="0"/>
              <w:right w:val="single" w:color="auto" w:sz="4" w:space="0"/>
            </w:tcBorders>
            <w:vAlign w:val="center"/>
          </w:tcPr>
          <w:p w14:paraId="3AEEA26D">
            <w:pPr>
              <w:tabs>
                <w:tab w:val="left" w:pos="2410"/>
              </w:tabs>
              <w:spacing w:line="360" w:lineRule="auto"/>
              <w:jc w:val="center"/>
              <w:rPr>
                <w:rFonts w:ascii="宋体" w:hAnsi="宋体" w:cs="宋体"/>
                <w:bCs/>
                <w:color w:val="auto"/>
                <w:sz w:val="24"/>
                <w:highlight w:val="none"/>
              </w:rPr>
            </w:pPr>
            <w:r>
              <w:rPr>
                <w:rFonts w:hint="eastAsia" w:ascii="宋体" w:hAnsi="宋体" w:cs="宋体"/>
                <w:bCs/>
                <w:color w:val="auto"/>
                <w:sz w:val="24"/>
                <w:highlight w:val="none"/>
              </w:rPr>
              <w:t>税   金</w:t>
            </w:r>
          </w:p>
        </w:tc>
        <w:tc>
          <w:tcPr>
            <w:tcW w:w="1842" w:type="dxa"/>
            <w:tcBorders>
              <w:top w:val="single" w:color="auto" w:sz="4" w:space="0"/>
              <w:left w:val="single" w:color="auto" w:sz="4" w:space="0"/>
              <w:bottom w:val="single" w:color="auto" w:sz="4" w:space="0"/>
              <w:right w:val="single" w:color="auto" w:sz="4" w:space="0"/>
            </w:tcBorders>
            <w:vAlign w:val="center"/>
          </w:tcPr>
          <w:p w14:paraId="6FD9F14F">
            <w:pPr>
              <w:tabs>
                <w:tab w:val="left" w:pos="2410"/>
              </w:tabs>
              <w:spacing w:line="360" w:lineRule="auto"/>
              <w:jc w:val="center"/>
              <w:rPr>
                <w:rFonts w:ascii="宋体" w:hAnsi="宋体" w:cs="宋体"/>
                <w:bCs/>
                <w:color w:val="auto"/>
                <w:sz w:val="24"/>
                <w:highlight w:val="none"/>
              </w:rPr>
            </w:pPr>
            <w:r>
              <w:rPr>
                <w:rFonts w:hint="eastAsia" w:ascii="宋体" w:hAnsi="宋体" w:cs="宋体"/>
                <w:color w:val="auto"/>
                <w:sz w:val="24"/>
                <w:highlight w:val="none"/>
              </w:rPr>
              <w:t>除税造价</w:t>
            </w:r>
          </w:p>
        </w:tc>
        <w:tc>
          <w:tcPr>
            <w:tcW w:w="2127" w:type="dxa"/>
            <w:tcBorders>
              <w:top w:val="single" w:color="auto" w:sz="4" w:space="0"/>
              <w:left w:val="single" w:color="auto" w:sz="4" w:space="0"/>
              <w:bottom w:val="single" w:color="auto" w:sz="4" w:space="0"/>
              <w:right w:val="single" w:color="auto" w:sz="4" w:space="0"/>
            </w:tcBorders>
            <w:vAlign w:val="center"/>
          </w:tcPr>
          <w:p w14:paraId="170B4901">
            <w:pPr>
              <w:tabs>
                <w:tab w:val="left" w:pos="2410"/>
              </w:tabs>
              <w:spacing w:line="360" w:lineRule="auto"/>
              <w:jc w:val="center"/>
              <w:rPr>
                <w:rFonts w:ascii="宋体" w:hAnsi="宋体" w:cs="宋体"/>
                <w:bCs/>
                <w:color w:val="auto"/>
                <w:sz w:val="24"/>
                <w:highlight w:val="none"/>
              </w:rPr>
            </w:pPr>
            <w:r>
              <w:rPr>
                <w:rFonts w:hint="eastAsia" w:ascii="宋体" w:hAnsi="宋体" w:cs="宋体"/>
                <w:bCs/>
                <w:color w:val="auto"/>
                <w:sz w:val="24"/>
                <w:highlight w:val="none"/>
              </w:rPr>
              <w:t>9.00</w:t>
            </w:r>
          </w:p>
        </w:tc>
      </w:tr>
    </w:tbl>
    <w:p w14:paraId="3E22097F">
      <w:pPr>
        <w:spacing w:line="360" w:lineRule="auto"/>
        <w:ind w:firstLine="460" w:firstLineChars="200"/>
        <w:rPr>
          <w:rFonts w:ascii="宋体" w:hAnsi="宋体"/>
          <w:color w:val="auto"/>
          <w:sz w:val="23"/>
          <w:szCs w:val="23"/>
          <w:highlight w:val="none"/>
        </w:rPr>
      </w:pPr>
      <w:r>
        <w:rPr>
          <w:rFonts w:ascii="宋体" w:hAnsi="宋体"/>
          <w:color w:val="auto"/>
          <w:sz w:val="23"/>
          <w:szCs w:val="23"/>
          <w:highlight w:val="none"/>
        </w:rPr>
        <w:t>注：1、计算基础：A为分部分项工程费，B为措施项目清单费用，</w:t>
      </w:r>
      <w:r>
        <w:rPr>
          <w:rFonts w:hint="eastAsia" w:ascii="宋体" w:hAnsi="宋体"/>
          <w:color w:val="auto"/>
          <w:sz w:val="23"/>
          <w:szCs w:val="23"/>
          <w:highlight w:val="none"/>
          <w:lang w:val="en-US" w:eastAsia="zh-CN"/>
        </w:rPr>
        <w:t>E</w:t>
      </w:r>
      <w:r>
        <w:rPr>
          <w:rFonts w:ascii="宋体" w:hAnsi="宋体"/>
          <w:color w:val="auto"/>
          <w:sz w:val="23"/>
          <w:szCs w:val="23"/>
          <w:highlight w:val="none"/>
        </w:rPr>
        <w:t>为单价措施项目费，C其它项目费，D为除税工程设备费。</w:t>
      </w:r>
    </w:p>
    <w:p w14:paraId="3AD32E52">
      <w:pPr>
        <w:spacing w:line="360" w:lineRule="auto"/>
        <w:ind w:firstLine="460" w:firstLineChars="200"/>
        <w:rPr>
          <w:rFonts w:ascii="宋体" w:hAnsi="宋体"/>
          <w:color w:val="auto"/>
          <w:sz w:val="23"/>
          <w:szCs w:val="23"/>
          <w:highlight w:val="none"/>
        </w:rPr>
      </w:pPr>
      <w:r>
        <w:rPr>
          <w:rFonts w:hint="eastAsia" w:ascii="宋体" w:hAnsi="宋体"/>
          <w:color w:val="auto"/>
          <w:sz w:val="23"/>
          <w:szCs w:val="23"/>
          <w:highlight w:val="none"/>
        </w:rPr>
        <w:t>18.2.6其他取费：详见工程量清单。</w:t>
      </w:r>
    </w:p>
    <w:p w14:paraId="16DF4273">
      <w:pPr>
        <w:spacing w:line="360" w:lineRule="auto"/>
        <w:ind w:firstLine="480" w:firstLineChars="200"/>
        <w:rPr>
          <w:rFonts w:ascii="宋体" w:hAnsi="宋体"/>
          <w:color w:val="auto"/>
          <w:sz w:val="23"/>
          <w:szCs w:val="23"/>
          <w:highlight w:val="none"/>
        </w:rPr>
      </w:pPr>
      <w:r>
        <w:rPr>
          <w:rFonts w:ascii="宋体" w:hAnsi="宋体"/>
          <w:color w:val="auto"/>
          <w:sz w:val="24"/>
          <w:highlight w:val="none"/>
        </w:rPr>
        <w:t>18.3 招标控制价文件组成。</w:t>
      </w:r>
    </w:p>
    <w:p w14:paraId="0E05025C">
      <w:pPr>
        <w:spacing w:line="360" w:lineRule="auto"/>
        <w:ind w:firstLine="480" w:firstLineChars="200"/>
        <w:rPr>
          <w:rFonts w:ascii="宋体" w:hAnsi="宋体"/>
          <w:color w:val="auto"/>
          <w:sz w:val="24"/>
          <w:highlight w:val="none"/>
        </w:rPr>
      </w:pPr>
      <w:r>
        <w:rPr>
          <w:rFonts w:ascii="宋体" w:hAnsi="宋体"/>
          <w:color w:val="auto"/>
          <w:sz w:val="24"/>
          <w:highlight w:val="none"/>
        </w:rPr>
        <w:t>招标人公布的招标控制价应当包括单位工程招标控制价汇总表、分部分项工程和单价措施项目清单与计价表、相关说明以及招标价调整等系数的取值。</w:t>
      </w:r>
    </w:p>
    <w:p w14:paraId="713828F5">
      <w:pPr>
        <w:adjustRightInd w:val="0"/>
        <w:snapToGrid w:val="0"/>
        <w:spacing w:line="360" w:lineRule="auto"/>
        <w:ind w:firstLine="480" w:firstLineChars="200"/>
        <w:rPr>
          <w:rFonts w:ascii="宋体" w:hAnsi="宋体"/>
          <w:color w:val="auto"/>
          <w:sz w:val="24"/>
          <w:highlight w:val="none"/>
        </w:rPr>
      </w:pPr>
      <w:r>
        <w:rPr>
          <w:rFonts w:ascii="宋体" w:hAnsi="宋体"/>
          <w:color w:val="auto"/>
          <w:sz w:val="24"/>
          <w:highlight w:val="none"/>
        </w:rPr>
        <w:t>18.4 公布招标控制价时间。</w:t>
      </w:r>
    </w:p>
    <w:p w14:paraId="12883F49">
      <w:pPr>
        <w:spacing w:line="360" w:lineRule="auto"/>
        <w:ind w:firstLine="480" w:firstLineChars="200"/>
        <w:rPr>
          <w:rFonts w:ascii="宋体" w:hAnsi="宋体" w:cs="宋体"/>
          <w:color w:val="auto"/>
          <w:sz w:val="24"/>
          <w:highlight w:val="none"/>
        </w:rPr>
      </w:pPr>
      <w:r>
        <w:rPr>
          <w:rFonts w:hint="eastAsia" w:ascii="宋体" w:hAnsi="宋体" w:cs="宋体"/>
          <w:color w:val="auto"/>
          <w:sz w:val="24"/>
          <w:highlight w:val="none"/>
        </w:rPr>
        <w:t>招标控制价等文件同招标文件同时在将在“南通市崇川区人民政府网” -公示公告栏公布。</w:t>
      </w:r>
    </w:p>
    <w:p w14:paraId="0FF085CD">
      <w:pPr>
        <w:spacing w:line="360" w:lineRule="auto"/>
        <w:ind w:firstLine="480" w:firstLineChars="200"/>
        <w:rPr>
          <w:rFonts w:ascii="宋体" w:hAnsi="宋体"/>
          <w:color w:val="auto"/>
          <w:sz w:val="24"/>
          <w:highlight w:val="none"/>
        </w:rPr>
      </w:pPr>
      <w:r>
        <w:rPr>
          <w:rFonts w:ascii="宋体" w:hAnsi="宋体"/>
          <w:color w:val="auto"/>
          <w:sz w:val="24"/>
          <w:highlight w:val="none"/>
        </w:rPr>
        <w:t>18.5 招标控制价异议处理：</w:t>
      </w:r>
    </w:p>
    <w:p w14:paraId="1949B861">
      <w:pPr>
        <w:spacing w:line="360" w:lineRule="auto"/>
        <w:ind w:firstLine="480" w:firstLineChars="200"/>
        <w:rPr>
          <w:rFonts w:ascii="宋体" w:hAnsi="宋体"/>
          <w:b/>
          <w:color w:val="auto"/>
          <w:sz w:val="24"/>
          <w:highlight w:val="none"/>
          <w:u w:val="single"/>
        </w:rPr>
      </w:pPr>
      <w:r>
        <w:rPr>
          <w:rFonts w:ascii="宋体" w:hAnsi="宋体"/>
          <w:color w:val="auto"/>
          <w:sz w:val="24"/>
          <w:highlight w:val="none"/>
        </w:rPr>
        <w:t>投标人对招标控制价有异议的，应在控制价发布后2日内向招标人书面提出；招标人不答复或对招标人答复不满意时，投标人可按规定程序向工程所在地造价管理机构投诉。</w:t>
      </w:r>
      <w:r>
        <w:rPr>
          <w:rFonts w:ascii="宋体" w:hAnsi="宋体"/>
          <w:b/>
          <w:color w:val="auto"/>
          <w:sz w:val="24"/>
          <w:highlight w:val="none"/>
          <w:u w:val="single"/>
        </w:rPr>
        <w:t>具体请参照通建工【2014】369号文。</w:t>
      </w:r>
    </w:p>
    <w:p w14:paraId="3C332FD7">
      <w:pPr>
        <w:spacing w:line="360" w:lineRule="auto"/>
        <w:ind w:firstLine="480" w:firstLineChars="200"/>
        <w:rPr>
          <w:rFonts w:ascii="宋体" w:hAnsi="宋体"/>
          <w:color w:val="auto"/>
          <w:sz w:val="24"/>
          <w:highlight w:val="none"/>
        </w:rPr>
      </w:pPr>
      <w:r>
        <w:rPr>
          <w:rFonts w:ascii="宋体" w:hAnsi="宋体"/>
          <w:color w:val="auto"/>
          <w:sz w:val="24"/>
          <w:highlight w:val="none"/>
        </w:rPr>
        <w:t>招标人根据招标控制价复查结论需要重新公布招标控制价的，其最终公布的时间至招标文件要求提交投标文件截止时间不足</w:t>
      </w:r>
      <w:r>
        <w:rPr>
          <w:rFonts w:hint="eastAsia" w:ascii="宋体" w:hAnsi="宋体"/>
          <w:color w:val="auto"/>
          <w:sz w:val="24"/>
          <w:highlight w:val="none"/>
        </w:rPr>
        <w:t>3</w:t>
      </w:r>
      <w:r>
        <w:rPr>
          <w:rFonts w:ascii="宋体" w:hAnsi="宋体"/>
          <w:color w:val="auto"/>
          <w:sz w:val="24"/>
          <w:highlight w:val="none"/>
        </w:rPr>
        <w:t>天的，将相应延长投标文件的截止时间。</w:t>
      </w:r>
    </w:p>
    <w:p w14:paraId="12BF1357">
      <w:pPr>
        <w:spacing w:line="360" w:lineRule="auto"/>
        <w:outlineLvl w:val="3"/>
        <w:rPr>
          <w:rFonts w:ascii="宋体" w:hAnsi="宋体"/>
          <w:b/>
          <w:color w:val="auto"/>
          <w:kern w:val="0"/>
          <w:sz w:val="24"/>
          <w:highlight w:val="none"/>
        </w:rPr>
      </w:pPr>
      <w:r>
        <w:rPr>
          <w:rFonts w:ascii="宋体" w:hAnsi="宋体"/>
          <w:b/>
          <w:color w:val="auto"/>
          <w:kern w:val="0"/>
          <w:sz w:val="24"/>
          <w:highlight w:val="none"/>
        </w:rPr>
        <w:t>19.投标报价编制要求</w:t>
      </w:r>
    </w:p>
    <w:p w14:paraId="4755A7FA">
      <w:pPr>
        <w:spacing w:line="360" w:lineRule="auto"/>
        <w:ind w:firstLine="480"/>
        <w:rPr>
          <w:rFonts w:ascii="宋体" w:hAnsi="宋体" w:cs="宋体"/>
          <w:snapToGrid w:val="0"/>
          <w:color w:val="auto"/>
          <w:kern w:val="0"/>
          <w:sz w:val="24"/>
          <w:highlight w:val="none"/>
        </w:rPr>
      </w:pPr>
      <w:r>
        <w:rPr>
          <w:rFonts w:hint="eastAsia" w:ascii="宋体" w:hAnsi="宋体" w:cs="宋体"/>
          <w:snapToGrid w:val="0"/>
          <w:color w:val="auto"/>
          <w:kern w:val="0"/>
          <w:sz w:val="24"/>
          <w:highlight w:val="none"/>
        </w:rPr>
        <w:t>19.1采用工程量清单计价方式，投标人不得采用总价让利或以总价百分比让利等办法进行投标报价。</w:t>
      </w:r>
    </w:p>
    <w:p w14:paraId="3C1A0494">
      <w:pPr>
        <w:spacing w:line="360" w:lineRule="auto"/>
        <w:ind w:firstLine="480"/>
        <w:rPr>
          <w:rFonts w:ascii="宋体" w:hAnsi="宋体" w:cs="宋体"/>
          <w:snapToGrid w:val="0"/>
          <w:color w:val="auto"/>
          <w:kern w:val="0"/>
          <w:sz w:val="24"/>
          <w:highlight w:val="none"/>
        </w:rPr>
      </w:pPr>
      <w:r>
        <w:rPr>
          <w:rFonts w:hint="eastAsia" w:ascii="宋体" w:hAnsi="宋体" w:cs="宋体"/>
          <w:snapToGrid w:val="0"/>
          <w:color w:val="auto"/>
          <w:kern w:val="0"/>
          <w:sz w:val="24"/>
          <w:highlight w:val="none"/>
        </w:rPr>
        <w:t>19.2 除投标人自行补充的措施项目外，投标报价的项目编码、项目名称、项目特征、计量单位、工程量必须与招标人提供的一致。</w:t>
      </w:r>
    </w:p>
    <w:p w14:paraId="4D2E64AD">
      <w:pPr>
        <w:spacing w:line="360" w:lineRule="auto"/>
        <w:ind w:firstLine="480"/>
        <w:rPr>
          <w:rFonts w:ascii="宋体" w:hAnsi="宋体" w:cs="宋体"/>
          <w:snapToGrid w:val="0"/>
          <w:color w:val="auto"/>
          <w:kern w:val="0"/>
          <w:sz w:val="24"/>
          <w:highlight w:val="none"/>
        </w:rPr>
      </w:pPr>
      <w:r>
        <w:rPr>
          <w:rFonts w:hint="eastAsia" w:ascii="宋体" w:hAnsi="宋体" w:cs="宋体"/>
          <w:snapToGrid w:val="0"/>
          <w:color w:val="auto"/>
          <w:kern w:val="0"/>
          <w:sz w:val="24"/>
          <w:highlight w:val="none"/>
        </w:rPr>
        <w:t>19.3工程量清单中投标人没有填入单价或价格的子目，其费用视为已分摊在工程量清单中其他子目的单价或价格之中。</w:t>
      </w:r>
    </w:p>
    <w:p w14:paraId="07D9228F">
      <w:pPr>
        <w:spacing w:line="360" w:lineRule="auto"/>
        <w:ind w:firstLine="480"/>
        <w:rPr>
          <w:rFonts w:ascii="宋体" w:hAnsi="宋体" w:cs="宋体"/>
          <w:snapToGrid w:val="0"/>
          <w:color w:val="auto"/>
          <w:kern w:val="0"/>
          <w:sz w:val="24"/>
          <w:highlight w:val="none"/>
        </w:rPr>
      </w:pPr>
      <w:r>
        <w:rPr>
          <w:rFonts w:hint="eastAsia" w:ascii="宋体" w:hAnsi="宋体" w:cs="宋体"/>
          <w:snapToGrid w:val="0"/>
          <w:color w:val="auto"/>
          <w:kern w:val="0"/>
          <w:sz w:val="24"/>
          <w:highlight w:val="none"/>
        </w:rPr>
        <w:t>19.4投标报价应根据招标文件中的工程量清单和有关要求、施工现场实际情况及拟定的施工方案或施工组织设计，依据企业定额和市场价格信息，实行自主报价（已列入不可竞争的项目除外）。投标人所报设备价、材料价如低于同期的省、市、县的造价信息或低于同期的市场价格信息，视为对招标人的优惠。投标人标函中所报设备、材料其规格、尺寸、等级不得低于清单的要求。中标人应根据清单确定的标准、等级、规格组织施工。</w:t>
      </w:r>
    </w:p>
    <w:p w14:paraId="300F7608">
      <w:pPr>
        <w:spacing w:line="360" w:lineRule="auto"/>
        <w:ind w:firstLine="480"/>
        <w:rPr>
          <w:rFonts w:ascii="宋体" w:hAnsi="宋体" w:cs="宋体"/>
          <w:snapToGrid w:val="0"/>
          <w:color w:val="auto"/>
          <w:kern w:val="0"/>
          <w:sz w:val="24"/>
          <w:highlight w:val="none"/>
        </w:rPr>
      </w:pPr>
      <w:r>
        <w:rPr>
          <w:rFonts w:hint="eastAsia" w:ascii="宋体" w:hAnsi="宋体" w:cs="宋体"/>
          <w:snapToGrid w:val="0"/>
          <w:color w:val="auto"/>
          <w:kern w:val="0"/>
          <w:sz w:val="24"/>
          <w:highlight w:val="none"/>
        </w:rPr>
        <w:t>19.5投标人不得擅自改动招标人提供的工程量清单上的内容。若对提供的工程量清单内容有疑义，请将书面疑问材料在规定的时间和方法向招标代理单位提出，其中清单内容的书面疑问材料经招标人组织核实确认后提供最终工程量清单，投标人在投标报价时，不得增减清单工程量。</w:t>
      </w:r>
    </w:p>
    <w:p w14:paraId="5C2FDF94">
      <w:pPr>
        <w:spacing w:line="360" w:lineRule="auto"/>
        <w:ind w:firstLine="480"/>
        <w:rPr>
          <w:rFonts w:ascii="宋体" w:hAnsi="宋体" w:cs="宋体"/>
          <w:snapToGrid w:val="0"/>
          <w:color w:val="auto"/>
          <w:kern w:val="0"/>
          <w:sz w:val="24"/>
          <w:highlight w:val="none"/>
        </w:rPr>
      </w:pPr>
      <w:r>
        <w:rPr>
          <w:rFonts w:hint="eastAsia" w:ascii="宋体" w:hAnsi="宋体" w:cs="宋体"/>
          <w:snapToGrid w:val="0"/>
          <w:color w:val="auto"/>
          <w:kern w:val="0"/>
          <w:sz w:val="24"/>
          <w:highlight w:val="none"/>
        </w:rPr>
        <w:t>19.6本工程施工期间涉及环保、消防、城市卫生、市政、居委会、派出所等相关部门收取的费用，以及夜间文明施工、保护周边地下管线和架空线的安全的费用等，投标人均应综合考虑在投标报价中，竣工结算时一律不作调整。</w:t>
      </w:r>
    </w:p>
    <w:p w14:paraId="33A12654">
      <w:pPr>
        <w:spacing w:line="360" w:lineRule="auto"/>
        <w:ind w:firstLine="480"/>
        <w:rPr>
          <w:rFonts w:ascii="宋体" w:hAnsi="宋体" w:cs="宋体"/>
          <w:snapToGrid w:val="0"/>
          <w:color w:val="auto"/>
          <w:kern w:val="0"/>
          <w:sz w:val="24"/>
          <w:highlight w:val="none"/>
        </w:rPr>
      </w:pPr>
      <w:r>
        <w:rPr>
          <w:rFonts w:hint="eastAsia" w:ascii="宋体" w:hAnsi="宋体" w:cs="宋体"/>
          <w:snapToGrid w:val="0"/>
          <w:color w:val="auto"/>
          <w:kern w:val="0"/>
          <w:sz w:val="24"/>
          <w:highlight w:val="none"/>
        </w:rPr>
        <w:t>19.7投标人必须认真仔细踏勘施工现场，结合本工程实际情况，并在投标报价时综合考虑临时设施费 、赶工措施费、已完工程及设备保护费、冬雨季施工增加费、夜间施工费总价措施费项目，并计入报价，该费用一次性包定，结算时一律不作调整。</w:t>
      </w:r>
    </w:p>
    <w:p w14:paraId="48483E21">
      <w:pPr>
        <w:spacing w:line="360" w:lineRule="auto"/>
        <w:ind w:firstLine="480"/>
        <w:rPr>
          <w:rFonts w:ascii="宋体" w:hAnsi="宋体" w:cs="宋体"/>
          <w:snapToGrid w:val="0"/>
          <w:color w:val="auto"/>
          <w:kern w:val="0"/>
          <w:sz w:val="24"/>
          <w:highlight w:val="none"/>
        </w:rPr>
      </w:pPr>
      <w:r>
        <w:rPr>
          <w:rFonts w:hint="eastAsia" w:ascii="宋体" w:hAnsi="宋体" w:cs="宋体"/>
          <w:snapToGrid w:val="0"/>
          <w:color w:val="auto"/>
          <w:kern w:val="0"/>
          <w:sz w:val="24"/>
          <w:highlight w:val="none"/>
        </w:rPr>
        <w:t>19.8施工期间的排水、排涝、应急防汛、导流措施、手续等所有费用由投标单位自行考虑后列入投标报价。</w:t>
      </w:r>
    </w:p>
    <w:p w14:paraId="16845B1F">
      <w:pPr>
        <w:spacing w:line="360" w:lineRule="auto"/>
        <w:ind w:firstLine="480"/>
        <w:rPr>
          <w:rFonts w:ascii="宋体" w:hAnsi="宋体" w:cs="宋体"/>
          <w:snapToGrid w:val="0"/>
          <w:color w:val="auto"/>
          <w:kern w:val="0"/>
          <w:sz w:val="24"/>
          <w:highlight w:val="none"/>
        </w:rPr>
      </w:pPr>
      <w:r>
        <w:rPr>
          <w:rFonts w:hint="eastAsia" w:ascii="宋体" w:hAnsi="宋体" w:cs="宋体"/>
          <w:snapToGrid w:val="0"/>
          <w:color w:val="auto"/>
          <w:kern w:val="0"/>
          <w:sz w:val="24"/>
          <w:highlight w:val="none"/>
        </w:rPr>
        <w:t>19.9本工程涉及的群众问题及施工过程中出现的临时交通维护、施工临时占用绿化及青苗补偿、零星建筑物拆除及补偿、土地压废赔偿、垃圾清理、清杂及可能出现的窝工、停工、待工、对施工过程中遇到的由招标人承担拆迁以外的其他所有前期问题（含零星建筑物拆除及补偿）的补偿费用由施工单位自行解决，并列入投标报价，工程结算时不作调整。</w:t>
      </w:r>
    </w:p>
    <w:p w14:paraId="6EA873A6">
      <w:pPr>
        <w:spacing w:line="360" w:lineRule="auto"/>
        <w:ind w:firstLine="480"/>
        <w:rPr>
          <w:rFonts w:ascii="宋体" w:hAnsi="宋体" w:cs="宋体"/>
          <w:snapToGrid w:val="0"/>
          <w:color w:val="auto"/>
          <w:kern w:val="0"/>
          <w:sz w:val="24"/>
          <w:highlight w:val="none"/>
        </w:rPr>
      </w:pPr>
      <w:r>
        <w:rPr>
          <w:rFonts w:hint="eastAsia" w:ascii="宋体" w:hAnsi="宋体" w:cs="宋体"/>
          <w:snapToGrid w:val="0"/>
          <w:color w:val="auto"/>
          <w:kern w:val="0"/>
          <w:sz w:val="24"/>
          <w:highlight w:val="none"/>
        </w:rPr>
        <w:t>19.10本工程施工组织设计中涉及的交通等部门的协调及交通组织、水道引排水等问题，请充分考虑并将各种交通组织措施所有费用列入措施项目清单计价表中。交通的组织、管理由中标单位负责。</w:t>
      </w:r>
    </w:p>
    <w:p w14:paraId="4F699AC5">
      <w:pPr>
        <w:spacing w:line="360" w:lineRule="auto"/>
        <w:ind w:firstLine="480"/>
        <w:rPr>
          <w:rFonts w:ascii="宋体" w:hAnsi="宋体" w:cs="宋体"/>
          <w:snapToGrid w:val="0"/>
          <w:color w:val="auto"/>
          <w:kern w:val="0"/>
          <w:sz w:val="24"/>
          <w:highlight w:val="none"/>
        </w:rPr>
      </w:pPr>
      <w:r>
        <w:rPr>
          <w:rFonts w:hint="eastAsia" w:ascii="宋体" w:hAnsi="宋体" w:cs="宋体"/>
          <w:snapToGrid w:val="0"/>
          <w:color w:val="auto"/>
          <w:kern w:val="0"/>
          <w:sz w:val="24"/>
          <w:highlight w:val="none"/>
        </w:rPr>
        <w:t>19.11在实际施工中，发包人可以无条件要求施工单位更换不符合要求的产品，购进的材料设备与提供的样品不一致时，由承包人无条件退货，如因使用不符合国家标准及各项指标的材料，由此引起的相关费用由承包人承担，结算时一律不作调整。</w:t>
      </w:r>
    </w:p>
    <w:p w14:paraId="21634DF6">
      <w:pPr>
        <w:spacing w:line="360" w:lineRule="auto"/>
        <w:ind w:firstLine="480"/>
        <w:rPr>
          <w:rFonts w:ascii="宋体" w:hAnsi="宋体" w:cs="宋体"/>
          <w:snapToGrid w:val="0"/>
          <w:color w:val="auto"/>
          <w:kern w:val="0"/>
          <w:sz w:val="24"/>
          <w:highlight w:val="none"/>
        </w:rPr>
      </w:pPr>
      <w:r>
        <w:rPr>
          <w:rFonts w:hint="eastAsia" w:ascii="宋体" w:hAnsi="宋体" w:cs="宋体"/>
          <w:snapToGrid w:val="0"/>
          <w:color w:val="auto"/>
          <w:kern w:val="0"/>
          <w:sz w:val="24"/>
          <w:highlight w:val="none"/>
        </w:rPr>
        <w:t>19.12报价书中的工程数量乘以综合单价必须等于合价。如有误差，在结算时以综合单价金额小的为计算依据。</w:t>
      </w:r>
    </w:p>
    <w:p w14:paraId="79B29A66">
      <w:pPr>
        <w:spacing w:line="360" w:lineRule="auto"/>
        <w:ind w:firstLine="480"/>
        <w:rPr>
          <w:rFonts w:ascii="宋体" w:hAnsi="宋体" w:cs="宋体"/>
          <w:snapToGrid w:val="0"/>
          <w:color w:val="auto"/>
          <w:kern w:val="0"/>
          <w:sz w:val="24"/>
          <w:highlight w:val="none"/>
        </w:rPr>
      </w:pPr>
      <w:r>
        <w:rPr>
          <w:rFonts w:hint="eastAsia" w:ascii="宋体" w:hAnsi="宋体" w:cs="宋体"/>
          <w:snapToGrid w:val="0"/>
          <w:color w:val="auto"/>
          <w:kern w:val="0"/>
          <w:sz w:val="24"/>
          <w:highlight w:val="none"/>
        </w:rPr>
        <w:t>19.13本工程未要求品牌的乙供材料均由中标人在确保质量的前提下自行采购，材料价格按照中档以上的质量自行市场询价进入报价。招标人对材料的质量有认定权（如招标人对中标人采购的材料认定为不合格的，中标人必须重新采购，直至合格为止），施工时中标人需提供样品供建设单位选择，涉及到的价格不再调整。</w:t>
      </w:r>
    </w:p>
    <w:p w14:paraId="53DA388F">
      <w:pPr>
        <w:spacing w:line="360" w:lineRule="auto"/>
        <w:ind w:firstLine="480"/>
        <w:rPr>
          <w:rFonts w:ascii="宋体" w:hAnsi="宋体" w:cs="宋体"/>
          <w:snapToGrid w:val="0"/>
          <w:color w:val="auto"/>
          <w:kern w:val="0"/>
          <w:sz w:val="24"/>
          <w:highlight w:val="none"/>
        </w:rPr>
      </w:pPr>
      <w:r>
        <w:rPr>
          <w:rFonts w:hint="eastAsia" w:ascii="宋体" w:hAnsi="宋体" w:cs="宋体"/>
          <w:snapToGrid w:val="0"/>
          <w:color w:val="auto"/>
          <w:kern w:val="0"/>
          <w:sz w:val="24"/>
          <w:highlight w:val="none"/>
        </w:rPr>
        <w:t>19.14承包人应独立、有效地做好该工程周边的有关群众工作，并充分考虑工程实施范围内外的单位、个人和其他可能出现阻挠施工的情况，若发生的机械台班停置费、二次机械进退场费、人员窝工、处理周边群众纠纷等费用和损失，由投标人自行考虑，并列入投标报价，工程竣工结算时不作调整。</w:t>
      </w:r>
    </w:p>
    <w:p w14:paraId="75B8A960">
      <w:pPr>
        <w:spacing w:line="360" w:lineRule="auto"/>
        <w:ind w:firstLine="480"/>
        <w:rPr>
          <w:rFonts w:ascii="宋体" w:hAnsi="宋体" w:cs="宋体"/>
          <w:snapToGrid w:val="0"/>
          <w:color w:val="auto"/>
          <w:kern w:val="0"/>
          <w:sz w:val="24"/>
          <w:highlight w:val="none"/>
        </w:rPr>
      </w:pPr>
      <w:r>
        <w:rPr>
          <w:rFonts w:hint="eastAsia" w:ascii="宋体" w:hAnsi="宋体" w:cs="宋体"/>
          <w:snapToGrid w:val="0"/>
          <w:color w:val="auto"/>
          <w:kern w:val="0"/>
          <w:sz w:val="24"/>
          <w:highlight w:val="none"/>
        </w:rPr>
        <w:t>19.15确定投标报价时，投标人应考虑施工过程中产生的建筑垃圾必须运出崇川区全境以外，否则，除须接受相关部门的处罚外，发现一次发包人将视情节严重向承包人收取1-10万元/次的违约金，并有权要求其重新清运出。清运前承包人必须向发包人指明堆放地点(该地点必须符合相关部门要求)，相关部门收取的建筑垃圾处置费由投标人考虑在报价中。</w:t>
      </w:r>
    </w:p>
    <w:p w14:paraId="4846C980">
      <w:pPr>
        <w:spacing w:line="360" w:lineRule="auto"/>
        <w:ind w:firstLine="480"/>
        <w:rPr>
          <w:rFonts w:ascii="宋体" w:hAnsi="宋体" w:cs="宋体"/>
          <w:snapToGrid w:val="0"/>
          <w:color w:val="auto"/>
          <w:kern w:val="0"/>
          <w:sz w:val="24"/>
          <w:highlight w:val="none"/>
        </w:rPr>
      </w:pPr>
      <w:r>
        <w:rPr>
          <w:rFonts w:hint="eastAsia" w:ascii="宋体" w:hAnsi="宋体" w:cs="宋体"/>
          <w:snapToGrid w:val="0"/>
          <w:color w:val="auto"/>
          <w:kern w:val="0"/>
          <w:sz w:val="24"/>
          <w:highlight w:val="none"/>
        </w:rPr>
        <w:t>19.16若投标人在投标报价时擅自改变招标文件及清单内容，评审时未被发现，实际施工时均按招标文件及清单内容执行，结算时不予调整。</w:t>
      </w:r>
    </w:p>
    <w:p w14:paraId="5EAD16A1">
      <w:pPr>
        <w:spacing w:line="360" w:lineRule="auto"/>
        <w:ind w:firstLine="480"/>
        <w:rPr>
          <w:rFonts w:ascii="宋体" w:hAnsi="宋体" w:cs="宋体"/>
          <w:snapToGrid w:val="0"/>
          <w:color w:val="auto"/>
          <w:kern w:val="0"/>
          <w:sz w:val="24"/>
          <w:highlight w:val="none"/>
        </w:rPr>
      </w:pPr>
      <w:r>
        <w:rPr>
          <w:rFonts w:hint="eastAsia" w:ascii="宋体" w:hAnsi="宋体" w:cs="宋体"/>
          <w:snapToGrid w:val="0"/>
          <w:color w:val="auto"/>
          <w:kern w:val="0"/>
          <w:sz w:val="24"/>
          <w:highlight w:val="none"/>
        </w:rPr>
        <w:t>19.17投标单位在投标报价时应充分考虑施工过程中对原有建筑工程结构及饰面造成破损及损坏部分进行修复，使其恢复原样等所包含的各项费用，并综合考虑在投标报价中，结算时不再另行支付其费用。</w:t>
      </w:r>
    </w:p>
    <w:p w14:paraId="314A043E">
      <w:pPr>
        <w:spacing w:line="360" w:lineRule="auto"/>
        <w:ind w:firstLine="480"/>
        <w:rPr>
          <w:rFonts w:ascii="宋体" w:hAnsi="宋体" w:cs="宋体"/>
          <w:snapToGrid w:val="0"/>
          <w:color w:val="auto"/>
          <w:kern w:val="0"/>
          <w:sz w:val="24"/>
          <w:highlight w:val="none"/>
        </w:rPr>
      </w:pPr>
      <w:r>
        <w:rPr>
          <w:rFonts w:hint="eastAsia" w:ascii="宋体" w:hAnsi="宋体" w:cs="宋体"/>
          <w:snapToGrid w:val="0"/>
          <w:color w:val="auto"/>
          <w:kern w:val="0"/>
          <w:sz w:val="24"/>
          <w:highlight w:val="none"/>
        </w:rPr>
        <w:t>19.18投标人工地踏勘应充分了解工地位置情况，道路、储存空间、装卸限制及任何其它足以影响报价的情况，任何忽视或误解工地情况而导致的索赔及工期延长申请将不被批准。</w:t>
      </w:r>
    </w:p>
    <w:p w14:paraId="7F918B9F">
      <w:pPr>
        <w:spacing w:line="360" w:lineRule="auto"/>
        <w:ind w:firstLine="480"/>
        <w:rPr>
          <w:rFonts w:ascii="宋体" w:hAnsi="宋体" w:cs="宋体"/>
          <w:snapToGrid w:val="0"/>
          <w:color w:val="auto"/>
          <w:kern w:val="0"/>
          <w:sz w:val="24"/>
          <w:highlight w:val="none"/>
        </w:rPr>
      </w:pPr>
      <w:r>
        <w:rPr>
          <w:rFonts w:hint="eastAsia" w:ascii="宋体" w:hAnsi="宋体" w:cs="宋体"/>
          <w:snapToGrid w:val="0"/>
          <w:color w:val="auto"/>
          <w:kern w:val="0"/>
          <w:sz w:val="24"/>
          <w:highlight w:val="none"/>
        </w:rPr>
        <w:t>19.19中标单位不得拒绝完成建设单位在施工地点范围内变更或要求增加和减少的工程内容。</w:t>
      </w:r>
    </w:p>
    <w:p w14:paraId="0DA64F72">
      <w:pPr>
        <w:spacing w:line="360" w:lineRule="auto"/>
        <w:ind w:firstLine="480"/>
        <w:rPr>
          <w:rFonts w:ascii="宋体" w:hAnsi="宋体" w:cs="宋体"/>
          <w:snapToGrid w:val="0"/>
          <w:color w:val="auto"/>
          <w:kern w:val="0"/>
          <w:sz w:val="24"/>
          <w:highlight w:val="none"/>
        </w:rPr>
      </w:pPr>
      <w:r>
        <w:rPr>
          <w:rFonts w:hint="eastAsia" w:ascii="宋体" w:hAnsi="宋体" w:cs="宋体"/>
          <w:snapToGrid w:val="0"/>
          <w:color w:val="auto"/>
          <w:kern w:val="0"/>
          <w:sz w:val="24"/>
          <w:highlight w:val="none"/>
        </w:rPr>
        <w:t>19.20本工程在实施过程中可能会受到季节、气候的影响，对于可能发生的回填土处理，请各投标单位结合工程实际情况在施工方案中写明应该采用的相应措施，以确保工程质量和工期，并将相关费用列入其他项目清单计价表的投标人部分，今后不再计量。</w:t>
      </w:r>
    </w:p>
    <w:p w14:paraId="4042857B">
      <w:pPr>
        <w:spacing w:line="360" w:lineRule="auto"/>
        <w:ind w:firstLine="480"/>
        <w:rPr>
          <w:rFonts w:ascii="宋体" w:hAnsi="宋体" w:cs="宋体"/>
          <w:snapToGrid w:val="0"/>
          <w:color w:val="auto"/>
          <w:kern w:val="0"/>
          <w:sz w:val="24"/>
          <w:highlight w:val="none"/>
        </w:rPr>
      </w:pPr>
      <w:r>
        <w:rPr>
          <w:rFonts w:hint="eastAsia" w:ascii="宋体" w:hAnsi="宋体" w:cs="宋体"/>
          <w:snapToGrid w:val="0"/>
          <w:color w:val="auto"/>
          <w:kern w:val="0"/>
          <w:sz w:val="24"/>
          <w:highlight w:val="none"/>
        </w:rPr>
        <w:t>19.21中标单位不得将施工过程中的泥浆水排入原有雨污水系统，以免造成堵塞。</w:t>
      </w:r>
    </w:p>
    <w:p w14:paraId="53079AF2">
      <w:pPr>
        <w:spacing w:line="360" w:lineRule="auto"/>
        <w:ind w:firstLine="480"/>
        <w:rPr>
          <w:rFonts w:ascii="宋体" w:hAnsi="宋体"/>
          <w:snapToGrid w:val="0"/>
          <w:color w:val="auto"/>
          <w:kern w:val="0"/>
          <w:sz w:val="24"/>
          <w:highlight w:val="none"/>
        </w:rPr>
      </w:pPr>
      <w:r>
        <w:rPr>
          <w:rFonts w:hint="eastAsia" w:ascii="宋体" w:hAnsi="宋体" w:cs="宋体"/>
          <w:snapToGrid w:val="0"/>
          <w:color w:val="auto"/>
          <w:kern w:val="0"/>
          <w:sz w:val="24"/>
          <w:highlight w:val="none"/>
        </w:rPr>
        <w:t>19.22</w:t>
      </w:r>
      <w:r>
        <w:rPr>
          <w:rFonts w:hint="eastAsia" w:ascii="宋体" w:hAnsi="宋体"/>
          <w:snapToGrid w:val="0"/>
          <w:color w:val="auto"/>
          <w:kern w:val="0"/>
          <w:sz w:val="24"/>
          <w:highlight w:val="none"/>
        </w:rPr>
        <w:t>在工程实施过程中，承包人必须收集齐全所有隐蔽项目（包含但不限于拆除、基层垫层面层的铺设及厚度测量、土方开挖、降水、回填处理、管道开挖安放、井砌筑等）的影像视频资料，在送审结算资料中必须一并提交。所有签证资料必须附有详细影像彩色照片，所摄照片必须有可参照性。如影像资料未能反映清单、签证等列明的工作内容则结算时该项内容不予认可。</w:t>
      </w:r>
    </w:p>
    <w:p w14:paraId="65D018E4">
      <w:pPr>
        <w:spacing w:line="360" w:lineRule="auto"/>
        <w:ind w:firstLine="480"/>
        <w:rPr>
          <w:rFonts w:ascii="宋体" w:hAnsi="宋体"/>
          <w:snapToGrid w:val="0"/>
          <w:color w:val="auto"/>
          <w:kern w:val="0"/>
          <w:sz w:val="24"/>
          <w:highlight w:val="none"/>
        </w:rPr>
      </w:pPr>
      <w:r>
        <w:rPr>
          <w:rFonts w:hint="eastAsia" w:ascii="宋体" w:hAnsi="宋体"/>
          <w:snapToGrid w:val="0"/>
          <w:color w:val="auto"/>
          <w:kern w:val="0"/>
          <w:sz w:val="24"/>
          <w:highlight w:val="none"/>
        </w:rPr>
        <w:t>19.23各投标人应充分考虑本工程各项费用风险，周密调研，理性报价。</w:t>
      </w:r>
    </w:p>
    <w:p w14:paraId="7B57E101">
      <w:pPr>
        <w:spacing w:line="360" w:lineRule="auto"/>
        <w:ind w:firstLine="480"/>
        <w:rPr>
          <w:rFonts w:ascii="宋体" w:hAnsi="宋体"/>
          <w:snapToGrid w:val="0"/>
          <w:color w:val="auto"/>
          <w:kern w:val="0"/>
          <w:sz w:val="24"/>
          <w:highlight w:val="none"/>
        </w:rPr>
      </w:pPr>
      <w:r>
        <w:rPr>
          <w:rFonts w:hint="eastAsia" w:ascii="宋体" w:hAnsi="宋体"/>
          <w:snapToGrid w:val="0"/>
          <w:color w:val="auto"/>
          <w:kern w:val="0"/>
          <w:sz w:val="24"/>
          <w:highlight w:val="none"/>
        </w:rPr>
        <w:t>19.24与其他承包商间的协调、配合、通信关系，由中标人自行解决，确保各分项工程满足设计图纸、验收规范等要求，发生的费用由投标人自行承担，并相互做好成品保护工作，并无条件接受招标人的总包管理，不再另行支付任何涉及工序交叉影响的费用。</w:t>
      </w:r>
    </w:p>
    <w:p w14:paraId="755FDF11">
      <w:pPr>
        <w:spacing w:line="360" w:lineRule="auto"/>
        <w:ind w:firstLine="480"/>
        <w:rPr>
          <w:rFonts w:ascii="宋体" w:hAnsi="宋体" w:cs="宋体"/>
          <w:snapToGrid w:val="0"/>
          <w:color w:val="auto"/>
          <w:kern w:val="0"/>
          <w:sz w:val="24"/>
          <w:highlight w:val="none"/>
        </w:rPr>
      </w:pPr>
      <w:r>
        <w:rPr>
          <w:rFonts w:hint="eastAsia" w:ascii="宋体" w:hAnsi="宋体" w:cs="宋体"/>
          <w:snapToGrid w:val="0"/>
          <w:color w:val="auto"/>
          <w:kern w:val="0"/>
          <w:sz w:val="24"/>
          <w:highlight w:val="none"/>
        </w:rPr>
        <w:t>19.25本工程如涉及到下井作业的情况，为确保施工人员的安全，下井作业的通风、防护等保障措施必须到位，该费用计入投标报价，结算时不做调整。</w:t>
      </w:r>
    </w:p>
    <w:p w14:paraId="79FD8B2E">
      <w:pPr>
        <w:spacing w:line="360" w:lineRule="auto"/>
        <w:ind w:firstLine="480"/>
        <w:rPr>
          <w:rFonts w:ascii="宋体" w:hAnsi="宋体" w:cs="宋体"/>
          <w:snapToGrid w:val="0"/>
          <w:color w:val="auto"/>
          <w:kern w:val="0"/>
          <w:sz w:val="24"/>
          <w:highlight w:val="none"/>
        </w:rPr>
      </w:pPr>
      <w:r>
        <w:rPr>
          <w:rFonts w:hint="eastAsia" w:ascii="宋体" w:hAnsi="宋体" w:cs="宋体"/>
          <w:snapToGrid w:val="0"/>
          <w:color w:val="auto"/>
          <w:kern w:val="0"/>
          <w:sz w:val="24"/>
          <w:highlight w:val="none"/>
        </w:rPr>
        <w:t>19.26本工程如遇地下管线错综复杂，投标人须综合考虑保护费用，该费用计入投标报价，结算时不做调整。如发生破坏，须按要求恢复，一切损失由中标单位承担。</w:t>
      </w:r>
    </w:p>
    <w:p w14:paraId="0ED1553B">
      <w:pPr>
        <w:spacing w:line="360" w:lineRule="auto"/>
        <w:ind w:firstLine="480"/>
        <w:rPr>
          <w:rFonts w:ascii="宋体" w:hAnsi="宋体" w:cs="宋体"/>
          <w:snapToGrid w:val="0"/>
          <w:color w:val="auto"/>
          <w:kern w:val="0"/>
          <w:sz w:val="24"/>
          <w:highlight w:val="none"/>
        </w:rPr>
      </w:pPr>
      <w:r>
        <w:rPr>
          <w:rFonts w:hint="eastAsia" w:ascii="宋体" w:hAnsi="宋体" w:cs="宋体"/>
          <w:snapToGrid w:val="0"/>
          <w:color w:val="auto"/>
          <w:kern w:val="0"/>
          <w:sz w:val="24"/>
          <w:highlight w:val="none"/>
        </w:rPr>
        <w:t>19.27各投标人应考虑施工道路范围内的工厂、单位、住户的安全、便利出行所采取的措施，费用列入报价。</w:t>
      </w:r>
    </w:p>
    <w:p w14:paraId="0FBF731B">
      <w:pPr>
        <w:spacing w:line="360" w:lineRule="auto"/>
        <w:ind w:firstLine="480"/>
        <w:rPr>
          <w:rFonts w:ascii="宋体" w:hAnsi="宋体" w:cs="宋体"/>
          <w:snapToGrid w:val="0"/>
          <w:color w:val="auto"/>
          <w:kern w:val="0"/>
          <w:sz w:val="24"/>
          <w:highlight w:val="none"/>
        </w:rPr>
      </w:pPr>
      <w:r>
        <w:rPr>
          <w:rFonts w:hint="eastAsia" w:ascii="宋体" w:hAnsi="宋体" w:cs="宋体"/>
          <w:snapToGrid w:val="0"/>
          <w:color w:val="auto"/>
          <w:kern w:val="0"/>
          <w:sz w:val="24"/>
          <w:highlight w:val="none"/>
        </w:rPr>
        <w:t>19.28现场因施工需要过墙、过防火分区及防护分区所需开孔及按规范进行的封堵由中标人自行考虑。</w:t>
      </w:r>
    </w:p>
    <w:p w14:paraId="3EAF8EE7">
      <w:pPr>
        <w:spacing w:line="360" w:lineRule="auto"/>
        <w:ind w:firstLine="480"/>
        <w:rPr>
          <w:rFonts w:ascii="宋体" w:hAnsi="宋体" w:cs="宋体"/>
          <w:snapToGrid w:val="0"/>
          <w:color w:val="auto"/>
          <w:kern w:val="0"/>
          <w:sz w:val="24"/>
          <w:highlight w:val="none"/>
        </w:rPr>
      </w:pPr>
      <w:r>
        <w:rPr>
          <w:rFonts w:hint="eastAsia" w:ascii="宋体" w:hAnsi="宋体" w:cs="宋体"/>
          <w:snapToGrid w:val="0"/>
          <w:color w:val="auto"/>
          <w:kern w:val="0"/>
          <w:sz w:val="24"/>
          <w:highlight w:val="none"/>
        </w:rPr>
        <w:t>19.29室外施工过程中，穿线井或手井因避让、配合其他专业管线需调整、移位、调整标高等事项由中标人自行考虑。</w:t>
      </w:r>
    </w:p>
    <w:p w14:paraId="700A0151">
      <w:pPr>
        <w:spacing w:line="360" w:lineRule="auto"/>
        <w:ind w:firstLine="480"/>
        <w:rPr>
          <w:rFonts w:ascii="宋体" w:hAnsi="宋体" w:cs="宋体"/>
          <w:snapToGrid w:val="0"/>
          <w:color w:val="auto"/>
          <w:kern w:val="0"/>
          <w:sz w:val="24"/>
          <w:highlight w:val="none"/>
        </w:rPr>
      </w:pPr>
      <w:r>
        <w:rPr>
          <w:rFonts w:hint="eastAsia" w:ascii="宋体" w:hAnsi="宋体" w:cs="宋体"/>
          <w:snapToGrid w:val="0"/>
          <w:color w:val="auto"/>
          <w:kern w:val="0"/>
          <w:sz w:val="24"/>
          <w:highlight w:val="none"/>
        </w:rPr>
        <w:t>19.30本工程所有的摄像机与中心平台接入等涉及的相关费用各投标人在投标报价时自行综合考虑，招标人不再另行支付其费用，工程结算时不作调整。</w:t>
      </w:r>
    </w:p>
    <w:p w14:paraId="4AE1729E">
      <w:pPr>
        <w:spacing w:line="360" w:lineRule="auto"/>
        <w:ind w:firstLine="480"/>
        <w:rPr>
          <w:rFonts w:ascii="宋体" w:hAnsi="宋体" w:cs="宋体"/>
          <w:snapToGrid w:val="0"/>
          <w:color w:val="auto"/>
          <w:kern w:val="0"/>
          <w:sz w:val="24"/>
          <w:highlight w:val="none"/>
        </w:rPr>
      </w:pPr>
      <w:r>
        <w:rPr>
          <w:rFonts w:hint="eastAsia" w:ascii="宋体" w:hAnsi="宋体" w:cs="宋体"/>
          <w:snapToGrid w:val="0"/>
          <w:color w:val="auto"/>
          <w:kern w:val="0"/>
          <w:sz w:val="24"/>
          <w:highlight w:val="none"/>
        </w:rPr>
        <w:t>19.31本工程室外线路均采用防水线缆。</w:t>
      </w:r>
    </w:p>
    <w:p w14:paraId="45F6EA58">
      <w:pPr>
        <w:spacing w:line="360" w:lineRule="auto"/>
        <w:ind w:firstLine="480"/>
        <w:rPr>
          <w:rFonts w:ascii="宋体" w:hAnsi="宋体" w:cs="宋体"/>
          <w:snapToGrid w:val="0"/>
          <w:color w:val="auto"/>
          <w:kern w:val="0"/>
          <w:sz w:val="24"/>
          <w:highlight w:val="none"/>
        </w:rPr>
      </w:pPr>
      <w:r>
        <w:rPr>
          <w:rFonts w:hint="eastAsia" w:ascii="宋体" w:hAnsi="宋体" w:cs="宋体"/>
          <w:snapToGrid w:val="0"/>
          <w:color w:val="auto"/>
          <w:kern w:val="0"/>
          <w:sz w:val="24"/>
          <w:highlight w:val="none"/>
        </w:rPr>
        <w:t>19.32在实际施工中，发包人可以无条件要求施工单位更换不符合要求的产品，购进的材料设备与提供的样品不一致时，由承包人无条件退货，如因使用不符合国家标准及各项指标的材料，由此引起的相关费用由承包人承担，结算时一律不作调整。</w:t>
      </w:r>
    </w:p>
    <w:p w14:paraId="2C890EBB">
      <w:pPr>
        <w:spacing w:line="360" w:lineRule="auto"/>
        <w:ind w:firstLine="480"/>
        <w:rPr>
          <w:rFonts w:ascii="宋体" w:hAnsi="宋体" w:cs="宋体"/>
          <w:snapToGrid w:val="0"/>
          <w:color w:val="auto"/>
          <w:kern w:val="0"/>
          <w:sz w:val="24"/>
          <w:highlight w:val="none"/>
        </w:rPr>
      </w:pPr>
      <w:r>
        <w:rPr>
          <w:rFonts w:hint="eastAsia" w:ascii="宋体" w:hAnsi="宋体" w:cs="宋体"/>
          <w:snapToGrid w:val="0"/>
          <w:color w:val="auto"/>
          <w:kern w:val="0"/>
          <w:sz w:val="24"/>
          <w:highlight w:val="none"/>
        </w:rPr>
        <w:t>19.33中标人必须保证其合同范围实施项目</w:t>
      </w:r>
      <w:r>
        <w:rPr>
          <w:rFonts w:hint="eastAsia" w:ascii="宋体" w:hAnsi="宋体" w:cs="宋体"/>
          <w:snapToGrid w:val="0"/>
          <w:color w:val="auto"/>
          <w:kern w:val="0"/>
          <w:sz w:val="24"/>
          <w:highlight w:val="none"/>
        </w:rPr>
        <w:t>一次性通过政法委、公安等相关部门验收，</w:t>
      </w:r>
      <w:r>
        <w:rPr>
          <w:rFonts w:hint="eastAsia" w:ascii="宋体" w:hAnsi="宋体" w:cs="宋体"/>
          <w:snapToGrid w:val="0"/>
          <w:color w:val="auto"/>
          <w:kern w:val="0"/>
          <w:sz w:val="24"/>
          <w:highlight w:val="none"/>
        </w:rPr>
        <w:t xml:space="preserve">如因自身原因不能通过验收导致项目不能竣工交付和经济损失的，招标人将追究其违约责任。 </w:t>
      </w:r>
    </w:p>
    <w:p w14:paraId="2106F0D4">
      <w:pPr>
        <w:spacing w:line="360" w:lineRule="auto"/>
        <w:ind w:firstLine="480"/>
        <w:rPr>
          <w:rFonts w:ascii="宋体" w:hAnsi="宋体" w:cs="宋体"/>
          <w:snapToGrid w:val="0"/>
          <w:color w:val="auto"/>
          <w:kern w:val="0"/>
          <w:sz w:val="24"/>
          <w:highlight w:val="none"/>
        </w:rPr>
      </w:pPr>
      <w:r>
        <w:rPr>
          <w:rFonts w:hint="eastAsia" w:ascii="宋体" w:hAnsi="宋体" w:cs="宋体"/>
          <w:snapToGrid w:val="0"/>
          <w:color w:val="auto"/>
          <w:kern w:val="0"/>
          <w:sz w:val="24"/>
          <w:highlight w:val="none"/>
        </w:rPr>
        <w:t>19.34</w:t>
      </w:r>
      <w:bookmarkStart w:id="29" w:name="_Hlk183102741"/>
      <w:r>
        <w:rPr>
          <w:rFonts w:hint="eastAsia" w:ascii="宋体" w:hAnsi="宋体" w:cs="宋体"/>
          <w:snapToGrid w:val="0"/>
          <w:color w:val="auto"/>
          <w:kern w:val="0"/>
          <w:sz w:val="24"/>
          <w:highlight w:val="none"/>
        </w:rPr>
        <w:t>本工程技术标准和要求中，</w:t>
      </w:r>
      <w:bookmarkEnd w:id="29"/>
      <w:r>
        <w:rPr>
          <w:rFonts w:hint="eastAsia" w:ascii="宋体" w:hAnsi="宋体" w:cs="宋体"/>
          <w:snapToGrid w:val="0"/>
          <w:color w:val="auto"/>
          <w:kern w:val="0"/>
          <w:sz w:val="24"/>
          <w:highlight w:val="none"/>
        </w:rPr>
        <w:t>★项技术条款必须提供具有</w:t>
      </w:r>
      <w:r>
        <w:rPr>
          <w:rFonts w:hint="eastAsia" w:ascii="宋体" w:hAnsi="宋体" w:cs="宋体"/>
          <w:snapToGrid w:val="0"/>
          <w:color w:val="auto"/>
          <w:kern w:val="0"/>
          <w:sz w:val="24"/>
          <w:highlight w:val="none"/>
        </w:rPr>
        <w:t>CNAS或CMA标识的</w:t>
      </w:r>
      <w:r>
        <w:rPr>
          <w:rFonts w:hint="eastAsia" w:ascii="宋体" w:hAnsi="宋体" w:cs="宋体"/>
          <w:snapToGrid w:val="0"/>
          <w:color w:val="auto"/>
          <w:kern w:val="0"/>
          <w:sz w:val="24"/>
          <w:highlight w:val="none"/>
        </w:rPr>
        <w:t>第三方认证机构出具的检测报告复印件加盖投标单位公章，该有效检测报告需由中标人在中标公示期满后</w:t>
      </w:r>
      <w:r>
        <w:rPr>
          <w:rFonts w:hint="eastAsia" w:ascii="宋体" w:hAnsi="宋体" w:cs="宋体"/>
          <w:snapToGrid w:val="0"/>
          <w:color w:val="auto"/>
          <w:kern w:val="0"/>
          <w:sz w:val="24"/>
          <w:highlight w:val="none"/>
        </w:rPr>
        <w:t>5个工作日内</w:t>
      </w:r>
      <w:r>
        <w:rPr>
          <w:rFonts w:hint="eastAsia" w:ascii="宋体" w:hAnsi="宋体" w:cs="宋体"/>
          <w:snapToGrid w:val="0"/>
          <w:color w:val="auto"/>
          <w:kern w:val="0"/>
          <w:sz w:val="24"/>
          <w:highlight w:val="none"/>
        </w:rPr>
        <w:t>提供，若不能提供有效的材料或提供不全的，则视为投标人自动放弃中标资格并承担所有的违约处理，如投标保证金不予退还。招标人可以按照评标委员会提出的中标候选人名单排序依次确定其他中标候选人为中标人（中标人必须在接到招标人通知后5个工作日内提供有效检测报告供招标人核实，如不能如期提供则视为自动放弃中标资格），也可以重新招标。</w:t>
      </w:r>
    </w:p>
    <w:p w14:paraId="2251C724">
      <w:pPr>
        <w:pStyle w:val="7"/>
        <w:spacing w:line="440" w:lineRule="exact"/>
        <w:ind w:firstLine="480" w:firstLineChars="200"/>
        <w:rPr>
          <w:rFonts w:ascii="宋体" w:hAnsi="宋体" w:cs="宋体"/>
          <w:snapToGrid w:val="0"/>
          <w:color w:val="auto"/>
          <w:highlight w:val="none"/>
        </w:rPr>
      </w:pPr>
      <w:r>
        <w:rPr>
          <w:rFonts w:hint="eastAsia" w:ascii="宋体" w:hAnsi="宋体" w:cs="宋体"/>
          <w:snapToGrid w:val="0"/>
          <w:color w:val="auto"/>
          <w:highlight w:val="none"/>
        </w:rPr>
        <w:t>19.35投标报价中包含五年运维期间的电费（包含岗亭空调等和智能化相关设备的电费）。中标单位须在竣工验收时提供施工期间电费缴纳证明和下一年度电费预付证明，在竣工验收每满一年须提供上一年电费缴清证明材料和下一年度的电费预付证明，如不能提供或查询到存在费用未缴清，招标人有权从工程款中双倍扣除，扣完为止。</w:t>
      </w:r>
    </w:p>
    <w:p w14:paraId="3651668D">
      <w:pPr>
        <w:pStyle w:val="7"/>
        <w:spacing w:line="440" w:lineRule="exact"/>
        <w:ind w:firstLine="480" w:firstLineChars="200"/>
        <w:rPr>
          <w:rFonts w:ascii="宋体" w:hAnsi="宋体" w:cs="宋体"/>
          <w:snapToGrid w:val="0"/>
          <w:color w:val="auto"/>
          <w:highlight w:val="none"/>
        </w:rPr>
      </w:pPr>
      <w:r>
        <w:rPr>
          <w:rFonts w:hint="eastAsia" w:ascii="宋体" w:hAnsi="宋体" w:cs="宋体"/>
          <w:snapToGrid w:val="0"/>
          <w:color w:val="auto"/>
          <w:highlight w:val="none"/>
        </w:rPr>
        <w:t>19.36小区出入口公安侧摄像机接入到公安汇聚点，由施工单位负责建设，符合《南通市崇川区老旧小区改造中小区出入口前端感知安防设施施工及验收要求》，此费用包含在投标报价中，结算时不作调整。</w:t>
      </w:r>
    </w:p>
    <w:p w14:paraId="6BD80B15">
      <w:pPr>
        <w:pStyle w:val="7"/>
        <w:spacing w:line="440" w:lineRule="exact"/>
        <w:ind w:firstLine="480" w:firstLineChars="200"/>
        <w:rPr>
          <w:rFonts w:ascii="宋体" w:hAnsi="宋体" w:cs="宋体"/>
          <w:snapToGrid w:val="0"/>
          <w:color w:val="auto"/>
          <w:highlight w:val="none"/>
        </w:rPr>
      </w:pPr>
      <w:r>
        <w:rPr>
          <w:rFonts w:hint="eastAsia" w:ascii="宋体" w:hAnsi="宋体" w:cs="宋体"/>
          <w:snapToGrid w:val="0"/>
          <w:color w:val="auto"/>
          <w:highlight w:val="none"/>
        </w:rPr>
        <w:t>19.37小区里原有公安布设的摄像机，施工单位负责将与崇川区公安分局技防大队联系按期要求拆移。此费用包含在投标报价中，结算时不作调整。</w:t>
      </w:r>
    </w:p>
    <w:p w14:paraId="5A2E18FE">
      <w:pPr>
        <w:pStyle w:val="7"/>
        <w:spacing w:line="440" w:lineRule="exact"/>
        <w:ind w:firstLine="480" w:firstLineChars="200"/>
        <w:rPr>
          <w:rFonts w:ascii="宋体" w:hAnsi="宋体" w:cs="宋体"/>
          <w:snapToGrid w:val="0"/>
          <w:color w:val="auto"/>
          <w:highlight w:val="none"/>
        </w:rPr>
      </w:pPr>
      <w:r>
        <w:rPr>
          <w:rFonts w:hint="eastAsia" w:ascii="宋体" w:hAnsi="宋体" w:cs="宋体"/>
          <w:snapToGrid w:val="0"/>
          <w:color w:val="auto"/>
          <w:highlight w:val="none"/>
        </w:rPr>
        <w:t>19.38图纸中非机动车位的热敏感报警摄像机由后期充电桩运营公司负责安装，本次智能化施工管、线预留到位。人车非、生物特征摄像机选型需满足公安要求。</w:t>
      </w:r>
    </w:p>
    <w:p w14:paraId="3581A58F">
      <w:pPr>
        <w:pStyle w:val="7"/>
        <w:spacing w:line="440" w:lineRule="exact"/>
        <w:ind w:firstLine="480" w:firstLineChars="200"/>
        <w:rPr>
          <w:rFonts w:ascii="宋体" w:hAnsi="宋体" w:cs="宋体"/>
          <w:snapToGrid w:val="0"/>
          <w:color w:val="auto"/>
          <w:highlight w:val="none"/>
        </w:rPr>
      </w:pPr>
      <w:r>
        <w:rPr>
          <w:rFonts w:hint="eastAsia" w:ascii="宋体" w:hAnsi="宋体" w:cs="宋体"/>
          <w:snapToGrid w:val="0"/>
          <w:color w:val="auto"/>
          <w:highlight w:val="none"/>
        </w:rPr>
        <w:t>19.39前端设备、系统需支持接入国产化平台。</w:t>
      </w:r>
    </w:p>
    <w:p w14:paraId="49B93E42">
      <w:pPr>
        <w:pStyle w:val="7"/>
        <w:spacing w:line="440" w:lineRule="exact"/>
        <w:ind w:firstLine="480" w:firstLineChars="200"/>
        <w:rPr>
          <w:rFonts w:ascii="宋体" w:hAnsi="宋体" w:cs="宋体"/>
          <w:snapToGrid w:val="0"/>
          <w:color w:val="auto"/>
          <w:highlight w:val="none"/>
        </w:rPr>
      </w:pPr>
      <w:r>
        <w:rPr>
          <w:rFonts w:hint="eastAsia" w:ascii="宋体" w:hAnsi="宋体" w:cs="宋体"/>
          <w:snapToGrid w:val="0"/>
          <w:color w:val="auto"/>
          <w:highlight w:val="none"/>
        </w:rPr>
        <w:t xml:space="preserve">19.40中标人必须按照工程设计图纸和施工技术标准施工，不得擅自修改工程设计。中标单位在施工过程中发现设计文件和图纸有不足，或者实际现状与图纸布局有变更变化，应当及时通知设计单位，并提出意见和建议，同步进行设计变更后方可继续施工。 </w:t>
      </w:r>
    </w:p>
    <w:p w14:paraId="6296459D">
      <w:pPr>
        <w:spacing w:line="360" w:lineRule="auto"/>
        <w:ind w:firstLine="480"/>
        <w:rPr>
          <w:rFonts w:ascii="宋体" w:hAnsi="宋体" w:cs="宋体"/>
          <w:snapToGrid w:val="0"/>
          <w:color w:val="auto"/>
          <w:kern w:val="0"/>
          <w:sz w:val="24"/>
          <w:highlight w:val="none"/>
        </w:rPr>
      </w:pPr>
      <w:r>
        <w:rPr>
          <w:rFonts w:hint="eastAsia" w:ascii="宋体" w:hAnsi="宋体" w:cs="宋体"/>
          <w:b/>
          <w:bCs/>
          <w:snapToGrid w:val="0"/>
          <w:color w:val="auto"/>
          <w:kern w:val="0"/>
          <w:sz w:val="24"/>
          <w:highlight w:val="none"/>
        </w:rPr>
        <w:t>19.41 因本项目涉及与本地运营商共管共井</w:t>
      </w:r>
      <w:r>
        <w:rPr>
          <w:rFonts w:hint="eastAsia" w:ascii="宋体" w:hAnsi="宋体" w:cs="宋体"/>
          <w:b/>
          <w:bCs/>
          <w:snapToGrid w:val="0"/>
          <w:color w:val="auto"/>
          <w:kern w:val="0"/>
          <w:sz w:val="24"/>
          <w:highlight w:val="none"/>
        </w:rPr>
        <w:t>及信息保密要求</w:t>
      </w:r>
      <w:r>
        <w:rPr>
          <w:rFonts w:hint="eastAsia" w:ascii="宋体" w:hAnsi="宋体" w:cs="宋体"/>
          <w:b/>
          <w:bCs/>
          <w:snapToGrid w:val="0"/>
          <w:color w:val="auto"/>
          <w:kern w:val="0"/>
          <w:sz w:val="24"/>
          <w:highlight w:val="none"/>
        </w:rPr>
        <w:t>，中标人在中标公示期满后5个工作日内提供具有通信线路资源（提供相关运营证明文件）和信息保密承诺书原件，</w:t>
      </w:r>
      <w:r>
        <w:rPr>
          <w:rFonts w:hint="eastAsia" w:ascii="宋体" w:hAnsi="宋体" w:cs="宋体"/>
          <w:snapToGrid w:val="0"/>
          <w:color w:val="auto"/>
          <w:kern w:val="0"/>
          <w:sz w:val="24"/>
          <w:highlight w:val="none"/>
        </w:rPr>
        <w:t>若不能提供有效的材料或提供不全的，则视为投标人自动放弃中标资格并承担所有的违约处理，如投标保证金不予退还。招标人可以按照评标委员会提出的中标候选人名单排序依次确定其他中标候选人为中标人（中标人必须在接到招标人通知后5个工作日内提供具有通信线路资源（提供相关运营证明文件和信息保密承诺书原件）供招标人核实，如不能如期提供则视为自动放弃中标资格），也可以重新招标。</w:t>
      </w:r>
    </w:p>
    <w:p w14:paraId="39F9777F">
      <w:pPr>
        <w:pStyle w:val="7"/>
        <w:spacing w:line="440" w:lineRule="exact"/>
        <w:ind w:firstLine="480" w:firstLineChars="200"/>
        <w:rPr>
          <w:rFonts w:ascii="宋体" w:hAnsi="宋体" w:cs="宋体"/>
          <w:snapToGrid w:val="0"/>
          <w:color w:val="auto"/>
          <w:highlight w:val="none"/>
        </w:rPr>
      </w:pPr>
      <w:r>
        <w:rPr>
          <w:rFonts w:hint="eastAsia" w:ascii="宋体" w:hAnsi="宋体" w:cs="宋体"/>
          <w:snapToGrid w:val="0"/>
          <w:color w:val="auto"/>
          <w:highlight w:val="none"/>
        </w:rPr>
        <w:t>19.42其他未尽事宜在书面答疑中明确。</w:t>
      </w:r>
    </w:p>
    <w:p w14:paraId="326A0659">
      <w:pPr>
        <w:pStyle w:val="4"/>
        <w:rPr>
          <w:rFonts w:ascii="宋体" w:hAnsi="宋体"/>
          <w:color w:val="auto"/>
          <w:sz w:val="24"/>
          <w:szCs w:val="24"/>
          <w:highlight w:val="none"/>
        </w:rPr>
      </w:pPr>
      <w:r>
        <w:rPr>
          <w:rFonts w:ascii="宋体" w:hAnsi="宋体"/>
          <w:color w:val="auto"/>
          <w:sz w:val="24"/>
          <w:szCs w:val="24"/>
          <w:highlight w:val="none"/>
        </w:rPr>
        <w:t>（</w:t>
      </w:r>
      <w:r>
        <w:rPr>
          <w:rFonts w:hint="eastAsia" w:ascii="宋体" w:hAnsi="宋体"/>
          <w:color w:val="auto"/>
          <w:sz w:val="24"/>
          <w:szCs w:val="24"/>
          <w:highlight w:val="none"/>
        </w:rPr>
        <w:t>五</w:t>
      </w:r>
      <w:r>
        <w:rPr>
          <w:rFonts w:ascii="宋体" w:hAnsi="宋体"/>
          <w:color w:val="auto"/>
          <w:sz w:val="24"/>
          <w:szCs w:val="24"/>
          <w:highlight w:val="none"/>
        </w:rPr>
        <w:t>）投标文件的密封和递交</w:t>
      </w:r>
    </w:p>
    <w:p w14:paraId="28825B8D">
      <w:pPr>
        <w:spacing w:line="360" w:lineRule="auto"/>
        <w:outlineLvl w:val="3"/>
        <w:rPr>
          <w:rFonts w:ascii="宋体" w:hAnsi="宋体"/>
          <w:b/>
          <w:color w:val="auto"/>
          <w:kern w:val="0"/>
          <w:sz w:val="24"/>
          <w:highlight w:val="none"/>
        </w:rPr>
      </w:pPr>
      <w:r>
        <w:rPr>
          <w:rFonts w:ascii="宋体" w:hAnsi="宋体"/>
          <w:b/>
          <w:color w:val="auto"/>
          <w:kern w:val="0"/>
          <w:sz w:val="24"/>
          <w:highlight w:val="none"/>
        </w:rPr>
        <w:t>20</w:t>
      </w:r>
      <w:r>
        <w:rPr>
          <w:rFonts w:hint="eastAsia" w:ascii="宋体" w:hAnsi="宋体"/>
          <w:b/>
          <w:color w:val="auto"/>
          <w:kern w:val="0"/>
          <w:sz w:val="24"/>
          <w:highlight w:val="none"/>
        </w:rPr>
        <w:t>.</w:t>
      </w:r>
      <w:r>
        <w:rPr>
          <w:rFonts w:ascii="宋体" w:hAnsi="宋体"/>
          <w:b/>
          <w:color w:val="auto"/>
          <w:kern w:val="0"/>
          <w:sz w:val="24"/>
          <w:highlight w:val="none"/>
        </w:rPr>
        <w:t>投标文件的密封与标志</w:t>
      </w:r>
    </w:p>
    <w:p w14:paraId="2BFEF42F">
      <w:pPr>
        <w:spacing w:line="360" w:lineRule="auto"/>
        <w:ind w:firstLine="480" w:firstLineChars="200"/>
        <w:rPr>
          <w:rFonts w:ascii="宋体" w:hAnsi="宋体"/>
          <w:color w:val="auto"/>
          <w:sz w:val="24"/>
          <w:highlight w:val="none"/>
        </w:rPr>
      </w:pPr>
      <w:r>
        <w:rPr>
          <w:rFonts w:ascii="宋体" w:hAnsi="宋体"/>
          <w:color w:val="auto"/>
          <w:sz w:val="24"/>
          <w:highlight w:val="none"/>
        </w:rPr>
        <w:t>20.1 本工程投标文件由</w:t>
      </w:r>
      <w:r>
        <w:rPr>
          <w:rFonts w:ascii="宋体" w:hAnsi="宋体"/>
          <w:b/>
          <w:color w:val="auto"/>
          <w:sz w:val="24"/>
          <w:highlight w:val="none"/>
          <w:u w:val="single"/>
        </w:rPr>
        <w:t>电子投标文件（光盘）、资格审查资料包、商务标</w:t>
      </w:r>
      <w:r>
        <w:rPr>
          <w:rFonts w:hint="eastAsia" w:ascii="宋体" w:hAnsi="宋体"/>
          <w:b/>
          <w:color w:val="auto"/>
          <w:sz w:val="24"/>
          <w:highlight w:val="none"/>
          <w:u w:val="single"/>
        </w:rPr>
        <w:t>三</w:t>
      </w:r>
      <w:r>
        <w:rPr>
          <w:rFonts w:ascii="宋体" w:hAnsi="宋体"/>
          <w:color w:val="auto"/>
          <w:sz w:val="24"/>
          <w:highlight w:val="none"/>
        </w:rPr>
        <w:t>部分组成。</w:t>
      </w:r>
    </w:p>
    <w:p w14:paraId="6EEA7F3F">
      <w:pPr>
        <w:spacing w:line="360" w:lineRule="auto"/>
        <w:ind w:firstLine="480" w:firstLineChars="200"/>
        <w:rPr>
          <w:rFonts w:ascii="宋体" w:hAnsi="宋体"/>
          <w:color w:val="auto"/>
          <w:sz w:val="24"/>
          <w:highlight w:val="none"/>
        </w:rPr>
      </w:pPr>
      <w:r>
        <w:rPr>
          <w:rFonts w:ascii="宋体" w:hAnsi="宋体"/>
          <w:color w:val="auto"/>
          <w:sz w:val="24"/>
          <w:highlight w:val="none"/>
        </w:rPr>
        <w:t xml:space="preserve">20.1.1 </w:t>
      </w:r>
      <w:r>
        <w:rPr>
          <w:rFonts w:ascii="宋体" w:hAnsi="宋体"/>
          <w:b/>
          <w:color w:val="auto"/>
          <w:sz w:val="24"/>
          <w:highlight w:val="none"/>
        </w:rPr>
        <w:t>电子投标文件</w:t>
      </w:r>
      <w:r>
        <w:rPr>
          <w:rFonts w:ascii="宋体" w:hAnsi="宋体"/>
          <w:color w:val="auto"/>
          <w:sz w:val="24"/>
          <w:highlight w:val="none"/>
        </w:rPr>
        <w:t>（光盘）包含内容详见本招标文件第9.1条款。</w:t>
      </w:r>
    </w:p>
    <w:p w14:paraId="35207B5D">
      <w:pPr>
        <w:spacing w:line="360" w:lineRule="auto"/>
        <w:ind w:firstLine="480" w:firstLineChars="200"/>
        <w:rPr>
          <w:rFonts w:ascii="宋体" w:hAnsi="宋体"/>
          <w:color w:val="auto"/>
          <w:sz w:val="24"/>
          <w:highlight w:val="none"/>
        </w:rPr>
      </w:pPr>
      <w:r>
        <w:rPr>
          <w:rFonts w:ascii="宋体" w:hAnsi="宋体"/>
          <w:color w:val="auto"/>
          <w:sz w:val="24"/>
          <w:highlight w:val="none"/>
        </w:rPr>
        <w:t xml:space="preserve">20.1.2 </w:t>
      </w:r>
      <w:r>
        <w:rPr>
          <w:rFonts w:ascii="宋体" w:hAnsi="宋体"/>
          <w:b/>
          <w:color w:val="auto"/>
          <w:sz w:val="24"/>
          <w:highlight w:val="none"/>
        </w:rPr>
        <w:t>纸质投标文件</w:t>
      </w:r>
      <w:r>
        <w:rPr>
          <w:rFonts w:ascii="宋体" w:hAnsi="宋体"/>
          <w:color w:val="auto"/>
          <w:sz w:val="24"/>
          <w:highlight w:val="none"/>
        </w:rPr>
        <w:t>由</w:t>
      </w:r>
      <w:r>
        <w:rPr>
          <w:rFonts w:ascii="宋体" w:hAnsi="宋体"/>
          <w:color w:val="auto"/>
          <w:sz w:val="24"/>
          <w:highlight w:val="none"/>
          <w:u w:val="single"/>
        </w:rPr>
        <w:t>资格审查资料包、商务标</w:t>
      </w:r>
      <w:r>
        <w:rPr>
          <w:rFonts w:ascii="宋体" w:hAnsi="宋体"/>
          <w:color w:val="auto"/>
          <w:sz w:val="24"/>
          <w:highlight w:val="none"/>
        </w:rPr>
        <w:t>组成。</w:t>
      </w:r>
    </w:p>
    <w:p w14:paraId="3A2972C8">
      <w:pPr>
        <w:spacing w:line="360" w:lineRule="auto"/>
        <w:ind w:firstLine="480" w:firstLineChars="200"/>
        <w:rPr>
          <w:rFonts w:ascii="宋体" w:hAnsi="宋体"/>
          <w:b/>
          <w:snapToGrid w:val="0"/>
          <w:color w:val="auto"/>
          <w:kern w:val="0"/>
          <w:sz w:val="24"/>
          <w:highlight w:val="none"/>
        </w:rPr>
      </w:pPr>
      <w:r>
        <w:rPr>
          <w:rFonts w:ascii="宋体" w:hAnsi="宋体"/>
          <w:snapToGrid w:val="0"/>
          <w:color w:val="auto"/>
          <w:kern w:val="0"/>
          <w:sz w:val="24"/>
          <w:highlight w:val="none"/>
        </w:rPr>
        <w:t>纸质投标文件与评标时的电子投标文件应保持完全一致。</w:t>
      </w:r>
      <w:r>
        <w:rPr>
          <w:rFonts w:ascii="宋体" w:hAnsi="宋体"/>
          <w:b/>
          <w:snapToGrid w:val="0"/>
          <w:color w:val="auto"/>
          <w:kern w:val="0"/>
          <w:sz w:val="24"/>
          <w:highlight w:val="none"/>
        </w:rPr>
        <w:t>纸质商务标报价与电子商务标报价不一致的，作废标处理。</w:t>
      </w:r>
    </w:p>
    <w:p w14:paraId="63252DE2">
      <w:pPr>
        <w:spacing w:line="360" w:lineRule="auto"/>
        <w:ind w:firstLine="480" w:firstLineChars="200"/>
        <w:rPr>
          <w:rFonts w:ascii="宋体" w:hAnsi="宋体"/>
          <w:b/>
          <w:bCs/>
          <w:color w:val="auto"/>
          <w:sz w:val="24"/>
          <w:highlight w:val="none"/>
        </w:rPr>
      </w:pPr>
      <w:r>
        <w:rPr>
          <w:rFonts w:ascii="宋体" w:hAnsi="宋体"/>
          <w:snapToGrid w:val="0"/>
          <w:color w:val="auto"/>
          <w:kern w:val="0"/>
          <w:sz w:val="24"/>
          <w:highlight w:val="none"/>
        </w:rPr>
        <w:t>20.2 电子投标文件，应按照本文件第9.1、9.1.1条款规定的内容、格式制作电子投标文件光盘。电子投标文件</w:t>
      </w:r>
      <w:r>
        <w:rPr>
          <w:rFonts w:ascii="宋体" w:hAnsi="宋体"/>
          <w:b/>
          <w:color w:val="auto"/>
          <w:sz w:val="24"/>
          <w:highlight w:val="none"/>
          <w:u w:val="single"/>
        </w:rPr>
        <w:t>壹</w:t>
      </w:r>
      <w:r>
        <w:rPr>
          <w:rFonts w:ascii="宋体" w:hAnsi="宋体"/>
          <w:color w:val="auto"/>
          <w:sz w:val="24"/>
          <w:highlight w:val="none"/>
        </w:rPr>
        <w:t>份。</w:t>
      </w:r>
      <w:r>
        <w:rPr>
          <w:rFonts w:ascii="宋体" w:hAnsi="宋体"/>
          <w:b/>
          <w:bCs/>
          <w:color w:val="auto"/>
          <w:sz w:val="24"/>
          <w:highlight w:val="none"/>
        </w:rPr>
        <w:t>电子投标文件光盘</w:t>
      </w:r>
      <w:r>
        <w:rPr>
          <w:rFonts w:hint="eastAsia" w:ascii="宋体" w:hAnsi="宋体"/>
          <w:b/>
          <w:bCs/>
          <w:color w:val="auto"/>
          <w:sz w:val="24"/>
          <w:highlight w:val="none"/>
        </w:rPr>
        <w:t>或优盘</w:t>
      </w:r>
      <w:r>
        <w:rPr>
          <w:rFonts w:ascii="宋体" w:hAnsi="宋体"/>
          <w:b/>
          <w:bCs/>
          <w:color w:val="auto"/>
          <w:sz w:val="24"/>
          <w:highlight w:val="none"/>
        </w:rPr>
        <w:t>单独密封，封袋上加盖投标人单位公章和法定代表人印章。</w:t>
      </w:r>
      <w:r>
        <w:rPr>
          <w:rFonts w:ascii="宋体" w:hAnsi="宋体"/>
          <w:b/>
          <w:color w:val="auto"/>
          <w:sz w:val="24"/>
          <w:highlight w:val="none"/>
        </w:rPr>
        <w:t>另须在封袋上标明“电子投标文件光盘”，同时还要写明招标人名称、工程名称及投标人名称。</w:t>
      </w:r>
    </w:p>
    <w:p w14:paraId="245E1F07">
      <w:pPr>
        <w:spacing w:line="360" w:lineRule="auto"/>
        <w:ind w:firstLine="482" w:firstLineChars="200"/>
        <w:rPr>
          <w:rFonts w:ascii="宋体" w:hAnsi="宋体"/>
          <w:b/>
          <w:color w:val="auto"/>
          <w:sz w:val="24"/>
          <w:highlight w:val="none"/>
        </w:rPr>
      </w:pPr>
      <w:r>
        <w:rPr>
          <w:rFonts w:ascii="宋体" w:hAnsi="宋体"/>
          <w:b/>
          <w:color w:val="auto"/>
          <w:sz w:val="24"/>
          <w:highlight w:val="none"/>
        </w:rPr>
        <w:t>特别提醒：投标人应妥善密封</w:t>
      </w:r>
      <w:r>
        <w:rPr>
          <w:rFonts w:ascii="宋体" w:hAnsi="宋体"/>
          <w:b/>
          <w:bCs/>
          <w:color w:val="auto"/>
          <w:sz w:val="24"/>
          <w:highlight w:val="none"/>
        </w:rPr>
        <w:t>电子投标文件光盘，做好相应防护措施，以免光盘刮花无法读取。因投标人自身原因致使电子投标文件现场无法读取的，视为无效投标文件，投标文件不再评审。</w:t>
      </w:r>
    </w:p>
    <w:p w14:paraId="49D926E9">
      <w:pPr>
        <w:spacing w:line="360" w:lineRule="auto"/>
        <w:ind w:firstLine="482" w:firstLineChars="200"/>
        <w:rPr>
          <w:rFonts w:ascii="宋体" w:hAnsi="宋体"/>
          <w:b/>
          <w:snapToGrid w:val="0"/>
          <w:color w:val="auto"/>
          <w:kern w:val="0"/>
          <w:sz w:val="24"/>
          <w:highlight w:val="none"/>
        </w:rPr>
      </w:pPr>
      <w:r>
        <w:rPr>
          <w:rFonts w:ascii="宋体" w:hAnsi="宋体"/>
          <w:b/>
          <w:snapToGrid w:val="0"/>
          <w:color w:val="auto"/>
          <w:kern w:val="0"/>
          <w:sz w:val="24"/>
          <w:highlight w:val="none"/>
        </w:rPr>
        <w:t>20.3 纸质投标文件由</w:t>
      </w:r>
      <w:r>
        <w:rPr>
          <w:rFonts w:ascii="宋体" w:hAnsi="宋体"/>
          <w:b/>
          <w:snapToGrid w:val="0"/>
          <w:color w:val="auto"/>
          <w:kern w:val="0"/>
          <w:sz w:val="24"/>
          <w:highlight w:val="none"/>
          <w:u w:val="single"/>
        </w:rPr>
        <w:t>资格审查资料包、商务标</w:t>
      </w:r>
      <w:r>
        <w:rPr>
          <w:rFonts w:ascii="宋体" w:hAnsi="宋体"/>
          <w:b/>
          <w:snapToGrid w:val="0"/>
          <w:color w:val="auto"/>
          <w:kern w:val="0"/>
          <w:sz w:val="24"/>
          <w:highlight w:val="none"/>
        </w:rPr>
        <w:t>组成。</w:t>
      </w:r>
      <w:r>
        <w:rPr>
          <w:rFonts w:ascii="宋体" w:hAnsi="宋体"/>
          <w:b/>
          <w:bCs/>
          <w:color w:val="auto"/>
          <w:sz w:val="24"/>
          <w:highlight w:val="none"/>
        </w:rPr>
        <w:t>资格审查资料包</w:t>
      </w:r>
      <w:r>
        <w:rPr>
          <w:rFonts w:hint="eastAsia" w:ascii="宋体" w:hAnsi="宋体"/>
          <w:b/>
          <w:bCs/>
          <w:color w:val="auto"/>
          <w:sz w:val="24"/>
          <w:highlight w:val="none"/>
        </w:rPr>
        <w:t>正本</w:t>
      </w:r>
      <w:r>
        <w:rPr>
          <w:rFonts w:ascii="宋体" w:hAnsi="宋体"/>
          <w:b/>
          <w:bCs/>
          <w:color w:val="auto"/>
          <w:sz w:val="24"/>
          <w:highlight w:val="none"/>
          <w:u w:val="single"/>
        </w:rPr>
        <w:t>壹</w:t>
      </w:r>
      <w:r>
        <w:rPr>
          <w:rFonts w:ascii="宋体" w:hAnsi="宋体"/>
          <w:b/>
          <w:bCs/>
          <w:color w:val="auto"/>
          <w:sz w:val="24"/>
          <w:highlight w:val="none"/>
        </w:rPr>
        <w:t>份</w:t>
      </w:r>
      <w:r>
        <w:rPr>
          <w:rFonts w:hint="eastAsia" w:ascii="宋体" w:hAnsi="宋体"/>
          <w:b/>
          <w:bCs/>
          <w:color w:val="auto"/>
          <w:sz w:val="24"/>
          <w:highlight w:val="none"/>
        </w:rPr>
        <w:t>，副本贰份</w:t>
      </w:r>
      <w:r>
        <w:rPr>
          <w:rFonts w:ascii="宋体" w:hAnsi="宋体"/>
          <w:b/>
          <w:bCs/>
          <w:color w:val="auto"/>
          <w:sz w:val="24"/>
          <w:highlight w:val="none"/>
        </w:rPr>
        <w:t>；商务标包</w:t>
      </w:r>
      <w:r>
        <w:rPr>
          <w:rFonts w:hint="eastAsia" w:ascii="宋体" w:hAnsi="宋体"/>
          <w:b/>
          <w:bCs/>
          <w:color w:val="auto"/>
          <w:sz w:val="24"/>
          <w:highlight w:val="none"/>
          <w:u w:val="single"/>
        </w:rPr>
        <w:t>正本壹份，副本贰份</w:t>
      </w:r>
      <w:r>
        <w:rPr>
          <w:rFonts w:ascii="宋体" w:hAnsi="宋体"/>
          <w:b/>
          <w:bCs/>
          <w:color w:val="auto"/>
          <w:sz w:val="24"/>
          <w:highlight w:val="none"/>
        </w:rPr>
        <w:t>。资格审查资料包、商务标分别标明“正本”</w:t>
      </w:r>
      <w:r>
        <w:rPr>
          <w:rFonts w:hint="eastAsia" w:ascii="宋体" w:hAnsi="宋体"/>
          <w:b/>
          <w:bCs/>
          <w:color w:val="auto"/>
          <w:sz w:val="24"/>
          <w:highlight w:val="none"/>
        </w:rPr>
        <w:t>或“副本”</w:t>
      </w:r>
      <w:r>
        <w:rPr>
          <w:rFonts w:ascii="宋体" w:hAnsi="宋体"/>
          <w:b/>
          <w:bCs/>
          <w:color w:val="auto"/>
          <w:sz w:val="24"/>
          <w:highlight w:val="none"/>
        </w:rPr>
        <w:t>。</w:t>
      </w:r>
    </w:p>
    <w:p w14:paraId="2AB68A8B">
      <w:pPr>
        <w:spacing w:line="360" w:lineRule="auto"/>
        <w:ind w:firstLine="482" w:firstLineChars="200"/>
        <w:rPr>
          <w:rFonts w:ascii="宋体" w:hAnsi="宋体"/>
          <w:b/>
          <w:snapToGrid w:val="0"/>
          <w:color w:val="auto"/>
          <w:kern w:val="0"/>
          <w:sz w:val="24"/>
          <w:highlight w:val="none"/>
        </w:rPr>
      </w:pPr>
      <w:r>
        <w:rPr>
          <w:rFonts w:ascii="宋体" w:hAnsi="宋体"/>
          <w:b/>
          <w:snapToGrid w:val="0"/>
          <w:color w:val="auto"/>
          <w:kern w:val="0"/>
          <w:sz w:val="24"/>
          <w:highlight w:val="none"/>
        </w:rPr>
        <w:t>资格审查资料包、商务标</w:t>
      </w:r>
      <w:r>
        <w:rPr>
          <w:rFonts w:hint="eastAsia" w:ascii="宋体" w:hAnsi="宋体"/>
          <w:b/>
          <w:snapToGrid w:val="0"/>
          <w:color w:val="auto"/>
          <w:kern w:val="0"/>
          <w:sz w:val="24"/>
          <w:highlight w:val="none"/>
        </w:rPr>
        <w:t>两</w:t>
      </w:r>
      <w:r>
        <w:rPr>
          <w:rFonts w:ascii="宋体" w:hAnsi="宋体"/>
          <w:b/>
          <w:snapToGrid w:val="0"/>
          <w:color w:val="auto"/>
          <w:kern w:val="0"/>
          <w:sz w:val="24"/>
          <w:highlight w:val="none"/>
        </w:rPr>
        <w:t>部分，必须分袋密封，并在封袋上加盖投标人单位公章和单位法定代表人章，另须在封袋上标明 “资格审查资料包”或“商务标”，同时还要写明工程名称。</w:t>
      </w:r>
    </w:p>
    <w:p w14:paraId="37EDBE6E">
      <w:pPr>
        <w:spacing w:line="360" w:lineRule="auto"/>
        <w:ind w:firstLine="480" w:firstLineChars="200"/>
        <w:rPr>
          <w:rFonts w:ascii="宋体" w:hAnsi="宋体"/>
          <w:snapToGrid w:val="0"/>
          <w:color w:val="auto"/>
          <w:kern w:val="0"/>
          <w:sz w:val="24"/>
          <w:highlight w:val="none"/>
        </w:rPr>
      </w:pPr>
      <w:r>
        <w:rPr>
          <w:rFonts w:ascii="宋体" w:hAnsi="宋体"/>
          <w:snapToGrid w:val="0"/>
          <w:color w:val="auto"/>
          <w:kern w:val="0"/>
          <w:sz w:val="24"/>
          <w:highlight w:val="none"/>
        </w:rPr>
        <w:t xml:space="preserve">20.4 </w:t>
      </w:r>
      <w:r>
        <w:rPr>
          <w:rFonts w:ascii="宋体" w:hAnsi="宋体"/>
          <w:b/>
          <w:snapToGrid w:val="0"/>
          <w:color w:val="auto"/>
          <w:kern w:val="0"/>
          <w:sz w:val="24"/>
          <w:highlight w:val="none"/>
        </w:rPr>
        <w:t>所有投标文件的密封袋上均应加盖投标人公章</w:t>
      </w:r>
      <w:r>
        <w:rPr>
          <w:rFonts w:ascii="宋体" w:hAnsi="宋体"/>
          <w:b/>
          <w:bCs/>
          <w:snapToGrid w:val="0"/>
          <w:color w:val="auto"/>
          <w:kern w:val="0"/>
          <w:sz w:val="24"/>
          <w:highlight w:val="none"/>
        </w:rPr>
        <w:t>和法定代表人印章</w:t>
      </w:r>
      <w:r>
        <w:rPr>
          <w:rFonts w:ascii="宋体" w:hAnsi="宋体"/>
          <w:b/>
          <w:snapToGrid w:val="0"/>
          <w:color w:val="auto"/>
          <w:kern w:val="0"/>
          <w:sz w:val="24"/>
          <w:highlight w:val="none"/>
        </w:rPr>
        <w:t>。</w:t>
      </w:r>
      <w:r>
        <w:rPr>
          <w:rFonts w:ascii="宋体" w:hAnsi="宋体"/>
          <w:snapToGrid w:val="0"/>
          <w:color w:val="auto"/>
          <w:kern w:val="0"/>
          <w:sz w:val="24"/>
          <w:highlight w:val="none"/>
        </w:rPr>
        <w:t>投标人未按上述规定提交投标文件，其投标文件将被拒绝，并退还给投标人。</w:t>
      </w:r>
    </w:p>
    <w:p w14:paraId="36AF43D3">
      <w:pPr>
        <w:spacing w:line="360" w:lineRule="auto"/>
        <w:ind w:firstLine="480" w:firstLineChars="200"/>
        <w:rPr>
          <w:rFonts w:ascii="宋体" w:hAnsi="宋体"/>
          <w:b/>
          <w:snapToGrid w:val="0"/>
          <w:color w:val="auto"/>
          <w:kern w:val="0"/>
          <w:sz w:val="24"/>
          <w:highlight w:val="none"/>
        </w:rPr>
      </w:pPr>
      <w:r>
        <w:rPr>
          <w:rFonts w:ascii="宋体" w:hAnsi="宋体"/>
          <w:snapToGrid w:val="0"/>
          <w:color w:val="auto"/>
          <w:kern w:val="0"/>
          <w:sz w:val="24"/>
          <w:highlight w:val="none"/>
        </w:rPr>
        <w:t>20.5 投标文件正、副本不一致时，以正本为准。</w:t>
      </w:r>
    </w:p>
    <w:p w14:paraId="7CC9C286">
      <w:pPr>
        <w:spacing w:line="360" w:lineRule="auto"/>
        <w:outlineLvl w:val="3"/>
        <w:rPr>
          <w:rFonts w:ascii="宋体" w:hAnsi="宋体"/>
          <w:b/>
          <w:color w:val="auto"/>
          <w:kern w:val="0"/>
          <w:sz w:val="24"/>
          <w:highlight w:val="none"/>
        </w:rPr>
      </w:pPr>
      <w:r>
        <w:rPr>
          <w:rFonts w:ascii="宋体" w:hAnsi="宋体"/>
          <w:b/>
          <w:color w:val="auto"/>
          <w:kern w:val="0"/>
          <w:sz w:val="24"/>
          <w:highlight w:val="none"/>
        </w:rPr>
        <w:t>21.投标文件的递交</w:t>
      </w:r>
    </w:p>
    <w:p w14:paraId="63389CD1">
      <w:pPr>
        <w:spacing w:line="360" w:lineRule="auto"/>
        <w:ind w:firstLine="480" w:firstLineChars="200"/>
        <w:rPr>
          <w:rFonts w:ascii="宋体" w:hAnsi="宋体"/>
          <w:color w:val="auto"/>
          <w:sz w:val="24"/>
          <w:highlight w:val="none"/>
        </w:rPr>
      </w:pPr>
      <w:r>
        <w:rPr>
          <w:rFonts w:ascii="宋体" w:hAnsi="宋体"/>
          <w:color w:val="auto"/>
          <w:sz w:val="24"/>
          <w:highlight w:val="none"/>
        </w:rPr>
        <w:t>21.1投标人应在投标人须知前附表</w:t>
      </w:r>
      <w:r>
        <w:rPr>
          <w:rFonts w:ascii="宋体" w:hAnsi="宋体"/>
          <w:color w:val="auto"/>
          <w:sz w:val="24"/>
          <w:highlight w:val="none"/>
          <w:u w:val="single"/>
        </w:rPr>
        <w:t>第18条</w:t>
      </w:r>
      <w:r>
        <w:rPr>
          <w:rFonts w:ascii="宋体" w:hAnsi="宋体"/>
          <w:color w:val="auto"/>
          <w:sz w:val="24"/>
          <w:highlight w:val="none"/>
        </w:rPr>
        <w:t>规定的投标文件递交截止时间之前完成电子投标文件、纸质投标文件的递交。招标人延长递交投标文件截止时间的，招标人与投标人在原投标截止期的全部权利、义务、责任将适用于延长后新的投标截止期。</w:t>
      </w:r>
    </w:p>
    <w:p w14:paraId="0DE4EDCC">
      <w:pPr>
        <w:spacing w:line="360" w:lineRule="auto"/>
        <w:ind w:firstLine="480" w:firstLineChars="200"/>
        <w:rPr>
          <w:rFonts w:ascii="宋体" w:hAnsi="宋体"/>
          <w:color w:val="auto"/>
          <w:sz w:val="24"/>
          <w:highlight w:val="none"/>
        </w:rPr>
      </w:pPr>
      <w:r>
        <w:rPr>
          <w:rFonts w:ascii="宋体" w:hAnsi="宋体"/>
          <w:color w:val="auto"/>
          <w:sz w:val="24"/>
          <w:highlight w:val="none"/>
        </w:rPr>
        <w:t>21.2逾期送达的或者未送达指定地点的投标文件，招标人不予受理。</w:t>
      </w:r>
    </w:p>
    <w:p w14:paraId="228365DB">
      <w:pPr>
        <w:spacing w:line="360" w:lineRule="auto"/>
        <w:outlineLvl w:val="3"/>
        <w:rPr>
          <w:rFonts w:ascii="宋体" w:hAnsi="宋体"/>
          <w:b/>
          <w:color w:val="auto"/>
          <w:kern w:val="0"/>
          <w:sz w:val="24"/>
          <w:highlight w:val="none"/>
        </w:rPr>
      </w:pPr>
      <w:r>
        <w:rPr>
          <w:rFonts w:ascii="宋体" w:hAnsi="宋体"/>
          <w:b/>
          <w:color w:val="auto"/>
          <w:kern w:val="0"/>
          <w:sz w:val="24"/>
          <w:highlight w:val="none"/>
        </w:rPr>
        <w:t>22.投标文件的修改与撤回</w:t>
      </w:r>
    </w:p>
    <w:p w14:paraId="25E7459F">
      <w:pPr>
        <w:spacing w:line="360" w:lineRule="auto"/>
        <w:ind w:firstLine="480" w:firstLineChars="200"/>
        <w:rPr>
          <w:rFonts w:ascii="宋体" w:hAnsi="宋体"/>
          <w:b/>
          <w:color w:val="auto"/>
          <w:sz w:val="24"/>
          <w:highlight w:val="none"/>
        </w:rPr>
      </w:pPr>
      <w:r>
        <w:rPr>
          <w:rFonts w:ascii="宋体" w:hAnsi="宋体"/>
          <w:color w:val="auto"/>
          <w:sz w:val="24"/>
          <w:highlight w:val="none"/>
        </w:rPr>
        <w:t>投标截止时间之前，投标人可对所递交的投标文件进行修改或撤回，但所递交的修改或撤回通知必须按招标文件的规定进行编制、密封、标志(在包封上标明“修改”或“撤回”字样，并注明修改或撤回的时间)和递交。投标截止时间之后，投标人不得修改或撤回投标文件。</w:t>
      </w:r>
    </w:p>
    <w:p w14:paraId="3466AE0B">
      <w:pPr>
        <w:pStyle w:val="4"/>
        <w:rPr>
          <w:rFonts w:ascii="宋体" w:hAnsi="宋体"/>
          <w:color w:val="auto"/>
          <w:sz w:val="24"/>
          <w:szCs w:val="24"/>
          <w:highlight w:val="none"/>
        </w:rPr>
      </w:pPr>
      <w:r>
        <w:rPr>
          <w:rFonts w:ascii="宋体" w:hAnsi="宋体"/>
          <w:color w:val="auto"/>
          <w:sz w:val="24"/>
          <w:szCs w:val="24"/>
          <w:highlight w:val="none"/>
        </w:rPr>
        <w:t>（</w:t>
      </w:r>
      <w:r>
        <w:rPr>
          <w:rFonts w:hint="eastAsia" w:ascii="宋体" w:hAnsi="宋体"/>
          <w:color w:val="auto"/>
          <w:sz w:val="24"/>
          <w:szCs w:val="24"/>
          <w:highlight w:val="none"/>
        </w:rPr>
        <w:t>六</w:t>
      </w:r>
      <w:r>
        <w:rPr>
          <w:rFonts w:ascii="宋体" w:hAnsi="宋体"/>
          <w:color w:val="auto"/>
          <w:sz w:val="24"/>
          <w:szCs w:val="24"/>
          <w:highlight w:val="none"/>
        </w:rPr>
        <w:t>）开标、评标和定标</w:t>
      </w:r>
    </w:p>
    <w:p w14:paraId="622FA832">
      <w:pPr>
        <w:spacing w:line="360" w:lineRule="auto"/>
        <w:outlineLvl w:val="3"/>
        <w:rPr>
          <w:rFonts w:ascii="宋体" w:hAnsi="宋体"/>
          <w:b/>
          <w:color w:val="auto"/>
          <w:kern w:val="0"/>
          <w:sz w:val="24"/>
          <w:highlight w:val="none"/>
        </w:rPr>
      </w:pPr>
      <w:r>
        <w:rPr>
          <w:rFonts w:ascii="宋体" w:hAnsi="宋体"/>
          <w:b/>
          <w:color w:val="auto"/>
          <w:kern w:val="0"/>
          <w:sz w:val="24"/>
          <w:highlight w:val="none"/>
        </w:rPr>
        <w:t>23.本工程评标、定标办法采用下列  23.1 种方式</w:t>
      </w:r>
    </w:p>
    <w:p w14:paraId="59547BF3">
      <w:pPr>
        <w:spacing w:line="360" w:lineRule="auto"/>
        <w:ind w:firstLine="480" w:firstLineChars="200"/>
        <w:rPr>
          <w:rFonts w:ascii="宋体" w:hAnsi="宋体"/>
          <w:color w:val="auto"/>
          <w:sz w:val="24"/>
          <w:highlight w:val="none"/>
        </w:rPr>
      </w:pPr>
      <w:r>
        <w:rPr>
          <w:rFonts w:ascii="宋体" w:hAnsi="宋体"/>
          <w:color w:val="auto"/>
          <w:sz w:val="24"/>
          <w:highlight w:val="none"/>
        </w:rPr>
        <w:t>23.1价格单因素评标办法</w:t>
      </w:r>
    </w:p>
    <w:p w14:paraId="192407CD">
      <w:pPr>
        <w:spacing w:line="360" w:lineRule="auto"/>
        <w:ind w:firstLine="480" w:firstLineChars="200"/>
        <w:rPr>
          <w:rFonts w:ascii="宋体" w:hAnsi="宋体"/>
          <w:color w:val="auto"/>
          <w:sz w:val="24"/>
          <w:highlight w:val="none"/>
        </w:rPr>
      </w:pPr>
      <w:r>
        <w:rPr>
          <w:rFonts w:ascii="宋体" w:hAnsi="宋体"/>
          <w:color w:val="auto"/>
          <w:sz w:val="24"/>
          <w:highlight w:val="none"/>
        </w:rPr>
        <w:t>23.2含施工组织设计的价格单因素评标方法</w:t>
      </w:r>
    </w:p>
    <w:p w14:paraId="164BF3E1">
      <w:pPr>
        <w:spacing w:line="360" w:lineRule="auto"/>
        <w:ind w:firstLine="480" w:firstLineChars="200"/>
        <w:rPr>
          <w:rFonts w:ascii="宋体" w:hAnsi="宋体"/>
          <w:color w:val="auto"/>
          <w:sz w:val="24"/>
          <w:highlight w:val="none"/>
        </w:rPr>
      </w:pPr>
      <w:r>
        <w:rPr>
          <w:rFonts w:ascii="宋体" w:hAnsi="宋体"/>
          <w:color w:val="auto"/>
          <w:sz w:val="24"/>
          <w:highlight w:val="none"/>
        </w:rPr>
        <w:t>23.3综合评估法</w:t>
      </w:r>
    </w:p>
    <w:p w14:paraId="7AD7BF40">
      <w:pPr>
        <w:spacing w:line="360" w:lineRule="auto"/>
        <w:ind w:firstLine="482" w:firstLineChars="200"/>
        <w:outlineLvl w:val="3"/>
        <w:rPr>
          <w:rFonts w:ascii="宋体" w:hAnsi="宋体"/>
          <w:b/>
          <w:color w:val="auto"/>
          <w:kern w:val="0"/>
          <w:sz w:val="24"/>
          <w:highlight w:val="none"/>
        </w:rPr>
      </w:pPr>
      <w:r>
        <w:rPr>
          <w:rFonts w:ascii="宋体" w:hAnsi="宋体"/>
          <w:b/>
          <w:color w:val="auto"/>
          <w:kern w:val="0"/>
          <w:sz w:val="24"/>
          <w:highlight w:val="none"/>
        </w:rPr>
        <w:t>24.招标人按本须知前附表第19项规定的时间、地点公开开标。开标会由招标代理机构主持，由招标人代表或代理机构检查投标文件的密封情况</w:t>
      </w:r>
    </w:p>
    <w:p w14:paraId="41D0E326">
      <w:pPr>
        <w:spacing w:line="360" w:lineRule="auto"/>
        <w:ind w:firstLine="482" w:firstLineChars="200"/>
        <w:outlineLvl w:val="3"/>
        <w:rPr>
          <w:rFonts w:ascii="宋体" w:hAnsi="宋体"/>
          <w:b/>
          <w:color w:val="auto"/>
          <w:kern w:val="0"/>
          <w:sz w:val="24"/>
          <w:highlight w:val="none"/>
        </w:rPr>
      </w:pPr>
      <w:r>
        <w:rPr>
          <w:rFonts w:ascii="宋体" w:hAnsi="宋体"/>
          <w:b/>
          <w:color w:val="auto"/>
          <w:kern w:val="0"/>
          <w:sz w:val="24"/>
          <w:highlight w:val="none"/>
        </w:rPr>
        <w:t>25.评标委员会应当审查每一投标文件是否对招标文件提出的所有实质性要求和条件作出响应。</w:t>
      </w:r>
    </w:p>
    <w:p w14:paraId="05A70E09">
      <w:pPr>
        <w:spacing w:line="360" w:lineRule="auto"/>
        <w:ind w:firstLine="482" w:firstLineChars="200"/>
        <w:outlineLvl w:val="3"/>
        <w:rPr>
          <w:rFonts w:ascii="宋体" w:hAnsi="宋体"/>
          <w:b/>
          <w:color w:val="auto"/>
          <w:kern w:val="0"/>
          <w:sz w:val="24"/>
          <w:highlight w:val="none"/>
        </w:rPr>
      </w:pPr>
      <w:r>
        <w:rPr>
          <w:rFonts w:ascii="宋体" w:hAnsi="宋体"/>
          <w:b/>
          <w:color w:val="auto"/>
          <w:kern w:val="0"/>
          <w:sz w:val="24"/>
          <w:highlight w:val="none"/>
        </w:rPr>
        <w:t>26.凡投标文件有下列情况之一的，属于重大偏差，视同未能对招标文件作出实质性响应，按废标处理。</w:t>
      </w:r>
    </w:p>
    <w:p w14:paraId="74D231F4">
      <w:pPr>
        <w:spacing w:line="360" w:lineRule="auto"/>
        <w:ind w:firstLine="482" w:firstLineChars="200"/>
        <w:rPr>
          <w:rFonts w:ascii="宋体" w:hAnsi="宋体"/>
          <w:b/>
          <w:bCs/>
          <w:color w:val="auto"/>
          <w:sz w:val="24"/>
          <w:highlight w:val="none"/>
        </w:rPr>
      </w:pPr>
      <w:r>
        <w:rPr>
          <w:rFonts w:ascii="宋体" w:hAnsi="宋体"/>
          <w:b/>
          <w:bCs/>
          <w:color w:val="auto"/>
          <w:sz w:val="24"/>
          <w:highlight w:val="none"/>
        </w:rPr>
        <w:t>26.1</w:t>
      </w:r>
      <w:r>
        <w:rPr>
          <w:rFonts w:hint="eastAsia" w:ascii="宋体" w:hAnsi="宋体" w:cs="宋体"/>
          <w:b/>
          <w:bCs/>
          <w:color w:val="auto"/>
          <w:sz w:val="24"/>
          <w:highlight w:val="none"/>
        </w:rPr>
        <w:t>投标文件中的投标函未加盖投标人的公章；</w:t>
      </w:r>
    </w:p>
    <w:p w14:paraId="3ED350CE">
      <w:pPr>
        <w:spacing w:line="360" w:lineRule="auto"/>
        <w:ind w:firstLine="482" w:firstLineChars="200"/>
        <w:rPr>
          <w:rFonts w:ascii="宋体" w:hAnsi="宋体" w:cs="宋体"/>
          <w:b/>
          <w:bCs/>
          <w:color w:val="auto"/>
          <w:sz w:val="24"/>
          <w:highlight w:val="none"/>
        </w:rPr>
      </w:pPr>
      <w:r>
        <w:rPr>
          <w:rFonts w:ascii="宋体" w:hAnsi="宋体"/>
          <w:b/>
          <w:bCs/>
          <w:color w:val="auto"/>
          <w:sz w:val="24"/>
          <w:highlight w:val="none"/>
        </w:rPr>
        <w:t>26.2</w:t>
      </w:r>
      <w:r>
        <w:rPr>
          <w:rFonts w:hint="eastAsia" w:ascii="宋体" w:hAnsi="宋体" w:cs="宋体"/>
          <w:b/>
          <w:bCs/>
          <w:color w:val="auto"/>
          <w:sz w:val="24"/>
          <w:highlight w:val="none"/>
        </w:rPr>
        <w:t>投标文件中的投标函未加盖企业法定代表人（或委托代理人）印章（或签字）的；</w:t>
      </w:r>
      <w:r>
        <w:rPr>
          <w:rFonts w:ascii="宋体" w:hAnsi="宋体"/>
          <w:b/>
          <w:bCs/>
          <w:color w:val="auto"/>
          <w:sz w:val="24"/>
          <w:highlight w:val="none"/>
        </w:rPr>
        <w:br w:type="textWrapping"/>
      </w:r>
      <w:r>
        <w:rPr>
          <w:rFonts w:ascii="宋体" w:hAnsi="宋体"/>
          <w:b/>
          <w:bCs/>
          <w:color w:val="auto"/>
          <w:sz w:val="24"/>
          <w:highlight w:val="none"/>
        </w:rPr>
        <w:t xml:space="preserve">    26.3</w:t>
      </w:r>
      <w:r>
        <w:rPr>
          <w:rFonts w:hint="eastAsia" w:ascii="宋体" w:hAnsi="宋体" w:cs="宋体"/>
          <w:b/>
          <w:bCs/>
          <w:color w:val="auto"/>
          <w:sz w:val="24"/>
          <w:highlight w:val="none"/>
        </w:rPr>
        <w:t>如投标函加盖企业委托代理人印章（或签字）的，委托代理人没有合法、有效的委托书（原件）的；</w:t>
      </w:r>
      <w:r>
        <w:rPr>
          <w:rFonts w:ascii="宋体" w:hAnsi="宋体"/>
          <w:b/>
          <w:bCs/>
          <w:color w:val="auto"/>
          <w:sz w:val="24"/>
          <w:highlight w:val="none"/>
        </w:rPr>
        <w:br w:type="textWrapping"/>
      </w:r>
      <w:r>
        <w:rPr>
          <w:rFonts w:ascii="宋体" w:hAnsi="宋体"/>
          <w:b/>
          <w:bCs/>
          <w:color w:val="auto"/>
          <w:sz w:val="24"/>
          <w:highlight w:val="none"/>
        </w:rPr>
        <w:t xml:space="preserve">    26.4</w:t>
      </w:r>
      <w:r>
        <w:rPr>
          <w:rFonts w:hint="eastAsia" w:ascii="宋体" w:hAnsi="宋体" w:cs="宋体"/>
          <w:b/>
          <w:bCs/>
          <w:color w:val="auto"/>
          <w:sz w:val="24"/>
          <w:highlight w:val="none"/>
        </w:rPr>
        <w:t>投标人资格条件不符合国家有关规定或招标文件要求的；</w:t>
      </w:r>
      <w:r>
        <w:rPr>
          <w:rFonts w:ascii="宋体" w:hAnsi="宋体"/>
          <w:b/>
          <w:bCs/>
          <w:color w:val="auto"/>
          <w:sz w:val="24"/>
          <w:highlight w:val="none"/>
        </w:rPr>
        <w:br w:type="textWrapping"/>
      </w:r>
      <w:r>
        <w:rPr>
          <w:rFonts w:ascii="宋体" w:hAnsi="宋体"/>
          <w:b/>
          <w:bCs/>
          <w:color w:val="auto"/>
          <w:sz w:val="24"/>
          <w:highlight w:val="none"/>
        </w:rPr>
        <w:t xml:space="preserve">    26.5</w:t>
      </w:r>
      <w:r>
        <w:rPr>
          <w:rFonts w:hint="eastAsia" w:ascii="宋体" w:hAnsi="宋体" w:cs="宋体"/>
          <w:b/>
          <w:bCs/>
          <w:color w:val="auto"/>
          <w:sz w:val="24"/>
          <w:highlight w:val="none"/>
        </w:rPr>
        <w:t>投标人名称或组织结构与资格预审时不一致的；</w:t>
      </w:r>
    </w:p>
    <w:p w14:paraId="4BCFCFB8">
      <w:pPr>
        <w:spacing w:line="360" w:lineRule="auto"/>
        <w:ind w:firstLine="482" w:firstLineChars="200"/>
        <w:rPr>
          <w:rFonts w:ascii="宋体" w:hAnsi="宋体"/>
          <w:b/>
          <w:bCs/>
          <w:color w:val="auto"/>
          <w:sz w:val="24"/>
          <w:highlight w:val="none"/>
        </w:rPr>
      </w:pPr>
      <w:r>
        <w:rPr>
          <w:rFonts w:ascii="宋体" w:hAnsi="宋体"/>
          <w:b/>
          <w:bCs/>
          <w:color w:val="auto"/>
          <w:sz w:val="24"/>
          <w:highlight w:val="none"/>
        </w:rPr>
        <w:t>26.6</w:t>
      </w:r>
      <w:r>
        <w:rPr>
          <w:rFonts w:hint="eastAsia" w:ascii="宋体" w:hAnsi="宋体"/>
          <w:b/>
          <w:bCs/>
          <w:color w:val="auto"/>
          <w:sz w:val="24"/>
          <w:highlight w:val="none"/>
        </w:rPr>
        <w:t>除在投标截止时间前经招标人书面同意外，项目负责人与资格预审时不一致的；</w:t>
      </w:r>
    </w:p>
    <w:p w14:paraId="7E609A5C">
      <w:pPr>
        <w:spacing w:line="360" w:lineRule="auto"/>
        <w:ind w:firstLine="482" w:firstLineChars="200"/>
        <w:rPr>
          <w:rFonts w:ascii="宋体" w:hAnsi="宋体"/>
          <w:b/>
          <w:bCs/>
          <w:color w:val="auto"/>
          <w:sz w:val="24"/>
          <w:highlight w:val="none"/>
        </w:rPr>
      </w:pPr>
      <w:r>
        <w:rPr>
          <w:rFonts w:ascii="宋体" w:hAnsi="宋体"/>
          <w:b/>
          <w:bCs/>
          <w:color w:val="auto"/>
          <w:sz w:val="24"/>
          <w:highlight w:val="none"/>
        </w:rPr>
        <w:t>26.7</w:t>
      </w:r>
      <w:r>
        <w:rPr>
          <w:rFonts w:hint="eastAsia" w:ascii="宋体" w:hAnsi="宋体"/>
          <w:b/>
          <w:bCs/>
          <w:color w:val="auto"/>
          <w:sz w:val="24"/>
          <w:highlight w:val="none"/>
        </w:rPr>
        <w:t>组成联合体投标未提供联合体各方共同投标协议的（本工程不接受联合体）；</w:t>
      </w:r>
    </w:p>
    <w:p w14:paraId="5B0EB76D">
      <w:pPr>
        <w:spacing w:line="360" w:lineRule="auto"/>
        <w:ind w:firstLine="482" w:firstLineChars="200"/>
        <w:rPr>
          <w:rFonts w:ascii="宋体" w:hAnsi="宋体"/>
          <w:b/>
          <w:bCs/>
          <w:color w:val="auto"/>
          <w:sz w:val="24"/>
          <w:highlight w:val="none"/>
        </w:rPr>
      </w:pPr>
      <w:r>
        <w:rPr>
          <w:rFonts w:ascii="宋体" w:hAnsi="宋体"/>
          <w:b/>
          <w:bCs/>
          <w:color w:val="auto"/>
          <w:sz w:val="24"/>
          <w:highlight w:val="none"/>
        </w:rPr>
        <w:t>26.8</w:t>
      </w:r>
      <w:r>
        <w:rPr>
          <w:rFonts w:hint="eastAsia" w:ascii="宋体" w:hAnsi="宋体"/>
          <w:b/>
          <w:bCs/>
          <w:color w:val="auto"/>
          <w:sz w:val="24"/>
          <w:highlight w:val="none"/>
        </w:rPr>
        <w:t>在同一招标项目中，联合体成员以自己名义单独投标或者参加其他联合体投标的；</w:t>
      </w:r>
    </w:p>
    <w:p w14:paraId="5E9FC21D">
      <w:pPr>
        <w:spacing w:line="360" w:lineRule="auto"/>
        <w:ind w:firstLine="482" w:firstLineChars="200"/>
        <w:rPr>
          <w:rFonts w:ascii="宋体" w:hAnsi="宋体"/>
          <w:b/>
          <w:bCs/>
          <w:color w:val="auto"/>
          <w:sz w:val="24"/>
          <w:highlight w:val="none"/>
        </w:rPr>
      </w:pPr>
      <w:r>
        <w:rPr>
          <w:rFonts w:ascii="宋体" w:hAnsi="宋体"/>
          <w:b/>
          <w:bCs/>
          <w:color w:val="auto"/>
          <w:sz w:val="24"/>
          <w:highlight w:val="none"/>
        </w:rPr>
        <w:t>26.9</w:t>
      </w:r>
      <w:r>
        <w:rPr>
          <w:rFonts w:hint="eastAsia" w:ascii="宋体" w:hAnsi="宋体"/>
          <w:b/>
          <w:bCs/>
          <w:color w:val="auto"/>
          <w:sz w:val="24"/>
          <w:highlight w:val="none"/>
        </w:rPr>
        <w:t>联合体成员与资格预审确定的结果不一致的；</w:t>
      </w:r>
    </w:p>
    <w:p w14:paraId="31E6B37E">
      <w:pPr>
        <w:spacing w:line="360" w:lineRule="auto"/>
        <w:ind w:firstLine="482" w:firstLineChars="200"/>
        <w:rPr>
          <w:rFonts w:ascii="宋体" w:hAnsi="宋体"/>
          <w:b/>
          <w:bCs/>
          <w:color w:val="auto"/>
          <w:sz w:val="24"/>
          <w:highlight w:val="none"/>
        </w:rPr>
      </w:pPr>
      <w:r>
        <w:rPr>
          <w:rFonts w:ascii="宋体" w:hAnsi="宋体"/>
          <w:b/>
          <w:bCs/>
          <w:color w:val="auto"/>
          <w:sz w:val="24"/>
          <w:highlight w:val="none"/>
        </w:rPr>
        <w:t>26.10</w:t>
      </w:r>
      <w:r>
        <w:rPr>
          <w:rFonts w:hint="eastAsia" w:ascii="宋体" w:hAnsi="宋体"/>
          <w:b/>
          <w:bCs/>
          <w:color w:val="auto"/>
          <w:sz w:val="24"/>
          <w:highlight w:val="none"/>
        </w:rPr>
        <w:t>投标报价低于成本或者高于招标文件设定的招标控制价的；</w:t>
      </w:r>
    </w:p>
    <w:p w14:paraId="7A80C442">
      <w:pPr>
        <w:spacing w:line="360" w:lineRule="auto"/>
        <w:ind w:firstLine="482" w:firstLineChars="200"/>
        <w:rPr>
          <w:rFonts w:ascii="宋体" w:hAnsi="宋体"/>
          <w:b/>
          <w:bCs/>
          <w:color w:val="auto"/>
          <w:sz w:val="24"/>
          <w:highlight w:val="none"/>
        </w:rPr>
      </w:pPr>
      <w:r>
        <w:rPr>
          <w:rFonts w:ascii="宋体" w:hAnsi="宋体"/>
          <w:b/>
          <w:bCs/>
          <w:color w:val="auto"/>
          <w:sz w:val="24"/>
          <w:highlight w:val="none"/>
        </w:rPr>
        <w:t>26.11</w:t>
      </w:r>
      <w:r>
        <w:rPr>
          <w:rFonts w:hint="eastAsia" w:ascii="宋体" w:hAnsi="宋体"/>
          <w:b/>
          <w:bCs/>
          <w:color w:val="auto"/>
          <w:sz w:val="24"/>
          <w:highlight w:val="none"/>
        </w:rPr>
        <w:t>同一投标人提交两个及以上不同的投标文件或者投标报价，但招标文件要求提交备选投标的除外；</w:t>
      </w:r>
    </w:p>
    <w:p w14:paraId="38F60FDD">
      <w:pPr>
        <w:spacing w:line="360" w:lineRule="auto"/>
        <w:ind w:firstLine="482" w:firstLineChars="200"/>
        <w:rPr>
          <w:rFonts w:ascii="宋体" w:hAnsi="宋体"/>
          <w:b/>
          <w:bCs/>
          <w:color w:val="auto"/>
          <w:sz w:val="24"/>
          <w:highlight w:val="none"/>
        </w:rPr>
      </w:pPr>
      <w:r>
        <w:rPr>
          <w:rFonts w:ascii="宋体" w:hAnsi="宋体"/>
          <w:b/>
          <w:bCs/>
          <w:color w:val="auto"/>
          <w:sz w:val="24"/>
          <w:highlight w:val="none"/>
        </w:rPr>
        <w:t>26.12</w:t>
      </w:r>
      <w:r>
        <w:rPr>
          <w:rFonts w:hint="eastAsia" w:ascii="宋体" w:hAnsi="宋体"/>
          <w:b/>
          <w:bCs/>
          <w:color w:val="auto"/>
          <w:sz w:val="24"/>
          <w:highlight w:val="none"/>
        </w:rPr>
        <w:t>与招标文件规定的暂估价、暂列金额及甲供材料价格不一致的；</w:t>
      </w:r>
    </w:p>
    <w:p w14:paraId="52CB5CBD">
      <w:pPr>
        <w:spacing w:line="360" w:lineRule="auto"/>
        <w:ind w:firstLine="482" w:firstLineChars="200"/>
        <w:rPr>
          <w:rFonts w:ascii="宋体" w:hAnsi="宋体"/>
          <w:b/>
          <w:bCs/>
          <w:color w:val="auto"/>
          <w:sz w:val="24"/>
          <w:highlight w:val="none"/>
        </w:rPr>
      </w:pPr>
      <w:r>
        <w:rPr>
          <w:rFonts w:ascii="宋体" w:hAnsi="宋体"/>
          <w:b/>
          <w:bCs/>
          <w:color w:val="auto"/>
          <w:sz w:val="24"/>
          <w:highlight w:val="none"/>
        </w:rPr>
        <w:t>26.13</w:t>
      </w:r>
      <w:r>
        <w:rPr>
          <w:rFonts w:hint="eastAsia" w:ascii="宋体" w:hAnsi="宋体"/>
          <w:b/>
          <w:bCs/>
          <w:color w:val="auto"/>
          <w:sz w:val="24"/>
          <w:highlight w:val="none"/>
        </w:rPr>
        <w:t>与招标文件明确列出的不可竞争费用项目或费率或计算基础不一致的；</w:t>
      </w:r>
    </w:p>
    <w:p w14:paraId="5EB19520">
      <w:pPr>
        <w:spacing w:line="360" w:lineRule="auto"/>
        <w:ind w:firstLine="482" w:firstLineChars="200"/>
        <w:rPr>
          <w:rFonts w:ascii="宋体" w:hAnsi="宋体"/>
          <w:b/>
          <w:bCs/>
          <w:color w:val="auto"/>
          <w:sz w:val="24"/>
          <w:highlight w:val="none"/>
        </w:rPr>
      </w:pPr>
      <w:r>
        <w:rPr>
          <w:rFonts w:ascii="宋体" w:hAnsi="宋体"/>
          <w:b/>
          <w:bCs/>
          <w:color w:val="auto"/>
          <w:sz w:val="24"/>
          <w:highlight w:val="none"/>
        </w:rPr>
        <w:t>26.14</w:t>
      </w:r>
      <w:r>
        <w:rPr>
          <w:rFonts w:hint="eastAsia" w:ascii="宋体" w:hAnsi="宋体"/>
          <w:b/>
          <w:bCs/>
          <w:color w:val="auto"/>
          <w:sz w:val="24"/>
          <w:highlight w:val="none"/>
        </w:rPr>
        <w:t>与招标文件提供的工程量清单中的项目编码、项目名称、项目特征、计量单位、工程量不一致的；</w:t>
      </w:r>
    </w:p>
    <w:p w14:paraId="5DB2DDFD">
      <w:pPr>
        <w:spacing w:line="360" w:lineRule="auto"/>
        <w:ind w:firstLine="482" w:firstLineChars="200"/>
        <w:rPr>
          <w:rFonts w:ascii="宋体" w:hAnsi="宋体"/>
          <w:b/>
          <w:bCs/>
          <w:color w:val="auto"/>
          <w:sz w:val="24"/>
          <w:highlight w:val="none"/>
        </w:rPr>
      </w:pPr>
      <w:r>
        <w:rPr>
          <w:rFonts w:ascii="宋体" w:hAnsi="宋体"/>
          <w:b/>
          <w:bCs/>
          <w:color w:val="auto"/>
          <w:sz w:val="24"/>
          <w:highlight w:val="none"/>
        </w:rPr>
        <w:t>26.15</w:t>
      </w:r>
      <w:r>
        <w:rPr>
          <w:rFonts w:hint="eastAsia" w:ascii="宋体" w:hAnsi="宋体"/>
          <w:b/>
          <w:bCs/>
          <w:color w:val="auto"/>
          <w:sz w:val="24"/>
          <w:highlight w:val="none"/>
        </w:rPr>
        <w:t>未按招标文件要求提供投标保证金的；</w:t>
      </w:r>
    </w:p>
    <w:p w14:paraId="31FB2C4C">
      <w:pPr>
        <w:spacing w:line="360" w:lineRule="auto"/>
        <w:ind w:firstLine="482" w:firstLineChars="200"/>
        <w:rPr>
          <w:rFonts w:ascii="宋体" w:hAnsi="宋体"/>
          <w:b/>
          <w:bCs/>
          <w:color w:val="auto"/>
          <w:sz w:val="24"/>
          <w:highlight w:val="none"/>
        </w:rPr>
      </w:pPr>
      <w:r>
        <w:rPr>
          <w:rFonts w:ascii="宋体" w:hAnsi="宋体"/>
          <w:b/>
          <w:bCs/>
          <w:color w:val="auto"/>
          <w:sz w:val="24"/>
          <w:highlight w:val="none"/>
        </w:rPr>
        <w:t>26.16</w:t>
      </w:r>
      <w:r>
        <w:rPr>
          <w:rFonts w:hint="eastAsia" w:ascii="宋体" w:hAnsi="宋体"/>
          <w:b/>
          <w:bCs/>
          <w:color w:val="auto"/>
          <w:sz w:val="24"/>
          <w:highlight w:val="none"/>
        </w:rPr>
        <w:t>投标文件载明的招标项目完成期限超过招标文件规定的期限的；</w:t>
      </w:r>
    </w:p>
    <w:p w14:paraId="0BDF1CFB">
      <w:pPr>
        <w:spacing w:line="360" w:lineRule="auto"/>
        <w:ind w:firstLine="482" w:firstLineChars="200"/>
        <w:rPr>
          <w:rFonts w:ascii="宋体" w:hAnsi="宋体"/>
          <w:b/>
          <w:bCs/>
          <w:color w:val="auto"/>
          <w:sz w:val="24"/>
          <w:highlight w:val="none"/>
        </w:rPr>
      </w:pPr>
      <w:r>
        <w:rPr>
          <w:rFonts w:ascii="宋体" w:hAnsi="宋体"/>
          <w:b/>
          <w:bCs/>
          <w:color w:val="auto"/>
          <w:sz w:val="24"/>
          <w:highlight w:val="none"/>
        </w:rPr>
        <w:t>26.17</w:t>
      </w:r>
      <w:r>
        <w:rPr>
          <w:rFonts w:hint="eastAsia" w:ascii="宋体" w:hAnsi="宋体"/>
          <w:b/>
          <w:bCs/>
          <w:color w:val="auto"/>
          <w:sz w:val="24"/>
          <w:highlight w:val="none"/>
        </w:rPr>
        <w:t>明显不符合技术规范、技术标准的要求的；</w:t>
      </w:r>
    </w:p>
    <w:p w14:paraId="09677399">
      <w:pPr>
        <w:spacing w:line="360" w:lineRule="auto"/>
        <w:ind w:firstLine="482" w:firstLineChars="200"/>
        <w:rPr>
          <w:rFonts w:ascii="宋体" w:hAnsi="宋体"/>
          <w:b/>
          <w:bCs/>
          <w:color w:val="auto"/>
          <w:sz w:val="24"/>
          <w:highlight w:val="none"/>
        </w:rPr>
      </w:pPr>
      <w:r>
        <w:rPr>
          <w:rFonts w:ascii="宋体" w:hAnsi="宋体"/>
          <w:b/>
          <w:bCs/>
          <w:color w:val="auto"/>
          <w:sz w:val="24"/>
          <w:highlight w:val="none"/>
        </w:rPr>
        <w:t>26.18</w:t>
      </w:r>
      <w:r>
        <w:rPr>
          <w:rFonts w:hint="eastAsia" w:ascii="宋体" w:hAnsi="宋体"/>
          <w:b/>
          <w:bCs/>
          <w:color w:val="auto"/>
          <w:sz w:val="24"/>
          <w:highlight w:val="none"/>
        </w:rPr>
        <w:t>投标文件载明的货物包装方式、检验标准和方法等不符合招标文件的要求的；</w:t>
      </w:r>
    </w:p>
    <w:p w14:paraId="60CA60B7">
      <w:pPr>
        <w:spacing w:line="360" w:lineRule="auto"/>
        <w:ind w:firstLine="482" w:firstLineChars="200"/>
        <w:rPr>
          <w:rFonts w:ascii="宋体" w:hAnsi="宋体"/>
          <w:b/>
          <w:bCs/>
          <w:color w:val="auto"/>
          <w:sz w:val="24"/>
          <w:highlight w:val="none"/>
        </w:rPr>
      </w:pPr>
      <w:r>
        <w:rPr>
          <w:rFonts w:ascii="宋体" w:hAnsi="宋体"/>
          <w:b/>
          <w:bCs/>
          <w:color w:val="auto"/>
          <w:sz w:val="24"/>
          <w:highlight w:val="none"/>
        </w:rPr>
        <w:t>26.19</w:t>
      </w:r>
      <w:r>
        <w:rPr>
          <w:rFonts w:hint="eastAsia" w:ascii="宋体" w:hAnsi="宋体"/>
          <w:b/>
          <w:bCs/>
          <w:color w:val="auto"/>
          <w:sz w:val="24"/>
          <w:highlight w:val="none"/>
        </w:rPr>
        <w:t>投标文件提出了不能满足招标文件要求或招标人不能接受的工程验收、计量、价款结算和支付办法的；</w:t>
      </w:r>
    </w:p>
    <w:p w14:paraId="4EED25CB">
      <w:pPr>
        <w:spacing w:line="360" w:lineRule="auto"/>
        <w:ind w:firstLine="482" w:firstLineChars="200"/>
        <w:rPr>
          <w:rFonts w:ascii="宋体" w:hAnsi="宋体"/>
          <w:b/>
          <w:bCs/>
          <w:color w:val="auto"/>
          <w:sz w:val="24"/>
          <w:highlight w:val="none"/>
        </w:rPr>
      </w:pPr>
      <w:r>
        <w:rPr>
          <w:rFonts w:ascii="宋体" w:hAnsi="宋体"/>
          <w:b/>
          <w:bCs/>
          <w:color w:val="auto"/>
          <w:sz w:val="24"/>
          <w:highlight w:val="none"/>
        </w:rPr>
        <w:t>26.20</w:t>
      </w:r>
      <w:r>
        <w:rPr>
          <w:rFonts w:hint="eastAsia" w:ascii="宋体" w:hAnsi="宋体"/>
          <w:b/>
          <w:bCs/>
          <w:color w:val="auto"/>
          <w:sz w:val="24"/>
          <w:highlight w:val="none"/>
        </w:rPr>
        <w:t>未按招标文件要求提供电子投标文件，或者电子投标文件（已标价的工程量清单）保存格式不正确，致使软件无法读取的，且补救方案补救不成功的；</w:t>
      </w:r>
    </w:p>
    <w:p w14:paraId="7ACFCA5D">
      <w:pPr>
        <w:spacing w:line="360" w:lineRule="auto"/>
        <w:ind w:firstLine="482" w:firstLineChars="200"/>
        <w:rPr>
          <w:rFonts w:ascii="宋体" w:hAnsi="宋体"/>
          <w:b/>
          <w:bCs/>
          <w:color w:val="auto"/>
          <w:sz w:val="24"/>
          <w:highlight w:val="none"/>
        </w:rPr>
      </w:pPr>
      <w:r>
        <w:rPr>
          <w:rFonts w:ascii="宋体" w:hAnsi="宋体"/>
          <w:b/>
          <w:bCs/>
          <w:color w:val="auto"/>
          <w:sz w:val="24"/>
          <w:highlight w:val="none"/>
        </w:rPr>
        <w:t>26.21</w:t>
      </w:r>
      <w:r>
        <w:rPr>
          <w:rFonts w:hint="eastAsia" w:ascii="宋体" w:hAnsi="宋体"/>
          <w:b/>
          <w:bCs/>
          <w:color w:val="auto"/>
          <w:sz w:val="24"/>
          <w:highlight w:val="none"/>
        </w:rPr>
        <w:t>不同投标人的投标文件以及投标文件制作过程出现了评标委员会认为不应当雷同的情况的；</w:t>
      </w:r>
    </w:p>
    <w:p w14:paraId="10934806">
      <w:pPr>
        <w:spacing w:line="360" w:lineRule="auto"/>
        <w:ind w:firstLine="482" w:firstLineChars="200"/>
        <w:rPr>
          <w:rFonts w:ascii="宋体" w:hAnsi="宋体"/>
          <w:b/>
          <w:bCs/>
          <w:color w:val="auto"/>
          <w:sz w:val="24"/>
          <w:highlight w:val="none"/>
        </w:rPr>
      </w:pPr>
      <w:r>
        <w:rPr>
          <w:rFonts w:ascii="宋体" w:hAnsi="宋体"/>
          <w:b/>
          <w:bCs/>
          <w:color w:val="auto"/>
          <w:sz w:val="24"/>
          <w:highlight w:val="none"/>
        </w:rPr>
        <w:t>26.22</w:t>
      </w:r>
      <w:r>
        <w:rPr>
          <w:rFonts w:hint="eastAsia" w:ascii="宋体" w:hAnsi="宋体"/>
          <w:b/>
          <w:bCs/>
          <w:color w:val="auto"/>
          <w:sz w:val="24"/>
          <w:highlight w:val="none"/>
        </w:rPr>
        <w:t>以他人的名义投标、串通投标、以行贿手段谋取中标或者以其他弄虚作假方式投标的；</w:t>
      </w:r>
    </w:p>
    <w:p w14:paraId="7D3ED9EE">
      <w:pPr>
        <w:spacing w:line="360" w:lineRule="auto"/>
        <w:ind w:firstLine="482" w:firstLineChars="200"/>
        <w:rPr>
          <w:rFonts w:ascii="宋体" w:hAnsi="宋体"/>
          <w:b/>
          <w:bCs/>
          <w:color w:val="auto"/>
          <w:sz w:val="24"/>
          <w:highlight w:val="none"/>
        </w:rPr>
      </w:pPr>
      <w:r>
        <w:rPr>
          <w:rFonts w:ascii="宋体" w:hAnsi="宋体"/>
          <w:b/>
          <w:bCs/>
          <w:color w:val="auto"/>
          <w:sz w:val="24"/>
          <w:highlight w:val="none"/>
        </w:rPr>
        <w:t>26.23</w:t>
      </w:r>
      <w:r>
        <w:rPr>
          <w:rFonts w:hint="eastAsia" w:ascii="宋体" w:hAnsi="宋体"/>
          <w:b/>
          <w:bCs/>
          <w:color w:val="auto"/>
          <w:sz w:val="24"/>
          <w:highlight w:val="none"/>
        </w:rPr>
        <w:t>不符合招标文件有关暗标的要求；</w:t>
      </w:r>
    </w:p>
    <w:p w14:paraId="6F3B71CD">
      <w:pPr>
        <w:spacing w:line="360" w:lineRule="auto"/>
        <w:ind w:firstLine="482" w:firstLineChars="200"/>
        <w:rPr>
          <w:rFonts w:ascii="宋体" w:hAnsi="宋体"/>
          <w:b/>
          <w:bCs/>
          <w:color w:val="auto"/>
          <w:sz w:val="24"/>
          <w:highlight w:val="none"/>
        </w:rPr>
      </w:pPr>
      <w:r>
        <w:rPr>
          <w:rFonts w:ascii="宋体" w:hAnsi="宋体"/>
          <w:b/>
          <w:bCs/>
          <w:color w:val="auto"/>
          <w:sz w:val="24"/>
          <w:highlight w:val="none"/>
        </w:rPr>
        <w:t>26.24</w:t>
      </w:r>
      <w:r>
        <w:rPr>
          <w:rFonts w:hint="eastAsia" w:ascii="宋体" w:hAnsi="宋体" w:cs="宋体"/>
          <w:b/>
          <w:bCs/>
          <w:color w:val="auto"/>
          <w:sz w:val="24"/>
          <w:highlight w:val="none"/>
        </w:rPr>
        <w:t>纸质商务标报价与电子商务标报价不一致的</w:t>
      </w:r>
      <w:r>
        <w:rPr>
          <w:rFonts w:hint="eastAsia" w:ascii="宋体" w:hAnsi="宋体"/>
          <w:b/>
          <w:bCs/>
          <w:color w:val="auto"/>
          <w:sz w:val="24"/>
          <w:highlight w:val="none"/>
        </w:rPr>
        <w:t>；</w:t>
      </w:r>
    </w:p>
    <w:p w14:paraId="5689A681">
      <w:pPr>
        <w:spacing w:line="360" w:lineRule="auto"/>
        <w:ind w:firstLine="482" w:firstLineChars="200"/>
        <w:rPr>
          <w:rFonts w:ascii="宋体" w:hAnsi="宋体"/>
          <w:b/>
          <w:bCs/>
          <w:color w:val="auto"/>
          <w:sz w:val="24"/>
          <w:highlight w:val="none"/>
        </w:rPr>
      </w:pPr>
      <w:r>
        <w:rPr>
          <w:rFonts w:ascii="宋体" w:hAnsi="宋体"/>
          <w:b/>
          <w:bCs/>
          <w:color w:val="auto"/>
          <w:sz w:val="24"/>
          <w:highlight w:val="none"/>
        </w:rPr>
        <w:t>26.25</w:t>
      </w:r>
      <w:r>
        <w:rPr>
          <w:rFonts w:hint="eastAsia" w:ascii="宋体" w:hAnsi="宋体" w:cs="宋体"/>
          <w:b/>
          <w:bCs/>
          <w:color w:val="auto"/>
          <w:sz w:val="24"/>
          <w:highlight w:val="none"/>
        </w:rPr>
        <w:t>纸质投标文件、电子投标文件未按照招标文件规定密封、分装的</w:t>
      </w:r>
      <w:r>
        <w:rPr>
          <w:rFonts w:hint="eastAsia" w:ascii="宋体" w:hAnsi="宋体"/>
          <w:b/>
          <w:bCs/>
          <w:color w:val="auto"/>
          <w:sz w:val="24"/>
          <w:highlight w:val="none"/>
        </w:rPr>
        <w:t>；</w:t>
      </w:r>
    </w:p>
    <w:p w14:paraId="79C58564">
      <w:pPr>
        <w:spacing w:line="360" w:lineRule="auto"/>
        <w:ind w:firstLine="482" w:firstLineChars="200"/>
        <w:rPr>
          <w:rFonts w:ascii="宋体" w:hAnsi="宋体"/>
          <w:b/>
          <w:bCs/>
          <w:color w:val="auto"/>
          <w:sz w:val="24"/>
          <w:highlight w:val="none"/>
        </w:rPr>
      </w:pPr>
      <w:r>
        <w:rPr>
          <w:rFonts w:ascii="宋体" w:hAnsi="宋体"/>
          <w:b/>
          <w:bCs/>
          <w:color w:val="auto"/>
          <w:sz w:val="24"/>
          <w:highlight w:val="none"/>
        </w:rPr>
        <w:t>26.26</w:t>
      </w:r>
      <w:r>
        <w:rPr>
          <w:rFonts w:hint="eastAsia" w:ascii="宋体" w:hAnsi="宋体" w:cs="宋体"/>
          <w:b/>
          <w:bCs/>
          <w:color w:val="auto"/>
          <w:sz w:val="24"/>
          <w:highlight w:val="none"/>
        </w:rPr>
        <w:t>不同投标人的电子投标文件出自同一台电脑、不同投标人的投标报价用同一个预算编制软件密码锁制作或者出自同一电子文档的、不同投标人的投标文件的编制者为同一人的，在作废标处理的同时，投标保证金按照招标文件第一章第</w:t>
      </w:r>
      <w:r>
        <w:rPr>
          <w:rFonts w:ascii="宋体" w:hAnsi="宋体"/>
          <w:b/>
          <w:bCs/>
          <w:color w:val="auto"/>
          <w:sz w:val="24"/>
          <w:highlight w:val="none"/>
        </w:rPr>
        <w:t>14</w:t>
      </w:r>
      <w:r>
        <w:rPr>
          <w:rFonts w:hint="eastAsia" w:ascii="宋体" w:hAnsi="宋体" w:cs="宋体"/>
          <w:b/>
          <w:bCs/>
          <w:color w:val="auto"/>
          <w:sz w:val="24"/>
          <w:highlight w:val="none"/>
        </w:rPr>
        <w:t>款处理。</w:t>
      </w:r>
    </w:p>
    <w:p w14:paraId="299B4810">
      <w:pPr>
        <w:spacing w:line="440" w:lineRule="exact"/>
        <w:ind w:firstLine="482" w:firstLineChars="200"/>
        <w:rPr>
          <w:rFonts w:ascii="宋体" w:hAnsi="宋体" w:cs="宋体"/>
          <w:b/>
          <w:bCs/>
          <w:color w:val="auto"/>
          <w:sz w:val="24"/>
          <w:highlight w:val="none"/>
        </w:rPr>
      </w:pPr>
      <w:r>
        <w:rPr>
          <w:rFonts w:hint="eastAsia" w:ascii="宋体" w:hAnsi="宋体" w:cs="宋体"/>
          <w:b/>
          <w:bCs/>
          <w:color w:val="auto"/>
          <w:sz w:val="24"/>
          <w:highlight w:val="none"/>
        </w:rPr>
        <w:t>26.27拟派的项目负责人不符合《住房和城乡建设部办公厅关于全面实行一级建造师电子注册证书的通知》(建办市〔2021〕40号)文件、《省住房和城乡建设厅关于我省二级建造师、二级造价工程师、二级注册建筑师、二级注册结构工程师注册证书电子证照换发的公告》（〔2023〕第26号）规定。</w:t>
      </w:r>
    </w:p>
    <w:p w14:paraId="452855AB">
      <w:pPr>
        <w:spacing w:line="440" w:lineRule="exact"/>
        <w:ind w:firstLine="482" w:firstLineChars="200"/>
        <w:rPr>
          <w:rFonts w:ascii="宋体" w:hAnsi="宋体"/>
          <w:b/>
          <w:color w:val="auto"/>
          <w:kern w:val="0"/>
          <w:sz w:val="24"/>
          <w:highlight w:val="none"/>
        </w:rPr>
      </w:pPr>
      <w:r>
        <w:rPr>
          <w:rFonts w:hint="eastAsia" w:ascii="宋体" w:hAnsi="宋体" w:cs="宋体"/>
          <w:b/>
          <w:bCs/>
          <w:color w:val="auto"/>
          <w:sz w:val="24"/>
          <w:highlight w:val="none"/>
        </w:rPr>
        <w:t>26.28截至投标截止时间，投标人企业资质（仅针对本项目要求的资质）动态监管资质处于不合格状态。</w:t>
      </w:r>
    </w:p>
    <w:p w14:paraId="376B6261">
      <w:pPr>
        <w:spacing w:line="360" w:lineRule="auto"/>
        <w:outlineLvl w:val="3"/>
        <w:rPr>
          <w:rFonts w:ascii="宋体" w:hAnsi="宋体"/>
          <w:b/>
          <w:color w:val="auto"/>
          <w:kern w:val="0"/>
          <w:sz w:val="24"/>
          <w:highlight w:val="none"/>
        </w:rPr>
      </w:pPr>
      <w:r>
        <w:rPr>
          <w:rFonts w:ascii="宋体" w:hAnsi="宋体"/>
          <w:b/>
          <w:color w:val="auto"/>
          <w:kern w:val="0"/>
          <w:sz w:val="24"/>
          <w:highlight w:val="none"/>
        </w:rPr>
        <w:t>27.评标、定标工作由招标人或代理机构组织进行。</w:t>
      </w:r>
    </w:p>
    <w:p w14:paraId="2DA9F43D">
      <w:pPr>
        <w:spacing w:line="360" w:lineRule="auto"/>
        <w:outlineLvl w:val="3"/>
        <w:rPr>
          <w:rFonts w:ascii="宋体" w:hAnsi="宋体"/>
          <w:b/>
          <w:color w:val="auto"/>
          <w:kern w:val="0"/>
          <w:sz w:val="24"/>
          <w:highlight w:val="none"/>
        </w:rPr>
      </w:pPr>
      <w:r>
        <w:rPr>
          <w:rFonts w:ascii="宋体" w:hAnsi="宋体"/>
          <w:b/>
          <w:color w:val="auto"/>
          <w:kern w:val="0"/>
          <w:sz w:val="24"/>
          <w:highlight w:val="none"/>
        </w:rPr>
        <w:t>28.投标文件的澄清</w:t>
      </w:r>
    </w:p>
    <w:p w14:paraId="6C0B8932">
      <w:pPr>
        <w:spacing w:line="360" w:lineRule="auto"/>
        <w:ind w:firstLine="480" w:firstLineChars="200"/>
        <w:rPr>
          <w:rFonts w:ascii="宋体" w:hAnsi="宋体"/>
          <w:color w:val="auto"/>
          <w:sz w:val="24"/>
          <w:highlight w:val="none"/>
        </w:rPr>
      </w:pPr>
      <w:r>
        <w:rPr>
          <w:rFonts w:ascii="宋体" w:hAnsi="宋体"/>
          <w:color w:val="auto"/>
          <w:sz w:val="24"/>
          <w:highlight w:val="none"/>
        </w:rPr>
        <w:t>在评标过程中，评标委员会认为需要，可以书面形式要求投标人对投标文件中的有关问题进行澄清或提供补充说明及有关资料，投标人应作出书面答复。书面答复中不得有变更价格、工期、自报质量等级等实质性内容。</w:t>
      </w:r>
    </w:p>
    <w:p w14:paraId="119B367B">
      <w:pPr>
        <w:spacing w:line="360" w:lineRule="auto"/>
        <w:ind w:firstLine="472" w:firstLineChars="200"/>
        <w:rPr>
          <w:rFonts w:ascii="宋体" w:hAnsi="宋体"/>
          <w:color w:val="auto"/>
          <w:sz w:val="24"/>
          <w:highlight w:val="none"/>
        </w:rPr>
      </w:pPr>
      <w:r>
        <w:rPr>
          <w:rFonts w:ascii="宋体" w:hAnsi="宋体"/>
          <w:color w:val="auto"/>
          <w:spacing w:val="-2"/>
          <w:sz w:val="24"/>
          <w:highlight w:val="none"/>
        </w:rPr>
        <w:t>书面答复须经投标人法定代表人或经其授权的委托代理人的签字或加盖印鉴，签字或加盖印鉴的书面答复将被视为投标文件的组成部分。投标截止日后，投标人对投标报价或其他实质性内容修正的函件和增加的任何优惠条件，一律不得作为评标、定标的依据</w:t>
      </w:r>
      <w:r>
        <w:rPr>
          <w:rFonts w:ascii="宋体" w:hAnsi="宋体"/>
          <w:color w:val="auto"/>
          <w:sz w:val="24"/>
          <w:highlight w:val="none"/>
        </w:rPr>
        <w:t>。</w:t>
      </w:r>
    </w:p>
    <w:p w14:paraId="0A85D525">
      <w:pPr>
        <w:spacing w:line="360" w:lineRule="auto"/>
        <w:outlineLvl w:val="3"/>
        <w:rPr>
          <w:rFonts w:ascii="宋体" w:hAnsi="宋体"/>
          <w:b/>
          <w:color w:val="auto"/>
          <w:kern w:val="0"/>
          <w:sz w:val="24"/>
          <w:highlight w:val="none"/>
        </w:rPr>
      </w:pPr>
      <w:r>
        <w:rPr>
          <w:rFonts w:ascii="宋体" w:hAnsi="宋体"/>
          <w:b/>
          <w:color w:val="auto"/>
          <w:kern w:val="0"/>
          <w:sz w:val="24"/>
          <w:highlight w:val="none"/>
        </w:rPr>
        <w:t>29.评标委员会在对实质性响应招标文件要求的投标进行报价评估时，除招标文件另有约定外，应当按下列原则进行修正：(一)投标文件中的大写金额与小写金额不一致，以大写金额为准；(二)总价金额与单价不一致的，以单价金额为准，但单价金额小数点有明显错误的除外；(三)对不同文字文本投标文件的解释发生异议的，以中文文本为准。</w:t>
      </w:r>
    </w:p>
    <w:p w14:paraId="4B4E925B">
      <w:pPr>
        <w:spacing w:line="360" w:lineRule="auto"/>
        <w:outlineLvl w:val="3"/>
        <w:rPr>
          <w:rFonts w:ascii="宋体" w:hAnsi="宋体"/>
          <w:b/>
          <w:color w:val="auto"/>
          <w:kern w:val="0"/>
          <w:sz w:val="24"/>
          <w:highlight w:val="none"/>
        </w:rPr>
      </w:pPr>
      <w:r>
        <w:rPr>
          <w:rFonts w:ascii="宋体" w:hAnsi="宋体"/>
          <w:b/>
          <w:color w:val="auto"/>
          <w:kern w:val="0"/>
          <w:sz w:val="24"/>
          <w:highlight w:val="none"/>
        </w:rPr>
        <w:t>30.投标报价可以四舍五入到“元”。</w:t>
      </w:r>
    </w:p>
    <w:p w14:paraId="20518374">
      <w:pPr>
        <w:spacing w:line="360" w:lineRule="auto"/>
        <w:outlineLvl w:val="3"/>
        <w:rPr>
          <w:rFonts w:ascii="宋体" w:hAnsi="宋体"/>
          <w:b/>
          <w:color w:val="auto"/>
          <w:kern w:val="0"/>
          <w:sz w:val="24"/>
          <w:highlight w:val="none"/>
        </w:rPr>
      </w:pPr>
      <w:r>
        <w:rPr>
          <w:rFonts w:ascii="宋体" w:hAnsi="宋体"/>
          <w:b/>
          <w:color w:val="auto"/>
          <w:kern w:val="0"/>
          <w:sz w:val="24"/>
          <w:highlight w:val="none"/>
        </w:rPr>
        <w:t>31.在投标文件的审查、澄清、评价和比较以及授予合同的过程中，投标人对招标人和评标组织成员施加影响的任何行为，都将导致取消其中标资格。</w:t>
      </w:r>
    </w:p>
    <w:p w14:paraId="722CBD2C">
      <w:pPr>
        <w:spacing w:line="360" w:lineRule="auto"/>
        <w:outlineLvl w:val="3"/>
        <w:rPr>
          <w:rFonts w:ascii="宋体" w:hAnsi="宋体"/>
          <w:b/>
          <w:color w:val="auto"/>
          <w:kern w:val="0"/>
          <w:sz w:val="24"/>
          <w:highlight w:val="none"/>
        </w:rPr>
      </w:pPr>
      <w:r>
        <w:rPr>
          <w:rFonts w:ascii="宋体" w:hAnsi="宋体"/>
          <w:b/>
          <w:color w:val="auto"/>
          <w:kern w:val="0"/>
          <w:sz w:val="24"/>
          <w:highlight w:val="none"/>
        </w:rPr>
        <w:t>32.评标委员会在评标工作完成后，将在评标报告之外按照统一格式公布评标结果公开的内容，在中标结果公示的同时一并在“南通市崇川区人民政府网”公示，公布的时间为三日。</w:t>
      </w:r>
    </w:p>
    <w:p w14:paraId="39623E7D">
      <w:pPr>
        <w:pStyle w:val="4"/>
        <w:rPr>
          <w:rFonts w:ascii="宋体" w:hAnsi="宋体"/>
          <w:color w:val="auto"/>
          <w:sz w:val="24"/>
          <w:szCs w:val="24"/>
          <w:highlight w:val="none"/>
        </w:rPr>
      </w:pPr>
      <w:r>
        <w:rPr>
          <w:rFonts w:ascii="宋体" w:hAnsi="宋体"/>
          <w:color w:val="auto"/>
          <w:sz w:val="24"/>
          <w:szCs w:val="24"/>
          <w:highlight w:val="none"/>
        </w:rPr>
        <w:t>（七）授予合同</w:t>
      </w:r>
    </w:p>
    <w:p w14:paraId="090424D8">
      <w:pPr>
        <w:spacing w:line="360" w:lineRule="auto"/>
        <w:outlineLvl w:val="3"/>
        <w:rPr>
          <w:rFonts w:ascii="宋体" w:hAnsi="宋体"/>
          <w:b/>
          <w:color w:val="auto"/>
          <w:kern w:val="0"/>
          <w:sz w:val="24"/>
          <w:highlight w:val="none"/>
        </w:rPr>
      </w:pPr>
      <w:r>
        <w:rPr>
          <w:rFonts w:ascii="宋体" w:hAnsi="宋体"/>
          <w:b/>
          <w:color w:val="auto"/>
          <w:kern w:val="0"/>
          <w:sz w:val="24"/>
          <w:highlight w:val="none"/>
        </w:rPr>
        <w:t>33.定标后，招标人在15日内</w:t>
      </w:r>
      <w:r>
        <w:rPr>
          <w:rFonts w:hint="eastAsia" w:ascii="宋体" w:hAnsi="宋体"/>
          <w:b/>
          <w:color w:val="auto"/>
          <w:kern w:val="0"/>
          <w:sz w:val="24"/>
          <w:highlight w:val="none"/>
        </w:rPr>
        <w:t>形成</w:t>
      </w:r>
      <w:r>
        <w:rPr>
          <w:rFonts w:ascii="宋体" w:hAnsi="宋体"/>
          <w:b/>
          <w:color w:val="auto"/>
          <w:kern w:val="0"/>
          <w:sz w:val="24"/>
          <w:highlight w:val="none"/>
        </w:rPr>
        <w:t>施工招投标情况的书面报告，书面报告应包括下列内容：</w:t>
      </w:r>
    </w:p>
    <w:p w14:paraId="7F06275D">
      <w:pPr>
        <w:spacing w:line="360" w:lineRule="auto"/>
        <w:ind w:firstLine="480" w:firstLineChars="200"/>
        <w:jc w:val="left"/>
        <w:rPr>
          <w:rFonts w:ascii="宋体" w:hAnsi="宋体"/>
          <w:color w:val="auto"/>
          <w:sz w:val="24"/>
          <w:highlight w:val="none"/>
        </w:rPr>
      </w:pPr>
      <w:r>
        <w:rPr>
          <w:rFonts w:ascii="宋体" w:hAnsi="宋体"/>
          <w:color w:val="auto"/>
          <w:sz w:val="24"/>
          <w:highlight w:val="none"/>
        </w:rPr>
        <w:t>33.1施工招标投标的基本情况，包括施工招标范围、施工招标方式、资格审查、开标评标过程和确定中标人的方式及理由等。</w:t>
      </w:r>
    </w:p>
    <w:p w14:paraId="2A212421">
      <w:pPr>
        <w:spacing w:line="360" w:lineRule="auto"/>
        <w:ind w:firstLine="480" w:firstLineChars="200"/>
        <w:jc w:val="left"/>
        <w:rPr>
          <w:rFonts w:ascii="宋体" w:hAnsi="宋体"/>
          <w:color w:val="auto"/>
          <w:sz w:val="24"/>
          <w:highlight w:val="none"/>
        </w:rPr>
      </w:pPr>
      <w:r>
        <w:rPr>
          <w:rFonts w:ascii="宋体" w:hAnsi="宋体"/>
          <w:color w:val="auto"/>
          <w:sz w:val="24"/>
          <w:highlight w:val="none"/>
        </w:rPr>
        <w:t>33.2相关的文件资料包括招标公告或者投标邀请书、投标报名表、资格审查文件、招标文件、评标委员会的评标报告(应当附招标控制价组成文件)、中标人的投标文件。委托工程招标代理的，应当附工程施工招标代理委托合同。单独委托编制招标控制价的，还应当附招标控制价编制委托合同。</w:t>
      </w:r>
    </w:p>
    <w:p w14:paraId="5473DDE1">
      <w:pPr>
        <w:spacing w:line="360" w:lineRule="auto"/>
        <w:outlineLvl w:val="3"/>
        <w:rPr>
          <w:rFonts w:ascii="宋体" w:hAnsi="宋体"/>
          <w:b/>
          <w:color w:val="auto"/>
          <w:kern w:val="0"/>
          <w:sz w:val="24"/>
          <w:highlight w:val="none"/>
        </w:rPr>
      </w:pPr>
      <w:r>
        <w:rPr>
          <w:rFonts w:ascii="宋体" w:hAnsi="宋体"/>
          <w:b/>
          <w:color w:val="auto"/>
          <w:kern w:val="0"/>
          <w:sz w:val="24"/>
          <w:highlight w:val="none"/>
        </w:rPr>
        <w:t>34.招标人和中标人应当自中标通知书发出之日起</w:t>
      </w:r>
      <w:r>
        <w:rPr>
          <w:rFonts w:hint="eastAsia" w:ascii="宋体" w:hAnsi="宋体"/>
          <w:b/>
          <w:color w:val="auto"/>
          <w:kern w:val="0"/>
          <w:sz w:val="24"/>
          <w:highlight w:val="none"/>
        </w:rPr>
        <w:t>30</w:t>
      </w:r>
      <w:r>
        <w:rPr>
          <w:rFonts w:ascii="宋体" w:hAnsi="宋体"/>
          <w:b/>
          <w:color w:val="auto"/>
          <w:kern w:val="0"/>
          <w:sz w:val="24"/>
          <w:highlight w:val="none"/>
        </w:rPr>
        <w:t>日内，按照本招标文件和中标人的投标文件订立书面合同。招标人和中标人不得再订立背离合同实质性内容的其他协议。</w:t>
      </w:r>
    </w:p>
    <w:p w14:paraId="7C13DD0C">
      <w:pPr>
        <w:spacing w:line="360" w:lineRule="auto"/>
        <w:outlineLvl w:val="3"/>
        <w:rPr>
          <w:rFonts w:ascii="宋体" w:hAnsi="宋体"/>
          <w:b/>
          <w:color w:val="auto"/>
          <w:kern w:val="0"/>
          <w:sz w:val="24"/>
          <w:highlight w:val="none"/>
        </w:rPr>
      </w:pPr>
      <w:r>
        <w:rPr>
          <w:rFonts w:ascii="宋体" w:hAnsi="宋体"/>
          <w:b/>
          <w:color w:val="auto"/>
          <w:kern w:val="0"/>
          <w:sz w:val="24"/>
          <w:highlight w:val="none"/>
        </w:rPr>
        <w:t>35.中标通知书发出后</w:t>
      </w:r>
      <w:r>
        <w:rPr>
          <w:rFonts w:hint="eastAsia" w:ascii="宋体" w:hAnsi="宋体"/>
          <w:b/>
          <w:color w:val="auto"/>
          <w:kern w:val="0"/>
          <w:sz w:val="24"/>
          <w:highlight w:val="none"/>
        </w:rPr>
        <w:t>7个工作日</w:t>
      </w:r>
      <w:r>
        <w:rPr>
          <w:rFonts w:ascii="宋体" w:hAnsi="宋体"/>
          <w:b/>
          <w:color w:val="auto"/>
          <w:kern w:val="0"/>
          <w:sz w:val="24"/>
          <w:highlight w:val="none"/>
        </w:rPr>
        <w:t>内，合同签订前，中标人应按本须知前附表第21项规定的金额向招标人提交履约担保，担保的形式为</w:t>
      </w:r>
      <w:r>
        <w:rPr>
          <w:rFonts w:hint="eastAsia" w:ascii="宋体" w:hAnsi="宋体" w:eastAsia="宋体" w:cs="Times New Roman"/>
          <w:b/>
          <w:color w:val="auto"/>
          <w:kern w:val="0"/>
          <w:sz w:val="24"/>
          <w:highlight w:val="none"/>
          <w:lang w:val="en-US" w:eastAsia="zh-CN"/>
        </w:rPr>
        <w:t>银行转账或支票等</w:t>
      </w:r>
      <w:r>
        <w:rPr>
          <w:rFonts w:ascii="宋体" w:hAnsi="宋体" w:eastAsia="宋体" w:cs="Times New Roman"/>
          <w:b/>
          <w:color w:val="auto"/>
          <w:kern w:val="0"/>
          <w:sz w:val="24"/>
          <w:highlight w:val="none"/>
        </w:rPr>
        <w:t>，</w:t>
      </w:r>
      <w:r>
        <w:rPr>
          <w:rFonts w:ascii="宋体" w:hAnsi="宋体"/>
          <w:b/>
          <w:color w:val="auto"/>
          <w:kern w:val="0"/>
          <w:sz w:val="24"/>
          <w:highlight w:val="none"/>
        </w:rPr>
        <w:t>不接受银行保函。</w:t>
      </w:r>
    </w:p>
    <w:p w14:paraId="21140D2C">
      <w:pPr>
        <w:spacing w:line="360" w:lineRule="auto"/>
        <w:outlineLvl w:val="3"/>
        <w:rPr>
          <w:rFonts w:ascii="宋体" w:hAnsi="宋体"/>
          <w:b/>
          <w:color w:val="auto"/>
          <w:kern w:val="0"/>
          <w:sz w:val="24"/>
          <w:highlight w:val="none"/>
        </w:rPr>
      </w:pPr>
      <w:r>
        <w:rPr>
          <w:rFonts w:ascii="宋体" w:hAnsi="宋体"/>
          <w:b/>
          <w:color w:val="auto"/>
          <w:kern w:val="0"/>
          <w:sz w:val="24"/>
          <w:highlight w:val="none"/>
        </w:rPr>
        <w:t>36.若中标人不能按本须知第34条、35条款的规定执行，招标人将有充分的理由认为中标人放弃中标项目及签订合同的权利，并没收其投标保证金，中标人的行为给招标人造成损失超过投标保证金数额的，还应当对超过部分予以赔偿。中标人由第二中标候选人替补，以此类推。</w:t>
      </w:r>
    </w:p>
    <w:p w14:paraId="194A158C">
      <w:pPr>
        <w:spacing w:line="360" w:lineRule="auto"/>
        <w:outlineLvl w:val="3"/>
        <w:rPr>
          <w:rFonts w:ascii="宋体" w:hAnsi="宋体"/>
          <w:b/>
          <w:color w:val="auto"/>
          <w:kern w:val="0"/>
          <w:sz w:val="24"/>
          <w:highlight w:val="none"/>
        </w:rPr>
      </w:pPr>
      <w:r>
        <w:rPr>
          <w:rFonts w:ascii="宋体" w:hAnsi="宋体"/>
          <w:b/>
          <w:color w:val="auto"/>
          <w:kern w:val="0"/>
          <w:sz w:val="24"/>
          <w:highlight w:val="none"/>
        </w:rPr>
        <w:t>37. 中标人在中标后或施工期间不得随意变更中标项目负责人。如果出现特殊情况，确需更换的，应当经招标人同意，并提供必要的证明文件报招标投标行政监督部门备案。</w:t>
      </w:r>
    </w:p>
    <w:p w14:paraId="4A29570D">
      <w:pPr>
        <w:spacing w:line="360" w:lineRule="auto"/>
        <w:ind w:firstLine="480" w:firstLineChars="200"/>
        <w:jc w:val="left"/>
        <w:rPr>
          <w:rFonts w:ascii="宋体" w:hAnsi="宋体"/>
          <w:color w:val="auto"/>
          <w:sz w:val="24"/>
          <w:highlight w:val="none"/>
        </w:rPr>
      </w:pPr>
      <w:r>
        <w:rPr>
          <w:rFonts w:ascii="宋体" w:hAnsi="宋体"/>
          <w:color w:val="auto"/>
          <w:sz w:val="24"/>
          <w:highlight w:val="none"/>
        </w:rPr>
        <w:t>注：自备案之日起至原合同期满止，原中标项目负责人不得作为项目负责人承接其他工程，如备案之日至原合同工期期满之日不足六个月，则限制其承接工程的期限为六个月。</w:t>
      </w:r>
    </w:p>
    <w:p w14:paraId="4D54F023">
      <w:pPr>
        <w:pStyle w:val="2"/>
        <w:spacing w:line="360" w:lineRule="auto"/>
        <w:jc w:val="center"/>
        <w:rPr>
          <w:rFonts w:ascii="宋体" w:hAnsi="宋体" w:cs="宋体"/>
          <w:color w:val="auto"/>
          <w:sz w:val="36"/>
          <w:highlight w:val="none"/>
        </w:rPr>
      </w:pPr>
      <w:bookmarkStart w:id="30" w:name="_Toc465181335"/>
      <w:bookmarkStart w:id="31" w:name="_Toc404159959"/>
      <w:r>
        <w:rPr>
          <w:rFonts w:ascii="宋体" w:hAnsi="宋体"/>
          <w:b w:val="0"/>
          <w:color w:val="auto"/>
          <w:sz w:val="36"/>
          <w:szCs w:val="36"/>
          <w:highlight w:val="none"/>
        </w:rPr>
        <w:br w:type="page"/>
      </w:r>
      <w:bookmarkEnd w:id="30"/>
      <w:bookmarkEnd w:id="31"/>
      <w:bookmarkStart w:id="32" w:name="_Toc433959594"/>
      <w:bookmarkStart w:id="33" w:name="_Toc388540283"/>
      <w:bookmarkStart w:id="34" w:name="_Toc409281987"/>
      <w:bookmarkStart w:id="35" w:name="_Toc467426156"/>
      <w:r>
        <w:rPr>
          <w:rFonts w:hint="eastAsia" w:ascii="宋体" w:hAnsi="宋体" w:cs="宋体"/>
          <w:color w:val="auto"/>
          <w:sz w:val="36"/>
          <w:highlight w:val="none"/>
        </w:rPr>
        <w:t xml:space="preserve"> 第二章 评标办法（价格单因素评标办法）</w:t>
      </w:r>
    </w:p>
    <w:p w14:paraId="79D1FE99">
      <w:pPr>
        <w:widowControl/>
        <w:spacing w:line="360" w:lineRule="auto"/>
        <w:ind w:firstLine="433" w:firstLineChars="196"/>
        <w:jc w:val="left"/>
        <w:rPr>
          <w:color w:val="auto"/>
          <w:kern w:val="0"/>
          <w:sz w:val="22"/>
          <w:szCs w:val="22"/>
          <w:highlight w:val="none"/>
        </w:rPr>
      </w:pPr>
      <w:r>
        <w:rPr>
          <w:rFonts w:hAnsi="宋体"/>
          <w:b/>
          <w:bCs/>
          <w:color w:val="auto"/>
          <w:kern w:val="0"/>
          <w:sz w:val="22"/>
          <w:szCs w:val="22"/>
          <w:highlight w:val="none"/>
        </w:rPr>
        <w:t>一、本工程采用价格单因素评标办法，且采用资格后审，具体资格审查及评标细则如下：</w:t>
      </w:r>
    </w:p>
    <w:p w14:paraId="082136A3">
      <w:pPr>
        <w:widowControl/>
        <w:spacing w:line="360" w:lineRule="auto"/>
        <w:ind w:firstLine="440" w:firstLineChars="200"/>
        <w:jc w:val="left"/>
        <w:rPr>
          <w:rFonts w:hAnsi="宋体"/>
          <w:color w:val="auto"/>
          <w:kern w:val="0"/>
          <w:sz w:val="22"/>
          <w:szCs w:val="22"/>
          <w:highlight w:val="none"/>
        </w:rPr>
      </w:pPr>
      <w:r>
        <w:rPr>
          <w:rFonts w:hint="eastAsia" w:hAnsi="宋体"/>
          <w:color w:val="auto"/>
          <w:kern w:val="0"/>
          <w:sz w:val="22"/>
          <w:szCs w:val="22"/>
          <w:highlight w:val="none"/>
        </w:rPr>
        <w:t>（一）评标程序</w:t>
      </w:r>
    </w:p>
    <w:p w14:paraId="7D39B2D9">
      <w:pPr>
        <w:widowControl/>
        <w:spacing w:line="360" w:lineRule="auto"/>
        <w:ind w:firstLine="440" w:firstLineChars="200"/>
        <w:jc w:val="left"/>
        <w:rPr>
          <w:rFonts w:hAnsi="宋体"/>
          <w:color w:val="auto"/>
          <w:kern w:val="0"/>
          <w:sz w:val="22"/>
          <w:szCs w:val="22"/>
          <w:highlight w:val="none"/>
        </w:rPr>
      </w:pPr>
      <w:r>
        <w:rPr>
          <w:rFonts w:hint="eastAsia" w:hAnsi="宋体"/>
          <w:color w:val="auto"/>
          <w:kern w:val="0"/>
          <w:sz w:val="22"/>
          <w:szCs w:val="22"/>
          <w:highlight w:val="none"/>
        </w:rPr>
        <w:t>投标人资格审查—商务标评标—确定中标候选人。</w:t>
      </w:r>
    </w:p>
    <w:p w14:paraId="298F3268">
      <w:pPr>
        <w:widowControl/>
        <w:spacing w:line="360" w:lineRule="auto"/>
        <w:ind w:firstLine="440" w:firstLineChars="200"/>
        <w:jc w:val="left"/>
        <w:rPr>
          <w:rFonts w:hAnsi="宋体"/>
          <w:color w:val="auto"/>
          <w:kern w:val="0"/>
          <w:sz w:val="22"/>
          <w:szCs w:val="22"/>
          <w:highlight w:val="none"/>
        </w:rPr>
      </w:pPr>
      <w:r>
        <w:rPr>
          <w:rFonts w:hAnsi="宋体"/>
          <w:color w:val="auto"/>
          <w:kern w:val="0"/>
          <w:sz w:val="22"/>
          <w:szCs w:val="22"/>
          <w:highlight w:val="none"/>
        </w:rPr>
        <w:t>（二）评审标准</w:t>
      </w:r>
    </w:p>
    <w:p w14:paraId="758D981E">
      <w:pPr>
        <w:widowControl/>
        <w:spacing w:line="360" w:lineRule="auto"/>
        <w:ind w:firstLine="440" w:firstLineChars="200"/>
        <w:jc w:val="left"/>
        <w:rPr>
          <w:rFonts w:hAnsi="宋体"/>
          <w:color w:val="auto"/>
          <w:kern w:val="0"/>
          <w:sz w:val="22"/>
          <w:szCs w:val="22"/>
          <w:highlight w:val="none"/>
        </w:rPr>
      </w:pPr>
      <w:r>
        <w:rPr>
          <w:rFonts w:hint="eastAsia" w:hAnsi="宋体"/>
          <w:color w:val="auto"/>
          <w:kern w:val="0"/>
          <w:sz w:val="22"/>
          <w:szCs w:val="22"/>
          <w:highlight w:val="none"/>
        </w:rPr>
        <w:t>本次资格审查采用合格制，各投标单位只有满足资格审查主要资格条件及必要合格条件，方可参与商务标的评审。</w:t>
      </w:r>
    </w:p>
    <w:p w14:paraId="5411BD05">
      <w:pPr>
        <w:widowControl/>
        <w:spacing w:line="360" w:lineRule="auto"/>
        <w:ind w:firstLine="440" w:firstLineChars="200"/>
        <w:jc w:val="left"/>
        <w:rPr>
          <w:color w:val="auto"/>
          <w:kern w:val="0"/>
          <w:sz w:val="22"/>
          <w:szCs w:val="22"/>
          <w:highlight w:val="none"/>
        </w:rPr>
      </w:pPr>
      <w:r>
        <w:rPr>
          <w:color w:val="auto"/>
          <w:kern w:val="0"/>
          <w:sz w:val="22"/>
          <w:szCs w:val="22"/>
          <w:highlight w:val="none"/>
        </w:rPr>
        <w:t>1</w:t>
      </w:r>
      <w:r>
        <w:rPr>
          <w:rFonts w:hAnsi="宋体"/>
          <w:color w:val="auto"/>
          <w:kern w:val="0"/>
          <w:sz w:val="22"/>
          <w:szCs w:val="22"/>
          <w:highlight w:val="none"/>
        </w:rPr>
        <w:t>、资格符合性评审</w:t>
      </w:r>
    </w:p>
    <w:p w14:paraId="73654EB1">
      <w:pPr>
        <w:widowControl/>
        <w:spacing w:line="360" w:lineRule="auto"/>
        <w:ind w:firstLine="482" w:firstLineChars="200"/>
        <w:jc w:val="center"/>
        <w:rPr>
          <w:rFonts w:ascii="宋体" w:hAnsi="宋体" w:cs="宋体"/>
          <w:color w:val="auto"/>
          <w:kern w:val="0"/>
          <w:sz w:val="24"/>
          <w:highlight w:val="none"/>
        </w:rPr>
      </w:pPr>
      <w:r>
        <w:rPr>
          <w:rFonts w:hint="eastAsia" w:ascii="宋体" w:hAnsi="宋体" w:cs="宋体"/>
          <w:b/>
          <w:color w:val="auto"/>
          <w:sz w:val="24"/>
          <w:highlight w:val="none"/>
          <w:u w:val="single"/>
        </w:rPr>
        <w:t>资格审查标准汇总表</w:t>
      </w:r>
    </w:p>
    <w:tbl>
      <w:tblPr>
        <w:tblStyle w:val="17"/>
        <w:tblW w:w="9569" w:type="dxa"/>
        <w:jc w:val="center"/>
        <w:tblCellSpacing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0" w:type="dxa"/>
          <w:bottom w:w="0" w:type="dxa"/>
          <w:right w:w="0" w:type="dxa"/>
        </w:tblCellMar>
      </w:tblPr>
      <w:tblGrid>
        <w:gridCol w:w="552"/>
        <w:gridCol w:w="2028"/>
        <w:gridCol w:w="3510"/>
        <w:gridCol w:w="3479"/>
      </w:tblGrid>
      <w:tr w14:paraId="2BE2490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54" w:hRule="atLeast"/>
          <w:tblHeader/>
          <w:tblCellSpacing w:w="0" w:type="dxa"/>
          <w:jc w:val="center"/>
        </w:trPr>
        <w:tc>
          <w:tcPr>
            <w:tcW w:w="552" w:type="dxa"/>
            <w:tcBorders>
              <w:top w:val="single" w:color="auto" w:sz="4" w:space="0"/>
              <w:left w:val="single" w:color="auto" w:sz="4" w:space="0"/>
              <w:bottom w:val="single" w:color="auto" w:sz="4" w:space="0"/>
              <w:right w:val="single" w:color="auto" w:sz="4" w:space="0"/>
            </w:tcBorders>
            <w:vAlign w:val="center"/>
          </w:tcPr>
          <w:p w14:paraId="1088C414">
            <w:pPr>
              <w:widowControl/>
              <w:spacing w:line="360" w:lineRule="auto"/>
              <w:jc w:val="center"/>
              <w:rPr>
                <w:rFonts w:ascii="宋体" w:hAnsi="宋体" w:cs="宋体"/>
                <w:b/>
                <w:color w:val="auto"/>
                <w:kern w:val="0"/>
                <w:sz w:val="24"/>
                <w:highlight w:val="none"/>
              </w:rPr>
            </w:pPr>
            <w:bookmarkStart w:id="36" w:name="OLE_LINK2"/>
            <w:r>
              <w:rPr>
                <w:rFonts w:hint="eastAsia" w:ascii="宋体" w:hAnsi="宋体" w:cs="宋体"/>
                <w:b/>
                <w:color w:val="auto"/>
                <w:kern w:val="0"/>
                <w:sz w:val="24"/>
                <w:highlight w:val="none"/>
              </w:rPr>
              <w:t>序号</w:t>
            </w:r>
          </w:p>
        </w:tc>
        <w:tc>
          <w:tcPr>
            <w:tcW w:w="2028" w:type="dxa"/>
            <w:tcBorders>
              <w:top w:val="single" w:color="auto" w:sz="4" w:space="0"/>
              <w:left w:val="single" w:color="auto" w:sz="4" w:space="0"/>
              <w:bottom w:val="single" w:color="auto" w:sz="4" w:space="0"/>
              <w:right w:val="single" w:color="auto" w:sz="4" w:space="0"/>
            </w:tcBorders>
            <w:vAlign w:val="center"/>
          </w:tcPr>
          <w:p w14:paraId="69D6FCC5">
            <w:pPr>
              <w:widowControl/>
              <w:spacing w:line="360" w:lineRule="auto"/>
              <w:jc w:val="center"/>
              <w:rPr>
                <w:rFonts w:ascii="宋体" w:hAnsi="宋体" w:cs="宋体"/>
                <w:b/>
                <w:color w:val="auto"/>
                <w:kern w:val="0"/>
                <w:sz w:val="24"/>
                <w:highlight w:val="none"/>
              </w:rPr>
            </w:pPr>
            <w:r>
              <w:rPr>
                <w:rFonts w:hint="eastAsia" w:ascii="宋体" w:hAnsi="宋体" w:cs="宋体"/>
                <w:b/>
                <w:color w:val="auto"/>
                <w:kern w:val="0"/>
                <w:sz w:val="24"/>
                <w:highlight w:val="none"/>
              </w:rPr>
              <w:t>项目内容</w:t>
            </w:r>
          </w:p>
        </w:tc>
        <w:tc>
          <w:tcPr>
            <w:tcW w:w="3510" w:type="dxa"/>
            <w:tcBorders>
              <w:top w:val="single" w:color="auto" w:sz="4" w:space="0"/>
              <w:left w:val="single" w:color="auto" w:sz="4" w:space="0"/>
              <w:bottom w:val="single" w:color="auto" w:sz="4" w:space="0"/>
              <w:right w:val="single" w:color="auto" w:sz="4" w:space="0"/>
            </w:tcBorders>
            <w:vAlign w:val="center"/>
          </w:tcPr>
          <w:p w14:paraId="77ABF2AC">
            <w:pPr>
              <w:widowControl/>
              <w:spacing w:line="360" w:lineRule="auto"/>
              <w:jc w:val="center"/>
              <w:rPr>
                <w:rFonts w:ascii="宋体" w:hAnsi="宋体" w:cs="宋体"/>
                <w:b/>
                <w:color w:val="auto"/>
                <w:kern w:val="0"/>
                <w:sz w:val="24"/>
                <w:highlight w:val="none"/>
              </w:rPr>
            </w:pPr>
            <w:r>
              <w:rPr>
                <w:rFonts w:hint="eastAsia" w:ascii="宋体" w:hAnsi="宋体" w:cs="宋体"/>
                <w:b/>
                <w:color w:val="auto"/>
                <w:kern w:val="0"/>
                <w:sz w:val="24"/>
                <w:highlight w:val="none"/>
              </w:rPr>
              <w:t>合格条件</w:t>
            </w:r>
          </w:p>
        </w:tc>
        <w:tc>
          <w:tcPr>
            <w:tcW w:w="3479" w:type="dxa"/>
            <w:tcBorders>
              <w:top w:val="single" w:color="auto" w:sz="4" w:space="0"/>
              <w:left w:val="single" w:color="auto" w:sz="4" w:space="0"/>
              <w:bottom w:val="single" w:color="auto" w:sz="4" w:space="0"/>
              <w:right w:val="single" w:color="auto" w:sz="4" w:space="0"/>
            </w:tcBorders>
            <w:vAlign w:val="center"/>
          </w:tcPr>
          <w:p w14:paraId="1A8999E9">
            <w:pPr>
              <w:widowControl/>
              <w:spacing w:line="360" w:lineRule="auto"/>
              <w:jc w:val="center"/>
              <w:rPr>
                <w:rFonts w:ascii="宋体" w:hAnsi="宋体" w:cs="宋体"/>
                <w:b/>
                <w:color w:val="auto"/>
                <w:kern w:val="0"/>
                <w:sz w:val="24"/>
                <w:highlight w:val="none"/>
              </w:rPr>
            </w:pPr>
            <w:r>
              <w:rPr>
                <w:rFonts w:hint="eastAsia" w:ascii="宋体" w:hAnsi="宋体" w:cs="宋体"/>
                <w:b/>
                <w:color w:val="auto"/>
                <w:kern w:val="0"/>
                <w:sz w:val="24"/>
                <w:highlight w:val="none"/>
              </w:rPr>
              <w:t>投标人需提供的材料</w:t>
            </w:r>
          </w:p>
        </w:tc>
      </w:tr>
      <w:bookmarkEnd w:id="36"/>
      <w:tr w14:paraId="4E065D6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54" w:hRule="atLeast"/>
          <w:tblCellSpacing w:w="0" w:type="dxa"/>
          <w:jc w:val="center"/>
        </w:trPr>
        <w:tc>
          <w:tcPr>
            <w:tcW w:w="552" w:type="dxa"/>
            <w:tcBorders>
              <w:top w:val="single" w:color="auto" w:sz="4" w:space="0"/>
              <w:left w:val="single" w:color="auto" w:sz="4" w:space="0"/>
              <w:bottom w:val="single" w:color="auto" w:sz="4" w:space="0"/>
              <w:right w:val="single" w:color="auto" w:sz="4" w:space="0"/>
            </w:tcBorders>
            <w:vAlign w:val="center"/>
          </w:tcPr>
          <w:p w14:paraId="2317582C">
            <w:pPr>
              <w:widowControl/>
              <w:spacing w:line="360" w:lineRule="auto"/>
              <w:jc w:val="center"/>
              <w:rPr>
                <w:rFonts w:ascii="宋体" w:hAnsi="宋体" w:cs="宋体"/>
                <w:color w:val="auto"/>
                <w:kern w:val="0"/>
                <w:sz w:val="24"/>
                <w:highlight w:val="none"/>
              </w:rPr>
            </w:pPr>
            <w:r>
              <w:rPr>
                <w:rFonts w:hint="eastAsia" w:ascii="宋体" w:hAnsi="宋体" w:cs="宋体"/>
                <w:color w:val="auto"/>
                <w:kern w:val="0"/>
                <w:sz w:val="24"/>
                <w:highlight w:val="none"/>
                <w:lang w:val="zh-CN"/>
              </w:rPr>
              <w:t>1</w:t>
            </w:r>
          </w:p>
        </w:tc>
        <w:tc>
          <w:tcPr>
            <w:tcW w:w="2028" w:type="dxa"/>
            <w:tcBorders>
              <w:top w:val="single" w:color="auto" w:sz="4" w:space="0"/>
              <w:left w:val="single" w:color="auto" w:sz="4" w:space="0"/>
              <w:bottom w:val="single" w:color="auto" w:sz="4" w:space="0"/>
              <w:right w:val="single" w:color="auto" w:sz="4" w:space="0"/>
            </w:tcBorders>
            <w:vAlign w:val="center"/>
          </w:tcPr>
          <w:p w14:paraId="519E5B49">
            <w:pPr>
              <w:widowControl/>
              <w:spacing w:line="360" w:lineRule="auto"/>
              <w:jc w:val="left"/>
              <w:rPr>
                <w:rFonts w:ascii="宋体" w:hAnsi="宋体" w:cs="宋体"/>
                <w:color w:val="auto"/>
                <w:kern w:val="0"/>
                <w:sz w:val="24"/>
                <w:highlight w:val="none"/>
              </w:rPr>
            </w:pPr>
            <w:r>
              <w:rPr>
                <w:rFonts w:hint="eastAsia" w:ascii="宋体" w:hAnsi="宋体" w:cs="宋体"/>
                <w:color w:val="auto"/>
                <w:kern w:val="0"/>
                <w:sz w:val="24"/>
                <w:highlight w:val="none"/>
                <w:lang w:val="zh-CN"/>
              </w:rPr>
              <w:t>法定代表人身份证明</w:t>
            </w:r>
          </w:p>
        </w:tc>
        <w:tc>
          <w:tcPr>
            <w:tcW w:w="3510" w:type="dxa"/>
            <w:tcBorders>
              <w:top w:val="single" w:color="auto" w:sz="4" w:space="0"/>
              <w:left w:val="single" w:color="auto" w:sz="4" w:space="0"/>
              <w:bottom w:val="single" w:color="auto" w:sz="4" w:space="0"/>
              <w:right w:val="single" w:color="auto" w:sz="4" w:space="0"/>
            </w:tcBorders>
            <w:vAlign w:val="center"/>
          </w:tcPr>
          <w:p w14:paraId="4320EE6A">
            <w:pPr>
              <w:widowControl/>
              <w:spacing w:line="360" w:lineRule="auto"/>
              <w:jc w:val="left"/>
              <w:rPr>
                <w:rFonts w:ascii="宋体" w:hAnsi="宋体" w:cs="宋体"/>
                <w:color w:val="auto"/>
                <w:kern w:val="0"/>
                <w:sz w:val="24"/>
                <w:highlight w:val="none"/>
                <w:lang w:val="zh-CN"/>
              </w:rPr>
            </w:pPr>
            <w:r>
              <w:rPr>
                <w:rFonts w:hint="eastAsia" w:ascii="宋体" w:hAnsi="宋体" w:cs="宋体"/>
                <w:color w:val="auto"/>
                <w:kern w:val="0"/>
                <w:sz w:val="24"/>
                <w:highlight w:val="none"/>
                <w:lang w:val="zh-CN"/>
              </w:rPr>
              <w:t>有效的法定代表人身份证明书。</w:t>
            </w:r>
          </w:p>
        </w:tc>
        <w:tc>
          <w:tcPr>
            <w:tcW w:w="3479" w:type="dxa"/>
            <w:tcBorders>
              <w:top w:val="single" w:color="auto" w:sz="4" w:space="0"/>
              <w:left w:val="single" w:color="auto" w:sz="4" w:space="0"/>
              <w:bottom w:val="single" w:color="auto" w:sz="4" w:space="0"/>
              <w:right w:val="single" w:color="auto" w:sz="4" w:space="0"/>
            </w:tcBorders>
            <w:vAlign w:val="center"/>
          </w:tcPr>
          <w:p w14:paraId="61672BC0">
            <w:pPr>
              <w:widowControl/>
              <w:spacing w:line="360" w:lineRule="auto"/>
              <w:jc w:val="left"/>
              <w:rPr>
                <w:rFonts w:ascii="宋体" w:hAnsi="宋体" w:cs="宋体"/>
                <w:color w:val="auto"/>
                <w:kern w:val="0"/>
                <w:sz w:val="24"/>
                <w:highlight w:val="none"/>
                <w:lang w:val="zh-CN"/>
              </w:rPr>
            </w:pPr>
            <w:r>
              <w:rPr>
                <w:rFonts w:hint="eastAsia" w:ascii="宋体" w:hAnsi="宋体" w:cs="宋体"/>
                <w:color w:val="auto"/>
                <w:kern w:val="0"/>
                <w:sz w:val="24"/>
                <w:highlight w:val="none"/>
                <w:lang w:val="zh-CN"/>
              </w:rPr>
              <w:t>法定代表人身份证明书（格式见第六章）。</w:t>
            </w:r>
          </w:p>
        </w:tc>
      </w:tr>
      <w:tr w14:paraId="4CEA355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54" w:hRule="atLeast"/>
          <w:tblCellSpacing w:w="0" w:type="dxa"/>
          <w:jc w:val="center"/>
        </w:trPr>
        <w:tc>
          <w:tcPr>
            <w:tcW w:w="552" w:type="dxa"/>
            <w:tcBorders>
              <w:top w:val="single" w:color="auto" w:sz="4" w:space="0"/>
              <w:left w:val="single" w:color="auto" w:sz="4" w:space="0"/>
              <w:bottom w:val="single" w:color="auto" w:sz="4" w:space="0"/>
              <w:right w:val="single" w:color="auto" w:sz="4" w:space="0"/>
            </w:tcBorders>
            <w:vAlign w:val="center"/>
          </w:tcPr>
          <w:p w14:paraId="6539635F">
            <w:pPr>
              <w:widowControl/>
              <w:spacing w:line="360" w:lineRule="auto"/>
              <w:jc w:val="center"/>
              <w:rPr>
                <w:rFonts w:ascii="宋体" w:hAnsi="宋体" w:cs="宋体"/>
                <w:color w:val="auto"/>
                <w:kern w:val="0"/>
                <w:sz w:val="24"/>
                <w:highlight w:val="none"/>
              </w:rPr>
            </w:pPr>
            <w:r>
              <w:rPr>
                <w:rFonts w:hint="eastAsia" w:ascii="宋体" w:hAnsi="宋体" w:cs="宋体"/>
                <w:color w:val="auto"/>
                <w:kern w:val="0"/>
                <w:sz w:val="24"/>
                <w:highlight w:val="none"/>
                <w:lang w:val="zh-CN"/>
              </w:rPr>
              <w:t>2</w:t>
            </w:r>
          </w:p>
        </w:tc>
        <w:tc>
          <w:tcPr>
            <w:tcW w:w="2028" w:type="dxa"/>
            <w:tcBorders>
              <w:top w:val="single" w:color="auto" w:sz="4" w:space="0"/>
              <w:left w:val="single" w:color="auto" w:sz="4" w:space="0"/>
              <w:bottom w:val="single" w:color="auto" w:sz="4" w:space="0"/>
              <w:right w:val="single" w:color="auto" w:sz="4" w:space="0"/>
            </w:tcBorders>
            <w:vAlign w:val="center"/>
          </w:tcPr>
          <w:p w14:paraId="65A62D7E">
            <w:pPr>
              <w:widowControl/>
              <w:spacing w:line="360" w:lineRule="auto"/>
              <w:jc w:val="left"/>
              <w:rPr>
                <w:rFonts w:ascii="宋体" w:hAnsi="宋体" w:cs="宋体"/>
                <w:color w:val="auto"/>
                <w:kern w:val="0"/>
                <w:sz w:val="24"/>
                <w:highlight w:val="none"/>
              </w:rPr>
            </w:pPr>
            <w:r>
              <w:rPr>
                <w:rFonts w:hint="eastAsia" w:ascii="宋体" w:hAnsi="宋体" w:cs="宋体"/>
                <w:color w:val="auto"/>
                <w:kern w:val="0"/>
                <w:sz w:val="24"/>
                <w:highlight w:val="none"/>
                <w:lang w:val="zh-CN"/>
              </w:rPr>
              <w:t>授权委托书（如有授权）</w:t>
            </w:r>
          </w:p>
        </w:tc>
        <w:tc>
          <w:tcPr>
            <w:tcW w:w="3510" w:type="dxa"/>
            <w:tcBorders>
              <w:top w:val="single" w:color="auto" w:sz="4" w:space="0"/>
              <w:left w:val="single" w:color="auto" w:sz="4" w:space="0"/>
              <w:bottom w:val="single" w:color="auto" w:sz="4" w:space="0"/>
              <w:right w:val="single" w:color="auto" w:sz="4" w:space="0"/>
            </w:tcBorders>
            <w:vAlign w:val="center"/>
          </w:tcPr>
          <w:p w14:paraId="332C2FE3">
            <w:pPr>
              <w:widowControl/>
              <w:spacing w:line="360" w:lineRule="auto"/>
              <w:jc w:val="left"/>
              <w:rPr>
                <w:rFonts w:ascii="宋体" w:hAnsi="宋体" w:cs="宋体"/>
                <w:color w:val="auto"/>
                <w:kern w:val="0"/>
                <w:sz w:val="24"/>
                <w:highlight w:val="none"/>
                <w:lang w:val="zh-CN"/>
              </w:rPr>
            </w:pPr>
            <w:r>
              <w:rPr>
                <w:rFonts w:hint="eastAsia" w:ascii="宋体" w:hAnsi="宋体" w:cs="宋体"/>
                <w:color w:val="auto"/>
                <w:kern w:val="0"/>
                <w:sz w:val="24"/>
                <w:highlight w:val="none"/>
                <w:lang w:val="zh-CN"/>
              </w:rPr>
              <w:t>有效的授权委托书。</w:t>
            </w:r>
          </w:p>
        </w:tc>
        <w:tc>
          <w:tcPr>
            <w:tcW w:w="3479" w:type="dxa"/>
            <w:tcBorders>
              <w:top w:val="single" w:color="auto" w:sz="4" w:space="0"/>
              <w:left w:val="single" w:color="auto" w:sz="4" w:space="0"/>
              <w:bottom w:val="single" w:color="auto" w:sz="4" w:space="0"/>
              <w:right w:val="single" w:color="auto" w:sz="4" w:space="0"/>
            </w:tcBorders>
            <w:vAlign w:val="center"/>
          </w:tcPr>
          <w:p w14:paraId="4135EDA2">
            <w:pPr>
              <w:widowControl/>
              <w:spacing w:line="360" w:lineRule="auto"/>
              <w:jc w:val="left"/>
              <w:rPr>
                <w:rFonts w:ascii="宋体" w:hAnsi="宋体" w:cs="宋体"/>
                <w:color w:val="auto"/>
                <w:kern w:val="0"/>
                <w:sz w:val="24"/>
                <w:highlight w:val="none"/>
                <w:lang w:val="zh-CN"/>
              </w:rPr>
            </w:pPr>
            <w:r>
              <w:rPr>
                <w:rFonts w:hint="eastAsia" w:ascii="宋体" w:hAnsi="宋体" w:cs="宋体"/>
                <w:color w:val="auto"/>
                <w:kern w:val="0"/>
                <w:sz w:val="24"/>
                <w:highlight w:val="none"/>
                <w:lang w:val="zh-CN"/>
              </w:rPr>
              <w:t>授权委托书（格式见第六章）。</w:t>
            </w:r>
          </w:p>
        </w:tc>
      </w:tr>
      <w:tr w14:paraId="54B4315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54" w:hRule="atLeast"/>
          <w:tblCellSpacing w:w="0" w:type="dxa"/>
          <w:jc w:val="center"/>
        </w:trPr>
        <w:tc>
          <w:tcPr>
            <w:tcW w:w="552" w:type="dxa"/>
            <w:tcBorders>
              <w:top w:val="single" w:color="auto" w:sz="4" w:space="0"/>
              <w:left w:val="single" w:color="auto" w:sz="4" w:space="0"/>
              <w:bottom w:val="single" w:color="auto" w:sz="4" w:space="0"/>
              <w:right w:val="single" w:color="auto" w:sz="4" w:space="0"/>
            </w:tcBorders>
            <w:vAlign w:val="center"/>
          </w:tcPr>
          <w:p w14:paraId="500D5479">
            <w:pPr>
              <w:widowControl/>
              <w:spacing w:line="360" w:lineRule="auto"/>
              <w:jc w:val="center"/>
              <w:rPr>
                <w:rFonts w:ascii="宋体" w:hAnsi="宋体" w:cs="宋体"/>
                <w:color w:val="auto"/>
                <w:kern w:val="0"/>
                <w:sz w:val="24"/>
                <w:highlight w:val="none"/>
              </w:rPr>
            </w:pPr>
            <w:r>
              <w:rPr>
                <w:rFonts w:hint="eastAsia" w:ascii="宋体" w:hAnsi="宋体" w:cs="宋体"/>
                <w:color w:val="auto"/>
                <w:kern w:val="0"/>
                <w:sz w:val="24"/>
                <w:highlight w:val="none"/>
              </w:rPr>
              <w:t>3</w:t>
            </w:r>
          </w:p>
        </w:tc>
        <w:tc>
          <w:tcPr>
            <w:tcW w:w="2028" w:type="dxa"/>
            <w:tcBorders>
              <w:top w:val="single" w:color="auto" w:sz="4" w:space="0"/>
              <w:left w:val="single" w:color="auto" w:sz="4" w:space="0"/>
              <w:bottom w:val="single" w:color="auto" w:sz="4" w:space="0"/>
              <w:right w:val="single" w:color="auto" w:sz="4" w:space="0"/>
            </w:tcBorders>
            <w:vAlign w:val="center"/>
          </w:tcPr>
          <w:p w14:paraId="2A6E8831">
            <w:pPr>
              <w:widowControl/>
              <w:spacing w:line="360" w:lineRule="auto"/>
              <w:jc w:val="left"/>
              <w:rPr>
                <w:rFonts w:ascii="宋体" w:hAnsi="宋体" w:cs="宋体"/>
                <w:color w:val="auto"/>
                <w:kern w:val="0"/>
                <w:sz w:val="24"/>
                <w:highlight w:val="none"/>
              </w:rPr>
            </w:pPr>
            <w:r>
              <w:rPr>
                <w:rFonts w:hint="eastAsia" w:ascii="宋体" w:hAnsi="宋体" w:cs="宋体"/>
                <w:color w:val="auto"/>
                <w:kern w:val="0"/>
                <w:sz w:val="24"/>
                <w:highlight w:val="none"/>
              </w:rPr>
              <w:t>具有独立订立合同的能力</w:t>
            </w:r>
          </w:p>
        </w:tc>
        <w:tc>
          <w:tcPr>
            <w:tcW w:w="3510" w:type="dxa"/>
            <w:tcBorders>
              <w:top w:val="single" w:color="auto" w:sz="4" w:space="0"/>
              <w:left w:val="single" w:color="auto" w:sz="4" w:space="0"/>
              <w:bottom w:val="single" w:color="auto" w:sz="4" w:space="0"/>
              <w:right w:val="single" w:color="auto" w:sz="4" w:space="0"/>
            </w:tcBorders>
            <w:vAlign w:val="center"/>
          </w:tcPr>
          <w:p w14:paraId="6D6B784B">
            <w:pPr>
              <w:widowControl/>
              <w:spacing w:line="360" w:lineRule="auto"/>
              <w:jc w:val="left"/>
              <w:rPr>
                <w:rFonts w:ascii="宋体" w:hAnsi="宋体" w:cs="宋体"/>
                <w:color w:val="auto"/>
                <w:kern w:val="0"/>
                <w:sz w:val="24"/>
                <w:highlight w:val="none"/>
                <w:lang w:val="zh-CN"/>
              </w:rPr>
            </w:pPr>
            <w:r>
              <w:rPr>
                <w:rFonts w:hint="eastAsia" w:ascii="宋体" w:hAnsi="宋体" w:cs="宋体"/>
                <w:color w:val="auto"/>
                <w:kern w:val="0"/>
                <w:sz w:val="24"/>
                <w:highlight w:val="none"/>
              </w:rPr>
              <w:t>有效的工商行政管理部门颁发的法人营业执照</w:t>
            </w:r>
          </w:p>
        </w:tc>
        <w:tc>
          <w:tcPr>
            <w:tcW w:w="3479" w:type="dxa"/>
            <w:tcBorders>
              <w:top w:val="single" w:color="auto" w:sz="4" w:space="0"/>
              <w:left w:val="single" w:color="auto" w:sz="4" w:space="0"/>
              <w:bottom w:val="single" w:color="auto" w:sz="4" w:space="0"/>
              <w:right w:val="single" w:color="auto" w:sz="4" w:space="0"/>
            </w:tcBorders>
            <w:vAlign w:val="center"/>
          </w:tcPr>
          <w:p w14:paraId="4EF2D3CD">
            <w:pPr>
              <w:widowControl/>
              <w:spacing w:line="360" w:lineRule="auto"/>
              <w:jc w:val="left"/>
              <w:rPr>
                <w:rFonts w:ascii="宋体" w:hAnsi="宋体" w:cs="宋体"/>
                <w:color w:val="auto"/>
                <w:kern w:val="0"/>
                <w:sz w:val="24"/>
                <w:highlight w:val="none"/>
                <w:lang w:val="zh-CN"/>
              </w:rPr>
            </w:pPr>
            <w:r>
              <w:rPr>
                <w:rFonts w:hint="eastAsia" w:ascii="宋体" w:hAnsi="宋体" w:cs="宋体"/>
                <w:color w:val="auto"/>
                <w:kern w:val="0"/>
                <w:sz w:val="24"/>
                <w:highlight w:val="none"/>
              </w:rPr>
              <w:t>有效的企业营业执照（副本）</w:t>
            </w:r>
          </w:p>
        </w:tc>
      </w:tr>
      <w:tr w14:paraId="6C540F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545" w:hRule="atLeast"/>
          <w:tblCellSpacing w:w="0" w:type="dxa"/>
          <w:jc w:val="center"/>
        </w:trPr>
        <w:tc>
          <w:tcPr>
            <w:tcW w:w="552" w:type="dxa"/>
            <w:tcBorders>
              <w:top w:val="single" w:color="auto" w:sz="4" w:space="0"/>
              <w:left w:val="single" w:color="auto" w:sz="4" w:space="0"/>
              <w:bottom w:val="single" w:color="auto" w:sz="4" w:space="0"/>
              <w:right w:val="single" w:color="auto" w:sz="4" w:space="0"/>
            </w:tcBorders>
            <w:vAlign w:val="center"/>
          </w:tcPr>
          <w:p w14:paraId="1FD6D172">
            <w:pPr>
              <w:widowControl/>
              <w:spacing w:line="360" w:lineRule="auto"/>
              <w:jc w:val="center"/>
              <w:rPr>
                <w:rFonts w:ascii="宋体" w:hAnsi="宋体" w:cs="宋体"/>
                <w:color w:val="auto"/>
                <w:kern w:val="0"/>
                <w:sz w:val="24"/>
                <w:highlight w:val="none"/>
              </w:rPr>
            </w:pPr>
            <w:r>
              <w:rPr>
                <w:rFonts w:hint="eastAsia" w:ascii="宋体" w:hAnsi="宋体" w:cs="宋体"/>
                <w:color w:val="auto"/>
                <w:kern w:val="0"/>
                <w:sz w:val="24"/>
                <w:highlight w:val="none"/>
              </w:rPr>
              <w:t>4</w:t>
            </w:r>
          </w:p>
        </w:tc>
        <w:tc>
          <w:tcPr>
            <w:tcW w:w="2028" w:type="dxa"/>
            <w:tcBorders>
              <w:top w:val="single" w:color="auto" w:sz="4" w:space="0"/>
              <w:left w:val="single" w:color="auto" w:sz="4" w:space="0"/>
              <w:bottom w:val="single" w:color="auto" w:sz="4" w:space="0"/>
              <w:right w:val="single" w:color="auto" w:sz="4" w:space="0"/>
            </w:tcBorders>
            <w:vAlign w:val="center"/>
          </w:tcPr>
          <w:p w14:paraId="0F2DC448">
            <w:pPr>
              <w:widowControl/>
              <w:spacing w:line="360" w:lineRule="auto"/>
              <w:jc w:val="left"/>
              <w:rPr>
                <w:rFonts w:ascii="宋体" w:hAnsi="宋体" w:cs="宋体"/>
                <w:color w:val="auto"/>
                <w:kern w:val="0"/>
                <w:sz w:val="24"/>
                <w:highlight w:val="none"/>
                <w:lang w:val="zh-CN"/>
              </w:rPr>
            </w:pPr>
            <w:r>
              <w:rPr>
                <w:rFonts w:hint="eastAsia" w:ascii="宋体" w:hAnsi="宋体" w:cs="宋体"/>
                <w:color w:val="auto"/>
                <w:kern w:val="0"/>
                <w:sz w:val="24"/>
                <w:highlight w:val="none"/>
                <w:lang w:val="zh-CN"/>
              </w:rPr>
              <w:t>企业资质类别等级</w:t>
            </w:r>
          </w:p>
        </w:tc>
        <w:tc>
          <w:tcPr>
            <w:tcW w:w="3510" w:type="dxa"/>
            <w:tcBorders>
              <w:top w:val="single" w:color="auto" w:sz="4" w:space="0"/>
              <w:left w:val="single" w:color="auto" w:sz="4" w:space="0"/>
              <w:bottom w:val="single" w:color="auto" w:sz="4" w:space="0"/>
              <w:right w:val="single" w:color="auto" w:sz="4" w:space="0"/>
            </w:tcBorders>
            <w:vAlign w:val="center"/>
          </w:tcPr>
          <w:p w14:paraId="69CFA4AB">
            <w:pPr>
              <w:widowControl/>
              <w:spacing w:line="360" w:lineRule="auto"/>
              <w:jc w:val="left"/>
              <w:rPr>
                <w:rFonts w:ascii="宋体" w:hAnsi="宋体" w:cs="宋体"/>
                <w:color w:val="auto"/>
                <w:kern w:val="0"/>
                <w:sz w:val="24"/>
                <w:highlight w:val="none"/>
                <w:lang w:val="zh-CN"/>
              </w:rPr>
            </w:pPr>
            <w:r>
              <w:rPr>
                <w:rFonts w:hint="eastAsia" w:ascii="宋体" w:hAnsi="宋体" w:cs="宋体"/>
                <w:color w:val="auto"/>
                <w:kern w:val="0"/>
                <w:sz w:val="24"/>
                <w:highlight w:val="none"/>
              </w:rPr>
              <w:t>电子与智能化工程专业承包二级及以上施工资质</w:t>
            </w:r>
          </w:p>
        </w:tc>
        <w:tc>
          <w:tcPr>
            <w:tcW w:w="3479" w:type="dxa"/>
            <w:tcBorders>
              <w:top w:val="single" w:color="auto" w:sz="4" w:space="0"/>
              <w:left w:val="single" w:color="auto" w:sz="4" w:space="0"/>
              <w:bottom w:val="single" w:color="auto" w:sz="4" w:space="0"/>
              <w:right w:val="single" w:color="auto" w:sz="4" w:space="0"/>
            </w:tcBorders>
            <w:vAlign w:val="center"/>
          </w:tcPr>
          <w:p w14:paraId="5DED1BE5">
            <w:pPr>
              <w:widowControl/>
              <w:spacing w:line="360" w:lineRule="auto"/>
              <w:jc w:val="left"/>
              <w:rPr>
                <w:rFonts w:ascii="宋体" w:hAnsi="宋体" w:cs="宋体"/>
                <w:color w:val="auto"/>
                <w:kern w:val="0"/>
                <w:sz w:val="24"/>
                <w:highlight w:val="none"/>
              </w:rPr>
            </w:pPr>
            <w:r>
              <w:rPr>
                <w:rFonts w:hint="eastAsia" w:ascii="宋体" w:hAnsi="宋体" w:cs="宋体"/>
                <w:color w:val="auto"/>
                <w:kern w:val="0"/>
                <w:sz w:val="24"/>
                <w:highlight w:val="none"/>
                <w:lang w:val="zh-CN"/>
              </w:rPr>
              <w:t>有效的企业资质证书（副本）</w:t>
            </w:r>
          </w:p>
        </w:tc>
      </w:tr>
      <w:tr w14:paraId="1AC59C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54" w:hRule="atLeast"/>
          <w:tblCellSpacing w:w="0" w:type="dxa"/>
          <w:jc w:val="center"/>
        </w:trPr>
        <w:tc>
          <w:tcPr>
            <w:tcW w:w="552" w:type="dxa"/>
            <w:tcBorders>
              <w:top w:val="single" w:color="auto" w:sz="4" w:space="0"/>
              <w:left w:val="single" w:color="auto" w:sz="4" w:space="0"/>
              <w:bottom w:val="single" w:color="auto" w:sz="4" w:space="0"/>
              <w:right w:val="single" w:color="auto" w:sz="4" w:space="0"/>
            </w:tcBorders>
            <w:vAlign w:val="center"/>
          </w:tcPr>
          <w:p w14:paraId="6FF610AF">
            <w:pPr>
              <w:widowControl/>
              <w:spacing w:line="360" w:lineRule="auto"/>
              <w:jc w:val="center"/>
              <w:rPr>
                <w:rFonts w:ascii="宋体" w:hAnsi="宋体" w:cs="宋体"/>
                <w:color w:val="auto"/>
                <w:kern w:val="0"/>
                <w:sz w:val="24"/>
                <w:highlight w:val="none"/>
              </w:rPr>
            </w:pPr>
            <w:r>
              <w:rPr>
                <w:rFonts w:hint="eastAsia" w:ascii="宋体" w:hAnsi="宋体" w:cs="宋体"/>
                <w:color w:val="auto"/>
                <w:kern w:val="0"/>
                <w:sz w:val="24"/>
                <w:highlight w:val="none"/>
              </w:rPr>
              <w:t>5</w:t>
            </w:r>
          </w:p>
        </w:tc>
        <w:tc>
          <w:tcPr>
            <w:tcW w:w="2028" w:type="dxa"/>
            <w:tcBorders>
              <w:top w:val="single" w:color="auto" w:sz="4" w:space="0"/>
              <w:left w:val="single" w:color="auto" w:sz="4" w:space="0"/>
              <w:bottom w:val="single" w:color="auto" w:sz="4" w:space="0"/>
              <w:right w:val="single" w:color="auto" w:sz="4" w:space="0"/>
            </w:tcBorders>
            <w:vAlign w:val="center"/>
          </w:tcPr>
          <w:p w14:paraId="4DEAF732">
            <w:pPr>
              <w:widowControl/>
              <w:spacing w:line="360" w:lineRule="auto"/>
              <w:jc w:val="left"/>
              <w:rPr>
                <w:rFonts w:ascii="宋体" w:hAnsi="宋体" w:cs="宋体"/>
                <w:color w:val="auto"/>
                <w:kern w:val="0"/>
                <w:sz w:val="24"/>
                <w:highlight w:val="none"/>
                <w:lang w:val="zh-CN"/>
              </w:rPr>
            </w:pPr>
            <w:r>
              <w:rPr>
                <w:rFonts w:hint="eastAsia" w:ascii="宋体" w:hAnsi="宋体" w:cs="宋体"/>
                <w:color w:val="auto"/>
                <w:kern w:val="0"/>
                <w:sz w:val="24"/>
                <w:highlight w:val="none"/>
              </w:rPr>
              <w:t>企业安全生产许可证</w:t>
            </w:r>
          </w:p>
        </w:tc>
        <w:tc>
          <w:tcPr>
            <w:tcW w:w="3510" w:type="dxa"/>
            <w:tcBorders>
              <w:top w:val="single" w:color="auto" w:sz="4" w:space="0"/>
              <w:left w:val="single" w:color="auto" w:sz="4" w:space="0"/>
              <w:bottom w:val="single" w:color="auto" w:sz="4" w:space="0"/>
              <w:right w:val="single" w:color="auto" w:sz="4" w:space="0"/>
            </w:tcBorders>
            <w:vAlign w:val="center"/>
          </w:tcPr>
          <w:p w14:paraId="4A1A091D">
            <w:pPr>
              <w:widowControl/>
              <w:spacing w:line="360" w:lineRule="auto"/>
              <w:jc w:val="left"/>
              <w:rPr>
                <w:rFonts w:ascii="宋体" w:hAnsi="宋体" w:cs="宋体"/>
                <w:color w:val="auto"/>
                <w:kern w:val="0"/>
                <w:sz w:val="24"/>
                <w:highlight w:val="none"/>
                <w:lang w:val="zh-CN"/>
              </w:rPr>
            </w:pPr>
            <w:r>
              <w:rPr>
                <w:rFonts w:hint="eastAsia" w:ascii="宋体" w:hAnsi="宋体" w:cs="宋体"/>
                <w:color w:val="auto"/>
                <w:kern w:val="0"/>
                <w:sz w:val="24"/>
                <w:highlight w:val="none"/>
              </w:rPr>
              <w:t>企业具备安全产生条件，并取得安全生产许可证。</w:t>
            </w:r>
          </w:p>
        </w:tc>
        <w:tc>
          <w:tcPr>
            <w:tcW w:w="3479" w:type="dxa"/>
            <w:tcBorders>
              <w:top w:val="single" w:color="auto" w:sz="4" w:space="0"/>
              <w:left w:val="single" w:color="auto" w:sz="4" w:space="0"/>
              <w:bottom w:val="single" w:color="auto" w:sz="4" w:space="0"/>
              <w:right w:val="single" w:color="auto" w:sz="4" w:space="0"/>
            </w:tcBorders>
            <w:vAlign w:val="center"/>
          </w:tcPr>
          <w:p w14:paraId="63DC701B">
            <w:pPr>
              <w:widowControl/>
              <w:spacing w:line="360" w:lineRule="auto"/>
              <w:jc w:val="left"/>
              <w:rPr>
                <w:rFonts w:ascii="宋体" w:hAnsi="宋体" w:cs="宋体"/>
                <w:color w:val="auto"/>
                <w:kern w:val="0"/>
                <w:sz w:val="24"/>
                <w:highlight w:val="none"/>
                <w:lang w:val="zh-CN"/>
              </w:rPr>
            </w:pPr>
            <w:r>
              <w:rPr>
                <w:rFonts w:hint="eastAsia" w:ascii="宋体" w:hAnsi="宋体" w:cs="宋体"/>
                <w:color w:val="auto"/>
                <w:kern w:val="0"/>
                <w:sz w:val="24"/>
                <w:highlight w:val="none"/>
              </w:rPr>
              <w:t>有效的安全生产许可证</w:t>
            </w:r>
          </w:p>
        </w:tc>
      </w:tr>
      <w:tr w14:paraId="13DE2F4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2814" w:hRule="atLeast"/>
          <w:tblCellSpacing w:w="0" w:type="dxa"/>
          <w:jc w:val="center"/>
        </w:trPr>
        <w:tc>
          <w:tcPr>
            <w:tcW w:w="552" w:type="dxa"/>
            <w:tcBorders>
              <w:top w:val="single" w:color="auto" w:sz="4" w:space="0"/>
              <w:left w:val="single" w:color="auto" w:sz="4" w:space="0"/>
              <w:bottom w:val="single" w:color="auto" w:sz="4" w:space="0"/>
              <w:right w:val="single" w:color="auto" w:sz="4" w:space="0"/>
            </w:tcBorders>
            <w:vAlign w:val="center"/>
          </w:tcPr>
          <w:p w14:paraId="2A0207DB">
            <w:pPr>
              <w:widowControl/>
              <w:spacing w:line="360" w:lineRule="auto"/>
              <w:jc w:val="center"/>
              <w:rPr>
                <w:rFonts w:ascii="宋体" w:hAnsi="宋体" w:cs="宋体"/>
                <w:color w:val="auto"/>
                <w:kern w:val="0"/>
                <w:sz w:val="24"/>
                <w:highlight w:val="none"/>
              </w:rPr>
            </w:pPr>
            <w:r>
              <w:rPr>
                <w:rFonts w:hint="eastAsia" w:ascii="宋体" w:hAnsi="宋体" w:cs="宋体"/>
                <w:color w:val="auto"/>
                <w:kern w:val="0"/>
                <w:sz w:val="24"/>
                <w:highlight w:val="none"/>
              </w:rPr>
              <w:t>6</w:t>
            </w:r>
          </w:p>
        </w:tc>
        <w:tc>
          <w:tcPr>
            <w:tcW w:w="2028" w:type="dxa"/>
            <w:tcBorders>
              <w:top w:val="single" w:color="auto" w:sz="4" w:space="0"/>
              <w:left w:val="single" w:color="auto" w:sz="4" w:space="0"/>
              <w:bottom w:val="single" w:color="auto" w:sz="4" w:space="0"/>
              <w:right w:val="single" w:color="auto" w:sz="4" w:space="0"/>
            </w:tcBorders>
            <w:vAlign w:val="center"/>
          </w:tcPr>
          <w:p w14:paraId="2AF42CCF">
            <w:pPr>
              <w:widowControl/>
              <w:spacing w:line="360" w:lineRule="auto"/>
              <w:jc w:val="left"/>
              <w:rPr>
                <w:rFonts w:ascii="宋体" w:hAnsi="宋体" w:cs="宋体"/>
                <w:color w:val="auto"/>
                <w:kern w:val="0"/>
                <w:sz w:val="24"/>
                <w:highlight w:val="none"/>
                <w:lang w:val="zh-CN"/>
              </w:rPr>
            </w:pPr>
            <w:r>
              <w:rPr>
                <w:rFonts w:hint="eastAsia" w:ascii="宋体" w:hAnsi="宋体" w:cs="宋体"/>
                <w:color w:val="auto"/>
                <w:kern w:val="0"/>
                <w:sz w:val="24"/>
                <w:highlight w:val="none"/>
              </w:rPr>
              <w:t>拟派项目负责人资格</w:t>
            </w:r>
          </w:p>
        </w:tc>
        <w:tc>
          <w:tcPr>
            <w:tcW w:w="3510" w:type="dxa"/>
            <w:tcBorders>
              <w:top w:val="single" w:color="auto" w:sz="4" w:space="0"/>
              <w:left w:val="single" w:color="auto" w:sz="4" w:space="0"/>
              <w:bottom w:val="single" w:color="auto" w:sz="4" w:space="0"/>
              <w:right w:val="single" w:color="auto" w:sz="4" w:space="0"/>
            </w:tcBorders>
            <w:vAlign w:val="center"/>
          </w:tcPr>
          <w:p w14:paraId="4CA19EF4">
            <w:pPr>
              <w:widowControl/>
              <w:spacing w:line="360" w:lineRule="auto"/>
              <w:jc w:val="left"/>
              <w:rPr>
                <w:rFonts w:ascii="宋体" w:hAnsi="宋体" w:cs="宋体"/>
                <w:color w:val="auto"/>
                <w:kern w:val="0"/>
                <w:sz w:val="24"/>
                <w:highlight w:val="none"/>
              </w:rPr>
            </w:pPr>
            <w:r>
              <w:rPr>
                <w:rFonts w:hint="eastAsia" w:ascii="宋体" w:hAnsi="宋体" w:cs="宋体"/>
                <w:color w:val="auto"/>
                <w:kern w:val="0"/>
                <w:sz w:val="24"/>
                <w:highlight w:val="none"/>
              </w:rPr>
              <w:t>机电工程专业二级及以上注册建造师(注册在投标人单位)，并同时具有安全生产考核合格证（B证）。</w:t>
            </w:r>
          </w:p>
        </w:tc>
        <w:tc>
          <w:tcPr>
            <w:tcW w:w="3479" w:type="dxa"/>
            <w:tcBorders>
              <w:top w:val="single" w:color="auto" w:sz="4" w:space="0"/>
              <w:left w:val="single" w:color="auto" w:sz="4" w:space="0"/>
              <w:bottom w:val="single" w:color="auto" w:sz="4" w:space="0"/>
              <w:right w:val="single" w:color="auto" w:sz="4" w:space="0"/>
            </w:tcBorders>
            <w:vAlign w:val="center"/>
          </w:tcPr>
          <w:p w14:paraId="6F5BE1B6">
            <w:pPr>
              <w:widowControl/>
              <w:spacing w:line="360" w:lineRule="auto"/>
              <w:jc w:val="left"/>
              <w:rPr>
                <w:rFonts w:ascii="宋体" w:hAnsi="宋体" w:cs="宋体"/>
                <w:color w:val="auto"/>
                <w:kern w:val="0"/>
                <w:sz w:val="24"/>
                <w:highlight w:val="none"/>
                <w:lang w:val="zh-CN"/>
              </w:rPr>
            </w:pPr>
            <w:r>
              <w:rPr>
                <w:rFonts w:hint="eastAsia" w:ascii="宋体" w:hAnsi="宋体" w:cs="宋体"/>
                <w:color w:val="auto"/>
                <w:kern w:val="0"/>
                <w:sz w:val="24"/>
                <w:highlight w:val="none"/>
              </w:rPr>
              <w:t>同时</w:t>
            </w:r>
            <w:r>
              <w:rPr>
                <w:rFonts w:hint="eastAsia" w:ascii="宋体" w:hAnsi="宋体" w:cs="宋体"/>
                <w:color w:val="auto"/>
                <w:kern w:val="0"/>
                <w:sz w:val="24"/>
                <w:highlight w:val="none"/>
                <w:lang w:val="zh-CN"/>
              </w:rPr>
              <w:t>提供①有效的中华人民共和国建造师注册证书(注册在投标人单位)、②有效的安全生产考核合格证（B证）</w:t>
            </w:r>
          </w:p>
          <w:p w14:paraId="32EEF29D">
            <w:pPr>
              <w:widowControl/>
              <w:spacing w:line="360" w:lineRule="auto"/>
              <w:jc w:val="left"/>
              <w:rPr>
                <w:rFonts w:ascii="宋体" w:hAnsi="宋体" w:cs="宋体"/>
                <w:color w:val="auto"/>
                <w:kern w:val="0"/>
                <w:sz w:val="24"/>
                <w:highlight w:val="none"/>
                <w:lang w:val="zh-CN"/>
              </w:rPr>
            </w:pPr>
            <w:r>
              <w:rPr>
                <w:rFonts w:hint="eastAsia" w:ascii="宋体" w:hAnsi="宋体" w:cs="宋体"/>
                <w:color w:val="auto"/>
                <w:kern w:val="0"/>
                <w:sz w:val="24"/>
                <w:highlight w:val="none"/>
              </w:rPr>
              <w:t>特别提醒：</w:t>
            </w:r>
            <w:r>
              <w:rPr>
                <w:rFonts w:hint="eastAsia" w:ascii="宋体" w:hAnsi="宋体" w:cs="宋体"/>
                <w:b/>
                <w:bCs/>
                <w:color w:val="auto"/>
                <w:sz w:val="24"/>
                <w:highlight w:val="none"/>
              </w:rPr>
              <w:t>①本工程投标人拟派项目负责人为二级注册建造师的，必须根据《省住房和城乡建设厅关于我省二级建造师、二级造价工程师、二级注册结二级注册建筑师、构工程师注册证书电子证照换发的公告》（(2023)第26号）文件要求使用并提供证书，如未按文件要求提供证书，该证书无效，视为项目负责人的资格不符合要求。②本工程投标人拟派项目负责人为一级注册建造师的，必须根据《住房和城乡建设部办公厅关于全面实行一级建造师电子注册证书的通知》（建办市〔2021〕40 号）文件要求使用并提供电子证书，如未按文件要求提供电子证书，该电子证书无效，视为拟派项目负责人的资格不符合要求。</w:t>
            </w:r>
          </w:p>
        </w:tc>
      </w:tr>
      <w:tr w14:paraId="326398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54" w:hRule="atLeast"/>
          <w:tblCellSpacing w:w="0" w:type="dxa"/>
          <w:jc w:val="center"/>
        </w:trPr>
        <w:tc>
          <w:tcPr>
            <w:tcW w:w="552" w:type="dxa"/>
            <w:tcBorders>
              <w:top w:val="single" w:color="auto" w:sz="4" w:space="0"/>
              <w:left w:val="single" w:color="auto" w:sz="4" w:space="0"/>
              <w:bottom w:val="single" w:color="auto" w:sz="4" w:space="0"/>
              <w:right w:val="single" w:color="auto" w:sz="4" w:space="0"/>
            </w:tcBorders>
            <w:vAlign w:val="center"/>
          </w:tcPr>
          <w:p w14:paraId="4DC974A3">
            <w:pPr>
              <w:widowControl/>
              <w:spacing w:line="360" w:lineRule="auto"/>
              <w:jc w:val="center"/>
              <w:rPr>
                <w:rFonts w:ascii="宋体" w:hAnsi="宋体" w:cs="宋体"/>
                <w:color w:val="auto"/>
                <w:kern w:val="0"/>
                <w:sz w:val="24"/>
                <w:highlight w:val="none"/>
              </w:rPr>
            </w:pPr>
            <w:r>
              <w:rPr>
                <w:rFonts w:hint="eastAsia" w:ascii="宋体" w:hAnsi="宋体" w:cs="宋体"/>
                <w:color w:val="auto"/>
                <w:kern w:val="0"/>
                <w:sz w:val="24"/>
                <w:highlight w:val="none"/>
              </w:rPr>
              <w:t>7</w:t>
            </w:r>
          </w:p>
        </w:tc>
        <w:tc>
          <w:tcPr>
            <w:tcW w:w="2028" w:type="dxa"/>
            <w:tcBorders>
              <w:top w:val="single" w:color="auto" w:sz="4" w:space="0"/>
              <w:left w:val="single" w:color="auto" w:sz="4" w:space="0"/>
              <w:bottom w:val="single" w:color="auto" w:sz="4" w:space="0"/>
              <w:right w:val="single" w:color="auto" w:sz="4" w:space="0"/>
            </w:tcBorders>
            <w:vAlign w:val="center"/>
          </w:tcPr>
          <w:p w14:paraId="448C7EFC">
            <w:pPr>
              <w:autoSpaceDE w:val="0"/>
              <w:autoSpaceDN w:val="0"/>
              <w:adjustRightInd w:val="0"/>
              <w:snapToGrid w:val="0"/>
              <w:spacing w:line="360" w:lineRule="auto"/>
              <w:jc w:val="center"/>
              <w:rPr>
                <w:rFonts w:ascii="宋体" w:hAnsi="宋体" w:cs="宋体"/>
                <w:color w:val="auto"/>
                <w:kern w:val="0"/>
                <w:sz w:val="24"/>
                <w:highlight w:val="none"/>
              </w:rPr>
            </w:pPr>
            <w:r>
              <w:rPr>
                <w:rFonts w:hint="eastAsia" w:ascii="宋体" w:hAnsi="宋体" w:cs="宋体"/>
                <w:bCs/>
                <w:color w:val="auto"/>
                <w:sz w:val="24"/>
                <w:highlight w:val="none"/>
              </w:rPr>
              <w:t>拟派项目负责人为投标企业正式人员</w:t>
            </w:r>
          </w:p>
        </w:tc>
        <w:tc>
          <w:tcPr>
            <w:tcW w:w="3510" w:type="dxa"/>
            <w:tcBorders>
              <w:top w:val="single" w:color="auto" w:sz="4" w:space="0"/>
              <w:left w:val="single" w:color="auto" w:sz="4" w:space="0"/>
              <w:bottom w:val="single" w:color="auto" w:sz="4" w:space="0"/>
              <w:right w:val="single" w:color="auto" w:sz="4" w:space="0"/>
            </w:tcBorders>
            <w:vAlign w:val="center"/>
          </w:tcPr>
          <w:p w14:paraId="5CF0675B">
            <w:pPr>
              <w:autoSpaceDE w:val="0"/>
              <w:autoSpaceDN w:val="0"/>
              <w:adjustRightInd w:val="0"/>
              <w:snapToGrid w:val="0"/>
              <w:spacing w:line="360" w:lineRule="auto"/>
              <w:jc w:val="left"/>
              <w:rPr>
                <w:rFonts w:ascii="宋体" w:hAnsi="宋体" w:cs="宋体"/>
                <w:color w:val="auto"/>
                <w:sz w:val="24"/>
                <w:highlight w:val="none"/>
              </w:rPr>
            </w:pPr>
            <w:r>
              <w:rPr>
                <w:rFonts w:hint="eastAsia" w:ascii="宋体" w:hAnsi="宋体" w:cs="宋体"/>
                <w:bCs/>
                <w:color w:val="auto"/>
                <w:sz w:val="24"/>
                <w:highlight w:val="none"/>
              </w:rPr>
              <w:t>拟派项目负责人为投标企业正式人员（投标企业必须提供：投标企业与拟派项目负责人双方签订的有效劳动合同书）</w:t>
            </w:r>
          </w:p>
        </w:tc>
        <w:tc>
          <w:tcPr>
            <w:tcW w:w="3479" w:type="dxa"/>
            <w:tcBorders>
              <w:top w:val="single" w:color="auto" w:sz="4" w:space="0"/>
              <w:left w:val="single" w:color="auto" w:sz="4" w:space="0"/>
              <w:bottom w:val="single" w:color="auto" w:sz="4" w:space="0"/>
              <w:right w:val="single" w:color="auto" w:sz="4" w:space="0"/>
            </w:tcBorders>
            <w:vAlign w:val="center"/>
          </w:tcPr>
          <w:p w14:paraId="0DB9F7C9">
            <w:pPr>
              <w:autoSpaceDE w:val="0"/>
              <w:autoSpaceDN w:val="0"/>
              <w:adjustRightInd w:val="0"/>
              <w:snapToGrid w:val="0"/>
              <w:spacing w:line="360" w:lineRule="auto"/>
              <w:jc w:val="left"/>
              <w:rPr>
                <w:rFonts w:ascii="宋体" w:hAnsi="宋体" w:cs="宋体"/>
                <w:color w:val="auto"/>
                <w:kern w:val="0"/>
                <w:sz w:val="24"/>
                <w:highlight w:val="none"/>
              </w:rPr>
            </w:pPr>
            <w:r>
              <w:rPr>
                <w:rFonts w:hint="eastAsia" w:ascii="宋体" w:hAnsi="宋体" w:cs="宋体"/>
                <w:color w:val="auto"/>
                <w:kern w:val="0"/>
                <w:sz w:val="24"/>
                <w:highlight w:val="none"/>
              </w:rPr>
              <w:t>有效的劳动合同书。</w:t>
            </w:r>
          </w:p>
        </w:tc>
      </w:tr>
      <w:tr w14:paraId="4E7EB2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54" w:hRule="atLeast"/>
          <w:tblCellSpacing w:w="0" w:type="dxa"/>
          <w:jc w:val="center"/>
        </w:trPr>
        <w:tc>
          <w:tcPr>
            <w:tcW w:w="552" w:type="dxa"/>
            <w:tcBorders>
              <w:top w:val="single" w:color="auto" w:sz="4" w:space="0"/>
              <w:left w:val="single" w:color="auto" w:sz="4" w:space="0"/>
              <w:bottom w:val="single" w:color="auto" w:sz="4" w:space="0"/>
              <w:right w:val="single" w:color="auto" w:sz="4" w:space="0"/>
            </w:tcBorders>
            <w:vAlign w:val="center"/>
          </w:tcPr>
          <w:p w14:paraId="31EA1F48">
            <w:pPr>
              <w:widowControl/>
              <w:spacing w:line="360" w:lineRule="auto"/>
              <w:jc w:val="center"/>
              <w:rPr>
                <w:rFonts w:ascii="宋体" w:hAnsi="宋体" w:cs="宋体"/>
                <w:color w:val="auto"/>
                <w:kern w:val="0"/>
                <w:sz w:val="24"/>
                <w:highlight w:val="none"/>
              </w:rPr>
            </w:pPr>
            <w:r>
              <w:rPr>
                <w:rFonts w:hint="eastAsia" w:ascii="宋体" w:hAnsi="宋体" w:cs="宋体"/>
                <w:color w:val="auto"/>
                <w:kern w:val="0"/>
                <w:sz w:val="24"/>
                <w:highlight w:val="none"/>
              </w:rPr>
              <w:t>8</w:t>
            </w:r>
          </w:p>
        </w:tc>
        <w:tc>
          <w:tcPr>
            <w:tcW w:w="2028" w:type="dxa"/>
            <w:tcBorders>
              <w:top w:val="single" w:color="auto" w:sz="4" w:space="0"/>
              <w:left w:val="single" w:color="auto" w:sz="4" w:space="0"/>
              <w:bottom w:val="single" w:color="auto" w:sz="4" w:space="0"/>
              <w:right w:val="single" w:color="auto" w:sz="4" w:space="0"/>
            </w:tcBorders>
            <w:vAlign w:val="center"/>
          </w:tcPr>
          <w:p w14:paraId="7DBEDE13">
            <w:pPr>
              <w:widowControl/>
              <w:spacing w:line="360" w:lineRule="auto"/>
              <w:jc w:val="center"/>
              <w:rPr>
                <w:rFonts w:ascii="宋体" w:hAnsi="宋体" w:cs="宋体"/>
                <w:color w:val="auto"/>
                <w:kern w:val="0"/>
                <w:sz w:val="24"/>
                <w:highlight w:val="none"/>
              </w:rPr>
            </w:pPr>
            <w:r>
              <w:rPr>
                <w:rFonts w:hint="eastAsia" w:ascii="宋体" w:hAnsi="宋体" w:cs="宋体"/>
                <w:color w:val="auto"/>
                <w:kern w:val="0"/>
                <w:sz w:val="24"/>
                <w:highlight w:val="none"/>
              </w:rPr>
              <w:t>拟派项目负责人无在建工程</w:t>
            </w:r>
          </w:p>
        </w:tc>
        <w:tc>
          <w:tcPr>
            <w:tcW w:w="3510" w:type="dxa"/>
            <w:tcBorders>
              <w:top w:val="single" w:color="auto" w:sz="4" w:space="0"/>
              <w:left w:val="single" w:color="auto" w:sz="4" w:space="0"/>
              <w:bottom w:val="single" w:color="auto" w:sz="4" w:space="0"/>
              <w:right w:val="single" w:color="auto" w:sz="4" w:space="0"/>
            </w:tcBorders>
            <w:vAlign w:val="center"/>
          </w:tcPr>
          <w:p w14:paraId="1E5A85B3">
            <w:pPr>
              <w:widowControl/>
              <w:spacing w:line="360" w:lineRule="auto"/>
              <w:jc w:val="left"/>
              <w:rPr>
                <w:rFonts w:ascii="宋体" w:hAnsi="宋体" w:cs="宋体"/>
                <w:color w:val="auto"/>
                <w:kern w:val="0"/>
                <w:sz w:val="24"/>
                <w:highlight w:val="none"/>
              </w:rPr>
            </w:pPr>
            <w:r>
              <w:rPr>
                <w:rFonts w:hint="eastAsia" w:ascii="宋体" w:hAnsi="宋体" w:cs="宋体"/>
                <w:color w:val="auto"/>
                <w:kern w:val="0"/>
                <w:sz w:val="24"/>
                <w:highlight w:val="none"/>
              </w:rPr>
              <w:t>项目负责人是非变更后无在建工程，或项目负责人是变更后无在建工程（必须原合同工期已满且变更备案之日已满6个月），或因非承包方原因致使工程项目停工或因故不能按期开工、且已办理了项目负责人解锁手续，或项目负责人有在建工程，但该在建工程与本次招标的工程属于同一工程项目、同一项目批文、同一施工地点分段发包或分期施工的情况且总的工程规模在项目负责人执业范围之内。</w:t>
            </w:r>
          </w:p>
          <w:p w14:paraId="11C7F52E">
            <w:pPr>
              <w:widowControl/>
              <w:spacing w:line="360" w:lineRule="auto"/>
              <w:jc w:val="left"/>
              <w:rPr>
                <w:rFonts w:ascii="宋体" w:hAnsi="宋体" w:cs="宋体"/>
                <w:color w:val="auto"/>
                <w:kern w:val="0"/>
                <w:sz w:val="24"/>
                <w:highlight w:val="none"/>
              </w:rPr>
            </w:pPr>
            <w:r>
              <w:rPr>
                <w:rFonts w:hint="eastAsia" w:ascii="宋体" w:hAnsi="宋体" w:cs="宋体"/>
                <w:b/>
                <w:bCs/>
                <w:color w:val="auto"/>
                <w:kern w:val="0"/>
                <w:sz w:val="24"/>
                <w:highlight w:val="none"/>
              </w:rPr>
              <w:t>拟派项目经理在崇川区范围内有在建工程的，虽然未正式竣工验收但工程确已完工的，必须有由建设单位出具“工程已完工，同意项目经理参加其他工程招投标活动”的证明。无此证明的一律做废标处理。</w:t>
            </w:r>
          </w:p>
        </w:tc>
        <w:tc>
          <w:tcPr>
            <w:tcW w:w="3479" w:type="dxa"/>
            <w:tcBorders>
              <w:top w:val="single" w:color="auto" w:sz="4" w:space="0"/>
              <w:left w:val="single" w:color="auto" w:sz="4" w:space="0"/>
              <w:bottom w:val="single" w:color="auto" w:sz="4" w:space="0"/>
              <w:right w:val="single" w:color="auto" w:sz="4" w:space="0"/>
            </w:tcBorders>
            <w:vAlign w:val="center"/>
          </w:tcPr>
          <w:p w14:paraId="3F158E53">
            <w:pPr>
              <w:widowControl/>
              <w:spacing w:line="360" w:lineRule="auto"/>
              <w:jc w:val="left"/>
              <w:rPr>
                <w:rFonts w:ascii="宋体" w:hAnsi="宋体" w:cs="宋体"/>
                <w:color w:val="auto"/>
                <w:kern w:val="0"/>
                <w:sz w:val="24"/>
                <w:highlight w:val="none"/>
              </w:rPr>
            </w:pPr>
          </w:p>
          <w:p w14:paraId="3901CADD">
            <w:pPr>
              <w:widowControl/>
              <w:spacing w:line="360" w:lineRule="auto"/>
              <w:jc w:val="left"/>
              <w:rPr>
                <w:rFonts w:ascii="宋体" w:hAnsi="宋体" w:cs="宋体"/>
                <w:color w:val="auto"/>
                <w:kern w:val="0"/>
                <w:sz w:val="24"/>
                <w:highlight w:val="none"/>
              </w:rPr>
            </w:pPr>
            <w:r>
              <w:rPr>
                <w:rFonts w:hint="eastAsia" w:ascii="宋体" w:hAnsi="宋体" w:cs="宋体"/>
                <w:color w:val="auto"/>
                <w:kern w:val="0"/>
                <w:sz w:val="24"/>
                <w:highlight w:val="none"/>
              </w:rPr>
              <w:t>①无在建工程承诺书（详见第七章—无在建工程承诺书）</w:t>
            </w:r>
          </w:p>
          <w:p w14:paraId="14D0496B">
            <w:pPr>
              <w:widowControl/>
              <w:spacing w:line="360" w:lineRule="auto"/>
              <w:jc w:val="left"/>
              <w:rPr>
                <w:rFonts w:ascii="宋体" w:hAnsi="宋体" w:cs="宋体"/>
                <w:color w:val="auto"/>
                <w:kern w:val="0"/>
                <w:sz w:val="24"/>
                <w:highlight w:val="none"/>
              </w:rPr>
            </w:pPr>
            <w:r>
              <w:rPr>
                <w:rFonts w:hint="eastAsia" w:ascii="宋体" w:hAnsi="宋体" w:cs="宋体"/>
                <w:color w:val="auto"/>
                <w:kern w:val="0"/>
                <w:sz w:val="24"/>
                <w:highlight w:val="none"/>
              </w:rPr>
              <w:t>②原合同工期已满且变更备案之日已满6个月的证明或建设单位同意并已办理项目负责人变更手续的证明。</w:t>
            </w:r>
          </w:p>
          <w:p w14:paraId="159D4C24">
            <w:pPr>
              <w:widowControl/>
              <w:spacing w:line="360" w:lineRule="auto"/>
              <w:jc w:val="left"/>
              <w:rPr>
                <w:rFonts w:ascii="宋体" w:hAnsi="宋体" w:cs="宋体"/>
                <w:color w:val="auto"/>
                <w:kern w:val="0"/>
                <w:sz w:val="24"/>
                <w:highlight w:val="none"/>
              </w:rPr>
            </w:pPr>
            <w:r>
              <w:rPr>
                <w:rFonts w:hint="eastAsia" w:ascii="宋体" w:hAnsi="宋体" w:cs="宋体"/>
                <w:color w:val="auto"/>
                <w:kern w:val="0"/>
                <w:sz w:val="24"/>
                <w:highlight w:val="none"/>
              </w:rPr>
              <w:t>③工程完工证明（如有）（详见第七章“工程完工证明”）</w:t>
            </w:r>
          </w:p>
        </w:tc>
      </w:tr>
      <w:tr w14:paraId="282FDBB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54" w:hRule="atLeast"/>
          <w:tblCellSpacing w:w="0" w:type="dxa"/>
          <w:jc w:val="center"/>
        </w:trPr>
        <w:tc>
          <w:tcPr>
            <w:tcW w:w="552" w:type="dxa"/>
            <w:tcBorders>
              <w:top w:val="single" w:color="auto" w:sz="4" w:space="0"/>
              <w:left w:val="single" w:color="auto" w:sz="4" w:space="0"/>
              <w:bottom w:val="single" w:color="auto" w:sz="4" w:space="0"/>
              <w:right w:val="single" w:color="auto" w:sz="4" w:space="0"/>
            </w:tcBorders>
            <w:vAlign w:val="center"/>
          </w:tcPr>
          <w:p w14:paraId="6D8E2101">
            <w:pPr>
              <w:widowControl/>
              <w:spacing w:line="360" w:lineRule="auto"/>
              <w:jc w:val="center"/>
              <w:rPr>
                <w:rFonts w:ascii="宋体" w:hAnsi="宋体" w:cs="宋体"/>
                <w:color w:val="auto"/>
                <w:kern w:val="0"/>
                <w:sz w:val="24"/>
                <w:highlight w:val="none"/>
              </w:rPr>
            </w:pPr>
            <w:r>
              <w:rPr>
                <w:rFonts w:hint="eastAsia" w:ascii="宋体" w:hAnsi="宋体" w:cs="宋体"/>
                <w:color w:val="auto"/>
                <w:kern w:val="0"/>
                <w:sz w:val="24"/>
                <w:highlight w:val="none"/>
              </w:rPr>
              <w:t>9</w:t>
            </w:r>
          </w:p>
        </w:tc>
        <w:tc>
          <w:tcPr>
            <w:tcW w:w="2028" w:type="dxa"/>
            <w:tcBorders>
              <w:top w:val="single" w:color="auto" w:sz="4" w:space="0"/>
              <w:left w:val="single" w:color="auto" w:sz="4" w:space="0"/>
              <w:bottom w:val="single" w:color="auto" w:sz="4" w:space="0"/>
              <w:right w:val="single" w:color="auto" w:sz="4" w:space="0"/>
            </w:tcBorders>
            <w:vAlign w:val="center"/>
          </w:tcPr>
          <w:p w14:paraId="0095278A">
            <w:pPr>
              <w:widowControl/>
              <w:spacing w:line="360" w:lineRule="auto"/>
              <w:jc w:val="center"/>
              <w:rPr>
                <w:rFonts w:ascii="宋体" w:hAnsi="宋体" w:cs="宋体"/>
                <w:color w:val="auto"/>
                <w:kern w:val="0"/>
                <w:sz w:val="24"/>
                <w:highlight w:val="none"/>
              </w:rPr>
            </w:pPr>
            <w:r>
              <w:rPr>
                <w:rFonts w:hint="eastAsia" w:ascii="宋体" w:hAnsi="宋体" w:cs="宋体"/>
                <w:color w:val="auto"/>
                <w:sz w:val="24"/>
                <w:highlight w:val="none"/>
              </w:rPr>
              <w:t>诚信承诺书</w:t>
            </w:r>
          </w:p>
        </w:tc>
        <w:tc>
          <w:tcPr>
            <w:tcW w:w="3510" w:type="dxa"/>
            <w:tcBorders>
              <w:top w:val="single" w:color="auto" w:sz="4" w:space="0"/>
              <w:left w:val="single" w:color="auto" w:sz="4" w:space="0"/>
              <w:bottom w:val="single" w:color="auto" w:sz="4" w:space="0"/>
              <w:right w:val="single" w:color="auto" w:sz="4" w:space="0"/>
            </w:tcBorders>
            <w:vAlign w:val="center"/>
          </w:tcPr>
          <w:p w14:paraId="751A9C7E">
            <w:pPr>
              <w:widowControl/>
              <w:tabs>
                <w:tab w:val="left" w:pos="0"/>
                <w:tab w:val="left" w:pos="993"/>
                <w:tab w:val="left" w:pos="1134"/>
              </w:tabs>
              <w:snapToGrid w:val="0"/>
              <w:spacing w:line="360" w:lineRule="auto"/>
              <w:rPr>
                <w:rFonts w:ascii="宋体" w:hAnsi="宋体" w:cs="宋体"/>
                <w:color w:val="auto"/>
                <w:sz w:val="24"/>
                <w:highlight w:val="none"/>
              </w:rPr>
            </w:pPr>
            <w:r>
              <w:rPr>
                <w:rFonts w:hint="eastAsia" w:ascii="宋体" w:hAnsi="宋体" w:cs="宋体"/>
                <w:color w:val="auto"/>
                <w:sz w:val="24"/>
                <w:highlight w:val="none"/>
              </w:rPr>
              <w:t>诚信承诺书</w:t>
            </w:r>
          </w:p>
        </w:tc>
        <w:tc>
          <w:tcPr>
            <w:tcW w:w="3479" w:type="dxa"/>
            <w:tcBorders>
              <w:top w:val="single" w:color="auto" w:sz="4" w:space="0"/>
              <w:left w:val="single" w:color="auto" w:sz="4" w:space="0"/>
              <w:bottom w:val="single" w:color="auto" w:sz="4" w:space="0"/>
              <w:right w:val="single" w:color="auto" w:sz="4" w:space="0"/>
            </w:tcBorders>
            <w:vAlign w:val="center"/>
          </w:tcPr>
          <w:p w14:paraId="18F272EE">
            <w:pPr>
              <w:widowControl/>
              <w:spacing w:line="360" w:lineRule="auto"/>
              <w:jc w:val="left"/>
              <w:rPr>
                <w:rFonts w:ascii="宋体" w:hAnsi="宋体" w:cs="宋体"/>
                <w:color w:val="auto"/>
                <w:kern w:val="0"/>
                <w:sz w:val="24"/>
                <w:highlight w:val="none"/>
              </w:rPr>
            </w:pPr>
            <w:r>
              <w:rPr>
                <w:rFonts w:hint="eastAsia" w:ascii="宋体" w:hAnsi="宋体" w:cs="宋体"/>
                <w:color w:val="auto"/>
                <w:sz w:val="24"/>
                <w:highlight w:val="none"/>
              </w:rPr>
              <w:t>有效的诚信承诺书（格式见第七章）</w:t>
            </w:r>
          </w:p>
        </w:tc>
      </w:tr>
      <w:tr w14:paraId="58A02A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54" w:hRule="atLeast"/>
          <w:tblCellSpacing w:w="0" w:type="dxa"/>
          <w:jc w:val="center"/>
        </w:trPr>
        <w:tc>
          <w:tcPr>
            <w:tcW w:w="552" w:type="dxa"/>
            <w:tcBorders>
              <w:top w:val="single" w:color="auto" w:sz="4" w:space="0"/>
              <w:left w:val="single" w:color="auto" w:sz="4" w:space="0"/>
              <w:bottom w:val="single" w:color="auto" w:sz="4" w:space="0"/>
              <w:right w:val="single" w:color="auto" w:sz="4" w:space="0"/>
            </w:tcBorders>
            <w:vAlign w:val="center"/>
          </w:tcPr>
          <w:p w14:paraId="3133C576">
            <w:pPr>
              <w:widowControl/>
              <w:spacing w:line="360" w:lineRule="auto"/>
              <w:jc w:val="center"/>
              <w:rPr>
                <w:rFonts w:ascii="宋体" w:hAnsi="宋体" w:cs="宋体"/>
                <w:color w:val="auto"/>
                <w:sz w:val="24"/>
                <w:highlight w:val="none"/>
              </w:rPr>
            </w:pPr>
            <w:r>
              <w:rPr>
                <w:rFonts w:hint="eastAsia" w:ascii="宋体" w:hAnsi="宋体" w:cs="宋体"/>
                <w:color w:val="auto"/>
                <w:sz w:val="24"/>
                <w:highlight w:val="none"/>
              </w:rPr>
              <w:t>10</w:t>
            </w:r>
          </w:p>
        </w:tc>
        <w:tc>
          <w:tcPr>
            <w:tcW w:w="2028" w:type="dxa"/>
            <w:tcBorders>
              <w:top w:val="single" w:color="auto" w:sz="4" w:space="0"/>
              <w:left w:val="single" w:color="auto" w:sz="4" w:space="0"/>
              <w:bottom w:val="single" w:color="auto" w:sz="4" w:space="0"/>
              <w:right w:val="single" w:color="auto" w:sz="4" w:space="0"/>
            </w:tcBorders>
            <w:vAlign w:val="center"/>
          </w:tcPr>
          <w:p w14:paraId="2A2B046E">
            <w:pPr>
              <w:widowControl/>
              <w:spacing w:line="360" w:lineRule="auto"/>
              <w:jc w:val="center"/>
              <w:rPr>
                <w:rFonts w:ascii="宋体" w:hAnsi="宋体" w:cs="宋体"/>
                <w:color w:val="auto"/>
                <w:sz w:val="24"/>
                <w:highlight w:val="none"/>
              </w:rPr>
            </w:pPr>
            <w:r>
              <w:rPr>
                <w:rFonts w:hint="eastAsia" w:ascii="宋体" w:hAnsi="宋体" w:cs="宋体"/>
                <w:color w:val="auto"/>
                <w:sz w:val="24"/>
                <w:highlight w:val="none"/>
              </w:rPr>
              <w:t>响应性承诺书</w:t>
            </w:r>
          </w:p>
        </w:tc>
        <w:tc>
          <w:tcPr>
            <w:tcW w:w="3510" w:type="dxa"/>
            <w:tcBorders>
              <w:top w:val="single" w:color="auto" w:sz="4" w:space="0"/>
              <w:left w:val="single" w:color="auto" w:sz="4" w:space="0"/>
              <w:bottom w:val="single" w:color="auto" w:sz="4" w:space="0"/>
              <w:right w:val="single" w:color="auto" w:sz="4" w:space="0"/>
            </w:tcBorders>
            <w:vAlign w:val="center"/>
          </w:tcPr>
          <w:p w14:paraId="4F55AB27">
            <w:pPr>
              <w:widowControl/>
              <w:tabs>
                <w:tab w:val="left" w:pos="0"/>
                <w:tab w:val="left" w:pos="993"/>
                <w:tab w:val="left" w:pos="1134"/>
              </w:tabs>
              <w:snapToGrid w:val="0"/>
              <w:spacing w:line="360" w:lineRule="auto"/>
              <w:rPr>
                <w:rFonts w:ascii="宋体" w:hAnsi="宋体" w:cs="宋体"/>
                <w:color w:val="auto"/>
                <w:sz w:val="24"/>
                <w:highlight w:val="none"/>
              </w:rPr>
            </w:pPr>
            <w:r>
              <w:rPr>
                <w:rFonts w:hint="eastAsia" w:ascii="宋体" w:hAnsi="宋体" w:cs="宋体"/>
                <w:color w:val="auto"/>
                <w:sz w:val="24"/>
                <w:highlight w:val="none"/>
              </w:rPr>
              <w:t>响应性承诺书</w:t>
            </w:r>
          </w:p>
        </w:tc>
        <w:tc>
          <w:tcPr>
            <w:tcW w:w="3479" w:type="dxa"/>
            <w:tcBorders>
              <w:top w:val="single" w:color="auto" w:sz="4" w:space="0"/>
              <w:left w:val="single" w:color="auto" w:sz="4" w:space="0"/>
              <w:bottom w:val="single" w:color="auto" w:sz="4" w:space="0"/>
              <w:right w:val="single" w:color="auto" w:sz="4" w:space="0"/>
            </w:tcBorders>
            <w:vAlign w:val="center"/>
          </w:tcPr>
          <w:p w14:paraId="2493E40A">
            <w:pPr>
              <w:widowControl/>
              <w:spacing w:line="360" w:lineRule="auto"/>
              <w:jc w:val="left"/>
              <w:rPr>
                <w:rFonts w:ascii="宋体" w:hAnsi="宋体" w:cs="宋体"/>
                <w:color w:val="auto"/>
                <w:sz w:val="24"/>
                <w:highlight w:val="none"/>
              </w:rPr>
            </w:pPr>
            <w:r>
              <w:rPr>
                <w:rFonts w:hint="eastAsia" w:ascii="宋体" w:hAnsi="宋体" w:cs="宋体"/>
                <w:color w:val="auto"/>
                <w:sz w:val="24"/>
                <w:highlight w:val="none"/>
              </w:rPr>
              <w:t>有效的响应性承诺书（格式见第七章）</w:t>
            </w:r>
          </w:p>
        </w:tc>
      </w:tr>
      <w:tr w14:paraId="7806B7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54" w:hRule="atLeast"/>
          <w:tblCellSpacing w:w="0" w:type="dxa"/>
          <w:jc w:val="center"/>
        </w:trPr>
        <w:tc>
          <w:tcPr>
            <w:tcW w:w="552" w:type="dxa"/>
            <w:tcBorders>
              <w:top w:val="single" w:color="auto" w:sz="4" w:space="0"/>
              <w:left w:val="single" w:color="auto" w:sz="4" w:space="0"/>
              <w:bottom w:val="single" w:color="auto" w:sz="4" w:space="0"/>
              <w:right w:val="single" w:color="auto" w:sz="4" w:space="0"/>
            </w:tcBorders>
            <w:vAlign w:val="center"/>
          </w:tcPr>
          <w:p w14:paraId="4F0CF1B7">
            <w:pPr>
              <w:widowControl/>
              <w:spacing w:line="360" w:lineRule="auto"/>
              <w:jc w:val="center"/>
              <w:rPr>
                <w:rFonts w:ascii="宋体" w:hAnsi="宋体" w:cs="宋体"/>
                <w:color w:val="auto"/>
                <w:kern w:val="0"/>
                <w:sz w:val="24"/>
                <w:highlight w:val="none"/>
              </w:rPr>
            </w:pPr>
            <w:r>
              <w:rPr>
                <w:rFonts w:hint="eastAsia" w:ascii="宋体" w:hAnsi="宋体" w:cs="宋体"/>
                <w:color w:val="auto"/>
                <w:kern w:val="0"/>
                <w:sz w:val="24"/>
                <w:highlight w:val="none"/>
              </w:rPr>
              <w:t>11</w:t>
            </w:r>
          </w:p>
        </w:tc>
        <w:tc>
          <w:tcPr>
            <w:tcW w:w="2028" w:type="dxa"/>
            <w:tcBorders>
              <w:top w:val="single" w:color="auto" w:sz="4" w:space="0"/>
              <w:left w:val="single" w:color="auto" w:sz="4" w:space="0"/>
              <w:bottom w:val="single" w:color="auto" w:sz="4" w:space="0"/>
              <w:right w:val="single" w:color="auto" w:sz="4" w:space="0"/>
            </w:tcBorders>
            <w:vAlign w:val="center"/>
          </w:tcPr>
          <w:p w14:paraId="3EA1EB72">
            <w:pPr>
              <w:spacing w:line="360" w:lineRule="auto"/>
              <w:jc w:val="center"/>
              <w:rPr>
                <w:rFonts w:ascii="宋体" w:hAnsi="宋体" w:cs="宋体"/>
                <w:color w:val="auto"/>
                <w:sz w:val="24"/>
                <w:highlight w:val="none"/>
              </w:rPr>
            </w:pPr>
            <w:r>
              <w:rPr>
                <w:rFonts w:hint="eastAsia" w:ascii="宋体" w:hAnsi="宋体" w:cs="宋体"/>
                <w:color w:val="auto"/>
                <w:sz w:val="24"/>
                <w:highlight w:val="none"/>
              </w:rPr>
              <w:t>建筑业企业资质动态监管结果</w:t>
            </w:r>
          </w:p>
        </w:tc>
        <w:tc>
          <w:tcPr>
            <w:tcW w:w="3510" w:type="dxa"/>
            <w:tcBorders>
              <w:top w:val="single" w:color="auto" w:sz="4" w:space="0"/>
              <w:left w:val="single" w:color="auto" w:sz="4" w:space="0"/>
              <w:bottom w:val="single" w:color="auto" w:sz="4" w:space="0"/>
              <w:right w:val="single" w:color="auto" w:sz="4" w:space="0"/>
            </w:tcBorders>
            <w:vAlign w:val="center"/>
          </w:tcPr>
          <w:p w14:paraId="64D258D1">
            <w:pPr>
              <w:spacing w:line="360" w:lineRule="auto"/>
              <w:jc w:val="left"/>
              <w:rPr>
                <w:rFonts w:ascii="宋体" w:hAnsi="宋体" w:cs="宋体"/>
                <w:color w:val="auto"/>
                <w:sz w:val="24"/>
                <w:highlight w:val="none"/>
              </w:rPr>
            </w:pPr>
            <w:r>
              <w:rPr>
                <w:rFonts w:hint="eastAsia" w:ascii="宋体" w:hAnsi="宋体" w:cs="宋体"/>
                <w:color w:val="auto"/>
                <w:kern w:val="0"/>
                <w:sz w:val="24"/>
                <w:highlight w:val="none"/>
                <w:lang w:val="zh-CN" w:bidi="zh-CN"/>
              </w:rPr>
              <w:t>投标人在本招标项目投标文件递交截止时间当日，建筑业企业资质动态监管结果中本项目要求的资质不处于不合格状态。</w:t>
            </w:r>
          </w:p>
        </w:tc>
        <w:tc>
          <w:tcPr>
            <w:tcW w:w="3479" w:type="dxa"/>
            <w:tcBorders>
              <w:top w:val="single" w:color="auto" w:sz="4" w:space="0"/>
              <w:left w:val="single" w:color="auto" w:sz="4" w:space="0"/>
              <w:bottom w:val="single" w:color="auto" w:sz="4" w:space="0"/>
              <w:right w:val="single" w:color="auto" w:sz="4" w:space="0"/>
            </w:tcBorders>
            <w:vAlign w:val="center"/>
          </w:tcPr>
          <w:p w14:paraId="74A6330C">
            <w:pPr>
              <w:spacing w:line="360" w:lineRule="auto"/>
              <w:jc w:val="left"/>
              <w:rPr>
                <w:rFonts w:ascii="宋体" w:hAnsi="宋体" w:cs="宋体"/>
                <w:color w:val="auto"/>
                <w:sz w:val="24"/>
                <w:highlight w:val="none"/>
              </w:rPr>
            </w:pPr>
            <w:r>
              <w:rPr>
                <w:rFonts w:hint="eastAsia" w:ascii="宋体" w:hAnsi="宋体" w:cs="宋体"/>
                <w:color w:val="auto"/>
                <w:sz w:val="24"/>
                <w:highlight w:val="none"/>
              </w:rPr>
              <w:t>无需投标人提供。</w:t>
            </w:r>
          </w:p>
          <w:p w14:paraId="27014D7F">
            <w:pPr>
              <w:spacing w:line="360" w:lineRule="auto"/>
              <w:jc w:val="left"/>
              <w:rPr>
                <w:rFonts w:ascii="宋体" w:hAnsi="宋体" w:cs="宋体"/>
                <w:color w:val="auto"/>
                <w:sz w:val="24"/>
                <w:highlight w:val="none"/>
              </w:rPr>
            </w:pPr>
            <w:r>
              <w:rPr>
                <w:rFonts w:hint="eastAsia" w:ascii="宋体" w:hAnsi="宋体" w:cs="宋体"/>
                <w:color w:val="auto"/>
                <w:kern w:val="0"/>
                <w:sz w:val="24"/>
                <w:highlight w:val="none"/>
                <w:lang w:val="zh-CN" w:bidi="zh-CN"/>
              </w:rPr>
              <w:t>招标人在本招标项目投标文件递交截止时间当日登录“江苏省建筑市场监管与诚信信息一体化平台”，检查投标人的建筑企业资质动态监管结果中本项目要求的资质，对动态监管处于不合格状态的投标人进行截图保存，提供给评标委员会。</w:t>
            </w:r>
          </w:p>
        </w:tc>
      </w:tr>
      <w:tr w14:paraId="28C2B28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54" w:hRule="atLeast"/>
          <w:tblCellSpacing w:w="0" w:type="dxa"/>
          <w:jc w:val="center"/>
        </w:trPr>
        <w:tc>
          <w:tcPr>
            <w:tcW w:w="552" w:type="dxa"/>
            <w:tcBorders>
              <w:top w:val="single" w:color="auto" w:sz="4" w:space="0"/>
              <w:left w:val="single" w:color="auto" w:sz="4" w:space="0"/>
              <w:bottom w:val="single" w:color="auto" w:sz="4" w:space="0"/>
              <w:right w:val="single" w:color="auto" w:sz="4" w:space="0"/>
            </w:tcBorders>
            <w:vAlign w:val="center"/>
          </w:tcPr>
          <w:p w14:paraId="34BEB789">
            <w:pPr>
              <w:widowControl/>
              <w:spacing w:line="360" w:lineRule="auto"/>
              <w:jc w:val="center"/>
              <w:rPr>
                <w:rFonts w:ascii="宋体" w:hAnsi="宋体" w:cs="宋体"/>
                <w:color w:val="auto"/>
                <w:kern w:val="0"/>
                <w:sz w:val="24"/>
                <w:highlight w:val="none"/>
              </w:rPr>
            </w:pPr>
            <w:r>
              <w:rPr>
                <w:rFonts w:hint="eastAsia" w:ascii="宋体" w:hAnsi="宋体" w:cs="宋体"/>
                <w:color w:val="auto"/>
                <w:kern w:val="0"/>
                <w:sz w:val="24"/>
                <w:highlight w:val="none"/>
              </w:rPr>
              <w:t>12</w:t>
            </w:r>
          </w:p>
        </w:tc>
        <w:tc>
          <w:tcPr>
            <w:tcW w:w="9017" w:type="dxa"/>
            <w:gridSpan w:val="3"/>
            <w:tcBorders>
              <w:top w:val="single" w:color="auto" w:sz="4" w:space="0"/>
              <w:left w:val="single" w:color="auto" w:sz="4" w:space="0"/>
              <w:bottom w:val="single" w:color="auto" w:sz="4" w:space="0"/>
              <w:right w:val="single" w:color="auto" w:sz="4" w:space="0"/>
            </w:tcBorders>
            <w:vAlign w:val="center"/>
          </w:tcPr>
          <w:p w14:paraId="1393D0EC">
            <w:pPr>
              <w:spacing w:line="360" w:lineRule="auto"/>
              <w:jc w:val="left"/>
              <w:rPr>
                <w:rFonts w:ascii="宋体" w:hAnsi="宋体" w:cs="宋体"/>
                <w:color w:val="auto"/>
                <w:kern w:val="0"/>
                <w:sz w:val="24"/>
                <w:highlight w:val="none"/>
                <w:lang w:val="zh-CN" w:bidi="zh-CN"/>
              </w:rPr>
            </w:pPr>
            <w:r>
              <w:rPr>
                <w:rFonts w:hint="eastAsia" w:ascii="宋体" w:hAnsi="宋体" w:cs="宋体"/>
                <w:color w:val="auto"/>
                <w:sz w:val="24"/>
                <w:highlight w:val="none"/>
              </w:rPr>
              <w:t>资格审查文件表格</w:t>
            </w:r>
            <w:r>
              <w:rPr>
                <w:rFonts w:hint="eastAsia" w:ascii="宋体" w:hAnsi="宋体" w:cs="宋体"/>
                <w:b/>
                <w:color w:val="auto"/>
                <w:sz w:val="24"/>
                <w:highlight w:val="none"/>
              </w:rPr>
              <w:t>（格式详见招标文件第七章）</w:t>
            </w:r>
          </w:p>
        </w:tc>
      </w:tr>
      <w:tr w14:paraId="24E93B6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0" w:type="dxa"/>
            <w:bottom w:w="0" w:type="dxa"/>
            <w:right w:w="0" w:type="dxa"/>
          </w:tblCellMar>
        </w:tblPrEx>
        <w:trPr>
          <w:trHeight w:val="454" w:hRule="atLeast"/>
          <w:tblCellSpacing w:w="0" w:type="dxa"/>
          <w:jc w:val="center"/>
        </w:trPr>
        <w:tc>
          <w:tcPr>
            <w:tcW w:w="552" w:type="dxa"/>
            <w:tcBorders>
              <w:top w:val="single" w:color="auto" w:sz="4" w:space="0"/>
              <w:left w:val="single" w:color="auto" w:sz="4" w:space="0"/>
              <w:bottom w:val="single" w:color="auto" w:sz="4" w:space="0"/>
              <w:right w:val="single" w:color="auto" w:sz="4" w:space="0"/>
            </w:tcBorders>
            <w:vAlign w:val="center"/>
          </w:tcPr>
          <w:p w14:paraId="5047686A">
            <w:pPr>
              <w:widowControl/>
              <w:spacing w:line="360" w:lineRule="auto"/>
              <w:jc w:val="center"/>
              <w:rPr>
                <w:rFonts w:ascii="宋体" w:hAnsi="宋体" w:cs="宋体"/>
                <w:color w:val="auto"/>
                <w:kern w:val="0"/>
                <w:sz w:val="24"/>
                <w:highlight w:val="none"/>
              </w:rPr>
            </w:pPr>
          </w:p>
        </w:tc>
        <w:tc>
          <w:tcPr>
            <w:tcW w:w="9017" w:type="dxa"/>
            <w:gridSpan w:val="3"/>
            <w:tcBorders>
              <w:top w:val="single" w:color="auto" w:sz="4" w:space="0"/>
              <w:left w:val="single" w:color="auto" w:sz="4" w:space="0"/>
              <w:bottom w:val="single" w:color="auto" w:sz="4" w:space="0"/>
              <w:right w:val="single" w:color="auto" w:sz="4" w:space="0"/>
            </w:tcBorders>
            <w:vAlign w:val="center"/>
          </w:tcPr>
          <w:p w14:paraId="4AFB8104">
            <w:pPr>
              <w:widowControl/>
              <w:adjustRightInd w:val="0"/>
              <w:snapToGrid w:val="0"/>
              <w:spacing w:line="360" w:lineRule="auto"/>
              <w:jc w:val="left"/>
              <w:rPr>
                <w:rFonts w:ascii="宋体" w:hAnsi="宋体" w:cs="宋体"/>
                <w:color w:val="auto"/>
                <w:kern w:val="0"/>
                <w:sz w:val="24"/>
                <w:highlight w:val="none"/>
              </w:rPr>
            </w:pPr>
            <w:r>
              <w:rPr>
                <w:rFonts w:hint="eastAsia" w:ascii="宋体" w:hAnsi="宋体" w:cs="宋体"/>
                <w:color w:val="auto"/>
                <w:kern w:val="0"/>
                <w:sz w:val="24"/>
                <w:highlight w:val="none"/>
              </w:rPr>
              <w:t>1、资格审查阶段，评标委员会根据资格审查标准、资格审查条件中的资料进行资格评审，请投标人按照本招标文件要求准确提供全部资料，否则做无效标处理。</w:t>
            </w:r>
          </w:p>
          <w:p w14:paraId="114AF07F">
            <w:pPr>
              <w:widowControl/>
              <w:adjustRightInd w:val="0"/>
              <w:snapToGrid w:val="0"/>
              <w:spacing w:line="360" w:lineRule="auto"/>
              <w:jc w:val="left"/>
              <w:rPr>
                <w:rFonts w:ascii="宋体" w:hAnsi="宋体" w:cs="宋体"/>
                <w:color w:val="auto"/>
                <w:kern w:val="0"/>
                <w:sz w:val="24"/>
                <w:highlight w:val="none"/>
              </w:rPr>
            </w:pPr>
            <w:r>
              <w:rPr>
                <w:rFonts w:hint="eastAsia" w:ascii="宋体" w:hAnsi="宋体" w:cs="宋体"/>
                <w:color w:val="auto"/>
                <w:kern w:val="0"/>
                <w:sz w:val="24"/>
                <w:highlight w:val="none"/>
              </w:rPr>
              <w:t>2、上述所有材料1-9均要以原件扫描格式（JPGE图片或PDF格式），在电子投标文件中体现（仅用于电子存档），且同时提供原件查验。</w:t>
            </w:r>
          </w:p>
          <w:p w14:paraId="02F8FC07">
            <w:pPr>
              <w:pStyle w:val="15"/>
              <w:spacing w:line="360" w:lineRule="auto"/>
              <w:rPr>
                <w:rFonts w:ascii="宋体" w:hAnsi="宋体" w:cs="宋体"/>
                <w:color w:val="auto"/>
                <w:sz w:val="24"/>
                <w:szCs w:val="24"/>
                <w:highlight w:val="none"/>
              </w:rPr>
            </w:pPr>
            <w:r>
              <w:rPr>
                <w:rFonts w:hint="eastAsia" w:ascii="宋体" w:hAnsi="宋体" w:cs="宋体"/>
                <w:color w:val="auto"/>
                <w:sz w:val="24"/>
                <w:szCs w:val="24"/>
                <w:highlight w:val="none"/>
              </w:rPr>
              <w:t>3、原件因年检无法带来的，须出具年检行政主管部门“年检证明”材料，否则作废标处理。</w:t>
            </w:r>
          </w:p>
        </w:tc>
      </w:tr>
    </w:tbl>
    <w:p w14:paraId="22980A34">
      <w:pPr>
        <w:spacing w:line="360" w:lineRule="auto"/>
        <w:ind w:firstLine="480" w:firstLineChars="200"/>
        <w:rPr>
          <w:rFonts w:ascii="宋体" w:hAnsi="宋体" w:cs="宋体"/>
          <w:color w:val="auto"/>
          <w:sz w:val="24"/>
          <w:highlight w:val="none"/>
        </w:rPr>
      </w:pPr>
      <w:r>
        <w:rPr>
          <w:rFonts w:hint="eastAsia" w:ascii="宋体" w:hAnsi="宋体" w:cs="宋体"/>
          <w:color w:val="auto"/>
          <w:sz w:val="24"/>
          <w:highlight w:val="none"/>
        </w:rPr>
        <w:t>本次资格审查采用合格制，各投标人只有满足资格审查必要合格条件后，方可参与商务标的评审。</w:t>
      </w:r>
    </w:p>
    <w:p w14:paraId="3DCC3113">
      <w:pPr>
        <w:spacing w:line="360" w:lineRule="auto"/>
        <w:ind w:firstLine="480" w:firstLineChars="200"/>
        <w:rPr>
          <w:rFonts w:ascii="宋体" w:hAnsi="宋体" w:cs="宋体"/>
          <w:color w:val="auto"/>
          <w:sz w:val="24"/>
          <w:highlight w:val="none"/>
        </w:rPr>
      </w:pPr>
      <w:r>
        <w:rPr>
          <w:rFonts w:hint="eastAsia" w:ascii="宋体" w:hAnsi="宋体" w:cs="宋体"/>
          <w:color w:val="auto"/>
          <w:sz w:val="24"/>
          <w:highlight w:val="none"/>
        </w:rPr>
        <w:t>2、商务标评审</w:t>
      </w:r>
    </w:p>
    <w:p w14:paraId="5D838AFB">
      <w:pPr>
        <w:spacing w:line="360" w:lineRule="auto"/>
        <w:ind w:firstLine="480" w:firstLineChars="200"/>
        <w:rPr>
          <w:rFonts w:ascii="宋体" w:hAnsi="宋体" w:cs="宋体"/>
          <w:color w:val="auto"/>
          <w:sz w:val="24"/>
          <w:highlight w:val="none"/>
        </w:rPr>
      </w:pPr>
      <w:r>
        <w:rPr>
          <w:rFonts w:hint="eastAsia" w:ascii="宋体" w:hAnsi="宋体" w:cs="宋体"/>
          <w:color w:val="auto"/>
          <w:sz w:val="24"/>
          <w:highlight w:val="none"/>
        </w:rPr>
        <w:t>1)只有通过资格审查的投标人，才能参加商务标的评标。</w:t>
      </w:r>
    </w:p>
    <w:p w14:paraId="1A779A4D">
      <w:pPr>
        <w:spacing w:line="360" w:lineRule="auto"/>
        <w:ind w:firstLine="480" w:firstLineChars="200"/>
        <w:rPr>
          <w:rFonts w:ascii="宋体" w:hAnsi="宋体" w:cs="宋体"/>
          <w:color w:val="auto"/>
          <w:sz w:val="24"/>
          <w:highlight w:val="none"/>
        </w:rPr>
      </w:pPr>
      <w:r>
        <w:rPr>
          <w:rFonts w:hint="eastAsia" w:ascii="宋体" w:hAnsi="宋体" w:cs="宋体"/>
          <w:color w:val="auto"/>
          <w:sz w:val="24"/>
          <w:highlight w:val="none"/>
        </w:rPr>
        <w:t>2)</w:t>
      </w:r>
      <w:r>
        <w:rPr>
          <w:rFonts w:hint="eastAsia" w:ascii="宋体" w:hAnsi="宋体" w:cs="宋体"/>
          <w:b/>
          <w:bCs/>
          <w:color w:val="auto"/>
          <w:sz w:val="24"/>
          <w:highlight w:val="none"/>
        </w:rPr>
        <w:t>商务标评审共设两种方法，</w:t>
      </w:r>
      <w:r>
        <w:rPr>
          <w:rFonts w:hint="eastAsia" w:ascii="宋体" w:hAnsi="宋体" w:cs="宋体"/>
          <w:color w:val="auto"/>
          <w:sz w:val="24"/>
          <w:highlight w:val="none"/>
        </w:rPr>
        <w:t>由招标人代表在开标时现场抽取确定，相关系数由投标人代表现场抽取确定后进入评标程序。</w:t>
      </w:r>
    </w:p>
    <w:p w14:paraId="79672AA6">
      <w:pPr>
        <w:spacing w:line="360" w:lineRule="auto"/>
        <w:ind w:firstLine="480" w:firstLineChars="200"/>
        <w:rPr>
          <w:rFonts w:ascii="宋体" w:hAnsi="宋体" w:cs="宋体"/>
          <w:color w:val="auto"/>
          <w:sz w:val="24"/>
          <w:highlight w:val="none"/>
        </w:rPr>
      </w:pPr>
      <w:r>
        <w:rPr>
          <w:rFonts w:hint="eastAsia" w:ascii="宋体" w:hAnsi="宋体" w:cs="宋体"/>
          <w:color w:val="auto"/>
          <w:sz w:val="24"/>
          <w:highlight w:val="none"/>
        </w:rPr>
        <w:t>3)评分标准(满分100分)</w:t>
      </w:r>
    </w:p>
    <w:p w14:paraId="05DC28BB">
      <w:pPr>
        <w:spacing w:line="360" w:lineRule="auto"/>
        <w:ind w:firstLine="482" w:firstLineChars="200"/>
        <w:rPr>
          <w:rFonts w:ascii="宋体" w:hAnsi="宋体" w:cs="宋体"/>
          <w:b/>
          <w:bCs/>
          <w:color w:val="auto"/>
          <w:sz w:val="24"/>
          <w:highlight w:val="none"/>
        </w:rPr>
      </w:pPr>
      <w:r>
        <w:rPr>
          <w:rFonts w:hint="eastAsia" w:ascii="宋体" w:hAnsi="宋体" w:cs="宋体"/>
          <w:b/>
          <w:bCs/>
          <w:color w:val="auto"/>
          <w:sz w:val="24"/>
          <w:highlight w:val="none"/>
        </w:rPr>
        <w:t>方法一：</w:t>
      </w:r>
    </w:p>
    <w:p w14:paraId="6A133C50">
      <w:pPr>
        <w:spacing w:line="360" w:lineRule="auto"/>
        <w:ind w:firstLine="480" w:firstLineChars="200"/>
        <w:rPr>
          <w:rFonts w:ascii="宋体" w:hAnsi="宋体" w:cs="宋体"/>
          <w:color w:val="auto"/>
          <w:sz w:val="24"/>
          <w:highlight w:val="none"/>
        </w:rPr>
      </w:pPr>
      <w:r>
        <w:rPr>
          <w:rFonts w:hint="eastAsia" w:ascii="宋体" w:hAnsi="宋体" w:cs="宋体"/>
          <w:color w:val="auto"/>
          <w:sz w:val="24"/>
          <w:highlight w:val="none"/>
        </w:rPr>
        <w:t>（1）确定有效报价</w:t>
      </w:r>
    </w:p>
    <w:p w14:paraId="7EFDB39B">
      <w:pPr>
        <w:spacing w:line="360" w:lineRule="auto"/>
        <w:ind w:firstLine="480" w:firstLineChars="200"/>
        <w:rPr>
          <w:rFonts w:ascii="宋体" w:hAnsi="宋体" w:cs="宋体"/>
          <w:color w:val="auto"/>
          <w:sz w:val="24"/>
          <w:highlight w:val="none"/>
        </w:rPr>
      </w:pPr>
      <w:r>
        <w:rPr>
          <w:rFonts w:hint="eastAsia" w:ascii="宋体" w:hAnsi="宋体" w:cs="宋体"/>
          <w:color w:val="auto"/>
          <w:sz w:val="24"/>
          <w:highlight w:val="none"/>
        </w:rPr>
        <w:t>有效报价是指投标人投标报价低于或等于招标人设定的招标控制价，投标报价高于招标控制价的为无效报价，作废标处理。</w:t>
      </w:r>
    </w:p>
    <w:p w14:paraId="65E04CC0">
      <w:pPr>
        <w:spacing w:line="360" w:lineRule="auto"/>
        <w:ind w:firstLine="480" w:firstLineChars="200"/>
        <w:rPr>
          <w:rFonts w:ascii="宋体" w:hAnsi="宋体" w:cs="宋体"/>
          <w:color w:val="auto"/>
          <w:sz w:val="24"/>
          <w:highlight w:val="none"/>
        </w:rPr>
      </w:pPr>
      <w:r>
        <w:rPr>
          <w:rFonts w:hint="eastAsia" w:ascii="宋体" w:hAnsi="宋体" w:cs="宋体"/>
          <w:color w:val="auto"/>
          <w:sz w:val="24"/>
          <w:highlight w:val="none"/>
        </w:rPr>
        <w:t>无效报价、被宣布为废标的投标报价均不参与评标基准价的计算。</w:t>
      </w:r>
    </w:p>
    <w:p w14:paraId="68ED3CF0">
      <w:pPr>
        <w:spacing w:line="360" w:lineRule="auto"/>
        <w:ind w:firstLine="480" w:firstLineChars="200"/>
        <w:rPr>
          <w:rFonts w:ascii="宋体" w:hAnsi="宋体" w:cs="宋体"/>
          <w:color w:val="auto"/>
          <w:sz w:val="24"/>
          <w:highlight w:val="none"/>
        </w:rPr>
      </w:pPr>
      <w:r>
        <w:rPr>
          <w:rFonts w:hint="eastAsia" w:ascii="宋体" w:hAnsi="宋体" w:cs="宋体"/>
          <w:color w:val="auto"/>
          <w:sz w:val="24"/>
          <w:highlight w:val="none"/>
        </w:rPr>
        <w:t>（2）确定评标基准价</w:t>
      </w:r>
    </w:p>
    <w:p w14:paraId="70479F32">
      <w:pPr>
        <w:spacing w:line="360" w:lineRule="auto"/>
        <w:ind w:firstLine="482" w:firstLineChars="200"/>
        <w:rPr>
          <w:rFonts w:ascii="宋体" w:hAnsi="宋体" w:cs="宋体"/>
          <w:color w:val="auto"/>
          <w:sz w:val="24"/>
          <w:highlight w:val="none"/>
        </w:rPr>
      </w:pPr>
      <w:r>
        <w:rPr>
          <w:rFonts w:hint="eastAsia" w:ascii="宋体" w:hAnsi="宋体" w:cs="宋体"/>
          <w:b/>
          <w:bCs/>
          <w:color w:val="auto"/>
          <w:sz w:val="24"/>
          <w:highlight w:val="none"/>
        </w:rPr>
        <w:t>以有效投标文件的评标价算术平均值为 A</w:t>
      </w:r>
      <w:r>
        <w:rPr>
          <w:rFonts w:hint="eastAsia" w:ascii="宋体" w:hAnsi="宋体" w:cs="宋体"/>
          <w:color w:val="auto"/>
          <w:sz w:val="24"/>
          <w:highlight w:val="none"/>
        </w:rPr>
        <w:t>（当有效投标文件≥7家时，去掉最高和最低的各20%（四舍五入取整，末位投标价相同的均保留）后进行平均；当有效投标文件4-6家时，剔除最高报价（最高报价相同的均剔除）后进行算术平均；当有效投标文件＜4价时，则次低报价作为投标平均价A）。</w:t>
      </w:r>
    </w:p>
    <w:p w14:paraId="06B34378">
      <w:pPr>
        <w:spacing w:line="360" w:lineRule="auto"/>
        <w:ind w:firstLine="480" w:firstLineChars="200"/>
        <w:rPr>
          <w:rFonts w:ascii="宋体" w:hAnsi="宋体" w:cs="宋体"/>
          <w:color w:val="auto"/>
          <w:sz w:val="24"/>
          <w:highlight w:val="none"/>
        </w:rPr>
      </w:pPr>
      <w:r>
        <w:rPr>
          <w:rFonts w:hint="eastAsia" w:ascii="宋体" w:hAnsi="宋体" w:cs="宋体"/>
          <w:color w:val="auto"/>
          <w:sz w:val="24"/>
          <w:highlight w:val="none"/>
        </w:rPr>
        <w:t>评标基准价 =A×K，K 值在开标时由投标人代表抽取确定，K 值的取值范围为95%、96%、97%、98%。投标人的投标报价与评标基准价相等的得100分，与评标基准价相比较，每上浮1%扣 0.9 分，每下浮1%扣 0.6 分。(不足1%的，采用插入法，得分保留两位小数，第三位四舍五入)</w:t>
      </w:r>
    </w:p>
    <w:p w14:paraId="26300147">
      <w:pPr>
        <w:spacing w:line="360" w:lineRule="auto"/>
        <w:ind w:firstLine="482" w:firstLineChars="200"/>
        <w:rPr>
          <w:rFonts w:ascii="宋体" w:hAnsi="宋体" w:cs="宋体"/>
          <w:b/>
          <w:bCs/>
          <w:color w:val="auto"/>
          <w:sz w:val="24"/>
          <w:highlight w:val="none"/>
        </w:rPr>
      </w:pPr>
      <w:r>
        <w:rPr>
          <w:rFonts w:hint="eastAsia" w:ascii="宋体" w:hAnsi="宋体" w:cs="宋体"/>
          <w:b/>
          <w:bCs/>
          <w:color w:val="auto"/>
          <w:sz w:val="24"/>
          <w:highlight w:val="none"/>
        </w:rPr>
        <w:t>方法二：</w:t>
      </w:r>
    </w:p>
    <w:p w14:paraId="1AADBA7E">
      <w:pPr>
        <w:spacing w:line="360" w:lineRule="auto"/>
        <w:ind w:firstLine="480" w:firstLineChars="200"/>
        <w:rPr>
          <w:rFonts w:ascii="宋体" w:hAnsi="宋体" w:cs="宋体"/>
          <w:color w:val="auto"/>
          <w:sz w:val="24"/>
          <w:highlight w:val="none"/>
        </w:rPr>
      </w:pPr>
      <w:r>
        <w:rPr>
          <w:rFonts w:hint="eastAsia" w:ascii="宋体" w:hAnsi="宋体" w:cs="宋体"/>
          <w:color w:val="auto"/>
          <w:sz w:val="24"/>
          <w:highlight w:val="none"/>
        </w:rPr>
        <w:t>（1）确定有效报价</w:t>
      </w:r>
    </w:p>
    <w:p w14:paraId="15D82202">
      <w:pPr>
        <w:spacing w:line="360" w:lineRule="auto"/>
        <w:ind w:firstLine="480" w:firstLineChars="200"/>
        <w:rPr>
          <w:rFonts w:ascii="宋体" w:hAnsi="宋体" w:cs="宋体"/>
          <w:color w:val="auto"/>
          <w:sz w:val="24"/>
          <w:highlight w:val="none"/>
        </w:rPr>
      </w:pPr>
      <w:r>
        <w:rPr>
          <w:rFonts w:hint="eastAsia" w:ascii="宋体" w:hAnsi="宋体" w:cs="宋体"/>
          <w:color w:val="auto"/>
          <w:sz w:val="24"/>
          <w:highlight w:val="none"/>
        </w:rPr>
        <w:t>有效报价是指投标人投标报价低于或等于招标人设定的招标控制价，投标报价高于招标控制价的为无效报价，作废标处理。</w:t>
      </w:r>
    </w:p>
    <w:p w14:paraId="1F9D5CFA">
      <w:pPr>
        <w:spacing w:line="360" w:lineRule="auto"/>
        <w:ind w:firstLine="480" w:firstLineChars="200"/>
        <w:rPr>
          <w:rFonts w:ascii="宋体" w:hAnsi="宋体" w:cs="宋体"/>
          <w:color w:val="auto"/>
          <w:sz w:val="24"/>
          <w:highlight w:val="none"/>
        </w:rPr>
      </w:pPr>
      <w:r>
        <w:rPr>
          <w:rFonts w:hint="eastAsia" w:ascii="宋体" w:hAnsi="宋体" w:cs="宋体"/>
          <w:color w:val="auto"/>
          <w:sz w:val="24"/>
          <w:highlight w:val="none"/>
        </w:rPr>
        <w:t>无效报价、被宣布为废标的投标报价均不参与评标基准价的计算。</w:t>
      </w:r>
    </w:p>
    <w:p w14:paraId="7304A9C6">
      <w:pPr>
        <w:spacing w:line="360" w:lineRule="auto"/>
        <w:ind w:firstLine="480" w:firstLineChars="200"/>
        <w:rPr>
          <w:rFonts w:ascii="宋体" w:hAnsi="宋体" w:cs="宋体"/>
          <w:color w:val="auto"/>
          <w:sz w:val="24"/>
          <w:highlight w:val="none"/>
        </w:rPr>
      </w:pPr>
      <w:r>
        <w:rPr>
          <w:rFonts w:hint="eastAsia" w:ascii="宋体" w:hAnsi="宋体" w:cs="宋体"/>
          <w:color w:val="auto"/>
          <w:sz w:val="24"/>
          <w:highlight w:val="none"/>
        </w:rPr>
        <w:t>（2）确定评标基准价</w:t>
      </w:r>
    </w:p>
    <w:p w14:paraId="14F211A9">
      <w:pPr>
        <w:spacing w:line="360" w:lineRule="auto"/>
        <w:ind w:firstLine="482" w:firstLineChars="200"/>
        <w:rPr>
          <w:rFonts w:ascii="宋体" w:hAnsi="宋体" w:cs="宋体"/>
          <w:color w:val="auto"/>
          <w:sz w:val="24"/>
          <w:highlight w:val="none"/>
        </w:rPr>
      </w:pPr>
      <w:r>
        <w:rPr>
          <w:rFonts w:hint="eastAsia" w:ascii="宋体" w:hAnsi="宋体" w:cs="宋体"/>
          <w:b/>
          <w:bCs/>
          <w:color w:val="auto"/>
          <w:sz w:val="24"/>
          <w:highlight w:val="none"/>
        </w:rPr>
        <w:t>以有效投标文件的评标价算术平均值为A</w:t>
      </w:r>
      <w:r>
        <w:rPr>
          <w:rFonts w:hint="eastAsia" w:ascii="宋体" w:hAnsi="宋体" w:cs="宋体"/>
          <w:color w:val="auto"/>
          <w:sz w:val="24"/>
          <w:highlight w:val="none"/>
        </w:rPr>
        <w:t xml:space="preserve">（当有效投标文件≥7家时，去掉最高和最低的各20%（四舍五入取整，末位投标价相同的均保留）后进行平均；当有效投标文件4-6家时，剔除最高报价（最高报价相同的均剔除）后进行算术平均；当有效投标文件＜4家时，则次低报价作为投标平均价A），最高投标限价（招标控制价）为B，则: </w:t>
      </w:r>
    </w:p>
    <w:p w14:paraId="259C3645">
      <w:pPr>
        <w:spacing w:line="360" w:lineRule="auto"/>
        <w:ind w:firstLine="480" w:firstLineChars="200"/>
        <w:rPr>
          <w:rFonts w:ascii="宋体" w:hAnsi="宋体" w:cs="宋体"/>
          <w:color w:val="auto"/>
          <w:sz w:val="24"/>
          <w:highlight w:val="none"/>
        </w:rPr>
      </w:pPr>
      <w:r>
        <w:rPr>
          <w:rFonts w:hint="eastAsia" w:ascii="宋体" w:hAnsi="宋体" w:cs="宋体"/>
          <w:color w:val="auto"/>
          <w:sz w:val="24"/>
          <w:highlight w:val="none"/>
        </w:rPr>
        <w:t>评标基准价 =A×K1×Q1+B×K2×Q2</w:t>
      </w:r>
    </w:p>
    <w:p w14:paraId="74DABF8B">
      <w:pPr>
        <w:spacing w:line="360" w:lineRule="auto"/>
        <w:ind w:firstLine="480" w:firstLineChars="200"/>
        <w:rPr>
          <w:rFonts w:ascii="宋体" w:hAnsi="宋体" w:cs="宋体"/>
          <w:color w:val="auto"/>
          <w:sz w:val="24"/>
          <w:highlight w:val="none"/>
        </w:rPr>
      </w:pPr>
      <w:r>
        <w:rPr>
          <w:rFonts w:hint="eastAsia" w:ascii="宋体" w:hAnsi="宋体" w:cs="宋体"/>
          <w:color w:val="auto"/>
          <w:sz w:val="24"/>
          <w:highlight w:val="none"/>
        </w:rPr>
        <w:t>Q2=1-Q1, Q1的取值范围为65%、70%、75%、80%、85%；K1的取值范围为95%、96%、97%、98%；K2的取值为88%；Q1、K1 值在开标时由投标人代表抽取确定。投标人的投标报价与评标基准价相等的得100分，与评标基准价相比较，每上浮1%扣 0.9分，每下浮1%扣0.6分。(不足1%的，采用插入法，得分保留两位小数，第三位四舍五入)。</w:t>
      </w:r>
    </w:p>
    <w:p w14:paraId="06F32678">
      <w:pPr>
        <w:spacing w:line="360" w:lineRule="auto"/>
        <w:rPr>
          <w:rFonts w:ascii="宋体" w:hAnsi="宋体" w:cs="宋体"/>
          <w:color w:val="auto"/>
          <w:sz w:val="24"/>
          <w:highlight w:val="none"/>
        </w:rPr>
      </w:pPr>
      <w:r>
        <w:rPr>
          <w:rFonts w:hint="eastAsia" w:ascii="宋体" w:hAnsi="宋体" w:cs="宋体"/>
          <w:color w:val="auto"/>
          <w:sz w:val="24"/>
          <w:highlight w:val="none"/>
        </w:rPr>
        <w:t xml:space="preserve">     注：评标委员会在评标报告签字后，评标基准价不因招投标当事人质疑、投诉、复议以及其他任何情形而改变，但评标过程中的计算错误可作调整。</w:t>
      </w:r>
    </w:p>
    <w:p w14:paraId="39177D85">
      <w:pPr>
        <w:spacing w:line="360" w:lineRule="auto"/>
        <w:rPr>
          <w:rFonts w:ascii="宋体" w:hAnsi="宋体" w:cs="宋体"/>
          <w:b/>
          <w:bCs/>
          <w:color w:val="auto"/>
          <w:sz w:val="24"/>
          <w:highlight w:val="none"/>
        </w:rPr>
      </w:pPr>
      <w:r>
        <w:rPr>
          <w:rFonts w:hint="eastAsia" w:ascii="宋体" w:hAnsi="宋体" w:cs="宋体"/>
          <w:color w:val="auto"/>
          <w:sz w:val="24"/>
          <w:highlight w:val="none"/>
        </w:rPr>
        <w:t xml:space="preserve">   </w:t>
      </w:r>
      <w:r>
        <w:rPr>
          <w:rFonts w:hint="eastAsia" w:ascii="宋体" w:hAnsi="宋体" w:cs="宋体"/>
          <w:b/>
          <w:color w:val="auto"/>
          <w:sz w:val="24"/>
          <w:highlight w:val="none"/>
        </w:rPr>
        <w:t xml:space="preserve">  3、</w:t>
      </w:r>
      <w:r>
        <w:rPr>
          <w:rFonts w:hint="eastAsia" w:ascii="宋体" w:hAnsi="宋体" w:cs="宋体"/>
          <w:b/>
          <w:bCs/>
          <w:color w:val="auto"/>
          <w:sz w:val="24"/>
          <w:highlight w:val="none"/>
        </w:rPr>
        <w:t>评标委员会按照各投标人的投标报价，按得分从高到低的顺序确定前三名中标候选人，中标价为其投标报价。若投标报价得分相同，则投标报价低者优先；若投标报价仍相同，则采取由招标人代表现场随机抽签的方式确定最终的中标候选人。</w:t>
      </w:r>
    </w:p>
    <w:p w14:paraId="55372C6F">
      <w:pPr>
        <w:spacing w:line="360" w:lineRule="auto"/>
        <w:ind w:firstLine="482" w:firstLineChars="200"/>
        <w:rPr>
          <w:rFonts w:ascii="宋体" w:hAnsi="宋体" w:cs="宋体"/>
          <w:b/>
          <w:bCs/>
          <w:color w:val="auto"/>
          <w:sz w:val="24"/>
          <w:highlight w:val="none"/>
        </w:rPr>
      </w:pPr>
      <w:r>
        <w:rPr>
          <w:rFonts w:hint="eastAsia" w:ascii="宋体" w:hAnsi="宋体" w:cs="宋体"/>
          <w:b/>
          <w:bCs/>
          <w:color w:val="auto"/>
          <w:sz w:val="24"/>
          <w:highlight w:val="none"/>
        </w:rPr>
        <w:t>本工程第一中标候选人原则上为中标人。当排名第一的中标候选人放弃中标、因不可抗力不能履行合同、不按照招标文件要求提交履约保证金，或者被查实存在影响中标结果的违法行为等情形，不符合中标条件的，招标人可以按照评标委员会提出的中标候选人名单排序依次确定其他中标候选人为中标人，也可以重新招标。</w:t>
      </w:r>
    </w:p>
    <w:p w14:paraId="4EF89E2B">
      <w:pPr>
        <w:spacing w:line="360" w:lineRule="auto"/>
        <w:ind w:firstLine="482" w:firstLineChars="200"/>
        <w:rPr>
          <w:rFonts w:ascii="宋体" w:hAnsi="宋体" w:cs="宋体"/>
          <w:b/>
          <w:bCs/>
          <w:color w:val="auto"/>
          <w:sz w:val="24"/>
          <w:highlight w:val="none"/>
        </w:rPr>
      </w:pPr>
      <w:r>
        <w:rPr>
          <w:rFonts w:hint="eastAsia" w:ascii="宋体" w:hAnsi="宋体" w:cs="宋体"/>
          <w:b/>
          <w:bCs/>
          <w:color w:val="auto"/>
          <w:sz w:val="24"/>
          <w:highlight w:val="none"/>
        </w:rPr>
        <w:t>4、评标过程中出现本评标办法未尽事宜，由评标委员会根据有关法律、法规讨论决定。</w:t>
      </w:r>
    </w:p>
    <w:p w14:paraId="32D8B49C">
      <w:pPr>
        <w:pStyle w:val="15"/>
        <w:rPr>
          <w:rFonts w:ascii="宋体" w:hAnsi="宋体" w:cs="宋体"/>
          <w:color w:val="auto"/>
          <w:sz w:val="24"/>
          <w:szCs w:val="24"/>
          <w:highlight w:val="none"/>
        </w:rPr>
      </w:pPr>
    </w:p>
    <w:p w14:paraId="3E95881C">
      <w:pPr>
        <w:keepNext/>
        <w:keepLines/>
        <w:spacing w:line="360" w:lineRule="auto"/>
        <w:jc w:val="left"/>
        <w:outlineLvl w:val="0"/>
        <w:rPr>
          <w:rFonts w:ascii="宋体" w:hAnsi="宋体" w:cs="宋体"/>
          <w:b/>
          <w:bCs/>
          <w:color w:val="auto"/>
          <w:kern w:val="44"/>
          <w:szCs w:val="21"/>
          <w:highlight w:val="none"/>
        </w:rPr>
      </w:pPr>
      <w:r>
        <w:rPr>
          <w:rFonts w:hint="eastAsia" w:ascii="宋体" w:hAnsi="宋体" w:cs="宋体"/>
          <w:b/>
          <w:bCs/>
          <w:color w:val="auto"/>
          <w:kern w:val="44"/>
          <w:szCs w:val="21"/>
          <w:highlight w:val="none"/>
        </w:rPr>
        <w:t>附件1《省住房和城乡建设厅关于我省二级建造师、二级造价工程师、二级注册建筑师、二级注册结构工程师注册证书电子证照换发的公告》（〔2023〕第26号）</w:t>
      </w:r>
    </w:p>
    <w:p w14:paraId="09935FEF">
      <w:pPr>
        <w:widowControl/>
        <w:shd w:val="clear" w:color="auto" w:fill="FFFFFF"/>
        <w:spacing w:before="100" w:beforeAutospacing="1" w:after="100" w:afterAutospacing="1" w:line="360" w:lineRule="auto"/>
        <w:jc w:val="center"/>
        <w:rPr>
          <w:rFonts w:ascii="宋体" w:hAnsi="宋体" w:cs="宋体"/>
          <w:color w:val="auto"/>
          <w:kern w:val="0"/>
          <w:sz w:val="24"/>
          <w:highlight w:val="none"/>
        </w:rPr>
      </w:pPr>
      <w:r>
        <w:rPr>
          <w:rFonts w:hint="eastAsia" w:ascii="宋体" w:hAnsi="宋体" w:cs="宋体"/>
          <w:color w:val="auto"/>
          <w:kern w:val="0"/>
          <w:sz w:val="24"/>
          <w:highlight w:val="none"/>
        </w:rPr>
        <w:drawing>
          <wp:anchor distT="0" distB="0" distL="114300" distR="114300" simplePos="0" relativeHeight="251660288" behindDoc="0" locked="0" layoutInCell="1" allowOverlap="1">
            <wp:simplePos x="0" y="0"/>
            <wp:positionH relativeFrom="column">
              <wp:posOffset>-69850</wp:posOffset>
            </wp:positionH>
            <wp:positionV relativeFrom="paragraph">
              <wp:posOffset>125095</wp:posOffset>
            </wp:positionV>
            <wp:extent cx="5756275" cy="3969385"/>
            <wp:effectExtent l="0" t="0" r="15875" b="12065"/>
            <wp:wrapNone/>
            <wp:docPr id="12"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图片 2"/>
                    <pic:cNvPicPr>
                      <a:picLocks noChangeAspect="1"/>
                    </pic:cNvPicPr>
                  </pic:nvPicPr>
                  <pic:blipFill>
                    <a:blip r:embed="rId8"/>
                    <a:stretch>
                      <a:fillRect/>
                    </a:stretch>
                  </pic:blipFill>
                  <pic:spPr>
                    <a:xfrm>
                      <a:off x="0" y="0"/>
                      <a:ext cx="5756275" cy="3969385"/>
                    </a:xfrm>
                    <a:prstGeom prst="rect">
                      <a:avLst/>
                    </a:prstGeom>
                    <a:noFill/>
                    <a:ln>
                      <a:noFill/>
                    </a:ln>
                  </pic:spPr>
                </pic:pic>
              </a:graphicData>
            </a:graphic>
          </wp:anchor>
        </w:drawing>
      </w:r>
    </w:p>
    <w:p w14:paraId="75D40B6B">
      <w:pPr>
        <w:widowControl/>
        <w:shd w:val="clear" w:color="auto" w:fill="FFFFFF"/>
        <w:spacing w:before="100" w:beforeAutospacing="1" w:after="100" w:afterAutospacing="1" w:line="360" w:lineRule="auto"/>
        <w:jc w:val="left"/>
        <w:rPr>
          <w:rFonts w:ascii="宋体" w:hAnsi="宋体" w:cs="宋体"/>
          <w:color w:val="auto"/>
          <w:kern w:val="0"/>
          <w:sz w:val="24"/>
          <w:highlight w:val="none"/>
        </w:rPr>
      </w:pPr>
    </w:p>
    <w:p w14:paraId="62C6FF88">
      <w:pPr>
        <w:widowControl/>
        <w:shd w:val="clear" w:color="auto" w:fill="FFFFFF"/>
        <w:spacing w:before="100" w:beforeAutospacing="1" w:after="100" w:afterAutospacing="1" w:line="360" w:lineRule="auto"/>
        <w:jc w:val="left"/>
        <w:rPr>
          <w:rFonts w:ascii="宋体" w:hAnsi="宋体" w:cs="宋体"/>
          <w:color w:val="auto"/>
          <w:kern w:val="0"/>
          <w:sz w:val="24"/>
          <w:szCs w:val="21"/>
          <w:highlight w:val="none"/>
        </w:rPr>
      </w:pPr>
    </w:p>
    <w:p w14:paraId="0745E165">
      <w:pPr>
        <w:widowControl/>
        <w:shd w:val="clear" w:color="auto" w:fill="FFFFFF"/>
        <w:spacing w:before="100" w:beforeAutospacing="1" w:after="100" w:afterAutospacing="1" w:line="360" w:lineRule="auto"/>
        <w:jc w:val="left"/>
        <w:rPr>
          <w:rFonts w:ascii="宋体" w:hAnsi="宋体" w:cs="宋体"/>
          <w:color w:val="auto"/>
          <w:kern w:val="0"/>
          <w:sz w:val="24"/>
          <w:szCs w:val="21"/>
          <w:highlight w:val="none"/>
        </w:rPr>
      </w:pPr>
    </w:p>
    <w:p w14:paraId="1EE4A321">
      <w:pPr>
        <w:widowControl/>
        <w:shd w:val="clear" w:color="auto" w:fill="FFFFFF"/>
        <w:spacing w:before="100" w:beforeAutospacing="1" w:after="100" w:afterAutospacing="1" w:line="360" w:lineRule="auto"/>
        <w:jc w:val="left"/>
        <w:rPr>
          <w:rFonts w:ascii="宋体" w:hAnsi="宋体" w:cs="宋体"/>
          <w:color w:val="auto"/>
          <w:kern w:val="0"/>
          <w:sz w:val="24"/>
          <w:szCs w:val="21"/>
          <w:highlight w:val="none"/>
        </w:rPr>
      </w:pPr>
    </w:p>
    <w:p w14:paraId="4452EEBF">
      <w:pPr>
        <w:widowControl/>
        <w:shd w:val="clear" w:color="auto" w:fill="FFFFFF"/>
        <w:spacing w:before="100" w:beforeAutospacing="1" w:after="100" w:afterAutospacing="1" w:line="360" w:lineRule="auto"/>
        <w:jc w:val="left"/>
        <w:rPr>
          <w:rFonts w:ascii="宋体" w:hAnsi="宋体" w:cs="宋体"/>
          <w:color w:val="auto"/>
          <w:kern w:val="0"/>
          <w:sz w:val="24"/>
          <w:szCs w:val="21"/>
          <w:highlight w:val="none"/>
        </w:rPr>
      </w:pPr>
    </w:p>
    <w:p w14:paraId="3C9DF359">
      <w:pPr>
        <w:widowControl/>
        <w:shd w:val="clear" w:color="auto" w:fill="FFFFFF"/>
        <w:spacing w:before="100" w:beforeAutospacing="1" w:after="100" w:afterAutospacing="1" w:line="360" w:lineRule="auto"/>
        <w:jc w:val="left"/>
        <w:rPr>
          <w:rFonts w:ascii="宋体" w:hAnsi="宋体" w:cs="宋体"/>
          <w:color w:val="auto"/>
          <w:kern w:val="0"/>
          <w:sz w:val="24"/>
          <w:szCs w:val="21"/>
          <w:highlight w:val="none"/>
        </w:rPr>
      </w:pPr>
    </w:p>
    <w:p w14:paraId="128D6EA2">
      <w:pPr>
        <w:widowControl/>
        <w:shd w:val="clear" w:color="auto" w:fill="FFFFFF"/>
        <w:spacing w:before="100" w:beforeAutospacing="1" w:after="100" w:afterAutospacing="1" w:line="360" w:lineRule="auto"/>
        <w:jc w:val="left"/>
        <w:rPr>
          <w:rFonts w:ascii="宋体" w:hAnsi="宋体" w:cs="宋体"/>
          <w:color w:val="auto"/>
          <w:kern w:val="0"/>
          <w:sz w:val="24"/>
          <w:szCs w:val="21"/>
          <w:highlight w:val="none"/>
        </w:rPr>
      </w:pPr>
    </w:p>
    <w:p w14:paraId="56D9F366">
      <w:pPr>
        <w:widowControl/>
        <w:shd w:val="clear" w:color="auto" w:fill="FFFFFF"/>
        <w:spacing w:before="100" w:beforeAutospacing="1" w:after="100" w:afterAutospacing="1" w:line="360" w:lineRule="auto"/>
        <w:jc w:val="left"/>
        <w:rPr>
          <w:rFonts w:ascii="宋体" w:hAnsi="宋体" w:cs="宋体"/>
          <w:color w:val="auto"/>
          <w:kern w:val="0"/>
          <w:sz w:val="24"/>
          <w:szCs w:val="21"/>
          <w:highlight w:val="none"/>
        </w:rPr>
      </w:pPr>
    </w:p>
    <w:p w14:paraId="025B72E4">
      <w:pPr>
        <w:widowControl/>
        <w:shd w:val="clear" w:color="auto" w:fill="FFFFFF"/>
        <w:spacing w:before="100" w:beforeAutospacing="1" w:after="100" w:afterAutospacing="1" w:line="360" w:lineRule="auto"/>
        <w:jc w:val="left"/>
        <w:rPr>
          <w:rFonts w:ascii="宋体" w:hAnsi="宋体" w:cs="宋体"/>
          <w:color w:val="auto"/>
          <w:kern w:val="0"/>
          <w:sz w:val="24"/>
          <w:szCs w:val="21"/>
          <w:highlight w:val="none"/>
        </w:rPr>
      </w:pPr>
    </w:p>
    <w:p w14:paraId="09533859">
      <w:pPr>
        <w:spacing w:line="360" w:lineRule="auto"/>
        <w:ind w:firstLine="420" w:firstLineChars="200"/>
        <w:contextualSpacing/>
        <w:rPr>
          <w:rFonts w:ascii="宋体" w:hAnsi="宋体" w:cs="宋体"/>
          <w:color w:val="auto"/>
          <w:szCs w:val="21"/>
          <w:highlight w:val="none"/>
        </w:rPr>
      </w:pPr>
    </w:p>
    <w:p w14:paraId="58A5658E">
      <w:pPr>
        <w:spacing w:line="360" w:lineRule="auto"/>
        <w:ind w:firstLine="420" w:firstLineChars="200"/>
        <w:contextualSpacing/>
        <w:rPr>
          <w:rFonts w:ascii="宋体" w:hAnsi="宋体" w:cs="宋体"/>
          <w:color w:val="auto"/>
          <w:szCs w:val="21"/>
          <w:highlight w:val="none"/>
        </w:rPr>
      </w:pPr>
      <w:r>
        <w:rPr>
          <w:rFonts w:hint="eastAsia" w:ascii="宋体" w:hAnsi="宋体" w:cs="宋体"/>
          <w:color w:val="auto"/>
          <w:szCs w:val="21"/>
          <w:highlight w:val="none"/>
        </w:rPr>
        <w:t>网址：</w:t>
      </w:r>
    </w:p>
    <w:p w14:paraId="5C35E466">
      <w:pPr>
        <w:spacing w:line="360" w:lineRule="auto"/>
        <w:ind w:firstLine="420" w:firstLineChars="200"/>
        <w:contextualSpacing/>
        <w:rPr>
          <w:rFonts w:ascii="宋体" w:hAnsi="宋体" w:cs="宋体"/>
          <w:color w:val="auto"/>
          <w:szCs w:val="21"/>
          <w:highlight w:val="none"/>
        </w:rPr>
      </w:pPr>
      <w:r>
        <w:rPr>
          <w:rFonts w:hint="eastAsia" w:ascii="宋体" w:hAnsi="宋体" w:cs="宋体"/>
          <w:color w:val="auto"/>
          <w:szCs w:val="21"/>
          <w:highlight w:val="none"/>
        </w:rPr>
        <w:t>https://www.mohurd.gov.cn/gongkai/fdzdgknr/zfhcxjsbwj/202109/20210926_762262.html</w:t>
      </w:r>
    </w:p>
    <w:p w14:paraId="1A87F639">
      <w:pPr>
        <w:widowControl/>
        <w:shd w:val="clear" w:color="auto" w:fill="FFFFFF"/>
        <w:spacing w:before="100" w:beforeAutospacing="1" w:after="100" w:afterAutospacing="1" w:line="360" w:lineRule="auto"/>
        <w:jc w:val="left"/>
        <w:rPr>
          <w:rFonts w:ascii="宋体" w:hAnsi="宋体" w:cs="宋体"/>
          <w:color w:val="auto"/>
          <w:kern w:val="0"/>
          <w:sz w:val="24"/>
          <w:highlight w:val="none"/>
        </w:rPr>
      </w:pPr>
      <w:r>
        <w:rPr>
          <w:rFonts w:hint="eastAsia" w:ascii="宋体" w:hAnsi="宋体" w:cs="宋体"/>
          <w:color w:val="auto"/>
          <w:kern w:val="0"/>
          <w:sz w:val="24"/>
          <w:highlight w:val="none"/>
        </w:rPr>
        <w:t> </w:t>
      </w:r>
    </w:p>
    <w:p w14:paraId="6CFDA206">
      <w:pPr>
        <w:spacing w:line="360" w:lineRule="auto"/>
        <w:contextualSpacing/>
        <w:jc w:val="center"/>
        <w:rPr>
          <w:rFonts w:ascii="宋体" w:hAnsi="宋体" w:cs="宋体"/>
          <w:color w:val="auto"/>
          <w:highlight w:val="none"/>
        </w:rPr>
      </w:pPr>
      <w:r>
        <w:rPr>
          <w:rFonts w:hint="eastAsia" w:ascii="宋体" w:hAnsi="宋体" w:cs="宋体"/>
          <w:color w:val="auto"/>
          <w:highlight w:val="none"/>
        </w:rPr>
        <w:br w:type="page"/>
      </w:r>
      <w:r>
        <w:rPr>
          <w:rFonts w:hint="eastAsia" w:ascii="宋体" w:hAnsi="宋体" w:cs="宋体"/>
          <w:b/>
          <w:bCs/>
          <w:color w:val="auto"/>
          <w:sz w:val="28"/>
          <w:szCs w:val="28"/>
          <w:highlight w:val="none"/>
        </w:rPr>
        <w:t>省住房和城乡建设厅关于我省二级建造师、二级造价工程师、二级注册建筑师、二级注册结构工程师注册证书电子证照换发的公告</w:t>
      </w:r>
    </w:p>
    <w:p w14:paraId="593DBEA8">
      <w:pPr>
        <w:spacing w:line="360" w:lineRule="auto"/>
        <w:contextualSpacing/>
        <w:jc w:val="center"/>
        <w:rPr>
          <w:rFonts w:ascii="宋体" w:hAnsi="宋体" w:cs="宋体"/>
          <w:b/>
          <w:bCs/>
          <w:color w:val="auto"/>
          <w:sz w:val="28"/>
          <w:szCs w:val="28"/>
          <w:highlight w:val="none"/>
        </w:rPr>
      </w:pPr>
      <w:r>
        <w:rPr>
          <w:rFonts w:hint="eastAsia" w:ascii="宋体" w:hAnsi="宋体" w:cs="宋体"/>
          <w:b/>
          <w:bCs/>
          <w:color w:val="auto"/>
          <w:sz w:val="28"/>
          <w:szCs w:val="28"/>
          <w:highlight w:val="none"/>
        </w:rPr>
        <w:t>〔2023〕第26号</w:t>
      </w:r>
    </w:p>
    <w:p w14:paraId="30C82440">
      <w:pPr>
        <w:spacing w:line="360" w:lineRule="auto"/>
        <w:ind w:firstLine="420" w:firstLineChars="200"/>
        <w:contextualSpacing/>
        <w:rPr>
          <w:rFonts w:ascii="宋体" w:hAnsi="宋体" w:cs="宋体"/>
          <w:color w:val="auto"/>
          <w:szCs w:val="21"/>
          <w:highlight w:val="none"/>
        </w:rPr>
      </w:pPr>
    </w:p>
    <w:p w14:paraId="09237056">
      <w:pPr>
        <w:spacing w:line="360" w:lineRule="auto"/>
        <w:ind w:firstLine="420" w:firstLineChars="200"/>
        <w:contextualSpacing/>
        <w:rPr>
          <w:rFonts w:ascii="宋体" w:hAnsi="宋体" w:cs="宋体"/>
          <w:color w:val="auto"/>
          <w:szCs w:val="21"/>
          <w:highlight w:val="none"/>
        </w:rPr>
      </w:pPr>
      <w:r>
        <w:rPr>
          <w:rFonts w:hint="eastAsia" w:ascii="宋体" w:hAnsi="宋体" w:cs="宋体"/>
          <w:color w:val="auto"/>
          <w:szCs w:val="21"/>
          <w:highlight w:val="none"/>
        </w:rPr>
        <w:t>根据国务院办公厅电子政务办公室、住房和城乡建设部发布的《全国一体化政务服务平台标准》要求，经研究决定，对我省核发的二级建造师、二级造价工程师、二级注册建筑师、二级注册结构工程师四类注册证书电子证照进行换发。现公告如下：</w:t>
      </w:r>
    </w:p>
    <w:p w14:paraId="2F9958DA">
      <w:pPr>
        <w:spacing w:line="360" w:lineRule="auto"/>
        <w:ind w:firstLine="420" w:firstLineChars="200"/>
        <w:contextualSpacing/>
        <w:rPr>
          <w:rFonts w:ascii="宋体" w:hAnsi="宋体" w:cs="宋体"/>
          <w:color w:val="auto"/>
          <w:szCs w:val="21"/>
          <w:highlight w:val="none"/>
        </w:rPr>
      </w:pPr>
      <w:r>
        <w:rPr>
          <w:rFonts w:hint="eastAsia" w:ascii="宋体" w:hAnsi="宋体" w:cs="宋体"/>
          <w:color w:val="auto"/>
          <w:szCs w:val="21"/>
          <w:highlight w:val="none"/>
        </w:rPr>
        <w:t>  一、换发时间</w:t>
      </w:r>
    </w:p>
    <w:p w14:paraId="28F27338">
      <w:pPr>
        <w:spacing w:line="360" w:lineRule="auto"/>
        <w:ind w:firstLine="420" w:firstLineChars="200"/>
        <w:contextualSpacing/>
        <w:rPr>
          <w:rFonts w:ascii="宋体" w:hAnsi="宋体" w:cs="宋体"/>
          <w:color w:val="auto"/>
          <w:szCs w:val="21"/>
          <w:highlight w:val="none"/>
        </w:rPr>
      </w:pPr>
      <w:r>
        <w:rPr>
          <w:rFonts w:hint="eastAsia" w:ascii="宋体" w:hAnsi="宋体" w:cs="宋体"/>
          <w:color w:val="auto"/>
          <w:szCs w:val="21"/>
          <w:highlight w:val="none"/>
        </w:rPr>
        <w:t>  自2023年12月10日起，核准新办业务申报的，将发放新版电子证照。旧版电子证照由厅综合服务平台自动逐步换发新版电子证照（样式详见附件），换发时间截止2024年3月9日。换发期后，旧版电子证照停止使用。</w:t>
      </w:r>
    </w:p>
    <w:p w14:paraId="783B04E1">
      <w:pPr>
        <w:spacing w:line="360" w:lineRule="auto"/>
        <w:ind w:firstLine="420" w:firstLineChars="200"/>
        <w:contextualSpacing/>
        <w:rPr>
          <w:rFonts w:ascii="宋体" w:hAnsi="宋体" w:cs="宋体"/>
          <w:color w:val="auto"/>
          <w:szCs w:val="21"/>
          <w:highlight w:val="none"/>
        </w:rPr>
      </w:pPr>
      <w:r>
        <w:rPr>
          <w:rFonts w:hint="eastAsia" w:ascii="宋体" w:hAnsi="宋体" w:cs="宋体"/>
          <w:color w:val="auto"/>
          <w:szCs w:val="21"/>
          <w:highlight w:val="none"/>
        </w:rPr>
        <w:t>  二、新版电子证照下载及核验方法</w:t>
      </w:r>
    </w:p>
    <w:p w14:paraId="0B372E44">
      <w:pPr>
        <w:spacing w:line="360" w:lineRule="auto"/>
        <w:ind w:firstLine="420" w:firstLineChars="200"/>
        <w:contextualSpacing/>
        <w:rPr>
          <w:rFonts w:ascii="宋体" w:hAnsi="宋体" w:cs="宋体"/>
          <w:color w:val="auto"/>
          <w:szCs w:val="21"/>
          <w:highlight w:val="none"/>
        </w:rPr>
      </w:pPr>
      <w:r>
        <w:rPr>
          <w:rFonts w:hint="eastAsia" w:ascii="宋体" w:hAnsi="宋体" w:cs="宋体"/>
          <w:color w:val="auto"/>
          <w:szCs w:val="21"/>
          <w:highlight w:val="none"/>
        </w:rPr>
        <w:t>  证书持有者登录“江苏政务服务网→综合旗舰店→省住房和城乡建设厅旗舰店→证照查询→注册类人员证书”自行查询或下载。企业及各行政管理部门可通过上述方式，或扫描电子证照二维码进行核验。</w:t>
      </w:r>
    </w:p>
    <w:p w14:paraId="5EF6AA5D">
      <w:pPr>
        <w:spacing w:line="360" w:lineRule="auto"/>
        <w:ind w:firstLine="420" w:firstLineChars="200"/>
        <w:contextualSpacing/>
        <w:rPr>
          <w:rFonts w:ascii="宋体" w:hAnsi="宋体" w:cs="宋体"/>
          <w:color w:val="auto"/>
          <w:szCs w:val="21"/>
          <w:highlight w:val="none"/>
        </w:rPr>
      </w:pPr>
      <w:r>
        <w:rPr>
          <w:rFonts w:hint="eastAsia" w:ascii="宋体" w:hAnsi="宋体" w:cs="宋体"/>
          <w:color w:val="auto"/>
          <w:szCs w:val="21"/>
          <w:highlight w:val="none"/>
        </w:rPr>
        <w:t>  三、其他说明</w:t>
      </w:r>
    </w:p>
    <w:p w14:paraId="37F28C73">
      <w:pPr>
        <w:spacing w:line="360" w:lineRule="auto"/>
        <w:ind w:firstLine="420" w:firstLineChars="200"/>
        <w:contextualSpacing/>
        <w:rPr>
          <w:rFonts w:ascii="宋体" w:hAnsi="宋体" w:cs="宋体"/>
          <w:color w:val="auto"/>
          <w:szCs w:val="21"/>
          <w:highlight w:val="none"/>
        </w:rPr>
      </w:pPr>
      <w:r>
        <w:rPr>
          <w:rFonts w:hint="eastAsia" w:ascii="宋体" w:hAnsi="宋体" w:cs="宋体"/>
          <w:color w:val="auto"/>
          <w:szCs w:val="21"/>
          <w:highlight w:val="none"/>
        </w:rPr>
        <w:t>  电子证书换发期内，为保障注册证书持有者相关权益，尚在有效期内的旧版电子证照与新版电子证照具有同等效力，证书查验方式不变（不支持二维码核验）。</w:t>
      </w:r>
    </w:p>
    <w:p w14:paraId="6F02E95F">
      <w:pPr>
        <w:spacing w:line="360" w:lineRule="auto"/>
        <w:ind w:firstLine="420" w:firstLineChars="200"/>
        <w:contextualSpacing/>
        <w:rPr>
          <w:rFonts w:ascii="宋体" w:hAnsi="宋体" w:cs="宋体"/>
          <w:color w:val="auto"/>
          <w:szCs w:val="21"/>
          <w:highlight w:val="none"/>
        </w:rPr>
      </w:pPr>
    </w:p>
    <w:p w14:paraId="5DBFDA4B">
      <w:pPr>
        <w:spacing w:line="360" w:lineRule="auto"/>
        <w:ind w:firstLine="420" w:firstLineChars="200"/>
        <w:contextualSpacing/>
        <w:rPr>
          <w:rFonts w:ascii="宋体" w:hAnsi="宋体" w:cs="宋体"/>
          <w:color w:val="auto"/>
          <w:szCs w:val="21"/>
          <w:highlight w:val="none"/>
        </w:rPr>
      </w:pPr>
      <w:r>
        <w:rPr>
          <w:rFonts w:hint="eastAsia" w:ascii="宋体" w:hAnsi="宋体" w:cs="宋体"/>
          <w:color w:val="auto"/>
          <w:szCs w:val="21"/>
          <w:highlight w:val="none"/>
        </w:rPr>
        <w:t xml:space="preserve">  </w:t>
      </w:r>
      <w:r>
        <w:rPr>
          <w:color w:val="auto"/>
          <w:highlight w:val="none"/>
        </w:rPr>
        <w:fldChar w:fldCharType="begin"/>
      </w:r>
      <w:r>
        <w:rPr>
          <w:color w:val="auto"/>
          <w:highlight w:val="none"/>
        </w:rPr>
        <w:instrText xml:space="preserve"> HYPERLINK "http://jsszfhcxjst.jiangsu.gov.cn/module/download/downfile.jsp?classid=0&amp;filename=45ad3d1d13214fc398cd8b5ee10bfa86.docx" </w:instrText>
      </w:r>
      <w:r>
        <w:rPr>
          <w:color w:val="auto"/>
          <w:highlight w:val="none"/>
        </w:rPr>
        <w:fldChar w:fldCharType="separate"/>
      </w:r>
      <w:r>
        <w:rPr>
          <w:rFonts w:hint="eastAsia" w:ascii="宋体" w:hAnsi="宋体" w:cs="宋体"/>
          <w:color w:val="auto"/>
          <w:szCs w:val="21"/>
          <w:highlight w:val="none"/>
        </w:rPr>
        <w:fldChar w:fldCharType="begin"/>
      </w:r>
      <w:r>
        <w:rPr>
          <w:rFonts w:hint="eastAsia" w:ascii="宋体" w:hAnsi="宋体" w:cs="宋体"/>
          <w:color w:val="auto"/>
          <w:szCs w:val="21"/>
          <w:highlight w:val="none"/>
        </w:rPr>
        <w:instrText xml:space="preserve"> INCLUDEPICTURE "http://jsszfhcxjst.jiangsu.gov.cn/module/jslib/icons/word.png" \* MERGEFORMATINET </w:instrText>
      </w:r>
      <w:r>
        <w:rPr>
          <w:rFonts w:hint="eastAsia" w:ascii="宋体" w:hAnsi="宋体" w:cs="宋体"/>
          <w:color w:val="auto"/>
          <w:szCs w:val="21"/>
          <w:highlight w:val="none"/>
        </w:rPr>
        <w:fldChar w:fldCharType="separate"/>
      </w:r>
      <w:r>
        <w:rPr>
          <w:rFonts w:hint="eastAsia" w:ascii="宋体" w:hAnsi="宋体" w:cs="宋体"/>
          <w:color w:val="auto"/>
          <w:szCs w:val="21"/>
          <w:highlight w:val="none"/>
        </w:rPr>
        <w:drawing>
          <wp:inline distT="0" distB="0" distL="114300" distR="114300">
            <wp:extent cx="153670" cy="153670"/>
            <wp:effectExtent l="0" t="0" r="17780" b="17780"/>
            <wp:docPr id="11" name="图片 1" descr="wor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图片 1" descr="word"/>
                    <pic:cNvPicPr>
                      <a:picLocks noChangeAspect="1"/>
                    </pic:cNvPicPr>
                  </pic:nvPicPr>
                  <pic:blipFill>
                    <a:blip r:embed="rId9"/>
                    <a:stretch>
                      <a:fillRect/>
                    </a:stretch>
                  </pic:blipFill>
                  <pic:spPr>
                    <a:xfrm>
                      <a:off x="0" y="0"/>
                      <a:ext cx="153670" cy="153670"/>
                    </a:xfrm>
                    <a:prstGeom prst="rect">
                      <a:avLst/>
                    </a:prstGeom>
                    <a:noFill/>
                    <a:ln>
                      <a:noFill/>
                    </a:ln>
                  </pic:spPr>
                </pic:pic>
              </a:graphicData>
            </a:graphic>
          </wp:inline>
        </w:drawing>
      </w:r>
      <w:r>
        <w:rPr>
          <w:rFonts w:hint="eastAsia" w:ascii="宋体" w:hAnsi="宋体" w:cs="宋体"/>
          <w:color w:val="auto"/>
          <w:szCs w:val="21"/>
          <w:highlight w:val="none"/>
        </w:rPr>
        <w:fldChar w:fldCharType="end"/>
      </w:r>
      <w:r>
        <w:rPr>
          <w:rFonts w:hint="eastAsia" w:ascii="宋体" w:hAnsi="宋体" w:cs="宋体"/>
          <w:color w:val="auto"/>
          <w:szCs w:val="21"/>
          <w:highlight w:val="none"/>
        </w:rPr>
        <w:t>附件：二级建造师注册证书、二级造价工程师注册证书、二级注册建筑师注册证书、二级注册结构工程师注册证书电子证照样式.docx</w:t>
      </w:r>
      <w:r>
        <w:rPr>
          <w:rFonts w:hint="eastAsia" w:ascii="宋体" w:hAnsi="宋体" w:cs="宋体"/>
          <w:color w:val="auto"/>
          <w:szCs w:val="21"/>
          <w:highlight w:val="none"/>
        </w:rPr>
        <w:fldChar w:fldCharType="end"/>
      </w:r>
    </w:p>
    <w:p w14:paraId="242667F5">
      <w:pPr>
        <w:widowControl/>
        <w:shd w:val="clear" w:color="auto" w:fill="FFFFFF"/>
        <w:spacing w:before="100" w:beforeAutospacing="1" w:after="100" w:afterAutospacing="1" w:line="360" w:lineRule="auto"/>
        <w:contextualSpacing/>
        <w:jc w:val="left"/>
        <w:rPr>
          <w:rFonts w:ascii="宋体" w:hAnsi="宋体" w:cs="宋体"/>
          <w:color w:val="auto"/>
          <w:kern w:val="0"/>
          <w:sz w:val="24"/>
          <w:highlight w:val="none"/>
        </w:rPr>
      </w:pPr>
    </w:p>
    <w:p w14:paraId="706EED61">
      <w:pPr>
        <w:widowControl/>
        <w:shd w:val="clear" w:color="auto" w:fill="FFFFFF"/>
        <w:spacing w:before="100" w:beforeAutospacing="1" w:after="100" w:afterAutospacing="1" w:line="360" w:lineRule="auto"/>
        <w:contextualSpacing/>
        <w:jc w:val="left"/>
        <w:rPr>
          <w:rFonts w:ascii="宋体" w:hAnsi="宋体" w:cs="宋体"/>
          <w:color w:val="auto"/>
          <w:kern w:val="0"/>
          <w:sz w:val="24"/>
          <w:highlight w:val="none"/>
        </w:rPr>
      </w:pPr>
    </w:p>
    <w:p w14:paraId="6A959819">
      <w:pPr>
        <w:widowControl/>
        <w:shd w:val="clear" w:color="auto" w:fill="FFFFFF"/>
        <w:spacing w:before="100" w:beforeAutospacing="1" w:after="100" w:afterAutospacing="1" w:line="360" w:lineRule="auto"/>
        <w:contextualSpacing/>
        <w:jc w:val="left"/>
        <w:rPr>
          <w:rFonts w:ascii="宋体" w:hAnsi="宋体" w:cs="宋体"/>
          <w:color w:val="auto"/>
          <w:kern w:val="0"/>
          <w:sz w:val="24"/>
          <w:highlight w:val="none"/>
        </w:rPr>
      </w:pPr>
    </w:p>
    <w:p w14:paraId="07F8ECA6">
      <w:pPr>
        <w:widowControl/>
        <w:shd w:val="clear" w:color="auto" w:fill="FFFFFF"/>
        <w:spacing w:before="100" w:beforeAutospacing="1" w:after="100" w:afterAutospacing="1" w:line="360" w:lineRule="auto"/>
        <w:contextualSpacing/>
        <w:jc w:val="right"/>
        <w:rPr>
          <w:rFonts w:ascii="宋体" w:hAnsi="宋体" w:cs="宋体"/>
          <w:color w:val="auto"/>
          <w:kern w:val="0"/>
          <w:sz w:val="24"/>
          <w:highlight w:val="none"/>
        </w:rPr>
      </w:pPr>
      <w:r>
        <w:rPr>
          <w:rFonts w:hint="eastAsia" w:ascii="宋体" w:hAnsi="宋体" w:cs="宋体"/>
          <w:color w:val="auto"/>
          <w:kern w:val="0"/>
          <w:sz w:val="24"/>
          <w:highlight w:val="none"/>
        </w:rPr>
        <w:t>江苏省住房和城乡建设厅</w:t>
      </w:r>
    </w:p>
    <w:p w14:paraId="739B4F8E">
      <w:pPr>
        <w:widowControl/>
        <w:shd w:val="clear" w:color="auto" w:fill="FFFFFF"/>
        <w:spacing w:before="100" w:beforeAutospacing="1" w:after="100" w:afterAutospacing="1" w:line="360" w:lineRule="auto"/>
        <w:contextualSpacing/>
        <w:jc w:val="right"/>
        <w:rPr>
          <w:rFonts w:ascii="宋体" w:hAnsi="宋体" w:cs="宋体"/>
          <w:color w:val="auto"/>
          <w:kern w:val="0"/>
          <w:sz w:val="24"/>
          <w:highlight w:val="none"/>
        </w:rPr>
      </w:pPr>
      <w:r>
        <w:rPr>
          <w:rFonts w:hint="eastAsia" w:ascii="宋体" w:hAnsi="宋体" w:cs="宋体"/>
          <w:color w:val="auto"/>
          <w:kern w:val="0"/>
          <w:sz w:val="24"/>
          <w:highlight w:val="none"/>
        </w:rPr>
        <w:t>2023年12月4日 </w:t>
      </w:r>
    </w:p>
    <w:p w14:paraId="2847DDB8">
      <w:pPr>
        <w:wordWrap w:val="0"/>
        <w:spacing w:line="360" w:lineRule="auto"/>
        <w:ind w:firstLine="945" w:firstLineChars="450"/>
        <w:jc w:val="center"/>
        <w:rPr>
          <w:rFonts w:ascii="宋体" w:hAnsi="宋体" w:cs="宋体"/>
          <w:color w:val="auto"/>
          <w:sz w:val="32"/>
          <w:szCs w:val="32"/>
          <w:highlight w:val="none"/>
        </w:rPr>
      </w:pPr>
      <w:r>
        <w:rPr>
          <w:rFonts w:hint="eastAsia" w:ascii="宋体" w:hAnsi="宋体" w:cs="宋体"/>
          <w:color w:val="auto"/>
          <w:highlight w:val="none"/>
        </w:rPr>
        <w:br w:type="page"/>
      </w:r>
      <w:r>
        <w:rPr>
          <w:rFonts w:hint="eastAsia" w:ascii="宋体" w:hAnsi="宋体" w:cs="宋体"/>
          <w:color w:val="auto"/>
          <w:sz w:val="32"/>
          <w:szCs w:val="32"/>
          <w:highlight w:val="none"/>
        </w:rPr>
        <w:t>二级建造师注册证书</w:t>
      </w:r>
    </w:p>
    <w:p w14:paraId="68119B4E">
      <w:pPr>
        <w:wordWrap w:val="0"/>
        <w:spacing w:line="360" w:lineRule="auto"/>
        <w:ind w:firstLine="960" w:firstLineChars="300"/>
        <w:jc w:val="center"/>
        <w:rPr>
          <w:rFonts w:ascii="宋体" w:hAnsi="宋体" w:cs="宋体"/>
          <w:color w:val="auto"/>
          <w:sz w:val="32"/>
          <w:szCs w:val="32"/>
          <w:highlight w:val="none"/>
        </w:rPr>
      </w:pPr>
      <w:r>
        <w:rPr>
          <w:rFonts w:hint="eastAsia" w:ascii="宋体" w:hAnsi="宋体" w:cs="宋体"/>
          <w:color w:val="auto"/>
          <w:sz w:val="32"/>
          <w:szCs w:val="32"/>
          <w:highlight w:val="none"/>
        </w:rPr>
        <w:drawing>
          <wp:anchor distT="0" distB="0" distL="114300" distR="114300" simplePos="0" relativeHeight="251662336" behindDoc="0" locked="0" layoutInCell="1" allowOverlap="1">
            <wp:simplePos x="0" y="0"/>
            <wp:positionH relativeFrom="column">
              <wp:posOffset>410845</wp:posOffset>
            </wp:positionH>
            <wp:positionV relativeFrom="paragraph">
              <wp:posOffset>454025</wp:posOffset>
            </wp:positionV>
            <wp:extent cx="4699635" cy="6647180"/>
            <wp:effectExtent l="0" t="0" r="5715" b="1270"/>
            <wp:wrapSquare wrapText="bothSides"/>
            <wp:docPr id="15"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图片 3"/>
                    <pic:cNvPicPr>
                      <a:picLocks noChangeAspect="1"/>
                    </pic:cNvPicPr>
                  </pic:nvPicPr>
                  <pic:blipFill>
                    <a:blip r:embed="rId10"/>
                    <a:stretch>
                      <a:fillRect/>
                    </a:stretch>
                  </pic:blipFill>
                  <pic:spPr>
                    <a:xfrm>
                      <a:off x="0" y="0"/>
                      <a:ext cx="4699635" cy="6647180"/>
                    </a:xfrm>
                    <a:prstGeom prst="rect">
                      <a:avLst/>
                    </a:prstGeom>
                    <a:noFill/>
                    <a:ln>
                      <a:noFill/>
                    </a:ln>
                  </pic:spPr>
                </pic:pic>
              </a:graphicData>
            </a:graphic>
          </wp:anchor>
        </w:drawing>
      </w:r>
      <w:r>
        <w:rPr>
          <w:rFonts w:hint="eastAsia" w:ascii="宋体" w:hAnsi="宋体" w:cs="宋体"/>
          <w:color w:val="auto"/>
          <w:sz w:val="32"/>
          <w:szCs w:val="32"/>
          <w:highlight w:val="none"/>
        </w:rPr>
        <w:t>（注册证书电子证照样式）</w:t>
      </w:r>
    </w:p>
    <w:p w14:paraId="067FF9C6">
      <w:pPr>
        <w:wordWrap w:val="0"/>
        <w:adjustRightInd w:val="0"/>
        <w:snapToGrid w:val="0"/>
        <w:spacing w:line="360" w:lineRule="auto"/>
        <w:ind w:firstLine="640" w:firstLineChars="200"/>
        <w:rPr>
          <w:rFonts w:ascii="宋体" w:hAnsi="宋体" w:cs="宋体"/>
          <w:color w:val="auto"/>
          <w:sz w:val="32"/>
          <w:szCs w:val="32"/>
          <w:highlight w:val="none"/>
        </w:rPr>
      </w:pPr>
    </w:p>
    <w:p w14:paraId="769DCCC2">
      <w:pPr>
        <w:widowControl/>
        <w:shd w:val="clear" w:color="auto" w:fill="FFFFFF"/>
        <w:spacing w:before="100" w:beforeAutospacing="1" w:after="100" w:afterAutospacing="1" w:line="360" w:lineRule="auto"/>
        <w:jc w:val="left"/>
        <w:rPr>
          <w:rFonts w:ascii="宋体" w:hAnsi="宋体" w:cs="宋体"/>
          <w:b/>
          <w:bCs/>
          <w:color w:val="auto"/>
          <w:kern w:val="44"/>
          <w:sz w:val="24"/>
          <w:szCs w:val="21"/>
          <w:highlight w:val="none"/>
        </w:rPr>
      </w:pPr>
      <w:r>
        <w:rPr>
          <w:rFonts w:hint="eastAsia" w:ascii="宋体" w:hAnsi="宋体" w:cs="宋体"/>
          <w:color w:val="auto"/>
          <w:kern w:val="0"/>
          <w:sz w:val="24"/>
          <w:highlight w:val="none"/>
        </w:rPr>
        <w:br w:type="page"/>
      </w:r>
      <w:r>
        <w:rPr>
          <w:rFonts w:hint="eastAsia" w:ascii="宋体" w:hAnsi="宋体" w:cs="宋体"/>
          <w:b/>
          <w:bCs/>
          <w:color w:val="auto"/>
          <w:kern w:val="44"/>
          <w:sz w:val="24"/>
          <w:szCs w:val="21"/>
          <w:highlight w:val="none"/>
        </w:rPr>
        <w:t>附件2 《办公厅关于全面实行一级建造师电子注册证书的通知》（建办市〔2021〕40 号）文件</w:t>
      </w:r>
    </w:p>
    <w:p w14:paraId="1EC538A6">
      <w:pPr>
        <w:spacing w:line="360" w:lineRule="auto"/>
        <w:rPr>
          <w:rFonts w:ascii="宋体" w:hAnsi="宋体" w:cs="宋体"/>
          <w:color w:val="auto"/>
          <w:szCs w:val="21"/>
          <w:highlight w:val="none"/>
        </w:rPr>
      </w:pPr>
      <w:r>
        <w:rPr>
          <w:rFonts w:hint="eastAsia" w:ascii="宋体" w:hAnsi="宋体" w:cs="宋体"/>
          <w:color w:val="auto"/>
          <w:highlight w:val="none"/>
        </w:rPr>
        <w:drawing>
          <wp:inline distT="0" distB="0" distL="114300" distR="114300">
            <wp:extent cx="5576570" cy="3843020"/>
            <wp:effectExtent l="0" t="0" r="5080" b="5080"/>
            <wp:docPr id="13" name="图片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图片 2"/>
                    <pic:cNvPicPr>
                      <a:picLocks noChangeAspect="1"/>
                    </pic:cNvPicPr>
                  </pic:nvPicPr>
                  <pic:blipFill>
                    <a:blip r:embed="rId11"/>
                    <a:stretch>
                      <a:fillRect/>
                    </a:stretch>
                  </pic:blipFill>
                  <pic:spPr>
                    <a:xfrm>
                      <a:off x="0" y="0"/>
                      <a:ext cx="5576570" cy="3843020"/>
                    </a:xfrm>
                    <a:prstGeom prst="rect">
                      <a:avLst/>
                    </a:prstGeom>
                    <a:noFill/>
                    <a:ln>
                      <a:noFill/>
                    </a:ln>
                  </pic:spPr>
                </pic:pic>
              </a:graphicData>
            </a:graphic>
          </wp:inline>
        </w:drawing>
      </w:r>
    </w:p>
    <w:p w14:paraId="0F1AE9B0">
      <w:pPr>
        <w:spacing w:line="360" w:lineRule="auto"/>
        <w:rPr>
          <w:rFonts w:ascii="宋体" w:hAnsi="宋体" w:cs="宋体"/>
          <w:color w:val="auto"/>
          <w:szCs w:val="21"/>
          <w:highlight w:val="none"/>
        </w:rPr>
      </w:pPr>
    </w:p>
    <w:p w14:paraId="1683ACF4">
      <w:pPr>
        <w:spacing w:line="360" w:lineRule="auto"/>
        <w:rPr>
          <w:rFonts w:ascii="宋体" w:hAnsi="宋体" w:cs="宋体"/>
          <w:color w:val="auto"/>
          <w:szCs w:val="21"/>
          <w:highlight w:val="none"/>
        </w:rPr>
      </w:pPr>
      <w:r>
        <w:rPr>
          <w:rFonts w:hint="eastAsia" w:ascii="宋体" w:hAnsi="宋体" w:cs="宋体"/>
          <w:color w:val="auto"/>
          <w:szCs w:val="21"/>
          <w:highlight w:val="none"/>
        </w:rPr>
        <w:t>网址：https://www.mohurd.gov.cn/gongkai/fdzdgknr/zfhcxjsbwj/202109/20210926_762262.html</w:t>
      </w:r>
    </w:p>
    <w:p w14:paraId="548EBFF7">
      <w:pPr>
        <w:spacing w:line="360" w:lineRule="auto"/>
        <w:rPr>
          <w:rFonts w:ascii="宋体" w:hAnsi="宋体" w:cs="宋体"/>
          <w:color w:val="auto"/>
          <w:szCs w:val="21"/>
          <w:highlight w:val="none"/>
        </w:rPr>
      </w:pPr>
    </w:p>
    <w:p w14:paraId="036750D5">
      <w:pPr>
        <w:spacing w:line="360" w:lineRule="auto"/>
        <w:jc w:val="center"/>
        <w:rPr>
          <w:rFonts w:ascii="宋体" w:hAnsi="宋体" w:cs="宋体"/>
          <w:b/>
          <w:bCs/>
          <w:color w:val="auto"/>
          <w:sz w:val="28"/>
          <w:szCs w:val="28"/>
          <w:highlight w:val="none"/>
        </w:rPr>
      </w:pPr>
      <w:r>
        <w:rPr>
          <w:rFonts w:hint="eastAsia" w:ascii="宋体" w:hAnsi="宋体" w:cs="宋体"/>
          <w:color w:val="auto"/>
          <w:szCs w:val="21"/>
          <w:highlight w:val="none"/>
        </w:rPr>
        <w:br w:type="page"/>
      </w:r>
      <w:r>
        <w:rPr>
          <w:rFonts w:hint="eastAsia" w:ascii="宋体" w:hAnsi="宋体" w:cs="宋体"/>
          <w:b/>
          <w:bCs/>
          <w:color w:val="auto"/>
          <w:sz w:val="28"/>
          <w:szCs w:val="28"/>
          <w:highlight w:val="none"/>
        </w:rPr>
        <w:t>住房和城乡建设部办公厅关于全面实行</w:t>
      </w:r>
    </w:p>
    <w:p w14:paraId="2D94B6A6">
      <w:pPr>
        <w:spacing w:line="360" w:lineRule="auto"/>
        <w:jc w:val="center"/>
        <w:rPr>
          <w:rFonts w:ascii="宋体" w:hAnsi="宋体" w:cs="宋体"/>
          <w:b/>
          <w:bCs/>
          <w:color w:val="auto"/>
          <w:sz w:val="28"/>
          <w:szCs w:val="28"/>
          <w:highlight w:val="none"/>
        </w:rPr>
      </w:pPr>
      <w:r>
        <w:rPr>
          <w:rFonts w:hint="eastAsia" w:ascii="宋体" w:hAnsi="宋体" w:cs="宋体"/>
          <w:b/>
          <w:bCs/>
          <w:color w:val="auto"/>
          <w:sz w:val="28"/>
          <w:szCs w:val="28"/>
          <w:highlight w:val="none"/>
        </w:rPr>
        <w:t>一级建造师电子注册证书的通知</w:t>
      </w:r>
    </w:p>
    <w:p w14:paraId="3D2FCBC8">
      <w:pPr>
        <w:spacing w:line="360" w:lineRule="auto"/>
        <w:rPr>
          <w:rFonts w:ascii="宋体" w:hAnsi="宋体" w:cs="宋体"/>
          <w:color w:val="auto"/>
          <w:szCs w:val="21"/>
          <w:highlight w:val="none"/>
        </w:rPr>
      </w:pPr>
    </w:p>
    <w:p w14:paraId="6DA98A73">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各省、自治区住房和城乡建设厅，直辖市住房和城乡建设（管）委，新疆生产建设兵团住房和</w:t>
      </w:r>
    </w:p>
    <w:p w14:paraId="1C3152F8">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城乡建设局，国务院有关部门建设司（局），中央军委后勤保障部军事设施建设局，有关中央企业：为扎实推进“我为群众办实事”实践活动，深化建筑业“放管服”改革，进一步提升政务服务规范化、便利化水平，我部决定在全国范围内实行一级建造师电子注册证书（以下简称电子证书），并开展延续注册工作。现将有关事项通知如下：</w:t>
      </w:r>
    </w:p>
    <w:p w14:paraId="2B48AADE">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一、工作内容</w:t>
      </w:r>
    </w:p>
    <w:p w14:paraId="1DCFD806">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（一）实行电子证书。</w:t>
      </w:r>
    </w:p>
    <w:p w14:paraId="499F1BB2">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1．自 2021 年 10 月 15 日起，在全国范围内实行一级建造师电子证书（具体示例及说明见附件 1），电子证书式样按照《全国一体化在线政务服务平台电子证照一级建造师注册证书》标准执行（具体式样见附件 2）。自 2022 年 1 月 1 日起，一级建造师统一使用电子证书，纸质注册证书作废。</w:t>
      </w:r>
    </w:p>
    <w:p w14:paraId="77F65A5F">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2．自 2021 年 10 月 15 日起，全国范围内准予一级建造师初始注册、增项注册、重新注册、延续注册的，不再发放纸质注册证书或加贴防伪贴；聘用单位基本信息修改的，不再加贴防伪贴；因纸质注册证书遗失、污损或个人信息修改等需重新发放注册证书的，不再补发或更换纸质注册证书。</w:t>
      </w:r>
    </w:p>
    <w:p w14:paraId="40F5DF21">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3．电子证书与纸质注册证书并行使用期间，其注册编号同时有效。2022 年 1 月 1 日起，一级建造师应重新刻制执业印章，并使用电子证书上的注册编号。</w:t>
      </w:r>
    </w:p>
    <w:p w14:paraId="337DCF21">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4．各省（区、市）住房和城乡建设主管部门要会同有关行业主管部门创新监管模式，充分运用信息化手段，加快实现电子证书在招标投标、审批许可、项目管理、行业监管等环节的应用。</w:t>
      </w:r>
    </w:p>
    <w:p w14:paraId="7C7FEC2B">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（二）开展延续注册。</w:t>
      </w:r>
    </w:p>
    <w:p w14:paraId="52941CE4">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1．一级建造师注册专业有效期已过期的，应于 2021 年 12 月 15 日前提出延续注册申请；注册专业仍在有效期内的，应在有效期届满 30 日前提出延续注册申请；注册专业有效期届满且未提出延续注册申请的，自 2022 年 1 月 1 日起注册专业失效。</w:t>
      </w:r>
    </w:p>
    <w:p w14:paraId="172526A1">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2．一级建造师申请延续注册的，应达到继续教育要求，并对本人完成继续教育情况作出承诺。</w:t>
      </w:r>
    </w:p>
    <w:p w14:paraId="0747B320">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3．准予延续注册的注册专业，其注册专业有效期从准予延续注册之日起计算。准予延续注册之日距 65 周岁不满 3 年的，有效期至 65 周岁当日。</w:t>
      </w:r>
    </w:p>
    <w:p w14:paraId="64AF94C9">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二、电子证书有关使用要求</w:t>
      </w:r>
    </w:p>
    <w:p w14:paraId="3EEBCBC5">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一）一级建造师可登录国家政务服务平台、住房和城乡建设部政务服务门户查看和下载电子证书，具体操作流程可查阅《住房和城乡建设部一级建造师电子证照申领和使用手册》。查看和下载电子证书时，本人应确认该证书的使用时限。电子证书使用时限为 180 天，但使用时限距注册专业有效期或建造师满 65 周岁不足 180 天的，使用时限截止日期以注册专业有效期截止日期或建造师满 65 周岁当日为准。超出使用时限的电子证书无效，需重新下载电子证书并再次确认使用时限。</w:t>
      </w:r>
    </w:p>
    <w:p w14:paraId="76F51BDB">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（二）一级建造师打印电子证书后，应在个人签名处手写本人签名，未手写签名或与签名图像笔迹不一致的，该电子证书无效。</w:t>
      </w:r>
    </w:p>
    <w:p w14:paraId="343A91DA">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（三）一级建造师应妥善保管本人的国家政务服务平台账号，因本人保管不善造成账号信息泄露所产生的一切后果由本人承担。</w:t>
      </w:r>
    </w:p>
    <w:p w14:paraId="45FA243F">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（四）有关单位和个人可通过“中国建造师网”微信公众号扫描电子证书上的二维码，查询一级建造师注册信息。</w:t>
      </w:r>
    </w:p>
    <w:p w14:paraId="284D6CBD">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五）电子证书与纸质注册证书的聘用单位信息、个人基本信息、注册专业有效期等不一致的，以电子证书信息为准。电子证书信息发生变更的，需登录国家政务服务平台或住房和城乡建设部政务服务门户重新下载。</w:t>
      </w:r>
    </w:p>
    <w:p w14:paraId="3D515F0F">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 xml:space="preserve"> 附件：1．一级建造师电子注册证书示例及说明</w:t>
      </w:r>
    </w:p>
    <w:p w14:paraId="75B89877">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 xml:space="preserve"> 2．一级建造师电子注册证书式样</w:t>
      </w:r>
    </w:p>
    <w:p w14:paraId="45BDFB26">
      <w:pPr>
        <w:spacing w:line="360" w:lineRule="auto"/>
        <w:jc w:val="right"/>
        <w:rPr>
          <w:rFonts w:ascii="宋体" w:hAnsi="宋体" w:cs="宋体"/>
          <w:color w:val="auto"/>
          <w:szCs w:val="21"/>
          <w:highlight w:val="none"/>
        </w:rPr>
      </w:pPr>
      <w:r>
        <w:rPr>
          <w:rFonts w:hint="eastAsia" w:ascii="宋体" w:hAnsi="宋体" w:cs="宋体"/>
          <w:color w:val="auto"/>
          <w:szCs w:val="21"/>
          <w:highlight w:val="none"/>
        </w:rPr>
        <w:t xml:space="preserve"> 住房和城乡建设部办公厅 </w:t>
      </w:r>
    </w:p>
    <w:p w14:paraId="2458CCA1">
      <w:pPr>
        <w:spacing w:line="360" w:lineRule="auto"/>
        <w:jc w:val="right"/>
        <w:rPr>
          <w:rFonts w:ascii="宋体" w:hAnsi="宋体" w:cs="宋体"/>
          <w:color w:val="auto"/>
          <w:szCs w:val="21"/>
          <w:highlight w:val="none"/>
        </w:rPr>
      </w:pPr>
      <w:r>
        <w:rPr>
          <w:rFonts w:hint="eastAsia" w:ascii="宋体" w:hAnsi="宋体" w:cs="宋体"/>
          <w:color w:val="auto"/>
          <w:szCs w:val="21"/>
          <w:highlight w:val="none"/>
        </w:rPr>
        <w:t>2021 年 9 月 18 日</w:t>
      </w:r>
    </w:p>
    <w:p w14:paraId="7DAEFE92">
      <w:pPr>
        <w:spacing w:line="360" w:lineRule="auto"/>
        <w:rPr>
          <w:rFonts w:ascii="宋体" w:hAnsi="宋体" w:cs="宋体"/>
          <w:color w:val="auto"/>
          <w:szCs w:val="21"/>
          <w:highlight w:val="none"/>
        </w:rPr>
      </w:pPr>
      <w:r>
        <w:rPr>
          <w:rFonts w:hint="eastAsia" w:ascii="宋体" w:hAnsi="宋体" w:cs="宋体"/>
          <w:color w:val="auto"/>
          <w:szCs w:val="21"/>
          <w:highlight w:val="none"/>
        </w:rPr>
        <w:br w:type="page"/>
      </w:r>
      <w:r>
        <w:rPr>
          <w:rFonts w:hint="eastAsia" w:ascii="宋体" w:hAnsi="宋体" w:cs="宋体"/>
          <w:color w:val="auto"/>
          <w:szCs w:val="21"/>
          <w:highlight w:val="none"/>
        </w:rPr>
        <w:drawing>
          <wp:inline distT="0" distB="0" distL="114300" distR="114300">
            <wp:extent cx="5577840" cy="7439660"/>
            <wp:effectExtent l="0" t="0" r="3810" b="8890"/>
            <wp:docPr id="14" name="图片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图片 3"/>
                    <pic:cNvPicPr>
                      <a:picLocks noChangeAspect="1"/>
                    </pic:cNvPicPr>
                  </pic:nvPicPr>
                  <pic:blipFill>
                    <a:blip r:embed="rId12"/>
                    <a:stretch>
                      <a:fillRect/>
                    </a:stretch>
                  </pic:blipFill>
                  <pic:spPr>
                    <a:xfrm>
                      <a:off x="0" y="0"/>
                      <a:ext cx="5577840" cy="7439660"/>
                    </a:xfrm>
                    <a:prstGeom prst="rect">
                      <a:avLst/>
                    </a:prstGeom>
                    <a:noFill/>
                    <a:ln>
                      <a:noFill/>
                    </a:ln>
                  </pic:spPr>
                </pic:pic>
              </a:graphicData>
            </a:graphic>
          </wp:inline>
        </w:drawing>
      </w:r>
    </w:p>
    <w:p w14:paraId="3D692F2F">
      <w:pPr>
        <w:spacing w:line="360" w:lineRule="auto"/>
        <w:rPr>
          <w:rFonts w:ascii="宋体" w:hAnsi="宋体" w:cs="宋体"/>
          <w:color w:val="auto"/>
          <w:szCs w:val="21"/>
          <w:highlight w:val="none"/>
        </w:rPr>
      </w:pPr>
      <w:r>
        <w:rPr>
          <w:rFonts w:hint="eastAsia" w:ascii="宋体" w:hAnsi="宋体" w:cs="宋体"/>
          <w:color w:val="auto"/>
          <w:szCs w:val="21"/>
          <w:highlight w:val="none"/>
        </w:rPr>
        <w:br w:type="page"/>
      </w:r>
      <w:r>
        <w:rPr>
          <w:rFonts w:hint="eastAsia" w:ascii="宋体" w:hAnsi="宋体" w:cs="宋体"/>
          <w:color w:val="auto"/>
          <w:szCs w:val="21"/>
          <w:highlight w:val="none"/>
        </w:rPr>
        <w:drawing>
          <wp:inline distT="0" distB="0" distL="114300" distR="114300">
            <wp:extent cx="5575935" cy="7780020"/>
            <wp:effectExtent l="0" t="0" r="5715" b="11430"/>
            <wp:docPr id="16" name="图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图片 4"/>
                    <pic:cNvPicPr>
                      <a:picLocks noChangeAspect="1"/>
                    </pic:cNvPicPr>
                  </pic:nvPicPr>
                  <pic:blipFill>
                    <a:blip r:embed="rId13"/>
                    <a:stretch>
                      <a:fillRect/>
                    </a:stretch>
                  </pic:blipFill>
                  <pic:spPr>
                    <a:xfrm>
                      <a:off x="0" y="0"/>
                      <a:ext cx="5575935" cy="7780020"/>
                    </a:xfrm>
                    <a:prstGeom prst="rect">
                      <a:avLst/>
                    </a:prstGeom>
                    <a:noFill/>
                    <a:ln>
                      <a:noFill/>
                    </a:ln>
                  </pic:spPr>
                </pic:pic>
              </a:graphicData>
            </a:graphic>
          </wp:inline>
        </w:drawing>
      </w:r>
    </w:p>
    <w:p w14:paraId="0743F991">
      <w:pPr>
        <w:spacing w:line="360" w:lineRule="auto"/>
        <w:ind w:firstLine="482" w:firstLineChars="200"/>
        <w:jc w:val="left"/>
        <w:rPr>
          <w:rFonts w:ascii="宋体" w:hAnsi="宋体"/>
          <w:b/>
          <w:bCs/>
          <w:color w:val="auto"/>
          <w:kern w:val="0"/>
          <w:sz w:val="24"/>
          <w:highlight w:val="none"/>
        </w:rPr>
      </w:pPr>
    </w:p>
    <w:bookmarkEnd w:id="32"/>
    <w:bookmarkEnd w:id="33"/>
    <w:bookmarkEnd w:id="34"/>
    <w:bookmarkEnd w:id="35"/>
    <w:p w14:paraId="55C9DAD5">
      <w:pPr>
        <w:widowControl/>
        <w:tabs>
          <w:tab w:val="left" w:pos="7920"/>
        </w:tabs>
        <w:spacing w:line="360" w:lineRule="auto"/>
        <w:rPr>
          <w:rFonts w:ascii="宋体" w:hAnsi="宋体" w:cs="Arial"/>
          <w:b/>
          <w:bCs/>
          <w:color w:val="auto"/>
          <w:kern w:val="36"/>
          <w:sz w:val="36"/>
          <w:szCs w:val="36"/>
          <w:highlight w:val="none"/>
        </w:rPr>
      </w:pPr>
      <w:bookmarkStart w:id="37" w:name="_Toc404174020"/>
      <w:bookmarkStart w:id="38" w:name="_Toc286661174"/>
      <w:bookmarkStart w:id="39" w:name="_Toc404159962"/>
    </w:p>
    <w:p w14:paraId="3BDD0F32">
      <w:pPr>
        <w:pStyle w:val="2"/>
        <w:spacing w:line="360" w:lineRule="auto"/>
        <w:jc w:val="center"/>
        <w:rPr>
          <w:rFonts w:ascii="宋体" w:hAnsi="宋体"/>
          <w:color w:val="auto"/>
          <w:sz w:val="36"/>
          <w:highlight w:val="none"/>
        </w:rPr>
      </w:pPr>
      <w:r>
        <w:rPr>
          <w:rFonts w:ascii="宋体" w:hAnsi="宋体" w:cs="Arial"/>
          <w:b w:val="0"/>
          <w:bCs w:val="0"/>
          <w:color w:val="auto"/>
          <w:kern w:val="36"/>
          <w:sz w:val="36"/>
          <w:szCs w:val="36"/>
          <w:highlight w:val="none"/>
        </w:rPr>
        <w:br w:type="page"/>
      </w:r>
      <w:r>
        <w:rPr>
          <w:rFonts w:hint="eastAsia" w:ascii="宋体" w:hAnsi="宋体"/>
          <w:color w:val="auto"/>
          <w:sz w:val="36"/>
          <w:highlight w:val="none"/>
        </w:rPr>
        <w:t>第三章 合同条款</w:t>
      </w:r>
    </w:p>
    <w:p w14:paraId="2A9CC7A2">
      <w:pPr>
        <w:spacing w:line="360" w:lineRule="auto"/>
        <w:ind w:firstLine="480" w:firstLineChars="200"/>
        <w:jc w:val="left"/>
        <w:rPr>
          <w:rFonts w:ascii="宋体" w:hAnsi="宋体"/>
          <w:bCs/>
          <w:color w:val="auto"/>
          <w:sz w:val="24"/>
          <w:highlight w:val="none"/>
        </w:rPr>
      </w:pPr>
    </w:p>
    <w:p w14:paraId="5BA35CDA">
      <w:pPr>
        <w:spacing w:line="360" w:lineRule="auto"/>
        <w:ind w:firstLine="480" w:firstLineChars="200"/>
        <w:jc w:val="left"/>
        <w:rPr>
          <w:rFonts w:ascii="宋体" w:hAnsi="宋体"/>
          <w:bCs/>
          <w:color w:val="auto"/>
          <w:sz w:val="24"/>
          <w:highlight w:val="none"/>
        </w:rPr>
      </w:pPr>
    </w:p>
    <w:p w14:paraId="252E1095">
      <w:pPr>
        <w:jc w:val="center"/>
        <w:rPr>
          <w:rFonts w:ascii="宋体" w:hAnsi="宋体"/>
          <w:b/>
          <w:bCs/>
          <w:color w:val="auto"/>
          <w:sz w:val="48"/>
          <w:szCs w:val="48"/>
          <w:highlight w:val="none"/>
        </w:rPr>
      </w:pPr>
      <w:r>
        <w:rPr>
          <w:rFonts w:ascii="宋体" w:hAnsi="宋体"/>
          <w:b/>
          <w:bCs/>
          <w:color w:val="auto"/>
          <w:sz w:val="48"/>
          <w:szCs w:val="48"/>
          <w:highlight w:val="none"/>
        </w:rPr>
        <w:t>建设工程施工合同</w:t>
      </w:r>
    </w:p>
    <w:p w14:paraId="733EE17E">
      <w:pPr>
        <w:spacing w:line="360" w:lineRule="auto"/>
        <w:ind w:firstLine="560" w:firstLineChars="200"/>
        <w:jc w:val="center"/>
        <w:rPr>
          <w:rFonts w:ascii="宋体" w:hAnsi="宋体"/>
          <w:bCs/>
          <w:color w:val="auto"/>
          <w:sz w:val="28"/>
          <w:szCs w:val="28"/>
          <w:highlight w:val="none"/>
        </w:rPr>
      </w:pPr>
      <w:r>
        <w:rPr>
          <w:rFonts w:ascii="宋体" w:hAnsi="宋体"/>
          <w:bCs/>
          <w:color w:val="auto"/>
          <w:sz w:val="28"/>
          <w:szCs w:val="28"/>
          <w:highlight w:val="none"/>
        </w:rPr>
        <w:t xml:space="preserve">     </w:t>
      </w:r>
    </w:p>
    <w:p w14:paraId="4E5D95E9">
      <w:pPr>
        <w:spacing w:line="360" w:lineRule="auto"/>
        <w:ind w:firstLine="480" w:firstLineChars="200"/>
        <w:rPr>
          <w:rFonts w:ascii="宋体" w:hAnsi="宋体"/>
          <w:bCs/>
          <w:color w:val="auto"/>
          <w:sz w:val="24"/>
          <w:highlight w:val="none"/>
        </w:rPr>
      </w:pPr>
    </w:p>
    <w:p w14:paraId="774CDE4A">
      <w:pPr>
        <w:spacing w:line="360" w:lineRule="auto"/>
        <w:ind w:firstLine="480" w:firstLineChars="200"/>
        <w:rPr>
          <w:rFonts w:ascii="宋体" w:hAnsi="宋体"/>
          <w:bCs/>
          <w:color w:val="auto"/>
          <w:sz w:val="24"/>
          <w:highlight w:val="none"/>
        </w:rPr>
      </w:pPr>
    </w:p>
    <w:p w14:paraId="5AF8A422">
      <w:pPr>
        <w:spacing w:line="360" w:lineRule="auto"/>
        <w:ind w:firstLine="480" w:firstLineChars="200"/>
        <w:rPr>
          <w:rFonts w:ascii="宋体" w:hAnsi="宋体"/>
          <w:bCs/>
          <w:color w:val="auto"/>
          <w:sz w:val="24"/>
          <w:highlight w:val="none"/>
        </w:rPr>
      </w:pPr>
    </w:p>
    <w:p w14:paraId="0FBD91E2">
      <w:pPr>
        <w:spacing w:line="360" w:lineRule="auto"/>
        <w:ind w:firstLine="480" w:firstLineChars="200"/>
        <w:rPr>
          <w:rFonts w:ascii="宋体" w:hAnsi="宋体"/>
          <w:bCs/>
          <w:color w:val="auto"/>
          <w:sz w:val="24"/>
          <w:highlight w:val="none"/>
        </w:rPr>
      </w:pPr>
    </w:p>
    <w:p w14:paraId="7692434B">
      <w:pPr>
        <w:spacing w:line="360" w:lineRule="auto"/>
        <w:ind w:firstLine="880" w:firstLineChars="200"/>
        <w:rPr>
          <w:rFonts w:ascii="宋体" w:hAnsi="宋体"/>
          <w:bCs/>
          <w:color w:val="auto"/>
          <w:sz w:val="44"/>
          <w:szCs w:val="44"/>
          <w:highlight w:val="none"/>
        </w:rPr>
      </w:pPr>
    </w:p>
    <w:p w14:paraId="642C9D4A">
      <w:pPr>
        <w:spacing w:line="360" w:lineRule="auto"/>
        <w:ind w:firstLine="880" w:firstLineChars="200"/>
        <w:rPr>
          <w:rFonts w:ascii="宋体" w:hAnsi="宋体"/>
          <w:bCs/>
          <w:color w:val="auto"/>
          <w:sz w:val="44"/>
          <w:szCs w:val="44"/>
          <w:highlight w:val="none"/>
        </w:rPr>
      </w:pPr>
    </w:p>
    <w:p w14:paraId="1E9B0244">
      <w:pPr>
        <w:spacing w:line="360" w:lineRule="auto"/>
        <w:ind w:firstLine="880" w:firstLineChars="200"/>
        <w:rPr>
          <w:rFonts w:ascii="宋体" w:hAnsi="宋体"/>
          <w:bCs/>
          <w:color w:val="auto"/>
          <w:sz w:val="44"/>
          <w:szCs w:val="44"/>
          <w:highlight w:val="none"/>
        </w:rPr>
      </w:pPr>
    </w:p>
    <w:p w14:paraId="3BB2B123">
      <w:pPr>
        <w:spacing w:line="360" w:lineRule="auto"/>
        <w:ind w:firstLine="880" w:firstLineChars="200"/>
        <w:rPr>
          <w:rFonts w:ascii="宋体" w:hAnsi="宋体"/>
          <w:bCs/>
          <w:color w:val="auto"/>
          <w:sz w:val="44"/>
          <w:szCs w:val="44"/>
          <w:highlight w:val="none"/>
        </w:rPr>
      </w:pPr>
    </w:p>
    <w:p w14:paraId="51425BAA">
      <w:pPr>
        <w:spacing w:line="360" w:lineRule="auto"/>
        <w:ind w:firstLine="880" w:firstLineChars="200"/>
        <w:rPr>
          <w:rFonts w:ascii="宋体" w:hAnsi="宋体"/>
          <w:bCs/>
          <w:color w:val="auto"/>
          <w:sz w:val="44"/>
          <w:szCs w:val="44"/>
          <w:highlight w:val="none"/>
        </w:rPr>
      </w:pPr>
    </w:p>
    <w:p w14:paraId="79C35B53">
      <w:pPr>
        <w:spacing w:line="360" w:lineRule="auto"/>
        <w:ind w:firstLine="1440" w:firstLineChars="200"/>
        <w:rPr>
          <w:rFonts w:ascii="宋体" w:hAnsi="宋体"/>
          <w:bCs/>
          <w:color w:val="auto"/>
          <w:sz w:val="72"/>
          <w:szCs w:val="72"/>
          <w:highlight w:val="none"/>
        </w:rPr>
      </w:pPr>
    </w:p>
    <w:p w14:paraId="569385CC">
      <w:pPr>
        <w:spacing w:line="360" w:lineRule="auto"/>
        <w:ind w:right="2719" w:rightChars="1295" w:firstLine="420" w:firstLineChars="200"/>
        <w:jc w:val="center"/>
        <w:rPr>
          <w:rFonts w:ascii="宋体" w:hAnsi="宋体"/>
          <w:b/>
          <w:color w:val="auto"/>
          <w:sz w:val="28"/>
          <w:szCs w:val="28"/>
          <w:highlight w:val="none"/>
        </w:rPr>
      </w:pPr>
      <w:r>
        <w:rPr>
          <w:rFonts w:ascii="宋体" w:hAnsi="宋体"/>
          <w:color w:val="auto"/>
          <w:highlight w:val="none"/>
        </w:rPr>
        <mc:AlternateContent>
          <mc:Choice Requires="wps">
            <w:drawing>
              <wp:anchor distT="0" distB="0" distL="114300" distR="114300" simplePos="0" relativeHeight="251659264" behindDoc="0" locked="0" layoutInCell="1" allowOverlap="1">
                <wp:simplePos x="0" y="0"/>
                <wp:positionH relativeFrom="column">
                  <wp:posOffset>3500755</wp:posOffset>
                </wp:positionH>
                <wp:positionV relativeFrom="paragraph">
                  <wp:posOffset>33020</wp:posOffset>
                </wp:positionV>
                <wp:extent cx="716280" cy="475615"/>
                <wp:effectExtent l="4445" t="4445" r="15875" b="15240"/>
                <wp:wrapNone/>
                <wp:docPr id="4" name="文本框 4"/>
                <wp:cNvGraphicFramePr/>
                <a:graphic xmlns:a="http://schemas.openxmlformats.org/drawingml/2006/main">
                  <a:graphicData uri="http://schemas.microsoft.com/office/word/2010/wordprocessingShape">
                    <wps:wsp>
                      <wps:cNvSpPr txBox="1"/>
                      <wps:spPr>
                        <a:xfrm>
                          <a:off x="0" y="0"/>
                          <a:ext cx="716280" cy="475615"/>
                        </a:xfrm>
                        <a:prstGeom prst="rect">
                          <a:avLst/>
                        </a:prstGeom>
                        <a:noFill/>
                        <a:ln w="9525" cap="flat" cmpd="sng">
                          <a:solidFill>
                            <a:srgbClr val="FFFFFF"/>
                          </a:solidFill>
                          <a:prstDash val="solid"/>
                          <a:miter/>
                          <a:headEnd type="none" w="med" len="med"/>
                          <a:tailEnd type="none" w="med" len="med"/>
                        </a:ln>
                      </wps:spPr>
                      <wps:txbx>
                        <w:txbxContent>
                          <w:p w14:paraId="0FEDD1CA">
                            <w:pPr>
                              <w:rPr>
                                <w:b/>
                                <w:bCs/>
                                <w:sz w:val="32"/>
                              </w:rPr>
                            </w:pPr>
                            <w:r>
                              <w:rPr>
                                <w:rFonts w:hint="eastAsia"/>
                                <w:b/>
                                <w:bCs/>
                                <w:sz w:val="32"/>
                              </w:rPr>
                              <w:t>制定</w:t>
                            </w:r>
                          </w:p>
                        </w:txbxContent>
                      </wps:txbx>
                      <wps:bodyPr upright="1"/>
                    </wps:wsp>
                  </a:graphicData>
                </a:graphic>
              </wp:anchor>
            </w:drawing>
          </mc:Choice>
          <mc:Fallback>
            <w:pict>
              <v:shape id="_x0000_s1026" o:spid="_x0000_s1026" o:spt="202" type="#_x0000_t202" style="position:absolute;left:0pt;margin-left:275.65pt;margin-top:2.6pt;height:37.45pt;width:56.4pt;z-index:251659264;mso-width-relative:page;mso-height-relative:page;" filled="f" stroked="t" coordsize="21600,21600" o:gfxdata="UEsDBAoAAAAAAIdO4kAAAAAAAAAAAAAAAAAEAAAAZHJzL1BLAwQUAAAACACHTuJANfCHLtgAAAAI&#10;AQAADwAAAGRycy9kb3ducmV2LnhtbE2PwU7DMBBE70j8g7VIXCpqu7RRlMbpAYkDhwIt/QA3NnFK&#10;vI5iJyl/z3KC26xmNPO23F19xyY7xDagArkUwCzWwbTYKDh9PD/kwGLSaHQX0Cr4thF21e1NqQsT&#10;ZjzY6ZgaRiUYC63ApdQXnMfaWa/jMvQWyfsMg9eJzqHhZtAzlfuOr4TIuNct0oLTvX1ytv46jl7B&#10;4cW9L3C933eGT9nl9Dq+zflCqfs7KbbAkr2mvzD84hM6VMR0DiOayDoFm418pCiJFTDys2wtgZ0V&#10;5EICr0r+/4HqB1BLAwQUAAAACACHTuJAGYRZQwYCAAAMBAAADgAAAGRycy9lMm9Eb2MueG1srVNL&#10;btswEN0XyB0I7mvZhu0kguUAreNuirZA0gPQJCUR4A8c2pIv0N6gq26677l8jgwpx2nTjRfVQhpx&#10;Hh/nvRku73qjyV4GUM5WdDIaUyItd0LZpqJfHzdvbyiByKxg2llZ0YMEere6erPsfCmnrnVayECQ&#10;xELZ+Yq2MfqyKIC30jAYOS8tJmsXDIv4G5pCBNYhu9HFdDxeFJ0LwgfHJQCurockPTGGSwhdXSsu&#10;147vjLRxYA1Ss4iSoFUe6CpXW9eSx891DTISXVFUGvMbD8F4m97FasnKJjDfKn4qgV1SwitNhimL&#10;h56p1iwysgvqHyqjeHDg6jjizhSDkOwIqpiMX3nz0DIvsxa0GvzZdPh/tPzT/ksgSlR0RollBht+&#10;/PH9+PP38dc3Mkv2dB5KRD14xMX+netxaJ7XAReT6r4OJn1RD8E8mns4myv7SDguXk8W0xvMcEzN&#10;rueLyTyxFC+bfYD4QTpDUlDRgL3LlrL9R4gD9BmSzrJuo7TO/dOWdBW9nU/nSM9wJmucBQyNR11g&#10;m0wDTiuRtqTNEJrtex3InuFcbPJzquYvWDpvzaAdcDmVYKw0KsqQo1YycW8FiQeP3lm8MjQVY6Sg&#10;REu8YSnKyMiUvgSJlmiLziTjB4NTFPttjzQp3DpxwGbsfFBNi07ldmQ4Dkm29DTQaQr//M+kL5d4&#10;9QRQSwMECgAAAAAAh07iQAAAAAAAAAAAAAAAAAYAAABfcmVscy9QSwMEFAAAAAgAh07iQIoUZjzR&#10;AAAAlAEAAAsAAABfcmVscy8ucmVsc6WQwWrDMAyG74O9g9F9cZrDGKNOL6PQa+kewNiKYxpbRjLZ&#10;+vbzDoNl9LajfqHvE//+8JkWtSJLpGxg1/WgMDvyMQcD75fj0wsoqTZ7u1BGAzcUOIyPD/szLra2&#10;I5ljEdUoWQzMtZZXrcXNmKx0VDC3zUScbG0jB12su9qAeuj7Z82/GTBumOrkDfDJD6Aut9LMf9gp&#10;OiahqXaOkqZpiu4eVQe2ZY7uyDbhG7lGsxywGvAsGgdqWdd+BH1fv/un3tNHPuO61X6HjOuPV2+6&#10;HL8AUEsDBBQAAAAIAIdO4kB+5uUg9wAAAOEBAAATAAAAW0NvbnRlbnRfVHlwZXNdLnhtbJWRQU7D&#10;MBBF90jcwfIWJU67QAgl6YK0S0CoHGBkTxKLZGx5TGhvj5O2G0SRWNoz/78nu9wcxkFMGNg6quQq&#10;L6RA0s5Y6ir5vt9lD1JwBDIwOMJKHpHlpr69KfdHjyxSmriSfYz+USnWPY7AufNIadK6MEJMx9Ap&#10;D/oDOlTrorhX2lFEilmcO2RdNtjC5xDF9pCuTyYBB5bi6bQ4syoJ3g9WQ0ymaiLzg5KdCXlKLjvc&#10;W893SUOqXwnz5DrgnHtJTxOsQfEKIT7DmDSUCayM+6KAU/53yWw5cuba1mrMm8BNir3hdLG61o5r&#10;1zj93/Ltkrp0q+WD6m9QSwECFAAUAAAACACHTuJAfublIPcAAADhAQAAEwAAAAAAAAABACAAAAB3&#10;BAAAW0NvbnRlbnRfVHlwZXNdLnhtbFBLAQIUAAoAAAAAAIdO4kAAAAAAAAAAAAAAAAAGAAAAAAAA&#10;AAAAEAAAAFkDAABfcmVscy9QSwECFAAUAAAACACHTuJAihRmPNEAAACUAQAACwAAAAAAAAABACAA&#10;AAB9AwAAX3JlbHMvLnJlbHNQSwECFAAKAAAAAACHTuJAAAAAAAAAAAAAAAAABAAAAAAAAAAAABAA&#10;AAAAAAAAZHJzL1BLAQIUABQAAAAIAIdO4kA18Icu2AAAAAgBAAAPAAAAAAAAAAEAIAAAACIAAABk&#10;cnMvZG93bnJldi54bWxQSwECFAAUAAAACACHTuJAGYRZQwYCAAAMBAAADgAAAAAAAAABACAAAAAn&#10;AQAAZHJzL2Uyb0RvYy54bWxQSwUGAAAAAAYABgBZAQAAnwUAAAAA&#10;">
                <v:fill on="f" focussize="0,0"/>
                <v:stroke color="#FFFFFF" joinstyle="miter"/>
                <v:imagedata o:title=""/>
                <o:lock v:ext="edit" aspectratio="f"/>
                <v:textbox>
                  <w:txbxContent>
                    <w:p w14:paraId="0FEDD1CA">
                      <w:pPr>
                        <w:rPr>
                          <w:b/>
                          <w:bCs/>
                          <w:sz w:val="32"/>
                        </w:rPr>
                      </w:pPr>
                      <w:r>
                        <w:rPr>
                          <w:rFonts w:hint="eastAsia"/>
                          <w:b/>
                          <w:bCs/>
                          <w:sz w:val="32"/>
                        </w:rPr>
                        <w:t>制定</w:t>
                      </w:r>
                    </w:p>
                  </w:txbxContent>
                </v:textbox>
              </v:shape>
            </w:pict>
          </mc:Fallback>
        </mc:AlternateContent>
      </w:r>
      <w:r>
        <w:rPr>
          <w:rFonts w:ascii="宋体" w:hAnsi="宋体"/>
          <w:b/>
          <w:color w:val="auto"/>
          <w:spacing w:val="70"/>
          <w:kern w:val="0"/>
          <w:sz w:val="28"/>
          <w:szCs w:val="28"/>
          <w:highlight w:val="none"/>
        </w:rPr>
        <w:t>住房城乡建设</w:t>
      </w:r>
      <w:r>
        <w:rPr>
          <w:rFonts w:ascii="宋体" w:hAnsi="宋体"/>
          <w:b/>
          <w:color w:val="auto"/>
          <w:spacing w:val="1"/>
          <w:kern w:val="0"/>
          <w:sz w:val="28"/>
          <w:szCs w:val="28"/>
          <w:highlight w:val="none"/>
        </w:rPr>
        <w:t>部</w:t>
      </w:r>
    </w:p>
    <w:p w14:paraId="7480CCAE">
      <w:pPr>
        <w:spacing w:line="360" w:lineRule="auto"/>
        <w:ind w:right="2719" w:rightChars="1295" w:firstLine="562" w:firstLineChars="200"/>
        <w:jc w:val="center"/>
        <w:rPr>
          <w:rFonts w:ascii="宋体" w:hAnsi="宋体"/>
          <w:b/>
          <w:color w:val="auto"/>
          <w:sz w:val="28"/>
          <w:szCs w:val="28"/>
          <w:highlight w:val="none"/>
        </w:rPr>
      </w:pPr>
      <w:r>
        <w:rPr>
          <w:rFonts w:ascii="宋体" w:hAnsi="宋体"/>
          <w:b/>
          <w:color w:val="auto"/>
          <w:sz w:val="28"/>
          <w:szCs w:val="28"/>
          <w:highlight w:val="none"/>
        </w:rPr>
        <w:t>国家工商行政管理总局</w:t>
      </w:r>
    </w:p>
    <w:p w14:paraId="0C392CCB">
      <w:pPr>
        <w:spacing w:line="360" w:lineRule="auto"/>
        <w:ind w:firstLine="480" w:firstLineChars="200"/>
        <w:rPr>
          <w:rFonts w:ascii="宋体" w:hAnsi="宋体"/>
          <w:bCs/>
          <w:color w:val="auto"/>
          <w:sz w:val="24"/>
          <w:highlight w:val="none"/>
        </w:rPr>
      </w:pPr>
    </w:p>
    <w:p w14:paraId="08782BB6">
      <w:pPr>
        <w:spacing w:line="360" w:lineRule="auto"/>
        <w:ind w:firstLine="480" w:firstLineChars="200"/>
        <w:rPr>
          <w:rFonts w:ascii="宋体" w:hAnsi="宋体"/>
          <w:bCs/>
          <w:color w:val="auto"/>
          <w:sz w:val="24"/>
          <w:highlight w:val="none"/>
        </w:rPr>
      </w:pPr>
    </w:p>
    <w:p w14:paraId="05318EEE">
      <w:pPr>
        <w:pStyle w:val="3"/>
        <w:jc w:val="center"/>
        <w:rPr>
          <w:rFonts w:ascii="宋体" w:hAnsi="宋体" w:cs="宋体"/>
          <w:b w:val="0"/>
          <w:bCs w:val="0"/>
          <w:color w:val="auto"/>
          <w:sz w:val="30"/>
          <w:highlight w:val="none"/>
        </w:rPr>
      </w:pPr>
      <w:r>
        <w:rPr>
          <w:rFonts w:ascii="宋体" w:hAnsi="宋体"/>
          <w:b w:val="0"/>
          <w:bCs w:val="0"/>
          <w:color w:val="auto"/>
          <w:sz w:val="30"/>
          <w:szCs w:val="30"/>
          <w:highlight w:val="none"/>
        </w:rPr>
        <w:br w:type="page"/>
      </w:r>
      <w:r>
        <w:rPr>
          <w:rFonts w:hint="eastAsia" w:ascii="宋体" w:hAnsi="宋体"/>
          <w:b w:val="0"/>
          <w:color w:val="auto"/>
          <w:sz w:val="30"/>
          <w:highlight w:val="none"/>
        </w:rPr>
        <w:t>第一部分　合同协议书</w:t>
      </w:r>
    </w:p>
    <w:p w14:paraId="59450193">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发包人（全称）：</w:t>
      </w:r>
      <w:r>
        <w:rPr>
          <w:rFonts w:hint="eastAsia" w:ascii="宋体" w:hAnsi="宋体" w:cs="宋体"/>
          <w:color w:val="auto"/>
          <w:highlight w:val="none"/>
          <w:u w:val="single"/>
        </w:rPr>
        <w:t xml:space="preserve"> 南通市崇川区钟秀街道办事处、南通天一置业有限公司</w:t>
      </w:r>
    </w:p>
    <w:p w14:paraId="475A3852">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承包人（全称）：</w:t>
      </w:r>
      <w:r>
        <w:rPr>
          <w:rFonts w:hint="eastAsia" w:ascii="宋体" w:hAnsi="宋体" w:cs="宋体"/>
          <w:color w:val="auto"/>
          <w:highlight w:val="none"/>
          <w:u w:val="single"/>
        </w:rPr>
        <w:t>                 </w:t>
      </w:r>
    </w:p>
    <w:p w14:paraId="6B2F8C69">
      <w:pPr>
        <w:spacing w:line="360" w:lineRule="auto"/>
        <w:ind w:firstLine="420" w:firstLineChars="200"/>
        <w:jc w:val="left"/>
        <w:rPr>
          <w:rFonts w:ascii="宋体" w:hAnsi="宋体" w:cs="宋体"/>
          <w:color w:val="auto"/>
          <w:highlight w:val="none"/>
          <w:u w:val="single"/>
        </w:rPr>
      </w:pPr>
      <w:r>
        <w:rPr>
          <w:rFonts w:hint="eastAsia" w:ascii="宋体" w:hAnsi="宋体" w:cs="宋体"/>
          <w:color w:val="auto"/>
          <w:highlight w:val="none"/>
        </w:rPr>
        <w:t>根据《中华人民共和国民法典》、《中华人民共和国建筑法》及有关法律规定，遵循平等、自愿、公平和诚实信用的原则，双方就</w:t>
      </w:r>
      <w:r>
        <w:rPr>
          <w:rFonts w:hint="eastAsia" w:ascii="宋体" w:hAnsi="宋体" w:cs="宋体"/>
          <w:color w:val="auto"/>
          <w:highlight w:val="none"/>
          <w:u w:val="single"/>
        </w:rPr>
        <w:t xml:space="preserve">                  </w:t>
      </w:r>
      <w:r>
        <w:rPr>
          <w:rFonts w:hint="eastAsia" w:ascii="宋体" w:hAnsi="宋体" w:cs="宋体"/>
          <w:color w:val="auto"/>
          <w:highlight w:val="none"/>
        </w:rPr>
        <w:t>施工及有关事项协商一致，共同达成如下协议：</w:t>
      </w:r>
    </w:p>
    <w:p w14:paraId="1A2A8432">
      <w:pPr>
        <w:spacing w:line="360" w:lineRule="auto"/>
        <w:ind w:firstLine="422" w:firstLineChars="200"/>
        <w:jc w:val="left"/>
        <w:rPr>
          <w:rFonts w:ascii="宋体" w:hAnsi="宋体" w:cs="宋体"/>
          <w:b/>
          <w:color w:val="auto"/>
          <w:highlight w:val="none"/>
        </w:rPr>
      </w:pPr>
      <w:r>
        <w:rPr>
          <w:rFonts w:hint="eastAsia" w:ascii="宋体" w:hAnsi="宋体" w:cs="宋体"/>
          <w:b/>
          <w:color w:val="auto"/>
          <w:highlight w:val="none"/>
        </w:rPr>
        <w:t>一、工程概况</w:t>
      </w:r>
    </w:p>
    <w:p w14:paraId="6C1E22F1">
      <w:pPr>
        <w:spacing w:line="360" w:lineRule="auto"/>
        <w:ind w:firstLine="420" w:firstLineChars="200"/>
        <w:jc w:val="left"/>
        <w:rPr>
          <w:rFonts w:ascii="宋体" w:hAnsi="宋体" w:cs="宋体"/>
          <w:color w:val="auto"/>
          <w:highlight w:val="none"/>
        </w:rPr>
      </w:pPr>
      <w:r>
        <w:rPr>
          <w:rFonts w:hint="eastAsia" w:ascii="宋体" w:hAnsi="宋体" w:cs="宋体"/>
          <w:color w:val="auto"/>
          <w:highlight w:val="none"/>
        </w:rPr>
        <w:t>1.工程名称：</w:t>
      </w:r>
      <w:r>
        <w:rPr>
          <w:rFonts w:hint="eastAsia" w:ascii="宋体" w:hAnsi="宋体" w:cs="宋体"/>
          <w:color w:val="auto"/>
          <w:highlight w:val="none"/>
          <w:u w:val="single"/>
        </w:rPr>
        <w:t xml:space="preserve">                          </w:t>
      </w:r>
    </w:p>
    <w:p w14:paraId="5B2F5AE8">
      <w:pPr>
        <w:spacing w:line="360" w:lineRule="auto"/>
        <w:ind w:firstLine="420" w:firstLineChars="200"/>
        <w:jc w:val="left"/>
        <w:rPr>
          <w:rFonts w:ascii="宋体" w:hAnsi="宋体" w:cs="宋体"/>
          <w:color w:val="auto"/>
          <w:highlight w:val="none"/>
        </w:rPr>
      </w:pPr>
      <w:r>
        <w:rPr>
          <w:rFonts w:hint="eastAsia" w:ascii="宋体" w:hAnsi="宋体" w:cs="宋体"/>
          <w:color w:val="auto"/>
          <w:highlight w:val="none"/>
        </w:rPr>
        <w:t>2.工程地点：</w:t>
      </w:r>
      <w:r>
        <w:rPr>
          <w:rFonts w:hint="eastAsia" w:ascii="宋体" w:hAnsi="宋体" w:cs="宋体"/>
          <w:color w:val="auto"/>
          <w:highlight w:val="none"/>
          <w:u w:val="single"/>
        </w:rPr>
        <w:t xml:space="preserve">                        </w:t>
      </w:r>
    </w:p>
    <w:p w14:paraId="42BF4ABA">
      <w:pPr>
        <w:spacing w:line="360" w:lineRule="auto"/>
        <w:ind w:firstLine="420" w:firstLineChars="200"/>
        <w:jc w:val="left"/>
        <w:rPr>
          <w:rFonts w:ascii="宋体" w:hAnsi="宋体" w:cs="宋体"/>
          <w:color w:val="auto"/>
          <w:highlight w:val="none"/>
          <w:u w:val="single"/>
        </w:rPr>
      </w:pPr>
      <w:r>
        <w:rPr>
          <w:rFonts w:hint="eastAsia" w:ascii="宋体" w:hAnsi="宋体" w:cs="宋体"/>
          <w:color w:val="auto"/>
          <w:highlight w:val="none"/>
        </w:rPr>
        <w:t>3.工程立项批准文号：</w:t>
      </w:r>
      <w:r>
        <w:rPr>
          <w:rFonts w:hint="eastAsia" w:ascii="宋体" w:hAnsi="宋体" w:cs="宋体"/>
          <w:color w:val="auto"/>
          <w:highlight w:val="none"/>
          <w:u w:val="single"/>
        </w:rPr>
        <w:t xml:space="preserve">               </w:t>
      </w:r>
    </w:p>
    <w:p w14:paraId="3FA2903F">
      <w:pPr>
        <w:spacing w:line="360" w:lineRule="auto"/>
        <w:ind w:firstLine="420" w:firstLineChars="200"/>
        <w:jc w:val="left"/>
        <w:rPr>
          <w:rFonts w:ascii="宋体" w:hAnsi="宋体" w:cs="宋体"/>
          <w:color w:val="auto"/>
          <w:highlight w:val="none"/>
        </w:rPr>
      </w:pPr>
      <w:r>
        <w:rPr>
          <w:rFonts w:hint="eastAsia" w:ascii="宋体" w:hAnsi="宋体" w:cs="宋体"/>
          <w:color w:val="auto"/>
          <w:highlight w:val="none"/>
        </w:rPr>
        <w:t>4.资金来源：</w:t>
      </w:r>
      <w:r>
        <w:rPr>
          <w:rFonts w:hint="eastAsia" w:ascii="宋体" w:hAnsi="宋体" w:cs="宋体"/>
          <w:color w:val="auto"/>
          <w:highlight w:val="none"/>
          <w:u w:val="single"/>
        </w:rPr>
        <w:t></w:t>
      </w:r>
      <w:r>
        <w:rPr>
          <w:rFonts w:hint="eastAsia" w:ascii="宋体" w:hAnsi="宋体" w:cs="宋体"/>
          <w:b/>
          <w:bCs/>
          <w:color w:val="auto"/>
          <w:highlight w:val="none"/>
          <w:u w:val="single"/>
          <w:lang w:val="zh-CN"/>
        </w:rPr>
        <w:t>财政</w:t>
      </w:r>
      <w:r>
        <w:rPr>
          <w:rFonts w:hint="eastAsia" w:ascii="宋体" w:hAnsi="宋体" w:cs="宋体"/>
          <w:color w:val="auto"/>
          <w:highlight w:val="none"/>
          <w:u w:val="single"/>
        </w:rPr>
        <w:t xml:space="preserve">  </w:t>
      </w:r>
    </w:p>
    <w:p w14:paraId="5A849016">
      <w:pPr>
        <w:spacing w:line="360" w:lineRule="auto"/>
        <w:ind w:firstLine="420" w:firstLineChars="200"/>
        <w:jc w:val="left"/>
        <w:rPr>
          <w:rFonts w:ascii="宋体" w:hAnsi="宋体" w:cs="宋体"/>
          <w:color w:val="auto"/>
          <w:highlight w:val="none"/>
          <w:u w:val="single"/>
        </w:rPr>
      </w:pPr>
      <w:r>
        <w:rPr>
          <w:rFonts w:hint="eastAsia" w:ascii="宋体" w:hAnsi="宋体" w:cs="宋体"/>
          <w:color w:val="auto"/>
          <w:highlight w:val="none"/>
        </w:rPr>
        <w:t>5.工程内容：</w:t>
      </w:r>
      <w:r>
        <w:rPr>
          <w:rFonts w:hint="eastAsia" w:ascii="宋体" w:hAnsi="宋体" w:cs="宋体"/>
          <w:color w:val="auto"/>
          <w:highlight w:val="none"/>
          <w:u w:val="single"/>
        </w:rPr>
        <w:t xml:space="preserve">                                   </w:t>
      </w:r>
    </w:p>
    <w:p w14:paraId="2A98759C">
      <w:pPr>
        <w:spacing w:line="360" w:lineRule="auto"/>
        <w:ind w:firstLine="420" w:firstLineChars="200"/>
        <w:jc w:val="left"/>
        <w:rPr>
          <w:rFonts w:ascii="宋体" w:hAnsi="宋体" w:cs="宋体"/>
          <w:color w:val="auto"/>
          <w:highlight w:val="none"/>
          <w:u w:val="single"/>
        </w:rPr>
      </w:pPr>
      <w:r>
        <w:rPr>
          <w:rFonts w:hint="eastAsia" w:ascii="宋体" w:hAnsi="宋体" w:cs="宋体"/>
          <w:color w:val="auto"/>
          <w:highlight w:val="none"/>
          <w:lang w:val="zh-CN"/>
        </w:rPr>
        <w:t>群体工程应附《承包人承揽工程项目一览表》（附件1）</w:t>
      </w:r>
    </w:p>
    <w:p w14:paraId="35E49E71">
      <w:pPr>
        <w:spacing w:line="360" w:lineRule="auto"/>
        <w:ind w:firstLine="420" w:firstLineChars="200"/>
        <w:jc w:val="left"/>
        <w:rPr>
          <w:rFonts w:ascii="宋体" w:hAnsi="宋体" w:cs="宋体"/>
          <w:color w:val="auto"/>
          <w:highlight w:val="none"/>
          <w:u w:val="single"/>
        </w:rPr>
      </w:pPr>
      <w:r>
        <w:rPr>
          <w:rFonts w:hint="eastAsia" w:ascii="宋体" w:hAnsi="宋体" w:cs="宋体"/>
          <w:color w:val="auto"/>
          <w:highlight w:val="none"/>
        </w:rPr>
        <w:t>6.工程承包范围：</w:t>
      </w:r>
      <w:r>
        <w:rPr>
          <w:rFonts w:hint="eastAsia" w:ascii="宋体" w:hAnsi="宋体" w:cs="宋体"/>
          <w:color w:val="auto"/>
          <w:highlight w:val="none"/>
          <w:u w:val="single"/>
        </w:rPr>
        <w:t xml:space="preserve">  </w:t>
      </w:r>
      <w:r>
        <w:rPr>
          <w:rFonts w:hint="eastAsia" w:ascii="宋体" w:hAnsi="宋体" w:cs="宋体"/>
          <w:bCs/>
          <w:color w:val="auto"/>
          <w:highlight w:val="none"/>
          <w:u w:val="single"/>
        </w:rPr>
        <w:t>同工程内容</w:t>
      </w:r>
      <w:r>
        <w:rPr>
          <w:rFonts w:hint="eastAsia" w:ascii="宋体" w:hAnsi="宋体" w:cs="宋体"/>
          <w:color w:val="auto"/>
          <w:highlight w:val="none"/>
          <w:u w:val="single"/>
        </w:rPr>
        <w:t>。</w:t>
      </w:r>
    </w:p>
    <w:p w14:paraId="1E9F1471">
      <w:pPr>
        <w:spacing w:line="360" w:lineRule="auto"/>
        <w:ind w:firstLine="422" w:firstLineChars="200"/>
        <w:jc w:val="left"/>
        <w:rPr>
          <w:rFonts w:ascii="宋体" w:hAnsi="宋体" w:cs="宋体"/>
          <w:b/>
          <w:color w:val="auto"/>
          <w:highlight w:val="none"/>
        </w:rPr>
      </w:pPr>
      <w:r>
        <w:rPr>
          <w:rFonts w:hint="eastAsia" w:ascii="宋体" w:hAnsi="宋体" w:cs="宋体"/>
          <w:b/>
          <w:color w:val="auto"/>
          <w:highlight w:val="none"/>
        </w:rPr>
        <w:t>二、合同工期</w:t>
      </w:r>
    </w:p>
    <w:p w14:paraId="57E00027">
      <w:pPr>
        <w:spacing w:line="360" w:lineRule="auto"/>
        <w:ind w:firstLine="420" w:firstLineChars="200"/>
        <w:jc w:val="left"/>
        <w:rPr>
          <w:rFonts w:ascii="宋体" w:hAnsi="宋体" w:cs="宋体"/>
          <w:color w:val="auto"/>
          <w:highlight w:val="none"/>
        </w:rPr>
      </w:pPr>
      <w:r>
        <w:rPr>
          <w:rFonts w:hint="eastAsia" w:ascii="宋体" w:hAnsi="宋体" w:cs="宋体"/>
          <w:color w:val="auto"/>
          <w:highlight w:val="none"/>
        </w:rPr>
        <w:t>计划开工日期：</w:t>
      </w:r>
      <w:r>
        <w:rPr>
          <w:rFonts w:hint="eastAsia" w:ascii="宋体" w:hAnsi="宋体" w:cs="宋体"/>
          <w:color w:val="auto"/>
          <w:highlight w:val="none"/>
          <w:u w:val="single"/>
        </w:rPr>
        <w:t>  </w:t>
      </w:r>
      <w:r>
        <w:rPr>
          <w:rFonts w:hint="eastAsia" w:ascii="宋体" w:hAnsi="宋体" w:cs="宋体"/>
          <w:color w:val="auto"/>
          <w:highlight w:val="none"/>
        </w:rPr>
        <w:t>年</w:t>
      </w:r>
      <w:r>
        <w:rPr>
          <w:rFonts w:hint="eastAsia" w:ascii="宋体" w:hAnsi="宋体" w:cs="宋体"/>
          <w:color w:val="auto"/>
          <w:highlight w:val="none"/>
          <w:u w:val="single"/>
        </w:rPr>
        <w:t></w:t>
      </w:r>
      <w:r>
        <w:rPr>
          <w:rFonts w:hint="eastAsia" w:ascii="宋体" w:hAnsi="宋体" w:cs="宋体"/>
          <w:color w:val="auto"/>
          <w:highlight w:val="none"/>
        </w:rPr>
        <w:t>月</w:t>
      </w:r>
      <w:r>
        <w:rPr>
          <w:rFonts w:hint="eastAsia" w:ascii="宋体" w:hAnsi="宋体" w:cs="宋体"/>
          <w:color w:val="auto"/>
          <w:highlight w:val="none"/>
          <w:u w:val="single"/>
        </w:rPr>
        <w:t></w:t>
      </w:r>
      <w:r>
        <w:rPr>
          <w:rFonts w:hint="eastAsia" w:ascii="宋体" w:hAnsi="宋体" w:cs="宋体"/>
          <w:color w:val="auto"/>
          <w:highlight w:val="none"/>
        </w:rPr>
        <w:t>日。</w:t>
      </w:r>
    </w:p>
    <w:p w14:paraId="4772AE7C">
      <w:pPr>
        <w:spacing w:line="360" w:lineRule="auto"/>
        <w:ind w:firstLine="420" w:firstLineChars="200"/>
        <w:jc w:val="left"/>
        <w:rPr>
          <w:rFonts w:ascii="宋体" w:hAnsi="宋体" w:cs="宋体"/>
          <w:color w:val="auto"/>
          <w:highlight w:val="none"/>
        </w:rPr>
      </w:pPr>
      <w:r>
        <w:rPr>
          <w:rFonts w:hint="eastAsia" w:ascii="宋体" w:hAnsi="宋体" w:cs="宋体"/>
          <w:color w:val="auto"/>
          <w:highlight w:val="none"/>
        </w:rPr>
        <w:t>计划竣工日期：</w:t>
      </w:r>
      <w:r>
        <w:rPr>
          <w:rFonts w:hint="eastAsia" w:ascii="宋体" w:hAnsi="宋体" w:cs="宋体"/>
          <w:color w:val="auto"/>
          <w:highlight w:val="none"/>
          <w:u w:val="single"/>
        </w:rPr>
        <w:t xml:space="preserve">     </w:t>
      </w:r>
      <w:r>
        <w:rPr>
          <w:rFonts w:hint="eastAsia" w:ascii="宋体" w:hAnsi="宋体" w:cs="宋体"/>
          <w:color w:val="auto"/>
          <w:highlight w:val="none"/>
        </w:rPr>
        <w:t>年</w:t>
      </w:r>
      <w:r>
        <w:rPr>
          <w:rFonts w:hint="eastAsia" w:ascii="宋体" w:hAnsi="宋体" w:cs="宋体"/>
          <w:color w:val="auto"/>
          <w:highlight w:val="none"/>
          <w:u w:val="single"/>
        </w:rPr>
        <w:t> </w:t>
      </w:r>
      <w:r>
        <w:rPr>
          <w:rFonts w:hint="eastAsia" w:ascii="宋体" w:hAnsi="宋体" w:cs="宋体"/>
          <w:color w:val="auto"/>
          <w:highlight w:val="none"/>
        </w:rPr>
        <w:t>月</w:t>
      </w:r>
      <w:r>
        <w:rPr>
          <w:rFonts w:hint="eastAsia" w:ascii="宋体" w:hAnsi="宋体" w:cs="宋体"/>
          <w:color w:val="auto"/>
          <w:highlight w:val="none"/>
          <w:u w:val="single"/>
        </w:rPr>
        <w:t> </w:t>
      </w:r>
      <w:r>
        <w:rPr>
          <w:rFonts w:hint="eastAsia" w:ascii="宋体" w:hAnsi="宋体" w:cs="宋体"/>
          <w:color w:val="auto"/>
          <w:highlight w:val="none"/>
        </w:rPr>
        <w:t>日。</w:t>
      </w:r>
    </w:p>
    <w:p w14:paraId="159CAE7B">
      <w:pPr>
        <w:spacing w:line="360" w:lineRule="auto"/>
        <w:ind w:firstLine="420" w:firstLineChars="200"/>
        <w:jc w:val="left"/>
        <w:rPr>
          <w:rFonts w:ascii="宋体" w:hAnsi="宋体" w:cs="宋体"/>
          <w:color w:val="auto"/>
          <w:highlight w:val="none"/>
        </w:rPr>
      </w:pPr>
      <w:r>
        <w:rPr>
          <w:rFonts w:hint="eastAsia" w:ascii="宋体" w:hAnsi="宋体" w:cs="宋体"/>
          <w:color w:val="auto"/>
          <w:highlight w:val="none"/>
        </w:rPr>
        <w:t>工期总日历天数：</w:t>
      </w:r>
      <w:r>
        <w:rPr>
          <w:rFonts w:hint="eastAsia" w:ascii="宋体" w:hAnsi="宋体" w:cs="宋体"/>
          <w:color w:val="auto"/>
          <w:highlight w:val="none"/>
          <w:u w:val="single"/>
        </w:rPr>
        <w:t xml:space="preserve">  </w:t>
      </w:r>
      <w:r>
        <w:rPr>
          <w:rFonts w:hint="eastAsia" w:ascii="宋体" w:hAnsi="宋体" w:cs="宋体"/>
          <w:color w:val="auto"/>
          <w:highlight w:val="none"/>
        </w:rPr>
        <w:t>日历天。工期总日历天数与根据前述计划开竣工日期计算的工期天数不一致的，以工期总日历天数为准。</w:t>
      </w:r>
    </w:p>
    <w:p w14:paraId="36DE5995">
      <w:pPr>
        <w:spacing w:line="360" w:lineRule="auto"/>
        <w:ind w:firstLine="422" w:firstLineChars="200"/>
        <w:jc w:val="left"/>
        <w:rPr>
          <w:rFonts w:ascii="宋体" w:hAnsi="宋体" w:cs="宋体"/>
          <w:b/>
          <w:color w:val="auto"/>
          <w:highlight w:val="none"/>
        </w:rPr>
      </w:pPr>
      <w:r>
        <w:rPr>
          <w:rFonts w:hint="eastAsia" w:ascii="宋体" w:hAnsi="宋体" w:cs="宋体"/>
          <w:b/>
          <w:color w:val="auto"/>
          <w:highlight w:val="none"/>
        </w:rPr>
        <w:t>三、质量标准</w:t>
      </w:r>
    </w:p>
    <w:p w14:paraId="0B1F8C1D">
      <w:pPr>
        <w:spacing w:line="360" w:lineRule="auto"/>
        <w:ind w:firstLine="420" w:firstLineChars="200"/>
        <w:jc w:val="left"/>
        <w:rPr>
          <w:rFonts w:ascii="宋体" w:hAnsi="宋体" w:cs="宋体"/>
          <w:color w:val="auto"/>
          <w:highlight w:val="none"/>
        </w:rPr>
      </w:pPr>
      <w:r>
        <w:rPr>
          <w:rFonts w:hint="eastAsia" w:ascii="宋体" w:hAnsi="宋体" w:cs="宋体"/>
          <w:color w:val="auto"/>
          <w:highlight w:val="none"/>
        </w:rPr>
        <w:t>工程质量符合</w:t>
      </w:r>
      <w:r>
        <w:rPr>
          <w:rFonts w:hint="eastAsia" w:ascii="宋体" w:hAnsi="宋体" w:cs="宋体"/>
          <w:color w:val="auto"/>
          <w:highlight w:val="none"/>
          <w:u w:val="single"/>
        </w:rPr>
        <w:t></w:t>
      </w:r>
      <w:r>
        <w:rPr>
          <w:rFonts w:hint="eastAsia" w:ascii="宋体" w:hAnsi="宋体" w:cs="宋体"/>
          <w:b/>
          <w:color w:val="auto"/>
          <w:highlight w:val="none"/>
          <w:u w:val="single"/>
          <w:lang w:val="zh-CN"/>
        </w:rPr>
        <w:t>合格</w:t>
      </w:r>
      <w:r>
        <w:rPr>
          <w:rFonts w:hint="eastAsia" w:ascii="宋体" w:hAnsi="宋体" w:cs="宋体"/>
          <w:color w:val="auto"/>
          <w:highlight w:val="none"/>
          <w:u w:val="single"/>
        </w:rPr>
        <w:t></w:t>
      </w:r>
      <w:r>
        <w:rPr>
          <w:rFonts w:hint="eastAsia" w:ascii="宋体" w:hAnsi="宋体" w:cs="宋体"/>
          <w:color w:val="auto"/>
          <w:highlight w:val="none"/>
        </w:rPr>
        <w:t>标准。</w:t>
      </w:r>
    </w:p>
    <w:p w14:paraId="544EE5FD">
      <w:pPr>
        <w:spacing w:line="360" w:lineRule="auto"/>
        <w:ind w:firstLine="422" w:firstLineChars="200"/>
        <w:jc w:val="left"/>
        <w:rPr>
          <w:rFonts w:ascii="宋体" w:hAnsi="宋体" w:cs="宋体"/>
          <w:b/>
          <w:color w:val="auto"/>
          <w:highlight w:val="none"/>
        </w:rPr>
      </w:pPr>
      <w:r>
        <w:rPr>
          <w:rFonts w:hint="eastAsia" w:ascii="宋体" w:hAnsi="宋体" w:cs="宋体"/>
          <w:b/>
          <w:color w:val="auto"/>
          <w:highlight w:val="none"/>
        </w:rPr>
        <w:t>四、签约合同价与合同价格形式</w:t>
      </w:r>
      <w:r>
        <w:rPr>
          <w:rFonts w:hint="eastAsia" w:ascii="宋体" w:hAnsi="宋体" w:cs="宋体"/>
          <w:b/>
          <w:color w:val="auto"/>
          <w:highlight w:val="none"/>
        </w:rPr>
        <w:tab/>
      </w:r>
    </w:p>
    <w:p w14:paraId="71D9F040">
      <w:pPr>
        <w:spacing w:line="360" w:lineRule="auto"/>
        <w:ind w:firstLine="420" w:firstLineChars="200"/>
        <w:jc w:val="left"/>
        <w:rPr>
          <w:rFonts w:ascii="宋体" w:hAnsi="宋体" w:cs="宋体"/>
          <w:color w:val="auto"/>
          <w:highlight w:val="none"/>
        </w:rPr>
      </w:pPr>
      <w:r>
        <w:rPr>
          <w:rFonts w:hint="eastAsia" w:ascii="宋体" w:hAnsi="宋体" w:cs="宋体"/>
          <w:color w:val="auto"/>
          <w:highlight w:val="none"/>
        </w:rPr>
        <w:t>1.签约合同价为：</w:t>
      </w:r>
    </w:p>
    <w:p w14:paraId="50E2C32E">
      <w:pPr>
        <w:spacing w:line="360" w:lineRule="auto"/>
        <w:ind w:firstLine="420" w:firstLineChars="200"/>
        <w:jc w:val="left"/>
        <w:rPr>
          <w:rFonts w:ascii="宋体" w:hAnsi="宋体" w:cs="宋体"/>
          <w:color w:val="auto"/>
          <w:highlight w:val="none"/>
        </w:rPr>
      </w:pPr>
      <w:r>
        <w:rPr>
          <w:rFonts w:hint="eastAsia" w:ascii="宋体" w:hAnsi="宋体" w:cs="宋体"/>
          <w:color w:val="auto"/>
          <w:highlight w:val="none"/>
        </w:rPr>
        <w:t>人民币（大写）</w:t>
      </w:r>
      <w:r>
        <w:rPr>
          <w:rFonts w:hint="eastAsia" w:ascii="宋体" w:hAnsi="宋体" w:cs="宋体"/>
          <w:color w:val="auto"/>
          <w:highlight w:val="none"/>
          <w:u w:val="single"/>
        </w:rPr>
        <w:t xml:space="preserve">                      </w:t>
      </w:r>
      <w:r>
        <w:rPr>
          <w:rFonts w:hint="eastAsia" w:ascii="宋体" w:hAnsi="宋体" w:cs="宋体"/>
          <w:color w:val="auto"/>
          <w:highlight w:val="none"/>
        </w:rPr>
        <w:t xml:space="preserve"> (¥ </w:t>
      </w:r>
      <w:r>
        <w:rPr>
          <w:rFonts w:hint="eastAsia" w:ascii="宋体" w:hAnsi="宋体" w:cs="宋体"/>
          <w:color w:val="auto"/>
          <w:highlight w:val="none"/>
          <w:u w:val="single"/>
        </w:rPr>
        <w:t xml:space="preserve">           </w:t>
      </w:r>
      <w:r>
        <w:rPr>
          <w:rFonts w:hint="eastAsia" w:ascii="宋体" w:hAnsi="宋体" w:cs="宋体"/>
          <w:color w:val="auto"/>
          <w:highlight w:val="none"/>
        </w:rPr>
        <w:t>元)；</w:t>
      </w:r>
    </w:p>
    <w:p w14:paraId="2666A656">
      <w:pPr>
        <w:spacing w:line="360" w:lineRule="auto"/>
        <w:ind w:firstLine="420" w:firstLineChars="200"/>
        <w:jc w:val="left"/>
        <w:rPr>
          <w:rFonts w:ascii="宋体" w:hAnsi="宋体" w:cs="宋体"/>
          <w:color w:val="auto"/>
          <w:highlight w:val="none"/>
        </w:rPr>
      </w:pPr>
      <w:r>
        <w:rPr>
          <w:rFonts w:hint="eastAsia" w:ascii="宋体" w:hAnsi="宋体" w:cs="宋体"/>
          <w:color w:val="auto"/>
          <w:highlight w:val="none"/>
        </w:rPr>
        <w:t>其中：</w:t>
      </w:r>
    </w:p>
    <w:p w14:paraId="4B07F6ED">
      <w:pPr>
        <w:spacing w:line="360" w:lineRule="auto"/>
        <w:ind w:firstLine="420" w:firstLineChars="200"/>
        <w:jc w:val="left"/>
        <w:rPr>
          <w:rFonts w:ascii="宋体" w:hAnsi="宋体" w:cs="宋体"/>
          <w:color w:val="auto"/>
          <w:highlight w:val="none"/>
          <w:u w:val="single"/>
        </w:rPr>
      </w:pPr>
      <w:r>
        <w:rPr>
          <w:rFonts w:hint="eastAsia" w:ascii="宋体" w:hAnsi="宋体" w:cs="宋体"/>
          <w:color w:val="auto"/>
          <w:highlight w:val="none"/>
        </w:rPr>
        <w:t>（1）安全文明施工费：</w:t>
      </w:r>
    </w:p>
    <w:p w14:paraId="0B98B918">
      <w:pPr>
        <w:spacing w:line="360" w:lineRule="auto"/>
        <w:ind w:firstLine="420" w:firstLineChars="200"/>
        <w:jc w:val="left"/>
        <w:rPr>
          <w:rFonts w:ascii="宋体" w:hAnsi="宋体" w:cs="宋体"/>
          <w:color w:val="auto"/>
          <w:highlight w:val="none"/>
        </w:rPr>
      </w:pPr>
      <w:r>
        <w:rPr>
          <w:rFonts w:hint="eastAsia" w:ascii="宋体" w:hAnsi="宋体" w:cs="宋体"/>
          <w:color w:val="auto"/>
          <w:highlight w:val="none"/>
        </w:rPr>
        <w:t>人民币（大写）</w:t>
      </w:r>
      <w:r>
        <w:rPr>
          <w:rFonts w:hint="eastAsia" w:ascii="宋体" w:hAnsi="宋体" w:cs="宋体"/>
          <w:color w:val="auto"/>
          <w:highlight w:val="none"/>
          <w:u w:val="single"/>
        </w:rPr>
        <w:t xml:space="preserve">                    </w:t>
      </w:r>
      <w:r>
        <w:rPr>
          <w:rFonts w:hint="eastAsia" w:ascii="宋体" w:hAnsi="宋体" w:cs="宋体"/>
          <w:color w:val="auto"/>
          <w:highlight w:val="none"/>
        </w:rPr>
        <w:t xml:space="preserve">(¥ </w:t>
      </w:r>
      <w:r>
        <w:rPr>
          <w:rFonts w:hint="eastAsia" w:ascii="宋体" w:hAnsi="宋体" w:cs="宋体"/>
          <w:color w:val="auto"/>
          <w:highlight w:val="none"/>
          <w:u w:val="single"/>
        </w:rPr>
        <w:t xml:space="preserve">         </w:t>
      </w:r>
      <w:r>
        <w:rPr>
          <w:rFonts w:hint="eastAsia" w:ascii="宋体" w:hAnsi="宋体" w:cs="宋体"/>
          <w:color w:val="auto"/>
          <w:highlight w:val="none"/>
        </w:rPr>
        <w:t>元)；</w:t>
      </w:r>
    </w:p>
    <w:p w14:paraId="7D017CC5">
      <w:pPr>
        <w:spacing w:line="360" w:lineRule="auto"/>
        <w:ind w:firstLine="420" w:firstLineChars="200"/>
        <w:jc w:val="left"/>
        <w:rPr>
          <w:rFonts w:ascii="宋体" w:hAnsi="宋体" w:cs="宋体"/>
          <w:color w:val="auto"/>
          <w:highlight w:val="none"/>
        </w:rPr>
      </w:pPr>
      <w:r>
        <w:rPr>
          <w:rFonts w:hint="eastAsia" w:ascii="宋体" w:hAnsi="宋体" w:cs="宋体"/>
          <w:color w:val="auto"/>
          <w:highlight w:val="none"/>
        </w:rPr>
        <w:t>（2）材料和工程设备暂估价金额：</w:t>
      </w:r>
    </w:p>
    <w:p w14:paraId="3D1C9477">
      <w:pPr>
        <w:spacing w:line="360" w:lineRule="auto"/>
        <w:ind w:firstLine="420" w:firstLineChars="200"/>
        <w:jc w:val="left"/>
        <w:rPr>
          <w:rFonts w:ascii="宋体" w:hAnsi="宋体" w:cs="宋体"/>
          <w:color w:val="auto"/>
          <w:highlight w:val="none"/>
        </w:rPr>
      </w:pPr>
      <w:r>
        <w:rPr>
          <w:rFonts w:hint="eastAsia" w:ascii="宋体" w:hAnsi="宋体" w:cs="宋体"/>
          <w:color w:val="auto"/>
          <w:highlight w:val="none"/>
        </w:rPr>
        <w:t>人民币（大写）</w:t>
      </w:r>
      <w:r>
        <w:rPr>
          <w:rFonts w:hint="eastAsia" w:ascii="宋体" w:hAnsi="宋体" w:cs="宋体"/>
          <w:color w:val="auto"/>
          <w:highlight w:val="none"/>
          <w:u w:val="single"/>
        </w:rPr>
        <w:t xml:space="preserve">               </w:t>
      </w:r>
      <w:r>
        <w:rPr>
          <w:rFonts w:hint="eastAsia" w:ascii="宋体" w:hAnsi="宋体" w:cs="宋体"/>
          <w:color w:val="auto"/>
          <w:highlight w:val="none"/>
        </w:rPr>
        <w:t xml:space="preserve">(¥ </w:t>
      </w:r>
      <w:r>
        <w:rPr>
          <w:rFonts w:hint="eastAsia" w:ascii="宋体" w:hAnsi="宋体" w:cs="宋体"/>
          <w:color w:val="auto"/>
          <w:highlight w:val="none"/>
          <w:u w:val="single"/>
        </w:rPr>
        <w:t xml:space="preserve">         </w:t>
      </w:r>
      <w:r>
        <w:rPr>
          <w:rFonts w:hint="eastAsia" w:ascii="宋体" w:hAnsi="宋体" w:cs="宋体"/>
          <w:color w:val="auto"/>
          <w:highlight w:val="none"/>
        </w:rPr>
        <w:t>元)；</w:t>
      </w:r>
    </w:p>
    <w:p w14:paraId="0C787FA9">
      <w:pPr>
        <w:spacing w:line="360" w:lineRule="auto"/>
        <w:ind w:firstLine="420" w:firstLineChars="200"/>
        <w:jc w:val="left"/>
        <w:rPr>
          <w:rFonts w:ascii="宋体" w:hAnsi="宋体" w:cs="宋体"/>
          <w:color w:val="auto"/>
          <w:highlight w:val="none"/>
        </w:rPr>
      </w:pPr>
      <w:r>
        <w:rPr>
          <w:rFonts w:hint="eastAsia" w:ascii="宋体" w:hAnsi="宋体" w:cs="宋体"/>
          <w:color w:val="auto"/>
          <w:highlight w:val="none"/>
        </w:rPr>
        <w:t>（3）专业工程暂估价金额：</w:t>
      </w:r>
    </w:p>
    <w:p w14:paraId="05C6357D">
      <w:pPr>
        <w:spacing w:line="360" w:lineRule="auto"/>
        <w:ind w:firstLine="420" w:firstLineChars="200"/>
        <w:jc w:val="left"/>
        <w:rPr>
          <w:rFonts w:ascii="宋体" w:hAnsi="宋体" w:cs="宋体"/>
          <w:color w:val="auto"/>
          <w:highlight w:val="none"/>
        </w:rPr>
      </w:pPr>
      <w:r>
        <w:rPr>
          <w:rFonts w:hint="eastAsia" w:ascii="宋体" w:hAnsi="宋体" w:cs="宋体"/>
          <w:color w:val="auto"/>
          <w:highlight w:val="none"/>
        </w:rPr>
        <w:t>人民币（大写）</w:t>
      </w:r>
      <w:r>
        <w:rPr>
          <w:rFonts w:hint="eastAsia" w:ascii="宋体" w:hAnsi="宋体" w:cs="宋体"/>
          <w:color w:val="auto"/>
          <w:highlight w:val="none"/>
          <w:u w:val="single"/>
        </w:rPr>
        <w:t xml:space="preserve">               </w:t>
      </w:r>
      <w:r>
        <w:rPr>
          <w:rFonts w:hint="eastAsia" w:ascii="宋体" w:hAnsi="宋体" w:cs="宋体"/>
          <w:color w:val="auto"/>
          <w:highlight w:val="none"/>
        </w:rPr>
        <w:t>(¥</w:t>
      </w:r>
      <w:r>
        <w:rPr>
          <w:rFonts w:hint="eastAsia" w:ascii="宋体" w:hAnsi="宋体" w:cs="宋体"/>
          <w:color w:val="auto"/>
          <w:highlight w:val="none"/>
          <w:u w:val="single"/>
        </w:rPr>
        <w:t xml:space="preserve">          </w:t>
      </w:r>
      <w:r>
        <w:rPr>
          <w:rFonts w:hint="eastAsia" w:ascii="宋体" w:hAnsi="宋体" w:cs="宋体"/>
          <w:color w:val="auto"/>
          <w:highlight w:val="none"/>
        </w:rPr>
        <w:t>元)；</w:t>
      </w:r>
    </w:p>
    <w:p w14:paraId="1FFEADA4">
      <w:pPr>
        <w:spacing w:line="360" w:lineRule="auto"/>
        <w:ind w:firstLine="420" w:firstLineChars="200"/>
        <w:jc w:val="left"/>
        <w:rPr>
          <w:rFonts w:ascii="宋体" w:hAnsi="宋体" w:cs="宋体"/>
          <w:color w:val="auto"/>
          <w:highlight w:val="none"/>
        </w:rPr>
      </w:pPr>
      <w:r>
        <w:rPr>
          <w:rFonts w:hint="eastAsia" w:ascii="宋体" w:hAnsi="宋体" w:cs="宋体"/>
          <w:color w:val="auto"/>
          <w:highlight w:val="none"/>
        </w:rPr>
        <w:t>（4）暂列金额：</w:t>
      </w:r>
    </w:p>
    <w:p w14:paraId="08582D05">
      <w:pPr>
        <w:spacing w:line="360" w:lineRule="auto"/>
        <w:ind w:firstLine="420" w:firstLineChars="200"/>
        <w:jc w:val="left"/>
        <w:rPr>
          <w:rFonts w:ascii="宋体" w:hAnsi="宋体" w:cs="宋体"/>
          <w:color w:val="auto"/>
          <w:highlight w:val="none"/>
        </w:rPr>
      </w:pPr>
      <w:r>
        <w:rPr>
          <w:rFonts w:hint="eastAsia" w:ascii="宋体" w:hAnsi="宋体" w:cs="宋体"/>
          <w:color w:val="auto"/>
          <w:highlight w:val="none"/>
        </w:rPr>
        <w:t>人民币（大写）</w:t>
      </w:r>
      <w:r>
        <w:rPr>
          <w:rFonts w:hint="eastAsia" w:ascii="宋体" w:hAnsi="宋体" w:cs="宋体"/>
          <w:color w:val="auto"/>
          <w:highlight w:val="none"/>
          <w:u w:val="single"/>
        </w:rPr>
        <w:t xml:space="preserve">               </w:t>
      </w:r>
      <w:r>
        <w:rPr>
          <w:rFonts w:hint="eastAsia" w:ascii="宋体" w:hAnsi="宋体" w:cs="宋体"/>
          <w:color w:val="auto"/>
          <w:highlight w:val="none"/>
        </w:rPr>
        <w:t>(¥</w:t>
      </w:r>
      <w:r>
        <w:rPr>
          <w:rFonts w:hint="eastAsia" w:ascii="宋体" w:hAnsi="宋体" w:cs="宋体"/>
          <w:color w:val="auto"/>
          <w:highlight w:val="none"/>
          <w:u w:val="single"/>
        </w:rPr>
        <w:t xml:space="preserve">          </w:t>
      </w:r>
      <w:r>
        <w:rPr>
          <w:rFonts w:hint="eastAsia" w:ascii="宋体" w:hAnsi="宋体" w:cs="宋体"/>
          <w:color w:val="auto"/>
          <w:highlight w:val="none"/>
        </w:rPr>
        <w:t>元)。</w:t>
      </w:r>
    </w:p>
    <w:p w14:paraId="39C3D463">
      <w:pPr>
        <w:spacing w:line="360" w:lineRule="auto"/>
        <w:ind w:firstLine="420" w:firstLineChars="200"/>
        <w:jc w:val="left"/>
        <w:rPr>
          <w:rFonts w:ascii="宋体" w:hAnsi="宋体" w:cs="宋体"/>
          <w:color w:val="auto"/>
          <w:highlight w:val="none"/>
        </w:rPr>
      </w:pPr>
      <w:r>
        <w:rPr>
          <w:rFonts w:hint="eastAsia" w:ascii="宋体" w:hAnsi="宋体" w:cs="宋体"/>
          <w:color w:val="auto"/>
          <w:highlight w:val="none"/>
        </w:rPr>
        <w:t>2.合同价格形式：</w:t>
      </w:r>
      <w:r>
        <w:rPr>
          <w:rFonts w:hint="eastAsia" w:ascii="宋体" w:hAnsi="宋体" w:cs="宋体"/>
          <w:color w:val="auto"/>
          <w:highlight w:val="none"/>
          <w:u w:val="single"/>
        </w:rPr>
        <w:t xml:space="preserve">     </w:t>
      </w:r>
      <w:r>
        <w:rPr>
          <w:rFonts w:hint="eastAsia" w:ascii="宋体" w:hAnsi="宋体" w:cs="宋体"/>
          <w:b/>
          <w:color w:val="auto"/>
          <w:highlight w:val="none"/>
          <w:u w:val="single"/>
        </w:rPr>
        <w:t>固定单价合同</w:t>
      </w:r>
      <w:r>
        <w:rPr>
          <w:rFonts w:hint="eastAsia" w:ascii="宋体" w:hAnsi="宋体" w:cs="宋体"/>
          <w:color w:val="auto"/>
          <w:highlight w:val="none"/>
          <w:u w:val="single"/>
        </w:rPr>
        <w:t xml:space="preserve">     </w:t>
      </w:r>
      <w:r>
        <w:rPr>
          <w:rFonts w:hint="eastAsia" w:ascii="宋体" w:hAnsi="宋体" w:cs="宋体"/>
          <w:color w:val="auto"/>
          <w:highlight w:val="none"/>
        </w:rPr>
        <w:t>。</w:t>
      </w:r>
    </w:p>
    <w:p w14:paraId="28B79CF4">
      <w:pPr>
        <w:spacing w:line="360" w:lineRule="auto"/>
        <w:ind w:firstLine="422" w:firstLineChars="200"/>
        <w:jc w:val="left"/>
        <w:rPr>
          <w:rFonts w:ascii="宋体" w:hAnsi="宋体" w:cs="宋体"/>
          <w:b/>
          <w:color w:val="auto"/>
          <w:highlight w:val="none"/>
        </w:rPr>
      </w:pPr>
      <w:r>
        <w:rPr>
          <w:rFonts w:hint="eastAsia" w:ascii="宋体" w:hAnsi="宋体" w:cs="宋体"/>
          <w:b/>
          <w:color w:val="auto"/>
          <w:highlight w:val="none"/>
        </w:rPr>
        <w:t>五、项目经理</w:t>
      </w:r>
    </w:p>
    <w:p w14:paraId="270CFEF4">
      <w:pPr>
        <w:spacing w:line="360" w:lineRule="auto"/>
        <w:ind w:firstLine="420" w:firstLineChars="200"/>
        <w:jc w:val="left"/>
        <w:rPr>
          <w:rFonts w:ascii="宋体" w:hAnsi="宋体" w:cs="宋体"/>
          <w:color w:val="auto"/>
          <w:highlight w:val="none"/>
        </w:rPr>
      </w:pPr>
      <w:r>
        <w:rPr>
          <w:rFonts w:hint="eastAsia" w:ascii="宋体" w:hAnsi="宋体" w:cs="宋体"/>
          <w:color w:val="auto"/>
          <w:highlight w:val="none"/>
        </w:rPr>
        <w:t>承包人项目经理：</w:t>
      </w:r>
      <w:r>
        <w:rPr>
          <w:rFonts w:hint="eastAsia" w:ascii="宋体" w:hAnsi="宋体" w:cs="宋体"/>
          <w:color w:val="auto"/>
          <w:highlight w:val="none"/>
          <w:u w:val="single"/>
        </w:rPr>
        <w:t>                     </w:t>
      </w:r>
      <w:r>
        <w:rPr>
          <w:rFonts w:hint="eastAsia" w:ascii="宋体" w:hAnsi="宋体" w:cs="宋体"/>
          <w:color w:val="auto"/>
          <w:highlight w:val="none"/>
        </w:rPr>
        <w:t>。</w:t>
      </w:r>
    </w:p>
    <w:p w14:paraId="389DA6F7">
      <w:pPr>
        <w:spacing w:line="360" w:lineRule="auto"/>
        <w:ind w:firstLine="422" w:firstLineChars="200"/>
        <w:jc w:val="left"/>
        <w:rPr>
          <w:rFonts w:ascii="宋体" w:hAnsi="宋体" w:cs="宋体"/>
          <w:b/>
          <w:color w:val="auto"/>
          <w:highlight w:val="none"/>
        </w:rPr>
      </w:pPr>
      <w:r>
        <w:rPr>
          <w:rFonts w:hint="eastAsia" w:ascii="宋体" w:hAnsi="宋体" w:cs="宋体"/>
          <w:b/>
          <w:color w:val="auto"/>
          <w:highlight w:val="none"/>
        </w:rPr>
        <w:t>六、合同文件构成</w:t>
      </w:r>
    </w:p>
    <w:p w14:paraId="131B20C8">
      <w:pPr>
        <w:spacing w:line="360" w:lineRule="auto"/>
        <w:ind w:firstLine="420" w:firstLineChars="200"/>
        <w:jc w:val="left"/>
        <w:rPr>
          <w:rFonts w:ascii="宋体" w:hAnsi="宋体" w:cs="宋体"/>
          <w:color w:val="auto"/>
          <w:highlight w:val="none"/>
        </w:rPr>
      </w:pPr>
      <w:r>
        <w:rPr>
          <w:rFonts w:hint="eastAsia" w:ascii="宋体" w:hAnsi="宋体" w:cs="宋体"/>
          <w:color w:val="auto"/>
          <w:highlight w:val="none"/>
        </w:rPr>
        <w:t>本协议书与下列文件一起构成合同文件：</w:t>
      </w:r>
    </w:p>
    <w:p w14:paraId="12C56456">
      <w:pPr>
        <w:autoSpaceDE w:val="0"/>
        <w:autoSpaceDN w:val="0"/>
        <w:adjustRightInd w:val="0"/>
        <w:spacing w:line="360" w:lineRule="auto"/>
        <w:ind w:firstLine="420" w:firstLineChars="200"/>
        <w:jc w:val="left"/>
        <w:rPr>
          <w:rFonts w:ascii="宋体" w:hAnsi="宋体" w:cs="宋体"/>
          <w:color w:val="auto"/>
          <w:highlight w:val="none"/>
          <w:lang w:val="zh-CN"/>
        </w:rPr>
      </w:pPr>
      <w:r>
        <w:rPr>
          <w:rFonts w:hint="eastAsia" w:ascii="宋体" w:hAnsi="宋体" w:cs="宋体"/>
          <w:color w:val="auto"/>
          <w:highlight w:val="none"/>
          <w:lang w:val="zh-CN"/>
        </w:rPr>
        <w:t>（1）中标通知书（如果有）；</w:t>
      </w:r>
    </w:p>
    <w:p w14:paraId="39A6FC40">
      <w:pPr>
        <w:autoSpaceDE w:val="0"/>
        <w:autoSpaceDN w:val="0"/>
        <w:adjustRightInd w:val="0"/>
        <w:spacing w:line="360" w:lineRule="auto"/>
        <w:ind w:firstLine="420" w:firstLineChars="200"/>
        <w:jc w:val="left"/>
        <w:rPr>
          <w:rFonts w:ascii="宋体" w:hAnsi="宋体" w:cs="宋体"/>
          <w:color w:val="auto"/>
          <w:highlight w:val="none"/>
          <w:lang w:val="zh-CN"/>
        </w:rPr>
      </w:pPr>
      <w:r>
        <w:rPr>
          <w:rFonts w:hint="eastAsia" w:ascii="宋体" w:hAnsi="宋体" w:cs="宋体"/>
          <w:color w:val="auto"/>
          <w:highlight w:val="none"/>
          <w:lang w:val="zh-CN"/>
        </w:rPr>
        <w:t xml:space="preserve">（2）投标函及其附录（如果有）； </w:t>
      </w:r>
    </w:p>
    <w:p w14:paraId="56280841">
      <w:pPr>
        <w:autoSpaceDE w:val="0"/>
        <w:autoSpaceDN w:val="0"/>
        <w:adjustRightInd w:val="0"/>
        <w:spacing w:line="360" w:lineRule="auto"/>
        <w:ind w:firstLine="420" w:firstLineChars="200"/>
        <w:jc w:val="left"/>
        <w:rPr>
          <w:rFonts w:ascii="宋体" w:hAnsi="宋体" w:cs="宋体"/>
          <w:color w:val="auto"/>
          <w:highlight w:val="none"/>
          <w:lang w:val="zh-CN"/>
        </w:rPr>
      </w:pPr>
      <w:r>
        <w:rPr>
          <w:rFonts w:hint="eastAsia" w:ascii="宋体" w:hAnsi="宋体" w:cs="宋体"/>
          <w:color w:val="auto"/>
          <w:highlight w:val="none"/>
          <w:lang w:val="zh-CN"/>
        </w:rPr>
        <w:t>（3）专用合同条款及其附件；</w:t>
      </w:r>
    </w:p>
    <w:p w14:paraId="58D179C2">
      <w:pPr>
        <w:autoSpaceDE w:val="0"/>
        <w:autoSpaceDN w:val="0"/>
        <w:adjustRightInd w:val="0"/>
        <w:spacing w:line="360" w:lineRule="auto"/>
        <w:ind w:firstLine="420" w:firstLineChars="200"/>
        <w:jc w:val="left"/>
        <w:rPr>
          <w:rFonts w:ascii="宋体" w:hAnsi="宋体" w:cs="宋体"/>
          <w:color w:val="auto"/>
          <w:highlight w:val="none"/>
          <w:lang w:val="zh-CN"/>
        </w:rPr>
      </w:pPr>
      <w:r>
        <w:rPr>
          <w:rFonts w:hint="eastAsia" w:ascii="宋体" w:hAnsi="宋体" w:cs="宋体"/>
          <w:color w:val="auto"/>
          <w:highlight w:val="none"/>
          <w:lang w:val="zh-CN"/>
        </w:rPr>
        <w:t>（4）通用合同条款；</w:t>
      </w:r>
    </w:p>
    <w:p w14:paraId="7738E0A3">
      <w:pPr>
        <w:autoSpaceDE w:val="0"/>
        <w:autoSpaceDN w:val="0"/>
        <w:adjustRightInd w:val="0"/>
        <w:spacing w:line="360" w:lineRule="auto"/>
        <w:ind w:firstLine="420" w:firstLineChars="200"/>
        <w:jc w:val="left"/>
        <w:rPr>
          <w:rFonts w:ascii="宋体" w:hAnsi="宋体" w:cs="宋体"/>
          <w:color w:val="auto"/>
          <w:highlight w:val="none"/>
          <w:lang w:val="zh-CN"/>
        </w:rPr>
      </w:pPr>
      <w:r>
        <w:rPr>
          <w:rFonts w:hint="eastAsia" w:ascii="宋体" w:hAnsi="宋体" w:cs="宋体"/>
          <w:color w:val="auto"/>
          <w:highlight w:val="none"/>
          <w:lang w:val="zh-CN"/>
        </w:rPr>
        <w:t>（5）技术标准和要求；</w:t>
      </w:r>
    </w:p>
    <w:p w14:paraId="5C0ED343">
      <w:pPr>
        <w:autoSpaceDE w:val="0"/>
        <w:autoSpaceDN w:val="0"/>
        <w:adjustRightInd w:val="0"/>
        <w:spacing w:line="360" w:lineRule="auto"/>
        <w:ind w:firstLine="420" w:firstLineChars="200"/>
        <w:jc w:val="left"/>
        <w:rPr>
          <w:rFonts w:ascii="宋体" w:hAnsi="宋体" w:cs="宋体"/>
          <w:color w:val="auto"/>
          <w:highlight w:val="none"/>
          <w:lang w:val="zh-CN"/>
        </w:rPr>
      </w:pPr>
      <w:r>
        <w:rPr>
          <w:rFonts w:hint="eastAsia" w:ascii="宋体" w:hAnsi="宋体" w:cs="宋体"/>
          <w:color w:val="auto"/>
          <w:highlight w:val="none"/>
          <w:lang w:val="zh-CN"/>
        </w:rPr>
        <w:t>（6）已标价工程量清单或预算书；</w:t>
      </w:r>
    </w:p>
    <w:p w14:paraId="3FCB8988">
      <w:pPr>
        <w:autoSpaceDE w:val="0"/>
        <w:autoSpaceDN w:val="0"/>
        <w:adjustRightInd w:val="0"/>
        <w:spacing w:line="360" w:lineRule="auto"/>
        <w:ind w:firstLine="420" w:firstLineChars="200"/>
        <w:jc w:val="left"/>
        <w:rPr>
          <w:rFonts w:ascii="宋体" w:hAnsi="宋体" w:cs="宋体"/>
          <w:color w:val="auto"/>
          <w:highlight w:val="none"/>
          <w:lang w:val="zh-CN"/>
        </w:rPr>
      </w:pPr>
      <w:r>
        <w:rPr>
          <w:rFonts w:hint="eastAsia" w:ascii="宋体" w:hAnsi="宋体" w:cs="宋体"/>
          <w:color w:val="auto"/>
          <w:highlight w:val="none"/>
          <w:lang w:val="zh-CN"/>
        </w:rPr>
        <w:t>（7）图纸；</w:t>
      </w:r>
    </w:p>
    <w:p w14:paraId="7E67F839">
      <w:pPr>
        <w:autoSpaceDE w:val="0"/>
        <w:autoSpaceDN w:val="0"/>
        <w:adjustRightInd w:val="0"/>
        <w:spacing w:line="360" w:lineRule="auto"/>
        <w:ind w:firstLine="420" w:firstLineChars="200"/>
        <w:jc w:val="left"/>
        <w:rPr>
          <w:rFonts w:ascii="宋体" w:hAnsi="宋体" w:cs="宋体"/>
          <w:color w:val="auto"/>
          <w:highlight w:val="none"/>
        </w:rPr>
      </w:pPr>
      <w:r>
        <w:rPr>
          <w:rFonts w:hint="eastAsia" w:ascii="宋体" w:hAnsi="宋体" w:cs="宋体"/>
          <w:color w:val="auto"/>
          <w:highlight w:val="none"/>
          <w:lang w:val="zh-CN"/>
        </w:rPr>
        <w:t>（8）</w:t>
      </w:r>
      <w:r>
        <w:rPr>
          <w:rFonts w:hint="eastAsia" w:ascii="宋体" w:hAnsi="宋体" w:cs="宋体"/>
          <w:color w:val="auto"/>
          <w:highlight w:val="none"/>
        </w:rPr>
        <w:t>考核细则；</w:t>
      </w:r>
    </w:p>
    <w:p w14:paraId="75AAB065">
      <w:pPr>
        <w:autoSpaceDE w:val="0"/>
        <w:autoSpaceDN w:val="0"/>
        <w:adjustRightInd w:val="0"/>
        <w:spacing w:line="360" w:lineRule="auto"/>
        <w:ind w:firstLine="420" w:firstLineChars="200"/>
        <w:jc w:val="left"/>
        <w:rPr>
          <w:rFonts w:ascii="宋体" w:hAnsi="宋体" w:cs="宋体"/>
          <w:bCs/>
          <w:color w:val="auto"/>
          <w:highlight w:val="none"/>
        </w:rPr>
      </w:pPr>
      <w:r>
        <w:rPr>
          <w:rFonts w:hint="eastAsia" w:ascii="宋体" w:hAnsi="宋体" w:cs="宋体"/>
          <w:color w:val="auto"/>
          <w:highlight w:val="none"/>
        </w:rPr>
        <w:t>（9）</w:t>
      </w:r>
      <w:r>
        <w:rPr>
          <w:rFonts w:hint="eastAsia" w:ascii="宋体" w:hAnsi="宋体" w:cs="宋体"/>
          <w:color w:val="auto"/>
          <w:highlight w:val="none"/>
          <w:lang w:val="zh-CN"/>
        </w:rPr>
        <w:t>其他合同文件。</w:t>
      </w:r>
    </w:p>
    <w:p w14:paraId="303DFF1D">
      <w:pPr>
        <w:spacing w:line="360" w:lineRule="auto"/>
        <w:ind w:firstLine="420" w:firstLineChars="200"/>
        <w:jc w:val="left"/>
        <w:rPr>
          <w:rFonts w:ascii="宋体" w:hAnsi="宋体" w:cs="宋体"/>
          <w:color w:val="auto"/>
          <w:highlight w:val="none"/>
        </w:rPr>
      </w:pPr>
      <w:r>
        <w:rPr>
          <w:rFonts w:hint="eastAsia" w:ascii="宋体" w:hAnsi="宋体" w:cs="宋体"/>
          <w:color w:val="auto"/>
          <w:highlight w:val="none"/>
        </w:rPr>
        <w:t>在合同订立及履行过程中形成的与合同有关的文件均构成合同文件组成部分。</w:t>
      </w:r>
    </w:p>
    <w:p w14:paraId="5570CF14">
      <w:pPr>
        <w:spacing w:line="360" w:lineRule="auto"/>
        <w:ind w:firstLine="420" w:firstLineChars="200"/>
        <w:jc w:val="left"/>
        <w:rPr>
          <w:rFonts w:ascii="宋体" w:hAnsi="宋体" w:cs="宋体"/>
          <w:color w:val="auto"/>
          <w:highlight w:val="none"/>
        </w:rPr>
      </w:pPr>
      <w:r>
        <w:rPr>
          <w:rFonts w:hint="eastAsia" w:ascii="宋体" w:hAnsi="宋体" w:cs="宋体"/>
          <w:color w:val="auto"/>
          <w:highlight w:val="none"/>
        </w:rPr>
        <w:t>上述各项合同文件包括合同当事人就该项合同文件所作出的补充和修改，属于同一类内容的文件，应以最新签署的为准。专用合同条款及其附件须经合同当事人签字或盖章。</w:t>
      </w:r>
    </w:p>
    <w:p w14:paraId="63C52069">
      <w:pPr>
        <w:spacing w:line="360" w:lineRule="auto"/>
        <w:ind w:firstLine="422" w:firstLineChars="200"/>
        <w:jc w:val="left"/>
        <w:rPr>
          <w:rFonts w:ascii="宋体" w:hAnsi="宋体" w:cs="宋体"/>
          <w:b/>
          <w:color w:val="auto"/>
          <w:highlight w:val="none"/>
        </w:rPr>
      </w:pPr>
      <w:r>
        <w:rPr>
          <w:rFonts w:hint="eastAsia" w:ascii="宋体" w:hAnsi="宋体" w:cs="宋体"/>
          <w:b/>
          <w:color w:val="auto"/>
          <w:highlight w:val="none"/>
        </w:rPr>
        <w:t>七、承诺</w:t>
      </w:r>
    </w:p>
    <w:p w14:paraId="1C793670">
      <w:pPr>
        <w:spacing w:line="360" w:lineRule="auto"/>
        <w:ind w:firstLine="420" w:firstLineChars="200"/>
        <w:jc w:val="left"/>
        <w:rPr>
          <w:rFonts w:ascii="宋体" w:hAnsi="宋体" w:cs="宋体"/>
          <w:color w:val="auto"/>
          <w:highlight w:val="none"/>
        </w:rPr>
      </w:pPr>
      <w:r>
        <w:rPr>
          <w:rFonts w:hint="eastAsia" w:ascii="宋体" w:hAnsi="宋体" w:cs="宋体"/>
          <w:color w:val="auto"/>
          <w:highlight w:val="none"/>
        </w:rPr>
        <w:t>1.发包人承诺按照法律规定履行项目审批手续、筹集工程建设资金并按照合同约定的期限和方式支付合同价款。</w:t>
      </w:r>
    </w:p>
    <w:p w14:paraId="712A1571">
      <w:pPr>
        <w:spacing w:line="360" w:lineRule="auto"/>
        <w:ind w:firstLine="420" w:firstLineChars="200"/>
        <w:jc w:val="left"/>
        <w:rPr>
          <w:rFonts w:ascii="宋体" w:hAnsi="宋体" w:cs="宋体"/>
          <w:color w:val="auto"/>
          <w:highlight w:val="none"/>
        </w:rPr>
      </w:pPr>
      <w:r>
        <w:rPr>
          <w:rFonts w:hint="eastAsia" w:ascii="宋体" w:hAnsi="宋体" w:cs="宋体"/>
          <w:color w:val="auto"/>
          <w:highlight w:val="none"/>
        </w:rPr>
        <w:t>2.承包人承诺按照法律规定及合同约定组织完成工程施工，确保工程质量和安全，不进行转包及违法分包，并在缺陷责任期及保修期内承担相应的工程维修责任。</w:t>
      </w:r>
    </w:p>
    <w:p w14:paraId="76857713">
      <w:pPr>
        <w:spacing w:line="360" w:lineRule="auto"/>
        <w:ind w:firstLine="420" w:firstLineChars="200"/>
        <w:jc w:val="left"/>
        <w:rPr>
          <w:rFonts w:ascii="宋体" w:hAnsi="宋体" w:cs="宋体"/>
          <w:color w:val="auto"/>
          <w:highlight w:val="none"/>
        </w:rPr>
      </w:pPr>
      <w:r>
        <w:rPr>
          <w:rFonts w:hint="eastAsia" w:ascii="宋体" w:hAnsi="宋体" w:cs="宋体"/>
          <w:color w:val="auto"/>
          <w:highlight w:val="none"/>
        </w:rPr>
        <w:t>3.发包人和承包人通过招投标形式签订合同的，双方理解并承诺不再就同一工程另行签订与合同实质性内容相背离的协议。</w:t>
      </w:r>
    </w:p>
    <w:p w14:paraId="79360ACF">
      <w:pPr>
        <w:spacing w:line="360" w:lineRule="auto"/>
        <w:ind w:firstLine="422" w:firstLineChars="200"/>
        <w:jc w:val="left"/>
        <w:rPr>
          <w:rFonts w:ascii="宋体" w:hAnsi="宋体" w:cs="宋体"/>
          <w:b/>
          <w:color w:val="auto"/>
          <w:highlight w:val="none"/>
        </w:rPr>
      </w:pPr>
      <w:r>
        <w:rPr>
          <w:rFonts w:hint="eastAsia" w:ascii="宋体" w:hAnsi="宋体" w:cs="宋体"/>
          <w:b/>
          <w:color w:val="auto"/>
          <w:highlight w:val="none"/>
        </w:rPr>
        <w:t>八、词语含义</w:t>
      </w:r>
    </w:p>
    <w:p w14:paraId="2949B198">
      <w:pPr>
        <w:spacing w:line="360" w:lineRule="auto"/>
        <w:ind w:firstLine="420" w:firstLineChars="200"/>
        <w:jc w:val="left"/>
        <w:rPr>
          <w:rFonts w:ascii="宋体" w:hAnsi="宋体" w:cs="宋体"/>
          <w:color w:val="auto"/>
          <w:highlight w:val="none"/>
        </w:rPr>
      </w:pPr>
      <w:r>
        <w:rPr>
          <w:rFonts w:hint="eastAsia" w:ascii="宋体" w:hAnsi="宋体" w:cs="宋体"/>
          <w:color w:val="auto"/>
          <w:highlight w:val="none"/>
        </w:rPr>
        <w:t>本协议书中词语含义与第二部分通用合同条款中赋予的含义相同。</w:t>
      </w:r>
    </w:p>
    <w:p w14:paraId="0B2EDA94">
      <w:pPr>
        <w:spacing w:line="360" w:lineRule="auto"/>
        <w:ind w:firstLine="422" w:firstLineChars="200"/>
        <w:jc w:val="left"/>
        <w:rPr>
          <w:rFonts w:ascii="宋体" w:hAnsi="宋体" w:cs="宋体"/>
          <w:b/>
          <w:bCs/>
          <w:color w:val="auto"/>
          <w:highlight w:val="none"/>
        </w:rPr>
      </w:pPr>
      <w:r>
        <w:rPr>
          <w:rFonts w:hint="eastAsia" w:ascii="宋体" w:hAnsi="宋体" w:cs="宋体"/>
          <w:b/>
          <w:bCs/>
          <w:color w:val="auto"/>
          <w:highlight w:val="none"/>
        </w:rPr>
        <w:t>九、签订时间</w:t>
      </w:r>
    </w:p>
    <w:p w14:paraId="1F8428C0">
      <w:pPr>
        <w:spacing w:line="360" w:lineRule="auto"/>
        <w:ind w:firstLine="420" w:firstLineChars="200"/>
        <w:jc w:val="left"/>
        <w:rPr>
          <w:rFonts w:ascii="宋体" w:hAnsi="宋体" w:cs="宋体"/>
          <w:color w:val="auto"/>
          <w:highlight w:val="none"/>
        </w:rPr>
      </w:pPr>
      <w:r>
        <w:rPr>
          <w:rFonts w:hint="eastAsia" w:ascii="宋体" w:hAnsi="宋体" w:cs="宋体"/>
          <w:color w:val="auto"/>
          <w:highlight w:val="none"/>
        </w:rPr>
        <w:t>本合同于</w:t>
      </w:r>
      <w:r>
        <w:rPr>
          <w:rFonts w:hint="eastAsia" w:ascii="宋体" w:hAnsi="宋体" w:cs="宋体"/>
          <w:color w:val="auto"/>
          <w:highlight w:val="none"/>
          <w:u w:val="single"/>
        </w:rPr>
        <w:t xml:space="preserve">         </w:t>
      </w:r>
      <w:r>
        <w:rPr>
          <w:rFonts w:hint="eastAsia" w:ascii="宋体" w:hAnsi="宋体" w:cs="宋体"/>
          <w:color w:val="auto"/>
          <w:highlight w:val="none"/>
        </w:rPr>
        <w:t>年</w:t>
      </w:r>
      <w:r>
        <w:rPr>
          <w:rFonts w:hint="eastAsia" w:ascii="宋体" w:hAnsi="宋体" w:cs="宋体"/>
          <w:color w:val="auto"/>
          <w:highlight w:val="none"/>
          <w:u w:val="single"/>
        </w:rPr>
        <w:t xml:space="preserve">    </w:t>
      </w:r>
      <w:r>
        <w:rPr>
          <w:rFonts w:hint="eastAsia" w:ascii="宋体" w:hAnsi="宋体" w:cs="宋体"/>
          <w:color w:val="auto"/>
          <w:highlight w:val="none"/>
        </w:rPr>
        <w:t>月</w:t>
      </w:r>
      <w:r>
        <w:rPr>
          <w:rFonts w:hint="eastAsia" w:ascii="宋体" w:hAnsi="宋体" w:cs="宋体"/>
          <w:color w:val="auto"/>
          <w:highlight w:val="none"/>
          <w:u w:val="single"/>
        </w:rPr>
        <w:t xml:space="preserve">    </w:t>
      </w:r>
      <w:r>
        <w:rPr>
          <w:rFonts w:hint="eastAsia" w:ascii="宋体" w:hAnsi="宋体" w:cs="宋体"/>
          <w:color w:val="auto"/>
          <w:highlight w:val="none"/>
        </w:rPr>
        <w:t>日签订。</w:t>
      </w:r>
    </w:p>
    <w:p w14:paraId="2C1BFE15">
      <w:pPr>
        <w:spacing w:line="360" w:lineRule="auto"/>
        <w:ind w:firstLine="422" w:firstLineChars="200"/>
        <w:jc w:val="left"/>
        <w:rPr>
          <w:rFonts w:ascii="宋体" w:hAnsi="宋体" w:cs="宋体"/>
          <w:b/>
          <w:bCs/>
          <w:color w:val="auto"/>
          <w:highlight w:val="none"/>
        </w:rPr>
      </w:pPr>
      <w:r>
        <w:rPr>
          <w:rFonts w:hint="eastAsia" w:ascii="宋体" w:hAnsi="宋体" w:cs="宋体"/>
          <w:b/>
          <w:bCs/>
          <w:color w:val="auto"/>
          <w:highlight w:val="none"/>
        </w:rPr>
        <w:t>十、签订地点</w:t>
      </w:r>
    </w:p>
    <w:p w14:paraId="48EF252C">
      <w:pPr>
        <w:spacing w:line="360" w:lineRule="auto"/>
        <w:ind w:firstLine="420" w:firstLineChars="200"/>
        <w:jc w:val="left"/>
        <w:rPr>
          <w:rFonts w:ascii="宋体" w:hAnsi="宋体" w:cs="宋体"/>
          <w:color w:val="auto"/>
          <w:highlight w:val="none"/>
        </w:rPr>
      </w:pPr>
      <w:r>
        <w:rPr>
          <w:rFonts w:hint="eastAsia" w:ascii="宋体" w:hAnsi="宋体" w:cs="宋体"/>
          <w:color w:val="auto"/>
          <w:highlight w:val="none"/>
        </w:rPr>
        <w:t>本合同在</w:t>
      </w:r>
      <w:r>
        <w:rPr>
          <w:rFonts w:hint="eastAsia" w:ascii="宋体" w:hAnsi="宋体" w:cs="宋体"/>
          <w:color w:val="auto"/>
          <w:highlight w:val="none"/>
          <w:u w:val="single"/>
        </w:rPr>
        <w:t xml:space="preserve">                                    </w:t>
      </w:r>
      <w:r>
        <w:rPr>
          <w:rFonts w:hint="eastAsia" w:ascii="宋体" w:hAnsi="宋体" w:cs="宋体"/>
          <w:color w:val="auto"/>
          <w:highlight w:val="none"/>
        </w:rPr>
        <w:t>签订。</w:t>
      </w:r>
    </w:p>
    <w:p w14:paraId="1971F602">
      <w:pPr>
        <w:spacing w:line="360" w:lineRule="auto"/>
        <w:ind w:firstLine="422" w:firstLineChars="200"/>
        <w:jc w:val="left"/>
        <w:rPr>
          <w:rFonts w:ascii="宋体" w:hAnsi="宋体" w:cs="宋体"/>
          <w:b/>
          <w:bCs/>
          <w:color w:val="auto"/>
          <w:highlight w:val="none"/>
        </w:rPr>
      </w:pPr>
      <w:r>
        <w:rPr>
          <w:rFonts w:hint="eastAsia" w:ascii="宋体" w:hAnsi="宋体" w:cs="宋体"/>
          <w:b/>
          <w:bCs/>
          <w:color w:val="auto"/>
          <w:highlight w:val="none"/>
        </w:rPr>
        <w:t>十一、补充协议</w:t>
      </w:r>
    </w:p>
    <w:p w14:paraId="43F76938">
      <w:pPr>
        <w:spacing w:line="360" w:lineRule="auto"/>
        <w:ind w:firstLine="420" w:firstLineChars="200"/>
        <w:jc w:val="left"/>
        <w:rPr>
          <w:rFonts w:ascii="宋体" w:hAnsi="宋体" w:cs="宋体"/>
          <w:color w:val="auto"/>
          <w:highlight w:val="none"/>
        </w:rPr>
      </w:pPr>
      <w:r>
        <w:rPr>
          <w:rFonts w:hint="eastAsia" w:ascii="宋体" w:hAnsi="宋体" w:cs="宋体"/>
          <w:color w:val="auto"/>
          <w:highlight w:val="none"/>
        </w:rPr>
        <w:t>合同未尽事宜，合同当事人另行签订补充协议，补充协议是合同的组成部分。</w:t>
      </w:r>
    </w:p>
    <w:p w14:paraId="058C4F8E">
      <w:pPr>
        <w:spacing w:line="360" w:lineRule="auto"/>
        <w:ind w:firstLine="422" w:firstLineChars="200"/>
        <w:jc w:val="left"/>
        <w:rPr>
          <w:rFonts w:ascii="宋体" w:hAnsi="宋体" w:cs="宋体"/>
          <w:b/>
          <w:bCs/>
          <w:color w:val="auto"/>
          <w:highlight w:val="none"/>
        </w:rPr>
      </w:pPr>
      <w:r>
        <w:rPr>
          <w:rFonts w:hint="eastAsia" w:ascii="宋体" w:hAnsi="宋体" w:cs="宋体"/>
          <w:b/>
          <w:bCs/>
          <w:color w:val="auto"/>
          <w:highlight w:val="none"/>
        </w:rPr>
        <w:t>十二、合同生效</w:t>
      </w:r>
    </w:p>
    <w:p w14:paraId="72D4B5A0">
      <w:pPr>
        <w:spacing w:line="360" w:lineRule="auto"/>
        <w:ind w:firstLine="420" w:firstLineChars="200"/>
        <w:jc w:val="left"/>
        <w:rPr>
          <w:rFonts w:ascii="宋体" w:hAnsi="宋体" w:cs="宋体"/>
          <w:color w:val="auto"/>
          <w:highlight w:val="none"/>
        </w:rPr>
      </w:pPr>
      <w:r>
        <w:rPr>
          <w:rFonts w:hint="eastAsia" w:ascii="宋体" w:hAnsi="宋体" w:cs="宋体"/>
          <w:color w:val="auto"/>
          <w:highlight w:val="none"/>
        </w:rPr>
        <w:t>本合同自</w:t>
      </w:r>
      <w:r>
        <w:rPr>
          <w:rFonts w:hint="eastAsia" w:ascii="宋体" w:hAnsi="宋体" w:cs="宋体"/>
          <w:color w:val="auto"/>
          <w:highlight w:val="none"/>
          <w:u w:val="single"/>
        </w:rPr>
        <w:t xml:space="preserve"> </w:t>
      </w:r>
      <w:r>
        <w:rPr>
          <w:rFonts w:hint="eastAsia" w:ascii="宋体" w:hAnsi="宋体" w:cs="宋体"/>
          <w:color w:val="auto"/>
          <w:highlight w:val="none"/>
          <w:u w:val="single"/>
          <w:lang w:val="zh-CN"/>
        </w:rPr>
        <w:t>承包人交纳履约保证金，承包人法定代表人与发包人代表当面签字、双方盖章后</w:t>
      </w:r>
      <w:r>
        <w:rPr>
          <w:rFonts w:hint="eastAsia" w:ascii="宋体" w:hAnsi="宋体" w:cs="宋体"/>
          <w:color w:val="auto"/>
          <w:highlight w:val="none"/>
        </w:rPr>
        <w:t>生效。</w:t>
      </w:r>
    </w:p>
    <w:p w14:paraId="6548C06C">
      <w:pPr>
        <w:spacing w:line="360" w:lineRule="auto"/>
        <w:ind w:firstLine="422" w:firstLineChars="200"/>
        <w:jc w:val="left"/>
        <w:rPr>
          <w:rFonts w:ascii="宋体" w:hAnsi="宋体" w:cs="宋体"/>
          <w:b/>
          <w:bCs/>
          <w:color w:val="auto"/>
          <w:highlight w:val="none"/>
        </w:rPr>
      </w:pPr>
      <w:r>
        <w:rPr>
          <w:rFonts w:hint="eastAsia" w:ascii="宋体" w:hAnsi="宋体" w:cs="宋体"/>
          <w:b/>
          <w:bCs/>
          <w:color w:val="auto"/>
          <w:highlight w:val="none"/>
        </w:rPr>
        <w:t>十三、合同份数</w:t>
      </w:r>
    </w:p>
    <w:p w14:paraId="330ACE78">
      <w:pPr>
        <w:spacing w:line="360" w:lineRule="auto"/>
        <w:ind w:firstLine="420" w:firstLineChars="200"/>
        <w:jc w:val="left"/>
        <w:rPr>
          <w:rFonts w:ascii="宋体" w:hAnsi="宋体" w:cs="宋体"/>
          <w:color w:val="auto"/>
          <w:highlight w:val="none"/>
        </w:rPr>
      </w:pPr>
      <w:r>
        <w:rPr>
          <w:rFonts w:hint="eastAsia" w:ascii="宋体" w:hAnsi="宋体" w:cs="宋体"/>
          <w:color w:val="auto"/>
          <w:highlight w:val="none"/>
        </w:rPr>
        <w:t>本合同一式</w:t>
      </w:r>
      <w:r>
        <w:rPr>
          <w:rFonts w:hint="eastAsia" w:ascii="宋体" w:hAnsi="宋体" w:cs="宋体"/>
          <w:color w:val="auto"/>
          <w:highlight w:val="none"/>
          <w:u w:val="single"/>
        </w:rPr>
        <w:t xml:space="preserve">    </w:t>
      </w:r>
      <w:r>
        <w:rPr>
          <w:rFonts w:hint="eastAsia" w:ascii="宋体" w:hAnsi="宋体" w:cs="宋体"/>
          <w:color w:val="auto"/>
          <w:highlight w:val="none"/>
        </w:rPr>
        <w:t>份，均具有同等法律效力，发包人执</w:t>
      </w:r>
      <w:r>
        <w:rPr>
          <w:rFonts w:hint="eastAsia" w:ascii="宋体" w:hAnsi="宋体" w:cs="宋体"/>
          <w:color w:val="auto"/>
          <w:highlight w:val="none"/>
          <w:u w:val="single"/>
        </w:rPr>
        <w:t xml:space="preserve">    </w:t>
      </w:r>
      <w:r>
        <w:rPr>
          <w:rFonts w:hint="eastAsia" w:ascii="宋体" w:hAnsi="宋体" w:cs="宋体"/>
          <w:color w:val="auto"/>
          <w:highlight w:val="none"/>
        </w:rPr>
        <w:t>份，承包人执</w:t>
      </w:r>
      <w:r>
        <w:rPr>
          <w:rFonts w:hint="eastAsia" w:ascii="宋体" w:hAnsi="宋体" w:cs="宋体"/>
          <w:color w:val="auto"/>
          <w:highlight w:val="none"/>
          <w:u w:val="single"/>
        </w:rPr>
        <w:t xml:space="preserve">    </w:t>
      </w:r>
      <w:r>
        <w:rPr>
          <w:rFonts w:hint="eastAsia" w:ascii="宋体" w:hAnsi="宋体" w:cs="宋体"/>
          <w:color w:val="auto"/>
          <w:highlight w:val="none"/>
        </w:rPr>
        <w:t>份。</w:t>
      </w:r>
    </w:p>
    <w:p w14:paraId="409FA643">
      <w:pPr>
        <w:spacing w:line="360" w:lineRule="auto"/>
        <w:ind w:firstLine="420" w:firstLineChars="200"/>
        <w:jc w:val="left"/>
        <w:rPr>
          <w:rFonts w:ascii="宋体" w:hAnsi="宋体" w:cs="宋体"/>
          <w:bCs/>
          <w:color w:val="auto"/>
          <w:highlight w:val="none"/>
        </w:rPr>
      </w:pPr>
    </w:p>
    <w:p w14:paraId="47BA3BEB">
      <w:pPr>
        <w:spacing w:line="360" w:lineRule="auto"/>
        <w:ind w:firstLine="420" w:firstLineChars="200"/>
        <w:jc w:val="left"/>
        <w:rPr>
          <w:rFonts w:ascii="宋体" w:hAnsi="宋体" w:cs="宋体"/>
          <w:color w:val="auto"/>
          <w:highlight w:val="none"/>
        </w:rPr>
      </w:pPr>
      <w:r>
        <w:rPr>
          <w:rFonts w:hint="eastAsia" w:ascii="宋体" w:hAnsi="宋体" w:cs="宋体"/>
          <w:color w:val="auto"/>
          <w:highlight w:val="none"/>
        </w:rPr>
        <w:t>发包人：  (公章)             承包人：  (公章)</w:t>
      </w:r>
    </w:p>
    <w:p w14:paraId="4E998F92">
      <w:pPr>
        <w:spacing w:line="360" w:lineRule="auto"/>
        <w:ind w:firstLine="420" w:firstLineChars="200"/>
        <w:jc w:val="left"/>
        <w:rPr>
          <w:rFonts w:ascii="宋体" w:hAnsi="宋体" w:cs="宋体"/>
          <w:color w:val="auto"/>
          <w:highlight w:val="none"/>
        </w:rPr>
      </w:pPr>
      <w:r>
        <w:rPr>
          <w:rFonts w:hint="eastAsia" w:ascii="宋体" w:hAnsi="宋体" w:cs="宋体"/>
          <w:color w:val="auto"/>
          <w:highlight w:val="none"/>
        </w:rPr>
        <w:t>法定代表人或其委托代理人：  法定代表人或其委托代理人：</w:t>
      </w:r>
    </w:p>
    <w:p w14:paraId="7425AEC6">
      <w:pPr>
        <w:spacing w:line="360" w:lineRule="auto"/>
        <w:ind w:firstLine="420" w:firstLineChars="200"/>
        <w:jc w:val="left"/>
        <w:rPr>
          <w:rFonts w:ascii="宋体" w:hAnsi="宋体" w:cs="宋体"/>
          <w:color w:val="auto"/>
          <w:highlight w:val="none"/>
        </w:rPr>
      </w:pPr>
      <w:r>
        <w:rPr>
          <w:rFonts w:hint="eastAsia" w:ascii="宋体" w:hAnsi="宋体" w:cs="宋体"/>
          <w:color w:val="auto"/>
          <w:highlight w:val="none"/>
        </w:rPr>
        <w:t>（签字）                    （签字）</w:t>
      </w:r>
    </w:p>
    <w:p w14:paraId="64AEE0DB">
      <w:pPr>
        <w:spacing w:line="360" w:lineRule="auto"/>
        <w:ind w:firstLine="420" w:firstLineChars="200"/>
        <w:jc w:val="left"/>
        <w:rPr>
          <w:rFonts w:ascii="宋体" w:hAnsi="宋体" w:cs="宋体"/>
          <w:color w:val="auto"/>
          <w:highlight w:val="none"/>
          <w:u w:val="single"/>
        </w:rPr>
      </w:pPr>
    </w:p>
    <w:p w14:paraId="23F52660">
      <w:pPr>
        <w:spacing w:line="360" w:lineRule="auto"/>
        <w:ind w:firstLine="420" w:firstLineChars="200"/>
        <w:jc w:val="left"/>
        <w:rPr>
          <w:rFonts w:ascii="宋体" w:hAnsi="宋体" w:cs="宋体"/>
          <w:color w:val="auto"/>
          <w:highlight w:val="none"/>
        </w:rPr>
      </w:pPr>
      <w:r>
        <w:rPr>
          <w:rFonts w:hint="eastAsia" w:ascii="宋体" w:hAnsi="宋体" w:cs="宋体"/>
          <w:color w:val="auto"/>
          <w:highlight w:val="none"/>
        </w:rPr>
        <w:t>组织机构代码：</w:t>
      </w:r>
      <w:r>
        <w:rPr>
          <w:rFonts w:hint="eastAsia" w:ascii="宋体" w:hAnsi="宋体" w:cs="宋体"/>
          <w:color w:val="auto"/>
          <w:highlight w:val="none"/>
          <w:u w:val="single"/>
        </w:rPr>
        <w:t xml:space="preserve">       </w:t>
      </w:r>
      <w:r>
        <w:rPr>
          <w:rFonts w:hint="eastAsia" w:ascii="宋体" w:hAnsi="宋体" w:cs="宋体"/>
          <w:color w:val="auto"/>
          <w:highlight w:val="none"/>
        </w:rPr>
        <w:t xml:space="preserve">  组织机构代码：</w:t>
      </w:r>
      <w:r>
        <w:rPr>
          <w:rFonts w:hint="eastAsia" w:ascii="宋体" w:hAnsi="宋体" w:cs="宋体"/>
          <w:color w:val="auto"/>
          <w:highlight w:val="none"/>
          <w:u w:val="single"/>
        </w:rPr>
        <w:t xml:space="preserve">          </w:t>
      </w:r>
      <w:r>
        <w:rPr>
          <w:rFonts w:hint="eastAsia" w:ascii="宋体" w:hAnsi="宋体" w:cs="宋体"/>
          <w:color w:val="auto"/>
          <w:highlight w:val="none"/>
        </w:rPr>
        <w:t xml:space="preserve"> </w:t>
      </w:r>
    </w:p>
    <w:p w14:paraId="0ECDEB2C">
      <w:pPr>
        <w:spacing w:line="360" w:lineRule="auto"/>
        <w:ind w:firstLine="420" w:firstLineChars="200"/>
        <w:jc w:val="left"/>
        <w:rPr>
          <w:rFonts w:ascii="宋体" w:hAnsi="宋体" w:cs="宋体"/>
          <w:color w:val="auto"/>
          <w:highlight w:val="none"/>
        </w:rPr>
      </w:pPr>
      <w:r>
        <w:rPr>
          <w:rFonts w:hint="eastAsia" w:ascii="宋体" w:hAnsi="宋体" w:cs="宋体"/>
          <w:color w:val="auto"/>
          <w:highlight w:val="none"/>
        </w:rPr>
        <w:t>地  址：</w:t>
      </w:r>
      <w:r>
        <w:rPr>
          <w:rFonts w:hint="eastAsia" w:ascii="宋体" w:hAnsi="宋体" w:cs="宋体"/>
          <w:color w:val="auto"/>
          <w:highlight w:val="none"/>
          <w:u w:val="single"/>
        </w:rPr>
        <w:t xml:space="preserve">     </w:t>
      </w:r>
      <w:r>
        <w:rPr>
          <w:rFonts w:hint="eastAsia" w:ascii="宋体" w:hAnsi="宋体" w:cs="宋体"/>
          <w:color w:val="auto"/>
          <w:highlight w:val="none"/>
        </w:rPr>
        <w:t xml:space="preserve">  地  址：</w:t>
      </w:r>
      <w:r>
        <w:rPr>
          <w:rFonts w:hint="eastAsia" w:ascii="宋体" w:hAnsi="宋体" w:cs="宋体"/>
          <w:color w:val="auto"/>
          <w:highlight w:val="none"/>
          <w:u w:val="single"/>
        </w:rPr>
        <w:t xml:space="preserve">        </w:t>
      </w:r>
    </w:p>
    <w:p w14:paraId="0CC3B69A">
      <w:pPr>
        <w:spacing w:line="360" w:lineRule="auto"/>
        <w:ind w:firstLine="420" w:firstLineChars="200"/>
        <w:jc w:val="left"/>
        <w:rPr>
          <w:rFonts w:ascii="宋体" w:hAnsi="宋体" w:cs="宋体"/>
          <w:color w:val="auto"/>
          <w:highlight w:val="none"/>
        </w:rPr>
      </w:pPr>
      <w:r>
        <w:rPr>
          <w:rFonts w:hint="eastAsia" w:ascii="宋体" w:hAnsi="宋体" w:cs="宋体"/>
          <w:color w:val="auto"/>
          <w:highlight w:val="none"/>
        </w:rPr>
        <w:t>邮政编码：</w:t>
      </w:r>
      <w:r>
        <w:rPr>
          <w:rFonts w:hint="eastAsia" w:ascii="宋体" w:hAnsi="宋体" w:cs="宋体"/>
          <w:color w:val="auto"/>
          <w:highlight w:val="none"/>
          <w:u w:val="single"/>
        </w:rPr>
        <w:t xml:space="preserve">      </w:t>
      </w:r>
      <w:r>
        <w:rPr>
          <w:rFonts w:hint="eastAsia" w:ascii="宋体" w:hAnsi="宋体" w:cs="宋体"/>
          <w:color w:val="auto"/>
          <w:highlight w:val="none"/>
        </w:rPr>
        <w:t xml:space="preserve">  邮政编码：</w:t>
      </w:r>
      <w:r>
        <w:rPr>
          <w:rFonts w:hint="eastAsia" w:ascii="宋体" w:hAnsi="宋体" w:cs="宋体"/>
          <w:color w:val="auto"/>
          <w:highlight w:val="none"/>
          <w:u w:val="single"/>
        </w:rPr>
        <w:t xml:space="preserve">   </w:t>
      </w:r>
    </w:p>
    <w:p w14:paraId="4B40ED96">
      <w:pPr>
        <w:spacing w:line="360" w:lineRule="auto"/>
        <w:ind w:firstLine="420" w:firstLineChars="200"/>
        <w:jc w:val="left"/>
        <w:rPr>
          <w:rFonts w:ascii="宋体" w:hAnsi="宋体" w:cs="宋体"/>
          <w:color w:val="auto"/>
          <w:highlight w:val="none"/>
        </w:rPr>
      </w:pPr>
      <w:r>
        <w:rPr>
          <w:rFonts w:hint="eastAsia" w:ascii="宋体" w:hAnsi="宋体" w:cs="宋体"/>
          <w:color w:val="auto"/>
          <w:highlight w:val="none"/>
        </w:rPr>
        <w:t>法定代表人：</w:t>
      </w:r>
      <w:r>
        <w:rPr>
          <w:rFonts w:hint="eastAsia" w:ascii="宋体" w:hAnsi="宋体" w:cs="宋体"/>
          <w:color w:val="auto"/>
          <w:highlight w:val="none"/>
          <w:u w:val="single"/>
        </w:rPr>
        <w:t xml:space="preserve">           </w:t>
      </w:r>
      <w:r>
        <w:rPr>
          <w:rFonts w:hint="eastAsia" w:ascii="宋体" w:hAnsi="宋体" w:cs="宋体"/>
          <w:color w:val="auto"/>
          <w:highlight w:val="none"/>
        </w:rPr>
        <w:t xml:space="preserve">  法定代表人：</w:t>
      </w:r>
      <w:r>
        <w:rPr>
          <w:rFonts w:hint="eastAsia" w:ascii="宋体" w:hAnsi="宋体" w:cs="宋体"/>
          <w:color w:val="auto"/>
          <w:highlight w:val="none"/>
          <w:u w:val="single"/>
        </w:rPr>
        <w:t xml:space="preserve">             </w:t>
      </w:r>
    </w:p>
    <w:p w14:paraId="14E783D0">
      <w:pPr>
        <w:spacing w:line="360" w:lineRule="auto"/>
        <w:ind w:firstLine="420" w:firstLineChars="200"/>
        <w:jc w:val="left"/>
        <w:rPr>
          <w:rFonts w:ascii="宋体" w:hAnsi="宋体" w:cs="宋体"/>
          <w:color w:val="auto"/>
          <w:highlight w:val="none"/>
        </w:rPr>
      </w:pPr>
      <w:r>
        <w:rPr>
          <w:rFonts w:hint="eastAsia" w:ascii="宋体" w:hAnsi="宋体" w:cs="宋体"/>
          <w:color w:val="auto"/>
          <w:highlight w:val="none"/>
        </w:rPr>
        <w:t>委托代理人：</w:t>
      </w:r>
      <w:r>
        <w:rPr>
          <w:rFonts w:hint="eastAsia" w:ascii="宋体" w:hAnsi="宋体" w:cs="宋体"/>
          <w:color w:val="auto"/>
          <w:highlight w:val="none"/>
          <w:u w:val="single"/>
        </w:rPr>
        <w:t xml:space="preserve">           </w:t>
      </w:r>
      <w:r>
        <w:rPr>
          <w:rFonts w:hint="eastAsia" w:ascii="宋体" w:hAnsi="宋体" w:cs="宋体"/>
          <w:color w:val="auto"/>
          <w:highlight w:val="none"/>
        </w:rPr>
        <w:t xml:space="preserve">  委托代理人：</w:t>
      </w:r>
      <w:r>
        <w:rPr>
          <w:rFonts w:hint="eastAsia" w:ascii="宋体" w:hAnsi="宋体" w:cs="宋体"/>
          <w:color w:val="auto"/>
          <w:highlight w:val="none"/>
          <w:u w:val="single"/>
        </w:rPr>
        <w:t xml:space="preserve">             </w:t>
      </w:r>
    </w:p>
    <w:p w14:paraId="10B880C2">
      <w:pPr>
        <w:spacing w:line="360" w:lineRule="auto"/>
        <w:ind w:firstLine="420" w:firstLineChars="200"/>
        <w:jc w:val="left"/>
        <w:rPr>
          <w:rFonts w:ascii="宋体" w:hAnsi="宋体" w:cs="宋体"/>
          <w:color w:val="auto"/>
          <w:highlight w:val="none"/>
        </w:rPr>
      </w:pPr>
      <w:r>
        <w:rPr>
          <w:rFonts w:hint="eastAsia" w:ascii="宋体" w:hAnsi="宋体" w:cs="宋体"/>
          <w:color w:val="auto"/>
          <w:highlight w:val="none"/>
        </w:rPr>
        <w:t>电  话：</w:t>
      </w:r>
      <w:r>
        <w:rPr>
          <w:rFonts w:hint="eastAsia" w:ascii="宋体" w:hAnsi="宋体" w:cs="宋体"/>
          <w:color w:val="auto"/>
          <w:highlight w:val="none"/>
          <w:u w:val="single"/>
        </w:rPr>
        <w:t xml:space="preserve">   </w:t>
      </w:r>
      <w:r>
        <w:rPr>
          <w:rFonts w:hint="eastAsia" w:ascii="宋体" w:hAnsi="宋体" w:cs="宋体"/>
          <w:color w:val="auto"/>
          <w:highlight w:val="none"/>
        </w:rPr>
        <w:t xml:space="preserve">  电  话：</w:t>
      </w:r>
      <w:r>
        <w:rPr>
          <w:rFonts w:hint="eastAsia" w:ascii="宋体" w:hAnsi="宋体" w:cs="宋体"/>
          <w:color w:val="auto"/>
          <w:highlight w:val="none"/>
          <w:u w:val="single"/>
        </w:rPr>
        <w:t xml:space="preserve">     </w:t>
      </w:r>
    </w:p>
    <w:p w14:paraId="11303CD0">
      <w:pPr>
        <w:spacing w:line="360" w:lineRule="auto"/>
        <w:ind w:firstLine="420" w:firstLineChars="200"/>
        <w:jc w:val="left"/>
        <w:rPr>
          <w:rFonts w:ascii="宋体" w:hAnsi="宋体" w:cs="宋体"/>
          <w:color w:val="auto"/>
          <w:highlight w:val="none"/>
        </w:rPr>
      </w:pPr>
      <w:r>
        <w:rPr>
          <w:rFonts w:hint="eastAsia" w:ascii="宋体" w:hAnsi="宋体" w:cs="宋体"/>
          <w:color w:val="auto"/>
          <w:highlight w:val="none"/>
        </w:rPr>
        <w:t>传  真：</w:t>
      </w:r>
      <w:r>
        <w:rPr>
          <w:rFonts w:hint="eastAsia" w:ascii="宋体" w:hAnsi="宋体" w:cs="宋体"/>
          <w:color w:val="auto"/>
          <w:highlight w:val="none"/>
          <w:u w:val="single"/>
        </w:rPr>
        <w:t xml:space="preserve">   </w:t>
      </w:r>
      <w:r>
        <w:rPr>
          <w:rFonts w:hint="eastAsia" w:ascii="宋体" w:hAnsi="宋体" w:cs="宋体"/>
          <w:color w:val="auto"/>
          <w:highlight w:val="none"/>
        </w:rPr>
        <w:t xml:space="preserve">  传  真：</w:t>
      </w:r>
      <w:r>
        <w:rPr>
          <w:rFonts w:hint="eastAsia" w:ascii="宋体" w:hAnsi="宋体" w:cs="宋体"/>
          <w:color w:val="auto"/>
          <w:highlight w:val="none"/>
          <w:u w:val="single"/>
        </w:rPr>
        <w:t xml:space="preserve">     </w:t>
      </w:r>
    </w:p>
    <w:p w14:paraId="0299C318">
      <w:pPr>
        <w:spacing w:line="360" w:lineRule="auto"/>
        <w:ind w:firstLine="420" w:firstLineChars="200"/>
        <w:jc w:val="left"/>
        <w:rPr>
          <w:rFonts w:ascii="宋体" w:hAnsi="宋体" w:cs="宋体"/>
          <w:color w:val="auto"/>
          <w:highlight w:val="none"/>
        </w:rPr>
      </w:pPr>
      <w:r>
        <w:rPr>
          <w:rFonts w:hint="eastAsia" w:ascii="宋体" w:hAnsi="宋体" w:cs="宋体"/>
          <w:color w:val="auto"/>
          <w:highlight w:val="none"/>
        </w:rPr>
        <w:t>电子信箱：</w:t>
      </w:r>
      <w:r>
        <w:rPr>
          <w:rFonts w:hint="eastAsia" w:ascii="宋体" w:hAnsi="宋体" w:cs="宋体"/>
          <w:color w:val="auto"/>
          <w:highlight w:val="none"/>
          <w:u w:val="single"/>
        </w:rPr>
        <w:t xml:space="preserve">                 </w:t>
      </w:r>
      <w:r>
        <w:rPr>
          <w:rFonts w:hint="eastAsia" w:ascii="宋体" w:hAnsi="宋体" w:cs="宋体"/>
          <w:color w:val="auto"/>
          <w:highlight w:val="none"/>
        </w:rPr>
        <w:t xml:space="preserve">  电子信箱：</w:t>
      </w:r>
      <w:r>
        <w:rPr>
          <w:rFonts w:hint="eastAsia" w:ascii="宋体" w:hAnsi="宋体" w:cs="宋体"/>
          <w:color w:val="auto"/>
          <w:highlight w:val="none"/>
          <w:u w:val="single"/>
        </w:rPr>
        <w:t xml:space="preserve">   </w:t>
      </w:r>
    </w:p>
    <w:p w14:paraId="5FDE26CA">
      <w:pPr>
        <w:spacing w:line="360" w:lineRule="auto"/>
        <w:ind w:firstLine="420" w:firstLineChars="200"/>
        <w:jc w:val="left"/>
        <w:rPr>
          <w:rFonts w:ascii="宋体" w:hAnsi="宋体" w:cs="宋体"/>
          <w:color w:val="auto"/>
          <w:highlight w:val="none"/>
        </w:rPr>
      </w:pPr>
      <w:r>
        <w:rPr>
          <w:rFonts w:hint="eastAsia" w:ascii="宋体" w:hAnsi="宋体" w:cs="宋体"/>
          <w:color w:val="auto"/>
          <w:highlight w:val="none"/>
        </w:rPr>
        <w:t>开户银行：</w:t>
      </w:r>
      <w:r>
        <w:rPr>
          <w:rFonts w:hint="eastAsia" w:ascii="宋体" w:hAnsi="宋体" w:cs="宋体"/>
          <w:color w:val="auto"/>
          <w:highlight w:val="none"/>
          <w:u w:val="single"/>
        </w:rPr>
        <w:t xml:space="preserve">   </w:t>
      </w:r>
      <w:r>
        <w:rPr>
          <w:rFonts w:hint="eastAsia" w:ascii="宋体" w:hAnsi="宋体" w:cs="宋体"/>
          <w:color w:val="auto"/>
          <w:highlight w:val="none"/>
        </w:rPr>
        <w:t xml:space="preserve">  开户银行：</w:t>
      </w:r>
      <w:r>
        <w:rPr>
          <w:rFonts w:hint="eastAsia" w:ascii="宋体" w:hAnsi="宋体" w:cs="宋体"/>
          <w:color w:val="auto"/>
          <w:highlight w:val="none"/>
          <w:u w:val="single"/>
        </w:rPr>
        <w:t xml:space="preserve">   </w:t>
      </w:r>
    </w:p>
    <w:p w14:paraId="688300A1">
      <w:pPr>
        <w:spacing w:line="360" w:lineRule="auto"/>
        <w:ind w:firstLine="420" w:firstLineChars="200"/>
        <w:jc w:val="left"/>
        <w:rPr>
          <w:rFonts w:ascii="宋体" w:hAnsi="宋体" w:cs="宋体"/>
          <w:color w:val="auto"/>
          <w:highlight w:val="none"/>
        </w:rPr>
      </w:pPr>
      <w:r>
        <w:rPr>
          <w:rFonts w:hint="eastAsia" w:ascii="宋体" w:hAnsi="宋体" w:cs="宋体"/>
          <w:color w:val="auto"/>
          <w:highlight w:val="none"/>
        </w:rPr>
        <w:t>账  号：</w:t>
      </w:r>
      <w:r>
        <w:rPr>
          <w:rFonts w:hint="eastAsia" w:ascii="宋体" w:hAnsi="宋体" w:cs="宋体"/>
          <w:color w:val="auto"/>
          <w:highlight w:val="none"/>
          <w:u w:val="single"/>
        </w:rPr>
        <w:t xml:space="preserve">       </w:t>
      </w:r>
      <w:r>
        <w:rPr>
          <w:rFonts w:hint="eastAsia" w:ascii="宋体" w:hAnsi="宋体" w:cs="宋体"/>
          <w:color w:val="auto"/>
          <w:highlight w:val="none"/>
        </w:rPr>
        <w:t xml:space="preserve">   账  号：</w:t>
      </w:r>
      <w:r>
        <w:rPr>
          <w:rFonts w:hint="eastAsia" w:ascii="宋体" w:hAnsi="宋体" w:cs="宋体"/>
          <w:color w:val="auto"/>
          <w:highlight w:val="none"/>
          <w:u w:val="single"/>
        </w:rPr>
        <w:t xml:space="preserve">     </w:t>
      </w:r>
    </w:p>
    <w:p w14:paraId="04BC0AE4">
      <w:pPr>
        <w:pStyle w:val="3"/>
        <w:jc w:val="center"/>
        <w:rPr>
          <w:rFonts w:ascii="宋体" w:hAnsi="宋体" w:cs="宋体"/>
          <w:b w:val="0"/>
          <w:bCs w:val="0"/>
          <w:color w:val="auto"/>
          <w:sz w:val="30"/>
          <w:szCs w:val="30"/>
          <w:highlight w:val="none"/>
        </w:rPr>
      </w:pPr>
      <w:r>
        <w:rPr>
          <w:rFonts w:hint="eastAsia" w:ascii="宋体" w:hAnsi="宋体" w:cs="宋体"/>
          <w:color w:val="auto"/>
          <w:highlight w:val="none"/>
        </w:rPr>
        <w:br w:type="page"/>
      </w:r>
      <w:r>
        <w:rPr>
          <w:rFonts w:hint="eastAsia" w:ascii="宋体" w:hAnsi="宋体"/>
          <w:b w:val="0"/>
          <w:color w:val="auto"/>
          <w:sz w:val="30"/>
          <w:highlight w:val="none"/>
        </w:rPr>
        <w:t>第二节　通用条款(略)</w:t>
      </w:r>
    </w:p>
    <w:p w14:paraId="3CFA7D9B">
      <w:pPr>
        <w:spacing w:line="360" w:lineRule="auto"/>
        <w:ind w:firstLine="420" w:firstLineChars="200"/>
        <w:jc w:val="left"/>
        <w:rPr>
          <w:rFonts w:ascii="宋体" w:hAnsi="宋体" w:cs="宋体"/>
          <w:color w:val="auto"/>
          <w:highlight w:val="none"/>
        </w:rPr>
      </w:pPr>
      <w:r>
        <w:rPr>
          <w:rFonts w:hint="eastAsia" w:ascii="宋体" w:hAnsi="宋体" w:cs="宋体"/>
          <w:color w:val="auto"/>
          <w:highlight w:val="none"/>
        </w:rPr>
        <w:t>采用《建设工程施工合同（示范文本）》（GF—2017—0201）</w:t>
      </w:r>
    </w:p>
    <w:p w14:paraId="70B186A9">
      <w:pPr>
        <w:spacing w:line="360" w:lineRule="auto"/>
        <w:ind w:firstLine="602" w:firstLineChars="200"/>
        <w:rPr>
          <w:rFonts w:ascii="宋体" w:hAnsi="宋体" w:cs="宋体"/>
          <w:b/>
          <w:bCs/>
          <w:color w:val="auto"/>
          <w:sz w:val="30"/>
          <w:highlight w:val="none"/>
        </w:rPr>
      </w:pPr>
    </w:p>
    <w:p w14:paraId="6587FC0D">
      <w:pPr>
        <w:pStyle w:val="3"/>
        <w:jc w:val="center"/>
        <w:rPr>
          <w:rFonts w:ascii="宋体" w:hAnsi="宋体"/>
          <w:b w:val="0"/>
          <w:color w:val="auto"/>
          <w:sz w:val="30"/>
          <w:highlight w:val="none"/>
        </w:rPr>
      </w:pPr>
      <w:r>
        <w:rPr>
          <w:rFonts w:hint="eastAsia" w:ascii="宋体" w:hAnsi="宋体"/>
          <w:b w:val="0"/>
          <w:color w:val="auto"/>
          <w:sz w:val="30"/>
          <w:highlight w:val="none"/>
        </w:rPr>
        <w:t>第三节　专用条款</w:t>
      </w:r>
    </w:p>
    <w:p w14:paraId="2CDD65E7">
      <w:pPr>
        <w:spacing w:line="360" w:lineRule="auto"/>
        <w:ind w:firstLine="562" w:firstLineChars="200"/>
        <w:jc w:val="center"/>
        <w:rPr>
          <w:rFonts w:ascii="宋体" w:hAnsi="宋体" w:cs="宋体"/>
          <w:b/>
          <w:bCs/>
          <w:color w:val="auto"/>
          <w:sz w:val="28"/>
          <w:szCs w:val="28"/>
          <w:highlight w:val="none"/>
        </w:rPr>
      </w:pPr>
    </w:p>
    <w:p w14:paraId="449B06F7">
      <w:pPr>
        <w:keepNext/>
        <w:keepLines/>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1.一般约定</w:t>
      </w:r>
    </w:p>
    <w:p w14:paraId="0A67067A">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1.1词语定义</w:t>
      </w:r>
    </w:p>
    <w:p w14:paraId="2D703A82">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1.1.1合同</w:t>
      </w:r>
    </w:p>
    <w:p w14:paraId="45814BF1">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1.1.1.1其他合同文件包括：</w:t>
      </w:r>
      <w:r>
        <w:rPr>
          <w:rFonts w:hint="eastAsia" w:ascii="宋体" w:hAnsi="宋体" w:cs="宋体"/>
          <w:color w:val="auto"/>
          <w:highlight w:val="none"/>
          <w:u w:val="single"/>
        </w:rPr>
        <w:t xml:space="preserve"> </w:t>
      </w:r>
      <w:r>
        <w:rPr>
          <w:rFonts w:hint="eastAsia" w:ascii="宋体" w:hAnsi="宋体" w:cs="宋体"/>
          <w:b/>
          <w:bCs/>
          <w:color w:val="auto"/>
          <w:highlight w:val="none"/>
          <w:u w:val="single"/>
          <w:lang w:val="zh-CN"/>
        </w:rPr>
        <w:t>（1）发包人与承包人协商备忘、合同补充文件；（2）招标文件有书面答疑等补充修改文件；（3）发包人认可的设计变更；（4）经发包人确认有效的工程签证单</w:t>
      </w:r>
      <w:r>
        <w:rPr>
          <w:rFonts w:hint="eastAsia" w:ascii="宋体" w:hAnsi="宋体" w:cs="宋体"/>
          <w:color w:val="auto"/>
          <w:highlight w:val="none"/>
          <w:u w:val="single"/>
        </w:rPr>
        <w:t xml:space="preserve"> </w:t>
      </w:r>
      <w:r>
        <w:rPr>
          <w:rFonts w:hint="eastAsia" w:ascii="宋体" w:hAnsi="宋体" w:cs="宋体"/>
          <w:color w:val="auto"/>
          <w:highlight w:val="none"/>
          <w:lang w:val="zh-CN"/>
        </w:rPr>
        <w:t>。</w:t>
      </w:r>
    </w:p>
    <w:p w14:paraId="0C4B37AB">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1.1.2合同当事人及其他相关方</w:t>
      </w:r>
    </w:p>
    <w:p w14:paraId="3CA349CD">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1.1.2.</w:t>
      </w:r>
      <w:r>
        <w:rPr>
          <w:rFonts w:ascii="宋体" w:hAnsi="宋体" w:cs="宋体"/>
          <w:color w:val="auto"/>
          <w:highlight w:val="none"/>
          <w:lang w:val="zh-CN"/>
        </w:rPr>
        <w:t>1</w:t>
      </w:r>
      <w:r>
        <w:rPr>
          <w:rFonts w:hint="eastAsia" w:ascii="宋体" w:hAnsi="宋体" w:cs="宋体"/>
          <w:color w:val="auto"/>
          <w:highlight w:val="none"/>
          <w:lang w:val="zh-CN"/>
        </w:rPr>
        <w:t>监理人：</w:t>
      </w:r>
    </w:p>
    <w:p w14:paraId="5F531D87">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名    称：</w:t>
      </w:r>
      <w:r>
        <w:rPr>
          <w:rFonts w:hint="eastAsia" w:ascii="宋体" w:hAnsi="宋体" w:cs="宋体"/>
          <w:color w:val="auto"/>
          <w:highlight w:val="none"/>
          <w:u w:val="single"/>
          <w:lang w:val="zh-CN"/>
        </w:rPr>
        <w:t xml:space="preserve">                </w:t>
      </w:r>
      <w:r>
        <w:rPr>
          <w:rFonts w:hint="eastAsia" w:ascii="宋体" w:hAnsi="宋体" w:cs="宋体"/>
          <w:b/>
          <w:bCs/>
          <w:color w:val="auto"/>
          <w:highlight w:val="none"/>
          <w:u w:val="single"/>
          <w:lang w:val="zh-CN"/>
        </w:rPr>
        <w:t xml:space="preserve"> </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w:t>
      </w:r>
    </w:p>
    <w:p w14:paraId="12A0BF01">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资质类别和等级：</w:t>
      </w:r>
      <w:r>
        <w:rPr>
          <w:rFonts w:hint="eastAsia" w:ascii="宋体" w:hAnsi="宋体" w:cs="宋体"/>
          <w:color w:val="auto"/>
          <w:highlight w:val="none"/>
          <w:u w:val="single"/>
          <w:lang w:val="zh-CN"/>
        </w:rPr>
        <w:t xml:space="preserve">                </w:t>
      </w:r>
      <w:r>
        <w:rPr>
          <w:rFonts w:hint="eastAsia" w:ascii="宋体" w:hAnsi="宋体" w:cs="宋体"/>
          <w:b/>
          <w:bCs/>
          <w:color w:val="auto"/>
          <w:highlight w:val="none"/>
          <w:u w:val="single"/>
          <w:lang w:val="zh-CN"/>
        </w:rPr>
        <w:t xml:space="preserve"> </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w:t>
      </w:r>
    </w:p>
    <w:p w14:paraId="3BCC3F9D">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联系电话：</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w:t>
      </w:r>
    </w:p>
    <w:p w14:paraId="25B130FF">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电子信箱：</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w:t>
      </w:r>
    </w:p>
    <w:p w14:paraId="19B15AA4">
      <w:pPr>
        <w:autoSpaceDE w:val="0"/>
        <w:autoSpaceDN w:val="0"/>
        <w:adjustRightInd w:val="0"/>
        <w:spacing w:line="360" w:lineRule="auto"/>
        <w:ind w:firstLine="420" w:firstLineChars="200"/>
        <w:rPr>
          <w:rFonts w:ascii="宋体" w:hAnsi="宋体" w:cs="宋体"/>
          <w:color w:val="auto"/>
          <w:highlight w:val="none"/>
          <w:u w:val="single"/>
          <w:lang w:val="zh-CN"/>
        </w:rPr>
      </w:pPr>
      <w:r>
        <w:rPr>
          <w:rFonts w:hint="eastAsia" w:ascii="宋体" w:hAnsi="宋体" w:cs="宋体"/>
          <w:color w:val="auto"/>
          <w:highlight w:val="none"/>
          <w:lang w:val="zh-CN"/>
        </w:rPr>
        <w:t>通信地址：</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w:t>
      </w:r>
    </w:p>
    <w:p w14:paraId="43EEFB4D">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1.1.2.</w:t>
      </w:r>
      <w:r>
        <w:rPr>
          <w:rFonts w:ascii="宋体" w:hAnsi="宋体" w:cs="宋体"/>
          <w:color w:val="auto"/>
          <w:highlight w:val="none"/>
          <w:lang w:val="zh-CN"/>
        </w:rPr>
        <w:t>2</w:t>
      </w:r>
      <w:r>
        <w:rPr>
          <w:rFonts w:hint="eastAsia" w:ascii="宋体" w:hAnsi="宋体" w:cs="宋体"/>
          <w:color w:val="auto"/>
          <w:highlight w:val="none"/>
          <w:lang w:val="zh-CN"/>
        </w:rPr>
        <w:t>设计人：</w:t>
      </w:r>
    </w:p>
    <w:p w14:paraId="422B9BE1">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名    称：</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w:t>
      </w:r>
    </w:p>
    <w:p w14:paraId="1E07D797">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资质类别和等级：</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w:t>
      </w:r>
    </w:p>
    <w:p w14:paraId="2DE66EF5">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联系电话：</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w:t>
      </w:r>
    </w:p>
    <w:p w14:paraId="7C3B8232">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电子信箱：</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w:t>
      </w:r>
    </w:p>
    <w:p w14:paraId="11FEA629">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通信地址：</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w:t>
      </w:r>
    </w:p>
    <w:p w14:paraId="71393F3E">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1.1.3工程和设备</w:t>
      </w:r>
    </w:p>
    <w:p w14:paraId="3C3C313F">
      <w:pPr>
        <w:autoSpaceDE w:val="0"/>
        <w:autoSpaceDN w:val="0"/>
        <w:adjustRightInd w:val="0"/>
        <w:spacing w:line="360" w:lineRule="auto"/>
        <w:ind w:firstLine="420" w:firstLineChars="200"/>
        <w:rPr>
          <w:rFonts w:ascii="宋体" w:hAnsi="宋体" w:cs="宋体"/>
          <w:color w:val="auto"/>
          <w:highlight w:val="none"/>
          <w:u w:val="single"/>
          <w:lang w:val="zh-CN"/>
        </w:rPr>
      </w:pPr>
      <w:r>
        <w:rPr>
          <w:rFonts w:hint="eastAsia" w:ascii="宋体" w:hAnsi="宋体" w:cs="宋体"/>
          <w:color w:val="auto"/>
          <w:highlight w:val="none"/>
          <w:lang w:val="zh-CN"/>
        </w:rPr>
        <w:t>1.1.3.</w:t>
      </w:r>
      <w:r>
        <w:rPr>
          <w:rFonts w:ascii="宋体" w:hAnsi="宋体" w:cs="宋体"/>
          <w:color w:val="auto"/>
          <w:highlight w:val="none"/>
          <w:lang w:val="zh-CN"/>
        </w:rPr>
        <w:t>1</w:t>
      </w:r>
      <w:r>
        <w:rPr>
          <w:rFonts w:hint="eastAsia" w:ascii="宋体" w:hAnsi="宋体" w:cs="宋体"/>
          <w:color w:val="auto"/>
          <w:highlight w:val="none"/>
          <w:lang w:val="zh-CN"/>
        </w:rPr>
        <w:t>作为施工现场组成部分的其他场所包括：</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w:t>
      </w:r>
    </w:p>
    <w:p w14:paraId="6C3A2450">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1.1.3.</w:t>
      </w:r>
      <w:r>
        <w:rPr>
          <w:rFonts w:ascii="宋体" w:hAnsi="宋体" w:cs="宋体"/>
          <w:color w:val="auto"/>
          <w:highlight w:val="none"/>
          <w:lang w:val="zh-CN"/>
        </w:rPr>
        <w:t>2</w:t>
      </w:r>
      <w:r>
        <w:rPr>
          <w:rFonts w:hint="eastAsia" w:ascii="宋体" w:hAnsi="宋体" w:cs="宋体"/>
          <w:color w:val="auto"/>
          <w:highlight w:val="none"/>
          <w:lang w:val="zh-CN"/>
        </w:rPr>
        <w:t>永久占地包括：</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w:t>
      </w:r>
    </w:p>
    <w:p w14:paraId="0D8FF685">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1.1.3.</w:t>
      </w:r>
      <w:r>
        <w:rPr>
          <w:rFonts w:ascii="宋体" w:hAnsi="宋体" w:cs="宋体"/>
          <w:color w:val="auto"/>
          <w:highlight w:val="none"/>
          <w:lang w:val="zh-CN"/>
        </w:rPr>
        <w:t>3</w:t>
      </w:r>
      <w:r>
        <w:rPr>
          <w:rFonts w:hint="eastAsia" w:ascii="宋体" w:hAnsi="宋体" w:cs="宋体"/>
          <w:color w:val="auto"/>
          <w:highlight w:val="none"/>
          <w:lang w:val="zh-CN"/>
        </w:rPr>
        <w:t>临时占地包括：</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w:t>
      </w:r>
    </w:p>
    <w:p w14:paraId="66F0FDB1">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1.</w:t>
      </w:r>
      <w:r>
        <w:rPr>
          <w:rFonts w:ascii="宋体" w:hAnsi="宋体" w:cs="宋体"/>
          <w:color w:val="auto"/>
          <w:highlight w:val="none"/>
          <w:lang w:val="zh-CN"/>
        </w:rPr>
        <w:t>2</w:t>
      </w:r>
      <w:r>
        <w:rPr>
          <w:rFonts w:hint="eastAsia" w:ascii="宋体" w:hAnsi="宋体" w:cs="宋体"/>
          <w:color w:val="auto"/>
          <w:highlight w:val="none"/>
          <w:lang w:val="zh-CN"/>
        </w:rPr>
        <w:t xml:space="preserve">法律 </w:t>
      </w:r>
    </w:p>
    <w:p w14:paraId="4641640A">
      <w:pPr>
        <w:autoSpaceDE w:val="0"/>
        <w:autoSpaceDN w:val="0"/>
        <w:adjustRightInd w:val="0"/>
        <w:spacing w:line="360" w:lineRule="auto"/>
        <w:ind w:firstLine="420" w:firstLineChars="200"/>
        <w:rPr>
          <w:rFonts w:ascii="宋体" w:hAnsi="宋体" w:cs="宋体"/>
          <w:b/>
          <w:bCs/>
          <w:color w:val="auto"/>
          <w:highlight w:val="none"/>
          <w:u w:val="single"/>
          <w:lang w:val="zh-CN"/>
        </w:rPr>
      </w:pPr>
      <w:r>
        <w:rPr>
          <w:rFonts w:hint="eastAsia" w:ascii="宋体" w:hAnsi="宋体" w:cs="宋体"/>
          <w:color w:val="auto"/>
          <w:highlight w:val="none"/>
          <w:lang w:val="zh-CN"/>
        </w:rPr>
        <w:t>适用于合同的其他规范性文件：</w:t>
      </w:r>
      <w:r>
        <w:rPr>
          <w:rFonts w:hint="eastAsia" w:ascii="宋体" w:hAnsi="宋体" w:cs="宋体"/>
          <w:b/>
          <w:bCs/>
          <w:color w:val="auto"/>
          <w:highlight w:val="none"/>
          <w:u w:val="single"/>
          <w:lang w:val="zh-CN"/>
        </w:rPr>
        <w:t>《中华人民共和国建筑法》、《中华人民共和国民法典》、《中华人民共和国招标投标法》、七部委第12号令《评标委员会和评标方法暂行规定》 、建设部第89号令《房屋建筑和市政基础设施工程施工招标投标管理办法》、七部委第30号令《建设工程质量管理条例》（国务院第279号令）、《江苏省工程建设管理条例》、《江苏省建筑市场管理条例》、《中华人民共和国环境噪声污染防治法》等。</w:t>
      </w:r>
    </w:p>
    <w:p w14:paraId="55A7AD52">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1.</w:t>
      </w:r>
      <w:r>
        <w:rPr>
          <w:rFonts w:ascii="宋体" w:hAnsi="宋体" w:cs="宋体"/>
          <w:color w:val="auto"/>
          <w:highlight w:val="none"/>
          <w:lang w:val="zh-CN"/>
        </w:rPr>
        <w:t>3</w:t>
      </w:r>
      <w:r>
        <w:rPr>
          <w:rFonts w:hint="eastAsia" w:ascii="宋体" w:hAnsi="宋体" w:cs="宋体"/>
          <w:color w:val="auto"/>
          <w:highlight w:val="none"/>
          <w:lang w:val="zh-CN"/>
        </w:rPr>
        <w:t>标准和规范</w:t>
      </w:r>
    </w:p>
    <w:p w14:paraId="1CB10CE4">
      <w:pPr>
        <w:spacing w:line="360" w:lineRule="auto"/>
        <w:ind w:firstLine="420" w:firstLineChars="200"/>
        <w:rPr>
          <w:rFonts w:ascii="宋体" w:hAnsi="宋体" w:cs="宋体"/>
          <w:b/>
          <w:color w:val="auto"/>
          <w:highlight w:val="none"/>
          <w:u w:val="single"/>
        </w:rPr>
      </w:pPr>
      <w:r>
        <w:rPr>
          <w:rFonts w:hint="eastAsia" w:ascii="宋体" w:hAnsi="宋体" w:cs="宋体"/>
          <w:color w:val="auto"/>
          <w:highlight w:val="none"/>
          <w:lang w:val="zh-CN"/>
        </w:rPr>
        <w:t>1.</w:t>
      </w:r>
      <w:r>
        <w:rPr>
          <w:rFonts w:ascii="宋体" w:hAnsi="宋体" w:cs="宋体"/>
          <w:color w:val="auto"/>
          <w:highlight w:val="none"/>
          <w:lang w:val="zh-CN"/>
        </w:rPr>
        <w:t>3</w:t>
      </w:r>
      <w:r>
        <w:rPr>
          <w:rFonts w:hint="eastAsia" w:ascii="宋体" w:hAnsi="宋体" w:cs="宋体"/>
          <w:color w:val="auto"/>
          <w:highlight w:val="none"/>
          <w:lang w:val="zh-CN"/>
        </w:rPr>
        <w:t>.</w:t>
      </w:r>
      <w:r>
        <w:rPr>
          <w:rFonts w:ascii="宋体" w:hAnsi="宋体" w:cs="宋体"/>
          <w:color w:val="auto"/>
          <w:highlight w:val="none"/>
          <w:lang w:val="zh-CN"/>
        </w:rPr>
        <w:t>1</w:t>
      </w:r>
      <w:r>
        <w:rPr>
          <w:rFonts w:hint="eastAsia" w:ascii="宋体" w:hAnsi="宋体" w:cs="宋体"/>
          <w:color w:val="auto"/>
          <w:highlight w:val="none"/>
          <w:lang w:val="zh-CN"/>
        </w:rPr>
        <w:t>适用于工程的标准规范包括：</w:t>
      </w:r>
      <w:r>
        <w:rPr>
          <w:rFonts w:hint="eastAsia" w:ascii="宋体" w:hAnsi="宋体"/>
          <w:color w:val="auto"/>
          <w:highlight w:val="none"/>
          <w:u w:val="single"/>
        </w:rPr>
        <w:t>国家、地方、行业现行的建设工程规范和标准；国家、地方、行业现行的有关材料、设备的规范和标准；现行的江苏省工程预算定额及相关规定</w:t>
      </w:r>
      <w:r>
        <w:rPr>
          <w:rFonts w:hint="eastAsia" w:ascii="宋体" w:hAnsi="宋体" w:cs="宋体"/>
          <w:color w:val="auto"/>
          <w:highlight w:val="none"/>
          <w:lang w:val="zh-CN"/>
        </w:rPr>
        <w:t>；</w:t>
      </w:r>
    </w:p>
    <w:p w14:paraId="4F484219">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1.</w:t>
      </w:r>
      <w:r>
        <w:rPr>
          <w:rFonts w:ascii="宋体" w:hAnsi="宋体" w:cs="宋体"/>
          <w:color w:val="auto"/>
          <w:highlight w:val="none"/>
          <w:lang w:val="zh-CN"/>
        </w:rPr>
        <w:t>3</w:t>
      </w:r>
      <w:r>
        <w:rPr>
          <w:rFonts w:hint="eastAsia" w:ascii="宋体" w:hAnsi="宋体" w:cs="宋体"/>
          <w:color w:val="auto"/>
          <w:highlight w:val="none"/>
          <w:lang w:val="zh-CN"/>
        </w:rPr>
        <w:t>.2发包人提供国外标准、规范的名称：</w:t>
      </w:r>
      <w:r>
        <w:rPr>
          <w:rFonts w:hint="eastAsia" w:ascii="宋体" w:hAnsi="宋体" w:cs="宋体"/>
          <w:color w:val="auto"/>
          <w:highlight w:val="none"/>
          <w:u w:val="single"/>
          <w:lang w:val="zh-CN"/>
        </w:rPr>
        <w:t xml:space="preserve">      </w:t>
      </w:r>
      <w:r>
        <w:rPr>
          <w:rFonts w:hint="eastAsia" w:ascii="宋体" w:hAnsi="宋体" w:cs="宋体"/>
          <w:b/>
          <w:bCs/>
          <w:color w:val="auto"/>
          <w:highlight w:val="none"/>
          <w:u w:val="single"/>
          <w:lang w:val="zh-CN"/>
        </w:rPr>
        <w:t>/</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w:t>
      </w:r>
    </w:p>
    <w:p w14:paraId="221C868F">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发包人提供国外标准、规范的份数：</w:t>
      </w:r>
      <w:r>
        <w:rPr>
          <w:rFonts w:hint="eastAsia" w:ascii="宋体" w:hAnsi="宋体" w:cs="宋体"/>
          <w:color w:val="auto"/>
          <w:highlight w:val="none"/>
          <w:u w:val="single"/>
          <w:lang w:val="zh-CN"/>
        </w:rPr>
        <w:t xml:space="preserve">       </w:t>
      </w:r>
      <w:r>
        <w:rPr>
          <w:rFonts w:hint="eastAsia" w:ascii="宋体" w:hAnsi="宋体" w:cs="宋体"/>
          <w:b/>
          <w:bCs/>
          <w:color w:val="auto"/>
          <w:highlight w:val="none"/>
          <w:u w:val="single"/>
          <w:lang w:val="zh-CN"/>
        </w:rPr>
        <w:t>/</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w:t>
      </w:r>
    </w:p>
    <w:p w14:paraId="3B62EEBF">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发包人提供国外标准、规范的名称：</w:t>
      </w:r>
      <w:r>
        <w:rPr>
          <w:rFonts w:hint="eastAsia" w:ascii="宋体" w:hAnsi="宋体" w:cs="宋体"/>
          <w:color w:val="auto"/>
          <w:highlight w:val="none"/>
          <w:u w:val="single"/>
          <w:lang w:val="zh-CN"/>
        </w:rPr>
        <w:t xml:space="preserve">     </w:t>
      </w:r>
      <w:r>
        <w:rPr>
          <w:rFonts w:hint="eastAsia" w:ascii="宋体" w:hAnsi="宋体" w:cs="宋体"/>
          <w:b/>
          <w:bCs/>
          <w:color w:val="auto"/>
          <w:highlight w:val="none"/>
          <w:u w:val="single"/>
          <w:lang w:val="zh-CN"/>
        </w:rPr>
        <w:t>/</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w:t>
      </w:r>
    </w:p>
    <w:p w14:paraId="5D6DE436">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1.</w:t>
      </w:r>
      <w:r>
        <w:rPr>
          <w:rFonts w:ascii="宋体" w:hAnsi="宋体" w:cs="宋体"/>
          <w:color w:val="auto"/>
          <w:highlight w:val="none"/>
          <w:lang w:val="zh-CN"/>
        </w:rPr>
        <w:t>3</w:t>
      </w:r>
      <w:r>
        <w:rPr>
          <w:rFonts w:hint="eastAsia" w:ascii="宋体" w:hAnsi="宋体" w:cs="宋体"/>
          <w:color w:val="auto"/>
          <w:highlight w:val="none"/>
          <w:lang w:val="zh-CN"/>
        </w:rPr>
        <w:t>.3发包人对工程的技术标准和功能要求的特殊要求：</w:t>
      </w:r>
      <w:r>
        <w:rPr>
          <w:rFonts w:hint="eastAsia" w:ascii="宋体" w:hAnsi="宋体" w:cs="宋体"/>
          <w:color w:val="auto"/>
          <w:highlight w:val="none"/>
          <w:u w:val="single"/>
          <w:lang w:val="zh-CN"/>
        </w:rPr>
        <w:t xml:space="preserve">      </w:t>
      </w:r>
      <w:r>
        <w:rPr>
          <w:rFonts w:hint="eastAsia" w:ascii="宋体" w:hAnsi="宋体" w:cs="宋体"/>
          <w:b/>
          <w:bCs/>
          <w:color w:val="auto"/>
          <w:highlight w:val="none"/>
          <w:u w:val="single"/>
          <w:lang w:val="zh-CN"/>
        </w:rPr>
        <w:t>/</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w:t>
      </w:r>
    </w:p>
    <w:p w14:paraId="5BD8C8C0">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1.</w:t>
      </w:r>
      <w:r>
        <w:rPr>
          <w:rFonts w:ascii="宋体" w:hAnsi="宋体" w:cs="宋体"/>
          <w:color w:val="auto"/>
          <w:highlight w:val="none"/>
          <w:lang w:val="zh-CN"/>
        </w:rPr>
        <w:t>4</w:t>
      </w:r>
      <w:r>
        <w:rPr>
          <w:rFonts w:hint="eastAsia" w:ascii="宋体" w:hAnsi="宋体" w:cs="宋体"/>
          <w:color w:val="auto"/>
          <w:highlight w:val="none"/>
          <w:lang w:val="zh-CN"/>
        </w:rPr>
        <w:t>合同文件的优先顺序</w:t>
      </w:r>
    </w:p>
    <w:p w14:paraId="269A657D">
      <w:pPr>
        <w:autoSpaceDE w:val="0"/>
        <w:autoSpaceDN w:val="0"/>
        <w:adjustRightInd w:val="0"/>
        <w:spacing w:line="360" w:lineRule="auto"/>
        <w:ind w:firstLine="420" w:firstLineChars="200"/>
        <w:rPr>
          <w:rFonts w:ascii="宋体" w:hAnsi="宋体" w:cs="宋体"/>
          <w:b/>
          <w:color w:val="auto"/>
          <w:highlight w:val="none"/>
          <w:u w:val="single"/>
          <w:lang w:val="zh-CN"/>
        </w:rPr>
      </w:pPr>
      <w:r>
        <w:rPr>
          <w:rFonts w:hint="eastAsia" w:ascii="宋体" w:hAnsi="宋体" w:cs="宋体"/>
          <w:color w:val="auto"/>
          <w:highlight w:val="none"/>
          <w:lang w:val="zh-CN"/>
        </w:rPr>
        <w:t>合同文件组成及优先顺序为：</w:t>
      </w:r>
      <w:r>
        <w:rPr>
          <w:rFonts w:hint="eastAsia" w:ascii="宋体" w:hAnsi="宋体" w:cs="宋体"/>
          <w:b/>
          <w:color w:val="auto"/>
          <w:highlight w:val="none"/>
          <w:u w:val="single"/>
          <w:lang w:val="zh-CN"/>
        </w:rPr>
        <w:t>1.本合同协议书；2.中标通知书；3. 投标函及其附录；4. 本合同专用条款及其附件；5. 本合同通用条款；6.标准、规范及有关技术文件；7.图纸；8. 已标价工程量清单或预算书；9.其他合同文件。</w:t>
      </w:r>
    </w:p>
    <w:p w14:paraId="0C3429EE">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1.</w:t>
      </w:r>
      <w:r>
        <w:rPr>
          <w:rFonts w:ascii="宋体" w:hAnsi="宋体" w:cs="宋体"/>
          <w:color w:val="auto"/>
          <w:highlight w:val="none"/>
          <w:lang w:val="zh-CN"/>
        </w:rPr>
        <w:t>5</w:t>
      </w:r>
      <w:r>
        <w:rPr>
          <w:rFonts w:hint="eastAsia" w:ascii="宋体" w:hAnsi="宋体" w:cs="宋体"/>
          <w:color w:val="auto"/>
          <w:highlight w:val="none"/>
          <w:lang w:val="zh-CN"/>
        </w:rPr>
        <w:t>图纸和承包人文件</w:t>
      </w:r>
      <w:r>
        <w:rPr>
          <w:rFonts w:hint="eastAsia" w:ascii="宋体" w:hAnsi="宋体" w:cs="宋体"/>
          <w:color w:val="auto"/>
          <w:highlight w:val="none"/>
          <w:lang w:val="zh-CN"/>
        </w:rPr>
        <w:tab/>
      </w:r>
    </w:p>
    <w:p w14:paraId="483947CF">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1.</w:t>
      </w:r>
      <w:r>
        <w:rPr>
          <w:rFonts w:ascii="宋体" w:hAnsi="宋体" w:cs="宋体"/>
          <w:color w:val="auto"/>
          <w:highlight w:val="none"/>
          <w:lang w:val="zh-CN"/>
        </w:rPr>
        <w:t>5</w:t>
      </w:r>
      <w:r>
        <w:rPr>
          <w:rFonts w:hint="eastAsia" w:ascii="宋体" w:hAnsi="宋体" w:cs="宋体"/>
          <w:color w:val="auto"/>
          <w:highlight w:val="none"/>
          <w:lang w:val="zh-CN"/>
        </w:rPr>
        <w:t>.1图纸的提供</w:t>
      </w:r>
    </w:p>
    <w:p w14:paraId="58849A74">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发包人向承包人提供图纸的期限：</w:t>
      </w:r>
      <w:r>
        <w:rPr>
          <w:rFonts w:hint="eastAsia" w:ascii="宋体" w:hAnsi="宋体" w:cs="宋体"/>
          <w:b/>
          <w:bCs/>
          <w:color w:val="auto"/>
          <w:highlight w:val="none"/>
          <w:u w:val="single"/>
          <w:lang w:val="zh-CN"/>
        </w:rPr>
        <w:t>合同签订后开工前</w:t>
      </w:r>
      <w:r>
        <w:rPr>
          <w:rFonts w:hint="eastAsia" w:ascii="宋体" w:hAnsi="宋体" w:cs="宋体"/>
          <w:color w:val="auto"/>
          <w:highlight w:val="none"/>
          <w:lang w:val="zh-CN"/>
        </w:rPr>
        <w:t>；</w:t>
      </w:r>
    </w:p>
    <w:p w14:paraId="72262E34">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发包人向承包人提供图纸的数量：</w:t>
      </w:r>
      <w:r>
        <w:rPr>
          <w:rFonts w:hint="eastAsia" w:ascii="宋体" w:hAnsi="宋体" w:cs="宋体"/>
          <w:b/>
          <w:bCs/>
          <w:color w:val="auto"/>
          <w:highlight w:val="none"/>
          <w:u w:val="single"/>
          <w:lang w:val="zh-CN"/>
        </w:rPr>
        <w:t>肆套；</w:t>
      </w:r>
    </w:p>
    <w:p w14:paraId="3DC76778">
      <w:pPr>
        <w:autoSpaceDE w:val="0"/>
        <w:autoSpaceDN w:val="0"/>
        <w:adjustRightInd w:val="0"/>
        <w:spacing w:line="360" w:lineRule="auto"/>
        <w:ind w:firstLine="420" w:firstLineChars="200"/>
        <w:rPr>
          <w:rFonts w:ascii="宋体" w:hAnsi="宋体" w:cs="宋体"/>
          <w:b/>
          <w:bCs/>
          <w:color w:val="auto"/>
          <w:highlight w:val="none"/>
          <w:u w:val="single"/>
          <w:lang w:val="zh-CN"/>
        </w:rPr>
      </w:pPr>
      <w:r>
        <w:rPr>
          <w:rFonts w:hint="eastAsia" w:ascii="宋体" w:hAnsi="宋体" w:cs="宋体"/>
          <w:color w:val="auto"/>
          <w:highlight w:val="none"/>
          <w:lang w:val="zh-CN"/>
        </w:rPr>
        <w:t>发包人向承包人提供图纸的内容：</w:t>
      </w:r>
      <w:r>
        <w:rPr>
          <w:rFonts w:hint="eastAsia" w:ascii="宋体" w:hAnsi="宋体" w:cs="宋体"/>
          <w:b/>
          <w:bCs/>
          <w:color w:val="auto"/>
          <w:highlight w:val="none"/>
          <w:u w:val="single"/>
          <w:lang w:val="zh-CN"/>
        </w:rPr>
        <w:t>施工图。</w:t>
      </w:r>
    </w:p>
    <w:p w14:paraId="25D933B2">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1.</w:t>
      </w:r>
      <w:r>
        <w:rPr>
          <w:rFonts w:ascii="宋体" w:hAnsi="宋体" w:cs="宋体"/>
          <w:color w:val="auto"/>
          <w:highlight w:val="none"/>
          <w:lang w:val="zh-CN"/>
        </w:rPr>
        <w:t>5</w:t>
      </w:r>
      <w:r>
        <w:rPr>
          <w:rFonts w:hint="eastAsia" w:ascii="宋体" w:hAnsi="宋体" w:cs="宋体"/>
          <w:color w:val="auto"/>
          <w:highlight w:val="none"/>
          <w:lang w:val="zh-CN"/>
        </w:rPr>
        <w:t>.</w:t>
      </w:r>
      <w:r>
        <w:rPr>
          <w:rFonts w:ascii="宋体" w:hAnsi="宋体" w:cs="宋体"/>
          <w:color w:val="auto"/>
          <w:highlight w:val="none"/>
          <w:lang w:val="zh-CN"/>
        </w:rPr>
        <w:t>2</w:t>
      </w:r>
      <w:r>
        <w:rPr>
          <w:rFonts w:hint="eastAsia" w:ascii="宋体" w:hAnsi="宋体" w:cs="宋体"/>
          <w:color w:val="auto"/>
          <w:highlight w:val="none"/>
          <w:lang w:val="zh-CN"/>
        </w:rPr>
        <w:t>承包人文件</w:t>
      </w:r>
    </w:p>
    <w:p w14:paraId="18A109FC">
      <w:pPr>
        <w:autoSpaceDE w:val="0"/>
        <w:autoSpaceDN w:val="0"/>
        <w:adjustRightInd w:val="0"/>
        <w:spacing w:line="360" w:lineRule="auto"/>
        <w:ind w:firstLine="420" w:firstLineChars="200"/>
        <w:rPr>
          <w:rFonts w:ascii="宋体" w:hAnsi="宋体" w:cs="宋体"/>
          <w:b/>
          <w:bCs/>
          <w:color w:val="auto"/>
          <w:highlight w:val="none"/>
          <w:u w:val="single"/>
          <w:lang w:val="zh-CN"/>
        </w:rPr>
      </w:pPr>
      <w:r>
        <w:rPr>
          <w:rFonts w:hint="eastAsia" w:ascii="宋体" w:hAnsi="宋体" w:cs="宋体"/>
          <w:color w:val="auto"/>
          <w:highlight w:val="none"/>
        </w:rPr>
        <w:t>需要由承包人提供的文件，包括：</w:t>
      </w:r>
      <w:r>
        <w:rPr>
          <w:rFonts w:hint="eastAsia" w:ascii="宋体" w:hAnsi="宋体" w:cs="宋体"/>
          <w:b/>
          <w:bCs/>
          <w:color w:val="auto"/>
          <w:highlight w:val="none"/>
          <w:u w:val="single"/>
          <w:lang w:val="zh-CN"/>
        </w:rPr>
        <w:t>中标后</w:t>
      </w:r>
      <w:r>
        <w:rPr>
          <w:rFonts w:hint="eastAsia" w:ascii="宋体" w:hAnsi="宋体" w:cs="宋体"/>
          <w:b/>
          <w:bCs/>
          <w:color w:val="auto"/>
          <w:highlight w:val="none"/>
          <w:u w:val="single"/>
        </w:rPr>
        <w:t>3</w:t>
      </w:r>
      <w:r>
        <w:rPr>
          <w:rFonts w:hint="eastAsia" w:ascii="宋体" w:hAnsi="宋体" w:cs="宋体"/>
          <w:b/>
          <w:bCs/>
          <w:color w:val="auto"/>
          <w:highlight w:val="none"/>
          <w:u w:val="single"/>
          <w:lang w:val="zh-CN"/>
        </w:rPr>
        <w:t>日内提供详细的</w:t>
      </w:r>
      <w:r>
        <w:rPr>
          <w:rFonts w:hint="eastAsia" w:ascii="宋体" w:hAnsi="宋体" w:cs="宋体"/>
          <w:b/>
          <w:bCs/>
          <w:color w:val="auto"/>
          <w:highlight w:val="none"/>
          <w:u w:val="single"/>
        </w:rPr>
        <w:t>施工组织设计、工程总进度计划及人员、机械、材料安排计划</w:t>
      </w:r>
      <w:r>
        <w:rPr>
          <w:rFonts w:hint="eastAsia" w:ascii="宋体" w:hAnsi="宋体" w:cs="宋体"/>
          <w:color w:val="auto"/>
          <w:highlight w:val="none"/>
        </w:rPr>
        <w:t>；</w:t>
      </w:r>
      <w:r>
        <w:rPr>
          <w:rFonts w:hint="eastAsia" w:ascii="宋体" w:hAnsi="宋体" w:cs="宋体"/>
          <w:b/>
          <w:bCs/>
          <w:color w:val="auto"/>
          <w:highlight w:val="none"/>
          <w:u w:val="single"/>
          <w:lang w:val="zh-CN"/>
        </w:rPr>
        <w:t>每周四向监理和发包人提供下一周详细的施工进度计划及本周施工进度报表。具体计划及时间要求根据工程需要补充明确。施工组织设计经发包人及监理认可后方可开工。</w:t>
      </w:r>
    </w:p>
    <w:p w14:paraId="7508C59C">
      <w:pPr>
        <w:spacing w:line="360" w:lineRule="auto"/>
        <w:ind w:firstLine="422" w:firstLineChars="200"/>
        <w:rPr>
          <w:rFonts w:ascii="宋体" w:hAnsi="宋体" w:cs="宋体"/>
          <w:b/>
          <w:bCs/>
          <w:color w:val="auto"/>
          <w:highlight w:val="none"/>
          <w:u w:val="single"/>
        </w:rPr>
      </w:pPr>
      <w:r>
        <w:rPr>
          <w:rFonts w:hint="eastAsia" w:ascii="宋体" w:hAnsi="宋体" w:cs="宋体"/>
          <w:b/>
          <w:bCs/>
          <w:color w:val="auto"/>
          <w:highlight w:val="none"/>
          <w:u w:val="single"/>
        </w:rPr>
        <w:t>未按时提交上述资料，每项每次承包人应支付发包人5000元违约金；每延迟一天，另按5000元/天向发包人支付违约金。</w:t>
      </w:r>
    </w:p>
    <w:p w14:paraId="6C91F34C">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承包人提供的文件的数量为：</w:t>
      </w:r>
      <w:r>
        <w:rPr>
          <w:rFonts w:hint="eastAsia" w:ascii="宋体" w:hAnsi="宋体" w:cs="宋体"/>
          <w:b/>
          <w:bCs/>
          <w:color w:val="auto"/>
          <w:highlight w:val="none"/>
          <w:u w:val="single"/>
          <w:lang w:val="zh-CN"/>
        </w:rPr>
        <w:t>按发包人要求</w:t>
      </w:r>
      <w:r>
        <w:rPr>
          <w:rFonts w:hint="eastAsia" w:ascii="宋体" w:hAnsi="宋体" w:cs="宋体"/>
          <w:color w:val="auto"/>
          <w:highlight w:val="none"/>
          <w:lang w:val="zh-CN"/>
        </w:rPr>
        <w:t>；</w:t>
      </w:r>
    </w:p>
    <w:p w14:paraId="362F8DBE">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承包人提供的文件的形式为：</w:t>
      </w:r>
      <w:r>
        <w:rPr>
          <w:rFonts w:hint="eastAsia" w:ascii="宋体" w:hAnsi="宋体" w:cs="宋体"/>
          <w:b/>
          <w:bCs/>
          <w:color w:val="auto"/>
          <w:highlight w:val="none"/>
          <w:u w:val="single"/>
          <w:lang w:val="zh-CN"/>
        </w:rPr>
        <w:t>书面形式</w:t>
      </w:r>
      <w:r>
        <w:rPr>
          <w:rFonts w:hint="eastAsia" w:ascii="宋体" w:hAnsi="宋体" w:cs="宋体"/>
          <w:color w:val="auto"/>
          <w:highlight w:val="none"/>
          <w:lang w:val="zh-CN"/>
        </w:rPr>
        <w:t>；</w:t>
      </w:r>
    </w:p>
    <w:p w14:paraId="595D717D">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发包人审批承包人文件的期限：</w:t>
      </w:r>
      <w:r>
        <w:rPr>
          <w:rFonts w:hint="eastAsia" w:ascii="宋体" w:hAnsi="宋体" w:cs="宋体"/>
          <w:b/>
          <w:bCs/>
          <w:color w:val="auto"/>
          <w:highlight w:val="none"/>
          <w:u w:val="single"/>
          <w:lang w:val="zh-CN"/>
        </w:rPr>
        <w:t>收到文件后</w:t>
      </w:r>
      <w:r>
        <w:rPr>
          <w:rFonts w:hint="eastAsia" w:ascii="宋体" w:hAnsi="宋体" w:cs="宋体"/>
          <w:b/>
          <w:bCs/>
          <w:color w:val="auto"/>
          <w:highlight w:val="none"/>
          <w:u w:val="single"/>
        </w:rPr>
        <w:t>7</w:t>
      </w:r>
      <w:r>
        <w:rPr>
          <w:rFonts w:hint="eastAsia" w:ascii="宋体" w:hAnsi="宋体" w:cs="宋体"/>
          <w:b/>
          <w:bCs/>
          <w:color w:val="auto"/>
          <w:highlight w:val="none"/>
          <w:u w:val="single"/>
          <w:lang w:val="zh-CN"/>
        </w:rPr>
        <w:t>天内</w:t>
      </w:r>
      <w:r>
        <w:rPr>
          <w:rFonts w:hint="eastAsia" w:ascii="宋体" w:hAnsi="宋体" w:cs="宋体"/>
          <w:color w:val="auto"/>
          <w:highlight w:val="none"/>
          <w:lang w:val="zh-CN"/>
        </w:rPr>
        <w:t>。</w:t>
      </w:r>
    </w:p>
    <w:p w14:paraId="70D79C7A">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1.</w:t>
      </w:r>
      <w:r>
        <w:rPr>
          <w:rFonts w:ascii="宋体" w:hAnsi="宋体" w:cs="宋体"/>
          <w:color w:val="auto"/>
          <w:highlight w:val="none"/>
          <w:lang w:val="zh-CN"/>
        </w:rPr>
        <w:t>5</w:t>
      </w:r>
      <w:r>
        <w:rPr>
          <w:rFonts w:hint="eastAsia" w:ascii="宋体" w:hAnsi="宋体" w:cs="宋体"/>
          <w:color w:val="auto"/>
          <w:highlight w:val="none"/>
          <w:lang w:val="zh-CN"/>
        </w:rPr>
        <w:t>.</w:t>
      </w:r>
      <w:r>
        <w:rPr>
          <w:rFonts w:ascii="宋体" w:hAnsi="宋体" w:cs="宋体"/>
          <w:color w:val="auto"/>
          <w:highlight w:val="none"/>
          <w:lang w:val="zh-CN"/>
        </w:rPr>
        <w:t>3</w:t>
      </w:r>
      <w:r>
        <w:rPr>
          <w:rFonts w:hint="eastAsia" w:ascii="宋体" w:hAnsi="宋体" w:cs="宋体"/>
          <w:color w:val="auto"/>
          <w:highlight w:val="none"/>
          <w:lang w:val="zh-CN"/>
        </w:rPr>
        <w:t>现场图纸准备</w:t>
      </w:r>
    </w:p>
    <w:p w14:paraId="1A9AECE2">
      <w:pPr>
        <w:autoSpaceDE w:val="0"/>
        <w:autoSpaceDN w:val="0"/>
        <w:adjustRightInd w:val="0"/>
        <w:spacing w:line="360" w:lineRule="auto"/>
        <w:ind w:firstLine="420" w:firstLineChars="200"/>
        <w:rPr>
          <w:rFonts w:ascii="宋体" w:hAnsi="宋体" w:cs="宋体"/>
          <w:b/>
          <w:bCs/>
          <w:color w:val="auto"/>
          <w:highlight w:val="none"/>
          <w:u w:val="single"/>
        </w:rPr>
      </w:pPr>
      <w:r>
        <w:rPr>
          <w:rFonts w:hint="eastAsia" w:ascii="宋体" w:hAnsi="宋体" w:cs="宋体"/>
          <w:color w:val="auto"/>
          <w:highlight w:val="none"/>
          <w:lang w:val="zh-CN"/>
        </w:rPr>
        <w:t>关于现场图纸准备的约定：</w:t>
      </w:r>
      <w:r>
        <w:rPr>
          <w:rFonts w:hint="eastAsia" w:ascii="宋体" w:hAnsi="宋体" w:cs="宋体"/>
          <w:b/>
          <w:bCs/>
          <w:color w:val="auto"/>
          <w:highlight w:val="none"/>
          <w:u w:val="single"/>
          <w:lang w:val="zh-CN"/>
        </w:rPr>
        <w:t>施工现场保留一套完整图纸供发包人、监理人及有关人员使用。</w:t>
      </w:r>
    </w:p>
    <w:p w14:paraId="447E579E">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1.</w:t>
      </w:r>
      <w:r>
        <w:rPr>
          <w:rFonts w:ascii="宋体" w:hAnsi="宋体" w:cs="宋体"/>
          <w:color w:val="auto"/>
          <w:highlight w:val="none"/>
          <w:lang w:val="zh-CN"/>
        </w:rPr>
        <w:t>6</w:t>
      </w:r>
      <w:r>
        <w:rPr>
          <w:rFonts w:hint="eastAsia" w:ascii="宋体" w:hAnsi="宋体" w:cs="宋体"/>
          <w:color w:val="auto"/>
          <w:highlight w:val="none"/>
          <w:lang w:val="zh-CN"/>
        </w:rPr>
        <w:t>联络</w:t>
      </w:r>
    </w:p>
    <w:p w14:paraId="3DF4271C">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1.</w:t>
      </w:r>
      <w:r>
        <w:rPr>
          <w:rFonts w:ascii="宋体" w:hAnsi="宋体" w:cs="宋体"/>
          <w:color w:val="auto"/>
          <w:highlight w:val="none"/>
          <w:lang w:val="zh-CN"/>
        </w:rPr>
        <w:t>6</w:t>
      </w:r>
      <w:r>
        <w:rPr>
          <w:rFonts w:hint="eastAsia" w:ascii="宋体" w:hAnsi="宋体" w:cs="宋体"/>
          <w:color w:val="auto"/>
          <w:highlight w:val="none"/>
          <w:lang w:val="zh-CN"/>
        </w:rPr>
        <w:t>.1发包人和承包人应当在</w:t>
      </w:r>
      <w:r>
        <w:rPr>
          <w:rFonts w:hint="eastAsia" w:ascii="宋体" w:hAnsi="宋体" w:cs="宋体"/>
          <w:b/>
          <w:bCs/>
          <w:color w:val="auto"/>
          <w:highlight w:val="none"/>
          <w:u w:val="single"/>
        </w:rPr>
        <w:t xml:space="preserve"> 3 </w:t>
      </w:r>
      <w:r>
        <w:rPr>
          <w:rFonts w:hint="eastAsia" w:ascii="宋体" w:hAnsi="宋体" w:cs="宋体"/>
          <w:color w:val="auto"/>
          <w:highlight w:val="none"/>
          <w:lang w:val="zh-CN"/>
        </w:rPr>
        <w:t>天内将与合同有关的通知、批准、证明、证书、指示、指令、要求、请求、同意、意见、确定和决定等书面函件送达对方当事人。</w:t>
      </w:r>
    </w:p>
    <w:p w14:paraId="5A8D276D">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1.</w:t>
      </w:r>
      <w:r>
        <w:rPr>
          <w:rFonts w:ascii="宋体" w:hAnsi="宋体" w:cs="宋体"/>
          <w:color w:val="auto"/>
          <w:highlight w:val="none"/>
        </w:rPr>
        <w:t>6</w:t>
      </w:r>
      <w:r>
        <w:rPr>
          <w:rFonts w:hint="eastAsia" w:ascii="宋体" w:hAnsi="宋体" w:cs="宋体"/>
          <w:color w:val="auto"/>
          <w:highlight w:val="none"/>
        </w:rPr>
        <w:t>.2发包人接收文件的地点：</w:t>
      </w:r>
      <w:r>
        <w:rPr>
          <w:rFonts w:hint="eastAsia" w:ascii="宋体" w:hAnsi="宋体" w:cs="宋体"/>
          <w:color w:val="auto"/>
          <w:highlight w:val="none"/>
          <w:u w:val="single"/>
        </w:rPr>
        <w:t xml:space="preserve">            ；</w:t>
      </w:r>
    </w:p>
    <w:p w14:paraId="742E5AA9">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发包人指定的接收人为：</w:t>
      </w:r>
      <w:r>
        <w:rPr>
          <w:rFonts w:hint="eastAsia" w:ascii="宋体" w:hAnsi="宋体" w:cs="宋体"/>
          <w:color w:val="auto"/>
          <w:highlight w:val="none"/>
          <w:u w:val="single"/>
        </w:rPr>
        <w:t>发包人代表</w:t>
      </w:r>
      <w:r>
        <w:rPr>
          <w:rFonts w:hint="eastAsia" w:ascii="宋体" w:hAnsi="宋体" w:cs="宋体"/>
          <w:color w:val="auto"/>
          <w:highlight w:val="none"/>
        </w:rPr>
        <w:t>。</w:t>
      </w:r>
    </w:p>
    <w:p w14:paraId="3158EBF9">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承包人接收文件的地点：</w:t>
      </w:r>
      <w:r>
        <w:rPr>
          <w:rFonts w:hint="eastAsia" w:ascii="宋体" w:hAnsi="宋体" w:cs="宋体"/>
          <w:color w:val="auto"/>
          <w:highlight w:val="none"/>
          <w:u w:val="single"/>
        </w:rPr>
        <w:t>工地项目部项目经理办公室</w:t>
      </w:r>
      <w:r>
        <w:rPr>
          <w:rFonts w:hint="eastAsia" w:ascii="宋体" w:hAnsi="宋体" w:cs="宋体"/>
          <w:color w:val="auto"/>
          <w:highlight w:val="none"/>
        </w:rPr>
        <w:t>；</w:t>
      </w:r>
    </w:p>
    <w:p w14:paraId="3B617C8F">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承包人指定的接收人为：</w:t>
      </w:r>
      <w:r>
        <w:rPr>
          <w:rFonts w:hint="eastAsia" w:ascii="宋体" w:hAnsi="宋体" w:cs="宋体"/>
          <w:color w:val="auto"/>
          <w:highlight w:val="none"/>
          <w:u w:val="single"/>
        </w:rPr>
        <w:t xml:space="preserve">项目经理 </w:t>
      </w:r>
      <w:r>
        <w:rPr>
          <w:rFonts w:hint="eastAsia" w:ascii="宋体" w:hAnsi="宋体" w:cs="宋体"/>
          <w:color w:val="auto"/>
          <w:highlight w:val="none"/>
        </w:rPr>
        <w:t>。</w:t>
      </w:r>
    </w:p>
    <w:p w14:paraId="25F45045">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监理人接收文件的地点：</w:t>
      </w:r>
      <w:r>
        <w:rPr>
          <w:rFonts w:hint="eastAsia" w:ascii="宋体" w:hAnsi="宋体" w:cs="宋体"/>
          <w:color w:val="auto"/>
          <w:highlight w:val="none"/>
          <w:u w:val="single"/>
        </w:rPr>
        <w:t>工地项目监理部总监理工程师办公室</w:t>
      </w:r>
      <w:r>
        <w:rPr>
          <w:rFonts w:hint="eastAsia" w:ascii="宋体" w:hAnsi="宋体" w:cs="宋体"/>
          <w:color w:val="auto"/>
          <w:highlight w:val="none"/>
        </w:rPr>
        <w:t>；</w:t>
      </w:r>
    </w:p>
    <w:p w14:paraId="28B82422">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监理人指定的接收人为：</w:t>
      </w:r>
      <w:r>
        <w:rPr>
          <w:rFonts w:hint="eastAsia" w:ascii="宋体" w:hAnsi="宋体" w:cs="宋体"/>
          <w:color w:val="auto"/>
          <w:highlight w:val="none"/>
          <w:u w:val="single"/>
        </w:rPr>
        <w:t>总监理工程师</w:t>
      </w:r>
      <w:r>
        <w:rPr>
          <w:rFonts w:hint="eastAsia" w:ascii="宋体" w:hAnsi="宋体" w:cs="宋体"/>
          <w:color w:val="auto"/>
          <w:highlight w:val="none"/>
        </w:rPr>
        <w:t>。</w:t>
      </w:r>
    </w:p>
    <w:p w14:paraId="3B4F079D">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1.</w:t>
      </w:r>
      <w:r>
        <w:rPr>
          <w:rFonts w:ascii="宋体" w:hAnsi="宋体" w:cs="宋体"/>
          <w:color w:val="auto"/>
          <w:highlight w:val="none"/>
          <w:lang w:val="zh-CN"/>
        </w:rPr>
        <w:t>7</w:t>
      </w:r>
      <w:r>
        <w:rPr>
          <w:rFonts w:hint="eastAsia" w:ascii="宋体" w:hAnsi="宋体" w:cs="宋体"/>
          <w:color w:val="auto"/>
          <w:highlight w:val="none"/>
          <w:lang w:val="zh-CN"/>
        </w:rPr>
        <w:t>交通运输</w:t>
      </w:r>
    </w:p>
    <w:p w14:paraId="61E3F504">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1.</w:t>
      </w:r>
      <w:r>
        <w:rPr>
          <w:rFonts w:ascii="宋体" w:hAnsi="宋体" w:cs="宋体"/>
          <w:color w:val="auto"/>
          <w:highlight w:val="none"/>
          <w:lang w:val="zh-CN"/>
        </w:rPr>
        <w:t>7</w:t>
      </w:r>
      <w:r>
        <w:rPr>
          <w:rFonts w:hint="eastAsia" w:ascii="宋体" w:hAnsi="宋体" w:cs="宋体"/>
          <w:color w:val="auto"/>
          <w:highlight w:val="none"/>
          <w:lang w:val="zh-CN"/>
        </w:rPr>
        <w:t>.1出入现场的权利</w:t>
      </w:r>
    </w:p>
    <w:p w14:paraId="013B7246">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关于出入现场的权利的约定：</w:t>
      </w:r>
      <w:r>
        <w:rPr>
          <w:rFonts w:hint="eastAsia" w:ascii="宋体" w:hAnsi="宋体" w:cs="宋体"/>
          <w:b/>
          <w:bCs/>
          <w:color w:val="auto"/>
          <w:highlight w:val="none"/>
          <w:u w:val="single"/>
          <w:lang w:val="zh-CN"/>
        </w:rPr>
        <w:t xml:space="preserve">     /         </w:t>
      </w:r>
      <w:r>
        <w:rPr>
          <w:rFonts w:hint="eastAsia" w:ascii="宋体" w:hAnsi="宋体" w:cs="宋体"/>
          <w:color w:val="auto"/>
          <w:highlight w:val="none"/>
          <w:lang w:val="zh-CN"/>
        </w:rPr>
        <w:t>。</w:t>
      </w:r>
    </w:p>
    <w:p w14:paraId="609B9668">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1.</w:t>
      </w:r>
      <w:r>
        <w:rPr>
          <w:rFonts w:ascii="宋体" w:hAnsi="宋体" w:cs="宋体"/>
          <w:color w:val="auto"/>
          <w:highlight w:val="none"/>
          <w:lang w:val="zh-CN"/>
        </w:rPr>
        <w:t>7</w:t>
      </w:r>
      <w:r>
        <w:rPr>
          <w:rFonts w:hint="eastAsia" w:ascii="宋体" w:hAnsi="宋体" w:cs="宋体"/>
          <w:color w:val="auto"/>
          <w:highlight w:val="none"/>
          <w:lang w:val="zh-CN"/>
        </w:rPr>
        <w:t>.</w:t>
      </w:r>
      <w:r>
        <w:rPr>
          <w:rFonts w:ascii="宋体" w:hAnsi="宋体" w:cs="宋体"/>
          <w:color w:val="auto"/>
          <w:highlight w:val="none"/>
          <w:lang w:val="zh-CN"/>
        </w:rPr>
        <w:t>2</w:t>
      </w:r>
      <w:r>
        <w:rPr>
          <w:rFonts w:hint="eastAsia" w:ascii="宋体" w:hAnsi="宋体" w:cs="宋体"/>
          <w:color w:val="auto"/>
          <w:highlight w:val="none"/>
          <w:lang w:val="zh-CN"/>
        </w:rPr>
        <w:t>场内交通</w:t>
      </w:r>
    </w:p>
    <w:p w14:paraId="4BE60FB7">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关于场外交通和场内交通的边界的约定：</w:t>
      </w:r>
      <w:r>
        <w:rPr>
          <w:rFonts w:hint="eastAsia" w:ascii="宋体" w:hAnsi="宋体" w:cs="宋体"/>
          <w:color w:val="auto"/>
          <w:highlight w:val="none"/>
          <w:u w:val="single"/>
        </w:rPr>
        <w:t xml:space="preserve">               </w:t>
      </w:r>
      <w:r>
        <w:rPr>
          <w:rFonts w:hint="eastAsia" w:ascii="宋体" w:hAnsi="宋体" w:cs="宋体"/>
          <w:color w:val="auto"/>
          <w:highlight w:val="none"/>
          <w:lang w:val="zh-CN"/>
        </w:rPr>
        <w:t>。</w:t>
      </w:r>
    </w:p>
    <w:p w14:paraId="53F5AF0E">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关于发包人向承包人免费提供满足工程施工需要的场内道路和交通设施的约定：</w:t>
      </w:r>
      <w:r>
        <w:rPr>
          <w:rFonts w:hint="eastAsia" w:ascii="宋体" w:hAnsi="宋体" w:cs="宋体"/>
          <w:b/>
          <w:bCs/>
          <w:color w:val="auto"/>
          <w:highlight w:val="none"/>
          <w:u w:val="single"/>
          <w:lang w:val="zh-CN"/>
        </w:rPr>
        <w:t>无</w:t>
      </w:r>
      <w:r>
        <w:rPr>
          <w:rFonts w:hint="eastAsia" w:ascii="宋体" w:hAnsi="宋体" w:cs="宋体"/>
          <w:color w:val="auto"/>
          <w:highlight w:val="none"/>
          <w:lang w:val="zh-CN"/>
        </w:rPr>
        <w:t xml:space="preserve">。  </w:t>
      </w:r>
    </w:p>
    <w:p w14:paraId="1349822E">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1.</w:t>
      </w:r>
      <w:r>
        <w:rPr>
          <w:rFonts w:ascii="宋体" w:hAnsi="宋体" w:cs="宋体"/>
          <w:color w:val="auto"/>
          <w:highlight w:val="none"/>
          <w:lang w:val="zh-CN"/>
        </w:rPr>
        <w:t>7</w:t>
      </w:r>
      <w:r>
        <w:rPr>
          <w:rFonts w:hint="eastAsia" w:ascii="宋体" w:hAnsi="宋体" w:cs="宋体"/>
          <w:color w:val="auto"/>
          <w:highlight w:val="none"/>
          <w:lang w:val="zh-CN"/>
        </w:rPr>
        <w:t>.</w:t>
      </w:r>
      <w:r>
        <w:rPr>
          <w:rFonts w:ascii="宋体" w:hAnsi="宋体" w:cs="宋体"/>
          <w:color w:val="auto"/>
          <w:highlight w:val="none"/>
          <w:lang w:val="zh-CN"/>
        </w:rPr>
        <w:t>3</w:t>
      </w:r>
      <w:r>
        <w:rPr>
          <w:rFonts w:hint="eastAsia" w:ascii="宋体" w:hAnsi="宋体" w:cs="宋体"/>
          <w:color w:val="auto"/>
          <w:highlight w:val="none"/>
          <w:lang w:val="zh-CN"/>
        </w:rPr>
        <w:t>超大件和超重件的运输</w:t>
      </w:r>
    </w:p>
    <w:p w14:paraId="0613ED3D">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运输超大件或超重件所需的道路和桥梁临时加固改造费用和其他有关费用由</w:t>
      </w:r>
      <w:r>
        <w:rPr>
          <w:rFonts w:hint="eastAsia" w:ascii="宋体" w:hAnsi="宋体" w:cs="宋体"/>
          <w:color w:val="auto"/>
          <w:highlight w:val="none"/>
          <w:u w:val="single"/>
          <w:lang w:val="zh-CN"/>
        </w:rPr>
        <w:t xml:space="preserve"> </w:t>
      </w:r>
      <w:r>
        <w:rPr>
          <w:rFonts w:hint="eastAsia" w:ascii="宋体" w:hAnsi="宋体" w:cs="宋体"/>
          <w:b/>
          <w:bCs/>
          <w:color w:val="auto"/>
          <w:highlight w:val="none"/>
          <w:u w:val="single"/>
          <w:lang w:val="zh-CN"/>
        </w:rPr>
        <w:t>承包人</w:t>
      </w:r>
      <w:r>
        <w:rPr>
          <w:rFonts w:hint="eastAsia" w:ascii="宋体" w:hAnsi="宋体" w:cs="宋体"/>
          <w:b/>
          <w:bCs/>
          <w:color w:val="auto"/>
          <w:highlight w:val="none"/>
          <w:u w:val="single"/>
        </w:rPr>
        <w:t xml:space="preserve"> </w:t>
      </w:r>
      <w:r>
        <w:rPr>
          <w:rFonts w:hint="eastAsia" w:ascii="宋体" w:hAnsi="宋体" w:cs="宋体"/>
          <w:color w:val="auto"/>
          <w:highlight w:val="none"/>
          <w:lang w:val="zh-CN"/>
        </w:rPr>
        <w:t>承担。</w:t>
      </w:r>
    </w:p>
    <w:p w14:paraId="4580FE6C">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1.</w:t>
      </w:r>
      <w:r>
        <w:rPr>
          <w:rFonts w:ascii="宋体" w:hAnsi="宋体" w:cs="宋体"/>
          <w:color w:val="auto"/>
          <w:highlight w:val="none"/>
          <w:lang w:val="zh-CN"/>
        </w:rPr>
        <w:t>8</w:t>
      </w:r>
      <w:r>
        <w:rPr>
          <w:rFonts w:hint="eastAsia" w:ascii="宋体" w:hAnsi="宋体" w:cs="宋体"/>
          <w:color w:val="auto"/>
          <w:highlight w:val="none"/>
          <w:lang w:val="zh-CN"/>
        </w:rPr>
        <w:t>知识产权</w:t>
      </w:r>
    </w:p>
    <w:p w14:paraId="00AD5718">
      <w:pPr>
        <w:autoSpaceDE w:val="0"/>
        <w:autoSpaceDN w:val="0"/>
        <w:adjustRightInd w:val="0"/>
        <w:spacing w:line="360" w:lineRule="auto"/>
        <w:ind w:firstLine="420" w:firstLineChars="200"/>
        <w:rPr>
          <w:rFonts w:ascii="宋体" w:hAnsi="宋体" w:cs="宋体"/>
          <w:b/>
          <w:bCs/>
          <w:color w:val="auto"/>
          <w:highlight w:val="none"/>
          <w:u w:val="single"/>
        </w:rPr>
      </w:pPr>
      <w:r>
        <w:rPr>
          <w:rFonts w:hint="eastAsia" w:ascii="宋体" w:hAnsi="宋体" w:cs="宋体"/>
          <w:color w:val="auto"/>
          <w:highlight w:val="none"/>
          <w:lang w:val="zh-CN"/>
        </w:rPr>
        <w:t>1.</w:t>
      </w:r>
      <w:r>
        <w:rPr>
          <w:rFonts w:ascii="宋体" w:hAnsi="宋体" w:cs="宋体"/>
          <w:color w:val="auto"/>
          <w:highlight w:val="none"/>
          <w:lang w:val="zh-CN"/>
        </w:rPr>
        <w:t>8</w:t>
      </w:r>
      <w:r>
        <w:rPr>
          <w:rFonts w:hint="eastAsia" w:ascii="宋体" w:hAnsi="宋体" w:cs="宋体"/>
          <w:color w:val="auto"/>
          <w:highlight w:val="none"/>
          <w:lang w:val="zh-CN"/>
        </w:rPr>
        <w:t>.1关于发包人提供给承包人的图纸、发包人为实施工程自行编制或委托编制的技术规范以及反映发包人关于合同要求或其他类似性质的文件的著作权的归属：</w:t>
      </w:r>
      <w:r>
        <w:rPr>
          <w:rFonts w:hint="eastAsia" w:ascii="宋体" w:hAnsi="宋体" w:cs="宋体"/>
          <w:b/>
          <w:bCs/>
          <w:color w:val="auto"/>
          <w:highlight w:val="none"/>
          <w:u w:val="single"/>
          <w:lang w:val="zh-CN"/>
        </w:rPr>
        <w:t>著作权属发包人。承包人未经发包人同意不得将本工程图纸转给第三人，不得进行复制，不得向承包人以外的人泄露有关图纸内容。</w:t>
      </w:r>
    </w:p>
    <w:p w14:paraId="14F2EFBD">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关于发包人提供的上述文件的使用限制的要求：</w:t>
      </w:r>
      <w:r>
        <w:rPr>
          <w:rFonts w:hint="eastAsia" w:ascii="宋体" w:hAnsi="宋体" w:cs="宋体"/>
          <w:b/>
          <w:bCs/>
          <w:color w:val="auto"/>
          <w:highlight w:val="none"/>
          <w:u w:val="single"/>
          <w:lang w:val="zh-CN"/>
        </w:rPr>
        <w:t>按通用条款执行</w:t>
      </w:r>
      <w:r>
        <w:rPr>
          <w:rFonts w:hint="eastAsia" w:ascii="宋体" w:hAnsi="宋体" w:cs="宋体"/>
          <w:b/>
          <w:bCs/>
          <w:color w:val="auto"/>
          <w:highlight w:val="none"/>
          <w:u w:val="single"/>
        </w:rPr>
        <w:t xml:space="preserve"> </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w:t>
      </w:r>
    </w:p>
    <w:p w14:paraId="46E3EC18">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1.</w:t>
      </w:r>
      <w:r>
        <w:rPr>
          <w:rFonts w:ascii="宋体" w:hAnsi="宋体" w:cs="宋体"/>
          <w:color w:val="auto"/>
          <w:highlight w:val="none"/>
          <w:lang w:val="zh-CN"/>
        </w:rPr>
        <w:t>8</w:t>
      </w:r>
      <w:r>
        <w:rPr>
          <w:rFonts w:hint="eastAsia" w:ascii="宋体" w:hAnsi="宋体" w:cs="宋体"/>
          <w:color w:val="auto"/>
          <w:highlight w:val="none"/>
          <w:lang w:val="zh-CN"/>
        </w:rPr>
        <w:t>.2关于承包人为实施工程所编制文件的著作权的归属：</w:t>
      </w:r>
      <w:r>
        <w:rPr>
          <w:rFonts w:hint="eastAsia" w:ascii="宋体" w:hAnsi="宋体" w:cs="宋体"/>
          <w:b/>
          <w:bCs/>
          <w:color w:val="auto"/>
          <w:highlight w:val="none"/>
          <w:u w:val="single"/>
          <w:lang w:val="zh-CN"/>
        </w:rPr>
        <w:t>按通用条款执行</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w:t>
      </w:r>
    </w:p>
    <w:p w14:paraId="30E5302C">
      <w:pPr>
        <w:autoSpaceDE w:val="0"/>
        <w:autoSpaceDN w:val="0"/>
        <w:adjustRightInd w:val="0"/>
        <w:spacing w:line="360" w:lineRule="auto"/>
        <w:ind w:firstLine="420" w:firstLineChars="200"/>
        <w:rPr>
          <w:rFonts w:ascii="宋体" w:hAnsi="宋体" w:cs="宋体"/>
          <w:color w:val="auto"/>
          <w:highlight w:val="none"/>
          <w:u w:val="single"/>
          <w:lang w:val="zh-CN"/>
        </w:rPr>
      </w:pPr>
      <w:r>
        <w:rPr>
          <w:rFonts w:hint="eastAsia" w:ascii="宋体" w:hAnsi="宋体" w:cs="宋体"/>
          <w:color w:val="auto"/>
          <w:highlight w:val="none"/>
          <w:lang w:val="zh-CN"/>
        </w:rPr>
        <w:t>关于承包人提供的上述文件的使用限制的要求：</w:t>
      </w:r>
      <w:r>
        <w:rPr>
          <w:rFonts w:hint="eastAsia" w:ascii="宋体" w:hAnsi="宋体" w:cs="宋体"/>
          <w:b/>
          <w:bCs/>
          <w:color w:val="auto"/>
          <w:highlight w:val="none"/>
          <w:u w:val="single"/>
          <w:lang w:val="zh-CN"/>
        </w:rPr>
        <w:t>按通用条款执行</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w:t>
      </w:r>
    </w:p>
    <w:p w14:paraId="6375C2E0">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1.</w:t>
      </w:r>
      <w:r>
        <w:rPr>
          <w:rFonts w:ascii="宋体" w:hAnsi="宋体" w:cs="宋体"/>
          <w:color w:val="auto"/>
          <w:highlight w:val="none"/>
          <w:lang w:val="zh-CN"/>
        </w:rPr>
        <w:t>8</w:t>
      </w:r>
      <w:r>
        <w:rPr>
          <w:rFonts w:hint="eastAsia" w:ascii="宋体" w:hAnsi="宋体" w:cs="宋体"/>
          <w:color w:val="auto"/>
          <w:highlight w:val="none"/>
          <w:lang w:val="zh-CN"/>
        </w:rPr>
        <w:t>.</w:t>
      </w:r>
      <w:r>
        <w:rPr>
          <w:rFonts w:ascii="宋体" w:hAnsi="宋体" w:cs="宋体"/>
          <w:color w:val="auto"/>
          <w:highlight w:val="none"/>
          <w:lang w:val="zh-CN"/>
        </w:rPr>
        <w:t>3</w:t>
      </w:r>
      <w:r>
        <w:rPr>
          <w:rFonts w:hint="eastAsia" w:ascii="宋体" w:hAnsi="宋体" w:cs="宋体"/>
          <w:color w:val="auto"/>
          <w:highlight w:val="none"/>
          <w:lang w:val="zh-CN"/>
        </w:rPr>
        <w:t>承包人在施工过程中所采用的专利、专有技术、技术秘密的使用费的承担方式：</w:t>
      </w:r>
      <w:r>
        <w:rPr>
          <w:rFonts w:hint="eastAsia" w:ascii="宋体" w:hAnsi="宋体" w:cs="宋体"/>
          <w:b/>
          <w:bCs/>
          <w:color w:val="auto"/>
          <w:highlight w:val="none"/>
          <w:u w:val="single"/>
          <w:lang w:val="zh-CN"/>
        </w:rPr>
        <w:t>已含在合同价中。</w:t>
      </w:r>
    </w:p>
    <w:p w14:paraId="37C202BD">
      <w:pPr>
        <w:spacing w:line="360" w:lineRule="auto"/>
        <w:ind w:firstLine="420" w:firstLineChars="200"/>
        <w:jc w:val="left"/>
        <w:rPr>
          <w:rFonts w:ascii="宋体" w:hAnsi="宋体" w:cs="宋体"/>
          <w:color w:val="auto"/>
          <w:highlight w:val="none"/>
        </w:rPr>
      </w:pPr>
      <w:r>
        <w:rPr>
          <w:rFonts w:hint="eastAsia" w:ascii="宋体" w:hAnsi="宋体" w:cs="宋体"/>
          <w:color w:val="auto"/>
          <w:highlight w:val="none"/>
        </w:rPr>
        <w:t>1.</w:t>
      </w:r>
      <w:r>
        <w:rPr>
          <w:rFonts w:ascii="宋体" w:hAnsi="宋体" w:cs="宋体"/>
          <w:color w:val="auto"/>
          <w:highlight w:val="none"/>
        </w:rPr>
        <w:t>9</w:t>
      </w:r>
      <w:r>
        <w:rPr>
          <w:rFonts w:hint="eastAsia" w:ascii="宋体" w:hAnsi="宋体" w:cs="宋体"/>
          <w:color w:val="auto"/>
          <w:highlight w:val="none"/>
        </w:rPr>
        <w:t>工程量清单错误的修正</w:t>
      </w:r>
    </w:p>
    <w:p w14:paraId="28EFCDB3">
      <w:pPr>
        <w:spacing w:line="360" w:lineRule="auto"/>
        <w:ind w:firstLine="422" w:firstLineChars="200"/>
        <w:jc w:val="left"/>
        <w:rPr>
          <w:rFonts w:ascii="宋体" w:hAnsi="宋体" w:cs="宋体"/>
          <w:b/>
          <w:color w:val="auto"/>
          <w:highlight w:val="none"/>
          <w:u w:val="single"/>
        </w:rPr>
      </w:pPr>
      <w:r>
        <w:rPr>
          <w:rFonts w:hint="eastAsia" w:ascii="宋体" w:hAnsi="宋体" w:cs="宋体"/>
          <w:b/>
          <w:color w:val="auto"/>
          <w:highlight w:val="none"/>
          <w:u w:val="single"/>
        </w:rPr>
        <w:t>出现工程量清单错误时，是否调整合同价格：按本合同条款中第12.1相应条款执行。</w:t>
      </w:r>
    </w:p>
    <w:p w14:paraId="12B318FB">
      <w:pPr>
        <w:autoSpaceDE w:val="0"/>
        <w:autoSpaceDN w:val="0"/>
        <w:adjustRightInd w:val="0"/>
        <w:spacing w:line="360" w:lineRule="auto"/>
        <w:ind w:firstLine="420" w:firstLineChars="200"/>
        <w:rPr>
          <w:rFonts w:ascii="宋体" w:hAnsi="宋体" w:cs="宋体"/>
          <w:color w:val="auto"/>
          <w:highlight w:val="none"/>
          <w:u w:val="single"/>
        </w:rPr>
      </w:pPr>
      <w:r>
        <w:rPr>
          <w:rFonts w:hint="eastAsia" w:ascii="宋体" w:hAnsi="宋体" w:cs="宋体"/>
          <w:color w:val="auto"/>
          <w:highlight w:val="none"/>
          <w:lang w:val="zh-CN"/>
        </w:rPr>
        <w:t>2.发包人</w:t>
      </w:r>
    </w:p>
    <w:p w14:paraId="7BD21D90">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2.</w:t>
      </w:r>
      <w:r>
        <w:rPr>
          <w:rFonts w:ascii="宋体" w:hAnsi="宋体" w:cs="宋体"/>
          <w:color w:val="auto"/>
          <w:highlight w:val="none"/>
          <w:lang w:val="zh-CN"/>
        </w:rPr>
        <w:t>1</w:t>
      </w:r>
      <w:r>
        <w:rPr>
          <w:rFonts w:hint="eastAsia" w:ascii="宋体" w:hAnsi="宋体" w:cs="宋体"/>
          <w:color w:val="auto"/>
          <w:highlight w:val="none"/>
          <w:lang w:val="zh-CN"/>
        </w:rPr>
        <w:t>发包人代表</w:t>
      </w:r>
    </w:p>
    <w:p w14:paraId="46C508FC">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发包人代表：</w:t>
      </w:r>
    </w:p>
    <w:p w14:paraId="0FF68623">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姓    名：</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w:t>
      </w:r>
    </w:p>
    <w:p w14:paraId="7F84B757">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身份证号：</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w:t>
      </w:r>
    </w:p>
    <w:p w14:paraId="217A8183">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职    务：</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w:t>
      </w:r>
    </w:p>
    <w:p w14:paraId="73C750A2">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联系电话：</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w:t>
      </w:r>
    </w:p>
    <w:p w14:paraId="406D5315">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电子信箱：</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w:t>
      </w:r>
    </w:p>
    <w:p w14:paraId="3D192CC3">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通信地址：</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w:t>
      </w:r>
    </w:p>
    <w:p w14:paraId="09D71068">
      <w:pPr>
        <w:autoSpaceDE w:val="0"/>
        <w:autoSpaceDN w:val="0"/>
        <w:adjustRightInd w:val="0"/>
        <w:spacing w:line="360" w:lineRule="auto"/>
        <w:ind w:firstLine="420" w:firstLineChars="200"/>
        <w:rPr>
          <w:rFonts w:ascii="宋体" w:hAnsi="宋体" w:cs="宋体"/>
          <w:b/>
          <w:bCs/>
          <w:color w:val="auto"/>
          <w:highlight w:val="none"/>
          <w:lang w:val="zh-CN"/>
        </w:rPr>
      </w:pPr>
      <w:r>
        <w:rPr>
          <w:rFonts w:hint="eastAsia" w:ascii="宋体" w:hAnsi="宋体" w:cs="宋体"/>
          <w:color w:val="auto"/>
          <w:highlight w:val="none"/>
          <w:lang w:val="zh-CN"/>
        </w:rPr>
        <w:t>发包人对发包人代表的授权范围如下：</w:t>
      </w:r>
      <w:r>
        <w:rPr>
          <w:rFonts w:hint="eastAsia" w:ascii="宋体" w:hAnsi="宋体" w:cs="宋体"/>
          <w:b/>
          <w:bCs/>
          <w:color w:val="auto"/>
          <w:highlight w:val="none"/>
          <w:u w:val="single"/>
          <w:lang w:val="zh-CN"/>
        </w:rPr>
        <w:t>代表发包方行使发包方的权力和监理人需要取得发包人批准的权力。</w:t>
      </w:r>
    </w:p>
    <w:p w14:paraId="1A9D17E9">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2.</w:t>
      </w:r>
      <w:r>
        <w:rPr>
          <w:rFonts w:ascii="宋体" w:hAnsi="宋体" w:cs="宋体"/>
          <w:color w:val="auto"/>
          <w:highlight w:val="none"/>
          <w:lang w:val="zh-CN"/>
        </w:rPr>
        <w:t>2</w:t>
      </w:r>
      <w:r>
        <w:rPr>
          <w:rFonts w:hint="eastAsia" w:ascii="宋体" w:hAnsi="宋体" w:cs="宋体"/>
          <w:color w:val="auto"/>
          <w:highlight w:val="none"/>
          <w:lang w:val="zh-CN"/>
        </w:rPr>
        <w:t>施工现场、施工条件和基础资料的提供</w:t>
      </w:r>
    </w:p>
    <w:p w14:paraId="17AB0CFB">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2.</w:t>
      </w:r>
      <w:r>
        <w:rPr>
          <w:rFonts w:ascii="宋体" w:hAnsi="宋体" w:cs="宋体"/>
          <w:color w:val="auto"/>
          <w:highlight w:val="none"/>
          <w:lang w:val="zh-CN"/>
        </w:rPr>
        <w:t>2</w:t>
      </w:r>
      <w:r>
        <w:rPr>
          <w:rFonts w:hint="eastAsia" w:ascii="宋体" w:hAnsi="宋体" w:cs="宋体"/>
          <w:color w:val="auto"/>
          <w:highlight w:val="none"/>
          <w:lang w:val="zh-CN"/>
        </w:rPr>
        <w:t>.1提供施工现场</w:t>
      </w:r>
    </w:p>
    <w:p w14:paraId="181DA9AA">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关于发包人移交施工现场的期限要求：</w:t>
      </w:r>
      <w:r>
        <w:rPr>
          <w:rFonts w:hint="eastAsia" w:ascii="宋体" w:hAnsi="宋体" w:cs="宋体"/>
          <w:b/>
          <w:bCs/>
          <w:color w:val="auto"/>
          <w:highlight w:val="none"/>
          <w:u w:val="single"/>
          <w:lang w:val="zh-CN"/>
        </w:rPr>
        <w:t>以施工现场的现状为准</w:t>
      </w:r>
      <w:r>
        <w:rPr>
          <w:rFonts w:hint="eastAsia" w:ascii="宋体" w:hAnsi="宋体" w:cs="宋体"/>
          <w:color w:val="auto"/>
          <w:highlight w:val="none"/>
          <w:lang w:val="zh-CN"/>
        </w:rPr>
        <w:t>。</w:t>
      </w:r>
    </w:p>
    <w:p w14:paraId="4502A63D">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2.</w:t>
      </w:r>
      <w:r>
        <w:rPr>
          <w:rFonts w:ascii="宋体" w:hAnsi="宋体" w:cs="宋体"/>
          <w:color w:val="auto"/>
          <w:highlight w:val="none"/>
          <w:lang w:val="zh-CN"/>
        </w:rPr>
        <w:t>2</w:t>
      </w:r>
      <w:r>
        <w:rPr>
          <w:rFonts w:hint="eastAsia" w:ascii="宋体" w:hAnsi="宋体" w:cs="宋体"/>
          <w:color w:val="auto"/>
          <w:highlight w:val="none"/>
          <w:lang w:val="zh-CN"/>
        </w:rPr>
        <w:t>.2提供施工条件</w:t>
      </w:r>
    </w:p>
    <w:p w14:paraId="11B056F1">
      <w:pPr>
        <w:autoSpaceDE w:val="0"/>
        <w:autoSpaceDN w:val="0"/>
        <w:adjustRightInd w:val="0"/>
        <w:spacing w:line="360" w:lineRule="auto"/>
        <w:ind w:firstLine="420" w:firstLineChars="200"/>
        <w:rPr>
          <w:rFonts w:ascii="宋体" w:hAnsi="宋体" w:cs="宋体"/>
          <w:b/>
          <w:bCs/>
          <w:color w:val="auto"/>
          <w:highlight w:val="none"/>
          <w:u w:val="single"/>
        </w:rPr>
      </w:pPr>
      <w:r>
        <w:rPr>
          <w:rFonts w:hint="eastAsia" w:ascii="宋体" w:hAnsi="宋体" w:cs="宋体"/>
          <w:color w:val="auto"/>
          <w:highlight w:val="none"/>
          <w:lang w:val="zh-CN"/>
        </w:rPr>
        <w:t>关于发包人应负责提供施工所需要的条件，包括：</w:t>
      </w:r>
      <w:r>
        <w:rPr>
          <w:rFonts w:hint="eastAsia" w:ascii="宋体" w:hAnsi="宋体" w:cs="宋体"/>
          <w:b/>
          <w:bCs/>
          <w:color w:val="auto"/>
          <w:highlight w:val="none"/>
          <w:u w:val="single"/>
          <w:lang w:val="zh-CN"/>
        </w:rPr>
        <w:t>发包人于开工前办理好施工所需证件、批件（承包人自身资质证件除外）。施工过程中承包人不得因发包人前期手续的原因而出现不进行施工准备、索赔、消极施工等情形，应积极配合，保证工程按计划进行，否则按违约处理。</w:t>
      </w:r>
    </w:p>
    <w:p w14:paraId="35041ACB">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2.</w:t>
      </w:r>
      <w:r>
        <w:rPr>
          <w:rFonts w:ascii="宋体" w:hAnsi="宋体" w:cs="宋体"/>
          <w:color w:val="auto"/>
          <w:highlight w:val="none"/>
          <w:lang w:val="zh-CN"/>
        </w:rPr>
        <w:t>3</w:t>
      </w:r>
      <w:r>
        <w:rPr>
          <w:rFonts w:hint="eastAsia" w:ascii="宋体" w:hAnsi="宋体" w:cs="宋体"/>
          <w:color w:val="auto"/>
          <w:highlight w:val="none"/>
          <w:lang w:val="zh-CN"/>
        </w:rPr>
        <w:t>资金来源证明及支付担保</w:t>
      </w:r>
    </w:p>
    <w:p w14:paraId="79849CE8">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发包人提供资金来源证明的期限要求：</w:t>
      </w:r>
      <w:r>
        <w:rPr>
          <w:rFonts w:hint="eastAsia" w:ascii="宋体" w:hAnsi="宋体" w:cs="宋体"/>
          <w:b/>
          <w:bCs/>
          <w:color w:val="auto"/>
          <w:highlight w:val="none"/>
          <w:u w:val="single"/>
          <w:lang w:val="zh-CN"/>
        </w:rPr>
        <w:t>不需提供</w:t>
      </w:r>
      <w:r>
        <w:rPr>
          <w:rFonts w:hint="eastAsia" w:ascii="宋体" w:hAnsi="宋体" w:cs="宋体"/>
          <w:color w:val="auto"/>
          <w:highlight w:val="none"/>
          <w:lang w:val="zh-CN"/>
        </w:rPr>
        <w:t>。</w:t>
      </w:r>
    </w:p>
    <w:p w14:paraId="6F847534">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发包人是否提供支付担保：</w:t>
      </w:r>
      <w:r>
        <w:rPr>
          <w:rFonts w:hint="eastAsia" w:ascii="宋体" w:hAnsi="宋体" w:cs="宋体"/>
          <w:b/>
          <w:bCs/>
          <w:color w:val="auto"/>
          <w:highlight w:val="none"/>
          <w:u w:val="single"/>
          <w:lang w:val="zh-CN"/>
        </w:rPr>
        <w:t>不提供</w:t>
      </w:r>
      <w:r>
        <w:rPr>
          <w:rFonts w:hint="eastAsia" w:ascii="宋体" w:hAnsi="宋体" w:cs="宋体"/>
          <w:color w:val="auto"/>
          <w:highlight w:val="none"/>
          <w:lang w:val="zh-CN"/>
        </w:rPr>
        <w:t>。</w:t>
      </w:r>
    </w:p>
    <w:p w14:paraId="47912EB9">
      <w:pPr>
        <w:autoSpaceDE w:val="0"/>
        <w:autoSpaceDN w:val="0"/>
        <w:adjustRightInd w:val="0"/>
        <w:spacing w:line="360" w:lineRule="auto"/>
        <w:ind w:firstLine="420" w:firstLineChars="200"/>
        <w:rPr>
          <w:rFonts w:ascii="宋体" w:hAnsi="宋体" w:cs="宋体"/>
          <w:color w:val="auto"/>
          <w:highlight w:val="none"/>
          <w:u w:val="single"/>
          <w:lang w:val="zh-CN"/>
        </w:rPr>
      </w:pPr>
      <w:r>
        <w:rPr>
          <w:rFonts w:hint="eastAsia" w:ascii="宋体" w:hAnsi="宋体" w:cs="宋体"/>
          <w:color w:val="auto"/>
          <w:highlight w:val="none"/>
          <w:lang w:val="zh-CN"/>
        </w:rPr>
        <w:t>发包人提供支付担保的形式：</w:t>
      </w:r>
      <w:r>
        <w:rPr>
          <w:rFonts w:hint="eastAsia" w:ascii="宋体" w:hAnsi="宋体" w:cs="宋体"/>
          <w:b/>
          <w:bCs/>
          <w:color w:val="auto"/>
          <w:highlight w:val="none"/>
          <w:u w:val="single"/>
          <w:lang w:val="zh-CN"/>
        </w:rPr>
        <w:t xml:space="preserve"> / </w:t>
      </w:r>
      <w:r>
        <w:rPr>
          <w:rFonts w:hint="eastAsia" w:ascii="宋体" w:hAnsi="宋体" w:cs="宋体"/>
          <w:color w:val="auto"/>
          <w:highlight w:val="none"/>
          <w:lang w:val="zh-CN"/>
        </w:rPr>
        <w:t>。</w:t>
      </w:r>
    </w:p>
    <w:p w14:paraId="27BA392A">
      <w:pPr>
        <w:keepNext/>
        <w:keepLines/>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3.承包人</w:t>
      </w:r>
    </w:p>
    <w:p w14:paraId="2E2FBE73">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3.1承包人的一般义务</w:t>
      </w:r>
    </w:p>
    <w:p w14:paraId="78AA1279">
      <w:pPr>
        <w:tabs>
          <w:tab w:val="left" w:pos="1125"/>
        </w:tabs>
        <w:overflowPunct w:val="0"/>
        <w:autoSpaceDE w:val="0"/>
        <w:autoSpaceDN w:val="0"/>
        <w:adjustRightInd w:val="0"/>
        <w:spacing w:line="360" w:lineRule="auto"/>
        <w:ind w:right="140" w:firstLine="420" w:firstLineChars="200"/>
        <w:rPr>
          <w:rFonts w:ascii="宋体" w:hAnsi="宋体" w:cs="宋体"/>
          <w:b/>
          <w:color w:val="auto"/>
          <w:highlight w:val="none"/>
        </w:rPr>
      </w:pPr>
      <w:r>
        <w:rPr>
          <w:rFonts w:hint="eastAsia" w:ascii="宋体" w:hAnsi="宋体" w:cs="宋体"/>
          <w:color w:val="auto"/>
          <w:highlight w:val="none"/>
          <w:lang w:val="zh-CN"/>
        </w:rPr>
        <w:t>3</w:t>
      </w:r>
      <w:r>
        <w:rPr>
          <w:rFonts w:ascii="宋体" w:hAnsi="宋体" w:cs="宋体"/>
          <w:color w:val="auto"/>
          <w:highlight w:val="none"/>
          <w:lang w:val="zh-CN"/>
        </w:rPr>
        <w:t>.1.1</w:t>
      </w:r>
      <w:r>
        <w:rPr>
          <w:rFonts w:hint="eastAsia" w:ascii="宋体" w:hAnsi="宋体" w:cs="宋体"/>
          <w:color w:val="auto"/>
          <w:highlight w:val="none"/>
          <w:lang w:val="zh-CN"/>
        </w:rPr>
        <w:t>承包人提交的竣工资料的内容：</w:t>
      </w:r>
      <w:r>
        <w:rPr>
          <w:rFonts w:hint="eastAsia" w:ascii="宋体" w:hAnsi="宋体" w:cs="宋体"/>
          <w:b/>
          <w:color w:val="auto"/>
          <w:highlight w:val="none"/>
          <w:u w:val="single"/>
        </w:rPr>
        <w:t>工程具备竣工验收条件后，承包人应按《建设工程文件归档整理规范》 （GB/T50328-2001）及建设部建城[2002]221 号文关于《市政基础设施工程施工技术文件管理规定》的要求，向发包人提供 4 套完整并符合要求的竣工资料和工程竣工报告，工程竣工报告应经过总监理工程师审核认可。并提供一套电子版竣工图（刻录于可擦写光盘）</w:t>
      </w:r>
      <w:r>
        <w:rPr>
          <w:rFonts w:hint="eastAsia" w:ascii="宋体" w:hAnsi="宋体" w:cs="宋体"/>
          <w:b/>
          <w:color w:val="auto"/>
          <w:highlight w:val="none"/>
        </w:rPr>
        <w:t>。</w:t>
      </w:r>
    </w:p>
    <w:p w14:paraId="2F939DD9">
      <w:pPr>
        <w:tabs>
          <w:tab w:val="left" w:pos="1125"/>
        </w:tabs>
        <w:overflowPunct w:val="0"/>
        <w:autoSpaceDE w:val="0"/>
        <w:autoSpaceDN w:val="0"/>
        <w:adjustRightInd w:val="0"/>
        <w:spacing w:line="360" w:lineRule="auto"/>
        <w:ind w:right="140" w:firstLine="422" w:firstLineChars="200"/>
        <w:rPr>
          <w:rFonts w:ascii="宋体" w:hAnsi="宋体" w:cs="宋体"/>
          <w:b/>
          <w:color w:val="auto"/>
          <w:highlight w:val="none"/>
          <w:u w:val="single"/>
        </w:rPr>
      </w:pPr>
      <w:r>
        <w:rPr>
          <w:rFonts w:hint="eastAsia" w:ascii="宋体" w:hAnsi="宋体" w:cs="宋体"/>
          <w:b/>
          <w:color w:val="auto"/>
          <w:highlight w:val="none"/>
          <w:u w:val="single"/>
        </w:rPr>
        <w:t>承包人在施工过程中必须收集齐全所有隐蔽项目的影像视频资料以供后期审计使用，在送审结算资料中必须一并提交。所有签证资料必须附有详细影像彩色照片，所摄照片必须有可参照性。</w:t>
      </w:r>
    </w:p>
    <w:p w14:paraId="4D1B6B44">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承包人需要提交的竣工资料套数：</w:t>
      </w:r>
      <w:r>
        <w:rPr>
          <w:rFonts w:hint="eastAsia" w:ascii="宋体" w:hAnsi="宋体" w:cs="宋体"/>
          <w:color w:val="auto"/>
          <w:highlight w:val="none"/>
          <w:u w:val="single"/>
          <w:lang w:val="zh-CN"/>
        </w:rPr>
        <w:t xml:space="preserve">       </w:t>
      </w:r>
      <w:r>
        <w:rPr>
          <w:rFonts w:hint="eastAsia" w:ascii="宋体" w:hAnsi="宋体" w:cs="宋体"/>
          <w:b/>
          <w:bCs/>
          <w:color w:val="auto"/>
          <w:highlight w:val="none"/>
          <w:u w:val="single"/>
          <w:lang w:val="zh-CN"/>
        </w:rPr>
        <w:t>肆套</w:t>
      </w:r>
      <w:r>
        <w:rPr>
          <w:rFonts w:hint="eastAsia" w:ascii="宋体" w:hAnsi="宋体" w:cs="宋体"/>
          <w:b/>
          <w:bCs/>
          <w:color w:val="auto"/>
          <w:highlight w:val="none"/>
          <w:u w:val="single"/>
        </w:rPr>
        <w:t xml:space="preserve">    </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w:t>
      </w:r>
    </w:p>
    <w:p w14:paraId="2FEEFCF3">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承包人提交的竣工资料的费用承担：</w:t>
      </w:r>
      <w:r>
        <w:rPr>
          <w:rFonts w:hint="eastAsia" w:ascii="宋体" w:hAnsi="宋体" w:cs="宋体"/>
          <w:color w:val="auto"/>
          <w:highlight w:val="none"/>
          <w:u w:val="single"/>
          <w:lang w:val="zh-CN"/>
        </w:rPr>
        <w:t xml:space="preserve">   </w:t>
      </w:r>
      <w:r>
        <w:rPr>
          <w:rFonts w:hint="eastAsia" w:ascii="宋体" w:hAnsi="宋体" w:cs="宋体"/>
          <w:b/>
          <w:bCs/>
          <w:color w:val="auto"/>
          <w:highlight w:val="none"/>
          <w:u w:val="single"/>
          <w:lang w:val="zh-CN"/>
        </w:rPr>
        <w:t>由承包人承担</w:t>
      </w:r>
      <w:r>
        <w:rPr>
          <w:rFonts w:hint="eastAsia" w:ascii="宋体" w:hAnsi="宋体" w:cs="宋体"/>
          <w:b/>
          <w:bCs/>
          <w:color w:val="auto"/>
          <w:highlight w:val="none"/>
          <w:u w:val="single"/>
        </w:rPr>
        <w:t xml:space="preserve">   </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w:t>
      </w:r>
    </w:p>
    <w:p w14:paraId="7E6AC9AB">
      <w:pPr>
        <w:tabs>
          <w:tab w:val="left" w:pos="1126"/>
        </w:tabs>
        <w:overflowPunct w:val="0"/>
        <w:autoSpaceDE w:val="0"/>
        <w:autoSpaceDN w:val="0"/>
        <w:adjustRightInd w:val="0"/>
        <w:spacing w:line="360" w:lineRule="auto"/>
        <w:ind w:right="140" w:firstLine="420" w:firstLineChars="200"/>
        <w:rPr>
          <w:rFonts w:ascii="宋体" w:hAnsi="宋体" w:cs="宋体"/>
          <w:b/>
          <w:color w:val="auto"/>
          <w:highlight w:val="none"/>
        </w:rPr>
      </w:pPr>
      <w:r>
        <w:rPr>
          <w:rFonts w:hint="eastAsia" w:ascii="宋体" w:hAnsi="宋体" w:cs="宋体"/>
          <w:color w:val="auto"/>
          <w:highlight w:val="none"/>
          <w:lang w:val="zh-CN"/>
        </w:rPr>
        <w:t>承包人提交的竣工资料移交时间：</w:t>
      </w:r>
      <w:r>
        <w:rPr>
          <w:rFonts w:hint="eastAsia" w:ascii="宋体" w:hAnsi="宋体" w:cs="宋体"/>
          <w:color w:val="auto"/>
          <w:highlight w:val="none"/>
          <w:u w:val="single"/>
          <w:lang w:val="zh-CN"/>
        </w:rPr>
        <w:t xml:space="preserve"> </w:t>
      </w:r>
      <w:r>
        <w:rPr>
          <w:rFonts w:hint="eastAsia" w:ascii="宋体" w:hAnsi="宋体" w:cs="宋体"/>
          <w:b/>
          <w:color w:val="auto"/>
          <w:highlight w:val="none"/>
          <w:u w:val="single"/>
        </w:rPr>
        <w:t>承包人应在工程通过监理预验收后 28 日内向监理机构递交符合要求的竣工结算报告及完整的结算资料4 套，监理机构收到承包人符合要求的结算资料 28 天内进行核实</w:t>
      </w:r>
      <w:r>
        <w:rPr>
          <w:rFonts w:hint="eastAsia" w:ascii="宋体" w:hAnsi="宋体" w:cs="宋体"/>
          <w:b/>
          <w:color w:val="auto"/>
          <w:highlight w:val="none"/>
        </w:rPr>
        <w:t xml:space="preserve">。 </w:t>
      </w:r>
    </w:p>
    <w:p w14:paraId="61C7ABB1">
      <w:pPr>
        <w:tabs>
          <w:tab w:val="left" w:pos="1125"/>
        </w:tabs>
        <w:overflowPunct w:val="0"/>
        <w:autoSpaceDE w:val="0"/>
        <w:autoSpaceDN w:val="0"/>
        <w:adjustRightInd w:val="0"/>
        <w:spacing w:line="360" w:lineRule="auto"/>
        <w:ind w:right="140" w:firstLine="420" w:firstLineChars="200"/>
        <w:rPr>
          <w:rFonts w:ascii="宋体" w:hAnsi="宋体" w:cs="宋体"/>
          <w:color w:val="auto"/>
          <w:highlight w:val="none"/>
          <w:u w:val="single"/>
          <w:lang w:val="zh-CN"/>
        </w:rPr>
      </w:pPr>
      <w:r>
        <w:rPr>
          <w:rFonts w:hint="eastAsia" w:ascii="宋体" w:hAnsi="宋体" w:cs="宋体"/>
          <w:color w:val="auto"/>
          <w:highlight w:val="none"/>
          <w:lang w:val="zh-CN"/>
        </w:rPr>
        <w:t>承包人提交的竣工资料形式要求：</w:t>
      </w:r>
      <w:r>
        <w:rPr>
          <w:rFonts w:hint="eastAsia" w:ascii="宋体" w:hAnsi="宋体" w:cs="宋体"/>
          <w:b/>
          <w:bCs/>
          <w:color w:val="auto"/>
          <w:highlight w:val="none"/>
          <w:u w:val="single"/>
          <w:lang w:val="zh-CN"/>
        </w:rPr>
        <w:t>承包人提供的竣工图必须与实际相符合，否则由此对发包人造成的所有损失由承包人承担。</w:t>
      </w:r>
    </w:p>
    <w:p w14:paraId="441287D5">
      <w:pPr>
        <w:tabs>
          <w:tab w:val="left" w:pos="1125"/>
        </w:tabs>
        <w:overflowPunct w:val="0"/>
        <w:autoSpaceDE w:val="0"/>
        <w:autoSpaceDN w:val="0"/>
        <w:adjustRightInd w:val="0"/>
        <w:spacing w:line="360" w:lineRule="auto"/>
        <w:ind w:right="140" w:firstLine="420" w:firstLineChars="200"/>
        <w:rPr>
          <w:rFonts w:ascii="宋体" w:hAnsi="宋体" w:cs="宋体"/>
          <w:color w:val="auto"/>
          <w:highlight w:val="none"/>
          <w:u w:val="single"/>
          <w:lang w:val="zh-CN"/>
        </w:rPr>
      </w:pPr>
      <w:r>
        <w:rPr>
          <w:rFonts w:hint="eastAsia" w:ascii="宋体" w:hAnsi="宋体" w:cs="宋体"/>
          <w:color w:val="auto"/>
          <w:highlight w:val="none"/>
          <w:lang w:val="zh-CN"/>
        </w:rPr>
        <w:t>3</w:t>
      </w:r>
      <w:r>
        <w:rPr>
          <w:rFonts w:ascii="宋体" w:hAnsi="宋体" w:cs="宋体"/>
          <w:color w:val="auto"/>
          <w:highlight w:val="none"/>
          <w:lang w:val="zh-CN"/>
        </w:rPr>
        <w:t>.1.2</w:t>
      </w:r>
      <w:r>
        <w:rPr>
          <w:rFonts w:hint="eastAsia" w:ascii="宋体" w:hAnsi="宋体" w:cs="宋体"/>
          <w:color w:val="auto"/>
          <w:highlight w:val="none"/>
          <w:lang w:val="zh-CN"/>
        </w:rPr>
        <w:t>承包人应履行的其他义务：</w:t>
      </w:r>
    </w:p>
    <w:p w14:paraId="15F1CAC0">
      <w:pPr>
        <w:autoSpaceDE w:val="0"/>
        <w:autoSpaceDN w:val="0"/>
        <w:adjustRightInd w:val="0"/>
        <w:spacing w:line="360" w:lineRule="auto"/>
        <w:ind w:firstLine="422" w:firstLineChars="200"/>
        <w:rPr>
          <w:rFonts w:ascii="宋体" w:hAnsi="宋体" w:cs="宋体"/>
          <w:b/>
          <w:bCs/>
          <w:color w:val="auto"/>
          <w:highlight w:val="none"/>
          <w:u w:val="single"/>
          <w:lang w:val="zh-CN"/>
        </w:rPr>
      </w:pPr>
      <w:r>
        <w:rPr>
          <w:rFonts w:hint="eastAsia" w:ascii="宋体" w:hAnsi="宋体" w:cs="宋体"/>
          <w:b/>
          <w:bCs/>
          <w:color w:val="auto"/>
          <w:highlight w:val="none"/>
          <w:u w:val="single"/>
        </w:rPr>
        <w:t>A.</w:t>
      </w:r>
      <w:r>
        <w:rPr>
          <w:rFonts w:hint="eastAsia" w:ascii="宋体" w:hAnsi="宋体" w:cs="宋体"/>
          <w:b/>
          <w:bCs/>
          <w:color w:val="auto"/>
          <w:highlight w:val="none"/>
          <w:u w:val="single"/>
          <w:lang w:val="zh-CN"/>
        </w:rPr>
        <w:t>发包人对合同范围内外的工程变更，承包人须无条件接受并予以施工，所发生的费用经发包人核实后纳入工程结算。如承包人拒不执行发包人指令的，发包人有权记承包人不良行为一次。</w:t>
      </w:r>
    </w:p>
    <w:p w14:paraId="77FBEF74">
      <w:pPr>
        <w:autoSpaceDE w:val="0"/>
        <w:autoSpaceDN w:val="0"/>
        <w:adjustRightInd w:val="0"/>
        <w:spacing w:line="360" w:lineRule="auto"/>
        <w:ind w:firstLine="422" w:firstLineChars="200"/>
        <w:rPr>
          <w:rFonts w:ascii="宋体" w:hAnsi="宋体" w:cs="宋体"/>
          <w:b/>
          <w:bCs/>
          <w:color w:val="auto"/>
          <w:highlight w:val="none"/>
          <w:u w:val="single"/>
          <w:lang w:val="zh-CN"/>
        </w:rPr>
      </w:pPr>
      <w:r>
        <w:rPr>
          <w:rFonts w:hint="eastAsia" w:ascii="宋体" w:hAnsi="宋体" w:cs="宋体"/>
          <w:b/>
          <w:bCs/>
          <w:color w:val="auto"/>
          <w:highlight w:val="none"/>
          <w:u w:val="single"/>
          <w:lang w:val="zh-CN"/>
        </w:rPr>
        <w:t>B.现场施工条件和情况由承包人自行勘察，机械设备布置和防护由承包人自行负责并承担费用。</w:t>
      </w:r>
    </w:p>
    <w:p w14:paraId="171E2ED4">
      <w:pPr>
        <w:autoSpaceDE w:val="0"/>
        <w:autoSpaceDN w:val="0"/>
        <w:adjustRightInd w:val="0"/>
        <w:spacing w:line="360" w:lineRule="auto"/>
        <w:ind w:firstLine="422" w:firstLineChars="200"/>
        <w:rPr>
          <w:rFonts w:ascii="宋体" w:hAnsi="宋体" w:cs="宋体"/>
          <w:b/>
          <w:bCs/>
          <w:color w:val="auto"/>
          <w:highlight w:val="none"/>
          <w:u w:val="single"/>
          <w:lang w:val="zh-CN"/>
        </w:rPr>
      </w:pPr>
      <w:r>
        <w:rPr>
          <w:rFonts w:hint="eastAsia" w:ascii="宋体" w:hAnsi="宋体" w:cs="宋体"/>
          <w:b/>
          <w:bCs/>
          <w:color w:val="auto"/>
          <w:highlight w:val="none"/>
          <w:u w:val="single"/>
          <w:lang w:val="zh-CN"/>
        </w:rPr>
        <w:t>C.在施工过程中不得破坏施工场地周围的自然景观和环境。</w:t>
      </w:r>
    </w:p>
    <w:p w14:paraId="7BF72DE3">
      <w:pPr>
        <w:autoSpaceDE w:val="0"/>
        <w:autoSpaceDN w:val="0"/>
        <w:adjustRightInd w:val="0"/>
        <w:spacing w:line="360" w:lineRule="auto"/>
        <w:ind w:firstLine="422" w:firstLineChars="200"/>
        <w:rPr>
          <w:rFonts w:ascii="宋体" w:hAnsi="宋体" w:cs="宋体"/>
          <w:b/>
          <w:bCs/>
          <w:color w:val="auto"/>
          <w:highlight w:val="none"/>
          <w:u w:val="single"/>
          <w:lang w:val="zh-CN"/>
        </w:rPr>
      </w:pPr>
      <w:r>
        <w:rPr>
          <w:rFonts w:hint="eastAsia" w:ascii="宋体" w:hAnsi="宋体" w:cs="宋体"/>
          <w:b/>
          <w:bCs/>
          <w:color w:val="auto"/>
          <w:highlight w:val="none"/>
          <w:u w:val="single"/>
          <w:lang w:val="zh-CN"/>
        </w:rPr>
        <w:t>D.对于施工过程中承包人不得因</w:t>
      </w:r>
      <w:r>
        <w:rPr>
          <w:rFonts w:hint="eastAsia" w:ascii="宋体" w:hAnsi="宋体" w:cs="宋体"/>
          <w:b/>
          <w:bCs/>
          <w:color w:val="auto"/>
          <w:highlight w:val="none"/>
          <w:u w:val="single"/>
          <w:lang w:val="en-US" w:eastAsia="zh-CN"/>
        </w:rPr>
        <w:t>发</w:t>
      </w:r>
      <w:r>
        <w:rPr>
          <w:rFonts w:hint="eastAsia" w:ascii="宋体" w:hAnsi="宋体" w:cs="宋体"/>
          <w:b/>
          <w:bCs/>
          <w:color w:val="auto"/>
          <w:highlight w:val="none"/>
          <w:u w:val="single"/>
          <w:lang w:val="zh-CN"/>
        </w:rPr>
        <w:t>包方前期手续而索赔或消极施工，需积极配合，保证工程按计划进行。如发生类似情形，发现一次扣除履约保证金的10%。</w:t>
      </w:r>
    </w:p>
    <w:p w14:paraId="54A86A7B">
      <w:pPr>
        <w:autoSpaceDE w:val="0"/>
        <w:autoSpaceDN w:val="0"/>
        <w:adjustRightInd w:val="0"/>
        <w:spacing w:line="360" w:lineRule="auto"/>
        <w:ind w:firstLine="422" w:firstLineChars="200"/>
        <w:rPr>
          <w:rFonts w:ascii="宋体" w:hAnsi="宋体" w:cs="宋体"/>
          <w:b/>
          <w:bCs/>
          <w:color w:val="auto"/>
          <w:highlight w:val="none"/>
          <w:u w:val="single"/>
          <w:lang w:val="zh-CN"/>
        </w:rPr>
      </w:pPr>
      <w:r>
        <w:rPr>
          <w:rFonts w:hint="eastAsia" w:ascii="宋体" w:hAnsi="宋体" w:cs="宋体"/>
          <w:b/>
          <w:bCs/>
          <w:color w:val="auto"/>
          <w:highlight w:val="none"/>
          <w:u w:val="single"/>
          <w:lang w:val="zh-CN"/>
        </w:rPr>
        <w:t>E.施工过程中，按发包人要求提供用水、用电、出入通道、必要的存放处及工作面，配合分包人施工。</w:t>
      </w:r>
    </w:p>
    <w:p w14:paraId="5C09C4D4">
      <w:pPr>
        <w:autoSpaceDE w:val="0"/>
        <w:autoSpaceDN w:val="0"/>
        <w:adjustRightInd w:val="0"/>
        <w:spacing w:line="360" w:lineRule="auto"/>
        <w:ind w:firstLine="422" w:firstLineChars="200"/>
        <w:rPr>
          <w:rFonts w:ascii="宋体" w:hAnsi="宋体" w:cs="宋体"/>
          <w:b/>
          <w:bCs/>
          <w:color w:val="auto"/>
          <w:highlight w:val="none"/>
          <w:u w:val="single"/>
          <w:lang w:val="zh-CN"/>
        </w:rPr>
      </w:pPr>
      <w:r>
        <w:rPr>
          <w:rFonts w:hint="eastAsia" w:ascii="宋体" w:hAnsi="宋体" w:cs="宋体"/>
          <w:b/>
          <w:bCs/>
          <w:color w:val="auto"/>
          <w:highlight w:val="none"/>
          <w:u w:val="single"/>
          <w:lang w:val="zh-CN"/>
        </w:rPr>
        <w:t>F.为完成施工合同内容所采取的任何措施均由承包人承担。</w:t>
      </w:r>
    </w:p>
    <w:p w14:paraId="7DD0D22D">
      <w:pPr>
        <w:autoSpaceDE w:val="0"/>
        <w:autoSpaceDN w:val="0"/>
        <w:adjustRightInd w:val="0"/>
        <w:spacing w:line="360" w:lineRule="auto"/>
        <w:ind w:firstLine="422" w:firstLineChars="200"/>
        <w:rPr>
          <w:rFonts w:ascii="宋体" w:hAnsi="宋体" w:cs="宋体"/>
          <w:b/>
          <w:bCs/>
          <w:color w:val="auto"/>
          <w:highlight w:val="none"/>
          <w:u w:val="single"/>
          <w:lang w:val="zh-CN"/>
        </w:rPr>
      </w:pPr>
      <w:r>
        <w:rPr>
          <w:rFonts w:hint="eastAsia" w:ascii="宋体" w:hAnsi="宋体" w:cs="宋体"/>
          <w:b/>
          <w:bCs/>
          <w:color w:val="auto"/>
          <w:highlight w:val="none"/>
          <w:u w:val="single"/>
          <w:lang w:val="zh-CN"/>
        </w:rPr>
        <w:t>G.如果在现场工作的过程中，发现电线、水管管道或者其他公共设施，需进行保护性施工的，费用自理。承包人根据有关指示，负责修理那些已被破坏的公共设施，并恢复原状，费用由责任方承担。</w:t>
      </w:r>
    </w:p>
    <w:p w14:paraId="4F1C0E65">
      <w:pPr>
        <w:autoSpaceDE w:val="0"/>
        <w:autoSpaceDN w:val="0"/>
        <w:adjustRightInd w:val="0"/>
        <w:spacing w:line="360" w:lineRule="auto"/>
        <w:ind w:firstLine="422" w:firstLineChars="200"/>
        <w:rPr>
          <w:rFonts w:ascii="宋体" w:hAnsi="宋体" w:cs="宋体"/>
          <w:b/>
          <w:bCs/>
          <w:color w:val="auto"/>
          <w:highlight w:val="none"/>
          <w:u w:val="single"/>
          <w:lang w:val="zh-CN"/>
        </w:rPr>
      </w:pPr>
      <w:r>
        <w:rPr>
          <w:rFonts w:hint="eastAsia" w:ascii="宋体" w:hAnsi="宋体" w:cs="宋体"/>
          <w:b/>
          <w:bCs/>
          <w:color w:val="auto"/>
          <w:highlight w:val="none"/>
          <w:u w:val="single"/>
          <w:lang w:val="zh-CN"/>
        </w:rPr>
        <w:t>H.临时停水、停电、二次搬运、成品保护等所需费用和工期承包人已充分考虑，并已考虑了各种可能因素影响施工所增加的费用，因此，发生上述情况，发包方不另行增加费用。</w:t>
      </w:r>
    </w:p>
    <w:p w14:paraId="026110E3">
      <w:pPr>
        <w:autoSpaceDE w:val="0"/>
        <w:autoSpaceDN w:val="0"/>
        <w:adjustRightInd w:val="0"/>
        <w:spacing w:line="360" w:lineRule="auto"/>
        <w:ind w:firstLine="422" w:firstLineChars="200"/>
        <w:rPr>
          <w:rFonts w:ascii="宋体" w:hAnsi="宋体" w:cs="宋体"/>
          <w:b/>
          <w:bCs/>
          <w:color w:val="auto"/>
          <w:highlight w:val="none"/>
          <w:u w:val="single"/>
          <w:lang w:val="zh-CN"/>
        </w:rPr>
      </w:pPr>
      <w:r>
        <w:rPr>
          <w:rFonts w:hint="eastAsia" w:ascii="宋体" w:hAnsi="宋体" w:cs="宋体"/>
          <w:b/>
          <w:bCs/>
          <w:color w:val="auto"/>
          <w:highlight w:val="none"/>
          <w:u w:val="single"/>
          <w:lang w:val="zh-CN"/>
        </w:rPr>
        <w:t>I.承包人在竣工验收后七天内拆除现场所有临时设施，包括所有的机械设备、材料、建筑垃圾全部清运出现场，清理标准应征得发包人认可。否则如发生相关费用由发包人在工程竣工结算价款中双倍扣除。</w:t>
      </w:r>
    </w:p>
    <w:p w14:paraId="60D17FEC">
      <w:pPr>
        <w:autoSpaceDE w:val="0"/>
        <w:autoSpaceDN w:val="0"/>
        <w:adjustRightInd w:val="0"/>
        <w:spacing w:line="360" w:lineRule="auto"/>
        <w:ind w:firstLine="422" w:firstLineChars="200"/>
        <w:rPr>
          <w:rFonts w:ascii="宋体" w:hAnsi="宋体" w:cs="宋体"/>
          <w:b/>
          <w:bCs/>
          <w:color w:val="auto"/>
          <w:highlight w:val="none"/>
          <w:u w:val="single"/>
          <w:lang w:val="zh-CN"/>
        </w:rPr>
      </w:pPr>
      <w:r>
        <w:rPr>
          <w:rFonts w:hint="eastAsia" w:ascii="宋体" w:hAnsi="宋体" w:cs="宋体"/>
          <w:b/>
          <w:bCs/>
          <w:color w:val="auto"/>
          <w:highlight w:val="none"/>
          <w:u w:val="single"/>
          <w:lang w:val="zh-CN"/>
        </w:rPr>
        <w:t>J.施工过程中涉及排污、环保、市容、城建城管、消防、治安、人口管理、居委会、派出所等相关部门收取的费用及相关手续，对临近居民、行人的影响等，夜间文明施工、保护周边地下管线和架空线的安全的费用等已含在合同价中，由承包人负责协调处理，竣工结算时一律不作调整。</w:t>
      </w:r>
    </w:p>
    <w:p w14:paraId="60256810">
      <w:pPr>
        <w:autoSpaceDE w:val="0"/>
        <w:autoSpaceDN w:val="0"/>
        <w:adjustRightInd w:val="0"/>
        <w:spacing w:line="360" w:lineRule="auto"/>
        <w:ind w:firstLine="422" w:firstLineChars="200"/>
        <w:rPr>
          <w:rFonts w:ascii="宋体" w:hAnsi="宋体" w:cs="宋体"/>
          <w:b/>
          <w:bCs/>
          <w:color w:val="auto"/>
          <w:highlight w:val="none"/>
          <w:u w:val="single"/>
          <w:lang w:val="zh-CN"/>
        </w:rPr>
      </w:pPr>
      <w:r>
        <w:rPr>
          <w:rFonts w:hint="eastAsia" w:ascii="宋体" w:hAnsi="宋体" w:cs="宋体"/>
          <w:b/>
          <w:bCs/>
          <w:color w:val="auto"/>
          <w:highlight w:val="none"/>
          <w:u w:val="single"/>
          <w:lang w:val="zh-CN"/>
        </w:rPr>
        <w:t>K.在工程交付之前，发包人提供的临时配电设施由承包人负责看护，费用计入投标报价，结算时不作调整，如相应设施损坏遗失，由承包人恢复并承担相应费用。</w:t>
      </w:r>
    </w:p>
    <w:p w14:paraId="16160ACD">
      <w:pPr>
        <w:autoSpaceDE w:val="0"/>
        <w:autoSpaceDN w:val="0"/>
        <w:adjustRightInd w:val="0"/>
        <w:spacing w:line="360" w:lineRule="auto"/>
        <w:ind w:firstLine="422" w:firstLineChars="200"/>
        <w:rPr>
          <w:rFonts w:ascii="宋体" w:hAnsi="宋体" w:cs="宋体"/>
          <w:b/>
          <w:bCs/>
          <w:color w:val="auto"/>
          <w:highlight w:val="none"/>
          <w:u w:val="single"/>
          <w:lang w:val="zh-CN"/>
        </w:rPr>
      </w:pPr>
      <w:r>
        <w:rPr>
          <w:rFonts w:hint="eastAsia" w:ascii="宋体" w:hAnsi="宋体" w:cs="宋体"/>
          <w:b/>
          <w:bCs/>
          <w:color w:val="auto"/>
          <w:highlight w:val="none"/>
          <w:u w:val="single"/>
          <w:lang w:val="zh-CN"/>
        </w:rPr>
        <w:t>L.发包人保留根据整个工程建设的实际情况，对合同工程施工进度进行协调的权力，包括对关键工期的合理调整。在进度协调时，不论任何原因出现赶工，承包人必须采取一切措施赶工，赶工措施费用由各投标单位自行考虑并列入报价，在施工过程中不得向发包人提出任何与此相关的费用要求。同时，发包人根据各承包人的工程进度、工程质量有权调整各承包人的承包工程量，</w:t>
      </w:r>
      <w:bookmarkStart w:id="40" w:name="page42"/>
      <w:bookmarkEnd w:id="40"/>
      <w:r>
        <w:rPr>
          <w:rFonts w:hint="eastAsia" w:ascii="宋体" w:hAnsi="宋体" w:cs="宋体"/>
          <w:b/>
          <w:bCs/>
          <w:color w:val="auto"/>
          <w:highlight w:val="none"/>
          <w:u w:val="single"/>
          <w:lang w:val="zh-CN"/>
        </w:rPr>
        <w:t>以达到整个工程能按发包人的工程节点完工。</w:t>
      </w:r>
    </w:p>
    <w:p w14:paraId="66A91DE8">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3.2项目经理</w:t>
      </w:r>
    </w:p>
    <w:p w14:paraId="00ED3968">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3.2.1项目经理：</w:t>
      </w:r>
    </w:p>
    <w:p w14:paraId="27C00261">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姓    名：</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w:t>
      </w:r>
    </w:p>
    <w:p w14:paraId="0C28148A">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身份证号：</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w:t>
      </w:r>
    </w:p>
    <w:p w14:paraId="78A8B42E">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建造师执业资格等级：</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w:t>
      </w:r>
    </w:p>
    <w:p w14:paraId="7B153A30">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建造师注册证书号：</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w:t>
      </w:r>
    </w:p>
    <w:p w14:paraId="78663434">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建造师执业印章号：</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w:t>
      </w:r>
    </w:p>
    <w:p w14:paraId="03ED96F8">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安全生产考核合格证书号：</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w:t>
      </w:r>
    </w:p>
    <w:p w14:paraId="4CC5671C">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联系电话：</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w:t>
      </w:r>
    </w:p>
    <w:p w14:paraId="4C116DCB">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电子信箱：</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w:t>
      </w:r>
    </w:p>
    <w:p w14:paraId="53ADEFAB">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通信地址：</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w:t>
      </w:r>
    </w:p>
    <w:p w14:paraId="52D054AD">
      <w:pPr>
        <w:autoSpaceDE w:val="0"/>
        <w:autoSpaceDN w:val="0"/>
        <w:adjustRightInd w:val="0"/>
        <w:spacing w:line="360" w:lineRule="auto"/>
        <w:ind w:firstLine="420" w:firstLineChars="200"/>
        <w:rPr>
          <w:rFonts w:ascii="宋体" w:hAnsi="宋体" w:cs="宋体"/>
          <w:b/>
          <w:bCs/>
          <w:color w:val="auto"/>
          <w:highlight w:val="none"/>
          <w:u w:val="single"/>
        </w:rPr>
      </w:pPr>
      <w:bookmarkStart w:id="41" w:name="_Hlk183103679"/>
      <w:r>
        <w:rPr>
          <w:rFonts w:hint="eastAsia" w:ascii="宋体" w:hAnsi="宋体" w:cs="宋体"/>
          <w:color w:val="auto"/>
          <w:highlight w:val="none"/>
          <w:lang w:val="zh-CN"/>
        </w:rPr>
        <w:t>承包人对项目经理的授权范围如下：</w:t>
      </w:r>
      <w:r>
        <w:rPr>
          <w:rFonts w:hint="eastAsia" w:ascii="宋体" w:hAnsi="宋体" w:cs="宋体"/>
          <w:b/>
          <w:bCs/>
          <w:color w:val="auto"/>
          <w:highlight w:val="none"/>
          <w:u w:val="single"/>
          <w:lang w:val="zh-CN"/>
        </w:rPr>
        <w:t>负责现场工程管理、协调关系、听从发包人和监理的指挥。</w:t>
      </w:r>
    </w:p>
    <w:p w14:paraId="1D4D5DB9">
      <w:pPr>
        <w:autoSpaceDE w:val="0"/>
        <w:autoSpaceDN w:val="0"/>
        <w:adjustRightInd w:val="0"/>
        <w:spacing w:line="360" w:lineRule="auto"/>
        <w:ind w:firstLine="420" w:firstLineChars="200"/>
        <w:rPr>
          <w:rFonts w:ascii="宋体" w:hAnsi="宋体" w:cs="宋体"/>
          <w:b/>
          <w:bCs/>
          <w:color w:val="auto"/>
          <w:highlight w:val="none"/>
          <w:u w:val="single"/>
          <w:lang w:val="zh-CN"/>
        </w:rPr>
      </w:pPr>
      <w:r>
        <w:rPr>
          <w:rFonts w:hint="eastAsia" w:ascii="宋体" w:hAnsi="宋体" w:cs="宋体"/>
          <w:color w:val="auto"/>
          <w:highlight w:val="none"/>
          <w:lang w:val="zh-CN"/>
        </w:rPr>
        <w:t>关于项目经理每月在施工现场的时间要求：</w:t>
      </w:r>
      <w:r>
        <w:rPr>
          <w:rFonts w:hint="eastAsia" w:ascii="宋体" w:hAnsi="宋体" w:cs="宋体"/>
          <w:b/>
          <w:bCs/>
          <w:color w:val="auto"/>
          <w:highlight w:val="none"/>
          <w:u w:val="single"/>
          <w:lang w:val="zh-CN"/>
        </w:rPr>
        <w:t>从工程开工（以开工令为准）起，项目经理保证每月有</w:t>
      </w:r>
      <w:r>
        <w:rPr>
          <w:rFonts w:hint="eastAsia" w:ascii="宋体" w:hAnsi="宋体" w:cs="宋体"/>
          <w:b/>
          <w:bCs/>
          <w:color w:val="auto"/>
          <w:highlight w:val="none"/>
          <w:u w:val="single"/>
        </w:rPr>
        <w:t>25</w:t>
      </w:r>
      <w:r>
        <w:rPr>
          <w:rFonts w:hint="eastAsia" w:ascii="宋体" w:hAnsi="宋体" w:cs="宋体"/>
          <w:b/>
          <w:bCs/>
          <w:color w:val="auto"/>
          <w:highlight w:val="none"/>
          <w:u w:val="single"/>
          <w:lang w:val="zh-CN"/>
        </w:rPr>
        <w:t>天以上出勤，并且每天在施工现场工作不少于8小时，有事必须向发包人请假，发包人书面（含电子文件）同意后方可离开工地。</w:t>
      </w:r>
    </w:p>
    <w:p w14:paraId="3C1132C3">
      <w:pPr>
        <w:autoSpaceDE w:val="0"/>
        <w:autoSpaceDN w:val="0"/>
        <w:adjustRightInd w:val="0"/>
        <w:spacing w:line="360" w:lineRule="auto"/>
        <w:ind w:firstLine="420" w:firstLineChars="200"/>
        <w:rPr>
          <w:rFonts w:ascii="宋体" w:hAnsi="宋体" w:cs="宋体"/>
          <w:b/>
          <w:bCs/>
          <w:color w:val="auto"/>
          <w:highlight w:val="none"/>
          <w:u w:val="single"/>
        </w:rPr>
      </w:pPr>
      <w:r>
        <w:rPr>
          <w:rFonts w:hint="eastAsia" w:ascii="宋体" w:hAnsi="宋体" w:cs="宋体"/>
          <w:color w:val="auto"/>
          <w:highlight w:val="none"/>
          <w:lang w:val="zh-CN"/>
        </w:rPr>
        <w:t>承包人未提交劳动合同，以及没有为项目经理缴纳社会保险证明的违约责任：</w:t>
      </w:r>
      <w:r>
        <w:rPr>
          <w:rFonts w:hint="eastAsia" w:ascii="宋体" w:hAnsi="宋体" w:cs="宋体"/>
          <w:b/>
          <w:bCs/>
          <w:color w:val="auto"/>
          <w:highlight w:val="none"/>
          <w:u w:val="single"/>
          <w:lang w:val="zh-CN"/>
        </w:rPr>
        <w:t xml:space="preserve"> 除须补交资料及补齐手续外，另收取</w:t>
      </w:r>
      <w:r>
        <w:rPr>
          <w:rFonts w:hint="eastAsia" w:ascii="宋体" w:hAnsi="宋体" w:cs="宋体"/>
          <w:b/>
          <w:bCs/>
          <w:color w:val="auto"/>
          <w:highlight w:val="none"/>
          <w:u w:val="single"/>
        </w:rPr>
        <w:t>1万</w:t>
      </w:r>
      <w:r>
        <w:rPr>
          <w:rFonts w:hint="eastAsia" w:ascii="宋体" w:hAnsi="宋体" w:cs="宋体"/>
          <w:b/>
          <w:bCs/>
          <w:color w:val="auto"/>
          <w:highlight w:val="none"/>
          <w:u w:val="single"/>
          <w:lang w:val="zh-CN"/>
        </w:rPr>
        <w:t>元违约金。</w:t>
      </w:r>
    </w:p>
    <w:p w14:paraId="7AD53149">
      <w:pPr>
        <w:autoSpaceDE w:val="0"/>
        <w:autoSpaceDN w:val="0"/>
        <w:adjustRightInd w:val="0"/>
        <w:spacing w:line="360" w:lineRule="auto"/>
        <w:ind w:firstLine="420" w:firstLineChars="200"/>
        <w:rPr>
          <w:rFonts w:ascii="宋体" w:hAnsi="宋体" w:cs="宋体"/>
          <w:b/>
          <w:bCs/>
          <w:color w:val="auto"/>
          <w:highlight w:val="none"/>
          <w:u w:val="single"/>
        </w:rPr>
      </w:pPr>
      <w:r>
        <w:rPr>
          <w:rFonts w:hint="eastAsia" w:ascii="宋体" w:hAnsi="宋体" w:cs="宋体"/>
          <w:color w:val="auto"/>
          <w:highlight w:val="none"/>
          <w:lang w:val="zh-CN"/>
        </w:rPr>
        <w:t>项目经理未经批准，擅自离开施工现场的违约责任：</w:t>
      </w:r>
      <w:r>
        <w:rPr>
          <w:rFonts w:hint="eastAsia" w:ascii="宋体" w:hAnsi="宋体" w:cs="宋体"/>
          <w:b/>
          <w:bCs/>
          <w:color w:val="auto"/>
          <w:highlight w:val="none"/>
          <w:u w:val="single"/>
          <w:lang w:val="zh-CN"/>
        </w:rPr>
        <w:t>项目经理每个月的出勤天数不少于</w:t>
      </w:r>
      <w:r>
        <w:rPr>
          <w:rFonts w:hint="eastAsia" w:ascii="宋体" w:hAnsi="宋体" w:cs="宋体"/>
          <w:b/>
          <w:bCs/>
          <w:color w:val="auto"/>
          <w:highlight w:val="none"/>
          <w:u w:val="single"/>
        </w:rPr>
        <w:t>25</w:t>
      </w:r>
      <w:r>
        <w:rPr>
          <w:rFonts w:hint="eastAsia" w:ascii="宋体" w:hAnsi="宋体" w:cs="宋体"/>
          <w:b/>
          <w:bCs/>
          <w:color w:val="auto"/>
          <w:highlight w:val="none"/>
          <w:u w:val="single"/>
          <w:lang w:val="zh-CN"/>
        </w:rPr>
        <w:t>天，由总监理工程师负责考勤，每少出勤</w:t>
      </w:r>
      <w:r>
        <w:rPr>
          <w:rFonts w:hint="eastAsia" w:ascii="宋体" w:hAnsi="宋体" w:cs="宋体"/>
          <w:b/>
          <w:bCs/>
          <w:color w:val="auto"/>
          <w:highlight w:val="none"/>
          <w:u w:val="single"/>
        </w:rPr>
        <w:t>1</w:t>
      </w:r>
      <w:r>
        <w:rPr>
          <w:rFonts w:hint="eastAsia" w:ascii="宋体" w:hAnsi="宋体" w:cs="宋体"/>
          <w:b/>
          <w:bCs/>
          <w:color w:val="auto"/>
          <w:highlight w:val="none"/>
          <w:u w:val="single"/>
          <w:lang w:val="zh-CN"/>
        </w:rPr>
        <w:t>天</w:t>
      </w:r>
      <w:r>
        <w:rPr>
          <w:rFonts w:hint="eastAsia" w:ascii="宋体" w:hAnsi="宋体" w:cs="宋体"/>
          <w:b/>
          <w:bCs/>
          <w:color w:val="auto"/>
          <w:highlight w:val="none"/>
          <w:u w:val="single"/>
        </w:rPr>
        <w:t>支付</w:t>
      </w:r>
      <w:r>
        <w:rPr>
          <w:rFonts w:ascii="宋体" w:hAnsi="宋体" w:cs="宋体"/>
          <w:b/>
          <w:bCs/>
          <w:color w:val="auto"/>
          <w:highlight w:val="none"/>
          <w:u w:val="single"/>
        </w:rPr>
        <w:t>2</w:t>
      </w:r>
      <w:r>
        <w:rPr>
          <w:rFonts w:hint="eastAsia" w:ascii="宋体" w:hAnsi="宋体" w:cs="宋体"/>
          <w:b/>
          <w:bCs/>
          <w:color w:val="auto"/>
          <w:highlight w:val="none"/>
          <w:u w:val="single"/>
          <w:lang w:val="zh-CN"/>
        </w:rPr>
        <w:t>000元</w:t>
      </w:r>
      <w:r>
        <w:rPr>
          <w:rFonts w:hint="eastAsia" w:ascii="宋体" w:hAnsi="宋体" w:cs="宋体"/>
          <w:b/>
          <w:bCs/>
          <w:color w:val="auto"/>
          <w:highlight w:val="none"/>
          <w:u w:val="single"/>
        </w:rPr>
        <w:t>的违约金</w:t>
      </w:r>
      <w:r>
        <w:rPr>
          <w:rFonts w:hint="eastAsia" w:ascii="宋体" w:hAnsi="宋体" w:cs="宋体"/>
          <w:b/>
          <w:bCs/>
          <w:color w:val="auto"/>
          <w:highlight w:val="none"/>
          <w:u w:val="single"/>
          <w:lang w:val="zh-CN"/>
        </w:rPr>
        <w:t>。</w:t>
      </w:r>
    </w:p>
    <w:p w14:paraId="5FD0C48A">
      <w:pPr>
        <w:autoSpaceDE w:val="0"/>
        <w:autoSpaceDN w:val="0"/>
        <w:adjustRightInd w:val="0"/>
        <w:spacing w:line="360" w:lineRule="auto"/>
        <w:ind w:firstLine="420" w:firstLineChars="200"/>
        <w:rPr>
          <w:rFonts w:ascii="宋体" w:hAnsi="宋体" w:cs="宋体"/>
          <w:b/>
          <w:bCs/>
          <w:color w:val="auto"/>
          <w:highlight w:val="none"/>
          <w:u w:val="single"/>
        </w:rPr>
      </w:pPr>
      <w:r>
        <w:rPr>
          <w:rFonts w:hint="eastAsia" w:ascii="宋体" w:hAnsi="宋体" w:cs="宋体"/>
          <w:color w:val="auto"/>
          <w:highlight w:val="none"/>
          <w:lang w:val="zh-CN"/>
        </w:rPr>
        <w:t>3.2.</w:t>
      </w:r>
      <w:r>
        <w:rPr>
          <w:rFonts w:ascii="宋体" w:hAnsi="宋体" w:cs="宋体"/>
          <w:color w:val="auto"/>
          <w:highlight w:val="none"/>
          <w:lang w:val="zh-CN"/>
        </w:rPr>
        <w:t>2</w:t>
      </w:r>
      <w:r>
        <w:rPr>
          <w:rFonts w:hint="eastAsia" w:ascii="宋体" w:hAnsi="宋体" w:cs="宋体"/>
          <w:color w:val="auto"/>
          <w:highlight w:val="none"/>
          <w:lang w:val="zh-CN"/>
        </w:rPr>
        <w:t>承包人擅自更换项目经理的违约责任：</w:t>
      </w:r>
      <w:r>
        <w:rPr>
          <w:rFonts w:hint="eastAsia" w:ascii="宋体" w:hAnsi="宋体" w:cs="宋体"/>
          <w:b/>
          <w:bCs/>
          <w:color w:val="auto"/>
          <w:highlight w:val="none"/>
          <w:u w:val="single"/>
          <w:lang w:val="zh-CN"/>
        </w:rPr>
        <w:t>更换项目经理，支付</w:t>
      </w:r>
      <w:r>
        <w:rPr>
          <w:rFonts w:ascii="宋体" w:hAnsi="宋体" w:cs="宋体"/>
          <w:b/>
          <w:bCs/>
          <w:color w:val="auto"/>
          <w:highlight w:val="none"/>
          <w:u w:val="single"/>
        </w:rPr>
        <w:t>1</w:t>
      </w:r>
      <w:r>
        <w:rPr>
          <w:rFonts w:hint="eastAsia" w:ascii="宋体" w:hAnsi="宋体" w:cs="宋体"/>
          <w:b/>
          <w:bCs/>
          <w:color w:val="auto"/>
          <w:highlight w:val="none"/>
          <w:u w:val="single"/>
          <w:lang w:val="zh-CN"/>
        </w:rPr>
        <w:t>万元</w:t>
      </w:r>
      <w:r>
        <w:rPr>
          <w:rFonts w:hint="eastAsia" w:ascii="宋体" w:hAnsi="宋体" w:cs="宋体"/>
          <w:b/>
          <w:bCs/>
          <w:color w:val="auto"/>
          <w:highlight w:val="none"/>
          <w:u w:val="single"/>
        </w:rPr>
        <w:t>的违约金</w:t>
      </w:r>
      <w:r>
        <w:rPr>
          <w:rFonts w:hint="eastAsia" w:ascii="宋体" w:hAnsi="宋体" w:cs="宋体"/>
          <w:b/>
          <w:bCs/>
          <w:color w:val="auto"/>
          <w:highlight w:val="none"/>
          <w:u w:val="single"/>
          <w:lang w:val="zh-CN"/>
        </w:rPr>
        <w:t>。</w:t>
      </w:r>
    </w:p>
    <w:p w14:paraId="6710C842">
      <w:pPr>
        <w:autoSpaceDE w:val="0"/>
        <w:autoSpaceDN w:val="0"/>
        <w:adjustRightInd w:val="0"/>
        <w:spacing w:line="360" w:lineRule="auto"/>
        <w:ind w:firstLine="420" w:firstLineChars="200"/>
        <w:rPr>
          <w:rFonts w:ascii="宋体" w:hAnsi="宋体" w:cs="宋体"/>
          <w:b/>
          <w:bCs/>
          <w:color w:val="auto"/>
          <w:highlight w:val="none"/>
          <w:u w:val="single"/>
          <w:lang w:val="zh-CN"/>
        </w:rPr>
      </w:pPr>
      <w:r>
        <w:rPr>
          <w:rFonts w:hint="eastAsia" w:ascii="宋体" w:hAnsi="宋体" w:cs="宋体"/>
          <w:color w:val="auto"/>
          <w:highlight w:val="none"/>
          <w:lang w:val="zh-CN"/>
        </w:rPr>
        <w:t>3.2.</w:t>
      </w:r>
      <w:r>
        <w:rPr>
          <w:rFonts w:ascii="宋体" w:hAnsi="宋体" w:cs="宋体"/>
          <w:color w:val="auto"/>
          <w:highlight w:val="none"/>
          <w:lang w:val="zh-CN"/>
        </w:rPr>
        <w:t>3</w:t>
      </w:r>
      <w:r>
        <w:rPr>
          <w:rFonts w:hint="eastAsia" w:ascii="宋体" w:hAnsi="宋体" w:cs="宋体"/>
          <w:color w:val="auto"/>
          <w:highlight w:val="none"/>
          <w:lang w:val="zh-CN"/>
        </w:rPr>
        <w:t>承包人无正当理由拒绝更换项目经理的违约责任：</w:t>
      </w:r>
      <w:r>
        <w:rPr>
          <w:rFonts w:hint="eastAsia" w:ascii="宋体" w:hAnsi="宋体" w:cs="宋体"/>
          <w:b/>
          <w:bCs/>
          <w:color w:val="auto"/>
          <w:highlight w:val="none"/>
          <w:u w:val="single"/>
          <w:lang w:val="zh-CN"/>
        </w:rPr>
        <w:t>投标书中承诺的项目经理经发包人和监理方考核不合格者，承包人必须在一周内无条件更换，同时须支</w:t>
      </w:r>
      <w:r>
        <w:rPr>
          <w:rFonts w:hint="eastAsia" w:ascii="宋体" w:hAnsi="宋体" w:cs="宋体"/>
          <w:b/>
          <w:bCs/>
          <w:color w:val="auto"/>
          <w:highlight w:val="none"/>
          <w:u w:val="single"/>
          <w:lang w:val="zh-CN"/>
        </w:rPr>
        <w:t>付</w:t>
      </w:r>
      <w:r>
        <w:rPr>
          <w:rFonts w:ascii="宋体" w:hAnsi="宋体" w:cs="宋体"/>
          <w:b/>
          <w:bCs/>
          <w:color w:val="auto"/>
          <w:highlight w:val="none"/>
          <w:u w:val="single"/>
        </w:rPr>
        <w:t>1</w:t>
      </w:r>
      <w:r>
        <w:rPr>
          <w:rFonts w:hint="eastAsia" w:ascii="宋体" w:hAnsi="宋体" w:cs="宋体"/>
          <w:b/>
          <w:bCs/>
          <w:color w:val="auto"/>
          <w:highlight w:val="none"/>
          <w:u w:val="single"/>
          <w:lang w:val="zh-CN"/>
        </w:rPr>
        <w:t>万元/次的违约</w:t>
      </w:r>
      <w:r>
        <w:rPr>
          <w:rFonts w:hint="eastAsia" w:ascii="宋体" w:hAnsi="宋体" w:cs="宋体"/>
          <w:b/>
          <w:bCs/>
          <w:color w:val="auto"/>
          <w:highlight w:val="none"/>
          <w:u w:val="single"/>
          <w:lang w:val="zh-CN"/>
        </w:rPr>
        <w:t>金；若无正当理由拒绝更换，须支</w:t>
      </w:r>
      <w:r>
        <w:rPr>
          <w:rFonts w:hint="eastAsia" w:ascii="宋体" w:hAnsi="宋体" w:cs="宋体"/>
          <w:b/>
          <w:bCs/>
          <w:color w:val="auto"/>
          <w:highlight w:val="none"/>
          <w:u w:val="single"/>
          <w:lang w:val="zh-CN"/>
        </w:rPr>
        <w:t>付</w:t>
      </w:r>
      <w:r>
        <w:rPr>
          <w:rFonts w:ascii="宋体" w:hAnsi="宋体" w:cs="宋体"/>
          <w:b/>
          <w:bCs/>
          <w:color w:val="auto"/>
          <w:highlight w:val="none"/>
          <w:u w:val="single"/>
        </w:rPr>
        <w:t>2</w:t>
      </w:r>
      <w:r>
        <w:rPr>
          <w:rFonts w:hint="eastAsia" w:ascii="宋体" w:hAnsi="宋体" w:cs="宋体"/>
          <w:b/>
          <w:bCs/>
          <w:color w:val="auto"/>
          <w:highlight w:val="none"/>
          <w:u w:val="single"/>
          <w:lang w:val="zh-CN"/>
        </w:rPr>
        <w:t>万元/次</w:t>
      </w:r>
      <w:r>
        <w:rPr>
          <w:rFonts w:hint="eastAsia" w:ascii="宋体" w:hAnsi="宋体" w:cs="宋体"/>
          <w:b/>
          <w:bCs/>
          <w:color w:val="auto"/>
          <w:highlight w:val="none"/>
          <w:u w:val="single"/>
          <w:lang w:val="zh-CN"/>
        </w:rPr>
        <w:t>的违约金。</w:t>
      </w:r>
    </w:p>
    <w:bookmarkEnd w:id="41"/>
    <w:p w14:paraId="09DF7BEC">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3.3承包人人员</w:t>
      </w:r>
    </w:p>
    <w:p w14:paraId="5DA1CE72">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3.3.1承包人提交项目管理机构及施工现场管理人员安排报告的期限：</w:t>
      </w:r>
      <w:r>
        <w:rPr>
          <w:rFonts w:hint="eastAsia" w:ascii="宋体" w:hAnsi="宋体" w:cs="宋体"/>
          <w:color w:val="auto"/>
          <w:highlight w:val="none"/>
          <w:u w:val="single"/>
          <w:lang w:val="zh-CN"/>
        </w:rPr>
        <w:t xml:space="preserve"> </w:t>
      </w:r>
      <w:r>
        <w:rPr>
          <w:rFonts w:hint="eastAsia" w:ascii="宋体" w:hAnsi="宋体" w:cs="宋体"/>
          <w:b/>
          <w:bCs/>
          <w:color w:val="auto"/>
          <w:highlight w:val="none"/>
          <w:u w:val="single"/>
          <w:lang w:val="zh-CN"/>
        </w:rPr>
        <w:t>开工前</w:t>
      </w:r>
      <w:r>
        <w:rPr>
          <w:rFonts w:hint="eastAsia" w:ascii="宋体" w:hAnsi="宋体" w:cs="宋体"/>
          <w:b/>
          <w:bCs/>
          <w:color w:val="auto"/>
          <w:highlight w:val="none"/>
          <w:u w:val="single"/>
        </w:rPr>
        <w:t>3</w:t>
      </w:r>
      <w:r>
        <w:rPr>
          <w:rFonts w:hint="eastAsia" w:ascii="宋体" w:hAnsi="宋体" w:cs="宋体"/>
          <w:b/>
          <w:bCs/>
          <w:color w:val="auto"/>
          <w:highlight w:val="none"/>
          <w:u w:val="single"/>
          <w:lang w:val="zh-CN"/>
        </w:rPr>
        <w:t>天</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w:t>
      </w:r>
    </w:p>
    <w:p w14:paraId="2379D0B8">
      <w:pPr>
        <w:autoSpaceDE w:val="0"/>
        <w:autoSpaceDN w:val="0"/>
        <w:adjustRightInd w:val="0"/>
        <w:spacing w:line="360" w:lineRule="auto"/>
        <w:ind w:firstLine="420" w:firstLineChars="200"/>
        <w:rPr>
          <w:rFonts w:ascii="宋体" w:hAnsi="宋体" w:cs="宋体"/>
          <w:b/>
          <w:bCs/>
          <w:color w:val="auto"/>
          <w:highlight w:val="none"/>
          <w:u w:val="single"/>
          <w:lang w:val="zh-CN"/>
        </w:rPr>
      </w:pPr>
      <w:bookmarkStart w:id="42" w:name="_Hlk183103755"/>
      <w:r>
        <w:rPr>
          <w:rFonts w:hint="eastAsia" w:ascii="宋体" w:hAnsi="宋体" w:cs="宋体"/>
          <w:color w:val="auto"/>
          <w:highlight w:val="none"/>
          <w:lang w:val="zh-CN"/>
        </w:rPr>
        <w:t>3.3.</w:t>
      </w:r>
      <w:r>
        <w:rPr>
          <w:rFonts w:ascii="宋体" w:hAnsi="宋体" w:cs="宋体"/>
          <w:color w:val="auto"/>
          <w:highlight w:val="none"/>
          <w:lang w:val="zh-CN"/>
        </w:rPr>
        <w:t>2</w:t>
      </w:r>
      <w:r>
        <w:rPr>
          <w:rFonts w:hint="eastAsia" w:ascii="宋体" w:hAnsi="宋体" w:cs="宋体"/>
          <w:color w:val="auto"/>
          <w:highlight w:val="none"/>
          <w:lang w:val="zh-CN"/>
        </w:rPr>
        <w:t>承包人无正当理由拒绝撤换主要施工管理人员的违约责任：</w:t>
      </w:r>
      <w:r>
        <w:rPr>
          <w:rFonts w:hint="eastAsia" w:ascii="宋体" w:hAnsi="宋体" w:cs="宋体"/>
          <w:b/>
          <w:bCs/>
          <w:color w:val="auto"/>
          <w:highlight w:val="none"/>
          <w:u w:val="single"/>
        </w:rPr>
        <w:t>施工员、安全员、质检员</w:t>
      </w:r>
      <w:r>
        <w:rPr>
          <w:rFonts w:hint="eastAsia" w:ascii="宋体" w:hAnsi="宋体" w:cs="宋体"/>
          <w:b/>
          <w:bCs/>
          <w:color w:val="auto"/>
          <w:highlight w:val="none"/>
          <w:u w:val="single"/>
          <w:lang w:val="zh-CN"/>
        </w:rPr>
        <w:t>经发包人和监理方考核不合格者，承包人必须在一周内无条件更换，同时须</w:t>
      </w:r>
      <w:r>
        <w:rPr>
          <w:rFonts w:hint="eastAsia" w:ascii="宋体" w:hAnsi="宋体" w:cs="宋体"/>
          <w:b/>
          <w:bCs/>
          <w:color w:val="auto"/>
          <w:highlight w:val="none"/>
          <w:u w:val="single"/>
          <w:lang w:val="zh-CN"/>
        </w:rPr>
        <w:t>支付</w:t>
      </w:r>
      <w:r>
        <w:rPr>
          <w:rFonts w:ascii="宋体" w:hAnsi="宋体" w:cs="宋体"/>
          <w:b/>
          <w:bCs/>
          <w:color w:val="auto"/>
          <w:highlight w:val="none"/>
          <w:u w:val="single"/>
        </w:rPr>
        <w:t>0.5</w:t>
      </w:r>
      <w:r>
        <w:rPr>
          <w:rFonts w:hint="eastAsia" w:ascii="宋体" w:hAnsi="宋体" w:cs="宋体"/>
          <w:b/>
          <w:bCs/>
          <w:color w:val="auto"/>
          <w:highlight w:val="none"/>
          <w:u w:val="single"/>
          <w:lang w:val="zh-CN"/>
        </w:rPr>
        <w:t>万元/人·次的违约金；若无正当理由拒绝更换，须支付</w:t>
      </w:r>
      <w:r>
        <w:rPr>
          <w:rFonts w:ascii="宋体" w:hAnsi="宋体" w:cs="宋体"/>
          <w:b/>
          <w:bCs/>
          <w:color w:val="auto"/>
          <w:highlight w:val="none"/>
          <w:u w:val="single"/>
        </w:rPr>
        <w:t>1</w:t>
      </w:r>
      <w:r>
        <w:rPr>
          <w:rFonts w:hint="eastAsia" w:ascii="宋体" w:hAnsi="宋体" w:cs="宋体"/>
          <w:b/>
          <w:bCs/>
          <w:color w:val="auto"/>
          <w:highlight w:val="none"/>
          <w:u w:val="single"/>
          <w:lang w:val="zh-CN"/>
        </w:rPr>
        <w:t>万元/人·次的违约金。</w:t>
      </w:r>
    </w:p>
    <w:bookmarkEnd w:id="42"/>
    <w:p w14:paraId="1348EC80">
      <w:pPr>
        <w:autoSpaceDE w:val="0"/>
        <w:autoSpaceDN w:val="0"/>
        <w:adjustRightInd w:val="0"/>
        <w:spacing w:line="360" w:lineRule="auto"/>
        <w:ind w:firstLine="422" w:firstLineChars="200"/>
        <w:rPr>
          <w:rFonts w:ascii="宋体" w:hAnsi="宋体" w:cs="宋体"/>
          <w:b/>
          <w:bCs/>
          <w:color w:val="auto"/>
          <w:highlight w:val="none"/>
          <w:u w:val="single"/>
        </w:rPr>
      </w:pPr>
      <w:r>
        <w:rPr>
          <w:rFonts w:hint="eastAsia" w:ascii="宋体" w:hAnsi="宋体" w:cs="宋体"/>
          <w:b/>
          <w:bCs/>
          <w:color w:val="auto"/>
          <w:highlight w:val="none"/>
          <w:u w:val="single"/>
          <w:lang w:val="zh-CN"/>
        </w:rPr>
        <w:t>承包人人员资格的特别规定：所有特殊工种人员均应持有关部门颁发的资质证书或上岗证上岗，并在上岗之前由监理工程师进行审查。</w:t>
      </w:r>
    </w:p>
    <w:p w14:paraId="6FA5B32E">
      <w:pPr>
        <w:autoSpaceDE w:val="0"/>
        <w:autoSpaceDN w:val="0"/>
        <w:adjustRightInd w:val="0"/>
        <w:spacing w:line="360" w:lineRule="auto"/>
        <w:ind w:firstLine="420" w:firstLineChars="200"/>
        <w:rPr>
          <w:rFonts w:ascii="宋体" w:hAnsi="宋体" w:cs="宋体"/>
          <w:b/>
          <w:bCs/>
          <w:color w:val="auto"/>
          <w:highlight w:val="none"/>
          <w:u w:val="single"/>
        </w:rPr>
      </w:pPr>
      <w:r>
        <w:rPr>
          <w:rFonts w:hint="eastAsia" w:ascii="宋体" w:hAnsi="宋体" w:cs="宋体"/>
          <w:color w:val="auto"/>
          <w:highlight w:val="none"/>
          <w:lang w:val="zh-CN"/>
        </w:rPr>
        <w:t>3.3.</w:t>
      </w:r>
      <w:r>
        <w:rPr>
          <w:rFonts w:ascii="宋体" w:hAnsi="宋体" w:cs="宋体"/>
          <w:color w:val="auto"/>
          <w:highlight w:val="none"/>
          <w:lang w:val="zh-CN"/>
        </w:rPr>
        <w:t>3</w:t>
      </w:r>
      <w:r>
        <w:rPr>
          <w:rFonts w:hint="eastAsia" w:ascii="宋体" w:hAnsi="宋体" w:cs="宋体"/>
          <w:color w:val="auto"/>
          <w:highlight w:val="none"/>
          <w:lang w:val="zh-CN"/>
        </w:rPr>
        <w:t>承包人主要施工管理人员离开施工现场的批准要求：</w:t>
      </w:r>
      <w:r>
        <w:rPr>
          <w:rFonts w:hint="eastAsia" w:ascii="宋体" w:hAnsi="宋体" w:cs="宋体"/>
          <w:b/>
          <w:bCs/>
          <w:color w:val="auto"/>
          <w:highlight w:val="none"/>
          <w:u w:val="single"/>
          <w:lang w:val="zh-CN"/>
        </w:rPr>
        <w:t>发包人书面认可后方可离开。</w:t>
      </w:r>
    </w:p>
    <w:p w14:paraId="42D7CCE5">
      <w:pPr>
        <w:autoSpaceDE w:val="0"/>
        <w:autoSpaceDN w:val="0"/>
        <w:adjustRightInd w:val="0"/>
        <w:spacing w:line="360" w:lineRule="auto"/>
        <w:ind w:firstLine="420" w:firstLineChars="200"/>
        <w:rPr>
          <w:rFonts w:ascii="宋体" w:hAnsi="宋体" w:cs="宋体"/>
          <w:b/>
          <w:bCs/>
          <w:color w:val="auto"/>
          <w:highlight w:val="none"/>
          <w:u w:val="single"/>
        </w:rPr>
      </w:pPr>
      <w:r>
        <w:rPr>
          <w:rFonts w:hint="eastAsia" w:ascii="宋体" w:hAnsi="宋体" w:cs="宋体"/>
          <w:color w:val="auto"/>
          <w:highlight w:val="none"/>
          <w:lang w:val="zh-CN"/>
        </w:rPr>
        <w:t>3.3.</w:t>
      </w:r>
      <w:r>
        <w:rPr>
          <w:rFonts w:ascii="宋体" w:hAnsi="宋体" w:cs="宋体"/>
          <w:color w:val="auto"/>
          <w:highlight w:val="none"/>
          <w:lang w:val="zh-CN"/>
        </w:rPr>
        <w:t>4</w:t>
      </w:r>
      <w:r>
        <w:rPr>
          <w:rFonts w:hint="eastAsia" w:ascii="宋体" w:hAnsi="宋体" w:cs="宋体"/>
          <w:color w:val="auto"/>
          <w:highlight w:val="none"/>
          <w:lang w:val="zh-CN"/>
        </w:rPr>
        <w:t>承包人擅自更换主要施工管理人员的违约责任：</w:t>
      </w:r>
      <w:r>
        <w:rPr>
          <w:rFonts w:hint="eastAsia" w:ascii="宋体" w:hAnsi="宋体" w:cs="宋体"/>
          <w:b/>
          <w:bCs/>
          <w:color w:val="auto"/>
          <w:highlight w:val="none"/>
          <w:u w:val="single"/>
          <w:lang w:val="zh-CN"/>
        </w:rPr>
        <w:t>在本工程竣工前，</w:t>
      </w:r>
      <w:r>
        <w:rPr>
          <w:rFonts w:hint="eastAsia" w:ascii="宋体" w:hAnsi="宋体" w:cs="宋体"/>
          <w:b/>
          <w:bCs/>
          <w:color w:val="auto"/>
          <w:highlight w:val="none"/>
          <w:u w:val="single"/>
        </w:rPr>
        <w:t>施工员、安全员、质检员</w:t>
      </w:r>
      <w:r>
        <w:rPr>
          <w:rFonts w:hint="eastAsia" w:ascii="宋体" w:hAnsi="宋体" w:cs="宋体"/>
          <w:b/>
          <w:bCs/>
          <w:color w:val="auto"/>
          <w:highlight w:val="none"/>
          <w:u w:val="single"/>
          <w:lang w:val="zh-CN"/>
        </w:rPr>
        <w:t>不得到其他工程兼职，否则，一经发现，视作违约，且每人次支付1万元/人·次</w:t>
      </w:r>
      <w:r>
        <w:rPr>
          <w:rFonts w:hint="eastAsia" w:ascii="宋体" w:hAnsi="宋体" w:cs="宋体"/>
          <w:b/>
          <w:bCs/>
          <w:color w:val="auto"/>
          <w:highlight w:val="none"/>
          <w:u w:val="single"/>
        </w:rPr>
        <w:t>的违约金</w:t>
      </w:r>
      <w:r>
        <w:rPr>
          <w:rFonts w:hint="eastAsia" w:ascii="宋体" w:hAnsi="宋体" w:cs="宋体"/>
          <w:b/>
          <w:bCs/>
          <w:color w:val="auto"/>
          <w:highlight w:val="none"/>
          <w:u w:val="single"/>
          <w:lang w:val="zh-CN"/>
        </w:rPr>
        <w:t>。若擅自更换</w:t>
      </w:r>
      <w:r>
        <w:rPr>
          <w:rFonts w:hint="eastAsia" w:ascii="宋体" w:hAnsi="宋体" w:cs="宋体"/>
          <w:b/>
          <w:bCs/>
          <w:color w:val="auto"/>
          <w:highlight w:val="none"/>
          <w:u w:val="single"/>
        </w:rPr>
        <w:t>施工员、安全员、质检员</w:t>
      </w:r>
      <w:r>
        <w:rPr>
          <w:rFonts w:hint="eastAsia" w:ascii="宋体" w:hAnsi="宋体" w:cs="宋体"/>
          <w:b/>
          <w:bCs/>
          <w:color w:val="auto"/>
          <w:highlight w:val="none"/>
          <w:u w:val="single"/>
          <w:lang w:val="zh-CN"/>
        </w:rPr>
        <w:t>，每人次支付合</w:t>
      </w:r>
      <w:r>
        <w:rPr>
          <w:rFonts w:ascii="宋体" w:hAnsi="宋体" w:cs="宋体"/>
          <w:b/>
          <w:bCs/>
          <w:color w:val="auto"/>
          <w:highlight w:val="none"/>
          <w:u w:val="single"/>
          <w:lang w:val="zh-CN"/>
        </w:rPr>
        <w:t>1</w:t>
      </w:r>
      <w:r>
        <w:rPr>
          <w:rFonts w:hint="eastAsia" w:ascii="宋体" w:hAnsi="宋体" w:cs="宋体"/>
          <w:b/>
          <w:bCs/>
          <w:color w:val="auto"/>
          <w:highlight w:val="none"/>
          <w:u w:val="single"/>
          <w:lang w:val="zh-CN"/>
        </w:rPr>
        <w:t>万元/人·次</w:t>
      </w:r>
      <w:r>
        <w:rPr>
          <w:rFonts w:hint="eastAsia" w:ascii="宋体" w:hAnsi="宋体" w:cs="宋体"/>
          <w:b/>
          <w:bCs/>
          <w:color w:val="auto"/>
          <w:highlight w:val="none"/>
          <w:u w:val="single"/>
        </w:rPr>
        <w:t>的违约金。</w:t>
      </w:r>
    </w:p>
    <w:p w14:paraId="6BDC374B">
      <w:pPr>
        <w:autoSpaceDE w:val="0"/>
        <w:autoSpaceDN w:val="0"/>
        <w:adjustRightInd w:val="0"/>
        <w:spacing w:line="360" w:lineRule="auto"/>
        <w:ind w:firstLine="420" w:firstLineChars="200"/>
        <w:rPr>
          <w:rFonts w:ascii="宋体" w:hAnsi="宋体" w:cs="宋体"/>
          <w:b/>
          <w:bCs/>
          <w:color w:val="auto"/>
          <w:highlight w:val="none"/>
          <w:u w:val="single"/>
        </w:rPr>
      </w:pPr>
      <w:r>
        <w:rPr>
          <w:rFonts w:hint="eastAsia" w:ascii="宋体" w:hAnsi="宋体" w:cs="宋体"/>
          <w:color w:val="auto"/>
          <w:highlight w:val="none"/>
          <w:lang w:val="zh-CN"/>
        </w:rPr>
        <w:t>承包人主要施工管理人员擅自离开施工现场的违约责任：</w:t>
      </w:r>
      <w:bookmarkStart w:id="43" w:name="_Hlk183103775"/>
      <w:r>
        <w:rPr>
          <w:rFonts w:hint="eastAsia" w:ascii="宋体" w:hAnsi="宋体" w:cs="宋体"/>
          <w:b/>
          <w:bCs/>
          <w:color w:val="auto"/>
          <w:highlight w:val="none"/>
          <w:u w:val="single"/>
        </w:rPr>
        <w:t>施工员、安全员、质检员</w:t>
      </w:r>
      <w:r>
        <w:rPr>
          <w:rFonts w:hint="eastAsia" w:ascii="宋体" w:hAnsi="宋体" w:cs="宋体"/>
          <w:b/>
          <w:bCs/>
          <w:color w:val="auto"/>
          <w:highlight w:val="none"/>
          <w:u w:val="single"/>
          <w:lang w:val="zh-CN"/>
        </w:rPr>
        <w:t>每个月的出勤天数不少于</w:t>
      </w:r>
      <w:r>
        <w:rPr>
          <w:rFonts w:hint="eastAsia" w:ascii="宋体" w:hAnsi="宋体" w:cs="宋体"/>
          <w:b/>
          <w:bCs/>
          <w:color w:val="auto"/>
          <w:highlight w:val="none"/>
          <w:u w:val="single"/>
        </w:rPr>
        <w:t>25</w:t>
      </w:r>
      <w:r>
        <w:rPr>
          <w:rFonts w:hint="eastAsia" w:ascii="宋体" w:hAnsi="宋体" w:cs="宋体"/>
          <w:b/>
          <w:bCs/>
          <w:color w:val="auto"/>
          <w:highlight w:val="none"/>
          <w:u w:val="single"/>
          <w:lang w:val="zh-CN"/>
        </w:rPr>
        <w:t>天，由总监理工程师负责考勤，</w:t>
      </w:r>
      <w:r>
        <w:rPr>
          <w:rFonts w:hint="eastAsia" w:ascii="宋体" w:hAnsi="宋体" w:cs="宋体"/>
          <w:b/>
          <w:bCs/>
          <w:color w:val="auto"/>
          <w:highlight w:val="none"/>
          <w:u w:val="single"/>
          <w:lang w:val="zh-CN"/>
        </w:rPr>
        <w:t>每少出勤</w:t>
      </w:r>
      <w:r>
        <w:rPr>
          <w:rFonts w:hint="eastAsia" w:ascii="宋体" w:hAnsi="宋体" w:cs="宋体"/>
          <w:b/>
          <w:bCs/>
          <w:color w:val="auto"/>
          <w:highlight w:val="none"/>
          <w:u w:val="single"/>
        </w:rPr>
        <w:t>1</w:t>
      </w:r>
      <w:r>
        <w:rPr>
          <w:rFonts w:hint="eastAsia" w:ascii="宋体" w:hAnsi="宋体" w:cs="宋体"/>
          <w:b/>
          <w:bCs/>
          <w:color w:val="auto"/>
          <w:highlight w:val="none"/>
          <w:u w:val="single"/>
          <w:lang w:val="zh-CN"/>
        </w:rPr>
        <w:t>天</w:t>
      </w:r>
      <w:r>
        <w:rPr>
          <w:rFonts w:hint="eastAsia" w:ascii="宋体" w:hAnsi="宋体" w:cs="宋体"/>
          <w:b/>
          <w:bCs/>
          <w:color w:val="auto"/>
          <w:highlight w:val="none"/>
          <w:u w:val="single"/>
        </w:rPr>
        <w:t>支付1000</w:t>
      </w:r>
      <w:r>
        <w:rPr>
          <w:rFonts w:hint="eastAsia" w:ascii="宋体" w:hAnsi="宋体" w:cs="宋体"/>
          <w:b/>
          <w:bCs/>
          <w:color w:val="auto"/>
          <w:highlight w:val="none"/>
          <w:u w:val="single"/>
          <w:lang w:val="zh-CN"/>
        </w:rPr>
        <w:t>元</w:t>
      </w:r>
      <w:r>
        <w:rPr>
          <w:rFonts w:hint="eastAsia" w:ascii="宋体" w:hAnsi="宋体" w:cs="宋体"/>
          <w:b/>
          <w:bCs/>
          <w:color w:val="auto"/>
          <w:highlight w:val="none"/>
          <w:u w:val="single"/>
        </w:rPr>
        <w:t>/</w:t>
      </w:r>
      <w:r>
        <w:rPr>
          <w:rFonts w:hint="eastAsia" w:ascii="宋体" w:hAnsi="宋体" w:cs="宋体"/>
          <w:b/>
          <w:bCs/>
          <w:color w:val="auto"/>
          <w:highlight w:val="none"/>
          <w:u w:val="single"/>
          <w:lang w:val="zh-CN"/>
        </w:rPr>
        <w:t>人·次</w:t>
      </w:r>
      <w:r>
        <w:rPr>
          <w:rFonts w:hint="eastAsia" w:ascii="宋体" w:hAnsi="宋体" w:cs="宋体"/>
          <w:b/>
          <w:bCs/>
          <w:color w:val="auto"/>
          <w:highlight w:val="none"/>
          <w:u w:val="single"/>
        </w:rPr>
        <w:t>的违约金</w:t>
      </w:r>
      <w:r>
        <w:rPr>
          <w:rFonts w:hint="eastAsia" w:ascii="宋体" w:hAnsi="宋体" w:cs="宋体"/>
          <w:b/>
          <w:bCs/>
          <w:color w:val="auto"/>
          <w:highlight w:val="none"/>
          <w:u w:val="single"/>
          <w:lang w:val="zh-CN"/>
        </w:rPr>
        <w:t>。</w:t>
      </w:r>
      <w:bookmarkEnd w:id="43"/>
    </w:p>
    <w:p w14:paraId="7A422ABC">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3.</w:t>
      </w:r>
      <w:r>
        <w:rPr>
          <w:rFonts w:ascii="宋体" w:hAnsi="宋体" w:cs="宋体"/>
          <w:color w:val="auto"/>
          <w:highlight w:val="none"/>
          <w:lang w:val="zh-CN"/>
        </w:rPr>
        <w:t>4</w:t>
      </w:r>
      <w:r>
        <w:rPr>
          <w:rFonts w:hint="eastAsia" w:ascii="宋体" w:hAnsi="宋体" w:cs="宋体"/>
          <w:color w:val="auto"/>
          <w:highlight w:val="none"/>
          <w:lang w:val="zh-CN"/>
        </w:rPr>
        <w:t>分包</w:t>
      </w:r>
    </w:p>
    <w:p w14:paraId="576E5D1D">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3.</w:t>
      </w:r>
      <w:r>
        <w:rPr>
          <w:rFonts w:ascii="宋体" w:hAnsi="宋体" w:cs="宋体"/>
          <w:color w:val="auto"/>
          <w:highlight w:val="none"/>
          <w:lang w:val="zh-CN"/>
        </w:rPr>
        <w:t>4</w:t>
      </w:r>
      <w:r>
        <w:rPr>
          <w:rFonts w:hint="eastAsia" w:ascii="宋体" w:hAnsi="宋体" w:cs="宋体"/>
          <w:color w:val="auto"/>
          <w:highlight w:val="none"/>
          <w:lang w:val="zh-CN"/>
        </w:rPr>
        <w:t>.1分包的一般约定</w:t>
      </w:r>
    </w:p>
    <w:p w14:paraId="3FF71440">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禁止分包的工程包括：</w:t>
      </w:r>
      <w:r>
        <w:rPr>
          <w:rFonts w:hint="eastAsia" w:ascii="宋体" w:hAnsi="宋体" w:cs="宋体"/>
          <w:color w:val="auto"/>
          <w:highlight w:val="none"/>
          <w:u w:val="single"/>
        </w:rPr>
        <w:t>在履行合同过程中，承包人不得转包和分包，一经发现，发包人可以解除本合同，并不予退还全额履约保证金，并且已完成的工程量不予结算，所造成的责任与损失均由承包人承担。</w:t>
      </w:r>
    </w:p>
    <w:p w14:paraId="04D0B89D">
      <w:pPr>
        <w:autoSpaceDE w:val="0"/>
        <w:autoSpaceDN w:val="0"/>
        <w:adjustRightInd w:val="0"/>
        <w:spacing w:line="360" w:lineRule="auto"/>
        <w:ind w:firstLine="420" w:firstLineChars="200"/>
        <w:rPr>
          <w:rFonts w:ascii="宋体" w:hAnsi="宋体" w:cs="宋体"/>
          <w:color w:val="auto"/>
          <w:highlight w:val="none"/>
          <w:u w:val="single"/>
          <w:lang w:val="zh-CN"/>
        </w:rPr>
      </w:pPr>
      <w:r>
        <w:rPr>
          <w:rFonts w:hint="eastAsia" w:ascii="宋体" w:hAnsi="宋体" w:cs="宋体"/>
          <w:color w:val="auto"/>
          <w:highlight w:val="none"/>
          <w:lang w:val="zh-CN"/>
        </w:rPr>
        <w:t>主体结构、关键性工作的范围：</w:t>
      </w:r>
      <w:r>
        <w:rPr>
          <w:rFonts w:hint="eastAsia" w:ascii="宋体" w:hAnsi="宋体" w:cs="宋体"/>
          <w:color w:val="auto"/>
          <w:highlight w:val="none"/>
          <w:u w:val="single"/>
          <w:lang w:val="zh-CN"/>
        </w:rPr>
        <w:t xml:space="preserve">  </w:t>
      </w:r>
      <w:r>
        <w:rPr>
          <w:rFonts w:hint="eastAsia" w:ascii="宋体" w:hAnsi="宋体" w:cs="宋体"/>
          <w:b/>
          <w:bCs/>
          <w:color w:val="auto"/>
          <w:highlight w:val="none"/>
          <w:u w:val="single"/>
        </w:rPr>
        <w:t xml:space="preserve">/ </w:t>
      </w:r>
      <w:r>
        <w:rPr>
          <w:rFonts w:hint="eastAsia" w:ascii="宋体" w:hAnsi="宋体" w:cs="宋体"/>
          <w:color w:val="auto"/>
          <w:highlight w:val="none"/>
          <w:u w:val="single"/>
          <w:lang w:val="zh-CN"/>
        </w:rPr>
        <w:t>。</w:t>
      </w:r>
    </w:p>
    <w:p w14:paraId="56471EF3">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3.</w:t>
      </w:r>
      <w:r>
        <w:rPr>
          <w:rFonts w:ascii="宋体" w:hAnsi="宋体" w:cs="宋体"/>
          <w:color w:val="auto"/>
          <w:highlight w:val="none"/>
          <w:lang w:val="zh-CN"/>
        </w:rPr>
        <w:t>4</w:t>
      </w:r>
      <w:r>
        <w:rPr>
          <w:rFonts w:hint="eastAsia" w:ascii="宋体" w:hAnsi="宋体" w:cs="宋体"/>
          <w:color w:val="auto"/>
          <w:highlight w:val="none"/>
          <w:lang w:val="zh-CN"/>
        </w:rPr>
        <w:t>.2分包的确定</w:t>
      </w:r>
    </w:p>
    <w:p w14:paraId="017B27CC">
      <w:pPr>
        <w:autoSpaceDE w:val="0"/>
        <w:autoSpaceDN w:val="0"/>
        <w:adjustRightInd w:val="0"/>
        <w:spacing w:line="360" w:lineRule="auto"/>
        <w:ind w:firstLine="420" w:firstLineChars="200"/>
        <w:rPr>
          <w:rFonts w:ascii="宋体" w:hAnsi="宋体" w:cs="宋体"/>
          <w:color w:val="auto"/>
          <w:highlight w:val="none"/>
          <w:u w:val="single"/>
          <w:lang w:val="zh-CN"/>
        </w:rPr>
      </w:pPr>
      <w:r>
        <w:rPr>
          <w:rFonts w:hint="eastAsia" w:ascii="宋体" w:hAnsi="宋体" w:cs="宋体"/>
          <w:color w:val="auto"/>
          <w:highlight w:val="none"/>
          <w:lang w:val="zh-CN"/>
        </w:rPr>
        <w:t>允许分包的专业工程包括：</w:t>
      </w:r>
      <w:r>
        <w:rPr>
          <w:rFonts w:hint="eastAsia" w:ascii="宋体" w:hAnsi="宋体" w:cs="宋体"/>
          <w:color w:val="auto"/>
          <w:highlight w:val="none"/>
          <w:u w:val="single"/>
          <w:lang w:val="zh-CN"/>
        </w:rPr>
        <w:t xml:space="preserve">   </w:t>
      </w:r>
      <w:r>
        <w:rPr>
          <w:rFonts w:hint="eastAsia" w:ascii="宋体" w:hAnsi="宋体" w:cs="宋体"/>
          <w:b/>
          <w:bCs/>
          <w:color w:val="auto"/>
          <w:highlight w:val="none"/>
          <w:u w:val="single"/>
        </w:rPr>
        <w:t xml:space="preserve">/ </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w:t>
      </w:r>
    </w:p>
    <w:p w14:paraId="6CB27694">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其他关于分包的约定：</w:t>
      </w:r>
      <w:r>
        <w:rPr>
          <w:rFonts w:hint="eastAsia" w:ascii="宋体" w:hAnsi="宋体" w:cs="宋体"/>
          <w:color w:val="auto"/>
          <w:highlight w:val="none"/>
          <w:u w:val="single"/>
          <w:lang w:val="zh-CN"/>
        </w:rPr>
        <w:t xml:space="preserve">  </w:t>
      </w:r>
      <w:r>
        <w:rPr>
          <w:rFonts w:hint="eastAsia" w:ascii="宋体" w:hAnsi="宋体" w:cs="宋体"/>
          <w:b/>
          <w:bCs/>
          <w:color w:val="auto"/>
          <w:highlight w:val="none"/>
          <w:u w:val="single"/>
        </w:rPr>
        <w:t xml:space="preserve"> / </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w:t>
      </w:r>
    </w:p>
    <w:p w14:paraId="157BF1D2">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3.</w:t>
      </w:r>
      <w:r>
        <w:rPr>
          <w:rFonts w:ascii="宋体" w:hAnsi="宋体" w:cs="宋体"/>
          <w:color w:val="auto"/>
          <w:highlight w:val="none"/>
          <w:lang w:val="zh-CN"/>
        </w:rPr>
        <w:t>4</w:t>
      </w:r>
      <w:r>
        <w:rPr>
          <w:rFonts w:hint="eastAsia" w:ascii="宋体" w:hAnsi="宋体" w:cs="宋体"/>
          <w:color w:val="auto"/>
          <w:highlight w:val="none"/>
          <w:lang w:val="zh-CN"/>
        </w:rPr>
        <w:t>.</w:t>
      </w:r>
      <w:r>
        <w:rPr>
          <w:rFonts w:ascii="宋体" w:hAnsi="宋体" w:cs="宋体"/>
          <w:color w:val="auto"/>
          <w:highlight w:val="none"/>
          <w:lang w:val="zh-CN"/>
        </w:rPr>
        <w:t>3</w:t>
      </w:r>
      <w:r>
        <w:rPr>
          <w:rFonts w:hint="eastAsia" w:ascii="宋体" w:hAnsi="宋体" w:cs="宋体"/>
          <w:color w:val="auto"/>
          <w:highlight w:val="none"/>
          <w:lang w:val="zh-CN"/>
        </w:rPr>
        <w:t xml:space="preserve"> 分包合同价款</w:t>
      </w:r>
    </w:p>
    <w:p w14:paraId="4EF8D370">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关于分包合同价款支付的约定：</w:t>
      </w:r>
      <w:r>
        <w:rPr>
          <w:rFonts w:hint="eastAsia" w:ascii="宋体" w:hAnsi="宋体" w:cs="宋体"/>
          <w:color w:val="auto"/>
          <w:highlight w:val="none"/>
          <w:u w:val="single"/>
          <w:lang w:val="zh-CN"/>
        </w:rPr>
        <w:t xml:space="preserve">   </w:t>
      </w:r>
      <w:r>
        <w:rPr>
          <w:rFonts w:hint="eastAsia" w:ascii="宋体" w:hAnsi="宋体" w:cs="宋体"/>
          <w:b/>
          <w:bCs/>
          <w:color w:val="auto"/>
          <w:highlight w:val="none"/>
          <w:u w:val="single"/>
        </w:rPr>
        <w:t xml:space="preserve">/ </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w:t>
      </w:r>
    </w:p>
    <w:p w14:paraId="3AD45AD6">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3.</w:t>
      </w:r>
      <w:r>
        <w:rPr>
          <w:rFonts w:ascii="宋体" w:hAnsi="宋体" w:cs="宋体"/>
          <w:color w:val="auto"/>
          <w:highlight w:val="none"/>
          <w:lang w:val="zh-CN"/>
        </w:rPr>
        <w:t>5</w:t>
      </w:r>
      <w:r>
        <w:rPr>
          <w:rFonts w:hint="eastAsia" w:ascii="宋体" w:hAnsi="宋体" w:cs="宋体"/>
          <w:color w:val="auto"/>
          <w:highlight w:val="none"/>
          <w:lang w:val="zh-CN"/>
        </w:rPr>
        <w:t>工程照管与成品、半成品保护</w:t>
      </w:r>
    </w:p>
    <w:p w14:paraId="7FAD93D6">
      <w:pPr>
        <w:autoSpaceDE w:val="0"/>
        <w:autoSpaceDN w:val="0"/>
        <w:adjustRightInd w:val="0"/>
        <w:spacing w:line="360" w:lineRule="auto"/>
        <w:ind w:firstLine="420" w:firstLineChars="200"/>
        <w:rPr>
          <w:rFonts w:ascii="宋体" w:hAnsi="宋体" w:cs="宋体"/>
          <w:color w:val="auto"/>
          <w:highlight w:val="none"/>
          <w:u w:val="single"/>
          <w:lang w:val="zh-CN"/>
        </w:rPr>
      </w:pPr>
      <w:r>
        <w:rPr>
          <w:rFonts w:hint="eastAsia" w:ascii="宋体" w:hAnsi="宋体" w:cs="宋体"/>
          <w:color w:val="auto"/>
          <w:highlight w:val="none"/>
          <w:lang w:val="zh-CN"/>
        </w:rPr>
        <w:t>承包人负责照管工程及工程相关的材料、工程设备的起始时间：</w:t>
      </w:r>
      <w:r>
        <w:rPr>
          <w:rFonts w:hint="eastAsia" w:ascii="宋体" w:hAnsi="宋体" w:cs="宋体"/>
          <w:color w:val="auto"/>
          <w:highlight w:val="none"/>
          <w:u w:val="single"/>
          <w:lang w:val="zh-CN"/>
        </w:rPr>
        <w:t xml:space="preserve"> </w:t>
      </w:r>
      <w:r>
        <w:rPr>
          <w:rFonts w:hint="eastAsia" w:ascii="宋体" w:hAnsi="宋体" w:cs="宋体"/>
          <w:b/>
          <w:bCs/>
          <w:color w:val="auto"/>
          <w:highlight w:val="none"/>
          <w:u w:val="single"/>
          <w:lang w:val="zh-CN"/>
        </w:rPr>
        <w:t>按通用条款</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w:t>
      </w:r>
    </w:p>
    <w:p w14:paraId="410D7F9D">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3.</w:t>
      </w:r>
      <w:r>
        <w:rPr>
          <w:rFonts w:ascii="宋体" w:hAnsi="宋体" w:cs="宋体"/>
          <w:color w:val="auto"/>
          <w:highlight w:val="none"/>
          <w:lang w:val="zh-CN"/>
        </w:rPr>
        <w:t>6</w:t>
      </w:r>
      <w:r>
        <w:rPr>
          <w:rFonts w:hint="eastAsia" w:ascii="宋体" w:hAnsi="宋体" w:cs="宋体"/>
          <w:color w:val="auto"/>
          <w:highlight w:val="none"/>
          <w:lang w:val="zh-CN"/>
        </w:rPr>
        <w:t>履约担保</w:t>
      </w:r>
    </w:p>
    <w:p w14:paraId="3DE58214">
      <w:pPr>
        <w:autoSpaceDE w:val="0"/>
        <w:autoSpaceDN w:val="0"/>
        <w:adjustRightInd w:val="0"/>
        <w:spacing w:line="360" w:lineRule="auto"/>
        <w:ind w:firstLine="420" w:firstLineChars="200"/>
        <w:rPr>
          <w:rFonts w:ascii="宋体" w:hAnsi="宋体" w:cs="宋体"/>
          <w:b/>
          <w:bCs/>
          <w:color w:val="auto"/>
          <w:highlight w:val="none"/>
          <w:u w:val="single"/>
          <w:lang w:val="zh-CN"/>
        </w:rPr>
      </w:pPr>
      <w:r>
        <w:rPr>
          <w:rFonts w:hint="eastAsia" w:ascii="宋体" w:hAnsi="宋体" w:cs="宋体"/>
          <w:color w:val="auto"/>
          <w:highlight w:val="none"/>
          <w:lang w:val="zh-CN"/>
        </w:rPr>
        <w:t>承包人是否提供履约担保：</w:t>
      </w:r>
      <w:r>
        <w:rPr>
          <w:rFonts w:hint="eastAsia" w:ascii="宋体" w:hAnsi="宋体" w:cs="宋体"/>
          <w:b/>
          <w:bCs/>
          <w:color w:val="auto"/>
          <w:highlight w:val="none"/>
          <w:u w:val="single"/>
          <w:lang w:val="zh-CN"/>
        </w:rPr>
        <w:t xml:space="preserve">  提供  。</w:t>
      </w:r>
    </w:p>
    <w:p w14:paraId="28BBFD27">
      <w:pPr>
        <w:autoSpaceDE w:val="0"/>
        <w:autoSpaceDN w:val="0"/>
        <w:adjustRightInd w:val="0"/>
        <w:spacing w:line="360" w:lineRule="auto"/>
        <w:ind w:firstLine="420" w:firstLineChars="200"/>
        <w:rPr>
          <w:rFonts w:ascii="宋体" w:hAnsi="宋体" w:cs="宋体"/>
          <w:b/>
          <w:bCs/>
          <w:color w:val="auto"/>
          <w:highlight w:val="none"/>
          <w:u w:val="single"/>
          <w:lang w:val="zh-CN"/>
        </w:rPr>
      </w:pPr>
      <w:r>
        <w:rPr>
          <w:rFonts w:hint="eastAsia" w:ascii="宋体" w:hAnsi="宋体" w:cs="宋体"/>
          <w:color w:val="auto"/>
          <w:highlight w:val="none"/>
          <w:lang w:val="zh-CN"/>
        </w:rPr>
        <w:t>承包人提供履约担保的形式、金额及期限：</w:t>
      </w:r>
      <w:r>
        <w:rPr>
          <w:rFonts w:hint="eastAsia" w:ascii="宋体" w:hAnsi="宋体" w:cs="宋体"/>
          <w:b/>
          <w:bCs/>
          <w:color w:val="auto"/>
          <w:highlight w:val="none"/>
          <w:u w:val="single"/>
          <w:lang w:val="zh-CN"/>
        </w:rPr>
        <w:t>担保的形式为银行转帐或支票等。</w:t>
      </w:r>
    </w:p>
    <w:p w14:paraId="4EEB8A5F">
      <w:pPr>
        <w:autoSpaceDE w:val="0"/>
        <w:autoSpaceDN w:val="0"/>
        <w:adjustRightInd w:val="0"/>
        <w:spacing w:line="360" w:lineRule="auto"/>
        <w:ind w:firstLine="422" w:firstLineChars="200"/>
        <w:rPr>
          <w:rFonts w:ascii="宋体" w:hAnsi="宋体" w:cs="宋体"/>
          <w:b/>
          <w:bCs/>
          <w:color w:val="auto"/>
          <w:highlight w:val="none"/>
          <w:u w:val="single"/>
          <w:lang w:val="zh-CN"/>
        </w:rPr>
      </w:pPr>
      <w:r>
        <w:rPr>
          <w:rFonts w:hint="eastAsia" w:ascii="宋体" w:hAnsi="宋体" w:cs="宋体"/>
          <w:b/>
          <w:bCs/>
          <w:color w:val="auto"/>
          <w:highlight w:val="none"/>
          <w:u w:val="single"/>
          <w:lang w:val="zh-CN"/>
        </w:rPr>
        <w:t>3</w:t>
      </w:r>
      <w:r>
        <w:rPr>
          <w:rFonts w:ascii="宋体" w:hAnsi="宋体" w:cs="宋体"/>
          <w:b/>
          <w:bCs/>
          <w:color w:val="auto"/>
          <w:highlight w:val="none"/>
          <w:u w:val="single"/>
          <w:lang w:val="zh-CN"/>
        </w:rPr>
        <w:t>.6.1</w:t>
      </w:r>
      <w:r>
        <w:rPr>
          <w:rFonts w:hint="eastAsia" w:ascii="宋体" w:hAnsi="宋体" w:cs="宋体"/>
          <w:b/>
          <w:bCs/>
          <w:color w:val="auto"/>
          <w:highlight w:val="none"/>
          <w:u w:val="single"/>
          <w:lang w:val="zh-CN"/>
        </w:rPr>
        <w:t>承包人提供的履约保证金为合同总价的10%，其中：工期保证金为 3%，质量保证金为</w:t>
      </w:r>
      <w:r>
        <w:rPr>
          <w:rFonts w:hint="eastAsia" w:ascii="宋体" w:hAnsi="宋体" w:cs="宋体"/>
          <w:b/>
          <w:bCs/>
          <w:color w:val="auto"/>
          <w:highlight w:val="none"/>
          <w:u w:val="single"/>
        </w:rPr>
        <w:t>3</w:t>
      </w:r>
      <w:r>
        <w:rPr>
          <w:rFonts w:hint="eastAsia" w:ascii="宋体" w:hAnsi="宋体" w:cs="宋体"/>
          <w:b/>
          <w:bCs/>
          <w:color w:val="auto"/>
          <w:highlight w:val="none"/>
          <w:u w:val="single"/>
          <w:lang w:val="zh-CN"/>
        </w:rPr>
        <w:t>%，安全生产、文明施工为</w:t>
      </w:r>
      <w:r>
        <w:rPr>
          <w:rFonts w:hint="eastAsia" w:ascii="宋体" w:hAnsi="宋体" w:cs="宋体"/>
          <w:b/>
          <w:bCs/>
          <w:color w:val="auto"/>
          <w:highlight w:val="none"/>
          <w:u w:val="single"/>
        </w:rPr>
        <w:t>2</w:t>
      </w:r>
      <w:r>
        <w:rPr>
          <w:rFonts w:hint="eastAsia" w:ascii="宋体" w:hAnsi="宋体" w:cs="宋体"/>
          <w:b/>
          <w:bCs/>
          <w:color w:val="auto"/>
          <w:highlight w:val="none"/>
          <w:u w:val="single"/>
          <w:lang w:val="zh-CN"/>
        </w:rPr>
        <w:t>%，项目负责人等管理人员在岗保证金为1%，资料保证金为1%。</w:t>
      </w:r>
    </w:p>
    <w:p w14:paraId="4DAFE7B7">
      <w:pPr>
        <w:autoSpaceDE w:val="0"/>
        <w:autoSpaceDN w:val="0"/>
        <w:adjustRightInd w:val="0"/>
        <w:spacing w:line="360" w:lineRule="auto"/>
        <w:ind w:firstLine="422" w:firstLineChars="200"/>
        <w:rPr>
          <w:rFonts w:ascii="宋体" w:hAnsi="宋体" w:cs="宋体"/>
          <w:b/>
          <w:bCs/>
          <w:color w:val="auto"/>
          <w:highlight w:val="none"/>
          <w:u w:val="single"/>
          <w:lang w:val="zh-CN"/>
        </w:rPr>
      </w:pPr>
      <w:r>
        <w:rPr>
          <w:rFonts w:hint="eastAsia" w:ascii="宋体" w:hAnsi="宋体" w:cs="宋体"/>
          <w:b/>
          <w:bCs/>
          <w:color w:val="auto"/>
          <w:highlight w:val="none"/>
          <w:u w:val="single"/>
          <w:lang w:val="zh-CN"/>
        </w:rPr>
        <w:t>3</w:t>
      </w:r>
      <w:r>
        <w:rPr>
          <w:rFonts w:ascii="宋体" w:hAnsi="宋体" w:cs="宋体"/>
          <w:b/>
          <w:bCs/>
          <w:color w:val="auto"/>
          <w:highlight w:val="none"/>
          <w:u w:val="single"/>
          <w:lang w:val="zh-CN"/>
        </w:rPr>
        <w:t>.6.2</w:t>
      </w:r>
      <w:r>
        <w:rPr>
          <w:rFonts w:hint="eastAsia" w:ascii="宋体" w:hAnsi="宋体" w:cs="宋体"/>
          <w:b/>
          <w:bCs/>
          <w:color w:val="auto"/>
          <w:highlight w:val="none"/>
          <w:u w:val="single"/>
          <w:lang w:val="zh-CN"/>
        </w:rPr>
        <w:t>本合同约定的工期、质量、安全文明施工履约担保在相应的履约全部考核结束后一个月内无息退还。管理人员到位、资料保证金统一进行考核，待所有工程全部考核结束后无息退还。</w:t>
      </w:r>
    </w:p>
    <w:p w14:paraId="7059459F">
      <w:pPr>
        <w:autoSpaceDE w:val="0"/>
        <w:autoSpaceDN w:val="0"/>
        <w:adjustRightInd w:val="0"/>
        <w:spacing w:line="360" w:lineRule="auto"/>
        <w:ind w:firstLine="422" w:firstLineChars="200"/>
        <w:rPr>
          <w:rFonts w:ascii="宋体" w:hAnsi="宋体" w:cs="宋体"/>
          <w:b/>
          <w:bCs/>
          <w:color w:val="auto"/>
          <w:highlight w:val="none"/>
          <w:u w:val="single"/>
          <w:lang w:val="zh-CN"/>
        </w:rPr>
      </w:pPr>
      <w:r>
        <w:rPr>
          <w:rFonts w:hint="eastAsia" w:ascii="宋体" w:hAnsi="宋体" w:cs="宋体"/>
          <w:b/>
          <w:bCs/>
          <w:color w:val="auto"/>
          <w:highlight w:val="none"/>
          <w:u w:val="single"/>
          <w:lang w:val="zh-CN"/>
        </w:rPr>
        <w:t>3</w:t>
      </w:r>
      <w:r>
        <w:rPr>
          <w:rFonts w:ascii="宋体" w:hAnsi="宋体" w:cs="宋体"/>
          <w:b/>
          <w:bCs/>
          <w:color w:val="auto"/>
          <w:highlight w:val="none"/>
          <w:u w:val="single"/>
          <w:lang w:val="zh-CN"/>
        </w:rPr>
        <w:t>.6.3</w:t>
      </w:r>
      <w:r>
        <w:rPr>
          <w:rFonts w:hint="eastAsia" w:ascii="宋体" w:hAnsi="宋体" w:cs="宋体"/>
          <w:b/>
          <w:bCs/>
          <w:color w:val="auto"/>
          <w:highlight w:val="none"/>
          <w:u w:val="single"/>
          <w:lang w:val="zh-CN"/>
        </w:rPr>
        <w:t>如达不到本合同约定的验收标准，质量履约保证金不予退还，同时必须在规定期限内整改到位，否则已完合格工程量按60%计算。</w:t>
      </w:r>
    </w:p>
    <w:p w14:paraId="2BD0E56A">
      <w:pPr>
        <w:autoSpaceDE w:val="0"/>
        <w:autoSpaceDN w:val="0"/>
        <w:adjustRightInd w:val="0"/>
        <w:spacing w:line="360" w:lineRule="auto"/>
        <w:ind w:firstLine="420" w:firstLineChars="200"/>
        <w:rPr>
          <w:rFonts w:ascii="宋体" w:hAnsi="宋体" w:cs="宋体"/>
          <w:color w:val="auto"/>
          <w:highlight w:val="none"/>
          <w:u w:val="single"/>
          <w:lang w:val="zh-CN"/>
        </w:rPr>
      </w:pPr>
      <w:r>
        <w:rPr>
          <w:rFonts w:hint="eastAsia" w:ascii="宋体" w:hAnsi="宋体" w:cs="宋体"/>
          <w:color w:val="auto"/>
          <w:highlight w:val="none"/>
          <w:lang w:val="zh-CN"/>
        </w:rPr>
        <w:t>4.监理人</w:t>
      </w:r>
    </w:p>
    <w:p w14:paraId="07FDE8B4">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4.1监理人的一般规定</w:t>
      </w:r>
    </w:p>
    <w:p w14:paraId="32D50906">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关于监理人的监理内容：</w:t>
      </w:r>
      <w:r>
        <w:rPr>
          <w:rFonts w:hint="eastAsia" w:ascii="宋体" w:hAnsi="宋体" w:cs="宋体"/>
          <w:color w:val="auto"/>
          <w:highlight w:val="none"/>
          <w:u w:val="single"/>
          <w:lang w:val="zh-CN"/>
        </w:rPr>
        <w:t xml:space="preserve">   </w:t>
      </w:r>
      <w:r>
        <w:rPr>
          <w:rFonts w:hint="eastAsia" w:ascii="宋体" w:hAnsi="宋体" w:cs="宋体"/>
          <w:b/>
          <w:bCs/>
          <w:color w:val="auto"/>
          <w:highlight w:val="none"/>
          <w:u w:val="single"/>
          <w:lang w:val="zh-CN"/>
        </w:rPr>
        <w:t>见监理合同</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w:t>
      </w:r>
    </w:p>
    <w:p w14:paraId="31C7F788">
      <w:pPr>
        <w:autoSpaceDE w:val="0"/>
        <w:autoSpaceDN w:val="0"/>
        <w:adjustRightInd w:val="0"/>
        <w:spacing w:line="360" w:lineRule="auto"/>
        <w:ind w:firstLine="420" w:firstLineChars="200"/>
        <w:rPr>
          <w:rFonts w:ascii="宋体" w:hAnsi="宋体" w:cs="宋体"/>
          <w:b/>
          <w:bCs/>
          <w:color w:val="auto"/>
          <w:highlight w:val="none"/>
          <w:u w:val="single"/>
        </w:rPr>
      </w:pPr>
      <w:r>
        <w:rPr>
          <w:rFonts w:hint="eastAsia" w:ascii="宋体" w:hAnsi="宋体" w:cs="宋体"/>
          <w:color w:val="auto"/>
          <w:highlight w:val="none"/>
          <w:lang w:val="zh-CN"/>
        </w:rPr>
        <w:t>关于监理人的监理权限：</w:t>
      </w:r>
      <w:r>
        <w:rPr>
          <w:rFonts w:hint="eastAsia" w:ascii="宋体" w:hAnsi="宋体" w:cs="宋体"/>
          <w:b/>
          <w:bCs/>
          <w:color w:val="auto"/>
          <w:highlight w:val="none"/>
          <w:u w:val="single"/>
          <w:lang w:val="zh-CN"/>
        </w:rPr>
        <w:t>对工程质量、进度、投资三大控制，对安全生产、文明施工、信息管理、组织协调施工现场和各方关系</w:t>
      </w:r>
      <w:r>
        <w:rPr>
          <w:rFonts w:hint="eastAsia" w:ascii="宋体" w:hAnsi="宋体" w:cs="宋体"/>
          <w:b/>
          <w:bCs/>
          <w:color w:val="auto"/>
          <w:highlight w:val="none"/>
          <w:u w:val="single"/>
        </w:rPr>
        <w:t xml:space="preserve"> </w:t>
      </w:r>
      <w:r>
        <w:rPr>
          <w:rFonts w:hint="eastAsia" w:ascii="宋体" w:hAnsi="宋体" w:cs="宋体"/>
          <w:b/>
          <w:bCs/>
          <w:color w:val="auto"/>
          <w:highlight w:val="none"/>
          <w:u w:val="single"/>
          <w:lang w:val="zh-CN"/>
        </w:rPr>
        <w:t>，以及《委托监理合同》内发包人委托的职权。需要取得发包人批准才能行使的职权：工程开工、停工令，工程款支付以及其它超出发包人授权之外的职权。</w:t>
      </w:r>
    </w:p>
    <w:p w14:paraId="5F6FF9C4">
      <w:pPr>
        <w:autoSpaceDE w:val="0"/>
        <w:autoSpaceDN w:val="0"/>
        <w:adjustRightInd w:val="0"/>
        <w:spacing w:line="360" w:lineRule="auto"/>
        <w:ind w:firstLine="422" w:firstLineChars="200"/>
        <w:rPr>
          <w:rFonts w:ascii="宋体" w:hAnsi="宋体" w:cs="宋体"/>
          <w:b/>
          <w:color w:val="auto"/>
          <w:highlight w:val="none"/>
          <w:lang w:val="zh-CN"/>
        </w:rPr>
      </w:pPr>
      <w:r>
        <w:rPr>
          <w:rFonts w:hint="eastAsia" w:ascii="宋体" w:hAnsi="宋体" w:cs="宋体"/>
          <w:b/>
          <w:color w:val="auto"/>
          <w:highlight w:val="none"/>
          <w:lang w:val="zh-CN"/>
        </w:rPr>
        <w:t>关于监理人在施工现场的办公场所、生活场所的提供和费用承担的约定：</w:t>
      </w:r>
      <w:r>
        <w:rPr>
          <w:rFonts w:hint="eastAsia" w:ascii="宋体" w:hAnsi="宋体" w:cs="宋体"/>
          <w:b/>
          <w:bCs/>
          <w:color w:val="auto"/>
          <w:highlight w:val="none"/>
          <w:u w:val="single"/>
          <w:lang w:val="zh-CN"/>
        </w:rPr>
        <w:t>无需提供</w:t>
      </w:r>
      <w:r>
        <w:rPr>
          <w:rFonts w:hint="eastAsia" w:ascii="宋体" w:hAnsi="宋体" w:cs="宋体"/>
          <w:b/>
          <w:color w:val="auto"/>
          <w:highlight w:val="none"/>
          <w:lang w:val="zh-CN"/>
        </w:rPr>
        <w:t>。</w:t>
      </w:r>
    </w:p>
    <w:p w14:paraId="65CDBA7A">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4.2监理人员</w:t>
      </w:r>
    </w:p>
    <w:p w14:paraId="2077D834">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总监理工程师：</w:t>
      </w:r>
    </w:p>
    <w:p w14:paraId="30ADFC5D">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姓    名：</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w:t>
      </w:r>
    </w:p>
    <w:p w14:paraId="1DB73B7A">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职    务：</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w:t>
      </w:r>
    </w:p>
    <w:p w14:paraId="197179EF">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监理工程师执业资格证书号：</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w:t>
      </w:r>
    </w:p>
    <w:p w14:paraId="315F8BA9">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联系电话：</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w:t>
      </w:r>
    </w:p>
    <w:p w14:paraId="397D90F6">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电子信箱：</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w:t>
      </w:r>
    </w:p>
    <w:p w14:paraId="212EFA8C">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通信地址：</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w:t>
      </w:r>
    </w:p>
    <w:p w14:paraId="224E83C9">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关于监理人的其他约定：</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w:t>
      </w:r>
    </w:p>
    <w:p w14:paraId="39226EF7">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4.</w:t>
      </w:r>
      <w:r>
        <w:rPr>
          <w:rFonts w:ascii="宋体" w:hAnsi="宋体" w:cs="宋体"/>
          <w:color w:val="auto"/>
          <w:highlight w:val="none"/>
          <w:lang w:val="zh-CN"/>
        </w:rPr>
        <w:t>3</w:t>
      </w:r>
      <w:r>
        <w:rPr>
          <w:rFonts w:hint="eastAsia" w:ascii="宋体" w:hAnsi="宋体" w:cs="宋体"/>
          <w:color w:val="auto"/>
          <w:highlight w:val="none"/>
          <w:lang w:val="zh-CN"/>
        </w:rPr>
        <w:t>商定或确定</w:t>
      </w:r>
    </w:p>
    <w:p w14:paraId="7907D55D">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在发包人和承包人不能通过协商达成一致意见时，发包人授权监理人对以下事项进行确定：</w:t>
      </w:r>
      <w:r>
        <w:rPr>
          <w:rFonts w:hint="eastAsia" w:ascii="宋体" w:hAnsi="宋体" w:cs="宋体"/>
          <w:b/>
          <w:bCs/>
          <w:color w:val="auto"/>
          <w:highlight w:val="none"/>
          <w:u w:val="single"/>
          <w:lang w:val="zh-CN"/>
        </w:rPr>
        <w:t>按通用条款</w:t>
      </w:r>
      <w:r>
        <w:rPr>
          <w:rFonts w:hint="eastAsia" w:ascii="宋体" w:hAnsi="宋体" w:cs="宋体"/>
          <w:b/>
          <w:bCs/>
          <w:color w:val="auto"/>
          <w:highlight w:val="none"/>
          <w:u w:val="single"/>
        </w:rPr>
        <w:t xml:space="preserve"> </w:t>
      </w:r>
      <w:r>
        <w:rPr>
          <w:rFonts w:hint="eastAsia" w:ascii="宋体" w:hAnsi="宋体" w:cs="宋体"/>
          <w:color w:val="auto"/>
          <w:highlight w:val="none"/>
          <w:lang w:val="zh-CN"/>
        </w:rPr>
        <w:t>。</w:t>
      </w:r>
    </w:p>
    <w:p w14:paraId="3C91569C">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5.工程质量</w:t>
      </w:r>
    </w:p>
    <w:p w14:paraId="2EB46209">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5.1质量要求</w:t>
      </w:r>
    </w:p>
    <w:p w14:paraId="5921B20F">
      <w:pPr>
        <w:autoSpaceDE w:val="0"/>
        <w:autoSpaceDN w:val="0"/>
        <w:adjustRightInd w:val="0"/>
        <w:spacing w:line="360" w:lineRule="auto"/>
        <w:ind w:firstLine="420" w:firstLineChars="200"/>
        <w:rPr>
          <w:rFonts w:ascii="宋体" w:hAnsi="宋体" w:cs="宋体"/>
          <w:b/>
          <w:bCs/>
          <w:color w:val="auto"/>
          <w:highlight w:val="none"/>
          <w:u w:val="single"/>
          <w:lang w:val="zh-CN"/>
        </w:rPr>
      </w:pPr>
      <w:r>
        <w:rPr>
          <w:rFonts w:hint="eastAsia" w:ascii="宋体" w:hAnsi="宋体" w:cs="宋体"/>
          <w:color w:val="auto"/>
          <w:highlight w:val="none"/>
          <w:lang w:val="zh-CN"/>
        </w:rPr>
        <w:t>5.1.1特殊质量标准和要求：</w:t>
      </w:r>
      <w:r>
        <w:rPr>
          <w:rFonts w:hint="eastAsia" w:ascii="宋体" w:hAnsi="宋体" w:cs="宋体"/>
          <w:b/>
          <w:bCs/>
          <w:color w:val="auto"/>
          <w:highlight w:val="none"/>
          <w:u w:val="single"/>
          <w:lang w:val="zh-CN"/>
        </w:rPr>
        <w:t xml:space="preserve">     /    。</w:t>
      </w:r>
    </w:p>
    <w:p w14:paraId="7CB8CB87">
      <w:pPr>
        <w:autoSpaceDE w:val="0"/>
        <w:autoSpaceDN w:val="0"/>
        <w:adjustRightInd w:val="0"/>
        <w:spacing w:line="360" w:lineRule="auto"/>
        <w:ind w:firstLine="420" w:firstLineChars="200"/>
        <w:rPr>
          <w:rFonts w:ascii="宋体" w:hAnsi="宋体" w:cs="宋体"/>
          <w:b/>
          <w:bCs/>
          <w:color w:val="auto"/>
          <w:highlight w:val="none"/>
          <w:u w:val="single"/>
          <w:lang w:val="zh-CN"/>
        </w:rPr>
      </w:pPr>
      <w:r>
        <w:rPr>
          <w:rFonts w:hint="eastAsia" w:ascii="宋体" w:hAnsi="宋体" w:cs="宋体"/>
          <w:color w:val="auto"/>
          <w:highlight w:val="none"/>
          <w:lang w:val="zh-CN"/>
        </w:rPr>
        <w:t>关于工程奖项的约定：</w:t>
      </w:r>
      <w:r>
        <w:rPr>
          <w:rFonts w:hint="eastAsia" w:ascii="宋体" w:hAnsi="宋体" w:cs="宋体"/>
          <w:b/>
          <w:bCs/>
          <w:color w:val="auto"/>
          <w:highlight w:val="none"/>
          <w:u w:val="single"/>
          <w:lang w:val="zh-CN"/>
        </w:rPr>
        <w:t xml:space="preserve">     /    。</w:t>
      </w:r>
    </w:p>
    <w:p w14:paraId="5864F154">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5.2质量保证措施</w:t>
      </w:r>
    </w:p>
    <w:p w14:paraId="338B03F3">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5.2.</w:t>
      </w:r>
      <w:r>
        <w:rPr>
          <w:rFonts w:ascii="宋体" w:hAnsi="宋体" w:cs="宋体"/>
          <w:color w:val="auto"/>
          <w:highlight w:val="none"/>
        </w:rPr>
        <w:t>1</w:t>
      </w:r>
      <w:r>
        <w:rPr>
          <w:rFonts w:hint="eastAsia" w:ascii="宋体" w:hAnsi="宋体" w:cs="宋体"/>
          <w:color w:val="auto"/>
          <w:highlight w:val="none"/>
        </w:rPr>
        <w:t xml:space="preserve">承包人必须严格按照施工图纸、工程技术要求及有关工程施工规范、规格和标准施工，并无条件的接受发包人委托的监理单位全方位、全过程的监督管理。无论监理工程师是否进行并通过了各项检验，均不解除承包人对自己承包的工程的质量所负的责任，除非质量问题是由非承包人原因。       </w:t>
      </w:r>
    </w:p>
    <w:p w14:paraId="77235259">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关于工程奖项的约定：</w:t>
      </w:r>
      <w:r>
        <w:rPr>
          <w:rFonts w:hint="eastAsia" w:ascii="宋体" w:hAnsi="宋体" w:cs="宋体"/>
          <w:color w:val="auto"/>
          <w:highlight w:val="none"/>
          <w:u w:val="single"/>
        </w:rPr>
        <w:t xml:space="preserve">工程质量达不到协议书中约定的质量标准的,没收全部的质量保证金作为违约金  </w:t>
      </w:r>
      <w:r>
        <w:rPr>
          <w:rFonts w:hint="eastAsia" w:ascii="宋体" w:hAnsi="宋体" w:cs="宋体"/>
          <w:color w:val="auto"/>
          <w:highlight w:val="none"/>
        </w:rPr>
        <w:t>。</w:t>
      </w:r>
    </w:p>
    <w:p w14:paraId="211B0EB4">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5.3隐蔽工程检查</w:t>
      </w:r>
    </w:p>
    <w:p w14:paraId="260FD84C">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5.3.</w:t>
      </w:r>
      <w:r>
        <w:rPr>
          <w:rFonts w:ascii="宋体" w:hAnsi="宋体" w:cs="宋体"/>
          <w:color w:val="auto"/>
          <w:highlight w:val="none"/>
          <w:lang w:val="zh-CN"/>
        </w:rPr>
        <w:t>1</w:t>
      </w:r>
      <w:r>
        <w:rPr>
          <w:rFonts w:hint="eastAsia" w:ascii="宋体" w:hAnsi="宋体" w:cs="宋体"/>
          <w:color w:val="auto"/>
          <w:highlight w:val="none"/>
          <w:lang w:val="zh-CN"/>
        </w:rPr>
        <w:t xml:space="preserve">承包人提前通知监理人隐蔽工程检查的期限的约定： </w:t>
      </w:r>
      <w:r>
        <w:rPr>
          <w:rFonts w:hint="eastAsia" w:ascii="宋体" w:hAnsi="宋体" w:cs="宋体"/>
          <w:b/>
          <w:bCs/>
          <w:color w:val="auto"/>
          <w:highlight w:val="none"/>
          <w:u w:val="single"/>
          <w:lang w:val="zh-CN"/>
        </w:rPr>
        <w:t>按本合同专用条款1.4.1所列的标准和规范进行隐蔽工程的验收。共同检查前</w:t>
      </w:r>
      <w:r>
        <w:rPr>
          <w:rFonts w:hint="eastAsia" w:ascii="宋体" w:hAnsi="宋体" w:cs="宋体"/>
          <w:b/>
          <w:bCs/>
          <w:color w:val="auto"/>
          <w:highlight w:val="none"/>
          <w:u w:val="single"/>
        </w:rPr>
        <w:t>48</w:t>
      </w:r>
      <w:r>
        <w:rPr>
          <w:rFonts w:hint="eastAsia" w:ascii="宋体" w:hAnsi="宋体" w:cs="宋体"/>
          <w:b/>
          <w:bCs/>
          <w:color w:val="auto"/>
          <w:highlight w:val="none"/>
          <w:u w:val="single"/>
          <w:lang w:val="zh-CN"/>
        </w:rPr>
        <w:t>小时书面通知监理人</w:t>
      </w:r>
      <w:r>
        <w:rPr>
          <w:rFonts w:hint="eastAsia" w:ascii="宋体" w:hAnsi="宋体" w:cs="宋体"/>
          <w:color w:val="auto"/>
          <w:highlight w:val="none"/>
          <w:lang w:val="zh-CN"/>
        </w:rPr>
        <w:t>。</w:t>
      </w:r>
    </w:p>
    <w:p w14:paraId="48E9AB55">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监理人不能按时进行检查时，应提前</w:t>
      </w:r>
      <w:r>
        <w:rPr>
          <w:rFonts w:hint="eastAsia" w:ascii="宋体" w:hAnsi="宋体" w:cs="宋体"/>
          <w:b/>
          <w:bCs/>
          <w:color w:val="auto"/>
          <w:highlight w:val="none"/>
          <w:u w:val="single"/>
          <w:lang w:val="zh-CN"/>
        </w:rPr>
        <w:t xml:space="preserve"> </w:t>
      </w:r>
      <w:r>
        <w:rPr>
          <w:rFonts w:hint="eastAsia" w:ascii="宋体" w:hAnsi="宋体" w:cs="宋体"/>
          <w:b/>
          <w:bCs/>
          <w:color w:val="auto"/>
          <w:highlight w:val="none"/>
          <w:u w:val="single"/>
        </w:rPr>
        <w:t xml:space="preserve">24 </w:t>
      </w:r>
      <w:r>
        <w:rPr>
          <w:rFonts w:hint="eastAsia" w:ascii="宋体" w:hAnsi="宋体" w:cs="宋体"/>
          <w:color w:val="auto"/>
          <w:highlight w:val="none"/>
          <w:lang w:val="zh-CN"/>
        </w:rPr>
        <w:t>小时提交书面延期要求。</w:t>
      </w:r>
    </w:p>
    <w:p w14:paraId="475EBFE8">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关于延期最长不得超过：</w:t>
      </w:r>
      <w:r>
        <w:rPr>
          <w:rFonts w:hint="eastAsia" w:ascii="宋体" w:hAnsi="宋体" w:cs="宋体"/>
          <w:color w:val="auto"/>
          <w:highlight w:val="none"/>
          <w:u w:val="single"/>
          <w:lang w:val="zh-CN"/>
        </w:rPr>
        <w:t xml:space="preserve"> </w:t>
      </w:r>
      <w:r>
        <w:rPr>
          <w:rFonts w:hint="eastAsia" w:ascii="宋体" w:hAnsi="宋体" w:cs="宋体"/>
          <w:b/>
          <w:bCs/>
          <w:color w:val="auto"/>
          <w:highlight w:val="none"/>
          <w:u w:val="single"/>
        </w:rPr>
        <w:t>48</w:t>
      </w:r>
      <w:r>
        <w:rPr>
          <w:rFonts w:hint="eastAsia" w:ascii="宋体" w:hAnsi="宋体" w:cs="宋体"/>
          <w:b/>
          <w:bCs/>
          <w:color w:val="auto"/>
          <w:highlight w:val="none"/>
          <w:u w:val="single"/>
          <w:lang w:val="zh-CN"/>
        </w:rPr>
        <w:t xml:space="preserve"> </w:t>
      </w:r>
      <w:r>
        <w:rPr>
          <w:rFonts w:hint="eastAsia" w:ascii="宋体" w:hAnsi="宋体" w:cs="宋体"/>
          <w:color w:val="auto"/>
          <w:highlight w:val="none"/>
          <w:lang w:val="zh-CN"/>
        </w:rPr>
        <w:t>小时。</w:t>
      </w:r>
    </w:p>
    <w:p w14:paraId="18F513EE">
      <w:pPr>
        <w:keepNext/>
        <w:keepLines/>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6.安全文明施工与环境保护</w:t>
      </w:r>
    </w:p>
    <w:p w14:paraId="0D0A537A">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6.1安全文明施工</w:t>
      </w:r>
    </w:p>
    <w:p w14:paraId="603123C5">
      <w:pPr>
        <w:autoSpaceDE w:val="0"/>
        <w:autoSpaceDN w:val="0"/>
        <w:adjustRightInd w:val="0"/>
        <w:spacing w:line="360" w:lineRule="auto"/>
        <w:ind w:firstLine="420" w:firstLineChars="200"/>
        <w:rPr>
          <w:rFonts w:ascii="宋体" w:hAnsi="宋体" w:cs="宋体"/>
          <w:color w:val="auto"/>
          <w:highlight w:val="none"/>
          <w:u w:val="single"/>
          <w:lang w:val="zh-CN"/>
        </w:rPr>
      </w:pPr>
      <w:r>
        <w:rPr>
          <w:rFonts w:hint="eastAsia" w:ascii="宋体" w:hAnsi="宋体" w:cs="宋体"/>
          <w:color w:val="auto"/>
          <w:highlight w:val="none"/>
          <w:lang w:val="zh-CN"/>
        </w:rPr>
        <w:t>6.1.1项目安全生产的达标目标及相应事项的约定：</w:t>
      </w:r>
    </w:p>
    <w:p w14:paraId="58361C19">
      <w:pPr>
        <w:autoSpaceDE w:val="0"/>
        <w:autoSpaceDN w:val="0"/>
        <w:adjustRightInd w:val="0"/>
        <w:spacing w:line="360" w:lineRule="auto"/>
        <w:ind w:firstLine="422" w:firstLineChars="200"/>
        <w:rPr>
          <w:rFonts w:ascii="宋体" w:hAnsi="宋体" w:cs="宋体"/>
          <w:b/>
          <w:bCs/>
          <w:color w:val="auto"/>
          <w:highlight w:val="none"/>
          <w:u w:val="single"/>
        </w:rPr>
      </w:pPr>
      <w:r>
        <w:rPr>
          <w:rFonts w:hint="eastAsia" w:ascii="宋体" w:hAnsi="宋体" w:cs="宋体"/>
          <w:b/>
          <w:bCs/>
          <w:color w:val="auto"/>
          <w:highlight w:val="none"/>
          <w:u w:val="single"/>
          <w:lang w:val="zh-CN"/>
        </w:rPr>
        <w:t>6</w:t>
      </w:r>
      <w:r>
        <w:rPr>
          <w:rFonts w:ascii="宋体" w:hAnsi="宋体" w:cs="宋体"/>
          <w:b/>
          <w:bCs/>
          <w:color w:val="auto"/>
          <w:highlight w:val="none"/>
          <w:u w:val="single"/>
          <w:lang w:val="zh-CN"/>
        </w:rPr>
        <w:t>.1.1.1</w:t>
      </w:r>
      <w:r>
        <w:rPr>
          <w:rFonts w:hint="eastAsia" w:ascii="宋体" w:hAnsi="宋体" w:cs="宋体"/>
          <w:b/>
          <w:bCs/>
          <w:color w:val="auto"/>
          <w:highlight w:val="none"/>
          <w:u w:val="single"/>
          <w:lang w:val="zh-CN"/>
        </w:rPr>
        <w:t>承包人应严格按《建设工程安全生产管理条例》等法律法规采取安全措施组织施工，如发生事故，责任概由承包人承担。</w:t>
      </w:r>
    </w:p>
    <w:p w14:paraId="2EE0DBA0">
      <w:pPr>
        <w:autoSpaceDE w:val="0"/>
        <w:autoSpaceDN w:val="0"/>
        <w:adjustRightInd w:val="0"/>
        <w:spacing w:line="360" w:lineRule="auto"/>
        <w:ind w:firstLine="422" w:firstLineChars="200"/>
        <w:rPr>
          <w:rFonts w:ascii="宋体" w:hAnsi="宋体" w:cs="宋体"/>
          <w:b/>
          <w:bCs/>
          <w:color w:val="auto"/>
          <w:highlight w:val="none"/>
          <w:u w:val="single"/>
          <w:lang w:val="zh-CN"/>
        </w:rPr>
      </w:pPr>
      <w:r>
        <w:rPr>
          <w:rFonts w:ascii="宋体" w:hAnsi="宋体" w:cs="宋体"/>
          <w:b/>
          <w:bCs/>
          <w:color w:val="auto"/>
          <w:highlight w:val="none"/>
          <w:u w:val="single"/>
          <w:lang w:val="zh-CN"/>
        </w:rPr>
        <w:t>6.1.1.2</w:t>
      </w:r>
      <w:r>
        <w:rPr>
          <w:rFonts w:hint="eastAsia" w:ascii="宋体" w:hAnsi="宋体" w:cs="宋体"/>
          <w:b/>
          <w:bCs/>
          <w:color w:val="auto"/>
          <w:highlight w:val="none"/>
          <w:u w:val="single"/>
          <w:lang w:val="zh-CN"/>
        </w:rPr>
        <w:t>承包人对施工现场的安全生产负总责。承包人在工地现场必须配备专职安全员，安全员应当经建设局或者其他有关部门考核合格后方可任职。　</w:t>
      </w:r>
    </w:p>
    <w:p w14:paraId="03565C39">
      <w:pPr>
        <w:autoSpaceDE w:val="0"/>
        <w:autoSpaceDN w:val="0"/>
        <w:adjustRightInd w:val="0"/>
        <w:spacing w:line="360" w:lineRule="auto"/>
        <w:ind w:firstLine="422" w:firstLineChars="200"/>
        <w:rPr>
          <w:rFonts w:ascii="宋体" w:hAnsi="宋体" w:cs="宋体"/>
          <w:b/>
          <w:bCs/>
          <w:color w:val="auto"/>
          <w:highlight w:val="none"/>
          <w:u w:val="single"/>
          <w:lang w:val="zh-CN"/>
        </w:rPr>
      </w:pPr>
      <w:r>
        <w:rPr>
          <w:rFonts w:hint="eastAsia" w:ascii="宋体" w:hAnsi="宋体" w:cs="宋体"/>
          <w:b/>
          <w:bCs/>
          <w:color w:val="auto"/>
          <w:highlight w:val="none"/>
          <w:u w:val="single"/>
          <w:lang w:val="zh-CN"/>
        </w:rPr>
        <w:t>6</w:t>
      </w:r>
      <w:r>
        <w:rPr>
          <w:rFonts w:ascii="宋体" w:hAnsi="宋体" w:cs="宋体"/>
          <w:b/>
          <w:bCs/>
          <w:color w:val="auto"/>
          <w:highlight w:val="none"/>
          <w:u w:val="single"/>
          <w:lang w:val="zh-CN"/>
        </w:rPr>
        <w:t>.1.1.3</w:t>
      </w:r>
      <w:r>
        <w:rPr>
          <w:rFonts w:hint="eastAsia" w:ascii="宋体" w:hAnsi="宋体" w:cs="宋体"/>
          <w:b/>
          <w:bCs/>
          <w:color w:val="auto"/>
          <w:highlight w:val="none"/>
          <w:u w:val="single"/>
          <w:lang w:val="zh-CN"/>
        </w:rPr>
        <w:t>承包人施工组织设计中必须编制专项安全技术措施和施工现场临时用电方案，对下列达到一定规模的危险性较大的分部分项工程编制专项施工方案，并附具安全验算结果，经施工单位技术负责人、总监理工程师审核签字后实施， 由专职安全员进行现场监督：基坑支护与降水工程；土方开挖工程；模板工程； 起重吊装工程；脚手架工程；拆除、爆破工程；国务院建设行政主管部门或者 其他有关部门规定的其他危险性较大的工程。承包人应严格执行《危险性较大的分部分项工程安全管理办法》（建质[2009]87 号）及《南通市市本级城建工程安全文明施工管理办法（试行）》（通城建指[2011]6 号）。</w:t>
      </w:r>
    </w:p>
    <w:p w14:paraId="231CBB0B">
      <w:pPr>
        <w:autoSpaceDE w:val="0"/>
        <w:autoSpaceDN w:val="0"/>
        <w:adjustRightInd w:val="0"/>
        <w:spacing w:line="360" w:lineRule="auto"/>
        <w:ind w:firstLine="422" w:firstLineChars="200"/>
        <w:rPr>
          <w:rFonts w:ascii="宋体" w:hAnsi="宋体" w:cs="宋体"/>
          <w:b/>
          <w:bCs/>
          <w:color w:val="auto"/>
          <w:highlight w:val="none"/>
          <w:u w:val="single"/>
          <w:lang w:val="zh-CN"/>
        </w:rPr>
      </w:pPr>
      <w:r>
        <w:rPr>
          <w:rFonts w:hint="eastAsia" w:ascii="宋体" w:hAnsi="宋体" w:cs="宋体"/>
          <w:b/>
          <w:bCs/>
          <w:color w:val="auto"/>
          <w:highlight w:val="none"/>
          <w:u w:val="single"/>
          <w:lang w:val="zh-CN"/>
        </w:rPr>
        <w:t>6</w:t>
      </w:r>
      <w:r>
        <w:rPr>
          <w:rFonts w:ascii="宋体" w:hAnsi="宋体" w:cs="宋体"/>
          <w:b/>
          <w:bCs/>
          <w:color w:val="auto"/>
          <w:highlight w:val="none"/>
          <w:u w:val="single"/>
          <w:lang w:val="zh-CN"/>
        </w:rPr>
        <w:t>.1.1.4</w:t>
      </w:r>
      <w:r>
        <w:rPr>
          <w:rFonts w:hint="eastAsia" w:ascii="宋体" w:hAnsi="宋体" w:cs="宋体"/>
          <w:b/>
          <w:bCs/>
          <w:color w:val="auto"/>
          <w:highlight w:val="none"/>
          <w:u w:val="single"/>
          <w:lang w:val="zh-CN"/>
        </w:rPr>
        <w:t>工程施工前，承包人负责项目管理的技术人员应当对有关安全施工的技术要求向施工作业班组、作业人员作出书面交底及详细说明，并由双方签字确认。</w:t>
      </w:r>
    </w:p>
    <w:p w14:paraId="204061A6">
      <w:pPr>
        <w:autoSpaceDE w:val="0"/>
        <w:autoSpaceDN w:val="0"/>
        <w:adjustRightInd w:val="0"/>
        <w:spacing w:line="360" w:lineRule="auto"/>
        <w:ind w:firstLine="422" w:firstLineChars="200"/>
        <w:rPr>
          <w:rFonts w:ascii="宋体" w:hAnsi="宋体" w:cs="宋体"/>
          <w:b/>
          <w:bCs/>
          <w:color w:val="auto"/>
          <w:highlight w:val="none"/>
          <w:u w:val="single"/>
          <w:lang w:val="zh-CN"/>
        </w:rPr>
      </w:pPr>
      <w:r>
        <w:rPr>
          <w:rFonts w:hint="eastAsia" w:ascii="宋体" w:hAnsi="宋体" w:cs="宋体"/>
          <w:b/>
          <w:bCs/>
          <w:color w:val="auto"/>
          <w:highlight w:val="none"/>
          <w:u w:val="single"/>
          <w:lang w:val="zh-CN"/>
        </w:rPr>
        <w:t>6</w:t>
      </w:r>
      <w:r>
        <w:rPr>
          <w:rFonts w:ascii="宋体" w:hAnsi="宋体" w:cs="宋体"/>
          <w:b/>
          <w:bCs/>
          <w:color w:val="auto"/>
          <w:highlight w:val="none"/>
          <w:u w:val="single"/>
          <w:lang w:val="zh-CN"/>
        </w:rPr>
        <w:t>.1.1.5</w:t>
      </w:r>
      <w:r>
        <w:rPr>
          <w:rFonts w:hint="eastAsia" w:ascii="宋体" w:hAnsi="宋体" w:cs="宋体"/>
          <w:b/>
          <w:bCs/>
          <w:color w:val="auto"/>
          <w:highlight w:val="none"/>
          <w:u w:val="single"/>
          <w:lang w:val="zh-CN"/>
        </w:rPr>
        <w:t>承包人使用的安全防护用具、机械设备、施工机具及配件，应当具有生产（制造）许可证、产品合格证，并在进入施工现场前进行查验，经监理工程师审查签字确认后方可使用。</w:t>
      </w:r>
    </w:p>
    <w:p w14:paraId="60EEF02C">
      <w:pPr>
        <w:autoSpaceDE w:val="0"/>
        <w:autoSpaceDN w:val="0"/>
        <w:adjustRightInd w:val="0"/>
        <w:spacing w:line="360" w:lineRule="auto"/>
        <w:ind w:firstLine="422" w:firstLineChars="200"/>
        <w:rPr>
          <w:rFonts w:ascii="宋体" w:hAnsi="宋体" w:cs="宋体"/>
          <w:b/>
          <w:bCs/>
          <w:color w:val="auto"/>
          <w:highlight w:val="none"/>
          <w:u w:val="single"/>
          <w:lang w:val="zh-CN"/>
        </w:rPr>
      </w:pPr>
      <w:r>
        <w:rPr>
          <w:rFonts w:hint="eastAsia" w:ascii="宋体" w:hAnsi="宋体" w:cs="宋体"/>
          <w:b/>
          <w:bCs/>
          <w:color w:val="auto"/>
          <w:highlight w:val="none"/>
          <w:u w:val="single"/>
          <w:lang w:val="zh-CN"/>
        </w:rPr>
        <w:t>6</w:t>
      </w:r>
      <w:r>
        <w:rPr>
          <w:rFonts w:ascii="宋体" w:hAnsi="宋体" w:cs="宋体"/>
          <w:b/>
          <w:bCs/>
          <w:color w:val="auto"/>
          <w:highlight w:val="none"/>
          <w:u w:val="single"/>
          <w:lang w:val="zh-CN"/>
        </w:rPr>
        <w:t>.1.1.6</w:t>
      </w:r>
      <w:r>
        <w:rPr>
          <w:rFonts w:hint="eastAsia" w:ascii="宋体" w:hAnsi="宋体" w:cs="宋体"/>
          <w:b/>
          <w:bCs/>
          <w:color w:val="auto"/>
          <w:highlight w:val="none"/>
          <w:u w:val="single"/>
          <w:lang w:val="zh-CN"/>
        </w:rPr>
        <w:t>特种作业人员，必须按照国家有关规定经过专门的安全作业培训，并取得特种作业操作资格证书后，方可上岗作业。</w:t>
      </w:r>
    </w:p>
    <w:p w14:paraId="4980C424">
      <w:pPr>
        <w:autoSpaceDE w:val="0"/>
        <w:autoSpaceDN w:val="0"/>
        <w:adjustRightInd w:val="0"/>
        <w:spacing w:line="360" w:lineRule="auto"/>
        <w:ind w:firstLine="422" w:firstLineChars="200"/>
        <w:rPr>
          <w:rFonts w:ascii="宋体" w:hAnsi="宋体" w:cs="宋体"/>
          <w:b/>
          <w:bCs/>
          <w:color w:val="auto"/>
          <w:highlight w:val="none"/>
          <w:u w:val="single"/>
          <w:lang w:val="zh-CN"/>
        </w:rPr>
      </w:pPr>
      <w:r>
        <w:rPr>
          <w:rFonts w:hint="eastAsia" w:ascii="宋体" w:hAnsi="宋体" w:cs="宋体"/>
          <w:b/>
          <w:bCs/>
          <w:color w:val="auto"/>
          <w:highlight w:val="none"/>
          <w:u w:val="single"/>
          <w:lang w:val="zh-CN"/>
        </w:rPr>
        <w:t>6</w:t>
      </w:r>
      <w:r>
        <w:rPr>
          <w:rFonts w:ascii="宋体" w:hAnsi="宋体" w:cs="宋体"/>
          <w:b/>
          <w:bCs/>
          <w:color w:val="auto"/>
          <w:highlight w:val="none"/>
          <w:u w:val="single"/>
          <w:lang w:val="zh-CN"/>
        </w:rPr>
        <w:t>.1.1.7</w:t>
      </w:r>
      <w:r>
        <w:rPr>
          <w:rFonts w:hint="eastAsia" w:ascii="宋体" w:hAnsi="宋体" w:cs="宋体"/>
          <w:b/>
          <w:bCs/>
          <w:color w:val="auto"/>
          <w:highlight w:val="none"/>
          <w:u w:val="single"/>
          <w:lang w:val="zh-CN"/>
        </w:rPr>
        <w:t>承包人对因建设工程施工可能造成损害的毗邻建筑物、构筑物和地下管线等，应当采取专项防护措施。承包人应当遵守有关环境保护法律、法规的规定，在施工现场采取措施，防止或者减少粉尘、废气、废水、固体废物、噪声、振动和施工照明对人和环境的危害和污染。</w:t>
      </w:r>
    </w:p>
    <w:p w14:paraId="6BF17217">
      <w:pPr>
        <w:autoSpaceDE w:val="0"/>
        <w:autoSpaceDN w:val="0"/>
        <w:adjustRightInd w:val="0"/>
        <w:spacing w:line="360" w:lineRule="auto"/>
        <w:ind w:firstLine="422" w:firstLineChars="200"/>
        <w:rPr>
          <w:rFonts w:ascii="宋体" w:hAnsi="宋体" w:cs="宋体"/>
          <w:b/>
          <w:bCs/>
          <w:color w:val="auto"/>
          <w:highlight w:val="none"/>
          <w:u w:val="single"/>
          <w:lang w:val="zh-CN"/>
        </w:rPr>
      </w:pPr>
      <w:r>
        <w:rPr>
          <w:rFonts w:hint="eastAsia" w:ascii="宋体" w:hAnsi="宋体" w:cs="宋体"/>
          <w:b/>
          <w:bCs/>
          <w:color w:val="auto"/>
          <w:highlight w:val="none"/>
          <w:u w:val="single"/>
          <w:lang w:val="zh-CN"/>
        </w:rPr>
        <w:t>6</w:t>
      </w:r>
      <w:r>
        <w:rPr>
          <w:rFonts w:ascii="宋体" w:hAnsi="宋体" w:cs="宋体"/>
          <w:b/>
          <w:bCs/>
          <w:color w:val="auto"/>
          <w:highlight w:val="none"/>
          <w:u w:val="single"/>
          <w:lang w:val="zh-CN"/>
        </w:rPr>
        <w:t>.1.1.8</w:t>
      </w:r>
      <w:r>
        <w:rPr>
          <w:rFonts w:hint="eastAsia" w:ascii="宋体" w:hAnsi="宋体" w:cs="宋体"/>
          <w:b/>
          <w:bCs/>
          <w:color w:val="auto"/>
          <w:highlight w:val="none"/>
          <w:u w:val="single"/>
          <w:lang w:val="zh-CN"/>
        </w:rPr>
        <w:t>承包人应当在施工现场建立消防安全责任制度，确定消防安全责任人，制定用火、用电、使用易燃易爆材料等各项消防安全管理制度和操作规程，设置消防通道、消防水源，配备消防设施和灭火器材，并在施工现场入口处设置明显标志。</w:t>
      </w:r>
    </w:p>
    <w:p w14:paraId="28B2D478">
      <w:pPr>
        <w:autoSpaceDE w:val="0"/>
        <w:autoSpaceDN w:val="0"/>
        <w:adjustRightInd w:val="0"/>
        <w:spacing w:line="360" w:lineRule="auto"/>
        <w:ind w:firstLine="422" w:firstLineChars="200"/>
        <w:rPr>
          <w:rFonts w:ascii="宋体" w:hAnsi="宋体" w:cs="宋体"/>
          <w:b/>
          <w:bCs/>
          <w:color w:val="auto"/>
          <w:highlight w:val="none"/>
          <w:u w:val="single"/>
          <w:lang w:val="zh-CN"/>
        </w:rPr>
      </w:pPr>
      <w:r>
        <w:rPr>
          <w:rFonts w:hint="eastAsia" w:ascii="宋体" w:hAnsi="宋体" w:cs="宋体"/>
          <w:b/>
          <w:bCs/>
          <w:color w:val="auto"/>
          <w:highlight w:val="none"/>
          <w:u w:val="single"/>
          <w:lang w:val="zh-CN"/>
        </w:rPr>
        <w:t>6</w:t>
      </w:r>
      <w:r>
        <w:rPr>
          <w:rFonts w:ascii="宋体" w:hAnsi="宋体" w:cs="宋体"/>
          <w:b/>
          <w:bCs/>
          <w:color w:val="auto"/>
          <w:highlight w:val="none"/>
          <w:u w:val="single"/>
          <w:lang w:val="zh-CN"/>
        </w:rPr>
        <w:t>.1.1.9</w:t>
      </w:r>
      <w:r>
        <w:rPr>
          <w:rFonts w:hint="eastAsia" w:ascii="宋体" w:hAnsi="宋体" w:cs="宋体"/>
          <w:b/>
          <w:bCs/>
          <w:color w:val="auto"/>
          <w:highlight w:val="none"/>
          <w:u w:val="single"/>
          <w:lang w:val="zh-CN"/>
        </w:rPr>
        <w:t>在施工期间，由于承包人原因造成的事故，需承担全部责任及由此引起的一切费用，发包人不承担任何责任。</w:t>
      </w:r>
    </w:p>
    <w:p w14:paraId="6F8DB9A9">
      <w:pPr>
        <w:autoSpaceDE w:val="0"/>
        <w:autoSpaceDN w:val="0"/>
        <w:adjustRightInd w:val="0"/>
        <w:spacing w:line="360" w:lineRule="auto"/>
        <w:ind w:firstLine="422" w:firstLineChars="200"/>
        <w:rPr>
          <w:rFonts w:ascii="宋体" w:hAnsi="宋体" w:cs="宋体"/>
          <w:b/>
          <w:bCs/>
          <w:color w:val="auto"/>
          <w:highlight w:val="none"/>
          <w:u w:val="single"/>
          <w:lang w:val="zh-CN"/>
        </w:rPr>
      </w:pPr>
      <w:r>
        <w:rPr>
          <w:rFonts w:hint="eastAsia" w:ascii="宋体" w:hAnsi="宋体" w:cs="宋体"/>
          <w:b/>
          <w:bCs/>
          <w:color w:val="auto"/>
          <w:highlight w:val="none"/>
          <w:u w:val="single"/>
          <w:lang w:val="zh-CN"/>
        </w:rPr>
        <w:t>6</w:t>
      </w:r>
      <w:r>
        <w:rPr>
          <w:rFonts w:ascii="宋体" w:hAnsi="宋体" w:cs="宋体"/>
          <w:b/>
          <w:bCs/>
          <w:color w:val="auto"/>
          <w:highlight w:val="none"/>
          <w:u w:val="single"/>
          <w:lang w:val="zh-CN"/>
        </w:rPr>
        <w:t>.1.1.10</w:t>
      </w:r>
      <w:r>
        <w:rPr>
          <w:rFonts w:hint="eastAsia" w:ascii="宋体" w:hAnsi="宋体" w:cs="宋体"/>
          <w:b/>
          <w:bCs/>
          <w:color w:val="auto"/>
          <w:highlight w:val="none"/>
          <w:u w:val="single"/>
          <w:lang w:val="zh-CN"/>
        </w:rPr>
        <w:t>如生活区和办公区采用活动板房搭设的，严格执行《建设工程施工现场消防安全技术规范》以及南通市建设安全生产监督 站《关于加强建设工程施工现场活动板房安全管理的通知》（通 建安监[2011]17 号）等规定，其中板材及顶棚的夹芯材料必须全部采用不燃材料，并送检测机构进行燃烧性能检测，达到不燃级别方可使用。该材料的检测由中标人自行委托，费用自行考虑。</w:t>
      </w:r>
    </w:p>
    <w:p w14:paraId="2B187FD5">
      <w:pPr>
        <w:spacing w:line="360" w:lineRule="auto"/>
        <w:ind w:firstLine="422" w:firstLineChars="200"/>
        <w:rPr>
          <w:rFonts w:ascii="宋体" w:hAnsi="宋体" w:cs="宋体"/>
          <w:bCs/>
          <w:color w:val="auto"/>
          <w:highlight w:val="none"/>
          <w:u w:val="single"/>
        </w:rPr>
      </w:pPr>
      <w:r>
        <w:rPr>
          <w:rFonts w:hint="eastAsia" w:ascii="宋体" w:hAnsi="宋体" w:cs="宋体"/>
          <w:b/>
          <w:bCs/>
          <w:color w:val="auto"/>
          <w:highlight w:val="none"/>
          <w:u w:val="single"/>
          <w:lang w:val="zh-CN"/>
        </w:rPr>
        <w:t>6</w:t>
      </w:r>
      <w:r>
        <w:rPr>
          <w:rFonts w:ascii="宋体" w:hAnsi="宋体" w:cs="宋体"/>
          <w:b/>
          <w:bCs/>
          <w:color w:val="auto"/>
          <w:highlight w:val="none"/>
          <w:u w:val="single"/>
          <w:lang w:val="zh-CN"/>
        </w:rPr>
        <w:t>.1.1.11</w:t>
      </w:r>
      <w:r>
        <w:rPr>
          <w:rFonts w:hint="eastAsia" w:ascii="宋体" w:hAnsi="宋体" w:cs="宋体"/>
          <w:b/>
          <w:bCs/>
          <w:color w:val="auto"/>
          <w:highlight w:val="none"/>
          <w:u w:val="single"/>
          <w:lang w:val="zh-CN"/>
        </w:rPr>
        <w:t>未能达到上述6</w:t>
      </w:r>
      <w:r>
        <w:rPr>
          <w:rFonts w:ascii="宋体" w:hAnsi="宋体" w:cs="宋体"/>
          <w:b/>
          <w:bCs/>
          <w:color w:val="auto"/>
          <w:highlight w:val="none"/>
          <w:u w:val="single"/>
          <w:lang w:val="zh-CN"/>
        </w:rPr>
        <w:t>.1.1.1</w:t>
      </w:r>
      <w:r>
        <w:rPr>
          <w:rFonts w:hint="eastAsia" w:ascii="宋体" w:hAnsi="宋体" w:cs="宋体"/>
          <w:b/>
          <w:bCs/>
          <w:color w:val="auto"/>
          <w:highlight w:val="none"/>
          <w:u w:val="single"/>
          <w:lang w:val="zh-CN"/>
        </w:rPr>
        <w:t>-6</w:t>
      </w:r>
      <w:r>
        <w:rPr>
          <w:rFonts w:ascii="宋体" w:hAnsi="宋体" w:cs="宋体"/>
          <w:b/>
          <w:bCs/>
          <w:color w:val="auto"/>
          <w:highlight w:val="none"/>
          <w:u w:val="single"/>
          <w:lang w:val="zh-CN"/>
        </w:rPr>
        <w:t>.1.1.10</w:t>
      </w:r>
      <w:r>
        <w:rPr>
          <w:rFonts w:hint="eastAsia" w:ascii="宋体" w:hAnsi="宋体" w:cs="宋体"/>
          <w:b/>
          <w:bCs/>
          <w:color w:val="auto"/>
          <w:highlight w:val="none"/>
          <w:u w:val="single"/>
          <w:lang w:val="zh-CN"/>
        </w:rPr>
        <w:t>条要求，发包人有权扣除承包人的全部安全文明施</w:t>
      </w:r>
      <w:r>
        <w:rPr>
          <w:rFonts w:hint="eastAsia" w:ascii="宋体" w:hAnsi="宋体" w:cs="宋体"/>
          <w:bCs/>
          <w:color w:val="auto"/>
          <w:highlight w:val="none"/>
          <w:u w:val="single"/>
        </w:rPr>
        <w:t>工</w:t>
      </w:r>
      <w:r>
        <w:rPr>
          <w:rFonts w:hint="eastAsia" w:ascii="宋体" w:hAnsi="宋体" w:cs="宋体"/>
          <w:b/>
          <w:bCs/>
          <w:color w:val="auto"/>
          <w:highlight w:val="none"/>
          <w:u w:val="single"/>
          <w:lang w:val="zh-CN"/>
        </w:rPr>
        <w:t>履约保证金，情节严重者，列入不诚信企业名录。</w:t>
      </w:r>
    </w:p>
    <w:p w14:paraId="65ECD688">
      <w:pPr>
        <w:autoSpaceDE w:val="0"/>
        <w:autoSpaceDN w:val="0"/>
        <w:adjustRightInd w:val="0"/>
        <w:spacing w:line="360" w:lineRule="auto"/>
        <w:ind w:firstLine="420" w:firstLineChars="200"/>
        <w:rPr>
          <w:rFonts w:ascii="宋体" w:hAnsi="宋体" w:cs="宋体"/>
          <w:b/>
          <w:bCs/>
          <w:color w:val="auto"/>
          <w:highlight w:val="none"/>
          <w:u w:val="single"/>
        </w:rPr>
      </w:pPr>
      <w:r>
        <w:rPr>
          <w:rFonts w:hint="eastAsia" w:ascii="宋体" w:hAnsi="宋体" w:cs="宋体"/>
          <w:color w:val="auto"/>
          <w:highlight w:val="none"/>
          <w:lang w:val="zh-CN"/>
        </w:rPr>
        <w:t>6.1.</w:t>
      </w:r>
      <w:r>
        <w:rPr>
          <w:rFonts w:ascii="宋体" w:hAnsi="宋体" w:cs="宋体"/>
          <w:color w:val="auto"/>
          <w:highlight w:val="none"/>
          <w:lang w:val="zh-CN"/>
        </w:rPr>
        <w:t>2</w:t>
      </w:r>
      <w:r>
        <w:rPr>
          <w:rFonts w:hint="eastAsia" w:ascii="宋体" w:hAnsi="宋体" w:cs="宋体"/>
          <w:color w:val="auto"/>
          <w:highlight w:val="none"/>
          <w:lang w:val="zh-CN"/>
        </w:rPr>
        <w:t>关于治安保卫的特别约定：</w:t>
      </w:r>
      <w:r>
        <w:rPr>
          <w:rFonts w:hint="eastAsia" w:ascii="宋体" w:hAnsi="宋体" w:cs="宋体"/>
          <w:b/>
          <w:color w:val="auto"/>
          <w:highlight w:val="none"/>
          <w:u w:val="single"/>
          <w:lang w:val="zh-CN"/>
        </w:rPr>
        <w:t>承包人必须在施工现场入口处、施工起重机械、临时用电设施、脚手架、出入通道口、孔洞口、桥梁口、基坑边沿等危险部位，设置明显的安全警示标志且必须符合国家标准。</w:t>
      </w:r>
      <w:r>
        <w:rPr>
          <w:rFonts w:hint="eastAsia" w:ascii="宋体" w:hAnsi="宋体" w:cs="宋体"/>
          <w:b/>
          <w:bCs/>
          <w:color w:val="auto"/>
          <w:highlight w:val="none"/>
          <w:u w:val="single"/>
          <w:lang w:val="zh-CN"/>
        </w:rPr>
        <w:t>施工期间承包人按发包人要求做好成品保护工作；未竣工或已竣工工程未交付发包人之前，负责已完成工程的保护工作，所需费用含在合同价内。对需要保护的产品和材料须保护期内发生损坏由承包人无条件、自费、限期予以修补。竣工合格交付后由发包人负责保护，如发包人有特殊要求的可另行补充协议加以约定。</w:t>
      </w:r>
    </w:p>
    <w:p w14:paraId="49EF1C89">
      <w:pPr>
        <w:autoSpaceDE w:val="0"/>
        <w:autoSpaceDN w:val="0"/>
        <w:adjustRightInd w:val="0"/>
        <w:spacing w:line="360" w:lineRule="auto"/>
        <w:ind w:firstLine="420" w:firstLineChars="200"/>
        <w:rPr>
          <w:rFonts w:ascii="宋体" w:hAnsi="宋体" w:cs="宋体"/>
          <w:b/>
          <w:bCs/>
          <w:color w:val="auto"/>
          <w:highlight w:val="none"/>
          <w:u w:val="single"/>
        </w:rPr>
      </w:pPr>
      <w:r>
        <w:rPr>
          <w:rFonts w:hint="eastAsia" w:ascii="宋体" w:hAnsi="宋体" w:cs="宋体"/>
          <w:color w:val="auto"/>
          <w:highlight w:val="none"/>
          <w:lang w:val="zh-CN"/>
        </w:rPr>
        <w:t>关于编制施工场地治安管理计划的约定：</w:t>
      </w:r>
      <w:r>
        <w:rPr>
          <w:rFonts w:hint="eastAsia" w:ascii="宋体" w:hAnsi="宋体" w:cs="宋体"/>
          <w:b/>
          <w:bCs/>
          <w:color w:val="auto"/>
          <w:highlight w:val="none"/>
          <w:u w:val="single"/>
        </w:rPr>
        <w:t xml:space="preserve"> </w:t>
      </w:r>
      <w:r>
        <w:rPr>
          <w:rFonts w:hint="eastAsia" w:ascii="宋体" w:hAnsi="宋体" w:cs="宋体"/>
          <w:b/>
          <w:bCs/>
          <w:color w:val="auto"/>
          <w:highlight w:val="none"/>
          <w:u w:val="single"/>
          <w:lang w:val="zh-CN"/>
        </w:rPr>
        <w:t>开工前3天提供施工场地治安管理计划，需得到发包人和监理方的认可。</w:t>
      </w:r>
    </w:p>
    <w:p w14:paraId="75269AA5">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6.1.</w:t>
      </w:r>
      <w:r>
        <w:rPr>
          <w:rFonts w:ascii="宋体" w:hAnsi="宋体" w:cs="宋体"/>
          <w:color w:val="auto"/>
          <w:highlight w:val="none"/>
          <w:lang w:val="zh-CN"/>
        </w:rPr>
        <w:t>3</w:t>
      </w:r>
      <w:r>
        <w:rPr>
          <w:rFonts w:hint="eastAsia" w:ascii="宋体" w:hAnsi="宋体" w:cs="宋体"/>
          <w:color w:val="auto"/>
          <w:highlight w:val="none"/>
          <w:lang w:val="zh-CN"/>
        </w:rPr>
        <w:t>文明施工</w:t>
      </w:r>
    </w:p>
    <w:p w14:paraId="650794D7">
      <w:pPr>
        <w:autoSpaceDE w:val="0"/>
        <w:autoSpaceDN w:val="0"/>
        <w:adjustRightInd w:val="0"/>
        <w:spacing w:line="360" w:lineRule="auto"/>
        <w:ind w:firstLine="420" w:firstLineChars="200"/>
        <w:rPr>
          <w:rFonts w:ascii="宋体" w:hAnsi="宋体" w:cs="宋体"/>
          <w:b/>
          <w:color w:val="auto"/>
          <w:highlight w:val="none"/>
          <w:u w:val="single"/>
        </w:rPr>
      </w:pPr>
      <w:r>
        <w:rPr>
          <w:rFonts w:hint="eastAsia" w:ascii="宋体" w:hAnsi="宋体" w:cs="宋体"/>
          <w:color w:val="auto"/>
          <w:highlight w:val="none"/>
        </w:rPr>
        <w:t>合同当事人对文明施工的要求：</w:t>
      </w:r>
      <w:r>
        <w:rPr>
          <w:rFonts w:hint="eastAsia" w:ascii="宋体" w:hAnsi="宋体" w:cs="宋体"/>
          <w:b/>
          <w:color w:val="auto"/>
          <w:highlight w:val="none"/>
          <w:u w:val="single"/>
        </w:rPr>
        <w:t>承包人必须按文明工地要求，做好场地清理及相关工作，配合业主创文创卫等文明检查工作并承担相关费用。施工现场的材料堆放要整齐，机械停放有序，做到工完料清；遵守环境卫生管理的有关规定，符合清洁卫生要求；定期地将所有建筑垃圾从施工场地清除，并运出场外；交工前，将所有剩余的建筑材料运走或运至指定地点堆放，将所有施工机械和设备从施工场地运走。上述费用包含在合同价中。未能达到上述要求发包人有权扣除承包人安全文明施工履约保证金的50%。若承包人现场施工作业面、办公区、生活区内清洁卫生满足不了文明施工要求，发包人有权安排其它单位或个人打扫，按具体发生的费用2倍及以上从进度款中扣除。</w:t>
      </w:r>
    </w:p>
    <w:p w14:paraId="6EE5E155">
      <w:pPr>
        <w:autoSpaceDE w:val="0"/>
        <w:autoSpaceDN w:val="0"/>
        <w:adjustRightInd w:val="0"/>
        <w:spacing w:line="360" w:lineRule="auto"/>
        <w:ind w:firstLine="422" w:firstLineChars="200"/>
        <w:rPr>
          <w:rFonts w:ascii="宋体" w:hAnsi="宋体" w:cs="宋体"/>
          <w:b/>
          <w:color w:val="auto"/>
          <w:highlight w:val="none"/>
          <w:u w:val="single"/>
        </w:rPr>
      </w:pPr>
      <w:r>
        <w:rPr>
          <w:rFonts w:hint="eastAsia" w:ascii="宋体" w:hAnsi="宋体" w:cs="宋体"/>
          <w:b/>
          <w:color w:val="auto"/>
          <w:highlight w:val="none"/>
          <w:u w:val="single"/>
        </w:rPr>
        <w:t>承包人必须服从发包人现场的统一管理和协调，做到文明施工。施工现场要设立标语、标牌，做到文明施工，树立企业形象，主动接受社会监督和有关部门的管理。承包人承诺在本工程施工过程中，保证做到文明、安全施工，并遵守南通市建筑安全生产监督站关于印发《南通市区市政工程施工现场安全检查评分暂行标准》的通知（通建安建〔2004〕12号。</w:t>
      </w:r>
    </w:p>
    <w:p w14:paraId="040262EF">
      <w:pPr>
        <w:spacing w:line="360" w:lineRule="auto"/>
        <w:ind w:firstLine="422" w:firstLineChars="200"/>
        <w:rPr>
          <w:rFonts w:ascii="宋体" w:hAnsi="宋体" w:cs="宋体"/>
          <w:b/>
          <w:bCs/>
          <w:color w:val="auto"/>
          <w:highlight w:val="none"/>
          <w:u w:val="single"/>
        </w:rPr>
      </w:pPr>
      <w:r>
        <w:rPr>
          <w:rFonts w:hint="eastAsia" w:ascii="宋体" w:hAnsi="宋体" w:cs="宋体"/>
          <w:b/>
          <w:color w:val="auto"/>
          <w:highlight w:val="none"/>
          <w:u w:val="single"/>
        </w:rPr>
        <w:t>现场施工扬尘控制，必须严格按《南通市城乡建设局建筑工地扬尘集中整治“百日行动”方案》的通知，通建安（2014）422号文要求逐项落实，现场应编制“扬尘”控制专项方案报监理方审核，如措施不到位，每处次罚款2000元。</w:t>
      </w:r>
    </w:p>
    <w:p w14:paraId="6A9A1169">
      <w:pPr>
        <w:tabs>
          <w:tab w:val="left" w:pos="532"/>
        </w:tabs>
        <w:autoSpaceDE w:val="0"/>
        <w:autoSpaceDN w:val="0"/>
        <w:adjustRightInd w:val="0"/>
        <w:spacing w:line="360" w:lineRule="auto"/>
        <w:ind w:firstLine="420" w:firstLineChars="200"/>
        <w:rPr>
          <w:rFonts w:ascii="宋体" w:hAnsi="宋体" w:cs="宋体"/>
          <w:b/>
          <w:bCs/>
          <w:color w:val="auto"/>
          <w:highlight w:val="none"/>
          <w:u w:val="single"/>
          <w:lang w:val="zh-CN"/>
        </w:rPr>
      </w:pPr>
      <w:r>
        <w:rPr>
          <w:rFonts w:hint="eastAsia" w:ascii="宋体" w:hAnsi="宋体" w:cs="宋体"/>
          <w:color w:val="auto"/>
          <w:highlight w:val="none"/>
          <w:lang w:val="zh-CN"/>
        </w:rPr>
        <w:t>6.1.</w:t>
      </w:r>
      <w:r>
        <w:rPr>
          <w:rFonts w:ascii="宋体" w:hAnsi="宋体" w:cs="宋体"/>
          <w:color w:val="auto"/>
          <w:highlight w:val="none"/>
          <w:lang w:val="zh-CN"/>
        </w:rPr>
        <w:t>4</w:t>
      </w:r>
      <w:r>
        <w:rPr>
          <w:rFonts w:hint="eastAsia" w:ascii="宋体" w:hAnsi="宋体" w:cs="宋体"/>
          <w:color w:val="auto"/>
          <w:highlight w:val="none"/>
          <w:lang w:val="zh-CN"/>
        </w:rPr>
        <w:t xml:space="preserve"> 关于安全文明施工费支付比例和支付期限的约定：</w:t>
      </w:r>
      <w:r>
        <w:rPr>
          <w:rFonts w:hint="eastAsia" w:ascii="宋体" w:hAnsi="宋体" w:cs="宋体"/>
          <w:color w:val="auto"/>
          <w:highlight w:val="none"/>
          <w:u w:val="single"/>
          <w:lang w:val="zh-CN"/>
        </w:rPr>
        <w:t xml:space="preserve"> </w:t>
      </w:r>
      <w:r>
        <w:rPr>
          <w:rFonts w:hint="eastAsia" w:ascii="宋体" w:hAnsi="宋体" w:cs="宋体"/>
          <w:b/>
          <w:bCs/>
          <w:color w:val="auto"/>
          <w:highlight w:val="none"/>
          <w:u w:val="single"/>
          <w:lang w:val="zh-CN"/>
        </w:rPr>
        <w:t>已包含在合同价中，在工程进度款中支付，其余按通用条款</w:t>
      </w:r>
      <w:r>
        <w:rPr>
          <w:rFonts w:hint="eastAsia" w:ascii="宋体" w:hAnsi="宋体" w:cs="宋体"/>
          <w:b/>
          <w:bCs/>
          <w:color w:val="auto"/>
          <w:highlight w:val="none"/>
          <w:u w:val="single"/>
        </w:rPr>
        <w:t xml:space="preserve"> </w:t>
      </w:r>
      <w:r>
        <w:rPr>
          <w:rFonts w:hint="eastAsia" w:ascii="宋体" w:hAnsi="宋体" w:cs="宋体"/>
          <w:b/>
          <w:bCs/>
          <w:color w:val="auto"/>
          <w:highlight w:val="none"/>
          <w:u w:val="single"/>
          <w:lang w:val="zh-CN"/>
        </w:rPr>
        <w:t>。</w:t>
      </w:r>
    </w:p>
    <w:p w14:paraId="339AD7E4">
      <w:pPr>
        <w:spacing w:after="120" w:line="360" w:lineRule="auto"/>
        <w:ind w:firstLine="420" w:firstLineChars="200"/>
        <w:rPr>
          <w:rFonts w:ascii="宋体" w:hAnsi="宋体" w:cs="宋体"/>
          <w:color w:val="auto"/>
          <w:highlight w:val="none"/>
        </w:rPr>
      </w:pPr>
      <w:r>
        <w:rPr>
          <w:rFonts w:hint="eastAsia" w:ascii="宋体" w:hAnsi="宋体" w:cs="宋体"/>
          <w:color w:val="auto"/>
          <w:highlight w:val="none"/>
        </w:rPr>
        <w:t>6.1.</w:t>
      </w:r>
      <w:r>
        <w:rPr>
          <w:rFonts w:ascii="宋体" w:hAnsi="宋体" w:cs="宋体"/>
          <w:color w:val="auto"/>
          <w:highlight w:val="none"/>
        </w:rPr>
        <w:t>5</w:t>
      </w:r>
      <w:r>
        <w:rPr>
          <w:rFonts w:hint="eastAsia" w:ascii="宋体" w:hAnsi="宋体" w:cs="宋体"/>
          <w:color w:val="auto"/>
          <w:highlight w:val="none"/>
        </w:rPr>
        <w:t>安全生产责任</w:t>
      </w:r>
    </w:p>
    <w:p w14:paraId="56590B23">
      <w:pPr>
        <w:spacing w:line="360" w:lineRule="auto"/>
        <w:ind w:firstLine="422" w:firstLineChars="200"/>
        <w:rPr>
          <w:rFonts w:ascii="宋体" w:hAnsi="宋体" w:cs="宋体"/>
          <w:b/>
          <w:bCs/>
          <w:color w:val="auto"/>
          <w:highlight w:val="none"/>
          <w:u w:val="single"/>
          <w:lang w:val="zh-CN"/>
        </w:rPr>
      </w:pPr>
      <w:r>
        <w:rPr>
          <w:rFonts w:hint="eastAsia" w:ascii="宋体" w:hAnsi="宋体" w:cs="宋体"/>
          <w:b/>
          <w:bCs/>
          <w:color w:val="auto"/>
          <w:highlight w:val="none"/>
          <w:u w:val="single"/>
          <w:lang w:val="zh-CN"/>
        </w:rPr>
        <w:t>承包人应严格按《建设工程安全生产管理条例》等法律、法规采取安全措施、组织施工，承包人须对本合同范围内所有施工范围和施工人员负全部安全施工责任。承包人应严格按工程建设安全生产地有关管理规定，采取安全措施组织施工。若发生安全事故，一切责任由承包方承担。</w:t>
      </w:r>
    </w:p>
    <w:p w14:paraId="310D183B">
      <w:pPr>
        <w:spacing w:line="360" w:lineRule="auto"/>
        <w:ind w:firstLine="422" w:firstLineChars="200"/>
        <w:rPr>
          <w:rFonts w:ascii="宋体" w:hAnsi="宋体" w:cs="宋体"/>
          <w:b/>
          <w:bCs/>
          <w:color w:val="auto"/>
          <w:highlight w:val="none"/>
          <w:u w:val="single"/>
          <w:lang w:val="zh-CN"/>
        </w:rPr>
      </w:pPr>
      <w:r>
        <w:rPr>
          <w:rFonts w:hint="eastAsia" w:ascii="宋体" w:hAnsi="宋体" w:cs="宋体"/>
          <w:b/>
          <w:bCs/>
          <w:color w:val="auto"/>
          <w:highlight w:val="none"/>
          <w:u w:val="single"/>
          <w:lang w:val="zh-CN"/>
        </w:rPr>
        <w:t>承包人对因工程施工可能造成损害的毗邻建筑物、构筑物和地下管线等，应当采取专项防护措施。承包人应当遵守有关环境保护法律、法规的规定，在施工现场采取措施，防止或减少粉尘、废气、废水、固体废物、噪声、振动和施工照明对人和环境的危害和污染。</w:t>
      </w:r>
    </w:p>
    <w:p w14:paraId="5E675318">
      <w:pPr>
        <w:spacing w:line="360" w:lineRule="auto"/>
        <w:ind w:firstLine="422" w:firstLineChars="200"/>
        <w:rPr>
          <w:rFonts w:ascii="宋体" w:hAnsi="宋体" w:cs="宋体"/>
          <w:b/>
          <w:bCs/>
          <w:color w:val="auto"/>
          <w:highlight w:val="none"/>
          <w:u w:val="single"/>
          <w:lang w:val="zh-CN"/>
        </w:rPr>
      </w:pPr>
      <w:r>
        <w:rPr>
          <w:rFonts w:hint="eastAsia" w:ascii="宋体" w:hAnsi="宋体" w:cs="宋体"/>
          <w:b/>
          <w:bCs/>
          <w:color w:val="auto"/>
          <w:highlight w:val="none"/>
          <w:u w:val="single"/>
          <w:lang w:val="zh-CN"/>
        </w:rPr>
        <w:t>承包人必须建立完善的消防管理制度，并有专人负责现场的消防管理，施工现场须配备足够的消防器材，满足消防要求。承包人应当在施工现场建立消防安全责任制，确定消防安全责任人，制定用火、用电，使用易燃易爆材料等各项消防安全管理制度和操作规程，设置消防通道、消防水源，配备消防设施和灭火器材，并在施工现场设置明显标志。</w:t>
      </w:r>
    </w:p>
    <w:p w14:paraId="3CEB9A62">
      <w:pPr>
        <w:autoSpaceDE w:val="0"/>
        <w:autoSpaceDN w:val="0"/>
        <w:adjustRightInd w:val="0"/>
        <w:spacing w:line="360" w:lineRule="auto"/>
        <w:ind w:firstLine="422" w:firstLineChars="200"/>
        <w:rPr>
          <w:rFonts w:ascii="宋体" w:hAnsi="宋体" w:cs="宋体"/>
          <w:b/>
          <w:bCs/>
          <w:color w:val="auto"/>
          <w:highlight w:val="none"/>
          <w:u w:val="single"/>
        </w:rPr>
      </w:pPr>
      <w:r>
        <w:rPr>
          <w:rFonts w:hint="eastAsia" w:ascii="宋体" w:hAnsi="宋体" w:cs="宋体"/>
          <w:b/>
          <w:bCs/>
          <w:color w:val="auto"/>
          <w:highlight w:val="none"/>
          <w:lang w:val="zh-CN"/>
        </w:rPr>
        <w:t>7.工期和进度</w:t>
      </w:r>
    </w:p>
    <w:p w14:paraId="358E7333">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7.1施工组织设计</w:t>
      </w:r>
    </w:p>
    <w:p w14:paraId="34E63DF3">
      <w:pPr>
        <w:autoSpaceDE w:val="0"/>
        <w:autoSpaceDN w:val="0"/>
        <w:adjustRightInd w:val="0"/>
        <w:spacing w:line="360" w:lineRule="auto"/>
        <w:ind w:firstLine="420" w:firstLineChars="200"/>
        <w:jc w:val="left"/>
        <w:rPr>
          <w:rFonts w:ascii="宋体" w:hAnsi="宋体" w:cs="宋体"/>
          <w:color w:val="auto"/>
          <w:highlight w:val="none"/>
        </w:rPr>
      </w:pPr>
      <w:r>
        <w:rPr>
          <w:rFonts w:hint="eastAsia" w:ascii="宋体" w:hAnsi="宋体" w:cs="宋体"/>
          <w:color w:val="auto"/>
          <w:highlight w:val="none"/>
        </w:rPr>
        <w:t>7.1.1合同当事人约定的施工组织设计应包括的其他内容：</w:t>
      </w:r>
      <w:r>
        <w:rPr>
          <w:rFonts w:hint="eastAsia" w:ascii="宋体" w:hAnsi="宋体" w:cs="宋体"/>
          <w:b/>
          <w:color w:val="auto"/>
          <w:spacing w:val="-2"/>
          <w:highlight w:val="none"/>
          <w:u w:val="single"/>
        </w:rPr>
        <w:t>承包人在中标后3日内必须提交详细的施工组织设计，报发包人及总监审批，施工组织设计经发包人及监理认可后方可开工。施工组织设计将作为工程款支付的参考依据之一</w:t>
      </w:r>
      <w:r>
        <w:rPr>
          <w:rFonts w:hint="eastAsia" w:ascii="宋体" w:hAnsi="宋体" w:cs="宋体"/>
          <w:color w:val="auto"/>
          <w:highlight w:val="none"/>
          <w:u w:val="single"/>
        </w:rPr>
        <w:t xml:space="preserve">  </w:t>
      </w:r>
      <w:r>
        <w:rPr>
          <w:rFonts w:hint="eastAsia" w:ascii="宋体" w:hAnsi="宋体" w:cs="宋体"/>
          <w:color w:val="auto"/>
          <w:highlight w:val="none"/>
        </w:rPr>
        <w:t>。</w:t>
      </w:r>
    </w:p>
    <w:p w14:paraId="7FE3659F">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7.1.2施工组织设计的提交和修改</w:t>
      </w:r>
    </w:p>
    <w:p w14:paraId="51BE7681">
      <w:pPr>
        <w:spacing w:line="360" w:lineRule="auto"/>
        <w:ind w:firstLine="420" w:firstLineChars="200"/>
        <w:rPr>
          <w:rFonts w:ascii="宋体" w:hAnsi="宋体" w:cs="宋体"/>
          <w:color w:val="auto"/>
          <w:highlight w:val="none"/>
          <w:u w:val="single"/>
        </w:rPr>
      </w:pPr>
      <w:r>
        <w:rPr>
          <w:rFonts w:hint="eastAsia" w:ascii="宋体" w:hAnsi="宋体" w:cs="宋体"/>
          <w:color w:val="auto"/>
          <w:highlight w:val="none"/>
        </w:rPr>
        <w:t>承包人提交详细施工组织设计的期限的约定：</w:t>
      </w:r>
      <w:r>
        <w:rPr>
          <w:rFonts w:hint="eastAsia" w:ascii="宋体" w:hAnsi="宋体" w:cs="宋体"/>
          <w:color w:val="auto"/>
          <w:highlight w:val="none"/>
          <w:u w:val="single"/>
        </w:rPr>
        <w:t xml:space="preserve">  </w:t>
      </w:r>
      <w:r>
        <w:rPr>
          <w:rFonts w:hint="eastAsia" w:ascii="宋体" w:hAnsi="宋体" w:cs="宋体"/>
          <w:b/>
          <w:color w:val="auto"/>
          <w:highlight w:val="none"/>
          <w:u w:val="single"/>
        </w:rPr>
        <w:t>中标后3天内</w:t>
      </w:r>
      <w:r>
        <w:rPr>
          <w:rFonts w:hint="eastAsia" w:ascii="宋体" w:hAnsi="宋体" w:cs="宋体"/>
          <w:color w:val="auto"/>
          <w:highlight w:val="none"/>
          <w:u w:val="single"/>
        </w:rPr>
        <w:t>。</w:t>
      </w:r>
    </w:p>
    <w:p w14:paraId="12D50284">
      <w:pPr>
        <w:spacing w:line="360" w:lineRule="auto"/>
        <w:ind w:firstLine="422" w:firstLineChars="200"/>
        <w:rPr>
          <w:rFonts w:ascii="宋体" w:hAnsi="宋体" w:cs="宋体"/>
          <w:b/>
          <w:color w:val="auto"/>
          <w:highlight w:val="none"/>
          <w:u w:val="single"/>
        </w:rPr>
      </w:pPr>
      <w:r>
        <w:rPr>
          <w:rFonts w:hint="eastAsia" w:ascii="宋体" w:hAnsi="宋体" w:cs="宋体"/>
          <w:b/>
          <w:color w:val="auto"/>
          <w:highlight w:val="none"/>
          <w:u w:val="single"/>
        </w:rPr>
        <w:t>承包人编制的进度计划中应明确各分部完成的具体时间，关键线路，劳动力动态变化图等。发包人或监理每天记录施工人数，实际施工人数小于计划人数时，承包人按所缺人数向发包人支付违约金1000元/人·天。</w:t>
      </w:r>
    </w:p>
    <w:p w14:paraId="10CE38A7">
      <w:pPr>
        <w:spacing w:line="360" w:lineRule="auto"/>
        <w:ind w:firstLine="422" w:firstLineChars="200"/>
        <w:rPr>
          <w:rFonts w:ascii="宋体" w:hAnsi="宋体" w:cs="宋体"/>
          <w:b/>
          <w:color w:val="auto"/>
          <w:highlight w:val="none"/>
          <w:u w:val="single"/>
        </w:rPr>
      </w:pPr>
      <w:r>
        <w:rPr>
          <w:rFonts w:hint="eastAsia" w:ascii="宋体" w:hAnsi="宋体" w:cs="宋体"/>
          <w:b/>
          <w:color w:val="auto"/>
          <w:highlight w:val="none"/>
          <w:u w:val="single"/>
        </w:rPr>
        <w:t>实际进度滞后计划进度时，承包人在接到监理通知单后，必须落实纠偏调整措施并认真实施，否则向发包人支付违约金2000元/次。</w:t>
      </w:r>
    </w:p>
    <w:p w14:paraId="52602912">
      <w:pPr>
        <w:spacing w:line="360" w:lineRule="auto"/>
        <w:ind w:firstLine="422" w:firstLineChars="200"/>
        <w:rPr>
          <w:rFonts w:ascii="宋体" w:hAnsi="宋体" w:cs="宋体"/>
          <w:b/>
          <w:color w:val="auto"/>
          <w:highlight w:val="none"/>
          <w:u w:val="single"/>
        </w:rPr>
      </w:pPr>
      <w:r>
        <w:rPr>
          <w:rFonts w:hint="eastAsia" w:ascii="宋体" w:hAnsi="宋体" w:cs="宋体"/>
          <w:b/>
          <w:color w:val="auto"/>
          <w:highlight w:val="none"/>
          <w:u w:val="single"/>
        </w:rPr>
        <w:t>实际进度严重滞后进度计划，则工期保证金不予退还。</w:t>
      </w:r>
    </w:p>
    <w:p w14:paraId="4E147F8A">
      <w:pPr>
        <w:spacing w:line="360" w:lineRule="auto"/>
        <w:ind w:firstLine="420" w:firstLineChars="200"/>
        <w:jc w:val="left"/>
        <w:rPr>
          <w:rFonts w:ascii="宋体" w:hAnsi="宋体" w:cs="宋体"/>
          <w:color w:val="auto"/>
          <w:highlight w:val="none"/>
        </w:rPr>
      </w:pPr>
      <w:r>
        <w:rPr>
          <w:rFonts w:hint="eastAsia" w:ascii="宋体" w:hAnsi="宋体" w:cs="宋体"/>
          <w:color w:val="auto"/>
          <w:highlight w:val="none"/>
        </w:rPr>
        <w:t>发包人和监理人在收到详细的施工组织设计后确认或提出修改意见的期限：</w:t>
      </w:r>
      <w:r>
        <w:rPr>
          <w:rFonts w:hint="eastAsia" w:ascii="宋体" w:hAnsi="宋体" w:cs="宋体"/>
          <w:b/>
          <w:color w:val="auto"/>
          <w:highlight w:val="none"/>
          <w:u w:val="single"/>
        </w:rPr>
        <w:t>收到后3天内</w:t>
      </w:r>
      <w:r>
        <w:rPr>
          <w:rFonts w:hint="eastAsia" w:ascii="宋体" w:hAnsi="宋体" w:cs="宋体"/>
          <w:color w:val="auto"/>
          <w:highlight w:val="none"/>
          <w:u w:val="single"/>
        </w:rPr>
        <w:t xml:space="preserve">       </w:t>
      </w:r>
      <w:r>
        <w:rPr>
          <w:rFonts w:hint="eastAsia" w:ascii="宋体" w:hAnsi="宋体" w:cs="宋体"/>
          <w:color w:val="auto"/>
          <w:highlight w:val="none"/>
        </w:rPr>
        <w:t>。</w:t>
      </w:r>
    </w:p>
    <w:p w14:paraId="036DAF79">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7.2施工进度计划</w:t>
      </w:r>
    </w:p>
    <w:p w14:paraId="21F15C5F">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7.2.</w:t>
      </w:r>
      <w:r>
        <w:rPr>
          <w:rFonts w:ascii="宋体" w:hAnsi="宋体" w:cs="宋体"/>
          <w:color w:val="auto"/>
          <w:highlight w:val="none"/>
          <w:lang w:val="zh-CN"/>
        </w:rPr>
        <w:t>1</w:t>
      </w:r>
      <w:r>
        <w:rPr>
          <w:rFonts w:hint="eastAsia" w:ascii="宋体" w:hAnsi="宋体" w:cs="宋体"/>
          <w:color w:val="auto"/>
          <w:highlight w:val="none"/>
          <w:lang w:val="zh-CN"/>
        </w:rPr>
        <w:t>施工进度计划的修订</w:t>
      </w:r>
    </w:p>
    <w:p w14:paraId="437170D1">
      <w:pPr>
        <w:autoSpaceDE w:val="0"/>
        <w:autoSpaceDN w:val="0"/>
        <w:adjustRightInd w:val="0"/>
        <w:spacing w:line="360" w:lineRule="auto"/>
        <w:ind w:firstLine="420" w:firstLineChars="200"/>
        <w:rPr>
          <w:rFonts w:ascii="宋体" w:hAnsi="宋体" w:cs="宋体"/>
          <w:b/>
          <w:bCs/>
          <w:color w:val="auto"/>
          <w:highlight w:val="none"/>
          <w:u w:val="single"/>
          <w:lang w:val="zh-CN"/>
        </w:rPr>
      </w:pPr>
      <w:r>
        <w:rPr>
          <w:rFonts w:hint="eastAsia" w:ascii="宋体" w:hAnsi="宋体" w:cs="宋体"/>
          <w:color w:val="auto"/>
          <w:highlight w:val="none"/>
          <w:lang w:val="zh-CN"/>
        </w:rPr>
        <w:t>发包人和监理人在收到修订的施工进度计划后确认或提出修改意见的期限：</w:t>
      </w:r>
      <w:r>
        <w:rPr>
          <w:rFonts w:hint="eastAsia" w:ascii="宋体" w:hAnsi="宋体" w:cs="宋体"/>
          <w:b/>
          <w:bCs/>
          <w:color w:val="auto"/>
          <w:highlight w:val="none"/>
          <w:u w:val="single"/>
          <w:lang w:val="zh-CN"/>
        </w:rPr>
        <w:t>收到后</w:t>
      </w:r>
      <w:r>
        <w:rPr>
          <w:rFonts w:hint="eastAsia" w:ascii="宋体" w:hAnsi="宋体" w:cs="宋体"/>
          <w:b/>
          <w:bCs/>
          <w:color w:val="auto"/>
          <w:highlight w:val="none"/>
          <w:u w:val="single"/>
        </w:rPr>
        <w:t>3</w:t>
      </w:r>
      <w:r>
        <w:rPr>
          <w:rFonts w:hint="eastAsia" w:ascii="宋体" w:hAnsi="宋体" w:cs="宋体"/>
          <w:b/>
          <w:bCs/>
          <w:color w:val="auto"/>
          <w:highlight w:val="none"/>
          <w:u w:val="single"/>
          <w:lang w:val="zh-CN"/>
        </w:rPr>
        <w:t>日内予以确认或提出修改意见，逾期视为已确认。</w:t>
      </w:r>
    </w:p>
    <w:p w14:paraId="7201E6A0">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7.3开工</w:t>
      </w:r>
    </w:p>
    <w:p w14:paraId="4DF98D1F">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7.3.1开工准备</w:t>
      </w:r>
    </w:p>
    <w:p w14:paraId="79A7C7FB">
      <w:pPr>
        <w:autoSpaceDE w:val="0"/>
        <w:autoSpaceDN w:val="0"/>
        <w:adjustRightInd w:val="0"/>
        <w:spacing w:line="360" w:lineRule="auto"/>
        <w:ind w:firstLine="420" w:firstLineChars="200"/>
        <w:rPr>
          <w:rFonts w:ascii="宋体" w:hAnsi="宋体" w:cs="宋体"/>
          <w:color w:val="auto"/>
          <w:highlight w:val="none"/>
          <w:u w:val="single"/>
          <w:lang w:val="zh-CN"/>
        </w:rPr>
      </w:pPr>
      <w:r>
        <w:rPr>
          <w:rFonts w:hint="eastAsia" w:ascii="宋体" w:hAnsi="宋体" w:cs="宋体"/>
          <w:color w:val="auto"/>
          <w:highlight w:val="none"/>
          <w:lang w:val="zh-CN"/>
        </w:rPr>
        <w:t>关于承包人提交工程开工报审表的期限：</w:t>
      </w:r>
      <w:r>
        <w:rPr>
          <w:rFonts w:hint="eastAsia" w:ascii="宋体" w:hAnsi="宋体" w:cs="宋体"/>
          <w:b/>
          <w:bCs/>
          <w:color w:val="auto"/>
          <w:highlight w:val="none"/>
          <w:u w:val="single"/>
          <w:lang w:val="zh-CN"/>
        </w:rPr>
        <w:t xml:space="preserve"> 中标后3日内 </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w:t>
      </w:r>
    </w:p>
    <w:p w14:paraId="34AFF3B3">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关于发包人应完成的其他开工准备工作及期限：</w:t>
      </w:r>
      <w:r>
        <w:rPr>
          <w:rFonts w:hint="eastAsia" w:ascii="宋体" w:hAnsi="宋体" w:cs="宋体"/>
          <w:b/>
          <w:bCs/>
          <w:color w:val="auto"/>
          <w:highlight w:val="none"/>
          <w:u w:val="single"/>
          <w:lang w:val="zh-CN"/>
        </w:rPr>
        <w:t>开工前组织图纸会审和设计交底</w:t>
      </w:r>
      <w:r>
        <w:rPr>
          <w:rFonts w:hint="eastAsia" w:ascii="宋体" w:hAnsi="宋体" w:cs="宋体"/>
          <w:b/>
          <w:bCs/>
          <w:color w:val="auto"/>
          <w:highlight w:val="none"/>
          <w:u w:val="single"/>
        </w:rPr>
        <w:t xml:space="preserve"> </w:t>
      </w:r>
      <w:r>
        <w:rPr>
          <w:rFonts w:hint="eastAsia" w:ascii="宋体" w:hAnsi="宋体" w:cs="宋体"/>
          <w:b/>
          <w:bCs/>
          <w:color w:val="auto"/>
          <w:highlight w:val="none"/>
          <w:lang w:val="zh-CN"/>
        </w:rPr>
        <w:t>。</w:t>
      </w:r>
    </w:p>
    <w:p w14:paraId="5D24FC42">
      <w:pPr>
        <w:autoSpaceDE w:val="0"/>
        <w:autoSpaceDN w:val="0"/>
        <w:adjustRightInd w:val="0"/>
        <w:spacing w:line="360" w:lineRule="auto"/>
        <w:ind w:firstLine="420" w:firstLineChars="200"/>
        <w:rPr>
          <w:rFonts w:ascii="宋体" w:hAnsi="宋体" w:cs="宋体"/>
          <w:b/>
          <w:bCs/>
          <w:color w:val="auto"/>
          <w:highlight w:val="none"/>
          <w:u w:val="single"/>
        </w:rPr>
      </w:pPr>
      <w:r>
        <w:rPr>
          <w:rFonts w:hint="eastAsia" w:ascii="宋体" w:hAnsi="宋体" w:cs="宋体"/>
          <w:color w:val="auto"/>
          <w:highlight w:val="none"/>
          <w:lang w:val="zh-CN"/>
        </w:rPr>
        <w:t>关于承包人应完成的其他开工准备工作及期限：</w:t>
      </w:r>
      <w:r>
        <w:rPr>
          <w:rFonts w:hint="eastAsia" w:ascii="宋体" w:hAnsi="宋体" w:cs="宋体"/>
          <w:b/>
          <w:bCs/>
          <w:color w:val="auto"/>
          <w:highlight w:val="none"/>
          <w:u w:val="single"/>
          <w:lang w:val="zh-CN"/>
        </w:rPr>
        <w:t>遵守政府有关主管部门对施工场地交通、施工噪音、环境保护和安全生产等的管理规定，按规定办理有关手续，并以书面形式通知发包人。</w:t>
      </w:r>
    </w:p>
    <w:p w14:paraId="6EEE4ED5">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7.3.2开工通知</w:t>
      </w:r>
    </w:p>
    <w:p w14:paraId="47533FEF">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因发包人原因造成监理人未能在计划开工日期之日起</w:t>
      </w:r>
      <w:r>
        <w:rPr>
          <w:rFonts w:hint="eastAsia" w:ascii="宋体" w:hAnsi="宋体" w:cs="宋体"/>
          <w:color w:val="auto"/>
          <w:highlight w:val="none"/>
          <w:u w:val="single"/>
          <w:lang w:val="zh-CN"/>
        </w:rPr>
        <w:t xml:space="preserve"> </w:t>
      </w:r>
      <w:r>
        <w:rPr>
          <w:rFonts w:hint="eastAsia" w:ascii="宋体" w:hAnsi="宋体" w:cs="宋体"/>
          <w:b/>
          <w:bCs/>
          <w:color w:val="auto"/>
          <w:highlight w:val="none"/>
          <w:u w:val="single"/>
        </w:rPr>
        <w:t xml:space="preserve">90 </w:t>
      </w:r>
      <w:r>
        <w:rPr>
          <w:rFonts w:hint="eastAsia" w:ascii="宋体" w:hAnsi="宋体" w:cs="宋体"/>
          <w:color w:val="auto"/>
          <w:highlight w:val="none"/>
          <w:lang w:val="zh-CN"/>
        </w:rPr>
        <w:t>天内发出开工通知的，承包人有权提出价格调整要求，或者解除合同。</w:t>
      </w:r>
    </w:p>
    <w:p w14:paraId="5FC885B8">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7.4测量放线</w:t>
      </w:r>
    </w:p>
    <w:p w14:paraId="2ABED224">
      <w:pPr>
        <w:autoSpaceDE w:val="0"/>
        <w:autoSpaceDN w:val="0"/>
        <w:adjustRightInd w:val="0"/>
        <w:spacing w:line="360" w:lineRule="auto"/>
        <w:ind w:firstLine="420" w:firstLineChars="200"/>
        <w:rPr>
          <w:rFonts w:ascii="宋体" w:hAnsi="宋体" w:cs="宋体"/>
          <w:color w:val="auto"/>
          <w:highlight w:val="none"/>
          <w:u w:val="single"/>
          <w:lang w:val="zh-CN"/>
        </w:rPr>
      </w:pPr>
      <w:r>
        <w:rPr>
          <w:rFonts w:hint="eastAsia" w:ascii="宋体" w:hAnsi="宋体" w:cs="宋体"/>
          <w:color w:val="auto"/>
          <w:highlight w:val="none"/>
          <w:lang w:val="zh-CN"/>
        </w:rPr>
        <w:t>7.4.1发包人通过监理人向承包人提供测量基准点、基准线和水准点及其书面资料的期限：</w:t>
      </w:r>
      <w:r>
        <w:rPr>
          <w:rFonts w:hint="eastAsia" w:ascii="宋体" w:hAnsi="宋体" w:cs="宋体"/>
          <w:b/>
          <w:bCs/>
          <w:color w:val="auto"/>
          <w:highlight w:val="none"/>
          <w:u w:val="single"/>
          <w:lang w:val="zh-CN"/>
        </w:rPr>
        <w:t>以书面形式交给承包人，并于开工前进行现场交验</w:t>
      </w:r>
      <w:r>
        <w:rPr>
          <w:rFonts w:hint="eastAsia" w:ascii="宋体" w:hAnsi="宋体" w:cs="宋体"/>
          <w:color w:val="auto"/>
          <w:highlight w:val="none"/>
          <w:lang w:val="zh-CN"/>
        </w:rPr>
        <w:t>。</w:t>
      </w:r>
    </w:p>
    <w:p w14:paraId="759070F0">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7.5 工期延误</w:t>
      </w:r>
    </w:p>
    <w:p w14:paraId="41499A6D">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7.5.1 因发包人原因导致工期延误</w:t>
      </w:r>
    </w:p>
    <w:p w14:paraId="3FB62F86">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因发包人原因导致工期延误的情形：</w:t>
      </w:r>
    </w:p>
    <w:p w14:paraId="4B49FF0C">
      <w:pPr>
        <w:autoSpaceDE w:val="0"/>
        <w:autoSpaceDN w:val="0"/>
        <w:adjustRightInd w:val="0"/>
        <w:spacing w:line="360" w:lineRule="auto"/>
        <w:ind w:firstLine="422" w:firstLineChars="200"/>
        <w:rPr>
          <w:rFonts w:ascii="宋体" w:hAnsi="宋体" w:cs="宋体"/>
          <w:b/>
          <w:bCs/>
          <w:color w:val="auto"/>
          <w:highlight w:val="none"/>
          <w:u w:val="single"/>
          <w:lang w:val="zh-CN"/>
        </w:rPr>
      </w:pPr>
      <w:r>
        <w:rPr>
          <w:rFonts w:hint="eastAsia" w:ascii="宋体" w:hAnsi="宋体" w:cs="宋体"/>
          <w:b/>
          <w:bCs/>
          <w:color w:val="auto"/>
          <w:highlight w:val="none"/>
          <w:u w:val="single"/>
          <w:lang w:val="zh-CN"/>
        </w:rPr>
        <w:t>A. 因发包人原因未在开工前提供施工场地，提供图纸；</w:t>
      </w:r>
    </w:p>
    <w:p w14:paraId="70CA4141">
      <w:pPr>
        <w:autoSpaceDE w:val="0"/>
        <w:autoSpaceDN w:val="0"/>
        <w:adjustRightInd w:val="0"/>
        <w:spacing w:line="360" w:lineRule="auto"/>
        <w:ind w:firstLine="422" w:firstLineChars="200"/>
        <w:rPr>
          <w:rFonts w:ascii="宋体" w:hAnsi="宋体" w:cs="宋体"/>
          <w:b/>
          <w:bCs/>
          <w:color w:val="auto"/>
          <w:highlight w:val="none"/>
          <w:u w:val="single"/>
        </w:rPr>
      </w:pPr>
      <w:r>
        <w:rPr>
          <w:rFonts w:hint="eastAsia" w:ascii="宋体" w:hAnsi="宋体" w:cs="宋体"/>
          <w:b/>
          <w:bCs/>
          <w:color w:val="auto"/>
          <w:highlight w:val="none"/>
          <w:u w:val="single"/>
        </w:rPr>
        <w:t>B.</w:t>
      </w:r>
      <w:r>
        <w:rPr>
          <w:rFonts w:hint="eastAsia" w:ascii="宋体" w:hAnsi="宋体" w:cs="宋体"/>
          <w:b/>
          <w:bCs/>
          <w:color w:val="auto"/>
          <w:highlight w:val="none"/>
          <w:u w:val="single"/>
          <w:lang w:val="zh-CN"/>
        </w:rPr>
        <w:t>因发包人原因造成工程延期开工、停建、缓建、暂停施工（不含勒令停工）；</w:t>
      </w:r>
    </w:p>
    <w:p w14:paraId="1A3648E9">
      <w:pPr>
        <w:autoSpaceDE w:val="0"/>
        <w:autoSpaceDN w:val="0"/>
        <w:adjustRightInd w:val="0"/>
        <w:spacing w:line="360" w:lineRule="auto"/>
        <w:ind w:firstLine="422" w:firstLineChars="200"/>
        <w:rPr>
          <w:rFonts w:ascii="宋体" w:hAnsi="宋体" w:cs="宋体"/>
          <w:b/>
          <w:bCs/>
          <w:color w:val="auto"/>
          <w:highlight w:val="none"/>
          <w:u w:val="single"/>
        </w:rPr>
      </w:pPr>
      <w:r>
        <w:rPr>
          <w:rFonts w:hint="eastAsia" w:ascii="宋体" w:hAnsi="宋体" w:cs="宋体"/>
          <w:b/>
          <w:bCs/>
          <w:color w:val="auto"/>
          <w:highlight w:val="none"/>
          <w:u w:val="single"/>
        </w:rPr>
        <w:t>C.</w:t>
      </w:r>
      <w:r>
        <w:rPr>
          <w:rFonts w:hint="eastAsia" w:ascii="宋体" w:hAnsi="宋体" w:cs="宋体"/>
          <w:b/>
          <w:bCs/>
          <w:color w:val="auto"/>
          <w:highlight w:val="none"/>
          <w:u w:val="single"/>
          <w:lang w:val="zh-CN"/>
        </w:rPr>
        <w:t>由市级以上有关部门正式发布和认定的自然灾害。</w:t>
      </w:r>
    </w:p>
    <w:p w14:paraId="2F97D482">
      <w:pPr>
        <w:autoSpaceDE w:val="0"/>
        <w:autoSpaceDN w:val="0"/>
        <w:adjustRightInd w:val="0"/>
        <w:spacing w:line="360" w:lineRule="auto"/>
        <w:ind w:firstLine="422" w:firstLineChars="200"/>
        <w:rPr>
          <w:rFonts w:ascii="宋体" w:hAnsi="宋体" w:cs="宋体"/>
          <w:b/>
          <w:bCs/>
          <w:color w:val="auto"/>
          <w:highlight w:val="none"/>
          <w:u w:val="single"/>
          <w:lang w:val="zh-CN"/>
        </w:rPr>
      </w:pPr>
      <w:r>
        <w:rPr>
          <w:rFonts w:hint="eastAsia" w:ascii="宋体" w:hAnsi="宋体" w:cs="宋体"/>
          <w:b/>
          <w:bCs/>
          <w:color w:val="auto"/>
          <w:highlight w:val="none"/>
          <w:u w:val="single"/>
          <w:lang w:val="zh-CN"/>
        </w:rPr>
        <w:t>上述情况发生后</w:t>
      </w:r>
      <w:r>
        <w:rPr>
          <w:rFonts w:hint="eastAsia" w:ascii="宋体" w:hAnsi="宋体" w:cs="宋体"/>
          <w:b/>
          <w:bCs/>
          <w:color w:val="auto"/>
          <w:highlight w:val="none"/>
          <w:u w:val="single"/>
        </w:rPr>
        <w:t>3</w:t>
      </w:r>
      <w:r>
        <w:rPr>
          <w:rFonts w:hint="eastAsia" w:ascii="宋体" w:hAnsi="宋体" w:cs="宋体"/>
          <w:b/>
          <w:bCs/>
          <w:color w:val="auto"/>
          <w:highlight w:val="none"/>
          <w:u w:val="single"/>
          <w:lang w:val="zh-CN"/>
        </w:rPr>
        <w:t>天内，承包人需就延误的内容对工程进度造成的影响，向发包人提交书面报告，办理延期手续（须得到甲方代表签字的书面认可），经发包人批准后方可顺延工期，否则工期不予顺延。为体现承包人的合作诚意，承包人同意因发包人原因的工期顺延，且自愿放弃索赔的权利。</w:t>
      </w:r>
    </w:p>
    <w:p w14:paraId="6EC04C1A">
      <w:pPr>
        <w:autoSpaceDE w:val="0"/>
        <w:autoSpaceDN w:val="0"/>
        <w:adjustRightInd w:val="0"/>
        <w:spacing w:line="360" w:lineRule="auto"/>
        <w:ind w:firstLine="422" w:firstLineChars="200"/>
        <w:rPr>
          <w:rFonts w:ascii="宋体" w:hAnsi="宋体" w:cs="宋体"/>
          <w:b/>
          <w:bCs/>
          <w:color w:val="auto"/>
          <w:highlight w:val="none"/>
          <w:u w:val="single"/>
          <w:lang w:val="zh-CN"/>
        </w:rPr>
      </w:pPr>
      <w:r>
        <w:rPr>
          <w:rFonts w:hint="eastAsia" w:ascii="宋体" w:hAnsi="宋体" w:cs="宋体"/>
          <w:b/>
          <w:bCs/>
          <w:color w:val="auto"/>
          <w:highlight w:val="none"/>
          <w:u w:val="single"/>
          <w:lang w:val="zh-CN"/>
        </w:rPr>
        <w:t>因本工程采用固定单价的方式确定合同价款，承包人不得以工期顺延为由要求调整合同价款。</w:t>
      </w:r>
    </w:p>
    <w:p w14:paraId="62346938">
      <w:pPr>
        <w:autoSpaceDE w:val="0"/>
        <w:autoSpaceDN w:val="0"/>
        <w:adjustRightInd w:val="0"/>
        <w:spacing w:line="360" w:lineRule="auto"/>
        <w:ind w:firstLine="422" w:firstLineChars="200"/>
        <w:rPr>
          <w:rFonts w:ascii="宋体" w:hAnsi="宋体" w:cs="宋体"/>
          <w:b/>
          <w:bCs/>
          <w:color w:val="auto"/>
          <w:highlight w:val="none"/>
          <w:u w:val="single"/>
          <w:lang w:val="zh-CN"/>
        </w:rPr>
      </w:pPr>
      <w:r>
        <w:rPr>
          <w:rFonts w:hint="eastAsia" w:ascii="宋体" w:hAnsi="宋体" w:cs="宋体"/>
          <w:b/>
          <w:bCs/>
          <w:color w:val="auto"/>
          <w:highlight w:val="none"/>
          <w:u w:val="single"/>
          <w:lang w:val="zh-CN"/>
        </w:rPr>
        <w:t>为体现承包人的合作诚意，承包人同意因发包人原因的工期顺延，且自愿放弃索赔的权利。该放弃的索赔权利包括但不限于停工期限的窝工费、机械租赁费、财务成本、工程看管费、管理费、水电费等任何货币形式的赔偿主张。本合同中关于发包方原因造成工期延误损失负担约定与本条不一致的，以本条为准。</w:t>
      </w:r>
    </w:p>
    <w:p w14:paraId="0FB57937">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7.5.2因承包人原因导致工期延误</w:t>
      </w:r>
    </w:p>
    <w:p w14:paraId="3FF7EDB9">
      <w:pPr>
        <w:autoSpaceDE w:val="0"/>
        <w:autoSpaceDN w:val="0"/>
        <w:adjustRightInd w:val="0"/>
        <w:spacing w:line="360" w:lineRule="auto"/>
        <w:ind w:firstLine="420" w:firstLineChars="200"/>
        <w:rPr>
          <w:rFonts w:ascii="宋体" w:hAnsi="宋体" w:cs="宋体"/>
          <w:b/>
          <w:color w:val="auto"/>
          <w:highlight w:val="none"/>
          <w:lang w:val="zh-CN"/>
        </w:rPr>
      </w:pPr>
      <w:r>
        <w:rPr>
          <w:rFonts w:hint="eastAsia" w:ascii="宋体" w:hAnsi="宋体" w:cs="宋体"/>
          <w:color w:val="auto"/>
          <w:highlight w:val="none"/>
          <w:lang w:val="zh-CN"/>
        </w:rPr>
        <w:t>因承包人原因造成工期延误，逾期竣工违约金的计算方法为：</w:t>
      </w:r>
      <w:r>
        <w:rPr>
          <w:rFonts w:hint="eastAsia" w:ascii="宋体" w:hAnsi="宋体" w:cs="宋体"/>
          <w:b/>
          <w:color w:val="auto"/>
          <w:highlight w:val="none"/>
          <w:u w:val="single"/>
        </w:rPr>
        <w:t>因承包人原因延误工期，在规定的工期前未能完成，则除工期保证金不予退还外，工期每推迟一天</w:t>
      </w:r>
      <w:r>
        <w:rPr>
          <w:rFonts w:hint="eastAsia" w:ascii="宋体" w:hAnsi="宋体" w:cs="宋体"/>
          <w:b/>
          <w:color w:val="auto"/>
          <w:highlight w:val="none"/>
          <w:u w:val="single"/>
        </w:rPr>
        <w:t>，处罚2000</w:t>
      </w:r>
      <w:r>
        <w:rPr>
          <w:rFonts w:hint="eastAsia" w:ascii="宋体" w:hAnsi="宋体" w:cs="宋体"/>
          <w:b/>
          <w:color w:val="auto"/>
          <w:highlight w:val="none"/>
          <w:u w:val="single"/>
        </w:rPr>
        <w:t>元；超过10天，发包人有权要求承包人清退出场，所完成的合格工程量按60%计算</w:t>
      </w:r>
      <w:r>
        <w:rPr>
          <w:rFonts w:hint="eastAsia" w:ascii="宋体" w:hAnsi="宋体" w:cs="宋体"/>
          <w:b/>
          <w:color w:val="auto"/>
          <w:highlight w:val="none"/>
          <w:u w:val="single"/>
        </w:rPr>
        <w:t>，或由发包人安排其他施工单位进行施工，所发生的费用按照实际发生的金额计算，由承包人缴纳至发包人指定账户或发包人从其工程款中扣除</w:t>
      </w:r>
      <w:r>
        <w:rPr>
          <w:rFonts w:hint="eastAsia" w:ascii="宋体" w:hAnsi="宋体" w:cs="宋体"/>
          <w:b/>
          <w:color w:val="auto"/>
          <w:highlight w:val="none"/>
          <w:u w:val="single"/>
          <w:lang w:val="zh-CN"/>
        </w:rPr>
        <w:t>。</w:t>
      </w:r>
      <w:r>
        <w:rPr>
          <w:rFonts w:hint="eastAsia" w:ascii="宋体" w:hAnsi="宋体" w:cs="宋体"/>
          <w:b/>
          <w:color w:val="auto"/>
          <w:highlight w:val="none"/>
          <w:u w:val="single"/>
          <w:lang w:val="zh-CN"/>
        </w:rPr>
        <w:t>本工程工期履约保证金为合同价的3%。</w:t>
      </w:r>
    </w:p>
    <w:p w14:paraId="2567BBA2">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7.</w:t>
      </w:r>
      <w:r>
        <w:rPr>
          <w:rFonts w:ascii="宋体" w:hAnsi="宋体" w:cs="宋体"/>
          <w:color w:val="auto"/>
          <w:highlight w:val="none"/>
          <w:lang w:val="zh-CN"/>
        </w:rPr>
        <w:t>6</w:t>
      </w:r>
      <w:r>
        <w:rPr>
          <w:rFonts w:hint="eastAsia" w:ascii="宋体" w:hAnsi="宋体" w:cs="宋体"/>
          <w:color w:val="auto"/>
          <w:highlight w:val="none"/>
          <w:lang w:val="zh-CN"/>
        </w:rPr>
        <w:t>异常恶劣的气候条件</w:t>
      </w:r>
    </w:p>
    <w:p w14:paraId="1795FF22">
      <w:pPr>
        <w:autoSpaceDE w:val="0"/>
        <w:autoSpaceDN w:val="0"/>
        <w:adjustRightInd w:val="0"/>
        <w:spacing w:line="360" w:lineRule="auto"/>
        <w:ind w:firstLine="422" w:firstLineChars="200"/>
        <w:rPr>
          <w:rFonts w:ascii="宋体" w:hAnsi="宋体" w:cs="宋体"/>
          <w:b/>
          <w:bCs/>
          <w:color w:val="auto"/>
          <w:highlight w:val="none"/>
          <w:u w:val="single"/>
        </w:rPr>
      </w:pPr>
      <w:r>
        <w:rPr>
          <w:rFonts w:hint="eastAsia" w:ascii="宋体" w:hAnsi="宋体" w:cs="宋体"/>
          <w:b/>
          <w:bCs/>
          <w:color w:val="auto"/>
          <w:highlight w:val="none"/>
          <w:u w:val="single"/>
          <w:lang w:val="zh-CN"/>
        </w:rPr>
        <w:t>双方在确定竣工日期、施工工期及各控制点工期时，已充分考虑可能出现的各种形式的雨雪、冰雹、台风、高温天气、低温天气、停水、停电、节假日、扰民和民扰、市政影响等不利因素及发包人分包工程的影响，因此施工过程中除本合同</w:t>
      </w:r>
      <w:r>
        <w:rPr>
          <w:rFonts w:hint="eastAsia" w:ascii="宋体" w:hAnsi="宋体" w:cs="宋体"/>
          <w:b/>
          <w:bCs/>
          <w:color w:val="auto"/>
          <w:highlight w:val="none"/>
          <w:u w:val="single"/>
        </w:rPr>
        <w:t>7.5.1</w:t>
      </w:r>
      <w:r>
        <w:rPr>
          <w:rFonts w:hint="eastAsia" w:ascii="宋体" w:hAnsi="宋体" w:cs="宋体"/>
          <w:b/>
          <w:bCs/>
          <w:color w:val="auto"/>
          <w:highlight w:val="none"/>
          <w:u w:val="single"/>
          <w:lang w:val="zh-CN"/>
        </w:rPr>
        <w:t>规定的情况外，不管发生任何情况，均不顺延工期。</w:t>
      </w:r>
    </w:p>
    <w:p w14:paraId="7069878D">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7.</w:t>
      </w:r>
      <w:r>
        <w:rPr>
          <w:rFonts w:ascii="宋体" w:hAnsi="宋体" w:cs="宋体"/>
          <w:color w:val="auto"/>
          <w:highlight w:val="none"/>
          <w:lang w:val="zh-CN"/>
        </w:rPr>
        <w:t>7</w:t>
      </w:r>
      <w:r>
        <w:rPr>
          <w:rFonts w:hint="eastAsia" w:ascii="宋体" w:hAnsi="宋体" w:cs="宋体"/>
          <w:color w:val="auto"/>
          <w:highlight w:val="none"/>
          <w:lang w:val="zh-CN"/>
        </w:rPr>
        <w:t>提前竣工的奖励</w:t>
      </w:r>
    </w:p>
    <w:p w14:paraId="1B822203">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7.</w:t>
      </w:r>
      <w:r>
        <w:rPr>
          <w:rFonts w:ascii="宋体" w:hAnsi="宋体" w:cs="宋体"/>
          <w:color w:val="auto"/>
          <w:highlight w:val="none"/>
          <w:lang w:val="zh-CN"/>
        </w:rPr>
        <w:t>7.1</w:t>
      </w:r>
      <w:r>
        <w:rPr>
          <w:rFonts w:hint="eastAsia" w:ascii="宋体" w:hAnsi="宋体" w:cs="宋体"/>
          <w:color w:val="auto"/>
          <w:highlight w:val="none"/>
          <w:lang w:val="zh-CN"/>
        </w:rPr>
        <w:t>提前竣工的奖励：</w:t>
      </w:r>
      <w:r>
        <w:rPr>
          <w:rFonts w:hint="eastAsia" w:ascii="宋体" w:hAnsi="宋体" w:cs="宋体"/>
          <w:b/>
          <w:bCs/>
          <w:color w:val="auto"/>
          <w:highlight w:val="none"/>
          <w:u w:val="single"/>
          <w:lang w:val="zh-CN"/>
        </w:rPr>
        <w:t xml:space="preserve">   /    </w:t>
      </w:r>
      <w:r>
        <w:rPr>
          <w:rFonts w:hint="eastAsia" w:ascii="宋体" w:hAnsi="宋体" w:cs="宋体"/>
          <w:color w:val="auto"/>
          <w:highlight w:val="none"/>
          <w:lang w:val="zh-CN"/>
        </w:rPr>
        <w:t xml:space="preserve">。  </w:t>
      </w:r>
    </w:p>
    <w:p w14:paraId="6A5F953E">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8.材料与设备</w:t>
      </w:r>
    </w:p>
    <w:p w14:paraId="6FED68A7">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8.</w:t>
      </w:r>
      <w:r>
        <w:rPr>
          <w:rFonts w:ascii="宋体" w:hAnsi="宋体" w:cs="宋体"/>
          <w:color w:val="auto"/>
          <w:highlight w:val="none"/>
          <w:lang w:val="zh-CN"/>
        </w:rPr>
        <w:t>1</w:t>
      </w:r>
      <w:r>
        <w:rPr>
          <w:rFonts w:hint="eastAsia" w:ascii="宋体" w:hAnsi="宋体" w:cs="宋体"/>
          <w:color w:val="auto"/>
          <w:highlight w:val="none"/>
          <w:lang w:val="zh-CN"/>
        </w:rPr>
        <w:t xml:space="preserve"> 承包人采购材料与工程设备</w:t>
      </w:r>
    </w:p>
    <w:p w14:paraId="01D4B58C">
      <w:pPr>
        <w:autoSpaceDE w:val="0"/>
        <w:autoSpaceDN w:val="0"/>
        <w:adjustRightInd w:val="0"/>
        <w:spacing w:line="360" w:lineRule="auto"/>
        <w:ind w:firstLine="422" w:firstLineChars="200"/>
        <w:rPr>
          <w:rFonts w:ascii="宋体" w:hAnsi="宋体" w:cs="宋体"/>
          <w:b/>
          <w:color w:val="auto"/>
          <w:highlight w:val="none"/>
          <w:u w:val="single"/>
          <w:lang w:val="zh-CN"/>
        </w:rPr>
      </w:pPr>
      <w:r>
        <w:rPr>
          <w:rFonts w:hint="eastAsia" w:ascii="宋体" w:hAnsi="宋体" w:cs="宋体"/>
          <w:b/>
          <w:color w:val="auto"/>
          <w:highlight w:val="none"/>
          <w:u w:val="single"/>
          <w:lang w:val="zh-CN"/>
        </w:rPr>
        <w:t>8.</w:t>
      </w:r>
      <w:r>
        <w:rPr>
          <w:rFonts w:ascii="宋体" w:hAnsi="宋体" w:cs="宋体"/>
          <w:b/>
          <w:color w:val="auto"/>
          <w:highlight w:val="none"/>
          <w:u w:val="single"/>
          <w:lang w:val="zh-CN"/>
        </w:rPr>
        <w:t>1</w:t>
      </w:r>
      <w:r>
        <w:rPr>
          <w:rFonts w:hint="eastAsia" w:ascii="宋体" w:hAnsi="宋体" w:cs="宋体"/>
          <w:b/>
          <w:color w:val="auto"/>
          <w:highlight w:val="none"/>
          <w:u w:val="single"/>
          <w:lang w:val="zh-CN"/>
        </w:rPr>
        <w:t xml:space="preserve">.1 双方约定由承包人采购的材料必须符合设计文件及有关规范规定的质量要求且须经发包人和监理人事先认可并提供产品的出厂证明、合格证书，要按规定在使用前进行检测或复试，不合格的不得使用，所有费用由承包人承担。发包人及监理人的事先认可并不免除承包人对所采购材料应承担的产品质量责任。  </w:t>
      </w:r>
    </w:p>
    <w:p w14:paraId="58457E78">
      <w:pPr>
        <w:autoSpaceDE w:val="0"/>
        <w:autoSpaceDN w:val="0"/>
        <w:adjustRightInd w:val="0"/>
        <w:spacing w:line="360" w:lineRule="auto"/>
        <w:ind w:firstLine="422" w:firstLineChars="200"/>
        <w:rPr>
          <w:rFonts w:ascii="宋体" w:hAnsi="宋体" w:cs="宋体"/>
          <w:b/>
          <w:color w:val="auto"/>
          <w:highlight w:val="none"/>
          <w:u w:val="single"/>
          <w:lang w:val="zh-CN"/>
        </w:rPr>
      </w:pPr>
      <w:r>
        <w:rPr>
          <w:rFonts w:hint="eastAsia" w:ascii="宋体" w:hAnsi="宋体" w:cs="宋体"/>
          <w:b/>
          <w:color w:val="auto"/>
          <w:highlight w:val="none"/>
          <w:u w:val="single"/>
          <w:lang w:val="zh-CN"/>
        </w:rPr>
        <w:t>8.</w:t>
      </w:r>
      <w:r>
        <w:rPr>
          <w:rFonts w:ascii="宋体" w:hAnsi="宋体" w:cs="宋体"/>
          <w:b/>
          <w:color w:val="auto"/>
          <w:highlight w:val="none"/>
          <w:u w:val="single"/>
          <w:lang w:val="zh-CN"/>
        </w:rPr>
        <w:t>1</w:t>
      </w:r>
      <w:r>
        <w:rPr>
          <w:rFonts w:hint="eastAsia" w:ascii="宋体" w:hAnsi="宋体" w:cs="宋体"/>
          <w:b/>
          <w:color w:val="auto"/>
          <w:highlight w:val="none"/>
          <w:u w:val="single"/>
          <w:lang w:val="zh-CN"/>
        </w:rPr>
        <w:t>.2工程师或其代表可能要求在承包人或其他代表在场的情况下从每一材料中抽样用作检验，经工程师决定，这样抽取的样品应视为一批材料的代表。</w:t>
      </w:r>
    </w:p>
    <w:p w14:paraId="7D11ADCA">
      <w:pPr>
        <w:autoSpaceDE w:val="0"/>
        <w:autoSpaceDN w:val="0"/>
        <w:adjustRightInd w:val="0"/>
        <w:spacing w:line="360" w:lineRule="auto"/>
        <w:ind w:firstLine="422" w:firstLineChars="200"/>
        <w:rPr>
          <w:rFonts w:ascii="宋体" w:hAnsi="宋体" w:cs="宋体"/>
          <w:b/>
          <w:color w:val="auto"/>
          <w:highlight w:val="none"/>
          <w:u w:val="single"/>
          <w:lang w:val="zh-CN"/>
        </w:rPr>
      </w:pPr>
      <w:r>
        <w:rPr>
          <w:rFonts w:hint="eastAsia" w:ascii="宋体" w:hAnsi="宋体" w:cs="宋体"/>
          <w:b/>
          <w:color w:val="auto"/>
          <w:highlight w:val="none"/>
          <w:u w:val="single"/>
          <w:lang w:val="zh-CN"/>
        </w:rPr>
        <w:t>8.</w:t>
      </w:r>
      <w:r>
        <w:rPr>
          <w:rFonts w:ascii="宋体" w:hAnsi="宋体" w:cs="宋体"/>
          <w:b/>
          <w:color w:val="auto"/>
          <w:highlight w:val="none"/>
          <w:u w:val="single"/>
          <w:lang w:val="zh-CN"/>
        </w:rPr>
        <w:t>1</w:t>
      </w:r>
      <w:r>
        <w:rPr>
          <w:rFonts w:hint="eastAsia" w:ascii="宋体" w:hAnsi="宋体" w:cs="宋体"/>
          <w:b/>
          <w:color w:val="auto"/>
          <w:highlight w:val="none"/>
          <w:u w:val="single"/>
          <w:lang w:val="zh-CN"/>
        </w:rPr>
        <w:t>.3如果任何一批材料中的样品不符合合同要求的，材料全部均予退货，无论是否已经采用与否，其费用全部由承包人支付，且不允许由于更换而延长工期。</w:t>
      </w:r>
    </w:p>
    <w:p w14:paraId="2A451A51">
      <w:pPr>
        <w:autoSpaceDE w:val="0"/>
        <w:autoSpaceDN w:val="0"/>
        <w:adjustRightInd w:val="0"/>
        <w:spacing w:line="360" w:lineRule="auto"/>
        <w:ind w:firstLine="422" w:firstLineChars="200"/>
        <w:rPr>
          <w:rFonts w:ascii="宋体" w:hAnsi="宋体" w:cs="宋体"/>
          <w:b/>
          <w:color w:val="auto"/>
          <w:highlight w:val="none"/>
          <w:u w:val="single"/>
          <w:lang w:val="zh-CN"/>
        </w:rPr>
      </w:pPr>
      <w:r>
        <w:rPr>
          <w:rFonts w:hint="eastAsia" w:ascii="宋体" w:hAnsi="宋体" w:cs="宋体"/>
          <w:b/>
          <w:color w:val="auto"/>
          <w:highlight w:val="none"/>
          <w:u w:val="single"/>
          <w:lang w:val="zh-CN"/>
        </w:rPr>
        <w:t>8.</w:t>
      </w:r>
      <w:r>
        <w:rPr>
          <w:rFonts w:ascii="宋体" w:hAnsi="宋体" w:cs="宋体"/>
          <w:b/>
          <w:color w:val="auto"/>
          <w:highlight w:val="none"/>
          <w:u w:val="single"/>
          <w:lang w:val="zh-CN"/>
        </w:rPr>
        <w:t>1</w:t>
      </w:r>
      <w:r>
        <w:rPr>
          <w:rFonts w:hint="eastAsia" w:ascii="宋体" w:hAnsi="宋体" w:cs="宋体"/>
          <w:b/>
          <w:color w:val="auto"/>
          <w:highlight w:val="none"/>
          <w:u w:val="single"/>
          <w:lang w:val="zh-CN"/>
        </w:rPr>
        <w:t>.4对于任何拒绝验收的材料，如果是由于发包人或构成发包人对承包人已付款的一部分，则发包人将把此款扣回。但如果工程师决定保留那些已安装好的材料，发包人将按双方协商的结果扣除部分款项，但并不减除承包人在合同范围内的任何责任。</w:t>
      </w:r>
    </w:p>
    <w:p w14:paraId="380F59B0">
      <w:pPr>
        <w:autoSpaceDE w:val="0"/>
        <w:autoSpaceDN w:val="0"/>
        <w:adjustRightInd w:val="0"/>
        <w:spacing w:line="360" w:lineRule="auto"/>
        <w:ind w:firstLine="422" w:firstLineChars="200"/>
        <w:rPr>
          <w:rFonts w:ascii="宋体" w:hAnsi="宋体" w:cs="宋体"/>
          <w:b/>
          <w:color w:val="auto"/>
          <w:highlight w:val="none"/>
          <w:u w:val="single"/>
          <w:lang w:val="zh-CN"/>
        </w:rPr>
      </w:pPr>
      <w:r>
        <w:rPr>
          <w:rFonts w:hint="eastAsia" w:ascii="宋体" w:hAnsi="宋体" w:cs="宋体"/>
          <w:b/>
          <w:color w:val="auto"/>
          <w:highlight w:val="none"/>
          <w:u w:val="single"/>
          <w:lang w:val="zh-CN"/>
        </w:rPr>
        <w:t>8.</w:t>
      </w:r>
      <w:r>
        <w:rPr>
          <w:rFonts w:ascii="宋体" w:hAnsi="宋体" w:cs="宋体"/>
          <w:b/>
          <w:color w:val="auto"/>
          <w:highlight w:val="none"/>
          <w:u w:val="single"/>
          <w:lang w:val="zh-CN"/>
        </w:rPr>
        <w:t>1</w:t>
      </w:r>
      <w:r>
        <w:rPr>
          <w:rFonts w:hint="eastAsia" w:ascii="宋体" w:hAnsi="宋体" w:cs="宋体"/>
          <w:b/>
          <w:color w:val="auto"/>
          <w:highlight w:val="none"/>
          <w:u w:val="single"/>
          <w:lang w:val="zh-CN"/>
        </w:rPr>
        <w:t>.5运抵到现场的所有材料，无论在施工进度款中是否已付款，未经总监的书面批准，不得从现场搬移出去。</w:t>
      </w:r>
    </w:p>
    <w:p w14:paraId="3FF07A9F">
      <w:pPr>
        <w:adjustRightInd w:val="0"/>
        <w:spacing w:line="360" w:lineRule="auto"/>
        <w:ind w:firstLine="422" w:firstLineChars="200"/>
        <w:textAlignment w:val="baseline"/>
        <w:rPr>
          <w:rFonts w:ascii="宋体" w:hAnsi="宋体" w:cs="宋体"/>
          <w:b/>
          <w:color w:val="auto"/>
          <w:highlight w:val="none"/>
          <w:u w:val="single"/>
        </w:rPr>
      </w:pPr>
      <w:r>
        <w:rPr>
          <w:rFonts w:hint="eastAsia" w:ascii="宋体" w:hAnsi="宋体" w:cs="宋体"/>
          <w:b/>
          <w:color w:val="auto"/>
          <w:highlight w:val="none"/>
          <w:u w:val="single"/>
          <w:lang w:val="zh-CN"/>
        </w:rPr>
        <w:t>8.</w:t>
      </w:r>
      <w:r>
        <w:rPr>
          <w:rFonts w:ascii="宋体" w:hAnsi="宋体" w:cs="宋体"/>
          <w:b/>
          <w:color w:val="auto"/>
          <w:highlight w:val="none"/>
          <w:u w:val="single"/>
          <w:lang w:val="zh-CN"/>
        </w:rPr>
        <w:t>1</w:t>
      </w:r>
      <w:r>
        <w:rPr>
          <w:rFonts w:hint="eastAsia" w:ascii="宋体" w:hAnsi="宋体" w:cs="宋体"/>
          <w:b/>
          <w:color w:val="auto"/>
          <w:highlight w:val="none"/>
          <w:u w:val="single"/>
          <w:lang w:val="zh-CN"/>
        </w:rPr>
        <w:t>.6</w:t>
      </w:r>
      <w:r>
        <w:rPr>
          <w:rFonts w:hint="eastAsia" w:ascii="宋体" w:hAnsi="宋体" w:cs="宋体"/>
          <w:b/>
          <w:color w:val="auto"/>
          <w:highlight w:val="none"/>
          <w:u w:val="single"/>
        </w:rPr>
        <w:t>承包人在材料使用前，须向监理报验，并见证抽样送检。未经确认的材料，不得用于工程，发包人抽查发现使用的材料无报验手续或不合格，可指令停工，要求返工。所发生的费用由承包人承担，工期不予顺延。</w:t>
      </w:r>
    </w:p>
    <w:p w14:paraId="079CFCC2">
      <w:pPr>
        <w:overflowPunct w:val="0"/>
        <w:autoSpaceDE w:val="0"/>
        <w:autoSpaceDN w:val="0"/>
        <w:adjustRightInd w:val="0"/>
        <w:spacing w:line="360" w:lineRule="auto"/>
        <w:ind w:firstLine="422" w:firstLineChars="200"/>
        <w:rPr>
          <w:rFonts w:ascii="宋体" w:hAnsi="宋体" w:cs="宋体"/>
          <w:b/>
          <w:color w:val="auto"/>
          <w:highlight w:val="none"/>
          <w:u w:val="single"/>
        </w:rPr>
      </w:pPr>
      <w:r>
        <w:rPr>
          <w:rFonts w:hint="eastAsia" w:ascii="宋体" w:hAnsi="宋体" w:cs="宋体"/>
          <w:b/>
          <w:color w:val="auto"/>
          <w:highlight w:val="none"/>
          <w:u w:val="single"/>
          <w:lang w:val="zh-CN"/>
        </w:rPr>
        <w:t>8.</w:t>
      </w:r>
      <w:r>
        <w:rPr>
          <w:rFonts w:ascii="宋体" w:hAnsi="宋体" w:cs="宋体"/>
          <w:b/>
          <w:color w:val="auto"/>
          <w:highlight w:val="none"/>
          <w:u w:val="single"/>
          <w:lang w:val="zh-CN"/>
        </w:rPr>
        <w:t>1</w:t>
      </w:r>
      <w:r>
        <w:rPr>
          <w:rFonts w:hint="eastAsia" w:ascii="宋体" w:hAnsi="宋体" w:cs="宋体"/>
          <w:b/>
          <w:color w:val="auto"/>
          <w:highlight w:val="none"/>
          <w:u w:val="single"/>
          <w:lang w:val="zh-CN"/>
        </w:rPr>
        <w:t>.7 本</w:t>
      </w:r>
      <w:r>
        <w:rPr>
          <w:rFonts w:hint="eastAsia" w:ascii="宋体" w:hAnsi="宋体" w:cs="宋体"/>
          <w:b/>
          <w:color w:val="auto"/>
          <w:highlight w:val="none"/>
          <w:u w:val="single"/>
        </w:rPr>
        <w:t>工程的所有材料，均由承包人按国家标准、设计文件及规范要求自行采购和保管，</w:t>
      </w:r>
      <w:bookmarkStart w:id="44" w:name="page46"/>
      <w:bookmarkEnd w:id="44"/>
      <w:r>
        <w:rPr>
          <w:rFonts w:hint="eastAsia" w:ascii="宋体" w:hAnsi="宋体" w:cs="宋体"/>
          <w:b/>
          <w:color w:val="auto"/>
          <w:highlight w:val="none"/>
          <w:u w:val="single"/>
        </w:rPr>
        <w:t>使用前，要有质保书或出厂合格证，并进行必要的检验或试验，合格后方可使用。承包人必须在监理人现场见证的情况下取样、封样和送样，样品须送至发包人指定的试验检测机构进行检测，否则不予认可。试验合格的，检验或试验费用由发包人承担，试验不合格的，检验或试验费用由承包人承担 。</w:t>
      </w:r>
    </w:p>
    <w:p w14:paraId="2C994D88">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8.</w:t>
      </w:r>
      <w:r>
        <w:rPr>
          <w:rFonts w:ascii="宋体" w:hAnsi="宋体" w:cs="宋体"/>
          <w:color w:val="auto"/>
          <w:highlight w:val="none"/>
          <w:lang w:val="zh-CN"/>
        </w:rPr>
        <w:t>2</w:t>
      </w:r>
      <w:r>
        <w:rPr>
          <w:rFonts w:hint="eastAsia" w:ascii="宋体" w:hAnsi="宋体" w:cs="宋体"/>
          <w:color w:val="auto"/>
          <w:highlight w:val="none"/>
          <w:lang w:val="zh-CN"/>
        </w:rPr>
        <w:t>发包人供应的材料与工程设备的保管与使用</w:t>
      </w:r>
    </w:p>
    <w:p w14:paraId="104036F2">
      <w:pPr>
        <w:autoSpaceDE w:val="0"/>
        <w:autoSpaceDN w:val="0"/>
        <w:adjustRightInd w:val="0"/>
        <w:spacing w:line="360" w:lineRule="auto"/>
        <w:ind w:firstLine="420" w:firstLineChars="200"/>
        <w:rPr>
          <w:rFonts w:ascii="宋体" w:hAnsi="宋体" w:cs="宋体"/>
          <w:b/>
          <w:bCs/>
          <w:color w:val="auto"/>
          <w:highlight w:val="none"/>
          <w:lang w:val="zh-CN"/>
        </w:rPr>
      </w:pPr>
      <w:r>
        <w:rPr>
          <w:rFonts w:hint="eastAsia" w:ascii="宋体" w:hAnsi="宋体" w:cs="宋体"/>
          <w:color w:val="auto"/>
          <w:highlight w:val="none"/>
          <w:lang w:val="zh-CN"/>
        </w:rPr>
        <w:t>8.</w:t>
      </w:r>
      <w:r>
        <w:rPr>
          <w:rFonts w:ascii="宋体" w:hAnsi="宋体" w:cs="宋体"/>
          <w:color w:val="auto"/>
          <w:highlight w:val="none"/>
          <w:lang w:val="zh-CN"/>
        </w:rPr>
        <w:t>2</w:t>
      </w:r>
      <w:r>
        <w:rPr>
          <w:rFonts w:hint="eastAsia" w:ascii="宋体" w:hAnsi="宋体" w:cs="宋体"/>
          <w:color w:val="auto"/>
          <w:highlight w:val="none"/>
          <w:lang w:val="zh-CN"/>
        </w:rPr>
        <w:t>.1发包人供应材料设备的保管费用的承担</w:t>
      </w:r>
      <w:r>
        <w:rPr>
          <w:rFonts w:hint="eastAsia" w:ascii="宋体" w:hAnsi="宋体" w:cs="宋体"/>
          <w:b/>
          <w:bCs/>
          <w:color w:val="auto"/>
          <w:highlight w:val="none"/>
          <w:lang w:val="zh-CN"/>
        </w:rPr>
        <w:t>：</w:t>
      </w:r>
      <w:r>
        <w:rPr>
          <w:rFonts w:hint="eastAsia" w:ascii="宋体" w:hAnsi="宋体" w:cs="宋体"/>
          <w:b/>
          <w:bCs/>
          <w:color w:val="auto"/>
          <w:highlight w:val="none"/>
          <w:u w:val="single"/>
          <w:lang w:val="zh-CN"/>
        </w:rPr>
        <w:t xml:space="preserve">      /    </w:t>
      </w:r>
      <w:r>
        <w:rPr>
          <w:rFonts w:hint="eastAsia" w:ascii="宋体" w:hAnsi="宋体" w:cs="宋体"/>
          <w:b/>
          <w:bCs/>
          <w:color w:val="auto"/>
          <w:highlight w:val="none"/>
          <w:lang w:val="zh-CN"/>
        </w:rPr>
        <w:t>。</w:t>
      </w:r>
    </w:p>
    <w:p w14:paraId="0A88A1E8">
      <w:pPr>
        <w:autoSpaceDE w:val="0"/>
        <w:autoSpaceDN w:val="0"/>
        <w:adjustRightInd w:val="0"/>
        <w:spacing w:line="360" w:lineRule="auto"/>
        <w:ind w:firstLine="422" w:firstLineChars="200"/>
        <w:rPr>
          <w:rFonts w:ascii="宋体" w:hAnsi="宋体" w:cs="宋体"/>
          <w:b/>
          <w:color w:val="auto"/>
          <w:highlight w:val="none"/>
          <w:u w:val="single"/>
          <w:lang w:val="zh-CN"/>
        </w:rPr>
      </w:pPr>
      <w:r>
        <w:rPr>
          <w:rFonts w:hint="eastAsia" w:ascii="宋体" w:hAnsi="宋体" w:cs="宋体"/>
          <w:b/>
          <w:color w:val="auto"/>
          <w:highlight w:val="none"/>
          <w:u w:val="single"/>
          <w:lang w:val="zh-CN"/>
        </w:rPr>
        <w:t>8.</w:t>
      </w:r>
      <w:r>
        <w:rPr>
          <w:rFonts w:ascii="宋体" w:hAnsi="宋体" w:cs="宋体"/>
          <w:b/>
          <w:color w:val="auto"/>
          <w:highlight w:val="none"/>
          <w:u w:val="single"/>
          <w:lang w:val="zh-CN"/>
        </w:rPr>
        <w:t>2</w:t>
      </w:r>
      <w:r>
        <w:rPr>
          <w:rFonts w:hint="eastAsia" w:ascii="宋体" w:hAnsi="宋体" w:cs="宋体"/>
          <w:b/>
          <w:color w:val="auto"/>
          <w:highlight w:val="none"/>
          <w:u w:val="single"/>
          <w:lang w:val="zh-CN"/>
        </w:rPr>
        <w:t xml:space="preserve">.1.1承包人应编制材料供应计划。合同生效后，一般材料承包人应提前15天向发包人按实提交所需甲供材料的品种、数量、规格、型号、质量等级，如有误差造成的损失由承包人承担。承包人上报发包人的材料计划经发包人和监理审核后，按工程进度采购。材料的进场、现场管理中承包人均应严格控制，杜绝浪费，严禁将材料私自带出施工现场。由发包人采购的材料和设备，发包人交货后，经承发包双方及监理共同验收合格后，承包人不得以任何理由拒绝接收，否则发生的额外费用由承包人承担。  </w:t>
      </w:r>
    </w:p>
    <w:p w14:paraId="36B7F967">
      <w:pPr>
        <w:autoSpaceDE w:val="0"/>
        <w:autoSpaceDN w:val="0"/>
        <w:adjustRightInd w:val="0"/>
        <w:spacing w:line="360" w:lineRule="auto"/>
        <w:ind w:firstLine="422" w:firstLineChars="200"/>
        <w:rPr>
          <w:rFonts w:ascii="宋体" w:hAnsi="宋体" w:cs="宋体"/>
          <w:b/>
          <w:color w:val="auto"/>
          <w:highlight w:val="none"/>
          <w:u w:val="single"/>
          <w:lang w:val="zh-CN"/>
        </w:rPr>
      </w:pPr>
      <w:r>
        <w:rPr>
          <w:rFonts w:hint="eastAsia" w:ascii="宋体" w:hAnsi="宋体" w:cs="宋体"/>
          <w:b/>
          <w:color w:val="auto"/>
          <w:highlight w:val="none"/>
          <w:u w:val="single"/>
          <w:lang w:val="zh-CN"/>
        </w:rPr>
        <w:t>8.</w:t>
      </w:r>
      <w:r>
        <w:rPr>
          <w:rFonts w:ascii="宋体" w:hAnsi="宋体" w:cs="宋体"/>
          <w:b/>
          <w:color w:val="auto"/>
          <w:highlight w:val="none"/>
          <w:u w:val="single"/>
          <w:lang w:val="zh-CN"/>
        </w:rPr>
        <w:t>2</w:t>
      </w:r>
      <w:r>
        <w:rPr>
          <w:rFonts w:hint="eastAsia" w:ascii="宋体" w:hAnsi="宋体" w:cs="宋体"/>
          <w:b/>
          <w:color w:val="auto"/>
          <w:highlight w:val="none"/>
          <w:u w:val="single"/>
          <w:lang w:val="zh-CN"/>
        </w:rPr>
        <w:t xml:space="preserve">.1.2由承包人采购的材料设备，在不能保证质量的前提下，发包人有权进行认质认价或保留材料甲供的权利。  </w:t>
      </w:r>
    </w:p>
    <w:p w14:paraId="4AE7C021">
      <w:pPr>
        <w:autoSpaceDE w:val="0"/>
        <w:autoSpaceDN w:val="0"/>
        <w:adjustRightInd w:val="0"/>
        <w:spacing w:line="360" w:lineRule="auto"/>
        <w:ind w:firstLine="422" w:firstLineChars="200"/>
        <w:rPr>
          <w:rFonts w:ascii="宋体" w:hAnsi="宋体" w:cs="宋体"/>
          <w:b/>
          <w:color w:val="auto"/>
          <w:highlight w:val="none"/>
          <w:u w:val="single"/>
          <w:lang w:val="zh-CN"/>
        </w:rPr>
      </w:pPr>
      <w:r>
        <w:rPr>
          <w:rFonts w:hint="eastAsia" w:ascii="宋体" w:hAnsi="宋体" w:cs="宋体"/>
          <w:b/>
          <w:color w:val="auto"/>
          <w:highlight w:val="none"/>
          <w:u w:val="single"/>
          <w:lang w:val="zh-CN"/>
        </w:rPr>
        <w:t>8.</w:t>
      </w:r>
      <w:r>
        <w:rPr>
          <w:rFonts w:ascii="宋体" w:hAnsi="宋体" w:cs="宋体"/>
          <w:b/>
          <w:color w:val="auto"/>
          <w:highlight w:val="none"/>
          <w:u w:val="single"/>
          <w:lang w:val="zh-CN"/>
        </w:rPr>
        <w:t>2</w:t>
      </w:r>
      <w:r>
        <w:rPr>
          <w:rFonts w:hint="eastAsia" w:ascii="宋体" w:hAnsi="宋体" w:cs="宋体"/>
          <w:b/>
          <w:color w:val="auto"/>
          <w:highlight w:val="none"/>
          <w:u w:val="single"/>
          <w:lang w:val="zh-CN"/>
        </w:rPr>
        <w:t xml:space="preserve">.1.3承包人应对所有进场材料（如有甲供，包括甲供材料）按有关规定进行严格把关，如因材料出现的质量和安全事故由承包人负全责，并赔偿相应损失。  </w:t>
      </w:r>
    </w:p>
    <w:p w14:paraId="37C2986B">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8.</w:t>
      </w:r>
      <w:r>
        <w:rPr>
          <w:rFonts w:ascii="宋体" w:hAnsi="宋体" w:cs="宋体"/>
          <w:color w:val="auto"/>
          <w:highlight w:val="none"/>
          <w:lang w:val="zh-CN"/>
        </w:rPr>
        <w:t>3</w:t>
      </w:r>
      <w:r>
        <w:rPr>
          <w:rFonts w:hint="eastAsia" w:ascii="宋体" w:hAnsi="宋体" w:cs="宋体"/>
          <w:color w:val="auto"/>
          <w:highlight w:val="none"/>
          <w:lang w:val="zh-CN"/>
        </w:rPr>
        <w:t xml:space="preserve"> 样品</w:t>
      </w:r>
    </w:p>
    <w:p w14:paraId="3F5DFFF6">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8.</w:t>
      </w:r>
      <w:r>
        <w:rPr>
          <w:rFonts w:ascii="宋体" w:hAnsi="宋体" w:cs="宋体"/>
          <w:color w:val="auto"/>
          <w:highlight w:val="none"/>
          <w:lang w:val="zh-CN"/>
        </w:rPr>
        <w:t>3</w:t>
      </w:r>
      <w:r>
        <w:rPr>
          <w:rFonts w:hint="eastAsia" w:ascii="宋体" w:hAnsi="宋体" w:cs="宋体"/>
          <w:color w:val="auto"/>
          <w:highlight w:val="none"/>
          <w:lang w:val="zh-CN"/>
        </w:rPr>
        <w:t>.1样品的报送与封存</w:t>
      </w:r>
    </w:p>
    <w:p w14:paraId="143157F6">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需要承包人报送样品的材料或工程设备，样品的种类、名称、规格、数量要求：</w:t>
      </w:r>
    </w:p>
    <w:p w14:paraId="440838CE">
      <w:pPr>
        <w:adjustRightInd w:val="0"/>
        <w:spacing w:line="360" w:lineRule="auto"/>
        <w:ind w:firstLine="422" w:firstLineChars="200"/>
        <w:textAlignment w:val="baseline"/>
        <w:rPr>
          <w:rFonts w:ascii="宋体" w:hAnsi="宋体" w:cs="宋体"/>
          <w:b/>
          <w:color w:val="auto"/>
          <w:highlight w:val="none"/>
          <w:u w:val="single"/>
        </w:rPr>
      </w:pPr>
      <w:r>
        <w:rPr>
          <w:rFonts w:hint="eastAsia" w:ascii="宋体" w:hAnsi="宋体" w:cs="宋体"/>
          <w:b/>
          <w:color w:val="auto"/>
          <w:highlight w:val="none"/>
          <w:u w:val="single"/>
          <w:lang w:val="zh-CN"/>
        </w:rPr>
        <w:t>8.</w:t>
      </w:r>
      <w:r>
        <w:rPr>
          <w:rFonts w:ascii="宋体" w:hAnsi="宋体" w:cs="宋体"/>
          <w:b/>
          <w:color w:val="auto"/>
          <w:highlight w:val="none"/>
          <w:u w:val="single"/>
          <w:lang w:val="zh-CN"/>
        </w:rPr>
        <w:t>3</w:t>
      </w:r>
      <w:r>
        <w:rPr>
          <w:rFonts w:hint="eastAsia" w:ascii="宋体" w:hAnsi="宋体" w:cs="宋体"/>
          <w:b/>
          <w:color w:val="auto"/>
          <w:highlight w:val="none"/>
          <w:u w:val="single"/>
          <w:lang w:val="zh-CN"/>
        </w:rPr>
        <w:t>.1.1</w:t>
      </w:r>
      <w:r>
        <w:rPr>
          <w:rFonts w:hint="eastAsia" w:ascii="宋体" w:hAnsi="宋体" w:cs="宋体"/>
          <w:b/>
          <w:color w:val="auto"/>
          <w:highlight w:val="none"/>
          <w:u w:val="single"/>
        </w:rPr>
        <w:t>承包人在材料使用前，须向监理报验，并见证抽样送检。未经确认的材料，不得用于工程，发包人抽查发现使用的材料无报验手续或不合格，可指令停工，要求返工。所发生的费用由承包人承担，工期不予顺延。</w:t>
      </w:r>
    </w:p>
    <w:p w14:paraId="0A7818C5">
      <w:pPr>
        <w:autoSpaceDE w:val="0"/>
        <w:autoSpaceDN w:val="0"/>
        <w:adjustRightInd w:val="0"/>
        <w:spacing w:line="360" w:lineRule="auto"/>
        <w:ind w:firstLine="422" w:firstLineChars="200"/>
        <w:rPr>
          <w:rFonts w:ascii="宋体" w:hAnsi="宋体" w:cs="宋体"/>
          <w:b/>
          <w:bCs/>
          <w:color w:val="auto"/>
          <w:highlight w:val="none"/>
        </w:rPr>
      </w:pPr>
      <w:r>
        <w:rPr>
          <w:rFonts w:hint="eastAsia" w:ascii="宋体" w:hAnsi="宋体" w:cs="宋体"/>
          <w:b/>
          <w:bCs/>
          <w:color w:val="auto"/>
          <w:highlight w:val="none"/>
          <w:u w:val="single"/>
          <w:lang w:val="zh-CN"/>
        </w:rPr>
        <w:t>8.</w:t>
      </w:r>
      <w:r>
        <w:rPr>
          <w:rFonts w:ascii="宋体" w:hAnsi="宋体" w:cs="宋体"/>
          <w:b/>
          <w:bCs/>
          <w:color w:val="auto"/>
          <w:highlight w:val="none"/>
          <w:u w:val="single"/>
          <w:lang w:val="zh-CN"/>
        </w:rPr>
        <w:t>3</w:t>
      </w:r>
      <w:r>
        <w:rPr>
          <w:rFonts w:hint="eastAsia" w:ascii="宋体" w:hAnsi="宋体" w:cs="宋体"/>
          <w:b/>
          <w:bCs/>
          <w:color w:val="auto"/>
          <w:highlight w:val="none"/>
          <w:u w:val="single"/>
          <w:lang w:val="zh-CN"/>
        </w:rPr>
        <w:t>.1.2 本工程的所有材料，均由承包人按设计文件及规范要求自行采购和保管，使用前，要有质保书或出厂合格证，并进行有关必要的检验或试验，合格后方可使用。承包人必须在监理人现场见证的情况下取样、封样和送样，样品须送至发包人指定的试验检测机构进行检测，否则不予认可。</w:t>
      </w:r>
    </w:p>
    <w:p w14:paraId="3C5B008E">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8.</w:t>
      </w:r>
      <w:r>
        <w:rPr>
          <w:rFonts w:ascii="宋体" w:hAnsi="宋体" w:cs="宋体"/>
          <w:color w:val="auto"/>
          <w:highlight w:val="none"/>
          <w:lang w:val="zh-CN"/>
        </w:rPr>
        <w:t>4</w:t>
      </w:r>
      <w:r>
        <w:rPr>
          <w:rFonts w:hint="eastAsia" w:ascii="宋体" w:hAnsi="宋体" w:cs="宋体"/>
          <w:color w:val="auto"/>
          <w:highlight w:val="none"/>
          <w:lang w:val="zh-CN"/>
        </w:rPr>
        <w:t>施工设备和临时设施</w:t>
      </w:r>
    </w:p>
    <w:p w14:paraId="0A3109E7">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8</w:t>
      </w:r>
      <w:r>
        <w:rPr>
          <w:rFonts w:ascii="宋体" w:hAnsi="宋体" w:cs="宋体"/>
          <w:color w:val="auto"/>
          <w:highlight w:val="none"/>
          <w:lang w:val="zh-CN"/>
        </w:rPr>
        <w:t>.4</w:t>
      </w:r>
      <w:r>
        <w:rPr>
          <w:rFonts w:hint="eastAsia" w:ascii="宋体" w:hAnsi="宋体" w:cs="宋体"/>
          <w:color w:val="auto"/>
          <w:highlight w:val="none"/>
          <w:lang w:val="zh-CN"/>
        </w:rPr>
        <w:t>.1承包人提供的施工设备和临时设施</w:t>
      </w:r>
    </w:p>
    <w:p w14:paraId="16558CE1">
      <w:pPr>
        <w:autoSpaceDE w:val="0"/>
        <w:autoSpaceDN w:val="0"/>
        <w:adjustRightInd w:val="0"/>
        <w:spacing w:line="360" w:lineRule="auto"/>
        <w:ind w:firstLine="420" w:firstLineChars="200"/>
        <w:rPr>
          <w:rFonts w:ascii="宋体" w:hAnsi="宋体" w:cs="宋体"/>
          <w:b/>
          <w:bCs/>
          <w:color w:val="auto"/>
          <w:highlight w:val="none"/>
          <w:u w:val="single"/>
          <w:lang w:val="zh-CN"/>
        </w:rPr>
      </w:pPr>
      <w:r>
        <w:rPr>
          <w:rFonts w:hint="eastAsia" w:ascii="宋体" w:hAnsi="宋体" w:cs="宋体"/>
          <w:color w:val="auto"/>
          <w:highlight w:val="none"/>
          <w:lang w:val="zh-CN"/>
        </w:rPr>
        <w:t>关于修建临时设施费用承担的约定：</w:t>
      </w:r>
      <w:r>
        <w:rPr>
          <w:rFonts w:hint="eastAsia" w:ascii="宋体" w:hAnsi="宋体" w:cs="宋体"/>
          <w:b/>
          <w:bCs/>
          <w:color w:val="auto"/>
          <w:highlight w:val="none"/>
          <w:u w:val="single"/>
          <w:lang w:val="zh-CN"/>
        </w:rPr>
        <w:t>由承包人承担。</w:t>
      </w:r>
    </w:p>
    <w:p w14:paraId="6B0A62C9">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9.试验与检验</w:t>
      </w:r>
    </w:p>
    <w:p w14:paraId="087CAB10">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9.1试验设备与试验人员</w:t>
      </w:r>
    </w:p>
    <w:p w14:paraId="31BB49F9">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9.1.</w:t>
      </w:r>
      <w:r>
        <w:rPr>
          <w:rFonts w:ascii="宋体" w:hAnsi="宋体" w:cs="宋体"/>
          <w:color w:val="auto"/>
          <w:highlight w:val="none"/>
          <w:lang w:val="zh-CN"/>
        </w:rPr>
        <w:t>1</w:t>
      </w:r>
      <w:r>
        <w:rPr>
          <w:rFonts w:hint="eastAsia" w:ascii="宋体" w:hAnsi="宋体" w:cs="宋体"/>
          <w:color w:val="auto"/>
          <w:highlight w:val="none"/>
          <w:lang w:val="zh-CN"/>
        </w:rPr>
        <w:t>试验设备</w:t>
      </w:r>
    </w:p>
    <w:p w14:paraId="7911A208">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施工现场需要配置的试验场所：</w:t>
      </w:r>
      <w:r>
        <w:rPr>
          <w:rFonts w:hint="eastAsia" w:ascii="宋体" w:hAnsi="宋体" w:cs="宋体"/>
          <w:color w:val="auto"/>
          <w:highlight w:val="none"/>
          <w:u w:val="single"/>
          <w:lang w:val="zh-CN"/>
        </w:rPr>
        <w:t xml:space="preserve">  </w:t>
      </w:r>
      <w:r>
        <w:rPr>
          <w:rFonts w:hint="eastAsia" w:ascii="宋体" w:hAnsi="宋体" w:cs="宋体"/>
          <w:b/>
          <w:bCs/>
          <w:color w:val="auto"/>
          <w:highlight w:val="none"/>
          <w:u w:val="single"/>
          <w:lang w:val="zh-CN"/>
        </w:rPr>
        <w:t xml:space="preserve"> 按有关规定</w:t>
      </w:r>
      <w:r>
        <w:rPr>
          <w:rFonts w:hint="eastAsia" w:ascii="宋体" w:hAnsi="宋体" w:cs="宋体"/>
          <w:b/>
          <w:bCs/>
          <w:color w:val="auto"/>
          <w:highlight w:val="none"/>
          <w:u w:val="single"/>
        </w:rPr>
        <w:t xml:space="preserve"> </w:t>
      </w:r>
      <w:r>
        <w:rPr>
          <w:rFonts w:hint="eastAsia" w:ascii="宋体" w:hAnsi="宋体" w:cs="宋体"/>
          <w:b/>
          <w:bCs/>
          <w:color w:val="auto"/>
          <w:highlight w:val="none"/>
          <w:u w:val="single"/>
          <w:lang w:val="zh-CN"/>
        </w:rPr>
        <w:t xml:space="preserve">             </w:t>
      </w:r>
      <w:r>
        <w:rPr>
          <w:rFonts w:hint="eastAsia" w:ascii="宋体" w:hAnsi="宋体" w:cs="宋体"/>
          <w:color w:val="auto"/>
          <w:highlight w:val="none"/>
          <w:lang w:val="zh-CN"/>
        </w:rPr>
        <w:t xml:space="preserve">。 </w:t>
      </w:r>
    </w:p>
    <w:p w14:paraId="3481FF2C">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施工现场需要配备的试验设备：</w:t>
      </w:r>
      <w:r>
        <w:rPr>
          <w:rFonts w:hint="eastAsia" w:ascii="宋体" w:hAnsi="宋体" w:cs="宋体"/>
          <w:color w:val="auto"/>
          <w:highlight w:val="none"/>
          <w:u w:val="single"/>
          <w:lang w:val="zh-CN"/>
        </w:rPr>
        <w:t xml:space="preserve">  </w:t>
      </w:r>
      <w:r>
        <w:rPr>
          <w:rFonts w:hint="eastAsia" w:ascii="宋体" w:hAnsi="宋体" w:cs="宋体"/>
          <w:b/>
          <w:bCs/>
          <w:color w:val="auto"/>
          <w:highlight w:val="none"/>
          <w:u w:val="single"/>
          <w:lang w:val="zh-CN"/>
        </w:rPr>
        <w:t xml:space="preserve">  按有关规定</w:t>
      </w:r>
      <w:r>
        <w:rPr>
          <w:rFonts w:hint="eastAsia" w:ascii="宋体" w:hAnsi="宋体" w:cs="宋体"/>
          <w:b/>
          <w:bCs/>
          <w:color w:val="auto"/>
          <w:highlight w:val="none"/>
          <w:u w:val="single"/>
        </w:rPr>
        <w:t xml:space="preserve"> </w:t>
      </w:r>
      <w:r>
        <w:rPr>
          <w:rFonts w:hint="eastAsia" w:ascii="宋体" w:hAnsi="宋体" w:cs="宋体"/>
          <w:b/>
          <w:bCs/>
          <w:color w:val="auto"/>
          <w:highlight w:val="none"/>
          <w:u w:val="single"/>
          <w:lang w:val="zh-CN"/>
        </w:rPr>
        <w:t xml:space="preserve">             </w:t>
      </w:r>
      <w:r>
        <w:rPr>
          <w:rFonts w:hint="eastAsia" w:ascii="宋体" w:hAnsi="宋体" w:cs="宋体"/>
          <w:color w:val="auto"/>
          <w:highlight w:val="none"/>
          <w:lang w:val="zh-CN"/>
        </w:rPr>
        <w:t>。</w:t>
      </w:r>
    </w:p>
    <w:p w14:paraId="7A2714F8">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施工现场需要具备的其他试验条件：</w:t>
      </w:r>
      <w:r>
        <w:rPr>
          <w:rFonts w:hint="eastAsia" w:ascii="宋体" w:hAnsi="宋体" w:cs="宋体"/>
          <w:color w:val="auto"/>
          <w:highlight w:val="none"/>
          <w:u w:val="single"/>
          <w:lang w:val="zh-CN"/>
        </w:rPr>
        <w:t xml:space="preserve">    /      </w:t>
      </w:r>
      <w:r>
        <w:rPr>
          <w:rFonts w:hint="eastAsia" w:ascii="宋体" w:hAnsi="宋体" w:cs="宋体"/>
          <w:color w:val="auto"/>
          <w:highlight w:val="none"/>
          <w:lang w:val="zh-CN"/>
        </w:rPr>
        <w:t>。</w:t>
      </w:r>
    </w:p>
    <w:p w14:paraId="485C7411">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9.</w:t>
      </w:r>
      <w:r>
        <w:rPr>
          <w:rFonts w:ascii="宋体" w:hAnsi="宋体" w:cs="宋体"/>
          <w:color w:val="auto"/>
          <w:highlight w:val="none"/>
          <w:lang w:val="zh-CN"/>
        </w:rPr>
        <w:t>2</w:t>
      </w:r>
      <w:r>
        <w:rPr>
          <w:rFonts w:hint="eastAsia" w:ascii="宋体" w:hAnsi="宋体" w:cs="宋体"/>
          <w:color w:val="auto"/>
          <w:highlight w:val="none"/>
          <w:lang w:val="zh-CN"/>
        </w:rPr>
        <w:t xml:space="preserve">现场工艺试验 </w:t>
      </w:r>
    </w:p>
    <w:p w14:paraId="1DDD8153">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现场工艺试验的有关约定：</w:t>
      </w:r>
      <w:r>
        <w:rPr>
          <w:rFonts w:hint="eastAsia" w:ascii="宋体" w:hAnsi="宋体" w:cs="宋体"/>
          <w:color w:val="auto"/>
          <w:highlight w:val="none"/>
          <w:u w:val="single"/>
          <w:lang w:val="zh-CN"/>
        </w:rPr>
        <w:t xml:space="preserve">      /             </w:t>
      </w:r>
      <w:r>
        <w:rPr>
          <w:rFonts w:hint="eastAsia" w:ascii="宋体" w:hAnsi="宋体" w:cs="宋体"/>
          <w:color w:val="auto"/>
          <w:highlight w:val="none"/>
          <w:lang w:val="zh-CN"/>
        </w:rPr>
        <w:t>。</w:t>
      </w:r>
    </w:p>
    <w:p w14:paraId="55B71C20">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10.变更</w:t>
      </w:r>
    </w:p>
    <w:p w14:paraId="6CBEE2B2">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10.1变更的范围</w:t>
      </w:r>
    </w:p>
    <w:p w14:paraId="720BB628">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关于变更的范围的约定：</w:t>
      </w:r>
      <w:r>
        <w:rPr>
          <w:rFonts w:hint="eastAsia" w:ascii="宋体" w:hAnsi="宋体" w:cs="宋体"/>
          <w:color w:val="auto"/>
          <w:highlight w:val="none"/>
          <w:u w:val="single"/>
          <w:lang w:val="zh-CN"/>
        </w:rPr>
        <w:t xml:space="preserve"> </w:t>
      </w:r>
      <w:r>
        <w:rPr>
          <w:rFonts w:hint="eastAsia" w:ascii="宋体" w:hAnsi="宋体" w:cs="宋体"/>
          <w:b/>
          <w:bCs/>
          <w:color w:val="auto"/>
          <w:highlight w:val="none"/>
          <w:u w:val="single"/>
          <w:lang w:val="zh-CN"/>
        </w:rPr>
        <w:t>按通用条款约定</w:t>
      </w:r>
      <w:r>
        <w:rPr>
          <w:rFonts w:hint="eastAsia" w:ascii="宋体" w:hAnsi="宋体" w:cs="宋体"/>
          <w:b/>
          <w:bCs/>
          <w:color w:val="auto"/>
          <w:highlight w:val="none"/>
          <w:u w:val="single"/>
        </w:rPr>
        <w:t xml:space="preserve"> </w:t>
      </w:r>
      <w:r>
        <w:rPr>
          <w:rFonts w:hint="eastAsia" w:ascii="宋体" w:hAnsi="宋体" w:cs="宋体"/>
          <w:color w:val="auto"/>
          <w:highlight w:val="none"/>
          <w:lang w:val="zh-CN"/>
        </w:rPr>
        <w:t>。</w:t>
      </w:r>
    </w:p>
    <w:p w14:paraId="46580129">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10.</w:t>
      </w:r>
      <w:r>
        <w:rPr>
          <w:rFonts w:ascii="宋体" w:hAnsi="宋体" w:cs="宋体"/>
          <w:color w:val="auto"/>
          <w:highlight w:val="none"/>
          <w:lang w:val="zh-CN"/>
        </w:rPr>
        <w:t>2</w:t>
      </w:r>
      <w:r>
        <w:rPr>
          <w:rFonts w:hint="eastAsia" w:ascii="宋体" w:hAnsi="宋体" w:cs="宋体"/>
          <w:color w:val="auto"/>
          <w:highlight w:val="none"/>
          <w:lang w:val="zh-CN"/>
        </w:rPr>
        <w:t>变更估价</w:t>
      </w:r>
    </w:p>
    <w:p w14:paraId="393159A3">
      <w:pPr>
        <w:spacing w:line="360" w:lineRule="auto"/>
        <w:ind w:firstLine="420" w:firstLineChars="200"/>
        <w:jc w:val="left"/>
        <w:rPr>
          <w:rFonts w:ascii="宋体" w:hAnsi="宋体" w:cs="宋体"/>
          <w:color w:val="auto"/>
          <w:highlight w:val="none"/>
        </w:rPr>
      </w:pPr>
      <w:r>
        <w:rPr>
          <w:rFonts w:hint="eastAsia" w:ascii="宋体" w:hAnsi="宋体" w:cs="宋体"/>
          <w:color w:val="auto"/>
          <w:highlight w:val="none"/>
        </w:rPr>
        <w:t>10.</w:t>
      </w:r>
      <w:r>
        <w:rPr>
          <w:rFonts w:ascii="宋体" w:hAnsi="宋体" w:cs="宋体"/>
          <w:color w:val="auto"/>
          <w:highlight w:val="none"/>
        </w:rPr>
        <w:t>2</w:t>
      </w:r>
      <w:r>
        <w:rPr>
          <w:rFonts w:hint="eastAsia" w:ascii="宋体" w:hAnsi="宋体" w:cs="宋体"/>
          <w:color w:val="auto"/>
          <w:highlight w:val="none"/>
        </w:rPr>
        <w:t>.1变更估价原则</w:t>
      </w:r>
    </w:p>
    <w:p w14:paraId="35489097">
      <w:pPr>
        <w:spacing w:line="360" w:lineRule="auto"/>
        <w:ind w:firstLine="420" w:firstLineChars="200"/>
        <w:jc w:val="left"/>
        <w:rPr>
          <w:rFonts w:ascii="宋体" w:hAnsi="宋体" w:cs="宋体"/>
          <w:color w:val="auto"/>
          <w:highlight w:val="none"/>
        </w:rPr>
      </w:pPr>
      <w:r>
        <w:rPr>
          <w:rFonts w:hint="eastAsia" w:ascii="宋体" w:hAnsi="宋体" w:cs="宋体"/>
          <w:color w:val="auto"/>
          <w:highlight w:val="none"/>
        </w:rPr>
        <w:t>变更合同价款按下列方式进行：</w:t>
      </w:r>
    </w:p>
    <w:p w14:paraId="3BDFCA8C">
      <w:pPr>
        <w:autoSpaceDE w:val="0"/>
        <w:autoSpaceDN w:val="0"/>
        <w:adjustRightInd w:val="0"/>
        <w:spacing w:line="360" w:lineRule="auto"/>
        <w:ind w:firstLine="422" w:firstLineChars="200"/>
        <w:rPr>
          <w:rFonts w:ascii="宋体" w:hAnsi="宋体" w:cs="宋体"/>
          <w:b/>
          <w:bCs/>
          <w:color w:val="auto"/>
          <w:highlight w:val="none"/>
          <w:u w:val="single"/>
        </w:rPr>
      </w:pPr>
      <w:r>
        <w:rPr>
          <w:rFonts w:ascii="宋体" w:hAnsi="宋体" w:cs="宋体"/>
          <w:b/>
          <w:bCs/>
          <w:color w:val="auto"/>
          <w:highlight w:val="none"/>
          <w:u w:val="single"/>
        </w:rPr>
        <w:t>10.2.1.1</w:t>
      </w:r>
      <w:r>
        <w:rPr>
          <w:rFonts w:hint="eastAsia" w:ascii="宋体" w:hAnsi="宋体" w:cs="宋体"/>
          <w:b/>
          <w:bCs/>
          <w:color w:val="auto"/>
          <w:highlight w:val="none"/>
          <w:u w:val="single"/>
        </w:rPr>
        <w:t xml:space="preserve">承包人应在工程设计变更或工程量签证确定后14天内，提出变更工程价款报告，经监理机构审批后调整合同价款，否则，视为该工程不涉及合同价款的变更。 </w:t>
      </w:r>
    </w:p>
    <w:p w14:paraId="136A2099">
      <w:pPr>
        <w:spacing w:line="360" w:lineRule="auto"/>
        <w:ind w:firstLine="422" w:firstLineChars="200"/>
        <w:jc w:val="left"/>
        <w:rPr>
          <w:rFonts w:ascii="宋体" w:hAnsi="宋体" w:cs="宋体"/>
          <w:b/>
          <w:bCs/>
          <w:color w:val="auto"/>
          <w:highlight w:val="none"/>
          <w:u w:val="single"/>
        </w:rPr>
      </w:pPr>
      <w:r>
        <w:rPr>
          <w:rFonts w:ascii="宋体" w:hAnsi="宋体" w:cs="宋体"/>
          <w:b/>
          <w:bCs/>
          <w:color w:val="auto"/>
          <w:highlight w:val="none"/>
          <w:u w:val="single"/>
        </w:rPr>
        <w:t>10.2.1.2</w:t>
      </w:r>
      <w:r>
        <w:rPr>
          <w:rFonts w:hint="eastAsia" w:ascii="宋体" w:hAnsi="宋体" w:cs="宋体"/>
          <w:b/>
          <w:bCs/>
          <w:color w:val="auto"/>
          <w:highlight w:val="none"/>
          <w:u w:val="single"/>
        </w:rPr>
        <w:t>承包人不得随意更改设计，因承包人自身原因导致的工程变更，承包人无权要求追加合同价款。承包人提出的合理化建议等涉及到设计变更或补充的，应征得总监及发包人同意。</w:t>
      </w:r>
      <w:r>
        <w:rPr>
          <w:rFonts w:hint="eastAsia" w:ascii="宋体" w:hAnsi="宋体" w:cs="宋体"/>
          <w:b/>
          <w:color w:val="auto"/>
          <w:highlight w:val="none"/>
          <w:u w:val="single"/>
        </w:rPr>
        <w:t>如承包人擅自变更，发包人有权对其进行处罚，视情节严重每次处以2万元的处罚。</w:t>
      </w:r>
    </w:p>
    <w:p w14:paraId="697148D9">
      <w:pPr>
        <w:autoSpaceDE w:val="0"/>
        <w:autoSpaceDN w:val="0"/>
        <w:adjustRightInd w:val="0"/>
        <w:spacing w:line="360" w:lineRule="auto"/>
        <w:ind w:firstLine="422" w:firstLineChars="200"/>
        <w:rPr>
          <w:rFonts w:ascii="宋体" w:hAnsi="宋体" w:cs="宋体"/>
          <w:b/>
          <w:bCs/>
          <w:color w:val="auto"/>
          <w:highlight w:val="none"/>
          <w:u w:val="single"/>
        </w:rPr>
      </w:pPr>
      <w:r>
        <w:rPr>
          <w:rFonts w:ascii="宋体" w:hAnsi="宋体" w:cs="宋体"/>
          <w:b/>
          <w:bCs/>
          <w:color w:val="auto"/>
          <w:highlight w:val="none"/>
          <w:u w:val="single"/>
        </w:rPr>
        <w:t>10.2.1.3</w:t>
      </w:r>
      <w:r>
        <w:rPr>
          <w:rFonts w:hint="eastAsia" w:ascii="宋体" w:hAnsi="宋体" w:cs="宋体"/>
          <w:b/>
          <w:bCs/>
          <w:color w:val="auto"/>
          <w:highlight w:val="none"/>
          <w:u w:val="single"/>
        </w:rPr>
        <w:t>设计变更、签证资料必须及时报经监理初审，并报发包人确认，隐蔽性工程的变更签证要在五日内办理完成，其它变更签证半个月内办理完成，逾期签证发包人将不予受理。</w:t>
      </w:r>
    </w:p>
    <w:p w14:paraId="3A04A0AC">
      <w:pPr>
        <w:autoSpaceDE w:val="0"/>
        <w:autoSpaceDN w:val="0"/>
        <w:adjustRightInd w:val="0"/>
        <w:spacing w:line="360" w:lineRule="auto"/>
        <w:ind w:firstLine="422" w:firstLineChars="200"/>
        <w:rPr>
          <w:rFonts w:ascii="宋体" w:hAnsi="宋体" w:cs="宋体"/>
          <w:b/>
          <w:bCs/>
          <w:color w:val="auto"/>
          <w:highlight w:val="none"/>
          <w:u w:val="single"/>
        </w:rPr>
      </w:pPr>
      <w:r>
        <w:rPr>
          <w:rFonts w:ascii="宋体" w:hAnsi="宋体" w:cs="宋体"/>
          <w:b/>
          <w:bCs/>
          <w:color w:val="auto"/>
          <w:highlight w:val="none"/>
          <w:u w:val="single"/>
        </w:rPr>
        <w:t>10.2.1.4</w:t>
      </w:r>
      <w:r>
        <w:rPr>
          <w:rFonts w:hint="eastAsia" w:ascii="宋体" w:hAnsi="宋体" w:cs="宋体"/>
          <w:b/>
          <w:bCs/>
          <w:color w:val="auto"/>
          <w:highlight w:val="none"/>
          <w:u w:val="single"/>
        </w:rPr>
        <w:t>工程变更价款调整：详见本合同专业条款第12.1条。</w:t>
      </w:r>
    </w:p>
    <w:p w14:paraId="5E94B947">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10.</w:t>
      </w:r>
      <w:r>
        <w:rPr>
          <w:rFonts w:ascii="宋体" w:hAnsi="宋体" w:cs="宋体"/>
          <w:color w:val="auto"/>
          <w:highlight w:val="none"/>
          <w:lang w:val="zh-CN"/>
        </w:rPr>
        <w:t>3</w:t>
      </w:r>
      <w:r>
        <w:rPr>
          <w:rFonts w:hint="eastAsia" w:ascii="宋体" w:hAnsi="宋体" w:cs="宋体"/>
          <w:color w:val="auto"/>
          <w:highlight w:val="none"/>
          <w:lang w:val="zh-CN"/>
        </w:rPr>
        <w:t>承包人的合理化建议</w:t>
      </w:r>
    </w:p>
    <w:p w14:paraId="0A94CDFC">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监理人审查承包人合理化建议的期限：</w:t>
      </w:r>
      <w:r>
        <w:rPr>
          <w:rFonts w:hint="eastAsia" w:ascii="宋体" w:hAnsi="宋体" w:cs="宋体"/>
          <w:color w:val="auto"/>
          <w:highlight w:val="none"/>
          <w:u w:val="single"/>
          <w:lang w:val="zh-CN"/>
        </w:rPr>
        <w:t xml:space="preserve"> </w:t>
      </w:r>
      <w:r>
        <w:rPr>
          <w:rFonts w:hint="eastAsia" w:ascii="宋体" w:hAnsi="宋体" w:cs="宋体"/>
          <w:b/>
          <w:bCs/>
          <w:color w:val="auto"/>
          <w:highlight w:val="none"/>
          <w:u w:val="single"/>
        </w:rPr>
        <w:t xml:space="preserve"> 3</w:t>
      </w:r>
      <w:r>
        <w:rPr>
          <w:rFonts w:hint="eastAsia" w:ascii="宋体" w:hAnsi="宋体" w:cs="宋体"/>
          <w:b/>
          <w:bCs/>
          <w:color w:val="auto"/>
          <w:highlight w:val="none"/>
          <w:u w:val="single"/>
          <w:lang w:val="zh-CN"/>
        </w:rPr>
        <w:t>日内</w:t>
      </w:r>
      <w:r>
        <w:rPr>
          <w:rFonts w:hint="eastAsia" w:ascii="宋体" w:hAnsi="宋体" w:cs="宋体"/>
          <w:b/>
          <w:bCs/>
          <w:color w:val="auto"/>
          <w:highlight w:val="none"/>
          <w:u w:val="single"/>
        </w:rPr>
        <w:t xml:space="preserve"> </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w:t>
      </w:r>
    </w:p>
    <w:p w14:paraId="09AEF353">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发包人审批承包人合理化建议的期限：</w:t>
      </w:r>
      <w:r>
        <w:rPr>
          <w:rFonts w:hint="eastAsia" w:ascii="宋体" w:hAnsi="宋体" w:cs="宋体"/>
          <w:color w:val="auto"/>
          <w:highlight w:val="none"/>
          <w:u w:val="single"/>
          <w:lang w:val="zh-CN"/>
        </w:rPr>
        <w:t xml:space="preserve"> </w:t>
      </w:r>
      <w:r>
        <w:rPr>
          <w:rFonts w:hint="eastAsia" w:ascii="宋体" w:hAnsi="宋体" w:cs="宋体"/>
          <w:b/>
          <w:bCs/>
          <w:color w:val="auto"/>
          <w:highlight w:val="none"/>
          <w:u w:val="single"/>
        </w:rPr>
        <w:t xml:space="preserve"> 7</w:t>
      </w:r>
      <w:r>
        <w:rPr>
          <w:rFonts w:hint="eastAsia" w:ascii="宋体" w:hAnsi="宋体" w:cs="宋体"/>
          <w:b/>
          <w:bCs/>
          <w:color w:val="auto"/>
          <w:highlight w:val="none"/>
          <w:u w:val="single"/>
          <w:lang w:val="zh-CN"/>
        </w:rPr>
        <w:t>日内</w:t>
      </w:r>
      <w:r>
        <w:rPr>
          <w:rFonts w:hint="eastAsia" w:ascii="宋体" w:hAnsi="宋体" w:cs="宋体"/>
          <w:b/>
          <w:bCs/>
          <w:color w:val="auto"/>
          <w:highlight w:val="none"/>
          <w:u w:val="single"/>
        </w:rPr>
        <w:t xml:space="preserve"> </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w:t>
      </w:r>
    </w:p>
    <w:p w14:paraId="17B9622A">
      <w:pPr>
        <w:autoSpaceDE w:val="0"/>
        <w:autoSpaceDN w:val="0"/>
        <w:adjustRightInd w:val="0"/>
        <w:spacing w:line="360" w:lineRule="auto"/>
        <w:ind w:firstLine="420" w:firstLineChars="200"/>
        <w:rPr>
          <w:rFonts w:ascii="宋体" w:hAnsi="宋体" w:cs="宋体"/>
          <w:color w:val="auto"/>
          <w:highlight w:val="none"/>
          <w:u w:val="single"/>
          <w:lang w:val="zh-CN"/>
        </w:rPr>
      </w:pPr>
      <w:r>
        <w:rPr>
          <w:rFonts w:hint="eastAsia" w:ascii="宋体" w:hAnsi="宋体" w:cs="宋体"/>
          <w:color w:val="auto"/>
          <w:highlight w:val="none"/>
          <w:lang w:val="zh-CN"/>
        </w:rPr>
        <w:t>承包人提出的合理化建议降低了合同价格或者提高了工程经济效益的奖励的方法和金额为：</w:t>
      </w:r>
      <w:r>
        <w:rPr>
          <w:rFonts w:hint="eastAsia" w:ascii="宋体" w:hAnsi="宋体" w:cs="宋体"/>
          <w:color w:val="auto"/>
          <w:highlight w:val="none"/>
          <w:u w:val="single"/>
          <w:lang w:val="zh-CN"/>
        </w:rPr>
        <w:t xml:space="preserve">    </w:t>
      </w:r>
      <w:r>
        <w:rPr>
          <w:rFonts w:hint="eastAsia" w:ascii="宋体" w:hAnsi="宋体" w:cs="宋体"/>
          <w:b/>
          <w:bCs/>
          <w:color w:val="auto"/>
          <w:highlight w:val="none"/>
          <w:u w:val="single"/>
        </w:rPr>
        <w:t xml:space="preserve">/  </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w:t>
      </w:r>
    </w:p>
    <w:p w14:paraId="3DF7A2C6">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10.</w:t>
      </w:r>
      <w:r>
        <w:rPr>
          <w:rFonts w:ascii="宋体" w:hAnsi="宋体" w:cs="宋体"/>
          <w:color w:val="auto"/>
          <w:highlight w:val="none"/>
          <w:lang w:val="zh-CN"/>
        </w:rPr>
        <w:t>4</w:t>
      </w:r>
      <w:r>
        <w:rPr>
          <w:rFonts w:hint="eastAsia" w:ascii="宋体" w:hAnsi="宋体" w:cs="宋体"/>
          <w:color w:val="auto"/>
          <w:highlight w:val="none"/>
          <w:lang w:val="zh-CN"/>
        </w:rPr>
        <w:t>暂估价</w:t>
      </w:r>
    </w:p>
    <w:p w14:paraId="602C64A3">
      <w:pPr>
        <w:spacing w:line="360" w:lineRule="auto"/>
        <w:ind w:firstLine="422" w:firstLineChars="200"/>
        <w:jc w:val="left"/>
        <w:rPr>
          <w:rFonts w:ascii="宋体" w:hAnsi="宋体" w:cs="宋体"/>
          <w:b/>
          <w:color w:val="auto"/>
          <w:highlight w:val="none"/>
        </w:rPr>
      </w:pPr>
      <w:r>
        <w:rPr>
          <w:rFonts w:hint="eastAsia" w:ascii="宋体" w:hAnsi="宋体" w:cs="宋体"/>
          <w:b/>
          <w:color w:val="auto"/>
          <w:highlight w:val="none"/>
        </w:rPr>
        <w:t>1</w:t>
      </w:r>
      <w:bookmarkStart w:id="45" w:name="_Toc312677509"/>
      <w:bookmarkStart w:id="46" w:name="_Toc318581177"/>
      <w:bookmarkStart w:id="47" w:name="_Toc312678035"/>
      <w:r>
        <w:rPr>
          <w:rFonts w:hint="eastAsia" w:ascii="宋体" w:hAnsi="宋体" w:cs="宋体"/>
          <w:b/>
          <w:color w:val="auto"/>
          <w:highlight w:val="none"/>
        </w:rPr>
        <w:t>0.</w:t>
      </w:r>
      <w:r>
        <w:rPr>
          <w:rFonts w:ascii="宋体" w:hAnsi="宋体" w:cs="宋体"/>
          <w:b/>
          <w:color w:val="auto"/>
          <w:highlight w:val="none"/>
        </w:rPr>
        <w:t>4</w:t>
      </w:r>
      <w:r>
        <w:rPr>
          <w:rFonts w:hint="eastAsia" w:ascii="宋体" w:hAnsi="宋体" w:cs="宋体"/>
          <w:b/>
          <w:color w:val="auto"/>
          <w:highlight w:val="none"/>
        </w:rPr>
        <w:t>.1依法必须招标的暂估价项目</w:t>
      </w:r>
    </w:p>
    <w:bookmarkEnd w:id="45"/>
    <w:bookmarkEnd w:id="46"/>
    <w:bookmarkEnd w:id="47"/>
    <w:p w14:paraId="221DB1D6">
      <w:pPr>
        <w:spacing w:line="360" w:lineRule="auto"/>
        <w:ind w:firstLine="420" w:firstLineChars="200"/>
        <w:jc w:val="left"/>
        <w:rPr>
          <w:rFonts w:ascii="宋体" w:hAnsi="宋体" w:cs="宋体"/>
          <w:color w:val="auto"/>
          <w:highlight w:val="none"/>
        </w:rPr>
      </w:pPr>
      <w:r>
        <w:rPr>
          <w:rFonts w:hint="eastAsia" w:ascii="宋体" w:hAnsi="宋体" w:cs="宋体"/>
          <w:color w:val="auto"/>
          <w:highlight w:val="none"/>
        </w:rPr>
        <w:t>对于依法必须招标的暂估价项目的确认和批准采取第</w:t>
      </w:r>
      <w:r>
        <w:rPr>
          <w:rFonts w:hint="eastAsia" w:ascii="宋体" w:hAnsi="宋体" w:cs="宋体"/>
          <w:color w:val="auto"/>
          <w:highlight w:val="none"/>
          <w:u w:val="single"/>
        </w:rPr>
        <w:t xml:space="preserve"> 2 </w:t>
      </w:r>
      <w:r>
        <w:rPr>
          <w:rFonts w:hint="eastAsia" w:ascii="宋体" w:hAnsi="宋体" w:cs="宋体"/>
          <w:color w:val="auto"/>
          <w:highlight w:val="none"/>
        </w:rPr>
        <w:t>种方式确定。</w:t>
      </w:r>
    </w:p>
    <w:p w14:paraId="683C1271">
      <w:pPr>
        <w:spacing w:line="360" w:lineRule="auto"/>
        <w:ind w:firstLine="420" w:firstLineChars="200"/>
        <w:jc w:val="left"/>
        <w:rPr>
          <w:rFonts w:ascii="宋体" w:hAnsi="宋体" w:cs="宋体"/>
          <w:color w:val="auto"/>
          <w:highlight w:val="none"/>
        </w:rPr>
      </w:pPr>
      <w:r>
        <w:rPr>
          <w:rFonts w:hint="eastAsia" w:ascii="宋体" w:hAnsi="宋体" w:cs="宋体"/>
          <w:color w:val="auto"/>
          <w:highlight w:val="none"/>
        </w:rPr>
        <w:t>第1种方式：对于依法必须招标的暂估价项目，由承包人招标，对该暂估价项目的确认和批准按照以下约定执行：</w:t>
      </w:r>
    </w:p>
    <w:p w14:paraId="639C5FA0">
      <w:pPr>
        <w:spacing w:line="360" w:lineRule="auto"/>
        <w:ind w:firstLine="420" w:firstLineChars="200"/>
        <w:jc w:val="left"/>
        <w:rPr>
          <w:rFonts w:ascii="宋体" w:hAnsi="宋体" w:cs="宋体"/>
          <w:color w:val="auto"/>
          <w:highlight w:val="none"/>
        </w:rPr>
      </w:pPr>
      <w:r>
        <w:rPr>
          <w:rFonts w:hint="eastAsia" w:ascii="宋体" w:hAnsi="宋体" w:cs="宋体"/>
          <w:color w:val="auto"/>
          <w:highlight w:val="none"/>
        </w:rPr>
        <w:t>（1）承包人应当根据施工进度计划，在招标工作启动前14天将招标方案通过监理人报送发包人审查，发包人应当在收到承包人报送的招标方案后7天内批准或提出修改意见。承包人应当按照经过发包人批准的招标方案开展招标工作；</w:t>
      </w:r>
    </w:p>
    <w:p w14:paraId="010D7085">
      <w:pPr>
        <w:spacing w:line="360" w:lineRule="auto"/>
        <w:ind w:firstLine="420" w:firstLineChars="200"/>
        <w:jc w:val="left"/>
        <w:rPr>
          <w:rFonts w:ascii="宋体" w:hAnsi="宋体" w:cs="宋体"/>
          <w:color w:val="auto"/>
          <w:highlight w:val="none"/>
        </w:rPr>
      </w:pPr>
      <w:r>
        <w:rPr>
          <w:rFonts w:hint="eastAsia" w:ascii="宋体" w:hAnsi="宋体" w:cs="宋体"/>
          <w:color w:val="auto"/>
          <w:highlight w:val="none"/>
        </w:rPr>
        <w:t>（2）承包人应当根据施工进度计划，提前14天将招标文件通过监理人报送发包人审批，发包人应当在收到承包人报送的相关文件后7天内完成审批或提出修改意见；发包人有权确定招标控制价并按照法律规定参加评标；</w:t>
      </w:r>
    </w:p>
    <w:p w14:paraId="7BA2474D">
      <w:pPr>
        <w:spacing w:line="360" w:lineRule="auto"/>
        <w:ind w:firstLine="420" w:firstLineChars="200"/>
        <w:jc w:val="left"/>
        <w:rPr>
          <w:rFonts w:ascii="宋体" w:hAnsi="宋体" w:cs="宋体"/>
          <w:color w:val="auto"/>
          <w:highlight w:val="none"/>
        </w:rPr>
      </w:pPr>
      <w:r>
        <w:rPr>
          <w:rFonts w:hint="eastAsia" w:ascii="宋体" w:hAnsi="宋体" w:cs="宋体"/>
          <w:color w:val="auto"/>
          <w:highlight w:val="none"/>
        </w:rPr>
        <w:t>（3）承包人与中标人、分包人在签订暂估价合同前，应当提前7天将确定的中标候选中标人或中标候选分包人的资料报送发包人，发包人应在收到资料后3天内与承包人共同确定中标人；承包人应当在签订合同后7天内，将暂估价合同副本报送发包人留存。</w:t>
      </w:r>
    </w:p>
    <w:p w14:paraId="1B963C87">
      <w:pPr>
        <w:spacing w:line="360" w:lineRule="auto"/>
        <w:ind w:firstLine="420" w:firstLineChars="200"/>
        <w:jc w:val="left"/>
        <w:rPr>
          <w:rFonts w:ascii="宋体" w:hAnsi="宋体" w:cs="宋体"/>
          <w:color w:val="auto"/>
          <w:highlight w:val="none"/>
        </w:rPr>
      </w:pPr>
      <w:r>
        <w:rPr>
          <w:rFonts w:hint="eastAsia" w:ascii="宋体" w:hAnsi="宋体" w:cs="宋体"/>
          <w:color w:val="auto"/>
          <w:highlight w:val="none"/>
        </w:rPr>
        <w:t>第2种方式：对于依法必须招标的暂估价项目，由承包人作为招标主体，发包人全过程监督，共同通过公开招标方式确定暂估价中标人或分包人的，承包人应按照施工进度计划，在招标工作启动前14天通知发包人，并提交暂估价招标方案和工作分工。发包人应在收到后7天内确认。确定中标人后，由发包人、承包人与中标人共同签订暂估价合同。</w:t>
      </w:r>
    </w:p>
    <w:p w14:paraId="6D9CC71B">
      <w:pPr>
        <w:spacing w:line="360" w:lineRule="auto"/>
        <w:ind w:firstLine="422" w:firstLineChars="200"/>
        <w:jc w:val="left"/>
        <w:rPr>
          <w:rFonts w:ascii="宋体" w:hAnsi="宋体" w:cs="宋体"/>
          <w:b/>
          <w:color w:val="auto"/>
          <w:highlight w:val="none"/>
        </w:rPr>
      </w:pPr>
      <w:r>
        <w:rPr>
          <w:rFonts w:hint="eastAsia" w:ascii="宋体" w:hAnsi="宋体" w:cs="宋体"/>
          <w:b/>
          <w:color w:val="auto"/>
          <w:highlight w:val="none"/>
        </w:rPr>
        <w:t>10.</w:t>
      </w:r>
      <w:r>
        <w:rPr>
          <w:rFonts w:ascii="宋体" w:hAnsi="宋体" w:cs="宋体"/>
          <w:b/>
          <w:color w:val="auto"/>
          <w:highlight w:val="none"/>
        </w:rPr>
        <w:t>4</w:t>
      </w:r>
      <w:r>
        <w:rPr>
          <w:rFonts w:hint="eastAsia" w:ascii="宋体" w:hAnsi="宋体" w:cs="宋体"/>
          <w:b/>
          <w:color w:val="auto"/>
          <w:highlight w:val="none"/>
        </w:rPr>
        <w:t>.2不属于依法必须招标的暂估价项目</w:t>
      </w:r>
    </w:p>
    <w:p w14:paraId="328F3C43">
      <w:pPr>
        <w:spacing w:line="360" w:lineRule="auto"/>
        <w:ind w:firstLine="420" w:firstLineChars="200"/>
        <w:jc w:val="left"/>
        <w:rPr>
          <w:rFonts w:ascii="宋体" w:hAnsi="宋体" w:cs="宋体"/>
          <w:color w:val="auto"/>
          <w:highlight w:val="none"/>
        </w:rPr>
      </w:pPr>
      <w:r>
        <w:rPr>
          <w:rFonts w:hint="eastAsia" w:ascii="宋体" w:hAnsi="宋体" w:cs="宋体"/>
          <w:color w:val="auto"/>
          <w:highlight w:val="none"/>
        </w:rPr>
        <w:t>对于不属于依法必须招标的暂估价项目的确认和批准采取第</w:t>
      </w:r>
      <w:r>
        <w:rPr>
          <w:rFonts w:hint="eastAsia" w:ascii="宋体" w:hAnsi="宋体" w:cs="宋体"/>
          <w:color w:val="auto"/>
          <w:highlight w:val="none"/>
          <w:u w:val="single"/>
        </w:rPr>
        <w:t xml:space="preserve"> 1 </w:t>
      </w:r>
      <w:r>
        <w:rPr>
          <w:rFonts w:hint="eastAsia" w:ascii="宋体" w:hAnsi="宋体" w:cs="宋体"/>
          <w:color w:val="auto"/>
          <w:highlight w:val="none"/>
        </w:rPr>
        <w:t xml:space="preserve"> 种方式确定。</w:t>
      </w:r>
    </w:p>
    <w:p w14:paraId="3C07AE15">
      <w:pPr>
        <w:spacing w:line="360" w:lineRule="auto"/>
        <w:ind w:firstLine="420" w:firstLineChars="200"/>
        <w:jc w:val="left"/>
        <w:rPr>
          <w:rFonts w:ascii="宋体" w:hAnsi="宋体" w:cs="宋体"/>
          <w:color w:val="auto"/>
          <w:highlight w:val="none"/>
        </w:rPr>
      </w:pPr>
      <w:r>
        <w:rPr>
          <w:rFonts w:hint="eastAsia" w:ascii="宋体" w:hAnsi="宋体" w:cs="宋体"/>
          <w:color w:val="auto"/>
          <w:highlight w:val="none"/>
        </w:rPr>
        <w:t>第1种方式：对于不属于依法必须招标的暂估价项目，按本项约定确认和批准：</w:t>
      </w:r>
    </w:p>
    <w:p w14:paraId="0DAE2A02">
      <w:pPr>
        <w:spacing w:line="360" w:lineRule="auto"/>
        <w:ind w:firstLine="420" w:firstLineChars="200"/>
        <w:jc w:val="left"/>
        <w:rPr>
          <w:rFonts w:ascii="宋体" w:hAnsi="宋体" w:cs="宋体"/>
          <w:color w:val="auto"/>
          <w:highlight w:val="none"/>
        </w:rPr>
      </w:pPr>
      <w:r>
        <w:rPr>
          <w:rFonts w:hint="eastAsia" w:ascii="宋体" w:hAnsi="宋体" w:cs="宋体"/>
          <w:color w:val="auto"/>
          <w:highlight w:val="none"/>
        </w:rPr>
        <w:t>（1）承包人应根据施工进度计划，在签订暂估价项目的采购合同、分包合同前28天向监理人提出书面申请。监理人应当在收到申请后3天内报送发包人，发包人应当在收到申请后14天内给予批准或提出修改意见，发包人逾期未予批准或提出修改意见的，视为该书面申请已获得同意；</w:t>
      </w:r>
    </w:p>
    <w:p w14:paraId="6D8E420D">
      <w:pPr>
        <w:spacing w:line="360" w:lineRule="auto"/>
        <w:ind w:firstLine="420" w:firstLineChars="200"/>
        <w:jc w:val="left"/>
        <w:rPr>
          <w:rFonts w:ascii="宋体" w:hAnsi="宋体" w:cs="宋体"/>
          <w:color w:val="auto"/>
          <w:highlight w:val="none"/>
        </w:rPr>
      </w:pPr>
      <w:r>
        <w:rPr>
          <w:rFonts w:hint="eastAsia" w:ascii="宋体" w:hAnsi="宋体" w:cs="宋体"/>
          <w:color w:val="auto"/>
          <w:highlight w:val="none"/>
        </w:rPr>
        <w:t>（2）发包人认为承包人确定的中标人、分包人无法满足工程质量或合同要求的，发包人可以要求承包人重新确定暂估价项目的中标人、分包人;</w:t>
      </w:r>
    </w:p>
    <w:p w14:paraId="0588D6D3">
      <w:pPr>
        <w:spacing w:line="360" w:lineRule="auto"/>
        <w:ind w:firstLine="420" w:firstLineChars="200"/>
        <w:jc w:val="left"/>
        <w:rPr>
          <w:rFonts w:ascii="宋体" w:hAnsi="宋体" w:cs="宋体"/>
          <w:color w:val="auto"/>
          <w:highlight w:val="none"/>
        </w:rPr>
      </w:pPr>
      <w:r>
        <w:rPr>
          <w:rFonts w:hint="eastAsia" w:ascii="宋体" w:hAnsi="宋体" w:cs="宋体"/>
          <w:color w:val="auto"/>
          <w:highlight w:val="none"/>
        </w:rPr>
        <w:t>（3）</w:t>
      </w:r>
      <w:r>
        <w:rPr>
          <w:rFonts w:hint="eastAsia" w:ascii="宋体" w:hAnsi="宋体" w:cs="宋体"/>
          <w:color w:val="auto"/>
          <w:spacing w:val="-4"/>
          <w:highlight w:val="none"/>
        </w:rPr>
        <w:t>承包人应当在签订暂估价合同后7天内，将暂估价合同副本报送发包人留存。</w:t>
      </w:r>
    </w:p>
    <w:p w14:paraId="6DA617EB">
      <w:pPr>
        <w:spacing w:line="360" w:lineRule="auto"/>
        <w:ind w:firstLine="420" w:firstLineChars="200"/>
        <w:jc w:val="left"/>
        <w:rPr>
          <w:rFonts w:ascii="宋体" w:hAnsi="宋体" w:cs="宋体"/>
          <w:color w:val="auto"/>
          <w:highlight w:val="none"/>
        </w:rPr>
      </w:pPr>
      <w:r>
        <w:rPr>
          <w:rFonts w:hint="eastAsia" w:ascii="宋体" w:hAnsi="宋体" w:cs="宋体"/>
          <w:color w:val="auto"/>
          <w:highlight w:val="none"/>
        </w:rPr>
        <w:t>第2种方式：承包人按照第10.</w:t>
      </w:r>
      <w:r>
        <w:rPr>
          <w:rFonts w:ascii="宋体" w:hAnsi="宋体" w:cs="宋体"/>
          <w:color w:val="auto"/>
          <w:highlight w:val="none"/>
        </w:rPr>
        <w:t>4</w:t>
      </w:r>
      <w:r>
        <w:rPr>
          <w:rFonts w:hint="eastAsia" w:ascii="宋体" w:hAnsi="宋体" w:cs="宋体"/>
          <w:color w:val="auto"/>
          <w:highlight w:val="none"/>
        </w:rPr>
        <w:t>.1项〔依法必须招标的暂估价项目〕约定的第1种方式确定暂估价项目。</w:t>
      </w:r>
    </w:p>
    <w:p w14:paraId="17F08637">
      <w:pPr>
        <w:spacing w:line="360" w:lineRule="auto"/>
        <w:ind w:firstLine="420" w:firstLineChars="200"/>
        <w:jc w:val="left"/>
        <w:rPr>
          <w:rFonts w:ascii="宋体" w:hAnsi="宋体" w:cs="宋体"/>
          <w:color w:val="auto"/>
          <w:highlight w:val="none"/>
        </w:rPr>
      </w:pPr>
      <w:r>
        <w:rPr>
          <w:rFonts w:hint="eastAsia" w:ascii="宋体" w:hAnsi="宋体" w:cs="宋体"/>
          <w:color w:val="auto"/>
          <w:highlight w:val="none"/>
        </w:rPr>
        <w:t>第3种方式：承包人直接实施的暂估价项目</w:t>
      </w:r>
    </w:p>
    <w:p w14:paraId="01599891">
      <w:pPr>
        <w:spacing w:line="360" w:lineRule="auto"/>
        <w:ind w:firstLine="420" w:firstLineChars="200"/>
        <w:jc w:val="left"/>
        <w:rPr>
          <w:rFonts w:ascii="宋体" w:hAnsi="宋体" w:cs="宋体"/>
          <w:color w:val="auto"/>
          <w:highlight w:val="none"/>
        </w:rPr>
      </w:pPr>
      <w:r>
        <w:rPr>
          <w:rFonts w:hint="eastAsia" w:ascii="宋体" w:hAnsi="宋体" w:cs="宋体"/>
          <w:color w:val="auto"/>
          <w:highlight w:val="none"/>
        </w:rPr>
        <w:t>承包人直接实施的暂估价项目的约定：</w:t>
      </w:r>
      <w:r>
        <w:rPr>
          <w:rFonts w:hint="eastAsia" w:ascii="宋体" w:hAnsi="宋体" w:cs="宋体"/>
          <w:color w:val="auto"/>
          <w:highlight w:val="none"/>
          <w:u w:val="single"/>
        </w:rPr>
        <w:t xml:space="preserve">   无    </w:t>
      </w:r>
      <w:r>
        <w:rPr>
          <w:rFonts w:hint="eastAsia" w:ascii="宋体" w:hAnsi="宋体" w:cs="宋体"/>
          <w:color w:val="auto"/>
          <w:highlight w:val="none"/>
        </w:rPr>
        <w:t>。</w:t>
      </w:r>
    </w:p>
    <w:p w14:paraId="653EA912">
      <w:pPr>
        <w:spacing w:line="360" w:lineRule="auto"/>
        <w:ind w:firstLine="420" w:firstLineChars="200"/>
        <w:jc w:val="left"/>
        <w:rPr>
          <w:rFonts w:ascii="宋体" w:hAnsi="宋体" w:cs="宋体"/>
          <w:color w:val="auto"/>
          <w:highlight w:val="none"/>
          <w:u w:val="single"/>
        </w:rPr>
      </w:pPr>
      <w:r>
        <w:rPr>
          <w:rFonts w:hint="eastAsia" w:ascii="宋体" w:hAnsi="宋体" w:cs="宋体"/>
          <w:color w:val="auto"/>
          <w:highlight w:val="none"/>
        </w:rPr>
        <w:t>10.</w:t>
      </w:r>
      <w:r>
        <w:rPr>
          <w:rFonts w:ascii="宋体" w:hAnsi="宋体" w:cs="宋体"/>
          <w:color w:val="auto"/>
          <w:highlight w:val="none"/>
        </w:rPr>
        <w:t>4</w:t>
      </w:r>
      <w:r>
        <w:rPr>
          <w:rFonts w:hint="eastAsia" w:ascii="宋体" w:hAnsi="宋体" w:cs="宋体"/>
          <w:color w:val="auto"/>
          <w:highlight w:val="none"/>
        </w:rPr>
        <w:t>.3</w:t>
      </w:r>
      <w:r>
        <w:rPr>
          <w:rFonts w:hint="eastAsia" w:ascii="宋体" w:hAnsi="宋体" w:cs="宋体"/>
          <w:color w:val="auto"/>
          <w:highlight w:val="none"/>
          <w:u w:val="single"/>
        </w:rPr>
        <w:t>发包人在工程量清单中给定的暂估价的材料、工程设备（见清单《材料暂估价格表》）属于依法必须招标的范围并达到规定的规模标准的，由承包人以招标的方式选择中标人，发包人参与货物的招标决策，材料采购招标有关招标文件只有经发包人加盖法人印鉴后才能生效，发包人将派代表参加评标委员会参与评标，否则中标结果对业主没有约束力。招标有关费用由承包人承担。发包人在工程量清单中给定的暂估价材料和设备不属于依法必须招标的范围或未达到规定的规模标准的，由承包人按通用条款约定提供，报发包人确认材料的价格  。</w:t>
      </w:r>
    </w:p>
    <w:p w14:paraId="2FE912CC">
      <w:pPr>
        <w:spacing w:line="360" w:lineRule="auto"/>
        <w:ind w:firstLine="420" w:firstLineChars="200"/>
        <w:rPr>
          <w:rFonts w:ascii="宋体" w:hAnsi="宋体" w:cs="宋体"/>
          <w:b/>
          <w:color w:val="auto"/>
          <w:highlight w:val="none"/>
          <w:u w:val="single"/>
        </w:rPr>
      </w:pPr>
      <w:r>
        <w:rPr>
          <w:rFonts w:hint="eastAsia" w:ascii="宋体" w:hAnsi="宋体" w:cs="宋体"/>
          <w:color w:val="auto"/>
          <w:highlight w:val="none"/>
          <w:lang w:val="zh-CN"/>
        </w:rPr>
        <w:t>工程招标时暂估价材料竣工结算办法：</w:t>
      </w:r>
      <w:r>
        <w:rPr>
          <w:rFonts w:hint="eastAsia" w:ascii="宋体" w:hAnsi="宋体" w:cs="宋体"/>
          <w:b/>
          <w:color w:val="auto"/>
          <w:highlight w:val="none"/>
          <w:u w:val="single"/>
        </w:rPr>
        <w:t>暂估价部分在竣工结算时原则上按招标时提供的暂估价格统一扣除，投标函中材料数量如与定额含量相差不超过2%,则按照投标数量扣除,如相差超过2%，以定额含量扣除。但若中标人在投标报价时调整暂估价报价，且评标时未被发现的，则结算时暂估价可按以下原则调整：投标报价低于暂估价的按暂估价调整，高于暂估价的按报价调整。</w:t>
      </w:r>
    </w:p>
    <w:p w14:paraId="1B82F9B3">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10.</w:t>
      </w:r>
      <w:r>
        <w:rPr>
          <w:rFonts w:ascii="宋体" w:hAnsi="宋体" w:cs="宋体"/>
          <w:color w:val="auto"/>
          <w:highlight w:val="none"/>
        </w:rPr>
        <w:t>5</w:t>
      </w:r>
      <w:r>
        <w:rPr>
          <w:rFonts w:hint="eastAsia" w:ascii="宋体" w:hAnsi="宋体" w:cs="宋体"/>
          <w:color w:val="auto"/>
          <w:highlight w:val="none"/>
        </w:rPr>
        <w:t>暂列金额</w:t>
      </w:r>
    </w:p>
    <w:p w14:paraId="0AB1F67D">
      <w:pPr>
        <w:autoSpaceDE w:val="0"/>
        <w:autoSpaceDN w:val="0"/>
        <w:adjustRightInd w:val="0"/>
        <w:spacing w:line="360" w:lineRule="auto"/>
        <w:ind w:firstLine="420" w:firstLineChars="200"/>
        <w:jc w:val="left"/>
        <w:rPr>
          <w:rFonts w:ascii="宋体" w:hAnsi="宋体" w:cs="宋体"/>
          <w:color w:val="auto"/>
          <w:highlight w:val="none"/>
        </w:rPr>
      </w:pPr>
      <w:r>
        <w:rPr>
          <w:rFonts w:hint="eastAsia" w:ascii="宋体" w:hAnsi="宋体" w:cs="宋体"/>
          <w:color w:val="auto"/>
          <w:highlight w:val="none"/>
        </w:rPr>
        <w:t>合同当事人关于暂列金额使用的约定：</w:t>
      </w:r>
      <w:r>
        <w:rPr>
          <w:rFonts w:hint="eastAsia" w:ascii="宋体" w:hAnsi="宋体" w:cs="宋体"/>
          <w:color w:val="auto"/>
          <w:highlight w:val="none"/>
          <w:u w:val="single"/>
        </w:rPr>
        <w:t xml:space="preserve"> 暂列金额使用权归发包人，结算时从合同价中扣除  </w:t>
      </w:r>
      <w:r>
        <w:rPr>
          <w:rFonts w:hint="eastAsia" w:ascii="宋体" w:hAnsi="宋体" w:cs="宋体"/>
          <w:color w:val="auto"/>
          <w:highlight w:val="none"/>
        </w:rPr>
        <w:t>。</w:t>
      </w:r>
    </w:p>
    <w:p w14:paraId="6849BE33">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11.价格调整</w:t>
      </w:r>
    </w:p>
    <w:p w14:paraId="70128B7B">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11.1市场价格波动引起的调整</w:t>
      </w:r>
    </w:p>
    <w:p w14:paraId="127DEF8A">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市场价格波动是否调整合同价格的约定</w:t>
      </w:r>
      <w:r>
        <w:rPr>
          <w:rFonts w:hint="eastAsia" w:ascii="宋体" w:hAnsi="宋体" w:cs="宋体"/>
          <w:b/>
          <w:color w:val="auto"/>
          <w:highlight w:val="none"/>
          <w:lang w:val="zh-CN"/>
        </w:rPr>
        <w:t>：</w:t>
      </w:r>
      <w:r>
        <w:rPr>
          <w:rFonts w:hint="eastAsia" w:ascii="宋体" w:hAnsi="宋体" w:cs="宋体"/>
          <w:b/>
          <w:color w:val="auto"/>
          <w:highlight w:val="none"/>
          <w:u w:val="single"/>
          <w:lang w:val="zh-CN"/>
        </w:rPr>
        <w:t>人工及材料价格波动均不调整</w:t>
      </w:r>
      <w:r>
        <w:rPr>
          <w:rFonts w:hint="eastAsia" w:ascii="宋体" w:hAnsi="宋体" w:cs="宋体"/>
          <w:color w:val="auto"/>
          <w:highlight w:val="none"/>
          <w:u w:val="single"/>
          <w:lang w:val="zh-CN"/>
        </w:rPr>
        <w:t xml:space="preserve"> </w:t>
      </w:r>
    </w:p>
    <w:p w14:paraId="045B2C5F">
      <w:pPr>
        <w:autoSpaceDE w:val="0"/>
        <w:autoSpaceDN w:val="0"/>
        <w:adjustRightInd w:val="0"/>
        <w:spacing w:line="360" w:lineRule="auto"/>
        <w:ind w:firstLine="420" w:firstLineChars="200"/>
        <w:rPr>
          <w:rFonts w:ascii="宋体" w:hAnsi="宋体" w:cs="宋体"/>
          <w:bCs/>
          <w:color w:val="auto"/>
          <w:highlight w:val="none"/>
        </w:rPr>
      </w:pPr>
      <w:r>
        <w:rPr>
          <w:rFonts w:hint="eastAsia" w:ascii="宋体" w:hAnsi="宋体" w:cs="宋体"/>
          <w:bCs/>
          <w:color w:val="auto"/>
          <w:highlight w:val="none"/>
        </w:rPr>
        <w:t>12.合同价格、计量与支付</w:t>
      </w:r>
    </w:p>
    <w:p w14:paraId="38C1E492">
      <w:pPr>
        <w:spacing w:line="360" w:lineRule="auto"/>
        <w:ind w:firstLine="420" w:firstLineChars="200"/>
        <w:jc w:val="left"/>
        <w:rPr>
          <w:rFonts w:ascii="宋体" w:hAnsi="宋体" w:cs="宋体"/>
          <w:color w:val="auto"/>
          <w:highlight w:val="none"/>
        </w:rPr>
      </w:pPr>
      <w:r>
        <w:rPr>
          <w:rFonts w:hint="eastAsia" w:ascii="宋体" w:hAnsi="宋体" w:cs="宋体"/>
          <w:color w:val="auto"/>
          <w:highlight w:val="none"/>
        </w:rPr>
        <w:t>12.1合同价格形式</w:t>
      </w:r>
    </w:p>
    <w:p w14:paraId="016A8764">
      <w:pPr>
        <w:spacing w:line="360" w:lineRule="auto"/>
        <w:ind w:firstLine="420" w:firstLineChars="200"/>
        <w:jc w:val="left"/>
        <w:rPr>
          <w:rFonts w:ascii="宋体" w:hAnsi="宋体" w:cs="宋体"/>
          <w:bCs/>
          <w:color w:val="auto"/>
          <w:highlight w:val="none"/>
        </w:rPr>
      </w:pPr>
      <w:r>
        <w:rPr>
          <w:rFonts w:ascii="宋体" w:hAnsi="宋体" w:cs="宋体"/>
          <w:bCs/>
          <w:color w:val="auto"/>
          <w:highlight w:val="none"/>
        </w:rPr>
        <w:t>12.1.1</w:t>
      </w:r>
      <w:r>
        <w:rPr>
          <w:rFonts w:hint="eastAsia" w:ascii="宋体" w:hAnsi="宋体" w:cs="宋体"/>
          <w:bCs/>
          <w:color w:val="auto"/>
          <w:highlight w:val="none"/>
        </w:rPr>
        <w:t>单价合同</w:t>
      </w:r>
    </w:p>
    <w:p w14:paraId="6ED8AC57">
      <w:pPr>
        <w:autoSpaceDE w:val="0"/>
        <w:autoSpaceDN w:val="0"/>
        <w:adjustRightInd w:val="0"/>
        <w:spacing w:line="360" w:lineRule="auto"/>
        <w:ind w:firstLine="420" w:firstLineChars="200"/>
        <w:rPr>
          <w:rFonts w:ascii="宋体" w:hAnsi="宋体" w:cs="宋体"/>
          <w:b/>
          <w:color w:val="auto"/>
          <w:spacing w:val="-2"/>
          <w:highlight w:val="none"/>
        </w:rPr>
      </w:pPr>
      <w:r>
        <w:rPr>
          <w:rFonts w:hint="eastAsia" w:ascii="宋体" w:hAnsi="宋体" w:cs="宋体"/>
          <w:bCs/>
          <w:color w:val="auto"/>
          <w:highlight w:val="none"/>
        </w:rPr>
        <w:t>综合单价包含的风险范围：</w:t>
      </w:r>
      <w:r>
        <w:rPr>
          <w:rFonts w:hint="eastAsia" w:ascii="宋体" w:hAnsi="宋体" w:cs="宋体"/>
          <w:b/>
          <w:color w:val="auto"/>
          <w:spacing w:val="-2"/>
          <w:highlight w:val="none"/>
        </w:rPr>
        <w:t>除下述风险范围内容可调整外，其余不可调整。</w:t>
      </w:r>
    </w:p>
    <w:p w14:paraId="09587B79">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①工程量偏差；</w:t>
      </w:r>
    </w:p>
    <w:p w14:paraId="22858556">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②与招标清单项目特征描述不符；</w:t>
      </w:r>
    </w:p>
    <w:p w14:paraId="7758E671">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 xml:space="preserve">③工程量清单缺、漏项； </w:t>
      </w:r>
    </w:p>
    <w:p w14:paraId="288D71B7">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④工程变更；</w:t>
      </w:r>
    </w:p>
    <w:p w14:paraId="55504C46">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⑤现场签证；</w:t>
      </w:r>
    </w:p>
    <w:p w14:paraId="048B0E9F">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⑥暂列金额及暂估价；</w:t>
      </w:r>
    </w:p>
    <w:p w14:paraId="65BCA088">
      <w:pPr>
        <w:autoSpaceDE w:val="0"/>
        <w:autoSpaceDN w:val="0"/>
        <w:adjustRightInd w:val="0"/>
        <w:spacing w:line="360" w:lineRule="auto"/>
        <w:ind w:firstLine="420" w:firstLineChars="200"/>
        <w:rPr>
          <w:rFonts w:ascii="宋体" w:hAnsi="宋体" w:cs="宋体"/>
          <w:color w:val="auto"/>
          <w:highlight w:val="none"/>
        </w:rPr>
      </w:pPr>
      <w:r>
        <w:rPr>
          <w:rFonts w:hint="eastAsia" w:ascii="宋体" w:hAnsi="宋体" w:cs="宋体"/>
          <w:color w:val="auto"/>
          <w:highlight w:val="none"/>
        </w:rPr>
        <w:t>⑦发承包人双方约定的其他调整事项。</w:t>
      </w:r>
    </w:p>
    <w:p w14:paraId="10677925">
      <w:pPr>
        <w:autoSpaceDE w:val="0"/>
        <w:autoSpaceDN w:val="0"/>
        <w:adjustRightInd w:val="0"/>
        <w:spacing w:line="360" w:lineRule="auto"/>
        <w:ind w:firstLine="420" w:firstLineChars="200"/>
        <w:rPr>
          <w:rFonts w:ascii="宋体" w:hAnsi="宋体" w:cs="宋体"/>
          <w:b/>
          <w:bCs/>
          <w:color w:val="auto"/>
          <w:highlight w:val="none"/>
          <w:u w:val="single"/>
        </w:rPr>
      </w:pPr>
      <w:r>
        <w:rPr>
          <w:rFonts w:hint="eastAsia" w:ascii="宋体" w:hAnsi="宋体" w:cs="宋体"/>
          <w:bCs/>
          <w:color w:val="auto"/>
          <w:highlight w:val="none"/>
        </w:rPr>
        <w:t>风险费用的计算方法：</w:t>
      </w:r>
      <w:r>
        <w:rPr>
          <w:rFonts w:hint="eastAsia" w:ascii="宋体" w:hAnsi="宋体" w:cs="宋体"/>
          <w:b/>
          <w:bCs/>
          <w:color w:val="auto"/>
          <w:highlight w:val="none"/>
          <w:u w:val="single"/>
        </w:rPr>
        <w:t>承包人在投标报价时已经充分考虑，竣工结算时不作任何调整。</w:t>
      </w:r>
    </w:p>
    <w:p w14:paraId="6C9F3DF5">
      <w:pPr>
        <w:autoSpaceDE w:val="0"/>
        <w:autoSpaceDN w:val="0"/>
        <w:adjustRightInd w:val="0"/>
        <w:spacing w:line="360" w:lineRule="auto"/>
        <w:ind w:firstLine="420" w:firstLineChars="200"/>
        <w:rPr>
          <w:rFonts w:ascii="宋体" w:hAnsi="宋体" w:cs="宋体"/>
          <w:bCs/>
          <w:color w:val="auto"/>
          <w:highlight w:val="none"/>
        </w:rPr>
      </w:pPr>
      <w:r>
        <w:rPr>
          <w:rFonts w:hint="eastAsia" w:ascii="宋体" w:hAnsi="宋体" w:cs="宋体"/>
          <w:bCs/>
          <w:color w:val="auto"/>
          <w:highlight w:val="none"/>
        </w:rPr>
        <w:t>风险范围以外合同价款调整范围及方法：</w:t>
      </w:r>
    </w:p>
    <w:p w14:paraId="3418BEB7">
      <w:pPr>
        <w:spacing w:line="360" w:lineRule="auto"/>
        <w:ind w:firstLine="422" w:firstLineChars="200"/>
        <w:rPr>
          <w:rFonts w:ascii="宋体" w:hAnsi="宋体" w:cs="宋体"/>
          <w:b/>
          <w:color w:val="auto"/>
          <w:highlight w:val="none"/>
          <w:u w:val="single"/>
        </w:rPr>
      </w:pPr>
      <w:r>
        <w:rPr>
          <w:rFonts w:hint="eastAsia" w:ascii="宋体" w:hAnsi="宋体" w:cs="宋体"/>
          <w:b/>
          <w:color w:val="auto"/>
          <w:highlight w:val="none"/>
          <w:u w:val="single"/>
        </w:rPr>
        <w:t>（1）本工程以投标截止日前28天为基准，其后国家的法律、法规、规章和政策发生变化影响工程造价，按照省级或行业建设主管部门或其授权的工程造价管理机构发布的规定及合同的约定调整合同价格。</w:t>
      </w:r>
    </w:p>
    <w:p w14:paraId="34593CBC">
      <w:pPr>
        <w:spacing w:line="360" w:lineRule="auto"/>
        <w:ind w:firstLine="422" w:firstLineChars="200"/>
        <w:rPr>
          <w:rFonts w:ascii="宋体" w:hAnsi="宋体" w:cs="宋体"/>
          <w:b/>
          <w:color w:val="auto"/>
          <w:highlight w:val="none"/>
          <w:u w:val="single"/>
        </w:rPr>
      </w:pPr>
      <w:r>
        <w:rPr>
          <w:rFonts w:hint="eastAsia" w:ascii="宋体" w:hAnsi="宋体" w:cs="宋体"/>
          <w:b/>
          <w:color w:val="auto"/>
          <w:highlight w:val="none"/>
          <w:u w:val="single"/>
        </w:rPr>
        <w:t>（2）工程量计量时，若发现工程量清单中出现的漏项或缺项部分按实结算，竣工结算的工程量按发承包双方在合同中约定应予计量且实际完成并验收合格的工程量和项目确定，完成发包人要求的合同以外的零星工作或发生非承包人责任事件的工程量按现场签证确定。</w:t>
      </w:r>
    </w:p>
    <w:p w14:paraId="5E7BD25C">
      <w:pPr>
        <w:spacing w:line="360" w:lineRule="auto"/>
        <w:ind w:firstLine="422" w:firstLineChars="200"/>
        <w:rPr>
          <w:rFonts w:ascii="宋体" w:hAnsi="宋体" w:cs="宋体"/>
          <w:b/>
          <w:color w:val="auto"/>
          <w:highlight w:val="none"/>
          <w:u w:val="single"/>
        </w:rPr>
      </w:pPr>
      <w:r>
        <w:rPr>
          <w:rFonts w:hint="eastAsia" w:ascii="宋体" w:hAnsi="宋体" w:cs="宋体"/>
          <w:b/>
          <w:color w:val="auto"/>
          <w:highlight w:val="none"/>
          <w:u w:val="single"/>
        </w:rPr>
        <w:t>（3）当招标工程量清单出现错误或者工程变更等发包人原因导致工程量清单偏差需要对综合单价应进行调整的，按照以下的计价办法结算：</w:t>
      </w:r>
    </w:p>
    <w:p w14:paraId="4F41FA00">
      <w:pPr>
        <w:spacing w:line="360" w:lineRule="auto"/>
        <w:ind w:firstLine="422" w:firstLineChars="200"/>
        <w:rPr>
          <w:rFonts w:ascii="宋体" w:hAnsi="宋体" w:cs="宋体"/>
          <w:b/>
          <w:color w:val="auto"/>
          <w:highlight w:val="none"/>
          <w:u w:val="single"/>
        </w:rPr>
      </w:pPr>
      <w:r>
        <w:rPr>
          <w:rFonts w:hint="eastAsia" w:ascii="宋体" w:hAnsi="宋体" w:cs="宋体"/>
          <w:b/>
          <w:color w:val="auto"/>
          <w:highlight w:val="none"/>
          <w:u w:val="single"/>
        </w:rPr>
        <w:t>A、当工程因变更（包含增加项目或减少项目）、签证或清单工程量错误等原因导致实际工程量变化时，该项目的单价应按下列方式调整：</w:t>
      </w:r>
    </w:p>
    <w:p w14:paraId="31209F07">
      <w:pPr>
        <w:spacing w:line="360" w:lineRule="auto"/>
        <w:ind w:firstLine="422" w:firstLineChars="200"/>
        <w:rPr>
          <w:rFonts w:ascii="宋体" w:hAnsi="宋体" w:cs="宋体"/>
          <w:b/>
          <w:bCs/>
          <w:color w:val="auto"/>
          <w:highlight w:val="none"/>
          <w:u w:val="single"/>
        </w:rPr>
      </w:pPr>
      <w:r>
        <w:rPr>
          <w:rFonts w:hint="eastAsia" w:ascii="宋体" w:hAnsi="宋体" w:cs="宋体"/>
          <w:b/>
          <w:bCs/>
          <w:color w:val="auto"/>
          <w:highlight w:val="none"/>
          <w:u w:val="single"/>
        </w:rPr>
        <w:t>①当Q</w:t>
      </w:r>
      <w:r>
        <w:rPr>
          <w:rFonts w:hint="eastAsia" w:ascii="宋体" w:hAnsi="宋体" w:cs="宋体"/>
          <w:b/>
          <w:bCs/>
          <w:color w:val="auto"/>
          <w:highlight w:val="none"/>
          <w:u w:val="single"/>
          <w:vertAlign w:val="subscript"/>
        </w:rPr>
        <w:t>1</w:t>
      </w:r>
      <w:r>
        <w:rPr>
          <w:rFonts w:hint="eastAsia" w:ascii="宋体" w:hAnsi="宋体" w:cs="宋体"/>
          <w:b/>
          <w:bCs/>
          <w:color w:val="auto"/>
          <w:highlight w:val="none"/>
          <w:u w:val="single"/>
        </w:rPr>
        <w:t>＞1.15Q</w:t>
      </w:r>
      <w:r>
        <w:rPr>
          <w:rFonts w:hint="eastAsia" w:ascii="宋体" w:hAnsi="宋体" w:cs="宋体"/>
          <w:b/>
          <w:bCs/>
          <w:color w:val="auto"/>
          <w:highlight w:val="none"/>
          <w:u w:val="single"/>
          <w:vertAlign w:val="subscript"/>
        </w:rPr>
        <w:t>0</w:t>
      </w:r>
      <w:r>
        <w:rPr>
          <w:rFonts w:hint="eastAsia" w:ascii="宋体" w:hAnsi="宋体" w:cs="宋体"/>
          <w:b/>
          <w:bCs/>
          <w:color w:val="auto"/>
          <w:highlight w:val="none"/>
          <w:u w:val="single"/>
        </w:rPr>
        <w:t>时：  S＝1.15Q</w:t>
      </w:r>
      <w:r>
        <w:rPr>
          <w:rFonts w:hint="eastAsia" w:ascii="宋体" w:hAnsi="宋体" w:cs="宋体"/>
          <w:b/>
          <w:bCs/>
          <w:color w:val="auto"/>
          <w:highlight w:val="none"/>
          <w:u w:val="single"/>
          <w:vertAlign w:val="subscript"/>
        </w:rPr>
        <w:t>0</w:t>
      </w:r>
      <w:r>
        <w:rPr>
          <w:rFonts w:hint="eastAsia" w:ascii="宋体" w:hAnsi="宋体" w:cs="宋体"/>
          <w:b/>
          <w:bCs/>
          <w:color w:val="auto"/>
          <w:highlight w:val="none"/>
          <w:u w:val="single"/>
        </w:rPr>
        <w:t>×P</w:t>
      </w:r>
      <w:r>
        <w:rPr>
          <w:rFonts w:hint="eastAsia" w:ascii="宋体" w:hAnsi="宋体" w:cs="宋体"/>
          <w:b/>
          <w:bCs/>
          <w:color w:val="auto"/>
          <w:highlight w:val="none"/>
          <w:u w:val="single"/>
          <w:vertAlign w:val="subscript"/>
        </w:rPr>
        <w:t>0</w:t>
      </w:r>
      <w:r>
        <w:rPr>
          <w:rFonts w:hint="eastAsia" w:ascii="宋体" w:hAnsi="宋体" w:cs="宋体"/>
          <w:b/>
          <w:bCs/>
          <w:color w:val="auto"/>
          <w:highlight w:val="none"/>
          <w:u w:val="single"/>
        </w:rPr>
        <w:t>+(Q</w:t>
      </w:r>
      <w:r>
        <w:rPr>
          <w:rFonts w:hint="eastAsia" w:ascii="宋体" w:hAnsi="宋体" w:cs="宋体"/>
          <w:b/>
          <w:bCs/>
          <w:color w:val="auto"/>
          <w:highlight w:val="none"/>
          <w:u w:val="single"/>
          <w:vertAlign w:val="subscript"/>
        </w:rPr>
        <w:t>1</w:t>
      </w:r>
      <w:r>
        <w:rPr>
          <w:rFonts w:hint="eastAsia" w:ascii="宋体" w:hAnsi="宋体" w:cs="宋体"/>
          <w:b/>
          <w:bCs/>
          <w:color w:val="auto"/>
          <w:highlight w:val="none"/>
          <w:u w:val="single"/>
        </w:rPr>
        <w:t>－1.15Q</w:t>
      </w:r>
      <w:r>
        <w:rPr>
          <w:rFonts w:hint="eastAsia" w:ascii="宋体" w:hAnsi="宋体" w:cs="宋体"/>
          <w:b/>
          <w:bCs/>
          <w:color w:val="auto"/>
          <w:highlight w:val="none"/>
          <w:u w:val="single"/>
          <w:vertAlign w:val="subscript"/>
        </w:rPr>
        <w:t>0</w:t>
      </w:r>
      <w:r>
        <w:rPr>
          <w:rFonts w:hint="eastAsia" w:ascii="宋体" w:hAnsi="宋体" w:cs="宋体"/>
          <w:b/>
          <w:bCs/>
          <w:color w:val="auto"/>
          <w:highlight w:val="none"/>
          <w:u w:val="single"/>
        </w:rPr>
        <w:t>)×P</w:t>
      </w:r>
      <w:r>
        <w:rPr>
          <w:rFonts w:hint="eastAsia" w:ascii="宋体" w:hAnsi="宋体" w:cs="宋体"/>
          <w:b/>
          <w:bCs/>
          <w:color w:val="auto"/>
          <w:highlight w:val="none"/>
          <w:u w:val="single"/>
          <w:vertAlign w:val="subscript"/>
        </w:rPr>
        <w:t>1</w:t>
      </w:r>
    </w:p>
    <w:p w14:paraId="4B819EE4">
      <w:pPr>
        <w:spacing w:line="360" w:lineRule="auto"/>
        <w:ind w:firstLine="422" w:firstLineChars="200"/>
        <w:rPr>
          <w:rFonts w:ascii="宋体" w:hAnsi="宋体" w:cs="宋体"/>
          <w:b/>
          <w:bCs/>
          <w:color w:val="auto"/>
          <w:highlight w:val="none"/>
          <w:u w:val="single"/>
        </w:rPr>
      </w:pPr>
      <w:r>
        <w:rPr>
          <w:rFonts w:hint="eastAsia" w:ascii="宋体" w:hAnsi="宋体" w:cs="宋体"/>
          <w:b/>
          <w:bCs/>
          <w:color w:val="auto"/>
          <w:highlight w:val="none"/>
          <w:u w:val="single"/>
        </w:rPr>
        <w:t>②当Q</w:t>
      </w:r>
      <w:r>
        <w:rPr>
          <w:rFonts w:hint="eastAsia" w:ascii="宋体" w:hAnsi="宋体" w:cs="宋体"/>
          <w:b/>
          <w:bCs/>
          <w:color w:val="auto"/>
          <w:highlight w:val="none"/>
          <w:u w:val="single"/>
          <w:vertAlign w:val="subscript"/>
        </w:rPr>
        <w:t>1</w:t>
      </w:r>
      <w:r>
        <w:rPr>
          <w:rFonts w:hint="eastAsia" w:ascii="宋体" w:hAnsi="宋体" w:cs="宋体"/>
          <w:b/>
          <w:bCs/>
          <w:color w:val="auto"/>
          <w:highlight w:val="none"/>
          <w:u w:val="single"/>
        </w:rPr>
        <w:t>＜0.85Q</w:t>
      </w:r>
      <w:r>
        <w:rPr>
          <w:rFonts w:hint="eastAsia" w:ascii="宋体" w:hAnsi="宋体" w:cs="宋体"/>
          <w:b/>
          <w:bCs/>
          <w:color w:val="auto"/>
          <w:highlight w:val="none"/>
          <w:u w:val="single"/>
          <w:vertAlign w:val="subscript"/>
        </w:rPr>
        <w:t>0</w:t>
      </w:r>
      <w:r>
        <w:rPr>
          <w:rFonts w:hint="eastAsia" w:ascii="宋体" w:hAnsi="宋体" w:cs="宋体"/>
          <w:b/>
          <w:bCs/>
          <w:color w:val="auto"/>
          <w:highlight w:val="none"/>
          <w:u w:val="single"/>
        </w:rPr>
        <w:t>时：  S＝Q</w:t>
      </w:r>
      <w:r>
        <w:rPr>
          <w:rFonts w:hint="eastAsia" w:ascii="宋体" w:hAnsi="宋体" w:cs="宋体"/>
          <w:b/>
          <w:bCs/>
          <w:color w:val="auto"/>
          <w:highlight w:val="none"/>
          <w:u w:val="single"/>
          <w:vertAlign w:val="subscript"/>
        </w:rPr>
        <w:t>1</w:t>
      </w:r>
      <w:r>
        <w:rPr>
          <w:rFonts w:hint="eastAsia" w:ascii="宋体" w:hAnsi="宋体" w:cs="宋体"/>
          <w:b/>
          <w:bCs/>
          <w:color w:val="auto"/>
          <w:highlight w:val="none"/>
          <w:u w:val="single"/>
        </w:rPr>
        <w:t>×P</w:t>
      </w:r>
      <w:r>
        <w:rPr>
          <w:rFonts w:hint="eastAsia" w:ascii="宋体" w:hAnsi="宋体" w:cs="宋体"/>
          <w:b/>
          <w:bCs/>
          <w:color w:val="auto"/>
          <w:highlight w:val="none"/>
          <w:u w:val="single"/>
          <w:vertAlign w:val="subscript"/>
        </w:rPr>
        <w:t>1</w:t>
      </w:r>
    </w:p>
    <w:p w14:paraId="46B97861">
      <w:pPr>
        <w:spacing w:line="360" w:lineRule="auto"/>
        <w:ind w:firstLine="422" w:firstLineChars="200"/>
        <w:rPr>
          <w:rFonts w:ascii="宋体" w:hAnsi="宋体" w:cs="宋体"/>
          <w:b/>
          <w:bCs/>
          <w:color w:val="auto"/>
          <w:highlight w:val="none"/>
          <w:u w:val="single"/>
        </w:rPr>
      </w:pPr>
      <w:r>
        <w:rPr>
          <w:rFonts w:hint="eastAsia" w:ascii="宋体" w:hAnsi="宋体" w:cs="宋体"/>
          <w:b/>
          <w:bCs/>
          <w:color w:val="auto"/>
          <w:highlight w:val="none"/>
          <w:u w:val="single"/>
        </w:rPr>
        <w:t xml:space="preserve">式中：S－调整后的某一分部分项工程费结算价；  </w:t>
      </w:r>
    </w:p>
    <w:p w14:paraId="544BFC20">
      <w:pPr>
        <w:spacing w:line="360" w:lineRule="auto"/>
        <w:ind w:firstLine="422" w:firstLineChars="200"/>
        <w:rPr>
          <w:rFonts w:ascii="宋体" w:hAnsi="宋体" w:cs="宋体"/>
          <w:b/>
          <w:bCs/>
          <w:color w:val="auto"/>
          <w:highlight w:val="none"/>
          <w:u w:val="single"/>
        </w:rPr>
      </w:pPr>
      <w:r>
        <w:rPr>
          <w:rFonts w:hint="eastAsia" w:ascii="宋体" w:hAnsi="宋体" w:cs="宋体"/>
          <w:b/>
          <w:bCs/>
          <w:color w:val="auto"/>
          <w:highlight w:val="none"/>
          <w:u w:val="single"/>
        </w:rPr>
        <w:t>Q</w:t>
      </w:r>
      <w:r>
        <w:rPr>
          <w:rFonts w:hint="eastAsia" w:ascii="宋体" w:hAnsi="宋体" w:cs="宋体"/>
          <w:b/>
          <w:bCs/>
          <w:color w:val="auto"/>
          <w:highlight w:val="none"/>
          <w:u w:val="single"/>
          <w:vertAlign w:val="subscript"/>
        </w:rPr>
        <w:t>1</w:t>
      </w:r>
      <w:r>
        <w:rPr>
          <w:rFonts w:hint="eastAsia" w:ascii="宋体" w:hAnsi="宋体" w:cs="宋体"/>
          <w:b/>
          <w:bCs/>
          <w:color w:val="auto"/>
          <w:highlight w:val="none"/>
          <w:u w:val="single"/>
        </w:rPr>
        <w:t xml:space="preserve">－最终完成的工程量 ；   </w:t>
      </w:r>
    </w:p>
    <w:p w14:paraId="02143E22">
      <w:pPr>
        <w:spacing w:line="360" w:lineRule="auto"/>
        <w:ind w:firstLine="422" w:firstLineChars="200"/>
        <w:rPr>
          <w:rFonts w:ascii="宋体" w:hAnsi="宋体" w:cs="宋体"/>
          <w:b/>
          <w:bCs/>
          <w:color w:val="auto"/>
          <w:highlight w:val="none"/>
          <w:u w:val="single"/>
        </w:rPr>
      </w:pPr>
      <w:r>
        <w:rPr>
          <w:rFonts w:hint="eastAsia" w:ascii="宋体" w:hAnsi="宋体" w:cs="宋体"/>
          <w:b/>
          <w:bCs/>
          <w:color w:val="auto"/>
          <w:highlight w:val="none"/>
          <w:u w:val="single"/>
        </w:rPr>
        <w:t>Q</w:t>
      </w:r>
      <w:r>
        <w:rPr>
          <w:rFonts w:hint="eastAsia" w:ascii="宋体" w:hAnsi="宋体" w:cs="宋体"/>
          <w:b/>
          <w:bCs/>
          <w:color w:val="auto"/>
          <w:highlight w:val="none"/>
          <w:u w:val="single"/>
          <w:vertAlign w:val="subscript"/>
        </w:rPr>
        <w:t>0</w:t>
      </w:r>
      <w:r>
        <w:rPr>
          <w:rFonts w:hint="eastAsia" w:ascii="宋体" w:hAnsi="宋体" w:cs="宋体"/>
          <w:b/>
          <w:bCs/>
          <w:color w:val="auto"/>
          <w:highlight w:val="none"/>
          <w:u w:val="single"/>
        </w:rPr>
        <w:t xml:space="preserve">－招标工程量清单中列出的工程量；  </w:t>
      </w:r>
    </w:p>
    <w:p w14:paraId="5DA03E0B">
      <w:pPr>
        <w:spacing w:line="360" w:lineRule="auto"/>
        <w:ind w:firstLine="422" w:firstLineChars="200"/>
        <w:rPr>
          <w:rFonts w:ascii="宋体" w:hAnsi="宋体" w:cs="宋体"/>
          <w:b/>
          <w:bCs/>
          <w:color w:val="auto"/>
          <w:highlight w:val="none"/>
          <w:u w:val="single"/>
        </w:rPr>
      </w:pPr>
      <w:r>
        <w:rPr>
          <w:rFonts w:hint="eastAsia" w:ascii="宋体" w:hAnsi="宋体" w:cs="宋体"/>
          <w:b/>
          <w:bCs/>
          <w:color w:val="auto"/>
          <w:highlight w:val="none"/>
          <w:u w:val="single"/>
        </w:rPr>
        <w:t>P</w:t>
      </w:r>
      <w:r>
        <w:rPr>
          <w:rFonts w:hint="eastAsia" w:ascii="宋体" w:hAnsi="宋体" w:cs="宋体"/>
          <w:b/>
          <w:bCs/>
          <w:color w:val="auto"/>
          <w:highlight w:val="none"/>
          <w:u w:val="single"/>
          <w:vertAlign w:val="subscript"/>
        </w:rPr>
        <w:t>1</w:t>
      </w:r>
      <w:r>
        <w:rPr>
          <w:rFonts w:hint="eastAsia" w:ascii="宋体" w:hAnsi="宋体" w:cs="宋体"/>
          <w:b/>
          <w:bCs/>
          <w:color w:val="auto"/>
          <w:highlight w:val="none"/>
          <w:u w:val="single"/>
        </w:rPr>
        <w:t>－按照最终完成工程量重新调整后的综合单价；</w:t>
      </w:r>
    </w:p>
    <w:p w14:paraId="677925D4">
      <w:pPr>
        <w:spacing w:line="360" w:lineRule="auto"/>
        <w:ind w:firstLine="422" w:firstLineChars="200"/>
        <w:rPr>
          <w:rFonts w:ascii="宋体" w:hAnsi="宋体" w:cs="宋体"/>
          <w:b/>
          <w:bCs/>
          <w:color w:val="auto"/>
          <w:highlight w:val="none"/>
          <w:u w:val="single"/>
        </w:rPr>
      </w:pPr>
      <w:r>
        <w:rPr>
          <w:rFonts w:hint="eastAsia" w:ascii="宋体" w:hAnsi="宋体" w:cs="宋体"/>
          <w:b/>
          <w:bCs/>
          <w:color w:val="auto"/>
          <w:highlight w:val="none"/>
          <w:u w:val="single"/>
        </w:rPr>
        <w:t>P</w:t>
      </w:r>
      <w:r>
        <w:rPr>
          <w:rFonts w:hint="eastAsia" w:ascii="宋体" w:hAnsi="宋体" w:cs="宋体"/>
          <w:b/>
          <w:bCs/>
          <w:color w:val="auto"/>
          <w:highlight w:val="none"/>
          <w:u w:val="single"/>
          <w:vertAlign w:val="subscript"/>
        </w:rPr>
        <w:t>0</w:t>
      </w:r>
      <w:r>
        <w:rPr>
          <w:rFonts w:hint="eastAsia" w:ascii="宋体" w:hAnsi="宋体" w:cs="宋体"/>
          <w:b/>
          <w:bCs/>
          <w:color w:val="auto"/>
          <w:highlight w:val="none"/>
          <w:u w:val="single"/>
        </w:rPr>
        <w:t>－承包人在工程量清单中填报的综合单价。</w:t>
      </w:r>
    </w:p>
    <w:p w14:paraId="2DAD3432">
      <w:pPr>
        <w:spacing w:line="360" w:lineRule="auto"/>
        <w:ind w:firstLine="422" w:firstLineChars="200"/>
        <w:rPr>
          <w:rFonts w:ascii="宋体" w:hAnsi="宋体" w:cs="宋体"/>
          <w:b/>
          <w:bCs/>
          <w:color w:val="auto"/>
          <w:highlight w:val="none"/>
          <w:u w:val="single"/>
        </w:rPr>
      </w:pPr>
      <w:r>
        <w:rPr>
          <w:rFonts w:hint="eastAsia" w:ascii="宋体" w:hAnsi="宋体" w:cs="宋体"/>
          <w:b/>
          <w:bCs/>
          <w:color w:val="auto"/>
          <w:highlight w:val="none"/>
          <w:u w:val="single"/>
        </w:rPr>
        <w:t>P1的确定方法如下：</w:t>
      </w:r>
    </w:p>
    <w:p w14:paraId="68B83781">
      <w:pPr>
        <w:spacing w:line="360" w:lineRule="auto"/>
        <w:ind w:firstLine="422" w:firstLineChars="200"/>
        <w:rPr>
          <w:rFonts w:ascii="宋体" w:hAnsi="宋体" w:cs="宋体"/>
          <w:b/>
          <w:bCs/>
          <w:color w:val="auto"/>
          <w:highlight w:val="none"/>
          <w:u w:val="single"/>
        </w:rPr>
      </w:pPr>
      <w:r>
        <w:rPr>
          <w:rFonts w:hint="eastAsia" w:ascii="宋体" w:hAnsi="宋体" w:cs="宋体"/>
          <w:b/>
          <w:bCs/>
          <w:color w:val="auto"/>
          <w:highlight w:val="none"/>
          <w:u w:val="single"/>
        </w:rPr>
        <w:t>当P</w:t>
      </w:r>
      <w:r>
        <w:rPr>
          <w:rFonts w:hint="eastAsia" w:ascii="宋体" w:hAnsi="宋体" w:cs="宋体"/>
          <w:b/>
          <w:bCs/>
          <w:color w:val="auto"/>
          <w:highlight w:val="none"/>
          <w:u w:val="single"/>
          <w:vertAlign w:val="subscript"/>
        </w:rPr>
        <w:t>0</w:t>
      </w:r>
      <w:r>
        <w:rPr>
          <w:rFonts w:hint="eastAsia" w:ascii="宋体" w:hAnsi="宋体" w:cs="宋体"/>
          <w:b/>
          <w:bCs/>
          <w:color w:val="auto"/>
          <w:highlight w:val="none"/>
          <w:u w:val="single"/>
        </w:rPr>
        <w:t>&lt;P</w:t>
      </w:r>
      <w:r>
        <w:rPr>
          <w:rFonts w:hint="eastAsia" w:ascii="宋体" w:hAnsi="宋体" w:cs="宋体"/>
          <w:b/>
          <w:bCs/>
          <w:color w:val="auto"/>
          <w:highlight w:val="none"/>
          <w:u w:val="single"/>
          <w:vertAlign w:val="subscript"/>
        </w:rPr>
        <w:t>2</w:t>
      </w:r>
      <w:r>
        <w:rPr>
          <w:rFonts w:hint="eastAsia" w:ascii="宋体" w:hAnsi="宋体" w:cs="宋体"/>
          <w:b/>
          <w:bCs/>
          <w:color w:val="auto"/>
          <w:highlight w:val="none"/>
          <w:u w:val="single"/>
        </w:rPr>
        <w:t>×（1-L）×（1-15%）时，P</w:t>
      </w:r>
      <w:r>
        <w:rPr>
          <w:rFonts w:hint="eastAsia" w:ascii="宋体" w:hAnsi="宋体" w:cs="宋体"/>
          <w:b/>
          <w:bCs/>
          <w:color w:val="auto"/>
          <w:highlight w:val="none"/>
          <w:u w:val="single"/>
          <w:vertAlign w:val="subscript"/>
        </w:rPr>
        <w:t>1</w:t>
      </w:r>
      <w:r>
        <w:rPr>
          <w:rFonts w:hint="eastAsia" w:ascii="宋体" w:hAnsi="宋体" w:cs="宋体"/>
          <w:b/>
          <w:bCs/>
          <w:color w:val="auto"/>
          <w:highlight w:val="none"/>
          <w:u w:val="single"/>
        </w:rPr>
        <w:t>=P</w:t>
      </w:r>
      <w:r>
        <w:rPr>
          <w:rFonts w:hint="eastAsia" w:ascii="宋体" w:hAnsi="宋体" w:cs="宋体"/>
          <w:b/>
          <w:bCs/>
          <w:color w:val="auto"/>
          <w:highlight w:val="none"/>
          <w:u w:val="single"/>
          <w:vertAlign w:val="subscript"/>
        </w:rPr>
        <w:t>2</w:t>
      </w:r>
      <w:r>
        <w:rPr>
          <w:rFonts w:hint="eastAsia" w:ascii="宋体" w:hAnsi="宋体" w:cs="宋体"/>
          <w:b/>
          <w:bCs/>
          <w:color w:val="auto"/>
          <w:highlight w:val="none"/>
          <w:u w:val="single"/>
        </w:rPr>
        <w:t>×（1-L）×（1-15%）</w:t>
      </w:r>
    </w:p>
    <w:p w14:paraId="7E364BCB">
      <w:pPr>
        <w:spacing w:line="360" w:lineRule="auto"/>
        <w:ind w:firstLine="422" w:firstLineChars="200"/>
        <w:rPr>
          <w:rFonts w:ascii="宋体" w:hAnsi="宋体" w:cs="宋体"/>
          <w:b/>
          <w:bCs/>
          <w:color w:val="auto"/>
          <w:highlight w:val="none"/>
          <w:u w:val="single"/>
        </w:rPr>
      </w:pPr>
      <w:r>
        <w:rPr>
          <w:rFonts w:hint="eastAsia" w:ascii="宋体" w:hAnsi="宋体" w:cs="宋体"/>
          <w:b/>
          <w:bCs/>
          <w:color w:val="auto"/>
          <w:highlight w:val="none"/>
          <w:u w:val="single"/>
        </w:rPr>
        <w:t>当P</w:t>
      </w:r>
      <w:r>
        <w:rPr>
          <w:rFonts w:hint="eastAsia" w:ascii="宋体" w:hAnsi="宋体" w:cs="宋体"/>
          <w:b/>
          <w:bCs/>
          <w:color w:val="auto"/>
          <w:highlight w:val="none"/>
          <w:u w:val="single"/>
          <w:vertAlign w:val="subscript"/>
        </w:rPr>
        <w:t>0</w:t>
      </w:r>
      <w:r>
        <w:rPr>
          <w:rFonts w:hint="eastAsia" w:ascii="宋体" w:hAnsi="宋体" w:cs="宋体"/>
          <w:b/>
          <w:bCs/>
          <w:color w:val="auto"/>
          <w:highlight w:val="none"/>
          <w:u w:val="single"/>
        </w:rPr>
        <w:t>&gt;P</w:t>
      </w:r>
      <w:r>
        <w:rPr>
          <w:rFonts w:hint="eastAsia" w:ascii="宋体" w:hAnsi="宋体" w:cs="宋体"/>
          <w:b/>
          <w:bCs/>
          <w:color w:val="auto"/>
          <w:highlight w:val="none"/>
          <w:u w:val="single"/>
          <w:vertAlign w:val="subscript"/>
        </w:rPr>
        <w:t>2</w:t>
      </w:r>
      <w:r>
        <w:rPr>
          <w:rFonts w:hint="eastAsia" w:ascii="宋体" w:hAnsi="宋体" w:cs="宋体"/>
          <w:b/>
          <w:bCs/>
          <w:color w:val="auto"/>
          <w:highlight w:val="none"/>
          <w:u w:val="single"/>
        </w:rPr>
        <w:t>×（1+15%）时，P</w:t>
      </w:r>
      <w:r>
        <w:rPr>
          <w:rFonts w:hint="eastAsia" w:ascii="宋体" w:hAnsi="宋体" w:cs="宋体"/>
          <w:b/>
          <w:bCs/>
          <w:color w:val="auto"/>
          <w:highlight w:val="none"/>
          <w:u w:val="single"/>
          <w:vertAlign w:val="subscript"/>
        </w:rPr>
        <w:t>1</w:t>
      </w:r>
      <w:r>
        <w:rPr>
          <w:rFonts w:hint="eastAsia" w:ascii="宋体" w:hAnsi="宋体" w:cs="宋体"/>
          <w:b/>
          <w:bCs/>
          <w:color w:val="auto"/>
          <w:highlight w:val="none"/>
          <w:u w:val="single"/>
        </w:rPr>
        <w:t>=P</w:t>
      </w:r>
      <w:r>
        <w:rPr>
          <w:rFonts w:hint="eastAsia" w:ascii="宋体" w:hAnsi="宋体" w:cs="宋体"/>
          <w:b/>
          <w:bCs/>
          <w:color w:val="auto"/>
          <w:highlight w:val="none"/>
          <w:u w:val="single"/>
          <w:vertAlign w:val="subscript"/>
        </w:rPr>
        <w:t>2</w:t>
      </w:r>
      <w:r>
        <w:rPr>
          <w:rFonts w:hint="eastAsia" w:ascii="宋体" w:hAnsi="宋体" w:cs="宋体"/>
          <w:b/>
          <w:bCs/>
          <w:color w:val="auto"/>
          <w:highlight w:val="none"/>
          <w:u w:val="single"/>
        </w:rPr>
        <w:t>×（1+15%）</w:t>
      </w:r>
    </w:p>
    <w:p w14:paraId="04069539">
      <w:pPr>
        <w:spacing w:line="360" w:lineRule="auto"/>
        <w:ind w:firstLine="422" w:firstLineChars="200"/>
        <w:rPr>
          <w:rFonts w:ascii="宋体" w:hAnsi="宋体" w:cs="宋体"/>
          <w:b/>
          <w:bCs/>
          <w:color w:val="auto"/>
          <w:highlight w:val="none"/>
          <w:u w:val="single"/>
        </w:rPr>
      </w:pPr>
      <w:r>
        <w:rPr>
          <w:rFonts w:hint="eastAsia" w:ascii="宋体" w:hAnsi="宋体" w:cs="宋体"/>
          <w:b/>
          <w:bCs/>
          <w:color w:val="auto"/>
          <w:highlight w:val="none"/>
          <w:u w:val="single"/>
        </w:rPr>
        <w:t>当P</w:t>
      </w:r>
      <w:r>
        <w:rPr>
          <w:rFonts w:hint="eastAsia" w:ascii="宋体" w:hAnsi="宋体" w:cs="宋体"/>
          <w:b/>
          <w:bCs/>
          <w:color w:val="auto"/>
          <w:highlight w:val="none"/>
          <w:u w:val="single"/>
          <w:vertAlign w:val="subscript"/>
        </w:rPr>
        <w:t>0</w:t>
      </w:r>
      <w:r>
        <w:rPr>
          <w:rFonts w:hint="eastAsia" w:ascii="宋体" w:hAnsi="宋体" w:cs="宋体"/>
          <w:b/>
          <w:bCs/>
          <w:color w:val="auto"/>
          <w:highlight w:val="none"/>
          <w:u w:val="single"/>
        </w:rPr>
        <w:t>&gt;P</w:t>
      </w:r>
      <w:r>
        <w:rPr>
          <w:rFonts w:hint="eastAsia" w:ascii="宋体" w:hAnsi="宋体" w:cs="宋体"/>
          <w:b/>
          <w:bCs/>
          <w:color w:val="auto"/>
          <w:highlight w:val="none"/>
          <w:u w:val="single"/>
          <w:vertAlign w:val="subscript"/>
        </w:rPr>
        <w:t>2</w:t>
      </w:r>
      <w:r>
        <w:rPr>
          <w:rFonts w:hint="eastAsia" w:ascii="宋体" w:hAnsi="宋体" w:cs="宋体"/>
          <w:b/>
          <w:bCs/>
          <w:color w:val="auto"/>
          <w:highlight w:val="none"/>
          <w:u w:val="single"/>
        </w:rPr>
        <w:t>×（1-L）×（1-15%）或P</w:t>
      </w:r>
      <w:r>
        <w:rPr>
          <w:rFonts w:hint="eastAsia" w:ascii="宋体" w:hAnsi="宋体" w:cs="宋体"/>
          <w:b/>
          <w:bCs/>
          <w:color w:val="auto"/>
          <w:highlight w:val="none"/>
          <w:u w:val="single"/>
          <w:vertAlign w:val="subscript"/>
        </w:rPr>
        <w:t>0</w:t>
      </w:r>
      <w:r>
        <w:rPr>
          <w:rFonts w:hint="eastAsia" w:ascii="宋体" w:hAnsi="宋体" w:cs="宋体"/>
          <w:b/>
          <w:bCs/>
          <w:color w:val="auto"/>
          <w:highlight w:val="none"/>
          <w:u w:val="single"/>
        </w:rPr>
        <w:t>&lt;P</w:t>
      </w:r>
      <w:r>
        <w:rPr>
          <w:rFonts w:hint="eastAsia" w:ascii="宋体" w:hAnsi="宋体" w:cs="宋体"/>
          <w:b/>
          <w:bCs/>
          <w:color w:val="auto"/>
          <w:highlight w:val="none"/>
          <w:u w:val="single"/>
          <w:vertAlign w:val="subscript"/>
        </w:rPr>
        <w:t>2</w:t>
      </w:r>
      <w:r>
        <w:rPr>
          <w:rFonts w:hint="eastAsia" w:ascii="宋体" w:hAnsi="宋体" w:cs="宋体"/>
          <w:b/>
          <w:bCs/>
          <w:color w:val="auto"/>
          <w:highlight w:val="none"/>
          <w:u w:val="single"/>
        </w:rPr>
        <w:t>×（1+15%）时，可不调整</w:t>
      </w:r>
    </w:p>
    <w:p w14:paraId="0B976388">
      <w:pPr>
        <w:spacing w:line="360" w:lineRule="auto"/>
        <w:ind w:firstLine="422" w:firstLineChars="200"/>
        <w:rPr>
          <w:rFonts w:ascii="宋体" w:hAnsi="宋体" w:cs="宋体"/>
          <w:b/>
          <w:bCs/>
          <w:color w:val="auto"/>
          <w:highlight w:val="none"/>
          <w:u w:val="single"/>
        </w:rPr>
      </w:pPr>
      <w:r>
        <w:rPr>
          <w:rFonts w:hint="eastAsia" w:ascii="宋体" w:hAnsi="宋体" w:cs="宋体"/>
          <w:b/>
          <w:bCs/>
          <w:color w:val="auto"/>
          <w:highlight w:val="none"/>
          <w:u w:val="single"/>
        </w:rPr>
        <w:t>式中：P</w:t>
      </w:r>
      <w:r>
        <w:rPr>
          <w:rFonts w:hint="eastAsia" w:ascii="宋体" w:hAnsi="宋体" w:cs="宋体"/>
          <w:b/>
          <w:bCs/>
          <w:color w:val="auto"/>
          <w:highlight w:val="none"/>
          <w:u w:val="single"/>
          <w:vertAlign w:val="subscript"/>
        </w:rPr>
        <w:t>0</w:t>
      </w:r>
      <w:r>
        <w:rPr>
          <w:rFonts w:hint="eastAsia" w:ascii="宋体" w:hAnsi="宋体" w:cs="宋体"/>
          <w:b/>
          <w:bCs/>
          <w:color w:val="auto"/>
          <w:highlight w:val="none"/>
          <w:u w:val="single"/>
        </w:rPr>
        <w:t>－承包人在工程量清单中填报的综合单价；</w:t>
      </w:r>
    </w:p>
    <w:p w14:paraId="49D2183F">
      <w:pPr>
        <w:spacing w:line="360" w:lineRule="auto"/>
        <w:ind w:firstLine="422" w:firstLineChars="200"/>
        <w:rPr>
          <w:rFonts w:ascii="宋体" w:hAnsi="宋体" w:cs="宋体"/>
          <w:b/>
          <w:bCs/>
          <w:color w:val="auto"/>
          <w:highlight w:val="none"/>
          <w:u w:val="single"/>
        </w:rPr>
      </w:pPr>
      <w:r>
        <w:rPr>
          <w:rFonts w:hint="eastAsia" w:ascii="宋体" w:hAnsi="宋体" w:cs="宋体"/>
          <w:b/>
          <w:bCs/>
          <w:color w:val="auto"/>
          <w:highlight w:val="none"/>
          <w:u w:val="single"/>
        </w:rPr>
        <w:t>P</w:t>
      </w:r>
      <w:r>
        <w:rPr>
          <w:rFonts w:hint="eastAsia" w:ascii="宋体" w:hAnsi="宋体" w:cs="宋体"/>
          <w:b/>
          <w:bCs/>
          <w:color w:val="auto"/>
          <w:highlight w:val="none"/>
          <w:u w:val="single"/>
          <w:vertAlign w:val="subscript"/>
        </w:rPr>
        <w:t>2</w:t>
      </w:r>
      <w:r>
        <w:rPr>
          <w:rFonts w:hint="eastAsia" w:ascii="宋体" w:hAnsi="宋体" w:cs="宋体"/>
          <w:b/>
          <w:bCs/>
          <w:color w:val="auto"/>
          <w:highlight w:val="none"/>
          <w:u w:val="single"/>
        </w:rPr>
        <w:t>－发包人招标控制价相应项目的综合单价；</w:t>
      </w:r>
    </w:p>
    <w:p w14:paraId="1BF8F970">
      <w:pPr>
        <w:spacing w:line="360" w:lineRule="auto"/>
        <w:ind w:firstLine="422" w:firstLineChars="200"/>
        <w:rPr>
          <w:rFonts w:ascii="宋体" w:hAnsi="宋体" w:cs="宋体"/>
          <w:b/>
          <w:bCs/>
          <w:color w:val="auto"/>
          <w:highlight w:val="none"/>
          <w:u w:val="single"/>
        </w:rPr>
      </w:pPr>
      <w:r>
        <w:rPr>
          <w:rFonts w:hint="eastAsia" w:ascii="宋体" w:hAnsi="宋体" w:cs="宋体"/>
          <w:b/>
          <w:bCs/>
          <w:color w:val="auto"/>
          <w:highlight w:val="none"/>
          <w:u w:val="single"/>
        </w:rPr>
        <w:t>L-承包人报价浮动率[报价浮动率L＝（1－中标价/招标控制价）×100%，中标价、招标控制价须扣除暂估价、暂列金额及相应的规费税金]。</w:t>
      </w:r>
    </w:p>
    <w:p w14:paraId="3985FB47">
      <w:pPr>
        <w:spacing w:line="360" w:lineRule="auto"/>
        <w:ind w:firstLine="422" w:firstLineChars="200"/>
        <w:rPr>
          <w:rFonts w:ascii="宋体" w:hAnsi="宋体" w:cs="宋体"/>
          <w:b/>
          <w:color w:val="auto"/>
          <w:highlight w:val="none"/>
          <w:u w:val="single"/>
        </w:rPr>
      </w:pPr>
      <w:r>
        <w:rPr>
          <w:rFonts w:hint="eastAsia" w:ascii="宋体" w:hAnsi="宋体" w:cs="宋体"/>
          <w:b/>
          <w:bCs/>
          <w:color w:val="auto"/>
          <w:highlight w:val="none"/>
          <w:u w:val="single"/>
        </w:rPr>
        <w:t>B、已标价工程量清单中有适用于变更工程项目的，应采用该项目的单</w:t>
      </w:r>
      <w:r>
        <w:rPr>
          <w:rFonts w:hint="eastAsia" w:ascii="宋体" w:hAnsi="宋体" w:cs="宋体"/>
          <w:b/>
          <w:color w:val="auto"/>
          <w:highlight w:val="none"/>
          <w:u w:val="single"/>
        </w:rPr>
        <w:t>价；已标价工程量清单中没有适用但有类似于变更工程项目的，可在合理范围内参照类似项目的单价。</w:t>
      </w:r>
    </w:p>
    <w:p w14:paraId="6405B878">
      <w:pPr>
        <w:spacing w:line="360" w:lineRule="auto"/>
        <w:ind w:firstLine="422" w:firstLineChars="200"/>
        <w:rPr>
          <w:rFonts w:ascii="宋体" w:hAnsi="宋体" w:cs="宋体"/>
          <w:b/>
          <w:color w:val="auto"/>
          <w:highlight w:val="none"/>
          <w:u w:val="single"/>
        </w:rPr>
      </w:pPr>
      <w:r>
        <w:rPr>
          <w:rFonts w:hint="eastAsia" w:ascii="宋体" w:hAnsi="宋体" w:cs="宋体"/>
          <w:b/>
          <w:color w:val="auto"/>
          <w:highlight w:val="none"/>
          <w:u w:val="single"/>
        </w:rPr>
        <w:t>C、已标价工程量清单中没有适用也没有类似于变更工程项目的，应由承包人根据变更工程资料、计量规则和按招标控制价编制依据计价×（1-承包人报价浮动率）[报价浮动率L＝（1－中标价/招标控制价）×100%，中标价、招标控制价须扣除暂估价、暂列金额及相应的规费税金]提出变更工程项目的单价，并应报发包人确认后调整。</w:t>
      </w:r>
    </w:p>
    <w:p w14:paraId="4A82C017">
      <w:pPr>
        <w:spacing w:line="360" w:lineRule="auto"/>
        <w:ind w:firstLine="422" w:firstLineChars="200"/>
        <w:rPr>
          <w:rFonts w:ascii="宋体" w:hAnsi="宋体" w:cs="宋体"/>
          <w:b/>
          <w:color w:val="auto"/>
          <w:highlight w:val="none"/>
          <w:u w:val="single"/>
        </w:rPr>
      </w:pPr>
      <w:r>
        <w:rPr>
          <w:rFonts w:hint="eastAsia" w:ascii="宋体" w:hAnsi="宋体" w:cs="宋体"/>
          <w:b/>
          <w:color w:val="auto"/>
          <w:highlight w:val="none"/>
          <w:u w:val="single"/>
        </w:rPr>
        <w:t>D、已标价工程量清单中没有适用也没有类似于变更工程项目，且南通市建设工程造价管理处发布的信息价格缺价的，应由承包人根据变更工程资料、计量规则和计价办法和通过市场调查等取得有合法依据的市场价格提出变更工程项目的单价，并应报发包人确认后调整。</w:t>
      </w:r>
    </w:p>
    <w:p w14:paraId="15100CCC">
      <w:pPr>
        <w:spacing w:line="360" w:lineRule="auto"/>
        <w:ind w:firstLine="422" w:firstLineChars="200"/>
        <w:rPr>
          <w:rFonts w:ascii="宋体" w:hAnsi="宋体" w:cs="宋体"/>
          <w:b/>
          <w:color w:val="auto"/>
          <w:highlight w:val="none"/>
          <w:u w:val="single"/>
        </w:rPr>
      </w:pPr>
      <w:r>
        <w:rPr>
          <w:rFonts w:hint="eastAsia" w:ascii="宋体" w:hAnsi="宋体" w:cs="宋体"/>
          <w:b/>
          <w:color w:val="auto"/>
          <w:highlight w:val="none"/>
          <w:u w:val="single"/>
        </w:rPr>
        <w:t>（4）因工程变更造成施工方案变更，引起措施项目发生变化时，措施项目费应按下列原则调整：单价措施项目变更原则同分部分项工程；总价措施项目中以费率报价的，费率不变；总价项目中以费用报价的，按投标时口径折算成费率调整；原措施费中没有的措施项目，由承包人提出适当的措施费变更要求，经发包人确认后调整。</w:t>
      </w:r>
    </w:p>
    <w:p w14:paraId="23C7AACE">
      <w:pPr>
        <w:spacing w:line="360" w:lineRule="auto"/>
        <w:ind w:firstLine="422" w:firstLineChars="200"/>
        <w:rPr>
          <w:rFonts w:ascii="宋体" w:hAnsi="宋体" w:cs="宋体"/>
          <w:b/>
          <w:color w:val="auto"/>
          <w:highlight w:val="none"/>
          <w:u w:val="single"/>
        </w:rPr>
      </w:pPr>
      <w:r>
        <w:rPr>
          <w:rFonts w:hint="eastAsia" w:ascii="宋体" w:hAnsi="宋体" w:cs="宋体"/>
          <w:b/>
          <w:color w:val="auto"/>
          <w:highlight w:val="none"/>
          <w:u w:val="single"/>
        </w:rPr>
        <w:t>（5）暂列金额及暂估价详见合同相关条款。</w:t>
      </w:r>
    </w:p>
    <w:p w14:paraId="3DF05942">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12.2预付款</w:t>
      </w:r>
    </w:p>
    <w:p w14:paraId="489D0A33">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12.2.1预付款的支付</w:t>
      </w:r>
    </w:p>
    <w:p w14:paraId="4B9D1C78">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预付款支付比例或金额：</w:t>
      </w:r>
      <w:r>
        <w:rPr>
          <w:rFonts w:hint="eastAsia" w:ascii="宋体" w:hAnsi="宋体" w:cs="宋体"/>
          <w:color w:val="auto"/>
          <w:highlight w:val="none"/>
          <w:u w:val="single"/>
          <w:lang w:val="zh-CN"/>
        </w:rPr>
        <w:t xml:space="preserve">   </w:t>
      </w:r>
      <w:r>
        <w:rPr>
          <w:rFonts w:hint="eastAsia" w:ascii="宋体" w:hAnsi="宋体" w:cs="宋体"/>
          <w:b/>
          <w:bCs/>
          <w:color w:val="auto"/>
          <w:highlight w:val="none"/>
          <w:u w:val="single"/>
          <w:lang w:val="zh-CN"/>
        </w:rPr>
        <w:t xml:space="preserve">/ </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w:t>
      </w:r>
    </w:p>
    <w:p w14:paraId="655A0E8B">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预付款支付期限：</w:t>
      </w:r>
      <w:r>
        <w:rPr>
          <w:rFonts w:hint="eastAsia" w:ascii="宋体" w:hAnsi="宋体" w:cs="宋体"/>
          <w:color w:val="auto"/>
          <w:highlight w:val="none"/>
          <w:u w:val="single"/>
          <w:lang w:val="zh-CN"/>
        </w:rPr>
        <w:t xml:space="preserve">     </w:t>
      </w:r>
      <w:r>
        <w:rPr>
          <w:rFonts w:hint="eastAsia" w:ascii="宋体" w:hAnsi="宋体" w:cs="宋体"/>
          <w:b/>
          <w:bCs/>
          <w:color w:val="auto"/>
          <w:highlight w:val="none"/>
          <w:u w:val="single"/>
          <w:lang w:val="zh-CN"/>
        </w:rPr>
        <w:t>/</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w:t>
      </w:r>
    </w:p>
    <w:p w14:paraId="4AECDA5D">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预付款扣回的方式：</w:t>
      </w:r>
      <w:r>
        <w:rPr>
          <w:rFonts w:hint="eastAsia" w:ascii="宋体" w:hAnsi="宋体" w:cs="宋体"/>
          <w:color w:val="auto"/>
          <w:highlight w:val="none"/>
          <w:u w:val="single"/>
          <w:lang w:val="zh-CN"/>
        </w:rPr>
        <w:t xml:space="preserve">      </w:t>
      </w:r>
      <w:r>
        <w:rPr>
          <w:rFonts w:hint="eastAsia" w:ascii="宋体" w:hAnsi="宋体" w:cs="宋体"/>
          <w:b/>
          <w:bCs/>
          <w:color w:val="auto"/>
          <w:highlight w:val="none"/>
          <w:u w:val="single"/>
          <w:lang w:val="zh-CN"/>
        </w:rPr>
        <w:t>/</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w:t>
      </w:r>
    </w:p>
    <w:p w14:paraId="7B8202E4">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12.2.2预付款担保</w:t>
      </w:r>
    </w:p>
    <w:p w14:paraId="45B5CE41">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承包人提交预付款担保的期限：</w:t>
      </w:r>
      <w:r>
        <w:rPr>
          <w:rFonts w:hint="eastAsia" w:ascii="宋体" w:hAnsi="宋体" w:cs="宋体"/>
          <w:color w:val="auto"/>
          <w:highlight w:val="none"/>
          <w:u w:val="single"/>
          <w:lang w:val="zh-CN"/>
        </w:rPr>
        <w:t xml:space="preserve">  /   </w:t>
      </w:r>
      <w:r>
        <w:rPr>
          <w:rFonts w:hint="eastAsia" w:ascii="宋体" w:hAnsi="宋体" w:cs="宋体"/>
          <w:color w:val="auto"/>
          <w:highlight w:val="none"/>
          <w:lang w:val="zh-CN"/>
        </w:rPr>
        <w:t>。</w:t>
      </w:r>
    </w:p>
    <w:p w14:paraId="6AB65CF7">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预付款担保的形式为：</w:t>
      </w:r>
      <w:r>
        <w:rPr>
          <w:rFonts w:hint="eastAsia" w:ascii="宋体" w:hAnsi="宋体" w:cs="宋体"/>
          <w:color w:val="auto"/>
          <w:highlight w:val="none"/>
          <w:u w:val="single"/>
          <w:lang w:val="zh-CN"/>
        </w:rPr>
        <w:t xml:space="preserve">   /        </w:t>
      </w:r>
      <w:r>
        <w:rPr>
          <w:rFonts w:hint="eastAsia" w:ascii="宋体" w:hAnsi="宋体" w:cs="宋体"/>
          <w:color w:val="auto"/>
          <w:highlight w:val="none"/>
          <w:lang w:val="zh-CN"/>
        </w:rPr>
        <w:t>。</w:t>
      </w:r>
    </w:p>
    <w:p w14:paraId="71196943">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12.3计量</w:t>
      </w:r>
    </w:p>
    <w:p w14:paraId="76E82101">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12.3.1计量原则</w:t>
      </w:r>
    </w:p>
    <w:p w14:paraId="42471255">
      <w:pPr>
        <w:autoSpaceDE w:val="0"/>
        <w:autoSpaceDN w:val="0"/>
        <w:adjustRightInd w:val="0"/>
        <w:spacing w:line="360" w:lineRule="auto"/>
        <w:ind w:firstLine="420" w:firstLineChars="200"/>
        <w:rPr>
          <w:rFonts w:ascii="宋体" w:hAnsi="宋体" w:cs="宋体"/>
          <w:b/>
          <w:bCs/>
          <w:color w:val="auto"/>
          <w:highlight w:val="none"/>
          <w:u w:val="single"/>
        </w:rPr>
      </w:pPr>
      <w:r>
        <w:rPr>
          <w:rFonts w:hint="eastAsia" w:ascii="宋体" w:hAnsi="宋体" w:cs="宋体"/>
          <w:color w:val="auto"/>
          <w:highlight w:val="none"/>
          <w:lang w:val="zh-CN"/>
        </w:rPr>
        <w:t>工程量计算规则：</w:t>
      </w:r>
      <w:r>
        <w:rPr>
          <w:rFonts w:hint="eastAsia" w:ascii="宋体" w:hAnsi="宋体" w:cs="宋体"/>
          <w:color w:val="auto"/>
          <w:highlight w:val="none"/>
          <w:u w:val="single"/>
          <w:lang w:val="zh-CN"/>
        </w:rPr>
        <w:t>《江苏省建设工程费用定额》2014版、《建设工程工程量清单计价规范》（GB50500-2013）、《通用安装工程工程量计算规范》（GB50856-2013）；《江苏省安装工程计价定额》2014年版</w:t>
      </w:r>
      <w:r>
        <w:rPr>
          <w:rFonts w:hint="eastAsia" w:ascii="宋体" w:hAnsi="宋体" w:cs="宋体"/>
          <w:color w:val="auto"/>
          <w:highlight w:val="none"/>
          <w:u w:val="single"/>
        </w:rPr>
        <w:t>、《省住房城乡建设厅关于建筑业增值税计价政策调整的通知》苏建价[2018]298号文、《省住房城乡建设厅关于调整建设工程计价增值税税率的通知》苏建函价（2019）178号、《省住房城乡建设厅关于调整建设工程按质论价等费用计取方法的公告》（2018）第24号、《关于明确南通市建设工程环境保护税计价问题的通知》通建价[2019]20号文、省住房城乡建设厅关于建筑工人实名制费用计取方法的公告（2019）第19号以及省、市建设行政主管部门有关建设工程取费标准及费用调整文件</w:t>
      </w:r>
    </w:p>
    <w:p w14:paraId="3B97212B">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12.3.2计量周期</w:t>
      </w:r>
    </w:p>
    <w:p w14:paraId="2FE043BE">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关于计量周期的约定：</w:t>
      </w:r>
      <w:r>
        <w:rPr>
          <w:rFonts w:hint="eastAsia" w:ascii="宋体" w:hAnsi="宋体" w:cs="宋体"/>
          <w:b/>
          <w:bCs/>
          <w:color w:val="auto"/>
          <w:highlight w:val="none"/>
          <w:u w:val="single"/>
          <w:lang w:val="zh-CN"/>
        </w:rPr>
        <w:t xml:space="preserve">     /   </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w:t>
      </w:r>
    </w:p>
    <w:p w14:paraId="499390B0">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12.3.3单价合同的计量</w:t>
      </w:r>
    </w:p>
    <w:p w14:paraId="3D228069">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关于单价合同计量的约定：</w:t>
      </w:r>
      <w:r>
        <w:rPr>
          <w:rFonts w:hint="eastAsia" w:ascii="宋体" w:hAnsi="宋体" w:cs="宋体"/>
          <w:color w:val="auto"/>
          <w:highlight w:val="none"/>
          <w:u w:val="single"/>
          <w:lang w:val="zh-CN"/>
        </w:rPr>
        <w:t xml:space="preserve">  </w:t>
      </w:r>
      <w:r>
        <w:rPr>
          <w:rFonts w:hint="eastAsia" w:ascii="宋体" w:hAnsi="宋体" w:cs="宋体"/>
          <w:b/>
          <w:bCs/>
          <w:color w:val="auto"/>
          <w:highlight w:val="none"/>
          <w:u w:val="single"/>
          <w:lang w:val="zh-CN"/>
        </w:rPr>
        <w:t xml:space="preserve">/    </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w:t>
      </w:r>
    </w:p>
    <w:p w14:paraId="6FA51921">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12.3.4总价合同的计量</w:t>
      </w:r>
    </w:p>
    <w:p w14:paraId="2BC1F0CA">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关于总价合同计量的约定：</w:t>
      </w:r>
      <w:r>
        <w:rPr>
          <w:rFonts w:hint="eastAsia" w:ascii="宋体" w:hAnsi="宋体" w:cs="宋体"/>
          <w:color w:val="auto"/>
          <w:highlight w:val="none"/>
          <w:u w:val="single"/>
          <w:lang w:val="zh-CN"/>
        </w:rPr>
        <w:t xml:space="preserve">      </w:t>
      </w:r>
      <w:r>
        <w:rPr>
          <w:rFonts w:hint="eastAsia" w:ascii="宋体" w:hAnsi="宋体" w:cs="宋体"/>
          <w:b/>
          <w:bCs/>
          <w:color w:val="auto"/>
          <w:highlight w:val="none"/>
          <w:u w:val="single"/>
          <w:lang w:val="zh-CN"/>
        </w:rPr>
        <w:t xml:space="preserve">/ </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w:t>
      </w:r>
    </w:p>
    <w:p w14:paraId="4A3F3B24">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12.3.5总价合同采用支付分解表计量支付的，是否适用第12.3.4 项〔总价合同的计量〕约定进行计量：</w:t>
      </w:r>
      <w:r>
        <w:rPr>
          <w:rFonts w:hint="eastAsia" w:ascii="宋体" w:hAnsi="宋体" w:cs="宋体"/>
          <w:color w:val="auto"/>
          <w:highlight w:val="none"/>
          <w:u w:val="single"/>
          <w:lang w:val="zh-CN"/>
        </w:rPr>
        <w:t xml:space="preserve">       </w:t>
      </w:r>
      <w:r>
        <w:rPr>
          <w:rFonts w:hint="eastAsia" w:ascii="宋体" w:hAnsi="宋体" w:cs="宋体"/>
          <w:b/>
          <w:bCs/>
          <w:color w:val="auto"/>
          <w:highlight w:val="none"/>
          <w:u w:val="single"/>
          <w:lang w:val="zh-CN"/>
        </w:rPr>
        <w:t xml:space="preserve">/ </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w:t>
      </w:r>
    </w:p>
    <w:p w14:paraId="76CCB209">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12.3.6其他价格形式合同的计量</w:t>
      </w:r>
    </w:p>
    <w:p w14:paraId="25D6FAEF">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其他价格形式的计量方式和程序：</w:t>
      </w:r>
      <w:r>
        <w:rPr>
          <w:rFonts w:hint="eastAsia" w:ascii="宋体" w:hAnsi="宋体" w:cs="宋体"/>
          <w:color w:val="auto"/>
          <w:highlight w:val="none"/>
          <w:u w:val="single"/>
          <w:lang w:val="zh-CN"/>
        </w:rPr>
        <w:t xml:space="preserve">  </w:t>
      </w:r>
      <w:r>
        <w:rPr>
          <w:rFonts w:hint="eastAsia" w:ascii="宋体" w:hAnsi="宋体" w:cs="宋体"/>
          <w:b/>
          <w:bCs/>
          <w:color w:val="auto"/>
          <w:highlight w:val="none"/>
          <w:u w:val="single"/>
          <w:lang w:val="zh-CN"/>
        </w:rPr>
        <w:t xml:space="preserve"> /  </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w:t>
      </w:r>
    </w:p>
    <w:p w14:paraId="43655972">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12.4工程进度款支付</w:t>
      </w:r>
    </w:p>
    <w:p w14:paraId="22255437">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12.4.1付款周期</w:t>
      </w:r>
    </w:p>
    <w:p w14:paraId="0D1C87BE">
      <w:pPr>
        <w:spacing w:line="360" w:lineRule="auto"/>
        <w:ind w:firstLine="420" w:firstLineChars="200"/>
        <w:jc w:val="left"/>
        <w:rPr>
          <w:rFonts w:ascii="宋体" w:hAnsi="宋体" w:cs="宋体"/>
          <w:color w:val="auto"/>
          <w:highlight w:val="none"/>
          <w:lang w:val="zh-CN"/>
        </w:rPr>
      </w:pPr>
      <w:r>
        <w:rPr>
          <w:rFonts w:hint="eastAsia" w:ascii="宋体" w:hAnsi="宋体" w:cs="宋体"/>
          <w:color w:val="auto"/>
          <w:highlight w:val="none"/>
          <w:lang w:val="zh-CN"/>
        </w:rPr>
        <w:t>关于付款周期的约定：</w:t>
      </w:r>
    </w:p>
    <w:p w14:paraId="4CF4DD17">
      <w:pPr>
        <w:snapToGrid w:val="0"/>
        <w:spacing w:line="440" w:lineRule="exact"/>
        <w:ind w:firstLine="420"/>
        <w:rPr>
          <w:rFonts w:hAnsi="宋体" w:cs="等线"/>
          <w:color w:val="auto"/>
          <w:highlight w:val="none"/>
          <w:u w:val="single"/>
        </w:rPr>
      </w:pPr>
      <w:r>
        <w:rPr>
          <w:rFonts w:hint="eastAsia" w:hAnsi="宋体" w:cs="等线"/>
          <w:color w:val="auto"/>
          <w:highlight w:val="none"/>
          <w:u w:val="single"/>
        </w:rPr>
        <w:t>（1）合同签订生效后，设备到场并经甲方验收合格后支付合同价款的30% ;</w:t>
      </w:r>
    </w:p>
    <w:p w14:paraId="68D2A813">
      <w:pPr>
        <w:snapToGrid w:val="0"/>
        <w:spacing w:line="440" w:lineRule="exact"/>
        <w:ind w:firstLine="420"/>
        <w:rPr>
          <w:rFonts w:hAnsi="宋体" w:cs="等线"/>
          <w:color w:val="auto"/>
          <w:highlight w:val="none"/>
          <w:u w:val="single"/>
        </w:rPr>
      </w:pPr>
      <w:r>
        <w:rPr>
          <w:rFonts w:hint="eastAsia" w:hAnsi="宋体" w:cs="等线"/>
          <w:color w:val="auto"/>
          <w:highlight w:val="none"/>
          <w:u w:val="single"/>
        </w:rPr>
        <w:t>（2）工程竣工验收合格联网后、乙方向甲方交付完整的竣工结算资料，支付至合同价款的60%；</w:t>
      </w:r>
    </w:p>
    <w:p w14:paraId="7486D03E">
      <w:pPr>
        <w:snapToGrid w:val="0"/>
        <w:spacing w:line="440" w:lineRule="exact"/>
        <w:ind w:firstLine="420"/>
        <w:rPr>
          <w:rFonts w:hAnsi="宋体" w:cs="等线"/>
          <w:color w:val="auto"/>
          <w:highlight w:val="none"/>
          <w:u w:val="single"/>
        </w:rPr>
      </w:pPr>
      <w:r>
        <w:rPr>
          <w:rFonts w:hint="eastAsia" w:hAnsi="宋体" w:cs="等线"/>
          <w:color w:val="auto"/>
          <w:highlight w:val="none"/>
          <w:u w:val="single"/>
        </w:rPr>
        <w:t>（3）</w:t>
      </w:r>
      <w:r>
        <w:rPr>
          <w:rFonts w:hint="eastAsia" w:hAnsi="宋体" w:cs="等线"/>
          <w:color w:val="auto"/>
          <w:highlight w:val="none"/>
          <w:u w:val="single"/>
        </w:rPr>
        <w:t>初审完成后付至初审价的85%；</w:t>
      </w:r>
      <w:r>
        <w:rPr>
          <w:rFonts w:hint="eastAsia" w:hAnsi="宋体" w:cs="等线"/>
          <w:color w:val="auto"/>
          <w:highlight w:val="none"/>
          <w:u w:val="single"/>
        </w:rPr>
        <w:t>最终审计完成并经双方确认后付至最终审计价款金额的97%；余3%结算款（质量保修金）在验收合格满5年后，且满足维保补</w:t>
      </w:r>
      <w:r>
        <w:rPr>
          <w:rFonts w:hint="eastAsia" w:hAnsi="宋体" w:cs="等线"/>
          <w:color w:val="auto"/>
          <w:highlight w:val="none"/>
          <w:u w:val="single"/>
        </w:rPr>
        <w:t>充协议中</w:t>
      </w:r>
      <w:r>
        <w:rPr>
          <w:rFonts w:hint="eastAsia" w:hAnsi="宋体" w:cs="宋体"/>
          <w:color w:val="auto"/>
          <w:highlight w:val="none"/>
          <w:u w:val="single"/>
        </w:rPr>
        <w:t>畅通率</w:t>
      </w:r>
      <w:r>
        <w:rPr>
          <w:rFonts w:hint="eastAsia" w:hAnsi="宋体" w:cs="等线"/>
          <w:color w:val="auto"/>
          <w:highlight w:val="none"/>
          <w:u w:val="single"/>
        </w:rPr>
        <w:t>（</w:t>
      </w:r>
      <w:r>
        <w:rPr>
          <w:rFonts w:hint="eastAsia" w:hAnsi="宋体" w:cs="等线"/>
          <w:color w:val="auto"/>
          <w:highlight w:val="none"/>
          <w:u w:val="single"/>
        </w:rPr>
        <w:t>由使用方出具正常维保维护相关证明）的一次性付清。</w:t>
      </w:r>
    </w:p>
    <w:p w14:paraId="7A3F8C40">
      <w:pPr>
        <w:spacing w:line="360" w:lineRule="auto"/>
        <w:ind w:firstLine="420" w:firstLineChars="200"/>
        <w:jc w:val="left"/>
        <w:rPr>
          <w:rFonts w:ascii="宋体" w:hAnsi="宋体" w:cs="宋体"/>
          <w:color w:val="auto"/>
          <w:highlight w:val="none"/>
          <w:u w:val="single"/>
        </w:rPr>
      </w:pPr>
      <w:r>
        <w:rPr>
          <w:rFonts w:hint="eastAsia" w:ascii="宋体" w:hAnsi="宋体" w:cs="宋体"/>
          <w:color w:val="auto"/>
          <w:highlight w:val="none"/>
          <w:u w:val="single"/>
        </w:rPr>
        <w:t>以上工程款的支付不计息。</w:t>
      </w:r>
    </w:p>
    <w:p w14:paraId="72F4637D">
      <w:pPr>
        <w:spacing w:line="360" w:lineRule="auto"/>
        <w:ind w:firstLine="422" w:firstLineChars="200"/>
        <w:rPr>
          <w:rFonts w:ascii="宋体" w:hAnsi="宋体" w:cs="宋体"/>
          <w:b/>
          <w:color w:val="auto"/>
          <w:highlight w:val="none"/>
          <w:u w:val="single"/>
        </w:rPr>
      </w:pPr>
      <w:r>
        <w:rPr>
          <w:rFonts w:hint="eastAsia" w:ascii="宋体" w:hAnsi="宋体" w:cs="宋体"/>
          <w:b/>
          <w:color w:val="auto"/>
          <w:highlight w:val="none"/>
          <w:u w:val="single"/>
        </w:rPr>
        <w:t>每次工程款支付申请前，跨南通市提供建筑服务的纳税人,需提供崇川区主管税务机关出据的预缴税款完税发票</w:t>
      </w:r>
    </w:p>
    <w:p w14:paraId="2499B683">
      <w:pPr>
        <w:spacing w:line="360" w:lineRule="auto"/>
        <w:ind w:firstLine="422" w:firstLineChars="200"/>
        <w:rPr>
          <w:rFonts w:ascii="宋体" w:hAnsi="宋体" w:cs="宋体"/>
          <w:b/>
          <w:color w:val="auto"/>
          <w:highlight w:val="none"/>
          <w:u w:val="single"/>
        </w:rPr>
      </w:pPr>
      <w:r>
        <w:rPr>
          <w:rFonts w:hint="eastAsia" w:ascii="宋体" w:hAnsi="宋体" w:cs="宋体"/>
          <w:b/>
          <w:color w:val="auto"/>
          <w:highlight w:val="none"/>
          <w:u w:val="single"/>
        </w:rPr>
        <w:t xml:space="preserve"> (1)履约保证金在竣工验收合格、结算资料送审完成后退还。承包人不得因工程造价低，造成质量、停工等问题，如有发生，该保证金不退。</w:t>
      </w:r>
    </w:p>
    <w:p w14:paraId="45D31554">
      <w:pPr>
        <w:spacing w:line="360" w:lineRule="auto"/>
        <w:ind w:firstLine="422" w:firstLineChars="200"/>
        <w:rPr>
          <w:rFonts w:ascii="宋体" w:hAnsi="宋体" w:cs="宋体"/>
          <w:b/>
          <w:color w:val="auto"/>
          <w:highlight w:val="none"/>
          <w:u w:val="single"/>
        </w:rPr>
      </w:pPr>
      <w:r>
        <w:rPr>
          <w:rFonts w:hint="eastAsia" w:ascii="宋体" w:hAnsi="宋体" w:cs="宋体"/>
          <w:b/>
          <w:color w:val="auto"/>
          <w:highlight w:val="none"/>
          <w:u w:val="single"/>
        </w:rPr>
        <w:t>（2）承包人不得因拖欠材料商、分包商等工程款而影响工程进度和质量，否则承包人除承担违约责任外，还需承担发包人对其罚款，金额为拖欠款的 20%。</w:t>
      </w:r>
      <w:r>
        <w:rPr>
          <w:rFonts w:hint="eastAsia" w:ascii="宋体" w:hAnsi="宋体" w:cs="宋体"/>
          <w:b/>
          <w:color w:val="auto"/>
          <w:highlight w:val="none"/>
          <w:u w:val="single"/>
        </w:rPr>
        <w:t>发包人因此被起诉的，承包人还应承担发包人由此产生的诉讼费用、律师费、鉴定评估费用等。</w:t>
      </w:r>
    </w:p>
    <w:p w14:paraId="4DE6151A">
      <w:pPr>
        <w:spacing w:line="360" w:lineRule="auto"/>
        <w:ind w:firstLine="422" w:firstLineChars="200"/>
        <w:rPr>
          <w:rFonts w:ascii="宋体" w:hAnsi="宋体" w:cs="宋体"/>
          <w:b/>
          <w:color w:val="auto"/>
          <w:highlight w:val="none"/>
          <w:u w:val="single"/>
        </w:rPr>
      </w:pPr>
      <w:r>
        <w:rPr>
          <w:rFonts w:hint="eastAsia" w:ascii="宋体" w:hAnsi="宋体" w:cs="宋体"/>
          <w:b/>
          <w:color w:val="auto"/>
          <w:highlight w:val="none"/>
          <w:u w:val="single"/>
        </w:rPr>
        <w:t xml:space="preserve">（3）发包人有权直接扣除按合同规定对承包人的各项违约金或罚金，并以工程联系单的形式发放给承包人。 </w:t>
      </w:r>
    </w:p>
    <w:p w14:paraId="0EC45B44">
      <w:pPr>
        <w:spacing w:line="360" w:lineRule="auto"/>
        <w:ind w:firstLine="422" w:firstLineChars="200"/>
        <w:rPr>
          <w:rFonts w:ascii="宋体" w:hAnsi="宋体" w:cs="宋体"/>
          <w:b/>
          <w:color w:val="auto"/>
          <w:highlight w:val="none"/>
          <w:u w:val="single"/>
        </w:rPr>
      </w:pPr>
      <w:r>
        <w:rPr>
          <w:rFonts w:hint="eastAsia" w:ascii="宋体" w:hAnsi="宋体" w:cs="宋体"/>
          <w:b/>
          <w:color w:val="auto"/>
          <w:highlight w:val="none"/>
          <w:u w:val="single"/>
        </w:rPr>
        <w:t>（4）所有工程付款必须经总监理工程师和发包方项目负责人签发付款证书后发包人才予以支付。</w:t>
      </w:r>
    </w:p>
    <w:p w14:paraId="1DEE0ADC">
      <w:pPr>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12.4.2 进度付款申请单的编制</w:t>
      </w:r>
    </w:p>
    <w:p w14:paraId="50235484">
      <w:pPr>
        <w:autoSpaceDE w:val="0"/>
        <w:autoSpaceDN w:val="0"/>
        <w:adjustRightInd w:val="0"/>
        <w:spacing w:line="360" w:lineRule="auto"/>
        <w:ind w:firstLine="420" w:firstLineChars="200"/>
        <w:rPr>
          <w:rFonts w:ascii="宋体" w:hAnsi="宋体" w:cs="宋体"/>
          <w:color w:val="auto"/>
          <w:highlight w:val="none"/>
          <w:u w:val="single"/>
          <w:lang w:val="zh-CN"/>
        </w:rPr>
      </w:pPr>
      <w:r>
        <w:rPr>
          <w:rFonts w:hint="eastAsia" w:ascii="宋体" w:hAnsi="宋体" w:cs="宋体"/>
          <w:color w:val="auto"/>
          <w:highlight w:val="none"/>
          <w:lang w:val="zh-CN"/>
        </w:rPr>
        <w:t>关于进度付款申请单编制的约定：</w:t>
      </w:r>
      <w:r>
        <w:rPr>
          <w:rFonts w:hint="eastAsia" w:ascii="宋体" w:hAnsi="宋体" w:cs="宋体"/>
          <w:b/>
          <w:bCs/>
          <w:color w:val="auto"/>
          <w:highlight w:val="none"/>
          <w:u w:val="single"/>
          <w:lang w:val="zh-CN"/>
        </w:rPr>
        <w:t xml:space="preserve">        </w:t>
      </w:r>
    </w:p>
    <w:p w14:paraId="766E2770">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12.4.3 进度付款申请单的提交</w:t>
      </w:r>
    </w:p>
    <w:p w14:paraId="7AEBEB92">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1</w:t>
      </w:r>
      <w:r>
        <w:rPr>
          <w:rFonts w:ascii="宋体" w:hAnsi="宋体" w:cs="宋体"/>
          <w:color w:val="auto"/>
          <w:highlight w:val="none"/>
          <w:lang w:val="zh-CN"/>
        </w:rPr>
        <w:t>2.4.3.1</w:t>
      </w:r>
      <w:r>
        <w:rPr>
          <w:rFonts w:hint="eastAsia" w:ascii="宋体" w:hAnsi="宋体" w:cs="宋体"/>
          <w:color w:val="auto"/>
          <w:highlight w:val="none"/>
          <w:lang w:val="zh-CN"/>
        </w:rPr>
        <w:t>单价合同进度付款申请单提交的约定：</w:t>
      </w:r>
      <w:r>
        <w:rPr>
          <w:rFonts w:hint="eastAsia" w:ascii="宋体" w:hAnsi="宋体" w:cs="宋体"/>
          <w:color w:val="auto"/>
          <w:highlight w:val="none"/>
          <w:u w:val="single"/>
          <w:lang w:val="zh-CN"/>
        </w:rPr>
        <w:t xml:space="preserve">   </w:t>
      </w:r>
      <w:r>
        <w:rPr>
          <w:rFonts w:hint="eastAsia" w:ascii="宋体" w:hAnsi="宋体" w:cs="宋体"/>
          <w:b/>
          <w:bCs/>
          <w:color w:val="auto"/>
          <w:highlight w:val="none"/>
          <w:u w:val="single"/>
        </w:rPr>
        <w:t xml:space="preserve"> /  </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w:t>
      </w:r>
    </w:p>
    <w:p w14:paraId="47B931DB">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1</w:t>
      </w:r>
      <w:r>
        <w:rPr>
          <w:rFonts w:ascii="宋体" w:hAnsi="宋体" w:cs="宋体"/>
          <w:color w:val="auto"/>
          <w:highlight w:val="none"/>
          <w:lang w:val="zh-CN"/>
        </w:rPr>
        <w:t>2.4.3.2</w:t>
      </w:r>
      <w:r>
        <w:rPr>
          <w:rFonts w:hint="eastAsia" w:ascii="宋体" w:hAnsi="宋体" w:cs="宋体"/>
          <w:color w:val="auto"/>
          <w:highlight w:val="none"/>
          <w:lang w:val="zh-CN"/>
        </w:rPr>
        <w:t>总价合同进度付款申请单提交的约定：</w:t>
      </w:r>
      <w:r>
        <w:rPr>
          <w:rFonts w:hint="eastAsia" w:ascii="宋体" w:hAnsi="宋体" w:cs="宋体"/>
          <w:color w:val="auto"/>
          <w:highlight w:val="none"/>
          <w:u w:val="single"/>
          <w:lang w:val="zh-CN"/>
        </w:rPr>
        <w:t xml:space="preserve">  </w:t>
      </w:r>
      <w:r>
        <w:rPr>
          <w:rFonts w:hint="eastAsia" w:ascii="宋体" w:hAnsi="宋体" w:cs="宋体"/>
          <w:b/>
          <w:bCs/>
          <w:color w:val="auto"/>
          <w:highlight w:val="none"/>
          <w:u w:val="single"/>
        </w:rPr>
        <w:t xml:space="preserve"> /  </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w:t>
      </w:r>
    </w:p>
    <w:p w14:paraId="26BA751A">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1</w:t>
      </w:r>
      <w:r>
        <w:rPr>
          <w:rFonts w:ascii="宋体" w:hAnsi="宋体" w:cs="宋体"/>
          <w:color w:val="auto"/>
          <w:highlight w:val="none"/>
          <w:lang w:val="zh-CN"/>
        </w:rPr>
        <w:t>2.4.3.3</w:t>
      </w:r>
      <w:r>
        <w:rPr>
          <w:rFonts w:hint="eastAsia" w:ascii="宋体" w:hAnsi="宋体" w:cs="宋体"/>
          <w:color w:val="auto"/>
          <w:highlight w:val="none"/>
          <w:lang w:val="zh-CN"/>
        </w:rPr>
        <w:t>其他价格形式合同进度付款申请单提交的约定：</w:t>
      </w:r>
      <w:r>
        <w:rPr>
          <w:rFonts w:hint="eastAsia" w:ascii="宋体" w:hAnsi="宋体" w:cs="宋体"/>
          <w:color w:val="auto"/>
          <w:highlight w:val="none"/>
          <w:u w:val="single"/>
          <w:lang w:val="zh-CN"/>
        </w:rPr>
        <w:t xml:space="preserve">  </w:t>
      </w:r>
      <w:r>
        <w:rPr>
          <w:rFonts w:hint="eastAsia" w:ascii="宋体" w:hAnsi="宋体" w:cs="宋体"/>
          <w:b/>
          <w:bCs/>
          <w:color w:val="auto"/>
          <w:highlight w:val="none"/>
          <w:u w:val="single"/>
        </w:rPr>
        <w:t xml:space="preserve">/ </w:t>
      </w:r>
      <w:r>
        <w:rPr>
          <w:rFonts w:hint="eastAsia" w:ascii="宋体" w:hAnsi="宋体" w:cs="宋体"/>
          <w:color w:val="auto"/>
          <w:highlight w:val="none"/>
          <w:lang w:val="zh-CN"/>
        </w:rPr>
        <w:t>。</w:t>
      </w:r>
    </w:p>
    <w:p w14:paraId="5A2B386A">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12.4.4 进度款审核和支付</w:t>
      </w:r>
    </w:p>
    <w:p w14:paraId="47202FC5">
      <w:pPr>
        <w:autoSpaceDE w:val="0"/>
        <w:autoSpaceDN w:val="0"/>
        <w:adjustRightInd w:val="0"/>
        <w:spacing w:line="360" w:lineRule="auto"/>
        <w:ind w:firstLine="420" w:firstLineChars="200"/>
        <w:rPr>
          <w:rFonts w:ascii="宋体" w:hAnsi="宋体" w:cs="宋体"/>
          <w:color w:val="auto"/>
          <w:highlight w:val="none"/>
          <w:u w:val="single"/>
          <w:lang w:val="zh-CN"/>
        </w:rPr>
      </w:pPr>
      <w:r>
        <w:rPr>
          <w:rFonts w:hint="eastAsia" w:ascii="宋体" w:hAnsi="宋体" w:cs="宋体"/>
          <w:color w:val="auto"/>
          <w:highlight w:val="none"/>
          <w:lang w:val="zh-CN"/>
        </w:rPr>
        <w:t>1</w:t>
      </w:r>
      <w:r>
        <w:rPr>
          <w:rFonts w:ascii="宋体" w:hAnsi="宋体" w:cs="宋体"/>
          <w:color w:val="auto"/>
          <w:highlight w:val="none"/>
          <w:lang w:val="zh-CN"/>
        </w:rPr>
        <w:t>2.4.4.1</w:t>
      </w:r>
      <w:r>
        <w:rPr>
          <w:rFonts w:hint="eastAsia" w:ascii="宋体" w:hAnsi="宋体" w:cs="宋体"/>
          <w:color w:val="auto"/>
          <w:highlight w:val="none"/>
          <w:lang w:val="zh-CN"/>
        </w:rPr>
        <w:t>监理人审查并报送发包人的期限：</w:t>
      </w:r>
      <w:r>
        <w:rPr>
          <w:rFonts w:hint="eastAsia" w:ascii="宋体" w:hAnsi="宋体" w:cs="宋体"/>
          <w:color w:val="auto"/>
          <w:highlight w:val="none"/>
          <w:u w:val="single"/>
          <w:lang w:val="zh-CN"/>
        </w:rPr>
        <w:t xml:space="preserve">  </w:t>
      </w:r>
      <w:r>
        <w:rPr>
          <w:rFonts w:hint="eastAsia" w:ascii="宋体" w:hAnsi="宋体" w:cs="宋体"/>
          <w:b/>
          <w:bCs/>
          <w:color w:val="auto"/>
          <w:highlight w:val="none"/>
          <w:u w:val="single"/>
          <w:lang w:val="zh-CN"/>
        </w:rPr>
        <w:t>收到</w:t>
      </w:r>
      <w:r>
        <w:rPr>
          <w:rFonts w:hint="eastAsia" w:ascii="宋体" w:hAnsi="宋体" w:cs="宋体"/>
          <w:b/>
          <w:bCs/>
          <w:color w:val="auto"/>
          <w:highlight w:val="none"/>
          <w:u w:val="single"/>
        </w:rPr>
        <w:t>3</w:t>
      </w:r>
      <w:r>
        <w:rPr>
          <w:rFonts w:hint="eastAsia" w:ascii="宋体" w:hAnsi="宋体" w:cs="宋体"/>
          <w:b/>
          <w:bCs/>
          <w:color w:val="auto"/>
          <w:highlight w:val="none"/>
          <w:u w:val="single"/>
          <w:lang w:val="zh-CN"/>
        </w:rPr>
        <w:t>个工作日内</w:t>
      </w:r>
      <w:r>
        <w:rPr>
          <w:rFonts w:hint="eastAsia" w:ascii="宋体" w:hAnsi="宋体" w:cs="宋体"/>
          <w:b/>
          <w:bCs/>
          <w:color w:val="auto"/>
          <w:highlight w:val="none"/>
          <w:u w:val="single"/>
        </w:rPr>
        <w:t xml:space="preserve"> </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w:t>
      </w:r>
    </w:p>
    <w:p w14:paraId="38D57CAC">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发包人完成审批并签发进度款支付证书的期限：</w:t>
      </w:r>
      <w:r>
        <w:rPr>
          <w:rFonts w:hint="eastAsia" w:ascii="宋体" w:hAnsi="宋体" w:cs="宋体"/>
          <w:b/>
          <w:bCs/>
          <w:color w:val="auto"/>
          <w:highlight w:val="none"/>
          <w:u w:val="single"/>
          <w:lang w:val="zh-CN"/>
        </w:rPr>
        <w:t>收到</w:t>
      </w:r>
      <w:r>
        <w:rPr>
          <w:rFonts w:hint="eastAsia" w:ascii="宋体" w:hAnsi="宋体" w:cs="宋体"/>
          <w:b/>
          <w:bCs/>
          <w:color w:val="auto"/>
          <w:highlight w:val="none"/>
          <w:u w:val="single"/>
        </w:rPr>
        <w:t>7</w:t>
      </w:r>
      <w:r>
        <w:rPr>
          <w:rFonts w:hint="eastAsia" w:ascii="宋体" w:hAnsi="宋体" w:cs="宋体"/>
          <w:b/>
          <w:bCs/>
          <w:color w:val="auto"/>
          <w:highlight w:val="none"/>
          <w:u w:val="single"/>
          <w:lang w:val="zh-CN"/>
        </w:rPr>
        <w:t>个工作日内</w:t>
      </w:r>
      <w:r>
        <w:rPr>
          <w:rFonts w:hint="eastAsia" w:ascii="宋体" w:hAnsi="宋体" w:cs="宋体"/>
          <w:color w:val="auto"/>
          <w:highlight w:val="none"/>
          <w:lang w:val="zh-CN"/>
        </w:rPr>
        <w:t>。</w:t>
      </w:r>
    </w:p>
    <w:p w14:paraId="711C9FBC">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1</w:t>
      </w:r>
      <w:r>
        <w:rPr>
          <w:rFonts w:ascii="宋体" w:hAnsi="宋体" w:cs="宋体"/>
          <w:color w:val="auto"/>
          <w:highlight w:val="none"/>
          <w:lang w:val="zh-CN"/>
        </w:rPr>
        <w:t>2.4.4.2</w:t>
      </w:r>
      <w:r>
        <w:rPr>
          <w:rFonts w:hint="eastAsia" w:ascii="宋体" w:hAnsi="宋体" w:cs="宋体"/>
          <w:color w:val="auto"/>
          <w:highlight w:val="none"/>
          <w:lang w:val="zh-CN"/>
        </w:rPr>
        <w:t>发包人支付进度款的期限：</w:t>
      </w:r>
      <w:r>
        <w:rPr>
          <w:rFonts w:hint="eastAsia" w:ascii="宋体" w:hAnsi="宋体" w:cs="宋体"/>
          <w:b/>
          <w:bCs/>
          <w:color w:val="auto"/>
          <w:highlight w:val="none"/>
          <w:u w:val="single"/>
          <w:lang w:val="zh-CN"/>
        </w:rPr>
        <w:t>签发进度款支付证书后30日历天内</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w:t>
      </w:r>
    </w:p>
    <w:p w14:paraId="7228D38C">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发包人逾期支付进度款的违约金的计算方式：</w:t>
      </w:r>
      <w:r>
        <w:rPr>
          <w:rFonts w:hint="eastAsia" w:ascii="宋体" w:hAnsi="宋体" w:cs="宋体"/>
          <w:color w:val="auto"/>
          <w:highlight w:val="none"/>
          <w:u w:val="single"/>
          <w:lang w:val="zh-CN"/>
        </w:rPr>
        <w:t xml:space="preserve">  </w:t>
      </w:r>
      <w:r>
        <w:rPr>
          <w:rFonts w:hint="eastAsia" w:ascii="宋体" w:hAnsi="宋体" w:cs="宋体"/>
          <w:b/>
          <w:bCs/>
          <w:color w:val="auto"/>
          <w:highlight w:val="none"/>
          <w:u w:val="single"/>
        </w:rPr>
        <w:t xml:space="preserve"> /  </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w:t>
      </w:r>
    </w:p>
    <w:p w14:paraId="2348A390">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12.4.</w:t>
      </w:r>
      <w:r>
        <w:rPr>
          <w:rFonts w:ascii="宋体" w:hAnsi="宋体" w:cs="宋体"/>
          <w:color w:val="auto"/>
          <w:highlight w:val="none"/>
          <w:lang w:val="zh-CN"/>
        </w:rPr>
        <w:t>5</w:t>
      </w:r>
      <w:r>
        <w:rPr>
          <w:rFonts w:hint="eastAsia" w:ascii="宋体" w:hAnsi="宋体" w:cs="宋体"/>
          <w:color w:val="auto"/>
          <w:highlight w:val="none"/>
          <w:lang w:val="zh-CN"/>
        </w:rPr>
        <w:t xml:space="preserve"> 支付分解表的编制</w:t>
      </w:r>
    </w:p>
    <w:p w14:paraId="34B78EF9">
      <w:pPr>
        <w:autoSpaceDE w:val="0"/>
        <w:autoSpaceDN w:val="0"/>
        <w:adjustRightInd w:val="0"/>
        <w:spacing w:line="360" w:lineRule="auto"/>
        <w:ind w:firstLine="420" w:firstLineChars="200"/>
        <w:rPr>
          <w:rFonts w:ascii="宋体" w:hAnsi="宋体" w:cs="宋体"/>
          <w:color w:val="auto"/>
          <w:highlight w:val="none"/>
          <w:lang w:val="zh-CN"/>
        </w:rPr>
      </w:pPr>
      <w:r>
        <w:rPr>
          <w:rFonts w:ascii="宋体" w:hAnsi="宋体" w:cs="宋体"/>
          <w:color w:val="auto"/>
          <w:highlight w:val="none"/>
          <w:lang w:val="zh-CN"/>
        </w:rPr>
        <w:t>12.4.5.1</w:t>
      </w:r>
      <w:r>
        <w:rPr>
          <w:rFonts w:hint="eastAsia" w:ascii="宋体" w:hAnsi="宋体" w:cs="宋体"/>
          <w:color w:val="auto"/>
          <w:highlight w:val="none"/>
          <w:lang w:val="zh-CN"/>
        </w:rPr>
        <w:t>总价合同支付分解表的编制与审批：</w:t>
      </w:r>
      <w:r>
        <w:rPr>
          <w:rFonts w:hint="eastAsia" w:ascii="宋体" w:hAnsi="宋体" w:cs="宋体"/>
          <w:color w:val="auto"/>
          <w:highlight w:val="none"/>
          <w:u w:val="single"/>
          <w:lang w:val="zh-CN"/>
        </w:rPr>
        <w:t xml:space="preserve">   </w:t>
      </w:r>
      <w:r>
        <w:rPr>
          <w:rFonts w:hint="eastAsia" w:ascii="宋体" w:hAnsi="宋体" w:cs="宋体"/>
          <w:b/>
          <w:bCs/>
          <w:color w:val="auto"/>
          <w:highlight w:val="none"/>
          <w:u w:val="single"/>
        </w:rPr>
        <w:t xml:space="preserve">  /  </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w:t>
      </w:r>
    </w:p>
    <w:p w14:paraId="00F4C120">
      <w:pPr>
        <w:autoSpaceDE w:val="0"/>
        <w:autoSpaceDN w:val="0"/>
        <w:adjustRightInd w:val="0"/>
        <w:spacing w:line="360" w:lineRule="auto"/>
        <w:ind w:firstLine="420" w:firstLineChars="200"/>
        <w:rPr>
          <w:rFonts w:ascii="宋体" w:hAnsi="宋体" w:cs="宋体"/>
          <w:color w:val="auto"/>
          <w:highlight w:val="none"/>
          <w:lang w:val="zh-CN"/>
        </w:rPr>
      </w:pPr>
      <w:r>
        <w:rPr>
          <w:rFonts w:ascii="宋体" w:hAnsi="宋体" w:cs="宋体"/>
          <w:color w:val="auto"/>
          <w:highlight w:val="none"/>
          <w:lang w:val="zh-CN"/>
        </w:rPr>
        <w:t>12.4.5.2</w:t>
      </w:r>
      <w:r>
        <w:rPr>
          <w:rFonts w:hint="eastAsia" w:ascii="宋体" w:hAnsi="宋体" w:cs="宋体"/>
          <w:color w:val="auto"/>
          <w:highlight w:val="none"/>
          <w:lang w:val="zh-CN"/>
        </w:rPr>
        <w:t>单价合同的总价项目支付分解表的编制与审批：</w:t>
      </w:r>
      <w:r>
        <w:rPr>
          <w:rFonts w:hint="eastAsia" w:ascii="宋体" w:hAnsi="宋体" w:cs="宋体"/>
          <w:color w:val="auto"/>
          <w:highlight w:val="none"/>
          <w:u w:val="single"/>
          <w:lang w:val="zh-CN"/>
        </w:rPr>
        <w:t xml:space="preserve">  </w:t>
      </w:r>
      <w:r>
        <w:rPr>
          <w:rFonts w:hint="eastAsia" w:ascii="宋体" w:hAnsi="宋体" w:cs="宋体"/>
          <w:b/>
          <w:bCs/>
          <w:color w:val="auto"/>
          <w:highlight w:val="none"/>
          <w:u w:val="single"/>
        </w:rPr>
        <w:t xml:space="preserve">/  </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w:t>
      </w:r>
    </w:p>
    <w:p w14:paraId="48A193DC">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13. 验收和工程试车</w:t>
      </w:r>
    </w:p>
    <w:p w14:paraId="79B23157">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13.1 分部分项工程验收</w:t>
      </w:r>
    </w:p>
    <w:p w14:paraId="441BDAC7">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监理人不能按时进行验收时，应提前</w:t>
      </w:r>
      <w:r>
        <w:rPr>
          <w:rFonts w:hint="eastAsia" w:ascii="宋体" w:hAnsi="宋体" w:cs="宋体"/>
          <w:b/>
          <w:bCs/>
          <w:color w:val="auto"/>
          <w:highlight w:val="none"/>
          <w:u w:val="single"/>
          <w:lang w:val="zh-CN"/>
        </w:rPr>
        <w:t xml:space="preserve">  </w:t>
      </w:r>
      <w:r>
        <w:rPr>
          <w:rFonts w:hint="eastAsia" w:ascii="宋体" w:hAnsi="宋体" w:cs="宋体"/>
          <w:b/>
          <w:bCs/>
          <w:color w:val="auto"/>
          <w:highlight w:val="none"/>
          <w:u w:val="single"/>
        </w:rPr>
        <w:t xml:space="preserve">24 </w:t>
      </w:r>
      <w:r>
        <w:rPr>
          <w:rFonts w:hint="eastAsia" w:ascii="宋体" w:hAnsi="宋体" w:cs="宋体"/>
          <w:b/>
          <w:bCs/>
          <w:color w:val="auto"/>
          <w:highlight w:val="none"/>
          <w:u w:val="single"/>
          <w:lang w:val="zh-CN"/>
        </w:rPr>
        <w:t xml:space="preserve"> </w:t>
      </w:r>
      <w:r>
        <w:rPr>
          <w:rFonts w:hint="eastAsia" w:ascii="宋体" w:hAnsi="宋体" w:cs="宋体"/>
          <w:color w:val="auto"/>
          <w:highlight w:val="none"/>
          <w:lang w:val="zh-CN"/>
        </w:rPr>
        <w:t>小时提交书面延期要求。</w:t>
      </w:r>
    </w:p>
    <w:p w14:paraId="7BA4EE03">
      <w:pPr>
        <w:autoSpaceDE w:val="0"/>
        <w:autoSpaceDN w:val="0"/>
        <w:adjustRightInd w:val="0"/>
        <w:spacing w:line="360" w:lineRule="auto"/>
        <w:ind w:firstLine="420" w:firstLineChars="200"/>
        <w:rPr>
          <w:rFonts w:ascii="宋体" w:hAnsi="宋体" w:cs="宋体"/>
          <w:b/>
          <w:bCs/>
          <w:color w:val="auto"/>
          <w:highlight w:val="none"/>
          <w:lang w:val="zh-CN"/>
        </w:rPr>
      </w:pPr>
      <w:r>
        <w:rPr>
          <w:rFonts w:hint="eastAsia" w:ascii="宋体" w:hAnsi="宋体" w:cs="宋体"/>
          <w:color w:val="auto"/>
          <w:highlight w:val="none"/>
          <w:lang w:val="zh-CN"/>
        </w:rPr>
        <w:t>关于延期最长不得超过：</w:t>
      </w:r>
      <w:r>
        <w:rPr>
          <w:rFonts w:hint="eastAsia" w:ascii="宋体" w:hAnsi="宋体" w:cs="宋体"/>
          <w:b/>
          <w:bCs/>
          <w:color w:val="auto"/>
          <w:highlight w:val="none"/>
          <w:u w:val="single"/>
          <w:lang w:val="zh-CN"/>
        </w:rPr>
        <w:t xml:space="preserve">   </w:t>
      </w:r>
      <w:r>
        <w:rPr>
          <w:rFonts w:hint="eastAsia" w:ascii="宋体" w:hAnsi="宋体" w:cs="宋体"/>
          <w:b/>
          <w:bCs/>
          <w:color w:val="auto"/>
          <w:highlight w:val="none"/>
          <w:u w:val="single"/>
        </w:rPr>
        <w:t xml:space="preserve">48 </w:t>
      </w:r>
      <w:r>
        <w:rPr>
          <w:rFonts w:hint="eastAsia" w:ascii="宋体" w:hAnsi="宋体" w:cs="宋体"/>
          <w:b/>
          <w:bCs/>
          <w:color w:val="auto"/>
          <w:highlight w:val="none"/>
          <w:u w:val="single"/>
          <w:lang w:val="zh-CN"/>
        </w:rPr>
        <w:t xml:space="preserve"> </w:t>
      </w:r>
      <w:r>
        <w:rPr>
          <w:rFonts w:hint="eastAsia" w:ascii="宋体" w:hAnsi="宋体" w:cs="宋体"/>
          <w:color w:val="auto"/>
          <w:highlight w:val="none"/>
          <w:lang w:val="zh-CN"/>
        </w:rPr>
        <w:t>小时。</w:t>
      </w:r>
    </w:p>
    <w:p w14:paraId="014BF49C">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13.2 竣工验收</w:t>
      </w:r>
    </w:p>
    <w:p w14:paraId="59F3C08A">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13.2.</w:t>
      </w:r>
      <w:r>
        <w:rPr>
          <w:rFonts w:ascii="宋体" w:hAnsi="宋体" w:cs="宋体"/>
          <w:color w:val="auto"/>
          <w:highlight w:val="none"/>
          <w:lang w:val="zh-CN"/>
        </w:rPr>
        <w:t>1</w:t>
      </w:r>
      <w:r>
        <w:rPr>
          <w:rFonts w:hint="eastAsia" w:ascii="宋体" w:hAnsi="宋体" w:cs="宋体"/>
          <w:color w:val="auto"/>
          <w:highlight w:val="none"/>
          <w:lang w:val="zh-CN"/>
        </w:rPr>
        <w:t>竣工验收程序</w:t>
      </w:r>
    </w:p>
    <w:p w14:paraId="772E4CFD">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关于竣工验收程序的约定：</w:t>
      </w:r>
      <w:r>
        <w:rPr>
          <w:rFonts w:hint="eastAsia" w:ascii="宋体" w:hAnsi="宋体" w:cs="宋体"/>
          <w:color w:val="auto"/>
          <w:highlight w:val="none"/>
          <w:u w:val="single"/>
          <w:lang w:val="zh-CN"/>
        </w:rPr>
        <w:t xml:space="preserve">    </w:t>
      </w:r>
      <w:r>
        <w:rPr>
          <w:rFonts w:hint="eastAsia" w:ascii="宋体" w:hAnsi="宋体" w:cs="宋体"/>
          <w:b/>
          <w:bCs/>
          <w:color w:val="auto"/>
          <w:highlight w:val="none"/>
          <w:u w:val="single"/>
        </w:rPr>
        <w:t xml:space="preserve">  </w:t>
      </w:r>
      <w:r>
        <w:rPr>
          <w:rFonts w:hint="eastAsia" w:ascii="宋体" w:hAnsi="宋体" w:cs="宋体"/>
          <w:b/>
          <w:bCs/>
          <w:color w:val="auto"/>
          <w:highlight w:val="none"/>
          <w:u w:val="single"/>
          <w:lang w:val="zh-CN"/>
        </w:rPr>
        <w:t>按通用条款执行</w:t>
      </w:r>
      <w:r>
        <w:rPr>
          <w:rFonts w:hint="eastAsia" w:ascii="宋体" w:hAnsi="宋体" w:cs="宋体"/>
          <w:b/>
          <w:bCs/>
          <w:color w:val="auto"/>
          <w:highlight w:val="none"/>
          <w:u w:val="single"/>
        </w:rPr>
        <w:t xml:space="preserve"> </w:t>
      </w:r>
      <w:r>
        <w:rPr>
          <w:rFonts w:hint="eastAsia" w:ascii="宋体" w:hAnsi="宋体" w:cs="宋体"/>
          <w:b/>
          <w:bCs/>
          <w:color w:val="auto"/>
          <w:highlight w:val="none"/>
          <w:lang w:val="zh-CN"/>
        </w:rPr>
        <w:t xml:space="preserve"> </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w:t>
      </w:r>
    </w:p>
    <w:p w14:paraId="464C8FEE">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发包人不按照本项约定组织竣工验收、颁发工程接收证书的违约金的计算方法：</w:t>
      </w:r>
      <w:r>
        <w:rPr>
          <w:rFonts w:hint="eastAsia" w:ascii="宋体" w:hAnsi="宋体" w:cs="宋体"/>
          <w:b/>
          <w:bCs/>
          <w:color w:val="auto"/>
          <w:highlight w:val="none"/>
          <w:u w:val="single"/>
        </w:rPr>
        <w:t>/</w:t>
      </w:r>
      <w:r>
        <w:rPr>
          <w:rFonts w:hint="eastAsia" w:ascii="宋体" w:hAnsi="宋体" w:cs="宋体"/>
          <w:color w:val="auto"/>
          <w:highlight w:val="none"/>
          <w:lang w:val="zh-CN"/>
        </w:rPr>
        <w:t>。</w:t>
      </w:r>
    </w:p>
    <w:p w14:paraId="023A676B">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13.2.</w:t>
      </w:r>
      <w:r>
        <w:rPr>
          <w:rFonts w:ascii="宋体" w:hAnsi="宋体" w:cs="宋体"/>
          <w:color w:val="auto"/>
          <w:highlight w:val="none"/>
          <w:lang w:val="zh-CN"/>
        </w:rPr>
        <w:t>2</w:t>
      </w:r>
      <w:r>
        <w:rPr>
          <w:rFonts w:hint="eastAsia" w:ascii="宋体" w:hAnsi="宋体" w:cs="宋体"/>
          <w:color w:val="auto"/>
          <w:highlight w:val="none"/>
          <w:lang w:val="zh-CN"/>
        </w:rPr>
        <w:t>移交、接收全部与部分工程</w:t>
      </w:r>
    </w:p>
    <w:p w14:paraId="159E3211">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承包人向发包人移交工程的期限：</w:t>
      </w:r>
      <w:r>
        <w:rPr>
          <w:rFonts w:hint="eastAsia" w:ascii="宋体" w:hAnsi="宋体" w:cs="宋体"/>
          <w:color w:val="auto"/>
          <w:highlight w:val="none"/>
          <w:u w:val="single"/>
          <w:lang w:val="zh-CN"/>
        </w:rPr>
        <w:t xml:space="preserve"> </w:t>
      </w:r>
      <w:r>
        <w:rPr>
          <w:rFonts w:hint="eastAsia" w:ascii="宋体" w:hAnsi="宋体" w:cs="宋体"/>
          <w:b/>
          <w:bCs/>
          <w:color w:val="auto"/>
          <w:highlight w:val="none"/>
          <w:u w:val="single"/>
        </w:rPr>
        <w:t xml:space="preserve">  </w:t>
      </w:r>
      <w:r>
        <w:rPr>
          <w:rFonts w:hint="eastAsia" w:ascii="宋体" w:hAnsi="宋体" w:cs="宋体"/>
          <w:b/>
          <w:bCs/>
          <w:color w:val="auto"/>
          <w:highlight w:val="none"/>
          <w:u w:val="single"/>
          <w:lang w:val="zh-CN"/>
        </w:rPr>
        <w:t>颁发工程接收证书后</w:t>
      </w:r>
      <w:r>
        <w:rPr>
          <w:rFonts w:hint="eastAsia" w:ascii="宋体" w:hAnsi="宋体" w:cs="宋体"/>
          <w:b/>
          <w:bCs/>
          <w:color w:val="auto"/>
          <w:highlight w:val="none"/>
          <w:u w:val="single"/>
        </w:rPr>
        <w:t>7</w:t>
      </w:r>
      <w:r>
        <w:rPr>
          <w:rFonts w:hint="eastAsia" w:ascii="宋体" w:hAnsi="宋体" w:cs="宋体"/>
          <w:b/>
          <w:bCs/>
          <w:color w:val="auto"/>
          <w:highlight w:val="none"/>
          <w:u w:val="single"/>
          <w:lang w:val="zh-CN"/>
        </w:rPr>
        <w:t>天内</w:t>
      </w:r>
      <w:r>
        <w:rPr>
          <w:rFonts w:hint="eastAsia" w:ascii="宋体" w:hAnsi="宋体" w:cs="宋体"/>
          <w:b/>
          <w:bCs/>
          <w:color w:val="auto"/>
          <w:highlight w:val="none"/>
          <w:u w:val="single"/>
        </w:rPr>
        <w:t xml:space="preserve"> </w:t>
      </w:r>
      <w:r>
        <w:rPr>
          <w:rFonts w:hint="eastAsia" w:ascii="宋体" w:hAnsi="宋体" w:cs="宋体"/>
          <w:color w:val="auto"/>
          <w:highlight w:val="none"/>
          <w:lang w:val="zh-CN"/>
        </w:rPr>
        <w:t xml:space="preserve"> </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w:t>
      </w:r>
    </w:p>
    <w:p w14:paraId="70F36083">
      <w:pPr>
        <w:autoSpaceDE w:val="0"/>
        <w:autoSpaceDN w:val="0"/>
        <w:adjustRightInd w:val="0"/>
        <w:spacing w:line="360" w:lineRule="auto"/>
        <w:ind w:firstLine="420" w:firstLineChars="200"/>
        <w:rPr>
          <w:rFonts w:ascii="宋体" w:hAnsi="宋体" w:cs="宋体"/>
          <w:color w:val="auto"/>
          <w:highlight w:val="none"/>
          <w:u w:val="single"/>
          <w:lang w:val="zh-CN"/>
        </w:rPr>
      </w:pPr>
      <w:r>
        <w:rPr>
          <w:rFonts w:hint="eastAsia" w:ascii="宋体" w:hAnsi="宋体" w:cs="宋体"/>
          <w:color w:val="auto"/>
          <w:highlight w:val="none"/>
          <w:lang w:val="zh-CN"/>
        </w:rPr>
        <w:t>发包人未按本合同约定接收全部或部分工程的，违约金的计算方法为：</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w:t>
      </w:r>
    </w:p>
    <w:p w14:paraId="43CA641F">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承包人未按时移交工程的，违约金的计算方法为：</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w:t>
      </w:r>
    </w:p>
    <w:p w14:paraId="466FCDB5">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13.3 工程试车</w:t>
      </w:r>
    </w:p>
    <w:p w14:paraId="4A33676E">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13.3.1 试车程序</w:t>
      </w:r>
    </w:p>
    <w:p w14:paraId="3113B629">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工程试车内容：</w:t>
      </w:r>
      <w:r>
        <w:rPr>
          <w:rFonts w:hint="eastAsia" w:ascii="宋体" w:hAnsi="宋体" w:cs="宋体"/>
          <w:color w:val="auto"/>
          <w:highlight w:val="none"/>
          <w:u w:val="single"/>
          <w:lang w:val="zh-CN"/>
        </w:rPr>
        <w:t xml:space="preserve">     </w:t>
      </w:r>
      <w:r>
        <w:rPr>
          <w:rFonts w:hint="eastAsia" w:ascii="宋体" w:hAnsi="宋体" w:cs="宋体"/>
          <w:b/>
          <w:bCs/>
          <w:color w:val="auto"/>
          <w:highlight w:val="none"/>
          <w:u w:val="single"/>
        </w:rPr>
        <w:t xml:space="preserve"> /     </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w:t>
      </w:r>
    </w:p>
    <w:p w14:paraId="5C401C82">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1</w:t>
      </w:r>
      <w:r>
        <w:rPr>
          <w:rFonts w:ascii="宋体" w:hAnsi="宋体" w:cs="宋体"/>
          <w:color w:val="auto"/>
          <w:highlight w:val="none"/>
          <w:lang w:val="zh-CN"/>
        </w:rPr>
        <w:t>3.3.1.1</w:t>
      </w:r>
      <w:r>
        <w:rPr>
          <w:rFonts w:hint="eastAsia" w:ascii="宋体" w:hAnsi="宋体" w:cs="宋体"/>
          <w:color w:val="auto"/>
          <w:highlight w:val="none"/>
          <w:lang w:val="zh-CN"/>
        </w:rPr>
        <w:t>单机无负荷试车费用由</w:t>
      </w:r>
      <w:r>
        <w:rPr>
          <w:rFonts w:hint="eastAsia" w:ascii="宋体" w:hAnsi="宋体" w:cs="宋体"/>
          <w:color w:val="auto"/>
          <w:highlight w:val="none"/>
          <w:u w:val="single"/>
          <w:lang w:val="zh-CN"/>
        </w:rPr>
        <w:t xml:space="preserve">        </w:t>
      </w:r>
      <w:r>
        <w:rPr>
          <w:rFonts w:hint="eastAsia" w:ascii="宋体" w:hAnsi="宋体" w:cs="宋体"/>
          <w:b/>
          <w:bCs/>
          <w:color w:val="auto"/>
          <w:highlight w:val="none"/>
          <w:u w:val="single"/>
        </w:rPr>
        <w:t xml:space="preserve">  /  </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承担；</w:t>
      </w:r>
    </w:p>
    <w:p w14:paraId="22928A5C">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1</w:t>
      </w:r>
      <w:r>
        <w:rPr>
          <w:rFonts w:ascii="宋体" w:hAnsi="宋体" w:cs="宋体"/>
          <w:color w:val="auto"/>
          <w:highlight w:val="none"/>
          <w:lang w:val="zh-CN"/>
        </w:rPr>
        <w:t>3.3.1.2</w:t>
      </w:r>
      <w:r>
        <w:rPr>
          <w:rFonts w:hint="eastAsia" w:ascii="宋体" w:hAnsi="宋体" w:cs="宋体"/>
          <w:color w:val="auto"/>
          <w:highlight w:val="none"/>
          <w:lang w:val="zh-CN"/>
        </w:rPr>
        <w:t>无负荷联动试车费用由</w:t>
      </w:r>
      <w:r>
        <w:rPr>
          <w:rFonts w:hint="eastAsia" w:ascii="宋体" w:hAnsi="宋体" w:cs="宋体"/>
          <w:color w:val="auto"/>
          <w:highlight w:val="none"/>
          <w:u w:val="single"/>
          <w:lang w:val="zh-CN"/>
        </w:rPr>
        <w:t xml:space="preserve">       </w:t>
      </w:r>
      <w:r>
        <w:rPr>
          <w:rFonts w:hint="eastAsia" w:ascii="宋体" w:hAnsi="宋体" w:cs="宋体"/>
          <w:b/>
          <w:bCs/>
          <w:color w:val="auto"/>
          <w:highlight w:val="none"/>
          <w:u w:val="single"/>
        </w:rPr>
        <w:t xml:space="preserve">  /   </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承担。</w:t>
      </w:r>
    </w:p>
    <w:p w14:paraId="6AD2AACF">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13.3</w:t>
      </w:r>
      <w:r>
        <w:rPr>
          <w:rFonts w:ascii="宋体" w:hAnsi="宋体" w:cs="宋体"/>
          <w:color w:val="auto"/>
          <w:highlight w:val="none"/>
          <w:lang w:val="zh-CN"/>
        </w:rPr>
        <w:t>.2</w:t>
      </w:r>
      <w:r>
        <w:rPr>
          <w:rFonts w:hint="eastAsia" w:ascii="宋体" w:hAnsi="宋体" w:cs="宋体"/>
          <w:color w:val="auto"/>
          <w:highlight w:val="none"/>
          <w:lang w:val="zh-CN"/>
        </w:rPr>
        <w:t xml:space="preserve"> 投料试车</w:t>
      </w:r>
    </w:p>
    <w:p w14:paraId="2EEFBAAA">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关于投料试车相关事项的约定：</w:t>
      </w:r>
      <w:r>
        <w:rPr>
          <w:rFonts w:hint="eastAsia" w:ascii="宋体" w:hAnsi="宋体" w:cs="宋体"/>
          <w:color w:val="auto"/>
          <w:highlight w:val="none"/>
          <w:u w:val="single"/>
          <w:lang w:val="zh-CN"/>
        </w:rPr>
        <w:t xml:space="preserve">  </w:t>
      </w:r>
      <w:r>
        <w:rPr>
          <w:rFonts w:hint="eastAsia" w:ascii="宋体" w:hAnsi="宋体" w:cs="宋体"/>
          <w:b/>
          <w:bCs/>
          <w:color w:val="auto"/>
          <w:highlight w:val="none"/>
          <w:u w:val="single"/>
        </w:rPr>
        <w:t xml:space="preserve"> /  </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w:t>
      </w:r>
    </w:p>
    <w:p w14:paraId="3DD8E227">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13.</w:t>
      </w:r>
      <w:r>
        <w:rPr>
          <w:rFonts w:ascii="宋体" w:hAnsi="宋体" w:cs="宋体"/>
          <w:color w:val="auto"/>
          <w:highlight w:val="none"/>
          <w:lang w:val="zh-CN"/>
        </w:rPr>
        <w:t>4</w:t>
      </w:r>
      <w:r>
        <w:rPr>
          <w:rFonts w:hint="eastAsia" w:ascii="宋体" w:hAnsi="宋体" w:cs="宋体"/>
          <w:color w:val="auto"/>
          <w:highlight w:val="none"/>
          <w:lang w:val="zh-CN"/>
        </w:rPr>
        <w:t xml:space="preserve"> 竣工退场</w:t>
      </w:r>
    </w:p>
    <w:p w14:paraId="4468B634">
      <w:pPr>
        <w:autoSpaceDE w:val="0"/>
        <w:autoSpaceDN w:val="0"/>
        <w:adjustRightInd w:val="0"/>
        <w:spacing w:line="360" w:lineRule="auto"/>
        <w:ind w:firstLine="420" w:firstLineChars="200"/>
        <w:rPr>
          <w:rFonts w:ascii="宋体" w:hAnsi="宋体" w:cs="宋体"/>
          <w:b/>
          <w:bCs/>
          <w:color w:val="auto"/>
          <w:highlight w:val="none"/>
          <w:u w:val="single"/>
          <w:lang w:val="zh-CN"/>
        </w:rPr>
      </w:pPr>
      <w:r>
        <w:rPr>
          <w:rFonts w:hint="eastAsia" w:ascii="宋体" w:hAnsi="宋体" w:cs="宋体"/>
          <w:color w:val="auto"/>
          <w:highlight w:val="none"/>
          <w:lang w:val="zh-CN"/>
        </w:rPr>
        <w:t>承包人完成竣工退场的期限：</w:t>
      </w:r>
      <w:r>
        <w:rPr>
          <w:rFonts w:hint="eastAsia" w:ascii="宋体" w:hAnsi="宋体" w:cs="宋体"/>
          <w:b/>
          <w:bCs/>
          <w:color w:val="auto"/>
          <w:highlight w:val="none"/>
          <w:u w:val="single"/>
          <w:lang w:val="zh-CN"/>
        </w:rPr>
        <w:t>承包人须在工程竣工验收后</w:t>
      </w:r>
      <w:r>
        <w:rPr>
          <w:rFonts w:hint="eastAsia" w:ascii="宋体" w:hAnsi="宋体" w:cs="宋体"/>
          <w:b/>
          <w:bCs/>
          <w:color w:val="auto"/>
          <w:highlight w:val="none"/>
          <w:u w:val="single"/>
        </w:rPr>
        <w:t>7</w:t>
      </w:r>
      <w:r>
        <w:rPr>
          <w:rFonts w:hint="eastAsia" w:ascii="宋体" w:hAnsi="宋体" w:cs="宋体"/>
          <w:b/>
          <w:bCs/>
          <w:color w:val="auto"/>
          <w:highlight w:val="none"/>
          <w:u w:val="single"/>
          <w:lang w:val="zh-CN"/>
        </w:rPr>
        <w:t>天内拆除现场所有临时设施。包括所有的建筑垃圾及剩余材料全部清运出现场的费用。清理标准应得到发包人认可。</w:t>
      </w:r>
    </w:p>
    <w:p w14:paraId="0022C009">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14. 竣工结算</w:t>
      </w:r>
    </w:p>
    <w:p w14:paraId="502DD643">
      <w:pPr>
        <w:spacing w:line="360" w:lineRule="auto"/>
        <w:ind w:firstLine="420" w:firstLineChars="200"/>
        <w:jc w:val="left"/>
        <w:rPr>
          <w:rFonts w:ascii="宋体" w:hAnsi="宋体" w:cs="宋体"/>
          <w:b/>
          <w:bCs/>
          <w:color w:val="auto"/>
          <w:highlight w:val="none"/>
          <w:u w:val="single"/>
          <w:lang w:val="zh-CN"/>
        </w:rPr>
      </w:pPr>
      <w:r>
        <w:rPr>
          <w:rFonts w:hint="eastAsia" w:ascii="宋体" w:hAnsi="宋体" w:cs="宋体"/>
          <w:color w:val="auto"/>
          <w:highlight w:val="none"/>
          <w:lang w:val="zh-CN"/>
        </w:rPr>
        <w:t>14.1 竣工付款申请：</w:t>
      </w:r>
      <w:r>
        <w:rPr>
          <w:rFonts w:hint="eastAsia" w:ascii="宋体" w:hAnsi="宋体" w:cs="宋体"/>
          <w:b/>
          <w:bCs/>
          <w:color w:val="auto"/>
          <w:highlight w:val="none"/>
          <w:u w:val="single"/>
          <w:lang w:val="zh-CN"/>
        </w:rPr>
        <w:t>承包人在工程竣工验收合格后7日内提供经监理工程师审查通过的四套完整的竣工图和竣工结算及其他资料，承包人提供的所有资料必须满足工程备案要求，送档案馆存档，否则按每迟一日向发包人支付1000元/天的违约金，同时发包人可拒绝递交审计或延期审计，由此带来的一切后果由承包人承担。A施工中没有设计变更，施工后由承包人在发包人提供的施工图纸上加盖竣工图章，提交发包人；B施工中对原设计中变更较多，原施工图难于作为竣工图，应由承包人组织重新绘制竣工图，并承担相应费用。并经发包人初审确认后进行审计。工程竣工验收合格后7日内，承包人应向发包人递交完整的符合审计要求的结算资料，若承包人原因不能提交结算资料的，发包人有权拒绝或延期审计并拒付工程款。</w:t>
      </w:r>
    </w:p>
    <w:p w14:paraId="09819CA4">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14.2 竣工结算审核</w:t>
      </w:r>
    </w:p>
    <w:p w14:paraId="4C62E857">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发包人审批竣工付款申请单的期限：</w:t>
      </w:r>
      <w:r>
        <w:rPr>
          <w:rFonts w:hint="eastAsia" w:ascii="宋体" w:hAnsi="宋体" w:cs="宋体"/>
          <w:b/>
          <w:bCs/>
          <w:color w:val="auto"/>
          <w:szCs w:val="21"/>
          <w:highlight w:val="none"/>
          <w:u w:val="single"/>
          <w:lang w:val="zh-CN"/>
        </w:rPr>
        <w:t>审计结束后</w:t>
      </w:r>
      <w:r>
        <w:rPr>
          <w:rFonts w:hint="eastAsia" w:ascii="宋体" w:hAnsi="宋体" w:cs="宋体"/>
          <w:b/>
          <w:bCs/>
          <w:color w:val="auto"/>
          <w:szCs w:val="21"/>
          <w:highlight w:val="none"/>
          <w:u w:val="single"/>
        </w:rPr>
        <w:t>30</w:t>
      </w:r>
      <w:r>
        <w:rPr>
          <w:rFonts w:hint="eastAsia" w:ascii="宋体" w:hAnsi="宋体" w:cs="宋体"/>
          <w:b/>
          <w:bCs/>
          <w:color w:val="auto"/>
          <w:szCs w:val="21"/>
          <w:highlight w:val="none"/>
          <w:u w:val="single"/>
          <w:lang w:val="zh-CN"/>
        </w:rPr>
        <w:t>天内</w:t>
      </w:r>
      <w:r>
        <w:rPr>
          <w:rFonts w:hint="eastAsia" w:ascii="宋体" w:hAnsi="宋体" w:cs="宋体"/>
          <w:color w:val="auto"/>
          <w:highlight w:val="none"/>
          <w:lang w:val="zh-CN"/>
        </w:rPr>
        <w:t>。</w:t>
      </w:r>
    </w:p>
    <w:p w14:paraId="09782441">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发包人完成竣工付款的期限：</w:t>
      </w:r>
      <w:r>
        <w:rPr>
          <w:rFonts w:hint="eastAsia" w:ascii="宋体" w:hAnsi="宋体" w:cs="宋体"/>
          <w:b/>
          <w:bCs/>
          <w:color w:val="auto"/>
          <w:szCs w:val="21"/>
          <w:highlight w:val="none"/>
          <w:u w:val="single"/>
          <w:lang w:val="zh-CN"/>
        </w:rPr>
        <w:t>发包人在签发竣工付款证书后</w:t>
      </w:r>
      <w:r>
        <w:rPr>
          <w:rFonts w:ascii="宋体" w:hAnsi="宋体" w:cs="宋体"/>
          <w:b/>
          <w:bCs/>
          <w:color w:val="auto"/>
          <w:szCs w:val="21"/>
          <w:highlight w:val="none"/>
          <w:u w:val="single"/>
        </w:rPr>
        <w:t>6</w:t>
      </w:r>
      <w:r>
        <w:rPr>
          <w:rFonts w:hint="eastAsia" w:ascii="宋体" w:hAnsi="宋体" w:cs="宋体"/>
          <w:b/>
          <w:bCs/>
          <w:color w:val="auto"/>
          <w:szCs w:val="21"/>
          <w:highlight w:val="none"/>
          <w:u w:val="single"/>
        </w:rPr>
        <w:t>0</w:t>
      </w:r>
      <w:r>
        <w:rPr>
          <w:rFonts w:hint="eastAsia" w:ascii="宋体" w:hAnsi="宋体" w:cs="宋体"/>
          <w:b/>
          <w:bCs/>
          <w:color w:val="auto"/>
          <w:szCs w:val="21"/>
          <w:highlight w:val="none"/>
          <w:u w:val="single"/>
          <w:lang w:val="zh-CN"/>
        </w:rPr>
        <w:t>天内</w:t>
      </w:r>
      <w:r>
        <w:rPr>
          <w:rFonts w:hint="eastAsia" w:ascii="宋体" w:hAnsi="宋体" w:cs="宋体"/>
          <w:color w:val="auto"/>
          <w:highlight w:val="none"/>
          <w:lang w:val="zh-CN"/>
        </w:rPr>
        <w:t>。</w:t>
      </w:r>
    </w:p>
    <w:p w14:paraId="61139280">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关于竣工付款证书异议部分复核的方式和程序：</w:t>
      </w:r>
      <w:r>
        <w:rPr>
          <w:rFonts w:hint="eastAsia" w:ascii="宋体" w:hAnsi="宋体" w:cs="宋体"/>
          <w:color w:val="auto"/>
          <w:highlight w:val="none"/>
          <w:u w:val="single"/>
          <w:lang w:val="zh-CN"/>
        </w:rPr>
        <w:t xml:space="preserve">  </w:t>
      </w:r>
      <w:r>
        <w:rPr>
          <w:rFonts w:hint="eastAsia" w:ascii="宋体" w:hAnsi="宋体" w:cs="宋体"/>
          <w:b/>
          <w:bCs/>
          <w:color w:val="auto"/>
          <w:highlight w:val="none"/>
          <w:u w:val="single"/>
          <w:lang w:val="zh-CN"/>
        </w:rPr>
        <w:t>由双方协商</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w:t>
      </w:r>
    </w:p>
    <w:p w14:paraId="46E81DE1">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14.</w:t>
      </w:r>
      <w:r>
        <w:rPr>
          <w:rFonts w:ascii="宋体" w:hAnsi="宋体" w:cs="宋体"/>
          <w:color w:val="auto"/>
          <w:highlight w:val="none"/>
          <w:lang w:val="zh-CN"/>
        </w:rPr>
        <w:t>3</w:t>
      </w:r>
      <w:r>
        <w:rPr>
          <w:rFonts w:hint="eastAsia" w:ascii="宋体" w:hAnsi="宋体" w:cs="宋体"/>
          <w:color w:val="auto"/>
          <w:highlight w:val="none"/>
          <w:lang w:val="zh-CN"/>
        </w:rPr>
        <w:t xml:space="preserve"> 最终结清</w:t>
      </w:r>
    </w:p>
    <w:p w14:paraId="51CF115C">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14.</w:t>
      </w:r>
      <w:r>
        <w:rPr>
          <w:rFonts w:ascii="宋体" w:hAnsi="宋体" w:cs="宋体"/>
          <w:color w:val="auto"/>
          <w:highlight w:val="none"/>
          <w:lang w:val="zh-CN"/>
        </w:rPr>
        <w:t>3</w:t>
      </w:r>
      <w:r>
        <w:rPr>
          <w:rFonts w:hint="eastAsia" w:ascii="宋体" w:hAnsi="宋体" w:cs="宋体"/>
          <w:color w:val="auto"/>
          <w:highlight w:val="none"/>
          <w:lang w:val="zh-CN"/>
        </w:rPr>
        <w:t>.1 最终结清申请单</w:t>
      </w:r>
    </w:p>
    <w:p w14:paraId="0FD9E159">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承包人提交最终结清申请单的份数：</w:t>
      </w:r>
      <w:r>
        <w:rPr>
          <w:rFonts w:hint="eastAsia" w:ascii="宋体" w:hAnsi="宋体" w:cs="宋体"/>
          <w:color w:val="auto"/>
          <w:highlight w:val="none"/>
          <w:u w:val="single"/>
          <w:lang w:val="zh-CN"/>
        </w:rPr>
        <w:t xml:space="preserve"> </w:t>
      </w:r>
      <w:r>
        <w:rPr>
          <w:rFonts w:hint="eastAsia" w:ascii="宋体" w:hAnsi="宋体" w:cs="宋体"/>
          <w:b/>
          <w:bCs/>
          <w:color w:val="auto"/>
          <w:highlight w:val="none"/>
          <w:u w:val="single"/>
          <w:lang w:val="zh-CN"/>
        </w:rPr>
        <w:t>按发包人最终要求</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w:t>
      </w:r>
    </w:p>
    <w:p w14:paraId="34A6CE87">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承包人提交最终结算申请单的期限：</w:t>
      </w:r>
      <w:r>
        <w:rPr>
          <w:rFonts w:hint="eastAsia" w:ascii="宋体" w:hAnsi="宋体" w:cs="宋体"/>
          <w:color w:val="auto"/>
          <w:highlight w:val="none"/>
          <w:u w:val="single"/>
          <w:lang w:val="zh-CN"/>
        </w:rPr>
        <w:t xml:space="preserve">  </w:t>
      </w:r>
      <w:r>
        <w:rPr>
          <w:rFonts w:hint="eastAsia" w:ascii="宋体" w:hAnsi="宋体" w:cs="宋体"/>
          <w:b/>
          <w:bCs/>
          <w:color w:val="auto"/>
          <w:highlight w:val="none"/>
          <w:u w:val="single"/>
          <w:lang w:val="zh-CN"/>
        </w:rPr>
        <w:t xml:space="preserve">按通用条款 </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 xml:space="preserve">。 </w:t>
      </w:r>
    </w:p>
    <w:p w14:paraId="7E4DD78C">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14.</w:t>
      </w:r>
      <w:r>
        <w:rPr>
          <w:rFonts w:ascii="宋体" w:hAnsi="宋体" w:cs="宋体"/>
          <w:color w:val="auto"/>
          <w:highlight w:val="none"/>
          <w:lang w:val="zh-CN"/>
        </w:rPr>
        <w:t>3</w:t>
      </w:r>
      <w:r>
        <w:rPr>
          <w:rFonts w:hint="eastAsia" w:ascii="宋体" w:hAnsi="宋体" w:cs="宋体"/>
          <w:color w:val="auto"/>
          <w:highlight w:val="none"/>
          <w:lang w:val="zh-CN"/>
        </w:rPr>
        <w:t>.2 最终结清证书和支付</w:t>
      </w:r>
    </w:p>
    <w:p w14:paraId="0B531325">
      <w:pPr>
        <w:autoSpaceDE w:val="0"/>
        <w:autoSpaceDN w:val="0"/>
        <w:adjustRightInd w:val="0"/>
        <w:spacing w:line="360" w:lineRule="auto"/>
        <w:ind w:firstLine="420" w:firstLineChars="200"/>
        <w:rPr>
          <w:rFonts w:ascii="宋体" w:hAnsi="宋体" w:cs="宋体"/>
          <w:b/>
          <w:bCs/>
          <w:color w:val="auto"/>
          <w:highlight w:val="none"/>
          <w:lang w:val="zh-CN"/>
        </w:rPr>
      </w:pPr>
      <w:r>
        <w:rPr>
          <w:rFonts w:hint="eastAsia" w:ascii="宋体" w:hAnsi="宋体" w:cs="宋体"/>
          <w:color w:val="auto"/>
          <w:highlight w:val="none"/>
          <w:lang w:val="zh-CN"/>
        </w:rPr>
        <w:t>1</w:t>
      </w:r>
      <w:r>
        <w:rPr>
          <w:rFonts w:ascii="宋体" w:hAnsi="宋体" w:cs="宋体"/>
          <w:color w:val="auto"/>
          <w:highlight w:val="none"/>
          <w:lang w:val="zh-CN"/>
        </w:rPr>
        <w:t>4.3.2.1</w:t>
      </w:r>
      <w:r>
        <w:rPr>
          <w:rFonts w:hint="eastAsia" w:ascii="宋体" w:hAnsi="宋体" w:cs="宋体"/>
          <w:color w:val="auto"/>
          <w:highlight w:val="none"/>
          <w:lang w:val="zh-CN"/>
        </w:rPr>
        <w:t>发包人完成最终结清申请单的审批并颁发最终结清证书的期限：</w:t>
      </w:r>
      <w:r>
        <w:rPr>
          <w:rFonts w:hint="eastAsia" w:ascii="宋体" w:hAnsi="宋体" w:cs="宋体"/>
          <w:b/>
          <w:bCs/>
          <w:color w:val="auto"/>
          <w:highlight w:val="none"/>
          <w:u w:val="single"/>
          <w:lang w:val="zh-CN"/>
        </w:rPr>
        <w:t xml:space="preserve"> 收到承包人提交的最终结清申请单后</w:t>
      </w:r>
      <w:r>
        <w:rPr>
          <w:rFonts w:hint="eastAsia" w:ascii="宋体" w:hAnsi="宋体" w:cs="宋体"/>
          <w:b/>
          <w:bCs/>
          <w:color w:val="auto"/>
          <w:highlight w:val="none"/>
          <w:u w:val="single"/>
        </w:rPr>
        <w:t>30</w:t>
      </w:r>
      <w:r>
        <w:rPr>
          <w:rFonts w:hint="eastAsia" w:ascii="宋体" w:hAnsi="宋体" w:cs="宋体"/>
          <w:b/>
          <w:bCs/>
          <w:color w:val="auto"/>
          <w:highlight w:val="none"/>
          <w:u w:val="single"/>
          <w:lang w:val="zh-CN"/>
        </w:rPr>
        <w:t>天内。</w:t>
      </w:r>
    </w:p>
    <w:p w14:paraId="0D121A88">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1</w:t>
      </w:r>
      <w:r>
        <w:rPr>
          <w:rFonts w:ascii="宋体" w:hAnsi="宋体" w:cs="宋体"/>
          <w:color w:val="auto"/>
          <w:highlight w:val="none"/>
          <w:lang w:val="zh-CN"/>
        </w:rPr>
        <w:t>4.3.2.2</w:t>
      </w:r>
      <w:r>
        <w:rPr>
          <w:rFonts w:hint="eastAsia" w:ascii="宋体" w:hAnsi="宋体" w:cs="宋体"/>
          <w:color w:val="auto"/>
          <w:highlight w:val="none"/>
          <w:lang w:val="zh-CN"/>
        </w:rPr>
        <w:t>发包人完成支付的期限：</w:t>
      </w:r>
      <w:r>
        <w:rPr>
          <w:rFonts w:hint="eastAsia" w:ascii="宋体" w:hAnsi="宋体" w:cs="宋体"/>
          <w:color w:val="auto"/>
          <w:highlight w:val="none"/>
          <w:u w:val="single"/>
          <w:lang w:val="zh-CN"/>
        </w:rPr>
        <w:t xml:space="preserve"> </w:t>
      </w:r>
      <w:r>
        <w:rPr>
          <w:rFonts w:hint="eastAsia" w:ascii="宋体" w:hAnsi="宋体" w:cs="宋体"/>
          <w:b/>
          <w:bCs/>
          <w:color w:val="auto"/>
          <w:highlight w:val="none"/>
          <w:u w:val="single"/>
          <w:lang w:val="zh-CN"/>
        </w:rPr>
        <w:t>颁发最终结清证书后</w:t>
      </w:r>
      <w:r>
        <w:rPr>
          <w:rFonts w:ascii="宋体" w:hAnsi="宋体" w:cs="宋体"/>
          <w:b/>
          <w:bCs/>
          <w:color w:val="auto"/>
          <w:highlight w:val="none"/>
          <w:u w:val="single"/>
        </w:rPr>
        <w:t>6</w:t>
      </w:r>
      <w:r>
        <w:rPr>
          <w:rFonts w:hint="eastAsia" w:ascii="宋体" w:hAnsi="宋体" w:cs="宋体"/>
          <w:b/>
          <w:bCs/>
          <w:color w:val="auto"/>
          <w:highlight w:val="none"/>
          <w:u w:val="single"/>
        </w:rPr>
        <w:t>0</w:t>
      </w:r>
      <w:r>
        <w:rPr>
          <w:rFonts w:hint="eastAsia" w:ascii="宋体" w:hAnsi="宋体" w:cs="宋体"/>
          <w:b/>
          <w:bCs/>
          <w:color w:val="auto"/>
          <w:highlight w:val="none"/>
          <w:u w:val="single"/>
          <w:lang w:val="zh-CN"/>
        </w:rPr>
        <w:t>天内</w:t>
      </w:r>
      <w:r>
        <w:rPr>
          <w:rFonts w:hint="eastAsia" w:ascii="宋体" w:hAnsi="宋体" w:cs="宋体"/>
          <w:b/>
          <w:bCs/>
          <w:color w:val="auto"/>
          <w:highlight w:val="none"/>
          <w:u w:val="single"/>
        </w:rPr>
        <w:t xml:space="preserve"> </w:t>
      </w:r>
      <w:r>
        <w:rPr>
          <w:rFonts w:hint="eastAsia" w:ascii="宋体" w:hAnsi="宋体" w:cs="宋体"/>
          <w:color w:val="auto"/>
          <w:highlight w:val="none"/>
          <w:lang w:val="zh-CN"/>
        </w:rPr>
        <w:t>。</w:t>
      </w:r>
    </w:p>
    <w:p w14:paraId="0A908DB4">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15.缺陷责任期与保修</w:t>
      </w:r>
    </w:p>
    <w:p w14:paraId="6698F201">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15.</w:t>
      </w:r>
      <w:r>
        <w:rPr>
          <w:rFonts w:ascii="宋体" w:hAnsi="宋体" w:cs="宋体"/>
          <w:color w:val="auto"/>
          <w:highlight w:val="none"/>
          <w:lang w:val="zh-CN"/>
        </w:rPr>
        <w:t>1</w:t>
      </w:r>
      <w:r>
        <w:rPr>
          <w:rFonts w:hint="eastAsia" w:ascii="宋体" w:hAnsi="宋体" w:cs="宋体"/>
          <w:color w:val="auto"/>
          <w:highlight w:val="none"/>
          <w:lang w:val="zh-CN"/>
        </w:rPr>
        <w:t>缺陷责任期</w:t>
      </w:r>
    </w:p>
    <w:p w14:paraId="1488F25F">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缺陷责任期的具体期限：</w:t>
      </w:r>
      <w:r>
        <w:rPr>
          <w:rFonts w:hint="eastAsia" w:ascii="宋体" w:hAnsi="宋体" w:cs="宋体"/>
          <w:color w:val="auto"/>
          <w:highlight w:val="none"/>
          <w:u w:val="single"/>
          <w:lang w:val="zh-CN"/>
        </w:rPr>
        <w:t xml:space="preserve">   </w:t>
      </w:r>
      <w:r>
        <w:rPr>
          <w:rFonts w:hint="eastAsia" w:ascii="宋体" w:hAnsi="宋体" w:cs="宋体"/>
          <w:b/>
          <w:bCs/>
          <w:color w:val="auto"/>
          <w:highlight w:val="none"/>
          <w:u w:val="single"/>
          <w:lang w:val="zh-CN"/>
        </w:rPr>
        <w:t xml:space="preserve">详见质量保修书  </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w:t>
      </w:r>
    </w:p>
    <w:p w14:paraId="64C6F077">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15.</w:t>
      </w:r>
      <w:r>
        <w:rPr>
          <w:rFonts w:ascii="宋体" w:hAnsi="宋体" w:cs="宋体"/>
          <w:color w:val="auto"/>
          <w:highlight w:val="none"/>
          <w:lang w:val="zh-CN"/>
        </w:rPr>
        <w:t>2</w:t>
      </w:r>
      <w:r>
        <w:rPr>
          <w:rFonts w:hint="eastAsia" w:ascii="宋体" w:hAnsi="宋体" w:cs="宋体"/>
          <w:color w:val="auto"/>
          <w:highlight w:val="none"/>
          <w:lang w:val="zh-CN"/>
        </w:rPr>
        <w:t>质量保修金</w:t>
      </w:r>
    </w:p>
    <w:p w14:paraId="3F03E9C9">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关于是否扣留质量保修金的约定：</w:t>
      </w:r>
      <w:r>
        <w:rPr>
          <w:rFonts w:hint="eastAsia" w:ascii="宋体" w:hAnsi="宋体" w:cs="宋体"/>
          <w:b/>
          <w:bCs/>
          <w:color w:val="auto"/>
          <w:highlight w:val="none"/>
          <w:u w:val="single"/>
          <w:lang w:val="zh-CN"/>
        </w:rPr>
        <w:t>扣留</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w:t>
      </w:r>
    </w:p>
    <w:p w14:paraId="142C94B8">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15.</w:t>
      </w:r>
      <w:r>
        <w:rPr>
          <w:rFonts w:ascii="宋体" w:hAnsi="宋体" w:cs="宋体"/>
          <w:color w:val="auto"/>
          <w:highlight w:val="none"/>
          <w:lang w:val="zh-CN"/>
        </w:rPr>
        <w:t>2</w:t>
      </w:r>
      <w:r>
        <w:rPr>
          <w:rFonts w:hint="eastAsia" w:ascii="宋体" w:hAnsi="宋体" w:cs="宋体"/>
          <w:color w:val="auto"/>
          <w:highlight w:val="none"/>
          <w:lang w:val="zh-CN"/>
        </w:rPr>
        <w:t>.1 承包人提供质量保修金的方式</w:t>
      </w:r>
    </w:p>
    <w:p w14:paraId="0D522260">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质量保修金采用以下第</w:t>
      </w:r>
      <w:r>
        <w:rPr>
          <w:rFonts w:hint="eastAsia" w:ascii="宋体" w:hAnsi="宋体" w:cs="宋体"/>
          <w:color w:val="auto"/>
          <w:highlight w:val="none"/>
          <w:u w:val="single"/>
          <w:lang w:val="zh-CN"/>
        </w:rPr>
        <w:t xml:space="preserve">  （2） </w:t>
      </w:r>
      <w:r>
        <w:rPr>
          <w:rFonts w:hint="eastAsia" w:ascii="宋体" w:hAnsi="宋体" w:cs="宋体"/>
          <w:color w:val="auto"/>
          <w:highlight w:val="none"/>
          <w:lang w:val="zh-CN"/>
        </w:rPr>
        <w:t>种方式：</w:t>
      </w:r>
    </w:p>
    <w:p w14:paraId="22FD73F3">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（1）质量保修金保函，保证金额为：</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 xml:space="preserve">； </w:t>
      </w:r>
    </w:p>
    <w:p w14:paraId="7055F828">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（2）</w:t>
      </w:r>
      <w:bookmarkStart w:id="48" w:name="_Hlk85815531"/>
      <w:r>
        <w:rPr>
          <w:rFonts w:hint="eastAsia" w:ascii="宋体" w:hAnsi="宋体" w:cs="宋体"/>
          <w:color w:val="auto"/>
          <w:highlight w:val="none"/>
          <w:lang w:val="zh-CN"/>
        </w:rPr>
        <w:t>质量保修金</w:t>
      </w:r>
      <w:r>
        <w:rPr>
          <w:rFonts w:hint="eastAsia" w:ascii="宋体" w:hAnsi="宋体" w:cs="宋体"/>
          <w:iCs/>
          <w:color w:val="auto"/>
          <w:highlight w:val="none"/>
        </w:rPr>
        <w:t>为工程总价</w:t>
      </w:r>
      <w:bookmarkEnd w:id="48"/>
      <w:r>
        <w:rPr>
          <w:rFonts w:hint="eastAsia" w:ascii="宋体" w:hAnsi="宋体" w:cs="宋体"/>
          <w:iCs/>
          <w:color w:val="auto"/>
          <w:highlight w:val="none"/>
        </w:rPr>
        <w:t>（审计后）的</w:t>
      </w:r>
      <w:r>
        <w:rPr>
          <w:rFonts w:hint="eastAsia" w:ascii="宋体" w:hAnsi="宋体" w:cs="宋体"/>
          <w:iCs/>
          <w:color w:val="auto"/>
          <w:highlight w:val="none"/>
          <w:u w:val="single"/>
        </w:rPr>
        <w:t>3%</w:t>
      </w:r>
      <w:r>
        <w:rPr>
          <w:rFonts w:hint="eastAsia" w:ascii="宋体" w:hAnsi="宋体" w:cs="宋体"/>
          <w:color w:val="auto"/>
          <w:highlight w:val="none"/>
          <w:lang w:val="zh-CN"/>
        </w:rPr>
        <w:t>；</w:t>
      </w:r>
    </w:p>
    <w:p w14:paraId="2D1E104B">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（3）其他方式:</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w:t>
      </w:r>
    </w:p>
    <w:p w14:paraId="7563C72A">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15.</w:t>
      </w:r>
      <w:r>
        <w:rPr>
          <w:rFonts w:ascii="宋体" w:hAnsi="宋体" w:cs="宋体"/>
          <w:color w:val="auto"/>
          <w:highlight w:val="none"/>
          <w:lang w:val="zh-CN"/>
        </w:rPr>
        <w:t>2</w:t>
      </w:r>
      <w:r>
        <w:rPr>
          <w:rFonts w:hint="eastAsia" w:ascii="宋体" w:hAnsi="宋体" w:cs="宋体"/>
          <w:color w:val="auto"/>
          <w:highlight w:val="none"/>
          <w:lang w:val="zh-CN"/>
        </w:rPr>
        <w:t xml:space="preserve">.2质量保修金的扣留 </w:t>
      </w:r>
    </w:p>
    <w:p w14:paraId="0FDC7FC3">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质量保修金的扣留采取以下第</w:t>
      </w:r>
      <w:r>
        <w:rPr>
          <w:rFonts w:hint="eastAsia" w:ascii="宋体" w:hAnsi="宋体" w:cs="宋体"/>
          <w:b/>
          <w:bCs/>
          <w:color w:val="auto"/>
          <w:highlight w:val="none"/>
          <w:u w:val="single"/>
          <w:lang w:val="zh-CN"/>
        </w:rPr>
        <w:t>（2）</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种方式：</w:t>
      </w:r>
    </w:p>
    <w:p w14:paraId="191E05BA">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（1）在支付工程进度款时逐次扣留，在此情形下，质量保修金的计算基数不包括预付款的支付、扣回以及价格调整的金额；</w:t>
      </w:r>
    </w:p>
    <w:p w14:paraId="2FCE78A7">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（2）工程竣工结算时一次性扣留质量保修金；</w:t>
      </w:r>
    </w:p>
    <w:p w14:paraId="1EF76E78">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（3）其他扣留方式:</w:t>
      </w:r>
      <w:r>
        <w:rPr>
          <w:rFonts w:hint="eastAsia" w:ascii="宋体" w:hAnsi="宋体" w:cs="宋体"/>
          <w:color w:val="auto"/>
          <w:highlight w:val="none"/>
          <w:u w:val="single"/>
          <w:lang w:val="zh-CN"/>
        </w:rPr>
        <w:t xml:space="preserve">   </w:t>
      </w:r>
      <w:r>
        <w:rPr>
          <w:rFonts w:hint="eastAsia" w:ascii="宋体" w:hAnsi="宋体" w:cs="宋体"/>
          <w:b/>
          <w:bCs/>
          <w:color w:val="auto"/>
          <w:highlight w:val="none"/>
          <w:u w:val="single"/>
        </w:rPr>
        <w:t xml:space="preserve"> /   </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w:t>
      </w:r>
    </w:p>
    <w:p w14:paraId="1555B63B">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15.</w:t>
      </w:r>
      <w:r>
        <w:rPr>
          <w:rFonts w:ascii="宋体" w:hAnsi="宋体" w:cs="宋体"/>
          <w:color w:val="auto"/>
          <w:highlight w:val="none"/>
          <w:lang w:val="zh-CN"/>
        </w:rPr>
        <w:t>3</w:t>
      </w:r>
      <w:r>
        <w:rPr>
          <w:rFonts w:hint="eastAsia" w:ascii="宋体" w:hAnsi="宋体" w:cs="宋体"/>
          <w:color w:val="auto"/>
          <w:highlight w:val="none"/>
          <w:lang w:val="zh-CN"/>
        </w:rPr>
        <w:t>保修</w:t>
      </w:r>
    </w:p>
    <w:p w14:paraId="143CB799">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15.</w:t>
      </w:r>
      <w:r>
        <w:rPr>
          <w:rFonts w:ascii="宋体" w:hAnsi="宋体" w:cs="宋体"/>
          <w:color w:val="auto"/>
          <w:highlight w:val="none"/>
          <w:lang w:val="zh-CN"/>
        </w:rPr>
        <w:t>3</w:t>
      </w:r>
      <w:r>
        <w:rPr>
          <w:rFonts w:hint="eastAsia" w:ascii="宋体" w:hAnsi="宋体" w:cs="宋体"/>
          <w:color w:val="auto"/>
          <w:highlight w:val="none"/>
          <w:lang w:val="zh-CN"/>
        </w:rPr>
        <w:t>.1 保修责任</w:t>
      </w:r>
    </w:p>
    <w:p w14:paraId="785C2AF7">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工程保修期为：</w:t>
      </w:r>
      <w:r>
        <w:rPr>
          <w:rFonts w:hint="eastAsia" w:ascii="宋体" w:hAnsi="宋体" w:cs="宋体"/>
          <w:color w:val="auto"/>
          <w:highlight w:val="none"/>
          <w:u w:val="single"/>
          <w:lang w:val="zh-CN"/>
        </w:rPr>
        <w:t xml:space="preserve">  </w:t>
      </w:r>
      <w:r>
        <w:rPr>
          <w:rFonts w:hint="eastAsia" w:ascii="宋体" w:hAnsi="宋体" w:cs="宋体"/>
          <w:b/>
          <w:bCs/>
          <w:color w:val="auto"/>
          <w:highlight w:val="none"/>
          <w:u w:val="single"/>
        </w:rPr>
        <w:t xml:space="preserve"> </w:t>
      </w:r>
      <w:r>
        <w:rPr>
          <w:rFonts w:hint="eastAsia" w:ascii="宋体" w:hAnsi="宋体" w:cs="宋体"/>
          <w:b/>
          <w:bCs/>
          <w:color w:val="auto"/>
          <w:highlight w:val="none"/>
          <w:u w:val="single"/>
          <w:lang w:val="zh-CN"/>
        </w:rPr>
        <w:t>见工程质量保修书</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w:t>
      </w:r>
    </w:p>
    <w:p w14:paraId="02E94364">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15.</w:t>
      </w:r>
      <w:r>
        <w:rPr>
          <w:rFonts w:ascii="宋体" w:hAnsi="宋体" w:cs="宋体"/>
          <w:color w:val="auto"/>
          <w:highlight w:val="none"/>
          <w:lang w:val="zh-CN"/>
        </w:rPr>
        <w:t>3</w:t>
      </w:r>
      <w:r>
        <w:rPr>
          <w:rFonts w:hint="eastAsia" w:ascii="宋体" w:hAnsi="宋体" w:cs="宋体"/>
          <w:color w:val="auto"/>
          <w:highlight w:val="none"/>
          <w:lang w:val="zh-CN"/>
        </w:rPr>
        <w:t>.</w:t>
      </w:r>
      <w:r>
        <w:rPr>
          <w:rFonts w:ascii="宋体" w:hAnsi="宋体" w:cs="宋体"/>
          <w:color w:val="auto"/>
          <w:highlight w:val="none"/>
          <w:lang w:val="zh-CN"/>
        </w:rPr>
        <w:t>2</w:t>
      </w:r>
      <w:r>
        <w:rPr>
          <w:rFonts w:hint="eastAsia" w:ascii="宋体" w:hAnsi="宋体" w:cs="宋体"/>
          <w:color w:val="auto"/>
          <w:highlight w:val="none"/>
          <w:lang w:val="zh-CN"/>
        </w:rPr>
        <w:t xml:space="preserve"> 修复通知</w:t>
      </w:r>
    </w:p>
    <w:p w14:paraId="49CAF7F8">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承包人收到保修通知并到达工程现场的合理时间：</w:t>
      </w:r>
      <w:r>
        <w:rPr>
          <w:rFonts w:hint="eastAsia" w:ascii="宋体" w:hAnsi="宋体" w:cs="宋体"/>
          <w:color w:val="auto"/>
          <w:highlight w:val="none"/>
          <w:u w:val="single"/>
          <w:lang w:val="zh-CN"/>
        </w:rPr>
        <w:t xml:space="preserve"> </w:t>
      </w:r>
      <w:r>
        <w:rPr>
          <w:rFonts w:hint="eastAsia" w:ascii="宋体" w:hAnsi="宋体" w:cs="宋体"/>
          <w:b/>
          <w:bCs/>
          <w:color w:val="auto"/>
          <w:highlight w:val="none"/>
          <w:u w:val="single"/>
        </w:rPr>
        <w:t xml:space="preserve"> </w:t>
      </w:r>
      <w:r>
        <w:rPr>
          <w:rFonts w:hint="eastAsia" w:ascii="宋体" w:hAnsi="宋体" w:cs="宋体"/>
          <w:b/>
          <w:bCs/>
          <w:color w:val="auto"/>
          <w:highlight w:val="none"/>
          <w:u w:val="single"/>
          <w:lang w:val="zh-CN"/>
        </w:rPr>
        <w:t>收到通知后</w:t>
      </w:r>
      <w:r>
        <w:rPr>
          <w:rFonts w:hint="eastAsia" w:ascii="宋体" w:hAnsi="宋体" w:cs="宋体"/>
          <w:b/>
          <w:bCs/>
          <w:color w:val="auto"/>
          <w:highlight w:val="none"/>
          <w:u w:val="single"/>
        </w:rPr>
        <w:t>2</w:t>
      </w:r>
      <w:r>
        <w:rPr>
          <w:rFonts w:hint="eastAsia" w:ascii="宋体" w:hAnsi="宋体" w:cs="宋体"/>
          <w:b/>
          <w:bCs/>
          <w:color w:val="auto"/>
          <w:highlight w:val="none"/>
          <w:u w:val="single"/>
          <w:lang w:val="zh-CN"/>
        </w:rPr>
        <w:t>小时内</w:t>
      </w:r>
      <w:r>
        <w:rPr>
          <w:rFonts w:hint="eastAsia" w:ascii="宋体" w:hAnsi="宋体" w:cs="宋体"/>
          <w:b/>
          <w:bCs/>
          <w:color w:val="auto"/>
          <w:highlight w:val="none"/>
          <w:u w:val="single"/>
        </w:rPr>
        <w:t xml:space="preserve"> </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w:t>
      </w:r>
    </w:p>
    <w:p w14:paraId="0A97B81F">
      <w:pPr>
        <w:keepNext/>
        <w:keepLines/>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16. 违约</w:t>
      </w:r>
    </w:p>
    <w:p w14:paraId="797F2B44">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16.1 发包人违约</w:t>
      </w:r>
    </w:p>
    <w:p w14:paraId="1EABBDC6">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16.1.1发包人违约的情形</w:t>
      </w:r>
    </w:p>
    <w:p w14:paraId="3D9C2853">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发包人违约责任的承担方式和计算方法：</w:t>
      </w:r>
    </w:p>
    <w:p w14:paraId="2AC3D85D">
      <w:pPr>
        <w:autoSpaceDE w:val="0"/>
        <w:autoSpaceDN w:val="0"/>
        <w:adjustRightInd w:val="0"/>
        <w:spacing w:line="360" w:lineRule="auto"/>
        <w:ind w:firstLine="420" w:firstLineChars="200"/>
        <w:rPr>
          <w:rFonts w:ascii="宋体" w:hAnsi="宋体" w:cs="宋体"/>
          <w:color w:val="auto"/>
          <w:highlight w:val="none"/>
          <w:u w:val="single"/>
          <w:lang w:val="zh-CN"/>
        </w:rPr>
      </w:pPr>
      <w:r>
        <w:rPr>
          <w:rFonts w:hint="eastAsia" w:ascii="宋体" w:hAnsi="宋体" w:cs="宋体"/>
          <w:color w:val="auto"/>
          <w:highlight w:val="none"/>
          <w:lang w:val="zh-CN"/>
        </w:rPr>
        <w:t>（1）因发包人原因未能在计划开工日期前7天内下达开工通知的违约责任：</w:t>
      </w:r>
      <w:r>
        <w:rPr>
          <w:rFonts w:hint="eastAsia" w:ascii="宋体" w:hAnsi="宋体" w:cs="宋体"/>
          <w:color w:val="auto"/>
          <w:highlight w:val="none"/>
          <w:u w:val="single"/>
          <w:lang w:val="zh-CN"/>
        </w:rPr>
        <w:t xml:space="preserve"> </w:t>
      </w:r>
      <w:r>
        <w:rPr>
          <w:rFonts w:hint="eastAsia" w:ascii="宋体" w:hAnsi="宋体" w:cs="宋体"/>
          <w:b/>
          <w:bCs/>
          <w:color w:val="auto"/>
          <w:highlight w:val="none"/>
          <w:u w:val="single"/>
          <w:lang w:val="zh-CN"/>
        </w:rPr>
        <w:t>双方另行协商</w:t>
      </w:r>
      <w:r>
        <w:rPr>
          <w:rFonts w:hint="eastAsia" w:ascii="宋体" w:hAnsi="宋体" w:cs="宋体"/>
          <w:b/>
          <w:bCs/>
          <w:color w:val="auto"/>
          <w:highlight w:val="none"/>
          <w:u w:val="single"/>
        </w:rPr>
        <w:t xml:space="preserve"> </w:t>
      </w:r>
      <w:r>
        <w:rPr>
          <w:rFonts w:hint="eastAsia" w:ascii="宋体" w:hAnsi="宋体" w:cs="宋体"/>
          <w:color w:val="auto"/>
          <w:highlight w:val="none"/>
          <w:lang w:val="zh-CN"/>
        </w:rPr>
        <w:t>。</w:t>
      </w:r>
    </w:p>
    <w:p w14:paraId="365023F4">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（2）因发包人原因未能按合同约定支付合同价款的违约责任：</w:t>
      </w:r>
      <w:r>
        <w:rPr>
          <w:rFonts w:hint="eastAsia" w:ascii="宋体" w:hAnsi="宋体" w:cs="宋体"/>
          <w:color w:val="auto"/>
          <w:highlight w:val="none"/>
          <w:u w:val="single"/>
          <w:lang w:val="zh-CN"/>
        </w:rPr>
        <w:t xml:space="preserve"> </w:t>
      </w:r>
      <w:r>
        <w:rPr>
          <w:rFonts w:hint="eastAsia" w:ascii="宋体" w:hAnsi="宋体" w:cs="宋体"/>
          <w:b/>
          <w:bCs/>
          <w:color w:val="auto"/>
          <w:highlight w:val="none"/>
          <w:u w:val="single"/>
          <w:lang w:val="zh-CN"/>
        </w:rPr>
        <w:t>双方另行协商</w:t>
      </w:r>
      <w:r>
        <w:rPr>
          <w:rFonts w:hint="eastAsia" w:ascii="宋体" w:hAnsi="宋体" w:cs="宋体"/>
          <w:b/>
          <w:bCs/>
          <w:color w:val="auto"/>
          <w:highlight w:val="none"/>
          <w:u w:val="single"/>
        </w:rPr>
        <w:t xml:space="preserve"> </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w:t>
      </w:r>
    </w:p>
    <w:p w14:paraId="3B801C03">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（3）发包人违反第10.1款〔变更的范围〕约定，自行实施被取消的工作或转由他人实施的违约责任：</w:t>
      </w:r>
      <w:r>
        <w:rPr>
          <w:rFonts w:hint="eastAsia" w:ascii="宋体" w:hAnsi="宋体" w:cs="宋体"/>
          <w:color w:val="auto"/>
          <w:highlight w:val="none"/>
          <w:u w:val="single"/>
          <w:lang w:val="zh-CN"/>
        </w:rPr>
        <w:t xml:space="preserve"> </w:t>
      </w:r>
      <w:r>
        <w:rPr>
          <w:rFonts w:hint="eastAsia" w:ascii="宋体" w:hAnsi="宋体" w:cs="宋体"/>
          <w:b/>
          <w:bCs/>
          <w:color w:val="auto"/>
          <w:highlight w:val="none"/>
          <w:u w:val="single"/>
          <w:lang w:val="zh-CN"/>
        </w:rPr>
        <w:t xml:space="preserve"> 双方另行协商</w:t>
      </w:r>
      <w:r>
        <w:rPr>
          <w:rFonts w:hint="eastAsia" w:ascii="宋体" w:hAnsi="宋体" w:cs="宋体"/>
          <w:b/>
          <w:bCs/>
          <w:color w:val="auto"/>
          <w:highlight w:val="none"/>
          <w:u w:val="single"/>
        </w:rPr>
        <w:t xml:space="preserve"> </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w:t>
      </w:r>
    </w:p>
    <w:p w14:paraId="3CBF66CC">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（4）发包人提供的材料、工程设备的规格、数量或质量不符合合同约定，或因发包人原因导致交货日期延误或交货地点变更等情况的违约责任：</w:t>
      </w:r>
      <w:r>
        <w:rPr>
          <w:rFonts w:hint="eastAsia" w:ascii="宋体" w:hAnsi="宋体" w:cs="宋体"/>
          <w:color w:val="auto"/>
          <w:highlight w:val="none"/>
          <w:u w:val="single"/>
          <w:lang w:val="zh-CN"/>
        </w:rPr>
        <w:t xml:space="preserve"> </w:t>
      </w:r>
      <w:r>
        <w:rPr>
          <w:rFonts w:hint="eastAsia" w:ascii="宋体" w:hAnsi="宋体" w:cs="宋体"/>
          <w:b/>
          <w:bCs/>
          <w:color w:val="auto"/>
          <w:highlight w:val="none"/>
          <w:u w:val="single"/>
          <w:lang w:val="zh-CN"/>
        </w:rPr>
        <w:t xml:space="preserve"> 双方另行协商</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w:t>
      </w:r>
    </w:p>
    <w:p w14:paraId="15D7736F">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（5）因发包人违反合同约定造成暂停施工的违约责任：</w:t>
      </w:r>
      <w:r>
        <w:rPr>
          <w:rFonts w:hint="eastAsia" w:ascii="宋体" w:hAnsi="宋体" w:cs="宋体"/>
          <w:color w:val="auto"/>
          <w:highlight w:val="none"/>
          <w:u w:val="single"/>
          <w:lang w:val="zh-CN"/>
        </w:rPr>
        <w:t xml:space="preserve"> </w:t>
      </w:r>
      <w:r>
        <w:rPr>
          <w:rFonts w:hint="eastAsia" w:ascii="宋体" w:hAnsi="宋体" w:cs="宋体"/>
          <w:b/>
          <w:bCs/>
          <w:color w:val="auto"/>
          <w:highlight w:val="none"/>
          <w:u w:val="single"/>
          <w:lang w:val="zh-CN"/>
        </w:rPr>
        <w:t xml:space="preserve"> 双方另行协商</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w:t>
      </w:r>
    </w:p>
    <w:p w14:paraId="05741C34">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（6）发包人无正当理由没有在约定期限内发出复工指示，导致承包人无法复工的违约责任：</w:t>
      </w:r>
      <w:r>
        <w:rPr>
          <w:rFonts w:hint="eastAsia" w:ascii="宋体" w:hAnsi="宋体" w:cs="宋体"/>
          <w:color w:val="auto"/>
          <w:highlight w:val="none"/>
          <w:u w:val="single"/>
          <w:lang w:val="zh-CN"/>
        </w:rPr>
        <w:t xml:space="preserve">  </w:t>
      </w:r>
      <w:r>
        <w:rPr>
          <w:rFonts w:hint="eastAsia" w:ascii="宋体" w:hAnsi="宋体" w:cs="宋体"/>
          <w:b/>
          <w:bCs/>
          <w:color w:val="auto"/>
          <w:highlight w:val="none"/>
          <w:u w:val="single"/>
        </w:rPr>
        <w:t xml:space="preserve"> </w:t>
      </w:r>
      <w:r>
        <w:rPr>
          <w:rFonts w:hint="eastAsia" w:ascii="宋体" w:hAnsi="宋体" w:cs="宋体"/>
          <w:b/>
          <w:bCs/>
          <w:color w:val="auto"/>
          <w:highlight w:val="none"/>
          <w:u w:val="single"/>
          <w:lang w:val="zh-CN"/>
        </w:rPr>
        <w:t>双方另行协商</w:t>
      </w:r>
      <w:r>
        <w:rPr>
          <w:rFonts w:hint="eastAsia" w:ascii="宋体" w:hAnsi="宋体" w:cs="宋体"/>
          <w:b/>
          <w:bCs/>
          <w:color w:val="auto"/>
          <w:highlight w:val="none"/>
          <w:u w:val="single"/>
        </w:rPr>
        <w:t xml:space="preserve">  </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w:t>
      </w:r>
    </w:p>
    <w:p w14:paraId="526AB72E">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（7）其他：</w:t>
      </w:r>
      <w:r>
        <w:rPr>
          <w:rFonts w:hint="eastAsia" w:ascii="宋体" w:hAnsi="宋体" w:cs="宋体"/>
          <w:color w:val="auto"/>
          <w:highlight w:val="none"/>
          <w:u w:val="single"/>
          <w:lang w:val="zh-CN"/>
        </w:rPr>
        <w:t xml:space="preserve">   </w:t>
      </w:r>
      <w:r>
        <w:rPr>
          <w:rFonts w:hint="eastAsia" w:ascii="宋体" w:hAnsi="宋体" w:cs="宋体"/>
          <w:b/>
          <w:bCs/>
          <w:color w:val="auto"/>
          <w:highlight w:val="none"/>
          <w:u w:val="single"/>
        </w:rPr>
        <w:t xml:space="preserve">  /     </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w:t>
      </w:r>
    </w:p>
    <w:p w14:paraId="630233B4">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16.1.</w:t>
      </w:r>
      <w:r>
        <w:rPr>
          <w:rFonts w:ascii="宋体" w:hAnsi="宋体" w:cs="宋体"/>
          <w:color w:val="auto"/>
          <w:highlight w:val="none"/>
          <w:lang w:val="zh-CN"/>
        </w:rPr>
        <w:t>2</w:t>
      </w:r>
      <w:r>
        <w:rPr>
          <w:rFonts w:hint="eastAsia" w:ascii="宋体" w:hAnsi="宋体" w:cs="宋体"/>
          <w:color w:val="auto"/>
          <w:highlight w:val="none"/>
          <w:lang w:val="zh-CN"/>
        </w:rPr>
        <w:t xml:space="preserve"> 因发包人违约解除合同</w:t>
      </w:r>
    </w:p>
    <w:p w14:paraId="668671FB">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承包人按16.1.1项〔发包人违约的情形〕约定暂停施工满</w:t>
      </w:r>
      <w:r>
        <w:rPr>
          <w:rFonts w:hint="eastAsia" w:ascii="宋体" w:hAnsi="宋体" w:cs="宋体"/>
          <w:b/>
          <w:bCs/>
          <w:color w:val="auto"/>
          <w:highlight w:val="none"/>
          <w:u w:val="single"/>
          <w:lang w:val="zh-CN"/>
        </w:rPr>
        <w:t xml:space="preserve">  </w:t>
      </w:r>
      <w:r>
        <w:rPr>
          <w:rFonts w:hint="eastAsia" w:ascii="宋体" w:hAnsi="宋体" w:cs="宋体"/>
          <w:b/>
          <w:bCs/>
          <w:color w:val="auto"/>
          <w:highlight w:val="none"/>
          <w:u w:val="single"/>
        </w:rPr>
        <w:t xml:space="preserve">60  </w:t>
      </w:r>
      <w:r>
        <w:rPr>
          <w:rFonts w:hint="eastAsia" w:ascii="宋体" w:hAnsi="宋体" w:cs="宋体"/>
          <w:color w:val="auto"/>
          <w:highlight w:val="none"/>
          <w:lang w:val="zh-CN"/>
        </w:rPr>
        <w:t>天后发包人仍不纠正其违约行为并致使合同目的不能实现的，承包人有权解除合同。</w:t>
      </w:r>
    </w:p>
    <w:p w14:paraId="4ECF921C">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16.2 承包人违约</w:t>
      </w:r>
    </w:p>
    <w:p w14:paraId="0C25138B">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16.2.1 承包人违约的情形</w:t>
      </w:r>
    </w:p>
    <w:p w14:paraId="056B6709">
      <w:pPr>
        <w:spacing w:line="360" w:lineRule="auto"/>
        <w:ind w:firstLine="422" w:firstLineChars="200"/>
        <w:rPr>
          <w:rFonts w:ascii="宋体" w:hAnsi="宋体" w:cs="宋体"/>
          <w:b/>
          <w:color w:val="auto"/>
          <w:highlight w:val="none"/>
          <w:u w:val="single"/>
        </w:rPr>
      </w:pPr>
      <w:r>
        <w:rPr>
          <w:rFonts w:ascii="宋体" w:hAnsi="宋体" w:cs="宋体"/>
          <w:b/>
          <w:color w:val="auto"/>
          <w:highlight w:val="none"/>
          <w:u w:val="single"/>
        </w:rPr>
        <w:t>16.2.1.1</w:t>
      </w:r>
      <w:r>
        <w:rPr>
          <w:rFonts w:hint="eastAsia" w:ascii="宋体" w:hAnsi="宋体" w:cs="宋体"/>
          <w:b/>
          <w:color w:val="auto"/>
          <w:highlight w:val="none"/>
          <w:u w:val="single"/>
        </w:rPr>
        <w:t xml:space="preserve">承包人在中标后或施工期间不得随意变更中标项目经理及项目部管理人员。如果出现特殊情况，确需更换的，应当经发包人同意，并提供必要的证明文件报招标投标行政监督部门备案。项目经理本人保证每月25天以上出勤，且每天在工地不得少于 8 小时（施工期间），有事必须向发包人书面请假，发包人书面同意后方可离开工地。如发现项目经理违反上述规定，每发现一次罚款 </w:t>
      </w:r>
      <w:r>
        <w:rPr>
          <w:rFonts w:hint="eastAsia" w:ascii="宋体" w:hAnsi="宋体" w:cs="宋体"/>
          <w:b/>
          <w:color w:val="auto"/>
          <w:highlight w:val="none"/>
          <w:u w:val="single"/>
        </w:rPr>
        <w:t>2000 元</w:t>
      </w:r>
      <w:r>
        <w:rPr>
          <w:rFonts w:hint="eastAsia" w:ascii="宋体" w:hAnsi="宋体" w:cs="宋体"/>
          <w:b/>
          <w:color w:val="auto"/>
          <w:highlight w:val="none"/>
          <w:u w:val="single"/>
        </w:rPr>
        <w:t>。超过5 次，发包人有权解除合同，要求承包人退场，并追究由此给发包人带来的一切损失。</w:t>
      </w:r>
    </w:p>
    <w:p w14:paraId="045C65D7">
      <w:pPr>
        <w:spacing w:line="360" w:lineRule="auto"/>
        <w:ind w:firstLine="422" w:firstLineChars="200"/>
        <w:rPr>
          <w:rFonts w:ascii="宋体" w:hAnsi="宋体" w:cs="宋体"/>
          <w:b/>
          <w:color w:val="auto"/>
          <w:highlight w:val="none"/>
          <w:u w:val="single"/>
        </w:rPr>
      </w:pPr>
      <w:r>
        <w:rPr>
          <w:rFonts w:ascii="宋体" w:hAnsi="宋体" w:cs="宋体"/>
          <w:b/>
          <w:color w:val="auto"/>
          <w:highlight w:val="none"/>
          <w:u w:val="single"/>
        </w:rPr>
        <w:t>16.2.1.2</w:t>
      </w:r>
      <w:r>
        <w:rPr>
          <w:rFonts w:hint="eastAsia" w:ascii="宋体" w:hAnsi="宋体" w:cs="宋体"/>
          <w:b/>
          <w:color w:val="auto"/>
          <w:highlight w:val="none"/>
          <w:u w:val="single"/>
        </w:rPr>
        <w:t>承包人出现严重安全、质量事故，或在发包人规定的整改期限内达不到整改要求或明显无法按期完工的，发包人有权解除合同，没收承包人履约保证金，并要</w:t>
      </w:r>
      <w:bookmarkStart w:id="49" w:name="page44"/>
      <w:bookmarkEnd w:id="49"/>
      <w:r>
        <w:rPr>
          <w:rFonts w:hint="eastAsia" w:ascii="宋体" w:hAnsi="宋体" w:cs="宋体"/>
          <w:b/>
          <w:color w:val="auto"/>
          <w:highlight w:val="none"/>
          <w:u w:val="single"/>
        </w:rPr>
        <w:t>求承包人退场，承包人接到退场通知后应立即无条件退场，并同意发包人按已验收合格工程量的60%的工程价款结算。</w:t>
      </w:r>
    </w:p>
    <w:p w14:paraId="67BBAAF7">
      <w:pPr>
        <w:spacing w:line="360" w:lineRule="auto"/>
        <w:ind w:firstLine="422" w:firstLineChars="200"/>
        <w:rPr>
          <w:rFonts w:ascii="宋体" w:hAnsi="宋体" w:cs="宋体"/>
          <w:b/>
          <w:color w:val="auto"/>
          <w:highlight w:val="none"/>
          <w:u w:val="single"/>
        </w:rPr>
      </w:pPr>
      <w:r>
        <w:rPr>
          <w:rFonts w:ascii="宋体" w:hAnsi="宋体" w:cs="宋体"/>
          <w:b/>
          <w:color w:val="auto"/>
          <w:highlight w:val="none"/>
          <w:u w:val="single"/>
        </w:rPr>
        <w:t>16.2.1.3</w:t>
      </w:r>
      <w:r>
        <w:rPr>
          <w:rFonts w:hint="eastAsia" w:ascii="宋体" w:hAnsi="宋体" w:cs="宋体"/>
          <w:b/>
          <w:color w:val="auto"/>
          <w:highlight w:val="none"/>
          <w:u w:val="single"/>
        </w:rPr>
        <w:t>本工程不得转包和违法分包，否则一经发现发包人有权终止合同，已完工程量不予结算。</w:t>
      </w:r>
    </w:p>
    <w:p w14:paraId="259AB8F9">
      <w:pPr>
        <w:spacing w:line="360" w:lineRule="auto"/>
        <w:ind w:firstLine="422" w:firstLineChars="200"/>
        <w:rPr>
          <w:rFonts w:ascii="宋体" w:hAnsi="宋体" w:cs="宋体"/>
          <w:b/>
          <w:color w:val="auto"/>
          <w:highlight w:val="none"/>
          <w:u w:val="single"/>
        </w:rPr>
      </w:pPr>
      <w:r>
        <w:rPr>
          <w:rFonts w:ascii="宋体" w:hAnsi="宋体" w:cs="宋体"/>
          <w:b/>
          <w:color w:val="auto"/>
          <w:highlight w:val="none"/>
          <w:u w:val="single"/>
        </w:rPr>
        <w:t>16.2.1.4</w:t>
      </w:r>
      <w:r>
        <w:rPr>
          <w:rFonts w:hint="eastAsia" w:ascii="宋体" w:hAnsi="宋体" w:cs="宋体"/>
          <w:b/>
          <w:color w:val="auto"/>
          <w:highlight w:val="none"/>
          <w:u w:val="single"/>
        </w:rPr>
        <w:t xml:space="preserve"> 在工程施工过程中，因承包人的原因出现质量问题、安全事故或者因其他原因受到报纸、电视等媒体的曝光或被政府有关主管部门通报批评，给本工程的社会形象带来负面影响，每次由承包人向发包人支付5万元违约金。</w:t>
      </w:r>
    </w:p>
    <w:p w14:paraId="3BB6E9DF">
      <w:pPr>
        <w:spacing w:line="360" w:lineRule="auto"/>
        <w:ind w:firstLine="422" w:firstLineChars="200"/>
        <w:rPr>
          <w:rFonts w:ascii="宋体" w:hAnsi="宋体" w:cs="宋体"/>
          <w:b/>
          <w:color w:val="auto"/>
          <w:highlight w:val="none"/>
          <w:u w:val="single"/>
        </w:rPr>
      </w:pPr>
      <w:r>
        <w:rPr>
          <w:rFonts w:ascii="宋体" w:hAnsi="宋体" w:cs="宋体"/>
          <w:b/>
          <w:color w:val="auto"/>
          <w:highlight w:val="none"/>
          <w:u w:val="single"/>
        </w:rPr>
        <w:t>16.2.1.5</w:t>
      </w:r>
      <w:r>
        <w:rPr>
          <w:rFonts w:hint="eastAsia" w:ascii="宋体" w:hAnsi="宋体" w:cs="宋体"/>
          <w:b/>
          <w:color w:val="auto"/>
          <w:highlight w:val="none"/>
          <w:u w:val="single"/>
        </w:rPr>
        <w:t>承包人必须确保现场安全文明施工，如因乙方原因导致工地在市、区检查中被评为不合格安全文明工地的，按每起2万元违约金。</w:t>
      </w:r>
    </w:p>
    <w:p w14:paraId="7336D970">
      <w:pPr>
        <w:autoSpaceDE w:val="0"/>
        <w:autoSpaceDN w:val="0"/>
        <w:adjustRightInd w:val="0"/>
        <w:spacing w:line="360" w:lineRule="auto"/>
        <w:ind w:firstLine="422" w:firstLineChars="200"/>
        <w:rPr>
          <w:rFonts w:ascii="宋体" w:hAnsi="宋体" w:cs="宋体"/>
          <w:b/>
          <w:color w:val="auto"/>
          <w:highlight w:val="none"/>
          <w:u w:val="single"/>
        </w:rPr>
      </w:pPr>
      <w:r>
        <w:rPr>
          <w:rFonts w:ascii="宋体" w:hAnsi="宋体" w:cs="宋体"/>
          <w:b/>
          <w:color w:val="auto"/>
          <w:highlight w:val="none"/>
          <w:u w:val="single"/>
        </w:rPr>
        <w:t>16.2.1.6</w:t>
      </w:r>
      <w:r>
        <w:rPr>
          <w:rFonts w:hint="eastAsia" w:ascii="宋体" w:hAnsi="宋体" w:cs="宋体"/>
          <w:b/>
          <w:color w:val="auto"/>
          <w:highlight w:val="none"/>
          <w:u w:val="single"/>
        </w:rPr>
        <w:t>现场安全文明施工费需在工程施工过程中经监理单位、建设单位等单位现场共同考评，否则在结算时在其总价中扣除。</w:t>
      </w:r>
    </w:p>
    <w:p w14:paraId="1A409E31">
      <w:pPr>
        <w:autoSpaceDE w:val="0"/>
        <w:autoSpaceDN w:val="0"/>
        <w:adjustRightInd w:val="0"/>
        <w:spacing w:line="360" w:lineRule="auto"/>
        <w:ind w:firstLine="422" w:firstLineChars="200"/>
        <w:rPr>
          <w:rFonts w:ascii="宋体" w:hAnsi="宋体" w:cs="宋体"/>
          <w:b/>
          <w:color w:val="auto"/>
          <w:highlight w:val="none"/>
          <w:u w:val="single"/>
        </w:rPr>
      </w:pPr>
      <w:r>
        <w:rPr>
          <w:rFonts w:ascii="宋体" w:hAnsi="宋体" w:cs="宋体"/>
          <w:b/>
          <w:color w:val="auto"/>
          <w:highlight w:val="none"/>
          <w:u w:val="single"/>
        </w:rPr>
        <w:t>16.2.1.7</w:t>
      </w:r>
      <w:r>
        <w:rPr>
          <w:rFonts w:hint="eastAsia" w:ascii="宋体" w:hAnsi="宋体" w:cs="宋体"/>
          <w:b/>
          <w:color w:val="auto"/>
          <w:highlight w:val="none"/>
          <w:u w:val="single"/>
        </w:rPr>
        <w:t>安全文明施工保证金：合同价款的</w:t>
      </w:r>
      <w:r>
        <w:rPr>
          <w:rFonts w:ascii="宋体" w:hAnsi="宋体" w:cs="宋体"/>
          <w:b/>
          <w:color w:val="auto"/>
          <w:highlight w:val="none"/>
          <w:u w:val="single"/>
        </w:rPr>
        <w:t>2</w:t>
      </w:r>
      <w:r>
        <w:rPr>
          <w:rFonts w:hint="eastAsia" w:ascii="宋体" w:hAnsi="宋体" w:cs="宋体"/>
          <w:b/>
          <w:color w:val="auto"/>
          <w:highlight w:val="none"/>
          <w:u w:val="single"/>
        </w:rPr>
        <w:t>%，承包人应严格按工程建设安全生产的有关管理规定，采取安全措施组织施工。若安全措施不到位，经发包人、监理多次提出、拒不整改到位的，给予人民币1万元处罚。若发生安全事故，一切责任由承包人承担，并视情况扣除或没收安全文明保证金。</w:t>
      </w:r>
    </w:p>
    <w:p w14:paraId="3C01850F">
      <w:pPr>
        <w:autoSpaceDE w:val="0"/>
        <w:autoSpaceDN w:val="0"/>
        <w:adjustRightInd w:val="0"/>
        <w:spacing w:line="360" w:lineRule="auto"/>
        <w:ind w:firstLine="422" w:firstLineChars="200"/>
        <w:rPr>
          <w:rFonts w:ascii="宋体" w:hAnsi="宋体" w:cs="宋体"/>
          <w:b/>
          <w:color w:val="auto"/>
          <w:highlight w:val="none"/>
          <w:u w:val="single"/>
        </w:rPr>
      </w:pPr>
      <w:r>
        <w:rPr>
          <w:rFonts w:ascii="宋体" w:hAnsi="宋体" w:cs="宋体"/>
          <w:b/>
          <w:color w:val="auto"/>
          <w:highlight w:val="none"/>
          <w:u w:val="single"/>
        </w:rPr>
        <w:t>16.2.1.8</w:t>
      </w:r>
      <w:r>
        <w:rPr>
          <w:rFonts w:hint="eastAsia" w:ascii="宋体" w:hAnsi="宋体" w:cs="宋体"/>
          <w:b/>
          <w:color w:val="auto"/>
          <w:highlight w:val="none"/>
          <w:u w:val="single"/>
        </w:rPr>
        <w:t>项目经理等管理人员到位保证金：合同价款的1%，施工管理人员与投标时承诺的人员始终一致（不能胜任和发包人要求调换的除外），项目经理等管理人员每月不少于25天出勤，未经发包人同意承包人不得随意更换项目经理等管理人员，项目经理等管理人员离开施工现场必须向发包人请假，如有违约发包人可示具体情况处予违约处罚。</w:t>
      </w:r>
    </w:p>
    <w:p w14:paraId="215A6053">
      <w:pPr>
        <w:autoSpaceDE w:val="0"/>
        <w:autoSpaceDN w:val="0"/>
        <w:adjustRightInd w:val="0"/>
        <w:spacing w:line="360" w:lineRule="auto"/>
        <w:ind w:firstLine="422" w:firstLineChars="200"/>
        <w:rPr>
          <w:rFonts w:ascii="宋体" w:hAnsi="宋体" w:cs="宋体"/>
          <w:b/>
          <w:color w:val="auto"/>
          <w:highlight w:val="none"/>
          <w:u w:val="single"/>
        </w:rPr>
      </w:pPr>
      <w:r>
        <w:rPr>
          <w:rFonts w:ascii="宋体" w:hAnsi="宋体" w:cs="宋体"/>
          <w:b/>
          <w:color w:val="auto"/>
          <w:highlight w:val="none"/>
          <w:u w:val="single"/>
        </w:rPr>
        <w:t>16.2.1.9</w:t>
      </w:r>
      <w:r>
        <w:rPr>
          <w:rFonts w:hint="eastAsia" w:ascii="宋体" w:hAnsi="宋体" w:cs="宋体"/>
          <w:b/>
          <w:color w:val="auto"/>
          <w:highlight w:val="none"/>
          <w:u w:val="single"/>
        </w:rPr>
        <w:t>资料保证金：合同价款的1%，施工过程中的所有资料必须及时收集、整理、汇总，在竣工结算时提供肆套符合归档要求的竣工档案资料及结算资料，如资料不能满足规档要求，没收资料保证金。</w:t>
      </w:r>
    </w:p>
    <w:p w14:paraId="232E1BC2">
      <w:pPr>
        <w:autoSpaceDE w:val="0"/>
        <w:autoSpaceDN w:val="0"/>
        <w:adjustRightInd w:val="0"/>
        <w:spacing w:line="360" w:lineRule="auto"/>
        <w:ind w:firstLine="422" w:firstLineChars="200"/>
        <w:rPr>
          <w:rFonts w:ascii="宋体" w:hAnsi="宋体" w:cs="宋体"/>
          <w:b/>
          <w:color w:val="auto"/>
          <w:highlight w:val="none"/>
          <w:u w:val="single"/>
          <w:lang w:val="zh-CN"/>
        </w:rPr>
      </w:pPr>
      <w:r>
        <w:rPr>
          <w:rFonts w:ascii="宋体" w:hAnsi="宋体" w:cs="宋体"/>
          <w:b/>
          <w:color w:val="auto"/>
          <w:highlight w:val="none"/>
          <w:u w:val="single"/>
        </w:rPr>
        <w:t>16.2.1.10</w:t>
      </w:r>
      <w:r>
        <w:rPr>
          <w:rFonts w:hint="eastAsia" w:ascii="宋体" w:hAnsi="宋体" w:cs="宋体"/>
          <w:b/>
          <w:color w:val="auto"/>
          <w:highlight w:val="none"/>
          <w:u w:val="single"/>
        </w:rPr>
        <w:t>质量保证金：合同价款的3%，</w:t>
      </w:r>
      <w:r>
        <w:rPr>
          <w:rFonts w:hint="eastAsia" w:ascii="宋体" w:hAnsi="宋体" w:cs="宋体"/>
          <w:b/>
          <w:color w:val="auto"/>
          <w:highlight w:val="none"/>
          <w:u w:val="single"/>
          <w:lang w:val="zh-CN"/>
        </w:rPr>
        <w:t>工程质量达不到协议书中约定的质量标准的，没收全部的质量保证金，同时必须进行返工，直到达到验收合格，返工费及相关费用由承包人承担。</w:t>
      </w:r>
    </w:p>
    <w:p w14:paraId="3AEB9F85">
      <w:pPr>
        <w:autoSpaceDE w:val="0"/>
        <w:autoSpaceDN w:val="0"/>
        <w:adjustRightInd w:val="0"/>
        <w:spacing w:line="360" w:lineRule="auto"/>
        <w:ind w:firstLine="422" w:firstLineChars="200"/>
        <w:rPr>
          <w:rFonts w:ascii="宋体" w:hAnsi="宋体" w:cs="宋体"/>
          <w:b/>
          <w:color w:val="auto"/>
          <w:highlight w:val="none"/>
          <w:u w:val="single"/>
          <w:lang w:val="zh-CN"/>
        </w:rPr>
      </w:pPr>
      <w:r>
        <w:rPr>
          <w:rFonts w:ascii="宋体" w:hAnsi="宋体" w:cs="宋体"/>
          <w:b/>
          <w:color w:val="auto"/>
          <w:highlight w:val="none"/>
          <w:u w:val="single"/>
        </w:rPr>
        <w:t>16.2.1.11</w:t>
      </w:r>
      <w:r>
        <w:rPr>
          <w:rFonts w:hint="eastAsia" w:ascii="宋体" w:hAnsi="宋体" w:cs="宋体"/>
          <w:b/>
          <w:color w:val="auto"/>
          <w:highlight w:val="none"/>
          <w:u w:val="single"/>
          <w:lang w:val="zh-CN"/>
        </w:rPr>
        <w:t>因承包人原因不能按协议书约定的竣工日期竣工的，工期每延误一天，处以</w:t>
      </w:r>
      <w:r>
        <w:rPr>
          <w:rFonts w:ascii="宋体" w:hAnsi="宋体" w:cs="宋体"/>
          <w:b/>
          <w:color w:val="auto"/>
          <w:highlight w:val="none"/>
          <w:u w:val="single"/>
          <w:lang w:val="zh-CN"/>
        </w:rPr>
        <w:t>2</w:t>
      </w:r>
      <w:r>
        <w:rPr>
          <w:rFonts w:hint="eastAsia" w:ascii="宋体" w:hAnsi="宋体" w:cs="宋体"/>
          <w:b/>
          <w:color w:val="auto"/>
          <w:highlight w:val="none"/>
          <w:u w:val="single"/>
          <w:lang w:val="zh-CN"/>
        </w:rPr>
        <w:t>000元违约金，另外工期履约保证金不予退回。</w:t>
      </w:r>
    </w:p>
    <w:p w14:paraId="7C537413">
      <w:pPr>
        <w:autoSpaceDE w:val="0"/>
        <w:autoSpaceDN w:val="0"/>
        <w:adjustRightInd w:val="0"/>
        <w:spacing w:line="360" w:lineRule="auto"/>
        <w:ind w:firstLine="422" w:firstLineChars="200"/>
        <w:rPr>
          <w:rFonts w:ascii="宋体" w:hAnsi="宋体" w:cs="宋体"/>
          <w:b/>
          <w:bCs/>
          <w:color w:val="auto"/>
          <w:highlight w:val="none"/>
          <w:u w:val="single"/>
          <w:lang w:val="zh-CN"/>
        </w:rPr>
      </w:pPr>
      <w:r>
        <w:rPr>
          <w:rFonts w:ascii="宋体" w:hAnsi="宋体" w:cs="宋体"/>
          <w:b/>
          <w:color w:val="auto"/>
          <w:highlight w:val="none"/>
          <w:u w:val="single"/>
        </w:rPr>
        <w:t>16.2.1.12</w:t>
      </w:r>
      <w:r>
        <w:rPr>
          <w:rFonts w:hint="eastAsia" w:ascii="宋体" w:hAnsi="宋体" w:cs="宋体"/>
          <w:b/>
          <w:bCs/>
          <w:color w:val="auto"/>
          <w:highlight w:val="none"/>
          <w:u w:val="single"/>
          <w:lang w:val="zh-CN"/>
        </w:rPr>
        <w:t>承包人在竣工验收后七天内拆除现场所有 临时设施，包括所有的机械设备、材料、建筑垃圾全部清运出现场，清理标准应征得发包人认可。否则如发生相关费用由发包人在工程竣工结算价款中双倍扣除。</w:t>
      </w:r>
    </w:p>
    <w:p w14:paraId="2898F70A">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16.2.2承包人违约的责任</w:t>
      </w:r>
    </w:p>
    <w:p w14:paraId="0F49F11C">
      <w:pPr>
        <w:autoSpaceDE w:val="0"/>
        <w:autoSpaceDN w:val="0"/>
        <w:adjustRightInd w:val="0"/>
        <w:spacing w:line="360" w:lineRule="auto"/>
        <w:ind w:firstLine="420" w:firstLineChars="200"/>
        <w:rPr>
          <w:rFonts w:ascii="宋体" w:hAnsi="宋体" w:cs="宋体"/>
          <w:color w:val="auto"/>
          <w:highlight w:val="none"/>
          <w:u w:val="single"/>
          <w:lang w:val="zh-CN"/>
        </w:rPr>
      </w:pPr>
      <w:r>
        <w:rPr>
          <w:rFonts w:hint="eastAsia" w:ascii="宋体" w:hAnsi="宋体" w:cs="宋体"/>
          <w:color w:val="auto"/>
          <w:highlight w:val="none"/>
          <w:lang w:val="zh-CN"/>
        </w:rPr>
        <w:t>承包人违约责任的承担方式和计算方法：</w:t>
      </w:r>
      <w:r>
        <w:rPr>
          <w:rFonts w:hint="eastAsia" w:ascii="宋体" w:hAnsi="宋体" w:cs="宋体"/>
          <w:b/>
          <w:bCs/>
          <w:color w:val="auto"/>
          <w:highlight w:val="none"/>
          <w:u w:val="single"/>
          <w:lang w:val="zh-CN"/>
        </w:rPr>
        <w:t>由承包人承担全部费用并承担相关法律责任</w:t>
      </w:r>
      <w:r>
        <w:rPr>
          <w:rFonts w:hint="eastAsia" w:ascii="宋体" w:hAnsi="宋体" w:cs="宋体"/>
          <w:color w:val="auto"/>
          <w:highlight w:val="none"/>
          <w:lang w:val="zh-CN"/>
        </w:rPr>
        <w:t>。</w:t>
      </w:r>
    </w:p>
    <w:p w14:paraId="22B374AC">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16.2.3 因承包人违约解除合同</w:t>
      </w:r>
    </w:p>
    <w:p w14:paraId="598FB87C">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关于承包人违约解除合同的特别约定：</w:t>
      </w:r>
      <w:r>
        <w:rPr>
          <w:rFonts w:hint="eastAsia" w:ascii="宋体" w:hAnsi="宋体" w:cs="宋体"/>
          <w:color w:val="auto"/>
          <w:highlight w:val="none"/>
          <w:u w:val="single"/>
          <w:lang w:val="zh-CN"/>
        </w:rPr>
        <w:t xml:space="preserve">  </w:t>
      </w:r>
      <w:r>
        <w:rPr>
          <w:rFonts w:hint="eastAsia" w:ascii="宋体" w:hAnsi="宋体" w:cs="宋体"/>
          <w:b/>
          <w:bCs/>
          <w:color w:val="auto"/>
          <w:highlight w:val="none"/>
          <w:u w:val="single"/>
        </w:rPr>
        <w:t xml:space="preserve"> </w:t>
      </w:r>
      <w:r>
        <w:rPr>
          <w:rFonts w:hint="eastAsia" w:ascii="宋体" w:hAnsi="宋体" w:cs="宋体"/>
          <w:b/>
          <w:bCs/>
          <w:color w:val="auto"/>
          <w:highlight w:val="none"/>
          <w:u w:val="single"/>
          <w:lang w:val="zh-CN"/>
        </w:rPr>
        <w:t>按通用条款执行</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w:t>
      </w:r>
    </w:p>
    <w:p w14:paraId="79A54A41">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发包人继续使用承包人在施工现场的材料、设备、临时工程、承包人文件和由承包人或以其名义编制的其他文件的费用承担方式</w:t>
      </w:r>
      <w:r>
        <w:rPr>
          <w:rFonts w:hint="eastAsia" w:ascii="宋体" w:hAnsi="宋体" w:cs="宋体"/>
          <w:b/>
          <w:bCs/>
          <w:color w:val="auto"/>
          <w:highlight w:val="none"/>
          <w:lang w:val="zh-CN"/>
        </w:rPr>
        <w:t>：</w:t>
      </w:r>
      <w:r>
        <w:rPr>
          <w:rFonts w:hint="eastAsia" w:ascii="宋体" w:hAnsi="宋体" w:cs="宋体"/>
          <w:color w:val="auto"/>
          <w:highlight w:val="none"/>
          <w:u w:val="single"/>
          <w:lang w:val="zh-CN"/>
        </w:rPr>
        <w:t xml:space="preserve">  </w:t>
      </w:r>
      <w:r>
        <w:rPr>
          <w:rFonts w:hint="eastAsia" w:ascii="宋体" w:hAnsi="宋体" w:cs="宋体"/>
          <w:b/>
          <w:bCs/>
          <w:color w:val="auto"/>
          <w:highlight w:val="none"/>
          <w:u w:val="single"/>
          <w:lang w:val="zh-CN"/>
        </w:rPr>
        <w:t>另行协商</w:t>
      </w:r>
      <w:r>
        <w:rPr>
          <w:rFonts w:hint="eastAsia" w:ascii="宋体" w:hAnsi="宋体" w:cs="宋体"/>
          <w:b/>
          <w:bCs/>
          <w:color w:val="auto"/>
          <w:highlight w:val="none"/>
          <w:u w:val="single"/>
        </w:rPr>
        <w:t xml:space="preserve"> </w:t>
      </w:r>
      <w:r>
        <w:rPr>
          <w:rFonts w:hint="eastAsia" w:ascii="宋体" w:hAnsi="宋体" w:cs="宋体"/>
          <w:color w:val="auto"/>
          <w:highlight w:val="none"/>
          <w:lang w:val="zh-CN"/>
        </w:rPr>
        <w:t>。</w:t>
      </w:r>
    </w:p>
    <w:p w14:paraId="551E9E51">
      <w:pPr>
        <w:keepNext/>
        <w:keepLines/>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 xml:space="preserve">17.不可抗力 </w:t>
      </w:r>
    </w:p>
    <w:p w14:paraId="12AC6943">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17.1 不可抗力的确认</w:t>
      </w:r>
    </w:p>
    <w:p w14:paraId="7B4EEF07">
      <w:pPr>
        <w:autoSpaceDE w:val="0"/>
        <w:autoSpaceDN w:val="0"/>
        <w:adjustRightInd w:val="0"/>
        <w:spacing w:line="360" w:lineRule="auto"/>
        <w:ind w:firstLine="420" w:firstLineChars="200"/>
        <w:rPr>
          <w:rFonts w:ascii="宋体" w:hAnsi="宋体" w:cs="宋体"/>
          <w:color w:val="auto"/>
          <w:highlight w:val="none"/>
          <w:u w:val="single"/>
          <w:lang w:val="zh-CN"/>
        </w:rPr>
      </w:pPr>
      <w:r>
        <w:rPr>
          <w:rFonts w:hint="eastAsia" w:ascii="宋体" w:hAnsi="宋体" w:cs="宋体"/>
          <w:color w:val="auto"/>
          <w:highlight w:val="none"/>
          <w:lang w:val="zh-CN"/>
        </w:rPr>
        <w:t>除通用合同条款约定的不可抗力事件之外，视为不可抗力的其他情形：</w:t>
      </w:r>
      <w:r>
        <w:rPr>
          <w:rFonts w:hint="eastAsia" w:ascii="宋体" w:hAnsi="宋体" w:cs="宋体"/>
          <w:b/>
          <w:bCs/>
          <w:color w:val="auto"/>
          <w:highlight w:val="none"/>
          <w:u w:val="single"/>
          <w:lang w:val="zh-CN"/>
        </w:rPr>
        <w:t>由市级以上有关部门正式发布和认定的自然灾害</w:t>
      </w:r>
      <w:r>
        <w:rPr>
          <w:rFonts w:hint="eastAsia" w:ascii="宋体" w:hAnsi="宋体" w:cs="宋体"/>
          <w:color w:val="auto"/>
          <w:highlight w:val="none"/>
          <w:u w:val="single"/>
          <w:lang w:val="zh-CN"/>
        </w:rPr>
        <w:t>。</w:t>
      </w:r>
    </w:p>
    <w:p w14:paraId="1E34C885">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17.</w:t>
      </w:r>
      <w:r>
        <w:rPr>
          <w:rFonts w:ascii="宋体" w:hAnsi="宋体" w:cs="宋体"/>
          <w:color w:val="auto"/>
          <w:highlight w:val="none"/>
          <w:lang w:val="zh-CN"/>
        </w:rPr>
        <w:t>2</w:t>
      </w:r>
      <w:r>
        <w:rPr>
          <w:rFonts w:hint="eastAsia" w:ascii="宋体" w:hAnsi="宋体" w:cs="宋体"/>
          <w:color w:val="auto"/>
          <w:highlight w:val="none"/>
          <w:lang w:val="zh-CN"/>
        </w:rPr>
        <w:t xml:space="preserve"> 因不可抗力解除合同</w:t>
      </w:r>
    </w:p>
    <w:p w14:paraId="69FD5C39">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合同解除后，发包人应在商定或确定发包人应支付款项后</w:t>
      </w:r>
      <w:r>
        <w:rPr>
          <w:rFonts w:hint="eastAsia" w:ascii="宋体" w:hAnsi="宋体" w:cs="宋体"/>
          <w:b/>
          <w:bCs/>
          <w:color w:val="auto"/>
          <w:highlight w:val="none"/>
          <w:u w:val="single"/>
          <w:lang w:val="zh-CN"/>
        </w:rPr>
        <w:t xml:space="preserve"> 60 </w:t>
      </w:r>
      <w:r>
        <w:rPr>
          <w:rFonts w:hint="eastAsia" w:ascii="宋体" w:hAnsi="宋体" w:cs="宋体"/>
          <w:color w:val="auto"/>
          <w:highlight w:val="none"/>
          <w:lang w:val="zh-CN"/>
        </w:rPr>
        <w:t>天内完成款项的支付。</w:t>
      </w:r>
    </w:p>
    <w:p w14:paraId="37C7E29B">
      <w:pPr>
        <w:keepNext/>
        <w:keepLines/>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18.保险</w:t>
      </w:r>
    </w:p>
    <w:p w14:paraId="0A4D1D5E">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18.1 工程保险</w:t>
      </w:r>
    </w:p>
    <w:p w14:paraId="4B6C5672">
      <w:pPr>
        <w:tabs>
          <w:tab w:val="left" w:pos="835"/>
          <w:tab w:val="left" w:pos="5430"/>
        </w:tabs>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关于工程保险的特别约定：</w:t>
      </w:r>
    </w:p>
    <w:p w14:paraId="163D2F34">
      <w:pPr>
        <w:tabs>
          <w:tab w:val="left" w:pos="835"/>
          <w:tab w:val="left" w:pos="5430"/>
        </w:tabs>
        <w:autoSpaceDE w:val="0"/>
        <w:autoSpaceDN w:val="0"/>
        <w:adjustRightInd w:val="0"/>
        <w:spacing w:line="360" w:lineRule="auto"/>
        <w:ind w:firstLine="422" w:firstLineChars="200"/>
        <w:rPr>
          <w:rFonts w:ascii="宋体" w:hAnsi="宋体" w:cs="宋体"/>
          <w:b/>
          <w:bCs/>
          <w:color w:val="auto"/>
          <w:highlight w:val="none"/>
          <w:u w:val="single"/>
        </w:rPr>
      </w:pPr>
      <w:r>
        <w:rPr>
          <w:rFonts w:hint="eastAsia" w:ascii="宋体" w:hAnsi="宋体" w:cs="宋体"/>
          <w:b/>
          <w:bCs/>
          <w:color w:val="auto"/>
          <w:highlight w:val="none"/>
          <w:u w:val="single"/>
          <w:lang w:val="zh-CN"/>
        </w:rPr>
        <w:t>发包人投保内容：建设工程和施工场地内的自有人员生命财产险。</w:t>
      </w:r>
    </w:p>
    <w:p w14:paraId="4448A4EC">
      <w:pPr>
        <w:tabs>
          <w:tab w:val="left" w:pos="835"/>
          <w:tab w:val="left" w:pos="5430"/>
        </w:tabs>
        <w:autoSpaceDE w:val="0"/>
        <w:autoSpaceDN w:val="0"/>
        <w:adjustRightInd w:val="0"/>
        <w:spacing w:line="360" w:lineRule="auto"/>
        <w:ind w:firstLine="422" w:firstLineChars="200"/>
        <w:rPr>
          <w:rFonts w:ascii="宋体" w:hAnsi="宋体" w:cs="宋体"/>
          <w:b/>
          <w:bCs/>
          <w:color w:val="auto"/>
          <w:highlight w:val="none"/>
          <w:u w:val="single"/>
        </w:rPr>
      </w:pPr>
      <w:r>
        <w:rPr>
          <w:rFonts w:hint="eastAsia" w:ascii="宋体" w:hAnsi="宋体" w:cs="宋体"/>
          <w:b/>
          <w:bCs/>
          <w:color w:val="auto"/>
          <w:highlight w:val="none"/>
          <w:u w:val="single"/>
          <w:lang w:val="zh-CN"/>
        </w:rPr>
        <w:t>承包人投保内容：从事危险作业职工的意外伤害险、施工场地内自有人员的生命财产险、施工机械设备的财产险、第三人人员的生命财产险、运至施工场地内用于工程的材料和待安装设备的财产险。</w:t>
      </w:r>
    </w:p>
    <w:p w14:paraId="31EBD311">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18.</w:t>
      </w:r>
      <w:r>
        <w:rPr>
          <w:rFonts w:ascii="宋体" w:hAnsi="宋体" w:cs="宋体"/>
          <w:color w:val="auto"/>
          <w:highlight w:val="none"/>
          <w:lang w:val="zh-CN"/>
        </w:rPr>
        <w:t>2</w:t>
      </w:r>
      <w:r>
        <w:rPr>
          <w:rFonts w:hint="eastAsia" w:ascii="宋体" w:hAnsi="宋体" w:cs="宋体"/>
          <w:color w:val="auto"/>
          <w:highlight w:val="none"/>
          <w:lang w:val="zh-CN"/>
        </w:rPr>
        <w:t xml:space="preserve"> 其他保险</w:t>
      </w:r>
    </w:p>
    <w:p w14:paraId="3F0D0B24">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关于其他保险的约定：</w:t>
      </w:r>
      <w:r>
        <w:rPr>
          <w:rFonts w:hint="eastAsia" w:ascii="宋体" w:hAnsi="宋体" w:cs="宋体"/>
          <w:color w:val="auto"/>
          <w:highlight w:val="none"/>
          <w:u w:val="single"/>
          <w:lang w:val="zh-CN"/>
        </w:rPr>
        <w:t xml:space="preserve">  /  </w:t>
      </w:r>
      <w:r>
        <w:rPr>
          <w:rFonts w:hint="eastAsia" w:ascii="宋体" w:hAnsi="宋体" w:cs="宋体"/>
          <w:color w:val="auto"/>
          <w:highlight w:val="none"/>
          <w:lang w:val="zh-CN"/>
        </w:rPr>
        <w:t>。</w:t>
      </w:r>
    </w:p>
    <w:p w14:paraId="7271475B">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承包人是否应为其施工设备等办理财产保险：</w:t>
      </w:r>
      <w:r>
        <w:rPr>
          <w:rFonts w:hint="eastAsia" w:ascii="宋体" w:hAnsi="宋体" w:cs="宋体"/>
          <w:color w:val="auto"/>
          <w:highlight w:val="none"/>
          <w:u w:val="single"/>
          <w:lang w:val="zh-CN"/>
        </w:rPr>
        <w:t xml:space="preserve">  </w:t>
      </w:r>
      <w:r>
        <w:rPr>
          <w:rFonts w:hint="eastAsia" w:ascii="宋体" w:hAnsi="宋体" w:cs="宋体"/>
          <w:b/>
          <w:bCs/>
          <w:color w:val="auto"/>
          <w:highlight w:val="none"/>
          <w:u w:val="single"/>
          <w:lang w:val="zh-CN"/>
        </w:rPr>
        <w:t>是</w:t>
      </w:r>
      <w:r>
        <w:rPr>
          <w:rFonts w:hint="eastAsia" w:ascii="宋体" w:hAnsi="宋体" w:cs="宋体"/>
          <w:b/>
          <w:bCs/>
          <w:color w:val="auto"/>
          <w:highlight w:val="none"/>
          <w:u w:val="single"/>
        </w:rPr>
        <w:t xml:space="preserve">  </w:t>
      </w:r>
      <w:r>
        <w:rPr>
          <w:rFonts w:hint="eastAsia" w:ascii="宋体" w:hAnsi="宋体" w:cs="宋体"/>
          <w:color w:val="auto"/>
          <w:highlight w:val="none"/>
          <w:lang w:val="zh-CN"/>
        </w:rPr>
        <w:t>。</w:t>
      </w:r>
    </w:p>
    <w:p w14:paraId="7ECB61BF">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18.</w:t>
      </w:r>
      <w:r>
        <w:rPr>
          <w:rFonts w:ascii="宋体" w:hAnsi="宋体" w:cs="宋体"/>
          <w:color w:val="auto"/>
          <w:highlight w:val="none"/>
          <w:lang w:val="zh-CN"/>
        </w:rPr>
        <w:t>3</w:t>
      </w:r>
      <w:r>
        <w:rPr>
          <w:rFonts w:hint="eastAsia" w:ascii="宋体" w:hAnsi="宋体" w:cs="宋体"/>
          <w:color w:val="auto"/>
          <w:highlight w:val="none"/>
          <w:lang w:val="zh-CN"/>
        </w:rPr>
        <w:t xml:space="preserve"> 通知义务</w:t>
      </w:r>
    </w:p>
    <w:p w14:paraId="5B71C79C">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关于变更保险合同时的通知义务的约定：</w:t>
      </w:r>
      <w:r>
        <w:rPr>
          <w:rFonts w:hint="eastAsia" w:ascii="宋体" w:hAnsi="宋体" w:cs="宋体"/>
          <w:b/>
          <w:bCs/>
          <w:color w:val="auto"/>
          <w:highlight w:val="none"/>
          <w:u w:val="single"/>
        </w:rPr>
        <w:t xml:space="preserve"> </w:t>
      </w:r>
      <w:r>
        <w:rPr>
          <w:rFonts w:hint="eastAsia" w:ascii="宋体" w:hAnsi="宋体" w:cs="宋体"/>
          <w:b/>
          <w:bCs/>
          <w:color w:val="auto"/>
          <w:highlight w:val="none"/>
          <w:u w:val="single"/>
          <w:lang w:val="zh-CN"/>
        </w:rPr>
        <w:t>按通用条款执行</w:t>
      </w:r>
      <w:r>
        <w:rPr>
          <w:rFonts w:hint="eastAsia" w:ascii="宋体" w:hAnsi="宋体" w:cs="宋体"/>
          <w:b/>
          <w:bCs/>
          <w:color w:val="auto"/>
          <w:highlight w:val="none"/>
          <w:u w:val="single"/>
        </w:rPr>
        <w:t xml:space="preserve">  </w:t>
      </w:r>
      <w:r>
        <w:rPr>
          <w:rFonts w:hint="eastAsia" w:ascii="宋体" w:hAnsi="宋体" w:cs="宋体"/>
          <w:color w:val="auto"/>
          <w:highlight w:val="none"/>
          <w:lang w:val="zh-CN"/>
        </w:rPr>
        <w:t>。</w:t>
      </w:r>
    </w:p>
    <w:p w14:paraId="370382D0">
      <w:pPr>
        <w:keepNext/>
        <w:keepLines/>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20.争议解决</w:t>
      </w:r>
    </w:p>
    <w:p w14:paraId="1CBE48EB">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20.</w:t>
      </w:r>
      <w:r>
        <w:rPr>
          <w:rFonts w:ascii="宋体" w:hAnsi="宋体" w:cs="宋体"/>
          <w:color w:val="auto"/>
          <w:highlight w:val="none"/>
          <w:lang w:val="zh-CN"/>
        </w:rPr>
        <w:t>1</w:t>
      </w:r>
      <w:r>
        <w:rPr>
          <w:rFonts w:hint="eastAsia" w:ascii="宋体" w:hAnsi="宋体" w:cs="宋体"/>
          <w:color w:val="auto"/>
          <w:highlight w:val="none"/>
          <w:lang w:val="zh-CN"/>
        </w:rPr>
        <w:t xml:space="preserve"> 争议评审</w:t>
      </w:r>
    </w:p>
    <w:p w14:paraId="4B0033AA">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合同当事人是否同意将工程争议提交争议评审小组决定：</w:t>
      </w:r>
      <w:r>
        <w:rPr>
          <w:rFonts w:hint="eastAsia" w:ascii="宋体" w:hAnsi="宋体" w:cs="宋体"/>
          <w:color w:val="auto"/>
          <w:highlight w:val="none"/>
          <w:u w:val="single"/>
          <w:lang w:val="zh-CN"/>
        </w:rPr>
        <w:t xml:space="preserve">  </w:t>
      </w:r>
      <w:r>
        <w:rPr>
          <w:rFonts w:hint="eastAsia" w:ascii="宋体" w:hAnsi="宋体" w:cs="宋体"/>
          <w:b/>
          <w:bCs/>
          <w:color w:val="auto"/>
          <w:highlight w:val="none"/>
          <w:u w:val="single"/>
          <w:lang w:val="zh-CN"/>
        </w:rPr>
        <w:t>同意</w:t>
      </w:r>
      <w:r>
        <w:rPr>
          <w:rFonts w:hint="eastAsia" w:ascii="宋体" w:hAnsi="宋体" w:cs="宋体"/>
          <w:b/>
          <w:bCs/>
          <w:color w:val="auto"/>
          <w:highlight w:val="none"/>
          <w:u w:val="single"/>
        </w:rPr>
        <w:t xml:space="preserve">  </w:t>
      </w:r>
      <w:r>
        <w:rPr>
          <w:rFonts w:hint="eastAsia" w:ascii="宋体" w:hAnsi="宋体" w:cs="宋体"/>
          <w:color w:val="auto"/>
          <w:highlight w:val="none"/>
          <w:lang w:val="zh-CN"/>
        </w:rPr>
        <w:t xml:space="preserve">。  </w:t>
      </w:r>
    </w:p>
    <w:p w14:paraId="61CAE7DB">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20.</w:t>
      </w:r>
      <w:r>
        <w:rPr>
          <w:rFonts w:ascii="宋体" w:hAnsi="宋体" w:cs="宋体"/>
          <w:color w:val="auto"/>
          <w:highlight w:val="none"/>
          <w:lang w:val="zh-CN"/>
        </w:rPr>
        <w:t>1</w:t>
      </w:r>
      <w:r>
        <w:rPr>
          <w:rFonts w:hint="eastAsia" w:ascii="宋体" w:hAnsi="宋体" w:cs="宋体"/>
          <w:color w:val="auto"/>
          <w:highlight w:val="none"/>
          <w:lang w:val="zh-CN"/>
        </w:rPr>
        <w:t>.1 争议评审小组的确定</w:t>
      </w:r>
    </w:p>
    <w:p w14:paraId="402DBA5D">
      <w:pPr>
        <w:autoSpaceDE w:val="0"/>
        <w:autoSpaceDN w:val="0"/>
        <w:adjustRightInd w:val="0"/>
        <w:spacing w:line="360" w:lineRule="auto"/>
        <w:ind w:firstLine="420" w:firstLineChars="200"/>
        <w:rPr>
          <w:rFonts w:ascii="宋体" w:hAnsi="宋体" w:cs="宋体"/>
          <w:color w:val="auto"/>
          <w:highlight w:val="none"/>
          <w:u w:val="single"/>
          <w:lang w:val="zh-CN"/>
        </w:rPr>
      </w:pPr>
      <w:r>
        <w:rPr>
          <w:rFonts w:hint="eastAsia" w:ascii="宋体" w:hAnsi="宋体" w:cs="宋体"/>
          <w:color w:val="auto"/>
          <w:highlight w:val="none"/>
          <w:lang w:val="zh-CN"/>
        </w:rPr>
        <w:t>争议评审小组成员的确定：</w:t>
      </w:r>
      <w:r>
        <w:rPr>
          <w:rFonts w:hint="eastAsia" w:ascii="宋体" w:hAnsi="宋体" w:cs="宋体"/>
          <w:color w:val="auto"/>
          <w:highlight w:val="none"/>
          <w:u w:val="single"/>
          <w:lang w:val="zh-CN"/>
        </w:rPr>
        <w:t xml:space="preserve">    </w:t>
      </w:r>
      <w:r>
        <w:rPr>
          <w:rFonts w:hint="eastAsia" w:ascii="宋体" w:hAnsi="宋体" w:cs="宋体"/>
          <w:b/>
          <w:bCs/>
          <w:color w:val="auto"/>
          <w:highlight w:val="none"/>
          <w:u w:val="single"/>
          <w:lang w:val="zh-CN"/>
        </w:rPr>
        <w:t>按通用条款执行</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w:t>
      </w:r>
    </w:p>
    <w:p w14:paraId="35535AA7">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选定争议评审员的期限：</w:t>
      </w:r>
      <w:r>
        <w:rPr>
          <w:rFonts w:hint="eastAsia" w:ascii="宋体" w:hAnsi="宋体" w:cs="宋体"/>
          <w:color w:val="auto"/>
          <w:highlight w:val="none"/>
          <w:u w:val="single"/>
          <w:lang w:val="zh-CN"/>
        </w:rPr>
        <w:t xml:space="preserve">    </w:t>
      </w:r>
      <w:r>
        <w:rPr>
          <w:rFonts w:hint="eastAsia" w:ascii="宋体" w:hAnsi="宋体" w:cs="宋体"/>
          <w:b/>
          <w:bCs/>
          <w:color w:val="auto"/>
          <w:highlight w:val="none"/>
          <w:u w:val="single"/>
          <w:lang w:val="zh-CN"/>
        </w:rPr>
        <w:t>按通用条款执行</w:t>
      </w:r>
      <w:r>
        <w:rPr>
          <w:rFonts w:hint="eastAsia" w:ascii="宋体" w:hAnsi="宋体" w:cs="宋体"/>
          <w:b/>
          <w:bCs/>
          <w:color w:val="auto"/>
          <w:highlight w:val="none"/>
          <w:u w:val="single"/>
        </w:rPr>
        <w:t xml:space="preserve"> </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w:t>
      </w:r>
    </w:p>
    <w:p w14:paraId="59C97C7A">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争议评审小组成员的报酬承担方式：</w:t>
      </w:r>
      <w:r>
        <w:rPr>
          <w:rFonts w:hint="eastAsia" w:ascii="宋体" w:hAnsi="宋体" w:cs="宋体"/>
          <w:b/>
          <w:bCs/>
          <w:color w:val="auto"/>
          <w:highlight w:val="none"/>
          <w:u w:val="single"/>
          <w:lang w:val="zh-CN"/>
        </w:rPr>
        <w:t>按通用条款执行</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w:t>
      </w:r>
    </w:p>
    <w:p w14:paraId="21B93CEC">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其他事项的约定：</w:t>
      </w:r>
      <w:r>
        <w:rPr>
          <w:rFonts w:hint="eastAsia" w:ascii="宋体" w:hAnsi="宋体" w:cs="宋体"/>
          <w:color w:val="auto"/>
          <w:highlight w:val="none"/>
          <w:u w:val="single"/>
          <w:lang w:val="zh-CN"/>
        </w:rPr>
        <w:t xml:space="preserve">   </w:t>
      </w:r>
      <w:r>
        <w:rPr>
          <w:rFonts w:hint="eastAsia" w:ascii="宋体" w:hAnsi="宋体" w:cs="宋体"/>
          <w:b/>
          <w:bCs/>
          <w:color w:val="auto"/>
          <w:highlight w:val="none"/>
          <w:u w:val="single"/>
        </w:rPr>
        <w:t xml:space="preserve"> /  </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w:t>
      </w:r>
    </w:p>
    <w:p w14:paraId="5A62F316">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20.</w:t>
      </w:r>
      <w:r>
        <w:rPr>
          <w:rFonts w:ascii="宋体" w:hAnsi="宋体" w:cs="宋体"/>
          <w:color w:val="auto"/>
          <w:highlight w:val="none"/>
          <w:lang w:val="zh-CN"/>
        </w:rPr>
        <w:t>1</w:t>
      </w:r>
      <w:r>
        <w:rPr>
          <w:rFonts w:hint="eastAsia" w:ascii="宋体" w:hAnsi="宋体" w:cs="宋体"/>
          <w:color w:val="auto"/>
          <w:highlight w:val="none"/>
          <w:lang w:val="zh-CN"/>
        </w:rPr>
        <w:t>.2 争议评审小组的决定</w:t>
      </w:r>
    </w:p>
    <w:p w14:paraId="21148C87">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合同当事人关于本项的约定：</w:t>
      </w:r>
      <w:r>
        <w:rPr>
          <w:rFonts w:hint="eastAsia" w:ascii="宋体" w:hAnsi="宋体" w:cs="宋体"/>
          <w:color w:val="auto"/>
          <w:highlight w:val="none"/>
          <w:u w:val="single"/>
          <w:lang w:val="zh-CN"/>
        </w:rPr>
        <w:t xml:space="preserve">  </w:t>
      </w:r>
      <w:r>
        <w:rPr>
          <w:rFonts w:hint="eastAsia" w:ascii="宋体" w:hAnsi="宋体" w:cs="宋体"/>
          <w:b/>
          <w:bCs/>
          <w:color w:val="auto"/>
          <w:highlight w:val="none"/>
          <w:u w:val="single"/>
          <w:lang w:val="zh-CN"/>
        </w:rPr>
        <w:t>按通用条款执行</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w:t>
      </w:r>
    </w:p>
    <w:p w14:paraId="2C5FE259">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20.</w:t>
      </w:r>
      <w:r>
        <w:rPr>
          <w:rFonts w:ascii="宋体" w:hAnsi="宋体" w:cs="宋体"/>
          <w:color w:val="auto"/>
          <w:highlight w:val="none"/>
          <w:lang w:val="zh-CN"/>
        </w:rPr>
        <w:t>2</w:t>
      </w:r>
      <w:r>
        <w:rPr>
          <w:rFonts w:hint="eastAsia" w:ascii="宋体" w:hAnsi="宋体" w:cs="宋体"/>
          <w:color w:val="auto"/>
          <w:highlight w:val="none"/>
          <w:lang w:val="zh-CN"/>
        </w:rPr>
        <w:t>仲裁或诉讼</w:t>
      </w:r>
    </w:p>
    <w:p w14:paraId="757B38DC">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因合同及合同有关事项发生的争议，按下列第</w:t>
      </w:r>
      <w:r>
        <w:rPr>
          <w:rFonts w:hint="eastAsia" w:ascii="宋体" w:hAnsi="宋体" w:cs="宋体"/>
          <w:color w:val="auto"/>
          <w:highlight w:val="none"/>
          <w:u w:val="single"/>
          <w:lang w:val="zh-CN"/>
        </w:rPr>
        <w:t xml:space="preserve">  </w:t>
      </w:r>
      <w:r>
        <w:rPr>
          <w:rFonts w:hint="eastAsia" w:ascii="宋体" w:hAnsi="宋体" w:cs="宋体"/>
          <w:b/>
          <w:bCs/>
          <w:color w:val="auto"/>
          <w:highlight w:val="none"/>
          <w:u w:val="single"/>
          <w:lang w:val="zh-CN"/>
        </w:rPr>
        <w:t>（</w:t>
      </w:r>
      <w:r>
        <w:rPr>
          <w:rFonts w:hint="eastAsia" w:ascii="宋体" w:hAnsi="宋体" w:cs="宋体"/>
          <w:b/>
          <w:bCs/>
          <w:color w:val="auto"/>
          <w:highlight w:val="none"/>
          <w:u w:val="single"/>
        </w:rPr>
        <w:t>2</w:t>
      </w:r>
      <w:r>
        <w:rPr>
          <w:rFonts w:hint="eastAsia" w:ascii="宋体" w:hAnsi="宋体" w:cs="宋体"/>
          <w:b/>
          <w:bCs/>
          <w:color w:val="auto"/>
          <w:highlight w:val="none"/>
          <w:u w:val="single"/>
          <w:lang w:val="zh-CN"/>
        </w:rPr>
        <w:t>）</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种方式解决：</w:t>
      </w:r>
    </w:p>
    <w:p w14:paraId="13414989">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（1）向</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仲裁委员会申请仲裁；</w:t>
      </w:r>
    </w:p>
    <w:p w14:paraId="4AAEB8C1">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（2）向</w:t>
      </w:r>
      <w:r>
        <w:rPr>
          <w:rFonts w:hint="eastAsia" w:ascii="宋体" w:hAnsi="宋体" w:cs="宋体"/>
          <w:color w:val="auto"/>
          <w:highlight w:val="none"/>
          <w:u w:val="single"/>
          <w:lang w:val="zh-CN"/>
        </w:rPr>
        <w:t xml:space="preserve"> </w:t>
      </w:r>
      <w:r>
        <w:rPr>
          <w:rFonts w:hint="eastAsia" w:ascii="宋体" w:hAnsi="宋体" w:cs="宋体"/>
          <w:b/>
          <w:bCs/>
          <w:color w:val="auto"/>
          <w:highlight w:val="none"/>
          <w:u w:val="single"/>
        </w:rPr>
        <w:t xml:space="preserve"> </w:t>
      </w:r>
      <w:r>
        <w:rPr>
          <w:rFonts w:hint="eastAsia" w:ascii="宋体" w:hAnsi="宋体" w:cs="宋体"/>
          <w:b/>
          <w:bCs/>
          <w:color w:val="auto"/>
          <w:highlight w:val="none"/>
          <w:u w:val="single"/>
          <w:lang w:val="zh-CN"/>
        </w:rPr>
        <w:t>工程所在地</w:t>
      </w:r>
      <w:r>
        <w:rPr>
          <w:rFonts w:hint="eastAsia" w:ascii="宋体" w:hAnsi="宋体" w:cs="宋体"/>
          <w:color w:val="auto"/>
          <w:highlight w:val="none"/>
          <w:u w:val="single"/>
          <w:lang w:val="zh-CN"/>
        </w:rPr>
        <w:t xml:space="preserve">  </w:t>
      </w:r>
      <w:r>
        <w:rPr>
          <w:rFonts w:hint="eastAsia" w:ascii="宋体" w:hAnsi="宋体" w:cs="宋体"/>
          <w:color w:val="auto"/>
          <w:highlight w:val="none"/>
          <w:lang w:val="zh-CN"/>
        </w:rPr>
        <w:t>人民法院起诉。</w:t>
      </w:r>
    </w:p>
    <w:p w14:paraId="2BF28F7E">
      <w:pPr>
        <w:autoSpaceDE w:val="0"/>
        <w:autoSpaceDN w:val="0"/>
        <w:adjustRightInd w:val="0"/>
        <w:spacing w:line="360" w:lineRule="auto"/>
        <w:ind w:firstLine="420" w:firstLineChars="200"/>
        <w:rPr>
          <w:rFonts w:ascii="宋体" w:hAnsi="宋体" w:cs="宋体"/>
          <w:color w:val="auto"/>
          <w:highlight w:val="none"/>
          <w:lang w:val="zh-CN"/>
        </w:rPr>
      </w:pPr>
      <w:r>
        <w:rPr>
          <w:rFonts w:hint="eastAsia" w:ascii="宋体" w:hAnsi="宋体" w:cs="宋体"/>
          <w:color w:val="auto"/>
          <w:highlight w:val="none"/>
          <w:lang w:val="zh-CN"/>
        </w:rPr>
        <w:t>20.</w:t>
      </w:r>
      <w:r>
        <w:rPr>
          <w:rFonts w:ascii="宋体" w:hAnsi="宋体" w:cs="宋体"/>
          <w:color w:val="auto"/>
          <w:highlight w:val="none"/>
          <w:lang w:val="zh-CN"/>
        </w:rPr>
        <w:t>3</w:t>
      </w:r>
      <w:r>
        <w:rPr>
          <w:rFonts w:hint="eastAsia" w:ascii="宋体" w:hAnsi="宋体" w:cs="宋体"/>
          <w:color w:val="auto"/>
          <w:highlight w:val="none"/>
          <w:lang w:val="zh-CN"/>
        </w:rPr>
        <w:t>补充条款</w:t>
      </w:r>
    </w:p>
    <w:p w14:paraId="1377A447">
      <w:pPr>
        <w:autoSpaceDE w:val="0"/>
        <w:autoSpaceDN w:val="0"/>
        <w:spacing w:line="360" w:lineRule="auto"/>
        <w:ind w:firstLine="420" w:firstLineChars="200"/>
        <w:jc w:val="left"/>
        <w:rPr>
          <w:rFonts w:ascii="宋体" w:hAnsi="宋体" w:cs="宋体"/>
          <w:bCs/>
          <w:color w:val="auto"/>
          <w:highlight w:val="none"/>
          <w:u w:val="single"/>
        </w:rPr>
      </w:pPr>
      <w:r>
        <w:rPr>
          <w:rFonts w:ascii="宋体" w:hAnsi="宋体" w:cs="宋体"/>
          <w:bCs/>
          <w:color w:val="auto"/>
          <w:highlight w:val="none"/>
          <w:u w:val="single"/>
        </w:rPr>
        <w:t>20.3.1</w:t>
      </w:r>
      <w:r>
        <w:rPr>
          <w:rFonts w:hint="eastAsia" w:ascii="宋体" w:hAnsi="宋体" w:cs="宋体"/>
          <w:bCs/>
          <w:color w:val="auto"/>
          <w:highlight w:val="none"/>
          <w:u w:val="single"/>
        </w:rPr>
        <w:t>承包人根据施工现场情况及现行规定，自行报价，结算时措施费用一律不作调整。</w:t>
      </w:r>
    </w:p>
    <w:p w14:paraId="6FE5E08D">
      <w:pPr>
        <w:autoSpaceDE w:val="0"/>
        <w:autoSpaceDN w:val="0"/>
        <w:spacing w:line="360" w:lineRule="auto"/>
        <w:ind w:firstLine="420" w:firstLineChars="200"/>
        <w:jc w:val="left"/>
        <w:rPr>
          <w:rFonts w:ascii="宋体" w:hAnsi="宋体" w:cs="宋体"/>
          <w:bCs/>
          <w:color w:val="auto"/>
          <w:highlight w:val="none"/>
          <w:u w:val="single"/>
        </w:rPr>
      </w:pPr>
      <w:r>
        <w:rPr>
          <w:rFonts w:ascii="宋体" w:hAnsi="宋体" w:cs="宋体"/>
          <w:bCs/>
          <w:color w:val="auto"/>
          <w:highlight w:val="none"/>
          <w:u w:val="single"/>
        </w:rPr>
        <w:t>20.3.2</w:t>
      </w:r>
      <w:r>
        <w:rPr>
          <w:rFonts w:hint="eastAsia" w:ascii="宋体" w:hAnsi="宋体" w:cs="宋体"/>
          <w:bCs/>
          <w:color w:val="auto"/>
          <w:highlight w:val="none"/>
          <w:u w:val="single"/>
        </w:rPr>
        <w:t>文明施工措施费，结算时按南通市造价管理处核定为准。</w:t>
      </w:r>
    </w:p>
    <w:p w14:paraId="60E47A3B">
      <w:pPr>
        <w:autoSpaceDE w:val="0"/>
        <w:autoSpaceDN w:val="0"/>
        <w:spacing w:line="360" w:lineRule="auto"/>
        <w:ind w:firstLine="420" w:firstLineChars="200"/>
        <w:jc w:val="left"/>
        <w:rPr>
          <w:rFonts w:ascii="宋体" w:hAnsi="宋体" w:cs="宋体"/>
          <w:bCs/>
          <w:color w:val="auto"/>
          <w:highlight w:val="none"/>
          <w:u w:val="single"/>
        </w:rPr>
      </w:pPr>
      <w:r>
        <w:rPr>
          <w:rFonts w:ascii="宋体" w:hAnsi="宋体" w:cs="宋体"/>
          <w:bCs/>
          <w:color w:val="auto"/>
          <w:highlight w:val="none"/>
          <w:u w:val="single"/>
        </w:rPr>
        <w:t>20.3.3</w:t>
      </w:r>
      <w:r>
        <w:rPr>
          <w:rFonts w:hint="eastAsia" w:ascii="宋体" w:hAnsi="宋体" w:cs="宋体"/>
          <w:bCs/>
          <w:color w:val="auto"/>
          <w:highlight w:val="none"/>
          <w:u w:val="single"/>
        </w:rPr>
        <w:t>承包人建造师证书原件须交发包人处保存至工程竣工结束。</w:t>
      </w:r>
    </w:p>
    <w:p w14:paraId="383210C3">
      <w:pPr>
        <w:autoSpaceDE w:val="0"/>
        <w:autoSpaceDN w:val="0"/>
        <w:spacing w:line="360" w:lineRule="auto"/>
        <w:ind w:firstLine="420" w:firstLineChars="200"/>
        <w:jc w:val="left"/>
        <w:rPr>
          <w:rFonts w:ascii="宋体" w:hAnsi="宋体" w:cs="宋体"/>
          <w:bCs/>
          <w:color w:val="auto"/>
          <w:highlight w:val="none"/>
          <w:u w:val="single"/>
        </w:rPr>
      </w:pPr>
      <w:r>
        <w:rPr>
          <w:rFonts w:ascii="宋体" w:hAnsi="宋体" w:cs="宋体"/>
          <w:bCs/>
          <w:color w:val="auto"/>
          <w:highlight w:val="none"/>
          <w:u w:val="single"/>
        </w:rPr>
        <w:t>20.3.4</w:t>
      </w:r>
      <w:r>
        <w:rPr>
          <w:rFonts w:hint="eastAsia" w:ascii="宋体" w:hAnsi="宋体" w:cs="宋体"/>
          <w:bCs/>
          <w:color w:val="auto"/>
          <w:highlight w:val="none"/>
          <w:u w:val="single"/>
        </w:rPr>
        <w:t>施工过程中涉及排污、环保、市容、城建城管、消防、治安、人口管理、居委会、派出所等相关部门收取的费用及相关手续，对临近居民、行人的影响等，夜间文明施工、保护周边地下管线和架空线的安全的费用等，承包人已综合考虑在合同价中，由承包人负责协调处理，竣工结算时一律不作调整。</w:t>
      </w:r>
    </w:p>
    <w:p w14:paraId="73B9CED2">
      <w:pPr>
        <w:autoSpaceDE w:val="0"/>
        <w:autoSpaceDN w:val="0"/>
        <w:adjustRightInd w:val="0"/>
        <w:spacing w:line="360" w:lineRule="auto"/>
        <w:ind w:firstLine="420" w:firstLineChars="200"/>
        <w:jc w:val="left"/>
        <w:rPr>
          <w:rFonts w:ascii="宋体" w:hAnsi="宋体" w:cs="宋体"/>
          <w:bCs/>
          <w:color w:val="auto"/>
          <w:highlight w:val="none"/>
          <w:u w:val="single"/>
        </w:rPr>
      </w:pPr>
      <w:r>
        <w:rPr>
          <w:rFonts w:ascii="宋体" w:hAnsi="宋体" w:cs="宋体"/>
          <w:bCs/>
          <w:color w:val="auto"/>
          <w:highlight w:val="none"/>
          <w:u w:val="single"/>
        </w:rPr>
        <w:t>20.3.5</w:t>
      </w:r>
      <w:r>
        <w:rPr>
          <w:rFonts w:hint="eastAsia" w:ascii="宋体" w:hAnsi="宋体" w:cs="宋体"/>
          <w:bCs/>
          <w:color w:val="auto"/>
          <w:highlight w:val="none"/>
          <w:u w:val="single"/>
        </w:rPr>
        <w:t>本工程的施工须严格按国家规范要求，承包人必须严格按照发包人要求的日期进场施工。由于承包人原因引起的工程投资增加由承包人负责，由于供货等承包人原因影响工期进度安排的，所产生的一切后果由承包人承担。施工过程中因违反国家有关规定而发生的罚款等费用由责任人自负。</w:t>
      </w:r>
    </w:p>
    <w:p w14:paraId="3A404128">
      <w:pPr>
        <w:autoSpaceDE w:val="0"/>
        <w:autoSpaceDN w:val="0"/>
        <w:adjustRightInd w:val="0"/>
        <w:spacing w:line="360" w:lineRule="auto"/>
        <w:ind w:firstLine="420" w:firstLineChars="200"/>
        <w:jc w:val="left"/>
        <w:rPr>
          <w:rFonts w:ascii="宋体" w:hAnsi="宋体" w:cs="宋体"/>
          <w:bCs/>
          <w:color w:val="auto"/>
          <w:highlight w:val="none"/>
          <w:u w:val="single"/>
        </w:rPr>
      </w:pPr>
      <w:r>
        <w:rPr>
          <w:rFonts w:ascii="宋体" w:hAnsi="宋体" w:cs="宋体"/>
          <w:bCs/>
          <w:color w:val="auto"/>
          <w:highlight w:val="none"/>
          <w:u w:val="single"/>
        </w:rPr>
        <w:t>20.3.6</w:t>
      </w:r>
      <w:r>
        <w:rPr>
          <w:rFonts w:hint="eastAsia" w:ascii="宋体" w:hAnsi="宋体" w:cs="宋体"/>
          <w:bCs/>
          <w:color w:val="auto"/>
          <w:highlight w:val="none"/>
          <w:u w:val="single"/>
        </w:rPr>
        <w:t>承包人在施工过程中，如有以下情形，发包人可对承包人直接收取1万～</w:t>
      </w:r>
      <w:r>
        <w:rPr>
          <w:rFonts w:ascii="宋体" w:hAnsi="宋体" w:cs="宋体"/>
          <w:bCs/>
          <w:color w:val="auto"/>
          <w:highlight w:val="none"/>
          <w:u w:val="single"/>
        </w:rPr>
        <w:t>3</w:t>
      </w:r>
      <w:r>
        <w:rPr>
          <w:rFonts w:hint="eastAsia" w:ascii="宋体" w:hAnsi="宋体" w:cs="宋体"/>
          <w:bCs/>
          <w:color w:val="auto"/>
          <w:highlight w:val="none"/>
          <w:u w:val="single"/>
        </w:rPr>
        <w:t>万元的违约金，情节特别严重的收取</w:t>
      </w:r>
      <w:r>
        <w:rPr>
          <w:rFonts w:ascii="宋体" w:hAnsi="宋体" w:cs="宋体"/>
          <w:bCs/>
          <w:color w:val="auto"/>
          <w:highlight w:val="none"/>
          <w:u w:val="single"/>
        </w:rPr>
        <w:t>5</w:t>
      </w:r>
      <w:r>
        <w:rPr>
          <w:rFonts w:hint="eastAsia" w:ascii="宋体" w:hAnsi="宋体" w:cs="宋体"/>
          <w:bCs/>
          <w:color w:val="auto"/>
          <w:highlight w:val="none"/>
          <w:u w:val="single"/>
        </w:rPr>
        <w:t>万违约金：</w:t>
      </w:r>
    </w:p>
    <w:p w14:paraId="4E10608A">
      <w:pPr>
        <w:autoSpaceDE w:val="0"/>
        <w:autoSpaceDN w:val="0"/>
        <w:adjustRightInd w:val="0"/>
        <w:spacing w:line="360" w:lineRule="auto"/>
        <w:ind w:firstLine="420" w:firstLineChars="200"/>
        <w:jc w:val="left"/>
        <w:rPr>
          <w:rFonts w:ascii="宋体" w:hAnsi="宋体" w:cs="宋体"/>
          <w:bCs/>
          <w:color w:val="auto"/>
          <w:highlight w:val="none"/>
          <w:u w:val="single"/>
        </w:rPr>
      </w:pPr>
      <w:r>
        <w:rPr>
          <w:rFonts w:hint="eastAsia" w:ascii="宋体" w:hAnsi="宋体" w:cs="宋体"/>
          <w:bCs/>
          <w:color w:val="auto"/>
          <w:highlight w:val="none"/>
          <w:u w:val="single"/>
        </w:rPr>
        <w:t>A、施工期间工程资料不能及时到位的；</w:t>
      </w:r>
    </w:p>
    <w:p w14:paraId="65547322">
      <w:pPr>
        <w:autoSpaceDE w:val="0"/>
        <w:autoSpaceDN w:val="0"/>
        <w:adjustRightInd w:val="0"/>
        <w:spacing w:line="360" w:lineRule="auto"/>
        <w:ind w:firstLine="420" w:firstLineChars="200"/>
        <w:jc w:val="left"/>
        <w:rPr>
          <w:rFonts w:ascii="宋体" w:hAnsi="宋体" w:cs="宋体"/>
          <w:bCs/>
          <w:color w:val="auto"/>
          <w:highlight w:val="none"/>
          <w:u w:val="single"/>
        </w:rPr>
      </w:pPr>
      <w:r>
        <w:rPr>
          <w:rFonts w:hint="eastAsia" w:ascii="宋体" w:hAnsi="宋体" w:cs="宋体"/>
          <w:bCs/>
          <w:color w:val="auto"/>
          <w:highlight w:val="none"/>
          <w:u w:val="single"/>
        </w:rPr>
        <w:t>B、隐蔽部位不经验收通过就进行下一道工序的；</w:t>
      </w:r>
    </w:p>
    <w:p w14:paraId="73D1D9DB">
      <w:pPr>
        <w:autoSpaceDE w:val="0"/>
        <w:autoSpaceDN w:val="0"/>
        <w:adjustRightInd w:val="0"/>
        <w:spacing w:line="360" w:lineRule="auto"/>
        <w:ind w:firstLine="420" w:firstLineChars="200"/>
        <w:jc w:val="left"/>
        <w:rPr>
          <w:rFonts w:ascii="宋体" w:hAnsi="宋体" w:cs="宋体"/>
          <w:bCs/>
          <w:color w:val="auto"/>
          <w:highlight w:val="none"/>
          <w:u w:val="single"/>
        </w:rPr>
      </w:pPr>
      <w:r>
        <w:rPr>
          <w:rFonts w:hint="eastAsia" w:ascii="宋体" w:hAnsi="宋体" w:cs="宋体"/>
          <w:bCs/>
          <w:color w:val="auto"/>
          <w:highlight w:val="none"/>
          <w:u w:val="single"/>
        </w:rPr>
        <w:t>C、不论以何种形式被检查发现偷工减料、以次充好的；</w:t>
      </w:r>
    </w:p>
    <w:p w14:paraId="549FA616">
      <w:pPr>
        <w:autoSpaceDE w:val="0"/>
        <w:autoSpaceDN w:val="0"/>
        <w:adjustRightInd w:val="0"/>
        <w:spacing w:line="360" w:lineRule="auto"/>
        <w:ind w:firstLine="420" w:firstLineChars="200"/>
        <w:jc w:val="left"/>
        <w:rPr>
          <w:rFonts w:ascii="宋体" w:hAnsi="宋体" w:cs="宋体"/>
          <w:bCs/>
          <w:color w:val="auto"/>
          <w:highlight w:val="none"/>
          <w:u w:val="single"/>
        </w:rPr>
      </w:pPr>
      <w:r>
        <w:rPr>
          <w:rFonts w:hint="eastAsia" w:ascii="宋体" w:hAnsi="宋体" w:cs="宋体"/>
          <w:bCs/>
          <w:color w:val="auto"/>
          <w:highlight w:val="none"/>
          <w:u w:val="single"/>
        </w:rPr>
        <w:t>D、不按施工图及设计规范的要求，擅自施工的；</w:t>
      </w:r>
    </w:p>
    <w:p w14:paraId="0BB379D4">
      <w:pPr>
        <w:autoSpaceDE w:val="0"/>
        <w:autoSpaceDN w:val="0"/>
        <w:adjustRightInd w:val="0"/>
        <w:spacing w:line="360" w:lineRule="auto"/>
        <w:ind w:firstLine="420" w:firstLineChars="200"/>
        <w:jc w:val="left"/>
        <w:rPr>
          <w:rFonts w:ascii="宋体" w:hAnsi="宋体" w:cs="宋体"/>
          <w:bCs/>
          <w:color w:val="auto"/>
          <w:highlight w:val="none"/>
          <w:u w:val="single"/>
        </w:rPr>
      </w:pPr>
      <w:r>
        <w:rPr>
          <w:rFonts w:hint="eastAsia" w:ascii="宋体" w:hAnsi="宋体" w:cs="宋体"/>
          <w:bCs/>
          <w:color w:val="auto"/>
          <w:highlight w:val="none"/>
          <w:u w:val="single"/>
        </w:rPr>
        <w:t>E、施工质量不达标的；</w:t>
      </w:r>
    </w:p>
    <w:p w14:paraId="7F5579B3">
      <w:pPr>
        <w:autoSpaceDE w:val="0"/>
        <w:autoSpaceDN w:val="0"/>
        <w:adjustRightInd w:val="0"/>
        <w:spacing w:line="360" w:lineRule="auto"/>
        <w:ind w:firstLine="420" w:firstLineChars="200"/>
        <w:jc w:val="left"/>
        <w:rPr>
          <w:rFonts w:ascii="宋体" w:hAnsi="宋体" w:cs="宋体"/>
          <w:bCs/>
          <w:color w:val="auto"/>
          <w:highlight w:val="none"/>
          <w:u w:val="single"/>
        </w:rPr>
      </w:pPr>
      <w:r>
        <w:rPr>
          <w:rFonts w:hint="eastAsia" w:ascii="宋体" w:hAnsi="宋体" w:cs="宋体"/>
          <w:bCs/>
          <w:color w:val="auto"/>
          <w:highlight w:val="none"/>
          <w:u w:val="single"/>
        </w:rPr>
        <w:t>F、工序及原材料不报验的；</w:t>
      </w:r>
    </w:p>
    <w:p w14:paraId="0D2AD75E">
      <w:pPr>
        <w:autoSpaceDE w:val="0"/>
        <w:autoSpaceDN w:val="0"/>
        <w:adjustRightInd w:val="0"/>
        <w:spacing w:line="360" w:lineRule="auto"/>
        <w:ind w:firstLine="420" w:firstLineChars="200"/>
        <w:jc w:val="left"/>
        <w:rPr>
          <w:rFonts w:ascii="宋体" w:hAnsi="宋体" w:cs="宋体"/>
          <w:bCs/>
          <w:color w:val="auto"/>
          <w:highlight w:val="none"/>
          <w:u w:val="single"/>
        </w:rPr>
      </w:pPr>
      <w:r>
        <w:rPr>
          <w:rFonts w:hint="eastAsia" w:ascii="宋体" w:hAnsi="宋体" w:cs="宋体"/>
          <w:bCs/>
          <w:color w:val="auto"/>
          <w:highlight w:val="none"/>
          <w:u w:val="single"/>
        </w:rPr>
        <w:t>G、弄虚作假的；</w:t>
      </w:r>
    </w:p>
    <w:p w14:paraId="3F94F70F">
      <w:pPr>
        <w:autoSpaceDE w:val="0"/>
        <w:autoSpaceDN w:val="0"/>
        <w:adjustRightInd w:val="0"/>
        <w:spacing w:line="360" w:lineRule="auto"/>
        <w:ind w:firstLine="420" w:firstLineChars="200"/>
        <w:jc w:val="left"/>
        <w:rPr>
          <w:rFonts w:ascii="宋体" w:hAnsi="宋体" w:cs="宋体"/>
          <w:bCs/>
          <w:color w:val="auto"/>
          <w:highlight w:val="none"/>
          <w:u w:val="single"/>
        </w:rPr>
      </w:pPr>
      <w:r>
        <w:rPr>
          <w:rFonts w:hint="eastAsia" w:ascii="宋体" w:hAnsi="宋体" w:cs="宋体"/>
          <w:bCs/>
          <w:color w:val="auto"/>
          <w:highlight w:val="none"/>
          <w:u w:val="single"/>
        </w:rPr>
        <w:t>H、使用砂浆王等不允许使用的外加剂及长江细砂等不符合设计要求的原材料的；</w:t>
      </w:r>
    </w:p>
    <w:p w14:paraId="50D6BFFB">
      <w:pPr>
        <w:autoSpaceDE w:val="0"/>
        <w:autoSpaceDN w:val="0"/>
        <w:adjustRightInd w:val="0"/>
        <w:spacing w:line="360" w:lineRule="auto"/>
        <w:ind w:firstLine="420" w:firstLineChars="200"/>
        <w:jc w:val="left"/>
        <w:rPr>
          <w:rFonts w:ascii="宋体" w:hAnsi="宋体" w:cs="宋体"/>
          <w:bCs/>
          <w:color w:val="auto"/>
          <w:highlight w:val="none"/>
          <w:u w:val="single"/>
        </w:rPr>
      </w:pPr>
      <w:r>
        <w:rPr>
          <w:rFonts w:hint="eastAsia" w:ascii="宋体" w:hAnsi="宋体" w:cs="宋体"/>
          <w:bCs/>
          <w:color w:val="auto"/>
          <w:highlight w:val="none"/>
          <w:u w:val="single"/>
        </w:rPr>
        <w:t>I、提供的资料弄虚作假的；</w:t>
      </w:r>
    </w:p>
    <w:p w14:paraId="598FEF9A">
      <w:pPr>
        <w:autoSpaceDE w:val="0"/>
        <w:autoSpaceDN w:val="0"/>
        <w:adjustRightInd w:val="0"/>
        <w:spacing w:line="360" w:lineRule="auto"/>
        <w:ind w:firstLine="422" w:firstLineChars="200"/>
        <w:jc w:val="left"/>
        <w:rPr>
          <w:rFonts w:ascii="宋体" w:hAnsi="宋体" w:cs="宋体"/>
          <w:b/>
          <w:bCs/>
          <w:color w:val="auto"/>
          <w:highlight w:val="none"/>
          <w:u w:val="single"/>
        </w:rPr>
      </w:pPr>
      <w:r>
        <w:rPr>
          <w:rFonts w:hint="eastAsia" w:ascii="宋体" w:hAnsi="宋体" w:cs="宋体"/>
          <w:b/>
          <w:bCs/>
          <w:color w:val="auto"/>
          <w:highlight w:val="none"/>
          <w:u w:val="single"/>
        </w:rPr>
        <w:t>J、扬尘控制不满足管控要求的；</w:t>
      </w:r>
    </w:p>
    <w:p w14:paraId="01E7C49C">
      <w:pPr>
        <w:autoSpaceDE w:val="0"/>
        <w:autoSpaceDN w:val="0"/>
        <w:adjustRightInd w:val="0"/>
        <w:spacing w:line="360" w:lineRule="auto"/>
        <w:ind w:firstLine="422" w:firstLineChars="200"/>
        <w:jc w:val="left"/>
        <w:rPr>
          <w:rFonts w:ascii="宋体" w:hAnsi="宋体" w:cs="宋体"/>
          <w:b/>
          <w:bCs/>
          <w:color w:val="auto"/>
          <w:highlight w:val="none"/>
          <w:u w:val="single"/>
        </w:rPr>
      </w:pPr>
      <w:r>
        <w:rPr>
          <w:rFonts w:hint="eastAsia" w:ascii="宋体" w:hAnsi="宋体" w:cs="宋体"/>
          <w:b/>
          <w:bCs/>
          <w:color w:val="auto"/>
          <w:highlight w:val="none"/>
          <w:u w:val="single"/>
        </w:rPr>
        <w:t>K、农民工工资四项制度落实不到位。</w:t>
      </w:r>
    </w:p>
    <w:p w14:paraId="336E4A19">
      <w:pPr>
        <w:spacing w:line="360" w:lineRule="auto"/>
        <w:ind w:firstLine="420" w:firstLineChars="200"/>
        <w:rPr>
          <w:rFonts w:ascii="宋体" w:hAnsi="宋体" w:cs="宋体"/>
          <w:bCs/>
          <w:color w:val="auto"/>
          <w:highlight w:val="none"/>
          <w:u w:val="single"/>
        </w:rPr>
      </w:pPr>
      <w:r>
        <w:rPr>
          <w:rFonts w:hint="eastAsia" w:ascii="宋体" w:hAnsi="宋体" w:cs="宋体"/>
          <w:bCs/>
          <w:color w:val="auto"/>
          <w:highlight w:val="none"/>
          <w:u w:val="single"/>
        </w:rPr>
        <w:t>以上情况发现每项/次收取违约金一次。</w:t>
      </w:r>
    </w:p>
    <w:p w14:paraId="291D681E">
      <w:pPr>
        <w:spacing w:line="360" w:lineRule="auto"/>
        <w:ind w:firstLine="420" w:firstLineChars="200"/>
        <w:rPr>
          <w:rFonts w:ascii="宋体" w:hAnsi="宋体" w:cs="宋体"/>
          <w:bCs/>
          <w:color w:val="auto"/>
          <w:highlight w:val="none"/>
          <w:u w:val="single"/>
        </w:rPr>
      </w:pPr>
      <w:r>
        <w:rPr>
          <w:rFonts w:ascii="宋体" w:hAnsi="宋体" w:cs="宋体"/>
          <w:bCs/>
          <w:color w:val="auto"/>
          <w:highlight w:val="none"/>
          <w:u w:val="single"/>
        </w:rPr>
        <w:t>20.3.7</w:t>
      </w:r>
      <w:r>
        <w:rPr>
          <w:rFonts w:hint="eastAsia" w:ascii="宋体" w:hAnsi="宋体" w:cs="宋体"/>
          <w:bCs/>
          <w:color w:val="auto"/>
          <w:highlight w:val="none"/>
          <w:u w:val="single"/>
        </w:rPr>
        <w:t>承包人承诺在本工程施工过程中，保证做到文明、安全施工，并遵守南通市建筑安全生产监督站关于印发《南通市区市政工程施工现场安全检查评分暂行标准》的通知（通建安建〔2004〕12号。如果本工程施工工地在发包人组织的市政工程安全文明工地检查评比中，被评为不合格工地的，每有一次发包人收取承包人2万元的违约金，并作为不良行为记录在案；如被通报批评三次的，发包人有权终止合同，所有损失由承包人承担，并作为不良行为记录在案。</w:t>
      </w:r>
    </w:p>
    <w:p w14:paraId="683018DE">
      <w:pPr>
        <w:spacing w:line="360" w:lineRule="auto"/>
        <w:ind w:firstLine="420" w:firstLineChars="200"/>
        <w:rPr>
          <w:rFonts w:ascii="宋体" w:hAnsi="宋体" w:cs="宋体"/>
          <w:bCs/>
          <w:color w:val="auto"/>
          <w:highlight w:val="none"/>
          <w:u w:val="single"/>
        </w:rPr>
      </w:pPr>
      <w:r>
        <w:rPr>
          <w:rFonts w:hint="eastAsia" w:ascii="宋体" w:hAnsi="宋体" w:cs="宋体"/>
          <w:bCs/>
          <w:color w:val="auto"/>
          <w:highlight w:val="none"/>
          <w:u w:val="single"/>
        </w:rPr>
        <w:t>在上述 6、7条规定中，承包人每发生一次，视其严重程度，记录为灰点或不良记录，三次灰点记录作为一次不良记录。每有一次不良记录，限制公司法人及建造师参与发包人组织的城建工程投标一年以上，直至永久限制，并抄报市和区主管部门。</w:t>
      </w:r>
    </w:p>
    <w:p w14:paraId="1836F1EA">
      <w:pPr>
        <w:spacing w:line="360" w:lineRule="auto"/>
        <w:ind w:firstLine="420" w:firstLineChars="200"/>
        <w:jc w:val="left"/>
        <w:rPr>
          <w:rFonts w:ascii="宋体" w:hAnsi="宋体" w:cs="宋体"/>
          <w:bCs/>
          <w:color w:val="auto"/>
          <w:highlight w:val="none"/>
          <w:u w:val="single"/>
        </w:rPr>
      </w:pPr>
      <w:r>
        <w:rPr>
          <w:rFonts w:ascii="宋体" w:hAnsi="宋体" w:cs="宋体"/>
          <w:bCs/>
          <w:color w:val="auto"/>
          <w:highlight w:val="none"/>
          <w:u w:val="single"/>
        </w:rPr>
        <w:t>20.3.8</w:t>
      </w:r>
      <w:r>
        <w:rPr>
          <w:rFonts w:hint="eastAsia" w:ascii="宋体" w:hAnsi="宋体" w:cs="宋体"/>
          <w:bCs/>
          <w:color w:val="auto"/>
          <w:highlight w:val="none"/>
          <w:u w:val="single"/>
        </w:rPr>
        <w:t xml:space="preserve"> 施工过程中，因承包人施工原因，而造成煤气、自来水管道、雨污分流管等受到破坏的，除承包人须按规定修复外，发包人可对承包人收取5000元/次的违约金。</w:t>
      </w:r>
      <w:r>
        <w:rPr>
          <w:rFonts w:hint="eastAsia" w:ascii="宋体" w:hAnsi="宋体"/>
          <w:b/>
          <w:bCs/>
          <w:color w:val="auto"/>
          <w:szCs w:val="21"/>
          <w:highlight w:val="none"/>
          <w:u w:val="single"/>
        </w:rPr>
        <w:t>如承包人发生上述情况而拒交罚金的，发包人有权从工程款中或履约担保金中双倍扣除。</w:t>
      </w:r>
    </w:p>
    <w:p w14:paraId="0EEB5BC1">
      <w:pPr>
        <w:autoSpaceDE w:val="0"/>
        <w:autoSpaceDN w:val="0"/>
        <w:adjustRightInd w:val="0"/>
        <w:spacing w:line="360" w:lineRule="auto"/>
        <w:ind w:firstLine="420" w:firstLineChars="200"/>
        <w:jc w:val="left"/>
        <w:rPr>
          <w:rFonts w:ascii="宋体" w:hAnsi="宋体" w:cs="宋体"/>
          <w:bCs/>
          <w:color w:val="auto"/>
          <w:highlight w:val="none"/>
          <w:u w:val="single"/>
        </w:rPr>
      </w:pPr>
      <w:r>
        <w:rPr>
          <w:rFonts w:ascii="宋体" w:hAnsi="宋体" w:cs="宋体"/>
          <w:bCs/>
          <w:color w:val="auto"/>
          <w:highlight w:val="none"/>
          <w:u w:val="single"/>
        </w:rPr>
        <w:t>20.3.9</w:t>
      </w:r>
      <w:r>
        <w:rPr>
          <w:rFonts w:hint="eastAsia" w:ascii="宋体" w:hAnsi="宋体" w:cs="宋体"/>
          <w:bCs/>
          <w:color w:val="auto"/>
          <w:highlight w:val="none"/>
          <w:u w:val="single"/>
        </w:rPr>
        <w:t>本工程竣工结算的最终审计单位为崇川审计局，承包人应如实报送工程竣工结算。</w:t>
      </w:r>
    </w:p>
    <w:p w14:paraId="762BA200">
      <w:pPr>
        <w:autoSpaceDE w:val="0"/>
        <w:autoSpaceDN w:val="0"/>
        <w:adjustRightInd w:val="0"/>
        <w:spacing w:line="360" w:lineRule="auto"/>
        <w:ind w:firstLine="420" w:firstLineChars="200"/>
        <w:jc w:val="left"/>
        <w:rPr>
          <w:rFonts w:ascii="宋体" w:hAnsi="宋体" w:cs="宋体"/>
          <w:bCs/>
          <w:color w:val="auto"/>
          <w:highlight w:val="none"/>
          <w:u w:val="single"/>
        </w:rPr>
      </w:pPr>
      <w:r>
        <w:rPr>
          <w:rFonts w:hint="eastAsia" w:ascii="宋体" w:hAnsi="宋体" w:cs="宋体"/>
          <w:bCs/>
          <w:color w:val="auto"/>
          <w:highlight w:val="none"/>
          <w:u w:val="single"/>
        </w:rPr>
        <w:t>本工程竣工结算由发包人在崇川审计局设立的“政府投资建设项目协审中介机构资源库”中委托产生第三方审计机构审计确认，如审计时，崇川审计局无或不再设立“政府投资建设项目协审中介机构资源库”的，第三方审计机构由发包人直接委托。承包人必须按照审计机构的要求提供资料、进行核对，承包人怠于提供资料、进行核对的，视为承包人对审计机构审计数据的认可，审计机构直接出具审计结果。审计结束后发包人根据《崇川区政府投资建设项目审计监督办法》的通知，将审计结果送崇川区审计局进行复核，最终复核结果作为工程竣工结算依据。承包人应如实报送工程竣工结算，如经第三方审计机构审计后，核减额小于5%（含5%），审计费由发包人支付；核减额大于5%、小于10%（含10%），超出5%的审计费由承包人承担；核减额大于10%，审计费全部由承包人承担。审计费按核减额的6%计取。发包方无需另行提供票据证实，直接在应付款中扣除。</w:t>
      </w:r>
    </w:p>
    <w:p w14:paraId="02F2BE42">
      <w:pPr>
        <w:autoSpaceDE w:val="0"/>
        <w:autoSpaceDN w:val="0"/>
        <w:adjustRightInd w:val="0"/>
        <w:spacing w:line="360" w:lineRule="auto"/>
        <w:ind w:firstLine="420" w:firstLineChars="200"/>
        <w:jc w:val="left"/>
        <w:rPr>
          <w:rFonts w:ascii="宋体" w:hAnsi="宋体" w:cs="宋体"/>
          <w:bCs/>
          <w:color w:val="auto"/>
          <w:highlight w:val="none"/>
          <w:u w:val="single"/>
        </w:rPr>
      </w:pPr>
      <w:r>
        <w:rPr>
          <w:rFonts w:ascii="宋体" w:hAnsi="宋体" w:cs="宋体"/>
          <w:bCs/>
          <w:color w:val="auto"/>
          <w:highlight w:val="none"/>
          <w:u w:val="single"/>
        </w:rPr>
        <w:t>20.3.1</w:t>
      </w:r>
      <w:r>
        <w:rPr>
          <w:rFonts w:hint="eastAsia" w:ascii="宋体" w:hAnsi="宋体" w:cs="宋体"/>
          <w:bCs/>
          <w:color w:val="auto"/>
          <w:highlight w:val="none"/>
          <w:u w:val="single"/>
        </w:rPr>
        <w:t>0中标单位必须保护现有房屋、道路、结构物等成品，如有损坏，应按照不低于原设计标准恢复，费用列入报价。</w:t>
      </w:r>
    </w:p>
    <w:p w14:paraId="35799EF4">
      <w:pPr>
        <w:autoSpaceDE w:val="0"/>
        <w:autoSpaceDN w:val="0"/>
        <w:adjustRightInd w:val="0"/>
        <w:spacing w:line="360" w:lineRule="auto"/>
        <w:ind w:firstLine="420" w:firstLineChars="200"/>
        <w:jc w:val="left"/>
        <w:rPr>
          <w:rFonts w:ascii="宋体" w:hAnsi="宋体" w:cs="宋体"/>
          <w:bCs/>
          <w:color w:val="auto"/>
          <w:highlight w:val="none"/>
          <w:u w:val="single"/>
        </w:rPr>
      </w:pPr>
      <w:r>
        <w:rPr>
          <w:rFonts w:ascii="宋体" w:hAnsi="宋体" w:cs="宋体"/>
          <w:bCs/>
          <w:color w:val="auto"/>
          <w:highlight w:val="none"/>
          <w:u w:val="single"/>
        </w:rPr>
        <w:t>20.3.</w:t>
      </w:r>
      <w:r>
        <w:rPr>
          <w:rFonts w:hint="eastAsia" w:ascii="宋体" w:hAnsi="宋体" w:cs="宋体"/>
          <w:bCs/>
          <w:color w:val="auto"/>
          <w:highlight w:val="none"/>
          <w:u w:val="single"/>
        </w:rPr>
        <w:t>11如果工程中标后，因自身的原因，未能兑现其投标时承诺条件或工程质量较差，或其工期进度严重脱节，发包人同意后有权终止合同，并且已完成的有效工程量只按60%计算结算或者由发包人安排其他施工单位进行施工，所发生费用直接按实际费用从承包人合同价款中扣除，同时发包人视情节严重有权扣除部分或全部工期保证金。</w:t>
      </w:r>
    </w:p>
    <w:p w14:paraId="15D3BA3B">
      <w:pPr>
        <w:autoSpaceDE w:val="0"/>
        <w:autoSpaceDN w:val="0"/>
        <w:adjustRightInd w:val="0"/>
        <w:spacing w:line="360" w:lineRule="auto"/>
        <w:ind w:firstLine="420" w:firstLineChars="200"/>
        <w:jc w:val="left"/>
        <w:rPr>
          <w:rFonts w:ascii="宋体" w:hAnsi="宋体" w:cs="宋体"/>
          <w:bCs/>
          <w:color w:val="auto"/>
          <w:highlight w:val="none"/>
          <w:u w:val="single"/>
        </w:rPr>
      </w:pPr>
      <w:r>
        <w:rPr>
          <w:rFonts w:ascii="宋体" w:hAnsi="宋体" w:cs="宋体"/>
          <w:bCs/>
          <w:color w:val="auto"/>
          <w:highlight w:val="none"/>
          <w:u w:val="single"/>
        </w:rPr>
        <w:t>20.3.1</w:t>
      </w:r>
      <w:r>
        <w:rPr>
          <w:rFonts w:hint="eastAsia" w:ascii="宋体" w:hAnsi="宋体" w:cs="宋体"/>
          <w:bCs/>
          <w:color w:val="auto"/>
          <w:highlight w:val="none"/>
          <w:u w:val="single"/>
        </w:rPr>
        <w:t>2承包人应独立、有效地做好该工程周边的有关群众工作，并充分考虑工程实施范围内外的单位、个人和其他可能出现阻挠施工的情况，若发生的机械台班停置费、二次机械进退场费、人员窝工、处理周边群众纠纷等费用和损失，承包人已在合同价中考虑，工程竣工结算时不作调整。</w:t>
      </w:r>
    </w:p>
    <w:p w14:paraId="769C2DC4">
      <w:pPr>
        <w:autoSpaceDE w:val="0"/>
        <w:autoSpaceDN w:val="0"/>
        <w:adjustRightInd w:val="0"/>
        <w:spacing w:line="360" w:lineRule="auto"/>
        <w:ind w:firstLine="420" w:firstLineChars="200"/>
        <w:jc w:val="left"/>
        <w:rPr>
          <w:rFonts w:ascii="宋体" w:hAnsi="宋体" w:cs="宋体"/>
          <w:bCs/>
          <w:color w:val="auto"/>
          <w:highlight w:val="none"/>
          <w:u w:val="single"/>
        </w:rPr>
      </w:pPr>
      <w:r>
        <w:rPr>
          <w:rFonts w:ascii="宋体" w:hAnsi="宋体" w:cs="宋体"/>
          <w:bCs/>
          <w:color w:val="auto"/>
          <w:highlight w:val="none"/>
          <w:u w:val="single"/>
        </w:rPr>
        <w:t>20.3.1</w:t>
      </w:r>
      <w:r>
        <w:rPr>
          <w:rFonts w:hint="eastAsia" w:ascii="宋体" w:hAnsi="宋体" w:cs="宋体"/>
          <w:bCs/>
          <w:color w:val="auto"/>
          <w:highlight w:val="none"/>
          <w:u w:val="single"/>
        </w:rPr>
        <w:t>3承包人应充分考虑人、机、料的组织程度，满足施工质量、进度的要求，施工人员数量必须满足工期要求。如承包人未能满足要求，发包人将对承包人按每拖延一天处</w:t>
      </w:r>
      <w:r>
        <w:rPr>
          <w:rFonts w:ascii="宋体" w:hAnsi="宋体" w:cs="宋体"/>
          <w:bCs/>
          <w:color w:val="auto"/>
          <w:highlight w:val="none"/>
          <w:u w:val="single"/>
        </w:rPr>
        <w:t>2</w:t>
      </w:r>
      <w:r>
        <w:rPr>
          <w:rFonts w:hint="eastAsia" w:ascii="宋体" w:hAnsi="宋体" w:cs="宋体"/>
          <w:bCs/>
          <w:color w:val="auto"/>
          <w:highlight w:val="none"/>
          <w:u w:val="single"/>
        </w:rPr>
        <w:t>000元的罚款，同时发包人将视情节严重有权扣除部分或全部工期保证金。</w:t>
      </w:r>
    </w:p>
    <w:p w14:paraId="6094AB37">
      <w:pPr>
        <w:autoSpaceDE w:val="0"/>
        <w:autoSpaceDN w:val="0"/>
        <w:adjustRightInd w:val="0"/>
        <w:spacing w:line="360" w:lineRule="auto"/>
        <w:ind w:firstLine="420" w:firstLineChars="200"/>
        <w:jc w:val="left"/>
        <w:rPr>
          <w:rFonts w:ascii="宋体" w:hAnsi="宋体" w:cs="宋体"/>
          <w:bCs/>
          <w:color w:val="auto"/>
          <w:highlight w:val="none"/>
          <w:u w:val="single"/>
        </w:rPr>
      </w:pPr>
      <w:r>
        <w:rPr>
          <w:rFonts w:ascii="宋体" w:hAnsi="宋体" w:cs="宋体"/>
          <w:bCs/>
          <w:color w:val="auto"/>
          <w:highlight w:val="none"/>
          <w:u w:val="single"/>
        </w:rPr>
        <w:t>20.3.</w:t>
      </w:r>
      <w:r>
        <w:rPr>
          <w:rFonts w:hint="eastAsia" w:ascii="宋体" w:hAnsi="宋体" w:cs="宋体"/>
          <w:bCs/>
          <w:color w:val="auto"/>
          <w:highlight w:val="none"/>
          <w:u w:val="single"/>
        </w:rPr>
        <w:t>14本工程量清单的特征应与施工图、招标文件、技术要求、技术规范等文件结合起来阅读，发包人在工程量清单中项目特征描述不全，但承包人为满足设计图纸中该清单项目的要求而必须完成的工作，承包人应计入工程量清单相应子目中，工程结算时发包人不为此类项目另外支付费用。</w:t>
      </w:r>
    </w:p>
    <w:p w14:paraId="4279564A">
      <w:pPr>
        <w:autoSpaceDE w:val="0"/>
        <w:autoSpaceDN w:val="0"/>
        <w:adjustRightInd w:val="0"/>
        <w:spacing w:line="360" w:lineRule="auto"/>
        <w:ind w:firstLine="420" w:firstLineChars="200"/>
        <w:jc w:val="left"/>
        <w:rPr>
          <w:rFonts w:ascii="宋体" w:hAnsi="宋体" w:cs="宋体"/>
          <w:bCs/>
          <w:color w:val="auto"/>
          <w:highlight w:val="none"/>
          <w:u w:val="single"/>
        </w:rPr>
      </w:pPr>
      <w:r>
        <w:rPr>
          <w:rFonts w:ascii="宋体" w:hAnsi="宋体" w:cs="宋体"/>
          <w:bCs/>
          <w:color w:val="auto"/>
          <w:highlight w:val="none"/>
          <w:u w:val="single"/>
        </w:rPr>
        <w:t>20.3.</w:t>
      </w:r>
      <w:r>
        <w:rPr>
          <w:rFonts w:hint="eastAsia" w:ascii="宋体" w:hAnsi="宋体" w:cs="宋体"/>
          <w:bCs/>
          <w:color w:val="auto"/>
          <w:highlight w:val="none"/>
          <w:u w:val="single"/>
        </w:rPr>
        <w:t>15若承包人在投标报价时擅自改变招标文件及清单内容，评审时未被发现，实际施工时均按招标文件及清单内容执行，结算时不予调整。</w:t>
      </w:r>
    </w:p>
    <w:p w14:paraId="43F031A5">
      <w:pPr>
        <w:spacing w:line="360" w:lineRule="auto"/>
        <w:ind w:firstLine="422" w:firstLineChars="200"/>
        <w:jc w:val="left"/>
        <w:rPr>
          <w:rFonts w:ascii="宋体" w:hAnsi="宋体" w:cs="宋体"/>
          <w:bCs/>
          <w:color w:val="auto"/>
          <w:highlight w:val="none"/>
          <w:u w:val="single"/>
        </w:rPr>
      </w:pPr>
      <w:r>
        <w:rPr>
          <w:rFonts w:ascii="宋体" w:hAnsi="宋体"/>
          <w:b/>
          <w:bCs/>
          <w:color w:val="auto"/>
          <w:szCs w:val="21"/>
          <w:highlight w:val="none"/>
          <w:u w:val="single"/>
        </w:rPr>
        <w:t>20.3.</w:t>
      </w:r>
      <w:r>
        <w:rPr>
          <w:rFonts w:hint="eastAsia" w:ascii="宋体" w:hAnsi="宋体"/>
          <w:b/>
          <w:bCs/>
          <w:color w:val="auto"/>
          <w:szCs w:val="21"/>
          <w:highlight w:val="none"/>
          <w:u w:val="single"/>
        </w:rPr>
        <w:t xml:space="preserve">16若承包人擅自改变暂估价或暂列金额且评审时未被发现，报价低于暂估价或暂列金额结算时统一先按招标文件明确暂估价或暂列金额扣除，报价高于暂估价或暂列金额时统一先按报价扣除；若承包人擅自改变招标文件及清单内容，且评标时未被发现的，实际施工时一律以招标文件及清单内容执行，结算价格不予调整。 </w:t>
      </w:r>
    </w:p>
    <w:p w14:paraId="70AD5BD5">
      <w:pPr>
        <w:autoSpaceDE w:val="0"/>
        <w:autoSpaceDN w:val="0"/>
        <w:adjustRightInd w:val="0"/>
        <w:spacing w:line="360" w:lineRule="auto"/>
        <w:ind w:firstLine="420" w:firstLineChars="200"/>
        <w:jc w:val="left"/>
        <w:rPr>
          <w:rFonts w:ascii="宋体" w:hAnsi="宋体" w:cs="宋体"/>
          <w:bCs/>
          <w:color w:val="auto"/>
          <w:highlight w:val="none"/>
          <w:u w:val="single"/>
        </w:rPr>
      </w:pPr>
      <w:r>
        <w:rPr>
          <w:rFonts w:ascii="宋体" w:hAnsi="宋体" w:cs="宋体"/>
          <w:bCs/>
          <w:color w:val="auto"/>
          <w:highlight w:val="none"/>
          <w:u w:val="single"/>
        </w:rPr>
        <w:t>20.3.</w:t>
      </w:r>
      <w:r>
        <w:rPr>
          <w:rFonts w:hint="eastAsia" w:ascii="宋体" w:hAnsi="宋体" w:cs="宋体"/>
          <w:bCs/>
          <w:color w:val="auto"/>
          <w:highlight w:val="none"/>
          <w:u w:val="single"/>
        </w:rPr>
        <w:t>17按相关管理部门的质量、安全要求施工，同时做好协调工作。</w:t>
      </w:r>
    </w:p>
    <w:p w14:paraId="45A8F2DD">
      <w:pPr>
        <w:autoSpaceDE w:val="0"/>
        <w:autoSpaceDN w:val="0"/>
        <w:adjustRightInd w:val="0"/>
        <w:spacing w:line="360" w:lineRule="auto"/>
        <w:ind w:firstLine="420" w:firstLineChars="200"/>
        <w:jc w:val="left"/>
        <w:rPr>
          <w:rFonts w:ascii="宋体" w:hAnsi="宋体" w:cs="宋体"/>
          <w:bCs/>
          <w:color w:val="auto"/>
          <w:highlight w:val="none"/>
          <w:u w:val="single"/>
        </w:rPr>
      </w:pPr>
      <w:r>
        <w:rPr>
          <w:rFonts w:ascii="宋体" w:hAnsi="宋体" w:cs="宋体"/>
          <w:bCs/>
          <w:color w:val="auto"/>
          <w:highlight w:val="none"/>
          <w:u w:val="single"/>
        </w:rPr>
        <w:t>20.3.</w:t>
      </w:r>
      <w:r>
        <w:rPr>
          <w:rFonts w:hint="eastAsia" w:ascii="宋体" w:hAnsi="宋体" w:cs="宋体"/>
          <w:bCs/>
          <w:color w:val="auto"/>
          <w:highlight w:val="none"/>
          <w:u w:val="single"/>
        </w:rPr>
        <w:t>18在履行合同过程中应遵守本单位的所有规章制度。</w:t>
      </w:r>
    </w:p>
    <w:p w14:paraId="7D79E51E">
      <w:pPr>
        <w:autoSpaceDE w:val="0"/>
        <w:autoSpaceDN w:val="0"/>
        <w:adjustRightInd w:val="0"/>
        <w:spacing w:line="360" w:lineRule="auto"/>
        <w:ind w:firstLine="420" w:firstLineChars="200"/>
        <w:jc w:val="left"/>
        <w:rPr>
          <w:rFonts w:ascii="宋体" w:hAnsi="宋体" w:cs="宋体"/>
          <w:bCs/>
          <w:color w:val="auto"/>
          <w:highlight w:val="none"/>
          <w:u w:val="single"/>
        </w:rPr>
      </w:pPr>
      <w:r>
        <w:rPr>
          <w:rFonts w:ascii="宋体" w:hAnsi="宋体" w:cs="宋体"/>
          <w:bCs/>
          <w:color w:val="auto"/>
          <w:highlight w:val="none"/>
          <w:u w:val="single"/>
        </w:rPr>
        <w:t>20.3.</w:t>
      </w:r>
      <w:r>
        <w:rPr>
          <w:rFonts w:hint="eastAsia" w:ascii="宋体" w:hAnsi="宋体" w:cs="宋体"/>
          <w:bCs/>
          <w:color w:val="auto"/>
          <w:highlight w:val="none"/>
          <w:u w:val="single"/>
        </w:rPr>
        <w:t>19参考招标控制价编制依据，承包人不得以招标控制价中可能存在的不合理或错误作为借口而要求签证或索赔。若结算时发现承包人有明显的不平衡报价（如：子目中个别材料、人工、机械费低于市场询价的80%），发包人可自行按有利发包人利益的调整，无须承包人确认。</w:t>
      </w:r>
    </w:p>
    <w:p w14:paraId="4857B220">
      <w:pPr>
        <w:autoSpaceDE w:val="0"/>
        <w:autoSpaceDN w:val="0"/>
        <w:adjustRightInd w:val="0"/>
        <w:spacing w:line="360" w:lineRule="auto"/>
        <w:ind w:firstLine="422" w:firstLineChars="200"/>
        <w:jc w:val="left"/>
        <w:rPr>
          <w:rFonts w:ascii="宋体" w:hAnsi="宋体"/>
          <w:b/>
          <w:bCs/>
          <w:color w:val="auto"/>
          <w:szCs w:val="21"/>
          <w:highlight w:val="none"/>
          <w:u w:val="single"/>
        </w:rPr>
      </w:pPr>
      <w:r>
        <w:rPr>
          <w:rFonts w:ascii="宋体" w:hAnsi="宋体"/>
          <w:b/>
          <w:bCs/>
          <w:color w:val="auto"/>
          <w:szCs w:val="21"/>
          <w:highlight w:val="none"/>
          <w:u w:val="single"/>
        </w:rPr>
        <w:t>20.3.</w:t>
      </w:r>
      <w:r>
        <w:rPr>
          <w:rFonts w:hint="eastAsia" w:ascii="宋体" w:hAnsi="宋体"/>
          <w:b/>
          <w:bCs/>
          <w:color w:val="auto"/>
          <w:szCs w:val="21"/>
          <w:highlight w:val="none"/>
          <w:u w:val="single"/>
        </w:rPr>
        <w:t>20赶工费、按质论价费、二次搬运费、特殊条件下施工增加费、冬雨季施工增加费、夜间施工增加费、临时设施费、已完工程及设备保护费等总价措施项目费由各投标人自行报价，一次性包定，结算时一律不作调整。如有已完工程及设备损坏，应按照不低于原设计标准恢复，费用列入报价。</w:t>
      </w:r>
    </w:p>
    <w:p w14:paraId="675943C6">
      <w:pPr>
        <w:autoSpaceDE w:val="0"/>
        <w:autoSpaceDN w:val="0"/>
        <w:adjustRightInd w:val="0"/>
        <w:spacing w:line="360" w:lineRule="auto"/>
        <w:ind w:firstLine="420" w:firstLineChars="200"/>
        <w:jc w:val="left"/>
        <w:rPr>
          <w:rFonts w:ascii="宋体" w:hAnsi="宋体" w:cs="宋体"/>
          <w:bCs/>
          <w:color w:val="auto"/>
          <w:highlight w:val="none"/>
          <w:u w:val="single"/>
        </w:rPr>
      </w:pPr>
      <w:r>
        <w:rPr>
          <w:rFonts w:ascii="宋体" w:hAnsi="宋体" w:cs="宋体"/>
          <w:bCs/>
          <w:color w:val="auto"/>
          <w:highlight w:val="none"/>
          <w:u w:val="single"/>
        </w:rPr>
        <w:t>20.3.</w:t>
      </w:r>
      <w:r>
        <w:rPr>
          <w:rFonts w:hint="eastAsia" w:ascii="宋体" w:hAnsi="宋体" w:cs="宋体"/>
          <w:bCs/>
          <w:color w:val="auto"/>
          <w:highlight w:val="none"/>
          <w:u w:val="single"/>
        </w:rPr>
        <w:t>21承包人中标后应根据国家、省、市、工程所在地政府及相关部门的规定缴纳有关费用，该费用已包含在合同价中，发包人不另行给付，费用缴纳的标准承包人可向有关部门查询。</w:t>
      </w:r>
    </w:p>
    <w:p w14:paraId="6689EE13">
      <w:pPr>
        <w:autoSpaceDE w:val="0"/>
        <w:autoSpaceDN w:val="0"/>
        <w:adjustRightInd w:val="0"/>
        <w:spacing w:line="360" w:lineRule="auto"/>
        <w:ind w:firstLine="422" w:firstLineChars="200"/>
        <w:jc w:val="left"/>
        <w:rPr>
          <w:rFonts w:ascii="宋体" w:hAnsi="宋体" w:cs="宋体"/>
          <w:bCs/>
          <w:color w:val="auto"/>
          <w:highlight w:val="none"/>
          <w:u w:val="single"/>
        </w:rPr>
      </w:pPr>
      <w:r>
        <w:rPr>
          <w:rFonts w:ascii="宋体" w:hAnsi="宋体"/>
          <w:b/>
          <w:bCs/>
          <w:color w:val="auto"/>
          <w:szCs w:val="21"/>
          <w:highlight w:val="none"/>
          <w:u w:val="single"/>
        </w:rPr>
        <w:t>20.3.</w:t>
      </w:r>
      <w:r>
        <w:rPr>
          <w:rFonts w:hint="eastAsia" w:ascii="宋体" w:hAnsi="宋体"/>
          <w:b/>
          <w:bCs/>
          <w:color w:val="auto"/>
          <w:szCs w:val="21"/>
          <w:highlight w:val="none"/>
          <w:u w:val="single"/>
        </w:rPr>
        <w:t>22承包人在施工过程中必须收集齐全所有隐蔽项目（包含但不限于土方开挖外运、拆除、基层垫层面层的铺设及厚度测量、降水、回填处理、管道开挖安放、井开挖砌筑抹灰等）的施工全过程影响视频资料以供后期审计使用，在送审结算资料中必须一并提交。所有签证资料必须附有详细影像彩色照片，所摄照片必须有可参照性。如隐蔽项目影像资料未能反映签证、清单及其他结算资料列明的工作内容，则结算时该项内容不予认可。</w:t>
      </w:r>
    </w:p>
    <w:p w14:paraId="547F455D">
      <w:pPr>
        <w:autoSpaceDE w:val="0"/>
        <w:autoSpaceDN w:val="0"/>
        <w:adjustRightInd w:val="0"/>
        <w:spacing w:line="360" w:lineRule="auto"/>
        <w:ind w:firstLine="420" w:firstLineChars="200"/>
        <w:jc w:val="left"/>
        <w:rPr>
          <w:rFonts w:ascii="宋体" w:hAnsi="宋体" w:cs="宋体"/>
          <w:bCs/>
          <w:color w:val="auto"/>
          <w:highlight w:val="none"/>
          <w:u w:val="single"/>
        </w:rPr>
      </w:pPr>
      <w:r>
        <w:rPr>
          <w:rFonts w:ascii="宋体" w:hAnsi="宋体" w:cs="宋体"/>
          <w:bCs/>
          <w:color w:val="auto"/>
          <w:highlight w:val="none"/>
          <w:u w:val="single"/>
        </w:rPr>
        <w:t>20.3.</w:t>
      </w:r>
      <w:r>
        <w:rPr>
          <w:rFonts w:hint="eastAsia" w:ascii="宋体" w:hAnsi="宋体" w:cs="宋体"/>
          <w:bCs/>
          <w:color w:val="auto"/>
          <w:highlight w:val="none"/>
          <w:u w:val="single"/>
        </w:rPr>
        <w:t>23承包人已充分考虑开工时间、季节、气候问题对投标报价时的影响，中标后，不得提出额外增加费用的要求。</w:t>
      </w:r>
    </w:p>
    <w:p w14:paraId="3194E14B">
      <w:pPr>
        <w:autoSpaceDE w:val="0"/>
        <w:autoSpaceDN w:val="0"/>
        <w:adjustRightInd w:val="0"/>
        <w:spacing w:line="360" w:lineRule="auto"/>
        <w:ind w:firstLine="420" w:firstLineChars="200"/>
        <w:jc w:val="left"/>
        <w:rPr>
          <w:rFonts w:ascii="宋体" w:hAnsi="宋体" w:cs="宋体"/>
          <w:bCs/>
          <w:color w:val="auto"/>
          <w:highlight w:val="none"/>
          <w:u w:val="single"/>
        </w:rPr>
      </w:pPr>
      <w:r>
        <w:rPr>
          <w:rFonts w:ascii="宋体" w:hAnsi="宋体" w:cs="宋体"/>
          <w:bCs/>
          <w:color w:val="auto"/>
          <w:highlight w:val="none"/>
          <w:u w:val="single"/>
        </w:rPr>
        <w:t>20.3.</w:t>
      </w:r>
      <w:r>
        <w:rPr>
          <w:rFonts w:hint="eastAsia" w:ascii="宋体" w:hAnsi="宋体" w:cs="宋体"/>
          <w:bCs/>
          <w:color w:val="auto"/>
          <w:highlight w:val="none"/>
          <w:u w:val="single"/>
        </w:rPr>
        <w:t>24承包人承诺：①对施工过程中遇到的、征地拆迁以外的其他所有前期问题，均由承包人自行解决，费用已包含在承包人的投标总价中；②因施工需要，需临时租用土地的，由承包人自行解决，费用已包含在承包人的投标总价中</w:t>
      </w:r>
      <w:r>
        <w:rPr>
          <w:rFonts w:hint="eastAsia" w:ascii="宋体" w:hAnsi="宋体" w:cs="宋体"/>
          <w:bCs/>
          <w:i/>
          <w:color w:val="auto"/>
          <w:highlight w:val="none"/>
          <w:u w:val="single"/>
        </w:rPr>
        <w:t>。</w:t>
      </w:r>
    </w:p>
    <w:p w14:paraId="3793D24A">
      <w:pPr>
        <w:spacing w:line="360" w:lineRule="auto"/>
        <w:ind w:firstLine="420" w:firstLineChars="200"/>
        <w:rPr>
          <w:rFonts w:ascii="宋体" w:hAnsi="宋体" w:cs="宋体"/>
          <w:bCs/>
          <w:color w:val="auto"/>
          <w:highlight w:val="none"/>
          <w:u w:val="single"/>
        </w:rPr>
      </w:pPr>
      <w:r>
        <w:rPr>
          <w:rFonts w:ascii="宋体" w:hAnsi="宋体" w:cs="宋体"/>
          <w:bCs/>
          <w:color w:val="auto"/>
          <w:highlight w:val="none"/>
          <w:u w:val="single"/>
        </w:rPr>
        <w:t>20.3.</w:t>
      </w:r>
      <w:r>
        <w:rPr>
          <w:rFonts w:hint="eastAsia" w:ascii="宋体" w:hAnsi="宋体" w:cs="宋体"/>
          <w:bCs/>
          <w:color w:val="auto"/>
          <w:highlight w:val="none"/>
          <w:u w:val="single"/>
        </w:rPr>
        <w:t>25由于承包人原因而引起的监理人所增加的额外工作报酬和附加工作报酬,由发包人从承包人应得的工程款中扣下支付给监理人。</w:t>
      </w:r>
    </w:p>
    <w:p w14:paraId="3CF724C5">
      <w:pPr>
        <w:spacing w:line="360" w:lineRule="auto"/>
        <w:ind w:firstLine="420" w:firstLineChars="200"/>
        <w:rPr>
          <w:rFonts w:ascii="宋体" w:hAnsi="宋体" w:cs="宋体"/>
          <w:color w:val="auto"/>
          <w:highlight w:val="none"/>
          <w:u w:val="single"/>
        </w:rPr>
      </w:pPr>
      <w:r>
        <w:rPr>
          <w:rFonts w:ascii="宋体" w:hAnsi="宋体" w:cs="宋体"/>
          <w:bCs/>
          <w:color w:val="auto"/>
          <w:highlight w:val="none"/>
          <w:u w:val="single"/>
        </w:rPr>
        <w:t>20.3.</w:t>
      </w:r>
      <w:r>
        <w:rPr>
          <w:rFonts w:hint="eastAsia" w:ascii="宋体" w:hAnsi="宋体" w:cs="宋体"/>
          <w:bCs/>
          <w:color w:val="auto"/>
          <w:highlight w:val="none"/>
          <w:u w:val="single"/>
        </w:rPr>
        <w:t>26</w:t>
      </w:r>
      <w:r>
        <w:rPr>
          <w:rFonts w:hint="eastAsia" w:ascii="宋体" w:hAnsi="宋体" w:cs="宋体"/>
          <w:color w:val="auto"/>
          <w:highlight w:val="none"/>
          <w:u w:val="single"/>
        </w:rPr>
        <w:t>所有违约金需在一周内缴清，如拒不缴纳，情节恶劣，发包人有权解除合同，没收承包人履约保证金，并要求承包人退场，承包人接到退场通知后应立即无条件退场，并同意发包人按已验收合格工程量的60%的工程价款结算。</w:t>
      </w:r>
    </w:p>
    <w:p w14:paraId="79051DCD">
      <w:pPr>
        <w:widowControl/>
        <w:tabs>
          <w:tab w:val="left" w:pos="0"/>
          <w:tab w:val="left" w:pos="993"/>
          <w:tab w:val="left" w:pos="1134"/>
        </w:tabs>
        <w:adjustRightInd w:val="0"/>
        <w:snapToGrid w:val="0"/>
        <w:spacing w:line="360" w:lineRule="auto"/>
        <w:ind w:firstLine="420" w:firstLineChars="200"/>
        <w:jc w:val="left"/>
        <w:rPr>
          <w:rFonts w:ascii="宋体" w:hAnsi="宋体" w:cs="宋体"/>
          <w:b/>
          <w:color w:val="auto"/>
          <w:szCs w:val="21"/>
          <w:highlight w:val="none"/>
        </w:rPr>
      </w:pPr>
      <w:r>
        <w:rPr>
          <w:rFonts w:ascii="宋体" w:hAnsi="宋体" w:cs="宋体"/>
          <w:bCs/>
          <w:color w:val="auto"/>
          <w:highlight w:val="none"/>
          <w:u w:val="single"/>
        </w:rPr>
        <w:t>20.3.</w:t>
      </w:r>
      <w:r>
        <w:rPr>
          <w:rFonts w:hint="eastAsia" w:ascii="宋体" w:hAnsi="宋体" w:cs="宋体"/>
          <w:color w:val="auto"/>
          <w:highlight w:val="none"/>
          <w:u w:val="single"/>
        </w:rPr>
        <w:t>27</w:t>
      </w:r>
      <w:r>
        <w:rPr>
          <w:rFonts w:hint="eastAsia" w:ascii="宋体" w:hAnsi="宋体" w:cs="宋体"/>
          <w:b/>
          <w:color w:val="auto"/>
          <w:szCs w:val="21"/>
          <w:highlight w:val="none"/>
        </w:rPr>
        <w:t>招标文件约定的内容均作为本合同的附件。</w:t>
      </w:r>
    </w:p>
    <w:p w14:paraId="54552FB1">
      <w:pPr>
        <w:spacing w:line="360" w:lineRule="auto"/>
        <w:ind w:firstLine="420" w:firstLineChars="200"/>
        <w:rPr>
          <w:rFonts w:ascii="宋体" w:hAnsi="宋体" w:cs="宋体"/>
          <w:color w:val="auto"/>
          <w:highlight w:val="none"/>
          <w:u w:val="single"/>
        </w:rPr>
      </w:pPr>
    </w:p>
    <w:p w14:paraId="63137AA1">
      <w:pPr>
        <w:rPr>
          <w:rFonts w:ascii="宋体" w:hAnsi="宋体" w:cs="宋体"/>
          <w:color w:val="auto"/>
          <w:highlight w:val="none"/>
          <w:lang w:val="zh-CN"/>
        </w:rPr>
      </w:pPr>
      <w:r>
        <w:rPr>
          <w:rFonts w:hint="eastAsia" w:ascii="宋体" w:hAnsi="宋体" w:cs="宋体"/>
          <w:color w:val="auto"/>
          <w:highlight w:val="none"/>
          <w:lang w:val="zh-CN"/>
        </w:rPr>
        <w:br w:type="page"/>
      </w:r>
    </w:p>
    <w:p w14:paraId="7D5470D0">
      <w:pPr>
        <w:pStyle w:val="3"/>
        <w:rPr>
          <w:rFonts w:ascii="宋体" w:hAnsi="宋体" w:cs="宋体"/>
          <w:b w:val="0"/>
          <w:bCs w:val="0"/>
          <w:color w:val="auto"/>
          <w:highlight w:val="none"/>
          <w:lang w:val="zh-CN"/>
        </w:rPr>
      </w:pPr>
      <w:r>
        <w:rPr>
          <w:rFonts w:hint="eastAsia" w:ascii="宋体" w:hAnsi="宋体" w:cs="宋体"/>
          <w:b w:val="0"/>
          <w:bCs w:val="0"/>
          <w:color w:val="auto"/>
          <w:highlight w:val="none"/>
          <w:lang w:val="zh-CN"/>
        </w:rPr>
        <w:t>附件</w:t>
      </w:r>
    </w:p>
    <w:p w14:paraId="2B78E535">
      <w:pPr>
        <w:autoSpaceDE w:val="0"/>
        <w:autoSpaceDN w:val="0"/>
        <w:adjustRightInd w:val="0"/>
        <w:spacing w:line="360" w:lineRule="auto"/>
        <w:ind w:firstLine="420" w:firstLineChars="200"/>
        <w:jc w:val="left"/>
        <w:rPr>
          <w:rFonts w:ascii="宋体" w:hAnsi="宋体" w:cs="宋体"/>
          <w:color w:val="auto"/>
          <w:highlight w:val="none"/>
          <w:lang w:val="zh-CN"/>
        </w:rPr>
      </w:pPr>
      <w:r>
        <w:rPr>
          <w:rFonts w:hint="eastAsia" w:ascii="宋体" w:hAnsi="宋体" w:cs="宋体"/>
          <w:color w:val="auto"/>
          <w:highlight w:val="none"/>
          <w:lang w:val="zh-CN"/>
        </w:rPr>
        <w:t>协议书附件：</w:t>
      </w:r>
    </w:p>
    <w:p w14:paraId="57FDEFA7">
      <w:pPr>
        <w:autoSpaceDE w:val="0"/>
        <w:autoSpaceDN w:val="0"/>
        <w:adjustRightInd w:val="0"/>
        <w:spacing w:line="360" w:lineRule="auto"/>
        <w:ind w:firstLine="420" w:firstLineChars="200"/>
        <w:jc w:val="left"/>
        <w:rPr>
          <w:rFonts w:ascii="宋体" w:hAnsi="宋体" w:cs="宋体"/>
          <w:color w:val="auto"/>
          <w:highlight w:val="none"/>
          <w:lang w:val="zh-CN"/>
        </w:rPr>
      </w:pPr>
      <w:r>
        <w:rPr>
          <w:rFonts w:hint="eastAsia" w:ascii="宋体" w:hAnsi="宋体" w:cs="宋体"/>
          <w:color w:val="auto"/>
          <w:highlight w:val="none"/>
          <w:lang w:val="zh-CN"/>
        </w:rPr>
        <w:t>附件1：承包人承揽工程项目一览表</w:t>
      </w:r>
    </w:p>
    <w:p w14:paraId="43DFCBDC">
      <w:pPr>
        <w:autoSpaceDE w:val="0"/>
        <w:autoSpaceDN w:val="0"/>
        <w:adjustRightInd w:val="0"/>
        <w:spacing w:line="360" w:lineRule="auto"/>
        <w:ind w:firstLine="420" w:firstLineChars="200"/>
        <w:jc w:val="left"/>
        <w:rPr>
          <w:rFonts w:ascii="宋体" w:hAnsi="宋体" w:cs="宋体"/>
          <w:color w:val="auto"/>
          <w:highlight w:val="none"/>
          <w:lang w:val="zh-CN"/>
        </w:rPr>
      </w:pPr>
      <w:r>
        <w:rPr>
          <w:rFonts w:hint="eastAsia" w:ascii="宋体" w:hAnsi="宋体" w:cs="宋体"/>
          <w:color w:val="auto"/>
          <w:highlight w:val="none"/>
          <w:lang w:val="zh-CN"/>
        </w:rPr>
        <w:t>专用合同条款附件：</w:t>
      </w:r>
    </w:p>
    <w:p w14:paraId="7B9C89DD">
      <w:pPr>
        <w:autoSpaceDE w:val="0"/>
        <w:autoSpaceDN w:val="0"/>
        <w:adjustRightInd w:val="0"/>
        <w:spacing w:line="360" w:lineRule="auto"/>
        <w:ind w:firstLine="420" w:firstLineChars="200"/>
        <w:jc w:val="left"/>
        <w:rPr>
          <w:rFonts w:ascii="宋体" w:hAnsi="宋体" w:cs="宋体"/>
          <w:color w:val="auto"/>
          <w:highlight w:val="none"/>
          <w:lang w:val="zh-CN"/>
        </w:rPr>
      </w:pPr>
      <w:r>
        <w:rPr>
          <w:rFonts w:hint="eastAsia" w:ascii="宋体" w:hAnsi="宋体" w:cs="宋体"/>
          <w:color w:val="auto"/>
          <w:highlight w:val="none"/>
          <w:lang w:val="zh-CN"/>
        </w:rPr>
        <w:t>附件</w:t>
      </w:r>
      <w:r>
        <w:rPr>
          <w:rFonts w:hint="eastAsia" w:ascii="宋体" w:hAnsi="宋体" w:cs="宋体"/>
          <w:color w:val="auto"/>
          <w:highlight w:val="none"/>
        </w:rPr>
        <w:t>2</w:t>
      </w:r>
      <w:r>
        <w:rPr>
          <w:rFonts w:hint="eastAsia" w:ascii="宋体" w:hAnsi="宋体" w:cs="宋体"/>
          <w:color w:val="auto"/>
          <w:highlight w:val="none"/>
          <w:lang w:val="zh-CN"/>
        </w:rPr>
        <w:t>：主要建设工程文件目录</w:t>
      </w:r>
    </w:p>
    <w:p w14:paraId="3F61E669">
      <w:pPr>
        <w:autoSpaceDE w:val="0"/>
        <w:autoSpaceDN w:val="0"/>
        <w:adjustRightInd w:val="0"/>
        <w:spacing w:line="360" w:lineRule="auto"/>
        <w:ind w:firstLine="420" w:firstLineChars="200"/>
        <w:jc w:val="left"/>
        <w:rPr>
          <w:rFonts w:ascii="宋体" w:hAnsi="宋体" w:cs="宋体"/>
          <w:color w:val="auto"/>
          <w:highlight w:val="none"/>
          <w:lang w:val="zh-CN"/>
        </w:rPr>
      </w:pPr>
      <w:r>
        <w:rPr>
          <w:rFonts w:hint="eastAsia" w:ascii="宋体" w:hAnsi="宋体" w:cs="宋体"/>
          <w:color w:val="auto"/>
          <w:highlight w:val="none"/>
          <w:lang w:val="zh-CN"/>
        </w:rPr>
        <w:t>附件</w:t>
      </w:r>
      <w:r>
        <w:rPr>
          <w:rFonts w:hint="eastAsia" w:ascii="宋体" w:hAnsi="宋体" w:cs="宋体"/>
          <w:color w:val="auto"/>
          <w:highlight w:val="none"/>
        </w:rPr>
        <w:t>3</w:t>
      </w:r>
      <w:r>
        <w:rPr>
          <w:rFonts w:hint="eastAsia" w:ascii="宋体" w:hAnsi="宋体" w:cs="宋体"/>
          <w:color w:val="auto"/>
          <w:highlight w:val="none"/>
          <w:lang w:val="zh-CN"/>
        </w:rPr>
        <w:t>：承包人用于本工程施工的机械设备表</w:t>
      </w:r>
    </w:p>
    <w:p w14:paraId="29D11F31">
      <w:pPr>
        <w:autoSpaceDE w:val="0"/>
        <w:autoSpaceDN w:val="0"/>
        <w:adjustRightInd w:val="0"/>
        <w:spacing w:line="360" w:lineRule="auto"/>
        <w:ind w:firstLine="420" w:firstLineChars="200"/>
        <w:jc w:val="left"/>
        <w:rPr>
          <w:rFonts w:ascii="宋体" w:hAnsi="宋体" w:cs="宋体"/>
          <w:color w:val="auto"/>
          <w:highlight w:val="none"/>
          <w:lang w:val="zh-CN"/>
        </w:rPr>
      </w:pPr>
      <w:r>
        <w:rPr>
          <w:rFonts w:hint="eastAsia" w:ascii="宋体" w:hAnsi="宋体" w:cs="宋体"/>
          <w:color w:val="auto"/>
          <w:highlight w:val="none"/>
          <w:lang w:val="zh-CN"/>
        </w:rPr>
        <w:t>附件</w:t>
      </w:r>
      <w:r>
        <w:rPr>
          <w:rFonts w:hint="eastAsia" w:ascii="宋体" w:hAnsi="宋体" w:cs="宋体"/>
          <w:color w:val="auto"/>
          <w:highlight w:val="none"/>
        </w:rPr>
        <w:t>4</w:t>
      </w:r>
      <w:r>
        <w:rPr>
          <w:rFonts w:hint="eastAsia" w:ascii="宋体" w:hAnsi="宋体" w:cs="宋体"/>
          <w:color w:val="auto"/>
          <w:highlight w:val="none"/>
          <w:lang w:val="zh-CN"/>
        </w:rPr>
        <w:t>：承包人主要施工管理人员表</w:t>
      </w:r>
    </w:p>
    <w:p w14:paraId="56A6547F">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附件5：廉政合同</w:t>
      </w:r>
    </w:p>
    <w:p w14:paraId="460460BB">
      <w:pPr>
        <w:autoSpaceDE w:val="0"/>
        <w:autoSpaceDN w:val="0"/>
        <w:adjustRightInd w:val="0"/>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附件6：农民工资保证承诺书</w:t>
      </w:r>
    </w:p>
    <w:p w14:paraId="30FFC28C">
      <w:pPr>
        <w:autoSpaceDE w:val="0"/>
        <w:autoSpaceDN w:val="0"/>
        <w:adjustRightInd w:val="0"/>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附件7：安全生产协议书</w:t>
      </w:r>
    </w:p>
    <w:p w14:paraId="5ED73BD1">
      <w:pPr>
        <w:autoSpaceDE w:val="0"/>
        <w:autoSpaceDN w:val="0"/>
        <w:adjustRightInd w:val="0"/>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附件8：工程质量保修书</w:t>
      </w:r>
    </w:p>
    <w:p w14:paraId="021E9B4B">
      <w:pPr>
        <w:autoSpaceDE w:val="0"/>
        <w:autoSpaceDN w:val="0"/>
        <w:adjustRightInd w:val="0"/>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附件9： 2024年崇川区老旧小区改造智慧技防建设工程补充维保协议</w:t>
      </w:r>
    </w:p>
    <w:p w14:paraId="6B3841F8">
      <w:pPr>
        <w:autoSpaceDE w:val="0"/>
        <w:autoSpaceDN w:val="0"/>
        <w:adjustRightInd w:val="0"/>
        <w:spacing w:line="360" w:lineRule="auto"/>
        <w:ind w:firstLine="420" w:firstLineChars="200"/>
        <w:rPr>
          <w:rFonts w:ascii="宋体" w:hAnsi="宋体" w:cs="宋体"/>
          <w:color w:val="auto"/>
          <w:szCs w:val="21"/>
          <w:highlight w:val="none"/>
        </w:rPr>
      </w:pPr>
    </w:p>
    <w:p w14:paraId="6847AA00">
      <w:pPr>
        <w:rPr>
          <w:rFonts w:ascii="宋体" w:hAnsi="宋体"/>
          <w:color w:val="auto"/>
          <w:sz w:val="24"/>
          <w:highlight w:val="none"/>
        </w:rPr>
      </w:pPr>
      <w:r>
        <w:rPr>
          <w:rFonts w:hint="eastAsia" w:ascii="宋体" w:hAnsi="宋体"/>
          <w:color w:val="auto"/>
          <w:sz w:val="24"/>
          <w:highlight w:val="none"/>
        </w:rPr>
        <w:br w:type="page"/>
      </w:r>
    </w:p>
    <w:p w14:paraId="2051A9EE">
      <w:pPr>
        <w:pStyle w:val="4"/>
        <w:rPr>
          <w:rFonts w:ascii="宋体" w:hAnsi="宋体"/>
          <w:color w:val="auto"/>
          <w:sz w:val="24"/>
          <w:szCs w:val="24"/>
          <w:highlight w:val="none"/>
        </w:rPr>
      </w:pPr>
      <w:r>
        <w:rPr>
          <w:rFonts w:hint="eastAsia" w:ascii="宋体" w:hAnsi="宋体"/>
          <w:color w:val="auto"/>
          <w:sz w:val="24"/>
          <w:szCs w:val="24"/>
          <w:highlight w:val="none"/>
        </w:rPr>
        <w:t>附件1：</w:t>
      </w:r>
    </w:p>
    <w:p w14:paraId="77F0C076">
      <w:pPr>
        <w:spacing w:before="156" w:beforeLines="50" w:after="156" w:afterLines="50" w:line="360" w:lineRule="auto"/>
        <w:ind w:firstLine="643" w:firstLineChars="200"/>
        <w:jc w:val="center"/>
        <w:rPr>
          <w:rFonts w:ascii="宋体" w:hAnsi="宋体" w:cs="宋体"/>
          <w:b/>
          <w:color w:val="auto"/>
          <w:sz w:val="32"/>
          <w:szCs w:val="32"/>
          <w:highlight w:val="none"/>
        </w:rPr>
      </w:pPr>
      <w:r>
        <w:rPr>
          <w:rFonts w:hint="eastAsia" w:ascii="宋体" w:hAnsi="宋体" w:cs="宋体"/>
          <w:b/>
          <w:color w:val="auto"/>
          <w:sz w:val="32"/>
          <w:szCs w:val="32"/>
          <w:highlight w:val="none"/>
        </w:rPr>
        <w:t>承包人承揽工程项目一览表</w:t>
      </w:r>
    </w:p>
    <w:tbl>
      <w:tblPr>
        <w:tblStyle w:val="17"/>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098"/>
        <w:gridCol w:w="855"/>
        <w:gridCol w:w="1014"/>
        <w:gridCol w:w="685"/>
        <w:gridCol w:w="856"/>
        <w:gridCol w:w="988"/>
        <w:gridCol w:w="1002"/>
        <w:gridCol w:w="907"/>
        <w:gridCol w:w="856"/>
        <w:gridCol w:w="856"/>
      </w:tblGrid>
      <w:tr w14:paraId="6084AF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jc w:val="center"/>
        </w:trPr>
        <w:tc>
          <w:tcPr>
            <w:tcW w:w="1098" w:type="dxa"/>
            <w:vAlign w:val="center"/>
          </w:tcPr>
          <w:p w14:paraId="6A146720">
            <w:pPr>
              <w:spacing w:line="360" w:lineRule="auto"/>
              <w:rPr>
                <w:rFonts w:ascii="宋体" w:hAnsi="宋体" w:cs="宋体"/>
                <w:color w:val="auto"/>
                <w:szCs w:val="21"/>
                <w:highlight w:val="none"/>
              </w:rPr>
            </w:pPr>
            <w:r>
              <w:rPr>
                <w:rFonts w:hint="eastAsia" w:ascii="宋体" w:hAnsi="宋体" w:cs="宋体"/>
                <w:color w:val="auto"/>
                <w:szCs w:val="21"/>
                <w:highlight w:val="none"/>
              </w:rPr>
              <w:t>单位工程名称</w:t>
            </w:r>
          </w:p>
        </w:tc>
        <w:tc>
          <w:tcPr>
            <w:tcW w:w="855" w:type="dxa"/>
            <w:vAlign w:val="center"/>
          </w:tcPr>
          <w:p w14:paraId="2BC524FF">
            <w:pPr>
              <w:spacing w:line="360" w:lineRule="auto"/>
              <w:rPr>
                <w:rFonts w:ascii="宋体" w:hAnsi="宋体" w:cs="宋体"/>
                <w:color w:val="auto"/>
                <w:szCs w:val="21"/>
                <w:highlight w:val="none"/>
              </w:rPr>
            </w:pPr>
            <w:r>
              <w:rPr>
                <w:rFonts w:hint="eastAsia" w:ascii="宋体" w:hAnsi="宋体" w:cs="宋体"/>
                <w:color w:val="auto"/>
                <w:szCs w:val="21"/>
                <w:highlight w:val="none"/>
              </w:rPr>
              <w:t>建设规模</w:t>
            </w:r>
          </w:p>
        </w:tc>
        <w:tc>
          <w:tcPr>
            <w:tcW w:w="1014" w:type="dxa"/>
            <w:vAlign w:val="center"/>
          </w:tcPr>
          <w:p w14:paraId="45291378">
            <w:pPr>
              <w:spacing w:line="360" w:lineRule="auto"/>
              <w:rPr>
                <w:rFonts w:ascii="宋体" w:hAnsi="宋体" w:cs="宋体"/>
                <w:color w:val="auto"/>
                <w:szCs w:val="21"/>
                <w:highlight w:val="none"/>
              </w:rPr>
            </w:pPr>
            <w:r>
              <w:rPr>
                <w:rFonts w:hint="eastAsia" w:ascii="宋体" w:hAnsi="宋体" w:cs="宋体"/>
                <w:color w:val="auto"/>
                <w:szCs w:val="21"/>
                <w:highlight w:val="none"/>
              </w:rPr>
              <w:t>建筑面积(㎡)</w:t>
            </w:r>
          </w:p>
        </w:tc>
        <w:tc>
          <w:tcPr>
            <w:tcW w:w="685" w:type="dxa"/>
            <w:vAlign w:val="center"/>
          </w:tcPr>
          <w:p w14:paraId="53DCAB59">
            <w:pPr>
              <w:spacing w:line="360" w:lineRule="auto"/>
              <w:rPr>
                <w:rFonts w:ascii="宋体" w:hAnsi="宋体" w:cs="宋体"/>
                <w:color w:val="auto"/>
                <w:szCs w:val="21"/>
                <w:highlight w:val="none"/>
              </w:rPr>
            </w:pPr>
            <w:r>
              <w:rPr>
                <w:rFonts w:hint="eastAsia" w:ascii="宋体" w:hAnsi="宋体" w:cs="宋体"/>
                <w:color w:val="auto"/>
                <w:szCs w:val="21"/>
                <w:highlight w:val="none"/>
              </w:rPr>
              <w:t>结构形式</w:t>
            </w:r>
          </w:p>
        </w:tc>
        <w:tc>
          <w:tcPr>
            <w:tcW w:w="856" w:type="dxa"/>
            <w:vAlign w:val="center"/>
          </w:tcPr>
          <w:p w14:paraId="53A65D7B">
            <w:pPr>
              <w:spacing w:line="360" w:lineRule="auto"/>
              <w:rPr>
                <w:rFonts w:ascii="宋体" w:hAnsi="宋体" w:cs="宋体"/>
                <w:color w:val="auto"/>
                <w:szCs w:val="21"/>
                <w:highlight w:val="none"/>
              </w:rPr>
            </w:pPr>
            <w:r>
              <w:rPr>
                <w:rFonts w:hint="eastAsia" w:ascii="宋体" w:hAnsi="宋体" w:cs="宋体"/>
                <w:color w:val="auto"/>
                <w:szCs w:val="21"/>
                <w:highlight w:val="none"/>
              </w:rPr>
              <w:t>层数</w:t>
            </w:r>
          </w:p>
        </w:tc>
        <w:tc>
          <w:tcPr>
            <w:tcW w:w="988" w:type="dxa"/>
            <w:vAlign w:val="center"/>
          </w:tcPr>
          <w:p w14:paraId="305D23F5">
            <w:pPr>
              <w:spacing w:line="360" w:lineRule="auto"/>
              <w:rPr>
                <w:rFonts w:ascii="宋体" w:hAnsi="宋体" w:cs="宋体"/>
                <w:color w:val="auto"/>
                <w:szCs w:val="21"/>
                <w:highlight w:val="none"/>
              </w:rPr>
            </w:pPr>
            <w:r>
              <w:rPr>
                <w:rFonts w:hint="eastAsia" w:ascii="宋体" w:hAnsi="宋体" w:cs="宋体"/>
                <w:color w:val="auto"/>
                <w:szCs w:val="21"/>
                <w:highlight w:val="none"/>
              </w:rPr>
              <w:t>生产能力</w:t>
            </w:r>
          </w:p>
        </w:tc>
        <w:tc>
          <w:tcPr>
            <w:tcW w:w="1002" w:type="dxa"/>
            <w:vAlign w:val="center"/>
          </w:tcPr>
          <w:p w14:paraId="0039338B">
            <w:pPr>
              <w:spacing w:line="360" w:lineRule="auto"/>
              <w:rPr>
                <w:rFonts w:ascii="宋体" w:hAnsi="宋体" w:cs="宋体"/>
                <w:color w:val="auto"/>
                <w:szCs w:val="21"/>
                <w:highlight w:val="none"/>
              </w:rPr>
            </w:pPr>
            <w:r>
              <w:rPr>
                <w:rFonts w:hint="eastAsia" w:ascii="宋体" w:hAnsi="宋体" w:cs="宋体"/>
                <w:color w:val="auto"/>
                <w:szCs w:val="21"/>
                <w:highlight w:val="none"/>
              </w:rPr>
              <w:t>设备安装内容</w:t>
            </w:r>
          </w:p>
        </w:tc>
        <w:tc>
          <w:tcPr>
            <w:tcW w:w="907" w:type="dxa"/>
            <w:vAlign w:val="center"/>
          </w:tcPr>
          <w:p w14:paraId="2D7AFE30">
            <w:pPr>
              <w:spacing w:line="360" w:lineRule="auto"/>
              <w:rPr>
                <w:rFonts w:ascii="宋体" w:hAnsi="宋体" w:cs="宋体"/>
                <w:color w:val="auto"/>
                <w:szCs w:val="21"/>
                <w:highlight w:val="none"/>
              </w:rPr>
            </w:pPr>
            <w:r>
              <w:rPr>
                <w:rFonts w:hint="eastAsia" w:ascii="宋体" w:hAnsi="宋体" w:cs="宋体"/>
                <w:color w:val="auto"/>
                <w:szCs w:val="21"/>
                <w:highlight w:val="none"/>
              </w:rPr>
              <w:t>合同价（元）</w:t>
            </w:r>
          </w:p>
        </w:tc>
        <w:tc>
          <w:tcPr>
            <w:tcW w:w="856" w:type="dxa"/>
            <w:vAlign w:val="center"/>
          </w:tcPr>
          <w:p w14:paraId="62765519">
            <w:pPr>
              <w:spacing w:line="360" w:lineRule="auto"/>
              <w:rPr>
                <w:rFonts w:ascii="宋体" w:hAnsi="宋体" w:cs="宋体"/>
                <w:color w:val="auto"/>
                <w:szCs w:val="21"/>
                <w:highlight w:val="none"/>
              </w:rPr>
            </w:pPr>
            <w:r>
              <w:rPr>
                <w:rFonts w:hint="eastAsia" w:ascii="宋体" w:hAnsi="宋体" w:cs="宋体"/>
                <w:color w:val="auto"/>
                <w:szCs w:val="21"/>
                <w:highlight w:val="none"/>
              </w:rPr>
              <w:t>开工日期</w:t>
            </w:r>
          </w:p>
        </w:tc>
        <w:tc>
          <w:tcPr>
            <w:tcW w:w="856" w:type="dxa"/>
            <w:vAlign w:val="center"/>
          </w:tcPr>
          <w:p w14:paraId="70AB8A41">
            <w:pPr>
              <w:spacing w:line="360" w:lineRule="auto"/>
              <w:rPr>
                <w:rFonts w:ascii="宋体" w:hAnsi="宋体" w:cs="宋体"/>
                <w:color w:val="auto"/>
                <w:szCs w:val="21"/>
                <w:highlight w:val="none"/>
              </w:rPr>
            </w:pPr>
            <w:r>
              <w:rPr>
                <w:rFonts w:hint="eastAsia" w:ascii="宋体" w:hAnsi="宋体" w:cs="宋体"/>
                <w:color w:val="auto"/>
                <w:szCs w:val="21"/>
                <w:highlight w:val="none"/>
              </w:rPr>
              <w:t>竣工</w:t>
            </w:r>
          </w:p>
          <w:p w14:paraId="7FE3C836">
            <w:pPr>
              <w:spacing w:line="360" w:lineRule="auto"/>
              <w:rPr>
                <w:rFonts w:ascii="宋体" w:hAnsi="宋体" w:cs="宋体"/>
                <w:color w:val="auto"/>
                <w:szCs w:val="21"/>
                <w:highlight w:val="none"/>
              </w:rPr>
            </w:pPr>
            <w:r>
              <w:rPr>
                <w:rFonts w:hint="eastAsia" w:ascii="宋体" w:hAnsi="宋体" w:cs="宋体"/>
                <w:color w:val="auto"/>
                <w:szCs w:val="21"/>
                <w:highlight w:val="none"/>
              </w:rPr>
              <w:t>日期</w:t>
            </w:r>
          </w:p>
        </w:tc>
      </w:tr>
      <w:tr w14:paraId="6904CA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jc w:val="center"/>
        </w:trPr>
        <w:tc>
          <w:tcPr>
            <w:tcW w:w="1098" w:type="dxa"/>
          </w:tcPr>
          <w:p w14:paraId="5D47497C">
            <w:pPr>
              <w:spacing w:line="360" w:lineRule="auto"/>
              <w:ind w:firstLine="420" w:firstLineChars="200"/>
              <w:rPr>
                <w:rFonts w:ascii="宋体" w:hAnsi="宋体" w:cs="宋体"/>
                <w:color w:val="auto"/>
                <w:szCs w:val="21"/>
                <w:highlight w:val="none"/>
              </w:rPr>
            </w:pPr>
          </w:p>
        </w:tc>
        <w:tc>
          <w:tcPr>
            <w:tcW w:w="855" w:type="dxa"/>
          </w:tcPr>
          <w:p w14:paraId="12DB12AF">
            <w:pPr>
              <w:spacing w:line="360" w:lineRule="auto"/>
              <w:ind w:firstLine="420" w:firstLineChars="200"/>
              <w:rPr>
                <w:rFonts w:ascii="宋体" w:hAnsi="宋体" w:cs="宋体"/>
                <w:color w:val="auto"/>
                <w:szCs w:val="21"/>
                <w:highlight w:val="none"/>
              </w:rPr>
            </w:pPr>
          </w:p>
        </w:tc>
        <w:tc>
          <w:tcPr>
            <w:tcW w:w="1014" w:type="dxa"/>
          </w:tcPr>
          <w:p w14:paraId="796887FB">
            <w:pPr>
              <w:spacing w:line="360" w:lineRule="auto"/>
              <w:ind w:firstLine="420" w:firstLineChars="200"/>
              <w:rPr>
                <w:rFonts w:ascii="宋体" w:hAnsi="宋体" w:cs="宋体"/>
                <w:color w:val="auto"/>
                <w:szCs w:val="21"/>
                <w:highlight w:val="none"/>
              </w:rPr>
            </w:pPr>
          </w:p>
        </w:tc>
        <w:tc>
          <w:tcPr>
            <w:tcW w:w="685" w:type="dxa"/>
          </w:tcPr>
          <w:p w14:paraId="3A35A22B">
            <w:pPr>
              <w:spacing w:line="360" w:lineRule="auto"/>
              <w:ind w:firstLine="420" w:firstLineChars="200"/>
              <w:rPr>
                <w:rFonts w:ascii="宋体" w:hAnsi="宋体" w:cs="宋体"/>
                <w:color w:val="auto"/>
                <w:szCs w:val="21"/>
                <w:highlight w:val="none"/>
              </w:rPr>
            </w:pPr>
          </w:p>
        </w:tc>
        <w:tc>
          <w:tcPr>
            <w:tcW w:w="856" w:type="dxa"/>
          </w:tcPr>
          <w:p w14:paraId="369B1A5F">
            <w:pPr>
              <w:spacing w:line="360" w:lineRule="auto"/>
              <w:ind w:firstLine="420" w:firstLineChars="200"/>
              <w:rPr>
                <w:rFonts w:ascii="宋体" w:hAnsi="宋体" w:cs="宋体"/>
                <w:color w:val="auto"/>
                <w:szCs w:val="21"/>
                <w:highlight w:val="none"/>
              </w:rPr>
            </w:pPr>
          </w:p>
        </w:tc>
        <w:tc>
          <w:tcPr>
            <w:tcW w:w="988" w:type="dxa"/>
          </w:tcPr>
          <w:p w14:paraId="774F84AD">
            <w:pPr>
              <w:spacing w:line="360" w:lineRule="auto"/>
              <w:ind w:firstLine="420" w:firstLineChars="200"/>
              <w:rPr>
                <w:rFonts w:ascii="宋体" w:hAnsi="宋体" w:cs="宋体"/>
                <w:color w:val="auto"/>
                <w:szCs w:val="21"/>
                <w:highlight w:val="none"/>
              </w:rPr>
            </w:pPr>
          </w:p>
        </w:tc>
        <w:tc>
          <w:tcPr>
            <w:tcW w:w="1002" w:type="dxa"/>
          </w:tcPr>
          <w:p w14:paraId="40A1DCB4">
            <w:pPr>
              <w:spacing w:line="360" w:lineRule="auto"/>
              <w:ind w:firstLine="420" w:firstLineChars="200"/>
              <w:rPr>
                <w:rFonts w:ascii="宋体" w:hAnsi="宋体" w:cs="宋体"/>
                <w:color w:val="auto"/>
                <w:szCs w:val="21"/>
                <w:highlight w:val="none"/>
              </w:rPr>
            </w:pPr>
          </w:p>
        </w:tc>
        <w:tc>
          <w:tcPr>
            <w:tcW w:w="907" w:type="dxa"/>
          </w:tcPr>
          <w:p w14:paraId="1C9CC8F9">
            <w:pPr>
              <w:spacing w:line="360" w:lineRule="auto"/>
              <w:ind w:firstLine="420" w:firstLineChars="200"/>
              <w:rPr>
                <w:rFonts w:ascii="宋体" w:hAnsi="宋体" w:cs="宋体"/>
                <w:color w:val="auto"/>
                <w:szCs w:val="21"/>
                <w:highlight w:val="none"/>
              </w:rPr>
            </w:pPr>
          </w:p>
        </w:tc>
        <w:tc>
          <w:tcPr>
            <w:tcW w:w="856" w:type="dxa"/>
          </w:tcPr>
          <w:p w14:paraId="45D6BB4B">
            <w:pPr>
              <w:spacing w:line="360" w:lineRule="auto"/>
              <w:ind w:firstLine="420" w:firstLineChars="200"/>
              <w:rPr>
                <w:rFonts w:ascii="宋体" w:hAnsi="宋体" w:cs="宋体"/>
                <w:color w:val="auto"/>
                <w:szCs w:val="21"/>
                <w:highlight w:val="none"/>
              </w:rPr>
            </w:pPr>
          </w:p>
        </w:tc>
        <w:tc>
          <w:tcPr>
            <w:tcW w:w="856" w:type="dxa"/>
          </w:tcPr>
          <w:p w14:paraId="59DC06FC">
            <w:pPr>
              <w:spacing w:line="360" w:lineRule="auto"/>
              <w:ind w:firstLine="420" w:firstLineChars="200"/>
              <w:rPr>
                <w:rFonts w:ascii="宋体" w:hAnsi="宋体" w:cs="宋体"/>
                <w:color w:val="auto"/>
                <w:szCs w:val="21"/>
                <w:highlight w:val="none"/>
              </w:rPr>
            </w:pPr>
          </w:p>
        </w:tc>
      </w:tr>
      <w:tr w14:paraId="7120338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jc w:val="center"/>
        </w:trPr>
        <w:tc>
          <w:tcPr>
            <w:tcW w:w="1098" w:type="dxa"/>
          </w:tcPr>
          <w:p w14:paraId="77CA88D5">
            <w:pPr>
              <w:spacing w:line="360" w:lineRule="auto"/>
              <w:ind w:firstLine="420" w:firstLineChars="200"/>
              <w:rPr>
                <w:rFonts w:ascii="宋体" w:hAnsi="宋体" w:cs="宋体"/>
                <w:color w:val="auto"/>
                <w:szCs w:val="21"/>
                <w:highlight w:val="none"/>
              </w:rPr>
            </w:pPr>
          </w:p>
        </w:tc>
        <w:tc>
          <w:tcPr>
            <w:tcW w:w="855" w:type="dxa"/>
          </w:tcPr>
          <w:p w14:paraId="2FF04C77">
            <w:pPr>
              <w:spacing w:line="360" w:lineRule="auto"/>
              <w:ind w:firstLine="420" w:firstLineChars="200"/>
              <w:rPr>
                <w:rFonts w:ascii="宋体" w:hAnsi="宋体" w:cs="宋体"/>
                <w:color w:val="auto"/>
                <w:szCs w:val="21"/>
                <w:highlight w:val="none"/>
              </w:rPr>
            </w:pPr>
          </w:p>
        </w:tc>
        <w:tc>
          <w:tcPr>
            <w:tcW w:w="1014" w:type="dxa"/>
          </w:tcPr>
          <w:p w14:paraId="30B23917">
            <w:pPr>
              <w:spacing w:line="360" w:lineRule="auto"/>
              <w:ind w:firstLine="420" w:firstLineChars="200"/>
              <w:rPr>
                <w:rFonts w:ascii="宋体" w:hAnsi="宋体" w:cs="宋体"/>
                <w:color w:val="auto"/>
                <w:szCs w:val="21"/>
                <w:highlight w:val="none"/>
              </w:rPr>
            </w:pPr>
          </w:p>
        </w:tc>
        <w:tc>
          <w:tcPr>
            <w:tcW w:w="685" w:type="dxa"/>
          </w:tcPr>
          <w:p w14:paraId="4044E240">
            <w:pPr>
              <w:spacing w:line="360" w:lineRule="auto"/>
              <w:ind w:firstLine="420" w:firstLineChars="200"/>
              <w:rPr>
                <w:rFonts w:ascii="宋体" w:hAnsi="宋体" w:cs="宋体"/>
                <w:color w:val="auto"/>
                <w:szCs w:val="21"/>
                <w:highlight w:val="none"/>
              </w:rPr>
            </w:pPr>
          </w:p>
        </w:tc>
        <w:tc>
          <w:tcPr>
            <w:tcW w:w="856" w:type="dxa"/>
          </w:tcPr>
          <w:p w14:paraId="2DA88240">
            <w:pPr>
              <w:spacing w:line="360" w:lineRule="auto"/>
              <w:ind w:firstLine="420" w:firstLineChars="200"/>
              <w:rPr>
                <w:rFonts w:ascii="宋体" w:hAnsi="宋体" w:cs="宋体"/>
                <w:color w:val="auto"/>
                <w:szCs w:val="21"/>
                <w:highlight w:val="none"/>
              </w:rPr>
            </w:pPr>
          </w:p>
        </w:tc>
        <w:tc>
          <w:tcPr>
            <w:tcW w:w="988" w:type="dxa"/>
          </w:tcPr>
          <w:p w14:paraId="3499924A">
            <w:pPr>
              <w:spacing w:line="360" w:lineRule="auto"/>
              <w:ind w:firstLine="420" w:firstLineChars="200"/>
              <w:rPr>
                <w:rFonts w:ascii="宋体" w:hAnsi="宋体" w:cs="宋体"/>
                <w:color w:val="auto"/>
                <w:szCs w:val="21"/>
                <w:highlight w:val="none"/>
              </w:rPr>
            </w:pPr>
          </w:p>
        </w:tc>
        <w:tc>
          <w:tcPr>
            <w:tcW w:w="1002" w:type="dxa"/>
          </w:tcPr>
          <w:p w14:paraId="028DEDD7">
            <w:pPr>
              <w:spacing w:line="360" w:lineRule="auto"/>
              <w:ind w:firstLine="420" w:firstLineChars="200"/>
              <w:rPr>
                <w:rFonts w:ascii="宋体" w:hAnsi="宋体" w:cs="宋体"/>
                <w:color w:val="auto"/>
                <w:szCs w:val="21"/>
                <w:highlight w:val="none"/>
              </w:rPr>
            </w:pPr>
          </w:p>
        </w:tc>
        <w:tc>
          <w:tcPr>
            <w:tcW w:w="907" w:type="dxa"/>
          </w:tcPr>
          <w:p w14:paraId="19E9F320">
            <w:pPr>
              <w:spacing w:line="360" w:lineRule="auto"/>
              <w:ind w:firstLine="420" w:firstLineChars="200"/>
              <w:rPr>
                <w:rFonts w:ascii="宋体" w:hAnsi="宋体" w:cs="宋体"/>
                <w:color w:val="auto"/>
                <w:szCs w:val="21"/>
                <w:highlight w:val="none"/>
              </w:rPr>
            </w:pPr>
          </w:p>
        </w:tc>
        <w:tc>
          <w:tcPr>
            <w:tcW w:w="856" w:type="dxa"/>
          </w:tcPr>
          <w:p w14:paraId="3F20D7F0">
            <w:pPr>
              <w:spacing w:line="360" w:lineRule="auto"/>
              <w:ind w:firstLine="420" w:firstLineChars="200"/>
              <w:rPr>
                <w:rFonts w:ascii="宋体" w:hAnsi="宋体" w:cs="宋体"/>
                <w:color w:val="auto"/>
                <w:szCs w:val="21"/>
                <w:highlight w:val="none"/>
              </w:rPr>
            </w:pPr>
          </w:p>
        </w:tc>
        <w:tc>
          <w:tcPr>
            <w:tcW w:w="856" w:type="dxa"/>
          </w:tcPr>
          <w:p w14:paraId="6A08DD57">
            <w:pPr>
              <w:spacing w:line="360" w:lineRule="auto"/>
              <w:ind w:firstLine="420" w:firstLineChars="200"/>
              <w:rPr>
                <w:rFonts w:ascii="宋体" w:hAnsi="宋体" w:cs="宋体"/>
                <w:color w:val="auto"/>
                <w:szCs w:val="21"/>
                <w:highlight w:val="none"/>
              </w:rPr>
            </w:pPr>
          </w:p>
        </w:tc>
      </w:tr>
      <w:tr w14:paraId="7DCD31A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jc w:val="center"/>
        </w:trPr>
        <w:tc>
          <w:tcPr>
            <w:tcW w:w="1098" w:type="dxa"/>
          </w:tcPr>
          <w:p w14:paraId="7B66F6CC">
            <w:pPr>
              <w:spacing w:line="360" w:lineRule="auto"/>
              <w:ind w:firstLine="420" w:firstLineChars="200"/>
              <w:rPr>
                <w:rFonts w:ascii="宋体" w:hAnsi="宋体" w:cs="宋体"/>
                <w:color w:val="auto"/>
                <w:szCs w:val="21"/>
                <w:highlight w:val="none"/>
              </w:rPr>
            </w:pPr>
          </w:p>
        </w:tc>
        <w:tc>
          <w:tcPr>
            <w:tcW w:w="855" w:type="dxa"/>
          </w:tcPr>
          <w:p w14:paraId="3816E812">
            <w:pPr>
              <w:spacing w:line="360" w:lineRule="auto"/>
              <w:ind w:firstLine="420" w:firstLineChars="200"/>
              <w:rPr>
                <w:rFonts w:ascii="宋体" w:hAnsi="宋体" w:cs="宋体"/>
                <w:color w:val="auto"/>
                <w:szCs w:val="21"/>
                <w:highlight w:val="none"/>
              </w:rPr>
            </w:pPr>
          </w:p>
        </w:tc>
        <w:tc>
          <w:tcPr>
            <w:tcW w:w="1014" w:type="dxa"/>
          </w:tcPr>
          <w:p w14:paraId="61D1CD09">
            <w:pPr>
              <w:spacing w:line="360" w:lineRule="auto"/>
              <w:ind w:firstLine="420" w:firstLineChars="200"/>
              <w:rPr>
                <w:rFonts w:ascii="宋体" w:hAnsi="宋体" w:cs="宋体"/>
                <w:color w:val="auto"/>
                <w:szCs w:val="21"/>
                <w:highlight w:val="none"/>
              </w:rPr>
            </w:pPr>
          </w:p>
        </w:tc>
        <w:tc>
          <w:tcPr>
            <w:tcW w:w="685" w:type="dxa"/>
          </w:tcPr>
          <w:p w14:paraId="48B3AB95">
            <w:pPr>
              <w:spacing w:line="360" w:lineRule="auto"/>
              <w:ind w:firstLine="420" w:firstLineChars="200"/>
              <w:rPr>
                <w:rFonts w:ascii="宋体" w:hAnsi="宋体" w:cs="宋体"/>
                <w:color w:val="auto"/>
                <w:szCs w:val="21"/>
                <w:highlight w:val="none"/>
              </w:rPr>
            </w:pPr>
          </w:p>
        </w:tc>
        <w:tc>
          <w:tcPr>
            <w:tcW w:w="856" w:type="dxa"/>
          </w:tcPr>
          <w:p w14:paraId="2FCA60C0">
            <w:pPr>
              <w:spacing w:line="360" w:lineRule="auto"/>
              <w:ind w:firstLine="420" w:firstLineChars="200"/>
              <w:rPr>
                <w:rFonts w:ascii="宋体" w:hAnsi="宋体" w:cs="宋体"/>
                <w:color w:val="auto"/>
                <w:szCs w:val="21"/>
                <w:highlight w:val="none"/>
              </w:rPr>
            </w:pPr>
          </w:p>
        </w:tc>
        <w:tc>
          <w:tcPr>
            <w:tcW w:w="988" w:type="dxa"/>
          </w:tcPr>
          <w:p w14:paraId="01EE75A1">
            <w:pPr>
              <w:spacing w:line="360" w:lineRule="auto"/>
              <w:ind w:firstLine="420" w:firstLineChars="200"/>
              <w:rPr>
                <w:rFonts w:ascii="宋体" w:hAnsi="宋体" w:cs="宋体"/>
                <w:color w:val="auto"/>
                <w:szCs w:val="21"/>
                <w:highlight w:val="none"/>
              </w:rPr>
            </w:pPr>
          </w:p>
        </w:tc>
        <w:tc>
          <w:tcPr>
            <w:tcW w:w="1002" w:type="dxa"/>
          </w:tcPr>
          <w:p w14:paraId="342346BB">
            <w:pPr>
              <w:spacing w:line="360" w:lineRule="auto"/>
              <w:ind w:firstLine="420" w:firstLineChars="200"/>
              <w:rPr>
                <w:rFonts w:ascii="宋体" w:hAnsi="宋体" w:cs="宋体"/>
                <w:color w:val="auto"/>
                <w:szCs w:val="21"/>
                <w:highlight w:val="none"/>
              </w:rPr>
            </w:pPr>
          </w:p>
        </w:tc>
        <w:tc>
          <w:tcPr>
            <w:tcW w:w="907" w:type="dxa"/>
          </w:tcPr>
          <w:p w14:paraId="485D31FA">
            <w:pPr>
              <w:spacing w:line="360" w:lineRule="auto"/>
              <w:ind w:firstLine="420" w:firstLineChars="200"/>
              <w:rPr>
                <w:rFonts w:ascii="宋体" w:hAnsi="宋体" w:cs="宋体"/>
                <w:color w:val="auto"/>
                <w:szCs w:val="21"/>
                <w:highlight w:val="none"/>
              </w:rPr>
            </w:pPr>
          </w:p>
        </w:tc>
        <w:tc>
          <w:tcPr>
            <w:tcW w:w="856" w:type="dxa"/>
          </w:tcPr>
          <w:p w14:paraId="3A531D96">
            <w:pPr>
              <w:spacing w:line="360" w:lineRule="auto"/>
              <w:ind w:firstLine="420" w:firstLineChars="200"/>
              <w:rPr>
                <w:rFonts w:ascii="宋体" w:hAnsi="宋体" w:cs="宋体"/>
                <w:color w:val="auto"/>
                <w:szCs w:val="21"/>
                <w:highlight w:val="none"/>
              </w:rPr>
            </w:pPr>
          </w:p>
        </w:tc>
        <w:tc>
          <w:tcPr>
            <w:tcW w:w="856" w:type="dxa"/>
          </w:tcPr>
          <w:p w14:paraId="21A2CE33">
            <w:pPr>
              <w:spacing w:line="360" w:lineRule="auto"/>
              <w:ind w:firstLine="420" w:firstLineChars="200"/>
              <w:rPr>
                <w:rFonts w:ascii="宋体" w:hAnsi="宋体" w:cs="宋体"/>
                <w:color w:val="auto"/>
                <w:szCs w:val="21"/>
                <w:highlight w:val="none"/>
              </w:rPr>
            </w:pPr>
          </w:p>
        </w:tc>
      </w:tr>
      <w:tr w14:paraId="694179A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jc w:val="center"/>
        </w:trPr>
        <w:tc>
          <w:tcPr>
            <w:tcW w:w="1098" w:type="dxa"/>
          </w:tcPr>
          <w:p w14:paraId="43F787B3">
            <w:pPr>
              <w:spacing w:line="360" w:lineRule="auto"/>
              <w:ind w:firstLine="420" w:firstLineChars="200"/>
              <w:rPr>
                <w:rFonts w:ascii="宋体" w:hAnsi="宋体" w:cs="宋体"/>
                <w:color w:val="auto"/>
                <w:szCs w:val="21"/>
                <w:highlight w:val="none"/>
              </w:rPr>
            </w:pPr>
          </w:p>
        </w:tc>
        <w:tc>
          <w:tcPr>
            <w:tcW w:w="855" w:type="dxa"/>
          </w:tcPr>
          <w:p w14:paraId="0A1DAD61">
            <w:pPr>
              <w:spacing w:line="360" w:lineRule="auto"/>
              <w:ind w:firstLine="420" w:firstLineChars="200"/>
              <w:rPr>
                <w:rFonts w:ascii="宋体" w:hAnsi="宋体" w:cs="宋体"/>
                <w:color w:val="auto"/>
                <w:szCs w:val="21"/>
                <w:highlight w:val="none"/>
              </w:rPr>
            </w:pPr>
          </w:p>
        </w:tc>
        <w:tc>
          <w:tcPr>
            <w:tcW w:w="1014" w:type="dxa"/>
          </w:tcPr>
          <w:p w14:paraId="2F91236D">
            <w:pPr>
              <w:spacing w:line="360" w:lineRule="auto"/>
              <w:ind w:firstLine="420" w:firstLineChars="200"/>
              <w:rPr>
                <w:rFonts w:ascii="宋体" w:hAnsi="宋体" w:cs="宋体"/>
                <w:color w:val="auto"/>
                <w:szCs w:val="21"/>
                <w:highlight w:val="none"/>
              </w:rPr>
            </w:pPr>
          </w:p>
        </w:tc>
        <w:tc>
          <w:tcPr>
            <w:tcW w:w="685" w:type="dxa"/>
          </w:tcPr>
          <w:p w14:paraId="6E08E77C">
            <w:pPr>
              <w:spacing w:line="360" w:lineRule="auto"/>
              <w:ind w:firstLine="420" w:firstLineChars="200"/>
              <w:rPr>
                <w:rFonts w:ascii="宋体" w:hAnsi="宋体" w:cs="宋体"/>
                <w:color w:val="auto"/>
                <w:szCs w:val="21"/>
                <w:highlight w:val="none"/>
              </w:rPr>
            </w:pPr>
          </w:p>
        </w:tc>
        <w:tc>
          <w:tcPr>
            <w:tcW w:w="856" w:type="dxa"/>
          </w:tcPr>
          <w:p w14:paraId="66A5668C">
            <w:pPr>
              <w:spacing w:line="360" w:lineRule="auto"/>
              <w:ind w:firstLine="420" w:firstLineChars="200"/>
              <w:rPr>
                <w:rFonts w:ascii="宋体" w:hAnsi="宋体" w:cs="宋体"/>
                <w:color w:val="auto"/>
                <w:szCs w:val="21"/>
                <w:highlight w:val="none"/>
              </w:rPr>
            </w:pPr>
          </w:p>
        </w:tc>
        <w:tc>
          <w:tcPr>
            <w:tcW w:w="988" w:type="dxa"/>
          </w:tcPr>
          <w:p w14:paraId="725BF547">
            <w:pPr>
              <w:spacing w:line="360" w:lineRule="auto"/>
              <w:ind w:firstLine="420" w:firstLineChars="200"/>
              <w:rPr>
                <w:rFonts w:ascii="宋体" w:hAnsi="宋体" w:cs="宋体"/>
                <w:color w:val="auto"/>
                <w:szCs w:val="21"/>
                <w:highlight w:val="none"/>
              </w:rPr>
            </w:pPr>
          </w:p>
        </w:tc>
        <w:tc>
          <w:tcPr>
            <w:tcW w:w="1002" w:type="dxa"/>
          </w:tcPr>
          <w:p w14:paraId="4CDD9EA0">
            <w:pPr>
              <w:spacing w:line="360" w:lineRule="auto"/>
              <w:ind w:firstLine="420" w:firstLineChars="200"/>
              <w:rPr>
                <w:rFonts w:ascii="宋体" w:hAnsi="宋体" w:cs="宋体"/>
                <w:color w:val="auto"/>
                <w:szCs w:val="21"/>
                <w:highlight w:val="none"/>
              </w:rPr>
            </w:pPr>
          </w:p>
        </w:tc>
        <w:tc>
          <w:tcPr>
            <w:tcW w:w="907" w:type="dxa"/>
          </w:tcPr>
          <w:p w14:paraId="6D1B4773">
            <w:pPr>
              <w:spacing w:line="360" w:lineRule="auto"/>
              <w:ind w:firstLine="420" w:firstLineChars="200"/>
              <w:rPr>
                <w:rFonts w:ascii="宋体" w:hAnsi="宋体" w:cs="宋体"/>
                <w:color w:val="auto"/>
                <w:szCs w:val="21"/>
                <w:highlight w:val="none"/>
              </w:rPr>
            </w:pPr>
          </w:p>
        </w:tc>
        <w:tc>
          <w:tcPr>
            <w:tcW w:w="856" w:type="dxa"/>
          </w:tcPr>
          <w:p w14:paraId="4A90F320">
            <w:pPr>
              <w:spacing w:line="360" w:lineRule="auto"/>
              <w:ind w:firstLine="420" w:firstLineChars="200"/>
              <w:rPr>
                <w:rFonts w:ascii="宋体" w:hAnsi="宋体" w:cs="宋体"/>
                <w:color w:val="auto"/>
                <w:szCs w:val="21"/>
                <w:highlight w:val="none"/>
              </w:rPr>
            </w:pPr>
          </w:p>
        </w:tc>
        <w:tc>
          <w:tcPr>
            <w:tcW w:w="856" w:type="dxa"/>
          </w:tcPr>
          <w:p w14:paraId="35CBDF47">
            <w:pPr>
              <w:spacing w:line="360" w:lineRule="auto"/>
              <w:ind w:firstLine="420" w:firstLineChars="200"/>
              <w:rPr>
                <w:rFonts w:ascii="宋体" w:hAnsi="宋体" w:cs="宋体"/>
                <w:color w:val="auto"/>
                <w:szCs w:val="21"/>
                <w:highlight w:val="none"/>
              </w:rPr>
            </w:pPr>
          </w:p>
        </w:tc>
      </w:tr>
      <w:tr w14:paraId="30C4069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jc w:val="center"/>
        </w:trPr>
        <w:tc>
          <w:tcPr>
            <w:tcW w:w="1098" w:type="dxa"/>
          </w:tcPr>
          <w:p w14:paraId="0FE5448E">
            <w:pPr>
              <w:spacing w:line="360" w:lineRule="auto"/>
              <w:ind w:firstLine="420" w:firstLineChars="200"/>
              <w:rPr>
                <w:rFonts w:ascii="宋体" w:hAnsi="宋体" w:cs="宋体"/>
                <w:color w:val="auto"/>
                <w:szCs w:val="21"/>
                <w:highlight w:val="none"/>
              </w:rPr>
            </w:pPr>
          </w:p>
        </w:tc>
        <w:tc>
          <w:tcPr>
            <w:tcW w:w="855" w:type="dxa"/>
          </w:tcPr>
          <w:p w14:paraId="6983AE3C">
            <w:pPr>
              <w:spacing w:line="360" w:lineRule="auto"/>
              <w:ind w:firstLine="420" w:firstLineChars="200"/>
              <w:rPr>
                <w:rFonts w:ascii="宋体" w:hAnsi="宋体" w:cs="宋体"/>
                <w:color w:val="auto"/>
                <w:szCs w:val="21"/>
                <w:highlight w:val="none"/>
              </w:rPr>
            </w:pPr>
          </w:p>
        </w:tc>
        <w:tc>
          <w:tcPr>
            <w:tcW w:w="1014" w:type="dxa"/>
          </w:tcPr>
          <w:p w14:paraId="7BC02BE7">
            <w:pPr>
              <w:spacing w:line="360" w:lineRule="auto"/>
              <w:ind w:firstLine="420" w:firstLineChars="200"/>
              <w:rPr>
                <w:rFonts w:ascii="宋体" w:hAnsi="宋体" w:cs="宋体"/>
                <w:color w:val="auto"/>
                <w:szCs w:val="21"/>
                <w:highlight w:val="none"/>
              </w:rPr>
            </w:pPr>
          </w:p>
        </w:tc>
        <w:tc>
          <w:tcPr>
            <w:tcW w:w="685" w:type="dxa"/>
          </w:tcPr>
          <w:p w14:paraId="166143A4">
            <w:pPr>
              <w:spacing w:line="360" w:lineRule="auto"/>
              <w:ind w:firstLine="420" w:firstLineChars="200"/>
              <w:rPr>
                <w:rFonts w:ascii="宋体" w:hAnsi="宋体" w:cs="宋体"/>
                <w:color w:val="auto"/>
                <w:szCs w:val="21"/>
                <w:highlight w:val="none"/>
              </w:rPr>
            </w:pPr>
          </w:p>
        </w:tc>
        <w:tc>
          <w:tcPr>
            <w:tcW w:w="856" w:type="dxa"/>
          </w:tcPr>
          <w:p w14:paraId="2C6CB4D5">
            <w:pPr>
              <w:spacing w:line="360" w:lineRule="auto"/>
              <w:ind w:firstLine="420" w:firstLineChars="200"/>
              <w:rPr>
                <w:rFonts w:ascii="宋体" w:hAnsi="宋体" w:cs="宋体"/>
                <w:color w:val="auto"/>
                <w:szCs w:val="21"/>
                <w:highlight w:val="none"/>
              </w:rPr>
            </w:pPr>
          </w:p>
        </w:tc>
        <w:tc>
          <w:tcPr>
            <w:tcW w:w="988" w:type="dxa"/>
          </w:tcPr>
          <w:p w14:paraId="61622971">
            <w:pPr>
              <w:spacing w:line="360" w:lineRule="auto"/>
              <w:ind w:firstLine="420" w:firstLineChars="200"/>
              <w:rPr>
                <w:rFonts w:ascii="宋体" w:hAnsi="宋体" w:cs="宋体"/>
                <w:color w:val="auto"/>
                <w:szCs w:val="21"/>
                <w:highlight w:val="none"/>
              </w:rPr>
            </w:pPr>
          </w:p>
        </w:tc>
        <w:tc>
          <w:tcPr>
            <w:tcW w:w="1002" w:type="dxa"/>
          </w:tcPr>
          <w:p w14:paraId="0DDCBAA2">
            <w:pPr>
              <w:spacing w:line="360" w:lineRule="auto"/>
              <w:ind w:firstLine="420" w:firstLineChars="200"/>
              <w:rPr>
                <w:rFonts w:ascii="宋体" w:hAnsi="宋体" w:cs="宋体"/>
                <w:color w:val="auto"/>
                <w:szCs w:val="21"/>
                <w:highlight w:val="none"/>
              </w:rPr>
            </w:pPr>
          </w:p>
        </w:tc>
        <w:tc>
          <w:tcPr>
            <w:tcW w:w="907" w:type="dxa"/>
          </w:tcPr>
          <w:p w14:paraId="67F07F83">
            <w:pPr>
              <w:spacing w:line="360" w:lineRule="auto"/>
              <w:ind w:firstLine="420" w:firstLineChars="200"/>
              <w:rPr>
                <w:rFonts w:ascii="宋体" w:hAnsi="宋体" w:cs="宋体"/>
                <w:color w:val="auto"/>
                <w:szCs w:val="21"/>
                <w:highlight w:val="none"/>
              </w:rPr>
            </w:pPr>
          </w:p>
        </w:tc>
        <w:tc>
          <w:tcPr>
            <w:tcW w:w="856" w:type="dxa"/>
          </w:tcPr>
          <w:p w14:paraId="1058BA4E">
            <w:pPr>
              <w:spacing w:line="360" w:lineRule="auto"/>
              <w:ind w:firstLine="420" w:firstLineChars="200"/>
              <w:rPr>
                <w:rFonts w:ascii="宋体" w:hAnsi="宋体" w:cs="宋体"/>
                <w:color w:val="auto"/>
                <w:szCs w:val="21"/>
                <w:highlight w:val="none"/>
              </w:rPr>
            </w:pPr>
          </w:p>
        </w:tc>
        <w:tc>
          <w:tcPr>
            <w:tcW w:w="856" w:type="dxa"/>
          </w:tcPr>
          <w:p w14:paraId="36F00386">
            <w:pPr>
              <w:spacing w:line="360" w:lineRule="auto"/>
              <w:ind w:firstLine="420" w:firstLineChars="200"/>
              <w:rPr>
                <w:rFonts w:ascii="宋体" w:hAnsi="宋体" w:cs="宋体"/>
                <w:color w:val="auto"/>
                <w:szCs w:val="21"/>
                <w:highlight w:val="none"/>
              </w:rPr>
            </w:pPr>
          </w:p>
        </w:tc>
      </w:tr>
      <w:tr w14:paraId="58D506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jc w:val="center"/>
        </w:trPr>
        <w:tc>
          <w:tcPr>
            <w:tcW w:w="1098" w:type="dxa"/>
          </w:tcPr>
          <w:p w14:paraId="6B3CCF2D">
            <w:pPr>
              <w:spacing w:line="360" w:lineRule="auto"/>
              <w:ind w:firstLine="420" w:firstLineChars="200"/>
              <w:rPr>
                <w:rFonts w:ascii="宋体" w:hAnsi="宋体" w:cs="宋体"/>
                <w:color w:val="auto"/>
                <w:szCs w:val="21"/>
                <w:highlight w:val="none"/>
              </w:rPr>
            </w:pPr>
          </w:p>
        </w:tc>
        <w:tc>
          <w:tcPr>
            <w:tcW w:w="855" w:type="dxa"/>
          </w:tcPr>
          <w:p w14:paraId="16E4DDC6">
            <w:pPr>
              <w:spacing w:line="360" w:lineRule="auto"/>
              <w:ind w:firstLine="420" w:firstLineChars="200"/>
              <w:rPr>
                <w:rFonts w:ascii="宋体" w:hAnsi="宋体" w:cs="宋体"/>
                <w:color w:val="auto"/>
                <w:szCs w:val="21"/>
                <w:highlight w:val="none"/>
              </w:rPr>
            </w:pPr>
          </w:p>
        </w:tc>
        <w:tc>
          <w:tcPr>
            <w:tcW w:w="1014" w:type="dxa"/>
          </w:tcPr>
          <w:p w14:paraId="651CA21C">
            <w:pPr>
              <w:spacing w:line="360" w:lineRule="auto"/>
              <w:ind w:firstLine="420" w:firstLineChars="200"/>
              <w:rPr>
                <w:rFonts w:ascii="宋体" w:hAnsi="宋体" w:cs="宋体"/>
                <w:color w:val="auto"/>
                <w:szCs w:val="21"/>
                <w:highlight w:val="none"/>
              </w:rPr>
            </w:pPr>
          </w:p>
        </w:tc>
        <w:tc>
          <w:tcPr>
            <w:tcW w:w="685" w:type="dxa"/>
          </w:tcPr>
          <w:p w14:paraId="1683FA52">
            <w:pPr>
              <w:spacing w:line="360" w:lineRule="auto"/>
              <w:ind w:firstLine="420" w:firstLineChars="200"/>
              <w:rPr>
                <w:rFonts w:ascii="宋体" w:hAnsi="宋体" w:cs="宋体"/>
                <w:color w:val="auto"/>
                <w:szCs w:val="21"/>
                <w:highlight w:val="none"/>
              </w:rPr>
            </w:pPr>
          </w:p>
        </w:tc>
        <w:tc>
          <w:tcPr>
            <w:tcW w:w="856" w:type="dxa"/>
          </w:tcPr>
          <w:p w14:paraId="6026CFB6">
            <w:pPr>
              <w:spacing w:line="360" w:lineRule="auto"/>
              <w:ind w:firstLine="420" w:firstLineChars="200"/>
              <w:rPr>
                <w:rFonts w:ascii="宋体" w:hAnsi="宋体" w:cs="宋体"/>
                <w:color w:val="auto"/>
                <w:szCs w:val="21"/>
                <w:highlight w:val="none"/>
              </w:rPr>
            </w:pPr>
          </w:p>
        </w:tc>
        <w:tc>
          <w:tcPr>
            <w:tcW w:w="988" w:type="dxa"/>
          </w:tcPr>
          <w:p w14:paraId="4BFB7499">
            <w:pPr>
              <w:spacing w:line="360" w:lineRule="auto"/>
              <w:ind w:firstLine="420" w:firstLineChars="200"/>
              <w:rPr>
                <w:rFonts w:ascii="宋体" w:hAnsi="宋体" w:cs="宋体"/>
                <w:color w:val="auto"/>
                <w:szCs w:val="21"/>
                <w:highlight w:val="none"/>
              </w:rPr>
            </w:pPr>
          </w:p>
        </w:tc>
        <w:tc>
          <w:tcPr>
            <w:tcW w:w="1002" w:type="dxa"/>
          </w:tcPr>
          <w:p w14:paraId="08B4F89D">
            <w:pPr>
              <w:spacing w:line="360" w:lineRule="auto"/>
              <w:ind w:firstLine="420" w:firstLineChars="200"/>
              <w:rPr>
                <w:rFonts w:ascii="宋体" w:hAnsi="宋体" w:cs="宋体"/>
                <w:color w:val="auto"/>
                <w:szCs w:val="21"/>
                <w:highlight w:val="none"/>
              </w:rPr>
            </w:pPr>
          </w:p>
        </w:tc>
        <w:tc>
          <w:tcPr>
            <w:tcW w:w="907" w:type="dxa"/>
          </w:tcPr>
          <w:p w14:paraId="21B24926">
            <w:pPr>
              <w:spacing w:line="360" w:lineRule="auto"/>
              <w:ind w:firstLine="420" w:firstLineChars="200"/>
              <w:rPr>
                <w:rFonts w:ascii="宋体" w:hAnsi="宋体" w:cs="宋体"/>
                <w:color w:val="auto"/>
                <w:szCs w:val="21"/>
                <w:highlight w:val="none"/>
              </w:rPr>
            </w:pPr>
          </w:p>
        </w:tc>
        <w:tc>
          <w:tcPr>
            <w:tcW w:w="856" w:type="dxa"/>
          </w:tcPr>
          <w:p w14:paraId="4FACED6D">
            <w:pPr>
              <w:spacing w:line="360" w:lineRule="auto"/>
              <w:ind w:firstLine="420" w:firstLineChars="200"/>
              <w:rPr>
                <w:rFonts w:ascii="宋体" w:hAnsi="宋体" w:cs="宋体"/>
                <w:color w:val="auto"/>
                <w:szCs w:val="21"/>
                <w:highlight w:val="none"/>
              </w:rPr>
            </w:pPr>
          </w:p>
        </w:tc>
        <w:tc>
          <w:tcPr>
            <w:tcW w:w="856" w:type="dxa"/>
          </w:tcPr>
          <w:p w14:paraId="381D5866">
            <w:pPr>
              <w:spacing w:line="360" w:lineRule="auto"/>
              <w:ind w:firstLine="420" w:firstLineChars="200"/>
              <w:rPr>
                <w:rFonts w:ascii="宋体" w:hAnsi="宋体" w:cs="宋体"/>
                <w:color w:val="auto"/>
                <w:szCs w:val="21"/>
                <w:highlight w:val="none"/>
              </w:rPr>
            </w:pPr>
          </w:p>
        </w:tc>
      </w:tr>
      <w:tr w14:paraId="1BD9211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jc w:val="center"/>
        </w:trPr>
        <w:tc>
          <w:tcPr>
            <w:tcW w:w="1098" w:type="dxa"/>
          </w:tcPr>
          <w:p w14:paraId="7F733785">
            <w:pPr>
              <w:spacing w:line="360" w:lineRule="auto"/>
              <w:ind w:firstLine="420" w:firstLineChars="200"/>
              <w:rPr>
                <w:rFonts w:ascii="宋体" w:hAnsi="宋体" w:cs="宋体"/>
                <w:color w:val="auto"/>
                <w:szCs w:val="21"/>
                <w:highlight w:val="none"/>
              </w:rPr>
            </w:pPr>
          </w:p>
        </w:tc>
        <w:tc>
          <w:tcPr>
            <w:tcW w:w="855" w:type="dxa"/>
          </w:tcPr>
          <w:p w14:paraId="0225E0FB">
            <w:pPr>
              <w:spacing w:line="360" w:lineRule="auto"/>
              <w:ind w:firstLine="420" w:firstLineChars="200"/>
              <w:rPr>
                <w:rFonts w:ascii="宋体" w:hAnsi="宋体" w:cs="宋体"/>
                <w:color w:val="auto"/>
                <w:szCs w:val="21"/>
                <w:highlight w:val="none"/>
              </w:rPr>
            </w:pPr>
          </w:p>
        </w:tc>
        <w:tc>
          <w:tcPr>
            <w:tcW w:w="1014" w:type="dxa"/>
          </w:tcPr>
          <w:p w14:paraId="0234B3CF">
            <w:pPr>
              <w:spacing w:line="360" w:lineRule="auto"/>
              <w:ind w:firstLine="420" w:firstLineChars="200"/>
              <w:rPr>
                <w:rFonts w:ascii="宋体" w:hAnsi="宋体" w:cs="宋体"/>
                <w:color w:val="auto"/>
                <w:szCs w:val="21"/>
                <w:highlight w:val="none"/>
              </w:rPr>
            </w:pPr>
          </w:p>
        </w:tc>
        <w:tc>
          <w:tcPr>
            <w:tcW w:w="685" w:type="dxa"/>
          </w:tcPr>
          <w:p w14:paraId="3AE2CFA3">
            <w:pPr>
              <w:spacing w:line="360" w:lineRule="auto"/>
              <w:ind w:firstLine="420" w:firstLineChars="200"/>
              <w:rPr>
                <w:rFonts w:ascii="宋体" w:hAnsi="宋体" w:cs="宋体"/>
                <w:color w:val="auto"/>
                <w:szCs w:val="21"/>
                <w:highlight w:val="none"/>
              </w:rPr>
            </w:pPr>
          </w:p>
        </w:tc>
        <w:tc>
          <w:tcPr>
            <w:tcW w:w="856" w:type="dxa"/>
          </w:tcPr>
          <w:p w14:paraId="2A447CF9">
            <w:pPr>
              <w:spacing w:line="360" w:lineRule="auto"/>
              <w:ind w:firstLine="420" w:firstLineChars="200"/>
              <w:rPr>
                <w:rFonts w:ascii="宋体" w:hAnsi="宋体" w:cs="宋体"/>
                <w:color w:val="auto"/>
                <w:szCs w:val="21"/>
                <w:highlight w:val="none"/>
              </w:rPr>
            </w:pPr>
          </w:p>
        </w:tc>
        <w:tc>
          <w:tcPr>
            <w:tcW w:w="988" w:type="dxa"/>
          </w:tcPr>
          <w:p w14:paraId="207B29B6">
            <w:pPr>
              <w:spacing w:line="360" w:lineRule="auto"/>
              <w:ind w:firstLine="420" w:firstLineChars="200"/>
              <w:rPr>
                <w:rFonts w:ascii="宋体" w:hAnsi="宋体" w:cs="宋体"/>
                <w:color w:val="auto"/>
                <w:szCs w:val="21"/>
                <w:highlight w:val="none"/>
              </w:rPr>
            </w:pPr>
          </w:p>
        </w:tc>
        <w:tc>
          <w:tcPr>
            <w:tcW w:w="1002" w:type="dxa"/>
          </w:tcPr>
          <w:p w14:paraId="2FFBE902">
            <w:pPr>
              <w:spacing w:line="360" w:lineRule="auto"/>
              <w:ind w:firstLine="420" w:firstLineChars="200"/>
              <w:rPr>
                <w:rFonts w:ascii="宋体" w:hAnsi="宋体" w:cs="宋体"/>
                <w:color w:val="auto"/>
                <w:szCs w:val="21"/>
                <w:highlight w:val="none"/>
              </w:rPr>
            </w:pPr>
          </w:p>
        </w:tc>
        <w:tc>
          <w:tcPr>
            <w:tcW w:w="907" w:type="dxa"/>
          </w:tcPr>
          <w:p w14:paraId="6E26CCE9">
            <w:pPr>
              <w:spacing w:line="360" w:lineRule="auto"/>
              <w:ind w:firstLine="420" w:firstLineChars="200"/>
              <w:rPr>
                <w:rFonts w:ascii="宋体" w:hAnsi="宋体" w:cs="宋体"/>
                <w:color w:val="auto"/>
                <w:szCs w:val="21"/>
                <w:highlight w:val="none"/>
              </w:rPr>
            </w:pPr>
          </w:p>
        </w:tc>
        <w:tc>
          <w:tcPr>
            <w:tcW w:w="856" w:type="dxa"/>
          </w:tcPr>
          <w:p w14:paraId="61900905">
            <w:pPr>
              <w:spacing w:line="360" w:lineRule="auto"/>
              <w:ind w:firstLine="420" w:firstLineChars="200"/>
              <w:rPr>
                <w:rFonts w:ascii="宋体" w:hAnsi="宋体" w:cs="宋体"/>
                <w:color w:val="auto"/>
                <w:szCs w:val="21"/>
                <w:highlight w:val="none"/>
              </w:rPr>
            </w:pPr>
          </w:p>
        </w:tc>
        <w:tc>
          <w:tcPr>
            <w:tcW w:w="856" w:type="dxa"/>
          </w:tcPr>
          <w:p w14:paraId="6DB6E0C0">
            <w:pPr>
              <w:spacing w:line="360" w:lineRule="auto"/>
              <w:ind w:firstLine="420" w:firstLineChars="200"/>
              <w:rPr>
                <w:rFonts w:ascii="宋体" w:hAnsi="宋体" w:cs="宋体"/>
                <w:color w:val="auto"/>
                <w:szCs w:val="21"/>
                <w:highlight w:val="none"/>
              </w:rPr>
            </w:pPr>
          </w:p>
        </w:tc>
      </w:tr>
      <w:tr w14:paraId="17D5C39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jc w:val="center"/>
        </w:trPr>
        <w:tc>
          <w:tcPr>
            <w:tcW w:w="1098" w:type="dxa"/>
          </w:tcPr>
          <w:p w14:paraId="73D6FBDE">
            <w:pPr>
              <w:spacing w:line="360" w:lineRule="auto"/>
              <w:ind w:firstLine="420" w:firstLineChars="200"/>
              <w:rPr>
                <w:rFonts w:ascii="宋体" w:hAnsi="宋体" w:cs="宋体"/>
                <w:color w:val="auto"/>
                <w:szCs w:val="21"/>
                <w:highlight w:val="none"/>
              </w:rPr>
            </w:pPr>
          </w:p>
        </w:tc>
        <w:tc>
          <w:tcPr>
            <w:tcW w:w="855" w:type="dxa"/>
          </w:tcPr>
          <w:p w14:paraId="19895A4E">
            <w:pPr>
              <w:spacing w:line="360" w:lineRule="auto"/>
              <w:ind w:firstLine="420" w:firstLineChars="200"/>
              <w:rPr>
                <w:rFonts w:ascii="宋体" w:hAnsi="宋体" w:cs="宋体"/>
                <w:color w:val="auto"/>
                <w:szCs w:val="21"/>
                <w:highlight w:val="none"/>
              </w:rPr>
            </w:pPr>
          </w:p>
        </w:tc>
        <w:tc>
          <w:tcPr>
            <w:tcW w:w="1014" w:type="dxa"/>
          </w:tcPr>
          <w:p w14:paraId="455A101E">
            <w:pPr>
              <w:spacing w:line="360" w:lineRule="auto"/>
              <w:ind w:firstLine="420" w:firstLineChars="200"/>
              <w:rPr>
                <w:rFonts w:ascii="宋体" w:hAnsi="宋体" w:cs="宋体"/>
                <w:color w:val="auto"/>
                <w:szCs w:val="21"/>
                <w:highlight w:val="none"/>
              </w:rPr>
            </w:pPr>
          </w:p>
        </w:tc>
        <w:tc>
          <w:tcPr>
            <w:tcW w:w="685" w:type="dxa"/>
          </w:tcPr>
          <w:p w14:paraId="2B292811">
            <w:pPr>
              <w:spacing w:line="360" w:lineRule="auto"/>
              <w:ind w:firstLine="420" w:firstLineChars="200"/>
              <w:rPr>
                <w:rFonts w:ascii="宋体" w:hAnsi="宋体" w:cs="宋体"/>
                <w:color w:val="auto"/>
                <w:szCs w:val="21"/>
                <w:highlight w:val="none"/>
              </w:rPr>
            </w:pPr>
          </w:p>
        </w:tc>
        <w:tc>
          <w:tcPr>
            <w:tcW w:w="856" w:type="dxa"/>
          </w:tcPr>
          <w:p w14:paraId="64F2CD7E">
            <w:pPr>
              <w:spacing w:line="360" w:lineRule="auto"/>
              <w:ind w:firstLine="420" w:firstLineChars="200"/>
              <w:rPr>
                <w:rFonts w:ascii="宋体" w:hAnsi="宋体" w:cs="宋体"/>
                <w:color w:val="auto"/>
                <w:szCs w:val="21"/>
                <w:highlight w:val="none"/>
              </w:rPr>
            </w:pPr>
          </w:p>
        </w:tc>
        <w:tc>
          <w:tcPr>
            <w:tcW w:w="988" w:type="dxa"/>
          </w:tcPr>
          <w:p w14:paraId="51C25940">
            <w:pPr>
              <w:spacing w:line="360" w:lineRule="auto"/>
              <w:ind w:firstLine="420" w:firstLineChars="200"/>
              <w:rPr>
                <w:rFonts w:ascii="宋体" w:hAnsi="宋体" w:cs="宋体"/>
                <w:color w:val="auto"/>
                <w:szCs w:val="21"/>
                <w:highlight w:val="none"/>
              </w:rPr>
            </w:pPr>
          </w:p>
        </w:tc>
        <w:tc>
          <w:tcPr>
            <w:tcW w:w="1002" w:type="dxa"/>
          </w:tcPr>
          <w:p w14:paraId="27E6DD78">
            <w:pPr>
              <w:spacing w:line="360" w:lineRule="auto"/>
              <w:ind w:firstLine="420" w:firstLineChars="200"/>
              <w:rPr>
                <w:rFonts w:ascii="宋体" w:hAnsi="宋体" w:cs="宋体"/>
                <w:color w:val="auto"/>
                <w:szCs w:val="21"/>
                <w:highlight w:val="none"/>
              </w:rPr>
            </w:pPr>
          </w:p>
        </w:tc>
        <w:tc>
          <w:tcPr>
            <w:tcW w:w="907" w:type="dxa"/>
          </w:tcPr>
          <w:p w14:paraId="5ECB09AD">
            <w:pPr>
              <w:spacing w:line="360" w:lineRule="auto"/>
              <w:ind w:firstLine="420" w:firstLineChars="200"/>
              <w:rPr>
                <w:rFonts w:ascii="宋体" w:hAnsi="宋体" w:cs="宋体"/>
                <w:color w:val="auto"/>
                <w:szCs w:val="21"/>
                <w:highlight w:val="none"/>
              </w:rPr>
            </w:pPr>
          </w:p>
        </w:tc>
        <w:tc>
          <w:tcPr>
            <w:tcW w:w="856" w:type="dxa"/>
          </w:tcPr>
          <w:p w14:paraId="2E3F1DD2">
            <w:pPr>
              <w:spacing w:line="360" w:lineRule="auto"/>
              <w:ind w:firstLine="420" w:firstLineChars="200"/>
              <w:rPr>
                <w:rFonts w:ascii="宋体" w:hAnsi="宋体" w:cs="宋体"/>
                <w:color w:val="auto"/>
                <w:szCs w:val="21"/>
                <w:highlight w:val="none"/>
              </w:rPr>
            </w:pPr>
          </w:p>
        </w:tc>
        <w:tc>
          <w:tcPr>
            <w:tcW w:w="856" w:type="dxa"/>
          </w:tcPr>
          <w:p w14:paraId="4667D150">
            <w:pPr>
              <w:spacing w:line="360" w:lineRule="auto"/>
              <w:ind w:firstLine="420" w:firstLineChars="200"/>
              <w:rPr>
                <w:rFonts w:ascii="宋体" w:hAnsi="宋体" w:cs="宋体"/>
                <w:color w:val="auto"/>
                <w:szCs w:val="21"/>
                <w:highlight w:val="none"/>
              </w:rPr>
            </w:pPr>
          </w:p>
        </w:tc>
      </w:tr>
      <w:tr w14:paraId="583079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jc w:val="center"/>
        </w:trPr>
        <w:tc>
          <w:tcPr>
            <w:tcW w:w="1098" w:type="dxa"/>
          </w:tcPr>
          <w:p w14:paraId="7EBDC71B">
            <w:pPr>
              <w:spacing w:line="360" w:lineRule="auto"/>
              <w:ind w:firstLine="420" w:firstLineChars="200"/>
              <w:rPr>
                <w:rFonts w:ascii="宋体" w:hAnsi="宋体" w:cs="宋体"/>
                <w:color w:val="auto"/>
                <w:szCs w:val="21"/>
                <w:highlight w:val="none"/>
              </w:rPr>
            </w:pPr>
          </w:p>
        </w:tc>
        <w:tc>
          <w:tcPr>
            <w:tcW w:w="855" w:type="dxa"/>
          </w:tcPr>
          <w:p w14:paraId="518C40AE">
            <w:pPr>
              <w:spacing w:line="360" w:lineRule="auto"/>
              <w:ind w:firstLine="420" w:firstLineChars="200"/>
              <w:rPr>
                <w:rFonts w:ascii="宋体" w:hAnsi="宋体" w:cs="宋体"/>
                <w:color w:val="auto"/>
                <w:szCs w:val="21"/>
                <w:highlight w:val="none"/>
              </w:rPr>
            </w:pPr>
          </w:p>
        </w:tc>
        <w:tc>
          <w:tcPr>
            <w:tcW w:w="1014" w:type="dxa"/>
          </w:tcPr>
          <w:p w14:paraId="0C9A4661">
            <w:pPr>
              <w:spacing w:line="360" w:lineRule="auto"/>
              <w:ind w:firstLine="420" w:firstLineChars="200"/>
              <w:rPr>
                <w:rFonts w:ascii="宋体" w:hAnsi="宋体" w:cs="宋体"/>
                <w:color w:val="auto"/>
                <w:szCs w:val="21"/>
                <w:highlight w:val="none"/>
              </w:rPr>
            </w:pPr>
          </w:p>
        </w:tc>
        <w:tc>
          <w:tcPr>
            <w:tcW w:w="685" w:type="dxa"/>
          </w:tcPr>
          <w:p w14:paraId="158AB1AF">
            <w:pPr>
              <w:spacing w:line="360" w:lineRule="auto"/>
              <w:ind w:firstLine="420" w:firstLineChars="200"/>
              <w:rPr>
                <w:rFonts w:ascii="宋体" w:hAnsi="宋体" w:cs="宋体"/>
                <w:color w:val="auto"/>
                <w:szCs w:val="21"/>
                <w:highlight w:val="none"/>
              </w:rPr>
            </w:pPr>
          </w:p>
        </w:tc>
        <w:tc>
          <w:tcPr>
            <w:tcW w:w="856" w:type="dxa"/>
          </w:tcPr>
          <w:p w14:paraId="04CF5421">
            <w:pPr>
              <w:spacing w:line="360" w:lineRule="auto"/>
              <w:ind w:firstLine="420" w:firstLineChars="200"/>
              <w:rPr>
                <w:rFonts w:ascii="宋体" w:hAnsi="宋体" w:cs="宋体"/>
                <w:color w:val="auto"/>
                <w:szCs w:val="21"/>
                <w:highlight w:val="none"/>
              </w:rPr>
            </w:pPr>
          </w:p>
        </w:tc>
        <w:tc>
          <w:tcPr>
            <w:tcW w:w="988" w:type="dxa"/>
          </w:tcPr>
          <w:p w14:paraId="20DB2964">
            <w:pPr>
              <w:spacing w:line="360" w:lineRule="auto"/>
              <w:ind w:firstLine="420" w:firstLineChars="200"/>
              <w:rPr>
                <w:rFonts w:ascii="宋体" w:hAnsi="宋体" w:cs="宋体"/>
                <w:color w:val="auto"/>
                <w:szCs w:val="21"/>
                <w:highlight w:val="none"/>
              </w:rPr>
            </w:pPr>
          </w:p>
        </w:tc>
        <w:tc>
          <w:tcPr>
            <w:tcW w:w="1002" w:type="dxa"/>
          </w:tcPr>
          <w:p w14:paraId="12CFAC09">
            <w:pPr>
              <w:spacing w:line="360" w:lineRule="auto"/>
              <w:ind w:firstLine="420" w:firstLineChars="200"/>
              <w:rPr>
                <w:rFonts w:ascii="宋体" w:hAnsi="宋体" w:cs="宋体"/>
                <w:color w:val="auto"/>
                <w:szCs w:val="21"/>
                <w:highlight w:val="none"/>
              </w:rPr>
            </w:pPr>
          </w:p>
        </w:tc>
        <w:tc>
          <w:tcPr>
            <w:tcW w:w="907" w:type="dxa"/>
          </w:tcPr>
          <w:p w14:paraId="44078C6B">
            <w:pPr>
              <w:spacing w:line="360" w:lineRule="auto"/>
              <w:ind w:firstLine="420" w:firstLineChars="200"/>
              <w:rPr>
                <w:rFonts w:ascii="宋体" w:hAnsi="宋体" w:cs="宋体"/>
                <w:color w:val="auto"/>
                <w:szCs w:val="21"/>
                <w:highlight w:val="none"/>
              </w:rPr>
            </w:pPr>
          </w:p>
        </w:tc>
        <w:tc>
          <w:tcPr>
            <w:tcW w:w="856" w:type="dxa"/>
          </w:tcPr>
          <w:p w14:paraId="70A2B2B8">
            <w:pPr>
              <w:spacing w:line="360" w:lineRule="auto"/>
              <w:ind w:firstLine="420" w:firstLineChars="200"/>
              <w:rPr>
                <w:rFonts w:ascii="宋体" w:hAnsi="宋体" w:cs="宋体"/>
                <w:color w:val="auto"/>
                <w:szCs w:val="21"/>
                <w:highlight w:val="none"/>
              </w:rPr>
            </w:pPr>
          </w:p>
        </w:tc>
        <w:tc>
          <w:tcPr>
            <w:tcW w:w="856" w:type="dxa"/>
          </w:tcPr>
          <w:p w14:paraId="2CAF327C">
            <w:pPr>
              <w:spacing w:line="360" w:lineRule="auto"/>
              <w:ind w:firstLine="420" w:firstLineChars="200"/>
              <w:rPr>
                <w:rFonts w:ascii="宋体" w:hAnsi="宋体" w:cs="宋体"/>
                <w:color w:val="auto"/>
                <w:szCs w:val="21"/>
                <w:highlight w:val="none"/>
              </w:rPr>
            </w:pPr>
          </w:p>
        </w:tc>
      </w:tr>
      <w:tr w14:paraId="3B40036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jc w:val="center"/>
        </w:trPr>
        <w:tc>
          <w:tcPr>
            <w:tcW w:w="1098" w:type="dxa"/>
          </w:tcPr>
          <w:p w14:paraId="56AEC474">
            <w:pPr>
              <w:spacing w:line="360" w:lineRule="auto"/>
              <w:ind w:firstLine="420" w:firstLineChars="200"/>
              <w:rPr>
                <w:rFonts w:ascii="宋体" w:hAnsi="宋体" w:cs="宋体"/>
                <w:color w:val="auto"/>
                <w:szCs w:val="21"/>
                <w:highlight w:val="none"/>
              </w:rPr>
            </w:pPr>
          </w:p>
        </w:tc>
        <w:tc>
          <w:tcPr>
            <w:tcW w:w="855" w:type="dxa"/>
          </w:tcPr>
          <w:p w14:paraId="09B37408">
            <w:pPr>
              <w:spacing w:line="360" w:lineRule="auto"/>
              <w:ind w:firstLine="420" w:firstLineChars="200"/>
              <w:rPr>
                <w:rFonts w:ascii="宋体" w:hAnsi="宋体" w:cs="宋体"/>
                <w:color w:val="auto"/>
                <w:szCs w:val="21"/>
                <w:highlight w:val="none"/>
              </w:rPr>
            </w:pPr>
          </w:p>
        </w:tc>
        <w:tc>
          <w:tcPr>
            <w:tcW w:w="1014" w:type="dxa"/>
          </w:tcPr>
          <w:p w14:paraId="4476FADF">
            <w:pPr>
              <w:spacing w:line="360" w:lineRule="auto"/>
              <w:ind w:firstLine="420" w:firstLineChars="200"/>
              <w:rPr>
                <w:rFonts w:ascii="宋体" w:hAnsi="宋体" w:cs="宋体"/>
                <w:color w:val="auto"/>
                <w:szCs w:val="21"/>
                <w:highlight w:val="none"/>
              </w:rPr>
            </w:pPr>
          </w:p>
        </w:tc>
        <w:tc>
          <w:tcPr>
            <w:tcW w:w="685" w:type="dxa"/>
          </w:tcPr>
          <w:p w14:paraId="23831E0C">
            <w:pPr>
              <w:spacing w:line="360" w:lineRule="auto"/>
              <w:ind w:firstLine="420" w:firstLineChars="200"/>
              <w:rPr>
                <w:rFonts w:ascii="宋体" w:hAnsi="宋体" w:cs="宋体"/>
                <w:color w:val="auto"/>
                <w:szCs w:val="21"/>
                <w:highlight w:val="none"/>
              </w:rPr>
            </w:pPr>
          </w:p>
        </w:tc>
        <w:tc>
          <w:tcPr>
            <w:tcW w:w="856" w:type="dxa"/>
          </w:tcPr>
          <w:p w14:paraId="78246E73">
            <w:pPr>
              <w:spacing w:line="360" w:lineRule="auto"/>
              <w:ind w:firstLine="420" w:firstLineChars="200"/>
              <w:rPr>
                <w:rFonts w:ascii="宋体" w:hAnsi="宋体" w:cs="宋体"/>
                <w:color w:val="auto"/>
                <w:szCs w:val="21"/>
                <w:highlight w:val="none"/>
              </w:rPr>
            </w:pPr>
          </w:p>
        </w:tc>
        <w:tc>
          <w:tcPr>
            <w:tcW w:w="988" w:type="dxa"/>
          </w:tcPr>
          <w:p w14:paraId="28AE258B">
            <w:pPr>
              <w:spacing w:line="360" w:lineRule="auto"/>
              <w:ind w:firstLine="420" w:firstLineChars="200"/>
              <w:rPr>
                <w:rFonts w:ascii="宋体" w:hAnsi="宋体" w:cs="宋体"/>
                <w:color w:val="auto"/>
                <w:szCs w:val="21"/>
                <w:highlight w:val="none"/>
              </w:rPr>
            </w:pPr>
          </w:p>
        </w:tc>
        <w:tc>
          <w:tcPr>
            <w:tcW w:w="1002" w:type="dxa"/>
          </w:tcPr>
          <w:p w14:paraId="3BE31166">
            <w:pPr>
              <w:spacing w:line="360" w:lineRule="auto"/>
              <w:ind w:firstLine="420" w:firstLineChars="200"/>
              <w:rPr>
                <w:rFonts w:ascii="宋体" w:hAnsi="宋体" w:cs="宋体"/>
                <w:color w:val="auto"/>
                <w:szCs w:val="21"/>
                <w:highlight w:val="none"/>
              </w:rPr>
            </w:pPr>
          </w:p>
        </w:tc>
        <w:tc>
          <w:tcPr>
            <w:tcW w:w="907" w:type="dxa"/>
          </w:tcPr>
          <w:p w14:paraId="111F4FF9">
            <w:pPr>
              <w:spacing w:line="360" w:lineRule="auto"/>
              <w:ind w:firstLine="420" w:firstLineChars="200"/>
              <w:rPr>
                <w:rFonts w:ascii="宋体" w:hAnsi="宋体" w:cs="宋体"/>
                <w:color w:val="auto"/>
                <w:szCs w:val="21"/>
                <w:highlight w:val="none"/>
              </w:rPr>
            </w:pPr>
          </w:p>
        </w:tc>
        <w:tc>
          <w:tcPr>
            <w:tcW w:w="856" w:type="dxa"/>
          </w:tcPr>
          <w:p w14:paraId="794BB5BB">
            <w:pPr>
              <w:spacing w:line="360" w:lineRule="auto"/>
              <w:ind w:firstLine="420" w:firstLineChars="200"/>
              <w:rPr>
                <w:rFonts w:ascii="宋体" w:hAnsi="宋体" w:cs="宋体"/>
                <w:color w:val="auto"/>
                <w:szCs w:val="21"/>
                <w:highlight w:val="none"/>
              </w:rPr>
            </w:pPr>
          </w:p>
        </w:tc>
        <w:tc>
          <w:tcPr>
            <w:tcW w:w="856" w:type="dxa"/>
          </w:tcPr>
          <w:p w14:paraId="6887C290">
            <w:pPr>
              <w:spacing w:line="360" w:lineRule="auto"/>
              <w:ind w:firstLine="420" w:firstLineChars="200"/>
              <w:rPr>
                <w:rFonts w:ascii="宋体" w:hAnsi="宋体" w:cs="宋体"/>
                <w:color w:val="auto"/>
                <w:szCs w:val="21"/>
                <w:highlight w:val="none"/>
              </w:rPr>
            </w:pPr>
          </w:p>
        </w:tc>
      </w:tr>
      <w:tr w14:paraId="3DDEDF5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jc w:val="center"/>
        </w:trPr>
        <w:tc>
          <w:tcPr>
            <w:tcW w:w="1098" w:type="dxa"/>
          </w:tcPr>
          <w:p w14:paraId="21D042C4">
            <w:pPr>
              <w:spacing w:line="360" w:lineRule="auto"/>
              <w:ind w:firstLine="420" w:firstLineChars="200"/>
              <w:rPr>
                <w:rFonts w:ascii="宋体" w:hAnsi="宋体" w:cs="宋体"/>
                <w:color w:val="auto"/>
                <w:szCs w:val="21"/>
                <w:highlight w:val="none"/>
              </w:rPr>
            </w:pPr>
          </w:p>
        </w:tc>
        <w:tc>
          <w:tcPr>
            <w:tcW w:w="855" w:type="dxa"/>
          </w:tcPr>
          <w:p w14:paraId="4D9E2EB2">
            <w:pPr>
              <w:spacing w:line="360" w:lineRule="auto"/>
              <w:ind w:firstLine="420" w:firstLineChars="200"/>
              <w:rPr>
                <w:rFonts w:ascii="宋体" w:hAnsi="宋体" w:cs="宋体"/>
                <w:color w:val="auto"/>
                <w:szCs w:val="21"/>
                <w:highlight w:val="none"/>
              </w:rPr>
            </w:pPr>
          </w:p>
        </w:tc>
        <w:tc>
          <w:tcPr>
            <w:tcW w:w="1014" w:type="dxa"/>
          </w:tcPr>
          <w:p w14:paraId="4872462B">
            <w:pPr>
              <w:spacing w:line="360" w:lineRule="auto"/>
              <w:ind w:firstLine="420" w:firstLineChars="200"/>
              <w:rPr>
                <w:rFonts w:ascii="宋体" w:hAnsi="宋体" w:cs="宋体"/>
                <w:color w:val="auto"/>
                <w:szCs w:val="21"/>
                <w:highlight w:val="none"/>
              </w:rPr>
            </w:pPr>
          </w:p>
        </w:tc>
        <w:tc>
          <w:tcPr>
            <w:tcW w:w="685" w:type="dxa"/>
          </w:tcPr>
          <w:p w14:paraId="62FAC1DA">
            <w:pPr>
              <w:spacing w:line="360" w:lineRule="auto"/>
              <w:ind w:firstLine="420" w:firstLineChars="200"/>
              <w:rPr>
                <w:rFonts w:ascii="宋体" w:hAnsi="宋体" w:cs="宋体"/>
                <w:color w:val="auto"/>
                <w:szCs w:val="21"/>
                <w:highlight w:val="none"/>
              </w:rPr>
            </w:pPr>
          </w:p>
        </w:tc>
        <w:tc>
          <w:tcPr>
            <w:tcW w:w="856" w:type="dxa"/>
          </w:tcPr>
          <w:p w14:paraId="48EBA70E">
            <w:pPr>
              <w:spacing w:line="360" w:lineRule="auto"/>
              <w:ind w:firstLine="420" w:firstLineChars="200"/>
              <w:rPr>
                <w:rFonts w:ascii="宋体" w:hAnsi="宋体" w:cs="宋体"/>
                <w:color w:val="auto"/>
                <w:szCs w:val="21"/>
                <w:highlight w:val="none"/>
              </w:rPr>
            </w:pPr>
          </w:p>
        </w:tc>
        <w:tc>
          <w:tcPr>
            <w:tcW w:w="988" w:type="dxa"/>
          </w:tcPr>
          <w:p w14:paraId="13749C48">
            <w:pPr>
              <w:spacing w:line="360" w:lineRule="auto"/>
              <w:ind w:firstLine="420" w:firstLineChars="200"/>
              <w:rPr>
                <w:rFonts w:ascii="宋体" w:hAnsi="宋体" w:cs="宋体"/>
                <w:color w:val="auto"/>
                <w:szCs w:val="21"/>
                <w:highlight w:val="none"/>
              </w:rPr>
            </w:pPr>
          </w:p>
        </w:tc>
        <w:tc>
          <w:tcPr>
            <w:tcW w:w="1002" w:type="dxa"/>
          </w:tcPr>
          <w:p w14:paraId="7B9C219D">
            <w:pPr>
              <w:spacing w:line="360" w:lineRule="auto"/>
              <w:ind w:firstLine="420" w:firstLineChars="200"/>
              <w:rPr>
                <w:rFonts w:ascii="宋体" w:hAnsi="宋体" w:cs="宋体"/>
                <w:color w:val="auto"/>
                <w:szCs w:val="21"/>
                <w:highlight w:val="none"/>
              </w:rPr>
            </w:pPr>
          </w:p>
        </w:tc>
        <w:tc>
          <w:tcPr>
            <w:tcW w:w="907" w:type="dxa"/>
          </w:tcPr>
          <w:p w14:paraId="2FC26B5D">
            <w:pPr>
              <w:spacing w:line="360" w:lineRule="auto"/>
              <w:ind w:firstLine="420" w:firstLineChars="200"/>
              <w:rPr>
                <w:rFonts w:ascii="宋体" w:hAnsi="宋体" w:cs="宋体"/>
                <w:color w:val="auto"/>
                <w:szCs w:val="21"/>
                <w:highlight w:val="none"/>
              </w:rPr>
            </w:pPr>
          </w:p>
        </w:tc>
        <w:tc>
          <w:tcPr>
            <w:tcW w:w="856" w:type="dxa"/>
          </w:tcPr>
          <w:p w14:paraId="509D94D8">
            <w:pPr>
              <w:spacing w:line="360" w:lineRule="auto"/>
              <w:ind w:firstLine="420" w:firstLineChars="200"/>
              <w:rPr>
                <w:rFonts w:ascii="宋体" w:hAnsi="宋体" w:cs="宋体"/>
                <w:color w:val="auto"/>
                <w:szCs w:val="21"/>
                <w:highlight w:val="none"/>
              </w:rPr>
            </w:pPr>
          </w:p>
        </w:tc>
        <w:tc>
          <w:tcPr>
            <w:tcW w:w="856" w:type="dxa"/>
          </w:tcPr>
          <w:p w14:paraId="4863F5F0">
            <w:pPr>
              <w:spacing w:line="360" w:lineRule="auto"/>
              <w:ind w:firstLine="420" w:firstLineChars="200"/>
              <w:rPr>
                <w:rFonts w:ascii="宋体" w:hAnsi="宋体" w:cs="宋体"/>
                <w:color w:val="auto"/>
                <w:szCs w:val="21"/>
                <w:highlight w:val="none"/>
              </w:rPr>
            </w:pPr>
          </w:p>
        </w:tc>
      </w:tr>
      <w:tr w14:paraId="0831A7B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jc w:val="center"/>
        </w:trPr>
        <w:tc>
          <w:tcPr>
            <w:tcW w:w="1098" w:type="dxa"/>
          </w:tcPr>
          <w:p w14:paraId="2A2BD132">
            <w:pPr>
              <w:spacing w:line="360" w:lineRule="auto"/>
              <w:ind w:firstLine="420" w:firstLineChars="200"/>
              <w:rPr>
                <w:rFonts w:ascii="宋体" w:hAnsi="宋体" w:cs="宋体"/>
                <w:color w:val="auto"/>
                <w:szCs w:val="21"/>
                <w:highlight w:val="none"/>
              </w:rPr>
            </w:pPr>
          </w:p>
        </w:tc>
        <w:tc>
          <w:tcPr>
            <w:tcW w:w="855" w:type="dxa"/>
          </w:tcPr>
          <w:p w14:paraId="6E053FE8">
            <w:pPr>
              <w:spacing w:line="360" w:lineRule="auto"/>
              <w:ind w:firstLine="420" w:firstLineChars="200"/>
              <w:rPr>
                <w:rFonts w:ascii="宋体" w:hAnsi="宋体" w:cs="宋体"/>
                <w:color w:val="auto"/>
                <w:szCs w:val="21"/>
                <w:highlight w:val="none"/>
              </w:rPr>
            </w:pPr>
          </w:p>
        </w:tc>
        <w:tc>
          <w:tcPr>
            <w:tcW w:w="1014" w:type="dxa"/>
          </w:tcPr>
          <w:p w14:paraId="5A7191D4">
            <w:pPr>
              <w:spacing w:line="360" w:lineRule="auto"/>
              <w:ind w:firstLine="420" w:firstLineChars="200"/>
              <w:rPr>
                <w:rFonts w:ascii="宋体" w:hAnsi="宋体" w:cs="宋体"/>
                <w:color w:val="auto"/>
                <w:szCs w:val="21"/>
                <w:highlight w:val="none"/>
              </w:rPr>
            </w:pPr>
          </w:p>
        </w:tc>
        <w:tc>
          <w:tcPr>
            <w:tcW w:w="685" w:type="dxa"/>
          </w:tcPr>
          <w:p w14:paraId="51F4573E">
            <w:pPr>
              <w:spacing w:line="360" w:lineRule="auto"/>
              <w:ind w:firstLine="420" w:firstLineChars="200"/>
              <w:rPr>
                <w:rFonts w:ascii="宋体" w:hAnsi="宋体" w:cs="宋体"/>
                <w:color w:val="auto"/>
                <w:szCs w:val="21"/>
                <w:highlight w:val="none"/>
              </w:rPr>
            </w:pPr>
          </w:p>
        </w:tc>
        <w:tc>
          <w:tcPr>
            <w:tcW w:w="856" w:type="dxa"/>
          </w:tcPr>
          <w:p w14:paraId="25C3CE93">
            <w:pPr>
              <w:spacing w:line="360" w:lineRule="auto"/>
              <w:ind w:firstLine="420" w:firstLineChars="200"/>
              <w:rPr>
                <w:rFonts w:ascii="宋体" w:hAnsi="宋体" w:cs="宋体"/>
                <w:color w:val="auto"/>
                <w:szCs w:val="21"/>
                <w:highlight w:val="none"/>
              </w:rPr>
            </w:pPr>
          </w:p>
        </w:tc>
        <w:tc>
          <w:tcPr>
            <w:tcW w:w="988" w:type="dxa"/>
          </w:tcPr>
          <w:p w14:paraId="63D8AA34">
            <w:pPr>
              <w:spacing w:line="360" w:lineRule="auto"/>
              <w:ind w:firstLine="420" w:firstLineChars="200"/>
              <w:rPr>
                <w:rFonts w:ascii="宋体" w:hAnsi="宋体" w:cs="宋体"/>
                <w:color w:val="auto"/>
                <w:szCs w:val="21"/>
                <w:highlight w:val="none"/>
              </w:rPr>
            </w:pPr>
          </w:p>
        </w:tc>
        <w:tc>
          <w:tcPr>
            <w:tcW w:w="1002" w:type="dxa"/>
          </w:tcPr>
          <w:p w14:paraId="0A066DB4">
            <w:pPr>
              <w:spacing w:line="360" w:lineRule="auto"/>
              <w:ind w:firstLine="420" w:firstLineChars="200"/>
              <w:rPr>
                <w:rFonts w:ascii="宋体" w:hAnsi="宋体" w:cs="宋体"/>
                <w:color w:val="auto"/>
                <w:szCs w:val="21"/>
                <w:highlight w:val="none"/>
              </w:rPr>
            </w:pPr>
          </w:p>
        </w:tc>
        <w:tc>
          <w:tcPr>
            <w:tcW w:w="907" w:type="dxa"/>
          </w:tcPr>
          <w:p w14:paraId="33AB3994">
            <w:pPr>
              <w:spacing w:line="360" w:lineRule="auto"/>
              <w:ind w:firstLine="420" w:firstLineChars="200"/>
              <w:rPr>
                <w:rFonts w:ascii="宋体" w:hAnsi="宋体" w:cs="宋体"/>
                <w:color w:val="auto"/>
                <w:szCs w:val="21"/>
                <w:highlight w:val="none"/>
              </w:rPr>
            </w:pPr>
          </w:p>
        </w:tc>
        <w:tc>
          <w:tcPr>
            <w:tcW w:w="856" w:type="dxa"/>
          </w:tcPr>
          <w:p w14:paraId="4ACCBC88">
            <w:pPr>
              <w:spacing w:line="360" w:lineRule="auto"/>
              <w:ind w:firstLine="420" w:firstLineChars="200"/>
              <w:rPr>
                <w:rFonts w:ascii="宋体" w:hAnsi="宋体" w:cs="宋体"/>
                <w:color w:val="auto"/>
                <w:szCs w:val="21"/>
                <w:highlight w:val="none"/>
              </w:rPr>
            </w:pPr>
          </w:p>
        </w:tc>
        <w:tc>
          <w:tcPr>
            <w:tcW w:w="856" w:type="dxa"/>
          </w:tcPr>
          <w:p w14:paraId="2B69781D">
            <w:pPr>
              <w:spacing w:line="360" w:lineRule="auto"/>
              <w:ind w:firstLine="420" w:firstLineChars="200"/>
              <w:rPr>
                <w:rFonts w:ascii="宋体" w:hAnsi="宋体" w:cs="宋体"/>
                <w:color w:val="auto"/>
                <w:szCs w:val="21"/>
                <w:highlight w:val="none"/>
              </w:rPr>
            </w:pPr>
          </w:p>
        </w:tc>
      </w:tr>
      <w:tr w14:paraId="41DBD9E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jc w:val="center"/>
        </w:trPr>
        <w:tc>
          <w:tcPr>
            <w:tcW w:w="1098" w:type="dxa"/>
          </w:tcPr>
          <w:p w14:paraId="73FAB26C">
            <w:pPr>
              <w:spacing w:line="360" w:lineRule="auto"/>
              <w:ind w:firstLine="420" w:firstLineChars="200"/>
              <w:rPr>
                <w:rFonts w:ascii="宋体" w:hAnsi="宋体" w:cs="宋体"/>
                <w:color w:val="auto"/>
                <w:szCs w:val="21"/>
                <w:highlight w:val="none"/>
              </w:rPr>
            </w:pPr>
          </w:p>
        </w:tc>
        <w:tc>
          <w:tcPr>
            <w:tcW w:w="855" w:type="dxa"/>
          </w:tcPr>
          <w:p w14:paraId="739BCEDE">
            <w:pPr>
              <w:spacing w:line="360" w:lineRule="auto"/>
              <w:ind w:firstLine="420" w:firstLineChars="200"/>
              <w:rPr>
                <w:rFonts w:ascii="宋体" w:hAnsi="宋体" w:cs="宋体"/>
                <w:color w:val="auto"/>
                <w:szCs w:val="21"/>
                <w:highlight w:val="none"/>
              </w:rPr>
            </w:pPr>
          </w:p>
        </w:tc>
        <w:tc>
          <w:tcPr>
            <w:tcW w:w="1014" w:type="dxa"/>
          </w:tcPr>
          <w:p w14:paraId="3B5C21BF">
            <w:pPr>
              <w:spacing w:line="360" w:lineRule="auto"/>
              <w:ind w:firstLine="420" w:firstLineChars="200"/>
              <w:rPr>
                <w:rFonts w:ascii="宋体" w:hAnsi="宋体" w:cs="宋体"/>
                <w:color w:val="auto"/>
                <w:szCs w:val="21"/>
                <w:highlight w:val="none"/>
              </w:rPr>
            </w:pPr>
          </w:p>
        </w:tc>
        <w:tc>
          <w:tcPr>
            <w:tcW w:w="685" w:type="dxa"/>
          </w:tcPr>
          <w:p w14:paraId="5887630B">
            <w:pPr>
              <w:spacing w:line="360" w:lineRule="auto"/>
              <w:ind w:firstLine="420" w:firstLineChars="200"/>
              <w:rPr>
                <w:rFonts w:ascii="宋体" w:hAnsi="宋体" w:cs="宋体"/>
                <w:color w:val="auto"/>
                <w:szCs w:val="21"/>
                <w:highlight w:val="none"/>
              </w:rPr>
            </w:pPr>
          </w:p>
        </w:tc>
        <w:tc>
          <w:tcPr>
            <w:tcW w:w="856" w:type="dxa"/>
          </w:tcPr>
          <w:p w14:paraId="5CEF81D9">
            <w:pPr>
              <w:spacing w:line="360" w:lineRule="auto"/>
              <w:ind w:firstLine="420" w:firstLineChars="200"/>
              <w:rPr>
                <w:rFonts w:ascii="宋体" w:hAnsi="宋体" w:cs="宋体"/>
                <w:color w:val="auto"/>
                <w:szCs w:val="21"/>
                <w:highlight w:val="none"/>
              </w:rPr>
            </w:pPr>
          </w:p>
        </w:tc>
        <w:tc>
          <w:tcPr>
            <w:tcW w:w="988" w:type="dxa"/>
          </w:tcPr>
          <w:p w14:paraId="6B554E67">
            <w:pPr>
              <w:spacing w:line="360" w:lineRule="auto"/>
              <w:ind w:firstLine="420" w:firstLineChars="200"/>
              <w:rPr>
                <w:rFonts w:ascii="宋体" w:hAnsi="宋体" w:cs="宋体"/>
                <w:color w:val="auto"/>
                <w:szCs w:val="21"/>
                <w:highlight w:val="none"/>
              </w:rPr>
            </w:pPr>
          </w:p>
        </w:tc>
        <w:tc>
          <w:tcPr>
            <w:tcW w:w="1002" w:type="dxa"/>
          </w:tcPr>
          <w:p w14:paraId="42ADA6D3">
            <w:pPr>
              <w:spacing w:line="360" w:lineRule="auto"/>
              <w:ind w:firstLine="420" w:firstLineChars="200"/>
              <w:rPr>
                <w:rFonts w:ascii="宋体" w:hAnsi="宋体" w:cs="宋体"/>
                <w:color w:val="auto"/>
                <w:szCs w:val="21"/>
                <w:highlight w:val="none"/>
              </w:rPr>
            </w:pPr>
          </w:p>
        </w:tc>
        <w:tc>
          <w:tcPr>
            <w:tcW w:w="907" w:type="dxa"/>
          </w:tcPr>
          <w:p w14:paraId="1AE5CB97">
            <w:pPr>
              <w:spacing w:line="360" w:lineRule="auto"/>
              <w:ind w:firstLine="420" w:firstLineChars="200"/>
              <w:rPr>
                <w:rFonts w:ascii="宋体" w:hAnsi="宋体" w:cs="宋体"/>
                <w:color w:val="auto"/>
                <w:szCs w:val="21"/>
                <w:highlight w:val="none"/>
              </w:rPr>
            </w:pPr>
          </w:p>
        </w:tc>
        <w:tc>
          <w:tcPr>
            <w:tcW w:w="856" w:type="dxa"/>
          </w:tcPr>
          <w:p w14:paraId="7CC018A6">
            <w:pPr>
              <w:spacing w:line="360" w:lineRule="auto"/>
              <w:ind w:firstLine="420" w:firstLineChars="200"/>
              <w:rPr>
                <w:rFonts w:ascii="宋体" w:hAnsi="宋体" w:cs="宋体"/>
                <w:color w:val="auto"/>
                <w:szCs w:val="21"/>
                <w:highlight w:val="none"/>
              </w:rPr>
            </w:pPr>
          </w:p>
        </w:tc>
        <w:tc>
          <w:tcPr>
            <w:tcW w:w="856" w:type="dxa"/>
          </w:tcPr>
          <w:p w14:paraId="707E8C5E">
            <w:pPr>
              <w:spacing w:line="360" w:lineRule="auto"/>
              <w:ind w:firstLine="420" w:firstLineChars="200"/>
              <w:rPr>
                <w:rFonts w:ascii="宋体" w:hAnsi="宋体" w:cs="宋体"/>
                <w:color w:val="auto"/>
                <w:szCs w:val="21"/>
                <w:highlight w:val="none"/>
              </w:rPr>
            </w:pPr>
          </w:p>
        </w:tc>
      </w:tr>
      <w:tr w14:paraId="5F0884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jc w:val="center"/>
        </w:trPr>
        <w:tc>
          <w:tcPr>
            <w:tcW w:w="1098" w:type="dxa"/>
          </w:tcPr>
          <w:p w14:paraId="2A44229B">
            <w:pPr>
              <w:spacing w:line="360" w:lineRule="auto"/>
              <w:ind w:firstLine="420" w:firstLineChars="200"/>
              <w:rPr>
                <w:rFonts w:ascii="宋体" w:hAnsi="宋体" w:cs="宋体"/>
                <w:color w:val="auto"/>
                <w:szCs w:val="21"/>
                <w:highlight w:val="none"/>
              </w:rPr>
            </w:pPr>
          </w:p>
        </w:tc>
        <w:tc>
          <w:tcPr>
            <w:tcW w:w="855" w:type="dxa"/>
          </w:tcPr>
          <w:p w14:paraId="12F04F0E">
            <w:pPr>
              <w:spacing w:line="360" w:lineRule="auto"/>
              <w:ind w:firstLine="420" w:firstLineChars="200"/>
              <w:rPr>
                <w:rFonts w:ascii="宋体" w:hAnsi="宋体" w:cs="宋体"/>
                <w:color w:val="auto"/>
                <w:szCs w:val="21"/>
                <w:highlight w:val="none"/>
              </w:rPr>
            </w:pPr>
          </w:p>
        </w:tc>
        <w:tc>
          <w:tcPr>
            <w:tcW w:w="1014" w:type="dxa"/>
          </w:tcPr>
          <w:p w14:paraId="28158F26">
            <w:pPr>
              <w:spacing w:line="360" w:lineRule="auto"/>
              <w:ind w:firstLine="420" w:firstLineChars="200"/>
              <w:rPr>
                <w:rFonts w:ascii="宋体" w:hAnsi="宋体" w:cs="宋体"/>
                <w:color w:val="auto"/>
                <w:szCs w:val="21"/>
                <w:highlight w:val="none"/>
              </w:rPr>
            </w:pPr>
          </w:p>
        </w:tc>
        <w:tc>
          <w:tcPr>
            <w:tcW w:w="685" w:type="dxa"/>
          </w:tcPr>
          <w:p w14:paraId="5E216E15">
            <w:pPr>
              <w:spacing w:line="360" w:lineRule="auto"/>
              <w:ind w:firstLine="420" w:firstLineChars="200"/>
              <w:rPr>
                <w:rFonts w:ascii="宋体" w:hAnsi="宋体" w:cs="宋体"/>
                <w:color w:val="auto"/>
                <w:szCs w:val="21"/>
                <w:highlight w:val="none"/>
              </w:rPr>
            </w:pPr>
          </w:p>
        </w:tc>
        <w:tc>
          <w:tcPr>
            <w:tcW w:w="856" w:type="dxa"/>
          </w:tcPr>
          <w:p w14:paraId="43890E32">
            <w:pPr>
              <w:spacing w:line="360" w:lineRule="auto"/>
              <w:ind w:firstLine="420" w:firstLineChars="200"/>
              <w:rPr>
                <w:rFonts w:ascii="宋体" w:hAnsi="宋体" w:cs="宋体"/>
                <w:color w:val="auto"/>
                <w:szCs w:val="21"/>
                <w:highlight w:val="none"/>
              </w:rPr>
            </w:pPr>
          </w:p>
        </w:tc>
        <w:tc>
          <w:tcPr>
            <w:tcW w:w="988" w:type="dxa"/>
          </w:tcPr>
          <w:p w14:paraId="7BF26396">
            <w:pPr>
              <w:spacing w:line="360" w:lineRule="auto"/>
              <w:ind w:firstLine="420" w:firstLineChars="200"/>
              <w:rPr>
                <w:rFonts w:ascii="宋体" w:hAnsi="宋体" w:cs="宋体"/>
                <w:color w:val="auto"/>
                <w:szCs w:val="21"/>
                <w:highlight w:val="none"/>
              </w:rPr>
            </w:pPr>
          </w:p>
        </w:tc>
        <w:tc>
          <w:tcPr>
            <w:tcW w:w="1002" w:type="dxa"/>
          </w:tcPr>
          <w:p w14:paraId="1CE36004">
            <w:pPr>
              <w:spacing w:line="360" w:lineRule="auto"/>
              <w:ind w:firstLine="420" w:firstLineChars="200"/>
              <w:rPr>
                <w:rFonts w:ascii="宋体" w:hAnsi="宋体" w:cs="宋体"/>
                <w:color w:val="auto"/>
                <w:szCs w:val="21"/>
                <w:highlight w:val="none"/>
              </w:rPr>
            </w:pPr>
          </w:p>
        </w:tc>
        <w:tc>
          <w:tcPr>
            <w:tcW w:w="907" w:type="dxa"/>
          </w:tcPr>
          <w:p w14:paraId="59E729EE">
            <w:pPr>
              <w:spacing w:line="360" w:lineRule="auto"/>
              <w:ind w:firstLine="420" w:firstLineChars="200"/>
              <w:rPr>
                <w:rFonts w:ascii="宋体" w:hAnsi="宋体" w:cs="宋体"/>
                <w:color w:val="auto"/>
                <w:szCs w:val="21"/>
                <w:highlight w:val="none"/>
              </w:rPr>
            </w:pPr>
          </w:p>
        </w:tc>
        <w:tc>
          <w:tcPr>
            <w:tcW w:w="856" w:type="dxa"/>
          </w:tcPr>
          <w:p w14:paraId="14407D4F">
            <w:pPr>
              <w:spacing w:line="360" w:lineRule="auto"/>
              <w:ind w:firstLine="420" w:firstLineChars="200"/>
              <w:rPr>
                <w:rFonts w:ascii="宋体" w:hAnsi="宋体" w:cs="宋体"/>
                <w:color w:val="auto"/>
                <w:szCs w:val="21"/>
                <w:highlight w:val="none"/>
              </w:rPr>
            </w:pPr>
          </w:p>
        </w:tc>
        <w:tc>
          <w:tcPr>
            <w:tcW w:w="856" w:type="dxa"/>
          </w:tcPr>
          <w:p w14:paraId="0913FE1E">
            <w:pPr>
              <w:spacing w:line="360" w:lineRule="auto"/>
              <w:ind w:firstLine="420" w:firstLineChars="200"/>
              <w:rPr>
                <w:rFonts w:ascii="宋体" w:hAnsi="宋体" w:cs="宋体"/>
                <w:color w:val="auto"/>
                <w:szCs w:val="21"/>
                <w:highlight w:val="none"/>
              </w:rPr>
            </w:pPr>
          </w:p>
        </w:tc>
      </w:tr>
      <w:tr w14:paraId="0425BB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jc w:val="center"/>
        </w:trPr>
        <w:tc>
          <w:tcPr>
            <w:tcW w:w="1098" w:type="dxa"/>
          </w:tcPr>
          <w:p w14:paraId="64C2183E">
            <w:pPr>
              <w:spacing w:line="360" w:lineRule="auto"/>
              <w:ind w:firstLine="420" w:firstLineChars="200"/>
              <w:rPr>
                <w:rFonts w:ascii="宋体" w:hAnsi="宋体" w:cs="宋体"/>
                <w:color w:val="auto"/>
                <w:szCs w:val="21"/>
                <w:highlight w:val="none"/>
              </w:rPr>
            </w:pPr>
          </w:p>
        </w:tc>
        <w:tc>
          <w:tcPr>
            <w:tcW w:w="855" w:type="dxa"/>
          </w:tcPr>
          <w:p w14:paraId="0528E116">
            <w:pPr>
              <w:spacing w:line="360" w:lineRule="auto"/>
              <w:ind w:firstLine="420" w:firstLineChars="200"/>
              <w:rPr>
                <w:rFonts w:ascii="宋体" w:hAnsi="宋体" w:cs="宋体"/>
                <w:color w:val="auto"/>
                <w:szCs w:val="21"/>
                <w:highlight w:val="none"/>
              </w:rPr>
            </w:pPr>
          </w:p>
        </w:tc>
        <w:tc>
          <w:tcPr>
            <w:tcW w:w="1014" w:type="dxa"/>
          </w:tcPr>
          <w:p w14:paraId="0C4FC550">
            <w:pPr>
              <w:spacing w:line="360" w:lineRule="auto"/>
              <w:ind w:firstLine="420" w:firstLineChars="200"/>
              <w:rPr>
                <w:rFonts w:ascii="宋体" w:hAnsi="宋体" w:cs="宋体"/>
                <w:color w:val="auto"/>
                <w:szCs w:val="21"/>
                <w:highlight w:val="none"/>
              </w:rPr>
            </w:pPr>
          </w:p>
        </w:tc>
        <w:tc>
          <w:tcPr>
            <w:tcW w:w="685" w:type="dxa"/>
          </w:tcPr>
          <w:p w14:paraId="6B514A01">
            <w:pPr>
              <w:spacing w:line="360" w:lineRule="auto"/>
              <w:ind w:firstLine="420" w:firstLineChars="200"/>
              <w:rPr>
                <w:rFonts w:ascii="宋体" w:hAnsi="宋体" w:cs="宋体"/>
                <w:color w:val="auto"/>
                <w:szCs w:val="21"/>
                <w:highlight w:val="none"/>
              </w:rPr>
            </w:pPr>
          </w:p>
        </w:tc>
        <w:tc>
          <w:tcPr>
            <w:tcW w:w="856" w:type="dxa"/>
          </w:tcPr>
          <w:p w14:paraId="2890EE31">
            <w:pPr>
              <w:spacing w:line="360" w:lineRule="auto"/>
              <w:ind w:firstLine="420" w:firstLineChars="200"/>
              <w:rPr>
                <w:rFonts w:ascii="宋体" w:hAnsi="宋体" w:cs="宋体"/>
                <w:color w:val="auto"/>
                <w:szCs w:val="21"/>
                <w:highlight w:val="none"/>
              </w:rPr>
            </w:pPr>
          </w:p>
        </w:tc>
        <w:tc>
          <w:tcPr>
            <w:tcW w:w="988" w:type="dxa"/>
          </w:tcPr>
          <w:p w14:paraId="5B0EA1F2">
            <w:pPr>
              <w:spacing w:line="360" w:lineRule="auto"/>
              <w:ind w:firstLine="420" w:firstLineChars="200"/>
              <w:rPr>
                <w:rFonts w:ascii="宋体" w:hAnsi="宋体" w:cs="宋体"/>
                <w:color w:val="auto"/>
                <w:szCs w:val="21"/>
                <w:highlight w:val="none"/>
              </w:rPr>
            </w:pPr>
          </w:p>
        </w:tc>
        <w:tc>
          <w:tcPr>
            <w:tcW w:w="1002" w:type="dxa"/>
          </w:tcPr>
          <w:p w14:paraId="5B679A14">
            <w:pPr>
              <w:spacing w:line="360" w:lineRule="auto"/>
              <w:ind w:firstLine="420" w:firstLineChars="200"/>
              <w:rPr>
                <w:rFonts w:ascii="宋体" w:hAnsi="宋体" w:cs="宋体"/>
                <w:color w:val="auto"/>
                <w:szCs w:val="21"/>
                <w:highlight w:val="none"/>
              </w:rPr>
            </w:pPr>
          </w:p>
        </w:tc>
        <w:tc>
          <w:tcPr>
            <w:tcW w:w="907" w:type="dxa"/>
          </w:tcPr>
          <w:p w14:paraId="308ED0F3">
            <w:pPr>
              <w:spacing w:line="360" w:lineRule="auto"/>
              <w:ind w:firstLine="420" w:firstLineChars="200"/>
              <w:rPr>
                <w:rFonts w:ascii="宋体" w:hAnsi="宋体" w:cs="宋体"/>
                <w:color w:val="auto"/>
                <w:szCs w:val="21"/>
                <w:highlight w:val="none"/>
              </w:rPr>
            </w:pPr>
          </w:p>
        </w:tc>
        <w:tc>
          <w:tcPr>
            <w:tcW w:w="856" w:type="dxa"/>
          </w:tcPr>
          <w:p w14:paraId="71F2D264">
            <w:pPr>
              <w:spacing w:line="360" w:lineRule="auto"/>
              <w:ind w:firstLine="420" w:firstLineChars="200"/>
              <w:rPr>
                <w:rFonts w:ascii="宋体" w:hAnsi="宋体" w:cs="宋体"/>
                <w:color w:val="auto"/>
                <w:szCs w:val="21"/>
                <w:highlight w:val="none"/>
              </w:rPr>
            </w:pPr>
          </w:p>
        </w:tc>
        <w:tc>
          <w:tcPr>
            <w:tcW w:w="856" w:type="dxa"/>
          </w:tcPr>
          <w:p w14:paraId="0B7E378C">
            <w:pPr>
              <w:spacing w:line="360" w:lineRule="auto"/>
              <w:ind w:firstLine="420" w:firstLineChars="200"/>
              <w:rPr>
                <w:rFonts w:ascii="宋体" w:hAnsi="宋体" w:cs="宋体"/>
                <w:color w:val="auto"/>
                <w:szCs w:val="21"/>
                <w:highlight w:val="none"/>
              </w:rPr>
            </w:pPr>
          </w:p>
        </w:tc>
      </w:tr>
      <w:tr w14:paraId="230B05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jc w:val="center"/>
        </w:trPr>
        <w:tc>
          <w:tcPr>
            <w:tcW w:w="1098" w:type="dxa"/>
          </w:tcPr>
          <w:p w14:paraId="36847B65">
            <w:pPr>
              <w:spacing w:line="360" w:lineRule="auto"/>
              <w:ind w:firstLine="420" w:firstLineChars="200"/>
              <w:rPr>
                <w:rFonts w:ascii="宋体" w:hAnsi="宋体" w:cs="宋体"/>
                <w:color w:val="auto"/>
                <w:szCs w:val="21"/>
                <w:highlight w:val="none"/>
              </w:rPr>
            </w:pPr>
          </w:p>
        </w:tc>
        <w:tc>
          <w:tcPr>
            <w:tcW w:w="855" w:type="dxa"/>
          </w:tcPr>
          <w:p w14:paraId="137E9D99">
            <w:pPr>
              <w:spacing w:line="360" w:lineRule="auto"/>
              <w:ind w:firstLine="420" w:firstLineChars="200"/>
              <w:rPr>
                <w:rFonts w:ascii="宋体" w:hAnsi="宋体" w:cs="宋体"/>
                <w:color w:val="auto"/>
                <w:szCs w:val="21"/>
                <w:highlight w:val="none"/>
              </w:rPr>
            </w:pPr>
          </w:p>
        </w:tc>
        <w:tc>
          <w:tcPr>
            <w:tcW w:w="1014" w:type="dxa"/>
          </w:tcPr>
          <w:p w14:paraId="7B70AA21">
            <w:pPr>
              <w:spacing w:line="360" w:lineRule="auto"/>
              <w:ind w:firstLine="420" w:firstLineChars="200"/>
              <w:rPr>
                <w:rFonts w:ascii="宋体" w:hAnsi="宋体" w:cs="宋体"/>
                <w:color w:val="auto"/>
                <w:szCs w:val="21"/>
                <w:highlight w:val="none"/>
              </w:rPr>
            </w:pPr>
          </w:p>
        </w:tc>
        <w:tc>
          <w:tcPr>
            <w:tcW w:w="685" w:type="dxa"/>
          </w:tcPr>
          <w:p w14:paraId="2C3BB2FE">
            <w:pPr>
              <w:spacing w:line="360" w:lineRule="auto"/>
              <w:ind w:firstLine="420" w:firstLineChars="200"/>
              <w:rPr>
                <w:rFonts w:ascii="宋体" w:hAnsi="宋体" w:cs="宋体"/>
                <w:color w:val="auto"/>
                <w:szCs w:val="21"/>
                <w:highlight w:val="none"/>
              </w:rPr>
            </w:pPr>
          </w:p>
        </w:tc>
        <w:tc>
          <w:tcPr>
            <w:tcW w:w="856" w:type="dxa"/>
          </w:tcPr>
          <w:p w14:paraId="094E8F9F">
            <w:pPr>
              <w:spacing w:line="360" w:lineRule="auto"/>
              <w:ind w:firstLine="420" w:firstLineChars="200"/>
              <w:rPr>
                <w:rFonts w:ascii="宋体" w:hAnsi="宋体" w:cs="宋体"/>
                <w:color w:val="auto"/>
                <w:szCs w:val="21"/>
                <w:highlight w:val="none"/>
              </w:rPr>
            </w:pPr>
          </w:p>
        </w:tc>
        <w:tc>
          <w:tcPr>
            <w:tcW w:w="988" w:type="dxa"/>
          </w:tcPr>
          <w:p w14:paraId="25E875F8">
            <w:pPr>
              <w:spacing w:line="360" w:lineRule="auto"/>
              <w:ind w:firstLine="420" w:firstLineChars="200"/>
              <w:rPr>
                <w:rFonts w:ascii="宋体" w:hAnsi="宋体" w:cs="宋体"/>
                <w:color w:val="auto"/>
                <w:szCs w:val="21"/>
                <w:highlight w:val="none"/>
              </w:rPr>
            </w:pPr>
          </w:p>
        </w:tc>
        <w:tc>
          <w:tcPr>
            <w:tcW w:w="1002" w:type="dxa"/>
          </w:tcPr>
          <w:p w14:paraId="62026F34">
            <w:pPr>
              <w:spacing w:line="360" w:lineRule="auto"/>
              <w:ind w:firstLine="420" w:firstLineChars="200"/>
              <w:rPr>
                <w:rFonts w:ascii="宋体" w:hAnsi="宋体" w:cs="宋体"/>
                <w:color w:val="auto"/>
                <w:szCs w:val="21"/>
                <w:highlight w:val="none"/>
              </w:rPr>
            </w:pPr>
          </w:p>
        </w:tc>
        <w:tc>
          <w:tcPr>
            <w:tcW w:w="907" w:type="dxa"/>
          </w:tcPr>
          <w:p w14:paraId="1270FC01">
            <w:pPr>
              <w:spacing w:line="360" w:lineRule="auto"/>
              <w:ind w:firstLine="420" w:firstLineChars="200"/>
              <w:rPr>
                <w:rFonts w:ascii="宋体" w:hAnsi="宋体" w:cs="宋体"/>
                <w:color w:val="auto"/>
                <w:szCs w:val="21"/>
                <w:highlight w:val="none"/>
              </w:rPr>
            </w:pPr>
          </w:p>
        </w:tc>
        <w:tc>
          <w:tcPr>
            <w:tcW w:w="856" w:type="dxa"/>
          </w:tcPr>
          <w:p w14:paraId="13806B3D">
            <w:pPr>
              <w:spacing w:line="360" w:lineRule="auto"/>
              <w:ind w:firstLine="420" w:firstLineChars="200"/>
              <w:rPr>
                <w:rFonts w:ascii="宋体" w:hAnsi="宋体" w:cs="宋体"/>
                <w:color w:val="auto"/>
                <w:szCs w:val="21"/>
                <w:highlight w:val="none"/>
              </w:rPr>
            </w:pPr>
          </w:p>
        </w:tc>
        <w:tc>
          <w:tcPr>
            <w:tcW w:w="856" w:type="dxa"/>
          </w:tcPr>
          <w:p w14:paraId="409EB177">
            <w:pPr>
              <w:spacing w:line="360" w:lineRule="auto"/>
              <w:ind w:firstLine="420" w:firstLineChars="200"/>
              <w:rPr>
                <w:rFonts w:ascii="宋体" w:hAnsi="宋体" w:cs="宋体"/>
                <w:color w:val="auto"/>
                <w:szCs w:val="21"/>
                <w:highlight w:val="none"/>
              </w:rPr>
            </w:pPr>
          </w:p>
        </w:tc>
      </w:tr>
      <w:tr w14:paraId="626A28F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jc w:val="center"/>
        </w:trPr>
        <w:tc>
          <w:tcPr>
            <w:tcW w:w="1098" w:type="dxa"/>
          </w:tcPr>
          <w:p w14:paraId="78EABF65">
            <w:pPr>
              <w:spacing w:line="360" w:lineRule="auto"/>
              <w:ind w:firstLine="420" w:firstLineChars="200"/>
              <w:rPr>
                <w:rFonts w:ascii="宋体" w:hAnsi="宋体" w:cs="宋体"/>
                <w:color w:val="auto"/>
                <w:szCs w:val="21"/>
                <w:highlight w:val="none"/>
              </w:rPr>
            </w:pPr>
          </w:p>
        </w:tc>
        <w:tc>
          <w:tcPr>
            <w:tcW w:w="855" w:type="dxa"/>
          </w:tcPr>
          <w:p w14:paraId="60BD86CB">
            <w:pPr>
              <w:spacing w:line="360" w:lineRule="auto"/>
              <w:ind w:firstLine="420" w:firstLineChars="200"/>
              <w:rPr>
                <w:rFonts w:ascii="宋体" w:hAnsi="宋体" w:cs="宋体"/>
                <w:color w:val="auto"/>
                <w:szCs w:val="21"/>
                <w:highlight w:val="none"/>
              </w:rPr>
            </w:pPr>
          </w:p>
        </w:tc>
        <w:tc>
          <w:tcPr>
            <w:tcW w:w="1014" w:type="dxa"/>
          </w:tcPr>
          <w:p w14:paraId="61E8F262">
            <w:pPr>
              <w:spacing w:line="360" w:lineRule="auto"/>
              <w:ind w:firstLine="420" w:firstLineChars="200"/>
              <w:rPr>
                <w:rFonts w:ascii="宋体" w:hAnsi="宋体" w:cs="宋体"/>
                <w:color w:val="auto"/>
                <w:szCs w:val="21"/>
                <w:highlight w:val="none"/>
              </w:rPr>
            </w:pPr>
          </w:p>
        </w:tc>
        <w:tc>
          <w:tcPr>
            <w:tcW w:w="685" w:type="dxa"/>
          </w:tcPr>
          <w:p w14:paraId="40A7953C">
            <w:pPr>
              <w:spacing w:line="360" w:lineRule="auto"/>
              <w:ind w:firstLine="420" w:firstLineChars="200"/>
              <w:rPr>
                <w:rFonts w:ascii="宋体" w:hAnsi="宋体" w:cs="宋体"/>
                <w:color w:val="auto"/>
                <w:szCs w:val="21"/>
                <w:highlight w:val="none"/>
              </w:rPr>
            </w:pPr>
          </w:p>
        </w:tc>
        <w:tc>
          <w:tcPr>
            <w:tcW w:w="856" w:type="dxa"/>
          </w:tcPr>
          <w:p w14:paraId="7814ED65">
            <w:pPr>
              <w:spacing w:line="360" w:lineRule="auto"/>
              <w:ind w:firstLine="420" w:firstLineChars="200"/>
              <w:rPr>
                <w:rFonts w:ascii="宋体" w:hAnsi="宋体" w:cs="宋体"/>
                <w:color w:val="auto"/>
                <w:szCs w:val="21"/>
                <w:highlight w:val="none"/>
              </w:rPr>
            </w:pPr>
          </w:p>
        </w:tc>
        <w:tc>
          <w:tcPr>
            <w:tcW w:w="988" w:type="dxa"/>
          </w:tcPr>
          <w:p w14:paraId="55E42A49">
            <w:pPr>
              <w:spacing w:line="360" w:lineRule="auto"/>
              <w:ind w:firstLine="420" w:firstLineChars="200"/>
              <w:rPr>
                <w:rFonts w:ascii="宋体" w:hAnsi="宋体" w:cs="宋体"/>
                <w:color w:val="auto"/>
                <w:szCs w:val="21"/>
                <w:highlight w:val="none"/>
              </w:rPr>
            </w:pPr>
          </w:p>
        </w:tc>
        <w:tc>
          <w:tcPr>
            <w:tcW w:w="1002" w:type="dxa"/>
          </w:tcPr>
          <w:p w14:paraId="2D371042">
            <w:pPr>
              <w:spacing w:line="360" w:lineRule="auto"/>
              <w:ind w:firstLine="420" w:firstLineChars="200"/>
              <w:rPr>
                <w:rFonts w:ascii="宋体" w:hAnsi="宋体" w:cs="宋体"/>
                <w:color w:val="auto"/>
                <w:szCs w:val="21"/>
                <w:highlight w:val="none"/>
              </w:rPr>
            </w:pPr>
          </w:p>
        </w:tc>
        <w:tc>
          <w:tcPr>
            <w:tcW w:w="907" w:type="dxa"/>
          </w:tcPr>
          <w:p w14:paraId="3477705F">
            <w:pPr>
              <w:spacing w:line="360" w:lineRule="auto"/>
              <w:ind w:firstLine="420" w:firstLineChars="200"/>
              <w:rPr>
                <w:rFonts w:ascii="宋体" w:hAnsi="宋体" w:cs="宋体"/>
                <w:color w:val="auto"/>
                <w:szCs w:val="21"/>
                <w:highlight w:val="none"/>
              </w:rPr>
            </w:pPr>
          </w:p>
        </w:tc>
        <w:tc>
          <w:tcPr>
            <w:tcW w:w="856" w:type="dxa"/>
          </w:tcPr>
          <w:p w14:paraId="651EAF6C">
            <w:pPr>
              <w:spacing w:line="360" w:lineRule="auto"/>
              <w:ind w:firstLine="420" w:firstLineChars="200"/>
              <w:rPr>
                <w:rFonts w:ascii="宋体" w:hAnsi="宋体" w:cs="宋体"/>
                <w:color w:val="auto"/>
                <w:szCs w:val="21"/>
                <w:highlight w:val="none"/>
              </w:rPr>
            </w:pPr>
          </w:p>
        </w:tc>
        <w:tc>
          <w:tcPr>
            <w:tcW w:w="856" w:type="dxa"/>
          </w:tcPr>
          <w:p w14:paraId="653CA3F0">
            <w:pPr>
              <w:spacing w:line="360" w:lineRule="auto"/>
              <w:ind w:firstLine="420" w:firstLineChars="200"/>
              <w:rPr>
                <w:rFonts w:ascii="宋体" w:hAnsi="宋体" w:cs="宋体"/>
                <w:color w:val="auto"/>
                <w:szCs w:val="21"/>
                <w:highlight w:val="none"/>
              </w:rPr>
            </w:pPr>
          </w:p>
        </w:tc>
      </w:tr>
      <w:tr w14:paraId="671A033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jc w:val="center"/>
        </w:trPr>
        <w:tc>
          <w:tcPr>
            <w:tcW w:w="1098" w:type="dxa"/>
          </w:tcPr>
          <w:p w14:paraId="1DB38D50">
            <w:pPr>
              <w:spacing w:line="360" w:lineRule="auto"/>
              <w:ind w:firstLine="420" w:firstLineChars="200"/>
              <w:rPr>
                <w:rFonts w:ascii="宋体" w:hAnsi="宋体" w:cs="宋体"/>
                <w:color w:val="auto"/>
                <w:szCs w:val="21"/>
                <w:highlight w:val="none"/>
              </w:rPr>
            </w:pPr>
          </w:p>
        </w:tc>
        <w:tc>
          <w:tcPr>
            <w:tcW w:w="855" w:type="dxa"/>
          </w:tcPr>
          <w:p w14:paraId="0C410544">
            <w:pPr>
              <w:spacing w:line="360" w:lineRule="auto"/>
              <w:ind w:firstLine="420" w:firstLineChars="200"/>
              <w:rPr>
                <w:rFonts w:ascii="宋体" w:hAnsi="宋体" w:cs="宋体"/>
                <w:color w:val="auto"/>
                <w:szCs w:val="21"/>
                <w:highlight w:val="none"/>
              </w:rPr>
            </w:pPr>
          </w:p>
        </w:tc>
        <w:tc>
          <w:tcPr>
            <w:tcW w:w="1014" w:type="dxa"/>
          </w:tcPr>
          <w:p w14:paraId="3573B4F4">
            <w:pPr>
              <w:spacing w:line="360" w:lineRule="auto"/>
              <w:ind w:firstLine="420" w:firstLineChars="200"/>
              <w:rPr>
                <w:rFonts w:ascii="宋体" w:hAnsi="宋体" w:cs="宋体"/>
                <w:color w:val="auto"/>
                <w:szCs w:val="21"/>
                <w:highlight w:val="none"/>
              </w:rPr>
            </w:pPr>
          </w:p>
        </w:tc>
        <w:tc>
          <w:tcPr>
            <w:tcW w:w="685" w:type="dxa"/>
          </w:tcPr>
          <w:p w14:paraId="32F1D7C6">
            <w:pPr>
              <w:spacing w:line="360" w:lineRule="auto"/>
              <w:ind w:firstLine="420" w:firstLineChars="200"/>
              <w:rPr>
                <w:rFonts w:ascii="宋体" w:hAnsi="宋体" w:cs="宋体"/>
                <w:color w:val="auto"/>
                <w:szCs w:val="21"/>
                <w:highlight w:val="none"/>
              </w:rPr>
            </w:pPr>
          </w:p>
        </w:tc>
        <w:tc>
          <w:tcPr>
            <w:tcW w:w="856" w:type="dxa"/>
          </w:tcPr>
          <w:p w14:paraId="02EF8653">
            <w:pPr>
              <w:spacing w:line="360" w:lineRule="auto"/>
              <w:ind w:firstLine="420" w:firstLineChars="200"/>
              <w:rPr>
                <w:rFonts w:ascii="宋体" w:hAnsi="宋体" w:cs="宋体"/>
                <w:color w:val="auto"/>
                <w:szCs w:val="21"/>
                <w:highlight w:val="none"/>
              </w:rPr>
            </w:pPr>
          </w:p>
        </w:tc>
        <w:tc>
          <w:tcPr>
            <w:tcW w:w="988" w:type="dxa"/>
          </w:tcPr>
          <w:p w14:paraId="3A00C4E4">
            <w:pPr>
              <w:spacing w:line="360" w:lineRule="auto"/>
              <w:ind w:firstLine="420" w:firstLineChars="200"/>
              <w:rPr>
                <w:rFonts w:ascii="宋体" w:hAnsi="宋体" w:cs="宋体"/>
                <w:color w:val="auto"/>
                <w:szCs w:val="21"/>
                <w:highlight w:val="none"/>
              </w:rPr>
            </w:pPr>
          </w:p>
        </w:tc>
        <w:tc>
          <w:tcPr>
            <w:tcW w:w="1002" w:type="dxa"/>
          </w:tcPr>
          <w:p w14:paraId="4A8E3526">
            <w:pPr>
              <w:spacing w:line="360" w:lineRule="auto"/>
              <w:ind w:firstLine="420" w:firstLineChars="200"/>
              <w:rPr>
                <w:rFonts w:ascii="宋体" w:hAnsi="宋体" w:cs="宋体"/>
                <w:color w:val="auto"/>
                <w:szCs w:val="21"/>
                <w:highlight w:val="none"/>
              </w:rPr>
            </w:pPr>
          </w:p>
        </w:tc>
        <w:tc>
          <w:tcPr>
            <w:tcW w:w="907" w:type="dxa"/>
          </w:tcPr>
          <w:p w14:paraId="4C99C6E0">
            <w:pPr>
              <w:spacing w:line="360" w:lineRule="auto"/>
              <w:ind w:firstLine="420" w:firstLineChars="200"/>
              <w:rPr>
                <w:rFonts w:ascii="宋体" w:hAnsi="宋体" w:cs="宋体"/>
                <w:color w:val="auto"/>
                <w:szCs w:val="21"/>
                <w:highlight w:val="none"/>
              </w:rPr>
            </w:pPr>
          </w:p>
        </w:tc>
        <w:tc>
          <w:tcPr>
            <w:tcW w:w="856" w:type="dxa"/>
          </w:tcPr>
          <w:p w14:paraId="426F5192">
            <w:pPr>
              <w:spacing w:line="360" w:lineRule="auto"/>
              <w:ind w:firstLine="420" w:firstLineChars="200"/>
              <w:rPr>
                <w:rFonts w:ascii="宋体" w:hAnsi="宋体" w:cs="宋体"/>
                <w:color w:val="auto"/>
                <w:szCs w:val="21"/>
                <w:highlight w:val="none"/>
              </w:rPr>
            </w:pPr>
          </w:p>
        </w:tc>
        <w:tc>
          <w:tcPr>
            <w:tcW w:w="856" w:type="dxa"/>
          </w:tcPr>
          <w:p w14:paraId="439931D8">
            <w:pPr>
              <w:spacing w:line="360" w:lineRule="auto"/>
              <w:ind w:firstLine="420" w:firstLineChars="200"/>
              <w:rPr>
                <w:rFonts w:ascii="宋体" w:hAnsi="宋体" w:cs="宋体"/>
                <w:color w:val="auto"/>
                <w:szCs w:val="21"/>
                <w:highlight w:val="none"/>
              </w:rPr>
            </w:pPr>
          </w:p>
        </w:tc>
      </w:tr>
      <w:tr w14:paraId="08B29C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jc w:val="center"/>
        </w:trPr>
        <w:tc>
          <w:tcPr>
            <w:tcW w:w="1098" w:type="dxa"/>
          </w:tcPr>
          <w:p w14:paraId="6BF9FCFD">
            <w:pPr>
              <w:spacing w:line="360" w:lineRule="auto"/>
              <w:ind w:firstLine="420" w:firstLineChars="200"/>
              <w:rPr>
                <w:rFonts w:ascii="宋体" w:hAnsi="宋体" w:cs="宋体"/>
                <w:color w:val="auto"/>
                <w:szCs w:val="21"/>
                <w:highlight w:val="none"/>
              </w:rPr>
            </w:pPr>
          </w:p>
        </w:tc>
        <w:tc>
          <w:tcPr>
            <w:tcW w:w="855" w:type="dxa"/>
          </w:tcPr>
          <w:p w14:paraId="706B75F6">
            <w:pPr>
              <w:spacing w:line="360" w:lineRule="auto"/>
              <w:ind w:firstLine="420" w:firstLineChars="200"/>
              <w:rPr>
                <w:rFonts w:ascii="宋体" w:hAnsi="宋体" w:cs="宋体"/>
                <w:color w:val="auto"/>
                <w:szCs w:val="21"/>
                <w:highlight w:val="none"/>
              </w:rPr>
            </w:pPr>
          </w:p>
        </w:tc>
        <w:tc>
          <w:tcPr>
            <w:tcW w:w="1014" w:type="dxa"/>
          </w:tcPr>
          <w:p w14:paraId="6599488A">
            <w:pPr>
              <w:spacing w:line="360" w:lineRule="auto"/>
              <w:ind w:firstLine="420" w:firstLineChars="200"/>
              <w:rPr>
                <w:rFonts w:ascii="宋体" w:hAnsi="宋体" w:cs="宋体"/>
                <w:color w:val="auto"/>
                <w:szCs w:val="21"/>
                <w:highlight w:val="none"/>
              </w:rPr>
            </w:pPr>
          </w:p>
        </w:tc>
        <w:tc>
          <w:tcPr>
            <w:tcW w:w="685" w:type="dxa"/>
          </w:tcPr>
          <w:p w14:paraId="4480BECF">
            <w:pPr>
              <w:spacing w:line="360" w:lineRule="auto"/>
              <w:ind w:firstLine="420" w:firstLineChars="200"/>
              <w:rPr>
                <w:rFonts w:ascii="宋体" w:hAnsi="宋体" w:cs="宋体"/>
                <w:color w:val="auto"/>
                <w:szCs w:val="21"/>
                <w:highlight w:val="none"/>
              </w:rPr>
            </w:pPr>
          </w:p>
        </w:tc>
        <w:tc>
          <w:tcPr>
            <w:tcW w:w="856" w:type="dxa"/>
          </w:tcPr>
          <w:p w14:paraId="1A24DB86">
            <w:pPr>
              <w:spacing w:line="360" w:lineRule="auto"/>
              <w:ind w:firstLine="420" w:firstLineChars="200"/>
              <w:rPr>
                <w:rFonts w:ascii="宋体" w:hAnsi="宋体" w:cs="宋体"/>
                <w:color w:val="auto"/>
                <w:szCs w:val="21"/>
                <w:highlight w:val="none"/>
              </w:rPr>
            </w:pPr>
          </w:p>
        </w:tc>
        <w:tc>
          <w:tcPr>
            <w:tcW w:w="988" w:type="dxa"/>
          </w:tcPr>
          <w:p w14:paraId="130672BB">
            <w:pPr>
              <w:spacing w:line="360" w:lineRule="auto"/>
              <w:ind w:firstLine="420" w:firstLineChars="200"/>
              <w:rPr>
                <w:rFonts w:ascii="宋体" w:hAnsi="宋体" w:cs="宋体"/>
                <w:color w:val="auto"/>
                <w:szCs w:val="21"/>
                <w:highlight w:val="none"/>
              </w:rPr>
            </w:pPr>
          </w:p>
        </w:tc>
        <w:tc>
          <w:tcPr>
            <w:tcW w:w="1002" w:type="dxa"/>
          </w:tcPr>
          <w:p w14:paraId="796C3B9C">
            <w:pPr>
              <w:spacing w:line="360" w:lineRule="auto"/>
              <w:ind w:firstLine="420" w:firstLineChars="200"/>
              <w:rPr>
                <w:rFonts w:ascii="宋体" w:hAnsi="宋体" w:cs="宋体"/>
                <w:color w:val="auto"/>
                <w:szCs w:val="21"/>
                <w:highlight w:val="none"/>
              </w:rPr>
            </w:pPr>
          </w:p>
        </w:tc>
        <w:tc>
          <w:tcPr>
            <w:tcW w:w="907" w:type="dxa"/>
          </w:tcPr>
          <w:p w14:paraId="4837BB0B">
            <w:pPr>
              <w:spacing w:line="360" w:lineRule="auto"/>
              <w:ind w:firstLine="420" w:firstLineChars="200"/>
              <w:rPr>
                <w:rFonts w:ascii="宋体" w:hAnsi="宋体" w:cs="宋体"/>
                <w:color w:val="auto"/>
                <w:szCs w:val="21"/>
                <w:highlight w:val="none"/>
              </w:rPr>
            </w:pPr>
          </w:p>
        </w:tc>
        <w:tc>
          <w:tcPr>
            <w:tcW w:w="856" w:type="dxa"/>
          </w:tcPr>
          <w:p w14:paraId="1D0F7A14">
            <w:pPr>
              <w:spacing w:line="360" w:lineRule="auto"/>
              <w:ind w:firstLine="420" w:firstLineChars="200"/>
              <w:rPr>
                <w:rFonts w:ascii="宋体" w:hAnsi="宋体" w:cs="宋体"/>
                <w:color w:val="auto"/>
                <w:szCs w:val="21"/>
                <w:highlight w:val="none"/>
              </w:rPr>
            </w:pPr>
          </w:p>
        </w:tc>
        <w:tc>
          <w:tcPr>
            <w:tcW w:w="856" w:type="dxa"/>
          </w:tcPr>
          <w:p w14:paraId="75CB0603">
            <w:pPr>
              <w:spacing w:line="360" w:lineRule="auto"/>
              <w:ind w:firstLine="420" w:firstLineChars="200"/>
              <w:rPr>
                <w:rFonts w:ascii="宋体" w:hAnsi="宋体" w:cs="宋体"/>
                <w:color w:val="auto"/>
                <w:szCs w:val="21"/>
                <w:highlight w:val="none"/>
              </w:rPr>
            </w:pPr>
          </w:p>
        </w:tc>
      </w:tr>
      <w:tr w14:paraId="5127E8C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40" w:hRule="atLeast"/>
          <w:jc w:val="center"/>
        </w:trPr>
        <w:tc>
          <w:tcPr>
            <w:tcW w:w="1098" w:type="dxa"/>
          </w:tcPr>
          <w:p w14:paraId="472A9445">
            <w:pPr>
              <w:spacing w:line="360" w:lineRule="auto"/>
              <w:ind w:firstLine="420" w:firstLineChars="200"/>
              <w:rPr>
                <w:rFonts w:ascii="宋体" w:hAnsi="宋体" w:cs="宋体"/>
                <w:color w:val="auto"/>
                <w:szCs w:val="21"/>
                <w:highlight w:val="none"/>
              </w:rPr>
            </w:pPr>
          </w:p>
        </w:tc>
        <w:tc>
          <w:tcPr>
            <w:tcW w:w="855" w:type="dxa"/>
          </w:tcPr>
          <w:p w14:paraId="4786F6A1">
            <w:pPr>
              <w:spacing w:line="360" w:lineRule="auto"/>
              <w:ind w:firstLine="420" w:firstLineChars="200"/>
              <w:rPr>
                <w:rFonts w:ascii="宋体" w:hAnsi="宋体" w:cs="宋体"/>
                <w:color w:val="auto"/>
                <w:szCs w:val="21"/>
                <w:highlight w:val="none"/>
              </w:rPr>
            </w:pPr>
          </w:p>
        </w:tc>
        <w:tc>
          <w:tcPr>
            <w:tcW w:w="1014" w:type="dxa"/>
          </w:tcPr>
          <w:p w14:paraId="1FB056FB">
            <w:pPr>
              <w:spacing w:line="360" w:lineRule="auto"/>
              <w:ind w:firstLine="420" w:firstLineChars="200"/>
              <w:rPr>
                <w:rFonts w:ascii="宋体" w:hAnsi="宋体" w:cs="宋体"/>
                <w:color w:val="auto"/>
                <w:szCs w:val="21"/>
                <w:highlight w:val="none"/>
              </w:rPr>
            </w:pPr>
          </w:p>
        </w:tc>
        <w:tc>
          <w:tcPr>
            <w:tcW w:w="685" w:type="dxa"/>
          </w:tcPr>
          <w:p w14:paraId="4B05A284">
            <w:pPr>
              <w:spacing w:line="360" w:lineRule="auto"/>
              <w:ind w:firstLine="420" w:firstLineChars="200"/>
              <w:rPr>
                <w:rFonts w:ascii="宋体" w:hAnsi="宋体" w:cs="宋体"/>
                <w:color w:val="auto"/>
                <w:szCs w:val="21"/>
                <w:highlight w:val="none"/>
              </w:rPr>
            </w:pPr>
          </w:p>
        </w:tc>
        <w:tc>
          <w:tcPr>
            <w:tcW w:w="856" w:type="dxa"/>
          </w:tcPr>
          <w:p w14:paraId="323878CC">
            <w:pPr>
              <w:spacing w:line="360" w:lineRule="auto"/>
              <w:ind w:firstLine="420" w:firstLineChars="200"/>
              <w:rPr>
                <w:rFonts w:ascii="宋体" w:hAnsi="宋体" w:cs="宋体"/>
                <w:color w:val="auto"/>
                <w:szCs w:val="21"/>
                <w:highlight w:val="none"/>
              </w:rPr>
            </w:pPr>
          </w:p>
        </w:tc>
        <w:tc>
          <w:tcPr>
            <w:tcW w:w="988" w:type="dxa"/>
          </w:tcPr>
          <w:p w14:paraId="3B7EF197">
            <w:pPr>
              <w:spacing w:line="360" w:lineRule="auto"/>
              <w:ind w:firstLine="420" w:firstLineChars="200"/>
              <w:rPr>
                <w:rFonts w:ascii="宋体" w:hAnsi="宋体" w:cs="宋体"/>
                <w:color w:val="auto"/>
                <w:szCs w:val="21"/>
                <w:highlight w:val="none"/>
              </w:rPr>
            </w:pPr>
          </w:p>
        </w:tc>
        <w:tc>
          <w:tcPr>
            <w:tcW w:w="1002" w:type="dxa"/>
          </w:tcPr>
          <w:p w14:paraId="100712A3">
            <w:pPr>
              <w:spacing w:line="360" w:lineRule="auto"/>
              <w:ind w:firstLine="420" w:firstLineChars="200"/>
              <w:rPr>
                <w:rFonts w:ascii="宋体" w:hAnsi="宋体" w:cs="宋体"/>
                <w:color w:val="auto"/>
                <w:szCs w:val="21"/>
                <w:highlight w:val="none"/>
              </w:rPr>
            </w:pPr>
          </w:p>
        </w:tc>
        <w:tc>
          <w:tcPr>
            <w:tcW w:w="907" w:type="dxa"/>
          </w:tcPr>
          <w:p w14:paraId="7A62B673">
            <w:pPr>
              <w:spacing w:line="360" w:lineRule="auto"/>
              <w:ind w:firstLine="420" w:firstLineChars="200"/>
              <w:rPr>
                <w:rFonts w:ascii="宋体" w:hAnsi="宋体" w:cs="宋体"/>
                <w:color w:val="auto"/>
                <w:szCs w:val="21"/>
                <w:highlight w:val="none"/>
              </w:rPr>
            </w:pPr>
          </w:p>
        </w:tc>
        <w:tc>
          <w:tcPr>
            <w:tcW w:w="856" w:type="dxa"/>
          </w:tcPr>
          <w:p w14:paraId="37FE65AB">
            <w:pPr>
              <w:spacing w:line="360" w:lineRule="auto"/>
              <w:ind w:firstLine="420" w:firstLineChars="200"/>
              <w:rPr>
                <w:rFonts w:ascii="宋体" w:hAnsi="宋体" w:cs="宋体"/>
                <w:color w:val="auto"/>
                <w:szCs w:val="21"/>
                <w:highlight w:val="none"/>
              </w:rPr>
            </w:pPr>
          </w:p>
        </w:tc>
        <w:tc>
          <w:tcPr>
            <w:tcW w:w="856" w:type="dxa"/>
          </w:tcPr>
          <w:p w14:paraId="358F2FC2">
            <w:pPr>
              <w:spacing w:line="360" w:lineRule="auto"/>
              <w:ind w:firstLine="420" w:firstLineChars="200"/>
              <w:rPr>
                <w:rFonts w:ascii="宋体" w:hAnsi="宋体" w:cs="宋体"/>
                <w:color w:val="auto"/>
                <w:szCs w:val="21"/>
                <w:highlight w:val="none"/>
              </w:rPr>
            </w:pPr>
          </w:p>
        </w:tc>
      </w:tr>
    </w:tbl>
    <w:p w14:paraId="03195F07">
      <w:pPr>
        <w:pStyle w:val="4"/>
        <w:rPr>
          <w:rFonts w:ascii="宋体" w:hAnsi="宋体" w:cs="宋体"/>
          <w:color w:val="auto"/>
          <w:highlight w:val="none"/>
        </w:rPr>
      </w:pPr>
      <w:r>
        <w:rPr>
          <w:rFonts w:hint="eastAsia" w:ascii="宋体" w:hAnsi="宋体" w:cs="宋体"/>
          <w:color w:val="auto"/>
          <w:highlight w:val="none"/>
        </w:rPr>
        <w:br w:type="page"/>
      </w:r>
      <w:r>
        <w:rPr>
          <w:rFonts w:hint="eastAsia" w:ascii="宋体" w:hAnsi="宋体"/>
          <w:color w:val="auto"/>
          <w:sz w:val="24"/>
          <w:szCs w:val="24"/>
          <w:highlight w:val="none"/>
        </w:rPr>
        <w:t>附件2：</w:t>
      </w:r>
    </w:p>
    <w:p w14:paraId="7F5F4F61">
      <w:pPr>
        <w:spacing w:before="156" w:beforeLines="50" w:after="156" w:afterLines="50" w:line="360" w:lineRule="auto"/>
        <w:ind w:firstLine="643" w:firstLineChars="200"/>
        <w:jc w:val="center"/>
        <w:rPr>
          <w:rFonts w:ascii="宋体" w:hAnsi="宋体" w:cs="宋体"/>
          <w:b/>
          <w:color w:val="auto"/>
          <w:sz w:val="32"/>
          <w:szCs w:val="32"/>
          <w:highlight w:val="none"/>
        </w:rPr>
      </w:pPr>
      <w:r>
        <w:rPr>
          <w:rFonts w:hint="eastAsia" w:ascii="宋体" w:hAnsi="宋体" w:cs="宋体"/>
          <w:b/>
          <w:color w:val="auto"/>
          <w:sz w:val="32"/>
          <w:szCs w:val="32"/>
          <w:highlight w:val="none"/>
        </w:rPr>
        <w:t>主要建设工程文件目录</w:t>
      </w:r>
    </w:p>
    <w:tbl>
      <w:tblPr>
        <w:tblStyle w:val="17"/>
        <w:tblW w:w="0" w:type="auto"/>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28" w:type="dxa"/>
          <w:bottom w:w="0" w:type="dxa"/>
          <w:right w:w="28" w:type="dxa"/>
        </w:tblCellMar>
      </w:tblPr>
      <w:tblGrid>
        <w:gridCol w:w="1953"/>
        <w:gridCol w:w="1276"/>
        <w:gridCol w:w="1450"/>
        <w:gridCol w:w="1243"/>
        <w:gridCol w:w="1450"/>
        <w:gridCol w:w="1667"/>
      </w:tblGrid>
      <w:tr w14:paraId="35ABE868">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1953" w:type="dxa"/>
            <w:tcBorders>
              <w:top w:val="single" w:color="auto" w:sz="12" w:space="0"/>
              <w:bottom w:val="double" w:color="auto" w:sz="6" w:space="0"/>
            </w:tcBorders>
            <w:vAlign w:val="center"/>
          </w:tcPr>
          <w:p w14:paraId="06753328">
            <w:pPr>
              <w:keepNext/>
              <w:spacing w:line="360" w:lineRule="auto"/>
              <w:ind w:left="63" w:right="63" w:firstLine="420" w:firstLineChars="200"/>
              <w:rPr>
                <w:rFonts w:ascii="宋体" w:hAnsi="宋体" w:cs="宋体"/>
                <w:color w:val="auto"/>
                <w:highlight w:val="none"/>
              </w:rPr>
            </w:pPr>
            <w:r>
              <w:rPr>
                <w:rFonts w:hint="eastAsia" w:ascii="宋体" w:hAnsi="宋体" w:cs="宋体"/>
                <w:color w:val="auto"/>
                <w:highlight w:val="none"/>
              </w:rPr>
              <w:t>文件名称</w:t>
            </w:r>
          </w:p>
        </w:tc>
        <w:tc>
          <w:tcPr>
            <w:tcW w:w="1276" w:type="dxa"/>
            <w:tcBorders>
              <w:top w:val="single" w:color="auto" w:sz="12" w:space="0"/>
              <w:bottom w:val="double" w:color="auto" w:sz="6" w:space="0"/>
            </w:tcBorders>
            <w:vAlign w:val="center"/>
          </w:tcPr>
          <w:p w14:paraId="593833C3">
            <w:pPr>
              <w:keepNext/>
              <w:spacing w:line="360" w:lineRule="auto"/>
              <w:ind w:left="63" w:right="63" w:firstLine="420" w:firstLineChars="200"/>
              <w:rPr>
                <w:rFonts w:ascii="宋体" w:hAnsi="宋体" w:cs="宋体"/>
                <w:color w:val="auto"/>
                <w:highlight w:val="none"/>
              </w:rPr>
            </w:pPr>
            <w:r>
              <w:rPr>
                <w:rFonts w:hint="eastAsia" w:ascii="宋体" w:hAnsi="宋体" w:cs="宋体"/>
                <w:color w:val="auto"/>
                <w:highlight w:val="none"/>
              </w:rPr>
              <w:t>套数</w:t>
            </w:r>
          </w:p>
        </w:tc>
        <w:tc>
          <w:tcPr>
            <w:tcW w:w="1450" w:type="dxa"/>
            <w:tcBorders>
              <w:top w:val="single" w:color="auto" w:sz="12" w:space="0"/>
              <w:bottom w:val="double" w:color="auto" w:sz="6" w:space="0"/>
            </w:tcBorders>
            <w:vAlign w:val="center"/>
          </w:tcPr>
          <w:p w14:paraId="5C269C73">
            <w:pPr>
              <w:keepNext/>
              <w:spacing w:line="360" w:lineRule="auto"/>
              <w:ind w:left="63" w:right="63" w:firstLine="420" w:firstLineChars="200"/>
              <w:rPr>
                <w:rFonts w:ascii="宋体" w:hAnsi="宋体" w:cs="宋体"/>
                <w:color w:val="auto"/>
                <w:highlight w:val="none"/>
              </w:rPr>
            </w:pPr>
            <w:r>
              <w:rPr>
                <w:rFonts w:hint="eastAsia" w:ascii="宋体" w:hAnsi="宋体" w:cs="宋体"/>
                <w:color w:val="auto"/>
                <w:highlight w:val="none"/>
              </w:rPr>
              <w:t>费用（元）</w:t>
            </w:r>
          </w:p>
        </w:tc>
        <w:tc>
          <w:tcPr>
            <w:tcW w:w="1243" w:type="dxa"/>
            <w:tcBorders>
              <w:top w:val="single" w:color="auto" w:sz="12" w:space="0"/>
              <w:bottom w:val="double" w:color="auto" w:sz="6" w:space="0"/>
            </w:tcBorders>
            <w:vAlign w:val="center"/>
          </w:tcPr>
          <w:p w14:paraId="504CD519">
            <w:pPr>
              <w:keepNext/>
              <w:spacing w:line="360" w:lineRule="auto"/>
              <w:ind w:left="63" w:right="63" w:firstLine="420" w:firstLineChars="200"/>
              <w:rPr>
                <w:rFonts w:ascii="宋体" w:hAnsi="宋体" w:cs="宋体"/>
                <w:color w:val="auto"/>
                <w:highlight w:val="none"/>
              </w:rPr>
            </w:pPr>
            <w:r>
              <w:rPr>
                <w:rFonts w:hint="eastAsia" w:ascii="宋体" w:hAnsi="宋体" w:cs="宋体"/>
                <w:color w:val="auto"/>
                <w:highlight w:val="none"/>
              </w:rPr>
              <w:t>质量</w:t>
            </w:r>
          </w:p>
        </w:tc>
        <w:tc>
          <w:tcPr>
            <w:tcW w:w="1450" w:type="dxa"/>
            <w:tcBorders>
              <w:top w:val="single" w:color="auto" w:sz="12" w:space="0"/>
              <w:bottom w:val="double" w:color="auto" w:sz="6" w:space="0"/>
            </w:tcBorders>
          </w:tcPr>
          <w:p w14:paraId="2E97FA72">
            <w:pPr>
              <w:spacing w:line="360" w:lineRule="auto"/>
              <w:ind w:firstLine="420" w:firstLineChars="200"/>
              <w:jc w:val="center"/>
              <w:rPr>
                <w:rFonts w:ascii="宋体" w:hAnsi="宋体" w:cs="宋体"/>
                <w:color w:val="auto"/>
                <w:highlight w:val="none"/>
              </w:rPr>
            </w:pPr>
            <w:r>
              <w:rPr>
                <w:rFonts w:hint="eastAsia" w:ascii="宋体" w:hAnsi="宋体" w:cs="宋体"/>
                <w:color w:val="auto"/>
                <w:highlight w:val="none"/>
              </w:rPr>
              <w:t>移交时间</w:t>
            </w:r>
          </w:p>
        </w:tc>
        <w:tc>
          <w:tcPr>
            <w:tcW w:w="1667" w:type="dxa"/>
            <w:tcBorders>
              <w:top w:val="single" w:color="auto" w:sz="12" w:space="0"/>
              <w:bottom w:val="double" w:color="auto" w:sz="6" w:space="0"/>
            </w:tcBorders>
          </w:tcPr>
          <w:p w14:paraId="176FC381">
            <w:pPr>
              <w:spacing w:line="360" w:lineRule="auto"/>
              <w:ind w:firstLine="420" w:firstLineChars="200"/>
              <w:jc w:val="center"/>
              <w:rPr>
                <w:rFonts w:ascii="宋体" w:hAnsi="宋体" w:cs="宋体"/>
                <w:color w:val="auto"/>
                <w:highlight w:val="none"/>
              </w:rPr>
            </w:pPr>
            <w:r>
              <w:rPr>
                <w:rFonts w:hint="eastAsia" w:ascii="宋体" w:hAnsi="宋体" w:cs="宋体"/>
                <w:color w:val="auto"/>
                <w:highlight w:val="none"/>
              </w:rPr>
              <w:t>责任人</w:t>
            </w:r>
          </w:p>
        </w:tc>
      </w:tr>
      <w:tr w14:paraId="5FE0F41B">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953" w:type="dxa"/>
            <w:tcBorders>
              <w:top w:val="double" w:color="auto" w:sz="6" w:space="0"/>
            </w:tcBorders>
            <w:vAlign w:val="center"/>
          </w:tcPr>
          <w:p w14:paraId="1EFFAEA2">
            <w:pPr>
              <w:keepNext/>
              <w:spacing w:line="360" w:lineRule="auto"/>
              <w:ind w:left="63" w:right="63" w:firstLine="420" w:firstLineChars="200"/>
              <w:rPr>
                <w:rFonts w:ascii="宋体" w:hAnsi="宋体" w:cs="宋体"/>
                <w:color w:val="auto"/>
                <w:highlight w:val="none"/>
              </w:rPr>
            </w:pPr>
          </w:p>
        </w:tc>
        <w:tc>
          <w:tcPr>
            <w:tcW w:w="1276" w:type="dxa"/>
            <w:tcBorders>
              <w:top w:val="double" w:color="auto" w:sz="6" w:space="0"/>
            </w:tcBorders>
            <w:vAlign w:val="center"/>
          </w:tcPr>
          <w:p w14:paraId="51DB2FF4">
            <w:pPr>
              <w:keepNext/>
              <w:spacing w:line="360" w:lineRule="auto"/>
              <w:ind w:left="63" w:right="63" w:firstLine="420" w:firstLineChars="200"/>
              <w:rPr>
                <w:rFonts w:ascii="宋体" w:hAnsi="宋体" w:cs="宋体"/>
                <w:color w:val="auto"/>
                <w:highlight w:val="none"/>
              </w:rPr>
            </w:pPr>
          </w:p>
        </w:tc>
        <w:tc>
          <w:tcPr>
            <w:tcW w:w="1450" w:type="dxa"/>
            <w:tcBorders>
              <w:top w:val="double" w:color="auto" w:sz="6" w:space="0"/>
            </w:tcBorders>
            <w:vAlign w:val="center"/>
          </w:tcPr>
          <w:p w14:paraId="60CB78D5">
            <w:pPr>
              <w:keepNext/>
              <w:spacing w:line="360" w:lineRule="auto"/>
              <w:ind w:left="63" w:right="63" w:firstLine="420" w:firstLineChars="200"/>
              <w:rPr>
                <w:rFonts w:ascii="宋体" w:hAnsi="宋体" w:cs="宋体"/>
                <w:color w:val="auto"/>
                <w:highlight w:val="none"/>
              </w:rPr>
            </w:pPr>
          </w:p>
        </w:tc>
        <w:tc>
          <w:tcPr>
            <w:tcW w:w="1243" w:type="dxa"/>
            <w:tcBorders>
              <w:top w:val="double" w:color="auto" w:sz="6" w:space="0"/>
            </w:tcBorders>
            <w:vAlign w:val="center"/>
          </w:tcPr>
          <w:p w14:paraId="78E7715F">
            <w:pPr>
              <w:keepNext/>
              <w:spacing w:line="360" w:lineRule="auto"/>
              <w:ind w:left="63" w:right="63" w:firstLine="420" w:firstLineChars="200"/>
              <w:rPr>
                <w:rFonts w:ascii="宋体" w:hAnsi="宋体" w:cs="宋体"/>
                <w:color w:val="auto"/>
                <w:highlight w:val="none"/>
              </w:rPr>
            </w:pPr>
          </w:p>
        </w:tc>
        <w:tc>
          <w:tcPr>
            <w:tcW w:w="1450" w:type="dxa"/>
            <w:tcBorders>
              <w:top w:val="double" w:color="auto" w:sz="6" w:space="0"/>
            </w:tcBorders>
            <w:vAlign w:val="center"/>
          </w:tcPr>
          <w:p w14:paraId="61F53C3A">
            <w:pPr>
              <w:keepNext/>
              <w:spacing w:line="360" w:lineRule="auto"/>
              <w:ind w:left="63" w:right="63" w:firstLine="420" w:firstLineChars="200"/>
              <w:rPr>
                <w:rFonts w:ascii="宋体" w:hAnsi="宋体" w:cs="宋体"/>
                <w:color w:val="auto"/>
                <w:highlight w:val="none"/>
              </w:rPr>
            </w:pPr>
          </w:p>
        </w:tc>
        <w:tc>
          <w:tcPr>
            <w:tcW w:w="1667" w:type="dxa"/>
            <w:tcBorders>
              <w:top w:val="double" w:color="auto" w:sz="6" w:space="0"/>
            </w:tcBorders>
            <w:vAlign w:val="center"/>
          </w:tcPr>
          <w:p w14:paraId="18145A82">
            <w:pPr>
              <w:keepNext/>
              <w:spacing w:line="360" w:lineRule="auto"/>
              <w:ind w:left="63" w:right="63" w:firstLine="420" w:firstLineChars="200"/>
              <w:rPr>
                <w:rFonts w:ascii="宋体" w:hAnsi="宋体" w:cs="宋体"/>
                <w:color w:val="auto"/>
                <w:highlight w:val="none"/>
              </w:rPr>
            </w:pPr>
          </w:p>
        </w:tc>
      </w:tr>
      <w:tr w14:paraId="3B961B41">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953" w:type="dxa"/>
            <w:tcBorders>
              <w:top w:val="nil"/>
            </w:tcBorders>
            <w:vAlign w:val="center"/>
          </w:tcPr>
          <w:p w14:paraId="5401A991">
            <w:pPr>
              <w:keepNext/>
              <w:spacing w:line="360" w:lineRule="auto"/>
              <w:ind w:left="63" w:right="63" w:firstLine="420" w:firstLineChars="200"/>
              <w:rPr>
                <w:rFonts w:ascii="宋体" w:hAnsi="宋体" w:cs="宋体"/>
                <w:color w:val="auto"/>
                <w:highlight w:val="none"/>
              </w:rPr>
            </w:pPr>
          </w:p>
        </w:tc>
        <w:tc>
          <w:tcPr>
            <w:tcW w:w="1276" w:type="dxa"/>
            <w:tcBorders>
              <w:top w:val="nil"/>
            </w:tcBorders>
            <w:vAlign w:val="center"/>
          </w:tcPr>
          <w:p w14:paraId="5ED2FFE2">
            <w:pPr>
              <w:keepNext/>
              <w:spacing w:line="360" w:lineRule="auto"/>
              <w:ind w:left="63" w:right="63" w:firstLine="420" w:firstLineChars="200"/>
              <w:rPr>
                <w:rFonts w:ascii="宋体" w:hAnsi="宋体" w:cs="宋体"/>
                <w:color w:val="auto"/>
                <w:highlight w:val="none"/>
              </w:rPr>
            </w:pPr>
          </w:p>
        </w:tc>
        <w:tc>
          <w:tcPr>
            <w:tcW w:w="1450" w:type="dxa"/>
            <w:tcBorders>
              <w:top w:val="nil"/>
            </w:tcBorders>
            <w:vAlign w:val="center"/>
          </w:tcPr>
          <w:p w14:paraId="5FAF63A1">
            <w:pPr>
              <w:keepNext/>
              <w:spacing w:line="360" w:lineRule="auto"/>
              <w:ind w:left="63" w:right="63" w:firstLine="420" w:firstLineChars="200"/>
              <w:rPr>
                <w:rFonts w:ascii="宋体" w:hAnsi="宋体" w:cs="宋体"/>
                <w:color w:val="auto"/>
                <w:highlight w:val="none"/>
              </w:rPr>
            </w:pPr>
          </w:p>
        </w:tc>
        <w:tc>
          <w:tcPr>
            <w:tcW w:w="1243" w:type="dxa"/>
            <w:tcBorders>
              <w:top w:val="nil"/>
            </w:tcBorders>
            <w:vAlign w:val="center"/>
          </w:tcPr>
          <w:p w14:paraId="668E1238">
            <w:pPr>
              <w:keepNext/>
              <w:spacing w:line="360" w:lineRule="auto"/>
              <w:ind w:left="63" w:right="63" w:firstLine="420" w:firstLineChars="200"/>
              <w:rPr>
                <w:rFonts w:ascii="宋体" w:hAnsi="宋体" w:cs="宋体"/>
                <w:color w:val="auto"/>
                <w:highlight w:val="none"/>
              </w:rPr>
            </w:pPr>
          </w:p>
        </w:tc>
        <w:tc>
          <w:tcPr>
            <w:tcW w:w="1450" w:type="dxa"/>
            <w:tcBorders>
              <w:top w:val="nil"/>
            </w:tcBorders>
            <w:vAlign w:val="center"/>
          </w:tcPr>
          <w:p w14:paraId="735DDC69">
            <w:pPr>
              <w:keepNext/>
              <w:spacing w:line="360" w:lineRule="auto"/>
              <w:ind w:left="63" w:right="63" w:firstLine="420" w:firstLineChars="200"/>
              <w:rPr>
                <w:rFonts w:ascii="宋体" w:hAnsi="宋体" w:cs="宋体"/>
                <w:color w:val="auto"/>
                <w:highlight w:val="none"/>
              </w:rPr>
            </w:pPr>
          </w:p>
        </w:tc>
        <w:tc>
          <w:tcPr>
            <w:tcW w:w="1667" w:type="dxa"/>
            <w:tcBorders>
              <w:top w:val="nil"/>
            </w:tcBorders>
            <w:vAlign w:val="center"/>
          </w:tcPr>
          <w:p w14:paraId="72DDA1D3">
            <w:pPr>
              <w:keepNext/>
              <w:spacing w:line="360" w:lineRule="auto"/>
              <w:ind w:left="63" w:right="63" w:firstLine="420" w:firstLineChars="200"/>
              <w:rPr>
                <w:rFonts w:ascii="宋体" w:hAnsi="宋体" w:cs="宋体"/>
                <w:color w:val="auto"/>
                <w:highlight w:val="none"/>
              </w:rPr>
            </w:pPr>
          </w:p>
        </w:tc>
      </w:tr>
      <w:tr w14:paraId="32F06424">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953" w:type="dxa"/>
            <w:vAlign w:val="center"/>
          </w:tcPr>
          <w:p w14:paraId="08A07358">
            <w:pPr>
              <w:keepNext/>
              <w:spacing w:line="360" w:lineRule="auto"/>
              <w:ind w:left="63" w:right="63" w:firstLine="420" w:firstLineChars="200"/>
              <w:rPr>
                <w:rFonts w:ascii="宋体" w:hAnsi="宋体" w:cs="宋体"/>
                <w:color w:val="auto"/>
                <w:highlight w:val="none"/>
              </w:rPr>
            </w:pPr>
          </w:p>
        </w:tc>
        <w:tc>
          <w:tcPr>
            <w:tcW w:w="1276" w:type="dxa"/>
            <w:vAlign w:val="center"/>
          </w:tcPr>
          <w:p w14:paraId="0E75AB92">
            <w:pPr>
              <w:keepNext/>
              <w:spacing w:line="360" w:lineRule="auto"/>
              <w:ind w:left="63" w:right="63" w:firstLine="420" w:firstLineChars="200"/>
              <w:rPr>
                <w:rFonts w:ascii="宋体" w:hAnsi="宋体" w:cs="宋体"/>
                <w:color w:val="auto"/>
                <w:highlight w:val="none"/>
              </w:rPr>
            </w:pPr>
          </w:p>
        </w:tc>
        <w:tc>
          <w:tcPr>
            <w:tcW w:w="1450" w:type="dxa"/>
            <w:vAlign w:val="center"/>
          </w:tcPr>
          <w:p w14:paraId="5343C725">
            <w:pPr>
              <w:keepNext/>
              <w:spacing w:line="360" w:lineRule="auto"/>
              <w:ind w:left="63" w:right="63" w:firstLine="420" w:firstLineChars="200"/>
              <w:rPr>
                <w:rFonts w:ascii="宋体" w:hAnsi="宋体" w:cs="宋体"/>
                <w:color w:val="auto"/>
                <w:highlight w:val="none"/>
              </w:rPr>
            </w:pPr>
          </w:p>
        </w:tc>
        <w:tc>
          <w:tcPr>
            <w:tcW w:w="1243" w:type="dxa"/>
            <w:vAlign w:val="center"/>
          </w:tcPr>
          <w:p w14:paraId="6A3BBEBD">
            <w:pPr>
              <w:keepNext/>
              <w:spacing w:line="360" w:lineRule="auto"/>
              <w:ind w:left="63" w:right="63" w:firstLine="420" w:firstLineChars="200"/>
              <w:rPr>
                <w:rFonts w:ascii="宋体" w:hAnsi="宋体" w:cs="宋体"/>
                <w:color w:val="auto"/>
                <w:highlight w:val="none"/>
              </w:rPr>
            </w:pPr>
          </w:p>
        </w:tc>
        <w:tc>
          <w:tcPr>
            <w:tcW w:w="1450" w:type="dxa"/>
            <w:vAlign w:val="center"/>
          </w:tcPr>
          <w:p w14:paraId="111152DF">
            <w:pPr>
              <w:keepNext/>
              <w:spacing w:line="360" w:lineRule="auto"/>
              <w:ind w:left="63" w:right="63" w:firstLine="420" w:firstLineChars="200"/>
              <w:rPr>
                <w:rFonts w:ascii="宋体" w:hAnsi="宋体" w:cs="宋体"/>
                <w:color w:val="auto"/>
                <w:highlight w:val="none"/>
              </w:rPr>
            </w:pPr>
          </w:p>
        </w:tc>
        <w:tc>
          <w:tcPr>
            <w:tcW w:w="1667" w:type="dxa"/>
            <w:vAlign w:val="center"/>
          </w:tcPr>
          <w:p w14:paraId="60A4F24D">
            <w:pPr>
              <w:keepNext/>
              <w:spacing w:line="360" w:lineRule="auto"/>
              <w:ind w:left="63" w:right="63" w:firstLine="420" w:firstLineChars="200"/>
              <w:rPr>
                <w:rFonts w:ascii="宋体" w:hAnsi="宋体" w:cs="宋体"/>
                <w:color w:val="auto"/>
                <w:highlight w:val="none"/>
              </w:rPr>
            </w:pPr>
          </w:p>
        </w:tc>
      </w:tr>
      <w:tr w14:paraId="47E90AA1">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953" w:type="dxa"/>
            <w:vAlign w:val="center"/>
          </w:tcPr>
          <w:p w14:paraId="4B3E8FB2">
            <w:pPr>
              <w:keepNext/>
              <w:spacing w:line="360" w:lineRule="auto"/>
              <w:ind w:left="63" w:right="63" w:firstLine="420" w:firstLineChars="200"/>
              <w:rPr>
                <w:rFonts w:ascii="宋体" w:hAnsi="宋体" w:cs="宋体"/>
                <w:color w:val="auto"/>
                <w:highlight w:val="none"/>
              </w:rPr>
            </w:pPr>
          </w:p>
        </w:tc>
        <w:tc>
          <w:tcPr>
            <w:tcW w:w="1276" w:type="dxa"/>
            <w:vAlign w:val="center"/>
          </w:tcPr>
          <w:p w14:paraId="3A1B789B">
            <w:pPr>
              <w:keepNext/>
              <w:spacing w:line="360" w:lineRule="auto"/>
              <w:ind w:left="63" w:right="63" w:firstLine="420" w:firstLineChars="200"/>
              <w:rPr>
                <w:rFonts w:ascii="宋体" w:hAnsi="宋体" w:cs="宋体"/>
                <w:color w:val="auto"/>
                <w:highlight w:val="none"/>
              </w:rPr>
            </w:pPr>
          </w:p>
        </w:tc>
        <w:tc>
          <w:tcPr>
            <w:tcW w:w="1450" w:type="dxa"/>
            <w:vAlign w:val="center"/>
          </w:tcPr>
          <w:p w14:paraId="4AEE9D16">
            <w:pPr>
              <w:keepNext/>
              <w:spacing w:line="360" w:lineRule="auto"/>
              <w:ind w:left="63" w:right="63" w:firstLine="420" w:firstLineChars="200"/>
              <w:rPr>
                <w:rFonts w:ascii="宋体" w:hAnsi="宋体" w:cs="宋体"/>
                <w:color w:val="auto"/>
                <w:highlight w:val="none"/>
              </w:rPr>
            </w:pPr>
          </w:p>
        </w:tc>
        <w:tc>
          <w:tcPr>
            <w:tcW w:w="1243" w:type="dxa"/>
            <w:vAlign w:val="center"/>
          </w:tcPr>
          <w:p w14:paraId="3F0D3979">
            <w:pPr>
              <w:keepNext/>
              <w:spacing w:line="360" w:lineRule="auto"/>
              <w:ind w:left="63" w:right="63" w:firstLine="420" w:firstLineChars="200"/>
              <w:rPr>
                <w:rFonts w:ascii="宋体" w:hAnsi="宋体" w:cs="宋体"/>
                <w:color w:val="auto"/>
                <w:highlight w:val="none"/>
              </w:rPr>
            </w:pPr>
          </w:p>
        </w:tc>
        <w:tc>
          <w:tcPr>
            <w:tcW w:w="1450" w:type="dxa"/>
            <w:vAlign w:val="center"/>
          </w:tcPr>
          <w:p w14:paraId="7962A0AF">
            <w:pPr>
              <w:keepNext/>
              <w:spacing w:line="360" w:lineRule="auto"/>
              <w:ind w:left="63" w:right="63" w:firstLine="420" w:firstLineChars="200"/>
              <w:rPr>
                <w:rFonts w:ascii="宋体" w:hAnsi="宋体" w:cs="宋体"/>
                <w:color w:val="auto"/>
                <w:highlight w:val="none"/>
              </w:rPr>
            </w:pPr>
          </w:p>
        </w:tc>
        <w:tc>
          <w:tcPr>
            <w:tcW w:w="1667" w:type="dxa"/>
            <w:vAlign w:val="center"/>
          </w:tcPr>
          <w:p w14:paraId="57BB4F96">
            <w:pPr>
              <w:keepNext/>
              <w:spacing w:line="360" w:lineRule="auto"/>
              <w:ind w:left="63" w:right="63" w:firstLine="420" w:firstLineChars="200"/>
              <w:rPr>
                <w:rFonts w:ascii="宋体" w:hAnsi="宋体" w:cs="宋体"/>
                <w:color w:val="auto"/>
                <w:highlight w:val="none"/>
              </w:rPr>
            </w:pPr>
          </w:p>
        </w:tc>
      </w:tr>
      <w:tr w14:paraId="5782BAFE">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953" w:type="dxa"/>
            <w:vAlign w:val="center"/>
          </w:tcPr>
          <w:p w14:paraId="524993DC">
            <w:pPr>
              <w:keepNext/>
              <w:spacing w:line="360" w:lineRule="auto"/>
              <w:ind w:left="63" w:right="63" w:firstLine="420" w:firstLineChars="200"/>
              <w:rPr>
                <w:rFonts w:ascii="宋体" w:hAnsi="宋体" w:cs="宋体"/>
                <w:color w:val="auto"/>
                <w:highlight w:val="none"/>
              </w:rPr>
            </w:pPr>
          </w:p>
        </w:tc>
        <w:tc>
          <w:tcPr>
            <w:tcW w:w="1276" w:type="dxa"/>
            <w:vAlign w:val="center"/>
          </w:tcPr>
          <w:p w14:paraId="6BBA42CD">
            <w:pPr>
              <w:keepNext/>
              <w:spacing w:line="360" w:lineRule="auto"/>
              <w:ind w:left="63" w:right="63" w:firstLine="420" w:firstLineChars="200"/>
              <w:rPr>
                <w:rFonts w:ascii="宋体" w:hAnsi="宋体" w:cs="宋体"/>
                <w:color w:val="auto"/>
                <w:highlight w:val="none"/>
              </w:rPr>
            </w:pPr>
          </w:p>
        </w:tc>
        <w:tc>
          <w:tcPr>
            <w:tcW w:w="1450" w:type="dxa"/>
            <w:vAlign w:val="center"/>
          </w:tcPr>
          <w:p w14:paraId="63A1912E">
            <w:pPr>
              <w:keepNext/>
              <w:spacing w:line="360" w:lineRule="auto"/>
              <w:ind w:left="63" w:right="63" w:firstLine="420" w:firstLineChars="200"/>
              <w:rPr>
                <w:rFonts w:ascii="宋体" w:hAnsi="宋体" w:cs="宋体"/>
                <w:color w:val="auto"/>
                <w:highlight w:val="none"/>
              </w:rPr>
            </w:pPr>
          </w:p>
        </w:tc>
        <w:tc>
          <w:tcPr>
            <w:tcW w:w="1243" w:type="dxa"/>
            <w:vAlign w:val="center"/>
          </w:tcPr>
          <w:p w14:paraId="484B8254">
            <w:pPr>
              <w:keepNext/>
              <w:spacing w:line="360" w:lineRule="auto"/>
              <w:ind w:left="63" w:right="63" w:firstLine="420" w:firstLineChars="200"/>
              <w:rPr>
                <w:rFonts w:ascii="宋体" w:hAnsi="宋体" w:cs="宋体"/>
                <w:color w:val="auto"/>
                <w:highlight w:val="none"/>
              </w:rPr>
            </w:pPr>
          </w:p>
        </w:tc>
        <w:tc>
          <w:tcPr>
            <w:tcW w:w="1450" w:type="dxa"/>
            <w:vAlign w:val="center"/>
          </w:tcPr>
          <w:p w14:paraId="13D3AA95">
            <w:pPr>
              <w:keepNext/>
              <w:spacing w:line="360" w:lineRule="auto"/>
              <w:ind w:left="63" w:right="63" w:firstLine="420" w:firstLineChars="200"/>
              <w:rPr>
                <w:rFonts w:ascii="宋体" w:hAnsi="宋体" w:cs="宋体"/>
                <w:color w:val="auto"/>
                <w:highlight w:val="none"/>
              </w:rPr>
            </w:pPr>
          </w:p>
        </w:tc>
        <w:tc>
          <w:tcPr>
            <w:tcW w:w="1667" w:type="dxa"/>
            <w:vAlign w:val="center"/>
          </w:tcPr>
          <w:p w14:paraId="3A43D658">
            <w:pPr>
              <w:keepNext/>
              <w:spacing w:line="360" w:lineRule="auto"/>
              <w:ind w:left="63" w:right="63" w:firstLine="420" w:firstLineChars="200"/>
              <w:rPr>
                <w:rFonts w:ascii="宋体" w:hAnsi="宋体" w:cs="宋体"/>
                <w:color w:val="auto"/>
                <w:highlight w:val="none"/>
              </w:rPr>
            </w:pPr>
          </w:p>
        </w:tc>
      </w:tr>
      <w:tr w14:paraId="4E5AF0AF">
        <w:tblPrEx>
          <w:tblCellMar>
            <w:top w:w="0" w:type="dxa"/>
            <w:left w:w="28" w:type="dxa"/>
            <w:bottom w:w="0" w:type="dxa"/>
            <w:right w:w="28" w:type="dxa"/>
          </w:tblCellMar>
        </w:tblPrEx>
        <w:trPr>
          <w:trHeight w:val="567" w:hRule="atLeast"/>
          <w:jc w:val="center"/>
        </w:trPr>
        <w:tc>
          <w:tcPr>
            <w:tcW w:w="1953" w:type="dxa"/>
            <w:vAlign w:val="center"/>
          </w:tcPr>
          <w:p w14:paraId="4D4C97FC">
            <w:pPr>
              <w:keepNext/>
              <w:spacing w:line="360" w:lineRule="auto"/>
              <w:ind w:left="63" w:right="63" w:firstLine="420" w:firstLineChars="200"/>
              <w:rPr>
                <w:rFonts w:ascii="宋体" w:hAnsi="宋体" w:cs="宋体"/>
                <w:color w:val="auto"/>
                <w:highlight w:val="none"/>
              </w:rPr>
            </w:pPr>
          </w:p>
        </w:tc>
        <w:tc>
          <w:tcPr>
            <w:tcW w:w="1276" w:type="dxa"/>
            <w:vAlign w:val="center"/>
          </w:tcPr>
          <w:p w14:paraId="0E6F861A">
            <w:pPr>
              <w:keepNext/>
              <w:spacing w:line="360" w:lineRule="auto"/>
              <w:ind w:left="63" w:right="63" w:firstLine="420" w:firstLineChars="200"/>
              <w:rPr>
                <w:rFonts w:ascii="宋体" w:hAnsi="宋体" w:cs="宋体"/>
                <w:color w:val="auto"/>
                <w:highlight w:val="none"/>
              </w:rPr>
            </w:pPr>
          </w:p>
        </w:tc>
        <w:tc>
          <w:tcPr>
            <w:tcW w:w="1450" w:type="dxa"/>
            <w:vAlign w:val="center"/>
          </w:tcPr>
          <w:p w14:paraId="677847F8">
            <w:pPr>
              <w:keepNext/>
              <w:spacing w:line="360" w:lineRule="auto"/>
              <w:ind w:left="63" w:right="63" w:firstLine="420" w:firstLineChars="200"/>
              <w:rPr>
                <w:rFonts w:ascii="宋体" w:hAnsi="宋体" w:cs="宋体"/>
                <w:color w:val="auto"/>
                <w:highlight w:val="none"/>
              </w:rPr>
            </w:pPr>
          </w:p>
        </w:tc>
        <w:tc>
          <w:tcPr>
            <w:tcW w:w="1243" w:type="dxa"/>
            <w:vAlign w:val="center"/>
          </w:tcPr>
          <w:p w14:paraId="0C6DDB99">
            <w:pPr>
              <w:keepNext/>
              <w:spacing w:line="360" w:lineRule="auto"/>
              <w:ind w:left="63" w:right="63" w:firstLine="420" w:firstLineChars="200"/>
              <w:rPr>
                <w:rFonts w:ascii="宋体" w:hAnsi="宋体" w:cs="宋体"/>
                <w:color w:val="auto"/>
                <w:highlight w:val="none"/>
              </w:rPr>
            </w:pPr>
          </w:p>
        </w:tc>
        <w:tc>
          <w:tcPr>
            <w:tcW w:w="1450" w:type="dxa"/>
            <w:vAlign w:val="center"/>
          </w:tcPr>
          <w:p w14:paraId="6D8E42A3">
            <w:pPr>
              <w:keepNext/>
              <w:spacing w:line="360" w:lineRule="auto"/>
              <w:ind w:left="63" w:right="63" w:firstLine="420" w:firstLineChars="200"/>
              <w:rPr>
                <w:rFonts w:ascii="宋体" w:hAnsi="宋体" w:cs="宋体"/>
                <w:color w:val="auto"/>
                <w:highlight w:val="none"/>
              </w:rPr>
            </w:pPr>
          </w:p>
        </w:tc>
        <w:tc>
          <w:tcPr>
            <w:tcW w:w="1667" w:type="dxa"/>
            <w:vAlign w:val="center"/>
          </w:tcPr>
          <w:p w14:paraId="059F610D">
            <w:pPr>
              <w:keepNext/>
              <w:spacing w:line="360" w:lineRule="auto"/>
              <w:ind w:left="63" w:right="63" w:firstLine="420" w:firstLineChars="200"/>
              <w:rPr>
                <w:rFonts w:ascii="宋体" w:hAnsi="宋体" w:cs="宋体"/>
                <w:color w:val="auto"/>
                <w:highlight w:val="none"/>
              </w:rPr>
            </w:pPr>
          </w:p>
        </w:tc>
      </w:tr>
      <w:tr w14:paraId="471C6D2B">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953" w:type="dxa"/>
            <w:vAlign w:val="center"/>
          </w:tcPr>
          <w:p w14:paraId="11D055EC">
            <w:pPr>
              <w:keepNext/>
              <w:spacing w:line="360" w:lineRule="auto"/>
              <w:ind w:left="63" w:right="63" w:firstLine="420" w:firstLineChars="200"/>
              <w:rPr>
                <w:rFonts w:ascii="宋体" w:hAnsi="宋体" w:cs="宋体"/>
                <w:color w:val="auto"/>
                <w:highlight w:val="none"/>
              </w:rPr>
            </w:pPr>
          </w:p>
        </w:tc>
        <w:tc>
          <w:tcPr>
            <w:tcW w:w="1276" w:type="dxa"/>
            <w:vAlign w:val="center"/>
          </w:tcPr>
          <w:p w14:paraId="007D0B3E">
            <w:pPr>
              <w:keepNext/>
              <w:spacing w:line="360" w:lineRule="auto"/>
              <w:ind w:left="63" w:right="63" w:firstLine="420" w:firstLineChars="200"/>
              <w:rPr>
                <w:rFonts w:ascii="宋体" w:hAnsi="宋体" w:cs="宋体"/>
                <w:color w:val="auto"/>
                <w:highlight w:val="none"/>
              </w:rPr>
            </w:pPr>
          </w:p>
        </w:tc>
        <w:tc>
          <w:tcPr>
            <w:tcW w:w="1450" w:type="dxa"/>
            <w:vAlign w:val="center"/>
          </w:tcPr>
          <w:p w14:paraId="5824E818">
            <w:pPr>
              <w:keepNext/>
              <w:spacing w:line="360" w:lineRule="auto"/>
              <w:ind w:left="63" w:right="63" w:firstLine="420" w:firstLineChars="200"/>
              <w:rPr>
                <w:rFonts w:ascii="宋体" w:hAnsi="宋体" w:cs="宋体"/>
                <w:color w:val="auto"/>
                <w:highlight w:val="none"/>
              </w:rPr>
            </w:pPr>
          </w:p>
        </w:tc>
        <w:tc>
          <w:tcPr>
            <w:tcW w:w="1243" w:type="dxa"/>
            <w:vAlign w:val="center"/>
          </w:tcPr>
          <w:p w14:paraId="1AE8BEC2">
            <w:pPr>
              <w:keepNext/>
              <w:spacing w:line="360" w:lineRule="auto"/>
              <w:ind w:left="63" w:right="63" w:firstLine="420" w:firstLineChars="200"/>
              <w:rPr>
                <w:rFonts w:ascii="宋体" w:hAnsi="宋体" w:cs="宋体"/>
                <w:color w:val="auto"/>
                <w:highlight w:val="none"/>
              </w:rPr>
            </w:pPr>
          </w:p>
        </w:tc>
        <w:tc>
          <w:tcPr>
            <w:tcW w:w="1450" w:type="dxa"/>
            <w:vAlign w:val="center"/>
          </w:tcPr>
          <w:p w14:paraId="6DEAD5D7">
            <w:pPr>
              <w:keepNext/>
              <w:spacing w:line="360" w:lineRule="auto"/>
              <w:ind w:left="63" w:right="63" w:firstLine="420" w:firstLineChars="200"/>
              <w:rPr>
                <w:rFonts w:ascii="宋体" w:hAnsi="宋体" w:cs="宋体"/>
                <w:color w:val="auto"/>
                <w:highlight w:val="none"/>
              </w:rPr>
            </w:pPr>
          </w:p>
        </w:tc>
        <w:tc>
          <w:tcPr>
            <w:tcW w:w="1667" w:type="dxa"/>
            <w:vAlign w:val="center"/>
          </w:tcPr>
          <w:p w14:paraId="651A903D">
            <w:pPr>
              <w:keepNext/>
              <w:spacing w:line="360" w:lineRule="auto"/>
              <w:ind w:left="63" w:right="63" w:firstLine="420" w:firstLineChars="200"/>
              <w:rPr>
                <w:rFonts w:ascii="宋体" w:hAnsi="宋体" w:cs="宋体"/>
                <w:color w:val="auto"/>
                <w:highlight w:val="none"/>
              </w:rPr>
            </w:pPr>
          </w:p>
        </w:tc>
      </w:tr>
      <w:tr w14:paraId="5313FD4F">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953" w:type="dxa"/>
            <w:vAlign w:val="center"/>
          </w:tcPr>
          <w:p w14:paraId="2894F1E0">
            <w:pPr>
              <w:keepNext/>
              <w:spacing w:line="360" w:lineRule="auto"/>
              <w:ind w:left="63" w:right="63" w:firstLine="420" w:firstLineChars="200"/>
              <w:rPr>
                <w:rFonts w:ascii="宋体" w:hAnsi="宋体" w:cs="宋体"/>
                <w:color w:val="auto"/>
                <w:highlight w:val="none"/>
              </w:rPr>
            </w:pPr>
          </w:p>
        </w:tc>
        <w:tc>
          <w:tcPr>
            <w:tcW w:w="1276" w:type="dxa"/>
            <w:vAlign w:val="center"/>
          </w:tcPr>
          <w:p w14:paraId="750FDD63">
            <w:pPr>
              <w:keepNext/>
              <w:spacing w:line="360" w:lineRule="auto"/>
              <w:ind w:left="63" w:right="63" w:firstLine="420" w:firstLineChars="200"/>
              <w:rPr>
                <w:rFonts w:ascii="宋体" w:hAnsi="宋体" w:cs="宋体"/>
                <w:color w:val="auto"/>
                <w:highlight w:val="none"/>
              </w:rPr>
            </w:pPr>
          </w:p>
        </w:tc>
        <w:tc>
          <w:tcPr>
            <w:tcW w:w="1450" w:type="dxa"/>
            <w:vAlign w:val="center"/>
          </w:tcPr>
          <w:p w14:paraId="7CAD15F3">
            <w:pPr>
              <w:keepNext/>
              <w:spacing w:line="360" w:lineRule="auto"/>
              <w:ind w:left="63" w:right="63" w:firstLine="420" w:firstLineChars="200"/>
              <w:rPr>
                <w:rFonts w:ascii="宋体" w:hAnsi="宋体" w:cs="宋体"/>
                <w:color w:val="auto"/>
                <w:highlight w:val="none"/>
              </w:rPr>
            </w:pPr>
          </w:p>
        </w:tc>
        <w:tc>
          <w:tcPr>
            <w:tcW w:w="1243" w:type="dxa"/>
            <w:vAlign w:val="center"/>
          </w:tcPr>
          <w:p w14:paraId="172FF634">
            <w:pPr>
              <w:keepNext/>
              <w:spacing w:line="360" w:lineRule="auto"/>
              <w:ind w:left="63" w:right="63" w:firstLine="420" w:firstLineChars="200"/>
              <w:rPr>
                <w:rFonts w:ascii="宋体" w:hAnsi="宋体" w:cs="宋体"/>
                <w:color w:val="auto"/>
                <w:highlight w:val="none"/>
              </w:rPr>
            </w:pPr>
          </w:p>
        </w:tc>
        <w:tc>
          <w:tcPr>
            <w:tcW w:w="1450" w:type="dxa"/>
            <w:vAlign w:val="center"/>
          </w:tcPr>
          <w:p w14:paraId="2604E429">
            <w:pPr>
              <w:keepNext/>
              <w:spacing w:line="360" w:lineRule="auto"/>
              <w:ind w:left="63" w:right="63" w:firstLine="420" w:firstLineChars="200"/>
              <w:rPr>
                <w:rFonts w:ascii="宋体" w:hAnsi="宋体" w:cs="宋体"/>
                <w:color w:val="auto"/>
                <w:highlight w:val="none"/>
              </w:rPr>
            </w:pPr>
          </w:p>
        </w:tc>
        <w:tc>
          <w:tcPr>
            <w:tcW w:w="1667" w:type="dxa"/>
            <w:vAlign w:val="center"/>
          </w:tcPr>
          <w:p w14:paraId="24B1C65F">
            <w:pPr>
              <w:keepNext/>
              <w:spacing w:line="360" w:lineRule="auto"/>
              <w:ind w:left="63" w:right="63" w:firstLine="420" w:firstLineChars="200"/>
              <w:rPr>
                <w:rFonts w:ascii="宋体" w:hAnsi="宋体" w:cs="宋体"/>
                <w:color w:val="auto"/>
                <w:highlight w:val="none"/>
              </w:rPr>
            </w:pPr>
          </w:p>
        </w:tc>
      </w:tr>
      <w:tr w14:paraId="5F2AD004">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953" w:type="dxa"/>
          </w:tcPr>
          <w:p w14:paraId="40E98E86">
            <w:pPr>
              <w:spacing w:line="360" w:lineRule="auto"/>
              <w:ind w:firstLine="420" w:firstLineChars="200"/>
              <w:rPr>
                <w:rFonts w:ascii="宋体" w:hAnsi="宋体" w:cs="宋体"/>
                <w:color w:val="auto"/>
                <w:highlight w:val="none"/>
              </w:rPr>
            </w:pPr>
          </w:p>
        </w:tc>
        <w:tc>
          <w:tcPr>
            <w:tcW w:w="1276" w:type="dxa"/>
          </w:tcPr>
          <w:p w14:paraId="5B0D87D0">
            <w:pPr>
              <w:spacing w:line="360" w:lineRule="auto"/>
              <w:ind w:firstLine="420" w:firstLineChars="200"/>
              <w:rPr>
                <w:rFonts w:ascii="宋体" w:hAnsi="宋体" w:cs="宋体"/>
                <w:color w:val="auto"/>
                <w:highlight w:val="none"/>
              </w:rPr>
            </w:pPr>
          </w:p>
        </w:tc>
        <w:tc>
          <w:tcPr>
            <w:tcW w:w="1450" w:type="dxa"/>
          </w:tcPr>
          <w:p w14:paraId="31202E4D">
            <w:pPr>
              <w:spacing w:line="360" w:lineRule="auto"/>
              <w:ind w:firstLine="420" w:firstLineChars="200"/>
              <w:rPr>
                <w:rFonts w:ascii="宋体" w:hAnsi="宋体" w:cs="宋体"/>
                <w:color w:val="auto"/>
                <w:highlight w:val="none"/>
              </w:rPr>
            </w:pPr>
          </w:p>
        </w:tc>
        <w:tc>
          <w:tcPr>
            <w:tcW w:w="1243" w:type="dxa"/>
          </w:tcPr>
          <w:p w14:paraId="3A9CFD7D">
            <w:pPr>
              <w:spacing w:line="360" w:lineRule="auto"/>
              <w:ind w:firstLine="420" w:firstLineChars="200"/>
              <w:rPr>
                <w:rFonts w:ascii="宋体" w:hAnsi="宋体" w:cs="宋体"/>
                <w:color w:val="auto"/>
                <w:highlight w:val="none"/>
              </w:rPr>
            </w:pPr>
          </w:p>
        </w:tc>
        <w:tc>
          <w:tcPr>
            <w:tcW w:w="1450" w:type="dxa"/>
          </w:tcPr>
          <w:p w14:paraId="33B5831F">
            <w:pPr>
              <w:spacing w:line="360" w:lineRule="auto"/>
              <w:ind w:firstLine="420" w:firstLineChars="200"/>
              <w:rPr>
                <w:rFonts w:ascii="宋体" w:hAnsi="宋体" w:cs="宋体"/>
                <w:color w:val="auto"/>
                <w:highlight w:val="none"/>
              </w:rPr>
            </w:pPr>
          </w:p>
        </w:tc>
        <w:tc>
          <w:tcPr>
            <w:tcW w:w="1667" w:type="dxa"/>
          </w:tcPr>
          <w:p w14:paraId="55740684">
            <w:pPr>
              <w:spacing w:line="360" w:lineRule="auto"/>
              <w:ind w:firstLine="420" w:firstLineChars="200"/>
              <w:rPr>
                <w:rFonts w:ascii="宋体" w:hAnsi="宋体" w:cs="宋体"/>
                <w:color w:val="auto"/>
                <w:highlight w:val="none"/>
              </w:rPr>
            </w:pPr>
          </w:p>
        </w:tc>
      </w:tr>
      <w:tr w14:paraId="19D49EEC">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953" w:type="dxa"/>
            <w:vAlign w:val="center"/>
          </w:tcPr>
          <w:p w14:paraId="087B1009">
            <w:pPr>
              <w:keepNext/>
              <w:spacing w:line="360" w:lineRule="auto"/>
              <w:ind w:left="63" w:right="63" w:firstLine="420" w:firstLineChars="200"/>
              <w:rPr>
                <w:rFonts w:ascii="宋体" w:hAnsi="宋体" w:cs="宋体"/>
                <w:color w:val="auto"/>
                <w:highlight w:val="none"/>
              </w:rPr>
            </w:pPr>
          </w:p>
        </w:tc>
        <w:tc>
          <w:tcPr>
            <w:tcW w:w="1276" w:type="dxa"/>
            <w:vAlign w:val="center"/>
          </w:tcPr>
          <w:p w14:paraId="7422CFEE">
            <w:pPr>
              <w:keepNext/>
              <w:spacing w:line="360" w:lineRule="auto"/>
              <w:ind w:left="63" w:right="63" w:firstLine="420" w:firstLineChars="200"/>
              <w:rPr>
                <w:rFonts w:ascii="宋体" w:hAnsi="宋体" w:cs="宋体"/>
                <w:color w:val="auto"/>
                <w:highlight w:val="none"/>
              </w:rPr>
            </w:pPr>
          </w:p>
        </w:tc>
        <w:tc>
          <w:tcPr>
            <w:tcW w:w="1450" w:type="dxa"/>
            <w:vAlign w:val="center"/>
          </w:tcPr>
          <w:p w14:paraId="768FD32C">
            <w:pPr>
              <w:keepNext/>
              <w:spacing w:line="360" w:lineRule="auto"/>
              <w:ind w:left="63" w:right="63" w:firstLine="420" w:firstLineChars="200"/>
              <w:rPr>
                <w:rFonts w:ascii="宋体" w:hAnsi="宋体" w:cs="宋体"/>
                <w:color w:val="auto"/>
                <w:highlight w:val="none"/>
              </w:rPr>
            </w:pPr>
          </w:p>
        </w:tc>
        <w:tc>
          <w:tcPr>
            <w:tcW w:w="1243" w:type="dxa"/>
            <w:vAlign w:val="center"/>
          </w:tcPr>
          <w:p w14:paraId="06A5269D">
            <w:pPr>
              <w:keepNext/>
              <w:spacing w:line="360" w:lineRule="auto"/>
              <w:ind w:left="63" w:right="63" w:firstLine="420" w:firstLineChars="200"/>
              <w:rPr>
                <w:rFonts w:ascii="宋体" w:hAnsi="宋体" w:cs="宋体"/>
                <w:color w:val="auto"/>
                <w:highlight w:val="none"/>
              </w:rPr>
            </w:pPr>
          </w:p>
        </w:tc>
        <w:tc>
          <w:tcPr>
            <w:tcW w:w="1450" w:type="dxa"/>
            <w:vAlign w:val="center"/>
          </w:tcPr>
          <w:p w14:paraId="08C7109B">
            <w:pPr>
              <w:keepNext/>
              <w:spacing w:line="360" w:lineRule="auto"/>
              <w:ind w:left="63" w:right="63" w:firstLine="420" w:firstLineChars="200"/>
              <w:rPr>
                <w:rFonts w:ascii="宋体" w:hAnsi="宋体" w:cs="宋体"/>
                <w:color w:val="auto"/>
                <w:highlight w:val="none"/>
              </w:rPr>
            </w:pPr>
          </w:p>
        </w:tc>
        <w:tc>
          <w:tcPr>
            <w:tcW w:w="1667" w:type="dxa"/>
            <w:vAlign w:val="center"/>
          </w:tcPr>
          <w:p w14:paraId="57D4CD4B">
            <w:pPr>
              <w:keepNext/>
              <w:spacing w:line="360" w:lineRule="auto"/>
              <w:ind w:left="63" w:right="63" w:firstLine="420" w:firstLineChars="200"/>
              <w:rPr>
                <w:rFonts w:ascii="宋体" w:hAnsi="宋体" w:cs="宋体"/>
                <w:color w:val="auto"/>
                <w:highlight w:val="none"/>
              </w:rPr>
            </w:pPr>
          </w:p>
        </w:tc>
      </w:tr>
      <w:tr w14:paraId="2FF687FC">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953" w:type="dxa"/>
          </w:tcPr>
          <w:p w14:paraId="0CE19410">
            <w:pPr>
              <w:spacing w:line="360" w:lineRule="auto"/>
              <w:ind w:firstLine="420" w:firstLineChars="200"/>
              <w:rPr>
                <w:rFonts w:ascii="宋体" w:hAnsi="宋体" w:cs="宋体"/>
                <w:color w:val="auto"/>
                <w:highlight w:val="none"/>
              </w:rPr>
            </w:pPr>
          </w:p>
        </w:tc>
        <w:tc>
          <w:tcPr>
            <w:tcW w:w="1276" w:type="dxa"/>
          </w:tcPr>
          <w:p w14:paraId="44F9D280">
            <w:pPr>
              <w:spacing w:line="360" w:lineRule="auto"/>
              <w:ind w:firstLine="420" w:firstLineChars="200"/>
              <w:rPr>
                <w:rFonts w:ascii="宋体" w:hAnsi="宋体" w:cs="宋体"/>
                <w:color w:val="auto"/>
                <w:highlight w:val="none"/>
              </w:rPr>
            </w:pPr>
          </w:p>
        </w:tc>
        <w:tc>
          <w:tcPr>
            <w:tcW w:w="1450" w:type="dxa"/>
          </w:tcPr>
          <w:p w14:paraId="3F0D442E">
            <w:pPr>
              <w:spacing w:line="360" w:lineRule="auto"/>
              <w:ind w:firstLine="420" w:firstLineChars="200"/>
              <w:rPr>
                <w:rFonts w:ascii="宋体" w:hAnsi="宋体" w:cs="宋体"/>
                <w:color w:val="auto"/>
                <w:highlight w:val="none"/>
              </w:rPr>
            </w:pPr>
          </w:p>
        </w:tc>
        <w:tc>
          <w:tcPr>
            <w:tcW w:w="1243" w:type="dxa"/>
          </w:tcPr>
          <w:p w14:paraId="7AFD5DB7">
            <w:pPr>
              <w:spacing w:line="360" w:lineRule="auto"/>
              <w:ind w:firstLine="420" w:firstLineChars="200"/>
              <w:rPr>
                <w:rFonts w:ascii="宋体" w:hAnsi="宋体" w:cs="宋体"/>
                <w:color w:val="auto"/>
                <w:highlight w:val="none"/>
              </w:rPr>
            </w:pPr>
          </w:p>
        </w:tc>
        <w:tc>
          <w:tcPr>
            <w:tcW w:w="1450" w:type="dxa"/>
          </w:tcPr>
          <w:p w14:paraId="650140D8">
            <w:pPr>
              <w:spacing w:line="360" w:lineRule="auto"/>
              <w:ind w:firstLine="420" w:firstLineChars="200"/>
              <w:rPr>
                <w:rFonts w:ascii="宋体" w:hAnsi="宋体" w:cs="宋体"/>
                <w:color w:val="auto"/>
                <w:highlight w:val="none"/>
              </w:rPr>
            </w:pPr>
          </w:p>
        </w:tc>
        <w:tc>
          <w:tcPr>
            <w:tcW w:w="1667" w:type="dxa"/>
          </w:tcPr>
          <w:p w14:paraId="7C2198F9">
            <w:pPr>
              <w:spacing w:line="360" w:lineRule="auto"/>
              <w:ind w:firstLine="420" w:firstLineChars="200"/>
              <w:rPr>
                <w:rFonts w:ascii="宋体" w:hAnsi="宋体" w:cs="宋体"/>
                <w:color w:val="auto"/>
                <w:highlight w:val="none"/>
              </w:rPr>
            </w:pPr>
          </w:p>
        </w:tc>
      </w:tr>
      <w:tr w14:paraId="1571F646">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953" w:type="dxa"/>
          </w:tcPr>
          <w:p w14:paraId="1FCBAE62">
            <w:pPr>
              <w:spacing w:line="360" w:lineRule="auto"/>
              <w:ind w:firstLine="420" w:firstLineChars="200"/>
              <w:rPr>
                <w:rFonts w:ascii="宋体" w:hAnsi="宋体" w:cs="宋体"/>
                <w:color w:val="auto"/>
                <w:highlight w:val="none"/>
              </w:rPr>
            </w:pPr>
          </w:p>
        </w:tc>
        <w:tc>
          <w:tcPr>
            <w:tcW w:w="1276" w:type="dxa"/>
          </w:tcPr>
          <w:p w14:paraId="63EDA54A">
            <w:pPr>
              <w:spacing w:line="360" w:lineRule="auto"/>
              <w:ind w:firstLine="420" w:firstLineChars="200"/>
              <w:rPr>
                <w:rFonts w:ascii="宋体" w:hAnsi="宋体" w:cs="宋体"/>
                <w:color w:val="auto"/>
                <w:highlight w:val="none"/>
              </w:rPr>
            </w:pPr>
          </w:p>
        </w:tc>
        <w:tc>
          <w:tcPr>
            <w:tcW w:w="1450" w:type="dxa"/>
          </w:tcPr>
          <w:p w14:paraId="2EEAF0DC">
            <w:pPr>
              <w:spacing w:line="360" w:lineRule="auto"/>
              <w:ind w:firstLine="420" w:firstLineChars="200"/>
              <w:rPr>
                <w:rFonts w:ascii="宋体" w:hAnsi="宋体" w:cs="宋体"/>
                <w:color w:val="auto"/>
                <w:highlight w:val="none"/>
              </w:rPr>
            </w:pPr>
          </w:p>
        </w:tc>
        <w:tc>
          <w:tcPr>
            <w:tcW w:w="1243" w:type="dxa"/>
          </w:tcPr>
          <w:p w14:paraId="0626EDC2">
            <w:pPr>
              <w:spacing w:line="360" w:lineRule="auto"/>
              <w:ind w:firstLine="420" w:firstLineChars="200"/>
              <w:rPr>
                <w:rFonts w:ascii="宋体" w:hAnsi="宋体" w:cs="宋体"/>
                <w:color w:val="auto"/>
                <w:highlight w:val="none"/>
              </w:rPr>
            </w:pPr>
          </w:p>
        </w:tc>
        <w:tc>
          <w:tcPr>
            <w:tcW w:w="1450" w:type="dxa"/>
          </w:tcPr>
          <w:p w14:paraId="1E7BEA0B">
            <w:pPr>
              <w:spacing w:line="360" w:lineRule="auto"/>
              <w:ind w:firstLine="420" w:firstLineChars="200"/>
              <w:rPr>
                <w:rFonts w:ascii="宋体" w:hAnsi="宋体" w:cs="宋体"/>
                <w:color w:val="auto"/>
                <w:highlight w:val="none"/>
              </w:rPr>
            </w:pPr>
          </w:p>
        </w:tc>
        <w:tc>
          <w:tcPr>
            <w:tcW w:w="1667" w:type="dxa"/>
          </w:tcPr>
          <w:p w14:paraId="12CE752D">
            <w:pPr>
              <w:spacing w:line="360" w:lineRule="auto"/>
              <w:ind w:firstLine="420" w:firstLineChars="200"/>
              <w:rPr>
                <w:rFonts w:ascii="宋体" w:hAnsi="宋体" w:cs="宋体"/>
                <w:color w:val="auto"/>
                <w:highlight w:val="none"/>
              </w:rPr>
            </w:pPr>
          </w:p>
        </w:tc>
      </w:tr>
      <w:tr w14:paraId="7789482D">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953" w:type="dxa"/>
          </w:tcPr>
          <w:p w14:paraId="50019460">
            <w:pPr>
              <w:spacing w:line="360" w:lineRule="auto"/>
              <w:ind w:firstLine="420" w:firstLineChars="200"/>
              <w:rPr>
                <w:rFonts w:ascii="宋体" w:hAnsi="宋体" w:cs="宋体"/>
                <w:color w:val="auto"/>
                <w:highlight w:val="none"/>
              </w:rPr>
            </w:pPr>
          </w:p>
        </w:tc>
        <w:tc>
          <w:tcPr>
            <w:tcW w:w="1276" w:type="dxa"/>
          </w:tcPr>
          <w:p w14:paraId="67A60283">
            <w:pPr>
              <w:spacing w:line="360" w:lineRule="auto"/>
              <w:ind w:firstLine="420" w:firstLineChars="200"/>
              <w:rPr>
                <w:rFonts w:ascii="宋体" w:hAnsi="宋体" w:cs="宋体"/>
                <w:color w:val="auto"/>
                <w:highlight w:val="none"/>
              </w:rPr>
            </w:pPr>
          </w:p>
        </w:tc>
        <w:tc>
          <w:tcPr>
            <w:tcW w:w="1450" w:type="dxa"/>
          </w:tcPr>
          <w:p w14:paraId="66BB3B0C">
            <w:pPr>
              <w:spacing w:line="360" w:lineRule="auto"/>
              <w:ind w:firstLine="420" w:firstLineChars="200"/>
              <w:rPr>
                <w:rFonts w:ascii="宋体" w:hAnsi="宋体" w:cs="宋体"/>
                <w:color w:val="auto"/>
                <w:highlight w:val="none"/>
              </w:rPr>
            </w:pPr>
          </w:p>
        </w:tc>
        <w:tc>
          <w:tcPr>
            <w:tcW w:w="1243" w:type="dxa"/>
          </w:tcPr>
          <w:p w14:paraId="37D524EF">
            <w:pPr>
              <w:spacing w:line="360" w:lineRule="auto"/>
              <w:ind w:firstLine="420" w:firstLineChars="200"/>
              <w:rPr>
                <w:rFonts w:ascii="宋体" w:hAnsi="宋体" w:cs="宋体"/>
                <w:color w:val="auto"/>
                <w:highlight w:val="none"/>
              </w:rPr>
            </w:pPr>
          </w:p>
        </w:tc>
        <w:tc>
          <w:tcPr>
            <w:tcW w:w="1450" w:type="dxa"/>
          </w:tcPr>
          <w:p w14:paraId="06F6BC0B">
            <w:pPr>
              <w:spacing w:line="360" w:lineRule="auto"/>
              <w:ind w:firstLine="420" w:firstLineChars="200"/>
              <w:rPr>
                <w:rFonts w:ascii="宋体" w:hAnsi="宋体" w:cs="宋体"/>
                <w:color w:val="auto"/>
                <w:highlight w:val="none"/>
              </w:rPr>
            </w:pPr>
          </w:p>
        </w:tc>
        <w:tc>
          <w:tcPr>
            <w:tcW w:w="1667" w:type="dxa"/>
          </w:tcPr>
          <w:p w14:paraId="4298B5F5">
            <w:pPr>
              <w:spacing w:line="360" w:lineRule="auto"/>
              <w:ind w:firstLine="420" w:firstLineChars="200"/>
              <w:rPr>
                <w:rFonts w:ascii="宋体" w:hAnsi="宋体" w:cs="宋体"/>
                <w:color w:val="auto"/>
                <w:highlight w:val="none"/>
              </w:rPr>
            </w:pPr>
          </w:p>
        </w:tc>
      </w:tr>
      <w:tr w14:paraId="01FB6BB2">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953" w:type="dxa"/>
          </w:tcPr>
          <w:p w14:paraId="68A2CDD2">
            <w:pPr>
              <w:spacing w:line="360" w:lineRule="auto"/>
              <w:ind w:firstLine="420" w:firstLineChars="200"/>
              <w:rPr>
                <w:rFonts w:ascii="宋体" w:hAnsi="宋体" w:cs="宋体"/>
                <w:color w:val="auto"/>
                <w:highlight w:val="none"/>
              </w:rPr>
            </w:pPr>
          </w:p>
        </w:tc>
        <w:tc>
          <w:tcPr>
            <w:tcW w:w="1276" w:type="dxa"/>
          </w:tcPr>
          <w:p w14:paraId="48BEEBA6">
            <w:pPr>
              <w:spacing w:line="360" w:lineRule="auto"/>
              <w:ind w:firstLine="420" w:firstLineChars="200"/>
              <w:rPr>
                <w:rFonts w:ascii="宋体" w:hAnsi="宋体" w:cs="宋体"/>
                <w:color w:val="auto"/>
                <w:highlight w:val="none"/>
              </w:rPr>
            </w:pPr>
          </w:p>
        </w:tc>
        <w:tc>
          <w:tcPr>
            <w:tcW w:w="1450" w:type="dxa"/>
          </w:tcPr>
          <w:p w14:paraId="5F630A88">
            <w:pPr>
              <w:spacing w:line="360" w:lineRule="auto"/>
              <w:ind w:firstLine="420" w:firstLineChars="200"/>
              <w:rPr>
                <w:rFonts w:ascii="宋体" w:hAnsi="宋体" w:cs="宋体"/>
                <w:color w:val="auto"/>
                <w:highlight w:val="none"/>
              </w:rPr>
            </w:pPr>
          </w:p>
        </w:tc>
        <w:tc>
          <w:tcPr>
            <w:tcW w:w="1243" w:type="dxa"/>
          </w:tcPr>
          <w:p w14:paraId="7597EB54">
            <w:pPr>
              <w:spacing w:line="360" w:lineRule="auto"/>
              <w:ind w:firstLine="420" w:firstLineChars="200"/>
              <w:rPr>
                <w:rFonts w:ascii="宋体" w:hAnsi="宋体" w:cs="宋体"/>
                <w:color w:val="auto"/>
                <w:highlight w:val="none"/>
              </w:rPr>
            </w:pPr>
          </w:p>
        </w:tc>
        <w:tc>
          <w:tcPr>
            <w:tcW w:w="1450" w:type="dxa"/>
          </w:tcPr>
          <w:p w14:paraId="602BF33E">
            <w:pPr>
              <w:spacing w:line="360" w:lineRule="auto"/>
              <w:ind w:firstLine="420" w:firstLineChars="200"/>
              <w:rPr>
                <w:rFonts w:ascii="宋体" w:hAnsi="宋体" w:cs="宋体"/>
                <w:color w:val="auto"/>
                <w:highlight w:val="none"/>
              </w:rPr>
            </w:pPr>
          </w:p>
        </w:tc>
        <w:tc>
          <w:tcPr>
            <w:tcW w:w="1667" w:type="dxa"/>
          </w:tcPr>
          <w:p w14:paraId="111F89F0">
            <w:pPr>
              <w:spacing w:line="360" w:lineRule="auto"/>
              <w:ind w:firstLine="420" w:firstLineChars="200"/>
              <w:rPr>
                <w:rFonts w:ascii="宋体" w:hAnsi="宋体" w:cs="宋体"/>
                <w:color w:val="auto"/>
                <w:highlight w:val="none"/>
              </w:rPr>
            </w:pPr>
          </w:p>
        </w:tc>
      </w:tr>
      <w:tr w14:paraId="12A945B6">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953" w:type="dxa"/>
          </w:tcPr>
          <w:p w14:paraId="255F4549">
            <w:pPr>
              <w:spacing w:line="360" w:lineRule="auto"/>
              <w:ind w:firstLine="420" w:firstLineChars="200"/>
              <w:rPr>
                <w:rFonts w:ascii="宋体" w:hAnsi="宋体" w:cs="宋体"/>
                <w:color w:val="auto"/>
                <w:highlight w:val="none"/>
              </w:rPr>
            </w:pPr>
          </w:p>
        </w:tc>
        <w:tc>
          <w:tcPr>
            <w:tcW w:w="1276" w:type="dxa"/>
          </w:tcPr>
          <w:p w14:paraId="52F1CF26">
            <w:pPr>
              <w:spacing w:line="360" w:lineRule="auto"/>
              <w:ind w:firstLine="420" w:firstLineChars="200"/>
              <w:rPr>
                <w:rFonts w:ascii="宋体" w:hAnsi="宋体" w:cs="宋体"/>
                <w:color w:val="auto"/>
                <w:highlight w:val="none"/>
              </w:rPr>
            </w:pPr>
          </w:p>
        </w:tc>
        <w:tc>
          <w:tcPr>
            <w:tcW w:w="1450" w:type="dxa"/>
          </w:tcPr>
          <w:p w14:paraId="21A4B62E">
            <w:pPr>
              <w:spacing w:line="360" w:lineRule="auto"/>
              <w:ind w:firstLine="420" w:firstLineChars="200"/>
              <w:rPr>
                <w:rFonts w:ascii="宋体" w:hAnsi="宋体" w:cs="宋体"/>
                <w:color w:val="auto"/>
                <w:highlight w:val="none"/>
              </w:rPr>
            </w:pPr>
          </w:p>
        </w:tc>
        <w:tc>
          <w:tcPr>
            <w:tcW w:w="1243" w:type="dxa"/>
          </w:tcPr>
          <w:p w14:paraId="46EDC03A">
            <w:pPr>
              <w:spacing w:line="360" w:lineRule="auto"/>
              <w:ind w:firstLine="420" w:firstLineChars="200"/>
              <w:rPr>
                <w:rFonts w:ascii="宋体" w:hAnsi="宋体" w:cs="宋体"/>
                <w:color w:val="auto"/>
                <w:highlight w:val="none"/>
              </w:rPr>
            </w:pPr>
          </w:p>
        </w:tc>
        <w:tc>
          <w:tcPr>
            <w:tcW w:w="1450" w:type="dxa"/>
          </w:tcPr>
          <w:p w14:paraId="29F44FC8">
            <w:pPr>
              <w:spacing w:line="360" w:lineRule="auto"/>
              <w:ind w:firstLine="420" w:firstLineChars="200"/>
              <w:rPr>
                <w:rFonts w:ascii="宋体" w:hAnsi="宋体" w:cs="宋体"/>
                <w:color w:val="auto"/>
                <w:highlight w:val="none"/>
              </w:rPr>
            </w:pPr>
          </w:p>
        </w:tc>
        <w:tc>
          <w:tcPr>
            <w:tcW w:w="1667" w:type="dxa"/>
          </w:tcPr>
          <w:p w14:paraId="1CA575EA">
            <w:pPr>
              <w:spacing w:line="360" w:lineRule="auto"/>
              <w:ind w:firstLine="420" w:firstLineChars="200"/>
              <w:rPr>
                <w:rFonts w:ascii="宋体" w:hAnsi="宋体" w:cs="宋体"/>
                <w:color w:val="auto"/>
                <w:highlight w:val="none"/>
              </w:rPr>
            </w:pPr>
          </w:p>
        </w:tc>
      </w:tr>
      <w:tr w14:paraId="4B569CCF">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953" w:type="dxa"/>
          </w:tcPr>
          <w:p w14:paraId="02E41756">
            <w:pPr>
              <w:spacing w:line="360" w:lineRule="auto"/>
              <w:ind w:firstLine="420" w:firstLineChars="200"/>
              <w:rPr>
                <w:rFonts w:ascii="宋体" w:hAnsi="宋体" w:cs="宋体"/>
                <w:color w:val="auto"/>
                <w:highlight w:val="none"/>
              </w:rPr>
            </w:pPr>
          </w:p>
        </w:tc>
        <w:tc>
          <w:tcPr>
            <w:tcW w:w="1276" w:type="dxa"/>
          </w:tcPr>
          <w:p w14:paraId="035FE4E9">
            <w:pPr>
              <w:spacing w:line="360" w:lineRule="auto"/>
              <w:ind w:firstLine="420" w:firstLineChars="200"/>
              <w:rPr>
                <w:rFonts w:ascii="宋体" w:hAnsi="宋体" w:cs="宋体"/>
                <w:color w:val="auto"/>
                <w:highlight w:val="none"/>
              </w:rPr>
            </w:pPr>
          </w:p>
        </w:tc>
        <w:tc>
          <w:tcPr>
            <w:tcW w:w="1450" w:type="dxa"/>
          </w:tcPr>
          <w:p w14:paraId="10DD67A3">
            <w:pPr>
              <w:spacing w:line="360" w:lineRule="auto"/>
              <w:ind w:firstLine="420" w:firstLineChars="200"/>
              <w:rPr>
                <w:rFonts w:ascii="宋体" w:hAnsi="宋体" w:cs="宋体"/>
                <w:color w:val="auto"/>
                <w:highlight w:val="none"/>
              </w:rPr>
            </w:pPr>
          </w:p>
        </w:tc>
        <w:tc>
          <w:tcPr>
            <w:tcW w:w="1243" w:type="dxa"/>
          </w:tcPr>
          <w:p w14:paraId="18DD8A09">
            <w:pPr>
              <w:spacing w:line="360" w:lineRule="auto"/>
              <w:ind w:firstLine="420" w:firstLineChars="200"/>
              <w:rPr>
                <w:rFonts w:ascii="宋体" w:hAnsi="宋体" w:cs="宋体"/>
                <w:color w:val="auto"/>
                <w:highlight w:val="none"/>
              </w:rPr>
            </w:pPr>
          </w:p>
        </w:tc>
        <w:tc>
          <w:tcPr>
            <w:tcW w:w="1450" w:type="dxa"/>
          </w:tcPr>
          <w:p w14:paraId="06053DD9">
            <w:pPr>
              <w:spacing w:line="360" w:lineRule="auto"/>
              <w:ind w:firstLine="420" w:firstLineChars="200"/>
              <w:rPr>
                <w:rFonts w:ascii="宋体" w:hAnsi="宋体" w:cs="宋体"/>
                <w:color w:val="auto"/>
                <w:highlight w:val="none"/>
              </w:rPr>
            </w:pPr>
          </w:p>
        </w:tc>
        <w:tc>
          <w:tcPr>
            <w:tcW w:w="1667" w:type="dxa"/>
          </w:tcPr>
          <w:p w14:paraId="12225D01">
            <w:pPr>
              <w:spacing w:line="360" w:lineRule="auto"/>
              <w:ind w:firstLine="420" w:firstLineChars="200"/>
              <w:rPr>
                <w:rFonts w:ascii="宋体" w:hAnsi="宋体" w:cs="宋体"/>
                <w:color w:val="auto"/>
                <w:highlight w:val="none"/>
              </w:rPr>
            </w:pPr>
          </w:p>
        </w:tc>
      </w:tr>
      <w:tr w14:paraId="11BD9A87">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953" w:type="dxa"/>
          </w:tcPr>
          <w:p w14:paraId="54CA7E30">
            <w:pPr>
              <w:spacing w:line="360" w:lineRule="auto"/>
              <w:ind w:firstLine="420" w:firstLineChars="200"/>
              <w:rPr>
                <w:rFonts w:ascii="宋体" w:hAnsi="宋体" w:cs="宋体"/>
                <w:color w:val="auto"/>
                <w:highlight w:val="none"/>
              </w:rPr>
            </w:pPr>
          </w:p>
        </w:tc>
        <w:tc>
          <w:tcPr>
            <w:tcW w:w="1276" w:type="dxa"/>
          </w:tcPr>
          <w:p w14:paraId="7757D672">
            <w:pPr>
              <w:spacing w:line="360" w:lineRule="auto"/>
              <w:ind w:firstLine="420" w:firstLineChars="200"/>
              <w:rPr>
                <w:rFonts w:ascii="宋体" w:hAnsi="宋体" w:cs="宋体"/>
                <w:color w:val="auto"/>
                <w:highlight w:val="none"/>
              </w:rPr>
            </w:pPr>
          </w:p>
        </w:tc>
        <w:tc>
          <w:tcPr>
            <w:tcW w:w="1450" w:type="dxa"/>
          </w:tcPr>
          <w:p w14:paraId="7FCAB98A">
            <w:pPr>
              <w:spacing w:line="360" w:lineRule="auto"/>
              <w:ind w:firstLine="420" w:firstLineChars="200"/>
              <w:rPr>
                <w:rFonts w:ascii="宋体" w:hAnsi="宋体" w:cs="宋体"/>
                <w:color w:val="auto"/>
                <w:highlight w:val="none"/>
              </w:rPr>
            </w:pPr>
          </w:p>
        </w:tc>
        <w:tc>
          <w:tcPr>
            <w:tcW w:w="1243" w:type="dxa"/>
          </w:tcPr>
          <w:p w14:paraId="1F3CD327">
            <w:pPr>
              <w:spacing w:line="360" w:lineRule="auto"/>
              <w:ind w:firstLine="420" w:firstLineChars="200"/>
              <w:rPr>
                <w:rFonts w:ascii="宋体" w:hAnsi="宋体" w:cs="宋体"/>
                <w:color w:val="auto"/>
                <w:highlight w:val="none"/>
              </w:rPr>
            </w:pPr>
          </w:p>
        </w:tc>
        <w:tc>
          <w:tcPr>
            <w:tcW w:w="1450" w:type="dxa"/>
          </w:tcPr>
          <w:p w14:paraId="7B7D47EC">
            <w:pPr>
              <w:spacing w:line="360" w:lineRule="auto"/>
              <w:ind w:firstLine="420" w:firstLineChars="200"/>
              <w:rPr>
                <w:rFonts w:ascii="宋体" w:hAnsi="宋体" w:cs="宋体"/>
                <w:color w:val="auto"/>
                <w:highlight w:val="none"/>
              </w:rPr>
            </w:pPr>
          </w:p>
        </w:tc>
        <w:tc>
          <w:tcPr>
            <w:tcW w:w="1667" w:type="dxa"/>
          </w:tcPr>
          <w:p w14:paraId="103D10E3">
            <w:pPr>
              <w:spacing w:line="360" w:lineRule="auto"/>
              <w:ind w:firstLine="420" w:firstLineChars="200"/>
              <w:rPr>
                <w:rFonts w:ascii="宋体" w:hAnsi="宋体" w:cs="宋体"/>
                <w:color w:val="auto"/>
                <w:highlight w:val="none"/>
              </w:rPr>
            </w:pPr>
          </w:p>
        </w:tc>
      </w:tr>
      <w:tr w14:paraId="141F381C">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953" w:type="dxa"/>
          </w:tcPr>
          <w:p w14:paraId="31DDDA27">
            <w:pPr>
              <w:spacing w:line="360" w:lineRule="auto"/>
              <w:ind w:firstLine="420" w:firstLineChars="200"/>
              <w:rPr>
                <w:rFonts w:ascii="宋体" w:hAnsi="宋体" w:cs="宋体"/>
                <w:color w:val="auto"/>
                <w:highlight w:val="none"/>
              </w:rPr>
            </w:pPr>
          </w:p>
        </w:tc>
        <w:tc>
          <w:tcPr>
            <w:tcW w:w="1276" w:type="dxa"/>
          </w:tcPr>
          <w:p w14:paraId="2706CAFC">
            <w:pPr>
              <w:spacing w:line="360" w:lineRule="auto"/>
              <w:ind w:firstLine="420" w:firstLineChars="200"/>
              <w:rPr>
                <w:rFonts w:ascii="宋体" w:hAnsi="宋体" w:cs="宋体"/>
                <w:color w:val="auto"/>
                <w:highlight w:val="none"/>
              </w:rPr>
            </w:pPr>
          </w:p>
        </w:tc>
        <w:tc>
          <w:tcPr>
            <w:tcW w:w="1450" w:type="dxa"/>
          </w:tcPr>
          <w:p w14:paraId="4AA5DD98">
            <w:pPr>
              <w:spacing w:line="360" w:lineRule="auto"/>
              <w:ind w:firstLine="420" w:firstLineChars="200"/>
              <w:rPr>
                <w:rFonts w:ascii="宋体" w:hAnsi="宋体" w:cs="宋体"/>
                <w:color w:val="auto"/>
                <w:highlight w:val="none"/>
              </w:rPr>
            </w:pPr>
          </w:p>
        </w:tc>
        <w:tc>
          <w:tcPr>
            <w:tcW w:w="1243" w:type="dxa"/>
          </w:tcPr>
          <w:p w14:paraId="5832E4F6">
            <w:pPr>
              <w:spacing w:line="360" w:lineRule="auto"/>
              <w:ind w:firstLine="420" w:firstLineChars="200"/>
              <w:rPr>
                <w:rFonts w:ascii="宋体" w:hAnsi="宋体" w:cs="宋体"/>
                <w:color w:val="auto"/>
                <w:highlight w:val="none"/>
              </w:rPr>
            </w:pPr>
          </w:p>
        </w:tc>
        <w:tc>
          <w:tcPr>
            <w:tcW w:w="1450" w:type="dxa"/>
          </w:tcPr>
          <w:p w14:paraId="33869BEB">
            <w:pPr>
              <w:spacing w:line="360" w:lineRule="auto"/>
              <w:ind w:firstLine="420" w:firstLineChars="200"/>
              <w:rPr>
                <w:rFonts w:ascii="宋体" w:hAnsi="宋体" w:cs="宋体"/>
                <w:color w:val="auto"/>
                <w:highlight w:val="none"/>
              </w:rPr>
            </w:pPr>
          </w:p>
        </w:tc>
        <w:tc>
          <w:tcPr>
            <w:tcW w:w="1667" w:type="dxa"/>
          </w:tcPr>
          <w:p w14:paraId="4E184516">
            <w:pPr>
              <w:spacing w:line="360" w:lineRule="auto"/>
              <w:ind w:firstLine="420" w:firstLineChars="200"/>
              <w:rPr>
                <w:rFonts w:ascii="宋体" w:hAnsi="宋体" w:cs="宋体"/>
                <w:color w:val="auto"/>
                <w:highlight w:val="none"/>
              </w:rPr>
            </w:pPr>
          </w:p>
        </w:tc>
      </w:tr>
      <w:tr w14:paraId="29685BDF">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953" w:type="dxa"/>
            <w:tcBorders>
              <w:bottom w:val="single" w:color="auto" w:sz="12" w:space="0"/>
            </w:tcBorders>
          </w:tcPr>
          <w:p w14:paraId="0CB838DB">
            <w:pPr>
              <w:spacing w:line="360" w:lineRule="auto"/>
              <w:ind w:firstLine="420" w:firstLineChars="200"/>
              <w:rPr>
                <w:rFonts w:ascii="宋体" w:hAnsi="宋体" w:cs="宋体"/>
                <w:color w:val="auto"/>
                <w:highlight w:val="none"/>
              </w:rPr>
            </w:pPr>
          </w:p>
        </w:tc>
        <w:tc>
          <w:tcPr>
            <w:tcW w:w="1276" w:type="dxa"/>
            <w:tcBorders>
              <w:bottom w:val="single" w:color="auto" w:sz="12" w:space="0"/>
            </w:tcBorders>
          </w:tcPr>
          <w:p w14:paraId="1269E342">
            <w:pPr>
              <w:spacing w:line="360" w:lineRule="auto"/>
              <w:ind w:firstLine="420" w:firstLineChars="200"/>
              <w:rPr>
                <w:rFonts w:ascii="宋体" w:hAnsi="宋体" w:cs="宋体"/>
                <w:color w:val="auto"/>
                <w:highlight w:val="none"/>
              </w:rPr>
            </w:pPr>
          </w:p>
        </w:tc>
        <w:tc>
          <w:tcPr>
            <w:tcW w:w="1450" w:type="dxa"/>
            <w:tcBorders>
              <w:bottom w:val="single" w:color="auto" w:sz="12" w:space="0"/>
            </w:tcBorders>
          </w:tcPr>
          <w:p w14:paraId="03400936">
            <w:pPr>
              <w:spacing w:line="360" w:lineRule="auto"/>
              <w:ind w:firstLine="420" w:firstLineChars="200"/>
              <w:rPr>
                <w:rFonts w:ascii="宋体" w:hAnsi="宋体" w:cs="宋体"/>
                <w:color w:val="auto"/>
                <w:highlight w:val="none"/>
              </w:rPr>
            </w:pPr>
          </w:p>
        </w:tc>
        <w:tc>
          <w:tcPr>
            <w:tcW w:w="1243" w:type="dxa"/>
            <w:tcBorders>
              <w:bottom w:val="single" w:color="auto" w:sz="12" w:space="0"/>
            </w:tcBorders>
          </w:tcPr>
          <w:p w14:paraId="4AAE12DD">
            <w:pPr>
              <w:spacing w:line="360" w:lineRule="auto"/>
              <w:ind w:firstLine="420" w:firstLineChars="200"/>
              <w:rPr>
                <w:rFonts w:ascii="宋体" w:hAnsi="宋体" w:cs="宋体"/>
                <w:color w:val="auto"/>
                <w:highlight w:val="none"/>
              </w:rPr>
            </w:pPr>
          </w:p>
        </w:tc>
        <w:tc>
          <w:tcPr>
            <w:tcW w:w="1450" w:type="dxa"/>
            <w:tcBorders>
              <w:bottom w:val="single" w:color="auto" w:sz="12" w:space="0"/>
            </w:tcBorders>
          </w:tcPr>
          <w:p w14:paraId="1316959C">
            <w:pPr>
              <w:spacing w:line="360" w:lineRule="auto"/>
              <w:ind w:firstLine="420" w:firstLineChars="200"/>
              <w:rPr>
                <w:rFonts w:ascii="宋体" w:hAnsi="宋体" w:cs="宋体"/>
                <w:color w:val="auto"/>
                <w:highlight w:val="none"/>
              </w:rPr>
            </w:pPr>
          </w:p>
        </w:tc>
        <w:tc>
          <w:tcPr>
            <w:tcW w:w="1667" w:type="dxa"/>
            <w:tcBorders>
              <w:bottom w:val="single" w:color="auto" w:sz="12" w:space="0"/>
            </w:tcBorders>
          </w:tcPr>
          <w:p w14:paraId="64764CAC">
            <w:pPr>
              <w:spacing w:line="360" w:lineRule="auto"/>
              <w:ind w:firstLine="420" w:firstLineChars="200"/>
              <w:rPr>
                <w:rFonts w:ascii="宋体" w:hAnsi="宋体" w:cs="宋体"/>
                <w:color w:val="auto"/>
                <w:highlight w:val="none"/>
              </w:rPr>
            </w:pPr>
          </w:p>
        </w:tc>
      </w:tr>
    </w:tbl>
    <w:p w14:paraId="23993761">
      <w:pPr>
        <w:spacing w:line="360" w:lineRule="auto"/>
        <w:ind w:firstLine="420" w:firstLineChars="200"/>
        <w:rPr>
          <w:rFonts w:ascii="宋体" w:hAnsi="宋体" w:cs="宋体"/>
          <w:color w:val="auto"/>
          <w:highlight w:val="none"/>
        </w:rPr>
      </w:pPr>
    </w:p>
    <w:p w14:paraId="47EE5503">
      <w:pPr>
        <w:pStyle w:val="4"/>
        <w:rPr>
          <w:rFonts w:ascii="宋体" w:hAnsi="宋体" w:cs="宋体"/>
          <w:color w:val="auto"/>
          <w:highlight w:val="none"/>
        </w:rPr>
      </w:pPr>
      <w:r>
        <w:rPr>
          <w:rFonts w:hint="eastAsia" w:ascii="宋体" w:hAnsi="宋体" w:cs="宋体"/>
          <w:color w:val="auto"/>
          <w:highlight w:val="none"/>
        </w:rPr>
        <w:br w:type="page"/>
      </w:r>
      <w:r>
        <w:rPr>
          <w:rFonts w:hint="eastAsia" w:ascii="宋体" w:hAnsi="宋体"/>
          <w:color w:val="auto"/>
          <w:sz w:val="24"/>
          <w:szCs w:val="24"/>
          <w:highlight w:val="none"/>
        </w:rPr>
        <w:t>附件3：</w:t>
      </w:r>
    </w:p>
    <w:p w14:paraId="1D402697">
      <w:pPr>
        <w:spacing w:before="156" w:beforeLines="50" w:after="156" w:afterLines="50" w:line="360" w:lineRule="auto"/>
        <w:ind w:firstLine="643" w:firstLineChars="200"/>
        <w:jc w:val="center"/>
        <w:rPr>
          <w:rFonts w:ascii="宋体" w:hAnsi="宋体" w:cs="宋体"/>
          <w:b/>
          <w:color w:val="auto"/>
          <w:sz w:val="32"/>
          <w:szCs w:val="32"/>
          <w:highlight w:val="none"/>
        </w:rPr>
      </w:pPr>
      <w:r>
        <w:rPr>
          <w:rFonts w:hint="eastAsia" w:ascii="宋体" w:hAnsi="宋体" w:cs="宋体"/>
          <w:b/>
          <w:color w:val="auto"/>
          <w:sz w:val="32"/>
          <w:szCs w:val="32"/>
          <w:highlight w:val="none"/>
        </w:rPr>
        <w:t>承包人用于本工程施工的机械设备表</w:t>
      </w:r>
    </w:p>
    <w:tbl>
      <w:tblPr>
        <w:tblStyle w:val="17"/>
        <w:tblW w:w="0" w:type="auto"/>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28" w:type="dxa"/>
          <w:bottom w:w="0" w:type="dxa"/>
          <w:right w:w="28" w:type="dxa"/>
        </w:tblCellMar>
      </w:tblPr>
      <w:tblGrid>
        <w:gridCol w:w="1162"/>
        <w:gridCol w:w="1418"/>
        <w:gridCol w:w="850"/>
        <w:gridCol w:w="1058"/>
        <w:gridCol w:w="880"/>
        <w:gridCol w:w="1020"/>
        <w:gridCol w:w="1480"/>
        <w:gridCol w:w="1020"/>
        <w:gridCol w:w="921"/>
      </w:tblGrid>
      <w:tr w14:paraId="6BA7F55C">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1162" w:type="dxa"/>
            <w:tcBorders>
              <w:top w:val="single" w:color="auto" w:sz="12" w:space="0"/>
              <w:bottom w:val="double" w:color="auto" w:sz="6" w:space="0"/>
            </w:tcBorders>
            <w:vAlign w:val="center"/>
          </w:tcPr>
          <w:p w14:paraId="411521CF">
            <w:pPr>
              <w:keepNext/>
              <w:spacing w:line="360" w:lineRule="auto"/>
              <w:ind w:right="63"/>
              <w:rPr>
                <w:rFonts w:ascii="宋体" w:hAnsi="宋体" w:cs="宋体"/>
                <w:color w:val="auto"/>
                <w:highlight w:val="none"/>
              </w:rPr>
            </w:pPr>
            <w:r>
              <w:rPr>
                <w:rFonts w:hint="eastAsia" w:ascii="宋体" w:hAnsi="宋体" w:cs="宋体"/>
                <w:color w:val="auto"/>
                <w:highlight w:val="none"/>
              </w:rPr>
              <w:t>序号</w:t>
            </w:r>
          </w:p>
        </w:tc>
        <w:tc>
          <w:tcPr>
            <w:tcW w:w="1418" w:type="dxa"/>
            <w:tcBorders>
              <w:top w:val="single" w:color="auto" w:sz="12" w:space="0"/>
              <w:bottom w:val="double" w:color="auto" w:sz="6" w:space="0"/>
            </w:tcBorders>
            <w:vAlign w:val="center"/>
          </w:tcPr>
          <w:p w14:paraId="62BEC974">
            <w:pPr>
              <w:keepNext/>
              <w:spacing w:line="360" w:lineRule="auto"/>
              <w:ind w:left="63" w:right="63"/>
              <w:rPr>
                <w:rFonts w:ascii="宋体" w:hAnsi="宋体" w:cs="宋体"/>
                <w:color w:val="auto"/>
                <w:highlight w:val="none"/>
              </w:rPr>
            </w:pPr>
            <w:r>
              <w:rPr>
                <w:rFonts w:hint="eastAsia" w:ascii="宋体" w:hAnsi="宋体" w:cs="宋体"/>
                <w:color w:val="auto"/>
                <w:highlight w:val="none"/>
              </w:rPr>
              <w:t>机械或设备名称</w:t>
            </w:r>
          </w:p>
        </w:tc>
        <w:tc>
          <w:tcPr>
            <w:tcW w:w="850" w:type="dxa"/>
            <w:tcBorders>
              <w:top w:val="single" w:color="auto" w:sz="12" w:space="0"/>
              <w:bottom w:val="double" w:color="auto" w:sz="6" w:space="0"/>
            </w:tcBorders>
            <w:vAlign w:val="center"/>
          </w:tcPr>
          <w:p w14:paraId="4C435D61">
            <w:pPr>
              <w:keepNext/>
              <w:spacing w:line="360" w:lineRule="auto"/>
              <w:ind w:left="63" w:right="63"/>
              <w:rPr>
                <w:rFonts w:ascii="宋体" w:hAnsi="宋体" w:cs="宋体"/>
                <w:color w:val="auto"/>
                <w:highlight w:val="none"/>
              </w:rPr>
            </w:pPr>
            <w:r>
              <w:rPr>
                <w:rFonts w:hint="eastAsia" w:ascii="宋体" w:hAnsi="宋体" w:cs="宋体"/>
                <w:color w:val="auto"/>
                <w:highlight w:val="none"/>
              </w:rPr>
              <w:t>规格型号</w:t>
            </w:r>
          </w:p>
        </w:tc>
        <w:tc>
          <w:tcPr>
            <w:tcW w:w="1058" w:type="dxa"/>
            <w:tcBorders>
              <w:top w:val="single" w:color="auto" w:sz="12" w:space="0"/>
              <w:bottom w:val="double" w:color="auto" w:sz="6" w:space="0"/>
            </w:tcBorders>
            <w:vAlign w:val="center"/>
          </w:tcPr>
          <w:p w14:paraId="4F621DD7">
            <w:pPr>
              <w:keepNext/>
              <w:spacing w:line="360" w:lineRule="auto"/>
              <w:ind w:right="63"/>
              <w:rPr>
                <w:rFonts w:ascii="宋体" w:hAnsi="宋体" w:cs="宋体"/>
                <w:color w:val="auto"/>
                <w:highlight w:val="none"/>
              </w:rPr>
            </w:pPr>
            <w:r>
              <w:rPr>
                <w:rFonts w:hint="eastAsia" w:ascii="宋体" w:hAnsi="宋体" w:cs="宋体"/>
                <w:color w:val="auto"/>
                <w:highlight w:val="none"/>
              </w:rPr>
              <w:t>数量</w:t>
            </w:r>
          </w:p>
        </w:tc>
        <w:tc>
          <w:tcPr>
            <w:tcW w:w="880" w:type="dxa"/>
            <w:tcBorders>
              <w:top w:val="single" w:color="auto" w:sz="12" w:space="0"/>
              <w:bottom w:val="double" w:color="auto" w:sz="6" w:space="0"/>
            </w:tcBorders>
            <w:vAlign w:val="center"/>
          </w:tcPr>
          <w:p w14:paraId="021FA583">
            <w:pPr>
              <w:keepNext/>
              <w:spacing w:line="360" w:lineRule="auto"/>
              <w:ind w:left="63" w:right="63"/>
              <w:rPr>
                <w:rFonts w:ascii="宋体" w:hAnsi="宋体" w:cs="宋体"/>
                <w:color w:val="auto"/>
                <w:highlight w:val="none"/>
              </w:rPr>
            </w:pPr>
            <w:r>
              <w:rPr>
                <w:rFonts w:hint="eastAsia" w:ascii="宋体" w:hAnsi="宋体" w:cs="宋体"/>
                <w:color w:val="auto"/>
                <w:highlight w:val="none"/>
              </w:rPr>
              <w:t>产地</w:t>
            </w:r>
          </w:p>
        </w:tc>
        <w:tc>
          <w:tcPr>
            <w:tcW w:w="1020" w:type="dxa"/>
            <w:tcBorders>
              <w:top w:val="single" w:color="auto" w:sz="12" w:space="0"/>
              <w:bottom w:val="double" w:color="auto" w:sz="6" w:space="0"/>
            </w:tcBorders>
            <w:vAlign w:val="center"/>
          </w:tcPr>
          <w:p w14:paraId="131D555B">
            <w:pPr>
              <w:keepNext/>
              <w:spacing w:line="360" w:lineRule="auto"/>
              <w:ind w:left="63" w:right="63"/>
              <w:rPr>
                <w:rFonts w:ascii="宋体" w:hAnsi="宋体" w:cs="宋体"/>
                <w:color w:val="auto"/>
                <w:highlight w:val="none"/>
              </w:rPr>
            </w:pPr>
            <w:r>
              <w:rPr>
                <w:rFonts w:hint="eastAsia" w:ascii="宋体" w:hAnsi="宋体" w:cs="宋体"/>
                <w:color w:val="auto"/>
                <w:highlight w:val="none"/>
              </w:rPr>
              <w:t>制造年份</w:t>
            </w:r>
          </w:p>
        </w:tc>
        <w:tc>
          <w:tcPr>
            <w:tcW w:w="1480" w:type="dxa"/>
            <w:tcBorders>
              <w:top w:val="single" w:color="auto" w:sz="12" w:space="0"/>
              <w:bottom w:val="double" w:color="auto" w:sz="6" w:space="0"/>
            </w:tcBorders>
            <w:vAlign w:val="center"/>
          </w:tcPr>
          <w:p w14:paraId="67603177">
            <w:pPr>
              <w:keepNext/>
              <w:spacing w:line="360" w:lineRule="auto"/>
              <w:ind w:left="63" w:right="63"/>
              <w:rPr>
                <w:rFonts w:ascii="宋体" w:hAnsi="宋体" w:cs="宋体"/>
                <w:color w:val="auto"/>
                <w:highlight w:val="none"/>
              </w:rPr>
            </w:pPr>
            <w:r>
              <w:rPr>
                <w:rFonts w:hint="eastAsia" w:ascii="宋体" w:hAnsi="宋体" w:cs="宋体"/>
                <w:color w:val="auto"/>
                <w:highlight w:val="none"/>
              </w:rPr>
              <w:t>额定功率(kW)</w:t>
            </w:r>
          </w:p>
        </w:tc>
        <w:tc>
          <w:tcPr>
            <w:tcW w:w="1020" w:type="dxa"/>
            <w:tcBorders>
              <w:top w:val="single" w:color="auto" w:sz="12" w:space="0"/>
              <w:bottom w:val="double" w:color="auto" w:sz="6" w:space="0"/>
            </w:tcBorders>
            <w:vAlign w:val="center"/>
          </w:tcPr>
          <w:p w14:paraId="705695EB">
            <w:pPr>
              <w:keepNext/>
              <w:spacing w:line="360" w:lineRule="auto"/>
              <w:ind w:left="63" w:right="63"/>
              <w:rPr>
                <w:rFonts w:ascii="宋体" w:hAnsi="宋体" w:cs="宋体"/>
                <w:color w:val="auto"/>
                <w:highlight w:val="none"/>
              </w:rPr>
            </w:pPr>
            <w:r>
              <w:rPr>
                <w:rFonts w:hint="eastAsia" w:ascii="宋体" w:hAnsi="宋体" w:cs="宋体"/>
                <w:color w:val="auto"/>
                <w:highlight w:val="none"/>
              </w:rPr>
              <w:t>生产能力</w:t>
            </w:r>
          </w:p>
        </w:tc>
        <w:tc>
          <w:tcPr>
            <w:tcW w:w="921" w:type="dxa"/>
            <w:tcBorders>
              <w:top w:val="single" w:color="auto" w:sz="12" w:space="0"/>
              <w:bottom w:val="double" w:color="auto" w:sz="6" w:space="0"/>
            </w:tcBorders>
            <w:vAlign w:val="center"/>
          </w:tcPr>
          <w:p w14:paraId="44C24398">
            <w:pPr>
              <w:keepNext/>
              <w:spacing w:line="360" w:lineRule="auto"/>
              <w:ind w:left="63" w:right="63"/>
              <w:rPr>
                <w:rFonts w:ascii="宋体" w:hAnsi="宋体" w:cs="宋体"/>
                <w:color w:val="auto"/>
                <w:highlight w:val="none"/>
              </w:rPr>
            </w:pPr>
            <w:r>
              <w:rPr>
                <w:rFonts w:hint="eastAsia" w:ascii="宋体" w:hAnsi="宋体" w:cs="宋体"/>
                <w:color w:val="auto"/>
                <w:highlight w:val="none"/>
              </w:rPr>
              <w:t>备注</w:t>
            </w:r>
          </w:p>
        </w:tc>
      </w:tr>
      <w:tr w14:paraId="246A6D50">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162" w:type="dxa"/>
            <w:tcBorders>
              <w:top w:val="double" w:color="auto" w:sz="6" w:space="0"/>
            </w:tcBorders>
            <w:vAlign w:val="center"/>
          </w:tcPr>
          <w:p w14:paraId="257CADC7">
            <w:pPr>
              <w:keepNext/>
              <w:spacing w:line="360" w:lineRule="auto"/>
              <w:ind w:left="63" w:right="63" w:firstLine="420" w:firstLineChars="200"/>
              <w:rPr>
                <w:rFonts w:ascii="宋体" w:hAnsi="宋体" w:cs="宋体"/>
                <w:color w:val="auto"/>
                <w:highlight w:val="none"/>
              </w:rPr>
            </w:pPr>
          </w:p>
        </w:tc>
        <w:tc>
          <w:tcPr>
            <w:tcW w:w="1418" w:type="dxa"/>
            <w:tcBorders>
              <w:top w:val="double" w:color="auto" w:sz="6" w:space="0"/>
            </w:tcBorders>
            <w:vAlign w:val="center"/>
          </w:tcPr>
          <w:p w14:paraId="3B237FBD">
            <w:pPr>
              <w:keepNext/>
              <w:spacing w:line="360" w:lineRule="auto"/>
              <w:ind w:left="63" w:right="63" w:firstLine="420" w:firstLineChars="200"/>
              <w:rPr>
                <w:rFonts w:ascii="宋体" w:hAnsi="宋体" w:cs="宋体"/>
                <w:color w:val="auto"/>
                <w:highlight w:val="none"/>
              </w:rPr>
            </w:pPr>
          </w:p>
        </w:tc>
        <w:tc>
          <w:tcPr>
            <w:tcW w:w="850" w:type="dxa"/>
            <w:tcBorders>
              <w:top w:val="double" w:color="auto" w:sz="6" w:space="0"/>
            </w:tcBorders>
            <w:vAlign w:val="center"/>
          </w:tcPr>
          <w:p w14:paraId="5BE84455">
            <w:pPr>
              <w:keepNext/>
              <w:spacing w:line="360" w:lineRule="auto"/>
              <w:ind w:left="63" w:right="63" w:firstLine="420" w:firstLineChars="200"/>
              <w:rPr>
                <w:rFonts w:ascii="宋体" w:hAnsi="宋体" w:cs="宋体"/>
                <w:color w:val="auto"/>
                <w:highlight w:val="none"/>
              </w:rPr>
            </w:pPr>
          </w:p>
        </w:tc>
        <w:tc>
          <w:tcPr>
            <w:tcW w:w="1058" w:type="dxa"/>
            <w:tcBorders>
              <w:top w:val="double" w:color="auto" w:sz="6" w:space="0"/>
            </w:tcBorders>
            <w:vAlign w:val="center"/>
          </w:tcPr>
          <w:p w14:paraId="78926670">
            <w:pPr>
              <w:keepNext/>
              <w:spacing w:line="360" w:lineRule="auto"/>
              <w:ind w:left="63" w:right="63" w:firstLine="420" w:firstLineChars="200"/>
              <w:rPr>
                <w:rFonts w:ascii="宋体" w:hAnsi="宋体" w:cs="宋体"/>
                <w:color w:val="auto"/>
                <w:highlight w:val="none"/>
              </w:rPr>
            </w:pPr>
          </w:p>
        </w:tc>
        <w:tc>
          <w:tcPr>
            <w:tcW w:w="880" w:type="dxa"/>
            <w:tcBorders>
              <w:top w:val="double" w:color="auto" w:sz="6" w:space="0"/>
            </w:tcBorders>
            <w:vAlign w:val="center"/>
          </w:tcPr>
          <w:p w14:paraId="2370D6AB">
            <w:pPr>
              <w:keepNext/>
              <w:spacing w:line="360" w:lineRule="auto"/>
              <w:ind w:left="63" w:right="63" w:firstLine="420" w:firstLineChars="200"/>
              <w:rPr>
                <w:rFonts w:ascii="宋体" w:hAnsi="宋体" w:cs="宋体"/>
                <w:color w:val="auto"/>
                <w:highlight w:val="none"/>
              </w:rPr>
            </w:pPr>
          </w:p>
        </w:tc>
        <w:tc>
          <w:tcPr>
            <w:tcW w:w="1020" w:type="dxa"/>
            <w:tcBorders>
              <w:top w:val="double" w:color="auto" w:sz="6" w:space="0"/>
            </w:tcBorders>
            <w:vAlign w:val="center"/>
          </w:tcPr>
          <w:p w14:paraId="3AE81AE3">
            <w:pPr>
              <w:keepNext/>
              <w:spacing w:line="360" w:lineRule="auto"/>
              <w:ind w:left="63" w:right="63" w:firstLine="420" w:firstLineChars="200"/>
              <w:rPr>
                <w:rFonts w:ascii="宋体" w:hAnsi="宋体" w:cs="宋体"/>
                <w:color w:val="auto"/>
                <w:highlight w:val="none"/>
              </w:rPr>
            </w:pPr>
          </w:p>
        </w:tc>
        <w:tc>
          <w:tcPr>
            <w:tcW w:w="1480" w:type="dxa"/>
            <w:tcBorders>
              <w:top w:val="double" w:color="auto" w:sz="6" w:space="0"/>
            </w:tcBorders>
            <w:vAlign w:val="center"/>
          </w:tcPr>
          <w:p w14:paraId="755C5C37">
            <w:pPr>
              <w:keepNext/>
              <w:spacing w:line="360" w:lineRule="auto"/>
              <w:ind w:left="63" w:right="63" w:firstLine="420" w:firstLineChars="200"/>
              <w:rPr>
                <w:rFonts w:ascii="宋体" w:hAnsi="宋体" w:cs="宋体"/>
                <w:color w:val="auto"/>
                <w:highlight w:val="none"/>
              </w:rPr>
            </w:pPr>
          </w:p>
        </w:tc>
        <w:tc>
          <w:tcPr>
            <w:tcW w:w="1020" w:type="dxa"/>
            <w:tcBorders>
              <w:top w:val="double" w:color="auto" w:sz="6" w:space="0"/>
            </w:tcBorders>
            <w:vAlign w:val="center"/>
          </w:tcPr>
          <w:p w14:paraId="734A9D71">
            <w:pPr>
              <w:keepNext/>
              <w:spacing w:line="360" w:lineRule="auto"/>
              <w:ind w:left="63" w:right="63" w:firstLine="420" w:firstLineChars="200"/>
              <w:rPr>
                <w:rFonts w:ascii="宋体" w:hAnsi="宋体" w:cs="宋体"/>
                <w:color w:val="auto"/>
                <w:highlight w:val="none"/>
              </w:rPr>
            </w:pPr>
          </w:p>
        </w:tc>
        <w:tc>
          <w:tcPr>
            <w:tcW w:w="921" w:type="dxa"/>
            <w:tcBorders>
              <w:top w:val="double" w:color="auto" w:sz="6" w:space="0"/>
            </w:tcBorders>
            <w:vAlign w:val="center"/>
          </w:tcPr>
          <w:p w14:paraId="1086F4CF">
            <w:pPr>
              <w:keepNext/>
              <w:spacing w:line="360" w:lineRule="auto"/>
              <w:ind w:left="63" w:right="63" w:firstLine="420" w:firstLineChars="200"/>
              <w:rPr>
                <w:rFonts w:ascii="宋体" w:hAnsi="宋体" w:cs="宋体"/>
                <w:color w:val="auto"/>
                <w:highlight w:val="none"/>
              </w:rPr>
            </w:pPr>
          </w:p>
        </w:tc>
      </w:tr>
      <w:tr w14:paraId="3AE0F710">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162" w:type="dxa"/>
            <w:tcBorders>
              <w:top w:val="nil"/>
            </w:tcBorders>
            <w:vAlign w:val="center"/>
          </w:tcPr>
          <w:p w14:paraId="21F04DD0">
            <w:pPr>
              <w:keepNext/>
              <w:spacing w:line="360" w:lineRule="auto"/>
              <w:ind w:left="63" w:right="63" w:firstLine="420" w:firstLineChars="200"/>
              <w:rPr>
                <w:rFonts w:ascii="宋体" w:hAnsi="宋体" w:cs="宋体"/>
                <w:color w:val="auto"/>
                <w:highlight w:val="none"/>
              </w:rPr>
            </w:pPr>
          </w:p>
        </w:tc>
        <w:tc>
          <w:tcPr>
            <w:tcW w:w="1418" w:type="dxa"/>
            <w:tcBorders>
              <w:top w:val="nil"/>
            </w:tcBorders>
            <w:vAlign w:val="center"/>
          </w:tcPr>
          <w:p w14:paraId="1AE5DD70">
            <w:pPr>
              <w:keepNext/>
              <w:spacing w:line="360" w:lineRule="auto"/>
              <w:ind w:left="63" w:right="63" w:firstLine="420" w:firstLineChars="200"/>
              <w:rPr>
                <w:rFonts w:ascii="宋体" w:hAnsi="宋体" w:cs="宋体"/>
                <w:color w:val="auto"/>
                <w:highlight w:val="none"/>
              </w:rPr>
            </w:pPr>
          </w:p>
        </w:tc>
        <w:tc>
          <w:tcPr>
            <w:tcW w:w="850" w:type="dxa"/>
            <w:tcBorders>
              <w:top w:val="nil"/>
            </w:tcBorders>
            <w:vAlign w:val="center"/>
          </w:tcPr>
          <w:p w14:paraId="7F6CBFFD">
            <w:pPr>
              <w:keepNext/>
              <w:spacing w:line="360" w:lineRule="auto"/>
              <w:ind w:left="63" w:right="63" w:firstLine="420" w:firstLineChars="200"/>
              <w:rPr>
                <w:rFonts w:ascii="宋体" w:hAnsi="宋体" w:cs="宋体"/>
                <w:color w:val="auto"/>
                <w:highlight w:val="none"/>
              </w:rPr>
            </w:pPr>
          </w:p>
        </w:tc>
        <w:tc>
          <w:tcPr>
            <w:tcW w:w="1058" w:type="dxa"/>
            <w:tcBorders>
              <w:top w:val="nil"/>
            </w:tcBorders>
            <w:vAlign w:val="center"/>
          </w:tcPr>
          <w:p w14:paraId="0A0E56DB">
            <w:pPr>
              <w:keepNext/>
              <w:spacing w:line="360" w:lineRule="auto"/>
              <w:ind w:left="63" w:right="63" w:firstLine="420" w:firstLineChars="200"/>
              <w:rPr>
                <w:rFonts w:ascii="宋体" w:hAnsi="宋体" w:cs="宋体"/>
                <w:color w:val="auto"/>
                <w:highlight w:val="none"/>
              </w:rPr>
            </w:pPr>
          </w:p>
        </w:tc>
        <w:tc>
          <w:tcPr>
            <w:tcW w:w="880" w:type="dxa"/>
            <w:tcBorders>
              <w:top w:val="nil"/>
            </w:tcBorders>
            <w:vAlign w:val="center"/>
          </w:tcPr>
          <w:p w14:paraId="6326D278">
            <w:pPr>
              <w:keepNext/>
              <w:spacing w:line="360" w:lineRule="auto"/>
              <w:ind w:left="63" w:right="63" w:firstLine="420" w:firstLineChars="200"/>
              <w:rPr>
                <w:rFonts w:ascii="宋体" w:hAnsi="宋体" w:cs="宋体"/>
                <w:color w:val="auto"/>
                <w:highlight w:val="none"/>
              </w:rPr>
            </w:pPr>
          </w:p>
        </w:tc>
        <w:tc>
          <w:tcPr>
            <w:tcW w:w="1020" w:type="dxa"/>
            <w:tcBorders>
              <w:top w:val="nil"/>
            </w:tcBorders>
            <w:vAlign w:val="center"/>
          </w:tcPr>
          <w:p w14:paraId="6365274C">
            <w:pPr>
              <w:keepNext/>
              <w:spacing w:line="360" w:lineRule="auto"/>
              <w:ind w:left="63" w:right="63" w:firstLine="420" w:firstLineChars="200"/>
              <w:rPr>
                <w:rFonts w:ascii="宋体" w:hAnsi="宋体" w:cs="宋体"/>
                <w:color w:val="auto"/>
                <w:highlight w:val="none"/>
              </w:rPr>
            </w:pPr>
          </w:p>
        </w:tc>
        <w:tc>
          <w:tcPr>
            <w:tcW w:w="1480" w:type="dxa"/>
            <w:tcBorders>
              <w:top w:val="nil"/>
            </w:tcBorders>
            <w:vAlign w:val="center"/>
          </w:tcPr>
          <w:p w14:paraId="3AA1896B">
            <w:pPr>
              <w:keepNext/>
              <w:spacing w:line="360" w:lineRule="auto"/>
              <w:ind w:left="63" w:right="63" w:firstLine="420" w:firstLineChars="200"/>
              <w:rPr>
                <w:rFonts w:ascii="宋体" w:hAnsi="宋体" w:cs="宋体"/>
                <w:color w:val="auto"/>
                <w:highlight w:val="none"/>
              </w:rPr>
            </w:pPr>
          </w:p>
        </w:tc>
        <w:tc>
          <w:tcPr>
            <w:tcW w:w="1020" w:type="dxa"/>
            <w:tcBorders>
              <w:top w:val="nil"/>
            </w:tcBorders>
            <w:vAlign w:val="center"/>
          </w:tcPr>
          <w:p w14:paraId="62219C8B">
            <w:pPr>
              <w:keepNext/>
              <w:spacing w:line="360" w:lineRule="auto"/>
              <w:ind w:left="63" w:right="63" w:firstLine="420" w:firstLineChars="200"/>
              <w:rPr>
                <w:rFonts w:ascii="宋体" w:hAnsi="宋体" w:cs="宋体"/>
                <w:color w:val="auto"/>
                <w:highlight w:val="none"/>
              </w:rPr>
            </w:pPr>
          </w:p>
        </w:tc>
        <w:tc>
          <w:tcPr>
            <w:tcW w:w="921" w:type="dxa"/>
            <w:tcBorders>
              <w:top w:val="nil"/>
            </w:tcBorders>
            <w:vAlign w:val="center"/>
          </w:tcPr>
          <w:p w14:paraId="3E7F760F">
            <w:pPr>
              <w:keepNext/>
              <w:spacing w:line="360" w:lineRule="auto"/>
              <w:ind w:left="63" w:right="63" w:firstLine="420" w:firstLineChars="200"/>
              <w:rPr>
                <w:rFonts w:ascii="宋体" w:hAnsi="宋体" w:cs="宋体"/>
                <w:color w:val="auto"/>
                <w:highlight w:val="none"/>
              </w:rPr>
            </w:pPr>
          </w:p>
        </w:tc>
      </w:tr>
      <w:tr w14:paraId="51F9EB3E">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162" w:type="dxa"/>
            <w:vAlign w:val="center"/>
          </w:tcPr>
          <w:p w14:paraId="637303F1">
            <w:pPr>
              <w:keepNext/>
              <w:spacing w:line="360" w:lineRule="auto"/>
              <w:ind w:left="63" w:right="63" w:firstLine="420" w:firstLineChars="200"/>
              <w:rPr>
                <w:rFonts w:ascii="宋体" w:hAnsi="宋体" w:cs="宋体"/>
                <w:color w:val="auto"/>
                <w:highlight w:val="none"/>
              </w:rPr>
            </w:pPr>
          </w:p>
        </w:tc>
        <w:tc>
          <w:tcPr>
            <w:tcW w:w="1418" w:type="dxa"/>
            <w:vAlign w:val="center"/>
          </w:tcPr>
          <w:p w14:paraId="4E6B1A4E">
            <w:pPr>
              <w:keepNext/>
              <w:spacing w:line="360" w:lineRule="auto"/>
              <w:ind w:left="63" w:right="63" w:firstLine="420" w:firstLineChars="200"/>
              <w:rPr>
                <w:rFonts w:ascii="宋体" w:hAnsi="宋体" w:cs="宋体"/>
                <w:color w:val="auto"/>
                <w:highlight w:val="none"/>
              </w:rPr>
            </w:pPr>
          </w:p>
        </w:tc>
        <w:tc>
          <w:tcPr>
            <w:tcW w:w="850" w:type="dxa"/>
            <w:vAlign w:val="center"/>
          </w:tcPr>
          <w:p w14:paraId="7DDCEF6F">
            <w:pPr>
              <w:keepNext/>
              <w:spacing w:line="360" w:lineRule="auto"/>
              <w:ind w:left="63" w:right="63" w:firstLine="420" w:firstLineChars="200"/>
              <w:rPr>
                <w:rFonts w:ascii="宋体" w:hAnsi="宋体" w:cs="宋体"/>
                <w:color w:val="auto"/>
                <w:highlight w:val="none"/>
              </w:rPr>
            </w:pPr>
          </w:p>
        </w:tc>
        <w:tc>
          <w:tcPr>
            <w:tcW w:w="1058" w:type="dxa"/>
            <w:vAlign w:val="center"/>
          </w:tcPr>
          <w:p w14:paraId="1FDA7202">
            <w:pPr>
              <w:keepNext/>
              <w:spacing w:line="360" w:lineRule="auto"/>
              <w:ind w:left="63" w:right="63" w:firstLine="420" w:firstLineChars="200"/>
              <w:rPr>
                <w:rFonts w:ascii="宋体" w:hAnsi="宋体" w:cs="宋体"/>
                <w:color w:val="auto"/>
                <w:highlight w:val="none"/>
              </w:rPr>
            </w:pPr>
          </w:p>
        </w:tc>
        <w:tc>
          <w:tcPr>
            <w:tcW w:w="880" w:type="dxa"/>
            <w:vAlign w:val="center"/>
          </w:tcPr>
          <w:p w14:paraId="1A5473CC">
            <w:pPr>
              <w:keepNext/>
              <w:spacing w:line="360" w:lineRule="auto"/>
              <w:ind w:left="63" w:right="63" w:firstLine="420" w:firstLineChars="200"/>
              <w:rPr>
                <w:rFonts w:ascii="宋体" w:hAnsi="宋体" w:cs="宋体"/>
                <w:color w:val="auto"/>
                <w:highlight w:val="none"/>
              </w:rPr>
            </w:pPr>
          </w:p>
        </w:tc>
        <w:tc>
          <w:tcPr>
            <w:tcW w:w="1020" w:type="dxa"/>
            <w:vAlign w:val="center"/>
          </w:tcPr>
          <w:p w14:paraId="34EB0E02">
            <w:pPr>
              <w:keepNext/>
              <w:spacing w:line="360" w:lineRule="auto"/>
              <w:ind w:left="63" w:right="63" w:firstLine="420" w:firstLineChars="200"/>
              <w:rPr>
                <w:rFonts w:ascii="宋体" w:hAnsi="宋体" w:cs="宋体"/>
                <w:color w:val="auto"/>
                <w:highlight w:val="none"/>
              </w:rPr>
            </w:pPr>
          </w:p>
        </w:tc>
        <w:tc>
          <w:tcPr>
            <w:tcW w:w="1480" w:type="dxa"/>
            <w:vAlign w:val="center"/>
          </w:tcPr>
          <w:p w14:paraId="388545B5">
            <w:pPr>
              <w:keepNext/>
              <w:spacing w:line="360" w:lineRule="auto"/>
              <w:ind w:left="63" w:right="63" w:firstLine="420" w:firstLineChars="200"/>
              <w:rPr>
                <w:rFonts w:ascii="宋体" w:hAnsi="宋体" w:cs="宋体"/>
                <w:color w:val="auto"/>
                <w:highlight w:val="none"/>
              </w:rPr>
            </w:pPr>
          </w:p>
        </w:tc>
        <w:tc>
          <w:tcPr>
            <w:tcW w:w="1020" w:type="dxa"/>
            <w:vAlign w:val="center"/>
          </w:tcPr>
          <w:p w14:paraId="6BD00891">
            <w:pPr>
              <w:keepNext/>
              <w:spacing w:line="360" w:lineRule="auto"/>
              <w:ind w:left="63" w:right="63" w:firstLine="420" w:firstLineChars="200"/>
              <w:rPr>
                <w:rFonts w:ascii="宋体" w:hAnsi="宋体" w:cs="宋体"/>
                <w:color w:val="auto"/>
                <w:highlight w:val="none"/>
              </w:rPr>
            </w:pPr>
          </w:p>
        </w:tc>
        <w:tc>
          <w:tcPr>
            <w:tcW w:w="921" w:type="dxa"/>
            <w:vAlign w:val="center"/>
          </w:tcPr>
          <w:p w14:paraId="26E59E62">
            <w:pPr>
              <w:keepNext/>
              <w:spacing w:line="360" w:lineRule="auto"/>
              <w:ind w:left="63" w:right="63" w:firstLine="420" w:firstLineChars="200"/>
              <w:rPr>
                <w:rFonts w:ascii="宋体" w:hAnsi="宋体" w:cs="宋体"/>
                <w:color w:val="auto"/>
                <w:highlight w:val="none"/>
              </w:rPr>
            </w:pPr>
          </w:p>
        </w:tc>
      </w:tr>
      <w:tr w14:paraId="5F6FB7EB">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162" w:type="dxa"/>
            <w:vAlign w:val="center"/>
          </w:tcPr>
          <w:p w14:paraId="7BC29AF6">
            <w:pPr>
              <w:keepNext/>
              <w:spacing w:line="360" w:lineRule="auto"/>
              <w:ind w:left="63" w:right="63" w:firstLine="420" w:firstLineChars="200"/>
              <w:rPr>
                <w:rFonts w:ascii="宋体" w:hAnsi="宋体" w:cs="宋体"/>
                <w:color w:val="auto"/>
                <w:highlight w:val="none"/>
              </w:rPr>
            </w:pPr>
          </w:p>
        </w:tc>
        <w:tc>
          <w:tcPr>
            <w:tcW w:w="1418" w:type="dxa"/>
            <w:vAlign w:val="center"/>
          </w:tcPr>
          <w:p w14:paraId="73BFCFB7">
            <w:pPr>
              <w:keepNext/>
              <w:spacing w:line="360" w:lineRule="auto"/>
              <w:ind w:left="63" w:right="63" w:firstLine="420" w:firstLineChars="200"/>
              <w:rPr>
                <w:rFonts w:ascii="宋体" w:hAnsi="宋体" w:cs="宋体"/>
                <w:color w:val="auto"/>
                <w:highlight w:val="none"/>
              </w:rPr>
            </w:pPr>
          </w:p>
        </w:tc>
        <w:tc>
          <w:tcPr>
            <w:tcW w:w="850" w:type="dxa"/>
            <w:vAlign w:val="center"/>
          </w:tcPr>
          <w:p w14:paraId="2090A588">
            <w:pPr>
              <w:keepNext/>
              <w:spacing w:line="360" w:lineRule="auto"/>
              <w:ind w:left="63" w:right="63" w:firstLine="420" w:firstLineChars="200"/>
              <w:rPr>
                <w:rFonts w:ascii="宋体" w:hAnsi="宋体" w:cs="宋体"/>
                <w:color w:val="auto"/>
                <w:highlight w:val="none"/>
              </w:rPr>
            </w:pPr>
          </w:p>
        </w:tc>
        <w:tc>
          <w:tcPr>
            <w:tcW w:w="1058" w:type="dxa"/>
            <w:vAlign w:val="center"/>
          </w:tcPr>
          <w:p w14:paraId="682B043B">
            <w:pPr>
              <w:keepNext/>
              <w:spacing w:line="360" w:lineRule="auto"/>
              <w:ind w:left="63" w:right="63" w:firstLine="420" w:firstLineChars="200"/>
              <w:rPr>
                <w:rFonts w:ascii="宋体" w:hAnsi="宋体" w:cs="宋体"/>
                <w:color w:val="auto"/>
                <w:highlight w:val="none"/>
              </w:rPr>
            </w:pPr>
          </w:p>
        </w:tc>
        <w:tc>
          <w:tcPr>
            <w:tcW w:w="880" w:type="dxa"/>
            <w:vAlign w:val="center"/>
          </w:tcPr>
          <w:p w14:paraId="554E439E">
            <w:pPr>
              <w:keepNext/>
              <w:spacing w:line="360" w:lineRule="auto"/>
              <w:ind w:left="63" w:right="63" w:firstLine="420" w:firstLineChars="200"/>
              <w:rPr>
                <w:rFonts w:ascii="宋体" w:hAnsi="宋体" w:cs="宋体"/>
                <w:color w:val="auto"/>
                <w:highlight w:val="none"/>
              </w:rPr>
            </w:pPr>
          </w:p>
        </w:tc>
        <w:tc>
          <w:tcPr>
            <w:tcW w:w="1020" w:type="dxa"/>
            <w:vAlign w:val="center"/>
          </w:tcPr>
          <w:p w14:paraId="3684EBBA">
            <w:pPr>
              <w:keepNext/>
              <w:spacing w:line="360" w:lineRule="auto"/>
              <w:ind w:left="63" w:right="63" w:firstLine="420" w:firstLineChars="200"/>
              <w:rPr>
                <w:rFonts w:ascii="宋体" w:hAnsi="宋体" w:cs="宋体"/>
                <w:color w:val="auto"/>
                <w:highlight w:val="none"/>
              </w:rPr>
            </w:pPr>
          </w:p>
        </w:tc>
        <w:tc>
          <w:tcPr>
            <w:tcW w:w="1480" w:type="dxa"/>
            <w:vAlign w:val="center"/>
          </w:tcPr>
          <w:p w14:paraId="2454048E">
            <w:pPr>
              <w:keepNext/>
              <w:spacing w:line="360" w:lineRule="auto"/>
              <w:ind w:left="63" w:right="63" w:firstLine="420" w:firstLineChars="200"/>
              <w:rPr>
                <w:rFonts w:ascii="宋体" w:hAnsi="宋体" w:cs="宋体"/>
                <w:color w:val="auto"/>
                <w:highlight w:val="none"/>
              </w:rPr>
            </w:pPr>
          </w:p>
        </w:tc>
        <w:tc>
          <w:tcPr>
            <w:tcW w:w="1020" w:type="dxa"/>
            <w:vAlign w:val="center"/>
          </w:tcPr>
          <w:p w14:paraId="463F8816">
            <w:pPr>
              <w:keepNext/>
              <w:spacing w:line="360" w:lineRule="auto"/>
              <w:ind w:left="63" w:right="63" w:firstLine="420" w:firstLineChars="200"/>
              <w:rPr>
                <w:rFonts w:ascii="宋体" w:hAnsi="宋体" w:cs="宋体"/>
                <w:color w:val="auto"/>
                <w:highlight w:val="none"/>
              </w:rPr>
            </w:pPr>
          </w:p>
        </w:tc>
        <w:tc>
          <w:tcPr>
            <w:tcW w:w="921" w:type="dxa"/>
            <w:vAlign w:val="center"/>
          </w:tcPr>
          <w:p w14:paraId="0E549F4B">
            <w:pPr>
              <w:keepNext/>
              <w:spacing w:line="360" w:lineRule="auto"/>
              <w:ind w:left="63" w:right="63" w:firstLine="420" w:firstLineChars="200"/>
              <w:rPr>
                <w:rFonts w:ascii="宋体" w:hAnsi="宋体" w:cs="宋体"/>
                <w:color w:val="auto"/>
                <w:highlight w:val="none"/>
              </w:rPr>
            </w:pPr>
          </w:p>
        </w:tc>
      </w:tr>
      <w:tr w14:paraId="47CFA1CD">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162" w:type="dxa"/>
            <w:vAlign w:val="center"/>
          </w:tcPr>
          <w:p w14:paraId="5BEF8AA3">
            <w:pPr>
              <w:keepNext/>
              <w:spacing w:line="360" w:lineRule="auto"/>
              <w:ind w:left="63" w:right="63" w:firstLine="420" w:firstLineChars="200"/>
              <w:rPr>
                <w:rFonts w:ascii="宋体" w:hAnsi="宋体" w:cs="宋体"/>
                <w:color w:val="auto"/>
                <w:highlight w:val="none"/>
              </w:rPr>
            </w:pPr>
          </w:p>
        </w:tc>
        <w:tc>
          <w:tcPr>
            <w:tcW w:w="1418" w:type="dxa"/>
            <w:vAlign w:val="center"/>
          </w:tcPr>
          <w:p w14:paraId="0FA66802">
            <w:pPr>
              <w:keepNext/>
              <w:spacing w:line="360" w:lineRule="auto"/>
              <w:ind w:left="63" w:right="63" w:firstLine="420" w:firstLineChars="200"/>
              <w:rPr>
                <w:rFonts w:ascii="宋体" w:hAnsi="宋体" w:cs="宋体"/>
                <w:color w:val="auto"/>
                <w:highlight w:val="none"/>
              </w:rPr>
            </w:pPr>
          </w:p>
        </w:tc>
        <w:tc>
          <w:tcPr>
            <w:tcW w:w="850" w:type="dxa"/>
            <w:vAlign w:val="center"/>
          </w:tcPr>
          <w:p w14:paraId="7DF0D191">
            <w:pPr>
              <w:keepNext/>
              <w:spacing w:line="360" w:lineRule="auto"/>
              <w:ind w:left="63" w:right="63" w:firstLine="420" w:firstLineChars="200"/>
              <w:rPr>
                <w:rFonts w:ascii="宋体" w:hAnsi="宋体" w:cs="宋体"/>
                <w:color w:val="auto"/>
                <w:highlight w:val="none"/>
              </w:rPr>
            </w:pPr>
          </w:p>
        </w:tc>
        <w:tc>
          <w:tcPr>
            <w:tcW w:w="1058" w:type="dxa"/>
            <w:vAlign w:val="center"/>
          </w:tcPr>
          <w:p w14:paraId="1AA49466">
            <w:pPr>
              <w:keepNext/>
              <w:spacing w:line="360" w:lineRule="auto"/>
              <w:ind w:left="63" w:right="63" w:firstLine="420" w:firstLineChars="200"/>
              <w:rPr>
                <w:rFonts w:ascii="宋体" w:hAnsi="宋体" w:cs="宋体"/>
                <w:color w:val="auto"/>
                <w:highlight w:val="none"/>
              </w:rPr>
            </w:pPr>
          </w:p>
        </w:tc>
        <w:tc>
          <w:tcPr>
            <w:tcW w:w="880" w:type="dxa"/>
            <w:vAlign w:val="center"/>
          </w:tcPr>
          <w:p w14:paraId="36DDD61C">
            <w:pPr>
              <w:keepNext/>
              <w:spacing w:line="360" w:lineRule="auto"/>
              <w:ind w:left="63" w:right="63" w:firstLine="420" w:firstLineChars="200"/>
              <w:rPr>
                <w:rFonts w:ascii="宋体" w:hAnsi="宋体" w:cs="宋体"/>
                <w:color w:val="auto"/>
                <w:highlight w:val="none"/>
              </w:rPr>
            </w:pPr>
          </w:p>
        </w:tc>
        <w:tc>
          <w:tcPr>
            <w:tcW w:w="1020" w:type="dxa"/>
            <w:vAlign w:val="center"/>
          </w:tcPr>
          <w:p w14:paraId="776BCDD4">
            <w:pPr>
              <w:keepNext/>
              <w:spacing w:line="360" w:lineRule="auto"/>
              <w:ind w:left="63" w:right="63" w:firstLine="420" w:firstLineChars="200"/>
              <w:rPr>
                <w:rFonts w:ascii="宋体" w:hAnsi="宋体" w:cs="宋体"/>
                <w:color w:val="auto"/>
                <w:highlight w:val="none"/>
              </w:rPr>
            </w:pPr>
          </w:p>
        </w:tc>
        <w:tc>
          <w:tcPr>
            <w:tcW w:w="1480" w:type="dxa"/>
            <w:vAlign w:val="center"/>
          </w:tcPr>
          <w:p w14:paraId="7DC4402A">
            <w:pPr>
              <w:keepNext/>
              <w:spacing w:line="360" w:lineRule="auto"/>
              <w:ind w:left="63" w:right="63" w:firstLine="420" w:firstLineChars="200"/>
              <w:rPr>
                <w:rFonts w:ascii="宋体" w:hAnsi="宋体" w:cs="宋体"/>
                <w:color w:val="auto"/>
                <w:highlight w:val="none"/>
              </w:rPr>
            </w:pPr>
          </w:p>
        </w:tc>
        <w:tc>
          <w:tcPr>
            <w:tcW w:w="1020" w:type="dxa"/>
            <w:vAlign w:val="center"/>
          </w:tcPr>
          <w:p w14:paraId="6CDE78BA">
            <w:pPr>
              <w:keepNext/>
              <w:spacing w:line="360" w:lineRule="auto"/>
              <w:ind w:left="63" w:right="63" w:firstLine="420" w:firstLineChars="200"/>
              <w:rPr>
                <w:rFonts w:ascii="宋体" w:hAnsi="宋体" w:cs="宋体"/>
                <w:color w:val="auto"/>
                <w:highlight w:val="none"/>
              </w:rPr>
            </w:pPr>
          </w:p>
        </w:tc>
        <w:tc>
          <w:tcPr>
            <w:tcW w:w="921" w:type="dxa"/>
            <w:vAlign w:val="center"/>
          </w:tcPr>
          <w:p w14:paraId="2DCA5FF2">
            <w:pPr>
              <w:keepNext/>
              <w:spacing w:line="360" w:lineRule="auto"/>
              <w:ind w:left="63" w:right="63" w:firstLine="420" w:firstLineChars="200"/>
              <w:rPr>
                <w:rFonts w:ascii="宋体" w:hAnsi="宋体" w:cs="宋体"/>
                <w:color w:val="auto"/>
                <w:highlight w:val="none"/>
              </w:rPr>
            </w:pPr>
          </w:p>
        </w:tc>
      </w:tr>
      <w:tr w14:paraId="51571EDD">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162" w:type="dxa"/>
            <w:vAlign w:val="center"/>
          </w:tcPr>
          <w:p w14:paraId="037F1BFB">
            <w:pPr>
              <w:keepNext/>
              <w:spacing w:line="360" w:lineRule="auto"/>
              <w:ind w:left="63" w:right="63" w:firstLine="420" w:firstLineChars="200"/>
              <w:rPr>
                <w:rFonts w:ascii="宋体" w:hAnsi="宋体" w:cs="宋体"/>
                <w:color w:val="auto"/>
                <w:highlight w:val="none"/>
              </w:rPr>
            </w:pPr>
          </w:p>
        </w:tc>
        <w:tc>
          <w:tcPr>
            <w:tcW w:w="1418" w:type="dxa"/>
            <w:vAlign w:val="center"/>
          </w:tcPr>
          <w:p w14:paraId="3E610BE1">
            <w:pPr>
              <w:keepNext/>
              <w:spacing w:line="360" w:lineRule="auto"/>
              <w:ind w:left="63" w:right="63" w:firstLine="420" w:firstLineChars="200"/>
              <w:rPr>
                <w:rFonts w:ascii="宋体" w:hAnsi="宋体" w:cs="宋体"/>
                <w:color w:val="auto"/>
                <w:highlight w:val="none"/>
              </w:rPr>
            </w:pPr>
          </w:p>
        </w:tc>
        <w:tc>
          <w:tcPr>
            <w:tcW w:w="850" w:type="dxa"/>
            <w:vAlign w:val="center"/>
          </w:tcPr>
          <w:p w14:paraId="2C118A36">
            <w:pPr>
              <w:keepNext/>
              <w:spacing w:line="360" w:lineRule="auto"/>
              <w:ind w:left="63" w:right="63" w:firstLine="420" w:firstLineChars="200"/>
              <w:rPr>
                <w:rFonts w:ascii="宋体" w:hAnsi="宋体" w:cs="宋体"/>
                <w:color w:val="auto"/>
                <w:highlight w:val="none"/>
              </w:rPr>
            </w:pPr>
          </w:p>
        </w:tc>
        <w:tc>
          <w:tcPr>
            <w:tcW w:w="1058" w:type="dxa"/>
            <w:vAlign w:val="center"/>
          </w:tcPr>
          <w:p w14:paraId="37EFFA6E">
            <w:pPr>
              <w:keepNext/>
              <w:spacing w:line="360" w:lineRule="auto"/>
              <w:ind w:left="63" w:right="63" w:firstLine="420" w:firstLineChars="200"/>
              <w:rPr>
                <w:rFonts w:ascii="宋体" w:hAnsi="宋体" w:cs="宋体"/>
                <w:color w:val="auto"/>
                <w:highlight w:val="none"/>
              </w:rPr>
            </w:pPr>
          </w:p>
        </w:tc>
        <w:tc>
          <w:tcPr>
            <w:tcW w:w="880" w:type="dxa"/>
            <w:vAlign w:val="center"/>
          </w:tcPr>
          <w:p w14:paraId="0C672C60">
            <w:pPr>
              <w:keepNext/>
              <w:spacing w:line="360" w:lineRule="auto"/>
              <w:ind w:left="63" w:right="63" w:firstLine="420" w:firstLineChars="200"/>
              <w:rPr>
                <w:rFonts w:ascii="宋体" w:hAnsi="宋体" w:cs="宋体"/>
                <w:color w:val="auto"/>
                <w:highlight w:val="none"/>
              </w:rPr>
            </w:pPr>
          </w:p>
        </w:tc>
        <w:tc>
          <w:tcPr>
            <w:tcW w:w="1020" w:type="dxa"/>
            <w:vAlign w:val="center"/>
          </w:tcPr>
          <w:p w14:paraId="6D1E0D41">
            <w:pPr>
              <w:keepNext/>
              <w:spacing w:line="360" w:lineRule="auto"/>
              <w:ind w:left="63" w:right="63" w:firstLine="420" w:firstLineChars="200"/>
              <w:rPr>
                <w:rFonts w:ascii="宋体" w:hAnsi="宋体" w:cs="宋体"/>
                <w:color w:val="auto"/>
                <w:highlight w:val="none"/>
              </w:rPr>
            </w:pPr>
          </w:p>
        </w:tc>
        <w:tc>
          <w:tcPr>
            <w:tcW w:w="1480" w:type="dxa"/>
            <w:vAlign w:val="center"/>
          </w:tcPr>
          <w:p w14:paraId="34EF612A">
            <w:pPr>
              <w:keepNext/>
              <w:spacing w:line="360" w:lineRule="auto"/>
              <w:ind w:left="63" w:right="63" w:firstLine="420" w:firstLineChars="200"/>
              <w:rPr>
                <w:rFonts w:ascii="宋体" w:hAnsi="宋体" w:cs="宋体"/>
                <w:color w:val="auto"/>
                <w:highlight w:val="none"/>
              </w:rPr>
            </w:pPr>
          </w:p>
        </w:tc>
        <w:tc>
          <w:tcPr>
            <w:tcW w:w="1020" w:type="dxa"/>
            <w:vAlign w:val="center"/>
          </w:tcPr>
          <w:p w14:paraId="5E6F471F">
            <w:pPr>
              <w:keepNext/>
              <w:spacing w:line="360" w:lineRule="auto"/>
              <w:ind w:left="63" w:right="63" w:firstLine="420" w:firstLineChars="200"/>
              <w:rPr>
                <w:rFonts w:ascii="宋体" w:hAnsi="宋体" w:cs="宋体"/>
                <w:color w:val="auto"/>
                <w:highlight w:val="none"/>
              </w:rPr>
            </w:pPr>
          </w:p>
        </w:tc>
        <w:tc>
          <w:tcPr>
            <w:tcW w:w="921" w:type="dxa"/>
            <w:vAlign w:val="center"/>
          </w:tcPr>
          <w:p w14:paraId="6E08594F">
            <w:pPr>
              <w:keepNext/>
              <w:spacing w:line="360" w:lineRule="auto"/>
              <w:ind w:left="63" w:right="63" w:firstLine="420" w:firstLineChars="200"/>
              <w:rPr>
                <w:rFonts w:ascii="宋体" w:hAnsi="宋体" w:cs="宋体"/>
                <w:color w:val="auto"/>
                <w:highlight w:val="none"/>
              </w:rPr>
            </w:pPr>
          </w:p>
        </w:tc>
      </w:tr>
      <w:tr w14:paraId="177448E2">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162" w:type="dxa"/>
            <w:vAlign w:val="center"/>
          </w:tcPr>
          <w:p w14:paraId="1647E52C">
            <w:pPr>
              <w:keepNext/>
              <w:spacing w:line="360" w:lineRule="auto"/>
              <w:ind w:left="63" w:right="63" w:firstLine="420" w:firstLineChars="200"/>
              <w:rPr>
                <w:rFonts w:ascii="宋体" w:hAnsi="宋体" w:cs="宋体"/>
                <w:color w:val="auto"/>
                <w:highlight w:val="none"/>
              </w:rPr>
            </w:pPr>
          </w:p>
        </w:tc>
        <w:tc>
          <w:tcPr>
            <w:tcW w:w="1418" w:type="dxa"/>
            <w:vAlign w:val="center"/>
          </w:tcPr>
          <w:p w14:paraId="5F2F7723">
            <w:pPr>
              <w:keepNext/>
              <w:spacing w:line="360" w:lineRule="auto"/>
              <w:ind w:left="63" w:right="63" w:firstLine="420" w:firstLineChars="200"/>
              <w:rPr>
                <w:rFonts w:ascii="宋体" w:hAnsi="宋体" w:cs="宋体"/>
                <w:color w:val="auto"/>
                <w:highlight w:val="none"/>
              </w:rPr>
            </w:pPr>
          </w:p>
        </w:tc>
        <w:tc>
          <w:tcPr>
            <w:tcW w:w="850" w:type="dxa"/>
            <w:vAlign w:val="center"/>
          </w:tcPr>
          <w:p w14:paraId="3AFA75B9">
            <w:pPr>
              <w:keepNext/>
              <w:spacing w:line="360" w:lineRule="auto"/>
              <w:ind w:left="63" w:right="63" w:firstLine="420" w:firstLineChars="200"/>
              <w:rPr>
                <w:rFonts w:ascii="宋体" w:hAnsi="宋体" w:cs="宋体"/>
                <w:color w:val="auto"/>
                <w:highlight w:val="none"/>
              </w:rPr>
            </w:pPr>
          </w:p>
        </w:tc>
        <w:tc>
          <w:tcPr>
            <w:tcW w:w="1058" w:type="dxa"/>
            <w:vAlign w:val="center"/>
          </w:tcPr>
          <w:p w14:paraId="35830549">
            <w:pPr>
              <w:keepNext/>
              <w:spacing w:line="360" w:lineRule="auto"/>
              <w:ind w:left="63" w:right="63" w:firstLine="420" w:firstLineChars="200"/>
              <w:rPr>
                <w:rFonts w:ascii="宋体" w:hAnsi="宋体" w:cs="宋体"/>
                <w:color w:val="auto"/>
                <w:highlight w:val="none"/>
              </w:rPr>
            </w:pPr>
          </w:p>
        </w:tc>
        <w:tc>
          <w:tcPr>
            <w:tcW w:w="880" w:type="dxa"/>
            <w:vAlign w:val="center"/>
          </w:tcPr>
          <w:p w14:paraId="7E6E9B81">
            <w:pPr>
              <w:keepNext/>
              <w:spacing w:line="360" w:lineRule="auto"/>
              <w:ind w:left="63" w:right="63" w:firstLine="420" w:firstLineChars="200"/>
              <w:rPr>
                <w:rFonts w:ascii="宋体" w:hAnsi="宋体" w:cs="宋体"/>
                <w:color w:val="auto"/>
                <w:highlight w:val="none"/>
              </w:rPr>
            </w:pPr>
          </w:p>
        </w:tc>
        <w:tc>
          <w:tcPr>
            <w:tcW w:w="1020" w:type="dxa"/>
            <w:vAlign w:val="center"/>
          </w:tcPr>
          <w:p w14:paraId="7450A9D5">
            <w:pPr>
              <w:keepNext/>
              <w:spacing w:line="360" w:lineRule="auto"/>
              <w:ind w:left="63" w:right="63" w:firstLine="420" w:firstLineChars="200"/>
              <w:rPr>
                <w:rFonts w:ascii="宋体" w:hAnsi="宋体" w:cs="宋体"/>
                <w:color w:val="auto"/>
                <w:highlight w:val="none"/>
              </w:rPr>
            </w:pPr>
          </w:p>
        </w:tc>
        <w:tc>
          <w:tcPr>
            <w:tcW w:w="1480" w:type="dxa"/>
            <w:vAlign w:val="center"/>
          </w:tcPr>
          <w:p w14:paraId="559047E3">
            <w:pPr>
              <w:keepNext/>
              <w:spacing w:line="360" w:lineRule="auto"/>
              <w:ind w:left="63" w:right="63" w:firstLine="420" w:firstLineChars="200"/>
              <w:rPr>
                <w:rFonts w:ascii="宋体" w:hAnsi="宋体" w:cs="宋体"/>
                <w:color w:val="auto"/>
                <w:highlight w:val="none"/>
              </w:rPr>
            </w:pPr>
          </w:p>
        </w:tc>
        <w:tc>
          <w:tcPr>
            <w:tcW w:w="1020" w:type="dxa"/>
            <w:vAlign w:val="center"/>
          </w:tcPr>
          <w:p w14:paraId="1B22C4E1">
            <w:pPr>
              <w:keepNext/>
              <w:spacing w:line="360" w:lineRule="auto"/>
              <w:ind w:left="63" w:right="63" w:firstLine="420" w:firstLineChars="200"/>
              <w:rPr>
                <w:rFonts w:ascii="宋体" w:hAnsi="宋体" w:cs="宋体"/>
                <w:color w:val="auto"/>
                <w:highlight w:val="none"/>
              </w:rPr>
            </w:pPr>
          </w:p>
        </w:tc>
        <w:tc>
          <w:tcPr>
            <w:tcW w:w="921" w:type="dxa"/>
            <w:vAlign w:val="center"/>
          </w:tcPr>
          <w:p w14:paraId="1FE7B76B">
            <w:pPr>
              <w:keepNext/>
              <w:spacing w:line="360" w:lineRule="auto"/>
              <w:ind w:left="63" w:right="63" w:firstLine="420" w:firstLineChars="200"/>
              <w:rPr>
                <w:rFonts w:ascii="宋体" w:hAnsi="宋体" w:cs="宋体"/>
                <w:color w:val="auto"/>
                <w:highlight w:val="none"/>
              </w:rPr>
            </w:pPr>
          </w:p>
        </w:tc>
      </w:tr>
      <w:tr w14:paraId="1C9ED4C8">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162" w:type="dxa"/>
            <w:vAlign w:val="center"/>
          </w:tcPr>
          <w:p w14:paraId="631CC4BD">
            <w:pPr>
              <w:keepNext/>
              <w:spacing w:line="360" w:lineRule="auto"/>
              <w:ind w:left="63" w:right="63" w:firstLine="420" w:firstLineChars="200"/>
              <w:rPr>
                <w:rFonts w:ascii="宋体" w:hAnsi="宋体" w:cs="宋体"/>
                <w:color w:val="auto"/>
                <w:highlight w:val="none"/>
              </w:rPr>
            </w:pPr>
          </w:p>
        </w:tc>
        <w:tc>
          <w:tcPr>
            <w:tcW w:w="1418" w:type="dxa"/>
            <w:vAlign w:val="center"/>
          </w:tcPr>
          <w:p w14:paraId="61B4812B">
            <w:pPr>
              <w:keepNext/>
              <w:spacing w:line="360" w:lineRule="auto"/>
              <w:ind w:left="63" w:right="63" w:firstLine="420" w:firstLineChars="200"/>
              <w:rPr>
                <w:rFonts w:ascii="宋体" w:hAnsi="宋体" w:cs="宋体"/>
                <w:color w:val="auto"/>
                <w:highlight w:val="none"/>
              </w:rPr>
            </w:pPr>
          </w:p>
        </w:tc>
        <w:tc>
          <w:tcPr>
            <w:tcW w:w="850" w:type="dxa"/>
            <w:vAlign w:val="center"/>
          </w:tcPr>
          <w:p w14:paraId="64CC27C9">
            <w:pPr>
              <w:keepNext/>
              <w:spacing w:line="360" w:lineRule="auto"/>
              <w:ind w:left="63" w:right="63" w:firstLine="420" w:firstLineChars="200"/>
              <w:rPr>
                <w:rFonts w:ascii="宋体" w:hAnsi="宋体" w:cs="宋体"/>
                <w:color w:val="auto"/>
                <w:highlight w:val="none"/>
              </w:rPr>
            </w:pPr>
          </w:p>
        </w:tc>
        <w:tc>
          <w:tcPr>
            <w:tcW w:w="1058" w:type="dxa"/>
            <w:vAlign w:val="center"/>
          </w:tcPr>
          <w:p w14:paraId="071F29B5">
            <w:pPr>
              <w:keepNext/>
              <w:spacing w:line="360" w:lineRule="auto"/>
              <w:ind w:left="63" w:right="63" w:firstLine="420" w:firstLineChars="200"/>
              <w:rPr>
                <w:rFonts w:ascii="宋体" w:hAnsi="宋体" w:cs="宋体"/>
                <w:color w:val="auto"/>
                <w:highlight w:val="none"/>
              </w:rPr>
            </w:pPr>
          </w:p>
        </w:tc>
        <w:tc>
          <w:tcPr>
            <w:tcW w:w="880" w:type="dxa"/>
            <w:vAlign w:val="center"/>
          </w:tcPr>
          <w:p w14:paraId="518FB681">
            <w:pPr>
              <w:keepNext/>
              <w:spacing w:line="360" w:lineRule="auto"/>
              <w:ind w:left="63" w:right="63" w:firstLine="420" w:firstLineChars="200"/>
              <w:rPr>
                <w:rFonts w:ascii="宋体" w:hAnsi="宋体" w:cs="宋体"/>
                <w:color w:val="auto"/>
                <w:highlight w:val="none"/>
              </w:rPr>
            </w:pPr>
          </w:p>
        </w:tc>
        <w:tc>
          <w:tcPr>
            <w:tcW w:w="1020" w:type="dxa"/>
            <w:vAlign w:val="center"/>
          </w:tcPr>
          <w:p w14:paraId="11596415">
            <w:pPr>
              <w:keepNext/>
              <w:spacing w:line="360" w:lineRule="auto"/>
              <w:ind w:left="63" w:right="63" w:firstLine="420" w:firstLineChars="200"/>
              <w:rPr>
                <w:rFonts w:ascii="宋体" w:hAnsi="宋体" w:cs="宋体"/>
                <w:color w:val="auto"/>
                <w:highlight w:val="none"/>
              </w:rPr>
            </w:pPr>
          </w:p>
        </w:tc>
        <w:tc>
          <w:tcPr>
            <w:tcW w:w="1480" w:type="dxa"/>
            <w:vAlign w:val="center"/>
          </w:tcPr>
          <w:p w14:paraId="2D613EB7">
            <w:pPr>
              <w:keepNext/>
              <w:spacing w:line="360" w:lineRule="auto"/>
              <w:ind w:left="63" w:right="63" w:firstLine="420" w:firstLineChars="200"/>
              <w:rPr>
                <w:rFonts w:ascii="宋体" w:hAnsi="宋体" w:cs="宋体"/>
                <w:color w:val="auto"/>
                <w:highlight w:val="none"/>
              </w:rPr>
            </w:pPr>
          </w:p>
        </w:tc>
        <w:tc>
          <w:tcPr>
            <w:tcW w:w="1020" w:type="dxa"/>
            <w:vAlign w:val="center"/>
          </w:tcPr>
          <w:p w14:paraId="06AFB818">
            <w:pPr>
              <w:keepNext/>
              <w:spacing w:line="360" w:lineRule="auto"/>
              <w:ind w:left="63" w:right="63" w:firstLine="420" w:firstLineChars="200"/>
              <w:rPr>
                <w:rFonts w:ascii="宋体" w:hAnsi="宋体" w:cs="宋体"/>
                <w:color w:val="auto"/>
                <w:highlight w:val="none"/>
              </w:rPr>
            </w:pPr>
          </w:p>
        </w:tc>
        <w:tc>
          <w:tcPr>
            <w:tcW w:w="921" w:type="dxa"/>
            <w:vAlign w:val="center"/>
          </w:tcPr>
          <w:p w14:paraId="1E361A62">
            <w:pPr>
              <w:keepNext/>
              <w:spacing w:line="360" w:lineRule="auto"/>
              <w:ind w:left="63" w:right="63" w:firstLine="420" w:firstLineChars="200"/>
              <w:rPr>
                <w:rFonts w:ascii="宋体" w:hAnsi="宋体" w:cs="宋体"/>
                <w:color w:val="auto"/>
                <w:highlight w:val="none"/>
              </w:rPr>
            </w:pPr>
          </w:p>
        </w:tc>
      </w:tr>
      <w:tr w14:paraId="59838AEC">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162" w:type="dxa"/>
          </w:tcPr>
          <w:p w14:paraId="1455B275">
            <w:pPr>
              <w:spacing w:line="360" w:lineRule="auto"/>
              <w:ind w:firstLine="420" w:firstLineChars="200"/>
              <w:rPr>
                <w:rFonts w:ascii="宋体" w:hAnsi="宋体" w:cs="宋体"/>
                <w:color w:val="auto"/>
                <w:highlight w:val="none"/>
              </w:rPr>
            </w:pPr>
          </w:p>
        </w:tc>
        <w:tc>
          <w:tcPr>
            <w:tcW w:w="1418" w:type="dxa"/>
          </w:tcPr>
          <w:p w14:paraId="36ABF604">
            <w:pPr>
              <w:spacing w:line="360" w:lineRule="auto"/>
              <w:ind w:firstLine="420" w:firstLineChars="200"/>
              <w:rPr>
                <w:rFonts w:ascii="宋体" w:hAnsi="宋体" w:cs="宋体"/>
                <w:color w:val="auto"/>
                <w:highlight w:val="none"/>
              </w:rPr>
            </w:pPr>
          </w:p>
        </w:tc>
        <w:tc>
          <w:tcPr>
            <w:tcW w:w="850" w:type="dxa"/>
          </w:tcPr>
          <w:p w14:paraId="7E09C42D">
            <w:pPr>
              <w:spacing w:line="360" w:lineRule="auto"/>
              <w:ind w:firstLine="420" w:firstLineChars="200"/>
              <w:rPr>
                <w:rFonts w:ascii="宋体" w:hAnsi="宋体" w:cs="宋体"/>
                <w:color w:val="auto"/>
                <w:highlight w:val="none"/>
              </w:rPr>
            </w:pPr>
          </w:p>
        </w:tc>
        <w:tc>
          <w:tcPr>
            <w:tcW w:w="1058" w:type="dxa"/>
          </w:tcPr>
          <w:p w14:paraId="57B7F28D">
            <w:pPr>
              <w:spacing w:line="360" w:lineRule="auto"/>
              <w:ind w:firstLine="420" w:firstLineChars="200"/>
              <w:rPr>
                <w:rFonts w:ascii="宋体" w:hAnsi="宋体" w:cs="宋体"/>
                <w:color w:val="auto"/>
                <w:highlight w:val="none"/>
              </w:rPr>
            </w:pPr>
          </w:p>
        </w:tc>
        <w:tc>
          <w:tcPr>
            <w:tcW w:w="880" w:type="dxa"/>
          </w:tcPr>
          <w:p w14:paraId="46E0DCF8">
            <w:pPr>
              <w:spacing w:line="360" w:lineRule="auto"/>
              <w:ind w:firstLine="420" w:firstLineChars="200"/>
              <w:rPr>
                <w:rFonts w:ascii="宋体" w:hAnsi="宋体" w:cs="宋体"/>
                <w:color w:val="auto"/>
                <w:highlight w:val="none"/>
              </w:rPr>
            </w:pPr>
          </w:p>
        </w:tc>
        <w:tc>
          <w:tcPr>
            <w:tcW w:w="1020" w:type="dxa"/>
          </w:tcPr>
          <w:p w14:paraId="3B89F674">
            <w:pPr>
              <w:spacing w:line="360" w:lineRule="auto"/>
              <w:ind w:firstLine="420" w:firstLineChars="200"/>
              <w:rPr>
                <w:rFonts w:ascii="宋体" w:hAnsi="宋体" w:cs="宋体"/>
                <w:color w:val="auto"/>
                <w:highlight w:val="none"/>
              </w:rPr>
            </w:pPr>
          </w:p>
        </w:tc>
        <w:tc>
          <w:tcPr>
            <w:tcW w:w="1480" w:type="dxa"/>
          </w:tcPr>
          <w:p w14:paraId="36C08A3F">
            <w:pPr>
              <w:spacing w:line="360" w:lineRule="auto"/>
              <w:ind w:firstLine="420" w:firstLineChars="200"/>
              <w:rPr>
                <w:rFonts w:ascii="宋体" w:hAnsi="宋体" w:cs="宋体"/>
                <w:color w:val="auto"/>
                <w:highlight w:val="none"/>
              </w:rPr>
            </w:pPr>
          </w:p>
        </w:tc>
        <w:tc>
          <w:tcPr>
            <w:tcW w:w="1020" w:type="dxa"/>
          </w:tcPr>
          <w:p w14:paraId="13845F04">
            <w:pPr>
              <w:spacing w:line="360" w:lineRule="auto"/>
              <w:ind w:firstLine="420" w:firstLineChars="200"/>
              <w:rPr>
                <w:rFonts w:ascii="宋体" w:hAnsi="宋体" w:cs="宋体"/>
                <w:color w:val="auto"/>
                <w:highlight w:val="none"/>
              </w:rPr>
            </w:pPr>
          </w:p>
        </w:tc>
        <w:tc>
          <w:tcPr>
            <w:tcW w:w="921" w:type="dxa"/>
          </w:tcPr>
          <w:p w14:paraId="583DE4E8">
            <w:pPr>
              <w:spacing w:line="360" w:lineRule="auto"/>
              <w:ind w:firstLine="420" w:firstLineChars="200"/>
              <w:rPr>
                <w:rFonts w:ascii="宋体" w:hAnsi="宋体" w:cs="宋体"/>
                <w:color w:val="auto"/>
                <w:highlight w:val="none"/>
              </w:rPr>
            </w:pPr>
          </w:p>
        </w:tc>
      </w:tr>
      <w:tr w14:paraId="6EC15BBC">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162" w:type="dxa"/>
            <w:vAlign w:val="center"/>
          </w:tcPr>
          <w:p w14:paraId="26755621">
            <w:pPr>
              <w:keepNext/>
              <w:spacing w:line="360" w:lineRule="auto"/>
              <w:ind w:left="63" w:right="63" w:firstLine="420" w:firstLineChars="200"/>
              <w:rPr>
                <w:rFonts w:ascii="宋体" w:hAnsi="宋体" w:cs="宋体"/>
                <w:color w:val="auto"/>
                <w:highlight w:val="none"/>
              </w:rPr>
            </w:pPr>
          </w:p>
        </w:tc>
        <w:tc>
          <w:tcPr>
            <w:tcW w:w="1418" w:type="dxa"/>
            <w:vAlign w:val="center"/>
          </w:tcPr>
          <w:p w14:paraId="7E75F405">
            <w:pPr>
              <w:keepNext/>
              <w:spacing w:line="360" w:lineRule="auto"/>
              <w:ind w:left="63" w:right="63" w:firstLine="420" w:firstLineChars="200"/>
              <w:rPr>
                <w:rFonts w:ascii="宋体" w:hAnsi="宋体" w:cs="宋体"/>
                <w:color w:val="auto"/>
                <w:highlight w:val="none"/>
              </w:rPr>
            </w:pPr>
          </w:p>
        </w:tc>
        <w:tc>
          <w:tcPr>
            <w:tcW w:w="850" w:type="dxa"/>
            <w:vAlign w:val="center"/>
          </w:tcPr>
          <w:p w14:paraId="0E1F6153">
            <w:pPr>
              <w:keepNext/>
              <w:spacing w:line="360" w:lineRule="auto"/>
              <w:ind w:left="63" w:right="63" w:firstLine="420" w:firstLineChars="200"/>
              <w:rPr>
                <w:rFonts w:ascii="宋体" w:hAnsi="宋体" w:cs="宋体"/>
                <w:color w:val="auto"/>
                <w:highlight w:val="none"/>
              </w:rPr>
            </w:pPr>
          </w:p>
        </w:tc>
        <w:tc>
          <w:tcPr>
            <w:tcW w:w="1058" w:type="dxa"/>
            <w:vAlign w:val="center"/>
          </w:tcPr>
          <w:p w14:paraId="64E56A38">
            <w:pPr>
              <w:keepNext/>
              <w:spacing w:line="360" w:lineRule="auto"/>
              <w:ind w:left="63" w:right="63" w:firstLine="420" w:firstLineChars="200"/>
              <w:rPr>
                <w:rFonts w:ascii="宋体" w:hAnsi="宋体" w:cs="宋体"/>
                <w:color w:val="auto"/>
                <w:highlight w:val="none"/>
              </w:rPr>
            </w:pPr>
          </w:p>
        </w:tc>
        <w:tc>
          <w:tcPr>
            <w:tcW w:w="880" w:type="dxa"/>
            <w:vAlign w:val="center"/>
          </w:tcPr>
          <w:p w14:paraId="5028C19B">
            <w:pPr>
              <w:keepNext/>
              <w:spacing w:line="360" w:lineRule="auto"/>
              <w:ind w:left="63" w:right="63" w:firstLine="420" w:firstLineChars="200"/>
              <w:rPr>
                <w:rFonts w:ascii="宋体" w:hAnsi="宋体" w:cs="宋体"/>
                <w:color w:val="auto"/>
                <w:highlight w:val="none"/>
              </w:rPr>
            </w:pPr>
          </w:p>
        </w:tc>
        <w:tc>
          <w:tcPr>
            <w:tcW w:w="1020" w:type="dxa"/>
            <w:vAlign w:val="center"/>
          </w:tcPr>
          <w:p w14:paraId="46983A4A">
            <w:pPr>
              <w:keepNext/>
              <w:spacing w:line="360" w:lineRule="auto"/>
              <w:ind w:left="63" w:right="63" w:firstLine="420" w:firstLineChars="200"/>
              <w:rPr>
                <w:rFonts w:ascii="宋体" w:hAnsi="宋体" w:cs="宋体"/>
                <w:color w:val="auto"/>
                <w:highlight w:val="none"/>
              </w:rPr>
            </w:pPr>
          </w:p>
        </w:tc>
        <w:tc>
          <w:tcPr>
            <w:tcW w:w="1480" w:type="dxa"/>
            <w:vAlign w:val="center"/>
          </w:tcPr>
          <w:p w14:paraId="590100B3">
            <w:pPr>
              <w:keepNext/>
              <w:spacing w:line="360" w:lineRule="auto"/>
              <w:ind w:left="63" w:right="63" w:firstLine="420" w:firstLineChars="200"/>
              <w:rPr>
                <w:rFonts w:ascii="宋体" w:hAnsi="宋体" w:cs="宋体"/>
                <w:color w:val="auto"/>
                <w:highlight w:val="none"/>
              </w:rPr>
            </w:pPr>
          </w:p>
        </w:tc>
        <w:tc>
          <w:tcPr>
            <w:tcW w:w="1020" w:type="dxa"/>
            <w:vAlign w:val="center"/>
          </w:tcPr>
          <w:p w14:paraId="1684A860">
            <w:pPr>
              <w:keepNext/>
              <w:spacing w:line="360" w:lineRule="auto"/>
              <w:ind w:left="63" w:right="63" w:firstLine="420" w:firstLineChars="200"/>
              <w:rPr>
                <w:rFonts w:ascii="宋体" w:hAnsi="宋体" w:cs="宋体"/>
                <w:color w:val="auto"/>
                <w:highlight w:val="none"/>
              </w:rPr>
            </w:pPr>
          </w:p>
        </w:tc>
        <w:tc>
          <w:tcPr>
            <w:tcW w:w="921" w:type="dxa"/>
            <w:vAlign w:val="center"/>
          </w:tcPr>
          <w:p w14:paraId="7A3C1A14">
            <w:pPr>
              <w:keepNext/>
              <w:spacing w:line="360" w:lineRule="auto"/>
              <w:ind w:left="63" w:right="63" w:firstLine="420" w:firstLineChars="200"/>
              <w:rPr>
                <w:rFonts w:ascii="宋体" w:hAnsi="宋体" w:cs="宋体"/>
                <w:color w:val="auto"/>
                <w:highlight w:val="none"/>
              </w:rPr>
            </w:pPr>
          </w:p>
        </w:tc>
      </w:tr>
      <w:tr w14:paraId="3304B5D3">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162" w:type="dxa"/>
          </w:tcPr>
          <w:p w14:paraId="0AE93FD9">
            <w:pPr>
              <w:spacing w:line="360" w:lineRule="auto"/>
              <w:ind w:firstLine="420" w:firstLineChars="200"/>
              <w:rPr>
                <w:rFonts w:ascii="宋体" w:hAnsi="宋体" w:cs="宋体"/>
                <w:color w:val="auto"/>
                <w:highlight w:val="none"/>
              </w:rPr>
            </w:pPr>
          </w:p>
        </w:tc>
        <w:tc>
          <w:tcPr>
            <w:tcW w:w="1418" w:type="dxa"/>
          </w:tcPr>
          <w:p w14:paraId="314327BF">
            <w:pPr>
              <w:spacing w:line="360" w:lineRule="auto"/>
              <w:ind w:firstLine="420" w:firstLineChars="200"/>
              <w:rPr>
                <w:rFonts w:ascii="宋体" w:hAnsi="宋体" w:cs="宋体"/>
                <w:color w:val="auto"/>
                <w:highlight w:val="none"/>
              </w:rPr>
            </w:pPr>
          </w:p>
        </w:tc>
        <w:tc>
          <w:tcPr>
            <w:tcW w:w="850" w:type="dxa"/>
          </w:tcPr>
          <w:p w14:paraId="7858A1E6">
            <w:pPr>
              <w:spacing w:line="360" w:lineRule="auto"/>
              <w:ind w:firstLine="420" w:firstLineChars="200"/>
              <w:rPr>
                <w:rFonts w:ascii="宋体" w:hAnsi="宋体" w:cs="宋体"/>
                <w:color w:val="auto"/>
                <w:highlight w:val="none"/>
              </w:rPr>
            </w:pPr>
          </w:p>
        </w:tc>
        <w:tc>
          <w:tcPr>
            <w:tcW w:w="1058" w:type="dxa"/>
          </w:tcPr>
          <w:p w14:paraId="7B47FABF">
            <w:pPr>
              <w:spacing w:line="360" w:lineRule="auto"/>
              <w:ind w:firstLine="420" w:firstLineChars="200"/>
              <w:rPr>
                <w:rFonts w:ascii="宋体" w:hAnsi="宋体" w:cs="宋体"/>
                <w:color w:val="auto"/>
                <w:highlight w:val="none"/>
              </w:rPr>
            </w:pPr>
          </w:p>
        </w:tc>
        <w:tc>
          <w:tcPr>
            <w:tcW w:w="880" w:type="dxa"/>
          </w:tcPr>
          <w:p w14:paraId="136B7DE1">
            <w:pPr>
              <w:spacing w:line="360" w:lineRule="auto"/>
              <w:ind w:firstLine="420" w:firstLineChars="200"/>
              <w:rPr>
                <w:rFonts w:ascii="宋体" w:hAnsi="宋体" w:cs="宋体"/>
                <w:color w:val="auto"/>
                <w:highlight w:val="none"/>
              </w:rPr>
            </w:pPr>
          </w:p>
        </w:tc>
        <w:tc>
          <w:tcPr>
            <w:tcW w:w="1020" w:type="dxa"/>
          </w:tcPr>
          <w:p w14:paraId="1DC8EA65">
            <w:pPr>
              <w:spacing w:line="360" w:lineRule="auto"/>
              <w:ind w:firstLine="420" w:firstLineChars="200"/>
              <w:rPr>
                <w:rFonts w:ascii="宋体" w:hAnsi="宋体" w:cs="宋体"/>
                <w:color w:val="auto"/>
                <w:highlight w:val="none"/>
              </w:rPr>
            </w:pPr>
          </w:p>
        </w:tc>
        <w:tc>
          <w:tcPr>
            <w:tcW w:w="1480" w:type="dxa"/>
          </w:tcPr>
          <w:p w14:paraId="3FD4ED5F">
            <w:pPr>
              <w:spacing w:line="360" w:lineRule="auto"/>
              <w:ind w:firstLine="420" w:firstLineChars="200"/>
              <w:rPr>
                <w:rFonts w:ascii="宋体" w:hAnsi="宋体" w:cs="宋体"/>
                <w:color w:val="auto"/>
                <w:highlight w:val="none"/>
              </w:rPr>
            </w:pPr>
          </w:p>
        </w:tc>
        <w:tc>
          <w:tcPr>
            <w:tcW w:w="1020" w:type="dxa"/>
          </w:tcPr>
          <w:p w14:paraId="66A336B1">
            <w:pPr>
              <w:spacing w:line="360" w:lineRule="auto"/>
              <w:ind w:firstLine="420" w:firstLineChars="200"/>
              <w:rPr>
                <w:rFonts w:ascii="宋体" w:hAnsi="宋体" w:cs="宋体"/>
                <w:color w:val="auto"/>
                <w:highlight w:val="none"/>
              </w:rPr>
            </w:pPr>
          </w:p>
        </w:tc>
        <w:tc>
          <w:tcPr>
            <w:tcW w:w="921" w:type="dxa"/>
          </w:tcPr>
          <w:p w14:paraId="1E7614B2">
            <w:pPr>
              <w:spacing w:line="360" w:lineRule="auto"/>
              <w:ind w:firstLine="420" w:firstLineChars="200"/>
              <w:rPr>
                <w:rFonts w:ascii="宋体" w:hAnsi="宋体" w:cs="宋体"/>
                <w:color w:val="auto"/>
                <w:highlight w:val="none"/>
              </w:rPr>
            </w:pPr>
          </w:p>
        </w:tc>
      </w:tr>
      <w:tr w14:paraId="55137A1B">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162" w:type="dxa"/>
          </w:tcPr>
          <w:p w14:paraId="56C02C3A">
            <w:pPr>
              <w:spacing w:line="360" w:lineRule="auto"/>
              <w:ind w:firstLine="420" w:firstLineChars="200"/>
              <w:rPr>
                <w:rFonts w:ascii="宋体" w:hAnsi="宋体" w:cs="宋体"/>
                <w:color w:val="auto"/>
                <w:highlight w:val="none"/>
              </w:rPr>
            </w:pPr>
          </w:p>
        </w:tc>
        <w:tc>
          <w:tcPr>
            <w:tcW w:w="1418" w:type="dxa"/>
          </w:tcPr>
          <w:p w14:paraId="256D9F57">
            <w:pPr>
              <w:spacing w:line="360" w:lineRule="auto"/>
              <w:ind w:firstLine="420" w:firstLineChars="200"/>
              <w:rPr>
                <w:rFonts w:ascii="宋体" w:hAnsi="宋体" w:cs="宋体"/>
                <w:color w:val="auto"/>
                <w:highlight w:val="none"/>
              </w:rPr>
            </w:pPr>
          </w:p>
        </w:tc>
        <w:tc>
          <w:tcPr>
            <w:tcW w:w="850" w:type="dxa"/>
          </w:tcPr>
          <w:p w14:paraId="79868027">
            <w:pPr>
              <w:spacing w:line="360" w:lineRule="auto"/>
              <w:ind w:firstLine="420" w:firstLineChars="200"/>
              <w:rPr>
                <w:rFonts w:ascii="宋体" w:hAnsi="宋体" w:cs="宋体"/>
                <w:color w:val="auto"/>
                <w:highlight w:val="none"/>
              </w:rPr>
            </w:pPr>
          </w:p>
        </w:tc>
        <w:tc>
          <w:tcPr>
            <w:tcW w:w="1058" w:type="dxa"/>
          </w:tcPr>
          <w:p w14:paraId="37EF572C">
            <w:pPr>
              <w:spacing w:line="360" w:lineRule="auto"/>
              <w:ind w:firstLine="420" w:firstLineChars="200"/>
              <w:rPr>
                <w:rFonts w:ascii="宋体" w:hAnsi="宋体" w:cs="宋体"/>
                <w:color w:val="auto"/>
                <w:highlight w:val="none"/>
              </w:rPr>
            </w:pPr>
          </w:p>
        </w:tc>
        <w:tc>
          <w:tcPr>
            <w:tcW w:w="880" w:type="dxa"/>
          </w:tcPr>
          <w:p w14:paraId="73F00853">
            <w:pPr>
              <w:spacing w:line="360" w:lineRule="auto"/>
              <w:ind w:firstLine="420" w:firstLineChars="200"/>
              <w:rPr>
                <w:rFonts w:ascii="宋体" w:hAnsi="宋体" w:cs="宋体"/>
                <w:color w:val="auto"/>
                <w:highlight w:val="none"/>
              </w:rPr>
            </w:pPr>
          </w:p>
        </w:tc>
        <w:tc>
          <w:tcPr>
            <w:tcW w:w="1020" w:type="dxa"/>
          </w:tcPr>
          <w:p w14:paraId="5A7C5415">
            <w:pPr>
              <w:spacing w:line="360" w:lineRule="auto"/>
              <w:ind w:firstLine="420" w:firstLineChars="200"/>
              <w:rPr>
                <w:rFonts w:ascii="宋体" w:hAnsi="宋体" w:cs="宋体"/>
                <w:color w:val="auto"/>
                <w:highlight w:val="none"/>
              </w:rPr>
            </w:pPr>
          </w:p>
        </w:tc>
        <w:tc>
          <w:tcPr>
            <w:tcW w:w="1480" w:type="dxa"/>
          </w:tcPr>
          <w:p w14:paraId="6EB29440">
            <w:pPr>
              <w:spacing w:line="360" w:lineRule="auto"/>
              <w:ind w:firstLine="420" w:firstLineChars="200"/>
              <w:rPr>
                <w:rFonts w:ascii="宋体" w:hAnsi="宋体" w:cs="宋体"/>
                <w:color w:val="auto"/>
                <w:highlight w:val="none"/>
              </w:rPr>
            </w:pPr>
          </w:p>
        </w:tc>
        <w:tc>
          <w:tcPr>
            <w:tcW w:w="1020" w:type="dxa"/>
          </w:tcPr>
          <w:p w14:paraId="53EE474C">
            <w:pPr>
              <w:spacing w:line="360" w:lineRule="auto"/>
              <w:ind w:firstLine="420" w:firstLineChars="200"/>
              <w:rPr>
                <w:rFonts w:ascii="宋体" w:hAnsi="宋体" w:cs="宋体"/>
                <w:color w:val="auto"/>
                <w:highlight w:val="none"/>
              </w:rPr>
            </w:pPr>
          </w:p>
        </w:tc>
        <w:tc>
          <w:tcPr>
            <w:tcW w:w="921" w:type="dxa"/>
          </w:tcPr>
          <w:p w14:paraId="773205BF">
            <w:pPr>
              <w:spacing w:line="360" w:lineRule="auto"/>
              <w:ind w:firstLine="420" w:firstLineChars="200"/>
              <w:rPr>
                <w:rFonts w:ascii="宋体" w:hAnsi="宋体" w:cs="宋体"/>
                <w:color w:val="auto"/>
                <w:highlight w:val="none"/>
              </w:rPr>
            </w:pPr>
          </w:p>
        </w:tc>
      </w:tr>
      <w:tr w14:paraId="3A54A581">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162" w:type="dxa"/>
          </w:tcPr>
          <w:p w14:paraId="67403240">
            <w:pPr>
              <w:spacing w:line="360" w:lineRule="auto"/>
              <w:ind w:firstLine="420" w:firstLineChars="200"/>
              <w:rPr>
                <w:rFonts w:ascii="宋体" w:hAnsi="宋体" w:cs="宋体"/>
                <w:color w:val="auto"/>
                <w:highlight w:val="none"/>
              </w:rPr>
            </w:pPr>
          </w:p>
        </w:tc>
        <w:tc>
          <w:tcPr>
            <w:tcW w:w="1418" w:type="dxa"/>
          </w:tcPr>
          <w:p w14:paraId="24D4B64A">
            <w:pPr>
              <w:spacing w:line="360" w:lineRule="auto"/>
              <w:ind w:firstLine="420" w:firstLineChars="200"/>
              <w:rPr>
                <w:rFonts w:ascii="宋体" w:hAnsi="宋体" w:cs="宋体"/>
                <w:color w:val="auto"/>
                <w:highlight w:val="none"/>
              </w:rPr>
            </w:pPr>
          </w:p>
        </w:tc>
        <w:tc>
          <w:tcPr>
            <w:tcW w:w="850" w:type="dxa"/>
          </w:tcPr>
          <w:p w14:paraId="0F620416">
            <w:pPr>
              <w:spacing w:line="360" w:lineRule="auto"/>
              <w:ind w:firstLine="420" w:firstLineChars="200"/>
              <w:rPr>
                <w:rFonts w:ascii="宋体" w:hAnsi="宋体" w:cs="宋体"/>
                <w:color w:val="auto"/>
                <w:highlight w:val="none"/>
              </w:rPr>
            </w:pPr>
          </w:p>
        </w:tc>
        <w:tc>
          <w:tcPr>
            <w:tcW w:w="1058" w:type="dxa"/>
          </w:tcPr>
          <w:p w14:paraId="3E43733E">
            <w:pPr>
              <w:spacing w:line="360" w:lineRule="auto"/>
              <w:ind w:firstLine="420" w:firstLineChars="200"/>
              <w:rPr>
                <w:rFonts w:ascii="宋体" w:hAnsi="宋体" w:cs="宋体"/>
                <w:color w:val="auto"/>
                <w:highlight w:val="none"/>
              </w:rPr>
            </w:pPr>
          </w:p>
        </w:tc>
        <w:tc>
          <w:tcPr>
            <w:tcW w:w="880" w:type="dxa"/>
          </w:tcPr>
          <w:p w14:paraId="3CA8F4A7">
            <w:pPr>
              <w:spacing w:line="360" w:lineRule="auto"/>
              <w:ind w:firstLine="420" w:firstLineChars="200"/>
              <w:rPr>
                <w:rFonts w:ascii="宋体" w:hAnsi="宋体" w:cs="宋体"/>
                <w:color w:val="auto"/>
                <w:highlight w:val="none"/>
              </w:rPr>
            </w:pPr>
          </w:p>
        </w:tc>
        <w:tc>
          <w:tcPr>
            <w:tcW w:w="1020" w:type="dxa"/>
          </w:tcPr>
          <w:p w14:paraId="38BE906C">
            <w:pPr>
              <w:spacing w:line="360" w:lineRule="auto"/>
              <w:ind w:firstLine="420" w:firstLineChars="200"/>
              <w:rPr>
                <w:rFonts w:ascii="宋体" w:hAnsi="宋体" w:cs="宋体"/>
                <w:color w:val="auto"/>
                <w:highlight w:val="none"/>
              </w:rPr>
            </w:pPr>
          </w:p>
        </w:tc>
        <w:tc>
          <w:tcPr>
            <w:tcW w:w="1480" w:type="dxa"/>
          </w:tcPr>
          <w:p w14:paraId="01B74C57">
            <w:pPr>
              <w:spacing w:line="360" w:lineRule="auto"/>
              <w:ind w:firstLine="420" w:firstLineChars="200"/>
              <w:rPr>
                <w:rFonts w:ascii="宋体" w:hAnsi="宋体" w:cs="宋体"/>
                <w:color w:val="auto"/>
                <w:highlight w:val="none"/>
              </w:rPr>
            </w:pPr>
          </w:p>
        </w:tc>
        <w:tc>
          <w:tcPr>
            <w:tcW w:w="1020" w:type="dxa"/>
          </w:tcPr>
          <w:p w14:paraId="6FF8558F">
            <w:pPr>
              <w:spacing w:line="360" w:lineRule="auto"/>
              <w:ind w:firstLine="420" w:firstLineChars="200"/>
              <w:rPr>
                <w:rFonts w:ascii="宋体" w:hAnsi="宋体" w:cs="宋体"/>
                <w:color w:val="auto"/>
                <w:highlight w:val="none"/>
              </w:rPr>
            </w:pPr>
          </w:p>
        </w:tc>
        <w:tc>
          <w:tcPr>
            <w:tcW w:w="921" w:type="dxa"/>
          </w:tcPr>
          <w:p w14:paraId="24F73262">
            <w:pPr>
              <w:spacing w:line="360" w:lineRule="auto"/>
              <w:ind w:firstLine="420" w:firstLineChars="200"/>
              <w:rPr>
                <w:rFonts w:ascii="宋体" w:hAnsi="宋体" w:cs="宋体"/>
                <w:color w:val="auto"/>
                <w:highlight w:val="none"/>
              </w:rPr>
            </w:pPr>
          </w:p>
        </w:tc>
      </w:tr>
      <w:tr w14:paraId="4EEA7EC4">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162" w:type="dxa"/>
          </w:tcPr>
          <w:p w14:paraId="5C5E1FC7">
            <w:pPr>
              <w:spacing w:line="360" w:lineRule="auto"/>
              <w:ind w:firstLine="420" w:firstLineChars="200"/>
              <w:rPr>
                <w:rFonts w:ascii="宋体" w:hAnsi="宋体" w:cs="宋体"/>
                <w:color w:val="auto"/>
                <w:highlight w:val="none"/>
              </w:rPr>
            </w:pPr>
          </w:p>
        </w:tc>
        <w:tc>
          <w:tcPr>
            <w:tcW w:w="1418" w:type="dxa"/>
          </w:tcPr>
          <w:p w14:paraId="21F5EDEF">
            <w:pPr>
              <w:spacing w:line="360" w:lineRule="auto"/>
              <w:ind w:firstLine="420" w:firstLineChars="200"/>
              <w:rPr>
                <w:rFonts w:ascii="宋体" w:hAnsi="宋体" w:cs="宋体"/>
                <w:color w:val="auto"/>
                <w:highlight w:val="none"/>
              </w:rPr>
            </w:pPr>
          </w:p>
        </w:tc>
        <w:tc>
          <w:tcPr>
            <w:tcW w:w="850" w:type="dxa"/>
          </w:tcPr>
          <w:p w14:paraId="72B5BF17">
            <w:pPr>
              <w:spacing w:line="360" w:lineRule="auto"/>
              <w:ind w:firstLine="420" w:firstLineChars="200"/>
              <w:rPr>
                <w:rFonts w:ascii="宋体" w:hAnsi="宋体" w:cs="宋体"/>
                <w:color w:val="auto"/>
                <w:highlight w:val="none"/>
              </w:rPr>
            </w:pPr>
          </w:p>
        </w:tc>
        <w:tc>
          <w:tcPr>
            <w:tcW w:w="1058" w:type="dxa"/>
          </w:tcPr>
          <w:p w14:paraId="4170CA52">
            <w:pPr>
              <w:spacing w:line="360" w:lineRule="auto"/>
              <w:ind w:firstLine="420" w:firstLineChars="200"/>
              <w:rPr>
                <w:rFonts w:ascii="宋体" w:hAnsi="宋体" w:cs="宋体"/>
                <w:color w:val="auto"/>
                <w:highlight w:val="none"/>
              </w:rPr>
            </w:pPr>
          </w:p>
        </w:tc>
        <w:tc>
          <w:tcPr>
            <w:tcW w:w="880" w:type="dxa"/>
          </w:tcPr>
          <w:p w14:paraId="1F0E7419">
            <w:pPr>
              <w:spacing w:line="360" w:lineRule="auto"/>
              <w:ind w:firstLine="420" w:firstLineChars="200"/>
              <w:rPr>
                <w:rFonts w:ascii="宋体" w:hAnsi="宋体" w:cs="宋体"/>
                <w:color w:val="auto"/>
                <w:highlight w:val="none"/>
              </w:rPr>
            </w:pPr>
          </w:p>
        </w:tc>
        <w:tc>
          <w:tcPr>
            <w:tcW w:w="1020" w:type="dxa"/>
          </w:tcPr>
          <w:p w14:paraId="0888A16D">
            <w:pPr>
              <w:spacing w:line="360" w:lineRule="auto"/>
              <w:ind w:firstLine="420" w:firstLineChars="200"/>
              <w:rPr>
                <w:rFonts w:ascii="宋体" w:hAnsi="宋体" w:cs="宋体"/>
                <w:color w:val="auto"/>
                <w:highlight w:val="none"/>
              </w:rPr>
            </w:pPr>
          </w:p>
        </w:tc>
        <w:tc>
          <w:tcPr>
            <w:tcW w:w="1480" w:type="dxa"/>
          </w:tcPr>
          <w:p w14:paraId="7CA58ADE">
            <w:pPr>
              <w:spacing w:line="360" w:lineRule="auto"/>
              <w:ind w:firstLine="420" w:firstLineChars="200"/>
              <w:rPr>
                <w:rFonts w:ascii="宋体" w:hAnsi="宋体" w:cs="宋体"/>
                <w:color w:val="auto"/>
                <w:highlight w:val="none"/>
              </w:rPr>
            </w:pPr>
          </w:p>
        </w:tc>
        <w:tc>
          <w:tcPr>
            <w:tcW w:w="1020" w:type="dxa"/>
          </w:tcPr>
          <w:p w14:paraId="75CD504B">
            <w:pPr>
              <w:spacing w:line="360" w:lineRule="auto"/>
              <w:ind w:firstLine="420" w:firstLineChars="200"/>
              <w:rPr>
                <w:rFonts w:ascii="宋体" w:hAnsi="宋体" w:cs="宋体"/>
                <w:color w:val="auto"/>
                <w:highlight w:val="none"/>
              </w:rPr>
            </w:pPr>
          </w:p>
        </w:tc>
        <w:tc>
          <w:tcPr>
            <w:tcW w:w="921" w:type="dxa"/>
          </w:tcPr>
          <w:p w14:paraId="608E51F1">
            <w:pPr>
              <w:spacing w:line="360" w:lineRule="auto"/>
              <w:ind w:firstLine="420" w:firstLineChars="200"/>
              <w:rPr>
                <w:rFonts w:ascii="宋体" w:hAnsi="宋体" w:cs="宋体"/>
                <w:color w:val="auto"/>
                <w:highlight w:val="none"/>
              </w:rPr>
            </w:pPr>
          </w:p>
        </w:tc>
      </w:tr>
      <w:tr w14:paraId="7E721FEC">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162" w:type="dxa"/>
          </w:tcPr>
          <w:p w14:paraId="150DF47B">
            <w:pPr>
              <w:spacing w:line="360" w:lineRule="auto"/>
              <w:ind w:firstLine="420" w:firstLineChars="200"/>
              <w:rPr>
                <w:rFonts w:ascii="宋体" w:hAnsi="宋体" w:cs="宋体"/>
                <w:color w:val="auto"/>
                <w:highlight w:val="none"/>
              </w:rPr>
            </w:pPr>
          </w:p>
        </w:tc>
        <w:tc>
          <w:tcPr>
            <w:tcW w:w="1418" w:type="dxa"/>
          </w:tcPr>
          <w:p w14:paraId="5368CCE7">
            <w:pPr>
              <w:spacing w:line="360" w:lineRule="auto"/>
              <w:ind w:firstLine="420" w:firstLineChars="200"/>
              <w:rPr>
                <w:rFonts w:ascii="宋体" w:hAnsi="宋体" w:cs="宋体"/>
                <w:color w:val="auto"/>
                <w:highlight w:val="none"/>
              </w:rPr>
            </w:pPr>
          </w:p>
        </w:tc>
        <w:tc>
          <w:tcPr>
            <w:tcW w:w="850" w:type="dxa"/>
          </w:tcPr>
          <w:p w14:paraId="768998ED">
            <w:pPr>
              <w:spacing w:line="360" w:lineRule="auto"/>
              <w:ind w:firstLine="420" w:firstLineChars="200"/>
              <w:rPr>
                <w:rFonts w:ascii="宋体" w:hAnsi="宋体" w:cs="宋体"/>
                <w:color w:val="auto"/>
                <w:highlight w:val="none"/>
              </w:rPr>
            </w:pPr>
          </w:p>
        </w:tc>
        <w:tc>
          <w:tcPr>
            <w:tcW w:w="1058" w:type="dxa"/>
          </w:tcPr>
          <w:p w14:paraId="17BCA23A">
            <w:pPr>
              <w:spacing w:line="360" w:lineRule="auto"/>
              <w:ind w:firstLine="420" w:firstLineChars="200"/>
              <w:rPr>
                <w:rFonts w:ascii="宋体" w:hAnsi="宋体" w:cs="宋体"/>
                <w:color w:val="auto"/>
                <w:highlight w:val="none"/>
              </w:rPr>
            </w:pPr>
          </w:p>
        </w:tc>
        <w:tc>
          <w:tcPr>
            <w:tcW w:w="880" w:type="dxa"/>
          </w:tcPr>
          <w:p w14:paraId="3AA854BA">
            <w:pPr>
              <w:spacing w:line="360" w:lineRule="auto"/>
              <w:ind w:firstLine="420" w:firstLineChars="200"/>
              <w:rPr>
                <w:rFonts w:ascii="宋体" w:hAnsi="宋体" w:cs="宋体"/>
                <w:color w:val="auto"/>
                <w:highlight w:val="none"/>
              </w:rPr>
            </w:pPr>
          </w:p>
        </w:tc>
        <w:tc>
          <w:tcPr>
            <w:tcW w:w="1020" w:type="dxa"/>
          </w:tcPr>
          <w:p w14:paraId="66C72C40">
            <w:pPr>
              <w:spacing w:line="360" w:lineRule="auto"/>
              <w:ind w:firstLine="420" w:firstLineChars="200"/>
              <w:rPr>
                <w:rFonts w:ascii="宋体" w:hAnsi="宋体" w:cs="宋体"/>
                <w:color w:val="auto"/>
                <w:highlight w:val="none"/>
              </w:rPr>
            </w:pPr>
          </w:p>
        </w:tc>
        <w:tc>
          <w:tcPr>
            <w:tcW w:w="1480" w:type="dxa"/>
          </w:tcPr>
          <w:p w14:paraId="01F97470">
            <w:pPr>
              <w:spacing w:line="360" w:lineRule="auto"/>
              <w:ind w:firstLine="420" w:firstLineChars="200"/>
              <w:rPr>
                <w:rFonts w:ascii="宋体" w:hAnsi="宋体" w:cs="宋体"/>
                <w:color w:val="auto"/>
                <w:highlight w:val="none"/>
              </w:rPr>
            </w:pPr>
          </w:p>
        </w:tc>
        <w:tc>
          <w:tcPr>
            <w:tcW w:w="1020" w:type="dxa"/>
          </w:tcPr>
          <w:p w14:paraId="59F4905A">
            <w:pPr>
              <w:spacing w:line="360" w:lineRule="auto"/>
              <w:ind w:firstLine="420" w:firstLineChars="200"/>
              <w:rPr>
                <w:rFonts w:ascii="宋体" w:hAnsi="宋体" w:cs="宋体"/>
                <w:color w:val="auto"/>
                <w:highlight w:val="none"/>
              </w:rPr>
            </w:pPr>
          </w:p>
        </w:tc>
        <w:tc>
          <w:tcPr>
            <w:tcW w:w="921" w:type="dxa"/>
          </w:tcPr>
          <w:p w14:paraId="1652B839">
            <w:pPr>
              <w:spacing w:line="360" w:lineRule="auto"/>
              <w:ind w:firstLine="420" w:firstLineChars="200"/>
              <w:rPr>
                <w:rFonts w:ascii="宋体" w:hAnsi="宋体" w:cs="宋体"/>
                <w:color w:val="auto"/>
                <w:highlight w:val="none"/>
              </w:rPr>
            </w:pPr>
          </w:p>
        </w:tc>
      </w:tr>
      <w:tr w14:paraId="7C87E0D5">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162" w:type="dxa"/>
          </w:tcPr>
          <w:p w14:paraId="7B3F89EE">
            <w:pPr>
              <w:spacing w:line="360" w:lineRule="auto"/>
              <w:ind w:firstLine="420" w:firstLineChars="200"/>
              <w:rPr>
                <w:rFonts w:ascii="宋体" w:hAnsi="宋体" w:cs="宋体"/>
                <w:color w:val="auto"/>
                <w:highlight w:val="none"/>
              </w:rPr>
            </w:pPr>
          </w:p>
        </w:tc>
        <w:tc>
          <w:tcPr>
            <w:tcW w:w="1418" w:type="dxa"/>
          </w:tcPr>
          <w:p w14:paraId="4F9B7090">
            <w:pPr>
              <w:spacing w:line="360" w:lineRule="auto"/>
              <w:ind w:firstLine="420" w:firstLineChars="200"/>
              <w:rPr>
                <w:rFonts w:ascii="宋体" w:hAnsi="宋体" w:cs="宋体"/>
                <w:color w:val="auto"/>
                <w:highlight w:val="none"/>
              </w:rPr>
            </w:pPr>
          </w:p>
        </w:tc>
        <w:tc>
          <w:tcPr>
            <w:tcW w:w="850" w:type="dxa"/>
          </w:tcPr>
          <w:p w14:paraId="193A1CF5">
            <w:pPr>
              <w:spacing w:line="360" w:lineRule="auto"/>
              <w:ind w:firstLine="420" w:firstLineChars="200"/>
              <w:rPr>
                <w:rFonts w:ascii="宋体" w:hAnsi="宋体" w:cs="宋体"/>
                <w:color w:val="auto"/>
                <w:highlight w:val="none"/>
              </w:rPr>
            </w:pPr>
          </w:p>
        </w:tc>
        <w:tc>
          <w:tcPr>
            <w:tcW w:w="1058" w:type="dxa"/>
          </w:tcPr>
          <w:p w14:paraId="657591E8">
            <w:pPr>
              <w:spacing w:line="360" w:lineRule="auto"/>
              <w:ind w:firstLine="420" w:firstLineChars="200"/>
              <w:rPr>
                <w:rFonts w:ascii="宋体" w:hAnsi="宋体" w:cs="宋体"/>
                <w:color w:val="auto"/>
                <w:highlight w:val="none"/>
              </w:rPr>
            </w:pPr>
          </w:p>
        </w:tc>
        <w:tc>
          <w:tcPr>
            <w:tcW w:w="880" w:type="dxa"/>
          </w:tcPr>
          <w:p w14:paraId="6A6B663E">
            <w:pPr>
              <w:spacing w:line="360" w:lineRule="auto"/>
              <w:ind w:firstLine="420" w:firstLineChars="200"/>
              <w:rPr>
                <w:rFonts w:ascii="宋体" w:hAnsi="宋体" w:cs="宋体"/>
                <w:color w:val="auto"/>
                <w:highlight w:val="none"/>
              </w:rPr>
            </w:pPr>
          </w:p>
        </w:tc>
        <w:tc>
          <w:tcPr>
            <w:tcW w:w="1020" w:type="dxa"/>
          </w:tcPr>
          <w:p w14:paraId="353E471E">
            <w:pPr>
              <w:spacing w:line="360" w:lineRule="auto"/>
              <w:ind w:firstLine="420" w:firstLineChars="200"/>
              <w:rPr>
                <w:rFonts w:ascii="宋体" w:hAnsi="宋体" w:cs="宋体"/>
                <w:color w:val="auto"/>
                <w:highlight w:val="none"/>
              </w:rPr>
            </w:pPr>
          </w:p>
        </w:tc>
        <w:tc>
          <w:tcPr>
            <w:tcW w:w="1480" w:type="dxa"/>
          </w:tcPr>
          <w:p w14:paraId="313B27A3">
            <w:pPr>
              <w:spacing w:line="360" w:lineRule="auto"/>
              <w:ind w:firstLine="420" w:firstLineChars="200"/>
              <w:rPr>
                <w:rFonts w:ascii="宋体" w:hAnsi="宋体" w:cs="宋体"/>
                <w:color w:val="auto"/>
                <w:highlight w:val="none"/>
              </w:rPr>
            </w:pPr>
          </w:p>
        </w:tc>
        <w:tc>
          <w:tcPr>
            <w:tcW w:w="1020" w:type="dxa"/>
          </w:tcPr>
          <w:p w14:paraId="456C549B">
            <w:pPr>
              <w:spacing w:line="360" w:lineRule="auto"/>
              <w:ind w:firstLine="420" w:firstLineChars="200"/>
              <w:rPr>
                <w:rFonts w:ascii="宋体" w:hAnsi="宋体" w:cs="宋体"/>
                <w:color w:val="auto"/>
                <w:highlight w:val="none"/>
              </w:rPr>
            </w:pPr>
          </w:p>
        </w:tc>
        <w:tc>
          <w:tcPr>
            <w:tcW w:w="921" w:type="dxa"/>
          </w:tcPr>
          <w:p w14:paraId="67F6A795">
            <w:pPr>
              <w:spacing w:line="360" w:lineRule="auto"/>
              <w:ind w:firstLine="420" w:firstLineChars="200"/>
              <w:rPr>
                <w:rFonts w:ascii="宋体" w:hAnsi="宋体" w:cs="宋体"/>
                <w:color w:val="auto"/>
                <w:highlight w:val="none"/>
              </w:rPr>
            </w:pPr>
          </w:p>
        </w:tc>
      </w:tr>
      <w:tr w14:paraId="2AFB1800">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162" w:type="dxa"/>
          </w:tcPr>
          <w:p w14:paraId="03C94631">
            <w:pPr>
              <w:spacing w:line="360" w:lineRule="auto"/>
              <w:ind w:firstLine="420" w:firstLineChars="200"/>
              <w:rPr>
                <w:rFonts w:ascii="宋体" w:hAnsi="宋体" w:cs="宋体"/>
                <w:color w:val="auto"/>
                <w:highlight w:val="none"/>
              </w:rPr>
            </w:pPr>
          </w:p>
        </w:tc>
        <w:tc>
          <w:tcPr>
            <w:tcW w:w="1418" w:type="dxa"/>
          </w:tcPr>
          <w:p w14:paraId="5B966E30">
            <w:pPr>
              <w:spacing w:line="360" w:lineRule="auto"/>
              <w:ind w:firstLine="420" w:firstLineChars="200"/>
              <w:rPr>
                <w:rFonts w:ascii="宋体" w:hAnsi="宋体" w:cs="宋体"/>
                <w:color w:val="auto"/>
                <w:highlight w:val="none"/>
              </w:rPr>
            </w:pPr>
          </w:p>
        </w:tc>
        <w:tc>
          <w:tcPr>
            <w:tcW w:w="850" w:type="dxa"/>
          </w:tcPr>
          <w:p w14:paraId="350DFD9B">
            <w:pPr>
              <w:spacing w:line="360" w:lineRule="auto"/>
              <w:ind w:firstLine="420" w:firstLineChars="200"/>
              <w:rPr>
                <w:rFonts w:ascii="宋体" w:hAnsi="宋体" w:cs="宋体"/>
                <w:color w:val="auto"/>
                <w:highlight w:val="none"/>
              </w:rPr>
            </w:pPr>
          </w:p>
        </w:tc>
        <w:tc>
          <w:tcPr>
            <w:tcW w:w="1058" w:type="dxa"/>
          </w:tcPr>
          <w:p w14:paraId="74C6F8CD">
            <w:pPr>
              <w:spacing w:line="360" w:lineRule="auto"/>
              <w:ind w:firstLine="420" w:firstLineChars="200"/>
              <w:rPr>
                <w:rFonts w:ascii="宋体" w:hAnsi="宋体" w:cs="宋体"/>
                <w:color w:val="auto"/>
                <w:highlight w:val="none"/>
              </w:rPr>
            </w:pPr>
          </w:p>
        </w:tc>
        <w:tc>
          <w:tcPr>
            <w:tcW w:w="880" w:type="dxa"/>
          </w:tcPr>
          <w:p w14:paraId="1043B3FB">
            <w:pPr>
              <w:spacing w:line="360" w:lineRule="auto"/>
              <w:ind w:firstLine="420" w:firstLineChars="200"/>
              <w:rPr>
                <w:rFonts w:ascii="宋体" w:hAnsi="宋体" w:cs="宋体"/>
                <w:color w:val="auto"/>
                <w:highlight w:val="none"/>
              </w:rPr>
            </w:pPr>
          </w:p>
        </w:tc>
        <w:tc>
          <w:tcPr>
            <w:tcW w:w="1020" w:type="dxa"/>
          </w:tcPr>
          <w:p w14:paraId="105C600E">
            <w:pPr>
              <w:spacing w:line="360" w:lineRule="auto"/>
              <w:ind w:firstLine="420" w:firstLineChars="200"/>
              <w:rPr>
                <w:rFonts w:ascii="宋体" w:hAnsi="宋体" w:cs="宋体"/>
                <w:color w:val="auto"/>
                <w:highlight w:val="none"/>
              </w:rPr>
            </w:pPr>
          </w:p>
        </w:tc>
        <w:tc>
          <w:tcPr>
            <w:tcW w:w="1480" w:type="dxa"/>
          </w:tcPr>
          <w:p w14:paraId="42DDB195">
            <w:pPr>
              <w:spacing w:line="360" w:lineRule="auto"/>
              <w:ind w:firstLine="420" w:firstLineChars="200"/>
              <w:rPr>
                <w:rFonts w:ascii="宋体" w:hAnsi="宋体" w:cs="宋体"/>
                <w:color w:val="auto"/>
                <w:highlight w:val="none"/>
              </w:rPr>
            </w:pPr>
          </w:p>
        </w:tc>
        <w:tc>
          <w:tcPr>
            <w:tcW w:w="1020" w:type="dxa"/>
          </w:tcPr>
          <w:p w14:paraId="4DF27952">
            <w:pPr>
              <w:spacing w:line="360" w:lineRule="auto"/>
              <w:ind w:firstLine="420" w:firstLineChars="200"/>
              <w:rPr>
                <w:rFonts w:ascii="宋体" w:hAnsi="宋体" w:cs="宋体"/>
                <w:color w:val="auto"/>
                <w:highlight w:val="none"/>
              </w:rPr>
            </w:pPr>
          </w:p>
        </w:tc>
        <w:tc>
          <w:tcPr>
            <w:tcW w:w="921" w:type="dxa"/>
          </w:tcPr>
          <w:p w14:paraId="6A25109C">
            <w:pPr>
              <w:spacing w:line="360" w:lineRule="auto"/>
              <w:ind w:firstLine="420" w:firstLineChars="200"/>
              <w:rPr>
                <w:rFonts w:ascii="宋体" w:hAnsi="宋体" w:cs="宋体"/>
                <w:color w:val="auto"/>
                <w:highlight w:val="none"/>
              </w:rPr>
            </w:pPr>
          </w:p>
        </w:tc>
      </w:tr>
      <w:tr w14:paraId="06873599">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162" w:type="dxa"/>
          </w:tcPr>
          <w:p w14:paraId="7DD47DFB">
            <w:pPr>
              <w:spacing w:line="360" w:lineRule="auto"/>
              <w:ind w:firstLine="420" w:firstLineChars="200"/>
              <w:rPr>
                <w:rFonts w:ascii="宋体" w:hAnsi="宋体" w:cs="宋体"/>
                <w:color w:val="auto"/>
                <w:highlight w:val="none"/>
              </w:rPr>
            </w:pPr>
          </w:p>
        </w:tc>
        <w:tc>
          <w:tcPr>
            <w:tcW w:w="1418" w:type="dxa"/>
          </w:tcPr>
          <w:p w14:paraId="5BF1F90C">
            <w:pPr>
              <w:spacing w:line="360" w:lineRule="auto"/>
              <w:ind w:firstLine="420" w:firstLineChars="200"/>
              <w:rPr>
                <w:rFonts w:ascii="宋体" w:hAnsi="宋体" w:cs="宋体"/>
                <w:color w:val="auto"/>
                <w:highlight w:val="none"/>
              </w:rPr>
            </w:pPr>
          </w:p>
        </w:tc>
        <w:tc>
          <w:tcPr>
            <w:tcW w:w="850" w:type="dxa"/>
          </w:tcPr>
          <w:p w14:paraId="6CEC2CBB">
            <w:pPr>
              <w:spacing w:line="360" w:lineRule="auto"/>
              <w:ind w:firstLine="420" w:firstLineChars="200"/>
              <w:rPr>
                <w:rFonts w:ascii="宋体" w:hAnsi="宋体" w:cs="宋体"/>
                <w:color w:val="auto"/>
                <w:highlight w:val="none"/>
              </w:rPr>
            </w:pPr>
          </w:p>
        </w:tc>
        <w:tc>
          <w:tcPr>
            <w:tcW w:w="1058" w:type="dxa"/>
          </w:tcPr>
          <w:p w14:paraId="3B7CE6F0">
            <w:pPr>
              <w:spacing w:line="360" w:lineRule="auto"/>
              <w:ind w:firstLine="420" w:firstLineChars="200"/>
              <w:rPr>
                <w:rFonts w:ascii="宋体" w:hAnsi="宋体" w:cs="宋体"/>
                <w:color w:val="auto"/>
                <w:highlight w:val="none"/>
              </w:rPr>
            </w:pPr>
          </w:p>
        </w:tc>
        <w:tc>
          <w:tcPr>
            <w:tcW w:w="880" w:type="dxa"/>
          </w:tcPr>
          <w:p w14:paraId="41B45955">
            <w:pPr>
              <w:spacing w:line="360" w:lineRule="auto"/>
              <w:ind w:firstLine="420" w:firstLineChars="200"/>
              <w:rPr>
                <w:rFonts w:ascii="宋体" w:hAnsi="宋体" w:cs="宋体"/>
                <w:color w:val="auto"/>
                <w:highlight w:val="none"/>
              </w:rPr>
            </w:pPr>
          </w:p>
        </w:tc>
        <w:tc>
          <w:tcPr>
            <w:tcW w:w="1020" w:type="dxa"/>
          </w:tcPr>
          <w:p w14:paraId="3ED3EB0B">
            <w:pPr>
              <w:spacing w:line="360" w:lineRule="auto"/>
              <w:ind w:firstLine="420" w:firstLineChars="200"/>
              <w:rPr>
                <w:rFonts w:ascii="宋体" w:hAnsi="宋体" w:cs="宋体"/>
                <w:color w:val="auto"/>
                <w:highlight w:val="none"/>
              </w:rPr>
            </w:pPr>
          </w:p>
        </w:tc>
        <w:tc>
          <w:tcPr>
            <w:tcW w:w="1480" w:type="dxa"/>
          </w:tcPr>
          <w:p w14:paraId="62ECE4AD">
            <w:pPr>
              <w:spacing w:line="360" w:lineRule="auto"/>
              <w:ind w:firstLine="420" w:firstLineChars="200"/>
              <w:rPr>
                <w:rFonts w:ascii="宋体" w:hAnsi="宋体" w:cs="宋体"/>
                <w:color w:val="auto"/>
                <w:highlight w:val="none"/>
              </w:rPr>
            </w:pPr>
          </w:p>
        </w:tc>
        <w:tc>
          <w:tcPr>
            <w:tcW w:w="1020" w:type="dxa"/>
          </w:tcPr>
          <w:p w14:paraId="350DBF54">
            <w:pPr>
              <w:spacing w:line="360" w:lineRule="auto"/>
              <w:ind w:firstLine="420" w:firstLineChars="200"/>
              <w:rPr>
                <w:rFonts w:ascii="宋体" w:hAnsi="宋体" w:cs="宋体"/>
                <w:color w:val="auto"/>
                <w:highlight w:val="none"/>
              </w:rPr>
            </w:pPr>
          </w:p>
        </w:tc>
        <w:tc>
          <w:tcPr>
            <w:tcW w:w="921" w:type="dxa"/>
          </w:tcPr>
          <w:p w14:paraId="6B71C45E">
            <w:pPr>
              <w:spacing w:line="360" w:lineRule="auto"/>
              <w:ind w:firstLine="420" w:firstLineChars="200"/>
              <w:rPr>
                <w:rFonts w:ascii="宋体" w:hAnsi="宋体" w:cs="宋体"/>
                <w:color w:val="auto"/>
                <w:highlight w:val="none"/>
              </w:rPr>
            </w:pPr>
          </w:p>
        </w:tc>
      </w:tr>
      <w:tr w14:paraId="3C95CBC3">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67" w:hRule="atLeast"/>
          <w:jc w:val="center"/>
        </w:trPr>
        <w:tc>
          <w:tcPr>
            <w:tcW w:w="1162" w:type="dxa"/>
            <w:tcBorders>
              <w:bottom w:val="single" w:color="auto" w:sz="12" w:space="0"/>
            </w:tcBorders>
          </w:tcPr>
          <w:p w14:paraId="0C1FF458">
            <w:pPr>
              <w:spacing w:line="360" w:lineRule="auto"/>
              <w:ind w:firstLine="420" w:firstLineChars="200"/>
              <w:rPr>
                <w:rFonts w:ascii="宋体" w:hAnsi="宋体" w:cs="宋体"/>
                <w:color w:val="auto"/>
                <w:highlight w:val="none"/>
              </w:rPr>
            </w:pPr>
          </w:p>
        </w:tc>
        <w:tc>
          <w:tcPr>
            <w:tcW w:w="1418" w:type="dxa"/>
            <w:tcBorders>
              <w:bottom w:val="single" w:color="auto" w:sz="12" w:space="0"/>
            </w:tcBorders>
          </w:tcPr>
          <w:p w14:paraId="40ED8B91">
            <w:pPr>
              <w:spacing w:line="360" w:lineRule="auto"/>
              <w:ind w:firstLine="420" w:firstLineChars="200"/>
              <w:rPr>
                <w:rFonts w:ascii="宋体" w:hAnsi="宋体" w:cs="宋体"/>
                <w:color w:val="auto"/>
                <w:highlight w:val="none"/>
              </w:rPr>
            </w:pPr>
          </w:p>
        </w:tc>
        <w:tc>
          <w:tcPr>
            <w:tcW w:w="850" w:type="dxa"/>
            <w:tcBorders>
              <w:bottom w:val="single" w:color="auto" w:sz="12" w:space="0"/>
            </w:tcBorders>
          </w:tcPr>
          <w:p w14:paraId="74100AF8">
            <w:pPr>
              <w:spacing w:line="360" w:lineRule="auto"/>
              <w:ind w:firstLine="420" w:firstLineChars="200"/>
              <w:rPr>
                <w:rFonts w:ascii="宋体" w:hAnsi="宋体" w:cs="宋体"/>
                <w:color w:val="auto"/>
                <w:highlight w:val="none"/>
              </w:rPr>
            </w:pPr>
          </w:p>
        </w:tc>
        <w:tc>
          <w:tcPr>
            <w:tcW w:w="1058" w:type="dxa"/>
            <w:tcBorders>
              <w:bottom w:val="single" w:color="auto" w:sz="12" w:space="0"/>
            </w:tcBorders>
          </w:tcPr>
          <w:p w14:paraId="2681CF5F">
            <w:pPr>
              <w:spacing w:line="360" w:lineRule="auto"/>
              <w:ind w:firstLine="420" w:firstLineChars="200"/>
              <w:rPr>
                <w:rFonts w:ascii="宋体" w:hAnsi="宋体" w:cs="宋体"/>
                <w:color w:val="auto"/>
                <w:highlight w:val="none"/>
              </w:rPr>
            </w:pPr>
          </w:p>
        </w:tc>
        <w:tc>
          <w:tcPr>
            <w:tcW w:w="880" w:type="dxa"/>
            <w:tcBorders>
              <w:bottom w:val="single" w:color="auto" w:sz="12" w:space="0"/>
            </w:tcBorders>
          </w:tcPr>
          <w:p w14:paraId="5CFD2BFA">
            <w:pPr>
              <w:spacing w:line="360" w:lineRule="auto"/>
              <w:ind w:firstLine="420" w:firstLineChars="200"/>
              <w:rPr>
                <w:rFonts w:ascii="宋体" w:hAnsi="宋体" w:cs="宋体"/>
                <w:color w:val="auto"/>
                <w:highlight w:val="none"/>
              </w:rPr>
            </w:pPr>
          </w:p>
        </w:tc>
        <w:tc>
          <w:tcPr>
            <w:tcW w:w="1020" w:type="dxa"/>
            <w:tcBorders>
              <w:bottom w:val="single" w:color="auto" w:sz="12" w:space="0"/>
            </w:tcBorders>
          </w:tcPr>
          <w:p w14:paraId="778D060F">
            <w:pPr>
              <w:spacing w:line="360" w:lineRule="auto"/>
              <w:ind w:firstLine="420" w:firstLineChars="200"/>
              <w:rPr>
                <w:rFonts w:ascii="宋体" w:hAnsi="宋体" w:cs="宋体"/>
                <w:color w:val="auto"/>
                <w:highlight w:val="none"/>
              </w:rPr>
            </w:pPr>
          </w:p>
        </w:tc>
        <w:tc>
          <w:tcPr>
            <w:tcW w:w="1480" w:type="dxa"/>
            <w:tcBorders>
              <w:bottom w:val="single" w:color="auto" w:sz="12" w:space="0"/>
            </w:tcBorders>
          </w:tcPr>
          <w:p w14:paraId="782E7165">
            <w:pPr>
              <w:spacing w:line="360" w:lineRule="auto"/>
              <w:ind w:firstLine="420" w:firstLineChars="200"/>
              <w:rPr>
                <w:rFonts w:ascii="宋体" w:hAnsi="宋体" w:cs="宋体"/>
                <w:color w:val="auto"/>
                <w:highlight w:val="none"/>
              </w:rPr>
            </w:pPr>
          </w:p>
        </w:tc>
        <w:tc>
          <w:tcPr>
            <w:tcW w:w="1020" w:type="dxa"/>
            <w:tcBorders>
              <w:bottom w:val="single" w:color="auto" w:sz="12" w:space="0"/>
            </w:tcBorders>
          </w:tcPr>
          <w:p w14:paraId="28C12AF3">
            <w:pPr>
              <w:spacing w:line="360" w:lineRule="auto"/>
              <w:ind w:firstLine="420" w:firstLineChars="200"/>
              <w:rPr>
                <w:rFonts w:ascii="宋体" w:hAnsi="宋体" w:cs="宋体"/>
                <w:color w:val="auto"/>
                <w:highlight w:val="none"/>
              </w:rPr>
            </w:pPr>
          </w:p>
        </w:tc>
        <w:tc>
          <w:tcPr>
            <w:tcW w:w="921" w:type="dxa"/>
            <w:tcBorders>
              <w:bottom w:val="single" w:color="auto" w:sz="12" w:space="0"/>
            </w:tcBorders>
          </w:tcPr>
          <w:p w14:paraId="15997E7A">
            <w:pPr>
              <w:spacing w:line="360" w:lineRule="auto"/>
              <w:ind w:firstLine="420" w:firstLineChars="200"/>
              <w:rPr>
                <w:rFonts w:ascii="宋体" w:hAnsi="宋体" w:cs="宋体"/>
                <w:color w:val="auto"/>
                <w:highlight w:val="none"/>
              </w:rPr>
            </w:pPr>
          </w:p>
        </w:tc>
      </w:tr>
    </w:tbl>
    <w:p w14:paraId="59B6CF94">
      <w:pPr>
        <w:spacing w:line="360" w:lineRule="auto"/>
        <w:ind w:firstLine="420" w:firstLineChars="200"/>
        <w:rPr>
          <w:rFonts w:ascii="宋体" w:hAnsi="宋体" w:cs="宋体"/>
          <w:color w:val="auto"/>
          <w:highlight w:val="none"/>
        </w:rPr>
      </w:pPr>
    </w:p>
    <w:p w14:paraId="55465581">
      <w:pPr>
        <w:pStyle w:val="4"/>
        <w:rPr>
          <w:rFonts w:ascii="宋体" w:hAnsi="宋体"/>
          <w:color w:val="auto"/>
          <w:sz w:val="24"/>
          <w:szCs w:val="24"/>
          <w:highlight w:val="none"/>
        </w:rPr>
      </w:pPr>
      <w:r>
        <w:rPr>
          <w:rFonts w:hint="eastAsia" w:ascii="宋体" w:hAnsi="宋体"/>
          <w:color w:val="auto"/>
          <w:sz w:val="24"/>
          <w:szCs w:val="24"/>
          <w:highlight w:val="none"/>
        </w:rPr>
        <w:t>附件4：</w:t>
      </w:r>
    </w:p>
    <w:p w14:paraId="064B0F8E">
      <w:pPr>
        <w:spacing w:before="156" w:beforeLines="50" w:after="156" w:afterLines="50" w:line="360" w:lineRule="auto"/>
        <w:ind w:firstLine="643" w:firstLineChars="200"/>
        <w:jc w:val="center"/>
        <w:rPr>
          <w:rFonts w:ascii="宋体" w:hAnsi="宋体" w:cs="宋体"/>
          <w:b/>
          <w:color w:val="auto"/>
          <w:sz w:val="32"/>
          <w:szCs w:val="32"/>
          <w:highlight w:val="none"/>
        </w:rPr>
      </w:pPr>
      <w:r>
        <w:rPr>
          <w:rFonts w:hint="eastAsia" w:ascii="宋体" w:hAnsi="宋体" w:cs="宋体"/>
          <w:b/>
          <w:color w:val="auto"/>
          <w:sz w:val="32"/>
          <w:szCs w:val="32"/>
          <w:highlight w:val="none"/>
        </w:rPr>
        <w:t>承包人主要施工管理人员表</w:t>
      </w:r>
    </w:p>
    <w:tbl>
      <w:tblPr>
        <w:tblStyle w:val="17"/>
        <w:tblW w:w="0" w:type="auto"/>
        <w:jc w:val="center"/>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Layout w:type="fixed"/>
        <w:tblCellMar>
          <w:top w:w="0" w:type="dxa"/>
          <w:left w:w="28" w:type="dxa"/>
          <w:bottom w:w="0" w:type="dxa"/>
          <w:right w:w="28" w:type="dxa"/>
        </w:tblCellMar>
      </w:tblPr>
      <w:tblGrid>
        <w:gridCol w:w="1871"/>
        <w:gridCol w:w="1418"/>
        <w:gridCol w:w="1134"/>
        <w:gridCol w:w="1134"/>
        <w:gridCol w:w="4252"/>
      </w:tblGrid>
      <w:tr w14:paraId="68473062">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jc w:val="center"/>
        </w:trPr>
        <w:tc>
          <w:tcPr>
            <w:tcW w:w="1871" w:type="dxa"/>
            <w:tcBorders>
              <w:top w:val="single" w:color="auto" w:sz="12" w:space="0"/>
              <w:bottom w:val="double" w:color="auto" w:sz="6" w:space="0"/>
            </w:tcBorders>
            <w:vAlign w:val="center"/>
          </w:tcPr>
          <w:p w14:paraId="08A07E53">
            <w:pPr>
              <w:keepNext/>
              <w:spacing w:line="360" w:lineRule="auto"/>
              <w:ind w:right="63"/>
              <w:jc w:val="center"/>
              <w:rPr>
                <w:rFonts w:ascii="宋体" w:hAnsi="宋体" w:cs="宋体"/>
                <w:color w:val="auto"/>
                <w:highlight w:val="none"/>
              </w:rPr>
            </w:pPr>
            <w:r>
              <w:rPr>
                <w:rFonts w:hint="eastAsia" w:ascii="宋体" w:hAnsi="宋体" w:cs="宋体"/>
                <w:color w:val="auto"/>
                <w:highlight w:val="none"/>
              </w:rPr>
              <w:t>名称</w:t>
            </w:r>
          </w:p>
        </w:tc>
        <w:tc>
          <w:tcPr>
            <w:tcW w:w="1418" w:type="dxa"/>
            <w:tcBorders>
              <w:top w:val="single" w:color="auto" w:sz="12" w:space="0"/>
              <w:bottom w:val="double" w:color="auto" w:sz="6" w:space="0"/>
            </w:tcBorders>
            <w:vAlign w:val="center"/>
          </w:tcPr>
          <w:p w14:paraId="101AF16D">
            <w:pPr>
              <w:keepNext/>
              <w:spacing w:line="360" w:lineRule="auto"/>
              <w:ind w:right="63"/>
              <w:jc w:val="center"/>
              <w:rPr>
                <w:rFonts w:ascii="宋体" w:hAnsi="宋体" w:cs="宋体"/>
                <w:color w:val="auto"/>
                <w:highlight w:val="none"/>
              </w:rPr>
            </w:pPr>
            <w:r>
              <w:rPr>
                <w:rFonts w:hint="eastAsia" w:ascii="宋体" w:hAnsi="宋体" w:cs="宋体"/>
                <w:color w:val="auto"/>
                <w:highlight w:val="none"/>
              </w:rPr>
              <w:t>姓名</w:t>
            </w:r>
          </w:p>
        </w:tc>
        <w:tc>
          <w:tcPr>
            <w:tcW w:w="1134" w:type="dxa"/>
            <w:tcBorders>
              <w:top w:val="single" w:color="auto" w:sz="12" w:space="0"/>
              <w:bottom w:val="double" w:color="auto" w:sz="6" w:space="0"/>
            </w:tcBorders>
            <w:vAlign w:val="center"/>
          </w:tcPr>
          <w:p w14:paraId="74AC89B5">
            <w:pPr>
              <w:keepNext/>
              <w:spacing w:line="360" w:lineRule="auto"/>
              <w:ind w:right="63"/>
              <w:jc w:val="center"/>
              <w:rPr>
                <w:rFonts w:ascii="宋体" w:hAnsi="宋体" w:cs="宋体"/>
                <w:color w:val="auto"/>
                <w:highlight w:val="none"/>
              </w:rPr>
            </w:pPr>
            <w:r>
              <w:rPr>
                <w:rFonts w:hint="eastAsia" w:ascii="宋体" w:hAnsi="宋体" w:cs="宋体"/>
                <w:color w:val="auto"/>
                <w:highlight w:val="none"/>
              </w:rPr>
              <w:t>职务</w:t>
            </w:r>
          </w:p>
        </w:tc>
        <w:tc>
          <w:tcPr>
            <w:tcW w:w="1134" w:type="dxa"/>
            <w:tcBorders>
              <w:top w:val="single" w:color="auto" w:sz="12" w:space="0"/>
              <w:bottom w:val="double" w:color="auto" w:sz="6" w:space="0"/>
            </w:tcBorders>
            <w:vAlign w:val="center"/>
          </w:tcPr>
          <w:p w14:paraId="1A2BDDEA">
            <w:pPr>
              <w:keepNext/>
              <w:spacing w:line="360" w:lineRule="auto"/>
              <w:ind w:right="63"/>
              <w:jc w:val="center"/>
              <w:rPr>
                <w:rFonts w:ascii="宋体" w:hAnsi="宋体" w:cs="宋体"/>
                <w:color w:val="auto"/>
                <w:highlight w:val="none"/>
              </w:rPr>
            </w:pPr>
            <w:r>
              <w:rPr>
                <w:rFonts w:hint="eastAsia" w:ascii="宋体" w:hAnsi="宋体" w:cs="宋体"/>
                <w:color w:val="auto"/>
                <w:highlight w:val="none"/>
              </w:rPr>
              <w:t>职称</w:t>
            </w:r>
          </w:p>
        </w:tc>
        <w:tc>
          <w:tcPr>
            <w:tcW w:w="4252" w:type="dxa"/>
            <w:tcBorders>
              <w:top w:val="single" w:color="auto" w:sz="12" w:space="0"/>
              <w:bottom w:val="double" w:color="auto" w:sz="6" w:space="0"/>
            </w:tcBorders>
            <w:vAlign w:val="center"/>
          </w:tcPr>
          <w:p w14:paraId="1FED28E9">
            <w:pPr>
              <w:keepNext/>
              <w:spacing w:line="360" w:lineRule="auto"/>
              <w:ind w:right="63"/>
              <w:jc w:val="center"/>
              <w:rPr>
                <w:rFonts w:ascii="宋体" w:hAnsi="宋体" w:cs="宋体"/>
                <w:color w:val="auto"/>
                <w:highlight w:val="none"/>
              </w:rPr>
            </w:pPr>
            <w:r>
              <w:rPr>
                <w:rFonts w:hint="eastAsia" w:ascii="宋体" w:hAnsi="宋体" w:cs="宋体"/>
                <w:color w:val="auto"/>
                <w:highlight w:val="none"/>
              </w:rPr>
              <w:t>主要资历、经验及承担过的项目</w:t>
            </w:r>
          </w:p>
        </w:tc>
      </w:tr>
      <w:tr w14:paraId="4CA6093C">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10" w:hRule="atLeast"/>
          <w:jc w:val="center"/>
        </w:trPr>
        <w:tc>
          <w:tcPr>
            <w:tcW w:w="9809" w:type="dxa"/>
            <w:gridSpan w:val="5"/>
            <w:tcBorders>
              <w:top w:val="double" w:color="auto" w:sz="6" w:space="0"/>
            </w:tcBorders>
            <w:vAlign w:val="center"/>
          </w:tcPr>
          <w:p w14:paraId="0E181338">
            <w:pPr>
              <w:keepNext/>
              <w:spacing w:line="360" w:lineRule="auto"/>
              <w:ind w:right="63"/>
              <w:jc w:val="center"/>
              <w:rPr>
                <w:rFonts w:ascii="宋体" w:hAnsi="宋体" w:cs="宋体"/>
                <w:color w:val="auto"/>
                <w:highlight w:val="none"/>
              </w:rPr>
            </w:pPr>
            <w:r>
              <w:rPr>
                <w:rFonts w:hint="eastAsia" w:ascii="宋体" w:hAnsi="宋体" w:cs="宋体"/>
                <w:color w:val="auto"/>
                <w:highlight w:val="none"/>
              </w:rPr>
              <w:t>一、总部人员</w:t>
            </w:r>
          </w:p>
        </w:tc>
      </w:tr>
      <w:tr w14:paraId="1671E03A">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10" w:hRule="atLeast"/>
          <w:jc w:val="center"/>
        </w:trPr>
        <w:tc>
          <w:tcPr>
            <w:tcW w:w="1871" w:type="dxa"/>
            <w:tcBorders>
              <w:top w:val="nil"/>
              <w:bottom w:val="nil"/>
            </w:tcBorders>
            <w:vAlign w:val="center"/>
          </w:tcPr>
          <w:p w14:paraId="18BD1DFD">
            <w:pPr>
              <w:keepNext/>
              <w:spacing w:line="360" w:lineRule="auto"/>
              <w:ind w:right="63"/>
              <w:jc w:val="center"/>
              <w:rPr>
                <w:rFonts w:ascii="宋体" w:hAnsi="宋体" w:cs="宋体"/>
                <w:color w:val="auto"/>
                <w:highlight w:val="none"/>
              </w:rPr>
            </w:pPr>
            <w:r>
              <w:rPr>
                <w:rFonts w:hint="eastAsia" w:ascii="宋体" w:hAnsi="宋体" w:cs="宋体"/>
                <w:color w:val="auto"/>
                <w:highlight w:val="none"/>
              </w:rPr>
              <w:t>项目主管</w:t>
            </w:r>
          </w:p>
        </w:tc>
        <w:tc>
          <w:tcPr>
            <w:tcW w:w="1418" w:type="dxa"/>
            <w:tcBorders>
              <w:top w:val="nil"/>
            </w:tcBorders>
            <w:vAlign w:val="center"/>
          </w:tcPr>
          <w:p w14:paraId="2A34288F">
            <w:pPr>
              <w:keepNext/>
              <w:spacing w:line="360" w:lineRule="auto"/>
              <w:ind w:left="63" w:right="63" w:firstLine="420" w:firstLineChars="200"/>
              <w:rPr>
                <w:rFonts w:ascii="宋体" w:hAnsi="宋体" w:cs="宋体"/>
                <w:color w:val="auto"/>
                <w:highlight w:val="none"/>
              </w:rPr>
            </w:pPr>
          </w:p>
        </w:tc>
        <w:tc>
          <w:tcPr>
            <w:tcW w:w="1134" w:type="dxa"/>
            <w:tcBorders>
              <w:top w:val="nil"/>
            </w:tcBorders>
            <w:vAlign w:val="center"/>
          </w:tcPr>
          <w:p w14:paraId="2E04D1E3">
            <w:pPr>
              <w:keepNext/>
              <w:spacing w:line="360" w:lineRule="auto"/>
              <w:ind w:left="63" w:right="63" w:firstLine="420" w:firstLineChars="200"/>
              <w:rPr>
                <w:rFonts w:ascii="宋体" w:hAnsi="宋体" w:cs="宋体"/>
                <w:color w:val="auto"/>
                <w:highlight w:val="none"/>
              </w:rPr>
            </w:pPr>
          </w:p>
        </w:tc>
        <w:tc>
          <w:tcPr>
            <w:tcW w:w="1134" w:type="dxa"/>
            <w:tcBorders>
              <w:top w:val="nil"/>
            </w:tcBorders>
            <w:vAlign w:val="center"/>
          </w:tcPr>
          <w:p w14:paraId="09F4C670">
            <w:pPr>
              <w:keepNext/>
              <w:spacing w:line="360" w:lineRule="auto"/>
              <w:ind w:left="63" w:right="63" w:firstLine="420" w:firstLineChars="200"/>
              <w:rPr>
                <w:rFonts w:ascii="宋体" w:hAnsi="宋体" w:cs="宋体"/>
                <w:color w:val="auto"/>
                <w:highlight w:val="none"/>
              </w:rPr>
            </w:pPr>
          </w:p>
        </w:tc>
        <w:tc>
          <w:tcPr>
            <w:tcW w:w="4252" w:type="dxa"/>
            <w:tcBorders>
              <w:top w:val="nil"/>
            </w:tcBorders>
            <w:vAlign w:val="center"/>
          </w:tcPr>
          <w:p w14:paraId="0E6D696B">
            <w:pPr>
              <w:keepNext/>
              <w:spacing w:line="360" w:lineRule="auto"/>
              <w:ind w:left="63" w:right="63" w:firstLine="420" w:firstLineChars="200"/>
              <w:rPr>
                <w:rFonts w:ascii="宋体" w:hAnsi="宋体" w:cs="宋体"/>
                <w:color w:val="auto"/>
                <w:highlight w:val="none"/>
              </w:rPr>
            </w:pPr>
          </w:p>
        </w:tc>
      </w:tr>
      <w:tr w14:paraId="1B596162">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10" w:hRule="atLeast"/>
          <w:jc w:val="center"/>
        </w:trPr>
        <w:tc>
          <w:tcPr>
            <w:tcW w:w="1871" w:type="dxa"/>
            <w:vMerge w:val="restart"/>
            <w:vAlign w:val="center"/>
          </w:tcPr>
          <w:p w14:paraId="29B3C6F2">
            <w:pPr>
              <w:keepNext/>
              <w:spacing w:line="360" w:lineRule="auto"/>
              <w:ind w:right="63"/>
              <w:jc w:val="center"/>
              <w:rPr>
                <w:rFonts w:ascii="宋体" w:hAnsi="宋体" w:cs="宋体"/>
                <w:color w:val="auto"/>
                <w:highlight w:val="none"/>
              </w:rPr>
            </w:pPr>
            <w:r>
              <w:rPr>
                <w:rFonts w:hint="eastAsia" w:ascii="宋体" w:hAnsi="宋体" w:cs="宋体"/>
                <w:color w:val="auto"/>
                <w:highlight w:val="none"/>
              </w:rPr>
              <w:t>其他人员</w:t>
            </w:r>
          </w:p>
        </w:tc>
        <w:tc>
          <w:tcPr>
            <w:tcW w:w="1418" w:type="dxa"/>
            <w:vAlign w:val="center"/>
          </w:tcPr>
          <w:p w14:paraId="70E3FC64">
            <w:pPr>
              <w:keepNext/>
              <w:spacing w:line="360" w:lineRule="auto"/>
              <w:ind w:left="63" w:right="63" w:firstLine="420" w:firstLineChars="200"/>
              <w:rPr>
                <w:rFonts w:ascii="宋体" w:hAnsi="宋体" w:cs="宋体"/>
                <w:color w:val="auto"/>
                <w:highlight w:val="none"/>
              </w:rPr>
            </w:pPr>
          </w:p>
        </w:tc>
        <w:tc>
          <w:tcPr>
            <w:tcW w:w="1134" w:type="dxa"/>
            <w:vAlign w:val="center"/>
          </w:tcPr>
          <w:p w14:paraId="7556774B">
            <w:pPr>
              <w:keepNext/>
              <w:spacing w:line="360" w:lineRule="auto"/>
              <w:ind w:left="63" w:right="63" w:firstLine="420" w:firstLineChars="200"/>
              <w:rPr>
                <w:rFonts w:ascii="宋体" w:hAnsi="宋体" w:cs="宋体"/>
                <w:color w:val="auto"/>
                <w:highlight w:val="none"/>
              </w:rPr>
            </w:pPr>
          </w:p>
        </w:tc>
        <w:tc>
          <w:tcPr>
            <w:tcW w:w="1134" w:type="dxa"/>
            <w:vAlign w:val="center"/>
          </w:tcPr>
          <w:p w14:paraId="112B78E7">
            <w:pPr>
              <w:keepNext/>
              <w:spacing w:line="360" w:lineRule="auto"/>
              <w:ind w:left="63" w:right="63" w:firstLine="420" w:firstLineChars="200"/>
              <w:rPr>
                <w:rFonts w:ascii="宋体" w:hAnsi="宋体" w:cs="宋体"/>
                <w:color w:val="auto"/>
                <w:highlight w:val="none"/>
              </w:rPr>
            </w:pPr>
          </w:p>
        </w:tc>
        <w:tc>
          <w:tcPr>
            <w:tcW w:w="4252" w:type="dxa"/>
            <w:vAlign w:val="center"/>
          </w:tcPr>
          <w:p w14:paraId="4BC9E4BF">
            <w:pPr>
              <w:keepNext/>
              <w:spacing w:line="360" w:lineRule="auto"/>
              <w:ind w:left="63" w:right="63" w:firstLine="420" w:firstLineChars="200"/>
              <w:rPr>
                <w:rFonts w:ascii="宋体" w:hAnsi="宋体" w:cs="宋体"/>
                <w:color w:val="auto"/>
                <w:highlight w:val="none"/>
              </w:rPr>
            </w:pPr>
          </w:p>
        </w:tc>
      </w:tr>
      <w:tr w14:paraId="123A9C76">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10" w:hRule="atLeast"/>
          <w:jc w:val="center"/>
        </w:trPr>
        <w:tc>
          <w:tcPr>
            <w:tcW w:w="1871" w:type="dxa"/>
            <w:vMerge w:val="continue"/>
            <w:vAlign w:val="center"/>
          </w:tcPr>
          <w:p w14:paraId="4EF9B8F4">
            <w:pPr>
              <w:keepNext/>
              <w:spacing w:line="360" w:lineRule="auto"/>
              <w:ind w:left="63" w:right="63" w:firstLine="420" w:firstLineChars="200"/>
              <w:rPr>
                <w:rFonts w:ascii="宋体" w:hAnsi="宋体" w:cs="宋体"/>
                <w:color w:val="auto"/>
                <w:highlight w:val="none"/>
              </w:rPr>
            </w:pPr>
          </w:p>
        </w:tc>
        <w:tc>
          <w:tcPr>
            <w:tcW w:w="1418" w:type="dxa"/>
            <w:vAlign w:val="center"/>
          </w:tcPr>
          <w:p w14:paraId="5D394600">
            <w:pPr>
              <w:keepNext/>
              <w:spacing w:line="360" w:lineRule="auto"/>
              <w:ind w:left="63" w:right="63" w:firstLine="420" w:firstLineChars="200"/>
              <w:rPr>
                <w:rFonts w:ascii="宋体" w:hAnsi="宋体" w:cs="宋体"/>
                <w:color w:val="auto"/>
                <w:highlight w:val="none"/>
              </w:rPr>
            </w:pPr>
          </w:p>
        </w:tc>
        <w:tc>
          <w:tcPr>
            <w:tcW w:w="1134" w:type="dxa"/>
            <w:vAlign w:val="center"/>
          </w:tcPr>
          <w:p w14:paraId="793F5446">
            <w:pPr>
              <w:keepNext/>
              <w:spacing w:line="360" w:lineRule="auto"/>
              <w:ind w:left="63" w:right="63" w:firstLine="420" w:firstLineChars="200"/>
              <w:rPr>
                <w:rFonts w:ascii="宋体" w:hAnsi="宋体" w:cs="宋体"/>
                <w:color w:val="auto"/>
                <w:highlight w:val="none"/>
              </w:rPr>
            </w:pPr>
          </w:p>
        </w:tc>
        <w:tc>
          <w:tcPr>
            <w:tcW w:w="1134" w:type="dxa"/>
            <w:vAlign w:val="center"/>
          </w:tcPr>
          <w:p w14:paraId="0D90FF50">
            <w:pPr>
              <w:keepNext/>
              <w:spacing w:line="360" w:lineRule="auto"/>
              <w:ind w:left="63" w:right="63" w:firstLine="420" w:firstLineChars="200"/>
              <w:rPr>
                <w:rFonts w:ascii="宋体" w:hAnsi="宋体" w:cs="宋体"/>
                <w:color w:val="auto"/>
                <w:highlight w:val="none"/>
              </w:rPr>
            </w:pPr>
          </w:p>
        </w:tc>
        <w:tc>
          <w:tcPr>
            <w:tcW w:w="4252" w:type="dxa"/>
            <w:vAlign w:val="center"/>
          </w:tcPr>
          <w:p w14:paraId="0E9F5989">
            <w:pPr>
              <w:keepNext/>
              <w:spacing w:line="360" w:lineRule="auto"/>
              <w:ind w:left="63" w:right="63" w:firstLine="420" w:firstLineChars="200"/>
              <w:rPr>
                <w:rFonts w:ascii="宋体" w:hAnsi="宋体" w:cs="宋体"/>
                <w:color w:val="auto"/>
                <w:highlight w:val="none"/>
              </w:rPr>
            </w:pPr>
          </w:p>
        </w:tc>
      </w:tr>
      <w:tr w14:paraId="79F61176">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10" w:hRule="atLeast"/>
          <w:jc w:val="center"/>
        </w:trPr>
        <w:tc>
          <w:tcPr>
            <w:tcW w:w="1871" w:type="dxa"/>
            <w:vMerge w:val="continue"/>
            <w:tcBorders>
              <w:bottom w:val="nil"/>
            </w:tcBorders>
            <w:vAlign w:val="center"/>
          </w:tcPr>
          <w:p w14:paraId="6D911D7A">
            <w:pPr>
              <w:keepNext/>
              <w:spacing w:line="360" w:lineRule="auto"/>
              <w:ind w:left="63" w:right="63" w:firstLine="420" w:firstLineChars="200"/>
              <w:rPr>
                <w:rFonts w:ascii="宋体" w:hAnsi="宋体" w:cs="宋体"/>
                <w:color w:val="auto"/>
                <w:highlight w:val="none"/>
              </w:rPr>
            </w:pPr>
          </w:p>
        </w:tc>
        <w:tc>
          <w:tcPr>
            <w:tcW w:w="1418" w:type="dxa"/>
            <w:vAlign w:val="center"/>
          </w:tcPr>
          <w:p w14:paraId="7324BD84">
            <w:pPr>
              <w:keepNext/>
              <w:spacing w:line="360" w:lineRule="auto"/>
              <w:ind w:left="63" w:right="63" w:firstLine="420" w:firstLineChars="200"/>
              <w:rPr>
                <w:rFonts w:ascii="宋体" w:hAnsi="宋体" w:cs="宋体"/>
                <w:color w:val="auto"/>
                <w:highlight w:val="none"/>
              </w:rPr>
            </w:pPr>
          </w:p>
        </w:tc>
        <w:tc>
          <w:tcPr>
            <w:tcW w:w="1134" w:type="dxa"/>
            <w:vAlign w:val="center"/>
          </w:tcPr>
          <w:p w14:paraId="638755E1">
            <w:pPr>
              <w:keepNext/>
              <w:spacing w:line="360" w:lineRule="auto"/>
              <w:ind w:left="63" w:right="63" w:firstLine="420" w:firstLineChars="200"/>
              <w:rPr>
                <w:rFonts w:ascii="宋体" w:hAnsi="宋体" w:cs="宋体"/>
                <w:color w:val="auto"/>
                <w:highlight w:val="none"/>
              </w:rPr>
            </w:pPr>
          </w:p>
        </w:tc>
        <w:tc>
          <w:tcPr>
            <w:tcW w:w="1134" w:type="dxa"/>
            <w:vAlign w:val="center"/>
          </w:tcPr>
          <w:p w14:paraId="59F68C5A">
            <w:pPr>
              <w:keepNext/>
              <w:spacing w:line="360" w:lineRule="auto"/>
              <w:ind w:left="63" w:right="63" w:firstLine="420" w:firstLineChars="200"/>
              <w:rPr>
                <w:rFonts w:ascii="宋体" w:hAnsi="宋体" w:cs="宋体"/>
                <w:color w:val="auto"/>
                <w:highlight w:val="none"/>
              </w:rPr>
            </w:pPr>
          </w:p>
        </w:tc>
        <w:tc>
          <w:tcPr>
            <w:tcW w:w="4252" w:type="dxa"/>
            <w:vAlign w:val="center"/>
          </w:tcPr>
          <w:p w14:paraId="62733CF3">
            <w:pPr>
              <w:keepNext/>
              <w:spacing w:line="360" w:lineRule="auto"/>
              <w:ind w:left="63" w:right="63" w:firstLine="420" w:firstLineChars="200"/>
              <w:rPr>
                <w:rFonts w:ascii="宋体" w:hAnsi="宋体" w:cs="宋体"/>
                <w:color w:val="auto"/>
                <w:highlight w:val="none"/>
              </w:rPr>
            </w:pPr>
          </w:p>
        </w:tc>
      </w:tr>
      <w:tr w14:paraId="1F42CC76">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10" w:hRule="atLeast"/>
          <w:jc w:val="center"/>
        </w:trPr>
        <w:tc>
          <w:tcPr>
            <w:tcW w:w="9809" w:type="dxa"/>
            <w:gridSpan w:val="5"/>
            <w:vAlign w:val="center"/>
          </w:tcPr>
          <w:p w14:paraId="7008DE3D">
            <w:pPr>
              <w:keepNext/>
              <w:spacing w:line="360" w:lineRule="auto"/>
              <w:ind w:right="63"/>
              <w:jc w:val="center"/>
              <w:rPr>
                <w:rFonts w:ascii="宋体" w:hAnsi="宋体" w:cs="宋体"/>
                <w:color w:val="auto"/>
                <w:highlight w:val="none"/>
              </w:rPr>
            </w:pPr>
            <w:r>
              <w:rPr>
                <w:rFonts w:hint="eastAsia" w:ascii="宋体" w:hAnsi="宋体" w:cs="宋体"/>
                <w:color w:val="auto"/>
                <w:highlight w:val="none"/>
              </w:rPr>
              <w:t>二、现场人员</w:t>
            </w:r>
          </w:p>
        </w:tc>
      </w:tr>
      <w:tr w14:paraId="7AC0A2A1">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10" w:hRule="atLeast"/>
          <w:jc w:val="center"/>
        </w:trPr>
        <w:tc>
          <w:tcPr>
            <w:tcW w:w="1871" w:type="dxa"/>
            <w:vAlign w:val="center"/>
          </w:tcPr>
          <w:p w14:paraId="60AA9FE9">
            <w:pPr>
              <w:keepNext/>
              <w:spacing w:line="360" w:lineRule="auto"/>
              <w:ind w:right="63"/>
              <w:jc w:val="center"/>
              <w:rPr>
                <w:rFonts w:ascii="宋体" w:hAnsi="宋体" w:cs="宋体"/>
                <w:color w:val="auto"/>
                <w:highlight w:val="none"/>
              </w:rPr>
            </w:pPr>
            <w:r>
              <w:rPr>
                <w:rFonts w:hint="eastAsia" w:ascii="宋体" w:hAnsi="宋体" w:cs="宋体"/>
                <w:color w:val="auto"/>
                <w:highlight w:val="none"/>
              </w:rPr>
              <w:t>项目经理</w:t>
            </w:r>
          </w:p>
        </w:tc>
        <w:tc>
          <w:tcPr>
            <w:tcW w:w="1418" w:type="dxa"/>
            <w:vAlign w:val="center"/>
          </w:tcPr>
          <w:p w14:paraId="0CC58DB5">
            <w:pPr>
              <w:keepNext/>
              <w:spacing w:line="360" w:lineRule="auto"/>
              <w:ind w:left="63" w:right="63" w:firstLine="420" w:firstLineChars="200"/>
              <w:rPr>
                <w:rFonts w:ascii="宋体" w:hAnsi="宋体" w:cs="宋体"/>
                <w:color w:val="auto"/>
                <w:highlight w:val="none"/>
              </w:rPr>
            </w:pPr>
          </w:p>
        </w:tc>
        <w:tc>
          <w:tcPr>
            <w:tcW w:w="1134" w:type="dxa"/>
            <w:vAlign w:val="center"/>
          </w:tcPr>
          <w:p w14:paraId="11DA06FD">
            <w:pPr>
              <w:keepNext/>
              <w:spacing w:line="360" w:lineRule="auto"/>
              <w:ind w:left="63" w:right="63" w:firstLine="420" w:firstLineChars="200"/>
              <w:rPr>
                <w:rFonts w:ascii="宋体" w:hAnsi="宋体" w:cs="宋体"/>
                <w:color w:val="auto"/>
                <w:highlight w:val="none"/>
              </w:rPr>
            </w:pPr>
          </w:p>
        </w:tc>
        <w:tc>
          <w:tcPr>
            <w:tcW w:w="1134" w:type="dxa"/>
            <w:vAlign w:val="center"/>
          </w:tcPr>
          <w:p w14:paraId="744ACE28">
            <w:pPr>
              <w:keepNext/>
              <w:spacing w:line="360" w:lineRule="auto"/>
              <w:ind w:left="63" w:right="63" w:firstLine="420" w:firstLineChars="200"/>
              <w:rPr>
                <w:rFonts w:ascii="宋体" w:hAnsi="宋体" w:cs="宋体"/>
                <w:color w:val="auto"/>
                <w:highlight w:val="none"/>
              </w:rPr>
            </w:pPr>
          </w:p>
        </w:tc>
        <w:tc>
          <w:tcPr>
            <w:tcW w:w="4252" w:type="dxa"/>
            <w:vAlign w:val="center"/>
          </w:tcPr>
          <w:p w14:paraId="74D3C1D9">
            <w:pPr>
              <w:keepNext/>
              <w:spacing w:line="360" w:lineRule="auto"/>
              <w:ind w:left="63" w:right="63" w:firstLine="420" w:firstLineChars="200"/>
              <w:rPr>
                <w:rFonts w:ascii="宋体" w:hAnsi="宋体" w:cs="宋体"/>
                <w:color w:val="auto"/>
                <w:highlight w:val="none"/>
              </w:rPr>
            </w:pPr>
          </w:p>
        </w:tc>
      </w:tr>
      <w:tr w14:paraId="0B311A6C">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10" w:hRule="atLeast"/>
          <w:jc w:val="center"/>
        </w:trPr>
        <w:tc>
          <w:tcPr>
            <w:tcW w:w="1871" w:type="dxa"/>
            <w:vAlign w:val="center"/>
          </w:tcPr>
          <w:p w14:paraId="4B2C03FB">
            <w:pPr>
              <w:keepNext/>
              <w:spacing w:line="360" w:lineRule="auto"/>
              <w:ind w:right="63"/>
              <w:jc w:val="center"/>
              <w:rPr>
                <w:rFonts w:ascii="宋体" w:hAnsi="宋体" w:cs="宋体"/>
                <w:color w:val="auto"/>
                <w:highlight w:val="none"/>
              </w:rPr>
            </w:pPr>
            <w:r>
              <w:rPr>
                <w:rFonts w:hint="eastAsia" w:ascii="宋体" w:hAnsi="宋体" w:cs="宋体"/>
                <w:color w:val="auto"/>
                <w:highlight w:val="none"/>
              </w:rPr>
              <w:t>项目副经理</w:t>
            </w:r>
          </w:p>
        </w:tc>
        <w:tc>
          <w:tcPr>
            <w:tcW w:w="1418" w:type="dxa"/>
            <w:vAlign w:val="center"/>
          </w:tcPr>
          <w:p w14:paraId="72A19A02">
            <w:pPr>
              <w:keepNext/>
              <w:spacing w:line="360" w:lineRule="auto"/>
              <w:ind w:left="63" w:right="63" w:firstLine="420" w:firstLineChars="200"/>
              <w:rPr>
                <w:rFonts w:ascii="宋体" w:hAnsi="宋体" w:cs="宋体"/>
                <w:color w:val="auto"/>
                <w:highlight w:val="none"/>
              </w:rPr>
            </w:pPr>
          </w:p>
        </w:tc>
        <w:tc>
          <w:tcPr>
            <w:tcW w:w="1134" w:type="dxa"/>
            <w:vAlign w:val="center"/>
          </w:tcPr>
          <w:p w14:paraId="3C9E3929">
            <w:pPr>
              <w:keepNext/>
              <w:spacing w:line="360" w:lineRule="auto"/>
              <w:ind w:left="63" w:right="63" w:firstLine="420" w:firstLineChars="200"/>
              <w:rPr>
                <w:rFonts w:ascii="宋体" w:hAnsi="宋体" w:cs="宋体"/>
                <w:color w:val="auto"/>
                <w:highlight w:val="none"/>
              </w:rPr>
            </w:pPr>
          </w:p>
        </w:tc>
        <w:tc>
          <w:tcPr>
            <w:tcW w:w="1134" w:type="dxa"/>
            <w:vAlign w:val="center"/>
          </w:tcPr>
          <w:p w14:paraId="1D03AC3E">
            <w:pPr>
              <w:keepNext/>
              <w:spacing w:line="360" w:lineRule="auto"/>
              <w:ind w:left="63" w:right="63" w:firstLine="420" w:firstLineChars="200"/>
              <w:rPr>
                <w:rFonts w:ascii="宋体" w:hAnsi="宋体" w:cs="宋体"/>
                <w:color w:val="auto"/>
                <w:highlight w:val="none"/>
              </w:rPr>
            </w:pPr>
          </w:p>
        </w:tc>
        <w:tc>
          <w:tcPr>
            <w:tcW w:w="4252" w:type="dxa"/>
            <w:vAlign w:val="center"/>
          </w:tcPr>
          <w:p w14:paraId="30F391E7">
            <w:pPr>
              <w:keepNext/>
              <w:spacing w:line="360" w:lineRule="auto"/>
              <w:ind w:left="63" w:right="63" w:firstLine="420" w:firstLineChars="200"/>
              <w:rPr>
                <w:rFonts w:ascii="宋体" w:hAnsi="宋体" w:cs="宋体"/>
                <w:color w:val="auto"/>
                <w:highlight w:val="none"/>
              </w:rPr>
            </w:pPr>
          </w:p>
        </w:tc>
      </w:tr>
      <w:tr w14:paraId="0C63FA15">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10" w:hRule="atLeast"/>
          <w:jc w:val="center"/>
        </w:trPr>
        <w:tc>
          <w:tcPr>
            <w:tcW w:w="1871" w:type="dxa"/>
            <w:vAlign w:val="center"/>
          </w:tcPr>
          <w:p w14:paraId="75CF49FE">
            <w:pPr>
              <w:keepNext/>
              <w:spacing w:line="360" w:lineRule="auto"/>
              <w:ind w:right="63"/>
              <w:jc w:val="center"/>
              <w:rPr>
                <w:rFonts w:ascii="宋体" w:hAnsi="宋体" w:cs="宋体"/>
                <w:color w:val="auto"/>
                <w:highlight w:val="none"/>
              </w:rPr>
            </w:pPr>
            <w:r>
              <w:rPr>
                <w:rFonts w:hint="eastAsia" w:ascii="宋体" w:hAnsi="宋体" w:cs="宋体"/>
                <w:color w:val="auto"/>
                <w:highlight w:val="none"/>
              </w:rPr>
              <w:t>技术负责人</w:t>
            </w:r>
          </w:p>
        </w:tc>
        <w:tc>
          <w:tcPr>
            <w:tcW w:w="1418" w:type="dxa"/>
            <w:vAlign w:val="center"/>
          </w:tcPr>
          <w:p w14:paraId="2C568E49">
            <w:pPr>
              <w:keepNext/>
              <w:spacing w:line="360" w:lineRule="auto"/>
              <w:ind w:left="63" w:right="63" w:firstLine="420" w:firstLineChars="200"/>
              <w:rPr>
                <w:rFonts w:ascii="宋体" w:hAnsi="宋体" w:cs="宋体"/>
                <w:color w:val="auto"/>
                <w:highlight w:val="none"/>
              </w:rPr>
            </w:pPr>
          </w:p>
        </w:tc>
        <w:tc>
          <w:tcPr>
            <w:tcW w:w="1134" w:type="dxa"/>
            <w:vAlign w:val="center"/>
          </w:tcPr>
          <w:p w14:paraId="0F9D477C">
            <w:pPr>
              <w:keepNext/>
              <w:spacing w:line="360" w:lineRule="auto"/>
              <w:ind w:left="63" w:right="63" w:firstLine="420" w:firstLineChars="200"/>
              <w:rPr>
                <w:rFonts w:ascii="宋体" w:hAnsi="宋体" w:cs="宋体"/>
                <w:color w:val="auto"/>
                <w:highlight w:val="none"/>
              </w:rPr>
            </w:pPr>
          </w:p>
        </w:tc>
        <w:tc>
          <w:tcPr>
            <w:tcW w:w="1134" w:type="dxa"/>
            <w:vAlign w:val="center"/>
          </w:tcPr>
          <w:p w14:paraId="1FCC2608">
            <w:pPr>
              <w:keepNext/>
              <w:spacing w:line="360" w:lineRule="auto"/>
              <w:ind w:left="63" w:right="63" w:firstLine="420" w:firstLineChars="200"/>
              <w:rPr>
                <w:rFonts w:ascii="宋体" w:hAnsi="宋体" w:cs="宋体"/>
                <w:color w:val="auto"/>
                <w:highlight w:val="none"/>
              </w:rPr>
            </w:pPr>
          </w:p>
        </w:tc>
        <w:tc>
          <w:tcPr>
            <w:tcW w:w="4252" w:type="dxa"/>
            <w:vAlign w:val="center"/>
          </w:tcPr>
          <w:p w14:paraId="75DBCD68">
            <w:pPr>
              <w:keepNext/>
              <w:spacing w:line="360" w:lineRule="auto"/>
              <w:ind w:left="63" w:right="63" w:firstLine="420" w:firstLineChars="200"/>
              <w:rPr>
                <w:rFonts w:ascii="宋体" w:hAnsi="宋体" w:cs="宋体"/>
                <w:color w:val="auto"/>
                <w:highlight w:val="none"/>
              </w:rPr>
            </w:pPr>
          </w:p>
        </w:tc>
      </w:tr>
      <w:tr w14:paraId="29AC742B">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10" w:hRule="atLeast"/>
          <w:jc w:val="center"/>
        </w:trPr>
        <w:tc>
          <w:tcPr>
            <w:tcW w:w="1871" w:type="dxa"/>
            <w:vAlign w:val="center"/>
          </w:tcPr>
          <w:p w14:paraId="727DAF4C">
            <w:pPr>
              <w:keepNext/>
              <w:spacing w:line="360" w:lineRule="auto"/>
              <w:ind w:right="63"/>
              <w:jc w:val="center"/>
              <w:rPr>
                <w:rFonts w:ascii="宋体" w:hAnsi="宋体" w:cs="宋体"/>
                <w:color w:val="auto"/>
                <w:highlight w:val="none"/>
              </w:rPr>
            </w:pPr>
            <w:r>
              <w:rPr>
                <w:rFonts w:hint="eastAsia" w:ascii="宋体" w:hAnsi="宋体" w:cs="宋体"/>
                <w:color w:val="auto"/>
                <w:highlight w:val="none"/>
              </w:rPr>
              <w:t>造价管理</w:t>
            </w:r>
          </w:p>
        </w:tc>
        <w:tc>
          <w:tcPr>
            <w:tcW w:w="1418" w:type="dxa"/>
            <w:vAlign w:val="center"/>
          </w:tcPr>
          <w:p w14:paraId="5ABAF53D">
            <w:pPr>
              <w:keepNext/>
              <w:spacing w:line="360" w:lineRule="auto"/>
              <w:ind w:left="63" w:right="63" w:firstLine="420" w:firstLineChars="200"/>
              <w:rPr>
                <w:rFonts w:ascii="宋体" w:hAnsi="宋体" w:cs="宋体"/>
                <w:color w:val="auto"/>
                <w:highlight w:val="none"/>
              </w:rPr>
            </w:pPr>
          </w:p>
        </w:tc>
        <w:tc>
          <w:tcPr>
            <w:tcW w:w="1134" w:type="dxa"/>
            <w:vAlign w:val="center"/>
          </w:tcPr>
          <w:p w14:paraId="515EFE19">
            <w:pPr>
              <w:keepNext/>
              <w:spacing w:line="360" w:lineRule="auto"/>
              <w:ind w:left="63" w:right="63" w:firstLine="420" w:firstLineChars="200"/>
              <w:rPr>
                <w:rFonts w:ascii="宋体" w:hAnsi="宋体" w:cs="宋体"/>
                <w:color w:val="auto"/>
                <w:highlight w:val="none"/>
              </w:rPr>
            </w:pPr>
          </w:p>
        </w:tc>
        <w:tc>
          <w:tcPr>
            <w:tcW w:w="1134" w:type="dxa"/>
            <w:vAlign w:val="center"/>
          </w:tcPr>
          <w:p w14:paraId="4446F639">
            <w:pPr>
              <w:keepNext/>
              <w:spacing w:line="360" w:lineRule="auto"/>
              <w:ind w:left="63" w:right="63" w:firstLine="420" w:firstLineChars="200"/>
              <w:rPr>
                <w:rFonts w:ascii="宋体" w:hAnsi="宋体" w:cs="宋体"/>
                <w:color w:val="auto"/>
                <w:highlight w:val="none"/>
              </w:rPr>
            </w:pPr>
          </w:p>
        </w:tc>
        <w:tc>
          <w:tcPr>
            <w:tcW w:w="4252" w:type="dxa"/>
            <w:vAlign w:val="center"/>
          </w:tcPr>
          <w:p w14:paraId="7160CD2F">
            <w:pPr>
              <w:keepNext/>
              <w:spacing w:line="360" w:lineRule="auto"/>
              <w:ind w:left="63" w:right="63" w:firstLine="420" w:firstLineChars="200"/>
              <w:rPr>
                <w:rFonts w:ascii="宋体" w:hAnsi="宋体" w:cs="宋体"/>
                <w:color w:val="auto"/>
                <w:highlight w:val="none"/>
              </w:rPr>
            </w:pPr>
          </w:p>
        </w:tc>
      </w:tr>
      <w:tr w14:paraId="579B58F9">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10" w:hRule="atLeast"/>
          <w:jc w:val="center"/>
        </w:trPr>
        <w:tc>
          <w:tcPr>
            <w:tcW w:w="1871" w:type="dxa"/>
            <w:vAlign w:val="center"/>
          </w:tcPr>
          <w:p w14:paraId="57F16545">
            <w:pPr>
              <w:keepNext/>
              <w:spacing w:line="360" w:lineRule="auto"/>
              <w:ind w:right="63"/>
              <w:jc w:val="center"/>
              <w:rPr>
                <w:rFonts w:ascii="宋体" w:hAnsi="宋体" w:cs="宋体"/>
                <w:color w:val="auto"/>
                <w:highlight w:val="none"/>
              </w:rPr>
            </w:pPr>
            <w:r>
              <w:rPr>
                <w:rFonts w:hint="eastAsia" w:ascii="宋体" w:hAnsi="宋体" w:cs="宋体"/>
                <w:color w:val="auto"/>
                <w:highlight w:val="none"/>
              </w:rPr>
              <w:t>质量管理</w:t>
            </w:r>
          </w:p>
        </w:tc>
        <w:tc>
          <w:tcPr>
            <w:tcW w:w="1418" w:type="dxa"/>
            <w:vAlign w:val="center"/>
          </w:tcPr>
          <w:p w14:paraId="62C6E520">
            <w:pPr>
              <w:keepNext/>
              <w:spacing w:line="360" w:lineRule="auto"/>
              <w:ind w:left="63" w:right="63" w:firstLine="420" w:firstLineChars="200"/>
              <w:rPr>
                <w:rFonts w:ascii="宋体" w:hAnsi="宋体" w:cs="宋体"/>
                <w:color w:val="auto"/>
                <w:highlight w:val="none"/>
              </w:rPr>
            </w:pPr>
          </w:p>
        </w:tc>
        <w:tc>
          <w:tcPr>
            <w:tcW w:w="1134" w:type="dxa"/>
            <w:vAlign w:val="center"/>
          </w:tcPr>
          <w:p w14:paraId="0350ED65">
            <w:pPr>
              <w:keepNext/>
              <w:spacing w:line="360" w:lineRule="auto"/>
              <w:ind w:left="63" w:right="63" w:firstLine="420" w:firstLineChars="200"/>
              <w:rPr>
                <w:rFonts w:ascii="宋体" w:hAnsi="宋体" w:cs="宋体"/>
                <w:color w:val="auto"/>
                <w:highlight w:val="none"/>
              </w:rPr>
            </w:pPr>
          </w:p>
        </w:tc>
        <w:tc>
          <w:tcPr>
            <w:tcW w:w="1134" w:type="dxa"/>
            <w:vAlign w:val="center"/>
          </w:tcPr>
          <w:p w14:paraId="52AFFD54">
            <w:pPr>
              <w:keepNext/>
              <w:spacing w:line="360" w:lineRule="auto"/>
              <w:ind w:left="63" w:right="63" w:firstLine="420" w:firstLineChars="200"/>
              <w:rPr>
                <w:rFonts w:ascii="宋体" w:hAnsi="宋体" w:cs="宋体"/>
                <w:color w:val="auto"/>
                <w:highlight w:val="none"/>
              </w:rPr>
            </w:pPr>
          </w:p>
        </w:tc>
        <w:tc>
          <w:tcPr>
            <w:tcW w:w="4252" w:type="dxa"/>
            <w:vAlign w:val="center"/>
          </w:tcPr>
          <w:p w14:paraId="44965DDA">
            <w:pPr>
              <w:keepNext/>
              <w:spacing w:line="360" w:lineRule="auto"/>
              <w:ind w:left="63" w:right="63" w:firstLine="420" w:firstLineChars="200"/>
              <w:rPr>
                <w:rFonts w:ascii="宋体" w:hAnsi="宋体" w:cs="宋体"/>
                <w:color w:val="auto"/>
                <w:highlight w:val="none"/>
              </w:rPr>
            </w:pPr>
          </w:p>
        </w:tc>
      </w:tr>
      <w:tr w14:paraId="5533EC41">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10" w:hRule="atLeast"/>
          <w:jc w:val="center"/>
        </w:trPr>
        <w:tc>
          <w:tcPr>
            <w:tcW w:w="1871" w:type="dxa"/>
            <w:vAlign w:val="center"/>
          </w:tcPr>
          <w:p w14:paraId="7DB12E0E">
            <w:pPr>
              <w:keepNext/>
              <w:spacing w:line="360" w:lineRule="auto"/>
              <w:ind w:right="63"/>
              <w:jc w:val="center"/>
              <w:rPr>
                <w:rFonts w:ascii="宋体" w:hAnsi="宋体" w:cs="宋体"/>
                <w:color w:val="auto"/>
                <w:highlight w:val="none"/>
              </w:rPr>
            </w:pPr>
            <w:r>
              <w:rPr>
                <w:rFonts w:hint="eastAsia" w:ascii="宋体" w:hAnsi="宋体" w:cs="宋体"/>
                <w:color w:val="auto"/>
                <w:highlight w:val="none"/>
              </w:rPr>
              <w:t>材料管理</w:t>
            </w:r>
          </w:p>
        </w:tc>
        <w:tc>
          <w:tcPr>
            <w:tcW w:w="1418" w:type="dxa"/>
            <w:vAlign w:val="center"/>
          </w:tcPr>
          <w:p w14:paraId="1140DAFB">
            <w:pPr>
              <w:keepNext/>
              <w:spacing w:line="360" w:lineRule="auto"/>
              <w:ind w:left="63" w:right="63" w:firstLine="420" w:firstLineChars="200"/>
              <w:rPr>
                <w:rFonts w:ascii="宋体" w:hAnsi="宋体" w:cs="宋体"/>
                <w:color w:val="auto"/>
                <w:highlight w:val="none"/>
              </w:rPr>
            </w:pPr>
          </w:p>
        </w:tc>
        <w:tc>
          <w:tcPr>
            <w:tcW w:w="1134" w:type="dxa"/>
            <w:vAlign w:val="center"/>
          </w:tcPr>
          <w:p w14:paraId="001D8775">
            <w:pPr>
              <w:keepNext/>
              <w:spacing w:line="360" w:lineRule="auto"/>
              <w:ind w:left="63" w:right="63" w:firstLine="420" w:firstLineChars="200"/>
              <w:rPr>
                <w:rFonts w:ascii="宋体" w:hAnsi="宋体" w:cs="宋体"/>
                <w:color w:val="auto"/>
                <w:highlight w:val="none"/>
              </w:rPr>
            </w:pPr>
          </w:p>
        </w:tc>
        <w:tc>
          <w:tcPr>
            <w:tcW w:w="1134" w:type="dxa"/>
            <w:vAlign w:val="center"/>
          </w:tcPr>
          <w:p w14:paraId="07E256CB">
            <w:pPr>
              <w:keepNext/>
              <w:spacing w:line="360" w:lineRule="auto"/>
              <w:ind w:left="63" w:right="63" w:firstLine="420" w:firstLineChars="200"/>
              <w:rPr>
                <w:rFonts w:ascii="宋体" w:hAnsi="宋体" w:cs="宋体"/>
                <w:color w:val="auto"/>
                <w:highlight w:val="none"/>
              </w:rPr>
            </w:pPr>
          </w:p>
        </w:tc>
        <w:tc>
          <w:tcPr>
            <w:tcW w:w="4252" w:type="dxa"/>
            <w:vAlign w:val="center"/>
          </w:tcPr>
          <w:p w14:paraId="11286193">
            <w:pPr>
              <w:keepNext/>
              <w:spacing w:line="360" w:lineRule="auto"/>
              <w:ind w:left="63" w:right="63" w:firstLine="420" w:firstLineChars="200"/>
              <w:rPr>
                <w:rFonts w:ascii="宋体" w:hAnsi="宋体" w:cs="宋体"/>
                <w:color w:val="auto"/>
                <w:highlight w:val="none"/>
              </w:rPr>
            </w:pPr>
          </w:p>
        </w:tc>
      </w:tr>
      <w:tr w14:paraId="1BFB79F0">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10" w:hRule="atLeast"/>
          <w:jc w:val="center"/>
        </w:trPr>
        <w:tc>
          <w:tcPr>
            <w:tcW w:w="1871" w:type="dxa"/>
            <w:vAlign w:val="center"/>
          </w:tcPr>
          <w:p w14:paraId="43FB5C7B">
            <w:pPr>
              <w:keepNext/>
              <w:spacing w:line="360" w:lineRule="auto"/>
              <w:ind w:right="63"/>
              <w:jc w:val="center"/>
              <w:rPr>
                <w:rFonts w:ascii="宋体" w:hAnsi="宋体" w:cs="宋体"/>
                <w:color w:val="auto"/>
                <w:highlight w:val="none"/>
              </w:rPr>
            </w:pPr>
            <w:r>
              <w:rPr>
                <w:rFonts w:hint="eastAsia" w:ascii="宋体" w:hAnsi="宋体" w:cs="宋体"/>
                <w:color w:val="auto"/>
                <w:highlight w:val="none"/>
              </w:rPr>
              <w:t>计划管理</w:t>
            </w:r>
          </w:p>
        </w:tc>
        <w:tc>
          <w:tcPr>
            <w:tcW w:w="1418" w:type="dxa"/>
            <w:vAlign w:val="center"/>
          </w:tcPr>
          <w:p w14:paraId="1D17BB32">
            <w:pPr>
              <w:keepNext/>
              <w:spacing w:line="360" w:lineRule="auto"/>
              <w:ind w:left="63" w:right="63" w:firstLine="420" w:firstLineChars="200"/>
              <w:rPr>
                <w:rFonts w:ascii="宋体" w:hAnsi="宋体" w:cs="宋体"/>
                <w:color w:val="auto"/>
                <w:highlight w:val="none"/>
              </w:rPr>
            </w:pPr>
          </w:p>
        </w:tc>
        <w:tc>
          <w:tcPr>
            <w:tcW w:w="1134" w:type="dxa"/>
            <w:vAlign w:val="center"/>
          </w:tcPr>
          <w:p w14:paraId="32751ED8">
            <w:pPr>
              <w:keepNext/>
              <w:spacing w:line="360" w:lineRule="auto"/>
              <w:ind w:left="63" w:right="63" w:firstLine="420" w:firstLineChars="200"/>
              <w:rPr>
                <w:rFonts w:ascii="宋体" w:hAnsi="宋体" w:cs="宋体"/>
                <w:color w:val="auto"/>
                <w:highlight w:val="none"/>
              </w:rPr>
            </w:pPr>
          </w:p>
        </w:tc>
        <w:tc>
          <w:tcPr>
            <w:tcW w:w="1134" w:type="dxa"/>
            <w:vAlign w:val="center"/>
          </w:tcPr>
          <w:p w14:paraId="522D085A">
            <w:pPr>
              <w:keepNext/>
              <w:spacing w:line="360" w:lineRule="auto"/>
              <w:ind w:left="63" w:right="63" w:firstLine="420" w:firstLineChars="200"/>
              <w:rPr>
                <w:rFonts w:ascii="宋体" w:hAnsi="宋体" w:cs="宋体"/>
                <w:color w:val="auto"/>
                <w:highlight w:val="none"/>
              </w:rPr>
            </w:pPr>
          </w:p>
        </w:tc>
        <w:tc>
          <w:tcPr>
            <w:tcW w:w="4252" w:type="dxa"/>
            <w:vAlign w:val="center"/>
          </w:tcPr>
          <w:p w14:paraId="24A65444">
            <w:pPr>
              <w:keepNext/>
              <w:spacing w:line="360" w:lineRule="auto"/>
              <w:ind w:left="63" w:right="63" w:firstLine="420" w:firstLineChars="200"/>
              <w:rPr>
                <w:rFonts w:ascii="宋体" w:hAnsi="宋体" w:cs="宋体"/>
                <w:color w:val="auto"/>
                <w:highlight w:val="none"/>
              </w:rPr>
            </w:pPr>
          </w:p>
        </w:tc>
      </w:tr>
      <w:tr w14:paraId="66217958">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10" w:hRule="atLeast"/>
          <w:jc w:val="center"/>
        </w:trPr>
        <w:tc>
          <w:tcPr>
            <w:tcW w:w="1871" w:type="dxa"/>
            <w:vAlign w:val="center"/>
          </w:tcPr>
          <w:p w14:paraId="1981BFBC">
            <w:pPr>
              <w:keepNext/>
              <w:spacing w:line="360" w:lineRule="auto"/>
              <w:ind w:right="63"/>
              <w:jc w:val="center"/>
              <w:rPr>
                <w:rFonts w:ascii="宋体" w:hAnsi="宋体" w:cs="宋体"/>
                <w:color w:val="auto"/>
                <w:highlight w:val="none"/>
              </w:rPr>
            </w:pPr>
            <w:r>
              <w:rPr>
                <w:rFonts w:hint="eastAsia" w:ascii="宋体" w:hAnsi="宋体" w:cs="宋体"/>
                <w:color w:val="auto"/>
                <w:highlight w:val="none"/>
              </w:rPr>
              <w:t>安全管理</w:t>
            </w:r>
          </w:p>
        </w:tc>
        <w:tc>
          <w:tcPr>
            <w:tcW w:w="1418" w:type="dxa"/>
            <w:vAlign w:val="center"/>
          </w:tcPr>
          <w:p w14:paraId="21A55715">
            <w:pPr>
              <w:keepNext/>
              <w:spacing w:line="360" w:lineRule="auto"/>
              <w:ind w:left="63" w:right="63" w:firstLine="420" w:firstLineChars="200"/>
              <w:rPr>
                <w:rFonts w:ascii="宋体" w:hAnsi="宋体" w:cs="宋体"/>
                <w:color w:val="auto"/>
                <w:highlight w:val="none"/>
              </w:rPr>
            </w:pPr>
          </w:p>
        </w:tc>
        <w:tc>
          <w:tcPr>
            <w:tcW w:w="1134" w:type="dxa"/>
            <w:vAlign w:val="center"/>
          </w:tcPr>
          <w:p w14:paraId="5F0A748D">
            <w:pPr>
              <w:keepNext/>
              <w:spacing w:line="360" w:lineRule="auto"/>
              <w:ind w:left="63" w:right="63" w:firstLine="420" w:firstLineChars="200"/>
              <w:rPr>
                <w:rFonts w:ascii="宋体" w:hAnsi="宋体" w:cs="宋体"/>
                <w:color w:val="auto"/>
                <w:highlight w:val="none"/>
              </w:rPr>
            </w:pPr>
          </w:p>
        </w:tc>
        <w:tc>
          <w:tcPr>
            <w:tcW w:w="1134" w:type="dxa"/>
            <w:vAlign w:val="center"/>
          </w:tcPr>
          <w:p w14:paraId="2F2640B5">
            <w:pPr>
              <w:keepNext/>
              <w:spacing w:line="360" w:lineRule="auto"/>
              <w:ind w:left="63" w:right="63" w:firstLine="420" w:firstLineChars="200"/>
              <w:rPr>
                <w:rFonts w:ascii="宋体" w:hAnsi="宋体" w:cs="宋体"/>
                <w:color w:val="auto"/>
                <w:highlight w:val="none"/>
              </w:rPr>
            </w:pPr>
          </w:p>
        </w:tc>
        <w:tc>
          <w:tcPr>
            <w:tcW w:w="4252" w:type="dxa"/>
            <w:vAlign w:val="center"/>
          </w:tcPr>
          <w:p w14:paraId="698D206A">
            <w:pPr>
              <w:keepNext/>
              <w:spacing w:line="360" w:lineRule="auto"/>
              <w:ind w:left="63" w:right="63" w:firstLine="420" w:firstLineChars="200"/>
              <w:rPr>
                <w:rFonts w:ascii="宋体" w:hAnsi="宋体" w:cs="宋体"/>
                <w:color w:val="auto"/>
                <w:highlight w:val="none"/>
              </w:rPr>
            </w:pPr>
          </w:p>
        </w:tc>
      </w:tr>
      <w:tr w14:paraId="24FF429B">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10" w:hRule="atLeast"/>
          <w:jc w:val="center"/>
        </w:trPr>
        <w:tc>
          <w:tcPr>
            <w:tcW w:w="1871" w:type="dxa"/>
            <w:vMerge w:val="restart"/>
            <w:vAlign w:val="center"/>
          </w:tcPr>
          <w:p w14:paraId="2D3901F5">
            <w:pPr>
              <w:keepNext/>
              <w:spacing w:line="360" w:lineRule="auto"/>
              <w:ind w:right="63"/>
              <w:jc w:val="center"/>
              <w:rPr>
                <w:rFonts w:ascii="宋体" w:hAnsi="宋体" w:cs="宋体"/>
                <w:color w:val="auto"/>
                <w:highlight w:val="none"/>
              </w:rPr>
            </w:pPr>
            <w:r>
              <w:rPr>
                <w:rFonts w:hint="eastAsia" w:ascii="宋体" w:hAnsi="宋体" w:cs="宋体"/>
                <w:color w:val="auto"/>
                <w:highlight w:val="none"/>
              </w:rPr>
              <w:t>其他人员</w:t>
            </w:r>
          </w:p>
        </w:tc>
        <w:tc>
          <w:tcPr>
            <w:tcW w:w="1418" w:type="dxa"/>
            <w:vAlign w:val="center"/>
          </w:tcPr>
          <w:p w14:paraId="7F0CD770">
            <w:pPr>
              <w:keepNext/>
              <w:spacing w:line="360" w:lineRule="auto"/>
              <w:ind w:left="63" w:right="63" w:firstLine="420" w:firstLineChars="200"/>
              <w:rPr>
                <w:rFonts w:ascii="宋体" w:hAnsi="宋体" w:cs="宋体"/>
                <w:color w:val="auto"/>
                <w:highlight w:val="none"/>
              </w:rPr>
            </w:pPr>
          </w:p>
        </w:tc>
        <w:tc>
          <w:tcPr>
            <w:tcW w:w="1134" w:type="dxa"/>
            <w:vAlign w:val="center"/>
          </w:tcPr>
          <w:p w14:paraId="2AB1CFD0">
            <w:pPr>
              <w:keepNext/>
              <w:spacing w:line="360" w:lineRule="auto"/>
              <w:ind w:left="63" w:right="63" w:firstLine="420" w:firstLineChars="200"/>
              <w:rPr>
                <w:rFonts w:ascii="宋体" w:hAnsi="宋体" w:cs="宋体"/>
                <w:color w:val="auto"/>
                <w:highlight w:val="none"/>
              </w:rPr>
            </w:pPr>
          </w:p>
        </w:tc>
        <w:tc>
          <w:tcPr>
            <w:tcW w:w="1134" w:type="dxa"/>
            <w:vAlign w:val="center"/>
          </w:tcPr>
          <w:p w14:paraId="027E163D">
            <w:pPr>
              <w:keepNext/>
              <w:spacing w:line="360" w:lineRule="auto"/>
              <w:ind w:left="63" w:right="63" w:firstLine="420" w:firstLineChars="200"/>
              <w:rPr>
                <w:rFonts w:ascii="宋体" w:hAnsi="宋体" w:cs="宋体"/>
                <w:color w:val="auto"/>
                <w:highlight w:val="none"/>
              </w:rPr>
            </w:pPr>
          </w:p>
        </w:tc>
        <w:tc>
          <w:tcPr>
            <w:tcW w:w="4252" w:type="dxa"/>
            <w:vAlign w:val="center"/>
          </w:tcPr>
          <w:p w14:paraId="3A27D410">
            <w:pPr>
              <w:keepNext/>
              <w:spacing w:line="360" w:lineRule="auto"/>
              <w:ind w:left="63" w:right="63" w:firstLine="420" w:firstLineChars="200"/>
              <w:rPr>
                <w:rFonts w:ascii="宋体" w:hAnsi="宋体" w:cs="宋体"/>
                <w:color w:val="auto"/>
                <w:highlight w:val="none"/>
              </w:rPr>
            </w:pPr>
          </w:p>
        </w:tc>
      </w:tr>
      <w:tr w14:paraId="0793AE14">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10" w:hRule="atLeast"/>
          <w:jc w:val="center"/>
        </w:trPr>
        <w:tc>
          <w:tcPr>
            <w:tcW w:w="1871" w:type="dxa"/>
            <w:vMerge w:val="continue"/>
            <w:vAlign w:val="center"/>
          </w:tcPr>
          <w:p w14:paraId="6FAB0827">
            <w:pPr>
              <w:keepNext/>
              <w:spacing w:line="360" w:lineRule="auto"/>
              <w:ind w:left="63" w:right="63" w:firstLine="420" w:firstLineChars="200"/>
              <w:rPr>
                <w:rFonts w:ascii="宋体" w:hAnsi="宋体" w:cs="宋体"/>
                <w:color w:val="auto"/>
                <w:highlight w:val="none"/>
              </w:rPr>
            </w:pPr>
          </w:p>
        </w:tc>
        <w:tc>
          <w:tcPr>
            <w:tcW w:w="1418" w:type="dxa"/>
            <w:tcBorders>
              <w:bottom w:val="nil"/>
            </w:tcBorders>
            <w:vAlign w:val="center"/>
          </w:tcPr>
          <w:p w14:paraId="0F64A3D3">
            <w:pPr>
              <w:keepNext/>
              <w:spacing w:line="360" w:lineRule="auto"/>
              <w:ind w:left="63" w:right="63" w:firstLine="420" w:firstLineChars="200"/>
              <w:rPr>
                <w:rFonts w:ascii="宋体" w:hAnsi="宋体" w:cs="宋体"/>
                <w:color w:val="auto"/>
                <w:highlight w:val="none"/>
              </w:rPr>
            </w:pPr>
          </w:p>
        </w:tc>
        <w:tc>
          <w:tcPr>
            <w:tcW w:w="1134" w:type="dxa"/>
            <w:tcBorders>
              <w:bottom w:val="nil"/>
            </w:tcBorders>
            <w:vAlign w:val="center"/>
          </w:tcPr>
          <w:p w14:paraId="22ED9F9C">
            <w:pPr>
              <w:keepNext/>
              <w:spacing w:line="360" w:lineRule="auto"/>
              <w:ind w:left="63" w:right="63" w:firstLine="420" w:firstLineChars="200"/>
              <w:rPr>
                <w:rFonts w:ascii="宋体" w:hAnsi="宋体" w:cs="宋体"/>
                <w:color w:val="auto"/>
                <w:highlight w:val="none"/>
              </w:rPr>
            </w:pPr>
          </w:p>
        </w:tc>
        <w:tc>
          <w:tcPr>
            <w:tcW w:w="1134" w:type="dxa"/>
            <w:tcBorders>
              <w:bottom w:val="nil"/>
            </w:tcBorders>
            <w:vAlign w:val="center"/>
          </w:tcPr>
          <w:p w14:paraId="1110E1DE">
            <w:pPr>
              <w:keepNext/>
              <w:spacing w:line="360" w:lineRule="auto"/>
              <w:ind w:left="63" w:right="63" w:firstLine="420" w:firstLineChars="200"/>
              <w:rPr>
                <w:rFonts w:ascii="宋体" w:hAnsi="宋体" w:cs="宋体"/>
                <w:color w:val="auto"/>
                <w:highlight w:val="none"/>
              </w:rPr>
            </w:pPr>
          </w:p>
        </w:tc>
        <w:tc>
          <w:tcPr>
            <w:tcW w:w="4252" w:type="dxa"/>
            <w:tcBorders>
              <w:bottom w:val="nil"/>
            </w:tcBorders>
            <w:vAlign w:val="center"/>
          </w:tcPr>
          <w:p w14:paraId="4FB5ABFB">
            <w:pPr>
              <w:keepNext/>
              <w:spacing w:line="360" w:lineRule="auto"/>
              <w:ind w:left="63" w:right="63" w:firstLine="420" w:firstLineChars="200"/>
              <w:rPr>
                <w:rFonts w:ascii="宋体" w:hAnsi="宋体" w:cs="宋体"/>
                <w:color w:val="auto"/>
                <w:highlight w:val="none"/>
              </w:rPr>
            </w:pPr>
          </w:p>
        </w:tc>
      </w:tr>
      <w:tr w14:paraId="61448069">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10" w:hRule="atLeast"/>
          <w:jc w:val="center"/>
        </w:trPr>
        <w:tc>
          <w:tcPr>
            <w:tcW w:w="1871" w:type="dxa"/>
            <w:vMerge w:val="continue"/>
            <w:vAlign w:val="center"/>
          </w:tcPr>
          <w:p w14:paraId="4789EC56">
            <w:pPr>
              <w:keepNext/>
              <w:spacing w:line="360" w:lineRule="auto"/>
              <w:ind w:left="63" w:right="63" w:firstLine="420" w:firstLineChars="200"/>
              <w:rPr>
                <w:rFonts w:ascii="宋体" w:hAnsi="宋体" w:cs="宋体"/>
                <w:color w:val="auto"/>
                <w:highlight w:val="none"/>
              </w:rPr>
            </w:pPr>
          </w:p>
        </w:tc>
        <w:tc>
          <w:tcPr>
            <w:tcW w:w="1418" w:type="dxa"/>
            <w:vAlign w:val="center"/>
          </w:tcPr>
          <w:p w14:paraId="113C8C7E">
            <w:pPr>
              <w:keepNext/>
              <w:spacing w:line="360" w:lineRule="auto"/>
              <w:ind w:left="63" w:right="63" w:firstLine="420" w:firstLineChars="200"/>
              <w:rPr>
                <w:rFonts w:ascii="宋体" w:hAnsi="宋体" w:cs="宋体"/>
                <w:color w:val="auto"/>
                <w:highlight w:val="none"/>
              </w:rPr>
            </w:pPr>
          </w:p>
        </w:tc>
        <w:tc>
          <w:tcPr>
            <w:tcW w:w="1134" w:type="dxa"/>
            <w:vAlign w:val="center"/>
          </w:tcPr>
          <w:p w14:paraId="5AE66ACE">
            <w:pPr>
              <w:keepNext/>
              <w:spacing w:line="360" w:lineRule="auto"/>
              <w:ind w:left="63" w:right="63" w:firstLine="420" w:firstLineChars="200"/>
              <w:rPr>
                <w:rFonts w:ascii="宋体" w:hAnsi="宋体" w:cs="宋体"/>
                <w:color w:val="auto"/>
                <w:highlight w:val="none"/>
              </w:rPr>
            </w:pPr>
          </w:p>
        </w:tc>
        <w:tc>
          <w:tcPr>
            <w:tcW w:w="1134" w:type="dxa"/>
            <w:vAlign w:val="center"/>
          </w:tcPr>
          <w:p w14:paraId="549C410B">
            <w:pPr>
              <w:keepNext/>
              <w:spacing w:line="360" w:lineRule="auto"/>
              <w:ind w:left="63" w:right="63" w:firstLine="420" w:firstLineChars="200"/>
              <w:rPr>
                <w:rFonts w:ascii="宋体" w:hAnsi="宋体" w:cs="宋体"/>
                <w:color w:val="auto"/>
                <w:highlight w:val="none"/>
              </w:rPr>
            </w:pPr>
          </w:p>
        </w:tc>
        <w:tc>
          <w:tcPr>
            <w:tcW w:w="4252" w:type="dxa"/>
            <w:vAlign w:val="center"/>
          </w:tcPr>
          <w:p w14:paraId="09782588">
            <w:pPr>
              <w:keepNext/>
              <w:spacing w:line="360" w:lineRule="auto"/>
              <w:ind w:left="63" w:right="63" w:firstLine="420" w:firstLineChars="200"/>
              <w:rPr>
                <w:rFonts w:ascii="宋体" w:hAnsi="宋体" w:cs="宋体"/>
                <w:color w:val="auto"/>
                <w:highlight w:val="none"/>
              </w:rPr>
            </w:pPr>
          </w:p>
        </w:tc>
      </w:tr>
      <w:tr w14:paraId="65CAF00A">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10" w:hRule="atLeast"/>
          <w:jc w:val="center"/>
        </w:trPr>
        <w:tc>
          <w:tcPr>
            <w:tcW w:w="1871" w:type="dxa"/>
            <w:vMerge w:val="continue"/>
            <w:vAlign w:val="center"/>
          </w:tcPr>
          <w:p w14:paraId="1BFF2A37">
            <w:pPr>
              <w:keepNext/>
              <w:spacing w:line="360" w:lineRule="auto"/>
              <w:ind w:left="63" w:right="63" w:firstLine="420" w:firstLineChars="200"/>
              <w:rPr>
                <w:rFonts w:ascii="宋体" w:hAnsi="宋体" w:cs="宋体"/>
                <w:color w:val="auto"/>
                <w:highlight w:val="none"/>
              </w:rPr>
            </w:pPr>
          </w:p>
        </w:tc>
        <w:tc>
          <w:tcPr>
            <w:tcW w:w="1418" w:type="dxa"/>
            <w:vAlign w:val="center"/>
          </w:tcPr>
          <w:p w14:paraId="2703534D">
            <w:pPr>
              <w:keepNext/>
              <w:spacing w:line="360" w:lineRule="auto"/>
              <w:ind w:left="63" w:right="63" w:firstLine="420" w:firstLineChars="200"/>
              <w:rPr>
                <w:rFonts w:ascii="宋体" w:hAnsi="宋体" w:cs="宋体"/>
                <w:color w:val="auto"/>
                <w:highlight w:val="none"/>
              </w:rPr>
            </w:pPr>
          </w:p>
        </w:tc>
        <w:tc>
          <w:tcPr>
            <w:tcW w:w="1134" w:type="dxa"/>
            <w:vAlign w:val="center"/>
          </w:tcPr>
          <w:p w14:paraId="459F8A36">
            <w:pPr>
              <w:keepNext/>
              <w:spacing w:line="360" w:lineRule="auto"/>
              <w:ind w:left="63" w:right="63" w:firstLine="420" w:firstLineChars="200"/>
              <w:rPr>
                <w:rFonts w:ascii="宋体" w:hAnsi="宋体" w:cs="宋体"/>
                <w:color w:val="auto"/>
                <w:highlight w:val="none"/>
              </w:rPr>
            </w:pPr>
          </w:p>
        </w:tc>
        <w:tc>
          <w:tcPr>
            <w:tcW w:w="1134" w:type="dxa"/>
            <w:vAlign w:val="center"/>
          </w:tcPr>
          <w:p w14:paraId="14862046">
            <w:pPr>
              <w:keepNext/>
              <w:spacing w:line="360" w:lineRule="auto"/>
              <w:ind w:left="63" w:right="63" w:firstLine="420" w:firstLineChars="200"/>
              <w:rPr>
                <w:rFonts w:ascii="宋体" w:hAnsi="宋体" w:cs="宋体"/>
                <w:color w:val="auto"/>
                <w:highlight w:val="none"/>
              </w:rPr>
            </w:pPr>
          </w:p>
        </w:tc>
        <w:tc>
          <w:tcPr>
            <w:tcW w:w="4252" w:type="dxa"/>
            <w:vAlign w:val="center"/>
          </w:tcPr>
          <w:p w14:paraId="7890CB0F">
            <w:pPr>
              <w:keepNext/>
              <w:spacing w:line="360" w:lineRule="auto"/>
              <w:ind w:left="63" w:right="63" w:firstLine="420" w:firstLineChars="200"/>
              <w:rPr>
                <w:rFonts w:ascii="宋体" w:hAnsi="宋体" w:cs="宋体"/>
                <w:color w:val="auto"/>
                <w:highlight w:val="none"/>
              </w:rPr>
            </w:pPr>
          </w:p>
        </w:tc>
      </w:tr>
      <w:tr w14:paraId="2B823870">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10" w:hRule="atLeast"/>
          <w:jc w:val="center"/>
        </w:trPr>
        <w:tc>
          <w:tcPr>
            <w:tcW w:w="1871" w:type="dxa"/>
            <w:vMerge w:val="continue"/>
            <w:vAlign w:val="center"/>
          </w:tcPr>
          <w:p w14:paraId="3567978F">
            <w:pPr>
              <w:keepNext/>
              <w:spacing w:line="360" w:lineRule="auto"/>
              <w:ind w:left="63" w:right="63" w:firstLine="420" w:firstLineChars="200"/>
              <w:rPr>
                <w:rFonts w:ascii="宋体" w:hAnsi="宋体" w:cs="宋体"/>
                <w:color w:val="auto"/>
                <w:highlight w:val="none"/>
              </w:rPr>
            </w:pPr>
          </w:p>
        </w:tc>
        <w:tc>
          <w:tcPr>
            <w:tcW w:w="1418" w:type="dxa"/>
            <w:vAlign w:val="center"/>
          </w:tcPr>
          <w:p w14:paraId="622E2050">
            <w:pPr>
              <w:keepNext/>
              <w:spacing w:line="360" w:lineRule="auto"/>
              <w:ind w:left="63" w:right="63" w:firstLine="420" w:firstLineChars="200"/>
              <w:rPr>
                <w:rFonts w:ascii="宋体" w:hAnsi="宋体" w:cs="宋体"/>
                <w:color w:val="auto"/>
                <w:highlight w:val="none"/>
              </w:rPr>
            </w:pPr>
          </w:p>
        </w:tc>
        <w:tc>
          <w:tcPr>
            <w:tcW w:w="1134" w:type="dxa"/>
            <w:vAlign w:val="center"/>
          </w:tcPr>
          <w:p w14:paraId="1E9A9553">
            <w:pPr>
              <w:keepNext/>
              <w:spacing w:line="360" w:lineRule="auto"/>
              <w:ind w:left="63" w:right="63" w:firstLine="420" w:firstLineChars="200"/>
              <w:rPr>
                <w:rFonts w:ascii="宋体" w:hAnsi="宋体" w:cs="宋体"/>
                <w:color w:val="auto"/>
                <w:highlight w:val="none"/>
              </w:rPr>
            </w:pPr>
          </w:p>
        </w:tc>
        <w:tc>
          <w:tcPr>
            <w:tcW w:w="1134" w:type="dxa"/>
            <w:vAlign w:val="center"/>
          </w:tcPr>
          <w:p w14:paraId="2B5F5916">
            <w:pPr>
              <w:keepNext/>
              <w:spacing w:line="360" w:lineRule="auto"/>
              <w:ind w:left="63" w:right="63" w:firstLine="420" w:firstLineChars="200"/>
              <w:rPr>
                <w:rFonts w:ascii="宋体" w:hAnsi="宋体" w:cs="宋体"/>
                <w:color w:val="auto"/>
                <w:highlight w:val="none"/>
              </w:rPr>
            </w:pPr>
          </w:p>
        </w:tc>
        <w:tc>
          <w:tcPr>
            <w:tcW w:w="4252" w:type="dxa"/>
            <w:vAlign w:val="center"/>
          </w:tcPr>
          <w:p w14:paraId="03E962DC">
            <w:pPr>
              <w:keepNext/>
              <w:spacing w:line="360" w:lineRule="auto"/>
              <w:ind w:left="63" w:right="63" w:firstLine="420" w:firstLineChars="200"/>
              <w:rPr>
                <w:rFonts w:ascii="宋体" w:hAnsi="宋体" w:cs="宋体"/>
                <w:color w:val="auto"/>
                <w:highlight w:val="none"/>
              </w:rPr>
            </w:pPr>
          </w:p>
        </w:tc>
      </w:tr>
      <w:tr w14:paraId="5B2D3E60">
        <w:tblPrEx>
          <w:tblBorders>
            <w:top w:val="single" w:color="auto" w:sz="12" w:space="0"/>
            <w:left w:val="single" w:color="auto" w:sz="12" w:space="0"/>
            <w:bottom w:val="single" w:color="auto" w:sz="12" w:space="0"/>
            <w:right w:val="single" w:color="auto" w:sz="12" w:space="0"/>
            <w:insideH w:val="single" w:color="auto" w:sz="6" w:space="0"/>
            <w:insideV w:val="single" w:color="auto" w:sz="6" w:space="0"/>
          </w:tblBorders>
          <w:tblCellMar>
            <w:top w:w="0" w:type="dxa"/>
            <w:left w:w="28" w:type="dxa"/>
            <w:bottom w:w="0" w:type="dxa"/>
            <w:right w:w="28" w:type="dxa"/>
          </w:tblCellMar>
        </w:tblPrEx>
        <w:trPr>
          <w:trHeight w:val="510" w:hRule="atLeast"/>
          <w:jc w:val="center"/>
        </w:trPr>
        <w:tc>
          <w:tcPr>
            <w:tcW w:w="1871" w:type="dxa"/>
            <w:vMerge w:val="continue"/>
            <w:tcBorders>
              <w:bottom w:val="single" w:color="auto" w:sz="12" w:space="0"/>
            </w:tcBorders>
            <w:vAlign w:val="center"/>
          </w:tcPr>
          <w:p w14:paraId="3DBBE21A">
            <w:pPr>
              <w:keepNext/>
              <w:spacing w:line="360" w:lineRule="auto"/>
              <w:ind w:left="63" w:right="63" w:firstLine="420" w:firstLineChars="200"/>
              <w:rPr>
                <w:rFonts w:ascii="宋体" w:hAnsi="宋体" w:cs="宋体"/>
                <w:color w:val="auto"/>
                <w:highlight w:val="none"/>
              </w:rPr>
            </w:pPr>
          </w:p>
        </w:tc>
        <w:tc>
          <w:tcPr>
            <w:tcW w:w="1418" w:type="dxa"/>
            <w:tcBorders>
              <w:bottom w:val="single" w:color="auto" w:sz="12" w:space="0"/>
            </w:tcBorders>
            <w:vAlign w:val="center"/>
          </w:tcPr>
          <w:p w14:paraId="6BDDC8DF">
            <w:pPr>
              <w:keepNext/>
              <w:spacing w:line="360" w:lineRule="auto"/>
              <w:ind w:left="63" w:right="63" w:firstLine="420" w:firstLineChars="200"/>
              <w:rPr>
                <w:rFonts w:ascii="宋体" w:hAnsi="宋体" w:cs="宋体"/>
                <w:color w:val="auto"/>
                <w:highlight w:val="none"/>
              </w:rPr>
            </w:pPr>
          </w:p>
        </w:tc>
        <w:tc>
          <w:tcPr>
            <w:tcW w:w="1134" w:type="dxa"/>
            <w:tcBorders>
              <w:bottom w:val="single" w:color="auto" w:sz="12" w:space="0"/>
            </w:tcBorders>
            <w:vAlign w:val="center"/>
          </w:tcPr>
          <w:p w14:paraId="36701384">
            <w:pPr>
              <w:keepNext/>
              <w:spacing w:line="360" w:lineRule="auto"/>
              <w:ind w:left="63" w:right="63" w:firstLine="420" w:firstLineChars="200"/>
              <w:rPr>
                <w:rFonts w:ascii="宋体" w:hAnsi="宋体" w:cs="宋体"/>
                <w:color w:val="auto"/>
                <w:highlight w:val="none"/>
              </w:rPr>
            </w:pPr>
          </w:p>
        </w:tc>
        <w:tc>
          <w:tcPr>
            <w:tcW w:w="1134" w:type="dxa"/>
            <w:tcBorders>
              <w:bottom w:val="single" w:color="auto" w:sz="12" w:space="0"/>
            </w:tcBorders>
            <w:vAlign w:val="center"/>
          </w:tcPr>
          <w:p w14:paraId="04A97637">
            <w:pPr>
              <w:keepNext/>
              <w:spacing w:line="360" w:lineRule="auto"/>
              <w:ind w:left="63" w:right="63" w:firstLine="420" w:firstLineChars="200"/>
              <w:rPr>
                <w:rFonts w:ascii="宋体" w:hAnsi="宋体" w:cs="宋体"/>
                <w:color w:val="auto"/>
                <w:highlight w:val="none"/>
              </w:rPr>
            </w:pPr>
          </w:p>
        </w:tc>
        <w:tc>
          <w:tcPr>
            <w:tcW w:w="4252" w:type="dxa"/>
            <w:tcBorders>
              <w:bottom w:val="single" w:color="auto" w:sz="12" w:space="0"/>
            </w:tcBorders>
            <w:vAlign w:val="center"/>
          </w:tcPr>
          <w:p w14:paraId="7428C57D">
            <w:pPr>
              <w:keepNext/>
              <w:spacing w:line="360" w:lineRule="auto"/>
              <w:ind w:left="63" w:right="63" w:firstLine="420" w:firstLineChars="200"/>
              <w:rPr>
                <w:rFonts w:ascii="宋体" w:hAnsi="宋体" w:cs="宋体"/>
                <w:color w:val="auto"/>
                <w:highlight w:val="none"/>
              </w:rPr>
            </w:pPr>
          </w:p>
        </w:tc>
      </w:tr>
    </w:tbl>
    <w:p w14:paraId="71BECD5A">
      <w:pPr>
        <w:spacing w:line="360" w:lineRule="auto"/>
        <w:ind w:firstLine="420" w:firstLineChars="200"/>
        <w:rPr>
          <w:rFonts w:ascii="宋体" w:hAnsi="宋体" w:cs="宋体"/>
          <w:color w:val="auto"/>
          <w:highlight w:val="none"/>
        </w:rPr>
      </w:pPr>
    </w:p>
    <w:p w14:paraId="3FD8E5CA">
      <w:pPr>
        <w:pStyle w:val="4"/>
        <w:rPr>
          <w:rFonts w:ascii="宋体" w:hAnsi="宋体" w:cs="宋体"/>
          <w:b w:val="0"/>
          <w:bCs w:val="0"/>
          <w:color w:val="auto"/>
          <w:highlight w:val="none"/>
        </w:rPr>
      </w:pPr>
      <w:r>
        <w:rPr>
          <w:rFonts w:hint="eastAsia" w:ascii="宋体" w:hAnsi="宋体" w:cs="宋体"/>
          <w:color w:val="auto"/>
          <w:highlight w:val="none"/>
        </w:rPr>
        <w:br w:type="page"/>
      </w:r>
      <w:r>
        <w:rPr>
          <w:rFonts w:hint="eastAsia" w:ascii="宋体" w:hAnsi="宋体"/>
          <w:color w:val="auto"/>
          <w:sz w:val="24"/>
          <w:szCs w:val="24"/>
          <w:highlight w:val="none"/>
        </w:rPr>
        <w:t>附件5：</w:t>
      </w:r>
    </w:p>
    <w:p w14:paraId="7EF44607">
      <w:pPr>
        <w:spacing w:before="156" w:beforeLines="50" w:after="156" w:afterLines="50" w:line="360" w:lineRule="auto"/>
        <w:ind w:firstLine="643" w:firstLineChars="200"/>
        <w:jc w:val="center"/>
        <w:rPr>
          <w:rFonts w:ascii="宋体" w:hAnsi="宋体" w:cs="宋体"/>
          <w:b/>
          <w:color w:val="auto"/>
          <w:sz w:val="32"/>
          <w:szCs w:val="32"/>
          <w:highlight w:val="none"/>
        </w:rPr>
      </w:pPr>
      <w:r>
        <w:rPr>
          <w:rFonts w:hint="eastAsia" w:ascii="宋体" w:hAnsi="宋体" w:cs="宋体"/>
          <w:b/>
          <w:color w:val="auto"/>
          <w:sz w:val="32"/>
          <w:szCs w:val="32"/>
          <w:highlight w:val="none"/>
        </w:rPr>
        <w:t>廉政合同</w:t>
      </w:r>
    </w:p>
    <w:p w14:paraId="7C2F7DF7">
      <w:pPr>
        <w:spacing w:line="360" w:lineRule="auto"/>
        <w:ind w:right="-233" w:rightChars="-111" w:firstLine="420" w:firstLineChars="200"/>
        <w:jc w:val="left"/>
        <w:rPr>
          <w:rFonts w:ascii="宋体" w:hAnsi="宋体"/>
          <w:color w:val="auto"/>
          <w:highlight w:val="none"/>
        </w:rPr>
      </w:pPr>
      <w:r>
        <w:rPr>
          <w:rFonts w:hint="eastAsia" w:ascii="宋体" w:hAnsi="宋体" w:cs="宋体"/>
          <w:color w:val="auto"/>
          <w:highlight w:val="none"/>
        </w:rPr>
        <w:t>发包人：</w:t>
      </w:r>
      <w:r>
        <w:rPr>
          <w:rFonts w:hint="eastAsia" w:ascii="宋体" w:hAnsi="宋体" w:cs="宋体"/>
          <w:color w:val="auto"/>
          <w:highlight w:val="none"/>
          <w:u w:val="single"/>
        </w:rPr>
        <w:t xml:space="preserve"> 南通市崇川区钟秀街道办事处、南通天一置业有限公司 </w:t>
      </w:r>
    </w:p>
    <w:p w14:paraId="45005DA6">
      <w:pPr>
        <w:spacing w:line="360" w:lineRule="auto"/>
        <w:ind w:right="-233" w:rightChars="-111" w:firstLine="420" w:firstLineChars="200"/>
        <w:jc w:val="left"/>
        <w:rPr>
          <w:rFonts w:ascii="宋体" w:hAnsi="宋体"/>
          <w:color w:val="auto"/>
          <w:highlight w:val="none"/>
        </w:rPr>
      </w:pPr>
      <w:r>
        <w:rPr>
          <w:rFonts w:hint="eastAsia" w:ascii="宋体" w:hAnsi="宋体" w:cs="宋体"/>
          <w:color w:val="auto"/>
          <w:highlight w:val="none"/>
        </w:rPr>
        <w:t>承包人：</w:t>
      </w:r>
      <w:r>
        <w:rPr>
          <w:rFonts w:hint="eastAsia" w:ascii="宋体" w:hAnsi="宋体" w:cs="宋体"/>
          <w:color w:val="auto"/>
          <w:highlight w:val="none"/>
          <w:u w:val="single"/>
        </w:rPr>
        <w:t xml:space="preserve">                            </w:t>
      </w:r>
    </w:p>
    <w:p w14:paraId="3A1578F4">
      <w:pPr>
        <w:spacing w:line="360" w:lineRule="auto"/>
        <w:ind w:right="-233" w:rightChars="-111" w:firstLine="420" w:firstLineChars="200"/>
        <w:jc w:val="left"/>
        <w:rPr>
          <w:rFonts w:ascii="宋体" w:hAnsi="宋体"/>
          <w:color w:val="auto"/>
          <w:highlight w:val="none"/>
        </w:rPr>
      </w:pPr>
      <w:r>
        <w:rPr>
          <w:rFonts w:hint="eastAsia" w:ascii="宋体" w:hAnsi="宋体" w:cs="宋体"/>
          <w:color w:val="auto"/>
          <w:highlight w:val="none"/>
        </w:rPr>
        <w:t>为加强建设工程廉政建设，规范建设工程各项活动中发包人承包人双方的行为，防止谋取不正当利益的违法违纪现象的发生，保护国家、集体和当事人的合法权益，根据国家有关工程建设的法律法规和廉政建设的有关规定，订立本廉政责任书。</w:t>
      </w:r>
    </w:p>
    <w:p w14:paraId="64CE05B3">
      <w:pPr>
        <w:spacing w:line="360" w:lineRule="auto"/>
        <w:ind w:right="-233" w:rightChars="-111" w:firstLine="420" w:firstLineChars="200"/>
        <w:jc w:val="left"/>
        <w:rPr>
          <w:rFonts w:ascii="宋体" w:hAnsi="宋体"/>
          <w:color w:val="auto"/>
          <w:highlight w:val="none"/>
        </w:rPr>
      </w:pPr>
      <w:r>
        <w:rPr>
          <w:rFonts w:hint="eastAsia" w:ascii="宋体" w:hAnsi="宋体" w:cs="宋体"/>
          <w:color w:val="auto"/>
          <w:highlight w:val="none"/>
        </w:rPr>
        <w:t>一、双方的责任</w:t>
      </w:r>
    </w:p>
    <w:p w14:paraId="4EBD94CB">
      <w:pPr>
        <w:spacing w:line="360" w:lineRule="auto"/>
        <w:ind w:right="-233" w:rightChars="-111" w:firstLine="420" w:firstLineChars="200"/>
        <w:jc w:val="left"/>
        <w:rPr>
          <w:rFonts w:ascii="宋体" w:hAnsi="宋体"/>
          <w:color w:val="auto"/>
          <w:highlight w:val="none"/>
        </w:rPr>
      </w:pPr>
      <w:r>
        <w:rPr>
          <w:rFonts w:ascii="宋体" w:hAnsi="宋体" w:cs="宋体"/>
          <w:color w:val="auto"/>
          <w:highlight w:val="none"/>
        </w:rPr>
        <w:t>1.1</w:t>
      </w:r>
      <w:r>
        <w:rPr>
          <w:rFonts w:hint="eastAsia" w:ascii="宋体" w:hAnsi="宋体" w:cs="宋体"/>
          <w:color w:val="auto"/>
          <w:highlight w:val="none"/>
        </w:rPr>
        <w:t>应严格遵守国家关于建设工程的有关法律、法规，相关政策，以及廉政建设的各项规定。</w:t>
      </w:r>
    </w:p>
    <w:p w14:paraId="5A0217BF">
      <w:pPr>
        <w:spacing w:line="360" w:lineRule="auto"/>
        <w:ind w:right="-233" w:rightChars="-111" w:firstLine="420" w:firstLineChars="200"/>
        <w:jc w:val="left"/>
        <w:rPr>
          <w:rFonts w:ascii="宋体" w:hAnsi="宋体"/>
          <w:color w:val="auto"/>
          <w:highlight w:val="none"/>
        </w:rPr>
      </w:pPr>
      <w:r>
        <w:rPr>
          <w:rFonts w:ascii="宋体" w:hAnsi="宋体" w:cs="宋体"/>
          <w:color w:val="auto"/>
          <w:highlight w:val="none"/>
        </w:rPr>
        <w:t>1.2</w:t>
      </w:r>
      <w:r>
        <w:rPr>
          <w:rFonts w:hint="eastAsia" w:ascii="宋体" w:hAnsi="宋体" w:cs="宋体"/>
          <w:color w:val="auto"/>
          <w:highlight w:val="none"/>
        </w:rPr>
        <w:t>严格执行建设工程合同文件，自觉按合同办事。</w:t>
      </w:r>
    </w:p>
    <w:p w14:paraId="1D55D8B9">
      <w:pPr>
        <w:spacing w:line="360" w:lineRule="auto"/>
        <w:ind w:right="-233" w:rightChars="-111" w:firstLine="420" w:firstLineChars="200"/>
        <w:jc w:val="left"/>
        <w:rPr>
          <w:rFonts w:ascii="宋体" w:hAnsi="宋体"/>
          <w:color w:val="auto"/>
          <w:highlight w:val="none"/>
        </w:rPr>
      </w:pPr>
      <w:r>
        <w:rPr>
          <w:rFonts w:ascii="宋体" w:hAnsi="宋体" w:cs="宋体"/>
          <w:color w:val="auto"/>
          <w:highlight w:val="none"/>
        </w:rPr>
        <w:t>1.3</w:t>
      </w:r>
      <w:r>
        <w:rPr>
          <w:rFonts w:hint="eastAsia" w:ascii="宋体" w:hAnsi="宋体" w:cs="宋体"/>
          <w:color w:val="auto"/>
          <w:highlight w:val="none"/>
        </w:rPr>
        <w:t>各项活动必须坚持公开、公平、公正、诚信、透明的原则</w:t>
      </w:r>
      <w:r>
        <w:rPr>
          <w:rFonts w:ascii="宋体" w:hAnsi="宋体" w:cs="宋体"/>
          <w:color w:val="auto"/>
          <w:highlight w:val="none"/>
        </w:rPr>
        <w:t>(</w:t>
      </w:r>
      <w:r>
        <w:rPr>
          <w:rFonts w:hint="eastAsia" w:ascii="宋体" w:hAnsi="宋体" w:cs="宋体"/>
          <w:color w:val="auto"/>
          <w:highlight w:val="none"/>
        </w:rPr>
        <w:t>除法律法规另有规定者外</w:t>
      </w:r>
      <w:r>
        <w:rPr>
          <w:rFonts w:ascii="宋体" w:hAnsi="宋体" w:cs="宋体"/>
          <w:color w:val="auto"/>
          <w:highlight w:val="none"/>
        </w:rPr>
        <w:t>)</w:t>
      </w:r>
      <w:r>
        <w:rPr>
          <w:rFonts w:hint="eastAsia" w:ascii="宋体" w:hAnsi="宋体" w:cs="宋体"/>
          <w:color w:val="auto"/>
          <w:highlight w:val="none"/>
        </w:rPr>
        <w:t>，不得为获取不正当的利益，损害国家、集体和对方利益，不得违反建设工程管理的规章制度。</w:t>
      </w:r>
    </w:p>
    <w:p w14:paraId="0167FEFD">
      <w:pPr>
        <w:spacing w:line="360" w:lineRule="auto"/>
        <w:ind w:right="-233" w:rightChars="-111" w:firstLine="420" w:firstLineChars="200"/>
        <w:jc w:val="left"/>
        <w:rPr>
          <w:rFonts w:ascii="宋体" w:hAnsi="宋体"/>
          <w:color w:val="auto"/>
          <w:highlight w:val="none"/>
        </w:rPr>
      </w:pPr>
      <w:r>
        <w:rPr>
          <w:rFonts w:ascii="宋体" w:hAnsi="宋体" w:cs="宋体"/>
          <w:color w:val="auto"/>
          <w:highlight w:val="none"/>
        </w:rPr>
        <w:t>1.4</w:t>
      </w:r>
      <w:r>
        <w:rPr>
          <w:rFonts w:hint="eastAsia" w:ascii="宋体" w:hAnsi="宋体" w:cs="宋体"/>
          <w:color w:val="auto"/>
          <w:highlight w:val="none"/>
        </w:rPr>
        <w:t>发现对方在业务活动中有违规、违纪、违法行为的，应及时提醒对方，情节严重的，应向其上级主管部门或纪检监察、司法等有关机关举报。</w:t>
      </w:r>
    </w:p>
    <w:p w14:paraId="0DADD1DB">
      <w:pPr>
        <w:spacing w:line="360" w:lineRule="auto"/>
        <w:ind w:right="-233" w:rightChars="-111" w:firstLine="420" w:firstLineChars="200"/>
        <w:jc w:val="left"/>
        <w:rPr>
          <w:rFonts w:ascii="宋体" w:hAnsi="宋体"/>
          <w:color w:val="auto"/>
          <w:highlight w:val="none"/>
        </w:rPr>
      </w:pPr>
      <w:r>
        <w:rPr>
          <w:rFonts w:hint="eastAsia" w:ascii="宋体" w:hAnsi="宋体" w:cs="宋体"/>
          <w:color w:val="auto"/>
          <w:highlight w:val="none"/>
        </w:rPr>
        <w:t>二、发包人责任</w:t>
      </w:r>
    </w:p>
    <w:p w14:paraId="60587CE6">
      <w:pPr>
        <w:spacing w:line="360" w:lineRule="auto"/>
        <w:ind w:right="-233" w:rightChars="-111" w:firstLine="420" w:firstLineChars="200"/>
        <w:jc w:val="left"/>
        <w:rPr>
          <w:rFonts w:ascii="宋体" w:hAnsi="宋体"/>
          <w:color w:val="auto"/>
          <w:highlight w:val="none"/>
        </w:rPr>
      </w:pPr>
      <w:r>
        <w:rPr>
          <w:rFonts w:hint="eastAsia" w:ascii="宋体" w:hAnsi="宋体" w:cs="宋体"/>
          <w:color w:val="auto"/>
          <w:highlight w:val="none"/>
        </w:rPr>
        <w:t>发包人的领导和从事该建设工程项目的工作人员，在工程建设的事前、事中、事后应遵守以下规定：</w:t>
      </w:r>
    </w:p>
    <w:p w14:paraId="3DBC6DB1">
      <w:pPr>
        <w:spacing w:line="360" w:lineRule="auto"/>
        <w:ind w:right="-233" w:rightChars="-111" w:firstLine="420" w:firstLineChars="200"/>
        <w:jc w:val="left"/>
        <w:rPr>
          <w:rFonts w:ascii="宋体" w:hAnsi="宋体"/>
          <w:color w:val="auto"/>
          <w:highlight w:val="none"/>
        </w:rPr>
      </w:pPr>
      <w:r>
        <w:rPr>
          <w:rFonts w:ascii="宋体" w:hAnsi="宋体" w:cs="宋体"/>
          <w:color w:val="auto"/>
          <w:highlight w:val="none"/>
        </w:rPr>
        <w:t>2.1</w:t>
      </w:r>
      <w:r>
        <w:rPr>
          <w:rFonts w:hint="eastAsia" w:ascii="宋体" w:hAnsi="宋体" w:cs="宋体"/>
          <w:color w:val="auto"/>
          <w:highlight w:val="none"/>
        </w:rPr>
        <w:t>不得向承包人和相关单位索要或接受回扣、礼金、有价证券、贵重物品和好处费、感谢费等。</w:t>
      </w:r>
    </w:p>
    <w:p w14:paraId="00C8F147">
      <w:pPr>
        <w:spacing w:line="360" w:lineRule="auto"/>
        <w:ind w:right="-233" w:rightChars="-111" w:firstLine="420" w:firstLineChars="200"/>
        <w:jc w:val="left"/>
        <w:rPr>
          <w:rFonts w:ascii="宋体" w:hAnsi="宋体"/>
          <w:color w:val="auto"/>
          <w:highlight w:val="none"/>
        </w:rPr>
      </w:pPr>
      <w:r>
        <w:rPr>
          <w:rFonts w:ascii="宋体" w:hAnsi="宋体" w:cs="宋体"/>
          <w:color w:val="auto"/>
          <w:highlight w:val="none"/>
        </w:rPr>
        <w:t>2.2</w:t>
      </w:r>
      <w:r>
        <w:rPr>
          <w:rFonts w:hint="eastAsia" w:ascii="宋体" w:hAnsi="宋体" w:cs="宋体"/>
          <w:color w:val="auto"/>
          <w:highlight w:val="none"/>
        </w:rPr>
        <w:t>不得在承包人和相关单位报销任何应由发包人或个人支付的费用。</w:t>
      </w:r>
    </w:p>
    <w:p w14:paraId="37DCD954">
      <w:pPr>
        <w:spacing w:line="360" w:lineRule="auto"/>
        <w:ind w:right="-233" w:rightChars="-111" w:firstLine="420" w:firstLineChars="200"/>
        <w:jc w:val="left"/>
        <w:rPr>
          <w:rFonts w:ascii="宋体" w:hAnsi="宋体"/>
          <w:color w:val="auto"/>
          <w:highlight w:val="none"/>
        </w:rPr>
      </w:pPr>
      <w:r>
        <w:rPr>
          <w:rFonts w:ascii="宋体" w:hAnsi="宋体" w:cs="宋体"/>
          <w:color w:val="auto"/>
          <w:highlight w:val="none"/>
        </w:rPr>
        <w:t>2.3</w:t>
      </w:r>
      <w:r>
        <w:rPr>
          <w:rFonts w:hint="eastAsia" w:ascii="宋体" w:hAnsi="宋体" w:cs="宋体"/>
          <w:color w:val="auto"/>
          <w:highlight w:val="none"/>
        </w:rPr>
        <w:t>不得要求、暗示或接受承包人和相关单位为个人装修住房、婚丧嫁娶、配偶子女的工作安排以及出国</w:t>
      </w:r>
      <w:r>
        <w:rPr>
          <w:rFonts w:ascii="宋体" w:hAnsi="宋体" w:cs="宋体"/>
          <w:color w:val="auto"/>
          <w:highlight w:val="none"/>
        </w:rPr>
        <w:t>(</w:t>
      </w:r>
      <w:r>
        <w:rPr>
          <w:rFonts w:hint="eastAsia" w:ascii="宋体" w:hAnsi="宋体" w:cs="宋体"/>
          <w:color w:val="auto"/>
          <w:highlight w:val="none"/>
        </w:rPr>
        <w:t>境</w:t>
      </w:r>
      <w:r>
        <w:rPr>
          <w:rFonts w:ascii="宋体" w:hAnsi="宋体" w:cs="宋体"/>
          <w:color w:val="auto"/>
          <w:highlight w:val="none"/>
        </w:rPr>
        <w:t>)</w:t>
      </w:r>
      <w:r>
        <w:rPr>
          <w:rFonts w:hint="eastAsia" w:ascii="宋体" w:hAnsi="宋体" w:cs="宋体"/>
          <w:color w:val="auto"/>
          <w:highlight w:val="none"/>
        </w:rPr>
        <w:t>、旅游等提供方便。</w:t>
      </w:r>
    </w:p>
    <w:p w14:paraId="2E8A4F9F">
      <w:pPr>
        <w:spacing w:line="360" w:lineRule="auto"/>
        <w:ind w:right="-233" w:rightChars="-111" w:firstLine="420" w:firstLineChars="200"/>
        <w:jc w:val="left"/>
        <w:rPr>
          <w:rFonts w:ascii="宋体" w:hAnsi="宋体"/>
          <w:color w:val="auto"/>
          <w:highlight w:val="none"/>
        </w:rPr>
      </w:pPr>
      <w:r>
        <w:rPr>
          <w:rFonts w:ascii="宋体" w:hAnsi="宋体" w:cs="宋体"/>
          <w:color w:val="auto"/>
          <w:highlight w:val="none"/>
        </w:rPr>
        <w:t>2.4</w:t>
      </w:r>
      <w:r>
        <w:rPr>
          <w:rFonts w:hint="eastAsia" w:ascii="宋体" w:hAnsi="宋体" w:cs="宋体"/>
          <w:color w:val="auto"/>
          <w:highlight w:val="none"/>
        </w:rPr>
        <w:t>不得参加有可能影响公正执行公务的承包人和相关单位的宴请、健身、娱乐等活动。</w:t>
      </w:r>
    </w:p>
    <w:p w14:paraId="0B1D5F7B">
      <w:pPr>
        <w:spacing w:line="360" w:lineRule="auto"/>
        <w:ind w:right="-233" w:rightChars="-111" w:firstLine="420" w:firstLineChars="200"/>
        <w:jc w:val="left"/>
        <w:rPr>
          <w:rFonts w:ascii="宋体" w:hAnsi="宋体"/>
          <w:color w:val="auto"/>
          <w:highlight w:val="none"/>
        </w:rPr>
      </w:pPr>
      <w:r>
        <w:rPr>
          <w:rFonts w:ascii="宋体" w:hAnsi="宋体" w:cs="宋体"/>
          <w:color w:val="auto"/>
          <w:highlight w:val="none"/>
        </w:rPr>
        <w:t>2.5</w:t>
      </w:r>
      <w:r>
        <w:rPr>
          <w:rFonts w:hint="eastAsia" w:ascii="宋体" w:hAnsi="宋体" w:cs="宋体"/>
          <w:color w:val="auto"/>
          <w:highlight w:val="none"/>
        </w:rPr>
        <w:t>不得向承包人和相关单位介绍或为配偶、子女、亲属参与同发包人工程建设管理合同有关的业务活动；不得以任何理由要求承包人和相关单位使用某种产品、材料和设备。</w:t>
      </w:r>
    </w:p>
    <w:p w14:paraId="00E4A790">
      <w:pPr>
        <w:spacing w:line="360" w:lineRule="auto"/>
        <w:ind w:right="-233" w:rightChars="-111" w:firstLine="420" w:firstLineChars="200"/>
        <w:jc w:val="left"/>
        <w:rPr>
          <w:rFonts w:ascii="宋体" w:hAnsi="宋体"/>
          <w:color w:val="auto"/>
          <w:highlight w:val="none"/>
        </w:rPr>
      </w:pPr>
      <w:r>
        <w:rPr>
          <w:rFonts w:hint="eastAsia" w:ascii="宋体" w:hAnsi="宋体" w:cs="宋体"/>
          <w:color w:val="auto"/>
          <w:highlight w:val="none"/>
        </w:rPr>
        <w:t>三、承包人责任</w:t>
      </w:r>
    </w:p>
    <w:p w14:paraId="5EFCE36D">
      <w:pPr>
        <w:spacing w:line="360" w:lineRule="auto"/>
        <w:ind w:right="-233" w:rightChars="-111" w:firstLine="420" w:firstLineChars="200"/>
        <w:jc w:val="left"/>
        <w:rPr>
          <w:rFonts w:ascii="宋体" w:hAnsi="宋体"/>
          <w:color w:val="auto"/>
          <w:highlight w:val="none"/>
        </w:rPr>
      </w:pPr>
      <w:r>
        <w:rPr>
          <w:rFonts w:hint="eastAsia" w:ascii="宋体" w:hAnsi="宋体" w:cs="宋体"/>
          <w:color w:val="auto"/>
          <w:highlight w:val="none"/>
        </w:rPr>
        <w:t>应与发包人保持正常的业务交往，按照有关法律法规和程序开展业务工作，严格执行工程建设的有关方针、政策，执行工程建设强制性标准，并遵守以下规定：</w:t>
      </w:r>
    </w:p>
    <w:p w14:paraId="26ADBB92">
      <w:pPr>
        <w:spacing w:line="360" w:lineRule="auto"/>
        <w:ind w:right="-233" w:rightChars="-111" w:firstLine="420" w:firstLineChars="200"/>
        <w:jc w:val="left"/>
        <w:rPr>
          <w:rFonts w:ascii="宋体" w:hAnsi="宋体"/>
          <w:color w:val="auto"/>
          <w:highlight w:val="none"/>
        </w:rPr>
      </w:pPr>
      <w:r>
        <w:rPr>
          <w:rFonts w:ascii="宋体" w:hAnsi="宋体" w:cs="宋体"/>
          <w:color w:val="auto"/>
          <w:highlight w:val="none"/>
        </w:rPr>
        <w:t>3.1</w:t>
      </w:r>
      <w:r>
        <w:rPr>
          <w:rFonts w:hint="eastAsia" w:ascii="宋体" w:hAnsi="宋体" w:cs="宋体"/>
          <w:color w:val="auto"/>
          <w:highlight w:val="none"/>
        </w:rPr>
        <w:t>不得以任何理由向发包人及其工作人员索要、接受或赠送礼金、有价证券、贵重物品及回扣、好处费、感谢费等。</w:t>
      </w:r>
    </w:p>
    <w:p w14:paraId="72018F5A">
      <w:pPr>
        <w:spacing w:line="360" w:lineRule="auto"/>
        <w:ind w:right="-233" w:rightChars="-111" w:firstLine="420" w:firstLineChars="200"/>
        <w:jc w:val="left"/>
        <w:rPr>
          <w:rFonts w:ascii="宋体" w:hAnsi="宋体"/>
          <w:color w:val="auto"/>
          <w:highlight w:val="none"/>
        </w:rPr>
      </w:pPr>
      <w:r>
        <w:rPr>
          <w:rFonts w:ascii="宋体" w:hAnsi="宋体" w:cs="宋体"/>
          <w:color w:val="auto"/>
          <w:highlight w:val="none"/>
        </w:rPr>
        <w:t>3.2</w:t>
      </w:r>
      <w:r>
        <w:rPr>
          <w:rFonts w:hint="eastAsia" w:ascii="宋体" w:hAnsi="宋体" w:cs="宋体"/>
          <w:color w:val="auto"/>
          <w:highlight w:val="none"/>
        </w:rPr>
        <w:t>不得以任何理由为发包人和相关单位报销应由对方或个人支付的费用。</w:t>
      </w:r>
    </w:p>
    <w:p w14:paraId="40E55C31">
      <w:pPr>
        <w:spacing w:line="360" w:lineRule="auto"/>
        <w:ind w:right="-233" w:rightChars="-111" w:firstLine="420" w:firstLineChars="200"/>
        <w:jc w:val="left"/>
        <w:rPr>
          <w:rFonts w:ascii="宋体" w:hAnsi="宋体"/>
          <w:color w:val="auto"/>
          <w:highlight w:val="none"/>
        </w:rPr>
      </w:pPr>
      <w:r>
        <w:rPr>
          <w:rFonts w:ascii="宋体" w:hAnsi="宋体" w:cs="宋体"/>
          <w:color w:val="auto"/>
          <w:highlight w:val="none"/>
        </w:rPr>
        <w:t>3.3</w:t>
      </w:r>
      <w:r>
        <w:rPr>
          <w:rFonts w:hint="eastAsia" w:ascii="宋体" w:hAnsi="宋体" w:cs="宋体"/>
          <w:color w:val="auto"/>
          <w:highlight w:val="none"/>
        </w:rPr>
        <w:t>不得接受或暗示为发包人、相关单位或个人装修住房、婚丧嫁娶、配偶子女的工作安排以及出国</w:t>
      </w:r>
      <w:r>
        <w:rPr>
          <w:rFonts w:ascii="宋体" w:hAnsi="宋体" w:cs="宋体"/>
          <w:color w:val="auto"/>
          <w:highlight w:val="none"/>
        </w:rPr>
        <w:t>(</w:t>
      </w:r>
      <w:r>
        <w:rPr>
          <w:rFonts w:hint="eastAsia" w:ascii="宋体" w:hAnsi="宋体" w:cs="宋体"/>
          <w:color w:val="auto"/>
          <w:highlight w:val="none"/>
        </w:rPr>
        <w:t>境</w:t>
      </w:r>
      <w:r>
        <w:rPr>
          <w:rFonts w:ascii="宋体" w:hAnsi="宋体" w:cs="宋体"/>
          <w:color w:val="auto"/>
          <w:highlight w:val="none"/>
        </w:rPr>
        <w:t>)</w:t>
      </w:r>
      <w:r>
        <w:rPr>
          <w:rFonts w:hint="eastAsia" w:ascii="宋体" w:hAnsi="宋体" w:cs="宋体"/>
          <w:color w:val="auto"/>
          <w:highlight w:val="none"/>
        </w:rPr>
        <w:t>、旅游等提供方便。</w:t>
      </w:r>
    </w:p>
    <w:p w14:paraId="3A0E9E3D">
      <w:pPr>
        <w:spacing w:line="360" w:lineRule="auto"/>
        <w:ind w:right="-233" w:rightChars="-111" w:firstLine="420" w:firstLineChars="200"/>
        <w:jc w:val="left"/>
        <w:rPr>
          <w:rFonts w:ascii="宋体" w:hAnsi="宋体"/>
          <w:color w:val="auto"/>
          <w:highlight w:val="none"/>
        </w:rPr>
      </w:pPr>
      <w:r>
        <w:rPr>
          <w:rFonts w:ascii="宋体" w:hAnsi="宋体" w:cs="宋体"/>
          <w:color w:val="auto"/>
          <w:highlight w:val="none"/>
        </w:rPr>
        <w:t>3.4</w:t>
      </w:r>
      <w:r>
        <w:rPr>
          <w:rFonts w:hint="eastAsia" w:ascii="宋体" w:hAnsi="宋体" w:cs="宋体"/>
          <w:color w:val="auto"/>
          <w:highlight w:val="none"/>
        </w:rPr>
        <w:t>不得以任何理由为发包人、相关单位或个人组织有可能影响公正执行公务的宴请、健身、娱乐等活动。</w:t>
      </w:r>
    </w:p>
    <w:p w14:paraId="5DD96D37">
      <w:pPr>
        <w:spacing w:line="360" w:lineRule="auto"/>
        <w:ind w:right="-233" w:rightChars="-111" w:firstLine="420" w:firstLineChars="200"/>
        <w:jc w:val="left"/>
        <w:rPr>
          <w:rFonts w:ascii="宋体" w:hAnsi="宋体"/>
          <w:color w:val="auto"/>
          <w:highlight w:val="none"/>
        </w:rPr>
      </w:pPr>
      <w:r>
        <w:rPr>
          <w:rFonts w:hint="eastAsia" w:ascii="宋体" w:hAnsi="宋体" w:cs="宋体"/>
          <w:color w:val="auto"/>
          <w:highlight w:val="none"/>
        </w:rPr>
        <w:t>四、违约责任</w:t>
      </w:r>
    </w:p>
    <w:p w14:paraId="793FB5C3">
      <w:pPr>
        <w:spacing w:line="360" w:lineRule="auto"/>
        <w:ind w:right="-233" w:rightChars="-111" w:firstLine="420" w:firstLineChars="200"/>
        <w:jc w:val="left"/>
        <w:rPr>
          <w:rFonts w:ascii="宋体" w:hAnsi="宋体"/>
          <w:color w:val="auto"/>
          <w:highlight w:val="none"/>
        </w:rPr>
      </w:pPr>
      <w:r>
        <w:rPr>
          <w:rFonts w:ascii="宋体" w:hAnsi="宋体" w:cs="宋体"/>
          <w:color w:val="auto"/>
          <w:highlight w:val="none"/>
        </w:rPr>
        <w:t>4.1</w:t>
      </w:r>
      <w:r>
        <w:rPr>
          <w:rFonts w:hint="eastAsia" w:ascii="宋体" w:hAnsi="宋体" w:cs="宋体"/>
          <w:color w:val="auto"/>
          <w:highlight w:val="none"/>
        </w:rPr>
        <w:t>发包人工作人员有违反本责任书第一、二条责任行为的，依据有关法律、法规给予处理；涉嫌犯罪的，移交司法机关追究刑事责任；给承包人单位造成经济损失的，应予以赔偿。</w:t>
      </w:r>
    </w:p>
    <w:p w14:paraId="1C2CF16E">
      <w:pPr>
        <w:spacing w:line="360" w:lineRule="auto"/>
        <w:ind w:right="-233" w:rightChars="-111" w:firstLine="420" w:firstLineChars="200"/>
        <w:jc w:val="left"/>
        <w:rPr>
          <w:rFonts w:ascii="宋体" w:hAnsi="宋体"/>
          <w:color w:val="auto"/>
          <w:highlight w:val="none"/>
        </w:rPr>
      </w:pPr>
      <w:r>
        <w:rPr>
          <w:rFonts w:ascii="宋体" w:hAnsi="宋体" w:cs="宋体"/>
          <w:color w:val="auto"/>
          <w:highlight w:val="none"/>
        </w:rPr>
        <w:t>4.2</w:t>
      </w:r>
      <w:r>
        <w:rPr>
          <w:rFonts w:hint="eastAsia" w:ascii="宋体" w:hAnsi="宋体" w:cs="宋体"/>
          <w:color w:val="auto"/>
          <w:highlight w:val="none"/>
        </w:rPr>
        <w:t>承包人工作人员有违反本责任书第一、三条责任行为的，依据有关法律法规处理；涉嫌犯罪的，移交司法机关追究刑事责任；给发包人单位造成经济损失的，应予以赔偿。</w:t>
      </w:r>
    </w:p>
    <w:p w14:paraId="0336B88B">
      <w:pPr>
        <w:spacing w:line="360" w:lineRule="auto"/>
        <w:ind w:right="-233" w:rightChars="-111" w:firstLine="420" w:firstLineChars="200"/>
        <w:jc w:val="left"/>
        <w:rPr>
          <w:rFonts w:ascii="宋体" w:hAnsi="宋体"/>
          <w:color w:val="auto"/>
          <w:highlight w:val="none"/>
        </w:rPr>
      </w:pPr>
      <w:r>
        <w:rPr>
          <w:rFonts w:ascii="宋体" w:hAnsi="宋体" w:cs="宋体"/>
          <w:color w:val="auto"/>
          <w:highlight w:val="none"/>
        </w:rPr>
        <w:t>4.3</w:t>
      </w:r>
      <w:r>
        <w:rPr>
          <w:rFonts w:hint="eastAsia" w:ascii="宋体" w:hAnsi="宋体" w:cs="宋体"/>
          <w:color w:val="auto"/>
          <w:highlight w:val="none"/>
        </w:rPr>
        <w:t>本责任书作为建设工程合同的组成部分，与建设工程合同具有同等法律效力。经双方签署后立即生效。</w:t>
      </w:r>
    </w:p>
    <w:p w14:paraId="65526D15">
      <w:pPr>
        <w:spacing w:line="360" w:lineRule="auto"/>
        <w:ind w:right="-233" w:rightChars="-111" w:firstLine="420" w:firstLineChars="200"/>
        <w:jc w:val="left"/>
        <w:rPr>
          <w:rFonts w:ascii="宋体" w:hAnsi="宋体"/>
          <w:color w:val="auto"/>
          <w:highlight w:val="none"/>
        </w:rPr>
      </w:pPr>
      <w:r>
        <w:rPr>
          <w:rFonts w:hint="eastAsia" w:ascii="宋体" w:hAnsi="宋体" w:cs="宋体"/>
          <w:color w:val="auto"/>
          <w:highlight w:val="none"/>
        </w:rPr>
        <w:t>五、责任书有效期</w:t>
      </w:r>
    </w:p>
    <w:p w14:paraId="262FAE80">
      <w:pPr>
        <w:spacing w:line="360" w:lineRule="auto"/>
        <w:ind w:right="-233" w:rightChars="-111" w:firstLine="420" w:firstLineChars="200"/>
        <w:jc w:val="left"/>
        <w:rPr>
          <w:rFonts w:ascii="宋体" w:hAnsi="宋体"/>
          <w:color w:val="auto"/>
          <w:highlight w:val="none"/>
        </w:rPr>
      </w:pPr>
      <w:r>
        <w:rPr>
          <w:rFonts w:hint="eastAsia" w:ascii="宋体" w:hAnsi="宋体" w:cs="宋体"/>
          <w:color w:val="auto"/>
          <w:highlight w:val="none"/>
        </w:rPr>
        <w:t>本责任书的有效期为双方签署之日起至该工程项目竣工验收合格时止。</w:t>
      </w:r>
    </w:p>
    <w:p w14:paraId="0E463640">
      <w:pPr>
        <w:spacing w:line="360" w:lineRule="auto"/>
        <w:ind w:right="-233" w:rightChars="-111" w:firstLine="420" w:firstLineChars="200"/>
        <w:jc w:val="left"/>
        <w:rPr>
          <w:rFonts w:ascii="宋体" w:hAnsi="宋体"/>
          <w:color w:val="auto"/>
          <w:highlight w:val="none"/>
        </w:rPr>
      </w:pPr>
      <w:r>
        <w:rPr>
          <w:rFonts w:hint="eastAsia" w:ascii="宋体" w:hAnsi="宋体" w:cs="宋体"/>
          <w:color w:val="auto"/>
          <w:highlight w:val="none"/>
        </w:rPr>
        <w:t>六、责任书份数</w:t>
      </w:r>
    </w:p>
    <w:p w14:paraId="369BEF3F">
      <w:pPr>
        <w:spacing w:line="360" w:lineRule="auto"/>
        <w:ind w:right="-233" w:rightChars="-111" w:firstLine="420" w:firstLineChars="200"/>
        <w:jc w:val="left"/>
        <w:rPr>
          <w:rFonts w:ascii="宋体" w:hAnsi="宋体"/>
          <w:color w:val="auto"/>
          <w:highlight w:val="none"/>
        </w:rPr>
      </w:pPr>
      <w:r>
        <w:rPr>
          <w:rFonts w:hint="eastAsia" w:ascii="宋体" w:hAnsi="宋体" w:cs="宋体"/>
          <w:color w:val="auto"/>
          <w:highlight w:val="none"/>
        </w:rPr>
        <w:t>本责任书一式二份，发包人承包人各执一份，具有同等效力。</w:t>
      </w:r>
    </w:p>
    <w:p w14:paraId="17360DFE">
      <w:pPr>
        <w:spacing w:line="360" w:lineRule="auto"/>
        <w:ind w:right="-233" w:rightChars="-111" w:firstLine="420" w:firstLineChars="200"/>
        <w:jc w:val="left"/>
        <w:rPr>
          <w:rFonts w:ascii="宋体" w:hAnsi="宋体"/>
          <w:color w:val="auto"/>
          <w:highlight w:val="none"/>
        </w:rPr>
      </w:pPr>
    </w:p>
    <w:p w14:paraId="0FC39567">
      <w:pPr>
        <w:spacing w:line="360" w:lineRule="auto"/>
        <w:ind w:right="-233" w:rightChars="-111" w:firstLine="420" w:firstLineChars="200"/>
        <w:jc w:val="left"/>
        <w:rPr>
          <w:rFonts w:ascii="宋体" w:hAnsi="宋体" w:cs="宋体"/>
          <w:color w:val="auto"/>
          <w:highlight w:val="none"/>
        </w:rPr>
      </w:pPr>
      <w:r>
        <w:rPr>
          <w:rFonts w:hint="eastAsia" w:ascii="宋体" w:hAnsi="宋体" w:cs="宋体"/>
          <w:color w:val="auto"/>
          <w:highlight w:val="none"/>
        </w:rPr>
        <w:t>发包人：</w:t>
      </w:r>
      <w:r>
        <w:rPr>
          <w:rFonts w:ascii="宋体" w:hAnsi="宋体" w:cs="宋体"/>
          <w:color w:val="auto"/>
          <w:highlight w:val="none"/>
        </w:rPr>
        <w:t>(</w:t>
      </w:r>
      <w:r>
        <w:rPr>
          <w:rFonts w:hint="eastAsia" w:ascii="宋体" w:hAnsi="宋体" w:cs="宋体"/>
          <w:color w:val="auto"/>
          <w:highlight w:val="none"/>
        </w:rPr>
        <w:t>公章</w:t>
      </w:r>
      <w:r>
        <w:rPr>
          <w:rFonts w:ascii="宋体" w:hAnsi="宋体" w:cs="宋体"/>
          <w:color w:val="auto"/>
          <w:highlight w:val="none"/>
        </w:rPr>
        <w:t xml:space="preserve">)                       </w:t>
      </w:r>
      <w:r>
        <w:rPr>
          <w:rFonts w:hint="eastAsia" w:ascii="宋体" w:hAnsi="宋体" w:cs="宋体"/>
          <w:color w:val="auto"/>
          <w:highlight w:val="none"/>
        </w:rPr>
        <w:t xml:space="preserve"> 承包人：</w:t>
      </w:r>
      <w:r>
        <w:rPr>
          <w:rFonts w:ascii="宋体" w:hAnsi="宋体" w:cs="宋体"/>
          <w:color w:val="auto"/>
          <w:highlight w:val="none"/>
        </w:rPr>
        <w:t xml:space="preserve"> (</w:t>
      </w:r>
      <w:r>
        <w:rPr>
          <w:rFonts w:hint="eastAsia" w:ascii="宋体" w:hAnsi="宋体" w:cs="宋体"/>
          <w:color w:val="auto"/>
          <w:highlight w:val="none"/>
        </w:rPr>
        <w:t>公章</w:t>
      </w:r>
      <w:r>
        <w:rPr>
          <w:rFonts w:ascii="宋体" w:hAnsi="宋体" w:cs="宋体"/>
          <w:color w:val="auto"/>
          <w:highlight w:val="none"/>
        </w:rPr>
        <w:t>)</w:t>
      </w:r>
    </w:p>
    <w:p w14:paraId="5D4758DF">
      <w:pPr>
        <w:spacing w:line="360" w:lineRule="auto"/>
        <w:ind w:right="-233" w:rightChars="-111" w:firstLine="420" w:firstLineChars="200"/>
        <w:jc w:val="left"/>
        <w:rPr>
          <w:rFonts w:ascii="宋体" w:hAnsi="宋体" w:cs="宋体"/>
          <w:color w:val="auto"/>
          <w:highlight w:val="none"/>
        </w:rPr>
      </w:pPr>
    </w:p>
    <w:p w14:paraId="152955A8">
      <w:pPr>
        <w:spacing w:line="360" w:lineRule="auto"/>
        <w:ind w:right="-233" w:rightChars="-111" w:firstLine="420" w:firstLineChars="200"/>
        <w:jc w:val="left"/>
        <w:rPr>
          <w:rFonts w:ascii="宋体" w:hAnsi="宋体"/>
          <w:color w:val="auto"/>
          <w:highlight w:val="none"/>
        </w:rPr>
      </w:pPr>
      <w:r>
        <w:rPr>
          <w:rFonts w:hint="eastAsia" w:ascii="宋体" w:hAnsi="宋体" w:cs="宋体"/>
          <w:color w:val="auto"/>
          <w:highlight w:val="none"/>
        </w:rPr>
        <w:t>法定代表人：</w:t>
      </w:r>
      <w:r>
        <w:rPr>
          <w:rFonts w:ascii="宋体" w:hAnsi="宋体" w:cs="宋体"/>
          <w:color w:val="auto"/>
          <w:highlight w:val="none"/>
        </w:rPr>
        <w:t>(</w:t>
      </w:r>
      <w:r>
        <w:rPr>
          <w:rFonts w:hint="eastAsia" w:ascii="宋体" w:hAnsi="宋体" w:cs="宋体"/>
          <w:color w:val="auto"/>
          <w:highlight w:val="none"/>
        </w:rPr>
        <w:t>签字</w:t>
      </w:r>
      <w:r>
        <w:rPr>
          <w:rFonts w:ascii="宋体" w:hAnsi="宋体" w:cs="宋体"/>
          <w:color w:val="auto"/>
          <w:highlight w:val="none"/>
        </w:rPr>
        <w:t xml:space="preserve">)                    </w:t>
      </w:r>
      <w:r>
        <w:rPr>
          <w:rFonts w:hint="eastAsia" w:ascii="宋体" w:hAnsi="宋体" w:cs="宋体"/>
          <w:color w:val="auto"/>
          <w:highlight w:val="none"/>
        </w:rPr>
        <w:t>法定代表人：</w:t>
      </w:r>
      <w:r>
        <w:rPr>
          <w:rFonts w:ascii="宋体" w:hAnsi="宋体" w:cs="宋体"/>
          <w:color w:val="auto"/>
          <w:highlight w:val="none"/>
        </w:rPr>
        <w:t>(</w:t>
      </w:r>
      <w:r>
        <w:rPr>
          <w:rFonts w:hint="eastAsia" w:ascii="宋体" w:hAnsi="宋体" w:cs="宋体"/>
          <w:color w:val="auto"/>
          <w:highlight w:val="none"/>
        </w:rPr>
        <w:t>签字</w:t>
      </w:r>
      <w:r>
        <w:rPr>
          <w:rFonts w:ascii="宋体" w:hAnsi="宋体" w:cs="宋体"/>
          <w:color w:val="auto"/>
          <w:highlight w:val="none"/>
        </w:rPr>
        <w:t>)</w:t>
      </w:r>
    </w:p>
    <w:p w14:paraId="6DC7BE0F">
      <w:pPr>
        <w:spacing w:line="360" w:lineRule="auto"/>
        <w:ind w:right="-233" w:rightChars="-111" w:firstLine="420" w:firstLineChars="200"/>
        <w:jc w:val="left"/>
        <w:rPr>
          <w:rFonts w:ascii="宋体" w:hAnsi="宋体"/>
          <w:color w:val="auto"/>
          <w:highlight w:val="none"/>
        </w:rPr>
      </w:pPr>
      <w:r>
        <w:rPr>
          <w:rFonts w:hint="eastAsia" w:ascii="宋体" w:hAnsi="宋体" w:cs="宋体"/>
          <w:color w:val="auto"/>
          <w:highlight w:val="none"/>
        </w:rPr>
        <w:t>委托代理人：</w:t>
      </w:r>
      <w:r>
        <w:rPr>
          <w:rFonts w:ascii="宋体" w:hAnsi="宋体" w:cs="宋体"/>
          <w:color w:val="auto"/>
          <w:highlight w:val="none"/>
        </w:rPr>
        <w:t>(</w:t>
      </w:r>
      <w:r>
        <w:rPr>
          <w:rFonts w:hint="eastAsia" w:ascii="宋体" w:hAnsi="宋体" w:cs="宋体"/>
          <w:color w:val="auto"/>
          <w:highlight w:val="none"/>
        </w:rPr>
        <w:t>签字</w:t>
      </w:r>
      <w:r>
        <w:rPr>
          <w:rFonts w:ascii="宋体" w:hAnsi="宋体" w:cs="宋体"/>
          <w:color w:val="auto"/>
          <w:highlight w:val="none"/>
        </w:rPr>
        <w:t xml:space="preserve">)                   </w:t>
      </w:r>
      <w:r>
        <w:rPr>
          <w:rFonts w:hint="eastAsia" w:ascii="宋体" w:hAnsi="宋体" w:cs="宋体"/>
          <w:color w:val="auto"/>
          <w:highlight w:val="none"/>
        </w:rPr>
        <w:t xml:space="preserve"> 委托代理人：</w:t>
      </w:r>
      <w:r>
        <w:rPr>
          <w:rFonts w:ascii="宋体" w:hAnsi="宋体" w:cs="宋体"/>
          <w:color w:val="auto"/>
          <w:highlight w:val="none"/>
        </w:rPr>
        <w:t>(</w:t>
      </w:r>
      <w:r>
        <w:rPr>
          <w:rFonts w:hint="eastAsia" w:ascii="宋体" w:hAnsi="宋体" w:cs="宋体"/>
          <w:color w:val="auto"/>
          <w:highlight w:val="none"/>
        </w:rPr>
        <w:t>签字</w:t>
      </w:r>
      <w:r>
        <w:rPr>
          <w:rFonts w:ascii="宋体" w:hAnsi="宋体" w:cs="宋体"/>
          <w:color w:val="auto"/>
          <w:highlight w:val="none"/>
        </w:rPr>
        <w:t>)</w:t>
      </w:r>
    </w:p>
    <w:p w14:paraId="22D32FD9">
      <w:pPr>
        <w:spacing w:line="360" w:lineRule="auto"/>
        <w:ind w:firstLine="420" w:firstLineChars="200"/>
        <w:rPr>
          <w:rFonts w:ascii="宋体" w:hAnsi="宋体"/>
          <w:color w:val="auto"/>
          <w:highlight w:val="none"/>
        </w:rPr>
      </w:pPr>
      <w:r>
        <w:rPr>
          <w:rFonts w:hint="eastAsia" w:ascii="宋体" w:hAnsi="宋体" w:cs="宋体"/>
          <w:color w:val="auto"/>
          <w:highlight w:val="none"/>
        </w:rPr>
        <w:t>地址：                                地址：</w:t>
      </w:r>
    </w:p>
    <w:p w14:paraId="1ADF6EFA">
      <w:pPr>
        <w:spacing w:line="360" w:lineRule="auto"/>
        <w:ind w:firstLine="600" w:firstLineChars="200"/>
        <w:rPr>
          <w:rFonts w:ascii="宋体" w:hAnsi="宋体" w:cs="新宋体"/>
          <w:color w:val="auto"/>
          <w:sz w:val="30"/>
          <w:szCs w:val="30"/>
          <w:highlight w:val="none"/>
        </w:rPr>
      </w:pPr>
    </w:p>
    <w:p w14:paraId="08B129D1">
      <w:pPr>
        <w:pStyle w:val="4"/>
        <w:rPr>
          <w:rFonts w:ascii="宋体" w:hAnsi="宋体"/>
          <w:color w:val="auto"/>
          <w:sz w:val="24"/>
          <w:szCs w:val="24"/>
          <w:highlight w:val="none"/>
        </w:rPr>
      </w:pPr>
      <w:r>
        <w:rPr>
          <w:rFonts w:ascii="宋体" w:hAnsi="宋体" w:cs="宋体"/>
          <w:color w:val="auto"/>
          <w:highlight w:val="none"/>
        </w:rPr>
        <w:br w:type="page"/>
      </w:r>
      <w:r>
        <w:rPr>
          <w:rFonts w:hint="eastAsia" w:ascii="宋体" w:hAnsi="宋体"/>
          <w:color w:val="auto"/>
          <w:sz w:val="24"/>
          <w:szCs w:val="24"/>
          <w:highlight w:val="none"/>
        </w:rPr>
        <w:t>附件6：</w:t>
      </w:r>
    </w:p>
    <w:p w14:paraId="0F9DE4DC">
      <w:pPr>
        <w:spacing w:before="156" w:beforeLines="50" w:after="156" w:afterLines="50" w:line="360" w:lineRule="auto"/>
        <w:ind w:firstLine="643" w:firstLineChars="200"/>
        <w:jc w:val="center"/>
        <w:rPr>
          <w:rFonts w:ascii="宋体" w:hAnsi="宋体" w:cs="宋体"/>
          <w:b/>
          <w:color w:val="auto"/>
          <w:sz w:val="32"/>
          <w:szCs w:val="32"/>
          <w:highlight w:val="none"/>
        </w:rPr>
      </w:pPr>
      <w:r>
        <w:rPr>
          <w:rFonts w:hint="eastAsia" w:ascii="宋体" w:hAnsi="宋体" w:cs="宋体"/>
          <w:b/>
          <w:color w:val="auto"/>
          <w:sz w:val="32"/>
          <w:szCs w:val="32"/>
          <w:highlight w:val="none"/>
        </w:rPr>
        <w:t>农民工资保证承诺书</w:t>
      </w:r>
    </w:p>
    <w:p w14:paraId="37618CA9">
      <w:pPr>
        <w:spacing w:line="360" w:lineRule="auto"/>
        <w:ind w:firstLine="420" w:firstLineChars="200"/>
        <w:rPr>
          <w:rFonts w:ascii="宋体" w:hAnsi="宋体"/>
          <w:color w:val="auto"/>
          <w:highlight w:val="none"/>
        </w:rPr>
      </w:pPr>
      <w:r>
        <w:rPr>
          <w:rFonts w:hint="eastAsia" w:ascii="宋体" w:hAnsi="宋体"/>
          <w:color w:val="auto"/>
          <w:highlight w:val="none"/>
        </w:rPr>
        <w:t>为维护市场秩序和农民工合法权益，提高社会诚信度，关于“</w:t>
      </w:r>
      <w:r>
        <w:rPr>
          <w:rFonts w:hint="eastAsia" w:ascii="宋体" w:hAnsi="宋体"/>
          <w:b/>
          <w:bCs/>
          <w:color w:val="auto"/>
          <w:sz w:val="23"/>
          <w:szCs w:val="23"/>
          <w:highlight w:val="none"/>
          <w:u w:val="single"/>
        </w:rPr>
        <w:t xml:space="preserve">                        </w:t>
      </w:r>
      <w:r>
        <w:rPr>
          <w:rFonts w:hint="eastAsia" w:ascii="宋体" w:hAnsi="宋体"/>
          <w:color w:val="auto"/>
          <w:highlight w:val="none"/>
        </w:rPr>
        <w:t>”项目，我企业郑重承诺：</w:t>
      </w:r>
    </w:p>
    <w:p w14:paraId="345E06D6">
      <w:pPr>
        <w:spacing w:line="360" w:lineRule="auto"/>
        <w:ind w:firstLine="420" w:firstLineChars="200"/>
        <w:rPr>
          <w:rFonts w:ascii="宋体" w:hAnsi="宋体"/>
          <w:color w:val="auto"/>
          <w:highlight w:val="none"/>
        </w:rPr>
      </w:pPr>
      <w:r>
        <w:rPr>
          <w:rFonts w:hint="eastAsia" w:ascii="宋体" w:hAnsi="宋体"/>
          <w:color w:val="auto"/>
          <w:highlight w:val="none"/>
        </w:rPr>
        <w:t xml:space="preserve">一、严格按照《建筑法》、《劳动民法典》、《江苏省工资支付条例》、《江苏省工程建设领域农民工工资支付管理办法》、《南通市区工程建设领域农民工实名制管理实施细则》等法律、法规开展工程建设活动，做到：            </w:t>
      </w:r>
    </w:p>
    <w:p w14:paraId="1639189C">
      <w:pPr>
        <w:spacing w:line="360" w:lineRule="auto"/>
        <w:ind w:firstLine="420" w:firstLineChars="200"/>
        <w:rPr>
          <w:rFonts w:ascii="宋体" w:hAnsi="宋体"/>
          <w:color w:val="auto"/>
          <w:highlight w:val="none"/>
        </w:rPr>
      </w:pPr>
      <w:r>
        <w:rPr>
          <w:rFonts w:hint="eastAsia" w:ascii="宋体" w:hAnsi="宋体"/>
          <w:color w:val="auto"/>
          <w:highlight w:val="none"/>
        </w:rPr>
        <w:t>(一)农民工工资支付实行“谁承包谁负责，总包负总责”的原则，总承包企业对所承包工程发生的农民工工资承担全部支付责任，分包企业对分包工程发生的农民工工资承担直接支付责任。</w:t>
      </w:r>
    </w:p>
    <w:p w14:paraId="2771DC7C">
      <w:pPr>
        <w:spacing w:line="360" w:lineRule="auto"/>
        <w:ind w:firstLine="420" w:firstLineChars="200"/>
        <w:rPr>
          <w:rFonts w:ascii="宋体" w:hAnsi="宋体"/>
          <w:color w:val="auto"/>
          <w:highlight w:val="none"/>
        </w:rPr>
      </w:pPr>
      <w:r>
        <w:rPr>
          <w:rFonts w:hint="eastAsia" w:ascii="宋体" w:hAnsi="宋体"/>
          <w:color w:val="auto"/>
          <w:highlight w:val="none"/>
        </w:rPr>
        <w:t>不将工程劳务违法分包、转包给无资质的“ 包工头” 等不具备用工主体资格的组织或个人，施工企业之间依法分包工程或分包劳务的，应当签订分包合同。分包企业应当依法支付分包工程的农民工工资。分包企业未履行支付责任的，工程总承包企业对分包企业拖欠的农民工工资承担连带支付责任。</w:t>
      </w:r>
    </w:p>
    <w:p w14:paraId="56244348">
      <w:pPr>
        <w:spacing w:line="360" w:lineRule="auto"/>
        <w:ind w:firstLine="420" w:firstLineChars="200"/>
        <w:rPr>
          <w:rFonts w:ascii="宋体" w:hAnsi="宋体"/>
          <w:color w:val="auto"/>
          <w:highlight w:val="none"/>
        </w:rPr>
      </w:pPr>
      <w:r>
        <w:rPr>
          <w:rFonts w:hint="eastAsia" w:ascii="宋体" w:hAnsi="宋体"/>
          <w:color w:val="auto"/>
          <w:highlight w:val="none"/>
        </w:rPr>
        <w:t>按规定与录用的每位农民工签订《建筑企业劳动用工合同》， 明确施工内容、计价方式、工资标准、支付时间、违约责任等相关条款。为招用的农民工个人办理实名制工资银行卡，按月考核农民工工作量并编制工资支付表，经农民工本人签字确认后，交开户银行通过其设立的农民工工资专用账户直接按月足额将工资划入农民工个人银行卡。</w:t>
      </w:r>
    </w:p>
    <w:p w14:paraId="483610E0">
      <w:pPr>
        <w:spacing w:line="360" w:lineRule="auto"/>
        <w:ind w:firstLine="420" w:firstLineChars="200"/>
        <w:rPr>
          <w:rFonts w:ascii="宋体" w:hAnsi="宋体"/>
          <w:color w:val="auto"/>
          <w:highlight w:val="none"/>
        </w:rPr>
      </w:pPr>
      <w:r>
        <w:rPr>
          <w:rFonts w:hint="eastAsia" w:ascii="宋体" w:hAnsi="宋体"/>
          <w:color w:val="auto"/>
          <w:highlight w:val="none"/>
        </w:rPr>
        <w:t>(二)在工程项目部设立劳资专管员，负责该项目农民工实名制信息录入、劳动用工和工资发放监督管理。劳资专员的姓名和联系电话在“农民工维权告示牌”上予。负责本企业农民工实名制管理工作的具体实施，在工程项目开工前，应完成施工现场考勤管理设备的安装，完成从业人员基本信息上传，到项目所在地相关行政主管部门办理农民工实名制管理登记手续，在工程项目开工后对农民工进行日常考勤记录，并与我市实名制系统平台完成数据对接。</w:t>
      </w:r>
    </w:p>
    <w:p w14:paraId="5D32348B">
      <w:pPr>
        <w:spacing w:line="360" w:lineRule="auto"/>
        <w:ind w:firstLine="420" w:firstLineChars="200"/>
        <w:rPr>
          <w:rFonts w:ascii="宋体" w:hAnsi="宋体"/>
          <w:color w:val="auto"/>
          <w:highlight w:val="none"/>
        </w:rPr>
      </w:pPr>
      <w:bookmarkStart w:id="50" w:name="_Hlk85550590"/>
      <w:r>
        <w:rPr>
          <w:rFonts w:hint="eastAsia" w:ascii="宋体" w:hAnsi="宋体"/>
          <w:color w:val="auto"/>
          <w:highlight w:val="none"/>
        </w:rPr>
        <w:t>(</w:t>
      </w:r>
      <w:bookmarkEnd w:id="50"/>
      <w:r>
        <w:rPr>
          <w:rFonts w:hint="eastAsia" w:ascii="宋体" w:hAnsi="宋体"/>
          <w:color w:val="auto"/>
          <w:highlight w:val="none"/>
        </w:rPr>
        <w:t>三)农民工工资与工程款实行分账管理，在工程项目所在地银行开设农民工工资专用账户，用于支付该项目建设过程中产生的农民工工资。</w:t>
      </w:r>
      <w:r>
        <w:rPr>
          <w:rFonts w:hint="eastAsia" w:ascii="宋体" w:hAnsi="宋体"/>
          <w:color w:val="auto"/>
          <w:highlight w:val="none"/>
        </w:rPr>
        <w:br w:type="textWrapping"/>
      </w:r>
      <w:r>
        <w:rPr>
          <w:rFonts w:hint="eastAsia" w:ascii="宋体" w:hAnsi="宋体"/>
          <w:color w:val="auto"/>
          <w:highlight w:val="none"/>
        </w:rPr>
        <w:t xml:space="preserve">  </w:t>
      </w:r>
      <w:r>
        <w:rPr>
          <w:rFonts w:ascii="宋体" w:hAnsi="宋体"/>
          <w:color w:val="auto"/>
          <w:highlight w:val="none"/>
        </w:rPr>
        <w:t xml:space="preserve">  </w:t>
      </w:r>
      <w:r>
        <w:rPr>
          <w:rFonts w:hint="eastAsia" w:ascii="宋体" w:hAnsi="宋体"/>
          <w:color w:val="auto"/>
          <w:highlight w:val="none"/>
        </w:rPr>
        <w:t>(四)在工程项目开工前，按相关行政主管部门要求缴存农民工工资保证金，专项用于应急支付施工企业拖欠的农民工工资。</w:t>
      </w:r>
    </w:p>
    <w:p w14:paraId="6A16AA29">
      <w:pPr>
        <w:spacing w:line="360" w:lineRule="auto"/>
        <w:ind w:firstLine="420" w:firstLineChars="200"/>
        <w:rPr>
          <w:rFonts w:ascii="宋体" w:hAnsi="宋体"/>
          <w:color w:val="auto"/>
          <w:highlight w:val="none"/>
        </w:rPr>
      </w:pPr>
      <w:r>
        <w:rPr>
          <w:rFonts w:hint="eastAsia" w:ascii="宋体" w:hAnsi="宋体"/>
          <w:color w:val="auto"/>
          <w:highlight w:val="none"/>
        </w:rPr>
        <w:t>二、认真履行企业在清理拖欠农民工工资工作中的责任和义务，做到：</w:t>
      </w:r>
    </w:p>
    <w:p w14:paraId="028AD5CB">
      <w:pPr>
        <w:spacing w:line="360" w:lineRule="auto"/>
        <w:ind w:firstLine="420" w:firstLineChars="200"/>
        <w:rPr>
          <w:rFonts w:ascii="宋体" w:hAnsi="宋体"/>
          <w:color w:val="auto"/>
          <w:highlight w:val="none"/>
        </w:rPr>
      </w:pPr>
      <w:r>
        <w:rPr>
          <w:rFonts w:hint="eastAsia" w:ascii="宋体" w:hAnsi="宋体"/>
          <w:color w:val="auto"/>
          <w:highlight w:val="none"/>
        </w:rPr>
        <w:t>(一)对总承包工程发生的农民工工资承担全部的支付责任，对项目分包企业的农民工工资支付承担监管责任，对分包工程发生的农民工工资负有直接支付责任，对其拖欠工资且拒不支付的，由我单位先行垫付；</w:t>
      </w:r>
    </w:p>
    <w:p w14:paraId="233879A1">
      <w:pPr>
        <w:spacing w:line="360" w:lineRule="auto"/>
        <w:ind w:firstLine="420" w:firstLineChars="200"/>
        <w:rPr>
          <w:rFonts w:ascii="宋体" w:hAnsi="宋体"/>
          <w:color w:val="auto"/>
          <w:highlight w:val="none"/>
        </w:rPr>
      </w:pPr>
      <w:r>
        <w:rPr>
          <w:rFonts w:hint="eastAsia" w:ascii="宋体" w:hAnsi="宋体"/>
          <w:color w:val="auto"/>
          <w:highlight w:val="none"/>
        </w:rPr>
        <w:t>(二)坚持诚信原则，不为任何单位组织或个人开具虚假清欠证明，否则承担全部责任。</w:t>
      </w:r>
    </w:p>
    <w:p w14:paraId="489EE7C3">
      <w:pPr>
        <w:spacing w:line="360" w:lineRule="auto"/>
        <w:ind w:firstLine="420" w:firstLineChars="200"/>
        <w:rPr>
          <w:rFonts w:ascii="宋体" w:hAnsi="宋体"/>
          <w:color w:val="auto"/>
          <w:highlight w:val="none"/>
        </w:rPr>
      </w:pPr>
      <w:r>
        <w:rPr>
          <w:rFonts w:hint="eastAsia" w:ascii="宋体" w:hAnsi="宋体"/>
          <w:color w:val="auto"/>
          <w:highlight w:val="none"/>
        </w:rPr>
        <w:t>三、 严格按照《国务院办公厅关于全面治理拖欠农民工工资问题的意见》、《江苏省工程建设领域农民工工资支付管理办法》等部、省要求， 建立健全清理拖欠农民工工资应急预案， 接受发包人和交通行政主管部门监督，积极贯彻落实清欠工作。凡我单位承接的工程项目发生因拖欠农民工工资引发集体上访或群体性事件的，我单位承担全部责任，启动清欠应急预案，无条件同意发包人或交通行政主管部门动用我单位的农民工工资保证金、 未支付工程进度款、履约保证金先行垫付拖欠的农民工工资，并接受相应处罚。</w:t>
      </w:r>
    </w:p>
    <w:p w14:paraId="132DFF41">
      <w:pPr>
        <w:spacing w:line="360" w:lineRule="auto"/>
        <w:ind w:firstLine="420" w:firstLineChars="200"/>
        <w:rPr>
          <w:rFonts w:ascii="宋体" w:hAnsi="宋体"/>
          <w:color w:val="auto"/>
          <w:highlight w:val="none"/>
        </w:rPr>
      </w:pPr>
    </w:p>
    <w:p w14:paraId="66A62B2A">
      <w:pPr>
        <w:spacing w:line="360" w:lineRule="auto"/>
        <w:ind w:firstLine="420" w:firstLineChars="200"/>
        <w:rPr>
          <w:rFonts w:ascii="宋体" w:hAnsi="宋体"/>
          <w:color w:val="auto"/>
          <w:highlight w:val="none"/>
        </w:rPr>
      </w:pPr>
    </w:p>
    <w:p w14:paraId="0FD2E033">
      <w:pPr>
        <w:spacing w:line="360" w:lineRule="auto"/>
        <w:ind w:firstLine="420" w:firstLineChars="200"/>
        <w:jc w:val="center"/>
        <w:rPr>
          <w:rFonts w:ascii="宋体" w:hAnsi="宋体"/>
          <w:color w:val="auto"/>
          <w:highlight w:val="none"/>
        </w:rPr>
      </w:pPr>
      <w:r>
        <w:rPr>
          <w:rFonts w:hint="eastAsia" w:ascii="宋体" w:hAnsi="宋体"/>
          <w:color w:val="auto"/>
          <w:highlight w:val="none"/>
        </w:rPr>
        <w:t xml:space="preserve">                                                  承诺人（公章）： </w:t>
      </w:r>
    </w:p>
    <w:p w14:paraId="27EFB442">
      <w:pPr>
        <w:spacing w:line="360" w:lineRule="auto"/>
        <w:ind w:firstLine="420" w:firstLineChars="200"/>
        <w:jc w:val="center"/>
        <w:rPr>
          <w:rFonts w:ascii="宋体" w:hAnsi="宋体"/>
          <w:color w:val="auto"/>
          <w:highlight w:val="none"/>
        </w:rPr>
      </w:pPr>
      <w:r>
        <w:rPr>
          <w:rFonts w:hint="eastAsia" w:ascii="宋体" w:hAnsi="宋体"/>
          <w:color w:val="auto"/>
          <w:highlight w:val="none"/>
        </w:rPr>
        <w:t xml:space="preserve">                                      法定代表人或委托代理人(签字或盖章)：</w:t>
      </w:r>
    </w:p>
    <w:p w14:paraId="31E31681">
      <w:pPr>
        <w:spacing w:line="360" w:lineRule="auto"/>
        <w:ind w:right="105" w:firstLine="420" w:firstLineChars="200"/>
        <w:jc w:val="right"/>
        <w:rPr>
          <w:rFonts w:ascii="宋体" w:hAnsi="宋体" w:cs="宋体"/>
          <w:color w:val="auto"/>
          <w:highlight w:val="none"/>
        </w:rPr>
      </w:pPr>
      <w:r>
        <w:rPr>
          <w:rFonts w:hint="eastAsia" w:ascii="宋体" w:hAnsi="宋体"/>
          <w:color w:val="auto"/>
          <w:highlight w:val="none"/>
        </w:rPr>
        <w:t>时间：   年   月   日</w:t>
      </w:r>
    </w:p>
    <w:p w14:paraId="6FE31420">
      <w:pPr>
        <w:pStyle w:val="4"/>
        <w:rPr>
          <w:rFonts w:ascii="宋体" w:hAnsi="宋体" w:cs="宋体"/>
          <w:b w:val="0"/>
          <w:bCs w:val="0"/>
          <w:color w:val="auto"/>
          <w:highlight w:val="none"/>
        </w:rPr>
      </w:pPr>
      <w:r>
        <w:rPr>
          <w:rFonts w:hint="eastAsia" w:ascii="宋体" w:hAnsi="宋体" w:cs="宋体"/>
          <w:color w:val="auto"/>
          <w:highlight w:val="none"/>
        </w:rPr>
        <w:br w:type="page"/>
      </w:r>
      <w:r>
        <w:rPr>
          <w:rFonts w:hint="eastAsia" w:ascii="宋体" w:hAnsi="宋体"/>
          <w:color w:val="auto"/>
          <w:sz w:val="24"/>
          <w:szCs w:val="24"/>
          <w:highlight w:val="none"/>
        </w:rPr>
        <w:t>附件7：</w:t>
      </w:r>
      <w:r>
        <w:rPr>
          <w:rFonts w:hint="eastAsia" w:ascii="宋体" w:hAnsi="宋体" w:cs="宋体"/>
          <w:color w:val="auto"/>
          <w:highlight w:val="none"/>
        </w:rPr>
        <w:t xml:space="preserve">    </w:t>
      </w:r>
      <w:r>
        <w:rPr>
          <w:rFonts w:hint="eastAsia" w:ascii="宋体" w:hAnsi="宋体" w:cs="宋体"/>
          <w:b w:val="0"/>
          <w:bCs w:val="0"/>
          <w:color w:val="auto"/>
          <w:highlight w:val="none"/>
        </w:rPr>
        <w:t xml:space="preserve">          </w:t>
      </w:r>
    </w:p>
    <w:p w14:paraId="7587F17A">
      <w:pPr>
        <w:spacing w:line="360" w:lineRule="auto"/>
        <w:ind w:firstLine="643" w:firstLineChars="200"/>
        <w:jc w:val="center"/>
        <w:rPr>
          <w:rFonts w:ascii="宋体" w:hAnsi="宋体"/>
          <w:b/>
          <w:bCs/>
          <w:color w:val="auto"/>
          <w:sz w:val="32"/>
          <w:szCs w:val="32"/>
          <w:highlight w:val="none"/>
        </w:rPr>
      </w:pPr>
      <w:r>
        <w:rPr>
          <w:rFonts w:hint="eastAsia" w:ascii="宋体" w:hAnsi="宋体"/>
          <w:b/>
          <w:bCs/>
          <w:color w:val="auto"/>
          <w:sz w:val="32"/>
          <w:szCs w:val="32"/>
          <w:highlight w:val="none"/>
        </w:rPr>
        <w:t>安全生产协议书</w:t>
      </w:r>
    </w:p>
    <w:p w14:paraId="7B47DE36">
      <w:pPr>
        <w:snapToGrid w:val="0"/>
        <w:spacing w:line="360" w:lineRule="auto"/>
        <w:ind w:firstLine="420" w:firstLineChars="200"/>
        <w:jc w:val="center"/>
        <w:rPr>
          <w:rFonts w:ascii="宋体" w:hAnsi="宋体"/>
          <w:color w:val="auto"/>
          <w:highlight w:val="none"/>
        </w:rPr>
      </w:pPr>
      <w:r>
        <w:rPr>
          <w:rFonts w:hint="eastAsia" w:ascii="宋体" w:hAnsi="宋体"/>
          <w:color w:val="auto"/>
          <w:highlight w:val="none"/>
        </w:rPr>
        <w:t>（发包人与承包人）</w:t>
      </w:r>
    </w:p>
    <w:p w14:paraId="0F24B86E">
      <w:pPr>
        <w:widowControl/>
        <w:spacing w:line="360" w:lineRule="auto"/>
        <w:ind w:firstLine="420" w:firstLineChars="200"/>
        <w:rPr>
          <w:rFonts w:ascii="宋体" w:hAnsi="宋体"/>
          <w:color w:val="auto"/>
          <w:highlight w:val="none"/>
        </w:rPr>
      </w:pPr>
      <w:r>
        <w:rPr>
          <w:rFonts w:hint="eastAsia" w:ascii="宋体" w:hAnsi="宋体"/>
          <w:color w:val="auto"/>
          <w:highlight w:val="none"/>
        </w:rPr>
        <w:t>发包人：（ 以下简称“甲方” ）</w:t>
      </w:r>
      <w:r>
        <w:rPr>
          <w:rFonts w:hint="eastAsia" w:ascii="宋体" w:hAnsi="宋体" w:cs="宋体"/>
          <w:color w:val="auto"/>
          <w:highlight w:val="none"/>
          <w:u w:val="single"/>
        </w:rPr>
        <w:t xml:space="preserve"> </w:t>
      </w:r>
      <w:r>
        <w:rPr>
          <w:rFonts w:hint="eastAsia" w:ascii="宋体" w:hAnsi="宋体" w:cs="宋体"/>
          <w:color w:val="auto"/>
          <w:highlight w:val="none"/>
          <w:u w:val="single"/>
        </w:rPr>
        <w:t>南通市崇川区钟秀街道办事处、南通天一置业有限公司</w:t>
      </w:r>
      <w:r>
        <w:rPr>
          <w:rFonts w:hint="eastAsia" w:ascii="宋体" w:hAnsi="宋体" w:cs="宋体"/>
          <w:color w:val="auto"/>
          <w:highlight w:val="none"/>
          <w:u w:val="single"/>
        </w:rPr>
        <w:t xml:space="preserve">  </w:t>
      </w:r>
    </w:p>
    <w:p w14:paraId="0EC3FC5A">
      <w:pPr>
        <w:widowControl/>
        <w:spacing w:line="360" w:lineRule="auto"/>
        <w:ind w:firstLine="420" w:firstLineChars="200"/>
        <w:rPr>
          <w:rFonts w:ascii="宋体" w:hAnsi="宋体"/>
          <w:color w:val="auto"/>
          <w:highlight w:val="none"/>
          <w:u w:val="single"/>
        </w:rPr>
      </w:pPr>
      <w:r>
        <w:rPr>
          <w:rFonts w:hint="eastAsia" w:ascii="宋体" w:hAnsi="宋体"/>
          <w:color w:val="auto"/>
          <w:highlight w:val="none"/>
        </w:rPr>
        <w:t>承包人：（ 以下简称“乙方” ）</w:t>
      </w:r>
      <w:r>
        <w:rPr>
          <w:rFonts w:hint="eastAsia" w:ascii="宋体" w:hAnsi="宋体" w:cs="宋体"/>
          <w:color w:val="auto"/>
          <w:highlight w:val="none"/>
          <w:u w:val="single"/>
        </w:rPr>
        <w:t xml:space="preserve">    </w:t>
      </w:r>
      <w:r>
        <w:rPr>
          <w:rFonts w:hint="eastAsia" w:ascii="宋体" w:hAnsi="宋体"/>
          <w:color w:val="auto"/>
          <w:highlight w:val="none"/>
          <w:u w:val="single"/>
        </w:rPr>
        <w:t xml:space="preserve">                         </w:t>
      </w:r>
    </w:p>
    <w:p w14:paraId="0FB4B881">
      <w:pPr>
        <w:snapToGrid w:val="0"/>
        <w:spacing w:line="360" w:lineRule="auto"/>
        <w:ind w:firstLine="420" w:firstLineChars="200"/>
        <w:rPr>
          <w:rFonts w:ascii="宋体" w:hAnsi="宋体"/>
          <w:color w:val="auto"/>
          <w:highlight w:val="none"/>
        </w:rPr>
      </w:pPr>
      <w:r>
        <w:rPr>
          <w:rFonts w:hint="eastAsia" w:ascii="宋体" w:hAnsi="宋体"/>
          <w:color w:val="auto"/>
          <w:highlight w:val="none"/>
        </w:rPr>
        <w:t>为在施工合同的实施过程中创造安全、高效的施工环境，切实搞好本项目的安全管理工作，特此签订安全生产合同。具体如下：</w:t>
      </w:r>
    </w:p>
    <w:p w14:paraId="2316DBFF">
      <w:pPr>
        <w:snapToGrid w:val="0"/>
        <w:spacing w:line="360" w:lineRule="auto"/>
        <w:ind w:firstLine="422" w:firstLineChars="200"/>
        <w:rPr>
          <w:rFonts w:ascii="宋体" w:hAnsi="宋体"/>
          <w:b/>
          <w:color w:val="auto"/>
          <w:highlight w:val="none"/>
        </w:rPr>
      </w:pPr>
      <w:r>
        <w:rPr>
          <w:rFonts w:hint="eastAsia" w:ascii="宋体" w:hAnsi="宋体"/>
          <w:b/>
          <w:color w:val="auto"/>
          <w:highlight w:val="none"/>
        </w:rPr>
        <w:t>一、</w:t>
      </w:r>
      <w:r>
        <w:rPr>
          <w:rFonts w:hint="eastAsia" w:ascii="宋体" w:hAnsi="宋体"/>
          <w:color w:val="auto"/>
          <w:highlight w:val="none"/>
        </w:rPr>
        <w:t>甲方职责</w:t>
      </w:r>
    </w:p>
    <w:p w14:paraId="3F0282C7">
      <w:pPr>
        <w:snapToGrid w:val="0"/>
        <w:spacing w:line="360" w:lineRule="auto"/>
        <w:ind w:firstLine="420" w:firstLineChars="200"/>
        <w:rPr>
          <w:rFonts w:ascii="宋体" w:hAnsi="宋体"/>
          <w:color w:val="auto"/>
          <w:highlight w:val="none"/>
        </w:rPr>
      </w:pPr>
      <w:r>
        <w:rPr>
          <w:rFonts w:hint="eastAsia" w:ascii="宋体" w:hAnsi="宋体"/>
          <w:color w:val="auto"/>
          <w:highlight w:val="none"/>
        </w:rPr>
        <w:t>1．严格遵守国家有关安全生产的法律法规，认真执行工程承包合同中的有关安全要求。</w:t>
      </w:r>
    </w:p>
    <w:p w14:paraId="5E5FEE86">
      <w:pPr>
        <w:snapToGrid w:val="0"/>
        <w:spacing w:line="360" w:lineRule="auto"/>
        <w:ind w:firstLine="420" w:firstLineChars="200"/>
        <w:rPr>
          <w:rFonts w:ascii="宋体" w:hAnsi="宋体"/>
          <w:color w:val="auto"/>
          <w:highlight w:val="none"/>
        </w:rPr>
      </w:pPr>
      <w:r>
        <w:rPr>
          <w:rFonts w:hint="eastAsia" w:ascii="宋体" w:hAnsi="宋体"/>
          <w:color w:val="auto"/>
          <w:highlight w:val="none"/>
        </w:rPr>
        <w:t>2．按照“安全第一、预防为主”和坚持“管生产必需管安全”的原则进行安全生产管理，做到生产与安全工作同时计划、布置、检查、总结和评比。</w:t>
      </w:r>
    </w:p>
    <w:p w14:paraId="214E698B">
      <w:pPr>
        <w:snapToGrid w:val="0"/>
        <w:spacing w:line="360" w:lineRule="auto"/>
        <w:ind w:firstLine="420" w:firstLineChars="200"/>
        <w:rPr>
          <w:rFonts w:ascii="宋体" w:hAnsi="宋体"/>
          <w:color w:val="auto"/>
          <w:highlight w:val="none"/>
        </w:rPr>
      </w:pPr>
      <w:r>
        <w:rPr>
          <w:rFonts w:hint="eastAsia" w:ascii="宋体" w:hAnsi="宋体"/>
          <w:color w:val="auto"/>
          <w:highlight w:val="none"/>
        </w:rPr>
        <w:t>3．定期召开安全生产协调会，及时传达中央及地方有关安全生产的精神。</w:t>
      </w:r>
    </w:p>
    <w:p w14:paraId="5833AB52">
      <w:pPr>
        <w:snapToGrid w:val="0"/>
        <w:spacing w:line="360" w:lineRule="auto"/>
        <w:ind w:firstLine="420" w:firstLineChars="200"/>
        <w:rPr>
          <w:rFonts w:ascii="宋体" w:hAnsi="宋体"/>
          <w:color w:val="auto"/>
          <w:highlight w:val="none"/>
        </w:rPr>
      </w:pPr>
      <w:r>
        <w:rPr>
          <w:rFonts w:hint="eastAsia" w:ascii="宋体" w:hAnsi="宋体"/>
          <w:color w:val="auto"/>
          <w:highlight w:val="none"/>
        </w:rPr>
        <w:t>4．组织对乙方施工现场安全生产检查，建立安全生产责任制网络、汇总重要危险源、监督乙方及时处理发现的各种安全隐患。</w:t>
      </w:r>
    </w:p>
    <w:p w14:paraId="514060F9">
      <w:pPr>
        <w:snapToGrid w:val="0"/>
        <w:spacing w:line="360" w:lineRule="auto"/>
        <w:ind w:firstLine="422" w:firstLineChars="200"/>
        <w:rPr>
          <w:rFonts w:ascii="宋体" w:hAnsi="宋体"/>
          <w:b/>
          <w:color w:val="auto"/>
          <w:highlight w:val="none"/>
        </w:rPr>
      </w:pPr>
      <w:r>
        <w:rPr>
          <w:rFonts w:hint="eastAsia" w:ascii="宋体" w:hAnsi="宋体"/>
          <w:b/>
          <w:color w:val="auto"/>
          <w:highlight w:val="none"/>
        </w:rPr>
        <w:t>二、</w:t>
      </w:r>
      <w:r>
        <w:rPr>
          <w:rFonts w:hint="eastAsia" w:ascii="宋体" w:hAnsi="宋体"/>
          <w:color w:val="auto"/>
          <w:highlight w:val="none"/>
        </w:rPr>
        <w:t>乙方职责</w:t>
      </w:r>
    </w:p>
    <w:p w14:paraId="2DD517C9">
      <w:pPr>
        <w:snapToGrid w:val="0"/>
        <w:spacing w:line="360" w:lineRule="auto"/>
        <w:ind w:firstLine="420" w:firstLineChars="200"/>
        <w:rPr>
          <w:rFonts w:ascii="宋体" w:hAnsi="宋体"/>
          <w:color w:val="auto"/>
          <w:highlight w:val="none"/>
        </w:rPr>
      </w:pPr>
      <w:r>
        <w:rPr>
          <w:rFonts w:hint="eastAsia" w:ascii="宋体" w:hAnsi="宋体"/>
          <w:color w:val="auto"/>
          <w:highlight w:val="none"/>
        </w:rPr>
        <w:t>1．严格遵守国家有关安全生产的法律法规、有关安全生产的规定，认真执行工程承包合同中的有关安全要求，接受甲方和监理工程师对安全生产工作的指导。</w:t>
      </w:r>
    </w:p>
    <w:p w14:paraId="62FE4000">
      <w:pPr>
        <w:snapToGrid w:val="0"/>
        <w:spacing w:line="360" w:lineRule="auto"/>
        <w:ind w:firstLine="420" w:firstLineChars="200"/>
        <w:rPr>
          <w:rFonts w:ascii="宋体" w:hAnsi="宋体"/>
          <w:color w:val="auto"/>
          <w:highlight w:val="none"/>
        </w:rPr>
      </w:pPr>
      <w:r>
        <w:rPr>
          <w:rFonts w:hint="eastAsia" w:ascii="宋体" w:hAnsi="宋体"/>
          <w:color w:val="auto"/>
          <w:highlight w:val="none"/>
        </w:rPr>
        <w:t>2．坚持“安全第一、预防为主”和“管生产必须管安全”的原则，加强安全生产宣传教育，增强全员安全生产意识，建立健全各项安全生产管理制度，配备专职及兼职安全检查人员，有组织有领导地开展安全生产活动。各级领导、工程技术人员、生产管理人员和具体操作人员，必须熟悉和遵守本条款的各项规定，做到生产与安全工作同时计划、布置、检查、总结和评比。</w:t>
      </w:r>
    </w:p>
    <w:p w14:paraId="4EEA32DD">
      <w:pPr>
        <w:snapToGrid w:val="0"/>
        <w:spacing w:line="360" w:lineRule="auto"/>
        <w:ind w:firstLine="420" w:firstLineChars="200"/>
        <w:rPr>
          <w:rFonts w:ascii="宋体" w:hAnsi="宋体"/>
          <w:color w:val="auto"/>
          <w:highlight w:val="none"/>
        </w:rPr>
      </w:pPr>
      <w:r>
        <w:rPr>
          <w:rFonts w:hint="eastAsia" w:ascii="宋体" w:hAnsi="宋体"/>
          <w:color w:val="auto"/>
          <w:highlight w:val="none"/>
        </w:rPr>
        <w:t>3．建立健全安全生产责任制网络。从派往项目实施的项目经理到生产工人（包括临时雇请的民工）的安全生产管理系统必须做到纵向到底，一环不漏；各职能部门、人员的安全生产责任制做到横向到边，人人有责。施工单位的主要负责人是工程的安全生产负责人，对安全生产负领导责任，项目经理是工程的安全生产责任人，对安全生产负直接责任，专职安全员和安全员是工程现场的安全生产直接责任人，对安全生产具体负责。现场设置的安全机构，应按施工合同约定，配备安全员（其中专职安全员不少于1人），专职负责所有员工的安全和治安保卫工作及预防事故的发生。安全机构人员，有权按有关规定发布指令，并采取保护性措施防止事故发生。</w:t>
      </w:r>
    </w:p>
    <w:p w14:paraId="09AE3396">
      <w:pPr>
        <w:snapToGrid w:val="0"/>
        <w:spacing w:line="360" w:lineRule="auto"/>
        <w:ind w:firstLine="420" w:firstLineChars="200"/>
        <w:rPr>
          <w:rFonts w:ascii="宋体" w:hAnsi="宋体"/>
          <w:color w:val="auto"/>
          <w:highlight w:val="none"/>
        </w:rPr>
      </w:pPr>
      <w:r>
        <w:rPr>
          <w:rFonts w:hint="eastAsia" w:ascii="宋体" w:hAnsi="宋体"/>
          <w:color w:val="auto"/>
          <w:highlight w:val="none"/>
        </w:rPr>
        <w:t>4．乙方在任何时侯都应采取各种合理的预防措施，防止其人员发生任何违法、违禁、暴力、违规或妨碍治安的行为。</w:t>
      </w:r>
    </w:p>
    <w:p w14:paraId="7AFDB929">
      <w:pPr>
        <w:snapToGrid w:val="0"/>
        <w:spacing w:line="360" w:lineRule="auto"/>
        <w:ind w:firstLine="420" w:firstLineChars="200"/>
        <w:rPr>
          <w:rFonts w:ascii="宋体" w:hAnsi="宋体"/>
          <w:color w:val="auto"/>
          <w:highlight w:val="none"/>
        </w:rPr>
      </w:pPr>
      <w:r>
        <w:rPr>
          <w:rFonts w:hint="eastAsia" w:ascii="宋体" w:hAnsi="宋体"/>
          <w:color w:val="auto"/>
          <w:highlight w:val="none"/>
        </w:rPr>
        <w:t>5．乙方必须具有省部级行政主管部门颁发的安全生产证书，参加施工的人员，必须按受安全技术教育，熟知和遵守本工程的各项安全技术操作规程，定期进行安全技术考核，合格者方准上岗操作，对于从事机动车驾驶、电气、起重、建筑登高架设作业、焊接等特殊工程的人员须持证上岗。施工现场如发现无证操作现象时，项目经理必须承担管理责任。</w:t>
      </w:r>
    </w:p>
    <w:p w14:paraId="72B55885">
      <w:pPr>
        <w:snapToGrid w:val="0"/>
        <w:spacing w:line="360" w:lineRule="auto"/>
        <w:ind w:firstLine="420" w:firstLineChars="200"/>
        <w:rPr>
          <w:rFonts w:ascii="宋体" w:hAnsi="宋体"/>
          <w:color w:val="auto"/>
          <w:highlight w:val="none"/>
        </w:rPr>
      </w:pPr>
      <w:r>
        <w:rPr>
          <w:rFonts w:hint="eastAsia" w:ascii="宋体" w:hAnsi="宋体"/>
          <w:color w:val="auto"/>
          <w:highlight w:val="none"/>
        </w:rPr>
        <w:t>6．加强施工中交通运输安全管理，各种运输机械等需划定运输路线行驶。</w:t>
      </w:r>
    </w:p>
    <w:p w14:paraId="3211E59F">
      <w:pPr>
        <w:snapToGrid w:val="0"/>
        <w:spacing w:line="360" w:lineRule="auto"/>
        <w:ind w:firstLine="420" w:firstLineChars="200"/>
        <w:rPr>
          <w:rFonts w:ascii="宋体" w:hAnsi="宋体"/>
          <w:color w:val="auto"/>
          <w:highlight w:val="none"/>
        </w:rPr>
      </w:pPr>
      <w:r>
        <w:rPr>
          <w:rFonts w:hint="eastAsia" w:ascii="宋体" w:hAnsi="宋体"/>
          <w:color w:val="auto"/>
          <w:highlight w:val="none"/>
        </w:rPr>
        <w:t>7．对于易燃易爆的材料除应专门有效封闭、妥善保管之外，还应配备有足够的消防设施，所有施工人员都应熟悉消防设备的性能和使用方法。</w:t>
      </w:r>
    </w:p>
    <w:p w14:paraId="73A2CF9D">
      <w:pPr>
        <w:snapToGrid w:val="0"/>
        <w:spacing w:line="360" w:lineRule="auto"/>
        <w:ind w:firstLine="420" w:firstLineChars="200"/>
        <w:rPr>
          <w:rFonts w:ascii="宋体" w:hAnsi="宋体"/>
          <w:color w:val="auto"/>
          <w:highlight w:val="none"/>
        </w:rPr>
      </w:pPr>
      <w:r>
        <w:rPr>
          <w:rFonts w:hint="eastAsia" w:ascii="宋体" w:hAnsi="宋体"/>
          <w:color w:val="auto"/>
          <w:highlight w:val="none"/>
        </w:rPr>
        <w:t>8．操作人员上岗，必须按规定穿戴防护用品。施工负责人和安全检查员应随时检查劳动防护用品的穿戴情况，不按规定穿戴防护用品的人员不得上岗。</w:t>
      </w:r>
    </w:p>
    <w:p w14:paraId="4803A57B">
      <w:pPr>
        <w:snapToGrid w:val="0"/>
        <w:spacing w:line="360" w:lineRule="auto"/>
        <w:ind w:firstLine="420" w:firstLineChars="200"/>
        <w:rPr>
          <w:rFonts w:ascii="宋体" w:hAnsi="宋体"/>
          <w:color w:val="auto"/>
          <w:highlight w:val="none"/>
        </w:rPr>
      </w:pPr>
      <w:r>
        <w:rPr>
          <w:rFonts w:hint="eastAsia" w:ascii="宋体" w:hAnsi="宋体"/>
          <w:color w:val="auto"/>
          <w:highlight w:val="none"/>
        </w:rPr>
        <w:t>9．所有施工机具、设备和劳动保护用品应具备有效的安检合格证明，并经安全员签字同意后方可使用，施工期间应定期检查，保证其处于完好状态；不合格的机具、设备和劳动保护用品严禁使用。</w:t>
      </w:r>
    </w:p>
    <w:p w14:paraId="4EF04BCE">
      <w:pPr>
        <w:snapToGrid w:val="0"/>
        <w:spacing w:line="360" w:lineRule="auto"/>
        <w:ind w:firstLine="420" w:firstLineChars="200"/>
        <w:rPr>
          <w:rFonts w:ascii="宋体" w:hAnsi="宋体"/>
          <w:color w:val="auto"/>
          <w:highlight w:val="none"/>
        </w:rPr>
      </w:pPr>
      <w:r>
        <w:rPr>
          <w:rFonts w:hint="eastAsia" w:ascii="宋体" w:hAnsi="宋体"/>
          <w:color w:val="auto"/>
          <w:highlight w:val="none"/>
        </w:rPr>
        <w:t>10．施工现场必须具有相关的安全标志牌。</w:t>
      </w:r>
    </w:p>
    <w:p w14:paraId="7398FBCB">
      <w:pPr>
        <w:snapToGrid w:val="0"/>
        <w:spacing w:line="360" w:lineRule="auto"/>
        <w:ind w:firstLine="420" w:firstLineChars="200"/>
        <w:rPr>
          <w:rFonts w:ascii="宋体" w:hAnsi="宋体"/>
          <w:color w:val="auto"/>
          <w:highlight w:val="none"/>
        </w:rPr>
      </w:pPr>
      <w:r>
        <w:rPr>
          <w:rFonts w:hint="eastAsia" w:ascii="宋体" w:hAnsi="宋体"/>
          <w:color w:val="auto"/>
          <w:highlight w:val="none"/>
        </w:rPr>
        <w:t>11．建立主要危险源备案制度，要明确潜在隐患、防范措施和落实责任人。</w:t>
      </w:r>
    </w:p>
    <w:p w14:paraId="4F009268">
      <w:pPr>
        <w:snapToGrid w:val="0"/>
        <w:spacing w:line="360" w:lineRule="auto"/>
        <w:ind w:firstLine="420" w:firstLineChars="200"/>
        <w:rPr>
          <w:rFonts w:ascii="宋体" w:hAnsi="宋体"/>
          <w:color w:val="auto"/>
          <w:highlight w:val="none"/>
        </w:rPr>
      </w:pPr>
      <w:r>
        <w:rPr>
          <w:rFonts w:hint="eastAsia" w:ascii="宋体" w:hAnsi="宋体"/>
          <w:color w:val="auto"/>
          <w:highlight w:val="none"/>
        </w:rPr>
        <w:t>12．乙方必须按照本工程项目特点，组织制定本工程实施中的生产安全事故应急救援预案；如果发生安全事故，应按照《国务院关于特大安全事故行政责任追究的规定》以及其它有关规定，及时上报有关部门，并坚持“三不放过”的原则，严肃处理相关责任人。</w:t>
      </w:r>
    </w:p>
    <w:p w14:paraId="63FD7CC4">
      <w:pPr>
        <w:snapToGrid w:val="0"/>
        <w:spacing w:line="360" w:lineRule="auto"/>
        <w:ind w:firstLine="422" w:firstLineChars="200"/>
        <w:rPr>
          <w:rFonts w:ascii="宋体" w:hAnsi="宋体"/>
          <w:b/>
          <w:color w:val="auto"/>
          <w:highlight w:val="none"/>
        </w:rPr>
      </w:pPr>
      <w:r>
        <w:rPr>
          <w:rFonts w:hint="eastAsia" w:ascii="宋体" w:hAnsi="宋体"/>
          <w:b/>
          <w:color w:val="auto"/>
          <w:highlight w:val="none"/>
        </w:rPr>
        <w:t>三、</w:t>
      </w:r>
      <w:r>
        <w:rPr>
          <w:rFonts w:hint="eastAsia" w:ascii="宋体" w:hAnsi="宋体"/>
          <w:color w:val="auto"/>
          <w:highlight w:val="none"/>
        </w:rPr>
        <w:t>违约责任</w:t>
      </w:r>
    </w:p>
    <w:p w14:paraId="0EA85501">
      <w:pPr>
        <w:snapToGrid w:val="0"/>
        <w:spacing w:line="360" w:lineRule="auto"/>
        <w:ind w:firstLine="420" w:firstLineChars="200"/>
        <w:rPr>
          <w:rFonts w:ascii="宋体" w:hAnsi="宋体"/>
          <w:color w:val="auto"/>
          <w:highlight w:val="none"/>
        </w:rPr>
      </w:pPr>
      <w:r>
        <w:rPr>
          <w:rFonts w:hint="eastAsia" w:ascii="宋体" w:hAnsi="宋体"/>
          <w:color w:val="auto"/>
          <w:highlight w:val="none"/>
        </w:rPr>
        <w:t>如因甲方或乙方违约造成安全事故，将报请有关部门依法追究责任。</w:t>
      </w:r>
    </w:p>
    <w:p w14:paraId="6AD1CD1F">
      <w:pPr>
        <w:snapToGrid w:val="0"/>
        <w:spacing w:line="360" w:lineRule="auto"/>
        <w:ind w:firstLine="420" w:firstLineChars="200"/>
        <w:rPr>
          <w:rFonts w:ascii="宋体" w:hAnsi="宋体"/>
          <w:color w:val="auto"/>
          <w:highlight w:val="none"/>
        </w:rPr>
      </w:pPr>
      <w:r>
        <w:rPr>
          <w:rFonts w:hint="eastAsia" w:ascii="宋体" w:hAnsi="宋体"/>
          <w:color w:val="auto"/>
          <w:highlight w:val="none"/>
        </w:rPr>
        <w:t>本合同一式二份，由双方法定代表人或其授权的代理人签署和加盖公章后生效，全部工程竣工验收后失效。</w:t>
      </w:r>
    </w:p>
    <w:p w14:paraId="0DB6FC3A">
      <w:pPr>
        <w:snapToGrid w:val="0"/>
        <w:spacing w:line="360" w:lineRule="auto"/>
        <w:ind w:firstLine="420" w:firstLineChars="200"/>
        <w:rPr>
          <w:rFonts w:ascii="宋体" w:hAnsi="宋体"/>
          <w:color w:val="auto"/>
          <w:highlight w:val="none"/>
        </w:rPr>
      </w:pPr>
    </w:p>
    <w:p w14:paraId="3FF6E828">
      <w:pPr>
        <w:snapToGrid w:val="0"/>
        <w:spacing w:line="360" w:lineRule="auto"/>
        <w:ind w:firstLine="420" w:firstLineChars="200"/>
        <w:rPr>
          <w:rFonts w:ascii="宋体" w:hAnsi="宋体"/>
          <w:color w:val="auto"/>
          <w:highlight w:val="none"/>
        </w:rPr>
      </w:pPr>
      <w:r>
        <w:rPr>
          <w:rFonts w:hint="eastAsia" w:ascii="宋体" w:hAnsi="宋体"/>
          <w:color w:val="auto"/>
          <w:highlight w:val="none"/>
        </w:rPr>
        <w:t xml:space="preserve">甲      方：                         乙    方：                     </w:t>
      </w:r>
    </w:p>
    <w:p w14:paraId="7E350B03">
      <w:pPr>
        <w:snapToGrid w:val="0"/>
        <w:spacing w:line="360" w:lineRule="auto"/>
        <w:ind w:firstLine="420" w:firstLineChars="200"/>
        <w:rPr>
          <w:rFonts w:ascii="宋体" w:hAnsi="宋体"/>
          <w:color w:val="auto"/>
          <w:highlight w:val="none"/>
        </w:rPr>
      </w:pPr>
      <w:r>
        <w:rPr>
          <w:rFonts w:hint="eastAsia" w:ascii="宋体" w:hAnsi="宋体"/>
          <w:color w:val="auto"/>
          <w:highlight w:val="none"/>
        </w:rPr>
        <w:t>法定代表人（或授权代理人）：         法定代表人（或授权代理人）：</w:t>
      </w:r>
    </w:p>
    <w:p w14:paraId="53F4730A">
      <w:pPr>
        <w:snapToGrid w:val="0"/>
        <w:spacing w:line="360" w:lineRule="auto"/>
        <w:ind w:firstLine="420" w:firstLineChars="200"/>
        <w:rPr>
          <w:rFonts w:ascii="宋体" w:hAnsi="宋体"/>
          <w:color w:val="auto"/>
          <w:highlight w:val="none"/>
        </w:rPr>
      </w:pPr>
      <w:r>
        <w:rPr>
          <w:rFonts w:hint="eastAsia" w:ascii="宋体" w:hAnsi="宋体"/>
          <w:color w:val="auto"/>
          <w:highlight w:val="none"/>
        </w:rPr>
        <w:t xml:space="preserve">地       址：                        地     址：             </w:t>
      </w:r>
    </w:p>
    <w:p w14:paraId="63EE37B3">
      <w:pPr>
        <w:snapToGrid w:val="0"/>
        <w:spacing w:line="360" w:lineRule="auto"/>
        <w:ind w:firstLine="420" w:firstLineChars="200"/>
        <w:rPr>
          <w:rFonts w:ascii="宋体" w:hAnsi="宋体"/>
          <w:color w:val="auto"/>
          <w:highlight w:val="none"/>
        </w:rPr>
      </w:pPr>
      <w:r>
        <w:rPr>
          <w:rFonts w:hint="eastAsia" w:ascii="宋体" w:hAnsi="宋体"/>
          <w:color w:val="auto"/>
          <w:highlight w:val="none"/>
        </w:rPr>
        <w:t xml:space="preserve">电       话：                        电     话：              </w:t>
      </w:r>
    </w:p>
    <w:p w14:paraId="44DBAB8A">
      <w:pPr>
        <w:snapToGrid w:val="0"/>
        <w:spacing w:line="360" w:lineRule="auto"/>
        <w:ind w:firstLine="420" w:firstLineChars="200"/>
        <w:rPr>
          <w:rFonts w:ascii="宋体" w:hAnsi="宋体"/>
          <w:color w:val="auto"/>
          <w:highlight w:val="none"/>
        </w:rPr>
      </w:pPr>
    </w:p>
    <w:p w14:paraId="3A509AFC">
      <w:pPr>
        <w:snapToGrid w:val="0"/>
        <w:spacing w:line="360" w:lineRule="auto"/>
        <w:ind w:firstLine="420" w:firstLineChars="200"/>
        <w:rPr>
          <w:rFonts w:ascii="宋体" w:hAnsi="宋体"/>
          <w:color w:val="auto"/>
          <w:highlight w:val="none"/>
        </w:rPr>
      </w:pPr>
      <w:r>
        <w:rPr>
          <w:rFonts w:hint="eastAsia" w:ascii="宋体" w:hAnsi="宋体"/>
          <w:color w:val="auto"/>
          <w:highlight w:val="none"/>
        </w:rPr>
        <w:t>日     期：    年   月    日</w:t>
      </w:r>
    </w:p>
    <w:p w14:paraId="415684D2">
      <w:pPr>
        <w:spacing w:line="360" w:lineRule="auto"/>
        <w:ind w:firstLine="640" w:firstLineChars="200"/>
        <w:jc w:val="center"/>
        <w:rPr>
          <w:rFonts w:ascii="宋体" w:hAnsi="宋体" w:cs="宋体"/>
          <w:color w:val="auto"/>
          <w:sz w:val="32"/>
          <w:szCs w:val="32"/>
          <w:highlight w:val="none"/>
        </w:rPr>
      </w:pPr>
    </w:p>
    <w:p w14:paraId="2F324CDF">
      <w:pPr>
        <w:spacing w:line="360" w:lineRule="auto"/>
        <w:ind w:firstLine="640" w:firstLineChars="200"/>
        <w:jc w:val="center"/>
        <w:rPr>
          <w:rFonts w:ascii="宋体" w:hAnsi="宋体" w:cs="宋体"/>
          <w:color w:val="auto"/>
          <w:sz w:val="32"/>
          <w:szCs w:val="32"/>
          <w:highlight w:val="none"/>
        </w:rPr>
      </w:pPr>
    </w:p>
    <w:p w14:paraId="37BBE606">
      <w:pPr>
        <w:pStyle w:val="4"/>
        <w:rPr>
          <w:rFonts w:ascii="宋体" w:hAnsi="宋体"/>
          <w:color w:val="auto"/>
          <w:sz w:val="24"/>
          <w:szCs w:val="24"/>
          <w:highlight w:val="none"/>
        </w:rPr>
      </w:pPr>
      <w:r>
        <w:rPr>
          <w:rFonts w:ascii="宋体" w:hAnsi="宋体" w:cs="宋体"/>
          <w:b w:val="0"/>
          <w:color w:val="auto"/>
          <w:highlight w:val="none"/>
        </w:rPr>
        <w:br w:type="page"/>
      </w:r>
      <w:r>
        <w:rPr>
          <w:rFonts w:hint="eastAsia" w:ascii="宋体" w:hAnsi="宋体"/>
          <w:color w:val="auto"/>
          <w:sz w:val="24"/>
          <w:szCs w:val="24"/>
          <w:highlight w:val="none"/>
        </w:rPr>
        <w:t>附件8：</w:t>
      </w:r>
    </w:p>
    <w:p w14:paraId="3E7433F2">
      <w:pPr>
        <w:spacing w:line="360" w:lineRule="auto"/>
        <w:jc w:val="center"/>
        <w:rPr>
          <w:rFonts w:ascii="宋体" w:hAnsi="宋体" w:cs="宋体"/>
          <w:b/>
          <w:color w:val="auto"/>
          <w:sz w:val="32"/>
          <w:szCs w:val="32"/>
          <w:highlight w:val="none"/>
        </w:rPr>
      </w:pPr>
      <w:r>
        <w:rPr>
          <w:rFonts w:hint="eastAsia" w:ascii="宋体" w:hAnsi="宋体" w:cs="宋体"/>
          <w:b/>
          <w:color w:val="auto"/>
          <w:sz w:val="32"/>
          <w:szCs w:val="32"/>
          <w:highlight w:val="none"/>
        </w:rPr>
        <w:t>工程质量保修书</w:t>
      </w:r>
    </w:p>
    <w:p w14:paraId="23C28DDA">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发包人：</w:t>
      </w:r>
      <w:r>
        <w:rPr>
          <w:rFonts w:hint="eastAsia" w:ascii="宋体" w:hAnsi="宋体" w:cs="宋体"/>
          <w:b/>
          <w:color w:val="auto"/>
          <w:highlight w:val="none"/>
          <w:u w:val="single"/>
        </w:rPr>
        <w:t xml:space="preserve"> </w:t>
      </w:r>
      <w:r>
        <w:rPr>
          <w:rFonts w:hint="eastAsia" w:ascii="宋体" w:hAnsi="宋体" w:cs="宋体"/>
          <w:color w:val="auto"/>
          <w:highlight w:val="none"/>
          <w:u w:val="single"/>
        </w:rPr>
        <w:t>南通市崇川区钟秀街道办事处、南通天一置业有限公司</w:t>
      </w:r>
      <w:r>
        <w:rPr>
          <w:rFonts w:hint="eastAsia" w:ascii="宋体" w:hAnsi="宋体" w:cs="宋体"/>
          <w:b/>
          <w:bCs/>
          <w:color w:val="auto"/>
          <w:spacing w:val="-4"/>
          <w:highlight w:val="none"/>
          <w:u w:val="single"/>
        </w:rPr>
        <w:t xml:space="preserve">  </w:t>
      </w:r>
    </w:p>
    <w:p w14:paraId="79C8A322">
      <w:pPr>
        <w:spacing w:line="360" w:lineRule="auto"/>
        <w:ind w:firstLine="420" w:firstLineChars="200"/>
        <w:rPr>
          <w:rFonts w:ascii="宋体" w:hAnsi="宋体" w:cs="宋体"/>
          <w:color w:val="auto"/>
          <w:highlight w:val="none"/>
          <w:u w:val="single"/>
        </w:rPr>
      </w:pPr>
      <w:r>
        <w:rPr>
          <w:rFonts w:hint="eastAsia" w:ascii="宋体" w:hAnsi="宋体" w:cs="宋体"/>
          <w:color w:val="auto"/>
          <w:highlight w:val="none"/>
        </w:rPr>
        <w:t>承包人：</w:t>
      </w:r>
      <w:r>
        <w:rPr>
          <w:rFonts w:hint="eastAsia" w:ascii="宋体" w:hAnsi="宋体" w:cs="宋体"/>
          <w:color w:val="auto"/>
          <w:highlight w:val="none"/>
          <w:u w:val="single"/>
        </w:rPr>
        <w:t xml:space="preserve"> </w:t>
      </w:r>
      <w:r>
        <w:rPr>
          <w:rFonts w:hint="eastAsia" w:ascii="宋体" w:hAnsi="宋体" w:cs="宋体"/>
          <w:b/>
          <w:color w:val="auto"/>
          <w:highlight w:val="none"/>
          <w:u w:val="single"/>
        </w:rPr>
        <w:t xml:space="preserve">                           </w:t>
      </w:r>
      <w:r>
        <w:rPr>
          <w:rFonts w:hint="eastAsia" w:ascii="宋体" w:hAnsi="宋体" w:cs="宋体"/>
          <w:color w:val="auto"/>
          <w:highlight w:val="none"/>
          <w:u w:val="single"/>
        </w:rPr>
        <w:t xml:space="preserve">    </w:t>
      </w:r>
    </w:p>
    <w:p w14:paraId="21273F5F">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发包人、承包人根据《中华人民共和国建筑法》、《建设工程质量管理条例》和《房屋建筑工程质量保修办法》，经协商一致，对</w:t>
      </w:r>
      <w:r>
        <w:rPr>
          <w:rFonts w:hint="eastAsia" w:ascii="宋体" w:hAnsi="宋体" w:cs="宋体"/>
          <w:color w:val="auto"/>
          <w:highlight w:val="none"/>
          <w:u w:val="single"/>
        </w:rPr>
        <w:t xml:space="preserve">                         </w:t>
      </w:r>
      <w:r>
        <w:rPr>
          <w:rFonts w:hint="eastAsia" w:ascii="宋体" w:hAnsi="宋体" w:cs="宋体"/>
          <w:color w:val="auto"/>
          <w:highlight w:val="none"/>
        </w:rPr>
        <w:t>标段签订工程质量保修书。</w:t>
      </w:r>
    </w:p>
    <w:p w14:paraId="79B6E844">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一、工程质量保修范围和内容</w:t>
      </w:r>
    </w:p>
    <w:p w14:paraId="78F960DA">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　承包人在质量保修期内，按照有关法律规定和合同约定，承担工程质量保修责任。</w:t>
      </w:r>
    </w:p>
    <w:p w14:paraId="1205779F">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　质量保修范围包括地基基础工程、主体结构工程，屋面防水工程、有防水要求的卫生间、房间和外墙面的防渗漏，供热与供冷系统，电气管线、给排水管道、设备安装和装修工程，以及双方约定的其他项目。具体保修的内容，双方约定如下：</w:t>
      </w:r>
      <w:r>
        <w:rPr>
          <w:rFonts w:hint="eastAsia" w:ascii="宋体" w:hAnsi="宋体" w:cs="宋体"/>
          <w:b/>
          <w:bCs/>
          <w:color w:val="auto"/>
          <w:highlight w:val="none"/>
          <w:u w:val="single"/>
        </w:rPr>
        <w:t>承包人所施工的内容。</w:t>
      </w:r>
    </w:p>
    <w:p w14:paraId="76CABBF1">
      <w:pPr>
        <w:spacing w:line="360" w:lineRule="auto"/>
        <w:ind w:firstLine="422" w:firstLineChars="200"/>
        <w:rPr>
          <w:rFonts w:ascii="宋体" w:hAnsi="宋体" w:cs="宋体"/>
          <w:color w:val="auto"/>
          <w:szCs w:val="21"/>
          <w:highlight w:val="none"/>
        </w:rPr>
      </w:pPr>
      <w:r>
        <w:rPr>
          <w:rFonts w:hint="eastAsia" w:ascii="宋体" w:hAnsi="宋体" w:cs="宋体"/>
          <w:b/>
          <w:color w:val="auto"/>
          <w:szCs w:val="21"/>
          <w:highlight w:val="none"/>
        </w:rPr>
        <w:t>　　</w:t>
      </w:r>
      <w:r>
        <w:rPr>
          <w:rFonts w:hint="eastAsia" w:ascii="宋体" w:hAnsi="宋体" w:cs="宋体"/>
          <w:color w:val="auto"/>
          <w:szCs w:val="21"/>
          <w:highlight w:val="none"/>
        </w:rPr>
        <w:t>二、质量保修期</w:t>
      </w:r>
    </w:p>
    <w:p w14:paraId="5A98FAB2">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根据《建设工程质量管理条例》及有关规定，工程的质量保修期如下：</w:t>
      </w:r>
    </w:p>
    <w:p w14:paraId="39D6591A">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1．地基基础工程和主体结构工程为设计文件规定的工程合理使用年限；</w:t>
      </w:r>
    </w:p>
    <w:p w14:paraId="6F251D7F">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2．屋面防水工程、有防水要求的卫生间、房间和外墙面的防渗为</w:t>
      </w:r>
      <w:r>
        <w:rPr>
          <w:rFonts w:hint="eastAsia" w:ascii="宋体" w:hAnsi="宋体" w:cs="宋体"/>
          <w:color w:val="auto"/>
          <w:szCs w:val="21"/>
          <w:highlight w:val="none"/>
          <w:u w:val="single"/>
        </w:rPr>
        <w:t xml:space="preserve">  5  </w:t>
      </w:r>
      <w:r>
        <w:rPr>
          <w:rFonts w:hint="eastAsia" w:ascii="宋体" w:hAnsi="宋体" w:cs="宋体"/>
          <w:color w:val="auto"/>
          <w:szCs w:val="21"/>
          <w:highlight w:val="none"/>
        </w:rPr>
        <w:t>年；</w:t>
      </w:r>
    </w:p>
    <w:p w14:paraId="7DE99648">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3．装修工程为</w:t>
      </w:r>
      <w:r>
        <w:rPr>
          <w:rFonts w:hint="eastAsia" w:ascii="宋体" w:hAnsi="宋体" w:cs="宋体"/>
          <w:color w:val="auto"/>
          <w:szCs w:val="21"/>
          <w:highlight w:val="none"/>
          <w:u w:val="single"/>
        </w:rPr>
        <w:t xml:space="preserve">  2 </w:t>
      </w:r>
      <w:r>
        <w:rPr>
          <w:rFonts w:hint="eastAsia" w:ascii="宋体" w:hAnsi="宋体" w:cs="宋体"/>
          <w:color w:val="auto"/>
          <w:szCs w:val="21"/>
          <w:highlight w:val="none"/>
        </w:rPr>
        <w:t>年；</w:t>
      </w:r>
    </w:p>
    <w:p w14:paraId="05373FD2">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4．电气管线、给排水管道、设备安装工程为</w:t>
      </w:r>
      <w:r>
        <w:rPr>
          <w:rFonts w:hint="eastAsia" w:ascii="宋体" w:hAnsi="宋体" w:cs="宋体"/>
          <w:color w:val="auto"/>
          <w:szCs w:val="21"/>
          <w:highlight w:val="none"/>
          <w:u w:val="single"/>
        </w:rPr>
        <w:t xml:space="preserve">   2   </w:t>
      </w:r>
      <w:r>
        <w:rPr>
          <w:rFonts w:hint="eastAsia" w:ascii="宋体" w:hAnsi="宋体" w:cs="宋体"/>
          <w:color w:val="auto"/>
          <w:szCs w:val="21"/>
          <w:highlight w:val="none"/>
        </w:rPr>
        <w:t>年；</w:t>
      </w:r>
    </w:p>
    <w:p w14:paraId="339811EA">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5．供热与供冷系统为</w:t>
      </w:r>
      <w:r>
        <w:rPr>
          <w:rFonts w:hint="eastAsia" w:ascii="宋体" w:hAnsi="宋体" w:cs="宋体"/>
          <w:color w:val="auto"/>
          <w:szCs w:val="21"/>
          <w:highlight w:val="none"/>
          <w:u w:val="single"/>
        </w:rPr>
        <w:t xml:space="preserve"> 2  </w:t>
      </w:r>
      <w:r>
        <w:rPr>
          <w:rFonts w:hint="eastAsia" w:ascii="宋体" w:hAnsi="宋体" w:cs="宋体"/>
          <w:color w:val="auto"/>
          <w:szCs w:val="21"/>
          <w:highlight w:val="none"/>
        </w:rPr>
        <w:t>个采暖期、供冷期；</w:t>
      </w:r>
    </w:p>
    <w:p w14:paraId="6BF40171">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6．住宅小区内的给排水设施、道路等配套工程为</w:t>
      </w:r>
      <w:r>
        <w:rPr>
          <w:rFonts w:hint="eastAsia" w:ascii="宋体" w:hAnsi="宋体" w:cs="宋体"/>
          <w:color w:val="auto"/>
          <w:szCs w:val="21"/>
          <w:highlight w:val="none"/>
          <w:u w:val="single"/>
        </w:rPr>
        <w:t xml:space="preserve">  2   </w:t>
      </w:r>
      <w:r>
        <w:rPr>
          <w:rFonts w:hint="eastAsia" w:ascii="宋体" w:hAnsi="宋体" w:cs="宋体"/>
          <w:color w:val="auto"/>
          <w:szCs w:val="21"/>
          <w:highlight w:val="none"/>
        </w:rPr>
        <w:t>年；</w:t>
      </w:r>
    </w:p>
    <w:p w14:paraId="0AE8382D">
      <w:pPr>
        <w:spacing w:line="360" w:lineRule="auto"/>
        <w:ind w:firstLine="420" w:firstLineChars="200"/>
        <w:rPr>
          <w:rFonts w:ascii="宋体" w:hAnsi="宋体" w:cs="宋体"/>
          <w:color w:val="auto"/>
          <w:szCs w:val="21"/>
          <w:highlight w:val="none"/>
        </w:rPr>
      </w:pPr>
      <w:r>
        <w:rPr>
          <w:rFonts w:hint="eastAsia" w:ascii="宋体" w:hAnsi="宋体" w:cs="宋体"/>
          <w:color w:val="auto"/>
          <w:szCs w:val="21"/>
          <w:highlight w:val="none"/>
        </w:rPr>
        <w:t>7．其他项目保修期限约定如下：</w:t>
      </w:r>
      <w:r>
        <w:rPr>
          <w:rFonts w:hint="eastAsia" w:ascii="宋体" w:hAnsi="宋体" w:cs="宋体"/>
          <w:color w:val="auto"/>
          <w:szCs w:val="21"/>
          <w:highlight w:val="none"/>
          <w:u w:val="single"/>
        </w:rPr>
        <w:t xml:space="preserve">   </w:t>
      </w:r>
      <w:r>
        <w:rPr>
          <w:rFonts w:hint="eastAsia" w:ascii="宋体" w:hAnsi="宋体" w:cs="宋体"/>
          <w:color w:val="auto"/>
          <w:szCs w:val="21"/>
          <w:highlight w:val="none"/>
          <w:u w:val="single"/>
        </w:rPr>
        <w:t>整体项目质保期为5年（其中杆柱质保期为20年</w:t>
      </w:r>
      <w:r>
        <w:rPr>
          <w:rFonts w:hint="eastAsia" w:ascii="宋体" w:hAnsi="宋体" w:cs="宋体"/>
          <w:color w:val="auto"/>
          <w:szCs w:val="21"/>
          <w:highlight w:val="none"/>
          <w:u w:val="single"/>
        </w:rPr>
        <w:t>，人为因素和自然灾害除外，起保日期为竣工验收合格次日起）</w:t>
      </w:r>
      <w:r>
        <w:rPr>
          <w:rFonts w:hint="eastAsia" w:ascii="宋体" w:hAnsi="宋体" w:cs="宋体"/>
          <w:color w:val="auto"/>
          <w:szCs w:val="21"/>
          <w:highlight w:val="none"/>
        </w:rPr>
        <w:t>。</w:t>
      </w:r>
    </w:p>
    <w:p w14:paraId="09BFCE06">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三、缺陷责任期</w:t>
      </w:r>
    </w:p>
    <w:p w14:paraId="1E4F6E16">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工程缺陷责任期为</w:t>
      </w:r>
      <w:r>
        <w:rPr>
          <w:rFonts w:hint="eastAsia" w:ascii="宋体" w:hAnsi="宋体" w:cs="宋体"/>
          <w:color w:val="auto"/>
          <w:highlight w:val="none"/>
          <w:u w:val="single"/>
        </w:rPr>
        <w:t xml:space="preserve">  </w:t>
      </w:r>
      <w:r>
        <w:rPr>
          <w:rFonts w:hint="eastAsia" w:ascii="宋体" w:hAnsi="宋体" w:cs="宋体"/>
          <w:b/>
          <w:color w:val="auto"/>
          <w:highlight w:val="none"/>
          <w:u w:val="single"/>
        </w:rPr>
        <w:t>24</w:t>
      </w:r>
      <w:r>
        <w:rPr>
          <w:rFonts w:hint="eastAsia" w:ascii="宋体" w:hAnsi="宋体" w:cs="宋体"/>
          <w:color w:val="auto"/>
          <w:highlight w:val="none"/>
          <w:u w:val="single"/>
        </w:rPr>
        <w:t xml:space="preserve"> </w:t>
      </w:r>
      <w:r>
        <w:rPr>
          <w:rFonts w:hint="eastAsia" w:ascii="宋体" w:hAnsi="宋体" w:cs="宋体"/>
          <w:color w:val="auto"/>
          <w:highlight w:val="none"/>
        </w:rPr>
        <w:t>个月，缺陷责任期自工程竣工验收合格之日起计算。单位工程先于全部工程进行验收，单位工程缺陷责任期自单位工程验收合格之日起算。</w:t>
      </w:r>
    </w:p>
    <w:p w14:paraId="52339013">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四、质量保修责任</w:t>
      </w:r>
    </w:p>
    <w:p w14:paraId="1F2B15A0">
      <w:pPr>
        <w:autoSpaceDE w:val="0"/>
        <w:autoSpaceDN w:val="0"/>
        <w:adjustRightInd w:val="0"/>
        <w:spacing w:line="360" w:lineRule="auto"/>
        <w:ind w:firstLine="420" w:firstLineChars="200"/>
        <w:rPr>
          <w:rFonts w:ascii="宋体" w:hAnsi="宋体" w:cs="宋体"/>
          <w:color w:val="auto"/>
          <w:highlight w:val="none"/>
        </w:rPr>
      </w:pPr>
      <w:r>
        <w:rPr>
          <w:rFonts w:hint="eastAsia" w:ascii="宋体" w:hAnsi="宋体" w:cs="宋体"/>
          <w:color w:val="auto"/>
          <w:highlight w:val="none"/>
        </w:rPr>
        <w:t>1.属于保修范围、内容的项目，承包人应当在接到保修通知</w:t>
      </w:r>
      <w:r>
        <w:rPr>
          <w:rFonts w:hint="eastAsia" w:ascii="宋体" w:hAnsi="宋体" w:cs="宋体"/>
          <w:color w:val="auto"/>
          <w:highlight w:val="none"/>
          <w:lang w:val="en-US" w:eastAsia="zh-CN"/>
        </w:rPr>
        <w:t>后</w:t>
      </w:r>
      <w:r>
        <w:rPr>
          <w:rFonts w:hint="eastAsia" w:ascii="宋体" w:hAnsi="宋体" w:cs="宋体"/>
          <w:color w:val="auto"/>
          <w:highlight w:val="none"/>
        </w:rPr>
        <w:t>2小时以内到达现场，一般故障须在24小时内解决，重大故障须在48小时内解决。承包人不在约定期限内派人保修的，发包人可以委托他人修理。</w:t>
      </w:r>
    </w:p>
    <w:p w14:paraId="52E9641B">
      <w:pPr>
        <w:autoSpaceDE w:val="0"/>
        <w:autoSpaceDN w:val="0"/>
        <w:adjustRightInd w:val="0"/>
        <w:spacing w:line="360" w:lineRule="auto"/>
        <w:ind w:firstLine="420" w:firstLineChars="200"/>
        <w:rPr>
          <w:rFonts w:ascii="宋体" w:hAnsi="宋体" w:cs="宋体"/>
          <w:color w:val="auto"/>
          <w:highlight w:val="none"/>
        </w:rPr>
      </w:pPr>
      <w:r>
        <w:rPr>
          <w:rFonts w:hint="eastAsia" w:ascii="宋体" w:hAnsi="宋体" w:cs="宋体"/>
          <w:color w:val="auto"/>
          <w:highlight w:val="none"/>
        </w:rPr>
        <w:t>2.发生紧急抢修事故的，承包人在接到事故通知后，应当立即到达事故现场抢修。</w:t>
      </w:r>
    </w:p>
    <w:p w14:paraId="5EB23680">
      <w:pPr>
        <w:autoSpaceDE w:val="0"/>
        <w:autoSpaceDN w:val="0"/>
        <w:adjustRightInd w:val="0"/>
        <w:spacing w:line="360" w:lineRule="auto"/>
        <w:ind w:firstLine="420" w:firstLineChars="200"/>
        <w:rPr>
          <w:rFonts w:ascii="宋体" w:hAnsi="宋体" w:cs="宋体"/>
          <w:color w:val="auto"/>
          <w:highlight w:val="none"/>
        </w:rPr>
      </w:pPr>
      <w:r>
        <w:rPr>
          <w:rFonts w:hint="eastAsia" w:ascii="宋体" w:hAnsi="宋体" w:cs="宋体"/>
          <w:color w:val="auto"/>
          <w:highlight w:val="none"/>
        </w:rPr>
        <w:t>3.对于涉及结构安全的质量问题，应当按照《建设工程质量管理条例》的规定，立即向当地建设行政主管部门报告，采取安全防范措施，由原设计单位或者具有相应资质等级的设计单位提出保修方案，承包人实施保修。</w:t>
      </w:r>
    </w:p>
    <w:p w14:paraId="75E1AC68">
      <w:pPr>
        <w:autoSpaceDE w:val="0"/>
        <w:autoSpaceDN w:val="0"/>
        <w:adjustRightInd w:val="0"/>
        <w:spacing w:line="360" w:lineRule="auto"/>
        <w:ind w:firstLine="420" w:firstLineChars="200"/>
        <w:rPr>
          <w:rFonts w:ascii="宋体" w:hAnsi="宋体" w:cs="宋体"/>
          <w:color w:val="auto"/>
          <w:highlight w:val="none"/>
        </w:rPr>
      </w:pPr>
      <w:r>
        <w:rPr>
          <w:rFonts w:hint="eastAsia" w:ascii="宋体" w:hAnsi="宋体" w:cs="宋体"/>
          <w:color w:val="auto"/>
          <w:highlight w:val="none"/>
        </w:rPr>
        <w:t>4.质量保修完成后，由发包人组织验收。</w:t>
      </w:r>
    </w:p>
    <w:p w14:paraId="6D9FFECD">
      <w:pPr>
        <w:autoSpaceDE w:val="0"/>
        <w:autoSpaceDN w:val="0"/>
        <w:adjustRightInd w:val="0"/>
        <w:spacing w:line="360" w:lineRule="auto"/>
        <w:ind w:firstLine="420" w:firstLineChars="200"/>
        <w:rPr>
          <w:rFonts w:ascii="宋体" w:hAnsi="宋体" w:cs="宋体"/>
          <w:bCs/>
          <w:color w:val="auto"/>
          <w:highlight w:val="none"/>
        </w:rPr>
      </w:pPr>
      <w:r>
        <w:rPr>
          <w:rFonts w:hint="eastAsia" w:ascii="宋体" w:hAnsi="宋体" w:cs="宋体"/>
          <w:bCs/>
          <w:color w:val="auto"/>
          <w:highlight w:val="none"/>
        </w:rPr>
        <w:t>五.保修费用</w:t>
      </w:r>
    </w:p>
    <w:p w14:paraId="2DFEE367">
      <w:pPr>
        <w:autoSpaceDE w:val="0"/>
        <w:autoSpaceDN w:val="0"/>
        <w:adjustRightInd w:val="0"/>
        <w:spacing w:line="360" w:lineRule="auto"/>
        <w:ind w:firstLine="420" w:firstLineChars="200"/>
        <w:rPr>
          <w:rFonts w:ascii="宋体" w:hAnsi="宋体" w:cs="宋体"/>
          <w:color w:val="auto"/>
          <w:highlight w:val="none"/>
        </w:rPr>
      </w:pPr>
      <w:r>
        <w:rPr>
          <w:rFonts w:hint="eastAsia" w:ascii="宋体" w:hAnsi="宋体" w:cs="宋体"/>
          <w:color w:val="auto"/>
          <w:highlight w:val="none"/>
        </w:rPr>
        <w:t>4.1.保修费用由造成质量缺陷的责任方承担。</w:t>
      </w:r>
    </w:p>
    <w:p w14:paraId="2666B3AC">
      <w:pPr>
        <w:autoSpaceDE w:val="0"/>
        <w:autoSpaceDN w:val="0"/>
        <w:adjustRightInd w:val="0"/>
        <w:spacing w:line="360" w:lineRule="auto"/>
        <w:ind w:firstLine="420" w:firstLineChars="200"/>
        <w:rPr>
          <w:rFonts w:ascii="宋体" w:hAnsi="宋体" w:cs="宋体"/>
          <w:color w:val="auto"/>
          <w:highlight w:val="none"/>
        </w:rPr>
      </w:pPr>
      <w:r>
        <w:rPr>
          <w:rFonts w:hint="eastAsia" w:ascii="宋体" w:hAnsi="宋体" w:cs="宋体"/>
          <w:color w:val="auto"/>
          <w:highlight w:val="none"/>
        </w:rPr>
        <w:t xml:space="preserve">4.2 </w:t>
      </w:r>
      <w:r>
        <w:rPr>
          <w:rFonts w:hint="eastAsia" w:ascii="宋体" w:hAnsi="宋体" w:cs="宋体"/>
          <w:iCs/>
          <w:color w:val="auto"/>
          <w:highlight w:val="none"/>
        </w:rPr>
        <w:t>工程质量保修金为工程总价（审计后）的</w:t>
      </w:r>
      <w:r>
        <w:rPr>
          <w:rFonts w:hint="eastAsia" w:ascii="宋体" w:hAnsi="宋体" w:cs="宋体"/>
          <w:iCs/>
          <w:color w:val="auto"/>
          <w:highlight w:val="none"/>
          <w:lang w:val="en-US" w:eastAsia="zh-CN"/>
        </w:rPr>
        <w:t>3</w:t>
      </w:r>
      <w:r>
        <w:rPr>
          <w:rFonts w:hint="eastAsia" w:ascii="宋体" w:hAnsi="宋体" w:cs="宋体"/>
          <w:iCs/>
          <w:color w:val="auto"/>
          <w:highlight w:val="none"/>
        </w:rPr>
        <w:t>%,保修费从工程质量保修金内扣除。</w:t>
      </w:r>
    </w:p>
    <w:p w14:paraId="4D078B60">
      <w:pPr>
        <w:autoSpaceDE w:val="0"/>
        <w:autoSpaceDN w:val="0"/>
        <w:adjustRightInd w:val="0"/>
        <w:spacing w:line="360" w:lineRule="auto"/>
        <w:ind w:firstLine="420" w:firstLineChars="200"/>
        <w:rPr>
          <w:rFonts w:ascii="宋体" w:hAnsi="宋体" w:cs="宋体"/>
          <w:color w:val="auto"/>
          <w:highlight w:val="none"/>
          <w:u w:val="single"/>
        </w:rPr>
      </w:pPr>
      <w:r>
        <w:rPr>
          <w:rFonts w:hint="eastAsia" w:ascii="宋体" w:hAnsi="宋体" w:cs="宋体"/>
          <w:bCs/>
          <w:color w:val="auto"/>
          <w:highlight w:val="none"/>
        </w:rPr>
        <w:t>六.</w:t>
      </w:r>
      <w:r>
        <w:rPr>
          <w:rFonts w:hint="eastAsia" w:ascii="宋体" w:hAnsi="宋体" w:cs="宋体"/>
          <w:color w:val="auto"/>
          <w:highlight w:val="none"/>
        </w:rPr>
        <w:t>双方约定的其他工程质量保修事项：</w:t>
      </w:r>
      <w:r>
        <w:rPr>
          <w:rFonts w:hint="eastAsia" w:ascii="宋体" w:hAnsi="宋体" w:cs="宋体"/>
          <w:color w:val="auto"/>
          <w:highlight w:val="none"/>
          <w:u w:val="single"/>
        </w:rPr>
        <w:t xml:space="preserve">       /       </w:t>
      </w:r>
      <w:r>
        <w:rPr>
          <w:rFonts w:hint="eastAsia" w:ascii="宋体" w:hAnsi="宋体" w:cs="宋体"/>
          <w:color w:val="auto"/>
          <w:highlight w:val="none"/>
        </w:rPr>
        <w:t>。</w:t>
      </w:r>
    </w:p>
    <w:p w14:paraId="357ABD10">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工程质量保修书由发包人、承包人在工程竣工验收前共同签署，作为施工合同附件，其有效期限至保修期满。</w:t>
      </w:r>
    </w:p>
    <w:p w14:paraId="40B3EAD3">
      <w:pPr>
        <w:spacing w:line="360" w:lineRule="auto"/>
        <w:ind w:firstLine="420" w:firstLineChars="200"/>
        <w:rPr>
          <w:rFonts w:ascii="宋体" w:hAnsi="宋体" w:cs="宋体"/>
          <w:color w:val="auto"/>
          <w:highlight w:val="none"/>
        </w:rPr>
      </w:pPr>
    </w:p>
    <w:p w14:paraId="51447C97">
      <w:pPr>
        <w:spacing w:line="360" w:lineRule="auto"/>
        <w:ind w:firstLine="420" w:firstLineChars="200"/>
        <w:rPr>
          <w:rFonts w:ascii="宋体" w:hAnsi="宋体" w:cs="宋体"/>
          <w:color w:val="auto"/>
          <w:highlight w:val="none"/>
        </w:rPr>
      </w:pPr>
    </w:p>
    <w:p w14:paraId="4B6C81D3">
      <w:pPr>
        <w:spacing w:line="360" w:lineRule="auto"/>
        <w:ind w:firstLine="420" w:firstLineChars="200"/>
        <w:rPr>
          <w:rFonts w:ascii="宋体" w:hAnsi="宋体" w:cs="宋体"/>
          <w:color w:val="auto"/>
          <w:highlight w:val="none"/>
        </w:rPr>
      </w:pPr>
    </w:p>
    <w:p w14:paraId="1CBD54BF">
      <w:pPr>
        <w:spacing w:line="360" w:lineRule="auto"/>
        <w:ind w:firstLine="420" w:firstLineChars="200"/>
        <w:rPr>
          <w:rFonts w:ascii="宋体" w:hAnsi="宋体" w:cs="宋体"/>
          <w:color w:val="auto"/>
          <w:highlight w:val="none"/>
        </w:rPr>
      </w:pPr>
    </w:p>
    <w:p w14:paraId="2668D5BE">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发包人(公章)：</w:t>
      </w:r>
      <w:r>
        <w:rPr>
          <w:rFonts w:hint="eastAsia" w:ascii="宋体" w:hAnsi="宋体" w:cs="宋体"/>
          <w:color w:val="auto"/>
          <w:highlight w:val="none"/>
          <w:u w:val="single"/>
        </w:rPr>
        <w:t xml:space="preserve">           </w:t>
      </w:r>
      <w:r>
        <w:rPr>
          <w:rFonts w:hint="eastAsia" w:ascii="宋体" w:hAnsi="宋体" w:cs="宋体"/>
          <w:color w:val="auto"/>
          <w:highlight w:val="none"/>
        </w:rPr>
        <w:t xml:space="preserve"> 承包人(公章)：</w:t>
      </w:r>
      <w:r>
        <w:rPr>
          <w:rFonts w:hint="eastAsia" w:ascii="宋体" w:hAnsi="宋体" w:cs="宋体"/>
          <w:color w:val="auto"/>
          <w:highlight w:val="none"/>
          <w:u w:val="single"/>
        </w:rPr>
        <w:t xml:space="preserve">                  </w:t>
      </w:r>
    </w:p>
    <w:p w14:paraId="1EDC8FE6">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地  址：</w:t>
      </w:r>
      <w:r>
        <w:rPr>
          <w:rFonts w:hint="eastAsia" w:ascii="宋体" w:hAnsi="宋体" w:cs="宋体"/>
          <w:color w:val="auto"/>
          <w:highlight w:val="none"/>
          <w:u w:val="single"/>
        </w:rPr>
        <w:t xml:space="preserve">                 </w:t>
      </w:r>
      <w:r>
        <w:rPr>
          <w:rFonts w:hint="eastAsia" w:ascii="宋体" w:hAnsi="宋体" w:cs="宋体"/>
          <w:color w:val="auto"/>
          <w:highlight w:val="none"/>
        </w:rPr>
        <w:t xml:space="preserve"> 地  址：</w:t>
      </w:r>
      <w:r>
        <w:rPr>
          <w:rFonts w:hint="eastAsia" w:ascii="宋体" w:hAnsi="宋体" w:cs="宋体"/>
          <w:color w:val="auto"/>
          <w:highlight w:val="none"/>
          <w:u w:val="single"/>
        </w:rPr>
        <w:t xml:space="preserve">                        </w:t>
      </w:r>
    </w:p>
    <w:p w14:paraId="0E893509">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法定代表人(签字)：</w:t>
      </w:r>
      <w:r>
        <w:rPr>
          <w:rFonts w:hint="eastAsia" w:ascii="宋体" w:hAnsi="宋体" w:cs="宋体"/>
          <w:color w:val="auto"/>
          <w:highlight w:val="none"/>
          <w:u w:val="single"/>
        </w:rPr>
        <w:t xml:space="preserve">        </w:t>
      </w:r>
      <w:r>
        <w:rPr>
          <w:rFonts w:hint="eastAsia" w:ascii="宋体" w:hAnsi="宋体" w:cs="宋体"/>
          <w:color w:val="auto"/>
          <w:highlight w:val="none"/>
        </w:rPr>
        <w:t xml:space="preserve"> 法定代表人(签字)：</w:t>
      </w:r>
      <w:r>
        <w:rPr>
          <w:rFonts w:hint="eastAsia" w:ascii="宋体" w:hAnsi="宋体" w:cs="宋体"/>
          <w:color w:val="auto"/>
          <w:highlight w:val="none"/>
          <w:u w:val="single"/>
        </w:rPr>
        <w:t xml:space="preserve">             </w:t>
      </w:r>
    </w:p>
    <w:p w14:paraId="40C462E0">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委托代理人(签字)：</w:t>
      </w:r>
      <w:r>
        <w:rPr>
          <w:rFonts w:hint="eastAsia" w:ascii="宋体" w:hAnsi="宋体" w:cs="宋体"/>
          <w:color w:val="auto"/>
          <w:highlight w:val="none"/>
          <w:u w:val="single"/>
        </w:rPr>
        <w:t xml:space="preserve">        </w:t>
      </w:r>
      <w:r>
        <w:rPr>
          <w:rFonts w:hint="eastAsia" w:ascii="宋体" w:hAnsi="宋体" w:cs="宋体"/>
          <w:color w:val="auto"/>
          <w:highlight w:val="none"/>
        </w:rPr>
        <w:t xml:space="preserve"> 委托代理人(签字)：</w:t>
      </w:r>
      <w:r>
        <w:rPr>
          <w:rFonts w:hint="eastAsia" w:ascii="宋体" w:hAnsi="宋体" w:cs="宋体"/>
          <w:color w:val="auto"/>
          <w:highlight w:val="none"/>
          <w:u w:val="single"/>
        </w:rPr>
        <w:t xml:space="preserve">             </w:t>
      </w:r>
    </w:p>
    <w:p w14:paraId="49120597">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电  话：</w:t>
      </w:r>
      <w:r>
        <w:rPr>
          <w:rFonts w:hint="eastAsia" w:ascii="宋体" w:hAnsi="宋体" w:cs="宋体"/>
          <w:color w:val="auto"/>
          <w:highlight w:val="none"/>
          <w:u w:val="single"/>
        </w:rPr>
        <w:t xml:space="preserve">                  </w:t>
      </w:r>
      <w:r>
        <w:rPr>
          <w:rFonts w:hint="eastAsia" w:ascii="宋体" w:hAnsi="宋体" w:cs="宋体"/>
          <w:color w:val="auto"/>
          <w:highlight w:val="none"/>
        </w:rPr>
        <w:t xml:space="preserve"> 电  话：</w:t>
      </w:r>
      <w:r>
        <w:rPr>
          <w:rFonts w:hint="eastAsia" w:ascii="宋体" w:hAnsi="宋体" w:cs="宋体"/>
          <w:color w:val="auto"/>
          <w:highlight w:val="none"/>
          <w:u w:val="single"/>
        </w:rPr>
        <w:t xml:space="preserve">                       </w:t>
      </w:r>
    </w:p>
    <w:p w14:paraId="536D4001">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传  真：</w:t>
      </w:r>
      <w:r>
        <w:rPr>
          <w:rFonts w:hint="eastAsia" w:ascii="宋体" w:hAnsi="宋体" w:cs="宋体"/>
          <w:color w:val="auto"/>
          <w:highlight w:val="none"/>
          <w:u w:val="single"/>
        </w:rPr>
        <w:t xml:space="preserve">                  </w:t>
      </w:r>
      <w:r>
        <w:rPr>
          <w:rFonts w:hint="eastAsia" w:ascii="宋体" w:hAnsi="宋体" w:cs="宋体"/>
          <w:color w:val="auto"/>
          <w:highlight w:val="none"/>
        </w:rPr>
        <w:t xml:space="preserve"> 传  真：</w:t>
      </w:r>
      <w:r>
        <w:rPr>
          <w:rFonts w:hint="eastAsia" w:ascii="宋体" w:hAnsi="宋体" w:cs="宋体"/>
          <w:color w:val="auto"/>
          <w:highlight w:val="none"/>
          <w:u w:val="single"/>
        </w:rPr>
        <w:t xml:space="preserve">                       </w:t>
      </w:r>
    </w:p>
    <w:p w14:paraId="213D5183">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开户银行：</w:t>
      </w:r>
      <w:r>
        <w:rPr>
          <w:rFonts w:hint="eastAsia" w:ascii="宋体" w:hAnsi="宋体" w:cs="宋体"/>
          <w:color w:val="auto"/>
          <w:highlight w:val="none"/>
          <w:u w:val="single"/>
        </w:rPr>
        <w:t xml:space="preserve">                </w:t>
      </w:r>
      <w:r>
        <w:rPr>
          <w:rFonts w:hint="eastAsia" w:ascii="宋体" w:hAnsi="宋体" w:cs="宋体"/>
          <w:color w:val="auto"/>
          <w:highlight w:val="none"/>
        </w:rPr>
        <w:t xml:space="preserve"> 开户银行：</w:t>
      </w:r>
      <w:r>
        <w:rPr>
          <w:rFonts w:hint="eastAsia" w:ascii="宋体" w:hAnsi="宋体" w:cs="宋体"/>
          <w:color w:val="auto"/>
          <w:highlight w:val="none"/>
          <w:u w:val="single"/>
        </w:rPr>
        <w:t xml:space="preserve">                     </w:t>
      </w:r>
    </w:p>
    <w:p w14:paraId="486CDEB0">
      <w:pPr>
        <w:spacing w:line="360" w:lineRule="auto"/>
        <w:ind w:firstLine="420" w:firstLineChars="200"/>
        <w:rPr>
          <w:rFonts w:ascii="宋体" w:hAnsi="宋体" w:cs="宋体"/>
          <w:color w:val="auto"/>
          <w:highlight w:val="none"/>
        </w:rPr>
      </w:pPr>
      <w:r>
        <w:rPr>
          <w:rFonts w:hint="eastAsia" w:ascii="宋体" w:hAnsi="宋体" w:cs="宋体"/>
          <w:color w:val="auto"/>
          <w:highlight w:val="none"/>
        </w:rPr>
        <w:t>账  号：</w:t>
      </w:r>
      <w:r>
        <w:rPr>
          <w:rFonts w:hint="eastAsia" w:ascii="宋体" w:hAnsi="宋体" w:cs="宋体"/>
          <w:color w:val="auto"/>
          <w:highlight w:val="none"/>
          <w:u w:val="single"/>
        </w:rPr>
        <w:t xml:space="preserve">                  </w:t>
      </w:r>
      <w:r>
        <w:rPr>
          <w:rFonts w:hint="eastAsia" w:ascii="宋体" w:hAnsi="宋体" w:cs="宋体"/>
          <w:color w:val="auto"/>
          <w:highlight w:val="none"/>
        </w:rPr>
        <w:t xml:space="preserve">  账  号：</w:t>
      </w:r>
      <w:r>
        <w:rPr>
          <w:rFonts w:hint="eastAsia" w:ascii="宋体" w:hAnsi="宋体" w:cs="宋体"/>
          <w:color w:val="auto"/>
          <w:highlight w:val="none"/>
          <w:u w:val="single"/>
        </w:rPr>
        <w:t xml:space="preserve">                      </w:t>
      </w:r>
    </w:p>
    <w:p w14:paraId="13A7E673">
      <w:pPr>
        <w:snapToGrid w:val="0"/>
        <w:spacing w:line="360" w:lineRule="auto"/>
        <w:ind w:firstLine="420" w:firstLineChars="200"/>
        <w:rPr>
          <w:rFonts w:ascii="宋体" w:hAnsi="宋体"/>
          <w:color w:val="auto"/>
          <w:szCs w:val="21"/>
          <w:highlight w:val="none"/>
        </w:rPr>
      </w:pPr>
      <w:r>
        <w:rPr>
          <w:rFonts w:hint="eastAsia" w:ascii="宋体" w:hAnsi="宋体" w:cs="宋体"/>
          <w:color w:val="auto"/>
          <w:highlight w:val="none"/>
        </w:rPr>
        <w:t>邮政编码：</w:t>
      </w:r>
      <w:r>
        <w:rPr>
          <w:rFonts w:hint="eastAsia" w:ascii="宋体" w:hAnsi="宋体" w:cs="宋体"/>
          <w:color w:val="auto"/>
          <w:highlight w:val="none"/>
          <w:u w:val="single"/>
        </w:rPr>
        <w:t xml:space="preserve">                 </w:t>
      </w:r>
      <w:r>
        <w:rPr>
          <w:rFonts w:hint="eastAsia" w:ascii="宋体" w:hAnsi="宋体" w:cs="宋体"/>
          <w:color w:val="auto"/>
          <w:highlight w:val="none"/>
        </w:rPr>
        <w:t xml:space="preserve"> 邮政编码：</w:t>
      </w:r>
      <w:r>
        <w:rPr>
          <w:rFonts w:hint="eastAsia" w:ascii="宋体" w:hAnsi="宋体" w:cs="宋体"/>
          <w:color w:val="auto"/>
          <w:highlight w:val="none"/>
          <w:u w:val="single"/>
        </w:rPr>
        <w:t xml:space="preserve">                    </w:t>
      </w:r>
    </w:p>
    <w:p w14:paraId="2B407B75">
      <w:pPr>
        <w:spacing w:line="480" w:lineRule="exact"/>
        <w:jc w:val="center"/>
        <w:rPr>
          <w:rFonts w:ascii="宋体" w:hAnsi="宋体"/>
          <w:color w:val="auto"/>
          <w:sz w:val="24"/>
          <w:highlight w:val="none"/>
        </w:rPr>
      </w:pPr>
    </w:p>
    <w:p w14:paraId="63CCFB63">
      <w:pPr>
        <w:spacing w:line="480" w:lineRule="exact"/>
        <w:jc w:val="center"/>
        <w:rPr>
          <w:rFonts w:ascii="宋体" w:hAnsi="宋体"/>
          <w:color w:val="auto"/>
          <w:sz w:val="24"/>
          <w:highlight w:val="none"/>
        </w:rPr>
      </w:pPr>
    </w:p>
    <w:p w14:paraId="49D4F488">
      <w:pPr>
        <w:spacing w:line="480" w:lineRule="exact"/>
        <w:jc w:val="center"/>
        <w:rPr>
          <w:rFonts w:ascii="宋体" w:hAnsi="宋体"/>
          <w:color w:val="auto"/>
          <w:sz w:val="24"/>
          <w:highlight w:val="none"/>
        </w:rPr>
      </w:pPr>
    </w:p>
    <w:p w14:paraId="09B5F102">
      <w:pPr>
        <w:spacing w:line="480" w:lineRule="exact"/>
        <w:jc w:val="center"/>
        <w:rPr>
          <w:rFonts w:ascii="宋体" w:hAnsi="宋体"/>
          <w:color w:val="auto"/>
          <w:sz w:val="24"/>
          <w:highlight w:val="none"/>
        </w:rPr>
      </w:pPr>
    </w:p>
    <w:p w14:paraId="3C913344">
      <w:pPr>
        <w:spacing w:line="480" w:lineRule="exact"/>
        <w:jc w:val="left"/>
        <w:rPr>
          <w:rFonts w:ascii="宋体" w:hAnsi="宋体"/>
          <w:b/>
          <w:bCs/>
          <w:color w:val="auto"/>
          <w:sz w:val="24"/>
          <w:highlight w:val="none"/>
        </w:rPr>
      </w:pPr>
    </w:p>
    <w:p w14:paraId="23EB86E9">
      <w:pPr>
        <w:spacing w:line="480" w:lineRule="exact"/>
        <w:jc w:val="left"/>
        <w:rPr>
          <w:rFonts w:ascii="宋体" w:hAnsi="宋体"/>
          <w:color w:val="auto"/>
          <w:sz w:val="24"/>
          <w:highlight w:val="none"/>
        </w:rPr>
      </w:pPr>
      <w:r>
        <w:rPr>
          <w:rFonts w:hint="eastAsia" w:ascii="宋体" w:hAnsi="宋体"/>
          <w:b/>
          <w:bCs/>
          <w:color w:val="auto"/>
          <w:sz w:val="24"/>
          <w:highlight w:val="none"/>
        </w:rPr>
        <w:t>附件9：</w:t>
      </w:r>
      <w:r>
        <w:rPr>
          <w:rFonts w:hint="eastAsia" w:ascii="宋体" w:hAnsi="宋体"/>
          <w:color w:val="auto"/>
          <w:sz w:val="24"/>
          <w:highlight w:val="none"/>
        </w:rPr>
        <w:t xml:space="preserve"> </w:t>
      </w:r>
    </w:p>
    <w:p w14:paraId="1DA3606E">
      <w:pPr>
        <w:spacing w:line="480" w:lineRule="exact"/>
        <w:jc w:val="center"/>
        <w:rPr>
          <w:rFonts w:hAnsi="宋体" w:cs="宋体"/>
          <w:b/>
          <w:color w:val="auto"/>
          <w:sz w:val="36"/>
          <w:szCs w:val="36"/>
          <w:highlight w:val="none"/>
        </w:rPr>
      </w:pPr>
      <w:r>
        <w:rPr>
          <w:rFonts w:hint="eastAsia" w:hAnsi="宋体" w:cs="宋体"/>
          <w:b/>
          <w:color w:val="auto"/>
          <w:sz w:val="36"/>
          <w:szCs w:val="36"/>
          <w:highlight w:val="none"/>
        </w:rPr>
        <w:t>2024年崇川区老旧小区改造智慧技防建设工程</w:t>
      </w:r>
    </w:p>
    <w:p w14:paraId="1FB70FE3">
      <w:pPr>
        <w:spacing w:line="480" w:lineRule="exact"/>
        <w:jc w:val="center"/>
        <w:rPr>
          <w:rFonts w:hAnsi="宋体" w:cs="宋体"/>
          <w:b/>
          <w:color w:val="auto"/>
          <w:sz w:val="36"/>
          <w:szCs w:val="36"/>
          <w:highlight w:val="none"/>
        </w:rPr>
      </w:pPr>
      <w:r>
        <w:rPr>
          <w:rFonts w:hint="eastAsia" w:hAnsi="宋体" w:cs="宋体"/>
          <w:b/>
          <w:color w:val="auto"/>
          <w:sz w:val="36"/>
          <w:szCs w:val="36"/>
          <w:highlight w:val="none"/>
        </w:rPr>
        <w:t>补充维保协议</w:t>
      </w:r>
    </w:p>
    <w:p w14:paraId="4CE94C95">
      <w:pPr>
        <w:spacing w:line="480" w:lineRule="exact"/>
        <w:jc w:val="left"/>
        <w:rPr>
          <w:rFonts w:hAnsi="宋体" w:cs="宋体"/>
          <w:color w:val="auto"/>
          <w:highlight w:val="none"/>
        </w:rPr>
      </w:pPr>
      <w:r>
        <w:rPr>
          <w:rFonts w:hint="eastAsia" w:hAnsi="宋体" w:cs="宋体"/>
          <w:color w:val="auto"/>
          <w:highlight w:val="none"/>
        </w:rPr>
        <w:t>委托方（甲方）：</w:t>
      </w:r>
    </w:p>
    <w:p w14:paraId="2D2BD728">
      <w:pPr>
        <w:spacing w:line="480" w:lineRule="exact"/>
        <w:jc w:val="left"/>
        <w:rPr>
          <w:rFonts w:hAnsi="宋体" w:cs="宋体"/>
          <w:color w:val="auto"/>
          <w:highlight w:val="none"/>
        </w:rPr>
      </w:pPr>
      <w:r>
        <w:rPr>
          <w:rFonts w:hint="eastAsia" w:hAnsi="宋体" w:cs="宋体"/>
          <w:color w:val="auto"/>
          <w:highlight w:val="none"/>
        </w:rPr>
        <w:t>委托方（乙方）：</w:t>
      </w:r>
      <w:r>
        <w:rPr>
          <w:rFonts w:hint="eastAsia" w:hAnsi="宋体" w:cs="宋体"/>
          <w:color w:val="auto"/>
          <w:highlight w:val="none"/>
        </w:rPr>
        <w:tab/>
      </w:r>
    </w:p>
    <w:p w14:paraId="05E9EA02">
      <w:pPr>
        <w:spacing w:line="480" w:lineRule="exact"/>
        <w:jc w:val="left"/>
        <w:rPr>
          <w:rFonts w:hAnsi="宋体" w:cs="宋体"/>
          <w:color w:val="auto"/>
          <w:highlight w:val="none"/>
        </w:rPr>
      </w:pPr>
      <w:r>
        <w:rPr>
          <w:rFonts w:hint="eastAsia" w:hAnsi="宋体" w:cs="宋体"/>
          <w:color w:val="auto"/>
          <w:highlight w:val="none"/>
        </w:rPr>
        <w:t>受托方（丙方）：</w:t>
      </w:r>
    </w:p>
    <w:p w14:paraId="79C30559">
      <w:pPr>
        <w:spacing w:line="480" w:lineRule="exact"/>
        <w:jc w:val="left"/>
        <w:rPr>
          <w:rFonts w:hAnsi="宋体" w:cs="宋体"/>
          <w:color w:val="auto"/>
          <w:highlight w:val="none"/>
        </w:rPr>
      </w:pPr>
    </w:p>
    <w:p w14:paraId="49B11121">
      <w:pPr>
        <w:spacing w:line="480" w:lineRule="exact"/>
        <w:ind w:firstLine="420" w:firstLineChars="200"/>
        <w:jc w:val="left"/>
        <w:rPr>
          <w:rFonts w:hAnsi="宋体" w:cs="宋体"/>
          <w:color w:val="auto"/>
          <w:highlight w:val="none"/>
        </w:rPr>
      </w:pPr>
      <w:r>
        <w:rPr>
          <w:rFonts w:hint="eastAsia" w:hAnsi="宋体" w:cs="宋体"/>
          <w:color w:val="auto"/>
          <w:highlight w:val="none"/>
        </w:rPr>
        <w:t>鉴于《2024年崇川区老旧小区改造智慧技防建设工程合同》为甲方委托丙方进行专业的视频图像系统维保服务，乙方接受甲方委托对视频图像系统维保服务工作予以监督通报。三方经过平等协商，签订补充维保协议。</w:t>
      </w:r>
    </w:p>
    <w:p w14:paraId="28EB0B1D">
      <w:pPr>
        <w:spacing w:line="480" w:lineRule="exact"/>
        <w:jc w:val="left"/>
        <w:rPr>
          <w:rFonts w:hAnsi="宋体" w:cs="宋体"/>
          <w:color w:val="auto"/>
          <w:highlight w:val="none"/>
        </w:rPr>
      </w:pPr>
      <w:r>
        <w:rPr>
          <w:rFonts w:hint="eastAsia" w:hAnsi="宋体" w:cs="宋体"/>
          <w:color w:val="auto"/>
          <w:highlight w:val="none"/>
        </w:rPr>
        <w:t>协议如下：</w:t>
      </w:r>
    </w:p>
    <w:p w14:paraId="5C160F21">
      <w:pPr>
        <w:spacing w:line="480" w:lineRule="exact"/>
        <w:jc w:val="left"/>
        <w:rPr>
          <w:rFonts w:hAnsi="宋体" w:cs="宋体"/>
          <w:b/>
          <w:bCs/>
          <w:color w:val="auto"/>
          <w:highlight w:val="none"/>
        </w:rPr>
      </w:pPr>
      <w:r>
        <w:rPr>
          <w:rFonts w:hint="eastAsia" w:hAnsi="宋体" w:cs="宋体"/>
          <w:b/>
          <w:bCs/>
          <w:color w:val="auto"/>
          <w:highlight w:val="none"/>
        </w:rPr>
        <w:t>第一条  维保服务所执行的标准</w:t>
      </w:r>
    </w:p>
    <w:p w14:paraId="554F5CA6">
      <w:pPr>
        <w:spacing w:line="480" w:lineRule="exact"/>
        <w:ind w:firstLine="420" w:firstLineChars="200"/>
        <w:jc w:val="left"/>
        <w:rPr>
          <w:rFonts w:hAnsi="宋体" w:cs="宋体"/>
          <w:color w:val="auto"/>
          <w:highlight w:val="none"/>
        </w:rPr>
      </w:pPr>
      <w:r>
        <w:rPr>
          <w:rFonts w:hint="eastAsia" w:hAnsi="宋体" w:cs="宋体"/>
          <w:color w:val="auto"/>
          <w:highlight w:val="none"/>
        </w:rPr>
        <w:t>为明确各自的权利和义务，所执行的标准如下：</w:t>
      </w:r>
    </w:p>
    <w:p w14:paraId="60A22937">
      <w:pPr>
        <w:spacing w:line="480" w:lineRule="exact"/>
        <w:ind w:firstLine="420" w:firstLineChars="200"/>
        <w:jc w:val="left"/>
        <w:rPr>
          <w:rFonts w:hAnsi="宋体" w:cs="宋体"/>
          <w:color w:val="auto"/>
          <w:highlight w:val="none"/>
        </w:rPr>
      </w:pPr>
      <w:r>
        <w:rPr>
          <w:rFonts w:hint="eastAsia" w:hAnsi="宋体" w:cs="宋体"/>
          <w:color w:val="auto"/>
          <w:highlight w:val="none"/>
        </w:rPr>
        <w:t>《中华人民共和国</w:t>
      </w:r>
      <w:r>
        <w:rPr>
          <w:rFonts w:hint="eastAsia" w:hAnsi="宋体" w:cs="宋体"/>
          <w:color w:val="auto"/>
          <w:highlight w:val="none"/>
          <w:lang w:eastAsia="zh-Hans"/>
        </w:rPr>
        <w:t>民法典</w:t>
      </w:r>
      <w:r>
        <w:rPr>
          <w:rFonts w:hint="eastAsia" w:hAnsi="宋体" w:cs="宋体"/>
          <w:color w:val="auto"/>
          <w:highlight w:val="none"/>
        </w:rPr>
        <w:t>》</w:t>
      </w:r>
    </w:p>
    <w:p w14:paraId="481405D0">
      <w:pPr>
        <w:spacing w:line="480" w:lineRule="exact"/>
        <w:ind w:firstLine="420" w:firstLineChars="200"/>
        <w:jc w:val="left"/>
        <w:rPr>
          <w:rFonts w:hAnsi="宋体" w:cs="宋体"/>
          <w:color w:val="auto"/>
          <w:highlight w:val="none"/>
        </w:rPr>
      </w:pPr>
      <w:r>
        <w:rPr>
          <w:rFonts w:hint="eastAsia" w:hAnsi="宋体" w:cs="宋体"/>
          <w:color w:val="auto"/>
          <w:highlight w:val="none"/>
        </w:rPr>
        <w:t>《建设工程质量管理条例》</w:t>
      </w:r>
    </w:p>
    <w:p w14:paraId="432FC671">
      <w:pPr>
        <w:spacing w:line="480" w:lineRule="exact"/>
        <w:ind w:firstLine="420" w:firstLineChars="200"/>
        <w:jc w:val="left"/>
        <w:rPr>
          <w:rFonts w:hAnsi="宋体" w:cs="宋体"/>
          <w:color w:val="auto"/>
          <w:highlight w:val="none"/>
        </w:rPr>
      </w:pPr>
      <w:r>
        <w:rPr>
          <w:rFonts w:hint="eastAsia" w:hAnsi="宋体" w:cs="宋体"/>
          <w:color w:val="auto"/>
          <w:highlight w:val="none"/>
        </w:rPr>
        <w:t>《安全防范系统维护保养规范（GA/T1081-2020）》</w:t>
      </w:r>
    </w:p>
    <w:p w14:paraId="1ADCBAA4">
      <w:pPr>
        <w:spacing w:line="480" w:lineRule="exact"/>
        <w:ind w:firstLine="420" w:firstLineChars="200"/>
        <w:jc w:val="left"/>
        <w:rPr>
          <w:rFonts w:hAnsi="宋体" w:cs="宋体"/>
          <w:color w:val="auto"/>
          <w:highlight w:val="none"/>
        </w:rPr>
      </w:pPr>
      <w:r>
        <w:rPr>
          <w:rFonts w:hint="eastAsia" w:hAnsi="宋体" w:cs="宋体"/>
          <w:color w:val="auto"/>
          <w:highlight w:val="none"/>
        </w:rPr>
        <w:t>《安全防范视频图像系统维护保养规范（DB3206/T1001）》</w:t>
      </w:r>
    </w:p>
    <w:p w14:paraId="20F0D409">
      <w:pPr>
        <w:spacing w:line="480" w:lineRule="exact"/>
        <w:jc w:val="left"/>
        <w:rPr>
          <w:rFonts w:hAnsi="宋体" w:cs="宋体"/>
          <w:b/>
          <w:bCs/>
          <w:color w:val="auto"/>
          <w:highlight w:val="none"/>
        </w:rPr>
      </w:pPr>
      <w:r>
        <w:rPr>
          <w:rFonts w:hint="eastAsia" w:hAnsi="宋体" w:cs="宋体"/>
          <w:b/>
          <w:bCs/>
          <w:color w:val="auto"/>
          <w:highlight w:val="none"/>
        </w:rPr>
        <w:t>第二条  维保服务内容、期限</w:t>
      </w:r>
    </w:p>
    <w:p w14:paraId="5203286C">
      <w:pPr>
        <w:spacing w:line="480" w:lineRule="exact"/>
        <w:ind w:firstLine="420" w:firstLineChars="200"/>
        <w:jc w:val="left"/>
        <w:rPr>
          <w:rFonts w:hAnsi="宋体" w:cs="宋体"/>
          <w:color w:val="auto"/>
          <w:highlight w:val="none"/>
        </w:rPr>
      </w:pPr>
      <w:r>
        <w:rPr>
          <w:rFonts w:hint="eastAsia" w:hAnsi="宋体" w:cs="宋体"/>
          <w:color w:val="auto"/>
          <w:highlight w:val="none"/>
        </w:rPr>
        <w:t>维保服务的内容、期限：</w:t>
      </w:r>
      <w:r>
        <w:rPr>
          <w:rFonts w:hint="eastAsia" w:hAnsi="宋体" w:cs="仿宋"/>
          <w:b/>
          <w:color w:val="auto"/>
          <w:highlight w:val="none"/>
        </w:rPr>
        <w:t>整体项目质保期为5年（其中杆柱质保期为20年，人为因素和自然灾害除外，</w:t>
      </w:r>
      <w:r>
        <w:rPr>
          <w:rFonts w:hint="eastAsia" w:hAnsi="宋体" w:cs="宋体"/>
          <w:color w:val="auto"/>
          <w:highlight w:val="none"/>
        </w:rPr>
        <w:t>起保日期为竣工验收合格次日起）。</w:t>
      </w:r>
    </w:p>
    <w:p w14:paraId="5E329831">
      <w:pPr>
        <w:spacing w:line="480" w:lineRule="exact"/>
        <w:jc w:val="left"/>
        <w:rPr>
          <w:rFonts w:hAnsi="宋体" w:cs="宋体"/>
          <w:b/>
          <w:bCs/>
          <w:color w:val="auto"/>
          <w:highlight w:val="none"/>
        </w:rPr>
      </w:pPr>
      <w:r>
        <w:rPr>
          <w:rFonts w:hint="eastAsia" w:hAnsi="宋体" w:cs="宋体"/>
          <w:b/>
          <w:bCs/>
          <w:color w:val="auto"/>
          <w:highlight w:val="none"/>
        </w:rPr>
        <w:t>第三条  维护方资质</w:t>
      </w:r>
    </w:p>
    <w:p w14:paraId="56056B4A">
      <w:pPr>
        <w:spacing w:line="480" w:lineRule="exact"/>
        <w:ind w:firstLine="420" w:firstLineChars="200"/>
        <w:jc w:val="left"/>
        <w:rPr>
          <w:rFonts w:hAnsi="宋体" w:cs="宋体"/>
          <w:color w:val="auto"/>
          <w:highlight w:val="none"/>
        </w:rPr>
      </w:pPr>
      <w:r>
        <w:rPr>
          <w:rFonts w:hint="eastAsia" w:hAnsi="宋体" w:cs="宋体"/>
          <w:color w:val="auto"/>
          <w:highlight w:val="none"/>
        </w:rPr>
        <w:t>按《安全防范视频图像系统维护保养规范（DB3206/T1001）》附录A中承接系统规模维保系统的标准，本项目维护方为安全防范行业能力评估等级一级；人员具备相应的资格证等。</w:t>
      </w:r>
    </w:p>
    <w:p w14:paraId="28F1C768">
      <w:pPr>
        <w:spacing w:line="480" w:lineRule="exact"/>
        <w:jc w:val="left"/>
        <w:rPr>
          <w:rFonts w:hAnsi="宋体" w:cs="宋体"/>
          <w:b/>
          <w:bCs/>
          <w:color w:val="auto"/>
          <w:highlight w:val="none"/>
        </w:rPr>
      </w:pPr>
      <w:r>
        <w:rPr>
          <w:rFonts w:hint="eastAsia" w:hAnsi="宋体" w:cs="宋体"/>
          <w:b/>
          <w:bCs/>
          <w:color w:val="auto"/>
          <w:highlight w:val="none"/>
        </w:rPr>
        <w:t>第四条  维保的要求、工作程序、工作内容及要求</w:t>
      </w:r>
    </w:p>
    <w:p w14:paraId="5E7BAC3C">
      <w:pPr>
        <w:spacing w:line="480" w:lineRule="exact"/>
        <w:ind w:firstLine="420" w:firstLineChars="200"/>
        <w:jc w:val="left"/>
        <w:rPr>
          <w:rFonts w:hAnsi="宋体" w:cs="宋体"/>
          <w:color w:val="auto"/>
          <w:highlight w:val="none"/>
        </w:rPr>
      </w:pPr>
      <w:r>
        <w:rPr>
          <w:rFonts w:hint="eastAsia" w:hAnsi="宋体" w:cs="宋体"/>
          <w:color w:val="auto"/>
          <w:highlight w:val="none"/>
        </w:rPr>
        <w:t>具体维保的一般要求、工程程序维护工作内容及要求，按《安全防范视频图像系统维护保养规范（DB3206/T1001）》标准要求实施维护工作。</w:t>
      </w:r>
    </w:p>
    <w:p w14:paraId="498B5044">
      <w:pPr>
        <w:spacing w:line="480" w:lineRule="exact"/>
        <w:ind w:firstLine="420" w:firstLineChars="200"/>
        <w:jc w:val="left"/>
        <w:rPr>
          <w:rFonts w:hAnsi="宋体" w:cs="仿宋"/>
          <w:color w:val="auto"/>
          <w:highlight w:val="none"/>
        </w:rPr>
      </w:pPr>
      <w:bookmarkStart w:id="51" w:name="_Hlk183102957"/>
      <w:r>
        <w:rPr>
          <w:rFonts w:hint="eastAsia" w:hAnsi="宋体" w:cs="仿宋"/>
          <w:color w:val="auto"/>
          <w:highlight w:val="none"/>
        </w:rPr>
        <w:t>在质保期内，招标人向中标人发出故障通知后，中标人应当在2小时以内到达现场，一般故障须在24小时内解决，重大故障须在48小时内解决。如现场不能维修解决的故障问题，须提供故障不能排除时的解决方案。</w:t>
      </w:r>
    </w:p>
    <w:bookmarkEnd w:id="51"/>
    <w:p w14:paraId="00930BB6">
      <w:pPr>
        <w:spacing w:line="480" w:lineRule="exact"/>
        <w:jc w:val="left"/>
        <w:rPr>
          <w:rFonts w:hAnsi="宋体" w:cs="宋体"/>
          <w:b/>
          <w:bCs/>
          <w:color w:val="auto"/>
          <w:highlight w:val="none"/>
        </w:rPr>
      </w:pPr>
      <w:r>
        <w:rPr>
          <w:rFonts w:hint="eastAsia" w:hAnsi="宋体" w:cs="宋体"/>
          <w:b/>
          <w:bCs/>
          <w:color w:val="auto"/>
          <w:highlight w:val="none"/>
        </w:rPr>
        <w:t>第五条  故障申告与服务质量投诉方式</w:t>
      </w:r>
    </w:p>
    <w:p w14:paraId="2434F1C7">
      <w:pPr>
        <w:spacing w:line="480" w:lineRule="exact"/>
        <w:ind w:firstLine="420" w:firstLineChars="200"/>
        <w:jc w:val="left"/>
        <w:rPr>
          <w:rFonts w:hAnsi="宋体" w:cs="宋体"/>
          <w:color w:val="auto"/>
          <w:highlight w:val="none"/>
        </w:rPr>
      </w:pPr>
      <w:r>
        <w:rPr>
          <w:rFonts w:hint="eastAsia" w:hAnsi="宋体" w:cs="宋体"/>
          <w:color w:val="auto"/>
          <w:highlight w:val="none"/>
        </w:rPr>
        <w:t>丙方的故障申告电话为：</w:t>
      </w:r>
      <w:r>
        <w:rPr>
          <w:rFonts w:hint="eastAsia" w:hAnsi="宋体" w:cs="宋体"/>
          <w:color w:val="auto"/>
          <w:highlight w:val="none"/>
          <w:u w:val="single"/>
        </w:rPr>
        <w:t xml:space="preserve">              </w:t>
      </w:r>
      <w:r>
        <w:rPr>
          <w:rFonts w:hint="eastAsia" w:hAnsi="宋体" w:cs="宋体"/>
          <w:color w:val="auto"/>
          <w:highlight w:val="none"/>
        </w:rPr>
        <w:t xml:space="preserve"> （7×24小时）</w:t>
      </w:r>
    </w:p>
    <w:p w14:paraId="1E2C1CAA">
      <w:pPr>
        <w:spacing w:line="480" w:lineRule="exact"/>
        <w:ind w:firstLine="420" w:firstLineChars="200"/>
        <w:jc w:val="left"/>
        <w:rPr>
          <w:rFonts w:hAnsi="宋体" w:cs="宋体"/>
          <w:color w:val="auto"/>
          <w:highlight w:val="none"/>
        </w:rPr>
      </w:pPr>
      <w:r>
        <w:rPr>
          <w:rFonts w:hint="eastAsia" w:hAnsi="宋体" w:cs="宋体"/>
          <w:color w:val="auto"/>
          <w:highlight w:val="none"/>
        </w:rPr>
        <w:t>丙方的服务质量投诉电话为：</w:t>
      </w:r>
      <w:r>
        <w:rPr>
          <w:rFonts w:hint="eastAsia" w:hAnsi="宋体" w:cs="宋体"/>
          <w:color w:val="auto"/>
          <w:highlight w:val="none"/>
          <w:u w:val="single"/>
        </w:rPr>
        <w:t xml:space="preserve">         </w:t>
      </w:r>
      <w:r>
        <w:rPr>
          <w:rFonts w:hint="eastAsia" w:hAnsi="宋体" w:cs="宋体"/>
          <w:color w:val="auto"/>
          <w:highlight w:val="none"/>
        </w:rPr>
        <w:t xml:space="preserve">   星期一到星期五8：30-17：30）</w:t>
      </w:r>
    </w:p>
    <w:p w14:paraId="1D545BAC">
      <w:pPr>
        <w:spacing w:line="480" w:lineRule="exact"/>
        <w:jc w:val="left"/>
        <w:rPr>
          <w:rFonts w:hAnsi="宋体" w:cs="宋体"/>
          <w:b/>
          <w:bCs/>
          <w:color w:val="auto"/>
          <w:highlight w:val="none"/>
        </w:rPr>
      </w:pPr>
      <w:r>
        <w:rPr>
          <w:rFonts w:hint="eastAsia" w:hAnsi="宋体" w:cs="宋体"/>
          <w:b/>
          <w:bCs/>
          <w:color w:val="auto"/>
          <w:highlight w:val="none"/>
        </w:rPr>
        <w:t>第六条  服务费用与付款方式</w:t>
      </w:r>
    </w:p>
    <w:p w14:paraId="484D9044">
      <w:pPr>
        <w:spacing w:line="480" w:lineRule="exact"/>
        <w:ind w:firstLine="420" w:firstLineChars="200"/>
        <w:jc w:val="left"/>
        <w:rPr>
          <w:rFonts w:hAnsi="宋体" w:cs="宋体"/>
          <w:color w:val="auto"/>
          <w:highlight w:val="none"/>
        </w:rPr>
      </w:pPr>
      <w:r>
        <w:rPr>
          <w:rFonts w:hint="eastAsia"/>
          <w:color w:val="auto"/>
          <w:highlight w:val="none"/>
        </w:rPr>
        <w:t>6.1</w:t>
      </w:r>
      <w:r>
        <w:rPr>
          <w:color w:val="auto"/>
          <w:highlight w:val="none"/>
        </w:rPr>
        <w:t>本项目维护维保费用包含在合同总价中，不单独支付</w:t>
      </w:r>
    </w:p>
    <w:p w14:paraId="62A45A6E">
      <w:pPr>
        <w:spacing w:line="480" w:lineRule="exact"/>
        <w:ind w:firstLine="422" w:firstLineChars="200"/>
        <w:jc w:val="left"/>
        <w:rPr>
          <w:rFonts w:hAnsi="宋体" w:cs="宋体"/>
          <w:b/>
          <w:bCs/>
          <w:color w:val="auto"/>
          <w:highlight w:val="none"/>
        </w:rPr>
      </w:pPr>
      <w:r>
        <w:rPr>
          <w:rFonts w:hint="eastAsia" w:hAnsi="宋体" w:cs="宋体"/>
          <w:b/>
          <w:bCs/>
          <w:color w:val="auto"/>
          <w:highlight w:val="none"/>
        </w:rPr>
        <w:t>第七条  责任与义务</w:t>
      </w:r>
    </w:p>
    <w:p w14:paraId="562E0853">
      <w:pPr>
        <w:spacing w:line="480" w:lineRule="exact"/>
        <w:ind w:firstLine="420" w:firstLineChars="200"/>
        <w:jc w:val="left"/>
        <w:rPr>
          <w:rFonts w:hAnsi="宋体" w:cs="宋体"/>
          <w:color w:val="auto"/>
          <w:highlight w:val="none"/>
        </w:rPr>
      </w:pPr>
      <w:r>
        <w:rPr>
          <w:rFonts w:hint="eastAsia" w:hAnsi="宋体" w:cs="宋体"/>
          <w:color w:val="auto"/>
          <w:highlight w:val="none"/>
        </w:rPr>
        <w:t>7.1丙方违约的处理：</w:t>
      </w:r>
    </w:p>
    <w:p w14:paraId="3F02343D">
      <w:pPr>
        <w:spacing w:line="480" w:lineRule="exact"/>
        <w:ind w:firstLine="420" w:firstLineChars="200"/>
        <w:jc w:val="left"/>
        <w:rPr>
          <w:rFonts w:hAnsi="宋体" w:cs="宋体"/>
          <w:color w:val="auto"/>
          <w:highlight w:val="none"/>
        </w:rPr>
      </w:pPr>
      <w:r>
        <w:rPr>
          <w:rFonts w:hint="eastAsia" w:hAnsi="宋体" w:cs="宋体"/>
          <w:color w:val="auto"/>
          <w:highlight w:val="none"/>
        </w:rPr>
        <w:t>7.1.1运维人员：必须按《安全防范视频图像系统维护保养规范（DB3206/T1001）》的要求提交需要的资格证并通过政审合格及技术核查后签订保密协议的人员。非指定人员，发现第一次，</w:t>
      </w:r>
      <w:r>
        <w:rPr>
          <w:rFonts w:hint="eastAsia" w:hAnsi="宋体" w:cs="宋体"/>
          <w:color w:val="auto"/>
          <w:highlight w:val="none"/>
        </w:rPr>
        <w:t>扣除未支付余款的10%；发现第二次，扣除未支付余款的20%，</w:t>
      </w:r>
      <w:r>
        <w:rPr>
          <w:rFonts w:hint="eastAsia" w:hAnsi="宋体" w:cs="宋体"/>
          <w:color w:val="auto"/>
          <w:highlight w:val="none"/>
        </w:rPr>
        <w:t>且丙方必须维保至本周期结束。</w:t>
      </w:r>
    </w:p>
    <w:p w14:paraId="529AEB11">
      <w:pPr>
        <w:spacing w:line="480" w:lineRule="exact"/>
        <w:ind w:firstLine="420" w:firstLineChars="200"/>
        <w:jc w:val="left"/>
        <w:rPr>
          <w:rFonts w:hAnsi="宋体" w:cs="宋体"/>
          <w:color w:val="auto"/>
          <w:highlight w:val="none"/>
        </w:rPr>
      </w:pPr>
      <w:r>
        <w:rPr>
          <w:rFonts w:hint="eastAsia" w:hAnsi="宋体" w:cs="宋体"/>
          <w:color w:val="auto"/>
          <w:highlight w:val="none"/>
        </w:rPr>
        <w:t>7.1.2 按《安全防范视频图像系统维护保养规范（DB3206/T1001）》的标准，丙方每6个月上交一次保养表格。具体为《安全防范视频图像系统维护保养规范（DB3206/T1001）》标准中的附件表，每年7月10日前交上半年的表格。每年1月11日前交下半年度表格。表1.8每月5日前上交。表1.1至表1.7如实填写，按时递交，如有违反，</w:t>
      </w:r>
      <w:r>
        <w:rPr>
          <w:rFonts w:hint="eastAsia" w:hAnsi="宋体" w:cs="宋体"/>
          <w:color w:val="auto"/>
          <w:highlight w:val="none"/>
        </w:rPr>
        <w:t>扣除未支付余款的10%</w:t>
      </w:r>
      <w:r>
        <w:rPr>
          <w:rFonts w:hint="eastAsia" w:hAnsi="宋体" w:cs="宋体"/>
          <w:color w:val="auto"/>
          <w:highlight w:val="none"/>
        </w:rPr>
        <w:t>；表１.8如实填写，按时递交,如有违反,按200元/次扣减。</w:t>
      </w:r>
    </w:p>
    <w:p w14:paraId="1C38BC07">
      <w:pPr>
        <w:spacing w:line="480" w:lineRule="exact"/>
        <w:ind w:firstLine="420" w:firstLineChars="200"/>
        <w:jc w:val="left"/>
        <w:rPr>
          <w:rFonts w:hAnsi="宋体" w:cs="宋体"/>
          <w:color w:val="auto"/>
          <w:highlight w:val="none"/>
        </w:rPr>
      </w:pPr>
      <w:r>
        <w:rPr>
          <w:rFonts w:hint="eastAsia" w:hAnsi="宋体" w:cs="宋体"/>
          <w:color w:val="auto"/>
          <w:highlight w:val="none"/>
        </w:rPr>
        <w:t>7.1.3 违反公安视频图像使用管理规范的,扣减丙方</w:t>
      </w:r>
      <w:r>
        <w:rPr>
          <w:rFonts w:hint="eastAsia" w:hAnsi="宋体" w:cs="宋体"/>
          <w:color w:val="auto"/>
          <w:highlight w:val="none"/>
        </w:rPr>
        <w:t>未支付余款的10%</w:t>
      </w:r>
      <w:r>
        <w:rPr>
          <w:rFonts w:hint="eastAsia" w:hAnsi="宋体" w:cs="宋体"/>
          <w:color w:val="auto"/>
          <w:highlight w:val="none"/>
        </w:rPr>
        <w:t>,并由丙方承相应的法律责任。</w:t>
      </w:r>
    </w:p>
    <w:p w14:paraId="47920BA5">
      <w:pPr>
        <w:spacing w:line="480" w:lineRule="exact"/>
        <w:ind w:firstLine="420" w:firstLineChars="200"/>
        <w:jc w:val="left"/>
        <w:rPr>
          <w:rFonts w:hAnsi="宋体" w:cs="宋体"/>
          <w:color w:val="auto"/>
          <w:highlight w:val="none"/>
        </w:rPr>
      </w:pPr>
      <w:r>
        <w:rPr>
          <w:rFonts w:hint="eastAsia" w:hAnsi="宋体" w:cs="宋体"/>
          <w:color w:val="auto"/>
          <w:highlight w:val="none"/>
        </w:rPr>
        <w:t>7.1.4  丙方故障维修延误的，按延误总天数/365×10×</w:t>
      </w:r>
      <w:r>
        <w:rPr>
          <w:rFonts w:hint="eastAsia" w:hAnsi="宋体" w:cs="宋体"/>
          <w:color w:val="auto"/>
          <w:highlight w:val="none"/>
        </w:rPr>
        <w:t>未支付余款</w:t>
      </w:r>
      <w:r>
        <w:rPr>
          <w:rFonts w:hint="eastAsia" w:hAnsi="宋体" w:cs="宋体"/>
          <w:color w:val="auto"/>
          <w:highlight w:val="none"/>
        </w:rPr>
        <w:t>/图像数扣减。</w:t>
      </w:r>
    </w:p>
    <w:p w14:paraId="48D58E22">
      <w:pPr>
        <w:spacing w:line="480" w:lineRule="exact"/>
        <w:ind w:firstLine="420" w:firstLineChars="200"/>
        <w:jc w:val="left"/>
        <w:rPr>
          <w:rFonts w:hAnsi="宋体" w:cs="宋体"/>
          <w:color w:val="auto"/>
          <w:highlight w:val="none"/>
        </w:rPr>
      </w:pPr>
      <w:r>
        <w:rPr>
          <w:rFonts w:hint="eastAsia" w:hAnsi="宋体" w:cs="宋体"/>
          <w:color w:val="auto"/>
          <w:highlight w:val="none"/>
        </w:rPr>
        <w:t>如丙方不能履行本项目的质保与维护服务、不能兑现承诺和正常履行质维保期内的责职，甲方可指定第三方服务，由此产生的一切直接费用、延误责任按（当年委托第三方服务所产生的总费用1.5倍计取）,若发现在维保中随意调换设备器材等按原设备投标价3倍计取,</w:t>
      </w:r>
      <w:r>
        <w:rPr>
          <w:rFonts w:hint="eastAsia" w:hAnsi="宋体" w:cs="宋体"/>
          <w:color w:val="auto"/>
          <w:highlight w:val="none"/>
        </w:rPr>
        <w:t>甲方均从未支付余款中进行扣除,若出现不够抵扣时其差额款均由丙方另行承付。</w:t>
      </w:r>
    </w:p>
    <w:p w14:paraId="43BA9C59">
      <w:pPr>
        <w:spacing w:line="480" w:lineRule="exact"/>
        <w:ind w:firstLine="420" w:firstLineChars="200"/>
        <w:jc w:val="left"/>
        <w:rPr>
          <w:rFonts w:hAnsi="宋体" w:cs="宋体"/>
          <w:b/>
          <w:bCs/>
          <w:color w:val="auto"/>
          <w:highlight w:val="none"/>
        </w:rPr>
      </w:pPr>
      <w:r>
        <w:rPr>
          <w:rFonts w:hint="eastAsia" w:hAnsi="宋体" w:cs="宋体"/>
          <w:color w:val="auto"/>
          <w:highlight w:val="none"/>
        </w:rPr>
        <w:t>7.1.5必须确保维护系统的畅通率，若维保的系统故障率超出1%至5%内，即扣减未支付余款的50%；若故障率超出5%至10%内，即扣减未支付余款的80%；若故障率超出10%，即扣除全部未支付余款。甲方可视情况终止本协议，并不再支付以后的维保费用，另落实维保单位。</w:t>
      </w:r>
    </w:p>
    <w:p w14:paraId="690CCEAF">
      <w:pPr>
        <w:spacing w:line="480" w:lineRule="exact"/>
        <w:ind w:firstLine="422" w:firstLineChars="200"/>
        <w:jc w:val="left"/>
        <w:rPr>
          <w:rFonts w:hAnsi="宋体" w:cs="宋体"/>
          <w:b/>
          <w:bCs/>
          <w:color w:val="auto"/>
          <w:highlight w:val="none"/>
        </w:rPr>
      </w:pPr>
      <w:r>
        <w:rPr>
          <w:rFonts w:hint="eastAsia" w:hAnsi="宋体" w:cs="宋体"/>
          <w:b/>
          <w:bCs/>
          <w:color w:val="auto"/>
          <w:highlight w:val="none"/>
        </w:rPr>
        <w:t>第八条 纠纷解决</w:t>
      </w:r>
    </w:p>
    <w:p w14:paraId="2B61ECF0">
      <w:pPr>
        <w:spacing w:line="480" w:lineRule="exact"/>
        <w:ind w:firstLine="420" w:firstLineChars="200"/>
        <w:jc w:val="left"/>
        <w:rPr>
          <w:rFonts w:hAnsi="宋体" w:cs="宋体"/>
          <w:color w:val="auto"/>
          <w:highlight w:val="none"/>
        </w:rPr>
      </w:pPr>
      <w:r>
        <w:rPr>
          <w:rFonts w:hint="eastAsia" w:hAnsi="宋体" w:cs="宋体"/>
          <w:color w:val="auto"/>
          <w:highlight w:val="none"/>
        </w:rPr>
        <w:t>8.1 发生与本协议有关的争议，双方应通过友好协商解决；若无法协商解决，则由合同履行所在地的仲裁委员会仲裁。</w:t>
      </w:r>
    </w:p>
    <w:p w14:paraId="66CB7319">
      <w:pPr>
        <w:spacing w:line="480" w:lineRule="exact"/>
        <w:ind w:firstLine="420" w:firstLineChars="200"/>
        <w:jc w:val="left"/>
        <w:rPr>
          <w:rFonts w:hAnsi="宋体" w:cs="宋体"/>
          <w:color w:val="auto"/>
          <w:highlight w:val="none"/>
        </w:rPr>
      </w:pPr>
      <w:r>
        <w:rPr>
          <w:rFonts w:hint="eastAsia" w:hAnsi="宋体" w:cs="宋体"/>
          <w:color w:val="auto"/>
          <w:highlight w:val="none"/>
        </w:rPr>
        <w:t>8.2 在争议处理过程中，除下在协商或仲裁的部分外，协议的其它部</w:t>
      </w:r>
      <w:r>
        <w:rPr>
          <w:rFonts w:hint="eastAsia" w:hAnsi="宋体" w:cs="宋体"/>
          <w:color w:val="auto"/>
          <w:highlight w:val="none"/>
          <w:lang w:val="en-US" w:eastAsia="zh-CN"/>
        </w:rPr>
        <w:t>分</w:t>
      </w:r>
      <w:r>
        <w:rPr>
          <w:rFonts w:hint="eastAsia" w:hAnsi="宋体" w:cs="宋体"/>
          <w:color w:val="auto"/>
          <w:highlight w:val="none"/>
        </w:rPr>
        <w:t>继续履行。</w:t>
      </w:r>
    </w:p>
    <w:p w14:paraId="260B83F7">
      <w:pPr>
        <w:spacing w:line="480" w:lineRule="exact"/>
        <w:ind w:firstLine="422" w:firstLineChars="200"/>
        <w:jc w:val="left"/>
        <w:rPr>
          <w:rFonts w:hAnsi="宋体" w:cs="宋体"/>
          <w:b/>
          <w:bCs/>
          <w:color w:val="auto"/>
          <w:highlight w:val="none"/>
        </w:rPr>
      </w:pPr>
      <w:r>
        <w:rPr>
          <w:rFonts w:hint="eastAsia" w:hAnsi="宋体" w:cs="宋体"/>
          <w:b/>
          <w:bCs/>
          <w:color w:val="auto"/>
          <w:highlight w:val="none"/>
        </w:rPr>
        <w:t>第九条 其他事项</w:t>
      </w:r>
    </w:p>
    <w:p w14:paraId="22D25434">
      <w:pPr>
        <w:spacing w:line="480" w:lineRule="exact"/>
        <w:ind w:firstLine="420" w:firstLineChars="200"/>
        <w:jc w:val="left"/>
        <w:rPr>
          <w:rFonts w:hAnsi="宋体" w:cs="宋体"/>
          <w:color w:val="auto"/>
          <w:highlight w:val="none"/>
        </w:rPr>
      </w:pPr>
      <w:r>
        <w:rPr>
          <w:rFonts w:hint="eastAsia" w:hAnsi="宋体" w:cs="宋体"/>
          <w:color w:val="auto"/>
          <w:highlight w:val="none"/>
        </w:rPr>
        <w:t>9.1 《安全防范视频图像系统维护保养规范（DB3206/T1001）》作为本合同附件。</w:t>
      </w:r>
    </w:p>
    <w:p w14:paraId="79F50E94">
      <w:pPr>
        <w:spacing w:line="480" w:lineRule="exact"/>
        <w:ind w:firstLine="420" w:firstLineChars="200"/>
        <w:jc w:val="left"/>
        <w:rPr>
          <w:rFonts w:hAnsi="宋体" w:cs="宋体"/>
          <w:color w:val="auto"/>
          <w:highlight w:val="none"/>
        </w:rPr>
      </w:pPr>
      <w:r>
        <w:rPr>
          <w:rFonts w:hint="eastAsia" w:hAnsi="宋体" w:cs="宋体"/>
          <w:color w:val="auto"/>
          <w:highlight w:val="none"/>
        </w:rPr>
        <w:t>9.2 以往项目的维保（在保修期内的）参照此合同所有条款执行。</w:t>
      </w:r>
    </w:p>
    <w:p w14:paraId="493D2CBD">
      <w:pPr>
        <w:spacing w:line="480" w:lineRule="exact"/>
        <w:ind w:firstLine="420" w:firstLineChars="200"/>
        <w:jc w:val="left"/>
        <w:rPr>
          <w:rFonts w:hAnsi="宋体" w:cs="宋体"/>
          <w:color w:val="auto"/>
          <w:highlight w:val="none"/>
        </w:rPr>
      </w:pPr>
      <w:r>
        <w:rPr>
          <w:rFonts w:hint="eastAsia" w:hAnsi="宋体" w:cs="宋体"/>
          <w:color w:val="auto"/>
          <w:highlight w:val="none"/>
        </w:rPr>
        <w:t>9.3因不可抗力因素所导致一方维护进程之拖延或不能履行协议规定之义务，另一方无权追究对方责任。</w:t>
      </w:r>
    </w:p>
    <w:p w14:paraId="4AEA3AEE">
      <w:pPr>
        <w:spacing w:line="480" w:lineRule="exact"/>
        <w:ind w:firstLine="420" w:firstLineChars="200"/>
        <w:jc w:val="left"/>
        <w:rPr>
          <w:rFonts w:hAnsi="宋体" w:cs="宋体"/>
          <w:color w:val="auto"/>
          <w:highlight w:val="none"/>
        </w:rPr>
      </w:pPr>
      <w:r>
        <w:rPr>
          <w:rFonts w:hint="eastAsia" w:hAnsi="宋体" w:cs="宋体"/>
          <w:color w:val="auto"/>
          <w:highlight w:val="none"/>
        </w:rPr>
        <w:t>9.4 本协议未尽事宜，双方协商解决。</w:t>
      </w:r>
    </w:p>
    <w:p w14:paraId="16E3A85C">
      <w:pPr>
        <w:spacing w:line="480" w:lineRule="exact"/>
        <w:jc w:val="left"/>
        <w:rPr>
          <w:rFonts w:hAnsi="宋体" w:cs="宋体"/>
          <w:color w:val="auto"/>
          <w:highlight w:val="none"/>
        </w:rPr>
      </w:pPr>
    </w:p>
    <w:p w14:paraId="36BE9A7A">
      <w:pPr>
        <w:spacing w:line="480" w:lineRule="exact"/>
        <w:jc w:val="left"/>
        <w:rPr>
          <w:rFonts w:hAnsi="宋体" w:cs="宋体"/>
          <w:color w:val="auto"/>
          <w:highlight w:val="none"/>
        </w:rPr>
      </w:pPr>
      <w:r>
        <w:rPr>
          <w:rFonts w:hint="eastAsia" w:hAnsi="宋体" w:cs="宋体"/>
          <w:color w:val="auto"/>
          <w:highlight w:val="none"/>
        </w:rPr>
        <w:t xml:space="preserve">甲方：        </w:t>
      </w:r>
    </w:p>
    <w:p w14:paraId="493917FB">
      <w:pPr>
        <w:spacing w:line="480" w:lineRule="exact"/>
        <w:ind w:firstLine="420" w:firstLineChars="200"/>
        <w:jc w:val="left"/>
        <w:rPr>
          <w:rFonts w:hAnsi="宋体" w:cs="宋体"/>
          <w:color w:val="auto"/>
          <w:highlight w:val="none"/>
        </w:rPr>
      </w:pPr>
    </w:p>
    <w:p w14:paraId="2E59D3F9">
      <w:pPr>
        <w:spacing w:line="480" w:lineRule="exact"/>
        <w:jc w:val="left"/>
        <w:rPr>
          <w:rFonts w:hAnsi="宋体" w:cs="宋体"/>
          <w:color w:val="auto"/>
          <w:highlight w:val="none"/>
        </w:rPr>
      </w:pPr>
      <w:r>
        <w:rPr>
          <w:rFonts w:hint="eastAsia" w:hAnsi="宋体" w:cs="宋体"/>
          <w:color w:val="auto"/>
          <w:highlight w:val="none"/>
        </w:rPr>
        <w:t xml:space="preserve">法定代表人或授权委托人：               </w:t>
      </w:r>
    </w:p>
    <w:p w14:paraId="4725BE7D">
      <w:pPr>
        <w:spacing w:line="480" w:lineRule="exact"/>
        <w:jc w:val="left"/>
        <w:rPr>
          <w:rFonts w:hAnsi="宋体" w:cs="宋体"/>
          <w:color w:val="auto"/>
          <w:highlight w:val="none"/>
        </w:rPr>
      </w:pPr>
      <w:r>
        <w:rPr>
          <w:rFonts w:hint="eastAsia" w:hAnsi="宋体" w:cs="宋体"/>
          <w:color w:val="auto"/>
          <w:highlight w:val="none"/>
        </w:rPr>
        <w:t xml:space="preserve">签订日期：    年   月   日            </w:t>
      </w:r>
    </w:p>
    <w:p w14:paraId="0E09A2BF">
      <w:pPr>
        <w:spacing w:line="480" w:lineRule="exact"/>
        <w:jc w:val="left"/>
        <w:rPr>
          <w:rFonts w:hAnsi="宋体" w:cs="宋体"/>
          <w:color w:val="auto"/>
          <w:highlight w:val="none"/>
        </w:rPr>
      </w:pPr>
    </w:p>
    <w:p w14:paraId="22B52AFE">
      <w:pPr>
        <w:rPr>
          <w:rFonts w:hAnsi="宋体" w:cs="宋体"/>
          <w:color w:val="auto"/>
          <w:highlight w:val="none"/>
        </w:rPr>
      </w:pPr>
      <w:r>
        <w:rPr>
          <w:rFonts w:hint="eastAsia" w:hAnsi="宋体" w:cs="宋体"/>
          <w:color w:val="auto"/>
          <w:highlight w:val="none"/>
        </w:rPr>
        <w:t>乙方：</w:t>
      </w:r>
    </w:p>
    <w:p w14:paraId="1B3F0F31">
      <w:pPr>
        <w:spacing w:line="480" w:lineRule="exact"/>
        <w:jc w:val="left"/>
        <w:rPr>
          <w:rFonts w:hAnsi="宋体" w:cs="宋体"/>
          <w:color w:val="auto"/>
          <w:highlight w:val="none"/>
        </w:rPr>
      </w:pPr>
    </w:p>
    <w:p w14:paraId="5D369820">
      <w:pPr>
        <w:spacing w:line="480" w:lineRule="exact"/>
        <w:jc w:val="left"/>
        <w:rPr>
          <w:rFonts w:hAnsi="宋体" w:cs="宋体"/>
          <w:color w:val="auto"/>
          <w:highlight w:val="none"/>
        </w:rPr>
      </w:pPr>
      <w:r>
        <w:rPr>
          <w:rFonts w:hint="eastAsia" w:hAnsi="宋体" w:cs="宋体"/>
          <w:color w:val="auto"/>
          <w:highlight w:val="none"/>
        </w:rPr>
        <w:t xml:space="preserve">法定代表人或授权委托人：                </w:t>
      </w:r>
    </w:p>
    <w:p w14:paraId="1276EEDA">
      <w:pPr>
        <w:spacing w:line="480" w:lineRule="exact"/>
        <w:jc w:val="left"/>
        <w:rPr>
          <w:rFonts w:hAnsi="宋体" w:cs="宋体"/>
          <w:color w:val="auto"/>
          <w:highlight w:val="none"/>
        </w:rPr>
      </w:pPr>
      <w:r>
        <w:rPr>
          <w:rFonts w:hint="eastAsia" w:hAnsi="宋体" w:cs="宋体"/>
          <w:color w:val="auto"/>
          <w:highlight w:val="none"/>
        </w:rPr>
        <w:t xml:space="preserve">签订日期：    年    月   日             </w:t>
      </w:r>
    </w:p>
    <w:p w14:paraId="77B5D1E5">
      <w:pPr>
        <w:spacing w:line="480" w:lineRule="exact"/>
        <w:jc w:val="left"/>
        <w:rPr>
          <w:rFonts w:hAnsi="宋体" w:cs="宋体"/>
          <w:color w:val="auto"/>
          <w:highlight w:val="none"/>
        </w:rPr>
      </w:pPr>
    </w:p>
    <w:p w14:paraId="154240F2">
      <w:pPr>
        <w:rPr>
          <w:rFonts w:hAnsi="宋体" w:cs="宋体"/>
          <w:color w:val="auto"/>
          <w:highlight w:val="none"/>
        </w:rPr>
      </w:pPr>
    </w:p>
    <w:p w14:paraId="29C2360B">
      <w:pPr>
        <w:rPr>
          <w:rFonts w:hAnsi="宋体" w:cs="宋体"/>
          <w:color w:val="auto"/>
          <w:highlight w:val="none"/>
        </w:rPr>
      </w:pPr>
    </w:p>
    <w:p w14:paraId="1AA00B55">
      <w:pPr>
        <w:rPr>
          <w:rFonts w:hAnsi="宋体" w:cs="宋体"/>
          <w:color w:val="auto"/>
          <w:highlight w:val="none"/>
        </w:rPr>
      </w:pPr>
      <w:r>
        <w:rPr>
          <w:rFonts w:hint="eastAsia" w:hAnsi="宋体" w:cs="宋体"/>
          <w:color w:val="auto"/>
          <w:highlight w:val="none"/>
        </w:rPr>
        <w:t>丙方：</w:t>
      </w:r>
    </w:p>
    <w:p w14:paraId="08DF6C5C">
      <w:pPr>
        <w:spacing w:line="480" w:lineRule="exact"/>
        <w:jc w:val="left"/>
        <w:rPr>
          <w:rFonts w:hAnsi="宋体" w:cs="宋体"/>
          <w:color w:val="auto"/>
          <w:highlight w:val="none"/>
        </w:rPr>
      </w:pPr>
    </w:p>
    <w:p w14:paraId="7E4CCCE6">
      <w:pPr>
        <w:spacing w:line="480" w:lineRule="exact"/>
        <w:jc w:val="left"/>
        <w:rPr>
          <w:rFonts w:hAnsi="宋体" w:cs="宋体"/>
          <w:color w:val="auto"/>
          <w:highlight w:val="none"/>
        </w:rPr>
      </w:pPr>
      <w:r>
        <w:rPr>
          <w:rFonts w:hint="eastAsia" w:hAnsi="宋体" w:cs="宋体"/>
          <w:color w:val="auto"/>
          <w:highlight w:val="none"/>
        </w:rPr>
        <w:t>法定代表人或授权委托人：</w:t>
      </w:r>
    </w:p>
    <w:p w14:paraId="635D9EB2">
      <w:pPr>
        <w:spacing w:line="480" w:lineRule="exact"/>
        <w:jc w:val="left"/>
        <w:rPr>
          <w:rFonts w:hAnsi="宋体" w:cs="宋体"/>
          <w:color w:val="auto"/>
          <w:highlight w:val="none"/>
        </w:rPr>
      </w:pPr>
      <w:r>
        <w:rPr>
          <w:rFonts w:hint="eastAsia" w:hAnsi="宋体" w:cs="宋体"/>
          <w:color w:val="auto"/>
          <w:highlight w:val="none"/>
        </w:rPr>
        <w:t>签订日期：    年    月   日</w:t>
      </w:r>
    </w:p>
    <w:p w14:paraId="582078B4">
      <w:pPr>
        <w:snapToGrid w:val="0"/>
        <w:spacing w:line="400" w:lineRule="atLeast"/>
        <w:ind w:firstLine="723" w:firstLineChars="200"/>
        <w:jc w:val="center"/>
        <w:outlineLvl w:val="0"/>
        <w:rPr>
          <w:rFonts w:eastAsia="仿宋_GB2312"/>
          <w:b/>
          <w:color w:val="auto"/>
          <w:sz w:val="36"/>
          <w:szCs w:val="36"/>
          <w:highlight w:val="none"/>
        </w:rPr>
        <w:sectPr>
          <w:pgSz w:w="11906" w:h="16838"/>
          <w:pgMar w:top="1418" w:right="1474" w:bottom="1418" w:left="1474" w:header="851" w:footer="907" w:gutter="0"/>
          <w:cols w:space="720" w:num="1"/>
          <w:docGrid w:type="lines" w:linePitch="312" w:charSpace="0"/>
        </w:sectPr>
      </w:pPr>
    </w:p>
    <w:p w14:paraId="1322D5E3">
      <w:pPr>
        <w:pStyle w:val="2"/>
        <w:spacing w:line="360" w:lineRule="auto"/>
        <w:jc w:val="center"/>
        <w:rPr>
          <w:rFonts w:ascii="宋体" w:hAnsi="宋体"/>
          <w:color w:val="auto"/>
          <w:sz w:val="36"/>
          <w:highlight w:val="none"/>
        </w:rPr>
      </w:pPr>
      <w:bookmarkStart w:id="52" w:name="_Toc404159961"/>
      <w:r>
        <w:rPr>
          <w:rFonts w:ascii="宋体" w:hAnsi="宋体"/>
          <w:color w:val="auto"/>
          <w:sz w:val="36"/>
          <w:highlight w:val="none"/>
        </w:rPr>
        <w:t>第四章</w:t>
      </w:r>
      <w:bookmarkEnd w:id="52"/>
      <w:r>
        <w:rPr>
          <w:rFonts w:hint="eastAsia" w:ascii="宋体" w:hAnsi="宋体"/>
          <w:color w:val="auto"/>
          <w:sz w:val="36"/>
          <w:highlight w:val="none"/>
        </w:rPr>
        <w:t xml:space="preserve"> 技术标准和要求</w:t>
      </w:r>
    </w:p>
    <w:p w14:paraId="3A742228">
      <w:pPr>
        <w:widowControl/>
        <w:spacing w:line="480" w:lineRule="exact"/>
        <w:jc w:val="left"/>
        <w:rPr>
          <w:b/>
          <w:bCs/>
          <w:color w:val="auto"/>
          <w:sz w:val="32"/>
          <w:szCs w:val="32"/>
          <w:highlight w:val="none"/>
        </w:rPr>
      </w:pPr>
      <w:r>
        <w:rPr>
          <w:b/>
          <w:bCs/>
          <w:color w:val="auto"/>
          <w:sz w:val="32"/>
          <w:szCs w:val="32"/>
          <w:highlight w:val="none"/>
        </w:rPr>
        <w:t>（一）采购标的需实现的功能或者目标,以及为落实采购政策需满足的要求</w:t>
      </w:r>
    </w:p>
    <w:p w14:paraId="153B9FE8">
      <w:pPr>
        <w:pStyle w:val="27"/>
        <w:ind w:firstLine="420"/>
        <w:rPr>
          <w:rFonts w:ascii="宋体" w:hAnsi="宋体" w:cs="仿宋"/>
          <w:color w:val="auto"/>
          <w:highlight w:val="none"/>
          <w:shd w:val="clear" w:color="auto" w:fill="FFFFFF"/>
        </w:rPr>
      </w:pPr>
      <w:bookmarkStart w:id="53" w:name="OLE_LINK8"/>
      <w:r>
        <w:rPr>
          <w:rFonts w:hint="eastAsia" w:ascii="宋体" w:hAnsi="宋体" w:cs="仿宋"/>
          <w:color w:val="auto"/>
          <w:highlight w:val="none"/>
          <w:shd w:val="clear" w:color="auto" w:fill="FFFFFF"/>
        </w:rPr>
        <w:t>2024年崇川区老旧小区改造根据崇川区发展改革部门安排的计划改造钟秀街道以下小区：</w:t>
      </w:r>
    </w:p>
    <w:p w14:paraId="2B723151">
      <w:pPr>
        <w:pStyle w:val="27"/>
        <w:ind w:firstLine="420"/>
        <w:rPr>
          <w:rFonts w:ascii="宋体" w:hAnsi="宋体" w:cs="仿宋"/>
          <w:color w:val="auto"/>
          <w:highlight w:val="none"/>
          <w:shd w:val="clear" w:color="auto" w:fill="FFFFFF"/>
        </w:rPr>
      </w:pPr>
      <w:r>
        <w:rPr>
          <w:rFonts w:hint="eastAsia" w:ascii="宋体" w:hAnsi="宋体" w:cs="仿宋"/>
          <w:color w:val="auto"/>
          <w:highlight w:val="none"/>
          <w:shd w:val="clear" w:color="auto" w:fill="FFFFFF"/>
        </w:rPr>
        <w:t>1、钟秀濠西花园东至濠西路、西至天元小学、南至濠西园华迪小区、北至红庙子河，本次改造濠西花园（濠西居委会、濠西园32、35、36、39、40、42-49幢）及周边改造共计涉及14栋楼，小区设有西侧、东侧出入口4处，东侧2处为人车分流出入口，1处为人行出入口，西侧1处为人行出入口，其中西侧出入口根据街道意见保持现状为人行出入口，本次建设设置母消防通道门，平时大门常闭，子门常开，子门下面不设门槛，仅允许非机动车及人员通行，小区值班室设在东北侧出入口岗亭内。</w:t>
      </w:r>
    </w:p>
    <w:p w14:paraId="56DAC671">
      <w:pPr>
        <w:pStyle w:val="27"/>
        <w:ind w:firstLine="420"/>
        <w:rPr>
          <w:rFonts w:ascii="宋体" w:hAnsi="宋体" w:cs="仿宋"/>
          <w:color w:val="auto"/>
          <w:highlight w:val="none"/>
          <w:shd w:val="clear" w:color="auto" w:fill="FFFFFF"/>
        </w:rPr>
      </w:pPr>
      <w:r>
        <w:rPr>
          <w:rFonts w:hint="eastAsia" w:ascii="宋体" w:hAnsi="宋体" w:cs="仿宋"/>
          <w:color w:val="auto"/>
          <w:highlight w:val="none"/>
          <w:shd w:val="clear" w:color="auto" w:fill="FFFFFF"/>
        </w:rPr>
        <w:t>2.</w:t>
      </w:r>
      <w:r>
        <w:rPr>
          <w:rFonts w:hint="eastAsia" w:ascii="宋体" w:hAnsi="宋体" w:cs="仿宋"/>
          <w:color w:val="auto"/>
          <w:highlight w:val="none"/>
          <w:shd w:val="clear" w:color="auto" w:fill="FFFFFF"/>
        </w:rPr>
        <w:tab/>
      </w:r>
      <w:r>
        <w:rPr>
          <w:rFonts w:hint="eastAsia" w:ascii="宋体" w:hAnsi="宋体" w:cs="仿宋"/>
          <w:color w:val="auto"/>
          <w:highlight w:val="none"/>
          <w:shd w:val="clear" w:color="auto" w:fill="FFFFFF"/>
        </w:rPr>
        <w:t>钟秀华迪小区东至华迪东区小区、西至天元路、南至濠西支路、北至濠西花园小区，本次改造濠西园华迪小区（濠西园27-31幢、33、34、37、38、41幢）及周边改造共计涉及10栋楼，小区设有南侧出入口1处，为人车分流出入口，小区值班室设在南侧出入口岗亭内。</w:t>
      </w:r>
    </w:p>
    <w:p w14:paraId="21FBCAF9">
      <w:pPr>
        <w:pStyle w:val="27"/>
        <w:ind w:firstLine="420"/>
        <w:rPr>
          <w:rFonts w:ascii="宋体" w:hAnsi="宋体" w:cs="仿宋"/>
          <w:color w:val="auto"/>
          <w:highlight w:val="none"/>
          <w:shd w:val="clear" w:color="auto" w:fill="FFFFFF"/>
        </w:rPr>
      </w:pPr>
      <w:r>
        <w:rPr>
          <w:rFonts w:hint="eastAsia" w:ascii="宋体" w:hAnsi="宋体" w:cs="仿宋"/>
          <w:color w:val="auto"/>
          <w:highlight w:val="none"/>
          <w:shd w:val="clear" w:color="auto" w:fill="FFFFFF"/>
        </w:rPr>
        <w:t>3.</w:t>
      </w:r>
      <w:r>
        <w:rPr>
          <w:rFonts w:hint="eastAsia" w:ascii="宋体" w:hAnsi="宋体" w:cs="仿宋"/>
          <w:color w:val="auto"/>
          <w:highlight w:val="none"/>
          <w:shd w:val="clear" w:color="auto" w:fill="FFFFFF"/>
        </w:rPr>
        <w:tab/>
      </w:r>
      <w:r>
        <w:rPr>
          <w:rFonts w:hint="eastAsia" w:ascii="宋体" w:hAnsi="宋体" w:cs="仿宋"/>
          <w:color w:val="auto"/>
          <w:highlight w:val="none"/>
          <w:shd w:val="clear" w:color="auto" w:fill="FFFFFF"/>
        </w:rPr>
        <w:t>钟秀颐和花园东至山芝庄、西至河东街、南至万象北路、北至河东街，本次颐和花园（1-3，5-8，11-17）及周边改造涉及16栋楼，小区设有西侧出入口1处，为人车分流出入口，小区值班室设在西侧出入口岗亭内。</w:t>
      </w:r>
    </w:p>
    <w:p w14:paraId="53A677D7">
      <w:pPr>
        <w:pStyle w:val="27"/>
        <w:ind w:firstLine="420"/>
        <w:rPr>
          <w:rFonts w:ascii="宋体" w:hAnsi="宋体" w:cs="仿宋"/>
          <w:color w:val="auto"/>
          <w:highlight w:val="none"/>
          <w:shd w:val="clear" w:color="auto" w:fill="FFFFFF"/>
        </w:rPr>
      </w:pPr>
      <w:r>
        <w:rPr>
          <w:rFonts w:hint="eastAsia" w:ascii="宋体" w:hAnsi="宋体" w:cs="仿宋"/>
          <w:color w:val="auto"/>
          <w:highlight w:val="none"/>
          <w:shd w:val="clear" w:color="auto" w:fill="FFFFFF"/>
        </w:rPr>
        <w:t>4.钟秀中北小区东至濠景仁居小区、西至天元路、南至濠景仁居小区、北至濠西支路，本次濠西园中北小区（濠西园17幢-26幢）及周边改造涉及10栋楼，小区设有西南侧出入口1处、北侧出入口1处，2个出入口均为人车分流出入口，东侧出入口1处、为人行出入口，小区值班室设在西南侧出入口岗亭内。</w:t>
      </w:r>
    </w:p>
    <w:p w14:paraId="23CB9F04">
      <w:pPr>
        <w:pStyle w:val="27"/>
        <w:ind w:firstLine="420"/>
        <w:rPr>
          <w:rFonts w:ascii="宋体" w:hAnsi="宋体" w:cs="仿宋"/>
          <w:color w:val="auto"/>
          <w:highlight w:val="none"/>
          <w:shd w:val="clear" w:color="auto" w:fill="FFFFFF"/>
        </w:rPr>
      </w:pPr>
      <w:r>
        <w:rPr>
          <w:rFonts w:hint="eastAsia" w:ascii="宋体" w:hAnsi="宋体" w:cs="仿宋"/>
          <w:color w:val="auto"/>
          <w:highlight w:val="none"/>
          <w:shd w:val="clear" w:color="auto" w:fill="FFFFFF"/>
        </w:rPr>
        <w:t>本招标文件仅指小区前端的设备安装，后端统一安置在城港路58号10层视频存储机房（后端不在本项目范围内，另行招标）</w:t>
      </w:r>
    </w:p>
    <w:bookmarkEnd w:id="53"/>
    <w:p w14:paraId="55A02907">
      <w:pPr>
        <w:widowControl/>
        <w:spacing w:line="480" w:lineRule="exact"/>
        <w:jc w:val="left"/>
        <w:rPr>
          <w:b/>
          <w:bCs/>
          <w:color w:val="auto"/>
          <w:sz w:val="32"/>
          <w:szCs w:val="32"/>
          <w:highlight w:val="none"/>
        </w:rPr>
      </w:pPr>
      <w:r>
        <w:rPr>
          <w:b/>
          <w:bCs/>
          <w:color w:val="auto"/>
          <w:sz w:val="32"/>
          <w:szCs w:val="32"/>
          <w:highlight w:val="none"/>
        </w:rPr>
        <w:t>（二）采购标需执行相关的</w:t>
      </w:r>
      <w:r>
        <w:rPr>
          <w:rFonts w:hint="eastAsia"/>
          <w:b/>
          <w:bCs/>
          <w:color w:val="auto"/>
          <w:sz w:val="32"/>
          <w:szCs w:val="32"/>
          <w:highlight w:val="none"/>
        </w:rPr>
        <w:t>现行</w:t>
      </w:r>
      <w:r>
        <w:rPr>
          <w:b/>
          <w:bCs/>
          <w:color w:val="auto"/>
          <w:sz w:val="32"/>
          <w:szCs w:val="32"/>
          <w:highlight w:val="none"/>
        </w:rPr>
        <w:t>国家标准、行业标准、地方标准</w:t>
      </w:r>
      <w:r>
        <w:rPr>
          <w:rFonts w:hint="eastAsia"/>
          <w:b/>
          <w:bCs/>
          <w:color w:val="auto"/>
          <w:sz w:val="32"/>
          <w:szCs w:val="32"/>
          <w:highlight w:val="none"/>
        </w:rPr>
        <w:t>及</w:t>
      </w:r>
      <w:r>
        <w:rPr>
          <w:b/>
          <w:bCs/>
          <w:color w:val="auto"/>
          <w:sz w:val="32"/>
          <w:szCs w:val="32"/>
          <w:highlight w:val="none"/>
        </w:rPr>
        <w:t>其他</w:t>
      </w:r>
      <w:r>
        <w:rPr>
          <w:rFonts w:hint="eastAsia"/>
          <w:b/>
          <w:bCs/>
          <w:color w:val="auto"/>
          <w:sz w:val="32"/>
          <w:szCs w:val="32"/>
          <w:highlight w:val="none"/>
        </w:rPr>
        <w:t>有关文件</w:t>
      </w:r>
    </w:p>
    <w:p w14:paraId="7C52E3CE">
      <w:pPr>
        <w:pStyle w:val="4"/>
        <w:rPr>
          <w:color w:val="auto"/>
          <w:highlight w:val="none"/>
        </w:rPr>
      </w:pPr>
      <w:r>
        <w:rPr>
          <w:rFonts w:hint="eastAsia"/>
          <w:color w:val="auto"/>
          <w:highlight w:val="none"/>
        </w:rPr>
        <w:t>2.1贯彻执行法律、法规、标准</w:t>
      </w:r>
    </w:p>
    <w:p w14:paraId="12FA561E">
      <w:pPr>
        <w:spacing w:line="480" w:lineRule="exact"/>
        <w:ind w:firstLine="495" w:firstLineChars="236"/>
        <w:rPr>
          <w:color w:val="auto"/>
          <w:highlight w:val="none"/>
        </w:rPr>
      </w:pPr>
      <w:r>
        <w:rPr>
          <w:rFonts w:hint="eastAsia"/>
          <w:color w:val="auto"/>
          <w:highlight w:val="none"/>
        </w:rPr>
        <w:t>标准中强制性条文必须严格执行。</w:t>
      </w:r>
    </w:p>
    <w:p w14:paraId="28C66F2D">
      <w:pPr>
        <w:spacing w:line="480" w:lineRule="exact"/>
        <w:ind w:firstLine="495" w:firstLineChars="236"/>
        <w:rPr>
          <w:color w:val="auto"/>
          <w:highlight w:val="none"/>
        </w:rPr>
      </w:pPr>
      <w:r>
        <w:rPr>
          <w:rFonts w:hint="eastAsia"/>
          <w:color w:val="auto"/>
          <w:highlight w:val="none"/>
        </w:rPr>
        <w:t>2.1.1中华人民共和国法律法规</w:t>
      </w:r>
    </w:p>
    <w:p w14:paraId="5FA3E69D">
      <w:pPr>
        <w:spacing w:line="480" w:lineRule="exact"/>
        <w:ind w:firstLine="495" w:firstLineChars="236"/>
        <w:rPr>
          <w:color w:val="auto"/>
          <w:highlight w:val="none"/>
        </w:rPr>
      </w:pPr>
      <w:r>
        <w:rPr>
          <w:rFonts w:hint="eastAsia"/>
          <w:color w:val="auto"/>
          <w:highlight w:val="none"/>
        </w:rPr>
        <w:t>《中华人民共和国安全生产法(中华人民共和国主席令第十三号)》</w:t>
      </w:r>
    </w:p>
    <w:p w14:paraId="2DD30A00">
      <w:pPr>
        <w:spacing w:line="480" w:lineRule="exact"/>
        <w:ind w:firstLine="495" w:firstLineChars="236"/>
        <w:rPr>
          <w:color w:val="auto"/>
          <w:highlight w:val="none"/>
        </w:rPr>
      </w:pPr>
      <w:r>
        <w:rPr>
          <w:rFonts w:hint="eastAsia"/>
          <w:color w:val="auto"/>
          <w:highlight w:val="none"/>
        </w:rPr>
        <w:t>《建设工程安全生产管理条例(中华人民共和国国务院令第393号)》</w:t>
      </w:r>
    </w:p>
    <w:p w14:paraId="14336A3C">
      <w:pPr>
        <w:spacing w:line="480" w:lineRule="exact"/>
        <w:ind w:firstLine="495" w:firstLineChars="236"/>
        <w:rPr>
          <w:color w:val="auto"/>
          <w:highlight w:val="none"/>
        </w:rPr>
      </w:pPr>
      <w:r>
        <w:rPr>
          <w:rFonts w:hint="eastAsia"/>
          <w:color w:val="auto"/>
          <w:highlight w:val="none"/>
        </w:rPr>
        <w:t>《建设工程质量管理条例(中华人民共和国国务院令第279号)》</w:t>
      </w:r>
    </w:p>
    <w:p w14:paraId="137F372C">
      <w:pPr>
        <w:spacing w:line="480" w:lineRule="exact"/>
        <w:ind w:firstLine="495" w:firstLineChars="236"/>
        <w:rPr>
          <w:color w:val="auto"/>
          <w:highlight w:val="none"/>
        </w:rPr>
      </w:pPr>
      <w:r>
        <w:rPr>
          <w:rFonts w:hint="eastAsia"/>
          <w:color w:val="auto"/>
          <w:highlight w:val="none"/>
        </w:rPr>
        <w:t xml:space="preserve">2.1.2中华人民共和国国家标准 </w:t>
      </w:r>
    </w:p>
    <w:p w14:paraId="12744F61">
      <w:pPr>
        <w:spacing w:line="480" w:lineRule="exact"/>
        <w:ind w:firstLine="495" w:firstLineChars="236"/>
        <w:rPr>
          <w:color w:val="auto"/>
          <w:highlight w:val="none"/>
        </w:rPr>
      </w:pPr>
      <w:r>
        <w:rPr>
          <w:rFonts w:hint="eastAsia"/>
          <w:color w:val="auto"/>
          <w:highlight w:val="none"/>
        </w:rPr>
        <w:t>《出入口控制人脸识别系统技术要求(GB/T1093)》</w:t>
      </w:r>
    </w:p>
    <w:p w14:paraId="1315FF27">
      <w:pPr>
        <w:spacing w:line="480" w:lineRule="exact"/>
        <w:ind w:firstLine="495" w:firstLineChars="236"/>
        <w:rPr>
          <w:color w:val="auto"/>
          <w:highlight w:val="none"/>
        </w:rPr>
      </w:pPr>
      <w:r>
        <w:rPr>
          <w:rFonts w:hint="eastAsia"/>
          <w:color w:val="auto"/>
          <w:highlight w:val="none"/>
        </w:rPr>
        <w:t>《安全防范系统供电技术要求（GB/T15408）》</w:t>
      </w:r>
    </w:p>
    <w:p w14:paraId="4DEA3683">
      <w:pPr>
        <w:spacing w:line="480" w:lineRule="exact"/>
        <w:ind w:firstLine="495" w:firstLineChars="236"/>
        <w:rPr>
          <w:color w:val="auto"/>
          <w:highlight w:val="none"/>
        </w:rPr>
      </w:pPr>
      <w:r>
        <w:rPr>
          <w:rFonts w:hint="eastAsia"/>
          <w:color w:val="auto"/>
          <w:highlight w:val="none"/>
        </w:rPr>
        <w:t>《住宅小区安全防范系统通用技术要求（GB/T21741）》</w:t>
      </w:r>
    </w:p>
    <w:p w14:paraId="2D3A1409">
      <w:pPr>
        <w:spacing w:line="480" w:lineRule="exact"/>
        <w:ind w:firstLine="495" w:firstLineChars="236"/>
        <w:rPr>
          <w:color w:val="auto"/>
          <w:highlight w:val="none"/>
        </w:rPr>
      </w:pPr>
      <w:r>
        <w:rPr>
          <w:rFonts w:hint="eastAsia"/>
          <w:color w:val="auto"/>
          <w:highlight w:val="none"/>
        </w:rPr>
        <w:t>《安全防范视频监控人脸识别系统技术要求(GB/T31488)》</w:t>
      </w:r>
    </w:p>
    <w:p w14:paraId="281F6BF2">
      <w:pPr>
        <w:spacing w:line="480" w:lineRule="exact"/>
        <w:ind w:firstLine="495" w:firstLineChars="236"/>
        <w:rPr>
          <w:color w:val="auto"/>
          <w:highlight w:val="none"/>
        </w:rPr>
      </w:pPr>
      <w:r>
        <w:rPr>
          <w:rFonts w:hint="eastAsia"/>
          <w:color w:val="auto"/>
          <w:highlight w:val="none"/>
        </w:rPr>
        <w:t>《公共安全重点区域视频图像信息采集规范（GB37300）》</w:t>
      </w:r>
    </w:p>
    <w:p w14:paraId="4C611C26">
      <w:pPr>
        <w:spacing w:line="480" w:lineRule="exact"/>
        <w:ind w:firstLine="495" w:firstLineChars="236"/>
        <w:rPr>
          <w:color w:val="auto"/>
          <w:highlight w:val="none"/>
        </w:rPr>
      </w:pPr>
      <w:r>
        <w:rPr>
          <w:rFonts w:hint="eastAsia"/>
          <w:color w:val="auto"/>
          <w:highlight w:val="none"/>
        </w:rPr>
        <w:t>《建筑电气工程施工质量验收规范(GB50303)》</w:t>
      </w:r>
    </w:p>
    <w:p w14:paraId="4481C0EF">
      <w:pPr>
        <w:spacing w:line="480" w:lineRule="exact"/>
        <w:ind w:firstLine="495" w:firstLineChars="236"/>
        <w:rPr>
          <w:color w:val="auto"/>
          <w:highlight w:val="none"/>
        </w:rPr>
      </w:pPr>
      <w:r>
        <w:rPr>
          <w:rFonts w:hint="eastAsia"/>
          <w:color w:val="auto"/>
          <w:highlight w:val="none"/>
        </w:rPr>
        <w:t>《智能建筑工程质量验收规范(GB50339)》</w:t>
      </w:r>
    </w:p>
    <w:p w14:paraId="40D37694">
      <w:pPr>
        <w:spacing w:line="480" w:lineRule="exact"/>
        <w:ind w:firstLine="495" w:firstLineChars="236"/>
        <w:rPr>
          <w:color w:val="auto"/>
          <w:highlight w:val="none"/>
        </w:rPr>
      </w:pPr>
      <w:r>
        <w:rPr>
          <w:rFonts w:hint="eastAsia"/>
          <w:color w:val="auto"/>
          <w:highlight w:val="none"/>
        </w:rPr>
        <w:t>《建筑物电子信息系统防雷技术规范(GB50343)》</w:t>
      </w:r>
    </w:p>
    <w:p w14:paraId="0B78D8DF">
      <w:pPr>
        <w:spacing w:line="480" w:lineRule="exact"/>
        <w:ind w:firstLine="495" w:firstLineChars="236"/>
        <w:rPr>
          <w:color w:val="auto"/>
          <w:highlight w:val="none"/>
        </w:rPr>
      </w:pPr>
      <w:r>
        <w:rPr>
          <w:rFonts w:hint="eastAsia"/>
          <w:color w:val="auto"/>
          <w:highlight w:val="none"/>
        </w:rPr>
        <w:t>《安全防范工程技术标准(GB50348)》</w:t>
      </w:r>
    </w:p>
    <w:p w14:paraId="362492F7">
      <w:pPr>
        <w:spacing w:line="480" w:lineRule="exact"/>
        <w:ind w:firstLine="495" w:firstLineChars="236"/>
        <w:rPr>
          <w:color w:val="auto"/>
          <w:highlight w:val="none"/>
        </w:rPr>
      </w:pPr>
      <w:r>
        <w:rPr>
          <w:rFonts w:hint="eastAsia"/>
          <w:color w:val="auto"/>
          <w:highlight w:val="none"/>
        </w:rPr>
        <w:t>《通信管道工程施工及验收规范(GB/T 50374)》</w:t>
      </w:r>
    </w:p>
    <w:p w14:paraId="3426F129">
      <w:pPr>
        <w:spacing w:line="480" w:lineRule="exact"/>
        <w:ind w:firstLine="495" w:firstLineChars="236"/>
        <w:rPr>
          <w:color w:val="auto"/>
          <w:highlight w:val="none"/>
        </w:rPr>
      </w:pPr>
      <w:r>
        <w:rPr>
          <w:rFonts w:hint="eastAsia"/>
          <w:color w:val="auto"/>
          <w:highlight w:val="none"/>
        </w:rPr>
        <w:t>《出入口控制系统工程设计规范（GB50396）》</w:t>
      </w:r>
    </w:p>
    <w:p w14:paraId="54FE8D28">
      <w:pPr>
        <w:spacing w:line="480" w:lineRule="exact"/>
        <w:ind w:firstLine="495" w:firstLineChars="236"/>
        <w:rPr>
          <w:color w:val="auto"/>
          <w:highlight w:val="none"/>
        </w:rPr>
      </w:pPr>
      <w:r>
        <w:rPr>
          <w:rFonts w:hint="eastAsia"/>
          <w:color w:val="auto"/>
          <w:highlight w:val="none"/>
        </w:rPr>
        <w:t>《建筑施工组织设计规范 (GB/T50502)》</w:t>
      </w:r>
    </w:p>
    <w:p w14:paraId="447A1A83">
      <w:pPr>
        <w:spacing w:line="480" w:lineRule="exact"/>
        <w:ind w:firstLine="495" w:firstLineChars="236"/>
        <w:rPr>
          <w:color w:val="auto"/>
          <w:highlight w:val="none"/>
        </w:rPr>
      </w:pPr>
      <w:r>
        <w:rPr>
          <w:rFonts w:hint="eastAsia"/>
          <w:color w:val="auto"/>
          <w:highlight w:val="none"/>
        </w:rPr>
        <w:t>《住宅区和住宅建筑内通信设施工程设计规范（GB50605）》</w:t>
      </w:r>
    </w:p>
    <w:p w14:paraId="1B57EB69">
      <w:pPr>
        <w:spacing w:line="480" w:lineRule="exact"/>
        <w:ind w:firstLine="495" w:firstLineChars="236"/>
        <w:rPr>
          <w:color w:val="auto"/>
          <w:highlight w:val="none"/>
        </w:rPr>
      </w:pPr>
      <w:r>
        <w:rPr>
          <w:rFonts w:hint="eastAsia"/>
          <w:color w:val="auto"/>
          <w:highlight w:val="none"/>
        </w:rPr>
        <w:t>《民用建筑电气设计标准（GB51348）》</w:t>
      </w:r>
    </w:p>
    <w:p w14:paraId="16EECA21">
      <w:pPr>
        <w:spacing w:line="480" w:lineRule="exact"/>
        <w:ind w:firstLine="495" w:firstLineChars="236"/>
        <w:rPr>
          <w:color w:val="auto"/>
          <w:highlight w:val="none"/>
        </w:rPr>
      </w:pPr>
      <w:r>
        <w:rPr>
          <w:rFonts w:hint="eastAsia"/>
          <w:color w:val="auto"/>
          <w:highlight w:val="none"/>
        </w:rPr>
        <w:t>《建筑电气与智能化通用规范（G</w:t>
      </w:r>
      <w:r>
        <w:rPr>
          <w:color w:val="auto"/>
          <w:highlight w:val="none"/>
        </w:rPr>
        <w:t>B55024</w:t>
      </w:r>
      <w:r>
        <w:rPr>
          <w:rFonts w:hint="eastAsia"/>
          <w:color w:val="auto"/>
          <w:highlight w:val="none"/>
        </w:rPr>
        <w:t>）》</w:t>
      </w:r>
    </w:p>
    <w:p w14:paraId="61CD0331">
      <w:pPr>
        <w:spacing w:line="480" w:lineRule="exact"/>
        <w:ind w:firstLine="495" w:firstLineChars="236"/>
        <w:rPr>
          <w:color w:val="auto"/>
          <w:highlight w:val="none"/>
        </w:rPr>
      </w:pPr>
      <w:r>
        <w:rPr>
          <w:rFonts w:hint="eastAsia"/>
          <w:color w:val="auto"/>
          <w:highlight w:val="none"/>
        </w:rPr>
        <w:t>《安全防范工程通用规范（G</w:t>
      </w:r>
      <w:r>
        <w:rPr>
          <w:color w:val="auto"/>
          <w:highlight w:val="none"/>
        </w:rPr>
        <w:t>B55029</w:t>
      </w:r>
      <w:r>
        <w:rPr>
          <w:rFonts w:hint="eastAsia"/>
          <w:color w:val="auto"/>
          <w:highlight w:val="none"/>
        </w:rPr>
        <w:t>）》</w:t>
      </w:r>
    </w:p>
    <w:p w14:paraId="11005947">
      <w:pPr>
        <w:spacing w:line="480" w:lineRule="exact"/>
        <w:ind w:firstLine="495" w:firstLineChars="236"/>
        <w:rPr>
          <w:color w:val="auto"/>
          <w:highlight w:val="none"/>
        </w:rPr>
      </w:pPr>
      <w:r>
        <w:rPr>
          <w:rFonts w:hint="eastAsia"/>
          <w:color w:val="auto"/>
          <w:highlight w:val="none"/>
        </w:rPr>
        <w:t>2.1.3行业标准</w:t>
      </w:r>
    </w:p>
    <w:p w14:paraId="556DB08A">
      <w:pPr>
        <w:spacing w:line="480" w:lineRule="exact"/>
        <w:ind w:firstLine="495" w:firstLineChars="236"/>
        <w:rPr>
          <w:color w:val="auto"/>
          <w:highlight w:val="none"/>
        </w:rPr>
      </w:pPr>
      <w:r>
        <w:rPr>
          <w:rFonts w:hint="eastAsia"/>
          <w:color w:val="auto"/>
          <w:highlight w:val="none"/>
        </w:rPr>
        <w:t>《安全防范系统验收规则(GA308)》</w:t>
      </w:r>
    </w:p>
    <w:p w14:paraId="6C1A7D5D">
      <w:pPr>
        <w:spacing w:line="480" w:lineRule="exact"/>
        <w:ind w:firstLine="495" w:firstLineChars="236"/>
        <w:rPr>
          <w:color w:val="auto"/>
          <w:highlight w:val="none"/>
        </w:rPr>
      </w:pPr>
      <w:r>
        <w:rPr>
          <w:rFonts w:hint="eastAsia"/>
          <w:color w:val="auto"/>
          <w:highlight w:val="none"/>
        </w:rPr>
        <w:t>《安全防范系统雷电浪涌防护技术要求(GA/T 670)》</w:t>
      </w:r>
    </w:p>
    <w:p w14:paraId="4F4853D1">
      <w:pPr>
        <w:spacing w:line="480" w:lineRule="exact"/>
        <w:ind w:firstLine="495" w:firstLineChars="236"/>
        <w:rPr>
          <w:color w:val="auto"/>
          <w:highlight w:val="none"/>
        </w:rPr>
      </w:pPr>
      <w:r>
        <w:rPr>
          <w:rFonts w:hint="eastAsia"/>
          <w:color w:val="auto"/>
          <w:highlight w:val="none"/>
        </w:rPr>
        <w:t>《安全防范系统维护保养规范(GA1081)》</w:t>
      </w:r>
    </w:p>
    <w:p w14:paraId="24C45CA8">
      <w:pPr>
        <w:spacing w:line="480" w:lineRule="exact"/>
        <w:ind w:firstLine="495" w:firstLineChars="236"/>
        <w:rPr>
          <w:color w:val="auto"/>
          <w:highlight w:val="none"/>
        </w:rPr>
      </w:pPr>
      <w:r>
        <w:rPr>
          <w:rFonts w:hint="eastAsia"/>
          <w:color w:val="auto"/>
          <w:highlight w:val="none"/>
        </w:rPr>
        <w:t>《安全防范视频监控摄像机通用技术要求(GA/T1127)》</w:t>
      </w:r>
    </w:p>
    <w:p w14:paraId="1C2369CE">
      <w:pPr>
        <w:spacing w:line="480" w:lineRule="exact"/>
        <w:ind w:firstLine="495" w:firstLineChars="236"/>
        <w:rPr>
          <w:color w:val="auto"/>
          <w:highlight w:val="none"/>
        </w:rPr>
      </w:pPr>
      <w:r>
        <w:rPr>
          <w:rFonts w:hint="eastAsia"/>
          <w:color w:val="auto"/>
          <w:highlight w:val="none"/>
        </w:rPr>
        <w:t>《安全防范高清视频监控系统技术要求(GA/T1211)》</w:t>
      </w:r>
    </w:p>
    <w:p w14:paraId="159ED656">
      <w:pPr>
        <w:spacing w:line="480" w:lineRule="exact"/>
        <w:ind w:firstLine="495" w:firstLineChars="236"/>
        <w:rPr>
          <w:color w:val="auto"/>
          <w:highlight w:val="none"/>
        </w:rPr>
      </w:pPr>
      <w:r>
        <w:rPr>
          <w:rFonts w:hint="eastAsia"/>
          <w:color w:val="auto"/>
          <w:highlight w:val="none"/>
        </w:rPr>
        <w:t>2.1.4其他有关要求文件</w:t>
      </w:r>
    </w:p>
    <w:p w14:paraId="09915432">
      <w:pPr>
        <w:spacing w:line="480" w:lineRule="exact"/>
        <w:ind w:firstLine="495" w:firstLineChars="236"/>
        <w:rPr>
          <w:color w:val="auto"/>
          <w:highlight w:val="none"/>
        </w:rPr>
      </w:pPr>
      <w:r>
        <w:rPr>
          <w:rFonts w:hint="eastAsia"/>
          <w:color w:val="auto"/>
          <w:highlight w:val="none"/>
        </w:rPr>
        <w:t>《全市智慧技防小区建设实施意见》通委政法〔2020〕84 号文件（中共南通市委政法委员会、南通市公安局、南通市科学技术局、南通市住房与城乡建设局联合批复）</w:t>
      </w:r>
    </w:p>
    <w:p w14:paraId="2757C96C">
      <w:pPr>
        <w:spacing w:line="480" w:lineRule="exact"/>
        <w:ind w:firstLine="495" w:firstLineChars="236"/>
        <w:rPr>
          <w:color w:val="auto"/>
          <w:highlight w:val="none"/>
        </w:rPr>
      </w:pPr>
      <w:r>
        <w:rPr>
          <w:rFonts w:hint="eastAsia"/>
          <w:color w:val="auto"/>
          <w:highlight w:val="none"/>
        </w:rPr>
        <w:t xml:space="preserve">通委政法〔2020〕85号《南通市新建小区及其他新建建筑工程技防建设项目审核验收工作的实施意见 </w:t>
      </w:r>
    </w:p>
    <w:p w14:paraId="6DD7041B">
      <w:pPr>
        <w:spacing w:line="480" w:lineRule="exact"/>
        <w:ind w:firstLine="495" w:firstLineChars="236"/>
        <w:rPr>
          <w:color w:val="auto"/>
          <w:highlight w:val="none"/>
        </w:rPr>
      </w:pPr>
      <w:r>
        <w:rPr>
          <w:rFonts w:hint="eastAsia"/>
          <w:color w:val="auto"/>
          <w:highlight w:val="none"/>
        </w:rPr>
        <w:t>《南通市崇川区老旧小区改造中小区出入口前端感知安防设施施工及验收要求》</w:t>
      </w:r>
    </w:p>
    <w:p w14:paraId="6CC571C6">
      <w:pPr>
        <w:spacing w:line="480" w:lineRule="exact"/>
        <w:ind w:firstLine="495" w:firstLineChars="236"/>
        <w:rPr>
          <w:color w:val="auto"/>
          <w:highlight w:val="none"/>
        </w:rPr>
      </w:pPr>
      <w:r>
        <w:rPr>
          <w:rFonts w:hint="eastAsia"/>
          <w:color w:val="auto"/>
          <w:highlight w:val="none"/>
        </w:rPr>
        <w:t>2.1.5地方及其他标准</w:t>
      </w:r>
    </w:p>
    <w:p w14:paraId="6429D6F8">
      <w:pPr>
        <w:spacing w:line="480" w:lineRule="exact"/>
        <w:ind w:firstLine="495" w:firstLineChars="236"/>
        <w:rPr>
          <w:color w:val="auto"/>
          <w:highlight w:val="none"/>
        </w:rPr>
      </w:pPr>
      <w:r>
        <w:rPr>
          <w:rFonts w:hint="eastAsia"/>
          <w:color w:val="auto"/>
          <w:highlight w:val="none"/>
        </w:rPr>
        <w:t>《安全防范视频图像系统维护保养规范(DB3206/T1001-2019)》</w:t>
      </w:r>
    </w:p>
    <w:p w14:paraId="1B8D9506">
      <w:pPr>
        <w:snapToGrid w:val="0"/>
        <w:spacing w:line="480" w:lineRule="exact"/>
        <w:contextualSpacing/>
        <w:outlineLvl w:val="0"/>
        <w:rPr>
          <w:b/>
          <w:color w:val="auto"/>
          <w:highlight w:val="none"/>
        </w:rPr>
      </w:pPr>
      <w:r>
        <w:rPr>
          <w:b/>
          <w:color w:val="auto"/>
          <w:highlight w:val="none"/>
        </w:rPr>
        <w:t>（三）采购标的需满足的质量、安全、技术规格、物理特性等要求</w:t>
      </w:r>
    </w:p>
    <w:p w14:paraId="219AC5AC">
      <w:pPr>
        <w:spacing w:line="400" w:lineRule="exact"/>
        <w:ind w:firstLine="422" w:firstLineChars="200"/>
        <w:rPr>
          <w:rFonts w:hAnsi="宋体" w:cs="仿宋"/>
          <w:color w:val="auto"/>
          <w:szCs w:val="22"/>
          <w:highlight w:val="none"/>
        </w:rPr>
      </w:pPr>
      <w:r>
        <w:rPr>
          <w:rFonts w:hint="eastAsia" w:hAnsi="宋体" w:cs="仿宋"/>
          <w:b/>
          <w:color w:val="auto"/>
          <w:highlight w:val="none"/>
          <w:shd w:val="clear" w:color="auto" w:fill="FFFFFF"/>
          <w:lang w:val="zh-CN"/>
        </w:rPr>
        <w:t>本次老旧小区改造智慧技防建设工程共有以下部分组成：</w:t>
      </w:r>
    </w:p>
    <w:p w14:paraId="499E1DB1">
      <w:pPr>
        <w:spacing w:line="400" w:lineRule="exact"/>
        <w:ind w:firstLine="420" w:firstLineChars="200"/>
        <w:rPr>
          <w:rFonts w:hAnsi="宋体" w:cs="仿宋"/>
          <w:color w:val="auto"/>
          <w:szCs w:val="22"/>
          <w:highlight w:val="none"/>
        </w:rPr>
      </w:pPr>
      <w:r>
        <w:rPr>
          <w:rFonts w:hint="eastAsia" w:hAnsi="宋体" w:cs="仿宋"/>
          <w:color w:val="auto"/>
          <w:szCs w:val="22"/>
          <w:highlight w:val="none"/>
        </w:rPr>
        <w:t>A、视频监控系统（小区内部视频监控、热敏感报警视频系统、进出口视图、周界报警视频系统等）；</w:t>
      </w:r>
    </w:p>
    <w:p w14:paraId="51E5F0B5">
      <w:pPr>
        <w:spacing w:line="400" w:lineRule="exact"/>
        <w:ind w:firstLine="420" w:firstLineChars="200"/>
        <w:rPr>
          <w:rFonts w:hAnsi="宋体" w:cs="仿宋"/>
          <w:color w:val="auto"/>
          <w:szCs w:val="22"/>
          <w:highlight w:val="none"/>
        </w:rPr>
      </w:pPr>
      <w:r>
        <w:rPr>
          <w:rFonts w:hAnsi="宋体" w:cs="仿宋"/>
          <w:color w:val="auto"/>
          <w:szCs w:val="22"/>
          <w:highlight w:val="none"/>
        </w:rPr>
        <w:t>B</w:t>
      </w:r>
      <w:r>
        <w:rPr>
          <w:rFonts w:hint="eastAsia" w:hAnsi="宋体" w:cs="仿宋"/>
          <w:color w:val="auto"/>
          <w:szCs w:val="22"/>
          <w:highlight w:val="none"/>
        </w:rPr>
        <w:t>、车辆管理系统；</w:t>
      </w:r>
    </w:p>
    <w:p w14:paraId="7D502EAF">
      <w:pPr>
        <w:spacing w:line="400" w:lineRule="exact"/>
        <w:ind w:firstLine="420" w:firstLineChars="200"/>
        <w:rPr>
          <w:rFonts w:hAnsi="宋体" w:cs="仿宋"/>
          <w:color w:val="auto"/>
          <w:szCs w:val="22"/>
          <w:highlight w:val="none"/>
        </w:rPr>
      </w:pPr>
      <w:r>
        <w:rPr>
          <w:rFonts w:hAnsi="宋体" w:cs="仿宋"/>
          <w:color w:val="auto"/>
          <w:szCs w:val="22"/>
          <w:highlight w:val="none"/>
        </w:rPr>
        <w:t>C</w:t>
      </w:r>
      <w:r>
        <w:rPr>
          <w:rFonts w:hint="eastAsia" w:hAnsi="宋体" w:cs="仿宋"/>
          <w:color w:val="auto"/>
          <w:szCs w:val="22"/>
          <w:highlight w:val="none"/>
        </w:rPr>
        <w:t xml:space="preserve">、人行闸管理系统； </w:t>
      </w:r>
    </w:p>
    <w:p w14:paraId="081BF51A">
      <w:pPr>
        <w:spacing w:line="400" w:lineRule="exact"/>
        <w:ind w:firstLine="420" w:firstLineChars="200"/>
        <w:rPr>
          <w:rFonts w:hAnsi="宋体" w:cs="仿宋"/>
          <w:color w:val="auto"/>
          <w:szCs w:val="22"/>
          <w:highlight w:val="none"/>
        </w:rPr>
      </w:pPr>
      <w:r>
        <w:rPr>
          <w:rFonts w:hAnsi="宋体" w:cs="仿宋"/>
          <w:color w:val="auto"/>
          <w:szCs w:val="22"/>
          <w:highlight w:val="none"/>
        </w:rPr>
        <w:t>D</w:t>
      </w:r>
      <w:r>
        <w:rPr>
          <w:rFonts w:hint="eastAsia" w:hAnsi="宋体" w:cs="仿宋"/>
          <w:color w:val="auto"/>
          <w:szCs w:val="22"/>
          <w:highlight w:val="none"/>
        </w:rPr>
        <w:t>、本小区监控观察室（客户端）；</w:t>
      </w:r>
    </w:p>
    <w:p w14:paraId="33968DEF">
      <w:pPr>
        <w:spacing w:line="400" w:lineRule="exact"/>
        <w:ind w:firstLine="420" w:firstLineChars="200"/>
        <w:rPr>
          <w:rFonts w:hAnsi="宋体" w:cs="仿宋"/>
          <w:color w:val="auto"/>
          <w:szCs w:val="22"/>
          <w:highlight w:val="none"/>
        </w:rPr>
      </w:pPr>
      <w:r>
        <w:rPr>
          <w:rFonts w:hAnsi="宋体" w:cs="仿宋"/>
          <w:color w:val="auto"/>
          <w:szCs w:val="22"/>
          <w:highlight w:val="none"/>
        </w:rPr>
        <w:t>E</w:t>
      </w:r>
      <w:r>
        <w:rPr>
          <w:rFonts w:hint="eastAsia" w:hAnsi="宋体" w:cs="仿宋"/>
          <w:color w:val="auto"/>
          <w:szCs w:val="22"/>
          <w:highlight w:val="none"/>
        </w:rPr>
        <w:t>、综合管线系统。</w:t>
      </w:r>
    </w:p>
    <w:p w14:paraId="31CFD919">
      <w:pPr>
        <w:spacing w:line="400" w:lineRule="exact"/>
        <w:ind w:firstLine="420" w:firstLineChars="200"/>
        <w:rPr>
          <w:rFonts w:hAnsi="宋体" w:cs="仿宋"/>
          <w:color w:val="auto"/>
          <w:szCs w:val="22"/>
          <w:highlight w:val="none"/>
        </w:rPr>
      </w:pPr>
      <w:r>
        <w:rPr>
          <w:rFonts w:hint="eastAsia" w:hAnsi="宋体" w:cs="仿宋"/>
          <w:color w:val="auto"/>
          <w:szCs w:val="22"/>
          <w:highlight w:val="none"/>
        </w:rPr>
        <w:t>设计方案详见本项目设计文件</w:t>
      </w:r>
    </w:p>
    <w:p w14:paraId="5E307CC4">
      <w:pPr>
        <w:pStyle w:val="4"/>
        <w:ind w:left="643" w:hanging="643" w:hangingChars="200"/>
        <w:rPr>
          <w:color w:val="auto"/>
          <w:highlight w:val="none"/>
        </w:rPr>
      </w:pPr>
      <w:bookmarkStart w:id="54" w:name="_Toc9536"/>
      <w:r>
        <w:rPr>
          <w:color w:val="auto"/>
          <w:highlight w:val="none"/>
        </w:rPr>
        <w:t>3</w:t>
      </w:r>
      <w:r>
        <w:rPr>
          <w:rFonts w:hint="eastAsia"/>
          <w:color w:val="auto"/>
          <w:highlight w:val="none"/>
        </w:rPr>
        <w:t>.1视频监控</w:t>
      </w:r>
      <w:bookmarkEnd w:id="54"/>
      <w:r>
        <w:rPr>
          <w:rFonts w:hint="eastAsia"/>
          <w:color w:val="auto"/>
          <w:highlight w:val="none"/>
        </w:rPr>
        <w:t>系统</w:t>
      </w:r>
    </w:p>
    <w:p w14:paraId="052F5156">
      <w:pPr>
        <w:pStyle w:val="5"/>
        <w:ind w:left="240" w:right="240"/>
        <w:rPr>
          <w:color w:val="auto"/>
          <w:highlight w:val="none"/>
        </w:rPr>
      </w:pPr>
      <w:bookmarkStart w:id="55" w:name="_Toc3299"/>
      <w:r>
        <w:rPr>
          <w:color w:val="auto"/>
          <w:highlight w:val="none"/>
        </w:rPr>
        <w:t>3</w:t>
      </w:r>
      <w:r>
        <w:rPr>
          <w:rFonts w:hint="eastAsia"/>
          <w:color w:val="auto"/>
          <w:highlight w:val="none"/>
        </w:rPr>
        <w:t>.1.</w:t>
      </w:r>
      <w:r>
        <w:rPr>
          <w:color w:val="auto"/>
          <w:highlight w:val="none"/>
        </w:rPr>
        <w:t>1</w:t>
      </w:r>
      <w:r>
        <w:rPr>
          <w:rFonts w:hint="eastAsia"/>
          <w:color w:val="auto"/>
          <w:highlight w:val="none"/>
        </w:rPr>
        <w:t>系统技术</w:t>
      </w:r>
      <w:bookmarkEnd w:id="55"/>
      <w:r>
        <w:rPr>
          <w:rFonts w:hint="eastAsia"/>
          <w:color w:val="auto"/>
          <w:highlight w:val="none"/>
        </w:rPr>
        <w:t>要求</w:t>
      </w:r>
    </w:p>
    <w:p w14:paraId="034FF376">
      <w:pPr>
        <w:pStyle w:val="6"/>
        <w:rPr>
          <w:color w:val="auto"/>
          <w:highlight w:val="none"/>
        </w:rPr>
      </w:pPr>
      <w:r>
        <w:rPr>
          <w:color w:val="auto"/>
          <w:highlight w:val="none"/>
        </w:rPr>
        <w:t>3</w:t>
      </w:r>
      <w:r>
        <w:rPr>
          <w:rFonts w:hint="eastAsia"/>
          <w:color w:val="auto"/>
          <w:highlight w:val="none"/>
        </w:rPr>
        <w:t>.1.</w:t>
      </w:r>
      <w:r>
        <w:rPr>
          <w:color w:val="auto"/>
          <w:highlight w:val="none"/>
        </w:rPr>
        <w:t>1</w:t>
      </w:r>
      <w:r>
        <w:rPr>
          <w:rFonts w:hint="eastAsia"/>
          <w:color w:val="auto"/>
          <w:highlight w:val="none"/>
        </w:rPr>
        <w:t>.1视频技术要求</w:t>
      </w:r>
    </w:p>
    <w:p w14:paraId="2D3BB795">
      <w:pPr>
        <w:spacing w:line="400" w:lineRule="exact"/>
        <w:ind w:firstLine="480"/>
        <w:contextualSpacing/>
        <w:rPr>
          <w:rFonts w:hAnsi="宋体" w:cs="仿宋"/>
          <w:color w:val="auto"/>
          <w:highlight w:val="none"/>
        </w:rPr>
      </w:pPr>
      <w:r>
        <w:rPr>
          <w:rFonts w:hint="eastAsia" w:hAnsi="宋体" w:cs="仿宋"/>
          <w:color w:val="auto"/>
          <w:highlight w:val="none"/>
        </w:rPr>
        <w:t>1.       图像质量                       ≥4级 (环境照度&gt;300lx条件下)</w:t>
      </w:r>
    </w:p>
    <w:p w14:paraId="66FE8E12">
      <w:pPr>
        <w:spacing w:line="400" w:lineRule="exact"/>
        <w:ind w:firstLine="480"/>
        <w:contextualSpacing/>
        <w:rPr>
          <w:rFonts w:hAnsi="宋体" w:cs="仿宋"/>
          <w:color w:val="auto"/>
          <w:highlight w:val="none"/>
        </w:rPr>
      </w:pPr>
      <w:r>
        <w:rPr>
          <w:rFonts w:hint="eastAsia" w:hAnsi="宋体" w:cs="仿宋"/>
          <w:color w:val="auto"/>
          <w:highlight w:val="none"/>
        </w:rPr>
        <w:t>2.       图像灰度等级                   ≥10级</w:t>
      </w:r>
    </w:p>
    <w:p w14:paraId="4E9D2932">
      <w:pPr>
        <w:spacing w:line="400" w:lineRule="exact"/>
        <w:ind w:left="4572" w:leftChars="177" w:hanging="4200" w:hangingChars="2000"/>
        <w:contextualSpacing/>
        <w:rPr>
          <w:rFonts w:hAnsi="宋体" w:cs="仿宋"/>
          <w:color w:val="auto"/>
          <w:highlight w:val="none"/>
        </w:rPr>
      </w:pPr>
      <w:r>
        <w:rPr>
          <w:rFonts w:hint="eastAsia" w:hAnsi="宋体" w:cs="仿宋"/>
          <w:color w:val="auto"/>
          <w:highlight w:val="none"/>
        </w:rPr>
        <w:t>3.       单帧分辨率                     ≥</w:t>
      </w:r>
      <w:r>
        <w:rPr>
          <w:rFonts w:hAnsi="宋体" w:cs="仿宋"/>
          <w:color w:val="auto"/>
          <w:highlight w:val="none"/>
        </w:rPr>
        <w:t>200</w:t>
      </w:r>
      <w:r>
        <w:rPr>
          <w:rFonts w:hint="eastAsia" w:hAnsi="宋体" w:cs="仿宋"/>
          <w:color w:val="auto"/>
          <w:highlight w:val="none"/>
        </w:rPr>
        <w:t>万，根据所采用摄像机标称指 标确定</w:t>
      </w:r>
    </w:p>
    <w:p w14:paraId="7E424923">
      <w:pPr>
        <w:spacing w:line="400" w:lineRule="exact"/>
        <w:ind w:firstLine="480"/>
        <w:contextualSpacing/>
        <w:rPr>
          <w:rFonts w:hAnsi="宋体" w:cs="仿宋"/>
          <w:color w:val="auto"/>
          <w:highlight w:val="none"/>
        </w:rPr>
      </w:pPr>
      <w:r>
        <w:rPr>
          <w:rFonts w:hint="eastAsia" w:hAnsi="宋体" w:cs="仿宋"/>
          <w:color w:val="auto"/>
          <w:highlight w:val="none"/>
        </w:rPr>
        <w:t>4、      帧率                           ≥25fps</w:t>
      </w:r>
    </w:p>
    <w:p w14:paraId="4FFCCC15">
      <w:pPr>
        <w:spacing w:line="400" w:lineRule="exact"/>
        <w:ind w:firstLine="480"/>
        <w:contextualSpacing/>
        <w:rPr>
          <w:rFonts w:hAnsi="宋体" w:cs="仿宋"/>
          <w:color w:val="auto"/>
          <w:highlight w:val="none"/>
        </w:rPr>
      </w:pPr>
      <w:r>
        <w:rPr>
          <w:rFonts w:hint="eastAsia" w:hAnsi="宋体" w:cs="仿宋"/>
          <w:color w:val="auto"/>
          <w:highlight w:val="none"/>
        </w:rPr>
        <w:t>5.       局域网组网图像信息延迟时间     ≤500ms</w:t>
      </w:r>
    </w:p>
    <w:p w14:paraId="302E31F3">
      <w:pPr>
        <w:spacing w:line="400" w:lineRule="exact"/>
        <w:ind w:firstLine="480"/>
        <w:contextualSpacing/>
        <w:rPr>
          <w:rFonts w:hAnsi="宋体" w:cs="仿宋"/>
          <w:color w:val="auto"/>
          <w:highlight w:val="none"/>
        </w:rPr>
      </w:pPr>
      <w:r>
        <w:rPr>
          <w:rFonts w:hint="eastAsia" w:hAnsi="宋体" w:cs="仿宋"/>
          <w:color w:val="auto"/>
          <w:highlight w:val="none"/>
        </w:rPr>
        <w:t>6.       互联网组网图像信息延迟时间     ≤2000ms</w:t>
      </w:r>
    </w:p>
    <w:p w14:paraId="773EF577">
      <w:pPr>
        <w:spacing w:line="400" w:lineRule="exact"/>
        <w:ind w:firstLine="480"/>
        <w:contextualSpacing/>
        <w:rPr>
          <w:rFonts w:hAnsi="宋体" w:cs="仿宋"/>
          <w:color w:val="auto"/>
          <w:highlight w:val="none"/>
        </w:rPr>
      </w:pPr>
      <w:r>
        <w:rPr>
          <w:rFonts w:hint="eastAsia" w:hAnsi="宋体" w:cs="仿宋"/>
          <w:color w:val="auto"/>
          <w:highlight w:val="none"/>
        </w:rPr>
        <w:t>7.       局域网组网控制信息延迟时间     ≤300ms</w:t>
      </w:r>
    </w:p>
    <w:p w14:paraId="455BCD4B">
      <w:pPr>
        <w:spacing w:line="400" w:lineRule="exact"/>
        <w:ind w:firstLine="480"/>
        <w:contextualSpacing/>
        <w:rPr>
          <w:rFonts w:hAnsi="宋体" w:cs="仿宋"/>
          <w:color w:val="auto"/>
          <w:highlight w:val="none"/>
        </w:rPr>
      </w:pPr>
      <w:r>
        <w:rPr>
          <w:rFonts w:hint="eastAsia" w:hAnsi="宋体" w:cs="仿宋"/>
          <w:color w:val="auto"/>
          <w:highlight w:val="none"/>
        </w:rPr>
        <w:t>8.       互联网组网控制信息延迟时间     ≤1500ms</w:t>
      </w:r>
    </w:p>
    <w:p w14:paraId="6DDF81D9">
      <w:pPr>
        <w:spacing w:line="400" w:lineRule="exact"/>
        <w:ind w:firstLine="480"/>
        <w:contextualSpacing/>
        <w:rPr>
          <w:rFonts w:hAnsi="宋体" w:cs="仿宋"/>
          <w:color w:val="auto"/>
          <w:highlight w:val="none"/>
        </w:rPr>
      </w:pPr>
      <w:r>
        <w:rPr>
          <w:rFonts w:hint="eastAsia" w:hAnsi="宋体" w:cs="仿宋"/>
          <w:color w:val="auto"/>
          <w:highlight w:val="none"/>
        </w:rPr>
        <w:t>9.       中心内部网络时延               ≤500us</w:t>
      </w:r>
    </w:p>
    <w:p w14:paraId="3285463D">
      <w:pPr>
        <w:spacing w:line="400" w:lineRule="exact"/>
        <w:ind w:firstLine="480"/>
        <w:contextualSpacing/>
        <w:rPr>
          <w:rFonts w:hAnsi="宋体" w:cs="仿宋"/>
          <w:color w:val="auto"/>
          <w:highlight w:val="none"/>
        </w:rPr>
      </w:pPr>
      <w:r>
        <w:rPr>
          <w:rFonts w:hint="eastAsia" w:hAnsi="宋体" w:cs="仿宋"/>
          <w:color w:val="auto"/>
          <w:highlight w:val="none"/>
        </w:rPr>
        <w:t>10.      时延抖动                       ≤5us</w:t>
      </w:r>
    </w:p>
    <w:p w14:paraId="3DE454EC">
      <w:pPr>
        <w:spacing w:line="400" w:lineRule="exact"/>
        <w:ind w:firstLine="480"/>
        <w:contextualSpacing/>
        <w:rPr>
          <w:rFonts w:hAnsi="宋体" w:cs="仿宋"/>
          <w:color w:val="auto"/>
          <w:highlight w:val="none"/>
        </w:rPr>
      </w:pPr>
      <w:r>
        <w:rPr>
          <w:rFonts w:hint="eastAsia" w:hAnsi="宋体" w:cs="仿宋"/>
          <w:color w:val="auto"/>
          <w:highlight w:val="none"/>
        </w:rPr>
        <w:t>11.      丢包率                         ≤1×10-4</w:t>
      </w:r>
    </w:p>
    <w:p w14:paraId="7B9AB580">
      <w:pPr>
        <w:spacing w:line="400" w:lineRule="exact"/>
        <w:ind w:firstLine="480"/>
        <w:contextualSpacing/>
        <w:rPr>
          <w:rFonts w:hAnsi="宋体" w:cs="仿宋"/>
          <w:color w:val="auto"/>
          <w:highlight w:val="none"/>
        </w:rPr>
      </w:pPr>
      <w:r>
        <w:rPr>
          <w:rFonts w:hint="eastAsia" w:hAnsi="宋体" w:cs="仿宋"/>
          <w:color w:val="auto"/>
          <w:highlight w:val="none"/>
        </w:rPr>
        <w:t>12.      单路视频码流均值               约4Mbps（公安侧6</w:t>
      </w:r>
      <w:r>
        <w:rPr>
          <w:rFonts w:hAnsi="宋体" w:cs="仿宋"/>
          <w:color w:val="auto"/>
          <w:highlight w:val="none"/>
        </w:rPr>
        <w:t>M</w:t>
      </w:r>
      <w:r>
        <w:rPr>
          <w:rFonts w:hint="eastAsia" w:hAnsi="宋体" w:cs="仿宋"/>
          <w:color w:val="auto"/>
          <w:highlight w:val="none"/>
        </w:rPr>
        <w:t>bps）</w:t>
      </w:r>
    </w:p>
    <w:p w14:paraId="7931F28C">
      <w:pPr>
        <w:spacing w:line="400" w:lineRule="exact"/>
        <w:ind w:firstLine="480"/>
        <w:contextualSpacing/>
        <w:rPr>
          <w:rFonts w:hAnsi="宋体" w:cs="仿宋"/>
          <w:color w:val="auto"/>
          <w:highlight w:val="none"/>
        </w:rPr>
      </w:pPr>
      <w:r>
        <w:rPr>
          <w:rFonts w:hint="eastAsia" w:hAnsi="宋体" w:cs="仿宋"/>
          <w:color w:val="auto"/>
          <w:highlight w:val="none"/>
        </w:rPr>
        <w:t>13.      信噪比(SNR)                    ≥45dB</w:t>
      </w:r>
    </w:p>
    <w:p w14:paraId="0C32D93A">
      <w:pPr>
        <w:spacing w:line="400" w:lineRule="exact"/>
        <w:ind w:firstLine="480"/>
        <w:contextualSpacing/>
        <w:rPr>
          <w:rFonts w:hAnsi="宋体" w:cs="仿宋"/>
          <w:color w:val="auto"/>
          <w:highlight w:val="none"/>
        </w:rPr>
      </w:pPr>
      <w:r>
        <w:rPr>
          <w:rFonts w:hint="eastAsia" w:hAnsi="宋体" w:cs="仿宋"/>
          <w:color w:val="auto"/>
          <w:highlight w:val="none"/>
        </w:rPr>
        <w:t>14.      电源干扰抑制                   ≥37dB</w:t>
      </w:r>
    </w:p>
    <w:p w14:paraId="15C43CFF">
      <w:pPr>
        <w:spacing w:line="400" w:lineRule="exact"/>
        <w:ind w:firstLine="480"/>
        <w:contextualSpacing/>
        <w:rPr>
          <w:rFonts w:hAnsi="宋体" w:cs="仿宋"/>
          <w:color w:val="auto"/>
          <w:highlight w:val="none"/>
        </w:rPr>
      </w:pPr>
      <w:r>
        <w:rPr>
          <w:rFonts w:hint="eastAsia" w:hAnsi="宋体" w:cs="仿宋"/>
          <w:color w:val="auto"/>
          <w:highlight w:val="none"/>
        </w:rPr>
        <w:t>15.      工作环境温度</w:t>
      </w:r>
      <w:r>
        <w:rPr>
          <w:rFonts w:hAnsi="宋体" w:cs="仿宋"/>
          <w:color w:val="auto"/>
          <w:highlight w:val="none"/>
        </w:rPr>
        <w:t xml:space="preserve"> </w:t>
      </w:r>
      <w:r>
        <w:rPr>
          <w:rFonts w:hint="eastAsia" w:hAnsi="宋体" w:cs="仿宋"/>
          <w:color w:val="auto"/>
          <w:highlight w:val="none"/>
        </w:rPr>
        <w:t>室外：-</w:t>
      </w:r>
      <w:r>
        <w:rPr>
          <w:rFonts w:hAnsi="宋体" w:cs="仿宋"/>
          <w:color w:val="auto"/>
          <w:highlight w:val="none"/>
        </w:rPr>
        <w:t>15</w:t>
      </w:r>
      <w:r>
        <w:rPr>
          <w:rFonts w:hint="eastAsia" w:hAnsi="宋体" w:cs="仿宋"/>
          <w:color w:val="auto"/>
          <w:highlight w:val="none"/>
        </w:rPr>
        <w:t>℃- +70℃；室内：-5℃-+50℃；</w:t>
      </w:r>
    </w:p>
    <w:p w14:paraId="2464BB96">
      <w:pPr>
        <w:spacing w:line="400" w:lineRule="exact"/>
        <w:ind w:firstLine="480"/>
        <w:contextualSpacing/>
        <w:rPr>
          <w:rFonts w:hAnsi="宋体" w:cs="仿宋"/>
          <w:color w:val="auto"/>
          <w:highlight w:val="none"/>
        </w:rPr>
      </w:pPr>
      <w:r>
        <w:rPr>
          <w:rFonts w:hint="eastAsia" w:hAnsi="宋体" w:cs="仿宋"/>
          <w:color w:val="auto"/>
          <w:highlight w:val="none"/>
        </w:rPr>
        <w:t>16.      电源                          AC220V±20%  50H Z±1HZ</w:t>
      </w:r>
    </w:p>
    <w:p w14:paraId="477D1EC4">
      <w:pPr>
        <w:spacing w:line="400" w:lineRule="exact"/>
        <w:ind w:firstLine="480"/>
        <w:contextualSpacing/>
        <w:rPr>
          <w:rFonts w:hAnsi="宋体" w:cs="仿宋"/>
          <w:color w:val="auto"/>
          <w:highlight w:val="none"/>
        </w:rPr>
      </w:pPr>
      <w:r>
        <w:rPr>
          <w:rFonts w:hint="eastAsia" w:hAnsi="宋体" w:cs="仿宋"/>
          <w:color w:val="auto"/>
          <w:highlight w:val="none"/>
        </w:rPr>
        <w:t>1</w:t>
      </w:r>
      <w:r>
        <w:rPr>
          <w:rFonts w:hAnsi="宋体" w:cs="仿宋"/>
          <w:color w:val="auto"/>
          <w:highlight w:val="none"/>
        </w:rPr>
        <w:t>7</w:t>
      </w:r>
      <w:r>
        <w:rPr>
          <w:rFonts w:hint="eastAsia" w:hAnsi="宋体" w:cs="仿宋"/>
          <w:color w:val="auto"/>
          <w:highlight w:val="none"/>
        </w:rPr>
        <w:t>.      独立接地电阻                  ≤4Ω</w:t>
      </w:r>
    </w:p>
    <w:p w14:paraId="261224AA">
      <w:pPr>
        <w:spacing w:line="400" w:lineRule="exact"/>
        <w:ind w:firstLine="480"/>
        <w:contextualSpacing/>
        <w:rPr>
          <w:rFonts w:hAnsi="宋体" w:cs="仿宋"/>
          <w:color w:val="auto"/>
          <w:highlight w:val="none"/>
        </w:rPr>
      </w:pPr>
      <w:r>
        <w:rPr>
          <w:rFonts w:hint="eastAsia" w:hAnsi="宋体" w:cs="仿宋"/>
          <w:color w:val="auto"/>
          <w:highlight w:val="none"/>
        </w:rPr>
        <w:t>1</w:t>
      </w:r>
      <w:r>
        <w:rPr>
          <w:rFonts w:hAnsi="宋体" w:cs="仿宋"/>
          <w:color w:val="auto"/>
          <w:highlight w:val="none"/>
        </w:rPr>
        <w:t>8</w:t>
      </w:r>
      <w:r>
        <w:rPr>
          <w:rFonts w:hint="eastAsia" w:hAnsi="宋体" w:cs="仿宋"/>
          <w:color w:val="auto"/>
          <w:highlight w:val="none"/>
        </w:rPr>
        <w:t>.      复合接地电阻                  ≤1Ω</w:t>
      </w:r>
    </w:p>
    <w:p w14:paraId="211550F9">
      <w:pPr>
        <w:spacing w:line="400" w:lineRule="exact"/>
        <w:ind w:firstLine="480"/>
        <w:contextualSpacing/>
        <w:rPr>
          <w:rFonts w:hAnsi="宋体" w:cs="仿宋"/>
          <w:color w:val="auto"/>
          <w:highlight w:val="none"/>
        </w:rPr>
      </w:pPr>
      <w:r>
        <w:rPr>
          <w:rFonts w:hAnsi="宋体" w:cs="仿宋"/>
          <w:color w:val="auto"/>
          <w:highlight w:val="none"/>
        </w:rPr>
        <w:t>19</w:t>
      </w:r>
      <w:r>
        <w:rPr>
          <w:rFonts w:hint="eastAsia" w:hAnsi="宋体" w:cs="仿宋"/>
          <w:color w:val="auto"/>
          <w:highlight w:val="none"/>
        </w:rPr>
        <w:t>.      系统具备联网及网络管理功能</w:t>
      </w:r>
    </w:p>
    <w:p w14:paraId="49D0114F">
      <w:pPr>
        <w:rPr>
          <w:color w:val="auto"/>
          <w:highlight w:val="none"/>
        </w:rPr>
      </w:pPr>
    </w:p>
    <w:p w14:paraId="4E34EE06">
      <w:pPr>
        <w:pStyle w:val="6"/>
        <w:rPr>
          <w:color w:val="auto"/>
          <w:highlight w:val="none"/>
        </w:rPr>
      </w:pPr>
      <w:r>
        <w:rPr>
          <w:color w:val="auto"/>
          <w:highlight w:val="none"/>
        </w:rPr>
        <w:t>3</w:t>
      </w:r>
      <w:r>
        <w:rPr>
          <w:rFonts w:hint="eastAsia"/>
          <w:color w:val="auto"/>
          <w:highlight w:val="none"/>
        </w:rPr>
        <w:t>.1.</w:t>
      </w:r>
      <w:r>
        <w:rPr>
          <w:color w:val="auto"/>
          <w:highlight w:val="none"/>
        </w:rPr>
        <w:t>1</w:t>
      </w:r>
      <w:r>
        <w:rPr>
          <w:rFonts w:hint="eastAsia"/>
          <w:color w:val="auto"/>
          <w:highlight w:val="none"/>
        </w:rPr>
        <w:t>.</w:t>
      </w:r>
      <w:r>
        <w:rPr>
          <w:color w:val="auto"/>
          <w:highlight w:val="none"/>
        </w:rPr>
        <w:t>2</w:t>
      </w:r>
      <w:r>
        <w:rPr>
          <w:rFonts w:hint="eastAsia"/>
          <w:color w:val="auto"/>
          <w:highlight w:val="none"/>
        </w:rPr>
        <w:t>视频周界技术要求</w:t>
      </w:r>
    </w:p>
    <w:p w14:paraId="5F9C2C5A">
      <w:pPr>
        <w:ind w:firstLine="420" w:firstLineChars="200"/>
        <w:rPr>
          <w:color w:val="auto"/>
          <w:highlight w:val="none"/>
        </w:rPr>
      </w:pPr>
      <w:r>
        <w:rPr>
          <w:rFonts w:hint="eastAsia"/>
          <w:color w:val="auto"/>
          <w:highlight w:val="none"/>
        </w:rPr>
        <w:t>除满足3</w:t>
      </w:r>
      <w:r>
        <w:rPr>
          <w:color w:val="auto"/>
          <w:highlight w:val="none"/>
        </w:rPr>
        <w:t>.1.1</w:t>
      </w:r>
      <w:r>
        <w:rPr>
          <w:rFonts w:hint="eastAsia"/>
          <w:color w:val="auto"/>
          <w:highlight w:val="none"/>
        </w:rPr>
        <w:t>.</w:t>
      </w:r>
      <w:r>
        <w:rPr>
          <w:color w:val="auto"/>
          <w:highlight w:val="none"/>
        </w:rPr>
        <w:t>1</w:t>
      </w:r>
      <w:r>
        <w:rPr>
          <w:rFonts w:hint="eastAsia"/>
          <w:color w:val="auto"/>
          <w:highlight w:val="none"/>
        </w:rPr>
        <w:t>技术要求外，还需满足以下要求：</w:t>
      </w:r>
    </w:p>
    <w:p w14:paraId="055E602D">
      <w:pPr>
        <w:spacing w:line="400" w:lineRule="exact"/>
        <w:ind w:firstLine="371" w:firstLineChars="177"/>
        <w:rPr>
          <w:rFonts w:hAnsi="宋体" w:cs="仿宋"/>
          <w:color w:val="auto"/>
          <w:highlight w:val="none"/>
        </w:rPr>
      </w:pPr>
      <w:r>
        <w:rPr>
          <w:rFonts w:hint="eastAsia" w:hAnsi="宋体" w:cs="仿宋"/>
          <w:color w:val="auto"/>
          <w:highlight w:val="none"/>
        </w:rPr>
        <w:t>1)警响应时间：小于2S</w:t>
      </w:r>
      <w:r>
        <w:rPr>
          <w:rFonts w:hint="eastAsia" w:hAnsi="宋体" w:cs="仿宋"/>
          <w:color w:val="auto"/>
          <w:highlight w:val="none"/>
        </w:rPr>
        <w:tab/>
      </w:r>
    </w:p>
    <w:p w14:paraId="109C4BE8">
      <w:pPr>
        <w:spacing w:line="400" w:lineRule="exact"/>
        <w:ind w:firstLine="371" w:firstLineChars="177"/>
        <w:rPr>
          <w:rFonts w:hAnsi="宋体" w:cs="仿宋"/>
          <w:color w:val="auto"/>
          <w:highlight w:val="none"/>
        </w:rPr>
      </w:pPr>
      <w:r>
        <w:rPr>
          <w:rFonts w:hint="eastAsia" w:hAnsi="宋体" w:cs="仿宋"/>
          <w:color w:val="auto"/>
          <w:highlight w:val="none"/>
        </w:rPr>
        <w:t>2)探测器报警持续时间：大于1S</w:t>
      </w:r>
    </w:p>
    <w:p w14:paraId="5718C78A">
      <w:pPr>
        <w:spacing w:line="400" w:lineRule="exact"/>
        <w:ind w:firstLine="371" w:firstLineChars="177"/>
        <w:rPr>
          <w:rFonts w:hAnsi="宋体" w:cs="仿宋"/>
          <w:color w:val="auto"/>
          <w:highlight w:val="none"/>
        </w:rPr>
      </w:pPr>
      <w:r>
        <w:rPr>
          <w:rFonts w:hint="eastAsia" w:hAnsi="宋体" w:cs="仿宋"/>
          <w:color w:val="auto"/>
          <w:highlight w:val="none"/>
        </w:rPr>
        <w:t>3)报警存储时间：大于30天</w:t>
      </w:r>
    </w:p>
    <w:p w14:paraId="6CABE52D">
      <w:pPr>
        <w:spacing w:line="400" w:lineRule="exact"/>
        <w:ind w:firstLine="371" w:firstLineChars="177"/>
        <w:rPr>
          <w:rFonts w:hAnsi="宋体" w:cs="仿宋"/>
          <w:color w:val="auto"/>
          <w:highlight w:val="none"/>
        </w:rPr>
      </w:pPr>
      <w:r>
        <w:rPr>
          <w:rFonts w:hint="eastAsia" w:hAnsi="宋体" w:cs="仿宋"/>
          <w:color w:val="auto"/>
          <w:highlight w:val="none"/>
        </w:rPr>
        <w:t>4)应适应本市气候条件变化，保证在各种气候条件下都能满足安防系统使用要求。</w:t>
      </w:r>
    </w:p>
    <w:p w14:paraId="1983ECB5">
      <w:pPr>
        <w:spacing w:line="400" w:lineRule="exact"/>
        <w:ind w:firstLine="371" w:firstLineChars="177"/>
        <w:rPr>
          <w:rFonts w:hAnsi="宋体" w:cs="仿宋"/>
          <w:color w:val="auto"/>
          <w:highlight w:val="none"/>
        </w:rPr>
      </w:pPr>
      <w:r>
        <w:rPr>
          <w:rFonts w:hint="eastAsia" w:hAnsi="宋体" w:cs="仿宋"/>
          <w:color w:val="auto"/>
          <w:highlight w:val="none"/>
        </w:rPr>
        <w:t>5)各主要部件应标有产品制造企业及产品型号等永久性标识。</w:t>
      </w:r>
    </w:p>
    <w:p w14:paraId="751C8AE2">
      <w:pPr>
        <w:spacing w:line="400" w:lineRule="exact"/>
        <w:ind w:firstLine="371" w:firstLineChars="177"/>
        <w:rPr>
          <w:rFonts w:hAnsi="宋体" w:cs="仿宋"/>
          <w:color w:val="auto"/>
          <w:highlight w:val="none"/>
        </w:rPr>
      </w:pPr>
      <w:r>
        <w:rPr>
          <w:rFonts w:hAnsi="宋体" w:cs="仿宋"/>
          <w:color w:val="auto"/>
          <w:highlight w:val="none"/>
        </w:rPr>
        <w:t>6</w:t>
      </w:r>
      <w:r>
        <w:rPr>
          <w:rFonts w:hint="eastAsia" w:hAnsi="宋体" w:cs="仿宋"/>
          <w:color w:val="auto"/>
          <w:highlight w:val="none"/>
        </w:rPr>
        <w:t>)应具有自检、自诊断能力，且具有设备故障报警功能。</w:t>
      </w:r>
    </w:p>
    <w:p w14:paraId="6308E39B">
      <w:pPr>
        <w:spacing w:line="400" w:lineRule="exact"/>
        <w:ind w:firstLine="371" w:firstLineChars="177"/>
        <w:rPr>
          <w:rFonts w:hAnsi="宋体" w:cs="仿宋"/>
          <w:color w:val="auto"/>
          <w:highlight w:val="none"/>
        </w:rPr>
      </w:pPr>
      <w:r>
        <w:rPr>
          <w:rFonts w:hAnsi="宋体" w:cs="仿宋"/>
          <w:color w:val="auto"/>
          <w:highlight w:val="none"/>
        </w:rPr>
        <w:t>7</w:t>
      </w:r>
      <w:r>
        <w:rPr>
          <w:rFonts w:hint="eastAsia" w:hAnsi="宋体" w:cs="仿宋"/>
          <w:color w:val="auto"/>
          <w:highlight w:val="none"/>
        </w:rPr>
        <w:t>)应能在温度-10～+55°C；相对湿度小于等于95%条件下保持设备正常工作。</w:t>
      </w:r>
    </w:p>
    <w:p w14:paraId="6710938A">
      <w:pPr>
        <w:spacing w:line="400" w:lineRule="exact"/>
        <w:ind w:firstLine="371" w:firstLineChars="177"/>
        <w:rPr>
          <w:rFonts w:hAnsi="宋体" w:cs="仿宋"/>
          <w:color w:val="auto"/>
          <w:highlight w:val="none"/>
        </w:rPr>
      </w:pPr>
      <w:r>
        <w:rPr>
          <w:rFonts w:hAnsi="宋体" w:cs="仿宋"/>
          <w:color w:val="auto"/>
          <w:highlight w:val="none"/>
        </w:rPr>
        <w:t>8</w:t>
      </w:r>
      <w:r>
        <w:rPr>
          <w:rFonts w:hint="eastAsia" w:hAnsi="宋体" w:cs="仿宋"/>
          <w:color w:val="auto"/>
          <w:highlight w:val="none"/>
        </w:rPr>
        <w:t>)平均无故障工作时间（MTBF)在正常气候条件下应不小于5000H。</w:t>
      </w:r>
    </w:p>
    <w:p w14:paraId="01F8F3FF">
      <w:pPr>
        <w:spacing w:line="400" w:lineRule="exact"/>
        <w:contextualSpacing/>
        <w:rPr>
          <w:rFonts w:hAnsi="宋体" w:cs="仿宋"/>
          <w:color w:val="auto"/>
          <w:highlight w:val="none"/>
        </w:rPr>
      </w:pPr>
    </w:p>
    <w:p w14:paraId="46B52F77">
      <w:pPr>
        <w:pStyle w:val="5"/>
        <w:ind w:left="240" w:right="240"/>
        <w:rPr>
          <w:color w:val="auto"/>
          <w:szCs w:val="22"/>
          <w:highlight w:val="none"/>
        </w:rPr>
      </w:pPr>
      <w:bookmarkStart w:id="56" w:name="_Toc7400"/>
      <w:r>
        <w:rPr>
          <w:color w:val="auto"/>
          <w:szCs w:val="22"/>
          <w:highlight w:val="none"/>
        </w:rPr>
        <w:t>3</w:t>
      </w:r>
      <w:r>
        <w:rPr>
          <w:rFonts w:hint="eastAsia"/>
          <w:color w:val="auto"/>
          <w:szCs w:val="22"/>
          <w:highlight w:val="none"/>
        </w:rPr>
        <w:t>.1.</w:t>
      </w:r>
      <w:r>
        <w:rPr>
          <w:color w:val="auto"/>
          <w:szCs w:val="22"/>
          <w:highlight w:val="none"/>
        </w:rPr>
        <w:t>2</w:t>
      </w:r>
      <w:r>
        <w:rPr>
          <w:rFonts w:hint="eastAsia"/>
          <w:color w:val="auto"/>
          <w:szCs w:val="22"/>
          <w:highlight w:val="none"/>
        </w:rPr>
        <w:t>设备参数</w:t>
      </w:r>
      <w:bookmarkEnd w:id="56"/>
    </w:p>
    <w:p w14:paraId="2FEABA0E">
      <w:pPr>
        <w:pStyle w:val="6"/>
        <w:rPr>
          <w:color w:val="auto"/>
          <w:highlight w:val="none"/>
        </w:rPr>
      </w:pPr>
      <w:bookmarkStart w:id="57" w:name="_Toc31702"/>
      <w:bookmarkStart w:id="58" w:name="_Toc14257"/>
      <w:bookmarkStart w:id="59" w:name="_Ref161260268"/>
      <w:r>
        <w:rPr>
          <w:color w:val="auto"/>
          <w:highlight w:val="none"/>
        </w:rPr>
        <w:t>3</w:t>
      </w:r>
      <w:r>
        <w:rPr>
          <w:rFonts w:hint="eastAsia"/>
          <w:color w:val="auto"/>
          <w:highlight w:val="none"/>
        </w:rPr>
        <w:t>.1.</w:t>
      </w:r>
      <w:r>
        <w:rPr>
          <w:color w:val="auto"/>
          <w:highlight w:val="none"/>
        </w:rPr>
        <w:t>2</w:t>
      </w:r>
      <w:r>
        <w:rPr>
          <w:rFonts w:hint="eastAsia"/>
          <w:color w:val="auto"/>
          <w:highlight w:val="none"/>
        </w:rPr>
        <w:t xml:space="preserve">.1 </w:t>
      </w:r>
      <w:bookmarkEnd w:id="57"/>
      <w:bookmarkEnd w:id="58"/>
      <w:r>
        <w:rPr>
          <w:rFonts w:hint="eastAsia"/>
          <w:color w:val="auto"/>
          <w:highlight w:val="none"/>
        </w:rPr>
        <w:t>一体化枪型网络摄像机</w:t>
      </w:r>
      <w:bookmarkEnd w:id="59"/>
    </w:p>
    <w:p w14:paraId="5AF0830D">
      <w:pPr>
        <w:spacing w:line="400" w:lineRule="exact"/>
        <w:ind w:firstLine="371" w:firstLineChars="177"/>
        <w:rPr>
          <w:rFonts w:hAnsi="宋体" w:cs="仿宋"/>
          <w:color w:val="auto"/>
          <w:highlight w:val="none"/>
        </w:rPr>
      </w:pPr>
      <w:bookmarkStart w:id="60" w:name="_Toc20840"/>
      <w:bookmarkStart w:id="61" w:name="_Toc3374"/>
      <w:r>
        <w:rPr>
          <w:rFonts w:hint="eastAsia" w:hAnsi="宋体" w:cs="仿宋"/>
          <w:color w:val="auto"/>
          <w:highlight w:val="none"/>
        </w:rPr>
        <w:t>1、图像像素：400万；</w:t>
      </w:r>
    </w:p>
    <w:p w14:paraId="57E06D00">
      <w:pPr>
        <w:spacing w:line="400" w:lineRule="exact"/>
        <w:ind w:firstLine="371" w:firstLineChars="177"/>
        <w:rPr>
          <w:rFonts w:hAnsi="宋体" w:cs="仿宋"/>
          <w:color w:val="auto"/>
          <w:highlight w:val="none"/>
        </w:rPr>
      </w:pPr>
      <w:r>
        <w:rPr>
          <w:rFonts w:hint="eastAsia" w:hAnsi="宋体" w:cs="仿宋"/>
          <w:color w:val="auto"/>
          <w:highlight w:val="none"/>
        </w:rPr>
        <w:t>2、最低照度：≤0.0002</w:t>
      </w:r>
      <w:r>
        <w:rPr>
          <w:rFonts w:hAnsi="宋体" w:cs="仿宋"/>
          <w:color w:val="auto"/>
          <w:highlight w:val="none"/>
        </w:rPr>
        <w:t xml:space="preserve"> </w:t>
      </w:r>
      <w:r>
        <w:rPr>
          <w:rFonts w:hint="eastAsia" w:hAnsi="宋体" w:cs="仿宋"/>
          <w:color w:val="auto"/>
          <w:highlight w:val="none"/>
        </w:rPr>
        <w:t>lx（彩色）；</w:t>
      </w:r>
    </w:p>
    <w:p w14:paraId="57C28CB0">
      <w:pPr>
        <w:spacing w:line="400" w:lineRule="exact"/>
        <w:ind w:firstLine="371" w:firstLineChars="177"/>
        <w:rPr>
          <w:rFonts w:hAnsi="宋体" w:cs="仿宋"/>
          <w:color w:val="auto"/>
          <w:highlight w:val="none"/>
        </w:rPr>
      </w:pPr>
      <w:r>
        <w:rPr>
          <w:rFonts w:hint="eastAsia" w:hAnsi="宋体" w:cs="仿宋"/>
          <w:color w:val="auto"/>
          <w:highlight w:val="none"/>
        </w:rPr>
        <w:t>3、镜头：3.</w:t>
      </w:r>
      <w:r>
        <w:rPr>
          <w:rFonts w:hAnsi="宋体" w:cs="仿宋"/>
          <w:color w:val="auto"/>
          <w:highlight w:val="none"/>
        </w:rPr>
        <w:t>6</w:t>
      </w:r>
      <w:r>
        <w:rPr>
          <w:rFonts w:hint="eastAsia" w:hAnsi="宋体" w:cs="仿宋"/>
          <w:color w:val="auto"/>
          <w:highlight w:val="none"/>
        </w:rPr>
        <w:t>mm、6mm（具体所配数量见设计文件）</w:t>
      </w:r>
    </w:p>
    <w:p w14:paraId="5D9C2729">
      <w:pPr>
        <w:spacing w:line="400" w:lineRule="exact"/>
        <w:ind w:firstLine="371" w:firstLineChars="177"/>
        <w:rPr>
          <w:rFonts w:hAnsi="宋体" w:cs="仿宋"/>
          <w:color w:val="auto"/>
          <w:highlight w:val="none"/>
        </w:rPr>
      </w:pPr>
      <w:r>
        <w:rPr>
          <w:rFonts w:hAnsi="宋体" w:cs="仿宋"/>
          <w:color w:val="auto"/>
          <w:highlight w:val="none"/>
        </w:rPr>
        <w:t>4</w:t>
      </w:r>
      <w:r>
        <w:rPr>
          <w:rFonts w:hint="eastAsia" w:hAnsi="宋体" w:cs="仿宋"/>
          <w:color w:val="auto"/>
          <w:highlight w:val="none"/>
        </w:rPr>
        <w:t>、宽动态范围:120 dB；</w:t>
      </w:r>
    </w:p>
    <w:p w14:paraId="4A9726F6">
      <w:pPr>
        <w:spacing w:line="400" w:lineRule="exact"/>
        <w:ind w:firstLine="371" w:firstLineChars="177"/>
        <w:rPr>
          <w:rFonts w:hAnsi="宋体" w:cs="仿宋"/>
          <w:color w:val="auto"/>
          <w:highlight w:val="none"/>
        </w:rPr>
      </w:pPr>
      <w:r>
        <w:rPr>
          <w:rFonts w:hAnsi="宋体" w:cs="仿宋"/>
          <w:color w:val="auto"/>
          <w:highlight w:val="none"/>
        </w:rPr>
        <w:t>5</w:t>
      </w:r>
      <w:r>
        <w:rPr>
          <w:rFonts w:hint="eastAsia" w:hAnsi="宋体" w:cs="仿宋"/>
          <w:color w:val="auto"/>
          <w:highlight w:val="none"/>
        </w:rPr>
        <w:t>、通讯接口:1个RJ45；</w:t>
      </w:r>
    </w:p>
    <w:p w14:paraId="23BE87C1">
      <w:pPr>
        <w:spacing w:line="400" w:lineRule="exact"/>
        <w:ind w:firstLine="371" w:firstLineChars="177"/>
        <w:rPr>
          <w:rFonts w:hAnsi="宋体" w:cs="仿宋"/>
          <w:color w:val="auto"/>
          <w:highlight w:val="none"/>
        </w:rPr>
      </w:pPr>
      <w:r>
        <w:rPr>
          <w:rFonts w:hAnsi="宋体" w:cs="仿宋"/>
          <w:color w:val="auto"/>
          <w:highlight w:val="none"/>
        </w:rPr>
        <w:t>6</w:t>
      </w:r>
      <w:r>
        <w:rPr>
          <w:rFonts w:hint="eastAsia" w:hAnsi="宋体" w:cs="仿宋"/>
          <w:color w:val="auto"/>
          <w:highlight w:val="none"/>
        </w:rPr>
        <w:t>、供电方式：AC24V±30%；</w:t>
      </w:r>
    </w:p>
    <w:p w14:paraId="5F6ACF87">
      <w:pPr>
        <w:spacing w:line="400" w:lineRule="exact"/>
        <w:ind w:firstLine="371" w:firstLineChars="177"/>
        <w:rPr>
          <w:rFonts w:hAnsi="宋体" w:cs="仿宋"/>
          <w:color w:val="auto"/>
          <w:highlight w:val="none"/>
        </w:rPr>
      </w:pPr>
      <w:r>
        <w:rPr>
          <w:rFonts w:hAnsi="宋体" w:cs="仿宋"/>
          <w:color w:val="auto"/>
          <w:highlight w:val="none"/>
        </w:rPr>
        <w:t>7</w:t>
      </w:r>
      <w:r>
        <w:rPr>
          <w:rFonts w:hint="eastAsia" w:hAnsi="宋体" w:cs="仿宋"/>
          <w:color w:val="auto"/>
          <w:highlight w:val="none"/>
        </w:rPr>
        <w:t>、防水等级：≥IP67；</w:t>
      </w:r>
    </w:p>
    <w:p w14:paraId="1FA854C6">
      <w:pPr>
        <w:spacing w:line="400" w:lineRule="exact"/>
        <w:ind w:firstLine="371" w:firstLineChars="177"/>
        <w:rPr>
          <w:rFonts w:hAnsi="宋体" w:cs="仿宋"/>
          <w:color w:val="auto"/>
          <w:highlight w:val="none"/>
        </w:rPr>
      </w:pPr>
      <w:r>
        <w:rPr>
          <w:rFonts w:hAnsi="宋体" w:cs="仿宋"/>
          <w:color w:val="auto"/>
          <w:highlight w:val="none"/>
        </w:rPr>
        <w:t>8</w:t>
      </w:r>
      <w:r>
        <w:rPr>
          <w:rFonts w:hint="eastAsia" w:hAnsi="宋体" w:cs="仿宋"/>
          <w:color w:val="auto"/>
          <w:highlight w:val="none"/>
        </w:rPr>
        <w:t>、工作环境 温度：-30~60℃，湿度：≤93%；</w:t>
      </w:r>
    </w:p>
    <w:p w14:paraId="17C8E488">
      <w:pPr>
        <w:spacing w:line="400" w:lineRule="exact"/>
        <w:ind w:firstLine="371" w:firstLineChars="177"/>
        <w:rPr>
          <w:rFonts w:hAnsi="宋体" w:cs="仿宋"/>
          <w:color w:val="auto"/>
          <w:highlight w:val="none"/>
        </w:rPr>
      </w:pPr>
      <w:r>
        <w:rPr>
          <w:rFonts w:hAnsi="宋体" w:cs="仿宋"/>
          <w:color w:val="auto"/>
          <w:highlight w:val="none"/>
        </w:rPr>
        <w:t>9</w:t>
      </w:r>
      <w:r>
        <w:rPr>
          <w:rFonts w:hint="eastAsia" w:hAnsi="宋体" w:cs="仿宋"/>
          <w:color w:val="auto"/>
          <w:highlight w:val="none"/>
        </w:rPr>
        <w:t>、视频编码格式：H.264、H.265；</w:t>
      </w:r>
    </w:p>
    <w:p w14:paraId="10F3FC84">
      <w:pPr>
        <w:spacing w:line="400" w:lineRule="exact"/>
        <w:ind w:firstLine="371" w:firstLineChars="177"/>
        <w:rPr>
          <w:rFonts w:hAnsi="宋体" w:cs="仿宋"/>
          <w:color w:val="auto"/>
          <w:highlight w:val="none"/>
        </w:rPr>
      </w:pPr>
      <w:r>
        <w:rPr>
          <w:rFonts w:hAnsi="宋体" w:cs="仿宋"/>
          <w:color w:val="auto"/>
          <w:highlight w:val="none"/>
        </w:rPr>
        <w:t>10</w:t>
      </w:r>
      <w:r>
        <w:rPr>
          <w:rFonts w:hint="eastAsia" w:hAnsi="宋体" w:cs="仿宋"/>
          <w:color w:val="auto"/>
          <w:highlight w:val="none"/>
        </w:rPr>
        <w:t>、含安装支架；</w:t>
      </w:r>
    </w:p>
    <w:p w14:paraId="7B2B15E3">
      <w:pPr>
        <w:spacing w:line="400" w:lineRule="exact"/>
        <w:ind w:firstLine="371" w:firstLineChars="177"/>
        <w:rPr>
          <w:rFonts w:hAnsi="宋体" w:cs="仿宋"/>
          <w:bCs/>
          <w:color w:val="auto"/>
          <w:szCs w:val="21"/>
          <w:highlight w:val="none"/>
        </w:rPr>
      </w:pPr>
      <w:r>
        <w:rPr>
          <w:rFonts w:hint="eastAsia" w:hAnsi="宋体" w:cs="仿宋"/>
          <w:color w:val="auto"/>
          <w:highlight w:val="none"/>
        </w:rPr>
        <w:t>1</w:t>
      </w:r>
      <w:r>
        <w:rPr>
          <w:rFonts w:hAnsi="宋体" w:cs="仿宋"/>
          <w:color w:val="auto"/>
          <w:highlight w:val="none"/>
        </w:rPr>
        <w:t>1</w:t>
      </w:r>
      <w:r>
        <w:rPr>
          <w:rFonts w:hint="eastAsia" w:hAnsi="宋体" w:cs="仿宋"/>
          <w:color w:val="auto"/>
          <w:highlight w:val="none"/>
        </w:rPr>
        <w:t>、外观参考颜色：灰黑色，与立杆保持一致。</w:t>
      </w:r>
    </w:p>
    <w:p w14:paraId="3EF39FAC">
      <w:pPr>
        <w:pStyle w:val="6"/>
        <w:rPr>
          <w:color w:val="auto"/>
          <w:highlight w:val="none"/>
        </w:rPr>
      </w:pPr>
      <w:bookmarkStart w:id="62" w:name="_Ref161260273"/>
      <w:r>
        <w:rPr>
          <w:color w:val="auto"/>
          <w:highlight w:val="none"/>
        </w:rPr>
        <w:t>3</w:t>
      </w:r>
      <w:r>
        <w:rPr>
          <w:rFonts w:hint="eastAsia"/>
          <w:color w:val="auto"/>
          <w:highlight w:val="none"/>
        </w:rPr>
        <w:t>.1.</w:t>
      </w:r>
      <w:r>
        <w:rPr>
          <w:color w:val="auto"/>
          <w:highlight w:val="none"/>
        </w:rPr>
        <w:t>2</w:t>
      </w:r>
      <w:r>
        <w:rPr>
          <w:rFonts w:hint="eastAsia"/>
          <w:color w:val="auto"/>
          <w:highlight w:val="none"/>
        </w:rPr>
        <w:t xml:space="preserve">.2 </w:t>
      </w:r>
      <w:bookmarkEnd w:id="60"/>
      <w:bookmarkEnd w:id="61"/>
      <w:r>
        <w:rPr>
          <w:rFonts w:hint="eastAsia"/>
          <w:color w:val="auto"/>
          <w:highlight w:val="none"/>
        </w:rPr>
        <w:t>球型网络摄像机</w:t>
      </w:r>
      <w:bookmarkEnd w:id="62"/>
    </w:p>
    <w:p w14:paraId="23416D37">
      <w:pPr>
        <w:spacing w:line="400" w:lineRule="exact"/>
        <w:ind w:firstLine="371" w:firstLineChars="177"/>
        <w:rPr>
          <w:rFonts w:hAnsi="宋体" w:cs="仿宋"/>
          <w:color w:val="auto"/>
          <w:highlight w:val="none"/>
        </w:rPr>
      </w:pPr>
      <w:r>
        <w:rPr>
          <w:rFonts w:hint="eastAsia" w:hAnsi="宋体" w:cs="仿宋"/>
          <w:color w:val="auto"/>
          <w:highlight w:val="none"/>
        </w:rPr>
        <w:t>1、图像像素：400万；</w:t>
      </w:r>
    </w:p>
    <w:p w14:paraId="2007A7C1">
      <w:pPr>
        <w:spacing w:line="400" w:lineRule="exact"/>
        <w:ind w:firstLine="371" w:firstLineChars="177"/>
        <w:rPr>
          <w:rFonts w:hAnsi="宋体" w:cs="仿宋"/>
          <w:color w:val="auto"/>
          <w:highlight w:val="none"/>
        </w:rPr>
      </w:pPr>
      <w:r>
        <w:rPr>
          <w:rFonts w:hint="eastAsia" w:hAnsi="宋体" w:cs="仿宋"/>
          <w:color w:val="auto"/>
          <w:highlight w:val="none"/>
        </w:rPr>
        <w:t>2、最低照度：0.005lux（彩色），0.0005lux（黑白，红外灯开启）；</w:t>
      </w:r>
    </w:p>
    <w:p w14:paraId="60BB699C">
      <w:pPr>
        <w:spacing w:line="400" w:lineRule="exact"/>
        <w:ind w:firstLine="371" w:firstLineChars="177"/>
        <w:rPr>
          <w:rFonts w:hAnsi="宋体" w:cs="仿宋"/>
          <w:color w:val="auto"/>
          <w:highlight w:val="none"/>
        </w:rPr>
      </w:pPr>
      <w:r>
        <w:rPr>
          <w:rFonts w:hint="eastAsia" w:hAnsi="宋体" w:cs="仿宋"/>
          <w:color w:val="auto"/>
          <w:highlight w:val="none"/>
        </w:rPr>
        <w:t>3、镜头焦距5~110mm；</w:t>
      </w:r>
    </w:p>
    <w:p w14:paraId="10CF5EFD">
      <w:pPr>
        <w:spacing w:line="400" w:lineRule="exact"/>
        <w:ind w:firstLine="371" w:firstLineChars="177"/>
        <w:rPr>
          <w:rFonts w:hAnsi="宋体" w:cs="仿宋"/>
          <w:color w:val="auto"/>
          <w:highlight w:val="none"/>
        </w:rPr>
      </w:pPr>
      <w:r>
        <w:rPr>
          <w:rFonts w:hAnsi="宋体" w:cs="仿宋"/>
          <w:color w:val="auto"/>
          <w:highlight w:val="none"/>
        </w:rPr>
        <w:t>4</w:t>
      </w:r>
      <w:r>
        <w:rPr>
          <w:rFonts w:hint="eastAsia" w:hAnsi="宋体" w:cs="仿宋"/>
          <w:color w:val="auto"/>
          <w:highlight w:val="none"/>
        </w:rPr>
        <w:t>、动态范围: ≥120dB；</w:t>
      </w:r>
    </w:p>
    <w:p w14:paraId="7E7BD72A">
      <w:pPr>
        <w:spacing w:line="400" w:lineRule="exact"/>
        <w:ind w:firstLine="371" w:firstLineChars="177"/>
        <w:rPr>
          <w:rFonts w:hAnsi="宋体" w:cs="仿宋"/>
          <w:color w:val="auto"/>
          <w:highlight w:val="none"/>
        </w:rPr>
      </w:pPr>
      <w:r>
        <w:rPr>
          <w:rFonts w:hAnsi="宋体" w:cs="仿宋"/>
          <w:color w:val="auto"/>
          <w:highlight w:val="none"/>
        </w:rPr>
        <w:t>5</w:t>
      </w:r>
      <w:r>
        <w:rPr>
          <w:rFonts w:hint="eastAsia" w:hAnsi="宋体" w:cs="仿宋"/>
          <w:color w:val="auto"/>
          <w:highlight w:val="none"/>
        </w:rPr>
        <w:t>、通讯接口: RJ45</w:t>
      </w:r>
      <w:r>
        <w:rPr>
          <w:rFonts w:hAnsi="宋体" w:cs="仿宋"/>
          <w:color w:val="auto"/>
          <w:highlight w:val="none"/>
        </w:rPr>
        <w:t xml:space="preserve"> </w:t>
      </w:r>
      <w:r>
        <w:rPr>
          <w:rFonts w:hint="eastAsia" w:hAnsi="宋体" w:cs="仿宋"/>
          <w:color w:val="auto"/>
          <w:highlight w:val="none"/>
        </w:rPr>
        <w:t>1个；</w:t>
      </w:r>
    </w:p>
    <w:p w14:paraId="6FFA5C7E">
      <w:pPr>
        <w:spacing w:line="400" w:lineRule="exact"/>
        <w:ind w:firstLine="371" w:firstLineChars="177"/>
        <w:rPr>
          <w:rFonts w:hAnsi="宋体" w:cs="仿宋"/>
          <w:color w:val="auto"/>
          <w:highlight w:val="none"/>
        </w:rPr>
      </w:pPr>
      <w:r>
        <w:rPr>
          <w:rFonts w:hAnsi="宋体" w:cs="仿宋"/>
          <w:color w:val="auto"/>
          <w:highlight w:val="none"/>
        </w:rPr>
        <w:t>6</w:t>
      </w:r>
      <w:r>
        <w:rPr>
          <w:rFonts w:hint="eastAsia" w:hAnsi="宋体" w:cs="仿宋"/>
          <w:color w:val="auto"/>
          <w:highlight w:val="none"/>
        </w:rPr>
        <w:t>、供电方式：AC24V±30%；</w:t>
      </w:r>
    </w:p>
    <w:p w14:paraId="72BB3FE3">
      <w:pPr>
        <w:spacing w:line="400" w:lineRule="exact"/>
        <w:ind w:firstLine="371" w:firstLineChars="177"/>
        <w:rPr>
          <w:rFonts w:hAnsi="宋体" w:cs="仿宋"/>
          <w:color w:val="auto"/>
          <w:highlight w:val="none"/>
        </w:rPr>
      </w:pPr>
      <w:r>
        <w:rPr>
          <w:rFonts w:hAnsi="宋体" w:cs="仿宋"/>
          <w:color w:val="auto"/>
          <w:highlight w:val="none"/>
        </w:rPr>
        <w:t>7</w:t>
      </w:r>
      <w:r>
        <w:rPr>
          <w:rFonts w:hint="eastAsia" w:hAnsi="宋体" w:cs="仿宋"/>
          <w:color w:val="auto"/>
          <w:highlight w:val="none"/>
        </w:rPr>
        <w:t>、防水等级：≥IP67；</w:t>
      </w:r>
    </w:p>
    <w:p w14:paraId="148ED9E2">
      <w:pPr>
        <w:spacing w:line="400" w:lineRule="exact"/>
        <w:ind w:firstLine="371" w:firstLineChars="177"/>
        <w:rPr>
          <w:rFonts w:hAnsi="宋体" w:cs="仿宋"/>
          <w:color w:val="auto"/>
          <w:highlight w:val="none"/>
        </w:rPr>
      </w:pPr>
      <w:r>
        <w:rPr>
          <w:rFonts w:hAnsi="宋体" w:cs="仿宋"/>
          <w:color w:val="auto"/>
          <w:highlight w:val="none"/>
        </w:rPr>
        <w:t>8</w:t>
      </w:r>
      <w:r>
        <w:rPr>
          <w:rFonts w:hint="eastAsia" w:hAnsi="宋体" w:cs="仿宋"/>
          <w:color w:val="auto"/>
          <w:highlight w:val="none"/>
        </w:rPr>
        <w:t>、工作环境 温度：-40℃-70℃；</w:t>
      </w:r>
    </w:p>
    <w:p w14:paraId="474974AA">
      <w:pPr>
        <w:spacing w:line="400" w:lineRule="exact"/>
        <w:ind w:firstLine="371" w:firstLineChars="177"/>
        <w:rPr>
          <w:rFonts w:hAnsi="宋体" w:cs="仿宋"/>
          <w:color w:val="auto"/>
          <w:highlight w:val="none"/>
        </w:rPr>
      </w:pPr>
      <w:r>
        <w:rPr>
          <w:rFonts w:hAnsi="宋体" w:cs="仿宋"/>
          <w:color w:val="auto"/>
          <w:highlight w:val="none"/>
        </w:rPr>
        <w:t>9</w:t>
      </w:r>
      <w:r>
        <w:rPr>
          <w:rFonts w:hint="eastAsia" w:hAnsi="宋体" w:cs="仿宋"/>
          <w:color w:val="auto"/>
          <w:highlight w:val="none"/>
        </w:rPr>
        <w:t>、视频编码格式：H.264、H.265；</w:t>
      </w:r>
    </w:p>
    <w:p w14:paraId="680D751F">
      <w:pPr>
        <w:spacing w:line="400" w:lineRule="exact"/>
        <w:ind w:firstLine="371" w:firstLineChars="177"/>
        <w:rPr>
          <w:rFonts w:hAnsi="宋体" w:cs="仿宋"/>
          <w:color w:val="auto"/>
          <w:highlight w:val="none"/>
        </w:rPr>
      </w:pPr>
      <w:r>
        <w:rPr>
          <w:rFonts w:hint="eastAsia" w:hAnsi="宋体" w:cs="仿宋"/>
          <w:color w:val="auto"/>
          <w:highlight w:val="none"/>
        </w:rPr>
        <w:t>1</w:t>
      </w:r>
      <w:r>
        <w:rPr>
          <w:rFonts w:hAnsi="宋体" w:cs="仿宋"/>
          <w:color w:val="auto"/>
          <w:highlight w:val="none"/>
        </w:rPr>
        <w:t>0</w:t>
      </w:r>
      <w:r>
        <w:rPr>
          <w:rFonts w:hint="eastAsia" w:hAnsi="宋体" w:cs="仿宋"/>
          <w:color w:val="auto"/>
          <w:highlight w:val="none"/>
        </w:rPr>
        <w:t>、旋转范围水平：0°~360°连续旋转垂直：-20°~+90°自动翻转180°后连续监视；</w:t>
      </w:r>
    </w:p>
    <w:p w14:paraId="67531E85">
      <w:pPr>
        <w:spacing w:line="400" w:lineRule="exact"/>
        <w:ind w:firstLine="371" w:firstLineChars="177"/>
        <w:rPr>
          <w:rFonts w:hAnsi="宋体" w:cs="仿宋"/>
          <w:color w:val="auto"/>
          <w:highlight w:val="none"/>
        </w:rPr>
      </w:pPr>
      <w:r>
        <w:rPr>
          <w:rFonts w:hAnsi="宋体" w:cs="仿宋"/>
          <w:color w:val="auto"/>
          <w:highlight w:val="none"/>
        </w:rPr>
        <w:t>11</w:t>
      </w:r>
      <w:r>
        <w:rPr>
          <w:rFonts w:hint="eastAsia" w:hAnsi="宋体" w:cs="仿宋"/>
          <w:color w:val="auto"/>
          <w:highlight w:val="none"/>
        </w:rPr>
        <w:t>、键控速度水平：0.1°/s～138.3°/s垂直：0.1°/s～22.5°/s；</w:t>
      </w:r>
    </w:p>
    <w:p w14:paraId="7AC6C29C">
      <w:pPr>
        <w:spacing w:line="400" w:lineRule="exact"/>
        <w:ind w:firstLine="371" w:firstLineChars="177"/>
        <w:rPr>
          <w:rFonts w:hAnsi="宋体" w:cs="仿宋"/>
          <w:color w:val="auto"/>
          <w:highlight w:val="none"/>
        </w:rPr>
      </w:pPr>
      <w:r>
        <w:rPr>
          <w:rFonts w:hAnsi="宋体" w:cs="仿宋"/>
          <w:color w:val="auto"/>
          <w:highlight w:val="none"/>
        </w:rPr>
        <w:t>12</w:t>
      </w:r>
      <w:r>
        <w:rPr>
          <w:rFonts w:hint="eastAsia" w:hAnsi="宋体" w:cs="仿宋"/>
          <w:color w:val="auto"/>
          <w:highlight w:val="none"/>
        </w:rPr>
        <w:t>、含安装支架；</w:t>
      </w:r>
    </w:p>
    <w:p w14:paraId="3624C2E6">
      <w:pPr>
        <w:ind w:firstLine="371" w:firstLineChars="177"/>
        <w:rPr>
          <w:color w:val="auto"/>
          <w:highlight w:val="none"/>
        </w:rPr>
      </w:pPr>
      <w:r>
        <w:rPr>
          <w:rFonts w:hint="eastAsia" w:hAnsi="宋体" w:cs="仿宋"/>
          <w:color w:val="auto"/>
          <w:highlight w:val="none"/>
        </w:rPr>
        <w:t>1</w:t>
      </w:r>
      <w:r>
        <w:rPr>
          <w:rFonts w:hAnsi="宋体" w:cs="仿宋"/>
          <w:color w:val="auto"/>
          <w:highlight w:val="none"/>
        </w:rPr>
        <w:t>3</w:t>
      </w:r>
      <w:r>
        <w:rPr>
          <w:rFonts w:hint="eastAsia" w:hAnsi="宋体" w:cs="仿宋"/>
          <w:color w:val="auto"/>
          <w:highlight w:val="none"/>
        </w:rPr>
        <w:t>、外观参考颜色：灰黑色，与立杆保持一致。</w:t>
      </w:r>
    </w:p>
    <w:p w14:paraId="3B55BE82">
      <w:pPr>
        <w:rPr>
          <w:color w:val="auto"/>
          <w:highlight w:val="none"/>
        </w:rPr>
      </w:pPr>
    </w:p>
    <w:p w14:paraId="637A499B">
      <w:pPr>
        <w:pStyle w:val="6"/>
        <w:rPr>
          <w:color w:val="auto"/>
          <w:highlight w:val="none"/>
        </w:rPr>
      </w:pPr>
      <w:bookmarkStart w:id="63" w:name="_Ref161260294"/>
      <w:r>
        <w:rPr>
          <w:color w:val="auto"/>
          <w:highlight w:val="none"/>
        </w:rPr>
        <w:t>3</w:t>
      </w:r>
      <w:r>
        <w:rPr>
          <w:rFonts w:hint="eastAsia"/>
          <w:color w:val="auto"/>
          <w:highlight w:val="none"/>
        </w:rPr>
        <w:t>.1.</w:t>
      </w:r>
      <w:r>
        <w:rPr>
          <w:color w:val="auto"/>
          <w:highlight w:val="none"/>
        </w:rPr>
        <w:t>2</w:t>
      </w:r>
      <w:r>
        <w:rPr>
          <w:rFonts w:hint="eastAsia"/>
          <w:color w:val="auto"/>
          <w:highlight w:val="none"/>
        </w:rPr>
        <w:t>.3半球型彩色网络摄像机</w:t>
      </w:r>
      <w:bookmarkEnd w:id="63"/>
    </w:p>
    <w:p w14:paraId="6566AAFB">
      <w:pPr>
        <w:spacing w:line="400" w:lineRule="exact"/>
        <w:ind w:firstLine="371" w:firstLineChars="177"/>
        <w:rPr>
          <w:rFonts w:hAnsi="宋体" w:cs="仿宋"/>
          <w:color w:val="auto"/>
          <w:highlight w:val="none"/>
        </w:rPr>
      </w:pPr>
      <w:r>
        <w:rPr>
          <w:rFonts w:hint="eastAsia" w:hAnsi="宋体" w:cs="仿宋"/>
          <w:color w:val="auto"/>
          <w:highlight w:val="none"/>
        </w:rPr>
        <w:t>1、图像像素：200万；</w:t>
      </w:r>
    </w:p>
    <w:p w14:paraId="2EBA39B3">
      <w:pPr>
        <w:spacing w:line="400" w:lineRule="exact"/>
        <w:ind w:firstLine="371" w:firstLineChars="177"/>
        <w:rPr>
          <w:rFonts w:hAnsi="宋体" w:cs="仿宋"/>
          <w:color w:val="auto"/>
          <w:highlight w:val="none"/>
        </w:rPr>
      </w:pPr>
      <w:r>
        <w:rPr>
          <w:rFonts w:hint="eastAsia" w:hAnsi="宋体" w:cs="仿宋"/>
          <w:color w:val="auto"/>
          <w:highlight w:val="none"/>
        </w:rPr>
        <w:t>2、最低照度0.002Lux（彩色），0.0002Lux（黑白）；</w:t>
      </w:r>
    </w:p>
    <w:p w14:paraId="39444BB0">
      <w:pPr>
        <w:spacing w:line="400" w:lineRule="exact"/>
        <w:ind w:firstLine="371" w:firstLineChars="177"/>
        <w:rPr>
          <w:rFonts w:hAnsi="宋体" w:cs="仿宋"/>
          <w:color w:val="auto"/>
          <w:highlight w:val="none"/>
        </w:rPr>
      </w:pPr>
      <w:r>
        <w:rPr>
          <w:rFonts w:hint="eastAsia" w:hAnsi="宋体" w:cs="仿宋"/>
          <w:color w:val="auto"/>
          <w:highlight w:val="none"/>
        </w:rPr>
        <w:t xml:space="preserve">3、定焦镜头： </w:t>
      </w:r>
      <w:r>
        <w:rPr>
          <w:rFonts w:hAnsi="宋体" w:cs="仿宋"/>
          <w:color w:val="auto"/>
          <w:highlight w:val="none"/>
        </w:rPr>
        <w:t>2.8</w:t>
      </w:r>
      <w:r>
        <w:rPr>
          <w:rFonts w:hint="eastAsia" w:hAnsi="宋体" w:cs="仿宋"/>
          <w:color w:val="auto"/>
          <w:highlight w:val="none"/>
        </w:rPr>
        <w:t>mm或3mm或3</w:t>
      </w:r>
      <w:r>
        <w:rPr>
          <w:rFonts w:hAnsi="宋体" w:cs="仿宋"/>
          <w:color w:val="auto"/>
          <w:highlight w:val="none"/>
        </w:rPr>
        <w:t>.6</w:t>
      </w:r>
      <w:r>
        <w:rPr>
          <w:rFonts w:hint="eastAsia" w:hAnsi="宋体" w:cs="仿宋"/>
          <w:color w:val="auto"/>
          <w:highlight w:val="none"/>
        </w:rPr>
        <w:t>mm（具体设配数量见设计文件）</w:t>
      </w:r>
    </w:p>
    <w:p w14:paraId="0C18799B">
      <w:pPr>
        <w:spacing w:line="400" w:lineRule="exact"/>
        <w:ind w:firstLine="371" w:firstLineChars="177"/>
        <w:rPr>
          <w:rFonts w:hAnsi="宋体" w:cs="仿宋"/>
          <w:color w:val="auto"/>
          <w:highlight w:val="none"/>
        </w:rPr>
      </w:pPr>
      <w:r>
        <w:rPr>
          <w:rFonts w:hint="eastAsia" w:hAnsi="宋体" w:cs="仿宋"/>
          <w:color w:val="auto"/>
          <w:highlight w:val="none"/>
        </w:rPr>
        <w:t>4、红外补光距离10~15m；</w:t>
      </w:r>
    </w:p>
    <w:p w14:paraId="21FDDA8B">
      <w:pPr>
        <w:spacing w:line="400" w:lineRule="exact"/>
        <w:ind w:firstLine="371" w:firstLineChars="177"/>
        <w:rPr>
          <w:rFonts w:hAnsi="宋体" w:cs="仿宋"/>
          <w:color w:val="auto"/>
          <w:highlight w:val="none"/>
        </w:rPr>
      </w:pPr>
      <w:r>
        <w:rPr>
          <w:rFonts w:hAnsi="宋体" w:cs="仿宋"/>
          <w:color w:val="auto"/>
          <w:highlight w:val="none"/>
        </w:rPr>
        <w:t>5</w:t>
      </w:r>
      <w:r>
        <w:rPr>
          <w:rFonts w:hint="eastAsia" w:hAnsi="宋体" w:cs="仿宋"/>
          <w:color w:val="auto"/>
          <w:highlight w:val="none"/>
        </w:rPr>
        <w:t>、通讯接口:1个RJ45；</w:t>
      </w:r>
    </w:p>
    <w:p w14:paraId="22B5D8EB">
      <w:pPr>
        <w:spacing w:line="400" w:lineRule="exact"/>
        <w:ind w:firstLine="371" w:firstLineChars="177"/>
        <w:rPr>
          <w:rFonts w:hAnsi="宋体" w:cs="仿宋"/>
          <w:color w:val="auto"/>
          <w:highlight w:val="none"/>
        </w:rPr>
      </w:pPr>
      <w:r>
        <w:rPr>
          <w:rFonts w:hAnsi="宋体" w:cs="仿宋"/>
          <w:color w:val="auto"/>
          <w:highlight w:val="none"/>
        </w:rPr>
        <w:t>6</w:t>
      </w:r>
      <w:r>
        <w:rPr>
          <w:rFonts w:hint="eastAsia" w:hAnsi="宋体" w:cs="仿宋"/>
          <w:color w:val="auto"/>
          <w:highlight w:val="none"/>
        </w:rPr>
        <w:t>、供电方式：自带电源适配器；</w:t>
      </w:r>
    </w:p>
    <w:p w14:paraId="354F81B8">
      <w:pPr>
        <w:spacing w:line="400" w:lineRule="exact"/>
        <w:ind w:firstLine="371" w:firstLineChars="177"/>
        <w:rPr>
          <w:rFonts w:hAnsi="宋体" w:cs="仿宋"/>
          <w:color w:val="auto"/>
          <w:highlight w:val="none"/>
        </w:rPr>
      </w:pPr>
      <w:r>
        <w:rPr>
          <w:rFonts w:hAnsi="宋体" w:cs="仿宋"/>
          <w:color w:val="auto"/>
          <w:highlight w:val="none"/>
        </w:rPr>
        <w:t>7</w:t>
      </w:r>
      <w:r>
        <w:rPr>
          <w:rFonts w:hint="eastAsia" w:hAnsi="宋体" w:cs="仿宋"/>
          <w:color w:val="auto"/>
          <w:highlight w:val="none"/>
        </w:rPr>
        <w:t>、防水等级：≥IP67；</w:t>
      </w:r>
    </w:p>
    <w:p w14:paraId="46303B39">
      <w:pPr>
        <w:spacing w:line="400" w:lineRule="exact"/>
        <w:ind w:firstLine="371" w:firstLineChars="177"/>
        <w:rPr>
          <w:rFonts w:hAnsi="宋体" w:cs="仿宋"/>
          <w:color w:val="auto"/>
          <w:highlight w:val="none"/>
        </w:rPr>
      </w:pPr>
      <w:r>
        <w:rPr>
          <w:rFonts w:hAnsi="宋体" w:cs="仿宋"/>
          <w:color w:val="auto"/>
          <w:highlight w:val="none"/>
        </w:rPr>
        <w:t>8</w:t>
      </w:r>
      <w:r>
        <w:rPr>
          <w:rFonts w:hint="eastAsia" w:hAnsi="宋体" w:cs="仿宋"/>
          <w:color w:val="auto"/>
          <w:highlight w:val="none"/>
        </w:rPr>
        <w:t>、工作环境 温度：-30~60℃，湿度：≤93%；</w:t>
      </w:r>
    </w:p>
    <w:p w14:paraId="435CC935">
      <w:pPr>
        <w:spacing w:line="400" w:lineRule="exact"/>
        <w:ind w:firstLine="371" w:firstLineChars="177"/>
        <w:rPr>
          <w:rFonts w:hAnsi="宋体" w:cs="仿宋"/>
          <w:color w:val="auto"/>
          <w:highlight w:val="none"/>
        </w:rPr>
      </w:pPr>
      <w:r>
        <w:rPr>
          <w:rFonts w:hAnsi="宋体" w:cs="仿宋"/>
          <w:color w:val="auto"/>
          <w:highlight w:val="none"/>
        </w:rPr>
        <w:t>9</w:t>
      </w:r>
      <w:r>
        <w:rPr>
          <w:rFonts w:hint="eastAsia" w:hAnsi="宋体" w:cs="仿宋"/>
          <w:color w:val="auto"/>
          <w:highlight w:val="none"/>
        </w:rPr>
        <w:t>、视频编码格式：H.264、H.265；</w:t>
      </w:r>
    </w:p>
    <w:p w14:paraId="599FC560">
      <w:pPr>
        <w:pStyle w:val="6"/>
        <w:rPr>
          <w:color w:val="auto"/>
          <w:highlight w:val="none"/>
        </w:rPr>
      </w:pPr>
      <w:bookmarkStart w:id="64" w:name="_Ref161260308"/>
      <w:r>
        <w:rPr>
          <w:color w:val="auto"/>
          <w:highlight w:val="none"/>
        </w:rPr>
        <w:t>3</w:t>
      </w:r>
      <w:r>
        <w:rPr>
          <w:rFonts w:hint="eastAsia"/>
          <w:color w:val="auto"/>
          <w:highlight w:val="none"/>
        </w:rPr>
        <w:t>.1.</w:t>
      </w:r>
      <w:r>
        <w:rPr>
          <w:color w:val="auto"/>
          <w:highlight w:val="none"/>
        </w:rPr>
        <w:t>2</w:t>
      </w:r>
      <w:r>
        <w:rPr>
          <w:rFonts w:hint="eastAsia"/>
          <w:color w:val="auto"/>
          <w:highlight w:val="none"/>
        </w:rPr>
        <w:t>.</w:t>
      </w:r>
      <w:r>
        <w:rPr>
          <w:color w:val="auto"/>
          <w:highlight w:val="none"/>
        </w:rPr>
        <w:t>4</w:t>
      </w:r>
      <w:r>
        <w:rPr>
          <w:rFonts w:hint="eastAsia"/>
          <w:color w:val="auto"/>
          <w:highlight w:val="none"/>
        </w:rPr>
        <w:t>热敏感报警枪型网络摄像机</w:t>
      </w:r>
      <w:bookmarkEnd w:id="64"/>
    </w:p>
    <w:p w14:paraId="6163ECE2">
      <w:pPr>
        <w:spacing w:line="400" w:lineRule="exact"/>
        <w:ind w:firstLine="371" w:firstLineChars="177"/>
        <w:rPr>
          <w:rFonts w:hAnsi="宋体" w:cs="仿宋"/>
          <w:color w:val="auto"/>
          <w:highlight w:val="none"/>
        </w:rPr>
      </w:pPr>
      <w:r>
        <w:rPr>
          <w:rFonts w:hint="eastAsia" w:hAnsi="宋体" w:cs="仿宋"/>
          <w:color w:val="auto"/>
          <w:highlight w:val="none"/>
        </w:rPr>
        <w:t>1、图像像素：</w:t>
      </w:r>
      <w:r>
        <w:rPr>
          <w:rFonts w:hAnsi="宋体" w:cs="仿宋"/>
          <w:color w:val="auto"/>
          <w:highlight w:val="none"/>
        </w:rPr>
        <w:t>4</w:t>
      </w:r>
      <w:r>
        <w:rPr>
          <w:rFonts w:hint="eastAsia" w:hAnsi="宋体" w:cs="仿宋"/>
          <w:color w:val="auto"/>
          <w:highlight w:val="none"/>
        </w:rPr>
        <w:t>00万；探测器像素：256×192；光谱范围：8μm～14μm；</w:t>
      </w:r>
    </w:p>
    <w:p w14:paraId="5183815A">
      <w:pPr>
        <w:spacing w:line="400" w:lineRule="exact"/>
        <w:ind w:firstLine="371" w:firstLineChars="177"/>
        <w:rPr>
          <w:rFonts w:hAnsi="宋体" w:cs="仿宋"/>
          <w:color w:val="auto"/>
          <w:highlight w:val="none"/>
        </w:rPr>
      </w:pPr>
      <w:r>
        <w:rPr>
          <w:rFonts w:hAnsi="宋体" w:cs="仿宋"/>
          <w:color w:val="auto"/>
          <w:highlight w:val="none"/>
        </w:rPr>
        <w:t>2</w:t>
      </w:r>
      <w:r>
        <w:rPr>
          <w:rFonts w:hint="eastAsia" w:hAnsi="宋体" w:cs="仿宋"/>
          <w:color w:val="auto"/>
          <w:highlight w:val="none"/>
        </w:rPr>
        <w:t>、镜头焦距：12mm（可见光）；补光类型：红外；最大补光距离：≥30m；</w:t>
      </w:r>
    </w:p>
    <w:p w14:paraId="3D063F13">
      <w:pPr>
        <w:spacing w:line="400" w:lineRule="exact"/>
        <w:ind w:firstLine="426"/>
        <w:rPr>
          <w:rFonts w:hAnsi="宋体" w:cs="仿宋"/>
          <w:color w:val="auto"/>
          <w:highlight w:val="none"/>
        </w:rPr>
      </w:pPr>
      <w:r>
        <w:rPr>
          <w:rFonts w:hint="eastAsia" w:hAnsi="宋体" w:cs="仿宋"/>
          <w:color w:val="auto"/>
          <w:highlight w:val="none"/>
        </w:rPr>
        <w:t>3、照度：≤0.0002lx（彩色），≤0.00011x（黑白）；</w:t>
      </w:r>
    </w:p>
    <w:p w14:paraId="33AE8C87">
      <w:pPr>
        <w:spacing w:line="400" w:lineRule="exact"/>
        <w:ind w:firstLine="371" w:firstLineChars="177"/>
        <w:rPr>
          <w:rFonts w:hAnsi="宋体" w:cs="仿宋"/>
          <w:color w:val="auto"/>
          <w:highlight w:val="none"/>
        </w:rPr>
      </w:pPr>
      <w:r>
        <w:rPr>
          <w:rFonts w:hAnsi="宋体" w:cs="仿宋"/>
          <w:color w:val="auto"/>
          <w:highlight w:val="none"/>
        </w:rPr>
        <w:t>4</w:t>
      </w:r>
      <w:r>
        <w:rPr>
          <w:rFonts w:hint="eastAsia" w:hAnsi="宋体" w:cs="仿宋"/>
          <w:color w:val="auto"/>
          <w:highlight w:val="none"/>
        </w:rPr>
        <w:t>、通讯接口:1个RJ45；</w:t>
      </w:r>
    </w:p>
    <w:p w14:paraId="4A51DB9A">
      <w:pPr>
        <w:spacing w:line="400" w:lineRule="exact"/>
        <w:ind w:firstLine="371" w:firstLineChars="177"/>
        <w:rPr>
          <w:rFonts w:hAnsi="宋体" w:cs="仿宋"/>
          <w:color w:val="auto"/>
          <w:highlight w:val="none"/>
        </w:rPr>
      </w:pPr>
      <w:r>
        <w:rPr>
          <w:rFonts w:hAnsi="宋体" w:cs="仿宋"/>
          <w:color w:val="auto"/>
          <w:highlight w:val="none"/>
        </w:rPr>
        <w:t>5</w:t>
      </w:r>
      <w:r>
        <w:rPr>
          <w:rFonts w:hint="eastAsia" w:hAnsi="宋体" w:cs="仿宋"/>
          <w:color w:val="auto"/>
          <w:highlight w:val="none"/>
        </w:rPr>
        <w:t>、供电方式：AC24V±</w:t>
      </w:r>
      <w:r>
        <w:rPr>
          <w:rFonts w:hAnsi="宋体" w:cs="仿宋"/>
          <w:color w:val="auto"/>
          <w:highlight w:val="none"/>
        </w:rPr>
        <w:t>3</w:t>
      </w:r>
      <w:r>
        <w:rPr>
          <w:rFonts w:hint="eastAsia" w:hAnsi="宋体" w:cs="仿宋"/>
          <w:color w:val="auto"/>
          <w:highlight w:val="none"/>
        </w:rPr>
        <w:t>0%；</w:t>
      </w:r>
    </w:p>
    <w:p w14:paraId="41628481">
      <w:pPr>
        <w:spacing w:line="400" w:lineRule="exact"/>
        <w:ind w:firstLine="371" w:firstLineChars="177"/>
        <w:rPr>
          <w:rFonts w:hAnsi="宋体" w:cs="仿宋"/>
          <w:color w:val="auto"/>
          <w:highlight w:val="none"/>
        </w:rPr>
      </w:pPr>
      <w:r>
        <w:rPr>
          <w:rFonts w:hAnsi="宋体" w:cs="仿宋"/>
          <w:color w:val="auto"/>
          <w:highlight w:val="none"/>
        </w:rPr>
        <w:t>6</w:t>
      </w:r>
      <w:r>
        <w:rPr>
          <w:rFonts w:hint="eastAsia" w:hAnsi="宋体" w:cs="仿宋"/>
          <w:color w:val="auto"/>
          <w:highlight w:val="none"/>
        </w:rPr>
        <w:t>、防护等级：≥IP67，防浪涌6KV,接触放电</w:t>
      </w:r>
      <w:r>
        <w:rPr>
          <w:rFonts w:hAnsi="宋体" w:cs="仿宋"/>
          <w:color w:val="auto"/>
          <w:highlight w:val="none"/>
        </w:rPr>
        <w:t>6</w:t>
      </w:r>
      <w:r>
        <w:rPr>
          <w:rFonts w:hint="eastAsia" w:hAnsi="宋体" w:cs="仿宋"/>
          <w:color w:val="auto"/>
          <w:highlight w:val="none"/>
        </w:rPr>
        <w:t>KV，空气放电8</w:t>
      </w:r>
      <w:r>
        <w:rPr>
          <w:rFonts w:hAnsi="宋体" w:cs="仿宋"/>
          <w:color w:val="auto"/>
          <w:highlight w:val="none"/>
        </w:rPr>
        <w:t>KV</w:t>
      </w:r>
      <w:r>
        <w:rPr>
          <w:rFonts w:hint="eastAsia" w:hAnsi="宋体" w:cs="仿宋"/>
          <w:color w:val="auto"/>
          <w:highlight w:val="none"/>
        </w:rPr>
        <w:t>；</w:t>
      </w:r>
    </w:p>
    <w:p w14:paraId="7B820F5E">
      <w:pPr>
        <w:spacing w:line="400" w:lineRule="exact"/>
        <w:ind w:firstLine="371" w:firstLineChars="177"/>
        <w:rPr>
          <w:rFonts w:hAnsi="宋体" w:cs="仿宋"/>
          <w:color w:val="auto"/>
          <w:highlight w:val="none"/>
        </w:rPr>
      </w:pPr>
      <w:r>
        <w:rPr>
          <w:rFonts w:hAnsi="宋体" w:cs="仿宋"/>
          <w:color w:val="auto"/>
          <w:highlight w:val="none"/>
        </w:rPr>
        <w:t>7</w:t>
      </w:r>
      <w:r>
        <w:rPr>
          <w:rFonts w:hint="eastAsia" w:hAnsi="宋体" w:cs="仿宋"/>
          <w:color w:val="auto"/>
          <w:highlight w:val="none"/>
        </w:rPr>
        <w:t>、外观参考颜色：灰黑色，与立杆保持一致。</w:t>
      </w:r>
    </w:p>
    <w:p w14:paraId="4794866E">
      <w:pPr>
        <w:spacing w:line="400" w:lineRule="exact"/>
        <w:ind w:firstLine="371" w:firstLineChars="177"/>
        <w:rPr>
          <w:rFonts w:hAnsi="宋体" w:cs="仿宋"/>
          <w:color w:val="auto"/>
          <w:highlight w:val="none"/>
        </w:rPr>
      </w:pPr>
      <w:r>
        <w:rPr>
          <w:rFonts w:hAnsi="宋体" w:cs="仿宋"/>
          <w:color w:val="auto"/>
          <w:highlight w:val="none"/>
        </w:rPr>
        <w:t>8</w:t>
      </w:r>
      <w:r>
        <w:rPr>
          <w:rFonts w:hint="eastAsia" w:hAnsi="宋体" w:cs="仿宋"/>
          <w:color w:val="auto"/>
          <w:highlight w:val="none"/>
        </w:rPr>
        <w:t>、视频编码格式：H.264、H.265；</w:t>
      </w:r>
    </w:p>
    <w:p w14:paraId="27F5F86A">
      <w:pPr>
        <w:spacing w:line="400" w:lineRule="exact"/>
        <w:ind w:firstLine="371" w:firstLineChars="177"/>
        <w:rPr>
          <w:rFonts w:hAnsi="宋体" w:cs="仿宋"/>
          <w:color w:val="auto"/>
          <w:highlight w:val="none"/>
        </w:rPr>
      </w:pPr>
      <w:r>
        <w:rPr>
          <w:rFonts w:hAnsi="宋体" w:cs="仿宋"/>
          <w:color w:val="auto"/>
          <w:highlight w:val="none"/>
        </w:rPr>
        <w:t>9</w:t>
      </w:r>
      <w:r>
        <w:rPr>
          <w:rFonts w:hint="eastAsia" w:hAnsi="宋体" w:cs="仿宋"/>
          <w:color w:val="auto"/>
          <w:highlight w:val="none"/>
        </w:rPr>
        <w:t>、同时具备以下功能：</w:t>
      </w:r>
    </w:p>
    <w:p w14:paraId="2247B4CE">
      <w:pPr>
        <w:spacing w:line="400" w:lineRule="exact"/>
        <w:ind w:left="743" w:leftChars="354"/>
        <w:rPr>
          <w:rFonts w:hAnsi="宋体" w:cs="仿宋"/>
          <w:color w:val="auto"/>
          <w:highlight w:val="none"/>
        </w:rPr>
      </w:pPr>
      <w:r>
        <w:rPr>
          <w:rFonts w:hAnsi="宋体" w:cs="仿宋"/>
          <w:color w:val="auto"/>
          <w:highlight w:val="none"/>
        </w:rPr>
        <w:t>1</w:t>
      </w:r>
      <w:r>
        <w:rPr>
          <w:rFonts w:hint="eastAsia" w:hAnsi="宋体" w:cs="仿宋"/>
          <w:color w:val="auto"/>
          <w:highlight w:val="none"/>
        </w:rPr>
        <w:t>）电子透雾</w:t>
      </w:r>
    </w:p>
    <w:p w14:paraId="33F00273">
      <w:pPr>
        <w:spacing w:line="400" w:lineRule="exact"/>
        <w:ind w:left="743" w:leftChars="354"/>
        <w:rPr>
          <w:rFonts w:hAnsi="宋体" w:cs="仿宋"/>
          <w:color w:val="auto"/>
          <w:highlight w:val="none"/>
        </w:rPr>
      </w:pPr>
      <w:r>
        <w:rPr>
          <w:rFonts w:hAnsi="宋体" w:cs="仿宋"/>
          <w:color w:val="auto"/>
          <w:highlight w:val="none"/>
        </w:rPr>
        <w:t>2</w:t>
      </w:r>
      <w:r>
        <w:rPr>
          <w:rFonts w:hint="eastAsia" w:hAnsi="宋体" w:cs="仿宋"/>
          <w:color w:val="auto"/>
          <w:highlight w:val="none"/>
        </w:rPr>
        <w:t>）★火点侦测距离：≥</w:t>
      </w:r>
      <w:r>
        <w:rPr>
          <w:rFonts w:hAnsi="宋体" w:cs="仿宋"/>
          <w:color w:val="auto"/>
          <w:highlight w:val="none"/>
        </w:rPr>
        <w:t>100</w:t>
      </w:r>
      <w:r>
        <w:rPr>
          <w:rFonts w:hint="eastAsia" w:hAnsi="宋体" w:cs="仿宋"/>
          <w:color w:val="auto"/>
          <w:highlight w:val="none"/>
        </w:rPr>
        <w:t>m（目标大小</w:t>
      </w:r>
      <w:r>
        <w:rPr>
          <w:rFonts w:hAnsi="宋体" w:cs="仿宋"/>
          <w:color w:val="auto"/>
          <w:highlight w:val="none"/>
        </w:rPr>
        <w:t>0.2</w:t>
      </w:r>
      <w:r>
        <w:rPr>
          <w:rFonts w:hint="eastAsia" w:hAnsi="宋体" w:cs="仿宋"/>
          <w:color w:val="auto"/>
          <w:highlight w:val="none"/>
        </w:rPr>
        <w:t>m×</w:t>
      </w:r>
      <w:r>
        <w:rPr>
          <w:rFonts w:hAnsi="宋体" w:cs="仿宋"/>
          <w:color w:val="auto"/>
          <w:highlight w:val="none"/>
        </w:rPr>
        <w:t>0.2</w:t>
      </w:r>
      <w:r>
        <w:rPr>
          <w:rFonts w:hint="eastAsia" w:hAnsi="宋体" w:cs="仿宋"/>
          <w:color w:val="auto"/>
          <w:highlight w:val="none"/>
        </w:rPr>
        <w:t>m）；</w:t>
      </w:r>
    </w:p>
    <w:p w14:paraId="199AD7C9">
      <w:pPr>
        <w:spacing w:line="400" w:lineRule="exact"/>
        <w:ind w:left="743" w:leftChars="354"/>
        <w:rPr>
          <w:rFonts w:hAnsi="宋体" w:cs="仿宋"/>
          <w:color w:val="auto"/>
          <w:highlight w:val="none"/>
        </w:rPr>
      </w:pPr>
      <w:r>
        <w:rPr>
          <w:rFonts w:hAnsi="宋体" w:cs="仿宋"/>
          <w:color w:val="auto"/>
          <w:highlight w:val="none"/>
        </w:rPr>
        <w:t>3</w:t>
      </w:r>
      <w:r>
        <w:rPr>
          <w:rFonts w:hint="eastAsia" w:hAnsi="宋体" w:cs="仿宋"/>
          <w:color w:val="auto"/>
          <w:highlight w:val="none"/>
        </w:rPr>
        <w:t>）周界防范距离（人）：≥100m（目标大小1.8m×0.5m）；</w:t>
      </w:r>
    </w:p>
    <w:p w14:paraId="645503F9">
      <w:pPr>
        <w:spacing w:line="400" w:lineRule="exact"/>
        <w:ind w:left="743" w:leftChars="354"/>
        <w:rPr>
          <w:rFonts w:hAnsi="宋体" w:cs="仿宋"/>
          <w:color w:val="auto"/>
          <w:highlight w:val="none"/>
        </w:rPr>
      </w:pPr>
      <w:r>
        <w:rPr>
          <w:rFonts w:hAnsi="宋体" w:cs="仿宋"/>
          <w:color w:val="auto"/>
          <w:highlight w:val="none"/>
        </w:rPr>
        <w:t>4</w:t>
      </w:r>
      <w:r>
        <w:rPr>
          <w:rFonts w:hint="eastAsia" w:hAnsi="宋体" w:cs="仿宋"/>
          <w:color w:val="auto"/>
          <w:highlight w:val="none"/>
        </w:rPr>
        <w:t>）周界防范距离（车）：≥300m（目标大小4m×1.4m）；</w:t>
      </w:r>
    </w:p>
    <w:p w14:paraId="2C864C03">
      <w:pPr>
        <w:spacing w:line="400" w:lineRule="exact"/>
        <w:ind w:left="743" w:leftChars="354"/>
        <w:rPr>
          <w:rFonts w:hAnsi="宋体" w:cs="仿宋"/>
          <w:color w:val="auto"/>
          <w:highlight w:val="none"/>
        </w:rPr>
      </w:pPr>
      <w:r>
        <w:rPr>
          <w:rFonts w:hAnsi="宋体" w:cs="仿宋"/>
          <w:color w:val="auto"/>
          <w:highlight w:val="none"/>
        </w:rPr>
        <w:t>5</w:t>
      </w:r>
      <w:r>
        <w:rPr>
          <w:rFonts w:hint="eastAsia" w:hAnsi="宋体" w:cs="仿宋"/>
          <w:color w:val="auto"/>
          <w:highlight w:val="none"/>
        </w:rPr>
        <w:t>）使用类型：观测型；探测器类型：非制冷氧化钒焦平面探测器；前端探测温度超过设定值，前端、后端须即时报警提示；</w:t>
      </w:r>
    </w:p>
    <w:p w14:paraId="371EDFCA">
      <w:pPr>
        <w:spacing w:line="400" w:lineRule="exact"/>
        <w:ind w:firstLine="480"/>
        <w:rPr>
          <w:rFonts w:hAnsi="宋体" w:cs="仿宋"/>
          <w:color w:val="auto"/>
          <w:highlight w:val="none"/>
        </w:rPr>
      </w:pPr>
    </w:p>
    <w:p w14:paraId="367C13E9">
      <w:pPr>
        <w:pStyle w:val="6"/>
        <w:rPr>
          <w:color w:val="auto"/>
          <w:highlight w:val="none"/>
        </w:rPr>
      </w:pPr>
      <w:bookmarkStart w:id="65" w:name="_Ref161262611"/>
      <w:r>
        <w:rPr>
          <w:color w:val="auto"/>
          <w:highlight w:val="none"/>
        </w:rPr>
        <w:t>3</w:t>
      </w:r>
      <w:r>
        <w:rPr>
          <w:rFonts w:hint="eastAsia"/>
          <w:color w:val="auto"/>
          <w:highlight w:val="none"/>
        </w:rPr>
        <w:t>.1.</w:t>
      </w:r>
      <w:r>
        <w:rPr>
          <w:color w:val="auto"/>
          <w:highlight w:val="none"/>
        </w:rPr>
        <w:t>2</w:t>
      </w:r>
      <w:r>
        <w:rPr>
          <w:rFonts w:hint="eastAsia"/>
          <w:color w:val="auto"/>
          <w:highlight w:val="none"/>
        </w:rPr>
        <w:t>.</w:t>
      </w:r>
      <w:r>
        <w:rPr>
          <w:color w:val="auto"/>
          <w:highlight w:val="none"/>
        </w:rPr>
        <w:t>5 AI</w:t>
      </w:r>
      <w:r>
        <w:rPr>
          <w:rFonts w:hint="eastAsia"/>
          <w:color w:val="auto"/>
          <w:highlight w:val="none"/>
        </w:rPr>
        <w:t>网络摄像机（室外消防占道专用）</w:t>
      </w:r>
      <w:bookmarkEnd w:id="65"/>
    </w:p>
    <w:p w14:paraId="5114AF14">
      <w:pPr>
        <w:spacing w:line="400" w:lineRule="exact"/>
        <w:ind w:firstLine="371" w:firstLineChars="177"/>
        <w:rPr>
          <w:rFonts w:hAnsi="宋体" w:cs="仿宋"/>
          <w:color w:val="auto"/>
          <w:highlight w:val="none"/>
        </w:rPr>
      </w:pPr>
      <w:r>
        <w:rPr>
          <w:rFonts w:hint="eastAsia" w:hAnsi="宋体" w:cs="仿宋"/>
          <w:color w:val="auto"/>
          <w:highlight w:val="none"/>
        </w:rPr>
        <w:t>1、图像像素：</w:t>
      </w:r>
      <w:r>
        <w:rPr>
          <w:rFonts w:hAnsi="宋体" w:cs="仿宋"/>
          <w:color w:val="auto"/>
          <w:highlight w:val="none"/>
        </w:rPr>
        <w:t>4</w:t>
      </w:r>
      <w:r>
        <w:rPr>
          <w:rFonts w:hint="eastAsia" w:hAnsi="宋体" w:cs="仿宋"/>
          <w:color w:val="auto"/>
          <w:highlight w:val="none"/>
        </w:rPr>
        <w:t>00万；</w:t>
      </w:r>
    </w:p>
    <w:p w14:paraId="218D7F83">
      <w:pPr>
        <w:spacing w:line="400" w:lineRule="exact"/>
        <w:ind w:firstLine="371" w:firstLineChars="177"/>
        <w:rPr>
          <w:rFonts w:hAnsi="宋体" w:cs="仿宋"/>
          <w:color w:val="auto"/>
          <w:highlight w:val="none"/>
        </w:rPr>
      </w:pPr>
      <w:r>
        <w:rPr>
          <w:rFonts w:hint="eastAsia" w:hAnsi="宋体" w:cs="仿宋"/>
          <w:color w:val="auto"/>
          <w:highlight w:val="none"/>
        </w:rPr>
        <w:t>2、照度：0.002lux（彩色）；0.0002lux（黑白）</w:t>
      </w:r>
    </w:p>
    <w:p w14:paraId="4C6197FC">
      <w:pPr>
        <w:spacing w:line="400" w:lineRule="exact"/>
        <w:ind w:firstLine="371" w:firstLineChars="177"/>
        <w:rPr>
          <w:rFonts w:hAnsi="宋体" w:cs="仿宋"/>
          <w:color w:val="auto"/>
          <w:highlight w:val="none"/>
        </w:rPr>
      </w:pPr>
      <w:r>
        <w:rPr>
          <w:rFonts w:hint="eastAsia" w:hAnsi="宋体" w:cs="仿宋"/>
          <w:color w:val="auto"/>
          <w:highlight w:val="none"/>
        </w:rPr>
        <w:t>2、镜头焦距：；2.7mm～13.5mm</w:t>
      </w:r>
    </w:p>
    <w:p w14:paraId="57107EC1">
      <w:pPr>
        <w:spacing w:line="400" w:lineRule="exact"/>
        <w:ind w:firstLine="371" w:firstLineChars="177"/>
        <w:rPr>
          <w:rFonts w:hAnsi="宋体" w:cs="仿宋"/>
          <w:color w:val="auto"/>
          <w:highlight w:val="none"/>
        </w:rPr>
      </w:pPr>
      <w:r>
        <w:rPr>
          <w:rFonts w:hAnsi="宋体" w:cs="仿宋"/>
          <w:color w:val="auto"/>
          <w:highlight w:val="none"/>
        </w:rPr>
        <w:t>3</w:t>
      </w:r>
      <w:r>
        <w:rPr>
          <w:rFonts w:hint="eastAsia" w:hAnsi="宋体" w:cs="仿宋"/>
          <w:color w:val="auto"/>
          <w:highlight w:val="none"/>
        </w:rPr>
        <w:t>、通讯接口:1个RJ45；</w:t>
      </w:r>
    </w:p>
    <w:p w14:paraId="2EDB94A5">
      <w:pPr>
        <w:spacing w:line="400" w:lineRule="exact"/>
        <w:ind w:firstLine="371" w:firstLineChars="177"/>
        <w:rPr>
          <w:rFonts w:hAnsi="宋体" w:cs="仿宋"/>
          <w:color w:val="auto"/>
          <w:highlight w:val="none"/>
        </w:rPr>
      </w:pPr>
      <w:r>
        <w:rPr>
          <w:rFonts w:hAnsi="宋体" w:cs="仿宋"/>
          <w:color w:val="auto"/>
          <w:highlight w:val="none"/>
        </w:rPr>
        <w:t>4</w:t>
      </w:r>
      <w:r>
        <w:rPr>
          <w:rFonts w:hint="eastAsia" w:hAnsi="宋体" w:cs="仿宋"/>
          <w:color w:val="auto"/>
          <w:highlight w:val="none"/>
        </w:rPr>
        <w:t>、供电方式：AC24V±</w:t>
      </w:r>
      <w:r>
        <w:rPr>
          <w:rFonts w:hAnsi="宋体" w:cs="仿宋"/>
          <w:color w:val="auto"/>
          <w:highlight w:val="none"/>
        </w:rPr>
        <w:t>3</w:t>
      </w:r>
      <w:r>
        <w:rPr>
          <w:rFonts w:hint="eastAsia" w:hAnsi="宋体" w:cs="仿宋"/>
          <w:color w:val="auto"/>
          <w:highlight w:val="none"/>
        </w:rPr>
        <w:t>0%</w:t>
      </w:r>
    </w:p>
    <w:p w14:paraId="38E25250">
      <w:pPr>
        <w:spacing w:line="400" w:lineRule="exact"/>
        <w:ind w:firstLine="371" w:firstLineChars="177"/>
        <w:rPr>
          <w:rFonts w:hAnsi="宋体" w:cs="仿宋"/>
          <w:color w:val="auto"/>
          <w:highlight w:val="none"/>
        </w:rPr>
      </w:pPr>
      <w:r>
        <w:rPr>
          <w:rFonts w:hAnsi="宋体" w:cs="仿宋"/>
          <w:color w:val="auto"/>
          <w:highlight w:val="none"/>
        </w:rPr>
        <w:t>5</w:t>
      </w:r>
      <w:r>
        <w:rPr>
          <w:rFonts w:hint="eastAsia" w:hAnsi="宋体" w:cs="仿宋"/>
          <w:color w:val="auto"/>
          <w:highlight w:val="none"/>
        </w:rPr>
        <w:t>、防护等级：≥IP67，防浪涌6KV、防静电6KV接触/8KV空气；</w:t>
      </w:r>
    </w:p>
    <w:p w14:paraId="5D7C8EC4">
      <w:pPr>
        <w:spacing w:line="400" w:lineRule="exact"/>
        <w:ind w:firstLine="371" w:firstLineChars="177"/>
        <w:rPr>
          <w:rFonts w:hAnsi="宋体" w:cs="仿宋"/>
          <w:color w:val="auto"/>
          <w:highlight w:val="none"/>
        </w:rPr>
      </w:pPr>
      <w:r>
        <w:rPr>
          <w:rFonts w:hAnsi="宋体" w:cs="仿宋"/>
          <w:color w:val="auto"/>
          <w:highlight w:val="none"/>
        </w:rPr>
        <w:t>6</w:t>
      </w:r>
      <w:r>
        <w:rPr>
          <w:rFonts w:hint="eastAsia" w:hAnsi="宋体" w:cs="仿宋"/>
          <w:color w:val="auto"/>
          <w:highlight w:val="none"/>
        </w:rPr>
        <w:t>、外观参考颜色：灰黑色，与立杆保持一致。</w:t>
      </w:r>
    </w:p>
    <w:p w14:paraId="0E7DEEE4">
      <w:pPr>
        <w:spacing w:line="400" w:lineRule="exact"/>
        <w:ind w:firstLine="371" w:firstLineChars="177"/>
        <w:rPr>
          <w:rFonts w:hAnsi="宋体" w:cs="仿宋"/>
          <w:color w:val="auto"/>
          <w:highlight w:val="none"/>
        </w:rPr>
      </w:pPr>
      <w:r>
        <w:rPr>
          <w:rFonts w:hAnsi="宋体" w:cs="仿宋"/>
          <w:color w:val="auto"/>
          <w:highlight w:val="none"/>
        </w:rPr>
        <w:t>7</w:t>
      </w:r>
      <w:r>
        <w:rPr>
          <w:rFonts w:hint="eastAsia" w:hAnsi="宋体" w:cs="仿宋"/>
          <w:color w:val="auto"/>
          <w:highlight w:val="none"/>
        </w:rPr>
        <w:t>、视频编码格式：H.264、H.265；</w:t>
      </w:r>
    </w:p>
    <w:p w14:paraId="104253B5">
      <w:pPr>
        <w:spacing w:line="400" w:lineRule="exact"/>
        <w:ind w:firstLine="371" w:firstLineChars="177"/>
        <w:rPr>
          <w:rFonts w:hAnsi="宋体" w:cs="仿宋"/>
          <w:color w:val="auto"/>
          <w:highlight w:val="none"/>
        </w:rPr>
      </w:pPr>
      <w:r>
        <w:rPr>
          <w:rFonts w:hAnsi="宋体" w:cs="仿宋"/>
          <w:color w:val="auto"/>
          <w:highlight w:val="none"/>
        </w:rPr>
        <w:t>8</w:t>
      </w:r>
      <w:r>
        <w:rPr>
          <w:rFonts w:hint="eastAsia" w:hAnsi="宋体" w:cs="仿宋"/>
          <w:color w:val="auto"/>
          <w:highlight w:val="none"/>
        </w:rPr>
        <w:t>、同时具备以下功能：</w:t>
      </w:r>
    </w:p>
    <w:p w14:paraId="5B92070B">
      <w:pPr>
        <w:spacing w:line="400" w:lineRule="exact"/>
        <w:ind w:left="619" w:leftChars="295" w:firstLine="1"/>
        <w:rPr>
          <w:rFonts w:hAnsi="宋体" w:cs="仿宋"/>
          <w:color w:val="auto"/>
          <w:highlight w:val="none"/>
        </w:rPr>
      </w:pPr>
      <w:r>
        <w:rPr>
          <w:rFonts w:hAnsi="宋体" w:cs="仿宋"/>
          <w:color w:val="auto"/>
          <w:highlight w:val="none"/>
        </w:rPr>
        <w:t>1</w:t>
      </w:r>
      <w:r>
        <w:rPr>
          <w:rFonts w:hint="eastAsia" w:hAnsi="宋体" w:cs="仿宋"/>
          <w:color w:val="auto"/>
          <w:highlight w:val="none"/>
        </w:rPr>
        <w:t>）对进入规定区域车辆违规停放检测，检测区域最多满足机动车和非机动车各一条规则，机动车和非机动车检测满足同开，机动车检测满足过滤应急车辆，满足对违规机动车车牌识别，满足对违规机动车、非机动车辆检测时间[6秒至3600秒]动态配置，相关智能满足声光报警联动，当报警产生时，可触发联动声音警报和灯光闪烁；</w:t>
      </w:r>
    </w:p>
    <w:p w14:paraId="0C2504FF">
      <w:pPr>
        <w:spacing w:line="400" w:lineRule="exact"/>
        <w:ind w:left="619" w:leftChars="295" w:firstLine="1"/>
        <w:rPr>
          <w:rFonts w:hAnsi="宋体" w:cs="仿宋"/>
          <w:color w:val="auto"/>
          <w:highlight w:val="none"/>
        </w:rPr>
      </w:pPr>
      <w:r>
        <w:rPr>
          <w:rFonts w:hAnsi="宋体" w:cs="仿宋"/>
          <w:color w:val="auto"/>
          <w:highlight w:val="none"/>
        </w:rPr>
        <w:t>2</w:t>
      </w:r>
      <w:r>
        <w:rPr>
          <w:rFonts w:hint="eastAsia" w:hAnsi="宋体" w:cs="仿宋"/>
          <w:color w:val="auto"/>
          <w:highlight w:val="none"/>
        </w:rPr>
        <w:t>）内置高效双光灯和红外补光灯，最大红外监控距离60米，最大暖光监控距离30米；</w:t>
      </w:r>
    </w:p>
    <w:p w14:paraId="033D4F81">
      <w:pPr>
        <w:spacing w:line="400" w:lineRule="exact"/>
        <w:ind w:left="619" w:leftChars="295" w:firstLine="1"/>
        <w:rPr>
          <w:rFonts w:hAnsi="宋体" w:cs="仿宋"/>
          <w:color w:val="auto"/>
          <w:highlight w:val="none"/>
        </w:rPr>
      </w:pPr>
      <w:r>
        <w:rPr>
          <w:rFonts w:hAnsi="宋体" w:cs="仿宋"/>
          <w:color w:val="auto"/>
          <w:highlight w:val="none"/>
        </w:rPr>
        <w:t>3</w:t>
      </w:r>
      <w:r>
        <w:rPr>
          <w:rFonts w:hint="eastAsia" w:hAnsi="宋体" w:cs="仿宋"/>
          <w:color w:val="auto"/>
          <w:highlight w:val="none"/>
        </w:rPr>
        <w:t>）满足走廊模式，宽动态，3D降噪，强光抑制，背光补偿，数字水印，适用不同监控环境；</w:t>
      </w:r>
    </w:p>
    <w:p w14:paraId="621FC96C">
      <w:pPr>
        <w:spacing w:line="400" w:lineRule="exact"/>
        <w:ind w:left="619" w:leftChars="295" w:firstLine="1"/>
        <w:rPr>
          <w:rFonts w:hAnsi="宋体" w:cs="仿宋"/>
          <w:color w:val="auto"/>
          <w:highlight w:val="none"/>
        </w:rPr>
      </w:pPr>
      <w:r>
        <w:rPr>
          <w:rFonts w:hAnsi="宋体" w:cs="仿宋"/>
          <w:color w:val="auto"/>
          <w:highlight w:val="none"/>
        </w:rPr>
        <w:t>4</w:t>
      </w:r>
      <w:r>
        <w:rPr>
          <w:rFonts w:hint="eastAsia" w:hAnsi="宋体" w:cs="仿宋"/>
          <w:color w:val="auto"/>
          <w:highlight w:val="none"/>
        </w:rPr>
        <w:t>）可在自定义设置的时间段内对报警输出，邮件，音频，灯光等事件联动项进行统一撤防控制；</w:t>
      </w:r>
    </w:p>
    <w:p w14:paraId="787F31F7">
      <w:pPr>
        <w:spacing w:line="400" w:lineRule="exact"/>
        <w:ind w:firstLine="480"/>
        <w:rPr>
          <w:rFonts w:hAnsi="宋体" w:cs="仿宋"/>
          <w:color w:val="auto"/>
          <w:highlight w:val="none"/>
        </w:rPr>
      </w:pPr>
    </w:p>
    <w:p w14:paraId="42ACB9A1">
      <w:pPr>
        <w:pStyle w:val="6"/>
        <w:rPr>
          <w:color w:val="auto"/>
          <w:highlight w:val="none"/>
        </w:rPr>
      </w:pPr>
      <w:bookmarkStart w:id="66" w:name="_Toc30052"/>
      <w:bookmarkStart w:id="67" w:name="_Toc11661"/>
      <w:bookmarkStart w:id="68" w:name="_Ref161262597"/>
      <w:r>
        <w:rPr>
          <w:color w:val="auto"/>
          <w:highlight w:val="none"/>
        </w:rPr>
        <w:t>3</w:t>
      </w:r>
      <w:r>
        <w:rPr>
          <w:rFonts w:hint="eastAsia"/>
          <w:color w:val="auto"/>
          <w:highlight w:val="none"/>
        </w:rPr>
        <w:t>.1.</w:t>
      </w:r>
      <w:r>
        <w:rPr>
          <w:color w:val="auto"/>
          <w:highlight w:val="none"/>
        </w:rPr>
        <w:t>2</w:t>
      </w:r>
      <w:r>
        <w:rPr>
          <w:rFonts w:hint="eastAsia"/>
          <w:color w:val="auto"/>
          <w:highlight w:val="none"/>
        </w:rPr>
        <w:t>.</w:t>
      </w:r>
      <w:bookmarkEnd w:id="66"/>
      <w:bookmarkEnd w:id="67"/>
      <w:r>
        <w:rPr>
          <w:color w:val="auto"/>
          <w:highlight w:val="none"/>
        </w:rPr>
        <w:t xml:space="preserve">6 </w:t>
      </w:r>
      <w:r>
        <w:rPr>
          <w:rFonts w:hint="eastAsia"/>
          <w:color w:val="auto"/>
          <w:highlight w:val="none"/>
        </w:rPr>
        <w:t>A</w:t>
      </w:r>
      <w:r>
        <w:rPr>
          <w:color w:val="auto"/>
          <w:highlight w:val="none"/>
        </w:rPr>
        <w:t>I</w:t>
      </w:r>
      <w:r>
        <w:rPr>
          <w:rFonts w:hint="eastAsia"/>
          <w:color w:val="auto"/>
          <w:highlight w:val="none"/>
        </w:rPr>
        <w:t>结构化网络摄像机</w:t>
      </w:r>
      <w:bookmarkEnd w:id="68"/>
    </w:p>
    <w:p w14:paraId="775A3AB7">
      <w:pPr>
        <w:spacing w:line="400" w:lineRule="exact"/>
        <w:ind w:firstLine="371" w:firstLineChars="177"/>
        <w:rPr>
          <w:rFonts w:hAnsi="宋体" w:cs="仿宋"/>
          <w:color w:val="auto"/>
          <w:highlight w:val="none"/>
        </w:rPr>
      </w:pPr>
      <w:r>
        <w:rPr>
          <w:rFonts w:hint="eastAsia" w:hAnsi="宋体" w:cs="仿宋"/>
          <w:color w:val="auto"/>
          <w:highlight w:val="none"/>
        </w:rPr>
        <w:t>在微光环境下实现彩色清晰人脸、人体、机动车、非机动车车牌、前排人员人脸图片抓拍，满足人脸、人体及车辆图片关联，满足人员车辆结构化属性提取。</w:t>
      </w:r>
    </w:p>
    <w:p w14:paraId="5B8B6787">
      <w:pPr>
        <w:spacing w:line="400" w:lineRule="exact"/>
        <w:ind w:firstLine="371" w:firstLineChars="177"/>
        <w:rPr>
          <w:rFonts w:hAnsi="宋体" w:cs="仿宋"/>
          <w:color w:val="auto"/>
          <w:highlight w:val="none"/>
        </w:rPr>
      </w:pPr>
      <w:r>
        <w:rPr>
          <w:rFonts w:hint="eastAsia" w:hAnsi="宋体" w:cs="仿宋"/>
          <w:color w:val="auto"/>
          <w:highlight w:val="none"/>
        </w:rPr>
        <w:t>主要技术要求：</w:t>
      </w:r>
    </w:p>
    <w:p w14:paraId="0E0F995C">
      <w:pPr>
        <w:numPr>
          <w:ilvl w:val="0"/>
          <w:numId w:val="2"/>
        </w:numPr>
        <w:spacing w:line="400" w:lineRule="exact"/>
        <w:rPr>
          <w:rFonts w:hAnsi="宋体" w:cs="仿宋"/>
          <w:color w:val="auto"/>
          <w:highlight w:val="none"/>
        </w:rPr>
      </w:pPr>
      <w:r>
        <w:rPr>
          <w:rFonts w:hint="eastAsia" w:hAnsi="宋体" w:cs="仿宋"/>
          <w:color w:val="auto"/>
          <w:highlight w:val="none"/>
        </w:rPr>
        <w:t>采用分体式设计，配套镜头、防护罩；</w:t>
      </w:r>
    </w:p>
    <w:p w14:paraId="077B26CE">
      <w:pPr>
        <w:numPr>
          <w:ilvl w:val="0"/>
          <w:numId w:val="2"/>
        </w:numPr>
        <w:spacing w:line="400" w:lineRule="exact"/>
        <w:rPr>
          <w:rFonts w:hAnsi="宋体" w:cs="仿宋"/>
          <w:color w:val="auto"/>
          <w:highlight w:val="none"/>
        </w:rPr>
      </w:pPr>
      <w:r>
        <w:rPr>
          <w:rFonts w:hint="eastAsia" w:hAnsi="宋体" w:cs="仿宋"/>
          <w:color w:val="auto"/>
          <w:highlight w:val="none"/>
        </w:rPr>
        <w:t>靶面尺寸：≥1/1.2英寸；</w:t>
      </w:r>
    </w:p>
    <w:p w14:paraId="1A8C7226">
      <w:pPr>
        <w:numPr>
          <w:ilvl w:val="0"/>
          <w:numId w:val="2"/>
        </w:numPr>
        <w:spacing w:line="400" w:lineRule="exact"/>
        <w:rPr>
          <w:rFonts w:hAnsi="宋体" w:cs="仿宋"/>
          <w:color w:val="auto"/>
          <w:highlight w:val="none"/>
        </w:rPr>
      </w:pPr>
      <w:r>
        <w:rPr>
          <w:rFonts w:hint="eastAsia" w:hAnsi="宋体" w:cs="仿宋"/>
          <w:color w:val="auto"/>
          <w:highlight w:val="none"/>
        </w:rPr>
        <w:t xml:space="preserve">★图像像素:≥800万； </w:t>
      </w:r>
    </w:p>
    <w:p w14:paraId="1903CFF5">
      <w:pPr>
        <w:numPr>
          <w:ilvl w:val="0"/>
          <w:numId w:val="2"/>
        </w:numPr>
        <w:spacing w:line="400" w:lineRule="exact"/>
        <w:rPr>
          <w:rFonts w:hAnsi="宋体" w:cs="仿宋"/>
          <w:color w:val="auto"/>
          <w:highlight w:val="none"/>
        </w:rPr>
      </w:pPr>
      <w:r>
        <w:rPr>
          <w:rFonts w:hint="eastAsia" w:hAnsi="宋体" w:cs="仿宋"/>
          <w:color w:val="auto"/>
          <w:highlight w:val="none"/>
        </w:rPr>
        <w:t>★照度：≤0.0002Lux（F1.2）彩色、≤0.0001Lux（F1.2）黑白；</w:t>
      </w:r>
      <w:r>
        <w:rPr>
          <w:rFonts w:hAnsi="宋体" w:cs="仿宋"/>
          <w:color w:val="auto"/>
          <w:highlight w:val="none"/>
        </w:rPr>
        <w:t xml:space="preserve"> </w:t>
      </w:r>
    </w:p>
    <w:p w14:paraId="424DADAA">
      <w:pPr>
        <w:numPr>
          <w:ilvl w:val="0"/>
          <w:numId w:val="2"/>
        </w:numPr>
        <w:spacing w:line="400" w:lineRule="exact"/>
        <w:rPr>
          <w:rFonts w:hAnsi="宋体" w:cs="仿宋"/>
          <w:color w:val="auto"/>
          <w:highlight w:val="none"/>
        </w:rPr>
      </w:pPr>
      <w:r>
        <w:rPr>
          <w:rFonts w:hint="eastAsia" w:hAnsi="宋体" w:cs="仿宋"/>
          <w:color w:val="auto"/>
          <w:highlight w:val="none"/>
        </w:rPr>
        <w:t>串口：1 路 RS485；</w:t>
      </w:r>
    </w:p>
    <w:p w14:paraId="390C2D6C">
      <w:pPr>
        <w:numPr>
          <w:ilvl w:val="0"/>
          <w:numId w:val="2"/>
        </w:numPr>
        <w:spacing w:line="400" w:lineRule="exact"/>
        <w:rPr>
          <w:rFonts w:hAnsi="宋体" w:cs="仿宋"/>
          <w:color w:val="auto"/>
          <w:highlight w:val="none"/>
        </w:rPr>
      </w:pPr>
      <w:r>
        <w:rPr>
          <w:rFonts w:hint="eastAsia" w:hAnsi="宋体" w:cs="仿宋"/>
          <w:color w:val="auto"/>
          <w:highlight w:val="none"/>
        </w:rPr>
        <w:t>内置GPU芯片；</w:t>
      </w:r>
    </w:p>
    <w:p w14:paraId="233759D5">
      <w:pPr>
        <w:numPr>
          <w:ilvl w:val="0"/>
          <w:numId w:val="2"/>
        </w:numPr>
        <w:spacing w:line="400" w:lineRule="exact"/>
        <w:rPr>
          <w:rFonts w:hAnsi="宋体" w:cs="仿宋"/>
          <w:color w:val="auto"/>
          <w:highlight w:val="none"/>
        </w:rPr>
      </w:pPr>
      <w:r>
        <w:rPr>
          <w:rFonts w:hint="eastAsia" w:hAnsi="宋体" w:cs="仿宋"/>
          <w:color w:val="auto"/>
          <w:highlight w:val="none"/>
        </w:rPr>
        <w:t xml:space="preserve">★网口：10M/100M/1000M 自适应以太网电口； </w:t>
      </w:r>
    </w:p>
    <w:p w14:paraId="1D7E12CD">
      <w:pPr>
        <w:numPr>
          <w:ilvl w:val="0"/>
          <w:numId w:val="2"/>
        </w:numPr>
        <w:spacing w:line="400" w:lineRule="exact"/>
        <w:rPr>
          <w:rFonts w:hAnsi="宋体" w:cs="仿宋"/>
          <w:color w:val="auto"/>
          <w:highlight w:val="none"/>
        </w:rPr>
      </w:pPr>
      <w:r>
        <w:rPr>
          <w:rFonts w:hint="eastAsia" w:hAnsi="宋体" w:cs="仿宋"/>
          <w:color w:val="auto"/>
          <w:highlight w:val="none"/>
        </w:rPr>
        <w:t>控制镜头自动光圈方式：DC；</w:t>
      </w:r>
    </w:p>
    <w:p w14:paraId="08A414D3">
      <w:pPr>
        <w:numPr>
          <w:ilvl w:val="0"/>
          <w:numId w:val="2"/>
        </w:numPr>
        <w:spacing w:line="400" w:lineRule="exact"/>
        <w:rPr>
          <w:rFonts w:hAnsi="宋体" w:cs="仿宋"/>
          <w:color w:val="auto"/>
          <w:highlight w:val="none"/>
        </w:rPr>
      </w:pPr>
      <w:r>
        <w:rPr>
          <w:rFonts w:hint="eastAsia" w:hAnsi="宋体" w:cs="仿宋"/>
          <w:color w:val="auto"/>
          <w:highlight w:val="none"/>
        </w:rPr>
        <w:t xml:space="preserve">混合捕获功能：可对设定区域内120个混合目标进行检测和抓拍； </w:t>
      </w:r>
    </w:p>
    <w:p w14:paraId="19BF87AB">
      <w:pPr>
        <w:numPr>
          <w:ilvl w:val="0"/>
          <w:numId w:val="2"/>
        </w:numPr>
        <w:spacing w:line="400" w:lineRule="exact"/>
        <w:rPr>
          <w:rFonts w:hAnsi="宋体" w:cs="仿宋"/>
          <w:color w:val="auto"/>
          <w:highlight w:val="none"/>
        </w:rPr>
      </w:pPr>
      <w:r>
        <w:rPr>
          <w:rFonts w:hint="eastAsia" w:hAnsi="宋体" w:cs="仿宋"/>
          <w:color w:val="auto"/>
          <w:highlight w:val="none"/>
        </w:rPr>
        <w:t>人脸、车牌优选功能：可通过菜单开启或关闭人脸、车牌优选功能，当开启人脸、车牌优选功能后，能够挑选出最好的一张人脸、车牌进行抓拍；</w:t>
      </w:r>
    </w:p>
    <w:p w14:paraId="63C47A9E">
      <w:pPr>
        <w:numPr>
          <w:ilvl w:val="0"/>
          <w:numId w:val="2"/>
        </w:numPr>
        <w:spacing w:line="400" w:lineRule="exact"/>
        <w:rPr>
          <w:rFonts w:hAnsi="宋体" w:cs="仿宋"/>
          <w:color w:val="auto"/>
          <w:highlight w:val="none"/>
        </w:rPr>
      </w:pPr>
      <w:r>
        <w:rPr>
          <w:rFonts w:hint="eastAsia" w:hAnsi="宋体" w:cs="仿宋"/>
          <w:color w:val="auto"/>
          <w:highlight w:val="none"/>
        </w:rPr>
        <w:t>多角度人脸检测功能：检出水平转动角不超过±90°，俯仰角不超过±60°，倾斜角不超过±45°姿态角度的人脸；</w:t>
      </w:r>
    </w:p>
    <w:p w14:paraId="03A0F4E4">
      <w:pPr>
        <w:numPr>
          <w:ilvl w:val="0"/>
          <w:numId w:val="2"/>
        </w:numPr>
        <w:spacing w:line="400" w:lineRule="exact"/>
        <w:rPr>
          <w:rFonts w:hAnsi="宋体" w:cs="仿宋"/>
          <w:color w:val="auto"/>
          <w:highlight w:val="none"/>
        </w:rPr>
      </w:pPr>
      <w:r>
        <w:rPr>
          <w:rFonts w:hint="eastAsia" w:hAnsi="宋体" w:cs="仿宋"/>
          <w:color w:val="auto"/>
          <w:highlight w:val="none"/>
        </w:rPr>
        <w:t>人脸检测功能：检出、识别两眼瞳距40像素点以上的人脸图片；</w:t>
      </w:r>
    </w:p>
    <w:p w14:paraId="50DF7B1C">
      <w:pPr>
        <w:numPr>
          <w:ilvl w:val="0"/>
          <w:numId w:val="2"/>
        </w:numPr>
        <w:spacing w:line="400" w:lineRule="exact"/>
        <w:rPr>
          <w:rFonts w:hAnsi="宋体" w:cs="仿宋"/>
          <w:color w:val="auto"/>
          <w:highlight w:val="none"/>
        </w:rPr>
      </w:pPr>
      <w:r>
        <w:rPr>
          <w:rFonts w:hint="eastAsia" w:hAnsi="宋体" w:cs="仿宋"/>
          <w:color w:val="auto"/>
          <w:highlight w:val="none"/>
        </w:rPr>
        <w:t>触发动检或报警时：视频录像帧率应自动调整至设定值，设定范围1 ~ 30帧/秒；</w:t>
      </w:r>
    </w:p>
    <w:p w14:paraId="2882C86D">
      <w:pPr>
        <w:numPr>
          <w:ilvl w:val="0"/>
          <w:numId w:val="2"/>
        </w:numPr>
        <w:spacing w:line="400" w:lineRule="exact"/>
        <w:rPr>
          <w:rFonts w:hAnsi="宋体" w:cs="仿宋"/>
          <w:color w:val="auto"/>
          <w:highlight w:val="none"/>
        </w:rPr>
      </w:pPr>
      <w:r>
        <w:rPr>
          <w:rFonts w:hint="eastAsia" w:hAnsi="宋体" w:cs="仿宋"/>
          <w:color w:val="auto"/>
          <w:highlight w:val="none"/>
        </w:rPr>
        <w:t>人脸属性识别功能：包括年龄、性别、戴眼镜、表情、口罩等多种属性；</w:t>
      </w:r>
    </w:p>
    <w:p w14:paraId="3C4FBC9D">
      <w:pPr>
        <w:numPr>
          <w:ilvl w:val="0"/>
          <w:numId w:val="2"/>
        </w:numPr>
        <w:spacing w:line="400" w:lineRule="exact"/>
        <w:rPr>
          <w:rFonts w:hAnsi="宋体" w:cs="仿宋"/>
          <w:color w:val="auto"/>
          <w:highlight w:val="none"/>
        </w:rPr>
      </w:pPr>
      <w:r>
        <w:rPr>
          <w:rFonts w:hint="eastAsia" w:hAnsi="宋体" w:cs="仿宋"/>
          <w:color w:val="auto"/>
          <w:highlight w:val="none"/>
        </w:rPr>
        <w:t>人脸抓拍功能检验：人脸抠图类型满足人脸、单寸照、全身照、半身照可选；</w:t>
      </w:r>
    </w:p>
    <w:p w14:paraId="5A03A3A8">
      <w:pPr>
        <w:numPr>
          <w:ilvl w:val="0"/>
          <w:numId w:val="2"/>
        </w:numPr>
        <w:spacing w:line="400" w:lineRule="exact"/>
        <w:rPr>
          <w:rFonts w:hAnsi="宋体" w:cs="仿宋"/>
          <w:color w:val="auto"/>
          <w:highlight w:val="none"/>
        </w:rPr>
      </w:pPr>
      <w:r>
        <w:rPr>
          <w:rFonts w:hint="eastAsia" w:hAnsi="宋体" w:cs="仿宋"/>
          <w:color w:val="auto"/>
          <w:highlight w:val="none"/>
        </w:rPr>
        <w:t xml:space="preserve">★人脸抓拍率：≥95%； </w:t>
      </w:r>
    </w:p>
    <w:p w14:paraId="58AA4EF4">
      <w:pPr>
        <w:numPr>
          <w:ilvl w:val="0"/>
          <w:numId w:val="2"/>
        </w:numPr>
        <w:spacing w:line="400" w:lineRule="exact"/>
        <w:rPr>
          <w:rFonts w:hAnsi="宋体" w:cs="仿宋"/>
          <w:color w:val="auto"/>
          <w:highlight w:val="none"/>
        </w:rPr>
      </w:pPr>
      <w:r>
        <w:rPr>
          <w:rFonts w:hint="eastAsia" w:hAnsi="宋体" w:cs="仿宋"/>
          <w:color w:val="auto"/>
          <w:highlight w:val="none"/>
        </w:rPr>
        <w:t>满足人体属性（上装，下装，上装颜色，下装颜色，包，帽子，性别，雨伞）人脸属性（性别，年龄，表情，眼镜，口罩）；</w:t>
      </w:r>
    </w:p>
    <w:p w14:paraId="18A3C833">
      <w:pPr>
        <w:numPr>
          <w:ilvl w:val="0"/>
          <w:numId w:val="2"/>
        </w:numPr>
        <w:spacing w:line="400" w:lineRule="exact"/>
        <w:rPr>
          <w:rFonts w:hAnsi="宋体" w:cs="仿宋"/>
          <w:color w:val="auto"/>
          <w:highlight w:val="none"/>
        </w:rPr>
      </w:pPr>
      <w:r>
        <w:rPr>
          <w:rFonts w:hint="eastAsia" w:hAnsi="宋体" w:cs="仿宋"/>
          <w:color w:val="auto"/>
          <w:highlight w:val="none"/>
        </w:rPr>
        <w:t>满足机动车、非机动车、人脸、人员等目标的抓拍和属性识别；</w:t>
      </w:r>
    </w:p>
    <w:p w14:paraId="5E441309">
      <w:pPr>
        <w:numPr>
          <w:ilvl w:val="0"/>
          <w:numId w:val="2"/>
        </w:numPr>
        <w:spacing w:line="400" w:lineRule="exact"/>
        <w:rPr>
          <w:rFonts w:hAnsi="宋体" w:cs="仿宋"/>
          <w:color w:val="auto"/>
          <w:highlight w:val="none"/>
        </w:rPr>
      </w:pPr>
      <w:r>
        <w:rPr>
          <w:rFonts w:hint="eastAsia" w:hAnsi="宋体" w:cs="仿宋"/>
          <w:color w:val="auto"/>
          <w:highlight w:val="none"/>
        </w:rPr>
        <w:t>编码方式响应：H.265、H.264；</w:t>
      </w:r>
    </w:p>
    <w:p w14:paraId="749B172F">
      <w:pPr>
        <w:numPr>
          <w:ilvl w:val="0"/>
          <w:numId w:val="2"/>
        </w:numPr>
        <w:spacing w:line="400" w:lineRule="exact"/>
        <w:rPr>
          <w:rFonts w:hAnsi="宋体" w:cs="仿宋"/>
          <w:color w:val="auto"/>
          <w:highlight w:val="none"/>
        </w:rPr>
      </w:pPr>
      <w:r>
        <w:rPr>
          <w:rFonts w:hint="eastAsia" w:hAnsi="宋体" w:cs="仿宋"/>
          <w:color w:val="auto"/>
          <w:highlight w:val="none"/>
        </w:rPr>
        <w:t>协议：TCP/IP、ARP、ICMP、RTP/RTCP、NTP、DNS、DDNS、SNMP、RTSP 等；</w:t>
      </w:r>
    </w:p>
    <w:p w14:paraId="7CD55AE2">
      <w:pPr>
        <w:numPr>
          <w:ilvl w:val="0"/>
          <w:numId w:val="2"/>
        </w:numPr>
        <w:spacing w:line="400" w:lineRule="exact"/>
        <w:rPr>
          <w:rFonts w:hAnsi="宋体" w:cs="仿宋"/>
          <w:color w:val="auto"/>
          <w:highlight w:val="none"/>
        </w:rPr>
      </w:pPr>
      <w:r>
        <w:rPr>
          <w:rFonts w:hint="eastAsia" w:hAnsi="宋体" w:cs="仿宋"/>
          <w:color w:val="auto"/>
          <w:highlight w:val="none"/>
        </w:rPr>
        <w:t>满足ROI感兴趣区域视频压缩技术；</w:t>
      </w:r>
    </w:p>
    <w:p w14:paraId="200C9733">
      <w:pPr>
        <w:numPr>
          <w:ilvl w:val="0"/>
          <w:numId w:val="2"/>
        </w:numPr>
        <w:spacing w:line="400" w:lineRule="exact"/>
        <w:rPr>
          <w:rFonts w:hAnsi="宋体" w:cs="仿宋"/>
          <w:color w:val="auto"/>
          <w:highlight w:val="none"/>
        </w:rPr>
      </w:pPr>
      <w:r>
        <w:rPr>
          <w:rFonts w:hint="eastAsia" w:hAnsi="宋体" w:cs="仿宋"/>
          <w:color w:val="auto"/>
          <w:highlight w:val="none"/>
        </w:rPr>
        <w:t>满足提供API、视频解码控件、SDK 等供第三方厂家进行开发调用；</w:t>
      </w:r>
    </w:p>
    <w:p w14:paraId="1E114630">
      <w:pPr>
        <w:numPr>
          <w:ilvl w:val="0"/>
          <w:numId w:val="2"/>
        </w:numPr>
        <w:spacing w:line="400" w:lineRule="exact"/>
        <w:rPr>
          <w:rFonts w:hAnsi="宋体" w:cs="仿宋"/>
          <w:color w:val="auto"/>
          <w:highlight w:val="none"/>
        </w:rPr>
      </w:pPr>
      <w:r>
        <w:rPr>
          <w:rFonts w:hint="eastAsia" w:hAnsi="宋体" w:cs="仿宋"/>
          <w:color w:val="auto"/>
          <w:highlight w:val="none"/>
        </w:rPr>
        <w:t>满足ONVIF 等国际标准协议与第三方厂家设备进行互通；</w:t>
      </w:r>
    </w:p>
    <w:p w14:paraId="17BE5DEE">
      <w:pPr>
        <w:numPr>
          <w:ilvl w:val="0"/>
          <w:numId w:val="2"/>
        </w:numPr>
        <w:spacing w:line="400" w:lineRule="exact"/>
        <w:rPr>
          <w:rFonts w:hAnsi="宋体" w:cs="仿宋"/>
          <w:color w:val="auto"/>
          <w:highlight w:val="none"/>
        </w:rPr>
      </w:pPr>
      <w:r>
        <w:rPr>
          <w:rFonts w:hint="eastAsia" w:hAnsi="宋体" w:cs="仿宋"/>
          <w:color w:val="auto"/>
          <w:highlight w:val="none"/>
        </w:rPr>
        <w:t xml:space="preserve">★工作环境：-30℃--60℃； </w:t>
      </w:r>
    </w:p>
    <w:p w14:paraId="7D2639AA">
      <w:pPr>
        <w:numPr>
          <w:ilvl w:val="0"/>
          <w:numId w:val="2"/>
        </w:numPr>
        <w:spacing w:line="400" w:lineRule="exact"/>
        <w:rPr>
          <w:rFonts w:hAnsi="宋体" w:cs="仿宋"/>
          <w:color w:val="auto"/>
          <w:highlight w:val="none"/>
        </w:rPr>
      </w:pPr>
      <w:r>
        <w:rPr>
          <w:rFonts w:hint="eastAsia" w:hAnsi="宋体" w:cs="仿宋"/>
          <w:color w:val="auto"/>
          <w:highlight w:val="none"/>
        </w:rPr>
        <w:t>★供电电压：AC24V±30%宽电压输入。</w:t>
      </w:r>
    </w:p>
    <w:p w14:paraId="3E7F3687">
      <w:pPr>
        <w:numPr>
          <w:ilvl w:val="0"/>
          <w:numId w:val="2"/>
        </w:numPr>
        <w:spacing w:line="400" w:lineRule="exact"/>
        <w:rPr>
          <w:rFonts w:hAnsi="宋体" w:cs="仿宋"/>
          <w:color w:val="auto"/>
          <w:highlight w:val="none"/>
        </w:rPr>
      </w:pPr>
      <w:r>
        <w:rPr>
          <w:rFonts w:hint="eastAsia" w:hAnsi="宋体" w:cs="仿宋"/>
          <w:color w:val="auto"/>
          <w:highlight w:val="none"/>
        </w:rPr>
        <w:t>自动光圈手动变焦镜头</w:t>
      </w:r>
    </w:p>
    <w:p w14:paraId="315BB7FA">
      <w:pPr>
        <w:numPr>
          <w:ilvl w:val="0"/>
          <w:numId w:val="2"/>
        </w:numPr>
        <w:spacing w:line="400" w:lineRule="exact"/>
        <w:rPr>
          <w:rFonts w:hAnsi="宋体" w:cs="仿宋"/>
          <w:color w:val="auto"/>
          <w:highlight w:val="none"/>
        </w:rPr>
      </w:pPr>
      <w:r>
        <w:rPr>
          <w:rFonts w:hint="eastAsia" w:hAnsi="宋体" w:cs="仿宋"/>
          <w:color w:val="auto"/>
          <w:highlight w:val="none"/>
        </w:rPr>
        <w:t>镜头的清晰度要求：≥8MP；</w:t>
      </w:r>
    </w:p>
    <w:p w14:paraId="26ADD0FB">
      <w:pPr>
        <w:numPr>
          <w:ilvl w:val="0"/>
          <w:numId w:val="2"/>
        </w:numPr>
        <w:spacing w:line="400" w:lineRule="exact"/>
        <w:rPr>
          <w:rFonts w:hAnsi="宋体" w:cs="仿宋"/>
          <w:color w:val="auto"/>
          <w:highlight w:val="none"/>
        </w:rPr>
      </w:pPr>
      <w:r>
        <w:rPr>
          <w:rFonts w:hint="eastAsia" w:hAnsi="宋体" w:cs="仿宋"/>
          <w:color w:val="auto"/>
          <w:highlight w:val="none"/>
        </w:rPr>
        <w:t>调节范围8mm-32mm,满足4倍变焦；</w:t>
      </w:r>
    </w:p>
    <w:p w14:paraId="7536FAE2">
      <w:pPr>
        <w:numPr>
          <w:ilvl w:val="0"/>
          <w:numId w:val="2"/>
        </w:numPr>
        <w:spacing w:line="400" w:lineRule="exact"/>
        <w:rPr>
          <w:rFonts w:hAnsi="宋体" w:cs="仿宋"/>
          <w:color w:val="auto"/>
          <w:highlight w:val="none"/>
        </w:rPr>
      </w:pPr>
      <w:r>
        <w:rPr>
          <w:rFonts w:hint="eastAsia" w:hAnsi="宋体" w:cs="仿宋"/>
          <w:color w:val="auto"/>
          <w:highlight w:val="none"/>
        </w:rPr>
        <w:t>自动光圈驱动方式：DC。</w:t>
      </w:r>
    </w:p>
    <w:p w14:paraId="594397CD">
      <w:pPr>
        <w:numPr>
          <w:ilvl w:val="0"/>
          <w:numId w:val="2"/>
        </w:numPr>
        <w:spacing w:line="400" w:lineRule="exact"/>
        <w:rPr>
          <w:rFonts w:hAnsi="宋体" w:cs="仿宋"/>
          <w:color w:val="auto"/>
          <w:highlight w:val="none"/>
        </w:rPr>
      </w:pPr>
      <w:r>
        <w:rPr>
          <w:rFonts w:hint="eastAsia" w:hAnsi="宋体" w:cs="仿宋"/>
          <w:color w:val="auto"/>
          <w:highlight w:val="none"/>
        </w:rPr>
        <w:t>摄像机防尘罩</w:t>
      </w:r>
    </w:p>
    <w:p w14:paraId="11237C4D">
      <w:pPr>
        <w:numPr>
          <w:ilvl w:val="0"/>
          <w:numId w:val="2"/>
        </w:numPr>
        <w:spacing w:line="400" w:lineRule="exact"/>
        <w:rPr>
          <w:rFonts w:hAnsi="宋体" w:cs="仿宋"/>
          <w:color w:val="auto"/>
          <w:highlight w:val="none"/>
        </w:rPr>
      </w:pPr>
      <w:r>
        <w:rPr>
          <w:rFonts w:hint="eastAsia" w:hAnsi="宋体" w:cs="仿宋"/>
          <w:color w:val="auto"/>
          <w:highlight w:val="none"/>
        </w:rPr>
        <w:t>材质：铝合金材质，外表涂敷颜色：与立杆建设风格要求一致；</w:t>
      </w:r>
    </w:p>
    <w:p w14:paraId="19644DDF">
      <w:pPr>
        <w:numPr>
          <w:ilvl w:val="0"/>
          <w:numId w:val="2"/>
        </w:numPr>
        <w:spacing w:line="400" w:lineRule="exact"/>
        <w:rPr>
          <w:rFonts w:hAnsi="宋体" w:cs="仿宋"/>
          <w:color w:val="auto"/>
          <w:highlight w:val="none"/>
        </w:rPr>
      </w:pPr>
      <w:r>
        <w:rPr>
          <w:rFonts w:hint="eastAsia" w:hAnsi="宋体" w:cs="仿宋"/>
          <w:color w:val="auto"/>
          <w:highlight w:val="none"/>
        </w:rPr>
        <w:t>防尘罩尺寸：14英寸</w:t>
      </w:r>
    </w:p>
    <w:p w14:paraId="380C2AD2">
      <w:pPr>
        <w:numPr>
          <w:ilvl w:val="0"/>
          <w:numId w:val="2"/>
        </w:numPr>
        <w:spacing w:line="400" w:lineRule="exact"/>
        <w:rPr>
          <w:rFonts w:hAnsi="宋体" w:cs="仿宋"/>
          <w:color w:val="auto"/>
          <w:highlight w:val="none"/>
        </w:rPr>
      </w:pPr>
      <w:r>
        <w:rPr>
          <w:rFonts w:hint="eastAsia" w:hAnsi="宋体" w:cs="仿宋"/>
          <w:color w:val="auto"/>
          <w:highlight w:val="none"/>
        </w:rPr>
        <w:t>防尘罩采用双层遮阳罩设计；</w:t>
      </w:r>
    </w:p>
    <w:p w14:paraId="45D386B7">
      <w:pPr>
        <w:numPr>
          <w:ilvl w:val="0"/>
          <w:numId w:val="2"/>
        </w:numPr>
        <w:spacing w:line="400" w:lineRule="exact"/>
        <w:rPr>
          <w:rFonts w:hAnsi="宋体" w:cs="仿宋"/>
          <w:color w:val="auto"/>
          <w:highlight w:val="none"/>
        </w:rPr>
      </w:pPr>
      <w:r>
        <w:rPr>
          <w:rFonts w:hint="eastAsia" w:hAnsi="宋体" w:cs="仿宋"/>
          <w:color w:val="auto"/>
          <w:highlight w:val="none"/>
        </w:rPr>
        <w:t>安装方式：吊装、壁装；含万向支架。</w:t>
      </w:r>
    </w:p>
    <w:p w14:paraId="5EE3FECF">
      <w:pPr>
        <w:numPr>
          <w:ilvl w:val="0"/>
          <w:numId w:val="2"/>
        </w:numPr>
        <w:spacing w:line="400" w:lineRule="exact"/>
        <w:rPr>
          <w:rFonts w:hAnsi="宋体" w:cs="仿宋"/>
          <w:color w:val="auto"/>
          <w:highlight w:val="none"/>
        </w:rPr>
      </w:pPr>
      <w:r>
        <w:rPr>
          <w:rFonts w:hint="eastAsia" w:hAnsi="宋体" w:cs="仿宋"/>
          <w:color w:val="auto"/>
          <w:highlight w:val="none"/>
        </w:rPr>
        <w:t>防护等级：IP66；</w:t>
      </w:r>
    </w:p>
    <w:p w14:paraId="6BB32D5A">
      <w:pPr>
        <w:numPr>
          <w:ilvl w:val="0"/>
          <w:numId w:val="2"/>
        </w:numPr>
        <w:spacing w:line="400" w:lineRule="exact"/>
        <w:rPr>
          <w:rFonts w:hAnsi="宋体" w:cs="仿宋"/>
          <w:color w:val="auto"/>
          <w:highlight w:val="none"/>
        </w:rPr>
      </w:pPr>
      <w:r>
        <w:rPr>
          <w:rFonts w:hint="eastAsia" w:hAnsi="宋体" w:cs="仿宋"/>
          <w:color w:val="auto"/>
          <w:highlight w:val="none"/>
        </w:rPr>
        <w:t>工作环境：温度范围 -30℃~+60℃、湿度范围 ≤90% 。</w:t>
      </w:r>
    </w:p>
    <w:p w14:paraId="4CD2EDAA">
      <w:pPr>
        <w:spacing w:line="400" w:lineRule="exact"/>
        <w:ind w:firstLine="371" w:firstLineChars="177"/>
        <w:rPr>
          <w:rFonts w:hAnsi="宋体" w:cs="仿宋"/>
          <w:color w:val="auto"/>
          <w:highlight w:val="none"/>
        </w:rPr>
      </w:pPr>
      <w:r>
        <w:rPr>
          <w:rFonts w:hint="eastAsia" w:hAnsi="宋体" w:cs="仿宋"/>
          <w:color w:val="auto"/>
          <w:highlight w:val="none"/>
        </w:rPr>
        <w:t>进场报验时必须提交法定检测机构出具的与该产品型号一致的检测合格报告；原厂设备5年质保书。</w:t>
      </w:r>
    </w:p>
    <w:p w14:paraId="52F46B2C">
      <w:pPr>
        <w:pStyle w:val="6"/>
        <w:rPr>
          <w:color w:val="auto"/>
          <w:highlight w:val="none"/>
        </w:rPr>
      </w:pPr>
      <w:bookmarkStart w:id="69" w:name="_Toc330310261"/>
      <w:bookmarkStart w:id="70" w:name="_Toc5268"/>
      <w:bookmarkStart w:id="71" w:name="_Toc18264"/>
      <w:bookmarkStart w:id="72" w:name="_Ref161262589"/>
      <w:r>
        <w:rPr>
          <w:rFonts w:hint="eastAsia"/>
          <w:color w:val="auto"/>
          <w:highlight w:val="none"/>
        </w:rPr>
        <w:t>3.</w:t>
      </w:r>
      <w:r>
        <w:rPr>
          <w:color w:val="auto"/>
          <w:highlight w:val="none"/>
        </w:rPr>
        <w:t>1</w:t>
      </w:r>
      <w:r>
        <w:rPr>
          <w:rFonts w:hint="eastAsia"/>
          <w:color w:val="auto"/>
          <w:highlight w:val="none"/>
        </w:rPr>
        <w:t>.</w:t>
      </w:r>
      <w:r>
        <w:rPr>
          <w:color w:val="auto"/>
          <w:highlight w:val="none"/>
        </w:rPr>
        <w:t>2</w:t>
      </w:r>
      <w:r>
        <w:rPr>
          <w:rFonts w:hint="eastAsia"/>
          <w:color w:val="auto"/>
          <w:highlight w:val="none"/>
        </w:rPr>
        <w:t>.</w:t>
      </w:r>
      <w:bookmarkEnd w:id="69"/>
      <w:bookmarkEnd w:id="70"/>
      <w:bookmarkEnd w:id="71"/>
      <w:r>
        <w:rPr>
          <w:color w:val="auto"/>
          <w:highlight w:val="none"/>
        </w:rPr>
        <w:t>7</w:t>
      </w:r>
      <w:r>
        <w:rPr>
          <w:rFonts w:hint="eastAsia"/>
          <w:color w:val="auto"/>
          <w:highlight w:val="none"/>
        </w:rPr>
        <w:t xml:space="preserve"> 一体化枪型网络摄像机（周界专用）</w:t>
      </w:r>
      <w:bookmarkEnd w:id="72"/>
    </w:p>
    <w:p w14:paraId="05C05DB7">
      <w:pPr>
        <w:spacing w:line="400" w:lineRule="exact"/>
        <w:ind w:firstLine="371" w:firstLineChars="177"/>
        <w:rPr>
          <w:rFonts w:hAnsi="宋体" w:cs="仿宋"/>
          <w:color w:val="auto"/>
          <w:highlight w:val="none"/>
        </w:rPr>
      </w:pPr>
      <w:r>
        <w:rPr>
          <w:rFonts w:hint="eastAsia" w:hAnsi="宋体" w:cs="仿宋"/>
          <w:color w:val="auto"/>
          <w:highlight w:val="none"/>
        </w:rPr>
        <w:t>1、像素：</w:t>
      </w:r>
      <w:r>
        <w:rPr>
          <w:rFonts w:hAnsi="宋体" w:cs="仿宋"/>
          <w:color w:val="auto"/>
          <w:highlight w:val="none"/>
        </w:rPr>
        <w:t>4</w:t>
      </w:r>
      <w:r>
        <w:rPr>
          <w:rFonts w:hint="eastAsia" w:hAnsi="宋体" w:cs="仿宋"/>
          <w:color w:val="auto"/>
          <w:highlight w:val="none"/>
        </w:rPr>
        <w:t>00万；</w:t>
      </w:r>
    </w:p>
    <w:p w14:paraId="3FD7EA15">
      <w:pPr>
        <w:spacing w:line="400" w:lineRule="exact"/>
        <w:ind w:firstLine="371" w:firstLineChars="177"/>
        <w:rPr>
          <w:rFonts w:hAnsi="宋体" w:cs="仿宋"/>
          <w:color w:val="auto"/>
          <w:highlight w:val="none"/>
        </w:rPr>
      </w:pPr>
      <w:r>
        <w:rPr>
          <w:rFonts w:hint="eastAsia" w:hAnsi="宋体" w:cs="仿宋"/>
          <w:color w:val="auto"/>
          <w:highlight w:val="none"/>
        </w:rPr>
        <w:t>2、照度：最低照度0.002Lux（彩色），0.0002Lux（黑白）</w:t>
      </w:r>
    </w:p>
    <w:p w14:paraId="593BEEBC">
      <w:pPr>
        <w:spacing w:line="400" w:lineRule="exact"/>
        <w:ind w:firstLine="371" w:firstLineChars="177"/>
        <w:rPr>
          <w:rFonts w:hAnsi="宋体" w:cs="仿宋"/>
          <w:color w:val="auto"/>
          <w:highlight w:val="none"/>
        </w:rPr>
      </w:pPr>
      <w:r>
        <w:rPr>
          <w:rFonts w:hAnsi="宋体" w:cs="仿宋"/>
          <w:color w:val="auto"/>
          <w:highlight w:val="none"/>
        </w:rPr>
        <w:t>3</w:t>
      </w:r>
      <w:r>
        <w:rPr>
          <w:rFonts w:hint="eastAsia" w:hAnsi="宋体" w:cs="仿宋"/>
          <w:color w:val="auto"/>
          <w:highlight w:val="none"/>
        </w:rPr>
        <w:t>、通讯接口:1个RJ45；</w:t>
      </w:r>
    </w:p>
    <w:p w14:paraId="6B428A98">
      <w:pPr>
        <w:spacing w:line="400" w:lineRule="exact"/>
        <w:ind w:firstLine="371" w:firstLineChars="177"/>
        <w:rPr>
          <w:rFonts w:hAnsi="宋体" w:cs="仿宋"/>
          <w:color w:val="auto"/>
          <w:highlight w:val="none"/>
        </w:rPr>
      </w:pPr>
      <w:r>
        <w:rPr>
          <w:rFonts w:hAnsi="宋体" w:cs="仿宋"/>
          <w:color w:val="auto"/>
          <w:highlight w:val="none"/>
        </w:rPr>
        <w:t>4</w:t>
      </w:r>
      <w:r>
        <w:rPr>
          <w:rFonts w:hint="eastAsia" w:hAnsi="宋体" w:cs="仿宋"/>
          <w:color w:val="auto"/>
          <w:highlight w:val="none"/>
        </w:rPr>
        <w:t>、供电方式：AC24V±</w:t>
      </w:r>
      <w:r>
        <w:rPr>
          <w:rFonts w:hAnsi="宋体" w:cs="仿宋"/>
          <w:color w:val="auto"/>
          <w:highlight w:val="none"/>
        </w:rPr>
        <w:t>3</w:t>
      </w:r>
      <w:r>
        <w:rPr>
          <w:rFonts w:hint="eastAsia" w:hAnsi="宋体" w:cs="仿宋"/>
          <w:color w:val="auto"/>
          <w:highlight w:val="none"/>
        </w:rPr>
        <w:t>0%；</w:t>
      </w:r>
    </w:p>
    <w:p w14:paraId="72CBE36D">
      <w:pPr>
        <w:spacing w:line="400" w:lineRule="exact"/>
        <w:ind w:firstLine="371" w:firstLineChars="177"/>
        <w:rPr>
          <w:rFonts w:hAnsi="宋体" w:cs="仿宋"/>
          <w:color w:val="auto"/>
          <w:highlight w:val="none"/>
        </w:rPr>
      </w:pPr>
      <w:r>
        <w:rPr>
          <w:rFonts w:hAnsi="宋体" w:cs="仿宋"/>
          <w:color w:val="auto"/>
          <w:highlight w:val="none"/>
        </w:rPr>
        <w:t>5</w:t>
      </w:r>
      <w:r>
        <w:rPr>
          <w:rFonts w:hint="eastAsia" w:hAnsi="宋体" w:cs="仿宋"/>
          <w:color w:val="auto"/>
          <w:highlight w:val="none"/>
        </w:rPr>
        <w:t>、防护等级：≥IP67；</w:t>
      </w:r>
    </w:p>
    <w:p w14:paraId="12E0B055">
      <w:pPr>
        <w:spacing w:line="400" w:lineRule="exact"/>
        <w:ind w:firstLine="371" w:firstLineChars="177"/>
        <w:rPr>
          <w:rFonts w:hAnsi="宋体" w:cs="仿宋"/>
          <w:color w:val="auto"/>
          <w:highlight w:val="none"/>
        </w:rPr>
      </w:pPr>
      <w:r>
        <w:rPr>
          <w:rFonts w:hAnsi="宋体" w:cs="仿宋"/>
          <w:color w:val="auto"/>
          <w:highlight w:val="none"/>
        </w:rPr>
        <w:t>6</w:t>
      </w:r>
      <w:r>
        <w:rPr>
          <w:rFonts w:hint="eastAsia" w:hAnsi="宋体" w:cs="仿宋"/>
          <w:color w:val="auto"/>
          <w:highlight w:val="none"/>
        </w:rPr>
        <w:t>、外观参考颜色：灰黑色，与立杆保持一致；</w:t>
      </w:r>
    </w:p>
    <w:p w14:paraId="50D9575D">
      <w:pPr>
        <w:spacing w:line="400" w:lineRule="exact"/>
        <w:ind w:firstLine="371" w:firstLineChars="177"/>
        <w:rPr>
          <w:rFonts w:hAnsi="宋体" w:cs="仿宋"/>
          <w:color w:val="auto"/>
          <w:highlight w:val="none"/>
        </w:rPr>
      </w:pPr>
      <w:r>
        <w:rPr>
          <w:rFonts w:hAnsi="宋体" w:cs="仿宋"/>
          <w:color w:val="auto"/>
          <w:highlight w:val="none"/>
        </w:rPr>
        <w:t>7</w:t>
      </w:r>
      <w:r>
        <w:rPr>
          <w:rFonts w:hint="eastAsia" w:hAnsi="宋体" w:cs="仿宋"/>
          <w:color w:val="auto"/>
          <w:highlight w:val="none"/>
        </w:rPr>
        <w:t>、视频编码格式：H.264、H.265；</w:t>
      </w:r>
    </w:p>
    <w:p w14:paraId="3CF96440">
      <w:pPr>
        <w:spacing w:line="400" w:lineRule="exact"/>
        <w:ind w:firstLine="371" w:firstLineChars="177"/>
        <w:rPr>
          <w:rFonts w:hAnsi="宋体" w:cs="仿宋"/>
          <w:color w:val="auto"/>
          <w:highlight w:val="none"/>
        </w:rPr>
      </w:pPr>
      <w:r>
        <w:rPr>
          <w:rFonts w:hAnsi="宋体" w:cs="仿宋"/>
          <w:color w:val="auto"/>
          <w:highlight w:val="none"/>
        </w:rPr>
        <w:t>8</w:t>
      </w:r>
      <w:r>
        <w:rPr>
          <w:rFonts w:hint="eastAsia" w:hAnsi="宋体" w:cs="仿宋"/>
          <w:color w:val="auto"/>
          <w:highlight w:val="none"/>
        </w:rPr>
        <w:t>、同时具备以下功能：</w:t>
      </w:r>
    </w:p>
    <w:p w14:paraId="4687C072">
      <w:pPr>
        <w:spacing w:line="400" w:lineRule="exact"/>
        <w:ind w:firstLine="371" w:firstLineChars="177"/>
        <w:rPr>
          <w:rFonts w:hAnsi="宋体" w:cs="仿宋"/>
          <w:color w:val="auto"/>
          <w:highlight w:val="none"/>
        </w:rPr>
      </w:pPr>
      <w:r>
        <w:rPr>
          <w:rFonts w:hAnsi="宋体" w:cs="仿宋"/>
          <w:color w:val="auto"/>
          <w:highlight w:val="none"/>
        </w:rPr>
        <w:t>1</w:t>
      </w:r>
      <w:r>
        <w:rPr>
          <w:rFonts w:hint="eastAsia" w:hAnsi="宋体" w:cs="仿宋"/>
          <w:color w:val="auto"/>
          <w:highlight w:val="none"/>
        </w:rPr>
        <w:t>）周界检测距离不少于40米，红外补光距离不低于50米；</w:t>
      </w:r>
    </w:p>
    <w:p w14:paraId="60EE9D0B">
      <w:pPr>
        <w:spacing w:line="400" w:lineRule="exact"/>
        <w:ind w:firstLine="371" w:firstLineChars="177"/>
        <w:rPr>
          <w:rFonts w:hAnsi="宋体" w:cs="仿宋"/>
          <w:color w:val="auto"/>
          <w:highlight w:val="none"/>
        </w:rPr>
      </w:pPr>
      <w:r>
        <w:rPr>
          <w:rFonts w:hAnsi="宋体" w:cs="仿宋"/>
          <w:color w:val="auto"/>
          <w:highlight w:val="none"/>
        </w:rPr>
        <w:t>2</w:t>
      </w:r>
      <w:r>
        <w:rPr>
          <w:rFonts w:hint="eastAsia" w:hAnsi="宋体" w:cs="仿宋"/>
          <w:color w:val="auto"/>
          <w:highlight w:val="none"/>
        </w:rPr>
        <w:t>）内置补光灯、麦克风和喇叭；满足白光报警功能，当报警产生时，可触发联动声音警报和白光闪烁；内置语音文件10种并可自定义设置；</w:t>
      </w:r>
    </w:p>
    <w:p w14:paraId="3D0BA1B6">
      <w:pPr>
        <w:pStyle w:val="6"/>
        <w:rPr>
          <w:color w:val="auto"/>
          <w:highlight w:val="none"/>
        </w:rPr>
      </w:pPr>
      <w:bookmarkStart w:id="73" w:name="_Ref161262668"/>
      <w:r>
        <w:rPr>
          <w:color w:val="auto"/>
          <w:highlight w:val="none"/>
        </w:rPr>
        <w:t>3</w:t>
      </w:r>
      <w:r>
        <w:rPr>
          <w:rFonts w:hint="eastAsia"/>
          <w:color w:val="auto"/>
          <w:highlight w:val="none"/>
        </w:rPr>
        <w:t>.1.</w:t>
      </w:r>
      <w:r>
        <w:rPr>
          <w:color w:val="auto"/>
          <w:highlight w:val="none"/>
        </w:rPr>
        <w:t>2</w:t>
      </w:r>
      <w:r>
        <w:rPr>
          <w:rFonts w:hint="eastAsia"/>
          <w:color w:val="auto"/>
          <w:highlight w:val="none"/>
        </w:rPr>
        <w:t>.</w:t>
      </w:r>
      <w:r>
        <w:rPr>
          <w:color w:val="auto"/>
          <w:highlight w:val="none"/>
        </w:rPr>
        <w:t>8</w:t>
      </w:r>
      <w:r>
        <w:rPr>
          <w:rFonts w:hint="eastAsia"/>
          <w:color w:val="auto"/>
          <w:highlight w:val="none"/>
        </w:rPr>
        <w:t>一体化工业级交换机（防雷防水）</w:t>
      </w:r>
      <w:bookmarkEnd w:id="73"/>
    </w:p>
    <w:p w14:paraId="0247A07B">
      <w:pPr>
        <w:spacing w:line="400" w:lineRule="exact"/>
        <w:ind w:firstLine="371" w:firstLineChars="177"/>
        <w:rPr>
          <w:rFonts w:hAnsi="宋体" w:cs="仿宋"/>
          <w:color w:val="auto"/>
          <w:highlight w:val="none"/>
        </w:rPr>
      </w:pPr>
      <w:r>
        <w:rPr>
          <w:rFonts w:hint="eastAsia" w:hAnsi="宋体" w:cs="仿宋"/>
          <w:color w:val="auto"/>
          <w:highlight w:val="none"/>
        </w:rPr>
        <w:t>1、4个电口(RJ45)，1个光口（内置单模光模块公里数20KM）；</w:t>
      </w:r>
    </w:p>
    <w:p w14:paraId="10E44E9A">
      <w:pPr>
        <w:spacing w:line="400" w:lineRule="exact"/>
        <w:ind w:firstLine="371" w:firstLineChars="177"/>
        <w:rPr>
          <w:rFonts w:hAnsi="宋体" w:cs="仿宋"/>
          <w:color w:val="auto"/>
          <w:highlight w:val="none"/>
        </w:rPr>
      </w:pPr>
      <w:r>
        <w:rPr>
          <w:rFonts w:hint="eastAsia" w:hAnsi="宋体" w:cs="仿宋"/>
          <w:color w:val="auto"/>
          <w:highlight w:val="none"/>
        </w:rPr>
        <w:t>2、10/100M自适应；</w:t>
      </w:r>
    </w:p>
    <w:p w14:paraId="21A81B1A">
      <w:pPr>
        <w:spacing w:line="400" w:lineRule="exact"/>
        <w:ind w:firstLine="371" w:firstLineChars="177"/>
        <w:rPr>
          <w:rFonts w:hAnsi="宋体" w:cs="仿宋"/>
          <w:color w:val="auto"/>
          <w:highlight w:val="none"/>
        </w:rPr>
      </w:pPr>
      <w:r>
        <w:rPr>
          <w:rFonts w:hint="eastAsia" w:hAnsi="宋体" w:cs="仿宋"/>
          <w:color w:val="auto"/>
          <w:highlight w:val="none"/>
        </w:rPr>
        <w:t>3、供电：AC24V±30%；</w:t>
      </w:r>
    </w:p>
    <w:p w14:paraId="492484EB">
      <w:pPr>
        <w:spacing w:line="400" w:lineRule="exact"/>
        <w:ind w:firstLine="371" w:firstLineChars="177"/>
        <w:rPr>
          <w:rFonts w:hAnsi="宋体" w:cs="仿宋"/>
          <w:color w:val="auto"/>
          <w:highlight w:val="none"/>
        </w:rPr>
      </w:pPr>
      <w:r>
        <w:rPr>
          <w:rFonts w:hint="eastAsia" w:hAnsi="宋体" w:cs="仿宋"/>
          <w:color w:val="auto"/>
          <w:highlight w:val="none"/>
        </w:rPr>
        <w:t>4、★工作温度：-40~85℃:、工作湿度：5%～95%（无冷凝）；</w:t>
      </w:r>
    </w:p>
    <w:p w14:paraId="190C085C">
      <w:pPr>
        <w:spacing w:line="400" w:lineRule="exact"/>
        <w:ind w:firstLine="371" w:firstLineChars="177"/>
        <w:rPr>
          <w:rFonts w:hAnsi="宋体" w:cs="仿宋"/>
          <w:color w:val="auto"/>
          <w:highlight w:val="none"/>
        </w:rPr>
      </w:pPr>
      <w:r>
        <w:rPr>
          <w:rFonts w:hint="eastAsia" w:hAnsi="宋体" w:cs="仿宋"/>
          <w:color w:val="auto"/>
          <w:highlight w:val="none"/>
        </w:rPr>
        <w:t>5、★光发射波长 1310/1550nm(单模)、传输距离 单模:0~~20km;</w:t>
      </w:r>
    </w:p>
    <w:p w14:paraId="7DA974DB">
      <w:pPr>
        <w:spacing w:line="400" w:lineRule="exact"/>
        <w:ind w:firstLine="371" w:firstLineChars="177"/>
        <w:rPr>
          <w:rFonts w:hAnsi="宋体" w:cs="仿宋"/>
          <w:color w:val="auto"/>
          <w:highlight w:val="none"/>
        </w:rPr>
      </w:pPr>
      <w:r>
        <w:rPr>
          <w:rFonts w:hAnsi="宋体" w:cs="仿宋"/>
          <w:color w:val="auto"/>
          <w:highlight w:val="none"/>
        </w:rPr>
        <w:t>6</w:t>
      </w:r>
      <w:r>
        <w:rPr>
          <w:rFonts w:hint="eastAsia" w:hAnsi="宋体" w:cs="仿宋"/>
          <w:color w:val="auto"/>
          <w:highlight w:val="none"/>
        </w:rPr>
        <w:t>、平均无故障时间MTPF&gt;100000h；</w:t>
      </w:r>
    </w:p>
    <w:p w14:paraId="68F4E1AE">
      <w:pPr>
        <w:spacing w:line="400" w:lineRule="exact"/>
        <w:ind w:firstLine="371" w:firstLineChars="177"/>
        <w:rPr>
          <w:rFonts w:hAnsi="宋体" w:cs="仿宋"/>
          <w:color w:val="auto"/>
          <w:highlight w:val="none"/>
        </w:rPr>
      </w:pPr>
      <w:r>
        <w:rPr>
          <w:rFonts w:hAnsi="宋体" w:cs="仿宋"/>
          <w:color w:val="auto"/>
          <w:highlight w:val="none"/>
        </w:rPr>
        <w:t>7</w:t>
      </w:r>
      <w:r>
        <w:rPr>
          <w:rFonts w:hint="eastAsia" w:hAnsi="宋体" w:cs="仿宋"/>
          <w:color w:val="auto"/>
          <w:highlight w:val="none"/>
        </w:rPr>
        <w:t xml:space="preserve">、网络接口均有独立防雷器（参数性能按网络防雷器要 </w:t>
      </w:r>
      <w:r>
        <w:rPr>
          <w:rFonts w:hAnsi="宋体" w:cs="仿宋"/>
          <w:color w:val="auto"/>
          <w:highlight w:val="none"/>
        </w:rPr>
        <w:t xml:space="preserve">                                                                                                                                                         </w:t>
      </w:r>
      <w:r>
        <w:rPr>
          <w:rFonts w:hint="eastAsia" w:hAnsi="宋体" w:cs="仿宋"/>
          <w:color w:val="auto"/>
          <w:highlight w:val="none"/>
        </w:rPr>
        <w:t>求技术标准执行）；</w:t>
      </w:r>
    </w:p>
    <w:p w14:paraId="1582AE40">
      <w:pPr>
        <w:spacing w:line="400" w:lineRule="exact"/>
        <w:ind w:firstLine="371" w:firstLineChars="177"/>
        <w:rPr>
          <w:rFonts w:hAnsi="宋体" w:cs="仿宋"/>
          <w:color w:val="auto"/>
          <w:highlight w:val="none"/>
        </w:rPr>
      </w:pPr>
      <w:r>
        <w:rPr>
          <w:rFonts w:hAnsi="宋体" w:cs="仿宋"/>
          <w:color w:val="auto"/>
          <w:highlight w:val="none"/>
        </w:rPr>
        <w:t>8</w:t>
      </w:r>
      <w:r>
        <w:rPr>
          <w:rFonts w:hint="eastAsia" w:hAnsi="宋体" w:cs="仿宋"/>
          <w:color w:val="auto"/>
          <w:highlight w:val="none"/>
        </w:rPr>
        <w:t>、防水防尘等级：IP66；全密封。</w:t>
      </w:r>
    </w:p>
    <w:p w14:paraId="51637F27">
      <w:pPr>
        <w:spacing w:line="400" w:lineRule="exact"/>
        <w:ind w:firstLine="371" w:firstLineChars="177"/>
        <w:rPr>
          <w:rFonts w:hAnsi="宋体" w:cs="仿宋"/>
          <w:color w:val="auto"/>
          <w:highlight w:val="none"/>
        </w:rPr>
      </w:pPr>
    </w:p>
    <w:p w14:paraId="7111D3F5">
      <w:pPr>
        <w:pStyle w:val="6"/>
        <w:rPr>
          <w:color w:val="auto"/>
          <w:highlight w:val="none"/>
        </w:rPr>
      </w:pPr>
      <w:bookmarkStart w:id="74" w:name="_Ref161262680"/>
      <w:r>
        <w:rPr>
          <w:color w:val="auto"/>
          <w:highlight w:val="none"/>
        </w:rPr>
        <w:t>3</w:t>
      </w:r>
      <w:r>
        <w:rPr>
          <w:rFonts w:hint="eastAsia"/>
          <w:color w:val="auto"/>
          <w:highlight w:val="none"/>
        </w:rPr>
        <w:t>.1.</w:t>
      </w:r>
      <w:r>
        <w:rPr>
          <w:color w:val="auto"/>
          <w:highlight w:val="none"/>
        </w:rPr>
        <w:t>2</w:t>
      </w:r>
      <w:r>
        <w:rPr>
          <w:rFonts w:hint="eastAsia"/>
          <w:color w:val="auto"/>
          <w:highlight w:val="none"/>
        </w:rPr>
        <w:t>.</w:t>
      </w:r>
      <w:r>
        <w:rPr>
          <w:color w:val="auto"/>
          <w:highlight w:val="none"/>
        </w:rPr>
        <w:t xml:space="preserve">9 </w:t>
      </w:r>
      <w:r>
        <w:rPr>
          <w:rFonts w:hint="eastAsia"/>
          <w:color w:val="auto"/>
          <w:highlight w:val="none"/>
        </w:rPr>
        <w:t>96口光交换机（含万兆光模块及尾纤）</w:t>
      </w:r>
      <w:bookmarkEnd w:id="74"/>
    </w:p>
    <w:p w14:paraId="53FD4135">
      <w:pPr>
        <w:spacing w:line="400" w:lineRule="exact"/>
        <w:ind w:firstLine="371" w:firstLineChars="177"/>
        <w:rPr>
          <w:rFonts w:hAnsi="宋体" w:cs="仿宋"/>
          <w:color w:val="auto"/>
          <w:highlight w:val="none"/>
        </w:rPr>
      </w:pPr>
      <w:r>
        <w:rPr>
          <w:rFonts w:hint="eastAsia" w:hAnsi="宋体" w:cs="仿宋"/>
          <w:color w:val="auto"/>
          <w:highlight w:val="none"/>
        </w:rPr>
        <w:t>1、接口4×1G/10G (SFP+)+ 96×100M/1000M (SFP)，满配光模块；</w:t>
      </w:r>
    </w:p>
    <w:p w14:paraId="35BB7AFA">
      <w:pPr>
        <w:spacing w:line="400" w:lineRule="exact"/>
        <w:ind w:firstLine="371" w:firstLineChars="177"/>
        <w:rPr>
          <w:rFonts w:hAnsi="宋体" w:cs="仿宋"/>
          <w:color w:val="auto"/>
          <w:highlight w:val="none"/>
        </w:rPr>
      </w:pPr>
      <w:r>
        <w:rPr>
          <w:rFonts w:hAnsi="宋体" w:cs="仿宋"/>
          <w:color w:val="auto"/>
          <w:highlight w:val="none"/>
        </w:rPr>
        <w:t>2</w:t>
      </w:r>
      <w:r>
        <w:rPr>
          <w:rFonts w:hint="eastAsia" w:hAnsi="宋体" w:cs="仿宋"/>
          <w:color w:val="auto"/>
          <w:highlight w:val="none"/>
        </w:rPr>
        <w:t>、端口支持IEEE802.3 10Base-T Ethernet,IEEE802.3u 100Base-TX Fast Ethernet,IEEE802.3ab 1000Base-T,IEEE802.3z 1000Base-SX/LX Gigabit Ethernet协议标准；</w:t>
      </w:r>
    </w:p>
    <w:p w14:paraId="746991CC">
      <w:pPr>
        <w:spacing w:line="400" w:lineRule="exact"/>
        <w:ind w:firstLine="371" w:firstLineChars="177"/>
        <w:rPr>
          <w:rFonts w:hAnsi="宋体" w:cs="仿宋"/>
          <w:color w:val="auto"/>
          <w:highlight w:val="none"/>
        </w:rPr>
      </w:pPr>
      <w:r>
        <w:rPr>
          <w:rFonts w:hint="eastAsia" w:hAnsi="宋体" w:cs="仿宋"/>
          <w:color w:val="auto"/>
          <w:highlight w:val="none"/>
        </w:rPr>
        <w:t>3、支持WEB、SNMP网管，支持VLAN，端口隔离，广播风暴抑制，环路检测；</w:t>
      </w:r>
    </w:p>
    <w:p w14:paraId="110B3C2B">
      <w:pPr>
        <w:spacing w:line="400" w:lineRule="exact"/>
        <w:ind w:firstLine="371" w:firstLineChars="177"/>
        <w:rPr>
          <w:rFonts w:hAnsi="宋体" w:cs="仿宋"/>
          <w:color w:val="auto"/>
          <w:highlight w:val="none"/>
        </w:rPr>
      </w:pPr>
      <w:r>
        <w:rPr>
          <w:rFonts w:hint="eastAsia" w:hAnsi="宋体" w:cs="仿宋"/>
          <w:color w:val="auto"/>
          <w:highlight w:val="none"/>
        </w:rPr>
        <w:t>4、19英寸1U机架式无风扇全封闭自散热结构；</w:t>
      </w:r>
    </w:p>
    <w:p w14:paraId="770FF73D">
      <w:pPr>
        <w:spacing w:line="400" w:lineRule="exact"/>
        <w:ind w:firstLine="371" w:firstLineChars="177"/>
        <w:rPr>
          <w:rFonts w:hAnsi="宋体" w:cs="仿宋"/>
          <w:color w:val="auto"/>
          <w:highlight w:val="none"/>
        </w:rPr>
      </w:pPr>
      <w:r>
        <w:rPr>
          <w:rFonts w:hint="eastAsia" w:hAnsi="宋体" w:cs="仿宋"/>
          <w:color w:val="auto"/>
          <w:highlight w:val="none"/>
        </w:rPr>
        <w:t>5、供电电压输入：AC220V±</w:t>
      </w:r>
      <w:r>
        <w:rPr>
          <w:rFonts w:hAnsi="宋体" w:cs="仿宋"/>
          <w:color w:val="auto"/>
          <w:highlight w:val="none"/>
        </w:rPr>
        <w:t>2</w:t>
      </w:r>
      <w:r>
        <w:rPr>
          <w:rFonts w:hint="eastAsia" w:hAnsi="宋体" w:cs="仿宋"/>
          <w:color w:val="auto"/>
          <w:highlight w:val="none"/>
        </w:rPr>
        <w:t>0%；</w:t>
      </w:r>
    </w:p>
    <w:p w14:paraId="3A8CD326">
      <w:pPr>
        <w:spacing w:line="400" w:lineRule="exact"/>
        <w:ind w:firstLine="371" w:firstLineChars="177"/>
        <w:rPr>
          <w:rFonts w:hAnsi="宋体" w:cs="仿宋"/>
          <w:color w:val="auto"/>
          <w:highlight w:val="none"/>
        </w:rPr>
      </w:pPr>
      <w:r>
        <w:rPr>
          <w:rFonts w:hint="eastAsia" w:hAnsi="宋体" w:cs="仿宋"/>
          <w:color w:val="auto"/>
          <w:highlight w:val="none"/>
        </w:rPr>
        <w:t>6、工作温度：-40～70℃、工作湿度：5%～95%（无冷凝）；</w:t>
      </w:r>
    </w:p>
    <w:p w14:paraId="478D3989">
      <w:pPr>
        <w:spacing w:line="400" w:lineRule="exact"/>
        <w:ind w:firstLine="371" w:firstLineChars="177"/>
        <w:rPr>
          <w:rFonts w:hAnsi="宋体" w:cs="仿宋"/>
          <w:color w:val="auto"/>
          <w:highlight w:val="none"/>
        </w:rPr>
      </w:pPr>
    </w:p>
    <w:p w14:paraId="0FE529B8">
      <w:pPr>
        <w:pStyle w:val="6"/>
        <w:rPr>
          <w:color w:val="auto"/>
          <w:highlight w:val="none"/>
        </w:rPr>
      </w:pPr>
      <w:bookmarkStart w:id="75" w:name="_Ref161262675"/>
      <w:r>
        <w:rPr>
          <w:color w:val="auto"/>
          <w:highlight w:val="none"/>
        </w:rPr>
        <w:t>3</w:t>
      </w:r>
      <w:r>
        <w:rPr>
          <w:rFonts w:hint="eastAsia"/>
          <w:color w:val="auto"/>
          <w:highlight w:val="none"/>
        </w:rPr>
        <w:t>.1.</w:t>
      </w:r>
      <w:r>
        <w:rPr>
          <w:color w:val="auto"/>
          <w:highlight w:val="none"/>
        </w:rPr>
        <w:t>2</w:t>
      </w:r>
      <w:r>
        <w:rPr>
          <w:rFonts w:hint="eastAsia"/>
          <w:color w:val="auto"/>
          <w:highlight w:val="none"/>
        </w:rPr>
        <w:t>.</w:t>
      </w:r>
      <w:r>
        <w:rPr>
          <w:color w:val="auto"/>
          <w:highlight w:val="none"/>
        </w:rPr>
        <w:t>10 48</w:t>
      </w:r>
      <w:r>
        <w:rPr>
          <w:rFonts w:hint="eastAsia"/>
          <w:color w:val="auto"/>
          <w:highlight w:val="none"/>
        </w:rPr>
        <w:t>口光交换机（含万兆光模块及尾纤）</w:t>
      </w:r>
      <w:bookmarkEnd w:id="75"/>
    </w:p>
    <w:p w14:paraId="657E2F5D">
      <w:pPr>
        <w:spacing w:line="400" w:lineRule="exact"/>
        <w:ind w:firstLine="371" w:firstLineChars="177"/>
        <w:rPr>
          <w:rFonts w:hAnsi="宋体" w:cs="仿宋"/>
          <w:color w:val="auto"/>
          <w:highlight w:val="none"/>
        </w:rPr>
      </w:pPr>
      <w:r>
        <w:rPr>
          <w:rFonts w:hint="eastAsia" w:hAnsi="宋体" w:cs="仿宋"/>
          <w:color w:val="auto"/>
          <w:highlight w:val="none"/>
        </w:rPr>
        <w:t>4×1G/10G (SFP+)+ 48×100M/1000M (SFP)；根据接入数量配置光模块</w:t>
      </w:r>
    </w:p>
    <w:p w14:paraId="34EBF37A">
      <w:pPr>
        <w:spacing w:line="400" w:lineRule="exact"/>
        <w:ind w:firstLine="371" w:firstLineChars="177"/>
        <w:rPr>
          <w:rFonts w:hAnsi="宋体" w:cs="仿宋"/>
          <w:color w:val="auto"/>
          <w:highlight w:val="none"/>
        </w:rPr>
      </w:pPr>
      <w:r>
        <w:rPr>
          <w:rFonts w:hint="eastAsia" w:hAnsi="宋体" w:cs="仿宋"/>
          <w:color w:val="auto"/>
          <w:highlight w:val="none"/>
        </w:rPr>
        <w:t>千兆光口：符合IEEE802.3 100Base-FX，1000Base-x标准；</w:t>
      </w:r>
    </w:p>
    <w:p w14:paraId="5AE8705A">
      <w:pPr>
        <w:spacing w:line="400" w:lineRule="exact"/>
        <w:ind w:firstLine="371" w:firstLineChars="177"/>
        <w:rPr>
          <w:rFonts w:hAnsi="宋体" w:cs="仿宋"/>
          <w:color w:val="auto"/>
          <w:highlight w:val="none"/>
        </w:rPr>
      </w:pPr>
      <w:r>
        <w:rPr>
          <w:rFonts w:hint="eastAsia" w:hAnsi="宋体" w:cs="仿宋"/>
          <w:color w:val="auto"/>
          <w:highlight w:val="none"/>
        </w:rPr>
        <w:t>万兆光口：符合IEEE802.3 10GBase-LR 、10GBase-ER、支持 IEEE802.3ae标准；</w:t>
      </w:r>
    </w:p>
    <w:p w14:paraId="222B0F27">
      <w:pPr>
        <w:spacing w:line="400" w:lineRule="exact"/>
        <w:ind w:firstLine="371" w:firstLineChars="177"/>
        <w:rPr>
          <w:rFonts w:hAnsi="宋体" w:cs="仿宋"/>
          <w:color w:val="auto"/>
          <w:highlight w:val="none"/>
        </w:rPr>
      </w:pPr>
      <w:r>
        <w:rPr>
          <w:rFonts w:hint="eastAsia" w:hAnsi="宋体" w:cs="仿宋"/>
          <w:color w:val="auto"/>
          <w:highlight w:val="none"/>
        </w:rPr>
        <w:t>支持VLAN；支持STP，RSTP ，MSTP生成树；</w:t>
      </w:r>
    </w:p>
    <w:p w14:paraId="68F11891">
      <w:pPr>
        <w:spacing w:line="400" w:lineRule="exact"/>
        <w:ind w:firstLine="371" w:firstLineChars="177"/>
        <w:rPr>
          <w:rFonts w:hAnsi="宋体" w:cs="仿宋"/>
          <w:color w:val="auto"/>
          <w:highlight w:val="none"/>
        </w:rPr>
      </w:pPr>
      <w:r>
        <w:rPr>
          <w:rFonts w:hint="eastAsia" w:hAnsi="宋体" w:cs="仿宋"/>
          <w:color w:val="auto"/>
          <w:highlight w:val="none"/>
        </w:rPr>
        <w:t>支持QOS业务分类控制和端口速度，双工模式和流量控制、带宽控制；</w:t>
      </w:r>
    </w:p>
    <w:p w14:paraId="044864DF">
      <w:pPr>
        <w:spacing w:line="400" w:lineRule="exact"/>
        <w:ind w:firstLine="371" w:firstLineChars="177"/>
        <w:rPr>
          <w:rFonts w:hAnsi="宋体" w:cs="仿宋"/>
          <w:color w:val="auto"/>
          <w:highlight w:val="none"/>
        </w:rPr>
      </w:pPr>
      <w:r>
        <w:rPr>
          <w:rFonts w:hint="eastAsia" w:hAnsi="宋体" w:cs="仿宋"/>
          <w:color w:val="auto"/>
          <w:highlight w:val="none"/>
        </w:rPr>
        <w:t>支持端口安全：控制打开和关闭端口、端口和MAC的802.1x认证，端口IP/ MAC绑定、端口隔离；</w:t>
      </w:r>
    </w:p>
    <w:p w14:paraId="68526B98">
      <w:pPr>
        <w:spacing w:line="400" w:lineRule="exact"/>
        <w:ind w:firstLine="371" w:firstLineChars="177"/>
        <w:rPr>
          <w:rFonts w:hAnsi="宋体" w:cs="仿宋"/>
          <w:color w:val="auto"/>
          <w:highlight w:val="none"/>
        </w:rPr>
      </w:pPr>
      <w:r>
        <w:rPr>
          <w:rFonts w:hint="eastAsia" w:hAnsi="宋体" w:cs="仿宋"/>
          <w:color w:val="auto"/>
          <w:highlight w:val="none"/>
        </w:rPr>
        <w:t>网管功能：支持WEB、 telnet 、SNMP网管，提供标准MIB库；</w:t>
      </w:r>
    </w:p>
    <w:p w14:paraId="3CF682FB">
      <w:pPr>
        <w:spacing w:line="400" w:lineRule="exact"/>
        <w:ind w:firstLine="371" w:firstLineChars="177"/>
        <w:rPr>
          <w:rFonts w:hAnsi="宋体" w:cs="仿宋"/>
          <w:color w:val="auto"/>
          <w:highlight w:val="none"/>
        </w:rPr>
      </w:pPr>
      <w:r>
        <w:rPr>
          <w:rFonts w:hint="eastAsia" w:hAnsi="宋体" w:cs="仿宋"/>
          <w:color w:val="auto"/>
          <w:highlight w:val="none"/>
        </w:rPr>
        <w:t>19英寸1U机架式无风扇全封闭自散热结构；</w:t>
      </w:r>
    </w:p>
    <w:p w14:paraId="580BAC14">
      <w:pPr>
        <w:spacing w:line="400" w:lineRule="exact"/>
        <w:ind w:firstLine="371" w:firstLineChars="177"/>
        <w:rPr>
          <w:rFonts w:hAnsi="宋体" w:cs="仿宋"/>
          <w:color w:val="auto"/>
          <w:highlight w:val="none"/>
        </w:rPr>
      </w:pPr>
      <w:r>
        <w:rPr>
          <w:rFonts w:hint="eastAsia" w:hAnsi="宋体" w:cs="仿宋"/>
          <w:color w:val="auto"/>
          <w:highlight w:val="none"/>
        </w:rPr>
        <w:t>工作温度：-40～85℃；工作湿度：5%～95%（无冷凝）</w:t>
      </w:r>
    </w:p>
    <w:p w14:paraId="52D54D63">
      <w:pPr>
        <w:spacing w:line="400" w:lineRule="exact"/>
        <w:ind w:firstLine="371" w:firstLineChars="177"/>
        <w:rPr>
          <w:rFonts w:hAnsi="宋体" w:cs="仿宋"/>
          <w:color w:val="auto"/>
          <w:highlight w:val="none"/>
        </w:rPr>
      </w:pPr>
      <w:r>
        <w:rPr>
          <w:rFonts w:hint="eastAsia" w:hAnsi="宋体" w:cs="仿宋"/>
          <w:color w:val="auto"/>
          <w:highlight w:val="none"/>
        </w:rPr>
        <w:t>浪涌和静电保护，二级防雷；</w:t>
      </w:r>
    </w:p>
    <w:p w14:paraId="5C06ABCD">
      <w:pPr>
        <w:spacing w:line="400" w:lineRule="exact"/>
        <w:ind w:firstLine="371" w:firstLineChars="177"/>
        <w:rPr>
          <w:rFonts w:hAnsi="宋体" w:cs="仿宋"/>
          <w:color w:val="auto"/>
          <w:highlight w:val="none"/>
        </w:rPr>
      </w:pPr>
      <w:r>
        <w:rPr>
          <w:rFonts w:hint="eastAsia" w:hAnsi="宋体" w:cs="仿宋"/>
          <w:color w:val="auto"/>
          <w:highlight w:val="none"/>
        </w:rPr>
        <w:t>供电电压输入：AC220V±</w:t>
      </w:r>
      <w:r>
        <w:rPr>
          <w:rFonts w:hAnsi="宋体" w:cs="仿宋"/>
          <w:color w:val="auto"/>
          <w:highlight w:val="none"/>
        </w:rPr>
        <w:t>2</w:t>
      </w:r>
      <w:r>
        <w:rPr>
          <w:rFonts w:hint="eastAsia" w:hAnsi="宋体" w:cs="仿宋"/>
          <w:color w:val="auto"/>
          <w:highlight w:val="none"/>
        </w:rPr>
        <w:t>0%；</w:t>
      </w:r>
    </w:p>
    <w:p w14:paraId="06F9B357">
      <w:pPr>
        <w:spacing w:line="400" w:lineRule="exact"/>
        <w:ind w:firstLine="371" w:firstLineChars="177"/>
        <w:rPr>
          <w:rFonts w:hAnsi="宋体" w:cs="仿宋"/>
          <w:color w:val="auto"/>
          <w:highlight w:val="none"/>
        </w:rPr>
      </w:pPr>
      <w:r>
        <w:rPr>
          <w:rFonts w:hint="eastAsia" w:hAnsi="宋体" w:cs="仿宋"/>
          <w:color w:val="auto"/>
          <w:highlight w:val="none"/>
        </w:rPr>
        <w:t>平均无故障时间MTBF＞50000h；</w:t>
      </w:r>
    </w:p>
    <w:p w14:paraId="3461B83E">
      <w:pPr>
        <w:spacing w:line="400" w:lineRule="exact"/>
        <w:ind w:firstLine="371" w:firstLineChars="177"/>
        <w:rPr>
          <w:rFonts w:hAnsi="宋体" w:cs="仿宋"/>
          <w:color w:val="auto"/>
          <w:highlight w:val="none"/>
        </w:rPr>
      </w:pPr>
    </w:p>
    <w:p w14:paraId="23E5FFBC">
      <w:pPr>
        <w:pStyle w:val="6"/>
        <w:rPr>
          <w:color w:val="auto"/>
          <w:highlight w:val="none"/>
        </w:rPr>
      </w:pPr>
      <w:r>
        <w:rPr>
          <w:color w:val="auto"/>
          <w:highlight w:val="none"/>
        </w:rPr>
        <w:t>3</w:t>
      </w:r>
      <w:r>
        <w:rPr>
          <w:rFonts w:hint="eastAsia"/>
          <w:color w:val="auto"/>
          <w:highlight w:val="none"/>
        </w:rPr>
        <w:t>.1.</w:t>
      </w:r>
      <w:r>
        <w:rPr>
          <w:color w:val="auto"/>
          <w:highlight w:val="none"/>
        </w:rPr>
        <w:t>2</w:t>
      </w:r>
      <w:r>
        <w:rPr>
          <w:rFonts w:hint="eastAsia"/>
          <w:color w:val="auto"/>
          <w:highlight w:val="none"/>
        </w:rPr>
        <w:t>.</w:t>
      </w:r>
      <w:r>
        <w:rPr>
          <w:color w:val="auto"/>
          <w:highlight w:val="none"/>
        </w:rPr>
        <w:t>11 24</w:t>
      </w:r>
      <w:r>
        <w:rPr>
          <w:rFonts w:hint="eastAsia"/>
          <w:color w:val="auto"/>
          <w:highlight w:val="none"/>
        </w:rPr>
        <w:t>口光交换机（含万兆光模块及尾纤）</w:t>
      </w:r>
    </w:p>
    <w:p w14:paraId="4990A7A3">
      <w:pPr>
        <w:spacing w:line="400" w:lineRule="exact"/>
        <w:ind w:firstLine="371" w:firstLineChars="177"/>
        <w:rPr>
          <w:rFonts w:hAnsi="宋体" w:cs="仿宋"/>
          <w:color w:val="auto"/>
          <w:highlight w:val="none"/>
        </w:rPr>
      </w:pPr>
      <w:r>
        <w:rPr>
          <w:rFonts w:hint="eastAsia" w:hAnsi="宋体" w:cs="仿宋"/>
          <w:color w:val="auto"/>
          <w:highlight w:val="none"/>
        </w:rPr>
        <w:t>1、接口4×1G/10G (SFP+)+ 24×100M/1000M (SFP)，根据接入数量配置光模块；</w:t>
      </w:r>
    </w:p>
    <w:p w14:paraId="4D7BF7F9">
      <w:pPr>
        <w:spacing w:line="400" w:lineRule="exact"/>
        <w:ind w:firstLine="371" w:firstLineChars="177"/>
        <w:rPr>
          <w:rFonts w:hAnsi="宋体" w:cs="仿宋"/>
          <w:color w:val="auto"/>
          <w:highlight w:val="none"/>
        </w:rPr>
      </w:pPr>
      <w:r>
        <w:rPr>
          <w:rFonts w:hint="eastAsia" w:hAnsi="宋体" w:cs="仿宋"/>
          <w:color w:val="auto"/>
          <w:highlight w:val="none"/>
        </w:rPr>
        <w:t>2、端口支持IEEE802.3 10Base-T Ethernet,IEEE802.3u 100Base-TX Fast Ethernet,IEEE802.3ab 1000Base-T,IEEE802.3z 1000Base-SX/LX Gigabit Ethernet协议标准；</w:t>
      </w:r>
    </w:p>
    <w:p w14:paraId="27E4EA8B">
      <w:pPr>
        <w:spacing w:line="400" w:lineRule="exact"/>
        <w:ind w:firstLine="371" w:firstLineChars="177"/>
        <w:rPr>
          <w:rFonts w:hAnsi="宋体" w:cs="仿宋"/>
          <w:color w:val="auto"/>
          <w:highlight w:val="none"/>
        </w:rPr>
      </w:pPr>
      <w:r>
        <w:rPr>
          <w:rFonts w:hint="eastAsia" w:hAnsi="宋体" w:cs="仿宋"/>
          <w:color w:val="auto"/>
          <w:highlight w:val="none"/>
        </w:rPr>
        <w:t>3、支持WEB、SNMP网管，支持VLAN，端口隔离，广播风暴抑制，环路检测；</w:t>
      </w:r>
    </w:p>
    <w:p w14:paraId="14069D3B">
      <w:pPr>
        <w:spacing w:line="400" w:lineRule="exact"/>
        <w:ind w:firstLine="371" w:firstLineChars="177"/>
        <w:rPr>
          <w:rFonts w:hAnsi="宋体" w:cs="仿宋"/>
          <w:color w:val="auto"/>
          <w:highlight w:val="none"/>
        </w:rPr>
      </w:pPr>
      <w:r>
        <w:rPr>
          <w:rFonts w:hint="eastAsia" w:hAnsi="宋体" w:cs="仿宋"/>
          <w:color w:val="auto"/>
          <w:highlight w:val="none"/>
        </w:rPr>
        <w:t>4、19英寸1U机架式无风扇全封闭自散热结构；</w:t>
      </w:r>
    </w:p>
    <w:p w14:paraId="5CCAA5E4">
      <w:pPr>
        <w:spacing w:line="400" w:lineRule="exact"/>
        <w:ind w:firstLine="371" w:firstLineChars="177"/>
        <w:rPr>
          <w:rFonts w:hAnsi="宋体" w:cs="仿宋"/>
          <w:color w:val="auto"/>
          <w:highlight w:val="none"/>
        </w:rPr>
      </w:pPr>
      <w:r>
        <w:rPr>
          <w:rFonts w:hint="eastAsia" w:hAnsi="宋体" w:cs="仿宋"/>
          <w:color w:val="auto"/>
          <w:highlight w:val="none"/>
        </w:rPr>
        <w:t>5、供电电压输入：AC220V±20%；</w:t>
      </w:r>
    </w:p>
    <w:p w14:paraId="654B0447">
      <w:pPr>
        <w:spacing w:line="400" w:lineRule="exact"/>
        <w:ind w:firstLine="371" w:firstLineChars="177"/>
        <w:rPr>
          <w:rFonts w:hAnsi="宋体" w:cs="仿宋"/>
          <w:color w:val="auto"/>
          <w:highlight w:val="none"/>
        </w:rPr>
      </w:pPr>
      <w:r>
        <w:rPr>
          <w:rFonts w:hint="eastAsia" w:hAnsi="宋体" w:cs="仿宋"/>
          <w:color w:val="auto"/>
          <w:highlight w:val="none"/>
        </w:rPr>
        <w:t>6、工作温度：-40～70℃、工作湿度：5%～95%（无冷凝）；</w:t>
      </w:r>
    </w:p>
    <w:p w14:paraId="09EFF994">
      <w:pPr>
        <w:spacing w:line="400" w:lineRule="exact"/>
        <w:ind w:firstLine="371" w:firstLineChars="177"/>
        <w:rPr>
          <w:rFonts w:hAnsi="宋体" w:cs="仿宋"/>
          <w:color w:val="auto"/>
          <w:highlight w:val="none"/>
        </w:rPr>
      </w:pPr>
    </w:p>
    <w:p w14:paraId="564657D0">
      <w:pPr>
        <w:pStyle w:val="6"/>
        <w:rPr>
          <w:color w:val="auto"/>
          <w:highlight w:val="none"/>
        </w:rPr>
      </w:pPr>
      <w:bookmarkStart w:id="76" w:name="_Ref161262641"/>
      <w:bookmarkStart w:id="77" w:name="_Ref161262637"/>
      <w:bookmarkStart w:id="78" w:name="_Toc9916"/>
      <w:bookmarkStart w:id="79" w:name="_Toc4996"/>
      <w:bookmarkStart w:id="80" w:name="_Ref161262632"/>
      <w:bookmarkStart w:id="81" w:name="_Hlk161226701"/>
      <w:r>
        <w:rPr>
          <w:color w:val="auto"/>
          <w:highlight w:val="none"/>
        </w:rPr>
        <w:t>3</w:t>
      </w:r>
      <w:r>
        <w:rPr>
          <w:rFonts w:hint="eastAsia"/>
          <w:color w:val="auto"/>
          <w:highlight w:val="none"/>
        </w:rPr>
        <w:t>.1.</w:t>
      </w:r>
      <w:r>
        <w:rPr>
          <w:color w:val="auto"/>
          <w:highlight w:val="none"/>
        </w:rPr>
        <w:t>2</w:t>
      </w:r>
      <w:r>
        <w:rPr>
          <w:rFonts w:hint="eastAsia"/>
          <w:color w:val="auto"/>
          <w:highlight w:val="none"/>
        </w:rPr>
        <w:t>.</w:t>
      </w:r>
      <w:r>
        <w:rPr>
          <w:color w:val="auto"/>
          <w:highlight w:val="none"/>
        </w:rPr>
        <w:t>12</w:t>
      </w:r>
      <w:r>
        <w:rPr>
          <w:rFonts w:hint="eastAsia"/>
          <w:color w:val="auto"/>
          <w:highlight w:val="none"/>
        </w:rPr>
        <w:t xml:space="preserve"> 摄像机立杆</w:t>
      </w:r>
      <w:bookmarkEnd w:id="76"/>
      <w:bookmarkEnd w:id="77"/>
      <w:bookmarkEnd w:id="78"/>
      <w:bookmarkEnd w:id="79"/>
      <w:bookmarkEnd w:id="80"/>
    </w:p>
    <w:bookmarkEnd w:id="81"/>
    <w:p w14:paraId="63A3B77A">
      <w:pPr>
        <w:spacing w:line="400" w:lineRule="exact"/>
        <w:ind w:firstLine="480"/>
        <w:rPr>
          <w:rFonts w:hAnsi="宋体" w:cs="仿宋"/>
          <w:color w:val="auto"/>
          <w:highlight w:val="none"/>
        </w:rPr>
      </w:pPr>
      <w:bookmarkStart w:id="82" w:name="_Hlk161226682"/>
      <w:bookmarkStart w:id="83" w:name="_Toc2722"/>
      <w:bookmarkStart w:id="84" w:name="_Toc26054"/>
      <w:r>
        <w:rPr>
          <w:rFonts w:hint="eastAsia" w:hAnsi="宋体" w:cs="仿宋"/>
          <w:color w:val="auto"/>
          <w:highlight w:val="none"/>
        </w:rPr>
        <w:t>1、1.8米-3.5米杆，横臂长度≤1米，立杆等径≥114mm，壁厚≥3mm；横臂为等径≥76mm，壁厚≥3mm;地笼：4×M20×900mm对角线300mm；基础：C25混凝土浇铸，尺寸为600mm×600mm×800mm；检修口开口长度≥35cm，2个检修口，采用防拆螺丝。接地电阻＜4Ω,杆柱基础保护水泥包封成圆形。</w:t>
      </w:r>
    </w:p>
    <w:p w14:paraId="1AC2B943">
      <w:pPr>
        <w:spacing w:line="400" w:lineRule="exact"/>
        <w:ind w:firstLine="480"/>
        <w:rPr>
          <w:rFonts w:hAnsi="宋体" w:cs="仿宋"/>
          <w:color w:val="auto"/>
          <w:highlight w:val="none"/>
        </w:rPr>
      </w:pPr>
      <w:r>
        <w:rPr>
          <w:rFonts w:hint="eastAsia" w:hAnsi="宋体" w:cs="仿宋"/>
          <w:color w:val="auto"/>
          <w:highlight w:val="none"/>
        </w:rPr>
        <w:t>2、球机立杆：4-5米杆，横臂长度≤1米，立杆等等径≥1</w:t>
      </w:r>
      <w:r>
        <w:rPr>
          <w:rFonts w:hAnsi="宋体" w:cs="仿宋"/>
          <w:color w:val="auto"/>
          <w:highlight w:val="none"/>
        </w:rPr>
        <w:t>4</w:t>
      </w:r>
      <w:r>
        <w:rPr>
          <w:rFonts w:hint="eastAsia" w:hAnsi="宋体" w:cs="仿宋"/>
          <w:color w:val="auto"/>
          <w:highlight w:val="none"/>
        </w:rPr>
        <w:t>0mm，壁厚≥</w:t>
      </w:r>
      <w:r>
        <w:rPr>
          <w:rFonts w:hAnsi="宋体" w:cs="仿宋"/>
          <w:color w:val="auto"/>
          <w:highlight w:val="none"/>
        </w:rPr>
        <w:t>4</w:t>
      </w:r>
      <w:r>
        <w:rPr>
          <w:rFonts w:hint="eastAsia" w:hAnsi="宋体" w:cs="仿宋"/>
          <w:color w:val="auto"/>
          <w:highlight w:val="none"/>
        </w:rPr>
        <w:t>mm；横臂为等径≥89mm，壁厚≥3mm;地笼：</w:t>
      </w:r>
      <w:r>
        <w:rPr>
          <w:rFonts w:hAnsi="宋体" w:cs="仿宋"/>
          <w:color w:val="auto"/>
          <w:highlight w:val="none"/>
        </w:rPr>
        <w:t>6</w:t>
      </w:r>
      <w:r>
        <w:rPr>
          <w:rFonts w:hint="eastAsia" w:hAnsi="宋体" w:cs="仿宋"/>
          <w:color w:val="auto"/>
          <w:highlight w:val="none"/>
        </w:rPr>
        <w:t>×M20×1000mm对角线320mm；基础：C25混凝土浇铸，尺寸为600mm×600mm×1200mm；检修口开口长度≥35cm，2个检修口，采用防拆螺丝。接地电阻＜4Ω,杆柱基础保护水泥包封成圆形。</w:t>
      </w:r>
    </w:p>
    <w:p w14:paraId="3B49EF12">
      <w:pPr>
        <w:spacing w:line="400" w:lineRule="exact"/>
        <w:ind w:firstLine="480"/>
        <w:rPr>
          <w:rFonts w:hAnsi="宋体" w:cs="仿宋"/>
          <w:color w:val="auto"/>
          <w:highlight w:val="none"/>
        </w:rPr>
      </w:pPr>
      <w:r>
        <w:rPr>
          <w:rFonts w:hint="eastAsia" w:hAnsi="宋体" w:cs="仿宋"/>
          <w:color w:val="auto"/>
          <w:highlight w:val="none"/>
        </w:rPr>
        <w:t>3、小区内的人车非结构化摄像机设置一般立杆高度1.8-</w:t>
      </w:r>
      <w:r>
        <w:rPr>
          <w:rFonts w:hAnsi="宋体" w:cs="仿宋"/>
          <w:color w:val="auto"/>
          <w:highlight w:val="none"/>
        </w:rPr>
        <w:t>3.2</w:t>
      </w:r>
      <w:r>
        <w:rPr>
          <w:rFonts w:hint="eastAsia" w:hAnsi="宋体" w:cs="仿宋"/>
          <w:color w:val="auto"/>
          <w:highlight w:val="none"/>
        </w:rPr>
        <w:t>米，立杆等径≥114mm，壁厚≥3mm；横臂为等径≥76mm，壁厚≥3mm；地笼：4×M20×900mm对角线300mm；基础：C25混凝土浇铸，尺寸为600mm×600mm×1000mm；检修口开口长度≥35cm，2个检修口，采用防拆螺丝。接地电阻＜4Ω,杆柱基础保护水泥包封成圆形。</w:t>
      </w:r>
    </w:p>
    <w:p w14:paraId="1E655411">
      <w:pPr>
        <w:spacing w:line="400" w:lineRule="exact"/>
        <w:ind w:firstLine="480"/>
        <w:rPr>
          <w:rFonts w:hAnsi="宋体" w:cs="仿宋"/>
          <w:color w:val="auto"/>
          <w:highlight w:val="none"/>
        </w:rPr>
      </w:pPr>
      <w:r>
        <w:rPr>
          <w:rFonts w:hint="eastAsia" w:hAnsi="宋体" w:cs="仿宋"/>
          <w:color w:val="auto"/>
          <w:highlight w:val="none"/>
        </w:rPr>
        <w:t>4、</w:t>
      </w:r>
      <w:r>
        <w:rPr>
          <w:rFonts w:hint="eastAsia" w:hAnsi="宋体" w:cs="仿宋"/>
          <w:b/>
          <w:bCs/>
          <w:color w:val="auto"/>
          <w:highlight w:val="none"/>
        </w:rPr>
        <w:t>杆柱为整体热浸锌后静电喷塑金属杆柱</w:t>
      </w:r>
      <w:r>
        <w:rPr>
          <w:rFonts w:hint="eastAsia" w:hAnsi="宋体" w:cs="仿宋"/>
          <w:color w:val="auto"/>
          <w:highlight w:val="none"/>
        </w:rPr>
        <w:t>，杆柱平放无载荷条件下直线度误差不超过0.3%，规格、尺寸、颜色和杆型，根据设计图纸制造。</w:t>
      </w:r>
    </w:p>
    <w:p w14:paraId="3056D171">
      <w:pPr>
        <w:spacing w:line="400" w:lineRule="exact"/>
        <w:ind w:firstLine="371" w:firstLineChars="177"/>
        <w:rPr>
          <w:rFonts w:hAnsi="宋体" w:cs="仿宋"/>
          <w:color w:val="auto"/>
          <w:highlight w:val="none"/>
        </w:rPr>
      </w:pPr>
      <w:r>
        <w:rPr>
          <w:rFonts w:hAnsi="宋体" w:cs="仿宋"/>
          <w:color w:val="auto"/>
          <w:highlight w:val="none"/>
        </w:rPr>
        <w:t>5</w:t>
      </w:r>
      <w:r>
        <w:rPr>
          <w:rFonts w:hint="eastAsia" w:hAnsi="宋体" w:cs="仿宋"/>
          <w:color w:val="auto"/>
          <w:highlight w:val="none"/>
        </w:rPr>
        <w:t>、四方向立杆未装横臂的均需用盖板封盖，</w:t>
      </w:r>
      <w:r>
        <w:rPr>
          <w:rFonts w:hint="eastAsia" w:hAnsi="宋体" w:cs="仿宋"/>
          <w:b/>
          <w:bCs/>
          <w:color w:val="auto"/>
          <w:highlight w:val="none"/>
        </w:rPr>
        <w:t>横臂与立杆连接须用不锈钢螺栓连接。</w:t>
      </w:r>
    </w:p>
    <w:p w14:paraId="0DAD978C">
      <w:pPr>
        <w:spacing w:line="400" w:lineRule="exact"/>
        <w:ind w:firstLine="371" w:firstLineChars="177"/>
        <w:rPr>
          <w:rFonts w:hAnsi="宋体" w:cs="仿宋"/>
          <w:color w:val="auto"/>
          <w:highlight w:val="none"/>
        </w:rPr>
      </w:pPr>
      <w:r>
        <w:rPr>
          <w:rFonts w:hAnsi="宋体" w:cs="仿宋"/>
          <w:color w:val="auto"/>
          <w:highlight w:val="none"/>
        </w:rPr>
        <w:t>6</w:t>
      </w:r>
      <w:r>
        <w:rPr>
          <w:rFonts w:hint="eastAsia" w:hAnsi="宋体" w:cs="仿宋"/>
          <w:color w:val="auto"/>
          <w:highlight w:val="none"/>
        </w:rPr>
        <w:t>、产品说明：采用A3(Q235)材质焊接制作成型，表面热镀锌后粉末喷塑处理（镀锌层厚度≥85цm,塑层厚度≥85цm），不会锈蚀。</w:t>
      </w:r>
    </w:p>
    <w:p w14:paraId="579B91E0">
      <w:pPr>
        <w:spacing w:line="400" w:lineRule="exact"/>
        <w:ind w:firstLine="371" w:firstLineChars="177"/>
        <w:rPr>
          <w:rFonts w:hAnsi="宋体" w:cs="仿宋"/>
          <w:color w:val="auto"/>
          <w:highlight w:val="none"/>
        </w:rPr>
      </w:pPr>
      <w:r>
        <w:rPr>
          <w:rFonts w:hAnsi="宋体" w:cs="仿宋"/>
          <w:color w:val="auto"/>
          <w:highlight w:val="none"/>
        </w:rPr>
        <w:t>7</w:t>
      </w:r>
      <w:r>
        <w:rPr>
          <w:rFonts w:hint="eastAsia" w:hAnsi="宋体" w:cs="仿宋"/>
          <w:color w:val="auto"/>
          <w:highlight w:val="none"/>
        </w:rPr>
        <w:t>、所有立杆质保2</w:t>
      </w:r>
      <w:r>
        <w:rPr>
          <w:rFonts w:hAnsi="宋体" w:cs="仿宋"/>
          <w:color w:val="auto"/>
          <w:highlight w:val="none"/>
        </w:rPr>
        <w:t>0</w:t>
      </w:r>
      <w:r>
        <w:rPr>
          <w:rFonts w:hint="eastAsia" w:hAnsi="宋体" w:cs="仿宋"/>
          <w:color w:val="auto"/>
          <w:highlight w:val="none"/>
        </w:rPr>
        <w:t>年。</w:t>
      </w:r>
    </w:p>
    <w:bookmarkEnd w:id="82"/>
    <w:p w14:paraId="06382B2D">
      <w:pPr>
        <w:pStyle w:val="7"/>
        <w:rPr>
          <w:color w:val="auto"/>
          <w:highlight w:val="none"/>
        </w:rPr>
      </w:pPr>
      <w:r>
        <w:rPr>
          <w:color w:val="auto"/>
          <w:highlight w:val="none"/>
        </w:rPr>
        <w:br w:type="page"/>
      </w:r>
    </w:p>
    <w:bookmarkEnd w:id="83"/>
    <w:bookmarkEnd w:id="84"/>
    <w:p w14:paraId="33DD06EF">
      <w:pPr>
        <w:pStyle w:val="4"/>
        <w:rPr>
          <w:color w:val="auto"/>
          <w:highlight w:val="none"/>
        </w:rPr>
      </w:pPr>
      <w:bookmarkStart w:id="85" w:name="_Toc9299"/>
      <w:r>
        <w:rPr>
          <w:rFonts w:hint="eastAsia"/>
          <w:color w:val="auto"/>
          <w:highlight w:val="none"/>
        </w:rPr>
        <w:t>3.</w:t>
      </w:r>
      <w:r>
        <w:rPr>
          <w:color w:val="auto"/>
          <w:highlight w:val="none"/>
        </w:rPr>
        <w:t>2</w:t>
      </w:r>
      <w:r>
        <w:rPr>
          <w:rFonts w:hint="eastAsia"/>
          <w:color w:val="auto"/>
          <w:highlight w:val="none"/>
        </w:rPr>
        <w:t>车辆管理系统</w:t>
      </w:r>
      <w:bookmarkEnd w:id="85"/>
    </w:p>
    <w:p w14:paraId="415FD165">
      <w:pPr>
        <w:spacing w:line="400" w:lineRule="exact"/>
        <w:ind w:firstLine="482"/>
        <w:rPr>
          <w:rFonts w:hAnsi="宋体" w:cs="仿宋"/>
          <w:color w:val="auto"/>
          <w:highlight w:val="none"/>
        </w:rPr>
      </w:pPr>
      <w:r>
        <w:rPr>
          <w:rFonts w:hint="eastAsia" w:hAnsi="宋体" w:cs="仿宋"/>
          <w:color w:val="auto"/>
          <w:highlight w:val="none"/>
        </w:rPr>
        <w:t>小区车辆管理系统产品选型需满足南通市区停车建设管理整治工作协调联络组办公室《关于南通市区停车场（库）信息数据联网管理通知》的相关要求。</w:t>
      </w:r>
    </w:p>
    <w:p w14:paraId="13F0EFFA">
      <w:pPr>
        <w:spacing w:line="400" w:lineRule="exact"/>
        <w:ind w:firstLine="482"/>
        <w:rPr>
          <w:rFonts w:hAnsi="宋体" w:cs="仿宋"/>
          <w:b/>
          <w:color w:val="auto"/>
          <w:highlight w:val="none"/>
        </w:rPr>
      </w:pPr>
      <w:r>
        <w:rPr>
          <w:rFonts w:hint="eastAsia" w:hAnsi="宋体" w:cs="仿宋"/>
          <w:b/>
          <w:color w:val="auto"/>
          <w:highlight w:val="none"/>
        </w:rPr>
        <w:t>提供数据及接口必须符合《南通市区停车场（库）停车数据及接口技术规范》要求：</w:t>
      </w:r>
    </w:p>
    <w:p w14:paraId="4A84E340">
      <w:pPr>
        <w:spacing w:line="400" w:lineRule="exact"/>
        <w:ind w:firstLine="482"/>
        <w:rPr>
          <w:rFonts w:ascii="仿宋" w:hAnsi="仿宋" w:eastAsia="仿宋" w:cs="仿宋"/>
          <w:color w:val="auto"/>
          <w:highlight w:val="none"/>
        </w:rPr>
      </w:pPr>
      <w:bookmarkStart w:id="86" w:name="_Hlk183101855"/>
      <w:r>
        <w:rPr>
          <w:rFonts w:hint="eastAsia" w:hAnsi="宋体" w:cs="宋体"/>
          <w:b/>
          <w:bCs/>
          <w:color w:val="auto"/>
          <w:highlight w:val="none"/>
        </w:rPr>
        <w:t>要求停车设备厂家与智泊南通对接。中标结果公告发出后</w:t>
      </w:r>
      <w:r>
        <w:rPr>
          <w:rFonts w:hint="eastAsia" w:hAnsi="宋体" w:cs="宋体"/>
          <w:b/>
          <w:bCs/>
          <w:color w:val="auto"/>
          <w:highlight w:val="none"/>
        </w:rPr>
        <w:t>五个工作日内</w:t>
      </w:r>
      <w:r>
        <w:rPr>
          <w:rFonts w:hint="eastAsia" w:hAnsi="宋体" w:cs="宋体"/>
          <w:b/>
          <w:bCs/>
          <w:color w:val="auto"/>
          <w:highlight w:val="none"/>
        </w:rPr>
        <w:t>，中标人须提供南通智慧交通科技有限公司出具的智泊南通对接完成证明函（投标车辆道闸厂家与智泊南通完成对接），</w:t>
      </w:r>
      <w:r>
        <w:rPr>
          <w:rFonts w:hint="eastAsia" w:hAnsi="宋体" w:cs="宋体"/>
          <w:b/>
          <w:bCs/>
          <w:color w:val="auto"/>
          <w:highlight w:val="none"/>
        </w:rPr>
        <w:t>若不能提供有效的材料或提供不全的，则视为投标人自动放弃中标资格并承担所有的违约处理，如投标保证金不予退还。招标人可以按照评标委员会提出的中标候选人名单排序依次确定其他中标候选人为中标人（中标人必须在接到招标人通知后5个工作日内提供有效的证明材料供招标人核实，如不能如期提供则视为自动放弃中标资格），也可以重新招标。</w:t>
      </w:r>
    </w:p>
    <w:bookmarkEnd w:id="86"/>
    <w:p w14:paraId="670EFCB1">
      <w:pPr>
        <w:pStyle w:val="5"/>
        <w:ind w:left="240" w:right="240"/>
        <w:rPr>
          <w:color w:val="auto"/>
          <w:highlight w:val="none"/>
        </w:rPr>
      </w:pPr>
      <w:bookmarkStart w:id="87" w:name="_Toc5545"/>
      <w:r>
        <w:rPr>
          <w:rFonts w:hint="eastAsia"/>
          <w:color w:val="auto"/>
          <w:highlight w:val="none"/>
        </w:rPr>
        <w:t>3.</w:t>
      </w:r>
      <w:r>
        <w:rPr>
          <w:color w:val="auto"/>
          <w:highlight w:val="none"/>
        </w:rPr>
        <w:t>2</w:t>
      </w:r>
      <w:r>
        <w:rPr>
          <w:rFonts w:hint="eastAsia"/>
          <w:color w:val="auto"/>
          <w:highlight w:val="none"/>
        </w:rPr>
        <w:t>.</w:t>
      </w:r>
      <w:r>
        <w:rPr>
          <w:color w:val="auto"/>
          <w:highlight w:val="none"/>
        </w:rPr>
        <w:t>1</w:t>
      </w:r>
      <w:r>
        <w:rPr>
          <w:rFonts w:hint="eastAsia"/>
          <w:color w:val="auto"/>
          <w:highlight w:val="none"/>
        </w:rPr>
        <w:t>技术</w:t>
      </w:r>
      <w:bookmarkEnd w:id="87"/>
      <w:r>
        <w:rPr>
          <w:rFonts w:hint="eastAsia"/>
          <w:color w:val="auto"/>
          <w:highlight w:val="none"/>
        </w:rPr>
        <w:t>要求</w:t>
      </w:r>
    </w:p>
    <w:p w14:paraId="45010876">
      <w:pPr>
        <w:numPr>
          <w:ilvl w:val="0"/>
          <w:numId w:val="3"/>
        </w:numPr>
        <w:spacing w:line="400" w:lineRule="exact"/>
        <w:ind w:hanging="14"/>
        <w:rPr>
          <w:rFonts w:hAnsi="宋体" w:cs="仿宋"/>
          <w:color w:val="auto"/>
          <w:highlight w:val="none"/>
        </w:rPr>
      </w:pPr>
      <w:r>
        <w:rPr>
          <w:rFonts w:hint="eastAsia" w:hAnsi="宋体" w:cs="仿宋"/>
          <w:color w:val="auto"/>
          <w:highlight w:val="none"/>
        </w:rPr>
        <w:t>栅栏道闸的开启</w:t>
      </w:r>
      <w:r>
        <w:rPr>
          <w:rFonts w:hAnsi="宋体" w:cs="仿宋"/>
          <w:color w:val="auto"/>
          <w:highlight w:val="none"/>
        </w:rPr>
        <w:t>/</w:t>
      </w:r>
      <w:r>
        <w:rPr>
          <w:rFonts w:hint="eastAsia" w:hAnsi="宋体" w:cs="仿宋"/>
          <w:color w:val="auto"/>
          <w:highlight w:val="none"/>
        </w:rPr>
        <w:t>关闭时间：≤6秒</w:t>
      </w:r>
    </w:p>
    <w:p w14:paraId="53AE81DD">
      <w:pPr>
        <w:numPr>
          <w:ilvl w:val="0"/>
          <w:numId w:val="3"/>
        </w:numPr>
        <w:spacing w:line="400" w:lineRule="exact"/>
        <w:ind w:hanging="14"/>
        <w:rPr>
          <w:rFonts w:hAnsi="宋体" w:cs="仿宋"/>
          <w:color w:val="auto"/>
          <w:highlight w:val="none"/>
        </w:rPr>
      </w:pPr>
      <w:r>
        <w:rPr>
          <w:rFonts w:hint="eastAsia" w:hAnsi="宋体" w:cs="仿宋"/>
          <w:color w:val="auto"/>
          <w:highlight w:val="none"/>
        </w:rPr>
        <w:t>图像识别对比时间：≤</w:t>
      </w:r>
      <w:r>
        <w:rPr>
          <w:rFonts w:hAnsi="宋体" w:cs="仿宋"/>
          <w:color w:val="auto"/>
          <w:highlight w:val="none"/>
        </w:rPr>
        <w:t>0.5</w:t>
      </w:r>
      <w:r>
        <w:rPr>
          <w:rFonts w:hint="eastAsia" w:hAnsi="宋体" w:cs="仿宋"/>
          <w:color w:val="auto"/>
          <w:highlight w:val="none"/>
        </w:rPr>
        <w:t>秒</w:t>
      </w:r>
    </w:p>
    <w:p w14:paraId="68B8E3CF">
      <w:pPr>
        <w:numPr>
          <w:ilvl w:val="0"/>
          <w:numId w:val="3"/>
        </w:numPr>
        <w:spacing w:line="400" w:lineRule="exact"/>
        <w:ind w:hanging="14"/>
        <w:rPr>
          <w:rFonts w:hAnsi="宋体" w:cs="仿宋"/>
          <w:color w:val="auto"/>
          <w:highlight w:val="none"/>
        </w:rPr>
      </w:pPr>
      <w:r>
        <w:rPr>
          <w:rFonts w:hint="eastAsia" w:hAnsi="宋体" w:cs="仿宋"/>
          <w:color w:val="auto"/>
          <w:highlight w:val="none"/>
        </w:rPr>
        <w:t>系统时间统计精度：</w:t>
      </w:r>
      <w:r>
        <w:rPr>
          <w:rFonts w:hAnsi="宋体" w:cs="仿宋"/>
          <w:color w:val="auto"/>
          <w:highlight w:val="none"/>
        </w:rPr>
        <w:t>24</w:t>
      </w:r>
      <w:r>
        <w:rPr>
          <w:rFonts w:hint="eastAsia" w:hAnsi="宋体" w:cs="仿宋"/>
          <w:color w:val="auto"/>
          <w:highlight w:val="none"/>
        </w:rPr>
        <w:t>小时±</w:t>
      </w:r>
      <w:r>
        <w:rPr>
          <w:rFonts w:hAnsi="宋体" w:cs="仿宋"/>
          <w:color w:val="auto"/>
          <w:highlight w:val="none"/>
        </w:rPr>
        <w:t>1</w:t>
      </w:r>
      <w:r>
        <w:rPr>
          <w:rFonts w:hint="eastAsia" w:hAnsi="宋体" w:cs="仿宋"/>
          <w:color w:val="auto"/>
          <w:highlight w:val="none"/>
        </w:rPr>
        <w:t>分钟</w:t>
      </w:r>
    </w:p>
    <w:p w14:paraId="180864F4">
      <w:pPr>
        <w:numPr>
          <w:ilvl w:val="0"/>
          <w:numId w:val="3"/>
        </w:numPr>
        <w:spacing w:line="400" w:lineRule="exact"/>
        <w:ind w:hanging="14"/>
        <w:rPr>
          <w:rFonts w:hAnsi="宋体" w:cs="仿宋"/>
          <w:color w:val="auto"/>
          <w:highlight w:val="none"/>
        </w:rPr>
      </w:pPr>
      <w:r>
        <w:rPr>
          <w:rFonts w:hint="eastAsia" w:hAnsi="宋体" w:cs="仿宋"/>
          <w:color w:val="auto"/>
          <w:highlight w:val="none"/>
        </w:rPr>
        <w:t>系统计费精度：≤0</w:t>
      </w:r>
      <w:r>
        <w:rPr>
          <w:rFonts w:hAnsi="宋体" w:cs="仿宋"/>
          <w:color w:val="auto"/>
          <w:highlight w:val="none"/>
        </w:rPr>
        <w:t>.1</w:t>
      </w:r>
      <w:r>
        <w:rPr>
          <w:rFonts w:hint="eastAsia" w:hAnsi="宋体" w:cs="仿宋"/>
          <w:color w:val="auto"/>
          <w:highlight w:val="none"/>
        </w:rPr>
        <w:t>元</w:t>
      </w:r>
    </w:p>
    <w:p w14:paraId="15159592">
      <w:pPr>
        <w:numPr>
          <w:ilvl w:val="0"/>
          <w:numId w:val="3"/>
        </w:numPr>
        <w:spacing w:line="400" w:lineRule="exact"/>
        <w:ind w:hanging="14"/>
        <w:rPr>
          <w:rFonts w:hAnsi="宋体" w:cs="仿宋"/>
          <w:color w:val="auto"/>
          <w:highlight w:val="none"/>
        </w:rPr>
      </w:pPr>
      <w:r>
        <w:rPr>
          <w:rFonts w:hint="eastAsia" w:hAnsi="宋体" w:cs="仿宋"/>
          <w:color w:val="auto"/>
          <w:highlight w:val="none"/>
        </w:rPr>
        <w:t>图像部分的“识别率”、“误识率”、“拒认率”具体指标由选用产品确定。</w:t>
      </w:r>
    </w:p>
    <w:p w14:paraId="7817CCF7">
      <w:pPr>
        <w:numPr>
          <w:ilvl w:val="0"/>
          <w:numId w:val="3"/>
        </w:numPr>
        <w:spacing w:line="400" w:lineRule="exact"/>
        <w:ind w:hanging="14"/>
        <w:rPr>
          <w:rFonts w:hAnsi="宋体" w:cs="仿宋"/>
          <w:color w:val="auto"/>
          <w:highlight w:val="none"/>
        </w:rPr>
      </w:pPr>
      <w:r>
        <w:rPr>
          <w:rFonts w:hint="eastAsia" w:hAnsi="宋体" w:cs="仿宋"/>
          <w:color w:val="auto"/>
          <w:highlight w:val="none"/>
        </w:rPr>
        <w:t>网络通讯接口：</w:t>
      </w:r>
      <w:r>
        <w:rPr>
          <w:rFonts w:hAnsi="宋体" w:cs="仿宋"/>
          <w:color w:val="auto"/>
          <w:highlight w:val="none"/>
        </w:rPr>
        <w:t>TCP/IP &lt;</w:t>
      </w:r>
      <w:r>
        <w:rPr>
          <w:rFonts w:hint="eastAsia" w:hAnsi="宋体" w:cs="仿宋"/>
          <w:color w:val="auto"/>
          <w:highlight w:val="none"/>
        </w:rPr>
        <w:t>标准</w:t>
      </w:r>
      <w:r>
        <w:rPr>
          <w:rFonts w:hAnsi="宋体" w:cs="仿宋"/>
          <w:color w:val="auto"/>
          <w:highlight w:val="none"/>
        </w:rPr>
        <w:t>&gt;</w:t>
      </w:r>
    </w:p>
    <w:p w14:paraId="441F1225">
      <w:pPr>
        <w:numPr>
          <w:ilvl w:val="0"/>
          <w:numId w:val="3"/>
        </w:numPr>
        <w:spacing w:line="400" w:lineRule="exact"/>
        <w:ind w:hanging="14"/>
        <w:rPr>
          <w:rFonts w:hAnsi="宋体" w:cs="仿宋"/>
          <w:color w:val="auto"/>
          <w:highlight w:val="none"/>
        </w:rPr>
      </w:pPr>
      <w:r>
        <w:rPr>
          <w:rFonts w:hint="eastAsia" w:hAnsi="宋体" w:cs="仿宋"/>
          <w:color w:val="auto"/>
          <w:highlight w:val="none"/>
        </w:rPr>
        <w:t>系统对服务对象消费行为的误判率低于</w:t>
      </w:r>
      <w:r>
        <w:rPr>
          <w:rFonts w:hAnsi="宋体" w:cs="仿宋"/>
          <w:color w:val="auto"/>
          <w:highlight w:val="none"/>
        </w:rPr>
        <w:t>0.01%</w:t>
      </w:r>
    </w:p>
    <w:p w14:paraId="7707FD5D">
      <w:pPr>
        <w:numPr>
          <w:ilvl w:val="0"/>
          <w:numId w:val="3"/>
        </w:numPr>
        <w:spacing w:line="400" w:lineRule="exact"/>
        <w:ind w:hanging="14"/>
        <w:rPr>
          <w:rFonts w:hAnsi="宋体" w:cs="仿宋"/>
          <w:color w:val="auto"/>
          <w:highlight w:val="none"/>
        </w:rPr>
      </w:pPr>
      <w:r>
        <w:rPr>
          <w:rFonts w:hint="eastAsia" w:hAnsi="宋体" w:cs="仿宋"/>
          <w:color w:val="auto"/>
          <w:highlight w:val="none"/>
        </w:rPr>
        <w:t>系统对交易判定的正确率不低于</w:t>
      </w:r>
      <w:r>
        <w:rPr>
          <w:rFonts w:hAnsi="宋体" w:cs="仿宋"/>
          <w:color w:val="auto"/>
          <w:highlight w:val="none"/>
        </w:rPr>
        <w:t>99.95%</w:t>
      </w:r>
    </w:p>
    <w:p w14:paraId="088FD685">
      <w:pPr>
        <w:numPr>
          <w:ilvl w:val="0"/>
          <w:numId w:val="3"/>
        </w:numPr>
        <w:spacing w:line="400" w:lineRule="exact"/>
        <w:ind w:hanging="14"/>
        <w:rPr>
          <w:rFonts w:hAnsi="宋体" w:cs="仿宋"/>
          <w:color w:val="auto"/>
          <w:highlight w:val="none"/>
        </w:rPr>
      </w:pPr>
      <w:r>
        <w:rPr>
          <w:rFonts w:hint="eastAsia" w:hAnsi="宋体" w:cs="仿宋"/>
          <w:color w:val="auto"/>
          <w:highlight w:val="none"/>
        </w:rPr>
        <w:t>软件系统对前端设备所传输的数据</w:t>
      </w:r>
      <w:r>
        <w:rPr>
          <w:rFonts w:hAnsi="宋体" w:cs="仿宋"/>
          <w:color w:val="auto"/>
          <w:highlight w:val="none"/>
        </w:rPr>
        <w:t>100%</w:t>
      </w:r>
      <w:r>
        <w:rPr>
          <w:rFonts w:hint="eastAsia" w:hAnsi="宋体" w:cs="仿宋"/>
          <w:color w:val="auto"/>
          <w:highlight w:val="none"/>
        </w:rPr>
        <w:t>处理</w:t>
      </w:r>
    </w:p>
    <w:p w14:paraId="11255801">
      <w:pPr>
        <w:pStyle w:val="5"/>
        <w:ind w:left="240" w:right="240"/>
        <w:rPr>
          <w:color w:val="auto"/>
          <w:highlight w:val="none"/>
        </w:rPr>
      </w:pPr>
      <w:bookmarkStart w:id="88" w:name="_Ref161262732"/>
      <w:bookmarkStart w:id="89" w:name="_Toc5959"/>
      <w:r>
        <w:rPr>
          <w:rFonts w:hint="eastAsia"/>
          <w:color w:val="auto"/>
          <w:highlight w:val="none"/>
        </w:rPr>
        <w:t>3.</w:t>
      </w:r>
      <w:r>
        <w:rPr>
          <w:color w:val="auto"/>
          <w:highlight w:val="none"/>
        </w:rPr>
        <w:t>2</w:t>
      </w:r>
      <w:r>
        <w:rPr>
          <w:rFonts w:hint="eastAsia"/>
          <w:color w:val="auto"/>
          <w:highlight w:val="none"/>
        </w:rPr>
        <w:t>.</w:t>
      </w:r>
      <w:r>
        <w:rPr>
          <w:color w:val="auto"/>
          <w:highlight w:val="none"/>
        </w:rPr>
        <w:t>2</w:t>
      </w:r>
      <w:r>
        <w:rPr>
          <w:rFonts w:hint="eastAsia"/>
          <w:color w:val="auto"/>
          <w:highlight w:val="none"/>
        </w:rPr>
        <w:t>技术要求</w:t>
      </w:r>
      <w:bookmarkEnd w:id="88"/>
      <w:bookmarkEnd w:id="89"/>
    </w:p>
    <w:p w14:paraId="60ADCDDE">
      <w:pPr>
        <w:spacing w:line="400" w:lineRule="exact"/>
        <w:ind w:firstLine="371" w:firstLineChars="176"/>
        <w:rPr>
          <w:rFonts w:hAnsi="宋体" w:cs="仿宋"/>
          <w:b/>
          <w:bCs/>
          <w:color w:val="auto"/>
          <w:highlight w:val="none"/>
        </w:rPr>
      </w:pPr>
      <w:r>
        <w:rPr>
          <w:rFonts w:hint="eastAsia" w:hAnsi="宋体" w:cs="仿宋"/>
          <w:b/>
          <w:bCs/>
          <w:color w:val="auto"/>
          <w:highlight w:val="none"/>
        </w:rPr>
        <w:t>A、小区机动车出入口建设要求</w:t>
      </w:r>
    </w:p>
    <w:p w14:paraId="06BF9DA3">
      <w:pPr>
        <w:numPr>
          <w:ilvl w:val="0"/>
          <w:numId w:val="4"/>
        </w:numPr>
        <w:spacing w:line="400" w:lineRule="exact"/>
        <w:jc w:val="left"/>
        <w:rPr>
          <w:rFonts w:hAnsi="宋体" w:cs="仿宋"/>
          <w:color w:val="auto"/>
          <w:highlight w:val="none"/>
        </w:rPr>
      </w:pPr>
      <w:r>
        <w:rPr>
          <w:rFonts w:hint="eastAsia" w:hAnsi="宋体" w:cs="仿宋"/>
          <w:color w:val="auto"/>
          <w:highlight w:val="none"/>
        </w:rPr>
        <w:t>安全岛定制，设备安装地基尺寸应比设备实际尺寸大10 厘米以上，防止固定设备时膨胀螺丝将地基胀破。 地基材料：国标425#硅酸盐水泥、中砂，水泥与砂的比例（体积比）应该在1：2 左右。外涂防光油漆。</w:t>
      </w:r>
    </w:p>
    <w:p w14:paraId="000F1D7B">
      <w:pPr>
        <w:numPr>
          <w:ilvl w:val="0"/>
          <w:numId w:val="4"/>
        </w:numPr>
        <w:spacing w:line="400" w:lineRule="exact"/>
        <w:jc w:val="left"/>
        <w:rPr>
          <w:rFonts w:hAnsi="宋体" w:cs="仿宋"/>
          <w:color w:val="auto"/>
          <w:highlight w:val="none"/>
        </w:rPr>
      </w:pPr>
      <w:r>
        <w:rPr>
          <w:rFonts w:hint="eastAsia" w:hAnsi="宋体" w:cs="仿宋"/>
          <w:color w:val="auto"/>
          <w:highlight w:val="none"/>
        </w:rPr>
        <w:t>安全岛前后方各安装</w:t>
      </w:r>
      <w:r>
        <w:rPr>
          <w:rFonts w:hAnsi="宋体" w:cs="仿宋"/>
          <w:color w:val="auto"/>
          <w:highlight w:val="none"/>
        </w:rPr>
        <w:t>4</w:t>
      </w:r>
      <w:r>
        <w:rPr>
          <w:rFonts w:hint="eastAsia" w:hAnsi="宋体" w:cs="仿宋"/>
          <w:color w:val="auto"/>
          <w:highlight w:val="none"/>
        </w:rPr>
        <w:t>根防撞柱；</w:t>
      </w:r>
    </w:p>
    <w:p w14:paraId="5EEAB20D">
      <w:pPr>
        <w:numPr>
          <w:ilvl w:val="0"/>
          <w:numId w:val="4"/>
        </w:numPr>
        <w:spacing w:line="400" w:lineRule="exact"/>
        <w:jc w:val="left"/>
        <w:rPr>
          <w:rFonts w:hAnsi="宋体" w:cs="仿宋"/>
          <w:color w:val="auto"/>
          <w:highlight w:val="none"/>
        </w:rPr>
      </w:pPr>
      <w:r>
        <w:rPr>
          <w:rFonts w:hint="eastAsia" w:hAnsi="宋体" w:cs="仿宋"/>
          <w:color w:val="auto"/>
          <w:highlight w:val="none"/>
        </w:rPr>
        <w:t>安全岛中间安装护栏，作为防止人行穿越；</w:t>
      </w:r>
    </w:p>
    <w:p w14:paraId="6CBD89AB">
      <w:pPr>
        <w:numPr>
          <w:ilvl w:val="0"/>
          <w:numId w:val="4"/>
        </w:numPr>
        <w:spacing w:line="400" w:lineRule="exact"/>
        <w:jc w:val="left"/>
        <w:rPr>
          <w:rFonts w:hAnsi="宋体" w:cs="仿宋"/>
          <w:color w:val="auto"/>
          <w:highlight w:val="none"/>
        </w:rPr>
      </w:pPr>
      <w:r>
        <w:rPr>
          <w:rFonts w:hint="eastAsia" w:hAnsi="宋体" w:cs="仿宋"/>
          <w:color w:val="auto"/>
          <w:highlight w:val="none"/>
        </w:rPr>
        <w:t>安全岛上设备与设备间距半米安装；</w:t>
      </w:r>
    </w:p>
    <w:p w14:paraId="3E5750A5">
      <w:pPr>
        <w:numPr>
          <w:ilvl w:val="0"/>
          <w:numId w:val="4"/>
        </w:numPr>
        <w:spacing w:line="400" w:lineRule="exact"/>
        <w:jc w:val="left"/>
        <w:rPr>
          <w:rFonts w:hAnsi="宋体" w:cs="仿宋"/>
          <w:color w:val="auto"/>
          <w:highlight w:val="none"/>
        </w:rPr>
      </w:pPr>
      <w:r>
        <w:rPr>
          <w:rFonts w:hint="eastAsia" w:hAnsi="宋体" w:cs="仿宋"/>
          <w:color w:val="auto"/>
          <w:highlight w:val="none"/>
        </w:rPr>
        <w:t>出口广角监控安装在道闸后方不低于半米，高度</w:t>
      </w:r>
      <w:r>
        <w:rPr>
          <w:rFonts w:hAnsi="宋体" w:cs="仿宋"/>
          <w:color w:val="auto"/>
          <w:highlight w:val="none"/>
        </w:rPr>
        <w:t>1.3</w:t>
      </w:r>
      <w:r>
        <w:rPr>
          <w:rFonts w:hint="eastAsia" w:hAnsi="宋体" w:cs="仿宋"/>
          <w:color w:val="auto"/>
          <w:highlight w:val="none"/>
        </w:rPr>
        <w:t>米；</w:t>
      </w:r>
    </w:p>
    <w:p w14:paraId="36BD9698">
      <w:pPr>
        <w:numPr>
          <w:ilvl w:val="0"/>
          <w:numId w:val="4"/>
        </w:numPr>
        <w:spacing w:line="400" w:lineRule="exact"/>
        <w:jc w:val="left"/>
        <w:rPr>
          <w:rFonts w:hAnsi="宋体" w:cs="仿宋"/>
          <w:color w:val="auto"/>
          <w:highlight w:val="none"/>
        </w:rPr>
      </w:pPr>
      <w:r>
        <w:rPr>
          <w:rFonts w:hint="eastAsia" w:hAnsi="宋体" w:cs="仿宋"/>
          <w:color w:val="auto"/>
          <w:highlight w:val="none"/>
        </w:rPr>
        <w:t>安全岛上设备，如补光灯或者枪机安装后，不超过安全岛边缘；</w:t>
      </w:r>
    </w:p>
    <w:p w14:paraId="22471817">
      <w:pPr>
        <w:numPr>
          <w:ilvl w:val="0"/>
          <w:numId w:val="4"/>
        </w:numPr>
        <w:spacing w:line="400" w:lineRule="exact"/>
        <w:jc w:val="left"/>
        <w:rPr>
          <w:rFonts w:hAnsi="宋体" w:cs="仿宋"/>
          <w:color w:val="auto"/>
          <w:highlight w:val="none"/>
        </w:rPr>
      </w:pPr>
      <w:r>
        <w:rPr>
          <w:rFonts w:hint="eastAsia" w:hAnsi="宋体" w:cs="仿宋"/>
          <w:color w:val="auto"/>
          <w:highlight w:val="none"/>
        </w:rPr>
        <w:t>岛上设备固定底座，箱体离安全岛边缘</w:t>
      </w:r>
      <w:r>
        <w:rPr>
          <w:rFonts w:hAnsi="宋体" w:cs="仿宋"/>
          <w:color w:val="auto"/>
          <w:highlight w:val="none"/>
        </w:rPr>
        <w:t>10~15cm</w:t>
      </w:r>
      <w:r>
        <w:rPr>
          <w:rFonts w:hint="eastAsia" w:hAnsi="宋体" w:cs="仿宋"/>
          <w:color w:val="auto"/>
          <w:highlight w:val="none"/>
        </w:rPr>
        <w:t>。</w:t>
      </w:r>
    </w:p>
    <w:p w14:paraId="1C740027">
      <w:pPr>
        <w:spacing w:line="400" w:lineRule="exact"/>
        <w:ind w:firstLine="482"/>
        <w:rPr>
          <w:rFonts w:hAnsi="宋体" w:cs="仿宋"/>
          <w:b/>
          <w:bCs/>
          <w:color w:val="auto"/>
          <w:highlight w:val="none"/>
        </w:rPr>
      </w:pPr>
      <w:r>
        <w:rPr>
          <w:rFonts w:hint="eastAsia" w:hAnsi="宋体" w:cs="仿宋"/>
          <w:b/>
          <w:bCs/>
          <w:color w:val="auto"/>
          <w:highlight w:val="none"/>
        </w:rPr>
        <w:t>B、高清车牌识别一体机</w:t>
      </w:r>
    </w:p>
    <w:p w14:paraId="29368AD2">
      <w:pPr>
        <w:numPr>
          <w:ilvl w:val="0"/>
          <w:numId w:val="5"/>
        </w:numPr>
        <w:spacing w:line="400" w:lineRule="exact"/>
        <w:jc w:val="left"/>
        <w:rPr>
          <w:rFonts w:hAnsi="宋体" w:cs="仿宋"/>
          <w:color w:val="auto"/>
          <w:highlight w:val="none"/>
        </w:rPr>
      </w:pPr>
      <w:r>
        <w:rPr>
          <w:rFonts w:hint="eastAsia" w:hAnsi="宋体" w:cs="仿宋"/>
          <w:color w:val="auto"/>
          <w:highlight w:val="none"/>
        </w:rPr>
        <w:t>摄像机位置距离识别区4米，摄像机不超出安全岛边缘；</w:t>
      </w:r>
    </w:p>
    <w:p w14:paraId="2C786C0A">
      <w:pPr>
        <w:numPr>
          <w:ilvl w:val="0"/>
          <w:numId w:val="5"/>
        </w:numPr>
        <w:spacing w:line="400" w:lineRule="exact"/>
        <w:jc w:val="left"/>
        <w:rPr>
          <w:rFonts w:hAnsi="宋体" w:cs="仿宋"/>
          <w:color w:val="auto"/>
          <w:highlight w:val="none"/>
        </w:rPr>
      </w:pPr>
      <w:r>
        <w:rPr>
          <w:rFonts w:hint="eastAsia" w:hAnsi="宋体" w:cs="仿宋"/>
          <w:color w:val="auto"/>
          <w:highlight w:val="none"/>
        </w:rPr>
        <w:t>显示屏与安全岛30~45度角。</w:t>
      </w:r>
    </w:p>
    <w:p w14:paraId="22D575A1">
      <w:pPr>
        <w:numPr>
          <w:ilvl w:val="0"/>
          <w:numId w:val="5"/>
        </w:numPr>
        <w:spacing w:line="400" w:lineRule="exact"/>
        <w:jc w:val="left"/>
        <w:rPr>
          <w:rFonts w:hAnsi="宋体" w:cs="仿宋"/>
          <w:color w:val="auto"/>
          <w:highlight w:val="none"/>
        </w:rPr>
      </w:pPr>
      <w:r>
        <w:rPr>
          <w:rFonts w:hint="eastAsia" w:hAnsi="宋体" w:cs="仿宋"/>
          <w:color w:val="auto"/>
          <w:highlight w:val="none"/>
        </w:rPr>
        <w:t>摄像机抓拍到车牌后实现触发。</w:t>
      </w:r>
    </w:p>
    <w:p w14:paraId="720E6B97">
      <w:pPr>
        <w:spacing w:line="400" w:lineRule="exact"/>
        <w:ind w:firstLine="482"/>
        <w:jc w:val="left"/>
        <w:rPr>
          <w:rFonts w:hAnsi="宋体" w:cs="仿宋"/>
          <w:b/>
          <w:bCs/>
          <w:color w:val="auto"/>
          <w:highlight w:val="none"/>
        </w:rPr>
      </w:pPr>
      <w:r>
        <w:rPr>
          <w:rFonts w:hint="eastAsia" w:hAnsi="宋体" w:cs="仿宋"/>
          <w:b/>
          <w:bCs/>
          <w:color w:val="auto"/>
          <w:highlight w:val="none"/>
        </w:rPr>
        <w:t>C、智能高速道闸</w:t>
      </w:r>
    </w:p>
    <w:p w14:paraId="2E427259">
      <w:pPr>
        <w:numPr>
          <w:ilvl w:val="0"/>
          <w:numId w:val="6"/>
        </w:numPr>
        <w:spacing w:line="400" w:lineRule="exact"/>
        <w:jc w:val="left"/>
        <w:rPr>
          <w:rFonts w:hAnsi="宋体" w:cs="仿宋"/>
          <w:color w:val="auto"/>
          <w:highlight w:val="none"/>
        </w:rPr>
      </w:pPr>
      <w:r>
        <w:rPr>
          <w:rFonts w:hint="eastAsia" w:hAnsi="宋体" w:cs="仿宋"/>
          <w:color w:val="auto"/>
          <w:highlight w:val="none"/>
        </w:rPr>
        <w:t>道闸应安装在安全岛上，设备距离安全岛边缘10~15cm；</w:t>
      </w:r>
    </w:p>
    <w:p w14:paraId="462988CA">
      <w:pPr>
        <w:numPr>
          <w:ilvl w:val="0"/>
          <w:numId w:val="6"/>
        </w:numPr>
        <w:spacing w:line="400" w:lineRule="exact"/>
        <w:jc w:val="left"/>
        <w:rPr>
          <w:rFonts w:hAnsi="宋体" w:cs="仿宋"/>
          <w:color w:val="auto"/>
          <w:highlight w:val="none"/>
        </w:rPr>
      </w:pPr>
      <w:r>
        <w:rPr>
          <w:rFonts w:hint="eastAsia" w:hAnsi="宋体" w:cs="仿宋"/>
          <w:color w:val="auto"/>
          <w:highlight w:val="none"/>
        </w:rPr>
        <w:t>膨胀螺丝应使用标准规格并紧固到位；</w:t>
      </w:r>
    </w:p>
    <w:p w14:paraId="427179A9">
      <w:pPr>
        <w:numPr>
          <w:ilvl w:val="0"/>
          <w:numId w:val="6"/>
        </w:numPr>
        <w:spacing w:line="400" w:lineRule="exact"/>
        <w:jc w:val="left"/>
        <w:rPr>
          <w:rFonts w:hAnsi="宋体" w:cs="仿宋"/>
          <w:color w:val="auto"/>
          <w:highlight w:val="none"/>
        </w:rPr>
      </w:pPr>
      <w:r>
        <w:rPr>
          <w:rFonts w:hint="eastAsia" w:hAnsi="宋体" w:cs="仿宋"/>
          <w:color w:val="auto"/>
          <w:highlight w:val="none"/>
        </w:rPr>
        <w:t>道闸应具备车队模式（开启计数器功能）；</w:t>
      </w:r>
    </w:p>
    <w:p w14:paraId="16551ECA">
      <w:pPr>
        <w:numPr>
          <w:ilvl w:val="0"/>
          <w:numId w:val="6"/>
        </w:numPr>
        <w:spacing w:line="400" w:lineRule="exact"/>
        <w:jc w:val="left"/>
        <w:rPr>
          <w:rFonts w:hAnsi="宋体" w:cs="仿宋"/>
          <w:color w:val="auto"/>
          <w:highlight w:val="none"/>
        </w:rPr>
      </w:pPr>
      <w:r>
        <w:rPr>
          <w:rFonts w:hint="eastAsia" w:hAnsi="宋体" w:cs="仿宋"/>
          <w:color w:val="auto"/>
          <w:highlight w:val="none"/>
        </w:rPr>
        <w:t>具备红外雷达感应装置，防止砸车和行人。</w:t>
      </w:r>
    </w:p>
    <w:p w14:paraId="5A8AEF6B">
      <w:pPr>
        <w:spacing w:line="400" w:lineRule="exact"/>
        <w:ind w:firstLine="482"/>
        <w:jc w:val="left"/>
        <w:rPr>
          <w:rFonts w:hAnsi="宋体" w:cs="仿宋"/>
          <w:b/>
          <w:bCs/>
          <w:color w:val="auto"/>
          <w:highlight w:val="none"/>
        </w:rPr>
      </w:pPr>
      <w:r>
        <w:rPr>
          <w:rFonts w:hint="eastAsia" w:hAnsi="宋体" w:cs="仿宋"/>
          <w:b/>
          <w:bCs/>
          <w:color w:val="auto"/>
          <w:highlight w:val="none"/>
        </w:rPr>
        <w:t>D、配电箱</w:t>
      </w:r>
    </w:p>
    <w:p w14:paraId="1F0FB304">
      <w:pPr>
        <w:numPr>
          <w:ilvl w:val="0"/>
          <w:numId w:val="7"/>
        </w:numPr>
        <w:spacing w:line="400" w:lineRule="exact"/>
        <w:jc w:val="left"/>
        <w:rPr>
          <w:rFonts w:hAnsi="宋体" w:cs="仿宋"/>
          <w:color w:val="auto"/>
          <w:highlight w:val="none"/>
        </w:rPr>
      </w:pPr>
      <w:r>
        <w:rPr>
          <w:rFonts w:hint="eastAsia" w:hAnsi="宋体" w:cs="仿宋"/>
          <w:color w:val="auto"/>
          <w:highlight w:val="none"/>
        </w:rPr>
        <w:t>配电箱应使用户外防水样式，安装在安全岛外面，如果安装在地面应采用支架支撑，防止雨水浸泡；</w:t>
      </w:r>
    </w:p>
    <w:p w14:paraId="38535D72">
      <w:pPr>
        <w:numPr>
          <w:ilvl w:val="0"/>
          <w:numId w:val="7"/>
        </w:numPr>
        <w:spacing w:line="400" w:lineRule="exact"/>
        <w:jc w:val="left"/>
        <w:rPr>
          <w:rFonts w:hAnsi="宋体" w:cs="仿宋"/>
          <w:color w:val="auto"/>
          <w:highlight w:val="none"/>
        </w:rPr>
      </w:pPr>
      <w:r>
        <w:rPr>
          <w:rFonts w:hint="eastAsia" w:hAnsi="宋体" w:cs="仿宋"/>
          <w:color w:val="auto"/>
          <w:highlight w:val="none"/>
        </w:rPr>
        <w:t>户外配电箱应根据线路情况配置合适的尺寸，便于后期维护；</w:t>
      </w:r>
    </w:p>
    <w:p w14:paraId="7134B2B5">
      <w:pPr>
        <w:spacing w:line="400" w:lineRule="exact"/>
        <w:jc w:val="left"/>
        <w:rPr>
          <w:rFonts w:hAnsi="宋体" w:cs="仿宋"/>
          <w:color w:val="auto"/>
          <w:highlight w:val="none"/>
        </w:rPr>
      </w:pPr>
    </w:p>
    <w:p w14:paraId="0DB8B0DC">
      <w:pPr>
        <w:pStyle w:val="5"/>
        <w:ind w:left="240" w:right="240"/>
        <w:rPr>
          <w:color w:val="auto"/>
          <w:highlight w:val="none"/>
        </w:rPr>
      </w:pPr>
      <w:bookmarkStart w:id="90" w:name="_Toc27117"/>
      <w:bookmarkStart w:id="91" w:name="_Toc6997"/>
      <w:bookmarkStart w:id="92" w:name="_Toc13859"/>
      <w:bookmarkStart w:id="93" w:name="_Toc954"/>
      <w:bookmarkStart w:id="94" w:name="_Toc27980"/>
      <w:r>
        <w:rPr>
          <w:rFonts w:hint="eastAsia"/>
          <w:color w:val="auto"/>
          <w:highlight w:val="none"/>
        </w:rPr>
        <w:t>3.</w:t>
      </w:r>
      <w:r>
        <w:rPr>
          <w:color w:val="auto"/>
          <w:highlight w:val="none"/>
        </w:rPr>
        <w:t>2</w:t>
      </w:r>
      <w:r>
        <w:rPr>
          <w:rFonts w:hint="eastAsia"/>
          <w:color w:val="auto"/>
          <w:highlight w:val="none"/>
        </w:rPr>
        <w:t>.</w:t>
      </w:r>
      <w:r>
        <w:rPr>
          <w:color w:val="auto"/>
          <w:highlight w:val="none"/>
        </w:rPr>
        <w:t>3</w:t>
      </w:r>
      <w:r>
        <w:rPr>
          <w:rFonts w:hint="eastAsia"/>
          <w:color w:val="auto"/>
          <w:highlight w:val="none"/>
        </w:rPr>
        <w:t>产品技术参数</w:t>
      </w:r>
      <w:bookmarkEnd w:id="90"/>
      <w:bookmarkEnd w:id="91"/>
      <w:bookmarkEnd w:id="92"/>
      <w:bookmarkEnd w:id="93"/>
      <w:bookmarkEnd w:id="94"/>
      <w:r>
        <w:rPr>
          <w:rFonts w:hint="eastAsia"/>
          <w:color w:val="auto"/>
          <w:highlight w:val="none"/>
        </w:rPr>
        <w:t>要求</w:t>
      </w:r>
    </w:p>
    <w:p w14:paraId="01659901">
      <w:pPr>
        <w:pStyle w:val="6"/>
        <w:rPr>
          <w:color w:val="auto"/>
          <w:highlight w:val="none"/>
        </w:rPr>
      </w:pPr>
      <w:bookmarkStart w:id="95" w:name="_Toc6016"/>
      <w:bookmarkStart w:id="96" w:name="_Toc28122"/>
      <w:bookmarkStart w:id="97" w:name="_Toc8557"/>
      <w:bookmarkStart w:id="98" w:name="_Toc12845"/>
      <w:bookmarkStart w:id="99" w:name="_Ref161262726"/>
      <w:bookmarkStart w:id="100" w:name="_Toc21463"/>
      <w:bookmarkStart w:id="101" w:name="_Toc12861"/>
      <w:r>
        <w:rPr>
          <w:rFonts w:hint="eastAsia"/>
          <w:color w:val="auto"/>
          <w:highlight w:val="none"/>
        </w:rPr>
        <w:t>3.</w:t>
      </w:r>
      <w:r>
        <w:rPr>
          <w:color w:val="auto"/>
          <w:highlight w:val="none"/>
        </w:rPr>
        <w:t>2</w:t>
      </w:r>
      <w:r>
        <w:rPr>
          <w:rFonts w:hint="eastAsia"/>
          <w:color w:val="auto"/>
          <w:highlight w:val="none"/>
        </w:rPr>
        <w:t>.</w:t>
      </w:r>
      <w:r>
        <w:rPr>
          <w:color w:val="auto"/>
          <w:highlight w:val="none"/>
        </w:rPr>
        <w:t>3</w:t>
      </w:r>
      <w:r>
        <w:rPr>
          <w:rFonts w:hint="eastAsia"/>
          <w:color w:val="auto"/>
          <w:highlight w:val="none"/>
        </w:rPr>
        <w:t>.1车牌识别</w:t>
      </w:r>
      <w:bookmarkEnd w:id="95"/>
      <w:bookmarkEnd w:id="96"/>
      <w:bookmarkEnd w:id="97"/>
      <w:bookmarkEnd w:id="98"/>
      <w:r>
        <w:rPr>
          <w:rFonts w:hint="eastAsia"/>
          <w:color w:val="auto"/>
          <w:highlight w:val="none"/>
        </w:rPr>
        <w:t>终端</w:t>
      </w:r>
      <w:bookmarkEnd w:id="99"/>
      <w:bookmarkEnd w:id="100"/>
      <w:bookmarkEnd w:id="101"/>
    </w:p>
    <w:p w14:paraId="31AB6DDE">
      <w:pPr>
        <w:spacing w:line="400" w:lineRule="exact"/>
        <w:ind w:left="420" w:leftChars="200"/>
        <w:rPr>
          <w:rFonts w:hAnsi="宋体" w:cs="仿宋"/>
          <w:b/>
          <w:bCs/>
          <w:color w:val="auto"/>
          <w:highlight w:val="none"/>
        </w:rPr>
      </w:pPr>
      <w:r>
        <w:rPr>
          <w:rFonts w:hint="eastAsia" w:hAnsi="宋体" w:cs="仿宋"/>
          <w:b/>
          <w:bCs/>
          <w:color w:val="auto"/>
          <w:highlight w:val="none"/>
        </w:rPr>
        <w:t>A、功能特点</w:t>
      </w:r>
    </w:p>
    <w:p w14:paraId="18A2A176">
      <w:pPr>
        <w:spacing w:line="400" w:lineRule="exact"/>
        <w:ind w:firstLine="480"/>
        <w:rPr>
          <w:rFonts w:hAnsi="宋体" w:cs="仿宋"/>
          <w:color w:val="auto"/>
          <w:highlight w:val="none"/>
        </w:rPr>
      </w:pPr>
      <w:r>
        <w:rPr>
          <w:rFonts w:hint="eastAsia" w:hAnsi="宋体" w:cs="仿宋"/>
          <w:color w:val="auto"/>
          <w:highlight w:val="none"/>
        </w:rPr>
        <w:t>车牌识别云终端，是一种车道管理终端，可通过网络连接到云端，一方面，可将采集到的车道信息，包括车辆存在信息、车辆通行方向信息、车牌信息发送到云端；另一方面，可从云端获取管理信息，包括收费信息、车辆权限信息、放行或拒绝放行信息。可通过网络连接到云端，一方面，可将采集到的车道信息，包括车辆存在信息、车辆通行方向信息、车牌信息发送到云端；另一方面，可从云端获取管理信息，包括收费信息、车辆权限信息、放行或拒绝放行信息。具有本地数据储存能力，可储存车场白名单、车辆通行记录、具备有线和无线两种连接网络能力。考虑系统信息安全，目前仅采用有线方式。</w:t>
      </w:r>
    </w:p>
    <w:p w14:paraId="3218F99B">
      <w:pPr>
        <w:spacing w:line="400" w:lineRule="exact"/>
        <w:ind w:left="420" w:leftChars="200"/>
        <w:rPr>
          <w:rFonts w:hAnsi="宋体" w:cs="仿宋"/>
          <w:b/>
          <w:bCs/>
          <w:color w:val="auto"/>
          <w:highlight w:val="none"/>
        </w:rPr>
      </w:pPr>
      <w:r>
        <w:rPr>
          <w:rFonts w:hint="eastAsia" w:hAnsi="宋体" w:cs="仿宋"/>
          <w:b/>
          <w:bCs/>
          <w:color w:val="auto"/>
          <w:highlight w:val="none"/>
        </w:rPr>
        <w:t>B、云终端特性</w:t>
      </w:r>
    </w:p>
    <w:p w14:paraId="032C8751">
      <w:pPr>
        <w:numPr>
          <w:ilvl w:val="0"/>
          <w:numId w:val="8"/>
        </w:numPr>
        <w:spacing w:line="480" w:lineRule="exact"/>
        <w:ind w:left="0" w:firstLine="480"/>
        <w:rPr>
          <w:rFonts w:hAnsi="宋体" w:cs="宋体"/>
          <w:color w:val="auto"/>
          <w:highlight w:val="none"/>
        </w:rPr>
      </w:pPr>
      <w:r>
        <w:rPr>
          <w:rFonts w:hint="eastAsia" w:hAnsi="宋体" w:cs="宋体"/>
          <w:color w:val="auto"/>
          <w:highlight w:val="none"/>
        </w:rPr>
        <w:t>显示屏: 64×64 双基色LED显示屏：实现图形界面，可整屏循环显示64×64的公司3色图标，可循环显示通知信息、节假日祝福信息，实现车道人性化管理；</w:t>
      </w:r>
    </w:p>
    <w:p w14:paraId="5E4FDBA5">
      <w:pPr>
        <w:numPr>
          <w:ilvl w:val="0"/>
          <w:numId w:val="8"/>
        </w:numPr>
        <w:spacing w:line="480" w:lineRule="exact"/>
        <w:ind w:left="0" w:firstLine="480"/>
        <w:rPr>
          <w:rFonts w:hAnsi="宋体" w:cs="宋体"/>
          <w:color w:val="auto"/>
          <w:highlight w:val="none"/>
        </w:rPr>
      </w:pPr>
      <w:r>
        <w:rPr>
          <w:rFonts w:hint="eastAsia" w:hAnsi="宋体" w:cs="宋体"/>
          <w:color w:val="auto"/>
          <w:highlight w:val="none"/>
        </w:rPr>
        <w:t>网络状态：显示屏显示车牌识别设备在线、断网等网络状态；</w:t>
      </w:r>
    </w:p>
    <w:p w14:paraId="38AA2764">
      <w:pPr>
        <w:numPr>
          <w:ilvl w:val="0"/>
          <w:numId w:val="8"/>
        </w:numPr>
        <w:spacing w:line="480" w:lineRule="exact"/>
        <w:ind w:left="0" w:firstLine="480"/>
        <w:rPr>
          <w:rFonts w:hAnsi="宋体" w:cs="宋体"/>
          <w:bCs/>
          <w:color w:val="auto"/>
          <w:highlight w:val="none"/>
        </w:rPr>
      </w:pPr>
      <w:r>
        <w:rPr>
          <w:rFonts w:hint="eastAsia" w:hAnsi="宋体" w:cs="宋体"/>
          <w:color w:val="auto"/>
          <w:highlight w:val="none"/>
        </w:rPr>
        <w:t>★摄像机:300万高清车牌识别摄像机，白天车牌识别率99.9%，夜间99.9%；</w:t>
      </w:r>
    </w:p>
    <w:p w14:paraId="72B60356">
      <w:pPr>
        <w:numPr>
          <w:ilvl w:val="0"/>
          <w:numId w:val="8"/>
        </w:numPr>
        <w:spacing w:line="480" w:lineRule="exact"/>
        <w:ind w:left="0" w:firstLine="480"/>
        <w:rPr>
          <w:rFonts w:hAnsi="宋体" w:cs="宋体"/>
          <w:bCs/>
          <w:color w:val="auto"/>
          <w:highlight w:val="none"/>
        </w:rPr>
      </w:pPr>
      <w:r>
        <w:rPr>
          <w:rFonts w:hint="eastAsia" w:hAnsi="宋体" w:cs="宋体"/>
          <w:color w:val="auto"/>
          <w:highlight w:val="none"/>
        </w:rPr>
        <w:t>补光灯:自动感光；</w:t>
      </w:r>
    </w:p>
    <w:p w14:paraId="4BAAFC8B">
      <w:pPr>
        <w:numPr>
          <w:ilvl w:val="0"/>
          <w:numId w:val="8"/>
        </w:numPr>
        <w:spacing w:line="480" w:lineRule="exact"/>
        <w:ind w:left="0" w:firstLine="480"/>
        <w:rPr>
          <w:rFonts w:hAnsi="宋体" w:cs="宋体"/>
          <w:bCs/>
          <w:color w:val="auto"/>
          <w:highlight w:val="none"/>
        </w:rPr>
      </w:pPr>
      <w:r>
        <w:rPr>
          <w:rFonts w:hint="eastAsia" w:hAnsi="宋体" w:cs="宋体"/>
          <w:color w:val="auto"/>
          <w:highlight w:val="none"/>
        </w:rPr>
        <w:t>网络:以太网、4G双网络互为备份，当以太网出现断网时，可通过4G网上云，实现无缝连接；</w:t>
      </w:r>
    </w:p>
    <w:p w14:paraId="79A73589">
      <w:pPr>
        <w:numPr>
          <w:ilvl w:val="0"/>
          <w:numId w:val="8"/>
        </w:numPr>
        <w:spacing w:line="480" w:lineRule="exact"/>
        <w:ind w:left="0" w:firstLine="480"/>
        <w:rPr>
          <w:rFonts w:hAnsi="宋体" w:cs="宋体"/>
          <w:bCs/>
          <w:color w:val="auto"/>
          <w:highlight w:val="none"/>
        </w:rPr>
      </w:pPr>
      <w:r>
        <w:rPr>
          <w:rFonts w:hint="eastAsia" w:hAnsi="宋体" w:cs="宋体"/>
          <w:color w:val="auto"/>
          <w:highlight w:val="none"/>
        </w:rPr>
        <w:t>白名单容量：10万条；</w:t>
      </w:r>
    </w:p>
    <w:p w14:paraId="1EBDCF31">
      <w:pPr>
        <w:numPr>
          <w:ilvl w:val="0"/>
          <w:numId w:val="8"/>
        </w:numPr>
        <w:spacing w:line="480" w:lineRule="exact"/>
        <w:ind w:left="0" w:firstLine="480"/>
        <w:rPr>
          <w:rFonts w:hAnsi="宋体" w:cs="宋体"/>
          <w:bCs/>
          <w:color w:val="auto"/>
          <w:highlight w:val="none"/>
        </w:rPr>
      </w:pPr>
      <w:r>
        <w:rPr>
          <w:rFonts w:hint="eastAsia" w:hAnsi="宋体" w:cs="宋体"/>
          <w:color w:val="auto"/>
          <w:highlight w:val="none"/>
        </w:rPr>
        <w:t>黑名单容量：10万条；</w:t>
      </w:r>
    </w:p>
    <w:p w14:paraId="72C25F8B">
      <w:pPr>
        <w:numPr>
          <w:ilvl w:val="0"/>
          <w:numId w:val="8"/>
        </w:numPr>
        <w:spacing w:line="480" w:lineRule="exact"/>
        <w:ind w:left="0" w:firstLine="480"/>
        <w:rPr>
          <w:rFonts w:hAnsi="宋体" w:cs="宋体"/>
          <w:bCs/>
          <w:color w:val="auto"/>
          <w:highlight w:val="none"/>
        </w:rPr>
      </w:pPr>
      <w:r>
        <w:rPr>
          <w:rFonts w:hint="eastAsia" w:hAnsi="宋体" w:cs="宋体"/>
          <w:color w:val="auto"/>
          <w:highlight w:val="none"/>
        </w:rPr>
        <w:t>通行记录：10万条；</w:t>
      </w:r>
    </w:p>
    <w:p w14:paraId="25D8420C">
      <w:pPr>
        <w:numPr>
          <w:ilvl w:val="0"/>
          <w:numId w:val="8"/>
        </w:numPr>
        <w:spacing w:line="480" w:lineRule="exact"/>
        <w:ind w:left="0" w:firstLine="480"/>
        <w:rPr>
          <w:rFonts w:hAnsi="宋体" w:cs="宋体"/>
          <w:bCs/>
          <w:color w:val="auto"/>
          <w:highlight w:val="none"/>
        </w:rPr>
      </w:pPr>
      <w:r>
        <w:rPr>
          <w:rFonts w:hint="eastAsia" w:hAnsi="宋体" w:cs="宋体"/>
          <w:color w:val="auto"/>
          <w:highlight w:val="none"/>
        </w:rPr>
        <w:t>白名单可与微信绑定，白名单车牌可以通过微信扫码出入停车场；</w:t>
      </w:r>
    </w:p>
    <w:p w14:paraId="746A8539">
      <w:pPr>
        <w:numPr>
          <w:ilvl w:val="0"/>
          <w:numId w:val="8"/>
        </w:numPr>
        <w:spacing w:line="480" w:lineRule="exact"/>
        <w:ind w:left="372" w:leftChars="177" w:firstLine="0"/>
        <w:rPr>
          <w:rFonts w:hAnsi="宋体" w:cs="宋体"/>
          <w:color w:val="auto"/>
          <w:highlight w:val="none"/>
        </w:rPr>
      </w:pPr>
      <w:r>
        <w:rPr>
          <w:rFonts w:hint="eastAsia" w:hAnsi="宋体" w:cs="宋体"/>
          <w:color w:val="auto"/>
          <w:highlight w:val="none"/>
        </w:rPr>
        <w:t>为确保数据安全，所有出入记录和白名单数据不能仅储存在本地电脑，防止电脑丢失或损坏后数据无法恢复；</w:t>
      </w:r>
    </w:p>
    <w:p w14:paraId="3585C4C2">
      <w:pPr>
        <w:numPr>
          <w:ilvl w:val="0"/>
          <w:numId w:val="8"/>
        </w:numPr>
        <w:spacing w:line="480" w:lineRule="exact"/>
        <w:ind w:left="372" w:leftChars="177" w:firstLine="0"/>
        <w:rPr>
          <w:rFonts w:hAnsi="宋体" w:cs="宋体"/>
          <w:color w:val="auto"/>
          <w:highlight w:val="none"/>
        </w:rPr>
      </w:pPr>
      <w:r>
        <w:rPr>
          <w:rFonts w:hint="eastAsia" w:hAnsi="宋体" w:cs="宋体"/>
          <w:color w:val="auto"/>
          <w:highlight w:val="none"/>
        </w:rPr>
        <w:t>无以太网环境下可通过4G无线网络下载白名单。</w:t>
      </w:r>
    </w:p>
    <w:p w14:paraId="67DA136D">
      <w:pPr>
        <w:spacing w:line="400" w:lineRule="exact"/>
        <w:ind w:left="420" w:leftChars="200"/>
        <w:rPr>
          <w:rFonts w:hAnsi="宋体" w:cs="仿宋"/>
          <w:b/>
          <w:bCs/>
          <w:color w:val="auto"/>
          <w:highlight w:val="none"/>
        </w:rPr>
      </w:pPr>
      <w:r>
        <w:rPr>
          <w:rFonts w:hint="eastAsia" w:hAnsi="宋体" w:cs="仿宋"/>
          <w:b/>
          <w:bCs/>
          <w:color w:val="auto"/>
          <w:highlight w:val="none"/>
        </w:rPr>
        <w:t>C、车牌识别一体机参数要求</w:t>
      </w:r>
    </w:p>
    <w:p w14:paraId="34282B58">
      <w:pPr>
        <w:spacing w:line="400" w:lineRule="exact"/>
        <w:ind w:firstLine="371" w:firstLineChars="177"/>
        <w:rPr>
          <w:rFonts w:hAnsi="宋体" w:cs="仿宋"/>
          <w:color w:val="auto"/>
          <w:highlight w:val="none"/>
        </w:rPr>
      </w:pPr>
      <w:r>
        <w:rPr>
          <w:rFonts w:hint="eastAsia" w:hAnsi="宋体" w:cs="仿宋"/>
          <w:color w:val="auto"/>
          <w:highlight w:val="none"/>
        </w:rPr>
        <w:t>1.号牌识别率白天≥99.8%；夜间≥99.6%；</w:t>
      </w:r>
    </w:p>
    <w:p w14:paraId="04139448">
      <w:pPr>
        <w:spacing w:line="400" w:lineRule="exact"/>
        <w:ind w:firstLine="371" w:firstLineChars="177"/>
        <w:rPr>
          <w:rFonts w:hAnsi="宋体" w:cs="仿宋"/>
          <w:color w:val="auto"/>
          <w:highlight w:val="none"/>
        </w:rPr>
      </w:pPr>
      <w:r>
        <w:rPr>
          <w:rFonts w:hint="eastAsia" w:hAnsi="宋体" w:cs="仿宋"/>
          <w:color w:val="auto"/>
          <w:highlight w:val="none"/>
        </w:rPr>
        <w:t>2.号牌检出率白天≥99.9%；夜间≥99.7%；</w:t>
      </w:r>
    </w:p>
    <w:p w14:paraId="7E2C424E">
      <w:pPr>
        <w:spacing w:line="400" w:lineRule="exact"/>
        <w:ind w:firstLine="371" w:firstLineChars="177"/>
        <w:rPr>
          <w:rFonts w:hAnsi="宋体" w:cs="仿宋"/>
          <w:color w:val="auto"/>
          <w:highlight w:val="none"/>
        </w:rPr>
      </w:pPr>
      <w:r>
        <w:rPr>
          <w:rFonts w:hint="eastAsia" w:hAnsi="宋体" w:cs="仿宋"/>
          <w:color w:val="auto"/>
          <w:highlight w:val="none"/>
        </w:rPr>
        <w:t>3.适应车速0</w:t>
      </w:r>
      <w:r>
        <w:rPr>
          <w:rFonts w:hAnsi="宋体" w:cs="仿宋"/>
          <w:color w:val="auto"/>
          <w:highlight w:val="none"/>
        </w:rPr>
        <w:t>-60</w:t>
      </w:r>
      <w:r>
        <w:rPr>
          <w:rFonts w:hint="eastAsia" w:hAnsi="宋体" w:cs="仿宋"/>
          <w:color w:val="auto"/>
          <w:highlight w:val="none"/>
        </w:rPr>
        <w:t>公里/小时；</w:t>
      </w:r>
    </w:p>
    <w:p w14:paraId="02F8945D">
      <w:pPr>
        <w:spacing w:line="400" w:lineRule="exact"/>
        <w:ind w:firstLine="371" w:firstLineChars="177"/>
        <w:rPr>
          <w:rFonts w:hAnsi="宋体" w:cs="仿宋"/>
          <w:color w:val="auto"/>
          <w:highlight w:val="none"/>
        </w:rPr>
      </w:pPr>
      <w:r>
        <w:rPr>
          <w:rFonts w:hint="eastAsia" w:hAnsi="宋体" w:cs="仿宋"/>
          <w:color w:val="auto"/>
          <w:highlight w:val="none"/>
        </w:rPr>
        <w:t>4.输出信息车辆特征图像、车牌图像、牌照号码、颜色、类型、通过时间；</w:t>
      </w:r>
    </w:p>
    <w:p w14:paraId="1560682A">
      <w:pPr>
        <w:spacing w:line="400" w:lineRule="exact"/>
        <w:ind w:firstLine="371" w:firstLineChars="177"/>
        <w:rPr>
          <w:rFonts w:hAnsi="宋体" w:cs="仿宋"/>
          <w:color w:val="auto"/>
          <w:highlight w:val="none"/>
        </w:rPr>
      </w:pPr>
      <w:r>
        <w:rPr>
          <w:rFonts w:hint="eastAsia" w:hAnsi="宋体" w:cs="仿宋"/>
          <w:color w:val="auto"/>
          <w:highlight w:val="none"/>
        </w:rPr>
        <w:t>5.图像传感器 1/3" CMOS；</w:t>
      </w:r>
    </w:p>
    <w:p w14:paraId="2E88C577">
      <w:pPr>
        <w:spacing w:line="400" w:lineRule="exact"/>
        <w:ind w:firstLine="371" w:firstLineChars="177"/>
        <w:rPr>
          <w:rFonts w:hAnsi="宋体" w:cs="仿宋"/>
          <w:color w:val="auto"/>
          <w:highlight w:val="none"/>
        </w:rPr>
      </w:pPr>
      <w:r>
        <w:rPr>
          <w:rFonts w:hint="eastAsia" w:hAnsi="宋体" w:cs="仿宋"/>
          <w:color w:val="auto"/>
          <w:highlight w:val="none"/>
        </w:rPr>
        <w:t>6.图像分辨率1080P CIF4 CIF；</w:t>
      </w:r>
    </w:p>
    <w:p w14:paraId="500C252B">
      <w:pPr>
        <w:spacing w:line="400" w:lineRule="exact"/>
        <w:ind w:firstLine="371" w:firstLineChars="177"/>
        <w:rPr>
          <w:rFonts w:hAnsi="宋体" w:cs="仿宋"/>
          <w:color w:val="auto"/>
          <w:highlight w:val="none"/>
        </w:rPr>
      </w:pPr>
      <w:r>
        <w:rPr>
          <w:rFonts w:hint="eastAsia" w:hAnsi="宋体" w:cs="仿宋"/>
          <w:color w:val="auto"/>
          <w:highlight w:val="none"/>
        </w:rPr>
        <w:t>7.支持牌照类型：普通蓝牌、黑牌、黄牌、双层黄牌、警车车牌、新式武警车牌、新式；</w:t>
      </w:r>
    </w:p>
    <w:p w14:paraId="7CFAD2A3">
      <w:pPr>
        <w:spacing w:line="400" w:lineRule="exact"/>
        <w:ind w:firstLine="371" w:firstLineChars="177"/>
        <w:rPr>
          <w:rFonts w:hAnsi="宋体" w:cs="仿宋"/>
          <w:color w:val="auto"/>
          <w:highlight w:val="none"/>
        </w:rPr>
      </w:pPr>
      <w:r>
        <w:rPr>
          <w:rFonts w:hint="eastAsia" w:hAnsi="宋体" w:cs="仿宋"/>
          <w:color w:val="auto"/>
          <w:highlight w:val="none"/>
        </w:rPr>
        <w:t>8.军牌、使馆车牌、港澳进出大陆车牌；</w:t>
      </w:r>
    </w:p>
    <w:p w14:paraId="3D6FA642">
      <w:pPr>
        <w:spacing w:line="400" w:lineRule="exact"/>
        <w:ind w:firstLine="371" w:firstLineChars="177"/>
        <w:rPr>
          <w:rFonts w:hAnsi="宋体" w:cs="仿宋"/>
          <w:color w:val="auto"/>
          <w:highlight w:val="none"/>
        </w:rPr>
      </w:pPr>
      <w:r>
        <w:rPr>
          <w:rFonts w:hint="eastAsia" w:hAnsi="宋体" w:cs="仿宋"/>
          <w:color w:val="auto"/>
          <w:highlight w:val="none"/>
        </w:rPr>
        <w:t>9.识别特征：号码、颜色、类型、宽度；</w:t>
      </w:r>
    </w:p>
    <w:p w14:paraId="7F4A134E">
      <w:pPr>
        <w:spacing w:line="400" w:lineRule="exact"/>
        <w:ind w:firstLine="371" w:firstLineChars="177"/>
        <w:rPr>
          <w:rFonts w:hAnsi="宋体" w:cs="仿宋"/>
          <w:color w:val="auto"/>
          <w:highlight w:val="none"/>
        </w:rPr>
      </w:pPr>
      <w:r>
        <w:rPr>
          <w:rFonts w:hint="eastAsia" w:hAnsi="宋体" w:cs="仿宋"/>
          <w:color w:val="auto"/>
          <w:highlight w:val="none"/>
        </w:rPr>
        <w:t>10.输出结果：车辆特征图像、车牌图像、牌照号码、颜色、类型、通过时间；</w:t>
      </w:r>
    </w:p>
    <w:p w14:paraId="57D395AA">
      <w:pPr>
        <w:spacing w:line="400" w:lineRule="exact"/>
        <w:ind w:firstLine="371" w:firstLineChars="177"/>
        <w:rPr>
          <w:rFonts w:hAnsi="宋体" w:cs="仿宋"/>
          <w:color w:val="auto"/>
          <w:highlight w:val="none"/>
        </w:rPr>
      </w:pPr>
      <w:r>
        <w:rPr>
          <w:rFonts w:hint="eastAsia" w:hAnsi="宋体" w:cs="仿宋"/>
          <w:color w:val="auto"/>
          <w:highlight w:val="none"/>
        </w:rPr>
        <w:t>11.高清 H.264，MJpeg输出，支持输出 JPEG 格式抓图；</w:t>
      </w:r>
    </w:p>
    <w:p w14:paraId="6B217E2F">
      <w:pPr>
        <w:spacing w:line="400" w:lineRule="exact"/>
        <w:ind w:firstLine="371" w:firstLineChars="177"/>
        <w:rPr>
          <w:rFonts w:hAnsi="宋体" w:cs="仿宋"/>
          <w:color w:val="auto"/>
          <w:highlight w:val="none"/>
        </w:rPr>
      </w:pPr>
      <w:r>
        <w:rPr>
          <w:rFonts w:hint="eastAsia" w:hAnsi="宋体" w:cs="仿宋"/>
          <w:color w:val="auto"/>
          <w:highlight w:val="none"/>
        </w:rPr>
        <w:t>12.支持线圈、视频、485、网络等触发方式；</w:t>
      </w:r>
    </w:p>
    <w:p w14:paraId="7EF2D2B2">
      <w:pPr>
        <w:spacing w:line="400" w:lineRule="exact"/>
        <w:ind w:firstLine="371" w:firstLineChars="177"/>
        <w:rPr>
          <w:rFonts w:hAnsi="宋体" w:cs="仿宋"/>
          <w:color w:val="auto"/>
          <w:highlight w:val="none"/>
        </w:rPr>
      </w:pPr>
      <w:r>
        <w:rPr>
          <w:rFonts w:hint="eastAsia" w:hAnsi="宋体" w:cs="仿宋"/>
          <w:color w:val="auto"/>
          <w:highlight w:val="none"/>
        </w:rPr>
        <w:t>13.支持智能自动、手动调节白平衡；</w:t>
      </w:r>
    </w:p>
    <w:p w14:paraId="448A0028">
      <w:pPr>
        <w:spacing w:line="400" w:lineRule="exact"/>
        <w:ind w:firstLine="371" w:firstLineChars="177"/>
        <w:rPr>
          <w:rFonts w:hAnsi="宋体" w:cs="仿宋"/>
          <w:color w:val="auto"/>
          <w:highlight w:val="none"/>
        </w:rPr>
      </w:pPr>
      <w:r>
        <w:rPr>
          <w:rFonts w:hint="eastAsia" w:hAnsi="宋体" w:cs="仿宋"/>
          <w:color w:val="auto"/>
          <w:highlight w:val="none"/>
        </w:rPr>
        <w:t>14.手动调光，基于图像的灯光控制；</w:t>
      </w:r>
    </w:p>
    <w:p w14:paraId="7D34E45B">
      <w:pPr>
        <w:spacing w:line="400" w:lineRule="exact"/>
        <w:ind w:firstLine="371" w:firstLineChars="177"/>
        <w:rPr>
          <w:rFonts w:hAnsi="宋体" w:cs="仿宋"/>
          <w:color w:val="auto"/>
          <w:highlight w:val="none"/>
        </w:rPr>
      </w:pPr>
      <w:r>
        <w:rPr>
          <w:rFonts w:hint="eastAsia" w:hAnsi="宋体" w:cs="仿宋"/>
          <w:color w:val="auto"/>
          <w:highlight w:val="none"/>
        </w:rPr>
        <w:t>15.基于车牌亮度的曝光控制；</w:t>
      </w:r>
    </w:p>
    <w:p w14:paraId="7129717D">
      <w:pPr>
        <w:spacing w:line="400" w:lineRule="exact"/>
        <w:ind w:firstLine="371" w:firstLineChars="177"/>
        <w:rPr>
          <w:rFonts w:hAnsi="宋体" w:cs="仿宋"/>
          <w:color w:val="auto"/>
          <w:highlight w:val="none"/>
        </w:rPr>
      </w:pPr>
      <w:r>
        <w:rPr>
          <w:rFonts w:hint="eastAsia" w:hAnsi="宋体" w:cs="仿宋"/>
          <w:color w:val="auto"/>
          <w:highlight w:val="none"/>
        </w:rPr>
        <w:t>16.支持连续视频采集与抓拍同时具备的工作模式，并且两种模式的成像参数独立控制；</w:t>
      </w:r>
    </w:p>
    <w:p w14:paraId="5DF3C11E">
      <w:pPr>
        <w:spacing w:line="400" w:lineRule="exact"/>
        <w:ind w:firstLine="371" w:firstLineChars="177"/>
        <w:rPr>
          <w:rFonts w:hAnsi="宋体" w:cs="仿宋"/>
          <w:color w:val="auto"/>
          <w:highlight w:val="none"/>
        </w:rPr>
      </w:pPr>
      <w:r>
        <w:rPr>
          <w:rFonts w:hint="eastAsia" w:hAnsi="宋体" w:cs="仿宋"/>
          <w:color w:val="auto"/>
          <w:highlight w:val="none"/>
        </w:rPr>
        <w:t>17.支持 OSD 信息叠加；</w:t>
      </w:r>
    </w:p>
    <w:p w14:paraId="6B448DB6">
      <w:pPr>
        <w:spacing w:line="400" w:lineRule="exact"/>
        <w:ind w:firstLine="371" w:firstLineChars="177"/>
        <w:rPr>
          <w:rFonts w:hAnsi="宋体" w:cs="仿宋"/>
          <w:color w:val="auto"/>
          <w:highlight w:val="none"/>
        </w:rPr>
      </w:pPr>
      <w:r>
        <w:rPr>
          <w:rFonts w:hint="eastAsia" w:hAnsi="宋体" w:cs="仿宋"/>
          <w:color w:val="auto"/>
          <w:highlight w:val="none"/>
        </w:rPr>
        <w:t>18.具有即时上报工作状态功能，包括：工作状态、客户端连接状态等；</w:t>
      </w:r>
    </w:p>
    <w:p w14:paraId="3FFD7BF3">
      <w:pPr>
        <w:spacing w:line="400" w:lineRule="exact"/>
        <w:ind w:firstLine="371" w:firstLineChars="177"/>
        <w:rPr>
          <w:rFonts w:hAnsi="宋体" w:cs="仿宋"/>
          <w:color w:val="auto"/>
          <w:highlight w:val="none"/>
        </w:rPr>
      </w:pPr>
      <w:r>
        <w:rPr>
          <w:rFonts w:hint="eastAsia" w:hAnsi="宋体" w:cs="仿宋"/>
          <w:color w:val="auto"/>
          <w:highlight w:val="none"/>
        </w:rPr>
        <w:t>19.支持网络自动连接、即插即用；</w:t>
      </w:r>
    </w:p>
    <w:p w14:paraId="7A88E46D">
      <w:pPr>
        <w:spacing w:line="400" w:lineRule="exact"/>
        <w:ind w:firstLine="371" w:firstLineChars="177"/>
        <w:rPr>
          <w:rFonts w:hAnsi="宋体" w:cs="仿宋"/>
          <w:color w:val="auto"/>
          <w:highlight w:val="none"/>
        </w:rPr>
      </w:pPr>
      <w:r>
        <w:rPr>
          <w:rFonts w:hint="eastAsia" w:hAnsi="宋体" w:cs="仿宋"/>
          <w:color w:val="auto"/>
          <w:highlight w:val="none"/>
        </w:rPr>
        <w:t>20.最低照度  0.1 Lux（标准）；</w:t>
      </w:r>
    </w:p>
    <w:p w14:paraId="70B030EA">
      <w:pPr>
        <w:spacing w:line="400" w:lineRule="exact"/>
        <w:ind w:firstLine="371" w:firstLineChars="177"/>
        <w:rPr>
          <w:rFonts w:hAnsi="宋体" w:cs="仿宋"/>
          <w:color w:val="auto"/>
          <w:highlight w:val="none"/>
        </w:rPr>
      </w:pPr>
      <w:r>
        <w:rPr>
          <w:rFonts w:hint="eastAsia" w:hAnsi="宋体" w:cs="仿宋"/>
          <w:color w:val="auto"/>
          <w:highlight w:val="none"/>
        </w:rPr>
        <w:t>21.信噪比&gt;50db；</w:t>
      </w:r>
    </w:p>
    <w:p w14:paraId="32518302">
      <w:pPr>
        <w:spacing w:line="400" w:lineRule="exact"/>
        <w:ind w:firstLine="371" w:firstLineChars="177"/>
        <w:rPr>
          <w:rFonts w:hAnsi="宋体" w:cs="仿宋"/>
          <w:color w:val="auto"/>
          <w:highlight w:val="none"/>
        </w:rPr>
      </w:pPr>
      <w:r>
        <w:rPr>
          <w:rFonts w:hint="eastAsia" w:hAnsi="宋体" w:cs="仿宋"/>
          <w:color w:val="auto"/>
          <w:highlight w:val="none"/>
        </w:rPr>
        <w:t>22.电子快门  1/1 至 1/10000 秒，22 档；</w:t>
      </w:r>
    </w:p>
    <w:p w14:paraId="7C1BC342">
      <w:pPr>
        <w:spacing w:line="400" w:lineRule="exact"/>
        <w:ind w:firstLine="371" w:firstLineChars="177"/>
        <w:rPr>
          <w:rFonts w:hAnsi="宋体" w:cs="仿宋"/>
          <w:color w:val="auto"/>
          <w:highlight w:val="none"/>
        </w:rPr>
      </w:pPr>
      <w:r>
        <w:rPr>
          <w:rFonts w:hint="eastAsia" w:hAnsi="宋体" w:cs="仿宋"/>
          <w:color w:val="auto"/>
          <w:highlight w:val="none"/>
        </w:rPr>
        <w:t>23.最佳拍摄范围  3-10 米；</w:t>
      </w:r>
    </w:p>
    <w:p w14:paraId="501EAB85">
      <w:pPr>
        <w:spacing w:line="400" w:lineRule="exact"/>
        <w:ind w:firstLine="371" w:firstLineChars="177"/>
        <w:rPr>
          <w:rFonts w:hAnsi="宋体" w:cs="仿宋"/>
          <w:color w:val="auto"/>
          <w:highlight w:val="none"/>
        </w:rPr>
      </w:pPr>
      <w:r>
        <w:rPr>
          <w:rFonts w:hint="eastAsia" w:hAnsi="宋体" w:cs="仿宋"/>
          <w:color w:val="auto"/>
          <w:highlight w:val="none"/>
        </w:rPr>
        <w:t>24.光源发光频率  50Hz；</w:t>
      </w:r>
    </w:p>
    <w:p w14:paraId="43A6E090">
      <w:pPr>
        <w:spacing w:line="400" w:lineRule="exact"/>
        <w:ind w:firstLine="371" w:firstLineChars="177"/>
        <w:rPr>
          <w:rFonts w:hAnsi="宋体" w:cs="仿宋"/>
          <w:color w:val="auto"/>
          <w:highlight w:val="none"/>
        </w:rPr>
      </w:pPr>
      <w:r>
        <w:rPr>
          <w:rFonts w:hint="eastAsia" w:hAnsi="宋体" w:cs="仿宋"/>
          <w:color w:val="auto"/>
          <w:highlight w:val="none"/>
        </w:rPr>
        <w:t>25.防护等级  IP66；</w:t>
      </w:r>
    </w:p>
    <w:p w14:paraId="7401C695">
      <w:pPr>
        <w:spacing w:line="400" w:lineRule="exact"/>
        <w:ind w:firstLine="371" w:firstLineChars="177"/>
        <w:rPr>
          <w:rFonts w:hAnsi="宋体" w:cs="仿宋"/>
          <w:color w:val="auto"/>
          <w:highlight w:val="none"/>
        </w:rPr>
      </w:pPr>
      <w:r>
        <w:rPr>
          <w:rFonts w:hint="eastAsia" w:hAnsi="宋体" w:cs="仿宋"/>
          <w:color w:val="auto"/>
          <w:highlight w:val="none"/>
        </w:rPr>
        <w:t>26.存储  TF 卡（microSD 卡）；</w:t>
      </w:r>
    </w:p>
    <w:p w14:paraId="032C2CE8">
      <w:pPr>
        <w:spacing w:line="400" w:lineRule="exact"/>
        <w:ind w:firstLine="371" w:firstLineChars="177"/>
        <w:rPr>
          <w:rFonts w:hAnsi="宋体" w:cs="仿宋"/>
          <w:color w:val="auto"/>
          <w:highlight w:val="none"/>
        </w:rPr>
      </w:pPr>
      <w:r>
        <w:rPr>
          <w:rFonts w:hint="eastAsia" w:hAnsi="宋体" w:cs="仿宋"/>
          <w:color w:val="auto"/>
          <w:highlight w:val="none"/>
        </w:rPr>
        <w:t>27.音频压缩输入输出 G711；</w:t>
      </w:r>
    </w:p>
    <w:p w14:paraId="50C36D9D">
      <w:pPr>
        <w:spacing w:line="400" w:lineRule="exact"/>
        <w:ind w:firstLine="371" w:firstLineChars="177"/>
        <w:rPr>
          <w:rFonts w:hAnsi="宋体" w:cs="仿宋"/>
          <w:color w:val="auto"/>
          <w:highlight w:val="none"/>
        </w:rPr>
      </w:pPr>
      <w:r>
        <w:rPr>
          <w:rFonts w:hint="eastAsia" w:hAnsi="宋体" w:cs="仿宋"/>
          <w:color w:val="auto"/>
          <w:highlight w:val="none"/>
        </w:rPr>
        <w:t>28.分析帧率  25fps；</w:t>
      </w:r>
    </w:p>
    <w:p w14:paraId="7450F5C1">
      <w:pPr>
        <w:spacing w:line="400" w:lineRule="exact"/>
        <w:ind w:firstLine="371" w:firstLineChars="177"/>
        <w:rPr>
          <w:rFonts w:hAnsi="宋体" w:cs="仿宋"/>
          <w:color w:val="auto"/>
          <w:highlight w:val="none"/>
        </w:rPr>
      </w:pPr>
      <w:r>
        <w:rPr>
          <w:rFonts w:hint="eastAsia" w:hAnsi="宋体" w:cs="仿宋"/>
          <w:color w:val="auto"/>
          <w:highlight w:val="none"/>
        </w:rPr>
        <w:t>29.图像压缩  H.264 JPEG；</w:t>
      </w:r>
    </w:p>
    <w:p w14:paraId="60F0D629">
      <w:pPr>
        <w:spacing w:line="400" w:lineRule="exact"/>
        <w:ind w:firstLine="371" w:firstLineChars="177"/>
        <w:rPr>
          <w:rFonts w:hAnsi="宋体" w:cs="仿宋"/>
          <w:color w:val="auto"/>
          <w:highlight w:val="none"/>
        </w:rPr>
      </w:pPr>
      <w:r>
        <w:rPr>
          <w:rFonts w:hint="eastAsia" w:hAnsi="宋体" w:cs="仿宋"/>
          <w:color w:val="auto"/>
          <w:highlight w:val="none"/>
        </w:rPr>
        <w:t>30.补光灯内置 4 颗 LED 灯，可调亮度（每颗最高功耗 1W）；</w:t>
      </w:r>
    </w:p>
    <w:p w14:paraId="1254D636">
      <w:pPr>
        <w:spacing w:line="400" w:lineRule="exact"/>
        <w:ind w:firstLine="371" w:firstLineChars="177"/>
        <w:rPr>
          <w:rFonts w:hAnsi="宋体" w:cs="仿宋"/>
          <w:color w:val="auto"/>
          <w:highlight w:val="none"/>
        </w:rPr>
      </w:pPr>
      <w:r>
        <w:rPr>
          <w:rFonts w:hint="eastAsia" w:hAnsi="宋体" w:cs="仿宋"/>
          <w:color w:val="auto"/>
          <w:highlight w:val="none"/>
        </w:rPr>
        <w:t>31.相机镜头高清镜头 2.8~12mm 可调 F1.4；</w:t>
      </w:r>
    </w:p>
    <w:p w14:paraId="5BAA9DFF">
      <w:pPr>
        <w:spacing w:line="400" w:lineRule="exact"/>
        <w:ind w:left="420" w:leftChars="200"/>
        <w:rPr>
          <w:rFonts w:hAnsi="宋体" w:cs="仿宋"/>
          <w:b/>
          <w:bCs/>
          <w:color w:val="auto"/>
          <w:highlight w:val="none"/>
        </w:rPr>
      </w:pPr>
      <w:r>
        <w:rPr>
          <w:rFonts w:hint="eastAsia" w:hAnsi="宋体" w:cs="仿宋"/>
          <w:b/>
          <w:bCs/>
          <w:color w:val="auto"/>
          <w:highlight w:val="none"/>
        </w:rPr>
        <w:t>D、网络参数要求</w:t>
      </w:r>
    </w:p>
    <w:p w14:paraId="3B7C2B4F">
      <w:pPr>
        <w:spacing w:line="400" w:lineRule="exact"/>
        <w:ind w:firstLine="371" w:firstLineChars="177"/>
        <w:rPr>
          <w:rFonts w:hAnsi="宋体" w:cs="仿宋"/>
          <w:color w:val="auto"/>
          <w:highlight w:val="none"/>
        </w:rPr>
      </w:pPr>
      <w:r>
        <w:rPr>
          <w:rFonts w:hint="eastAsia" w:hAnsi="宋体" w:cs="仿宋"/>
          <w:color w:val="auto"/>
          <w:highlight w:val="none"/>
        </w:rPr>
        <w:t>1.提供一个 10M/100M 兼容的以太网端口；</w:t>
      </w:r>
    </w:p>
    <w:p w14:paraId="25965037">
      <w:pPr>
        <w:spacing w:line="400" w:lineRule="exact"/>
        <w:ind w:firstLine="371" w:firstLineChars="177"/>
        <w:rPr>
          <w:rFonts w:hAnsi="宋体" w:cs="仿宋"/>
          <w:color w:val="auto"/>
          <w:highlight w:val="none"/>
        </w:rPr>
      </w:pPr>
      <w:r>
        <w:rPr>
          <w:rFonts w:hint="eastAsia" w:hAnsi="宋体" w:cs="仿宋"/>
          <w:color w:val="auto"/>
          <w:highlight w:val="none"/>
        </w:rPr>
        <w:t>2.具备4G上云能力；</w:t>
      </w:r>
    </w:p>
    <w:p w14:paraId="129011A5">
      <w:pPr>
        <w:spacing w:line="400" w:lineRule="exact"/>
        <w:ind w:firstLine="371" w:firstLineChars="177"/>
        <w:rPr>
          <w:rFonts w:hAnsi="宋体" w:cs="仿宋"/>
          <w:color w:val="auto"/>
          <w:highlight w:val="none"/>
        </w:rPr>
      </w:pPr>
      <w:r>
        <w:rPr>
          <w:rFonts w:hint="eastAsia" w:hAnsi="宋体" w:cs="仿宋"/>
          <w:color w:val="auto"/>
          <w:highlight w:val="none"/>
        </w:rPr>
        <w:t>3.具备 WEB 服务器功能，可以通过浏览器访问；</w:t>
      </w:r>
    </w:p>
    <w:p w14:paraId="3C019B3E">
      <w:pPr>
        <w:spacing w:line="400" w:lineRule="exact"/>
        <w:ind w:firstLine="371" w:firstLineChars="177"/>
        <w:rPr>
          <w:rFonts w:hAnsi="宋体" w:cs="仿宋"/>
          <w:color w:val="auto"/>
          <w:highlight w:val="none"/>
        </w:rPr>
      </w:pPr>
      <w:r>
        <w:rPr>
          <w:rFonts w:hint="eastAsia" w:hAnsi="宋体" w:cs="仿宋"/>
          <w:color w:val="auto"/>
          <w:highlight w:val="none"/>
        </w:rPr>
        <w:t>4.支持 TCP/IP 协议等多种网络协议，可以通过应用软件或 web 浏览器设置参数、查看；</w:t>
      </w:r>
    </w:p>
    <w:p w14:paraId="24AD6B1F">
      <w:pPr>
        <w:spacing w:line="400" w:lineRule="exact"/>
        <w:ind w:firstLine="371" w:firstLineChars="177"/>
        <w:rPr>
          <w:rFonts w:hAnsi="宋体" w:cs="仿宋"/>
          <w:color w:val="auto"/>
          <w:highlight w:val="none"/>
        </w:rPr>
      </w:pPr>
      <w:r>
        <w:rPr>
          <w:rFonts w:hint="eastAsia" w:hAnsi="宋体" w:cs="仿宋"/>
          <w:color w:val="auto"/>
          <w:highlight w:val="none"/>
        </w:rPr>
        <w:t>5.设备状态，可以通过网络报警；</w:t>
      </w:r>
    </w:p>
    <w:p w14:paraId="2BF356AF">
      <w:pPr>
        <w:spacing w:line="400" w:lineRule="exact"/>
        <w:ind w:firstLine="371" w:firstLineChars="177"/>
        <w:rPr>
          <w:rFonts w:hAnsi="宋体" w:cs="仿宋"/>
          <w:color w:val="auto"/>
          <w:highlight w:val="none"/>
        </w:rPr>
      </w:pPr>
      <w:r>
        <w:rPr>
          <w:rFonts w:hint="eastAsia" w:hAnsi="宋体" w:cs="仿宋"/>
          <w:color w:val="auto"/>
          <w:highlight w:val="none"/>
        </w:rPr>
        <w:t>6.支持动态 IP 地址，支持局域网、Internet（ADSL、有线）；</w:t>
      </w:r>
    </w:p>
    <w:p w14:paraId="315149EC">
      <w:pPr>
        <w:spacing w:line="400" w:lineRule="exact"/>
        <w:ind w:firstLine="371" w:firstLineChars="177"/>
        <w:rPr>
          <w:rFonts w:hAnsi="宋体" w:cs="仿宋"/>
          <w:color w:val="auto"/>
          <w:highlight w:val="none"/>
        </w:rPr>
      </w:pPr>
      <w:r>
        <w:rPr>
          <w:rFonts w:hint="eastAsia" w:hAnsi="宋体" w:cs="仿宋"/>
          <w:color w:val="auto"/>
          <w:highlight w:val="none"/>
        </w:rPr>
        <w:t>7.可以通过网络远程升级，实现远程维护；</w:t>
      </w:r>
    </w:p>
    <w:p w14:paraId="168DAE1D">
      <w:pPr>
        <w:spacing w:line="400" w:lineRule="exact"/>
        <w:ind w:firstLine="371" w:firstLineChars="177"/>
        <w:rPr>
          <w:rFonts w:hAnsi="宋体" w:cs="仿宋"/>
          <w:color w:val="auto"/>
          <w:highlight w:val="none"/>
        </w:rPr>
      </w:pPr>
      <w:r>
        <w:rPr>
          <w:rFonts w:hint="eastAsia" w:hAnsi="宋体" w:cs="仿宋"/>
          <w:color w:val="auto"/>
          <w:highlight w:val="none"/>
        </w:rPr>
        <w:t>8.每个设备占用一个 IP 地址，多个用户可以同时进行网络监控；</w:t>
      </w:r>
    </w:p>
    <w:p w14:paraId="545D5E08">
      <w:pPr>
        <w:pStyle w:val="6"/>
        <w:rPr>
          <w:color w:val="auto"/>
          <w:highlight w:val="none"/>
        </w:rPr>
      </w:pPr>
      <w:bookmarkStart w:id="102" w:name="_Toc20735"/>
      <w:bookmarkStart w:id="103" w:name="_Toc16273"/>
      <w:bookmarkStart w:id="104" w:name="_Toc16848"/>
      <w:bookmarkStart w:id="105" w:name="_Toc4622"/>
      <w:bookmarkStart w:id="106" w:name="_Toc23871"/>
      <w:bookmarkStart w:id="107" w:name="_Toc28719"/>
      <w:bookmarkStart w:id="108" w:name="_Ref161262714"/>
      <w:r>
        <w:rPr>
          <w:rFonts w:hint="eastAsia"/>
          <w:color w:val="auto"/>
          <w:highlight w:val="none"/>
        </w:rPr>
        <w:t>3.</w:t>
      </w:r>
      <w:r>
        <w:rPr>
          <w:color w:val="auto"/>
          <w:highlight w:val="none"/>
        </w:rPr>
        <w:t>2</w:t>
      </w:r>
      <w:r>
        <w:rPr>
          <w:rFonts w:hint="eastAsia"/>
          <w:color w:val="auto"/>
          <w:highlight w:val="none"/>
        </w:rPr>
        <w:t>.</w:t>
      </w:r>
      <w:r>
        <w:rPr>
          <w:color w:val="auto"/>
          <w:highlight w:val="none"/>
        </w:rPr>
        <w:t>3</w:t>
      </w:r>
      <w:r>
        <w:rPr>
          <w:rFonts w:hint="eastAsia"/>
          <w:color w:val="auto"/>
          <w:highlight w:val="none"/>
        </w:rPr>
        <w:t>.2</w:t>
      </w:r>
      <w:bookmarkEnd w:id="102"/>
      <w:bookmarkEnd w:id="103"/>
      <w:bookmarkEnd w:id="104"/>
      <w:r>
        <w:rPr>
          <w:rFonts w:hint="eastAsia"/>
          <w:color w:val="auto"/>
          <w:highlight w:val="none"/>
        </w:rPr>
        <w:t>道闸含进出车辆信息显示</w:t>
      </w:r>
      <w:bookmarkEnd w:id="105"/>
      <w:bookmarkEnd w:id="106"/>
      <w:bookmarkEnd w:id="107"/>
      <w:bookmarkEnd w:id="108"/>
    </w:p>
    <w:p w14:paraId="1CED4E65">
      <w:pPr>
        <w:spacing w:line="400" w:lineRule="exact"/>
        <w:ind w:firstLine="482"/>
        <w:rPr>
          <w:rFonts w:hAnsi="宋体" w:cs="仿宋"/>
          <w:b/>
          <w:bCs/>
          <w:color w:val="auto"/>
          <w:highlight w:val="none"/>
        </w:rPr>
      </w:pPr>
      <w:r>
        <w:rPr>
          <w:rFonts w:hint="eastAsia" w:hAnsi="宋体" w:cs="仿宋"/>
          <w:b/>
          <w:bCs/>
          <w:color w:val="auto"/>
          <w:highlight w:val="none"/>
        </w:rPr>
        <w:t>A、功能特点</w:t>
      </w:r>
    </w:p>
    <w:p w14:paraId="56E54B56">
      <w:pPr>
        <w:widowControl/>
        <w:tabs>
          <w:tab w:val="left" w:pos="426"/>
        </w:tabs>
        <w:spacing w:line="400" w:lineRule="exact"/>
        <w:ind w:firstLine="420" w:firstLineChars="200"/>
        <w:jc w:val="left"/>
        <w:rPr>
          <w:rFonts w:hAnsi="宋体" w:cs="仿宋"/>
          <w:color w:val="auto"/>
          <w:highlight w:val="none"/>
        </w:rPr>
      </w:pPr>
      <w:r>
        <w:rPr>
          <w:rFonts w:hint="eastAsia" w:hAnsi="宋体" w:cs="仿宋"/>
          <w:color w:val="auto"/>
          <w:highlight w:val="none"/>
        </w:rPr>
        <w:t>1、高效伺服电机配高精度的行星减速机传动，集电控、机械控制于一体，操作灵活方便，使用安全可靠，无需日常维护和保养。</w:t>
      </w:r>
    </w:p>
    <w:p w14:paraId="3588097F">
      <w:pPr>
        <w:widowControl/>
        <w:tabs>
          <w:tab w:val="left" w:pos="426"/>
        </w:tabs>
        <w:spacing w:line="400" w:lineRule="exact"/>
        <w:ind w:firstLine="420" w:firstLineChars="200"/>
        <w:jc w:val="left"/>
        <w:rPr>
          <w:rFonts w:hAnsi="宋体" w:cs="仿宋"/>
          <w:color w:val="auto"/>
          <w:highlight w:val="none"/>
        </w:rPr>
      </w:pPr>
      <w:r>
        <w:rPr>
          <w:rFonts w:hint="eastAsia" w:hAnsi="宋体" w:cs="仿宋"/>
          <w:color w:val="auto"/>
          <w:highlight w:val="none"/>
        </w:rPr>
        <w:t>2、调整到最佳状态的运动部件和弹簧平衡装置，使闸杆做缓起渐停无冲击的快速平稳动作，最大限度的减小驱动功率和延长机体使用寿命。</w:t>
      </w:r>
    </w:p>
    <w:p w14:paraId="3EE10C27">
      <w:pPr>
        <w:widowControl/>
        <w:tabs>
          <w:tab w:val="left" w:pos="426"/>
        </w:tabs>
        <w:spacing w:line="400" w:lineRule="exact"/>
        <w:ind w:firstLine="420" w:firstLineChars="200"/>
        <w:jc w:val="left"/>
        <w:rPr>
          <w:rFonts w:hAnsi="宋体" w:cs="仿宋"/>
          <w:color w:val="auto"/>
          <w:highlight w:val="none"/>
        </w:rPr>
      </w:pPr>
      <w:r>
        <w:rPr>
          <w:rFonts w:hint="eastAsia" w:hAnsi="宋体" w:cs="仿宋"/>
          <w:color w:val="auto"/>
          <w:highlight w:val="none"/>
        </w:rPr>
        <w:t>3、无离合装置，无位置传感器，停电自动开闸，来电自动复位到关闸状态，真正做到无人值守。特殊需求也可通过控制器拨码开关设置手动起落杆。</w:t>
      </w:r>
    </w:p>
    <w:p w14:paraId="5A9C04CA">
      <w:pPr>
        <w:widowControl/>
        <w:tabs>
          <w:tab w:val="left" w:pos="426"/>
        </w:tabs>
        <w:spacing w:line="400" w:lineRule="exact"/>
        <w:ind w:firstLine="420" w:firstLineChars="200"/>
        <w:jc w:val="left"/>
        <w:rPr>
          <w:rFonts w:hAnsi="宋体" w:cs="仿宋"/>
          <w:color w:val="auto"/>
          <w:highlight w:val="none"/>
        </w:rPr>
      </w:pPr>
      <w:r>
        <w:rPr>
          <w:rFonts w:hint="eastAsia" w:hAnsi="宋体" w:cs="仿宋"/>
          <w:color w:val="auto"/>
          <w:highlight w:val="none"/>
        </w:rPr>
        <w:t>4、人性化防撞脱杆机构，因意外导致车辆冲击闸杆时，防撞机构可使闸杆旋转，从而有效避免车辆和闸机受损。</w:t>
      </w:r>
    </w:p>
    <w:p w14:paraId="2E70A44F">
      <w:pPr>
        <w:widowControl/>
        <w:tabs>
          <w:tab w:val="left" w:pos="426"/>
        </w:tabs>
        <w:spacing w:line="400" w:lineRule="exact"/>
        <w:ind w:firstLine="420" w:firstLineChars="200"/>
        <w:jc w:val="left"/>
        <w:rPr>
          <w:rFonts w:hAnsi="宋体" w:cs="仿宋"/>
          <w:color w:val="auto"/>
          <w:highlight w:val="none"/>
        </w:rPr>
      </w:pPr>
      <w:r>
        <w:rPr>
          <w:rFonts w:hint="eastAsia" w:hAnsi="宋体" w:cs="仿宋"/>
          <w:color w:val="auto"/>
          <w:highlight w:val="none"/>
        </w:rPr>
        <w:t>5、先进的伺服控制系统，真正实现运行速度与加速度的PID闭环控制，高速精准，毫厘不失，自动适应负载变化。</w:t>
      </w:r>
    </w:p>
    <w:p w14:paraId="325C25E5">
      <w:pPr>
        <w:widowControl/>
        <w:tabs>
          <w:tab w:val="left" w:pos="426"/>
        </w:tabs>
        <w:spacing w:line="400" w:lineRule="exact"/>
        <w:ind w:firstLine="420" w:firstLineChars="200"/>
        <w:jc w:val="left"/>
        <w:rPr>
          <w:rFonts w:hAnsi="宋体" w:cs="仿宋"/>
          <w:color w:val="auto"/>
          <w:highlight w:val="none"/>
        </w:rPr>
      </w:pPr>
      <w:r>
        <w:rPr>
          <w:rFonts w:hint="eastAsia" w:hAnsi="宋体" w:cs="仿宋"/>
          <w:color w:val="auto"/>
          <w:highlight w:val="none"/>
        </w:rPr>
        <w:t>6、专用的控制器系统集成度高，逻辑性能强，能与任何路桥、智能停车场收费系统相连接。</w:t>
      </w:r>
    </w:p>
    <w:p w14:paraId="142688B4">
      <w:pPr>
        <w:widowControl/>
        <w:tabs>
          <w:tab w:val="left" w:pos="426"/>
        </w:tabs>
        <w:spacing w:line="400" w:lineRule="exact"/>
        <w:ind w:firstLine="420" w:firstLineChars="200"/>
        <w:jc w:val="left"/>
        <w:rPr>
          <w:rFonts w:hAnsi="宋体" w:cs="仿宋"/>
          <w:color w:val="auto"/>
          <w:highlight w:val="none"/>
        </w:rPr>
      </w:pPr>
      <w:r>
        <w:rPr>
          <w:rFonts w:hint="eastAsia" w:hAnsi="宋体" w:cs="仿宋"/>
          <w:color w:val="auto"/>
          <w:highlight w:val="none"/>
        </w:rPr>
        <w:t>7、485通讯接口可以轻松实现对道闸的远程控制与状态反馈。</w:t>
      </w:r>
    </w:p>
    <w:p w14:paraId="255711F2">
      <w:pPr>
        <w:widowControl/>
        <w:tabs>
          <w:tab w:val="left" w:pos="426"/>
        </w:tabs>
        <w:spacing w:line="400" w:lineRule="exact"/>
        <w:ind w:firstLine="420" w:firstLineChars="200"/>
        <w:jc w:val="left"/>
        <w:rPr>
          <w:rFonts w:hAnsi="宋体" w:cs="仿宋"/>
          <w:color w:val="auto"/>
          <w:highlight w:val="none"/>
        </w:rPr>
      </w:pPr>
      <w:r>
        <w:rPr>
          <w:rFonts w:hint="eastAsia" w:hAnsi="宋体" w:cs="仿宋"/>
          <w:color w:val="auto"/>
          <w:highlight w:val="none"/>
        </w:rPr>
        <w:t>8、通过拨码开关设置，提供多种运行模式、运行参数供用户选择，能够最大限度地满足用户对不同功能的需求。</w:t>
      </w:r>
    </w:p>
    <w:p w14:paraId="18583F5E">
      <w:pPr>
        <w:widowControl/>
        <w:tabs>
          <w:tab w:val="left" w:pos="426"/>
        </w:tabs>
        <w:spacing w:line="400" w:lineRule="exact"/>
        <w:ind w:firstLine="420" w:firstLineChars="200"/>
        <w:jc w:val="left"/>
        <w:rPr>
          <w:rFonts w:hAnsi="宋体" w:cs="仿宋"/>
          <w:color w:val="auto"/>
          <w:highlight w:val="none"/>
        </w:rPr>
      </w:pPr>
      <w:r>
        <w:rPr>
          <w:rFonts w:hint="eastAsia" w:hAnsi="宋体" w:cs="仿宋"/>
          <w:color w:val="auto"/>
          <w:highlight w:val="none"/>
        </w:rPr>
        <w:t>9、高灵敏遇阻返回功能，可防止误操作和其他意外情况撞车、碰人事件。</w:t>
      </w:r>
    </w:p>
    <w:p w14:paraId="0C83B372">
      <w:pPr>
        <w:widowControl/>
        <w:tabs>
          <w:tab w:val="left" w:pos="426"/>
        </w:tabs>
        <w:spacing w:line="400" w:lineRule="exact"/>
        <w:ind w:firstLine="420" w:firstLineChars="200"/>
        <w:jc w:val="left"/>
        <w:rPr>
          <w:rFonts w:hAnsi="宋体" w:cs="仿宋"/>
          <w:color w:val="auto"/>
          <w:highlight w:val="none"/>
        </w:rPr>
      </w:pPr>
      <w:r>
        <w:rPr>
          <w:rFonts w:hint="eastAsia" w:hAnsi="宋体" w:cs="仿宋"/>
          <w:color w:val="auto"/>
          <w:highlight w:val="none"/>
        </w:rPr>
        <w:t>10、钢板制作的防水、防尘机箱， 表面采用金属粉末喷涂工艺，整机防水标准IP54。</w:t>
      </w:r>
    </w:p>
    <w:p w14:paraId="3387DC07">
      <w:pPr>
        <w:widowControl/>
        <w:tabs>
          <w:tab w:val="left" w:pos="426"/>
        </w:tabs>
        <w:spacing w:line="400" w:lineRule="exact"/>
        <w:ind w:firstLine="420" w:firstLineChars="200"/>
        <w:jc w:val="left"/>
        <w:rPr>
          <w:rFonts w:hAnsi="宋体" w:cs="仿宋"/>
          <w:color w:val="auto"/>
          <w:highlight w:val="none"/>
        </w:rPr>
      </w:pPr>
      <w:r>
        <w:rPr>
          <w:rFonts w:hint="eastAsia" w:hAnsi="宋体" w:cs="仿宋"/>
          <w:color w:val="auto"/>
          <w:highlight w:val="none"/>
        </w:rPr>
        <w:t>11、直流24V低压伺服电机，适应全球电压，可接DC24V蓄电池，亦可结合太阳能、风能发电，可随时随地移动工作。</w:t>
      </w:r>
    </w:p>
    <w:p w14:paraId="7E10DA8C">
      <w:pPr>
        <w:spacing w:line="400" w:lineRule="exact"/>
        <w:ind w:left="420" w:leftChars="200"/>
        <w:rPr>
          <w:rFonts w:hAnsi="宋体" w:cs="仿宋"/>
          <w:color w:val="auto"/>
          <w:highlight w:val="none"/>
        </w:rPr>
      </w:pPr>
      <w:bookmarkStart w:id="109" w:name="_Toc512329013"/>
      <w:bookmarkStart w:id="110" w:name="_Toc512328952"/>
      <w:bookmarkStart w:id="111" w:name="_Toc512330095"/>
      <w:bookmarkStart w:id="112" w:name="_Toc512329883"/>
      <w:bookmarkStart w:id="113" w:name="_Toc512330593"/>
      <w:bookmarkStart w:id="114" w:name="_Toc512329942"/>
      <w:bookmarkStart w:id="115" w:name="_Toc534456710"/>
      <w:r>
        <w:rPr>
          <w:rFonts w:hint="eastAsia" w:hAnsi="宋体" w:cs="仿宋"/>
          <w:b/>
          <w:bCs/>
          <w:color w:val="auto"/>
          <w:highlight w:val="none"/>
        </w:rPr>
        <w:t>B、技术参数</w:t>
      </w:r>
      <w:bookmarkEnd w:id="109"/>
      <w:bookmarkEnd w:id="110"/>
      <w:bookmarkEnd w:id="111"/>
      <w:bookmarkEnd w:id="112"/>
      <w:bookmarkEnd w:id="113"/>
      <w:bookmarkEnd w:id="114"/>
      <w:bookmarkEnd w:id="115"/>
      <w:r>
        <w:rPr>
          <w:rFonts w:hint="eastAsia" w:hAnsi="宋体" w:cs="仿宋"/>
          <w:b/>
          <w:bCs/>
          <w:color w:val="auto"/>
          <w:highlight w:val="none"/>
        </w:rPr>
        <w:t>要求</w:t>
      </w:r>
    </w:p>
    <w:p w14:paraId="679D1D2D">
      <w:pPr>
        <w:spacing w:line="400" w:lineRule="exact"/>
        <w:ind w:firstLine="480"/>
        <w:rPr>
          <w:rFonts w:hAnsi="宋体" w:cs="仿宋"/>
          <w:color w:val="auto"/>
          <w:highlight w:val="none"/>
        </w:rPr>
      </w:pPr>
      <w:r>
        <w:rPr>
          <w:rFonts w:hint="eastAsia" w:hAnsi="宋体" w:cs="仿宋"/>
          <w:color w:val="auto"/>
          <w:highlight w:val="none"/>
        </w:rPr>
        <w:t>1、杆件类型: 栅栏；</w:t>
      </w:r>
    </w:p>
    <w:p w14:paraId="11752BFB">
      <w:pPr>
        <w:spacing w:line="400" w:lineRule="exact"/>
        <w:ind w:firstLine="480"/>
        <w:rPr>
          <w:rFonts w:hAnsi="宋体" w:cs="仿宋"/>
          <w:color w:val="auto"/>
          <w:highlight w:val="none"/>
        </w:rPr>
      </w:pPr>
      <w:r>
        <w:rPr>
          <w:rFonts w:hint="eastAsia" w:hAnsi="宋体" w:cs="仿宋"/>
          <w:color w:val="auto"/>
          <w:highlight w:val="none"/>
        </w:rPr>
        <w:t>2、支持杆长: 4~5米（根据现场确定长度）；</w:t>
      </w:r>
    </w:p>
    <w:p w14:paraId="5724ED7C">
      <w:pPr>
        <w:spacing w:line="400" w:lineRule="exact"/>
        <w:ind w:firstLine="480"/>
        <w:rPr>
          <w:rFonts w:hAnsi="宋体" w:cs="仿宋"/>
          <w:color w:val="auto"/>
          <w:highlight w:val="none"/>
        </w:rPr>
      </w:pPr>
      <w:r>
        <w:rPr>
          <w:rFonts w:hint="eastAsia" w:hAnsi="宋体" w:cs="仿宋"/>
          <w:color w:val="auto"/>
          <w:highlight w:val="none"/>
        </w:rPr>
        <w:t>3、★起杆速度:3-</w:t>
      </w:r>
      <w:r>
        <w:rPr>
          <w:rFonts w:hAnsi="宋体" w:cs="仿宋"/>
          <w:color w:val="auto"/>
          <w:highlight w:val="none"/>
        </w:rPr>
        <w:t>6</w:t>
      </w:r>
      <w:r>
        <w:rPr>
          <w:rFonts w:hint="eastAsia" w:hAnsi="宋体" w:cs="仿宋"/>
          <w:color w:val="auto"/>
          <w:highlight w:val="none"/>
        </w:rPr>
        <w:t>S；</w:t>
      </w:r>
    </w:p>
    <w:p w14:paraId="3EB79BD1">
      <w:pPr>
        <w:spacing w:line="400" w:lineRule="exact"/>
        <w:ind w:firstLine="480"/>
        <w:rPr>
          <w:rFonts w:hAnsi="宋体" w:cs="仿宋"/>
          <w:color w:val="auto"/>
          <w:highlight w:val="none"/>
        </w:rPr>
      </w:pPr>
      <w:r>
        <w:rPr>
          <w:rFonts w:hint="eastAsia" w:hAnsi="宋体" w:cs="仿宋"/>
          <w:color w:val="auto"/>
          <w:highlight w:val="none"/>
        </w:rPr>
        <w:t>4、支持断电抬杆，支持遇阻反弹；</w:t>
      </w:r>
    </w:p>
    <w:p w14:paraId="24E17EBD">
      <w:pPr>
        <w:spacing w:line="400" w:lineRule="exact"/>
        <w:ind w:firstLine="480"/>
        <w:rPr>
          <w:rFonts w:hAnsi="宋体" w:cs="仿宋"/>
          <w:color w:val="auto"/>
          <w:highlight w:val="none"/>
        </w:rPr>
      </w:pPr>
      <w:r>
        <w:rPr>
          <w:rFonts w:hint="eastAsia" w:hAnsi="宋体" w:cs="仿宋"/>
          <w:color w:val="auto"/>
          <w:highlight w:val="none"/>
        </w:rPr>
        <w:t>5、包含2个遥控器，遥控距离不小于30m；</w:t>
      </w:r>
    </w:p>
    <w:p w14:paraId="79C7DC04">
      <w:pPr>
        <w:spacing w:line="400" w:lineRule="exact"/>
        <w:ind w:firstLine="480"/>
        <w:rPr>
          <w:rFonts w:hAnsi="宋体" w:cs="仿宋"/>
          <w:color w:val="auto"/>
          <w:highlight w:val="none"/>
        </w:rPr>
      </w:pPr>
      <w:r>
        <w:rPr>
          <w:rFonts w:hint="eastAsia" w:hAnsi="宋体" w:cs="仿宋"/>
          <w:color w:val="auto"/>
          <w:highlight w:val="none"/>
        </w:rPr>
        <w:t>6、弹簧寿命: 100万次，电机寿命: 500万次</w:t>
      </w:r>
    </w:p>
    <w:p w14:paraId="035090F9">
      <w:pPr>
        <w:spacing w:line="400" w:lineRule="exact"/>
        <w:ind w:firstLine="480"/>
        <w:rPr>
          <w:rFonts w:hAnsi="宋体" w:cs="仿宋"/>
          <w:color w:val="auto"/>
          <w:highlight w:val="none"/>
        </w:rPr>
      </w:pPr>
      <w:r>
        <w:rPr>
          <w:rFonts w:hint="eastAsia" w:hAnsi="宋体" w:cs="仿宋"/>
          <w:color w:val="auto"/>
          <w:highlight w:val="none"/>
        </w:rPr>
        <w:t>7、工作温度: -40℃～+70℃；</w:t>
      </w:r>
    </w:p>
    <w:p w14:paraId="44D65C53">
      <w:pPr>
        <w:spacing w:line="400" w:lineRule="exact"/>
        <w:ind w:firstLine="480"/>
        <w:rPr>
          <w:rFonts w:hAnsi="宋体" w:cs="仿宋"/>
          <w:color w:val="auto"/>
          <w:highlight w:val="none"/>
        </w:rPr>
      </w:pPr>
      <w:r>
        <w:rPr>
          <w:rFonts w:hint="eastAsia" w:hAnsi="宋体" w:cs="仿宋"/>
          <w:color w:val="auto"/>
          <w:highlight w:val="none"/>
        </w:rPr>
        <w:t>8、闸机朝向：左/右向,根据小区实际情况选择</w:t>
      </w:r>
    </w:p>
    <w:p w14:paraId="6EA0BB03">
      <w:pPr>
        <w:spacing w:line="480" w:lineRule="exact"/>
        <w:ind w:firstLine="480"/>
        <w:rPr>
          <w:rFonts w:hAnsi="宋体" w:cs="宋体"/>
          <w:color w:val="auto"/>
          <w:highlight w:val="none"/>
        </w:rPr>
      </w:pPr>
      <w:bookmarkStart w:id="116" w:name="_Hlk160699825"/>
      <w:r>
        <w:rPr>
          <w:rFonts w:hint="eastAsia" w:hAnsi="宋体" w:cs="宋体"/>
          <w:color w:val="auto"/>
          <w:highlight w:val="none"/>
        </w:rPr>
        <w:t>9、具有雷达感应装置，采用先进的信号处理技术，可稳定检测到行人和车辆，有效防止“砸车、砸人”事故的发生。</w:t>
      </w:r>
    </w:p>
    <w:bookmarkEnd w:id="116"/>
    <w:p w14:paraId="27335149">
      <w:pPr>
        <w:spacing w:line="400" w:lineRule="exact"/>
        <w:ind w:firstLine="480"/>
        <w:rPr>
          <w:rFonts w:hAnsi="宋体" w:cs="宋体"/>
          <w:color w:val="auto"/>
          <w:highlight w:val="none"/>
        </w:rPr>
      </w:pPr>
      <w:r>
        <w:rPr>
          <w:rFonts w:hint="eastAsia" w:hAnsi="宋体" w:cs="宋体"/>
          <w:color w:val="auto"/>
          <w:highlight w:val="none"/>
        </w:rPr>
        <w:t>10、配套设备及功能特性：支持外接红绿灯警示、外接红外保护、外接地感功能，支持强冷天气包含防砸感应保护设施、现场控制器、显示屏、补光灯、语音播报、交换连接设备等。</w:t>
      </w:r>
    </w:p>
    <w:p w14:paraId="76C22646">
      <w:pPr>
        <w:pStyle w:val="6"/>
        <w:rPr>
          <w:color w:val="auto"/>
          <w:highlight w:val="none"/>
        </w:rPr>
      </w:pPr>
      <w:r>
        <w:rPr>
          <w:rFonts w:hint="eastAsia"/>
          <w:color w:val="auto"/>
          <w:highlight w:val="none"/>
        </w:rPr>
        <w:t>3.</w:t>
      </w:r>
      <w:r>
        <w:rPr>
          <w:color w:val="auto"/>
          <w:highlight w:val="none"/>
        </w:rPr>
        <w:t>2</w:t>
      </w:r>
      <w:r>
        <w:rPr>
          <w:rFonts w:hint="eastAsia"/>
          <w:color w:val="auto"/>
          <w:highlight w:val="none"/>
        </w:rPr>
        <w:t>.</w:t>
      </w:r>
      <w:r>
        <w:rPr>
          <w:color w:val="auto"/>
          <w:highlight w:val="none"/>
        </w:rPr>
        <w:t>3</w:t>
      </w:r>
      <w:r>
        <w:rPr>
          <w:rFonts w:hint="eastAsia"/>
          <w:color w:val="auto"/>
          <w:highlight w:val="none"/>
        </w:rPr>
        <w:t>.</w:t>
      </w:r>
      <w:r>
        <w:rPr>
          <w:color w:val="auto"/>
          <w:highlight w:val="none"/>
        </w:rPr>
        <w:t>3</w:t>
      </w:r>
      <w:r>
        <w:rPr>
          <w:rFonts w:hint="eastAsia"/>
          <w:color w:val="auto"/>
          <w:highlight w:val="none"/>
        </w:rPr>
        <w:t>车辆管理软件</w:t>
      </w:r>
    </w:p>
    <w:p w14:paraId="11433395">
      <w:pPr>
        <w:spacing w:line="400" w:lineRule="exact"/>
        <w:ind w:left="372" w:leftChars="177"/>
        <w:rPr>
          <w:rFonts w:hAnsi="宋体" w:cs="仿宋"/>
          <w:color w:val="auto"/>
          <w:highlight w:val="none"/>
        </w:rPr>
      </w:pPr>
      <w:r>
        <w:rPr>
          <w:rFonts w:hint="eastAsia" w:hAnsi="宋体" w:cs="仿宋"/>
          <w:color w:val="auto"/>
          <w:highlight w:val="none"/>
        </w:rPr>
        <w:t>1、停车卡处理。包括：发卡、退卡、补卡、挂失卡等功能模块。</w:t>
      </w:r>
    </w:p>
    <w:p w14:paraId="5A1EA130">
      <w:pPr>
        <w:spacing w:line="400" w:lineRule="exact"/>
        <w:ind w:left="372" w:leftChars="177"/>
        <w:rPr>
          <w:rFonts w:hAnsi="宋体" w:cs="仿宋"/>
          <w:color w:val="auto"/>
          <w:highlight w:val="none"/>
        </w:rPr>
      </w:pPr>
      <w:r>
        <w:rPr>
          <w:rFonts w:hint="eastAsia" w:hAnsi="宋体" w:cs="仿宋"/>
          <w:color w:val="auto"/>
          <w:highlight w:val="none"/>
        </w:rPr>
        <w:t>2、收费标准设置。可根据用户要求修改收费标准，修改时需提供授权卡。</w:t>
      </w:r>
    </w:p>
    <w:p w14:paraId="641A81E8">
      <w:pPr>
        <w:spacing w:line="400" w:lineRule="exact"/>
        <w:ind w:left="372" w:leftChars="177"/>
        <w:rPr>
          <w:rFonts w:hAnsi="宋体" w:cs="仿宋"/>
          <w:color w:val="auto"/>
          <w:highlight w:val="none"/>
        </w:rPr>
      </w:pPr>
      <w:r>
        <w:rPr>
          <w:rFonts w:hint="eastAsia" w:hAnsi="宋体" w:cs="仿宋"/>
          <w:color w:val="auto"/>
          <w:highlight w:val="none"/>
        </w:rPr>
        <w:t>3、软件可控制开、关闸，并能实时检测道闸开关状态及地感是否有车状态。</w:t>
      </w:r>
    </w:p>
    <w:p w14:paraId="67F68875">
      <w:pPr>
        <w:spacing w:line="400" w:lineRule="exact"/>
        <w:ind w:left="372" w:leftChars="177"/>
        <w:rPr>
          <w:rFonts w:hAnsi="宋体" w:cs="仿宋"/>
          <w:color w:val="auto"/>
          <w:highlight w:val="none"/>
        </w:rPr>
      </w:pPr>
      <w:r>
        <w:rPr>
          <w:rFonts w:hAnsi="宋体" w:cs="仿宋"/>
          <w:color w:val="auto"/>
          <w:highlight w:val="none"/>
        </w:rPr>
        <w:t>4</w:t>
      </w:r>
      <w:r>
        <w:rPr>
          <w:rFonts w:hint="eastAsia" w:hAnsi="宋体" w:cs="仿宋"/>
          <w:color w:val="auto"/>
          <w:highlight w:val="none"/>
        </w:rPr>
        <w:t>、系统数据处理。包括：任意时间段的数据查询、统计、报表。</w:t>
      </w:r>
    </w:p>
    <w:p w14:paraId="77DDCEE9">
      <w:pPr>
        <w:spacing w:line="400" w:lineRule="exact"/>
        <w:ind w:left="372" w:leftChars="177"/>
        <w:rPr>
          <w:rFonts w:hAnsi="宋体" w:cs="仿宋"/>
          <w:color w:val="auto"/>
          <w:highlight w:val="none"/>
        </w:rPr>
      </w:pPr>
      <w:r>
        <w:rPr>
          <w:rFonts w:hAnsi="宋体" w:cs="仿宋"/>
          <w:color w:val="auto"/>
          <w:highlight w:val="none"/>
        </w:rPr>
        <w:t>5</w:t>
      </w:r>
      <w:r>
        <w:rPr>
          <w:rFonts w:hint="eastAsia" w:hAnsi="宋体" w:cs="仿宋"/>
          <w:color w:val="auto"/>
          <w:highlight w:val="none"/>
        </w:rPr>
        <w:t>、实施监控功能。可通过RS485接口实施检测出各控制机的状态。</w:t>
      </w:r>
    </w:p>
    <w:p w14:paraId="1357BBC1">
      <w:pPr>
        <w:spacing w:line="400" w:lineRule="exact"/>
        <w:ind w:left="372" w:leftChars="177"/>
        <w:rPr>
          <w:rFonts w:hAnsi="宋体" w:cs="仿宋"/>
          <w:color w:val="auto"/>
          <w:highlight w:val="none"/>
        </w:rPr>
      </w:pPr>
      <w:r>
        <w:rPr>
          <w:rFonts w:hint="eastAsia" w:hAnsi="宋体" w:cs="仿宋"/>
          <w:color w:val="auto"/>
          <w:highlight w:val="none"/>
        </w:rPr>
        <w:t>6、权限设置功能。提供系统授权卡和授权密码，可任意设置系统其它管理人员的操作权限。</w:t>
      </w:r>
    </w:p>
    <w:p w14:paraId="27CA9F60">
      <w:pPr>
        <w:spacing w:line="400" w:lineRule="exact"/>
        <w:ind w:left="372" w:leftChars="177"/>
        <w:rPr>
          <w:rFonts w:hAnsi="宋体" w:cs="仿宋"/>
          <w:color w:val="auto"/>
          <w:highlight w:val="none"/>
        </w:rPr>
      </w:pPr>
      <w:r>
        <w:rPr>
          <w:rFonts w:hAnsi="宋体" w:cs="仿宋"/>
          <w:color w:val="auto"/>
          <w:highlight w:val="none"/>
        </w:rPr>
        <w:t>7</w:t>
      </w:r>
      <w:r>
        <w:rPr>
          <w:rFonts w:hint="eastAsia" w:hAnsi="宋体" w:cs="仿宋"/>
          <w:color w:val="auto"/>
          <w:highlight w:val="none"/>
        </w:rPr>
        <w:t>、多用户支持功能。通过系统管理员增加系统客户端，可达到数据多处共享的目的。</w:t>
      </w:r>
    </w:p>
    <w:p w14:paraId="2350EB8F">
      <w:pPr>
        <w:spacing w:line="400" w:lineRule="exact"/>
        <w:ind w:left="372" w:leftChars="177"/>
        <w:rPr>
          <w:rFonts w:hAnsi="宋体" w:cs="仿宋"/>
          <w:color w:val="auto"/>
          <w:highlight w:val="none"/>
        </w:rPr>
      </w:pPr>
      <w:r>
        <w:rPr>
          <w:rFonts w:hint="eastAsia" w:hAnsi="宋体" w:cs="仿宋"/>
          <w:color w:val="auto"/>
          <w:highlight w:val="none"/>
        </w:rPr>
        <w:t>8、完善的数据维护功能。包括数据库的导入导出、数据库的索引等。能实现自动号牌入库，可按时、月、年实现收费功能。</w:t>
      </w:r>
    </w:p>
    <w:p w14:paraId="7269A3F0">
      <w:pPr>
        <w:spacing w:line="400" w:lineRule="exact"/>
        <w:ind w:left="372" w:leftChars="177"/>
        <w:rPr>
          <w:rFonts w:hAnsi="宋体" w:cs="仿宋"/>
          <w:color w:val="auto"/>
          <w:highlight w:val="none"/>
        </w:rPr>
      </w:pPr>
      <w:r>
        <w:rPr>
          <w:rFonts w:hint="eastAsia" w:hAnsi="宋体" w:cs="仿宋"/>
          <w:color w:val="auto"/>
          <w:highlight w:val="none"/>
        </w:rPr>
        <w:t>9、必须具备与智泊南通对接的功能，包含：通停通付、共享预约、临停缴费接入的功能。</w:t>
      </w:r>
    </w:p>
    <w:p w14:paraId="59C329F8">
      <w:pPr>
        <w:pStyle w:val="4"/>
        <w:rPr>
          <w:color w:val="auto"/>
          <w:highlight w:val="none"/>
        </w:rPr>
      </w:pPr>
      <w:bookmarkStart w:id="117" w:name="_Toc13596"/>
      <w:r>
        <w:rPr>
          <w:color w:val="auto"/>
          <w:highlight w:val="none"/>
        </w:rPr>
        <w:t>3</w:t>
      </w:r>
      <w:r>
        <w:rPr>
          <w:rFonts w:hint="eastAsia"/>
          <w:color w:val="auto"/>
          <w:highlight w:val="none"/>
        </w:rPr>
        <w:t>.</w:t>
      </w:r>
      <w:r>
        <w:rPr>
          <w:color w:val="auto"/>
          <w:highlight w:val="none"/>
        </w:rPr>
        <w:t>3</w:t>
      </w:r>
      <w:r>
        <w:rPr>
          <w:rFonts w:hint="eastAsia"/>
          <w:color w:val="auto"/>
          <w:highlight w:val="none"/>
        </w:rPr>
        <w:t>人行闸通道系统</w:t>
      </w:r>
      <w:bookmarkEnd w:id="117"/>
    </w:p>
    <w:p w14:paraId="2F2DEBA2">
      <w:pPr>
        <w:pStyle w:val="5"/>
        <w:ind w:left="240" w:right="240"/>
        <w:rPr>
          <w:color w:val="auto"/>
          <w:highlight w:val="none"/>
        </w:rPr>
      </w:pPr>
      <w:bookmarkStart w:id="118" w:name="_Toc24176"/>
      <w:r>
        <w:rPr>
          <w:color w:val="auto"/>
          <w:highlight w:val="none"/>
        </w:rPr>
        <w:t>3</w:t>
      </w:r>
      <w:r>
        <w:rPr>
          <w:rFonts w:hint="eastAsia"/>
          <w:color w:val="auto"/>
          <w:highlight w:val="none"/>
        </w:rPr>
        <w:t>.</w:t>
      </w:r>
      <w:r>
        <w:rPr>
          <w:color w:val="auto"/>
          <w:highlight w:val="none"/>
        </w:rPr>
        <w:t>3</w:t>
      </w:r>
      <w:r>
        <w:rPr>
          <w:rFonts w:hint="eastAsia"/>
          <w:color w:val="auto"/>
          <w:highlight w:val="none"/>
        </w:rPr>
        <w:t>.</w:t>
      </w:r>
      <w:r>
        <w:rPr>
          <w:color w:val="auto"/>
          <w:highlight w:val="none"/>
        </w:rPr>
        <w:t>1</w:t>
      </w:r>
      <w:r>
        <w:rPr>
          <w:rFonts w:hint="eastAsia"/>
          <w:color w:val="auto"/>
          <w:highlight w:val="none"/>
        </w:rPr>
        <w:t>技术指标</w:t>
      </w:r>
      <w:bookmarkEnd w:id="118"/>
    </w:p>
    <w:p w14:paraId="0FB565D8">
      <w:pPr>
        <w:spacing w:line="400" w:lineRule="exact"/>
        <w:ind w:left="420" w:leftChars="200"/>
        <w:jc w:val="left"/>
        <w:rPr>
          <w:rFonts w:hAnsi="宋体" w:cs="仿宋"/>
          <w:color w:val="auto"/>
          <w:highlight w:val="none"/>
        </w:rPr>
      </w:pPr>
      <w:r>
        <w:rPr>
          <w:rFonts w:hint="eastAsia" w:hAnsi="宋体" w:cs="仿宋"/>
          <w:color w:val="auto"/>
          <w:highlight w:val="none"/>
        </w:rPr>
        <w:t>1、响应时间：≤2秒</w:t>
      </w:r>
    </w:p>
    <w:p w14:paraId="3D10C797">
      <w:pPr>
        <w:spacing w:line="400" w:lineRule="exact"/>
        <w:ind w:left="420" w:leftChars="200"/>
        <w:jc w:val="left"/>
        <w:rPr>
          <w:rFonts w:hAnsi="宋体" w:cs="仿宋"/>
          <w:color w:val="auto"/>
          <w:highlight w:val="none"/>
        </w:rPr>
      </w:pPr>
      <w:r>
        <w:rPr>
          <w:rFonts w:hint="eastAsia" w:hAnsi="宋体" w:cs="仿宋"/>
          <w:color w:val="auto"/>
          <w:highlight w:val="none"/>
        </w:rPr>
        <w:t>2、计时精度：≤5秒/天</w:t>
      </w:r>
    </w:p>
    <w:p w14:paraId="47C5C791">
      <w:pPr>
        <w:spacing w:line="400" w:lineRule="exact"/>
        <w:ind w:left="420" w:leftChars="200"/>
        <w:jc w:val="left"/>
        <w:rPr>
          <w:rFonts w:hAnsi="宋体" w:cs="仿宋"/>
          <w:color w:val="auto"/>
          <w:highlight w:val="none"/>
        </w:rPr>
      </w:pPr>
      <w:r>
        <w:rPr>
          <w:rFonts w:hint="eastAsia" w:hAnsi="宋体" w:cs="仿宋"/>
          <w:color w:val="auto"/>
          <w:highlight w:val="none"/>
        </w:rPr>
        <w:t>3、★误识率：≤1‰</w:t>
      </w:r>
    </w:p>
    <w:p w14:paraId="0985EC1B">
      <w:pPr>
        <w:spacing w:line="400" w:lineRule="exact"/>
        <w:ind w:left="420" w:leftChars="200"/>
        <w:jc w:val="left"/>
        <w:rPr>
          <w:rFonts w:hAnsi="宋体" w:cs="仿宋"/>
          <w:color w:val="auto"/>
          <w:highlight w:val="none"/>
        </w:rPr>
      </w:pPr>
      <w:r>
        <w:rPr>
          <w:rFonts w:hint="eastAsia" w:hAnsi="宋体" w:cs="仿宋"/>
          <w:color w:val="auto"/>
          <w:highlight w:val="none"/>
        </w:rPr>
        <w:t>4、感应识别距离3cm～15cm</w:t>
      </w:r>
    </w:p>
    <w:p w14:paraId="71BF86E5">
      <w:pPr>
        <w:spacing w:line="400" w:lineRule="exact"/>
        <w:ind w:left="420" w:leftChars="200"/>
        <w:jc w:val="left"/>
        <w:rPr>
          <w:rFonts w:hAnsi="宋体" w:cs="仿宋"/>
          <w:color w:val="auto"/>
          <w:highlight w:val="none"/>
        </w:rPr>
      </w:pPr>
      <w:r>
        <w:rPr>
          <w:rFonts w:hint="eastAsia" w:hAnsi="宋体" w:cs="仿宋"/>
          <w:color w:val="auto"/>
          <w:highlight w:val="none"/>
        </w:rPr>
        <w:t>5、电源电压：额定值的85%～115%</w:t>
      </w:r>
    </w:p>
    <w:p w14:paraId="5BA6FD25">
      <w:pPr>
        <w:spacing w:line="400" w:lineRule="exact"/>
        <w:ind w:left="420" w:leftChars="200"/>
        <w:jc w:val="left"/>
        <w:rPr>
          <w:rFonts w:hAnsi="宋体" w:cs="仿宋"/>
          <w:color w:val="auto"/>
          <w:highlight w:val="none"/>
        </w:rPr>
      </w:pPr>
      <w:r>
        <w:rPr>
          <w:rFonts w:hint="eastAsia" w:hAnsi="宋体" w:cs="仿宋"/>
          <w:color w:val="auto"/>
          <w:highlight w:val="none"/>
        </w:rPr>
        <w:t>6、备用电源：连续工作48小时</w:t>
      </w:r>
    </w:p>
    <w:p w14:paraId="304A5B52">
      <w:pPr>
        <w:ind w:firstLine="420"/>
        <w:rPr>
          <w:color w:val="auto"/>
          <w:sz w:val="20"/>
          <w:highlight w:val="none"/>
        </w:rPr>
      </w:pPr>
    </w:p>
    <w:p w14:paraId="2F9E1B54">
      <w:pPr>
        <w:pStyle w:val="5"/>
        <w:ind w:left="240" w:right="240"/>
        <w:rPr>
          <w:color w:val="auto"/>
          <w:highlight w:val="none"/>
        </w:rPr>
      </w:pPr>
      <w:bookmarkStart w:id="119" w:name="_Toc1337"/>
      <w:r>
        <w:rPr>
          <w:color w:val="auto"/>
          <w:highlight w:val="none"/>
        </w:rPr>
        <w:t>3</w:t>
      </w:r>
      <w:r>
        <w:rPr>
          <w:rFonts w:hint="eastAsia"/>
          <w:color w:val="auto"/>
          <w:highlight w:val="none"/>
        </w:rPr>
        <w:t>.</w:t>
      </w:r>
      <w:r>
        <w:rPr>
          <w:color w:val="auto"/>
          <w:highlight w:val="none"/>
        </w:rPr>
        <w:t>3</w:t>
      </w:r>
      <w:r>
        <w:rPr>
          <w:rFonts w:hint="eastAsia"/>
          <w:color w:val="auto"/>
          <w:highlight w:val="none"/>
        </w:rPr>
        <w:t>.</w:t>
      </w:r>
      <w:r>
        <w:rPr>
          <w:color w:val="auto"/>
          <w:highlight w:val="none"/>
        </w:rPr>
        <w:t>2</w:t>
      </w:r>
      <w:r>
        <w:rPr>
          <w:rFonts w:hint="eastAsia"/>
          <w:color w:val="auto"/>
          <w:highlight w:val="none"/>
        </w:rPr>
        <w:t>产品技术参数</w:t>
      </w:r>
      <w:bookmarkEnd w:id="119"/>
    </w:p>
    <w:p w14:paraId="5F8B2461">
      <w:pPr>
        <w:pStyle w:val="6"/>
        <w:rPr>
          <w:color w:val="auto"/>
          <w:highlight w:val="none"/>
        </w:rPr>
      </w:pPr>
      <w:bookmarkStart w:id="120" w:name="_Toc21777"/>
      <w:bookmarkStart w:id="121" w:name="_Ref161262739"/>
      <w:r>
        <w:rPr>
          <w:color w:val="auto"/>
          <w:highlight w:val="none"/>
        </w:rPr>
        <w:t>3</w:t>
      </w:r>
      <w:r>
        <w:rPr>
          <w:rFonts w:hint="eastAsia"/>
          <w:color w:val="auto"/>
          <w:highlight w:val="none"/>
        </w:rPr>
        <w:t>.</w:t>
      </w:r>
      <w:r>
        <w:rPr>
          <w:color w:val="auto"/>
          <w:highlight w:val="none"/>
        </w:rPr>
        <w:t>3</w:t>
      </w:r>
      <w:r>
        <w:rPr>
          <w:rFonts w:hint="eastAsia"/>
          <w:color w:val="auto"/>
          <w:highlight w:val="none"/>
        </w:rPr>
        <w:t>.</w:t>
      </w:r>
      <w:r>
        <w:rPr>
          <w:color w:val="auto"/>
          <w:highlight w:val="none"/>
        </w:rPr>
        <w:t>2</w:t>
      </w:r>
      <w:r>
        <w:rPr>
          <w:rFonts w:hint="eastAsia"/>
          <w:color w:val="auto"/>
          <w:highlight w:val="none"/>
        </w:rPr>
        <w:t>.1</w:t>
      </w:r>
      <w:bookmarkEnd w:id="120"/>
      <w:r>
        <w:rPr>
          <w:rFonts w:hint="eastAsia"/>
          <w:color w:val="auto"/>
          <w:highlight w:val="none"/>
        </w:rPr>
        <w:t>人员出入门闸（定制）</w:t>
      </w:r>
      <w:bookmarkEnd w:id="121"/>
    </w:p>
    <w:p w14:paraId="77FF8649">
      <w:pPr>
        <w:spacing w:line="400" w:lineRule="exact"/>
        <w:ind w:firstLine="482"/>
        <w:rPr>
          <w:rFonts w:hAnsi="宋体" w:cs="仿宋"/>
          <w:color w:val="auto"/>
          <w:highlight w:val="none"/>
        </w:rPr>
      </w:pPr>
      <w:r>
        <w:rPr>
          <w:rFonts w:hint="eastAsia" w:hAnsi="宋体" w:cs="仿宋"/>
          <w:color w:val="auto"/>
          <w:highlight w:val="none"/>
        </w:rPr>
        <w:t>1、开门模式: 支持遥控器、按键；</w:t>
      </w:r>
    </w:p>
    <w:p w14:paraId="20CF91B0">
      <w:pPr>
        <w:spacing w:line="400" w:lineRule="exact"/>
        <w:ind w:firstLine="482"/>
        <w:rPr>
          <w:rFonts w:hAnsi="宋体" w:cs="仿宋"/>
          <w:color w:val="auto"/>
          <w:highlight w:val="none"/>
        </w:rPr>
      </w:pPr>
      <w:r>
        <w:rPr>
          <w:rFonts w:hint="eastAsia" w:hAnsi="宋体" w:cs="仿宋"/>
          <w:color w:val="auto"/>
          <w:highlight w:val="none"/>
        </w:rPr>
        <w:t>2、驱动电机: 直流减速电机；</w:t>
      </w:r>
    </w:p>
    <w:p w14:paraId="5614C775">
      <w:pPr>
        <w:spacing w:line="400" w:lineRule="exact"/>
        <w:ind w:firstLine="482"/>
        <w:rPr>
          <w:rFonts w:hAnsi="宋体" w:cs="仿宋"/>
          <w:color w:val="auto"/>
          <w:highlight w:val="none"/>
        </w:rPr>
      </w:pPr>
      <w:r>
        <w:rPr>
          <w:rFonts w:hint="eastAsia" w:hAnsi="宋体" w:cs="仿宋"/>
          <w:color w:val="auto"/>
          <w:highlight w:val="none"/>
        </w:rPr>
        <w:t>3、材质: 门体采用冷轧板，主立柱热镀锌钢管≥100*100*1.5mm，门扇边框热镀锌钢管≥</w:t>
      </w:r>
      <w:r>
        <w:rPr>
          <w:rFonts w:hAnsi="宋体" w:cs="仿宋"/>
          <w:color w:val="auto"/>
          <w:highlight w:val="none"/>
        </w:rPr>
        <w:t>4</w:t>
      </w:r>
      <w:r>
        <w:rPr>
          <w:rFonts w:hint="eastAsia" w:hAnsi="宋体" w:cs="仿宋"/>
          <w:color w:val="auto"/>
          <w:highlight w:val="none"/>
        </w:rPr>
        <w:t>0*</w:t>
      </w:r>
      <w:r>
        <w:rPr>
          <w:rFonts w:hAnsi="宋体" w:cs="仿宋"/>
          <w:color w:val="auto"/>
          <w:highlight w:val="none"/>
        </w:rPr>
        <w:t>4</w:t>
      </w:r>
      <w:r>
        <w:rPr>
          <w:rFonts w:hint="eastAsia" w:hAnsi="宋体" w:cs="仿宋"/>
          <w:color w:val="auto"/>
          <w:highlight w:val="none"/>
        </w:rPr>
        <w:t>0*1.2mm，门扇格栅立柱热镀锌钢管≥2</w:t>
      </w:r>
      <w:r>
        <w:rPr>
          <w:rFonts w:hAnsi="宋体" w:cs="仿宋"/>
          <w:color w:val="auto"/>
          <w:highlight w:val="none"/>
        </w:rPr>
        <w:t>0</w:t>
      </w:r>
      <w:r>
        <w:rPr>
          <w:rFonts w:hint="eastAsia" w:hAnsi="宋体" w:cs="仿宋"/>
          <w:color w:val="auto"/>
          <w:highlight w:val="none"/>
        </w:rPr>
        <w:t>*2</w:t>
      </w:r>
      <w:r>
        <w:rPr>
          <w:rFonts w:hAnsi="宋体" w:cs="仿宋"/>
          <w:color w:val="auto"/>
          <w:highlight w:val="none"/>
        </w:rPr>
        <w:t>0</w:t>
      </w:r>
      <w:r>
        <w:rPr>
          <w:rFonts w:hint="eastAsia" w:hAnsi="宋体" w:cs="仿宋"/>
          <w:color w:val="auto"/>
          <w:highlight w:val="none"/>
        </w:rPr>
        <w:t>*1.</w:t>
      </w:r>
      <w:r>
        <w:rPr>
          <w:rFonts w:hAnsi="宋体" w:cs="仿宋"/>
          <w:color w:val="auto"/>
          <w:highlight w:val="none"/>
        </w:rPr>
        <w:t>0</w:t>
      </w:r>
      <w:r>
        <w:rPr>
          <w:rFonts w:hint="eastAsia" w:hAnsi="宋体" w:cs="仿宋"/>
          <w:color w:val="auto"/>
          <w:highlight w:val="none"/>
        </w:rPr>
        <w:t>mm；黑色喷塑；</w:t>
      </w:r>
    </w:p>
    <w:p w14:paraId="7634A805">
      <w:pPr>
        <w:spacing w:line="400" w:lineRule="exact"/>
        <w:ind w:firstLine="482"/>
        <w:rPr>
          <w:rFonts w:hAnsi="宋体" w:cs="仿宋"/>
          <w:color w:val="auto"/>
          <w:highlight w:val="none"/>
        </w:rPr>
      </w:pPr>
      <w:r>
        <w:rPr>
          <w:rFonts w:hint="eastAsia" w:hAnsi="宋体" w:cs="仿宋"/>
          <w:color w:val="auto"/>
          <w:highlight w:val="none"/>
        </w:rPr>
        <w:t>4、电机使用寿命不低于:100万次；</w:t>
      </w:r>
    </w:p>
    <w:p w14:paraId="5D1EC3D2">
      <w:pPr>
        <w:spacing w:line="400" w:lineRule="exact"/>
        <w:ind w:firstLine="482"/>
        <w:rPr>
          <w:rFonts w:hAnsi="宋体" w:cs="仿宋"/>
          <w:color w:val="auto"/>
          <w:highlight w:val="none"/>
        </w:rPr>
      </w:pPr>
      <w:r>
        <w:rPr>
          <w:rFonts w:hint="eastAsia" w:hAnsi="宋体" w:cs="仿宋"/>
          <w:color w:val="auto"/>
          <w:highlight w:val="none"/>
        </w:rPr>
        <w:t>5、通道宽度:800mm-1400mm（尺寸可按小区人行出口实际宽度调节）；</w:t>
      </w:r>
    </w:p>
    <w:p w14:paraId="004B40CF">
      <w:pPr>
        <w:spacing w:line="400" w:lineRule="exact"/>
        <w:ind w:firstLine="482"/>
        <w:rPr>
          <w:rFonts w:hAnsi="宋体" w:cs="仿宋"/>
          <w:color w:val="auto"/>
          <w:highlight w:val="none"/>
        </w:rPr>
      </w:pPr>
      <w:r>
        <w:rPr>
          <w:rFonts w:hint="eastAsia" w:hAnsi="宋体" w:cs="仿宋"/>
          <w:color w:val="auto"/>
          <w:highlight w:val="none"/>
        </w:rPr>
        <w:t>6、支持关门力度、开门保持时间调节；支持时间设置；</w:t>
      </w:r>
    </w:p>
    <w:p w14:paraId="6201FFCB">
      <w:pPr>
        <w:spacing w:line="400" w:lineRule="exact"/>
        <w:ind w:firstLine="482"/>
        <w:rPr>
          <w:rFonts w:hAnsi="宋体" w:cs="仿宋"/>
          <w:color w:val="auto"/>
          <w:highlight w:val="none"/>
        </w:rPr>
      </w:pPr>
      <w:r>
        <w:rPr>
          <w:rFonts w:hint="eastAsia" w:hAnsi="宋体" w:cs="仿宋"/>
          <w:color w:val="auto"/>
          <w:highlight w:val="none"/>
        </w:rPr>
        <w:t>7、生物识别组件：室外型7寸液晶触摸屏，支持人脸、IC卡、密码、二维码等多种识别认证方式；人脸验证准确率不低于99.5%；</w:t>
      </w:r>
    </w:p>
    <w:p w14:paraId="01BEEA3D">
      <w:pPr>
        <w:spacing w:line="400" w:lineRule="exact"/>
        <w:ind w:firstLine="482"/>
        <w:rPr>
          <w:rFonts w:hAnsi="宋体" w:cs="仿宋"/>
          <w:color w:val="auto"/>
          <w:highlight w:val="none"/>
        </w:rPr>
      </w:pPr>
      <w:r>
        <w:rPr>
          <w:rFonts w:hint="eastAsia" w:hAnsi="宋体" w:cs="仿宋"/>
          <w:color w:val="auto"/>
          <w:highlight w:val="none"/>
        </w:rPr>
        <w:t>8、支持在没有用户使用时自动切换到屏保或息屏待机状态，当物体靠近时自动唤醒待机设备，且唤醒距离可调节；</w:t>
      </w:r>
    </w:p>
    <w:p w14:paraId="142CDFB5">
      <w:pPr>
        <w:spacing w:line="400" w:lineRule="exact"/>
        <w:ind w:firstLine="482"/>
        <w:rPr>
          <w:rFonts w:hAnsi="宋体" w:cs="仿宋"/>
          <w:color w:val="auto"/>
          <w:highlight w:val="none"/>
        </w:rPr>
      </w:pPr>
      <w:r>
        <w:rPr>
          <w:rFonts w:hint="eastAsia" w:hAnsi="宋体" w:cs="仿宋"/>
          <w:color w:val="auto"/>
          <w:highlight w:val="none"/>
        </w:rPr>
        <w:t>9、含安装配套支架及辅材。</w:t>
      </w:r>
    </w:p>
    <w:p w14:paraId="188EE96B">
      <w:pPr>
        <w:ind w:firstLine="480"/>
        <w:rPr>
          <w:rFonts w:ascii="仿宋" w:hAnsi="仿宋" w:eastAsia="仿宋" w:cs="仿宋"/>
          <w:color w:val="auto"/>
          <w:highlight w:val="none"/>
        </w:rPr>
      </w:pPr>
    </w:p>
    <w:p w14:paraId="3D9D5D00">
      <w:pPr>
        <w:pStyle w:val="6"/>
        <w:rPr>
          <w:color w:val="auto"/>
          <w:highlight w:val="none"/>
        </w:rPr>
      </w:pPr>
      <w:bookmarkStart w:id="122" w:name="_Toc27595"/>
      <w:bookmarkStart w:id="123" w:name="_Ref161262743"/>
      <w:r>
        <w:rPr>
          <w:color w:val="auto"/>
          <w:highlight w:val="none"/>
        </w:rPr>
        <w:t>3</w:t>
      </w:r>
      <w:r>
        <w:rPr>
          <w:rFonts w:hint="eastAsia"/>
          <w:color w:val="auto"/>
          <w:highlight w:val="none"/>
        </w:rPr>
        <w:t>.</w:t>
      </w:r>
      <w:r>
        <w:rPr>
          <w:color w:val="auto"/>
          <w:highlight w:val="none"/>
        </w:rPr>
        <w:t>3</w:t>
      </w:r>
      <w:r>
        <w:rPr>
          <w:rFonts w:hint="eastAsia"/>
          <w:color w:val="auto"/>
          <w:highlight w:val="none"/>
        </w:rPr>
        <w:t>.</w:t>
      </w:r>
      <w:r>
        <w:rPr>
          <w:color w:val="auto"/>
          <w:highlight w:val="none"/>
        </w:rPr>
        <w:t>2</w:t>
      </w:r>
      <w:r>
        <w:rPr>
          <w:rFonts w:hint="eastAsia"/>
          <w:color w:val="auto"/>
          <w:highlight w:val="none"/>
        </w:rPr>
        <w:t>.2生物特征识别门禁一体机（含遮阳护罩）</w:t>
      </w:r>
      <w:bookmarkEnd w:id="122"/>
      <w:bookmarkEnd w:id="123"/>
    </w:p>
    <w:p w14:paraId="5905AC81">
      <w:pPr>
        <w:spacing w:line="400" w:lineRule="exact"/>
        <w:ind w:firstLine="420" w:firstLineChars="200"/>
        <w:rPr>
          <w:rFonts w:hAnsi="宋体" w:cs="仿宋"/>
          <w:color w:val="auto"/>
          <w:highlight w:val="none"/>
        </w:rPr>
      </w:pPr>
      <w:r>
        <w:rPr>
          <w:rFonts w:hint="eastAsia" w:hAnsi="宋体" w:cs="仿宋"/>
          <w:color w:val="auto"/>
          <w:highlight w:val="none"/>
        </w:rPr>
        <w:t>1、★设备外观：采用7英寸LCD触摸显示屏，200万像素双目摄像头，面部识别距离0.2-3m，支持照片视频防假；</w:t>
      </w:r>
    </w:p>
    <w:p w14:paraId="49B7B318">
      <w:pPr>
        <w:spacing w:line="400" w:lineRule="exact"/>
        <w:ind w:firstLine="420" w:firstLineChars="200"/>
        <w:rPr>
          <w:rFonts w:hAnsi="宋体" w:cs="仿宋"/>
          <w:color w:val="auto"/>
          <w:highlight w:val="none"/>
        </w:rPr>
      </w:pPr>
      <w:r>
        <w:rPr>
          <w:rFonts w:hint="eastAsia" w:hAnsi="宋体" w:cs="仿宋"/>
          <w:color w:val="auto"/>
          <w:highlight w:val="none"/>
        </w:rPr>
        <w:t>2、设备容量：支持6000张人脸白名单，1：N人脸比对时间＜0.2S/人，支持6000张卡片，50000条记录；</w:t>
      </w:r>
    </w:p>
    <w:p w14:paraId="275E7E94">
      <w:pPr>
        <w:spacing w:line="400" w:lineRule="exact"/>
        <w:ind w:firstLine="420" w:firstLineChars="200"/>
        <w:rPr>
          <w:rFonts w:hAnsi="宋体" w:cs="仿宋"/>
          <w:color w:val="auto"/>
          <w:highlight w:val="none"/>
        </w:rPr>
      </w:pPr>
      <w:r>
        <w:rPr>
          <w:rFonts w:hint="eastAsia" w:hAnsi="宋体" w:cs="仿宋"/>
          <w:color w:val="auto"/>
          <w:highlight w:val="none"/>
        </w:rPr>
        <w:t>3、认证方式：支持人脸、刷卡、密码（超级密码）及其组合的认证方式；可读取Mifare卡（IC卡）、CPU卡序列号/内容、身份证序列号；</w:t>
      </w:r>
    </w:p>
    <w:p w14:paraId="6F2ACBF4">
      <w:pPr>
        <w:spacing w:line="400" w:lineRule="exact"/>
        <w:ind w:firstLine="420" w:firstLineChars="200"/>
        <w:rPr>
          <w:rFonts w:hAnsi="宋体" w:cs="仿宋"/>
          <w:color w:val="auto"/>
          <w:highlight w:val="none"/>
        </w:rPr>
      </w:pPr>
      <w:r>
        <w:rPr>
          <w:rFonts w:hint="eastAsia" w:hAnsi="宋体" w:cs="仿宋"/>
          <w:color w:val="auto"/>
          <w:highlight w:val="none"/>
        </w:rPr>
        <w:t>4、通讯方式：上行通讯为TCP/IP；支持外接RS485，Wiegand副读卡器（不支持外接指纹读卡器）；基线支持标准韦根34/26；</w:t>
      </w:r>
    </w:p>
    <w:p w14:paraId="57DF47D3">
      <w:pPr>
        <w:spacing w:line="400" w:lineRule="exact"/>
        <w:ind w:firstLine="420" w:firstLineChars="200"/>
        <w:rPr>
          <w:rFonts w:hAnsi="宋体" w:cs="仿宋"/>
          <w:color w:val="auto"/>
          <w:highlight w:val="none"/>
        </w:rPr>
      </w:pPr>
      <w:r>
        <w:rPr>
          <w:rFonts w:hAnsi="宋体" w:cs="仿宋"/>
          <w:color w:val="auto"/>
          <w:highlight w:val="none"/>
        </w:rPr>
        <w:t>5</w:t>
      </w:r>
      <w:r>
        <w:rPr>
          <w:rFonts w:hint="eastAsia" w:hAnsi="宋体" w:cs="仿宋"/>
          <w:color w:val="auto"/>
          <w:highlight w:val="none"/>
        </w:rPr>
        <w:t>、输入接口：LAN×1、RS485×1、wiegand × 1、USB×1、门磁×1、报警输入×2、防拆×1、开门按钮×1；</w:t>
      </w:r>
    </w:p>
    <w:p w14:paraId="2BD350FB">
      <w:pPr>
        <w:spacing w:line="400" w:lineRule="exact"/>
        <w:ind w:firstLine="420" w:firstLineChars="200"/>
        <w:rPr>
          <w:rFonts w:hAnsi="宋体" w:cs="仿宋"/>
          <w:color w:val="auto"/>
          <w:highlight w:val="none"/>
        </w:rPr>
      </w:pPr>
      <w:r>
        <w:rPr>
          <w:rFonts w:hAnsi="宋体" w:cs="仿宋"/>
          <w:color w:val="auto"/>
          <w:highlight w:val="none"/>
        </w:rPr>
        <w:t>6</w:t>
      </w:r>
      <w:r>
        <w:rPr>
          <w:rFonts w:hint="eastAsia" w:hAnsi="宋体" w:cs="仿宋"/>
          <w:color w:val="auto"/>
          <w:highlight w:val="none"/>
        </w:rPr>
        <w:t>、输出接口：电锁×1个，报警输出×1个；</w:t>
      </w:r>
    </w:p>
    <w:p w14:paraId="64D6732A">
      <w:pPr>
        <w:spacing w:line="400" w:lineRule="exact"/>
        <w:ind w:firstLine="420" w:firstLineChars="200"/>
        <w:rPr>
          <w:rFonts w:hAnsi="宋体" w:cs="仿宋"/>
          <w:color w:val="auto"/>
          <w:highlight w:val="none"/>
        </w:rPr>
      </w:pPr>
      <w:r>
        <w:rPr>
          <w:rFonts w:hAnsi="宋体" w:cs="仿宋"/>
          <w:color w:val="auto"/>
          <w:highlight w:val="none"/>
        </w:rPr>
        <w:t>7</w:t>
      </w:r>
      <w:r>
        <w:rPr>
          <w:rFonts w:hint="eastAsia" w:hAnsi="宋体" w:cs="仿宋"/>
          <w:color w:val="auto"/>
          <w:highlight w:val="none"/>
        </w:rPr>
        <w:t>、工作电压： DC 12V/2A，不自带电源；</w:t>
      </w:r>
    </w:p>
    <w:p w14:paraId="120D0520">
      <w:pPr>
        <w:spacing w:line="400" w:lineRule="exact"/>
        <w:ind w:firstLine="420" w:firstLineChars="200"/>
        <w:rPr>
          <w:rFonts w:hAnsi="宋体" w:cs="仿宋"/>
          <w:color w:val="auto"/>
          <w:highlight w:val="none"/>
        </w:rPr>
      </w:pPr>
      <w:r>
        <w:rPr>
          <w:rFonts w:hAnsi="宋体" w:cs="仿宋"/>
          <w:color w:val="auto"/>
          <w:highlight w:val="none"/>
        </w:rPr>
        <w:t>8</w:t>
      </w:r>
      <w:r>
        <w:rPr>
          <w:rFonts w:hint="eastAsia" w:hAnsi="宋体" w:cs="仿宋"/>
          <w:color w:val="auto"/>
          <w:highlight w:val="none"/>
        </w:rPr>
        <w:t>、使用环境：室内外环境，室外使用必须搭配遮阳罩；</w:t>
      </w:r>
    </w:p>
    <w:p w14:paraId="188A6190">
      <w:pPr>
        <w:spacing w:line="400" w:lineRule="exact"/>
        <w:ind w:firstLine="420" w:firstLineChars="200"/>
        <w:rPr>
          <w:rFonts w:hAnsi="宋体" w:cs="仿宋"/>
          <w:color w:val="auto"/>
          <w:highlight w:val="none"/>
        </w:rPr>
      </w:pPr>
      <w:r>
        <w:rPr>
          <w:rFonts w:hAnsi="宋体" w:cs="仿宋"/>
          <w:color w:val="auto"/>
          <w:highlight w:val="none"/>
        </w:rPr>
        <w:t>9</w:t>
      </w:r>
      <w:r>
        <w:rPr>
          <w:rFonts w:hint="eastAsia" w:hAnsi="宋体" w:cs="仿宋"/>
          <w:color w:val="auto"/>
          <w:highlight w:val="none"/>
        </w:rPr>
        <w:t>、安装方式：标配金属安装挂板，支持明装、86底盒安装；</w:t>
      </w:r>
    </w:p>
    <w:p w14:paraId="0FCD88FD">
      <w:pPr>
        <w:spacing w:line="400" w:lineRule="exact"/>
        <w:ind w:firstLine="420" w:firstLineChars="200"/>
        <w:rPr>
          <w:rFonts w:hAnsi="宋体" w:cs="仿宋"/>
          <w:color w:val="auto"/>
          <w:highlight w:val="none"/>
        </w:rPr>
      </w:pPr>
    </w:p>
    <w:p w14:paraId="5B0D03D0">
      <w:pPr>
        <w:pStyle w:val="6"/>
        <w:rPr>
          <w:color w:val="auto"/>
          <w:highlight w:val="none"/>
        </w:rPr>
      </w:pPr>
      <w:bookmarkStart w:id="124" w:name="_Toc22090"/>
      <w:r>
        <w:rPr>
          <w:color w:val="auto"/>
          <w:highlight w:val="none"/>
        </w:rPr>
        <w:t>3</w:t>
      </w:r>
      <w:r>
        <w:rPr>
          <w:rFonts w:hint="eastAsia"/>
          <w:color w:val="auto"/>
          <w:highlight w:val="none"/>
        </w:rPr>
        <w:t>.</w:t>
      </w:r>
      <w:r>
        <w:rPr>
          <w:color w:val="auto"/>
          <w:highlight w:val="none"/>
        </w:rPr>
        <w:t>3.2</w:t>
      </w:r>
      <w:r>
        <w:rPr>
          <w:rFonts w:hint="eastAsia"/>
          <w:color w:val="auto"/>
          <w:highlight w:val="none"/>
        </w:rPr>
        <w:t>.3出门按钮立柱</w:t>
      </w:r>
      <w:bookmarkEnd w:id="124"/>
    </w:p>
    <w:p w14:paraId="1D581B5B">
      <w:pPr>
        <w:spacing w:line="400" w:lineRule="exact"/>
        <w:ind w:firstLine="480"/>
        <w:rPr>
          <w:rFonts w:hAnsi="宋体" w:cs="仿宋"/>
          <w:color w:val="auto"/>
          <w:highlight w:val="none"/>
        </w:rPr>
      </w:pPr>
      <w:r>
        <w:rPr>
          <w:rFonts w:hint="eastAsia" w:hAnsi="宋体" w:cs="仿宋"/>
          <w:color w:val="auto"/>
          <w:highlight w:val="none"/>
        </w:rPr>
        <w:t>集成开关按钮，配合</w:t>
      </w:r>
      <w:r>
        <w:rPr>
          <w:rFonts w:hint="eastAsia"/>
          <w:color w:val="auto"/>
          <w:highlight w:val="none"/>
        </w:rPr>
        <w:t>人员出入门闸</w:t>
      </w:r>
      <w:r>
        <w:rPr>
          <w:rFonts w:hint="eastAsia" w:hAnsi="宋体" w:cs="仿宋"/>
          <w:color w:val="auto"/>
          <w:highlight w:val="none"/>
        </w:rPr>
        <w:t xml:space="preserve">使用 </w:t>
      </w:r>
    </w:p>
    <w:p w14:paraId="581E2EE6">
      <w:pPr>
        <w:spacing w:line="400" w:lineRule="exact"/>
        <w:ind w:firstLine="480"/>
        <w:rPr>
          <w:rFonts w:hAnsi="宋体" w:cs="仿宋"/>
          <w:color w:val="auto"/>
          <w:highlight w:val="none"/>
        </w:rPr>
      </w:pPr>
      <w:r>
        <w:rPr>
          <w:rFonts w:hint="eastAsia" w:hAnsi="宋体" w:cs="仿宋"/>
          <w:color w:val="auto"/>
          <w:highlight w:val="none"/>
        </w:rPr>
        <w:t>材质：镀锌板/T=1.2mm</w:t>
      </w:r>
    </w:p>
    <w:p w14:paraId="18FA1A47">
      <w:pPr>
        <w:spacing w:line="400" w:lineRule="exact"/>
        <w:ind w:firstLine="480"/>
        <w:rPr>
          <w:rFonts w:hAnsi="宋体" w:cs="仿宋"/>
          <w:color w:val="auto"/>
          <w:highlight w:val="none"/>
        </w:rPr>
      </w:pPr>
      <w:r>
        <w:rPr>
          <w:rFonts w:hint="eastAsia" w:hAnsi="宋体" w:cs="仿宋"/>
          <w:color w:val="auto"/>
          <w:highlight w:val="none"/>
        </w:rPr>
        <w:t>工作温度：-2O℃--65℃</w:t>
      </w:r>
    </w:p>
    <w:p w14:paraId="4DCEDEC6">
      <w:pPr>
        <w:pStyle w:val="6"/>
        <w:rPr>
          <w:color w:val="auto"/>
          <w:highlight w:val="none"/>
        </w:rPr>
      </w:pPr>
      <w:bookmarkStart w:id="125" w:name="_Toc1660"/>
      <w:bookmarkStart w:id="126" w:name="_Ref161262751"/>
      <w:bookmarkStart w:id="127" w:name="_Ref161262756"/>
      <w:r>
        <w:rPr>
          <w:color w:val="auto"/>
          <w:highlight w:val="none"/>
        </w:rPr>
        <w:t>3</w:t>
      </w:r>
      <w:r>
        <w:rPr>
          <w:rFonts w:hint="eastAsia"/>
          <w:color w:val="auto"/>
          <w:highlight w:val="none"/>
        </w:rPr>
        <w:t>.</w:t>
      </w:r>
      <w:r>
        <w:rPr>
          <w:color w:val="auto"/>
          <w:highlight w:val="none"/>
        </w:rPr>
        <w:t>3</w:t>
      </w:r>
      <w:r>
        <w:rPr>
          <w:rFonts w:hint="eastAsia"/>
          <w:color w:val="auto"/>
          <w:highlight w:val="none"/>
        </w:rPr>
        <w:t>.</w:t>
      </w:r>
      <w:r>
        <w:rPr>
          <w:color w:val="auto"/>
          <w:highlight w:val="none"/>
        </w:rPr>
        <w:t>2</w:t>
      </w:r>
      <w:r>
        <w:rPr>
          <w:rFonts w:hint="eastAsia"/>
          <w:color w:val="auto"/>
          <w:highlight w:val="none"/>
        </w:rPr>
        <w:t>.4生物信息采集仪</w:t>
      </w:r>
      <w:bookmarkEnd w:id="125"/>
      <w:bookmarkEnd w:id="126"/>
      <w:bookmarkEnd w:id="127"/>
    </w:p>
    <w:p w14:paraId="144528A0">
      <w:pPr>
        <w:spacing w:line="400" w:lineRule="exact"/>
        <w:ind w:firstLine="482"/>
        <w:rPr>
          <w:rFonts w:hAnsi="宋体" w:cs="仿宋"/>
          <w:color w:val="auto"/>
          <w:highlight w:val="none"/>
        </w:rPr>
      </w:pPr>
      <w:r>
        <w:rPr>
          <w:rFonts w:hint="eastAsia" w:hAnsi="宋体" w:cs="仿宋"/>
          <w:color w:val="auto"/>
          <w:highlight w:val="none"/>
        </w:rPr>
        <w:t>1、触摸显示屏，屏幕分辨率800×480；</w:t>
      </w:r>
    </w:p>
    <w:p w14:paraId="3C343BAC">
      <w:pPr>
        <w:spacing w:line="400" w:lineRule="exact"/>
        <w:ind w:firstLine="482"/>
        <w:rPr>
          <w:rFonts w:hAnsi="宋体" w:cs="仿宋"/>
          <w:color w:val="auto"/>
          <w:highlight w:val="none"/>
        </w:rPr>
      </w:pPr>
      <w:r>
        <w:rPr>
          <w:rFonts w:hint="eastAsia" w:hAnsi="宋体" w:cs="仿宋"/>
          <w:color w:val="auto"/>
          <w:highlight w:val="none"/>
        </w:rPr>
        <w:t>2、采用200万双目摄像头，有照片视频防假功能；</w:t>
      </w:r>
    </w:p>
    <w:p w14:paraId="3AE1FC24">
      <w:pPr>
        <w:spacing w:line="400" w:lineRule="exact"/>
        <w:ind w:firstLine="482"/>
        <w:rPr>
          <w:rFonts w:hAnsi="宋体" w:cs="仿宋"/>
          <w:color w:val="auto"/>
          <w:highlight w:val="none"/>
        </w:rPr>
      </w:pPr>
      <w:r>
        <w:rPr>
          <w:rFonts w:hint="eastAsia" w:hAnsi="宋体" w:cs="仿宋"/>
          <w:color w:val="auto"/>
          <w:highlight w:val="none"/>
        </w:rPr>
        <w:t>★3、支持人脸采集、指纹采集、卡片录入；</w:t>
      </w:r>
    </w:p>
    <w:p w14:paraId="0A92D5EF">
      <w:pPr>
        <w:spacing w:line="400" w:lineRule="exact"/>
        <w:ind w:firstLine="482"/>
        <w:rPr>
          <w:rFonts w:hAnsi="宋体" w:cs="仿宋"/>
          <w:color w:val="auto"/>
          <w:highlight w:val="none"/>
        </w:rPr>
      </w:pPr>
      <w:r>
        <w:rPr>
          <w:rFonts w:hint="eastAsia" w:hAnsi="宋体" w:cs="仿宋"/>
          <w:color w:val="auto"/>
          <w:highlight w:val="none"/>
        </w:rPr>
        <w:t>4、支持有线网络、无线WiFi、USB口通信；</w:t>
      </w:r>
    </w:p>
    <w:p w14:paraId="3E25F808">
      <w:pPr>
        <w:spacing w:line="400" w:lineRule="exact"/>
        <w:ind w:firstLine="482"/>
        <w:rPr>
          <w:rFonts w:hAnsi="宋体" w:cs="仿宋"/>
          <w:color w:val="auto"/>
          <w:highlight w:val="none"/>
        </w:rPr>
      </w:pPr>
      <w:r>
        <w:rPr>
          <w:rFonts w:hint="eastAsia" w:hAnsi="宋体" w:cs="仿宋"/>
          <w:color w:val="auto"/>
          <w:highlight w:val="none"/>
        </w:rPr>
        <w:t>5、支持在线采集，通过网络协议或USB口对接到平台，平台进行在线采集，采集信息实时上传；</w:t>
      </w:r>
    </w:p>
    <w:p w14:paraId="51A92C50">
      <w:pPr>
        <w:spacing w:line="400" w:lineRule="exact"/>
        <w:ind w:firstLine="482"/>
        <w:rPr>
          <w:rFonts w:hAnsi="宋体" w:cs="仿宋"/>
          <w:color w:val="auto"/>
          <w:highlight w:val="none"/>
        </w:rPr>
      </w:pPr>
      <w:r>
        <w:rPr>
          <w:rFonts w:hint="eastAsia" w:hAnsi="宋体" w:cs="仿宋"/>
          <w:color w:val="auto"/>
          <w:highlight w:val="none"/>
        </w:rPr>
        <w:t>6、工作电压：DC12V/1.5A (自带电源适配器）；</w:t>
      </w:r>
    </w:p>
    <w:p w14:paraId="6215D7FF">
      <w:pPr>
        <w:pStyle w:val="4"/>
        <w:rPr>
          <w:color w:val="auto"/>
          <w:highlight w:val="none"/>
        </w:rPr>
      </w:pPr>
      <w:r>
        <w:rPr>
          <w:color w:val="auto"/>
          <w:highlight w:val="none"/>
        </w:rPr>
        <w:t>3</w:t>
      </w:r>
      <w:r>
        <w:rPr>
          <w:rFonts w:hint="eastAsia"/>
          <w:color w:val="auto"/>
          <w:highlight w:val="none"/>
        </w:rPr>
        <w:t>.</w:t>
      </w:r>
      <w:r>
        <w:rPr>
          <w:color w:val="auto"/>
          <w:highlight w:val="none"/>
        </w:rPr>
        <w:t>4</w:t>
      </w:r>
      <w:r>
        <w:rPr>
          <w:rFonts w:hint="eastAsia"/>
          <w:color w:val="auto"/>
          <w:highlight w:val="none"/>
        </w:rPr>
        <w:t>本小区监控观察室（客户端）</w:t>
      </w:r>
    </w:p>
    <w:p w14:paraId="7B0C30CB">
      <w:pPr>
        <w:pStyle w:val="5"/>
        <w:ind w:left="240" w:right="240"/>
        <w:rPr>
          <w:color w:val="auto"/>
          <w:highlight w:val="none"/>
        </w:rPr>
      </w:pPr>
      <w:r>
        <w:rPr>
          <w:color w:val="auto"/>
          <w:highlight w:val="none"/>
        </w:rPr>
        <w:t>3</w:t>
      </w:r>
      <w:r>
        <w:rPr>
          <w:rFonts w:hint="eastAsia"/>
          <w:color w:val="auto"/>
          <w:highlight w:val="none"/>
        </w:rPr>
        <w:t>.</w:t>
      </w:r>
      <w:r>
        <w:rPr>
          <w:color w:val="auto"/>
          <w:highlight w:val="none"/>
        </w:rPr>
        <w:t>4</w:t>
      </w:r>
      <w:r>
        <w:rPr>
          <w:rFonts w:hint="eastAsia"/>
          <w:color w:val="auto"/>
          <w:highlight w:val="none"/>
        </w:rPr>
        <w:t>.</w:t>
      </w:r>
      <w:r>
        <w:rPr>
          <w:color w:val="auto"/>
          <w:highlight w:val="none"/>
        </w:rPr>
        <w:t>1</w:t>
      </w:r>
      <w:r>
        <w:rPr>
          <w:rFonts w:hint="eastAsia"/>
          <w:color w:val="auto"/>
          <w:highlight w:val="none"/>
        </w:rPr>
        <w:t>产品技术参数要求</w:t>
      </w:r>
    </w:p>
    <w:p w14:paraId="1DB8CFD0">
      <w:pPr>
        <w:pStyle w:val="6"/>
        <w:rPr>
          <w:color w:val="auto"/>
          <w:highlight w:val="none"/>
        </w:rPr>
      </w:pPr>
      <w:bookmarkStart w:id="128" w:name="_Ref161262705"/>
      <w:r>
        <w:rPr>
          <w:color w:val="auto"/>
          <w:highlight w:val="none"/>
        </w:rPr>
        <w:t>3</w:t>
      </w:r>
      <w:r>
        <w:rPr>
          <w:rFonts w:hint="eastAsia"/>
          <w:color w:val="auto"/>
          <w:highlight w:val="none"/>
        </w:rPr>
        <w:t>.</w:t>
      </w:r>
      <w:r>
        <w:rPr>
          <w:color w:val="auto"/>
          <w:highlight w:val="none"/>
        </w:rPr>
        <w:t>4</w:t>
      </w:r>
      <w:r>
        <w:rPr>
          <w:rFonts w:hint="eastAsia"/>
          <w:color w:val="auto"/>
          <w:highlight w:val="none"/>
        </w:rPr>
        <w:t>.</w:t>
      </w:r>
      <w:r>
        <w:rPr>
          <w:color w:val="auto"/>
          <w:highlight w:val="none"/>
        </w:rPr>
        <w:t>1</w:t>
      </w:r>
      <w:r>
        <w:rPr>
          <w:rFonts w:hint="eastAsia"/>
          <w:color w:val="auto"/>
          <w:highlight w:val="none"/>
        </w:rPr>
        <w:t>.1</w:t>
      </w:r>
      <w:bookmarkEnd w:id="128"/>
      <w:r>
        <w:rPr>
          <w:rFonts w:hint="eastAsia"/>
          <w:color w:val="auto"/>
          <w:highlight w:val="none"/>
        </w:rPr>
        <w:t>显示</w:t>
      </w:r>
    </w:p>
    <w:p w14:paraId="56091FF9">
      <w:pPr>
        <w:spacing w:line="400" w:lineRule="exact"/>
        <w:ind w:firstLine="482"/>
        <w:rPr>
          <w:rFonts w:hAnsi="宋体" w:cs="仿宋"/>
          <w:color w:val="auto"/>
          <w:highlight w:val="none"/>
        </w:rPr>
      </w:pPr>
      <w:r>
        <w:rPr>
          <w:rFonts w:hint="eastAsia" w:hAnsi="宋体" w:cs="仿宋"/>
          <w:color w:val="auto"/>
          <w:highlight w:val="none"/>
        </w:rPr>
        <w:t>75寸液晶电视机，含支架及连接线。</w:t>
      </w:r>
    </w:p>
    <w:p w14:paraId="371C8340">
      <w:pPr>
        <w:pStyle w:val="6"/>
        <w:rPr>
          <w:color w:val="auto"/>
          <w:highlight w:val="none"/>
        </w:rPr>
      </w:pPr>
      <w:bookmarkStart w:id="129" w:name="_Ref161262701"/>
      <w:r>
        <w:rPr>
          <w:color w:val="auto"/>
          <w:highlight w:val="none"/>
        </w:rPr>
        <w:t>3</w:t>
      </w:r>
      <w:r>
        <w:rPr>
          <w:rFonts w:hint="eastAsia"/>
          <w:color w:val="auto"/>
          <w:highlight w:val="none"/>
        </w:rPr>
        <w:t>.</w:t>
      </w:r>
      <w:r>
        <w:rPr>
          <w:color w:val="auto"/>
          <w:highlight w:val="none"/>
        </w:rPr>
        <w:t>4</w:t>
      </w:r>
      <w:r>
        <w:rPr>
          <w:rFonts w:hint="eastAsia"/>
          <w:color w:val="auto"/>
          <w:highlight w:val="none"/>
        </w:rPr>
        <w:t>.</w:t>
      </w:r>
      <w:r>
        <w:rPr>
          <w:color w:val="auto"/>
          <w:highlight w:val="none"/>
        </w:rPr>
        <w:t>1</w:t>
      </w:r>
      <w:r>
        <w:rPr>
          <w:rFonts w:hint="eastAsia"/>
          <w:color w:val="auto"/>
          <w:highlight w:val="none"/>
        </w:rPr>
        <w:t>.</w:t>
      </w:r>
      <w:r>
        <w:rPr>
          <w:color w:val="auto"/>
          <w:highlight w:val="none"/>
        </w:rPr>
        <w:t>2</w:t>
      </w:r>
      <w:r>
        <w:rPr>
          <w:rFonts w:hint="eastAsia"/>
          <w:color w:val="auto"/>
          <w:highlight w:val="none"/>
        </w:rPr>
        <w:t>管理电脑主机</w:t>
      </w:r>
      <w:bookmarkEnd w:id="129"/>
    </w:p>
    <w:p w14:paraId="5BE40863">
      <w:pPr>
        <w:spacing w:line="400" w:lineRule="exact"/>
        <w:ind w:firstLine="482"/>
        <w:rPr>
          <w:rFonts w:hAnsi="宋体" w:cs="仿宋"/>
          <w:color w:val="auto"/>
          <w:highlight w:val="none"/>
        </w:rPr>
      </w:pPr>
      <w:r>
        <w:rPr>
          <w:rFonts w:hint="eastAsia" w:hAnsi="宋体" w:cs="仿宋"/>
          <w:color w:val="auto"/>
          <w:highlight w:val="none"/>
        </w:rPr>
        <w:t>按以下配置</w:t>
      </w:r>
      <w:r>
        <w:rPr>
          <w:rFonts w:hAnsi="宋体" w:cs="仿宋"/>
          <w:color w:val="auto"/>
          <w:highlight w:val="none"/>
        </w:rPr>
        <w:t>CPU:</w:t>
      </w:r>
      <w:r>
        <w:rPr>
          <w:rFonts w:hint="eastAsia" w:hAnsi="宋体" w:cs="仿宋"/>
          <w:color w:val="auto"/>
          <w:highlight w:val="none"/>
        </w:rPr>
        <w:t xml:space="preserve"> I5，内存：8G, 独立显卡：2G（含HDMI接口），硬盘：1T，含显示器及鼠键，含正版操作系统，安装对应的视频监控软件。 </w:t>
      </w:r>
    </w:p>
    <w:p w14:paraId="5622AB82">
      <w:pPr>
        <w:pStyle w:val="6"/>
        <w:rPr>
          <w:color w:val="auto"/>
          <w:highlight w:val="none"/>
        </w:rPr>
      </w:pPr>
      <w:r>
        <w:rPr>
          <w:color w:val="auto"/>
          <w:highlight w:val="none"/>
        </w:rPr>
        <w:t>3</w:t>
      </w:r>
      <w:r>
        <w:rPr>
          <w:rFonts w:hint="eastAsia"/>
          <w:color w:val="auto"/>
          <w:highlight w:val="none"/>
        </w:rPr>
        <w:t>.</w:t>
      </w:r>
      <w:r>
        <w:rPr>
          <w:color w:val="auto"/>
          <w:highlight w:val="none"/>
        </w:rPr>
        <w:t>4</w:t>
      </w:r>
      <w:r>
        <w:rPr>
          <w:rFonts w:hint="eastAsia"/>
          <w:color w:val="auto"/>
          <w:highlight w:val="none"/>
        </w:rPr>
        <w:t>.</w:t>
      </w:r>
      <w:r>
        <w:rPr>
          <w:color w:val="auto"/>
          <w:highlight w:val="none"/>
        </w:rPr>
        <w:t>1</w:t>
      </w:r>
      <w:r>
        <w:rPr>
          <w:rFonts w:hint="eastAsia"/>
          <w:color w:val="auto"/>
          <w:highlight w:val="none"/>
        </w:rPr>
        <w:t>.</w:t>
      </w:r>
      <w:r>
        <w:rPr>
          <w:color w:val="auto"/>
          <w:highlight w:val="none"/>
        </w:rPr>
        <w:t>3</w:t>
      </w:r>
      <w:r>
        <w:rPr>
          <w:rFonts w:hint="eastAsia"/>
          <w:color w:val="auto"/>
          <w:highlight w:val="none"/>
        </w:rPr>
        <w:t>上网行为管理设备</w:t>
      </w:r>
    </w:p>
    <w:p w14:paraId="0B1A8980">
      <w:pPr>
        <w:ind w:firstLine="371" w:firstLineChars="177"/>
        <w:rPr>
          <w:color w:val="auto"/>
          <w:highlight w:val="none"/>
        </w:rPr>
      </w:pPr>
      <w:r>
        <w:rPr>
          <w:rFonts w:hint="eastAsia"/>
          <w:color w:val="auto"/>
          <w:highlight w:val="none"/>
        </w:rPr>
        <w:t>10GE+1SFP，用户规模100，5年硬件质保及含5年应用识别&amp;ULR特征库升级。</w:t>
      </w:r>
    </w:p>
    <w:p w14:paraId="14199CDD">
      <w:pPr>
        <w:ind w:firstLine="371" w:firstLineChars="177"/>
        <w:rPr>
          <w:color w:val="auto"/>
          <w:highlight w:val="none"/>
        </w:rPr>
      </w:pPr>
    </w:p>
    <w:p w14:paraId="35A387F4">
      <w:pPr>
        <w:pStyle w:val="6"/>
        <w:rPr>
          <w:color w:val="auto"/>
          <w:highlight w:val="none"/>
        </w:rPr>
      </w:pPr>
      <w:r>
        <w:rPr>
          <w:color w:val="auto"/>
          <w:highlight w:val="none"/>
        </w:rPr>
        <w:t>3</w:t>
      </w:r>
      <w:r>
        <w:rPr>
          <w:rFonts w:hint="eastAsia"/>
          <w:color w:val="auto"/>
          <w:highlight w:val="none"/>
        </w:rPr>
        <w:t>.</w:t>
      </w:r>
      <w:r>
        <w:rPr>
          <w:color w:val="auto"/>
          <w:highlight w:val="none"/>
        </w:rPr>
        <w:t>4</w:t>
      </w:r>
      <w:r>
        <w:rPr>
          <w:rFonts w:hint="eastAsia"/>
          <w:color w:val="auto"/>
          <w:highlight w:val="none"/>
        </w:rPr>
        <w:t>.</w:t>
      </w:r>
      <w:r>
        <w:rPr>
          <w:color w:val="auto"/>
          <w:highlight w:val="none"/>
        </w:rPr>
        <w:t>1</w:t>
      </w:r>
      <w:r>
        <w:rPr>
          <w:rFonts w:hint="eastAsia"/>
          <w:color w:val="auto"/>
          <w:highlight w:val="none"/>
        </w:rPr>
        <w:t>.</w:t>
      </w:r>
      <w:r>
        <w:rPr>
          <w:color w:val="auto"/>
          <w:highlight w:val="none"/>
        </w:rPr>
        <w:t>4</w:t>
      </w:r>
      <w:r>
        <w:rPr>
          <w:rFonts w:hint="eastAsia"/>
          <w:color w:val="auto"/>
          <w:highlight w:val="none"/>
        </w:rPr>
        <w:t>小区报警中心（视频围栏报警显示装置）</w:t>
      </w:r>
    </w:p>
    <w:p w14:paraId="5DA361EC">
      <w:pPr>
        <w:spacing w:line="400" w:lineRule="exact"/>
        <w:ind w:firstLine="482"/>
        <w:rPr>
          <w:rFonts w:hAnsi="宋体" w:cs="仿宋"/>
          <w:color w:val="auto"/>
          <w:highlight w:val="none"/>
        </w:rPr>
      </w:pPr>
      <w:r>
        <w:rPr>
          <w:rFonts w:hint="eastAsia"/>
          <w:color w:val="auto"/>
          <w:highlight w:val="none"/>
        </w:rPr>
        <w:t>小区周界报警在小区内报警中心显示，所有报警信息再上传至原老小区平台，</w:t>
      </w:r>
      <w:r>
        <w:rPr>
          <w:rFonts w:hint="eastAsia" w:hAnsi="宋体" w:cs="仿宋"/>
          <w:color w:val="auto"/>
          <w:highlight w:val="none"/>
        </w:rPr>
        <w:t>可将周界摄像报警信号对应转换为控制信号给到电子报警显示板对应防区。电子报警显示板的材质使用亚克板材，尺寸不小于800*600mm，彩色喷绘小区主要建筑和周界轮廓，长宽比例协调。根据小区实际周界摄像机布控位置在电子报警显示板上标注出防区编号。每个防区标识处采用LED灯作为报警提醒，如有周界报警发生，电子报警显示板上对应防区的LED灯需点亮。同时装置上的警号警灯也同步工作，有效提醒安保人员。</w:t>
      </w:r>
    </w:p>
    <w:p w14:paraId="5FF0831C">
      <w:pPr>
        <w:spacing w:line="400" w:lineRule="exact"/>
        <w:ind w:firstLine="482"/>
        <w:rPr>
          <w:rFonts w:hAnsi="宋体" w:cs="仿宋"/>
          <w:color w:val="auto"/>
          <w:highlight w:val="none"/>
        </w:rPr>
      </w:pPr>
      <w:r>
        <w:rPr>
          <w:rFonts w:hint="eastAsia" w:hAnsi="宋体" w:cs="仿宋"/>
          <w:color w:val="auto"/>
          <w:highlight w:val="none"/>
        </w:rPr>
        <w:t>热敏感报警摄像机应在小区端监控中心配备报警平台，实时进行声光报警，并在模拟报警平台或电子地图显示报警区域。</w:t>
      </w:r>
    </w:p>
    <w:p w14:paraId="28E2A3FD">
      <w:pPr>
        <w:pStyle w:val="6"/>
        <w:rPr>
          <w:color w:val="auto"/>
          <w:highlight w:val="none"/>
        </w:rPr>
      </w:pPr>
      <w:r>
        <w:rPr>
          <w:color w:val="auto"/>
          <w:highlight w:val="none"/>
        </w:rPr>
        <w:t>3</w:t>
      </w:r>
      <w:r>
        <w:rPr>
          <w:rFonts w:hint="eastAsia"/>
          <w:color w:val="auto"/>
          <w:highlight w:val="none"/>
        </w:rPr>
        <w:t>.</w:t>
      </w:r>
      <w:r>
        <w:rPr>
          <w:color w:val="auto"/>
          <w:highlight w:val="none"/>
        </w:rPr>
        <w:t>4</w:t>
      </w:r>
      <w:r>
        <w:rPr>
          <w:rFonts w:hint="eastAsia"/>
          <w:color w:val="auto"/>
          <w:highlight w:val="none"/>
        </w:rPr>
        <w:t>.</w:t>
      </w:r>
      <w:r>
        <w:rPr>
          <w:color w:val="auto"/>
          <w:highlight w:val="none"/>
        </w:rPr>
        <w:t>1</w:t>
      </w:r>
      <w:r>
        <w:rPr>
          <w:rFonts w:hint="eastAsia"/>
          <w:color w:val="auto"/>
          <w:highlight w:val="none"/>
        </w:rPr>
        <w:t>.</w:t>
      </w:r>
      <w:r>
        <w:rPr>
          <w:color w:val="auto"/>
          <w:highlight w:val="none"/>
        </w:rPr>
        <w:t>5</w:t>
      </w:r>
      <w:r>
        <w:rPr>
          <w:rFonts w:hint="eastAsia"/>
          <w:color w:val="auto"/>
          <w:highlight w:val="none"/>
        </w:rPr>
        <w:t>硬盘录像机</w:t>
      </w:r>
    </w:p>
    <w:p w14:paraId="19B9DA15">
      <w:pPr>
        <w:spacing w:line="400" w:lineRule="exact"/>
        <w:ind w:firstLine="482"/>
        <w:rPr>
          <w:rFonts w:hAnsi="宋体" w:cs="仿宋"/>
          <w:color w:val="auto"/>
          <w:highlight w:val="none"/>
        </w:rPr>
      </w:pPr>
      <w:r>
        <w:rPr>
          <w:rFonts w:hint="eastAsia" w:hAnsi="宋体" w:cs="仿宋"/>
          <w:color w:val="auto"/>
          <w:highlight w:val="none"/>
        </w:rPr>
        <w:t>1、机架式8盘位嵌入式网络硬盘录像机，整机采用短机箱设计</w:t>
      </w:r>
    </w:p>
    <w:p w14:paraId="09F021D0">
      <w:pPr>
        <w:spacing w:line="400" w:lineRule="exact"/>
        <w:ind w:firstLine="482"/>
        <w:rPr>
          <w:rFonts w:hAnsi="宋体" w:cs="仿宋"/>
          <w:color w:val="auto"/>
          <w:highlight w:val="none"/>
        </w:rPr>
      </w:pPr>
      <w:r>
        <w:rPr>
          <w:rFonts w:hint="eastAsia" w:hAnsi="宋体" w:cs="仿宋"/>
          <w:color w:val="auto"/>
          <w:highlight w:val="none"/>
        </w:rPr>
        <w:t>2、存储接口：≥8个SATA接口，支持硬盘热插拔，本次配置硬盘容量≥8TB</w:t>
      </w:r>
    </w:p>
    <w:p w14:paraId="5C4DD54B">
      <w:pPr>
        <w:spacing w:line="400" w:lineRule="exact"/>
        <w:ind w:firstLine="482"/>
        <w:rPr>
          <w:rFonts w:hAnsi="宋体" w:cs="仿宋"/>
          <w:color w:val="auto"/>
          <w:highlight w:val="none"/>
        </w:rPr>
      </w:pPr>
      <w:r>
        <w:rPr>
          <w:rFonts w:hint="eastAsia" w:hAnsi="宋体" w:cs="仿宋"/>
          <w:color w:val="auto"/>
          <w:highlight w:val="none"/>
        </w:rPr>
        <w:t>3、视频接口：HDMI≥1，VGA≥1</w:t>
      </w:r>
    </w:p>
    <w:p w14:paraId="30FC88F2">
      <w:pPr>
        <w:spacing w:line="400" w:lineRule="exact"/>
        <w:ind w:firstLine="482"/>
        <w:rPr>
          <w:rFonts w:hAnsi="宋体" w:cs="仿宋"/>
          <w:color w:val="auto"/>
          <w:highlight w:val="none"/>
        </w:rPr>
      </w:pPr>
      <w:r>
        <w:rPr>
          <w:rFonts w:hAnsi="宋体" w:cs="仿宋"/>
          <w:color w:val="auto"/>
          <w:highlight w:val="none"/>
        </w:rPr>
        <w:t>4</w:t>
      </w:r>
      <w:r>
        <w:rPr>
          <w:rFonts w:hint="eastAsia" w:hAnsi="宋体" w:cs="仿宋"/>
          <w:color w:val="auto"/>
          <w:highlight w:val="none"/>
        </w:rPr>
        <w:t>、网络接口：RJ45≥1 10/100/1000Mbps自适应以太网口</w:t>
      </w:r>
    </w:p>
    <w:p w14:paraId="631E7890">
      <w:pPr>
        <w:spacing w:line="400" w:lineRule="exact"/>
        <w:ind w:firstLine="482"/>
        <w:rPr>
          <w:rFonts w:hAnsi="宋体" w:cs="仿宋"/>
          <w:color w:val="auto"/>
          <w:highlight w:val="none"/>
        </w:rPr>
      </w:pPr>
      <w:r>
        <w:rPr>
          <w:rFonts w:hint="eastAsia" w:hAnsi="宋体" w:cs="仿宋"/>
          <w:color w:val="auto"/>
          <w:highlight w:val="none"/>
        </w:rPr>
        <w:t>5、串行接口：1路RS-232接口，1路全双工RS-485接口</w:t>
      </w:r>
    </w:p>
    <w:p w14:paraId="2304258C">
      <w:pPr>
        <w:spacing w:line="400" w:lineRule="exact"/>
        <w:ind w:firstLine="482"/>
        <w:rPr>
          <w:rFonts w:hAnsi="宋体" w:cs="仿宋"/>
          <w:color w:val="auto"/>
          <w:highlight w:val="none"/>
        </w:rPr>
      </w:pPr>
      <w:r>
        <w:rPr>
          <w:rFonts w:hAnsi="宋体" w:cs="仿宋"/>
          <w:color w:val="auto"/>
          <w:highlight w:val="none"/>
        </w:rPr>
        <w:t>6</w:t>
      </w:r>
      <w:r>
        <w:rPr>
          <w:rFonts w:hint="eastAsia" w:hAnsi="宋体" w:cs="仿宋"/>
          <w:color w:val="auto"/>
          <w:highlight w:val="none"/>
        </w:rPr>
        <w:t>、USB接口：USB 2.0≥1，USB 3.0≥1</w:t>
      </w:r>
    </w:p>
    <w:p w14:paraId="712141A6">
      <w:pPr>
        <w:spacing w:line="400" w:lineRule="exact"/>
        <w:ind w:firstLine="482"/>
        <w:rPr>
          <w:rFonts w:hAnsi="宋体" w:cs="仿宋"/>
          <w:color w:val="auto"/>
          <w:highlight w:val="none"/>
        </w:rPr>
      </w:pPr>
      <w:r>
        <w:rPr>
          <w:rFonts w:hAnsi="宋体" w:cs="仿宋"/>
          <w:color w:val="auto"/>
          <w:highlight w:val="none"/>
        </w:rPr>
        <w:t>7</w:t>
      </w:r>
      <w:r>
        <w:rPr>
          <w:rFonts w:hint="eastAsia" w:hAnsi="宋体" w:cs="仿宋"/>
          <w:color w:val="auto"/>
          <w:highlight w:val="none"/>
        </w:rPr>
        <w:t>、接入能力：32路H.264、H.265格式高清码流接入</w:t>
      </w:r>
    </w:p>
    <w:p w14:paraId="23E07CAF">
      <w:pPr>
        <w:spacing w:line="400" w:lineRule="exact"/>
        <w:ind w:firstLine="482"/>
        <w:rPr>
          <w:rFonts w:hAnsi="宋体" w:cs="仿宋"/>
          <w:color w:val="auto"/>
          <w:highlight w:val="none"/>
        </w:rPr>
      </w:pPr>
      <w:r>
        <w:rPr>
          <w:rFonts w:hAnsi="宋体" w:cs="仿宋"/>
          <w:color w:val="auto"/>
          <w:highlight w:val="none"/>
        </w:rPr>
        <w:t>8</w:t>
      </w:r>
      <w:r>
        <w:rPr>
          <w:rFonts w:hint="eastAsia" w:hAnsi="宋体" w:cs="仿宋"/>
          <w:color w:val="auto"/>
          <w:highlight w:val="none"/>
        </w:rPr>
        <w:t>、解码能力：最大支持16×1080P</w:t>
      </w:r>
    </w:p>
    <w:p w14:paraId="761C1751">
      <w:pPr>
        <w:spacing w:line="400" w:lineRule="exact"/>
        <w:ind w:firstLine="482"/>
        <w:rPr>
          <w:rFonts w:hAnsi="宋体" w:cs="仿宋"/>
          <w:color w:val="auto"/>
          <w:highlight w:val="none"/>
        </w:rPr>
      </w:pPr>
      <w:r>
        <w:rPr>
          <w:rFonts w:hAnsi="宋体" w:cs="仿宋"/>
          <w:color w:val="auto"/>
          <w:highlight w:val="none"/>
        </w:rPr>
        <w:t>9</w:t>
      </w:r>
      <w:r>
        <w:rPr>
          <w:rFonts w:hint="eastAsia" w:hAnsi="宋体" w:cs="仿宋"/>
          <w:color w:val="auto"/>
          <w:highlight w:val="none"/>
        </w:rPr>
        <w:t>、显示能力：最大支持4K</w:t>
      </w:r>
    </w:p>
    <w:p w14:paraId="2EB78526">
      <w:pPr>
        <w:pStyle w:val="6"/>
        <w:rPr>
          <w:color w:val="auto"/>
          <w:highlight w:val="none"/>
        </w:rPr>
      </w:pPr>
      <w:bookmarkStart w:id="130" w:name="_Ref161262684"/>
      <w:r>
        <w:rPr>
          <w:color w:val="auto"/>
          <w:highlight w:val="none"/>
        </w:rPr>
        <w:t>3</w:t>
      </w:r>
      <w:r>
        <w:rPr>
          <w:rFonts w:hint="eastAsia"/>
          <w:color w:val="auto"/>
          <w:highlight w:val="none"/>
        </w:rPr>
        <w:t>.</w:t>
      </w:r>
      <w:r>
        <w:rPr>
          <w:color w:val="auto"/>
          <w:highlight w:val="none"/>
        </w:rPr>
        <w:t>4</w:t>
      </w:r>
      <w:r>
        <w:rPr>
          <w:rFonts w:hint="eastAsia"/>
          <w:color w:val="auto"/>
          <w:highlight w:val="none"/>
        </w:rPr>
        <w:t>.</w:t>
      </w:r>
      <w:r>
        <w:rPr>
          <w:color w:val="auto"/>
          <w:highlight w:val="none"/>
        </w:rPr>
        <w:t>1</w:t>
      </w:r>
      <w:r>
        <w:rPr>
          <w:rFonts w:hint="eastAsia"/>
          <w:color w:val="auto"/>
          <w:highlight w:val="none"/>
        </w:rPr>
        <w:t>.</w:t>
      </w:r>
      <w:r>
        <w:rPr>
          <w:color w:val="auto"/>
          <w:highlight w:val="none"/>
        </w:rPr>
        <w:t xml:space="preserve">6  </w:t>
      </w:r>
      <w:r>
        <w:rPr>
          <w:rFonts w:hint="eastAsia"/>
          <w:color w:val="auto"/>
          <w:highlight w:val="none"/>
        </w:rPr>
        <w:t>8口千兆交换机</w:t>
      </w:r>
      <w:bookmarkEnd w:id="130"/>
    </w:p>
    <w:p w14:paraId="517BCD0F">
      <w:pPr>
        <w:spacing w:line="400" w:lineRule="exact"/>
        <w:ind w:firstLine="371" w:firstLineChars="177"/>
        <w:rPr>
          <w:rFonts w:hAnsi="宋体" w:cs="仿宋"/>
          <w:color w:val="auto"/>
          <w:highlight w:val="none"/>
        </w:rPr>
      </w:pPr>
      <w:r>
        <w:rPr>
          <w:rFonts w:hint="eastAsia" w:hAnsi="宋体" w:cs="仿宋"/>
          <w:color w:val="auto"/>
          <w:highlight w:val="none"/>
        </w:rPr>
        <w:t>二层以太网交换主机（8个千兆电口+2个千兆光口SFP)含10KM单模光模块，支持网管型</w:t>
      </w:r>
    </w:p>
    <w:p w14:paraId="15769284">
      <w:pPr>
        <w:ind w:firstLine="371" w:firstLineChars="177"/>
        <w:rPr>
          <w:color w:val="auto"/>
          <w:highlight w:val="none"/>
        </w:rPr>
      </w:pPr>
    </w:p>
    <w:p w14:paraId="00DF922C">
      <w:pPr>
        <w:pStyle w:val="6"/>
        <w:rPr>
          <w:color w:val="auto"/>
          <w:highlight w:val="none"/>
        </w:rPr>
      </w:pPr>
      <w:bookmarkStart w:id="131" w:name="_Toc11211"/>
      <w:bookmarkStart w:id="132" w:name="_Toc330310262"/>
      <w:bookmarkStart w:id="133" w:name="_Toc10735"/>
      <w:bookmarkStart w:id="134" w:name="_Ref161262694"/>
      <w:r>
        <w:rPr>
          <w:rFonts w:hint="eastAsia"/>
          <w:color w:val="auto"/>
          <w:highlight w:val="none"/>
        </w:rPr>
        <w:t>3.</w:t>
      </w:r>
      <w:r>
        <w:rPr>
          <w:color w:val="auto"/>
          <w:highlight w:val="none"/>
        </w:rPr>
        <w:t>4</w:t>
      </w:r>
      <w:r>
        <w:rPr>
          <w:rFonts w:hint="eastAsia"/>
          <w:color w:val="auto"/>
          <w:highlight w:val="none"/>
        </w:rPr>
        <w:t>.</w:t>
      </w:r>
      <w:r>
        <w:rPr>
          <w:color w:val="auto"/>
          <w:highlight w:val="none"/>
        </w:rPr>
        <w:t>1</w:t>
      </w:r>
      <w:r>
        <w:rPr>
          <w:rFonts w:hint="eastAsia"/>
          <w:color w:val="auto"/>
          <w:highlight w:val="none"/>
        </w:rPr>
        <w:t>.</w:t>
      </w:r>
      <w:bookmarkEnd w:id="131"/>
      <w:bookmarkEnd w:id="132"/>
      <w:r>
        <w:rPr>
          <w:color w:val="auto"/>
          <w:highlight w:val="none"/>
        </w:rPr>
        <w:t>7</w:t>
      </w:r>
      <w:r>
        <w:rPr>
          <w:rFonts w:hint="eastAsia"/>
          <w:color w:val="auto"/>
          <w:highlight w:val="none"/>
        </w:rPr>
        <w:t xml:space="preserve"> 综合管理服务器</w:t>
      </w:r>
      <w:bookmarkEnd w:id="133"/>
      <w:bookmarkEnd w:id="134"/>
    </w:p>
    <w:p w14:paraId="1BF748A6">
      <w:pPr>
        <w:spacing w:line="400" w:lineRule="exact"/>
        <w:ind w:firstLine="371" w:firstLineChars="177"/>
        <w:rPr>
          <w:rFonts w:hAnsi="宋体" w:cs="仿宋"/>
          <w:color w:val="auto"/>
          <w:highlight w:val="none"/>
        </w:rPr>
      </w:pPr>
      <w:r>
        <w:rPr>
          <w:rFonts w:hint="eastAsia" w:hAnsi="宋体" w:cs="仿宋"/>
          <w:color w:val="auto"/>
          <w:highlight w:val="none"/>
        </w:rPr>
        <w:t>1、综合管理服务器；</w:t>
      </w:r>
    </w:p>
    <w:p w14:paraId="78AAD7A7">
      <w:pPr>
        <w:spacing w:line="400" w:lineRule="exact"/>
        <w:ind w:firstLine="371" w:firstLineChars="177"/>
        <w:rPr>
          <w:rFonts w:hAnsi="宋体" w:cs="仿宋"/>
          <w:color w:val="auto"/>
          <w:highlight w:val="none"/>
        </w:rPr>
      </w:pPr>
      <w:r>
        <w:rPr>
          <w:rFonts w:hint="eastAsia" w:hAnsi="宋体" w:cs="仿宋"/>
          <w:color w:val="auto"/>
          <w:highlight w:val="none"/>
        </w:rPr>
        <w:t>2、配置：软硬一体机，内存16GB，2T 数据盘，1T用于数据存储，1T用于报警图片存储；</w:t>
      </w:r>
    </w:p>
    <w:p w14:paraId="4D2014B8">
      <w:pPr>
        <w:spacing w:line="400" w:lineRule="exact"/>
        <w:ind w:firstLine="371" w:firstLineChars="177"/>
        <w:rPr>
          <w:rFonts w:hAnsi="宋体" w:cs="仿宋"/>
          <w:color w:val="auto"/>
          <w:highlight w:val="none"/>
        </w:rPr>
      </w:pPr>
      <w:r>
        <w:rPr>
          <w:rFonts w:hint="eastAsia" w:hAnsi="宋体" w:cs="仿宋"/>
          <w:color w:val="auto"/>
          <w:highlight w:val="none"/>
        </w:rPr>
        <w:t>3、支持整合视频监控、事件报警(如热敏感摄像机报警、周界摄像机报警)、入侵报警、人员管理、车辆管理、考勤管理、运维管理、视频联网等子系统，支持各系统路数满足本项目要求。</w:t>
      </w:r>
    </w:p>
    <w:p w14:paraId="62C7C06A">
      <w:pPr>
        <w:spacing w:line="400" w:lineRule="exact"/>
        <w:ind w:firstLine="371" w:firstLineChars="177"/>
        <w:rPr>
          <w:rFonts w:hAnsi="宋体" w:cs="仿宋"/>
          <w:color w:val="auto"/>
          <w:highlight w:val="none"/>
        </w:rPr>
      </w:pPr>
      <w:r>
        <w:rPr>
          <w:rFonts w:hint="eastAsia" w:hAnsi="宋体" w:cs="仿宋"/>
          <w:color w:val="auto"/>
          <w:highlight w:val="none"/>
        </w:rPr>
        <w:t>4、支持384Mbps接入、384Mbps转发带宽，16条/秒事件并发能力，32个客户端并发访问；支持B/S、C/S客户端，以及移动端应用。</w:t>
      </w:r>
    </w:p>
    <w:p w14:paraId="242DA017">
      <w:pPr>
        <w:spacing w:line="400" w:lineRule="exact"/>
        <w:ind w:firstLine="371" w:firstLineChars="177"/>
        <w:rPr>
          <w:rFonts w:hAnsi="宋体" w:cs="仿宋"/>
          <w:color w:val="auto"/>
          <w:highlight w:val="none"/>
        </w:rPr>
      </w:pPr>
      <w:r>
        <w:rPr>
          <w:rFonts w:hint="eastAsia" w:hAnsi="宋体" w:cs="仿宋"/>
          <w:color w:val="auto"/>
          <w:highlight w:val="none"/>
        </w:rPr>
        <w:t>5、★具备对小区车辆道闸，人行通道，视频周界，热敏感摄像机管理功能。</w:t>
      </w:r>
    </w:p>
    <w:p w14:paraId="05635652">
      <w:pPr>
        <w:spacing w:line="400" w:lineRule="exact"/>
        <w:ind w:firstLine="371" w:firstLineChars="177"/>
        <w:rPr>
          <w:rFonts w:hAnsi="宋体" w:cs="仿宋"/>
          <w:color w:val="auto"/>
          <w:highlight w:val="none"/>
        </w:rPr>
      </w:pPr>
      <w:r>
        <w:rPr>
          <w:rFonts w:hint="eastAsia" w:hAnsi="宋体" w:cs="仿宋"/>
          <w:color w:val="auto"/>
          <w:highlight w:val="none"/>
        </w:rPr>
        <w:t>6、综合服务管理平台具备报警平台功能，报警平台须能实时通过电子地图显示事件报警区域。</w:t>
      </w:r>
    </w:p>
    <w:p w14:paraId="4EF33199">
      <w:pPr>
        <w:pStyle w:val="4"/>
        <w:rPr>
          <w:color w:val="auto"/>
          <w:highlight w:val="none"/>
        </w:rPr>
      </w:pPr>
      <w:r>
        <w:rPr>
          <w:color w:val="auto"/>
          <w:highlight w:val="none"/>
        </w:rPr>
        <w:t>3</w:t>
      </w:r>
      <w:r>
        <w:rPr>
          <w:rFonts w:hint="eastAsia"/>
          <w:color w:val="auto"/>
          <w:highlight w:val="none"/>
        </w:rPr>
        <w:t>.</w:t>
      </w:r>
      <w:r>
        <w:rPr>
          <w:color w:val="auto"/>
          <w:highlight w:val="none"/>
        </w:rPr>
        <w:t>5</w:t>
      </w:r>
      <w:r>
        <w:rPr>
          <w:rFonts w:hint="eastAsia"/>
          <w:color w:val="auto"/>
          <w:highlight w:val="none"/>
        </w:rPr>
        <w:t>综合管线</w:t>
      </w:r>
    </w:p>
    <w:p w14:paraId="62C2A20E">
      <w:pPr>
        <w:pStyle w:val="5"/>
        <w:ind w:left="240" w:right="240"/>
        <w:rPr>
          <w:color w:val="auto"/>
          <w:highlight w:val="none"/>
        </w:rPr>
      </w:pPr>
      <w:r>
        <w:rPr>
          <w:color w:val="auto"/>
          <w:highlight w:val="none"/>
        </w:rPr>
        <w:t>3</w:t>
      </w:r>
      <w:r>
        <w:rPr>
          <w:rFonts w:hint="eastAsia"/>
          <w:color w:val="auto"/>
          <w:highlight w:val="none"/>
        </w:rPr>
        <w:t>.</w:t>
      </w:r>
      <w:r>
        <w:rPr>
          <w:color w:val="auto"/>
          <w:highlight w:val="none"/>
        </w:rPr>
        <w:t>5</w:t>
      </w:r>
      <w:r>
        <w:rPr>
          <w:rFonts w:hint="eastAsia"/>
          <w:color w:val="auto"/>
          <w:highlight w:val="none"/>
        </w:rPr>
        <w:t>.</w:t>
      </w:r>
      <w:r>
        <w:rPr>
          <w:color w:val="auto"/>
          <w:highlight w:val="none"/>
        </w:rPr>
        <w:t>1</w:t>
      </w:r>
      <w:r>
        <w:rPr>
          <w:rFonts w:hint="eastAsia"/>
          <w:color w:val="auto"/>
          <w:highlight w:val="none"/>
        </w:rPr>
        <w:t>产品技术参数要求</w:t>
      </w:r>
    </w:p>
    <w:p w14:paraId="5FCFED5E">
      <w:pPr>
        <w:pStyle w:val="6"/>
        <w:rPr>
          <w:color w:val="auto"/>
          <w:highlight w:val="none"/>
        </w:rPr>
      </w:pPr>
      <w:r>
        <w:rPr>
          <w:color w:val="auto"/>
          <w:highlight w:val="none"/>
        </w:rPr>
        <w:t>3</w:t>
      </w:r>
      <w:r>
        <w:rPr>
          <w:rFonts w:hint="eastAsia"/>
          <w:color w:val="auto"/>
          <w:highlight w:val="none"/>
        </w:rPr>
        <w:t>.</w:t>
      </w:r>
      <w:r>
        <w:rPr>
          <w:color w:val="auto"/>
          <w:highlight w:val="none"/>
        </w:rPr>
        <w:t>5</w:t>
      </w:r>
      <w:r>
        <w:rPr>
          <w:rFonts w:hint="eastAsia"/>
          <w:color w:val="auto"/>
          <w:highlight w:val="none"/>
        </w:rPr>
        <w:t>.</w:t>
      </w:r>
      <w:r>
        <w:rPr>
          <w:color w:val="auto"/>
          <w:highlight w:val="none"/>
        </w:rPr>
        <w:t>1</w:t>
      </w:r>
      <w:r>
        <w:rPr>
          <w:rFonts w:hint="eastAsia"/>
          <w:color w:val="auto"/>
          <w:highlight w:val="none"/>
        </w:rPr>
        <w:t>.1</w:t>
      </w:r>
      <w:r>
        <w:rPr>
          <w:color w:val="auto"/>
          <w:highlight w:val="none"/>
        </w:rPr>
        <w:t xml:space="preserve"> </w:t>
      </w:r>
      <w:r>
        <w:rPr>
          <w:rFonts w:hint="eastAsia"/>
          <w:color w:val="auto"/>
          <w:highlight w:val="none"/>
        </w:rPr>
        <w:t>1U48口机架式光纤金属熔纤盒</w:t>
      </w:r>
    </w:p>
    <w:p w14:paraId="46D219C5">
      <w:pPr>
        <w:ind w:firstLine="371" w:firstLineChars="177"/>
        <w:rPr>
          <w:color w:val="auto"/>
          <w:highlight w:val="none"/>
        </w:rPr>
      </w:pPr>
      <w:r>
        <w:rPr>
          <w:rFonts w:hint="eastAsia"/>
          <w:color w:val="auto"/>
          <w:highlight w:val="none"/>
        </w:rPr>
        <w:t>1、48口机架式光纤金属终端盒（含耦合器）；</w:t>
      </w:r>
    </w:p>
    <w:p w14:paraId="0533869E">
      <w:pPr>
        <w:ind w:firstLine="371" w:firstLineChars="177"/>
        <w:rPr>
          <w:color w:val="auto"/>
          <w:highlight w:val="none"/>
        </w:rPr>
      </w:pPr>
      <w:r>
        <w:rPr>
          <w:rFonts w:hint="eastAsia"/>
          <w:color w:val="auto"/>
          <w:highlight w:val="none"/>
        </w:rPr>
        <w:t>2、采用通用连接器面板和耦合器；</w:t>
      </w:r>
    </w:p>
    <w:p w14:paraId="24C00C07">
      <w:pPr>
        <w:ind w:firstLine="371" w:firstLineChars="177"/>
        <w:rPr>
          <w:color w:val="auto"/>
          <w:highlight w:val="none"/>
        </w:rPr>
      </w:pPr>
      <w:r>
        <w:rPr>
          <w:rFonts w:hint="eastAsia"/>
          <w:color w:val="auto"/>
          <w:highlight w:val="none"/>
        </w:rPr>
        <w:t>3、具有坚固的保护光缆端接和光纤连接器；</w:t>
      </w:r>
    </w:p>
    <w:p w14:paraId="769A3DF5">
      <w:pPr>
        <w:ind w:firstLine="371" w:firstLineChars="177"/>
        <w:rPr>
          <w:color w:val="auto"/>
          <w:highlight w:val="none"/>
        </w:rPr>
      </w:pPr>
      <w:r>
        <w:rPr>
          <w:rFonts w:hint="eastAsia"/>
          <w:color w:val="auto"/>
          <w:highlight w:val="none"/>
        </w:rPr>
        <w:t>4、提供线缆的接地，以及舒缓拉力。</w:t>
      </w:r>
    </w:p>
    <w:p w14:paraId="1647E2E8">
      <w:pPr>
        <w:rPr>
          <w:color w:val="auto"/>
          <w:highlight w:val="none"/>
        </w:rPr>
      </w:pPr>
    </w:p>
    <w:p w14:paraId="5ED89E58">
      <w:pPr>
        <w:pStyle w:val="6"/>
        <w:rPr>
          <w:color w:val="auto"/>
          <w:highlight w:val="none"/>
        </w:rPr>
      </w:pPr>
      <w:r>
        <w:rPr>
          <w:color w:val="auto"/>
          <w:highlight w:val="none"/>
        </w:rPr>
        <w:t>3</w:t>
      </w:r>
      <w:r>
        <w:rPr>
          <w:rFonts w:hint="eastAsia"/>
          <w:color w:val="auto"/>
          <w:highlight w:val="none"/>
        </w:rPr>
        <w:t>.</w:t>
      </w:r>
      <w:r>
        <w:rPr>
          <w:color w:val="auto"/>
          <w:highlight w:val="none"/>
        </w:rPr>
        <w:t>5</w:t>
      </w:r>
      <w:r>
        <w:rPr>
          <w:rFonts w:hint="eastAsia"/>
          <w:color w:val="auto"/>
          <w:highlight w:val="none"/>
        </w:rPr>
        <w:t>.</w:t>
      </w:r>
      <w:r>
        <w:rPr>
          <w:color w:val="auto"/>
          <w:highlight w:val="none"/>
        </w:rPr>
        <w:t>1</w:t>
      </w:r>
      <w:r>
        <w:rPr>
          <w:rFonts w:hint="eastAsia"/>
          <w:color w:val="auto"/>
          <w:highlight w:val="none"/>
        </w:rPr>
        <w:t>.</w:t>
      </w:r>
      <w:r>
        <w:rPr>
          <w:color w:val="auto"/>
          <w:highlight w:val="none"/>
        </w:rPr>
        <w:t xml:space="preserve">2 </w:t>
      </w:r>
      <w:r>
        <w:rPr>
          <w:rFonts w:hint="eastAsia"/>
          <w:color w:val="auto"/>
          <w:highlight w:val="none"/>
        </w:rPr>
        <w:t>1U</w:t>
      </w:r>
      <w:r>
        <w:rPr>
          <w:color w:val="auto"/>
          <w:highlight w:val="none"/>
        </w:rPr>
        <w:t>96</w:t>
      </w:r>
      <w:r>
        <w:rPr>
          <w:rFonts w:hint="eastAsia"/>
          <w:color w:val="auto"/>
          <w:highlight w:val="none"/>
        </w:rPr>
        <w:t>口机架式光纤金属熔纤盒</w:t>
      </w:r>
    </w:p>
    <w:p w14:paraId="373F7B6C">
      <w:pPr>
        <w:ind w:firstLine="371" w:firstLineChars="177"/>
        <w:rPr>
          <w:color w:val="auto"/>
          <w:highlight w:val="none"/>
        </w:rPr>
      </w:pPr>
      <w:r>
        <w:rPr>
          <w:rFonts w:hint="eastAsia"/>
          <w:color w:val="auto"/>
          <w:highlight w:val="none"/>
        </w:rPr>
        <w:t>1、</w:t>
      </w:r>
      <w:r>
        <w:rPr>
          <w:color w:val="auto"/>
          <w:highlight w:val="none"/>
        </w:rPr>
        <w:t>96</w:t>
      </w:r>
      <w:r>
        <w:rPr>
          <w:rFonts w:hint="eastAsia"/>
          <w:color w:val="auto"/>
          <w:highlight w:val="none"/>
        </w:rPr>
        <w:t>口机架式光纤金属终端盒（含耦合器）；</w:t>
      </w:r>
    </w:p>
    <w:p w14:paraId="196EB5D4">
      <w:pPr>
        <w:ind w:firstLine="371" w:firstLineChars="177"/>
        <w:rPr>
          <w:color w:val="auto"/>
          <w:highlight w:val="none"/>
        </w:rPr>
      </w:pPr>
      <w:r>
        <w:rPr>
          <w:rFonts w:hint="eastAsia"/>
          <w:color w:val="auto"/>
          <w:highlight w:val="none"/>
        </w:rPr>
        <w:t>2、采用通用连接器面板和耦合器；</w:t>
      </w:r>
    </w:p>
    <w:p w14:paraId="47424674">
      <w:pPr>
        <w:ind w:firstLine="371" w:firstLineChars="177"/>
        <w:rPr>
          <w:color w:val="auto"/>
          <w:highlight w:val="none"/>
        </w:rPr>
      </w:pPr>
      <w:r>
        <w:rPr>
          <w:rFonts w:hint="eastAsia"/>
          <w:color w:val="auto"/>
          <w:highlight w:val="none"/>
        </w:rPr>
        <w:t>3、具有坚固的保护光缆端接和光纤连接器；</w:t>
      </w:r>
    </w:p>
    <w:p w14:paraId="5495B212">
      <w:pPr>
        <w:ind w:firstLine="371" w:firstLineChars="177"/>
        <w:rPr>
          <w:color w:val="auto"/>
          <w:highlight w:val="none"/>
        </w:rPr>
      </w:pPr>
      <w:r>
        <w:rPr>
          <w:rFonts w:hint="eastAsia"/>
          <w:color w:val="auto"/>
          <w:highlight w:val="none"/>
        </w:rPr>
        <w:t>4、提供线缆的接地，以及舒缓拉力。</w:t>
      </w:r>
    </w:p>
    <w:p w14:paraId="0DDD45E4">
      <w:pPr>
        <w:pStyle w:val="6"/>
        <w:rPr>
          <w:color w:val="auto"/>
          <w:highlight w:val="none"/>
        </w:rPr>
      </w:pPr>
      <w:r>
        <w:rPr>
          <w:color w:val="auto"/>
          <w:highlight w:val="none"/>
        </w:rPr>
        <w:t>3</w:t>
      </w:r>
      <w:r>
        <w:rPr>
          <w:rFonts w:hint="eastAsia"/>
          <w:color w:val="auto"/>
          <w:highlight w:val="none"/>
        </w:rPr>
        <w:t>.</w:t>
      </w:r>
      <w:r>
        <w:rPr>
          <w:color w:val="auto"/>
          <w:highlight w:val="none"/>
        </w:rPr>
        <w:t>5</w:t>
      </w:r>
      <w:r>
        <w:rPr>
          <w:rFonts w:hint="eastAsia"/>
          <w:color w:val="auto"/>
          <w:highlight w:val="none"/>
        </w:rPr>
        <w:t>.</w:t>
      </w:r>
      <w:r>
        <w:rPr>
          <w:color w:val="auto"/>
          <w:highlight w:val="none"/>
        </w:rPr>
        <w:t>1</w:t>
      </w:r>
      <w:r>
        <w:rPr>
          <w:rFonts w:hint="eastAsia"/>
          <w:color w:val="auto"/>
          <w:highlight w:val="none"/>
        </w:rPr>
        <w:t>.</w:t>
      </w:r>
      <w:r>
        <w:rPr>
          <w:color w:val="auto"/>
          <w:highlight w:val="none"/>
        </w:rPr>
        <w:t xml:space="preserve">3 </w:t>
      </w:r>
      <w:r>
        <w:rPr>
          <w:rFonts w:hint="eastAsia"/>
          <w:color w:val="auto"/>
          <w:highlight w:val="none"/>
        </w:rPr>
        <w:t>金属理线架</w:t>
      </w:r>
    </w:p>
    <w:p w14:paraId="7CCEFE23">
      <w:pPr>
        <w:ind w:firstLine="371" w:firstLineChars="177"/>
        <w:rPr>
          <w:color w:val="auto"/>
          <w:highlight w:val="none"/>
        </w:rPr>
      </w:pPr>
      <w:r>
        <w:rPr>
          <w:rFonts w:hint="eastAsia"/>
          <w:color w:val="auto"/>
          <w:highlight w:val="none"/>
        </w:rPr>
        <w:t>1U，黑色</w:t>
      </w:r>
    </w:p>
    <w:p w14:paraId="2BF87B67">
      <w:pPr>
        <w:ind w:firstLine="371" w:firstLineChars="177"/>
        <w:rPr>
          <w:color w:val="auto"/>
          <w:highlight w:val="none"/>
        </w:rPr>
      </w:pPr>
    </w:p>
    <w:p w14:paraId="76A2ED77">
      <w:pPr>
        <w:pStyle w:val="6"/>
        <w:rPr>
          <w:color w:val="auto"/>
          <w:highlight w:val="none"/>
        </w:rPr>
      </w:pPr>
      <w:r>
        <w:rPr>
          <w:color w:val="auto"/>
          <w:highlight w:val="none"/>
        </w:rPr>
        <w:t>3</w:t>
      </w:r>
      <w:r>
        <w:rPr>
          <w:rFonts w:hint="eastAsia"/>
          <w:color w:val="auto"/>
          <w:highlight w:val="none"/>
        </w:rPr>
        <w:t>.</w:t>
      </w:r>
      <w:r>
        <w:rPr>
          <w:color w:val="auto"/>
          <w:highlight w:val="none"/>
        </w:rPr>
        <w:t>5</w:t>
      </w:r>
      <w:r>
        <w:rPr>
          <w:rFonts w:hint="eastAsia"/>
          <w:color w:val="auto"/>
          <w:highlight w:val="none"/>
        </w:rPr>
        <w:t>.</w:t>
      </w:r>
      <w:r>
        <w:rPr>
          <w:color w:val="auto"/>
          <w:highlight w:val="none"/>
        </w:rPr>
        <w:t>1</w:t>
      </w:r>
      <w:r>
        <w:rPr>
          <w:rFonts w:hint="eastAsia"/>
          <w:color w:val="auto"/>
          <w:highlight w:val="none"/>
        </w:rPr>
        <w:t>.</w:t>
      </w:r>
      <w:r>
        <w:rPr>
          <w:color w:val="auto"/>
          <w:highlight w:val="none"/>
        </w:rPr>
        <w:t xml:space="preserve">4 </w:t>
      </w:r>
      <w:r>
        <w:rPr>
          <w:rFonts w:hint="eastAsia"/>
          <w:color w:val="auto"/>
          <w:highlight w:val="none"/>
        </w:rPr>
        <w:t>室外汇聚箱（含基础）</w:t>
      </w:r>
    </w:p>
    <w:p w14:paraId="637CE045">
      <w:pPr>
        <w:ind w:firstLine="371" w:firstLineChars="177"/>
        <w:rPr>
          <w:color w:val="auto"/>
          <w:highlight w:val="none"/>
        </w:rPr>
      </w:pPr>
      <w:r>
        <w:rPr>
          <w:rFonts w:hint="eastAsia"/>
          <w:color w:val="auto"/>
          <w:highlight w:val="none"/>
        </w:rPr>
        <w:t>1、名称：室外汇聚设备箱；</w:t>
      </w:r>
    </w:p>
    <w:p w14:paraId="48B4A297">
      <w:pPr>
        <w:ind w:firstLine="371" w:firstLineChars="177"/>
        <w:rPr>
          <w:color w:val="auto"/>
          <w:highlight w:val="none"/>
        </w:rPr>
      </w:pPr>
      <w:r>
        <w:rPr>
          <w:rFonts w:hint="eastAsia"/>
          <w:color w:val="auto"/>
          <w:highlight w:val="none"/>
        </w:rPr>
        <w:t>2、规格：600*600*1600mm；</w:t>
      </w:r>
    </w:p>
    <w:p w14:paraId="54CE476E">
      <w:pPr>
        <w:ind w:firstLine="371" w:firstLineChars="177"/>
        <w:rPr>
          <w:color w:val="auto"/>
          <w:highlight w:val="none"/>
        </w:rPr>
      </w:pPr>
      <w:r>
        <w:rPr>
          <w:rFonts w:hint="eastAsia"/>
          <w:color w:val="auto"/>
          <w:highlight w:val="none"/>
        </w:rPr>
        <w:t>3、材质：304不锈钢，壁厚≥1.2mm；</w:t>
      </w:r>
    </w:p>
    <w:p w14:paraId="0897393B">
      <w:pPr>
        <w:ind w:firstLine="371" w:firstLineChars="177"/>
        <w:rPr>
          <w:color w:val="auto"/>
          <w:highlight w:val="none"/>
        </w:rPr>
      </w:pPr>
      <w:r>
        <w:rPr>
          <w:rFonts w:hint="eastAsia"/>
          <w:color w:val="auto"/>
          <w:highlight w:val="none"/>
        </w:rPr>
        <w:t>4、内部配置：含进线断路器，防雷器，含散热风扇及前后门锁无源电子巡更锁，含接地，接地电阻≤4欧姆；</w:t>
      </w:r>
    </w:p>
    <w:p w14:paraId="2C7B3FFC">
      <w:pPr>
        <w:ind w:firstLine="371" w:firstLineChars="177"/>
        <w:rPr>
          <w:color w:val="auto"/>
          <w:highlight w:val="none"/>
        </w:rPr>
      </w:pPr>
      <w:r>
        <w:rPr>
          <w:rFonts w:hint="eastAsia"/>
          <w:color w:val="auto"/>
          <w:highlight w:val="none"/>
        </w:rPr>
        <w:t xml:space="preserve">5、含基础，详见图纸。 </w:t>
      </w:r>
    </w:p>
    <w:p w14:paraId="0F527F31">
      <w:pPr>
        <w:ind w:firstLine="371" w:firstLineChars="177"/>
        <w:rPr>
          <w:color w:val="auto"/>
          <w:highlight w:val="none"/>
        </w:rPr>
      </w:pPr>
      <w:r>
        <w:rPr>
          <w:rFonts w:hint="eastAsia"/>
          <w:color w:val="auto"/>
          <w:highlight w:val="none"/>
        </w:rPr>
        <w:t>6、颜色：灰黑色。</w:t>
      </w:r>
    </w:p>
    <w:p w14:paraId="6AE629B4">
      <w:pPr>
        <w:rPr>
          <w:color w:val="auto"/>
          <w:highlight w:val="none"/>
        </w:rPr>
      </w:pPr>
    </w:p>
    <w:p w14:paraId="1ADAD35B">
      <w:pPr>
        <w:pStyle w:val="6"/>
        <w:rPr>
          <w:color w:val="auto"/>
          <w:highlight w:val="none"/>
        </w:rPr>
      </w:pPr>
      <w:r>
        <w:rPr>
          <w:color w:val="auto"/>
          <w:highlight w:val="none"/>
        </w:rPr>
        <w:t>3</w:t>
      </w:r>
      <w:r>
        <w:rPr>
          <w:rFonts w:hint="eastAsia"/>
          <w:color w:val="auto"/>
          <w:highlight w:val="none"/>
        </w:rPr>
        <w:t>.</w:t>
      </w:r>
      <w:r>
        <w:rPr>
          <w:color w:val="auto"/>
          <w:highlight w:val="none"/>
        </w:rPr>
        <w:t>5</w:t>
      </w:r>
      <w:r>
        <w:rPr>
          <w:rFonts w:hint="eastAsia"/>
          <w:color w:val="auto"/>
          <w:highlight w:val="none"/>
        </w:rPr>
        <w:t>.</w:t>
      </w:r>
      <w:r>
        <w:rPr>
          <w:color w:val="auto"/>
          <w:highlight w:val="none"/>
        </w:rPr>
        <w:t>1</w:t>
      </w:r>
      <w:r>
        <w:rPr>
          <w:rFonts w:hint="eastAsia"/>
          <w:color w:val="auto"/>
          <w:highlight w:val="none"/>
        </w:rPr>
        <w:t>.</w:t>
      </w:r>
      <w:r>
        <w:rPr>
          <w:color w:val="auto"/>
          <w:highlight w:val="none"/>
        </w:rPr>
        <w:t xml:space="preserve">5 </w:t>
      </w:r>
      <w:r>
        <w:rPr>
          <w:rFonts w:hint="eastAsia"/>
          <w:color w:val="auto"/>
          <w:highlight w:val="none"/>
        </w:rPr>
        <w:t>室外电源箱（含基础）</w:t>
      </w:r>
    </w:p>
    <w:p w14:paraId="57EB125D">
      <w:pPr>
        <w:ind w:firstLine="371" w:firstLineChars="177"/>
        <w:rPr>
          <w:color w:val="auto"/>
          <w:highlight w:val="none"/>
        </w:rPr>
      </w:pPr>
      <w:r>
        <w:rPr>
          <w:rFonts w:hint="eastAsia"/>
          <w:color w:val="auto"/>
          <w:highlight w:val="none"/>
        </w:rPr>
        <w:t>1、名称：室外3</w:t>
      </w:r>
      <w:r>
        <w:rPr>
          <w:color w:val="auto"/>
          <w:highlight w:val="none"/>
        </w:rPr>
        <w:t>04</w:t>
      </w:r>
      <w:r>
        <w:rPr>
          <w:rFonts w:hint="eastAsia"/>
          <w:color w:val="auto"/>
          <w:highlight w:val="none"/>
        </w:rPr>
        <w:t>不锈钢电源箱；</w:t>
      </w:r>
    </w:p>
    <w:p w14:paraId="702C5E7C">
      <w:pPr>
        <w:ind w:firstLine="371" w:firstLineChars="177"/>
        <w:rPr>
          <w:color w:val="auto"/>
          <w:highlight w:val="none"/>
        </w:rPr>
      </w:pPr>
      <w:r>
        <w:rPr>
          <w:rFonts w:hint="eastAsia"/>
          <w:color w:val="auto"/>
          <w:highlight w:val="none"/>
        </w:rPr>
        <w:t>2、输入电压：交流220V±20 %，输出电压：交流2</w:t>
      </w:r>
      <w:r>
        <w:rPr>
          <w:color w:val="auto"/>
          <w:highlight w:val="none"/>
        </w:rPr>
        <w:t>4</w:t>
      </w:r>
      <w:r>
        <w:rPr>
          <w:rFonts w:hint="eastAsia"/>
          <w:color w:val="auto"/>
          <w:highlight w:val="none"/>
        </w:rPr>
        <w:t>V、</w:t>
      </w:r>
      <w:r>
        <w:rPr>
          <w:color w:val="auto"/>
          <w:highlight w:val="none"/>
        </w:rPr>
        <w:t>26</w:t>
      </w:r>
      <w:r>
        <w:rPr>
          <w:rFonts w:hint="eastAsia"/>
          <w:color w:val="auto"/>
          <w:highlight w:val="none"/>
        </w:rPr>
        <w:t>V、</w:t>
      </w:r>
      <w:r>
        <w:rPr>
          <w:color w:val="auto"/>
          <w:highlight w:val="none"/>
        </w:rPr>
        <w:t>28</w:t>
      </w:r>
      <w:r>
        <w:rPr>
          <w:rFonts w:hint="eastAsia"/>
          <w:color w:val="auto"/>
          <w:highlight w:val="none"/>
        </w:rPr>
        <w:t>V、3</w:t>
      </w:r>
      <w:r>
        <w:rPr>
          <w:color w:val="auto"/>
          <w:highlight w:val="none"/>
        </w:rPr>
        <w:t>0</w:t>
      </w:r>
      <w:r>
        <w:rPr>
          <w:rFonts w:hint="eastAsia"/>
          <w:color w:val="auto"/>
          <w:highlight w:val="none"/>
        </w:rPr>
        <w:t>V；</w:t>
      </w:r>
    </w:p>
    <w:p w14:paraId="7131C00B">
      <w:pPr>
        <w:ind w:firstLine="371" w:firstLineChars="177"/>
        <w:rPr>
          <w:color w:val="auto"/>
          <w:highlight w:val="none"/>
        </w:rPr>
      </w:pPr>
      <w:r>
        <w:rPr>
          <w:rFonts w:hint="eastAsia"/>
          <w:color w:val="auto"/>
          <w:highlight w:val="none"/>
        </w:rPr>
        <w:t>3、具有稳压功能输出电压波动小于±1%；</w:t>
      </w:r>
    </w:p>
    <w:p w14:paraId="1CA14FB9">
      <w:pPr>
        <w:ind w:firstLine="371" w:firstLineChars="177"/>
        <w:rPr>
          <w:color w:val="auto"/>
          <w:highlight w:val="none"/>
        </w:rPr>
      </w:pPr>
      <w:r>
        <w:rPr>
          <w:rFonts w:hint="eastAsia"/>
          <w:color w:val="auto"/>
          <w:highlight w:val="none"/>
        </w:rPr>
        <w:t>4、功率：按需配制，但最小不得小于500W；</w:t>
      </w:r>
    </w:p>
    <w:p w14:paraId="737C2B12">
      <w:pPr>
        <w:ind w:firstLine="371" w:firstLineChars="177"/>
        <w:rPr>
          <w:color w:val="auto"/>
          <w:highlight w:val="none"/>
        </w:rPr>
      </w:pPr>
      <w:r>
        <w:rPr>
          <w:rFonts w:hint="eastAsia"/>
          <w:color w:val="auto"/>
          <w:highlight w:val="none"/>
        </w:rPr>
        <w:t>5、具备电源的防雷保护，过电流、过压、欠压保护措施；</w:t>
      </w:r>
    </w:p>
    <w:p w14:paraId="7D8D3A96">
      <w:pPr>
        <w:ind w:firstLine="371" w:firstLineChars="177"/>
        <w:rPr>
          <w:color w:val="auto"/>
          <w:highlight w:val="none"/>
        </w:rPr>
      </w:pPr>
      <w:r>
        <w:rPr>
          <w:rFonts w:hint="eastAsia"/>
          <w:color w:val="auto"/>
          <w:highlight w:val="none"/>
        </w:rPr>
        <w:t>6、箱体具有防水、防尘等保护措施；</w:t>
      </w:r>
    </w:p>
    <w:p w14:paraId="2E0D7FCF">
      <w:pPr>
        <w:ind w:firstLine="371" w:firstLineChars="177"/>
        <w:rPr>
          <w:color w:val="auto"/>
          <w:highlight w:val="none"/>
        </w:rPr>
      </w:pPr>
      <w:r>
        <w:rPr>
          <w:rFonts w:hint="eastAsia"/>
          <w:color w:val="auto"/>
          <w:highlight w:val="none"/>
        </w:rPr>
        <w:t>7、温度范围：-40℃～﹢</w:t>
      </w:r>
      <w:r>
        <w:rPr>
          <w:color w:val="auto"/>
          <w:highlight w:val="none"/>
        </w:rPr>
        <w:t>8</w:t>
      </w:r>
      <w:r>
        <w:rPr>
          <w:rFonts w:hint="eastAsia"/>
          <w:color w:val="auto"/>
          <w:highlight w:val="none"/>
        </w:rPr>
        <w:t>5℃，湿度范围：≤95% RH；</w:t>
      </w:r>
    </w:p>
    <w:p w14:paraId="56ECF0A7">
      <w:pPr>
        <w:ind w:firstLine="371" w:firstLineChars="177"/>
        <w:rPr>
          <w:color w:val="auto"/>
          <w:highlight w:val="none"/>
        </w:rPr>
      </w:pPr>
      <w:r>
        <w:rPr>
          <w:rFonts w:hint="eastAsia"/>
          <w:color w:val="auto"/>
          <w:highlight w:val="none"/>
        </w:rPr>
        <w:t>8、电器件具有国家强制3C认证标识；</w:t>
      </w:r>
    </w:p>
    <w:p w14:paraId="5AD9294F">
      <w:pPr>
        <w:rPr>
          <w:color w:val="auto"/>
          <w:highlight w:val="none"/>
        </w:rPr>
      </w:pPr>
    </w:p>
    <w:p w14:paraId="58129217">
      <w:pPr>
        <w:pStyle w:val="6"/>
        <w:rPr>
          <w:color w:val="auto"/>
          <w:highlight w:val="none"/>
        </w:rPr>
      </w:pPr>
      <w:r>
        <w:rPr>
          <w:color w:val="auto"/>
          <w:highlight w:val="none"/>
        </w:rPr>
        <w:t>3</w:t>
      </w:r>
      <w:r>
        <w:rPr>
          <w:rFonts w:hint="eastAsia"/>
          <w:color w:val="auto"/>
          <w:highlight w:val="none"/>
        </w:rPr>
        <w:t>.</w:t>
      </w:r>
      <w:r>
        <w:rPr>
          <w:color w:val="auto"/>
          <w:highlight w:val="none"/>
        </w:rPr>
        <w:t>5</w:t>
      </w:r>
      <w:r>
        <w:rPr>
          <w:rFonts w:hint="eastAsia"/>
          <w:color w:val="auto"/>
          <w:highlight w:val="none"/>
        </w:rPr>
        <w:t>.</w:t>
      </w:r>
      <w:r>
        <w:rPr>
          <w:color w:val="auto"/>
          <w:highlight w:val="none"/>
        </w:rPr>
        <w:t>1</w:t>
      </w:r>
      <w:r>
        <w:rPr>
          <w:rFonts w:hint="eastAsia"/>
          <w:color w:val="auto"/>
          <w:highlight w:val="none"/>
        </w:rPr>
        <w:t>.</w:t>
      </w:r>
      <w:r>
        <w:rPr>
          <w:color w:val="auto"/>
          <w:highlight w:val="none"/>
        </w:rPr>
        <w:t xml:space="preserve">6 </w:t>
      </w:r>
      <w:r>
        <w:rPr>
          <w:rFonts w:hint="eastAsia"/>
          <w:color w:val="auto"/>
          <w:highlight w:val="none"/>
        </w:rPr>
        <w:t>电源防雷器</w:t>
      </w:r>
    </w:p>
    <w:p w14:paraId="5B7B66C1">
      <w:pPr>
        <w:ind w:firstLine="371" w:firstLineChars="177"/>
        <w:rPr>
          <w:color w:val="auto"/>
          <w:highlight w:val="none"/>
        </w:rPr>
      </w:pPr>
      <w:r>
        <w:rPr>
          <w:rFonts w:hint="eastAsia"/>
          <w:color w:val="auto"/>
          <w:highlight w:val="none"/>
        </w:rPr>
        <w:t>2P,≤320V，≤40KA,立杆内安装，防潮</w:t>
      </w:r>
    </w:p>
    <w:p w14:paraId="2821D142">
      <w:pPr>
        <w:rPr>
          <w:color w:val="auto"/>
          <w:highlight w:val="none"/>
        </w:rPr>
      </w:pPr>
    </w:p>
    <w:p w14:paraId="34658DF8">
      <w:pPr>
        <w:pStyle w:val="6"/>
        <w:rPr>
          <w:color w:val="auto"/>
          <w:highlight w:val="none"/>
        </w:rPr>
      </w:pPr>
      <w:r>
        <w:rPr>
          <w:color w:val="auto"/>
          <w:highlight w:val="none"/>
        </w:rPr>
        <w:t>3</w:t>
      </w:r>
      <w:r>
        <w:rPr>
          <w:rFonts w:hint="eastAsia"/>
          <w:color w:val="auto"/>
          <w:highlight w:val="none"/>
        </w:rPr>
        <w:t>.</w:t>
      </w:r>
      <w:r>
        <w:rPr>
          <w:color w:val="auto"/>
          <w:highlight w:val="none"/>
        </w:rPr>
        <w:t>5</w:t>
      </w:r>
      <w:r>
        <w:rPr>
          <w:rFonts w:hint="eastAsia"/>
          <w:color w:val="auto"/>
          <w:highlight w:val="none"/>
        </w:rPr>
        <w:t>.</w:t>
      </w:r>
      <w:r>
        <w:rPr>
          <w:color w:val="auto"/>
          <w:highlight w:val="none"/>
        </w:rPr>
        <w:t>1</w:t>
      </w:r>
      <w:r>
        <w:rPr>
          <w:rFonts w:hint="eastAsia"/>
          <w:color w:val="auto"/>
          <w:highlight w:val="none"/>
        </w:rPr>
        <w:t>.</w:t>
      </w:r>
      <w:r>
        <w:rPr>
          <w:color w:val="auto"/>
          <w:highlight w:val="none"/>
        </w:rPr>
        <w:t xml:space="preserve">7 </w:t>
      </w:r>
      <w:r>
        <w:rPr>
          <w:rFonts w:hint="eastAsia"/>
          <w:color w:val="auto"/>
          <w:highlight w:val="none"/>
        </w:rPr>
        <w:t>辅材辅料</w:t>
      </w:r>
    </w:p>
    <w:p w14:paraId="37043764">
      <w:pPr>
        <w:ind w:firstLine="371" w:firstLineChars="177"/>
        <w:rPr>
          <w:color w:val="auto"/>
          <w:highlight w:val="none"/>
        </w:rPr>
      </w:pPr>
      <w:r>
        <w:rPr>
          <w:rFonts w:hint="eastAsia"/>
          <w:color w:val="auto"/>
          <w:highlight w:val="none"/>
        </w:rPr>
        <w:t>包含施工时连接线缆超五类跳线、熔接尾纤、304不锈钢金属软管等</w:t>
      </w:r>
    </w:p>
    <w:p w14:paraId="37CDB811">
      <w:pPr>
        <w:spacing w:line="360" w:lineRule="auto"/>
        <w:ind w:firstLine="720" w:firstLineChars="200"/>
        <w:rPr>
          <w:rFonts w:ascii="宋体" w:hAnsi="宋体"/>
          <w:bCs/>
          <w:color w:val="auto"/>
          <w:sz w:val="36"/>
          <w:highlight w:val="none"/>
        </w:rPr>
      </w:pPr>
    </w:p>
    <w:p w14:paraId="6A1B3B9D">
      <w:pPr>
        <w:pStyle w:val="4"/>
        <w:rPr>
          <w:color w:val="auto"/>
          <w:highlight w:val="none"/>
        </w:rPr>
      </w:pPr>
      <w:bookmarkStart w:id="135" w:name="_Toc18884"/>
      <w:r>
        <w:rPr>
          <w:color w:val="auto"/>
          <w:highlight w:val="none"/>
        </w:rPr>
        <w:t>5</w:t>
      </w:r>
      <w:r>
        <w:rPr>
          <w:rFonts w:hint="eastAsia"/>
          <w:color w:val="auto"/>
          <w:highlight w:val="none"/>
        </w:rPr>
        <w:t>.1前端设备安装要求</w:t>
      </w:r>
      <w:bookmarkEnd w:id="135"/>
    </w:p>
    <w:p w14:paraId="31CAF544">
      <w:pPr>
        <w:pStyle w:val="5"/>
        <w:ind w:left="240" w:right="240"/>
        <w:rPr>
          <w:color w:val="auto"/>
          <w:highlight w:val="none"/>
        </w:rPr>
      </w:pPr>
      <w:bookmarkStart w:id="136" w:name="_Toc24023"/>
      <w:r>
        <w:rPr>
          <w:color w:val="auto"/>
          <w:highlight w:val="none"/>
        </w:rPr>
        <w:t>5</w:t>
      </w:r>
      <w:r>
        <w:rPr>
          <w:rFonts w:hint="eastAsia"/>
          <w:color w:val="auto"/>
          <w:highlight w:val="none"/>
        </w:rPr>
        <w:t>.1.1立杆及基础安装要求</w:t>
      </w:r>
      <w:bookmarkEnd w:id="136"/>
    </w:p>
    <w:p w14:paraId="522FF583">
      <w:pPr>
        <w:spacing w:line="400" w:lineRule="exact"/>
        <w:ind w:firstLine="480"/>
        <w:rPr>
          <w:rFonts w:hAnsi="宋体" w:cs="仿宋"/>
          <w:color w:val="auto"/>
          <w:highlight w:val="none"/>
        </w:rPr>
      </w:pPr>
      <w:r>
        <w:rPr>
          <w:rFonts w:hint="eastAsia" w:hAnsi="宋体" w:cs="仿宋"/>
          <w:color w:val="auto"/>
          <w:highlight w:val="none"/>
        </w:rPr>
        <w:t>1.杆件、杆基础产品及工序须经监理报验合格后才能施工，立杆安装要尽量避开对行人、车辆人为设置障碍，取像在同一方向的立杆，间距较近的立杆要共杆安装摄像机（与人机非结构化摄像机共杆时，横臂非同一高度，采用安装滑轨调节横臂安装高度）。</w:t>
      </w:r>
    </w:p>
    <w:p w14:paraId="14EA8B31">
      <w:pPr>
        <w:spacing w:line="400" w:lineRule="exact"/>
        <w:ind w:firstLine="480"/>
        <w:rPr>
          <w:rFonts w:hAnsi="宋体" w:cs="仿宋"/>
          <w:color w:val="auto"/>
          <w:highlight w:val="none"/>
        </w:rPr>
      </w:pPr>
      <w:r>
        <w:rPr>
          <w:rFonts w:hint="eastAsia" w:hAnsi="宋体" w:cs="仿宋"/>
          <w:color w:val="auto"/>
          <w:highlight w:val="none"/>
        </w:rPr>
        <w:t>杆件立杆垂直、横臂水平，横臂端头要避免外部碰撞；</w:t>
      </w:r>
    </w:p>
    <w:p w14:paraId="04EAA029">
      <w:pPr>
        <w:spacing w:line="400" w:lineRule="exact"/>
        <w:ind w:firstLine="480"/>
        <w:rPr>
          <w:rFonts w:hAnsi="宋体" w:cs="仿宋"/>
          <w:color w:val="auto"/>
          <w:highlight w:val="none"/>
        </w:rPr>
      </w:pPr>
      <w:r>
        <w:rPr>
          <w:rFonts w:hint="eastAsia" w:hAnsi="宋体" w:cs="仿宋"/>
          <w:color w:val="auto"/>
          <w:highlight w:val="none"/>
        </w:rPr>
        <w:t>2.杆柱根部要做包封处理，在道板、水泥路面、柏油路面上与周边保持平整，在绿化带中要高于平面防止雨水留滞影响立杆寿命；</w:t>
      </w:r>
    </w:p>
    <w:p w14:paraId="380EF1B4">
      <w:pPr>
        <w:spacing w:line="400" w:lineRule="exact"/>
        <w:ind w:firstLine="480"/>
        <w:rPr>
          <w:rFonts w:hAnsi="宋体" w:cs="仿宋"/>
          <w:color w:val="auto"/>
          <w:highlight w:val="none"/>
        </w:rPr>
      </w:pPr>
      <w:r>
        <w:rPr>
          <w:rFonts w:hint="eastAsia" w:hAnsi="宋体" w:cs="仿宋"/>
          <w:color w:val="auto"/>
          <w:highlight w:val="none"/>
        </w:rPr>
        <w:t>3.每件杆件必须接地，接地电阻小于等于4欧姆；</w:t>
      </w:r>
    </w:p>
    <w:p w14:paraId="305B51B2">
      <w:pPr>
        <w:pStyle w:val="5"/>
        <w:ind w:left="240" w:right="240"/>
        <w:rPr>
          <w:color w:val="auto"/>
          <w:highlight w:val="none"/>
        </w:rPr>
      </w:pPr>
      <w:bookmarkStart w:id="137" w:name="_Toc18840"/>
      <w:r>
        <w:rPr>
          <w:color w:val="auto"/>
          <w:highlight w:val="none"/>
        </w:rPr>
        <w:t>5</w:t>
      </w:r>
      <w:r>
        <w:rPr>
          <w:rFonts w:hint="eastAsia"/>
          <w:color w:val="auto"/>
          <w:highlight w:val="none"/>
        </w:rPr>
        <w:t>.1.2结构化摄像机及相关前端设备安装要求：</w:t>
      </w:r>
      <w:bookmarkEnd w:id="137"/>
    </w:p>
    <w:p w14:paraId="3A59E232">
      <w:pPr>
        <w:spacing w:line="400" w:lineRule="exact"/>
        <w:ind w:firstLine="480"/>
        <w:rPr>
          <w:rFonts w:hAnsi="宋体" w:cs="仿宋"/>
          <w:color w:val="auto"/>
          <w:highlight w:val="none"/>
        </w:rPr>
      </w:pPr>
      <w:r>
        <w:rPr>
          <w:rFonts w:hint="eastAsia" w:hAnsi="宋体" w:cs="仿宋"/>
          <w:color w:val="auto"/>
          <w:highlight w:val="none"/>
        </w:rPr>
        <w:t>5.1.2.1结构化摄像机用于采集人像的安装要求：</w:t>
      </w:r>
    </w:p>
    <w:p w14:paraId="25476B69">
      <w:pPr>
        <w:spacing w:line="400" w:lineRule="exact"/>
        <w:ind w:firstLine="480"/>
        <w:rPr>
          <w:rFonts w:hAnsi="宋体" w:cs="仿宋"/>
          <w:color w:val="auto"/>
          <w:highlight w:val="none"/>
        </w:rPr>
      </w:pPr>
      <w:r>
        <w:rPr>
          <w:rFonts w:hint="eastAsia" w:hAnsi="宋体" w:cs="仿宋"/>
          <w:color w:val="auto"/>
          <w:highlight w:val="none"/>
        </w:rPr>
        <w:t>1.人脸识别准确率与人脸采集摄像机所采集到的人脸图像(片)相关，所以人脸采集摄像机安装位置、现场光源环境等因素影响极大，为保证其效果要求如下：必须符合《安全防范 人脸识别应用 图像采集规范(GA/T1325-2017)》第4.5章的要求；在出入口布设人脸采集摄像机时，首先要人车分道，各行其道。选择标准的行人通道、出入口作为人脸采集摄像机安装点，同时规范行人按单一方向通行，确保摄像机采集到经该通道所有人的正面脸图像。采集点区域内选择良好的光照环境，尽量避开逆光、偏光、顶光、脚光等光照环境，以防被采集到的人脸图像(片)不清晰，直接导致后端处理与分析困难，严重降低了识别与比对率，若无法规避采光劣境场合，在逆光或光照不足条件下要进行补光，确保人脸面部光照最佳，镜头必须选用高清晰自动光圈镜头，同时反复精调摄像机图像参数设定值，优先保证被采集到的人脸部图像(片)达到最佳清晰效果。保证采集的图像(片)人脸瞳距大于40像素，人脸处于画面中间位置，不能漏捕目标。</w:t>
      </w:r>
    </w:p>
    <w:p w14:paraId="3FF06D6B">
      <w:pPr>
        <w:spacing w:line="400" w:lineRule="exact"/>
        <w:ind w:firstLine="480"/>
        <w:rPr>
          <w:rFonts w:hAnsi="宋体" w:cs="仿宋"/>
          <w:color w:val="auto"/>
          <w:highlight w:val="none"/>
        </w:rPr>
      </w:pPr>
      <w:r>
        <w:rPr>
          <w:rFonts w:hint="eastAsia" w:hAnsi="宋体" w:cs="仿宋"/>
          <w:color w:val="auto"/>
          <w:highlight w:val="none"/>
        </w:rPr>
        <w:t>2.人脸采集摄像机架设位置，其目的是采集人脸正面清晰图片，因此需要尽量避开被采集的人脸被其他物体干扰或遮挡，摄像机应安装在人脸采集区域正前上方，正面摄取人脸，左右偏转&lt;25°，摄像机的俯视角度α&lt;15°。</w:t>
      </w:r>
    </w:p>
    <w:p w14:paraId="05A26649">
      <w:pPr>
        <w:spacing w:line="400" w:lineRule="exact"/>
        <w:ind w:firstLine="480"/>
        <w:rPr>
          <w:rFonts w:hAnsi="宋体" w:cs="仿宋"/>
          <w:color w:val="auto"/>
          <w:highlight w:val="none"/>
        </w:rPr>
      </w:pPr>
      <w:r>
        <w:rPr>
          <w:rFonts w:hint="eastAsia" w:hAnsi="宋体" w:cs="仿宋"/>
          <w:color w:val="auto"/>
          <w:highlight w:val="none"/>
        </w:rPr>
        <w:t>采集摄像机安装高度(H)与被采集人的水平距离(L)关系</w:t>
      </w:r>
    </w:p>
    <w:p w14:paraId="423AABC7">
      <w:pPr>
        <w:pStyle w:val="7"/>
        <w:rPr>
          <w:color w:val="auto"/>
          <w:highlight w:val="none"/>
        </w:rPr>
      </w:pPr>
      <w:r>
        <w:rPr>
          <w:color w:val="auto"/>
          <w:highlight w:val="none"/>
        </w:rPr>
        <w:drawing>
          <wp:anchor distT="0" distB="0" distL="114300" distR="114300" simplePos="0" relativeHeight="251664384" behindDoc="0" locked="0" layoutInCell="1" allowOverlap="1">
            <wp:simplePos x="0" y="0"/>
            <wp:positionH relativeFrom="column">
              <wp:posOffset>304165</wp:posOffset>
            </wp:positionH>
            <wp:positionV relativeFrom="paragraph">
              <wp:posOffset>51435</wp:posOffset>
            </wp:positionV>
            <wp:extent cx="3893185" cy="1641475"/>
            <wp:effectExtent l="0" t="0" r="12065" b="15875"/>
            <wp:wrapNone/>
            <wp:docPr id="17" name="图片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图片 46"/>
                    <pic:cNvPicPr>
                      <a:picLocks noChangeAspect="1"/>
                    </pic:cNvPicPr>
                  </pic:nvPicPr>
                  <pic:blipFill>
                    <a:blip r:embed="rId14"/>
                    <a:stretch>
                      <a:fillRect/>
                    </a:stretch>
                  </pic:blipFill>
                  <pic:spPr>
                    <a:xfrm>
                      <a:off x="0" y="0"/>
                      <a:ext cx="3893185" cy="1641475"/>
                    </a:xfrm>
                    <a:prstGeom prst="rect">
                      <a:avLst/>
                    </a:prstGeom>
                    <a:noFill/>
                    <a:ln>
                      <a:noFill/>
                    </a:ln>
                  </pic:spPr>
                </pic:pic>
              </a:graphicData>
            </a:graphic>
          </wp:anchor>
        </w:drawing>
      </w:r>
    </w:p>
    <w:p w14:paraId="5FDCC00A">
      <w:pPr>
        <w:pStyle w:val="7"/>
        <w:rPr>
          <w:color w:val="auto"/>
          <w:highlight w:val="none"/>
        </w:rPr>
      </w:pPr>
    </w:p>
    <w:p w14:paraId="32C03C2A">
      <w:pPr>
        <w:pStyle w:val="7"/>
        <w:rPr>
          <w:color w:val="auto"/>
          <w:highlight w:val="none"/>
        </w:rPr>
      </w:pPr>
    </w:p>
    <w:p w14:paraId="13D0ECC1">
      <w:pPr>
        <w:pStyle w:val="7"/>
        <w:rPr>
          <w:color w:val="auto"/>
          <w:highlight w:val="none"/>
        </w:rPr>
      </w:pPr>
    </w:p>
    <w:p w14:paraId="51176541">
      <w:pPr>
        <w:pStyle w:val="7"/>
        <w:rPr>
          <w:color w:val="auto"/>
          <w:highlight w:val="none"/>
        </w:rPr>
      </w:pPr>
    </w:p>
    <w:p w14:paraId="099450D9">
      <w:pPr>
        <w:pStyle w:val="7"/>
        <w:rPr>
          <w:color w:val="auto"/>
          <w:highlight w:val="none"/>
        </w:rPr>
      </w:pPr>
    </w:p>
    <w:p w14:paraId="19EE4D55">
      <w:pPr>
        <w:pStyle w:val="7"/>
        <w:rPr>
          <w:color w:val="auto"/>
          <w:highlight w:val="none"/>
        </w:rPr>
      </w:pPr>
    </w:p>
    <w:p w14:paraId="661967B4">
      <w:pPr>
        <w:pStyle w:val="7"/>
        <w:rPr>
          <w:color w:val="auto"/>
          <w:highlight w:val="none"/>
        </w:rPr>
      </w:pPr>
    </w:p>
    <w:p w14:paraId="77AC5C93">
      <w:pPr>
        <w:pStyle w:val="7"/>
        <w:rPr>
          <w:color w:val="auto"/>
          <w:highlight w:val="none"/>
        </w:rPr>
      </w:pPr>
    </w:p>
    <w:p w14:paraId="2A685ABB">
      <w:pPr>
        <w:spacing w:line="400" w:lineRule="exact"/>
        <w:ind w:firstLine="482"/>
        <w:rPr>
          <w:rFonts w:hAnsi="宋体" w:cs="仿宋"/>
          <w:color w:val="auto"/>
          <w:highlight w:val="none"/>
        </w:rPr>
      </w:pPr>
      <w:r>
        <w:rPr>
          <w:rFonts w:hint="eastAsia" w:hAnsi="宋体" w:cs="仿宋"/>
          <w:color w:val="auto"/>
          <w:highlight w:val="none"/>
        </w:rPr>
        <w:t>计算公式：H=0.18×L+1.6(m)</w:t>
      </w:r>
    </w:p>
    <w:p w14:paraId="006D7DFF">
      <w:pPr>
        <w:spacing w:line="400" w:lineRule="exact"/>
        <w:ind w:firstLine="482"/>
        <w:rPr>
          <w:rFonts w:hAnsi="宋体" w:cs="仿宋"/>
          <w:color w:val="auto"/>
          <w:highlight w:val="none"/>
        </w:rPr>
      </w:pPr>
      <w:r>
        <w:rPr>
          <w:rFonts w:hint="eastAsia" w:hAnsi="宋体" w:cs="仿宋"/>
          <w:color w:val="auto"/>
          <w:highlight w:val="none"/>
        </w:rPr>
        <w:t>H：采集摄像机镜头高度  L：采集摄像机与被采集人的水平距离</w:t>
      </w:r>
    </w:p>
    <w:p w14:paraId="03874CBF">
      <w:pPr>
        <w:spacing w:line="400" w:lineRule="exact"/>
        <w:ind w:firstLine="482"/>
        <w:rPr>
          <w:rFonts w:hAnsi="宋体" w:cs="仿宋"/>
          <w:color w:val="auto"/>
          <w:highlight w:val="none"/>
        </w:rPr>
      </w:pPr>
      <w:r>
        <w:rPr>
          <w:rFonts w:hint="eastAsia" w:hAnsi="宋体" w:cs="仿宋"/>
          <w:color w:val="auto"/>
          <w:highlight w:val="none"/>
        </w:rPr>
        <w:t>0.18：被采集人二侧耳朵间距[平均值(单位米)]</w:t>
      </w:r>
    </w:p>
    <w:p w14:paraId="7897FC33">
      <w:pPr>
        <w:spacing w:line="400" w:lineRule="exact"/>
        <w:ind w:firstLine="482"/>
        <w:rPr>
          <w:rFonts w:hAnsi="宋体" w:cs="仿宋"/>
          <w:color w:val="auto"/>
          <w:highlight w:val="none"/>
        </w:rPr>
      </w:pPr>
      <w:r>
        <w:rPr>
          <w:rFonts w:hint="eastAsia" w:hAnsi="宋体" w:cs="仿宋"/>
          <w:color w:val="auto"/>
          <w:highlight w:val="none"/>
        </w:rPr>
        <w:t>1.6m：被采集人脚底到鼻尖的垂直距离[平均值(单位米)]</w:t>
      </w:r>
    </w:p>
    <w:p w14:paraId="79B31A6E">
      <w:pPr>
        <w:spacing w:line="400" w:lineRule="exact"/>
        <w:ind w:firstLine="482"/>
        <w:rPr>
          <w:rFonts w:hAnsi="宋体" w:cs="仿宋"/>
          <w:color w:val="auto"/>
          <w:highlight w:val="none"/>
        </w:rPr>
      </w:pPr>
    </w:p>
    <w:p w14:paraId="6709F01C">
      <w:pPr>
        <w:spacing w:line="400" w:lineRule="exact"/>
        <w:ind w:firstLine="482"/>
        <w:rPr>
          <w:rFonts w:hAnsi="宋体" w:cs="仿宋"/>
          <w:color w:val="auto"/>
          <w:highlight w:val="none"/>
        </w:rPr>
      </w:pPr>
      <w:r>
        <w:rPr>
          <w:rFonts w:hint="eastAsia" w:hAnsi="宋体" w:cs="仿宋"/>
          <w:color w:val="auto"/>
          <w:highlight w:val="none"/>
        </w:rPr>
        <w:t>5.1.2.2结构化摄像机用于采集车辆的安装要求：</w:t>
      </w:r>
    </w:p>
    <w:p w14:paraId="034D4FA5">
      <w:pPr>
        <w:spacing w:line="400" w:lineRule="exact"/>
        <w:ind w:firstLine="482"/>
        <w:rPr>
          <w:rFonts w:hAnsi="宋体" w:cs="仿宋"/>
          <w:color w:val="auto"/>
          <w:highlight w:val="none"/>
        </w:rPr>
      </w:pPr>
      <w:r>
        <w:rPr>
          <w:rFonts w:hint="eastAsia" w:hAnsi="宋体" w:cs="仿宋"/>
          <w:color w:val="auto"/>
          <w:highlight w:val="none"/>
        </w:rPr>
        <w:t>1.车辆识别准确率与车辆采集摄像机所采集到的车牌及正副驾驶人脸图像(片)相关，所以采集摄像机安装位置、现场光源环境等因素影响极大，为保证其效果要求如下：在出入口布设车牌、人脸采集摄像机时，首先要人车分道，各行其道。选择标准的车辆通道、出入口作为车牌、人脸采集摄像机安装点，同时规范行车按规定方向通行，确保摄像机采集到经该通道所有车牌、人的正面脸图像。采集点区域内选择良好的光照环境，尽量避开逆光、偏光、顶光、脚光等光照环境，由于车挡风玻璃贴膜，以防被采集到的人脸图像(片)不清晰，直接导致后端处理与分析困难，严重降低了识别与比对率，若无法规避采光劣境场合，在逆光或光照不足条件下要进行补光，确保车牌与人脸面部光照最佳，镜头必须选用高清晰自动光圈镜头，同时反复精调摄像机图像参数设定值，优先保证被采集到的车牌、人脸部图像(片)达到最佳清晰效果。保证采集的图像(片)人脸瞳距大于40像素，人脸处于画面中间位置，不能漏捕目标。</w:t>
      </w:r>
    </w:p>
    <w:p w14:paraId="47F52EE1">
      <w:pPr>
        <w:spacing w:line="400" w:lineRule="exact"/>
        <w:ind w:firstLine="482"/>
        <w:rPr>
          <w:rFonts w:hAnsi="宋体" w:cs="仿宋"/>
          <w:color w:val="auto"/>
          <w:highlight w:val="none"/>
        </w:rPr>
      </w:pPr>
      <w:r>
        <w:rPr>
          <w:rFonts w:hint="eastAsia" w:hAnsi="宋体" w:cs="仿宋"/>
          <w:color w:val="auto"/>
          <w:highlight w:val="none"/>
        </w:rPr>
        <w:t>5.1.2.3结构化摄像机及相关的前端设备安装通用要求：</w:t>
      </w:r>
    </w:p>
    <w:p w14:paraId="24144196">
      <w:pPr>
        <w:spacing w:line="400" w:lineRule="exact"/>
        <w:ind w:firstLine="482"/>
        <w:rPr>
          <w:rFonts w:hAnsi="宋体" w:cs="仿宋"/>
          <w:color w:val="auto"/>
          <w:highlight w:val="none"/>
        </w:rPr>
      </w:pPr>
      <w:r>
        <w:rPr>
          <w:rFonts w:hint="eastAsia" w:hAnsi="宋体" w:cs="仿宋"/>
          <w:color w:val="auto"/>
          <w:highlight w:val="none"/>
        </w:rPr>
        <w:t>1. 结构化摄像机安装时，严格执行现行标准规范中的相关条款，由专业技能的人员安装。从摄像机引出的缆线宜留有余量，不得影响摄像机的转动，摄像机的线缆和电源线应穿304不锈钢波纹管保护(一体化摄像机例外)，电源线传输电压不得超出国家安全低压，不得用插头承受线缆的自重，与摄像机防护壳连接时必须采用不锈钢锁紧接头。摄像机调通后，图像质量损伤主观评价，要求图像上不觉察有损伤和干扰存在。结构化摄像机视场调试其效果必须符合3.1.2.1，3.1.2.2要求，视频码流设为6Mbp，图片流设为每幅1Mbp，自动光圈镜头最大光圈不得小于F=1.4，镜头螺丝须紧固，摄像机防护壳内设备安装要合理，连接导线要整洁，固定要牢固，并保持设备良好的工作环境，须装有电源与信号防雷器，设备接地严禁采用串联接法，必须星形连接；</w:t>
      </w:r>
    </w:p>
    <w:p w14:paraId="3824EBCA">
      <w:pPr>
        <w:spacing w:line="400" w:lineRule="exact"/>
        <w:ind w:firstLine="482"/>
        <w:rPr>
          <w:rFonts w:hAnsi="宋体" w:cs="仿宋"/>
          <w:color w:val="auto"/>
          <w:highlight w:val="none"/>
        </w:rPr>
      </w:pPr>
      <w:r>
        <w:rPr>
          <w:rFonts w:hint="eastAsia" w:hAnsi="宋体" w:cs="仿宋"/>
          <w:color w:val="auto"/>
          <w:highlight w:val="none"/>
        </w:rPr>
        <w:t>2. 补光安装要求：选用高效、节能、长寿命的冷光源LED自控环保灯或联动控制灯作辅助灯光。不得采用频闪或光束与地面成水平线夹角小于75度等安装角度。辅助光源的电源通过自动测光在夜间或白天光线不足时打开照明，光线充足时关闭照明。联动自控灯要与车辆驶入采集区域时联动，自控LED补光灯安装要与镜头同方向，灯光发射角度要与镜头的f值大小相匹配，近焦镜头选用灯光发射角度要大，远焦镜头选用灯光发射角度要小，灯光发射角度要略大于镜头角度5至10度。灯安装调好角度后要锁定角度，灯具固定要牢固。</w:t>
      </w:r>
    </w:p>
    <w:p w14:paraId="7B76651E">
      <w:pPr>
        <w:spacing w:line="400" w:lineRule="exact"/>
        <w:ind w:firstLine="482"/>
        <w:rPr>
          <w:rFonts w:hAnsi="宋体" w:cs="仿宋"/>
          <w:color w:val="auto"/>
          <w:highlight w:val="none"/>
        </w:rPr>
      </w:pPr>
      <w:r>
        <w:rPr>
          <w:rFonts w:hint="eastAsia" w:hAnsi="宋体" w:cs="仿宋"/>
          <w:color w:val="auto"/>
          <w:highlight w:val="none"/>
        </w:rPr>
        <w:t>3.采用防水光交换机，交换机要安装在立杆检修门内，皮纤在检修门内留有一定的长度余量，采用法兰对接头；</w:t>
      </w:r>
    </w:p>
    <w:p w14:paraId="08122DB5">
      <w:pPr>
        <w:spacing w:line="400" w:lineRule="exact"/>
        <w:ind w:firstLine="482"/>
        <w:rPr>
          <w:rFonts w:hAnsi="宋体" w:cs="仿宋"/>
          <w:color w:val="auto"/>
          <w:highlight w:val="none"/>
        </w:rPr>
      </w:pPr>
      <w:r>
        <w:rPr>
          <w:rFonts w:hint="eastAsia" w:hAnsi="宋体" w:cs="仿宋"/>
          <w:color w:val="auto"/>
          <w:highlight w:val="none"/>
        </w:rPr>
        <w:t>4.安装壁装不锈钢供配电设备箱，箱内供安装电源变换器、稳压器、电表、开关等设备，金属外壳要接地，不锈钢室内设备箱，外型尺寸、标识、外表涂覆与以往工程使用的不锈钢室内设备箱一致，箱内线缆要用绝缘护套保护，挂标识牌；</w:t>
      </w:r>
    </w:p>
    <w:p w14:paraId="3C702B55">
      <w:pPr>
        <w:spacing w:line="400" w:lineRule="exact"/>
        <w:ind w:firstLine="482"/>
        <w:rPr>
          <w:rFonts w:hAnsi="宋体" w:cs="仿宋"/>
          <w:color w:val="auto"/>
          <w:highlight w:val="none"/>
        </w:rPr>
      </w:pPr>
      <w:r>
        <w:rPr>
          <w:rFonts w:hint="eastAsia" w:hAnsi="宋体" w:cs="仿宋"/>
          <w:color w:val="auto"/>
          <w:highlight w:val="none"/>
        </w:rPr>
        <w:t>5.若采用户外落地设备柜，箱内供安装电源变换器、稳压器、电表、开关等设备，金属外壳要接地，设备箱，外型尺寸、标识、外表涂复与以往工程使用的不锈钢户外设备箱一致，箱内线缆要用绝缘护套保护，挂标识牌；</w:t>
      </w:r>
    </w:p>
    <w:p w14:paraId="363B26A9">
      <w:pPr>
        <w:pStyle w:val="4"/>
        <w:rPr>
          <w:color w:val="auto"/>
          <w:highlight w:val="none"/>
        </w:rPr>
      </w:pPr>
      <w:bookmarkStart w:id="138" w:name="_Toc8863"/>
      <w:r>
        <w:rPr>
          <w:color w:val="auto"/>
          <w:highlight w:val="none"/>
        </w:rPr>
        <w:t>5</w:t>
      </w:r>
      <w:r>
        <w:rPr>
          <w:rFonts w:hint="eastAsia"/>
          <w:color w:val="auto"/>
          <w:highlight w:val="none"/>
        </w:rPr>
        <w:t>.2通讯线路施工要求</w:t>
      </w:r>
      <w:bookmarkEnd w:id="138"/>
    </w:p>
    <w:p w14:paraId="1646DF83">
      <w:pPr>
        <w:pStyle w:val="5"/>
        <w:ind w:left="240" w:right="240"/>
        <w:rPr>
          <w:color w:val="auto"/>
          <w:highlight w:val="none"/>
        </w:rPr>
      </w:pPr>
      <w:bookmarkStart w:id="139" w:name="_Toc17947"/>
      <w:r>
        <w:rPr>
          <w:color w:val="auto"/>
          <w:highlight w:val="none"/>
        </w:rPr>
        <w:t>5</w:t>
      </w:r>
      <w:r>
        <w:rPr>
          <w:rFonts w:hint="eastAsia"/>
          <w:color w:val="auto"/>
          <w:highlight w:val="none"/>
        </w:rPr>
        <w:t>.2.1前端通信线路施工要求</w:t>
      </w:r>
      <w:bookmarkEnd w:id="139"/>
    </w:p>
    <w:p w14:paraId="37F96E52">
      <w:pPr>
        <w:spacing w:line="400" w:lineRule="exact"/>
        <w:ind w:firstLine="480"/>
        <w:rPr>
          <w:rFonts w:hAnsi="宋体" w:cs="仿宋"/>
          <w:color w:val="auto"/>
          <w:highlight w:val="none"/>
        </w:rPr>
      </w:pPr>
      <w:r>
        <w:rPr>
          <w:rFonts w:hint="eastAsia" w:hAnsi="宋体" w:cs="仿宋"/>
          <w:color w:val="auto"/>
          <w:highlight w:val="none"/>
        </w:rPr>
        <w:t>前端各感知采集点位旁应有手(孔)井400mm×600mm×800mm，相邻采集点在一个出入口且相距5米左右可共用一个手(孔)井，熔接包挂在井壁上，管线口须用材料封堵、以防虫鼠及泥沙灌入，电、光缆出线处、必须有明显的标识，管线井内线缆、出线处线缆必须分色穿护套管、悬挂机打印永久标识牌、供电线缆宜用红色护套管、挂警示标识牌。所采集的感知信息，均通过自建通信线路传输至该区域的汇聚工作站，光缆不得从小区汇聚点打包或转接，不得进入运营商交接箱，严禁在非通信管道(如下水管道、污水管道等管道)内敷设光缆、通信线缆、电源线缆，即线缆从前端采集点直至该区域公安汇聚工作站。</w:t>
      </w:r>
    </w:p>
    <w:p w14:paraId="770A0F6F">
      <w:pPr>
        <w:pStyle w:val="5"/>
        <w:ind w:left="240" w:right="240"/>
        <w:rPr>
          <w:color w:val="auto"/>
          <w:highlight w:val="none"/>
        </w:rPr>
      </w:pPr>
      <w:bookmarkStart w:id="140" w:name="_Toc1442"/>
      <w:r>
        <w:rPr>
          <w:color w:val="auto"/>
          <w:highlight w:val="none"/>
        </w:rPr>
        <w:t>5</w:t>
      </w:r>
      <w:r>
        <w:rPr>
          <w:rFonts w:hint="eastAsia"/>
          <w:color w:val="auto"/>
          <w:highlight w:val="none"/>
        </w:rPr>
        <w:t>.2.2汇聚工作站通信线路施工要求</w:t>
      </w:r>
      <w:bookmarkEnd w:id="140"/>
    </w:p>
    <w:p w14:paraId="57FF18BF">
      <w:pPr>
        <w:spacing w:line="400" w:lineRule="exact"/>
        <w:ind w:firstLine="480"/>
        <w:rPr>
          <w:rFonts w:hAnsi="宋体" w:cs="仿宋"/>
          <w:color w:val="auto"/>
          <w:highlight w:val="none"/>
        </w:rPr>
      </w:pPr>
      <w:r>
        <w:rPr>
          <w:rFonts w:hint="eastAsia" w:hAnsi="宋体" w:cs="仿宋"/>
          <w:color w:val="auto"/>
          <w:highlight w:val="none"/>
        </w:rPr>
        <w:t>线缆接入公安汇聚点，可利用改造小区废弃的监控点的光缆，或管道，线缆进入汇聚工作站手孔内，在井内通过熔纤包与48(96)芯光缆熔接，48(96)芯光缆另一端与1U48(96)芯光纤终端盒中尾纤熔接，然后插入终端盒面板法兰口中，用于连接纤对接到光汇聚交换机输入口，熔纤包须固定有手孔井壁上。井中余缆不得超过2圈、并固定好，终端盒要提供成端纤序表及图纸。(施工前须与市公安局崇川分局技防部门联系，施工单位须将汇聚箱内交换机完整交付给公安部门，由公安统一安装配置。)</w:t>
      </w:r>
    </w:p>
    <w:p w14:paraId="7065484D">
      <w:pPr>
        <w:pStyle w:val="5"/>
        <w:ind w:left="240" w:right="240"/>
        <w:rPr>
          <w:color w:val="auto"/>
          <w:highlight w:val="none"/>
        </w:rPr>
      </w:pPr>
      <w:bookmarkStart w:id="141" w:name="_Toc26635"/>
      <w:r>
        <w:rPr>
          <w:color w:val="auto"/>
          <w:highlight w:val="none"/>
        </w:rPr>
        <w:t>5</w:t>
      </w:r>
      <w:r>
        <w:rPr>
          <w:rFonts w:hint="eastAsia"/>
          <w:color w:val="auto"/>
          <w:highlight w:val="none"/>
        </w:rPr>
        <w:t>.2.3管线施工执行标准要求</w:t>
      </w:r>
      <w:bookmarkEnd w:id="141"/>
    </w:p>
    <w:p w14:paraId="7893A7E8">
      <w:pPr>
        <w:spacing w:line="400" w:lineRule="exact"/>
        <w:ind w:firstLine="480"/>
        <w:rPr>
          <w:rFonts w:hAnsi="宋体" w:cs="仿宋"/>
          <w:color w:val="auto"/>
          <w:highlight w:val="none"/>
        </w:rPr>
      </w:pPr>
      <w:r>
        <w:rPr>
          <w:rFonts w:hint="eastAsia" w:hAnsi="宋体" w:cs="仿宋"/>
          <w:color w:val="auto"/>
          <w:highlight w:val="none"/>
        </w:rPr>
        <w:t>管线施工按《通信管道工程施工及验收标准(GB50374)》《通信线路工程验收规范(GB51171》执行。</w:t>
      </w:r>
    </w:p>
    <w:p w14:paraId="539D6BE3">
      <w:pPr>
        <w:pStyle w:val="4"/>
        <w:rPr>
          <w:color w:val="auto"/>
          <w:highlight w:val="none"/>
        </w:rPr>
      </w:pPr>
      <w:bookmarkStart w:id="142" w:name="_Toc16642"/>
      <w:r>
        <w:rPr>
          <w:color w:val="auto"/>
          <w:highlight w:val="none"/>
        </w:rPr>
        <w:t>5</w:t>
      </w:r>
      <w:r>
        <w:rPr>
          <w:rFonts w:hint="eastAsia"/>
          <w:color w:val="auto"/>
          <w:highlight w:val="none"/>
        </w:rPr>
        <w:t>.3防雷接地施工要求</w:t>
      </w:r>
      <w:bookmarkEnd w:id="142"/>
    </w:p>
    <w:p w14:paraId="5940C000">
      <w:pPr>
        <w:spacing w:line="400" w:lineRule="exact"/>
        <w:ind w:firstLine="480"/>
        <w:rPr>
          <w:rFonts w:hAnsi="宋体" w:cs="仿宋"/>
          <w:color w:val="auto"/>
          <w:highlight w:val="none"/>
        </w:rPr>
      </w:pPr>
      <w:r>
        <w:rPr>
          <w:rFonts w:hint="eastAsia" w:hAnsi="宋体" w:cs="仿宋"/>
          <w:color w:val="auto"/>
          <w:highlight w:val="none"/>
        </w:rPr>
        <w:t>防雷与接地执行现行的国家标准《安全防范系统雷电浪涌防护技术要求(GA/T 670)》第4、5、6、7、8、9、10章规定；《安全防范工程技术标准(GB50348)》、《民用建筑电气设计标准(GB51314)》的相关规定，等电位连接与共用接地系统施工必须符合《建筑物电子信息系统防雷技术规范(GB50343)》第6章规定，《安全防范工程通用规范(GB55029-2022)》，本系统中的设备必须进行防雷接地和安全防护接地，独立接地电阻≤4Ω，复合接地电阻≤1Ω。</w:t>
      </w:r>
    </w:p>
    <w:p w14:paraId="2412A65B">
      <w:pPr>
        <w:pStyle w:val="4"/>
        <w:rPr>
          <w:color w:val="auto"/>
          <w:highlight w:val="none"/>
        </w:rPr>
      </w:pPr>
      <w:bookmarkStart w:id="143" w:name="_Toc19445"/>
      <w:r>
        <w:rPr>
          <w:color w:val="auto"/>
          <w:highlight w:val="none"/>
        </w:rPr>
        <w:t>5</w:t>
      </w:r>
      <w:r>
        <w:rPr>
          <w:rFonts w:hint="eastAsia"/>
          <w:color w:val="auto"/>
          <w:highlight w:val="none"/>
        </w:rPr>
        <w:t>.4前端供电施工要求</w:t>
      </w:r>
      <w:bookmarkEnd w:id="143"/>
    </w:p>
    <w:p w14:paraId="7A84A92D">
      <w:pPr>
        <w:spacing w:line="400" w:lineRule="exact"/>
        <w:ind w:firstLine="480"/>
        <w:rPr>
          <w:rFonts w:hAnsi="宋体" w:cs="仿宋"/>
          <w:color w:val="auto"/>
          <w:highlight w:val="none"/>
        </w:rPr>
      </w:pPr>
      <w:r>
        <w:rPr>
          <w:rFonts w:hint="eastAsia" w:hAnsi="宋体" w:cs="仿宋"/>
          <w:color w:val="auto"/>
          <w:highlight w:val="none"/>
        </w:rPr>
        <w:t>《安全防范系统供电技术要求(GB/T15408)》第5、6、7、8、9、10章规定；《视频安防监控系统工程设计规范(GB50395)》第8章规定；《综合布线系统工程设计规范(GB50311)》第7章的规定；《智能建筑工程施工规范(GB50606)》第16章的规定：《智能建筑工程质量验收规范(GB50339)》第22章。《建筑物电子信息系统防雷技术规范(GB50343)》第5.1.2、5.2.5、5.4.2、7.3.3条强制性条文和5.5.1、5.5.2、5.5.3、8.1.2规定；</w:t>
      </w:r>
    </w:p>
    <w:p w14:paraId="4E5B256C">
      <w:pPr>
        <w:spacing w:line="400" w:lineRule="exact"/>
        <w:ind w:firstLine="480"/>
        <w:rPr>
          <w:rFonts w:hAnsi="宋体" w:cs="仿宋"/>
          <w:color w:val="auto"/>
          <w:highlight w:val="none"/>
        </w:rPr>
      </w:pPr>
      <w:r>
        <w:rPr>
          <w:rFonts w:hint="eastAsia" w:hAnsi="宋体" w:cs="仿宋"/>
          <w:color w:val="auto"/>
          <w:highlight w:val="none"/>
        </w:rPr>
        <w:t>1.执行《安全防范工程技术标准(GB50348)》、《建筑电气与智能化通用规范(GB55024)》、《安全防范工程通用规范(GB55029-2022)》《民用建筑电气设计标准(GB51314)》；所有的供配电均采取向南通供电公司申报、核准、验收，供电公司按规程装表计量、收费的供配电模式。</w:t>
      </w:r>
    </w:p>
    <w:p w14:paraId="19B786AA">
      <w:pPr>
        <w:spacing w:line="400" w:lineRule="exact"/>
        <w:ind w:firstLine="480"/>
        <w:rPr>
          <w:rFonts w:hAnsi="宋体" w:cs="仿宋"/>
          <w:color w:val="auto"/>
          <w:highlight w:val="none"/>
        </w:rPr>
      </w:pPr>
      <w:r>
        <w:rPr>
          <w:rFonts w:hint="eastAsia" w:hAnsi="宋体" w:cs="仿宋"/>
          <w:color w:val="auto"/>
          <w:highlight w:val="none"/>
        </w:rPr>
        <w:t>2.户内安全低压变送装置安装高度一般不宜超过2.5m，与安装体采用紧固件连接。安全低压变送装置紧靠交流220V取电处，其距离宜控制在2m左右；户外安全低压变送装置设备箱，采用统一的不锈钢标准电能箱，按户外设备柜安装要求安装施工。箱体进出线均采用隐蔽方式，不得有线缆裸露。箱内设备及金属外壳必须接地，箱体应接地。</w:t>
      </w:r>
    </w:p>
    <w:p w14:paraId="30B5E6D9">
      <w:pPr>
        <w:spacing w:line="400" w:lineRule="exact"/>
        <w:ind w:firstLine="480"/>
        <w:rPr>
          <w:rFonts w:hAnsi="宋体" w:cs="仿宋"/>
          <w:color w:val="auto"/>
          <w:highlight w:val="none"/>
        </w:rPr>
      </w:pPr>
      <w:r>
        <w:rPr>
          <w:rFonts w:hint="eastAsia" w:hAnsi="宋体" w:cs="仿宋"/>
          <w:color w:val="auto"/>
          <w:highlight w:val="none"/>
        </w:rPr>
        <w:t>3.等电位连接与共用接地系统施工必须符合《建筑物电子信息系统防雷技术规范(GB50343)》第6章规定。接地导线与接地单孔金属片(铜鼻子)压接处必须套有热缩套管，导线采用国际标准的外护套为绿黄双色导线，所用线径必须符合规范要求。用螺柱或螺母紧固铜鼻子时必须垫有相适配的垫圈和弹簧垫圈，连接点必须采取防腐措施。</w:t>
      </w:r>
    </w:p>
    <w:p w14:paraId="4D65EA6C">
      <w:pPr>
        <w:spacing w:line="400" w:lineRule="exact"/>
        <w:ind w:firstLine="480"/>
        <w:rPr>
          <w:rFonts w:hAnsi="宋体" w:cs="仿宋"/>
          <w:color w:val="auto"/>
          <w:highlight w:val="none"/>
        </w:rPr>
      </w:pPr>
      <w:r>
        <w:rPr>
          <w:rFonts w:hint="eastAsia" w:hAnsi="宋体" w:cs="仿宋"/>
          <w:color w:val="auto"/>
          <w:highlight w:val="none"/>
        </w:rPr>
        <w:t>4.选合适处用混凝土浇铸柜体固定基础，用于固定电能计取柜，柜体底部高出周边地坪0.3米以上。电能计取柜统一外型尺寸，柜体材质为不锈钢、门要封闭防水、门锁要可靠，确保柜内设备的安全和他人的人身安全，柜门安装朝向须满足维护和检修要求，柜体内电气设备、电度表、导线走向、导线捆扎、线缆挂(穿)永久标识均要标准化、规范化，柜内要无杂物整洁。柜内电气设备、开关等均要有3C标志。颜色、外形、标色都有规定要求，设备增添有一定的空间余量，并且有通风、散热、防水、防湿、防高低温、防雷、安全供电、接地、防盗、防鼠害等综合措施，柜内电气设备、电度表、导线等安装要标准化、规范化；自动重合闸开关不得作为主控电源开关使用，交流220V供配电时，主控开关必须与漏电保护器(开关)安装在同回路中，确保安全用电和他人的人身安全！对市电交流220V电压波动大的地区，供配电电源须经宽动态交流稳压器稳压后，将电源传送至环形变压器初级端口，环形变压器次级低压输出端口须装带过流保护的空气开关，低压电通过此开关向前端摄像机、交换机等用电设备供配电。电能计取柜采购前须经监理方审核签认。</w:t>
      </w:r>
    </w:p>
    <w:p w14:paraId="59DF1809">
      <w:pPr>
        <w:spacing w:line="400" w:lineRule="exact"/>
        <w:ind w:firstLine="480"/>
        <w:rPr>
          <w:rFonts w:hAnsi="宋体" w:cs="仿宋"/>
          <w:color w:val="auto"/>
          <w:highlight w:val="none"/>
        </w:rPr>
      </w:pPr>
      <w:r>
        <w:rPr>
          <w:rFonts w:hint="eastAsia" w:hAnsi="宋体" w:cs="仿宋"/>
          <w:color w:val="auto"/>
          <w:highlight w:val="none"/>
        </w:rPr>
        <w:t>5.前端设备供电采取集合式低压安全供电方式，必须满足《安全防范工程技术标准(GB50348》、《安全防范系统供电技术要求(GB/T15408)》5.2、《民用建筑电气设计标准(GB51314)》14.8.2规定；每个监控点位单位负荷容量设定为：100W，计算并绘制出供配电路由及施工图，并附数值详表。</w:t>
      </w:r>
    </w:p>
    <w:p w14:paraId="5EA9F333">
      <w:pPr>
        <w:spacing w:line="400" w:lineRule="exact"/>
        <w:ind w:firstLine="480"/>
        <w:rPr>
          <w:rFonts w:hAnsi="宋体" w:cs="仿宋"/>
          <w:color w:val="auto"/>
          <w:highlight w:val="none"/>
        </w:rPr>
      </w:pPr>
      <w:r>
        <w:rPr>
          <w:rFonts w:hint="eastAsia" w:hAnsi="宋体" w:cs="仿宋"/>
          <w:color w:val="auto"/>
          <w:highlight w:val="none"/>
        </w:rPr>
        <w:t>6.相配套的电气管线等设施以及与供电方验收合格挂表供电事宜的办理均由承建方负责实施。</w:t>
      </w:r>
    </w:p>
    <w:p w14:paraId="38E3D4E1">
      <w:pPr>
        <w:pStyle w:val="4"/>
        <w:rPr>
          <w:color w:val="auto"/>
          <w:highlight w:val="none"/>
        </w:rPr>
      </w:pPr>
      <w:bookmarkStart w:id="144" w:name="_Toc26182"/>
      <w:r>
        <w:rPr>
          <w:color w:val="auto"/>
          <w:highlight w:val="none"/>
        </w:rPr>
        <w:t>5</w:t>
      </w:r>
      <w:r>
        <w:rPr>
          <w:rFonts w:hint="eastAsia"/>
          <w:color w:val="auto"/>
          <w:highlight w:val="none"/>
        </w:rPr>
        <w:t>.5电缆、光缆的施工工艺要求及注意事项</w:t>
      </w:r>
      <w:bookmarkEnd w:id="144"/>
    </w:p>
    <w:p w14:paraId="176A7E0D">
      <w:pPr>
        <w:spacing w:line="400" w:lineRule="exact"/>
        <w:ind w:firstLine="480"/>
        <w:rPr>
          <w:rFonts w:hAnsi="宋体" w:cs="仿宋"/>
          <w:color w:val="auto"/>
          <w:highlight w:val="none"/>
        </w:rPr>
      </w:pPr>
      <w:r>
        <w:rPr>
          <w:rFonts w:hint="eastAsia" w:hAnsi="宋体" w:cs="仿宋"/>
          <w:color w:val="auto"/>
          <w:highlight w:val="none"/>
        </w:rPr>
        <w:t>5.5.1严格执行现行的国家标准规范中的条款：《电气装置安装工程电缆线路施工及验收规范(GB50168)》、《电气装置安装工程接地装置施工及验收规范(GB50169)》涉及到本工程的条款；《民用闭路监视电视系统工程技术规范(GB50198)》第4.3；《电气装置安装低压电气施工及验收规范(GB50254)》、《城市工程管线综合规划规范(GB50289)》、《建筑电气工程施工质量验收规范(GB50303)》、与本工程有关条款；《智能建筑工程质量验收规范(GB50339)》第8章；《安全防范工程技术标准(GB50348)》第3.11、3.12；《通信管道工程施工及验收规范(GB/T50374)》第2、3、4、5、6、7、8章；《智能建筑工程施工规范(GB50606)》第4、5章；《通信线路工程验收规范(GB51171)》、涉及到本工程的条款；《民用建筑电气设计标准(GB51314)》第7、8、14、21章等、《安防线缆(GA/T1297)》、《建筑电气与智能化通用规范(GB55024)》、《安全防范工程通用规范(GB55029-2022)》凡涉及到本工程的章节条款。</w:t>
      </w:r>
    </w:p>
    <w:p w14:paraId="6B72890B">
      <w:pPr>
        <w:spacing w:line="400" w:lineRule="exact"/>
        <w:ind w:firstLine="480"/>
        <w:rPr>
          <w:rFonts w:hAnsi="宋体" w:cs="仿宋"/>
          <w:color w:val="auto"/>
          <w:highlight w:val="none"/>
        </w:rPr>
      </w:pPr>
      <w:r>
        <w:rPr>
          <w:rFonts w:hint="eastAsia" w:hAnsi="宋体" w:cs="仿宋"/>
          <w:color w:val="auto"/>
          <w:highlight w:val="none"/>
        </w:rPr>
        <w:t>5.5.2以上标准中的强制性条文必须严格执行。由专业技能的持证人员实施。市电供电部分验收由国家电网南通供电公司按规程验收合格后供电，管线归属本工程验收范围内。</w:t>
      </w:r>
    </w:p>
    <w:p w14:paraId="24006069">
      <w:pPr>
        <w:spacing w:line="400" w:lineRule="exact"/>
        <w:ind w:firstLine="480"/>
        <w:rPr>
          <w:rFonts w:hAnsi="宋体" w:cs="仿宋"/>
          <w:color w:val="auto"/>
          <w:highlight w:val="none"/>
        </w:rPr>
      </w:pPr>
      <w:r>
        <w:rPr>
          <w:rFonts w:hint="eastAsia" w:hAnsi="宋体" w:cs="仿宋"/>
          <w:color w:val="auto"/>
          <w:highlight w:val="none"/>
        </w:rPr>
        <w:t xml:space="preserve">5.5.3交流220V及交流30V以下电压的电源电缆穿PE管或SC镀锌钢管直接埋地敷设，必须符合《电气装置安装工程电缆线路施工及验收规范(GB50168)》第4章、第5章；《建筑电气工程施工质量验收规范(GB50303)》所涉及到的要求和相关标准；《民用建筑电气设计标准(GB51314)》； </w:t>
      </w:r>
    </w:p>
    <w:p w14:paraId="3D7F67E6">
      <w:pPr>
        <w:spacing w:line="400" w:lineRule="exact"/>
        <w:ind w:firstLine="480"/>
        <w:rPr>
          <w:rFonts w:hAnsi="宋体" w:cs="仿宋"/>
          <w:color w:val="auto"/>
          <w:highlight w:val="none"/>
        </w:rPr>
      </w:pPr>
      <w:r>
        <w:rPr>
          <w:rFonts w:hint="eastAsia" w:hAnsi="宋体" w:cs="仿宋"/>
          <w:color w:val="auto"/>
          <w:highlight w:val="none"/>
        </w:rPr>
        <w:t>5.5.4传输光缆穿PE/PVC管直接埋地敷设，必须符合《城市工程管线综合规划规范(GB50289)》、《通信管道工程施工及验收标准(GB/T50374)》第7章铺设管道表7.1.3通信管道管顶至路面的最小埋设深度表(m)的要求、7.3.基础、7.5塑料管道铺设、7.5.5管道铺设应符合下列规定等；《住宅区和住宅建筑内通信设施工设计规范(GB/T50605》、《通信线路工程验收规范(GB51171)》涉及到的相关标准。</w:t>
      </w:r>
    </w:p>
    <w:p w14:paraId="5BC1AE88">
      <w:pPr>
        <w:spacing w:line="400" w:lineRule="exact"/>
        <w:ind w:firstLine="480"/>
        <w:rPr>
          <w:rFonts w:hAnsi="宋体" w:cs="仿宋"/>
          <w:color w:val="auto"/>
          <w:highlight w:val="none"/>
        </w:rPr>
      </w:pPr>
      <w:r>
        <w:rPr>
          <w:rFonts w:hint="eastAsia" w:hAnsi="宋体" w:cs="仿宋"/>
          <w:color w:val="auto"/>
          <w:highlight w:val="none"/>
        </w:rPr>
        <w:t>5.5.5信号传输光纤和电源电缆采用地埋管道敷设，利用三网路由中智能化专用管路，不得利用其他资源，否则产生的一切后果由中标方负责。电缆管道和光缆管道铺设、人(手)孔、管道建筑必须按标准执行，涉及到标准中的强制条文必须严格执行。因线路管道工程施工、电缆、光缆敷设涉及到的标准和标准中的章节条款较多，在此不再一一编列，由施工承包单位按本章所列的有关标准详细查阅后按规定执行。</w:t>
      </w:r>
    </w:p>
    <w:p w14:paraId="3051784A">
      <w:pPr>
        <w:spacing w:line="400" w:lineRule="exact"/>
        <w:ind w:firstLine="480"/>
        <w:rPr>
          <w:rFonts w:hAnsi="宋体" w:cs="仿宋"/>
          <w:color w:val="auto"/>
          <w:highlight w:val="none"/>
        </w:rPr>
      </w:pPr>
      <w:r>
        <w:rPr>
          <w:rFonts w:hint="eastAsia" w:hAnsi="宋体" w:cs="仿宋"/>
          <w:color w:val="auto"/>
          <w:highlight w:val="none"/>
        </w:rPr>
        <w:t>5.5.6传输管道的铺设起点为各个摄像机安装点，</w:t>
      </w:r>
    </w:p>
    <w:p w14:paraId="40808367">
      <w:pPr>
        <w:spacing w:line="400" w:lineRule="exact"/>
        <w:ind w:firstLine="480"/>
        <w:rPr>
          <w:rFonts w:hAnsi="宋体" w:cs="仿宋"/>
          <w:color w:val="auto"/>
          <w:highlight w:val="none"/>
        </w:rPr>
      </w:pPr>
      <w:r>
        <w:rPr>
          <w:rFonts w:hint="eastAsia" w:hAnsi="宋体" w:cs="仿宋"/>
          <w:color w:val="auto"/>
          <w:highlight w:val="none"/>
        </w:rPr>
        <w:t xml:space="preserve">普通摄像机安装点，设400mm×400mm×800mm单井盖手孔井，或者就近接入三网路由手孔井，前端每个监控单点须有不少于2芯光缆铺设到位，光缆在手井内进入户外熔接包与皮纤光缆熔接,户外熔纤包固定手井壁墙上，熔接测试合格后，皮纤带法兰的另一头插入感知采集点交换机的光口中，也可以将皮纤带法兰的一端供来自感知采集点光交换机的跳纤插入；终点为小区内安防汇聚点手孔600mm×800mm×1000mm双井盖； </w:t>
      </w:r>
    </w:p>
    <w:p w14:paraId="1D3DDC10">
      <w:pPr>
        <w:spacing w:line="400" w:lineRule="exact"/>
        <w:ind w:firstLine="480"/>
        <w:rPr>
          <w:rFonts w:hAnsi="宋体" w:cs="仿宋"/>
          <w:color w:val="auto"/>
          <w:highlight w:val="none"/>
        </w:rPr>
      </w:pPr>
      <w:r>
        <w:rPr>
          <w:rFonts w:hint="eastAsia" w:hAnsi="宋体" w:cs="仿宋"/>
          <w:color w:val="auto"/>
          <w:highlight w:val="none"/>
        </w:rPr>
        <w:t>公安摄像机安装点，设400mm×600mm×800mm单井盖手孔井，前端每个监控单点须有不少于2芯光缆铺设到位，光缆在手井内进入户外熔接包与皮纤光缆熔接,户外熔纤包固定手井壁墙上，熔接测试合格后，皮纤带法兰的另一头插入感知采集点交换机的光口中，也可以将皮纤带法兰的一端供来自感知采集点光交换机的跳纤插入；终点为汇聚站手孔600mm×800mm×1000mm双井盖；</w:t>
      </w:r>
    </w:p>
    <w:p w14:paraId="69301CE3">
      <w:pPr>
        <w:spacing w:line="400" w:lineRule="exact"/>
        <w:ind w:firstLine="480"/>
        <w:rPr>
          <w:rFonts w:hAnsi="宋体" w:cs="仿宋"/>
          <w:color w:val="auto"/>
          <w:highlight w:val="none"/>
        </w:rPr>
      </w:pPr>
      <w:r>
        <w:rPr>
          <w:rFonts w:hint="eastAsia" w:hAnsi="宋体" w:cs="仿宋"/>
          <w:color w:val="auto"/>
          <w:highlight w:val="none"/>
        </w:rPr>
        <w:t>若光缆、电缆引出地面时需用镀锌钢管保护，高度为地面上不得低于2.5米，地下部分为0.3-0.5米；光电缆应有保护措施，《智能建筑工程质量验收规范(GB50339)》4.1.1为强制性条文，电力线缆和信号线缆严禁在同管同槽内敷设；《民用建筑电气设计标准(GB51314)》第14章安全技术防范系统14.8.2交流220V供电线路应单独穿导管敷设，必须贯彻执行标准。</w:t>
      </w:r>
    </w:p>
    <w:p w14:paraId="75D130D0">
      <w:pPr>
        <w:spacing w:line="400" w:lineRule="exact"/>
        <w:ind w:firstLine="480"/>
        <w:rPr>
          <w:rFonts w:hAnsi="宋体" w:cs="仿宋"/>
          <w:color w:val="auto"/>
          <w:highlight w:val="none"/>
        </w:rPr>
      </w:pPr>
      <w:r>
        <w:rPr>
          <w:rFonts w:hint="eastAsia" w:hAnsi="宋体" w:cs="仿宋"/>
          <w:color w:val="auto"/>
          <w:highlight w:val="none"/>
        </w:rPr>
        <w:t>5.5.7公安摄像机接入公安专用系统须保密，为此信号传输网络必须是专网专用，全部采用裸光纤的方式组成，前端信号全都通过专线专缆传输至已规划的区域汇聚工作站，再次重申：一律不允许共用运营商光缆，不允许进入运营商光交箱或在运营商光交箱内跳接，禁止与其他系统复接和复用等交叉使用的情况出现，严禁在非通信管道(如下水管道、污水管道等管道)内敷设光缆、通信线缆、电源线缆，纯属公安自建专用光缆链路。采集点至区域汇聚工作站光缆线路产权归属崇川公安分局，线缆可与运营商地下管道共管独立敷设，共管部分的管道崇川公安分局拥有永久免费缆线占用权。</w:t>
      </w:r>
    </w:p>
    <w:p w14:paraId="754AA188">
      <w:pPr>
        <w:spacing w:line="400" w:lineRule="exact"/>
        <w:ind w:firstLine="480"/>
        <w:rPr>
          <w:rFonts w:hAnsi="宋体" w:cs="仿宋"/>
          <w:color w:val="auto"/>
          <w:highlight w:val="none"/>
        </w:rPr>
      </w:pPr>
      <w:r>
        <w:rPr>
          <w:rFonts w:hint="eastAsia" w:hAnsi="宋体" w:cs="仿宋"/>
          <w:color w:val="auto"/>
          <w:highlight w:val="none"/>
        </w:rPr>
        <w:t>5.5.8考虑到系统的可靠性、及时应对可能发生的意外事故，线路设计时应尽可能的考虑应急备用方案，必须保证每路至少应增加一根备用光纤。</w:t>
      </w:r>
    </w:p>
    <w:p w14:paraId="4B23D5EB">
      <w:pPr>
        <w:spacing w:line="400" w:lineRule="exact"/>
        <w:ind w:firstLine="480"/>
        <w:rPr>
          <w:rFonts w:hAnsi="宋体" w:cs="仿宋"/>
          <w:color w:val="auto"/>
          <w:highlight w:val="none"/>
        </w:rPr>
      </w:pPr>
      <w:r>
        <w:rPr>
          <w:rFonts w:hint="eastAsia" w:hAnsi="宋体" w:cs="仿宋"/>
          <w:color w:val="auto"/>
          <w:highlight w:val="none"/>
        </w:rPr>
        <w:t>5.5.9地下管道敷设、架空敷设及光纤熔接等，质量管理要求和验收规定，严格按本章所列的有关标准中的章节条款执行。</w:t>
      </w:r>
    </w:p>
    <w:p w14:paraId="38D2676C">
      <w:pPr>
        <w:spacing w:line="400" w:lineRule="exact"/>
        <w:ind w:firstLine="420" w:firstLineChars="200"/>
        <w:rPr>
          <w:rFonts w:hAnsi="宋体" w:cs="仿宋"/>
          <w:color w:val="auto"/>
          <w:highlight w:val="none"/>
        </w:rPr>
      </w:pPr>
      <w:r>
        <w:rPr>
          <w:rFonts w:hint="eastAsia" w:hAnsi="宋体" w:cs="仿宋"/>
          <w:color w:val="auto"/>
          <w:highlight w:val="none"/>
        </w:rPr>
        <w:t>5.6其他</w:t>
      </w:r>
    </w:p>
    <w:p w14:paraId="7AD665E9">
      <w:pPr>
        <w:spacing w:line="400" w:lineRule="exact"/>
        <w:ind w:firstLine="420" w:firstLineChars="200"/>
        <w:rPr>
          <w:rFonts w:hAnsi="宋体" w:cs="仿宋"/>
          <w:color w:val="auto"/>
          <w:highlight w:val="none"/>
        </w:rPr>
      </w:pPr>
      <w:r>
        <w:rPr>
          <w:rFonts w:hint="eastAsia" w:hAnsi="宋体" w:cs="仿宋"/>
          <w:color w:val="auto"/>
          <w:highlight w:val="none"/>
        </w:rPr>
        <w:t>5.6.1施工图纸中部分管道标注为共管的，投标人应自行踏勘现场，中标后应与相关单位自行协商，如无法共管的，中标人自行优化，该费用包含在报价中。</w:t>
      </w:r>
    </w:p>
    <w:p w14:paraId="0E108705">
      <w:pPr>
        <w:spacing w:line="400" w:lineRule="exact"/>
        <w:ind w:firstLine="420" w:firstLineChars="200"/>
        <w:rPr>
          <w:rFonts w:hAnsi="宋体" w:cs="仿宋"/>
          <w:color w:val="auto"/>
          <w:highlight w:val="none"/>
        </w:rPr>
      </w:pPr>
      <w:r>
        <w:rPr>
          <w:rFonts w:hint="eastAsia" w:hAnsi="宋体" w:cs="仿宋"/>
          <w:color w:val="auto"/>
          <w:highlight w:val="none"/>
        </w:rPr>
        <w:t>5.6.2 原有蓝白杆治安监控点保留或拆除、是否可利用原有光纤驳接、或者利用已有路由进行专用光纤敷设，中标单位施工前需与公安有关部门核实确认后实施，该费用包含在投标报价中。</w:t>
      </w:r>
    </w:p>
    <w:p w14:paraId="2B188988">
      <w:pPr>
        <w:spacing w:line="480" w:lineRule="exact"/>
        <w:ind w:firstLine="420" w:firstLineChars="200"/>
        <w:rPr>
          <w:rFonts w:eastAsia="微软雅黑"/>
          <w:color w:val="auto"/>
          <w:highlight w:val="none"/>
        </w:rPr>
      </w:pPr>
      <w:r>
        <w:rPr>
          <w:rFonts w:hint="eastAsia" w:hAnsi="宋体" w:cs="仿宋"/>
          <w:color w:val="auto"/>
          <w:highlight w:val="none"/>
        </w:rPr>
        <w:t>5.6.3中标单位须恢复未改造区域的室外监控，保证原有监控系统正常运行，所需管线、设备安装、调试等费用包含在投标报价中。</w:t>
      </w:r>
    </w:p>
    <w:p w14:paraId="67610184">
      <w:pPr>
        <w:snapToGrid w:val="0"/>
        <w:spacing w:line="480" w:lineRule="exact"/>
        <w:contextualSpacing/>
        <w:outlineLvl w:val="0"/>
        <w:rPr>
          <w:b/>
          <w:color w:val="auto"/>
          <w:highlight w:val="none"/>
        </w:rPr>
      </w:pPr>
      <w:r>
        <w:rPr>
          <w:b/>
          <w:color w:val="auto"/>
          <w:highlight w:val="none"/>
        </w:rPr>
        <w:t>（六）采购标的验收标准</w:t>
      </w:r>
    </w:p>
    <w:p w14:paraId="0F84205D">
      <w:pPr>
        <w:snapToGrid w:val="0"/>
        <w:spacing w:line="400" w:lineRule="exact"/>
        <w:ind w:firstLine="573"/>
        <w:jc w:val="left"/>
        <w:rPr>
          <w:rFonts w:hAnsi="宋体" w:cs="仿宋"/>
          <w:b/>
          <w:color w:val="auto"/>
          <w:highlight w:val="none"/>
        </w:rPr>
      </w:pPr>
      <w:r>
        <w:rPr>
          <w:rFonts w:hAnsi="宋体"/>
          <w:color w:val="auto"/>
          <w:highlight w:val="none"/>
        </w:rPr>
        <w:t>1</w:t>
      </w:r>
      <w:r>
        <w:rPr>
          <w:rFonts w:hint="eastAsia" w:hAnsi="宋体"/>
          <w:color w:val="auto"/>
          <w:highlight w:val="none"/>
        </w:rPr>
        <w:t>、</w:t>
      </w:r>
      <w:r>
        <w:rPr>
          <w:rFonts w:hint="eastAsia" w:hAnsi="宋体" w:cs="仿宋"/>
          <w:b/>
          <w:color w:val="auto"/>
          <w:highlight w:val="none"/>
        </w:rPr>
        <w:t>质量保证</w:t>
      </w:r>
    </w:p>
    <w:p w14:paraId="5ADA497B">
      <w:pPr>
        <w:adjustRightInd w:val="0"/>
        <w:snapToGrid w:val="0"/>
        <w:spacing w:line="400" w:lineRule="exact"/>
        <w:ind w:firstLine="420" w:firstLineChars="200"/>
        <w:rPr>
          <w:rFonts w:hAnsi="宋体" w:cs="仿宋"/>
          <w:color w:val="auto"/>
          <w:highlight w:val="none"/>
        </w:rPr>
      </w:pPr>
      <w:bookmarkStart w:id="145" w:name="_Hlk134969515"/>
      <w:r>
        <w:rPr>
          <w:rFonts w:hint="eastAsia" w:hAnsi="宋体" w:cs="仿宋"/>
          <w:color w:val="auto"/>
          <w:highlight w:val="none"/>
        </w:rPr>
        <w:t>1.1中标人应保证货物均为原厂商生产，均为正品，产品必须是全新、未使用过的原厂合格产品，并完全符合招标文件规定的质量、规格和参数的要求。验收过程中发现产品不符合上述要求的，将视作不合格产品，使用方有权终止合同，造成的一切损失由中标人承担。</w:t>
      </w:r>
    </w:p>
    <w:p w14:paraId="0341C848">
      <w:pPr>
        <w:adjustRightInd w:val="0"/>
        <w:snapToGrid w:val="0"/>
        <w:spacing w:line="400" w:lineRule="exact"/>
        <w:ind w:firstLine="420" w:firstLineChars="200"/>
        <w:rPr>
          <w:rFonts w:hAnsi="宋体" w:cs="仿宋"/>
          <w:color w:val="auto"/>
          <w:highlight w:val="none"/>
        </w:rPr>
      </w:pPr>
      <w:r>
        <w:rPr>
          <w:rFonts w:hint="eastAsia" w:hAnsi="宋体" w:cs="仿宋"/>
          <w:color w:val="auto"/>
          <w:highlight w:val="none"/>
        </w:rPr>
        <w:t>1.2投标产品的技术标准按国家标准执行，无国家标准的，按行业标准执行，无国家和行业标准的，按企业标准执行；但在招标文件中有特别要求的，按招标文件中规定的要求执行，并且符合相关法律、法规规定的要求。</w:t>
      </w:r>
    </w:p>
    <w:p w14:paraId="0DAD2868">
      <w:pPr>
        <w:adjustRightInd w:val="0"/>
        <w:snapToGrid w:val="0"/>
        <w:spacing w:line="400" w:lineRule="exact"/>
        <w:ind w:firstLine="420" w:firstLineChars="200"/>
        <w:rPr>
          <w:rFonts w:hAnsi="宋体" w:cs="仿宋"/>
          <w:color w:val="auto"/>
          <w:highlight w:val="none"/>
        </w:rPr>
      </w:pPr>
      <w:r>
        <w:rPr>
          <w:rFonts w:hint="eastAsia" w:hAnsi="宋体" w:cs="仿宋"/>
          <w:color w:val="auto"/>
          <w:highlight w:val="none"/>
        </w:rPr>
        <w:t>1.3中标人应保证提供的产品不得侵犯第三方专利权、商标权和设计权、版权等。否则，中标人应负全部责任，并承担由此引起的一切后果。</w:t>
      </w:r>
    </w:p>
    <w:p w14:paraId="46F3E4BE">
      <w:pPr>
        <w:adjustRightInd w:val="0"/>
        <w:snapToGrid w:val="0"/>
        <w:spacing w:line="400" w:lineRule="exact"/>
        <w:ind w:firstLine="420" w:firstLineChars="200"/>
        <w:rPr>
          <w:rFonts w:hAnsi="宋体" w:cs="仿宋"/>
          <w:color w:val="auto"/>
          <w:highlight w:val="none"/>
        </w:rPr>
      </w:pPr>
      <w:r>
        <w:rPr>
          <w:rFonts w:hint="eastAsia" w:hAnsi="宋体" w:cs="仿宋"/>
          <w:color w:val="auto"/>
          <w:highlight w:val="none"/>
        </w:rPr>
        <w:t>1.4中标人应保证其货物在正确安装、正常日用下，在其使用寿命期内应具有满意的性能。</w:t>
      </w:r>
    </w:p>
    <w:p w14:paraId="159B1808">
      <w:pPr>
        <w:adjustRightInd w:val="0"/>
        <w:snapToGrid w:val="0"/>
        <w:spacing w:line="400" w:lineRule="exact"/>
        <w:ind w:firstLine="420" w:firstLineChars="200"/>
        <w:rPr>
          <w:rFonts w:hAnsi="宋体" w:cs="仿宋"/>
          <w:color w:val="auto"/>
          <w:highlight w:val="none"/>
        </w:rPr>
      </w:pPr>
      <w:r>
        <w:rPr>
          <w:rFonts w:hint="eastAsia" w:hAnsi="宋体" w:cs="仿宋"/>
          <w:color w:val="auto"/>
          <w:highlight w:val="none"/>
        </w:rPr>
        <w:t>1.5中标人应采取必要的安全措施保证货物的运输及安装的安全，并承担货物的运输及安装过程中产生的风险。</w:t>
      </w:r>
    </w:p>
    <w:p w14:paraId="79F5978F">
      <w:pPr>
        <w:adjustRightInd w:val="0"/>
        <w:snapToGrid w:val="0"/>
        <w:spacing w:line="400" w:lineRule="exact"/>
        <w:ind w:firstLine="420" w:firstLineChars="200"/>
        <w:rPr>
          <w:rFonts w:hAnsi="宋体"/>
          <w:color w:val="auto"/>
          <w:szCs w:val="21"/>
          <w:highlight w:val="none"/>
        </w:rPr>
      </w:pPr>
      <w:bookmarkStart w:id="146" w:name="_Hlk183101727"/>
      <w:r>
        <w:rPr>
          <w:rFonts w:hint="eastAsia" w:hAnsi="宋体" w:cs="仿宋"/>
          <w:color w:val="auto"/>
          <w:highlight w:val="none"/>
        </w:rPr>
        <w:t>2、中标人应保证通过政法委、公安等相关部门验收</w:t>
      </w:r>
      <w:r>
        <w:rPr>
          <w:rFonts w:hint="eastAsia" w:hAnsi="宋体" w:cs="仿宋"/>
          <w:color w:val="auto"/>
          <w:highlight w:val="none"/>
        </w:rPr>
        <w:t>，验收标准参照《全市智慧技防小区建设实施意见》通委政法〔2020〕84 号文件、通委政法〔2020〕85号《南通市新建小区及其他新建建筑工程技防建设项目审核验收工作的实施意见。验收合格后移交给业主。验收前须提供第三方法定机构出具的</w:t>
      </w:r>
      <w:r>
        <w:rPr>
          <w:rFonts w:hint="eastAsia" w:hAnsi="宋体" w:cs="仿宋"/>
          <w:color w:val="auto"/>
          <w:highlight w:val="none"/>
        </w:rPr>
        <w:t>检测报告</w:t>
      </w:r>
      <w:r>
        <w:rPr>
          <w:rFonts w:hint="eastAsia" w:hAnsi="宋体" w:cs="仿宋"/>
          <w:color w:val="auto"/>
          <w:highlight w:val="none"/>
        </w:rPr>
        <w:t>。第三方检测机构的费用也包含在投标报价中。</w:t>
      </w:r>
    </w:p>
    <w:bookmarkEnd w:id="145"/>
    <w:bookmarkEnd w:id="146"/>
    <w:p w14:paraId="5DC4530A">
      <w:pPr>
        <w:snapToGrid w:val="0"/>
        <w:spacing w:line="400" w:lineRule="exact"/>
        <w:ind w:firstLine="573"/>
        <w:jc w:val="left"/>
        <w:rPr>
          <w:rFonts w:hAnsi="宋体" w:cs="仿宋"/>
          <w:b/>
          <w:color w:val="auto"/>
          <w:highlight w:val="none"/>
        </w:rPr>
      </w:pPr>
      <w:r>
        <w:rPr>
          <w:rFonts w:hAnsi="宋体" w:cs="仿宋"/>
          <w:b/>
          <w:color w:val="auto"/>
          <w:highlight w:val="none"/>
        </w:rPr>
        <w:t>3</w:t>
      </w:r>
      <w:r>
        <w:rPr>
          <w:rFonts w:hint="eastAsia" w:hAnsi="宋体" w:cs="仿宋"/>
          <w:b/>
          <w:color w:val="auto"/>
          <w:highlight w:val="none"/>
        </w:rPr>
        <w:t>、售后服务要求</w:t>
      </w:r>
    </w:p>
    <w:p w14:paraId="4FB29DD8">
      <w:pPr>
        <w:adjustRightInd w:val="0"/>
        <w:snapToGrid w:val="0"/>
        <w:spacing w:line="400" w:lineRule="exact"/>
        <w:ind w:firstLine="424" w:firstLineChars="202"/>
        <w:rPr>
          <w:rFonts w:hAnsi="宋体" w:cs="仿宋"/>
          <w:color w:val="auto"/>
          <w:highlight w:val="none"/>
        </w:rPr>
      </w:pPr>
      <w:r>
        <w:rPr>
          <w:rFonts w:hAnsi="宋体" w:cs="仿宋"/>
          <w:color w:val="auto"/>
          <w:highlight w:val="none"/>
        </w:rPr>
        <w:t>3</w:t>
      </w:r>
      <w:r>
        <w:rPr>
          <w:rFonts w:hint="eastAsia" w:hAnsi="宋体" w:cs="仿宋"/>
          <w:color w:val="auto"/>
          <w:highlight w:val="none"/>
        </w:rPr>
        <w:t>.</w:t>
      </w:r>
      <w:r>
        <w:rPr>
          <w:rFonts w:hint="eastAsia" w:hAnsi="宋体" w:cs="仿宋"/>
          <w:b/>
          <w:color w:val="auto"/>
          <w:highlight w:val="none"/>
        </w:rPr>
        <w:t>1整体项目质保期为5年（其中杆柱质保期为20年，人为因素和自然灾害除外），</w:t>
      </w:r>
      <w:r>
        <w:rPr>
          <w:rFonts w:hint="eastAsia" w:hAnsi="宋体" w:cs="仿宋"/>
          <w:color w:val="auto"/>
          <w:highlight w:val="none"/>
        </w:rPr>
        <w:t>含清单新采购的系统及所有相关设备，质保期从项目通过验收之日起计。</w:t>
      </w:r>
    </w:p>
    <w:p w14:paraId="125E40F0">
      <w:pPr>
        <w:adjustRightInd w:val="0"/>
        <w:snapToGrid w:val="0"/>
        <w:spacing w:line="400" w:lineRule="exact"/>
        <w:ind w:firstLine="424" w:firstLineChars="202"/>
        <w:rPr>
          <w:rFonts w:hAnsi="宋体" w:cs="仿宋"/>
          <w:color w:val="auto"/>
          <w:highlight w:val="none"/>
        </w:rPr>
      </w:pPr>
      <w:r>
        <w:rPr>
          <w:rFonts w:hAnsi="宋体" w:cs="仿宋"/>
          <w:color w:val="auto"/>
          <w:highlight w:val="none"/>
        </w:rPr>
        <w:t>3</w:t>
      </w:r>
      <w:r>
        <w:rPr>
          <w:rFonts w:hint="eastAsia" w:hAnsi="宋体" w:cs="仿宋"/>
          <w:color w:val="auto"/>
          <w:highlight w:val="none"/>
        </w:rPr>
        <w:t>.2</w:t>
      </w:r>
      <w:bookmarkStart w:id="147" w:name="_Hlk183101770"/>
      <w:r>
        <w:rPr>
          <w:rFonts w:hint="eastAsia" w:hAnsi="宋体" w:cs="仿宋"/>
          <w:color w:val="auto"/>
          <w:highlight w:val="none"/>
        </w:rPr>
        <w:t>交付、验收合格使用后，按合同提供质保期内的免费保修服务。在质保期内，招标人向中标人发出故障通知后，中标人应当</w:t>
      </w:r>
      <w:r>
        <w:rPr>
          <w:rFonts w:hint="eastAsia" w:hAnsi="宋体" w:cs="仿宋"/>
          <w:color w:val="auto"/>
          <w:highlight w:val="none"/>
        </w:rPr>
        <w:t>在2小时以内到达现场，一般故障须在24小时内解决，重大故障须在48小时内解决。如现场不能维修解决的故障问题，须提供故障不能排除时的解决方案</w:t>
      </w:r>
      <w:r>
        <w:rPr>
          <w:rFonts w:hint="eastAsia" w:hAnsi="宋体" w:cs="仿宋"/>
          <w:color w:val="auto"/>
          <w:highlight w:val="none"/>
        </w:rPr>
        <w:t>。</w:t>
      </w:r>
      <w:bookmarkEnd w:id="147"/>
    </w:p>
    <w:p w14:paraId="44EDE605">
      <w:pPr>
        <w:adjustRightInd w:val="0"/>
        <w:snapToGrid w:val="0"/>
        <w:spacing w:line="400" w:lineRule="exact"/>
        <w:ind w:firstLine="424" w:firstLineChars="202"/>
        <w:rPr>
          <w:rFonts w:hAnsi="宋体" w:cs="仿宋"/>
          <w:color w:val="auto"/>
          <w:highlight w:val="none"/>
        </w:rPr>
      </w:pPr>
      <w:r>
        <w:rPr>
          <w:rFonts w:hAnsi="宋体" w:cs="仿宋"/>
          <w:color w:val="auto"/>
          <w:highlight w:val="none"/>
        </w:rPr>
        <w:t>3</w:t>
      </w:r>
      <w:r>
        <w:rPr>
          <w:rFonts w:hint="eastAsia" w:hAnsi="宋体" w:cs="仿宋"/>
          <w:color w:val="auto"/>
          <w:highlight w:val="none"/>
        </w:rPr>
        <w:t>.3提供现场技术培训，保证招标人的使用人员正常操作产品设备的各种功能。</w:t>
      </w:r>
    </w:p>
    <w:p w14:paraId="759E1572">
      <w:pPr>
        <w:adjustRightInd w:val="0"/>
        <w:snapToGrid w:val="0"/>
        <w:spacing w:line="400" w:lineRule="exact"/>
        <w:ind w:firstLine="424" w:firstLineChars="202"/>
        <w:rPr>
          <w:rFonts w:hAnsi="宋体" w:cs="仿宋"/>
          <w:color w:val="auto"/>
          <w:highlight w:val="none"/>
        </w:rPr>
      </w:pPr>
      <w:r>
        <w:rPr>
          <w:rFonts w:hAnsi="宋体" w:cs="仿宋"/>
          <w:color w:val="auto"/>
          <w:highlight w:val="none"/>
        </w:rPr>
        <w:t>3</w:t>
      </w:r>
      <w:r>
        <w:rPr>
          <w:rFonts w:hint="eastAsia" w:hAnsi="宋体" w:cs="仿宋"/>
          <w:color w:val="auto"/>
          <w:highlight w:val="none"/>
        </w:rPr>
        <w:t>.4质保期满后，招标人亦有权自行选择维保单位。</w:t>
      </w:r>
    </w:p>
    <w:p w14:paraId="4CA9A921">
      <w:pPr>
        <w:adjustRightInd w:val="0"/>
        <w:snapToGrid w:val="0"/>
        <w:spacing w:line="400" w:lineRule="exact"/>
        <w:ind w:firstLine="426" w:firstLineChars="202"/>
        <w:rPr>
          <w:rFonts w:hAnsi="宋体" w:cs="仿宋"/>
          <w:color w:val="auto"/>
          <w:highlight w:val="none"/>
        </w:rPr>
      </w:pPr>
      <w:r>
        <w:rPr>
          <w:rFonts w:hint="eastAsia" w:hAnsi="宋体" w:cs="仿宋"/>
          <w:b/>
          <w:color w:val="auto"/>
          <w:highlight w:val="none"/>
        </w:rPr>
        <w:t>4、设备与工序验收</w:t>
      </w:r>
    </w:p>
    <w:p w14:paraId="23CA346D">
      <w:pPr>
        <w:adjustRightInd w:val="0"/>
        <w:snapToGrid w:val="0"/>
        <w:spacing w:line="400" w:lineRule="exact"/>
        <w:ind w:firstLine="424" w:firstLineChars="202"/>
        <w:rPr>
          <w:rFonts w:hAnsi="宋体" w:cs="仿宋"/>
          <w:color w:val="auto"/>
          <w:highlight w:val="none"/>
        </w:rPr>
      </w:pPr>
      <w:r>
        <w:rPr>
          <w:rFonts w:hint="eastAsia" w:hAnsi="宋体" w:cs="仿宋"/>
          <w:color w:val="auto"/>
          <w:highlight w:val="none"/>
        </w:rPr>
        <w:t>4.1中标人应及时将本项目设备及其器材运抵至甲方指定的现场，并根据本项目招标文件要求提供有效的出厂</w:t>
      </w:r>
      <w:r>
        <w:rPr>
          <w:rFonts w:hint="eastAsia" w:hAnsi="宋体" w:cs="仿宋"/>
          <w:color w:val="auto"/>
          <w:highlight w:val="none"/>
        </w:rPr>
        <w:t>检测报告</w:t>
      </w:r>
      <w:r>
        <w:rPr>
          <w:rFonts w:hint="eastAsia" w:hAnsi="宋体" w:cs="仿宋"/>
          <w:color w:val="auto"/>
          <w:highlight w:val="none"/>
        </w:rPr>
        <w:t>等，向招标人、监理方进行进场报验，经签认合格后才能安装到指定部位，未通过进场报验签认合格的设备及其器材不得使用立即撒离现场。</w:t>
      </w:r>
    </w:p>
    <w:p w14:paraId="1F4A007B">
      <w:pPr>
        <w:adjustRightInd w:val="0"/>
        <w:snapToGrid w:val="0"/>
        <w:spacing w:line="400" w:lineRule="exact"/>
        <w:ind w:firstLine="424" w:firstLineChars="202"/>
        <w:rPr>
          <w:rFonts w:hAnsi="宋体" w:cs="仿宋"/>
          <w:color w:val="auto"/>
          <w:highlight w:val="none"/>
        </w:rPr>
      </w:pPr>
      <w:r>
        <w:rPr>
          <w:rFonts w:hint="eastAsia" w:hAnsi="宋体" w:cs="仿宋"/>
          <w:color w:val="auto"/>
          <w:highlight w:val="none"/>
        </w:rPr>
        <w:t>4.2中标人施工中按规定及时向招标人、监理方申报工序部位检验，经签认合格后才能进行下一部位施工，未通过签认不得进入下一工序施工。</w:t>
      </w:r>
    </w:p>
    <w:p w14:paraId="75014213">
      <w:pPr>
        <w:adjustRightInd w:val="0"/>
        <w:snapToGrid w:val="0"/>
        <w:spacing w:line="400" w:lineRule="exact"/>
        <w:ind w:firstLine="424" w:firstLineChars="202"/>
        <w:rPr>
          <w:rFonts w:hAnsi="宋体" w:cs="仿宋"/>
          <w:color w:val="auto"/>
          <w:highlight w:val="none"/>
        </w:rPr>
      </w:pPr>
      <w:r>
        <w:rPr>
          <w:rFonts w:hint="eastAsia" w:hAnsi="宋体" w:cs="仿宋"/>
          <w:color w:val="auto"/>
          <w:highlight w:val="none"/>
        </w:rPr>
        <w:t>4.3中标人在项目施工安装调试中必须严格贯彻执行现行的国家和行业标准与规范，并接受工程监理的监督与管控。</w:t>
      </w:r>
    </w:p>
    <w:p w14:paraId="4C50D979">
      <w:pPr>
        <w:adjustRightInd w:val="0"/>
        <w:snapToGrid w:val="0"/>
        <w:spacing w:line="400" w:lineRule="exact"/>
        <w:ind w:firstLine="426" w:firstLineChars="202"/>
        <w:rPr>
          <w:rFonts w:hAnsi="宋体" w:cs="仿宋"/>
          <w:b/>
          <w:color w:val="auto"/>
          <w:highlight w:val="none"/>
        </w:rPr>
      </w:pPr>
      <w:r>
        <w:rPr>
          <w:rFonts w:hint="eastAsia" w:hAnsi="宋体" w:cs="仿宋"/>
          <w:b/>
          <w:color w:val="auto"/>
          <w:highlight w:val="none"/>
        </w:rPr>
        <w:t>5、安全生产</w:t>
      </w:r>
    </w:p>
    <w:p w14:paraId="54B3D97D">
      <w:pPr>
        <w:spacing w:line="360" w:lineRule="auto"/>
        <w:ind w:firstLine="420" w:firstLineChars="200"/>
        <w:rPr>
          <w:rFonts w:ascii="宋体" w:hAnsi="宋体"/>
          <w:bCs/>
          <w:color w:val="auto"/>
          <w:sz w:val="36"/>
          <w:highlight w:val="none"/>
        </w:rPr>
      </w:pPr>
      <w:r>
        <w:rPr>
          <w:rFonts w:hint="eastAsia" w:hAnsi="宋体" w:cs="仿宋"/>
          <w:color w:val="auto"/>
          <w:highlight w:val="none"/>
        </w:rPr>
        <w:t>中标人必须严格遵守《中华人民共和国安全生产法》《建设工程安全生产管理条例》，加强安全管理与教育，中标人施工中若发生工伤事故，包括因中标人原因对第三方造成伤害的，中标人承担法律责任和经济赔偿责任在内的全部直接与间接责任。</w:t>
      </w:r>
    </w:p>
    <w:p w14:paraId="12AB64C8">
      <w:pPr>
        <w:spacing w:line="360" w:lineRule="auto"/>
        <w:ind w:firstLine="720" w:firstLineChars="200"/>
        <w:rPr>
          <w:rFonts w:ascii="宋体" w:hAnsi="宋体"/>
          <w:bCs/>
          <w:color w:val="auto"/>
          <w:sz w:val="36"/>
          <w:highlight w:val="none"/>
        </w:rPr>
      </w:pPr>
    </w:p>
    <w:p w14:paraId="5446145D">
      <w:pPr>
        <w:spacing w:line="360" w:lineRule="auto"/>
        <w:ind w:firstLine="720" w:firstLineChars="200"/>
        <w:rPr>
          <w:rFonts w:ascii="宋体" w:hAnsi="宋体"/>
          <w:bCs/>
          <w:color w:val="auto"/>
          <w:sz w:val="36"/>
          <w:highlight w:val="none"/>
        </w:rPr>
      </w:pPr>
    </w:p>
    <w:p w14:paraId="1F88071C">
      <w:pPr>
        <w:spacing w:line="360" w:lineRule="auto"/>
        <w:ind w:firstLine="720" w:firstLineChars="200"/>
        <w:rPr>
          <w:rFonts w:ascii="宋体" w:hAnsi="宋体"/>
          <w:bCs/>
          <w:color w:val="auto"/>
          <w:sz w:val="36"/>
          <w:highlight w:val="none"/>
        </w:rPr>
      </w:pPr>
    </w:p>
    <w:p w14:paraId="4085700C">
      <w:pPr>
        <w:spacing w:line="360" w:lineRule="auto"/>
        <w:rPr>
          <w:rFonts w:ascii="宋体" w:hAnsi="宋体"/>
          <w:bCs/>
          <w:color w:val="auto"/>
          <w:sz w:val="36"/>
          <w:highlight w:val="none"/>
        </w:rPr>
      </w:pPr>
    </w:p>
    <w:p w14:paraId="5A286303">
      <w:pPr>
        <w:pStyle w:val="2"/>
        <w:spacing w:line="360" w:lineRule="auto"/>
        <w:jc w:val="center"/>
        <w:rPr>
          <w:rFonts w:ascii="宋体" w:hAnsi="宋体"/>
          <w:color w:val="auto"/>
          <w:sz w:val="36"/>
          <w:highlight w:val="none"/>
        </w:rPr>
      </w:pPr>
      <w:r>
        <w:rPr>
          <w:rFonts w:hint="eastAsia" w:ascii="宋体" w:hAnsi="宋体"/>
          <w:color w:val="auto"/>
          <w:sz w:val="36"/>
          <w:highlight w:val="none"/>
        </w:rPr>
        <w:t>第五章 图纸、技术资料及附件</w:t>
      </w:r>
      <w:bookmarkEnd w:id="37"/>
      <w:bookmarkEnd w:id="38"/>
    </w:p>
    <w:p w14:paraId="5A6B3E15">
      <w:pPr>
        <w:spacing w:line="360" w:lineRule="auto"/>
        <w:ind w:firstLine="420" w:firstLineChars="200"/>
        <w:jc w:val="center"/>
        <w:rPr>
          <w:rFonts w:ascii="宋体" w:hAnsi="宋体"/>
          <w:color w:val="auto"/>
          <w:highlight w:val="none"/>
        </w:rPr>
      </w:pPr>
    </w:p>
    <w:p w14:paraId="5F399D38">
      <w:pPr>
        <w:spacing w:line="360" w:lineRule="auto"/>
        <w:ind w:firstLine="420" w:firstLineChars="200"/>
        <w:jc w:val="center"/>
        <w:rPr>
          <w:rFonts w:ascii="宋体" w:hAnsi="宋体"/>
          <w:color w:val="auto"/>
          <w:highlight w:val="none"/>
        </w:rPr>
      </w:pPr>
      <w:r>
        <w:rPr>
          <w:rFonts w:hint="eastAsia" w:ascii="宋体" w:hAnsi="宋体"/>
          <w:color w:val="auto"/>
          <w:highlight w:val="none"/>
        </w:rPr>
        <w:t>（</w:t>
      </w:r>
      <w:r>
        <w:rPr>
          <w:rFonts w:ascii="宋体" w:hAnsi="宋体"/>
          <w:color w:val="auto"/>
          <w:highlight w:val="none"/>
        </w:rPr>
        <w:t>南通市崇川区人民政府网</w:t>
      </w:r>
      <w:r>
        <w:rPr>
          <w:rFonts w:hint="eastAsia" w:ascii="宋体" w:hAnsi="宋体"/>
          <w:color w:val="auto"/>
          <w:highlight w:val="none"/>
        </w:rPr>
        <w:t>下载）</w:t>
      </w:r>
      <w:bookmarkEnd w:id="39"/>
    </w:p>
    <w:p w14:paraId="40515545">
      <w:pPr>
        <w:spacing w:line="360" w:lineRule="auto"/>
        <w:ind w:firstLine="500" w:firstLineChars="200"/>
        <w:rPr>
          <w:rFonts w:ascii="宋体" w:hAnsi="宋体"/>
          <w:color w:val="auto"/>
          <w:sz w:val="25"/>
          <w:highlight w:val="none"/>
        </w:rPr>
      </w:pPr>
    </w:p>
    <w:p w14:paraId="0B410F70">
      <w:pPr>
        <w:spacing w:line="360" w:lineRule="auto"/>
        <w:ind w:firstLine="643" w:firstLineChars="200"/>
        <w:jc w:val="center"/>
        <w:rPr>
          <w:rFonts w:ascii="宋体" w:hAnsi="宋体"/>
          <w:b/>
          <w:bCs/>
          <w:color w:val="auto"/>
          <w:sz w:val="32"/>
          <w:highlight w:val="none"/>
        </w:rPr>
      </w:pPr>
      <w:r>
        <w:rPr>
          <w:rFonts w:hint="eastAsia" w:ascii="宋体" w:hAnsi="宋体"/>
          <w:b/>
          <w:bCs/>
          <w:color w:val="auto"/>
          <w:sz w:val="32"/>
          <w:highlight w:val="none"/>
        </w:rPr>
        <w:t xml:space="preserve">  </w:t>
      </w:r>
    </w:p>
    <w:p w14:paraId="59F9E738">
      <w:pPr>
        <w:spacing w:line="360" w:lineRule="auto"/>
        <w:ind w:right="-233" w:rightChars="-111" w:firstLine="602" w:firstLineChars="200"/>
        <w:jc w:val="center"/>
        <w:rPr>
          <w:rFonts w:ascii="宋体" w:hAnsi="宋体"/>
          <w:b/>
          <w:color w:val="auto"/>
          <w:sz w:val="30"/>
          <w:szCs w:val="30"/>
          <w:highlight w:val="none"/>
        </w:rPr>
      </w:pPr>
      <w:bookmarkStart w:id="148" w:name="_Toc286661175"/>
      <w:bookmarkStart w:id="149" w:name="_Toc404174021"/>
      <w:bookmarkStart w:id="150" w:name="_Toc404159963"/>
    </w:p>
    <w:p w14:paraId="63283DA3">
      <w:pPr>
        <w:spacing w:line="360" w:lineRule="auto"/>
        <w:ind w:right="-233" w:rightChars="-111" w:firstLine="602" w:firstLineChars="200"/>
        <w:jc w:val="center"/>
        <w:rPr>
          <w:rFonts w:ascii="宋体" w:hAnsi="宋体"/>
          <w:b/>
          <w:color w:val="auto"/>
          <w:sz w:val="30"/>
          <w:szCs w:val="30"/>
          <w:highlight w:val="none"/>
        </w:rPr>
      </w:pPr>
    </w:p>
    <w:p w14:paraId="19D17E71">
      <w:pPr>
        <w:spacing w:line="360" w:lineRule="auto"/>
        <w:ind w:right="-233" w:rightChars="-111" w:firstLine="602" w:firstLineChars="200"/>
        <w:jc w:val="center"/>
        <w:rPr>
          <w:rFonts w:ascii="宋体" w:hAnsi="宋体"/>
          <w:b/>
          <w:color w:val="auto"/>
          <w:sz w:val="30"/>
          <w:szCs w:val="30"/>
          <w:highlight w:val="none"/>
        </w:rPr>
      </w:pPr>
    </w:p>
    <w:p w14:paraId="14EC81EE">
      <w:pPr>
        <w:spacing w:line="360" w:lineRule="auto"/>
        <w:ind w:right="-233" w:rightChars="-111" w:firstLine="602" w:firstLineChars="200"/>
        <w:jc w:val="center"/>
        <w:rPr>
          <w:rFonts w:ascii="宋体" w:hAnsi="宋体"/>
          <w:b/>
          <w:color w:val="auto"/>
          <w:sz w:val="30"/>
          <w:szCs w:val="30"/>
          <w:highlight w:val="none"/>
        </w:rPr>
      </w:pPr>
    </w:p>
    <w:p w14:paraId="504148DF">
      <w:pPr>
        <w:spacing w:line="360" w:lineRule="auto"/>
        <w:ind w:right="-233" w:rightChars="-111" w:firstLine="602" w:firstLineChars="200"/>
        <w:jc w:val="center"/>
        <w:rPr>
          <w:rFonts w:ascii="宋体" w:hAnsi="宋体"/>
          <w:b/>
          <w:color w:val="auto"/>
          <w:sz w:val="30"/>
          <w:szCs w:val="30"/>
          <w:highlight w:val="none"/>
        </w:rPr>
      </w:pPr>
    </w:p>
    <w:p w14:paraId="739582CD">
      <w:pPr>
        <w:spacing w:line="360" w:lineRule="auto"/>
        <w:ind w:right="-233" w:rightChars="-111" w:firstLine="602" w:firstLineChars="200"/>
        <w:jc w:val="center"/>
        <w:rPr>
          <w:rFonts w:ascii="宋体" w:hAnsi="宋体"/>
          <w:b/>
          <w:color w:val="auto"/>
          <w:sz w:val="30"/>
          <w:szCs w:val="30"/>
          <w:highlight w:val="none"/>
        </w:rPr>
      </w:pPr>
    </w:p>
    <w:p w14:paraId="49C7F2F9">
      <w:pPr>
        <w:spacing w:line="360" w:lineRule="auto"/>
        <w:ind w:right="-233" w:rightChars="-111" w:firstLine="602" w:firstLineChars="200"/>
        <w:jc w:val="center"/>
        <w:rPr>
          <w:rFonts w:ascii="宋体" w:hAnsi="宋体"/>
          <w:b/>
          <w:color w:val="auto"/>
          <w:sz w:val="30"/>
          <w:szCs w:val="30"/>
          <w:highlight w:val="none"/>
        </w:rPr>
      </w:pPr>
    </w:p>
    <w:p w14:paraId="16C12814">
      <w:pPr>
        <w:spacing w:line="360" w:lineRule="auto"/>
        <w:ind w:right="-233" w:rightChars="-111" w:firstLine="602" w:firstLineChars="200"/>
        <w:jc w:val="center"/>
        <w:rPr>
          <w:rFonts w:ascii="宋体" w:hAnsi="宋体"/>
          <w:b/>
          <w:color w:val="auto"/>
          <w:sz w:val="30"/>
          <w:szCs w:val="30"/>
          <w:highlight w:val="none"/>
        </w:rPr>
      </w:pPr>
    </w:p>
    <w:p w14:paraId="0B2B5725">
      <w:pPr>
        <w:spacing w:line="360" w:lineRule="auto"/>
        <w:ind w:right="-233" w:rightChars="-111" w:firstLine="602" w:firstLineChars="200"/>
        <w:jc w:val="center"/>
        <w:rPr>
          <w:rFonts w:ascii="宋体" w:hAnsi="宋体"/>
          <w:b/>
          <w:color w:val="auto"/>
          <w:sz w:val="30"/>
          <w:szCs w:val="30"/>
          <w:highlight w:val="none"/>
        </w:rPr>
      </w:pPr>
    </w:p>
    <w:p w14:paraId="18BACBAF">
      <w:pPr>
        <w:spacing w:line="360" w:lineRule="auto"/>
        <w:ind w:right="-233" w:rightChars="-111" w:firstLine="602" w:firstLineChars="200"/>
        <w:jc w:val="center"/>
        <w:rPr>
          <w:rFonts w:ascii="宋体" w:hAnsi="宋体"/>
          <w:b/>
          <w:color w:val="auto"/>
          <w:sz w:val="30"/>
          <w:szCs w:val="30"/>
          <w:highlight w:val="none"/>
        </w:rPr>
      </w:pPr>
    </w:p>
    <w:p w14:paraId="68C0F07D">
      <w:pPr>
        <w:widowControl/>
        <w:jc w:val="left"/>
        <w:rPr>
          <w:rFonts w:ascii="宋体" w:hAnsi="宋体"/>
          <w:b/>
          <w:bCs/>
          <w:color w:val="auto"/>
          <w:kern w:val="44"/>
          <w:sz w:val="36"/>
          <w:szCs w:val="44"/>
          <w:highlight w:val="none"/>
        </w:rPr>
      </w:pPr>
      <w:r>
        <w:rPr>
          <w:rFonts w:hint="eastAsia" w:ascii="宋体" w:hAnsi="宋体"/>
          <w:color w:val="auto"/>
          <w:sz w:val="36"/>
          <w:highlight w:val="none"/>
        </w:rPr>
        <w:br w:type="page"/>
      </w:r>
    </w:p>
    <w:p w14:paraId="5124B69D">
      <w:pPr>
        <w:pStyle w:val="2"/>
        <w:spacing w:line="360" w:lineRule="auto"/>
        <w:jc w:val="center"/>
        <w:rPr>
          <w:rFonts w:ascii="宋体" w:hAnsi="宋体"/>
          <w:color w:val="auto"/>
          <w:sz w:val="36"/>
          <w:highlight w:val="none"/>
        </w:rPr>
      </w:pPr>
      <w:r>
        <w:rPr>
          <w:rFonts w:hint="eastAsia" w:ascii="宋体" w:hAnsi="宋体"/>
          <w:color w:val="auto"/>
          <w:sz w:val="36"/>
          <w:highlight w:val="none"/>
        </w:rPr>
        <w:t>第六章 投标文件格式</w:t>
      </w:r>
      <w:bookmarkEnd w:id="148"/>
      <w:bookmarkEnd w:id="149"/>
      <w:bookmarkEnd w:id="150"/>
    </w:p>
    <w:p w14:paraId="087E8E2A">
      <w:pPr>
        <w:spacing w:line="360" w:lineRule="auto"/>
        <w:ind w:firstLine="643" w:firstLineChars="200"/>
        <w:jc w:val="center"/>
        <w:rPr>
          <w:rFonts w:ascii="宋体" w:hAnsi="宋体"/>
          <w:b/>
          <w:bCs/>
          <w:color w:val="auto"/>
          <w:sz w:val="32"/>
          <w:highlight w:val="none"/>
        </w:rPr>
      </w:pPr>
      <w:bookmarkStart w:id="151" w:name="_Toc286661178"/>
    </w:p>
    <w:p w14:paraId="7A208EA9">
      <w:pPr>
        <w:spacing w:line="360" w:lineRule="auto"/>
        <w:jc w:val="center"/>
        <w:rPr>
          <w:rFonts w:ascii="宋体" w:hAnsi="宋体"/>
          <w:b/>
          <w:bCs/>
          <w:color w:val="auto"/>
          <w:sz w:val="32"/>
          <w:highlight w:val="none"/>
        </w:rPr>
      </w:pPr>
      <w:r>
        <w:rPr>
          <w:rFonts w:hint="eastAsia" w:ascii="宋体" w:hAnsi="宋体"/>
          <w:color w:val="auto"/>
          <w:sz w:val="32"/>
          <w:szCs w:val="32"/>
          <w:highlight w:val="none"/>
        </w:rPr>
        <w:t xml:space="preserve"> </w:t>
      </w:r>
      <w:r>
        <w:rPr>
          <w:rFonts w:ascii="宋体" w:hAnsi="宋体"/>
          <w:color w:val="auto"/>
          <w:sz w:val="32"/>
          <w:szCs w:val="32"/>
          <w:highlight w:val="none"/>
        </w:rPr>
        <w:t xml:space="preserve">                   </w:t>
      </w:r>
      <w:r>
        <w:rPr>
          <w:rFonts w:hint="eastAsia" w:ascii="宋体" w:hAnsi="宋体"/>
          <w:color w:val="auto"/>
          <w:sz w:val="32"/>
          <w:szCs w:val="32"/>
          <w:highlight w:val="none"/>
        </w:rPr>
        <w:t xml:space="preserve">（封面） </w:t>
      </w:r>
      <w:r>
        <w:rPr>
          <w:rFonts w:ascii="宋体" w:hAnsi="宋体"/>
          <w:color w:val="auto"/>
          <w:sz w:val="32"/>
          <w:szCs w:val="32"/>
          <w:highlight w:val="none"/>
        </w:rPr>
        <w:t xml:space="preserve">                   </w:t>
      </w:r>
      <w:r>
        <w:rPr>
          <w:rFonts w:hint="eastAsia" w:ascii="宋体" w:hAnsi="宋体"/>
          <w:color w:val="auto"/>
          <w:sz w:val="32"/>
          <w:szCs w:val="32"/>
          <w:highlight w:val="none"/>
        </w:rPr>
        <w:t>正本/副本</w:t>
      </w:r>
    </w:p>
    <w:p w14:paraId="4E0DEC72">
      <w:pPr>
        <w:pStyle w:val="7"/>
        <w:spacing w:line="360" w:lineRule="auto"/>
        <w:ind w:firstLine="0"/>
        <w:rPr>
          <w:rFonts w:ascii="宋体" w:hAnsi="宋体"/>
          <w:color w:val="auto"/>
          <w:sz w:val="32"/>
          <w:szCs w:val="32"/>
          <w:highlight w:val="none"/>
          <w:u w:val="single"/>
        </w:rPr>
      </w:pPr>
    </w:p>
    <w:p w14:paraId="07349F6B">
      <w:pPr>
        <w:pStyle w:val="7"/>
        <w:spacing w:line="360" w:lineRule="auto"/>
        <w:ind w:firstLine="1600" w:firstLineChars="500"/>
        <w:rPr>
          <w:rFonts w:ascii="宋体" w:hAnsi="宋体"/>
          <w:color w:val="auto"/>
          <w:sz w:val="32"/>
          <w:szCs w:val="32"/>
          <w:highlight w:val="none"/>
        </w:rPr>
      </w:pPr>
      <w:r>
        <w:rPr>
          <w:rFonts w:hint="eastAsia" w:ascii="宋体" w:hAnsi="宋体"/>
          <w:color w:val="auto"/>
          <w:sz w:val="32"/>
          <w:szCs w:val="32"/>
          <w:highlight w:val="none"/>
          <w:u w:val="single"/>
        </w:rPr>
        <w:t xml:space="preserve">                               </w:t>
      </w:r>
      <w:r>
        <w:rPr>
          <w:rFonts w:hint="eastAsia" w:ascii="宋体" w:hAnsi="宋体"/>
          <w:color w:val="auto"/>
          <w:sz w:val="32"/>
          <w:szCs w:val="32"/>
          <w:highlight w:val="none"/>
        </w:rPr>
        <w:t>（项目名称）</w:t>
      </w:r>
    </w:p>
    <w:p w14:paraId="08D482B9">
      <w:pPr>
        <w:pStyle w:val="7"/>
        <w:spacing w:line="360" w:lineRule="auto"/>
        <w:ind w:firstLine="600" w:firstLineChars="200"/>
        <w:jc w:val="center"/>
        <w:rPr>
          <w:rFonts w:ascii="宋体" w:hAnsi="宋体"/>
          <w:color w:val="auto"/>
          <w:sz w:val="30"/>
          <w:highlight w:val="none"/>
        </w:rPr>
      </w:pPr>
    </w:p>
    <w:p w14:paraId="5BA7A52F">
      <w:pPr>
        <w:pStyle w:val="7"/>
        <w:spacing w:line="360" w:lineRule="auto"/>
        <w:ind w:firstLine="600" w:firstLineChars="200"/>
        <w:rPr>
          <w:rFonts w:ascii="宋体" w:hAnsi="宋体"/>
          <w:color w:val="auto"/>
          <w:sz w:val="30"/>
          <w:highlight w:val="none"/>
        </w:rPr>
      </w:pPr>
    </w:p>
    <w:p w14:paraId="4978DBD5">
      <w:pPr>
        <w:pStyle w:val="7"/>
        <w:spacing w:line="360" w:lineRule="auto"/>
        <w:ind w:firstLine="0"/>
        <w:jc w:val="center"/>
        <w:rPr>
          <w:rFonts w:ascii="宋体" w:hAnsi="宋体"/>
          <w:b/>
          <w:bCs/>
          <w:color w:val="auto"/>
          <w:spacing w:val="60"/>
          <w:sz w:val="84"/>
          <w:szCs w:val="84"/>
          <w:highlight w:val="none"/>
        </w:rPr>
      </w:pPr>
      <w:r>
        <w:rPr>
          <w:rFonts w:hint="eastAsia" w:ascii="宋体" w:hAnsi="宋体"/>
          <w:b/>
          <w:bCs/>
          <w:color w:val="auto"/>
          <w:spacing w:val="60"/>
          <w:sz w:val="84"/>
          <w:szCs w:val="84"/>
          <w:highlight w:val="none"/>
        </w:rPr>
        <w:t>投标书</w:t>
      </w:r>
    </w:p>
    <w:p w14:paraId="3C965977">
      <w:pPr>
        <w:pStyle w:val="7"/>
        <w:ind w:firstLine="0"/>
        <w:jc w:val="center"/>
        <w:rPr>
          <w:rFonts w:ascii="宋体" w:hAnsi="宋体"/>
          <w:color w:val="auto"/>
          <w:sz w:val="48"/>
          <w:szCs w:val="48"/>
          <w:highlight w:val="none"/>
        </w:rPr>
      </w:pPr>
      <w:r>
        <w:rPr>
          <w:rFonts w:hint="eastAsia" w:ascii="宋体" w:hAnsi="宋体"/>
          <w:color w:val="auto"/>
          <w:sz w:val="48"/>
          <w:szCs w:val="48"/>
          <w:highlight w:val="none"/>
        </w:rPr>
        <w:t>（商务标）</w:t>
      </w:r>
    </w:p>
    <w:p w14:paraId="6EF2F0F6">
      <w:pPr>
        <w:pStyle w:val="7"/>
        <w:spacing w:line="360" w:lineRule="auto"/>
        <w:ind w:firstLine="0"/>
        <w:jc w:val="center"/>
        <w:rPr>
          <w:rFonts w:ascii="宋体" w:hAnsi="宋体"/>
          <w:b/>
          <w:bCs/>
          <w:color w:val="auto"/>
          <w:spacing w:val="60"/>
          <w:sz w:val="84"/>
          <w:szCs w:val="84"/>
          <w:highlight w:val="none"/>
        </w:rPr>
      </w:pPr>
    </w:p>
    <w:p w14:paraId="7912F930">
      <w:pPr>
        <w:pStyle w:val="7"/>
        <w:spacing w:line="360" w:lineRule="auto"/>
        <w:ind w:firstLine="600" w:firstLineChars="200"/>
        <w:jc w:val="center"/>
        <w:rPr>
          <w:rFonts w:ascii="宋体" w:hAnsi="宋体"/>
          <w:color w:val="auto"/>
          <w:sz w:val="30"/>
          <w:highlight w:val="none"/>
        </w:rPr>
      </w:pPr>
    </w:p>
    <w:p w14:paraId="67EE8EF6">
      <w:pPr>
        <w:pStyle w:val="7"/>
        <w:spacing w:line="360" w:lineRule="auto"/>
        <w:ind w:firstLine="600" w:firstLineChars="200"/>
        <w:jc w:val="center"/>
        <w:rPr>
          <w:rFonts w:ascii="宋体" w:hAnsi="宋体"/>
          <w:color w:val="auto"/>
          <w:sz w:val="30"/>
          <w:highlight w:val="none"/>
        </w:rPr>
      </w:pPr>
    </w:p>
    <w:p w14:paraId="45EF5C31">
      <w:pPr>
        <w:pStyle w:val="7"/>
        <w:spacing w:line="360" w:lineRule="auto"/>
        <w:ind w:firstLine="600" w:firstLineChars="200"/>
        <w:jc w:val="center"/>
        <w:rPr>
          <w:rFonts w:ascii="宋体" w:hAnsi="宋体"/>
          <w:color w:val="auto"/>
          <w:sz w:val="30"/>
          <w:highlight w:val="none"/>
        </w:rPr>
      </w:pPr>
    </w:p>
    <w:p w14:paraId="0AB0A210">
      <w:pPr>
        <w:pStyle w:val="7"/>
        <w:spacing w:line="360" w:lineRule="auto"/>
        <w:ind w:firstLine="600" w:firstLineChars="200"/>
        <w:jc w:val="center"/>
        <w:rPr>
          <w:rFonts w:ascii="宋体" w:hAnsi="宋体"/>
          <w:color w:val="auto"/>
          <w:sz w:val="30"/>
          <w:highlight w:val="none"/>
        </w:rPr>
      </w:pPr>
    </w:p>
    <w:p w14:paraId="3546069F">
      <w:pPr>
        <w:pStyle w:val="7"/>
        <w:spacing w:line="360" w:lineRule="auto"/>
        <w:ind w:firstLine="600" w:firstLineChars="200"/>
        <w:rPr>
          <w:rFonts w:ascii="宋体" w:hAnsi="宋体"/>
          <w:color w:val="auto"/>
          <w:sz w:val="30"/>
          <w:highlight w:val="none"/>
          <w:u w:val="single"/>
        </w:rPr>
      </w:pPr>
      <w:r>
        <w:rPr>
          <w:rFonts w:hint="eastAsia" w:ascii="宋体" w:hAnsi="宋体"/>
          <w:color w:val="auto"/>
          <w:sz w:val="30"/>
          <w:highlight w:val="none"/>
        </w:rPr>
        <w:t>投标人：</w:t>
      </w:r>
      <w:r>
        <w:rPr>
          <w:rFonts w:hint="eastAsia" w:ascii="宋体" w:hAnsi="宋体"/>
          <w:color w:val="auto"/>
          <w:sz w:val="30"/>
          <w:highlight w:val="none"/>
          <w:u w:val="single"/>
        </w:rPr>
        <w:t xml:space="preserve">                                </w:t>
      </w:r>
      <w:r>
        <w:rPr>
          <w:rFonts w:hint="eastAsia" w:ascii="宋体" w:hAnsi="宋体"/>
          <w:color w:val="auto"/>
          <w:sz w:val="30"/>
          <w:highlight w:val="none"/>
        </w:rPr>
        <w:t>(盖单位公章)</w:t>
      </w:r>
    </w:p>
    <w:p w14:paraId="5A78CE30">
      <w:pPr>
        <w:pStyle w:val="7"/>
        <w:spacing w:line="360" w:lineRule="auto"/>
        <w:ind w:firstLine="600" w:firstLineChars="200"/>
        <w:rPr>
          <w:rFonts w:ascii="宋体" w:hAnsi="宋体"/>
          <w:color w:val="auto"/>
          <w:sz w:val="30"/>
          <w:highlight w:val="none"/>
        </w:rPr>
      </w:pPr>
    </w:p>
    <w:p w14:paraId="678AEBC4">
      <w:pPr>
        <w:pStyle w:val="7"/>
        <w:spacing w:line="360" w:lineRule="auto"/>
        <w:ind w:firstLine="600" w:firstLineChars="200"/>
        <w:rPr>
          <w:rFonts w:ascii="宋体" w:hAnsi="宋体"/>
          <w:color w:val="auto"/>
          <w:sz w:val="30"/>
          <w:highlight w:val="none"/>
          <w:u w:val="single"/>
        </w:rPr>
      </w:pPr>
      <w:r>
        <w:rPr>
          <w:rFonts w:hint="eastAsia" w:ascii="宋体" w:hAnsi="宋体"/>
          <w:color w:val="auto"/>
          <w:sz w:val="30"/>
          <w:highlight w:val="none"/>
        </w:rPr>
        <w:t>法定代表人或其委托代理人：</w:t>
      </w:r>
      <w:r>
        <w:rPr>
          <w:rFonts w:hint="eastAsia" w:ascii="宋体" w:hAnsi="宋体"/>
          <w:color w:val="auto"/>
          <w:sz w:val="30"/>
          <w:highlight w:val="none"/>
          <w:u w:val="single"/>
        </w:rPr>
        <w:t xml:space="preserve">              </w:t>
      </w:r>
      <w:r>
        <w:rPr>
          <w:rFonts w:hint="eastAsia" w:ascii="宋体" w:hAnsi="宋体"/>
          <w:color w:val="auto"/>
          <w:sz w:val="30"/>
          <w:highlight w:val="none"/>
        </w:rPr>
        <w:t>(签字或盖章)</w:t>
      </w:r>
    </w:p>
    <w:p w14:paraId="5783A05C">
      <w:pPr>
        <w:pStyle w:val="7"/>
        <w:spacing w:line="360" w:lineRule="auto"/>
        <w:ind w:firstLine="600" w:firstLineChars="200"/>
        <w:rPr>
          <w:rFonts w:ascii="宋体" w:hAnsi="宋体"/>
          <w:color w:val="auto"/>
          <w:sz w:val="30"/>
          <w:highlight w:val="none"/>
        </w:rPr>
      </w:pPr>
    </w:p>
    <w:p w14:paraId="6FABC14F">
      <w:pPr>
        <w:pStyle w:val="7"/>
        <w:spacing w:line="360" w:lineRule="auto"/>
        <w:ind w:firstLine="600" w:firstLineChars="200"/>
        <w:rPr>
          <w:rFonts w:ascii="宋体" w:hAnsi="宋体"/>
          <w:color w:val="auto"/>
          <w:sz w:val="30"/>
          <w:highlight w:val="none"/>
          <w:u w:val="single"/>
        </w:rPr>
      </w:pPr>
      <w:r>
        <w:rPr>
          <w:rFonts w:hint="eastAsia" w:ascii="宋体" w:hAnsi="宋体"/>
          <w:color w:val="auto"/>
          <w:sz w:val="30"/>
          <w:highlight w:val="none"/>
        </w:rPr>
        <w:t>日   期：</w:t>
      </w:r>
      <w:r>
        <w:rPr>
          <w:rFonts w:hint="eastAsia" w:ascii="宋体" w:hAnsi="宋体"/>
          <w:color w:val="auto"/>
          <w:sz w:val="30"/>
          <w:highlight w:val="none"/>
          <w:u w:val="single"/>
        </w:rPr>
        <w:t xml:space="preserve">        年     月     日</w:t>
      </w:r>
    </w:p>
    <w:p w14:paraId="2B23F660">
      <w:pPr>
        <w:pStyle w:val="3"/>
        <w:jc w:val="center"/>
        <w:rPr>
          <w:rFonts w:ascii="宋体" w:hAnsi="宋体"/>
          <w:bCs w:val="0"/>
          <w:color w:val="auto"/>
          <w:sz w:val="28"/>
          <w:szCs w:val="28"/>
          <w:highlight w:val="none"/>
        </w:rPr>
      </w:pPr>
      <w:r>
        <w:rPr>
          <w:rFonts w:ascii="宋体" w:hAnsi="宋体"/>
          <w:color w:val="auto"/>
          <w:sz w:val="28"/>
          <w:szCs w:val="28"/>
          <w:highlight w:val="none"/>
        </w:rPr>
        <w:br w:type="page"/>
      </w:r>
      <w:r>
        <w:rPr>
          <w:rFonts w:hint="eastAsia" w:ascii="宋体" w:hAnsi="宋体"/>
          <w:b w:val="0"/>
          <w:color w:val="auto"/>
          <w:sz w:val="30"/>
          <w:highlight w:val="none"/>
        </w:rPr>
        <w:t>一、</w:t>
      </w:r>
      <w:bookmarkEnd w:id="151"/>
      <w:r>
        <w:rPr>
          <w:rFonts w:hint="eastAsia" w:ascii="宋体" w:hAnsi="宋体"/>
          <w:b w:val="0"/>
          <w:color w:val="auto"/>
          <w:sz w:val="30"/>
          <w:highlight w:val="none"/>
        </w:rPr>
        <w:t>投  标  函</w:t>
      </w:r>
    </w:p>
    <w:p w14:paraId="1DAF9253">
      <w:pPr>
        <w:pStyle w:val="7"/>
        <w:spacing w:line="360" w:lineRule="auto"/>
        <w:ind w:firstLine="500" w:firstLineChars="200"/>
        <w:rPr>
          <w:rFonts w:ascii="宋体" w:hAnsi="宋体"/>
          <w:color w:val="auto"/>
          <w:sz w:val="25"/>
          <w:highlight w:val="none"/>
          <w:u w:val="single"/>
        </w:rPr>
      </w:pPr>
    </w:p>
    <w:p w14:paraId="738D3EA2">
      <w:pPr>
        <w:pStyle w:val="7"/>
        <w:spacing w:line="360" w:lineRule="auto"/>
        <w:ind w:firstLine="480" w:firstLineChars="200"/>
        <w:rPr>
          <w:rFonts w:ascii="宋体" w:hAnsi="宋体"/>
          <w:color w:val="auto"/>
          <w:highlight w:val="none"/>
        </w:rPr>
      </w:pPr>
      <w:r>
        <w:rPr>
          <w:rFonts w:hint="eastAsia" w:ascii="宋体" w:hAnsi="宋体"/>
          <w:color w:val="auto"/>
          <w:highlight w:val="none"/>
          <w:u w:val="single"/>
        </w:rPr>
        <w:t xml:space="preserve">                           </w:t>
      </w:r>
      <w:r>
        <w:rPr>
          <w:rFonts w:hint="eastAsia" w:ascii="宋体" w:hAnsi="宋体"/>
          <w:color w:val="auto"/>
          <w:highlight w:val="none"/>
        </w:rPr>
        <w:t>：</w:t>
      </w:r>
    </w:p>
    <w:p w14:paraId="0CA8CDCE">
      <w:pPr>
        <w:pStyle w:val="7"/>
        <w:spacing w:line="360" w:lineRule="auto"/>
        <w:ind w:firstLine="480" w:firstLineChars="200"/>
        <w:jc w:val="left"/>
        <w:rPr>
          <w:rFonts w:ascii="宋体" w:hAnsi="宋体"/>
          <w:color w:val="auto"/>
          <w:highlight w:val="none"/>
        </w:rPr>
      </w:pPr>
      <w:r>
        <w:rPr>
          <w:rFonts w:hint="eastAsia" w:ascii="宋体" w:hAnsi="宋体"/>
          <w:color w:val="auto"/>
          <w:highlight w:val="none"/>
        </w:rPr>
        <w:t>（一） 根据已收到的</w:t>
      </w:r>
      <w:r>
        <w:rPr>
          <w:rFonts w:hint="eastAsia" w:ascii="宋体" w:hAnsi="宋体"/>
          <w:color w:val="auto"/>
          <w:highlight w:val="none"/>
          <w:u w:val="single"/>
        </w:rPr>
        <w:t xml:space="preserve">             </w:t>
      </w:r>
      <w:r>
        <w:rPr>
          <w:rFonts w:hint="eastAsia" w:ascii="宋体" w:hAnsi="宋体"/>
          <w:color w:val="auto"/>
          <w:highlight w:val="none"/>
        </w:rPr>
        <w:t>（工程名称）的招标文件，我方经仔细研究招标文件全部内容并对现场进行踏勘后，愿遵守《中华人民共和国招标投标法》等有关法律文件的规定，并愿以人民币（大写）</w:t>
      </w:r>
      <w:r>
        <w:rPr>
          <w:rFonts w:hint="eastAsia" w:ascii="宋体" w:hAnsi="宋体"/>
          <w:color w:val="auto"/>
          <w:highlight w:val="none"/>
          <w:u w:val="single"/>
        </w:rPr>
        <w:t xml:space="preserve">          </w:t>
      </w:r>
      <w:r>
        <w:rPr>
          <w:rFonts w:hint="eastAsia" w:ascii="宋体" w:hAnsi="宋体"/>
          <w:color w:val="auto"/>
          <w:highlight w:val="none"/>
        </w:rPr>
        <w:t>[</w:t>
      </w:r>
      <w:r>
        <w:rPr>
          <w:rFonts w:hint="eastAsia" w:ascii="宋体" w:hAnsi="宋体" w:cs="宋体"/>
          <w:color w:val="auto"/>
          <w:highlight w:val="none"/>
        </w:rPr>
        <w:t>¥</w:t>
      </w:r>
      <w:r>
        <w:rPr>
          <w:rFonts w:hint="eastAsia" w:ascii="宋体" w:hAnsi="宋体" w:cs="仿宋_GB2312"/>
          <w:color w:val="auto"/>
          <w:highlight w:val="none"/>
        </w:rPr>
        <w:t>(</w:t>
      </w:r>
      <w:r>
        <w:rPr>
          <w:rFonts w:hint="eastAsia" w:ascii="宋体" w:hAnsi="宋体"/>
          <w:color w:val="auto"/>
          <w:highlight w:val="none"/>
        </w:rPr>
        <w:t>小写)</w:t>
      </w:r>
      <w:r>
        <w:rPr>
          <w:rFonts w:hint="eastAsia" w:ascii="宋体" w:hAnsi="宋体"/>
          <w:color w:val="auto"/>
          <w:highlight w:val="none"/>
          <w:u w:val="single"/>
        </w:rPr>
        <w:t xml:space="preserve">          元</w:t>
      </w:r>
      <w:r>
        <w:rPr>
          <w:rFonts w:hint="eastAsia" w:ascii="宋体" w:hAnsi="宋体"/>
          <w:color w:val="auto"/>
          <w:highlight w:val="none"/>
        </w:rPr>
        <w:t>］的总价，按招标文件的要求承包本次招标范围内的全部工程，修补工程中的任何缺陷。</w:t>
      </w:r>
    </w:p>
    <w:p w14:paraId="42EC228A">
      <w:pPr>
        <w:pStyle w:val="7"/>
        <w:spacing w:line="360" w:lineRule="auto"/>
        <w:ind w:firstLine="480" w:firstLineChars="200"/>
        <w:jc w:val="left"/>
        <w:rPr>
          <w:rFonts w:ascii="宋体" w:hAnsi="宋体"/>
          <w:color w:val="auto"/>
          <w:highlight w:val="none"/>
        </w:rPr>
      </w:pPr>
      <w:r>
        <w:rPr>
          <w:rFonts w:hint="eastAsia" w:ascii="宋体" w:hAnsi="宋体"/>
          <w:color w:val="auto"/>
          <w:highlight w:val="none"/>
        </w:rPr>
        <w:t>(二)我方保证在收到贵单位发出的书面开工令后立即开工，并保证在工期</w:t>
      </w:r>
      <w:r>
        <w:rPr>
          <w:rFonts w:hint="eastAsia" w:ascii="宋体" w:hAnsi="宋体"/>
          <w:color w:val="auto"/>
          <w:highlight w:val="none"/>
          <w:u w:val="single"/>
        </w:rPr>
        <w:t xml:space="preserve">     </w:t>
      </w:r>
      <w:r>
        <w:rPr>
          <w:rFonts w:hint="eastAsia" w:ascii="宋体" w:hAnsi="宋体"/>
          <w:color w:val="auto"/>
          <w:highlight w:val="none"/>
        </w:rPr>
        <w:t>日历天内竣工并移交整个工程及相关资料。</w:t>
      </w:r>
    </w:p>
    <w:p w14:paraId="77F5E5A4">
      <w:pPr>
        <w:widowControl/>
        <w:spacing w:line="360" w:lineRule="auto"/>
        <w:ind w:firstLine="480" w:firstLineChars="200"/>
        <w:jc w:val="left"/>
        <w:rPr>
          <w:rFonts w:ascii="宋体" w:hAnsi="宋体"/>
          <w:color w:val="auto"/>
          <w:sz w:val="24"/>
          <w:highlight w:val="none"/>
        </w:rPr>
      </w:pPr>
      <w:r>
        <w:rPr>
          <w:rFonts w:hint="eastAsia" w:ascii="宋体" w:hAnsi="宋体"/>
          <w:color w:val="auto"/>
          <w:sz w:val="24"/>
          <w:highlight w:val="none"/>
        </w:rPr>
        <w:t>(三)我方保证本工程质量达到</w:t>
      </w:r>
      <w:r>
        <w:rPr>
          <w:rFonts w:hint="eastAsia" w:ascii="宋体" w:hAnsi="宋体"/>
          <w:color w:val="auto"/>
          <w:sz w:val="24"/>
          <w:highlight w:val="none"/>
          <w:u w:val="single"/>
        </w:rPr>
        <w:t xml:space="preserve">                   </w:t>
      </w:r>
      <w:r>
        <w:rPr>
          <w:rFonts w:hint="eastAsia" w:ascii="宋体" w:hAnsi="宋体"/>
          <w:color w:val="auto"/>
          <w:sz w:val="24"/>
          <w:highlight w:val="none"/>
        </w:rPr>
        <w:t xml:space="preserve"> 。</w:t>
      </w:r>
    </w:p>
    <w:p w14:paraId="2F77B8CB">
      <w:pPr>
        <w:pStyle w:val="7"/>
        <w:widowControl/>
        <w:adjustRightInd/>
        <w:spacing w:line="360" w:lineRule="auto"/>
        <w:ind w:firstLine="480" w:firstLineChars="200"/>
        <w:jc w:val="left"/>
        <w:textAlignment w:val="auto"/>
        <w:rPr>
          <w:rFonts w:ascii="宋体" w:hAnsi="宋体"/>
          <w:color w:val="auto"/>
          <w:highlight w:val="none"/>
        </w:rPr>
      </w:pPr>
      <w:r>
        <w:rPr>
          <w:rFonts w:hint="eastAsia" w:ascii="宋体" w:hAnsi="宋体"/>
          <w:color w:val="auto"/>
          <w:highlight w:val="none"/>
        </w:rPr>
        <w:t>(四)我方金额为人民币（大写）</w:t>
      </w:r>
      <w:r>
        <w:rPr>
          <w:rFonts w:hint="eastAsia" w:ascii="宋体" w:hAnsi="宋体"/>
          <w:color w:val="auto"/>
          <w:highlight w:val="none"/>
          <w:u w:val="single"/>
        </w:rPr>
        <w:t xml:space="preserve">       </w:t>
      </w:r>
      <w:r>
        <w:rPr>
          <w:rFonts w:hint="eastAsia" w:ascii="宋体" w:hAnsi="宋体"/>
          <w:color w:val="auto"/>
          <w:highlight w:val="none"/>
        </w:rPr>
        <w:t>[</w:t>
      </w:r>
      <w:r>
        <w:rPr>
          <w:rFonts w:hint="eastAsia" w:ascii="宋体" w:hAnsi="宋体" w:cs="宋体"/>
          <w:color w:val="auto"/>
          <w:highlight w:val="none"/>
        </w:rPr>
        <w:t>¥</w:t>
      </w:r>
      <w:r>
        <w:rPr>
          <w:rFonts w:hint="eastAsia" w:ascii="宋体" w:hAnsi="宋体" w:cs="仿宋_GB2312"/>
          <w:color w:val="auto"/>
          <w:highlight w:val="none"/>
        </w:rPr>
        <w:t>(</w:t>
      </w:r>
      <w:r>
        <w:rPr>
          <w:rFonts w:hint="eastAsia" w:ascii="宋体" w:hAnsi="宋体"/>
          <w:color w:val="auto"/>
          <w:highlight w:val="none"/>
        </w:rPr>
        <w:t>小写)</w:t>
      </w:r>
      <w:r>
        <w:rPr>
          <w:rFonts w:hint="eastAsia" w:ascii="宋体" w:hAnsi="宋体"/>
          <w:color w:val="auto"/>
          <w:highlight w:val="none"/>
          <w:u w:val="single"/>
        </w:rPr>
        <w:t xml:space="preserve">       </w:t>
      </w:r>
      <w:r>
        <w:rPr>
          <w:rFonts w:hint="eastAsia" w:ascii="宋体" w:hAnsi="宋体"/>
          <w:color w:val="auto"/>
          <w:highlight w:val="none"/>
        </w:rPr>
        <w:t>元］的投标保证金已按招标文件要求提交。</w:t>
      </w:r>
    </w:p>
    <w:p w14:paraId="1EF91319">
      <w:pPr>
        <w:pStyle w:val="7"/>
        <w:widowControl/>
        <w:adjustRightInd/>
        <w:spacing w:line="360" w:lineRule="auto"/>
        <w:ind w:firstLine="480" w:firstLineChars="200"/>
        <w:jc w:val="left"/>
        <w:textAlignment w:val="auto"/>
        <w:rPr>
          <w:rFonts w:ascii="宋体" w:hAnsi="宋体"/>
          <w:color w:val="auto"/>
          <w:highlight w:val="none"/>
        </w:rPr>
      </w:pPr>
      <w:r>
        <w:rPr>
          <w:rFonts w:hint="eastAsia" w:ascii="宋体" w:hAnsi="宋体"/>
          <w:color w:val="auto"/>
          <w:highlight w:val="none"/>
        </w:rPr>
        <w:t>(五)如果我方中标，我方承诺在收到中标通知书后，在中标通知书规定的期限内与贵方签订合同，并将按照招标文件规定的时间、数额提交履约保证金。</w:t>
      </w:r>
    </w:p>
    <w:p w14:paraId="545E6745">
      <w:pPr>
        <w:pStyle w:val="7"/>
        <w:spacing w:line="360" w:lineRule="auto"/>
        <w:ind w:firstLine="480" w:firstLineChars="200"/>
        <w:rPr>
          <w:rFonts w:ascii="宋体" w:hAnsi="宋体"/>
          <w:color w:val="auto"/>
          <w:highlight w:val="none"/>
        </w:rPr>
      </w:pPr>
      <w:r>
        <w:rPr>
          <w:rFonts w:hint="eastAsia" w:ascii="宋体" w:hAnsi="宋体"/>
          <w:color w:val="auto"/>
          <w:highlight w:val="none"/>
        </w:rPr>
        <w:t>(六)贵单位的招标文件、中标通知书和本投标文件将构成约束我们双方的合同。</w:t>
      </w:r>
    </w:p>
    <w:p w14:paraId="44AC9CF4">
      <w:pPr>
        <w:pStyle w:val="7"/>
        <w:spacing w:line="360" w:lineRule="auto"/>
        <w:ind w:firstLine="480" w:firstLineChars="200"/>
        <w:rPr>
          <w:rFonts w:ascii="宋体" w:hAnsi="宋体"/>
          <w:color w:val="auto"/>
          <w:highlight w:val="none"/>
        </w:rPr>
      </w:pPr>
    </w:p>
    <w:p w14:paraId="2D0E2325">
      <w:pPr>
        <w:pStyle w:val="7"/>
        <w:spacing w:line="360" w:lineRule="auto"/>
        <w:ind w:firstLine="480" w:firstLineChars="200"/>
        <w:rPr>
          <w:rFonts w:ascii="宋体" w:hAnsi="宋体"/>
          <w:color w:val="auto"/>
          <w:highlight w:val="none"/>
        </w:rPr>
      </w:pPr>
    </w:p>
    <w:p w14:paraId="12670881">
      <w:pPr>
        <w:pStyle w:val="7"/>
        <w:spacing w:line="360" w:lineRule="auto"/>
        <w:ind w:firstLine="480" w:firstLineChars="200"/>
        <w:rPr>
          <w:rFonts w:ascii="宋体" w:hAnsi="宋体"/>
          <w:color w:val="auto"/>
          <w:highlight w:val="none"/>
        </w:rPr>
      </w:pPr>
    </w:p>
    <w:p w14:paraId="15BDE9F9">
      <w:pPr>
        <w:pStyle w:val="7"/>
        <w:spacing w:line="360" w:lineRule="auto"/>
        <w:ind w:firstLine="480" w:firstLineChars="200"/>
        <w:rPr>
          <w:rFonts w:ascii="宋体" w:hAnsi="宋体"/>
          <w:color w:val="auto"/>
          <w:highlight w:val="none"/>
          <w:u w:val="single"/>
        </w:rPr>
      </w:pPr>
      <w:r>
        <w:rPr>
          <w:rFonts w:hint="eastAsia" w:ascii="宋体" w:hAnsi="宋体"/>
          <w:color w:val="auto"/>
          <w:highlight w:val="none"/>
        </w:rPr>
        <w:t>投标人(盖法人章)：</w:t>
      </w:r>
      <w:r>
        <w:rPr>
          <w:rFonts w:hint="eastAsia" w:ascii="宋体" w:hAnsi="宋体"/>
          <w:color w:val="auto"/>
          <w:highlight w:val="none"/>
          <w:u w:val="single"/>
        </w:rPr>
        <w:t xml:space="preserve">                               </w:t>
      </w:r>
    </w:p>
    <w:p w14:paraId="31C5B645">
      <w:pPr>
        <w:pStyle w:val="7"/>
        <w:spacing w:line="360" w:lineRule="auto"/>
        <w:ind w:firstLine="480" w:firstLineChars="200"/>
        <w:rPr>
          <w:rFonts w:ascii="宋体" w:hAnsi="宋体"/>
          <w:color w:val="auto"/>
          <w:highlight w:val="none"/>
        </w:rPr>
      </w:pPr>
    </w:p>
    <w:p w14:paraId="08EE537B">
      <w:pPr>
        <w:pStyle w:val="7"/>
        <w:spacing w:line="360" w:lineRule="auto"/>
        <w:ind w:firstLine="480" w:firstLineChars="200"/>
        <w:rPr>
          <w:rFonts w:ascii="宋体" w:hAnsi="宋体"/>
          <w:color w:val="auto"/>
          <w:highlight w:val="none"/>
          <w:u w:val="single"/>
        </w:rPr>
      </w:pPr>
      <w:r>
        <w:rPr>
          <w:rFonts w:hint="eastAsia" w:ascii="宋体" w:hAnsi="宋体"/>
          <w:color w:val="auto"/>
          <w:highlight w:val="none"/>
        </w:rPr>
        <w:t>法定代表人或委托代理人(签字或盖章)：</w:t>
      </w:r>
      <w:r>
        <w:rPr>
          <w:rFonts w:hint="eastAsia" w:ascii="宋体" w:hAnsi="宋体"/>
          <w:color w:val="auto"/>
          <w:highlight w:val="none"/>
          <w:u w:val="single"/>
        </w:rPr>
        <w:t xml:space="preserve">                        </w:t>
      </w:r>
    </w:p>
    <w:p w14:paraId="3A054411">
      <w:pPr>
        <w:pStyle w:val="7"/>
        <w:spacing w:line="360" w:lineRule="auto"/>
        <w:ind w:firstLine="480" w:firstLineChars="200"/>
        <w:rPr>
          <w:rFonts w:ascii="宋体" w:hAnsi="宋体"/>
          <w:color w:val="auto"/>
          <w:highlight w:val="none"/>
        </w:rPr>
      </w:pPr>
      <w:r>
        <w:rPr>
          <w:rFonts w:hint="eastAsia" w:ascii="宋体" w:hAnsi="宋体"/>
          <w:color w:val="auto"/>
          <w:highlight w:val="none"/>
        </w:rPr>
        <w:t xml:space="preserve">      </w:t>
      </w:r>
    </w:p>
    <w:p w14:paraId="7711045C">
      <w:pPr>
        <w:pStyle w:val="7"/>
        <w:spacing w:line="360" w:lineRule="auto"/>
        <w:ind w:firstLine="480" w:firstLineChars="200"/>
        <w:rPr>
          <w:rFonts w:ascii="宋体" w:hAnsi="宋体"/>
          <w:color w:val="auto"/>
          <w:highlight w:val="none"/>
        </w:rPr>
      </w:pPr>
      <w:r>
        <w:rPr>
          <w:rFonts w:hint="eastAsia" w:ascii="宋体" w:hAnsi="宋体"/>
          <w:color w:val="auto"/>
          <w:highlight w:val="none"/>
        </w:rPr>
        <w:t>日期：</w:t>
      </w:r>
      <w:r>
        <w:rPr>
          <w:rFonts w:hint="eastAsia" w:ascii="宋体" w:hAnsi="宋体"/>
          <w:color w:val="auto"/>
          <w:highlight w:val="none"/>
          <w:u w:val="single"/>
        </w:rPr>
        <w:t xml:space="preserve">                                  </w:t>
      </w:r>
      <w:r>
        <w:rPr>
          <w:rFonts w:hint="eastAsia" w:ascii="宋体" w:hAnsi="宋体"/>
          <w:color w:val="auto"/>
          <w:highlight w:val="none"/>
        </w:rPr>
        <w:t xml:space="preserve"> </w:t>
      </w:r>
    </w:p>
    <w:p w14:paraId="62E12280">
      <w:pPr>
        <w:pStyle w:val="21"/>
        <w:spacing w:line="360" w:lineRule="auto"/>
        <w:ind w:firstLine="640" w:firstLineChars="200"/>
        <w:rPr>
          <w:rFonts w:ascii="宋体" w:hAnsi="宋体"/>
          <w:color w:val="auto"/>
          <w:sz w:val="32"/>
          <w:highlight w:val="none"/>
        </w:rPr>
      </w:pPr>
    </w:p>
    <w:p w14:paraId="71F563AF">
      <w:pPr>
        <w:pStyle w:val="3"/>
        <w:jc w:val="center"/>
        <w:rPr>
          <w:rFonts w:ascii="宋体" w:hAnsi="宋体"/>
          <w:b w:val="0"/>
          <w:color w:val="auto"/>
          <w:sz w:val="30"/>
          <w:highlight w:val="none"/>
        </w:rPr>
      </w:pPr>
      <w:r>
        <w:rPr>
          <w:rFonts w:hint="eastAsia" w:ascii="宋体" w:hAnsi="宋体"/>
          <w:color w:val="auto"/>
          <w:highlight w:val="none"/>
        </w:rPr>
        <w:br w:type="page"/>
      </w:r>
      <w:r>
        <w:rPr>
          <w:rFonts w:hint="eastAsia" w:ascii="宋体" w:hAnsi="宋体"/>
          <w:b w:val="0"/>
          <w:color w:val="auto"/>
          <w:sz w:val="30"/>
          <w:highlight w:val="none"/>
        </w:rPr>
        <w:t>二、法定代表人身份证明</w:t>
      </w:r>
    </w:p>
    <w:p w14:paraId="6DFE32F2">
      <w:pPr>
        <w:pStyle w:val="7"/>
        <w:snapToGrid w:val="0"/>
        <w:spacing w:line="360" w:lineRule="auto"/>
        <w:ind w:firstLine="600" w:firstLineChars="200"/>
        <w:rPr>
          <w:rFonts w:ascii="宋体" w:hAnsi="宋体"/>
          <w:color w:val="auto"/>
          <w:sz w:val="30"/>
          <w:highlight w:val="none"/>
        </w:rPr>
      </w:pPr>
      <w:bookmarkStart w:id="152" w:name="_Toc286661179"/>
    </w:p>
    <w:p w14:paraId="4BF57037">
      <w:pPr>
        <w:pStyle w:val="7"/>
        <w:snapToGrid w:val="0"/>
        <w:spacing w:line="360" w:lineRule="auto"/>
        <w:ind w:firstLine="480" w:firstLineChars="200"/>
        <w:rPr>
          <w:rFonts w:ascii="宋体" w:hAnsi="宋体"/>
          <w:color w:val="auto"/>
          <w:highlight w:val="none"/>
          <w:u w:val="single"/>
        </w:rPr>
      </w:pPr>
      <w:r>
        <w:rPr>
          <w:rFonts w:hint="eastAsia" w:ascii="宋体" w:hAnsi="宋体"/>
          <w:color w:val="auto"/>
          <w:highlight w:val="none"/>
        </w:rPr>
        <w:t>投标人单位名称：</w:t>
      </w:r>
      <w:r>
        <w:rPr>
          <w:rFonts w:hint="eastAsia" w:ascii="宋体" w:hAnsi="宋体"/>
          <w:color w:val="auto"/>
          <w:highlight w:val="none"/>
          <w:u w:val="single"/>
        </w:rPr>
        <w:t xml:space="preserve">                                 </w:t>
      </w:r>
    </w:p>
    <w:p w14:paraId="21DEC307">
      <w:pPr>
        <w:pStyle w:val="7"/>
        <w:snapToGrid w:val="0"/>
        <w:spacing w:line="360" w:lineRule="auto"/>
        <w:ind w:firstLine="480" w:firstLineChars="200"/>
        <w:rPr>
          <w:rFonts w:ascii="宋体" w:hAnsi="宋体"/>
          <w:color w:val="auto"/>
          <w:highlight w:val="none"/>
          <w:u w:val="single"/>
        </w:rPr>
      </w:pPr>
      <w:r>
        <w:rPr>
          <w:rFonts w:hint="eastAsia" w:ascii="宋体" w:hAnsi="宋体"/>
          <w:color w:val="auto"/>
          <w:highlight w:val="none"/>
        </w:rPr>
        <w:t>投标人单位性质：</w:t>
      </w:r>
      <w:r>
        <w:rPr>
          <w:rFonts w:hint="eastAsia" w:ascii="宋体" w:hAnsi="宋体"/>
          <w:color w:val="auto"/>
          <w:highlight w:val="none"/>
          <w:u w:val="single"/>
        </w:rPr>
        <w:t xml:space="preserve">                                 </w:t>
      </w:r>
    </w:p>
    <w:p w14:paraId="79EC9D3C">
      <w:pPr>
        <w:pStyle w:val="7"/>
        <w:snapToGrid w:val="0"/>
        <w:spacing w:line="360" w:lineRule="auto"/>
        <w:ind w:firstLine="480" w:firstLineChars="200"/>
        <w:rPr>
          <w:rFonts w:ascii="宋体" w:hAnsi="宋体"/>
          <w:color w:val="auto"/>
          <w:highlight w:val="none"/>
          <w:u w:val="single"/>
        </w:rPr>
      </w:pPr>
      <w:r>
        <w:rPr>
          <w:rFonts w:hint="eastAsia" w:ascii="宋体" w:hAnsi="宋体"/>
          <w:color w:val="auto"/>
          <w:highlight w:val="none"/>
        </w:rPr>
        <w:t>投标人单位地址：</w:t>
      </w:r>
      <w:r>
        <w:rPr>
          <w:rFonts w:hint="eastAsia" w:ascii="宋体" w:hAnsi="宋体"/>
          <w:color w:val="auto"/>
          <w:highlight w:val="none"/>
          <w:u w:val="single"/>
        </w:rPr>
        <w:t xml:space="preserve">                                 </w:t>
      </w:r>
    </w:p>
    <w:p w14:paraId="055901C2">
      <w:pPr>
        <w:pStyle w:val="7"/>
        <w:snapToGrid w:val="0"/>
        <w:spacing w:line="360" w:lineRule="auto"/>
        <w:ind w:firstLine="480" w:firstLineChars="200"/>
        <w:rPr>
          <w:rFonts w:ascii="宋体" w:hAnsi="宋体"/>
          <w:color w:val="auto"/>
          <w:highlight w:val="none"/>
          <w:u w:val="single"/>
        </w:rPr>
      </w:pPr>
      <w:r>
        <w:rPr>
          <w:rFonts w:hint="eastAsia" w:ascii="宋体" w:hAnsi="宋体"/>
          <w:color w:val="auto"/>
          <w:highlight w:val="none"/>
        </w:rPr>
        <w:t>成立时间：</w:t>
      </w:r>
      <w:r>
        <w:rPr>
          <w:rFonts w:hint="eastAsia" w:ascii="宋体" w:hAnsi="宋体"/>
          <w:color w:val="auto"/>
          <w:highlight w:val="none"/>
          <w:u w:val="single"/>
        </w:rPr>
        <w:t xml:space="preserve">     </w:t>
      </w:r>
      <w:r>
        <w:rPr>
          <w:rFonts w:hint="eastAsia" w:ascii="宋体" w:hAnsi="宋体"/>
          <w:color w:val="auto"/>
          <w:highlight w:val="none"/>
        </w:rPr>
        <w:t>年</w:t>
      </w:r>
      <w:r>
        <w:rPr>
          <w:rFonts w:hint="eastAsia" w:ascii="宋体" w:hAnsi="宋体"/>
          <w:color w:val="auto"/>
          <w:highlight w:val="none"/>
          <w:u w:val="single"/>
        </w:rPr>
        <w:t xml:space="preserve">     </w:t>
      </w:r>
      <w:r>
        <w:rPr>
          <w:rFonts w:hint="eastAsia" w:ascii="宋体" w:hAnsi="宋体"/>
          <w:color w:val="auto"/>
          <w:highlight w:val="none"/>
        </w:rPr>
        <w:t xml:space="preserve">月 </w:t>
      </w:r>
      <w:r>
        <w:rPr>
          <w:rFonts w:hint="eastAsia" w:ascii="宋体" w:hAnsi="宋体"/>
          <w:color w:val="auto"/>
          <w:highlight w:val="none"/>
          <w:u w:val="single"/>
        </w:rPr>
        <w:t xml:space="preserve">    </w:t>
      </w:r>
      <w:r>
        <w:rPr>
          <w:rFonts w:hint="eastAsia" w:ascii="宋体" w:hAnsi="宋体"/>
          <w:color w:val="auto"/>
          <w:highlight w:val="none"/>
        </w:rPr>
        <w:t>日</w:t>
      </w:r>
    </w:p>
    <w:p w14:paraId="42A525CD">
      <w:pPr>
        <w:pStyle w:val="7"/>
        <w:snapToGrid w:val="0"/>
        <w:spacing w:line="360" w:lineRule="auto"/>
        <w:ind w:firstLine="480" w:firstLineChars="200"/>
        <w:rPr>
          <w:rFonts w:ascii="宋体" w:hAnsi="宋体"/>
          <w:color w:val="auto"/>
          <w:highlight w:val="none"/>
          <w:u w:val="single"/>
        </w:rPr>
      </w:pPr>
      <w:r>
        <w:rPr>
          <w:rFonts w:hint="eastAsia" w:ascii="宋体" w:hAnsi="宋体"/>
          <w:color w:val="auto"/>
          <w:highlight w:val="none"/>
        </w:rPr>
        <w:t>经营期限：</w:t>
      </w:r>
      <w:r>
        <w:rPr>
          <w:rFonts w:hint="eastAsia" w:ascii="宋体" w:hAnsi="宋体"/>
          <w:color w:val="auto"/>
          <w:sz w:val="30"/>
          <w:highlight w:val="none"/>
          <w:u w:val="single"/>
        </w:rPr>
        <w:t xml:space="preserve">                               </w:t>
      </w:r>
    </w:p>
    <w:p w14:paraId="54A7F766">
      <w:pPr>
        <w:pStyle w:val="7"/>
        <w:snapToGrid w:val="0"/>
        <w:spacing w:line="360" w:lineRule="auto"/>
        <w:ind w:firstLine="480" w:firstLineChars="200"/>
        <w:rPr>
          <w:rFonts w:ascii="宋体" w:hAnsi="宋体"/>
          <w:color w:val="auto"/>
          <w:highlight w:val="none"/>
          <w:u w:val="single"/>
        </w:rPr>
      </w:pPr>
      <w:r>
        <w:rPr>
          <w:rFonts w:hint="eastAsia" w:ascii="宋体" w:hAnsi="宋体"/>
          <w:color w:val="auto"/>
          <w:highlight w:val="none"/>
        </w:rPr>
        <w:t>姓名：</w:t>
      </w:r>
      <w:r>
        <w:rPr>
          <w:rFonts w:hint="eastAsia" w:ascii="宋体" w:hAnsi="宋体"/>
          <w:color w:val="auto"/>
          <w:highlight w:val="none"/>
          <w:u w:val="single"/>
        </w:rPr>
        <w:t xml:space="preserve">             </w:t>
      </w:r>
      <w:r>
        <w:rPr>
          <w:rFonts w:hint="eastAsia" w:ascii="宋体" w:hAnsi="宋体"/>
          <w:color w:val="auto"/>
          <w:highlight w:val="none"/>
        </w:rPr>
        <w:t>性别：</w:t>
      </w:r>
      <w:r>
        <w:rPr>
          <w:rFonts w:hint="eastAsia" w:ascii="宋体" w:hAnsi="宋体"/>
          <w:color w:val="auto"/>
          <w:highlight w:val="none"/>
          <w:u w:val="single"/>
        </w:rPr>
        <w:t xml:space="preserve">              </w:t>
      </w:r>
    </w:p>
    <w:p w14:paraId="4ACADA4C">
      <w:pPr>
        <w:pStyle w:val="7"/>
        <w:snapToGrid w:val="0"/>
        <w:spacing w:line="360" w:lineRule="auto"/>
        <w:ind w:firstLine="480" w:firstLineChars="200"/>
        <w:rPr>
          <w:rFonts w:ascii="宋体" w:hAnsi="宋体"/>
          <w:color w:val="auto"/>
          <w:highlight w:val="none"/>
          <w:u w:val="single"/>
        </w:rPr>
      </w:pPr>
      <w:r>
        <w:rPr>
          <w:rFonts w:hint="eastAsia" w:ascii="宋体" w:hAnsi="宋体"/>
          <w:color w:val="auto"/>
          <w:highlight w:val="none"/>
        </w:rPr>
        <w:t>年龄：</w:t>
      </w:r>
      <w:r>
        <w:rPr>
          <w:rFonts w:hint="eastAsia" w:ascii="宋体" w:hAnsi="宋体"/>
          <w:color w:val="auto"/>
          <w:highlight w:val="none"/>
          <w:u w:val="single"/>
        </w:rPr>
        <w:t xml:space="preserve">            </w:t>
      </w:r>
      <w:r>
        <w:rPr>
          <w:rFonts w:hint="eastAsia" w:ascii="宋体" w:hAnsi="宋体"/>
          <w:color w:val="auto"/>
          <w:highlight w:val="none"/>
          <w:u w:val="single"/>
        </w:rPr>
        <w:t xml:space="preserve"> </w:t>
      </w:r>
      <w:r>
        <w:rPr>
          <w:rFonts w:hint="eastAsia" w:ascii="宋体" w:hAnsi="宋体"/>
          <w:color w:val="auto"/>
          <w:highlight w:val="none"/>
        </w:rPr>
        <w:t>职务：</w:t>
      </w:r>
      <w:r>
        <w:rPr>
          <w:rFonts w:hint="eastAsia" w:ascii="宋体" w:hAnsi="宋体"/>
          <w:color w:val="auto"/>
          <w:highlight w:val="none"/>
          <w:u w:val="single"/>
        </w:rPr>
        <w:t xml:space="preserve">               </w:t>
      </w:r>
    </w:p>
    <w:p w14:paraId="63257212">
      <w:pPr>
        <w:pStyle w:val="7"/>
        <w:snapToGrid w:val="0"/>
        <w:spacing w:line="360" w:lineRule="auto"/>
        <w:ind w:firstLine="480" w:firstLineChars="200"/>
        <w:rPr>
          <w:rFonts w:ascii="宋体" w:hAnsi="宋体"/>
          <w:color w:val="auto"/>
          <w:highlight w:val="none"/>
        </w:rPr>
      </w:pPr>
      <w:r>
        <w:rPr>
          <w:rFonts w:hint="eastAsia" w:ascii="宋体" w:hAnsi="宋体"/>
          <w:color w:val="auto"/>
          <w:highlight w:val="none"/>
        </w:rPr>
        <w:t>系：</w:t>
      </w:r>
      <w:r>
        <w:rPr>
          <w:rFonts w:hint="eastAsia" w:ascii="宋体" w:hAnsi="宋体"/>
          <w:color w:val="auto"/>
          <w:highlight w:val="none"/>
          <w:u w:val="single"/>
        </w:rPr>
        <w:t xml:space="preserve">                              </w:t>
      </w:r>
      <w:r>
        <w:rPr>
          <w:rFonts w:hint="eastAsia" w:ascii="宋体" w:hAnsi="宋体"/>
          <w:color w:val="auto"/>
          <w:highlight w:val="none"/>
        </w:rPr>
        <w:t>(投标人单位名称)的法定代表人。</w:t>
      </w:r>
    </w:p>
    <w:p w14:paraId="2E95FBED">
      <w:pPr>
        <w:pStyle w:val="7"/>
        <w:snapToGrid w:val="0"/>
        <w:spacing w:line="360" w:lineRule="auto"/>
        <w:ind w:firstLine="480" w:firstLineChars="200"/>
        <w:rPr>
          <w:rFonts w:ascii="宋体" w:hAnsi="宋体"/>
          <w:color w:val="auto"/>
          <w:highlight w:val="none"/>
        </w:rPr>
      </w:pPr>
      <w:r>
        <w:rPr>
          <w:rFonts w:hint="eastAsia" w:ascii="宋体" w:hAnsi="宋体"/>
          <w:color w:val="auto"/>
          <w:highlight w:val="none"/>
        </w:rPr>
        <w:t>法定代表人联系电话：</w:t>
      </w:r>
      <w:r>
        <w:rPr>
          <w:rFonts w:hint="eastAsia" w:ascii="宋体" w:hAnsi="宋体"/>
          <w:color w:val="auto"/>
          <w:sz w:val="30"/>
          <w:highlight w:val="none"/>
          <w:u w:val="single"/>
        </w:rPr>
        <w:t xml:space="preserve">                     </w:t>
      </w:r>
    </w:p>
    <w:p w14:paraId="4AEE6F57">
      <w:pPr>
        <w:pStyle w:val="7"/>
        <w:snapToGrid w:val="0"/>
        <w:spacing w:line="360" w:lineRule="auto"/>
        <w:ind w:firstLine="480" w:firstLineChars="200"/>
        <w:rPr>
          <w:rFonts w:ascii="宋体" w:hAnsi="宋体"/>
          <w:color w:val="auto"/>
          <w:highlight w:val="none"/>
        </w:rPr>
      </w:pPr>
      <w:r>
        <w:rPr>
          <w:rFonts w:hint="eastAsia" w:ascii="宋体" w:hAnsi="宋体"/>
          <w:color w:val="auto"/>
          <w:highlight w:val="none"/>
        </w:rPr>
        <w:t>特此证明。</w:t>
      </w:r>
    </w:p>
    <w:p w14:paraId="383237F2">
      <w:pPr>
        <w:pStyle w:val="7"/>
        <w:spacing w:line="360" w:lineRule="auto"/>
        <w:ind w:firstLine="600" w:firstLineChars="200"/>
        <w:rPr>
          <w:rFonts w:ascii="宋体" w:hAnsi="宋体"/>
          <w:color w:val="auto"/>
          <w:sz w:val="30"/>
          <w:highlight w:val="none"/>
        </w:rPr>
      </w:pPr>
      <w:r>
        <w:rPr>
          <w:rFonts w:hint="eastAsia" w:ascii="宋体" w:hAnsi="宋体"/>
          <w:color w:val="auto"/>
          <w:sz w:val="30"/>
          <w:highlight w:val="none"/>
        </w:rPr>
        <mc:AlternateContent>
          <mc:Choice Requires="wps">
            <w:drawing>
              <wp:anchor distT="0" distB="0" distL="114300" distR="114300" simplePos="0" relativeHeight="251660288" behindDoc="0" locked="0" layoutInCell="1" allowOverlap="1">
                <wp:simplePos x="0" y="0"/>
                <wp:positionH relativeFrom="column">
                  <wp:posOffset>-165735</wp:posOffset>
                </wp:positionH>
                <wp:positionV relativeFrom="paragraph">
                  <wp:posOffset>395605</wp:posOffset>
                </wp:positionV>
                <wp:extent cx="5964555" cy="1931670"/>
                <wp:effectExtent l="0" t="0" r="17145" b="11430"/>
                <wp:wrapNone/>
                <wp:docPr id="8" name="圆角矩形 8"/>
                <wp:cNvGraphicFramePr/>
                <a:graphic xmlns:a="http://schemas.openxmlformats.org/drawingml/2006/main">
                  <a:graphicData uri="http://schemas.microsoft.com/office/word/2010/wordprocessingShape">
                    <wps:wsp>
                      <wps:cNvSpPr/>
                      <wps:spPr>
                        <a:xfrm>
                          <a:off x="0" y="0"/>
                          <a:ext cx="5964555" cy="1931670"/>
                        </a:xfrm>
                        <a:prstGeom prst="roundRect">
                          <a:avLst>
                            <a:gd name="adj" fmla="val 16667"/>
                          </a:avLst>
                        </a:prstGeom>
                        <a:noFill/>
                        <a:ln w="15875" cap="flat" cmpd="sng">
                          <a:solidFill>
                            <a:srgbClr val="000000"/>
                          </a:solidFill>
                          <a:prstDash val="dash"/>
                          <a:headEnd type="none" w="med" len="med"/>
                          <a:tailEnd type="none" w="med" len="med"/>
                        </a:ln>
                      </wps:spPr>
                      <wps:txbx>
                        <w:txbxContent>
                          <w:p w14:paraId="5E833BE3"/>
                        </w:txbxContent>
                      </wps:txbx>
                      <wps:bodyPr wrap="square" upright="1"/>
                    </wps:wsp>
                  </a:graphicData>
                </a:graphic>
              </wp:anchor>
            </w:drawing>
          </mc:Choice>
          <mc:Fallback>
            <w:pict>
              <v:roundrect id="_x0000_s1026" o:spid="_x0000_s1026" o:spt="2" style="position:absolute;left:0pt;margin-left:-13.05pt;margin-top:31.15pt;height:152.1pt;width:469.65pt;z-index:251660288;mso-width-relative:page;mso-height-relative:page;" filled="f" stroked="t" coordsize="21600,21600" arcsize="0.166666666666667" o:gfxdata="UEsDBAoAAAAAAIdO4kAAAAAAAAAAAAAAAAAEAAAAZHJzL1BLAwQUAAAACACHTuJAWC+X+dkAAAAK&#10;AQAADwAAAGRycy9kb3ducmV2LnhtbE2PwU7DMBBE70j8g7WVuLV2EtWCNE6FkJC4ASkXbtvYTaLG&#10;6zR2mvTvMSc4ruZp5m2xX2zPrmb0nSMFyUYAM1Q73VGj4Ovwun4E5gOSxt6RUXAzHvbl/V2BuXYz&#10;fZprFRoWS8jnqKANYcg593VrLPqNGwzF7ORGiyGeY8P1iHMstz1PhZDcYkdxocXBvLSmPleTVfB8&#10;md4/tt8nsczCX268Or9hJ5R6WCViByyYJfzB8Ksf1aGMTkc3kfasV7BOZRJRBTLNgEXgKclSYEcF&#10;mZRb4GXB/79Q/gBQSwMEFAAAAAgAh07iQKMdfYQpAgAAPAQAAA4AAABkcnMvZTJvRG9jLnhtbK1T&#10;TY7TMBTeI3EHy3uaZqCZTtV0FpRhg2DEwAFebScx8h+226QX4ACskZDYIA7BcUZwDJ7d0IFh0wVZ&#10;JJ/j5++973vPy8tBK7ITPkhralpOppQIwyyXpq3p2zdXj+aUhAiGg7JG1HQvAr1cPXyw7N1CnNnO&#10;Ki48QRITFr2raRejWxRFYJ3QECbWCYObjfUaIi59W3APPbJrVZxNp1XRW8+dt0yEgH/Xh006MvpT&#10;CG3TSCbWlm21MPHA6oWCiJJCJ12gq1xt0wgWXzVNEJGomqLSmN+YBPEmvYvVEhatB9dJNpYAp5Rw&#10;T5MGaTDpkWoNEcjWy3+otGTeBtvECbO6OAjJjqCKcnrPm5sOnMha0OrgjqaH/0fLXu6uPZG8pth2&#10;Axobfvvpw8+vH398/nb7/QuZJ4d6FxYYeOOu/bgKCJPcofE6fVEIGbKr+6OrYoiE4c/ZRfVkNptR&#10;wnCvvHhcVufZ9+LuuPMhPhdWkwRq6u3W8NfYu2wp7F6EmL3lY4XA31HSaIWd2oEiZVVV56lOZByD&#10;Ef3mTCeNvZJK5V4rQ3osYzY/TxUBDnCDg4NQOzQhmDbnDFZJns6k08G3m6fKE8yF4vIzZvsrLCVc&#10;Q+gOcRxRioJFJ4A/M5zEvUN3DV4qmkrQglOiBN7BhHJkBKlOiUR1yqDc1JdDJxKKw2ZAmgQ3lu+x&#10;rT3ONWp6vwWPObfOy7ZDe8tcfYrDocqujRcgTe2f65zi7tKvfgF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BYL5f52QAAAAoBAAAPAAAAAAAAAAEAIAAAACIAAABkcnMvZG93bnJldi54bWxQSwECFAAU&#10;AAAACACHTuJAox19hCkCAAA8BAAADgAAAAAAAAABACAAAAAoAQAAZHJzL2Uyb0RvYy54bWxQSwUG&#10;AAAAAAYABgBZAQAAwwUAAAAA&#10;">
                <v:fill on="f" focussize="0,0"/>
                <v:stroke weight="1.25pt" color="#000000" joinstyle="round" dashstyle="dash"/>
                <v:imagedata o:title=""/>
                <o:lock v:ext="edit" aspectratio="f"/>
                <v:textbox>
                  <w:txbxContent>
                    <w:p w14:paraId="5E833BE3"/>
                  </w:txbxContent>
                </v:textbox>
              </v:roundrect>
            </w:pict>
          </mc:Fallback>
        </mc:AlternateContent>
      </w:r>
    </w:p>
    <w:p w14:paraId="7999027F">
      <w:pPr>
        <w:pStyle w:val="7"/>
        <w:spacing w:line="360" w:lineRule="auto"/>
        <w:ind w:firstLine="600" w:firstLineChars="200"/>
        <w:jc w:val="center"/>
        <w:rPr>
          <w:rFonts w:ascii="宋体" w:hAnsi="宋体"/>
          <w:color w:val="auto"/>
          <w:sz w:val="30"/>
          <w:highlight w:val="none"/>
        </w:rPr>
      </w:pPr>
    </w:p>
    <w:p w14:paraId="7E01BC31">
      <w:pPr>
        <w:pStyle w:val="7"/>
        <w:spacing w:line="360" w:lineRule="auto"/>
        <w:ind w:firstLineChars="200"/>
        <w:rPr>
          <w:rFonts w:ascii="宋体" w:hAnsi="宋体"/>
          <w:b/>
          <w:color w:val="auto"/>
          <w:highlight w:val="none"/>
        </w:rPr>
      </w:pPr>
      <w:r>
        <w:rPr>
          <w:rFonts w:hint="eastAsia" w:ascii="宋体" w:hAnsi="宋体"/>
          <w:b/>
          <w:color w:val="auto"/>
          <w:highlight w:val="none"/>
        </w:rPr>
        <w:t>法定代表人身份证复印件贴于此处，并加盖单位公章，否则该证明无效。</w:t>
      </w:r>
    </w:p>
    <w:p w14:paraId="239D9FF6">
      <w:pPr>
        <w:pStyle w:val="7"/>
        <w:spacing w:line="360" w:lineRule="auto"/>
        <w:ind w:firstLine="600" w:firstLineChars="200"/>
        <w:jc w:val="center"/>
        <w:rPr>
          <w:rFonts w:ascii="宋体" w:hAnsi="宋体"/>
          <w:color w:val="auto"/>
          <w:sz w:val="30"/>
          <w:highlight w:val="none"/>
        </w:rPr>
      </w:pPr>
    </w:p>
    <w:p w14:paraId="710E5317">
      <w:pPr>
        <w:pStyle w:val="7"/>
        <w:spacing w:line="360" w:lineRule="auto"/>
        <w:ind w:firstLine="600" w:firstLineChars="200"/>
        <w:jc w:val="center"/>
        <w:rPr>
          <w:rFonts w:ascii="宋体" w:hAnsi="宋体"/>
          <w:color w:val="auto"/>
          <w:sz w:val="30"/>
          <w:highlight w:val="none"/>
        </w:rPr>
      </w:pPr>
    </w:p>
    <w:p w14:paraId="4D96986F">
      <w:pPr>
        <w:pStyle w:val="7"/>
        <w:snapToGrid w:val="0"/>
        <w:spacing w:line="360" w:lineRule="auto"/>
        <w:ind w:firstLine="480" w:firstLineChars="200"/>
        <w:rPr>
          <w:rFonts w:ascii="宋体" w:hAnsi="宋体"/>
          <w:color w:val="auto"/>
          <w:highlight w:val="none"/>
        </w:rPr>
      </w:pPr>
    </w:p>
    <w:p w14:paraId="2562B690">
      <w:pPr>
        <w:pStyle w:val="7"/>
        <w:snapToGrid w:val="0"/>
        <w:spacing w:line="360" w:lineRule="auto"/>
        <w:ind w:firstLine="480" w:firstLineChars="200"/>
        <w:rPr>
          <w:rFonts w:ascii="宋体" w:hAnsi="宋体"/>
          <w:color w:val="auto"/>
          <w:highlight w:val="none"/>
        </w:rPr>
      </w:pPr>
    </w:p>
    <w:p w14:paraId="57027CCA">
      <w:pPr>
        <w:pStyle w:val="7"/>
        <w:snapToGrid w:val="0"/>
        <w:spacing w:line="360" w:lineRule="auto"/>
        <w:ind w:firstLine="480" w:firstLineChars="200"/>
        <w:rPr>
          <w:rFonts w:ascii="宋体" w:hAnsi="宋体"/>
          <w:color w:val="auto"/>
          <w:highlight w:val="none"/>
        </w:rPr>
      </w:pPr>
    </w:p>
    <w:p w14:paraId="157A405B">
      <w:pPr>
        <w:pStyle w:val="7"/>
        <w:snapToGrid w:val="0"/>
        <w:spacing w:line="360" w:lineRule="auto"/>
        <w:ind w:firstLine="480" w:firstLineChars="200"/>
        <w:jc w:val="right"/>
        <w:rPr>
          <w:rFonts w:ascii="宋体" w:hAnsi="宋体"/>
          <w:color w:val="auto"/>
          <w:highlight w:val="none"/>
        </w:rPr>
      </w:pPr>
      <w:r>
        <w:rPr>
          <w:rFonts w:hint="eastAsia" w:ascii="宋体" w:hAnsi="宋体"/>
          <w:color w:val="auto"/>
          <w:highlight w:val="none"/>
        </w:rPr>
        <w:t>投标人：</w:t>
      </w:r>
      <w:r>
        <w:rPr>
          <w:rFonts w:hint="eastAsia" w:ascii="宋体" w:hAnsi="宋体"/>
          <w:color w:val="auto"/>
          <w:highlight w:val="none"/>
          <w:u w:val="single"/>
        </w:rPr>
        <w:t xml:space="preserve">                 </w:t>
      </w:r>
      <w:r>
        <w:rPr>
          <w:rFonts w:hint="eastAsia" w:ascii="宋体" w:hAnsi="宋体"/>
          <w:color w:val="auto"/>
          <w:highlight w:val="none"/>
        </w:rPr>
        <w:t>(盖单位章)</w:t>
      </w:r>
    </w:p>
    <w:p w14:paraId="0E0396EA">
      <w:pPr>
        <w:pStyle w:val="7"/>
        <w:snapToGrid w:val="0"/>
        <w:spacing w:line="360" w:lineRule="auto"/>
        <w:ind w:firstLine="480" w:firstLineChars="200"/>
        <w:jc w:val="right"/>
        <w:rPr>
          <w:rFonts w:ascii="宋体" w:hAnsi="宋体"/>
          <w:color w:val="auto"/>
          <w:highlight w:val="none"/>
          <w:u w:val="single"/>
        </w:rPr>
      </w:pPr>
      <w:r>
        <w:rPr>
          <w:rFonts w:hint="eastAsia" w:ascii="宋体" w:hAnsi="宋体"/>
          <w:color w:val="auto"/>
          <w:highlight w:val="none"/>
        </w:rPr>
        <w:t>日   期：</w:t>
      </w:r>
      <w:r>
        <w:rPr>
          <w:rFonts w:hint="eastAsia" w:ascii="宋体" w:hAnsi="宋体"/>
          <w:color w:val="auto"/>
          <w:highlight w:val="none"/>
          <w:u w:val="single"/>
        </w:rPr>
        <w:t xml:space="preserve">        </w:t>
      </w:r>
      <w:r>
        <w:rPr>
          <w:rFonts w:hint="eastAsia" w:ascii="宋体" w:hAnsi="宋体"/>
          <w:color w:val="auto"/>
          <w:highlight w:val="none"/>
        </w:rPr>
        <w:t>年</w:t>
      </w:r>
      <w:r>
        <w:rPr>
          <w:rFonts w:hint="eastAsia" w:ascii="宋体" w:hAnsi="宋体"/>
          <w:color w:val="auto"/>
          <w:highlight w:val="none"/>
          <w:u w:val="single"/>
        </w:rPr>
        <w:t xml:space="preserve">      </w:t>
      </w:r>
      <w:r>
        <w:rPr>
          <w:rFonts w:hint="eastAsia" w:ascii="宋体" w:hAnsi="宋体"/>
          <w:color w:val="auto"/>
          <w:highlight w:val="none"/>
        </w:rPr>
        <w:t>月</w:t>
      </w:r>
      <w:r>
        <w:rPr>
          <w:rFonts w:hint="eastAsia" w:ascii="宋体" w:hAnsi="宋体"/>
          <w:color w:val="auto"/>
          <w:highlight w:val="none"/>
          <w:u w:val="single"/>
        </w:rPr>
        <w:t xml:space="preserve">      </w:t>
      </w:r>
      <w:r>
        <w:rPr>
          <w:rFonts w:hint="eastAsia" w:ascii="宋体" w:hAnsi="宋体"/>
          <w:color w:val="auto"/>
          <w:highlight w:val="none"/>
        </w:rPr>
        <w:t>日</w:t>
      </w:r>
    </w:p>
    <w:p w14:paraId="3AC136CC">
      <w:pPr>
        <w:pStyle w:val="7"/>
        <w:spacing w:line="360" w:lineRule="auto"/>
        <w:ind w:firstLine="500" w:firstLineChars="200"/>
        <w:jc w:val="center"/>
        <w:rPr>
          <w:rFonts w:ascii="宋体" w:hAnsi="宋体"/>
          <w:color w:val="auto"/>
          <w:sz w:val="25"/>
          <w:highlight w:val="none"/>
        </w:rPr>
      </w:pPr>
    </w:p>
    <w:p w14:paraId="215FF4E5">
      <w:pPr>
        <w:pStyle w:val="7"/>
        <w:spacing w:line="360" w:lineRule="auto"/>
        <w:ind w:firstLine="500" w:firstLineChars="200"/>
        <w:jc w:val="center"/>
        <w:rPr>
          <w:rFonts w:ascii="宋体" w:hAnsi="宋体"/>
          <w:color w:val="auto"/>
          <w:sz w:val="25"/>
          <w:highlight w:val="none"/>
        </w:rPr>
      </w:pPr>
    </w:p>
    <w:p w14:paraId="7942C549">
      <w:pPr>
        <w:pStyle w:val="7"/>
        <w:spacing w:line="360" w:lineRule="auto"/>
        <w:ind w:firstLine="500" w:firstLineChars="200"/>
        <w:jc w:val="center"/>
        <w:rPr>
          <w:rFonts w:ascii="宋体" w:hAnsi="宋体"/>
          <w:color w:val="auto"/>
          <w:sz w:val="25"/>
          <w:highlight w:val="none"/>
        </w:rPr>
      </w:pPr>
    </w:p>
    <w:p w14:paraId="11978865">
      <w:pPr>
        <w:pStyle w:val="7"/>
        <w:spacing w:line="360" w:lineRule="auto"/>
        <w:ind w:firstLine="500" w:firstLineChars="200"/>
        <w:jc w:val="center"/>
        <w:rPr>
          <w:rFonts w:ascii="宋体" w:hAnsi="宋体"/>
          <w:color w:val="auto"/>
          <w:sz w:val="25"/>
          <w:highlight w:val="none"/>
        </w:rPr>
      </w:pPr>
    </w:p>
    <w:p w14:paraId="7D583C5E">
      <w:pPr>
        <w:pStyle w:val="7"/>
        <w:spacing w:line="360" w:lineRule="auto"/>
        <w:ind w:firstLine="0"/>
        <w:rPr>
          <w:rFonts w:ascii="宋体" w:hAnsi="宋体"/>
          <w:color w:val="auto"/>
          <w:sz w:val="25"/>
          <w:highlight w:val="none"/>
        </w:rPr>
      </w:pPr>
    </w:p>
    <w:p w14:paraId="3D10CC66">
      <w:pPr>
        <w:pStyle w:val="3"/>
        <w:jc w:val="center"/>
        <w:rPr>
          <w:rFonts w:ascii="宋体" w:hAnsi="宋体"/>
          <w:b w:val="0"/>
          <w:color w:val="auto"/>
          <w:sz w:val="30"/>
          <w:highlight w:val="none"/>
        </w:rPr>
      </w:pPr>
      <w:r>
        <w:rPr>
          <w:rFonts w:hint="eastAsia" w:ascii="宋体" w:hAnsi="宋体"/>
          <w:b w:val="0"/>
          <w:color w:val="auto"/>
          <w:sz w:val="30"/>
          <w:highlight w:val="none"/>
        </w:rPr>
        <w:t>三、授权委托书</w:t>
      </w:r>
    </w:p>
    <w:p w14:paraId="487E2E69">
      <w:pPr>
        <w:pStyle w:val="7"/>
        <w:snapToGrid w:val="0"/>
        <w:spacing w:line="360" w:lineRule="auto"/>
        <w:ind w:firstLine="480" w:firstLineChars="200"/>
        <w:rPr>
          <w:rFonts w:ascii="宋体" w:hAnsi="宋体"/>
          <w:color w:val="auto"/>
          <w:highlight w:val="none"/>
        </w:rPr>
      </w:pPr>
      <w:r>
        <w:rPr>
          <w:rFonts w:hint="eastAsia" w:ascii="宋体" w:hAnsi="宋体"/>
          <w:color w:val="auto"/>
          <w:highlight w:val="none"/>
        </w:rPr>
        <w:t>本授权委托书声明：本人</w:t>
      </w:r>
      <w:r>
        <w:rPr>
          <w:rFonts w:hint="eastAsia" w:ascii="宋体" w:hAnsi="宋体"/>
          <w:color w:val="auto"/>
          <w:highlight w:val="none"/>
          <w:u w:val="single"/>
        </w:rPr>
        <w:t xml:space="preserve">           </w:t>
      </w:r>
      <w:r>
        <w:rPr>
          <w:rFonts w:hint="eastAsia" w:ascii="宋体" w:hAnsi="宋体"/>
          <w:color w:val="auto"/>
          <w:highlight w:val="none"/>
        </w:rPr>
        <w:t>(姓名)系</w:t>
      </w:r>
      <w:r>
        <w:rPr>
          <w:rFonts w:hint="eastAsia" w:ascii="宋体" w:hAnsi="宋体"/>
          <w:color w:val="auto"/>
          <w:highlight w:val="none"/>
          <w:u w:val="single"/>
        </w:rPr>
        <w:t xml:space="preserve">                       </w:t>
      </w:r>
      <w:r>
        <w:rPr>
          <w:rFonts w:hint="eastAsia" w:ascii="宋体" w:hAnsi="宋体"/>
          <w:color w:val="auto"/>
          <w:highlight w:val="none"/>
        </w:rPr>
        <w:t>(投标人单位名称)的法定代表人，现委托</w:t>
      </w:r>
      <w:r>
        <w:rPr>
          <w:rFonts w:hint="eastAsia" w:ascii="宋体" w:hAnsi="宋体"/>
          <w:color w:val="auto"/>
          <w:highlight w:val="none"/>
          <w:u w:val="single"/>
        </w:rPr>
        <w:t xml:space="preserve">        </w:t>
      </w:r>
      <w:r>
        <w:rPr>
          <w:rFonts w:hint="eastAsia" w:ascii="宋体" w:hAnsi="宋体"/>
          <w:color w:val="auto"/>
          <w:highlight w:val="none"/>
        </w:rPr>
        <w:t>(姓名)（身份证号：</w:t>
      </w:r>
      <w:r>
        <w:rPr>
          <w:rFonts w:hint="eastAsia" w:ascii="宋体" w:hAnsi="宋体"/>
          <w:color w:val="auto"/>
          <w:highlight w:val="none"/>
          <w:u w:val="single"/>
        </w:rPr>
        <w:t xml:space="preserve">                   </w:t>
      </w:r>
      <w:r>
        <w:rPr>
          <w:rFonts w:hint="eastAsia" w:ascii="宋体" w:hAnsi="宋体"/>
          <w:color w:val="auto"/>
          <w:highlight w:val="none"/>
        </w:rPr>
        <w:t>）为我方代理人。代理人根据授权，以我方名义签署、澄清、说明、补正、递交、撤回、修改</w:t>
      </w:r>
      <w:r>
        <w:rPr>
          <w:rFonts w:hint="eastAsia" w:ascii="宋体" w:hAnsi="宋体"/>
          <w:color w:val="auto"/>
          <w:highlight w:val="none"/>
          <w:u w:val="single"/>
        </w:rPr>
        <w:t xml:space="preserve">                    </w:t>
      </w:r>
      <w:r>
        <w:rPr>
          <w:rFonts w:hint="eastAsia" w:ascii="宋体" w:hAnsi="宋体"/>
          <w:color w:val="auto"/>
          <w:highlight w:val="none"/>
        </w:rPr>
        <w:t>（项目名称）施工投标文件，签订合同和处理有关事宜，其法律后果由我方承担。</w:t>
      </w:r>
    </w:p>
    <w:p w14:paraId="2BC74551">
      <w:pPr>
        <w:pStyle w:val="7"/>
        <w:snapToGrid w:val="0"/>
        <w:spacing w:line="360" w:lineRule="auto"/>
        <w:ind w:firstLine="480" w:firstLineChars="200"/>
        <w:rPr>
          <w:rFonts w:ascii="宋体" w:hAnsi="宋体"/>
          <w:color w:val="auto"/>
          <w:highlight w:val="none"/>
        </w:rPr>
      </w:pPr>
      <w:r>
        <w:rPr>
          <w:rFonts w:hint="eastAsia" w:ascii="宋体" w:hAnsi="宋体"/>
          <w:color w:val="auto"/>
          <w:highlight w:val="none"/>
        </w:rPr>
        <w:t>委托期限：</w:t>
      </w:r>
      <w:r>
        <w:rPr>
          <w:rFonts w:hint="eastAsia" w:ascii="宋体" w:hAnsi="宋体"/>
          <w:color w:val="auto"/>
          <w:highlight w:val="none"/>
          <w:u w:val="single"/>
        </w:rPr>
        <w:t xml:space="preserve">             </w:t>
      </w:r>
      <w:r>
        <w:rPr>
          <w:rFonts w:hint="eastAsia" w:ascii="宋体" w:hAnsi="宋体"/>
          <w:color w:val="auto"/>
          <w:highlight w:val="none"/>
        </w:rPr>
        <w:t>。</w:t>
      </w:r>
    </w:p>
    <w:p w14:paraId="16BAFFBB">
      <w:pPr>
        <w:pStyle w:val="7"/>
        <w:snapToGrid w:val="0"/>
        <w:spacing w:line="360" w:lineRule="auto"/>
        <w:ind w:firstLine="480" w:firstLineChars="200"/>
        <w:jc w:val="left"/>
        <w:rPr>
          <w:rFonts w:ascii="宋体" w:hAnsi="宋体"/>
          <w:color w:val="auto"/>
          <w:sz w:val="28"/>
          <w:szCs w:val="28"/>
          <w:highlight w:val="none"/>
        </w:rPr>
      </w:pPr>
      <w:r>
        <w:rPr>
          <w:rFonts w:hint="eastAsia" w:ascii="宋体" w:hAnsi="宋体"/>
          <w:color w:val="auto"/>
          <w:highlight w:val="none"/>
        </w:rPr>
        <w:t>授权委托人联系电话：</w:t>
      </w:r>
      <w:r>
        <w:rPr>
          <w:rFonts w:hint="eastAsia" w:ascii="宋体" w:hAnsi="宋体"/>
          <w:color w:val="auto"/>
          <w:sz w:val="28"/>
          <w:szCs w:val="28"/>
          <w:highlight w:val="none"/>
          <w:u w:val="single"/>
        </w:rPr>
        <w:t xml:space="preserve">                          </w:t>
      </w:r>
    </w:p>
    <w:p w14:paraId="1EF17177">
      <w:pPr>
        <w:pStyle w:val="7"/>
        <w:snapToGrid w:val="0"/>
        <w:spacing w:line="360" w:lineRule="auto"/>
        <w:ind w:firstLine="480" w:firstLineChars="200"/>
        <w:rPr>
          <w:rFonts w:ascii="宋体" w:hAnsi="宋体"/>
          <w:color w:val="auto"/>
          <w:highlight w:val="none"/>
        </w:rPr>
      </w:pPr>
      <w:r>
        <w:rPr>
          <w:rFonts w:hint="eastAsia" w:ascii="宋体" w:hAnsi="宋体"/>
          <w:color w:val="auto"/>
          <w:highlight w:val="none"/>
        </w:rPr>
        <w:t>代理人无转委托权。</w:t>
      </w:r>
    </w:p>
    <w:p w14:paraId="2F9AB57A">
      <w:pPr>
        <w:pStyle w:val="7"/>
        <w:snapToGrid w:val="0"/>
        <w:spacing w:line="360" w:lineRule="auto"/>
        <w:ind w:firstLine="480" w:firstLineChars="200"/>
        <w:rPr>
          <w:rFonts w:ascii="宋体" w:hAnsi="宋体"/>
          <w:color w:val="auto"/>
          <w:highlight w:val="none"/>
        </w:rPr>
      </w:pPr>
    </w:p>
    <w:p w14:paraId="5D30DB97">
      <w:pPr>
        <w:pStyle w:val="7"/>
        <w:snapToGrid w:val="0"/>
        <w:spacing w:line="360" w:lineRule="auto"/>
        <w:ind w:firstLine="480" w:firstLineChars="200"/>
        <w:rPr>
          <w:rFonts w:ascii="宋体" w:hAnsi="宋体"/>
          <w:color w:val="auto"/>
          <w:highlight w:val="none"/>
        </w:rPr>
      </w:pPr>
      <w:r>
        <w:rPr>
          <w:rFonts w:hint="eastAsia" w:ascii="宋体" w:hAnsi="宋体"/>
          <w:color w:val="auto"/>
          <w:highlight w:val="none"/>
        </w:rPr>
        <w:t>代理人：</w:t>
      </w:r>
      <w:r>
        <w:rPr>
          <w:rFonts w:hint="eastAsia" w:ascii="宋体" w:hAnsi="宋体"/>
          <w:color w:val="auto"/>
          <w:highlight w:val="none"/>
          <w:u w:val="single"/>
        </w:rPr>
        <w:t xml:space="preserve">          </w:t>
      </w:r>
      <w:r>
        <w:rPr>
          <w:rFonts w:hint="eastAsia" w:ascii="宋体" w:hAnsi="宋体"/>
          <w:color w:val="auto"/>
          <w:highlight w:val="none"/>
        </w:rPr>
        <w:t xml:space="preserve"> </w:t>
      </w:r>
      <w:r>
        <w:rPr>
          <w:rFonts w:hint="eastAsia" w:ascii="宋体" w:hAnsi="宋体"/>
          <w:color w:val="auto"/>
          <w:highlight w:val="none"/>
        </w:rPr>
        <w:t>性别：</w:t>
      </w:r>
      <w:r>
        <w:rPr>
          <w:rFonts w:hint="eastAsia" w:ascii="宋体" w:hAnsi="宋体"/>
          <w:color w:val="auto"/>
          <w:highlight w:val="none"/>
          <w:u w:val="single"/>
        </w:rPr>
        <w:t xml:space="preserve">                </w:t>
      </w:r>
      <w:r>
        <w:rPr>
          <w:rFonts w:hint="eastAsia" w:ascii="宋体" w:hAnsi="宋体"/>
          <w:color w:val="auto"/>
          <w:highlight w:val="none"/>
        </w:rPr>
        <w:t>年龄：</w:t>
      </w:r>
      <w:r>
        <w:rPr>
          <w:rFonts w:hint="eastAsia" w:ascii="宋体" w:hAnsi="宋体"/>
          <w:color w:val="auto"/>
          <w:highlight w:val="none"/>
          <w:u w:val="single"/>
        </w:rPr>
        <w:t xml:space="preserve">               </w:t>
      </w:r>
    </w:p>
    <w:p w14:paraId="36651AA1">
      <w:pPr>
        <w:pStyle w:val="7"/>
        <w:snapToGrid w:val="0"/>
        <w:spacing w:line="360" w:lineRule="auto"/>
        <w:ind w:firstLine="480" w:firstLineChars="200"/>
        <w:rPr>
          <w:rFonts w:ascii="宋体" w:hAnsi="宋体"/>
          <w:color w:val="auto"/>
          <w:highlight w:val="none"/>
        </w:rPr>
      </w:pPr>
      <w:r>
        <w:rPr>
          <w:rFonts w:hint="eastAsia" w:ascii="宋体" w:hAnsi="宋体"/>
          <w:color w:val="auto"/>
          <w:highlight w:val="none"/>
        </w:rPr>
        <w:t>代理人单位：</w:t>
      </w:r>
      <w:r>
        <w:rPr>
          <w:rFonts w:hint="eastAsia" w:ascii="宋体" w:hAnsi="宋体"/>
          <w:color w:val="auto"/>
          <w:highlight w:val="none"/>
          <w:u w:val="single"/>
        </w:rPr>
        <w:t xml:space="preserve">                    </w:t>
      </w:r>
      <w:r>
        <w:rPr>
          <w:rFonts w:hint="eastAsia" w:ascii="宋体" w:hAnsi="宋体"/>
          <w:color w:val="auto"/>
          <w:highlight w:val="none"/>
        </w:rPr>
        <w:t>部门：</w:t>
      </w:r>
      <w:r>
        <w:rPr>
          <w:rFonts w:hint="eastAsia" w:ascii="宋体" w:hAnsi="宋体"/>
          <w:color w:val="auto"/>
          <w:highlight w:val="none"/>
          <w:u w:val="single"/>
        </w:rPr>
        <w:t xml:space="preserve">              </w:t>
      </w:r>
      <w:r>
        <w:rPr>
          <w:rFonts w:hint="eastAsia" w:ascii="宋体" w:hAnsi="宋体"/>
          <w:color w:val="auto"/>
          <w:highlight w:val="none"/>
        </w:rPr>
        <w:t>职务：</w:t>
      </w:r>
      <w:r>
        <w:rPr>
          <w:rFonts w:hint="eastAsia" w:ascii="宋体" w:hAnsi="宋体"/>
          <w:color w:val="auto"/>
          <w:highlight w:val="none"/>
          <w:u w:val="single"/>
        </w:rPr>
        <w:t xml:space="preserve">               </w:t>
      </w:r>
    </w:p>
    <w:p w14:paraId="5FBB661B">
      <w:pPr>
        <w:pStyle w:val="7"/>
        <w:snapToGrid w:val="0"/>
        <w:spacing w:line="360" w:lineRule="auto"/>
        <w:ind w:firstLine="480" w:firstLineChars="200"/>
        <w:rPr>
          <w:rFonts w:ascii="宋体" w:hAnsi="宋体"/>
          <w:color w:val="auto"/>
          <w:highlight w:val="none"/>
        </w:rPr>
      </w:pPr>
    </w:p>
    <w:p w14:paraId="33490EEC">
      <w:pPr>
        <w:pStyle w:val="7"/>
        <w:snapToGrid w:val="0"/>
        <w:spacing w:line="360" w:lineRule="auto"/>
        <w:ind w:firstLine="480" w:firstLineChars="200"/>
        <w:rPr>
          <w:rFonts w:ascii="宋体" w:hAnsi="宋体"/>
          <w:color w:val="auto"/>
          <w:highlight w:val="none"/>
        </w:rPr>
      </w:pPr>
      <w:r>
        <w:rPr>
          <w:rFonts w:hint="eastAsia" w:ascii="宋体" w:hAnsi="宋体"/>
          <w:color w:val="auto"/>
          <w:highlight w:val="none"/>
        </w:rPr>
        <w:t>投标人：</w:t>
      </w:r>
      <w:r>
        <w:rPr>
          <w:rFonts w:hint="eastAsia" w:ascii="宋体" w:hAnsi="宋体"/>
          <w:color w:val="auto"/>
          <w:highlight w:val="none"/>
          <w:u w:val="single"/>
        </w:rPr>
        <w:t xml:space="preserve">                       </w:t>
      </w:r>
      <w:r>
        <w:rPr>
          <w:rFonts w:hint="eastAsia" w:ascii="宋体" w:hAnsi="宋体"/>
          <w:color w:val="auto"/>
          <w:highlight w:val="none"/>
        </w:rPr>
        <w:t>(盖单位章)</w:t>
      </w:r>
    </w:p>
    <w:p w14:paraId="14CE49E8">
      <w:pPr>
        <w:pStyle w:val="7"/>
        <w:snapToGrid w:val="0"/>
        <w:spacing w:line="360" w:lineRule="auto"/>
        <w:ind w:firstLine="0"/>
        <w:rPr>
          <w:rFonts w:ascii="宋体" w:hAnsi="宋体"/>
          <w:color w:val="auto"/>
          <w:highlight w:val="none"/>
        </w:rPr>
      </w:pPr>
    </w:p>
    <w:p w14:paraId="48F5F869">
      <w:pPr>
        <w:pStyle w:val="7"/>
        <w:snapToGrid w:val="0"/>
        <w:spacing w:line="360" w:lineRule="auto"/>
        <w:ind w:firstLine="480" w:firstLineChars="200"/>
        <w:rPr>
          <w:rFonts w:ascii="宋体" w:hAnsi="宋体"/>
          <w:color w:val="auto"/>
          <w:highlight w:val="none"/>
        </w:rPr>
      </w:pPr>
      <w:r>
        <w:rPr>
          <w:rFonts w:hint="eastAsia" w:ascii="宋体" w:hAnsi="宋体"/>
          <w:color w:val="auto"/>
          <w:highlight w:val="none"/>
        </w:rPr>
        <w:t>法定代表人：</w:t>
      </w:r>
      <w:r>
        <w:rPr>
          <w:rFonts w:hint="eastAsia" w:ascii="宋体" w:hAnsi="宋体"/>
          <w:color w:val="auto"/>
          <w:highlight w:val="none"/>
        </w:rPr>
        <w:t xml:space="preserve"> </w:t>
      </w:r>
      <w:r>
        <w:rPr>
          <w:rFonts w:hint="eastAsia" w:ascii="宋体" w:hAnsi="宋体"/>
          <w:color w:val="auto"/>
          <w:highlight w:val="none"/>
          <w:u w:val="single"/>
        </w:rPr>
        <w:t xml:space="preserve">                      </w:t>
      </w:r>
      <w:r>
        <w:rPr>
          <w:rFonts w:hint="eastAsia" w:ascii="宋体" w:hAnsi="宋体"/>
          <w:color w:val="auto"/>
          <w:highlight w:val="none"/>
        </w:rPr>
        <w:t>(签字或印章)</w:t>
      </w:r>
    </w:p>
    <w:p w14:paraId="1F47B7A7">
      <w:pPr>
        <w:pStyle w:val="7"/>
        <w:spacing w:line="360" w:lineRule="auto"/>
        <w:ind w:firstLine="0"/>
        <w:jc w:val="left"/>
        <w:rPr>
          <w:rFonts w:ascii="宋体" w:hAnsi="宋体"/>
          <w:color w:val="auto"/>
          <w:sz w:val="30"/>
          <w:highlight w:val="none"/>
        </w:rPr>
      </w:pPr>
      <w:r>
        <w:rPr>
          <w:rFonts w:hint="eastAsia" w:ascii="宋体" w:hAnsi="宋体"/>
          <w:color w:val="auto"/>
          <w:sz w:val="30"/>
          <w:highlight w:val="none"/>
        </w:rPr>
        <mc:AlternateContent>
          <mc:Choice Requires="wps">
            <w:drawing>
              <wp:anchor distT="0" distB="0" distL="114300" distR="114300" simplePos="0" relativeHeight="251661312" behindDoc="0" locked="0" layoutInCell="1" allowOverlap="1">
                <wp:simplePos x="0" y="0"/>
                <wp:positionH relativeFrom="column">
                  <wp:posOffset>-135255</wp:posOffset>
                </wp:positionH>
                <wp:positionV relativeFrom="paragraph">
                  <wp:posOffset>379095</wp:posOffset>
                </wp:positionV>
                <wp:extent cx="5989955" cy="1889125"/>
                <wp:effectExtent l="0" t="0" r="10795" b="15875"/>
                <wp:wrapNone/>
                <wp:docPr id="9" name="圆角矩形 9"/>
                <wp:cNvGraphicFramePr/>
                <a:graphic xmlns:a="http://schemas.openxmlformats.org/drawingml/2006/main">
                  <a:graphicData uri="http://schemas.microsoft.com/office/word/2010/wordprocessingShape">
                    <wps:wsp>
                      <wps:cNvSpPr/>
                      <wps:spPr>
                        <a:xfrm>
                          <a:off x="0" y="0"/>
                          <a:ext cx="5989955" cy="1889125"/>
                        </a:xfrm>
                        <a:prstGeom prst="roundRect">
                          <a:avLst>
                            <a:gd name="adj" fmla="val 16667"/>
                          </a:avLst>
                        </a:prstGeom>
                        <a:noFill/>
                        <a:ln w="15875" cap="flat" cmpd="sng">
                          <a:solidFill>
                            <a:srgbClr val="000000"/>
                          </a:solidFill>
                          <a:prstDash val="dash"/>
                          <a:headEnd type="none" w="med" len="med"/>
                          <a:tailEnd type="none" w="med" len="med"/>
                        </a:ln>
                      </wps:spPr>
                      <wps:txbx>
                        <w:txbxContent>
                          <w:p w14:paraId="0D0776DF"/>
                        </w:txbxContent>
                      </wps:txbx>
                      <wps:bodyPr wrap="square" upright="1"/>
                    </wps:wsp>
                  </a:graphicData>
                </a:graphic>
              </wp:anchor>
            </w:drawing>
          </mc:Choice>
          <mc:Fallback>
            <w:pict>
              <v:roundrect id="_x0000_s1026" o:spid="_x0000_s1026" o:spt="2" style="position:absolute;left:0pt;margin-left:-10.65pt;margin-top:29.85pt;height:148.75pt;width:471.65pt;z-index:251661312;mso-width-relative:page;mso-height-relative:page;" filled="f" stroked="t" coordsize="21600,21600" arcsize="0.166666666666667" o:gfxdata="UEsDBAoAAAAAAIdO4kAAAAAAAAAAAAAAAAAEAAAAZHJzL1BLAwQUAAAACACHTuJAZDkM9tkAAAAK&#10;AQAADwAAAGRycy9kb3ducmV2LnhtbE2PwU7DMBBE70j8g7WVuLV2XIXSNJsKISFxAwIXbm7sJlFj&#10;O42dJv17lhM9rvZp5k2+n23HLmYIrXcIyUoAM67yunU1wvfX6/IJWIjKadV5ZxCuJsC+uL/LVab9&#10;5D7NpYw1oxAXMoXQxNhnnIeqMVaFle+No9/RD1ZFOoea60FNFG47LoV45Fa1jhoa1ZuXxlSncrQI&#10;z+fx/SP9OYp5EuF85eXpTbUC8WGRiB2waOb4D8OfPqlDQU4HPzodWIewlMmaUIR0uwFGwFZKGndA&#10;WKcbCbzI+e2E4hdQSwMEFAAAAAgAh07iQEJpK/soAgAAPAQAAA4AAABkcnMvZTJvRG9jLnhtbK1T&#10;zY7TMBC+I/EOlu80TaV226jpHijLBcGKhQeY2k5i5D9st0lfgAfgjITEBfEQPM4KHoOxG7qwXPZA&#10;Ds7YHn8z3zcz68tBK3IQPkhralpOppQIwyyXpq3p2zdXT5aUhAiGg7JG1PQoAr3cPH607l0lZraz&#10;igtPEMSEqnc17WJ0VVEE1gkNYWKdMHjZWK8h4ta3BffQI7pWxWw6XRS99dx5y0QIeLo9XdIR0T8E&#10;0DaNZGJr2V4LE0+oXiiISCl00gW6ydk2jWDxVdMEEYmqKTKNecUgaO/SWmzWULUeXCfZmAI8JIV7&#10;nDRIg0HPUFuIQPZe/gOlJfM22CZOmNXFiUhWBFmU03va3HTgROaCUgd3Fj38P1j28nDtieQ1XVFi&#10;QGPBbz99+Pn144/P326/fyGrpFDvQoWON+7aj7uAZqI7NF6nPxIhQ1b1eFZVDJEwPJyvlqvVfE4J&#10;w7tyuVyVs3lCLe6eOx/ic2E1SUZNvd0b/hprlyWFw4sQs7Z8zBD4O0oarbBSB1CkXCwWFyPi6IzY&#10;vzHTS2OvpFK51sqQHtOYLy9SRoAN3GDjoKkdihBMm2MGqyRPb9Lr4NvdU+UJxkJy+Ruj/eWWAm4h&#10;dCc/jlbygqoTwJ8ZTuLRoboGh4qmFLTglCiBM5is7BlBqod4IjtlUMBUl1MlkhWH3YAwydxZfsSy&#10;9tjXyOn9HjzG3Dsv2w7lLXP2yQ+bKtdhHIDUtX/uc4i7od/8AlBLAwQKAAAAAACHTuJAAAAAAAAA&#10;AAAAAAAABgAAAF9yZWxzL1BLAwQUAAAACACHTuJAihRmPNEAAACUAQAACwAAAF9yZWxzLy5yZWxz&#10;pZDBasMwDIbvg72D0X1xmsMYo04vo9Br6R7A2IpjGltGMtn69vMOg2X0tqN+oe8T//7wmRa1Ikuk&#10;bGDX9aAwO/IxBwPvl+PTCyipNnu7UEYDNxQ4jI8P+zMutrYjmWMR1ShZDMy1lletxc2YrHRUMLfN&#10;RJxsbSMHXay72oB66Ptnzb8ZMG6Y6uQN8MkPoC630sx/2Ck6JqGpdo6SpmmK7h5VB7Zlju7INuEb&#10;uUazHLAa8CwaB2pZ134EfV+/+6fe00c+47rVfoeM649Xb7ocvwBQSwMEFAAAAAgAh07iQH7m5SD3&#10;AAAA4QEAABMAAABbQ29udGVudF9UeXBlc10ueG1slZFBTsMwEEX3SNzB8hYlTrtACCXpgrRLQKgc&#10;YGRPEotkbHlMaG+Pk7YbRJFY2jP/vye73BzGQUwY2Dqq5CovpEDSzljqKvm+32UPUnAEMjA4wkoe&#10;keWmvr0p90ePLFKauJJ9jP5RKdY9jsC580hp0rowQkzH0CkP+gM6VOuiuFfaUUSKWZw7ZF022MLn&#10;EMX2kK5PJgEHluLptDizKgneD1ZDTKZqIvODkp0JeUouO9xbz3dJQ6pfCfPkOuCce0lPE6xB8Qoh&#10;PsOYNJQJrIz7ooBT/nfJbDly5trWasybwE2KveF0sbrWjmvXOP3f8u2SunSr5YPqb1BLAQIUABQA&#10;AAAIAIdO4kB+5uUg9wAAAOEBAAATAAAAAAAAAAEAIAAAAJoEAABbQ29udGVudF9UeXBlc10ueG1s&#10;UEsBAhQACgAAAAAAh07iQAAAAAAAAAAAAAAAAAYAAAAAAAAAAAAQAAAAfAMAAF9yZWxzL1BLAQIU&#10;ABQAAAAIAIdO4kCKFGY80QAAAJQBAAALAAAAAAAAAAEAIAAAAKADAABfcmVscy8ucmVsc1BLAQIU&#10;AAoAAAAAAIdO4kAAAAAAAAAAAAAAAAAEAAAAAAAAAAAAEAAAAAAAAABkcnMvUEsBAhQAFAAAAAgA&#10;h07iQGQ5DPbZAAAACgEAAA8AAAAAAAAAAQAgAAAAIgAAAGRycy9kb3ducmV2LnhtbFBLAQIUABQA&#10;AAAIAIdO4kBCaSv7KAIAADwEAAAOAAAAAAAAAAEAIAAAACgBAABkcnMvZTJvRG9jLnhtbFBLBQYA&#10;AAAABgAGAFkBAADCBQAAAAA=&#10;">
                <v:fill on="f" focussize="0,0"/>
                <v:stroke weight="1.25pt" color="#000000" joinstyle="round" dashstyle="dash"/>
                <v:imagedata o:title=""/>
                <o:lock v:ext="edit" aspectratio="f"/>
                <v:textbox>
                  <w:txbxContent>
                    <w:p w14:paraId="0D0776DF"/>
                  </w:txbxContent>
                </v:textbox>
              </v:roundrect>
            </w:pict>
          </mc:Fallback>
        </mc:AlternateContent>
      </w:r>
    </w:p>
    <w:p w14:paraId="1D5D3D8A">
      <w:pPr>
        <w:pStyle w:val="7"/>
        <w:spacing w:line="360" w:lineRule="auto"/>
        <w:ind w:firstLine="600" w:firstLineChars="200"/>
        <w:jc w:val="center"/>
        <w:rPr>
          <w:rFonts w:ascii="宋体" w:hAnsi="宋体"/>
          <w:color w:val="auto"/>
          <w:sz w:val="30"/>
          <w:highlight w:val="none"/>
        </w:rPr>
      </w:pPr>
    </w:p>
    <w:p w14:paraId="1D0E8FA2">
      <w:pPr>
        <w:pStyle w:val="7"/>
        <w:spacing w:line="360" w:lineRule="auto"/>
        <w:ind w:firstLine="480" w:firstLineChars="200"/>
        <w:jc w:val="center"/>
        <w:rPr>
          <w:rFonts w:ascii="宋体" w:hAnsi="宋体"/>
          <w:color w:val="auto"/>
          <w:highlight w:val="none"/>
        </w:rPr>
      </w:pPr>
      <w:r>
        <w:rPr>
          <w:rFonts w:hint="eastAsia" w:ascii="宋体" w:hAnsi="宋体"/>
          <w:color w:val="auto"/>
          <w:highlight w:val="none"/>
        </w:rPr>
        <w:t>法定代表授权委托人身份证复印件贴于此处，并加盖单位公章，否则该证明无效。</w:t>
      </w:r>
    </w:p>
    <w:p w14:paraId="52A8EBAE">
      <w:pPr>
        <w:pStyle w:val="7"/>
        <w:spacing w:line="360" w:lineRule="auto"/>
        <w:ind w:firstLine="600" w:firstLineChars="200"/>
        <w:jc w:val="center"/>
        <w:rPr>
          <w:rFonts w:ascii="宋体" w:hAnsi="宋体"/>
          <w:color w:val="auto"/>
          <w:sz w:val="30"/>
          <w:highlight w:val="none"/>
        </w:rPr>
      </w:pPr>
    </w:p>
    <w:p w14:paraId="35664409">
      <w:pPr>
        <w:pStyle w:val="7"/>
        <w:spacing w:line="360" w:lineRule="auto"/>
        <w:ind w:firstLine="600" w:firstLineChars="200"/>
        <w:jc w:val="center"/>
        <w:rPr>
          <w:rFonts w:ascii="宋体" w:hAnsi="宋体"/>
          <w:color w:val="auto"/>
          <w:sz w:val="30"/>
          <w:highlight w:val="none"/>
        </w:rPr>
      </w:pPr>
    </w:p>
    <w:p w14:paraId="2F4CCE3C">
      <w:pPr>
        <w:pStyle w:val="7"/>
        <w:snapToGrid w:val="0"/>
        <w:spacing w:line="360" w:lineRule="auto"/>
        <w:ind w:firstLine="480" w:firstLineChars="200"/>
        <w:rPr>
          <w:rFonts w:ascii="宋体" w:hAnsi="宋体"/>
          <w:color w:val="auto"/>
          <w:highlight w:val="none"/>
        </w:rPr>
      </w:pPr>
    </w:p>
    <w:p w14:paraId="309099C8">
      <w:pPr>
        <w:pStyle w:val="7"/>
        <w:snapToGrid w:val="0"/>
        <w:spacing w:line="360" w:lineRule="auto"/>
        <w:ind w:firstLine="480" w:firstLineChars="200"/>
        <w:jc w:val="right"/>
        <w:rPr>
          <w:rFonts w:ascii="宋体" w:hAnsi="宋体"/>
          <w:color w:val="auto"/>
          <w:highlight w:val="none"/>
        </w:rPr>
      </w:pPr>
    </w:p>
    <w:p w14:paraId="36685A29">
      <w:pPr>
        <w:pStyle w:val="7"/>
        <w:snapToGrid w:val="0"/>
        <w:spacing w:line="360" w:lineRule="auto"/>
        <w:ind w:firstLine="480" w:firstLineChars="200"/>
        <w:jc w:val="right"/>
        <w:rPr>
          <w:rFonts w:ascii="宋体" w:hAnsi="宋体"/>
          <w:color w:val="auto"/>
          <w:highlight w:val="none"/>
        </w:rPr>
      </w:pPr>
    </w:p>
    <w:p w14:paraId="5C579BD4">
      <w:pPr>
        <w:pStyle w:val="7"/>
        <w:snapToGrid w:val="0"/>
        <w:spacing w:line="360" w:lineRule="auto"/>
        <w:ind w:firstLine="480" w:firstLineChars="200"/>
        <w:jc w:val="right"/>
        <w:rPr>
          <w:rFonts w:ascii="宋体" w:hAnsi="宋体"/>
          <w:color w:val="auto"/>
          <w:highlight w:val="none"/>
        </w:rPr>
      </w:pPr>
      <w:r>
        <w:rPr>
          <w:rFonts w:hint="eastAsia" w:ascii="宋体" w:hAnsi="宋体"/>
          <w:color w:val="auto"/>
          <w:highlight w:val="none"/>
        </w:rPr>
        <w:t>日期：</w:t>
      </w:r>
      <w:r>
        <w:rPr>
          <w:rFonts w:hint="eastAsia" w:ascii="宋体" w:hAnsi="宋体"/>
          <w:color w:val="auto"/>
          <w:highlight w:val="none"/>
          <w:u w:val="single"/>
        </w:rPr>
        <w:t xml:space="preserve">         </w:t>
      </w:r>
      <w:r>
        <w:rPr>
          <w:rFonts w:hint="eastAsia" w:ascii="宋体" w:hAnsi="宋体"/>
          <w:color w:val="auto"/>
          <w:highlight w:val="none"/>
        </w:rPr>
        <w:t>年</w:t>
      </w:r>
      <w:r>
        <w:rPr>
          <w:rFonts w:hint="eastAsia" w:ascii="宋体" w:hAnsi="宋体"/>
          <w:color w:val="auto"/>
          <w:highlight w:val="none"/>
          <w:u w:val="single"/>
        </w:rPr>
        <w:t xml:space="preserve">       </w:t>
      </w:r>
      <w:r>
        <w:rPr>
          <w:rFonts w:hint="eastAsia" w:ascii="宋体" w:hAnsi="宋体"/>
          <w:color w:val="auto"/>
          <w:highlight w:val="none"/>
        </w:rPr>
        <w:t>月</w:t>
      </w:r>
      <w:r>
        <w:rPr>
          <w:rFonts w:hint="eastAsia" w:ascii="宋体" w:hAnsi="宋体"/>
          <w:color w:val="auto"/>
          <w:highlight w:val="none"/>
          <w:u w:val="single"/>
        </w:rPr>
        <w:t xml:space="preserve">      </w:t>
      </w:r>
      <w:r>
        <w:rPr>
          <w:rFonts w:hint="eastAsia" w:ascii="宋体" w:hAnsi="宋体"/>
          <w:color w:val="auto"/>
          <w:highlight w:val="none"/>
        </w:rPr>
        <w:t>日</w:t>
      </w:r>
    </w:p>
    <w:p w14:paraId="2801F20D">
      <w:pPr>
        <w:pStyle w:val="7"/>
        <w:spacing w:line="360" w:lineRule="auto"/>
        <w:ind w:firstLineChars="200"/>
        <w:rPr>
          <w:rFonts w:ascii="宋体" w:hAnsi="宋体"/>
          <w:b/>
          <w:color w:val="auto"/>
          <w:highlight w:val="none"/>
        </w:rPr>
      </w:pPr>
      <w:r>
        <w:rPr>
          <w:rFonts w:hint="eastAsia" w:ascii="宋体" w:hAnsi="宋体"/>
          <w:b/>
          <w:color w:val="auto"/>
          <w:highlight w:val="none"/>
        </w:rPr>
        <w:t>备注：若系投标人的法定代表人亲自参与本项目投标的一切活动，并签署投标文件，则无需此授权书。</w:t>
      </w:r>
    </w:p>
    <w:p w14:paraId="6DAFB4FC">
      <w:pPr>
        <w:pStyle w:val="7"/>
        <w:spacing w:line="360" w:lineRule="auto"/>
        <w:ind w:firstLine="0"/>
        <w:rPr>
          <w:rFonts w:ascii="宋体" w:hAnsi="宋体"/>
          <w:color w:val="auto"/>
          <w:highlight w:val="none"/>
        </w:rPr>
      </w:pPr>
    </w:p>
    <w:bookmarkEnd w:id="152"/>
    <w:p w14:paraId="08BF26B4">
      <w:pPr>
        <w:pStyle w:val="3"/>
        <w:jc w:val="center"/>
        <w:rPr>
          <w:rFonts w:ascii="宋体" w:hAnsi="宋体"/>
          <w:b w:val="0"/>
          <w:color w:val="auto"/>
          <w:sz w:val="30"/>
          <w:highlight w:val="none"/>
        </w:rPr>
      </w:pPr>
      <w:r>
        <w:rPr>
          <w:rFonts w:hint="eastAsia" w:ascii="宋体" w:hAnsi="宋体"/>
          <w:b w:val="0"/>
          <w:color w:val="auto"/>
          <w:sz w:val="30"/>
          <w:highlight w:val="none"/>
        </w:rPr>
        <w:t>四、已标价的工程量清单</w:t>
      </w:r>
    </w:p>
    <w:p w14:paraId="283C844F">
      <w:pPr>
        <w:pStyle w:val="21"/>
        <w:spacing w:line="360" w:lineRule="auto"/>
        <w:ind w:firstLine="480" w:firstLineChars="200"/>
        <w:jc w:val="left"/>
        <w:rPr>
          <w:rFonts w:ascii="宋体" w:hAnsi="宋体"/>
          <w:b/>
          <w:bCs/>
          <w:color w:val="auto"/>
          <w:sz w:val="30"/>
          <w:szCs w:val="24"/>
          <w:highlight w:val="none"/>
        </w:rPr>
      </w:pPr>
      <w:r>
        <w:rPr>
          <w:rFonts w:ascii="宋体" w:hAnsi="宋体"/>
          <w:color w:val="auto"/>
          <w:highlight w:val="none"/>
        </w:rPr>
        <w:t>已标价的工程量清单：投标总价、总说明、建设项目投标报价汇总表、单项工程投标报价汇总表、单位工程投标报价汇总表、分部分项工程和单价措施项目清单与计价表、综合单价分析表、总价措施项目清单与计价表、其他项目清单与计价汇总表、暂列金额明细表、材料(工程设备)暂估单价及调整表、专业工程暂估价及结算价表、计日工表、总承包服务费计价表、规费、税金项目清单与计价表等</w:t>
      </w:r>
      <w:r>
        <w:rPr>
          <w:rFonts w:ascii="宋体" w:hAnsi="宋体"/>
          <w:color w:val="auto"/>
          <w:highlight w:val="none"/>
        </w:rPr>
        <w:t>；</w:t>
      </w:r>
    </w:p>
    <w:p w14:paraId="34AC9807">
      <w:pPr>
        <w:pStyle w:val="3"/>
        <w:jc w:val="center"/>
        <w:rPr>
          <w:rFonts w:ascii="宋体" w:hAnsi="宋体"/>
          <w:b w:val="0"/>
          <w:color w:val="auto"/>
          <w:sz w:val="30"/>
          <w:highlight w:val="none"/>
        </w:rPr>
      </w:pPr>
      <w:bookmarkStart w:id="153" w:name="_Toc286661181"/>
      <w:r>
        <w:rPr>
          <w:rFonts w:ascii="宋体" w:hAnsi="宋体"/>
          <w:b w:val="0"/>
          <w:bCs w:val="0"/>
          <w:color w:val="auto"/>
          <w:sz w:val="36"/>
          <w:szCs w:val="36"/>
          <w:highlight w:val="none"/>
        </w:rPr>
        <w:br w:type="page"/>
      </w:r>
      <w:r>
        <w:rPr>
          <w:rFonts w:hint="eastAsia" w:ascii="宋体" w:hAnsi="宋体"/>
          <w:b w:val="0"/>
          <w:color w:val="auto"/>
          <w:sz w:val="30"/>
          <w:highlight w:val="none"/>
        </w:rPr>
        <w:t>五、计划投入的主要施工机械设备表</w:t>
      </w:r>
    </w:p>
    <w:p w14:paraId="5C510967">
      <w:pPr>
        <w:pStyle w:val="7"/>
        <w:spacing w:line="360" w:lineRule="auto"/>
        <w:ind w:firstLine="500" w:firstLineChars="200"/>
        <w:jc w:val="center"/>
        <w:rPr>
          <w:rFonts w:ascii="宋体" w:hAnsi="宋体"/>
          <w:color w:val="auto"/>
          <w:sz w:val="25"/>
          <w:highlight w:val="none"/>
        </w:rPr>
      </w:pPr>
    </w:p>
    <w:tbl>
      <w:tblPr>
        <w:tblStyle w:val="17"/>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508"/>
        <w:gridCol w:w="2300"/>
        <w:gridCol w:w="700"/>
        <w:gridCol w:w="700"/>
        <w:gridCol w:w="900"/>
        <w:gridCol w:w="900"/>
        <w:gridCol w:w="1100"/>
        <w:gridCol w:w="1100"/>
        <w:gridCol w:w="700"/>
      </w:tblGrid>
      <w:tr w14:paraId="48C228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508" w:type="dxa"/>
          </w:tcPr>
          <w:p w14:paraId="2BE28B7C">
            <w:pPr>
              <w:pStyle w:val="7"/>
              <w:spacing w:line="360" w:lineRule="auto"/>
              <w:ind w:firstLine="0"/>
              <w:rPr>
                <w:rFonts w:ascii="宋体" w:hAnsi="宋体"/>
                <w:color w:val="auto"/>
                <w:kern w:val="2"/>
                <w:position w:val="-32"/>
                <w:sz w:val="23"/>
                <w:highlight w:val="none"/>
              </w:rPr>
            </w:pPr>
            <w:r>
              <w:rPr>
                <w:rFonts w:hint="eastAsia" w:ascii="宋体" w:hAnsi="宋体"/>
                <w:color w:val="auto"/>
                <w:kern w:val="2"/>
                <w:position w:val="-32"/>
                <w:sz w:val="23"/>
                <w:highlight w:val="none"/>
              </w:rPr>
              <w:t>序号</w:t>
            </w:r>
          </w:p>
        </w:tc>
        <w:tc>
          <w:tcPr>
            <w:tcW w:w="2300" w:type="dxa"/>
          </w:tcPr>
          <w:p w14:paraId="2D0DF06F">
            <w:pPr>
              <w:pStyle w:val="7"/>
              <w:spacing w:line="360" w:lineRule="auto"/>
              <w:ind w:firstLine="0"/>
              <w:rPr>
                <w:rFonts w:ascii="宋体" w:hAnsi="宋体"/>
                <w:color w:val="auto"/>
                <w:kern w:val="2"/>
                <w:position w:val="-50"/>
                <w:sz w:val="23"/>
                <w:highlight w:val="none"/>
              </w:rPr>
            </w:pPr>
            <w:r>
              <w:rPr>
                <w:rFonts w:hint="eastAsia" w:ascii="宋体" w:hAnsi="宋体"/>
                <w:color w:val="auto"/>
                <w:kern w:val="2"/>
                <w:position w:val="-50"/>
                <w:sz w:val="23"/>
                <w:highlight w:val="none"/>
              </w:rPr>
              <w:t>机械设备名称</w:t>
            </w:r>
          </w:p>
        </w:tc>
        <w:tc>
          <w:tcPr>
            <w:tcW w:w="700" w:type="dxa"/>
          </w:tcPr>
          <w:p w14:paraId="0ACDAABE">
            <w:pPr>
              <w:pStyle w:val="7"/>
              <w:spacing w:line="360" w:lineRule="auto"/>
              <w:ind w:firstLine="0"/>
              <w:rPr>
                <w:rFonts w:ascii="宋体" w:hAnsi="宋体"/>
                <w:color w:val="auto"/>
                <w:kern w:val="2"/>
                <w:position w:val="-30"/>
                <w:sz w:val="23"/>
                <w:highlight w:val="none"/>
              </w:rPr>
            </w:pPr>
            <w:r>
              <w:rPr>
                <w:rFonts w:hint="eastAsia" w:ascii="宋体" w:hAnsi="宋体"/>
                <w:color w:val="auto"/>
                <w:kern w:val="2"/>
                <w:position w:val="-30"/>
                <w:sz w:val="23"/>
                <w:highlight w:val="none"/>
              </w:rPr>
              <w:t>型号规格</w:t>
            </w:r>
          </w:p>
        </w:tc>
        <w:tc>
          <w:tcPr>
            <w:tcW w:w="700" w:type="dxa"/>
          </w:tcPr>
          <w:p w14:paraId="0F1BFB64">
            <w:pPr>
              <w:pStyle w:val="7"/>
              <w:spacing w:line="360" w:lineRule="auto"/>
              <w:ind w:firstLine="0"/>
              <w:rPr>
                <w:rFonts w:ascii="宋体" w:hAnsi="宋体"/>
                <w:color w:val="auto"/>
                <w:kern w:val="2"/>
                <w:position w:val="-50"/>
                <w:sz w:val="23"/>
                <w:highlight w:val="none"/>
              </w:rPr>
            </w:pPr>
            <w:r>
              <w:rPr>
                <w:rFonts w:hint="eastAsia" w:ascii="宋体" w:hAnsi="宋体"/>
                <w:color w:val="auto"/>
                <w:kern w:val="2"/>
                <w:position w:val="-50"/>
                <w:sz w:val="23"/>
                <w:highlight w:val="none"/>
              </w:rPr>
              <w:t>数量</w:t>
            </w:r>
          </w:p>
        </w:tc>
        <w:tc>
          <w:tcPr>
            <w:tcW w:w="900" w:type="dxa"/>
          </w:tcPr>
          <w:p w14:paraId="3F87DFEE">
            <w:pPr>
              <w:pStyle w:val="7"/>
              <w:spacing w:line="360" w:lineRule="auto"/>
              <w:ind w:firstLine="0"/>
              <w:rPr>
                <w:rFonts w:ascii="宋体" w:hAnsi="宋体"/>
                <w:color w:val="auto"/>
                <w:kern w:val="2"/>
                <w:position w:val="-30"/>
                <w:sz w:val="23"/>
                <w:highlight w:val="none"/>
              </w:rPr>
            </w:pPr>
            <w:r>
              <w:rPr>
                <w:rFonts w:hint="eastAsia" w:ascii="宋体" w:hAnsi="宋体"/>
                <w:color w:val="auto"/>
                <w:kern w:val="2"/>
                <w:position w:val="-30"/>
                <w:sz w:val="23"/>
                <w:highlight w:val="none"/>
              </w:rPr>
              <w:t>国 别</w:t>
            </w:r>
          </w:p>
          <w:p w14:paraId="5AA67491">
            <w:pPr>
              <w:pStyle w:val="7"/>
              <w:spacing w:line="360" w:lineRule="auto"/>
              <w:ind w:firstLine="0"/>
              <w:rPr>
                <w:rFonts w:ascii="宋体" w:hAnsi="宋体"/>
                <w:color w:val="auto"/>
                <w:kern w:val="2"/>
                <w:position w:val="-30"/>
                <w:sz w:val="23"/>
                <w:highlight w:val="none"/>
              </w:rPr>
            </w:pPr>
            <w:r>
              <w:rPr>
                <w:rFonts w:hint="eastAsia" w:ascii="宋体" w:hAnsi="宋体"/>
                <w:color w:val="auto"/>
                <w:kern w:val="2"/>
                <w:position w:val="-30"/>
                <w:sz w:val="23"/>
                <w:highlight w:val="none"/>
              </w:rPr>
              <w:t>产 地</w:t>
            </w:r>
          </w:p>
        </w:tc>
        <w:tc>
          <w:tcPr>
            <w:tcW w:w="900" w:type="dxa"/>
          </w:tcPr>
          <w:p w14:paraId="3ED2C6FA">
            <w:pPr>
              <w:pStyle w:val="7"/>
              <w:spacing w:line="360" w:lineRule="auto"/>
              <w:ind w:firstLine="0"/>
              <w:rPr>
                <w:rFonts w:ascii="宋体" w:hAnsi="宋体"/>
                <w:color w:val="auto"/>
                <w:kern w:val="2"/>
                <w:position w:val="-30"/>
                <w:sz w:val="23"/>
                <w:highlight w:val="none"/>
              </w:rPr>
            </w:pPr>
            <w:r>
              <w:rPr>
                <w:rFonts w:hint="eastAsia" w:ascii="宋体" w:hAnsi="宋体"/>
                <w:color w:val="auto"/>
                <w:kern w:val="2"/>
                <w:position w:val="-30"/>
                <w:sz w:val="23"/>
                <w:highlight w:val="none"/>
              </w:rPr>
              <w:t>制 造</w:t>
            </w:r>
          </w:p>
          <w:p w14:paraId="372838AA">
            <w:pPr>
              <w:pStyle w:val="7"/>
              <w:spacing w:line="360" w:lineRule="auto"/>
              <w:ind w:firstLine="0"/>
              <w:rPr>
                <w:rFonts w:ascii="宋体" w:hAnsi="宋体"/>
                <w:color w:val="auto"/>
                <w:kern w:val="2"/>
                <w:position w:val="-30"/>
                <w:sz w:val="23"/>
                <w:highlight w:val="none"/>
              </w:rPr>
            </w:pPr>
            <w:r>
              <w:rPr>
                <w:rFonts w:hint="eastAsia" w:ascii="宋体" w:hAnsi="宋体"/>
                <w:color w:val="auto"/>
                <w:kern w:val="2"/>
                <w:position w:val="-30"/>
                <w:sz w:val="23"/>
                <w:highlight w:val="none"/>
              </w:rPr>
              <w:t>年 份</w:t>
            </w:r>
          </w:p>
        </w:tc>
        <w:tc>
          <w:tcPr>
            <w:tcW w:w="1100" w:type="dxa"/>
          </w:tcPr>
          <w:p w14:paraId="1D12B56A">
            <w:pPr>
              <w:pStyle w:val="7"/>
              <w:spacing w:line="360" w:lineRule="auto"/>
              <w:ind w:firstLine="0"/>
              <w:rPr>
                <w:rFonts w:ascii="宋体" w:hAnsi="宋体"/>
                <w:color w:val="auto"/>
                <w:kern w:val="2"/>
                <w:position w:val="-30"/>
                <w:sz w:val="21"/>
                <w:highlight w:val="none"/>
              </w:rPr>
            </w:pPr>
            <w:r>
              <w:rPr>
                <w:rFonts w:hint="eastAsia" w:ascii="宋体" w:hAnsi="宋体"/>
                <w:color w:val="auto"/>
                <w:kern w:val="2"/>
                <w:position w:val="-30"/>
                <w:sz w:val="21"/>
                <w:highlight w:val="none"/>
              </w:rPr>
              <w:t>额定功率(KW)</w:t>
            </w:r>
          </w:p>
        </w:tc>
        <w:tc>
          <w:tcPr>
            <w:tcW w:w="1100" w:type="dxa"/>
          </w:tcPr>
          <w:p w14:paraId="71C66D4F">
            <w:pPr>
              <w:pStyle w:val="7"/>
              <w:spacing w:line="360" w:lineRule="auto"/>
              <w:ind w:firstLine="0"/>
              <w:rPr>
                <w:rFonts w:ascii="宋体" w:hAnsi="宋体"/>
                <w:color w:val="auto"/>
                <w:kern w:val="2"/>
                <w:position w:val="-30"/>
                <w:sz w:val="21"/>
                <w:highlight w:val="none"/>
              </w:rPr>
            </w:pPr>
            <w:r>
              <w:rPr>
                <w:rFonts w:hint="eastAsia" w:ascii="宋体" w:hAnsi="宋体"/>
                <w:color w:val="auto"/>
                <w:kern w:val="2"/>
                <w:position w:val="-30"/>
                <w:sz w:val="21"/>
                <w:highlight w:val="none"/>
              </w:rPr>
              <w:t>生产能力(MH)</w:t>
            </w:r>
          </w:p>
        </w:tc>
        <w:tc>
          <w:tcPr>
            <w:tcW w:w="700" w:type="dxa"/>
          </w:tcPr>
          <w:p w14:paraId="645C6CAD">
            <w:pPr>
              <w:pStyle w:val="7"/>
              <w:spacing w:line="360" w:lineRule="auto"/>
              <w:ind w:firstLine="0"/>
              <w:rPr>
                <w:rFonts w:ascii="宋体" w:hAnsi="宋体"/>
                <w:color w:val="auto"/>
                <w:kern w:val="2"/>
                <w:position w:val="-50"/>
                <w:sz w:val="23"/>
                <w:highlight w:val="none"/>
              </w:rPr>
            </w:pPr>
            <w:r>
              <w:rPr>
                <w:rFonts w:hint="eastAsia" w:ascii="宋体" w:hAnsi="宋体"/>
                <w:color w:val="auto"/>
                <w:kern w:val="2"/>
                <w:position w:val="-50"/>
                <w:sz w:val="23"/>
                <w:highlight w:val="none"/>
              </w:rPr>
              <w:t>备注</w:t>
            </w:r>
          </w:p>
        </w:tc>
      </w:tr>
      <w:tr w14:paraId="558D4C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08" w:type="dxa"/>
          </w:tcPr>
          <w:p w14:paraId="5B8B2AF2">
            <w:pPr>
              <w:pStyle w:val="7"/>
              <w:spacing w:line="360" w:lineRule="auto"/>
              <w:ind w:firstLine="500" w:firstLineChars="200"/>
              <w:rPr>
                <w:rFonts w:ascii="宋体" w:hAnsi="宋体"/>
                <w:color w:val="auto"/>
                <w:kern w:val="2"/>
                <w:sz w:val="25"/>
                <w:highlight w:val="none"/>
              </w:rPr>
            </w:pPr>
          </w:p>
        </w:tc>
        <w:tc>
          <w:tcPr>
            <w:tcW w:w="2300" w:type="dxa"/>
          </w:tcPr>
          <w:p w14:paraId="04FB6A66">
            <w:pPr>
              <w:pStyle w:val="7"/>
              <w:spacing w:line="360" w:lineRule="auto"/>
              <w:ind w:firstLine="500" w:firstLineChars="200"/>
              <w:rPr>
                <w:rFonts w:ascii="宋体" w:hAnsi="宋体"/>
                <w:color w:val="auto"/>
                <w:kern w:val="2"/>
                <w:sz w:val="25"/>
                <w:highlight w:val="none"/>
              </w:rPr>
            </w:pPr>
          </w:p>
        </w:tc>
        <w:tc>
          <w:tcPr>
            <w:tcW w:w="700" w:type="dxa"/>
          </w:tcPr>
          <w:p w14:paraId="3C2D6E6C">
            <w:pPr>
              <w:pStyle w:val="7"/>
              <w:spacing w:line="360" w:lineRule="auto"/>
              <w:ind w:firstLine="500" w:firstLineChars="200"/>
              <w:rPr>
                <w:rFonts w:ascii="宋体" w:hAnsi="宋体"/>
                <w:color w:val="auto"/>
                <w:kern w:val="2"/>
                <w:sz w:val="25"/>
                <w:highlight w:val="none"/>
              </w:rPr>
            </w:pPr>
          </w:p>
        </w:tc>
        <w:tc>
          <w:tcPr>
            <w:tcW w:w="700" w:type="dxa"/>
          </w:tcPr>
          <w:p w14:paraId="35F1F4E2">
            <w:pPr>
              <w:pStyle w:val="7"/>
              <w:spacing w:line="360" w:lineRule="auto"/>
              <w:ind w:firstLine="500" w:firstLineChars="200"/>
              <w:rPr>
                <w:rFonts w:ascii="宋体" w:hAnsi="宋体"/>
                <w:color w:val="auto"/>
                <w:kern w:val="2"/>
                <w:sz w:val="25"/>
                <w:highlight w:val="none"/>
              </w:rPr>
            </w:pPr>
          </w:p>
        </w:tc>
        <w:tc>
          <w:tcPr>
            <w:tcW w:w="900" w:type="dxa"/>
          </w:tcPr>
          <w:p w14:paraId="1E4C5F2A">
            <w:pPr>
              <w:pStyle w:val="7"/>
              <w:spacing w:line="360" w:lineRule="auto"/>
              <w:ind w:firstLine="500" w:firstLineChars="200"/>
              <w:rPr>
                <w:rFonts w:ascii="宋体" w:hAnsi="宋体"/>
                <w:color w:val="auto"/>
                <w:kern w:val="2"/>
                <w:sz w:val="25"/>
                <w:highlight w:val="none"/>
              </w:rPr>
            </w:pPr>
          </w:p>
        </w:tc>
        <w:tc>
          <w:tcPr>
            <w:tcW w:w="900" w:type="dxa"/>
          </w:tcPr>
          <w:p w14:paraId="72EB98A9">
            <w:pPr>
              <w:pStyle w:val="7"/>
              <w:spacing w:line="360" w:lineRule="auto"/>
              <w:ind w:firstLine="500" w:firstLineChars="200"/>
              <w:rPr>
                <w:rFonts w:ascii="宋体" w:hAnsi="宋体"/>
                <w:color w:val="auto"/>
                <w:kern w:val="2"/>
                <w:sz w:val="25"/>
                <w:highlight w:val="none"/>
              </w:rPr>
            </w:pPr>
          </w:p>
        </w:tc>
        <w:tc>
          <w:tcPr>
            <w:tcW w:w="1100" w:type="dxa"/>
          </w:tcPr>
          <w:p w14:paraId="534C7365">
            <w:pPr>
              <w:pStyle w:val="7"/>
              <w:spacing w:line="360" w:lineRule="auto"/>
              <w:ind w:firstLine="500" w:firstLineChars="200"/>
              <w:rPr>
                <w:rFonts w:ascii="宋体" w:hAnsi="宋体"/>
                <w:color w:val="auto"/>
                <w:kern w:val="2"/>
                <w:sz w:val="25"/>
                <w:highlight w:val="none"/>
              </w:rPr>
            </w:pPr>
          </w:p>
        </w:tc>
        <w:tc>
          <w:tcPr>
            <w:tcW w:w="1100" w:type="dxa"/>
          </w:tcPr>
          <w:p w14:paraId="36F3C807">
            <w:pPr>
              <w:pStyle w:val="7"/>
              <w:spacing w:line="360" w:lineRule="auto"/>
              <w:ind w:firstLine="500" w:firstLineChars="200"/>
              <w:rPr>
                <w:rFonts w:ascii="宋体" w:hAnsi="宋体"/>
                <w:color w:val="auto"/>
                <w:kern w:val="2"/>
                <w:sz w:val="25"/>
                <w:highlight w:val="none"/>
              </w:rPr>
            </w:pPr>
          </w:p>
        </w:tc>
        <w:tc>
          <w:tcPr>
            <w:tcW w:w="700" w:type="dxa"/>
          </w:tcPr>
          <w:p w14:paraId="414D8252">
            <w:pPr>
              <w:pStyle w:val="7"/>
              <w:spacing w:line="360" w:lineRule="auto"/>
              <w:ind w:firstLine="500" w:firstLineChars="200"/>
              <w:rPr>
                <w:rFonts w:ascii="宋体" w:hAnsi="宋体"/>
                <w:color w:val="auto"/>
                <w:kern w:val="2"/>
                <w:sz w:val="25"/>
                <w:highlight w:val="none"/>
              </w:rPr>
            </w:pPr>
          </w:p>
        </w:tc>
      </w:tr>
      <w:tr w14:paraId="7D2A094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08" w:type="dxa"/>
          </w:tcPr>
          <w:p w14:paraId="28AD196D">
            <w:pPr>
              <w:pStyle w:val="7"/>
              <w:spacing w:line="360" w:lineRule="auto"/>
              <w:ind w:firstLine="500" w:firstLineChars="200"/>
              <w:rPr>
                <w:rFonts w:ascii="宋体" w:hAnsi="宋体"/>
                <w:color w:val="auto"/>
                <w:kern w:val="2"/>
                <w:sz w:val="25"/>
                <w:highlight w:val="none"/>
              </w:rPr>
            </w:pPr>
          </w:p>
        </w:tc>
        <w:tc>
          <w:tcPr>
            <w:tcW w:w="2300" w:type="dxa"/>
          </w:tcPr>
          <w:p w14:paraId="13B522DF">
            <w:pPr>
              <w:pStyle w:val="7"/>
              <w:spacing w:line="360" w:lineRule="auto"/>
              <w:ind w:firstLine="500" w:firstLineChars="200"/>
              <w:rPr>
                <w:rFonts w:ascii="宋体" w:hAnsi="宋体"/>
                <w:color w:val="auto"/>
                <w:kern w:val="2"/>
                <w:sz w:val="25"/>
                <w:highlight w:val="none"/>
              </w:rPr>
            </w:pPr>
          </w:p>
        </w:tc>
        <w:tc>
          <w:tcPr>
            <w:tcW w:w="700" w:type="dxa"/>
          </w:tcPr>
          <w:p w14:paraId="2707884D">
            <w:pPr>
              <w:pStyle w:val="7"/>
              <w:spacing w:line="360" w:lineRule="auto"/>
              <w:ind w:firstLine="500" w:firstLineChars="200"/>
              <w:rPr>
                <w:rFonts w:ascii="宋体" w:hAnsi="宋体"/>
                <w:color w:val="auto"/>
                <w:kern w:val="2"/>
                <w:sz w:val="25"/>
                <w:highlight w:val="none"/>
              </w:rPr>
            </w:pPr>
          </w:p>
        </w:tc>
        <w:tc>
          <w:tcPr>
            <w:tcW w:w="700" w:type="dxa"/>
          </w:tcPr>
          <w:p w14:paraId="6704A9CB">
            <w:pPr>
              <w:pStyle w:val="7"/>
              <w:spacing w:line="360" w:lineRule="auto"/>
              <w:ind w:firstLine="500" w:firstLineChars="200"/>
              <w:rPr>
                <w:rFonts w:ascii="宋体" w:hAnsi="宋体"/>
                <w:color w:val="auto"/>
                <w:kern w:val="2"/>
                <w:sz w:val="25"/>
                <w:highlight w:val="none"/>
              </w:rPr>
            </w:pPr>
          </w:p>
        </w:tc>
        <w:tc>
          <w:tcPr>
            <w:tcW w:w="900" w:type="dxa"/>
          </w:tcPr>
          <w:p w14:paraId="38F2B6F3">
            <w:pPr>
              <w:pStyle w:val="7"/>
              <w:spacing w:line="360" w:lineRule="auto"/>
              <w:ind w:firstLine="500" w:firstLineChars="200"/>
              <w:rPr>
                <w:rFonts w:ascii="宋体" w:hAnsi="宋体"/>
                <w:color w:val="auto"/>
                <w:kern w:val="2"/>
                <w:sz w:val="25"/>
                <w:highlight w:val="none"/>
              </w:rPr>
            </w:pPr>
          </w:p>
        </w:tc>
        <w:tc>
          <w:tcPr>
            <w:tcW w:w="900" w:type="dxa"/>
          </w:tcPr>
          <w:p w14:paraId="526158D3">
            <w:pPr>
              <w:pStyle w:val="7"/>
              <w:spacing w:line="360" w:lineRule="auto"/>
              <w:ind w:firstLine="500" w:firstLineChars="200"/>
              <w:rPr>
                <w:rFonts w:ascii="宋体" w:hAnsi="宋体"/>
                <w:color w:val="auto"/>
                <w:kern w:val="2"/>
                <w:sz w:val="25"/>
                <w:highlight w:val="none"/>
              </w:rPr>
            </w:pPr>
          </w:p>
        </w:tc>
        <w:tc>
          <w:tcPr>
            <w:tcW w:w="1100" w:type="dxa"/>
          </w:tcPr>
          <w:p w14:paraId="7B997A9A">
            <w:pPr>
              <w:pStyle w:val="7"/>
              <w:spacing w:line="360" w:lineRule="auto"/>
              <w:ind w:firstLine="500" w:firstLineChars="200"/>
              <w:rPr>
                <w:rFonts w:ascii="宋体" w:hAnsi="宋体"/>
                <w:color w:val="auto"/>
                <w:kern w:val="2"/>
                <w:sz w:val="25"/>
                <w:highlight w:val="none"/>
              </w:rPr>
            </w:pPr>
          </w:p>
        </w:tc>
        <w:tc>
          <w:tcPr>
            <w:tcW w:w="1100" w:type="dxa"/>
          </w:tcPr>
          <w:p w14:paraId="4A0171FC">
            <w:pPr>
              <w:pStyle w:val="7"/>
              <w:spacing w:line="360" w:lineRule="auto"/>
              <w:ind w:firstLine="500" w:firstLineChars="200"/>
              <w:rPr>
                <w:rFonts w:ascii="宋体" w:hAnsi="宋体"/>
                <w:color w:val="auto"/>
                <w:kern w:val="2"/>
                <w:sz w:val="25"/>
                <w:highlight w:val="none"/>
              </w:rPr>
            </w:pPr>
          </w:p>
        </w:tc>
        <w:tc>
          <w:tcPr>
            <w:tcW w:w="700" w:type="dxa"/>
          </w:tcPr>
          <w:p w14:paraId="347EBD1E">
            <w:pPr>
              <w:pStyle w:val="7"/>
              <w:spacing w:line="360" w:lineRule="auto"/>
              <w:ind w:firstLine="500" w:firstLineChars="200"/>
              <w:rPr>
                <w:rFonts w:ascii="宋体" w:hAnsi="宋体"/>
                <w:color w:val="auto"/>
                <w:kern w:val="2"/>
                <w:sz w:val="25"/>
                <w:highlight w:val="none"/>
              </w:rPr>
            </w:pPr>
          </w:p>
        </w:tc>
      </w:tr>
      <w:tr w14:paraId="455B6B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08" w:type="dxa"/>
          </w:tcPr>
          <w:p w14:paraId="50B3D445">
            <w:pPr>
              <w:pStyle w:val="7"/>
              <w:spacing w:line="360" w:lineRule="auto"/>
              <w:ind w:firstLine="500" w:firstLineChars="200"/>
              <w:rPr>
                <w:rFonts w:ascii="宋体" w:hAnsi="宋体"/>
                <w:color w:val="auto"/>
                <w:kern w:val="2"/>
                <w:sz w:val="25"/>
                <w:highlight w:val="none"/>
              </w:rPr>
            </w:pPr>
          </w:p>
        </w:tc>
        <w:tc>
          <w:tcPr>
            <w:tcW w:w="2300" w:type="dxa"/>
          </w:tcPr>
          <w:p w14:paraId="1DE33A4D">
            <w:pPr>
              <w:pStyle w:val="7"/>
              <w:spacing w:line="360" w:lineRule="auto"/>
              <w:ind w:firstLine="500" w:firstLineChars="200"/>
              <w:rPr>
                <w:rFonts w:ascii="宋体" w:hAnsi="宋体"/>
                <w:color w:val="auto"/>
                <w:kern w:val="2"/>
                <w:sz w:val="25"/>
                <w:highlight w:val="none"/>
              </w:rPr>
            </w:pPr>
          </w:p>
        </w:tc>
        <w:tc>
          <w:tcPr>
            <w:tcW w:w="700" w:type="dxa"/>
          </w:tcPr>
          <w:p w14:paraId="314070A5">
            <w:pPr>
              <w:pStyle w:val="7"/>
              <w:spacing w:line="360" w:lineRule="auto"/>
              <w:ind w:firstLine="500" w:firstLineChars="200"/>
              <w:rPr>
                <w:rFonts w:ascii="宋体" w:hAnsi="宋体"/>
                <w:color w:val="auto"/>
                <w:kern w:val="2"/>
                <w:sz w:val="25"/>
                <w:highlight w:val="none"/>
              </w:rPr>
            </w:pPr>
          </w:p>
        </w:tc>
        <w:tc>
          <w:tcPr>
            <w:tcW w:w="700" w:type="dxa"/>
          </w:tcPr>
          <w:p w14:paraId="102E2729">
            <w:pPr>
              <w:pStyle w:val="7"/>
              <w:spacing w:line="360" w:lineRule="auto"/>
              <w:ind w:firstLine="500" w:firstLineChars="200"/>
              <w:rPr>
                <w:rFonts w:ascii="宋体" w:hAnsi="宋体"/>
                <w:color w:val="auto"/>
                <w:kern w:val="2"/>
                <w:sz w:val="25"/>
                <w:highlight w:val="none"/>
              </w:rPr>
            </w:pPr>
          </w:p>
        </w:tc>
        <w:tc>
          <w:tcPr>
            <w:tcW w:w="900" w:type="dxa"/>
          </w:tcPr>
          <w:p w14:paraId="55A112BB">
            <w:pPr>
              <w:pStyle w:val="7"/>
              <w:spacing w:line="360" w:lineRule="auto"/>
              <w:ind w:firstLine="500" w:firstLineChars="200"/>
              <w:rPr>
                <w:rFonts w:ascii="宋体" w:hAnsi="宋体"/>
                <w:color w:val="auto"/>
                <w:kern w:val="2"/>
                <w:sz w:val="25"/>
                <w:highlight w:val="none"/>
              </w:rPr>
            </w:pPr>
          </w:p>
        </w:tc>
        <w:tc>
          <w:tcPr>
            <w:tcW w:w="900" w:type="dxa"/>
          </w:tcPr>
          <w:p w14:paraId="1F586AAD">
            <w:pPr>
              <w:pStyle w:val="7"/>
              <w:spacing w:line="360" w:lineRule="auto"/>
              <w:ind w:firstLine="500" w:firstLineChars="200"/>
              <w:rPr>
                <w:rFonts w:ascii="宋体" w:hAnsi="宋体"/>
                <w:color w:val="auto"/>
                <w:kern w:val="2"/>
                <w:sz w:val="25"/>
                <w:highlight w:val="none"/>
              </w:rPr>
            </w:pPr>
          </w:p>
        </w:tc>
        <w:tc>
          <w:tcPr>
            <w:tcW w:w="1100" w:type="dxa"/>
          </w:tcPr>
          <w:p w14:paraId="1E01210D">
            <w:pPr>
              <w:pStyle w:val="7"/>
              <w:spacing w:line="360" w:lineRule="auto"/>
              <w:ind w:firstLine="500" w:firstLineChars="200"/>
              <w:rPr>
                <w:rFonts w:ascii="宋体" w:hAnsi="宋体"/>
                <w:color w:val="auto"/>
                <w:kern w:val="2"/>
                <w:sz w:val="25"/>
                <w:highlight w:val="none"/>
              </w:rPr>
            </w:pPr>
          </w:p>
        </w:tc>
        <w:tc>
          <w:tcPr>
            <w:tcW w:w="1100" w:type="dxa"/>
          </w:tcPr>
          <w:p w14:paraId="2C5DBE06">
            <w:pPr>
              <w:pStyle w:val="7"/>
              <w:spacing w:line="360" w:lineRule="auto"/>
              <w:ind w:firstLine="500" w:firstLineChars="200"/>
              <w:rPr>
                <w:rFonts w:ascii="宋体" w:hAnsi="宋体"/>
                <w:color w:val="auto"/>
                <w:kern w:val="2"/>
                <w:sz w:val="25"/>
                <w:highlight w:val="none"/>
              </w:rPr>
            </w:pPr>
          </w:p>
        </w:tc>
        <w:tc>
          <w:tcPr>
            <w:tcW w:w="700" w:type="dxa"/>
          </w:tcPr>
          <w:p w14:paraId="234FBEE7">
            <w:pPr>
              <w:pStyle w:val="7"/>
              <w:spacing w:line="360" w:lineRule="auto"/>
              <w:ind w:firstLine="500" w:firstLineChars="200"/>
              <w:rPr>
                <w:rFonts w:ascii="宋体" w:hAnsi="宋体"/>
                <w:color w:val="auto"/>
                <w:kern w:val="2"/>
                <w:sz w:val="25"/>
                <w:highlight w:val="none"/>
              </w:rPr>
            </w:pPr>
          </w:p>
        </w:tc>
      </w:tr>
      <w:tr w14:paraId="409593E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08" w:type="dxa"/>
          </w:tcPr>
          <w:p w14:paraId="5F426C2F">
            <w:pPr>
              <w:pStyle w:val="7"/>
              <w:spacing w:line="360" w:lineRule="auto"/>
              <w:ind w:firstLine="500" w:firstLineChars="200"/>
              <w:rPr>
                <w:rFonts w:ascii="宋体" w:hAnsi="宋体"/>
                <w:color w:val="auto"/>
                <w:kern w:val="2"/>
                <w:sz w:val="25"/>
                <w:highlight w:val="none"/>
              </w:rPr>
            </w:pPr>
          </w:p>
        </w:tc>
        <w:tc>
          <w:tcPr>
            <w:tcW w:w="2300" w:type="dxa"/>
          </w:tcPr>
          <w:p w14:paraId="123D3E70">
            <w:pPr>
              <w:pStyle w:val="7"/>
              <w:spacing w:line="360" w:lineRule="auto"/>
              <w:ind w:firstLine="500" w:firstLineChars="200"/>
              <w:rPr>
                <w:rFonts w:ascii="宋体" w:hAnsi="宋体"/>
                <w:color w:val="auto"/>
                <w:kern w:val="2"/>
                <w:sz w:val="25"/>
                <w:highlight w:val="none"/>
              </w:rPr>
            </w:pPr>
          </w:p>
        </w:tc>
        <w:tc>
          <w:tcPr>
            <w:tcW w:w="700" w:type="dxa"/>
          </w:tcPr>
          <w:p w14:paraId="52910FB9">
            <w:pPr>
              <w:pStyle w:val="7"/>
              <w:spacing w:line="360" w:lineRule="auto"/>
              <w:ind w:firstLine="500" w:firstLineChars="200"/>
              <w:rPr>
                <w:rFonts w:ascii="宋体" w:hAnsi="宋体"/>
                <w:color w:val="auto"/>
                <w:kern w:val="2"/>
                <w:sz w:val="25"/>
                <w:highlight w:val="none"/>
              </w:rPr>
            </w:pPr>
          </w:p>
        </w:tc>
        <w:tc>
          <w:tcPr>
            <w:tcW w:w="700" w:type="dxa"/>
          </w:tcPr>
          <w:p w14:paraId="22151F86">
            <w:pPr>
              <w:pStyle w:val="7"/>
              <w:spacing w:line="360" w:lineRule="auto"/>
              <w:ind w:firstLine="500" w:firstLineChars="200"/>
              <w:rPr>
                <w:rFonts w:ascii="宋体" w:hAnsi="宋体"/>
                <w:color w:val="auto"/>
                <w:kern w:val="2"/>
                <w:sz w:val="25"/>
                <w:highlight w:val="none"/>
              </w:rPr>
            </w:pPr>
          </w:p>
        </w:tc>
        <w:tc>
          <w:tcPr>
            <w:tcW w:w="900" w:type="dxa"/>
          </w:tcPr>
          <w:p w14:paraId="1F672010">
            <w:pPr>
              <w:pStyle w:val="7"/>
              <w:spacing w:line="360" w:lineRule="auto"/>
              <w:ind w:firstLine="500" w:firstLineChars="200"/>
              <w:rPr>
                <w:rFonts w:ascii="宋体" w:hAnsi="宋体"/>
                <w:color w:val="auto"/>
                <w:kern w:val="2"/>
                <w:sz w:val="25"/>
                <w:highlight w:val="none"/>
              </w:rPr>
            </w:pPr>
          </w:p>
        </w:tc>
        <w:tc>
          <w:tcPr>
            <w:tcW w:w="900" w:type="dxa"/>
          </w:tcPr>
          <w:p w14:paraId="5245CB1F">
            <w:pPr>
              <w:pStyle w:val="7"/>
              <w:spacing w:line="360" w:lineRule="auto"/>
              <w:ind w:firstLine="500" w:firstLineChars="200"/>
              <w:rPr>
                <w:rFonts w:ascii="宋体" w:hAnsi="宋体"/>
                <w:color w:val="auto"/>
                <w:kern w:val="2"/>
                <w:sz w:val="25"/>
                <w:highlight w:val="none"/>
              </w:rPr>
            </w:pPr>
          </w:p>
        </w:tc>
        <w:tc>
          <w:tcPr>
            <w:tcW w:w="1100" w:type="dxa"/>
          </w:tcPr>
          <w:p w14:paraId="5A8E3EC6">
            <w:pPr>
              <w:pStyle w:val="7"/>
              <w:spacing w:line="360" w:lineRule="auto"/>
              <w:ind w:firstLine="500" w:firstLineChars="200"/>
              <w:rPr>
                <w:rFonts w:ascii="宋体" w:hAnsi="宋体"/>
                <w:color w:val="auto"/>
                <w:kern w:val="2"/>
                <w:sz w:val="25"/>
                <w:highlight w:val="none"/>
              </w:rPr>
            </w:pPr>
          </w:p>
        </w:tc>
        <w:tc>
          <w:tcPr>
            <w:tcW w:w="1100" w:type="dxa"/>
          </w:tcPr>
          <w:p w14:paraId="1E0B1BF5">
            <w:pPr>
              <w:pStyle w:val="7"/>
              <w:spacing w:line="360" w:lineRule="auto"/>
              <w:ind w:firstLine="500" w:firstLineChars="200"/>
              <w:rPr>
                <w:rFonts w:ascii="宋体" w:hAnsi="宋体"/>
                <w:color w:val="auto"/>
                <w:kern w:val="2"/>
                <w:sz w:val="25"/>
                <w:highlight w:val="none"/>
              </w:rPr>
            </w:pPr>
          </w:p>
        </w:tc>
        <w:tc>
          <w:tcPr>
            <w:tcW w:w="700" w:type="dxa"/>
          </w:tcPr>
          <w:p w14:paraId="2B3C3A4E">
            <w:pPr>
              <w:pStyle w:val="7"/>
              <w:spacing w:line="360" w:lineRule="auto"/>
              <w:ind w:firstLine="500" w:firstLineChars="200"/>
              <w:rPr>
                <w:rFonts w:ascii="宋体" w:hAnsi="宋体"/>
                <w:color w:val="auto"/>
                <w:kern w:val="2"/>
                <w:sz w:val="25"/>
                <w:highlight w:val="none"/>
              </w:rPr>
            </w:pPr>
          </w:p>
        </w:tc>
      </w:tr>
      <w:tr w14:paraId="6E3321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08" w:type="dxa"/>
          </w:tcPr>
          <w:p w14:paraId="45590A3F">
            <w:pPr>
              <w:pStyle w:val="7"/>
              <w:spacing w:line="360" w:lineRule="auto"/>
              <w:ind w:firstLine="500" w:firstLineChars="200"/>
              <w:rPr>
                <w:rFonts w:ascii="宋体" w:hAnsi="宋体"/>
                <w:color w:val="auto"/>
                <w:kern w:val="2"/>
                <w:sz w:val="25"/>
                <w:highlight w:val="none"/>
              </w:rPr>
            </w:pPr>
          </w:p>
        </w:tc>
        <w:tc>
          <w:tcPr>
            <w:tcW w:w="2300" w:type="dxa"/>
          </w:tcPr>
          <w:p w14:paraId="03EAE53D">
            <w:pPr>
              <w:pStyle w:val="7"/>
              <w:spacing w:line="360" w:lineRule="auto"/>
              <w:ind w:firstLine="500" w:firstLineChars="200"/>
              <w:rPr>
                <w:rFonts w:ascii="宋体" w:hAnsi="宋体"/>
                <w:color w:val="auto"/>
                <w:kern w:val="2"/>
                <w:sz w:val="25"/>
                <w:highlight w:val="none"/>
              </w:rPr>
            </w:pPr>
          </w:p>
        </w:tc>
        <w:tc>
          <w:tcPr>
            <w:tcW w:w="700" w:type="dxa"/>
          </w:tcPr>
          <w:p w14:paraId="6568FA2C">
            <w:pPr>
              <w:pStyle w:val="7"/>
              <w:spacing w:line="360" w:lineRule="auto"/>
              <w:ind w:firstLine="500" w:firstLineChars="200"/>
              <w:rPr>
                <w:rFonts w:ascii="宋体" w:hAnsi="宋体"/>
                <w:color w:val="auto"/>
                <w:kern w:val="2"/>
                <w:sz w:val="25"/>
                <w:highlight w:val="none"/>
              </w:rPr>
            </w:pPr>
          </w:p>
        </w:tc>
        <w:tc>
          <w:tcPr>
            <w:tcW w:w="700" w:type="dxa"/>
          </w:tcPr>
          <w:p w14:paraId="07525FDA">
            <w:pPr>
              <w:pStyle w:val="7"/>
              <w:spacing w:line="360" w:lineRule="auto"/>
              <w:ind w:firstLine="500" w:firstLineChars="200"/>
              <w:rPr>
                <w:rFonts w:ascii="宋体" w:hAnsi="宋体"/>
                <w:color w:val="auto"/>
                <w:kern w:val="2"/>
                <w:sz w:val="25"/>
                <w:highlight w:val="none"/>
              </w:rPr>
            </w:pPr>
          </w:p>
        </w:tc>
        <w:tc>
          <w:tcPr>
            <w:tcW w:w="900" w:type="dxa"/>
          </w:tcPr>
          <w:p w14:paraId="7E33D6F4">
            <w:pPr>
              <w:pStyle w:val="7"/>
              <w:spacing w:line="360" w:lineRule="auto"/>
              <w:ind w:firstLine="500" w:firstLineChars="200"/>
              <w:rPr>
                <w:rFonts w:ascii="宋体" w:hAnsi="宋体"/>
                <w:color w:val="auto"/>
                <w:kern w:val="2"/>
                <w:sz w:val="25"/>
                <w:highlight w:val="none"/>
              </w:rPr>
            </w:pPr>
          </w:p>
        </w:tc>
        <w:tc>
          <w:tcPr>
            <w:tcW w:w="900" w:type="dxa"/>
          </w:tcPr>
          <w:p w14:paraId="25CA47A7">
            <w:pPr>
              <w:pStyle w:val="7"/>
              <w:spacing w:line="360" w:lineRule="auto"/>
              <w:ind w:firstLine="500" w:firstLineChars="200"/>
              <w:rPr>
                <w:rFonts w:ascii="宋体" w:hAnsi="宋体"/>
                <w:color w:val="auto"/>
                <w:kern w:val="2"/>
                <w:sz w:val="25"/>
                <w:highlight w:val="none"/>
              </w:rPr>
            </w:pPr>
          </w:p>
        </w:tc>
        <w:tc>
          <w:tcPr>
            <w:tcW w:w="1100" w:type="dxa"/>
          </w:tcPr>
          <w:p w14:paraId="5C2B92A1">
            <w:pPr>
              <w:pStyle w:val="7"/>
              <w:spacing w:line="360" w:lineRule="auto"/>
              <w:ind w:firstLine="500" w:firstLineChars="200"/>
              <w:rPr>
                <w:rFonts w:ascii="宋体" w:hAnsi="宋体"/>
                <w:color w:val="auto"/>
                <w:kern w:val="2"/>
                <w:sz w:val="25"/>
                <w:highlight w:val="none"/>
              </w:rPr>
            </w:pPr>
          </w:p>
        </w:tc>
        <w:tc>
          <w:tcPr>
            <w:tcW w:w="1100" w:type="dxa"/>
          </w:tcPr>
          <w:p w14:paraId="0EA516D7">
            <w:pPr>
              <w:pStyle w:val="7"/>
              <w:spacing w:line="360" w:lineRule="auto"/>
              <w:ind w:firstLine="500" w:firstLineChars="200"/>
              <w:rPr>
                <w:rFonts w:ascii="宋体" w:hAnsi="宋体"/>
                <w:color w:val="auto"/>
                <w:kern w:val="2"/>
                <w:sz w:val="25"/>
                <w:highlight w:val="none"/>
              </w:rPr>
            </w:pPr>
          </w:p>
        </w:tc>
        <w:tc>
          <w:tcPr>
            <w:tcW w:w="700" w:type="dxa"/>
          </w:tcPr>
          <w:p w14:paraId="6E69DC3E">
            <w:pPr>
              <w:pStyle w:val="7"/>
              <w:spacing w:line="360" w:lineRule="auto"/>
              <w:ind w:firstLine="500" w:firstLineChars="200"/>
              <w:rPr>
                <w:rFonts w:ascii="宋体" w:hAnsi="宋体"/>
                <w:color w:val="auto"/>
                <w:kern w:val="2"/>
                <w:sz w:val="25"/>
                <w:highlight w:val="none"/>
              </w:rPr>
            </w:pPr>
          </w:p>
        </w:tc>
      </w:tr>
      <w:tr w14:paraId="7697B0A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08" w:type="dxa"/>
          </w:tcPr>
          <w:p w14:paraId="3AA55353">
            <w:pPr>
              <w:pStyle w:val="7"/>
              <w:spacing w:line="360" w:lineRule="auto"/>
              <w:ind w:firstLine="500" w:firstLineChars="200"/>
              <w:rPr>
                <w:rFonts w:ascii="宋体" w:hAnsi="宋体"/>
                <w:color w:val="auto"/>
                <w:kern w:val="2"/>
                <w:sz w:val="25"/>
                <w:highlight w:val="none"/>
              </w:rPr>
            </w:pPr>
          </w:p>
        </w:tc>
        <w:tc>
          <w:tcPr>
            <w:tcW w:w="2300" w:type="dxa"/>
          </w:tcPr>
          <w:p w14:paraId="737A6F7D">
            <w:pPr>
              <w:pStyle w:val="7"/>
              <w:spacing w:line="360" w:lineRule="auto"/>
              <w:ind w:firstLine="500" w:firstLineChars="200"/>
              <w:rPr>
                <w:rFonts w:ascii="宋体" w:hAnsi="宋体"/>
                <w:color w:val="auto"/>
                <w:kern w:val="2"/>
                <w:sz w:val="25"/>
                <w:highlight w:val="none"/>
              </w:rPr>
            </w:pPr>
          </w:p>
        </w:tc>
        <w:tc>
          <w:tcPr>
            <w:tcW w:w="700" w:type="dxa"/>
          </w:tcPr>
          <w:p w14:paraId="3B141488">
            <w:pPr>
              <w:pStyle w:val="7"/>
              <w:spacing w:line="360" w:lineRule="auto"/>
              <w:ind w:firstLine="500" w:firstLineChars="200"/>
              <w:rPr>
                <w:rFonts w:ascii="宋体" w:hAnsi="宋体"/>
                <w:color w:val="auto"/>
                <w:kern w:val="2"/>
                <w:sz w:val="25"/>
                <w:highlight w:val="none"/>
              </w:rPr>
            </w:pPr>
          </w:p>
        </w:tc>
        <w:tc>
          <w:tcPr>
            <w:tcW w:w="700" w:type="dxa"/>
          </w:tcPr>
          <w:p w14:paraId="0C6484A5">
            <w:pPr>
              <w:pStyle w:val="7"/>
              <w:spacing w:line="360" w:lineRule="auto"/>
              <w:ind w:firstLine="500" w:firstLineChars="200"/>
              <w:rPr>
                <w:rFonts w:ascii="宋体" w:hAnsi="宋体"/>
                <w:color w:val="auto"/>
                <w:kern w:val="2"/>
                <w:sz w:val="25"/>
                <w:highlight w:val="none"/>
              </w:rPr>
            </w:pPr>
          </w:p>
        </w:tc>
        <w:tc>
          <w:tcPr>
            <w:tcW w:w="900" w:type="dxa"/>
          </w:tcPr>
          <w:p w14:paraId="07415C40">
            <w:pPr>
              <w:pStyle w:val="7"/>
              <w:spacing w:line="360" w:lineRule="auto"/>
              <w:ind w:firstLine="500" w:firstLineChars="200"/>
              <w:rPr>
                <w:rFonts w:ascii="宋体" w:hAnsi="宋体"/>
                <w:color w:val="auto"/>
                <w:kern w:val="2"/>
                <w:sz w:val="25"/>
                <w:highlight w:val="none"/>
              </w:rPr>
            </w:pPr>
          </w:p>
        </w:tc>
        <w:tc>
          <w:tcPr>
            <w:tcW w:w="900" w:type="dxa"/>
          </w:tcPr>
          <w:p w14:paraId="717CC077">
            <w:pPr>
              <w:pStyle w:val="7"/>
              <w:spacing w:line="360" w:lineRule="auto"/>
              <w:ind w:firstLine="500" w:firstLineChars="200"/>
              <w:rPr>
                <w:rFonts w:ascii="宋体" w:hAnsi="宋体"/>
                <w:color w:val="auto"/>
                <w:kern w:val="2"/>
                <w:sz w:val="25"/>
                <w:highlight w:val="none"/>
              </w:rPr>
            </w:pPr>
          </w:p>
        </w:tc>
        <w:tc>
          <w:tcPr>
            <w:tcW w:w="1100" w:type="dxa"/>
          </w:tcPr>
          <w:p w14:paraId="59F07E6E">
            <w:pPr>
              <w:pStyle w:val="7"/>
              <w:spacing w:line="360" w:lineRule="auto"/>
              <w:ind w:firstLine="500" w:firstLineChars="200"/>
              <w:rPr>
                <w:rFonts w:ascii="宋体" w:hAnsi="宋体"/>
                <w:color w:val="auto"/>
                <w:kern w:val="2"/>
                <w:sz w:val="25"/>
                <w:highlight w:val="none"/>
              </w:rPr>
            </w:pPr>
          </w:p>
        </w:tc>
        <w:tc>
          <w:tcPr>
            <w:tcW w:w="1100" w:type="dxa"/>
          </w:tcPr>
          <w:p w14:paraId="7A2F1CB2">
            <w:pPr>
              <w:pStyle w:val="7"/>
              <w:spacing w:line="360" w:lineRule="auto"/>
              <w:ind w:firstLine="500" w:firstLineChars="200"/>
              <w:rPr>
                <w:rFonts w:ascii="宋体" w:hAnsi="宋体"/>
                <w:color w:val="auto"/>
                <w:kern w:val="2"/>
                <w:sz w:val="25"/>
                <w:highlight w:val="none"/>
              </w:rPr>
            </w:pPr>
          </w:p>
        </w:tc>
        <w:tc>
          <w:tcPr>
            <w:tcW w:w="700" w:type="dxa"/>
          </w:tcPr>
          <w:p w14:paraId="7C6CD797">
            <w:pPr>
              <w:pStyle w:val="7"/>
              <w:spacing w:line="360" w:lineRule="auto"/>
              <w:ind w:firstLine="500" w:firstLineChars="200"/>
              <w:rPr>
                <w:rFonts w:ascii="宋体" w:hAnsi="宋体"/>
                <w:color w:val="auto"/>
                <w:kern w:val="2"/>
                <w:sz w:val="25"/>
                <w:highlight w:val="none"/>
              </w:rPr>
            </w:pPr>
          </w:p>
        </w:tc>
      </w:tr>
      <w:tr w14:paraId="3C92571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08" w:type="dxa"/>
          </w:tcPr>
          <w:p w14:paraId="346170DB">
            <w:pPr>
              <w:pStyle w:val="7"/>
              <w:spacing w:line="360" w:lineRule="auto"/>
              <w:ind w:firstLine="500" w:firstLineChars="200"/>
              <w:rPr>
                <w:rFonts w:ascii="宋体" w:hAnsi="宋体"/>
                <w:color w:val="auto"/>
                <w:kern w:val="2"/>
                <w:sz w:val="25"/>
                <w:highlight w:val="none"/>
              </w:rPr>
            </w:pPr>
          </w:p>
        </w:tc>
        <w:tc>
          <w:tcPr>
            <w:tcW w:w="2300" w:type="dxa"/>
          </w:tcPr>
          <w:p w14:paraId="19334838">
            <w:pPr>
              <w:pStyle w:val="7"/>
              <w:spacing w:line="360" w:lineRule="auto"/>
              <w:ind w:firstLine="500" w:firstLineChars="200"/>
              <w:rPr>
                <w:rFonts w:ascii="宋体" w:hAnsi="宋体"/>
                <w:color w:val="auto"/>
                <w:kern w:val="2"/>
                <w:sz w:val="25"/>
                <w:highlight w:val="none"/>
              </w:rPr>
            </w:pPr>
          </w:p>
        </w:tc>
        <w:tc>
          <w:tcPr>
            <w:tcW w:w="700" w:type="dxa"/>
          </w:tcPr>
          <w:p w14:paraId="5F664AD5">
            <w:pPr>
              <w:pStyle w:val="7"/>
              <w:spacing w:line="360" w:lineRule="auto"/>
              <w:ind w:firstLine="500" w:firstLineChars="200"/>
              <w:rPr>
                <w:rFonts w:ascii="宋体" w:hAnsi="宋体"/>
                <w:color w:val="auto"/>
                <w:kern w:val="2"/>
                <w:sz w:val="25"/>
                <w:highlight w:val="none"/>
              </w:rPr>
            </w:pPr>
          </w:p>
        </w:tc>
        <w:tc>
          <w:tcPr>
            <w:tcW w:w="700" w:type="dxa"/>
          </w:tcPr>
          <w:p w14:paraId="7251B9F2">
            <w:pPr>
              <w:pStyle w:val="7"/>
              <w:spacing w:line="360" w:lineRule="auto"/>
              <w:ind w:firstLine="500" w:firstLineChars="200"/>
              <w:rPr>
                <w:rFonts w:ascii="宋体" w:hAnsi="宋体"/>
                <w:color w:val="auto"/>
                <w:kern w:val="2"/>
                <w:sz w:val="25"/>
                <w:highlight w:val="none"/>
              </w:rPr>
            </w:pPr>
          </w:p>
        </w:tc>
        <w:tc>
          <w:tcPr>
            <w:tcW w:w="900" w:type="dxa"/>
          </w:tcPr>
          <w:p w14:paraId="445780AF">
            <w:pPr>
              <w:pStyle w:val="7"/>
              <w:spacing w:line="360" w:lineRule="auto"/>
              <w:ind w:firstLine="500" w:firstLineChars="200"/>
              <w:rPr>
                <w:rFonts w:ascii="宋体" w:hAnsi="宋体"/>
                <w:color w:val="auto"/>
                <w:kern w:val="2"/>
                <w:sz w:val="25"/>
                <w:highlight w:val="none"/>
              </w:rPr>
            </w:pPr>
          </w:p>
        </w:tc>
        <w:tc>
          <w:tcPr>
            <w:tcW w:w="900" w:type="dxa"/>
          </w:tcPr>
          <w:p w14:paraId="6BF09882">
            <w:pPr>
              <w:pStyle w:val="7"/>
              <w:spacing w:line="360" w:lineRule="auto"/>
              <w:ind w:firstLine="500" w:firstLineChars="200"/>
              <w:rPr>
                <w:rFonts w:ascii="宋体" w:hAnsi="宋体"/>
                <w:color w:val="auto"/>
                <w:kern w:val="2"/>
                <w:sz w:val="25"/>
                <w:highlight w:val="none"/>
              </w:rPr>
            </w:pPr>
          </w:p>
        </w:tc>
        <w:tc>
          <w:tcPr>
            <w:tcW w:w="1100" w:type="dxa"/>
          </w:tcPr>
          <w:p w14:paraId="08179264">
            <w:pPr>
              <w:pStyle w:val="7"/>
              <w:spacing w:line="360" w:lineRule="auto"/>
              <w:ind w:firstLine="500" w:firstLineChars="200"/>
              <w:rPr>
                <w:rFonts w:ascii="宋体" w:hAnsi="宋体"/>
                <w:color w:val="auto"/>
                <w:kern w:val="2"/>
                <w:sz w:val="25"/>
                <w:highlight w:val="none"/>
              </w:rPr>
            </w:pPr>
          </w:p>
        </w:tc>
        <w:tc>
          <w:tcPr>
            <w:tcW w:w="1100" w:type="dxa"/>
          </w:tcPr>
          <w:p w14:paraId="0B57ADD2">
            <w:pPr>
              <w:pStyle w:val="7"/>
              <w:spacing w:line="360" w:lineRule="auto"/>
              <w:ind w:firstLine="500" w:firstLineChars="200"/>
              <w:rPr>
                <w:rFonts w:ascii="宋体" w:hAnsi="宋体"/>
                <w:color w:val="auto"/>
                <w:kern w:val="2"/>
                <w:sz w:val="25"/>
                <w:highlight w:val="none"/>
              </w:rPr>
            </w:pPr>
          </w:p>
        </w:tc>
        <w:tc>
          <w:tcPr>
            <w:tcW w:w="700" w:type="dxa"/>
          </w:tcPr>
          <w:p w14:paraId="3DB3FA33">
            <w:pPr>
              <w:pStyle w:val="7"/>
              <w:spacing w:line="360" w:lineRule="auto"/>
              <w:ind w:firstLine="500" w:firstLineChars="200"/>
              <w:rPr>
                <w:rFonts w:ascii="宋体" w:hAnsi="宋体"/>
                <w:color w:val="auto"/>
                <w:kern w:val="2"/>
                <w:sz w:val="25"/>
                <w:highlight w:val="none"/>
              </w:rPr>
            </w:pPr>
          </w:p>
        </w:tc>
      </w:tr>
      <w:tr w14:paraId="3EF646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08" w:type="dxa"/>
          </w:tcPr>
          <w:p w14:paraId="5524AC2E">
            <w:pPr>
              <w:pStyle w:val="7"/>
              <w:spacing w:line="360" w:lineRule="auto"/>
              <w:ind w:firstLine="500" w:firstLineChars="200"/>
              <w:rPr>
                <w:rFonts w:ascii="宋体" w:hAnsi="宋体"/>
                <w:color w:val="auto"/>
                <w:kern w:val="2"/>
                <w:sz w:val="25"/>
                <w:highlight w:val="none"/>
              </w:rPr>
            </w:pPr>
          </w:p>
        </w:tc>
        <w:tc>
          <w:tcPr>
            <w:tcW w:w="2300" w:type="dxa"/>
          </w:tcPr>
          <w:p w14:paraId="7AEE46D6">
            <w:pPr>
              <w:pStyle w:val="7"/>
              <w:spacing w:line="360" w:lineRule="auto"/>
              <w:ind w:firstLine="500" w:firstLineChars="200"/>
              <w:rPr>
                <w:rFonts w:ascii="宋体" w:hAnsi="宋体"/>
                <w:color w:val="auto"/>
                <w:kern w:val="2"/>
                <w:sz w:val="25"/>
                <w:highlight w:val="none"/>
              </w:rPr>
            </w:pPr>
          </w:p>
        </w:tc>
        <w:tc>
          <w:tcPr>
            <w:tcW w:w="700" w:type="dxa"/>
          </w:tcPr>
          <w:p w14:paraId="22206FB0">
            <w:pPr>
              <w:pStyle w:val="7"/>
              <w:spacing w:line="360" w:lineRule="auto"/>
              <w:ind w:firstLine="500" w:firstLineChars="200"/>
              <w:rPr>
                <w:rFonts w:ascii="宋体" w:hAnsi="宋体"/>
                <w:color w:val="auto"/>
                <w:kern w:val="2"/>
                <w:sz w:val="25"/>
                <w:highlight w:val="none"/>
              </w:rPr>
            </w:pPr>
          </w:p>
        </w:tc>
        <w:tc>
          <w:tcPr>
            <w:tcW w:w="700" w:type="dxa"/>
          </w:tcPr>
          <w:p w14:paraId="516974CC">
            <w:pPr>
              <w:pStyle w:val="7"/>
              <w:spacing w:line="360" w:lineRule="auto"/>
              <w:ind w:firstLine="500" w:firstLineChars="200"/>
              <w:rPr>
                <w:rFonts w:ascii="宋体" w:hAnsi="宋体"/>
                <w:color w:val="auto"/>
                <w:kern w:val="2"/>
                <w:sz w:val="25"/>
                <w:highlight w:val="none"/>
              </w:rPr>
            </w:pPr>
          </w:p>
        </w:tc>
        <w:tc>
          <w:tcPr>
            <w:tcW w:w="900" w:type="dxa"/>
          </w:tcPr>
          <w:p w14:paraId="55B2A959">
            <w:pPr>
              <w:pStyle w:val="7"/>
              <w:spacing w:line="360" w:lineRule="auto"/>
              <w:ind w:firstLine="500" w:firstLineChars="200"/>
              <w:rPr>
                <w:rFonts w:ascii="宋体" w:hAnsi="宋体"/>
                <w:color w:val="auto"/>
                <w:kern w:val="2"/>
                <w:sz w:val="25"/>
                <w:highlight w:val="none"/>
              </w:rPr>
            </w:pPr>
          </w:p>
        </w:tc>
        <w:tc>
          <w:tcPr>
            <w:tcW w:w="900" w:type="dxa"/>
          </w:tcPr>
          <w:p w14:paraId="4217A31C">
            <w:pPr>
              <w:pStyle w:val="7"/>
              <w:spacing w:line="360" w:lineRule="auto"/>
              <w:ind w:firstLine="500" w:firstLineChars="200"/>
              <w:rPr>
                <w:rFonts w:ascii="宋体" w:hAnsi="宋体"/>
                <w:color w:val="auto"/>
                <w:kern w:val="2"/>
                <w:sz w:val="25"/>
                <w:highlight w:val="none"/>
              </w:rPr>
            </w:pPr>
          </w:p>
        </w:tc>
        <w:tc>
          <w:tcPr>
            <w:tcW w:w="1100" w:type="dxa"/>
          </w:tcPr>
          <w:p w14:paraId="1FD9329B">
            <w:pPr>
              <w:pStyle w:val="7"/>
              <w:spacing w:line="360" w:lineRule="auto"/>
              <w:ind w:firstLine="500" w:firstLineChars="200"/>
              <w:rPr>
                <w:rFonts w:ascii="宋体" w:hAnsi="宋体"/>
                <w:color w:val="auto"/>
                <w:kern w:val="2"/>
                <w:sz w:val="25"/>
                <w:highlight w:val="none"/>
              </w:rPr>
            </w:pPr>
          </w:p>
        </w:tc>
        <w:tc>
          <w:tcPr>
            <w:tcW w:w="1100" w:type="dxa"/>
          </w:tcPr>
          <w:p w14:paraId="6A771815">
            <w:pPr>
              <w:pStyle w:val="7"/>
              <w:spacing w:line="360" w:lineRule="auto"/>
              <w:ind w:firstLine="500" w:firstLineChars="200"/>
              <w:rPr>
                <w:rFonts w:ascii="宋体" w:hAnsi="宋体"/>
                <w:color w:val="auto"/>
                <w:kern w:val="2"/>
                <w:sz w:val="25"/>
                <w:highlight w:val="none"/>
              </w:rPr>
            </w:pPr>
          </w:p>
        </w:tc>
        <w:tc>
          <w:tcPr>
            <w:tcW w:w="700" w:type="dxa"/>
          </w:tcPr>
          <w:p w14:paraId="75E3CB2C">
            <w:pPr>
              <w:pStyle w:val="7"/>
              <w:spacing w:line="360" w:lineRule="auto"/>
              <w:ind w:firstLine="500" w:firstLineChars="200"/>
              <w:rPr>
                <w:rFonts w:ascii="宋体" w:hAnsi="宋体"/>
                <w:color w:val="auto"/>
                <w:kern w:val="2"/>
                <w:sz w:val="25"/>
                <w:highlight w:val="none"/>
              </w:rPr>
            </w:pPr>
          </w:p>
        </w:tc>
      </w:tr>
      <w:tr w14:paraId="2176D6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08" w:type="dxa"/>
          </w:tcPr>
          <w:p w14:paraId="08F1FB6A">
            <w:pPr>
              <w:pStyle w:val="7"/>
              <w:spacing w:line="360" w:lineRule="auto"/>
              <w:ind w:firstLine="500" w:firstLineChars="200"/>
              <w:rPr>
                <w:rFonts w:ascii="宋体" w:hAnsi="宋体"/>
                <w:color w:val="auto"/>
                <w:kern w:val="2"/>
                <w:sz w:val="25"/>
                <w:highlight w:val="none"/>
              </w:rPr>
            </w:pPr>
          </w:p>
        </w:tc>
        <w:tc>
          <w:tcPr>
            <w:tcW w:w="2300" w:type="dxa"/>
          </w:tcPr>
          <w:p w14:paraId="4646D624">
            <w:pPr>
              <w:pStyle w:val="7"/>
              <w:spacing w:line="360" w:lineRule="auto"/>
              <w:ind w:firstLine="500" w:firstLineChars="200"/>
              <w:rPr>
                <w:rFonts w:ascii="宋体" w:hAnsi="宋体"/>
                <w:color w:val="auto"/>
                <w:kern w:val="2"/>
                <w:sz w:val="25"/>
                <w:highlight w:val="none"/>
              </w:rPr>
            </w:pPr>
          </w:p>
        </w:tc>
        <w:tc>
          <w:tcPr>
            <w:tcW w:w="700" w:type="dxa"/>
          </w:tcPr>
          <w:p w14:paraId="26920B9B">
            <w:pPr>
              <w:pStyle w:val="7"/>
              <w:spacing w:line="360" w:lineRule="auto"/>
              <w:ind w:firstLine="500" w:firstLineChars="200"/>
              <w:rPr>
                <w:rFonts w:ascii="宋体" w:hAnsi="宋体"/>
                <w:color w:val="auto"/>
                <w:kern w:val="2"/>
                <w:sz w:val="25"/>
                <w:highlight w:val="none"/>
              </w:rPr>
            </w:pPr>
          </w:p>
        </w:tc>
        <w:tc>
          <w:tcPr>
            <w:tcW w:w="700" w:type="dxa"/>
          </w:tcPr>
          <w:p w14:paraId="4BD3FBB2">
            <w:pPr>
              <w:pStyle w:val="7"/>
              <w:spacing w:line="360" w:lineRule="auto"/>
              <w:ind w:firstLine="500" w:firstLineChars="200"/>
              <w:rPr>
                <w:rFonts w:ascii="宋体" w:hAnsi="宋体"/>
                <w:color w:val="auto"/>
                <w:kern w:val="2"/>
                <w:sz w:val="25"/>
                <w:highlight w:val="none"/>
              </w:rPr>
            </w:pPr>
          </w:p>
        </w:tc>
        <w:tc>
          <w:tcPr>
            <w:tcW w:w="900" w:type="dxa"/>
          </w:tcPr>
          <w:p w14:paraId="1E6BB2F5">
            <w:pPr>
              <w:pStyle w:val="7"/>
              <w:spacing w:line="360" w:lineRule="auto"/>
              <w:ind w:firstLine="500" w:firstLineChars="200"/>
              <w:rPr>
                <w:rFonts w:ascii="宋体" w:hAnsi="宋体"/>
                <w:color w:val="auto"/>
                <w:kern w:val="2"/>
                <w:sz w:val="25"/>
                <w:highlight w:val="none"/>
              </w:rPr>
            </w:pPr>
          </w:p>
        </w:tc>
        <w:tc>
          <w:tcPr>
            <w:tcW w:w="900" w:type="dxa"/>
          </w:tcPr>
          <w:p w14:paraId="24BD2BEF">
            <w:pPr>
              <w:pStyle w:val="7"/>
              <w:spacing w:line="360" w:lineRule="auto"/>
              <w:ind w:firstLine="500" w:firstLineChars="200"/>
              <w:rPr>
                <w:rFonts w:ascii="宋体" w:hAnsi="宋体"/>
                <w:color w:val="auto"/>
                <w:kern w:val="2"/>
                <w:sz w:val="25"/>
                <w:highlight w:val="none"/>
              </w:rPr>
            </w:pPr>
          </w:p>
        </w:tc>
        <w:tc>
          <w:tcPr>
            <w:tcW w:w="1100" w:type="dxa"/>
          </w:tcPr>
          <w:p w14:paraId="084B3BE1">
            <w:pPr>
              <w:pStyle w:val="7"/>
              <w:spacing w:line="360" w:lineRule="auto"/>
              <w:ind w:firstLine="500" w:firstLineChars="200"/>
              <w:rPr>
                <w:rFonts w:ascii="宋体" w:hAnsi="宋体"/>
                <w:color w:val="auto"/>
                <w:kern w:val="2"/>
                <w:sz w:val="25"/>
                <w:highlight w:val="none"/>
              </w:rPr>
            </w:pPr>
          </w:p>
        </w:tc>
        <w:tc>
          <w:tcPr>
            <w:tcW w:w="1100" w:type="dxa"/>
          </w:tcPr>
          <w:p w14:paraId="4944E83A">
            <w:pPr>
              <w:pStyle w:val="7"/>
              <w:spacing w:line="360" w:lineRule="auto"/>
              <w:ind w:firstLine="500" w:firstLineChars="200"/>
              <w:rPr>
                <w:rFonts w:ascii="宋体" w:hAnsi="宋体"/>
                <w:color w:val="auto"/>
                <w:kern w:val="2"/>
                <w:sz w:val="25"/>
                <w:highlight w:val="none"/>
              </w:rPr>
            </w:pPr>
          </w:p>
        </w:tc>
        <w:tc>
          <w:tcPr>
            <w:tcW w:w="700" w:type="dxa"/>
          </w:tcPr>
          <w:p w14:paraId="738DC977">
            <w:pPr>
              <w:pStyle w:val="7"/>
              <w:spacing w:line="360" w:lineRule="auto"/>
              <w:ind w:firstLine="500" w:firstLineChars="200"/>
              <w:rPr>
                <w:rFonts w:ascii="宋体" w:hAnsi="宋体"/>
                <w:color w:val="auto"/>
                <w:kern w:val="2"/>
                <w:sz w:val="25"/>
                <w:highlight w:val="none"/>
              </w:rPr>
            </w:pPr>
          </w:p>
        </w:tc>
      </w:tr>
      <w:tr w14:paraId="11ADED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08" w:type="dxa"/>
          </w:tcPr>
          <w:p w14:paraId="67140C97">
            <w:pPr>
              <w:pStyle w:val="7"/>
              <w:spacing w:line="360" w:lineRule="auto"/>
              <w:ind w:firstLine="500" w:firstLineChars="200"/>
              <w:rPr>
                <w:rFonts w:ascii="宋体" w:hAnsi="宋体"/>
                <w:color w:val="auto"/>
                <w:kern w:val="2"/>
                <w:sz w:val="25"/>
                <w:highlight w:val="none"/>
              </w:rPr>
            </w:pPr>
          </w:p>
        </w:tc>
        <w:tc>
          <w:tcPr>
            <w:tcW w:w="2300" w:type="dxa"/>
          </w:tcPr>
          <w:p w14:paraId="0733E89B">
            <w:pPr>
              <w:pStyle w:val="7"/>
              <w:spacing w:line="360" w:lineRule="auto"/>
              <w:ind w:firstLine="500" w:firstLineChars="200"/>
              <w:rPr>
                <w:rFonts w:ascii="宋体" w:hAnsi="宋体"/>
                <w:color w:val="auto"/>
                <w:kern w:val="2"/>
                <w:sz w:val="25"/>
                <w:highlight w:val="none"/>
              </w:rPr>
            </w:pPr>
          </w:p>
        </w:tc>
        <w:tc>
          <w:tcPr>
            <w:tcW w:w="700" w:type="dxa"/>
          </w:tcPr>
          <w:p w14:paraId="6D6F3D6D">
            <w:pPr>
              <w:pStyle w:val="7"/>
              <w:spacing w:line="360" w:lineRule="auto"/>
              <w:ind w:firstLine="500" w:firstLineChars="200"/>
              <w:rPr>
                <w:rFonts w:ascii="宋体" w:hAnsi="宋体"/>
                <w:color w:val="auto"/>
                <w:kern w:val="2"/>
                <w:sz w:val="25"/>
                <w:highlight w:val="none"/>
              </w:rPr>
            </w:pPr>
          </w:p>
        </w:tc>
        <w:tc>
          <w:tcPr>
            <w:tcW w:w="700" w:type="dxa"/>
          </w:tcPr>
          <w:p w14:paraId="5F946480">
            <w:pPr>
              <w:pStyle w:val="7"/>
              <w:spacing w:line="360" w:lineRule="auto"/>
              <w:ind w:firstLine="500" w:firstLineChars="200"/>
              <w:rPr>
                <w:rFonts w:ascii="宋体" w:hAnsi="宋体"/>
                <w:color w:val="auto"/>
                <w:kern w:val="2"/>
                <w:sz w:val="25"/>
                <w:highlight w:val="none"/>
              </w:rPr>
            </w:pPr>
          </w:p>
        </w:tc>
        <w:tc>
          <w:tcPr>
            <w:tcW w:w="900" w:type="dxa"/>
          </w:tcPr>
          <w:p w14:paraId="5AE05D89">
            <w:pPr>
              <w:pStyle w:val="7"/>
              <w:spacing w:line="360" w:lineRule="auto"/>
              <w:ind w:firstLine="500" w:firstLineChars="200"/>
              <w:rPr>
                <w:rFonts w:ascii="宋体" w:hAnsi="宋体"/>
                <w:color w:val="auto"/>
                <w:kern w:val="2"/>
                <w:sz w:val="25"/>
                <w:highlight w:val="none"/>
              </w:rPr>
            </w:pPr>
          </w:p>
        </w:tc>
        <w:tc>
          <w:tcPr>
            <w:tcW w:w="900" w:type="dxa"/>
          </w:tcPr>
          <w:p w14:paraId="6C714535">
            <w:pPr>
              <w:pStyle w:val="7"/>
              <w:spacing w:line="360" w:lineRule="auto"/>
              <w:ind w:firstLine="500" w:firstLineChars="200"/>
              <w:rPr>
                <w:rFonts w:ascii="宋体" w:hAnsi="宋体"/>
                <w:color w:val="auto"/>
                <w:kern w:val="2"/>
                <w:sz w:val="25"/>
                <w:highlight w:val="none"/>
              </w:rPr>
            </w:pPr>
          </w:p>
        </w:tc>
        <w:tc>
          <w:tcPr>
            <w:tcW w:w="1100" w:type="dxa"/>
          </w:tcPr>
          <w:p w14:paraId="5078E66F">
            <w:pPr>
              <w:pStyle w:val="7"/>
              <w:spacing w:line="360" w:lineRule="auto"/>
              <w:ind w:firstLine="500" w:firstLineChars="200"/>
              <w:rPr>
                <w:rFonts w:ascii="宋体" w:hAnsi="宋体"/>
                <w:color w:val="auto"/>
                <w:kern w:val="2"/>
                <w:sz w:val="25"/>
                <w:highlight w:val="none"/>
              </w:rPr>
            </w:pPr>
          </w:p>
        </w:tc>
        <w:tc>
          <w:tcPr>
            <w:tcW w:w="1100" w:type="dxa"/>
          </w:tcPr>
          <w:p w14:paraId="492D049E">
            <w:pPr>
              <w:pStyle w:val="7"/>
              <w:spacing w:line="360" w:lineRule="auto"/>
              <w:ind w:firstLine="500" w:firstLineChars="200"/>
              <w:rPr>
                <w:rFonts w:ascii="宋体" w:hAnsi="宋体"/>
                <w:color w:val="auto"/>
                <w:kern w:val="2"/>
                <w:sz w:val="25"/>
                <w:highlight w:val="none"/>
              </w:rPr>
            </w:pPr>
          </w:p>
        </w:tc>
        <w:tc>
          <w:tcPr>
            <w:tcW w:w="700" w:type="dxa"/>
          </w:tcPr>
          <w:p w14:paraId="5F170880">
            <w:pPr>
              <w:pStyle w:val="7"/>
              <w:spacing w:line="360" w:lineRule="auto"/>
              <w:ind w:firstLine="500" w:firstLineChars="200"/>
              <w:rPr>
                <w:rFonts w:ascii="宋体" w:hAnsi="宋体"/>
                <w:color w:val="auto"/>
                <w:kern w:val="2"/>
                <w:sz w:val="25"/>
                <w:highlight w:val="none"/>
              </w:rPr>
            </w:pPr>
          </w:p>
        </w:tc>
      </w:tr>
      <w:tr w14:paraId="365A535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08" w:type="dxa"/>
          </w:tcPr>
          <w:p w14:paraId="588E0F6A">
            <w:pPr>
              <w:pStyle w:val="7"/>
              <w:spacing w:line="360" w:lineRule="auto"/>
              <w:ind w:firstLine="500" w:firstLineChars="200"/>
              <w:rPr>
                <w:rFonts w:ascii="宋体" w:hAnsi="宋体"/>
                <w:color w:val="auto"/>
                <w:kern w:val="2"/>
                <w:sz w:val="25"/>
                <w:highlight w:val="none"/>
              </w:rPr>
            </w:pPr>
          </w:p>
        </w:tc>
        <w:tc>
          <w:tcPr>
            <w:tcW w:w="2300" w:type="dxa"/>
          </w:tcPr>
          <w:p w14:paraId="5CF23FAE">
            <w:pPr>
              <w:pStyle w:val="7"/>
              <w:spacing w:line="360" w:lineRule="auto"/>
              <w:ind w:firstLine="500" w:firstLineChars="200"/>
              <w:rPr>
                <w:rFonts w:ascii="宋体" w:hAnsi="宋体"/>
                <w:color w:val="auto"/>
                <w:kern w:val="2"/>
                <w:sz w:val="25"/>
                <w:highlight w:val="none"/>
              </w:rPr>
            </w:pPr>
          </w:p>
        </w:tc>
        <w:tc>
          <w:tcPr>
            <w:tcW w:w="700" w:type="dxa"/>
          </w:tcPr>
          <w:p w14:paraId="5481DECF">
            <w:pPr>
              <w:pStyle w:val="7"/>
              <w:spacing w:line="360" w:lineRule="auto"/>
              <w:ind w:firstLine="500" w:firstLineChars="200"/>
              <w:rPr>
                <w:rFonts w:ascii="宋体" w:hAnsi="宋体"/>
                <w:color w:val="auto"/>
                <w:kern w:val="2"/>
                <w:sz w:val="25"/>
                <w:highlight w:val="none"/>
              </w:rPr>
            </w:pPr>
          </w:p>
        </w:tc>
        <w:tc>
          <w:tcPr>
            <w:tcW w:w="700" w:type="dxa"/>
          </w:tcPr>
          <w:p w14:paraId="154D9AEC">
            <w:pPr>
              <w:pStyle w:val="7"/>
              <w:spacing w:line="360" w:lineRule="auto"/>
              <w:ind w:firstLine="500" w:firstLineChars="200"/>
              <w:rPr>
                <w:rFonts w:ascii="宋体" w:hAnsi="宋体"/>
                <w:color w:val="auto"/>
                <w:kern w:val="2"/>
                <w:sz w:val="25"/>
                <w:highlight w:val="none"/>
              </w:rPr>
            </w:pPr>
          </w:p>
        </w:tc>
        <w:tc>
          <w:tcPr>
            <w:tcW w:w="900" w:type="dxa"/>
          </w:tcPr>
          <w:p w14:paraId="5D3CFC8A">
            <w:pPr>
              <w:pStyle w:val="7"/>
              <w:spacing w:line="360" w:lineRule="auto"/>
              <w:ind w:firstLine="500" w:firstLineChars="200"/>
              <w:rPr>
                <w:rFonts w:ascii="宋体" w:hAnsi="宋体"/>
                <w:color w:val="auto"/>
                <w:kern w:val="2"/>
                <w:sz w:val="25"/>
                <w:highlight w:val="none"/>
              </w:rPr>
            </w:pPr>
          </w:p>
        </w:tc>
        <w:tc>
          <w:tcPr>
            <w:tcW w:w="900" w:type="dxa"/>
          </w:tcPr>
          <w:p w14:paraId="07B12BCE">
            <w:pPr>
              <w:pStyle w:val="7"/>
              <w:spacing w:line="360" w:lineRule="auto"/>
              <w:ind w:firstLine="500" w:firstLineChars="200"/>
              <w:rPr>
                <w:rFonts w:ascii="宋体" w:hAnsi="宋体"/>
                <w:color w:val="auto"/>
                <w:kern w:val="2"/>
                <w:sz w:val="25"/>
                <w:highlight w:val="none"/>
              </w:rPr>
            </w:pPr>
          </w:p>
        </w:tc>
        <w:tc>
          <w:tcPr>
            <w:tcW w:w="1100" w:type="dxa"/>
          </w:tcPr>
          <w:p w14:paraId="32EA2001">
            <w:pPr>
              <w:pStyle w:val="7"/>
              <w:spacing w:line="360" w:lineRule="auto"/>
              <w:ind w:firstLine="500" w:firstLineChars="200"/>
              <w:rPr>
                <w:rFonts w:ascii="宋体" w:hAnsi="宋体"/>
                <w:color w:val="auto"/>
                <w:kern w:val="2"/>
                <w:sz w:val="25"/>
                <w:highlight w:val="none"/>
              </w:rPr>
            </w:pPr>
          </w:p>
        </w:tc>
        <w:tc>
          <w:tcPr>
            <w:tcW w:w="1100" w:type="dxa"/>
          </w:tcPr>
          <w:p w14:paraId="5ADA999B">
            <w:pPr>
              <w:pStyle w:val="7"/>
              <w:spacing w:line="360" w:lineRule="auto"/>
              <w:ind w:firstLine="500" w:firstLineChars="200"/>
              <w:rPr>
                <w:rFonts w:ascii="宋体" w:hAnsi="宋体"/>
                <w:color w:val="auto"/>
                <w:kern w:val="2"/>
                <w:sz w:val="25"/>
                <w:highlight w:val="none"/>
              </w:rPr>
            </w:pPr>
          </w:p>
        </w:tc>
        <w:tc>
          <w:tcPr>
            <w:tcW w:w="700" w:type="dxa"/>
          </w:tcPr>
          <w:p w14:paraId="0F43C7F2">
            <w:pPr>
              <w:pStyle w:val="7"/>
              <w:spacing w:line="360" w:lineRule="auto"/>
              <w:ind w:firstLine="500" w:firstLineChars="200"/>
              <w:rPr>
                <w:rFonts w:ascii="宋体" w:hAnsi="宋体"/>
                <w:color w:val="auto"/>
                <w:kern w:val="2"/>
                <w:sz w:val="25"/>
                <w:highlight w:val="none"/>
              </w:rPr>
            </w:pPr>
          </w:p>
        </w:tc>
      </w:tr>
      <w:tr w14:paraId="4D8B85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08" w:type="dxa"/>
          </w:tcPr>
          <w:p w14:paraId="423B6AC6">
            <w:pPr>
              <w:pStyle w:val="7"/>
              <w:spacing w:line="360" w:lineRule="auto"/>
              <w:ind w:firstLine="500" w:firstLineChars="200"/>
              <w:rPr>
                <w:rFonts w:ascii="宋体" w:hAnsi="宋体"/>
                <w:color w:val="auto"/>
                <w:kern w:val="2"/>
                <w:sz w:val="25"/>
                <w:highlight w:val="none"/>
              </w:rPr>
            </w:pPr>
          </w:p>
        </w:tc>
        <w:tc>
          <w:tcPr>
            <w:tcW w:w="2300" w:type="dxa"/>
          </w:tcPr>
          <w:p w14:paraId="7C7BFCAD">
            <w:pPr>
              <w:pStyle w:val="7"/>
              <w:spacing w:line="360" w:lineRule="auto"/>
              <w:ind w:firstLine="500" w:firstLineChars="200"/>
              <w:rPr>
                <w:rFonts w:ascii="宋体" w:hAnsi="宋体"/>
                <w:color w:val="auto"/>
                <w:kern w:val="2"/>
                <w:sz w:val="25"/>
                <w:highlight w:val="none"/>
              </w:rPr>
            </w:pPr>
          </w:p>
        </w:tc>
        <w:tc>
          <w:tcPr>
            <w:tcW w:w="700" w:type="dxa"/>
          </w:tcPr>
          <w:p w14:paraId="3B997561">
            <w:pPr>
              <w:pStyle w:val="7"/>
              <w:spacing w:line="360" w:lineRule="auto"/>
              <w:ind w:firstLine="500" w:firstLineChars="200"/>
              <w:rPr>
                <w:rFonts w:ascii="宋体" w:hAnsi="宋体"/>
                <w:color w:val="auto"/>
                <w:kern w:val="2"/>
                <w:sz w:val="25"/>
                <w:highlight w:val="none"/>
              </w:rPr>
            </w:pPr>
          </w:p>
        </w:tc>
        <w:tc>
          <w:tcPr>
            <w:tcW w:w="700" w:type="dxa"/>
          </w:tcPr>
          <w:p w14:paraId="0938DFE3">
            <w:pPr>
              <w:pStyle w:val="7"/>
              <w:spacing w:line="360" w:lineRule="auto"/>
              <w:ind w:firstLine="500" w:firstLineChars="200"/>
              <w:rPr>
                <w:rFonts w:ascii="宋体" w:hAnsi="宋体"/>
                <w:color w:val="auto"/>
                <w:kern w:val="2"/>
                <w:sz w:val="25"/>
                <w:highlight w:val="none"/>
              </w:rPr>
            </w:pPr>
          </w:p>
        </w:tc>
        <w:tc>
          <w:tcPr>
            <w:tcW w:w="900" w:type="dxa"/>
          </w:tcPr>
          <w:p w14:paraId="65F1AC2D">
            <w:pPr>
              <w:pStyle w:val="7"/>
              <w:spacing w:line="360" w:lineRule="auto"/>
              <w:ind w:firstLine="500" w:firstLineChars="200"/>
              <w:rPr>
                <w:rFonts w:ascii="宋体" w:hAnsi="宋体"/>
                <w:color w:val="auto"/>
                <w:kern w:val="2"/>
                <w:sz w:val="25"/>
                <w:highlight w:val="none"/>
              </w:rPr>
            </w:pPr>
          </w:p>
        </w:tc>
        <w:tc>
          <w:tcPr>
            <w:tcW w:w="900" w:type="dxa"/>
          </w:tcPr>
          <w:p w14:paraId="03673AB4">
            <w:pPr>
              <w:pStyle w:val="7"/>
              <w:spacing w:line="360" w:lineRule="auto"/>
              <w:ind w:firstLine="500" w:firstLineChars="200"/>
              <w:rPr>
                <w:rFonts w:ascii="宋体" w:hAnsi="宋体"/>
                <w:color w:val="auto"/>
                <w:kern w:val="2"/>
                <w:sz w:val="25"/>
                <w:highlight w:val="none"/>
              </w:rPr>
            </w:pPr>
          </w:p>
        </w:tc>
        <w:tc>
          <w:tcPr>
            <w:tcW w:w="1100" w:type="dxa"/>
          </w:tcPr>
          <w:p w14:paraId="2A43C4A3">
            <w:pPr>
              <w:pStyle w:val="7"/>
              <w:spacing w:line="360" w:lineRule="auto"/>
              <w:ind w:firstLine="500" w:firstLineChars="200"/>
              <w:rPr>
                <w:rFonts w:ascii="宋体" w:hAnsi="宋体"/>
                <w:color w:val="auto"/>
                <w:kern w:val="2"/>
                <w:sz w:val="25"/>
                <w:highlight w:val="none"/>
              </w:rPr>
            </w:pPr>
          </w:p>
        </w:tc>
        <w:tc>
          <w:tcPr>
            <w:tcW w:w="1100" w:type="dxa"/>
          </w:tcPr>
          <w:p w14:paraId="04DB725E">
            <w:pPr>
              <w:pStyle w:val="7"/>
              <w:spacing w:line="360" w:lineRule="auto"/>
              <w:ind w:firstLine="500" w:firstLineChars="200"/>
              <w:rPr>
                <w:rFonts w:ascii="宋体" w:hAnsi="宋体"/>
                <w:color w:val="auto"/>
                <w:kern w:val="2"/>
                <w:sz w:val="25"/>
                <w:highlight w:val="none"/>
              </w:rPr>
            </w:pPr>
          </w:p>
        </w:tc>
        <w:tc>
          <w:tcPr>
            <w:tcW w:w="700" w:type="dxa"/>
          </w:tcPr>
          <w:p w14:paraId="71BF28C2">
            <w:pPr>
              <w:pStyle w:val="7"/>
              <w:spacing w:line="360" w:lineRule="auto"/>
              <w:ind w:firstLine="500" w:firstLineChars="200"/>
              <w:rPr>
                <w:rFonts w:ascii="宋体" w:hAnsi="宋体"/>
                <w:color w:val="auto"/>
                <w:kern w:val="2"/>
                <w:sz w:val="25"/>
                <w:highlight w:val="none"/>
              </w:rPr>
            </w:pPr>
          </w:p>
        </w:tc>
      </w:tr>
      <w:tr w14:paraId="5D54A6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08" w:type="dxa"/>
          </w:tcPr>
          <w:p w14:paraId="7C8F3B6D">
            <w:pPr>
              <w:pStyle w:val="7"/>
              <w:spacing w:line="360" w:lineRule="auto"/>
              <w:ind w:firstLine="500" w:firstLineChars="200"/>
              <w:rPr>
                <w:rFonts w:ascii="宋体" w:hAnsi="宋体"/>
                <w:color w:val="auto"/>
                <w:kern w:val="2"/>
                <w:sz w:val="25"/>
                <w:highlight w:val="none"/>
              </w:rPr>
            </w:pPr>
          </w:p>
        </w:tc>
        <w:tc>
          <w:tcPr>
            <w:tcW w:w="2300" w:type="dxa"/>
          </w:tcPr>
          <w:p w14:paraId="1DE7B032">
            <w:pPr>
              <w:pStyle w:val="7"/>
              <w:spacing w:line="360" w:lineRule="auto"/>
              <w:ind w:firstLine="500" w:firstLineChars="200"/>
              <w:rPr>
                <w:rFonts w:ascii="宋体" w:hAnsi="宋体"/>
                <w:color w:val="auto"/>
                <w:kern w:val="2"/>
                <w:sz w:val="25"/>
                <w:highlight w:val="none"/>
              </w:rPr>
            </w:pPr>
          </w:p>
        </w:tc>
        <w:tc>
          <w:tcPr>
            <w:tcW w:w="700" w:type="dxa"/>
          </w:tcPr>
          <w:p w14:paraId="5C5F41B5">
            <w:pPr>
              <w:pStyle w:val="7"/>
              <w:spacing w:line="360" w:lineRule="auto"/>
              <w:ind w:firstLine="500" w:firstLineChars="200"/>
              <w:rPr>
                <w:rFonts w:ascii="宋体" w:hAnsi="宋体"/>
                <w:color w:val="auto"/>
                <w:kern w:val="2"/>
                <w:sz w:val="25"/>
                <w:highlight w:val="none"/>
              </w:rPr>
            </w:pPr>
          </w:p>
        </w:tc>
        <w:tc>
          <w:tcPr>
            <w:tcW w:w="700" w:type="dxa"/>
          </w:tcPr>
          <w:p w14:paraId="4D68AAE6">
            <w:pPr>
              <w:pStyle w:val="7"/>
              <w:spacing w:line="360" w:lineRule="auto"/>
              <w:ind w:firstLine="500" w:firstLineChars="200"/>
              <w:rPr>
                <w:rFonts w:ascii="宋体" w:hAnsi="宋体"/>
                <w:color w:val="auto"/>
                <w:kern w:val="2"/>
                <w:sz w:val="25"/>
                <w:highlight w:val="none"/>
              </w:rPr>
            </w:pPr>
          </w:p>
        </w:tc>
        <w:tc>
          <w:tcPr>
            <w:tcW w:w="900" w:type="dxa"/>
          </w:tcPr>
          <w:p w14:paraId="437113D8">
            <w:pPr>
              <w:pStyle w:val="7"/>
              <w:spacing w:line="360" w:lineRule="auto"/>
              <w:ind w:firstLine="500" w:firstLineChars="200"/>
              <w:rPr>
                <w:rFonts w:ascii="宋体" w:hAnsi="宋体"/>
                <w:color w:val="auto"/>
                <w:kern w:val="2"/>
                <w:sz w:val="25"/>
                <w:highlight w:val="none"/>
              </w:rPr>
            </w:pPr>
          </w:p>
        </w:tc>
        <w:tc>
          <w:tcPr>
            <w:tcW w:w="900" w:type="dxa"/>
          </w:tcPr>
          <w:p w14:paraId="64131A96">
            <w:pPr>
              <w:pStyle w:val="7"/>
              <w:spacing w:line="360" w:lineRule="auto"/>
              <w:ind w:firstLine="500" w:firstLineChars="200"/>
              <w:rPr>
                <w:rFonts w:ascii="宋体" w:hAnsi="宋体"/>
                <w:color w:val="auto"/>
                <w:kern w:val="2"/>
                <w:sz w:val="25"/>
                <w:highlight w:val="none"/>
              </w:rPr>
            </w:pPr>
          </w:p>
        </w:tc>
        <w:tc>
          <w:tcPr>
            <w:tcW w:w="1100" w:type="dxa"/>
          </w:tcPr>
          <w:p w14:paraId="4BEFD385">
            <w:pPr>
              <w:pStyle w:val="7"/>
              <w:spacing w:line="360" w:lineRule="auto"/>
              <w:ind w:firstLine="500" w:firstLineChars="200"/>
              <w:rPr>
                <w:rFonts w:ascii="宋体" w:hAnsi="宋体"/>
                <w:color w:val="auto"/>
                <w:kern w:val="2"/>
                <w:sz w:val="25"/>
                <w:highlight w:val="none"/>
              </w:rPr>
            </w:pPr>
          </w:p>
        </w:tc>
        <w:tc>
          <w:tcPr>
            <w:tcW w:w="1100" w:type="dxa"/>
          </w:tcPr>
          <w:p w14:paraId="4A9265CA">
            <w:pPr>
              <w:pStyle w:val="7"/>
              <w:spacing w:line="360" w:lineRule="auto"/>
              <w:ind w:firstLine="500" w:firstLineChars="200"/>
              <w:rPr>
                <w:rFonts w:ascii="宋体" w:hAnsi="宋体"/>
                <w:color w:val="auto"/>
                <w:kern w:val="2"/>
                <w:sz w:val="25"/>
                <w:highlight w:val="none"/>
              </w:rPr>
            </w:pPr>
          </w:p>
        </w:tc>
        <w:tc>
          <w:tcPr>
            <w:tcW w:w="700" w:type="dxa"/>
          </w:tcPr>
          <w:p w14:paraId="6D57D35E">
            <w:pPr>
              <w:pStyle w:val="7"/>
              <w:spacing w:line="360" w:lineRule="auto"/>
              <w:ind w:firstLine="500" w:firstLineChars="200"/>
              <w:rPr>
                <w:rFonts w:ascii="宋体" w:hAnsi="宋体"/>
                <w:color w:val="auto"/>
                <w:kern w:val="2"/>
                <w:sz w:val="25"/>
                <w:highlight w:val="none"/>
              </w:rPr>
            </w:pPr>
          </w:p>
        </w:tc>
      </w:tr>
      <w:tr w14:paraId="06CBFF6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08" w:type="dxa"/>
          </w:tcPr>
          <w:p w14:paraId="13957E0A">
            <w:pPr>
              <w:pStyle w:val="7"/>
              <w:spacing w:line="360" w:lineRule="auto"/>
              <w:ind w:firstLine="500" w:firstLineChars="200"/>
              <w:rPr>
                <w:rFonts w:ascii="宋体" w:hAnsi="宋体"/>
                <w:color w:val="auto"/>
                <w:kern w:val="2"/>
                <w:sz w:val="25"/>
                <w:highlight w:val="none"/>
              </w:rPr>
            </w:pPr>
          </w:p>
        </w:tc>
        <w:tc>
          <w:tcPr>
            <w:tcW w:w="2300" w:type="dxa"/>
          </w:tcPr>
          <w:p w14:paraId="6910FD3A">
            <w:pPr>
              <w:pStyle w:val="7"/>
              <w:spacing w:line="360" w:lineRule="auto"/>
              <w:ind w:firstLine="500" w:firstLineChars="200"/>
              <w:rPr>
                <w:rFonts w:ascii="宋体" w:hAnsi="宋体"/>
                <w:color w:val="auto"/>
                <w:kern w:val="2"/>
                <w:sz w:val="25"/>
                <w:highlight w:val="none"/>
              </w:rPr>
            </w:pPr>
          </w:p>
        </w:tc>
        <w:tc>
          <w:tcPr>
            <w:tcW w:w="700" w:type="dxa"/>
          </w:tcPr>
          <w:p w14:paraId="4BCF91BB">
            <w:pPr>
              <w:pStyle w:val="7"/>
              <w:spacing w:line="360" w:lineRule="auto"/>
              <w:ind w:firstLine="500" w:firstLineChars="200"/>
              <w:rPr>
                <w:rFonts w:ascii="宋体" w:hAnsi="宋体"/>
                <w:color w:val="auto"/>
                <w:kern w:val="2"/>
                <w:sz w:val="25"/>
                <w:highlight w:val="none"/>
              </w:rPr>
            </w:pPr>
          </w:p>
        </w:tc>
        <w:tc>
          <w:tcPr>
            <w:tcW w:w="700" w:type="dxa"/>
          </w:tcPr>
          <w:p w14:paraId="75168FD7">
            <w:pPr>
              <w:pStyle w:val="7"/>
              <w:spacing w:line="360" w:lineRule="auto"/>
              <w:ind w:firstLine="500" w:firstLineChars="200"/>
              <w:rPr>
                <w:rFonts w:ascii="宋体" w:hAnsi="宋体"/>
                <w:color w:val="auto"/>
                <w:kern w:val="2"/>
                <w:sz w:val="25"/>
                <w:highlight w:val="none"/>
              </w:rPr>
            </w:pPr>
          </w:p>
        </w:tc>
        <w:tc>
          <w:tcPr>
            <w:tcW w:w="900" w:type="dxa"/>
          </w:tcPr>
          <w:p w14:paraId="7D99344C">
            <w:pPr>
              <w:pStyle w:val="7"/>
              <w:spacing w:line="360" w:lineRule="auto"/>
              <w:ind w:firstLine="500" w:firstLineChars="200"/>
              <w:rPr>
                <w:rFonts w:ascii="宋体" w:hAnsi="宋体"/>
                <w:color w:val="auto"/>
                <w:kern w:val="2"/>
                <w:sz w:val="25"/>
                <w:highlight w:val="none"/>
              </w:rPr>
            </w:pPr>
          </w:p>
        </w:tc>
        <w:tc>
          <w:tcPr>
            <w:tcW w:w="900" w:type="dxa"/>
          </w:tcPr>
          <w:p w14:paraId="797837EC">
            <w:pPr>
              <w:pStyle w:val="7"/>
              <w:spacing w:line="360" w:lineRule="auto"/>
              <w:ind w:firstLine="500" w:firstLineChars="200"/>
              <w:rPr>
                <w:rFonts w:ascii="宋体" w:hAnsi="宋体"/>
                <w:color w:val="auto"/>
                <w:kern w:val="2"/>
                <w:sz w:val="25"/>
                <w:highlight w:val="none"/>
              </w:rPr>
            </w:pPr>
          </w:p>
        </w:tc>
        <w:tc>
          <w:tcPr>
            <w:tcW w:w="1100" w:type="dxa"/>
          </w:tcPr>
          <w:p w14:paraId="140663BB">
            <w:pPr>
              <w:pStyle w:val="7"/>
              <w:spacing w:line="360" w:lineRule="auto"/>
              <w:ind w:firstLine="500" w:firstLineChars="200"/>
              <w:rPr>
                <w:rFonts w:ascii="宋体" w:hAnsi="宋体"/>
                <w:color w:val="auto"/>
                <w:kern w:val="2"/>
                <w:sz w:val="25"/>
                <w:highlight w:val="none"/>
              </w:rPr>
            </w:pPr>
          </w:p>
        </w:tc>
        <w:tc>
          <w:tcPr>
            <w:tcW w:w="1100" w:type="dxa"/>
          </w:tcPr>
          <w:p w14:paraId="542CAE4F">
            <w:pPr>
              <w:pStyle w:val="7"/>
              <w:spacing w:line="360" w:lineRule="auto"/>
              <w:ind w:firstLine="500" w:firstLineChars="200"/>
              <w:rPr>
                <w:rFonts w:ascii="宋体" w:hAnsi="宋体"/>
                <w:color w:val="auto"/>
                <w:kern w:val="2"/>
                <w:sz w:val="25"/>
                <w:highlight w:val="none"/>
              </w:rPr>
            </w:pPr>
          </w:p>
        </w:tc>
        <w:tc>
          <w:tcPr>
            <w:tcW w:w="700" w:type="dxa"/>
          </w:tcPr>
          <w:p w14:paraId="51280170">
            <w:pPr>
              <w:pStyle w:val="7"/>
              <w:spacing w:line="360" w:lineRule="auto"/>
              <w:ind w:firstLine="500" w:firstLineChars="200"/>
              <w:rPr>
                <w:rFonts w:ascii="宋体" w:hAnsi="宋体"/>
                <w:color w:val="auto"/>
                <w:kern w:val="2"/>
                <w:sz w:val="25"/>
                <w:highlight w:val="none"/>
              </w:rPr>
            </w:pPr>
          </w:p>
        </w:tc>
      </w:tr>
      <w:tr w14:paraId="112A5F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08" w:type="dxa"/>
          </w:tcPr>
          <w:p w14:paraId="5B10EFF9">
            <w:pPr>
              <w:pStyle w:val="7"/>
              <w:spacing w:line="360" w:lineRule="auto"/>
              <w:ind w:firstLine="500" w:firstLineChars="200"/>
              <w:rPr>
                <w:rFonts w:ascii="宋体" w:hAnsi="宋体"/>
                <w:color w:val="auto"/>
                <w:kern w:val="2"/>
                <w:sz w:val="25"/>
                <w:highlight w:val="none"/>
              </w:rPr>
            </w:pPr>
          </w:p>
        </w:tc>
        <w:tc>
          <w:tcPr>
            <w:tcW w:w="2300" w:type="dxa"/>
          </w:tcPr>
          <w:p w14:paraId="33D30517">
            <w:pPr>
              <w:pStyle w:val="7"/>
              <w:spacing w:line="360" w:lineRule="auto"/>
              <w:ind w:firstLine="500" w:firstLineChars="200"/>
              <w:rPr>
                <w:rFonts w:ascii="宋体" w:hAnsi="宋体"/>
                <w:color w:val="auto"/>
                <w:kern w:val="2"/>
                <w:sz w:val="25"/>
                <w:highlight w:val="none"/>
              </w:rPr>
            </w:pPr>
          </w:p>
        </w:tc>
        <w:tc>
          <w:tcPr>
            <w:tcW w:w="700" w:type="dxa"/>
          </w:tcPr>
          <w:p w14:paraId="417710D5">
            <w:pPr>
              <w:pStyle w:val="7"/>
              <w:spacing w:line="360" w:lineRule="auto"/>
              <w:ind w:firstLine="500" w:firstLineChars="200"/>
              <w:rPr>
                <w:rFonts w:ascii="宋体" w:hAnsi="宋体"/>
                <w:color w:val="auto"/>
                <w:kern w:val="2"/>
                <w:sz w:val="25"/>
                <w:highlight w:val="none"/>
              </w:rPr>
            </w:pPr>
          </w:p>
        </w:tc>
        <w:tc>
          <w:tcPr>
            <w:tcW w:w="700" w:type="dxa"/>
          </w:tcPr>
          <w:p w14:paraId="0FCD8E2E">
            <w:pPr>
              <w:pStyle w:val="7"/>
              <w:spacing w:line="360" w:lineRule="auto"/>
              <w:ind w:firstLine="500" w:firstLineChars="200"/>
              <w:rPr>
                <w:rFonts w:ascii="宋体" w:hAnsi="宋体"/>
                <w:color w:val="auto"/>
                <w:kern w:val="2"/>
                <w:sz w:val="25"/>
                <w:highlight w:val="none"/>
              </w:rPr>
            </w:pPr>
          </w:p>
        </w:tc>
        <w:tc>
          <w:tcPr>
            <w:tcW w:w="900" w:type="dxa"/>
          </w:tcPr>
          <w:p w14:paraId="5BD4232C">
            <w:pPr>
              <w:pStyle w:val="7"/>
              <w:spacing w:line="360" w:lineRule="auto"/>
              <w:ind w:firstLine="500" w:firstLineChars="200"/>
              <w:rPr>
                <w:rFonts w:ascii="宋体" w:hAnsi="宋体"/>
                <w:color w:val="auto"/>
                <w:kern w:val="2"/>
                <w:sz w:val="25"/>
                <w:highlight w:val="none"/>
              </w:rPr>
            </w:pPr>
          </w:p>
        </w:tc>
        <w:tc>
          <w:tcPr>
            <w:tcW w:w="900" w:type="dxa"/>
          </w:tcPr>
          <w:p w14:paraId="74562C1E">
            <w:pPr>
              <w:pStyle w:val="7"/>
              <w:spacing w:line="360" w:lineRule="auto"/>
              <w:ind w:firstLine="500" w:firstLineChars="200"/>
              <w:rPr>
                <w:rFonts w:ascii="宋体" w:hAnsi="宋体"/>
                <w:color w:val="auto"/>
                <w:kern w:val="2"/>
                <w:sz w:val="25"/>
                <w:highlight w:val="none"/>
              </w:rPr>
            </w:pPr>
          </w:p>
        </w:tc>
        <w:tc>
          <w:tcPr>
            <w:tcW w:w="1100" w:type="dxa"/>
          </w:tcPr>
          <w:p w14:paraId="28E772A3">
            <w:pPr>
              <w:pStyle w:val="7"/>
              <w:spacing w:line="360" w:lineRule="auto"/>
              <w:ind w:firstLine="500" w:firstLineChars="200"/>
              <w:rPr>
                <w:rFonts w:ascii="宋体" w:hAnsi="宋体"/>
                <w:color w:val="auto"/>
                <w:kern w:val="2"/>
                <w:sz w:val="25"/>
                <w:highlight w:val="none"/>
              </w:rPr>
            </w:pPr>
          </w:p>
        </w:tc>
        <w:tc>
          <w:tcPr>
            <w:tcW w:w="1100" w:type="dxa"/>
          </w:tcPr>
          <w:p w14:paraId="522594E1">
            <w:pPr>
              <w:pStyle w:val="7"/>
              <w:spacing w:line="360" w:lineRule="auto"/>
              <w:ind w:firstLine="500" w:firstLineChars="200"/>
              <w:rPr>
                <w:rFonts w:ascii="宋体" w:hAnsi="宋体"/>
                <w:color w:val="auto"/>
                <w:kern w:val="2"/>
                <w:sz w:val="25"/>
                <w:highlight w:val="none"/>
              </w:rPr>
            </w:pPr>
          </w:p>
        </w:tc>
        <w:tc>
          <w:tcPr>
            <w:tcW w:w="700" w:type="dxa"/>
          </w:tcPr>
          <w:p w14:paraId="06CD6863">
            <w:pPr>
              <w:pStyle w:val="7"/>
              <w:spacing w:line="360" w:lineRule="auto"/>
              <w:ind w:firstLine="500" w:firstLineChars="200"/>
              <w:rPr>
                <w:rFonts w:ascii="宋体" w:hAnsi="宋体"/>
                <w:color w:val="auto"/>
                <w:kern w:val="2"/>
                <w:sz w:val="25"/>
                <w:highlight w:val="none"/>
              </w:rPr>
            </w:pPr>
          </w:p>
        </w:tc>
      </w:tr>
      <w:tr w14:paraId="694E686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510" w:hRule="atLeast"/>
        </w:trPr>
        <w:tc>
          <w:tcPr>
            <w:tcW w:w="508" w:type="dxa"/>
          </w:tcPr>
          <w:p w14:paraId="21B0D4A3">
            <w:pPr>
              <w:pStyle w:val="7"/>
              <w:spacing w:line="360" w:lineRule="auto"/>
              <w:ind w:firstLine="500" w:firstLineChars="200"/>
              <w:rPr>
                <w:rFonts w:ascii="宋体" w:hAnsi="宋体"/>
                <w:color w:val="auto"/>
                <w:kern w:val="2"/>
                <w:sz w:val="25"/>
                <w:highlight w:val="none"/>
              </w:rPr>
            </w:pPr>
          </w:p>
        </w:tc>
        <w:tc>
          <w:tcPr>
            <w:tcW w:w="2300" w:type="dxa"/>
          </w:tcPr>
          <w:p w14:paraId="17DA2A63">
            <w:pPr>
              <w:pStyle w:val="7"/>
              <w:spacing w:line="360" w:lineRule="auto"/>
              <w:ind w:firstLine="500" w:firstLineChars="200"/>
              <w:rPr>
                <w:rFonts w:ascii="宋体" w:hAnsi="宋体"/>
                <w:color w:val="auto"/>
                <w:kern w:val="2"/>
                <w:sz w:val="25"/>
                <w:highlight w:val="none"/>
              </w:rPr>
            </w:pPr>
          </w:p>
        </w:tc>
        <w:tc>
          <w:tcPr>
            <w:tcW w:w="700" w:type="dxa"/>
          </w:tcPr>
          <w:p w14:paraId="2798E225">
            <w:pPr>
              <w:pStyle w:val="7"/>
              <w:spacing w:line="360" w:lineRule="auto"/>
              <w:ind w:firstLine="500" w:firstLineChars="200"/>
              <w:rPr>
                <w:rFonts w:ascii="宋体" w:hAnsi="宋体"/>
                <w:color w:val="auto"/>
                <w:kern w:val="2"/>
                <w:sz w:val="25"/>
                <w:highlight w:val="none"/>
              </w:rPr>
            </w:pPr>
          </w:p>
        </w:tc>
        <w:tc>
          <w:tcPr>
            <w:tcW w:w="700" w:type="dxa"/>
          </w:tcPr>
          <w:p w14:paraId="2F28788A">
            <w:pPr>
              <w:pStyle w:val="7"/>
              <w:spacing w:line="360" w:lineRule="auto"/>
              <w:ind w:firstLine="500" w:firstLineChars="200"/>
              <w:rPr>
                <w:rFonts w:ascii="宋体" w:hAnsi="宋体"/>
                <w:color w:val="auto"/>
                <w:kern w:val="2"/>
                <w:sz w:val="25"/>
                <w:highlight w:val="none"/>
              </w:rPr>
            </w:pPr>
          </w:p>
        </w:tc>
        <w:tc>
          <w:tcPr>
            <w:tcW w:w="900" w:type="dxa"/>
          </w:tcPr>
          <w:p w14:paraId="3EA50A78">
            <w:pPr>
              <w:pStyle w:val="7"/>
              <w:spacing w:line="360" w:lineRule="auto"/>
              <w:ind w:firstLine="500" w:firstLineChars="200"/>
              <w:rPr>
                <w:rFonts w:ascii="宋体" w:hAnsi="宋体"/>
                <w:color w:val="auto"/>
                <w:kern w:val="2"/>
                <w:sz w:val="25"/>
                <w:highlight w:val="none"/>
              </w:rPr>
            </w:pPr>
          </w:p>
        </w:tc>
        <w:tc>
          <w:tcPr>
            <w:tcW w:w="900" w:type="dxa"/>
          </w:tcPr>
          <w:p w14:paraId="5C8F6A3E">
            <w:pPr>
              <w:pStyle w:val="7"/>
              <w:spacing w:line="360" w:lineRule="auto"/>
              <w:ind w:firstLine="500" w:firstLineChars="200"/>
              <w:rPr>
                <w:rFonts w:ascii="宋体" w:hAnsi="宋体"/>
                <w:color w:val="auto"/>
                <w:kern w:val="2"/>
                <w:sz w:val="25"/>
                <w:highlight w:val="none"/>
              </w:rPr>
            </w:pPr>
          </w:p>
        </w:tc>
        <w:tc>
          <w:tcPr>
            <w:tcW w:w="1100" w:type="dxa"/>
          </w:tcPr>
          <w:p w14:paraId="04EBC5C3">
            <w:pPr>
              <w:pStyle w:val="7"/>
              <w:spacing w:line="360" w:lineRule="auto"/>
              <w:ind w:firstLine="500" w:firstLineChars="200"/>
              <w:rPr>
                <w:rFonts w:ascii="宋体" w:hAnsi="宋体"/>
                <w:color w:val="auto"/>
                <w:kern w:val="2"/>
                <w:sz w:val="25"/>
                <w:highlight w:val="none"/>
              </w:rPr>
            </w:pPr>
          </w:p>
        </w:tc>
        <w:tc>
          <w:tcPr>
            <w:tcW w:w="1100" w:type="dxa"/>
          </w:tcPr>
          <w:p w14:paraId="640E7945">
            <w:pPr>
              <w:pStyle w:val="7"/>
              <w:spacing w:line="360" w:lineRule="auto"/>
              <w:ind w:firstLine="500" w:firstLineChars="200"/>
              <w:rPr>
                <w:rFonts w:ascii="宋体" w:hAnsi="宋体"/>
                <w:color w:val="auto"/>
                <w:kern w:val="2"/>
                <w:sz w:val="25"/>
                <w:highlight w:val="none"/>
              </w:rPr>
            </w:pPr>
          </w:p>
        </w:tc>
        <w:tc>
          <w:tcPr>
            <w:tcW w:w="700" w:type="dxa"/>
          </w:tcPr>
          <w:p w14:paraId="1A4F2515">
            <w:pPr>
              <w:pStyle w:val="7"/>
              <w:spacing w:line="360" w:lineRule="auto"/>
              <w:ind w:firstLine="500" w:firstLineChars="200"/>
              <w:rPr>
                <w:rFonts w:ascii="宋体" w:hAnsi="宋体"/>
                <w:color w:val="auto"/>
                <w:kern w:val="2"/>
                <w:sz w:val="25"/>
                <w:highlight w:val="none"/>
              </w:rPr>
            </w:pPr>
          </w:p>
        </w:tc>
      </w:tr>
    </w:tbl>
    <w:p w14:paraId="00070B3D">
      <w:pPr>
        <w:pStyle w:val="7"/>
        <w:spacing w:line="360" w:lineRule="auto"/>
        <w:ind w:firstLine="500" w:firstLineChars="200"/>
        <w:jc w:val="center"/>
        <w:rPr>
          <w:rFonts w:ascii="宋体" w:hAnsi="宋体"/>
          <w:color w:val="auto"/>
          <w:sz w:val="25"/>
          <w:highlight w:val="none"/>
        </w:rPr>
      </w:pPr>
    </w:p>
    <w:p w14:paraId="2946C6E7">
      <w:pPr>
        <w:pStyle w:val="7"/>
        <w:spacing w:line="360" w:lineRule="auto"/>
        <w:ind w:firstLine="500" w:firstLineChars="200"/>
        <w:jc w:val="center"/>
        <w:rPr>
          <w:rFonts w:ascii="宋体" w:hAnsi="宋体"/>
          <w:color w:val="auto"/>
          <w:sz w:val="25"/>
          <w:highlight w:val="none"/>
        </w:rPr>
      </w:pPr>
    </w:p>
    <w:p w14:paraId="1B49580D">
      <w:pPr>
        <w:pStyle w:val="7"/>
        <w:spacing w:line="360" w:lineRule="auto"/>
        <w:ind w:firstLine="500" w:firstLineChars="200"/>
        <w:jc w:val="center"/>
        <w:rPr>
          <w:rFonts w:ascii="宋体" w:hAnsi="宋体"/>
          <w:color w:val="auto"/>
          <w:sz w:val="25"/>
          <w:highlight w:val="none"/>
        </w:rPr>
      </w:pPr>
    </w:p>
    <w:p w14:paraId="67C39A73">
      <w:pPr>
        <w:pStyle w:val="7"/>
        <w:spacing w:line="360" w:lineRule="auto"/>
        <w:ind w:firstLine="500" w:firstLineChars="200"/>
        <w:jc w:val="center"/>
        <w:rPr>
          <w:rFonts w:ascii="宋体" w:hAnsi="宋体"/>
          <w:color w:val="auto"/>
          <w:sz w:val="25"/>
          <w:highlight w:val="none"/>
        </w:rPr>
      </w:pPr>
    </w:p>
    <w:p w14:paraId="560922AA">
      <w:pPr>
        <w:pStyle w:val="3"/>
        <w:jc w:val="center"/>
        <w:rPr>
          <w:rFonts w:ascii="宋体" w:hAnsi="宋体"/>
          <w:b w:val="0"/>
          <w:color w:val="auto"/>
          <w:sz w:val="30"/>
          <w:highlight w:val="none"/>
        </w:rPr>
      </w:pPr>
      <w:r>
        <w:rPr>
          <w:rFonts w:ascii="宋体" w:hAnsi="宋体"/>
          <w:b w:val="0"/>
          <w:bCs w:val="0"/>
          <w:color w:val="auto"/>
          <w:sz w:val="36"/>
          <w:szCs w:val="36"/>
          <w:highlight w:val="none"/>
        </w:rPr>
        <w:br w:type="page"/>
      </w:r>
      <w:r>
        <w:rPr>
          <w:rFonts w:hint="eastAsia" w:ascii="宋体" w:hAnsi="宋体"/>
          <w:b w:val="0"/>
          <w:color w:val="auto"/>
          <w:sz w:val="30"/>
          <w:highlight w:val="none"/>
        </w:rPr>
        <w:t>六、主要施工管理人员表</w:t>
      </w:r>
    </w:p>
    <w:tbl>
      <w:tblPr>
        <w:tblStyle w:val="17"/>
        <w:tblW w:w="0" w:type="auto"/>
        <w:jc w:val="cente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964"/>
        <w:gridCol w:w="1500"/>
        <w:gridCol w:w="799"/>
        <w:gridCol w:w="800"/>
        <w:gridCol w:w="800"/>
        <w:gridCol w:w="3700"/>
      </w:tblGrid>
      <w:tr w14:paraId="282548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jc w:val="center"/>
        </w:trPr>
        <w:tc>
          <w:tcPr>
            <w:tcW w:w="964" w:type="dxa"/>
          </w:tcPr>
          <w:p w14:paraId="3783BB62">
            <w:pPr>
              <w:spacing w:line="360" w:lineRule="auto"/>
              <w:rPr>
                <w:rFonts w:ascii="宋体" w:hAnsi="宋体"/>
                <w:color w:val="auto"/>
                <w:position w:val="-42"/>
                <w:sz w:val="22"/>
                <w:highlight w:val="none"/>
              </w:rPr>
            </w:pPr>
            <w:r>
              <w:rPr>
                <w:rFonts w:hint="eastAsia" w:ascii="宋体" w:hAnsi="宋体"/>
                <w:color w:val="auto"/>
                <w:position w:val="-42"/>
                <w:sz w:val="22"/>
                <w:highlight w:val="none"/>
              </w:rPr>
              <w:t>机构</w:t>
            </w:r>
          </w:p>
        </w:tc>
        <w:tc>
          <w:tcPr>
            <w:tcW w:w="1500" w:type="dxa"/>
          </w:tcPr>
          <w:p w14:paraId="53B88075">
            <w:pPr>
              <w:spacing w:line="360" w:lineRule="auto"/>
              <w:rPr>
                <w:rFonts w:ascii="宋体" w:hAnsi="宋体"/>
                <w:color w:val="auto"/>
                <w:position w:val="-42"/>
                <w:sz w:val="25"/>
                <w:highlight w:val="none"/>
              </w:rPr>
            </w:pPr>
            <w:r>
              <w:rPr>
                <w:rFonts w:hint="eastAsia" w:ascii="宋体" w:hAnsi="宋体"/>
                <w:color w:val="auto"/>
                <w:position w:val="-42"/>
                <w:sz w:val="25"/>
                <w:highlight w:val="none"/>
              </w:rPr>
              <w:t>项目工程师</w:t>
            </w:r>
          </w:p>
        </w:tc>
        <w:tc>
          <w:tcPr>
            <w:tcW w:w="799" w:type="dxa"/>
          </w:tcPr>
          <w:p w14:paraId="6824EAE2">
            <w:pPr>
              <w:spacing w:line="360" w:lineRule="auto"/>
              <w:rPr>
                <w:rFonts w:ascii="宋体" w:hAnsi="宋体"/>
                <w:color w:val="auto"/>
                <w:position w:val="-42"/>
                <w:sz w:val="25"/>
                <w:highlight w:val="none"/>
              </w:rPr>
            </w:pPr>
            <w:r>
              <w:rPr>
                <w:rFonts w:hint="eastAsia" w:ascii="宋体" w:hAnsi="宋体"/>
                <w:color w:val="auto"/>
                <w:position w:val="-42"/>
                <w:sz w:val="25"/>
                <w:highlight w:val="none"/>
              </w:rPr>
              <w:t>姓名</w:t>
            </w:r>
          </w:p>
        </w:tc>
        <w:tc>
          <w:tcPr>
            <w:tcW w:w="800" w:type="dxa"/>
          </w:tcPr>
          <w:p w14:paraId="6B53CCE5">
            <w:pPr>
              <w:spacing w:line="360" w:lineRule="auto"/>
              <w:rPr>
                <w:rFonts w:ascii="宋体" w:hAnsi="宋体"/>
                <w:color w:val="auto"/>
                <w:position w:val="-42"/>
                <w:sz w:val="25"/>
                <w:highlight w:val="none"/>
              </w:rPr>
            </w:pPr>
            <w:r>
              <w:rPr>
                <w:rFonts w:hint="eastAsia" w:ascii="宋体" w:hAnsi="宋体"/>
                <w:color w:val="auto"/>
                <w:position w:val="-42"/>
                <w:sz w:val="25"/>
                <w:highlight w:val="none"/>
              </w:rPr>
              <w:t>职务</w:t>
            </w:r>
          </w:p>
        </w:tc>
        <w:tc>
          <w:tcPr>
            <w:tcW w:w="800" w:type="dxa"/>
          </w:tcPr>
          <w:p w14:paraId="08E86382">
            <w:pPr>
              <w:spacing w:line="360" w:lineRule="auto"/>
              <w:rPr>
                <w:rFonts w:ascii="宋体" w:hAnsi="宋体"/>
                <w:color w:val="auto"/>
                <w:position w:val="-42"/>
                <w:sz w:val="25"/>
                <w:highlight w:val="none"/>
              </w:rPr>
            </w:pPr>
            <w:r>
              <w:rPr>
                <w:rFonts w:hint="eastAsia" w:ascii="宋体" w:hAnsi="宋体"/>
                <w:color w:val="auto"/>
                <w:position w:val="-42"/>
                <w:sz w:val="25"/>
                <w:highlight w:val="none"/>
              </w:rPr>
              <w:t>职称</w:t>
            </w:r>
          </w:p>
        </w:tc>
        <w:tc>
          <w:tcPr>
            <w:tcW w:w="3700" w:type="dxa"/>
          </w:tcPr>
          <w:p w14:paraId="563E1E82">
            <w:pPr>
              <w:spacing w:line="360" w:lineRule="auto"/>
              <w:rPr>
                <w:rFonts w:ascii="宋体" w:hAnsi="宋体"/>
                <w:color w:val="auto"/>
                <w:position w:val="-42"/>
                <w:sz w:val="25"/>
                <w:highlight w:val="none"/>
              </w:rPr>
            </w:pPr>
            <w:r>
              <w:rPr>
                <w:rFonts w:hint="eastAsia" w:ascii="宋体" w:hAnsi="宋体"/>
                <w:color w:val="auto"/>
                <w:position w:val="-42"/>
                <w:sz w:val="25"/>
                <w:highlight w:val="none"/>
              </w:rPr>
              <w:t>主要资历、经验及承担过的工程</w:t>
            </w:r>
          </w:p>
        </w:tc>
      </w:tr>
      <w:tr w14:paraId="645E0A2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964" w:type="dxa"/>
            <w:vMerge w:val="restart"/>
          </w:tcPr>
          <w:p w14:paraId="395A55B3">
            <w:pPr>
              <w:spacing w:line="360" w:lineRule="auto"/>
              <w:ind w:firstLine="500" w:firstLineChars="200"/>
              <w:jc w:val="center"/>
              <w:rPr>
                <w:rFonts w:ascii="宋体" w:hAnsi="宋体"/>
                <w:color w:val="auto"/>
                <w:position w:val="-42"/>
                <w:sz w:val="25"/>
                <w:highlight w:val="none"/>
              </w:rPr>
            </w:pPr>
          </w:p>
          <w:p w14:paraId="599684A6">
            <w:pPr>
              <w:spacing w:line="360" w:lineRule="auto"/>
              <w:ind w:firstLine="500" w:firstLineChars="200"/>
              <w:jc w:val="center"/>
              <w:rPr>
                <w:rFonts w:ascii="宋体" w:hAnsi="宋体"/>
                <w:color w:val="auto"/>
                <w:position w:val="-42"/>
                <w:sz w:val="25"/>
                <w:highlight w:val="none"/>
              </w:rPr>
            </w:pPr>
          </w:p>
          <w:p w14:paraId="7E6BBF39">
            <w:pPr>
              <w:spacing w:line="360" w:lineRule="auto"/>
              <w:rPr>
                <w:rFonts w:ascii="宋体" w:hAnsi="宋体"/>
                <w:color w:val="auto"/>
                <w:position w:val="-42"/>
                <w:sz w:val="25"/>
                <w:highlight w:val="none"/>
              </w:rPr>
            </w:pPr>
            <w:r>
              <w:rPr>
                <w:rFonts w:hint="eastAsia" w:ascii="宋体" w:hAnsi="宋体"/>
                <w:color w:val="auto"/>
                <w:position w:val="-42"/>
                <w:sz w:val="25"/>
                <w:highlight w:val="none"/>
              </w:rPr>
              <w:t>总</w:t>
            </w:r>
          </w:p>
          <w:p w14:paraId="0693F5A1">
            <w:pPr>
              <w:spacing w:line="360" w:lineRule="auto"/>
              <w:rPr>
                <w:rFonts w:ascii="宋体" w:hAnsi="宋体"/>
                <w:color w:val="auto"/>
                <w:position w:val="-42"/>
                <w:sz w:val="25"/>
                <w:highlight w:val="none"/>
              </w:rPr>
            </w:pPr>
            <w:r>
              <w:rPr>
                <w:rFonts w:hint="eastAsia" w:ascii="宋体" w:hAnsi="宋体"/>
                <w:color w:val="auto"/>
                <w:position w:val="-42"/>
                <w:sz w:val="25"/>
                <w:highlight w:val="none"/>
              </w:rPr>
              <w:t>部</w:t>
            </w:r>
          </w:p>
        </w:tc>
        <w:tc>
          <w:tcPr>
            <w:tcW w:w="1500" w:type="dxa"/>
          </w:tcPr>
          <w:p w14:paraId="7542E825">
            <w:pPr>
              <w:spacing w:line="360" w:lineRule="auto"/>
              <w:rPr>
                <w:rFonts w:ascii="宋体" w:hAnsi="宋体"/>
                <w:color w:val="auto"/>
                <w:position w:val="-42"/>
                <w:sz w:val="25"/>
                <w:highlight w:val="none"/>
              </w:rPr>
            </w:pPr>
            <w:r>
              <w:rPr>
                <w:rFonts w:hint="eastAsia" w:ascii="宋体" w:hAnsi="宋体"/>
                <w:color w:val="auto"/>
                <w:position w:val="-42"/>
                <w:sz w:val="25"/>
                <w:highlight w:val="none"/>
              </w:rPr>
              <w:t>项目主管</w:t>
            </w:r>
          </w:p>
        </w:tc>
        <w:tc>
          <w:tcPr>
            <w:tcW w:w="799" w:type="dxa"/>
          </w:tcPr>
          <w:p w14:paraId="22D0B84C">
            <w:pPr>
              <w:spacing w:line="360" w:lineRule="auto"/>
              <w:ind w:firstLine="500" w:firstLineChars="200"/>
              <w:rPr>
                <w:rFonts w:ascii="宋体" w:hAnsi="宋体"/>
                <w:color w:val="auto"/>
                <w:position w:val="-42"/>
                <w:sz w:val="25"/>
                <w:highlight w:val="none"/>
              </w:rPr>
            </w:pPr>
          </w:p>
        </w:tc>
        <w:tc>
          <w:tcPr>
            <w:tcW w:w="800" w:type="dxa"/>
          </w:tcPr>
          <w:p w14:paraId="3C3B01F8">
            <w:pPr>
              <w:spacing w:line="360" w:lineRule="auto"/>
              <w:ind w:firstLine="500" w:firstLineChars="200"/>
              <w:rPr>
                <w:rFonts w:ascii="宋体" w:hAnsi="宋体"/>
                <w:color w:val="auto"/>
                <w:position w:val="-42"/>
                <w:sz w:val="25"/>
                <w:highlight w:val="none"/>
              </w:rPr>
            </w:pPr>
          </w:p>
        </w:tc>
        <w:tc>
          <w:tcPr>
            <w:tcW w:w="800" w:type="dxa"/>
          </w:tcPr>
          <w:p w14:paraId="3EC75013">
            <w:pPr>
              <w:spacing w:line="360" w:lineRule="auto"/>
              <w:ind w:firstLine="500" w:firstLineChars="200"/>
              <w:rPr>
                <w:rFonts w:ascii="宋体" w:hAnsi="宋体"/>
                <w:color w:val="auto"/>
                <w:position w:val="-42"/>
                <w:sz w:val="25"/>
                <w:highlight w:val="none"/>
              </w:rPr>
            </w:pPr>
          </w:p>
        </w:tc>
        <w:tc>
          <w:tcPr>
            <w:tcW w:w="3700" w:type="dxa"/>
          </w:tcPr>
          <w:p w14:paraId="7F57BF97">
            <w:pPr>
              <w:spacing w:line="360" w:lineRule="auto"/>
              <w:ind w:firstLine="500" w:firstLineChars="200"/>
              <w:rPr>
                <w:rFonts w:ascii="宋体" w:hAnsi="宋体"/>
                <w:color w:val="auto"/>
                <w:position w:val="-42"/>
                <w:sz w:val="25"/>
                <w:highlight w:val="none"/>
              </w:rPr>
            </w:pPr>
          </w:p>
        </w:tc>
      </w:tr>
      <w:tr w14:paraId="475FBA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964" w:type="dxa"/>
            <w:vMerge w:val="continue"/>
          </w:tcPr>
          <w:p w14:paraId="06B75AA6">
            <w:pPr>
              <w:spacing w:line="360" w:lineRule="auto"/>
              <w:ind w:firstLine="500" w:firstLineChars="200"/>
              <w:rPr>
                <w:rFonts w:ascii="宋体" w:hAnsi="宋体"/>
                <w:color w:val="auto"/>
                <w:position w:val="-42"/>
                <w:sz w:val="25"/>
                <w:highlight w:val="none"/>
              </w:rPr>
            </w:pPr>
          </w:p>
        </w:tc>
        <w:tc>
          <w:tcPr>
            <w:tcW w:w="1500" w:type="dxa"/>
          </w:tcPr>
          <w:p w14:paraId="431D50CC">
            <w:pPr>
              <w:spacing w:line="360" w:lineRule="auto"/>
              <w:rPr>
                <w:rFonts w:ascii="宋体" w:hAnsi="宋体"/>
                <w:color w:val="auto"/>
                <w:position w:val="-42"/>
                <w:sz w:val="25"/>
                <w:highlight w:val="none"/>
              </w:rPr>
            </w:pPr>
            <w:r>
              <w:rPr>
                <w:rFonts w:hint="eastAsia" w:ascii="宋体" w:hAnsi="宋体"/>
                <w:color w:val="auto"/>
                <w:position w:val="-42"/>
                <w:sz w:val="25"/>
                <w:highlight w:val="none"/>
              </w:rPr>
              <w:t>技术负责人</w:t>
            </w:r>
          </w:p>
        </w:tc>
        <w:tc>
          <w:tcPr>
            <w:tcW w:w="799" w:type="dxa"/>
          </w:tcPr>
          <w:p w14:paraId="56B16851">
            <w:pPr>
              <w:spacing w:line="360" w:lineRule="auto"/>
              <w:ind w:firstLine="500" w:firstLineChars="200"/>
              <w:rPr>
                <w:rFonts w:ascii="宋体" w:hAnsi="宋体"/>
                <w:color w:val="auto"/>
                <w:position w:val="-42"/>
                <w:sz w:val="25"/>
                <w:highlight w:val="none"/>
              </w:rPr>
            </w:pPr>
          </w:p>
        </w:tc>
        <w:tc>
          <w:tcPr>
            <w:tcW w:w="800" w:type="dxa"/>
          </w:tcPr>
          <w:p w14:paraId="6EFBCCD4">
            <w:pPr>
              <w:spacing w:line="360" w:lineRule="auto"/>
              <w:ind w:firstLine="500" w:firstLineChars="200"/>
              <w:rPr>
                <w:rFonts w:ascii="宋体" w:hAnsi="宋体"/>
                <w:color w:val="auto"/>
                <w:position w:val="-42"/>
                <w:sz w:val="25"/>
                <w:highlight w:val="none"/>
              </w:rPr>
            </w:pPr>
          </w:p>
        </w:tc>
        <w:tc>
          <w:tcPr>
            <w:tcW w:w="800" w:type="dxa"/>
          </w:tcPr>
          <w:p w14:paraId="4CEDE650">
            <w:pPr>
              <w:spacing w:line="360" w:lineRule="auto"/>
              <w:ind w:firstLine="500" w:firstLineChars="200"/>
              <w:rPr>
                <w:rFonts w:ascii="宋体" w:hAnsi="宋体"/>
                <w:color w:val="auto"/>
                <w:position w:val="-42"/>
                <w:sz w:val="25"/>
                <w:highlight w:val="none"/>
              </w:rPr>
            </w:pPr>
          </w:p>
        </w:tc>
        <w:tc>
          <w:tcPr>
            <w:tcW w:w="3700" w:type="dxa"/>
          </w:tcPr>
          <w:p w14:paraId="5DA96A4B">
            <w:pPr>
              <w:spacing w:line="360" w:lineRule="auto"/>
              <w:ind w:firstLine="500" w:firstLineChars="200"/>
              <w:rPr>
                <w:rFonts w:ascii="宋体" w:hAnsi="宋体"/>
                <w:color w:val="auto"/>
                <w:position w:val="-42"/>
                <w:sz w:val="25"/>
                <w:highlight w:val="none"/>
              </w:rPr>
            </w:pPr>
          </w:p>
        </w:tc>
      </w:tr>
      <w:tr w14:paraId="2D7213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964" w:type="dxa"/>
            <w:vMerge w:val="continue"/>
          </w:tcPr>
          <w:p w14:paraId="3E7A1960">
            <w:pPr>
              <w:spacing w:line="360" w:lineRule="auto"/>
              <w:ind w:firstLine="500" w:firstLineChars="200"/>
              <w:rPr>
                <w:rFonts w:ascii="宋体" w:hAnsi="宋体"/>
                <w:color w:val="auto"/>
                <w:position w:val="-42"/>
                <w:sz w:val="25"/>
                <w:highlight w:val="none"/>
              </w:rPr>
            </w:pPr>
          </w:p>
        </w:tc>
        <w:tc>
          <w:tcPr>
            <w:tcW w:w="1500" w:type="dxa"/>
          </w:tcPr>
          <w:p w14:paraId="6D2C3AB5">
            <w:pPr>
              <w:spacing w:line="360" w:lineRule="auto"/>
              <w:ind w:firstLine="500" w:firstLineChars="200"/>
              <w:rPr>
                <w:rFonts w:ascii="宋体" w:hAnsi="宋体"/>
                <w:color w:val="auto"/>
                <w:position w:val="-42"/>
                <w:sz w:val="25"/>
                <w:highlight w:val="none"/>
              </w:rPr>
            </w:pPr>
          </w:p>
        </w:tc>
        <w:tc>
          <w:tcPr>
            <w:tcW w:w="799" w:type="dxa"/>
          </w:tcPr>
          <w:p w14:paraId="54D532DB">
            <w:pPr>
              <w:spacing w:line="360" w:lineRule="auto"/>
              <w:ind w:firstLine="500" w:firstLineChars="200"/>
              <w:rPr>
                <w:rFonts w:ascii="宋体" w:hAnsi="宋体"/>
                <w:color w:val="auto"/>
                <w:position w:val="-42"/>
                <w:sz w:val="25"/>
                <w:highlight w:val="none"/>
              </w:rPr>
            </w:pPr>
          </w:p>
        </w:tc>
        <w:tc>
          <w:tcPr>
            <w:tcW w:w="800" w:type="dxa"/>
          </w:tcPr>
          <w:p w14:paraId="120CD434">
            <w:pPr>
              <w:spacing w:line="360" w:lineRule="auto"/>
              <w:ind w:firstLine="500" w:firstLineChars="200"/>
              <w:rPr>
                <w:rFonts w:ascii="宋体" w:hAnsi="宋体"/>
                <w:color w:val="auto"/>
                <w:position w:val="-42"/>
                <w:sz w:val="25"/>
                <w:highlight w:val="none"/>
              </w:rPr>
            </w:pPr>
          </w:p>
        </w:tc>
        <w:tc>
          <w:tcPr>
            <w:tcW w:w="800" w:type="dxa"/>
          </w:tcPr>
          <w:p w14:paraId="11357DCD">
            <w:pPr>
              <w:spacing w:line="360" w:lineRule="auto"/>
              <w:ind w:firstLine="500" w:firstLineChars="200"/>
              <w:rPr>
                <w:rFonts w:ascii="宋体" w:hAnsi="宋体"/>
                <w:color w:val="auto"/>
                <w:position w:val="-42"/>
                <w:sz w:val="25"/>
                <w:highlight w:val="none"/>
              </w:rPr>
            </w:pPr>
          </w:p>
        </w:tc>
        <w:tc>
          <w:tcPr>
            <w:tcW w:w="3700" w:type="dxa"/>
          </w:tcPr>
          <w:p w14:paraId="4C27C9B5">
            <w:pPr>
              <w:spacing w:line="360" w:lineRule="auto"/>
              <w:ind w:firstLine="500" w:firstLineChars="200"/>
              <w:rPr>
                <w:rFonts w:ascii="宋体" w:hAnsi="宋体"/>
                <w:color w:val="auto"/>
                <w:position w:val="-42"/>
                <w:sz w:val="25"/>
                <w:highlight w:val="none"/>
              </w:rPr>
            </w:pPr>
          </w:p>
        </w:tc>
      </w:tr>
      <w:tr w14:paraId="211D63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964" w:type="dxa"/>
            <w:vMerge w:val="continue"/>
          </w:tcPr>
          <w:p w14:paraId="0C5D1B12">
            <w:pPr>
              <w:spacing w:line="360" w:lineRule="auto"/>
              <w:ind w:firstLine="500" w:firstLineChars="200"/>
              <w:rPr>
                <w:rFonts w:ascii="宋体" w:hAnsi="宋体"/>
                <w:color w:val="auto"/>
                <w:position w:val="-42"/>
                <w:sz w:val="25"/>
                <w:highlight w:val="none"/>
              </w:rPr>
            </w:pPr>
          </w:p>
        </w:tc>
        <w:tc>
          <w:tcPr>
            <w:tcW w:w="1500" w:type="dxa"/>
          </w:tcPr>
          <w:p w14:paraId="6AE43DEE">
            <w:pPr>
              <w:spacing w:line="360" w:lineRule="auto"/>
              <w:ind w:firstLine="500" w:firstLineChars="200"/>
              <w:rPr>
                <w:rFonts w:ascii="宋体" w:hAnsi="宋体"/>
                <w:color w:val="auto"/>
                <w:position w:val="-42"/>
                <w:sz w:val="25"/>
                <w:highlight w:val="none"/>
              </w:rPr>
            </w:pPr>
          </w:p>
        </w:tc>
        <w:tc>
          <w:tcPr>
            <w:tcW w:w="799" w:type="dxa"/>
          </w:tcPr>
          <w:p w14:paraId="5128BCBC">
            <w:pPr>
              <w:spacing w:line="360" w:lineRule="auto"/>
              <w:ind w:firstLine="500" w:firstLineChars="200"/>
              <w:rPr>
                <w:rFonts w:ascii="宋体" w:hAnsi="宋体"/>
                <w:color w:val="auto"/>
                <w:position w:val="-42"/>
                <w:sz w:val="25"/>
                <w:highlight w:val="none"/>
              </w:rPr>
            </w:pPr>
          </w:p>
        </w:tc>
        <w:tc>
          <w:tcPr>
            <w:tcW w:w="800" w:type="dxa"/>
          </w:tcPr>
          <w:p w14:paraId="22DD5A15">
            <w:pPr>
              <w:spacing w:line="360" w:lineRule="auto"/>
              <w:ind w:firstLine="500" w:firstLineChars="200"/>
              <w:rPr>
                <w:rFonts w:ascii="宋体" w:hAnsi="宋体"/>
                <w:color w:val="auto"/>
                <w:position w:val="-42"/>
                <w:sz w:val="25"/>
                <w:highlight w:val="none"/>
              </w:rPr>
            </w:pPr>
          </w:p>
        </w:tc>
        <w:tc>
          <w:tcPr>
            <w:tcW w:w="800" w:type="dxa"/>
          </w:tcPr>
          <w:p w14:paraId="20D58CAE">
            <w:pPr>
              <w:spacing w:line="360" w:lineRule="auto"/>
              <w:ind w:firstLine="500" w:firstLineChars="200"/>
              <w:rPr>
                <w:rFonts w:ascii="宋体" w:hAnsi="宋体"/>
                <w:color w:val="auto"/>
                <w:position w:val="-42"/>
                <w:sz w:val="25"/>
                <w:highlight w:val="none"/>
              </w:rPr>
            </w:pPr>
          </w:p>
        </w:tc>
        <w:tc>
          <w:tcPr>
            <w:tcW w:w="3700" w:type="dxa"/>
          </w:tcPr>
          <w:p w14:paraId="3B82B9C4">
            <w:pPr>
              <w:spacing w:line="360" w:lineRule="auto"/>
              <w:ind w:firstLine="500" w:firstLineChars="200"/>
              <w:rPr>
                <w:rFonts w:ascii="宋体" w:hAnsi="宋体"/>
                <w:color w:val="auto"/>
                <w:position w:val="-42"/>
                <w:sz w:val="25"/>
                <w:highlight w:val="none"/>
              </w:rPr>
            </w:pPr>
          </w:p>
        </w:tc>
      </w:tr>
      <w:tr w14:paraId="1FF8E2C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964" w:type="dxa"/>
            <w:vMerge w:val="continue"/>
          </w:tcPr>
          <w:p w14:paraId="7F899F62">
            <w:pPr>
              <w:spacing w:line="360" w:lineRule="auto"/>
              <w:ind w:firstLine="500" w:firstLineChars="200"/>
              <w:rPr>
                <w:rFonts w:ascii="宋体" w:hAnsi="宋体"/>
                <w:color w:val="auto"/>
                <w:position w:val="-42"/>
                <w:sz w:val="25"/>
                <w:highlight w:val="none"/>
              </w:rPr>
            </w:pPr>
          </w:p>
        </w:tc>
        <w:tc>
          <w:tcPr>
            <w:tcW w:w="1500" w:type="dxa"/>
          </w:tcPr>
          <w:p w14:paraId="5DB4677D">
            <w:pPr>
              <w:spacing w:line="360" w:lineRule="auto"/>
              <w:ind w:firstLine="500" w:firstLineChars="200"/>
              <w:rPr>
                <w:rFonts w:ascii="宋体" w:hAnsi="宋体"/>
                <w:color w:val="auto"/>
                <w:position w:val="-42"/>
                <w:sz w:val="25"/>
                <w:highlight w:val="none"/>
              </w:rPr>
            </w:pPr>
          </w:p>
        </w:tc>
        <w:tc>
          <w:tcPr>
            <w:tcW w:w="799" w:type="dxa"/>
          </w:tcPr>
          <w:p w14:paraId="6CF30E09">
            <w:pPr>
              <w:spacing w:line="360" w:lineRule="auto"/>
              <w:ind w:firstLine="500" w:firstLineChars="200"/>
              <w:rPr>
                <w:rFonts w:ascii="宋体" w:hAnsi="宋体"/>
                <w:color w:val="auto"/>
                <w:position w:val="-42"/>
                <w:sz w:val="25"/>
                <w:highlight w:val="none"/>
              </w:rPr>
            </w:pPr>
          </w:p>
        </w:tc>
        <w:tc>
          <w:tcPr>
            <w:tcW w:w="800" w:type="dxa"/>
          </w:tcPr>
          <w:p w14:paraId="436E5120">
            <w:pPr>
              <w:spacing w:line="360" w:lineRule="auto"/>
              <w:ind w:firstLine="500" w:firstLineChars="200"/>
              <w:rPr>
                <w:rFonts w:ascii="宋体" w:hAnsi="宋体"/>
                <w:color w:val="auto"/>
                <w:position w:val="-42"/>
                <w:sz w:val="25"/>
                <w:highlight w:val="none"/>
              </w:rPr>
            </w:pPr>
          </w:p>
        </w:tc>
        <w:tc>
          <w:tcPr>
            <w:tcW w:w="800" w:type="dxa"/>
          </w:tcPr>
          <w:p w14:paraId="7A2B1B27">
            <w:pPr>
              <w:spacing w:line="360" w:lineRule="auto"/>
              <w:ind w:firstLine="500" w:firstLineChars="200"/>
              <w:rPr>
                <w:rFonts w:ascii="宋体" w:hAnsi="宋体"/>
                <w:color w:val="auto"/>
                <w:position w:val="-42"/>
                <w:sz w:val="25"/>
                <w:highlight w:val="none"/>
              </w:rPr>
            </w:pPr>
          </w:p>
        </w:tc>
        <w:tc>
          <w:tcPr>
            <w:tcW w:w="3700" w:type="dxa"/>
          </w:tcPr>
          <w:p w14:paraId="62BDA1E6">
            <w:pPr>
              <w:spacing w:line="360" w:lineRule="auto"/>
              <w:ind w:firstLine="500" w:firstLineChars="200"/>
              <w:rPr>
                <w:rFonts w:ascii="宋体" w:hAnsi="宋体"/>
                <w:color w:val="auto"/>
                <w:position w:val="-42"/>
                <w:sz w:val="25"/>
                <w:highlight w:val="none"/>
              </w:rPr>
            </w:pPr>
          </w:p>
        </w:tc>
      </w:tr>
      <w:tr w14:paraId="613201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964" w:type="dxa"/>
            <w:vMerge w:val="continue"/>
          </w:tcPr>
          <w:p w14:paraId="2A20A730">
            <w:pPr>
              <w:spacing w:line="360" w:lineRule="auto"/>
              <w:ind w:firstLine="500" w:firstLineChars="200"/>
              <w:rPr>
                <w:rFonts w:ascii="宋体" w:hAnsi="宋体"/>
                <w:color w:val="auto"/>
                <w:position w:val="-42"/>
                <w:sz w:val="25"/>
                <w:highlight w:val="none"/>
              </w:rPr>
            </w:pPr>
          </w:p>
        </w:tc>
        <w:tc>
          <w:tcPr>
            <w:tcW w:w="1500" w:type="dxa"/>
          </w:tcPr>
          <w:p w14:paraId="41BAAD6F">
            <w:pPr>
              <w:spacing w:line="360" w:lineRule="auto"/>
              <w:ind w:firstLine="500" w:firstLineChars="200"/>
              <w:rPr>
                <w:rFonts w:ascii="宋体" w:hAnsi="宋体"/>
                <w:color w:val="auto"/>
                <w:position w:val="-42"/>
                <w:sz w:val="25"/>
                <w:highlight w:val="none"/>
              </w:rPr>
            </w:pPr>
          </w:p>
        </w:tc>
        <w:tc>
          <w:tcPr>
            <w:tcW w:w="799" w:type="dxa"/>
          </w:tcPr>
          <w:p w14:paraId="319C62BA">
            <w:pPr>
              <w:spacing w:line="360" w:lineRule="auto"/>
              <w:ind w:firstLine="500" w:firstLineChars="200"/>
              <w:rPr>
                <w:rFonts w:ascii="宋体" w:hAnsi="宋体"/>
                <w:color w:val="auto"/>
                <w:position w:val="-42"/>
                <w:sz w:val="25"/>
                <w:highlight w:val="none"/>
              </w:rPr>
            </w:pPr>
          </w:p>
        </w:tc>
        <w:tc>
          <w:tcPr>
            <w:tcW w:w="800" w:type="dxa"/>
          </w:tcPr>
          <w:p w14:paraId="57844685">
            <w:pPr>
              <w:spacing w:line="360" w:lineRule="auto"/>
              <w:ind w:firstLine="500" w:firstLineChars="200"/>
              <w:rPr>
                <w:rFonts w:ascii="宋体" w:hAnsi="宋体"/>
                <w:color w:val="auto"/>
                <w:position w:val="-42"/>
                <w:sz w:val="25"/>
                <w:highlight w:val="none"/>
              </w:rPr>
            </w:pPr>
          </w:p>
        </w:tc>
        <w:tc>
          <w:tcPr>
            <w:tcW w:w="800" w:type="dxa"/>
          </w:tcPr>
          <w:p w14:paraId="08924B10">
            <w:pPr>
              <w:spacing w:line="360" w:lineRule="auto"/>
              <w:ind w:firstLine="500" w:firstLineChars="200"/>
              <w:rPr>
                <w:rFonts w:ascii="宋体" w:hAnsi="宋体"/>
                <w:color w:val="auto"/>
                <w:position w:val="-42"/>
                <w:sz w:val="25"/>
                <w:highlight w:val="none"/>
              </w:rPr>
            </w:pPr>
          </w:p>
        </w:tc>
        <w:tc>
          <w:tcPr>
            <w:tcW w:w="3700" w:type="dxa"/>
          </w:tcPr>
          <w:p w14:paraId="6F566A1E">
            <w:pPr>
              <w:spacing w:line="360" w:lineRule="auto"/>
              <w:ind w:firstLine="500" w:firstLineChars="200"/>
              <w:rPr>
                <w:rFonts w:ascii="宋体" w:hAnsi="宋体"/>
                <w:color w:val="auto"/>
                <w:position w:val="-42"/>
                <w:sz w:val="25"/>
                <w:highlight w:val="none"/>
              </w:rPr>
            </w:pPr>
          </w:p>
        </w:tc>
      </w:tr>
      <w:tr w14:paraId="1BF13E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964" w:type="dxa"/>
            <w:vMerge w:val="continue"/>
          </w:tcPr>
          <w:p w14:paraId="567AF2F4">
            <w:pPr>
              <w:spacing w:line="360" w:lineRule="auto"/>
              <w:ind w:firstLine="500" w:firstLineChars="200"/>
              <w:rPr>
                <w:rFonts w:ascii="宋体" w:hAnsi="宋体"/>
                <w:color w:val="auto"/>
                <w:position w:val="-42"/>
                <w:sz w:val="25"/>
                <w:highlight w:val="none"/>
              </w:rPr>
            </w:pPr>
          </w:p>
        </w:tc>
        <w:tc>
          <w:tcPr>
            <w:tcW w:w="1500" w:type="dxa"/>
          </w:tcPr>
          <w:p w14:paraId="45C7554E">
            <w:pPr>
              <w:spacing w:line="360" w:lineRule="auto"/>
              <w:ind w:firstLine="500" w:firstLineChars="200"/>
              <w:rPr>
                <w:rFonts w:ascii="宋体" w:hAnsi="宋体"/>
                <w:color w:val="auto"/>
                <w:position w:val="-42"/>
                <w:sz w:val="25"/>
                <w:highlight w:val="none"/>
              </w:rPr>
            </w:pPr>
          </w:p>
        </w:tc>
        <w:tc>
          <w:tcPr>
            <w:tcW w:w="799" w:type="dxa"/>
          </w:tcPr>
          <w:p w14:paraId="0B2062F0">
            <w:pPr>
              <w:spacing w:line="360" w:lineRule="auto"/>
              <w:ind w:firstLine="500" w:firstLineChars="200"/>
              <w:rPr>
                <w:rFonts w:ascii="宋体" w:hAnsi="宋体"/>
                <w:color w:val="auto"/>
                <w:position w:val="-42"/>
                <w:sz w:val="25"/>
                <w:highlight w:val="none"/>
              </w:rPr>
            </w:pPr>
          </w:p>
        </w:tc>
        <w:tc>
          <w:tcPr>
            <w:tcW w:w="800" w:type="dxa"/>
          </w:tcPr>
          <w:p w14:paraId="74803D3E">
            <w:pPr>
              <w:spacing w:line="360" w:lineRule="auto"/>
              <w:ind w:firstLine="500" w:firstLineChars="200"/>
              <w:rPr>
                <w:rFonts w:ascii="宋体" w:hAnsi="宋体"/>
                <w:color w:val="auto"/>
                <w:position w:val="-42"/>
                <w:sz w:val="25"/>
                <w:highlight w:val="none"/>
              </w:rPr>
            </w:pPr>
          </w:p>
        </w:tc>
        <w:tc>
          <w:tcPr>
            <w:tcW w:w="800" w:type="dxa"/>
          </w:tcPr>
          <w:p w14:paraId="76BA6C3B">
            <w:pPr>
              <w:spacing w:line="360" w:lineRule="auto"/>
              <w:ind w:firstLine="500" w:firstLineChars="200"/>
              <w:rPr>
                <w:rFonts w:ascii="宋体" w:hAnsi="宋体"/>
                <w:color w:val="auto"/>
                <w:position w:val="-42"/>
                <w:sz w:val="25"/>
                <w:highlight w:val="none"/>
              </w:rPr>
            </w:pPr>
          </w:p>
        </w:tc>
        <w:tc>
          <w:tcPr>
            <w:tcW w:w="3700" w:type="dxa"/>
          </w:tcPr>
          <w:p w14:paraId="68D7053F">
            <w:pPr>
              <w:spacing w:line="360" w:lineRule="auto"/>
              <w:ind w:firstLine="500" w:firstLineChars="200"/>
              <w:rPr>
                <w:rFonts w:ascii="宋体" w:hAnsi="宋体"/>
                <w:color w:val="auto"/>
                <w:position w:val="-42"/>
                <w:sz w:val="25"/>
                <w:highlight w:val="none"/>
              </w:rPr>
            </w:pPr>
          </w:p>
        </w:tc>
      </w:tr>
      <w:tr w14:paraId="462ACE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964" w:type="dxa"/>
            <w:vMerge w:val="restart"/>
          </w:tcPr>
          <w:p w14:paraId="1102C3B9">
            <w:pPr>
              <w:spacing w:line="360" w:lineRule="auto"/>
              <w:ind w:firstLine="500" w:firstLineChars="200"/>
              <w:jc w:val="center"/>
              <w:rPr>
                <w:rFonts w:ascii="宋体" w:hAnsi="宋体"/>
                <w:color w:val="auto"/>
                <w:position w:val="-42"/>
                <w:sz w:val="25"/>
                <w:highlight w:val="none"/>
              </w:rPr>
            </w:pPr>
          </w:p>
          <w:p w14:paraId="321B38BF">
            <w:pPr>
              <w:spacing w:line="360" w:lineRule="auto"/>
              <w:ind w:firstLine="500" w:firstLineChars="200"/>
              <w:jc w:val="center"/>
              <w:rPr>
                <w:rFonts w:ascii="宋体" w:hAnsi="宋体"/>
                <w:color w:val="auto"/>
                <w:position w:val="-42"/>
                <w:sz w:val="25"/>
                <w:highlight w:val="none"/>
              </w:rPr>
            </w:pPr>
          </w:p>
          <w:p w14:paraId="595CB520">
            <w:pPr>
              <w:spacing w:line="360" w:lineRule="auto"/>
              <w:rPr>
                <w:rFonts w:ascii="宋体" w:hAnsi="宋体"/>
                <w:color w:val="auto"/>
                <w:position w:val="-42"/>
                <w:sz w:val="25"/>
                <w:highlight w:val="none"/>
              </w:rPr>
            </w:pPr>
            <w:r>
              <w:rPr>
                <w:rFonts w:hint="eastAsia" w:ascii="宋体" w:hAnsi="宋体"/>
                <w:color w:val="auto"/>
                <w:position w:val="-42"/>
                <w:sz w:val="25"/>
                <w:highlight w:val="none"/>
              </w:rPr>
              <w:t>现</w:t>
            </w:r>
          </w:p>
          <w:p w14:paraId="549D803D">
            <w:pPr>
              <w:spacing w:line="360" w:lineRule="auto"/>
              <w:rPr>
                <w:rFonts w:ascii="宋体" w:hAnsi="宋体"/>
                <w:color w:val="auto"/>
                <w:position w:val="-42"/>
                <w:sz w:val="25"/>
                <w:highlight w:val="none"/>
              </w:rPr>
            </w:pPr>
            <w:r>
              <w:rPr>
                <w:rFonts w:hint="eastAsia" w:ascii="宋体" w:hAnsi="宋体"/>
                <w:color w:val="auto"/>
                <w:position w:val="-42"/>
                <w:sz w:val="25"/>
                <w:highlight w:val="none"/>
              </w:rPr>
              <w:t>场</w:t>
            </w:r>
          </w:p>
        </w:tc>
        <w:tc>
          <w:tcPr>
            <w:tcW w:w="1500" w:type="dxa"/>
          </w:tcPr>
          <w:p w14:paraId="394D886A">
            <w:pPr>
              <w:spacing w:line="360" w:lineRule="auto"/>
              <w:rPr>
                <w:rFonts w:ascii="宋体" w:hAnsi="宋体"/>
                <w:color w:val="auto"/>
                <w:position w:val="-42"/>
                <w:sz w:val="25"/>
                <w:highlight w:val="none"/>
              </w:rPr>
            </w:pPr>
            <w:r>
              <w:rPr>
                <w:rFonts w:hint="eastAsia" w:ascii="宋体" w:hAnsi="宋体"/>
                <w:color w:val="auto"/>
                <w:position w:val="-42"/>
                <w:sz w:val="25"/>
                <w:highlight w:val="none"/>
              </w:rPr>
              <w:t>项目负责人</w:t>
            </w:r>
          </w:p>
        </w:tc>
        <w:tc>
          <w:tcPr>
            <w:tcW w:w="799" w:type="dxa"/>
          </w:tcPr>
          <w:p w14:paraId="6E7725B1">
            <w:pPr>
              <w:spacing w:line="360" w:lineRule="auto"/>
              <w:ind w:firstLine="500" w:firstLineChars="200"/>
              <w:rPr>
                <w:rFonts w:ascii="宋体" w:hAnsi="宋体"/>
                <w:color w:val="auto"/>
                <w:position w:val="-42"/>
                <w:sz w:val="25"/>
                <w:highlight w:val="none"/>
              </w:rPr>
            </w:pPr>
          </w:p>
        </w:tc>
        <w:tc>
          <w:tcPr>
            <w:tcW w:w="800" w:type="dxa"/>
          </w:tcPr>
          <w:p w14:paraId="6BEDF9AC">
            <w:pPr>
              <w:spacing w:line="360" w:lineRule="auto"/>
              <w:ind w:firstLine="500" w:firstLineChars="200"/>
              <w:rPr>
                <w:rFonts w:ascii="宋体" w:hAnsi="宋体"/>
                <w:color w:val="auto"/>
                <w:position w:val="-42"/>
                <w:sz w:val="25"/>
                <w:highlight w:val="none"/>
              </w:rPr>
            </w:pPr>
          </w:p>
        </w:tc>
        <w:tc>
          <w:tcPr>
            <w:tcW w:w="800" w:type="dxa"/>
          </w:tcPr>
          <w:p w14:paraId="23903DC9">
            <w:pPr>
              <w:spacing w:line="360" w:lineRule="auto"/>
              <w:ind w:firstLine="500" w:firstLineChars="200"/>
              <w:rPr>
                <w:rFonts w:ascii="宋体" w:hAnsi="宋体"/>
                <w:color w:val="auto"/>
                <w:position w:val="-42"/>
                <w:sz w:val="25"/>
                <w:highlight w:val="none"/>
              </w:rPr>
            </w:pPr>
          </w:p>
        </w:tc>
        <w:tc>
          <w:tcPr>
            <w:tcW w:w="3700" w:type="dxa"/>
          </w:tcPr>
          <w:p w14:paraId="6F9F1D10">
            <w:pPr>
              <w:spacing w:line="360" w:lineRule="auto"/>
              <w:ind w:firstLine="500" w:firstLineChars="200"/>
              <w:rPr>
                <w:rFonts w:ascii="宋体" w:hAnsi="宋体"/>
                <w:color w:val="auto"/>
                <w:position w:val="-42"/>
                <w:sz w:val="25"/>
                <w:highlight w:val="none"/>
              </w:rPr>
            </w:pPr>
          </w:p>
        </w:tc>
      </w:tr>
      <w:tr w14:paraId="3B5E6BC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964" w:type="dxa"/>
            <w:vMerge w:val="continue"/>
          </w:tcPr>
          <w:p w14:paraId="734F15C1">
            <w:pPr>
              <w:spacing w:line="360" w:lineRule="auto"/>
              <w:ind w:firstLine="500" w:firstLineChars="200"/>
              <w:rPr>
                <w:rFonts w:ascii="宋体" w:hAnsi="宋体"/>
                <w:color w:val="auto"/>
                <w:position w:val="-42"/>
                <w:sz w:val="25"/>
                <w:highlight w:val="none"/>
              </w:rPr>
            </w:pPr>
          </w:p>
        </w:tc>
        <w:tc>
          <w:tcPr>
            <w:tcW w:w="1500" w:type="dxa"/>
          </w:tcPr>
          <w:p w14:paraId="3C0277A9">
            <w:pPr>
              <w:spacing w:line="360" w:lineRule="auto"/>
              <w:rPr>
                <w:rFonts w:ascii="宋体" w:hAnsi="宋体"/>
                <w:color w:val="auto"/>
                <w:position w:val="-42"/>
                <w:sz w:val="25"/>
                <w:highlight w:val="none"/>
              </w:rPr>
            </w:pPr>
            <w:r>
              <w:rPr>
                <w:rFonts w:hint="eastAsia" w:ascii="宋体" w:hAnsi="宋体"/>
                <w:color w:val="auto"/>
                <w:position w:val="-42"/>
                <w:sz w:val="25"/>
                <w:highlight w:val="none"/>
              </w:rPr>
              <w:t>技术负责人</w:t>
            </w:r>
          </w:p>
        </w:tc>
        <w:tc>
          <w:tcPr>
            <w:tcW w:w="799" w:type="dxa"/>
          </w:tcPr>
          <w:p w14:paraId="45B5739F">
            <w:pPr>
              <w:spacing w:line="360" w:lineRule="auto"/>
              <w:ind w:firstLine="500" w:firstLineChars="200"/>
              <w:rPr>
                <w:rFonts w:ascii="宋体" w:hAnsi="宋体"/>
                <w:color w:val="auto"/>
                <w:position w:val="-42"/>
                <w:sz w:val="25"/>
                <w:highlight w:val="none"/>
              </w:rPr>
            </w:pPr>
          </w:p>
        </w:tc>
        <w:tc>
          <w:tcPr>
            <w:tcW w:w="800" w:type="dxa"/>
          </w:tcPr>
          <w:p w14:paraId="5D2183CF">
            <w:pPr>
              <w:spacing w:line="360" w:lineRule="auto"/>
              <w:ind w:firstLine="500" w:firstLineChars="200"/>
              <w:rPr>
                <w:rFonts w:ascii="宋体" w:hAnsi="宋体"/>
                <w:color w:val="auto"/>
                <w:position w:val="-42"/>
                <w:sz w:val="25"/>
                <w:highlight w:val="none"/>
              </w:rPr>
            </w:pPr>
          </w:p>
        </w:tc>
        <w:tc>
          <w:tcPr>
            <w:tcW w:w="800" w:type="dxa"/>
          </w:tcPr>
          <w:p w14:paraId="69CA8F5D">
            <w:pPr>
              <w:spacing w:line="360" w:lineRule="auto"/>
              <w:ind w:firstLine="500" w:firstLineChars="200"/>
              <w:rPr>
                <w:rFonts w:ascii="宋体" w:hAnsi="宋体"/>
                <w:color w:val="auto"/>
                <w:position w:val="-42"/>
                <w:sz w:val="25"/>
                <w:highlight w:val="none"/>
              </w:rPr>
            </w:pPr>
          </w:p>
        </w:tc>
        <w:tc>
          <w:tcPr>
            <w:tcW w:w="3700" w:type="dxa"/>
          </w:tcPr>
          <w:p w14:paraId="1AEAC398">
            <w:pPr>
              <w:spacing w:line="360" w:lineRule="auto"/>
              <w:ind w:firstLine="500" w:firstLineChars="200"/>
              <w:rPr>
                <w:rFonts w:ascii="宋体" w:hAnsi="宋体"/>
                <w:color w:val="auto"/>
                <w:position w:val="-42"/>
                <w:sz w:val="25"/>
                <w:highlight w:val="none"/>
              </w:rPr>
            </w:pPr>
          </w:p>
        </w:tc>
      </w:tr>
      <w:tr w14:paraId="3831E0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964" w:type="dxa"/>
            <w:vMerge w:val="continue"/>
          </w:tcPr>
          <w:p w14:paraId="30593E55">
            <w:pPr>
              <w:spacing w:line="360" w:lineRule="auto"/>
              <w:ind w:firstLine="500" w:firstLineChars="200"/>
              <w:rPr>
                <w:rFonts w:ascii="宋体" w:hAnsi="宋体"/>
                <w:color w:val="auto"/>
                <w:position w:val="-42"/>
                <w:sz w:val="25"/>
                <w:highlight w:val="none"/>
              </w:rPr>
            </w:pPr>
          </w:p>
        </w:tc>
        <w:tc>
          <w:tcPr>
            <w:tcW w:w="1500" w:type="dxa"/>
          </w:tcPr>
          <w:p w14:paraId="6AB90D95">
            <w:pPr>
              <w:spacing w:line="360" w:lineRule="auto"/>
              <w:rPr>
                <w:rFonts w:ascii="宋体" w:hAnsi="宋体"/>
                <w:color w:val="auto"/>
                <w:position w:val="-42"/>
                <w:sz w:val="25"/>
                <w:highlight w:val="none"/>
              </w:rPr>
            </w:pPr>
            <w:r>
              <w:rPr>
                <w:rFonts w:hint="eastAsia" w:ascii="宋体" w:hAnsi="宋体"/>
                <w:color w:val="auto"/>
                <w:position w:val="-42"/>
                <w:sz w:val="25"/>
                <w:highlight w:val="none"/>
              </w:rPr>
              <w:t>质检员</w:t>
            </w:r>
          </w:p>
        </w:tc>
        <w:tc>
          <w:tcPr>
            <w:tcW w:w="799" w:type="dxa"/>
          </w:tcPr>
          <w:p w14:paraId="584AEAA3">
            <w:pPr>
              <w:spacing w:line="360" w:lineRule="auto"/>
              <w:ind w:firstLine="500" w:firstLineChars="200"/>
              <w:rPr>
                <w:rFonts w:ascii="宋体" w:hAnsi="宋体"/>
                <w:color w:val="auto"/>
                <w:position w:val="-42"/>
                <w:sz w:val="25"/>
                <w:highlight w:val="none"/>
              </w:rPr>
            </w:pPr>
          </w:p>
        </w:tc>
        <w:tc>
          <w:tcPr>
            <w:tcW w:w="800" w:type="dxa"/>
          </w:tcPr>
          <w:p w14:paraId="4D18636E">
            <w:pPr>
              <w:spacing w:line="360" w:lineRule="auto"/>
              <w:ind w:firstLine="500" w:firstLineChars="200"/>
              <w:rPr>
                <w:rFonts w:ascii="宋体" w:hAnsi="宋体"/>
                <w:color w:val="auto"/>
                <w:position w:val="-42"/>
                <w:sz w:val="25"/>
                <w:highlight w:val="none"/>
              </w:rPr>
            </w:pPr>
          </w:p>
        </w:tc>
        <w:tc>
          <w:tcPr>
            <w:tcW w:w="800" w:type="dxa"/>
          </w:tcPr>
          <w:p w14:paraId="3BAB423C">
            <w:pPr>
              <w:spacing w:line="360" w:lineRule="auto"/>
              <w:ind w:firstLine="500" w:firstLineChars="200"/>
              <w:rPr>
                <w:rFonts w:ascii="宋体" w:hAnsi="宋体"/>
                <w:color w:val="auto"/>
                <w:position w:val="-42"/>
                <w:sz w:val="25"/>
                <w:highlight w:val="none"/>
              </w:rPr>
            </w:pPr>
          </w:p>
        </w:tc>
        <w:tc>
          <w:tcPr>
            <w:tcW w:w="3700" w:type="dxa"/>
          </w:tcPr>
          <w:p w14:paraId="3418D861">
            <w:pPr>
              <w:spacing w:line="360" w:lineRule="auto"/>
              <w:ind w:firstLine="500" w:firstLineChars="200"/>
              <w:rPr>
                <w:rFonts w:ascii="宋体" w:hAnsi="宋体"/>
                <w:color w:val="auto"/>
                <w:position w:val="-42"/>
                <w:sz w:val="25"/>
                <w:highlight w:val="none"/>
              </w:rPr>
            </w:pPr>
          </w:p>
        </w:tc>
      </w:tr>
      <w:tr w14:paraId="5F1D9C7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964" w:type="dxa"/>
            <w:vMerge w:val="continue"/>
          </w:tcPr>
          <w:p w14:paraId="6C74B703">
            <w:pPr>
              <w:spacing w:line="360" w:lineRule="auto"/>
              <w:ind w:firstLine="500" w:firstLineChars="200"/>
              <w:rPr>
                <w:rFonts w:ascii="宋体" w:hAnsi="宋体"/>
                <w:color w:val="auto"/>
                <w:position w:val="-42"/>
                <w:sz w:val="25"/>
                <w:highlight w:val="none"/>
              </w:rPr>
            </w:pPr>
          </w:p>
        </w:tc>
        <w:tc>
          <w:tcPr>
            <w:tcW w:w="1500" w:type="dxa"/>
          </w:tcPr>
          <w:p w14:paraId="549DDE08">
            <w:pPr>
              <w:spacing w:line="360" w:lineRule="auto"/>
              <w:rPr>
                <w:rFonts w:ascii="宋体" w:hAnsi="宋体"/>
                <w:color w:val="auto"/>
                <w:position w:val="-42"/>
                <w:sz w:val="25"/>
                <w:highlight w:val="none"/>
              </w:rPr>
            </w:pPr>
            <w:r>
              <w:rPr>
                <w:rFonts w:hint="eastAsia" w:ascii="宋体" w:hAnsi="宋体"/>
                <w:color w:val="auto"/>
                <w:position w:val="-42"/>
                <w:sz w:val="25"/>
                <w:highlight w:val="none"/>
              </w:rPr>
              <w:t>安全员</w:t>
            </w:r>
          </w:p>
        </w:tc>
        <w:tc>
          <w:tcPr>
            <w:tcW w:w="799" w:type="dxa"/>
          </w:tcPr>
          <w:p w14:paraId="475BC122">
            <w:pPr>
              <w:spacing w:line="360" w:lineRule="auto"/>
              <w:ind w:firstLine="500" w:firstLineChars="200"/>
              <w:rPr>
                <w:rFonts w:ascii="宋体" w:hAnsi="宋体"/>
                <w:color w:val="auto"/>
                <w:position w:val="-42"/>
                <w:sz w:val="25"/>
                <w:highlight w:val="none"/>
              </w:rPr>
            </w:pPr>
          </w:p>
        </w:tc>
        <w:tc>
          <w:tcPr>
            <w:tcW w:w="800" w:type="dxa"/>
          </w:tcPr>
          <w:p w14:paraId="260D023B">
            <w:pPr>
              <w:spacing w:line="360" w:lineRule="auto"/>
              <w:ind w:firstLine="500" w:firstLineChars="200"/>
              <w:rPr>
                <w:rFonts w:ascii="宋体" w:hAnsi="宋体"/>
                <w:color w:val="auto"/>
                <w:position w:val="-42"/>
                <w:sz w:val="25"/>
                <w:highlight w:val="none"/>
              </w:rPr>
            </w:pPr>
          </w:p>
        </w:tc>
        <w:tc>
          <w:tcPr>
            <w:tcW w:w="800" w:type="dxa"/>
          </w:tcPr>
          <w:p w14:paraId="5C1B52D8">
            <w:pPr>
              <w:spacing w:line="360" w:lineRule="auto"/>
              <w:ind w:firstLine="500" w:firstLineChars="200"/>
              <w:rPr>
                <w:rFonts w:ascii="宋体" w:hAnsi="宋体"/>
                <w:color w:val="auto"/>
                <w:position w:val="-42"/>
                <w:sz w:val="25"/>
                <w:highlight w:val="none"/>
              </w:rPr>
            </w:pPr>
          </w:p>
        </w:tc>
        <w:tc>
          <w:tcPr>
            <w:tcW w:w="3700" w:type="dxa"/>
          </w:tcPr>
          <w:p w14:paraId="1F461844">
            <w:pPr>
              <w:spacing w:line="360" w:lineRule="auto"/>
              <w:ind w:firstLine="500" w:firstLineChars="200"/>
              <w:rPr>
                <w:rFonts w:ascii="宋体" w:hAnsi="宋体"/>
                <w:color w:val="auto"/>
                <w:position w:val="-42"/>
                <w:sz w:val="25"/>
                <w:highlight w:val="none"/>
              </w:rPr>
            </w:pPr>
          </w:p>
        </w:tc>
      </w:tr>
      <w:tr w14:paraId="6BCEE2D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964" w:type="dxa"/>
            <w:vMerge w:val="continue"/>
          </w:tcPr>
          <w:p w14:paraId="0E08E1DE">
            <w:pPr>
              <w:spacing w:line="360" w:lineRule="auto"/>
              <w:ind w:firstLine="500" w:firstLineChars="200"/>
              <w:rPr>
                <w:rFonts w:ascii="宋体" w:hAnsi="宋体"/>
                <w:color w:val="auto"/>
                <w:position w:val="-42"/>
                <w:sz w:val="25"/>
                <w:highlight w:val="none"/>
              </w:rPr>
            </w:pPr>
          </w:p>
        </w:tc>
        <w:tc>
          <w:tcPr>
            <w:tcW w:w="1500" w:type="dxa"/>
          </w:tcPr>
          <w:p w14:paraId="05CDCA8F">
            <w:pPr>
              <w:spacing w:line="360" w:lineRule="auto"/>
              <w:rPr>
                <w:rFonts w:ascii="宋体" w:hAnsi="宋体"/>
                <w:color w:val="auto"/>
                <w:position w:val="-42"/>
                <w:sz w:val="25"/>
                <w:highlight w:val="none"/>
              </w:rPr>
            </w:pPr>
            <w:r>
              <w:rPr>
                <w:rFonts w:hint="eastAsia" w:ascii="宋体" w:hAnsi="宋体"/>
                <w:color w:val="auto"/>
                <w:position w:val="-42"/>
                <w:sz w:val="25"/>
                <w:highlight w:val="none"/>
              </w:rPr>
              <w:t>施工员</w:t>
            </w:r>
          </w:p>
        </w:tc>
        <w:tc>
          <w:tcPr>
            <w:tcW w:w="799" w:type="dxa"/>
          </w:tcPr>
          <w:p w14:paraId="42E0794F">
            <w:pPr>
              <w:spacing w:line="360" w:lineRule="auto"/>
              <w:ind w:firstLine="500" w:firstLineChars="200"/>
              <w:rPr>
                <w:rFonts w:ascii="宋体" w:hAnsi="宋体"/>
                <w:color w:val="auto"/>
                <w:position w:val="-42"/>
                <w:sz w:val="25"/>
                <w:highlight w:val="none"/>
              </w:rPr>
            </w:pPr>
          </w:p>
        </w:tc>
        <w:tc>
          <w:tcPr>
            <w:tcW w:w="800" w:type="dxa"/>
          </w:tcPr>
          <w:p w14:paraId="389AAFBB">
            <w:pPr>
              <w:spacing w:line="360" w:lineRule="auto"/>
              <w:ind w:firstLine="500" w:firstLineChars="200"/>
              <w:rPr>
                <w:rFonts w:ascii="宋体" w:hAnsi="宋体"/>
                <w:color w:val="auto"/>
                <w:position w:val="-42"/>
                <w:sz w:val="25"/>
                <w:highlight w:val="none"/>
              </w:rPr>
            </w:pPr>
          </w:p>
        </w:tc>
        <w:tc>
          <w:tcPr>
            <w:tcW w:w="800" w:type="dxa"/>
          </w:tcPr>
          <w:p w14:paraId="21545F38">
            <w:pPr>
              <w:spacing w:line="360" w:lineRule="auto"/>
              <w:ind w:firstLine="500" w:firstLineChars="200"/>
              <w:rPr>
                <w:rFonts w:ascii="宋体" w:hAnsi="宋体"/>
                <w:color w:val="auto"/>
                <w:position w:val="-42"/>
                <w:sz w:val="25"/>
                <w:highlight w:val="none"/>
              </w:rPr>
            </w:pPr>
          </w:p>
        </w:tc>
        <w:tc>
          <w:tcPr>
            <w:tcW w:w="3700" w:type="dxa"/>
          </w:tcPr>
          <w:p w14:paraId="3CD5A95B">
            <w:pPr>
              <w:spacing w:line="360" w:lineRule="auto"/>
              <w:ind w:firstLine="500" w:firstLineChars="200"/>
              <w:rPr>
                <w:rFonts w:ascii="宋体" w:hAnsi="宋体"/>
                <w:color w:val="auto"/>
                <w:position w:val="-42"/>
                <w:sz w:val="25"/>
                <w:highlight w:val="none"/>
              </w:rPr>
            </w:pPr>
          </w:p>
        </w:tc>
      </w:tr>
      <w:tr w14:paraId="7171918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964" w:type="dxa"/>
            <w:vMerge w:val="continue"/>
          </w:tcPr>
          <w:p w14:paraId="7AE2648B">
            <w:pPr>
              <w:spacing w:line="360" w:lineRule="auto"/>
              <w:ind w:firstLine="500" w:firstLineChars="200"/>
              <w:rPr>
                <w:rFonts w:ascii="宋体" w:hAnsi="宋体"/>
                <w:color w:val="auto"/>
                <w:position w:val="-42"/>
                <w:sz w:val="25"/>
                <w:highlight w:val="none"/>
              </w:rPr>
            </w:pPr>
          </w:p>
        </w:tc>
        <w:tc>
          <w:tcPr>
            <w:tcW w:w="1500" w:type="dxa"/>
          </w:tcPr>
          <w:p w14:paraId="5A38191D">
            <w:pPr>
              <w:spacing w:line="360" w:lineRule="auto"/>
              <w:ind w:firstLine="500" w:firstLineChars="200"/>
              <w:rPr>
                <w:rFonts w:ascii="宋体" w:hAnsi="宋体"/>
                <w:color w:val="auto"/>
                <w:position w:val="-42"/>
                <w:sz w:val="25"/>
                <w:highlight w:val="none"/>
              </w:rPr>
            </w:pPr>
          </w:p>
        </w:tc>
        <w:tc>
          <w:tcPr>
            <w:tcW w:w="799" w:type="dxa"/>
          </w:tcPr>
          <w:p w14:paraId="352847AD">
            <w:pPr>
              <w:spacing w:line="360" w:lineRule="auto"/>
              <w:ind w:firstLine="500" w:firstLineChars="200"/>
              <w:rPr>
                <w:rFonts w:ascii="宋体" w:hAnsi="宋体"/>
                <w:color w:val="auto"/>
                <w:position w:val="-42"/>
                <w:sz w:val="25"/>
                <w:highlight w:val="none"/>
              </w:rPr>
            </w:pPr>
          </w:p>
        </w:tc>
        <w:tc>
          <w:tcPr>
            <w:tcW w:w="800" w:type="dxa"/>
          </w:tcPr>
          <w:p w14:paraId="65527F07">
            <w:pPr>
              <w:spacing w:line="360" w:lineRule="auto"/>
              <w:ind w:firstLine="500" w:firstLineChars="200"/>
              <w:rPr>
                <w:rFonts w:ascii="宋体" w:hAnsi="宋体"/>
                <w:color w:val="auto"/>
                <w:position w:val="-42"/>
                <w:sz w:val="25"/>
                <w:highlight w:val="none"/>
              </w:rPr>
            </w:pPr>
          </w:p>
        </w:tc>
        <w:tc>
          <w:tcPr>
            <w:tcW w:w="800" w:type="dxa"/>
          </w:tcPr>
          <w:p w14:paraId="28E01ED0">
            <w:pPr>
              <w:spacing w:line="360" w:lineRule="auto"/>
              <w:ind w:firstLine="500" w:firstLineChars="200"/>
              <w:rPr>
                <w:rFonts w:ascii="宋体" w:hAnsi="宋体"/>
                <w:color w:val="auto"/>
                <w:position w:val="-42"/>
                <w:sz w:val="25"/>
                <w:highlight w:val="none"/>
              </w:rPr>
            </w:pPr>
          </w:p>
        </w:tc>
        <w:tc>
          <w:tcPr>
            <w:tcW w:w="3700" w:type="dxa"/>
          </w:tcPr>
          <w:p w14:paraId="390AE149">
            <w:pPr>
              <w:spacing w:line="360" w:lineRule="auto"/>
              <w:ind w:firstLine="500" w:firstLineChars="200"/>
              <w:rPr>
                <w:rFonts w:ascii="宋体" w:hAnsi="宋体"/>
                <w:color w:val="auto"/>
                <w:position w:val="-42"/>
                <w:sz w:val="25"/>
                <w:highlight w:val="none"/>
              </w:rPr>
            </w:pPr>
          </w:p>
        </w:tc>
      </w:tr>
      <w:tr w14:paraId="0C260F5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964" w:type="dxa"/>
            <w:vMerge w:val="continue"/>
          </w:tcPr>
          <w:p w14:paraId="2CE99482">
            <w:pPr>
              <w:spacing w:line="360" w:lineRule="auto"/>
              <w:ind w:firstLine="500" w:firstLineChars="200"/>
              <w:rPr>
                <w:rFonts w:ascii="宋体" w:hAnsi="宋体"/>
                <w:color w:val="auto"/>
                <w:position w:val="-30"/>
                <w:sz w:val="25"/>
                <w:highlight w:val="none"/>
              </w:rPr>
            </w:pPr>
          </w:p>
        </w:tc>
        <w:tc>
          <w:tcPr>
            <w:tcW w:w="1500" w:type="dxa"/>
          </w:tcPr>
          <w:p w14:paraId="17F30164">
            <w:pPr>
              <w:spacing w:line="360" w:lineRule="auto"/>
              <w:ind w:firstLine="500" w:firstLineChars="200"/>
              <w:rPr>
                <w:rFonts w:ascii="宋体" w:hAnsi="宋体"/>
                <w:color w:val="auto"/>
                <w:position w:val="-30"/>
                <w:sz w:val="25"/>
                <w:highlight w:val="none"/>
              </w:rPr>
            </w:pPr>
          </w:p>
        </w:tc>
        <w:tc>
          <w:tcPr>
            <w:tcW w:w="799" w:type="dxa"/>
          </w:tcPr>
          <w:p w14:paraId="60891BB7">
            <w:pPr>
              <w:spacing w:line="360" w:lineRule="auto"/>
              <w:ind w:firstLine="500" w:firstLineChars="200"/>
              <w:rPr>
                <w:rFonts w:ascii="宋体" w:hAnsi="宋体"/>
                <w:color w:val="auto"/>
                <w:position w:val="-30"/>
                <w:sz w:val="25"/>
                <w:highlight w:val="none"/>
              </w:rPr>
            </w:pPr>
          </w:p>
        </w:tc>
        <w:tc>
          <w:tcPr>
            <w:tcW w:w="800" w:type="dxa"/>
          </w:tcPr>
          <w:p w14:paraId="06F912C7">
            <w:pPr>
              <w:spacing w:line="360" w:lineRule="auto"/>
              <w:ind w:firstLine="500" w:firstLineChars="200"/>
              <w:rPr>
                <w:rFonts w:ascii="宋体" w:hAnsi="宋体"/>
                <w:color w:val="auto"/>
                <w:position w:val="-30"/>
                <w:sz w:val="25"/>
                <w:highlight w:val="none"/>
              </w:rPr>
            </w:pPr>
          </w:p>
        </w:tc>
        <w:tc>
          <w:tcPr>
            <w:tcW w:w="800" w:type="dxa"/>
          </w:tcPr>
          <w:p w14:paraId="1C5200DC">
            <w:pPr>
              <w:spacing w:line="360" w:lineRule="auto"/>
              <w:ind w:firstLine="500" w:firstLineChars="200"/>
              <w:rPr>
                <w:rFonts w:ascii="宋体" w:hAnsi="宋体"/>
                <w:color w:val="auto"/>
                <w:position w:val="-30"/>
                <w:sz w:val="25"/>
                <w:highlight w:val="none"/>
              </w:rPr>
            </w:pPr>
          </w:p>
        </w:tc>
        <w:tc>
          <w:tcPr>
            <w:tcW w:w="3700" w:type="dxa"/>
          </w:tcPr>
          <w:p w14:paraId="10F7C3FA">
            <w:pPr>
              <w:spacing w:line="360" w:lineRule="auto"/>
              <w:ind w:firstLine="500" w:firstLineChars="200"/>
              <w:rPr>
                <w:rFonts w:ascii="宋体" w:hAnsi="宋体"/>
                <w:color w:val="auto"/>
                <w:position w:val="-30"/>
                <w:sz w:val="25"/>
                <w:highlight w:val="none"/>
              </w:rPr>
            </w:pPr>
          </w:p>
        </w:tc>
      </w:tr>
      <w:tr w14:paraId="3D345D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964" w:type="dxa"/>
            <w:vMerge w:val="continue"/>
          </w:tcPr>
          <w:p w14:paraId="2B261A19">
            <w:pPr>
              <w:spacing w:line="360" w:lineRule="auto"/>
              <w:ind w:firstLine="500" w:firstLineChars="200"/>
              <w:rPr>
                <w:rFonts w:ascii="宋体" w:hAnsi="宋体"/>
                <w:color w:val="auto"/>
                <w:position w:val="-30"/>
                <w:sz w:val="25"/>
                <w:highlight w:val="none"/>
              </w:rPr>
            </w:pPr>
          </w:p>
        </w:tc>
        <w:tc>
          <w:tcPr>
            <w:tcW w:w="1500" w:type="dxa"/>
          </w:tcPr>
          <w:p w14:paraId="6FC40719">
            <w:pPr>
              <w:spacing w:line="360" w:lineRule="auto"/>
              <w:ind w:firstLine="500" w:firstLineChars="200"/>
              <w:rPr>
                <w:rFonts w:ascii="宋体" w:hAnsi="宋体"/>
                <w:color w:val="auto"/>
                <w:position w:val="-30"/>
                <w:sz w:val="25"/>
                <w:highlight w:val="none"/>
              </w:rPr>
            </w:pPr>
          </w:p>
        </w:tc>
        <w:tc>
          <w:tcPr>
            <w:tcW w:w="799" w:type="dxa"/>
          </w:tcPr>
          <w:p w14:paraId="4E513800">
            <w:pPr>
              <w:spacing w:line="360" w:lineRule="auto"/>
              <w:ind w:firstLine="500" w:firstLineChars="200"/>
              <w:rPr>
                <w:rFonts w:ascii="宋体" w:hAnsi="宋体"/>
                <w:color w:val="auto"/>
                <w:position w:val="-30"/>
                <w:sz w:val="25"/>
                <w:highlight w:val="none"/>
              </w:rPr>
            </w:pPr>
          </w:p>
        </w:tc>
        <w:tc>
          <w:tcPr>
            <w:tcW w:w="800" w:type="dxa"/>
          </w:tcPr>
          <w:p w14:paraId="1CDE43D3">
            <w:pPr>
              <w:spacing w:line="360" w:lineRule="auto"/>
              <w:ind w:firstLine="500" w:firstLineChars="200"/>
              <w:rPr>
                <w:rFonts w:ascii="宋体" w:hAnsi="宋体"/>
                <w:color w:val="auto"/>
                <w:position w:val="-30"/>
                <w:sz w:val="25"/>
                <w:highlight w:val="none"/>
              </w:rPr>
            </w:pPr>
          </w:p>
        </w:tc>
        <w:tc>
          <w:tcPr>
            <w:tcW w:w="800" w:type="dxa"/>
          </w:tcPr>
          <w:p w14:paraId="15DCB7BE">
            <w:pPr>
              <w:spacing w:line="360" w:lineRule="auto"/>
              <w:ind w:firstLine="500" w:firstLineChars="200"/>
              <w:rPr>
                <w:rFonts w:ascii="宋体" w:hAnsi="宋体"/>
                <w:color w:val="auto"/>
                <w:position w:val="-30"/>
                <w:sz w:val="25"/>
                <w:highlight w:val="none"/>
              </w:rPr>
            </w:pPr>
          </w:p>
        </w:tc>
        <w:tc>
          <w:tcPr>
            <w:tcW w:w="3700" w:type="dxa"/>
          </w:tcPr>
          <w:p w14:paraId="4F81AF71">
            <w:pPr>
              <w:spacing w:line="360" w:lineRule="auto"/>
              <w:ind w:firstLine="500" w:firstLineChars="200"/>
              <w:rPr>
                <w:rFonts w:ascii="宋体" w:hAnsi="宋体"/>
                <w:color w:val="auto"/>
                <w:position w:val="-30"/>
                <w:sz w:val="25"/>
                <w:highlight w:val="none"/>
              </w:rPr>
            </w:pPr>
          </w:p>
        </w:tc>
      </w:tr>
      <w:tr w14:paraId="25E0598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jc w:val="center"/>
        </w:trPr>
        <w:tc>
          <w:tcPr>
            <w:tcW w:w="964" w:type="dxa"/>
            <w:vMerge w:val="continue"/>
          </w:tcPr>
          <w:p w14:paraId="1CF268C9">
            <w:pPr>
              <w:spacing w:line="360" w:lineRule="auto"/>
              <w:ind w:firstLine="500" w:firstLineChars="200"/>
              <w:rPr>
                <w:rFonts w:ascii="宋体" w:hAnsi="宋体"/>
                <w:color w:val="auto"/>
                <w:position w:val="-30"/>
                <w:sz w:val="25"/>
                <w:highlight w:val="none"/>
              </w:rPr>
            </w:pPr>
          </w:p>
        </w:tc>
        <w:tc>
          <w:tcPr>
            <w:tcW w:w="1500" w:type="dxa"/>
          </w:tcPr>
          <w:p w14:paraId="1AAAB699">
            <w:pPr>
              <w:spacing w:line="360" w:lineRule="auto"/>
              <w:ind w:firstLine="500" w:firstLineChars="200"/>
              <w:rPr>
                <w:rFonts w:ascii="宋体" w:hAnsi="宋体"/>
                <w:color w:val="auto"/>
                <w:position w:val="-30"/>
                <w:sz w:val="25"/>
                <w:highlight w:val="none"/>
              </w:rPr>
            </w:pPr>
          </w:p>
        </w:tc>
        <w:tc>
          <w:tcPr>
            <w:tcW w:w="799" w:type="dxa"/>
          </w:tcPr>
          <w:p w14:paraId="222BBB50">
            <w:pPr>
              <w:spacing w:line="360" w:lineRule="auto"/>
              <w:ind w:firstLine="500" w:firstLineChars="200"/>
              <w:rPr>
                <w:rFonts w:ascii="宋体" w:hAnsi="宋体"/>
                <w:color w:val="auto"/>
                <w:position w:val="-30"/>
                <w:sz w:val="25"/>
                <w:highlight w:val="none"/>
              </w:rPr>
            </w:pPr>
          </w:p>
        </w:tc>
        <w:tc>
          <w:tcPr>
            <w:tcW w:w="800" w:type="dxa"/>
          </w:tcPr>
          <w:p w14:paraId="02BDBA97">
            <w:pPr>
              <w:spacing w:line="360" w:lineRule="auto"/>
              <w:ind w:firstLine="500" w:firstLineChars="200"/>
              <w:rPr>
                <w:rFonts w:ascii="宋体" w:hAnsi="宋体"/>
                <w:color w:val="auto"/>
                <w:position w:val="-30"/>
                <w:sz w:val="25"/>
                <w:highlight w:val="none"/>
              </w:rPr>
            </w:pPr>
          </w:p>
        </w:tc>
        <w:tc>
          <w:tcPr>
            <w:tcW w:w="800" w:type="dxa"/>
          </w:tcPr>
          <w:p w14:paraId="43ABF41E">
            <w:pPr>
              <w:spacing w:line="360" w:lineRule="auto"/>
              <w:ind w:firstLine="500" w:firstLineChars="200"/>
              <w:rPr>
                <w:rFonts w:ascii="宋体" w:hAnsi="宋体"/>
                <w:color w:val="auto"/>
                <w:position w:val="-30"/>
                <w:sz w:val="25"/>
                <w:highlight w:val="none"/>
              </w:rPr>
            </w:pPr>
          </w:p>
        </w:tc>
        <w:tc>
          <w:tcPr>
            <w:tcW w:w="3700" w:type="dxa"/>
          </w:tcPr>
          <w:p w14:paraId="36C104C2">
            <w:pPr>
              <w:spacing w:line="360" w:lineRule="auto"/>
              <w:ind w:firstLine="500" w:firstLineChars="200"/>
              <w:jc w:val="center"/>
              <w:rPr>
                <w:rFonts w:ascii="宋体" w:hAnsi="宋体"/>
                <w:color w:val="auto"/>
                <w:position w:val="-30"/>
                <w:sz w:val="25"/>
                <w:highlight w:val="none"/>
              </w:rPr>
            </w:pPr>
          </w:p>
        </w:tc>
      </w:tr>
    </w:tbl>
    <w:p w14:paraId="2AD640DE">
      <w:pPr>
        <w:spacing w:line="360" w:lineRule="auto"/>
        <w:ind w:firstLine="360" w:firstLineChars="200"/>
        <w:jc w:val="right"/>
        <w:rPr>
          <w:rFonts w:ascii="宋体" w:hAnsi="宋体"/>
          <w:color w:val="auto"/>
          <w:sz w:val="18"/>
          <w:szCs w:val="18"/>
          <w:highlight w:val="none"/>
        </w:rPr>
      </w:pPr>
    </w:p>
    <w:bookmarkEnd w:id="153"/>
    <w:p w14:paraId="7883556B">
      <w:pPr>
        <w:spacing w:line="360" w:lineRule="auto"/>
        <w:rPr>
          <w:rFonts w:ascii="宋体" w:hAnsi="宋体"/>
          <w:color w:val="auto"/>
          <w:highlight w:val="none"/>
        </w:rPr>
      </w:pPr>
    </w:p>
    <w:p w14:paraId="6170E2BB">
      <w:pPr>
        <w:pStyle w:val="2"/>
        <w:spacing w:line="360" w:lineRule="auto"/>
        <w:jc w:val="center"/>
        <w:rPr>
          <w:rFonts w:ascii="宋体" w:hAnsi="宋体"/>
          <w:color w:val="auto"/>
          <w:sz w:val="36"/>
          <w:highlight w:val="none"/>
        </w:rPr>
      </w:pPr>
      <w:bookmarkStart w:id="154" w:name="_Toc404159964"/>
      <w:bookmarkStart w:id="155" w:name="_Toc404174022"/>
      <w:r>
        <w:rPr>
          <w:rFonts w:hint="eastAsia" w:ascii="宋体" w:hAnsi="宋体"/>
          <w:color w:val="auto"/>
          <w:sz w:val="36"/>
          <w:highlight w:val="none"/>
        </w:rPr>
        <w:t>第七章</w:t>
      </w:r>
      <w:bookmarkStart w:id="156" w:name="_Toc262456721"/>
      <w:bookmarkStart w:id="157" w:name="_Toc288889655"/>
      <w:bookmarkStart w:id="158" w:name="_Toc288209286"/>
      <w:r>
        <w:rPr>
          <w:rFonts w:hint="eastAsia" w:ascii="宋体" w:hAnsi="宋体"/>
          <w:color w:val="auto"/>
          <w:sz w:val="36"/>
          <w:highlight w:val="none"/>
        </w:rPr>
        <w:t xml:space="preserve"> 资格审查证明材料</w:t>
      </w:r>
      <w:bookmarkEnd w:id="154"/>
      <w:bookmarkEnd w:id="155"/>
      <w:bookmarkEnd w:id="156"/>
      <w:bookmarkEnd w:id="157"/>
      <w:bookmarkEnd w:id="158"/>
    </w:p>
    <w:p w14:paraId="42B6F953">
      <w:pPr>
        <w:spacing w:line="360" w:lineRule="auto"/>
        <w:ind w:firstLine="500" w:firstLineChars="200"/>
        <w:rPr>
          <w:rFonts w:ascii="宋体" w:hAnsi="宋体"/>
          <w:color w:val="auto"/>
          <w:sz w:val="25"/>
          <w:highlight w:val="none"/>
        </w:rPr>
      </w:pPr>
    </w:p>
    <w:p w14:paraId="0087B362">
      <w:pPr>
        <w:spacing w:line="360" w:lineRule="auto"/>
        <w:ind w:firstLine="500" w:firstLineChars="200"/>
        <w:rPr>
          <w:rFonts w:ascii="宋体" w:hAnsi="宋体"/>
          <w:color w:val="auto"/>
          <w:sz w:val="25"/>
          <w:highlight w:val="none"/>
        </w:rPr>
      </w:pPr>
      <w:r>
        <w:rPr>
          <w:rFonts w:hint="eastAsia" w:ascii="宋体" w:hAnsi="宋体"/>
          <w:color w:val="auto"/>
          <w:sz w:val="25"/>
          <w:highlight w:val="none"/>
        </w:rPr>
        <w:t xml:space="preserve">一、资格证明材料：见本招标文件第一章9.2.1条。 </w:t>
      </w:r>
    </w:p>
    <w:p w14:paraId="70F95BFD">
      <w:pPr>
        <w:spacing w:line="360" w:lineRule="auto"/>
        <w:ind w:firstLine="500" w:firstLineChars="200"/>
        <w:rPr>
          <w:rFonts w:ascii="宋体" w:hAnsi="宋体"/>
          <w:color w:val="auto"/>
          <w:sz w:val="25"/>
          <w:highlight w:val="none"/>
        </w:rPr>
      </w:pPr>
      <w:r>
        <w:rPr>
          <w:rFonts w:hint="eastAsia" w:ascii="宋体" w:hAnsi="宋体"/>
          <w:color w:val="auto"/>
          <w:sz w:val="25"/>
          <w:highlight w:val="none"/>
        </w:rPr>
        <w:t>二、资格审查材料封面及相关表格如下：</w:t>
      </w:r>
    </w:p>
    <w:p w14:paraId="294AEB41">
      <w:pPr>
        <w:widowControl/>
        <w:spacing w:line="360" w:lineRule="auto"/>
        <w:ind w:firstLine="480" w:firstLineChars="200"/>
        <w:jc w:val="left"/>
        <w:rPr>
          <w:rFonts w:ascii="宋体" w:hAnsi="宋体" w:cs="宋体"/>
          <w:color w:val="auto"/>
          <w:kern w:val="0"/>
          <w:sz w:val="24"/>
          <w:highlight w:val="none"/>
        </w:rPr>
      </w:pPr>
    </w:p>
    <w:p w14:paraId="3A2FE2AC">
      <w:pPr>
        <w:widowControl/>
        <w:spacing w:line="360" w:lineRule="auto"/>
        <w:ind w:firstLine="480" w:firstLineChars="200"/>
        <w:jc w:val="left"/>
        <w:rPr>
          <w:rFonts w:ascii="宋体" w:hAnsi="宋体" w:cs="宋体"/>
          <w:color w:val="auto"/>
          <w:kern w:val="0"/>
          <w:sz w:val="24"/>
          <w:highlight w:val="none"/>
        </w:rPr>
      </w:pPr>
    </w:p>
    <w:p w14:paraId="5A17B3F4">
      <w:pPr>
        <w:widowControl/>
        <w:spacing w:line="360" w:lineRule="auto"/>
        <w:ind w:firstLine="480" w:firstLineChars="200"/>
        <w:jc w:val="left"/>
        <w:rPr>
          <w:rFonts w:ascii="宋体" w:hAnsi="宋体" w:cs="宋体"/>
          <w:color w:val="auto"/>
          <w:kern w:val="0"/>
          <w:sz w:val="24"/>
          <w:highlight w:val="none"/>
        </w:rPr>
      </w:pPr>
    </w:p>
    <w:p w14:paraId="5A5F7ED1">
      <w:pPr>
        <w:widowControl/>
        <w:spacing w:line="360" w:lineRule="auto"/>
        <w:ind w:firstLine="480" w:firstLineChars="200"/>
        <w:jc w:val="left"/>
        <w:rPr>
          <w:rFonts w:ascii="宋体" w:hAnsi="宋体" w:cs="宋体"/>
          <w:color w:val="auto"/>
          <w:kern w:val="0"/>
          <w:sz w:val="24"/>
          <w:highlight w:val="none"/>
        </w:rPr>
      </w:pPr>
    </w:p>
    <w:p w14:paraId="1C90F657">
      <w:pPr>
        <w:widowControl/>
        <w:spacing w:line="360" w:lineRule="auto"/>
        <w:ind w:firstLine="480" w:firstLineChars="200"/>
        <w:jc w:val="left"/>
        <w:rPr>
          <w:rFonts w:ascii="宋体" w:hAnsi="宋体" w:cs="宋体"/>
          <w:color w:val="auto"/>
          <w:kern w:val="0"/>
          <w:sz w:val="24"/>
          <w:highlight w:val="none"/>
        </w:rPr>
      </w:pPr>
    </w:p>
    <w:p w14:paraId="004715FE">
      <w:pPr>
        <w:widowControl/>
        <w:spacing w:line="360" w:lineRule="auto"/>
        <w:ind w:firstLine="480" w:firstLineChars="200"/>
        <w:jc w:val="left"/>
        <w:rPr>
          <w:rFonts w:ascii="宋体" w:hAnsi="宋体" w:cs="宋体"/>
          <w:color w:val="auto"/>
          <w:kern w:val="0"/>
          <w:sz w:val="24"/>
          <w:highlight w:val="none"/>
        </w:rPr>
      </w:pPr>
    </w:p>
    <w:p w14:paraId="42234F18">
      <w:pPr>
        <w:widowControl/>
        <w:spacing w:line="360" w:lineRule="auto"/>
        <w:ind w:firstLine="480" w:firstLineChars="200"/>
        <w:jc w:val="left"/>
        <w:rPr>
          <w:rFonts w:ascii="宋体" w:hAnsi="宋体" w:cs="宋体"/>
          <w:color w:val="auto"/>
          <w:kern w:val="0"/>
          <w:sz w:val="24"/>
          <w:highlight w:val="none"/>
        </w:rPr>
      </w:pPr>
    </w:p>
    <w:p w14:paraId="5F9E30CC">
      <w:pPr>
        <w:widowControl/>
        <w:spacing w:line="360" w:lineRule="auto"/>
        <w:ind w:firstLine="480" w:firstLineChars="200"/>
        <w:jc w:val="left"/>
        <w:rPr>
          <w:rFonts w:ascii="宋体" w:hAnsi="宋体" w:cs="宋体"/>
          <w:color w:val="auto"/>
          <w:kern w:val="0"/>
          <w:sz w:val="24"/>
          <w:highlight w:val="none"/>
        </w:rPr>
      </w:pPr>
    </w:p>
    <w:p w14:paraId="52C2EB9C">
      <w:pPr>
        <w:widowControl/>
        <w:spacing w:line="360" w:lineRule="auto"/>
        <w:ind w:firstLine="480" w:firstLineChars="200"/>
        <w:jc w:val="left"/>
        <w:rPr>
          <w:rFonts w:ascii="宋体" w:hAnsi="宋体" w:cs="宋体"/>
          <w:color w:val="auto"/>
          <w:kern w:val="0"/>
          <w:sz w:val="24"/>
          <w:highlight w:val="none"/>
        </w:rPr>
      </w:pPr>
    </w:p>
    <w:p w14:paraId="1AD58FEC">
      <w:pPr>
        <w:widowControl/>
        <w:spacing w:line="360" w:lineRule="auto"/>
        <w:ind w:firstLine="480" w:firstLineChars="200"/>
        <w:jc w:val="left"/>
        <w:rPr>
          <w:rFonts w:ascii="宋体" w:hAnsi="宋体" w:cs="宋体"/>
          <w:color w:val="auto"/>
          <w:kern w:val="0"/>
          <w:sz w:val="24"/>
          <w:highlight w:val="none"/>
        </w:rPr>
      </w:pPr>
    </w:p>
    <w:p w14:paraId="0DFF18D2">
      <w:pPr>
        <w:widowControl/>
        <w:spacing w:line="360" w:lineRule="auto"/>
        <w:ind w:firstLine="480" w:firstLineChars="200"/>
        <w:jc w:val="left"/>
        <w:rPr>
          <w:rFonts w:ascii="宋体" w:hAnsi="宋体" w:cs="宋体"/>
          <w:color w:val="auto"/>
          <w:kern w:val="0"/>
          <w:sz w:val="24"/>
          <w:highlight w:val="none"/>
        </w:rPr>
      </w:pPr>
    </w:p>
    <w:p w14:paraId="0E67D9BA">
      <w:pPr>
        <w:widowControl/>
        <w:spacing w:line="360" w:lineRule="auto"/>
        <w:ind w:firstLine="480" w:firstLineChars="200"/>
        <w:jc w:val="left"/>
        <w:rPr>
          <w:rFonts w:ascii="宋体" w:hAnsi="宋体" w:cs="宋体"/>
          <w:color w:val="auto"/>
          <w:kern w:val="0"/>
          <w:sz w:val="24"/>
          <w:highlight w:val="none"/>
        </w:rPr>
      </w:pPr>
    </w:p>
    <w:p w14:paraId="41187934">
      <w:pPr>
        <w:widowControl/>
        <w:spacing w:line="360" w:lineRule="auto"/>
        <w:ind w:firstLine="480" w:firstLineChars="200"/>
        <w:jc w:val="left"/>
        <w:rPr>
          <w:rFonts w:ascii="宋体" w:hAnsi="宋体" w:cs="宋体"/>
          <w:color w:val="auto"/>
          <w:kern w:val="0"/>
          <w:sz w:val="24"/>
          <w:highlight w:val="none"/>
        </w:rPr>
      </w:pPr>
    </w:p>
    <w:p w14:paraId="62EEA86A">
      <w:pPr>
        <w:widowControl/>
        <w:spacing w:line="360" w:lineRule="auto"/>
        <w:ind w:firstLine="480" w:firstLineChars="200"/>
        <w:jc w:val="left"/>
        <w:rPr>
          <w:rFonts w:ascii="宋体" w:hAnsi="宋体" w:cs="宋体"/>
          <w:color w:val="auto"/>
          <w:kern w:val="0"/>
          <w:sz w:val="24"/>
          <w:highlight w:val="none"/>
        </w:rPr>
      </w:pPr>
    </w:p>
    <w:p w14:paraId="78BFD341">
      <w:pPr>
        <w:widowControl/>
        <w:spacing w:line="360" w:lineRule="auto"/>
        <w:ind w:firstLine="480" w:firstLineChars="200"/>
        <w:jc w:val="left"/>
        <w:rPr>
          <w:rFonts w:ascii="宋体" w:hAnsi="宋体" w:cs="宋体"/>
          <w:color w:val="auto"/>
          <w:kern w:val="0"/>
          <w:sz w:val="24"/>
          <w:highlight w:val="none"/>
        </w:rPr>
      </w:pPr>
    </w:p>
    <w:p w14:paraId="72186244">
      <w:pPr>
        <w:widowControl/>
        <w:spacing w:line="360" w:lineRule="auto"/>
        <w:ind w:firstLine="480" w:firstLineChars="200"/>
        <w:jc w:val="left"/>
        <w:rPr>
          <w:rFonts w:ascii="宋体" w:hAnsi="宋体" w:cs="宋体"/>
          <w:color w:val="auto"/>
          <w:kern w:val="0"/>
          <w:sz w:val="24"/>
          <w:highlight w:val="none"/>
        </w:rPr>
      </w:pPr>
    </w:p>
    <w:p w14:paraId="2C7EBC12">
      <w:pPr>
        <w:widowControl/>
        <w:spacing w:line="360" w:lineRule="auto"/>
        <w:ind w:firstLine="480" w:firstLineChars="200"/>
        <w:jc w:val="left"/>
        <w:rPr>
          <w:rFonts w:ascii="宋体" w:hAnsi="宋体" w:cs="宋体"/>
          <w:color w:val="auto"/>
          <w:kern w:val="0"/>
          <w:sz w:val="24"/>
          <w:highlight w:val="none"/>
        </w:rPr>
      </w:pPr>
    </w:p>
    <w:p w14:paraId="1501D1A3">
      <w:pPr>
        <w:widowControl/>
        <w:spacing w:line="360" w:lineRule="auto"/>
        <w:ind w:firstLine="480" w:firstLineChars="200"/>
        <w:jc w:val="left"/>
        <w:rPr>
          <w:rFonts w:ascii="宋体" w:hAnsi="宋体" w:cs="宋体"/>
          <w:color w:val="auto"/>
          <w:kern w:val="0"/>
          <w:sz w:val="24"/>
          <w:highlight w:val="none"/>
        </w:rPr>
      </w:pPr>
    </w:p>
    <w:p w14:paraId="01D41E8E">
      <w:pPr>
        <w:widowControl/>
        <w:spacing w:line="360" w:lineRule="auto"/>
        <w:ind w:firstLine="480" w:firstLineChars="200"/>
        <w:jc w:val="left"/>
        <w:rPr>
          <w:rFonts w:ascii="宋体" w:hAnsi="宋体" w:cs="宋体"/>
          <w:color w:val="auto"/>
          <w:kern w:val="0"/>
          <w:sz w:val="24"/>
          <w:highlight w:val="none"/>
        </w:rPr>
      </w:pPr>
    </w:p>
    <w:p w14:paraId="41A4D3E0">
      <w:pPr>
        <w:widowControl/>
        <w:spacing w:line="360" w:lineRule="auto"/>
        <w:ind w:firstLine="480" w:firstLineChars="200"/>
        <w:jc w:val="left"/>
        <w:rPr>
          <w:rFonts w:ascii="宋体" w:hAnsi="宋体" w:cs="宋体"/>
          <w:color w:val="auto"/>
          <w:kern w:val="0"/>
          <w:sz w:val="24"/>
          <w:highlight w:val="none"/>
        </w:rPr>
      </w:pPr>
    </w:p>
    <w:p w14:paraId="6B610B3F">
      <w:pPr>
        <w:widowControl/>
        <w:spacing w:line="360" w:lineRule="auto"/>
        <w:ind w:firstLine="480" w:firstLineChars="200"/>
        <w:jc w:val="left"/>
        <w:rPr>
          <w:rFonts w:ascii="宋体" w:hAnsi="宋体" w:cs="宋体"/>
          <w:color w:val="auto"/>
          <w:kern w:val="0"/>
          <w:sz w:val="24"/>
          <w:highlight w:val="none"/>
        </w:rPr>
      </w:pPr>
    </w:p>
    <w:p w14:paraId="04F95CB0">
      <w:pPr>
        <w:widowControl/>
        <w:spacing w:line="360" w:lineRule="auto"/>
        <w:ind w:firstLine="480" w:firstLineChars="200"/>
        <w:jc w:val="left"/>
        <w:rPr>
          <w:rFonts w:ascii="宋体" w:hAnsi="宋体" w:cs="宋体"/>
          <w:color w:val="auto"/>
          <w:kern w:val="0"/>
          <w:sz w:val="24"/>
          <w:highlight w:val="none"/>
        </w:rPr>
      </w:pPr>
    </w:p>
    <w:p w14:paraId="6D657585">
      <w:pPr>
        <w:widowControl/>
        <w:spacing w:line="360" w:lineRule="auto"/>
        <w:ind w:firstLine="480" w:firstLineChars="200"/>
        <w:jc w:val="left"/>
        <w:rPr>
          <w:rFonts w:ascii="宋体" w:hAnsi="宋体" w:cs="宋体"/>
          <w:color w:val="auto"/>
          <w:kern w:val="0"/>
          <w:sz w:val="24"/>
          <w:highlight w:val="none"/>
        </w:rPr>
      </w:pPr>
    </w:p>
    <w:p w14:paraId="685A6840">
      <w:pPr>
        <w:widowControl/>
        <w:spacing w:line="360" w:lineRule="auto"/>
        <w:ind w:firstLine="480" w:firstLineChars="200"/>
        <w:jc w:val="left"/>
        <w:rPr>
          <w:rFonts w:ascii="宋体" w:hAnsi="宋体" w:cs="宋体"/>
          <w:color w:val="auto"/>
          <w:kern w:val="0"/>
          <w:sz w:val="24"/>
          <w:highlight w:val="none"/>
        </w:rPr>
      </w:pPr>
    </w:p>
    <w:p w14:paraId="3ACFF8CD">
      <w:pPr>
        <w:wordWrap w:val="0"/>
        <w:spacing w:line="360" w:lineRule="auto"/>
        <w:ind w:right="2640"/>
        <w:rPr>
          <w:rFonts w:ascii="宋体" w:hAnsi="宋体" w:cs="宋体"/>
          <w:color w:val="auto"/>
          <w:kern w:val="0"/>
          <w:sz w:val="24"/>
          <w:highlight w:val="none"/>
        </w:rPr>
      </w:pPr>
    </w:p>
    <w:p w14:paraId="0DBDEDA6">
      <w:pPr>
        <w:wordWrap w:val="0"/>
        <w:spacing w:line="360" w:lineRule="auto"/>
        <w:ind w:right="2640"/>
        <w:jc w:val="right"/>
        <w:rPr>
          <w:rFonts w:ascii="宋体" w:hAnsi="宋体"/>
          <w:color w:val="auto"/>
          <w:sz w:val="44"/>
          <w:szCs w:val="44"/>
          <w:highlight w:val="none"/>
        </w:rPr>
      </w:pPr>
      <w:r>
        <w:rPr>
          <w:rFonts w:hint="eastAsia" w:ascii="宋体" w:hAnsi="宋体"/>
          <w:color w:val="auto"/>
          <w:sz w:val="44"/>
          <w:szCs w:val="44"/>
          <w:highlight w:val="none"/>
        </w:rPr>
        <w:t xml:space="preserve">封面 </w:t>
      </w:r>
      <w:r>
        <w:rPr>
          <w:rFonts w:ascii="宋体" w:hAnsi="宋体"/>
          <w:color w:val="auto"/>
          <w:sz w:val="44"/>
          <w:szCs w:val="44"/>
          <w:highlight w:val="none"/>
        </w:rPr>
        <w:t xml:space="preserve">                            </w:t>
      </w:r>
      <w:r>
        <w:rPr>
          <w:rFonts w:hint="eastAsia" w:ascii="宋体" w:hAnsi="宋体"/>
          <w:color w:val="auto"/>
          <w:sz w:val="44"/>
          <w:szCs w:val="44"/>
          <w:highlight w:val="none"/>
        </w:rPr>
        <w:t>正本/副本</w:t>
      </w:r>
    </w:p>
    <w:p w14:paraId="63D4A2A2">
      <w:pPr>
        <w:spacing w:line="360" w:lineRule="auto"/>
        <w:ind w:firstLine="420" w:firstLineChars="200"/>
        <w:rPr>
          <w:rFonts w:ascii="宋体" w:hAnsi="宋体"/>
          <w:color w:val="auto"/>
          <w:szCs w:val="21"/>
          <w:highlight w:val="none"/>
        </w:rPr>
      </w:pPr>
    </w:p>
    <w:p w14:paraId="6F7007BA">
      <w:pPr>
        <w:spacing w:line="360" w:lineRule="auto"/>
        <w:ind w:firstLine="720" w:firstLineChars="200"/>
        <w:rPr>
          <w:rFonts w:ascii="宋体" w:hAnsi="宋体"/>
          <w:color w:val="auto"/>
          <w:sz w:val="36"/>
          <w:highlight w:val="none"/>
        </w:rPr>
      </w:pPr>
      <w:r>
        <w:rPr>
          <w:rFonts w:hint="eastAsia" w:ascii="宋体" w:hAnsi="宋体"/>
          <w:color w:val="auto"/>
          <w:sz w:val="36"/>
          <w:highlight w:val="none"/>
          <w:u w:val="single"/>
        </w:rPr>
        <w:t xml:space="preserve">                        </w:t>
      </w:r>
      <w:r>
        <w:rPr>
          <w:rFonts w:hint="eastAsia" w:ascii="宋体" w:hAnsi="宋体"/>
          <w:color w:val="auto"/>
          <w:sz w:val="36"/>
          <w:highlight w:val="none"/>
        </w:rPr>
        <w:t>（项目名称）施工招标</w:t>
      </w:r>
    </w:p>
    <w:p w14:paraId="37E55379">
      <w:pPr>
        <w:spacing w:line="360" w:lineRule="auto"/>
        <w:ind w:firstLine="1040" w:firstLineChars="200"/>
        <w:jc w:val="center"/>
        <w:rPr>
          <w:rFonts w:ascii="宋体" w:hAnsi="宋体"/>
          <w:color w:val="auto"/>
          <w:sz w:val="52"/>
          <w:szCs w:val="52"/>
          <w:highlight w:val="none"/>
        </w:rPr>
      </w:pPr>
      <w:bookmarkStart w:id="159" w:name="_Toc288889656"/>
      <w:bookmarkStart w:id="160" w:name="_Toc288209287"/>
      <w:bookmarkStart w:id="161" w:name="_Toc262456722"/>
    </w:p>
    <w:p w14:paraId="73C007D2">
      <w:pPr>
        <w:spacing w:line="360" w:lineRule="auto"/>
        <w:ind w:firstLine="1040" w:firstLineChars="200"/>
        <w:jc w:val="center"/>
        <w:rPr>
          <w:rFonts w:ascii="宋体" w:hAnsi="宋体"/>
          <w:color w:val="auto"/>
          <w:sz w:val="52"/>
          <w:szCs w:val="52"/>
          <w:highlight w:val="none"/>
        </w:rPr>
      </w:pPr>
    </w:p>
    <w:p w14:paraId="28F8EC57">
      <w:pPr>
        <w:spacing w:line="360" w:lineRule="auto"/>
        <w:ind w:firstLine="1040" w:firstLineChars="200"/>
        <w:jc w:val="center"/>
        <w:rPr>
          <w:rFonts w:ascii="宋体" w:hAnsi="宋体"/>
          <w:color w:val="auto"/>
          <w:sz w:val="52"/>
          <w:szCs w:val="52"/>
          <w:highlight w:val="none"/>
        </w:rPr>
      </w:pPr>
    </w:p>
    <w:p w14:paraId="708F928E">
      <w:pPr>
        <w:spacing w:line="360" w:lineRule="auto"/>
        <w:jc w:val="center"/>
        <w:rPr>
          <w:rFonts w:ascii="宋体" w:hAnsi="宋体"/>
          <w:color w:val="auto"/>
          <w:sz w:val="52"/>
          <w:szCs w:val="52"/>
          <w:highlight w:val="none"/>
        </w:rPr>
      </w:pPr>
      <w:bookmarkStart w:id="162" w:name="_Hlk85632697"/>
      <w:r>
        <w:rPr>
          <w:rFonts w:hint="eastAsia" w:ascii="宋体" w:hAnsi="宋体"/>
          <w:color w:val="auto"/>
          <w:sz w:val="52"/>
          <w:szCs w:val="52"/>
          <w:highlight w:val="none"/>
        </w:rPr>
        <w:t>投标人资格审查文件</w:t>
      </w:r>
      <w:bookmarkEnd w:id="159"/>
      <w:bookmarkEnd w:id="160"/>
      <w:bookmarkEnd w:id="161"/>
    </w:p>
    <w:bookmarkEnd w:id="162"/>
    <w:p w14:paraId="4EF64054">
      <w:pPr>
        <w:spacing w:line="360" w:lineRule="auto"/>
        <w:ind w:firstLine="640" w:firstLineChars="200"/>
        <w:rPr>
          <w:rFonts w:ascii="宋体" w:hAnsi="宋体"/>
          <w:color w:val="auto"/>
          <w:sz w:val="32"/>
          <w:highlight w:val="none"/>
        </w:rPr>
      </w:pPr>
      <w:r>
        <w:rPr>
          <w:rFonts w:hint="eastAsia" w:ascii="宋体" w:hAnsi="宋体"/>
          <w:color w:val="auto"/>
          <w:sz w:val="32"/>
          <w:highlight w:val="none"/>
        </w:rPr>
        <w:t xml:space="preserve">    </w:t>
      </w:r>
    </w:p>
    <w:p w14:paraId="580EC256">
      <w:pPr>
        <w:adjustRightInd w:val="0"/>
        <w:snapToGrid w:val="0"/>
        <w:spacing w:line="360" w:lineRule="auto"/>
        <w:ind w:firstLine="480" w:firstLineChars="200"/>
        <w:rPr>
          <w:rFonts w:ascii="宋体" w:hAnsi="宋体"/>
          <w:color w:val="auto"/>
          <w:sz w:val="24"/>
          <w:highlight w:val="none"/>
        </w:rPr>
      </w:pPr>
    </w:p>
    <w:p w14:paraId="494245B1">
      <w:pPr>
        <w:adjustRightInd w:val="0"/>
        <w:snapToGrid w:val="0"/>
        <w:spacing w:line="360" w:lineRule="auto"/>
        <w:ind w:firstLine="640" w:firstLineChars="200"/>
        <w:rPr>
          <w:rFonts w:ascii="宋体" w:hAnsi="宋体"/>
          <w:color w:val="auto"/>
          <w:sz w:val="10"/>
          <w:highlight w:val="none"/>
        </w:rPr>
      </w:pPr>
      <w:r>
        <w:rPr>
          <w:rFonts w:hint="eastAsia" w:ascii="宋体" w:hAnsi="宋体"/>
          <w:color w:val="auto"/>
          <w:sz w:val="32"/>
          <w:highlight w:val="none"/>
        </w:rPr>
        <w:t xml:space="preserve">              </w:t>
      </w:r>
    </w:p>
    <w:p w14:paraId="0E787916">
      <w:pPr>
        <w:adjustRightInd w:val="0"/>
        <w:snapToGrid w:val="0"/>
        <w:spacing w:line="360" w:lineRule="auto"/>
        <w:ind w:firstLine="640" w:firstLineChars="200"/>
        <w:jc w:val="center"/>
        <w:rPr>
          <w:rFonts w:ascii="宋体" w:hAnsi="宋体"/>
          <w:color w:val="auto"/>
          <w:sz w:val="32"/>
          <w:highlight w:val="none"/>
        </w:rPr>
      </w:pPr>
    </w:p>
    <w:p w14:paraId="3EC9F60B">
      <w:pPr>
        <w:adjustRightInd w:val="0"/>
        <w:snapToGrid w:val="0"/>
        <w:spacing w:line="360" w:lineRule="auto"/>
        <w:rPr>
          <w:rFonts w:ascii="宋体" w:hAnsi="宋体"/>
          <w:color w:val="auto"/>
          <w:sz w:val="32"/>
          <w:highlight w:val="none"/>
        </w:rPr>
      </w:pPr>
    </w:p>
    <w:p w14:paraId="64F0CE8C">
      <w:pPr>
        <w:adjustRightInd w:val="0"/>
        <w:snapToGrid w:val="0"/>
        <w:spacing w:line="360" w:lineRule="auto"/>
        <w:ind w:firstLine="643" w:firstLineChars="200"/>
        <w:rPr>
          <w:rFonts w:ascii="宋体" w:hAnsi="宋体"/>
          <w:b/>
          <w:color w:val="auto"/>
          <w:sz w:val="32"/>
          <w:highlight w:val="none"/>
          <w:u w:val="single"/>
        </w:rPr>
      </w:pPr>
      <w:r>
        <w:rPr>
          <w:rFonts w:hint="eastAsia" w:ascii="宋体" w:hAnsi="宋体"/>
          <w:b/>
          <w:color w:val="auto"/>
          <w:sz w:val="32"/>
          <w:highlight w:val="none"/>
        </w:rPr>
        <w:t xml:space="preserve">投标人： </w:t>
      </w:r>
      <w:r>
        <w:rPr>
          <w:rFonts w:hint="eastAsia" w:ascii="宋体" w:hAnsi="宋体"/>
          <w:b/>
          <w:color w:val="auto"/>
          <w:sz w:val="32"/>
          <w:highlight w:val="none"/>
          <w:u w:val="single"/>
        </w:rPr>
        <w:t xml:space="preserve">                         （盖章）</w:t>
      </w:r>
    </w:p>
    <w:p w14:paraId="0530C6CD">
      <w:pPr>
        <w:adjustRightInd w:val="0"/>
        <w:snapToGrid w:val="0"/>
        <w:spacing w:line="360" w:lineRule="auto"/>
        <w:ind w:firstLine="643" w:firstLineChars="200"/>
        <w:rPr>
          <w:rFonts w:ascii="宋体" w:hAnsi="宋体"/>
          <w:b/>
          <w:color w:val="auto"/>
          <w:sz w:val="18"/>
          <w:szCs w:val="18"/>
          <w:highlight w:val="none"/>
        </w:rPr>
      </w:pPr>
      <w:r>
        <w:rPr>
          <w:rFonts w:hint="eastAsia" w:ascii="宋体" w:hAnsi="宋体"/>
          <w:b/>
          <w:color w:val="auto"/>
          <w:sz w:val="32"/>
          <w:highlight w:val="none"/>
        </w:rPr>
        <w:t xml:space="preserve"> </w:t>
      </w:r>
    </w:p>
    <w:p w14:paraId="3B475634">
      <w:pPr>
        <w:adjustRightInd w:val="0"/>
        <w:snapToGrid w:val="0"/>
        <w:spacing w:line="360" w:lineRule="auto"/>
        <w:ind w:firstLine="643" w:firstLineChars="200"/>
        <w:rPr>
          <w:rFonts w:ascii="宋体" w:hAnsi="宋体"/>
          <w:b/>
          <w:color w:val="auto"/>
          <w:sz w:val="32"/>
          <w:highlight w:val="none"/>
          <w:u w:val="single"/>
        </w:rPr>
      </w:pPr>
      <w:r>
        <w:rPr>
          <w:rFonts w:hint="eastAsia" w:ascii="宋体" w:hAnsi="宋体"/>
          <w:b/>
          <w:color w:val="auto"/>
          <w:sz w:val="32"/>
          <w:highlight w:val="none"/>
        </w:rPr>
        <w:t xml:space="preserve">法定代表人或其委托代理人：  </w:t>
      </w:r>
      <w:r>
        <w:rPr>
          <w:rFonts w:hint="eastAsia" w:ascii="宋体" w:hAnsi="宋体"/>
          <w:b/>
          <w:color w:val="auto"/>
          <w:sz w:val="32"/>
          <w:highlight w:val="none"/>
          <w:u w:val="single"/>
        </w:rPr>
        <w:t>（签字或盖章）</w:t>
      </w:r>
    </w:p>
    <w:p w14:paraId="3AC2D76B">
      <w:pPr>
        <w:adjustRightInd w:val="0"/>
        <w:snapToGrid w:val="0"/>
        <w:spacing w:line="360" w:lineRule="auto"/>
        <w:ind w:firstLine="361" w:firstLineChars="200"/>
        <w:jc w:val="center"/>
        <w:rPr>
          <w:rFonts w:ascii="宋体" w:hAnsi="宋体"/>
          <w:b/>
          <w:color w:val="auto"/>
          <w:sz w:val="18"/>
          <w:szCs w:val="18"/>
          <w:highlight w:val="none"/>
        </w:rPr>
      </w:pPr>
    </w:p>
    <w:p w14:paraId="5FCEE522">
      <w:pPr>
        <w:adjustRightInd w:val="0"/>
        <w:snapToGrid w:val="0"/>
        <w:spacing w:line="360" w:lineRule="auto"/>
        <w:ind w:firstLine="643" w:firstLineChars="200"/>
        <w:rPr>
          <w:rFonts w:ascii="宋体" w:hAnsi="宋体"/>
          <w:b/>
          <w:color w:val="auto"/>
          <w:sz w:val="32"/>
          <w:highlight w:val="none"/>
          <w:u w:val="single"/>
        </w:rPr>
      </w:pPr>
      <w:r>
        <w:rPr>
          <w:rFonts w:hint="eastAsia" w:ascii="宋体" w:hAnsi="宋体"/>
          <w:b/>
          <w:color w:val="auto"/>
          <w:sz w:val="32"/>
          <w:highlight w:val="none"/>
        </w:rPr>
        <w:t>地址：</w:t>
      </w:r>
      <w:r>
        <w:rPr>
          <w:rFonts w:hint="eastAsia" w:ascii="宋体" w:hAnsi="宋体"/>
          <w:b/>
          <w:color w:val="auto"/>
          <w:sz w:val="32"/>
          <w:highlight w:val="none"/>
          <w:u w:val="single"/>
        </w:rPr>
        <w:t xml:space="preserve">                                   </w:t>
      </w:r>
    </w:p>
    <w:p w14:paraId="1F392B36">
      <w:pPr>
        <w:spacing w:line="360" w:lineRule="auto"/>
        <w:ind w:firstLine="643" w:firstLineChars="200"/>
        <w:rPr>
          <w:rFonts w:ascii="宋体" w:hAnsi="宋体"/>
          <w:b/>
          <w:color w:val="auto"/>
          <w:sz w:val="18"/>
          <w:szCs w:val="18"/>
          <w:highlight w:val="none"/>
        </w:rPr>
      </w:pPr>
      <w:r>
        <w:rPr>
          <w:rFonts w:hint="eastAsia" w:ascii="宋体" w:hAnsi="宋体"/>
          <w:b/>
          <w:color w:val="auto"/>
          <w:sz w:val="32"/>
          <w:highlight w:val="none"/>
        </w:rPr>
        <w:t xml:space="preserve">            </w:t>
      </w:r>
    </w:p>
    <w:p w14:paraId="6F3B72A2">
      <w:pPr>
        <w:spacing w:line="360" w:lineRule="auto"/>
        <w:ind w:firstLine="643" w:firstLineChars="200"/>
        <w:rPr>
          <w:rFonts w:ascii="宋体" w:hAnsi="宋体"/>
          <w:b/>
          <w:color w:val="auto"/>
          <w:sz w:val="36"/>
          <w:highlight w:val="none"/>
        </w:rPr>
      </w:pPr>
      <w:r>
        <w:rPr>
          <w:rFonts w:hint="eastAsia" w:ascii="宋体" w:hAnsi="宋体"/>
          <w:b/>
          <w:color w:val="auto"/>
          <w:sz w:val="32"/>
          <w:highlight w:val="none"/>
        </w:rPr>
        <w:t>日期：</w:t>
      </w:r>
      <w:r>
        <w:rPr>
          <w:rFonts w:hint="eastAsia" w:ascii="宋体" w:hAnsi="宋体"/>
          <w:b/>
          <w:color w:val="auto"/>
          <w:sz w:val="32"/>
          <w:highlight w:val="none"/>
          <w:u w:val="single"/>
        </w:rPr>
        <w:t xml:space="preserve">         </w:t>
      </w:r>
      <w:r>
        <w:rPr>
          <w:rFonts w:hint="eastAsia" w:ascii="宋体" w:hAnsi="宋体"/>
          <w:b/>
          <w:color w:val="auto"/>
          <w:sz w:val="32"/>
          <w:highlight w:val="none"/>
        </w:rPr>
        <w:t>年</w:t>
      </w:r>
      <w:r>
        <w:rPr>
          <w:rFonts w:hint="eastAsia" w:ascii="宋体" w:hAnsi="宋体"/>
          <w:b/>
          <w:color w:val="auto"/>
          <w:sz w:val="32"/>
          <w:highlight w:val="none"/>
          <w:u w:val="single"/>
        </w:rPr>
        <w:t xml:space="preserve">          </w:t>
      </w:r>
      <w:r>
        <w:rPr>
          <w:rFonts w:hint="eastAsia" w:ascii="宋体" w:hAnsi="宋体"/>
          <w:b/>
          <w:color w:val="auto"/>
          <w:sz w:val="32"/>
          <w:highlight w:val="none"/>
        </w:rPr>
        <w:t>月</w:t>
      </w:r>
      <w:r>
        <w:rPr>
          <w:rFonts w:hint="eastAsia" w:ascii="宋体" w:hAnsi="宋体"/>
          <w:b/>
          <w:color w:val="auto"/>
          <w:sz w:val="32"/>
          <w:highlight w:val="none"/>
          <w:u w:val="single"/>
        </w:rPr>
        <w:t xml:space="preserve">          </w:t>
      </w:r>
      <w:r>
        <w:rPr>
          <w:rFonts w:hint="eastAsia" w:ascii="宋体" w:hAnsi="宋体"/>
          <w:b/>
          <w:color w:val="auto"/>
          <w:sz w:val="32"/>
          <w:highlight w:val="none"/>
        </w:rPr>
        <w:t>日</w:t>
      </w:r>
      <w:r>
        <w:rPr>
          <w:rFonts w:hint="eastAsia" w:ascii="宋体" w:hAnsi="宋体"/>
          <w:color w:val="auto"/>
          <w:sz w:val="30"/>
          <w:highlight w:val="none"/>
        </w:rPr>
        <w:t xml:space="preserve"> </w:t>
      </w:r>
    </w:p>
    <w:p w14:paraId="56A99DA5">
      <w:pPr>
        <w:tabs>
          <w:tab w:val="left" w:pos="993"/>
        </w:tabs>
        <w:spacing w:line="360" w:lineRule="auto"/>
        <w:ind w:firstLine="420" w:firstLineChars="200"/>
        <w:rPr>
          <w:rFonts w:ascii="宋体" w:hAnsi="宋体"/>
          <w:color w:val="auto"/>
          <w:highlight w:val="none"/>
        </w:rPr>
      </w:pPr>
    </w:p>
    <w:p w14:paraId="4411B941">
      <w:pPr>
        <w:pStyle w:val="3"/>
        <w:jc w:val="center"/>
        <w:rPr>
          <w:rFonts w:ascii="宋体" w:hAnsi="宋体"/>
          <w:b w:val="0"/>
          <w:color w:val="auto"/>
          <w:sz w:val="30"/>
          <w:highlight w:val="none"/>
        </w:rPr>
      </w:pPr>
      <w:r>
        <w:rPr>
          <w:rFonts w:ascii="宋体" w:hAnsi="宋体"/>
          <w:color w:val="auto"/>
          <w:sz w:val="28"/>
          <w:szCs w:val="28"/>
          <w:highlight w:val="none"/>
        </w:rPr>
        <w:br w:type="page"/>
      </w:r>
      <w:r>
        <w:rPr>
          <w:rFonts w:hint="eastAsia" w:ascii="宋体" w:hAnsi="宋体"/>
          <w:b w:val="0"/>
          <w:color w:val="auto"/>
          <w:sz w:val="30"/>
          <w:highlight w:val="none"/>
        </w:rPr>
        <w:t>一、法定代表人身份证明</w:t>
      </w:r>
    </w:p>
    <w:p w14:paraId="76FCC52E">
      <w:pPr>
        <w:pStyle w:val="7"/>
        <w:snapToGrid w:val="0"/>
        <w:spacing w:line="360" w:lineRule="auto"/>
        <w:ind w:firstLine="600" w:firstLineChars="200"/>
        <w:rPr>
          <w:rFonts w:ascii="宋体" w:hAnsi="宋体"/>
          <w:color w:val="auto"/>
          <w:sz w:val="30"/>
          <w:highlight w:val="none"/>
        </w:rPr>
      </w:pPr>
    </w:p>
    <w:p w14:paraId="5A257C5B">
      <w:pPr>
        <w:pStyle w:val="7"/>
        <w:snapToGrid w:val="0"/>
        <w:spacing w:line="360" w:lineRule="auto"/>
        <w:ind w:firstLine="480" w:firstLineChars="200"/>
        <w:rPr>
          <w:rFonts w:ascii="宋体" w:hAnsi="宋体"/>
          <w:color w:val="auto"/>
          <w:highlight w:val="none"/>
          <w:u w:val="single"/>
        </w:rPr>
      </w:pPr>
      <w:r>
        <w:rPr>
          <w:rFonts w:hint="eastAsia" w:ascii="宋体" w:hAnsi="宋体"/>
          <w:color w:val="auto"/>
          <w:highlight w:val="none"/>
        </w:rPr>
        <w:t>投标人单位名称：</w:t>
      </w:r>
      <w:r>
        <w:rPr>
          <w:rFonts w:hint="eastAsia" w:ascii="宋体" w:hAnsi="宋体"/>
          <w:color w:val="auto"/>
          <w:highlight w:val="none"/>
          <w:u w:val="single"/>
        </w:rPr>
        <w:t xml:space="preserve">                                 </w:t>
      </w:r>
    </w:p>
    <w:p w14:paraId="6B2098A1">
      <w:pPr>
        <w:pStyle w:val="7"/>
        <w:snapToGrid w:val="0"/>
        <w:spacing w:line="360" w:lineRule="auto"/>
        <w:ind w:firstLine="480" w:firstLineChars="200"/>
        <w:rPr>
          <w:rFonts w:ascii="宋体" w:hAnsi="宋体"/>
          <w:color w:val="auto"/>
          <w:highlight w:val="none"/>
          <w:u w:val="single"/>
        </w:rPr>
      </w:pPr>
      <w:r>
        <w:rPr>
          <w:rFonts w:hint="eastAsia" w:ascii="宋体" w:hAnsi="宋体"/>
          <w:color w:val="auto"/>
          <w:highlight w:val="none"/>
        </w:rPr>
        <w:t>投标人单位性质：</w:t>
      </w:r>
      <w:r>
        <w:rPr>
          <w:rFonts w:hint="eastAsia" w:ascii="宋体" w:hAnsi="宋体"/>
          <w:color w:val="auto"/>
          <w:highlight w:val="none"/>
          <w:u w:val="single"/>
        </w:rPr>
        <w:t xml:space="preserve">                                 </w:t>
      </w:r>
    </w:p>
    <w:p w14:paraId="5C8C5611">
      <w:pPr>
        <w:pStyle w:val="7"/>
        <w:snapToGrid w:val="0"/>
        <w:spacing w:line="360" w:lineRule="auto"/>
        <w:ind w:firstLine="480" w:firstLineChars="200"/>
        <w:rPr>
          <w:rFonts w:ascii="宋体" w:hAnsi="宋体"/>
          <w:color w:val="auto"/>
          <w:highlight w:val="none"/>
          <w:u w:val="single"/>
        </w:rPr>
      </w:pPr>
      <w:r>
        <w:rPr>
          <w:rFonts w:hint="eastAsia" w:ascii="宋体" w:hAnsi="宋体"/>
          <w:color w:val="auto"/>
          <w:highlight w:val="none"/>
        </w:rPr>
        <w:t>投标人单位地址：</w:t>
      </w:r>
      <w:r>
        <w:rPr>
          <w:rFonts w:hint="eastAsia" w:ascii="宋体" w:hAnsi="宋体"/>
          <w:color w:val="auto"/>
          <w:highlight w:val="none"/>
          <w:u w:val="single"/>
        </w:rPr>
        <w:t xml:space="preserve">                                 </w:t>
      </w:r>
    </w:p>
    <w:p w14:paraId="0ECEB481">
      <w:pPr>
        <w:pStyle w:val="7"/>
        <w:snapToGrid w:val="0"/>
        <w:spacing w:line="360" w:lineRule="auto"/>
        <w:ind w:firstLine="480" w:firstLineChars="200"/>
        <w:rPr>
          <w:rFonts w:ascii="宋体" w:hAnsi="宋体"/>
          <w:color w:val="auto"/>
          <w:highlight w:val="none"/>
          <w:u w:val="single"/>
        </w:rPr>
      </w:pPr>
      <w:r>
        <w:rPr>
          <w:rFonts w:hint="eastAsia" w:ascii="宋体" w:hAnsi="宋体"/>
          <w:color w:val="auto"/>
          <w:highlight w:val="none"/>
        </w:rPr>
        <w:t>成立时间：</w:t>
      </w:r>
      <w:r>
        <w:rPr>
          <w:rFonts w:hint="eastAsia" w:ascii="宋体" w:hAnsi="宋体"/>
          <w:color w:val="auto"/>
          <w:highlight w:val="none"/>
          <w:u w:val="single"/>
        </w:rPr>
        <w:t xml:space="preserve">     </w:t>
      </w:r>
      <w:r>
        <w:rPr>
          <w:rFonts w:hint="eastAsia" w:ascii="宋体" w:hAnsi="宋体"/>
          <w:color w:val="auto"/>
          <w:highlight w:val="none"/>
        </w:rPr>
        <w:t>年</w:t>
      </w:r>
      <w:r>
        <w:rPr>
          <w:rFonts w:hint="eastAsia" w:ascii="宋体" w:hAnsi="宋体"/>
          <w:color w:val="auto"/>
          <w:highlight w:val="none"/>
          <w:u w:val="single"/>
        </w:rPr>
        <w:t xml:space="preserve">     </w:t>
      </w:r>
      <w:r>
        <w:rPr>
          <w:rFonts w:hint="eastAsia" w:ascii="宋体" w:hAnsi="宋体"/>
          <w:color w:val="auto"/>
          <w:highlight w:val="none"/>
        </w:rPr>
        <w:t xml:space="preserve">月 </w:t>
      </w:r>
      <w:r>
        <w:rPr>
          <w:rFonts w:hint="eastAsia" w:ascii="宋体" w:hAnsi="宋体"/>
          <w:color w:val="auto"/>
          <w:highlight w:val="none"/>
          <w:u w:val="single"/>
        </w:rPr>
        <w:t xml:space="preserve">    </w:t>
      </w:r>
      <w:r>
        <w:rPr>
          <w:rFonts w:hint="eastAsia" w:ascii="宋体" w:hAnsi="宋体"/>
          <w:color w:val="auto"/>
          <w:highlight w:val="none"/>
        </w:rPr>
        <w:t>日</w:t>
      </w:r>
    </w:p>
    <w:p w14:paraId="2AEF62AD">
      <w:pPr>
        <w:pStyle w:val="7"/>
        <w:snapToGrid w:val="0"/>
        <w:spacing w:line="360" w:lineRule="auto"/>
        <w:ind w:firstLine="480" w:firstLineChars="200"/>
        <w:rPr>
          <w:rFonts w:ascii="宋体" w:hAnsi="宋体"/>
          <w:color w:val="auto"/>
          <w:highlight w:val="none"/>
          <w:u w:val="single"/>
        </w:rPr>
      </w:pPr>
      <w:r>
        <w:rPr>
          <w:rFonts w:hint="eastAsia" w:ascii="宋体" w:hAnsi="宋体"/>
          <w:color w:val="auto"/>
          <w:highlight w:val="none"/>
        </w:rPr>
        <w:t>经营期限：</w:t>
      </w:r>
      <w:r>
        <w:rPr>
          <w:rFonts w:hint="eastAsia" w:ascii="宋体" w:hAnsi="宋体"/>
          <w:color w:val="auto"/>
          <w:sz w:val="30"/>
          <w:highlight w:val="none"/>
          <w:u w:val="single"/>
        </w:rPr>
        <w:t xml:space="preserve">                               </w:t>
      </w:r>
    </w:p>
    <w:p w14:paraId="3CA947F6">
      <w:pPr>
        <w:pStyle w:val="7"/>
        <w:snapToGrid w:val="0"/>
        <w:spacing w:line="360" w:lineRule="auto"/>
        <w:ind w:firstLine="480" w:firstLineChars="200"/>
        <w:rPr>
          <w:rFonts w:ascii="宋体" w:hAnsi="宋体"/>
          <w:color w:val="auto"/>
          <w:highlight w:val="none"/>
          <w:u w:val="single"/>
        </w:rPr>
      </w:pPr>
      <w:r>
        <w:rPr>
          <w:rFonts w:hint="eastAsia" w:ascii="宋体" w:hAnsi="宋体"/>
          <w:color w:val="auto"/>
          <w:highlight w:val="none"/>
        </w:rPr>
        <w:t>姓名：</w:t>
      </w:r>
      <w:r>
        <w:rPr>
          <w:rFonts w:hint="eastAsia" w:ascii="宋体" w:hAnsi="宋体"/>
          <w:color w:val="auto"/>
          <w:highlight w:val="none"/>
          <w:u w:val="single"/>
        </w:rPr>
        <w:t xml:space="preserve">             </w:t>
      </w:r>
      <w:r>
        <w:rPr>
          <w:rFonts w:hint="eastAsia" w:ascii="宋体" w:hAnsi="宋体"/>
          <w:color w:val="auto"/>
          <w:highlight w:val="none"/>
        </w:rPr>
        <w:t>性别：</w:t>
      </w:r>
      <w:r>
        <w:rPr>
          <w:rFonts w:hint="eastAsia" w:ascii="宋体" w:hAnsi="宋体"/>
          <w:color w:val="auto"/>
          <w:highlight w:val="none"/>
          <w:u w:val="single"/>
        </w:rPr>
        <w:t xml:space="preserve">              </w:t>
      </w:r>
    </w:p>
    <w:p w14:paraId="453A7C49">
      <w:pPr>
        <w:pStyle w:val="7"/>
        <w:snapToGrid w:val="0"/>
        <w:spacing w:line="360" w:lineRule="auto"/>
        <w:ind w:firstLine="480" w:firstLineChars="200"/>
        <w:rPr>
          <w:rFonts w:ascii="宋体" w:hAnsi="宋体"/>
          <w:color w:val="auto"/>
          <w:highlight w:val="none"/>
          <w:u w:val="single"/>
        </w:rPr>
      </w:pPr>
      <w:r>
        <w:rPr>
          <w:rFonts w:hint="eastAsia" w:ascii="宋体" w:hAnsi="宋体"/>
          <w:color w:val="auto"/>
          <w:highlight w:val="none"/>
        </w:rPr>
        <w:t>年龄：</w:t>
      </w:r>
      <w:r>
        <w:rPr>
          <w:rFonts w:hint="eastAsia" w:ascii="宋体" w:hAnsi="宋体"/>
          <w:color w:val="auto"/>
          <w:highlight w:val="none"/>
          <w:u w:val="single"/>
        </w:rPr>
        <w:t xml:space="preserve">            </w:t>
      </w:r>
      <w:r>
        <w:rPr>
          <w:rFonts w:hint="eastAsia" w:ascii="宋体" w:hAnsi="宋体"/>
          <w:color w:val="auto"/>
          <w:highlight w:val="none"/>
          <w:u w:val="single"/>
        </w:rPr>
        <w:t xml:space="preserve"> </w:t>
      </w:r>
      <w:r>
        <w:rPr>
          <w:rFonts w:hint="eastAsia" w:ascii="宋体" w:hAnsi="宋体"/>
          <w:color w:val="auto"/>
          <w:highlight w:val="none"/>
        </w:rPr>
        <w:t>职务：</w:t>
      </w:r>
      <w:r>
        <w:rPr>
          <w:rFonts w:hint="eastAsia" w:ascii="宋体" w:hAnsi="宋体"/>
          <w:color w:val="auto"/>
          <w:highlight w:val="none"/>
          <w:u w:val="single"/>
        </w:rPr>
        <w:t xml:space="preserve">               </w:t>
      </w:r>
    </w:p>
    <w:p w14:paraId="6FBEE724">
      <w:pPr>
        <w:pStyle w:val="7"/>
        <w:snapToGrid w:val="0"/>
        <w:spacing w:line="360" w:lineRule="auto"/>
        <w:ind w:firstLine="480" w:firstLineChars="200"/>
        <w:rPr>
          <w:rFonts w:ascii="宋体" w:hAnsi="宋体"/>
          <w:color w:val="auto"/>
          <w:highlight w:val="none"/>
        </w:rPr>
      </w:pPr>
      <w:r>
        <w:rPr>
          <w:rFonts w:hint="eastAsia" w:ascii="宋体" w:hAnsi="宋体"/>
          <w:color w:val="auto"/>
          <w:highlight w:val="none"/>
        </w:rPr>
        <w:t>系：</w:t>
      </w:r>
      <w:r>
        <w:rPr>
          <w:rFonts w:hint="eastAsia" w:ascii="宋体" w:hAnsi="宋体"/>
          <w:color w:val="auto"/>
          <w:highlight w:val="none"/>
          <w:u w:val="single"/>
        </w:rPr>
        <w:t xml:space="preserve">                              </w:t>
      </w:r>
      <w:r>
        <w:rPr>
          <w:rFonts w:hint="eastAsia" w:ascii="宋体" w:hAnsi="宋体"/>
          <w:color w:val="auto"/>
          <w:highlight w:val="none"/>
        </w:rPr>
        <w:t>(投标人单位名称)的法定代表人。</w:t>
      </w:r>
    </w:p>
    <w:p w14:paraId="09B63C21">
      <w:pPr>
        <w:pStyle w:val="7"/>
        <w:snapToGrid w:val="0"/>
        <w:spacing w:line="360" w:lineRule="auto"/>
        <w:ind w:firstLine="480" w:firstLineChars="200"/>
        <w:rPr>
          <w:rFonts w:ascii="宋体" w:hAnsi="宋体"/>
          <w:color w:val="auto"/>
          <w:highlight w:val="none"/>
        </w:rPr>
      </w:pPr>
      <w:r>
        <w:rPr>
          <w:rFonts w:hint="eastAsia" w:ascii="宋体" w:hAnsi="宋体"/>
          <w:color w:val="auto"/>
          <w:highlight w:val="none"/>
        </w:rPr>
        <w:t>法定代表人联系电话：</w:t>
      </w:r>
      <w:r>
        <w:rPr>
          <w:rFonts w:hint="eastAsia" w:ascii="宋体" w:hAnsi="宋体"/>
          <w:color w:val="auto"/>
          <w:sz w:val="30"/>
          <w:highlight w:val="none"/>
          <w:u w:val="single"/>
        </w:rPr>
        <w:t xml:space="preserve">                     </w:t>
      </w:r>
    </w:p>
    <w:p w14:paraId="2F2D6EC5">
      <w:pPr>
        <w:pStyle w:val="7"/>
        <w:snapToGrid w:val="0"/>
        <w:spacing w:line="360" w:lineRule="auto"/>
        <w:ind w:firstLine="480" w:firstLineChars="200"/>
        <w:rPr>
          <w:rFonts w:ascii="宋体" w:hAnsi="宋体"/>
          <w:color w:val="auto"/>
          <w:highlight w:val="none"/>
        </w:rPr>
      </w:pPr>
      <w:r>
        <w:rPr>
          <w:rFonts w:hint="eastAsia" w:ascii="宋体" w:hAnsi="宋体"/>
          <w:color w:val="auto"/>
          <w:highlight w:val="none"/>
        </w:rPr>
        <w:t>特此证明。</w:t>
      </w:r>
    </w:p>
    <w:p w14:paraId="7CFF388E">
      <w:pPr>
        <w:pStyle w:val="7"/>
        <w:spacing w:line="360" w:lineRule="auto"/>
        <w:ind w:firstLine="600" w:firstLineChars="200"/>
        <w:rPr>
          <w:rFonts w:ascii="宋体" w:hAnsi="宋体"/>
          <w:color w:val="auto"/>
          <w:sz w:val="30"/>
          <w:highlight w:val="none"/>
        </w:rPr>
      </w:pPr>
      <w:r>
        <w:rPr>
          <w:rFonts w:hint="eastAsia" w:ascii="宋体" w:hAnsi="宋体"/>
          <w:color w:val="auto"/>
          <w:sz w:val="30"/>
          <w:highlight w:val="none"/>
        </w:rPr>
        <mc:AlternateContent>
          <mc:Choice Requires="wps">
            <w:drawing>
              <wp:anchor distT="0" distB="0" distL="114300" distR="114300" simplePos="0" relativeHeight="251662336" behindDoc="0" locked="0" layoutInCell="1" allowOverlap="1">
                <wp:simplePos x="0" y="0"/>
                <wp:positionH relativeFrom="column">
                  <wp:posOffset>-165735</wp:posOffset>
                </wp:positionH>
                <wp:positionV relativeFrom="paragraph">
                  <wp:posOffset>395605</wp:posOffset>
                </wp:positionV>
                <wp:extent cx="5964555" cy="1931670"/>
                <wp:effectExtent l="0" t="0" r="17145" b="11430"/>
                <wp:wrapNone/>
                <wp:docPr id="10" name="圆角矩形 10"/>
                <wp:cNvGraphicFramePr/>
                <a:graphic xmlns:a="http://schemas.openxmlformats.org/drawingml/2006/main">
                  <a:graphicData uri="http://schemas.microsoft.com/office/word/2010/wordprocessingShape">
                    <wps:wsp>
                      <wps:cNvSpPr/>
                      <wps:spPr>
                        <a:xfrm>
                          <a:off x="0" y="0"/>
                          <a:ext cx="5964555" cy="1931670"/>
                        </a:xfrm>
                        <a:prstGeom prst="roundRect">
                          <a:avLst>
                            <a:gd name="adj" fmla="val 16667"/>
                          </a:avLst>
                        </a:prstGeom>
                        <a:noFill/>
                        <a:ln w="15875" cap="flat" cmpd="sng">
                          <a:solidFill>
                            <a:srgbClr val="000000"/>
                          </a:solidFill>
                          <a:prstDash val="dash"/>
                          <a:headEnd type="none" w="med" len="med"/>
                          <a:tailEnd type="none" w="med" len="med"/>
                        </a:ln>
                      </wps:spPr>
                      <wps:txbx>
                        <w:txbxContent>
                          <w:p w14:paraId="1D7E745B"/>
                        </w:txbxContent>
                      </wps:txbx>
                      <wps:bodyPr wrap="square" upright="1"/>
                    </wps:wsp>
                  </a:graphicData>
                </a:graphic>
              </wp:anchor>
            </w:drawing>
          </mc:Choice>
          <mc:Fallback>
            <w:pict>
              <v:roundrect id="_x0000_s1026" o:spid="_x0000_s1026" o:spt="2" style="position:absolute;left:0pt;margin-left:-13.05pt;margin-top:31.15pt;height:152.1pt;width:469.65pt;z-index:251662336;mso-width-relative:page;mso-height-relative:page;" filled="f" stroked="t" coordsize="21600,21600" arcsize="0.166666666666667" o:gfxdata="UEsDBAoAAAAAAIdO4kAAAAAAAAAAAAAAAAAEAAAAZHJzL1BLAwQUAAAACACHTuJAWC+X+dkAAAAK&#10;AQAADwAAAGRycy9kb3ducmV2LnhtbE2PwU7DMBBE70j8g7WVuLV2EtWCNE6FkJC4ASkXbtvYTaLG&#10;6zR2mvTvMSc4ruZp5m2xX2zPrmb0nSMFyUYAM1Q73VGj4Ovwun4E5gOSxt6RUXAzHvbl/V2BuXYz&#10;fZprFRoWS8jnqKANYcg593VrLPqNGwzF7ORGiyGeY8P1iHMstz1PhZDcYkdxocXBvLSmPleTVfB8&#10;md4/tt8nsczCX268Or9hJ5R6WCViByyYJfzB8Ksf1aGMTkc3kfasV7BOZRJRBTLNgEXgKclSYEcF&#10;mZRb4GXB/79Q/gBQSwMEFAAAAAgAh07iQIjNEEopAgAAPgQAAA4AAABkcnMvZTJvRG9jLnhtbK1T&#10;S44TMRDdI3EHy3vS6YF0ZqJ0ZkEYNghGDBygYru7jfzDdtKdC3AA1khIbBCH4DgjOAZlp8nAsMmC&#10;LDrPdvlVvVfl5eWgFdkJH6Q1NS0nU0qEYZZL09b07ZurR+eUhAiGg7JG1HQvAr1cPXyw7N1CnNnO&#10;Ki48QRITFr2raRejWxRFYJ3QECbWCYOHjfUaIi59W3APPbJrVZxNp1XRW8+dt0yEgLvrwyEdGf0p&#10;hLZpJBNry7ZamHhg9UJBREmhky7QVa62aQSLr5omiEhUTVFpzF9MgniTvsVqCYvWg+skG0uAU0q4&#10;p0mDNJj0SLWGCGTr5T9UWjJvg23ihFldHIRkR1BFOb3nzU0HTmQtaHVwR9PD/6NlL3fXnkiOk4CW&#10;GNDY8dtPH35+/fjj87fb718IbqNHvQsLDL1x135cBYRJ8NB4nf5RChmyr/ujr2KIhOHm7KJ6MpvN&#10;KGF4Vl48Lqt5Zi3urjsf4nNhNUmgpt5uDX+N3cumwu5FiNldPpYI/B0ljVbYqx0oUlZVNU91IuMY&#10;jOg3Z7pp7JVUKndbGdJjGbPzeaoIcIQbHB2E2qENwbQ5Z7BK8nQn3Q6+3TxVnmAuFJd/Y7a/wlLC&#10;NYTuEMcRpShYdAL4M8NJ3Du01+CzoqkELTglSuArTChHRpDqlEhUpwzKTX05dCKhOGwGpElwY/ke&#10;G9vjZKOm91vwmHPrvGw7tLfM1ac4HKvs2vgE0tz+uc4p7p796hd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BYL5f52QAAAAoBAAAPAAAAAAAAAAEAIAAAACIAAABkcnMvZG93bnJldi54bWxQSwECFAAU&#10;AAAACACHTuJAiM0QSikCAAA+BAAADgAAAAAAAAABACAAAAAoAQAAZHJzL2Uyb0RvYy54bWxQSwUG&#10;AAAAAAYABgBZAQAAwwUAAAAA&#10;">
                <v:fill on="f" focussize="0,0"/>
                <v:stroke weight="1.25pt" color="#000000" joinstyle="round" dashstyle="dash"/>
                <v:imagedata o:title=""/>
                <o:lock v:ext="edit" aspectratio="f"/>
                <v:textbox>
                  <w:txbxContent>
                    <w:p w14:paraId="1D7E745B"/>
                  </w:txbxContent>
                </v:textbox>
              </v:roundrect>
            </w:pict>
          </mc:Fallback>
        </mc:AlternateContent>
      </w:r>
    </w:p>
    <w:p w14:paraId="66299A3E">
      <w:pPr>
        <w:pStyle w:val="7"/>
        <w:spacing w:line="360" w:lineRule="auto"/>
        <w:ind w:firstLine="600" w:firstLineChars="200"/>
        <w:jc w:val="center"/>
        <w:rPr>
          <w:rFonts w:ascii="宋体" w:hAnsi="宋体"/>
          <w:color w:val="auto"/>
          <w:sz w:val="30"/>
          <w:highlight w:val="none"/>
        </w:rPr>
      </w:pPr>
    </w:p>
    <w:p w14:paraId="650F23B3">
      <w:pPr>
        <w:pStyle w:val="7"/>
        <w:spacing w:line="360" w:lineRule="auto"/>
        <w:ind w:firstLineChars="200"/>
        <w:rPr>
          <w:rFonts w:ascii="宋体" w:hAnsi="宋体"/>
          <w:b/>
          <w:color w:val="auto"/>
          <w:highlight w:val="none"/>
        </w:rPr>
      </w:pPr>
      <w:r>
        <w:rPr>
          <w:rFonts w:hint="eastAsia" w:ascii="宋体" w:hAnsi="宋体"/>
          <w:b/>
          <w:color w:val="auto"/>
          <w:highlight w:val="none"/>
        </w:rPr>
        <w:t>法定代表人身份证复印件贴于此处，并加盖单位公章，否则该证明无效。</w:t>
      </w:r>
    </w:p>
    <w:p w14:paraId="10D96871">
      <w:pPr>
        <w:pStyle w:val="7"/>
        <w:spacing w:line="360" w:lineRule="auto"/>
        <w:ind w:firstLine="600" w:firstLineChars="200"/>
        <w:jc w:val="center"/>
        <w:rPr>
          <w:rFonts w:ascii="宋体" w:hAnsi="宋体"/>
          <w:color w:val="auto"/>
          <w:sz w:val="30"/>
          <w:highlight w:val="none"/>
        </w:rPr>
      </w:pPr>
    </w:p>
    <w:p w14:paraId="7F88656E">
      <w:pPr>
        <w:pStyle w:val="7"/>
        <w:spacing w:line="360" w:lineRule="auto"/>
        <w:ind w:firstLine="600" w:firstLineChars="200"/>
        <w:jc w:val="center"/>
        <w:rPr>
          <w:rFonts w:ascii="宋体" w:hAnsi="宋体"/>
          <w:color w:val="auto"/>
          <w:sz w:val="30"/>
          <w:highlight w:val="none"/>
        </w:rPr>
      </w:pPr>
    </w:p>
    <w:p w14:paraId="2EA81783">
      <w:pPr>
        <w:pStyle w:val="7"/>
        <w:snapToGrid w:val="0"/>
        <w:spacing w:line="360" w:lineRule="auto"/>
        <w:ind w:firstLine="480" w:firstLineChars="200"/>
        <w:rPr>
          <w:rFonts w:ascii="宋体" w:hAnsi="宋体"/>
          <w:color w:val="auto"/>
          <w:highlight w:val="none"/>
        </w:rPr>
      </w:pPr>
    </w:p>
    <w:p w14:paraId="019ABB75">
      <w:pPr>
        <w:pStyle w:val="7"/>
        <w:snapToGrid w:val="0"/>
        <w:spacing w:line="360" w:lineRule="auto"/>
        <w:ind w:firstLine="480" w:firstLineChars="200"/>
        <w:rPr>
          <w:rFonts w:ascii="宋体" w:hAnsi="宋体"/>
          <w:color w:val="auto"/>
          <w:highlight w:val="none"/>
        </w:rPr>
      </w:pPr>
    </w:p>
    <w:p w14:paraId="28163A31">
      <w:pPr>
        <w:pStyle w:val="7"/>
        <w:snapToGrid w:val="0"/>
        <w:spacing w:line="360" w:lineRule="auto"/>
        <w:ind w:firstLine="480" w:firstLineChars="200"/>
        <w:rPr>
          <w:rFonts w:ascii="宋体" w:hAnsi="宋体"/>
          <w:color w:val="auto"/>
          <w:highlight w:val="none"/>
        </w:rPr>
      </w:pPr>
    </w:p>
    <w:p w14:paraId="77C3369A">
      <w:pPr>
        <w:pStyle w:val="7"/>
        <w:snapToGrid w:val="0"/>
        <w:spacing w:line="360" w:lineRule="auto"/>
        <w:ind w:firstLine="480" w:firstLineChars="200"/>
        <w:jc w:val="right"/>
        <w:rPr>
          <w:rFonts w:ascii="宋体" w:hAnsi="宋体"/>
          <w:color w:val="auto"/>
          <w:highlight w:val="none"/>
        </w:rPr>
      </w:pPr>
      <w:r>
        <w:rPr>
          <w:rFonts w:hint="eastAsia" w:ascii="宋体" w:hAnsi="宋体"/>
          <w:color w:val="auto"/>
          <w:highlight w:val="none"/>
        </w:rPr>
        <w:t>投标人：</w:t>
      </w:r>
      <w:r>
        <w:rPr>
          <w:rFonts w:hint="eastAsia" w:ascii="宋体" w:hAnsi="宋体"/>
          <w:color w:val="auto"/>
          <w:highlight w:val="none"/>
          <w:u w:val="single"/>
        </w:rPr>
        <w:t xml:space="preserve">                 </w:t>
      </w:r>
      <w:r>
        <w:rPr>
          <w:rFonts w:hint="eastAsia" w:ascii="宋体" w:hAnsi="宋体"/>
          <w:color w:val="auto"/>
          <w:highlight w:val="none"/>
        </w:rPr>
        <w:t>(盖单位章)</w:t>
      </w:r>
    </w:p>
    <w:p w14:paraId="17129E42">
      <w:pPr>
        <w:pStyle w:val="7"/>
        <w:snapToGrid w:val="0"/>
        <w:spacing w:line="360" w:lineRule="auto"/>
        <w:ind w:firstLine="480" w:firstLineChars="200"/>
        <w:jc w:val="right"/>
        <w:rPr>
          <w:rFonts w:ascii="宋体" w:hAnsi="宋体"/>
          <w:color w:val="auto"/>
          <w:highlight w:val="none"/>
          <w:u w:val="single"/>
        </w:rPr>
      </w:pPr>
      <w:r>
        <w:rPr>
          <w:rFonts w:hint="eastAsia" w:ascii="宋体" w:hAnsi="宋体"/>
          <w:color w:val="auto"/>
          <w:highlight w:val="none"/>
        </w:rPr>
        <w:t>日   期：</w:t>
      </w:r>
      <w:r>
        <w:rPr>
          <w:rFonts w:hint="eastAsia" w:ascii="宋体" w:hAnsi="宋体"/>
          <w:color w:val="auto"/>
          <w:highlight w:val="none"/>
          <w:u w:val="single"/>
        </w:rPr>
        <w:t xml:space="preserve">        </w:t>
      </w:r>
      <w:r>
        <w:rPr>
          <w:rFonts w:hint="eastAsia" w:ascii="宋体" w:hAnsi="宋体"/>
          <w:color w:val="auto"/>
          <w:highlight w:val="none"/>
        </w:rPr>
        <w:t>年</w:t>
      </w:r>
      <w:r>
        <w:rPr>
          <w:rFonts w:hint="eastAsia" w:ascii="宋体" w:hAnsi="宋体"/>
          <w:color w:val="auto"/>
          <w:highlight w:val="none"/>
          <w:u w:val="single"/>
        </w:rPr>
        <w:t xml:space="preserve">      </w:t>
      </w:r>
      <w:r>
        <w:rPr>
          <w:rFonts w:hint="eastAsia" w:ascii="宋体" w:hAnsi="宋体"/>
          <w:color w:val="auto"/>
          <w:highlight w:val="none"/>
        </w:rPr>
        <w:t>月</w:t>
      </w:r>
      <w:r>
        <w:rPr>
          <w:rFonts w:hint="eastAsia" w:ascii="宋体" w:hAnsi="宋体"/>
          <w:color w:val="auto"/>
          <w:highlight w:val="none"/>
          <w:u w:val="single"/>
        </w:rPr>
        <w:t xml:space="preserve">      </w:t>
      </w:r>
      <w:r>
        <w:rPr>
          <w:rFonts w:hint="eastAsia" w:ascii="宋体" w:hAnsi="宋体"/>
          <w:color w:val="auto"/>
          <w:highlight w:val="none"/>
        </w:rPr>
        <w:t>日</w:t>
      </w:r>
    </w:p>
    <w:p w14:paraId="404DFFDA">
      <w:pPr>
        <w:pStyle w:val="7"/>
        <w:spacing w:line="360" w:lineRule="auto"/>
        <w:ind w:firstLine="500" w:firstLineChars="200"/>
        <w:jc w:val="center"/>
        <w:rPr>
          <w:rFonts w:ascii="宋体" w:hAnsi="宋体"/>
          <w:color w:val="auto"/>
          <w:sz w:val="25"/>
          <w:highlight w:val="none"/>
        </w:rPr>
      </w:pPr>
    </w:p>
    <w:p w14:paraId="0B5D18AD">
      <w:pPr>
        <w:pStyle w:val="7"/>
        <w:spacing w:line="360" w:lineRule="auto"/>
        <w:ind w:firstLine="500" w:firstLineChars="200"/>
        <w:jc w:val="center"/>
        <w:rPr>
          <w:rFonts w:ascii="宋体" w:hAnsi="宋体"/>
          <w:color w:val="auto"/>
          <w:sz w:val="25"/>
          <w:highlight w:val="none"/>
        </w:rPr>
      </w:pPr>
    </w:p>
    <w:p w14:paraId="0D886D75">
      <w:pPr>
        <w:pStyle w:val="7"/>
        <w:spacing w:line="360" w:lineRule="auto"/>
        <w:ind w:firstLine="500" w:firstLineChars="200"/>
        <w:jc w:val="center"/>
        <w:rPr>
          <w:rFonts w:ascii="宋体" w:hAnsi="宋体"/>
          <w:color w:val="auto"/>
          <w:sz w:val="25"/>
          <w:highlight w:val="none"/>
        </w:rPr>
      </w:pPr>
    </w:p>
    <w:p w14:paraId="45DBD55B">
      <w:pPr>
        <w:pStyle w:val="7"/>
        <w:spacing w:line="360" w:lineRule="auto"/>
        <w:ind w:firstLine="0"/>
        <w:rPr>
          <w:rFonts w:ascii="宋体" w:hAnsi="宋体"/>
          <w:color w:val="auto"/>
          <w:sz w:val="25"/>
          <w:highlight w:val="none"/>
        </w:rPr>
      </w:pPr>
    </w:p>
    <w:p w14:paraId="1D94D236">
      <w:pPr>
        <w:pStyle w:val="3"/>
        <w:jc w:val="center"/>
        <w:rPr>
          <w:rFonts w:ascii="宋体" w:hAnsi="宋体"/>
          <w:b w:val="0"/>
          <w:color w:val="auto"/>
          <w:sz w:val="30"/>
          <w:highlight w:val="none"/>
        </w:rPr>
      </w:pPr>
      <w:r>
        <w:rPr>
          <w:rFonts w:ascii="宋体" w:hAnsi="宋体"/>
          <w:color w:val="auto"/>
          <w:sz w:val="28"/>
          <w:szCs w:val="28"/>
          <w:highlight w:val="none"/>
        </w:rPr>
        <w:br w:type="page"/>
      </w:r>
      <w:r>
        <w:rPr>
          <w:rFonts w:hint="eastAsia" w:ascii="宋体" w:hAnsi="宋体"/>
          <w:b w:val="0"/>
          <w:color w:val="auto"/>
          <w:sz w:val="30"/>
          <w:highlight w:val="none"/>
        </w:rPr>
        <w:t>二、授权委托书</w:t>
      </w:r>
    </w:p>
    <w:p w14:paraId="71512666">
      <w:pPr>
        <w:pStyle w:val="7"/>
        <w:snapToGrid w:val="0"/>
        <w:spacing w:line="360" w:lineRule="auto"/>
        <w:ind w:firstLine="480" w:firstLineChars="200"/>
        <w:rPr>
          <w:rFonts w:ascii="宋体" w:hAnsi="宋体"/>
          <w:color w:val="auto"/>
          <w:highlight w:val="none"/>
        </w:rPr>
      </w:pPr>
    </w:p>
    <w:p w14:paraId="513B0D84">
      <w:pPr>
        <w:pStyle w:val="7"/>
        <w:snapToGrid w:val="0"/>
        <w:spacing w:line="360" w:lineRule="auto"/>
        <w:ind w:firstLine="480" w:firstLineChars="200"/>
        <w:rPr>
          <w:rFonts w:ascii="宋体" w:hAnsi="宋体"/>
          <w:color w:val="auto"/>
          <w:highlight w:val="none"/>
        </w:rPr>
      </w:pPr>
      <w:r>
        <w:rPr>
          <w:rFonts w:hint="eastAsia" w:ascii="宋体" w:hAnsi="宋体"/>
          <w:color w:val="auto"/>
          <w:highlight w:val="none"/>
        </w:rPr>
        <w:t>本授权委托书声明：本人</w:t>
      </w:r>
      <w:r>
        <w:rPr>
          <w:rFonts w:hint="eastAsia" w:ascii="宋体" w:hAnsi="宋体"/>
          <w:color w:val="auto"/>
          <w:highlight w:val="none"/>
          <w:u w:val="single"/>
        </w:rPr>
        <w:t xml:space="preserve">           </w:t>
      </w:r>
      <w:r>
        <w:rPr>
          <w:rFonts w:hint="eastAsia" w:ascii="宋体" w:hAnsi="宋体"/>
          <w:color w:val="auto"/>
          <w:highlight w:val="none"/>
        </w:rPr>
        <w:t>(姓名)系</w:t>
      </w:r>
      <w:r>
        <w:rPr>
          <w:rFonts w:hint="eastAsia" w:ascii="宋体" w:hAnsi="宋体"/>
          <w:color w:val="auto"/>
          <w:highlight w:val="none"/>
          <w:u w:val="single"/>
        </w:rPr>
        <w:t xml:space="preserve">                       </w:t>
      </w:r>
      <w:r>
        <w:rPr>
          <w:rFonts w:hint="eastAsia" w:ascii="宋体" w:hAnsi="宋体"/>
          <w:color w:val="auto"/>
          <w:highlight w:val="none"/>
        </w:rPr>
        <w:t>(投标人单位名称)的法定代表人，现委托</w:t>
      </w:r>
      <w:r>
        <w:rPr>
          <w:rFonts w:hint="eastAsia" w:ascii="宋体" w:hAnsi="宋体"/>
          <w:color w:val="auto"/>
          <w:highlight w:val="none"/>
          <w:u w:val="single"/>
        </w:rPr>
        <w:t xml:space="preserve">        </w:t>
      </w:r>
      <w:r>
        <w:rPr>
          <w:rFonts w:hint="eastAsia" w:ascii="宋体" w:hAnsi="宋体"/>
          <w:color w:val="auto"/>
          <w:highlight w:val="none"/>
        </w:rPr>
        <w:t>(姓名)（身份证号：</w:t>
      </w:r>
      <w:r>
        <w:rPr>
          <w:rFonts w:hint="eastAsia" w:ascii="宋体" w:hAnsi="宋体"/>
          <w:color w:val="auto"/>
          <w:highlight w:val="none"/>
          <w:u w:val="single"/>
        </w:rPr>
        <w:t xml:space="preserve">                   </w:t>
      </w:r>
      <w:r>
        <w:rPr>
          <w:rFonts w:hint="eastAsia" w:ascii="宋体" w:hAnsi="宋体"/>
          <w:color w:val="auto"/>
          <w:highlight w:val="none"/>
        </w:rPr>
        <w:t>）为我方代理人。代理人根据授权，以我方名义签署、澄清、说明、补正、递交、撤回、修改</w:t>
      </w:r>
      <w:r>
        <w:rPr>
          <w:rFonts w:hint="eastAsia" w:ascii="宋体" w:hAnsi="宋体"/>
          <w:color w:val="auto"/>
          <w:highlight w:val="none"/>
          <w:u w:val="single"/>
        </w:rPr>
        <w:t xml:space="preserve">                    </w:t>
      </w:r>
      <w:r>
        <w:rPr>
          <w:rFonts w:hint="eastAsia" w:ascii="宋体" w:hAnsi="宋体"/>
          <w:color w:val="auto"/>
          <w:highlight w:val="none"/>
        </w:rPr>
        <w:t>（项目名称）施工投标文件，签订合同和处理有关事宜，其法律后果由我方承担。</w:t>
      </w:r>
    </w:p>
    <w:p w14:paraId="61826189">
      <w:pPr>
        <w:pStyle w:val="7"/>
        <w:snapToGrid w:val="0"/>
        <w:spacing w:line="360" w:lineRule="auto"/>
        <w:ind w:firstLine="480" w:firstLineChars="200"/>
        <w:rPr>
          <w:rFonts w:ascii="宋体" w:hAnsi="宋体"/>
          <w:color w:val="auto"/>
          <w:highlight w:val="none"/>
        </w:rPr>
      </w:pPr>
      <w:r>
        <w:rPr>
          <w:rFonts w:hint="eastAsia" w:ascii="宋体" w:hAnsi="宋体"/>
          <w:color w:val="auto"/>
          <w:highlight w:val="none"/>
        </w:rPr>
        <w:t>委托期限：</w:t>
      </w:r>
      <w:r>
        <w:rPr>
          <w:rFonts w:hint="eastAsia" w:ascii="宋体" w:hAnsi="宋体"/>
          <w:color w:val="auto"/>
          <w:highlight w:val="none"/>
          <w:u w:val="single"/>
        </w:rPr>
        <w:t xml:space="preserve">             </w:t>
      </w:r>
      <w:r>
        <w:rPr>
          <w:rFonts w:hint="eastAsia" w:ascii="宋体" w:hAnsi="宋体"/>
          <w:color w:val="auto"/>
          <w:highlight w:val="none"/>
        </w:rPr>
        <w:t>。</w:t>
      </w:r>
    </w:p>
    <w:p w14:paraId="61E4A3C7">
      <w:pPr>
        <w:pStyle w:val="7"/>
        <w:snapToGrid w:val="0"/>
        <w:spacing w:line="360" w:lineRule="auto"/>
        <w:ind w:firstLine="480" w:firstLineChars="200"/>
        <w:jc w:val="left"/>
        <w:rPr>
          <w:rFonts w:ascii="宋体" w:hAnsi="宋体"/>
          <w:color w:val="auto"/>
          <w:sz w:val="28"/>
          <w:szCs w:val="28"/>
          <w:highlight w:val="none"/>
        </w:rPr>
      </w:pPr>
      <w:r>
        <w:rPr>
          <w:rFonts w:hint="eastAsia" w:ascii="宋体" w:hAnsi="宋体"/>
          <w:color w:val="auto"/>
          <w:highlight w:val="none"/>
        </w:rPr>
        <w:t>授权委托人联系电话：</w:t>
      </w:r>
      <w:r>
        <w:rPr>
          <w:rFonts w:hint="eastAsia" w:ascii="宋体" w:hAnsi="宋体"/>
          <w:color w:val="auto"/>
          <w:sz w:val="28"/>
          <w:szCs w:val="28"/>
          <w:highlight w:val="none"/>
          <w:u w:val="single"/>
        </w:rPr>
        <w:t xml:space="preserve">                          </w:t>
      </w:r>
    </w:p>
    <w:p w14:paraId="1B6BEF6C">
      <w:pPr>
        <w:pStyle w:val="7"/>
        <w:snapToGrid w:val="0"/>
        <w:spacing w:line="360" w:lineRule="auto"/>
        <w:ind w:firstLine="480" w:firstLineChars="200"/>
        <w:rPr>
          <w:rFonts w:ascii="宋体" w:hAnsi="宋体"/>
          <w:color w:val="auto"/>
          <w:highlight w:val="none"/>
        </w:rPr>
      </w:pPr>
      <w:r>
        <w:rPr>
          <w:rFonts w:hint="eastAsia" w:ascii="宋体" w:hAnsi="宋体"/>
          <w:color w:val="auto"/>
          <w:highlight w:val="none"/>
        </w:rPr>
        <w:t>代理人无转委托权。</w:t>
      </w:r>
    </w:p>
    <w:p w14:paraId="16CCCBD1">
      <w:pPr>
        <w:pStyle w:val="7"/>
        <w:snapToGrid w:val="0"/>
        <w:spacing w:line="360" w:lineRule="auto"/>
        <w:ind w:firstLine="480" w:firstLineChars="200"/>
        <w:rPr>
          <w:rFonts w:ascii="宋体" w:hAnsi="宋体"/>
          <w:color w:val="auto"/>
          <w:highlight w:val="none"/>
        </w:rPr>
      </w:pPr>
    </w:p>
    <w:p w14:paraId="49B3D2A3">
      <w:pPr>
        <w:pStyle w:val="7"/>
        <w:snapToGrid w:val="0"/>
        <w:spacing w:line="360" w:lineRule="auto"/>
        <w:ind w:firstLine="480" w:firstLineChars="200"/>
        <w:rPr>
          <w:rFonts w:ascii="宋体" w:hAnsi="宋体"/>
          <w:color w:val="auto"/>
          <w:highlight w:val="none"/>
        </w:rPr>
      </w:pPr>
      <w:r>
        <w:rPr>
          <w:rFonts w:hint="eastAsia" w:ascii="宋体" w:hAnsi="宋体"/>
          <w:color w:val="auto"/>
          <w:highlight w:val="none"/>
        </w:rPr>
        <w:t>代理人：</w:t>
      </w:r>
      <w:r>
        <w:rPr>
          <w:rFonts w:hint="eastAsia" w:ascii="宋体" w:hAnsi="宋体"/>
          <w:color w:val="auto"/>
          <w:highlight w:val="none"/>
          <w:u w:val="single"/>
        </w:rPr>
        <w:t xml:space="preserve">          </w:t>
      </w:r>
      <w:r>
        <w:rPr>
          <w:rFonts w:hint="eastAsia" w:ascii="宋体" w:hAnsi="宋体"/>
          <w:color w:val="auto"/>
          <w:highlight w:val="none"/>
        </w:rPr>
        <w:t xml:space="preserve"> </w:t>
      </w:r>
      <w:r>
        <w:rPr>
          <w:rFonts w:hint="eastAsia" w:ascii="宋体" w:hAnsi="宋体"/>
          <w:color w:val="auto"/>
          <w:highlight w:val="none"/>
        </w:rPr>
        <w:t>性别：</w:t>
      </w:r>
      <w:r>
        <w:rPr>
          <w:rFonts w:hint="eastAsia" w:ascii="宋体" w:hAnsi="宋体"/>
          <w:color w:val="auto"/>
          <w:highlight w:val="none"/>
          <w:u w:val="single"/>
        </w:rPr>
        <w:t xml:space="preserve">                </w:t>
      </w:r>
      <w:r>
        <w:rPr>
          <w:rFonts w:hint="eastAsia" w:ascii="宋体" w:hAnsi="宋体"/>
          <w:color w:val="auto"/>
          <w:highlight w:val="none"/>
        </w:rPr>
        <w:t>年龄：</w:t>
      </w:r>
      <w:r>
        <w:rPr>
          <w:rFonts w:hint="eastAsia" w:ascii="宋体" w:hAnsi="宋体"/>
          <w:color w:val="auto"/>
          <w:highlight w:val="none"/>
          <w:u w:val="single"/>
        </w:rPr>
        <w:t xml:space="preserve">               </w:t>
      </w:r>
    </w:p>
    <w:p w14:paraId="12A49C85">
      <w:pPr>
        <w:pStyle w:val="7"/>
        <w:snapToGrid w:val="0"/>
        <w:spacing w:line="360" w:lineRule="auto"/>
        <w:ind w:firstLine="480" w:firstLineChars="200"/>
        <w:rPr>
          <w:rFonts w:ascii="宋体" w:hAnsi="宋体"/>
          <w:color w:val="auto"/>
          <w:highlight w:val="none"/>
        </w:rPr>
      </w:pPr>
      <w:r>
        <w:rPr>
          <w:rFonts w:hint="eastAsia" w:ascii="宋体" w:hAnsi="宋体"/>
          <w:color w:val="auto"/>
          <w:highlight w:val="none"/>
        </w:rPr>
        <w:t>代理人单位：</w:t>
      </w:r>
      <w:r>
        <w:rPr>
          <w:rFonts w:hint="eastAsia" w:ascii="宋体" w:hAnsi="宋体"/>
          <w:color w:val="auto"/>
          <w:highlight w:val="none"/>
          <w:u w:val="single"/>
        </w:rPr>
        <w:t xml:space="preserve">                    </w:t>
      </w:r>
      <w:r>
        <w:rPr>
          <w:rFonts w:hint="eastAsia" w:ascii="宋体" w:hAnsi="宋体"/>
          <w:color w:val="auto"/>
          <w:highlight w:val="none"/>
        </w:rPr>
        <w:t>部门：</w:t>
      </w:r>
      <w:r>
        <w:rPr>
          <w:rFonts w:hint="eastAsia" w:ascii="宋体" w:hAnsi="宋体"/>
          <w:color w:val="auto"/>
          <w:highlight w:val="none"/>
          <w:u w:val="single"/>
        </w:rPr>
        <w:t xml:space="preserve">              </w:t>
      </w:r>
      <w:r>
        <w:rPr>
          <w:rFonts w:hint="eastAsia" w:ascii="宋体" w:hAnsi="宋体"/>
          <w:color w:val="auto"/>
          <w:highlight w:val="none"/>
        </w:rPr>
        <w:t>职务：</w:t>
      </w:r>
      <w:r>
        <w:rPr>
          <w:rFonts w:hint="eastAsia" w:ascii="宋体" w:hAnsi="宋体"/>
          <w:color w:val="auto"/>
          <w:highlight w:val="none"/>
          <w:u w:val="single"/>
        </w:rPr>
        <w:t xml:space="preserve">               </w:t>
      </w:r>
    </w:p>
    <w:p w14:paraId="501563F8">
      <w:pPr>
        <w:pStyle w:val="7"/>
        <w:snapToGrid w:val="0"/>
        <w:spacing w:line="360" w:lineRule="auto"/>
        <w:ind w:firstLine="480" w:firstLineChars="200"/>
        <w:rPr>
          <w:rFonts w:ascii="宋体" w:hAnsi="宋体"/>
          <w:color w:val="auto"/>
          <w:highlight w:val="none"/>
        </w:rPr>
      </w:pPr>
    </w:p>
    <w:p w14:paraId="5FA91023">
      <w:pPr>
        <w:pStyle w:val="7"/>
        <w:snapToGrid w:val="0"/>
        <w:spacing w:line="360" w:lineRule="auto"/>
        <w:ind w:firstLine="480" w:firstLineChars="200"/>
        <w:rPr>
          <w:rFonts w:ascii="宋体" w:hAnsi="宋体"/>
          <w:color w:val="auto"/>
          <w:highlight w:val="none"/>
        </w:rPr>
      </w:pPr>
      <w:r>
        <w:rPr>
          <w:rFonts w:hint="eastAsia" w:ascii="宋体" w:hAnsi="宋体"/>
          <w:color w:val="auto"/>
          <w:highlight w:val="none"/>
        </w:rPr>
        <w:t>投标人：</w:t>
      </w:r>
      <w:r>
        <w:rPr>
          <w:rFonts w:hint="eastAsia" w:ascii="宋体" w:hAnsi="宋体"/>
          <w:color w:val="auto"/>
          <w:highlight w:val="none"/>
          <w:u w:val="single"/>
        </w:rPr>
        <w:t xml:space="preserve">                       </w:t>
      </w:r>
      <w:r>
        <w:rPr>
          <w:rFonts w:hint="eastAsia" w:ascii="宋体" w:hAnsi="宋体"/>
          <w:color w:val="auto"/>
          <w:highlight w:val="none"/>
        </w:rPr>
        <w:t>(盖单位章)</w:t>
      </w:r>
    </w:p>
    <w:p w14:paraId="73DCEFE5">
      <w:pPr>
        <w:pStyle w:val="7"/>
        <w:snapToGrid w:val="0"/>
        <w:spacing w:line="360" w:lineRule="auto"/>
        <w:ind w:firstLine="0"/>
        <w:rPr>
          <w:rFonts w:ascii="宋体" w:hAnsi="宋体"/>
          <w:color w:val="auto"/>
          <w:highlight w:val="none"/>
        </w:rPr>
      </w:pPr>
    </w:p>
    <w:p w14:paraId="7DEC1495">
      <w:pPr>
        <w:pStyle w:val="7"/>
        <w:snapToGrid w:val="0"/>
        <w:spacing w:line="360" w:lineRule="auto"/>
        <w:ind w:firstLine="480" w:firstLineChars="200"/>
        <w:rPr>
          <w:rFonts w:ascii="宋体" w:hAnsi="宋体"/>
          <w:color w:val="auto"/>
          <w:highlight w:val="none"/>
        </w:rPr>
      </w:pPr>
      <w:r>
        <w:rPr>
          <w:rFonts w:hint="eastAsia" w:ascii="宋体" w:hAnsi="宋体"/>
          <w:color w:val="auto"/>
          <w:highlight w:val="none"/>
        </w:rPr>
        <w:t>法定代表人：</w:t>
      </w:r>
      <w:r>
        <w:rPr>
          <w:rFonts w:hint="eastAsia" w:ascii="宋体" w:hAnsi="宋体"/>
          <w:color w:val="auto"/>
          <w:highlight w:val="none"/>
        </w:rPr>
        <w:t xml:space="preserve"> </w:t>
      </w:r>
      <w:r>
        <w:rPr>
          <w:rFonts w:hint="eastAsia" w:ascii="宋体" w:hAnsi="宋体"/>
          <w:color w:val="auto"/>
          <w:highlight w:val="none"/>
          <w:u w:val="single"/>
        </w:rPr>
        <w:t xml:space="preserve">                      </w:t>
      </w:r>
      <w:r>
        <w:rPr>
          <w:rFonts w:hint="eastAsia" w:ascii="宋体" w:hAnsi="宋体"/>
          <w:color w:val="auto"/>
          <w:highlight w:val="none"/>
        </w:rPr>
        <w:t>(签字或印章)</w:t>
      </w:r>
    </w:p>
    <w:p w14:paraId="64DE83A6">
      <w:pPr>
        <w:pStyle w:val="7"/>
        <w:spacing w:line="360" w:lineRule="auto"/>
        <w:ind w:firstLine="0"/>
        <w:jc w:val="left"/>
        <w:rPr>
          <w:rFonts w:ascii="宋体" w:hAnsi="宋体"/>
          <w:color w:val="auto"/>
          <w:sz w:val="30"/>
          <w:highlight w:val="none"/>
        </w:rPr>
      </w:pPr>
      <w:r>
        <w:rPr>
          <w:rFonts w:hint="eastAsia" w:ascii="宋体" w:hAnsi="宋体"/>
          <w:color w:val="auto"/>
          <w:sz w:val="30"/>
          <w:highlight w:val="none"/>
        </w:rPr>
        <mc:AlternateContent>
          <mc:Choice Requires="wps">
            <w:drawing>
              <wp:anchor distT="0" distB="0" distL="114300" distR="114300" simplePos="0" relativeHeight="251663360" behindDoc="0" locked="0" layoutInCell="1" allowOverlap="1">
                <wp:simplePos x="0" y="0"/>
                <wp:positionH relativeFrom="column">
                  <wp:posOffset>-89535</wp:posOffset>
                </wp:positionH>
                <wp:positionV relativeFrom="paragraph">
                  <wp:posOffset>383540</wp:posOffset>
                </wp:positionV>
                <wp:extent cx="5944235" cy="1889125"/>
                <wp:effectExtent l="0" t="0" r="18415" b="15875"/>
                <wp:wrapNone/>
                <wp:docPr id="3" name="圆角矩形 3"/>
                <wp:cNvGraphicFramePr/>
                <a:graphic xmlns:a="http://schemas.openxmlformats.org/drawingml/2006/main">
                  <a:graphicData uri="http://schemas.microsoft.com/office/word/2010/wordprocessingShape">
                    <wps:wsp>
                      <wps:cNvSpPr/>
                      <wps:spPr>
                        <a:xfrm>
                          <a:off x="0" y="0"/>
                          <a:ext cx="5944235" cy="1889125"/>
                        </a:xfrm>
                        <a:prstGeom prst="roundRect">
                          <a:avLst>
                            <a:gd name="adj" fmla="val 16667"/>
                          </a:avLst>
                        </a:prstGeom>
                        <a:noFill/>
                        <a:ln w="15875" cap="flat" cmpd="sng">
                          <a:solidFill>
                            <a:srgbClr val="000000"/>
                          </a:solidFill>
                          <a:prstDash val="dash"/>
                          <a:headEnd type="none" w="med" len="med"/>
                          <a:tailEnd type="none" w="med" len="med"/>
                        </a:ln>
                      </wps:spPr>
                      <wps:txbx>
                        <w:txbxContent>
                          <w:p w14:paraId="6F2C8B5E"/>
                        </w:txbxContent>
                      </wps:txbx>
                      <wps:bodyPr wrap="square" upright="1"/>
                    </wps:wsp>
                  </a:graphicData>
                </a:graphic>
              </wp:anchor>
            </w:drawing>
          </mc:Choice>
          <mc:Fallback>
            <w:pict>
              <v:roundrect id="_x0000_s1026" o:spid="_x0000_s1026" o:spt="2" style="position:absolute;left:0pt;margin-left:-7.05pt;margin-top:30.2pt;height:148.75pt;width:468.05pt;z-index:251663360;mso-width-relative:page;mso-height-relative:page;" filled="f" stroked="t" coordsize="21600,21600" arcsize="0.166666666666667" o:gfxdata="UEsDBAoAAAAAAIdO4kAAAAAAAAAAAAAAAAAEAAAAZHJzL1BLAwQUAAAACACHTuJATz6gk9kAAAAK&#10;AQAADwAAAGRycy9kb3ducmV2LnhtbE2PwU7DMBBE70j8g7VI3Fo7oS00ZFMhJCRuQODCbRu7SdR4&#10;ncZOk/495gTH1T7NvMl3s+3E2Qy+dYyQLBUIw5XTLdcIX58viwcQPhBr6hwbhIvxsCuur3LKtJv4&#10;w5zLUIsYwj4jhCaEPpPSV42x5JeuNxx/BzdYCvEcaqkHmmK47WSq1EZaajk2NNSb58ZUx3K0CE+n&#10;8e19/X1Q86T86SLL4yu1CvH2JlGPIIKZwx8Mv/pRHYrotHcjay86hEWySiKKsFErEBHYpmkct0e4&#10;W99vQRa5/D+h+AFQSwMEFAAAAAgAh07iQKZOfJwpAgAAPAQAAA4AAABkcnMvZTJvRG9jLnhtbK1T&#10;S44TMRDdI3EHy3um08kkk2mlMwvCsEEwYuAAFdudNvIP20l3LsABWCMhsUEcguOM4BiUnSYDwyYL&#10;euEu2+VX9V5VLa56rchO+CCtqWl5NqJEGGa5NJuavn1z/WROSYhgOChrRE33ItCr5eNHi85VYmxb&#10;q7jwBEFMqDpX0zZGVxVFYK3QEM6sEwYvG+s1RNz6TcE9dIiuVTEejWZFZz133jIRAp6uDpd0QPSn&#10;ANqmkUysLNtqYeIB1QsFESmFVrpAlznbphEsvmqaICJRNUWmMa8YBO11WovlAqqNB9dKNqQAp6Tw&#10;gJMGaTDoEWoFEcjWy3+gtGTeBtvEM2Z1cSCSFUEW5eiBNrctOJG5oNTBHUUP/w+WvdzdeCJ5TSeU&#10;GNBY8LtPH35+/fjj87e771/IJCnUuVCh46278cMuoJno9o3X6Y9ESJ9V3R9VFX0kDA+nl+fn48mU&#10;EoZ35Xx+WY6nCbW4f+58iM+F1SQZNfV2a/hrrF2WFHYvQsza8iFD4O8oabTCSu1AkXI2m10MiIMz&#10;Yv/GTC+NvZZK5VorQzpMYzq/SBkBNnCDjYOmdihCMJscM1gleXqTXge/WT9VnmAsJJe/Idpfbing&#10;CkJ78ONoJS+oWgH8meEk7h2qa3CoaEpBC06JEjiDycqeEaQ6xRPZKYMCprocKpGs2K97hEnm2vI9&#10;lrXDvkZO77fgMebWeblpUd4yZ5/8sKlyHYYBSF375z6HuB/65S9QSwMECgAAAAAAh07iQAAAAAAA&#10;AAAAAAAAAAYAAABfcmVscy9QSwMEFAAAAAgAh07iQIoUZjzRAAAAlAEAAAsAAABfcmVscy8ucmVs&#10;c6WQwWrDMAyG74O9g9F9cZrDGKNOL6PQa+kewNiKYxpbRjLZ+vbzDoNl9LajfqHvE//+8JkWtSJL&#10;pGxg1/WgMDvyMQcD75fj0wsoqTZ7u1BGAzcUOIyPD/szLra2I5ljEdUoWQzMtZZXrcXNmKx0VDC3&#10;zUScbG0jB12su9qAeuj7Z82/GTBumOrkDfDJD6Aut9LMf9gpOiahqXaOkqZpiu4eVQe2ZY7uyDbh&#10;G7lGsxywGvAsGgdqWdd+BH1fv/un3tNHPuO61X6HjOuPV2+6HL8AUEsDBBQAAAAIAIdO4kB+5uUg&#10;9wAAAOEBAAATAAAAW0NvbnRlbnRfVHlwZXNdLnhtbJWRQU7DMBBF90jcwfIWJU67QAgl6YK0S0Co&#10;HGBkTxKLZGx5TGhvj5O2G0SRWNoz/78nu9wcxkFMGNg6quQqL6RA0s5Y6ir5vt9lD1JwBDIwOMJK&#10;HpHlpr69KfdHjyxSmriSfYz+USnWPY7AufNIadK6MEJMx9ApD/oDOlTrorhX2lFEilmcO2RdNtjC&#10;5xDF9pCuTyYBB5bi6bQ4syoJ3g9WQ0ymaiLzg5KdCXlKLjvcW893SUOqXwnz5DrgnHtJTxOsQfEK&#10;IT7DmDSUCayM+6KAU/53yWw5cuba1mrMm8BNir3hdLG61o5r1zj93/Ltkrp0q+WD6m9QSwECFAAU&#10;AAAACACHTuJAfublIPcAAADhAQAAEwAAAAAAAAABACAAAACbBAAAW0NvbnRlbnRfVHlwZXNdLnht&#10;bFBLAQIUAAoAAAAAAIdO4kAAAAAAAAAAAAAAAAAGAAAAAAAAAAAAEAAAAH0DAABfcmVscy9QSwEC&#10;FAAUAAAACACHTuJAihRmPNEAAACUAQAACwAAAAAAAAABACAAAAChAwAAX3JlbHMvLnJlbHNQSwEC&#10;FAAKAAAAAACHTuJAAAAAAAAAAAAAAAAABAAAAAAAAAAAABAAAAAAAAAAZHJzL1BLAQIUABQAAAAI&#10;AIdO4kBPPqCT2QAAAAoBAAAPAAAAAAAAAAEAIAAAACIAAABkcnMvZG93bnJldi54bWxQSwECFAAU&#10;AAAACACHTuJApk58nCkCAAA8BAAADgAAAAAAAAABACAAAAAoAQAAZHJzL2Uyb0RvYy54bWxQSwUG&#10;AAAAAAYABgBZAQAAwwUAAAAA&#10;">
                <v:fill on="f" focussize="0,0"/>
                <v:stroke weight="1.25pt" color="#000000" joinstyle="round" dashstyle="dash"/>
                <v:imagedata o:title=""/>
                <o:lock v:ext="edit" aspectratio="f"/>
                <v:textbox>
                  <w:txbxContent>
                    <w:p w14:paraId="6F2C8B5E"/>
                  </w:txbxContent>
                </v:textbox>
              </v:roundrect>
            </w:pict>
          </mc:Fallback>
        </mc:AlternateContent>
      </w:r>
    </w:p>
    <w:p w14:paraId="476D6A52">
      <w:pPr>
        <w:pStyle w:val="7"/>
        <w:spacing w:line="360" w:lineRule="auto"/>
        <w:ind w:firstLine="600" w:firstLineChars="200"/>
        <w:jc w:val="center"/>
        <w:rPr>
          <w:rFonts w:ascii="宋体" w:hAnsi="宋体"/>
          <w:color w:val="auto"/>
          <w:sz w:val="30"/>
          <w:highlight w:val="none"/>
        </w:rPr>
      </w:pPr>
    </w:p>
    <w:p w14:paraId="4B949EA9">
      <w:pPr>
        <w:pStyle w:val="7"/>
        <w:spacing w:line="360" w:lineRule="auto"/>
        <w:ind w:firstLine="480" w:firstLineChars="200"/>
        <w:jc w:val="center"/>
        <w:rPr>
          <w:rFonts w:ascii="宋体" w:hAnsi="宋体"/>
          <w:color w:val="auto"/>
          <w:highlight w:val="none"/>
        </w:rPr>
      </w:pPr>
      <w:r>
        <w:rPr>
          <w:rFonts w:hint="eastAsia" w:ascii="宋体" w:hAnsi="宋体"/>
          <w:color w:val="auto"/>
          <w:highlight w:val="none"/>
        </w:rPr>
        <w:t>法定代表授权委托人身份证复印件贴于此处，并加盖单位公章，否则该证明无效。</w:t>
      </w:r>
    </w:p>
    <w:p w14:paraId="1F978F31">
      <w:pPr>
        <w:pStyle w:val="7"/>
        <w:spacing w:line="360" w:lineRule="auto"/>
        <w:ind w:firstLine="600" w:firstLineChars="200"/>
        <w:jc w:val="center"/>
        <w:rPr>
          <w:rFonts w:ascii="宋体" w:hAnsi="宋体"/>
          <w:color w:val="auto"/>
          <w:sz w:val="30"/>
          <w:highlight w:val="none"/>
        </w:rPr>
      </w:pPr>
    </w:p>
    <w:p w14:paraId="145CFD75">
      <w:pPr>
        <w:pStyle w:val="7"/>
        <w:spacing w:line="360" w:lineRule="auto"/>
        <w:ind w:firstLine="600" w:firstLineChars="200"/>
        <w:jc w:val="center"/>
        <w:rPr>
          <w:rFonts w:ascii="宋体" w:hAnsi="宋体"/>
          <w:color w:val="auto"/>
          <w:sz w:val="30"/>
          <w:highlight w:val="none"/>
        </w:rPr>
      </w:pPr>
    </w:p>
    <w:p w14:paraId="4E741CE3">
      <w:pPr>
        <w:pStyle w:val="7"/>
        <w:snapToGrid w:val="0"/>
        <w:spacing w:line="360" w:lineRule="auto"/>
        <w:ind w:firstLine="480" w:firstLineChars="200"/>
        <w:rPr>
          <w:rFonts w:ascii="宋体" w:hAnsi="宋体"/>
          <w:color w:val="auto"/>
          <w:highlight w:val="none"/>
        </w:rPr>
      </w:pPr>
    </w:p>
    <w:p w14:paraId="578510D2">
      <w:pPr>
        <w:pStyle w:val="7"/>
        <w:snapToGrid w:val="0"/>
        <w:spacing w:line="360" w:lineRule="auto"/>
        <w:ind w:firstLine="480" w:firstLineChars="200"/>
        <w:jc w:val="right"/>
        <w:rPr>
          <w:rFonts w:ascii="宋体" w:hAnsi="宋体"/>
          <w:color w:val="auto"/>
          <w:highlight w:val="none"/>
        </w:rPr>
      </w:pPr>
    </w:p>
    <w:p w14:paraId="26E338C2">
      <w:pPr>
        <w:pStyle w:val="7"/>
        <w:snapToGrid w:val="0"/>
        <w:spacing w:line="360" w:lineRule="auto"/>
        <w:ind w:firstLine="480" w:firstLineChars="200"/>
        <w:jc w:val="right"/>
        <w:rPr>
          <w:rFonts w:ascii="宋体" w:hAnsi="宋体"/>
          <w:color w:val="auto"/>
          <w:highlight w:val="none"/>
        </w:rPr>
      </w:pPr>
    </w:p>
    <w:p w14:paraId="7605369A">
      <w:pPr>
        <w:pStyle w:val="7"/>
        <w:snapToGrid w:val="0"/>
        <w:spacing w:line="360" w:lineRule="auto"/>
        <w:ind w:firstLine="480" w:firstLineChars="200"/>
        <w:jc w:val="right"/>
        <w:rPr>
          <w:rFonts w:ascii="宋体" w:hAnsi="宋体"/>
          <w:color w:val="auto"/>
          <w:highlight w:val="none"/>
        </w:rPr>
      </w:pPr>
      <w:r>
        <w:rPr>
          <w:rFonts w:hint="eastAsia" w:ascii="宋体" w:hAnsi="宋体"/>
          <w:color w:val="auto"/>
          <w:highlight w:val="none"/>
        </w:rPr>
        <w:t>日期：</w:t>
      </w:r>
      <w:r>
        <w:rPr>
          <w:rFonts w:hint="eastAsia" w:ascii="宋体" w:hAnsi="宋体"/>
          <w:color w:val="auto"/>
          <w:highlight w:val="none"/>
          <w:u w:val="single"/>
        </w:rPr>
        <w:t xml:space="preserve">         </w:t>
      </w:r>
      <w:r>
        <w:rPr>
          <w:rFonts w:hint="eastAsia" w:ascii="宋体" w:hAnsi="宋体"/>
          <w:color w:val="auto"/>
          <w:highlight w:val="none"/>
        </w:rPr>
        <w:t>年</w:t>
      </w:r>
      <w:r>
        <w:rPr>
          <w:rFonts w:hint="eastAsia" w:ascii="宋体" w:hAnsi="宋体"/>
          <w:color w:val="auto"/>
          <w:highlight w:val="none"/>
          <w:u w:val="single"/>
        </w:rPr>
        <w:t xml:space="preserve">       </w:t>
      </w:r>
      <w:r>
        <w:rPr>
          <w:rFonts w:hint="eastAsia" w:ascii="宋体" w:hAnsi="宋体"/>
          <w:color w:val="auto"/>
          <w:highlight w:val="none"/>
        </w:rPr>
        <w:t>月</w:t>
      </w:r>
      <w:r>
        <w:rPr>
          <w:rFonts w:hint="eastAsia" w:ascii="宋体" w:hAnsi="宋体"/>
          <w:color w:val="auto"/>
          <w:highlight w:val="none"/>
          <w:u w:val="single"/>
        </w:rPr>
        <w:t xml:space="preserve">      </w:t>
      </w:r>
      <w:r>
        <w:rPr>
          <w:rFonts w:hint="eastAsia" w:ascii="宋体" w:hAnsi="宋体"/>
          <w:color w:val="auto"/>
          <w:highlight w:val="none"/>
        </w:rPr>
        <w:t>日</w:t>
      </w:r>
    </w:p>
    <w:p w14:paraId="410CA0C4">
      <w:pPr>
        <w:pStyle w:val="7"/>
        <w:spacing w:line="360" w:lineRule="auto"/>
        <w:ind w:firstLine="480" w:firstLineChars="200"/>
        <w:jc w:val="center"/>
        <w:rPr>
          <w:rFonts w:ascii="宋体" w:hAnsi="宋体"/>
          <w:color w:val="auto"/>
          <w:highlight w:val="none"/>
        </w:rPr>
      </w:pPr>
    </w:p>
    <w:p w14:paraId="1C804B8F">
      <w:pPr>
        <w:tabs>
          <w:tab w:val="left" w:pos="993"/>
        </w:tabs>
        <w:spacing w:line="360" w:lineRule="auto"/>
        <w:ind w:firstLine="480" w:firstLineChars="200"/>
        <w:jc w:val="center"/>
        <w:rPr>
          <w:rFonts w:ascii="宋体" w:hAnsi="宋体"/>
          <w:color w:val="auto"/>
          <w:sz w:val="24"/>
          <w:highlight w:val="none"/>
        </w:rPr>
      </w:pPr>
    </w:p>
    <w:p w14:paraId="00DF63F3">
      <w:pPr>
        <w:pStyle w:val="3"/>
        <w:jc w:val="center"/>
        <w:rPr>
          <w:rFonts w:ascii="宋体" w:hAnsi="宋体"/>
          <w:b w:val="0"/>
          <w:color w:val="auto"/>
          <w:sz w:val="30"/>
          <w:highlight w:val="none"/>
        </w:rPr>
      </w:pPr>
      <w:r>
        <w:rPr>
          <w:rFonts w:hint="eastAsia" w:ascii="宋体" w:hAnsi="宋体"/>
          <w:b w:val="0"/>
          <w:color w:val="auto"/>
          <w:sz w:val="30"/>
          <w:highlight w:val="none"/>
        </w:rPr>
        <w:t>三、投标人一般情况</w:t>
      </w:r>
    </w:p>
    <w:tbl>
      <w:tblPr>
        <w:tblStyle w:val="17"/>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648"/>
        <w:gridCol w:w="2880"/>
        <w:gridCol w:w="720"/>
        <w:gridCol w:w="4785"/>
      </w:tblGrid>
      <w:tr w14:paraId="0EB90A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Pr>
        <w:tc>
          <w:tcPr>
            <w:tcW w:w="648" w:type="dxa"/>
            <w:vAlign w:val="center"/>
          </w:tcPr>
          <w:p w14:paraId="150A2132">
            <w:pPr>
              <w:spacing w:line="360" w:lineRule="auto"/>
              <w:rPr>
                <w:rFonts w:ascii="宋体" w:hAnsi="宋体"/>
                <w:color w:val="auto"/>
                <w:highlight w:val="none"/>
              </w:rPr>
            </w:pPr>
            <w:r>
              <w:rPr>
                <w:rFonts w:hint="eastAsia" w:ascii="宋体" w:hAnsi="宋体"/>
                <w:color w:val="auto"/>
                <w:highlight w:val="none"/>
              </w:rPr>
              <w:t>1</w:t>
            </w:r>
          </w:p>
        </w:tc>
        <w:tc>
          <w:tcPr>
            <w:tcW w:w="8385" w:type="dxa"/>
            <w:gridSpan w:val="3"/>
            <w:vAlign w:val="center"/>
          </w:tcPr>
          <w:p w14:paraId="40A82C52">
            <w:pPr>
              <w:spacing w:line="360" w:lineRule="auto"/>
              <w:rPr>
                <w:rFonts w:ascii="宋体" w:hAnsi="宋体"/>
                <w:color w:val="auto"/>
                <w:sz w:val="24"/>
                <w:highlight w:val="none"/>
              </w:rPr>
            </w:pPr>
            <w:r>
              <w:rPr>
                <w:rFonts w:hint="eastAsia" w:ascii="宋体" w:hAnsi="宋体"/>
                <w:color w:val="auto"/>
                <w:sz w:val="24"/>
                <w:highlight w:val="none"/>
              </w:rPr>
              <w:t>企业名称</w:t>
            </w:r>
          </w:p>
        </w:tc>
      </w:tr>
      <w:tr w14:paraId="3ED1964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Pr>
        <w:tc>
          <w:tcPr>
            <w:tcW w:w="648" w:type="dxa"/>
            <w:vAlign w:val="center"/>
          </w:tcPr>
          <w:p w14:paraId="6BDEA936">
            <w:pPr>
              <w:spacing w:line="360" w:lineRule="auto"/>
              <w:rPr>
                <w:rFonts w:ascii="宋体" w:hAnsi="宋体"/>
                <w:color w:val="auto"/>
                <w:highlight w:val="none"/>
              </w:rPr>
            </w:pPr>
            <w:r>
              <w:rPr>
                <w:rFonts w:hint="eastAsia" w:ascii="宋体" w:hAnsi="宋体"/>
                <w:color w:val="auto"/>
                <w:highlight w:val="none"/>
              </w:rPr>
              <w:t>2</w:t>
            </w:r>
          </w:p>
        </w:tc>
        <w:tc>
          <w:tcPr>
            <w:tcW w:w="8385" w:type="dxa"/>
            <w:gridSpan w:val="3"/>
            <w:vAlign w:val="center"/>
          </w:tcPr>
          <w:p w14:paraId="580E7CAB">
            <w:pPr>
              <w:spacing w:line="360" w:lineRule="auto"/>
              <w:rPr>
                <w:rFonts w:ascii="宋体" w:hAnsi="宋体"/>
                <w:color w:val="auto"/>
                <w:sz w:val="24"/>
                <w:highlight w:val="none"/>
              </w:rPr>
            </w:pPr>
            <w:r>
              <w:rPr>
                <w:rFonts w:hint="eastAsia" w:ascii="宋体" w:hAnsi="宋体"/>
                <w:color w:val="auto"/>
                <w:sz w:val="24"/>
                <w:highlight w:val="none"/>
              </w:rPr>
              <w:t>总部地址</w:t>
            </w:r>
          </w:p>
        </w:tc>
      </w:tr>
      <w:tr w14:paraId="01AB559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Pr>
        <w:tc>
          <w:tcPr>
            <w:tcW w:w="648" w:type="dxa"/>
            <w:vAlign w:val="center"/>
          </w:tcPr>
          <w:p w14:paraId="097FA3DA">
            <w:pPr>
              <w:spacing w:line="360" w:lineRule="auto"/>
              <w:rPr>
                <w:rFonts w:ascii="宋体" w:hAnsi="宋体"/>
                <w:color w:val="auto"/>
                <w:highlight w:val="none"/>
              </w:rPr>
            </w:pPr>
            <w:r>
              <w:rPr>
                <w:rFonts w:hint="eastAsia" w:ascii="宋体" w:hAnsi="宋体"/>
                <w:color w:val="auto"/>
                <w:highlight w:val="none"/>
              </w:rPr>
              <w:t>3</w:t>
            </w:r>
          </w:p>
        </w:tc>
        <w:tc>
          <w:tcPr>
            <w:tcW w:w="8385" w:type="dxa"/>
            <w:gridSpan w:val="3"/>
            <w:vAlign w:val="center"/>
          </w:tcPr>
          <w:p w14:paraId="00BD8531">
            <w:pPr>
              <w:spacing w:line="360" w:lineRule="auto"/>
              <w:rPr>
                <w:rFonts w:ascii="宋体" w:hAnsi="宋体"/>
                <w:color w:val="auto"/>
                <w:sz w:val="24"/>
                <w:highlight w:val="none"/>
              </w:rPr>
            </w:pPr>
            <w:r>
              <w:rPr>
                <w:rFonts w:hint="eastAsia" w:ascii="宋体" w:hAnsi="宋体"/>
                <w:color w:val="auto"/>
                <w:sz w:val="24"/>
                <w:highlight w:val="none"/>
              </w:rPr>
              <w:t>当地代表处地址</w:t>
            </w:r>
          </w:p>
        </w:tc>
      </w:tr>
      <w:tr w14:paraId="11965B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48" w:type="dxa"/>
            <w:vAlign w:val="center"/>
          </w:tcPr>
          <w:p w14:paraId="25000CFA">
            <w:pPr>
              <w:spacing w:line="360" w:lineRule="auto"/>
              <w:rPr>
                <w:rFonts w:ascii="宋体" w:hAnsi="宋体"/>
                <w:color w:val="auto"/>
                <w:highlight w:val="none"/>
              </w:rPr>
            </w:pPr>
            <w:r>
              <w:rPr>
                <w:rFonts w:hint="eastAsia" w:ascii="宋体" w:hAnsi="宋体"/>
                <w:color w:val="auto"/>
                <w:highlight w:val="none"/>
              </w:rPr>
              <w:t>4</w:t>
            </w:r>
          </w:p>
        </w:tc>
        <w:tc>
          <w:tcPr>
            <w:tcW w:w="3600" w:type="dxa"/>
            <w:gridSpan w:val="2"/>
            <w:vAlign w:val="center"/>
          </w:tcPr>
          <w:p w14:paraId="0DFEA6DA">
            <w:pPr>
              <w:spacing w:line="360" w:lineRule="auto"/>
              <w:rPr>
                <w:rFonts w:ascii="宋体" w:hAnsi="宋体"/>
                <w:color w:val="auto"/>
                <w:sz w:val="24"/>
                <w:highlight w:val="none"/>
              </w:rPr>
            </w:pPr>
            <w:r>
              <w:rPr>
                <w:rFonts w:hint="eastAsia" w:ascii="宋体" w:hAnsi="宋体"/>
                <w:color w:val="auto"/>
                <w:sz w:val="24"/>
                <w:highlight w:val="none"/>
              </w:rPr>
              <w:t>电话</w:t>
            </w:r>
          </w:p>
        </w:tc>
        <w:tc>
          <w:tcPr>
            <w:tcW w:w="4785" w:type="dxa"/>
            <w:vAlign w:val="center"/>
          </w:tcPr>
          <w:p w14:paraId="7D53C415">
            <w:pPr>
              <w:spacing w:line="360" w:lineRule="auto"/>
              <w:rPr>
                <w:rFonts w:ascii="宋体" w:hAnsi="宋体"/>
                <w:color w:val="auto"/>
                <w:sz w:val="24"/>
                <w:highlight w:val="none"/>
              </w:rPr>
            </w:pPr>
            <w:r>
              <w:rPr>
                <w:rFonts w:hint="eastAsia" w:ascii="宋体" w:hAnsi="宋体"/>
                <w:color w:val="auto"/>
                <w:sz w:val="24"/>
                <w:highlight w:val="none"/>
              </w:rPr>
              <w:t>联系人</w:t>
            </w:r>
          </w:p>
        </w:tc>
      </w:tr>
      <w:tr w14:paraId="055044C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48" w:type="dxa"/>
            <w:vAlign w:val="center"/>
          </w:tcPr>
          <w:p w14:paraId="504A5EDD">
            <w:pPr>
              <w:spacing w:line="360" w:lineRule="auto"/>
              <w:rPr>
                <w:rFonts w:ascii="宋体" w:hAnsi="宋体"/>
                <w:color w:val="auto"/>
                <w:highlight w:val="none"/>
              </w:rPr>
            </w:pPr>
            <w:r>
              <w:rPr>
                <w:rFonts w:hint="eastAsia" w:ascii="宋体" w:hAnsi="宋体"/>
                <w:color w:val="auto"/>
                <w:highlight w:val="none"/>
              </w:rPr>
              <w:t>5</w:t>
            </w:r>
          </w:p>
        </w:tc>
        <w:tc>
          <w:tcPr>
            <w:tcW w:w="3600" w:type="dxa"/>
            <w:gridSpan w:val="2"/>
            <w:vAlign w:val="center"/>
          </w:tcPr>
          <w:p w14:paraId="50263221">
            <w:pPr>
              <w:spacing w:line="360" w:lineRule="auto"/>
              <w:rPr>
                <w:rFonts w:ascii="宋体" w:hAnsi="宋体"/>
                <w:color w:val="auto"/>
                <w:sz w:val="24"/>
                <w:highlight w:val="none"/>
              </w:rPr>
            </w:pPr>
            <w:r>
              <w:rPr>
                <w:rFonts w:hint="eastAsia" w:ascii="宋体" w:hAnsi="宋体"/>
                <w:color w:val="auto"/>
                <w:sz w:val="24"/>
                <w:highlight w:val="none"/>
              </w:rPr>
              <w:t>传真</w:t>
            </w:r>
          </w:p>
        </w:tc>
        <w:tc>
          <w:tcPr>
            <w:tcW w:w="4785" w:type="dxa"/>
            <w:vAlign w:val="center"/>
          </w:tcPr>
          <w:p w14:paraId="645E00C4">
            <w:pPr>
              <w:spacing w:line="360" w:lineRule="auto"/>
              <w:rPr>
                <w:rFonts w:ascii="宋体" w:hAnsi="宋体"/>
                <w:color w:val="auto"/>
                <w:sz w:val="24"/>
                <w:highlight w:val="none"/>
              </w:rPr>
            </w:pPr>
            <w:r>
              <w:rPr>
                <w:rFonts w:hint="eastAsia" w:ascii="宋体" w:hAnsi="宋体"/>
                <w:color w:val="auto"/>
                <w:sz w:val="24"/>
                <w:highlight w:val="none"/>
              </w:rPr>
              <w:t>电子邮箱</w:t>
            </w:r>
          </w:p>
        </w:tc>
      </w:tr>
      <w:tr w14:paraId="7D50225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648" w:type="dxa"/>
            <w:vAlign w:val="center"/>
          </w:tcPr>
          <w:p w14:paraId="736C785C">
            <w:pPr>
              <w:spacing w:line="360" w:lineRule="auto"/>
              <w:rPr>
                <w:rFonts w:ascii="宋体" w:hAnsi="宋体"/>
                <w:color w:val="auto"/>
                <w:highlight w:val="none"/>
              </w:rPr>
            </w:pPr>
            <w:r>
              <w:rPr>
                <w:rFonts w:hint="eastAsia" w:ascii="宋体" w:hAnsi="宋体"/>
                <w:color w:val="auto"/>
                <w:highlight w:val="none"/>
              </w:rPr>
              <w:t>6</w:t>
            </w:r>
          </w:p>
        </w:tc>
        <w:tc>
          <w:tcPr>
            <w:tcW w:w="3600" w:type="dxa"/>
            <w:gridSpan w:val="2"/>
            <w:vAlign w:val="center"/>
          </w:tcPr>
          <w:p w14:paraId="23526659">
            <w:pPr>
              <w:spacing w:line="360" w:lineRule="auto"/>
              <w:rPr>
                <w:rFonts w:ascii="宋体" w:hAnsi="宋体"/>
                <w:color w:val="auto"/>
                <w:sz w:val="24"/>
                <w:highlight w:val="none"/>
              </w:rPr>
            </w:pPr>
            <w:r>
              <w:rPr>
                <w:rFonts w:hint="eastAsia" w:ascii="宋体" w:hAnsi="宋体"/>
                <w:color w:val="auto"/>
                <w:sz w:val="24"/>
                <w:highlight w:val="none"/>
              </w:rPr>
              <w:t>注册地</w:t>
            </w:r>
          </w:p>
        </w:tc>
        <w:tc>
          <w:tcPr>
            <w:tcW w:w="4785" w:type="dxa"/>
            <w:vAlign w:val="center"/>
          </w:tcPr>
          <w:p w14:paraId="2B2D20CD">
            <w:pPr>
              <w:spacing w:line="360" w:lineRule="auto"/>
              <w:rPr>
                <w:rFonts w:ascii="宋体" w:hAnsi="宋体"/>
                <w:color w:val="auto"/>
                <w:sz w:val="24"/>
                <w:highlight w:val="none"/>
              </w:rPr>
            </w:pPr>
            <w:r>
              <w:rPr>
                <w:rFonts w:hint="eastAsia" w:ascii="宋体" w:hAnsi="宋体"/>
                <w:color w:val="auto"/>
                <w:sz w:val="24"/>
                <w:highlight w:val="none"/>
              </w:rPr>
              <w:t>注册年份（请附营业执照复印件）</w:t>
            </w:r>
          </w:p>
        </w:tc>
      </w:tr>
      <w:tr w14:paraId="6980DBD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884" w:hRule="atLeast"/>
        </w:trPr>
        <w:tc>
          <w:tcPr>
            <w:tcW w:w="648" w:type="dxa"/>
            <w:vAlign w:val="center"/>
          </w:tcPr>
          <w:p w14:paraId="0642B449">
            <w:pPr>
              <w:spacing w:line="360" w:lineRule="auto"/>
              <w:rPr>
                <w:rFonts w:ascii="宋体" w:hAnsi="宋体"/>
                <w:color w:val="auto"/>
                <w:highlight w:val="none"/>
              </w:rPr>
            </w:pPr>
            <w:r>
              <w:rPr>
                <w:rFonts w:hint="eastAsia" w:ascii="宋体" w:hAnsi="宋体"/>
                <w:color w:val="auto"/>
                <w:highlight w:val="none"/>
              </w:rPr>
              <w:t>7</w:t>
            </w:r>
          </w:p>
        </w:tc>
        <w:tc>
          <w:tcPr>
            <w:tcW w:w="8385" w:type="dxa"/>
            <w:gridSpan w:val="3"/>
            <w:vAlign w:val="center"/>
          </w:tcPr>
          <w:p w14:paraId="480B030D">
            <w:pPr>
              <w:spacing w:line="360" w:lineRule="auto"/>
              <w:rPr>
                <w:rFonts w:ascii="宋体" w:hAnsi="宋体"/>
                <w:color w:val="auto"/>
                <w:sz w:val="24"/>
                <w:highlight w:val="none"/>
              </w:rPr>
            </w:pPr>
            <w:r>
              <w:rPr>
                <w:rFonts w:hint="eastAsia" w:ascii="宋体" w:hAnsi="宋体"/>
                <w:color w:val="auto"/>
                <w:sz w:val="24"/>
                <w:highlight w:val="none"/>
              </w:rPr>
              <w:t>公司资质等级证书号             （请附有关证书的复印件）</w:t>
            </w:r>
          </w:p>
        </w:tc>
      </w:tr>
      <w:tr w14:paraId="1375E88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Pr>
        <w:tc>
          <w:tcPr>
            <w:tcW w:w="648" w:type="dxa"/>
            <w:vAlign w:val="center"/>
          </w:tcPr>
          <w:p w14:paraId="0F7ECA4F">
            <w:pPr>
              <w:spacing w:line="360" w:lineRule="auto"/>
              <w:rPr>
                <w:rFonts w:ascii="宋体" w:hAnsi="宋体"/>
                <w:color w:val="auto"/>
                <w:highlight w:val="none"/>
              </w:rPr>
            </w:pPr>
            <w:r>
              <w:rPr>
                <w:rFonts w:hint="eastAsia" w:ascii="宋体" w:hAnsi="宋体"/>
                <w:color w:val="auto"/>
                <w:highlight w:val="none"/>
              </w:rPr>
              <w:t>8</w:t>
            </w:r>
          </w:p>
        </w:tc>
        <w:tc>
          <w:tcPr>
            <w:tcW w:w="8385" w:type="dxa"/>
            <w:gridSpan w:val="3"/>
            <w:vAlign w:val="center"/>
          </w:tcPr>
          <w:p w14:paraId="0E23EE34">
            <w:pPr>
              <w:spacing w:line="360" w:lineRule="auto"/>
              <w:rPr>
                <w:rFonts w:ascii="宋体" w:hAnsi="宋体"/>
                <w:color w:val="auto"/>
                <w:sz w:val="24"/>
                <w:highlight w:val="none"/>
              </w:rPr>
            </w:pPr>
            <w:r>
              <w:rPr>
                <w:rFonts w:hint="eastAsia" w:ascii="宋体" w:hAnsi="宋体"/>
                <w:color w:val="auto"/>
                <w:sz w:val="24"/>
                <w:highlight w:val="none"/>
              </w:rPr>
              <w:t>公司</w:t>
            </w:r>
            <w:r>
              <w:rPr>
                <w:rFonts w:hint="eastAsia" w:ascii="宋体" w:hAnsi="宋体"/>
                <w:color w:val="auto"/>
                <w:sz w:val="24"/>
                <w:highlight w:val="none"/>
                <w:u w:val="single"/>
              </w:rPr>
              <w:t>（是否通过，何种）</w:t>
            </w:r>
            <w:r>
              <w:rPr>
                <w:rFonts w:hint="eastAsia" w:ascii="宋体" w:hAnsi="宋体"/>
                <w:color w:val="auto"/>
                <w:sz w:val="24"/>
                <w:highlight w:val="none"/>
              </w:rPr>
              <w:t>质量保证体系认证（如通过请附相关证书复印件，并提供认证机构年审监督报告）</w:t>
            </w:r>
          </w:p>
        </w:tc>
      </w:tr>
      <w:tr w14:paraId="4AB0437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Pr>
        <w:tc>
          <w:tcPr>
            <w:tcW w:w="648" w:type="dxa"/>
            <w:vAlign w:val="center"/>
          </w:tcPr>
          <w:p w14:paraId="2D666041">
            <w:pPr>
              <w:spacing w:line="360" w:lineRule="auto"/>
              <w:rPr>
                <w:rFonts w:ascii="宋体" w:hAnsi="宋体"/>
                <w:color w:val="auto"/>
                <w:highlight w:val="none"/>
              </w:rPr>
            </w:pPr>
            <w:r>
              <w:rPr>
                <w:rFonts w:hint="eastAsia" w:ascii="宋体" w:hAnsi="宋体"/>
                <w:color w:val="auto"/>
                <w:highlight w:val="none"/>
              </w:rPr>
              <w:t>9</w:t>
            </w:r>
          </w:p>
        </w:tc>
        <w:tc>
          <w:tcPr>
            <w:tcW w:w="8385" w:type="dxa"/>
            <w:gridSpan w:val="3"/>
            <w:vAlign w:val="center"/>
          </w:tcPr>
          <w:p w14:paraId="4B8775F4">
            <w:pPr>
              <w:spacing w:line="360" w:lineRule="auto"/>
              <w:rPr>
                <w:rFonts w:ascii="宋体" w:hAnsi="宋体"/>
                <w:color w:val="auto"/>
                <w:sz w:val="24"/>
                <w:highlight w:val="none"/>
              </w:rPr>
            </w:pPr>
            <w:r>
              <w:rPr>
                <w:rFonts w:hint="eastAsia" w:ascii="宋体" w:hAnsi="宋体"/>
                <w:color w:val="auto"/>
                <w:sz w:val="24"/>
                <w:highlight w:val="none"/>
              </w:rPr>
              <w:t>主营范围</w:t>
            </w:r>
          </w:p>
          <w:p w14:paraId="26C4F167">
            <w:pPr>
              <w:spacing w:line="360" w:lineRule="auto"/>
              <w:ind w:firstLine="480" w:firstLineChars="200"/>
              <w:rPr>
                <w:rFonts w:ascii="宋体" w:hAnsi="宋体"/>
                <w:color w:val="auto"/>
                <w:sz w:val="24"/>
                <w:highlight w:val="none"/>
                <w:u w:val="single"/>
              </w:rPr>
            </w:pPr>
            <w:r>
              <w:rPr>
                <w:rFonts w:hint="eastAsia" w:ascii="宋体" w:hAnsi="宋体"/>
                <w:color w:val="auto"/>
                <w:sz w:val="24"/>
                <w:highlight w:val="none"/>
              </w:rPr>
              <w:t>1．</w:t>
            </w:r>
            <w:r>
              <w:rPr>
                <w:rFonts w:hint="eastAsia" w:ascii="宋体" w:hAnsi="宋体"/>
                <w:color w:val="auto"/>
                <w:sz w:val="24"/>
                <w:highlight w:val="none"/>
                <w:u w:val="single"/>
              </w:rPr>
              <w:t xml:space="preserve">                                </w:t>
            </w:r>
          </w:p>
          <w:p w14:paraId="6C6DB523">
            <w:pPr>
              <w:spacing w:line="360" w:lineRule="auto"/>
              <w:ind w:firstLine="480" w:firstLineChars="200"/>
              <w:rPr>
                <w:rFonts w:ascii="宋体" w:hAnsi="宋体"/>
                <w:color w:val="auto"/>
                <w:sz w:val="24"/>
                <w:highlight w:val="none"/>
              </w:rPr>
            </w:pPr>
            <w:r>
              <w:rPr>
                <w:rFonts w:hint="eastAsia" w:ascii="宋体" w:hAnsi="宋体"/>
                <w:color w:val="auto"/>
                <w:sz w:val="24"/>
                <w:highlight w:val="none"/>
              </w:rPr>
              <w:t>2．</w:t>
            </w:r>
            <w:r>
              <w:rPr>
                <w:rFonts w:hint="eastAsia" w:ascii="宋体" w:hAnsi="宋体"/>
                <w:color w:val="auto"/>
                <w:sz w:val="24"/>
                <w:highlight w:val="none"/>
                <w:u w:val="single"/>
              </w:rPr>
              <w:t xml:space="preserve">                                </w:t>
            </w:r>
          </w:p>
          <w:p w14:paraId="47CAECCF">
            <w:pPr>
              <w:spacing w:line="360" w:lineRule="auto"/>
              <w:ind w:firstLine="480" w:firstLineChars="200"/>
              <w:rPr>
                <w:rFonts w:ascii="宋体" w:hAnsi="宋体"/>
                <w:color w:val="auto"/>
                <w:sz w:val="24"/>
                <w:highlight w:val="none"/>
                <w:u w:val="single"/>
              </w:rPr>
            </w:pPr>
            <w:r>
              <w:rPr>
                <w:rFonts w:hint="eastAsia" w:ascii="宋体" w:hAnsi="宋体"/>
                <w:color w:val="auto"/>
                <w:sz w:val="24"/>
                <w:highlight w:val="none"/>
              </w:rPr>
              <w:t>3．</w:t>
            </w:r>
            <w:r>
              <w:rPr>
                <w:rFonts w:hint="eastAsia" w:ascii="宋体" w:hAnsi="宋体"/>
                <w:color w:val="auto"/>
                <w:sz w:val="24"/>
                <w:highlight w:val="none"/>
                <w:u w:val="single"/>
              </w:rPr>
              <w:t xml:space="preserve">                               </w:t>
            </w:r>
          </w:p>
          <w:p w14:paraId="4EEBAD05">
            <w:pPr>
              <w:spacing w:line="360" w:lineRule="auto"/>
              <w:ind w:firstLine="480" w:firstLineChars="200"/>
              <w:rPr>
                <w:rFonts w:ascii="宋体" w:hAnsi="宋体"/>
                <w:color w:val="auto"/>
                <w:sz w:val="24"/>
                <w:highlight w:val="none"/>
                <w:u w:val="single"/>
              </w:rPr>
            </w:pPr>
            <w:r>
              <w:rPr>
                <w:rFonts w:hint="eastAsia" w:ascii="宋体" w:hAnsi="宋体"/>
                <w:color w:val="auto"/>
                <w:sz w:val="24"/>
                <w:highlight w:val="none"/>
              </w:rPr>
              <w:t>4．</w:t>
            </w:r>
            <w:r>
              <w:rPr>
                <w:rFonts w:hint="eastAsia" w:ascii="宋体" w:hAnsi="宋体"/>
                <w:color w:val="auto"/>
                <w:sz w:val="24"/>
                <w:highlight w:val="none"/>
                <w:u w:val="single"/>
              </w:rPr>
              <w:t xml:space="preserve">                              </w:t>
            </w:r>
          </w:p>
          <w:p w14:paraId="42598144">
            <w:pPr>
              <w:spacing w:line="360" w:lineRule="auto"/>
              <w:ind w:firstLine="480" w:firstLineChars="200"/>
              <w:rPr>
                <w:rFonts w:ascii="宋体" w:hAnsi="宋体"/>
                <w:color w:val="auto"/>
                <w:sz w:val="24"/>
                <w:highlight w:val="none"/>
              </w:rPr>
            </w:pPr>
            <w:r>
              <w:rPr>
                <w:rFonts w:hint="eastAsia" w:ascii="宋体" w:hAnsi="宋体"/>
                <w:color w:val="auto"/>
                <w:sz w:val="24"/>
                <w:highlight w:val="none"/>
              </w:rPr>
              <w:t>…</w:t>
            </w:r>
          </w:p>
          <w:p w14:paraId="7EC0EF7B">
            <w:pPr>
              <w:spacing w:line="360" w:lineRule="auto"/>
              <w:ind w:firstLine="480" w:firstLineChars="200"/>
              <w:rPr>
                <w:rFonts w:ascii="宋体" w:hAnsi="宋体"/>
                <w:color w:val="auto"/>
                <w:sz w:val="24"/>
                <w:highlight w:val="none"/>
              </w:rPr>
            </w:pPr>
            <w:r>
              <w:rPr>
                <w:rFonts w:hint="eastAsia" w:ascii="宋体" w:hAnsi="宋体"/>
                <w:color w:val="auto"/>
                <w:sz w:val="24"/>
                <w:highlight w:val="none"/>
              </w:rPr>
              <w:t>…</w:t>
            </w:r>
          </w:p>
        </w:tc>
      </w:tr>
      <w:tr w14:paraId="05CE18C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0" w:hRule="atLeast"/>
        </w:trPr>
        <w:tc>
          <w:tcPr>
            <w:tcW w:w="648" w:type="dxa"/>
            <w:vAlign w:val="center"/>
          </w:tcPr>
          <w:p w14:paraId="6718D06B">
            <w:pPr>
              <w:spacing w:line="360" w:lineRule="auto"/>
              <w:rPr>
                <w:rFonts w:ascii="宋体" w:hAnsi="宋体"/>
                <w:color w:val="auto"/>
                <w:highlight w:val="none"/>
              </w:rPr>
            </w:pPr>
            <w:r>
              <w:rPr>
                <w:rFonts w:hint="eastAsia" w:ascii="宋体" w:hAnsi="宋体"/>
                <w:color w:val="auto"/>
                <w:highlight w:val="none"/>
              </w:rPr>
              <w:t>10</w:t>
            </w:r>
          </w:p>
        </w:tc>
        <w:tc>
          <w:tcPr>
            <w:tcW w:w="2880" w:type="dxa"/>
            <w:vAlign w:val="center"/>
          </w:tcPr>
          <w:p w14:paraId="3E008ECF">
            <w:pPr>
              <w:spacing w:line="360" w:lineRule="auto"/>
              <w:rPr>
                <w:rFonts w:ascii="宋体" w:hAnsi="宋体"/>
                <w:color w:val="auto"/>
                <w:sz w:val="24"/>
                <w:highlight w:val="none"/>
              </w:rPr>
            </w:pPr>
            <w:r>
              <w:rPr>
                <w:rFonts w:hint="eastAsia" w:ascii="宋体" w:hAnsi="宋体"/>
                <w:color w:val="auto"/>
                <w:sz w:val="24"/>
                <w:highlight w:val="none"/>
              </w:rPr>
              <w:t>作为总承包人经历年数</w:t>
            </w:r>
          </w:p>
        </w:tc>
        <w:tc>
          <w:tcPr>
            <w:tcW w:w="5505" w:type="dxa"/>
            <w:gridSpan w:val="2"/>
            <w:vAlign w:val="center"/>
          </w:tcPr>
          <w:p w14:paraId="3673714B">
            <w:pPr>
              <w:spacing w:line="360" w:lineRule="auto"/>
              <w:ind w:firstLine="480" w:firstLineChars="200"/>
              <w:rPr>
                <w:rFonts w:ascii="宋体" w:hAnsi="宋体"/>
                <w:color w:val="auto"/>
                <w:sz w:val="24"/>
                <w:highlight w:val="none"/>
              </w:rPr>
            </w:pPr>
          </w:p>
        </w:tc>
      </w:tr>
      <w:tr w14:paraId="030595F2">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60" w:hRule="atLeast"/>
        </w:trPr>
        <w:tc>
          <w:tcPr>
            <w:tcW w:w="648" w:type="dxa"/>
            <w:vAlign w:val="center"/>
          </w:tcPr>
          <w:p w14:paraId="4E992531">
            <w:pPr>
              <w:spacing w:line="360" w:lineRule="auto"/>
              <w:rPr>
                <w:rFonts w:ascii="宋体" w:hAnsi="宋体"/>
                <w:color w:val="auto"/>
                <w:highlight w:val="none"/>
              </w:rPr>
            </w:pPr>
            <w:r>
              <w:rPr>
                <w:rFonts w:hint="eastAsia" w:ascii="宋体" w:hAnsi="宋体"/>
                <w:color w:val="auto"/>
                <w:highlight w:val="none"/>
              </w:rPr>
              <w:t>11</w:t>
            </w:r>
          </w:p>
        </w:tc>
        <w:tc>
          <w:tcPr>
            <w:tcW w:w="2880" w:type="dxa"/>
            <w:vAlign w:val="center"/>
          </w:tcPr>
          <w:p w14:paraId="6434AAA8">
            <w:pPr>
              <w:spacing w:line="360" w:lineRule="auto"/>
              <w:rPr>
                <w:rFonts w:ascii="宋体" w:hAnsi="宋体"/>
                <w:color w:val="auto"/>
                <w:sz w:val="24"/>
                <w:highlight w:val="none"/>
              </w:rPr>
            </w:pPr>
            <w:r>
              <w:rPr>
                <w:rFonts w:hint="eastAsia" w:ascii="宋体" w:hAnsi="宋体"/>
                <w:color w:val="auto"/>
                <w:sz w:val="24"/>
                <w:highlight w:val="none"/>
              </w:rPr>
              <w:t>作为分包商经历年数</w:t>
            </w:r>
          </w:p>
        </w:tc>
        <w:tc>
          <w:tcPr>
            <w:tcW w:w="5505" w:type="dxa"/>
            <w:gridSpan w:val="2"/>
            <w:vAlign w:val="center"/>
          </w:tcPr>
          <w:p w14:paraId="5383D169">
            <w:pPr>
              <w:spacing w:line="360" w:lineRule="auto"/>
              <w:ind w:firstLine="480" w:firstLineChars="200"/>
              <w:rPr>
                <w:rFonts w:ascii="宋体" w:hAnsi="宋体"/>
                <w:color w:val="auto"/>
                <w:sz w:val="24"/>
                <w:highlight w:val="none"/>
              </w:rPr>
            </w:pPr>
          </w:p>
        </w:tc>
      </w:tr>
      <w:tr w14:paraId="3BBD04D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60" w:hRule="atLeast"/>
        </w:trPr>
        <w:tc>
          <w:tcPr>
            <w:tcW w:w="648" w:type="dxa"/>
            <w:vAlign w:val="center"/>
          </w:tcPr>
          <w:p w14:paraId="08560E81">
            <w:pPr>
              <w:spacing w:line="360" w:lineRule="auto"/>
              <w:rPr>
                <w:rFonts w:ascii="宋体" w:hAnsi="宋体"/>
                <w:color w:val="auto"/>
                <w:highlight w:val="none"/>
              </w:rPr>
            </w:pPr>
            <w:r>
              <w:rPr>
                <w:rFonts w:hint="eastAsia" w:ascii="宋体" w:hAnsi="宋体"/>
                <w:color w:val="auto"/>
                <w:highlight w:val="none"/>
              </w:rPr>
              <w:t>12</w:t>
            </w:r>
          </w:p>
        </w:tc>
        <w:tc>
          <w:tcPr>
            <w:tcW w:w="8385" w:type="dxa"/>
            <w:gridSpan w:val="3"/>
            <w:vAlign w:val="center"/>
          </w:tcPr>
          <w:p w14:paraId="68771712">
            <w:pPr>
              <w:spacing w:line="360" w:lineRule="auto"/>
              <w:rPr>
                <w:rFonts w:ascii="宋体" w:hAnsi="宋体"/>
                <w:color w:val="auto"/>
                <w:sz w:val="24"/>
                <w:highlight w:val="none"/>
              </w:rPr>
            </w:pPr>
            <w:r>
              <w:rPr>
                <w:rFonts w:hint="eastAsia" w:ascii="宋体" w:hAnsi="宋体"/>
                <w:color w:val="auto"/>
                <w:sz w:val="24"/>
                <w:highlight w:val="none"/>
              </w:rPr>
              <w:t>其他需要说明的情况</w:t>
            </w:r>
          </w:p>
        </w:tc>
      </w:tr>
    </w:tbl>
    <w:p w14:paraId="5D6E9712">
      <w:pPr>
        <w:spacing w:line="360" w:lineRule="auto"/>
        <w:ind w:firstLine="480" w:firstLineChars="200"/>
        <w:rPr>
          <w:rFonts w:ascii="宋体" w:hAnsi="宋体"/>
          <w:color w:val="auto"/>
          <w:sz w:val="24"/>
          <w:highlight w:val="none"/>
        </w:rPr>
      </w:pPr>
      <w:r>
        <w:rPr>
          <w:rFonts w:hint="eastAsia" w:ascii="宋体" w:hAnsi="宋体"/>
          <w:color w:val="auto"/>
          <w:sz w:val="24"/>
          <w:highlight w:val="none"/>
        </w:rPr>
        <w:t>注：投标人应附企业营业执照副本、企业资质证书副本、企业安全生产许可证副本复印件。</w:t>
      </w:r>
    </w:p>
    <w:p w14:paraId="76A682E0">
      <w:pPr>
        <w:spacing w:line="360" w:lineRule="auto"/>
        <w:ind w:firstLine="562" w:firstLineChars="200"/>
        <w:jc w:val="center"/>
        <w:rPr>
          <w:rFonts w:ascii="宋体" w:hAnsi="宋体"/>
          <w:b/>
          <w:color w:val="auto"/>
          <w:sz w:val="28"/>
          <w:highlight w:val="none"/>
        </w:rPr>
      </w:pPr>
    </w:p>
    <w:p w14:paraId="6CF7B672">
      <w:pPr>
        <w:spacing w:line="360" w:lineRule="auto"/>
        <w:ind w:firstLine="562" w:firstLineChars="200"/>
        <w:jc w:val="center"/>
        <w:rPr>
          <w:rFonts w:ascii="宋体" w:hAnsi="宋体"/>
          <w:b/>
          <w:color w:val="auto"/>
          <w:sz w:val="28"/>
          <w:highlight w:val="none"/>
        </w:rPr>
      </w:pPr>
    </w:p>
    <w:p w14:paraId="761F22FB">
      <w:pPr>
        <w:pStyle w:val="3"/>
        <w:jc w:val="center"/>
        <w:rPr>
          <w:rFonts w:ascii="宋体" w:hAnsi="宋体"/>
          <w:b w:val="0"/>
          <w:color w:val="auto"/>
          <w:sz w:val="30"/>
          <w:highlight w:val="none"/>
        </w:rPr>
      </w:pPr>
      <w:r>
        <w:rPr>
          <w:rFonts w:hint="eastAsia" w:ascii="宋体" w:hAnsi="宋体"/>
          <w:b w:val="0"/>
          <w:color w:val="auto"/>
          <w:sz w:val="30"/>
          <w:highlight w:val="none"/>
        </w:rPr>
        <w:t>四、近三年工程营业额数据表</w:t>
      </w:r>
    </w:p>
    <w:p w14:paraId="238DE2DC">
      <w:pPr>
        <w:spacing w:line="360" w:lineRule="auto"/>
        <w:ind w:firstLine="643" w:firstLineChars="200"/>
        <w:jc w:val="center"/>
        <w:rPr>
          <w:rFonts w:ascii="宋体" w:hAnsi="宋体"/>
          <w:b/>
          <w:color w:val="auto"/>
          <w:sz w:val="32"/>
          <w:highlight w:val="none"/>
        </w:rPr>
      </w:pPr>
    </w:p>
    <w:p w14:paraId="1544C626">
      <w:pPr>
        <w:spacing w:line="360" w:lineRule="auto"/>
        <w:ind w:firstLine="480" w:firstLineChars="200"/>
        <w:rPr>
          <w:rFonts w:ascii="宋体" w:hAnsi="宋体"/>
          <w:color w:val="auto"/>
          <w:highlight w:val="none"/>
          <w:u w:val="single"/>
        </w:rPr>
      </w:pPr>
      <w:r>
        <w:rPr>
          <w:rFonts w:hint="eastAsia" w:ascii="宋体" w:hAnsi="宋体"/>
          <w:color w:val="auto"/>
          <w:sz w:val="24"/>
          <w:highlight w:val="none"/>
        </w:rPr>
        <w:t>投标人名称：</w:t>
      </w:r>
      <w:r>
        <w:rPr>
          <w:rFonts w:hint="eastAsia" w:ascii="宋体" w:hAnsi="宋体"/>
          <w:color w:val="auto"/>
          <w:sz w:val="24"/>
          <w:highlight w:val="none"/>
          <w:u w:val="single"/>
        </w:rPr>
        <w:t xml:space="preserve">  </w:t>
      </w:r>
      <w:r>
        <w:rPr>
          <w:rFonts w:hint="eastAsia" w:ascii="宋体" w:hAnsi="宋体"/>
          <w:color w:val="auto"/>
          <w:highlight w:val="none"/>
          <w:u w:val="single"/>
        </w:rPr>
        <w:t xml:space="preserve">                                    </w:t>
      </w:r>
    </w:p>
    <w:tbl>
      <w:tblPr>
        <w:tblStyle w:val="17"/>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840"/>
        <w:gridCol w:w="2840"/>
        <w:gridCol w:w="3458"/>
      </w:tblGrid>
      <w:tr w14:paraId="6269FAD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870" w:hRule="atLeast"/>
        </w:trPr>
        <w:tc>
          <w:tcPr>
            <w:tcW w:w="9138" w:type="dxa"/>
            <w:gridSpan w:val="3"/>
            <w:vAlign w:val="center"/>
          </w:tcPr>
          <w:p w14:paraId="0A726A70">
            <w:pPr>
              <w:spacing w:line="360" w:lineRule="auto"/>
              <w:ind w:firstLine="420" w:firstLineChars="200"/>
              <w:jc w:val="center"/>
              <w:rPr>
                <w:rFonts w:ascii="宋体" w:hAnsi="宋体"/>
                <w:color w:val="auto"/>
                <w:highlight w:val="none"/>
                <w:u w:val="single"/>
              </w:rPr>
            </w:pPr>
            <w:r>
              <w:rPr>
                <w:rFonts w:hint="eastAsia" w:ascii="宋体" w:hAnsi="宋体"/>
                <w:color w:val="auto"/>
                <w:highlight w:val="none"/>
              </w:rPr>
              <w:t>近三年工程营业额</w:t>
            </w:r>
          </w:p>
        </w:tc>
      </w:tr>
      <w:tr w14:paraId="44BAB0C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870" w:hRule="atLeast"/>
        </w:trPr>
        <w:tc>
          <w:tcPr>
            <w:tcW w:w="2840" w:type="dxa"/>
            <w:vAlign w:val="center"/>
          </w:tcPr>
          <w:p w14:paraId="16C9E89F">
            <w:pPr>
              <w:spacing w:line="360" w:lineRule="auto"/>
              <w:ind w:firstLine="480" w:firstLineChars="200"/>
              <w:rPr>
                <w:rFonts w:ascii="宋体" w:hAnsi="宋体"/>
                <w:color w:val="auto"/>
                <w:sz w:val="24"/>
                <w:highlight w:val="none"/>
              </w:rPr>
            </w:pPr>
            <w:r>
              <w:rPr>
                <w:rFonts w:hint="eastAsia" w:ascii="宋体" w:hAnsi="宋体"/>
                <w:color w:val="auto"/>
                <w:sz w:val="24"/>
                <w:highlight w:val="none"/>
              </w:rPr>
              <w:t>财 务 年 度</w:t>
            </w:r>
          </w:p>
        </w:tc>
        <w:tc>
          <w:tcPr>
            <w:tcW w:w="2840" w:type="dxa"/>
            <w:vAlign w:val="center"/>
          </w:tcPr>
          <w:p w14:paraId="5AEDEAA9">
            <w:pPr>
              <w:spacing w:line="360" w:lineRule="auto"/>
              <w:ind w:firstLine="480" w:firstLineChars="200"/>
              <w:rPr>
                <w:rFonts w:ascii="宋体" w:hAnsi="宋体"/>
                <w:color w:val="auto"/>
                <w:sz w:val="24"/>
                <w:highlight w:val="none"/>
              </w:rPr>
            </w:pPr>
            <w:r>
              <w:rPr>
                <w:rFonts w:hint="eastAsia" w:ascii="宋体" w:hAnsi="宋体"/>
                <w:color w:val="auto"/>
                <w:sz w:val="24"/>
                <w:highlight w:val="none"/>
              </w:rPr>
              <w:t>营 业 额（万元）</w:t>
            </w:r>
          </w:p>
        </w:tc>
        <w:tc>
          <w:tcPr>
            <w:tcW w:w="3458" w:type="dxa"/>
            <w:vAlign w:val="center"/>
          </w:tcPr>
          <w:p w14:paraId="7450397F">
            <w:pPr>
              <w:spacing w:line="360" w:lineRule="auto"/>
              <w:ind w:firstLine="1440" w:firstLineChars="600"/>
              <w:rPr>
                <w:rFonts w:ascii="宋体" w:hAnsi="宋体"/>
                <w:color w:val="auto"/>
                <w:sz w:val="24"/>
                <w:highlight w:val="none"/>
              </w:rPr>
            </w:pPr>
            <w:r>
              <w:rPr>
                <w:rFonts w:hint="eastAsia" w:ascii="宋体" w:hAnsi="宋体"/>
                <w:color w:val="auto"/>
                <w:sz w:val="24"/>
                <w:highlight w:val="none"/>
              </w:rPr>
              <w:t>备 注</w:t>
            </w:r>
          </w:p>
        </w:tc>
      </w:tr>
      <w:tr w14:paraId="0715DDF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5" w:hRule="atLeast"/>
        </w:trPr>
        <w:tc>
          <w:tcPr>
            <w:tcW w:w="2840" w:type="dxa"/>
            <w:vAlign w:val="center"/>
          </w:tcPr>
          <w:p w14:paraId="491B9A14">
            <w:pPr>
              <w:spacing w:line="360" w:lineRule="auto"/>
              <w:ind w:firstLine="480" w:firstLineChars="200"/>
              <w:jc w:val="center"/>
              <w:rPr>
                <w:rFonts w:ascii="宋体" w:hAnsi="宋体"/>
                <w:color w:val="auto"/>
                <w:sz w:val="24"/>
                <w:highlight w:val="none"/>
              </w:rPr>
            </w:pPr>
          </w:p>
        </w:tc>
        <w:tc>
          <w:tcPr>
            <w:tcW w:w="2840" w:type="dxa"/>
            <w:vAlign w:val="center"/>
          </w:tcPr>
          <w:p w14:paraId="42F2D36C">
            <w:pPr>
              <w:spacing w:line="360" w:lineRule="auto"/>
              <w:ind w:firstLine="480" w:firstLineChars="200"/>
              <w:jc w:val="center"/>
              <w:rPr>
                <w:rFonts w:ascii="宋体" w:hAnsi="宋体"/>
                <w:color w:val="auto"/>
                <w:sz w:val="24"/>
                <w:highlight w:val="none"/>
              </w:rPr>
            </w:pPr>
          </w:p>
        </w:tc>
        <w:tc>
          <w:tcPr>
            <w:tcW w:w="3458" w:type="dxa"/>
            <w:vAlign w:val="center"/>
          </w:tcPr>
          <w:p w14:paraId="78A5AE1F">
            <w:pPr>
              <w:spacing w:line="360" w:lineRule="auto"/>
              <w:ind w:firstLine="480" w:firstLineChars="200"/>
              <w:jc w:val="center"/>
              <w:rPr>
                <w:rFonts w:ascii="宋体" w:hAnsi="宋体"/>
                <w:color w:val="auto"/>
                <w:sz w:val="24"/>
                <w:highlight w:val="none"/>
              </w:rPr>
            </w:pPr>
          </w:p>
        </w:tc>
      </w:tr>
      <w:tr w14:paraId="619ADE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5" w:hRule="atLeast"/>
        </w:trPr>
        <w:tc>
          <w:tcPr>
            <w:tcW w:w="2840" w:type="dxa"/>
            <w:vAlign w:val="center"/>
          </w:tcPr>
          <w:p w14:paraId="6CF011A2">
            <w:pPr>
              <w:spacing w:line="360" w:lineRule="auto"/>
              <w:ind w:firstLine="480" w:firstLineChars="200"/>
              <w:jc w:val="center"/>
              <w:rPr>
                <w:rFonts w:ascii="宋体" w:hAnsi="宋体"/>
                <w:color w:val="auto"/>
                <w:sz w:val="24"/>
                <w:highlight w:val="none"/>
              </w:rPr>
            </w:pPr>
          </w:p>
        </w:tc>
        <w:tc>
          <w:tcPr>
            <w:tcW w:w="2840" w:type="dxa"/>
            <w:vAlign w:val="center"/>
          </w:tcPr>
          <w:p w14:paraId="50E15EB3">
            <w:pPr>
              <w:spacing w:line="360" w:lineRule="auto"/>
              <w:ind w:firstLine="480" w:firstLineChars="200"/>
              <w:jc w:val="center"/>
              <w:rPr>
                <w:rFonts w:ascii="宋体" w:hAnsi="宋体"/>
                <w:color w:val="auto"/>
                <w:sz w:val="24"/>
                <w:highlight w:val="none"/>
              </w:rPr>
            </w:pPr>
          </w:p>
        </w:tc>
        <w:tc>
          <w:tcPr>
            <w:tcW w:w="3458" w:type="dxa"/>
            <w:vAlign w:val="center"/>
          </w:tcPr>
          <w:p w14:paraId="70FAD3C3">
            <w:pPr>
              <w:spacing w:line="360" w:lineRule="auto"/>
              <w:ind w:firstLine="480" w:firstLineChars="200"/>
              <w:jc w:val="center"/>
              <w:rPr>
                <w:rFonts w:ascii="宋体" w:hAnsi="宋体"/>
                <w:color w:val="auto"/>
                <w:sz w:val="24"/>
                <w:highlight w:val="none"/>
              </w:rPr>
            </w:pPr>
          </w:p>
        </w:tc>
      </w:tr>
      <w:tr w14:paraId="44B3F7D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2415" w:hRule="atLeast"/>
        </w:trPr>
        <w:tc>
          <w:tcPr>
            <w:tcW w:w="2840" w:type="dxa"/>
            <w:vAlign w:val="center"/>
          </w:tcPr>
          <w:p w14:paraId="0D60FA05">
            <w:pPr>
              <w:spacing w:line="360" w:lineRule="auto"/>
              <w:ind w:firstLine="480" w:firstLineChars="200"/>
              <w:jc w:val="center"/>
              <w:rPr>
                <w:rFonts w:ascii="宋体" w:hAnsi="宋体"/>
                <w:color w:val="auto"/>
                <w:sz w:val="24"/>
                <w:highlight w:val="none"/>
              </w:rPr>
            </w:pPr>
          </w:p>
        </w:tc>
        <w:tc>
          <w:tcPr>
            <w:tcW w:w="2840" w:type="dxa"/>
            <w:vAlign w:val="center"/>
          </w:tcPr>
          <w:p w14:paraId="5C644C1C">
            <w:pPr>
              <w:spacing w:line="360" w:lineRule="auto"/>
              <w:ind w:firstLine="480" w:firstLineChars="200"/>
              <w:jc w:val="center"/>
              <w:rPr>
                <w:rFonts w:ascii="宋体" w:hAnsi="宋体"/>
                <w:color w:val="auto"/>
                <w:sz w:val="24"/>
                <w:highlight w:val="none"/>
              </w:rPr>
            </w:pPr>
          </w:p>
        </w:tc>
        <w:tc>
          <w:tcPr>
            <w:tcW w:w="3458" w:type="dxa"/>
            <w:vAlign w:val="center"/>
          </w:tcPr>
          <w:p w14:paraId="0EC8B427">
            <w:pPr>
              <w:spacing w:line="360" w:lineRule="auto"/>
              <w:ind w:firstLine="480" w:firstLineChars="200"/>
              <w:jc w:val="center"/>
              <w:rPr>
                <w:rFonts w:ascii="宋体" w:hAnsi="宋体"/>
                <w:color w:val="auto"/>
                <w:sz w:val="24"/>
                <w:highlight w:val="none"/>
              </w:rPr>
            </w:pPr>
          </w:p>
        </w:tc>
      </w:tr>
    </w:tbl>
    <w:p w14:paraId="4736B084">
      <w:pPr>
        <w:spacing w:line="360" w:lineRule="auto"/>
        <w:ind w:firstLine="420" w:firstLineChars="200"/>
        <w:rPr>
          <w:rFonts w:ascii="宋体" w:hAnsi="宋体"/>
          <w:color w:val="auto"/>
          <w:highlight w:val="none"/>
          <w:u w:val="single"/>
        </w:rPr>
      </w:pPr>
    </w:p>
    <w:p w14:paraId="181E9C82">
      <w:pPr>
        <w:spacing w:line="360" w:lineRule="auto"/>
        <w:ind w:firstLine="480" w:firstLineChars="200"/>
        <w:rPr>
          <w:rFonts w:ascii="宋体" w:hAnsi="宋体"/>
          <w:color w:val="auto"/>
          <w:sz w:val="24"/>
          <w:highlight w:val="none"/>
        </w:rPr>
      </w:pPr>
      <w:r>
        <w:rPr>
          <w:rFonts w:hint="eastAsia" w:ascii="宋体" w:hAnsi="宋体"/>
          <w:color w:val="auto"/>
          <w:sz w:val="24"/>
          <w:highlight w:val="none"/>
        </w:rPr>
        <w:t>注：本表所填的年营业额为投标人每年从各招标人那里得到的已完工程收入总额。</w:t>
      </w:r>
    </w:p>
    <w:p w14:paraId="6966F7EC">
      <w:pPr>
        <w:spacing w:line="360" w:lineRule="auto"/>
        <w:ind w:firstLine="562" w:firstLineChars="200"/>
        <w:jc w:val="center"/>
        <w:rPr>
          <w:rFonts w:ascii="宋体" w:hAnsi="宋体"/>
          <w:b/>
          <w:color w:val="auto"/>
          <w:sz w:val="28"/>
          <w:highlight w:val="none"/>
        </w:rPr>
      </w:pPr>
    </w:p>
    <w:p w14:paraId="2E420AA0">
      <w:pPr>
        <w:pStyle w:val="3"/>
        <w:jc w:val="center"/>
        <w:rPr>
          <w:rFonts w:ascii="宋体" w:hAnsi="宋体"/>
          <w:b w:val="0"/>
          <w:color w:val="auto"/>
          <w:sz w:val="30"/>
          <w:highlight w:val="none"/>
        </w:rPr>
      </w:pPr>
      <w:r>
        <w:rPr>
          <w:rFonts w:ascii="宋体" w:hAnsi="宋体"/>
          <w:b w:val="0"/>
          <w:color w:val="auto"/>
          <w:sz w:val="28"/>
          <w:highlight w:val="none"/>
        </w:rPr>
        <w:br w:type="page"/>
      </w:r>
      <w:r>
        <w:rPr>
          <w:rFonts w:hint="eastAsia" w:ascii="宋体" w:hAnsi="宋体"/>
          <w:b w:val="0"/>
          <w:color w:val="auto"/>
          <w:sz w:val="30"/>
          <w:highlight w:val="none"/>
        </w:rPr>
        <w:t>五、财务状况表</w:t>
      </w:r>
    </w:p>
    <w:p w14:paraId="369E7990">
      <w:pPr>
        <w:tabs>
          <w:tab w:val="left" w:pos="420"/>
        </w:tabs>
        <w:spacing w:line="360" w:lineRule="auto"/>
        <w:jc w:val="left"/>
        <w:rPr>
          <w:rFonts w:ascii="宋体" w:hAnsi="宋体"/>
          <w:color w:val="auto"/>
          <w:sz w:val="24"/>
          <w:highlight w:val="none"/>
        </w:rPr>
      </w:pPr>
      <w:r>
        <w:rPr>
          <w:rFonts w:hint="eastAsia" w:ascii="宋体" w:hAnsi="宋体"/>
          <w:color w:val="auto"/>
          <w:sz w:val="24"/>
          <w:highlight w:val="none"/>
        </w:rPr>
        <w:t>一、开户情况</w:t>
      </w:r>
    </w:p>
    <w:tbl>
      <w:tblPr>
        <w:tblStyle w:val="17"/>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88"/>
        <w:gridCol w:w="4492"/>
        <w:gridCol w:w="3458"/>
      </w:tblGrid>
      <w:tr w14:paraId="20528B3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10" w:hRule="atLeast"/>
        </w:trPr>
        <w:tc>
          <w:tcPr>
            <w:tcW w:w="1188" w:type="dxa"/>
            <w:vMerge w:val="restart"/>
            <w:vAlign w:val="center"/>
          </w:tcPr>
          <w:p w14:paraId="78AA5031">
            <w:pPr>
              <w:spacing w:line="360" w:lineRule="auto"/>
              <w:rPr>
                <w:rFonts w:ascii="宋体" w:hAnsi="宋体"/>
                <w:color w:val="auto"/>
                <w:sz w:val="24"/>
                <w:highlight w:val="none"/>
              </w:rPr>
            </w:pPr>
            <w:r>
              <w:rPr>
                <w:rFonts w:hint="eastAsia" w:ascii="宋体" w:hAnsi="宋体"/>
                <w:color w:val="auto"/>
                <w:sz w:val="24"/>
                <w:highlight w:val="none"/>
              </w:rPr>
              <w:t>开户银行</w:t>
            </w:r>
          </w:p>
        </w:tc>
        <w:tc>
          <w:tcPr>
            <w:tcW w:w="7950" w:type="dxa"/>
            <w:gridSpan w:val="2"/>
            <w:tcBorders>
              <w:bottom w:val="single" w:color="auto" w:sz="4" w:space="0"/>
            </w:tcBorders>
            <w:vAlign w:val="center"/>
          </w:tcPr>
          <w:p w14:paraId="38D3618F">
            <w:pPr>
              <w:spacing w:line="360" w:lineRule="auto"/>
              <w:rPr>
                <w:rFonts w:ascii="宋体" w:hAnsi="宋体"/>
                <w:color w:val="auto"/>
                <w:sz w:val="24"/>
                <w:highlight w:val="none"/>
              </w:rPr>
            </w:pPr>
            <w:r>
              <w:rPr>
                <w:rFonts w:hint="eastAsia" w:ascii="宋体" w:hAnsi="宋体"/>
                <w:color w:val="auto"/>
                <w:sz w:val="24"/>
                <w:highlight w:val="none"/>
              </w:rPr>
              <w:t>名称：</w:t>
            </w:r>
          </w:p>
        </w:tc>
      </w:tr>
      <w:tr w14:paraId="75A894F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80" w:hRule="atLeast"/>
        </w:trPr>
        <w:tc>
          <w:tcPr>
            <w:tcW w:w="1188" w:type="dxa"/>
            <w:vMerge w:val="continue"/>
            <w:vAlign w:val="center"/>
          </w:tcPr>
          <w:p w14:paraId="19B43FEF">
            <w:pPr>
              <w:spacing w:line="360" w:lineRule="auto"/>
              <w:ind w:firstLine="480" w:firstLineChars="200"/>
              <w:jc w:val="center"/>
              <w:rPr>
                <w:rFonts w:ascii="宋体" w:hAnsi="宋体"/>
                <w:color w:val="auto"/>
                <w:sz w:val="24"/>
                <w:highlight w:val="none"/>
              </w:rPr>
            </w:pPr>
          </w:p>
        </w:tc>
        <w:tc>
          <w:tcPr>
            <w:tcW w:w="7950" w:type="dxa"/>
            <w:gridSpan w:val="2"/>
            <w:tcBorders>
              <w:bottom w:val="single" w:color="auto" w:sz="4" w:space="0"/>
            </w:tcBorders>
            <w:vAlign w:val="center"/>
          </w:tcPr>
          <w:p w14:paraId="33058413">
            <w:pPr>
              <w:spacing w:line="360" w:lineRule="auto"/>
              <w:rPr>
                <w:rFonts w:ascii="宋体" w:hAnsi="宋体"/>
                <w:color w:val="auto"/>
                <w:sz w:val="24"/>
                <w:highlight w:val="none"/>
              </w:rPr>
            </w:pPr>
            <w:r>
              <w:rPr>
                <w:rFonts w:hint="eastAsia" w:ascii="宋体" w:hAnsi="宋体"/>
                <w:color w:val="auto"/>
                <w:sz w:val="24"/>
                <w:highlight w:val="none"/>
              </w:rPr>
              <w:t>地址：</w:t>
            </w:r>
          </w:p>
        </w:tc>
      </w:tr>
      <w:tr w14:paraId="5C39E941">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Pr>
        <w:tc>
          <w:tcPr>
            <w:tcW w:w="1188" w:type="dxa"/>
            <w:vMerge w:val="continue"/>
            <w:vAlign w:val="center"/>
          </w:tcPr>
          <w:p w14:paraId="5F685758">
            <w:pPr>
              <w:spacing w:line="360" w:lineRule="auto"/>
              <w:ind w:firstLine="480" w:firstLineChars="200"/>
              <w:rPr>
                <w:rFonts w:ascii="宋体" w:hAnsi="宋体"/>
                <w:color w:val="auto"/>
                <w:sz w:val="24"/>
                <w:highlight w:val="none"/>
              </w:rPr>
            </w:pPr>
          </w:p>
        </w:tc>
        <w:tc>
          <w:tcPr>
            <w:tcW w:w="4492" w:type="dxa"/>
            <w:vAlign w:val="center"/>
          </w:tcPr>
          <w:p w14:paraId="40EBB60B">
            <w:pPr>
              <w:spacing w:line="360" w:lineRule="auto"/>
              <w:rPr>
                <w:rFonts w:ascii="宋体" w:hAnsi="宋体"/>
                <w:color w:val="auto"/>
                <w:sz w:val="24"/>
                <w:highlight w:val="none"/>
              </w:rPr>
            </w:pPr>
            <w:r>
              <w:rPr>
                <w:rFonts w:hint="eastAsia" w:ascii="宋体" w:hAnsi="宋体"/>
                <w:color w:val="auto"/>
                <w:sz w:val="24"/>
                <w:highlight w:val="none"/>
              </w:rPr>
              <w:t>电话：</w:t>
            </w:r>
          </w:p>
        </w:tc>
        <w:tc>
          <w:tcPr>
            <w:tcW w:w="3458" w:type="dxa"/>
            <w:vAlign w:val="center"/>
          </w:tcPr>
          <w:p w14:paraId="2DB38D21">
            <w:pPr>
              <w:spacing w:line="360" w:lineRule="auto"/>
              <w:rPr>
                <w:rFonts w:ascii="宋体" w:hAnsi="宋体"/>
                <w:color w:val="auto"/>
                <w:sz w:val="24"/>
                <w:highlight w:val="none"/>
              </w:rPr>
            </w:pPr>
            <w:r>
              <w:rPr>
                <w:rFonts w:hint="eastAsia" w:ascii="宋体" w:hAnsi="宋体"/>
                <w:color w:val="auto"/>
                <w:sz w:val="24"/>
                <w:highlight w:val="none"/>
              </w:rPr>
              <w:t>联系人及职务：</w:t>
            </w:r>
          </w:p>
        </w:tc>
      </w:tr>
      <w:tr w14:paraId="20EDF3F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Pr>
        <w:tc>
          <w:tcPr>
            <w:tcW w:w="1188" w:type="dxa"/>
            <w:vMerge w:val="continue"/>
            <w:vAlign w:val="center"/>
          </w:tcPr>
          <w:p w14:paraId="34B63A48">
            <w:pPr>
              <w:spacing w:line="360" w:lineRule="auto"/>
              <w:ind w:firstLine="480" w:firstLineChars="200"/>
              <w:rPr>
                <w:rFonts w:ascii="宋体" w:hAnsi="宋体"/>
                <w:color w:val="auto"/>
                <w:sz w:val="24"/>
                <w:highlight w:val="none"/>
              </w:rPr>
            </w:pPr>
          </w:p>
        </w:tc>
        <w:tc>
          <w:tcPr>
            <w:tcW w:w="4492" w:type="dxa"/>
            <w:vAlign w:val="center"/>
          </w:tcPr>
          <w:p w14:paraId="4DE6A390">
            <w:pPr>
              <w:spacing w:line="360" w:lineRule="auto"/>
              <w:rPr>
                <w:rFonts w:ascii="宋体" w:hAnsi="宋体"/>
                <w:color w:val="auto"/>
                <w:sz w:val="24"/>
                <w:highlight w:val="none"/>
              </w:rPr>
            </w:pPr>
            <w:r>
              <w:rPr>
                <w:rFonts w:hint="eastAsia" w:ascii="宋体" w:hAnsi="宋体"/>
                <w:color w:val="auto"/>
                <w:sz w:val="24"/>
                <w:highlight w:val="none"/>
              </w:rPr>
              <w:t>传真：</w:t>
            </w:r>
          </w:p>
        </w:tc>
        <w:tc>
          <w:tcPr>
            <w:tcW w:w="3458" w:type="dxa"/>
            <w:vAlign w:val="center"/>
          </w:tcPr>
          <w:p w14:paraId="241DA920">
            <w:pPr>
              <w:spacing w:line="360" w:lineRule="auto"/>
              <w:rPr>
                <w:rFonts w:ascii="宋体" w:hAnsi="宋体"/>
                <w:color w:val="auto"/>
                <w:sz w:val="24"/>
                <w:highlight w:val="none"/>
              </w:rPr>
            </w:pPr>
            <w:r>
              <w:rPr>
                <w:rFonts w:hint="eastAsia" w:ascii="宋体" w:hAnsi="宋体"/>
                <w:color w:val="auto"/>
                <w:sz w:val="24"/>
                <w:highlight w:val="none"/>
              </w:rPr>
              <w:t>电传：</w:t>
            </w:r>
          </w:p>
        </w:tc>
      </w:tr>
    </w:tbl>
    <w:p w14:paraId="63B5EFB3">
      <w:pPr>
        <w:spacing w:line="360" w:lineRule="auto"/>
        <w:rPr>
          <w:rFonts w:ascii="宋体" w:hAnsi="宋体"/>
          <w:color w:val="auto"/>
          <w:sz w:val="28"/>
          <w:highlight w:val="none"/>
        </w:rPr>
      </w:pPr>
      <w:r>
        <w:rPr>
          <w:rFonts w:hint="eastAsia" w:ascii="宋体" w:hAnsi="宋体"/>
          <w:color w:val="auto"/>
          <w:sz w:val="28"/>
          <w:highlight w:val="none"/>
        </w:rPr>
        <w:t>二、</w:t>
      </w:r>
      <w:r>
        <w:rPr>
          <w:rFonts w:hint="eastAsia" w:ascii="宋体" w:hAnsi="宋体"/>
          <w:color w:val="auto"/>
          <w:sz w:val="24"/>
          <w:highlight w:val="none"/>
        </w:rPr>
        <w:t>近三年每年的资产负债情况</w:t>
      </w:r>
    </w:p>
    <w:tbl>
      <w:tblPr>
        <w:tblStyle w:val="17"/>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2130"/>
        <w:gridCol w:w="2130"/>
        <w:gridCol w:w="2130"/>
        <w:gridCol w:w="2748"/>
      </w:tblGrid>
      <w:tr w14:paraId="36C4582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585" w:hRule="atLeast"/>
        </w:trPr>
        <w:tc>
          <w:tcPr>
            <w:tcW w:w="2130" w:type="dxa"/>
            <w:vMerge w:val="restart"/>
            <w:vAlign w:val="center"/>
          </w:tcPr>
          <w:p w14:paraId="55B9881C">
            <w:pPr>
              <w:spacing w:line="360" w:lineRule="auto"/>
              <w:rPr>
                <w:rFonts w:ascii="宋体" w:hAnsi="宋体"/>
                <w:color w:val="auto"/>
                <w:sz w:val="24"/>
                <w:highlight w:val="none"/>
              </w:rPr>
            </w:pPr>
            <w:r>
              <w:rPr>
                <w:rFonts w:hint="eastAsia" w:ascii="宋体" w:hAnsi="宋体"/>
                <w:color w:val="auto"/>
                <w:sz w:val="24"/>
                <w:highlight w:val="none"/>
              </w:rPr>
              <w:t>财务状况（单位）</w:t>
            </w:r>
          </w:p>
        </w:tc>
        <w:tc>
          <w:tcPr>
            <w:tcW w:w="7008" w:type="dxa"/>
            <w:gridSpan w:val="3"/>
            <w:vAlign w:val="center"/>
          </w:tcPr>
          <w:p w14:paraId="49A76B18">
            <w:pPr>
              <w:spacing w:line="360" w:lineRule="auto"/>
              <w:ind w:firstLine="480" w:firstLineChars="200"/>
              <w:jc w:val="center"/>
              <w:rPr>
                <w:rFonts w:ascii="宋体" w:hAnsi="宋体"/>
                <w:color w:val="auto"/>
                <w:sz w:val="24"/>
                <w:highlight w:val="none"/>
              </w:rPr>
            </w:pPr>
            <w:r>
              <w:rPr>
                <w:rFonts w:hint="eastAsia" w:ascii="宋体" w:hAnsi="宋体"/>
                <w:color w:val="auto"/>
                <w:sz w:val="24"/>
                <w:highlight w:val="none"/>
              </w:rPr>
              <w:t xml:space="preserve">近三年 </w:t>
            </w:r>
          </w:p>
        </w:tc>
      </w:tr>
      <w:tr w14:paraId="5E597A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405" w:hRule="atLeast"/>
        </w:trPr>
        <w:tc>
          <w:tcPr>
            <w:tcW w:w="2130" w:type="dxa"/>
            <w:vMerge w:val="continue"/>
            <w:vAlign w:val="center"/>
          </w:tcPr>
          <w:p w14:paraId="2576A13E">
            <w:pPr>
              <w:spacing w:line="360" w:lineRule="auto"/>
              <w:ind w:firstLine="480" w:firstLineChars="200"/>
              <w:jc w:val="center"/>
              <w:rPr>
                <w:rFonts w:ascii="宋体" w:hAnsi="宋体"/>
                <w:color w:val="auto"/>
                <w:sz w:val="24"/>
                <w:highlight w:val="none"/>
              </w:rPr>
            </w:pPr>
          </w:p>
        </w:tc>
        <w:tc>
          <w:tcPr>
            <w:tcW w:w="2130" w:type="dxa"/>
            <w:vAlign w:val="center"/>
          </w:tcPr>
          <w:p w14:paraId="53148F87">
            <w:pPr>
              <w:spacing w:line="360" w:lineRule="auto"/>
              <w:ind w:firstLine="480" w:firstLineChars="200"/>
              <w:rPr>
                <w:rFonts w:ascii="宋体" w:hAnsi="宋体"/>
                <w:color w:val="auto"/>
                <w:sz w:val="24"/>
                <w:highlight w:val="none"/>
              </w:rPr>
            </w:pPr>
            <w:r>
              <w:rPr>
                <w:rFonts w:hint="eastAsia" w:ascii="宋体" w:hAnsi="宋体"/>
                <w:color w:val="auto"/>
                <w:sz w:val="24"/>
                <w:highlight w:val="none"/>
              </w:rPr>
              <w:t>20</w:t>
            </w:r>
            <w:r>
              <w:rPr>
                <w:rFonts w:ascii="宋体" w:hAnsi="宋体"/>
                <w:color w:val="auto"/>
                <w:sz w:val="24"/>
                <w:highlight w:val="none"/>
              </w:rPr>
              <w:t>21</w:t>
            </w:r>
            <w:r>
              <w:rPr>
                <w:rFonts w:hint="eastAsia" w:ascii="宋体" w:hAnsi="宋体"/>
                <w:color w:val="auto"/>
                <w:sz w:val="24"/>
                <w:highlight w:val="none"/>
              </w:rPr>
              <w:t>年</w:t>
            </w:r>
          </w:p>
        </w:tc>
        <w:tc>
          <w:tcPr>
            <w:tcW w:w="2130" w:type="dxa"/>
            <w:vAlign w:val="center"/>
          </w:tcPr>
          <w:p w14:paraId="56D31D3C">
            <w:pPr>
              <w:spacing w:line="360" w:lineRule="auto"/>
              <w:ind w:firstLine="480" w:firstLineChars="200"/>
              <w:rPr>
                <w:rFonts w:ascii="宋体" w:hAnsi="宋体"/>
                <w:color w:val="auto"/>
                <w:sz w:val="24"/>
                <w:highlight w:val="none"/>
              </w:rPr>
            </w:pPr>
            <w:r>
              <w:rPr>
                <w:rFonts w:hint="eastAsia" w:ascii="宋体" w:hAnsi="宋体"/>
                <w:color w:val="auto"/>
                <w:sz w:val="24"/>
                <w:highlight w:val="none"/>
              </w:rPr>
              <w:t>20</w:t>
            </w:r>
            <w:r>
              <w:rPr>
                <w:rFonts w:ascii="宋体" w:hAnsi="宋体"/>
                <w:color w:val="auto"/>
                <w:sz w:val="24"/>
                <w:highlight w:val="none"/>
              </w:rPr>
              <w:t>22</w:t>
            </w:r>
            <w:r>
              <w:rPr>
                <w:rFonts w:hint="eastAsia" w:ascii="宋体" w:hAnsi="宋体"/>
                <w:color w:val="auto"/>
                <w:sz w:val="24"/>
                <w:highlight w:val="none"/>
              </w:rPr>
              <w:t>年</w:t>
            </w:r>
          </w:p>
        </w:tc>
        <w:tc>
          <w:tcPr>
            <w:tcW w:w="2748" w:type="dxa"/>
            <w:vAlign w:val="center"/>
          </w:tcPr>
          <w:p w14:paraId="7C1575EA">
            <w:pPr>
              <w:spacing w:line="360" w:lineRule="auto"/>
              <w:ind w:firstLine="480" w:firstLineChars="200"/>
              <w:rPr>
                <w:rFonts w:ascii="宋体" w:hAnsi="宋体"/>
                <w:color w:val="auto"/>
                <w:sz w:val="24"/>
                <w:highlight w:val="none"/>
              </w:rPr>
            </w:pPr>
            <w:r>
              <w:rPr>
                <w:rFonts w:hint="eastAsia" w:ascii="宋体" w:hAnsi="宋体"/>
                <w:color w:val="auto"/>
                <w:sz w:val="24"/>
                <w:highlight w:val="none"/>
              </w:rPr>
              <w:t>20</w:t>
            </w:r>
            <w:r>
              <w:rPr>
                <w:rFonts w:ascii="宋体" w:hAnsi="宋体"/>
                <w:color w:val="auto"/>
                <w:sz w:val="24"/>
                <w:highlight w:val="none"/>
              </w:rPr>
              <w:t>23</w:t>
            </w:r>
            <w:r>
              <w:rPr>
                <w:rFonts w:hint="eastAsia" w:ascii="宋体" w:hAnsi="宋体"/>
                <w:color w:val="auto"/>
                <w:sz w:val="24"/>
                <w:highlight w:val="none"/>
              </w:rPr>
              <w:t>年</w:t>
            </w:r>
          </w:p>
        </w:tc>
      </w:tr>
      <w:tr w14:paraId="5963C2C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30" w:type="dxa"/>
          </w:tcPr>
          <w:p w14:paraId="29B03CF4">
            <w:pPr>
              <w:spacing w:line="360" w:lineRule="auto"/>
              <w:rPr>
                <w:rFonts w:ascii="宋体" w:hAnsi="宋体"/>
                <w:color w:val="auto"/>
                <w:sz w:val="24"/>
                <w:highlight w:val="none"/>
              </w:rPr>
            </w:pPr>
            <w:r>
              <w:rPr>
                <w:rFonts w:hint="eastAsia" w:ascii="宋体" w:hAnsi="宋体"/>
                <w:color w:val="auto"/>
                <w:sz w:val="24"/>
                <w:highlight w:val="none"/>
              </w:rPr>
              <w:t>1．总资产</w:t>
            </w:r>
          </w:p>
        </w:tc>
        <w:tc>
          <w:tcPr>
            <w:tcW w:w="2130" w:type="dxa"/>
          </w:tcPr>
          <w:p w14:paraId="691F301C">
            <w:pPr>
              <w:spacing w:line="360" w:lineRule="auto"/>
              <w:ind w:firstLine="480" w:firstLineChars="200"/>
              <w:rPr>
                <w:rFonts w:ascii="宋体" w:hAnsi="宋体"/>
                <w:color w:val="auto"/>
                <w:sz w:val="24"/>
                <w:highlight w:val="none"/>
              </w:rPr>
            </w:pPr>
          </w:p>
        </w:tc>
        <w:tc>
          <w:tcPr>
            <w:tcW w:w="2130" w:type="dxa"/>
          </w:tcPr>
          <w:p w14:paraId="6C858959">
            <w:pPr>
              <w:spacing w:line="360" w:lineRule="auto"/>
              <w:ind w:firstLine="480" w:firstLineChars="200"/>
              <w:rPr>
                <w:rFonts w:ascii="宋体" w:hAnsi="宋体"/>
                <w:color w:val="auto"/>
                <w:sz w:val="24"/>
                <w:highlight w:val="none"/>
              </w:rPr>
            </w:pPr>
          </w:p>
        </w:tc>
        <w:tc>
          <w:tcPr>
            <w:tcW w:w="2748" w:type="dxa"/>
          </w:tcPr>
          <w:p w14:paraId="59F2F9BE">
            <w:pPr>
              <w:spacing w:line="360" w:lineRule="auto"/>
              <w:ind w:firstLine="480" w:firstLineChars="200"/>
              <w:rPr>
                <w:rFonts w:ascii="宋体" w:hAnsi="宋体"/>
                <w:color w:val="auto"/>
                <w:sz w:val="24"/>
                <w:highlight w:val="none"/>
              </w:rPr>
            </w:pPr>
          </w:p>
        </w:tc>
      </w:tr>
      <w:tr w14:paraId="1F8E82F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30" w:type="dxa"/>
          </w:tcPr>
          <w:p w14:paraId="6333C3C0">
            <w:pPr>
              <w:spacing w:line="360" w:lineRule="auto"/>
              <w:rPr>
                <w:rFonts w:ascii="宋体" w:hAnsi="宋体"/>
                <w:color w:val="auto"/>
                <w:sz w:val="24"/>
                <w:highlight w:val="none"/>
              </w:rPr>
            </w:pPr>
            <w:r>
              <w:rPr>
                <w:rFonts w:hint="eastAsia" w:ascii="宋体" w:hAnsi="宋体"/>
                <w:color w:val="auto"/>
                <w:sz w:val="24"/>
                <w:highlight w:val="none"/>
              </w:rPr>
              <w:t>2．流动资产</w:t>
            </w:r>
          </w:p>
        </w:tc>
        <w:tc>
          <w:tcPr>
            <w:tcW w:w="2130" w:type="dxa"/>
          </w:tcPr>
          <w:p w14:paraId="53E981D4">
            <w:pPr>
              <w:spacing w:line="360" w:lineRule="auto"/>
              <w:ind w:firstLine="480" w:firstLineChars="200"/>
              <w:rPr>
                <w:rFonts w:ascii="宋体" w:hAnsi="宋体"/>
                <w:color w:val="auto"/>
                <w:sz w:val="24"/>
                <w:highlight w:val="none"/>
              </w:rPr>
            </w:pPr>
          </w:p>
        </w:tc>
        <w:tc>
          <w:tcPr>
            <w:tcW w:w="2130" w:type="dxa"/>
          </w:tcPr>
          <w:p w14:paraId="40267D21">
            <w:pPr>
              <w:spacing w:line="360" w:lineRule="auto"/>
              <w:ind w:firstLine="480" w:firstLineChars="200"/>
              <w:rPr>
                <w:rFonts w:ascii="宋体" w:hAnsi="宋体"/>
                <w:color w:val="auto"/>
                <w:sz w:val="24"/>
                <w:highlight w:val="none"/>
              </w:rPr>
            </w:pPr>
          </w:p>
        </w:tc>
        <w:tc>
          <w:tcPr>
            <w:tcW w:w="2748" w:type="dxa"/>
          </w:tcPr>
          <w:p w14:paraId="1F9B3009">
            <w:pPr>
              <w:spacing w:line="360" w:lineRule="auto"/>
              <w:ind w:firstLine="480" w:firstLineChars="200"/>
              <w:rPr>
                <w:rFonts w:ascii="宋体" w:hAnsi="宋体"/>
                <w:color w:val="auto"/>
                <w:sz w:val="24"/>
                <w:highlight w:val="none"/>
              </w:rPr>
            </w:pPr>
          </w:p>
        </w:tc>
      </w:tr>
      <w:tr w14:paraId="79DB670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30" w:type="dxa"/>
          </w:tcPr>
          <w:p w14:paraId="39431253">
            <w:pPr>
              <w:spacing w:line="360" w:lineRule="auto"/>
              <w:rPr>
                <w:rFonts w:ascii="宋体" w:hAnsi="宋体"/>
                <w:color w:val="auto"/>
                <w:sz w:val="24"/>
                <w:highlight w:val="none"/>
              </w:rPr>
            </w:pPr>
            <w:r>
              <w:rPr>
                <w:rFonts w:hint="eastAsia" w:ascii="宋体" w:hAnsi="宋体"/>
                <w:color w:val="auto"/>
                <w:sz w:val="24"/>
                <w:highlight w:val="none"/>
              </w:rPr>
              <w:t>3．总负债</w:t>
            </w:r>
          </w:p>
        </w:tc>
        <w:tc>
          <w:tcPr>
            <w:tcW w:w="2130" w:type="dxa"/>
          </w:tcPr>
          <w:p w14:paraId="5D22D6C3">
            <w:pPr>
              <w:spacing w:line="360" w:lineRule="auto"/>
              <w:ind w:firstLine="480" w:firstLineChars="200"/>
              <w:rPr>
                <w:rFonts w:ascii="宋体" w:hAnsi="宋体"/>
                <w:color w:val="auto"/>
                <w:sz w:val="24"/>
                <w:highlight w:val="none"/>
              </w:rPr>
            </w:pPr>
          </w:p>
        </w:tc>
        <w:tc>
          <w:tcPr>
            <w:tcW w:w="2130" w:type="dxa"/>
          </w:tcPr>
          <w:p w14:paraId="1C95E42A">
            <w:pPr>
              <w:spacing w:line="360" w:lineRule="auto"/>
              <w:ind w:firstLine="480" w:firstLineChars="200"/>
              <w:rPr>
                <w:rFonts w:ascii="宋体" w:hAnsi="宋体"/>
                <w:color w:val="auto"/>
                <w:sz w:val="24"/>
                <w:highlight w:val="none"/>
              </w:rPr>
            </w:pPr>
          </w:p>
        </w:tc>
        <w:tc>
          <w:tcPr>
            <w:tcW w:w="2748" w:type="dxa"/>
          </w:tcPr>
          <w:p w14:paraId="3D5ED342">
            <w:pPr>
              <w:spacing w:line="360" w:lineRule="auto"/>
              <w:ind w:firstLine="480" w:firstLineChars="200"/>
              <w:rPr>
                <w:rFonts w:ascii="宋体" w:hAnsi="宋体"/>
                <w:color w:val="auto"/>
                <w:sz w:val="24"/>
                <w:highlight w:val="none"/>
              </w:rPr>
            </w:pPr>
          </w:p>
        </w:tc>
      </w:tr>
      <w:tr w14:paraId="4CD20794">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30" w:type="dxa"/>
          </w:tcPr>
          <w:p w14:paraId="710DB3B7">
            <w:pPr>
              <w:spacing w:line="360" w:lineRule="auto"/>
              <w:rPr>
                <w:rFonts w:ascii="宋体" w:hAnsi="宋体"/>
                <w:color w:val="auto"/>
                <w:sz w:val="24"/>
                <w:highlight w:val="none"/>
              </w:rPr>
            </w:pPr>
            <w:r>
              <w:rPr>
                <w:rFonts w:hint="eastAsia" w:ascii="宋体" w:hAnsi="宋体"/>
                <w:color w:val="auto"/>
                <w:sz w:val="24"/>
                <w:highlight w:val="none"/>
              </w:rPr>
              <w:t>4．流动负债</w:t>
            </w:r>
          </w:p>
        </w:tc>
        <w:tc>
          <w:tcPr>
            <w:tcW w:w="2130" w:type="dxa"/>
          </w:tcPr>
          <w:p w14:paraId="35B46AB1">
            <w:pPr>
              <w:spacing w:line="360" w:lineRule="auto"/>
              <w:ind w:firstLine="480" w:firstLineChars="200"/>
              <w:rPr>
                <w:rFonts w:ascii="宋体" w:hAnsi="宋体"/>
                <w:color w:val="auto"/>
                <w:sz w:val="24"/>
                <w:highlight w:val="none"/>
              </w:rPr>
            </w:pPr>
          </w:p>
        </w:tc>
        <w:tc>
          <w:tcPr>
            <w:tcW w:w="2130" w:type="dxa"/>
          </w:tcPr>
          <w:p w14:paraId="656DE1D7">
            <w:pPr>
              <w:spacing w:line="360" w:lineRule="auto"/>
              <w:ind w:firstLine="480" w:firstLineChars="200"/>
              <w:rPr>
                <w:rFonts w:ascii="宋体" w:hAnsi="宋体"/>
                <w:color w:val="auto"/>
                <w:sz w:val="24"/>
                <w:highlight w:val="none"/>
              </w:rPr>
            </w:pPr>
          </w:p>
        </w:tc>
        <w:tc>
          <w:tcPr>
            <w:tcW w:w="2748" w:type="dxa"/>
          </w:tcPr>
          <w:p w14:paraId="437DD144">
            <w:pPr>
              <w:spacing w:line="360" w:lineRule="auto"/>
              <w:ind w:firstLine="480" w:firstLineChars="200"/>
              <w:rPr>
                <w:rFonts w:ascii="宋体" w:hAnsi="宋体"/>
                <w:color w:val="auto"/>
                <w:sz w:val="24"/>
                <w:highlight w:val="none"/>
              </w:rPr>
            </w:pPr>
          </w:p>
        </w:tc>
      </w:tr>
      <w:tr w14:paraId="3E7E22A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30" w:type="dxa"/>
          </w:tcPr>
          <w:p w14:paraId="3079857E">
            <w:pPr>
              <w:spacing w:line="360" w:lineRule="auto"/>
              <w:rPr>
                <w:rFonts w:ascii="宋体" w:hAnsi="宋体"/>
                <w:color w:val="auto"/>
                <w:sz w:val="24"/>
                <w:highlight w:val="none"/>
              </w:rPr>
            </w:pPr>
            <w:r>
              <w:rPr>
                <w:rFonts w:hint="eastAsia" w:ascii="宋体" w:hAnsi="宋体"/>
                <w:color w:val="auto"/>
                <w:sz w:val="24"/>
                <w:highlight w:val="none"/>
              </w:rPr>
              <w:t>5．税前利润</w:t>
            </w:r>
          </w:p>
        </w:tc>
        <w:tc>
          <w:tcPr>
            <w:tcW w:w="2130" w:type="dxa"/>
          </w:tcPr>
          <w:p w14:paraId="41030C9D">
            <w:pPr>
              <w:spacing w:line="360" w:lineRule="auto"/>
              <w:ind w:firstLine="480" w:firstLineChars="200"/>
              <w:rPr>
                <w:rFonts w:ascii="宋体" w:hAnsi="宋体"/>
                <w:color w:val="auto"/>
                <w:sz w:val="24"/>
                <w:highlight w:val="none"/>
              </w:rPr>
            </w:pPr>
          </w:p>
        </w:tc>
        <w:tc>
          <w:tcPr>
            <w:tcW w:w="2130" w:type="dxa"/>
          </w:tcPr>
          <w:p w14:paraId="2D07B4B5">
            <w:pPr>
              <w:spacing w:line="360" w:lineRule="auto"/>
              <w:ind w:firstLine="480" w:firstLineChars="200"/>
              <w:rPr>
                <w:rFonts w:ascii="宋体" w:hAnsi="宋体"/>
                <w:color w:val="auto"/>
                <w:sz w:val="24"/>
                <w:highlight w:val="none"/>
              </w:rPr>
            </w:pPr>
          </w:p>
        </w:tc>
        <w:tc>
          <w:tcPr>
            <w:tcW w:w="2748" w:type="dxa"/>
          </w:tcPr>
          <w:p w14:paraId="1BAC5D25">
            <w:pPr>
              <w:spacing w:line="360" w:lineRule="auto"/>
              <w:ind w:firstLine="480" w:firstLineChars="200"/>
              <w:rPr>
                <w:rFonts w:ascii="宋体" w:hAnsi="宋体"/>
                <w:color w:val="auto"/>
                <w:sz w:val="24"/>
                <w:highlight w:val="none"/>
              </w:rPr>
            </w:pPr>
          </w:p>
        </w:tc>
      </w:tr>
      <w:tr w14:paraId="492F2B2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2130" w:type="dxa"/>
          </w:tcPr>
          <w:p w14:paraId="0804C5E1">
            <w:pPr>
              <w:spacing w:line="360" w:lineRule="auto"/>
              <w:rPr>
                <w:rFonts w:ascii="宋体" w:hAnsi="宋体"/>
                <w:color w:val="auto"/>
                <w:sz w:val="24"/>
                <w:highlight w:val="none"/>
              </w:rPr>
            </w:pPr>
            <w:r>
              <w:rPr>
                <w:rFonts w:hint="eastAsia" w:ascii="宋体" w:hAnsi="宋体"/>
                <w:color w:val="auto"/>
                <w:sz w:val="24"/>
                <w:highlight w:val="none"/>
              </w:rPr>
              <w:t>6．税后利润</w:t>
            </w:r>
          </w:p>
        </w:tc>
        <w:tc>
          <w:tcPr>
            <w:tcW w:w="2130" w:type="dxa"/>
          </w:tcPr>
          <w:p w14:paraId="3A27EE5A">
            <w:pPr>
              <w:spacing w:line="360" w:lineRule="auto"/>
              <w:ind w:firstLine="480" w:firstLineChars="200"/>
              <w:rPr>
                <w:rFonts w:ascii="宋体" w:hAnsi="宋体"/>
                <w:color w:val="auto"/>
                <w:sz w:val="24"/>
                <w:highlight w:val="none"/>
              </w:rPr>
            </w:pPr>
          </w:p>
        </w:tc>
        <w:tc>
          <w:tcPr>
            <w:tcW w:w="2130" w:type="dxa"/>
          </w:tcPr>
          <w:p w14:paraId="28EFD394">
            <w:pPr>
              <w:spacing w:line="360" w:lineRule="auto"/>
              <w:ind w:firstLine="480" w:firstLineChars="200"/>
              <w:rPr>
                <w:rFonts w:ascii="宋体" w:hAnsi="宋体"/>
                <w:color w:val="auto"/>
                <w:sz w:val="24"/>
                <w:highlight w:val="none"/>
              </w:rPr>
            </w:pPr>
          </w:p>
        </w:tc>
        <w:tc>
          <w:tcPr>
            <w:tcW w:w="2748" w:type="dxa"/>
          </w:tcPr>
          <w:p w14:paraId="1394A94A">
            <w:pPr>
              <w:spacing w:line="360" w:lineRule="auto"/>
              <w:ind w:firstLine="480" w:firstLineChars="200"/>
              <w:rPr>
                <w:rFonts w:ascii="宋体" w:hAnsi="宋体"/>
                <w:color w:val="auto"/>
                <w:sz w:val="24"/>
                <w:highlight w:val="none"/>
              </w:rPr>
            </w:pPr>
          </w:p>
        </w:tc>
      </w:tr>
    </w:tbl>
    <w:p w14:paraId="3197B556">
      <w:pPr>
        <w:spacing w:line="360" w:lineRule="auto"/>
        <w:rPr>
          <w:rFonts w:ascii="宋体" w:hAnsi="宋体"/>
          <w:b/>
          <w:color w:val="auto"/>
          <w:sz w:val="28"/>
          <w:highlight w:val="none"/>
        </w:rPr>
      </w:pPr>
    </w:p>
    <w:p w14:paraId="24147E3C">
      <w:pPr>
        <w:spacing w:line="360" w:lineRule="auto"/>
        <w:ind w:firstLine="480" w:firstLineChars="200"/>
        <w:rPr>
          <w:rFonts w:ascii="宋体" w:hAnsi="宋体"/>
          <w:color w:val="auto"/>
          <w:sz w:val="24"/>
          <w:highlight w:val="none"/>
        </w:rPr>
      </w:pPr>
      <w:r>
        <w:rPr>
          <w:rFonts w:hint="eastAsia" w:ascii="宋体" w:hAnsi="宋体"/>
          <w:color w:val="auto"/>
          <w:sz w:val="24"/>
          <w:highlight w:val="none"/>
        </w:rPr>
        <w:t xml:space="preserve">  为达到本项目现金流量需要提出的信贷计划（投标人在其他合同上投入的资金不在此范围内）</w:t>
      </w:r>
    </w:p>
    <w:tbl>
      <w:tblPr>
        <w:tblStyle w:val="17"/>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4261"/>
        <w:gridCol w:w="4877"/>
      </w:tblGrid>
      <w:tr w14:paraId="7AFBBA6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61" w:type="dxa"/>
            <w:vAlign w:val="center"/>
          </w:tcPr>
          <w:p w14:paraId="413B7D0B">
            <w:pPr>
              <w:spacing w:line="360" w:lineRule="auto"/>
              <w:ind w:firstLine="480" w:firstLineChars="200"/>
              <w:rPr>
                <w:rFonts w:ascii="宋体" w:hAnsi="宋体"/>
                <w:color w:val="auto"/>
                <w:sz w:val="24"/>
                <w:highlight w:val="none"/>
              </w:rPr>
            </w:pPr>
            <w:r>
              <w:rPr>
                <w:rFonts w:hint="eastAsia" w:ascii="宋体" w:hAnsi="宋体"/>
                <w:color w:val="auto"/>
                <w:sz w:val="24"/>
                <w:highlight w:val="none"/>
              </w:rPr>
              <w:t>信贷来源</w:t>
            </w:r>
          </w:p>
        </w:tc>
        <w:tc>
          <w:tcPr>
            <w:tcW w:w="4877" w:type="dxa"/>
            <w:vAlign w:val="center"/>
          </w:tcPr>
          <w:p w14:paraId="2238E025">
            <w:pPr>
              <w:spacing w:line="360" w:lineRule="auto"/>
              <w:ind w:firstLine="480" w:firstLineChars="200"/>
              <w:rPr>
                <w:rFonts w:ascii="宋体" w:hAnsi="宋体"/>
                <w:color w:val="auto"/>
                <w:sz w:val="24"/>
                <w:highlight w:val="none"/>
              </w:rPr>
            </w:pPr>
            <w:r>
              <w:rPr>
                <w:rFonts w:hint="eastAsia" w:ascii="宋体" w:hAnsi="宋体"/>
                <w:color w:val="auto"/>
                <w:sz w:val="24"/>
                <w:highlight w:val="none"/>
              </w:rPr>
              <w:t>信贷金额（单位）</w:t>
            </w:r>
          </w:p>
        </w:tc>
      </w:tr>
      <w:tr w14:paraId="0B59C87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61" w:type="dxa"/>
          </w:tcPr>
          <w:p w14:paraId="262B5F95">
            <w:pPr>
              <w:spacing w:line="360" w:lineRule="auto"/>
              <w:rPr>
                <w:rFonts w:ascii="宋体" w:hAnsi="宋体"/>
                <w:color w:val="auto"/>
                <w:highlight w:val="none"/>
              </w:rPr>
            </w:pPr>
            <w:r>
              <w:rPr>
                <w:rFonts w:hint="eastAsia" w:ascii="宋体" w:hAnsi="宋体"/>
                <w:color w:val="auto"/>
                <w:highlight w:val="none"/>
              </w:rPr>
              <w:t>1</w:t>
            </w:r>
          </w:p>
        </w:tc>
        <w:tc>
          <w:tcPr>
            <w:tcW w:w="4877" w:type="dxa"/>
          </w:tcPr>
          <w:p w14:paraId="68FEA055">
            <w:pPr>
              <w:spacing w:line="360" w:lineRule="auto"/>
              <w:ind w:firstLine="420" w:firstLineChars="200"/>
              <w:rPr>
                <w:rFonts w:ascii="宋体" w:hAnsi="宋体"/>
                <w:color w:val="auto"/>
                <w:highlight w:val="none"/>
              </w:rPr>
            </w:pPr>
          </w:p>
        </w:tc>
      </w:tr>
      <w:tr w14:paraId="6CFBCD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61" w:type="dxa"/>
          </w:tcPr>
          <w:p w14:paraId="0E6CC3DE">
            <w:pPr>
              <w:spacing w:line="360" w:lineRule="auto"/>
              <w:rPr>
                <w:rFonts w:ascii="宋体" w:hAnsi="宋体"/>
                <w:color w:val="auto"/>
                <w:highlight w:val="none"/>
              </w:rPr>
            </w:pPr>
            <w:r>
              <w:rPr>
                <w:rFonts w:hint="eastAsia" w:ascii="宋体" w:hAnsi="宋体"/>
                <w:color w:val="auto"/>
                <w:highlight w:val="none"/>
              </w:rPr>
              <w:t>2</w:t>
            </w:r>
          </w:p>
        </w:tc>
        <w:tc>
          <w:tcPr>
            <w:tcW w:w="4877" w:type="dxa"/>
          </w:tcPr>
          <w:p w14:paraId="7DA2E36D">
            <w:pPr>
              <w:spacing w:line="360" w:lineRule="auto"/>
              <w:ind w:firstLine="420" w:firstLineChars="200"/>
              <w:rPr>
                <w:rFonts w:ascii="宋体" w:hAnsi="宋体"/>
                <w:color w:val="auto"/>
                <w:highlight w:val="none"/>
              </w:rPr>
            </w:pPr>
          </w:p>
        </w:tc>
      </w:tr>
      <w:tr w14:paraId="1A228E9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c>
          <w:tcPr>
            <w:tcW w:w="4261" w:type="dxa"/>
          </w:tcPr>
          <w:p w14:paraId="12FDE572">
            <w:pPr>
              <w:spacing w:line="360" w:lineRule="auto"/>
              <w:rPr>
                <w:rFonts w:ascii="宋体" w:hAnsi="宋体"/>
                <w:color w:val="auto"/>
                <w:highlight w:val="none"/>
              </w:rPr>
            </w:pPr>
            <w:r>
              <w:rPr>
                <w:rFonts w:hint="eastAsia" w:ascii="宋体" w:hAnsi="宋体"/>
                <w:color w:val="auto"/>
                <w:highlight w:val="none"/>
              </w:rPr>
              <w:t>3</w:t>
            </w:r>
          </w:p>
        </w:tc>
        <w:tc>
          <w:tcPr>
            <w:tcW w:w="4877" w:type="dxa"/>
          </w:tcPr>
          <w:p w14:paraId="31580E1F">
            <w:pPr>
              <w:spacing w:line="360" w:lineRule="auto"/>
              <w:ind w:firstLine="420" w:firstLineChars="200"/>
              <w:rPr>
                <w:rFonts w:ascii="宋体" w:hAnsi="宋体"/>
                <w:color w:val="auto"/>
                <w:highlight w:val="none"/>
              </w:rPr>
            </w:pPr>
          </w:p>
        </w:tc>
      </w:tr>
      <w:tr w14:paraId="5AD5337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 w:hRule="atLeast"/>
        </w:trPr>
        <w:tc>
          <w:tcPr>
            <w:tcW w:w="4261" w:type="dxa"/>
          </w:tcPr>
          <w:p w14:paraId="3AC4C35F">
            <w:pPr>
              <w:spacing w:line="360" w:lineRule="auto"/>
              <w:rPr>
                <w:rFonts w:ascii="宋体" w:hAnsi="宋体"/>
                <w:color w:val="auto"/>
                <w:highlight w:val="none"/>
              </w:rPr>
            </w:pPr>
            <w:r>
              <w:rPr>
                <w:rFonts w:hint="eastAsia" w:ascii="宋体" w:hAnsi="宋体"/>
                <w:color w:val="auto"/>
                <w:highlight w:val="none"/>
              </w:rPr>
              <w:t>4</w:t>
            </w:r>
          </w:p>
        </w:tc>
        <w:tc>
          <w:tcPr>
            <w:tcW w:w="4877" w:type="dxa"/>
          </w:tcPr>
          <w:p w14:paraId="2987D3CD">
            <w:pPr>
              <w:spacing w:line="360" w:lineRule="auto"/>
              <w:ind w:firstLine="420" w:firstLineChars="200"/>
              <w:rPr>
                <w:rFonts w:ascii="宋体" w:hAnsi="宋体"/>
                <w:color w:val="auto"/>
                <w:highlight w:val="none"/>
              </w:rPr>
            </w:pPr>
          </w:p>
        </w:tc>
      </w:tr>
    </w:tbl>
    <w:p w14:paraId="40244DD2">
      <w:pPr>
        <w:spacing w:line="360" w:lineRule="auto"/>
        <w:ind w:firstLine="562" w:firstLineChars="200"/>
        <w:rPr>
          <w:rFonts w:ascii="宋体" w:hAnsi="宋体"/>
          <w:b/>
          <w:color w:val="auto"/>
          <w:sz w:val="28"/>
          <w:highlight w:val="none"/>
        </w:rPr>
      </w:pPr>
    </w:p>
    <w:p w14:paraId="4BCA5937">
      <w:pPr>
        <w:spacing w:line="360" w:lineRule="auto"/>
        <w:ind w:firstLine="562" w:firstLineChars="200"/>
        <w:rPr>
          <w:rFonts w:ascii="宋体" w:hAnsi="宋体"/>
          <w:b/>
          <w:color w:val="auto"/>
          <w:sz w:val="28"/>
          <w:highlight w:val="none"/>
        </w:rPr>
      </w:pPr>
    </w:p>
    <w:p w14:paraId="2CCD6A59">
      <w:pPr>
        <w:pStyle w:val="3"/>
        <w:jc w:val="center"/>
        <w:rPr>
          <w:rFonts w:ascii="宋体" w:hAnsi="宋体"/>
          <w:b w:val="0"/>
          <w:color w:val="auto"/>
          <w:sz w:val="30"/>
          <w:highlight w:val="none"/>
        </w:rPr>
      </w:pPr>
      <w:r>
        <w:rPr>
          <w:rFonts w:ascii="宋体" w:hAnsi="宋体"/>
          <w:b w:val="0"/>
          <w:color w:val="auto"/>
          <w:sz w:val="28"/>
          <w:highlight w:val="none"/>
        </w:rPr>
        <w:br w:type="page"/>
      </w:r>
      <w:r>
        <w:rPr>
          <w:rFonts w:hint="eastAsia" w:ascii="宋体" w:hAnsi="宋体"/>
          <w:b w:val="0"/>
          <w:color w:val="auto"/>
          <w:sz w:val="30"/>
          <w:highlight w:val="none"/>
        </w:rPr>
        <w:t>六、拟派往本招标工程项目负责人简历表</w:t>
      </w:r>
    </w:p>
    <w:p w14:paraId="5F75AA3A">
      <w:pPr>
        <w:spacing w:line="360" w:lineRule="auto"/>
        <w:ind w:firstLine="420" w:firstLineChars="200"/>
        <w:rPr>
          <w:rFonts w:ascii="宋体" w:hAnsi="宋体"/>
          <w:color w:val="auto"/>
          <w:sz w:val="24"/>
          <w:highlight w:val="none"/>
        </w:rPr>
      </w:pPr>
      <w:r>
        <w:rPr>
          <w:rFonts w:hint="eastAsia" w:ascii="宋体" w:hAnsi="宋体"/>
          <w:color w:val="auto"/>
          <w:highlight w:val="none"/>
        </w:rPr>
        <w:t xml:space="preserve">    </w:t>
      </w:r>
      <w:r>
        <w:rPr>
          <w:rFonts w:hint="eastAsia" w:ascii="宋体" w:hAnsi="宋体"/>
          <w:color w:val="auto"/>
          <w:sz w:val="24"/>
          <w:highlight w:val="none"/>
        </w:rPr>
        <w:t>投标人名称</w:t>
      </w:r>
      <w:r>
        <w:rPr>
          <w:rFonts w:hint="eastAsia" w:ascii="宋体" w:hAnsi="宋体"/>
          <w:color w:val="auto"/>
          <w:sz w:val="24"/>
          <w:highlight w:val="none"/>
          <w:u w:val="single"/>
        </w:rPr>
        <w:t xml:space="preserve">                                          </w:t>
      </w:r>
    </w:p>
    <w:tbl>
      <w:tblPr>
        <w:tblStyle w:val="17"/>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828"/>
        <w:gridCol w:w="592"/>
        <w:gridCol w:w="1420"/>
        <w:gridCol w:w="400"/>
        <w:gridCol w:w="828"/>
        <w:gridCol w:w="192"/>
        <w:gridCol w:w="708"/>
        <w:gridCol w:w="342"/>
        <w:gridCol w:w="558"/>
        <w:gridCol w:w="870"/>
        <w:gridCol w:w="570"/>
        <w:gridCol w:w="27"/>
        <w:gridCol w:w="258"/>
        <w:gridCol w:w="1440"/>
      </w:tblGrid>
      <w:tr w14:paraId="0E15C5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2" w:hRule="atLeast"/>
        </w:trPr>
        <w:tc>
          <w:tcPr>
            <w:tcW w:w="828" w:type="dxa"/>
            <w:vAlign w:val="center"/>
          </w:tcPr>
          <w:p w14:paraId="4010615D">
            <w:pPr>
              <w:spacing w:line="360" w:lineRule="auto"/>
              <w:rPr>
                <w:rFonts w:ascii="宋体" w:hAnsi="宋体"/>
                <w:color w:val="auto"/>
                <w:sz w:val="24"/>
                <w:highlight w:val="none"/>
              </w:rPr>
            </w:pPr>
            <w:r>
              <w:rPr>
                <w:rFonts w:hint="eastAsia" w:ascii="宋体" w:hAnsi="宋体"/>
                <w:color w:val="auto"/>
                <w:sz w:val="24"/>
                <w:highlight w:val="none"/>
              </w:rPr>
              <w:t>姓名</w:t>
            </w:r>
          </w:p>
        </w:tc>
        <w:tc>
          <w:tcPr>
            <w:tcW w:w="3240" w:type="dxa"/>
            <w:gridSpan w:val="4"/>
            <w:vAlign w:val="center"/>
          </w:tcPr>
          <w:p w14:paraId="4F741503">
            <w:pPr>
              <w:spacing w:line="360" w:lineRule="auto"/>
              <w:ind w:firstLine="480" w:firstLineChars="200"/>
              <w:jc w:val="center"/>
              <w:rPr>
                <w:rFonts w:ascii="宋体" w:hAnsi="宋体"/>
                <w:color w:val="auto"/>
                <w:sz w:val="24"/>
                <w:highlight w:val="none"/>
              </w:rPr>
            </w:pPr>
          </w:p>
        </w:tc>
        <w:tc>
          <w:tcPr>
            <w:tcW w:w="900" w:type="dxa"/>
            <w:gridSpan w:val="2"/>
            <w:vAlign w:val="center"/>
          </w:tcPr>
          <w:p w14:paraId="3356E0F8">
            <w:pPr>
              <w:spacing w:line="360" w:lineRule="auto"/>
              <w:rPr>
                <w:rFonts w:ascii="宋体" w:hAnsi="宋体"/>
                <w:color w:val="auto"/>
                <w:sz w:val="24"/>
                <w:highlight w:val="none"/>
              </w:rPr>
            </w:pPr>
            <w:r>
              <w:rPr>
                <w:rFonts w:hint="eastAsia" w:ascii="宋体" w:hAnsi="宋体"/>
                <w:color w:val="auto"/>
                <w:sz w:val="24"/>
                <w:highlight w:val="none"/>
              </w:rPr>
              <w:t>性别</w:t>
            </w:r>
          </w:p>
        </w:tc>
        <w:tc>
          <w:tcPr>
            <w:tcW w:w="1770" w:type="dxa"/>
            <w:gridSpan w:val="3"/>
          </w:tcPr>
          <w:p w14:paraId="27014B82">
            <w:pPr>
              <w:spacing w:line="360" w:lineRule="auto"/>
              <w:ind w:firstLine="480" w:firstLineChars="200"/>
              <w:rPr>
                <w:rFonts w:ascii="宋体" w:hAnsi="宋体"/>
                <w:color w:val="auto"/>
                <w:sz w:val="24"/>
                <w:highlight w:val="none"/>
              </w:rPr>
            </w:pPr>
          </w:p>
        </w:tc>
        <w:tc>
          <w:tcPr>
            <w:tcW w:w="855" w:type="dxa"/>
            <w:gridSpan w:val="3"/>
            <w:vAlign w:val="center"/>
          </w:tcPr>
          <w:p w14:paraId="77BA83A7">
            <w:pPr>
              <w:spacing w:line="360" w:lineRule="auto"/>
              <w:ind w:left="27"/>
              <w:rPr>
                <w:rFonts w:ascii="宋体" w:hAnsi="宋体"/>
                <w:color w:val="auto"/>
                <w:sz w:val="24"/>
                <w:highlight w:val="none"/>
              </w:rPr>
            </w:pPr>
            <w:r>
              <w:rPr>
                <w:rFonts w:hint="eastAsia" w:ascii="宋体" w:hAnsi="宋体"/>
                <w:color w:val="auto"/>
                <w:sz w:val="24"/>
                <w:highlight w:val="none"/>
              </w:rPr>
              <w:t>年龄</w:t>
            </w:r>
          </w:p>
        </w:tc>
        <w:tc>
          <w:tcPr>
            <w:tcW w:w="1440" w:type="dxa"/>
          </w:tcPr>
          <w:p w14:paraId="49599E2B">
            <w:pPr>
              <w:spacing w:line="360" w:lineRule="auto"/>
              <w:ind w:firstLine="480" w:firstLineChars="200"/>
              <w:rPr>
                <w:rFonts w:ascii="宋体" w:hAnsi="宋体"/>
                <w:color w:val="auto"/>
                <w:sz w:val="24"/>
                <w:highlight w:val="none"/>
              </w:rPr>
            </w:pPr>
          </w:p>
        </w:tc>
      </w:tr>
      <w:tr w14:paraId="4346512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23" w:hRule="atLeast"/>
        </w:trPr>
        <w:tc>
          <w:tcPr>
            <w:tcW w:w="828" w:type="dxa"/>
            <w:vAlign w:val="center"/>
          </w:tcPr>
          <w:p w14:paraId="743CAB65">
            <w:pPr>
              <w:spacing w:line="360" w:lineRule="auto"/>
              <w:rPr>
                <w:rFonts w:ascii="宋体" w:hAnsi="宋体"/>
                <w:color w:val="auto"/>
                <w:sz w:val="24"/>
                <w:highlight w:val="none"/>
              </w:rPr>
            </w:pPr>
            <w:r>
              <w:rPr>
                <w:rFonts w:hint="eastAsia" w:ascii="宋体" w:hAnsi="宋体"/>
                <w:color w:val="auto"/>
                <w:sz w:val="24"/>
                <w:highlight w:val="none"/>
              </w:rPr>
              <w:t>职务</w:t>
            </w:r>
          </w:p>
        </w:tc>
        <w:tc>
          <w:tcPr>
            <w:tcW w:w="3240" w:type="dxa"/>
            <w:gridSpan w:val="4"/>
            <w:vAlign w:val="center"/>
          </w:tcPr>
          <w:p w14:paraId="568833A8">
            <w:pPr>
              <w:spacing w:line="360" w:lineRule="auto"/>
              <w:ind w:firstLine="480" w:firstLineChars="200"/>
              <w:jc w:val="center"/>
              <w:rPr>
                <w:rFonts w:ascii="宋体" w:hAnsi="宋体"/>
                <w:color w:val="auto"/>
                <w:sz w:val="24"/>
                <w:highlight w:val="none"/>
              </w:rPr>
            </w:pPr>
          </w:p>
        </w:tc>
        <w:tc>
          <w:tcPr>
            <w:tcW w:w="900" w:type="dxa"/>
            <w:gridSpan w:val="2"/>
            <w:vAlign w:val="center"/>
          </w:tcPr>
          <w:p w14:paraId="42329883">
            <w:pPr>
              <w:spacing w:line="360" w:lineRule="auto"/>
              <w:rPr>
                <w:rFonts w:ascii="宋体" w:hAnsi="宋体"/>
                <w:color w:val="auto"/>
                <w:sz w:val="24"/>
                <w:highlight w:val="none"/>
              </w:rPr>
            </w:pPr>
            <w:r>
              <w:rPr>
                <w:rFonts w:hint="eastAsia" w:ascii="宋体" w:hAnsi="宋体"/>
                <w:color w:val="auto"/>
                <w:sz w:val="24"/>
                <w:highlight w:val="none"/>
              </w:rPr>
              <w:t>职称</w:t>
            </w:r>
          </w:p>
        </w:tc>
        <w:tc>
          <w:tcPr>
            <w:tcW w:w="1770" w:type="dxa"/>
            <w:gridSpan w:val="3"/>
          </w:tcPr>
          <w:p w14:paraId="2A11A352">
            <w:pPr>
              <w:spacing w:line="360" w:lineRule="auto"/>
              <w:ind w:firstLine="480" w:firstLineChars="200"/>
              <w:rPr>
                <w:rFonts w:ascii="宋体" w:hAnsi="宋体"/>
                <w:color w:val="auto"/>
                <w:sz w:val="24"/>
                <w:highlight w:val="none"/>
              </w:rPr>
            </w:pPr>
          </w:p>
        </w:tc>
        <w:tc>
          <w:tcPr>
            <w:tcW w:w="855" w:type="dxa"/>
            <w:gridSpan w:val="3"/>
            <w:vAlign w:val="center"/>
          </w:tcPr>
          <w:p w14:paraId="01B35071">
            <w:pPr>
              <w:spacing w:line="360" w:lineRule="auto"/>
              <w:rPr>
                <w:rFonts w:ascii="宋体" w:hAnsi="宋体"/>
                <w:color w:val="auto"/>
                <w:sz w:val="24"/>
                <w:highlight w:val="none"/>
              </w:rPr>
            </w:pPr>
            <w:r>
              <w:rPr>
                <w:rFonts w:hint="eastAsia" w:ascii="宋体" w:hAnsi="宋体"/>
                <w:color w:val="auto"/>
                <w:sz w:val="24"/>
                <w:highlight w:val="none"/>
              </w:rPr>
              <w:t>学历</w:t>
            </w:r>
          </w:p>
        </w:tc>
        <w:tc>
          <w:tcPr>
            <w:tcW w:w="1440" w:type="dxa"/>
          </w:tcPr>
          <w:p w14:paraId="5721B5BF">
            <w:pPr>
              <w:spacing w:line="360" w:lineRule="auto"/>
              <w:ind w:firstLine="480" w:firstLineChars="200"/>
              <w:rPr>
                <w:rFonts w:ascii="宋体" w:hAnsi="宋体"/>
                <w:color w:val="auto"/>
                <w:sz w:val="24"/>
                <w:highlight w:val="none"/>
              </w:rPr>
            </w:pPr>
          </w:p>
        </w:tc>
      </w:tr>
      <w:tr w14:paraId="3D2863D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23" w:hRule="atLeast"/>
        </w:trPr>
        <w:tc>
          <w:tcPr>
            <w:tcW w:w="3240" w:type="dxa"/>
            <w:gridSpan w:val="4"/>
            <w:vAlign w:val="center"/>
          </w:tcPr>
          <w:p w14:paraId="7BA4442B">
            <w:pPr>
              <w:spacing w:line="360" w:lineRule="auto"/>
              <w:ind w:firstLine="480" w:firstLineChars="200"/>
              <w:rPr>
                <w:rFonts w:ascii="宋体" w:hAnsi="宋体"/>
                <w:color w:val="auto"/>
                <w:sz w:val="24"/>
                <w:highlight w:val="none"/>
              </w:rPr>
            </w:pPr>
            <w:r>
              <w:rPr>
                <w:rFonts w:hint="eastAsia" w:ascii="宋体" w:hAnsi="宋体"/>
                <w:color w:val="auto"/>
                <w:sz w:val="24"/>
                <w:highlight w:val="none"/>
              </w:rPr>
              <w:t>参加工作时间</w:t>
            </w:r>
          </w:p>
        </w:tc>
        <w:tc>
          <w:tcPr>
            <w:tcW w:w="2070" w:type="dxa"/>
            <w:gridSpan w:val="4"/>
            <w:vAlign w:val="center"/>
          </w:tcPr>
          <w:p w14:paraId="67D82140">
            <w:pPr>
              <w:spacing w:line="360" w:lineRule="auto"/>
              <w:ind w:left="1182" w:firstLine="480" w:firstLineChars="200"/>
              <w:jc w:val="center"/>
              <w:rPr>
                <w:rFonts w:ascii="宋体" w:hAnsi="宋体"/>
                <w:color w:val="auto"/>
                <w:sz w:val="24"/>
                <w:highlight w:val="none"/>
              </w:rPr>
            </w:pPr>
          </w:p>
        </w:tc>
        <w:tc>
          <w:tcPr>
            <w:tcW w:w="2025" w:type="dxa"/>
            <w:gridSpan w:val="4"/>
            <w:vAlign w:val="center"/>
          </w:tcPr>
          <w:p w14:paraId="6980895C">
            <w:pPr>
              <w:spacing w:line="360" w:lineRule="auto"/>
              <w:rPr>
                <w:rFonts w:ascii="宋体" w:hAnsi="宋体"/>
                <w:color w:val="auto"/>
                <w:sz w:val="24"/>
                <w:highlight w:val="none"/>
              </w:rPr>
            </w:pPr>
            <w:r>
              <w:rPr>
                <w:rFonts w:hint="eastAsia" w:ascii="宋体" w:hAnsi="宋体"/>
                <w:color w:val="auto"/>
                <w:sz w:val="24"/>
                <w:highlight w:val="none"/>
              </w:rPr>
              <w:t>担任项目负责人</w:t>
            </w:r>
          </w:p>
          <w:p w14:paraId="03228AF5">
            <w:pPr>
              <w:spacing w:line="360" w:lineRule="auto"/>
              <w:rPr>
                <w:rFonts w:ascii="宋体" w:hAnsi="宋体"/>
                <w:color w:val="auto"/>
                <w:sz w:val="24"/>
                <w:highlight w:val="none"/>
              </w:rPr>
            </w:pPr>
            <w:r>
              <w:rPr>
                <w:rFonts w:hint="eastAsia" w:ascii="宋体" w:hAnsi="宋体"/>
                <w:color w:val="auto"/>
                <w:sz w:val="24"/>
                <w:highlight w:val="none"/>
              </w:rPr>
              <w:t>年限</w:t>
            </w:r>
          </w:p>
        </w:tc>
        <w:tc>
          <w:tcPr>
            <w:tcW w:w="1698" w:type="dxa"/>
            <w:gridSpan w:val="2"/>
          </w:tcPr>
          <w:p w14:paraId="5F398822">
            <w:pPr>
              <w:spacing w:line="360" w:lineRule="auto"/>
              <w:ind w:firstLine="480" w:firstLineChars="200"/>
              <w:rPr>
                <w:rFonts w:ascii="宋体" w:hAnsi="宋体"/>
                <w:color w:val="auto"/>
                <w:sz w:val="24"/>
                <w:highlight w:val="none"/>
              </w:rPr>
            </w:pPr>
          </w:p>
        </w:tc>
      </w:tr>
      <w:tr w14:paraId="18B5AD2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23" w:hRule="atLeast"/>
        </w:trPr>
        <w:tc>
          <w:tcPr>
            <w:tcW w:w="3240" w:type="dxa"/>
            <w:gridSpan w:val="4"/>
            <w:vAlign w:val="center"/>
          </w:tcPr>
          <w:p w14:paraId="518BC1CB">
            <w:pPr>
              <w:spacing w:line="360" w:lineRule="auto"/>
              <w:rPr>
                <w:rFonts w:ascii="宋体" w:hAnsi="宋体"/>
                <w:color w:val="auto"/>
                <w:sz w:val="24"/>
                <w:highlight w:val="none"/>
              </w:rPr>
            </w:pPr>
            <w:r>
              <w:rPr>
                <w:rFonts w:hint="eastAsia" w:ascii="宋体" w:hAnsi="宋体"/>
                <w:color w:val="auto"/>
                <w:sz w:val="24"/>
                <w:highlight w:val="none"/>
              </w:rPr>
              <w:t>项目负责人资格证书编号</w:t>
            </w:r>
          </w:p>
        </w:tc>
        <w:tc>
          <w:tcPr>
            <w:tcW w:w="5793" w:type="dxa"/>
            <w:gridSpan w:val="10"/>
            <w:vAlign w:val="center"/>
          </w:tcPr>
          <w:p w14:paraId="79965E89">
            <w:pPr>
              <w:spacing w:line="360" w:lineRule="auto"/>
              <w:ind w:firstLine="480" w:firstLineChars="200"/>
              <w:jc w:val="center"/>
              <w:rPr>
                <w:rFonts w:ascii="宋体" w:hAnsi="宋体"/>
                <w:color w:val="auto"/>
                <w:sz w:val="24"/>
                <w:highlight w:val="none"/>
              </w:rPr>
            </w:pPr>
          </w:p>
        </w:tc>
      </w:tr>
      <w:tr w14:paraId="4AAB6D9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23" w:hRule="atLeast"/>
        </w:trPr>
        <w:tc>
          <w:tcPr>
            <w:tcW w:w="9033" w:type="dxa"/>
            <w:gridSpan w:val="14"/>
            <w:vAlign w:val="center"/>
          </w:tcPr>
          <w:p w14:paraId="0CC05C8E">
            <w:pPr>
              <w:spacing w:line="360" w:lineRule="auto"/>
              <w:ind w:firstLine="480" w:firstLineChars="200"/>
              <w:jc w:val="center"/>
              <w:rPr>
                <w:rFonts w:ascii="宋体" w:hAnsi="宋体"/>
                <w:color w:val="auto"/>
                <w:sz w:val="24"/>
                <w:highlight w:val="none"/>
              </w:rPr>
            </w:pPr>
            <w:r>
              <w:rPr>
                <w:rFonts w:hint="eastAsia" w:ascii="宋体" w:hAnsi="宋体"/>
                <w:color w:val="auto"/>
                <w:sz w:val="24"/>
                <w:highlight w:val="none"/>
              </w:rPr>
              <w:t>在建和已完工程项目情况</w:t>
            </w:r>
          </w:p>
        </w:tc>
      </w:tr>
      <w:tr w14:paraId="7921560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23" w:hRule="atLeast"/>
        </w:trPr>
        <w:tc>
          <w:tcPr>
            <w:tcW w:w="1420" w:type="dxa"/>
            <w:gridSpan w:val="2"/>
            <w:vAlign w:val="center"/>
          </w:tcPr>
          <w:p w14:paraId="2D97B73C">
            <w:pPr>
              <w:spacing w:line="360" w:lineRule="auto"/>
              <w:rPr>
                <w:rFonts w:ascii="宋体" w:hAnsi="宋体"/>
                <w:color w:val="auto"/>
                <w:sz w:val="24"/>
                <w:highlight w:val="none"/>
              </w:rPr>
            </w:pPr>
            <w:r>
              <w:rPr>
                <w:rFonts w:hint="eastAsia" w:ascii="宋体" w:hAnsi="宋体"/>
                <w:color w:val="auto"/>
                <w:sz w:val="24"/>
                <w:highlight w:val="none"/>
              </w:rPr>
              <w:t>建设单位</w:t>
            </w:r>
          </w:p>
        </w:tc>
        <w:tc>
          <w:tcPr>
            <w:tcW w:w="1420" w:type="dxa"/>
            <w:vAlign w:val="center"/>
          </w:tcPr>
          <w:p w14:paraId="305D44ED">
            <w:pPr>
              <w:spacing w:line="360" w:lineRule="auto"/>
              <w:rPr>
                <w:rFonts w:ascii="宋体" w:hAnsi="宋体"/>
                <w:color w:val="auto"/>
                <w:sz w:val="24"/>
                <w:highlight w:val="none"/>
              </w:rPr>
            </w:pPr>
            <w:r>
              <w:rPr>
                <w:rFonts w:hint="eastAsia" w:ascii="宋体" w:hAnsi="宋体"/>
                <w:color w:val="auto"/>
                <w:sz w:val="24"/>
                <w:highlight w:val="none"/>
              </w:rPr>
              <w:t>项目名称</w:t>
            </w:r>
          </w:p>
        </w:tc>
        <w:tc>
          <w:tcPr>
            <w:tcW w:w="1420" w:type="dxa"/>
            <w:gridSpan w:val="3"/>
            <w:vAlign w:val="center"/>
          </w:tcPr>
          <w:p w14:paraId="052A008F">
            <w:pPr>
              <w:spacing w:line="360" w:lineRule="auto"/>
              <w:rPr>
                <w:rFonts w:ascii="宋体" w:hAnsi="宋体"/>
                <w:color w:val="auto"/>
                <w:sz w:val="24"/>
                <w:highlight w:val="none"/>
              </w:rPr>
            </w:pPr>
            <w:r>
              <w:rPr>
                <w:rFonts w:hint="eastAsia" w:ascii="宋体" w:hAnsi="宋体"/>
                <w:color w:val="auto"/>
                <w:sz w:val="24"/>
                <w:highlight w:val="none"/>
              </w:rPr>
              <w:t>建设规模</w:t>
            </w:r>
          </w:p>
        </w:tc>
        <w:tc>
          <w:tcPr>
            <w:tcW w:w="1608" w:type="dxa"/>
            <w:gridSpan w:val="3"/>
            <w:vAlign w:val="center"/>
          </w:tcPr>
          <w:p w14:paraId="376413DD">
            <w:pPr>
              <w:spacing w:line="360" w:lineRule="auto"/>
              <w:rPr>
                <w:rFonts w:ascii="宋体" w:hAnsi="宋体"/>
                <w:color w:val="auto"/>
                <w:sz w:val="24"/>
                <w:highlight w:val="none"/>
              </w:rPr>
            </w:pPr>
            <w:r>
              <w:rPr>
                <w:rFonts w:hint="eastAsia" w:ascii="宋体" w:hAnsi="宋体"/>
                <w:color w:val="auto"/>
                <w:sz w:val="24"/>
                <w:highlight w:val="none"/>
              </w:rPr>
              <w:t>开、竣工日期</w:t>
            </w:r>
          </w:p>
        </w:tc>
        <w:tc>
          <w:tcPr>
            <w:tcW w:w="1440" w:type="dxa"/>
            <w:gridSpan w:val="2"/>
            <w:vAlign w:val="center"/>
          </w:tcPr>
          <w:p w14:paraId="155ADBAE">
            <w:pPr>
              <w:spacing w:line="360" w:lineRule="auto"/>
              <w:rPr>
                <w:rFonts w:ascii="宋体" w:hAnsi="宋体"/>
                <w:color w:val="auto"/>
                <w:sz w:val="24"/>
                <w:highlight w:val="none"/>
              </w:rPr>
            </w:pPr>
            <w:r>
              <w:rPr>
                <w:rFonts w:hint="eastAsia" w:ascii="宋体" w:hAnsi="宋体"/>
                <w:color w:val="auto"/>
                <w:sz w:val="24"/>
                <w:highlight w:val="none"/>
              </w:rPr>
              <w:t>在建或已完</w:t>
            </w:r>
          </w:p>
        </w:tc>
        <w:tc>
          <w:tcPr>
            <w:tcW w:w="1725" w:type="dxa"/>
            <w:gridSpan w:val="3"/>
            <w:vAlign w:val="center"/>
          </w:tcPr>
          <w:p w14:paraId="59AA663F">
            <w:pPr>
              <w:spacing w:line="360" w:lineRule="auto"/>
              <w:rPr>
                <w:rFonts w:ascii="宋体" w:hAnsi="宋体"/>
                <w:color w:val="auto"/>
                <w:sz w:val="24"/>
                <w:highlight w:val="none"/>
              </w:rPr>
            </w:pPr>
            <w:r>
              <w:rPr>
                <w:rFonts w:hint="eastAsia" w:ascii="宋体" w:hAnsi="宋体"/>
                <w:color w:val="auto"/>
                <w:sz w:val="24"/>
                <w:highlight w:val="none"/>
              </w:rPr>
              <w:t>工程质量</w:t>
            </w:r>
          </w:p>
        </w:tc>
      </w:tr>
      <w:tr w14:paraId="3DA60F3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23" w:hRule="atLeast"/>
        </w:trPr>
        <w:tc>
          <w:tcPr>
            <w:tcW w:w="1420" w:type="dxa"/>
            <w:gridSpan w:val="2"/>
          </w:tcPr>
          <w:p w14:paraId="0EEE2DE7">
            <w:pPr>
              <w:spacing w:line="360" w:lineRule="auto"/>
              <w:ind w:firstLine="480" w:firstLineChars="200"/>
              <w:rPr>
                <w:rFonts w:ascii="宋体" w:hAnsi="宋体"/>
                <w:color w:val="auto"/>
                <w:sz w:val="24"/>
                <w:highlight w:val="none"/>
              </w:rPr>
            </w:pPr>
          </w:p>
        </w:tc>
        <w:tc>
          <w:tcPr>
            <w:tcW w:w="1420" w:type="dxa"/>
          </w:tcPr>
          <w:p w14:paraId="6263A4FF">
            <w:pPr>
              <w:spacing w:line="360" w:lineRule="auto"/>
              <w:ind w:firstLine="480" w:firstLineChars="200"/>
              <w:rPr>
                <w:rFonts w:ascii="宋体" w:hAnsi="宋体"/>
                <w:color w:val="auto"/>
                <w:sz w:val="24"/>
                <w:highlight w:val="none"/>
              </w:rPr>
            </w:pPr>
          </w:p>
        </w:tc>
        <w:tc>
          <w:tcPr>
            <w:tcW w:w="1420" w:type="dxa"/>
            <w:gridSpan w:val="3"/>
          </w:tcPr>
          <w:p w14:paraId="23BDBFAD">
            <w:pPr>
              <w:spacing w:line="360" w:lineRule="auto"/>
              <w:ind w:firstLine="480" w:firstLineChars="200"/>
              <w:rPr>
                <w:rFonts w:ascii="宋体" w:hAnsi="宋体"/>
                <w:color w:val="auto"/>
                <w:sz w:val="24"/>
                <w:highlight w:val="none"/>
              </w:rPr>
            </w:pPr>
          </w:p>
        </w:tc>
        <w:tc>
          <w:tcPr>
            <w:tcW w:w="1608" w:type="dxa"/>
            <w:gridSpan w:val="3"/>
          </w:tcPr>
          <w:p w14:paraId="416F1F0C">
            <w:pPr>
              <w:spacing w:line="360" w:lineRule="auto"/>
              <w:ind w:firstLine="480" w:firstLineChars="200"/>
              <w:rPr>
                <w:rFonts w:ascii="宋体" w:hAnsi="宋体"/>
                <w:color w:val="auto"/>
                <w:sz w:val="24"/>
                <w:highlight w:val="none"/>
              </w:rPr>
            </w:pPr>
          </w:p>
        </w:tc>
        <w:tc>
          <w:tcPr>
            <w:tcW w:w="1440" w:type="dxa"/>
            <w:gridSpan w:val="2"/>
          </w:tcPr>
          <w:p w14:paraId="5F06E8F9">
            <w:pPr>
              <w:spacing w:line="360" w:lineRule="auto"/>
              <w:ind w:firstLine="480" w:firstLineChars="200"/>
              <w:rPr>
                <w:rFonts w:ascii="宋体" w:hAnsi="宋体"/>
                <w:color w:val="auto"/>
                <w:sz w:val="24"/>
                <w:highlight w:val="none"/>
              </w:rPr>
            </w:pPr>
          </w:p>
        </w:tc>
        <w:tc>
          <w:tcPr>
            <w:tcW w:w="1725" w:type="dxa"/>
            <w:gridSpan w:val="3"/>
          </w:tcPr>
          <w:p w14:paraId="27247B97">
            <w:pPr>
              <w:spacing w:line="360" w:lineRule="auto"/>
              <w:ind w:firstLine="480" w:firstLineChars="200"/>
              <w:rPr>
                <w:rFonts w:ascii="宋体" w:hAnsi="宋体"/>
                <w:color w:val="auto"/>
                <w:sz w:val="24"/>
                <w:highlight w:val="none"/>
              </w:rPr>
            </w:pPr>
          </w:p>
        </w:tc>
      </w:tr>
      <w:tr w14:paraId="0D24251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23" w:hRule="atLeast"/>
        </w:trPr>
        <w:tc>
          <w:tcPr>
            <w:tcW w:w="1420" w:type="dxa"/>
            <w:gridSpan w:val="2"/>
          </w:tcPr>
          <w:p w14:paraId="26A3B0FD">
            <w:pPr>
              <w:spacing w:line="360" w:lineRule="auto"/>
              <w:ind w:firstLine="420" w:firstLineChars="200"/>
              <w:rPr>
                <w:rFonts w:ascii="宋体" w:hAnsi="宋体"/>
                <w:color w:val="auto"/>
                <w:highlight w:val="none"/>
              </w:rPr>
            </w:pPr>
          </w:p>
        </w:tc>
        <w:tc>
          <w:tcPr>
            <w:tcW w:w="1420" w:type="dxa"/>
          </w:tcPr>
          <w:p w14:paraId="70C9B03A">
            <w:pPr>
              <w:spacing w:line="360" w:lineRule="auto"/>
              <w:ind w:firstLine="420" w:firstLineChars="200"/>
              <w:rPr>
                <w:rFonts w:ascii="宋体" w:hAnsi="宋体"/>
                <w:color w:val="auto"/>
                <w:highlight w:val="none"/>
              </w:rPr>
            </w:pPr>
          </w:p>
        </w:tc>
        <w:tc>
          <w:tcPr>
            <w:tcW w:w="1420" w:type="dxa"/>
            <w:gridSpan w:val="3"/>
          </w:tcPr>
          <w:p w14:paraId="047A8481">
            <w:pPr>
              <w:spacing w:line="360" w:lineRule="auto"/>
              <w:ind w:firstLine="420" w:firstLineChars="200"/>
              <w:rPr>
                <w:rFonts w:ascii="宋体" w:hAnsi="宋体"/>
                <w:color w:val="auto"/>
                <w:highlight w:val="none"/>
              </w:rPr>
            </w:pPr>
          </w:p>
        </w:tc>
        <w:tc>
          <w:tcPr>
            <w:tcW w:w="1608" w:type="dxa"/>
            <w:gridSpan w:val="3"/>
          </w:tcPr>
          <w:p w14:paraId="6B39FDD6">
            <w:pPr>
              <w:spacing w:line="360" w:lineRule="auto"/>
              <w:ind w:firstLine="420" w:firstLineChars="200"/>
              <w:rPr>
                <w:rFonts w:ascii="宋体" w:hAnsi="宋体"/>
                <w:color w:val="auto"/>
                <w:highlight w:val="none"/>
              </w:rPr>
            </w:pPr>
          </w:p>
        </w:tc>
        <w:tc>
          <w:tcPr>
            <w:tcW w:w="1440" w:type="dxa"/>
            <w:gridSpan w:val="2"/>
          </w:tcPr>
          <w:p w14:paraId="2ACBE4B1">
            <w:pPr>
              <w:spacing w:line="360" w:lineRule="auto"/>
              <w:ind w:firstLine="420" w:firstLineChars="200"/>
              <w:rPr>
                <w:rFonts w:ascii="宋体" w:hAnsi="宋体"/>
                <w:color w:val="auto"/>
                <w:highlight w:val="none"/>
              </w:rPr>
            </w:pPr>
          </w:p>
        </w:tc>
        <w:tc>
          <w:tcPr>
            <w:tcW w:w="1725" w:type="dxa"/>
            <w:gridSpan w:val="3"/>
          </w:tcPr>
          <w:p w14:paraId="6B112E25">
            <w:pPr>
              <w:spacing w:line="360" w:lineRule="auto"/>
              <w:ind w:firstLine="420" w:firstLineChars="200"/>
              <w:rPr>
                <w:rFonts w:ascii="宋体" w:hAnsi="宋体"/>
                <w:color w:val="auto"/>
                <w:highlight w:val="none"/>
              </w:rPr>
            </w:pPr>
          </w:p>
        </w:tc>
      </w:tr>
      <w:tr w14:paraId="038FE7A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23" w:hRule="atLeast"/>
        </w:trPr>
        <w:tc>
          <w:tcPr>
            <w:tcW w:w="1420" w:type="dxa"/>
            <w:gridSpan w:val="2"/>
          </w:tcPr>
          <w:p w14:paraId="3EAFFA09">
            <w:pPr>
              <w:spacing w:line="360" w:lineRule="auto"/>
              <w:ind w:firstLine="420" w:firstLineChars="200"/>
              <w:rPr>
                <w:rFonts w:ascii="宋体" w:hAnsi="宋体"/>
                <w:color w:val="auto"/>
                <w:highlight w:val="none"/>
              </w:rPr>
            </w:pPr>
          </w:p>
        </w:tc>
        <w:tc>
          <w:tcPr>
            <w:tcW w:w="1420" w:type="dxa"/>
          </w:tcPr>
          <w:p w14:paraId="00180FD4">
            <w:pPr>
              <w:spacing w:line="360" w:lineRule="auto"/>
              <w:ind w:firstLine="420" w:firstLineChars="200"/>
              <w:rPr>
                <w:rFonts w:ascii="宋体" w:hAnsi="宋体"/>
                <w:color w:val="auto"/>
                <w:highlight w:val="none"/>
              </w:rPr>
            </w:pPr>
          </w:p>
        </w:tc>
        <w:tc>
          <w:tcPr>
            <w:tcW w:w="1420" w:type="dxa"/>
            <w:gridSpan w:val="3"/>
          </w:tcPr>
          <w:p w14:paraId="3623E25A">
            <w:pPr>
              <w:spacing w:line="360" w:lineRule="auto"/>
              <w:ind w:firstLine="420" w:firstLineChars="200"/>
              <w:rPr>
                <w:rFonts w:ascii="宋体" w:hAnsi="宋体"/>
                <w:color w:val="auto"/>
                <w:highlight w:val="none"/>
              </w:rPr>
            </w:pPr>
          </w:p>
        </w:tc>
        <w:tc>
          <w:tcPr>
            <w:tcW w:w="1608" w:type="dxa"/>
            <w:gridSpan w:val="3"/>
          </w:tcPr>
          <w:p w14:paraId="19AF623A">
            <w:pPr>
              <w:spacing w:line="360" w:lineRule="auto"/>
              <w:ind w:firstLine="420" w:firstLineChars="200"/>
              <w:rPr>
                <w:rFonts w:ascii="宋体" w:hAnsi="宋体"/>
                <w:color w:val="auto"/>
                <w:highlight w:val="none"/>
              </w:rPr>
            </w:pPr>
          </w:p>
        </w:tc>
        <w:tc>
          <w:tcPr>
            <w:tcW w:w="1440" w:type="dxa"/>
            <w:gridSpan w:val="2"/>
          </w:tcPr>
          <w:p w14:paraId="78580FC7">
            <w:pPr>
              <w:spacing w:line="360" w:lineRule="auto"/>
              <w:ind w:firstLine="420" w:firstLineChars="200"/>
              <w:rPr>
                <w:rFonts w:ascii="宋体" w:hAnsi="宋体"/>
                <w:color w:val="auto"/>
                <w:highlight w:val="none"/>
              </w:rPr>
            </w:pPr>
          </w:p>
        </w:tc>
        <w:tc>
          <w:tcPr>
            <w:tcW w:w="1725" w:type="dxa"/>
            <w:gridSpan w:val="3"/>
          </w:tcPr>
          <w:p w14:paraId="656234C9">
            <w:pPr>
              <w:spacing w:line="360" w:lineRule="auto"/>
              <w:ind w:firstLine="420" w:firstLineChars="200"/>
              <w:rPr>
                <w:rFonts w:ascii="宋体" w:hAnsi="宋体"/>
                <w:color w:val="auto"/>
                <w:highlight w:val="none"/>
              </w:rPr>
            </w:pPr>
          </w:p>
        </w:tc>
      </w:tr>
      <w:tr w14:paraId="6E6E409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22" w:hRule="atLeast"/>
        </w:trPr>
        <w:tc>
          <w:tcPr>
            <w:tcW w:w="1420" w:type="dxa"/>
            <w:gridSpan w:val="2"/>
          </w:tcPr>
          <w:p w14:paraId="42B6A2F9">
            <w:pPr>
              <w:spacing w:line="360" w:lineRule="auto"/>
              <w:ind w:firstLine="420" w:firstLineChars="200"/>
              <w:rPr>
                <w:rFonts w:ascii="宋体" w:hAnsi="宋体"/>
                <w:color w:val="auto"/>
                <w:highlight w:val="none"/>
              </w:rPr>
            </w:pPr>
          </w:p>
        </w:tc>
        <w:tc>
          <w:tcPr>
            <w:tcW w:w="1420" w:type="dxa"/>
          </w:tcPr>
          <w:p w14:paraId="7396F1DC">
            <w:pPr>
              <w:spacing w:line="360" w:lineRule="auto"/>
              <w:ind w:firstLine="420" w:firstLineChars="200"/>
              <w:rPr>
                <w:rFonts w:ascii="宋体" w:hAnsi="宋体"/>
                <w:color w:val="auto"/>
                <w:highlight w:val="none"/>
              </w:rPr>
            </w:pPr>
          </w:p>
        </w:tc>
        <w:tc>
          <w:tcPr>
            <w:tcW w:w="1420" w:type="dxa"/>
            <w:gridSpan w:val="3"/>
          </w:tcPr>
          <w:p w14:paraId="00C98919">
            <w:pPr>
              <w:spacing w:line="360" w:lineRule="auto"/>
              <w:ind w:firstLine="420" w:firstLineChars="200"/>
              <w:rPr>
                <w:rFonts w:ascii="宋体" w:hAnsi="宋体"/>
                <w:color w:val="auto"/>
                <w:highlight w:val="none"/>
              </w:rPr>
            </w:pPr>
          </w:p>
        </w:tc>
        <w:tc>
          <w:tcPr>
            <w:tcW w:w="1608" w:type="dxa"/>
            <w:gridSpan w:val="3"/>
          </w:tcPr>
          <w:p w14:paraId="4E9D4771">
            <w:pPr>
              <w:spacing w:line="360" w:lineRule="auto"/>
              <w:ind w:firstLine="420" w:firstLineChars="200"/>
              <w:rPr>
                <w:rFonts w:ascii="宋体" w:hAnsi="宋体"/>
                <w:color w:val="auto"/>
                <w:highlight w:val="none"/>
              </w:rPr>
            </w:pPr>
          </w:p>
        </w:tc>
        <w:tc>
          <w:tcPr>
            <w:tcW w:w="1440" w:type="dxa"/>
            <w:gridSpan w:val="2"/>
          </w:tcPr>
          <w:p w14:paraId="02CA9F36">
            <w:pPr>
              <w:spacing w:line="360" w:lineRule="auto"/>
              <w:ind w:firstLine="420" w:firstLineChars="200"/>
              <w:rPr>
                <w:rFonts w:ascii="宋体" w:hAnsi="宋体"/>
                <w:color w:val="auto"/>
                <w:highlight w:val="none"/>
              </w:rPr>
            </w:pPr>
          </w:p>
        </w:tc>
        <w:tc>
          <w:tcPr>
            <w:tcW w:w="1725" w:type="dxa"/>
            <w:gridSpan w:val="3"/>
          </w:tcPr>
          <w:p w14:paraId="324A7B70">
            <w:pPr>
              <w:spacing w:line="360" w:lineRule="auto"/>
              <w:ind w:firstLine="420" w:firstLineChars="200"/>
              <w:rPr>
                <w:rFonts w:ascii="宋体" w:hAnsi="宋体"/>
                <w:color w:val="auto"/>
                <w:highlight w:val="none"/>
              </w:rPr>
            </w:pPr>
          </w:p>
        </w:tc>
      </w:tr>
      <w:tr w14:paraId="751790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23" w:hRule="atLeast"/>
        </w:trPr>
        <w:tc>
          <w:tcPr>
            <w:tcW w:w="1420" w:type="dxa"/>
            <w:gridSpan w:val="2"/>
          </w:tcPr>
          <w:p w14:paraId="16B0EDF3">
            <w:pPr>
              <w:spacing w:line="360" w:lineRule="auto"/>
              <w:ind w:firstLine="420" w:firstLineChars="200"/>
              <w:rPr>
                <w:rFonts w:ascii="宋体" w:hAnsi="宋体"/>
                <w:color w:val="auto"/>
                <w:highlight w:val="none"/>
              </w:rPr>
            </w:pPr>
          </w:p>
        </w:tc>
        <w:tc>
          <w:tcPr>
            <w:tcW w:w="1420" w:type="dxa"/>
          </w:tcPr>
          <w:p w14:paraId="1CA537F4">
            <w:pPr>
              <w:spacing w:line="360" w:lineRule="auto"/>
              <w:ind w:firstLine="420" w:firstLineChars="200"/>
              <w:rPr>
                <w:rFonts w:ascii="宋体" w:hAnsi="宋体"/>
                <w:color w:val="auto"/>
                <w:highlight w:val="none"/>
              </w:rPr>
            </w:pPr>
          </w:p>
        </w:tc>
        <w:tc>
          <w:tcPr>
            <w:tcW w:w="1420" w:type="dxa"/>
            <w:gridSpan w:val="3"/>
          </w:tcPr>
          <w:p w14:paraId="096059B8">
            <w:pPr>
              <w:spacing w:line="360" w:lineRule="auto"/>
              <w:ind w:firstLine="420" w:firstLineChars="200"/>
              <w:rPr>
                <w:rFonts w:ascii="宋体" w:hAnsi="宋体"/>
                <w:color w:val="auto"/>
                <w:highlight w:val="none"/>
              </w:rPr>
            </w:pPr>
          </w:p>
        </w:tc>
        <w:tc>
          <w:tcPr>
            <w:tcW w:w="1608" w:type="dxa"/>
            <w:gridSpan w:val="3"/>
          </w:tcPr>
          <w:p w14:paraId="505EA5A9">
            <w:pPr>
              <w:spacing w:line="360" w:lineRule="auto"/>
              <w:ind w:firstLine="420" w:firstLineChars="200"/>
              <w:rPr>
                <w:rFonts w:ascii="宋体" w:hAnsi="宋体"/>
                <w:color w:val="auto"/>
                <w:highlight w:val="none"/>
              </w:rPr>
            </w:pPr>
          </w:p>
        </w:tc>
        <w:tc>
          <w:tcPr>
            <w:tcW w:w="1440" w:type="dxa"/>
            <w:gridSpan w:val="2"/>
          </w:tcPr>
          <w:p w14:paraId="5A06189D">
            <w:pPr>
              <w:spacing w:line="360" w:lineRule="auto"/>
              <w:ind w:firstLine="420" w:firstLineChars="200"/>
              <w:rPr>
                <w:rFonts w:ascii="宋体" w:hAnsi="宋体"/>
                <w:color w:val="auto"/>
                <w:highlight w:val="none"/>
              </w:rPr>
            </w:pPr>
          </w:p>
        </w:tc>
        <w:tc>
          <w:tcPr>
            <w:tcW w:w="1725" w:type="dxa"/>
            <w:gridSpan w:val="3"/>
          </w:tcPr>
          <w:p w14:paraId="36EB1F2B">
            <w:pPr>
              <w:spacing w:line="360" w:lineRule="auto"/>
              <w:ind w:firstLine="420" w:firstLineChars="200"/>
              <w:rPr>
                <w:rFonts w:ascii="宋体" w:hAnsi="宋体"/>
                <w:color w:val="auto"/>
                <w:highlight w:val="none"/>
              </w:rPr>
            </w:pPr>
          </w:p>
        </w:tc>
      </w:tr>
      <w:tr w14:paraId="61A4133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23" w:hRule="atLeast"/>
        </w:trPr>
        <w:tc>
          <w:tcPr>
            <w:tcW w:w="1420" w:type="dxa"/>
            <w:gridSpan w:val="2"/>
          </w:tcPr>
          <w:p w14:paraId="24033391">
            <w:pPr>
              <w:spacing w:line="360" w:lineRule="auto"/>
              <w:ind w:firstLine="420" w:firstLineChars="200"/>
              <w:rPr>
                <w:rFonts w:ascii="宋体" w:hAnsi="宋体"/>
                <w:color w:val="auto"/>
                <w:highlight w:val="none"/>
              </w:rPr>
            </w:pPr>
          </w:p>
        </w:tc>
        <w:tc>
          <w:tcPr>
            <w:tcW w:w="1420" w:type="dxa"/>
          </w:tcPr>
          <w:p w14:paraId="29DE0916">
            <w:pPr>
              <w:spacing w:line="360" w:lineRule="auto"/>
              <w:ind w:firstLine="420" w:firstLineChars="200"/>
              <w:rPr>
                <w:rFonts w:ascii="宋体" w:hAnsi="宋体"/>
                <w:color w:val="auto"/>
                <w:highlight w:val="none"/>
              </w:rPr>
            </w:pPr>
          </w:p>
        </w:tc>
        <w:tc>
          <w:tcPr>
            <w:tcW w:w="1420" w:type="dxa"/>
            <w:gridSpan w:val="3"/>
          </w:tcPr>
          <w:p w14:paraId="460F4870">
            <w:pPr>
              <w:spacing w:line="360" w:lineRule="auto"/>
              <w:ind w:firstLine="420" w:firstLineChars="200"/>
              <w:rPr>
                <w:rFonts w:ascii="宋体" w:hAnsi="宋体"/>
                <w:color w:val="auto"/>
                <w:highlight w:val="none"/>
              </w:rPr>
            </w:pPr>
          </w:p>
        </w:tc>
        <w:tc>
          <w:tcPr>
            <w:tcW w:w="1608" w:type="dxa"/>
            <w:gridSpan w:val="3"/>
          </w:tcPr>
          <w:p w14:paraId="535ADA69">
            <w:pPr>
              <w:spacing w:line="360" w:lineRule="auto"/>
              <w:ind w:firstLine="420" w:firstLineChars="200"/>
              <w:rPr>
                <w:rFonts w:ascii="宋体" w:hAnsi="宋体"/>
                <w:color w:val="auto"/>
                <w:highlight w:val="none"/>
              </w:rPr>
            </w:pPr>
          </w:p>
        </w:tc>
        <w:tc>
          <w:tcPr>
            <w:tcW w:w="1440" w:type="dxa"/>
            <w:gridSpan w:val="2"/>
          </w:tcPr>
          <w:p w14:paraId="5F79D34C">
            <w:pPr>
              <w:spacing w:line="360" w:lineRule="auto"/>
              <w:ind w:firstLine="420" w:firstLineChars="200"/>
              <w:rPr>
                <w:rFonts w:ascii="宋体" w:hAnsi="宋体"/>
                <w:color w:val="auto"/>
                <w:highlight w:val="none"/>
              </w:rPr>
            </w:pPr>
          </w:p>
        </w:tc>
        <w:tc>
          <w:tcPr>
            <w:tcW w:w="1725" w:type="dxa"/>
            <w:gridSpan w:val="3"/>
          </w:tcPr>
          <w:p w14:paraId="5FABECB0">
            <w:pPr>
              <w:spacing w:line="360" w:lineRule="auto"/>
              <w:ind w:firstLine="420" w:firstLineChars="200"/>
              <w:rPr>
                <w:rFonts w:ascii="宋体" w:hAnsi="宋体"/>
                <w:color w:val="auto"/>
                <w:highlight w:val="none"/>
              </w:rPr>
            </w:pPr>
          </w:p>
        </w:tc>
      </w:tr>
      <w:tr w14:paraId="000DE540">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23" w:hRule="atLeast"/>
        </w:trPr>
        <w:tc>
          <w:tcPr>
            <w:tcW w:w="1420" w:type="dxa"/>
            <w:gridSpan w:val="2"/>
          </w:tcPr>
          <w:p w14:paraId="6E825223">
            <w:pPr>
              <w:spacing w:line="360" w:lineRule="auto"/>
              <w:ind w:firstLine="420" w:firstLineChars="200"/>
              <w:rPr>
                <w:rFonts w:ascii="宋体" w:hAnsi="宋体"/>
                <w:color w:val="auto"/>
                <w:highlight w:val="none"/>
              </w:rPr>
            </w:pPr>
          </w:p>
        </w:tc>
        <w:tc>
          <w:tcPr>
            <w:tcW w:w="1420" w:type="dxa"/>
          </w:tcPr>
          <w:p w14:paraId="18960027">
            <w:pPr>
              <w:spacing w:line="360" w:lineRule="auto"/>
              <w:ind w:firstLine="420" w:firstLineChars="200"/>
              <w:rPr>
                <w:rFonts w:ascii="宋体" w:hAnsi="宋体"/>
                <w:color w:val="auto"/>
                <w:highlight w:val="none"/>
              </w:rPr>
            </w:pPr>
          </w:p>
        </w:tc>
        <w:tc>
          <w:tcPr>
            <w:tcW w:w="1420" w:type="dxa"/>
            <w:gridSpan w:val="3"/>
          </w:tcPr>
          <w:p w14:paraId="4D90A053">
            <w:pPr>
              <w:spacing w:line="360" w:lineRule="auto"/>
              <w:ind w:firstLine="420" w:firstLineChars="200"/>
              <w:rPr>
                <w:rFonts w:ascii="宋体" w:hAnsi="宋体"/>
                <w:color w:val="auto"/>
                <w:highlight w:val="none"/>
              </w:rPr>
            </w:pPr>
          </w:p>
        </w:tc>
        <w:tc>
          <w:tcPr>
            <w:tcW w:w="1608" w:type="dxa"/>
            <w:gridSpan w:val="3"/>
          </w:tcPr>
          <w:p w14:paraId="406366EB">
            <w:pPr>
              <w:spacing w:line="360" w:lineRule="auto"/>
              <w:ind w:firstLine="420" w:firstLineChars="200"/>
              <w:rPr>
                <w:rFonts w:ascii="宋体" w:hAnsi="宋体"/>
                <w:color w:val="auto"/>
                <w:highlight w:val="none"/>
              </w:rPr>
            </w:pPr>
          </w:p>
        </w:tc>
        <w:tc>
          <w:tcPr>
            <w:tcW w:w="1440" w:type="dxa"/>
            <w:gridSpan w:val="2"/>
          </w:tcPr>
          <w:p w14:paraId="40702C3F">
            <w:pPr>
              <w:spacing w:line="360" w:lineRule="auto"/>
              <w:ind w:firstLine="420" w:firstLineChars="200"/>
              <w:rPr>
                <w:rFonts w:ascii="宋体" w:hAnsi="宋体"/>
                <w:color w:val="auto"/>
                <w:highlight w:val="none"/>
              </w:rPr>
            </w:pPr>
          </w:p>
        </w:tc>
        <w:tc>
          <w:tcPr>
            <w:tcW w:w="1725" w:type="dxa"/>
            <w:gridSpan w:val="3"/>
          </w:tcPr>
          <w:p w14:paraId="2A5E55CA">
            <w:pPr>
              <w:spacing w:line="360" w:lineRule="auto"/>
              <w:ind w:firstLine="420" w:firstLineChars="200"/>
              <w:rPr>
                <w:rFonts w:ascii="宋体" w:hAnsi="宋体"/>
                <w:color w:val="auto"/>
                <w:highlight w:val="none"/>
              </w:rPr>
            </w:pPr>
          </w:p>
        </w:tc>
      </w:tr>
      <w:tr w14:paraId="07D7A41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23" w:hRule="atLeast"/>
        </w:trPr>
        <w:tc>
          <w:tcPr>
            <w:tcW w:w="1420" w:type="dxa"/>
            <w:gridSpan w:val="2"/>
          </w:tcPr>
          <w:p w14:paraId="30208AF0">
            <w:pPr>
              <w:spacing w:line="360" w:lineRule="auto"/>
              <w:ind w:firstLine="420" w:firstLineChars="200"/>
              <w:rPr>
                <w:rFonts w:ascii="宋体" w:hAnsi="宋体"/>
                <w:color w:val="auto"/>
                <w:highlight w:val="none"/>
              </w:rPr>
            </w:pPr>
          </w:p>
        </w:tc>
        <w:tc>
          <w:tcPr>
            <w:tcW w:w="1420" w:type="dxa"/>
          </w:tcPr>
          <w:p w14:paraId="6B7EE5FD">
            <w:pPr>
              <w:spacing w:line="360" w:lineRule="auto"/>
              <w:ind w:firstLine="420" w:firstLineChars="200"/>
              <w:rPr>
                <w:rFonts w:ascii="宋体" w:hAnsi="宋体"/>
                <w:color w:val="auto"/>
                <w:highlight w:val="none"/>
              </w:rPr>
            </w:pPr>
          </w:p>
        </w:tc>
        <w:tc>
          <w:tcPr>
            <w:tcW w:w="1420" w:type="dxa"/>
            <w:gridSpan w:val="3"/>
          </w:tcPr>
          <w:p w14:paraId="7E4A095A">
            <w:pPr>
              <w:spacing w:line="360" w:lineRule="auto"/>
              <w:ind w:firstLine="420" w:firstLineChars="200"/>
              <w:rPr>
                <w:rFonts w:ascii="宋体" w:hAnsi="宋体"/>
                <w:color w:val="auto"/>
                <w:highlight w:val="none"/>
              </w:rPr>
            </w:pPr>
          </w:p>
        </w:tc>
        <w:tc>
          <w:tcPr>
            <w:tcW w:w="1608" w:type="dxa"/>
            <w:gridSpan w:val="3"/>
          </w:tcPr>
          <w:p w14:paraId="7955B801">
            <w:pPr>
              <w:spacing w:line="360" w:lineRule="auto"/>
              <w:ind w:firstLine="420" w:firstLineChars="200"/>
              <w:rPr>
                <w:rFonts w:ascii="宋体" w:hAnsi="宋体"/>
                <w:color w:val="auto"/>
                <w:highlight w:val="none"/>
              </w:rPr>
            </w:pPr>
          </w:p>
        </w:tc>
        <w:tc>
          <w:tcPr>
            <w:tcW w:w="1440" w:type="dxa"/>
            <w:gridSpan w:val="2"/>
          </w:tcPr>
          <w:p w14:paraId="6880F75F">
            <w:pPr>
              <w:spacing w:line="360" w:lineRule="auto"/>
              <w:ind w:firstLine="420" w:firstLineChars="200"/>
              <w:rPr>
                <w:rFonts w:ascii="宋体" w:hAnsi="宋体"/>
                <w:color w:val="auto"/>
                <w:highlight w:val="none"/>
              </w:rPr>
            </w:pPr>
          </w:p>
        </w:tc>
        <w:tc>
          <w:tcPr>
            <w:tcW w:w="1725" w:type="dxa"/>
            <w:gridSpan w:val="3"/>
          </w:tcPr>
          <w:p w14:paraId="369EDED7">
            <w:pPr>
              <w:spacing w:line="360" w:lineRule="auto"/>
              <w:ind w:firstLine="420" w:firstLineChars="200"/>
              <w:rPr>
                <w:rFonts w:ascii="宋体" w:hAnsi="宋体"/>
                <w:color w:val="auto"/>
                <w:highlight w:val="none"/>
              </w:rPr>
            </w:pPr>
          </w:p>
        </w:tc>
      </w:tr>
      <w:tr w14:paraId="182BF1A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23" w:hRule="atLeast"/>
        </w:trPr>
        <w:tc>
          <w:tcPr>
            <w:tcW w:w="1420" w:type="dxa"/>
            <w:gridSpan w:val="2"/>
          </w:tcPr>
          <w:p w14:paraId="76BED2DB">
            <w:pPr>
              <w:spacing w:line="360" w:lineRule="auto"/>
              <w:ind w:firstLine="420" w:firstLineChars="200"/>
              <w:rPr>
                <w:rFonts w:ascii="宋体" w:hAnsi="宋体"/>
                <w:color w:val="auto"/>
                <w:highlight w:val="none"/>
              </w:rPr>
            </w:pPr>
          </w:p>
        </w:tc>
        <w:tc>
          <w:tcPr>
            <w:tcW w:w="1420" w:type="dxa"/>
          </w:tcPr>
          <w:p w14:paraId="11AC06DC">
            <w:pPr>
              <w:spacing w:line="360" w:lineRule="auto"/>
              <w:ind w:firstLine="420" w:firstLineChars="200"/>
              <w:rPr>
                <w:rFonts w:ascii="宋体" w:hAnsi="宋体"/>
                <w:color w:val="auto"/>
                <w:highlight w:val="none"/>
              </w:rPr>
            </w:pPr>
          </w:p>
        </w:tc>
        <w:tc>
          <w:tcPr>
            <w:tcW w:w="1420" w:type="dxa"/>
            <w:gridSpan w:val="3"/>
          </w:tcPr>
          <w:p w14:paraId="0F8FDD99">
            <w:pPr>
              <w:spacing w:line="360" w:lineRule="auto"/>
              <w:ind w:firstLine="420" w:firstLineChars="200"/>
              <w:rPr>
                <w:rFonts w:ascii="宋体" w:hAnsi="宋体"/>
                <w:color w:val="auto"/>
                <w:highlight w:val="none"/>
              </w:rPr>
            </w:pPr>
          </w:p>
        </w:tc>
        <w:tc>
          <w:tcPr>
            <w:tcW w:w="1608" w:type="dxa"/>
            <w:gridSpan w:val="3"/>
          </w:tcPr>
          <w:p w14:paraId="1D34E87D">
            <w:pPr>
              <w:spacing w:line="360" w:lineRule="auto"/>
              <w:ind w:firstLine="420" w:firstLineChars="200"/>
              <w:rPr>
                <w:rFonts w:ascii="宋体" w:hAnsi="宋体"/>
                <w:color w:val="auto"/>
                <w:highlight w:val="none"/>
              </w:rPr>
            </w:pPr>
          </w:p>
        </w:tc>
        <w:tc>
          <w:tcPr>
            <w:tcW w:w="1440" w:type="dxa"/>
            <w:gridSpan w:val="2"/>
          </w:tcPr>
          <w:p w14:paraId="11C7B5D7">
            <w:pPr>
              <w:spacing w:line="360" w:lineRule="auto"/>
              <w:ind w:firstLine="420" w:firstLineChars="200"/>
              <w:rPr>
                <w:rFonts w:ascii="宋体" w:hAnsi="宋体"/>
                <w:color w:val="auto"/>
                <w:highlight w:val="none"/>
              </w:rPr>
            </w:pPr>
          </w:p>
        </w:tc>
        <w:tc>
          <w:tcPr>
            <w:tcW w:w="1725" w:type="dxa"/>
            <w:gridSpan w:val="3"/>
          </w:tcPr>
          <w:p w14:paraId="3597B5F3">
            <w:pPr>
              <w:spacing w:line="360" w:lineRule="auto"/>
              <w:ind w:firstLine="420" w:firstLineChars="200"/>
              <w:rPr>
                <w:rFonts w:ascii="宋体" w:hAnsi="宋体"/>
                <w:color w:val="auto"/>
                <w:highlight w:val="none"/>
              </w:rPr>
            </w:pPr>
          </w:p>
        </w:tc>
      </w:tr>
      <w:tr w14:paraId="7A7BA4BF">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cantSplit/>
          <w:trHeight w:val="623" w:hRule="atLeast"/>
        </w:trPr>
        <w:tc>
          <w:tcPr>
            <w:tcW w:w="1420" w:type="dxa"/>
            <w:gridSpan w:val="2"/>
          </w:tcPr>
          <w:p w14:paraId="68E1C331">
            <w:pPr>
              <w:spacing w:line="360" w:lineRule="auto"/>
              <w:ind w:firstLine="420" w:firstLineChars="200"/>
              <w:rPr>
                <w:rFonts w:ascii="宋体" w:hAnsi="宋体"/>
                <w:color w:val="auto"/>
                <w:highlight w:val="none"/>
              </w:rPr>
            </w:pPr>
          </w:p>
        </w:tc>
        <w:tc>
          <w:tcPr>
            <w:tcW w:w="1420" w:type="dxa"/>
          </w:tcPr>
          <w:p w14:paraId="380A2BDB">
            <w:pPr>
              <w:spacing w:line="360" w:lineRule="auto"/>
              <w:ind w:firstLine="420" w:firstLineChars="200"/>
              <w:rPr>
                <w:rFonts w:ascii="宋体" w:hAnsi="宋体"/>
                <w:color w:val="auto"/>
                <w:highlight w:val="none"/>
              </w:rPr>
            </w:pPr>
          </w:p>
        </w:tc>
        <w:tc>
          <w:tcPr>
            <w:tcW w:w="1420" w:type="dxa"/>
            <w:gridSpan w:val="3"/>
          </w:tcPr>
          <w:p w14:paraId="79415077">
            <w:pPr>
              <w:spacing w:line="360" w:lineRule="auto"/>
              <w:ind w:firstLine="420" w:firstLineChars="200"/>
              <w:rPr>
                <w:rFonts w:ascii="宋体" w:hAnsi="宋体"/>
                <w:color w:val="auto"/>
                <w:highlight w:val="none"/>
              </w:rPr>
            </w:pPr>
          </w:p>
        </w:tc>
        <w:tc>
          <w:tcPr>
            <w:tcW w:w="1608" w:type="dxa"/>
            <w:gridSpan w:val="3"/>
          </w:tcPr>
          <w:p w14:paraId="59B8D240">
            <w:pPr>
              <w:spacing w:line="360" w:lineRule="auto"/>
              <w:ind w:firstLine="420" w:firstLineChars="200"/>
              <w:rPr>
                <w:rFonts w:ascii="宋体" w:hAnsi="宋体"/>
                <w:color w:val="auto"/>
                <w:highlight w:val="none"/>
              </w:rPr>
            </w:pPr>
          </w:p>
        </w:tc>
        <w:tc>
          <w:tcPr>
            <w:tcW w:w="1440" w:type="dxa"/>
            <w:gridSpan w:val="2"/>
          </w:tcPr>
          <w:p w14:paraId="2266C62E">
            <w:pPr>
              <w:spacing w:line="360" w:lineRule="auto"/>
              <w:ind w:firstLine="420" w:firstLineChars="200"/>
              <w:rPr>
                <w:rFonts w:ascii="宋体" w:hAnsi="宋体"/>
                <w:color w:val="auto"/>
                <w:highlight w:val="none"/>
              </w:rPr>
            </w:pPr>
          </w:p>
        </w:tc>
        <w:tc>
          <w:tcPr>
            <w:tcW w:w="1725" w:type="dxa"/>
            <w:gridSpan w:val="3"/>
          </w:tcPr>
          <w:p w14:paraId="5BCD9FE3">
            <w:pPr>
              <w:spacing w:line="360" w:lineRule="auto"/>
              <w:ind w:firstLine="420" w:firstLineChars="200"/>
              <w:rPr>
                <w:rFonts w:ascii="宋体" w:hAnsi="宋体"/>
                <w:color w:val="auto"/>
                <w:highlight w:val="none"/>
              </w:rPr>
            </w:pPr>
          </w:p>
        </w:tc>
      </w:tr>
    </w:tbl>
    <w:p w14:paraId="746C390E">
      <w:pPr>
        <w:spacing w:line="360" w:lineRule="auto"/>
        <w:ind w:firstLine="480" w:firstLineChars="200"/>
        <w:rPr>
          <w:rFonts w:ascii="宋体" w:hAnsi="宋体"/>
          <w:color w:val="auto"/>
          <w:sz w:val="24"/>
          <w:highlight w:val="none"/>
        </w:rPr>
      </w:pPr>
    </w:p>
    <w:p w14:paraId="76D5D015">
      <w:pPr>
        <w:spacing w:line="360" w:lineRule="auto"/>
        <w:ind w:firstLine="480" w:firstLineChars="200"/>
        <w:rPr>
          <w:rFonts w:ascii="宋体" w:hAnsi="宋体"/>
          <w:color w:val="auto"/>
          <w:sz w:val="24"/>
          <w:highlight w:val="none"/>
        </w:rPr>
      </w:pPr>
    </w:p>
    <w:p w14:paraId="039CBB88">
      <w:pPr>
        <w:spacing w:line="360" w:lineRule="auto"/>
        <w:ind w:firstLine="562" w:firstLineChars="200"/>
        <w:rPr>
          <w:rFonts w:ascii="宋体" w:hAnsi="宋体"/>
          <w:b/>
          <w:color w:val="auto"/>
          <w:sz w:val="28"/>
          <w:highlight w:val="none"/>
        </w:rPr>
      </w:pPr>
    </w:p>
    <w:p w14:paraId="2ED2F44C">
      <w:pPr>
        <w:spacing w:line="360" w:lineRule="auto"/>
        <w:ind w:firstLine="562" w:firstLineChars="200"/>
        <w:rPr>
          <w:rFonts w:ascii="宋体" w:hAnsi="宋体"/>
          <w:b/>
          <w:color w:val="auto"/>
          <w:sz w:val="28"/>
          <w:highlight w:val="none"/>
        </w:rPr>
      </w:pPr>
    </w:p>
    <w:p w14:paraId="6DF2E1AC">
      <w:pPr>
        <w:pStyle w:val="3"/>
        <w:jc w:val="center"/>
        <w:rPr>
          <w:rFonts w:ascii="宋体" w:hAnsi="宋体"/>
          <w:b w:val="0"/>
          <w:color w:val="auto"/>
          <w:sz w:val="30"/>
          <w:highlight w:val="none"/>
        </w:rPr>
      </w:pPr>
      <w:r>
        <w:rPr>
          <w:rFonts w:hint="eastAsia" w:ascii="宋体" w:hAnsi="宋体"/>
          <w:b w:val="0"/>
          <w:color w:val="auto"/>
          <w:sz w:val="30"/>
          <w:highlight w:val="none"/>
        </w:rPr>
        <w:t>七、公司人员及拟派往本招标工程项目的人员情况</w:t>
      </w:r>
    </w:p>
    <w:p w14:paraId="19C86A10">
      <w:pPr>
        <w:tabs>
          <w:tab w:val="left" w:pos="993"/>
        </w:tabs>
        <w:spacing w:line="360" w:lineRule="auto"/>
        <w:ind w:firstLine="420" w:firstLineChars="200"/>
        <w:rPr>
          <w:rFonts w:ascii="宋体" w:hAnsi="宋体"/>
          <w:color w:val="auto"/>
          <w:highlight w:val="none"/>
          <w:u w:val="single"/>
        </w:rPr>
      </w:pPr>
      <w:r>
        <w:rPr>
          <w:rFonts w:hint="eastAsia" w:ascii="宋体" w:hAnsi="宋体"/>
          <w:color w:val="auto"/>
          <w:highlight w:val="none"/>
        </w:rPr>
        <w:t>投标申请人名称：</w:t>
      </w:r>
      <w:r>
        <w:rPr>
          <w:rFonts w:hint="eastAsia" w:ascii="宋体" w:hAnsi="宋体"/>
          <w:color w:val="auto"/>
          <w:highlight w:val="none"/>
          <w:u w:val="single"/>
        </w:rPr>
        <w:t xml:space="preserve">                                       </w:t>
      </w:r>
    </w:p>
    <w:tbl>
      <w:tblPr>
        <w:tblStyle w:val="17"/>
        <w:tblW w:w="0" w:type="auto"/>
        <w:tblInd w:w="0" w:type="dxa"/>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Layout w:type="fixed"/>
        <w:tblCellMar>
          <w:top w:w="0" w:type="dxa"/>
          <w:left w:w="108" w:type="dxa"/>
          <w:bottom w:w="0" w:type="dxa"/>
          <w:right w:w="108" w:type="dxa"/>
        </w:tblCellMar>
      </w:tblPr>
      <w:tblGrid>
        <w:gridCol w:w="1120"/>
        <w:gridCol w:w="1119"/>
        <w:gridCol w:w="1119"/>
        <w:gridCol w:w="1888"/>
        <w:gridCol w:w="1119"/>
        <w:gridCol w:w="1119"/>
        <w:gridCol w:w="1119"/>
        <w:gridCol w:w="1119"/>
      </w:tblGrid>
      <w:tr w14:paraId="0ECADC69">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trPr>
        <w:tc>
          <w:tcPr>
            <w:tcW w:w="1120" w:type="dxa"/>
            <w:vMerge w:val="restart"/>
            <w:vAlign w:val="center"/>
          </w:tcPr>
          <w:p w14:paraId="3899B4EA">
            <w:pPr>
              <w:tabs>
                <w:tab w:val="left" w:pos="993"/>
              </w:tabs>
              <w:spacing w:line="360" w:lineRule="auto"/>
              <w:rPr>
                <w:rFonts w:ascii="宋体" w:hAnsi="宋体"/>
                <w:b/>
                <w:bCs/>
                <w:color w:val="auto"/>
                <w:sz w:val="24"/>
                <w:highlight w:val="none"/>
              </w:rPr>
            </w:pPr>
            <w:r>
              <w:rPr>
                <w:rFonts w:hint="eastAsia" w:ascii="宋体" w:hAnsi="宋体"/>
                <w:b/>
                <w:bCs/>
                <w:color w:val="auto"/>
                <w:sz w:val="24"/>
                <w:highlight w:val="none"/>
              </w:rPr>
              <w:t>职务</w:t>
            </w:r>
          </w:p>
        </w:tc>
        <w:tc>
          <w:tcPr>
            <w:tcW w:w="1119" w:type="dxa"/>
            <w:vMerge w:val="restart"/>
            <w:vAlign w:val="center"/>
          </w:tcPr>
          <w:p w14:paraId="7BBE4B52">
            <w:pPr>
              <w:tabs>
                <w:tab w:val="left" w:pos="993"/>
              </w:tabs>
              <w:spacing w:line="360" w:lineRule="auto"/>
              <w:rPr>
                <w:rFonts w:ascii="宋体" w:hAnsi="宋体"/>
                <w:b/>
                <w:bCs/>
                <w:color w:val="auto"/>
                <w:sz w:val="24"/>
                <w:highlight w:val="none"/>
              </w:rPr>
            </w:pPr>
            <w:r>
              <w:rPr>
                <w:rFonts w:hint="eastAsia" w:ascii="宋体" w:hAnsi="宋体"/>
                <w:b/>
                <w:bCs/>
                <w:color w:val="auto"/>
                <w:sz w:val="24"/>
                <w:highlight w:val="none"/>
              </w:rPr>
              <w:t>姓名</w:t>
            </w:r>
          </w:p>
        </w:tc>
        <w:tc>
          <w:tcPr>
            <w:tcW w:w="1119" w:type="dxa"/>
            <w:vMerge w:val="restart"/>
            <w:vAlign w:val="center"/>
          </w:tcPr>
          <w:p w14:paraId="4E5C9295">
            <w:pPr>
              <w:tabs>
                <w:tab w:val="left" w:pos="993"/>
              </w:tabs>
              <w:spacing w:line="360" w:lineRule="auto"/>
              <w:rPr>
                <w:rFonts w:ascii="宋体" w:hAnsi="宋体"/>
                <w:b/>
                <w:bCs/>
                <w:color w:val="auto"/>
                <w:sz w:val="24"/>
                <w:highlight w:val="none"/>
              </w:rPr>
            </w:pPr>
            <w:r>
              <w:rPr>
                <w:rFonts w:hint="eastAsia" w:ascii="宋体" w:hAnsi="宋体"/>
                <w:b/>
                <w:bCs/>
                <w:color w:val="auto"/>
                <w:sz w:val="24"/>
                <w:highlight w:val="none"/>
              </w:rPr>
              <w:t>职称</w:t>
            </w:r>
          </w:p>
        </w:tc>
        <w:tc>
          <w:tcPr>
            <w:tcW w:w="5245" w:type="dxa"/>
            <w:gridSpan w:val="4"/>
            <w:vAlign w:val="center"/>
          </w:tcPr>
          <w:p w14:paraId="50703977">
            <w:pPr>
              <w:tabs>
                <w:tab w:val="left" w:pos="993"/>
              </w:tabs>
              <w:spacing w:line="360" w:lineRule="auto"/>
              <w:ind w:firstLine="482" w:firstLineChars="200"/>
              <w:rPr>
                <w:rFonts w:ascii="宋体" w:hAnsi="宋体"/>
                <w:b/>
                <w:bCs/>
                <w:color w:val="auto"/>
                <w:sz w:val="24"/>
                <w:highlight w:val="none"/>
              </w:rPr>
            </w:pPr>
            <w:r>
              <w:rPr>
                <w:rFonts w:hint="eastAsia" w:ascii="宋体" w:hAnsi="宋体"/>
                <w:b/>
                <w:bCs/>
                <w:color w:val="auto"/>
                <w:sz w:val="24"/>
                <w:highlight w:val="none"/>
              </w:rPr>
              <w:t>执业或职业资格证明</w:t>
            </w:r>
          </w:p>
        </w:tc>
        <w:tc>
          <w:tcPr>
            <w:tcW w:w="1119" w:type="dxa"/>
            <w:vMerge w:val="restart"/>
            <w:vAlign w:val="center"/>
          </w:tcPr>
          <w:p w14:paraId="7C59742D">
            <w:pPr>
              <w:tabs>
                <w:tab w:val="left" w:pos="993"/>
              </w:tabs>
              <w:spacing w:line="360" w:lineRule="auto"/>
              <w:rPr>
                <w:rFonts w:ascii="宋体" w:hAnsi="宋体"/>
                <w:b/>
                <w:bCs/>
                <w:color w:val="auto"/>
                <w:sz w:val="24"/>
                <w:highlight w:val="none"/>
              </w:rPr>
            </w:pPr>
            <w:r>
              <w:rPr>
                <w:rFonts w:hint="eastAsia" w:ascii="宋体" w:hAnsi="宋体"/>
                <w:b/>
                <w:bCs/>
                <w:color w:val="auto"/>
                <w:sz w:val="24"/>
                <w:highlight w:val="none"/>
              </w:rPr>
              <w:t>备注</w:t>
            </w:r>
          </w:p>
        </w:tc>
      </w:tr>
      <w:tr w14:paraId="0477127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4" w:hRule="atLeast"/>
        </w:trPr>
        <w:tc>
          <w:tcPr>
            <w:tcW w:w="1120" w:type="dxa"/>
            <w:vMerge w:val="continue"/>
            <w:vAlign w:val="center"/>
          </w:tcPr>
          <w:p w14:paraId="17765794">
            <w:pPr>
              <w:tabs>
                <w:tab w:val="left" w:pos="993"/>
              </w:tabs>
              <w:spacing w:line="360" w:lineRule="auto"/>
              <w:ind w:firstLine="482" w:firstLineChars="200"/>
              <w:rPr>
                <w:rFonts w:ascii="宋体" w:hAnsi="宋体"/>
                <w:b/>
                <w:bCs/>
                <w:color w:val="auto"/>
                <w:sz w:val="24"/>
                <w:highlight w:val="none"/>
              </w:rPr>
            </w:pPr>
          </w:p>
        </w:tc>
        <w:tc>
          <w:tcPr>
            <w:tcW w:w="1119" w:type="dxa"/>
            <w:vMerge w:val="continue"/>
            <w:vAlign w:val="center"/>
          </w:tcPr>
          <w:p w14:paraId="320A7B6B">
            <w:pPr>
              <w:tabs>
                <w:tab w:val="left" w:pos="993"/>
              </w:tabs>
              <w:spacing w:line="360" w:lineRule="auto"/>
              <w:ind w:firstLine="482" w:firstLineChars="200"/>
              <w:rPr>
                <w:rFonts w:ascii="宋体" w:hAnsi="宋体"/>
                <w:b/>
                <w:bCs/>
                <w:color w:val="auto"/>
                <w:sz w:val="24"/>
                <w:highlight w:val="none"/>
              </w:rPr>
            </w:pPr>
          </w:p>
        </w:tc>
        <w:tc>
          <w:tcPr>
            <w:tcW w:w="1119" w:type="dxa"/>
            <w:vMerge w:val="continue"/>
            <w:vAlign w:val="center"/>
          </w:tcPr>
          <w:p w14:paraId="572D899E">
            <w:pPr>
              <w:tabs>
                <w:tab w:val="left" w:pos="993"/>
              </w:tabs>
              <w:spacing w:line="360" w:lineRule="auto"/>
              <w:ind w:firstLine="482" w:firstLineChars="200"/>
              <w:rPr>
                <w:rFonts w:ascii="宋体" w:hAnsi="宋体"/>
                <w:b/>
                <w:bCs/>
                <w:color w:val="auto"/>
                <w:sz w:val="24"/>
                <w:highlight w:val="none"/>
              </w:rPr>
            </w:pPr>
          </w:p>
        </w:tc>
        <w:tc>
          <w:tcPr>
            <w:tcW w:w="1888" w:type="dxa"/>
            <w:vAlign w:val="center"/>
          </w:tcPr>
          <w:p w14:paraId="090552C3">
            <w:pPr>
              <w:tabs>
                <w:tab w:val="left" w:pos="993"/>
              </w:tabs>
              <w:spacing w:line="360" w:lineRule="auto"/>
              <w:rPr>
                <w:rFonts w:ascii="宋体" w:hAnsi="宋体"/>
                <w:b/>
                <w:bCs/>
                <w:color w:val="auto"/>
                <w:sz w:val="24"/>
                <w:highlight w:val="none"/>
              </w:rPr>
            </w:pPr>
            <w:r>
              <w:rPr>
                <w:rFonts w:hint="eastAsia" w:ascii="宋体" w:hAnsi="宋体"/>
                <w:b/>
                <w:bCs/>
                <w:color w:val="auto"/>
                <w:sz w:val="24"/>
                <w:highlight w:val="none"/>
              </w:rPr>
              <w:t>证书名称</w:t>
            </w:r>
          </w:p>
        </w:tc>
        <w:tc>
          <w:tcPr>
            <w:tcW w:w="1119" w:type="dxa"/>
            <w:vAlign w:val="center"/>
          </w:tcPr>
          <w:p w14:paraId="2C44A695">
            <w:pPr>
              <w:tabs>
                <w:tab w:val="left" w:pos="993"/>
              </w:tabs>
              <w:spacing w:line="360" w:lineRule="auto"/>
              <w:rPr>
                <w:rFonts w:ascii="宋体" w:hAnsi="宋体"/>
                <w:b/>
                <w:bCs/>
                <w:color w:val="auto"/>
                <w:sz w:val="24"/>
                <w:highlight w:val="none"/>
              </w:rPr>
            </w:pPr>
            <w:r>
              <w:rPr>
                <w:rFonts w:hint="eastAsia" w:ascii="宋体" w:hAnsi="宋体"/>
                <w:b/>
                <w:bCs/>
                <w:color w:val="auto"/>
                <w:sz w:val="24"/>
                <w:highlight w:val="none"/>
              </w:rPr>
              <w:t>级别</w:t>
            </w:r>
          </w:p>
        </w:tc>
        <w:tc>
          <w:tcPr>
            <w:tcW w:w="1119" w:type="dxa"/>
            <w:vAlign w:val="center"/>
          </w:tcPr>
          <w:p w14:paraId="60B76E41">
            <w:pPr>
              <w:tabs>
                <w:tab w:val="left" w:pos="993"/>
              </w:tabs>
              <w:spacing w:line="360" w:lineRule="auto"/>
              <w:rPr>
                <w:rFonts w:ascii="宋体" w:hAnsi="宋体"/>
                <w:b/>
                <w:bCs/>
                <w:color w:val="auto"/>
                <w:sz w:val="24"/>
                <w:highlight w:val="none"/>
              </w:rPr>
            </w:pPr>
            <w:r>
              <w:rPr>
                <w:rFonts w:hint="eastAsia" w:ascii="宋体" w:hAnsi="宋体"/>
                <w:b/>
                <w:bCs/>
                <w:color w:val="auto"/>
                <w:sz w:val="24"/>
                <w:highlight w:val="none"/>
              </w:rPr>
              <w:t>证号</w:t>
            </w:r>
          </w:p>
        </w:tc>
        <w:tc>
          <w:tcPr>
            <w:tcW w:w="1119" w:type="dxa"/>
            <w:vAlign w:val="center"/>
          </w:tcPr>
          <w:p w14:paraId="780DA26E">
            <w:pPr>
              <w:tabs>
                <w:tab w:val="left" w:pos="993"/>
              </w:tabs>
              <w:spacing w:line="360" w:lineRule="auto"/>
              <w:rPr>
                <w:rFonts w:ascii="宋体" w:hAnsi="宋体"/>
                <w:b/>
                <w:bCs/>
                <w:color w:val="auto"/>
                <w:sz w:val="24"/>
                <w:highlight w:val="none"/>
              </w:rPr>
            </w:pPr>
            <w:r>
              <w:rPr>
                <w:rFonts w:hint="eastAsia" w:ascii="宋体" w:hAnsi="宋体"/>
                <w:b/>
                <w:bCs/>
                <w:color w:val="auto"/>
                <w:sz w:val="24"/>
                <w:highlight w:val="none"/>
              </w:rPr>
              <w:t>专业</w:t>
            </w:r>
          </w:p>
        </w:tc>
        <w:tc>
          <w:tcPr>
            <w:tcW w:w="1119" w:type="dxa"/>
            <w:vMerge w:val="continue"/>
          </w:tcPr>
          <w:p w14:paraId="3E1D489A">
            <w:pPr>
              <w:tabs>
                <w:tab w:val="left" w:pos="993"/>
              </w:tabs>
              <w:spacing w:line="360" w:lineRule="auto"/>
              <w:ind w:firstLine="482" w:firstLineChars="200"/>
              <w:rPr>
                <w:rFonts w:ascii="宋体" w:hAnsi="宋体"/>
                <w:b/>
                <w:bCs/>
                <w:color w:val="auto"/>
                <w:sz w:val="24"/>
                <w:highlight w:val="none"/>
              </w:rPr>
            </w:pPr>
          </w:p>
        </w:tc>
      </w:tr>
      <w:tr w14:paraId="56E4742C">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trPr>
        <w:tc>
          <w:tcPr>
            <w:tcW w:w="1120" w:type="dxa"/>
            <w:vAlign w:val="center"/>
          </w:tcPr>
          <w:p w14:paraId="670D1761">
            <w:pPr>
              <w:tabs>
                <w:tab w:val="left" w:pos="993"/>
              </w:tabs>
              <w:spacing w:line="360" w:lineRule="auto"/>
              <w:ind w:firstLine="482" w:firstLineChars="200"/>
              <w:rPr>
                <w:rFonts w:ascii="宋体" w:hAnsi="宋体"/>
                <w:b/>
                <w:bCs/>
                <w:color w:val="auto"/>
                <w:sz w:val="24"/>
                <w:highlight w:val="none"/>
              </w:rPr>
            </w:pPr>
          </w:p>
        </w:tc>
        <w:tc>
          <w:tcPr>
            <w:tcW w:w="1119" w:type="dxa"/>
            <w:vAlign w:val="center"/>
          </w:tcPr>
          <w:p w14:paraId="7C46D97F">
            <w:pPr>
              <w:tabs>
                <w:tab w:val="left" w:pos="993"/>
              </w:tabs>
              <w:spacing w:line="360" w:lineRule="auto"/>
              <w:ind w:firstLine="482" w:firstLineChars="200"/>
              <w:rPr>
                <w:rFonts w:ascii="宋体" w:hAnsi="宋体"/>
                <w:b/>
                <w:bCs/>
                <w:color w:val="auto"/>
                <w:sz w:val="24"/>
                <w:highlight w:val="none"/>
              </w:rPr>
            </w:pPr>
          </w:p>
        </w:tc>
        <w:tc>
          <w:tcPr>
            <w:tcW w:w="1119" w:type="dxa"/>
            <w:vAlign w:val="center"/>
          </w:tcPr>
          <w:p w14:paraId="4512E79B">
            <w:pPr>
              <w:tabs>
                <w:tab w:val="left" w:pos="993"/>
              </w:tabs>
              <w:spacing w:line="360" w:lineRule="auto"/>
              <w:ind w:firstLine="482" w:firstLineChars="200"/>
              <w:rPr>
                <w:rFonts w:ascii="宋体" w:hAnsi="宋体"/>
                <w:b/>
                <w:bCs/>
                <w:color w:val="auto"/>
                <w:sz w:val="24"/>
                <w:highlight w:val="none"/>
              </w:rPr>
            </w:pPr>
          </w:p>
        </w:tc>
        <w:tc>
          <w:tcPr>
            <w:tcW w:w="1888" w:type="dxa"/>
          </w:tcPr>
          <w:p w14:paraId="014BF290">
            <w:pPr>
              <w:tabs>
                <w:tab w:val="left" w:pos="993"/>
              </w:tabs>
              <w:spacing w:line="360" w:lineRule="auto"/>
              <w:ind w:firstLine="482" w:firstLineChars="200"/>
              <w:rPr>
                <w:rFonts w:ascii="宋体" w:hAnsi="宋体"/>
                <w:b/>
                <w:bCs/>
                <w:color w:val="auto"/>
                <w:sz w:val="24"/>
                <w:highlight w:val="none"/>
              </w:rPr>
            </w:pPr>
          </w:p>
        </w:tc>
        <w:tc>
          <w:tcPr>
            <w:tcW w:w="1119" w:type="dxa"/>
          </w:tcPr>
          <w:p w14:paraId="59A53C34">
            <w:pPr>
              <w:tabs>
                <w:tab w:val="left" w:pos="993"/>
              </w:tabs>
              <w:spacing w:line="360" w:lineRule="auto"/>
              <w:ind w:firstLine="482" w:firstLineChars="200"/>
              <w:rPr>
                <w:rFonts w:ascii="宋体" w:hAnsi="宋体"/>
                <w:b/>
                <w:bCs/>
                <w:color w:val="auto"/>
                <w:sz w:val="24"/>
                <w:highlight w:val="none"/>
              </w:rPr>
            </w:pPr>
          </w:p>
        </w:tc>
        <w:tc>
          <w:tcPr>
            <w:tcW w:w="1119" w:type="dxa"/>
          </w:tcPr>
          <w:p w14:paraId="33037215">
            <w:pPr>
              <w:tabs>
                <w:tab w:val="left" w:pos="993"/>
              </w:tabs>
              <w:spacing w:line="360" w:lineRule="auto"/>
              <w:ind w:firstLine="482" w:firstLineChars="200"/>
              <w:rPr>
                <w:rFonts w:ascii="宋体" w:hAnsi="宋体"/>
                <w:b/>
                <w:bCs/>
                <w:color w:val="auto"/>
                <w:sz w:val="24"/>
                <w:highlight w:val="none"/>
              </w:rPr>
            </w:pPr>
          </w:p>
        </w:tc>
        <w:tc>
          <w:tcPr>
            <w:tcW w:w="1119" w:type="dxa"/>
          </w:tcPr>
          <w:p w14:paraId="263C50BE">
            <w:pPr>
              <w:tabs>
                <w:tab w:val="left" w:pos="993"/>
              </w:tabs>
              <w:spacing w:line="360" w:lineRule="auto"/>
              <w:ind w:firstLine="482" w:firstLineChars="200"/>
              <w:rPr>
                <w:rFonts w:ascii="宋体" w:hAnsi="宋体"/>
                <w:b/>
                <w:bCs/>
                <w:color w:val="auto"/>
                <w:sz w:val="24"/>
                <w:highlight w:val="none"/>
              </w:rPr>
            </w:pPr>
          </w:p>
        </w:tc>
        <w:tc>
          <w:tcPr>
            <w:tcW w:w="1119" w:type="dxa"/>
          </w:tcPr>
          <w:p w14:paraId="72F25CF1">
            <w:pPr>
              <w:tabs>
                <w:tab w:val="left" w:pos="993"/>
              </w:tabs>
              <w:spacing w:line="360" w:lineRule="auto"/>
              <w:ind w:firstLine="482" w:firstLineChars="200"/>
              <w:rPr>
                <w:rFonts w:ascii="宋体" w:hAnsi="宋体"/>
                <w:b/>
                <w:bCs/>
                <w:color w:val="auto"/>
                <w:sz w:val="24"/>
                <w:highlight w:val="none"/>
              </w:rPr>
            </w:pPr>
          </w:p>
        </w:tc>
      </w:tr>
      <w:tr w14:paraId="43A20CCB">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trPr>
        <w:tc>
          <w:tcPr>
            <w:tcW w:w="1120" w:type="dxa"/>
          </w:tcPr>
          <w:p w14:paraId="1549A81C">
            <w:pPr>
              <w:tabs>
                <w:tab w:val="left" w:pos="993"/>
              </w:tabs>
              <w:spacing w:line="360" w:lineRule="auto"/>
              <w:ind w:firstLine="482" w:firstLineChars="200"/>
              <w:rPr>
                <w:rFonts w:ascii="宋体" w:hAnsi="宋体"/>
                <w:b/>
                <w:bCs/>
                <w:color w:val="auto"/>
                <w:sz w:val="24"/>
                <w:highlight w:val="none"/>
              </w:rPr>
            </w:pPr>
          </w:p>
        </w:tc>
        <w:tc>
          <w:tcPr>
            <w:tcW w:w="1119" w:type="dxa"/>
          </w:tcPr>
          <w:p w14:paraId="45C2F1C5">
            <w:pPr>
              <w:tabs>
                <w:tab w:val="left" w:pos="993"/>
              </w:tabs>
              <w:spacing w:line="360" w:lineRule="auto"/>
              <w:ind w:firstLine="482" w:firstLineChars="200"/>
              <w:rPr>
                <w:rFonts w:ascii="宋体" w:hAnsi="宋体"/>
                <w:b/>
                <w:bCs/>
                <w:color w:val="auto"/>
                <w:sz w:val="24"/>
                <w:highlight w:val="none"/>
              </w:rPr>
            </w:pPr>
          </w:p>
        </w:tc>
        <w:tc>
          <w:tcPr>
            <w:tcW w:w="1119" w:type="dxa"/>
          </w:tcPr>
          <w:p w14:paraId="62C1E3DD">
            <w:pPr>
              <w:tabs>
                <w:tab w:val="left" w:pos="993"/>
              </w:tabs>
              <w:spacing w:line="360" w:lineRule="auto"/>
              <w:ind w:firstLine="482" w:firstLineChars="200"/>
              <w:rPr>
                <w:rFonts w:ascii="宋体" w:hAnsi="宋体"/>
                <w:b/>
                <w:bCs/>
                <w:color w:val="auto"/>
                <w:sz w:val="24"/>
                <w:highlight w:val="none"/>
              </w:rPr>
            </w:pPr>
          </w:p>
        </w:tc>
        <w:tc>
          <w:tcPr>
            <w:tcW w:w="1888" w:type="dxa"/>
          </w:tcPr>
          <w:p w14:paraId="434F7232">
            <w:pPr>
              <w:tabs>
                <w:tab w:val="left" w:pos="993"/>
              </w:tabs>
              <w:spacing w:line="360" w:lineRule="auto"/>
              <w:ind w:firstLine="482" w:firstLineChars="200"/>
              <w:rPr>
                <w:rFonts w:ascii="宋体" w:hAnsi="宋体"/>
                <w:b/>
                <w:bCs/>
                <w:color w:val="auto"/>
                <w:sz w:val="24"/>
                <w:highlight w:val="none"/>
              </w:rPr>
            </w:pPr>
          </w:p>
        </w:tc>
        <w:tc>
          <w:tcPr>
            <w:tcW w:w="1119" w:type="dxa"/>
          </w:tcPr>
          <w:p w14:paraId="59DCCAFE">
            <w:pPr>
              <w:tabs>
                <w:tab w:val="left" w:pos="993"/>
              </w:tabs>
              <w:spacing w:line="360" w:lineRule="auto"/>
              <w:ind w:firstLine="482" w:firstLineChars="200"/>
              <w:rPr>
                <w:rFonts w:ascii="宋体" w:hAnsi="宋体"/>
                <w:b/>
                <w:bCs/>
                <w:color w:val="auto"/>
                <w:sz w:val="24"/>
                <w:highlight w:val="none"/>
              </w:rPr>
            </w:pPr>
          </w:p>
        </w:tc>
        <w:tc>
          <w:tcPr>
            <w:tcW w:w="1119" w:type="dxa"/>
          </w:tcPr>
          <w:p w14:paraId="06646285">
            <w:pPr>
              <w:tabs>
                <w:tab w:val="left" w:pos="993"/>
              </w:tabs>
              <w:spacing w:line="360" w:lineRule="auto"/>
              <w:ind w:firstLine="482" w:firstLineChars="200"/>
              <w:rPr>
                <w:rFonts w:ascii="宋体" w:hAnsi="宋体"/>
                <w:b/>
                <w:bCs/>
                <w:color w:val="auto"/>
                <w:sz w:val="24"/>
                <w:highlight w:val="none"/>
              </w:rPr>
            </w:pPr>
          </w:p>
        </w:tc>
        <w:tc>
          <w:tcPr>
            <w:tcW w:w="1119" w:type="dxa"/>
          </w:tcPr>
          <w:p w14:paraId="54243F8A">
            <w:pPr>
              <w:tabs>
                <w:tab w:val="left" w:pos="993"/>
              </w:tabs>
              <w:spacing w:line="360" w:lineRule="auto"/>
              <w:ind w:firstLine="482" w:firstLineChars="200"/>
              <w:rPr>
                <w:rFonts w:ascii="宋体" w:hAnsi="宋体"/>
                <w:b/>
                <w:bCs/>
                <w:color w:val="auto"/>
                <w:sz w:val="24"/>
                <w:highlight w:val="none"/>
              </w:rPr>
            </w:pPr>
          </w:p>
        </w:tc>
        <w:tc>
          <w:tcPr>
            <w:tcW w:w="1119" w:type="dxa"/>
          </w:tcPr>
          <w:p w14:paraId="0DA665F4">
            <w:pPr>
              <w:tabs>
                <w:tab w:val="left" w:pos="993"/>
              </w:tabs>
              <w:spacing w:line="360" w:lineRule="auto"/>
              <w:ind w:firstLine="482" w:firstLineChars="200"/>
              <w:rPr>
                <w:rFonts w:ascii="宋体" w:hAnsi="宋体"/>
                <w:b/>
                <w:bCs/>
                <w:color w:val="auto"/>
                <w:sz w:val="24"/>
                <w:highlight w:val="none"/>
              </w:rPr>
            </w:pPr>
          </w:p>
        </w:tc>
      </w:tr>
      <w:tr w14:paraId="2F9076B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4" w:hRule="atLeast"/>
        </w:trPr>
        <w:tc>
          <w:tcPr>
            <w:tcW w:w="1120" w:type="dxa"/>
          </w:tcPr>
          <w:p w14:paraId="3AD1A8B4">
            <w:pPr>
              <w:tabs>
                <w:tab w:val="left" w:pos="993"/>
              </w:tabs>
              <w:spacing w:line="360" w:lineRule="auto"/>
              <w:ind w:firstLine="482" w:firstLineChars="200"/>
              <w:rPr>
                <w:rFonts w:ascii="宋体" w:hAnsi="宋体"/>
                <w:b/>
                <w:bCs/>
                <w:color w:val="auto"/>
                <w:sz w:val="24"/>
                <w:highlight w:val="none"/>
              </w:rPr>
            </w:pPr>
          </w:p>
        </w:tc>
        <w:tc>
          <w:tcPr>
            <w:tcW w:w="1119" w:type="dxa"/>
          </w:tcPr>
          <w:p w14:paraId="1841DCE1">
            <w:pPr>
              <w:tabs>
                <w:tab w:val="left" w:pos="993"/>
              </w:tabs>
              <w:spacing w:line="360" w:lineRule="auto"/>
              <w:ind w:firstLine="482" w:firstLineChars="200"/>
              <w:rPr>
                <w:rFonts w:ascii="宋体" w:hAnsi="宋体"/>
                <w:b/>
                <w:bCs/>
                <w:color w:val="auto"/>
                <w:sz w:val="24"/>
                <w:highlight w:val="none"/>
              </w:rPr>
            </w:pPr>
          </w:p>
        </w:tc>
        <w:tc>
          <w:tcPr>
            <w:tcW w:w="1119" w:type="dxa"/>
          </w:tcPr>
          <w:p w14:paraId="31C37543">
            <w:pPr>
              <w:tabs>
                <w:tab w:val="left" w:pos="993"/>
              </w:tabs>
              <w:spacing w:line="360" w:lineRule="auto"/>
              <w:ind w:firstLine="482" w:firstLineChars="200"/>
              <w:rPr>
                <w:rFonts w:ascii="宋体" w:hAnsi="宋体"/>
                <w:b/>
                <w:bCs/>
                <w:color w:val="auto"/>
                <w:sz w:val="24"/>
                <w:highlight w:val="none"/>
              </w:rPr>
            </w:pPr>
          </w:p>
        </w:tc>
        <w:tc>
          <w:tcPr>
            <w:tcW w:w="1888" w:type="dxa"/>
          </w:tcPr>
          <w:p w14:paraId="327656CB">
            <w:pPr>
              <w:tabs>
                <w:tab w:val="left" w:pos="993"/>
              </w:tabs>
              <w:spacing w:line="360" w:lineRule="auto"/>
              <w:ind w:firstLine="482" w:firstLineChars="200"/>
              <w:rPr>
                <w:rFonts w:ascii="宋体" w:hAnsi="宋体"/>
                <w:b/>
                <w:bCs/>
                <w:color w:val="auto"/>
                <w:sz w:val="24"/>
                <w:highlight w:val="none"/>
              </w:rPr>
            </w:pPr>
          </w:p>
        </w:tc>
        <w:tc>
          <w:tcPr>
            <w:tcW w:w="1119" w:type="dxa"/>
          </w:tcPr>
          <w:p w14:paraId="00EC8038">
            <w:pPr>
              <w:tabs>
                <w:tab w:val="left" w:pos="993"/>
              </w:tabs>
              <w:spacing w:line="360" w:lineRule="auto"/>
              <w:ind w:firstLine="482" w:firstLineChars="200"/>
              <w:rPr>
                <w:rFonts w:ascii="宋体" w:hAnsi="宋体"/>
                <w:b/>
                <w:bCs/>
                <w:color w:val="auto"/>
                <w:sz w:val="24"/>
                <w:highlight w:val="none"/>
              </w:rPr>
            </w:pPr>
          </w:p>
        </w:tc>
        <w:tc>
          <w:tcPr>
            <w:tcW w:w="1119" w:type="dxa"/>
          </w:tcPr>
          <w:p w14:paraId="0BFF88FD">
            <w:pPr>
              <w:tabs>
                <w:tab w:val="left" w:pos="993"/>
              </w:tabs>
              <w:spacing w:line="360" w:lineRule="auto"/>
              <w:ind w:firstLine="482" w:firstLineChars="200"/>
              <w:rPr>
                <w:rFonts w:ascii="宋体" w:hAnsi="宋体"/>
                <w:b/>
                <w:bCs/>
                <w:color w:val="auto"/>
                <w:sz w:val="24"/>
                <w:highlight w:val="none"/>
              </w:rPr>
            </w:pPr>
          </w:p>
        </w:tc>
        <w:tc>
          <w:tcPr>
            <w:tcW w:w="1119" w:type="dxa"/>
          </w:tcPr>
          <w:p w14:paraId="6536FE91">
            <w:pPr>
              <w:tabs>
                <w:tab w:val="left" w:pos="993"/>
              </w:tabs>
              <w:spacing w:line="360" w:lineRule="auto"/>
              <w:ind w:firstLine="482" w:firstLineChars="200"/>
              <w:rPr>
                <w:rFonts w:ascii="宋体" w:hAnsi="宋体"/>
                <w:b/>
                <w:bCs/>
                <w:color w:val="auto"/>
                <w:sz w:val="24"/>
                <w:highlight w:val="none"/>
              </w:rPr>
            </w:pPr>
          </w:p>
        </w:tc>
        <w:tc>
          <w:tcPr>
            <w:tcW w:w="1119" w:type="dxa"/>
          </w:tcPr>
          <w:p w14:paraId="09D0EFE9">
            <w:pPr>
              <w:tabs>
                <w:tab w:val="left" w:pos="993"/>
              </w:tabs>
              <w:spacing w:line="360" w:lineRule="auto"/>
              <w:ind w:firstLine="482" w:firstLineChars="200"/>
              <w:rPr>
                <w:rFonts w:ascii="宋体" w:hAnsi="宋体"/>
                <w:b/>
                <w:bCs/>
                <w:color w:val="auto"/>
                <w:sz w:val="24"/>
                <w:highlight w:val="none"/>
              </w:rPr>
            </w:pPr>
          </w:p>
        </w:tc>
      </w:tr>
      <w:tr w14:paraId="46C9E078">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trPr>
        <w:tc>
          <w:tcPr>
            <w:tcW w:w="1120" w:type="dxa"/>
          </w:tcPr>
          <w:p w14:paraId="54281A3C">
            <w:pPr>
              <w:tabs>
                <w:tab w:val="left" w:pos="993"/>
              </w:tabs>
              <w:spacing w:line="360" w:lineRule="auto"/>
              <w:ind w:firstLine="482" w:firstLineChars="200"/>
              <w:rPr>
                <w:rFonts w:ascii="宋体" w:hAnsi="宋体"/>
                <w:b/>
                <w:bCs/>
                <w:color w:val="auto"/>
                <w:sz w:val="24"/>
                <w:highlight w:val="none"/>
              </w:rPr>
            </w:pPr>
          </w:p>
        </w:tc>
        <w:tc>
          <w:tcPr>
            <w:tcW w:w="1119" w:type="dxa"/>
          </w:tcPr>
          <w:p w14:paraId="21834704">
            <w:pPr>
              <w:tabs>
                <w:tab w:val="left" w:pos="993"/>
              </w:tabs>
              <w:spacing w:line="360" w:lineRule="auto"/>
              <w:ind w:firstLine="482" w:firstLineChars="200"/>
              <w:rPr>
                <w:rFonts w:ascii="宋体" w:hAnsi="宋体"/>
                <w:b/>
                <w:bCs/>
                <w:color w:val="auto"/>
                <w:sz w:val="24"/>
                <w:highlight w:val="none"/>
              </w:rPr>
            </w:pPr>
          </w:p>
        </w:tc>
        <w:tc>
          <w:tcPr>
            <w:tcW w:w="1119" w:type="dxa"/>
          </w:tcPr>
          <w:p w14:paraId="4448286A">
            <w:pPr>
              <w:tabs>
                <w:tab w:val="left" w:pos="993"/>
              </w:tabs>
              <w:spacing w:line="360" w:lineRule="auto"/>
              <w:ind w:firstLine="482" w:firstLineChars="200"/>
              <w:rPr>
                <w:rFonts w:ascii="宋体" w:hAnsi="宋体"/>
                <w:b/>
                <w:bCs/>
                <w:color w:val="auto"/>
                <w:sz w:val="24"/>
                <w:highlight w:val="none"/>
              </w:rPr>
            </w:pPr>
          </w:p>
        </w:tc>
        <w:tc>
          <w:tcPr>
            <w:tcW w:w="1888" w:type="dxa"/>
          </w:tcPr>
          <w:p w14:paraId="1F433AAF">
            <w:pPr>
              <w:tabs>
                <w:tab w:val="left" w:pos="993"/>
              </w:tabs>
              <w:spacing w:line="360" w:lineRule="auto"/>
              <w:ind w:firstLine="482" w:firstLineChars="200"/>
              <w:rPr>
                <w:rFonts w:ascii="宋体" w:hAnsi="宋体"/>
                <w:b/>
                <w:bCs/>
                <w:color w:val="auto"/>
                <w:sz w:val="24"/>
                <w:highlight w:val="none"/>
              </w:rPr>
            </w:pPr>
          </w:p>
        </w:tc>
        <w:tc>
          <w:tcPr>
            <w:tcW w:w="1119" w:type="dxa"/>
          </w:tcPr>
          <w:p w14:paraId="712F0CAF">
            <w:pPr>
              <w:tabs>
                <w:tab w:val="left" w:pos="993"/>
              </w:tabs>
              <w:spacing w:line="360" w:lineRule="auto"/>
              <w:ind w:firstLine="482" w:firstLineChars="200"/>
              <w:rPr>
                <w:rFonts w:ascii="宋体" w:hAnsi="宋体"/>
                <w:b/>
                <w:bCs/>
                <w:color w:val="auto"/>
                <w:sz w:val="24"/>
                <w:highlight w:val="none"/>
              </w:rPr>
            </w:pPr>
          </w:p>
        </w:tc>
        <w:tc>
          <w:tcPr>
            <w:tcW w:w="1119" w:type="dxa"/>
          </w:tcPr>
          <w:p w14:paraId="35068FDC">
            <w:pPr>
              <w:tabs>
                <w:tab w:val="left" w:pos="993"/>
              </w:tabs>
              <w:spacing w:line="360" w:lineRule="auto"/>
              <w:ind w:firstLine="482" w:firstLineChars="200"/>
              <w:rPr>
                <w:rFonts w:ascii="宋体" w:hAnsi="宋体"/>
                <w:b/>
                <w:bCs/>
                <w:color w:val="auto"/>
                <w:sz w:val="24"/>
                <w:highlight w:val="none"/>
              </w:rPr>
            </w:pPr>
          </w:p>
        </w:tc>
        <w:tc>
          <w:tcPr>
            <w:tcW w:w="1119" w:type="dxa"/>
          </w:tcPr>
          <w:p w14:paraId="57C9AF2E">
            <w:pPr>
              <w:tabs>
                <w:tab w:val="left" w:pos="993"/>
              </w:tabs>
              <w:spacing w:line="360" w:lineRule="auto"/>
              <w:ind w:firstLine="482" w:firstLineChars="200"/>
              <w:rPr>
                <w:rFonts w:ascii="宋体" w:hAnsi="宋体"/>
                <w:b/>
                <w:bCs/>
                <w:color w:val="auto"/>
                <w:sz w:val="24"/>
                <w:highlight w:val="none"/>
              </w:rPr>
            </w:pPr>
          </w:p>
        </w:tc>
        <w:tc>
          <w:tcPr>
            <w:tcW w:w="1119" w:type="dxa"/>
          </w:tcPr>
          <w:p w14:paraId="6F5263C1">
            <w:pPr>
              <w:tabs>
                <w:tab w:val="left" w:pos="993"/>
              </w:tabs>
              <w:spacing w:line="360" w:lineRule="auto"/>
              <w:ind w:firstLine="482" w:firstLineChars="200"/>
              <w:rPr>
                <w:rFonts w:ascii="宋体" w:hAnsi="宋体"/>
                <w:b/>
                <w:bCs/>
                <w:color w:val="auto"/>
                <w:sz w:val="24"/>
                <w:highlight w:val="none"/>
              </w:rPr>
            </w:pPr>
          </w:p>
        </w:tc>
      </w:tr>
      <w:tr w14:paraId="31146F55">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682" w:hRule="atLeast"/>
        </w:trPr>
        <w:tc>
          <w:tcPr>
            <w:tcW w:w="1120" w:type="dxa"/>
          </w:tcPr>
          <w:p w14:paraId="49B53116">
            <w:pPr>
              <w:tabs>
                <w:tab w:val="left" w:pos="993"/>
              </w:tabs>
              <w:spacing w:line="360" w:lineRule="auto"/>
              <w:ind w:firstLine="482" w:firstLineChars="200"/>
              <w:rPr>
                <w:rFonts w:ascii="宋体" w:hAnsi="宋体"/>
                <w:b/>
                <w:bCs/>
                <w:color w:val="auto"/>
                <w:sz w:val="24"/>
                <w:highlight w:val="none"/>
              </w:rPr>
            </w:pPr>
          </w:p>
        </w:tc>
        <w:tc>
          <w:tcPr>
            <w:tcW w:w="1119" w:type="dxa"/>
          </w:tcPr>
          <w:p w14:paraId="4728FC7F">
            <w:pPr>
              <w:tabs>
                <w:tab w:val="left" w:pos="993"/>
              </w:tabs>
              <w:spacing w:line="360" w:lineRule="auto"/>
              <w:ind w:firstLine="482" w:firstLineChars="200"/>
              <w:rPr>
                <w:rFonts w:ascii="宋体" w:hAnsi="宋体"/>
                <w:b/>
                <w:bCs/>
                <w:color w:val="auto"/>
                <w:sz w:val="24"/>
                <w:highlight w:val="none"/>
              </w:rPr>
            </w:pPr>
          </w:p>
        </w:tc>
        <w:tc>
          <w:tcPr>
            <w:tcW w:w="1119" w:type="dxa"/>
          </w:tcPr>
          <w:p w14:paraId="0A6B765F">
            <w:pPr>
              <w:tabs>
                <w:tab w:val="left" w:pos="993"/>
              </w:tabs>
              <w:spacing w:line="360" w:lineRule="auto"/>
              <w:ind w:firstLine="482" w:firstLineChars="200"/>
              <w:rPr>
                <w:rFonts w:ascii="宋体" w:hAnsi="宋体"/>
                <w:b/>
                <w:bCs/>
                <w:color w:val="auto"/>
                <w:sz w:val="24"/>
                <w:highlight w:val="none"/>
              </w:rPr>
            </w:pPr>
          </w:p>
        </w:tc>
        <w:tc>
          <w:tcPr>
            <w:tcW w:w="1888" w:type="dxa"/>
          </w:tcPr>
          <w:p w14:paraId="57A8D302">
            <w:pPr>
              <w:tabs>
                <w:tab w:val="left" w:pos="993"/>
              </w:tabs>
              <w:spacing w:line="360" w:lineRule="auto"/>
              <w:ind w:firstLine="482" w:firstLineChars="200"/>
              <w:rPr>
                <w:rFonts w:ascii="宋体" w:hAnsi="宋体"/>
                <w:b/>
                <w:bCs/>
                <w:color w:val="auto"/>
                <w:sz w:val="24"/>
                <w:highlight w:val="none"/>
              </w:rPr>
            </w:pPr>
          </w:p>
        </w:tc>
        <w:tc>
          <w:tcPr>
            <w:tcW w:w="1119" w:type="dxa"/>
          </w:tcPr>
          <w:p w14:paraId="02B3CBEC">
            <w:pPr>
              <w:tabs>
                <w:tab w:val="left" w:pos="993"/>
              </w:tabs>
              <w:spacing w:line="360" w:lineRule="auto"/>
              <w:ind w:firstLine="482" w:firstLineChars="200"/>
              <w:rPr>
                <w:rFonts w:ascii="宋体" w:hAnsi="宋体"/>
                <w:b/>
                <w:bCs/>
                <w:color w:val="auto"/>
                <w:sz w:val="24"/>
                <w:highlight w:val="none"/>
              </w:rPr>
            </w:pPr>
          </w:p>
        </w:tc>
        <w:tc>
          <w:tcPr>
            <w:tcW w:w="1119" w:type="dxa"/>
          </w:tcPr>
          <w:p w14:paraId="46A2C831">
            <w:pPr>
              <w:tabs>
                <w:tab w:val="left" w:pos="993"/>
              </w:tabs>
              <w:spacing w:line="360" w:lineRule="auto"/>
              <w:ind w:firstLine="482" w:firstLineChars="200"/>
              <w:rPr>
                <w:rFonts w:ascii="宋体" w:hAnsi="宋体"/>
                <w:b/>
                <w:bCs/>
                <w:color w:val="auto"/>
                <w:sz w:val="24"/>
                <w:highlight w:val="none"/>
              </w:rPr>
            </w:pPr>
          </w:p>
        </w:tc>
        <w:tc>
          <w:tcPr>
            <w:tcW w:w="1119" w:type="dxa"/>
          </w:tcPr>
          <w:p w14:paraId="6DE6E720">
            <w:pPr>
              <w:tabs>
                <w:tab w:val="left" w:pos="993"/>
              </w:tabs>
              <w:spacing w:line="360" w:lineRule="auto"/>
              <w:ind w:firstLine="482" w:firstLineChars="200"/>
              <w:rPr>
                <w:rFonts w:ascii="宋体" w:hAnsi="宋体"/>
                <w:b/>
                <w:bCs/>
                <w:color w:val="auto"/>
                <w:sz w:val="24"/>
                <w:highlight w:val="none"/>
              </w:rPr>
            </w:pPr>
          </w:p>
        </w:tc>
        <w:tc>
          <w:tcPr>
            <w:tcW w:w="1119" w:type="dxa"/>
          </w:tcPr>
          <w:p w14:paraId="4E3DB9F9">
            <w:pPr>
              <w:tabs>
                <w:tab w:val="left" w:pos="993"/>
              </w:tabs>
              <w:spacing w:line="360" w:lineRule="auto"/>
              <w:ind w:firstLine="482" w:firstLineChars="200"/>
              <w:rPr>
                <w:rFonts w:ascii="宋体" w:hAnsi="宋体"/>
                <w:b/>
                <w:bCs/>
                <w:color w:val="auto"/>
                <w:sz w:val="24"/>
                <w:highlight w:val="none"/>
              </w:rPr>
            </w:pPr>
          </w:p>
        </w:tc>
      </w:tr>
      <w:tr w14:paraId="2FBE8A8D">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4" w:hRule="atLeast"/>
        </w:trPr>
        <w:tc>
          <w:tcPr>
            <w:tcW w:w="1120" w:type="dxa"/>
          </w:tcPr>
          <w:p w14:paraId="77FFDC9A">
            <w:pPr>
              <w:tabs>
                <w:tab w:val="left" w:pos="993"/>
              </w:tabs>
              <w:spacing w:line="360" w:lineRule="auto"/>
              <w:ind w:firstLine="482" w:firstLineChars="200"/>
              <w:rPr>
                <w:rFonts w:ascii="宋体" w:hAnsi="宋体"/>
                <w:b/>
                <w:bCs/>
                <w:color w:val="auto"/>
                <w:sz w:val="24"/>
                <w:highlight w:val="none"/>
              </w:rPr>
            </w:pPr>
          </w:p>
        </w:tc>
        <w:tc>
          <w:tcPr>
            <w:tcW w:w="1119" w:type="dxa"/>
          </w:tcPr>
          <w:p w14:paraId="2DBF0026">
            <w:pPr>
              <w:tabs>
                <w:tab w:val="left" w:pos="993"/>
              </w:tabs>
              <w:spacing w:line="360" w:lineRule="auto"/>
              <w:ind w:firstLine="482" w:firstLineChars="200"/>
              <w:rPr>
                <w:rFonts w:ascii="宋体" w:hAnsi="宋体"/>
                <w:b/>
                <w:bCs/>
                <w:color w:val="auto"/>
                <w:sz w:val="24"/>
                <w:highlight w:val="none"/>
              </w:rPr>
            </w:pPr>
          </w:p>
        </w:tc>
        <w:tc>
          <w:tcPr>
            <w:tcW w:w="1119" w:type="dxa"/>
          </w:tcPr>
          <w:p w14:paraId="1375838E">
            <w:pPr>
              <w:tabs>
                <w:tab w:val="left" w:pos="993"/>
              </w:tabs>
              <w:spacing w:line="360" w:lineRule="auto"/>
              <w:ind w:firstLine="482" w:firstLineChars="200"/>
              <w:rPr>
                <w:rFonts w:ascii="宋体" w:hAnsi="宋体"/>
                <w:b/>
                <w:bCs/>
                <w:color w:val="auto"/>
                <w:sz w:val="24"/>
                <w:highlight w:val="none"/>
              </w:rPr>
            </w:pPr>
          </w:p>
        </w:tc>
        <w:tc>
          <w:tcPr>
            <w:tcW w:w="1888" w:type="dxa"/>
          </w:tcPr>
          <w:p w14:paraId="1E449895">
            <w:pPr>
              <w:tabs>
                <w:tab w:val="left" w:pos="993"/>
              </w:tabs>
              <w:spacing w:line="360" w:lineRule="auto"/>
              <w:ind w:firstLine="482" w:firstLineChars="200"/>
              <w:rPr>
                <w:rFonts w:ascii="宋体" w:hAnsi="宋体"/>
                <w:b/>
                <w:bCs/>
                <w:color w:val="auto"/>
                <w:sz w:val="24"/>
                <w:highlight w:val="none"/>
              </w:rPr>
            </w:pPr>
          </w:p>
        </w:tc>
        <w:tc>
          <w:tcPr>
            <w:tcW w:w="1119" w:type="dxa"/>
          </w:tcPr>
          <w:p w14:paraId="489E563C">
            <w:pPr>
              <w:tabs>
                <w:tab w:val="left" w:pos="993"/>
              </w:tabs>
              <w:spacing w:line="360" w:lineRule="auto"/>
              <w:ind w:firstLine="482" w:firstLineChars="200"/>
              <w:rPr>
                <w:rFonts w:ascii="宋体" w:hAnsi="宋体"/>
                <w:b/>
                <w:bCs/>
                <w:color w:val="auto"/>
                <w:sz w:val="24"/>
                <w:highlight w:val="none"/>
              </w:rPr>
            </w:pPr>
          </w:p>
        </w:tc>
        <w:tc>
          <w:tcPr>
            <w:tcW w:w="1119" w:type="dxa"/>
          </w:tcPr>
          <w:p w14:paraId="7D5F07EC">
            <w:pPr>
              <w:tabs>
                <w:tab w:val="left" w:pos="993"/>
              </w:tabs>
              <w:spacing w:line="360" w:lineRule="auto"/>
              <w:ind w:firstLine="482" w:firstLineChars="200"/>
              <w:rPr>
                <w:rFonts w:ascii="宋体" w:hAnsi="宋体"/>
                <w:b/>
                <w:bCs/>
                <w:color w:val="auto"/>
                <w:sz w:val="24"/>
                <w:highlight w:val="none"/>
              </w:rPr>
            </w:pPr>
          </w:p>
        </w:tc>
        <w:tc>
          <w:tcPr>
            <w:tcW w:w="1119" w:type="dxa"/>
          </w:tcPr>
          <w:p w14:paraId="41BFD78E">
            <w:pPr>
              <w:tabs>
                <w:tab w:val="left" w:pos="993"/>
              </w:tabs>
              <w:spacing w:line="360" w:lineRule="auto"/>
              <w:ind w:firstLine="482" w:firstLineChars="200"/>
              <w:rPr>
                <w:rFonts w:ascii="宋体" w:hAnsi="宋体"/>
                <w:b/>
                <w:bCs/>
                <w:color w:val="auto"/>
                <w:sz w:val="24"/>
                <w:highlight w:val="none"/>
              </w:rPr>
            </w:pPr>
          </w:p>
        </w:tc>
        <w:tc>
          <w:tcPr>
            <w:tcW w:w="1119" w:type="dxa"/>
          </w:tcPr>
          <w:p w14:paraId="77BD2EEF">
            <w:pPr>
              <w:tabs>
                <w:tab w:val="left" w:pos="993"/>
              </w:tabs>
              <w:spacing w:line="360" w:lineRule="auto"/>
              <w:ind w:firstLine="482" w:firstLineChars="200"/>
              <w:rPr>
                <w:rFonts w:ascii="宋体" w:hAnsi="宋体"/>
                <w:b/>
                <w:bCs/>
                <w:color w:val="auto"/>
                <w:sz w:val="24"/>
                <w:highlight w:val="none"/>
              </w:rPr>
            </w:pPr>
          </w:p>
        </w:tc>
      </w:tr>
      <w:tr w14:paraId="05F3C10A">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4" w:hRule="atLeast"/>
        </w:trPr>
        <w:tc>
          <w:tcPr>
            <w:tcW w:w="1120" w:type="dxa"/>
          </w:tcPr>
          <w:p w14:paraId="3BD60349">
            <w:pPr>
              <w:tabs>
                <w:tab w:val="left" w:pos="993"/>
              </w:tabs>
              <w:spacing w:line="360" w:lineRule="auto"/>
              <w:ind w:firstLine="482" w:firstLineChars="200"/>
              <w:rPr>
                <w:rFonts w:ascii="宋体" w:hAnsi="宋体"/>
                <w:b/>
                <w:bCs/>
                <w:color w:val="auto"/>
                <w:sz w:val="24"/>
                <w:highlight w:val="none"/>
              </w:rPr>
            </w:pPr>
          </w:p>
        </w:tc>
        <w:tc>
          <w:tcPr>
            <w:tcW w:w="1119" w:type="dxa"/>
          </w:tcPr>
          <w:p w14:paraId="1C48ECFA">
            <w:pPr>
              <w:tabs>
                <w:tab w:val="left" w:pos="993"/>
              </w:tabs>
              <w:spacing w:line="360" w:lineRule="auto"/>
              <w:ind w:firstLine="482" w:firstLineChars="200"/>
              <w:rPr>
                <w:rFonts w:ascii="宋体" w:hAnsi="宋体"/>
                <w:b/>
                <w:bCs/>
                <w:color w:val="auto"/>
                <w:sz w:val="24"/>
                <w:highlight w:val="none"/>
              </w:rPr>
            </w:pPr>
          </w:p>
        </w:tc>
        <w:tc>
          <w:tcPr>
            <w:tcW w:w="1119" w:type="dxa"/>
          </w:tcPr>
          <w:p w14:paraId="34B7E40D">
            <w:pPr>
              <w:tabs>
                <w:tab w:val="left" w:pos="993"/>
              </w:tabs>
              <w:spacing w:line="360" w:lineRule="auto"/>
              <w:ind w:firstLine="482" w:firstLineChars="200"/>
              <w:rPr>
                <w:rFonts w:ascii="宋体" w:hAnsi="宋体"/>
                <w:b/>
                <w:bCs/>
                <w:color w:val="auto"/>
                <w:sz w:val="24"/>
                <w:highlight w:val="none"/>
              </w:rPr>
            </w:pPr>
          </w:p>
        </w:tc>
        <w:tc>
          <w:tcPr>
            <w:tcW w:w="1888" w:type="dxa"/>
          </w:tcPr>
          <w:p w14:paraId="0DB4872A">
            <w:pPr>
              <w:tabs>
                <w:tab w:val="left" w:pos="993"/>
              </w:tabs>
              <w:spacing w:line="360" w:lineRule="auto"/>
              <w:ind w:firstLine="482" w:firstLineChars="200"/>
              <w:rPr>
                <w:rFonts w:ascii="宋体" w:hAnsi="宋体"/>
                <w:b/>
                <w:bCs/>
                <w:color w:val="auto"/>
                <w:sz w:val="24"/>
                <w:highlight w:val="none"/>
              </w:rPr>
            </w:pPr>
          </w:p>
        </w:tc>
        <w:tc>
          <w:tcPr>
            <w:tcW w:w="1119" w:type="dxa"/>
          </w:tcPr>
          <w:p w14:paraId="61B211D3">
            <w:pPr>
              <w:tabs>
                <w:tab w:val="left" w:pos="993"/>
              </w:tabs>
              <w:spacing w:line="360" w:lineRule="auto"/>
              <w:ind w:firstLine="482" w:firstLineChars="200"/>
              <w:rPr>
                <w:rFonts w:ascii="宋体" w:hAnsi="宋体"/>
                <w:b/>
                <w:bCs/>
                <w:color w:val="auto"/>
                <w:sz w:val="24"/>
                <w:highlight w:val="none"/>
              </w:rPr>
            </w:pPr>
          </w:p>
        </w:tc>
        <w:tc>
          <w:tcPr>
            <w:tcW w:w="1119" w:type="dxa"/>
          </w:tcPr>
          <w:p w14:paraId="0762B501">
            <w:pPr>
              <w:tabs>
                <w:tab w:val="left" w:pos="993"/>
              </w:tabs>
              <w:spacing w:line="360" w:lineRule="auto"/>
              <w:ind w:firstLine="482" w:firstLineChars="200"/>
              <w:rPr>
                <w:rFonts w:ascii="宋体" w:hAnsi="宋体"/>
                <w:b/>
                <w:bCs/>
                <w:color w:val="auto"/>
                <w:sz w:val="24"/>
                <w:highlight w:val="none"/>
              </w:rPr>
            </w:pPr>
          </w:p>
        </w:tc>
        <w:tc>
          <w:tcPr>
            <w:tcW w:w="1119" w:type="dxa"/>
          </w:tcPr>
          <w:p w14:paraId="70C6A9AC">
            <w:pPr>
              <w:tabs>
                <w:tab w:val="left" w:pos="993"/>
              </w:tabs>
              <w:spacing w:line="360" w:lineRule="auto"/>
              <w:ind w:firstLine="482" w:firstLineChars="200"/>
              <w:rPr>
                <w:rFonts w:ascii="宋体" w:hAnsi="宋体"/>
                <w:b/>
                <w:bCs/>
                <w:color w:val="auto"/>
                <w:sz w:val="24"/>
                <w:highlight w:val="none"/>
              </w:rPr>
            </w:pPr>
          </w:p>
        </w:tc>
        <w:tc>
          <w:tcPr>
            <w:tcW w:w="1119" w:type="dxa"/>
          </w:tcPr>
          <w:p w14:paraId="1068222D">
            <w:pPr>
              <w:tabs>
                <w:tab w:val="left" w:pos="993"/>
              </w:tabs>
              <w:spacing w:line="360" w:lineRule="auto"/>
              <w:ind w:firstLine="482" w:firstLineChars="200"/>
              <w:rPr>
                <w:rFonts w:ascii="宋体" w:hAnsi="宋体"/>
                <w:b/>
                <w:bCs/>
                <w:color w:val="auto"/>
                <w:sz w:val="24"/>
                <w:highlight w:val="none"/>
              </w:rPr>
            </w:pPr>
          </w:p>
        </w:tc>
      </w:tr>
      <w:tr w14:paraId="41F0DE66">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4" w:hRule="atLeast"/>
        </w:trPr>
        <w:tc>
          <w:tcPr>
            <w:tcW w:w="1120" w:type="dxa"/>
          </w:tcPr>
          <w:p w14:paraId="734141F2">
            <w:pPr>
              <w:tabs>
                <w:tab w:val="left" w:pos="993"/>
              </w:tabs>
              <w:spacing w:line="360" w:lineRule="auto"/>
              <w:ind w:firstLine="482" w:firstLineChars="200"/>
              <w:rPr>
                <w:rFonts w:ascii="宋体" w:hAnsi="宋体"/>
                <w:b/>
                <w:bCs/>
                <w:color w:val="auto"/>
                <w:sz w:val="24"/>
                <w:highlight w:val="none"/>
              </w:rPr>
            </w:pPr>
          </w:p>
        </w:tc>
        <w:tc>
          <w:tcPr>
            <w:tcW w:w="1119" w:type="dxa"/>
          </w:tcPr>
          <w:p w14:paraId="298BCC4A">
            <w:pPr>
              <w:tabs>
                <w:tab w:val="left" w:pos="993"/>
              </w:tabs>
              <w:spacing w:line="360" w:lineRule="auto"/>
              <w:ind w:firstLine="482" w:firstLineChars="200"/>
              <w:rPr>
                <w:rFonts w:ascii="宋体" w:hAnsi="宋体"/>
                <w:b/>
                <w:bCs/>
                <w:color w:val="auto"/>
                <w:sz w:val="24"/>
                <w:highlight w:val="none"/>
              </w:rPr>
            </w:pPr>
          </w:p>
        </w:tc>
        <w:tc>
          <w:tcPr>
            <w:tcW w:w="1119" w:type="dxa"/>
          </w:tcPr>
          <w:p w14:paraId="7328F198">
            <w:pPr>
              <w:tabs>
                <w:tab w:val="left" w:pos="993"/>
              </w:tabs>
              <w:spacing w:line="360" w:lineRule="auto"/>
              <w:ind w:firstLine="482" w:firstLineChars="200"/>
              <w:rPr>
                <w:rFonts w:ascii="宋体" w:hAnsi="宋体"/>
                <w:b/>
                <w:bCs/>
                <w:color w:val="auto"/>
                <w:sz w:val="24"/>
                <w:highlight w:val="none"/>
              </w:rPr>
            </w:pPr>
          </w:p>
        </w:tc>
        <w:tc>
          <w:tcPr>
            <w:tcW w:w="1888" w:type="dxa"/>
          </w:tcPr>
          <w:p w14:paraId="04C955B3">
            <w:pPr>
              <w:tabs>
                <w:tab w:val="left" w:pos="993"/>
              </w:tabs>
              <w:spacing w:line="360" w:lineRule="auto"/>
              <w:ind w:firstLine="482" w:firstLineChars="200"/>
              <w:rPr>
                <w:rFonts w:ascii="宋体" w:hAnsi="宋体"/>
                <w:b/>
                <w:bCs/>
                <w:color w:val="auto"/>
                <w:sz w:val="24"/>
                <w:highlight w:val="none"/>
              </w:rPr>
            </w:pPr>
          </w:p>
        </w:tc>
        <w:tc>
          <w:tcPr>
            <w:tcW w:w="1119" w:type="dxa"/>
          </w:tcPr>
          <w:p w14:paraId="3AE962B5">
            <w:pPr>
              <w:tabs>
                <w:tab w:val="left" w:pos="993"/>
              </w:tabs>
              <w:spacing w:line="360" w:lineRule="auto"/>
              <w:ind w:firstLine="482" w:firstLineChars="200"/>
              <w:rPr>
                <w:rFonts w:ascii="宋体" w:hAnsi="宋体"/>
                <w:b/>
                <w:bCs/>
                <w:color w:val="auto"/>
                <w:sz w:val="24"/>
                <w:highlight w:val="none"/>
              </w:rPr>
            </w:pPr>
          </w:p>
        </w:tc>
        <w:tc>
          <w:tcPr>
            <w:tcW w:w="1119" w:type="dxa"/>
          </w:tcPr>
          <w:p w14:paraId="267C99D0">
            <w:pPr>
              <w:tabs>
                <w:tab w:val="left" w:pos="993"/>
              </w:tabs>
              <w:spacing w:line="360" w:lineRule="auto"/>
              <w:ind w:firstLine="482" w:firstLineChars="200"/>
              <w:rPr>
                <w:rFonts w:ascii="宋体" w:hAnsi="宋体"/>
                <w:b/>
                <w:bCs/>
                <w:color w:val="auto"/>
                <w:sz w:val="24"/>
                <w:highlight w:val="none"/>
              </w:rPr>
            </w:pPr>
          </w:p>
        </w:tc>
        <w:tc>
          <w:tcPr>
            <w:tcW w:w="1119" w:type="dxa"/>
          </w:tcPr>
          <w:p w14:paraId="15259529">
            <w:pPr>
              <w:tabs>
                <w:tab w:val="left" w:pos="993"/>
              </w:tabs>
              <w:spacing w:line="360" w:lineRule="auto"/>
              <w:ind w:firstLine="482" w:firstLineChars="200"/>
              <w:rPr>
                <w:rFonts w:ascii="宋体" w:hAnsi="宋体"/>
                <w:b/>
                <w:bCs/>
                <w:color w:val="auto"/>
                <w:sz w:val="24"/>
                <w:highlight w:val="none"/>
              </w:rPr>
            </w:pPr>
          </w:p>
        </w:tc>
        <w:tc>
          <w:tcPr>
            <w:tcW w:w="1119" w:type="dxa"/>
          </w:tcPr>
          <w:p w14:paraId="5DD7FC24">
            <w:pPr>
              <w:tabs>
                <w:tab w:val="left" w:pos="993"/>
              </w:tabs>
              <w:spacing w:line="360" w:lineRule="auto"/>
              <w:ind w:firstLine="482" w:firstLineChars="200"/>
              <w:rPr>
                <w:rFonts w:ascii="宋体" w:hAnsi="宋体"/>
                <w:b/>
                <w:bCs/>
                <w:color w:val="auto"/>
                <w:sz w:val="24"/>
                <w:highlight w:val="none"/>
              </w:rPr>
            </w:pPr>
          </w:p>
        </w:tc>
      </w:tr>
      <w:tr w14:paraId="065FFD2E">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4" w:hRule="atLeast"/>
        </w:trPr>
        <w:tc>
          <w:tcPr>
            <w:tcW w:w="1120" w:type="dxa"/>
          </w:tcPr>
          <w:p w14:paraId="5090C96B">
            <w:pPr>
              <w:tabs>
                <w:tab w:val="left" w:pos="993"/>
              </w:tabs>
              <w:spacing w:line="360" w:lineRule="auto"/>
              <w:ind w:firstLine="482" w:firstLineChars="200"/>
              <w:rPr>
                <w:rFonts w:ascii="宋体" w:hAnsi="宋体"/>
                <w:b/>
                <w:bCs/>
                <w:color w:val="auto"/>
                <w:sz w:val="24"/>
                <w:highlight w:val="none"/>
              </w:rPr>
            </w:pPr>
          </w:p>
        </w:tc>
        <w:tc>
          <w:tcPr>
            <w:tcW w:w="1119" w:type="dxa"/>
          </w:tcPr>
          <w:p w14:paraId="5D8BE9F5">
            <w:pPr>
              <w:tabs>
                <w:tab w:val="left" w:pos="993"/>
              </w:tabs>
              <w:spacing w:line="360" w:lineRule="auto"/>
              <w:ind w:firstLine="482" w:firstLineChars="200"/>
              <w:rPr>
                <w:rFonts w:ascii="宋体" w:hAnsi="宋体"/>
                <w:b/>
                <w:bCs/>
                <w:color w:val="auto"/>
                <w:sz w:val="24"/>
                <w:highlight w:val="none"/>
              </w:rPr>
            </w:pPr>
          </w:p>
        </w:tc>
        <w:tc>
          <w:tcPr>
            <w:tcW w:w="1119" w:type="dxa"/>
          </w:tcPr>
          <w:p w14:paraId="5B9B3EE8">
            <w:pPr>
              <w:tabs>
                <w:tab w:val="left" w:pos="993"/>
              </w:tabs>
              <w:spacing w:line="360" w:lineRule="auto"/>
              <w:ind w:firstLine="482" w:firstLineChars="200"/>
              <w:rPr>
                <w:rFonts w:ascii="宋体" w:hAnsi="宋体"/>
                <w:b/>
                <w:bCs/>
                <w:color w:val="auto"/>
                <w:sz w:val="24"/>
                <w:highlight w:val="none"/>
              </w:rPr>
            </w:pPr>
          </w:p>
        </w:tc>
        <w:tc>
          <w:tcPr>
            <w:tcW w:w="1888" w:type="dxa"/>
          </w:tcPr>
          <w:p w14:paraId="6DC9417D">
            <w:pPr>
              <w:tabs>
                <w:tab w:val="left" w:pos="993"/>
              </w:tabs>
              <w:spacing w:line="360" w:lineRule="auto"/>
              <w:ind w:firstLine="482" w:firstLineChars="200"/>
              <w:rPr>
                <w:rFonts w:ascii="宋体" w:hAnsi="宋体"/>
                <w:b/>
                <w:bCs/>
                <w:color w:val="auto"/>
                <w:sz w:val="24"/>
                <w:highlight w:val="none"/>
              </w:rPr>
            </w:pPr>
          </w:p>
        </w:tc>
        <w:tc>
          <w:tcPr>
            <w:tcW w:w="1119" w:type="dxa"/>
          </w:tcPr>
          <w:p w14:paraId="5CE2583D">
            <w:pPr>
              <w:tabs>
                <w:tab w:val="left" w:pos="993"/>
              </w:tabs>
              <w:spacing w:line="360" w:lineRule="auto"/>
              <w:ind w:firstLine="482" w:firstLineChars="200"/>
              <w:rPr>
                <w:rFonts w:ascii="宋体" w:hAnsi="宋体"/>
                <w:b/>
                <w:bCs/>
                <w:color w:val="auto"/>
                <w:sz w:val="24"/>
                <w:highlight w:val="none"/>
              </w:rPr>
            </w:pPr>
          </w:p>
        </w:tc>
        <w:tc>
          <w:tcPr>
            <w:tcW w:w="1119" w:type="dxa"/>
          </w:tcPr>
          <w:p w14:paraId="725FF180">
            <w:pPr>
              <w:tabs>
                <w:tab w:val="left" w:pos="993"/>
              </w:tabs>
              <w:spacing w:line="360" w:lineRule="auto"/>
              <w:ind w:firstLine="482" w:firstLineChars="200"/>
              <w:rPr>
                <w:rFonts w:ascii="宋体" w:hAnsi="宋体"/>
                <w:b/>
                <w:bCs/>
                <w:color w:val="auto"/>
                <w:sz w:val="24"/>
                <w:highlight w:val="none"/>
              </w:rPr>
            </w:pPr>
          </w:p>
        </w:tc>
        <w:tc>
          <w:tcPr>
            <w:tcW w:w="1119" w:type="dxa"/>
          </w:tcPr>
          <w:p w14:paraId="65C0B76E">
            <w:pPr>
              <w:tabs>
                <w:tab w:val="left" w:pos="993"/>
              </w:tabs>
              <w:spacing w:line="360" w:lineRule="auto"/>
              <w:ind w:firstLine="482" w:firstLineChars="200"/>
              <w:rPr>
                <w:rFonts w:ascii="宋体" w:hAnsi="宋体"/>
                <w:b/>
                <w:bCs/>
                <w:color w:val="auto"/>
                <w:sz w:val="24"/>
                <w:highlight w:val="none"/>
              </w:rPr>
            </w:pPr>
          </w:p>
        </w:tc>
        <w:tc>
          <w:tcPr>
            <w:tcW w:w="1119" w:type="dxa"/>
          </w:tcPr>
          <w:p w14:paraId="2D49E196">
            <w:pPr>
              <w:tabs>
                <w:tab w:val="left" w:pos="993"/>
              </w:tabs>
              <w:spacing w:line="360" w:lineRule="auto"/>
              <w:ind w:firstLine="482" w:firstLineChars="200"/>
              <w:rPr>
                <w:rFonts w:ascii="宋体" w:hAnsi="宋体"/>
                <w:b/>
                <w:bCs/>
                <w:color w:val="auto"/>
                <w:sz w:val="24"/>
                <w:highlight w:val="none"/>
              </w:rPr>
            </w:pPr>
          </w:p>
        </w:tc>
      </w:tr>
      <w:tr w14:paraId="1B28AA47">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4" w:hRule="atLeast"/>
        </w:trPr>
        <w:tc>
          <w:tcPr>
            <w:tcW w:w="1120" w:type="dxa"/>
          </w:tcPr>
          <w:p w14:paraId="2B807E57">
            <w:pPr>
              <w:tabs>
                <w:tab w:val="left" w:pos="993"/>
              </w:tabs>
              <w:spacing w:line="360" w:lineRule="auto"/>
              <w:ind w:firstLine="482" w:firstLineChars="200"/>
              <w:rPr>
                <w:rFonts w:ascii="宋体" w:hAnsi="宋体"/>
                <w:b/>
                <w:bCs/>
                <w:color w:val="auto"/>
                <w:sz w:val="24"/>
                <w:highlight w:val="none"/>
              </w:rPr>
            </w:pPr>
          </w:p>
        </w:tc>
        <w:tc>
          <w:tcPr>
            <w:tcW w:w="1119" w:type="dxa"/>
          </w:tcPr>
          <w:p w14:paraId="7B7BA505">
            <w:pPr>
              <w:tabs>
                <w:tab w:val="left" w:pos="993"/>
              </w:tabs>
              <w:spacing w:line="360" w:lineRule="auto"/>
              <w:ind w:firstLine="482" w:firstLineChars="200"/>
              <w:rPr>
                <w:rFonts w:ascii="宋体" w:hAnsi="宋体"/>
                <w:b/>
                <w:bCs/>
                <w:color w:val="auto"/>
                <w:sz w:val="24"/>
                <w:highlight w:val="none"/>
              </w:rPr>
            </w:pPr>
          </w:p>
        </w:tc>
        <w:tc>
          <w:tcPr>
            <w:tcW w:w="1119" w:type="dxa"/>
          </w:tcPr>
          <w:p w14:paraId="5176B3B7">
            <w:pPr>
              <w:tabs>
                <w:tab w:val="left" w:pos="993"/>
              </w:tabs>
              <w:spacing w:line="360" w:lineRule="auto"/>
              <w:ind w:firstLine="482" w:firstLineChars="200"/>
              <w:rPr>
                <w:rFonts w:ascii="宋体" w:hAnsi="宋体"/>
                <w:b/>
                <w:bCs/>
                <w:color w:val="auto"/>
                <w:sz w:val="24"/>
                <w:highlight w:val="none"/>
              </w:rPr>
            </w:pPr>
          </w:p>
        </w:tc>
        <w:tc>
          <w:tcPr>
            <w:tcW w:w="1888" w:type="dxa"/>
          </w:tcPr>
          <w:p w14:paraId="51D959E8">
            <w:pPr>
              <w:tabs>
                <w:tab w:val="left" w:pos="993"/>
              </w:tabs>
              <w:spacing w:line="360" w:lineRule="auto"/>
              <w:ind w:firstLine="482" w:firstLineChars="200"/>
              <w:rPr>
                <w:rFonts w:ascii="宋体" w:hAnsi="宋体"/>
                <w:b/>
                <w:bCs/>
                <w:color w:val="auto"/>
                <w:sz w:val="24"/>
                <w:highlight w:val="none"/>
              </w:rPr>
            </w:pPr>
          </w:p>
        </w:tc>
        <w:tc>
          <w:tcPr>
            <w:tcW w:w="1119" w:type="dxa"/>
          </w:tcPr>
          <w:p w14:paraId="1A5AFEBD">
            <w:pPr>
              <w:tabs>
                <w:tab w:val="left" w:pos="993"/>
              </w:tabs>
              <w:spacing w:line="360" w:lineRule="auto"/>
              <w:ind w:firstLine="482" w:firstLineChars="200"/>
              <w:rPr>
                <w:rFonts w:ascii="宋体" w:hAnsi="宋体"/>
                <w:b/>
                <w:bCs/>
                <w:color w:val="auto"/>
                <w:sz w:val="24"/>
                <w:highlight w:val="none"/>
              </w:rPr>
            </w:pPr>
          </w:p>
        </w:tc>
        <w:tc>
          <w:tcPr>
            <w:tcW w:w="1119" w:type="dxa"/>
          </w:tcPr>
          <w:p w14:paraId="2FEB49E4">
            <w:pPr>
              <w:tabs>
                <w:tab w:val="left" w:pos="993"/>
              </w:tabs>
              <w:spacing w:line="360" w:lineRule="auto"/>
              <w:ind w:firstLine="482" w:firstLineChars="200"/>
              <w:rPr>
                <w:rFonts w:ascii="宋体" w:hAnsi="宋体"/>
                <w:b/>
                <w:bCs/>
                <w:color w:val="auto"/>
                <w:sz w:val="24"/>
                <w:highlight w:val="none"/>
              </w:rPr>
            </w:pPr>
          </w:p>
        </w:tc>
        <w:tc>
          <w:tcPr>
            <w:tcW w:w="1119" w:type="dxa"/>
          </w:tcPr>
          <w:p w14:paraId="707E7044">
            <w:pPr>
              <w:tabs>
                <w:tab w:val="left" w:pos="993"/>
              </w:tabs>
              <w:spacing w:line="360" w:lineRule="auto"/>
              <w:ind w:firstLine="482" w:firstLineChars="200"/>
              <w:rPr>
                <w:rFonts w:ascii="宋体" w:hAnsi="宋体"/>
                <w:b/>
                <w:bCs/>
                <w:color w:val="auto"/>
                <w:sz w:val="24"/>
                <w:highlight w:val="none"/>
              </w:rPr>
            </w:pPr>
          </w:p>
        </w:tc>
        <w:tc>
          <w:tcPr>
            <w:tcW w:w="1119" w:type="dxa"/>
          </w:tcPr>
          <w:p w14:paraId="3DA5C2A3">
            <w:pPr>
              <w:tabs>
                <w:tab w:val="left" w:pos="993"/>
              </w:tabs>
              <w:spacing w:line="360" w:lineRule="auto"/>
              <w:ind w:firstLine="482" w:firstLineChars="200"/>
              <w:rPr>
                <w:rFonts w:ascii="宋体" w:hAnsi="宋体"/>
                <w:b/>
                <w:bCs/>
                <w:color w:val="auto"/>
                <w:sz w:val="24"/>
                <w:highlight w:val="none"/>
              </w:rPr>
            </w:pPr>
          </w:p>
        </w:tc>
      </w:tr>
      <w:tr w14:paraId="15613423">
        <w:tblPrEx>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CellMar>
            <w:top w:w="0" w:type="dxa"/>
            <w:left w:w="108" w:type="dxa"/>
            <w:bottom w:w="0" w:type="dxa"/>
            <w:right w:w="108" w:type="dxa"/>
          </w:tblCellMar>
        </w:tblPrEx>
        <w:trPr>
          <w:trHeight w:val="704" w:hRule="atLeast"/>
        </w:trPr>
        <w:tc>
          <w:tcPr>
            <w:tcW w:w="1120" w:type="dxa"/>
          </w:tcPr>
          <w:p w14:paraId="02192F14">
            <w:pPr>
              <w:tabs>
                <w:tab w:val="left" w:pos="993"/>
              </w:tabs>
              <w:spacing w:line="360" w:lineRule="auto"/>
              <w:ind w:firstLine="482" w:firstLineChars="200"/>
              <w:rPr>
                <w:rFonts w:ascii="宋体" w:hAnsi="宋体"/>
                <w:b/>
                <w:bCs/>
                <w:color w:val="auto"/>
                <w:sz w:val="24"/>
                <w:highlight w:val="none"/>
              </w:rPr>
            </w:pPr>
          </w:p>
        </w:tc>
        <w:tc>
          <w:tcPr>
            <w:tcW w:w="1119" w:type="dxa"/>
          </w:tcPr>
          <w:p w14:paraId="1B2FB81B">
            <w:pPr>
              <w:tabs>
                <w:tab w:val="left" w:pos="993"/>
              </w:tabs>
              <w:spacing w:line="360" w:lineRule="auto"/>
              <w:ind w:firstLine="482" w:firstLineChars="200"/>
              <w:rPr>
                <w:rFonts w:ascii="宋体" w:hAnsi="宋体"/>
                <w:b/>
                <w:bCs/>
                <w:color w:val="auto"/>
                <w:sz w:val="24"/>
                <w:highlight w:val="none"/>
              </w:rPr>
            </w:pPr>
          </w:p>
        </w:tc>
        <w:tc>
          <w:tcPr>
            <w:tcW w:w="1119" w:type="dxa"/>
          </w:tcPr>
          <w:p w14:paraId="10B6B33D">
            <w:pPr>
              <w:tabs>
                <w:tab w:val="left" w:pos="993"/>
              </w:tabs>
              <w:spacing w:line="360" w:lineRule="auto"/>
              <w:ind w:firstLine="482" w:firstLineChars="200"/>
              <w:rPr>
                <w:rFonts w:ascii="宋体" w:hAnsi="宋体"/>
                <w:b/>
                <w:bCs/>
                <w:color w:val="auto"/>
                <w:sz w:val="24"/>
                <w:highlight w:val="none"/>
              </w:rPr>
            </w:pPr>
          </w:p>
        </w:tc>
        <w:tc>
          <w:tcPr>
            <w:tcW w:w="1888" w:type="dxa"/>
          </w:tcPr>
          <w:p w14:paraId="4C06E3F5">
            <w:pPr>
              <w:tabs>
                <w:tab w:val="left" w:pos="993"/>
              </w:tabs>
              <w:spacing w:line="360" w:lineRule="auto"/>
              <w:ind w:firstLine="482" w:firstLineChars="200"/>
              <w:rPr>
                <w:rFonts w:ascii="宋体" w:hAnsi="宋体"/>
                <w:b/>
                <w:bCs/>
                <w:color w:val="auto"/>
                <w:sz w:val="24"/>
                <w:highlight w:val="none"/>
              </w:rPr>
            </w:pPr>
          </w:p>
        </w:tc>
        <w:tc>
          <w:tcPr>
            <w:tcW w:w="1119" w:type="dxa"/>
          </w:tcPr>
          <w:p w14:paraId="3F63FBB4">
            <w:pPr>
              <w:tabs>
                <w:tab w:val="left" w:pos="993"/>
              </w:tabs>
              <w:spacing w:line="360" w:lineRule="auto"/>
              <w:ind w:firstLine="482" w:firstLineChars="200"/>
              <w:rPr>
                <w:rFonts w:ascii="宋体" w:hAnsi="宋体"/>
                <w:b/>
                <w:bCs/>
                <w:color w:val="auto"/>
                <w:sz w:val="24"/>
                <w:highlight w:val="none"/>
              </w:rPr>
            </w:pPr>
          </w:p>
        </w:tc>
        <w:tc>
          <w:tcPr>
            <w:tcW w:w="1119" w:type="dxa"/>
          </w:tcPr>
          <w:p w14:paraId="79BC1017">
            <w:pPr>
              <w:tabs>
                <w:tab w:val="left" w:pos="993"/>
              </w:tabs>
              <w:spacing w:line="360" w:lineRule="auto"/>
              <w:ind w:firstLine="482" w:firstLineChars="200"/>
              <w:rPr>
                <w:rFonts w:ascii="宋体" w:hAnsi="宋体"/>
                <w:b/>
                <w:bCs/>
                <w:color w:val="auto"/>
                <w:sz w:val="24"/>
                <w:highlight w:val="none"/>
              </w:rPr>
            </w:pPr>
          </w:p>
        </w:tc>
        <w:tc>
          <w:tcPr>
            <w:tcW w:w="1119" w:type="dxa"/>
          </w:tcPr>
          <w:p w14:paraId="3EC22B2E">
            <w:pPr>
              <w:tabs>
                <w:tab w:val="left" w:pos="993"/>
              </w:tabs>
              <w:spacing w:line="360" w:lineRule="auto"/>
              <w:ind w:firstLine="482" w:firstLineChars="200"/>
              <w:rPr>
                <w:rFonts w:ascii="宋体" w:hAnsi="宋体"/>
                <w:b/>
                <w:bCs/>
                <w:color w:val="auto"/>
                <w:sz w:val="24"/>
                <w:highlight w:val="none"/>
              </w:rPr>
            </w:pPr>
          </w:p>
        </w:tc>
        <w:tc>
          <w:tcPr>
            <w:tcW w:w="1119" w:type="dxa"/>
          </w:tcPr>
          <w:p w14:paraId="39FF620C">
            <w:pPr>
              <w:tabs>
                <w:tab w:val="left" w:pos="993"/>
              </w:tabs>
              <w:spacing w:line="360" w:lineRule="auto"/>
              <w:ind w:firstLine="482" w:firstLineChars="200"/>
              <w:rPr>
                <w:rFonts w:ascii="宋体" w:hAnsi="宋体"/>
                <w:b/>
                <w:bCs/>
                <w:color w:val="auto"/>
                <w:sz w:val="24"/>
                <w:highlight w:val="none"/>
              </w:rPr>
            </w:pPr>
          </w:p>
        </w:tc>
      </w:tr>
    </w:tbl>
    <w:p w14:paraId="4D19EB05">
      <w:pPr>
        <w:tabs>
          <w:tab w:val="left" w:pos="993"/>
        </w:tabs>
        <w:spacing w:line="360" w:lineRule="auto"/>
        <w:ind w:firstLine="482" w:firstLineChars="200"/>
        <w:rPr>
          <w:rFonts w:ascii="宋体" w:hAnsi="宋体"/>
          <w:b/>
          <w:bCs/>
          <w:color w:val="auto"/>
          <w:sz w:val="24"/>
          <w:highlight w:val="none"/>
        </w:rPr>
      </w:pPr>
    </w:p>
    <w:p w14:paraId="765A0384">
      <w:pPr>
        <w:spacing w:line="360" w:lineRule="auto"/>
        <w:ind w:left="480" w:firstLine="883" w:firstLineChars="200"/>
        <w:jc w:val="center"/>
        <w:rPr>
          <w:rFonts w:ascii="宋体" w:hAnsi="宋体"/>
          <w:b/>
          <w:bCs/>
          <w:color w:val="auto"/>
          <w:sz w:val="44"/>
          <w:szCs w:val="44"/>
          <w:highlight w:val="none"/>
        </w:rPr>
      </w:pPr>
    </w:p>
    <w:p w14:paraId="7645E3F3">
      <w:pPr>
        <w:spacing w:line="360" w:lineRule="auto"/>
        <w:ind w:left="480" w:firstLine="640" w:firstLineChars="200"/>
        <w:jc w:val="center"/>
        <w:rPr>
          <w:rFonts w:ascii="宋体" w:hAnsi="宋体"/>
          <w:color w:val="auto"/>
          <w:sz w:val="32"/>
          <w:highlight w:val="none"/>
        </w:rPr>
      </w:pPr>
    </w:p>
    <w:p w14:paraId="7246CB00">
      <w:pPr>
        <w:pStyle w:val="3"/>
        <w:jc w:val="center"/>
        <w:rPr>
          <w:rFonts w:ascii="宋体" w:hAnsi="宋体"/>
          <w:b w:val="0"/>
          <w:color w:val="auto"/>
          <w:kern w:val="2"/>
          <w:sz w:val="28"/>
          <w:szCs w:val="24"/>
          <w:highlight w:val="none"/>
        </w:rPr>
      </w:pPr>
      <w:r>
        <w:rPr>
          <w:rFonts w:ascii="宋体" w:hAnsi="宋体"/>
          <w:color w:val="auto"/>
          <w:sz w:val="28"/>
          <w:highlight w:val="none"/>
        </w:rPr>
        <w:br w:type="page"/>
      </w:r>
      <w:r>
        <w:rPr>
          <w:rFonts w:hint="eastAsia" w:ascii="宋体" w:hAnsi="宋体"/>
          <w:b w:val="0"/>
          <w:color w:val="auto"/>
          <w:sz w:val="30"/>
          <w:highlight w:val="none"/>
        </w:rPr>
        <w:t>八、项目负责人无在建工程承诺书</w:t>
      </w:r>
    </w:p>
    <w:p w14:paraId="20E6A43B">
      <w:pPr>
        <w:pStyle w:val="21"/>
        <w:snapToGrid w:val="0"/>
        <w:spacing w:after="0" w:line="360" w:lineRule="auto"/>
        <w:ind w:firstLine="640" w:firstLineChars="200"/>
        <w:rPr>
          <w:rFonts w:ascii="宋体" w:hAnsi="宋体"/>
          <w:color w:val="auto"/>
          <w:sz w:val="32"/>
          <w:szCs w:val="32"/>
          <w:highlight w:val="none"/>
        </w:rPr>
      </w:pPr>
    </w:p>
    <w:p w14:paraId="4B372E32">
      <w:pPr>
        <w:spacing w:line="360" w:lineRule="auto"/>
        <w:ind w:firstLine="480" w:firstLineChars="200"/>
        <w:rPr>
          <w:rFonts w:ascii="宋体" w:hAnsi="宋体"/>
          <w:color w:val="auto"/>
          <w:sz w:val="24"/>
          <w:highlight w:val="none"/>
        </w:rPr>
      </w:pPr>
      <w:r>
        <w:rPr>
          <w:rFonts w:hint="eastAsia" w:ascii="宋体" w:hAnsi="宋体"/>
          <w:color w:val="auto"/>
          <w:sz w:val="24"/>
          <w:highlight w:val="none"/>
          <w:u w:val="single"/>
        </w:rPr>
        <w:t xml:space="preserve">                          </w:t>
      </w:r>
      <w:r>
        <w:rPr>
          <w:rFonts w:hint="eastAsia" w:ascii="宋体" w:hAnsi="宋体"/>
          <w:color w:val="auto"/>
          <w:sz w:val="24"/>
          <w:highlight w:val="none"/>
        </w:rPr>
        <w:t>(招标人)：</w:t>
      </w:r>
    </w:p>
    <w:p w14:paraId="1EF407F0">
      <w:pPr>
        <w:widowControl/>
        <w:spacing w:line="360" w:lineRule="auto"/>
        <w:ind w:firstLine="480" w:firstLineChars="200"/>
        <w:rPr>
          <w:rFonts w:ascii="宋体" w:hAnsi="宋体"/>
          <w:color w:val="auto"/>
          <w:sz w:val="24"/>
          <w:highlight w:val="none"/>
        </w:rPr>
      </w:pPr>
    </w:p>
    <w:p w14:paraId="12E13883">
      <w:pPr>
        <w:widowControl/>
        <w:spacing w:line="360" w:lineRule="auto"/>
        <w:ind w:firstLine="480" w:firstLineChars="200"/>
        <w:rPr>
          <w:rFonts w:ascii="宋体" w:hAnsi="宋体"/>
          <w:color w:val="auto"/>
          <w:sz w:val="24"/>
          <w:highlight w:val="none"/>
        </w:rPr>
      </w:pPr>
      <w:r>
        <w:rPr>
          <w:rFonts w:hint="eastAsia" w:ascii="宋体" w:hAnsi="宋体"/>
          <w:color w:val="auto"/>
          <w:sz w:val="24"/>
          <w:highlight w:val="none"/>
        </w:rPr>
        <w:t>我公司参加贵方的</w:t>
      </w:r>
      <w:r>
        <w:rPr>
          <w:rFonts w:hint="eastAsia" w:ascii="宋体" w:hAnsi="宋体"/>
          <w:color w:val="auto"/>
          <w:sz w:val="24"/>
          <w:highlight w:val="none"/>
          <w:u w:val="single"/>
        </w:rPr>
        <w:t xml:space="preserve">                       </w:t>
      </w:r>
      <w:r>
        <w:rPr>
          <w:rFonts w:hint="eastAsia" w:ascii="宋体" w:hAnsi="宋体"/>
          <w:color w:val="auto"/>
          <w:sz w:val="24"/>
          <w:highlight w:val="none"/>
        </w:rPr>
        <w:t>工程(以下简称“本工程”)施工投标活动。现我公司慎重承诺：</w:t>
      </w:r>
    </w:p>
    <w:p w14:paraId="6541C783">
      <w:pPr>
        <w:widowControl/>
        <w:spacing w:line="360" w:lineRule="auto"/>
        <w:ind w:firstLine="480" w:firstLineChars="200"/>
        <w:rPr>
          <w:rFonts w:ascii="宋体" w:hAnsi="宋体"/>
          <w:color w:val="auto"/>
          <w:sz w:val="24"/>
          <w:highlight w:val="none"/>
        </w:rPr>
      </w:pPr>
      <w:r>
        <w:rPr>
          <w:rFonts w:hint="eastAsia" w:ascii="宋体" w:hAnsi="宋体"/>
          <w:color w:val="auto"/>
          <w:sz w:val="24"/>
          <w:highlight w:val="none"/>
        </w:rPr>
        <w:t>拟派项目负责人(项目经理)</w:t>
      </w:r>
      <w:r>
        <w:rPr>
          <w:rFonts w:hint="eastAsia" w:ascii="宋体" w:hAnsi="宋体"/>
          <w:color w:val="auto"/>
          <w:sz w:val="24"/>
          <w:highlight w:val="none"/>
          <w:u w:val="single"/>
        </w:rPr>
        <w:t xml:space="preserve">              </w:t>
      </w:r>
      <w:r>
        <w:rPr>
          <w:rFonts w:hint="eastAsia" w:ascii="宋体" w:hAnsi="宋体"/>
          <w:color w:val="auto"/>
          <w:sz w:val="24"/>
          <w:highlight w:val="none"/>
        </w:rPr>
        <w:t>，从现在开始至本工程投标文件截止时间未同时在两个或者两个以上单位受聘或者执业（1、同时在两个及以上单位签订劳动合同或交纳社会保险； 2、将本人执（职）业资格证书同时注册在两个及以上单位）。项目负责人无在建工程，且无已中标未开工的项目，如果我方经本工程评标委员会评定为第一中标候选人，在公示期间被他人举报并经招标投标监管机构核实，确认拟派项目负责人有在建工程但不符合“项目负责人有在建工程，但该在建工程与本次招标的工程属于同一工程项目、同一项目批文、同一施工地点分段发包或分期施工的情况且总的工程规模在项目负责人执业范围之内。”的情况或有已中标未开工的项目，那么取消我方中标候选人资格，同时我方自愿放弃相应投标保证金。</w:t>
      </w:r>
    </w:p>
    <w:p w14:paraId="278FE933">
      <w:pPr>
        <w:spacing w:line="360" w:lineRule="auto"/>
        <w:ind w:firstLine="480" w:firstLineChars="200"/>
        <w:rPr>
          <w:rFonts w:ascii="宋体" w:hAnsi="宋体"/>
          <w:color w:val="auto"/>
          <w:sz w:val="24"/>
          <w:highlight w:val="none"/>
        </w:rPr>
      </w:pPr>
    </w:p>
    <w:p w14:paraId="56F1FFA0">
      <w:pPr>
        <w:spacing w:line="360" w:lineRule="auto"/>
        <w:ind w:firstLine="480" w:firstLineChars="200"/>
        <w:rPr>
          <w:rFonts w:ascii="宋体" w:hAnsi="宋体"/>
          <w:color w:val="auto"/>
          <w:sz w:val="24"/>
          <w:highlight w:val="none"/>
        </w:rPr>
      </w:pPr>
    </w:p>
    <w:p w14:paraId="1CE87C83">
      <w:pPr>
        <w:spacing w:line="360" w:lineRule="auto"/>
        <w:ind w:firstLine="480" w:firstLineChars="200"/>
        <w:rPr>
          <w:rFonts w:ascii="宋体" w:hAnsi="宋体"/>
          <w:color w:val="auto"/>
          <w:sz w:val="24"/>
          <w:highlight w:val="none"/>
        </w:rPr>
      </w:pPr>
    </w:p>
    <w:p w14:paraId="1DFD69D6">
      <w:pPr>
        <w:spacing w:line="360" w:lineRule="auto"/>
        <w:ind w:right="-512" w:rightChars="-244" w:firstLine="480" w:firstLineChars="200"/>
        <w:rPr>
          <w:rFonts w:ascii="宋体" w:hAnsi="宋体"/>
          <w:color w:val="auto"/>
          <w:sz w:val="24"/>
          <w:highlight w:val="none"/>
          <w:u w:val="single"/>
        </w:rPr>
      </w:pPr>
      <w:r>
        <w:rPr>
          <w:rFonts w:hint="eastAsia" w:ascii="宋体" w:hAnsi="宋体"/>
          <w:color w:val="auto"/>
          <w:sz w:val="24"/>
          <w:highlight w:val="none"/>
        </w:rPr>
        <w:t>投标申请人(盖公章)：</w:t>
      </w:r>
      <w:r>
        <w:rPr>
          <w:rFonts w:hint="eastAsia" w:ascii="宋体" w:hAnsi="宋体"/>
          <w:color w:val="auto"/>
          <w:sz w:val="24"/>
          <w:highlight w:val="none"/>
          <w:u w:val="single"/>
        </w:rPr>
        <w:t xml:space="preserve">                  </w:t>
      </w:r>
    </w:p>
    <w:p w14:paraId="1DD1EBB8">
      <w:pPr>
        <w:tabs>
          <w:tab w:val="left" w:pos="4320"/>
        </w:tabs>
        <w:spacing w:line="360" w:lineRule="auto"/>
        <w:ind w:right="-512" w:rightChars="-244" w:firstLine="480" w:firstLineChars="200"/>
        <w:rPr>
          <w:rFonts w:ascii="宋体" w:hAnsi="宋体"/>
          <w:color w:val="auto"/>
          <w:sz w:val="24"/>
          <w:highlight w:val="none"/>
        </w:rPr>
      </w:pPr>
      <w:r>
        <w:rPr>
          <w:rFonts w:hint="eastAsia" w:ascii="宋体" w:hAnsi="宋体"/>
          <w:color w:val="auto"/>
          <w:sz w:val="24"/>
          <w:highlight w:val="none"/>
        </w:rPr>
        <w:t>法定代表人(签字并盖章)：</w:t>
      </w:r>
      <w:r>
        <w:rPr>
          <w:rFonts w:hint="eastAsia" w:ascii="宋体" w:hAnsi="宋体"/>
          <w:color w:val="auto"/>
          <w:sz w:val="24"/>
          <w:highlight w:val="none"/>
          <w:u w:val="single"/>
        </w:rPr>
        <w:t xml:space="preserve">              </w:t>
      </w:r>
    </w:p>
    <w:p w14:paraId="7F5EC5A2">
      <w:pPr>
        <w:spacing w:line="360" w:lineRule="auto"/>
        <w:ind w:left="480" w:firstLine="480" w:firstLineChars="200"/>
        <w:jc w:val="center"/>
        <w:rPr>
          <w:rFonts w:ascii="宋体" w:hAnsi="宋体"/>
          <w:b/>
          <w:bCs/>
          <w:color w:val="auto"/>
          <w:sz w:val="24"/>
          <w:highlight w:val="none"/>
        </w:rPr>
        <w:sectPr>
          <w:footerReference r:id="rId4" w:type="first"/>
          <w:footerReference r:id="rId3" w:type="default"/>
          <w:pgSz w:w="11907" w:h="16840"/>
          <w:pgMar w:top="1440" w:right="1009" w:bottom="1440" w:left="1797" w:header="720" w:footer="720" w:gutter="0"/>
          <w:cols w:space="0" w:num="1"/>
          <w:docGrid w:linePitch="272" w:charSpace="0"/>
        </w:sectPr>
      </w:pPr>
      <w:r>
        <w:rPr>
          <w:rFonts w:hint="eastAsia" w:ascii="宋体" w:hAnsi="宋体"/>
          <w:color w:val="auto"/>
          <w:sz w:val="24"/>
          <w:highlight w:val="none"/>
        </w:rPr>
        <w:t xml:space="preserve">                                  日期：        年    月   日</w:t>
      </w:r>
    </w:p>
    <w:p w14:paraId="2ED910A8">
      <w:pPr>
        <w:pStyle w:val="3"/>
        <w:jc w:val="center"/>
        <w:rPr>
          <w:rFonts w:ascii="宋体" w:hAnsi="宋体"/>
          <w:b w:val="0"/>
          <w:color w:val="auto"/>
          <w:sz w:val="30"/>
          <w:highlight w:val="none"/>
        </w:rPr>
      </w:pPr>
      <w:r>
        <w:rPr>
          <w:rFonts w:hint="eastAsia" w:ascii="宋体" w:hAnsi="宋体"/>
          <w:b w:val="0"/>
          <w:color w:val="auto"/>
          <w:sz w:val="30"/>
          <w:highlight w:val="none"/>
        </w:rPr>
        <w:t>九、工程完工证明</w:t>
      </w:r>
    </w:p>
    <w:p w14:paraId="5860D2C0">
      <w:pPr>
        <w:adjustRightInd w:val="0"/>
        <w:snapToGrid w:val="0"/>
        <w:spacing w:line="360" w:lineRule="auto"/>
        <w:ind w:firstLine="560" w:firstLineChars="200"/>
        <w:jc w:val="center"/>
        <w:rPr>
          <w:rFonts w:ascii="宋体" w:hAnsi="宋体"/>
          <w:color w:val="auto"/>
          <w:sz w:val="28"/>
          <w:highlight w:val="none"/>
        </w:rPr>
      </w:pPr>
      <w:r>
        <w:rPr>
          <w:rFonts w:hint="eastAsia" w:ascii="宋体" w:hAnsi="宋体"/>
          <w:color w:val="auto"/>
          <w:sz w:val="28"/>
          <w:highlight w:val="none"/>
        </w:rPr>
        <w:t>（如需）</w:t>
      </w:r>
    </w:p>
    <w:p w14:paraId="1581E1CD">
      <w:pPr>
        <w:adjustRightInd w:val="0"/>
        <w:snapToGrid w:val="0"/>
        <w:spacing w:line="360" w:lineRule="auto"/>
        <w:ind w:firstLine="560" w:firstLineChars="200"/>
        <w:jc w:val="center"/>
        <w:rPr>
          <w:rFonts w:ascii="宋体" w:hAnsi="宋体"/>
          <w:color w:val="auto"/>
          <w:sz w:val="28"/>
          <w:highlight w:val="none"/>
        </w:rPr>
      </w:pPr>
    </w:p>
    <w:p w14:paraId="32C024FA">
      <w:pPr>
        <w:adjustRightInd w:val="0"/>
        <w:snapToGrid w:val="0"/>
        <w:spacing w:line="360" w:lineRule="auto"/>
        <w:ind w:firstLine="420" w:firstLineChars="200"/>
        <w:rPr>
          <w:rFonts w:ascii="宋体" w:hAnsi="宋体"/>
          <w:color w:val="auto"/>
          <w:highlight w:val="none"/>
        </w:rPr>
      </w:pPr>
      <w:r>
        <w:rPr>
          <w:rFonts w:hint="eastAsia" w:ascii="宋体" w:hAnsi="宋体"/>
          <w:color w:val="auto"/>
          <w:highlight w:val="none"/>
          <w:u w:val="single"/>
        </w:rPr>
        <w:t xml:space="preserve">                                  </w:t>
      </w:r>
      <w:r>
        <w:rPr>
          <w:rFonts w:hint="eastAsia" w:ascii="宋体" w:hAnsi="宋体"/>
          <w:color w:val="auto"/>
          <w:highlight w:val="none"/>
        </w:rPr>
        <w:t>：</w:t>
      </w:r>
      <w:r>
        <w:rPr>
          <w:rFonts w:hint="eastAsia" w:ascii="宋体" w:hAnsi="宋体"/>
          <w:color w:val="auto"/>
          <w:sz w:val="24"/>
          <w:highlight w:val="none"/>
        </w:rPr>
        <w:t>（招标人名称）</w:t>
      </w:r>
    </w:p>
    <w:p w14:paraId="10576ACF">
      <w:pPr>
        <w:adjustRightInd w:val="0"/>
        <w:snapToGrid w:val="0"/>
        <w:spacing w:line="360" w:lineRule="auto"/>
        <w:ind w:firstLine="422" w:firstLineChars="200"/>
        <w:rPr>
          <w:rFonts w:ascii="宋体" w:hAnsi="宋体"/>
          <w:color w:val="auto"/>
          <w:sz w:val="24"/>
          <w:highlight w:val="none"/>
        </w:rPr>
      </w:pPr>
      <w:r>
        <w:rPr>
          <w:rFonts w:hint="eastAsia" w:ascii="宋体" w:hAnsi="宋体"/>
          <w:b/>
          <w:color w:val="auto"/>
          <w:highlight w:val="none"/>
          <w:u w:val="single"/>
        </w:rPr>
        <w:t xml:space="preserve">                             </w:t>
      </w:r>
      <w:r>
        <w:rPr>
          <w:rFonts w:hint="eastAsia" w:ascii="宋体" w:hAnsi="宋体"/>
          <w:color w:val="auto"/>
          <w:sz w:val="24"/>
          <w:highlight w:val="none"/>
        </w:rPr>
        <w:t>（中标单位名称）的项目经理（项目负责人）</w:t>
      </w:r>
      <w:r>
        <w:rPr>
          <w:rFonts w:hint="eastAsia" w:ascii="宋体" w:hAnsi="宋体"/>
          <w:b/>
          <w:color w:val="auto"/>
          <w:highlight w:val="none"/>
          <w:u w:val="single"/>
        </w:rPr>
        <w:t xml:space="preserve">          </w:t>
      </w:r>
      <w:r>
        <w:rPr>
          <w:rFonts w:hint="eastAsia" w:ascii="宋体" w:hAnsi="宋体"/>
          <w:color w:val="auto"/>
          <w:sz w:val="24"/>
          <w:highlight w:val="none"/>
        </w:rPr>
        <w:t xml:space="preserve">（姓名及注册编号）承接我单位的 </w:t>
      </w:r>
      <w:r>
        <w:rPr>
          <w:rFonts w:hint="eastAsia" w:ascii="宋体" w:hAnsi="宋体"/>
          <w:b/>
          <w:color w:val="auto"/>
          <w:highlight w:val="none"/>
          <w:u w:val="single"/>
        </w:rPr>
        <w:t xml:space="preserve">                  </w:t>
      </w:r>
      <w:r>
        <w:rPr>
          <w:rFonts w:hint="eastAsia" w:ascii="宋体" w:hAnsi="宋体"/>
          <w:color w:val="auto"/>
          <w:sz w:val="24"/>
          <w:highlight w:val="none"/>
        </w:rPr>
        <w:t>（项目名称）</w:t>
      </w:r>
      <w:r>
        <w:rPr>
          <w:rFonts w:hint="eastAsia" w:ascii="宋体" w:hAnsi="宋体"/>
          <w:b/>
          <w:color w:val="auto"/>
          <w:highlight w:val="none"/>
          <w:u w:val="single"/>
        </w:rPr>
        <w:t xml:space="preserve">                 </w:t>
      </w:r>
      <w:r>
        <w:rPr>
          <w:rFonts w:hint="eastAsia" w:ascii="宋体" w:hAnsi="宋体"/>
          <w:color w:val="auto"/>
          <w:sz w:val="24"/>
          <w:highlight w:val="none"/>
        </w:rPr>
        <w:t>（标段名称）于</w:t>
      </w:r>
      <w:r>
        <w:rPr>
          <w:rFonts w:hint="eastAsia" w:ascii="宋体" w:hAnsi="宋体"/>
          <w:b/>
          <w:color w:val="auto"/>
          <w:highlight w:val="none"/>
          <w:u w:val="single"/>
        </w:rPr>
        <w:t xml:space="preserve">    </w:t>
      </w:r>
      <w:r>
        <w:rPr>
          <w:rFonts w:hint="eastAsia" w:ascii="宋体" w:hAnsi="宋体"/>
          <w:color w:val="auto"/>
          <w:sz w:val="24"/>
          <w:highlight w:val="none"/>
        </w:rPr>
        <w:t xml:space="preserve">年 </w:t>
      </w:r>
      <w:r>
        <w:rPr>
          <w:rFonts w:hint="eastAsia" w:ascii="宋体" w:hAnsi="宋体"/>
          <w:b/>
          <w:color w:val="auto"/>
          <w:highlight w:val="none"/>
          <w:u w:val="single"/>
        </w:rPr>
        <w:t xml:space="preserve">   </w:t>
      </w:r>
      <w:r>
        <w:rPr>
          <w:rFonts w:hint="eastAsia" w:ascii="宋体" w:hAnsi="宋体"/>
          <w:color w:val="auto"/>
          <w:sz w:val="24"/>
          <w:highlight w:val="none"/>
        </w:rPr>
        <w:t>月</w:t>
      </w:r>
      <w:r>
        <w:rPr>
          <w:rFonts w:hint="eastAsia" w:ascii="宋体" w:hAnsi="宋体"/>
          <w:b/>
          <w:color w:val="auto"/>
          <w:highlight w:val="none"/>
          <w:u w:val="single"/>
        </w:rPr>
        <w:t xml:space="preserve">    </w:t>
      </w:r>
      <w:r>
        <w:rPr>
          <w:rFonts w:hint="eastAsia" w:ascii="宋体" w:hAnsi="宋体"/>
          <w:color w:val="auto"/>
          <w:sz w:val="24"/>
          <w:highlight w:val="none"/>
        </w:rPr>
        <w:t>日完工，现同意该项目经理参加其他工程招投标活动。</w:t>
      </w:r>
    </w:p>
    <w:p w14:paraId="04A92E77">
      <w:pPr>
        <w:adjustRightInd w:val="0"/>
        <w:snapToGrid w:val="0"/>
        <w:spacing w:line="360" w:lineRule="auto"/>
        <w:ind w:firstLine="480" w:firstLineChars="200"/>
        <w:rPr>
          <w:rFonts w:ascii="宋体" w:hAnsi="宋体"/>
          <w:color w:val="auto"/>
          <w:sz w:val="24"/>
          <w:highlight w:val="none"/>
        </w:rPr>
      </w:pPr>
      <w:r>
        <w:rPr>
          <w:rFonts w:hint="eastAsia" w:ascii="宋体" w:hAnsi="宋体"/>
          <w:color w:val="auto"/>
          <w:sz w:val="24"/>
          <w:highlight w:val="none"/>
        </w:rPr>
        <w:t>特此证明。</w:t>
      </w:r>
    </w:p>
    <w:p w14:paraId="69684599">
      <w:pPr>
        <w:adjustRightInd w:val="0"/>
        <w:snapToGrid w:val="0"/>
        <w:spacing w:line="360" w:lineRule="auto"/>
        <w:ind w:firstLine="480" w:firstLineChars="200"/>
        <w:rPr>
          <w:rFonts w:ascii="宋体" w:hAnsi="宋体"/>
          <w:color w:val="auto"/>
          <w:sz w:val="24"/>
          <w:highlight w:val="none"/>
        </w:rPr>
      </w:pPr>
    </w:p>
    <w:p w14:paraId="6042EB87">
      <w:pPr>
        <w:adjustRightInd w:val="0"/>
        <w:snapToGrid w:val="0"/>
        <w:spacing w:line="360" w:lineRule="auto"/>
        <w:ind w:firstLine="480" w:firstLineChars="200"/>
        <w:rPr>
          <w:rFonts w:ascii="宋体" w:hAnsi="宋体"/>
          <w:color w:val="auto"/>
          <w:sz w:val="24"/>
          <w:highlight w:val="none"/>
        </w:rPr>
      </w:pPr>
      <w:r>
        <w:rPr>
          <w:rFonts w:hint="eastAsia" w:ascii="宋体" w:hAnsi="宋体"/>
          <w:color w:val="auto"/>
          <w:sz w:val="24"/>
          <w:highlight w:val="none"/>
        </w:rPr>
        <w:t>注：如项目已竣工验收，附竣工验收单。</w:t>
      </w:r>
    </w:p>
    <w:p w14:paraId="025277EF">
      <w:pPr>
        <w:adjustRightInd w:val="0"/>
        <w:snapToGrid w:val="0"/>
        <w:spacing w:line="360" w:lineRule="auto"/>
        <w:ind w:firstLine="420" w:firstLineChars="200"/>
        <w:rPr>
          <w:rFonts w:ascii="宋体" w:hAnsi="宋体"/>
          <w:color w:val="auto"/>
          <w:highlight w:val="none"/>
        </w:rPr>
      </w:pPr>
    </w:p>
    <w:p w14:paraId="30CFAFCB">
      <w:pPr>
        <w:adjustRightInd w:val="0"/>
        <w:snapToGrid w:val="0"/>
        <w:spacing w:line="360" w:lineRule="auto"/>
        <w:ind w:firstLine="420" w:firstLineChars="200"/>
        <w:rPr>
          <w:rFonts w:ascii="宋体" w:hAnsi="宋体"/>
          <w:color w:val="auto"/>
          <w:highlight w:val="none"/>
        </w:rPr>
      </w:pPr>
    </w:p>
    <w:p w14:paraId="2A97B96B">
      <w:pPr>
        <w:adjustRightInd w:val="0"/>
        <w:snapToGrid w:val="0"/>
        <w:spacing w:line="360" w:lineRule="auto"/>
        <w:ind w:firstLine="422" w:firstLineChars="200"/>
        <w:rPr>
          <w:rFonts w:ascii="宋体" w:hAnsi="宋体"/>
          <w:b/>
          <w:color w:val="auto"/>
          <w:highlight w:val="none"/>
        </w:rPr>
      </w:pPr>
    </w:p>
    <w:p w14:paraId="19B110F8">
      <w:pPr>
        <w:adjustRightInd w:val="0"/>
        <w:snapToGrid w:val="0"/>
        <w:spacing w:line="360" w:lineRule="auto"/>
        <w:ind w:firstLine="480" w:firstLineChars="200"/>
        <w:rPr>
          <w:rFonts w:ascii="宋体" w:hAnsi="宋体"/>
          <w:color w:val="auto"/>
          <w:sz w:val="24"/>
          <w:highlight w:val="none"/>
        </w:rPr>
      </w:pPr>
      <w:r>
        <w:rPr>
          <w:rFonts w:hint="eastAsia" w:ascii="宋体" w:hAnsi="宋体"/>
          <w:color w:val="auto"/>
          <w:sz w:val="24"/>
          <w:highlight w:val="none"/>
        </w:rPr>
        <w:t>单位公章（注：单位内设科室盖章无效）</w:t>
      </w:r>
    </w:p>
    <w:p w14:paraId="38E4BE6E">
      <w:pPr>
        <w:adjustRightInd w:val="0"/>
        <w:snapToGrid w:val="0"/>
        <w:spacing w:line="360" w:lineRule="auto"/>
        <w:ind w:firstLine="480" w:firstLineChars="200"/>
        <w:rPr>
          <w:rFonts w:ascii="宋体" w:hAnsi="宋体"/>
          <w:color w:val="auto"/>
          <w:sz w:val="24"/>
          <w:highlight w:val="none"/>
        </w:rPr>
      </w:pPr>
      <w:r>
        <w:rPr>
          <w:rFonts w:hint="eastAsia" w:ascii="宋体" w:hAnsi="宋体"/>
          <w:color w:val="auto"/>
          <w:sz w:val="24"/>
          <w:highlight w:val="none"/>
        </w:rPr>
        <w:t>日期：</w:t>
      </w:r>
    </w:p>
    <w:p w14:paraId="3A6A4E9D">
      <w:pPr>
        <w:adjustRightInd w:val="0"/>
        <w:snapToGrid w:val="0"/>
        <w:spacing w:line="360" w:lineRule="auto"/>
        <w:ind w:firstLine="883" w:firstLineChars="200"/>
        <w:jc w:val="center"/>
        <w:rPr>
          <w:rFonts w:ascii="宋体" w:hAnsi="宋体"/>
          <w:b/>
          <w:bCs/>
          <w:color w:val="auto"/>
          <w:sz w:val="44"/>
          <w:szCs w:val="44"/>
          <w:highlight w:val="none"/>
        </w:rPr>
      </w:pPr>
    </w:p>
    <w:p w14:paraId="1B56AFE9">
      <w:pPr>
        <w:adjustRightInd w:val="0"/>
        <w:snapToGrid w:val="0"/>
        <w:spacing w:line="360" w:lineRule="auto"/>
        <w:ind w:firstLine="883" w:firstLineChars="200"/>
        <w:jc w:val="center"/>
        <w:rPr>
          <w:rFonts w:ascii="宋体" w:hAnsi="宋体"/>
          <w:b/>
          <w:bCs/>
          <w:color w:val="auto"/>
          <w:sz w:val="44"/>
          <w:szCs w:val="44"/>
          <w:highlight w:val="none"/>
        </w:rPr>
      </w:pPr>
    </w:p>
    <w:p w14:paraId="67A72D12">
      <w:pPr>
        <w:adjustRightInd w:val="0"/>
        <w:snapToGrid w:val="0"/>
        <w:spacing w:line="360" w:lineRule="auto"/>
        <w:ind w:firstLine="883" w:firstLineChars="200"/>
        <w:jc w:val="center"/>
        <w:rPr>
          <w:rFonts w:ascii="宋体" w:hAnsi="宋体"/>
          <w:b/>
          <w:bCs/>
          <w:color w:val="auto"/>
          <w:sz w:val="44"/>
          <w:szCs w:val="44"/>
          <w:highlight w:val="none"/>
        </w:rPr>
      </w:pPr>
    </w:p>
    <w:p w14:paraId="13790AEC">
      <w:pPr>
        <w:adjustRightInd w:val="0"/>
        <w:snapToGrid w:val="0"/>
        <w:spacing w:line="360" w:lineRule="auto"/>
        <w:ind w:firstLine="883" w:firstLineChars="200"/>
        <w:jc w:val="center"/>
        <w:rPr>
          <w:rFonts w:ascii="宋体" w:hAnsi="宋体"/>
          <w:b/>
          <w:bCs/>
          <w:color w:val="auto"/>
          <w:sz w:val="44"/>
          <w:szCs w:val="44"/>
          <w:highlight w:val="none"/>
        </w:rPr>
      </w:pPr>
    </w:p>
    <w:p w14:paraId="25A4AB1F">
      <w:pPr>
        <w:adjustRightInd w:val="0"/>
        <w:snapToGrid w:val="0"/>
        <w:spacing w:line="360" w:lineRule="auto"/>
        <w:ind w:firstLine="883" w:firstLineChars="200"/>
        <w:jc w:val="center"/>
        <w:rPr>
          <w:rFonts w:ascii="宋体" w:hAnsi="宋体"/>
          <w:b/>
          <w:bCs/>
          <w:color w:val="auto"/>
          <w:sz w:val="44"/>
          <w:szCs w:val="44"/>
          <w:highlight w:val="none"/>
        </w:rPr>
      </w:pPr>
    </w:p>
    <w:p w14:paraId="39457E42">
      <w:pPr>
        <w:adjustRightInd w:val="0"/>
        <w:snapToGrid w:val="0"/>
        <w:spacing w:line="360" w:lineRule="auto"/>
        <w:ind w:firstLine="883" w:firstLineChars="200"/>
        <w:jc w:val="center"/>
        <w:rPr>
          <w:rFonts w:ascii="宋体" w:hAnsi="宋体"/>
          <w:b/>
          <w:bCs/>
          <w:color w:val="auto"/>
          <w:sz w:val="44"/>
          <w:szCs w:val="44"/>
          <w:highlight w:val="none"/>
        </w:rPr>
      </w:pPr>
    </w:p>
    <w:p w14:paraId="3A097415">
      <w:pPr>
        <w:adjustRightInd w:val="0"/>
        <w:snapToGrid w:val="0"/>
        <w:spacing w:line="360" w:lineRule="auto"/>
        <w:rPr>
          <w:rFonts w:ascii="宋体" w:hAnsi="宋体"/>
          <w:b/>
          <w:bCs/>
          <w:color w:val="auto"/>
          <w:sz w:val="44"/>
          <w:szCs w:val="44"/>
          <w:highlight w:val="none"/>
        </w:rPr>
      </w:pPr>
    </w:p>
    <w:p w14:paraId="17B715C2">
      <w:pPr>
        <w:pStyle w:val="3"/>
        <w:jc w:val="center"/>
        <w:rPr>
          <w:rFonts w:ascii="宋体" w:hAnsi="宋体"/>
          <w:b w:val="0"/>
          <w:color w:val="auto"/>
          <w:sz w:val="30"/>
          <w:highlight w:val="none"/>
        </w:rPr>
      </w:pPr>
      <w:r>
        <w:rPr>
          <w:rFonts w:ascii="宋体" w:hAnsi="宋体"/>
          <w:b w:val="0"/>
          <w:color w:val="auto"/>
          <w:kern w:val="2"/>
          <w:sz w:val="28"/>
          <w:szCs w:val="24"/>
          <w:highlight w:val="none"/>
        </w:rPr>
        <w:br w:type="page"/>
      </w:r>
      <w:r>
        <w:rPr>
          <w:rFonts w:hint="eastAsia" w:ascii="宋体" w:hAnsi="宋体"/>
          <w:b w:val="0"/>
          <w:color w:val="auto"/>
          <w:sz w:val="30"/>
          <w:highlight w:val="none"/>
        </w:rPr>
        <w:t>十、诚信承诺书</w:t>
      </w:r>
    </w:p>
    <w:p w14:paraId="65CA7BEE">
      <w:pPr>
        <w:pStyle w:val="21"/>
        <w:snapToGrid w:val="0"/>
        <w:spacing w:after="0" w:line="360" w:lineRule="auto"/>
        <w:ind w:firstLine="480" w:firstLineChars="200"/>
        <w:rPr>
          <w:rFonts w:ascii="宋体" w:hAnsi="宋体"/>
          <w:color w:val="auto"/>
          <w:highlight w:val="none"/>
        </w:rPr>
      </w:pPr>
    </w:p>
    <w:p w14:paraId="24014C1A">
      <w:pPr>
        <w:widowControl/>
        <w:spacing w:line="360" w:lineRule="auto"/>
        <w:ind w:firstLine="480" w:firstLineChars="200"/>
        <w:rPr>
          <w:rFonts w:ascii="宋体" w:hAnsi="宋体"/>
          <w:color w:val="auto"/>
          <w:sz w:val="24"/>
          <w:highlight w:val="none"/>
        </w:rPr>
      </w:pPr>
      <w:r>
        <w:rPr>
          <w:rFonts w:hint="eastAsia" w:ascii="宋体" w:hAnsi="宋体"/>
          <w:color w:val="auto"/>
          <w:sz w:val="24"/>
          <w:highlight w:val="none"/>
        </w:rPr>
        <w:t>致：</w:t>
      </w:r>
      <w:r>
        <w:rPr>
          <w:rFonts w:hint="eastAsia" w:ascii="宋体" w:hAnsi="宋体"/>
          <w:color w:val="auto"/>
          <w:sz w:val="24"/>
          <w:highlight w:val="none"/>
          <w:u w:val="single"/>
        </w:rPr>
        <w:t xml:space="preserve">                 </w:t>
      </w:r>
      <w:r>
        <w:rPr>
          <w:rFonts w:hint="eastAsia" w:ascii="宋体" w:hAnsi="宋体"/>
          <w:color w:val="auto"/>
          <w:sz w:val="24"/>
          <w:highlight w:val="none"/>
        </w:rPr>
        <w:t>（招标人名称）</w:t>
      </w:r>
    </w:p>
    <w:p w14:paraId="60D157D6">
      <w:pPr>
        <w:widowControl/>
        <w:spacing w:line="360" w:lineRule="auto"/>
        <w:ind w:firstLine="480" w:firstLineChars="200"/>
        <w:rPr>
          <w:rFonts w:ascii="宋体" w:hAnsi="宋体"/>
          <w:color w:val="auto"/>
          <w:sz w:val="24"/>
          <w:highlight w:val="none"/>
        </w:rPr>
      </w:pPr>
      <w:r>
        <w:rPr>
          <w:rFonts w:hint="eastAsia" w:ascii="宋体" w:hAnsi="宋体"/>
          <w:color w:val="auto"/>
          <w:sz w:val="24"/>
          <w:highlight w:val="none"/>
        </w:rPr>
        <w:t>我方参加你方的</w:t>
      </w:r>
      <w:r>
        <w:rPr>
          <w:rFonts w:hint="eastAsia" w:ascii="宋体" w:hAnsi="宋体"/>
          <w:color w:val="auto"/>
          <w:sz w:val="24"/>
          <w:highlight w:val="none"/>
          <w:u w:val="single"/>
        </w:rPr>
        <w:t xml:space="preserve">                   </w:t>
      </w:r>
      <w:r>
        <w:rPr>
          <w:rFonts w:hint="eastAsia" w:ascii="宋体" w:hAnsi="宋体"/>
          <w:color w:val="auto"/>
          <w:sz w:val="24"/>
          <w:highlight w:val="none"/>
        </w:rPr>
        <w:t>（项目名称）投标，我单位愿意作出以下承诺：</w:t>
      </w:r>
    </w:p>
    <w:p w14:paraId="5A239724">
      <w:pPr>
        <w:widowControl/>
        <w:spacing w:line="360" w:lineRule="auto"/>
        <w:ind w:firstLine="480" w:firstLineChars="200"/>
        <w:rPr>
          <w:rFonts w:ascii="宋体" w:hAnsi="宋体"/>
          <w:color w:val="auto"/>
          <w:sz w:val="24"/>
          <w:highlight w:val="none"/>
        </w:rPr>
      </w:pPr>
      <w:r>
        <w:rPr>
          <w:rFonts w:hint="eastAsia" w:ascii="宋体" w:hAnsi="宋体"/>
          <w:color w:val="auto"/>
          <w:sz w:val="24"/>
          <w:highlight w:val="none"/>
        </w:rPr>
        <w:t>1. 我单位不存在招标文件资格审查条件第2</w:t>
      </w:r>
      <w:r>
        <w:rPr>
          <w:rFonts w:ascii="宋体" w:hAnsi="宋体"/>
          <w:color w:val="auto"/>
          <w:sz w:val="24"/>
          <w:highlight w:val="none"/>
        </w:rPr>
        <w:t>.2.5</w:t>
      </w:r>
      <w:r>
        <w:rPr>
          <w:rFonts w:hint="eastAsia" w:ascii="宋体" w:hAnsi="宋体"/>
          <w:color w:val="auto"/>
          <w:sz w:val="24"/>
          <w:highlight w:val="none"/>
        </w:rPr>
        <w:t>条的情形之一。</w:t>
      </w:r>
    </w:p>
    <w:p w14:paraId="226A1739">
      <w:pPr>
        <w:widowControl/>
        <w:spacing w:line="360" w:lineRule="auto"/>
        <w:ind w:firstLine="480" w:firstLineChars="200"/>
        <w:jc w:val="left"/>
        <w:rPr>
          <w:rFonts w:ascii="宋体" w:hAnsi="宋体" w:cs="宋体"/>
          <w:color w:val="auto"/>
          <w:sz w:val="24"/>
          <w:highlight w:val="none"/>
        </w:rPr>
      </w:pPr>
      <w:r>
        <w:rPr>
          <w:rFonts w:hint="eastAsia" w:ascii="宋体" w:hAnsi="宋体" w:cs="宋体"/>
          <w:color w:val="auto"/>
          <w:sz w:val="24"/>
          <w:highlight w:val="none"/>
        </w:rPr>
        <w:t>1</w:t>
      </w:r>
      <w:r>
        <w:rPr>
          <w:rFonts w:ascii="宋体" w:hAnsi="宋体" w:cs="宋体"/>
          <w:color w:val="auto"/>
          <w:sz w:val="24"/>
          <w:highlight w:val="none"/>
        </w:rPr>
        <w:t>.1</w:t>
      </w:r>
      <w:r>
        <w:rPr>
          <w:rFonts w:hint="eastAsia" w:ascii="宋体" w:hAnsi="宋体" w:cs="宋体"/>
          <w:color w:val="auto"/>
          <w:sz w:val="24"/>
          <w:highlight w:val="none"/>
        </w:rPr>
        <w:t>为招标人不具有独立法人资格的附属机构（单位）；</w:t>
      </w:r>
    </w:p>
    <w:p w14:paraId="5B09A2B3">
      <w:pPr>
        <w:widowControl/>
        <w:spacing w:line="360" w:lineRule="auto"/>
        <w:ind w:firstLine="480" w:firstLineChars="200"/>
        <w:jc w:val="left"/>
        <w:rPr>
          <w:rFonts w:ascii="宋体" w:hAnsi="宋体" w:cs="宋体"/>
          <w:color w:val="auto"/>
          <w:sz w:val="24"/>
          <w:highlight w:val="none"/>
        </w:rPr>
      </w:pPr>
      <w:r>
        <w:rPr>
          <w:rFonts w:hint="eastAsia" w:ascii="宋体" w:hAnsi="宋体" w:cs="宋体"/>
          <w:color w:val="auto"/>
          <w:sz w:val="24"/>
          <w:highlight w:val="none"/>
        </w:rPr>
        <w:t>1</w:t>
      </w:r>
      <w:r>
        <w:rPr>
          <w:rFonts w:ascii="宋体" w:hAnsi="宋体" w:cs="宋体"/>
          <w:color w:val="auto"/>
          <w:sz w:val="24"/>
          <w:highlight w:val="none"/>
        </w:rPr>
        <w:t>.2</w:t>
      </w:r>
      <w:r>
        <w:rPr>
          <w:rFonts w:hint="eastAsia" w:ascii="宋体" w:hAnsi="宋体" w:cs="宋体"/>
          <w:color w:val="auto"/>
          <w:sz w:val="24"/>
          <w:highlight w:val="none"/>
        </w:rPr>
        <w:t>为本招标项目的监理人、代建人、项目管理人，以及为本招标项目提供招标代理、设计服务的；</w:t>
      </w:r>
    </w:p>
    <w:p w14:paraId="1BB38153">
      <w:pPr>
        <w:widowControl/>
        <w:spacing w:line="360" w:lineRule="auto"/>
        <w:ind w:firstLine="480" w:firstLineChars="200"/>
        <w:jc w:val="left"/>
        <w:rPr>
          <w:rFonts w:ascii="宋体" w:hAnsi="宋体" w:cs="宋体"/>
          <w:color w:val="auto"/>
          <w:sz w:val="24"/>
          <w:highlight w:val="none"/>
        </w:rPr>
      </w:pPr>
      <w:r>
        <w:rPr>
          <w:rFonts w:hint="eastAsia" w:ascii="宋体" w:hAnsi="宋体" w:cs="宋体"/>
          <w:color w:val="auto"/>
          <w:sz w:val="24"/>
          <w:highlight w:val="none"/>
        </w:rPr>
        <w:t>1</w:t>
      </w:r>
      <w:r>
        <w:rPr>
          <w:rFonts w:ascii="宋体" w:hAnsi="宋体" w:cs="宋体"/>
          <w:color w:val="auto"/>
          <w:sz w:val="24"/>
          <w:highlight w:val="none"/>
        </w:rPr>
        <w:t>.3</w:t>
      </w:r>
      <w:r>
        <w:rPr>
          <w:rFonts w:hint="eastAsia" w:ascii="宋体" w:hAnsi="宋体" w:cs="宋体"/>
          <w:color w:val="auto"/>
          <w:sz w:val="24"/>
          <w:highlight w:val="none"/>
        </w:rPr>
        <w:t>与本招标项目的监理人、代建人、招标代理机构同为一个法定代表人的，或者相互控股、参股的；</w:t>
      </w:r>
    </w:p>
    <w:p w14:paraId="50750DE4">
      <w:pPr>
        <w:widowControl/>
        <w:spacing w:line="360" w:lineRule="auto"/>
        <w:ind w:firstLine="480" w:firstLineChars="200"/>
        <w:jc w:val="left"/>
        <w:rPr>
          <w:rFonts w:ascii="宋体" w:hAnsi="宋体" w:cs="宋体"/>
          <w:color w:val="auto"/>
          <w:sz w:val="24"/>
          <w:highlight w:val="none"/>
        </w:rPr>
      </w:pPr>
      <w:r>
        <w:rPr>
          <w:rFonts w:ascii="宋体" w:hAnsi="宋体" w:cs="宋体"/>
          <w:color w:val="auto"/>
          <w:sz w:val="24"/>
          <w:highlight w:val="none"/>
        </w:rPr>
        <w:t>1.4</w:t>
      </w:r>
      <w:r>
        <w:rPr>
          <w:rFonts w:hint="eastAsia" w:ascii="宋体" w:hAnsi="宋体" w:cs="宋体"/>
          <w:color w:val="auto"/>
          <w:sz w:val="24"/>
          <w:highlight w:val="none"/>
        </w:rPr>
        <w:t>与招标人存在利害关系可能影响招标公正性的；</w:t>
      </w:r>
    </w:p>
    <w:p w14:paraId="35A2BB45">
      <w:pPr>
        <w:widowControl/>
        <w:spacing w:line="360" w:lineRule="auto"/>
        <w:ind w:firstLine="480" w:firstLineChars="200"/>
        <w:jc w:val="left"/>
        <w:rPr>
          <w:rFonts w:ascii="宋体" w:hAnsi="宋体" w:cs="宋体"/>
          <w:color w:val="auto"/>
          <w:sz w:val="24"/>
          <w:highlight w:val="none"/>
        </w:rPr>
      </w:pPr>
      <w:r>
        <w:rPr>
          <w:rFonts w:ascii="宋体" w:hAnsi="宋体" w:cs="宋体"/>
          <w:color w:val="auto"/>
          <w:sz w:val="24"/>
          <w:highlight w:val="none"/>
        </w:rPr>
        <w:t>1.5</w:t>
      </w:r>
      <w:r>
        <w:rPr>
          <w:rFonts w:hint="eastAsia" w:ascii="宋体" w:hAnsi="宋体" w:cs="宋体"/>
          <w:color w:val="auto"/>
          <w:sz w:val="24"/>
          <w:highlight w:val="none"/>
        </w:rPr>
        <w:t>单位负责人为同一人或者存在控股、管理关系的不同单位；</w:t>
      </w:r>
    </w:p>
    <w:p w14:paraId="3EF71EEF">
      <w:pPr>
        <w:widowControl/>
        <w:spacing w:line="360" w:lineRule="auto"/>
        <w:ind w:firstLine="480" w:firstLineChars="200"/>
        <w:jc w:val="left"/>
        <w:rPr>
          <w:rFonts w:ascii="宋体" w:hAnsi="宋体" w:cs="宋体"/>
          <w:color w:val="auto"/>
          <w:sz w:val="24"/>
          <w:highlight w:val="none"/>
        </w:rPr>
      </w:pPr>
      <w:r>
        <w:rPr>
          <w:rFonts w:ascii="宋体" w:hAnsi="宋体" w:cs="宋体"/>
          <w:color w:val="auto"/>
          <w:sz w:val="24"/>
          <w:highlight w:val="none"/>
        </w:rPr>
        <w:t>1.6</w:t>
      </w:r>
      <w:r>
        <w:rPr>
          <w:rFonts w:hint="eastAsia" w:ascii="宋体" w:hAnsi="宋体" w:cs="宋体"/>
          <w:color w:val="auto"/>
          <w:sz w:val="24"/>
          <w:highlight w:val="none"/>
        </w:rPr>
        <w:t>处于被责令停业、财产被接管、冻结和破产状态，以及投标资格被取消或者被暂停且在暂停期内；</w:t>
      </w:r>
    </w:p>
    <w:p w14:paraId="296A7AA3">
      <w:pPr>
        <w:widowControl/>
        <w:spacing w:line="360" w:lineRule="auto"/>
        <w:ind w:firstLine="480" w:firstLineChars="200"/>
        <w:jc w:val="left"/>
        <w:rPr>
          <w:rFonts w:ascii="宋体" w:hAnsi="宋体" w:cs="宋体"/>
          <w:color w:val="auto"/>
          <w:sz w:val="24"/>
          <w:highlight w:val="none"/>
        </w:rPr>
      </w:pPr>
      <w:r>
        <w:rPr>
          <w:rFonts w:ascii="宋体" w:hAnsi="宋体" w:cs="宋体"/>
          <w:color w:val="auto"/>
          <w:sz w:val="24"/>
          <w:highlight w:val="none"/>
        </w:rPr>
        <w:t>1.7</w:t>
      </w:r>
      <w:r>
        <w:rPr>
          <w:rFonts w:hint="eastAsia" w:ascii="宋体" w:hAnsi="宋体" w:cs="宋体"/>
          <w:color w:val="auto"/>
          <w:sz w:val="24"/>
          <w:highlight w:val="none"/>
        </w:rPr>
        <w:t>因拖欠工人工资或者因发生质量安全事故被有关部门限制在招标项目所在地承接工程的；</w:t>
      </w:r>
    </w:p>
    <w:p w14:paraId="74EF8173">
      <w:pPr>
        <w:widowControl/>
        <w:spacing w:line="360" w:lineRule="auto"/>
        <w:ind w:firstLine="480" w:firstLineChars="200"/>
        <w:jc w:val="left"/>
        <w:rPr>
          <w:rFonts w:ascii="宋体" w:hAnsi="宋体" w:cs="宋体"/>
          <w:color w:val="auto"/>
          <w:sz w:val="24"/>
          <w:highlight w:val="none"/>
        </w:rPr>
      </w:pPr>
      <w:r>
        <w:rPr>
          <w:rFonts w:ascii="宋体" w:hAnsi="宋体" w:cs="宋体"/>
          <w:color w:val="auto"/>
          <w:sz w:val="24"/>
          <w:highlight w:val="none"/>
        </w:rPr>
        <w:t>1.8</w:t>
      </w:r>
      <w:r>
        <w:rPr>
          <w:rFonts w:hint="eastAsia" w:ascii="宋体" w:hAnsi="宋体" w:cs="宋体"/>
          <w:color w:val="auto"/>
          <w:sz w:val="24"/>
          <w:highlight w:val="none"/>
        </w:rPr>
        <w:t>不符合法律、法规规定的其他条件。</w:t>
      </w:r>
    </w:p>
    <w:p w14:paraId="2346087F">
      <w:pPr>
        <w:widowControl/>
        <w:spacing w:line="360" w:lineRule="auto"/>
        <w:ind w:firstLine="480" w:firstLineChars="200"/>
        <w:rPr>
          <w:rFonts w:ascii="宋体" w:hAnsi="宋体"/>
          <w:color w:val="auto"/>
          <w:sz w:val="24"/>
          <w:highlight w:val="none"/>
        </w:rPr>
      </w:pPr>
      <w:r>
        <w:rPr>
          <w:rFonts w:hint="eastAsia" w:ascii="宋体" w:hAnsi="宋体"/>
          <w:color w:val="auto"/>
          <w:sz w:val="24"/>
          <w:highlight w:val="none"/>
        </w:rPr>
        <w:t>2.若我单位未能兑现以上承诺，愿意接受投标保证金不予退还的处理，并愿意接受业主和监管部门的处罚。</w:t>
      </w:r>
    </w:p>
    <w:p w14:paraId="50C0C362">
      <w:pPr>
        <w:widowControl/>
        <w:spacing w:line="360" w:lineRule="auto"/>
        <w:ind w:firstLine="480" w:firstLineChars="200"/>
        <w:rPr>
          <w:rFonts w:ascii="宋体" w:hAnsi="宋体"/>
          <w:color w:val="auto"/>
          <w:sz w:val="24"/>
          <w:highlight w:val="none"/>
        </w:rPr>
      </w:pPr>
    </w:p>
    <w:p w14:paraId="0E1458E0">
      <w:pPr>
        <w:spacing w:line="360" w:lineRule="auto"/>
        <w:ind w:firstLine="480" w:firstLineChars="200"/>
        <w:jc w:val="left"/>
        <w:textAlignment w:val="baseline"/>
        <w:rPr>
          <w:rFonts w:ascii="宋体" w:hAnsi="宋体"/>
          <w:color w:val="auto"/>
          <w:sz w:val="24"/>
          <w:highlight w:val="none"/>
        </w:rPr>
      </w:pPr>
    </w:p>
    <w:p w14:paraId="3DA24DC9">
      <w:pPr>
        <w:spacing w:line="360" w:lineRule="auto"/>
        <w:ind w:firstLine="480" w:firstLineChars="200"/>
        <w:jc w:val="left"/>
        <w:textAlignment w:val="baseline"/>
        <w:rPr>
          <w:rFonts w:ascii="宋体" w:hAnsi="宋体"/>
          <w:color w:val="auto"/>
          <w:sz w:val="24"/>
          <w:highlight w:val="none"/>
        </w:rPr>
      </w:pPr>
      <w:r>
        <w:rPr>
          <w:rFonts w:ascii="宋体" w:hAnsi="宋体"/>
          <w:color w:val="auto"/>
          <w:sz w:val="24"/>
          <w:highlight w:val="none"/>
        </w:rPr>
        <w:t>投标人（盖法人章）：</w:t>
      </w:r>
      <w:r>
        <w:rPr>
          <w:rFonts w:ascii="宋体" w:hAnsi="宋体"/>
          <w:color w:val="auto"/>
          <w:sz w:val="24"/>
          <w:highlight w:val="none"/>
          <w:u w:val="single"/>
        </w:rPr>
        <w:t xml:space="preserve">                        </w:t>
      </w:r>
    </w:p>
    <w:p w14:paraId="168EEBA4">
      <w:pPr>
        <w:spacing w:line="360" w:lineRule="auto"/>
        <w:ind w:firstLine="480" w:firstLineChars="200"/>
        <w:jc w:val="left"/>
        <w:textAlignment w:val="baseline"/>
        <w:rPr>
          <w:rFonts w:ascii="宋体" w:hAnsi="宋体"/>
          <w:color w:val="auto"/>
          <w:sz w:val="24"/>
          <w:highlight w:val="none"/>
        </w:rPr>
      </w:pPr>
      <w:r>
        <w:rPr>
          <w:rFonts w:ascii="宋体" w:hAnsi="宋体"/>
          <w:color w:val="auto"/>
          <w:sz w:val="24"/>
          <w:highlight w:val="none"/>
        </w:rPr>
        <w:t>法定代表人（签字或盖章）：</w:t>
      </w:r>
      <w:r>
        <w:rPr>
          <w:rFonts w:ascii="宋体" w:hAnsi="宋体"/>
          <w:color w:val="auto"/>
          <w:sz w:val="24"/>
          <w:highlight w:val="none"/>
          <w:u w:val="single"/>
        </w:rPr>
        <w:t xml:space="preserve">                  </w:t>
      </w:r>
      <w:r>
        <w:rPr>
          <w:rFonts w:ascii="宋体" w:hAnsi="宋体"/>
          <w:color w:val="auto"/>
          <w:sz w:val="24"/>
          <w:highlight w:val="none"/>
        </w:rPr>
        <w:t xml:space="preserve"> </w:t>
      </w:r>
    </w:p>
    <w:p w14:paraId="03F2C155">
      <w:pPr>
        <w:spacing w:line="360" w:lineRule="auto"/>
        <w:ind w:firstLine="480" w:firstLineChars="200"/>
        <w:jc w:val="left"/>
        <w:textAlignment w:val="baseline"/>
        <w:rPr>
          <w:rFonts w:ascii="宋体" w:hAnsi="宋体"/>
          <w:color w:val="auto"/>
          <w:sz w:val="24"/>
          <w:highlight w:val="none"/>
        </w:rPr>
      </w:pPr>
      <w:r>
        <w:rPr>
          <w:rFonts w:ascii="宋体" w:hAnsi="宋体"/>
          <w:color w:val="auto"/>
          <w:sz w:val="24"/>
          <w:highlight w:val="none"/>
        </w:rPr>
        <w:t xml:space="preserve">                               </w:t>
      </w:r>
      <w:r>
        <w:rPr>
          <w:rFonts w:ascii="宋体" w:hAnsi="宋体"/>
          <w:color w:val="auto"/>
          <w:sz w:val="24"/>
          <w:highlight w:val="none"/>
          <w:u w:val="single"/>
        </w:rPr>
        <w:t xml:space="preserve">          </w:t>
      </w:r>
      <w:r>
        <w:rPr>
          <w:rFonts w:ascii="宋体" w:hAnsi="宋体"/>
          <w:color w:val="auto"/>
          <w:sz w:val="24"/>
          <w:highlight w:val="none"/>
        </w:rPr>
        <w:t>年</w:t>
      </w:r>
      <w:r>
        <w:rPr>
          <w:rFonts w:ascii="宋体" w:hAnsi="宋体"/>
          <w:color w:val="auto"/>
          <w:sz w:val="24"/>
          <w:highlight w:val="none"/>
          <w:u w:val="single"/>
        </w:rPr>
        <w:t xml:space="preserve">      </w:t>
      </w:r>
      <w:r>
        <w:rPr>
          <w:rFonts w:ascii="宋体" w:hAnsi="宋体"/>
          <w:color w:val="auto"/>
          <w:sz w:val="24"/>
          <w:highlight w:val="none"/>
        </w:rPr>
        <w:t>月</w:t>
      </w:r>
      <w:r>
        <w:rPr>
          <w:rFonts w:ascii="宋体" w:hAnsi="宋体"/>
          <w:color w:val="auto"/>
          <w:sz w:val="24"/>
          <w:highlight w:val="none"/>
          <w:u w:val="single"/>
        </w:rPr>
        <w:t xml:space="preserve">       </w:t>
      </w:r>
      <w:r>
        <w:rPr>
          <w:rFonts w:ascii="宋体" w:hAnsi="宋体"/>
          <w:color w:val="auto"/>
          <w:sz w:val="24"/>
          <w:highlight w:val="none"/>
        </w:rPr>
        <w:t>日</w:t>
      </w:r>
    </w:p>
    <w:p w14:paraId="12EF89B0">
      <w:pPr>
        <w:spacing w:line="360" w:lineRule="auto"/>
        <w:ind w:firstLine="480" w:firstLineChars="200"/>
        <w:jc w:val="left"/>
        <w:textAlignment w:val="baseline"/>
        <w:rPr>
          <w:rFonts w:ascii="宋体" w:hAnsi="宋体"/>
          <w:color w:val="auto"/>
          <w:sz w:val="24"/>
          <w:highlight w:val="none"/>
        </w:rPr>
      </w:pPr>
    </w:p>
    <w:p w14:paraId="0A81D412">
      <w:pPr>
        <w:pStyle w:val="21"/>
        <w:snapToGrid w:val="0"/>
        <w:spacing w:after="0" w:line="360" w:lineRule="auto"/>
        <w:ind w:firstLine="482" w:firstLineChars="200"/>
        <w:rPr>
          <w:rFonts w:ascii="宋体" w:hAnsi="宋体"/>
          <w:b/>
          <w:color w:val="auto"/>
          <w:kern w:val="2"/>
          <w:szCs w:val="24"/>
          <w:highlight w:val="none"/>
        </w:rPr>
      </w:pPr>
    </w:p>
    <w:p w14:paraId="31B173AF">
      <w:pPr>
        <w:adjustRightInd w:val="0"/>
        <w:snapToGrid w:val="0"/>
        <w:spacing w:line="360" w:lineRule="auto"/>
        <w:ind w:firstLine="482" w:firstLineChars="200"/>
        <w:jc w:val="center"/>
        <w:rPr>
          <w:rFonts w:ascii="宋体" w:hAnsi="宋体"/>
          <w:b/>
          <w:bCs/>
          <w:color w:val="auto"/>
          <w:sz w:val="24"/>
          <w:highlight w:val="none"/>
        </w:rPr>
      </w:pPr>
    </w:p>
    <w:p w14:paraId="7DB6E247">
      <w:pPr>
        <w:jc w:val="center"/>
        <w:rPr>
          <w:rFonts w:ascii="宋体" w:hAnsi="宋体"/>
          <w:b/>
          <w:bCs/>
          <w:color w:val="auto"/>
          <w:sz w:val="28"/>
          <w:szCs w:val="28"/>
          <w:highlight w:val="none"/>
        </w:rPr>
      </w:pPr>
      <w:r>
        <w:rPr>
          <w:rFonts w:hint="eastAsia" w:ascii="宋体" w:hAnsi="宋体"/>
          <w:b/>
          <w:bCs/>
          <w:color w:val="auto"/>
          <w:sz w:val="28"/>
          <w:szCs w:val="28"/>
          <w:highlight w:val="none"/>
        </w:rPr>
        <w:t>十一、响应性承诺书</w:t>
      </w:r>
    </w:p>
    <w:p w14:paraId="6C13BC7F">
      <w:pPr>
        <w:ind w:firstLine="2940" w:firstLineChars="1400"/>
        <w:rPr>
          <w:rFonts w:ascii="黑体" w:hAnsi="宋体" w:eastAsia="黑体"/>
          <w:color w:val="auto"/>
          <w:szCs w:val="21"/>
          <w:highlight w:val="none"/>
        </w:rPr>
      </w:pPr>
    </w:p>
    <w:p w14:paraId="4C3333F8">
      <w:pPr>
        <w:snapToGrid w:val="0"/>
        <w:spacing w:line="360" w:lineRule="auto"/>
        <w:jc w:val="left"/>
        <w:rPr>
          <w:rFonts w:ascii="宋体" w:hAnsi="宋体" w:cs="宋体"/>
          <w:color w:val="auto"/>
          <w:kern w:val="0"/>
          <w:sz w:val="24"/>
          <w:highlight w:val="none"/>
        </w:rPr>
      </w:pPr>
      <w:r>
        <w:rPr>
          <w:rFonts w:hint="eastAsia" w:ascii="宋体" w:hAnsi="宋体"/>
          <w:color w:val="auto"/>
          <w:sz w:val="24"/>
          <w:highlight w:val="none"/>
        </w:rPr>
        <w:t>致：</w:t>
      </w:r>
      <w:r>
        <w:rPr>
          <w:rFonts w:hint="eastAsia" w:ascii="宋体" w:hAnsi="宋体"/>
          <w:color w:val="auto"/>
          <w:sz w:val="24"/>
          <w:highlight w:val="none"/>
          <w:u w:val="single"/>
        </w:rPr>
        <w:t xml:space="preserve">           （招标人）：</w:t>
      </w:r>
    </w:p>
    <w:p w14:paraId="635D9738">
      <w:pPr>
        <w:snapToGrid w:val="0"/>
        <w:spacing w:line="360" w:lineRule="auto"/>
        <w:ind w:firstLine="480" w:firstLineChars="200"/>
        <w:jc w:val="left"/>
        <w:rPr>
          <w:rFonts w:ascii="宋体" w:hAnsi="宋体" w:cs="宋体"/>
          <w:color w:val="auto"/>
          <w:kern w:val="0"/>
          <w:sz w:val="24"/>
          <w:highlight w:val="none"/>
        </w:rPr>
      </w:pPr>
      <w:r>
        <w:rPr>
          <w:rFonts w:hint="eastAsia" w:ascii="宋体" w:hAnsi="宋体" w:cs="宋体"/>
          <w:color w:val="auto"/>
          <w:kern w:val="0"/>
          <w:sz w:val="24"/>
          <w:highlight w:val="none"/>
        </w:rPr>
        <w:t>我方参加你方的</w:t>
      </w:r>
      <w:r>
        <w:rPr>
          <w:rFonts w:hint="eastAsia" w:ascii="宋体" w:hAnsi="宋体" w:cs="宋体"/>
          <w:color w:val="auto"/>
          <w:sz w:val="24"/>
          <w:highlight w:val="none"/>
          <w:u w:val="single"/>
        </w:rPr>
        <w:t xml:space="preserve">        （项目名称）       </w:t>
      </w:r>
      <w:r>
        <w:rPr>
          <w:rFonts w:hint="eastAsia" w:ascii="宋体" w:hAnsi="宋体" w:cs="宋体"/>
          <w:color w:val="auto"/>
          <w:kern w:val="0"/>
          <w:sz w:val="24"/>
          <w:highlight w:val="none"/>
        </w:rPr>
        <w:t>（以下简称“本工程”）的投标，现我方法定代表人向你方慎重承诺：</w:t>
      </w:r>
    </w:p>
    <w:p w14:paraId="187F2F4A">
      <w:pPr>
        <w:snapToGrid w:val="0"/>
        <w:spacing w:line="360" w:lineRule="auto"/>
        <w:ind w:firstLine="480" w:firstLineChars="200"/>
        <w:jc w:val="left"/>
        <w:rPr>
          <w:rFonts w:ascii="宋体" w:hAnsi="宋体" w:cs="宋体"/>
          <w:snapToGrid w:val="0"/>
          <w:color w:val="auto"/>
          <w:kern w:val="0"/>
          <w:sz w:val="24"/>
          <w:highlight w:val="none"/>
        </w:rPr>
      </w:pPr>
      <w:r>
        <w:rPr>
          <w:rFonts w:hint="eastAsia" w:ascii="宋体" w:hAnsi="宋体" w:cs="宋体"/>
          <w:snapToGrid w:val="0"/>
          <w:color w:val="auto"/>
          <w:kern w:val="0"/>
          <w:sz w:val="24"/>
          <w:highlight w:val="none"/>
        </w:rPr>
        <w:t>1</w:t>
      </w:r>
      <w:r>
        <w:rPr>
          <w:rFonts w:ascii="宋体" w:hAnsi="宋体" w:cs="宋体"/>
          <w:snapToGrid w:val="0"/>
          <w:color w:val="auto"/>
          <w:kern w:val="0"/>
          <w:sz w:val="24"/>
          <w:highlight w:val="none"/>
        </w:rPr>
        <w:t>、</w:t>
      </w:r>
      <w:r>
        <w:rPr>
          <w:rFonts w:hint="eastAsia" w:ascii="宋体" w:hAnsi="宋体" w:cs="宋体"/>
          <w:snapToGrid w:val="0"/>
          <w:color w:val="auto"/>
          <w:kern w:val="0"/>
          <w:sz w:val="24"/>
          <w:highlight w:val="none"/>
        </w:rPr>
        <w:t>本工程技术标准和要求中，★项技术条款必须提供具有CNAS或CMA标识的第三方认证机构出具的检测报告复印件加盖投标单位公章，该有效检测报告需由中标人在中标公示期满后5个工作日内提供。</w:t>
      </w:r>
    </w:p>
    <w:p w14:paraId="6245EB98">
      <w:pPr>
        <w:snapToGrid w:val="0"/>
        <w:spacing w:line="360" w:lineRule="auto"/>
        <w:ind w:firstLine="480" w:firstLineChars="200"/>
        <w:jc w:val="left"/>
        <w:rPr>
          <w:rFonts w:ascii="宋体" w:hAnsi="宋体" w:cs="宋体"/>
          <w:snapToGrid w:val="0"/>
          <w:color w:val="auto"/>
          <w:kern w:val="0"/>
          <w:sz w:val="24"/>
          <w:highlight w:val="none"/>
        </w:rPr>
      </w:pPr>
      <w:r>
        <w:rPr>
          <w:rFonts w:hint="eastAsia" w:ascii="宋体" w:hAnsi="宋体" w:cs="宋体"/>
          <w:snapToGrid w:val="0"/>
          <w:color w:val="auto"/>
          <w:kern w:val="0"/>
          <w:sz w:val="24"/>
          <w:highlight w:val="none"/>
        </w:rPr>
        <w:t>2</w:t>
      </w:r>
      <w:r>
        <w:rPr>
          <w:rFonts w:ascii="宋体" w:hAnsi="宋体" w:cs="宋体"/>
          <w:snapToGrid w:val="0"/>
          <w:color w:val="auto"/>
          <w:kern w:val="0"/>
          <w:sz w:val="24"/>
          <w:highlight w:val="none"/>
        </w:rPr>
        <w:t>、</w:t>
      </w:r>
      <w:r>
        <w:rPr>
          <w:rFonts w:hint="eastAsia" w:ascii="宋体" w:hAnsi="宋体" w:cs="宋体"/>
          <w:snapToGrid w:val="0"/>
          <w:color w:val="auto"/>
          <w:kern w:val="0"/>
          <w:sz w:val="24"/>
          <w:highlight w:val="none"/>
        </w:rPr>
        <w:t>因本项目涉及与本地运营商共管共井及信息保密要求，中标人在中标公示期满后5个工作日内提供具有通信线路资源（提供相关运营证明文件）和信息保密承诺书原件。</w:t>
      </w:r>
    </w:p>
    <w:p w14:paraId="2F6C0B86">
      <w:pPr>
        <w:snapToGrid w:val="0"/>
        <w:spacing w:line="360" w:lineRule="auto"/>
        <w:ind w:firstLine="480" w:firstLineChars="200"/>
        <w:jc w:val="left"/>
        <w:rPr>
          <w:rFonts w:ascii="宋体" w:hAnsi="宋体" w:cs="宋体"/>
          <w:snapToGrid w:val="0"/>
          <w:color w:val="auto"/>
          <w:kern w:val="0"/>
          <w:sz w:val="24"/>
          <w:highlight w:val="none"/>
        </w:rPr>
      </w:pPr>
      <w:r>
        <w:rPr>
          <w:rFonts w:hint="eastAsia" w:ascii="宋体" w:hAnsi="宋体" w:cs="宋体"/>
          <w:snapToGrid w:val="0"/>
          <w:color w:val="auto"/>
          <w:kern w:val="0"/>
          <w:sz w:val="24"/>
          <w:highlight w:val="none"/>
        </w:rPr>
        <w:t>3</w:t>
      </w:r>
      <w:r>
        <w:rPr>
          <w:rFonts w:ascii="宋体" w:hAnsi="宋体" w:cs="宋体"/>
          <w:snapToGrid w:val="0"/>
          <w:color w:val="auto"/>
          <w:kern w:val="0"/>
          <w:sz w:val="24"/>
          <w:highlight w:val="none"/>
        </w:rPr>
        <w:t>、</w:t>
      </w:r>
      <w:r>
        <w:rPr>
          <w:rFonts w:hint="eastAsia" w:ascii="宋体" w:hAnsi="宋体" w:cs="宋体"/>
          <w:snapToGrid w:val="0"/>
          <w:color w:val="auto"/>
          <w:kern w:val="0"/>
          <w:sz w:val="24"/>
          <w:highlight w:val="none"/>
        </w:rPr>
        <w:t>要求停车设备厂家与智泊南通对接。中标结果公告发出后五个工作日内，中标人须提供南通智慧交通科技有限公司出具的智泊南通对接完成证明函（投标车辆道闸厂家与智泊南通完成对接）。</w:t>
      </w:r>
      <w:bookmarkStart w:id="163" w:name="_Hlk183101901"/>
    </w:p>
    <w:p w14:paraId="5F02DD55">
      <w:pPr>
        <w:snapToGrid w:val="0"/>
        <w:spacing w:line="360" w:lineRule="auto"/>
        <w:ind w:firstLine="480" w:firstLineChars="200"/>
        <w:jc w:val="left"/>
        <w:rPr>
          <w:rFonts w:ascii="宋体" w:hAnsi="宋体" w:cs="宋体"/>
          <w:snapToGrid w:val="0"/>
          <w:color w:val="auto"/>
          <w:kern w:val="0"/>
          <w:sz w:val="24"/>
          <w:highlight w:val="none"/>
        </w:rPr>
      </w:pPr>
      <w:r>
        <w:rPr>
          <w:rFonts w:hint="eastAsia" w:ascii="宋体" w:hAnsi="宋体" w:cs="宋体"/>
          <w:snapToGrid w:val="0"/>
          <w:color w:val="auto"/>
          <w:kern w:val="0"/>
          <w:sz w:val="24"/>
          <w:highlight w:val="none"/>
        </w:rPr>
        <w:t>上述1-3</w:t>
      </w:r>
      <w:r>
        <w:rPr>
          <w:rFonts w:ascii="宋体" w:hAnsi="宋体" w:cs="宋体"/>
          <w:snapToGrid w:val="0"/>
          <w:color w:val="auto"/>
          <w:kern w:val="0"/>
          <w:sz w:val="24"/>
          <w:highlight w:val="none"/>
        </w:rPr>
        <w:t>项</w:t>
      </w:r>
      <w:r>
        <w:rPr>
          <w:rFonts w:hint="eastAsia" w:ascii="宋体" w:hAnsi="宋体" w:cs="宋体"/>
          <w:snapToGrid w:val="0"/>
          <w:color w:val="auto"/>
          <w:kern w:val="0"/>
          <w:sz w:val="24"/>
          <w:highlight w:val="none"/>
        </w:rPr>
        <w:t>若不能提供有效的材料或提供不全的，则视为投标人自动放弃中标资格并承担所有的违约处理，如投标保证金不予退还。招标人可以按照评标委员会提出的中标候选人名单排序依次确定其他中标候选人为中标人（中标人必须在接到招标人通知后5个工作日内提供有效的证明材料（按招标文件的要求提供）供招标人核实，如不能如期提供则视为自动放弃中标资格），也可以重新招标。</w:t>
      </w:r>
      <w:bookmarkEnd w:id="163"/>
    </w:p>
    <w:p w14:paraId="0BF1F4ED">
      <w:pPr>
        <w:snapToGrid w:val="0"/>
        <w:spacing w:line="360" w:lineRule="auto"/>
        <w:ind w:firstLine="480" w:firstLineChars="200"/>
        <w:jc w:val="left"/>
        <w:rPr>
          <w:rFonts w:ascii="宋体" w:hAnsi="宋体" w:cs="宋体"/>
          <w:snapToGrid w:val="0"/>
          <w:color w:val="auto"/>
          <w:kern w:val="0"/>
          <w:sz w:val="24"/>
          <w:highlight w:val="none"/>
        </w:rPr>
      </w:pPr>
      <w:r>
        <w:rPr>
          <w:rFonts w:hint="eastAsia" w:ascii="宋体" w:hAnsi="宋体" w:cs="宋体"/>
          <w:snapToGrid w:val="0"/>
          <w:color w:val="auto"/>
          <w:kern w:val="0"/>
          <w:sz w:val="24"/>
          <w:highlight w:val="none"/>
        </w:rPr>
        <w:t>4</w:t>
      </w:r>
      <w:r>
        <w:rPr>
          <w:rFonts w:ascii="宋体" w:hAnsi="宋体" w:cs="宋体"/>
          <w:snapToGrid w:val="0"/>
          <w:color w:val="auto"/>
          <w:kern w:val="0"/>
          <w:sz w:val="24"/>
          <w:highlight w:val="none"/>
        </w:rPr>
        <w:t>、</w:t>
      </w:r>
      <w:r>
        <w:rPr>
          <w:rFonts w:hint="eastAsia" w:ascii="宋体" w:hAnsi="宋体" w:cs="宋体"/>
          <w:snapToGrid w:val="0"/>
          <w:color w:val="auto"/>
          <w:kern w:val="0"/>
          <w:sz w:val="24"/>
          <w:highlight w:val="none"/>
        </w:rPr>
        <w:t>在质保期内，招标人向我方发出故障通知后，我方应当在2小时以内到达现场，一般故障须在24小时内解决，重大故障须在48小时内解决。如现场不能维修解决的故障问题，须提供故障不能排除时的解决方案。</w:t>
      </w:r>
    </w:p>
    <w:p w14:paraId="5C4DE2EA">
      <w:pPr>
        <w:spacing w:after="120"/>
        <w:rPr>
          <w:color w:val="auto"/>
          <w:highlight w:val="none"/>
        </w:rPr>
      </w:pPr>
    </w:p>
    <w:p w14:paraId="33071B67">
      <w:pPr>
        <w:snapToGrid w:val="0"/>
        <w:spacing w:line="360" w:lineRule="auto"/>
        <w:ind w:firstLine="3360" w:firstLineChars="1400"/>
        <w:rPr>
          <w:rFonts w:ascii="宋体" w:hAnsi="宋体" w:cs="宋体"/>
          <w:color w:val="auto"/>
          <w:kern w:val="0"/>
          <w:sz w:val="24"/>
          <w:highlight w:val="none"/>
        </w:rPr>
      </w:pPr>
    </w:p>
    <w:p w14:paraId="32B30394">
      <w:pPr>
        <w:snapToGrid w:val="0"/>
        <w:spacing w:line="360" w:lineRule="auto"/>
        <w:ind w:firstLine="3360" w:firstLineChars="1400"/>
        <w:rPr>
          <w:rFonts w:ascii="宋体" w:hAnsi="宋体" w:cs="宋体"/>
          <w:color w:val="auto"/>
          <w:kern w:val="0"/>
          <w:sz w:val="24"/>
          <w:highlight w:val="none"/>
        </w:rPr>
      </w:pPr>
      <w:r>
        <w:rPr>
          <w:rFonts w:hint="eastAsia" w:ascii="宋体" w:hAnsi="宋体" w:cs="宋体"/>
          <w:color w:val="auto"/>
          <w:kern w:val="0"/>
          <w:sz w:val="24"/>
          <w:highlight w:val="none"/>
        </w:rPr>
        <w:t>承  诺  人：（盖单位公章）</w:t>
      </w:r>
    </w:p>
    <w:p w14:paraId="189D1158">
      <w:pPr>
        <w:snapToGrid w:val="0"/>
        <w:spacing w:line="360" w:lineRule="auto"/>
        <w:ind w:firstLine="3360" w:firstLineChars="1400"/>
        <w:rPr>
          <w:rFonts w:ascii="宋体" w:hAnsi="宋体" w:cs="宋体"/>
          <w:color w:val="auto"/>
          <w:kern w:val="0"/>
          <w:sz w:val="24"/>
          <w:highlight w:val="none"/>
        </w:rPr>
      </w:pPr>
      <w:r>
        <w:rPr>
          <w:rFonts w:hint="eastAsia" w:ascii="宋体" w:hAnsi="宋体" w:cs="宋体"/>
          <w:color w:val="auto"/>
          <w:kern w:val="0"/>
          <w:sz w:val="24"/>
          <w:highlight w:val="none"/>
        </w:rPr>
        <w:t>法定代表人：（签字或印章）</w:t>
      </w:r>
    </w:p>
    <w:p w14:paraId="5CAF28DF">
      <w:pPr>
        <w:jc w:val="right"/>
        <w:rPr>
          <w:color w:val="auto"/>
          <w:highlight w:val="none"/>
        </w:rPr>
      </w:pPr>
      <w:r>
        <w:rPr>
          <w:rFonts w:hint="eastAsia" w:ascii="宋体" w:hAnsi="宋体" w:cs="宋体"/>
          <w:color w:val="auto"/>
          <w:kern w:val="0"/>
          <w:sz w:val="24"/>
          <w:highlight w:val="none"/>
        </w:rPr>
        <w:t>年   月   日</w:t>
      </w:r>
    </w:p>
    <w:p w14:paraId="7FAFBC70">
      <w:pPr>
        <w:adjustRightInd w:val="0"/>
        <w:snapToGrid w:val="0"/>
        <w:spacing w:line="360" w:lineRule="auto"/>
        <w:ind w:firstLine="482" w:firstLineChars="200"/>
        <w:jc w:val="center"/>
        <w:rPr>
          <w:rFonts w:ascii="宋体" w:hAnsi="宋体"/>
          <w:b/>
          <w:bCs/>
          <w:color w:val="auto"/>
          <w:sz w:val="24"/>
          <w:highlight w:val="none"/>
        </w:rPr>
      </w:pPr>
    </w:p>
    <w:p w14:paraId="13DD19EA">
      <w:pPr>
        <w:pStyle w:val="2"/>
        <w:spacing w:line="360" w:lineRule="auto"/>
        <w:jc w:val="center"/>
        <w:rPr>
          <w:rFonts w:ascii="宋体" w:hAnsi="宋体"/>
          <w:color w:val="auto"/>
          <w:sz w:val="36"/>
          <w:highlight w:val="none"/>
        </w:rPr>
      </w:pPr>
      <w:bookmarkStart w:id="164" w:name="_Toc404174023"/>
      <w:bookmarkStart w:id="165" w:name="_Toc404159965"/>
      <w:r>
        <w:rPr>
          <w:rFonts w:hint="eastAsia" w:ascii="宋体" w:hAnsi="宋体"/>
          <w:color w:val="auto"/>
          <w:sz w:val="36"/>
          <w:highlight w:val="none"/>
        </w:rPr>
        <w:t>第八章 工程量清单</w:t>
      </w:r>
      <w:bookmarkEnd w:id="164"/>
      <w:bookmarkEnd w:id="165"/>
      <w:r>
        <w:rPr>
          <w:rFonts w:ascii="宋体" w:hAnsi="宋体"/>
          <w:color w:val="auto"/>
          <w:sz w:val="36"/>
          <w:highlight w:val="none"/>
        </w:rPr>
        <mc:AlternateContent>
          <mc:Choice Requires="wps">
            <w:drawing>
              <wp:anchor distT="0" distB="0" distL="114300" distR="114300" simplePos="0" relativeHeight="251664384" behindDoc="0" locked="0" layoutInCell="1" allowOverlap="1">
                <wp:simplePos x="0" y="0"/>
                <wp:positionH relativeFrom="column">
                  <wp:posOffset>-864235</wp:posOffset>
                </wp:positionH>
                <wp:positionV relativeFrom="paragraph">
                  <wp:posOffset>-4389755</wp:posOffset>
                </wp:positionV>
                <wp:extent cx="914400" cy="914400"/>
                <wp:effectExtent l="4445" t="4445" r="8255" b="8255"/>
                <wp:wrapNone/>
                <wp:docPr id="1" name="文本框 1"/>
                <wp:cNvGraphicFramePr/>
                <a:graphic xmlns:a="http://schemas.openxmlformats.org/drawingml/2006/main">
                  <a:graphicData uri="http://schemas.microsoft.com/office/word/2010/wordprocessingShape">
                    <wps:wsp>
                      <wps:cNvSpPr txBox="1"/>
                      <wps:spPr>
                        <a:xfrm>
                          <a:off x="0" y="0"/>
                          <a:ext cx="914400" cy="914400"/>
                        </a:xfrm>
                        <a:prstGeom prst="rect">
                          <a:avLst/>
                        </a:prstGeom>
                        <a:solidFill>
                          <a:srgbClr val="FFFFFF"/>
                        </a:solidFill>
                        <a:ln w="9525" cap="flat" cmpd="sng">
                          <a:solidFill>
                            <a:srgbClr val="000000"/>
                          </a:solidFill>
                          <a:prstDash val="solid"/>
                          <a:miter/>
                          <a:headEnd type="none" w="med" len="med"/>
                          <a:tailEnd type="none" w="med" len="med"/>
                        </a:ln>
                      </wps:spPr>
                      <wps:txbx>
                        <w:txbxContent>
                          <w:p w14:paraId="570D5AA3">
                            <w:pPr>
                              <w:rPr>
                                <w:b/>
                                <w:bCs/>
                                <w:sz w:val="32"/>
                              </w:rPr>
                            </w:pPr>
                            <w:r>
                              <w:rPr>
                                <w:rFonts w:hint="eastAsia"/>
                                <w:b/>
                                <w:bCs/>
                                <w:sz w:val="32"/>
                              </w:rPr>
                              <w:t>制定</w:t>
                            </w:r>
                          </w:p>
                        </w:txbxContent>
                      </wps:txbx>
                      <wps:bodyPr upright="1"/>
                    </wps:wsp>
                  </a:graphicData>
                </a:graphic>
              </wp:anchor>
            </w:drawing>
          </mc:Choice>
          <mc:Fallback>
            <w:pict>
              <v:shape id="_x0000_s1026" o:spid="_x0000_s1026" o:spt="202" type="#_x0000_t202" style="position:absolute;left:0pt;margin-left:-68.05pt;margin-top:-345.65pt;height:72pt;width:72pt;z-index:251664384;mso-width-relative:page;mso-height-relative:page;" fillcolor="#FFFFFF" filled="t" stroked="t" coordsize="21600,21600" o:gfxdata="UEsDBAoAAAAAAIdO4kAAAAAAAAAAAAAAAAAEAAAAZHJzL1BLAwQUAAAACACHTuJA1gDQ6doAAAAM&#10;AQAADwAAAGRycy9kb3ducmV2LnhtbE2PPU/DMBCGdyT+g3VILKh1TErShDgdkECwQUGwurGbRNjn&#10;YLtp+fccE2z38ei955rNyVk2mxBHjxLEMgNmsPN6xF7C2+v9Yg0sJoVaWY9GwreJsGnPzxpVa3/E&#10;FzNvU88oBGOtJAwpTTXnsRuMU3HpJ4O02/vgVKI29FwHdaRwZ/l1lhXcqRHpwqAmczeY7nN7cBLW&#10;q8f5Iz7lz+9dsbdVuirnh68g5eWFyG6BJXNKfzD86pM6tOS08wfUkVkJC5EXgliqikrkwIgpK2A7&#10;Gtysyhx42/D/T7Q/UEsDBBQAAAAIAIdO4kCA9MMyBQIAADUEAAAOAAAAZHJzL2Uyb0RvYy54bWyt&#10;U8uu0zAQ3SPxD5b3NGl1L4Ko6ZWglA0CpHv5ANePxJJf8rhN+gPwB6zYsOe7+h2MndL7gEUXZJGM&#10;7ZMzc86MlzejNWQvI2jvWjqf1ZRIx73Qrmvpl7vNi1eUQGJOMOOdbOlBAr1ZPX+2HEIjF773RshI&#10;kMRBM4SW9imFpqqA99IymPkgHR4qHy1LuIxdJSIbkN2aalHXL6vBRxGi5xIAd9fTIT0xxksIvVKa&#10;y7XnOytdmlijNCyhJOh1ALoq1SolefqkFMhETEtRaSpvTILxNr+r1ZI1XWSh1/xUArukhCeaLNMO&#10;k56p1iwxsov6LyqrefTgVZpxb6tJSHEEVczrJ97c9izIogWthnA2Hf4fLf+4/xyJFjgJlDhmseHH&#10;79+OP34df34l82zPEKBB1G1AXBrf+DFDT/uAm1n1qKLNX9RD8BzNPZzNlWMiHDdfz6+uajzheHSK&#10;kaW6/zlESO+ltyQHLY3Yu2Ip23+ANEH/QHIu8EaLjTamLGK3fWsi2TPs86Y8uUZkfwQzjgyY/Xpx&#10;jXUwHF6FQ4OhDWgAuK7ke/QHPCSuy/Mv4lzYmkE/FVAYMow1VicZS9RLJt45QdIhoMkO7xbNxVgp&#10;KDESr2KOCjIxbS5BojrjUGTu0NSJHKVxOyJNDrdeHLBruxB116OlpW8FjtNU3DlNfh7Xh+tCen/b&#10;V78BUEsDBAoAAAAAAIdO4kAAAAAAAAAAAAAAAAAGAAAAX3JlbHMvUEsDBBQAAAAIAIdO4kCKFGY8&#10;0QAAAJQBAAALAAAAX3JlbHMvLnJlbHOlkMFqwzAMhu+DvYPRfXGawxijTi+j0GvpHsDYimMaW0Yy&#10;2fr28w6DZfS2o36h7xP//vCZFrUiS6RsYNf1oDA78jEHA++X49MLKKk2e7tQRgM3FDiMjw/7My62&#10;tiOZYxHVKFkMzLWWV63FzZisdFQwt81EnGxtIwddrLvagHro+2fNvxkwbpjq5A3wyQ+gLrfSzH/Y&#10;KTomoal2jpKmaYruHlUHtmWO7sg24Ru5RrMcsBrwLBoHalnXfgR9X7/7p97TRz7jutV+h4zrj1dv&#10;uhy/AFBLAwQUAAAACACHTuJAfublIPcAAADhAQAAEwAAAFtDb250ZW50X1R5cGVzXS54bWyVkUFO&#10;wzAQRfdI3MHyFiVOu0AIJemCtEtAqBxgZE8Si2RseUxob4+TthtEkVjaM/+/J7vcHMZBTBjYOqrk&#10;Ki+kQNLOWOoq+b7fZQ9ScAQyMDjCSh6R5aa+vSn3R48sUpq4kn2M/lEp1j2OwLnzSGnSujBCTMfQ&#10;KQ/6AzpU66K4V9pRRIpZnDtkXTbYwucQxfaQrk8mAQeW4um0OLMqCd4PVkNMpmoi84OSnQl5Si47&#10;3FvPd0lDql8J8+Q64Jx7SU8TrEHxCiE+w5g0lAmsjPuigFP+d8lsOXLm2tZqzJvATYq94XSxutaO&#10;a9c4/d/y7ZK6dKvlg+pvUEsBAhQAFAAAAAgAh07iQH7m5SD3AAAA4QEAABMAAAAAAAAAAQAgAAAA&#10;eAQAAFtDb250ZW50X1R5cGVzXS54bWxQSwECFAAKAAAAAACHTuJAAAAAAAAAAAAAAAAABgAAAAAA&#10;AAAAABAAAABaAwAAX3JlbHMvUEsBAhQAFAAAAAgAh07iQIoUZjzRAAAAlAEAAAsAAAAAAAAAAQAg&#10;AAAAfgMAAF9yZWxzLy5yZWxzUEsBAhQACgAAAAAAh07iQAAAAAAAAAAAAAAAAAQAAAAAAAAAAAAQ&#10;AAAAAAAAAGRycy9QSwECFAAUAAAACACHTuJA1gDQ6doAAAAMAQAADwAAAAAAAAABACAAAAAiAAAA&#10;ZHJzL2Rvd25yZXYueG1sUEsBAhQAFAAAAAgAh07iQID0wzIFAgAANQQAAA4AAAAAAAAAAQAgAAAA&#10;KQEAAGRycy9lMm9Eb2MueG1sUEsFBgAAAAAGAAYAWQEAAKAFAAAAAA==&#10;">
                <v:fill on="t" focussize="0,0"/>
                <v:stroke color="#000000" joinstyle="miter"/>
                <v:imagedata o:title=""/>
                <o:lock v:ext="edit" aspectratio="f"/>
                <v:textbox>
                  <w:txbxContent>
                    <w:p w14:paraId="570D5AA3">
                      <w:pPr>
                        <w:rPr>
                          <w:b/>
                          <w:bCs/>
                          <w:sz w:val="32"/>
                        </w:rPr>
                      </w:pPr>
                      <w:r>
                        <w:rPr>
                          <w:rFonts w:hint="eastAsia"/>
                          <w:b/>
                          <w:bCs/>
                          <w:sz w:val="32"/>
                        </w:rPr>
                        <w:t>制定</w:t>
                      </w:r>
                    </w:p>
                  </w:txbxContent>
                </v:textbox>
              </v:shape>
            </w:pict>
          </mc:Fallback>
        </mc:AlternateContent>
      </w:r>
    </w:p>
    <w:p w14:paraId="2437D7FD">
      <w:pPr>
        <w:spacing w:line="360" w:lineRule="auto"/>
        <w:ind w:firstLine="420" w:firstLineChars="200"/>
        <w:rPr>
          <w:rFonts w:ascii="宋体" w:hAnsi="宋体"/>
          <w:color w:val="auto"/>
          <w:highlight w:val="none"/>
        </w:rPr>
      </w:pPr>
    </w:p>
    <w:sectPr>
      <w:footerReference r:id="rId5" w:type="default"/>
      <w:footerReference r:id="rId6" w:type="even"/>
      <w:pgSz w:w="11907" w:h="16840"/>
      <w:pgMar w:top="1440" w:right="1009" w:bottom="1440" w:left="1797" w:header="720" w:footer="720" w:gutter="0"/>
      <w:cols w:space="0" w:num="1"/>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86"/>
    <w:family w:val="auto"/>
    <w:pitch w:val="default"/>
    <w:sig w:usb0="E0002EFF" w:usb1="C000785B" w:usb2="00000009" w:usb3="00000000" w:csb0="400001FF" w:csb1="FFFF0000"/>
  </w:font>
  <w:font w:name="宋体">
    <w:panose1 w:val="02010600030101010101"/>
    <w:charset w:val="7A"/>
    <w:family w:val="auto"/>
    <w:pitch w:val="default"/>
    <w:sig w:usb0="00000003" w:usb1="288F0000" w:usb2="00000006" w:usb3="00000000" w:csb0="00040001" w:csb1="00000000"/>
  </w:font>
  <w:font w:name="Wingdings">
    <w:panose1 w:val="05000000000000000000"/>
    <w:charset w:val="02"/>
    <w:family w:val="auto"/>
    <w:pitch w:val="default"/>
    <w:sig w:usb0="00000000" w:usb1="00000000" w:usb2="00000000" w:usb3="00000000" w:csb0="80000000" w:csb1="00000000"/>
  </w:font>
  <w:font w:name="Arial">
    <w:panose1 w:val="020B0604020202020204"/>
    <w:charset w:val="01"/>
    <w:family w:val="swiss"/>
    <w:pitch w:val="default"/>
    <w:sig w:usb0="E0002EFF" w:usb1="C000785B" w:usb2="00000009" w:usb3="00000000" w:csb0="400001FF" w:csb1="FFFF0000"/>
  </w:font>
  <w:font w:name="黑体">
    <w:panose1 w:val="02010609060101010101"/>
    <w:charset w:val="86"/>
    <w:family w:val="auto"/>
    <w:pitch w:val="default"/>
    <w:sig w:usb0="800002BF" w:usb1="38CF7CFA" w:usb2="00000016" w:usb3="00000000" w:csb0="00040001" w:csb1="00000000"/>
  </w:font>
  <w:font w:name="Courier New">
    <w:panose1 w:val="02070309020205020404"/>
    <w:charset w:val="01"/>
    <w:family w:val="modern"/>
    <w:pitch w:val="default"/>
    <w:sig w:usb0="E0002EFF" w:usb1="C0007843" w:usb2="00000009" w:usb3="00000000" w:csb0="400001FF" w:csb1="FFFF0000"/>
  </w:font>
  <w:font w:name="Symbol">
    <w:panose1 w:val="05050102010706020507"/>
    <w:charset w:val="02"/>
    <w:family w:val="roman"/>
    <w:pitch w:val="default"/>
    <w:sig w:usb0="00000000" w:usb1="00000000" w:usb2="00000000" w:usb3="00000000" w:csb0="80000000" w:csb1="00000000"/>
  </w:font>
  <w:font w:name="Calibri">
    <w:panose1 w:val="020F0502020204030204"/>
    <w:charset w:val="00"/>
    <w:family w:val="swiss"/>
    <w:pitch w:val="default"/>
    <w:sig w:usb0="E4002EFF" w:usb1="C000247B" w:usb2="00000009" w:usb3="00000000" w:csb0="200001FF" w:csb1="00000000"/>
  </w:font>
  <w:font w:name="Arial">
    <w:panose1 w:val="020B0604020202020204"/>
    <w:charset w:val="00"/>
    <w:family w:val="auto"/>
    <w:pitch w:val="default"/>
    <w:sig w:usb0="E0002EFF" w:usb1="C000785B" w:usb2="00000009" w:usb3="00000000" w:csb0="400001FF" w:csb1="FFFF0000"/>
  </w:font>
  <w:font w:name="Calibri Light">
    <w:panose1 w:val="020F0302020204030204"/>
    <w:charset w:val="00"/>
    <w:family w:val="swiss"/>
    <w:pitch w:val="default"/>
    <w:sig w:usb0="E4002EFF" w:usb1="C000247B" w:usb2="00000009" w:usb3="00000000" w:csb0="200001FF" w:csb1="00000000"/>
  </w:font>
  <w:font w:name="仿宋_GB2312">
    <w:altName w:val="仿宋"/>
    <w:panose1 w:val="00000000000000000000"/>
    <w:charset w:val="86"/>
    <w:family w:val="modern"/>
    <w:pitch w:val="default"/>
    <w:sig w:usb0="00000000" w:usb1="00000000" w:usb2="00000000" w:usb3="00000000" w:csb0="00040000" w:csb1="00000000"/>
  </w:font>
  <w:font w:name="仿宋">
    <w:panose1 w:val="02010609060101010101"/>
    <w:charset w:val="86"/>
    <w:family w:val="modern"/>
    <w:pitch w:val="default"/>
    <w:sig w:usb0="800002BF" w:usb1="38CF7CFA" w:usb2="00000016" w:usb3="00000000" w:csb0="00040001" w:csb1="00000000"/>
  </w:font>
  <w:font w:name="等线">
    <w:panose1 w:val="02010600030101010101"/>
    <w:charset w:val="86"/>
    <w:family w:val="auto"/>
    <w:pitch w:val="default"/>
    <w:sig w:usb0="A00002BF" w:usb1="38CF7CFA" w:usb2="00000016" w:usb3="00000000" w:csb0="0004000F" w:csb1="00000000"/>
  </w:font>
  <w:font w:name="新宋体">
    <w:panose1 w:val="02010609030101010101"/>
    <w:charset w:val="86"/>
    <w:family w:val="modern"/>
    <w:pitch w:val="default"/>
    <w:sig w:usb0="00000283" w:usb1="288F0000" w:usb2="00000006" w:usb3="00000000" w:csb0="00040001" w:csb1="00000000"/>
  </w:font>
  <w:font w:name="微软雅黑">
    <w:panose1 w:val="020B0503020204020204"/>
    <w:charset w:val="86"/>
    <w:family w:val="swiss"/>
    <w:pitch w:val="default"/>
    <w:sig w:usb0="80000287" w:usb1="2ACF3C50" w:usb2="00000016" w:usb3="00000000" w:csb0="0004001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2297E0F5">
    <w:pPr>
      <w:pStyle w:val="12"/>
      <w:ind w:right="360"/>
    </w:pPr>
    <w:r>
      <mc:AlternateContent>
        <mc:Choice Requires="wps">
          <w:drawing>
            <wp:anchor distT="0" distB="0" distL="114300" distR="114300" simplePos="0" relativeHeight="251663360" behindDoc="0" locked="0" layoutInCell="1" allowOverlap="1">
              <wp:simplePos x="0" y="0"/>
              <wp:positionH relativeFrom="margin">
                <wp:align>center</wp:align>
              </wp:positionH>
              <wp:positionV relativeFrom="paragraph">
                <wp:posOffset>0</wp:posOffset>
              </wp:positionV>
              <wp:extent cx="247650" cy="262890"/>
              <wp:effectExtent l="0" t="0" r="0" b="0"/>
              <wp:wrapNone/>
              <wp:docPr id="7" name="文本框 7"/>
              <wp:cNvGraphicFramePr/>
              <a:graphic xmlns:a="http://schemas.openxmlformats.org/drawingml/2006/main">
                <a:graphicData uri="http://schemas.microsoft.com/office/word/2010/wordprocessingShape">
                  <wps:wsp>
                    <wps:cNvSpPr txBox="1"/>
                    <wps:spPr>
                      <a:xfrm>
                        <a:off x="0" y="0"/>
                        <a:ext cx="247650" cy="262890"/>
                      </a:xfrm>
                      <a:prstGeom prst="rect">
                        <a:avLst/>
                      </a:prstGeom>
                      <a:noFill/>
                      <a:ln>
                        <a:noFill/>
                      </a:ln>
                    </wps:spPr>
                    <wps:txbx>
                      <w:txbxContent>
                        <w:p w14:paraId="39434D5A">
                          <w:pPr>
                            <w:pStyle w:val="12"/>
                          </w:pPr>
                          <w:r>
                            <w:rPr>
                              <w:rFonts w:hint="eastAsia"/>
                            </w:rPr>
                            <w:fldChar w:fldCharType="begin"/>
                          </w:r>
                          <w:r>
                            <w:rPr>
                              <w:rFonts w:hint="eastAsia"/>
                            </w:rPr>
                            <w:instrText xml:space="preserve"> PAGE  \* MERGEFORMAT </w:instrText>
                          </w:r>
                          <w:r>
                            <w:rPr>
                              <w:rFonts w:hint="eastAsia"/>
                            </w:rPr>
                            <w:fldChar w:fldCharType="separate"/>
                          </w:r>
                          <w:r>
                            <w:t>134</w:t>
                          </w:r>
                          <w:r>
                            <w:rPr>
                              <w:rFonts w:hint="eastAsia"/>
                            </w:rPr>
                            <w:fldChar w:fldCharType="end"/>
                          </w:r>
                        </w:p>
                      </w:txbxContent>
                    </wps:txbx>
                    <wps:bodyPr wrap="none" lIns="0" tIns="0" rIns="0" bIns="0">
                      <a:spAutoFit/>
                    </wps:bodyPr>
                  </wps:wsp>
                </a:graphicData>
              </a:graphic>
            </wp:anchor>
          </w:drawing>
        </mc:Choice>
        <mc:Fallback>
          <w:pict>
            <v:shape id="_x0000_s1026" o:spid="_x0000_s1026" o:spt="202" type="#_x0000_t202" style="position:absolute;left:0pt;margin-top:0pt;height:20.7pt;width:19.5pt;mso-position-horizontal:center;mso-position-horizontal-relative:margin;mso-wrap-style:none;z-index:251663360;mso-width-relative:page;mso-height-relative:page;" filled="f" stroked="f" coordsize="21600,21600" o:gfxdata="UEsDBAoAAAAAAIdO4kAAAAAAAAAAAAAAAAAEAAAAZHJzL1BLAwQUAAAACACHTuJAfglE0NEAAAAD&#10;AQAADwAAAGRycy9kb3ducmV2LnhtbE2PwU7DMBBE70j8g7VI3KiTUkEJcXqo1Au3FoTEzY23cYS9&#10;jmw3Tf6eLRe4jDSa1czbejN5J0aMqQ+koFwUIJDaYHrqFHy87x7WIFLWZLQLhApmTLBpbm9qXZlw&#10;oT2Oh9wJLqFUaQU256GSMrUWvU6LMCBxdgrR68w2dtJEfeFy7+SyKJ6k1z3xgtUDbi2234ezV/A8&#10;fQYcEm7x6zS20fbz2r3NSt3flcUriIxT/juGKz6jQ8NMx3Amk4RTwI/kX+Xs8YXdUcGqXIFsavmf&#10;vfkBUEsDBBQAAAAIAIdO4kBJ1QzXxwEAAIsDAAAOAAAAZHJzL2Uyb0RvYy54bWytU82O0zAQviPx&#10;Dpbv1N0I2iVqugJVi5AQIC08gOvYjSX/yeM26QvAG3Diwp3n6nPs2Em7sFz2wCWdzEy/+b5vJqub&#10;wRpykBG0dw29ms0pkU74VrtdQ79+uX1xTQkk7lpuvJMNPUqgN+vnz1Z9qGXlO29aGQmCOKj70NAu&#10;pVAzBqKTlsPMB+mwqHy0POFr3LE28h7RrWHVfL5gvY9tiF5IAMxuxiKdEONTAL1SWsiNF3srXRpR&#10;ozQ8oSTodAC6LmyVkiJ9UgpkIqahqDSVJw7BeJufbL3i9S7y0GkxUeBPofBIk+Xa4dAL1IYnTvZR&#10;/wNltYgevEoz4S0bhRRHUMXV/JE3dx0PsmhBqyFcTIf/Bys+Hj5HotuGLilx3OLCTz++n37+Pv36&#10;RpbZnj5AjV13AfvS8NYPeDTnPGAyqx5UtPkX9RCso7nHi7lySERgsnq5XLzCisBStaiuXxfz2cOf&#10;Q4T0TnpLctDQiLsrlvLDB0hIBFvPLXmW87famLI/4/5KYGPOsMx8ZJijNGyHSc7Wt0dU0+PaG+rw&#10;yikx7x26mi/kHMRzsJ2CPAPCm33CwYVPRh2hpmG4o0Jzuqd8BH++l66Hb2h9D1BLAwQKAAAAAACH&#10;TuJAAAAAAAAAAAAAAAAABgAAAF9yZWxzL1BLAwQUAAAACACHTuJAihRmPNEAAACUAQAACwAAAF9y&#10;ZWxzLy5yZWxzpZDBasMwDIbvg72D0X1xmsMYo04vo9Br6R7A2IpjGltGMtn69vMOg2X0tqN+oe8T&#10;//7wmRa1IkukbGDX9aAwO/IxBwPvl+PTCyipNnu7UEYDNxQ4jI8P+zMutrYjmWMR1ShZDMy1llet&#10;xc2YrHRUMLfNRJxsbSMHXay72oB66Ptnzb8ZMG6Y6uQN8MkPoC630sx/2Ck6JqGpdo6SpmmK7h5V&#10;B7Zlju7INuEbuUazHLAa8CwaB2pZ134EfV+/+6fe00c+47rVfoeM649Xb7ocvwBQSwMEFAAAAAgA&#10;h07iQH7m5SD3AAAA4QEAABMAAABbQ29udGVudF9UeXBlc10ueG1slZFBTsMwEEX3SNzB8hYlTrtA&#10;CCXpgrRLQKgcYGRPEotkbHlMaG+Pk7YbRJFY2jP/vye73BzGQUwY2Dqq5CovpEDSzljqKvm+32UP&#10;UnAEMjA4wkoekeWmvr0p90ePLFKauJJ9jP5RKdY9jsC580hp0rowQkzH0CkP+gM6VOuiuFfaUUSK&#10;WZw7ZF022MLnEMX2kK5PJgEHluLptDizKgneD1ZDTKZqIvODkp0JeUouO9xbz3dJQ6pfCfPkOuCc&#10;e0lPE6xB8QohPsOYNJQJrIz7ooBT/nfJbDly5trWasybwE2KveF0sbrWjmvXOP3f8u2SunSr5YPq&#10;b1BLAQIUABQAAAAIAIdO4kB+5uUg9wAAAOEBAAATAAAAAAAAAAEAIAAAADEEAABbQ29udGVudF9U&#10;eXBlc10ueG1sUEsBAhQACgAAAAAAh07iQAAAAAAAAAAAAAAAAAYAAAAAAAAAAAAQAAAAEwMAAF9y&#10;ZWxzL1BLAQIUABQAAAAIAIdO4kCKFGY80QAAAJQBAAALAAAAAAAAAAEAIAAAADcDAABfcmVscy8u&#10;cmVsc1BLAQIUAAoAAAAAAIdO4kAAAAAAAAAAAAAAAAAEAAAAAAAAAAAAEAAAAAAAAABkcnMvUEsB&#10;AhQAFAAAAAgAh07iQH4JRNDRAAAAAwEAAA8AAAAAAAAAAQAgAAAAIgAAAGRycy9kb3ducmV2Lnht&#10;bFBLAQIUABQAAAAIAIdO4kBJ1QzXxwEAAIsDAAAOAAAAAAAAAAEAIAAAACABAABkcnMvZTJvRG9j&#10;LnhtbFBLBQYAAAAABgAGAFkBAABZBQAAAAA=&#10;">
              <v:fill on="f" focussize="0,0"/>
              <v:stroke on="f"/>
              <v:imagedata o:title=""/>
              <o:lock v:ext="edit" aspectratio="f"/>
              <v:textbox inset="0mm,0mm,0mm,0mm" style="mso-fit-shape-to-text:t;">
                <w:txbxContent>
                  <w:p w14:paraId="39434D5A">
                    <w:pPr>
                      <w:pStyle w:val="12"/>
                    </w:pPr>
                    <w:r>
                      <w:rPr>
                        <w:rFonts w:hint="eastAsia"/>
                      </w:rPr>
                      <w:fldChar w:fldCharType="begin"/>
                    </w:r>
                    <w:r>
                      <w:rPr>
                        <w:rFonts w:hint="eastAsia"/>
                      </w:rPr>
                      <w:instrText xml:space="preserve"> PAGE  \* MERGEFORMAT </w:instrText>
                    </w:r>
                    <w:r>
                      <w:rPr>
                        <w:rFonts w:hint="eastAsia"/>
                      </w:rPr>
                      <w:fldChar w:fldCharType="separate"/>
                    </w:r>
                    <w:r>
                      <w:t>134</w:t>
                    </w:r>
                    <w:r>
                      <w:rPr>
                        <w:rFonts w:hint="eastAsia"/>
                      </w:rPr>
                      <w:fldChar w:fldCharType="end"/>
                    </w:r>
                  </w:p>
                </w:txbxContent>
              </v:textbox>
            </v:shape>
          </w:pict>
        </mc:Fallback>
      </mc:AlternateContent>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40DCE3C3">
    <w:pPr>
      <w:pStyle w:val="12"/>
    </w:pPr>
    <w:r>
      <mc:AlternateContent>
        <mc:Choice Requires="wps">
          <w:drawing>
            <wp:anchor distT="0" distB="0" distL="114300" distR="114300" simplePos="0" relativeHeight="251664384" behindDoc="0" locked="0" layoutInCell="1" allowOverlap="1">
              <wp:simplePos x="0" y="0"/>
              <wp:positionH relativeFrom="margin">
                <wp:align>center</wp:align>
              </wp:positionH>
              <wp:positionV relativeFrom="paragraph">
                <wp:posOffset>0</wp:posOffset>
              </wp:positionV>
              <wp:extent cx="190500" cy="262890"/>
              <wp:effectExtent l="0" t="0" r="0" b="0"/>
              <wp:wrapNone/>
              <wp:docPr id="6" name="文本框 6"/>
              <wp:cNvGraphicFramePr/>
              <a:graphic xmlns:a="http://schemas.openxmlformats.org/drawingml/2006/main">
                <a:graphicData uri="http://schemas.microsoft.com/office/word/2010/wordprocessingShape">
                  <wps:wsp>
                    <wps:cNvSpPr txBox="1"/>
                    <wps:spPr>
                      <a:xfrm>
                        <a:off x="0" y="0"/>
                        <a:ext cx="190500" cy="262890"/>
                      </a:xfrm>
                      <a:prstGeom prst="rect">
                        <a:avLst/>
                      </a:prstGeom>
                      <a:noFill/>
                      <a:ln>
                        <a:noFill/>
                      </a:ln>
                    </wps:spPr>
                    <wps:txbx>
                      <w:txbxContent>
                        <w:p w14:paraId="0973C623">
                          <w:pPr>
                            <w:pStyle w:val="12"/>
                          </w:pPr>
                          <w:r>
                            <w:rPr>
                              <w:rFonts w:hint="eastAsia"/>
                            </w:rPr>
                            <w:fldChar w:fldCharType="begin"/>
                          </w:r>
                          <w:r>
                            <w:rPr>
                              <w:rFonts w:hint="eastAsia"/>
                            </w:rPr>
                            <w:instrText xml:space="preserve"> PAGE  \* MERGEFORMAT </w:instrText>
                          </w:r>
                          <w:r>
                            <w:rPr>
                              <w:rFonts w:hint="eastAsia"/>
                            </w:rPr>
                            <w:fldChar w:fldCharType="separate"/>
                          </w:r>
                          <w:r>
                            <w:t>- 1 -</w:t>
                          </w:r>
                          <w:r>
                            <w:rPr>
                              <w:rFonts w:hint="eastAsia"/>
                            </w:rPr>
                            <w:fldChar w:fldCharType="end"/>
                          </w:r>
                        </w:p>
                      </w:txbxContent>
                    </wps:txbx>
                    <wps:bodyPr wrap="none" lIns="0" tIns="0" rIns="0" bIns="0">
                      <a:spAutoFit/>
                    </wps:bodyPr>
                  </wps:wsp>
                </a:graphicData>
              </a:graphic>
            </wp:anchor>
          </w:drawing>
        </mc:Choice>
        <mc:Fallback>
          <w:pict>
            <v:shape id="_x0000_s1026" o:spid="_x0000_s1026" o:spt="202" type="#_x0000_t202" style="position:absolute;left:0pt;margin-top:0pt;height:20.7pt;width:15pt;mso-position-horizontal:center;mso-position-horizontal-relative:margin;mso-wrap-style:none;z-index:251664384;mso-width-relative:page;mso-height-relative:page;" filled="f" stroked="f" coordsize="21600,21600" o:gfxdata="UEsDBAoAAAAAAIdO4kAAAAAAAAAAAAAAAAAEAAAAZHJzL1BLAwQUAAAACACHTuJAixxe3NAAAAAD&#10;AQAADwAAAGRycy9kb3ducmV2LnhtbE2PwU7DMBBE70j8g7VI3KgdqKAKcXqoxIUbBSH15sbbOMJe&#10;R7abJn/PwgUuI41mNfO22c7BiwlTHiJpqFYKBFIX7UC9ho/3l7sNiFwMWeMjoYYFM2zb66vG1DZe&#10;6A2nfekFl1CujQZXylhLmTuHweRVHJE4O8UUTGGbemmTuXB58PJeqUcZzEC84MyIO4fd1/4cNDzN&#10;nxHHjDs8nKYuuWHZ+NdF69ubSj2DKDiXv2P4wWd0aJnpGM9ks/Aa+JHyq5w9KHZHDetqDbJt5H/2&#10;9htQSwMEFAAAAAgAh07iQJ4pTYHGAQAAiwMAAA4AAABkcnMvZTJvRG9jLnhtbK1TS27bMBDdF8gd&#10;CO5jKgZiJILloIWRoEDRFkhzAJoiLQL8gUNb8gXaG3TVTfc9l8/RISU7bbrJohtqODN8M+/NaHk3&#10;WEP2MoL2rqFXs4oS6YRvtds29OnL/eUNJZC4a7nxTjb0IIHerS7eLPtQy7nvvGllJAjioO5DQ7uU&#10;Qs0YiE5aDjMfpMOg8tHyhNe4ZW3kPaJbw+ZVtWC9j22IXkgA9K7HIJ0Q42sAvVJayLUXOytdGlGj&#10;NDwhJeh0ALoq3SolRfqkFMhETEORaSonFkF7k0+2WvJ6G3notJha4K9p4QUny7XDomeoNU+c7KL+&#10;B8pqET14lWbCWzYSKYogi6vqhTaPHQ+ycEGpIZxFh/8HKz7uP0ei24YuKHHc4sCP378df/w6/vxK&#10;FlmePkCNWY8B89Lwzg+4NCc/oDOzHlS0+Yt8CMZR3MNZXDkkIvKj2+q6wojA0Hwxv7kt4rPnxyFC&#10;epDekmw0NOLsiqR8/wESNoKpp5Rcy/l7bUyZn3F/OTAxe1jufOwwW2nYDBOdjW8PyKbHsTfU4ZZT&#10;Yt47VDVvyMmIJ2MzGbkGhLe7hIVLPxl1hJqK4YxKm9M+5SX4816ynv+h1W9QSwMECgAAAAAAh07i&#10;QAAAAAAAAAAAAAAAAAYAAABfcmVscy9QSwMEFAAAAAgAh07iQIoUZjzRAAAAlAEAAAsAAABfcmVs&#10;cy8ucmVsc6WQwWrDMAyG74O9g9F9cZrDGKNOL6PQa+kewNiKYxpbRjLZ+vbzDoNl9LajfqHvE//+&#10;8JkWtSJLpGxg1/WgMDvyMQcD75fj0wsoqTZ7u1BGAzcUOIyPD/szLra2I5ljEdUoWQzMtZZXrcXN&#10;mKx0VDC3zUScbG0jB12su9qAeuj7Z82/GTBumOrkDfDJD6Aut9LMf9gpOiahqXaOkqZpiu4eVQe2&#10;ZY7uyDbhG7lGsxywGvAsGgdqWdd+BH1fv/un3tNHPuO61X6HjOuPV2+6HL8AUEsDBBQAAAAIAIdO&#10;4kB+5uUg9wAAAOEBAAATAAAAW0NvbnRlbnRfVHlwZXNdLnhtbJWRQU7DMBBF90jcwfIWJU67QAgl&#10;6YK0S0CoHGBkTxKLZGx5TGhvj5O2G0SRWNoz/78nu9wcxkFMGNg6quQqL6RA0s5Y6ir5vt9lD1Jw&#10;BDIwOMJKHpHlpr69KfdHjyxSmriSfYz+USnWPY7AufNIadK6MEJMx9ApD/oDOlTrorhX2lFEilmc&#10;O2RdNtjC5xDF9pCuTyYBB5bi6bQ4syoJ3g9WQ0ymaiLzg5KdCXlKLjvcW893SUOqXwnz5DrgnHtJ&#10;TxOsQfEKIT7DmDSUCayM+6KAU/53yWw5cuba1mrMm8BNir3hdLG61o5r1zj93/Ltkrp0q+WD6m9Q&#10;SwECFAAUAAAACACHTuJAfublIPcAAADhAQAAEwAAAAAAAAABACAAAAAvBAAAW0NvbnRlbnRfVHlw&#10;ZXNdLnhtbFBLAQIUAAoAAAAAAIdO4kAAAAAAAAAAAAAAAAAGAAAAAAAAAAAAEAAAABEDAABfcmVs&#10;cy9QSwECFAAUAAAACACHTuJAihRmPNEAAACUAQAACwAAAAAAAAABACAAAAA1AwAAX3JlbHMvLnJl&#10;bHNQSwECFAAKAAAAAACHTuJAAAAAAAAAAAAAAAAABAAAAAAAAAAAABAAAAAAAAAAZHJzL1BLAQIU&#10;ABQAAAAIAIdO4kCLHF7c0AAAAAMBAAAPAAAAAAAAAAEAIAAAACIAAABkcnMvZG93bnJldi54bWxQ&#10;SwECFAAUAAAACACHTuJAnilNgcYBAACLAwAADgAAAAAAAAABACAAAAAfAQAAZHJzL2Uyb0RvYy54&#10;bWxQSwUGAAAAAAYABgBZAQAAVwUAAAAA&#10;">
              <v:fill on="f" focussize="0,0"/>
              <v:stroke on="f"/>
              <v:imagedata o:title=""/>
              <o:lock v:ext="edit" aspectratio="f"/>
              <v:textbox inset="0mm,0mm,0mm,0mm" style="mso-fit-shape-to-text:t;">
                <w:txbxContent>
                  <w:p w14:paraId="0973C623">
                    <w:pPr>
                      <w:pStyle w:val="12"/>
                    </w:pPr>
                    <w:r>
                      <w:rPr>
                        <w:rFonts w:hint="eastAsia"/>
                      </w:rPr>
                      <w:fldChar w:fldCharType="begin"/>
                    </w:r>
                    <w:r>
                      <w:rPr>
                        <w:rFonts w:hint="eastAsia"/>
                      </w:rPr>
                      <w:instrText xml:space="preserve"> PAGE  \* MERGEFORMAT </w:instrText>
                    </w:r>
                    <w:r>
                      <w:rPr>
                        <w:rFonts w:hint="eastAsia"/>
                      </w:rPr>
                      <w:fldChar w:fldCharType="separate"/>
                    </w:r>
                    <w:r>
                      <w:t>- 1 -</w:t>
                    </w:r>
                    <w:r>
                      <w:rPr>
                        <w:rFonts w:hint="eastAsia"/>
                      </w:rPr>
                      <w:fldChar w:fldCharType="end"/>
                    </w:r>
                  </w:p>
                </w:txbxContent>
              </v:textbox>
            </v:shape>
          </w:pict>
        </mc:Fallback>
      </mc:AlternateConten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37E20904">
    <w:pPr>
      <w:pStyle w:val="12"/>
      <w:framePr w:wrap="around" w:vAnchor="text" w:hAnchor="margin" w:xAlign="center" w:y="1"/>
      <w:rPr>
        <w:rStyle w:val="19"/>
      </w:rPr>
    </w:pPr>
    <w:r>
      <w:fldChar w:fldCharType="begin"/>
    </w:r>
    <w:r>
      <w:rPr>
        <w:rStyle w:val="19"/>
      </w:rPr>
      <w:instrText xml:space="preserve">PAGE  </w:instrText>
    </w:r>
    <w:r>
      <w:fldChar w:fldCharType="separate"/>
    </w:r>
    <w:r>
      <w:rPr>
        <w:rStyle w:val="19"/>
      </w:rPr>
      <w:t>138</w:t>
    </w:r>
    <w:r>
      <w:fldChar w:fldCharType="end"/>
    </w:r>
  </w:p>
  <w:p w14:paraId="7580AD5A">
    <w:pPr>
      <w:pStyle w:val="12"/>
    </w:pPr>
  </w:p>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15 wp14">
  <w:p w14:paraId="161AEA25">
    <w:pPr>
      <w:pStyle w:val="12"/>
      <w:framePr w:wrap="around" w:vAnchor="text" w:hAnchor="margin" w:xAlign="center" w:y="1"/>
      <w:rPr>
        <w:rStyle w:val="19"/>
      </w:rPr>
    </w:pPr>
    <w:r>
      <w:fldChar w:fldCharType="begin"/>
    </w:r>
    <w:r>
      <w:rPr>
        <w:rStyle w:val="19"/>
      </w:rPr>
      <w:instrText xml:space="preserve">PAGE  </w:instrText>
    </w:r>
    <w:r>
      <w:fldChar w:fldCharType="end"/>
    </w:r>
  </w:p>
  <w:p w14:paraId="219548B6">
    <w:pPr>
      <w:pStyle w:val="12"/>
    </w:pPr>
  </w:p>
</w:ft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xmlns:wpsCustomData="http://www.wps.cn/officeDocument/2013/wpsCustomData" mc:Ignorable="w14 wp14">
  <w:abstractNum w:abstractNumId="0">
    <w:nsid w:val="00000005"/>
    <w:multiLevelType w:val="multilevel"/>
    <w:tmpl w:val="00000005"/>
    <w:lvl w:ilvl="0" w:tentative="0">
      <w:start w:val="1"/>
      <w:numFmt w:val="decimal"/>
      <w:lvlText w:val="4.%1"/>
      <w:lvlJc w:val="left"/>
      <w:pPr>
        <w:tabs>
          <w:tab w:val="left" w:pos="720"/>
        </w:tabs>
        <w:ind w:left="720" w:hanging="360"/>
      </w:pPr>
    </w:lvl>
    <w:lvl w:ilvl="1" w:tentative="0">
      <w:start w:val="0"/>
      <w:numFmt w:val="decimal"/>
      <w:lvlText w:val=""/>
      <w:lvlJc w:val="left"/>
    </w:lvl>
    <w:lvl w:ilvl="2" w:tentative="0">
      <w:start w:val="0"/>
      <w:numFmt w:val="decimal"/>
      <w:lvlText w:val=""/>
      <w:lvlJc w:val="left"/>
    </w:lvl>
    <w:lvl w:ilvl="3" w:tentative="0">
      <w:start w:val="0"/>
      <w:numFmt w:val="decimal"/>
      <w:lvlText w:val=""/>
      <w:lvlJc w:val="left"/>
    </w:lvl>
    <w:lvl w:ilvl="4" w:tentative="0">
      <w:start w:val="0"/>
      <w:numFmt w:val="decimal"/>
      <w:lvlText w:val=""/>
      <w:lvlJc w:val="left"/>
    </w:lvl>
    <w:lvl w:ilvl="5" w:tentative="0">
      <w:start w:val="0"/>
      <w:numFmt w:val="decimal"/>
      <w:lvlText w:val=""/>
      <w:lvlJc w:val="left"/>
    </w:lvl>
    <w:lvl w:ilvl="6" w:tentative="0">
      <w:start w:val="0"/>
      <w:numFmt w:val="decimal"/>
      <w:lvlText w:val=""/>
      <w:lvlJc w:val="left"/>
    </w:lvl>
    <w:lvl w:ilvl="7" w:tentative="0">
      <w:start w:val="0"/>
      <w:numFmt w:val="decimal"/>
      <w:lvlText w:val=""/>
      <w:lvlJc w:val="left"/>
    </w:lvl>
    <w:lvl w:ilvl="8" w:tentative="0">
      <w:start w:val="0"/>
      <w:numFmt w:val="decimal"/>
      <w:lvlText w:val=""/>
      <w:lvlJc w:val="left"/>
    </w:lvl>
  </w:abstractNum>
  <w:abstractNum w:abstractNumId="1">
    <w:nsid w:val="13DB6334"/>
    <w:multiLevelType w:val="multilevel"/>
    <w:tmpl w:val="13DB6334"/>
    <w:lvl w:ilvl="0" w:tentative="0">
      <w:start w:val="1"/>
      <w:numFmt w:val="decimal"/>
      <w:lvlText w:val="%1."/>
      <w:lvlJc w:val="left"/>
      <w:pPr>
        <w:ind w:left="865" w:hanging="440"/>
      </w:pPr>
    </w:lvl>
    <w:lvl w:ilvl="1" w:tentative="0">
      <w:start w:val="1"/>
      <w:numFmt w:val="lowerLetter"/>
      <w:lvlText w:val="%2)"/>
      <w:lvlJc w:val="left"/>
      <w:pPr>
        <w:ind w:left="1305" w:hanging="440"/>
      </w:pPr>
    </w:lvl>
    <w:lvl w:ilvl="2" w:tentative="0">
      <w:start w:val="1"/>
      <w:numFmt w:val="lowerRoman"/>
      <w:lvlText w:val="%3."/>
      <w:lvlJc w:val="right"/>
      <w:pPr>
        <w:ind w:left="1745" w:hanging="440"/>
      </w:pPr>
    </w:lvl>
    <w:lvl w:ilvl="3" w:tentative="0">
      <w:start w:val="1"/>
      <w:numFmt w:val="decimal"/>
      <w:lvlText w:val="%4."/>
      <w:lvlJc w:val="left"/>
      <w:pPr>
        <w:ind w:left="2185" w:hanging="440"/>
      </w:pPr>
    </w:lvl>
    <w:lvl w:ilvl="4" w:tentative="0">
      <w:start w:val="1"/>
      <w:numFmt w:val="lowerLetter"/>
      <w:lvlText w:val="%5)"/>
      <w:lvlJc w:val="left"/>
      <w:pPr>
        <w:ind w:left="2625" w:hanging="440"/>
      </w:pPr>
    </w:lvl>
    <w:lvl w:ilvl="5" w:tentative="0">
      <w:start w:val="1"/>
      <w:numFmt w:val="lowerRoman"/>
      <w:lvlText w:val="%6."/>
      <w:lvlJc w:val="right"/>
      <w:pPr>
        <w:ind w:left="3065" w:hanging="440"/>
      </w:pPr>
    </w:lvl>
    <w:lvl w:ilvl="6" w:tentative="0">
      <w:start w:val="1"/>
      <w:numFmt w:val="decimal"/>
      <w:lvlText w:val="%7."/>
      <w:lvlJc w:val="left"/>
      <w:pPr>
        <w:ind w:left="3505" w:hanging="440"/>
      </w:pPr>
    </w:lvl>
    <w:lvl w:ilvl="7" w:tentative="0">
      <w:start w:val="1"/>
      <w:numFmt w:val="lowerLetter"/>
      <w:lvlText w:val="%8)"/>
      <w:lvlJc w:val="left"/>
      <w:pPr>
        <w:ind w:left="3945" w:hanging="440"/>
      </w:pPr>
    </w:lvl>
    <w:lvl w:ilvl="8" w:tentative="0">
      <w:start w:val="1"/>
      <w:numFmt w:val="lowerRoman"/>
      <w:lvlText w:val="%9."/>
      <w:lvlJc w:val="right"/>
      <w:pPr>
        <w:ind w:left="4385" w:hanging="440"/>
      </w:pPr>
    </w:lvl>
  </w:abstractNum>
  <w:abstractNum w:abstractNumId="2">
    <w:nsid w:val="192E2C2A"/>
    <w:multiLevelType w:val="multilevel"/>
    <w:tmpl w:val="192E2C2A"/>
    <w:lvl w:ilvl="0" w:tentative="0">
      <w:start w:val="1"/>
      <w:numFmt w:val="decimal"/>
      <w:lvlText w:val="%1."/>
      <w:lvlJc w:val="left"/>
      <w:pPr>
        <w:ind w:left="425" w:hanging="425"/>
      </w:pPr>
    </w:lvl>
    <w:lvl w:ilvl="1" w:tentative="0">
      <w:start w:val="1"/>
      <w:numFmt w:val="decimal"/>
      <w:lvlText w:val="%1.%2."/>
      <w:lvlJc w:val="left"/>
      <w:pPr>
        <w:ind w:left="567" w:hanging="567"/>
      </w:pPr>
    </w:lvl>
    <w:lvl w:ilvl="2" w:tentative="0">
      <w:start w:val="1"/>
      <w:numFmt w:val="decimal"/>
      <w:lvlText w:val="%1.%2.%3."/>
      <w:lvlJc w:val="left"/>
      <w:pPr>
        <w:ind w:left="709" w:hanging="709"/>
      </w:pPr>
    </w:lvl>
    <w:lvl w:ilvl="3" w:tentative="0">
      <w:start w:val="1"/>
      <w:numFmt w:val="decimal"/>
      <w:lvlText w:val="%1.%2.%3.%4."/>
      <w:lvlJc w:val="left"/>
      <w:pPr>
        <w:ind w:left="851" w:hanging="851"/>
      </w:pPr>
    </w:lvl>
    <w:lvl w:ilvl="4" w:tentative="0">
      <w:start w:val="1"/>
      <w:numFmt w:val="decimal"/>
      <w:lvlText w:val="%1.%2.%3.%4.%5."/>
      <w:lvlJc w:val="left"/>
      <w:pPr>
        <w:ind w:left="992" w:hanging="992"/>
      </w:pPr>
    </w:lvl>
    <w:lvl w:ilvl="5" w:tentative="0">
      <w:start w:val="1"/>
      <w:numFmt w:val="decimal"/>
      <w:lvlText w:val="%1.%2.%3.%4.%5.%6."/>
      <w:lvlJc w:val="left"/>
      <w:pPr>
        <w:ind w:left="1134" w:hanging="1134"/>
      </w:pPr>
    </w:lvl>
    <w:lvl w:ilvl="6" w:tentative="0">
      <w:start w:val="1"/>
      <w:numFmt w:val="decimal"/>
      <w:lvlText w:val="%1.%2.%3.%4.%5.%6.%7."/>
      <w:lvlJc w:val="left"/>
      <w:pPr>
        <w:ind w:left="1276" w:hanging="1276"/>
      </w:pPr>
    </w:lvl>
    <w:lvl w:ilvl="7" w:tentative="0">
      <w:start w:val="1"/>
      <w:numFmt w:val="decimal"/>
      <w:lvlText w:val="%1.%2.%3.%4.%5.%6.%7.%8."/>
      <w:lvlJc w:val="left"/>
      <w:pPr>
        <w:ind w:left="1418" w:hanging="1418"/>
      </w:pPr>
    </w:lvl>
    <w:lvl w:ilvl="8" w:tentative="0">
      <w:start w:val="1"/>
      <w:numFmt w:val="decimal"/>
      <w:lvlText w:val="%1.%2.%3.%4.%5.%6.%7.%8.%9."/>
      <w:lvlJc w:val="left"/>
      <w:pPr>
        <w:ind w:left="1559" w:hanging="1559"/>
      </w:pPr>
    </w:lvl>
  </w:abstractNum>
  <w:abstractNum w:abstractNumId="3">
    <w:nsid w:val="30D10CD0"/>
    <w:multiLevelType w:val="multilevel"/>
    <w:tmpl w:val="30D10CD0"/>
    <w:lvl w:ilvl="0" w:tentative="0">
      <w:start w:val="1"/>
      <w:numFmt w:val="decimal"/>
      <w:lvlText w:val="%1."/>
      <w:lvlJc w:val="left"/>
      <w:pPr>
        <w:ind w:left="865" w:hanging="440"/>
      </w:pPr>
    </w:lvl>
    <w:lvl w:ilvl="1" w:tentative="0">
      <w:start w:val="1"/>
      <w:numFmt w:val="lowerLetter"/>
      <w:lvlText w:val="%2)"/>
      <w:lvlJc w:val="left"/>
      <w:pPr>
        <w:ind w:left="1305" w:hanging="440"/>
      </w:pPr>
    </w:lvl>
    <w:lvl w:ilvl="2" w:tentative="0">
      <w:start w:val="1"/>
      <w:numFmt w:val="lowerRoman"/>
      <w:lvlText w:val="%3."/>
      <w:lvlJc w:val="right"/>
      <w:pPr>
        <w:ind w:left="1745" w:hanging="440"/>
      </w:pPr>
    </w:lvl>
    <w:lvl w:ilvl="3" w:tentative="0">
      <w:start w:val="1"/>
      <w:numFmt w:val="decimal"/>
      <w:lvlText w:val="%4."/>
      <w:lvlJc w:val="left"/>
      <w:pPr>
        <w:ind w:left="2185" w:hanging="440"/>
      </w:pPr>
    </w:lvl>
    <w:lvl w:ilvl="4" w:tentative="0">
      <w:start w:val="1"/>
      <w:numFmt w:val="lowerLetter"/>
      <w:lvlText w:val="%5)"/>
      <w:lvlJc w:val="left"/>
      <w:pPr>
        <w:ind w:left="2625" w:hanging="440"/>
      </w:pPr>
    </w:lvl>
    <w:lvl w:ilvl="5" w:tentative="0">
      <w:start w:val="1"/>
      <w:numFmt w:val="lowerRoman"/>
      <w:lvlText w:val="%6."/>
      <w:lvlJc w:val="right"/>
      <w:pPr>
        <w:ind w:left="3065" w:hanging="440"/>
      </w:pPr>
    </w:lvl>
    <w:lvl w:ilvl="6" w:tentative="0">
      <w:start w:val="1"/>
      <w:numFmt w:val="decimal"/>
      <w:lvlText w:val="%7."/>
      <w:lvlJc w:val="left"/>
      <w:pPr>
        <w:ind w:left="3505" w:hanging="440"/>
      </w:pPr>
    </w:lvl>
    <w:lvl w:ilvl="7" w:tentative="0">
      <w:start w:val="1"/>
      <w:numFmt w:val="lowerLetter"/>
      <w:lvlText w:val="%8)"/>
      <w:lvlJc w:val="left"/>
      <w:pPr>
        <w:ind w:left="3945" w:hanging="440"/>
      </w:pPr>
    </w:lvl>
    <w:lvl w:ilvl="8" w:tentative="0">
      <w:start w:val="1"/>
      <w:numFmt w:val="lowerRoman"/>
      <w:lvlText w:val="%9."/>
      <w:lvlJc w:val="right"/>
      <w:pPr>
        <w:ind w:left="4385" w:hanging="440"/>
      </w:pPr>
    </w:lvl>
  </w:abstractNum>
  <w:abstractNum w:abstractNumId="4">
    <w:nsid w:val="39D90440"/>
    <w:multiLevelType w:val="multilevel"/>
    <w:tmpl w:val="39D90440"/>
    <w:lvl w:ilvl="0" w:tentative="0">
      <w:start w:val="1"/>
      <w:numFmt w:val="decimal"/>
      <w:lvlText w:val="%1."/>
      <w:lvlJc w:val="left"/>
      <w:pPr>
        <w:ind w:left="865" w:hanging="440"/>
      </w:pPr>
    </w:lvl>
    <w:lvl w:ilvl="1" w:tentative="0">
      <w:start w:val="1"/>
      <w:numFmt w:val="lowerLetter"/>
      <w:lvlText w:val="%2)"/>
      <w:lvlJc w:val="left"/>
      <w:pPr>
        <w:ind w:left="1305" w:hanging="440"/>
      </w:pPr>
    </w:lvl>
    <w:lvl w:ilvl="2" w:tentative="0">
      <w:start w:val="1"/>
      <w:numFmt w:val="lowerRoman"/>
      <w:lvlText w:val="%3."/>
      <w:lvlJc w:val="right"/>
      <w:pPr>
        <w:ind w:left="1745" w:hanging="440"/>
      </w:pPr>
    </w:lvl>
    <w:lvl w:ilvl="3" w:tentative="0">
      <w:start w:val="1"/>
      <w:numFmt w:val="decimal"/>
      <w:lvlText w:val="%4."/>
      <w:lvlJc w:val="left"/>
      <w:pPr>
        <w:ind w:left="2185" w:hanging="440"/>
      </w:pPr>
    </w:lvl>
    <w:lvl w:ilvl="4" w:tentative="0">
      <w:start w:val="1"/>
      <w:numFmt w:val="lowerLetter"/>
      <w:lvlText w:val="%5)"/>
      <w:lvlJc w:val="left"/>
      <w:pPr>
        <w:ind w:left="2625" w:hanging="440"/>
      </w:pPr>
    </w:lvl>
    <w:lvl w:ilvl="5" w:tentative="0">
      <w:start w:val="1"/>
      <w:numFmt w:val="lowerRoman"/>
      <w:lvlText w:val="%6."/>
      <w:lvlJc w:val="right"/>
      <w:pPr>
        <w:ind w:left="3065" w:hanging="440"/>
      </w:pPr>
    </w:lvl>
    <w:lvl w:ilvl="6" w:tentative="0">
      <w:start w:val="1"/>
      <w:numFmt w:val="decimal"/>
      <w:lvlText w:val="%7."/>
      <w:lvlJc w:val="left"/>
      <w:pPr>
        <w:ind w:left="3505" w:hanging="440"/>
      </w:pPr>
    </w:lvl>
    <w:lvl w:ilvl="7" w:tentative="0">
      <w:start w:val="1"/>
      <w:numFmt w:val="lowerLetter"/>
      <w:lvlText w:val="%8)"/>
      <w:lvlJc w:val="left"/>
      <w:pPr>
        <w:ind w:left="3945" w:hanging="440"/>
      </w:pPr>
    </w:lvl>
    <w:lvl w:ilvl="8" w:tentative="0">
      <w:start w:val="1"/>
      <w:numFmt w:val="lowerRoman"/>
      <w:lvlText w:val="%9."/>
      <w:lvlJc w:val="right"/>
      <w:pPr>
        <w:ind w:left="4385" w:hanging="440"/>
      </w:pPr>
    </w:lvl>
  </w:abstractNum>
  <w:abstractNum w:abstractNumId="5">
    <w:nsid w:val="585A2DE7"/>
    <w:multiLevelType w:val="multilevel"/>
    <w:tmpl w:val="585A2DE7"/>
    <w:lvl w:ilvl="0" w:tentative="0">
      <w:start w:val="1"/>
      <w:numFmt w:val="decimal"/>
      <w:lvlText w:val="%1."/>
      <w:lvlJc w:val="left"/>
      <w:pPr>
        <w:ind w:left="900" w:hanging="420"/>
      </w:pPr>
      <w:rPr>
        <w:rFonts w:hint="default"/>
      </w:rPr>
    </w:lvl>
    <w:lvl w:ilvl="1" w:tentative="0">
      <w:start w:val="1"/>
      <w:numFmt w:val="bullet"/>
      <w:lvlText w:val=""/>
      <w:lvlJc w:val="left"/>
      <w:pPr>
        <w:ind w:left="1320" w:hanging="420"/>
      </w:pPr>
      <w:rPr>
        <w:rFonts w:hint="default" w:ascii="Wingdings" w:hAnsi="Wingdings"/>
      </w:rPr>
    </w:lvl>
    <w:lvl w:ilvl="2" w:tentative="0">
      <w:start w:val="1"/>
      <w:numFmt w:val="bullet"/>
      <w:lvlText w:val=""/>
      <w:lvlJc w:val="left"/>
      <w:pPr>
        <w:ind w:left="1740" w:hanging="420"/>
      </w:pPr>
      <w:rPr>
        <w:rFonts w:hint="default" w:ascii="Wingdings" w:hAnsi="Wingdings"/>
      </w:rPr>
    </w:lvl>
    <w:lvl w:ilvl="3" w:tentative="0">
      <w:start w:val="1"/>
      <w:numFmt w:val="bullet"/>
      <w:lvlText w:val=""/>
      <w:lvlJc w:val="left"/>
      <w:pPr>
        <w:ind w:left="2160" w:hanging="420"/>
      </w:pPr>
      <w:rPr>
        <w:rFonts w:hint="default" w:ascii="Wingdings" w:hAnsi="Wingdings"/>
      </w:rPr>
    </w:lvl>
    <w:lvl w:ilvl="4" w:tentative="0">
      <w:start w:val="1"/>
      <w:numFmt w:val="bullet"/>
      <w:lvlText w:val=""/>
      <w:lvlJc w:val="left"/>
      <w:pPr>
        <w:ind w:left="2580" w:hanging="420"/>
      </w:pPr>
      <w:rPr>
        <w:rFonts w:hint="default" w:ascii="Wingdings" w:hAnsi="Wingdings"/>
      </w:rPr>
    </w:lvl>
    <w:lvl w:ilvl="5" w:tentative="0">
      <w:start w:val="1"/>
      <w:numFmt w:val="bullet"/>
      <w:lvlText w:val=""/>
      <w:lvlJc w:val="left"/>
      <w:pPr>
        <w:ind w:left="3000" w:hanging="420"/>
      </w:pPr>
      <w:rPr>
        <w:rFonts w:hint="default" w:ascii="Wingdings" w:hAnsi="Wingdings"/>
      </w:rPr>
    </w:lvl>
    <w:lvl w:ilvl="6" w:tentative="0">
      <w:start w:val="1"/>
      <w:numFmt w:val="bullet"/>
      <w:lvlText w:val=""/>
      <w:lvlJc w:val="left"/>
      <w:pPr>
        <w:ind w:left="3420" w:hanging="420"/>
      </w:pPr>
      <w:rPr>
        <w:rFonts w:hint="default" w:ascii="Wingdings" w:hAnsi="Wingdings"/>
      </w:rPr>
    </w:lvl>
    <w:lvl w:ilvl="7" w:tentative="0">
      <w:start w:val="1"/>
      <w:numFmt w:val="bullet"/>
      <w:lvlText w:val=""/>
      <w:lvlJc w:val="left"/>
      <w:pPr>
        <w:ind w:left="3840" w:hanging="420"/>
      </w:pPr>
      <w:rPr>
        <w:rFonts w:hint="default" w:ascii="Wingdings" w:hAnsi="Wingdings"/>
      </w:rPr>
    </w:lvl>
    <w:lvl w:ilvl="8" w:tentative="0">
      <w:start w:val="1"/>
      <w:numFmt w:val="bullet"/>
      <w:lvlText w:val=""/>
      <w:lvlJc w:val="left"/>
      <w:pPr>
        <w:ind w:left="4260" w:hanging="420"/>
      </w:pPr>
      <w:rPr>
        <w:rFonts w:hint="default" w:ascii="Wingdings" w:hAnsi="Wingdings"/>
      </w:rPr>
    </w:lvl>
  </w:abstractNum>
  <w:abstractNum w:abstractNumId="6">
    <w:nsid w:val="60EA2CA3"/>
    <w:multiLevelType w:val="multilevel"/>
    <w:tmpl w:val="60EA2CA3"/>
    <w:lvl w:ilvl="0" w:tentative="0">
      <w:start w:val="1"/>
      <w:numFmt w:val="decimal"/>
      <w:lvlText w:val="%1."/>
      <w:lvlJc w:val="left"/>
      <w:pPr>
        <w:ind w:left="440" w:hanging="440"/>
      </w:pPr>
    </w:lvl>
    <w:lvl w:ilvl="1" w:tentative="0">
      <w:start w:val="1"/>
      <w:numFmt w:val="lowerLetter"/>
      <w:lvlText w:val="%2)"/>
      <w:lvlJc w:val="left"/>
      <w:pPr>
        <w:ind w:left="880" w:hanging="440"/>
      </w:pPr>
    </w:lvl>
    <w:lvl w:ilvl="2" w:tentative="0">
      <w:start w:val="1"/>
      <w:numFmt w:val="lowerRoman"/>
      <w:lvlText w:val="%3."/>
      <w:lvlJc w:val="right"/>
      <w:pPr>
        <w:ind w:left="1320" w:hanging="440"/>
      </w:pPr>
    </w:lvl>
    <w:lvl w:ilvl="3" w:tentative="0">
      <w:start w:val="1"/>
      <w:numFmt w:val="decimal"/>
      <w:lvlText w:val="%4."/>
      <w:lvlJc w:val="left"/>
      <w:pPr>
        <w:ind w:left="1760" w:hanging="440"/>
      </w:pPr>
    </w:lvl>
    <w:lvl w:ilvl="4" w:tentative="0">
      <w:start w:val="1"/>
      <w:numFmt w:val="lowerLetter"/>
      <w:lvlText w:val="%5)"/>
      <w:lvlJc w:val="left"/>
      <w:pPr>
        <w:ind w:left="2200" w:hanging="440"/>
      </w:pPr>
    </w:lvl>
    <w:lvl w:ilvl="5" w:tentative="0">
      <w:start w:val="1"/>
      <w:numFmt w:val="lowerRoman"/>
      <w:lvlText w:val="%6."/>
      <w:lvlJc w:val="right"/>
      <w:pPr>
        <w:ind w:left="2640" w:hanging="440"/>
      </w:pPr>
    </w:lvl>
    <w:lvl w:ilvl="6" w:tentative="0">
      <w:start w:val="1"/>
      <w:numFmt w:val="decimal"/>
      <w:lvlText w:val="%7."/>
      <w:lvlJc w:val="left"/>
      <w:pPr>
        <w:ind w:left="3080" w:hanging="440"/>
      </w:pPr>
    </w:lvl>
    <w:lvl w:ilvl="7" w:tentative="0">
      <w:start w:val="1"/>
      <w:numFmt w:val="lowerLetter"/>
      <w:lvlText w:val="%8)"/>
      <w:lvlJc w:val="left"/>
      <w:pPr>
        <w:ind w:left="3520" w:hanging="440"/>
      </w:pPr>
    </w:lvl>
    <w:lvl w:ilvl="8" w:tentative="0">
      <w:start w:val="1"/>
      <w:numFmt w:val="lowerRoman"/>
      <w:lvlText w:val="%9."/>
      <w:lvlJc w:val="right"/>
      <w:pPr>
        <w:ind w:left="3960" w:hanging="440"/>
      </w:pPr>
    </w:lvl>
  </w:abstractNum>
  <w:abstractNum w:abstractNumId="7">
    <w:nsid w:val="768D44A9"/>
    <w:multiLevelType w:val="multilevel"/>
    <w:tmpl w:val="768D44A9"/>
    <w:lvl w:ilvl="0" w:tentative="0">
      <w:start w:val="1"/>
      <w:numFmt w:val="decimal"/>
      <w:lvlText w:val="%1."/>
      <w:lvlJc w:val="left"/>
      <w:pPr>
        <w:ind w:left="865" w:hanging="440"/>
      </w:pPr>
    </w:lvl>
    <w:lvl w:ilvl="1" w:tentative="0">
      <w:start w:val="1"/>
      <w:numFmt w:val="lowerLetter"/>
      <w:lvlText w:val="%2)"/>
      <w:lvlJc w:val="left"/>
      <w:pPr>
        <w:ind w:left="1305" w:hanging="440"/>
      </w:pPr>
    </w:lvl>
    <w:lvl w:ilvl="2" w:tentative="0">
      <w:start w:val="1"/>
      <w:numFmt w:val="lowerRoman"/>
      <w:lvlText w:val="%3."/>
      <w:lvlJc w:val="right"/>
      <w:pPr>
        <w:ind w:left="1745" w:hanging="440"/>
      </w:pPr>
    </w:lvl>
    <w:lvl w:ilvl="3" w:tentative="0">
      <w:start w:val="1"/>
      <w:numFmt w:val="decimal"/>
      <w:lvlText w:val="%4."/>
      <w:lvlJc w:val="left"/>
      <w:pPr>
        <w:ind w:left="2185" w:hanging="440"/>
      </w:pPr>
    </w:lvl>
    <w:lvl w:ilvl="4" w:tentative="0">
      <w:start w:val="1"/>
      <w:numFmt w:val="lowerLetter"/>
      <w:lvlText w:val="%5)"/>
      <w:lvlJc w:val="left"/>
      <w:pPr>
        <w:ind w:left="2625" w:hanging="440"/>
      </w:pPr>
    </w:lvl>
    <w:lvl w:ilvl="5" w:tentative="0">
      <w:start w:val="1"/>
      <w:numFmt w:val="lowerRoman"/>
      <w:lvlText w:val="%6."/>
      <w:lvlJc w:val="right"/>
      <w:pPr>
        <w:ind w:left="3065" w:hanging="440"/>
      </w:pPr>
    </w:lvl>
    <w:lvl w:ilvl="6" w:tentative="0">
      <w:start w:val="1"/>
      <w:numFmt w:val="decimal"/>
      <w:lvlText w:val="%7."/>
      <w:lvlJc w:val="left"/>
      <w:pPr>
        <w:ind w:left="3505" w:hanging="440"/>
      </w:pPr>
    </w:lvl>
    <w:lvl w:ilvl="7" w:tentative="0">
      <w:start w:val="1"/>
      <w:numFmt w:val="lowerLetter"/>
      <w:lvlText w:val="%8)"/>
      <w:lvlJc w:val="left"/>
      <w:pPr>
        <w:ind w:left="3945" w:hanging="440"/>
      </w:pPr>
    </w:lvl>
    <w:lvl w:ilvl="8" w:tentative="0">
      <w:start w:val="1"/>
      <w:numFmt w:val="lowerRoman"/>
      <w:lvlText w:val="%9."/>
      <w:lvlJc w:val="right"/>
      <w:pPr>
        <w:ind w:left="4385" w:hanging="440"/>
      </w:pPr>
    </w:lvl>
  </w:abstractNum>
  <w:num w:numId="1">
    <w:abstractNumId w:val="0"/>
  </w:num>
  <w:num w:numId="2">
    <w:abstractNumId w:val="3"/>
  </w:num>
  <w:num w:numId="3">
    <w:abstractNumId w:val="6"/>
  </w:num>
  <w:num w:numId="4">
    <w:abstractNumId w:val="7"/>
  </w:num>
  <w:num w:numId="5">
    <w:abstractNumId w:val="1"/>
  </w:num>
  <w:num w:numId="6">
    <w:abstractNumId w:val="4"/>
  </w:num>
  <w:num w:numId="7">
    <w:abstractNumId w:val="5"/>
  </w:num>
  <w:num w:numId="8">
    <w:abstractNumId w:val="2"/>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xmlns:wpsCustomData="http://www.wps.cn/officeDocument/2013/wpsCustomData" mc:Ignorable="w14">
  <w:zoom w:percent="89"/>
  <w:embedSystemFonts/>
  <w:bordersDoNotSurroundHeader w:val="1"/>
  <w:bordersDoNotSurroundFooter w:val="1"/>
  <w:documentProtection w:enforcement="0"/>
  <w:defaultTabStop w:val="420"/>
  <w:drawingGridVerticalSpacing w:val="156"/>
  <w:displayHorizontalDrawingGridEvery w:val="0"/>
  <w:displayVerticalDrawingGridEvery w:val="2"/>
  <w:characterSpacingControl w:val="compressPunctuation"/>
  <w:compat>
    <w:spaceForUL/>
    <w:balanceSingleByteDoubleByteWidth/>
    <w:doNotLeaveBackslashAlone/>
    <w:ulTrailSpace/>
    <w:doNotExpandShiftReturn/>
    <w:adjustLineHeightInTable/>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docVars>
    <w:docVar w:name="commondata" w:val="eyJoZGlkIjoiZmYxOTZiZTA5NGE2N2ZiZTY0YjVkMWYyZGIzNGU0MGIifQ=="/>
  </w:docVars>
  <w:rsids>
    <w:rsidRoot w:val="4DC54118"/>
    <w:rsid w:val="00004459"/>
    <w:rsid w:val="00021A5C"/>
    <w:rsid w:val="00071915"/>
    <w:rsid w:val="00082548"/>
    <w:rsid w:val="000850C9"/>
    <w:rsid w:val="00091D32"/>
    <w:rsid w:val="00092748"/>
    <w:rsid w:val="000B37BE"/>
    <w:rsid w:val="000D2FC0"/>
    <w:rsid w:val="000E6568"/>
    <w:rsid w:val="000F119A"/>
    <w:rsid w:val="00112BE9"/>
    <w:rsid w:val="00115BDA"/>
    <w:rsid w:val="00151CEE"/>
    <w:rsid w:val="00180309"/>
    <w:rsid w:val="001841D6"/>
    <w:rsid w:val="0019515B"/>
    <w:rsid w:val="001A5405"/>
    <w:rsid w:val="001C711D"/>
    <w:rsid w:val="001D4BCB"/>
    <w:rsid w:val="001E3BD0"/>
    <w:rsid w:val="001E49A9"/>
    <w:rsid w:val="001F2F9F"/>
    <w:rsid w:val="00205D4D"/>
    <w:rsid w:val="0022794D"/>
    <w:rsid w:val="00233DC9"/>
    <w:rsid w:val="00244A99"/>
    <w:rsid w:val="002541B5"/>
    <w:rsid w:val="002761A0"/>
    <w:rsid w:val="00280DCA"/>
    <w:rsid w:val="002914C8"/>
    <w:rsid w:val="002A764E"/>
    <w:rsid w:val="002B05C7"/>
    <w:rsid w:val="002F08E0"/>
    <w:rsid w:val="00315B13"/>
    <w:rsid w:val="00320B7E"/>
    <w:rsid w:val="0032118E"/>
    <w:rsid w:val="00330561"/>
    <w:rsid w:val="00331F2F"/>
    <w:rsid w:val="00337A9C"/>
    <w:rsid w:val="003471BB"/>
    <w:rsid w:val="00347CFA"/>
    <w:rsid w:val="00380137"/>
    <w:rsid w:val="0038649E"/>
    <w:rsid w:val="003B407E"/>
    <w:rsid w:val="003B7D16"/>
    <w:rsid w:val="003C436D"/>
    <w:rsid w:val="003D1C42"/>
    <w:rsid w:val="003D4BC2"/>
    <w:rsid w:val="003E2D82"/>
    <w:rsid w:val="003E798A"/>
    <w:rsid w:val="003F5C4D"/>
    <w:rsid w:val="004003D9"/>
    <w:rsid w:val="00420C08"/>
    <w:rsid w:val="00444809"/>
    <w:rsid w:val="00456F6F"/>
    <w:rsid w:val="0047177F"/>
    <w:rsid w:val="0047513E"/>
    <w:rsid w:val="004B0217"/>
    <w:rsid w:val="004B10B5"/>
    <w:rsid w:val="004B1705"/>
    <w:rsid w:val="004C13A2"/>
    <w:rsid w:val="004E1A4A"/>
    <w:rsid w:val="004E2E9F"/>
    <w:rsid w:val="005074A4"/>
    <w:rsid w:val="0051384E"/>
    <w:rsid w:val="00551988"/>
    <w:rsid w:val="0055446E"/>
    <w:rsid w:val="0057550E"/>
    <w:rsid w:val="005827DA"/>
    <w:rsid w:val="005853E5"/>
    <w:rsid w:val="00592B26"/>
    <w:rsid w:val="005970CE"/>
    <w:rsid w:val="005A397B"/>
    <w:rsid w:val="005A4FC9"/>
    <w:rsid w:val="005C7D85"/>
    <w:rsid w:val="005E0737"/>
    <w:rsid w:val="005F155B"/>
    <w:rsid w:val="00606F4B"/>
    <w:rsid w:val="0061722A"/>
    <w:rsid w:val="006347E2"/>
    <w:rsid w:val="00680302"/>
    <w:rsid w:val="006812DD"/>
    <w:rsid w:val="006E0847"/>
    <w:rsid w:val="006E6A62"/>
    <w:rsid w:val="00732A76"/>
    <w:rsid w:val="0076103A"/>
    <w:rsid w:val="00765FF3"/>
    <w:rsid w:val="0078001D"/>
    <w:rsid w:val="007834CA"/>
    <w:rsid w:val="00790F08"/>
    <w:rsid w:val="007A2B18"/>
    <w:rsid w:val="007B1747"/>
    <w:rsid w:val="007C7AB6"/>
    <w:rsid w:val="007D676C"/>
    <w:rsid w:val="007E2C09"/>
    <w:rsid w:val="007E7BFC"/>
    <w:rsid w:val="00821C60"/>
    <w:rsid w:val="008502EE"/>
    <w:rsid w:val="00890BBF"/>
    <w:rsid w:val="008A4E6D"/>
    <w:rsid w:val="008B4E2D"/>
    <w:rsid w:val="008F132B"/>
    <w:rsid w:val="008F1A9E"/>
    <w:rsid w:val="00913FF7"/>
    <w:rsid w:val="00950CCB"/>
    <w:rsid w:val="00956F6A"/>
    <w:rsid w:val="0097084E"/>
    <w:rsid w:val="009B4007"/>
    <w:rsid w:val="009C1881"/>
    <w:rsid w:val="009C5360"/>
    <w:rsid w:val="00A253D0"/>
    <w:rsid w:val="00A27FDC"/>
    <w:rsid w:val="00A418DF"/>
    <w:rsid w:val="00A42E2E"/>
    <w:rsid w:val="00A5240C"/>
    <w:rsid w:val="00A55E14"/>
    <w:rsid w:val="00A63B97"/>
    <w:rsid w:val="00A95E37"/>
    <w:rsid w:val="00B0496E"/>
    <w:rsid w:val="00B13D92"/>
    <w:rsid w:val="00B17E63"/>
    <w:rsid w:val="00B214B5"/>
    <w:rsid w:val="00B26462"/>
    <w:rsid w:val="00B36447"/>
    <w:rsid w:val="00B40A9A"/>
    <w:rsid w:val="00B4425C"/>
    <w:rsid w:val="00B52FAF"/>
    <w:rsid w:val="00B5739F"/>
    <w:rsid w:val="00B77ECA"/>
    <w:rsid w:val="00BA1D46"/>
    <w:rsid w:val="00BB4159"/>
    <w:rsid w:val="00BD4E80"/>
    <w:rsid w:val="00BF75ED"/>
    <w:rsid w:val="00C35E11"/>
    <w:rsid w:val="00C37EE6"/>
    <w:rsid w:val="00C76F56"/>
    <w:rsid w:val="00C855C9"/>
    <w:rsid w:val="00C914B8"/>
    <w:rsid w:val="00CB7374"/>
    <w:rsid w:val="00CC5DCB"/>
    <w:rsid w:val="00CE0CDF"/>
    <w:rsid w:val="00CE583E"/>
    <w:rsid w:val="00D060FE"/>
    <w:rsid w:val="00D07000"/>
    <w:rsid w:val="00D13306"/>
    <w:rsid w:val="00D13655"/>
    <w:rsid w:val="00D15ED3"/>
    <w:rsid w:val="00D2174C"/>
    <w:rsid w:val="00D50B84"/>
    <w:rsid w:val="00D57646"/>
    <w:rsid w:val="00D71B10"/>
    <w:rsid w:val="00DA5AC5"/>
    <w:rsid w:val="00DD02BF"/>
    <w:rsid w:val="00E06774"/>
    <w:rsid w:val="00E24F8D"/>
    <w:rsid w:val="00E35AD4"/>
    <w:rsid w:val="00E46D3E"/>
    <w:rsid w:val="00E55F27"/>
    <w:rsid w:val="00E90CCA"/>
    <w:rsid w:val="00E9402D"/>
    <w:rsid w:val="00F10381"/>
    <w:rsid w:val="00F10843"/>
    <w:rsid w:val="00F37315"/>
    <w:rsid w:val="00F40621"/>
    <w:rsid w:val="00F54142"/>
    <w:rsid w:val="00F70E6E"/>
    <w:rsid w:val="00F72CBC"/>
    <w:rsid w:val="00F75B33"/>
    <w:rsid w:val="00FA26BE"/>
    <w:rsid w:val="00FB2E46"/>
    <w:rsid w:val="00FB4ADB"/>
    <w:rsid w:val="00FD36F7"/>
    <w:rsid w:val="00FE7C7C"/>
    <w:rsid w:val="00FF2FFA"/>
    <w:rsid w:val="00FF5D33"/>
    <w:rsid w:val="088E17B3"/>
    <w:rsid w:val="0C2F2C84"/>
    <w:rsid w:val="10156B6C"/>
    <w:rsid w:val="13CC7E63"/>
    <w:rsid w:val="1B1E61B8"/>
    <w:rsid w:val="21790038"/>
    <w:rsid w:val="2B296EED"/>
    <w:rsid w:val="2D6B48E5"/>
    <w:rsid w:val="2E5A7A93"/>
    <w:rsid w:val="33B141A9"/>
    <w:rsid w:val="40454B26"/>
    <w:rsid w:val="4445793E"/>
    <w:rsid w:val="48651DE5"/>
    <w:rsid w:val="4DC54118"/>
    <w:rsid w:val="4EAD4664"/>
    <w:rsid w:val="56A27145"/>
    <w:rsid w:val="658E2E65"/>
    <w:rsid w:val="66D62173"/>
    <w:rsid w:val="71137B71"/>
    <w:rsid w:val="7E5837E4"/>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fillcolor="#FFFFFF" fill="t" stroke="t">
      <v:fill on="t" focussize="0,0"/>
      <v:stroke color="#000000"/>
    </o:shapedefaults>
    <o:shapelayout v:ext="edit">
      <o:idmap v:ext="edit" data="1"/>
    </o:shapelayout>
  </w:shapeDefaults>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http://schemas.openxmlformats.org/wordprocessingml/2006/main" xmlns:w14="http://schemas.microsoft.com/office/word/2010/wordml" xmlns:w10="urn:schemas-microsoft-com:office:word" xmlns:sl="http://schemas.openxmlformats.org/schemaLibrary/2006/main" xmlns:wpsCustomData="http://www.wps.cn/officeDocument/2013/wpsCustomData" mc:Ignorable="w14">
  <w:docDefaults>
    <w:rPrDefault>
      <w:rPr>
        <w:rFonts w:asciiTheme="minorHAnsi" w:hAnsiTheme="minorHAnsi" w:eastAsiaTheme="minorEastAsia" w:cstheme="minorBidi"/>
      </w:rPr>
    </w:rPrDefault>
    <w:pPrDefault/>
  </w:docDefaults>
  <w:latentStyles w:count="260" w:defQFormat="0" w:defUnhideWhenUsed="1" w:defSemiHidden="1" w:defUIPriority="99" w:defLockedState="0">
    <w:lsdException w:qFormat="1" w:unhideWhenUsed="0" w:uiPriority="0" w:semiHidden="0" w:name="Normal"/>
    <w:lsdException w:qFormat="1" w:unhideWhenUsed="0" w:uiPriority="0" w:semiHidden="0" w:name="heading 1"/>
    <w:lsdException w:qFormat="1" w:unhideWhenUsed="0" w:uiPriority="0" w:semiHidden="0" w:name="heading 2"/>
    <w:lsdException w:qFormat="1" w:uiPriority="0" w:semiHidden="0" w:name="heading 3"/>
    <w:lsdException w:qFormat="1" w:uiPriority="0" w:semiHidden="0" w:name="heading 4"/>
    <w:lsdException w:qFormat="1" w:unhideWhenUsed="0" w:uiPriority="0" w:semiHidden="0" w:name="heading 5"/>
    <w:lsdException w:qFormat="1" w:uiPriority="0" w:name="heading 6"/>
    <w:lsdException w:qFormat="1" w:uiPriority="0" w:name="heading 7"/>
    <w:lsdException w:qFormat="1" w:uiPriority="0" w:name="heading 8"/>
    <w:lsdException w:qFormat="1" w:uiPriority="0" w:name="heading 9"/>
    <w:lsdException w:unhideWhenUsed="0" w:uiPriority="0" w:semiHidden="0" w:name="index 1"/>
    <w:lsdException w:unhideWhenUsed="0" w:uiPriority="0" w:semiHidden="0" w:name="index 2"/>
    <w:lsdException w:unhideWhenUsed="0" w:uiPriority="0" w:semiHidden="0" w:name="index 3"/>
    <w:lsdException w:unhideWhenUsed="0" w:uiPriority="0" w:semiHidden="0" w:name="index 4"/>
    <w:lsdException w:qFormat="1" w:unhideWhenUsed="0" w:uiPriority="0" w:semiHidden="0" w:name="index 5"/>
    <w:lsdException w:unhideWhenUsed="0" w:uiPriority="0" w:semiHidden="0" w:name="index 6"/>
    <w:lsdException w:unhideWhenUsed="0" w:uiPriority="0" w:semiHidden="0" w:name="index 7"/>
    <w:lsdException w:unhideWhenUsed="0" w:uiPriority="0" w:semiHidden="0" w:name="index 8"/>
    <w:lsdException w:unhideWhenUsed="0" w:uiPriority="0" w:semiHidden="0" w:name="index 9"/>
    <w:lsdException w:qFormat="1" w:uiPriority="39" w:semiHidden="0" w:name="toc 1"/>
    <w:lsdException w:qFormat="1" w:uiPriority="39" w:semiHidden="0" w:name="toc 2"/>
    <w:lsdException w:qFormat="1" w:uiPriority="39" w:semiHidden="0" w:name="toc 3"/>
    <w:lsdException w:unhideWhenUsed="0" w:uiPriority="0" w:semiHidden="0" w:name="toc 4"/>
    <w:lsdException w:unhideWhenUsed="0" w:uiPriority="0" w:semiHidden="0" w:name="toc 5"/>
    <w:lsdException w:unhideWhenUsed="0" w:uiPriority="0" w:semiHidden="0" w:name="toc 6"/>
    <w:lsdException w:unhideWhenUsed="0" w:uiPriority="0" w:semiHidden="0" w:name="toc 7"/>
    <w:lsdException w:unhideWhenUsed="0" w:uiPriority="0" w:semiHidden="0" w:name="toc 8"/>
    <w:lsdException w:unhideWhenUsed="0" w:uiPriority="0" w:semiHidden="0" w:name="toc 9"/>
    <w:lsdException w:qFormat="1" w:unhideWhenUsed="0" w:uiPriority="0" w:semiHidden="0" w:name="Normal Indent"/>
    <w:lsdException w:qFormat="1" w:unhideWhenUsed="0" w:uiPriority="0" w:semiHidden="0" w:name="footnote text"/>
    <w:lsdException w:unhideWhenUsed="0" w:uiPriority="0" w:semiHidden="0" w:name="annotation text"/>
    <w:lsdException w:qFormat="1" w:unhideWhenUsed="0" w:uiPriority="0" w:semiHidden="0" w:name="header"/>
    <w:lsdException w:qFormat="1" w:uiPriority="0" w:semiHidden="0" w:name="footer"/>
    <w:lsdException w:unhideWhenUsed="0" w:uiPriority="0" w:semiHidden="0" w:name="index heading"/>
    <w:lsdException w:qFormat="1" w:uiPriority="0" w:name="caption"/>
    <w:lsdException w:unhideWhenUsed="0" w:uiPriority="0" w:semiHidden="0" w:name="table of figures"/>
    <w:lsdException w:unhideWhenUsed="0" w:uiPriority="0" w:semiHidden="0" w:name="envelope address"/>
    <w:lsdException w:unhideWhenUsed="0" w:uiPriority="0" w:semiHidden="0" w:name="envelope return"/>
    <w:lsdException w:unhideWhenUsed="0" w:uiPriority="0" w:semiHidden="0" w:name="footnote reference"/>
    <w:lsdException w:unhideWhenUsed="0" w:uiPriority="0" w:semiHidden="0" w:name="annotation reference"/>
    <w:lsdException w:unhideWhenUsed="0" w:uiPriority="0" w:semiHidden="0" w:name="line number"/>
    <w:lsdException w:qFormat="1" w:unhideWhenUsed="0" w:uiPriority="0" w:semiHidden="0" w:name="page number"/>
    <w:lsdException w:unhideWhenUsed="0" w:uiPriority="0" w:semiHidden="0" w:name="endnote reference"/>
    <w:lsdException w:unhideWhenUsed="0" w:uiPriority="0" w:semiHidden="0" w:name="endnote text"/>
    <w:lsdException w:unhideWhenUsed="0" w:uiPriority="0" w:semiHidden="0" w:name="table of authorities"/>
    <w:lsdException w:unhideWhenUsed="0" w:uiPriority="0" w:semiHidden="0" w:name="macro"/>
    <w:lsdException w:unhideWhenUsed="0" w:uiPriority="0" w:semiHidden="0" w:name="toa heading"/>
    <w:lsdException w:unhideWhenUsed="0" w:uiPriority="0" w:semiHidden="0" w:name="List"/>
    <w:lsdException w:unhideWhenUsed="0" w:uiPriority="0" w:semiHidden="0" w:name="List Bullet"/>
    <w:lsdException w:unhideWhenUsed="0" w:uiPriority="0" w:semiHidden="0" w:name="List Number"/>
    <w:lsdException w:unhideWhenUsed="0" w:uiPriority="0" w:semiHidden="0" w:name="List 2"/>
    <w:lsdException w:unhideWhenUsed="0" w:uiPriority="0" w:semiHidden="0" w:name="List 3"/>
    <w:lsdException w:unhideWhenUsed="0" w:uiPriority="0" w:semiHidden="0" w:name="List 4"/>
    <w:lsdException w:unhideWhenUsed="0" w:uiPriority="0" w:semiHidden="0" w:name="List 5"/>
    <w:lsdException w:unhideWhenUsed="0" w:uiPriority="0" w:semiHidden="0" w:name="List Bullet 2"/>
    <w:lsdException w:unhideWhenUsed="0" w:uiPriority="0" w:semiHidden="0" w:name="List Bullet 3"/>
    <w:lsdException w:unhideWhenUsed="0" w:uiPriority="0" w:semiHidden="0" w:name="List Bullet 4"/>
    <w:lsdException w:unhideWhenUsed="0" w:uiPriority="0" w:semiHidden="0" w:name="List Bullet 5"/>
    <w:lsdException w:unhideWhenUsed="0" w:uiPriority="0" w:semiHidden="0" w:name="List Number 2"/>
    <w:lsdException w:unhideWhenUsed="0" w:uiPriority="0" w:semiHidden="0" w:name="List Number 3"/>
    <w:lsdException w:unhideWhenUsed="0" w:uiPriority="0" w:semiHidden="0" w:name="List Number 4"/>
    <w:lsdException w:unhideWhenUsed="0" w:uiPriority="0" w:semiHidden="0" w:name="List Number 5"/>
    <w:lsdException w:qFormat="1" w:unhideWhenUsed="0" w:uiPriority="0" w:semiHidden="0" w:name="Title"/>
    <w:lsdException w:unhideWhenUsed="0" w:uiPriority="0" w:semiHidden="0" w:name="Closing"/>
    <w:lsdException w:unhideWhenUsed="0" w:uiPriority="0" w:semiHidden="0" w:name="Signature"/>
    <w:lsdException w:qFormat="1" w:uiPriority="1" w:name="Default Paragraph Font"/>
    <w:lsdException w:qFormat="1" w:unhideWhenUsed="0" w:uiPriority="0" w:semiHidden="0" w:name="Body Text"/>
    <w:lsdException w:unhideWhenUsed="0" w:uiPriority="0" w:semiHidden="0" w:name="Body Text Indent"/>
    <w:lsdException w:unhideWhenUsed="0" w:uiPriority="0" w:semiHidden="0" w:name="List Continue"/>
    <w:lsdException w:unhideWhenUsed="0" w:uiPriority="0" w:semiHidden="0" w:name="List Continue 2"/>
    <w:lsdException w:unhideWhenUsed="0" w:uiPriority="0" w:semiHidden="0" w:name="List Continue 3"/>
    <w:lsdException w:unhideWhenUsed="0" w:uiPriority="0" w:semiHidden="0" w:name="List Continue 4"/>
    <w:lsdException w:unhideWhenUsed="0" w:uiPriority="0" w:semiHidden="0" w:name="List Continue 5"/>
    <w:lsdException w:unhideWhenUsed="0" w:uiPriority="0" w:semiHidden="0" w:name="Message Header"/>
    <w:lsdException w:qFormat="1" w:unhideWhenUsed="0" w:uiPriority="0" w:semiHidden="0" w:name="Subtitle"/>
    <w:lsdException w:unhideWhenUsed="0" w:uiPriority="0" w:semiHidden="0" w:name="Salutation"/>
    <w:lsdException w:qFormat="1" w:unhideWhenUsed="0" w:uiPriority="0" w:semiHidden="0" w:name="Date"/>
    <w:lsdException w:unhideWhenUsed="0" w:uiPriority="0" w:semiHidden="0" w:name="Body Text First Indent"/>
    <w:lsdException w:unhideWhenUsed="0" w:uiPriority="0" w:semiHidden="0" w:name="Body Text First Indent 2"/>
    <w:lsdException w:unhideWhenUsed="0" w:uiPriority="0" w:semiHidden="0" w:name="Note Heading"/>
    <w:lsdException w:unhideWhenUsed="0" w:uiPriority="0" w:semiHidden="0" w:name="Body Text 2"/>
    <w:lsdException w:unhideWhenUsed="0" w:uiPriority="0" w:semiHidden="0" w:name="Body Text 3"/>
    <w:lsdException w:unhideWhenUsed="0" w:uiPriority="0" w:semiHidden="0" w:name="Body Text Indent 2"/>
    <w:lsdException w:unhideWhenUsed="0" w:uiPriority="0" w:semiHidden="0" w:name="Body Text Indent 3"/>
    <w:lsdException w:unhideWhenUsed="0" w:uiPriority="0" w:semiHidden="0" w:name="Block Text"/>
    <w:lsdException w:qFormat="1" w:uiPriority="99" w:semiHidden="0" w:name="Hyperlink"/>
    <w:lsdException w:unhideWhenUsed="0" w:uiPriority="0" w:semiHidden="0" w:name="FollowedHyperlink"/>
    <w:lsdException w:qFormat="1" w:unhideWhenUsed="0" w:uiPriority="0" w:semiHidden="0" w:name="Strong"/>
    <w:lsdException w:qFormat="1" w:unhideWhenUsed="0" w:uiPriority="0" w:semiHidden="0" w:name="Emphasis"/>
    <w:lsdException w:unhideWhenUsed="0" w:uiPriority="0" w:semiHidden="0" w:name="Document Map"/>
    <w:lsdException w:unhideWhenUsed="0" w:uiPriority="0" w:semiHidden="0" w:name="Plain Text"/>
    <w:lsdException w:unhideWhenUsed="0" w:uiPriority="0" w:semiHidden="0" w:name="E-mail Signature"/>
    <w:lsdException w:unhideWhenUsed="0" w:uiPriority="0" w:semiHidden="0" w:name="Normal (Web)"/>
    <w:lsdException w:unhideWhenUsed="0" w:uiPriority="0" w:semiHidden="0" w:name="HTML Acronym"/>
    <w:lsdException w:unhideWhenUsed="0" w:uiPriority="0" w:semiHidden="0" w:name="HTML Address"/>
    <w:lsdException w:unhideWhenUsed="0" w:uiPriority="0" w:semiHidden="0" w:name="HTML Cite"/>
    <w:lsdException w:unhideWhenUsed="0" w:uiPriority="0" w:semiHidden="0" w:name="HTML Code"/>
    <w:lsdException w:unhideWhenUsed="0" w:uiPriority="0" w:semiHidden="0" w:name="HTML Definition"/>
    <w:lsdException w:unhideWhenUsed="0" w:uiPriority="0" w:semiHidden="0" w:name="HTML Keyboard"/>
    <w:lsdException w:unhideWhenUsed="0" w:uiPriority="0" w:semiHidden="0" w:name="HTML Preformatted"/>
    <w:lsdException w:unhideWhenUsed="0" w:uiPriority="0" w:semiHidden="0" w:name="HTML Sample"/>
    <w:lsdException w:unhideWhenUsed="0" w:uiPriority="0" w:semiHidden="0" w:name="HTML Typewriter"/>
    <w:lsdException w:unhideWhenUsed="0" w:uiPriority="0" w:semiHidden="0" w:name="HTML Variable"/>
    <w:lsdException w:qFormat="1" w:uiPriority="99" w:name="Normal Table"/>
    <w:lsdException w:unhideWhenUsed="0" w:uiPriority="0" w:semiHidden="0" w:name="annotation subject"/>
    <w:lsdException w:uiPriority="0" w:name="Table Simple 1"/>
    <w:lsdException w:uiPriority="0" w:name="Table Simple 2"/>
    <w:lsdException w:uiPriority="0" w:name="Table Simple 3"/>
    <w:lsdException w:uiPriority="0" w:name="Table Classic 1"/>
    <w:lsdException w:uiPriority="0" w:name="Table Classic 2"/>
    <w:lsdException w:uiPriority="0" w:name="Table Classic 3"/>
    <w:lsdException w:uiPriority="0" w:name="Table Classic 4"/>
    <w:lsdException w:uiPriority="0" w:name="Table Colorful 1"/>
    <w:lsdException w:uiPriority="0" w:name="Table Colorful 2"/>
    <w:lsdException w:uiPriority="0" w:name="Table Colorful 3"/>
    <w:lsdException w:uiPriority="0" w:name="Table Columns 1"/>
    <w:lsdException w:uiPriority="0" w:name="Table Columns 2"/>
    <w:lsdException w:uiPriority="0" w:name="Table Columns 3"/>
    <w:lsdException w:uiPriority="0" w:name="Table Columns 4"/>
    <w:lsdException w:uiPriority="0" w:name="Table Columns 5"/>
    <w:lsdException w:uiPriority="0" w:name="Table Grid 1"/>
    <w:lsdException w:uiPriority="0" w:name="Table Grid 2"/>
    <w:lsdException w:uiPriority="0" w:name="Table Grid 3"/>
    <w:lsdException w:uiPriority="0" w:name="Table Grid 4"/>
    <w:lsdException w:uiPriority="0" w:name="Table Grid 5"/>
    <w:lsdException w:uiPriority="0" w:name="Table Grid 6"/>
    <w:lsdException w:uiPriority="0" w:name="Table Grid 7"/>
    <w:lsdException w:uiPriority="0" w:name="Table Grid 8"/>
    <w:lsdException w:uiPriority="0" w:name="Table List 1"/>
    <w:lsdException w:uiPriority="0" w:name="Table List 2"/>
    <w:lsdException w:uiPriority="0" w:name="Table List 3"/>
    <w:lsdException w:uiPriority="0" w:name="Table List 4"/>
    <w:lsdException w:uiPriority="0" w:name="Table List 5"/>
    <w:lsdException w:uiPriority="0" w:name="Table List 6"/>
    <w:lsdException w:uiPriority="0" w:name="Table List 7"/>
    <w:lsdException w:uiPriority="0" w:name="Table List 8"/>
    <w:lsdException w:uiPriority="0" w:name="Table 3D effects 1"/>
    <w:lsdException w:uiPriority="0" w:name="Table 3D effects 2"/>
    <w:lsdException w:uiPriority="0" w:name="Table 3D effects 3"/>
    <w:lsdException w:uiPriority="0" w:name="Table Contemporary"/>
    <w:lsdException w:uiPriority="0" w:name="Table Elegant"/>
    <w:lsdException w:uiPriority="0" w:name="Table Professional"/>
    <w:lsdException w:uiPriority="0" w:name="Table Subtle 1"/>
    <w:lsdException w:uiPriority="0" w:name="Table Subtle 2"/>
    <w:lsdException w:uiPriority="0" w:name="Table Web 1"/>
    <w:lsdException w:uiPriority="0" w:name="Table Web 2"/>
    <w:lsdException w:uiPriority="0" w:name="Table Web 3"/>
    <w:lsdException w:unhideWhenUsed="0" w:uiPriority="0" w:semiHidden="0" w:name="Balloon Text"/>
    <w:lsdException w:unhideWhenUsed="0" w:uiPriority="0" w:semiHidden="0" w:name="Table Grid"/>
    <w:lsdException w:uiPriority="0" w:name="Table Theme"/>
    <w:lsdException w:unhideWhenUsed="0" w:uiPriority="60" w:semiHidden="0" w:name="Light Shading"/>
    <w:lsdException w:unhideWhenUsed="0" w:uiPriority="61" w:semiHidden="0" w:name="Light List"/>
    <w:lsdException w:unhideWhenUsed="0" w:uiPriority="62" w:semiHidden="0" w:name="Light Grid"/>
    <w:lsdException w:unhideWhenUsed="0" w:uiPriority="63" w:semiHidden="0" w:name="Medium Shading 1"/>
    <w:lsdException w:unhideWhenUsed="0" w:uiPriority="64" w:semiHidden="0" w:name="Medium Shading 2"/>
    <w:lsdException w:unhideWhenUsed="0" w:uiPriority="65" w:semiHidden="0" w:name="Medium List 1"/>
    <w:lsdException w:unhideWhenUsed="0" w:uiPriority="66" w:semiHidden="0" w:name="Medium List 2"/>
    <w:lsdException w:unhideWhenUsed="0" w:uiPriority="67" w:semiHidden="0" w:name="Medium Grid 1"/>
    <w:lsdException w:unhideWhenUsed="0" w:uiPriority="68" w:semiHidden="0" w:name="Medium Grid 2"/>
    <w:lsdException w:unhideWhenUsed="0" w:uiPriority="69" w:semiHidden="0" w:name="Medium Grid 3"/>
    <w:lsdException w:unhideWhenUsed="0" w:uiPriority="70" w:semiHidden="0" w:name="Dark List"/>
    <w:lsdException w:unhideWhenUsed="0" w:uiPriority="71" w:semiHidden="0" w:name="Colorful Shading"/>
    <w:lsdException w:unhideWhenUsed="0" w:uiPriority="72" w:semiHidden="0" w:name="Colorful List"/>
    <w:lsdException w:unhideWhenUsed="0" w:uiPriority="73" w:semiHidden="0" w:name="Colorful Grid"/>
    <w:lsdException w:unhideWhenUsed="0" w:uiPriority="60" w:semiHidden="0" w:name="Light Shading Accent 1"/>
    <w:lsdException w:unhideWhenUsed="0" w:uiPriority="61" w:semiHidden="0" w:name="Light List Accent 1"/>
    <w:lsdException w:unhideWhenUsed="0" w:uiPriority="62" w:semiHidden="0" w:name="Light Grid Accent 1"/>
    <w:lsdException w:unhideWhenUsed="0" w:uiPriority="63" w:semiHidden="0" w:name="Medium Shading 1 Accent 1"/>
    <w:lsdException w:unhideWhenUsed="0" w:uiPriority="64" w:semiHidden="0" w:name="Medium Shading 2 Accent 1"/>
    <w:lsdException w:unhideWhenUsed="0" w:uiPriority="65" w:semiHidden="0" w:name="Medium List 1 Accent 1"/>
    <w:lsdException w:qFormat="1" w:unhideWhenUsed="0" w:uiPriority="99" w:semiHidden="0" w:name="List Paragraph"/>
    <w:lsdException w:unhideWhenUsed="0" w:uiPriority="66" w:semiHidden="0" w:name="Medium List 2 Accent 1"/>
    <w:lsdException w:unhideWhenUsed="0" w:uiPriority="67" w:semiHidden="0" w:name="Medium Grid 1 Accent 1"/>
    <w:lsdException w:unhideWhenUsed="0" w:uiPriority="68" w:semiHidden="0" w:name="Medium Grid 2 Accent 1"/>
    <w:lsdException w:unhideWhenUsed="0" w:uiPriority="69" w:semiHidden="0" w:name="Medium Grid 3 Accent 1"/>
    <w:lsdException w:unhideWhenUsed="0" w:uiPriority="70" w:semiHidden="0" w:name="Dark List Accent 1"/>
    <w:lsdException w:unhideWhenUsed="0" w:uiPriority="71" w:semiHidden="0" w:name="Colorful Shading Accent 1"/>
    <w:lsdException w:unhideWhenUsed="0" w:uiPriority="72" w:semiHidden="0" w:name="Colorful List Accent 1"/>
    <w:lsdException w:unhideWhenUsed="0" w:uiPriority="73" w:semiHidden="0" w:name="Colorful Grid Accent 1"/>
    <w:lsdException w:unhideWhenUsed="0" w:uiPriority="60" w:semiHidden="0" w:name="Light Shading Accent 2"/>
    <w:lsdException w:unhideWhenUsed="0" w:uiPriority="61" w:semiHidden="0" w:name="Light List Accent 2"/>
    <w:lsdException w:unhideWhenUsed="0" w:uiPriority="62" w:semiHidden="0" w:name="Light Grid Accent 2"/>
    <w:lsdException w:unhideWhenUsed="0" w:uiPriority="63" w:semiHidden="0" w:name="Medium Shading 1 Accent 2"/>
    <w:lsdException w:unhideWhenUsed="0" w:uiPriority="64" w:semiHidden="0" w:name="Medium Shading 2 Accent 2"/>
    <w:lsdException w:unhideWhenUsed="0" w:uiPriority="65" w:semiHidden="0" w:name="Medium List 1 Accent 2"/>
    <w:lsdException w:unhideWhenUsed="0" w:uiPriority="66" w:semiHidden="0" w:name="Medium List 2 Accent 2"/>
    <w:lsdException w:unhideWhenUsed="0" w:uiPriority="67" w:semiHidden="0" w:name="Medium Grid 1 Accent 2"/>
    <w:lsdException w:unhideWhenUsed="0" w:uiPriority="68" w:semiHidden="0" w:name="Medium Grid 2 Accent 2"/>
    <w:lsdException w:unhideWhenUsed="0" w:uiPriority="69" w:semiHidden="0" w:name="Medium Grid 3 Accent 2"/>
    <w:lsdException w:unhideWhenUsed="0" w:uiPriority="70" w:semiHidden="0" w:name="Dark List Accent 2"/>
    <w:lsdException w:unhideWhenUsed="0" w:uiPriority="71" w:semiHidden="0" w:name="Colorful Shading Accent 2"/>
    <w:lsdException w:unhideWhenUsed="0" w:uiPriority="72" w:semiHidden="0" w:name="Colorful List Accent 2"/>
    <w:lsdException w:unhideWhenUsed="0" w:uiPriority="73" w:semiHidden="0" w:name="Colorful Grid Accent 2"/>
    <w:lsdException w:unhideWhenUsed="0" w:uiPriority="60" w:semiHidden="0" w:name="Light Shading Accent 3"/>
    <w:lsdException w:unhideWhenUsed="0" w:uiPriority="61" w:semiHidden="0" w:name="Light List Accent 3"/>
    <w:lsdException w:unhideWhenUsed="0" w:uiPriority="62" w:semiHidden="0" w:name="Light Grid Accent 3"/>
    <w:lsdException w:unhideWhenUsed="0" w:uiPriority="63" w:semiHidden="0" w:name="Medium Shading 1 Accent 3"/>
    <w:lsdException w:unhideWhenUsed="0" w:uiPriority="64" w:semiHidden="0" w:name="Medium Shading 2 Accent 3"/>
    <w:lsdException w:unhideWhenUsed="0" w:uiPriority="65" w:semiHidden="0" w:name="Medium List 1 Accent 3"/>
    <w:lsdException w:unhideWhenUsed="0" w:uiPriority="66" w:semiHidden="0" w:name="Medium List 2 Accent 3"/>
    <w:lsdException w:unhideWhenUsed="0" w:uiPriority="67" w:semiHidden="0" w:name="Medium Grid 1 Accent 3"/>
    <w:lsdException w:unhideWhenUsed="0" w:uiPriority="68" w:semiHidden="0" w:name="Medium Grid 2 Accent 3"/>
    <w:lsdException w:unhideWhenUsed="0" w:uiPriority="69" w:semiHidden="0" w:name="Medium Grid 3 Accent 3"/>
    <w:lsdException w:unhideWhenUsed="0" w:uiPriority="70" w:semiHidden="0" w:name="Dark List Accent 3"/>
    <w:lsdException w:unhideWhenUsed="0" w:uiPriority="71" w:semiHidden="0" w:name="Colorful Shading Accent 3"/>
    <w:lsdException w:unhideWhenUsed="0" w:uiPriority="72" w:semiHidden="0" w:name="Colorful List Accent 3"/>
    <w:lsdException w:unhideWhenUsed="0" w:uiPriority="73" w:semiHidden="0" w:name="Colorful Grid Accent 3"/>
    <w:lsdException w:unhideWhenUsed="0" w:uiPriority="60" w:semiHidden="0" w:name="Light Shading Accent 4"/>
    <w:lsdException w:unhideWhenUsed="0" w:uiPriority="61" w:semiHidden="0" w:name="Light List Accent 4"/>
    <w:lsdException w:unhideWhenUsed="0" w:uiPriority="62" w:semiHidden="0" w:name="Light Grid Accent 4"/>
    <w:lsdException w:unhideWhenUsed="0" w:uiPriority="63" w:semiHidden="0" w:name="Medium Shading 1 Accent 4"/>
    <w:lsdException w:unhideWhenUsed="0" w:uiPriority="64" w:semiHidden="0" w:name="Medium Shading 2 Accent 4"/>
    <w:lsdException w:unhideWhenUsed="0" w:uiPriority="65" w:semiHidden="0" w:name="Medium List 1 Accent 4"/>
    <w:lsdException w:unhideWhenUsed="0" w:uiPriority="66" w:semiHidden="0" w:name="Medium List 2 Accent 4"/>
    <w:lsdException w:unhideWhenUsed="0" w:uiPriority="67" w:semiHidden="0" w:name="Medium Grid 1 Accent 4"/>
    <w:lsdException w:unhideWhenUsed="0" w:uiPriority="68" w:semiHidden="0" w:name="Medium Grid 2 Accent 4"/>
    <w:lsdException w:unhideWhenUsed="0" w:uiPriority="69" w:semiHidden="0" w:name="Medium Grid 3 Accent 4"/>
    <w:lsdException w:unhideWhenUsed="0" w:uiPriority="70" w:semiHidden="0" w:name="Dark List Accent 4"/>
    <w:lsdException w:unhideWhenUsed="0" w:uiPriority="71" w:semiHidden="0" w:name="Colorful Shading Accent 4"/>
    <w:lsdException w:unhideWhenUsed="0" w:uiPriority="72" w:semiHidden="0" w:name="Colorful List Accent 4"/>
    <w:lsdException w:unhideWhenUsed="0" w:uiPriority="73" w:semiHidden="0" w:name="Colorful Grid Accent 4"/>
    <w:lsdException w:unhideWhenUsed="0" w:uiPriority="60" w:semiHidden="0" w:name="Light Shading Accent 5"/>
    <w:lsdException w:unhideWhenUsed="0" w:uiPriority="61" w:semiHidden="0" w:name="Light List Accent 5"/>
    <w:lsdException w:unhideWhenUsed="0" w:uiPriority="62" w:semiHidden="0" w:name="Light Grid Accent 5"/>
    <w:lsdException w:unhideWhenUsed="0" w:uiPriority="63" w:semiHidden="0" w:name="Medium Shading 1 Accent 5"/>
    <w:lsdException w:unhideWhenUsed="0" w:uiPriority="64" w:semiHidden="0" w:name="Medium Shading 2 Accent 5"/>
    <w:lsdException w:unhideWhenUsed="0" w:uiPriority="65" w:semiHidden="0" w:name="Medium List 1 Accent 5"/>
    <w:lsdException w:unhideWhenUsed="0" w:uiPriority="66" w:semiHidden="0" w:name="Medium List 2 Accent 5"/>
    <w:lsdException w:unhideWhenUsed="0" w:uiPriority="67" w:semiHidden="0" w:name="Medium Grid 1 Accent 5"/>
    <w:lsdException w:unhideWhenUsed="0" w:uiPriority="68" w:semiHidden="0" w:name="Medium Grid 2 Accent 5"/>
    <w:lsdException w:unhideWhenUsed="0" w:uiPriority="69" w:semiHidden="0" w:name="Medium Grid 3 Accent 5"/>
    <w:lsdException w:unhideWhenUsed="0" w:uiPriority="70" w:semiHidden="0" w:name="Dark List Accent 5"/>
    <w:lsdException w:unhideWhenUsed="0" w:uiPriority="71" w:semiHidden="0" w:name="Colorful Shading Accent 5"/>
    <w:lsdException w:unhideWhenUsed="0" w:uiPriority="72" w:semiHidden="0" w:name="Colorful List Accent 5"/>
    <w:lsdException w:unhideWhenUsed="0" w:uiPriority="73" w:semiHidden="0" w:name="Colorful Grid Accent 5"/>
    <w:lsdException w:unhideWhenUsed="0" w:uiPriority="60" w:semiHidden="0" w:name="Light Shading Accent 6"/>
    <w:lsdException w:unhideWhenUsed="0" w:uiPriority="61" w:semiHidden="0" w:name="Light List Accent 6"/>
    <w:lsdException w:unhideWhenUsed="0" w:uiPriority="62" w:semiHidden="0" w:name="Light Grid Accent 6"/>
    <w:lsdException w:unhideWhenUsed="0" w:uiPriority="63" w:semiHidden="0" w:name="Medium Shading 1 Accent 6"/>
    <w:lsdException w:unhideWhenUsed="0" w:uiPriority="64" w:semiHidden="0" w:name="Medium Shading 2 Accent 6"/>
    <w:lsdException w:unhideWhenUsed="0" w:uiPriority="65" w:semiHidden="0" w:name="Medium List 1 Accent 6"/>
    <w:lsdException w:unhideWhenUsed="0" w:uiPriority="66" w:semiHidden="0" w:name="Medium List 2 Accent 6"/>
    <w:lsdException w:unhideWhenUsed="0" w:uiPriority="67" w:semiHidden="0" w:name="Medium Grid 1 Accent 6"/>
    <w:lsdException w:unhideWhenUsed="0" w:uiPriority="68" w:semiHidden="0" w:name="Medium Grid 2 Accent 6"/>
    <w:lsdException w:unhideWhenUsed="0" w:uiPriority="69" w:semiHidden="0" w:name="Medium Grid 3 Accent 6"/>
    <w:lsdException w:unhideWhenUsed="0" w:uiPriority="70" w:semiHidden="0" w:name="Dark List Accent 6"/>
    <w:lsdException w:unhideWhenUsed="0" w:uiPriority="71" w:semiHidden="0" w:name="Colorful Shading Accent 6"/>
    <w:lsdException w:unhideWhenUsed="0" w:uiPriority="72" w:semiHidden="0" w:name="Colorful List Accent 6"/>
    <w:lsdException w:unhideWhenUsed="0" w:uiPriority="73" w:semiHidden="0" w:name="Colorful Grid Accent 6"/>
  </w:latentStyles>
  <w:style w:type="paragraph" w:default="1" w:styleId="1">
    <w:name w:val="Normal"/>
    <w:qFormat/>
    <w:uiPriority w:val="0"/>
    <w:pPr>
      <w:widowControl w:val="0"/>
      <w:jc w:val="both"/>
    </w:pPr>
    <w:rPr>
      <w:rFonts w:ascii="Times New Roman" w:hAnsi="Times New Roman" w:eastAsia="宋体" w:cs="Times New Roman"/>
      <w:kern w:val="2"/>
      <w:sz w:val="21"/>
      <w:szCs w:val="24"/>
      <w:lang w:val="en-US" w:eastAsia="zh-CN" w:bidi="ar-SA"/>
    </w:rPr>
  </w:style>
  <w:style w:type="paragraph" w:styleId="2">
    <w:name w:val="heading 1"/>
    <w:basedOn w:val="1"/>
    <w:next w:val="1"/>
    <w:qFormat/>
    <w:uiPriority w:val="0"/>
    <w:pPr>
      <w:keepNext/>
      <w:keepLines/>
      <w:spacing w:before="340" w:after="330" w:line="578" w:lineRule="auto"/>
      <w:outlineLvl w:val="0"/>
    </w:pPr>
    <w:rPr>
      <w:b/>
      <w:bCs/>
      <w:kern w:val="44"/>
      <w:sz w:val="44"/>
      <w:szCs w:val="44"/>
    </w:rPr>
  </w:style>
  <w:style w:type="paragraph" w:styleId="3">
    <w:name w:val="heading 2"/>
    <w:basedOn w:val="1"/>
    <w:next w:val="1"/>
    <w:qFormat/>
    <w:uiPriority w:val="0"/>
    <w:pPr>
      <w:keepNext/>
      <w:keepLines/>
      <w:spacing w:before="260" w:after="260" w:line="415" w:lineRule="auto"/>
      <w:outlineLvl w:val="1"/>
    </w:pPr>
    <w:rPr>
      <w:rFonts w:ascii="Arial" w:hAnsi="Arial" w:eastAsia="黑体"/>
      <w:b/>
      <w:bCs/>
      <w:kern w:val="0"/>
      <w:sz w:val="32"/>
      <w:szCs w:val="32"/>
    </w:rPr>
  </w:style>
  <w:style w:type="paragraph" w:styleId="4">
    <w:name w:val="heading 3"/>
    <w:basedOn w:val="1"/>
    <w:next w:val="1"/>
    <w:link w:val="23"/>
    <w:unhideWhenUsed/>
    <w:qFormat/>
    <w:uiPriority w:val="0"/>
    <w:pPr>
      <w:keepNext/>
      <w:keepLines/>
      <w:spacing w:before="260" w:after="260" w:line="416" w:lineRule="auto"/>
      <w:outlineLvl w:val="2"/>
    </w:pPr>
    <w:rPr>
      <w:b/>
      <w:bCs/>
      <w:sz w:val="32"/>
      <w:szCs w:val="32"/>
    </w:rPr>
  </w:style>
  <w:style w:type="paragraph" w:styleId="5">
    <w:name w:val="heading 4"/>
    <w:basedOn w:val="1"/>
    <w:next w:val="1"/>
    <w:link w:val="24"/>
    <w:unhideWhenUsed/>
    <w:qFormat/>
    <w:uiPriority w:val="0"/>
    <w:pPr>
      <w:keepNext/>
      <w:keepLines/>
      <w:spacing w:before="280" w:after="290" w:line="376" w:lineRule="auto"/>
      <w:outlineLvl w:val="3"/>
    </w:pPr>
    <w:rPr>
      <w:rFonts w:asciiTheme="majorHAnsi" w:hAnsiTheme="majorHAnsi" w:eastAsiaTheme="majorEastAsia" w:cstheme="majorBidi"/>
      <w:b/>
      <w:bCs/>
      <w:sz w:val="28"/>
      <w:szCs w:val="28"/>
    </w:rPr>
  </w:style>
  <w:style w:type="paragraph" w:styleId="6">
    <w:name w:val="heading 5"/>
    <w:basedOn w:val="1"/>
    <w:next w:val="1"/>
    <w:qFormat/>
    <w:uiPriority w:val="0"/>
    <w:pPr>
      <w:keepNext/>
      <w:keepLines/>
      <w:spacing w:before="280" w:after="290" w:line="376" w:lineRule="auto"/>
      <w:outlineLvl w:val="4"/>
    </w:pPr>
    <w:rPr>
      <w:bCs/>
      <w:szCs w:val="28"/>
    </w:rPr>
  </w:style>
  <w:style w:type="character" w:default="1" w:styleId="18">
    <w:name w:val="Default Paragraph Font"/>
    <w:semiHidden/>
    <w:unhideWhenUsed/>
    <w:qFormat/>
    <w:uiPriority w:val="1"/>
  </w:style>
  <w:style w:type="table" w:default="1" w:styleId="17">
    <w:name w:val="Normal Table"/>
    <w:semiHidden/>
    <w:unhideWhenUsed/>
    <w:qFormat/>
    <w:uiPriority w:val="99"/>
    <w:tblPr>
      <w:tblCellMar>
        <w:top w:w="0" w:type="dxa"/>
        <w:left w:w="108" w:type="dxa"/>
        <w:bottom w:w="0" w:type="dxa"/>
        <w:right w:w="108" w:type="dxa"/>
      </w:tblCellMar>
    </w:tblPr>
  </w:style>
  <w:style w:type="paragraph" w:styleId="7">
    <w:name w:val="Normal Indent"/>
    <w:basedOn w:val="1"/>
    <w:qFormat/>
    <w:uiPriority w:val="0"/>
    <w:pPr>
      <w:adjustRightInd w:val="0"/>
      <w:spacing w:line="360" w:lineRule="atLeast"/>
      <w:ind w:firstLine="482"/>
      <w:textAlignment w:val="baseline"/>
    </w:pPr>
    <w:rPr>
      <w:kern w:val="0"/>
      <w:sz w:val="24"/>
    </w:rPr>
  </w:style>
  <w:style w:type="paragraph" w:styleId="8">
    <w:name w:val="index 5"/>
    <w:basedOn w:val="1"/>
    <w:next w:val="1"/>
    <w:qFormat/>
    <w:uiPriority w:val="0"/>
    <w:pPr>
      <w:ind w:left="1050" w:hanging="210" w:firstLineChars="200"/>
      <w:jc w:val="left"/>
    </w:pPr>
    <w:rPr>
      <w:sz w:val="18"/>
      <w:szCs w:val="18"/>
      <w:lang w:eastAsia="zh-TW"/>
    </w:rPr>
  </w:style>
  <w:style w:type="paragraph" w:styleId="9">
    <w:name w:val="Body Text"/>
    <w:basedOn w:val="1"/>
    <w:qFormat/>
    <w:uiPriority w:val="0"/>
    <w:pPr>
      <w:spacing w:line="360" w:lineRule="auto"/>
    </w:pPr>
    <w:rPr>
      <w:rFonts w:eastAsia="仿宋_GB2312"/>
      <w:kern w:val="0"/>
      <w:sz w:val="23"/>
    </w:rPr>
  </w:style>
  <w:style w:type="paragraph" w:styleId="10">
    <w:name w:val="toc 3"/>
    <w:basedOn w:val="1"/>
    <w:next w:val="1"/>
    <w:unhideWhenUsed/>
    <w:qFormat/>
    <w:uiPriority w:val="39"/>
    <w:pPr>
      <w:widowControl/>
      <w:spacing w:after="100" w:line="259" w:lineRule="auto"/>
      <w:ind w:left="440"/>
      <w:jc w:val="left"/>
    </w:pPr>
    <w:rPr>
      <w:rFonts w:asciiTheme="minorHAnsi" w:hAnsiTheme="minorHAnsi" w:eastAsiaTheme="minorEastAsia"/>
      <w:kern w:val="0"/>
      <w:sz w:val="22"/>
      <w:szCs w:val="22"/>
    </w:rPr>
  </w:style>
  <w:style w:type="paragraph" w:styleId="11">
    <w:name w:val="Date"/>
    <w:basedOn w:val="1"/>
    <w:next w:val="1"/>
    <w:qFormat/>
    <w:uiPriority w:val="0"/>
    <w:pPr>
      <w:ind w:left="100" w:leftChars="2500"/>
    </w:pPr>
    <w:rPr>
      <w:kern w:val="0"/>
      <w:sz w:val="20"/>
    </w:rPr>
  </w:style>
  <w:style w:type="paragraph" w:styleId="12">
    <w:name w:val="footer"/>
    <w:basedOn w:val="1"/>
    <w:unhideWhenUsed/>
    <w:qFormat/>
    <w:uiPriority w:val="0"/>
    <w:pPr>
      <w:tabs>
        <w:tab w:val="center" w:pos="4153"/>
        <w:tab w:val="right" w:pos="8306"/>
      </w:tabs>
      <w:snapToGrid w:val="0"/>
      <w:jc w:val="left"/>
    </w:pPr>
    <w:rPr>
      <w:kern w:val="0"/>
      <w:sz w:val="18"/>
      <w:szCs w:val="18"/>
    </w:rPr>
  </w:style>
  <w:style w:type="paragraph" w:styleId="13">
    <w:name w:val="header"/>
    <w:basedOn w:val="1"/>
    <w:link w:val="26"/>
    <w:qFormat/>
    <w:uiPriority w:val="0"/>
    <w:pPr>
      <w:pBdr>
        <w:bottom w:val="single" w:color="auto" w:sz="6" w:space="1"/>
      </w:pBdr>
      <w:tabs>
        <w:tab w:val="center" w:pos="4153"/>
        <w:tab w:val="right" w:pos="8306"/>
      </w:tabs>
      <w:snapToGrid w:val="0"/>
      <w:jc w:val="center"/>
    </w:pPr>
    <w:rPr>
      <w:sz w:val="18"/>
      <w:szCs w:val="18"/>
    </w:rPr>
  </w:style>
  <w:style w:type="paragraph" w:styleId="14">
    <w:name w:val="toc 1"/>
    <w:basedOn w:val="1"/>
    <w:next w:val="1"/>
    <w:unhideWhenUsed/>
    <w:qFormat/>
    <w:uiPriority w:val="39"/>
    <w:pPr>
      <w:widowControl/>
      <w:spacing w:after="100" w:line="259" w:lineRule="auto"/>
      <w:jc w:val="left"/>
    </w:pPr>
    <w:rPr>
      <w:rFonts w:asciiTheme="minorHAnsi" w:hAnsiTheme="minorHAnsi" w:eastAsiaTheme="minorEastAsia"/>
      <w:kern w:val="0"/>
      <w:sz w:val="22"/>
      <w:szCs w:val="22"/>
    </w:rPr>
  </w:style>
  <w:style w:type="paragraph" w:styleId="15">
    <w:name w:val="footnote text"/>
    <w:basedOn w:val="1"/>
    <w:next w:val="8"/>
    <w:qFormat/>
    <w:uiPriority w:val="0"/>
    <w:pPr>
      <w:adjustRightInd w:val="0"/>
      <w:spacing w:line="312" w:lineRule="atLeast"/>
      <w:jc w:val="left"/>
      <w:textAlignment w:val="baseline"/>
    </w:pPr>
    <w:rPr>
      <w:kern w:val="0"/>
      <w:sz w:val="18"/>
      <w:szCs w:val="20"/>
    </w:rPr>
  </w:style>
  <w:style w:type="paragraph" w:styleId="16">
    <w:name w:val="toc 2"/>
    <w:basedOn w:val="1"/>
    <w:next w:val="1"/>
    <w:unhideWhenUsed/>
    <w:qFormat/>
    <w:uiPriority w:val="39"/>
    <w:pPr>
      <w:widowControl/>
      <w:spacing w:after="100" w:line="259" w:lineRule="auto"/>
      <w:ind w:left="220"/>
      <w:jc w:val="left"/>
    </w:pPr>
    <w:rPr>
      <w:rFonts w:asciiTheme="minorHAnsi" w:hAnsiTheme="minorHAnsi" w:eastAsiaTheme="minorEastAsia"/>
      <w:kern w:val="0"/>
      <w:sz w:val="22"/>
      <w:szCs w:val="22"/>
    </w:rPr>
  </w:style>
  <w:style w:type="character" w:styleId="19">
    <w:name w:val="page number"/>
    <w:basedOn w:val="18"/>
    <w:qFormat/>
    <w:uiPriority w:val="0"/>
  </w:style>
  <w:style w:type="character" w:styleId="20">
    <w:name w:val="Hyperlink"/>
    <w:basedOn w:val="18"/>
    <w:unhideWhenUsed/>
    <w:qFormat/>
    <w:uiPriority w:val="99"/>
    <w:rPr>
      <w:color w:val="0563C1" w:themeColor="hyperlink"/>
      <w:u w:val="single"/>
      <w14:textFill>
        <w14:solidFill>
          <w14:schemeClr w14:val="hlink"/>
        </w14:solidFill>
      </w14:textFill>
    </w:rPr>
  </w:style>
  <w:style w:type="paragraph" w:customStyle="1" w:styleId="21">
    <w:name w:val="flType"/>
    <w:basedOn w:val="1"/>
    <w:qFormat/>
    <w:uiPriority w:val="0"/>
    <w:pPr>
      <w:adjustRightInd w:val="0"/>
      <w:spacing w:after="284" w:line="113" w:lineRule="atLeast"/>
      <w:jc w:val="center"/>
    </w:pPr>
    <w:rPr>
      <w:kern w:val="0"/>
      <w:sz w:val="24"/>
      <w:szCs w:val="20"/>
    </w:rPr>
  </w:style>
  <w:style w:type="paragraph" w:styleId="22">
    <w:name w:val="List Paragraph"/>
    <w:basedOn w:val="1"/>
    <w:qFormat/>
    <w:uiPriority w:val="99"/>
    <w:pPr>
      <w:ind w:firstLine="420" w:firstLineChars="200"/>
    </w:pPr>
  </w:style>
  <w:style w:type="character" w:customStyle="1" w:styleId="23">
    <w:name w:val="标题 3 字符"/>
    <w:basedOn w:val="18"/>
    <w:link w:val="4"/>
    <w:qFormat/>
    <w:uiPriority w:val="0"/>
    <w:rPr>
      <w:rFonts w:ascii="Times New Roman" w:hAnsi="Times New Roman" w:eastAsia="宋体" w:cs="Times New Roman"/>
      <w:b/>
      <w:bCs/>
      <w:kern w:val="2"/>
      <w:sz w:val="32"/>
      <w:szCs w:val="32"/>
    </w:rPr>
  </w:style>
  <w:style w:type="character" w:customStyle="1" w:styleId="24">
    <w:name w:val="标题 4 字符"/>
    <w:basedOn w:val="18"/>
    <w:link w:val="5"/>
    <w:qFormat/>
    <w:uiPriority w:val="0"/>
    <w:rPr>
      <w:rFonts w:asciiTheme="majorHAnsi" w:hAnsiTheme="majorHAnsi" w:eastAsiaTheme="majorEastAsia" w:cstheme="majorBidi"/>
      <w:b/>
      <w:bCs/>
      <w:kern w:val="2"/>
      <w:sz w:val="28"/>
      <w:szCs w:val="28"/>
    </w:rPr>
  </w:style>
  <w:style w:type="paragraph" w:customStyle="1" w:styleId="25">
    <w:name w:val="TOC 标题1"/>
    <w:basedOn w:val="2"/>
    <w:next w:val="1"/>
    <w:unhideWhenUsed/>
    <w:qFormat/>
    <w:uiPriority w:val="39"/>
    <w:pPr>
      <w:widowControl/>
      <w:spacing w:before="240" w:after="0" w:line="259" w:lineRule="auto"/>
      <w:jc w:val="left"/>
      <w:outlineLvl w:val="9"/>
    </w:pPr>
    <w:rPr>
      <w:rFonts w:asciiTheme="majorHAnsi" w:hAnsiTheme="majorHAnsi" w:eastAsiaTheme="majorEastAsia" w:cstheme="majorBidi"/>
      <w:b w:val="0"/>
      <w:bCs w:val="0"/>
      <w:color w:val="2E75B6" w:themeColor="accent1" w:themeShade="BF"/>
      <w:kern w:val="0"/>
      <w:sz w:val="32"/>
      <w:szCs w:val="32"/>
    </w:rPr>
  </w:style>
  <w:style w:type="character" w:customStyle="1" w:styleId="26">
    <w:name w:val="页眉 字符"/>
    <w:basedOn w:val="18"/>
    <w:link w:val="13"/>
    <w:qFormat/>
    <w:uiPriority w:val="0"/>
    <w:rPr>
      <w:rFonts w:ascii="Times New Roman" w:hAnsi="Times New Roman" w:eastAsia="宋体" w:cs="Times New Roman"/>
      <w:kern w:val="2"/>
      <w:sz w:val="18"/>
      <w:szCs w:val="18"/>
    </w:rPr>
  </w:style>
  <w:style w:type="paragraph" w:customStyle="1" w:styleId="27">
    <w:name w:val="*我是正文的格式"/>
    <w:basedOn w:val="1"/>
    <w:next w:val="9"/>
    <w:qFormat/>
    <w:uiPriority w:val="0"/>
    <w:pPr>
      <w:spacing w:line="360" w:lineRule="auto"/>
      <w:ind w:firstLine="560" w:firstLineChars="200"/>
    </w:pPr>
    <w:rPr>
      <w:rFonts w:ascii="Arial" w:hAnsi="Arial" w:cs="宋体"/>
      <w:lang w:val="zh-CN"/>
    </w:rPr>
  </w:style>
</w:styles>
</file>

<file path=word/_rels/document.xml.rels><?xml version="1.0" encoding="UTF-8" standalone="yes"?>
<Relationships xmlns="http://schemas.openxmlformats.org/package/2006/relationships"><Relationship Id="rId9" Type="http://schemas.openxmlformats.org/officeDocument/2006/relationships/image" Target="media/image2.png"/><Relationship Id="rId8" Type="http://schemas.openxmlformats.org/officeDocument/2006/relationships/image" Target="media/image1.png"/><Relationship Id="rId7" Type="http://schemas.openxmlformats.org/officeDocument/2006/relationships/theme" Target="theme/theme1.xml"/><Relationship Id="rId6" Type="http://schemas.openxmlformats.org/officeDocument/2006/relationships/footer" Target="footer4.xml"/><Relationship Id="rId5" Type="http://schemas.openxmlformats.org/officeDocument/2006/relationships/footer" Target="footer3.xml"/><Relationship Id="rId4" Type="http://schemas.openxmlformats.org/officeDocument/2006/relationships/footer" Target="footer2.xml"/><Relationship Id="rId3" Type="http://schemas.openxmlformats.org/officeDocument/2006/relationships/footer" Target="footer1.xml"/><Relationship Id="rId2" Type="http://schemas.openxmlformats.org/officeDocument/2006/relationships/settings" Target="settings.xml"/><Relationship Id="rId17" Type="http://schemas.openxmlformats.org/officeDocument/2006/relationships/fontTable" Target="fontTable.xml"/><Relationship Id="rId16" Type="http://schemas.openxmlformats.org/officeDocument/2006/relationships/numbering" Target="numbering.xml"/><Relationship Id="rId15" Type="http://schemas.openxmlformats.org/officeDocument/2006/relationships/customXml" Target="../customXml/item1.xml"/><Relationship Id="rId14" Type="http://schemas.openxmlformats.org/officeDocument/2006/relationships/image" Target="media/image7.png"/><Relationship Id="rId13" Type="http://schemas.openxmlformats.org/officeDocument/2006/relationships/image" Target="media/image6.png"/><Relationship Id="rId12" Type="http://schemas.openxmlformats.org/officeDocument/2006/relationships/image" Target="media/image5.png"/><Relationship Id="rId11" Type="http://schemas.openxmlformats.org/officeDocument/2006/relationships/image" Target="media/image4.png"/><Relationship Id="rId10" Type="http://schemas.openxmlformats.org/officeDocument/2006/relationships/image" Target="media/image3.png"/><Relationship Id="rId1" Type="http://schemas.openxmlformats.org/officeDocument/2006/relationships/styles" Target="styles.xml"/></Relationships>
</file>

<file path=word/theme/theme1.xml><?xml version="1.0" encoding="utf-8"?>
<a:theme xmlns:a="http://schemas.openxmlformats.org/drawingml/2006/main" name="Office 主题">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s:customData xmlns="http://www.wps.cn/officeDocument/2013/wpsCustomData" xmlns:s="http://www.wps.cn/officeDocument/2013/wpsCustomData">
  <customSectProps>
    <customSectPr/>
    <customSectPr/>
  </customSectProps>
  <customShpExts>
    <customShpInfo spid="_x0000_s1026" textRotate="1"/>
  </customShpExts>
</s:customData>
</file>

<file path=customXml/itemProps1.xml><?xml version="1.0" encoding="utf-8"?>
<ds:datastoreItem xmlns:ds="http://schemas.openxmlformats.org/officeDocument/2006/customXml" ds:itemID="{B1977F7D-205B-4081-913C-38D41E755F92}">
  <ds:schemaRefs>
    <ds:schemaRef ds:uri="http://www.wps.cn/officeDocument/2013/wpsCustomData"/>
  </ds:schemaRefs>
</ds:datastoreItem>
</file>

<file path=docProps/app.xml><?xml version="1.0" encoding="utf-8"?>
<Properties xmlns="http://schemas.openxmlformats.org/officeDocument/2006/extended-properties" xmlns:vt="http://schemas.openxmlformats.org/officeDocument/2006/docPropsVTypes">
  <Template>Normal</Template>
  <Pages>138</Pages>
  <Words>22745</Words>
  <Characters>24440</Characters>
  <Lines>665</Lines>
  <Paragraphs>187</Paragraphs>
  <TotalTime>7</TotalTime>
  <ScaleCrop>false</ScaleCrop>
  <LinksUpToDate>false</LinksUpToDate>
  <CharactersWithSpaces>24724</CharactersWithSpaces>
  <Application>WPS Office_12.1.0.18912_F1E327BC-269C-435d-A152-05C5408002CA</Application>
  <DocSecurity>0</DocSecurity>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erms:created xsi:type="dcterms:W3CDTF">2021-10-11T01:07:00Z</dcterms:created>
  <dc:creator>herterg</dc:creator>
  <cp:lastModifiedBy>云</cp:lastModifiedBy>
  <dcterms:modified xsi:type="dcterms:W3CDTF">2024-11-29T01:15:44Z</dcterms:modified>
  <cp:revision>88</cp:revision>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2052-12.1.0.18912</vt:lpwstr>
  </property>
  <property fmtid="{D5CDD505-2E9C-101B-9397-08002B2CF9AE}" pid="3" name="ICV">
    <vt:lpwstr>58AC149C01934585ACA83B80F8B80B9C</vt:lpwstr>
  </property>
</Properties>
</file>