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eastAsia="楷体_GB2312"/>
          <w:b/>
          <w:color w:val="auto"/>
          <w:sz w:val="44"/>
        </w:rPr>
      </w:pPr>
    </w:p>
    <w:p>
      <w:pPr>
        <w:autoSpaceDE w:val="0"/>
        <w:autoSpaceDN w:val="0"/>
        <w:adjustRightInd w:val="0"/>
        <w:spacing w:line="360" w:lineRule="auto"/>
        <w:jc w:val="center"/>
        <w:rPr>
          <w:color w:val="auto"/>
          <w:szCs w:val="21"/>
        </w:rPr>
      </w:pPr>
      <w:r>
        <w:rPr>
          <w:rFonts w:hint="eastAsia" w:ascii="宋体" w:hAnsi="宋体" w:cs="宋体"/>
          <w:b/>
          <w:color w:val="auto"/>
          <w:spacing w:val="20"/>
          <w:sz w:val="48"/>
          <w:szCs w:val="48"/>
        </w:rPr>
        <w:t>崇川区碳达峰实施方案（碳排放特征、碳减排潜力管理研究）采购项目</w:t>
      </w:r>
    </w:p>
    <w:p>
      <w:pPr>
        <w:autoSpaceDE w:val="0"/>
        <w:autoSpaceDN w:val="0"/>
        <w:adjustRightInd w:val="0"/>
        <w:spacing w:line="1000" w:lineRule="exact"/>
        <w:jc w:val="center"/>
        <w:rPr>
          <w:rFonts w:ascii="华文新魏" w:eastAsia="华文新魏"/>
          <w:b/>
          <w:bCs/>
          <w:color w:val="auto"/>
          <w:sz w:val="100"/>
          <w:szCs w:val="100"/>
          <w:lang w:val="zh-CN"/>
        </w:rPr>
      </w:pPr>
    </w:p>
    <w:p>
      <w:pPr>
        <w:autoSpaceDE w:val="0"/>
        <w:autoSpaceDN w:val="0"/>
        <w:adjustRightInd w:val="0"/>
        <w:spacing w:line="1000" w:lineRule="exact"/>
        <w:jc w:val="center"/>
        <w:rPr>
          <w:rFonts w:ascii="华文新魏" w:hAnsi="Arial Narrow" w:eastAsia="华文新魏"/>
          <w:b/>
          <w:bCs/>
          <w:color w:val="auto"/>
          <w:sz w:val="100"/>
          <w:szCs w:val="100"/>
        </w:rPr>
      </w:pPr>
      <w:r>
        <w:rPr>
          <w:rFonts w:hint="eastAsia" w:ascii="华文新魏" w:eastAsia="华文新魏"/>
          <w:b/>
          <w:bCs/>
          <w:color w:val="auto"/>
          <w:sz w:val="100"/>
          <w:szCs w:val="100"/>
          <w:lang w:val="zh-CN"/>
        </w:rPr>
        <w:t>竞争性</w:t>
      </w:r>
    </w:p>
    <w:p>
      <w:pPr>
        <w:autoSpaceDE w:val="0"/>
        <w:autoSpaceDN w:val="0"/>
        <w:adjustRightInd w:val="0"/>
        <w:spacing w:line="1000" w:lineRule="exact"/>
        <w:jc w:val="center"/>
        <w:rPr>
          <w:rFonts w:ascii="华文新魏" w:hAnsi="Arial Narrow" w:eastAsia="华文新魏"/>
          <w:b/>
          <w:bCs/>
          <w:color w:val="auto"/>
          <w:sz w:val="100"/>
          <w:szCs w:val="100"/>
        </w:rPr>
      </w:pPr>
      <w:r>
        <w:rPr>
          <w:rFonts w:hint="eastAsia" w:ascii="华文新魏" w:hAnsi="Arial Narrow" w:eastAsia="华文新魏"/>
          <w:b/>
          <w:bCs/>
          <w:color w:val="auto"/>
          <w:sz w:val="100"/>
          <w:szCs w:val="100"/>
          <w:lang w:val="zh-CN"/>
        </w:rPr>
        <w:t>磋商文件</w:t>
      </w:r>
    </w:p>
    <w:p>
      <w:pPr>
        <w:keepNext/>
        <w:keepLines/>
        <w:autoSpaceDE w:val="0"/>
        <w:autoSpaceDN w:val="0"/>
        <w:adjustRightInd w:val="0"/>
        <w:spacing w:before="260" w:after="260" w:line="600" w:lineRule="exact"/>
        <w:ind w:right="210" w:firstLine="1080" w:firstLineChars="300"/>
        <w:outlineLvl w:val="0"/>
        <w:rPr>
          <w:rFonts w:ascii="宋体" w:hAnsi="宋体"/>
          <w:color w:val="auto"/>
          <w:sz w:val="36"/>
          <w:szCs w:val="36"/>
        </w:rPr>
      </w:pPr>
    </w:p>
    <w:p>
      <w:pPr>
        <w:pStyle w:val="32"/>
        <w:rPr>
          <w:color w:val="auto"/>
        </w:rPr>
      </w:pPr>
    </w:p>
    <w:p>
      <w:pPr>
        <w:keepNext/>
        <w:keepLines/>
        <w:autoSpaceDE w:val="0"/>
        <w:autoSpaceDN w:val="0"/>
        <w:adjustRightInd w:val="0"/>
        <w:spacing w:before="260" w:after="260" w:line="600" w:lineRule="exact"/>
        <w:ind w:right="210" w:firstLine="2160" w:firstLineChars="600"/>
        <w:outlineLvl w:val="0"/>
        <w:rPr>
          <w:rFonts w:ascii="楷体_GB2312"/>
          <w:b/>
          <w:color w:val="auto"/>
          <w:sz w:val="44"/>
          <w:szCs w:val="44"/>
        </w:rPr>
      </w:pPr>
      <w:r>
        <w:rPr>
          <w:rFonts w:hint="eastAsia" w:ascii="宋体" w:hAnsi="宋体"/>
          <w:color w:val="auto"/>
          <w:sz w:val="36"/>
          <w:szCs w:val="36"/>
        </w:rPr>
        <w:t>项目编号：CCFGW-SHSY-2024-02</w:t>
      </w:r>
    </w:p>
    <w:p>
      <w:pPr>
        <w:autoSpaceDE w:val="0"/>
        <w:autoSpaceDN w:val="0"/>
        <w:adjustRightInd w:val="0"/>
        <w:spacing w:line="360" w:lineRule="auto"/>
        <w:ind w:firstLine="420"/>
        <w:jc w:val="center"/>
        <w:rPr>
          <w:rFonts w:eastAsia="黑体"/>
          <w:color w:val="auto"/>
          <w:szCs w:val="21"/>
        </w:rPr>
      </w:pPr>
    </w:p>
    <w:p>
      <w:pPr>
        <w:autoSpaceDE w:val="0"/>
        <w:autoSpaceDN w:val="0"/>
        <w:adjustRightInd w:val="0"/>
        <w:spacing w:line="360" w:lineRule="auto"/>
        <w:ind w:firstLine="420"/>
        <w:jc w:val="center"/>
        <w:rPr>
          <w:rFonts w:eastAsia="黑体"/>
          <w:color w:val="auto"/>
          <w:szCs w:val="21"/>
        </w:rPr>
      </w:pPr>
    </w:p>
    <w:p>
      <w:pPr>
        <w:autoSpaceDE w:val="0"/>
        <w:autoSpaceDN w:val="0"/>
        <w:adjustRightInd w:val="0"/>
        <w:spacing w:line="360" w:lineRule="auto"/>
        <w:ind w:firstLine="420"/>
        <w:jc w:val="center"/>
        <w:rPr>
          <w:rFonts w:eastAsia="黑体"/>
          <w:color w:val="auto"/>
          <w:szCs w:val="21"/>
        </w:rPr>
      </w:pPr>
    </w:p>
    <w:p>
      <w:pPr>
        <w:autoSpaceDE w:val="0"/>
        <w:autoSpaceDN w:val="0"/>
        <w:adjustRightInd w:val="0"/>
        <w:spacing w:line="360" w:lineRule="auto"/>
        <w:ind w:firstLine="420"/>
        <w:jc w:val="center"/>
        <w:rPr>
          <w:rFonts w:eastAsia="黑体"/>
          <w:color w:val="auto"/>
          <w:szCs w:val="21"/>
        </w:rPr>
      </w:pPr>
    </w:p>
    <w:p>
      <w:pPr>
        <w:autoSpaceDE w:val="0"/>
        <w:autoSpaceDN w:val="0"/>
        <w:adjustRightInd w:val="0"/>
        <w:spacing w:line="360" w:lineRule="auto"/>
        <w:ind w:firstLine="420"/>
        <w:jc w:val="center"/>
        <w:rPr>
          <w:rFonts w:eastAsia="黑体"/>
          <w:color w:val="auto"/>
          <w:szCs w:val="21"/>
        </w:rPr>
      </w:pPr>
    </w:p>
    <w:p>
      <w:pPr>
        <w:autoSpaceDE w:val="0"/>
        <w:autoSpaceDN w:val="0"/>
        <w:adjustRightInd w:val="0"/>
        <w:spacing w:line="360" w:lineRule="auto"/>
        <w:rPr>
          <w:color w:val="auto"/>
          <w:szCs w:val="21"/>
        </w:rPr>
      </w:pPr>
    </w:p>
    <w:p>
      <w:pPr>
        <w:autoSpaceDE w:val="0"/>
        <w:autoSpaceDN w:val="0"/>
        <w:adjustRightInd w:val="0"/>
        <w:spacing w:line="360" w:lineRule="auto"/>
        <w:rPr>
          <w:color w:val="auto"/>
          <w:szCs w:val="21"/>
        </w:rPr>
      </w:pPr>
    </w:p>
    <w:p>
      <w:pPr>
        <w:spacing w:line="500" w:lineRule="exact"/>
        <w:jc w:val="center"/>
        <w:rPr>
          <w:rFonts w:ascii="宋体" w:hAnsi="宋体"/>
          <w:color w:val="auto"/>
          <w:spacing w:val="20"/>
          <w:sz w:val="28"/>
          <w:szCs w:val="28"/>
        </w:rPr>
      </w:pPr>
      <w:r>
        <w:rPr>
          <w:rFonts w:hint="eastAsia" w:ascii="宋体" w:hAnsi="宋体"/>
          <w:color w:val="auto"/>
          <w:spacing w:val="20"/>
          <w:sz w:val="28"/>
          <w:szCs w:val="28"/>
        </w:rPr>
        <w:t>采购单位</w:t>
      </w:r>
      <w:r>
        <w:rPr>
          <w:rFonts w:hint="eastAsia" w:ascii="宋体" w:hAnsi="宋体"/>
          <w:color w:val="auto"/>
          <w:spacing w:val="20"/>
          <w:sz w:val="28"/>
          <w:szCs w:val="28"/>
          <w:u w:val="single"/>
        </w:rPr>
        <w:t>：崇川区发展和改革委员会</w:t>
      </w:r>
    </w:p>
    <w:p>
      <w:pPr>
        <w:spacing w:line="500" w:lineRule="exact"/>
        <w:jc w:val="center"/>
        <w:rPr>
          <w:rFonts w:ascii="宋体" w:hAnsi="宋体"/>
          <w:color w:val="auto"/>
          <w:spacing w:val="20"/>
          <w:sz w:val="28"/>
          <w:szCs w:val="28"/>
        </w:rPr>
      </w:pPr>
      <w:r>
        <w:rPr>
          <w:rFonts w:hint="eastAsia" w:ascii="宋体" w:hAnsi="宋体"/>
          <w:color w:val="auto"/>
          <w:spacing w:val="20"/>
          <w:sz w:val="28"/>
          <w:szCs w:val="28"/>
        </w:rPr>
        <w:t>代理单位</w:t>
      </w:r>
      <w:r>
        <w:rPr>
          <w:rFonts w:hint="eastAsia" w:ascii="宋体" w:hAnsi="宋体"/>
          <w:color w:val="auto"/>
          <w:spacing w:val="20"/>
          <w:sz w:val="28"/>
          <w:szCs w:val="28"/>
          <w:u w:val="single"/>
        </w:rPr>
        <w:t>：</w:t>
      </w:r>
      <w:r>
        <w:rPr>
          <w:rFonts w:hint="eastAsia" w:ascii="宋体" w:hAnsi="宋体"/>
          <w:color w:val="auto"/>
          <w:spacing w:val="20"/>
          <w:sz w:val="28"/>
          <w:szCs w:val="28"/>
          <w:u w:val="single"/>
          <w:lang w:val="zh-CN"/>
        </w:rPr>
        <w:t>上海申邑工程咨询有限公司</w:t>
      </w:r>
    </w:p>
    <w:p>
      <w:pPr>
        <w:spacing w:line="500" w:lineRule="exact"/>
        <w:jc w:val="center"/>
        <w:rPr>
          <w:rFonts w:ascii="宋体" w:hAnsi="宋体"/>
          <w:color w:val="auto"/>
          <w:spacing w:val="20"/>
          <w:sz w:val="28"/>
          <w:szCs w:val="28"/>
        </w:rPr>
      </w:pPr>
      <w:r>
        <w:rPr>
          <w:rFonts w:hint="eastAsia" w:ascii="宋体" w:hAnsi="宋体"/>
          <w:color w:val="auto"/>
          <w:spacing w:val="20"/>
          <w:sz w:val="28"/>
          <w:szCs w:val="28"/>
        </w:rPr>
        <w:t>日期：</w:t>
      </w:r>
      <w:r>
        <w:rPr>
          <w:rFonts w:hint="eastAsia" w:ascii="宋体" w:hAnsi="宋体"/>
          <w:color w:val="auto"/>
          <w:spacing w:val="20"/>
          <w:sz w:val="28"/>
          <w:szCs w:val="28"/>
          <w:u w:val="single"/>
        </w:rPr>
        <w:t>2024年8月</w:t>
      </w:r>
    </w:p>
    <w:p>
      <w:pPr>
        <w:spacing w:line="500" w:lineRule="exact"/>
        <w:jc w:val="center"/>
        <w:rPr>
          <w:b/>
          <w:color w:val="auto"/>
          <w:sz w:val="44"/>
          <w:szCs w:val="44"/>
          <w:lang w:val="zh-CN"/>
        </w:rPr>
      </w:pPr>
    </w:p>
    <w:p>
      <w:pPr>
        <w:jc w:val="center"/>
        <w:rPr>
          <w:color w:val="auto"/>
          <w:sz w:val="36"/>
        </w:rPr>
      </w:pPr>
    </w:p>
    <w:p>
      <w:pPr>
        <w:spacing w:line="500" w:lineRule="exact"/>
        <w:rPr>
          <w:snapToGrid w:val="0"/>
          <w:color w:val="auto"/>
          <w:sz w:val="26"/>
          <w:szCs w:val="26"/>
        </w:rPr>
      </w:pPr>
    </w:p>
    <w:p>
      <w:pPr>
        <w:spacing w:line="500" w:lineRule="exact"/>
        <w:jc w:val="center"/>
        <w:rPr>
          <w:b/>
          <w:color w:val="auto"/>
          <w:w w:val="150"/>
          <w:sz w:val="38"/>
          <w:szCs w:val="38"/>
        </w:rPr>
      </w:pPr>
      <w:r>
        <w:rPr>
          <w:b/>
          <w:color w:val="auto"/>
          <w:w w:val="150"/>
          <w:sz w:val="38"/>
          <w:szCs w:val="38"/>
        </w:rPr>
        <w:t>目录</w:t>
      </w:r>
    </w:p>
    <w:p>
      <w:pPr>
        <w:tabs>
          <w:tab w:val="left" w:pos="7740"/>
        </w:tabs>
        <w:spacing w:line="360" w:lineRule="auto"/>
        <w:rPr>
          <w:snapToGrid w:val="0"/>
          <w:color w:val="auto"/>
          <w:sz w:val="26"/>
          <w:szCs w:val="26"/>
        </w:rPr>
      </w:pPr>
    </w:p>
    <w:p>
      <w:pPr>
        <w:tabs>
          <w:tab w:val="left" w:pos="7740"/>
        </w:tabs>
        <w:spacing w:line="360" w:lineRule="auto"/>
        <w:rPr>
          <w:bCs/>
          <w:color w:val="auto"/>
          <w:sz w:val="32"/>
          <w:szCs w:val="32"/>
        </w:rPr>
      </w:pPr>
      <w:r>
        <w:rPr>
          <w:bCs/>
          <w:color w:val="auto"/>
          <w:sz w:val="32"/>
          <w:szCs w:val="32"/>
        </w:rPr>
        <w:t>第一部分竞争性磋商公告</w:t>
      </w:r>
    </w:p>
    <w:p>
      <w:pPr>
        <w:tabs>
          <w:tab w:val="left" w:pos="7740"/>
        </w:tabs>
        <w:spacing w:line="360" w:lineRule="auto"/>
        <w:rPr>
          <w:bCs/>
          <w:color w:val="auto"/>
          <w:sz w:val="32"/>
          <w:szCs w:val="32"/>
        </w:rPr>
      </w:pPr>
      <w:r>
        <w:rPr>
          <w:bCs/>
          <w:color w:val="auto"/>
          <w:sz w:val="32"/>
          <w:szCs w:val="32"/>
        </w:rPr>
        <w:t>第二部分磋商须知</w:t>
      </w:r>
    </w:p>
    <w:p>
      <w:pPr>
        <w:tabs>
          <w:tab w:val="left" w:pos="7740"/>
        </w:tabs>
        <w:spacing w:line="360" w:lineRule="auto"/>
        <w:rPr>
          <w:bCs/>
          <w:color w:val="auto"/>
          <w:sz w:val="32"/>
          <w:szCs w:val="32"/>
        </w:rPr>
      </w:pPr>
      <w:r>
        <w:rPr>
          <w:bCs/>
          <w:color w:val="auto"/>
          <w:sz w:val="32"/>
          <w:szCs w:val="32"/>
        </w:rPr>
        <w:t>第三部分项目需求说明</w:t>
      </w:r>
    </w:p>
    <w:p>
      <w:pPr>
        <w:tabs>
          <w:tab w:val="left" w:pos="7740"/>
        </w:tabs>
        <w:spacing w:line="360" w:lineRule="auto"/>
        <w:rPr>
          <w:bCs/>
          <w:color w:val="auto"/>
          <w:sz w:val="32"/>
          <w:szCs w:val="32"/>
        </w:rPr>
      </w:pPr>
      <w:r>
        <w:rPr>
          <w:bCs/>
          <w:color w:val="auto"/>
          <w:sz w:val="32"/>
          <w:szCs w:val="32"/>
        </w:rPr>
        <w:t>第四部分磋商程序和内容</w:t>
      </w:r>
    </w:p>
    <w:p>
      <w:pPr>
        <w:tabs>
          <w:tab w:val="left" w:pos="7740"/>
        </w:tabs>
        <w:spacing w:line="360" w:lineRule="auto"/>
        <w:rPr>
          <w:bCs/>
          <w:color w:val="auto"/>
          <w:sz w:val="32"/>
          <w:szCs w:val="32"/>
        </w:rPr>
      </w:pPr>
      <w:r>
        <w:rPr>
          <w:bCs/>
          <w:color w:val="auto"/>
          <w:sz w:val="32"/>
          <w:szCs w:val="32"/>
        </w:rPr>
        <w:t>第五部分</w:t>
      </w:r>
      <w:r>
        <w:rPr>
          <w:rFonts w:hint="eastAsia"/>
          <w:bCs/>
          <w:color w:val="auto"/>
          <w:sz w:val="32"/>
          <w:szCs w:val="32"/>
        </w:rPr>
        <w:t>合同签订与验收付款</w:t>
      </w:r>
    </w:p>
    <w:p>
      <w:pPr>
        <w:tabs>
          <w:tab w:val="left" w:pos="7740"/>
        </w:tabs>
        <w:spacing w:line="360" w:lineRule="auto"/>
        <w:rPr>
          <w:bCs/>
          <w:color w:val="auto"/>
          <w:sz w:val="32"/>
          <w:szCs w:val="32"/>
        </w:rPr>
      </w:pPr>
      <w:r>
        <w:rPr>
          <w:bCs/>
          <w:color w:val="auto"/>
          <w:sz w:val="32"/>
          <w:szCs w:val="32"/>
        </w:rPr>
        <w:t>第六部分质疑提出和处理</w:t>
      </w:r>
    </w:p>
    <w:p>
      <w:pPr>
        <w:tabs>
          <w:tab w:val="left" w:pos="7740"/>
        </w:tabs>
        <w:spacing w:line="360" w:lineRule="auto"/>
        <w:rPr>
          <w:bCs/>
          <w:color w:val="auto"/>
          <w:sz w:val="32"/>
          <w:szCs w:val="32"/>
        </w:rPr>
      </w:pPr>
      <w:r>
        <w:rPr>
          <w:bCs/>
          <w:color w:val="auto"/>
          <w:sz w:val="32"/>
          <w:szCs w:val="32"/>
        </w:rPr>
        <w:t>第七部分响应文件组成</w:t>
      </w:r>
    </w:p>
    <w:p>
      <w:pPr>
        <w:tabs>
          <w:tab w:val="left" w:pos="7740"/>
        </w:tabs>
        <w:spacing w:line="500" w:lineRule="exact"/>
        <w:rPr>
          <w:rFonts w:eastAsia="楷体_GB2312"/>
          <w:b/>
          <w:color w:val="auto"/>
          <w:spacing w:val="2"/>
          <w:sz w:val="32"/>
          <w:szCs w:val="32"/>
        </w:rPr>
      </w:pPr>
    </w:p>
    <w:p>
      <w:pPr>
        <w:spacing w:line="500" w:lineRule="exact"/>
        <w:rPr>
          <w:color w:val="auto"/>
          <w:sz w:val="32"/>
          <w:szCs w:val="32"/>
        </w:rPr>
      </w:pPr>
    </w:p>
    <w:p>
      <w:pPr>
        <w:adjustRightInd w:val="0"/>
        <w:snapToGrid w:val="0"/>
        <w:ind w:left="-158" w:leftChars="-75" w:right="-601" w:rightChars="-286"/>
        <w:rPr>
          <w:rFonts w:eastAsia="仿宋_GB2312"/>
          <w:b/>
          <w:color w:val="auto"/>
          <w:sz w:val="48"/>
          <w:szCs w:val="48"/>
        </w:rPr>
      </w:pPr>
    </w:p>
    <w:p>
      <w:pPr>
        <w:jc w:val="center"/>
        <w:rPr>
          <w:b/>
          <w:color w:val="auto"/>
          <w:sz w:val="36"/>
          <w:szCs w:val="36"/>
        </w:rPr>
        <w:sectPr>
          <w:headerReference r:id="rId3" w:type="default"/>
          <w:pgSz w:w="11906" w:h="16838"/>
          <w:pgMar w:top="1440" w:right="1700" w:bottom="1440" w:left="1800" w:header="851" w:footer="992" w:gutter="0"/>
          <w:cols w:space="720" w:num="1"/>
          <w:docGrid w:type="lines" w:linePitch="312" w:charSpace="0"/>
        </w:sectPr>
      </w:pPr>
    </w:p>
    <w:p>
      <w:pPr>
        <w:snapToGrid w:val="0"/>
        <w:spacing w:line="300" w:lineRule="auto"/>
        <w:jc w:val="center"/>
        <w:outlineLvl w:val="0"/>
        <w:rPr>
          <w:b/>
          <w:color w:val="auto"/>
          <w:sz w:val="36"/>
          <w:szCs w:val="36"/>
        </w:rPr>
      </w:pPr>
      <w:r>
        <w:rPr>
          <w:b/>
          <w:color w:val="auto"/>
          <w:sz w:val="36"/>
          <w:szCs w:val="36"/>
        </w:rPr>
        <w:t>第一部分竞争性磋商公告</w:t>
      </w:r>
    </w:p>
    <w:p>
      <w:pPr>
        <w:spacing w:line="240" w:lineRule="atLeast"/>
        <w:jc w:val="center"/>
        <w:rPr>
          <w:rFonts w:eastAsia="黑体"/>
          <w:color w:val="auto"/>
          <w:w w:val="90"/>
          <w:sz w:val="28"/>
          <w:szCs w:val="28"/>
        </w:rPr>
      </w:pPr>
      <w:bookmarkStart w:id="0" w:name="_Toc12939"/>
      <w:bookmarkStart w:id="1" w:name="_Toc387526272"/>
      <w:bookmarkStart w:id="2" w:name="_Toc387526364"/>
      <w:bookmarkStart w:id="3" w:name="_Toc387526168"/>
      <w:bookmarkStart w:id="4" w:name="OLE_LINK2"/>
      <w:bookmarkStart w:id="5" w:name="OLE_LINK5"/>
      <w:bookmarkStart w:id="6" w:name="OLE_LINK3"/>
      <w:bookmarkStart w:id="7" w:name="OLE_LINK1"/>
      <w:bookmarkStart w:id="8" w:name="OLE_LINK4"/>
      <w:bookmarkStart w:id="9" w:name="OLE_LINK6"/>
      <w:r>
        <w:rPr>
          <w:rFonts w:hint="eastAsia" w:eastAsia="黑体"/>
          <w:color w:val="auto"/>
          <w:w w:val="90"/>
          <w:sz w:val="28"/>
          <w:szCs w:val="28"/>
        </w:rPr>
        <w:t>崇川区碳达峰实施方案（碳排放特征、碳减排潜力管理研究）采购项目</w:t>
      </w:r>
    </w:p>
    <w:p>
      <w:pPr>
        <w:spacing w:line="240" w:lineRule="atLeast"/>
        <w:jc w:val="center"/>
        <w:rPr>
          <w:rFonts w:eastAsia="黑体"/>
          <w:color w:val="auto"/>
          <w:w w:val="90"/>
          <w:sz w:val="28"/>
          <w:szCs w:val="28"/>
        </w:rPr>
      </w:pPr>
      <w:r>
        <w:rPr>
          <w:rFonts w:eastAsia="黑体"/>
          <w:color w:val="auto"/>
          <w:w w:val="90"/>
          <w:sz w:val="28"/>
          <w:szCs w:val="28"/>
        </w:rPr>
        <w:t>竞争性磋商公告</w:t>
      </w:r>
    </w:p>
    <w:p>
      <w:pPr>
        <w:snapToGrid w:val="0"/>
        <w:spacing w:line="360" w:lineRule="auto"/>
        <w:ind w:firstLine="480" w:firstLineChars="200"/>
        <w:jc w:val="left"/>
        <w:rPr>
          <w:color w:val="auto"/>
          <w:sz w:val="24"/>
          <w:lang w:val="zh-CN"/>
        </w:rPr>
      </w:pPr>
      <w:r>
        <w:rPr>
          <w:rFonts w:hint="eastAsia"/>
          <w:color w:val="auto"/>
          <w:sz w:val="24"/>
          <w:lang w:val="zh-CN"/>
        </w:rPr>
        <w:t>上海申邑工程咨询有限公司</w:t>
      </w:r>
      <w:r>
        <w:rPr>
          <w:color w:val="auto"/>
          <w:sz w:val="24"/>
          <w:lang w:val="zh-CN"/>
        </w:rPr>
        <w:t>受</w:t>
      </w:r>
      <w:r>
        <w:rPr>
          <w:rFonts w:hint="eastAsia"/>
          <w:color w:val="auto"/>
          <w:sz w:val="24"/>
          <w:lang w:val="zh-CN"/>
        </w:rPr>
        <w:t>崇川区发展和改革委员会（</w:t>
      </w:r>
      <w:r>
        <w:rPr>
          <w:color w:val="auto"/>
          <w:sz w:val="24"/>
          <w:lang w:val="zh-CN"/>
        </w:rPr>
        <w:t>下称采购人）委托，就</w:t>
      </w:r>
      <w:r>
        <w:rPr>
          <w:rFonts w:hint="eastAsia"/>
          <w:color w:val="auto"/>
          <w:sz w:val="24"/>
          <w:lang w:val="zh-CN"/>
        </w:rPr>
        <w:t>崇川区碳达峰实施方案（碳排放特征、碳减排潜力管理研究）采购项目</w:t>
      </w:r>
      <w:r>
        <w:rPr>
          <w:color w:val="auto"/>
          <w:sz w:val="24"/>
          <w:lang w:val="zh-CN"/>
        </w:rPr>
        <w:t>实施竞争性磋商方式组织采购，现公告如下：</w:t>
      </w:r>
    </w:p>
    <w:tbl>
      <w:tblPr>
        <w:tblStyle w:val="53"/>
        <w:tblW w:w="934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9345" w:type="dxa"/>
          </w:tcPr>
          <w:p>
            <w:pPr>
              <w:spacing w:line="360" w:lineRule="auto"/>
              <w:ind w:left="53"/>
              <w:jc w:val="left"/>
              <w:rPr>
                <w:color w:val="auto"/>
                <w:sz w:val="24"/>
              </w:rPr>
            </w:pPr>
            <w:r>
              <w:rPr>
                <w:color w:val="auto"/>
                <w:sz w:val="24"/>
              </w:rPr>
              <w:t>项目概况</w:t>
            </w:r>
          </w:p>
          <w:p>
            <w:pPr>
              <w:spacing w:line="360" w:lineRule="auto"/>
              <w:ind w:left="53" w:firstLine="480" w:firstLineChars="200"/>
              <w:jc w:val="left"/>
              <w:rPr>
                <w:color w:val="auto"/>
                <w:sz w:val="24"/>
              </w:rPr>
            </w:pPr>
            <w:r>
              <w:rPr>
                <w:rFonts w:hint="eastAsia"/>
                <w:color w:val="auto"/>
                <w:sz w:val="24"/>
                <w:u w:val="single"/>
              </w:rPr>
              <w:t>崇川区碳达峰实施方案（碳排放特征、碳减排潜力管理研究）采购项目</w:t>
            </w:r>
            <w:r>
              <w:rPr>
                <w:color w:val="auto"/>
                <w:sz w:val="24"/>
                <w:lang w:val="zh-CN"/>
              </w:rPr>
              <w:t>的潜在供应商到</w:t>
            </w:r>
            <w:r>
              <w:rPr>
                <w:rFonts w:hint="eastAsia"/>
                <w:color w:val="auto"/>
                <w:sz w:val="24"/>
                <w:lang w:val="zh-CN"/>
              </w:rPr>
              <w:t>崇川区人民政府网站—</w:t>
            </w:r>
            <w:r>
              <w:rPr>
                <w:rFonts w:hint="eastAsia"/>
                <w:color w:val="auto"/>
                <w:sz w:val="24"/>
              </w:rPr>
              <w:t>公示公告栏</w:t>
            </w:r>
            <w:r>
              <w:rPr>
                <w:color w:val="auto"/>
                <w:sz w:val="24"/>
                <w:lang w:val="zh-CN"/>
              </w:rPr>
              <w:t>获取采购文件，并于</w:t>
            </w:r>
            <w:r>
              <w:rPr>
                <w:color w:val="auto"/>
                <w:sz w:val="24"/>
                <w:u w:val="single"/>
                <w:lang w:val="zh-CN"/>
              </w:rPr>
              <w:t xml:space="preserve"> </w:t>
            </w:r>
            <w:r>
              <w:rPr>
                <w:rFonts w:hint="eastAsia"/>
                <w:color w:val="auto"/>
                <w:sz w:val="24"/>
                <w:u w:val="single"/>
                <w:lang w:val="zh-CN"/>
              </w:rPr>
              <w:t>202</w:t>
            </w:r>
            <w:r>
              <w:rPr>
                <w:rFonts w:hint="eastAsia"/>
                <w:color w:val="auto"/>
                <w:sz w:val="24"/>
                <w:u w:val="single"/>
              </w:rPr>
              <w:t>4</w:t>
            </w:r>
            <w:r>
              <w:rPr>
                <w:color w:val="auto"/>
                <w:sz w:val="24"/>
                <w:u w:val="single"/>
                <w:lang w:val="zh-CN"/>
              </w:rPr>
              <w:t xml:space="preserve"> </w:t>
            </w:r>
            <w:r>
              <w:rPr>
                <w:color w:val="auto"/>
                <w:sz w:val="24"/>
                <w:lang w:val="zh-CN"/>
              </w:rPr>
              <w:t>年</w:t>
            </w:r>
            <w:r>
              <w:rPr>
                <w:color w:val="auto"/>
                <w:sz w:val="24"/>
                <w:u w:val="single"/>
                <w:lang w:val="zh-CN"/>
              </w:rPr>
              <w:t xml:space="preserve"> </w:t>
            </w:r>
            <w:r>
              <w:rPr>
                <w:rFonts w:hint="eastAsia"/>
                <w:color w:val="auto"/>
                <w:sz w:val="24"/>
                <w:u w:val="single"/>
                <w:lang w:val="en-US" w:eastAsia="zh-CN"/>
              </w:rPr>
              <w:t>8</w:t>
            </w:r>
            <w:r>
              <w:rPr>
                <w:rFonts w:hint="eastAsia"/>
                <w:color w:val="auto"/>
                <w:sz w:val="24"/>
                <w:u w:val="single"/>
              </w:rPr>
              <w:t xml:space="preserve">  </w:t>
            </w:r>
            <w:r>
              <w:rPr>
                <w:color w:val="auto"/>
                <w:sz w:val="24"/>
                <w:lang w:val="zh-CN"/>
              </w:rPr>
              <w:t>月</w:t>
            </w:r>
            <w:r>
              <w:rPr>
                <w:rFonts w:hint="eastAsia"/>
                <w:color w:val="auto"/>
                <w:sz w:val="24"/>
                <w:u w:val="single"/>
              </w:rPr>
              <w:t xml:space="preserve"> </w:t>
            </w:r>
            <w:r>
              <w:rPr>
                <w:rFonts w:hint="eastAsia"/>
                <w:color w:val="auto"/>
                <w:sz w:val="24"/>
                <w:u w:val="single"/>
                <w:lang w:val="en-US" w:eastAsia="zh-CN"/>
              </w:rPr>
              <w:t>21</w:t>
            </w:r>
            <w:r>
              <w:rPr>
                <w:rFonts w:hint="eastAsia"/>
                <w:color w:val="auto"/>
                <w:sz w:val="24"/>
                <w:u w:val="single"/>
              </w:rPr>
              <w:t xml:space="preserve"> </w:t>
            </w:r>
            <w:r>
              <w:rPr>
                <w:color w:val="auto"/>
                <w:sz w:val="24"/>
                <w:lang w:val="zh-CN"/>
              </w:rPr>
              <w:t>日</w:t>
            </w:r>
            <w:r>
              <w:rPr>
                <w:rFonts w:hint="eastAsia"/>
                <w:color w:val="auto"/>
                <w:sz w:val="24"/>
                <w:u w:val="single"/>
              </w:rPr>
              <w:t xml:space="preserve"> 14 </w:t>
            </w:r>
            <w:r>
              <w:rPr>
                <w:rFonts w:hint="eastAsia"/>
                <w:color w:val="auto"/>
                <w:sz w:val="24"/>
              </w:rPr>
              <w:t>时</w:t>
            </w:r>
            <w:r>
              <w:rPr>
                <w:rFonts w:hint="eastAsia"/>
                <w:color w:val="auto"/>
                <w:sz w:val="24"/>
                <w:u w:val="single"/>
              </w:rPr>
              <w:t>30</w:t>
            </w:r>
            <w:r>
              <w:rPr>
                <w:rFonts w:hint="eastAsia"/>
                <w:color w:val="auto"/>
                <w:sz w:val="24"/>
              </w:rPr>
              <w:t>分</w:t>
            </w:r>
            <w:r>
              <w:rPr>
                <w:color w:val="auto"/>
                <w:sz w:val="24"/>
                <w:lang w:val="zh-CN"/>
              </w:rPr>
              <w:t>（北京时间）提交响应文件。</w:t>
            </w:r>
          </w:p>
        </w:tc>
      </w:tr>
    </w:tbl>
    <w:p>
      <w:pPr>
        <w:spacing w:line="360" w:lineRule="auto"/>
        <w:ind w:firstLine="480" w:firstLineChars="200"/>
        <w:jc w:val="left"/>
        <w:rPr>
          <w:color w:val="auto"/>
          <w:sz w:val="24"/>
        </w:rPr>
      </w:pPr>
      <w:r>
        <w:rPr>
          <w:color w:val="auto"/>
          <w:sz w:val="24"/>
        </w:rPr>
        <w:t>一、项目基本情况</w:t>
      </w:r>
    </w:p>
    <w:p>
      <w:pPr>
        <w:spacing w:line="360" w:lineRule="auto"/>
        <w:ind w:firstLine="480" w:firstLineChars="200"/>
        <w:jc w:val="left"/>
        <w:rPr>
          <w:color w:val="auto"/>
          <w:sz w:val="24"/>
        </w:rPr>
      </w:pPr>
      <w:r>
        <w:rPr>
          <w:color w:val="auto"/>
          <w:sz w:val="24"/>
        </w:rPr>
        <w:t>1、项目编号：</w:t>
      </w:r>
      <w:r>
        <w:rPr>
          <w:rFonts w:hint="eastAsia"/>
          <w:color w:val="auto"/>
          <w:sz w:val="24"/>
        </w:rPr>
        <w:t xml:space="preserve">CCFGW-SHSY-2024-02  </w:t>
      </w:r>
    </w:p>
    <w:p>
      <w:pPr>
        <w:spacing w:line="360" w:lineRule="auto"/>
        <w:ind w:firstLine="480" w:firstLineChars="200"/>
        <w:jc w:val="left"/>
        <w:rPr>
          <w:color w:val="auto"/>
          <w:sz w:val="24"/>
        </w:rPr>
      </w:pPr>
      <w:r>
        <w:rPr>
          <w:color w:val="auto"/>
          <w:sz w:val="24"/>
        </w:rPr>
        <w:t>2、项目名称：</w:t>
      </w:r>
      <w:r>
        <w:rPr>
          <w:rFonts w:hint="eastAsia"/>
          <w:color w:val="auto"/>
          <w:sz w:val="24"/>
        </w:rPr>
        <w:t>崇川区碳达峰实施方案（碳排放特征、碳减排潜力管理研究）采购项目</w:t>
      </w:r>
    </w:p>
    <w:p>
      <w:pPr>
        <w:spacing w:line="360" w:lineRule="auto"/>
        <w:ind w:firstLine="480" w:firstLineChars="200"/>
        <w:jc w:val="left"/>
        <w:rPr>
          <w:color w:val="auto"/>
          <w:sz w:val="24"/>
        </w:rPr>
      </w:pPr>
      <w:r>
        <w:rPr>
          <w:color w:val="auto"/>
          <w:sz w:val="24"/>
        </w:rPr>
        <w:t>3、采购方式：竞争性磋商</w:t>
      </w:r>
    </w:p>
    <w:bookmarkEnd w:id="0"/>
    <w:bookmarkEnd w:id="1"/>
    <w:bookmarkEnd w:id="2"/>
    <w:bookmarkEnd w:id="3"/>
    <w:p>
      <w:pPr>
        <w:spacing w:line="360" w:lineRule="auto"/>
        <w:ind w:firstLine="480" w:firstLineChars="200"/>
        <w:jc w:val="left"/>
        <w:rPr>
          <w:rFonts w:hAnsi="宋体"/>
          <w:color w:val="auto"/>
          <w:sz w:val="24"/>
        </w:rPr>
      </w:pPr>
      <w:bookmarkStart w:id="10" w:name="_Toc387526365"/>
      <w:bookmarkStart w:id="11" w:name="_Toc20597"/>
      <w:bookmarkStart w:id="12" w:name="_Toc387526273"/>
      <w:bookmarkStart w:id="13" w:name="_Toc387526169"/>
      <w:r>
        <w:rPr>
          <w:color w:val="auto"/>
          <w:sz w:val="24"/>
        </w:rPr>
        <w:t>4、预算金额：</w:t>
      </w:r>
      <w:r>
        <w:rPr>
          <w:rFonts w:hint="eastAsia"/>
          <w:color w:val="auto"/>
          <w:sz w:val="24"/>
        </w:rPr>
        <w:t>30万元</w:t>
      </w:r>
    </w:p>
    <w:p>
      <w:pPr>
        <w:spacing w:line="360" w:lineRule="auto"/>
        <w:ind w:firstLine="480" w:firstLineChars="200"/>
        <w:jc w:val="left"/>
        <w:rPr>
          <w:rFonts w:hAnsi="宋体"/>
          <w:color w:val="auto"/>
          <w:sz w:val="24"/>
        </w:rPr>
      </w:pPr>
      <w:r>
        <w:rPr>
          <w:rFonts w:hint="eastAsia" w:hAnsi="宋体"/>
          <w:color w:val="auto"/>
          <w:sz w:val="24"/>
        </w:rPr>
        <w:t>5、最高限价：30万元，最终</w:t>
      </w:r>
      <w:r>
        <w:rPr>
          <w:rFonts w:hAnsi="宋体"/>
          <w:color w:val="auto"/>
          <w:sz w:val="24"/>
        </w:rPr>
        <w:t>报价超过</w:t>
      </w:r>
      <w:r>
        <w:rPr>
          <w:rFonts w:hint="eastAsia" w:hAnsi="宋体"/>
          <w:color w:val="auto"/>
          <w:sz w:val="24"/>
        </w:rPr>
        <w:t>最高限价</w:t>
      </w:r>
      <w:r>
        <w:rPr>
          <w:rFonts w:hAnsi="宋体"/>
          <w:color w:val="auto"/>
          <w:sz w:val="24"/>
        </w:rPr>
        <w:t>的为无效响应文件。</w:t>
      </w:r>
    </w:p>
    <w:p>
      <w:pPr>
        <w:spacing w:line="360" w:lineRule="auto"/>
        <w:ind w:firstLine="480" w:firstLineChars="200"/>
        <w:jc w:val="left"/>
        <w:rPr>
          <w:color w:val="auto"/>
          <w:sz w:val="24"/>
        </w:rPr>
      </w:pPr>
      <w:r>
        <w:rPr>
          <w:rFonts w:hint="eastAsia"/>
          <w:color w:val="auto"/>
          <w:sz w:val="24"/>
        </w:rPr>
        <w:t>6</w:t>
      </w:r>
      <w:r>
        <w:rPr>
          <w:color w:val="auto"/>
          <w:sz w:val="24"/>
        </w:rPr>
        <w:t>、采购需求：具体详见磋商文件第三部分项目需求。</w:t>
      </w:r>
    </w:p>
    <w:p>
      <w:pPr>
        <w:spacing w:line="360" w:lineRule="auto"/>
        <w:ind w:firstLine="480" w:firstLineChars="200"/>
        <w:jc w:val="left"/>
        <w:rPr>
          <w:rFonts w:hint="default" w:eastAsia="宋体"/>
          <w:color w:val="auto"/>
          <w:sz w:val="24"/>
          <w:lang w:val="en-US" w:eastAsia="zh-CN"/>
        </w:rPr>
      </w:pPr>
      <w:r>
        <w:rPr>
          <w:rFonts w:hint="eastAsia"/>
          <w:color w:val="auto"/>
          <w:sz w:val="24"/>
        </w:rPr>
        <w:t>7</w:t>
      </w:r>
      <w:r>
        <w:rPr>
          <w:color w:val="auto"/>
          <w:sz w:val="24"/>
        </w:rPr>
        <w:t>、合同履行期限：具体详见磋商文件第三部分项目需</w:t>
      </w:r>
      <w:r>
        <w:rPr>
          <w:rFonts w:hint="eastAsia" w:ascii="宋体" w:hAnsi="宋体" w:cs="宋体"/>
          <w:color w:val="auto"/>
          <w:sz w:val="24"/>
        </w:rPr>
        <w:t>。</w:t>
      </w:r>
      <w:r>
        <w:rPr>
          <w:rFonts w:hint="eastAsia" w:ascii="宋体" w:hAnsi="宋体" w:cs="宋体"/>
          <w:color w:val="auto"/>
          <w:sz w:val="24"/>
          <w:lang w:val="en-US" w:eastAsia="zh-CN"/>
        </w:rPr>
        <w:t xml:space="preserve"> </w:t>
      </w:r>
    </w:p>
    <w:p>
      <w:pPr>
        <w:spacing w:line="360" w:lineRule="auto"/>
        <w:ind w:firstLine="480" w:firstLineChars="200"/>
        <w:jc w:val="left"/>
        <w:rPr>
          <w:color w:val="auto"/>
          <w:sz w:val="24"/>
        </w:rPr>
      </w:pPr>
      <w:r>
        <w:rPr>
          <w:rFonts w:hint="eastAsia"/>
          <w:color w:val="auto"/>
          <w:sz w:val="24"/>
        </w:rPr>
        <w:t>8</w:t>
      </w:r>
      <w:r>
        <w:rPr>
          <w:color w:val="auto"/>
          <w:sz w:val="24"/>
        </w:rPr>
        <w:t>、本项目不接受联合体。</w:t>
      </w:r>
    </w:p>
    <w:bookmarkEnd w:id="10"/>
    <w:bookmarkEnd w:id="11"/>
    <w:bookmarkEnd w:id="12"/>
    <w:bookmarkEnd w:id="13"/>
    <w:p>
      <w:pPr>
        <w:spacing w:line="360" w:lineRule="auto"/>
        <w:ind w:firstLine="480" w:firstLineChars="200"/>
        <w:jc w:val="left"/>
        <w:rPr>
          <w:color w:val="auto"/>
          <w:sz w:val="24"/>
        </w:rPr>
      </w:pPr>
      <w:r>
        <w:rPr>
          <w:color w:val="auto"/>
          <w:sz w:val="24"/>
        </w:rPr>
        <w:t>二、申请人的资格要求：</w:t>
      </w:r>
    </w:p>
    <w:p>
      <w:pPr>
        <w:spacing w:line="360" w:lineRule="auto"/>
        <w:ind w:firstLine="480" w:firstLineChars="200"/>
        <w:jc w:val="left"/>
        <w:rPr>
          <w:color w:val="auto"/>
          <w:sz w:val="24"/>
        </w:rPr>
      </w:pPr>
      <w:r>
        <w:rPr>
          <w:color w:val="auto"/>
          <w:sz w:val="24"/>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60" w:lineRule="auto"/>
        <w:ind w:firstLine="480" w:firstLineChars="200"/>
        <w:jc w:val="left"/>
        <w:rPr>
          <w:color w:val="auto"/>
          <w:sz w:val="24"/>
        </w:rPr>
      </w:pPr>
      <w:r>
        <w:rPr>
          <w:rFonts w:hint="eastAsia"/>
          <w:color w:val="auto"/>
          <w:sz w:val="24"/>
        </w:rPr>
        <w:t>2、未被“信用中国”网站（www.creditchina.gov.cn）列入失信被执行人、重大税收违法案件当事人名单、政府采购严重违法失信行为记录名单</w:t>
      </w:r>
    </w:p>
    <w:p>
      <w:pPr>
        <w:spacing w:line="360" w:lineRule="auto"/>
        <w:ind w:firstLine="480" w:firstLineChars="200"/>
        <w:jc w:val="left"/>
        <w:rPr>
          <w:rFonts w:ascii="宋体" w:hAnsi="宋体" w:cs="宋体"/>
          <w:color w:val="auto"/>
          <w:sz w:val="24"/>
        </w:rPr>
      </w:pPr>
      <w:r>
        <w:rPr>
          <w:rFonts w:hint="eastAsia"/>
          <w:color w:val="auto"/>
          <w:sz w:val="24"/>
        </w:rPr>
        <w:t>3</w:t>
      </w:r>
      <w:r>
        <w:rPr>
          <w:color w:val="auto"/>
          <w:sz w:val="24"/>
        </w:rPr>
        <w:t>、落实政府采购政策需满足的资格要求</w:t>
      </w:r>
      <w:r>
        <w:rPr>
          <w:rFonts w:hint="eastAsia" w:ascii="宋体" w:hAnsi="宋体" w:cs="宋体"/>
          <w:color w:val="auto"/>
          <w:sz w:val="24"/>
          <w:u w:val="single"/>
        </w:rPr>
        <w:t>：无。</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4.本项目的特定资格要求</w:t>
      </w:r>
      <w:r>
        <w:rPr>
          <w:rFonts w:hint="eastAsia" w:ascii="宋体" w:hAnsi="宋体" w:cs="宋体"/>
          <w:color w:val="auto"/>
          <w:sz w:val="24"/>
          <w:u w:val="single"/>
        </w:rPr>
        <w:t>：</w:t>
      </w:r>
      <w:r>
        <w:rPr>
          <w:rFonts w:hint="eastAsia"/>
          <w:color w:val="auto"/>
          <w:sz w:val="24"/>
          <w:u w:val="single"/>
        </w:rPr>
        <w:t>/</w:t>
      </w:r>
      <w:r>
        <w:rPr>
          <w:color w:val="auto"/>
          <w:sz w:val="24"/>
          <w:u w:val="single"/>
        </w:rPr>
        <w:t>。</w:t>
      </w:r>
    </w:p>
    <w:p>
      <w:pPr>
        <w:spacing w:line="360" w:lineRule="auto"/>
        <w:ind w:firstLine="482" w:firstLineChars="200"/>
        <w:jc w:val="left"/>
        <w:rPr>
          <w:color w:val="auto"/>
          <w:sz w:val="24"/>
        </w:rPr>
      </w:pPr>
      <w:r>
        <w:rPr>
          <w:b/>
          <w:color w:val="auto"/>
          <w:sz w:val="24"/>
        </w:rPr>
        <w:t>三</w:t>
      </w:r>
      <w:r>
        <w:rPr>
          <w:color w:val="auto"/>
          <w:sz w:val="24"/>
        </w:rPr>
        <w:t>、获取采购文件</w:t>
      </w:r>
    </w:p>
    <w:p>
      <w:pPr>
        <w:shd w:val="clear" w:color="auto" w:fill="FFFFFF"/>
        <w:spacing w:line="360" w:lineRule="auto"/>
        <w:ind w:firstLine="480" w:firstLineChars="200"/>
        <w:rPr>
          <w:color w:val="auto"/>
          <w:sz w:val="24"/>
        </w:rPr>
      </w:pPr>
      <w:bookmarkStart w:id="14" w:name="_Toc387526174"/>
      <w:bookmarkStart w:id="15" w:name="_Toc30068"/>
      <w:bookmarkStart w:id="16" w:name="_Toc387526278"/>
      <w:bookmarkStart w:id="17" w:name="_Toc401557586"/>
      <w:bookmarkStart w:id="18" w:name="_Toc387526370"/>
      <w:r>
        <w:rPr>
          <w:color w:val="auto"/>
          <w:sz w:val="24"/>
        </w:rPr>
        <w:t>1、获取时间：</w:t>
      </w:r>
      <w:r>
        <w:rPr>
          <w:color w:val="auto"/>
          <w:kern w:val="0"/>
          <w:sz w:val="24"/>
          <w:u w:val="single"/>
        </w:rPr>
        <w:t>自本磋商公告发布之日起</w:t>
      </w:r>
      <w:r>
        <w:rPr>
          <w:color w:val="auto"/>
          <w:kern w:val="0"/>
          <w:sz w:val="24"/>
        </w:rPr>
        <w:t>。</w:t>
      </w:r>
    </w:p>
    <w:p>
      <w:pPr>
        <w:widowControl/>
        <w:spacing w:line="360" w:lineRule="auto"/>
        <w:ind w:firstLine="480" w:firstLineChars="200"/>
        <w:jc w:val="left"/>
        <w:rPr>
          <w:color w:val="auto"/>
          <w:kern w:val="0"/>
          <w:sz w:val="24"/>
        </w:rPr>
      </w:pPr>
      <w:bookmarkStart w:id="19" w:name="_Toc387526173"/>
      <w:bookmarkStart w:id="20" w:name="_Toc387526277"/>
      <w:bookmarkStart w:id="21" w:name="_Toc387526369"/>
      <w:r>
        <w:rPr>
          <w:color w:val="auto"/>
          <w:kern w:val="0"/>
          <w:sz w:val="24"/>
        </w:rPr>
        <w:t>2、获取方式：本项目资格审查采用资格后审方式，无报名环节，供应商直接到</w:t>
      </w:r>
      <w:r>
        <w:rPr>
          <w:rFonts w:hint="eastAsia"/>
          <w:color w:val="auto"/>
          <w:sz w:val="24"/>
          <w:lang w:val="zh-CN"/>
        </w:rPr>
        <w:t>崇川区人民政府网站—</w:t>
      </w:r>
      <w:r>
        <w:rPr>
          <w:rFonts w:hint="eastAsia"/>
          <w:color w:val="auto"/>
          <w:sz w:val="24"/>
        </w:rPr>
        <w:t>公示公告栏</w:t>
      </w:r>
      <w:r>
        <w:rPr>
          <w:color w:val="auto"/>
          <w:kern w:val="0"/>
          <w:sz w:val="24"/>
        </w:rPr>
        <w:t>自行下载磋商文件、答疑等磋商资料。</w:t>
      </w:r>
      <w:bookmarkEnd w:id="19"/>
      <w:bookmarkEnd w:id="20"/>
      <w:bookmarkEnd w:id="21"/>
    </w:p>
    <w:p>
      <w:pPr>
        <w:spacing w:line="360" w:lineRule="auto"/>
        <w:ind w:firstLine="480" w:firstLineChars="200"/>
        <w:jc w:val="left"/>
        <w:rPr>
          <w:color w:val="auto"/>
          <w:sz w:val="24"/>
        </w:rPr>
      </w:pPr>
      <w:r>
        <w:rPr>
          <w:color w:val="auto"/>
          <w:sz w:val="24"/>
        </w:rPr>
        <w:t>四、响应</w:t>
      </w:r>
      <w:bookmarkEnd w:id="14"/>
      <w:bookmarkEnd w:id="15"/>
      <w:bookmarkEnd w:id="16"/>
      <w:bookmarkEnd w:id="17"/>
      <w:bookmarkEnd w:id="18"/>
      <w:r>
        <w:rPr>
          <w:color w:val="auto"/>
          <w:sz w:val="24"/>
        </w:rPr>
        <w:t>文件提交</w:t>
      </w:r>
    </w:p>
    <w:p>
      <w:pPr>
        <w:widowControl/>
        <w:spacing w:line="360" w:lineRule="auto"/>
        <w:ind w:firstLine="480" w:firstLineChars="200"/>
        <w:jc w:val="left"/>
        <w:rPr>
          <w:b/>
          <w:color w:val="auto"/>
          <w:sz w:val="24"/>
          <w:u w:val="single"/>
        </w:rPr>
      </w:pPr>
      <w:r>
        <w:rPr>
          <w:color w:val="auto"/>
          <w:kern w:val="0"/>
          <w:sz w:val="24"/>
        </w:rPr>
        <w:t>1、截止时间：</w:t>
      </w:r>
      <w:r>
        <w:rPr>
          <w:rFonts w:hint="eastAsia"/>
          <w:b/>
          <w:color w:val="auto"/>
          <w:sz w:val="24"/>
          <w:u w:val="single"/>
        </w:rPr>
        <w:t>2024</w:t>
      </w:r>
      <w:r>
        <w:rPr>
          <w:b/>
          <w:color w:val="auto"/>
          <w:sz w:val="24"/>
          <w:u w:val="single"/>
        </w:rPr>
        <w:t>年</w:t>
      </w:r>
      <w:r>
        <w:rPr>
          <w:rFonts w:hint="eastAsia"/>
          <w:b/>
          <w:color w:val="auto"/>
          <w:sz w:val="24"/>
          <w:u w:val="single"/>
        </w:rPr>
        <w:t xml:space="preserve"> </w:t>
      </w:r>
      <w:r>
        <w:rPr>
          <w:rFonts w:hint="eastAsia"/>
          <w:b/>
          <w:color w:val="auto"/>
          <w:sz w:val="24"/>
          <w:u w:val="single"/>
          <w:lang w:val="en-US" w:eastAsia="zh-CN"/>
        </w:rPr>
        <w:t>8</w:t>
      </w:r>
      <w:r>
        <w:rPr>
          <w:rFonts w:hint="eastAsia"/>
          <w:b/>
          <w:color w:val="auto"/>
          <w:sz w:val="24"/>
          <w:u w:val="single"/>
        </w:rPr>
        <w:t xml:space="preserve"> </w:t>
      </w:r>
      <w:r>
        <w:rPr>
          <w:b/>
          <w:color w:val="auto"/>
          <w:sz w:val="24"/>
          <w:u w:val="single"/>
        </w:rPr>
        <w:t>月</w:t>
      </w:r>
      <w:r>
        <w:rPr>
          <w:rFonts w:hint="eastAsia"/>
          <w:b/>
          <w:color w:val="auto"/>
          <w:sz w:val="24"/>
          <w:u w:val="single"/>
          <w:lang w:val="en-US" w:eastAsia="zh-CN"/>
        </w:rPr>
        <w:t>21</w:t>
      </w:r>
      <w:r>
        <w:rPr>
          <w:b/>
          <w:color w:val="auto"/>
          <w:sz w:val="24"/>
          <w:u w:val="single"/>
        </w:rPr>
        <w:t>日</w:t>
      </w:r>
      <w:r>
        <w:rPr>
          <w:rFonts w:hint="eastAsia"/>
          <w:b/>
          <w:color w:val="auto"/>
          <w:sz w:val="24"/>
          <w:u w:val="single"/>
        </w:rPr>
        <w:t xml:space="preserve"> 14</w:t>
      </w:r>
      <w:r>
        <w:rPr>
          <w:b/>
          <w:color w:val="auto"/>
          <w:sz w:val="24"/>
          <w:u w:val="single"/>
        </w:rPr>
        <w:t>时</w:t>
      </w:r>
      <w:r>
        <w:rPr>
          <w:rFonts w:hint="eastAsia"/>
          <w:b/>
          <w:color w:val="auto"/>
          <w:sz w:val="24"/>
          <w:u w:val="single"/>
        </w:rPr>
        <w:t xml:space="preserve">30分 </w:t>
      </w:r>
      <w:r>
        <w:rPr>
          <w:color w:val="auto"/>
          <w:sz w:val="24"/>
        </w:rPr>
        <w:t>；</w:t>
      </w:r>
    </w:p>
    <w:p>
      <w:pPr>
        <w:widowControl/>
        <w:spacing w:line="360" w:lineRule="auto"/>
        <w:ind w:firstLine="480" w:firstLineChars="200"/>
        <w:jc w:val="left"/>
        <w:rPr>
          <w:color w:val="auto"/>
          <w:kern w:val="0"/>
          <w:sz w:val="24"/>
          <w:u w:val="single"/>
        </w:rPr>
      </w:pPr>
      <w:r>
        <w:rPr>
          <w:color w:val="auto"/>
          <w:kern w:val="0"/>
          <w:sz w:val="24"/>
        </w:rPr>
        <w:t>2、地点：</w:t>
      </w:r>
      <w:r>
        <w:rPr>
          <w:rFonts w:hint="eastAsia"/>
          <w:b/>
          <w:color w:val="auto"/>
          <w:sz w:val="24"/>
          <w:u w:val="single"/>
        </w:rPr>
        <w:t>南通市跃龙路38号国际大厦2916会议室</w:t>
      </w:r>
      <w:r>
        <w:rPr>
          <w:color w:val="auto"/>
          <w:sz w:val="24"/>
        </w:rPr>
        <w:t>；</w:t>
      </w:r>
    </w:p>
    <w:p>
      <w:pPr>
        <w:widowControl/>
        <w:spacing w:line="360" w:lineRule="auto"/>
        <w:ind w:firstLine="480" w:firstLineChars="200"/>
        <w:jc w:val="left"/>
        <w:rPr>
          <w:color w:val="auto"/>
          <w:kern w:val="0"/>
          <w:sz w:val="24"/>
        </w:rPr>
      </w:pPr>
      <w:r>
        <w:rPr>
          <w:color w:val="auto"/>
          <w:kern w:val="0"/>
          <w:sz w:val="24"/>
        </w:rPr>
        <w:t>3、逾期送达或者未送达指定地点的响应文件，采购人不予受理。</w:t>
      </w:r>
    </w:p>
    <w:p>
      <w:pPr>
        <w:spacing w:line="360" w:lineRule="auto"/>
        <w:ind w:firstLine="480" w:firstLineChars="200"/>
        <w:jc w:val="left"/>
        <w:rPr>
          <w:color w:val="auto"/>
          <w:sz w:val="24"/>
        </w:rPr>
      </w:pPr>
      <w:r>
        <w:rPr>
          <w:color w:val="auto"/>
          <w:sz w:val="24"/>
        </w:rPr>
        <w:t>五、开启</w:t>
      </w:r>
    </w:p>
    <w:p>
      <w:pPr>
        <w:widowControl/>
        <w:spacing w:line="360" w:lineRule="auto"/>
        <w:ind w:firstLine="480" w:firstLineChars="200"/>
        <w:jc w:val="left"/>
        <w:rPr>
          <w:color w:val="auto"/>
          <w:kern w:val="0"/>
          <w:sz w:val="24"/>
        </w:rPr>
      </w:pPr>
      <w:r>
        <w:rPr>
          <w:color w:val="auto"/>
          <w:kern w:val="0"/>
          <w:sz w:val="24"/>
        </w:rPr>
        <w:t>时间：</w:t>
      </w:r>
      <w:r>
        <w:rPr>
          <w:rFonts w:hint="eastAsia"/>
          <w:b/>
          <w:color w:val="auto"/>
          <w:sz w:val="24"/>
          <w:u w:val="single"/>
        </w:rPr>
        <w:t>2024</w:t>
      </w:r>
      <w:r>
        <w:rPr>
          <w:b/>
          <w:color w:val="auto"/>
          <w:sz w:val="24"/>
          <w:u w:val="single"/>
        </w:rPr>
        <w:t>年</w:t>
      </w:r>
      <w:r>
        <w:rPr>
          <w:rFonts w:hint="eastAsia"/>
          <w:b/>
          <w:color w:val="auto"/>
          <w:sz w:val="24"/>
          <w:u w:val="single"/>
          <w:lang w:val="en-US" w:eastAsia="zh-CN"/>
        </w:rPr>
        <w:t>8</w:t>
      </w:r>
      <w:r>
        <w:rPr>
          <w:rFonts w:hint="eastAsia"/>
          <w:b/>
          <w:color w:val="auto"/>
          <w:sz w:val="24"/>
          <w:u w:val="single"/>
        </w:rPr>
        <w:t xml:space="preserve"> </w:t>
      </w:r>
      <w:r>
        <w:rPr>
          <w:b/>
          <w:color w:val="auto"/>
          <w:sz w:val="24"/>
          <w:u w:val="single"/>
        </w:rPr>
        <w:t>月</w:t>
      </w:r>
      <w:r>
        <w:rPr>
          <w:rFonts w:hint="eastAsia"/>
          <w:b/>
          <w:color w:val="auto"/>
          <w:sz w:val="24"/>
          <w:u w:val="single"/>
          <w:lang w:val="en-US" w:eastAsia="zh-CN"/>
        </w:rPr>
        <w:t>21</w:t>
      </w:r>
      <w:r>
        <w:rPr>
          <w:b/>
          <w:color w:val="auto"/>
          <w:sz w:val="24"/>
          <w:u w:val="single"/>
        </w:rPr>
        <w:t>日</w:t>
      </w:r>
      <w:r>
        <w:rPr>
          <w:rFonts w:hint="eastAsia"/>
          <w:b/>
          <w:color w:val="auto"/>
          <w:sz w:val="24"/>
          <w:u w:val="single"/>
        </w:rPr>
        <w:t xml:space="preserve"> 14 </w:t>
      </w:r>
      <w:r>
        <w:rPr>
          <w:b/>
          <w:color w:val="auto"/>
          <w:sz w:val="24"/>
          <w:u w:val="single"/>
        </w:rPr>
        <w:t>时</w:t>
      </w:r>
      <w:r>
        <w:rPr>
          <w:rFonts w:hint="eastAsia"/>
          <w:b/>
          <w:color w:val="auto"/>
          <w:sz w:val="24"/>
          <w:u w:val="single"/>
        </w:rPr>
        <w:t>30分</w:t>
      </w:r>
      <w:r>
        <w:rPr>
          <w:color w:val="auto"/>
          <w:kern w:val="0"/>
          <w:sz w:val="24"/>
        </w:rPr>
        <w:t>；</w:t>
      </w:r>
    </w:p>
    <w:p>
      <w:pPr>
        <w:spacing w:line="360" w:lineRule="auto"/>
        <w:ind w:firstLine="480" w:firstLineChars="200"/>
        <w:jc w:val="left"/>
        <w:rPr>
          <w:color w:val="auto"/>
          <w:kern w:val="0"/>
          <w:sz w:val="24"/>
        </w:rPr>
      </w:pPr>
      <w:r>
        <w:rPr>
          <w:color w:val="auto"/>
          <w:kern w:val="0"/>
          <w:sz w:val="24"/>
          <w:szCs w:val="20"/>
        </w:rPr>
        <w:t>地点：</w:t>
      </w:r>
      <w:r>
        <w:rPr>
          <w:rFonts w:hint="eastAsia"/>
          <w:b/>
          <w:color w:val="auto"/>
          <w:sz w:val="24"/>
          <w:u w:val="single"/>
        </w:rPr>
        <w:t>南通市跃龙路38号国际大厦2916会议室</w:t>
      </w:r>
      <w:r>
        <w:rPr>
          <w:color w:val="auto"/>
          <w:sz w:val="24"/>
        </w:rPr>
        <w:t>。</w:t>
      </w:r>
      <w:r>
        <w:rPr>
          <w:rFonts w:hint="eastAsia"/>
          <w:bCs/>
          <w:color w:val="auto"/>
          <w:sz w:val="24"/>
        </w:rPr>
        <w:t>如有变化，另行通知。</w:t>
      </w:r>
    </w:p>
    <w:p>
      <w:pPr>
        <w:spacing w:line="360" w:lineRule="auto"/>
        <w:ind w:firstLine="480" w:firstLineChars="200"/>
        <w:jc w:val="left"/>
        <w:rPr>
          <w:color w:val="auto"/>
          <w:kern w:val="0"/>
          <w:sz w:val="24"/>
        </w:rPr>
      </w:pPr>
      <w:r>
        <w:rPr>
          <w:bCs/>
          <w:color w:val="auto"/>
          <w:sz w:val="24"/>
        </w:rPr>
        <w:t>六、</w:t>
      </w:r>
      <w:r>
        <w:rPr>
          <w:color w:val="auto"/>
          <w:kern w:val="0"/>
          <w:sz w:val="24"/>
        </w:rPr>
        <w:t>公告期限</w:t>
      </w:r>
    </w:p>
    <w:p>
      <w:pPr>
        <w:spacing w:line="360" w:lineRule="auto"/>
        <w:ind w:firstLine="480" w:firstLineChars="200"/>
        <w:jc w:val="left"/>
        <w:rPr>
          <w:color w:val="auto"/>
          <w:kern w:val="0"/>
          <w:sz w:val="24"/>
        </w:rPr>
      </w:pPr>
      <w:r>
        <w:rPr>
          <w:color w:val="auto"/>
          <w:kern w:val="0"/>
          <w:sz w:val="24"/>
        </w:rPr>
        <w:t>自本公告发布之日起3个工作日。</w:t>
      </w:r>
    </w:p>
    <w:p>
      <w:pPr>
        <w:spacing w:line="360" w:lineRule="auto"/>
        <w:ind w:firstLine="480" w:firstLineChars="200"/>
        <w:jc w:val="left"/>
        <w:rPr>
          <w:bCs/>
          <w:color w:val="auto"/>
          <w:sz w:val="24"/>
        </w:rPr>
      </w:pPr>
      <w:r>
        <w:rPr>
          <w:rFonts w:hint="eastAsia"/>
          <w:bCs/>
          <w:color w:val="auto"/>
          <w:sz w:val="24"/>
        </w:rPr>
        <w:t>七</w:t>
      </w:r>
      <w:r>
        <w:rPr>
          <w:bCs/>
          <w:color w:val="auto"/>
          <w:sz w:val="24"/>
        </w:rPr>
        <w:t>、其他补充事宜</w:t>
      </w:r>
    </w:p>
    <w:p>
      <w:pPr>
        <w:spacing w:line="360" w:lineRule="auto"/>
        <w:ind w:firstLine="480" w:firstLineChars="200"/>
        <w:jc w:val="left"/>
        <w:rPr>
          <w:color w:val="auto"/>
          <w:kern w:val="0"/>
          <w:sz w:val="24"/>
        </w:rPr>
      </w:pPr>
      <w:r>
        <w:rPr>
          <w:color w:val="auto"/>
          <w:kern w:val="0"/>
          <w:sz w:val="24"/>
        </w:rPr>
        <w:t>1、保证金：</w:t>
      </w:r>
      <w:r>
        <w:rPr>
          <w:rFonts w:hint="eastAsia"/>
          <w:color w:val="auto"/>
          <w:kern w:val="0"/>
          <w:sz w:val="24"/>
        </w:rPr>
        <w:t>免收</w:t>
      </w:r>
      <w:r>
        <w:rPr>
          <w:color w:val="auto"/>
          <w:kern w:val="0"/>
          <w:sz w:val="24"/>
        </w:rPr>
        <w:t>。</w:t>
      </w:r>
    </w:p>
    <w:p>
      <w:pPr>
        <w:spacing w:line="360" w:lineRule="auto"/>
        <w:ind w:firstLine="480" w:firstLineChars="200"/>
        <w:jc w:val="left"/>
        <w:rPr>
          <w:color w:val="auto"/>
          <w:kern w:val="0"/>
          <w:sz w:val="24"/>
        </w:rPr>
      </w:pPr>
      <w:r>
        <w:rPr>
          <w:color w:val="auto"/>
          <w:kern w:val="0"/>
          <w:sz w:val="24"/>
        </w:rPr>
        <w:t>2、本项目采用现场磋商模式，所有响应供应商须将纸质投标</w:t>
      </w:r>
      <w:r>
        <w:rPr>
          <w:color w:val="auto"/>
          <w:sz w:val="24"/>
        </w:rPr>
        <w:t>响应文件在</w:t>
      </w:r>
      <w:r>
        <w:rPr>
          <w:color w:val="auto"/>
          <w:kern w:val="0"/>
          <w:sz w:val="24"/>
        </w:rPr>
        <w:t>截止时间前带至开标现场。</w:t>
      </w:r>
    </w:p>
    <w:p>
      <w:pPr>
        <w:spacing w:line="360" w:lineRule="auto"/>
        <w:ind w:firstLine="480" w:firstLineChars="200"/>
        <w:jc w:val="left"/>
        <w:rPr>
          <w:color w:val="auto"/>
          <w:kern w:val="0"/>
          <w:sz w:val="24"/>
        </w:rPr>
      </w:pPr>
      <w:r>
        <w:rPr>
          <w:rFonts w:hint="eastAsia"/>
          <w:color w:val="auto"/>
          <w:kern w:val="0"/>
          <w:sz w:val="24"/>
        </w:rPr>
        <w:t>八</w:t>
      </w:r>
      <w:r>
        <w:rPr>
          <w:color w:val="auto"/>
          <w:kern w:val="0"/>
          <w:sz w:val="24"/>
        </w:rPr>
        <w:t>、凡对本次采购提出询问，请按以下方式联系</w:t>
      </w:r>
    </w:p>
    <w:p>
      <w:pPr>
        <w:spacing w:line="360" w:lineRule="auto"/>
        <w:ind w:firstLine="424" w:firstLineChars="177"/>
        <w:rPr>
          <w:rFonts w:ascii="宋体" w:hAnsi="宋体" w:cs="宋体"/>
          <w:color w:val="auto"/>
          <w:sz w:val="24"/>
        </w:rPr>
      </w:pPr>
      <w:r>
        <w:rPr>
          <w:rFonts w:hint="eastAsia" w:ascii="宋体" w:hAnsi="宋体" w:cs="宋体"/>
          <w:color w:val="auto"/>
          <w:sz w:val="24"/>
        </w:rPr>
        <w:t>1.采购人</w:t>
      </w:r>
    </w:p>
    <w:p>
      <w:pPr>
        <w:spacing w:line="420" w:lineRule="exact"/>
        <w:ind w:firstLine="424" w:firstLineChars="177"/>
        <w:rPr>
          <w:rFonts w:ascii="宋体" w:hAnsi="宋体" w:cs="宋体"/>
          <w:color w:val="auto"/>
          <w:sz w:val="24"/>
        </w:rPr>
      </w:pPr>
      <w:r>
        <w:rPr>
          <w:rFonts w:hint="eastAsia" w:ascii="宋体" w:hAnsi="宋体" w:cs="宋体"/>
          <w:color w:val="auto"/>
          <w:sz w:val="24"/>
        </w:rPr>
        <w:t>单位：崇川区发展和改革委员会；</w:t>
      </w:r>
    </w:p>
    <w:p>
      <w:pPr>
        <w:spacing w:line="420" w:lineRule="exact"/>
        <w:ind w:firstLine="424" w:firstLineChars="177"/>
        <w:rPr>
          <w:rFonts w:ascii="宋体" w:hAnsi="宋体" w:cs="宋体"/>
          <w:color w:val="auto"/>
          <w:sz w:val="24"/>
        </w:rPr>
      </w:pPr>
      <w:r>
        <w:rPr>
          <w:rFonts w:hint="eastAsia" w:ascii="宋体" w:hAnsi="宋体" w:cs="宋体"/>
          <w:color w:val="auto"/>
          <w:sz w:val="24"/>
        </w:rPr>
        <w:t>项目联系人：翁先生</w:t>
      </w:r>
      <w:r>
        <w:rPr>
          <w:rFonts w:hint="eastAsia" w:ascii="宋体" w:hAnsi="宋体" w:cs="宋体"/>
          <w:color w:val="auto"/>
          <w:sz w:val="24"/>
        </w:rPr>
        <w:tab/>
      </w:r>
    </w:p>
    <w:p>
      <w:pPr>
        <w:spacing w:line="420" w:lineRule="exact"/>
        <w:ind w:firstLine="424" w:firstLineChars="177"/>
        <w:rPr>
          <w:rFonts w:ascii="宋体" w:hAnsi="宋体" w:cs="宋体"/>
          <w:color w:val="auto"/>
          <w:sz w:val="24"/>
        </w:rPr>
      </w:pPr>
      <w:r>
        <w:rPr>
          <w:rFonts w:hint="eastAsia" w:ascii="宋体" w:hAnsi="宋体" w:cs="宋体"/>
          <w:color w:val="auto"/>
          <w:sz w:val="24"/>
        </w:rPr>
        <w:t>联系电话：15251368527</w:t>
      </w:r>
    </w:p>
    <w:p>
      <w:pPr>
        <w:spacing w:line="420" w:lineRule="exact"/>
        <w:ind w:firstLine="424" w:firstLineChars="177"/>
        <w:rPr>
          <w:rFonts w:ascii="宋体" w:hAnsi="宋体" w:cs="宋体"/>
          <w:color w:val="auto"/>
          <w:sz w:val="24"/>
        </w:rPr>
      </w:pPr>
      <w:r>
        <w:rPr>
          <w:rFonts w:hint="eastAsia" w:ascii="宋体" w:hAnsi="宋体" w:cs="宋体"/>
          <w:color w:val="auto"/>
          <w:sz w:val="24"/>
        </w:rPr>
        <w:t>2.采购代理机构</w:t>
      </w:r>
    </w:p>
    <w:p>
      <w:pPr>
        <w:spacing w:line="420" w:lineRule="exact"/>
        <w:ind w:firstLine="424" w:firstLineChars="177"/>
        <w:rPr>
          <w:rFonts w:ascii="宋体" w:hAnsi="宋体" w:cs="宋体"/>
          <w:color w:val="auto"/>
          <w:sz w:val="24"/>
        </w:rPr>
      </w:pPr>
      <w:r>
        <w:rPr>
          <w:rFonts w:hint="eastAsia" w:ascii="宋体" w:hAnsi="宋体" w:cs="宋体"/>
          <w:color w:val="auto"/>
          <w:sz w:val="24"/>
        </w:rPr>
        <w:t>单位：上海申邑工程咨询有限公司；</w:t>
      </w:r>
    </w:p>
    <w:p>
      <w:pPr>
        <w:spacing w:line="420" w:lineRule="exact"/>
        <w:ind w:firstLine="424" w:firstLineChars="177"/>
        <w:rPr>
          <w:rFonts w:ascii="宋体" w:hAnsi="宋体" w:cs="宋体"/>
          <w:color w:val="auto"/>
          <w:sz w:val="24"/>
        </w:rPr>
      </w:pPr>
      <w:r>
        <w:rPr>
          <w:rFonts w:hint="eastAsia" w:ascii="宋体" w:hAnsi="宋体" w:cs="宋体"/>
          <w:color w:val="auto"/>
          <w:sz w:val="24"/>
        </w:rPr>
        <w:t>地址：南通市桃坞路2号友谊大厦10楼；</w:t>
      </w:r>
    </w:p>
    <w:p>
      <w:pPr>
        <w:spacing w:line="420" w:lineRule="exact"/>
        <w:ind w:firstLine="424" w:firstLineChars="177"/>
        <w:rPr>
          <w:rFonts w:ascii="宋体" w:hAnsi="宋体" w:cs="宋体"/>
          <w:color w:val="auto"/>
          <w:sz w:val="24"/>
        </w:rPr>
      </w:pPr>
      <w:r>
        <w:rPr>
          <w:rFonts w:hint="eastAsia" w:ascii="宋体" w:hAnsi="宋体" w:cs="宋体"/>
          <w:color w:val="auto"/>
          <w:sz w:val="24"/>
        </w:rPr>
        <w:t>联系人：沈工；</w:t>
      </w:r>
    </w:p>
    <w:p>
      <w:pPr>
        <w:spacing w:line="420" w:lineRule="exact"/>
        <w:ind w:firstLine="424" w:firstLineChars="177"/>
        <w:rPr>
          <w:rFonts w:ascii="宋体" w:hAnsi="宋体" w:cs="宋体"/>
          <w:color w:val="auto"/>
          <w:sz w:val="24"/>
        </w:rPr>
      </w:pPr>
      <w:r>
        <w:rPr>
          <w:rFonts w:hint="eastAsia" w:ascii="宋体" w:hAnsi="宋体" w:cs="宋体"/>
          <w:color w:val="auto"/>
          <w:sz w:val="24"/>
        </w:rPr>
        <w:t>联系电话：0513-89011009、15152885716；</w:t>
      </w:r>
    </w:p>
    <w:p>
      <w:pPr>
        <w:spacing w:line="360" w:lineRule="auto"/>
        <w:ind w:firstLine="480" w:firstLineChars="200"/>
        <w:jc w:val="left"/>
        <w:rPr>
          <w:color w:val="auto"/>
          <w:kern w:val="0"/>
          <w:sz w:val="24"/>
        </w:rPr>
      </w:pPr>
      <w:r>
        <w:rPr>
          <w:rFonts w:hint="eastAsia" w:ascii="宋体" w:hAnsi="宋体" w:cs="宋体"/>
          <w:color w:val="auto"/>
          <w:sz w:val="24"/>
        </w:rPr>
        <w:t>邮箱：</w:t>
      </w:r>
      <w:r>
        <w:rPr>
          <w:rFonts w:hint="eastAsia"/>
          <w:color w:val="auto"/>
          <w:kern w:val="0"/>
          <w:sz w:val="24"/>
        </w:rPr>
        <w:t>1556430968</w:t>
      </w:r>
      <w:r>
        <w:rPr>
          <w:color w:val="auto"/>
          <w:kern w:val="0"/>
          <w:sz w:val="24"/>
        </w:rPr>
        <w:t>@qq.com</w:t>
      </w:r>
      <w:bookmarkEnd w:id="4"/>
      <w:bookmarkEnd w:id="5"/>
    </w:p>
    <w:bookmarkEnd w:id="6"/>
    <w:bookmarkEnd w:id="7"/>
    <w:bookmarkEnd w:id="8"/>
    <w:bookmarkEnd w:id="9"/>
    <w:p>
      <w:pPr>
        <w:snapToGrid w:val="0"/>
        <w:spacing w:line="300" w:lineRule="auto"/>
        <w:jc w:val="center"/>
        <w:outlineLvl w:val="0"/>
        <w:rPr>
          <w:b/>
          <w:color w:val="auto"/>
          <w:sz w:val="36"/>
          <w:szCs w:val="36"/>
        </w:rPr>
      </w:pPr>
      <w:r>
        <w:rPr>
          <w:color w:val="auto"/>
          <w:sz w:val="24"/>
        </w:rPr>
        <w:br w:type="page"/>
      </w:r>
      <w:r>
        <w:rPr>
          <w:b/>
          <w:color w:val="auto"/>
          <w:sz w:val="36"/>
          <w:szCs w:val="36"/>
        </w:rPr>
        <w:t>第二部分磋商须知</w:t>
      </w:r>
    </w:p>
    <w:p>
      <w:pPr>
        <w:snapToGrid w:val="0"/>
        <w:spacing w:line="480" w:lineRule="exact"/>
        <w:ind w:firstLine="482" w:firstLineChars="200"/>
        <w:contextualSpacing/>
        <w:outlineLvl w:val="0"/>
        <w:rPr>
          <w:b/>
          <w:color w:val="auto"/>
          <w:sz w:val="24"/>
        </w:rPr>
      </w:pPr>
      <w:r>
        <w:rPr>
          <w:b/>
          <w:color w:val="auto"/>
          <w:sz w:val="24"/>
        </w:rPr>
        <w:t>一、本磋商文件由采购人或采购代理机构解释。</w:t>
      </w:r>
    </w:p>
    <w:p>
      <w:pPr>
        <w:snapToGrid w:val="0"/>
        <w:spacing w:line="480" w:lineRule="exact"/>
        <w:ind w:firstLine="480" w:firstLineChars="200"/>
        <w:contextualSpacing/>
        <w:rPr>
          <w:b/>
          <w:color w:val="auto"/>
          <w:sz w:val="24"/>
        </w:rPr>
      </w:pPr>
      <w:r>
        <w:rPr>
          <w:color w:val="auto"/>
          <w:sz w:val="24"/>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color w:val="auto"/>
          <w:sz w:val="24"/>
        </w:rPr>
      </w:pPr>
      <w:r>
        <w:rPr>
          <w:color w:val="auto"/>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b/>
          <w:color w:val="auto"/>
          <w:sz w:val="24"/>
        </w:rPr>
      </w:pPr>
      <w:r>
        <w:rPr>
          <w:b/>
          <w:color w:val="auto"/>
          <w:sz w:val="24"/>
        </w:rPr>
        <w:t>二、磋商文件的澄清、修改、答疑</w:t>
      </w:r>
    </w:p>
    <w:p>
      <w:pPr>
        <w:pStyle w:val="3"/>
        <w:snapToGrid w:val="0"/>
        <w:spacing w:line="480" w:lineRule="exact"/>
        <w:ind w:left="0" w:leftChars="0" w:firstLine="480" w:firstLineChars="200"/>
        <w:contextualSpacing/>
        <w:rPr>
          <w:color w:val="auto"/>
          <w:sz w:val="24"/>
        </w:rPr>
      </w:pPr>
      <w:r>
        <w:rPr>
          <w:color w:val="auto"/>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rFonts w:hint="eastAsia"/>
          <w:color w:val="auto"/>
          <w:sz w:val="24"/>
        </w:rPr>
        <w:t>3</w:t>
      </w:r>
      <w:r>
        <w:rPr>
          <w:color w:val="auto"/>
          <w:sz w:val="24"/>
        </w:rPr>
        <w:t>日前，以网上公告书面形式通知所有接收磋商文件的供应商，不足</w:t>
      </w:r>
      <w:r>
        <w:rPr>
          <w:rFonts w:hint="eastAsia"/>
          <w:color w:val="auto"/>
          <w:sz w:val="24"/>
        </w:rPr>
        <w:t>3</w:t>
      </w:r>
      <w:r>
        <w:rPr>
          <w:color w:val="auto"/>
          <w:sz w:val="24"/>
        </w:rPr>
        <w:t>日的，应当顺延提交首次响应文件截止之日。</w:t>
      </w:r>
    </w:p>
    <w:p>
      <w:pPr>
        <w:pStyle w:val="3"/>
        <w:snapToGrid w:val="0"/>
        <w:spacing w:line="480" w:lineRule="exact"/>
        <w:ind w:left="0" w:leftChars="0" w:firstLine="480" w:firstLineChars="200"/>
        <w:contextualSpacing/>
        <w:rPr>
          <w:color w:val="auto"/>
          <w:sz w:val="24"/>
          <w:lang w:val="zh-CN"/>
        </w:rPr>
      </w:pPr>
      <w:r>
        <w:rPr>
          <w:color w:val="auto"/>
          <w:sz w:val="24"/>
        </w:rPr>
        <w:t>供应商由于对磋商文件的任何推论和误解以及采购人或采购代理机构对有</w:t>
      </w:r>
      <w:r>
        <w:rPr>
          <w:color w:val="auto"/>
          <w:sz w:val="24"/>
          <w:lang w:val="zh-CN"/>
        </w:rPr>
        <w:t>关问题的口头解释所造成的后果，均由供应商自负。</w:t>
      </w:r>
    </w:p>
    <w:p>
      <w:pPr>
        <w:pStyle w:val="3"/>
        <w:snapToGrid w:val="0"/>
        <w:spacing w:line="480" w:lineRule="exact"/>
        <w:ind w:left="0" w:leftChars="0" w:firstLine="480" w:firstLineChars="200"/>
        <w:contextualSpacing/>
        <w:rPr>
          <w:color w:val="auto"/>
          <w:sz w:val="24"/>
        </w:rPr>
      </w:pPr>
      <w:r>
        <w:rPr>
          <w:color w:val="auto"/>
          <w:sz w:val="24"/>
          <w:lang w:val="zh-CN"/>
        </w:rPr>
        <w:t>采购单位可视情组织答疑会。</w:t>
      </w:r>
    </w:p>
    <w:p>
      <w:pPr>
        <w:autoSpaceDE w:val="0"/>
        <w:autoSpaceDN w:val="0"/>
        <w:adjustRightInd w:val="0"/>
        <w:snapToGrid w:val="0"/>
        <w:spacing w:after="120" w:line="480" w:lineRule="exact"/>
        <w:ind w:firstLine="562"/>
        <w:contextualSpacing/>
        <w:rPr>
          <w:b/>
          <w:bCs/>
          <w:color w:val="auto"/>
          <w:sz w:val="24"/>
        </w:rPr>
      </w:pPr>
      <w:r>
        <w:rPr>
          <w:b/>
          <w:bCs/>
          <w:color w:val="auto"/>
          <w:sz w:val="24"/>
          <w:lang w:val="zh-CN"/>
        </w:rPr>
        <w:t>三、响应文件的编写、递交、上传</w:t>
      </w:r>
    </w:p>
    <w:p>
      <w:pPr>
        <w:autoSpaceDE w:val="0"/>
        <w:autoSpaceDN w:val="0"/>
        <w:adjustRightInd w:val="0"/>
        <w:snapToGrid w:val="0"/>
        <w:spacing w:line="480" w:lineRule="exact"/>
        <w:ind w:right="210" w:firstLine="560"/>
        <w:rPr>
          <w:b/>
          <w:color w:val="auto"/>
          <w:sz w:val="24"/>
        </w:rPr>
      </w:pPr>
      <w:r>
        <w:rPr>
          <w:b/>
          <w:color w:val="auto"/>
          <w:sz w:val="24"/>
        </w:rPr>
        <w:t>（一）响应文件的编写</w:t>
      </w:r>
    </w:p>
    <w:p>
      <w:pPr>
        <w:autoSpaceDE w:val="0"/>
        <w:autoSpaceDN w:val="0"/>
        <w:adjustRightInd w:val="0"/>
        <w:snapToGrid w:val="0"/>
        <w:spacing w:line="480" w:lineRule="exact"/>
        <w:ind w:firstLine="480" w:firstLineChars="200"/>
        <w:contextualSpacing/>
        <w:jc w:val="left"/>
        <w:rPr>
          <w:color w:val="auto"/>
          <w:sz w:val="24"/>
        </w:rPr>
      </w:pPr>
      <w:r>
        <w:rPr>
          <w:color w:val="auto"/>
          <w:sz w:val="24"/>
          <w:lang w:val="zh-CN"/>
        </w:rPr>
        <w:t>供应商按</w:t>
      </w:r>
      <w:r>
        <w:rPr>
          <w:rFonts w:ascii="宋体" w:hAnsi="宋体"/>
          <w:color w:val="auto"/>
          <w:sz w:val="24"/>
          <w:lang w:val="zh-CN"/>
        </w:rPr>
        <w:t>“第七部分 响应文件组成”</w:t>
      </w:r>
      <w:r>
        <w:rPr>
          <w:color w:val="auto"/>
          <w:sz w:val="24"/>
          <w:lang w:val="zh-CN"/>
        </w:rPr>
        <w:t>要求编写响应文件。</w:t>
      </w:r>
    </w:p>
    <w:p>
      <w:pPr>
        <w:snapToGrid w:val="0"/>
        <w:spacing w:line="480" w:lineRule="exact"/>
        <w:ind w:firstLine="482" w:firstLineChars="200"/>
        <w:contextualSpacing/>
        <w:rPr>
          <w:b/>
          <w:color w:val="auto"/>
          <w:sz w:val="24"/>
        </w:rPr>
      </w:pPr>
      <w:r>
        <w:rPr>
          <w:b/>
          <w:color w:val="auto"/>
          <w:sz w:val="24"/>
        </w:rPr>
        <w:t>（二）响应文件的递交</w:t>
      </w:r>
    </w:p>
    <w:p>
      <w:pPr>
        <w:snapToGrid w:val="0"/>
        <w:spacing w:line="480" w:lineRule="exact"/>
        <w:ind w:firstLine="480" w:firstLineChars="200"/>
        <w:contextualSpacing/>
        <w:rPr>
          <w:color w:val="auto"/>
          <w:sz w:val="24"/>
        </w:rPr>
      </w:pPr>
      <w:r>
        <w:rPr>
          <w:color w:val="auto"/>
          <w:sz w:val="24"/>
        </w:rPr>
        <w:t>1、响应文件三部分内容（资格审查文件、商务技术文件、报价文件）须分别单独密封，</w:t>
      </w:r>
      <w:r>
        <w:rPr>
          <w:color w:val="auto"/>
          <w:sz w:val="24"/>
          <w:lang w:val="zh-CN"/>
        </w:rPr>
        <w:t>并牢</w:t>
      </w:r>
      <w:r>
        <w:rPr>
          <w:color w:val="auto"/>
          <w:sz w:val="24"/>
        </w:rPr>
        <w:t>固装订成册，不得相互混淆，文件自编目录并连续标注页码，不得将内容拆开。报价文件不得出现于其他磋商文件中。</w:t>
      </w:r>
    </w:p>
    <w:p>
      <w:pPr>
        <w:snapToGrid w:val="0"/>
        <w:spacing w:line="480" w:lineRule="exact"/>
        <w:ind w:firstLine="480" w:firstLineChars="200"/>
        <w:rPr>
          <w:color w:val="auto"/>
          <w:sz w:val="24"/>
        </w:rPr>
      </w:pPr>
      <w:r>
        <w:rPr>
          <w:color w:val="auto"/>
          <w:sz w:val="24"/>
        </w:rPr>
        <w:t>2、响应文件每一部分内容均须提供“</w:t>
      </w:r>
      <w:r>
        <w:rPr>
          <w:b/>
          <w:color w:val="auto"/>
          <w:sz w:val="24"/>
        </w:rPr>
        <w:t>一正、两副”</w:t>
      </w:r>
      <w:r>
        <w:rPr>
          <w:color w:val="auto"/>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color w:val="auto"/>
          <w:sz w:val="24"/>
        </w:rPr>
      </w:pPr>
      <w:r>
        <w:rPr>
          <w:color w:val="auto"/>
          <w:sz w:val="24"/>
        </w:rPr>
        <w:t>3、纸质响应文件须</w:t>
      </w:r>
      <w:r>
        <w:rPr>
          <w:color w:val="auto"/>
          <w:sz w:val="24"/>
          <w:lang w:val="zh-CN"/>
        </w:rPr>
        <w:t>采用A4纸（</w:t>
      </w:r>
      <w:r>
        <w:rPr>
          <w:color w:val="auto"/>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color w:val="auto"/>
          <w:sz w:val="24"/>
        </w:rPr>
      </w:pPr>
      <w:r>
        <w:rPr>
          <w:color w:val="auto"/>
          <w:sz w:val="24"/>
        </w:rPr>
        <w:t>4、响应文件密封后应标明响应文件项目名称、项目编号、</w:t>
      </w:r>
      <w:r>
        <w:rPr>
          <w:rFonts w:hint="eastAsia"/>
          <w:color w:val="auto"/>
          <w:sz w:val="24"/>
        </w:rPr>
        <w:t>标段名称、</w:t>
      </w:r>
      <w:r>
        <w:rPr>
          <w:color w:val="auto"/>
          <w:sz w:val="24"/>
        </w:rPr>
        <w:t>边缝处加盖单位骑缝章或骑缝签字，并注明于磋商前不得启封。</w:t>
      </w:r>
    </w:p>
    <w:p>
      <w:pPr>
        <w:snapToGrid w:val="0"/>
        <w:spacing w:line="480" w:lineRule="exact"/>
        <w:ind w:firstLine="480" w:firstLineChars="200"/>
        <w:contextualSpacing/>
        <w:rPr>
          <w:color w:val="auto"/>
          <w:sz w:val="24"/>
        </w:rPr>
      </w:pPr>
      <w:r>
        <w:rPr>
          <w:color w:val="auto"/>
          <w:sz w:val="24"/>
        </w:rPr>
        <w:t>5、递交时间：供应商须在规定的响应文件接收截止时间前送达指定地点。供应商递交磋商文件，即视为已响应参加政府采购活动。</w:t>
      </w:r>
    </w:p>
    <w:p>
      <w:pPr>
        <w:snapToGrid w:val="0"/>
        <w:spacing w:line="480" w:lineRule="exact"/>
        <w:ind w:firstLine="482" w:firstLineChars="200"/>
        <w:contextualSpacing/>
        <w:rPr>
          <w:b/>
          <w:color w:val="auto"/>
          <w:sz w:val="24"/>
        </w:rPr>
      </w:pPr>
      <w:r>
        <w:rPr>
          <w:b/>
          <w:color w:val="auto"/>
          <w:sz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snapToGrid w:val="0"/>
        <w:spacing w:line="460" w:lineRule="exact"/>
        <w:ind w:firstLine="482" w:firstLineChars="200"/>
        <w:outlineLvl w:val="1"/>
        <w:rPr>
          <w:rFonts w:ascii="宋体" w:hAnsi="宋体" w:cs="宋体"/>
          <w:b/>
          <w:bCs/>
          <w:color w:val="auto"/>
          <w:sz w:val="24"/>
        </w:rPr>
      </w:pPr>
      <w:r>
        <w:rPr>
          <w:rFonts w:hint="eastAsia" w:ascii="宋体" w:hAnsi="宋体" w:cs="宋体"/>
          <w:b/>
          <w:bCs/>
          <w:color w:val="auto"/>
          <w:sz w:val="24"/>
        </w:rPr>
        <w:t>四、投标文件的有效期</w:t>
      </w:r>
    </w:p>
    <w:p>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1、从投标文件接收截止之日算起，</w:t>
      </w:r>
      <w:r>
        <w:rPr>
          <w:rFonts w:hint="eastAsia" w:ascii="宋体" w:hAnsi="宋体" w:cs="宋体"/>
          <w:b/>
          <w:color w:val="auto"/>
          <w:sz w:val="24"/>
        </w:rPr>
        <w:t>45</w:t>
      </w:r>
      <w:r>
        <w:rPr>
          <w:rFonts w:hint="eastAsia" w:ascii="宋体" w:hAnsi="宋体" w:cs="宋体"/>
          <w:color w:val="auto"/>
          <w:sz w:val="24"/>
        </w:rPr>
        <w:t>个“日历天”内投标书应保持有效。有效期短于这个规定期限的，投标将被拒绝。</w:t>
      </w:r>
    </w:p>
    <w:p>
      <w:pPr>
        <w:snapToGrid w:val="0"/>
        <w:spacing w:line="460" w:lineRule="exact"/>
        <w:ind w:firstLine="470" w:firstLineChars="196"/>
        <w:outlineLvl w:val="1"/>
        <w:rPr>
          <w:rFonts w:ascii="宋体" w:hAnsi="宋体" w:cs="宋体"/>
          <w:b/>
          <w:color w:val="auto"/>
          <w:sz w:val="24"/>
        </w:rPr>
      </w:pPr>
      <w:r>
        <w:rPr>
          <w:rFonts w:hint="eastAsia" w:ascii="宋体" w:hAnsi="宋体" w:cs="宋体"/>
          <w:color w:val="auto"/>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b/>
          <w:color w:val="auto"/>
          <w:sz w:val="24"/>
        </w:rPr>
      </w:pPr>
      <w:r>
        <w:rPr>
          <w:rFonts w:hint="eastAsia"/>
          <w:b/>
          <w:color w:val="auto"/>
          <w:sz w:val="24"/>
        </w:rPr>
        <w:t>五</w:t>
      </w:r>
      <w:r>
        <w:rPr>
          <w:b/>
          <w:color w:val="auto"/>
          <w:sz w:val="24"/>
        </w:rPr>
        <w:t>、报价准备</w:t>
      </w:r>
    </w:p>
    <w:p>
      <w:pPr>
        <w:pStyle w:val="87"/>
        <w:snapToGrid w:val="0"/>
        <w:spacing w:line="480" w:lineRule="exact"/>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1、磋商结束后，供应商就所有内容进行最后报价，少报无效。</w:t>
      </w:r>
    </w:p>
    <w:p>
      <w:pPr>
        <w:pStyle w:val="87"/>
        <w:snapToGrid w:val="0"/>
        <w:spacing w:line="480" w:lineRule="exact"/>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2、</w:t>
      </w:r>
      <w:r>
        <w:rPr>
          <w:color w:val="auto"/>
          <w:sz w:val="24"/>
        </w:rPr>
        <w:t>最后报</w:t>
      </w:r>
      <w:r>
        <w:rPr>
          <w:rFonts w:ascii="Times New Roman" w:hAnsi="Times New Roman" w:eastAsia="宋体"/>
          <w:color w:val="auto"/>
          <w:sz w:val="24"/>
          <w:szCs w:val="24"/>
        </w:rPr>
        <w:t>价应包括响应本项目采购要求的全部费用</w:t>
      </w:r>
      <w:r>
        <w:rPr>
          <w:rFonts w:hint="eastAsia" w:ascii="Times New Roman" w:hAnsi="Times New Roman" w:eastAsia="宋体"/>
          <w:color w:val="auto"/>
          <w:sz w:val="24"/>
          <w:szCs w:val="24"/>
        </w:rPr>
        <w:t>。包括但不限于人员费用（工资、福利、培训、社会保险等）、专用设备及其备品、备件、易耗品耗材、通讯和专用工具费用、税费、运输、保险、检测验收、技术评审、售后服务及管理费用、利润、税金、政策性文件规定及合同包含的所有风险、责任等各项应有费用。</w:t>
      </w:r>
    </w:p>
    <w:p>
      <w:pPr>
        <w:pStyle w:val="87"/>
        <w:snapToGrid w:val="0"/>
        <w:spacing w:line="480" w:lineRule="exact"/>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3、最后报价将作为磋商小组评定成交供应商的组成依据。</w:t>
      </w:r>
    </w:p>
    <w:p>
      <w:pPr>
        <w:snapToGrid w:val="0"/>
        <w:spacing w:line="480" w:lineRule="exact"/>
        <w:ind w:firstLine="482" w:firstLineChars="200"/>
        <w:rPr>
          <w:color w:val="auto"/>
          <w:sz w:val="24"/>
        </w:rPr>
      </w:pPr>
      <w:r>
        <w:rPr>
          <w:rFonts w:hint="eastAsia"/>
          <w:b/>
          <w:color w:val="auto"/>
          <w:sz w:val="24"/>
          <w:lang w:val="zh-CN"/>
        </w:rPr>
        <w:t>六</w:t>
      </w:r>
      <w:r>
        <w:rPr>
          <w:b/>
          <w:color w:val="auto"/>
          <w:sz w:val="24"/>
          <w:lang w:val="zh-CN"/>
        </w:rPr>
        <w:t>、</w:t>
      </w:r>
      <w:r>
        <w:rPr>
          <w:b/>
          <w:bCs/>
          <w:color w:val="auto"/>
          <w:sz w:val="24"/>
        </w:rPr>
        <w:t>相关费用</w:t>
      </w:r>
    </w:p>
    <w:p>
      <w:pPr>
        <w:spacing w:line="360" w:lineRule="auto"/>
        <w:ind w:firstLine="480" w:firstLineChars="200"/>
        <w:jc w:val="left"/>
        <w:rPr>
          <w:color w:val="auto"/>
          <w:sz w:val="24"/>
        </w:rPr>
      </w:pPr>
      <w:r>
        <w:rPr>
          <w:color w:val="auto"/>
          <w:sz w:val="24"/>
        </w:rPr>
        <w:t>1、供应商应承担其编制响应文件以及递交响应文件所涉及的一切费用。无论磋商结果如何，采购人对上述费用不负任何责任。</w:t>
      </w:r>
    </w:p>
    <w:p>
      <w:pPr>
        <w:snapToGrid w:val="0"/>
        <w:spacing w:line="420" w:lineRule="exact"/>
        <w:ind w:firstLine="494" w:firstLineChars="206"/>
        <w:textAlignment w:val="baseline"/>
        <w:rPr>
          <w:rFonts w:hAnsi="宋体" w:cs="宋体"/>
          <w:color w:val="auto"/>
          <w:sz w:val="24"/>
        </w:rPr>
      </w:pPr>
      <w:r>
        <w:rPr>
          <w:rFonts w:hint="eastAsia"/>
          <w:color w:val="auto"/>
          <w:sz w:val="24"/>
        </w:rPr>
        <w:t>2、本项目招标代理费由成交供应商承担，请参加磋商的投标供应商在成本中自行考虑。</w:t>
      </w:r>
      <w:r>
        <w:rPr>
          <w:rFonts w:hint="eastAsia"/>
          <w:color w:val="auto"/>
          <w:sz w:val="24"/>
        </w:rPr>
        <w:t>本项目招标代理费按照发改价格[2011]534号文标准计收，不足3000元按3000计取。</w:t>
      </w:r>
      <w:r>
        <w:rPr>
          <w:rFonts w:hint="eastAsia" w:hAnsi="宋体" w:cs="宋体"/>
          <w:color w:val="auto"/>
          <w:sz w:val="24"/>
        </w:rPr>
        <w:t>评审费按实际发生结算。</w:t>
      </w:r>
    </w:p>
    <w:tbl>
      <w:tblPr>
        <w:tblStyle w:val="53"/>
        <w:tblW w:w="5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20" w:lineRule="exact"/>
              <w:ind w:firstLine="494" w:firstLineChars="206"/>
              <w:rPr>
                <w:color w:val="auto"/>
                <w:sz w:val="24"/>
              </w:rPr>
            </w:pPr>
            <w:r>
              <w:rPr>
                <w:rFonts w:hint="eastAsia"/>
                <w:color w:val="auto"/>
                <w:sz w:val="24"/>
              </w:rPr>
              <w:t>中标金额</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20" w:lineRule="exact"/>
              <w:ind w:firstLine="494" w:firstLineChars="206"/>
              <w:rPr>
                <w:color w:val="auto"/>
                <w:sz w:val="24"/>
              </w:rPr>
            </w:pPr>
            <w:r>
              <w:rPr>
                <w:rFonts w:hint="eastAsia"/>
                <w:color w:val="auto"/>
                <w:sz w:val="24"/>
              </w:rPr>
              <w:t>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20" w:lineRule="exact"/>
              <w:ind w:firstLine="494" w:firstLineChars="206"/>
              <w:rPr>
                <w:color w:val="auto"/>
                <w:sz w:val="24"/>
              </w:rPr>
            </w:pPr>
            <w:r>
              <w:rPr>
                <w:rFonts w:hint="eastAsia"/>
                <w:color w:val="auto"/>
                <w:sz w:val="24"/>
              </w:rPr>
              <w:t>100万元以下的项目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20" w:lineRule="exact"/>
              <w:ind w:firstLine="494" w:firstLineChars="206"/>
              <w:rPr>
                <w:color w:val="auto"/>
                <w:sz w:val="24"/>
              </w:rPr>
            </w:pPr>
            <w:r>
              <w:rPr>
                <w:rFonts w:hint="eastAsia"/>
                <w:color w:val="auto"/>
                <w:sz w:val="24"/>
              </w:rPr>
              <w:t>1.5%</w:t>
            </w:r>
          </w:p>
        </w:tc>
      </w:tr>
    </w:tbl>
    <w:p>
      <w:pPr>
        <w:pStyle w:val="2"/>
        <w:ind w:firstLine="420"/>
        <w:rPr>
          <w:color w:val="auto"/>
          <w:lang w:val="zh-CN"/>
        </w:rPr>
      </w:pPr>
    </w:p>
    <w:p>
      <w:pPr>
        <w:spacing w:line="360" w:lineRule="auto"/>
        <w:ind w:firstLine="480" w:firstLineChars="200"/>
        <w:jc w:val="left"/>
        <w:rPr>
          <w:bCs/>
          <w:color w:val="auto"/>
          <w:sz w:val="24"/>
        </w:rPr>
      </w:pPr>
      <w:r>
        <w:rPr>
          <w:rFonts w:hint="eastAsia"/>
          <w:color w:val="auto"/>
          <w:sz w:val="24"/>
        </w:rPr>
        <w:t>3、响应磋商的供应商自行考虑包含在磋商报价内的该项费用及风险并将其综合在单价内，不得单列。</w:t>
      </w:r>
      <w:r>
        <w:rPr>
          <w:rFonts w:hint="eastAsia"/>
          <w:bCs/>
          <w:color w:val="auto"/>
          <w:sz w:val="24"/>
        </w:rPr>
        <w:t xml:space="preserve">    </w:t>
      </w:r>
    </w:p>
    <w:p>
      <w:pPr>
        <w:snapToGrid w:val="0"/>
        <w:spacing w:line="480" w:lineRule="exact"/>
        <w:ind w:firstLine="482" w:firstLineChars="200"/>
        <w:contextualSpacing/>
        <w:rPr>
          <w:b/>
          <w:color w:val="auto"/>
          <w:sz w:val="24"/>
        </w:rPr>
      </w:pPr>
      <w:r>
        <w:rPr>
          <w:rFonts w:hint="eastAsia"/>
          <w:b/>
          <w:bCs/>
          <w:color w:val="auto"/>
          <w:sz w:val="24"/>
        </w:rPr>
        <w:t>七</w:t>
      </w:r>
      <w:r>
        <w:rPr>
          <w:b/>
          <w:bCs/>
          <w:color w:val="auto"/>
          <w:sz w:val="24"/>
        </w:rPr>
        <w:t>、</w:t>
      </w:r>
      <w:r>
        <w:rPr>
          <w:b/>
          <w:color w:val="auto"/>
          <w:sz w:val="24"/>
        </w:rPr>
        <w:t>竞争性磋商程序简介</w:t>
      </w:r>
    </w:p>
    <w:p>
      <w:pPr>
        <w:snapToGrid w:val="0"/>
        <w:spacing w:line="480" w:lineRule="exact"/>
        <w:ind w:firstLine="482" w:firstLineChars="200"/>
        <w:contextualSpacing/>
        <w:rPr>
          <w:color w:val="auto"/>
          <w:sz w:val="24"/>
        </w:rPr>
      </w:pPr>
      <w:r>
        <w:rPr>
          <w:b/>
          <w:color w:val="auto"/>
          <w:sz w:val="24"/>
        </w:rPr>
        <w:t>采购代理机构先对资格审查文件进行拆封，磋商小组审查响应供应商资格，</w:t>
      </w:r>
      <w:r>
        <w:rPr>
          <w:color w:val="auto"/>
          <w:sz w:val="24"/>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color w:val="auto"/>
          <w:sz w:val="24"/>
        </w:rPr>
        <w:t>依据评审方法推荐成交候选人</w:t>
      </w:r>
      <w:r>
        <w:rPr>
          <w:color w:val="auto"/>
          <w:sz w:val="24"/>
        </w:rPr>
        <w:t>。</w:t>
      </w:r>
    </w:p>
    <w:p>
      <w:pPr>
        <w:autoSpaceDE w:val="0"/>
        <w:autoSpaceDN w:val="0"/>
        <w:adjustRightInd w:val="0"/>
        <w:snapToGrid w:val="0"/>
        <w:spacing w:line="480" w:lineRule="exact"/>
        <w:ind w:right="210" w:firstLine="472" w:firstLineChars="196"/>
        <w:contextualSpacing/>
        <w:rPr>
          <w:b/>
          <w:bCs/>
          <w:color w:val="auto"/>
          <w:sz w:val="24"/>
        </w:rPr>
      </w:pPr>
      <w:r>
        <w:rPr>
          <w:rFonts w:hint="eastAsia"/>
          <w:b/>
          <w:bCs/>
          <w:color w:val="auto"/>
          <w:sz w:val="24"/>
        </w:rPr>
        <w:t>八</w:t>
      </w:r>
      <w:r>
        <w:rPr>
          <w:b/>
          <w:bCs/>
          <w:color w:val="auto"/>
          <w:sz w:val="24"/>
        </w:rPr>
        <w:t>、相关提示</w:t>
      </w:r>
    </w:p>
    <w:p>
      <w:pPr>
        <w:snapToGrid w:val="0"/>
        <w:spacing w:line="480" w:lineRule="exact"/>
        <w:ind w:firstLine="480" w:firstLineChars="200"/>
        <w:contextualSpacing/>
        <w:rPr>
          <w:bCs/>
          <w:color w:val="auto"/>
          <w:sz w:val="24"/>
        </w:rPr>
      </w:pPr>
      <w:r>
        <w:rPr>
          <w:rFonts w:hint="eastAsia"/>
          <w:bCs/>
          <w:color w:val="auto"/>
          <w:sz w:val="24"/>
        </w:rPr>
        <w:t>1、</w:t>
      </w:r>
      <w:r>
        <w:rPr>
          <w:bCs/>
          <w:color w:val="auto"/>
          <w:sz w:val="24"/>
        </w:rPr>
        <w:t>商务技术部分评审结束后进入最后报价环节，最后报价将作为评审价。采购代理机构发出最后报价填报通知后，所有的响应供应商须在</w:t>
      </w:r>
      <w:r>
        <w:rPr>
          <w:rFonts w:hint="eastAsia"/>
          <w:bCs/>
          <w:color w:val="auto"/>
          <w:sz w:val="24"/>
        </w:rPr>
        <w:t>规定时间</w:t>
      </w:r>
      <w:r>
        <w:rPr>
          <w:bCs/>
          <w:color w:val="auto"/>
          <w:sz w:val="24"/>
        </w:rPr>
        <w:t>内填写并提交最后报价，未在规定时间内提交最后报价的，视作无效响应处理。</w:t>
      </w:r>
    </w:p>
    <w:p>
      <w:pPr>
        <w:snapToGrid w:val="0"/>
        <w:spacing w:line="480" w:lineRule="exact"/>
        <w:ind w:firstLine="480" w:firstLineChars="200"/>
        <w:contextualSpacing/>
        <w:rPr>
          <w:bCs/>
          <w:color w:val="auto"/>
          <w:sz w:val="24"/>
        </w:rPr>
      </w:pPr>
      <w:r>
        <w:rPr>
          <w:rFonts w:hint="eastAsia"/>
          <w:bCs/>
          <w:color w:val="auto"/>
          <w:sz w:val="24"/>
        </w:rPr>
        <w:t>2、本项目属于非招标方式，不存在唱标环节。按照政府采购法律制度规定，在磋商中任何一方不得透露与磋商有关的其他供应商的技术资料、价格和其他信息，因此不公开唱标。最终成交供应商名称和成交金额可通过</w:t>
      </w:r>
      <w:r>
        <w:rPr>
          <w:rFonts w:hint="eastAsia"/>
          <w:color w:val="auto"/>
          <w:sz w:val="24"/>
          <w:lang w:val="zh-CN"/>
        </w:rPr>
        <w:t>崇川区人民政府网站</w:t>
      </w:r>
      <w:r>
        <w:rPr>
          <w:rFonts w:hint="eastAsia"/>
          <w:bCs/>
          <w:color w:val="auto"/>
          <w:sz w:val="24"/>
        </w:rPr>
        <w:t>发布成交结果公告获得。</w:t>
      </w:r>
    </w:p>
    <w:p>
      <w:pPr>
        <w:snapToGrid w:val="0"/>
        <w:spacing w:line="300" w:lineRule="auto"/>
        <w:jc w:val="center"/>
        <w:outlineLvl w:val="0"/>
        <w:rPr>
          <w:b/>
          <w:color w:val="auto"/>
          <w:sz w:val="36"/>
          <w:szCs w:val="36"/>
        </w:rPr>
      </w:pPr>
    </w:p>
    <w:p>
      <w:pPr>
        <w:snapToGrid w:val="0"/>
        <w:spacing w:line="300" w:lineRule="auto"/>
        <w:jc w:val="center"/>
        <w:outlineLvl w:val="0"/>
        <w:rPr>
          <w:b/>
          <w:color w:val="auto"/>
          <w:sz w:val="36"/>
          <w:szCs w:val="36"/>
        </w:rPr>
      </w:pPr>
    </w:p>
    <w:p>
      <w:pPr>
        <w:snapToGrid w:val="0"/>
        <w:spacing w:line="300" w:lineRule="auto"/>
        <w:jc w:val="center"/>
        <w:outlineLvl w:val="0"/>
        <w:rPr>
          <w:b/>
          <w:color w:val="auto"/>
          <w:sz w:val="36"/>
          <w:szCs w:val="36"/>
        </w:rPr>
      </w:pPr>
    </w:p>
    <w:p>
      <w:pPr>
        <w:snapToGrid w:val="0"/>
        <w:spacing w:line="300" w:lineRule="auto"/>
        <w:jc w:val="center"/>
        <w:outlineLvl w:val="0"/>
        <w:rPr>
          <w:b/>
          <w:color w:val="auto"/>
          <w:sz w:val="36"/>
          <w:szCs w:val="36"/>
        </w:rPr>
      </w:pPr>
    </w:p>
    <w:p>
      <w:pPr>
        <w:snapToGrid w:val="0"/>
        <w:spacing w:line="300" w:lineRule="auto"/>
        <w:jc w:val="center"/>
        <w:outlineLvl w:val="0"/>
        <w:rPr>
          <w:b/>
          <w:color w:val="auto"/>
          <w:sz w:val="36"/>
          <w:szCs w:val="36"/>
        </w:rPr>
      </w:pPr>
    </w:p>
    <w:p>
      <w:pPr>
        <w:snapToGrid w:val="0"/>
        <w:spacing w:line="300" w:lineRule="auto"/>
        <w:jc w:val="center"/>
        <w:outlineLvl w:val="0"/>
        <w:rPr>
          <w:b/>
          <w:color w:val="auto"/>
          <w:sz w:val="36"/>
          <w:szCs w:val="36"/>
        </w:rPr>
      </w:pPr>
    </w:p>
    <w:p>
      <w:pPr>
        <w:pStyle w:val="12"/>
        <w:ind w:firstLine="0"/>
        <w:rPr>
          <w:b/>
          <w:color w:val="auto"/>
          <w:sz w:val="36"/>
          <w:szCs w:val="36"/>
        </w:rPr>
      </w:pPr>
    </w:p>
    <w:p>
      <w:pPr>
        <w:pStyle w:val="12"/>
        <w:ind w:firstLine="0"/>
        <w:rPr>
          <w:b/>
          <w:color w:val="auto"/>
          <w:sz w:val="36"/>
          <w:szCs w:val="36"/>
        </w:rPr>
      </w:pPr>
    </w:p>
    <w:p>
      <w:pPr>
        <w:pStyle w:val="12"/>
        <w:ind w:firstLine="0"/>
        <w:rPr>
          <w:b/>
          <w:color w:val="auto"/>
          <w:sz w:val="36"/>
          <w:szCs w:val="36"/>
        </w:rPr>
      </w:pPr>
    </w:p>
    <w:p>
      <w:pPr>
        <w:pStyle w:val="12"/>
        <w:ind w:firstLine="0"/>
        <w:rPr>
          <w:b/>
          <w:color w:val="auto"/>
          <w:sz w:val="36"/>
          <w:szCs w:val="36"/>
        </w:rPr>
      </w:pPr>
    </w:p>
    <w:p>
      <w:pPr>
        <w:pStyle w:val="12"/>
        <w:ind w:firstLine="0"/>
        <w:rPr>
          <w:b/>
          <w:color w:val="auto"/>
          <w:sz w:val="36"/>
          <w:szCs w:val="36"/>
        </w:rPr>
      </w:pPr>
    </w:p>
    <w:p>
      <w:pPr>
        <w:snapToGrid w:val="0"/>
        <w:spacing w:line="300" w:lineRule="auto"/>
        <w:outlineLvl w:val="0"/>
        <w:rPr>
          <w:b/>
          <w:color w:val="auto"/>
          <w:sz w:val="36"/>
          <w:szCs w:val="36"/>
        </w:rPr>
      </w:pPr>
    </w:p>
    <w:p>
      <w:pPr>
        <w:snapToGrid w:val="0"/>
        <w:spacing w:line="300" w:lineRule="auto"/>
        <w:jc w:val="center"/>
        <w:outlineLvl w:val="0"/>
        <w:rPr>
          <w:b/>
          <w:color w:val="auto"/>
          <w:sz w:val="36"/>
          <w:szCs w:val="36"/>
        </w:rPr>
      </w:pPr>
      <w:r>
        <w:rPr>
          <w:b/>
          <w:color w:val="auto"/>
          <w:sz w:val="36"/>
          <w:szCs w:val="36"/>
        </w:rPr>
        <w:t>第三部分</w:t>
      </w:r>
      <w:r>
        <w:rPr>
          <w:rFonts w:hint="eastAsia"/>
          <w:b/>
          <w:color w:val="auto"/>
          <w:sz w:val="36"/>
          <w:szCs w:val="36"/>
        </w:rPr>
        <w:t xml:space="preserve"> </w:t>
      </w:r>
      <w:r>
        <w:rPr>
          <w:b/>
          <w:color w:val="auto"/>
          <w:sz w:val="36"/>
          <w:szCs w:val="36"/>
        </w:rPr>
        <w:t>项目需求说明</w:t>
      </w:r>
    </w:p>
    <w:p>
      <w:pPr>
        <w:snapToGrid w:val="0"/>
        <w:spacing w:line="360" w:lineRule="auto"/>
        <w:rPr>
          <w:rFonts w:ascii="宋体" w:hAnsi="宋体" w:cs="宋体"/>
          <w:b/>
          <w:bCs/>
          <w:color w:val="auto"/>
          <w:sz w:val="24"/>
        </w:rPr>
      </w:pPr>
      <w:r>
        <w:rPr>
          <w:rFonts w:hint="eastAsia" w:ascii="宋体" w:hAnsi="宋体" w:cs="宋体"/>
          <w:b/>
          <w:bCs/>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为了进一步加快崇川区发展方式绿色转型，落实江苏省人民政府《关于推动高质量发展做好碳达峰碳中和工作的实施意见》和省政府《江苏省碳达峰实施方案》的有关部署要求，推动经济结构调整和优化，促进能源结构转型和低碳技术研发应用，制定“崇川区碳达峰实施方案（碳排放特征、碳减排潜力管理研究）”采购项目需求。具体内容如下。</w:t>
      </w:r>
    </w:p>
    <w:p>
      <w:pPr>
        <w:snapToGrid w:val="0"/>
        <w:spacing w:line="360" w:lineRule="auto"/>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val="en-US" w:eastAsia="zh-CN"/>
        </w:rPr>
        <w:t>服务</w:t>
      </w:r>
      <w:r>
        <w:rPr>
          <w:rFonts w:hint="eastAsia" w:ascii="宋体" w:hAnsi="宋体" w:cs="宋体"/>
          <w:color w:val="auto"/>
          <w:sz w:val="24"/>
        </w:rPr>
        <w:t>目的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调查崇川区各行业碳排放特征，分析重点行业的碳排放情况，根据重点行业当前技术发展趋势，着眼“双碳”目标及绿色低碳转型形势，明确重点行业碳减排方向和重点，为政府部门引导企业深化节能降碳工作提供建议。</w:t>
      </w:r>
    </w:p>
    <w:p>
      <w:pPr>
        <w:snapToGrid w:val="0"/>
        <w:spacing w:line="360" w:lineRule="auto"/>
        <w:rPr>
          <w:rFonts w:ascii="宋体" w:hAnsi="宋体" w:cs="宋体"/>
          <w:color w:val="auto"/>
          <w:sz w:val="24"/>
        </w:rPr>
      </w:pPr>
      <w:r>
        <w:rPr>
          <w:rFonts w:hint="eastAsia" w:ascii="宋体" w:hAnsi="宋体" w:cs="宋体"/>
          <w:color w:val="auto"/>
          <w:sz w:val="24"/>
        </w:rPr>
        <w:t>二、工作内容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1.深入研究崇川区各行业用能及碳排放特征，以及相关的绿色技术发展趋势，开展企业调研和数据收集，摸清重点行业节能降碳情况。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2.基于崇川区各重点行业当前工</w:t>
      </w:r>
      <w:bookmarkStart w:id="22" w:name="_GoBack"/>
      <w:bookmarkEnd w:id="22"/>
      <w:r>
        <w:rPr>
          <w:rFonts w:hint="eastAsia" w:ascii="宋体" w:hAnsi="宋体" w:cs="宋体"/>
          <w:color w:val="auto"/>
          <w:sz w:val="24"/>
        </w:rPr>
        <w:t>艺水平和技术发展趋势，明确重点行业降碳方向和重点，提出企业降碳改造意见，为政府部门引导企业深化节能降碳工作提供建议。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3.提出深化重点行业节能降碳路径，探索新技术推进政府端节能降碳治理工作。</w:t>
      </w:r>
    </w:p>
    <w:p>
      <w:pPr>
        <w:snapToGrid w:val="0"/>
        <w:spacing w:line="360" w:lineRule="auto"/>
        <w:rPr>
          <w:rFonts w:ascii="宋体" w:hAnsi="宋体" w:cs="宋体"/>
          <w:color w:val="auto"/>
          <w:sz w:val="24"/>
        </w:rPr>
      </w:pPr>
      <w:r>
        <w:rPr>
          <w:rFonts w:hint="eastAsia" w:ascii="宋体" w:hAnsi="宋体" w:cs="宋体"/>
          <w:color w:val="auto"/>
          <w:sz w:val="24"/>
        </w:rPr>
        <w:t>三、服务期限、地点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1、本次采购服务时间：合同签订生效期至2024年底。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2、服务地点和事项：采购人指定的办公场所和服务项目。</w:t>
      </w:r>
    </w:p>
    <w:p>
      <w:pPr>
        <w:snapToGrid w:val="0"/>
        <w:spacing w:line="360" w:lineRule="auto"/>
        <w:rPr>
          <w:rFonts w:ascii="宋体" w:hAnsi="宋体" w:cs="宋体"/>
          <w:color w:val="auto"/>
          <w:sz w:val="24"/>
        </w:rPr>
      </w:pPr>
      <w:r>
        <w:rPr>
          <w:rFonts w:hint="eastAsia" w:ascii="宋体" w:hAnsi="宋体" w:cs="宋体"/>
          <w:color w:val="auto"/>
          <w:sz w:val="24"/>
        </w:rPr>
        <w:t>四、第三方要求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1、采购人将视情组织对成交供应商及其服务人员工作质量进行评估，并对评估结果予以通报，服务质量直接与服务费挂钩。</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2、出现严重不履行合同或不适当履行合同的，采购人有权单方面解除合同。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成交供应商及其派出的专家应当严格按照国家相关法律、法规开展企业调研和数据收集工作，应当恪守职业道德，遵循诚实守信的原则，对企业提供的资料及生产工艺、过程和技术等予以保密，不得泄露企业的商业秘密。</w:t>
      </w:r>
    </w:p>
    <w:p>
      <w:pPr>
        <w:snapToGrid w:val="0"/>
        <w:spacing w:line="360" w:lineRule="auto"/>
        <w:rPr>
          <w:rFonts w:ascii="宋体" w:hAnsi="宋体" w:cs="宋体"/>
          <w:color w:val="auto"/>
          <w:sz w:val="24"/>
        </w:rPr>
      </w:pPr>
      <w:r>
        <w:rPr>
          <w:rFonts w:hint="eastAsia" w:ascii="宋体" w:hAnsi="宋体" w:cs="宋体"/>
          <w:color w:val="auto"/>
          <w:sz w:val="24"/>
        </w:rPr>
        <w:t>五、付款方式</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合同签订后10个工作日内支付合同总价的50%作为预付款，研究报告初稿完成后支付合同总价的30%，研究报告通过专家评审并经甲方确认后支付合同总价的20%。</w:t>
      </w:r>
    </w:p>
    <w:p>
      <w:pPr>
        <w:snapToGrid w:val="0"/>
        <w:spacing w:line="360" w:lineRule="auto"/>
        <w:rPr>
          <w:rFonts w:ascii="宋体" w:hAnsi="宋体" w:cs="宋体"/>
          <w:b/>
          <w:bCs/>
          <w:color w:val="auto"/>
          <w:sz w:val="24"/>
        </w:rPr>
      </w:pPr>
    </w:p>
    <w:p>
      <w:pPr>
        <w:pStyle w:val="5"/>
        <w:ind w:left="0" w:leftChars="0"/>
        <w:rPr>
          <w:color w:val="auto"/>
          <w:lang w:val="zh-CN"/>
        </w:rPr>
      </w:pPr>
    </w:p>
    <w:p>
      <w:pPr>
        <w:autoSpaceDE w:val="0"/>
        <w:autoSpaceDN w:val="0"/>
        <w:adjustRightInd w:val="0"/>
        <w:snapToGrid w:val="0"/>
        <w:spacing w:line="300" w:lineRule="auto"/>
        <w:jc w:val="center"/>
        <w:rPr>
          <w:rFonts w:ascii="仿宋_GB2312" w:eastAsia="仿宋_GB2312"/>
          <w:b/>
          <w:bCs/>
          <w:color w:val="auto"/>
          <w:sz w:val="36"/>
          <w:szCs w:val="36"/>
          <w:lang w:val="zh-CN"/>
        </w:rPr>
      </w:pPr>
      <w:r>
        <w:rPr>
          <w:rFonts w:hint="eastAsia" w:ascii="仿宋_GB2312" w:eastAsia="仿宋_GB2312"/>
          <w:b/>
          <w:bCs/>
          <w:color w:val="auto"/>
          <w:sz w:val="36"/>
          <w:szCs w:val="36"/>
          <w:lang w:val="zh-CN"/>
        </w:rPr>
        <w:t>第四部分  评审程序和内容</w:t>
      </w:r>
    </w:p>
    <w:p>
      <w:pPr>
        <w:autoSpaceDE w:val="0"/>
        <w:autoSpaceDN w:val="0"/>
        <w:adjustRightInd w:val="0"/>
        <w:snapToGrid w:val="0"/>
        <w:spacing w:line="300" w:lineRule="auto"/>
        <w:ind w:right="210"/>
        <w:jc w:val="center"/>
        <w:outlineLvl w:val="0"/>
        <w:rPr>
          <w:rFonts w:eastAsia="仿宋_GB2312"/>
          <w:b/>
          <w:bCs/>
          <w:color w:val="auto"/>
          <w:sz w:val="36"/>
          <w:szCs w:val="36"/>
        </w:rPr>
      </w:pPr>
    </w:p>
    <w:p>
      <w:pPr>
        <w:autoSpaceDE w:val="0"/>
        <w:autoSpaceDN w:val="0"/>
        <w:adjustRightInd w:val="0"/>
        <w:snapToGrid w:val="0"/>
        <w:spacing w:line="480" w:lineRule="exact"/>
        <w:ind w:right="210" w:firstLine="472" w:firstLineChars="196"/>
        <w:rPr>
          <w:b/>
          <w:color w:val="auto"/>
          <w:sz w:val="24"/>
          <w:lang w:val="zh-CN"/>
        </w:rPr>
      </w:pPr>
      <w:r>
        <w:rPr>
          <w:b/>
          <w:color w:val="auto"/>
          <w:sz w:val="24"/>
          <w:lang w:val="zh-CN"/>
        </w:rPr>
        <w:t>一、</w:t>
      </w:r>
      <w:r>
        <w:rPr>
          <w:rFonts w:hint="eastAsia"/>
          <w:b/>
          <w:color w:val="auto"/>
          <w:sz w:val="24"/>
          <w:lang w:val="zh-CN"/>
        </w:rPr>
        <w:t>采购人委托</w:t>
      </w:r>
      <w:r>
        <w:rPr>
          <w:b/>
          <w:color w:val="auto"/>
          <w:sz w:val="24"/>
          <w:lang w:val="zh-CN"/>
        </w:rPr>
        <w:t>采购代理机构组织磋商活动</w:t>
      </w:r>
    </w:p>
    <w:p>
      <w:pPr>
        <w:snapToGrid w:val="0"/>
        <w:spacing w:line="480" w:lineRule="exact"/>
        <w:ind w:firstLine="482" w:firstLineChars="200"/>
        <w:rPr>
          <w:color w:val="auto"/>
          <w:kern w:val="0"/>
          <w:sz w:val="24"/>
          <w:lang w:val="zh-CN"/>
        </w:rPr>
      </w:pPr>
      <w:r>
        <w:rPr>
          <w:b/>
          <w:color w:val="auto"/>
          <w:kern w:val="0"/>
          <w:sz w:val="24"/>
          <w:lang w:val="zh-CN"/>
        </w:rPr>
        <w:t>1、成立竞争性磋商小组。</w:t>
      </w:r>
      <w:r>
        <w:rPr>
          <w:color w:val="auto"/>
          <w:kern w:val="0"/>
          <w:sz w:val="24"/>
          <w:lang w:val="zh-CN"/>
        </w:rPr>
        <w:t>竞争性磋商小组由</w:t>
      </w:r>
      <w:r>
        <w:rPr>
          <w:rFonts w:hint="eastAsia"/>
          <w:color w:val="auto"/>
          <w:kern w:val="0"/>
          <w:sz w:val="24"/>
          <w:lang w:val="zh-CN"/>
        </w:rPr>
        <w:t>采购人代表和评审专家共计</w:t>
      </w:r>
      <w:r>
        <w:rPr>
          <w:rFonts w:hint="eastAsia"/>
          <w:color w:val="auto"/>
          <w:kern w:val="0"/>
          <w:sz w:val="24"/>
        </w:rPr>
        <w:t>3</w:t>
      </w:r>
      <w:r>
        <w:rPr>
          <w:rFonts w:hint="eastAsia"/>
          <w:color w:val="auto"/>
          <w:kern w:val="0"/>
          <w:sz w:val="24"/>
          <w:lang w:val="zh-CN"/>
        </w:rPr>
        <w:t>人组成，其中评审专家</w:t>
      </w:r>
      <w:r>
        <w:rPr>
          <w:rFonts w:hint="eastAsia"/>
          <w:color w:val="auto"/>
          <w:kern w:val="0"/>
          <w:sz w:val="24"/>
        </w:rPr>
        <w:t>2</w:t>
      </w:r>
      <w:r>
        <w:rPr>
          <w:rFonts w:hint="eastAsia"/>
          <w:color w:val="auto"/>
          <w:kern w:val="0"/>
          <w:sz w:val="24"/>
          <w:lang w:val="zh-CN"/>
        </w:rPr>
        <w:t>人，采购人代表1人</w:t>
      </w:r>
      <w:r>
        <w:rPr>
          <w:color w:val="auto"/>
          <w:kern w:val="0"/>
          <w:sz w:val="24"/>
          <w:lang w:val="zh-CN"/>
        </w:rPr>
        <w:t>。</w:t>
      </w:r>
      <w:r>
        <w:rPr>
          <w:rFonts w:hint="eastAsia" w:ascii="宋体" w:hAnsi="宋体"/>
          <w:bCs/>
          <w:color w:val="auto"/>
          <w:sz w:val="24"/>
        </w:rPr>
        <w:t>评审专家在专家库中随机抽取。</w:t>
      </w:r>
    </w:p>
    <w:p>
      <w:pPr>
        <w:spacing w:line="480" w:lineRule="exact"/>
        <w:ind w:firstLine="482" w:firstLineChars="200"/>
        <w:rPr>
          <w:b/>
          <w:color w:val="auto"/>
          <w:kern w:val="0"/>
          <w:sz w:val="24"/>
          <w:lang w:val="zh-CN"/>
        </w:rPr>
      </w:pPr>
      <w:r>
        <w:rPr>
          <w:b/>
          <w:color w:val="auto"/>
          <w:kern w:val="0"/>
          <w:sz w:val="24"/>
          <w:lang w:val="zh-CN"/>
        </w:rPr>
        <w:t>2、竞争性磋商小组的职责：</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评审专家应当遵守评审工作纪律，不得泄露评审情况和评审中获悉的商业秘密。</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磋商小组在评审过程中发现供应商有行贿、提供虚假材料或者串通等违法行为的，应当及时向财政部门报告。</w:t>
      </w:r>
    </w:p>
    <w:p>
      <w:pPr>
        <w:pStyle w:val="87"/>
        <w:snapToGrid w:val="0"/>
        <w:spacing w:line="480" w:lineRule="exact"/>
        <w:ind w:firstLine="480" w:firstLineChars="200"/>
        <w:contextualSpacing/>
        <w:rPr>
          <w:rFonts w:ascii="Times New Roman" w:hAnsi="Times New Roman" w:eastAsia="宋体"/>
          <w:color w:val="auto"/>
          <w:sz w:val="24"/>
          <w:szCs w:val="24"/>
        </w:rPr>
      </w:pPr>
      <w:r>
        <w:rPr>
          <w:rFonts w:ascii="Times New Roman" w:hAnsi="Times New Roman" w:eastAsia="宋体"/>
          <w:color w:val="auto"/>
          <w:sz w:val="24"/>
          <w:szCs w:val="24"/>
          <w:lang w:val="zh-CN"/>
        </w:rPr>
        <w:t>评审专家在评审过程中受到非法干涉的，应当及时向财政、监察等部门举报。</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磋商文件内容违反国家有关强制性规定的，磋商小组应当停止评审并向采购人或者采购代理机构说明情况。</w:t>
      </w:r>
    </w:p>
    <w:p>
      <w:pPr>
        <w:pStyle w:val="87"/>
        <w:snapToGrid w:val="0"/>
        <w:spacing w:line="480" w:lineRule="exact"/>
        <w:ind w:firstLine="482" w:firstLineChars="200"/>
        <w:contextualSpacing/>
        <w:rPr>
          <w:rFonts w:ascii="Times New Roman" w:hAnsi="Times New Roman" w:eastAsia="宋体"/>
          <w:b/>
          <w:color w:val="auto"/>
          <w:sz w:val="24"/>
          <w:szCs w:val="24"/>
          <w:lang w:val="zh-CN"/>
        </w:rPr>
      </w:pPr>
      <w:r>
        <w:rPr>
          <w:rFonts w:ascii="Times New Roman" w:hAnsi="Times New Roman" w:eastAsia="宋体"/>
          <w:b/>
          <w:color w:val="auto"/>
          <w:sz w:val="24"/>
          <w:szCs w:val="24"/>
          <w:lang w:val="zh-CN"/>
        </w:rPr>
        <w:t>3、竞争性磋商小组成员的义务：</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遵纪守法，客观、公正、廉洁地履行职责；根据采购文件的规定独立进行评审，对个人的评审意见承担法律责任；参与</w:t>
      </w:r>
      <w:r>
        <w:rPr>
          <w:rFonts w:hint="eastAsia" w:ascii="Times New Roman" w:hAnsi="Times New Roman" w:eastAsia="宋体"/>
          <w:color w:val="auto"/>
          <w:sz w:val="24"/>
          <w:szCs w:val="24"/>
          <w:lang w:val="zh-CN"/>
        </w:rPr>
        <w:t>完成</w:t>
      </w:r>
      <w:r>
        <w:rPr>
          <w:rFonts w:ascii="Times New Roman" w:hAnsi="Times New Roman" w:eastAsia="宋体"/>
          <w:color w:val="auto"/>
          <w:sz w:val="24"/>
          <w:szCs w:val="24"/>
          <w:lang w:val="zh-CN"/>
        </w:rPr>
        <w:t>评审报告；配合采购人、</w:t>
      </w:r>
      <w:r>
        <w:rPr>
          <w:rFonts w:hint="eastAsia" w:ascii="Times New Roman" w:hAnsi="Times New Roman" w:eastAsia="宋体"/>
          <w:color w:val="auto"/>
          <w:sz w:val="24"/>
          <w:szCs w:val="24"/>
          <w:lang w:val="zh-CN"/>
        </w:rPr>
        <w:t>采购代理机构</w:t>
      </w:r>
      <w:r>
        <w:rPr>
          <w:rFonts w:ascii="Times New Roman" w:hAnsi="Times New Roman" w:eastAsia="宋体"/>
          <w:color w:val="auto"/>
          <w:sz w:val="24"/>
          <w:szCs w:val="24"/>
          <w:lang w:val="zh-CN"/>
        </w:rPr>
        <w:t>答复供应商提出的质疑；配合财政部门的投诉处理和监督检查工作。</w:t>
      </w:r>
    </w:p>
    <w:p>
      <w:pPr>
        <w:pStyle w:val="87"/>
        <w:snapToGrid w:val="0"/>
        <w:spacing w:line="480" w:lineRule="exact"/>
        <w:ind w:firstLine="482" w:firstLineChars="200"/>
        <w:contextualSpacing/>
        <w:rPr>
          <w:rFonts w:ascii="Times New Roman" w:hAnsi="Times New Roman" w:eastAsia="宋体"/>
          <w:b/>
          <w:color w:val="auto"/>
          <w:sz w:val="24"/>
          <w:szCs w:val="24"/>
          <w:lang w:val="zh-CN"/>
        </w:rPr>
      </w:pPr>
      <w:r>
        <w:rPr>
          <w:rFonts w:ascii="Times New Roman" w:hAnsi="Times New Roman" w:eastAsia="宋体"/>
          <w:b/>
          <w:color w:val="auto"/>
          <w:sz w:val="24"/>
          <w:szCs w:val="24"/>
          <w:lang w:val="zh-CN"/>
        </w:rPr>
        <w:t>二、供应商参加磋商活动。</w:t>
      </w:r>
    </w:p>
    <w:p>
      <w:pPr>
        <w:tabs>
          <w:tab w:val="left" w:pos="3585"/>
        </w:tabs>
        <w:snapToGrid w:val="0"/>
        <w:spacing w:line="480" w:lineRule="exact"/>
        <w:ind w:firstLine="460" w:firstLineChars="192"/>
        <w:rPr>
          <w:color w:val="auto"/>
          <w:kern w:val="0"/>
          <w:sz w:val="24"/>
          <w:lang w:val="zh-CN"/>
        </w:rPr>
      </w:pPr>
      <w:r>
        <w:rPr>
          <w:color w:val="auto"/>
          <w:kern w:val="0"/>
          <w:sz w:val="24"/>
          <w:lang w:val="zh-CN"/>
        </w:rPr>
        <w:t>响应供应商在采购文件指定地点参加磋商会。</w:t>
      </w:r>
    </w:p>
    <w:p>
      <w:pPr>
        <w:autoSpaceDE w:val="0"/>
        <w:autoSpaceDN w:val="0"/>
        <w:adjustRightInd w:val="0"/>
        <w:snapToGrid w:val="0"/>
        <w:spacing w:line="480" w:lineRule="exact"/>
        <w:ind w:right="210" w:firstLine="482" w:firstLineChars="200"/>
        <w:rPr>
          <w:b/>
          <w:color w:val="auto"/>
          <w:sz w:val="24"/>
        </w:rPr>
      </w:pPr>
      <w:r>
        <w:rPr>
          <w:b/>
          <w:color w:val="auto"/>
          <w:sz w:val="24"/>
        </w:rPr>
        <w:t>三、评审程序、内容</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2、磋商小组所有成员应当集中与单一供应商分别进行磋商，并给予所有参加磋商的供应商平等的磋商机会。</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对磋商文件作出的实质性变动是磋商文件的有效组成部分，磋商小组应当及时以书面形式同时通知所有参加磋商的供应商。</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供应商应当按照磋商文件的变动情况和磋商小组的要求重新提交响应文件，并由其法定代表人或</w:t>
      </w:r>
      <w:r>
        <w:rPr>
          <w:rFonts w:hint="eastAsia" w:ascii="Times New Roman" w:hAnsi="Times New Roman" w:eastAsia="宋体"/>
          <w:color w:val="auto"/>
          <w:sz w:val="24"/>
          <w:szCs w:val="24"/>
          <w:lang w:val="zh-CN"/>
        </w:rPr>
        <w:t>其</w:t>
      </w:r>
      <w:r>
        <w:rPr>
          <w:rFonts w:ascii="Times New Roman" w:hAnsi="Times New Roman" w:eastAsia="宋体"/>
          <w:color w:val="auto"/>
          <w:sz w:val="24"/>
          <w:szCs w:val="24"/>
          <w:lang w:val="zh-CN"/>
        </w:rPr>
        <w:t>授权代表签字或者加盖公章。由授权代表签字的，应当附法定代表人授权书。供应商为自然人的，应当由本人签字并附身份证明。</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市场竞争不充分的科研项目，以及需要扶持的科技成果转化项目，提交最后报价的供应商可以是2家。</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5、最后报价是供应商响应文件的有效组成部分。</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6、已提交响应文件的供应商，在提交最后报价之前，可以根据磋商情况退出磋商。</w:t>
      </w:r>
    </w:p>
    <w:p>
      <w:pPr>
        <w:pStyle w:val="87"/>
        <w:snapToGrid w:val="0"/>
        <w:spacing w:line="480" w:lineRule="exact"/>
        <w:ind w:firstLine="480" w:firstLineChars="200"/>
        <w:contextualSpacing/>
        <w:rPr>
          <w:rFonts w:ascii="Times New Roman" w:hAnsi="Times New Roman" w:eastAsia="宋体"/>
          <w:color w:val="auto"/>
          <w:sz w:val="24"/>
          <w:szCs w:val="24"/>
          <w:lang w:val="zh-CN"/>
        </w:rPr>
      </w:pPr>
      <w:r>
        <w:rPr>
          <w:rFonts w:ascii="Times New Roman" w:hAnsi="Times New Roman" w:eastAsia="宋体"/>
          <w:color w:val="auto"/>
          <w:sz w:val="24"/>
          <w:szCs w:val="24"/>
          <w:lang w:val="zh-CN"/>
        </w:rPr>
        <w:t>磋商时间由磋商小组掌握。</w:t>
      </w:r>
    </w:p>
    <w:p>
      <w:pPr>
        <w:pStyle w:val="87"/>
        <w:snapToGrid w:val="0"/>
        <w:spacing w:line="480" w:lineRule="exact"/>
        <w:ind w:firstLine="496"/>
        <w:contextualSpacing/>
        <w:rPr>
          <w:rFonts w:ascii="Times New Roman" w:hAnsi="Times New Roman" w:eastAsia="宋体"/>
          <w:b/>
          <w:color w:val="auto"/>
          <w:sz w:val="24"/>
          <w:szCs w:val="24"/>
        </w:rPr>
      </w:pPr>
      <w:r>
        <w:rPr>
          <w:rFonts w:ascii="Times New Roman" w:hAnsi="Times New Roman" w:eastAsia="宋体"/>
          <w:b/>
          <w:color w:val="auto"/>
          <w:sz w:val="24"/>
          <w:szCs w:val="24"/>
        </w:rPr>
        <w:t>四、评审方法-综合评分法</w:t>
      </w:r>
    </w:p>
    <w:p>
      <w:pPr>
        <w:pStyle w:val="87"/>
        <w:snapToGrid w:val="0"/>
        <w:spacing w:line="480" w:lineRule="exact"/>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经磋商确定最终采购需求和提交最后报价的供应商后，由磋商小组采用综合评分法对提交最后报价的供应商的响应文件和最后报价进行综合评分。</w:t>
      </w:r>
    </w:p>
    <w:p>
      <w:pPr>
        <w:pStyle w:val="87"/>
        <w:snapToGrid w:val="0"/>
        <w:spacing w:line="480" w:lineRule="exact"/>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综合评分法，是指响应文件满足磋商文件全部实质性要求且按评审因素的量化指标评审得分最高的供应商为成交候选供应商的评审方法。</w:t>
      </w:r>
    </w:p>
    <w:p>
      <w:pPr>
        <w:pStyle w:val="87"/>
        <w:snapToGrid w:val="0"/>
        <w:spacing w:line="480" w:lineRule="exact"/>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评审时，磋商小组各成员应当独立对每个有效响应的文件进行评价、打分，然后汇总每个供应商每项评分因素的得分。</w:t>
      </w:r>
    </w:p>
    <w:p>
      <w:pPr>
        <w:snapToGrid w:val="0"/>
        <w:spacing w:line="480" w:lineRule="exact"/>
        <w:ind w:firstLine="482" w:firstLineChars="200"/>
        <w:rPr>
          <w:b/>
          <w:color w:val="auto"/>
          <w:sz w:val="24"/>
        </w:rPr>
      </w:pPr>
      <w:r>
        <w:rPr>
          <w:b/>
          <w:color w:val="auto"/>
          <w:sz w:val="24"/>
        </w:rPr>
        <w:t>（一）审查响应文件的有效性、完整性、响应程度</w:t>
      </w:r>
    </w:p>
    <w:p>
      <w:pPr>
        <w:snapToGrid w:val="0"/>
        <w:spacing w:line="480" w:lineRule="exact"/>
        <w:ind w:firstLine="482" w:firstLineChars="200"/>
        <w:rPr>
          <w:b/>
          <w:color w:val="auto"/>
          <w:sz w:val="24"/>
        </w:rPr>
      </w:pPr>
      <w:r>
        <w:rPr>
          <w:b/>
          <w:color w:val="auto"/>
          <w:sz w:val="24"/>
        </w:rPr>
        <w:t>1、供应商资格是否符合;</w:t>
      </w:r>
    </w:p>
    <w:p>
      <w:pPr>
        <w:snapToGrid w:val="0"/>
        <w:spacing w:line="480" w:lineRule="exact"/>
        <w:ind w:firstLine="480" w:firstLineChars="200"/>
        <w:rPr>
          <w:color w:val="auto"/>
          <w:sz w:val="24"/>
        </w:rPr>
      </w:pPr>
      <w:r>
        <w:rPr>
          <w:color w:val="auto"/>
          <w:sz w:val="24"/>
        </w:rPr>
        <w:t>2、响应文件是否完整；</w:t>
      </w:r>
    </w:p>
    <w:p>
      <w:pPr>
        <w:snapToGrid w:val="0"/>
        <w:spacing w:line="480" w:lineRule="exact"/>
        <w:ind w:firstLine="480" w:firstLineChars="200"/>
        <w:rPr>
          <w:color w:val="auto"/>
          <w:sz w:val="24"/>
        </w:rPr>
      </w:pPr>
      <w:r>
        <w:rPr>
          <w:color w:val="auto"/>
          <w:sz w:val="24"/>
        </w:rPr>
        <w:t>3、响应文件是否恰当地签署；</w:t>
      </w:r>
    </w:p>
    <w:p>
      <w:pPr>
        <w:snapToGrid w:val="0"/>
        <w:spacing w:line="480" w:lineRule="exact"/>
        <w:ind w:firstLine="540"/>
        <w:rPr>
          <w:b/>
          <w:color w:val="auto"/>
          <w:sz w:val="24"/>
        </w:rPr>
      </w:pPr>
      <w:r>
        <w:rPr>
          <w:color w:val="auto"/>
          <w:sz w:val="24"/>
        </w:rPr>
        <w:t>4、是否作出实质性响应（</w:t>
      </w:r>
      <w:r>
        <w:rPr>
          <w:b/>
          <w:color w:val="auto"/>
          <w:sz w:val="24"/>
        </w:rPr>
        <w:t>是否有实质性响应，只根据响应文件本身，而不寻求外部证据）；</w:t>
      </w:r>
    </w:p>
    <w:p>
      <w:pPr>
        <w:snapToGrid w:val="0"/>
        <w:spacing w:line="480" w:lineRule="exact"/>
        <w:ind w:firstLine="480" w:firstLineChars="200"/>
        <w:rPr>
          <w:color w:val="auto"/>
          <w:sz w:val="24"/>
        </w:rPr>
      </w:pPr>
      <w:r>
        <w:rPr>
          <w:color w:val="auto"/>
          <w:sz w:val="24"/>
        </w:rPr>
        <w:t>5、是否有计算错误。</w:t>
      </w:r>
    </w:p>
    <w:p>
      <w:pPr>
        <w:snapToGrid w:val="0"/>
        <w:spacing w:line="480" w:lineRule="exact"/>
        <w:ind w:firstLine="482" w:firstLineChars="200"/>
        <w:rPr>
          <w:b/>
          <w:bCs/>
          <w:color w:val="auto"/>
          <w:sz w:val="24"/>
        </w:rPr>
      </w:pPr>
      <w:r>
        <w:rPr>
          <w:b/>
          <w:bCs/>
          <w:color w:val="auto"/>
          <w:sz w:val="24"/>
        </w:rPr>
        <w:t>（二）误差纠正</w:t>
      </w:r>
    </w:p>
    <w:p>
      <w:pPr>
        <w:snapToGrid w:val="0"/>
        <w:spacing w:line="480" w:lineRule="exact"/>
        <w:ind w:firstLine="480" w:firstLineChars="200"/>
        <w:rPr>
          <w:rFonts w:ascii="宋体" w:hAnsi="宋体"/>
          <w:color w:val="auto"/>
          <w:sz w:val="24"/>
        </w:rPr>
      </w:pPr>
      <w:r>
        <w:rPr>
          <w:rFonts w:hint="eastAsia" w:ascii="宋体" w:hAnsi="宋体"/>
          <w:color w:val="auto"/>
          <w:sz w:val="24"/>
        </w:rPr>
        <w:t>1、响应文件中报价表内容与响应文件中相应内容不一致的，以报价表为准；</w:t>
      </w:r>
    </w:p>
    <w:p>
      <w:pPr>
        <w:snapToGrid w:val="0"/>
        <w:spacing w:line="480" w:lineRule="exact"/>
        <w:ind w:firstLine="480" w:firstLineChars="200"/>
        <w:rPr>
          <w:rFonts w:ascii="宋体" w:hAnsi="宋体"/>
          <w:color w:val="auto"/>
          <w:sz w:val="24"/>
        </w:rPr>
      </w:pPr>
      <w:r>
        <w:rPr>
          <w:rFonts w:hint="eastAsia" w:ascii="宋体" w:hAnsi="宋体"/>
          <w:color w:val="auto"/>
          <w:sz w:val="24"/>
        </w:rPr>
        <w:t>2、大写金额和小写金额不一致的，以大写金额为准；</w:t>
      </w:r>
    </w:p>
    <w:p>
      <w:pPr>
        <w:snapToGrid w:val="0"/>
        <w:spacing w:line="480" w:lineRule="exact"/>
        <w:ind w:firstLine="480" w:firstLineChars="200"/>
        <w:rPr>
          <w:rFonts w:ascii="宋体" w:hAnsi="宋体"/>
          <w:color w:val="auto"/>
          <w:sz w:val="24"/>
        </w:rPr>
      </w:pPr>
      <w:r>
        <w:rPr>
          <w:rFonts w:hint="eastAsia" w:ascii="宋体" w:hAnsi="宋体"/>
          <w:color w:val="auto"/>
          <w:sz w:val="24"/>
        </w:rPr>
        <w:t>3、单价金额小数点或者百分比有明显错位的，以总价为准，并修改单价；</w:t>
      </w:r>
    </w:p>
    <w:p>
      <w:pPr>
        <w:snapToGrid w:val="0"/>
        <w:spacing w:line="480" w:lineRule="exact"/>
        <w:ind w:firstLine="480" w:firstLineChars="200"/>
        <w:rPr>
          <w:rFonts w:ascii="宋体" w:hAnsi="宋体"/>
          <w:color w:val="auto"/>
          <w:sz w:val="24"/>
        </w:rPr>
      </w:pPr>
      <w:r>
        <w:rPr>
          <w:rFonts w:hint="eastAsia" w:ascii="宋体" w:hAnsi="宋体"/>
          <w:color w:val="auto"/>
          <w:sz w:val="24"/>
        </w:rPr>
        <w:t>4、总价金额与按单价汇总金额不一致的，以单价金额计算结果为准。</w:t>
      </w:r>
    </w:p>
    <w:p>
      <w:pPr>
        <w:snapToGrid w:val="0"/>
        <w:spacing w:line="480" w:lineRule="exact"/>
        <w:ind w:firstLine="480" w:firstLineChars="200"/>
        <w:rPr>
          <w:color w:val="auto"/>
          <w:sz w:val="24"/>
        </w:rPr>
      </w:pPr>
      <w:r>
        <w:rPr>
          <w:rFonts w:hint="eastAsia" w:ascii="宋体" w:hAnsi="宋体"/>
          <w:color w:val="auto"/>
          <w:sz w:val="24"/>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b/>
          <w:color w:val="auto"/>
          <w:sz w:val="24"/>
        </w:rPr>
      </w:pPr>
      <w:r>
        <w:rPr>
          <w:b/>
          <w:color w:val="auto"/>
          <w:sz w:val="24"/>
        </w:rPr>
        <w:t>（三）出现下列情形之一的，作无效响应处理;</w:t>
      </w:r>
    </w:p>
    <w:p>
      <w:pPr>
        <w:snapToGrid w:val="0"/>
        <w:spacing w:line="480" w:lineRule="exact"/>
        <w:ind w:firstLine="570"/>
        <w:rPr>
          <w:color w:val="auto"/>
          <w:sz w:val="24"/>
        </w:rPr>
      </w:pPr>
      <w:r>
        <w:rPr>
          <w:color w:val="auto"/>
          <w:sz w:val="24"/>
        </w:rPr>
        <w:t>1、未按照磋商文件规定要求</w:t>
      </w:r>
      <w:r>
        <w:rPr>
          <w:rFonts w:hint="eastAsia"/>
          <w:color w:val="auto"/>
          <w:sz w:val="24"/>
        </w:rPr>
        <w:t>密封、</w:t>
      </w:r>
      <w:r>
        <w:rPr>
          <w:color w:val="auto"/>
          <w:sz w:val="24"/>
        </w:rPr>
        <w:t>签署、盖章的；</w:t>
      </w:r>
    </w:p>
    <w:p>
      <w:pPr>
        <w:snapToGrid w:val="0"/>
        <w:spacing w:line="480" w:lineRule="exact"/>
        <w:ind w:firstLine="570"/>
        <w:rPr>
          <w:color w:val="auto"/>
          <w:sz w:val="24"/>
        </w:rPr>
      </w:pPr>
      <w:r>
        <w:rPr>
          <w:color w:val="auto"/>
          <w:sz w:val="24"/>
        </w:rPr>
        <w:t>2、不具备磋商文件中规定的资格要求的；</w:t>
      </w:r>
    </w:p>
    <w:p>
      <w:pPr>
        <w:snapToGrid w:val="0"/>
        <w:spacing w:line="480" w:lineRule="exact"/>
        <w:ind w:firstLine="570"/>
        <w:rPr>
          <w:color w:val="auto"/>
          <w:sz w:val="24"/>
        </w:rPr>
      </w:pPr>
      <w:r>
        <w:rPr>
          <w:color w:val="auto"/>
          <w:sz w:val="24"/>
        </w:rPr>
        <w:t>3、响应报价超出预算的；</w:t>
      </w:r>
    </w:p>
    <w:p>
      <w:pPr>
        <w:snapToGrid w:val="0"/>
        <w:spacing w:line="480" w:lineRule="exact"/>
        <w:ind w:firstLine="570"/>
        <w:rPr>
          <w:color w:val="auto"/>
        </w:rPr>
      </w:pPr>
      <w:r>
        <w:rPr>
          <w:rFonts w:hint="eastAsia" w:ascii="宋体" w:hAnsi="宋体" w:cs="宋体"/>
          <w:color w:val="auto"/>
          <w:sz w:val="24"/>
        </w:rPr>
        <w:t>4、报价文件出现在其他响应文件中的；</w:t>
      </w:r>
    </w:p>
    <w:p>
      <w:pPr>
        <w:snapToGrid w:val="0"/>
        <w:spacing w:line="480" w:lineRule="exact"/>
        <w:ind w:firstLine="570"/>
        <w:rPr>
          <w:rFonts w:ascii="宋体" w:hAnsi="宋体" w:cs="宋体"/>
          <w:color w:val="auto"/>
          <w:sz w:val="24"/>
        </w:rPr>
      </w:pPr>
      <w:r>
        <w:rPr>
          <w:rFonts w:hint="eastAsia" w:ascii="宋体" w:hAnsi="宋体" w:cs="宋体"/>
          <w:color w:val="auto"/>
          <w:sz w:val="24"/>
        </w:rPr>
        <w:t>5、响应文件含有采购人不能接受的附加条件的；</w:t>
      </w:r>
    </w:p>
    <w:p>
      <w:pPr>
        <w:snapToGrid w:val="0"/>
        <w:spacing w:line="480" w:lineRule="exact"/>
        <w:ind w:firstLine="570"/>
        <w:rPr>
          <w:color w:val="auto"/>
          <w:sz w:val="24"/>
        </w:rPr>
      </w:pPr>
      <w:r>
        <w:rPr>
          <w:rFonts w:hint="eastAsia" w:ascii="宋体" w:hAnsi="宋体" w:cs="宋体"/>
          <w:color w:val="auto"/>
          <w:sz w:val="24"/>
        </w:rPr>
        <w:t>6、</w:t>
      </w:r>
      <w:r>
        <w:rPr>
          <w:color w:val="auto"/>
          <w:sz w:val="24"/>
        </w:rPr>
        <w:t>不符合法律、法规和磋商文件中规定的其他实质性要求的。</w:t>
      </w:r>
    </w:p>
    <w:p>
      <w:pPr>
        <w:snapToGrid w:val="0"/>
        <w:spacing w:line="480" w:lineRule="exact"/>
        <w:ind w:firstLine="570"/>
        <w:rPr>
          <w:b/>
          <w:color w:val="auto"/>
          <w:sz w:val="24"/>
        </w:rPr>
      </w:pPr>
      <w:r>
        <w:rPr>
          <w:b/>
          <w:color w:val="auto"/>
          <w:sz w:val="24"/>
        </w:rPr>
        <w:t>（四）出现下列情形之一的，</w:t>
      </w:r>
      <w:r>
        <w:rPr>
          <w:rFonts w:hint="eastAsia"/>
          <w:b/>
          <w:color w:val="auto"/>
          <w:sz w:val="24"/>
        </w:rPr>
        <w:t>作</w:t>
      </w:r>
      <w:r>
        <w:rPr>
          <w:b/>
          <w:color w:val="auto"/>
          <w:sz w:val="24"/>
        </w:rPr>
        <w:t>磋商失败</w:t>
      </w:r>
      <w:r>
        <w:rPr>
          <w:rFonts w:hint="eastAsia"/>
          <w:b/>
          <w:color w:val="auto"/>
          <w:sz w:val="24"/>
        </w:rPr>
        <w:t>处理；</w:t>
      </w:r>
    </w:p>
    <w:p>
      <w:pPr>
        <w:snapToGrid w:val="0"/>
        <w:spacing w:line="480" w:lineRule="exact"/>
        <w:ind w:firstLine="570"/>
        <w:rPr>
          <w:color w:val="auto"/>
          <w:sz w:val="24"/>
        </w:rPr>
      </w:pPr>
      <w:r>
        <w:rPr>
          <w:color w:val="auto"/>
          <w:sz w:val="24"/>
        </w:rPr>
        <w:t>1、符合条件的供应商或者对磋商文件作实质响应的供应商不足3家的（市场竞争不充分的科研项目，以及需要扶持的科技成果转化项目可以是2家）；</w:t>
      </w:r>
    </w:p>
    <w:p>
      <w:pPr>
        <w:snapToGrid w:val="0"/>
        <w:spacing w:line="480" w:lineRule="exact"/>
        <w:ind w:firstLine="555"/>
        <w:rPr>
          <w:color w:val="auto"/>
          <w:sz w:val="24"/>
        </w:rPr>
      </w:pPr>
      <w:r>
        <w:rPr>
          <w:color w:val="auto"/>
          <w:sz w:val="24"/>
        </w:rPr>
        <w:t>2、出现影响采购公正的违法违规行为的；</w:t>
      </w:r>
    </w:p>
    <w:p>
      <w:pPr>
        <w:snapToGrid w:val="0"/>
        <w:spacing w:line="480" w:lineRule="exact"/>
        <w:ind w:firstLine="555"/>
        <w:rPr>
          <w:color w:val="auto"/>
          <w:sz w:val="24"/>
        </w:rPr>
      </w:pPr>
      <w:r>
        <w:rPr>
          <w:color w:val="auto"/>
          <w:sz w:val="24"/>
        </w:rPr>
        <w:t>3、供应商的最后报价均超过了采购预算，采购人不能支付的；</w:t>
      </w:r>
    </w:p>
    <w:p>
      <w:pPr>
        <w:snapToGrid w:val="0"/>
        <w:spacing w:line="480" w:lineRule="exact"/>
        <w:ind w:firstLine="555"/>
        <w:rPr>
          <w:color w:val="auto"/>
          <w:sz w:val="24"/>
        </w:rPr>
      </w:pPr>
      <w:r>
        <w:rPr>
          <w:color w:val="auto"/>
          <w:sz w:val="24"/>
        </w:rPr>
        <w:t>4、因重大变故，采购任务取消的。</w:t>
      </w:r>
    </w:p>
    <w:p>
      <w:pPr>
        <w:snapToGrid w:val="0"/>
        <w:spacing w:line="480" w:lineRule="exact"/>
        <w:ind w:firstLine="555"/>
        <w:rPr>
          <w:color w:val="auto"/>
          <w:sz w:val="24"/>
        </w:rPr>
      </w:pPr>
      <w:r>
        <w:rPr>
          <w:color w:val="auto"/>
          <w:sz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snapToGrid w:val="0"/>
        <w:spacing w:line="360" w:lineRule="auto"/>
        <w:ind w:firstLine="482" w:firstLineChars="200"/>
        <w:jc w:val="left"/>
        <w:rPr>
          <w:b/>
          <w:bCs/>
          <w:color w:val="auto"/>
          <w:sz w:val="24"/>
        </w:rPr>
      </w:pPr>
      <w:r>
        <w:rPr>
          <w:b/>
          <w:bCs/>
          <w:color w:val="auto"/>
          <w:sz w:val="24"/>
        </w:rPr>
        <w:t>五、评审标准</w:t>
      </w:r>
    </w:p>
    <w:p>
      <w:pPr>
        <w:snapToGrid w:val="0"/>
        <w:spacing w:line="360" w:lineRule="auto"/>
        <w:ind w:firstLine="480" w:firstLineChars="200"/>
        <w:jc w:val="left"/>
        <w:rPr>
          <w:color w:val="auto"/>
          <w:sz w:val="24"/>
        </w:rPr>
      </w:pPr>
      <w:r>
        <w:rPr>
          <w:color w:val="auto"/>
          <w:sz w:val="24"/>
        </w:rPr>
        <w:t>技术商务部分评审结束后，再开启最后报价计算分值。总分值为100分，加分和减分因素除外。</w:t>
      </w:r>
    </w:p>
    <w:p>
      <w:pPr>
        <w:numPr>
          <w:ilvl w:val="0"/>
          <w:numId w:val="5"/>
        </w:numPr>
        <w:snapToGrid w:val="0"/>
        <w:spacing w:line="360" w:lineRule="auto"/>
        <w:ind w:left="482"/>
        <w:jc w:val="left"/>
        <w:rPr>
          <w:color w:val="auto"/>
        </w:rPr>
      </w:pPr>
      <w:r>
        <w:rPr>
          <w:b/>
          <w:bCs/>
          <w:color w:val="auto"/>
          <w:sz w:val="24"/>
        </w:rPr>
        <w:t>技术商务响应文件（满分</w:t>
      </w:r>
      <w:r>
        <w:rPr>
          <w:rFonts w:hint="eastAsia"/>
          <w:b/>
          <w:bCs/>
          <w:color w:val="auto"/>
          <w:sz w:val="24"/>
        </w:rPr>
        <w:t>90</w:t>
      </w:r>
      <w:r>
        <w:rPr>
          <w:b/>
          <w:bCs/>
          <w:color w:val="auto"/>
          <w:sz w:val="24"/>
        </w:rPr>
        <w:t>分）</w:t>
      </w:r>
    </w:p>
    <w:p>
      <w:pPr>
        <w:pStyle w:val="2"/>
        <w:ind w:firstLine="482"/>
        <w:rPr>
          <w:b/>
          <w:bCs/>
          <w:color w:val="auto"/>
          <w:sz w:val="24"/>
        </w:rPr>
      </w:pPr>
    </w:p>
    <w:tbl>
      <w:tblPr>
        <w:tblStyle w:val="53"/>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4"/>
        <w:gridCol w:w="680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2" w:hRule="atLeast"/>
        </w:trPr>
        <w:tc>
          <w:tcPr>
            <w:tcW w:w="510" w:type="dxa"/>
            <w:vAlign w:val="center"/>
          </w:tcPr>
          <w:p>
            <w:pPr>
              <w:widowControl/>
              <w:snapToGrid w:val="0"/>
              <w:jc w:val="center"/>
              <w:rPr>
                <w:rFonts w:ascii="宋体" w:hAnsi="宋体" w:cs="宋体"/>
                <w:b/>
                <w:bCs/>
                <w:color w:val="auto"/>
                <w:kern w:val="0"/>
                <w:sz w:val="24"/>
              </w:rPr>
            </w:pPr>
            <w:r>
              <w:rPr>
                <w:rFonts w:hint="eastAsia" w:ascii="宋体" w:hAnsi="宋体" w:cs="宋体"/>
                <w:b/>
                <w:bCs/>
                <w:color w:val="auto"/>
                <w:kern w:val="0"/>
                <w:sz w:val="24"/>
              </w:rPr>
              <w:t>序号</w:t>
            </w:r>
          </w:p>
        </w:tc>
        <w:tc>
          <w:tcPr>
            <w:tcW w:w="1264" w:type="dxa"/>
            <w:vAlign w:val="center"/>
          </w:tcPr>
          <w:p>
            <w:pPr>
              <w:widowControl/>
              <w:snapToGrid w:val="0"/>
              <w:jc w:val="center"/>
              <w:rPr>
                <w:rFonts w:ascii="宋体" w:hAnsi="宋体" w:cs="宋体"/>
                <w:b/>
                <w:bCs/>
                <w:color w:val="auto"/>
                <w:kern w:val="0"/>
                <w:sz w:val="24"/>
              </w:rPr>
            </w:pPr>
            <w:r>
              <w:rPr>
                <w:rFonts w:hint="eastAsia" w:ascii="宋体" w:hAnsi="宋体" w:cs="宋体"/>
                <w:b/>
                <w:bCs/>
                <w:color w:val="auto"/>
                <w:kern w:val="0"/>
                <w:sz w:val="24"/>
              </w:rPr>
              <w:t>评分</w:t>
            </w:r>
          </w:p>
          <w:p>
            <w:pPr>
              <w:widowControl/>
              <w:snapToGrid w:val="0"/>
              <w:jc w:val="center"/>
              <w:rPr>
                <w:rFonts w:ascii="宋体" w:hAnsi="宋体" w:cs="宋体"/>
                <w:b/>
                <w:bCs/>
                <w:color w:val="auto"/>
                <w:kern w:val="0"/>
                <w:sz w:val="24"/>
              </w:rPr>
            </w:pPr>
            <w:r>
              <w:rPr>
                <w:rFonts w:hint="eastAsia" w:ascii="宋体" w:hAnsi="宋体" w:cs="宋体"/>
                <w:b/>
                <w:bCs/>
                <w:color w:val="auto"/>
                <w:kern w:val="0"/>
                <w:sz w:val="24"/>
              </w:rPr>
              <w:t>因素</w:t>
            </w:r>
          </w:p>
        </w:tc>
        <w:tc>
          <w:tcPr>
            <w:tcW w:w="6804" w:type="dxa"/>
            <w:vAlign w:val="center"/>
          </w:tcPr>
          <w:p>
            <w:pPr>
              <w:widowControl/>
              <w:snapToGrid w:val="0"/>
              <w:jc w:val="center"/>
              <w:rPr>
                <w:rFonts w:ascii="宋体" w:hAnsi="宋体" w:cs="宋体"/>
                <w:b/>
                <w:bCs/>
                <w:color w:val="auto"/>
                <w:kern w:val="0"/>
                <w:sz w:val="24"/>
              </w:rPr>
            </w:pPr>
            <w:r>
              <w:rPr>
                <w:rFonts w:hint="eastAsia" w:ascii="宋体" w:hAnsi="宋体" w:cs="宋体"/>
                <w:b/>
                <w:bCs/>
                <w:color w:val="auto"/>
                <w:kern w:val="0"/>
                <w:sz w:val="24"/>
              </w:rPr>
              <w:t>评审标准</w:t>
            </w:r>
          </w:p>
        </w:tc>
        <w:tc>
          <w:tcPr>
            <w:tcW w:w="895" w:type="dxa"/>
            <w:vAlign w:val="center"/>
          </w:tcPr>
          <w:p>
            <w:pPr>
              <w:widowControl/>
              <w:snapToGrid w:val="0"/>
              <w:jc w:val="center"/>
              <w:rPr>
                <w:rFonts w:ascii="宋体" w:hAnsi="宋体" w:cs="宋体"/>
                <w:b/>
                <w:bCs/>
                <w:color w:val="auto"/>
                <w:kern w:val="0"/>
                <w:sz w:val="24"/>
              </w:rPr>
            </w:pPr>
            <w:r>
              <w:rPr>
                <w:rFonts w:hint="eastAsia" w:ascii="宋体" w:hAnsi="宋体" w:cs="宋体"/>
                <w:b/>
                <w:bCs/>
                <w:color w:val="auto"/>
                <w:kern w:val="0"/>
                <w:sz w:val="24"/>
              </w:rPr>
              <w:t>满分</w:t>
            </w:r>
          </w:p>
          <w:p>
            <w:pPr>
              <w:pStyle w:val="19"/>
              <w:snapToGrid w:val="0"/>
              <w:jc w:val="center"/>
              <w:rPr>
                <w:rFonts w:ascii="宋体" w:hAnsi="宋体" w:cs="宋体"/>
                <w:color w:val="auto"/>
                <w:sz w:val="24"/>
              </w:rPr>
            </w:pPr>
            <w:r>
              <w:rPr>
                <w:rFonts w:hint="eastAsia" w:ascii="宋体" w:hAnsi="宋体" w:cs="宋体"/>
                <w:b/>
                <w:bCs/>
                <w:color w:val="auto"/>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510" w:type="dxa"/>
            <w:vAlign w:val="center"/>
          </w:tcPr>
          <w:p>
            <w:pPr>
              <w:widowControl/>
              <w:spacing w:line="360" w:lineRule="exact"/>
              <w:jc w:val="center"/>
              <w:rPr>
                <w:rFonts w:ascii="宋体" w:hAnsi="宋体" w:cs="宋体"/>
                <w:color w:val="auto"/>
                <w:kern w:val="0"/>
                <w:sz w:val="24"/>
              </w:rPr>
            </w:pPr>
            <w:r>
              <w:rPr>
                <w:rFonts w:hint="eastAsia" w:ascii="宋体" w:hAnsi="宋体" w:cs="宋体"/>
                <w:color w:val="auto"/>
                <w:kern w:val="0"/>
                <w:sz w:val="24"/>
              </w:rPr>
              <w:t>1</w:t>
            </w:r>
          </w:p>
        </w:tc>
        <w:tc>
          <w:tcPr>
            <w:tcW w:w="1264"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企业综合实力</w:t>
            </w:r>
          </w:p>
        </w:tc>
        <w:tc>
          <w:tcPr>
            <w:tcW w:w="6804" w:type="dxa"/>
            <w:vAlign w:val="center"/>
          </w:tcPr>
          <w:p>
            <w:pPr>
              <w:spacing w:line="360" w:lineRule="auto"/>
              <w:rPr>
                <w:rFonts w:ascii="宋体" w:hAnsi="宋体" w:cs="宋体"/>
                <w:color w:val="auto"/>
                <w:sz w:val="24"/>
              </w:rPr>
            </w:pPr>
            <w:r>
              <w:rPr>
                <w:rFonts w:hint="eastAsia" w:ascii="宋体" w:hAnsi="宋体" w:cs="宋体"/>
                <w:color w:val="auto"/>
                <w:sz w:val="24"/>
              </w:rPr>
              <w:t>（一）供应商设有省级及以上环境科研方向重点实验室的，每有1个得2分，本项最多得4分。</w:t>
            </w:r>
          </w:p>
          <w:p>
            <w:pPr>
              <w:spacing w:line="360" w:lineRule="auto"/>
              <w:rPr>
                <w:rFonts w:ascii="宋体" w:hAnsi="宋体" w:cs="宋体"/>
                <w:color w:val="auto"/>
                <w:sz w:val="24"/>
              </w:rPr>
            </w:pPr>
            <w:r>
              <w:rPr>
                <w:rFonts w:hint="eastAsia" w:ascii="宋体" w:hAnsi="宋体" w:cs="宋体"/>
                <w:color w:val="auto"/>
                <w:sz w:val="24"/>
              </w:rPr>
              <w:t>（二）供应商在环境科研方面获得国家级环境保护科学技术奖或科技进步奖的，每有1个得2分，获得省级环境保护科学技术奖或科技进步奖的，每有1个得1分，本项最多得6分。</w:t>
            </w:r>
          </w:p>
          <w:p>
            <w:pPr>
              <w:spacing w:line="360" w:lineRule="auto"/>
              <w:rPr>
                <w:rFonts w:ascii="宋体" w:hAnsi="宋体" w:cs="宋体"/>
                <w:color w:val="auto"/>
                <w:sz w:val="24"/>
              </w:rPr>
            </w:pPr>
            <w:r>
              <w:rPr>
                <w:rFonts w:hint="eastAsia" w:ascii="宋体" w:hAnsi="宋体" w:cs="宋体"/>
                <w:color w:val="auto"/>
                <w:sz w:val="24"/>
              </w:rPr>
              <w:t>（三）供应商在碳达峰碳中和方面设立省级科技发展战略研究所的，得5分，本项最多得5分。</w:t>
            </w:r>
          </w:p>
          <w:p>
            <w:pPr>
              <w:pStyle w:val="19"/>
              <w:spacing w:line="360" w:lineRule="auto"/>
              <w:rPr>
                <w:rFonts w:ascii="宋体" w:hAnsi="宋体" w:cs="宋体"/>
                <w:b/>
                <w:color w:val="auto"/>
                <w:sz w:val="24"/>
              </w:rPr>
            </w:pPr>
            <w:r>
              <w:rPr>
                <w:rFonts w:hint="eastAsia" w:ascii="宋体" w:hAnsi="宋体" w:cs="宋体"/>
                <w:b/>
                <w:color w:val="auto"/>
                <w:sz w:val="24"/>
              </w:rPr>
              <w:t>以上（一）（二）（三）项均需提供证明材料复印件加盖投标人盖章，原件备查。</w:t>
            </w:r>
          </w:p>
        </w:tc>
        <w:tc>
          <w:tcPr>
            <w:tcW w:w="895" w:type="dxa"/>
            <w:vAlign w:val="center"/>
          </w:tcPr>
          <w:p>
            <w:pPr>
              <w:spacing w:line="360" w:lineRule="exact"/>
              <w:jc w:val="center"/>
              <w:rPr>
                <w:rFonts w:ascii="宋体" w:hAnsi="宋体" w:cs="宋体"/>
                <w:color w:val="auto"/>
                <w:sz w:val="24"/>
              </w:rPr>
            </w:pPr>
            <w:r>
              <w:rPr>
                <w:rFonts w:hint="eastAsia" w:ascii="宋体" w:hAnsi="宋体" w:cs="宋体"/>
                <w:color w:val="auto"/>
                <w:sz w:val="24"/>
              </w:rPr>
              <w:t xml:space="preserv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51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2</w:t>
            </w:r>
          </w:p>
        </w:tc>
        <w:tc>
          <w:tcPr>
            <w:tcW w:w="1264"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人员配备</w:t>
            </w:r>
          </w:p>
        </w:tc>
        <w:tc>
          <w:tcPr>
            <w:tcW w:w="6804" w:type="dxa"/>
            <w:vAlign w:val="center"/>
          </w:tcPr>
          <w:p>
            <w:pPr>
              <w:spacing w:line="360" w:lineRule="auto"/>
              <w:rPr>
                <w:rFonts w:ascii="宋体" w:hAnsi="宋体" w:cs="宋体"/>
                <w:color w:val="auto"/>
                <w:sz w:val="24"/>
              </w:rPr>
            </w:pPr>
            <w:r>
              <w:rPr>
                <w:rFonts w:hint="eastAsia" w:ascii="宋体" w:hAnsi="宋体" w:cs="宋体"/>
                <w:color w:val="auto"/>
                <w:sz w:val="24"/>
              </w:rPr>
              <w:t>1、项目负责人：项目负责人同时具备环境类高级职称（或副教授）及环评工程师资格证书的，得3分。（提供证书复印件）。</w:t>
            </w:r>
          </w:p>
          <w:p>
            <w:pPr>
              <w:spacing w:line="360" w:lineRule="auto"/>
              <w:rPr>
                <w:rFonts w:ascii="宋体" w:hAnsi="宋体" w:cs="宋体"/>
                <w:color w:val="auto"/>
                <w:sz w:val="24"/>
              </w:rPr>
            </w:pPr>
            <w:r>
              <w:rPr>
                <w:rFonts w:hint="eastAsia" w:ascii="宋体" w:hAnsi="宋体" w:cs="宋体"/>
                <w:color w:val="auto"/>
                <w:sz w:val="24"/>
              </w:rPr>
              <w:t>2、项目组成员中（不包含负责人），具有环境类高级职称（或副教授）的，每有一个得1分；具有环境类中级职称（或讲师）的，每有一个得0.5分；本项最多得12分。（提供证书复印件）。</w:t>
            </w:r>
          </w:p>
          <w:p>
            <w:pPr>
              <w:spacing w:line="360" w:lineRule="auto"/>
              <w:rPr>
                <w:rFonts w:ascii="宋体" w:hAnsi="宋体" w:cs="宋体"/>
                <w:color w:val="auto"/>
                <w:sz w:val="24"/>
              </w:rPr>
            </w:pPr>
            <w:r>
              <w:rPr>
                <w:rFonts w:hint="eastAsia" w:ascii="宋体" w:hAnsi="宋体" w:cs="宋体"/>
                <w:b/>
                <w:bCs/>
                <w:color w:val="auto"/>
                <w:sz w:val="24"/>
              </w:rPr>
              <w:t>以上人员不可重复计分，投标单位需提供为其缴纳的近三个月任一个月社保证明及相关证件复印件加盖公章，否则不得分。</w:t>
            </w:r>
          </w:p>
        </w:tc>
        <w:tc>
          <w:tcPr>
            <w:tcW w:w="895" w:type="dxa"/>
            <w:vAlign w:val="center"/>
          </w:tcPr>
          <w:p>
            <w:pPr>
              <w:spacing w:line="360" w:lineRule="exact"/>
              <w:jc w:val="center"/>
              <w:rPr>
                <w:rFonts w:ascii="宋体" w:hAnsi="宋体" w:cs="宋体"/>
                <w:color w:val="auto"/>
                <w:sz w:val="24"/>
              </w:rPr>
            </w:pPr>
            <w:r>
              <w:rPr>
                <w:rFonts w:hint="eastAsia" w:ascii="宋体" w:hAnsi="宋体" w:cs="宋体"/>
                <w:color w:val="auto"/>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51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3</w:t>
            </w:r>
          </w:p>
        </w:tc>
        <w:tc>
          <w:tcPr>
            <w:tcW w:w="1264"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项目实施方案</w:t>
            </w:r>
          </w:p>
        </w:tc>
        <w:tc>
          <w:tcPr>
            <w:tcW w:w="6804" w:type="dxa"/>
            <w:vAlign w:val="center"/>
          </w:tcPr>
          <w:p>
            <w:pPr>
              <w:spacing w:line="360" w:lineRule="auto"/>
              <w:rPr>
                <w:rFonts w:ascii="宋体" w:hAnsi="宋体" w:cs="宋体"/>
                <w:color w:val="auto"/>
                <w:sz w:val="24"/>
              </w:rPr>
            </w:pPr>
            <w:r>
              <w:rPr>
                <w:rFonts w:hint="eastAsia" w:ascii="宋体" w:hAnsi="宋体" w:cs="宋体"/>
                <w:color w:val="auto"/>
                <w:sz w:val="24"/>
              </w:rPr>
              <w:t>应包括但不限于结合崇川区实际情况分析碳排放现状特征，</w:t>
            </w:r>
            <w:r>
              <w:rPr>
                <w:rFonts w:hint="eastAsia" w:ascii="宋体" w:hAnsi="宋体" w:cs="宋体"/>
                <w:color w:val="auto"/>
                <w:sz w:val="24"/>
                <w:lang w:val="zh-CN"/>
              </w:rPr>
              <w:t>碳减排潜力管理研究</w:t>
            </w:r>
            <w:r>
              <w:rPr>
                <w:rFonts w:hint="eastAsia" w:ascii="宋体" w:hAnsi="宋体" w:cs="宋体"/>
                <w:color w:val="auto"/>
                <w:sz w:val="24"/>
              </w:rPr>
              <w:t>，科学制定碳达峰碳中和目标和路径，提出重点任务和保障措施等。</w:t>
            </w:r>
          </w:p>
          <w:p>
            <w:pPr>
              <w:spacing w:line="360" w:lineRule="auto"/>
              <w:rPr>
                <w:rFonts w:ascii="宋体" w:hAnsi="宋体" w:cs="宋体"/>
                <w:color w:val="auto"/>
                <w:sz w:val="24"/>
              </w:rPr>
            </w:pPr>
            <w:r>
              <w:rPr>
                <w:rFonts w:hint="eastAsia" w:ascii="宋体" w:hAnsi="宋体" w:cs="宋体"/>
                <w:color w:val="auto"/>
                <w:sz w:val="24"/>
              </w:rPr>
              <w:t>方案详细完整、科学合理、考虑周全、可实施性强的得15分；</w:t>
            </w:r>
          </w:p>
          <w:p>
            <w:pPr>
              <w:spacing w:line="360" w:lineRule="auto"/>
              <w:rPr>
                <w:rFonts w:ascii="宋体" w:hAnsi="宋体" w:cs="宋体"/>
                <w:color w:val="auto"/>
                <w:sz w:val="24"/>
              </w:rPr>
            </w:pPr>
            <w:r>
              <w:rPr>
                <w:rFonts w:hint="eastAsia" w:ascii="宋体" w:hAnsi="宋体" w:cs="宋体"/>
                <w:color w:val="auto"/>
                <w:sz w:val="24"/>
              </w:rPr>
              <w:t>方案较详细完整、科学合理、考虑较为周全、可实施性较强的得10分；</w:t>
            </w:r>
          </w:p>
          <w:p>
            <w:pPr>
              <w:spacing w:line="360" w:lineRule="auto"/>
              <w:rPr>
                <w:rFonts w:ascii="宋体" w:hAnsi="宋体" w:cs="宋体"/>
                <w:b/>
                <w:color w:val="auto"/>
                <w:sz w:val="24"/>
              </w:rPr>
            </w:pPr>
            <w:r>
              <w:rPr>
                <w:rFonts w:hint="eastAsia" w:ascii="宋体" w:hAnsi="宋体" w:cs="宋体"/>
                <w:color w:val="auto"/>
                <w:sz w:val="24"/>
              </w:rPr>
              <w:t>方案简单粗略，科学合理性一般、考虑周全性一般、可实施性一般的得5分；无具体内容得0分。</w:t>
            </w:r>
          </w:p>
        </w:tc>
        <w:tc>
          <w:tcPr>
            <w:tcW w:w="895" w:type="dxa"/>
            <w:vAlign w:val="center"/>
          </w:tcPr>
          <w:p>
            <w:pPr>
              <w:spacing w:line="360" w:lineRule="exact"/>
              <w:jc w:val="center"/>
              <w:rPr>
                <w:rFonts w:ascii="宋体" w:hAnsi="宋体" w:cs="宋体"/>
                <w:color w:val="auto"/>
                <w:sz w:val="24"/>
              </w:rPr>
            </w:pPr>
            <w:r>
              <w:rPr>
                <w:rFonts w:hint="eastAsia" w:ascii="宋体" w:hAnsi="宋体" w:cs="宋体"/>
                <w:color w:val="auto"/>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3" w:hRule="atLeast"/>
        </w:trPr>
        <w:tc>
          <w:tcPr>
            <w:tcW w:w="51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4</w:t>
            </w:r>
          </w:p>
        </w:tc>
        <w:tc>
          <w:tcPr>
            <w:tcW w:w="1264" w:type="dxa"/>
            <w:vAlign w:val="center"/>
          </w:tcPr>
          <w:p>
            <w:pPr>
              <w:widowControl/>
              <w:spacing w:line="360" w:lineRule="exact"/>
              <w:jc w:val="center"/>
              <w:rPr>
                <w:rFonts w:ascii="宋体" w:hAnsi="宋体" w:cs="宋体"/>
                <w:color w:val="auto"/>
                <w:sz w:val="24"/>
              </w:rPr>
            </w:pPr>
            <w:r>
              <w:rPr>
                <w:rFonts w:hint="eastAsia" w:ascii="宋体" w:hAnsi="宋体" w:cs="宋体"/>
                <w:color w:val="auto"/>
                <w:kern w:val="0"/>
                <w:sz w:val="24"/>
              </w:rPr>
              <w:t>项目难点与重点</w:t>
            </w:r>
          </w:p>
        </w:tc>
        <w:tc>
          <w:tcPr>
            <w:tcW w:w="6804" w:type="dxa"/>
            <w:vAlign w:val="center"/>
          </w:tcPr>
          <w:p>
            <w:pPr>
              <w:pStyle w:val="2"/>
              <w:spacing w:line="360" w:lineRule="auto"/>
              <w:ind w:left="0" w:leftChars="0" w:firstLine="0" w:firstLineChars="0"/>
              <w:rPr>
                <w:rFonts w:ascii="宋体" w:hAnsi="宋体" w:cs="宋体"/>
                <w:color w:val="auto"/>
                <w:sz w:val="24"/>
              </w:rPr>
            </w:pPr>
            <w:r>
              <w:rPr>
                <w:rFonts w:hint="eastAsia" w:ascii="宋体" w:hAnsi="宋体" w:cs="宋体"/>
                <w:color w:val="auto"/>
                <w:sz w:val="24"/>
              </w:rPr>
              <w:t>针对本项目在实施过程中，遇到的重难点问题进行分析，分析内容包含不限于崇川区各行业碳排放特征、重点行业的碳排放情况、绿色低碳转型发展趋势、深化重点行业节能降碳路径等问题的原</w:t>
            </w:r>
            <w:r>
              <w:rPr>
                <w:rFonts w:hint="eastAsia" w:ascii="宋体" w:hAnsi="宋体" w:cs="宋体"/>
                <w:color w:val="auto"/>
                <w:kern w:val="0"/>
                <w:sz w:val="24"/>
              </w:rPr>
              <w:t>因分析、工作目标和举措、保障措施，以上要点齐全无缺漏项、内容与要点相符、内容完善且能够适用于本项目的得15分；内容包含的要点齐全、内容与要点相符，但仅有纲要内容简略，未展开阐述的得10分；内容包含的要点有缺漏或内容存在错误的得5分；不提供不得分。</w:t>
            </w:r>
          </w:p>
        </w:tc>
        <w:tc>
          <w:tcPr>
            <w:tcW w:w="895" w:type="dxa"/>
            <w:vAlign w:val="center"/>
          </w:tcPr>
          <w:p>
            <w:pPr>
              <w:spacing w:line="340" w:lineRule="exact"/>
              <w:jc w:val="center"/>
              <w:rPr>
                <w:rFonts w:ascii="宋体" w:hAnsi="宋体" w:cs="宋体"/>
                <w:color w:val="auto"/>
                <w:sz w:val="24"/>
              </w:rPr>
            </w:pPr>
            <w:r>
              <w:rPr>
                <w:rFonts w:hint="eastAsia" w:ascii="宋体" w:hAnsi="宋体" w:cs="宋体"/>
                <w:color w:val="auto"/>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51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5</w:t>
            </w:r>
          </w:p>
        </w:tc>
        <w:tc>
          <w:tcPr>
            <w:tcW w:w="1264" w:type="dxa"/>
            <w:vAlign w:val="center"/>
          </w:tcPr>
          <w:p>
            <w:pPr>
              <w:widowControl/>
              <w:spacing w:line="360" w:lineRule="exact"/>
              <w:jc w:val="center"/>
              <w:rPr>
                <w:rFonts w:ascii="宋体" w:hAnsi="宋体" w:cs="宋体"/>
                <w:color w:val="auto"/>
                <w:sz w:val="24"/>
              </w:rPr>
            </w:pPr>
            <w:r>
              <w:rPr>
                <w:rFonts w:hint="eastAsia" w:ascii="宋体" w:hAnsi="宋体" w:cs="宋体"/>
                <w:color w:val="auto"/>
                <w:kern w:val="0"/>
                <w:sz w:val="24"/>
              </w:rPr>
              <w:t>工作进度计划安排</w:t>
            </w:r>
          </w:p>
        </w:tc>
        <w:tc>
          <w:tcPr>
            <w:tcW w:w="6804" w:type="dxa"/>
            <w:vAlign w:val="center"/>
          </w:tcPr>
          <w:p>
            <w:pPr>
              <w:spacing w:line="360" w:lineRule="auto"/>
              <w:rPr>
                <w:rFonts w:ascii="宋体" w:hAnsi="宋体" w:cs="宋体"/>
                <w:color w:val="auto"/>
                <w:sz w:val="24"/>
              </w:rPr>
            </w:pPr>
            <w:r>
              <w:rPr>
                <w:rFonts w:hint="eastAsia" w:ascii="宋体" w:hAnsi="宋体" w:cs="宋体"/>
                <w:color w:val="auto"/>
                <w:kern w:val="0"/>
                <w:sz w:val="24"/>
              </w:rPr>
              <w:t>供应商提供合理的项目进度计划，有具体的进度管理计划，人员管理计划、重点节点安排计划；针对以上每点，内容包含的要点齐全无缺漏项、内容与要点相符、内容完善且能够适用于本项目的得10分；内容包含的要点齐全、内容与要点相符，但仅有纲要内容简略，未展开具体阐述的得7分；内容包含的要点不齐全、内容与要点不相符，内容粗糙的得3分，不提供不得分。</w:t>
            </w:r>
          </w:p>
        </w:tc>
        <w:tc>
          <w:tcPr>
            <w:tcW w:w="895" w:type="dxa"/>
            <w:vAlign w:val="center"/>
          </w:tcPr>
          <w:p>
            <w:pPr>
              <w:spacing w:line="360" w:lineRule="exact"/>
              <w:jc w:val="center"/>
              <w:rPr>
                <w:rFonts w:ascii="宋体" w:hAnsi="宋体" w:cs="宋体"/>
                <w:color w:val="auto"/>
                <w:sz w:val="24"/>
              </w:rPr>
            </w:pPr>
            <w:r>
              <w:rPr>
                <w:rFonts w:hint="eastAsia" w:ascii="宋体" w:hAnsi="宋体" w:cs="宋体"/>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510" w:type="dxa"/>
            <w:vAlign w:val="center"/>
          </w:tcPr>
          <w:p>
            <w:pPr>
              <w:spacing w:line="276" w:lineRule="auto"/>
              <w:jc w:val="center"/>
              <w:rPr>
                <w:rFonts w:ascii="宋体" w:hAnsi="宋体" w:cs="宋体"/>
                <w:bCs/>
                <w:color w:val="auto"/>
                <w:sz w:val="24"/>
              </w:rPr>
            </w:pPr>
            <w:r>
              <w:rPr>
                <w:rFonts w:hint="eastAsia" w:ascii="宋体" w:hAnsi="宋体" w:cs="宋体"/>
                <w:bCs/>
                <w:color w:val="auto"/>
                <w:sz w:val="24"/>
              </w:rPr>
              <w:t>6</w:t>
            </w:r>
          </w:p>
        </w:tc>
        <w:tc>
          <w:tcPr>
            <w:tcW w:w="1264" w:type="dxa"/>
            <w:vAlign w:val="center"/>
          </w:tcPr>
          <w:p>
            <w:pPr>
              <w:spacing w:line="276" w:lineRule="auto"/>
              <w:rPr>
                <w:rFonts w:ascii="宋体" w:hAnsi="宋体" w:cs="宋体"/>
                <w:bCs/>
                <w:color w:val="auto"/>
                <w:sz w:val="24"/>
              </w:rPr>
            </w:pPr>
            <w:r>
              <w:rPr>
                <w:rFonts w:hint="eastAsia" w:ascii="宋体" w:hAnsi="宋体" w:cs="宋体"/>
                <w:color w:val="auto"/>
                <w:kern w:val="0"/>
                <w:sz w:val="24"/>
              </w:rPr>
              <w:t>针对本项目的档案记录方案</w:t>
            </w:r>
          </w:p>
        </w:tc>
        <w:tc>
          <w:tcPr>
            <w:tcW w:w="6804" w:type="dxa"/>
            <w:vAlign w:val="center"/>
          </w:tcPr>
          <w:p>
            <w:pPr>
              <w:snapToGrid w:val="0"/>
              <w:spacing w:line="360" w:lineRule="auto"/>
              <w:jc w:val="left"/>
              <w:outlineLvl w:val="2"/>
              <w:rPr>
                <w:rFonts w:ascii="宋体" w:hAnsi="宋体" w:cs="宋体"/>
                <w:color w:val="auto"/>
                <w:sz w:val="24"/>
              </w:rPr>
            </w:pPr>
            <w:r>
              <w:rPr>
                <w:rFonts w:hint="eastAsia" w:ascii="宋体" w:hAnsi="宋体" w:cs="宋体"/>
                <w:color w:val="auto"/>
                <w:kern w:val="0"/>
                <w:sz w:val="24"/>
              </w:rPr>
              <w:t>供应商提供日常巡查记录、企业调研和数据收集及其他服务活动</w:t>
            </w:r>
            <w:r>
              <w:rPr>
                <w:rFonts w:hint="eastAsia" w:ascii="宋体" w:hAnsi="宋体" w:cs="宋体"/>
                <w:color w:val="auto"/>
                <w:sz w:val="24"/>
              </w:rPr>
              <w:t>档案管理，</w:t>
            </w:r>
            <w:r>
              <w:rPr>
                <w:rFonts w:hint="eastAsia" w:ascii="宋体" w:hAnsi="宋体" w:cs="宋体"/>
                <w:color w:val="auto"/>
                <w:kern w:val="0"/>
                <w:sz w:val="24"/>
              </w:rPr>
              <w:t>针对以上每点，内容包含的要点齐全无缺漏项、内容与要点相符、内容完善且能够适用于本项目的得10分；内容包含的要点齐全、内容与要点相符，但仅有纲要内容简略，未展开具体阐述的得7分；内容包含的要点不齐全、内容与要点不相符，内容粗糙的得3分，不提供不得分。</w:t>
            </w:r>
          </w:p>
        </w:tc>
        <w:tc>
          <w:tcPr>
            <w:tcW w:w="895" w:type="dxa"/>
            <w:vAlign w:val="center"/>
          </w:tcPr>
          <w:p>
            <w:pPr>
              <w:spacing w:line="360" w:lineRule="exact"/>
              <w:jc w:val="center"/>
              <w:rPr>
                <w:rFonts w:ascii="宋体" w:hAnsi="宋体" w:cs="宋体"/>
                <w:color w:val="auto"/>
                <w:sz w:val="24"/>
              </w:rPr>
            </w:pPr>
            <w:r>
              <w:rPr>
                <w:rFonts w:hint="eastAsia" w:ascii="宋体" w:hAnsi="宋体" w:cs="宋体"/>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510" w:type="dxa"/>
            <w:vAlign w:val="center"/>
          </w:tcPr>
          <w:p>
            <w:pPr>
              <w:spacing w:line="276" w:lineRule="auto"/>
              <w:jc w:val="center"/>
              <w:rPr>
                <w:rFonts w:ascii="宋体" w:hAnsi="宋体" w:cs="宋体"/>
                <w:bCs/>
                <w:color w:val="auto"/>
                <w:sz w:val="24"/>
              </w:rPr>
            </w:pPr>
            <w:r>
              <w:rPr>
                <w:rFonts w:hint="eastAsia" w:ascii="宋体" w:hAnsi="宋体" w:cs="宋体"/>
                <w:bCs/>
                <w:color w:val="auto"/>
                <w:sz w:val="24"/>
              </w:rPr>
              <w:t>7</w:t>
            </w:r>
          </w:p>
        </w:tc>
        <w:tc>
          <w:tcPr>
            <w:tcW w:w="1264" w:type="dxa"/>
            <w:vAlign w:val="center"/>
          </w:tcPr>
          <w:p>
            <w:pPr>
              <w:spacing w:line="276" w:lineRule="auto"/>
              <w:rPr>
                <w:rFonts w:ascii="宋体" w:hAnsi="宋体" w:cs="宋体"/>
                <w:color w:val="auto"/>
                <w:kern w:val="0"/>
                <w:sz w:val="24"/>
              </w:rPr>
            </w:pPr>
            <w:r>
              <w:rPr>
                <w:rFonts w:hint="eastAsia" w:ascii="宋体" w:hAnsi="宋体" w:cs="宋体"/>
                <w:color w:val="auto"/>
                <w:kern w:val="0"/>
                <w:sz w:val="24"/>
              </w:rPr>
              <w:t>项目质控措施</w:t>
            </w:r>
          </w:p>
        </w:tc>
        <w:tc>
          <w:tcPr>
            <w:tcW w:w="6804"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对进度和质量保证措施进行阐述。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sz w:val="24"/>
              </w:rPr>
              <w:t>结合项目实际特点提出相应的报告质量保证措施</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（2）服务承诺保证措施（包含不限于是否为政府部门引导企业深化节能降碳工作提供切实可行的建议）</w:t>
            </w:r>
          </w:p>
          <w:p>
            <w:pPr>
              <w:snapToGrid w:val="0"/>
              <w:spacing w:line="360" w:lineRule="auto"/>
              <w:jc w:val="left"/>
              <w:outlineLvl w:val="2"/>
              <w:rPr>
                <w:rFonts w:ascii="宋体" w:hAnsi="宋体" w:cs="宋体"/>
                <w:color w:val="auto"/>
                <w:kern w:val="0"/>
                <w:sz w:val="24"/>
              </w:rPr>
            </w:pPr>
            <w:r>
              <w:rPr>
                <w:rFonts w:hint="eastAsia" w:ascii="宋体" w:hAnsi="宋体" w:cs="宋体"/>
                <w:color w:val="auto"/>
                <w:kern w:val="0"/>
                <w:sz w:val="24"/>
              </w:rPr>
              <w:t>针对以上每点，内容包含的要点齐全无缺漏项、内容与要点相符、内容完善且能够适用于本项目的得10分；内容包含的要点齐全、内容与要点相符，但仅有纲要内容简略，未展开阐述的得7分；内容包含的要点有缺漏或内容粗糙的得3分；未提供的不得分。</w:t>
            </w:r>
          </w:p>
        </w:tc>
        <w:tc>
          <w:tcPr>
            <w:tcW w:w="895" w:type="dxa"/>
            <w:vAlign w:val="center"/>
          </w:tcPr>
          <w:p>
            <w:pPr>
              <w:spacing w:line="360" w:lineRule="exact"/>
              <w:jc w:val="center"/>
              <w:rPr>
                <w:rFonts w:ascii="宋体" w:hAnsi="宋体" w:cs="宋体"/>
                <w:color w:val="auto"/>
                <w:sz w:val="24"/>
              </w:rPr>
            </w:pPr>
            <w:r>
              <w:rPr>
                <w:rFonts w:hint="eastAsia" w:ascii="宋体" w:hAnsi="宋体" w:cs="宋体"/>
                <w:color w:val="auto"/>
                <w:sz w:val="24"/>
              </w:rPr>
              <w:t>10</w:t>
            </w:r>
          </w:p>
        </w:tc>
      </w:tr>
    </w:tbl>
    <w:p>
      <w:pPr>
        <w:pStyle w:val="5"/>
        <w:rPr>
          <w:b/>
          <w:bCs/>
          <w:color w:val="auto"/>
          <w:sz w:val="24"/>
        </w:rPr>
      </w:pPr>
    </w:p>
    <w:p>
      <w:pPr>
        <w:snapToGrid w:val="0"/>
        <w:spacing w:before="156" w:beforeLines="50" w:line="360" w:lineRule="auto"/>
        <w:jc w:val="left"/>
        <w:rPr>
          <w:b/>
          <w:bCs/>
          <w:color w:val="auto"/>
          <w:sz w:val="24"/>
        </w:rPr>
      </w:pPr>
      <w:r>
        <w:rPr>
          <w:b/>
          <w:bCs/>
          <w:color w:val="auto"/>
          <w:sz w:val="24"/>
        </w:rPr>
        <w:t>（二）价格标（满分</w:t>
      </w:r>
      <w:r>
        <w:rPr>
          <w:rFonts w:hint="eastAsia"/>
          <w:b/>
          <w:bCs/>
          <w:color w:val="auto"/>
          <w:sz w:val="24"/>
        </w:rPr>
        <w:t>10</w:t>
      </w:r>
      <w:r>
        <w:rPr>
          <w:b/>
          <w:bCs/>
          <w:color w:val="auto"/>
          <w:sz w:val="24"/>
        </w:rPr>
        <w:t>分）</w:t>
      </w:r>
    </w:p>
    <w:p>
      <w:pPr>
        <w:snapToGrid w:val="0"/>
        <w:spacing w:line="360" w:lineRule="auto"/>
        <w:ind w:firstLine="480" w:firstLineChars="200"/>
        <w:jc w:val="left"/>
        <w:rPr>
          <w:color w:val="auto"/>
          <w:sz w:val="24"/>
        </w:rPr>
      </w:pPr>
      <w:r>
        <w:rPr>
          <w:color w:val="auto"/>
          <w:sz w:val="24"/>
        </w:rPr>
        <w:t>综合评分法中的价格分统一采用低价优先法计算，即满足磋商文件要求且最后报价最低的供应商的价格为评标基准价，其价格分为满分。其他供应商的价格分统一按照下列公式计算：</w:t>
      </w:r>
    </w:p>
    <w:p>
      <w:pPr>
        <w:snapToGrid w:val="0"/>
        <w:spacing w:line="360" w:lineRule="auto"/>
        <w:ind w:firstLine="480" w:firstLineChars="200"/>
        <w:jc w:val="left"/>
        <w:rPr>
          <w:color w:val="auto"/>
          <w:sz w:val="24"/>
        </w:rPr>
      </w:pPr>
      <w:r>
        <w:rPr>
          <w:color w:val="auto"/>
          <w:sz w:val="24"/>
        </w:rPr>
        <w:t>磋商报价得分=（评标基准价/最后磋商报价）×</w:t>
      </w:r>
      <w:r>
        <w:rPr>
          <w:rFonts w:hint="eastAsia"/>
          <w:color w:val="auto"/>
          <w:sz w:val="24"/>
        </w:rPr>
        <w:t>10</w:t>
      </w:r>
      <w:r>
        <w:rPr>
          <w:color w:val="auto"/>
          <w:sz w:val="24"/>
        </w:rPr>
        <w:t>%×100</w:t>
      </w:r>
    </w:p>
    <w:p>
      <w:pPr>
        <w:adjustRightInd w:val="0"/>
        <w:snapToGrid w:val="0"/>
        <w:spacing w:line="420" w:lineRule="exact"/>
        <w:ind w:firstLine="480" w:firstLineChars="200"/>
        <w:outlineLvl w:val="3"/>
        <w:rPr>
          <w:rFonts w:ascii="宋体" w:hAnsi="宋体"/>
          <w:color w:val="auto"/>
          <w:sz w:val="24"/>
        </w:rPr>
      </w:pPr>
      <w:r>
        <w:rPr>
          <w:color w:val="auto"/>
          <w:sz w:val="24"/>
        </w:rPr>
        <w:t>项目评审过程中，不得去掉最后报价中的最高报价和最低报价。</w:t>
      </w:r>
    </w:p>
    <w:p>
      <w:pPr>
        <w:pStyle w:val="58"/>
        <w:spacing w:line="480" w:lineRule="exact"/>
        <w:ind w:left="0" w:firstLine="0"/>
        <w:jc w:val="both"/>
        <w:rPr>
          <w:rFonts w:ascii="Times New Roman" w:hAnsi="Times New Roman"/>
          <w:b/>
          <w:color w:val="auto"/>
          <w:kern w:val="2"/>
        </w:rPr>
      </w:pPr>
      <w:r>
        <w:rPr>
          <w:rFonts w:ascii="Times New Roman" w:hAnsi="Times New Roman"/>
          <w:b/>
          <w:color w:val="auto"/>
        </w:rPr>
        <w:t>六</w:t>
      </w:r>
      <w:r>
        <w:rPr>
          <w:rFonts w:ascii="Times New Roman" w:hAnsi="Times New Roman"/>
          <w:color w:val="auto"/>
        </w:rPr>
        <w:t>、</w:t>
      </w:r>
      <w:r>
        <w:rPr>
          <w:rFonts w:ascii="Times New Roman" w:hAnsi="Times New Roman"/>
          <w:b/>
          <w:color w:val="auto"/>
          <w:kern w:val="2"/>
        </w:rPr>
        <w:t>政府采购政策功能落实</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1、小微型企业价格扣除</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（1）本项目对小型和微型企业产品给予10%的扣除价格，用扣除后的价格参与评审。</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（2）供应商需按照采购文件的要求提供相应的《中小企业声明函》。</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（3）企业标准请参照《关于印发中小企业划型标准规定的通知》（工信部联企业[2011]300号）文件规定自行填写。</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2、残疾人福利单位价格扣除</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（1）本项目对残疾人福利性单位视同小型、微型企业，给予10%的价格扣除，用扣除后的价格参与评审。</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（2）残疾人福利单位需按照采购文件的要求提供《残疾人福利性单位声明函》。</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（3）残疾人福利单位标准请参照《关于促进残疾人就业政府采购政策的通知》（财库〔2017〕141号）。</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3、监狱和戒毒企业价格扣除</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（1）本项目对监狱和戒毒企业（简称监狱企业）视同小型、微型企业，给予10%的价格扣除，用扣除后的价格参与评审。</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（3）监狱企业标准请参照《关于政府采购支持监狱企业发展有关问题的通知》（财库[2014]68号）。</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4、残疾人福利单位、监狱企业属于小型、微型企业的，不重复享受政策。</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5、绿色采购的采购政策</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（1）本项目对节能产品、环境标志产品实施品目清单范围的产品给予10%的价格扣除，用扣除后的价格参与评审。</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（2）供应商需按照采购文件的要求提供相应的《绿色采购的产品明细清单》及各产品认证证明材料。</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（3）绿色采购标准请参照《关于调整优化节能产品、环境标志产品政府采购执行机制的通知》（财库〔2019〕9号）。</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 xml:space="preserve">6、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7、联合体各方均为小型、微型企业（残疾人福利单位、监狱企业）的，联合体享受6%价格扣除，用扣除后的价格参与评审。</w:t>
      </w:r>
    </w:p>
    <w:p>
      <w:pPr>
        <w:snapToGrid w:val="0"/>
        <w:spacing w:line="480" w:lineRule="exact"/>
        <w:ind w:firstLine="555"/>
        <w:rPr>
          <w:rFonts w:ascii="宋体" w:hAnsi="宋体" w:cs="宋体"/>
          <w:bCs/>
          <w:color w:val="auto"/>
          <w:sz w:val="24"/>
        </w:rPr>
      </w:pPr>
      <w:r>
        <w:rPr>
          <w:rFonts w:hint="eastAsia" w:ascii="宋体" w:hAnsi="宋体" w:cs="宋体"/>
          <w:bCs/>
          <w:color w:val="auto"/>
          <w:sz w:val="24"/>
        </w:rPr>
        <w:t>8、根据《江苏省政府采购信用管理暂行办法》的规定，对有失信行为的供应商将根据信用评价结果按规定予以扣分或价格加成。</w:t>
      </w:r>
    </w:p>
    <w:p>
      <w:pPr>
        <w:snapToGrid w:val="0"/>
        <w:spacing w:line="480" w:lineRule="exact"/>
        <w:ind w:firstLine="555"/>
        <w:rPr>
          <w:b/>
          <w:color w:val="auto"/>
          <w:sz w:val="24"/>
        </w:rPr>
      </w:pPr>
      <w:r>
        <w:rPr>
          <w:b/>
          <w:color w:val="auto"/>
          <w:sz w:val="24"/>
        </w:rPr>
        <w:t>七、变更为其他方式采购的情形</w:t>
      </w:r>
    </w:p>
    <w:p>
      <w:pPr>
        <w:autoSpaceDE w:val="0"/>
        <w:autoSpaceDN w:val="0"/>
        <w:adjustRightInd w:val="0"/>
        <w:snapToGrid w:val="0"/>
        <w:spacing w:line="480" w:lineRule="exact"/>
        <w:ind w:firstLine="480" w:firstLineChars="200"/>
        <w:rPr>
          <w:color w:val="auto"/>
          <w:sz w:val="24"/>
          <w:lang w:val="zh-CN"/>
        </w:rPr>
      </w:pPr>
      <w:r>
        <w:rPr>
          <w:color w:val="auto"/>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color w:val="auto"/>
          <w:sz w:val="24"/>
          <w:lang w:val="zh-CN"/>
        </w:rPr>
        <w:t>磋商文件中对供应商资质、技术等要求，将作为</w:t>
      </w:r>
      <w:r>
        <w:rPr>
          <w:color w:val="auto"/>
          <w:sz w:val="24"/>
        </w:rPr>
        <w:t>其他</w:t>
      </w:r>
      <w:r>
        <w:rPr>
          <w:color w:val="auto"/>
          <w:sz w:val="24"/>
          <w:lang w:val="zh-CN"/>
        </w:rPr>
        <w:t>方式采购的基本要求和依据。原已经参加磋商并符合要求的供应商，根据自愿原则，参加</w:t>
      </w:r>
      <w:r>
        <w:rPr>
          <w:color w:val="auto"/>
          <w:sz w:val="24"/>
        </w:rPr>
        <w:t>其他</w:t>
      </w:r>
      <w:r>
        <w:rPr>
          <w:color w:val="auto"/>
          <w:sz w:val="24"/>
          <w:lang w:val="zh-CN"/>
        </w:rPr>
        <w:t>方式采购。</w:t>
      </w:r>
    </w:p>
    <w:p>
      <w:pPr>
        <w:pStyle w:val="87"/>
        <w:snapToGrid w:val="0"/>
        <w:spacing w:line="360" w:lineRule="auto"/>
        <w:ind w:firstLine="496"/>
        <w:contextualSpacing/>
        <w:rPr>
          <w:rFonts w:ascii="Times New Roman" w:hAnsi="Times New Roman" w:eastAsia="宋体"/>
          <w:color w:val="auto"/>
          <w:sz w:val="24"/>
          <w:szCs w:val="24"/>
        </w:rPr>
      </w:pPr>
      <w:r>
        <w:rPr>
          <w:rFonts w:ascii="Times New Roman" w:hAnsi="Times New Roman" w:eastAsia="宋体"/>
          <w:b/>
          <w:color w:val="auto"/>
          <w:sz w:val="24"/>
          <w:szCs w:val="24"/>
        </w:rPr>
        <w:t>八、出现下列情形之一的，竞争性磋商采购活动终止，发布项目终止公告并说明原因，重新开展采购活动：</w:t>
      </w:r>
    </w:p>
    <w:p>
      <w:pPr>
        <w:pStyle w:val="87"/>
        <w:snapToGrid w:val="0"/>
        <w:spacing w:line="360" w:lineRule="auto"/>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（一）因情况变化，不再符合规定的竞争性磋商采购方式适用情形的；</w:t>
      </w:r>
    </w:p>
    <w:p>
      <w:pPr>
        <w:pStyle w:val="87"/>
        <w:snapToGrid w:val="0"/>
        <w:spacing w:line="360" w:lineRule="auto"/>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（二）出现影响采购公正的违法、违规行为的；</w:t>
      </w:r>
    </w:p>
    <w:p>
      <w:pPr>
        <w:pStyle w:val="87"/>
        <w:snapToGrid w:val="0"/>
        <w:spacing w:line="360" w:lineRule="auto"/>
        <w:ind w:firstLine="480" w:firstLineChars="200"/>
        <w:contextualSpacing/>
        <w:rPr>
          <w:rFonts w:ascii="Times New Roman" w:hAnsi="Times New Roman" w:eastAsia="宋体"/>
          <w:color w:val="auto"/>
          <w:sz w:val="24"/>
          <w:szCs w:val="24"/>
        </w:rPr>
      </w:pPr>
      <w:r>
        <w:rPr>
          <w:rFonts w:ascii="Times New Roman" w:hAnsi="Times New Roman" w:eastAsia="宋体"/>
          <w:color w:val="auto"/>
          <w:sz w:val="24"/>
          <w:szCs w:val="24"/>
        </w:rPr>
        <w:t>（三）在采购过程中符合要求的供应商或者报价未超过采购预算的供应商不足3家的（市场竞争不充分的科研项目，以及需要扶持的科技成果转化项目除外）。</w:t>
      </w:r>
    </w:p>
    <w:p>
      <w:pPr>
        <w:autoSpaceDE w:val="0"/>
        <w:autoSpaceDN w:val="0"/>
        <w:adjustRightInd w:val="0"/>
        <w:snapToGrid w:val="0"/>
        <w:spacing w:line="360" w:lineRule="auto"/>
        <w:ind w:left="-178" w:right="210" w:firstLine="636"/>
        <w:rPr>
          <w:b/>
          <w:color w:val="auto"/>
          <w:sz w:val="24"/>
        </w:rPr>
      </w:pPr>
      <w:r>
        <w:rPr>
          <w:b/>
          <w:color w:val="auto"/>
          <w:sz w:val="24"/>
          <w:lang w:val="zh-CN"/>
        </w:rPr>
        <w:t>九、成交通知</w:t>
      </w:r>
    </w:p>
    <w:p>
      <w:pPr>
        <w:snapToGrid w:val="0"/>
        <w:spacing w:line="360" w:lineRule="auto"/>
        <w:ind w:firstLine="480" w:firstLineChars="200"/>
        <w:jc w:val="left"/>
        <w:outlineLvl w:val="0"/>
        <w:rPr>
          <w:rFonts w:ascii="宋体" w:hAnsi="宋体" w:cs="宋体"/>
          <w:color w:val="auto"/>
          <w:sz w:val="24"/>
        </w:rPr>
      </w:pPr>
      <w:r>
        <w:rPr>
          <w:rFonts w:hint="eastAsia" w:ascii="宋体" w:hAnsi="宋体" w:cs="宋体"/>
          <w:color w:val="auto"/>
          <w:sz w:val="24"/>
        </w:rPr>
        <w:t>成交结果在</w:t>
      </w:r>
      <w:r>
        <w:rPr>
          <w:rFonts w:hint="eastAsia"/>
          <w:color w:val="auto"/>
          <w:sz w:val="24"/>
          <w:lang w:val="zh-CN"/>
        </w:rPr>
        <w:t>崇川区人民政府网站</w:t>
      </w:r>
      <w:r>
        <w:rPr>
          <w:rFonts w:hint="eastAsia"/>
          <w:color w:val="auto"/>
          <w:sz w:val="24"/>
        </w:rPr>
        <w:t>-公告公示栏</w:t>
      </w:r>
      <w:r>
        <w:rPr>
          <w:rFonts w:hint="eastAsia" w:ascii="宋体" w:hAnsi="宋体" w:cs="宋体"/>
          <w:color w:val="auto"/>
          <w:sz w:val="24"/>
        </w:rPr>
        <w:t>公告，公告期限为1个工作日。《成交通知书》一经发出，采购人改变成交结果，或者成交供应商放弃成交的，各自承担相应的法律责任。《成交通知书》是采购合同的组成部分。</w:t>
      </w:r>
    </w:p>
    <w:p>
      <w:pPr>
        <w:snapToGrid w:val="0"/>
        <w:spacing w:line="360" w:lineRule="auto"/>
        <w:jc w:val="center"/>
        <w:outlineLvl w:val="0"/>
        <w:rPr>
          <w:rFonts w:ascii="宋体" w:hAnsi="宋体" w:cs="宋体"/>
          <w:color w:val="auto"/>
          <w:sz w:val="24"/>
        </w:rPr>
      </w:pPr>
    </w:p>
    <w:p>
      <w:pPr>
        <w:snapToGrid w:val="0"/>
        <w:spacing w:line="360" w:lineRule="auto"/>
        <w:jc w:val="center"/>
        <w:outlineLvl w:val="0"/>
        <w:rPr>
          <w:rFonts w:ascii="宋体" w:hAnsi="宋体" w:cs="宋体"/>
          <w:color w:val="auto"/>
          <w:sz w:val="24"/>
        </w:rPr>
      </w:pPr>
    </w:p>
    <w:p>
      <w:pPr>
        <w:pStyle w:val="24"/>
        <w:rPr>
          <w:rFonts w:ascii="宋体" w:hAnsi="宋体" w:cs="宋体"/>
          <w:color w:val="auto"/>
          <w:sz w:val="24"/>
        </w:rPr>
      </w:pPr>
    </w:p>
    <w:p>
      <w:pPr>
        <w:rPr>
          <w:rFonts w:ascii="宋体" w:hAnsi="宋体" w:cs="宋体"/>
          <w:color w:val="auto"/>
          <w:sz w:val="24"/>
        </w:rPr>
      </w:pPr>
    </w:p>
    <w:p>
      <w:pPr>
        <w:pStyle w:val="24"/>
        <w:rPr>
          <w:rFonts w:ascii="宋体" w:hAnsi="宋体" w:cs="宋体"/>
          <w:color w:val="auto"/>
          <w:sz w:val="24"/>
        </w:rPr>
      </w:pPr>
    </w:p>
    <w:p>
      <w:pPr>
        <w:rPr>
          <w:rFonts w:ascii="宋体" w:hAnsi="宋体" w:cs="宋体"/>
          <w:color w:val="auto"/>
          <w:sz w:val="24"/>
        </w:rPr>
      </w:pPr>
    </w:p>
    <w:p>
      <w:pPr>
        <w:pStyle w:val="24"/>
        <w:rPr>
          <w:rFonts w:ascii="宋体" w:hAnsi="宋体" w:cs="宋体"/>
          <w:color w:val="auto"/>
          <w:sz w:val="24"/>
        </w:rPr>
      </w:pPr>
    </w:p>
    <w:p>
      <w:pPr>
        <w:rPr>
          <w:rFonts w:ascii="宋体" w:hAnsi="宋体" w:cs="宋体"/>
          <w:color w:val="auto"/>
          <w:sz w:val="24"/>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pStyle w:val="18"/>
        <w:ind w:firstLine="240"/>
        <w:rPr>
          <w:rFonts w:ascii="宋体" w:hAnsi="宋体" w:cs="宋体"/>
          <w:color w:val="auto"/>
        </w:rPr>
      </w:pPr>
    </w:p>
    <w:p>
      <w:pPr>
        <w:snapToGrid w:val="0"/>
        <w:spacing w:line="360" w:lineRule="auto"/>
        <w:outlineLvl w:val="0"/>
        <w:rPr>
          <w:rFonts w:ascii="宋体" w:hAnsi="宋体" w:cs="宋体"/>
          <w:color w:val="auto"/>
          <w:sz w:val="24"/>
        </w:rPr>
      </w:pPr>
    </w:p>
    <w:p>
      <w:pPr>
        <w:pStyle w:val="5"/>
        <w:ind w:left="0" w:leftChars="0"/>
        <w:rPr>
          <w:rFonts w:ascii="宋体" w:hAnsi="宋体" w:cs="宋体"/>
          <w:color w:val="auto"/>
          <w:sz w:val="24"/>
        </w:rPr>
      </w:pPr>
    </w:p>
    <w:p>
      <w:pPr>
        <w:snapToGrid w:val="0"/>
        <w:spacing w:line="360" w:lineRule="auto"/>
        <w:jc w:val="center"/>
        <w:outlineLvl w:val="0"/>
        <w:rPr>
          <w:rFonts w:ascii="宋体" w:hAnsi="宋体" w:cs="宋体"/>
          <w:color w:val="auto"/>
          <w:sz w:val="24"/>
        </w:rPr>
      </w:pPr>
    </w:p>
    <w:p>
      <w:pPr>
        <w:snapToGrid w:val="0"/>
        <w:spacing w:line="360" w:lineRule="auto"/>
        <w:jc w:val="center"/>
        <w:outlineLvl w:val="0"/>
        <w:rPr>
          <w:rFonts w:ascii="仿宋_GB2312" w:hAnsi="宋体" w:eastAsia="仿宋_GB2312"/>
          <w:b/>
          <w:color w:val="auto"/>
          <w:sz w:val="36"/>
          <w:szCs w:val="36"/>
        </w:rPr>
      </w:pPr>
      <w:r>
        <w:rPr>
          <w:rFonts w:hint="eastAsia" w:ascii="仿宋_GB2312" w:hAnsi="宋体" w:eastAsia="仿宋_GB2312"/>
          <w:b/>
          <w:color w:val="auto"/>
          <w:sz w:val="36"/>
          <w:szCs w:val="36"/>
        </w:rPr>
        <w:t>第五部分  合同签订与验收付款</w:t>
      </w:r>
    </w:p>
    <w:p>
      <w:pPr>
        <w:snapToGrid w:val="0"/>
        <w:spacing w:line="480" w:lineRule="exact"/>
        <w:ind w:firstLine="472" w:firstLineChars="196"/>
        <w:jc w:val="left"/>
        <w:rPr>
          <w:b/>
          <w:color w:val="auto"/>
          <w:sz w:val="24"/>
        </w:rPr>
      </w:pPr>
    </w:p>
    <w:p>
      <w:pPr>
        <w:snapToGrid w:val="0"/>
        <w:spacing w:line="480" w:lineRule="exact"/>
        <w:ind w:firstLine="480" w:firstLineChars="200"/>
        <w:rPr>
          <w:color w:val="auto"/>
          <w:sz w:val="24"/>
          <w:lang w:val="zh-CN"/>
        </w:rPr>
      </w:pPr>
      <w:r>
        <w:rPr>
          <w:color w:val="auto"/>
          <w:sz w:val="24"/>
          <w:lang w:val="zh-CN"/>
        </w:rPr>
        <w:t>一、成交供应商和采购单位</w:t>
      </w:r>
      <w:r>
        <w:rPr>
          <w:rFonts w:hint="eastAsia" w:ascii="宋体" w:hAnsi="宋体"/>
          <w:color w:val="auto"/>
          <w:sz w:val="24"/>
        </w:rPr>
        <w:t>需在</w:t>
      </w:r>
      <w:r>
        <w:rPr>
          <w:color w:val="auto"/>
          <w:sz w:val="24"/>
          <w:lang w:val="zh-CN"/>
        </w:rPr>
        <w:t>《成交通知书》</w:t>
      </w:r>
      <w:r>
        <w:rPr>
          <w:rFonts w:hint="eastAsia"/>
          <w:color w:val="auto"/>
          <w:sz w:val="24"/>
        </w:rPr>
        <w:t>发出之日起30日内</w:t>
      </w:r>
      <w:r>
        <w:rPr>
          <w:rFonts w:hint="eastAsia" w:ascii="宋体" w:hAnsi="宋体"/>
          <w:color w:val="auto"/>
          <w:sz w:val="24"/>
        </w:rPr>
        <w:t>签订合同</w:t>
      </w:r>
      <w:r>
        <w:rPr>
          <w:color w:val="auto"/>
          <w:sz w:val="24"/>
          <w:lang w:val="zh-CN"/>
        </w:rPr>
        <w:t>。合同签订后成交供应商方可履约，否则引起的一切后果由成交人自行承担。</w:t>
      </w:r>
      <w:r>
        <w:rPr>
          <w:b/>
          <w:color w:val="auto"/>
          <w:sz w:val="24"/>
        </w:rPr>
        <w:t>纸质合同一式</w:t>
      </w:r>
      <w:r>
        <w:rPr>
          <w:rFonts w:hint="eastAsia"/>
          <w:b/>
          <w:color w:val="auto"/>
          <w:sz w:val="24"/>
        </w:rPr>
        <w:t>肆</w:t>
      </w:r>
      <w:r>
        <w:rPr>
          <w:b/>
          <w:color w:val="auto"/>
          <w:sz w:val="24"/>
        </w:rPr>
        <w:t>份，采购人、供应商各两份</w:t>
      </w:r>
      <w:r>
        <w:rPr>
          <w:b/>
          <w:bCs/>
          <w:color w:val="auto"/>
          <w:sz w:val="24"/>
        </w:rPr>
        <w:t>。</w:t>
      </w:r>
      <w:r>
        <w:rPr>
          <w:color w:val="auto"/>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firstLineChars="200"/>
        <w:rPr>
          <w:color w:val="auto"/>
          <w:sz w:val="24"/>
        </w:rPr>
      </w:pPr>
      <w:r>
        <w:rPr>
          <w:b/>
          <w:color w:val="auto"/>
          <w:sz w:val="24"/>
        </w:rPr>
        <w:t>二</w:t>
      </w:r>
      <w:r>
        <w:rPr>
          <w:color w:val="auto"/>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color w:val="auto"/>
          <w:sz w:val="24"/>
        </w:rPr>
      </w:pPr>
      <w:r>
        <w:rPr>
          <w:color w:val="auto"/>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color w:val="auto"/>
          <w:sz w:val="24"/>
        </w:rPr>
      </w:pPr>
      <w:r>
        <w:rPr>
          <w:color w:val="auto"/>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12"/>
        <w:kinsoku w:val="0"/>
        <w:topLinePunct/>
        <w:autoSpaceDE w:val="0"/>
        <w:autoSpaceDN w:val="0"/>
        <w:snapToGrid w:val="0"/>
        <w:spacing w:line="480" w:lineRule="exact"/>
        <w:ind w:right="210" w:firstLine="513" w:firstLineChars="214"/>
        <w:contextualSpacing/>
        <w:rPr>
          <w:b/>
          <w:color w:val="auto"/>
        </w:rPr>
      </w:pPr>
      <w:r>
        <w:rPr>
          <w:color w:val="auto"/>
          <w:lang w:val="zh-CN"/>
        </w:rPr>
        <w:t>五、</w:t>
      </w:r>
      <w:r>
        <w:rPr>
          <w:b/>
          <w:color w:val="auto"/>
        </w:rPr>
        <w:t>不响应付款方式的，视同响应文件无效处理。</w:t>
      </w:r>
      <w:r>
        <w:rPr>
          <w:rFonts w:hint="eastAsia"/>
          <w:b/>
          <w:color w:val="auto"/>
        </w:rPr>
        <w:t>实际付款方式以最终签订采购合同为准。</w:t>
      </w:r>
    </w:p>
    <w:p>
      <w:pPr>
        <w:pStyle w:val="12"/>
        <w:kinsoku w:val="0"/>
        <w:topLinePunct/>
        <w:autoSpaceDE w:val="0"/>
        <w:autoSpaceDN w:val="0"/>
        <w:snapToGrid w:val="0"/>
        <w:spacing w:line="480" w:lineRule="exact"/>
        <w:ind w:right="210" w:firstLine="480" w:firstLineChars="200"/>
        <w:contextualSpacing/>
        <w:rPr>
          <w:color w:val="auto"/>
          <w:lang w:val="zh-CN"/>
        </w:rPr>
      </w:pPr>
      <w:r>
        <w:rPr>
          <w:color w:val="auto"/>
        </w:rPr>
        <w:t>款项由采购人按相关财务支付规定办理支付手续。不得故意拖延支付时间。</w:t>
      </w:r>
    </w:p>
    <w:p>
      <w:pPr>
        <w:pStyle w:val="12"/>
        <w:kinsoku w:val="0"/>
        <w:topLinePunct/>
        <w:autoSpaceDE w:val="0"/>
        <w:autoSpaceDN w:val="0"/>
        <w:snapToGrid w:val="0"/>
        <w:spacing w:line="480" w:lineRule="exact"/>
        <w:ind w:right="210" w:firstLine="513" w:firstLineChars="214"/>
        <w:contextualSpacing/>
        <w:rPr>
          <w:color w:val="auto"/>
        </w:rPr>
      </w:pPr>
      <w:r>
        <w:rPr>
          <w:rFonts w:hint="eastAsia"/>
          <w:color w:val="auto"/>
        </w:rPr>
        <w:t>六、合同主要条款</w:t>
      </w:r>
    </w:p>
    <w:p>
      <w:pPr>
        <w:snapToGrid w:val="0"/>
        <w:spacing w:line="360" w:lineRule="auto"/>
        <w:ind w:firstLine="480" w:firstLineChars="200"/>
        <w:jc w:val="left"/>
        <w:rPr>
          <w:color w:val="auto"/>
          <w:sz w:val="24"/>
        </w:rPr>
      </w:pPr>
    </w:p>
    <w:p>
      <w:pPr>
        <w:snapToGrid w:val="0"/>
        <w:spacing w:line="360" w:lineRule="auto"/>
        <w:ind w:firstLine="480" w:firstLineChars="200"/>
        <w:jc w:val="left"/>
        <w:rPr>
          <w:color w:val="auto"/>
          <w:sz w:val="24"/>
        </w:rPr>
      </w:pPr>
    </w:p>
    <w:p>
      <w:pPr>
        <w:jc w:val="center"/>
        <w:rPr>
          <w:rFonts w:ascii="仿宋" w:hAnsi="仿宋" w:eastAsia="仿宋" w:cs="仿宋"/>
          <w:b/>
          <w:color w:val="auto"/>
          <w:w w:val="80"/>
          <w:kern w:val="44"/>
          <w:sz w:val="52"/>
          <w:szCs w:val="52"/>
        </w:rPr>
      </w:pPr>
    </w:p>
    <w:p>
      <w:pPr>
        <w:pStyle w:val="18"/>
        <w:ind w:firstLine="416"/>
        <w:rPr>
          <w:rFonts w:ascii="仿宋" w:hAnsi="仿宋" w:eastAsia="仿宋" w:cs="仿宋"/>
          <w:b/>
          <w:color w:val="auto"/>
          <w:w w:val="80"/>
          <w:kern w:val="44"/>
          <w:sz w:val="52"/>
          <w:szCs w:val="52"/>
        </w:rPr>
      </w:pPr>
    </w:p>
    <w:p>
      <w:pPr>
        <w:pStyle w:val="2"/>
        <w:ind w:left="0" w:leftChars="0" w:firstLine="0" w:firstLineChars="0"/>
        <w:rPr>
          <w:color w:val="auto"/>
        </w:rPr>
      </w:pPr>
    </w:p>
    <w:p>
      <w:pPr>
        <w:jc w:val="center"/>
        <w:rPr>
          <w:rFonts w:ascii="仿宋" w:hAnsi="仿宋" w:eastAsia="仿宋" w:cs="仿宋"/>
          <w:b/>
          <w:color w:val="auto"/>
          <w:w w:val="80"/>
          <w:kern w:val="44"/>
          <w:sz w:val="52"/>
          <w:szCs w:val="52"/>
        </w:rPr>
      </w:pPr>
      <w:r>
        <w:rPr>
          <w:rFonts w:hint="eastAsia" w:ascii="仿宋" w:hAnsi="仿宋" w:eastAsia="仿宋" w:cs="仿宋"/>
          <w:b/>
          <w:color w:val="auto"/>
          <w:w w:val="80"/>
          <w:kern w:val="44"/>
          <w:sz w:val="52"/>
          <w:szCs w:val="52"/>
        </w:rPr>
        <w:t>委托调研合同</w:t>
      </w:r>
    </w:p>
    <w:p>
      <w:pPr>
        <w:spacing w:line="360" w:lineRule="auto"/>
        <w:ind w:firstLine="480"/>
        <w:rPr>
          <w:rFonts w:ascii="宋体" w:hAnsi="宋体" w:cs="宋体"/>
          <w:color w:val="auto"/>
          <w:sz w:val="24"/>
        </w:rPr>
      </w:pPr>
      <w:r>
        <w:rPr>
          <w:rFonts w:hint="eastAsia" w:ascii="宋体" w:hAnsi="宋体" w:cs="宋体"/>
          <w:color w:val="auto"/>
          <w:sz w:val="24"/>
        </w:rPr>
        <w:t>采购单位（全称）：（简称甲方）</w:t>
      </w:r>
    </w:p>
    <w:p>
      <w:pPr>
        <w:spacing w:line="360" w:lineRule="auto"/>
        <w:ind w:firstLine="480"/>
        <w:rPr>
          <w:rFonts w:ascii="宋体" w:hAnsi="宋体" w:cs="宋体"/>
          <w:color w:val="auto"/>
          <w:sz w:val="24"/>
        </w:rPr>
      </w:pPr>
      <w:r>
        <w:rPr>
          <w:rFonts w:hint="eastAsia" w:ascii="宋体" w:hAnsi="宋体" w:cs="宋体"/>
          <w:color w:val="auto"/>
          <w:sz w:val="24"/>
        </w:rPr>
        <w:t>中 标 人（全称）：（简称乙方）</w:t>
      </w:r>
    </w:p>
    <w:p>
      <w:pPr>
        <w:spacing w:line="360" w:lineRule="auto"/>
        <w:ind w:firstLine="560"/>
        <w:rPr>
          <w:rFonts w:ascii="宋体" w:hAnsi="宋体" w:cs="宋体"/>
          <w:color w:val="auto"/>
          <w:sz w:val="24"/>
        </w:rPr>
      </w:pPr>
      <w:r>
        <w:rPr>
          <w:rFonts w:hint="eastAsia" w:ascii="宋体" w:hAnsi="宋体" w:cs="宋体"/>
          <w:color w:val="auto"/>
          <w:sz w:val="24"/>
        </w:rPr>
        <w:t>依照《中华人民共和国政府采购法》、《中华人民共和国民法典》及其他有关法律、行政法规，遵循平等、自愿、公平和诚实信用的原则，双方就</w:t>
      </w:r>
      <w:r>
        <w:rPr>
          <w:rFonts w:hint="eastAsia" w:ascii="宋体" w:hAnsi="宋体" w:cs="宋体"/>
          <w:color w:val="auto"/>
          <w:sz w:val="24"/>
          <w:u w:val="single"/>
        </w:rPr>
        <w:t>崇川区碳达峰实施方案（碳排放特征、碳减排潜力管理研究）采购项目</w:t>
      </w:r>
      <w:r>
        <w:rPr>
          <w:rFonts w:hint="eastAsia" w:ascii="宋体" w:hAnsi="宋体" w:cs="宋体"/>
          <w:color w:val="auto"/>
          <w:sz w:val="24"/>
        </w:rPr>
        <w:t>相关事项协商一致，达成如下合同条款：</w:t>
      </w:r>
    </w:p>
    <w:p>
      <w:pPr>
        <w:snapToGrid w:val="0"/>
        <w:spacing w:before="160" w:line="360" w:lineRule="auto"/>
        <w:ind w:firstLine="482"/>
        <w:rPr>
          <w:rFonts w:ascii="宋体" w:hAnsi="宋体" w:cs="宋体"/>
          <w:b/>
          <w:bCs/>
          <w:color w:val="auto"/>
          <w:sz w:val="24"/>
        </w:rPr>
      </w:pPr>
      <w:r>
        <w:rPr>
          <w:rFonts w:hint="eastAsia" w:ascii="宋体" w:hAnsi="宋体" w:cs="宋体"/>
          <w:b/>
          <w:bCs/>
          <w:color w:val="auto"/>
          <w:sz w:val="24"/>
        </w:rPr>
        <w:t>一、服务内容</w:t>
      </w:r>
    </w:p>
    <w:p>
      <w:pPr>
        <w:spacing w:line="360" w:lineRule="auto"/>
        <w:ind w:firstLine="480"/>
        <w:rPr>
          <w:rFonts w:ascii="宋体" w:hAnsi="宋体" w:cs="宋体"/>
          <w:color w:val="auto"/>
          <w:sz w:val="24"/>
        </w:rPr>
      </w:pPr>
      <w:r>
        <w:rPr>
          <w:rFonts w:hint="eastAsia" w:ascii="宋体" w:hAnsi="宋体" w:cs="宋体"/>
          <w:color w:val="auto"/>
          <w:sz w:val="24"/>
        </w:rPr>
        <w:t>1、乙方为甲方提供：</w:t>
      </w:r>
      <w:r>
        <w:rPr>
          <w:rFonts w:hint="eastAsia" w:ascii="宋体" w:hAnsi="宋体" w:cs="宋体"/>
          <w:color w:val="auto"/>
          <w:sz w:val="24"/>
          <w:u w:val="single"/>
        </w:rPr>
        <w:t>崇川区碳达峰实施方案（碳排放特征、碳减排潜力管理研究）</w:t>
      </w:r>
      <w:r>
        <w:rPr>
          <w:rFonts w:hint="eastAsia" w:ascii="宋体" w:hAnsi="宋体" w:cs="宋体"/>
          <w:color w:val="auto"/>
          <w:sz w:val="24"/>
        </w:rPr>
        <w:t>。</w:t>
      </w:r>
    </w:p>
    <w:p>
      <w:pPr>
        <w:spacing w:line="360" w:lineRule="auto"/>
        <w:ind w:firstLine="480"/>
        <w:rPr>
          <w:rFonts w:ascii="宋体" w:hAnsi="宋体" w:cs="宋体"/>
          <w:color w:val="auto"/>
          <w:sz w:val="24"/>
        </w:rPr>
      </w:pPr>
      <w:r>
        <w:rPr>
          <w:rFonts w:hint="eastAsia" w:ascii="宋体" w:hAnsi="宋体" w:cs="宋体"/>
          <w:color w:val="auto"/>
          <w:sz w:val="24"/>
        </w:rPr>
        <w:t>2、服务期限：合同签订之日至2024年底。</w:t>
      </w:r>
    </w:p>
    <w:p>
      <w:pPr>
        <w:spacing w:line="360" w:lineRule="auto"/>
        <w:ind w:firstLine="480"/>
        <w:rPr>
          <w:rFonts w:ascii="宋体" w:hAnsi="宋体" w:cs="宋体"/>
          <w:color w:val="auto"/>
          <w:sz w:val="24"/>
        </w:rPr>
      </w:pPr>
      <w:r>
        <w:rPr>
          <w:rFonts w:hint="eastAsia" w:ascii="宋体" w:hAnsi="宋体" w:cs="宋体"/>
          <w:color w:val="auto"/>
          <w:sz w:val="24"/>
        </w:rPr>
        <w:t>3、技术要求：详见磋商文件内容。</w:t>
      </w:r>
    </w:p>
    <w:p>
      <w:pPr>
        <w:spacing w:line="360" w:lineRule="auto"/>
        <w:ind w:firstLine="48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、工作重点：详见磋商文件内容。</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二、服务费用</w:t>
      </w:r>
    </w:p>
    <w:p>
      <w:pPr>
        <w:spacing w:line="360" w:lineRule="auto"/>
        <w:ind w:firstLine="480"/>
        <w:rPr>
          <w:rFonts w:ascii="宋体" w:hAnsi="宋体" w:cs="宋体"/>
          <w:color w:val="auto"/>
          <w:sz w:val="24"/>
        </w:rPr>
      </w:pPr>
      <w:r>
        <w:rPr>
          <w:rFonts w:hint="eastAsia" w:ascii="宋体" w:hAnsi="宋体" w:cs="宋体"/>
          <w:color w:val="auto"/>
          <w:sz w:val="24"/>
        </w:rPr>
        <w:t>1、服务费用（成交合同价）：人民币</w:t>
      </w:r>
      <w:r>
        <w:rPr>
          <w:rFonts w:ascii="宋体" w:hAnsi="宋体" w:cs="宋体"/>
          <w:color w:val="auto"/>
          <w:sz w:val="24"/>
          <w:u w:val="single"/>
        </w:rPr>
        <w:t xml:space="preserve">        </w:t>
      </w:r>
      <w:r>
        <w:rPr>
          <w:rFonts w:hint="eastAsia" w:ascii="宋体" w:hAnsi="宋体" w:cs="宋体"/>
          <w:color w:val="auto"/>
          <w:sz w:val="24"/>
        </w:rPr>
        <w:t>元（大写</w:t>
      </w:r>
      <w:r>
        <w:rPr>
          <w:rFonts w:ascii="宋体" w:hAnsi="宋体" w:cs="宋体"/>
          <w:color w:val="auto"/>
          <w:sz w:val="24"/>
          <w:u w:val="single"/>
        </w:rPr>
        <w:t xml:space="preserve">          </w:t>
      </w:r>
      <w:r>
        <w:rPr>
          <w:rFonts w:hint="eastAsia" w:ascii="宋体" w:hAnsi="宋体" w:cs="宋体"/>
          <w:color w:val="auto"/>
          <w:sz w:val="24"/>
        </w:rPr>
        <w:t>元整）。</w:t>
      </w:r>
    </w:p>
    <w:p>
      <w:pPr>
        <w:spacing w:line="360" w:lineRule="auto"/>
        <w:ind w:firstLine="480"/>
        <w:rPr>
          <w:rFonts w:ascii="宋体" w:hAnsi="宋体" w:cs="宋体"/>
          <w:color w:val="auto"/>
          <w:sz w:val="24"/>
        </w:rPr>
      </w:pPr>
      <w:r>
        <w:rPr>
          <w:rFonts w:hint="eastAsia" w:ascii="宋体" w:hAnsi="宋体" w:cs="宋体"/>
          <w:color w:val="auto"/>
          <w:sz w:val="24"/>
        </w:rPr>
        <w:t>2、以上费用包括响应及完成本项目所需的一切费用，包含但不限于人员费用（工资、福利、培训、社会保险等）、专用设备及其备品、备件、易耗品耗材、通讯和专用工具费用、税费、运输、保险、检测验收、技术评审、售后服务及管理费用、利润、税金、政策性文件规定及合同包含的所有风险、责任等各项应有费用。</w:t>
      </w:r>
    </w:p>
    <w:p>
      <w:pPr>
        <w:snapToGrid w:val="0"/>
        <w:spacing w:line="360" w:lineRule="auto"/>
        <w:ind w:firstLine="463" w:firstLineChars="192"/>
        <w:rPr>
          <w:rFonts w:ascii="宋体" w:hAnsi="宋体" w:cs="宋体"/>
          <w:b/>
          <w:bCs/>
          <w:color w:val="auto"/>
          <w:sz w:val="24"/>
        </w:rPr>
      </w:pPr>
      <w:r>
        <w:rPr>
          <w:rFonts w:hint="eastAsia" w:ascii="宋体" w:hAnsi="宋体" w:cs="宋体"/>
          <w:b/>
          <w:bCs/>
          <w:color w:val="auto"/>
          <w:sz w:val="24"/>
        </w:rPr>
        <w:t>三、服务目的及内容</w:t>
      </w:r>
    </w:p>
    <w:p>
      <w:pPr>
        <w:snapToGrid w:val="0"/>
        <w:spacing w:line="360" w:lineRule="auto"/>
        <w:ind w:left="420" w:leftChars="200"/>
        <w:rPr>
          <w:rFonts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rPr>
        <w:t>一</w:t>
      </w:r>
      <w:r>
        <w:rPr>
          <w:rFonts w:hint="eastAsia" w:ascii="宋体" w:hAnsi="宋体" w:cs="宋体"/>
          <w:b/>
          <w:bCs/>
          <w:color w:val="auto"/>
          <w:sz w:val="24"/>
          <w:lang w:val="zh-CN"/>
        </w:rPr>
        <w:t>）服务目的</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调查崇川区各行业碳排放特征，分析重点行业的碳排放情况，根据重点行业当前技术发展趋势，着眼“双碳”目标及绿色低碳转型形势，明确重点行业碳减排方向和重点，为政府部门引导企业深化节能降碳工作提供建议。</w:t>
      </w:r>
    </w:p>
    <w:p>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rPr>
        <w:t>（二）</w:t>
      </w:r>
      <w:r>
        <w:rPr>
          <w:rFonts w:hint="eastAsia" w:ascii="宋体" w:hAnsi="宋体" w:cs="宋体"/>
          <w:b/>
          <w:bCs/>
          <w:color w:val="auto"/>
          <w:sz w:val="24"/>
          <w:lang w:val="zh-CN"/>
        </w:rPr>
        <w:t>工作内容</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1.深入研究崇川区各行业用能及碳排放特征，以及相关的绿色技术发展趋势，开展企业调研和数据收集，摸清重点行业节能降碳情况。</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2.基于崇川区各重点行业当前工艺水平和技术发展趋势，明确重点行业降碳方向和重点，提出企业降碳改造意见，为政府部门引导企业深化节能降碳工作提供建议。</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3.提出深化重点行业节能降碳路径，探索新技术推进政府端节能降碳治理工作。</w:t>
      </w:r>
    </w:p>
    <w:p>
      <w:pPr>
        <w:snapToGrid w:val="0"/>
        <w:spacing w:line="360" w:lineRule="auto"/>
        <w:ind w:firstLine="463" w:firstLineChars="192"/>
        <w:rPr>
          <w:rFonts w:ascii="宋体" w:hAnsi="宋体" w:cs="宋体"/>
          <w:b/>
          <w:bCs/>
          <w:color w:val="auto"/>
          <w:sz w:val="24"/>
          <w:lang w:val="zh-CN"/>
        </w:rPr>
      </w:pPr>
      <w:r>
        <w:rPr>
          <w:rFonts w:hint="eastAsia" w:ascii="宋体" w:hAnsi="宋体" w:cs="宋体"/>
          <w:b/>
          <w:bCs/>
          <w:color w:val="auto"/>
          <w:sz w:val="24"/>
        </w:rPr>
        <w:t>（三）其他</w:t>
      </w:r>
      <w:r>
        <w:rPr>
          <w:rFonts w:hint="eastAsia" w:ascii="宋体" w:hAnsi="宋体" w:cs="宋体"/>
          <w:b/>
          <w:bCs/>
          <w:color w:val="auto"/>
          <w:sz w:val="24"/>
          <w:lang w:val="zh-CN"/>
        </w:rPr>
        <w:t>要求</w:t>
      </w:r>
    </w:p>
    <w:p>
      <w:pPr>
        <w:snapToGrid w:val="0"/>
        <w:spacing w:line="360" w:lineRule="auto"/>
        <w:ind w:firstLine="494" w:firstLineChars="206"/>
        <w:rPr>
          <w:rFonts w:ascii="宋体" w:hAnsi="宋体" w:cs="宋体"/>
          <w:bCs/>
          <w:color w:val="auto"/>
          <w:sz w:val="24"/>
        </w:rPr>
      </w:pPr>
      <w:r>
        <w:rPr>
          <w:rFonts w:hint="eastAsia" w:ascii="宋体" w:hAnsi="宋体" w:cs="宋体"/>
          <w:bCs/>
          <w:color w:val="auto"/>
          <w:sz w:val="24"/>
        </w:rPr>
        <w:t>1、甲方将视情组织对乙方及其服务人员工作成果质量进行评估，并对评估结果予以通报，服务质量直接与服务费挂钩。</w:t>
      </w:r>
    </w:p>
    <w:p>
      <w:pPr>
        <w:snapToGrid w:val="0"/>
        <w:spacing w:line="360" w:lineRule="auto"/>
        <w:ind w:firstLine="494" w:firstLineChars="206"/>
        <w:rPr>
          <w:rFonts w:ascii="宋体" w:hAnsi="宋体" w:cs="宋体"/>
          <w:bCs/>
          <w:color w:val="auto"/>
          <w:sz w:val="24"/>
        </w:rPr>
      </w:pPr>
      <w:r>
        <w:rPr>
          <w:rFonts w:hint="eastAsia" w:ascii="宋体" w:hAnsi="宋体" w:cs="宋体"/>
          <w:bCs/>
          <w:color w:val="auto"/>
          <w:sz w:val="24"/>
        </w:rPr>
        <w:t>2、出现严重不履行合同或不适当履行合同的，甲方有权单方面解除合同。</w:t>
      </w:r>
    </w:p>
    <w:p>
      <w:pPr>
        <w:snapToGrid w:val="0"/>
        <w:spacing w:line="360" w:lineRule="auto"/>
        <w:ind w:firstLine="494" w:firstLineChars="206"/>
        <w:rPr>
          <w:rFonts w:ascii="宋体" w:hAnsi="宋体" w:cs="宋体"/>
          <w:bCs/>
          <w:color w:val="auto"/>
          <w:sz w:val="24"/>
        </w:rPr>
      </w:pPr>
      <w:r>
        <w:rPr>
          <w:rFonts w:hint="eastAsia" w:ascii="宋体" w:hAnsi="宋体" w:cs="宋体"/>
          <w:bCs/>
          <w:color w:val="auto"/>
          <w:sz w:val="24"/>
        </w:rPr>
        <w:t>3、乙方及其派出的专家应当严格按照国家相关法律、法规开展企业调研和数据收集工作，应当恪守职业道德，遵循诚实守信的原则，对企业提供的资料及生产工艺、过程和技术等予以保密，不得泄露企业的商业秘密。</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四、付款方式</w:t>
      </w:r>
    </w:p>
    <w:p>
      <w:pPr>
        <w:spacing w:line="360" w:lineRule="auto"/>
        <w:ind w:firstLine="480"/>
        <w:rPr>
          <w:rFonts w:ascii="宋体" w:hAnsi="宋体" w:cs="宋体"/>
          <w:color w:val="auto"/>
          <w:sz w:val="24"/>
        </w:rPr>
      </w:pPr>
      <w:r>
        <w:rPr>
          <w:rFonts w:hint="eastAsia" w:ascii="宋体" w:hAnsi="宋体" w:cs="宋体"/>
          <w:color w:val="auto"/>
          <w:sz w:val="24"/>
          <w:lang w:val="zh-CN"/>
        </w:rPr>
        <w:t>1、合同签订后10个工作日内支付合同总价的50%作为启动经费，研究报告初稿完成后支付合同总价的</w:t>
      </w:r>
      <w:r>
        <w:rPr>
          <w:rFonts w:hint="eastAsia" w:ascii="宋体" w:hAnsi="宋体" w:cs="宋体"/>
          <w:color w:val="auto"/>
          <w:sz w:val="24"/>
        </w:rPr>
        <w:t>30%，研究报告通过专家评审并</w:t>
      </w:r>
      <w:r>
        <w:rPr>
          <w:rFonts w:hint="eastAsia" w:ascii="宋体" w:hAnsi="宋体" w:cs="宋体"/>
          <w:color w:val="auto"/>
          <w:sz w:val="24"/>
          <w:lang w:val="zh-CN"/>
        </w:rPr>
        <w:t>经甲方确认后支付合同总价的</w:t>
      </w:r>
      <w:r>
        <w:rPr>
          <w:rFonts w:hint="eastAsia" w:ascii="宋体" w:hAnsi="宋体" w:cs="宋体"/>
          <w:color w:val="auto"/>
          <w:sz w:val="24"/>
        </w:rPr>
        <w:t>20</w:t>
      </w:r>
      <w:r>
        <w:rPr>
          <w:rFonts w:hint="eastAsia" w:ascii="宋体" w:hAnsi="宋体" w:cs="宋体"/>
          <w:color w:val="auto"/>
          <w:sz w:val="24"/>
          <w:lang w:val="zh-CN"/>
        </w:rPr>
        <w:t>%</w:t>
      </w:r>
      <w:r>
        <w:rPr>
          <w:rFonts w:hint="eastAsia" w:ascii="宋体" w:hAnsi="宋体" w:cs="宋体"/>
          <w:color w:val="auto"/>
          <w:sz w:val="24"/>
        </w:rPr>
        <w:t>。</w:t>
      </w:r>
    </w:p>
    <w:p>
      <w:pPr>
        <w:pStyle w:val="2"/>
        <w:spacing w:line="360" w:lineRule="auto"/>
        <w:ind w:left="0" w:leftChars="0" w:firstLine="48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、付款信息</w:t>
      </w:r>
    </w:p>
    <w:p>
      <w:pPr>
        <w:pStyle w:val="2"/>
        <w:spacing w:line="360" w:lineRule="auto"/>
        <w:ind w:left="0" w:leftChars="0" w:firstLine="480"/>
        <w:rPr>
          <w:rFonts w:ascii="宋体" w:hAnsi="宋体" w:cs="宋体"/>
          <w:color w:val="auto"/>
          <w:sz w:val="24"/>
        </w:rPr>
      </w:pPr>
      <w:r>
        <w:rPr>
          <w:rFonts w:hint="eastAsia" w:ascii="宋体" w:hAnsi="宋体" w:cs="宋体"/>
          <w:color w:val="auto"/>
          <w:sz w:val="24"/>
        </w:rPr>
        <w:t>乙方户名：</w:t>
      </w:r>
      <w:r>
        <w:rPr>
          <w:rFonts w:ascii="宋体" w:hAnsi="宋体" w:cs="宋体"/>
          <w:color w:val="auto"/>
          <w:sz w:val="24"/>
          <w:u w:val="single"/>
        </w:rPr>
        <w:t xml:space="preserve">                  </w:t>
      </w:r>
    </w:p>
    <w:p>
      <w:pPr>
        <w:pStyle w:val="2"/>
        <w:spacing w:line="360" w:lineRule="auto"/>
        <w:ind w:left="0" w:leftChars="0" w:firstLine="480"/>
        <w:rPr>
          <w:rFonts w:ascii="宋体" w:hAnsi="宋体" w:cs="宋体"/>
          <w:color w:val="auto"/>
          <w:sz w:val="24"/>
        </w:rPr>
      </w:pPr>
      <w:r>
        <w:rPr>
          <w:rFonts w:hint="eastAsia" w:ascii="宋体" w:hAnsi="宋体" w:cs="宋体"/>
          <w:color w:val="auto"/>
          <w:sz w:val="24"/>
        </w:rPr>
        <w:t>开户行：</w:t>
      </w:r>
      <w:r>
        <w:rPr>
          <w:rFonts w:ascii="宋体" w:hAnsi="宋体" w:cs="宋体"/>
          <w:color w:val="auto"/>
          <w:sz w:val="24"/>
          <w:u w:val="single"/>
        </w:rPr>
        <w:t xml:space="preserve">                    </w:t>
      </w:r>
      <w:r>
        <w:rPr>
          <w:rFonts w:ascii="宋体" w:hAnsi="宋体" w:cs="宋体"/>
          <w:color w:val="auto"/>
          <w:sz w:val="24"/>
        </w:rPr>
        <w:t xml:space="preserve">  </w:t>
      </w:r>
    </w:p>
    <w:p>
      <w:pPr>
        <w:pStyle w:val="2"/>
        <w:spacing w:line="360" w:lineRule="auto"/>
        <w:ind w:left="0" w:leftChars="0" w:firstLine="480"/>
        <w:rPr>
          <w:rFonts w:ascii="宋体" w:hAnsi="宋体" w:cs="宋体"/>
          <w:color w:val="auto"/>
          <w:sz w:val="24"/>
        </w:rPr>
      </w:pPr>
      <w:r>
        <w:rPr>
          <w:rFonts w:hint="eastAsia" w:ascii="宋体" w:hAnsi="宋体" w:cs="宋体"/>
          <w:color w:val="auto"/>
          <w:sz w:val="24"/>
        </w:rPr>
        <w:t>乙方账号：</w:t>
      </w:r>
      <w:r>
        <w:rPr>
          <w:rFonts w:ascii="宋体" w:hAnsi="宋体" w:cs="宋体"/>
          <w:color w:val="auto"/>
          <w:sz w:val="24"/>
          <w:u w:val="single"/>
        </w:rPr>
        <w:t xml:space="preserve">                  </w:t>
      </w:r>
      <w:r>
        <w:rPr>
          <w:rFonts w:ascii="宋体" w:hAnsi="宋体" w:cs="宋体"/>
          <w:color w:val="auto"/>
          <w:sz w:val="24"/>
        </w:rPr>
        <w:t xml:space="preserve">  </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五、甲、乙双方权利和义务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1、甲方权利和义务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（1）甲方应当支持、配合乙方及人员开展服务工作，向乙方人员提供工作便利，提供与服务相关的现有文件、通知、记录和档案等资料；</w:t>
      </w:r>
    </w:p>
    <w:p>
      <w:pPr>
        <w:spacing w:line="360" w:lineRule="auto"/>
        <w:ind w:firstLine="480" w:firstLineChars="200"/>
        <w:rPr>
          <w:rFonts w:ascii="宋体" w:hAnsi="宋体" w:cs="宋体"/>
          <w:color w:val="auto"/>
          <w:sz w:val="24"/>
        </w:rPr>
      </w:pPr>
      <w:r>
        <w:rPr>
          <w:rFonts w:hint="eastAsia" w:ascii="宋体" w:hAnsi="宋体" w:cs="宋体"/>
          <w:color w:val="auto"/>
          <w:sz w:val="24"/>
        </w:rPr>
        <w:t>（2）甲方不得违反规定要求乙方对服务成果进行弄虚作假、出具虚假服务报告，甲方应主导检查工作。</w:t>
      </w:r>
    </w:p>
    <w:p>
      <w:pPr>
        <w:spacing w:line="360" w:lineRule="auto"/>
        <w:ind w:firstLine="480" w:firstLineChars="200"/>
        <w:rPr>
          <w:rFonts w:ascii="宋体" w:hAnsi="宋体" w:cs="宋体"/>
          <w:color w:val="auto"/>
          <w:sz w:val="24"/>
        </w:rPr>
      </w:pPr>
      <w:r>
        <w:rPr>
          <w:rFonts w:hint="eastAsia" w:ascii="宋体" w:hAnsi="宋体" w:cs="宋体"/>
          <w:color w:val="auto"/>
          <w:sz w:val="24"/>
        </w:rPr>
        <w:t>（3）甲方按协议约定向乙方及时支付工作费用。</w:t>
      </w:r>
    </w:p>
    <w:p>
      <w:pPr>
        <w:spacing w:line="360" w:lineRule="auto"/>
        <w:ind w:firstLine="480" w:firstLineChars="200"/>
        <w:rPr>
          <w:rFonts w:ascii="宋体" w:hAnsi="宋体" w:cs="宋体"/>
          <w:color w:val="auto"/>
          <w:sz w:val="24"/>
        </w:rPr>
      </w:pPr>
      <w:r>
        <w:rPr>
          <w:rFonts w:hint="eastAsia" w:ascii="宋体" w:hAnsi="宋体" w:cs="宋体"/>
          <w:color w:val="auto"/>
          <w:sz w:val="24"/>
        </w:rPr>
        <w:t>2、乙方权利和义务</w:t>
      </w:r>
    </w:p>
    <w:p>
      <w:pPr>
        <w:spacing w:line="360" w:lineRule="auto"/>
        <w:ind w:firstLine="480" w:firstLineChars="200"/>
        <w:rPr>
          <w:rFonts w:ascii="宋体" w:hAnsi="宋体" w:cs="宋体"/>
          <w:color w:val="auto"/>
          <w:sz w:val="24"/>
        </w:rPr>
      </w:pPr>
      <w:r>
        <w:rPr>
          <w:rFonts w:hint="eastAsia" w:ascii="宋体" w:hAnsi="宋体" w:cs="宋体"/>
          <w:color w:val="auto"/>
          <w:sz w:val="24"/>
        </w:rPr>
        <w:t>（1）乙方需严格按照国家相关的法律、法规、行业自律要求开展服务工作，对其服务内容负责；</w:t>
      </w:r>
    </w:p>
    <w:p>
      <w:pPr>
        <w:spacing w:line="360" w:lineRule="auto"/>
        <w:ind w:firstLine="480" w:firstLineChars="200"/>
        <w:rPr>
          <w:rFonts w:ascii="宋体" w:hAnsi="宋体" w:cs="宋体"/>
          <w:color w:val="auto"/>
          <w:sz w:val="24"/>
        </w:rPr>
      </w:pPr>
      <w:r>
        <w:rPr>
          <w:rFonts w:hint="eastAsia" w:ascii="宋体" w:hAnsi="宋体" w:cs="宋体"/>
          <w:color w:val="auto"/>
          <w:sz w:val="24"/>
        </w:rPr>
        <w:t>（2）乙方对甲方提供的资料及人员信息、过程等做好保密工作，乙方及其人员在从事服务活动中，应当恪守职业道德，遵循诚实守信的原则，不得泄露甲方委托服务的技术、商业秘密；</w:t>
      </w:r>
    </w:p>
    <w:p>
      <w:pPr>
        <w:spacing w:line="360" w:lineRule="auto"/>
        <w:ind w:firstLine="480" w:firstLineChars="200"/>
        <w:rPr>
          <w:rFonts w:ascii="宋体" w:hAnsi="宋体" w:cs="宋体"/>
          <w:color w:val="auto"/>
          <w:sz w:val="24"/>
        </w:rPr>
      </w:pPr>
      <w:r>
        <w:rPr>
          <w:rFonts w:hint="eastAsia" w:ascii="宋体" w:hAnsi="宋体" w:cs="宋体"/>
          <w:color w:val="auto"/>
          <w:sz w:val="24"/>
        </w:rPr>
        <w:t>（3）乙方及时将甲方委托的服务范围内工作情况书面提交至甲方，包括但不限于推进进展、存在问题、工作方案等方面情况；</w:t>
      </w:r>
    </w:p>
    <w:p>
      <w:pPr>
        <w:spacing w:line="360" w:lineRule="auto"/>
        <w:ind w:firstLine="480" w:firstLineChars="200"/>
        <w:rPr>
          <w:rFonts w:ascii="宋体" w:hAnsi="宋体" w:cs="宋体"/>
          <w:color w:val="auto"/>
          <w:sz w:val="24"/>
        </w:rPr>
      </w:pPr>
      <w:r>
        <w:rPr>
          <w:rFonts w:hint="eastAsia" w:ascii="宋体" w:hAnsi="宋体" w:cs="宋体"/>
          <w:color w:val="auto"/>
          <w:sz w:val="24"/>
        </w:rPr>
        <w:t>（4）乙方制定严密的工作计划，成立专业的服务团队，采取有效的技术措施和手段，确保服务工作顺利实施。</w:t>
      </w:r>
    </w:p>
    <w:p>
      <w:pPr>
        <w:spacing w:line="360" w:lineRule="auto"/>
        <w:ind w:firstLine="480" w:firstLineChars="200"/>
        <w:rPr>
          <w:rFonts w:ascii="宋体" w:hAnsi="宋体" w:cs="宋体"/>
          <w:color w:val="auto"/>
          <w:sz w:val="24"/>
        </w:rPr>
      </w:pPr>
      <w:r>
        <w:rPr>
          <w:rFonts w:hint="eastAsia" w:ascii="宋体" w:hAnsi="宋体" w:cs="宋体"/>
          <w:color w:val="auto"/>
          <w:sz w:val="24"/>
        </w:rPr>
        <w:t>（5）乙方应讲究职业道德，不得接受影响公正性的吃请或馈赠。</w:t>
      </w:r>
    </w:p>
    <w:p>
      <w:pPr>
        <w:spacing w:line="360" w:lineRule="auto"/>
        <w:ind w:firstLine="480" w:firstLineChars="200"/>
        <w:rPr>
          <w:rFonts w:ascii="宋体" w:hAnsi="宋体" w:cs="宋体"/>
          <w:color w:val="auto"/>
          <w:sz w:val="24"/>
        </w:rPr>
      </w:pPr>
      <w:r>
        <w:rPr>
          <w:rFonts w:hint="eastAsia" w:ascii="宋体" w:hAnsi="宋体" w:cs="宋体"/>
          <w:color w:val="auto"/>
          <w:sz w:val="24"/>
        </w:rPr>
        <w:t>（6）乙方应根据现场检查结果向甲方出具公正性的服务报告，不得弄虚作假、隐瞒发现的隐患或问题。</w:t>
      </w:r>
    </w:p>
    <w:p>
      <w:pPr>
        <w:spacing w:line="360" w:lineRule="auto"/>
        <w:ind w:firstLine="480" w:firstLineChars="200"/>
        <w:rPr>
          <w:rFonts w:ascii="宋体" w:hAnsi="宋体" w:cs="宋体"/>
          <w:color w:val="auto"/>
          <w:sz w:val="24"/>
        </w:rPr>
      </w:pPr>
      <w:r>
        <w:rPr>
          <w:rFonts w:hint="eastAsia" w:ascii="宋体" w:hAnsi="宋体" w:cs="宋体"/>
          <w:color w:val="auto"/>
          <w:sz w:val="24"/>
        </w:rPr>
        <w:t>（7）乙方自行负责自身人员人身和财产安全。</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六、违约责任</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1、甲方违约责任</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（1）甲方未按本协议书约定支付应予支付的费用，应当如数支付，同时乙方有权暂停开展相关工作。</w:t>
      </w:r>
    </w:p>
    <w:p>
      <w:pPr>
        <w:spacing w:line="360" w:lineRule="auto"/>
        <w:ind w:firstLine="480" w:firstLineChars="200"/>
        <w:rPr>
          <w:rFonts w:ascii="宋体" w:hAnsi="宋体" w:cs="宋体"/>
          <w:color w:val="auto"/>
          <w:sz w:val="24"/>
        </w:rPr>
      </w:pPr>
      <w:r>
        <w:rPr>
          <w:rFonts w:hint="eastAsia" w:ascii="宋体" w:hAnsi="宋体" w:cs="宋体"/>
          <w:color w:val="auto"/>
          <w:sz w:val="24"/>
        </w:rPr>
        <w:t>（2）因不可抗力导致甲方工作无法正常开展，免除甲方责任。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2、乙方违约责任</w:t>
      </w:r>
    </w:p>
    <w:p>
      <w:pPr>
        <w:spacing w:line="360" w:lineRule="auto"/>
        <w:ind w:firstLine="480" w:firstLineChars="200"/>
        <w:rPr>
          <w:rFonts w:ascii="宋体" w:hAnsi="宋体" w:cs="宋体"/>
          <w:color w:val="auto"/>
          <w:sz w:val="24"/>
          <w:lang w:val="zh-TW" w:eastAsia="zh-TW"/>
        </w:rPr>
      </w:pPr>
      <w:r>
        <w:rPr>
          <w:rFonts w:hint="eastAsia" w:ascii="宋体" w:hAnsi="宋体" w:cs="宋体"/>
          <w:color w:val="auto"/>
          <w:sz w:val="24"/>
        </w:rPr>
        <w:t>（1）未按本协议书约定履行服务工作要求的，</w:t>
      </w:r>
      <w:r>
        <w:rPr>
          <w:rFonts w:hint="eastAsia" w:ascii="宋体" w:hAnsi="宋体" w:cs="宋体"/>
          <w:color w:val="auto"/>
          <w:sz w:val="24"/>
          <w:lang w:val="zh-TW" w:eastAsia="zh-TW"/>
        </w:rPr>
        <w:t>如乙方</w:t>
      </w:r>
      <w:r>
        <w:rPr>
          <w:rFonts w:hint="eastAsia" w:ascii="宋体" w:hAnsi="宋体" w:cs="宋体"/>
          <w:color w:val="auto"/>
          <w:sz w:val="24"/>
        </w:rPr>
        <w:t>未按时按要求完成协助服务工作的，</w:t>
      </w:r>
      <w:r>
        <w:rPr>
          <w:rFonts w:hint="eastAsia" w:ascii="宋体" w:hAnsi="宋体" w:cs="宋体"/>
          <w:color w:val="auto"/>
          <w:sz w:val="24"/>
          <w:lang w:val="zh-TW" w:eastAsia="zh-TW"/>
        </w:rPr>
        <w:t>每</w:t>
      </w:r>
      <w:r>
        <w:rPr>
          <w:rFonts w:hint="eastAsia" w:ascii="宋体" w:hAnsi="宋体" w:cs="宋体"/>
          <w:color w:val="auto"/>
          <w:sz w:val="24"/>
        </w:rPr>
        <w:t>缺少</w:t>
      </w:r>
      <w:r>
        <w:rPr>
          <w:rFonts w:hint="eastAsia" w:ascii="宋体" w:hAnsi="宋体" w:cs="宋体"/>
          <w:color w:val="auto"/>
          <w:sz w:val="24"/>
          <w:lang w:val="zh-TW" w:eastAsia="zh-TW"/>
        </w:rPr>
        <w:t>一</w:t>
      </w:r>
      <w:r>
        <w:rPr>
          <w:rFonts w:hint="eastAsia" w:ascii="宋体" w:hAnsi="宋体" w:cs="宋体"/>
          <w:color w:val="auto"/>
          <w:sz w:val="24"/>
        </w:rPr>
        <w:t>条</w:t>
      </w:r>
      <w:r>
        <w:rPr>
          <w:rFonts w:hint="eastAsia" w:ascii="宋体" w:hAnsi="宋体" w:cs="宋体"/>
          <w:color w:val="auto"/>
          <w:sz w:val="24"/>
          <w:lang w:val="zh-TW" w:eastAsia="zh-TW"/>
        </w:rPr>
        <w:t>，甲方</w:t>
      </w:r>
      <w:r>
        <w:rPr>
          <w:rFonts w:hint="eastAsia" w:ascii="宋体" w:hAnsi="宋体" w:cs="宋体"/>
          <w:color w:val="auto"/>
          <w:sz w:val="24"/>
        </w:rPr>
        <w:t>有权扣除该项目合同总价款</w:t>
      </w:r>
      <w:r>
        <w:rPr>
          <w:rFonts w:hint="eastAsia" w:ascii="宋体" w:hAnsi="宋体" w:cs="宋体"/>
          <w:color w:val="auto"/>
          <w:sz w:val="24"/>
          <w:lang w:val="zh-TW" w:eastAsia="zh-TW"/>
        </w:rPr>
        <w:t>的</w:t>
      </w:r>
      <w:r>
        <w:rPr>
          <w:rFonts w:hint="eastAsia" w:ascii="宋体" w:hAnsi="宋体" w:cs="宋体"/>
          <w:color w:val="auto"/>
          <w:sz w:val="24"/>
        </w:rPr>
        <w:t>5%</w:t>
      </w:r>
      <w:r>
        <w:rPr>
          <w:rFonts w:hint="eastAsia" w:ascii="宋体" w:hAnsi="宋体" w:cs="宋体"/>
          <w:color w:val="auto"/>
          <w:sz w:val="24"/>
          <w:lang w:val="zh-TW"/>
        </w:rPr>
        <w:t>，</w:t>
      </w:r>
      <w:r>
        <w:rPr>
          <w:rFonts w:hint="eastAsia" w:ascii="宋体" w:hAnsi="宋体" w:cs="宋体"/>
          <w:color w:val="auto"/>
          <w:sz w:val="24"/>
        </w:rPr>
        <w:t>若连续两个季度未达到服务要求，甲方有权解除合同，同时除乙方已经开展的工作且经甲方确认的费用外，甲方不再支付其他剩余费用</w:t>
      </w:r>
      <w:r>
        <w:rPr>
          <w:rFonts w:hint="eastAsia" w:ascii="宋体" w:hAnsi="宋体" w:cs="宋体"/>
          <w:color w:val="auto"/>
          <w:sz w:val="24"/>
          <w:lang w:val="zh-TW" w:eastAsia="zh-TW"/>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（2）如乙方提供的服务不符合甲方要求的，乙方应按照甲方要求进行整改；如乙方拒绝整改或整改后仍不符合要求的，甲方有权解除本合同。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为确保合同执行质量，甲方有权随时核查乙方在协助服务工作中安排的专家是否具备相应资质。每次到场提供服务的技术专家应具备环境影响评价工程师、环保相关专业中级及以上职称证书、相关专家库成员证明等至少其中之一的资质证明，如经核查乙方安排的专家不具备相应资质，甲方有权要求乙方更换专家，如乙方拒绝更换或更换后的专家仍不具备相应资质的，甲方有权解除本合同、且不再支付其他剩余费用；</w:t>
      </w:r>
    </w:p>
    <w:p>
      <w:pPr>
        <w:spacing w:line="360" w:lineRule="auto"/>
        <w:ind w:firstLine="480" w:firstLineChars="200"/>
        <w:rPr>
          <w:rFonts w:ascii="宋体" w:hAnsi="宋体" w:cs="宋体"/>
          <w:color w:val="auto"/>
          <w:sz w:val="24"/>
        </w:rPr>
      </w:pPr>
      <w:r>
        <w:rPr>
          <w:rFonts w:hint="eastAsia" w:ascii="宋体" w:hAnsi="宋体" w:cs="宋体"/>
          <w:color w:val="auto"/>
          <w:sz w:val="24"/>
        </w:rPr>
        <w:t>（4）乙方安排专家陪同甲方工作人员对</w:t>
      </w:r>
      <w:r>
        <w:rPr>
          <w:rFonts w:hint="eastAsia" w:hAnsi="宋体" w:cs="宋体"/>
          <w:color w:val="auto"/>
          <w:sz w:val="24"/>
        </w:rPr>
        <w:t>企业</w:t>
      </w:r>
      <w:r>
        <w:rPr>
          <w:rFonts w:hint="eastAsia" w:ascii="宋体" w:hAnsi="宋体" w:cs="宋体"/>
          <w:color w:val="auto"/>
          <w:sz w:val="24"/>
        </w:rPr>
        <w:t>进行调查，不得与企业人员在甲方工作人员不知情的情况下单独联系，乙方不得单独进行对企业的检查或复查工作，不得直接向被查</w:t>
      </w:r>
      <w:r>
        <w:rPr>
          <w:rFonts w:hint="eastAsia" w:hAnsi="宋体" w:cs="宋体"/>
          <w:color w:val="auto"/>
          <w:sz w:val="24"/>
        </w:rPr>
        <w:t>企业</w:t>
      </w:r>
      <w:r>
        <w:rPr>
          <w:rFonts w:hint="eastAsia" w:ascii="宋体" w:hAnsi="宋体" w:cs="宋体"/>
          <w:color w:val="auto"/>
          <w:sz w:val="24"/>
        </w:rPr>
        <w:t>提出整改要求</w:t>
      </w:r>
      <w:r>
        <w:rPr>
          <w:rStyle w:val="49"/>
          <w:rFonts w:hint="eastAsia"/>
          <w:color w:val="auto"/>
        </w:rPr>
        <w:t>，</w:t>
      </w:r>
      <w:r>
        <w:rPr>
          <w:rFonts w:hint="eastAsia" w:ascii="宋体" w:hAnsi="宋体" w:cs="宋体"/>
          <w:color w:val="auto"/>
          <w:sz w:val="24"/>
        </w:rPr>
        <w:t>乙方不得向企业收取费用，且不得以该项目为由，开展此工作之外的工作。上述情况如经甲方发现，甲方有权解除本合同、且不再支付其他剩余费用，情节严重的将乙方单位列入“黑名单”，上报相关主管部门依法处理；</w:t>
      </w:r>
    </w:p>
    <w:p>
      <w:pPr>
        <w:spacing w:line="360" w:lineRule="auto"/>
        <w:ind w:firstLine="480" w:firstLineChars="200"/>
        <w:rPr>
          <w:rFonts w:ascii="宋体" w:hAnsi="宋体" w:cs="宋体"/>
          <w:color w:val="auto"/>
          <w:sz w:val="24"/>
          <w:lang w:val="zh-TW"/>
        </w:rPr>
      </w:pPr>
      <w:r>
        <w:rPr>
          <w:rFonts w:hint="eastAsia" w:ascii="宋体" w:hAnsi="宋体" w:cs="宋体"/>
          <w:color w:val="auto"/>
          <w:sz w:val="24"/>
        </w:rPr>
        <w:t>（5）因不可抗力导致乙方工作无法正常开展，免除乙方责任。</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七、项目联系人</w:t>
      </w:r>
    </w:p>
    <w:p>
      <w:pPr>
        <w:spacing w:line="360" w:lineRule="auto"/>
        <w:ind w:firstLine="480" w:firstLineChars="200"/>
        <w:rPr>
          <w:rFonts w:ascii="宋体" w:hAnsi="宋体" w:cs="宋体"/>
          <w:color w:val="auto"/>
          <w:sz w:val="24"/>
        </w:rPr>
      </w:pPr>
      <w:r>
        <w:rPr>
          <w:rFonts w:hint="eastAsia" w:ascii="宋体" w:hAnsi="宋体" w:cs="宋体"/>
          <w:color w:val="auto"/>
          <w:sz w:val="24"/>
        </w:rPr>
        <w:t>在托管服务期间，甲方指定</w:t>
      </w:r>
      <w:r>
        <w:rPr>
          <w:rFonts w:ascii="宋体" w:hAnsi="宋体" w:cs="宋体"/>
          <w:color w:val="auto"/>
          <w:sz w:val="24"/>
          <w:u w:val="single"/>
        </w:rPr>
        <w:t xml:space="preserve">        </w:t>
      </w:r>
      <w:r>
        <w:rPr>
          <w:rFonts w:hint="eastAsia" w:ascii="宋体" w:hAnsi="宋体" w:cs="宋体"/>
          <w:color w:val="auto"/>
          <w:sz w:val="24"/>
        </w:rPr>
        <w:t>为甲方项目联系人，乙方指定</w:t>
      </w:r>
      <w:r>
        <w:rPr>
          <w:rFonts w:ascii="宋体" w:hAnsi="宋体" w:cs="宋体"/>
          <w:color w:val="auto"/>
          <w:sz w:val="24"/>
          <w:u w:val="single"/>
        </w:rPr>
        <w:t xml:space="preserve">        </w:t>
      </w:r>
      <w:r>
        <w:rPr>
          <w:rFonts w:hint="eastAsia" w:ascii="宋体" w:hAnsi="宋体" w:cs="宋体"/>
          <w:color w:val="auto"/>
          <w:sz w:val="24"/>
        </w:rPr>
        <w:t>为乙方项目联系人。项目联系人承担以下责任：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1、及时沟通有关信息；</w:t>
      </w:r>
    </w:p>
    <w:p>
      <w:pPr>
        <w:spacing w:line="360" w:lineRule="auto"/>
        <w:ind w:firstLine="480" w:firstLineChars="200"/>
        <w:rPr>
          <w:rFonts w:ascii="宋体" w:hAnsi="宋体" w:cs="宋体"/>
          <w:color w:val="auto"/>
          <w:sz w:val="24"/>
        </w:rPr>
      </w:pPr>
      <w:r>
        <w:rPr>
          <w:rFonts w:hint="eastAsia" w:ascii="宋体" w:hAnsi="宋体" w:cs="宋体"/>
          <w:color w:val="auto"/>
          <w:sz w:val="24"/>
        </w:rPr>
        <w:t>2、负责本服务工作的具体对接、联络和反馈；</w:t>
      </w:r>
    </w:p>
    <w:p>
      <w:pPr>
        <w:spacing w:line="360" w:lineRule="auto"/>
        <w:ind w:firstLine="480" w:firstLineChars="200"/>
        <w:rPr>
          <w:rFonts w:ascii="宋体" w:hAnsi="宋体" w:cs="宋体"/>
          <w:color w:val="auto"/>
          <w:sz w:val="24"/>
        </w:rPr>
      </w:pPr>
      <w:r>
        <w:rPr>
          <w:rFonts w:hint="eastAsia" w:ascii="宋体" w:hAnsi="宋体" w:cs="宋体"/>
          <w:color w:val="auto"/>
          <w:sz w:val="24"/>
        </w:rPr>
        <w:t>3、为双方开展工作提供必要的条件。</w:t>
      </w:r>
    </w:p>
    <w:p>
      <w:pPr>
        <w:pStyle w:val="2"/>
        <w:spacing w:after="0" w:line="360" w:lineRule="auto"/>
        <w:ind w:left="0" w:leftChars="0" w:firstLine="480"/>
        <w:rPr>
          <w:rFonts w:ascii="宋体" w:hAnsi="宋体" w:cs="宋体"/>
          <w:color w:val="auto"/>
          <w:sz w:val="24"/>
        </w:rPr>
      </w:pPr>
      <w:r>
        <w:rPr>
          <w:rFonts w:hint="eastAsia" w:ascii="宋体" w:hAnsi="宋体" w:cs="宋体"/>
          <w:color w:val="auto"/>
          <w:sz w:val="24"/>
        </w:rPr>
        <w:t>4、甲方联系人：</w:t>
      </w:r>
      <w:r>
        <w:rPr>
          <w:rFonts w:ascii="宋体" w:hAnsi="宋体" w:cs="宋体"/>
          <w:color w:val="auto"/>
          <w:sz w:val="24"/>
          <w:u w:val="single"/>
        </w:rPr>
        <w:t xml:space="preserve">                 </w:t>
      </w:r>
      <w:r>
        <w:rPr>
          <w:rFonts w:ascii="宋体" w:hAnsi="宋体" w:cs="宋体"/>
          <w:color w:val="auto"/>
          <w:sz w:val="24"/>
        </w:rPr>
        <w:t xml:space="preserve">         </w:t>
      </w:r>
      <w:r>
        <w:rPr>
          <w:rFonts w:hint="eastAsia" w:ascii="宋体" w:hAnsi="宋体" w:cs="宋体"/>
          <w:color w:val="auto"/>
          <w:sz w:val="24"/>
        </w:rPr>
        <w:t>乙方联系人：</w:t>
      </w:r>
      <w:r>
        <w:rPr>
          <w:rFonts w:ascii="宋体" w:hAnsi="宋体" w:cs="宋体"/>
          <w:color w:val="auto"/>
          <w:sz w:val="24"/>
          <w:u w:val="single"/>
        </w:rPr>
        <w:t xml:space="preserve">                  </w:t>
      </w:r>
    </w:p>
    <w:p>
      <w:pPr>
        <w:pStyle w:val="5"/>
        <w:spacing w:after="0" w:line="360" w:lineRule="auto"/>
        <w:ind w:left="0" w:leftChars="0" w:firstLine="840" w:firstLineChars="350"/>
        <w:rPr>
          <w:rFonts w:ascii="宋体" w:hAnsi="宋体" w:cs="宋体"/>
          <w:color w:val="auto"/>
          <w:kern w:val="2"/>
          <w:sz w:val="24"/>
          <w:szCs w:val="24"/>
        </w:rPr>
      </w:pPr>
      <w:r>
        <w:rPr>
          <w:rFonts w:hint="eastAsia" w:ascii="宋体" w:hAnsi="宋体" w:cs="宋体"/>
          <w:color w:val="auto"/>
          <w:kern w:val="2"/>
          <w:sz w:val="24"/>
          <w:szCs w:val="24"/>
        </w:rPr>
        <w:t>联系电话：</w:t>
      </w:r>
      <w:r>
        <w:rPr>
          <w:rFonts w:ascii="宋体" w:hAnsi="宋体" w:cs="宋体"/>
          <w:color w:val="auto"/>
          <w:kern w:val="2"/>
          <w:sz w:val="24"/>
          <w:szCs w:val="24"/>
          <w:u w:val="single"/>
        </w:rPr>
        <w:t xml:space="preserve">                   </w:t>
      </w:r>
      <w:r>
        <w:rPr>
          <w:rFonts w:ascii="宋体" w:hAnsi="宋体" w:cs="宋体"/>
          <w:color w:val="auto"/>
          <w:kern w:val="2"/>
          <w:sz w:val="24"/>
          <w:szCs w:val="24"/>
        </w:rPr>
        <w:t xml:space="preserve">         </w:t>
      </w:r>
      <w:r>
        <w:rPr>
          <w:rFonts w:hint="eastAsia" w:ascii="宋体" w:hAnsi="宋体" w:cs="宋体"/>
          <w:color w:val="auto"/>
          <w:kern w:val="2"/>
          <w:sz w:val="24"/>
          <w:szCs w:val="24"/>
        </w:rPr>
        <w:t>联系电话：</w:t>
      </w:r>
      <w:r>
        <w:rPr>
          <w:rFonts w:ascii="宋体" w:hAnsi="宋体" w:cs="宋体"/>
          <w:color w:val="auto"/>
          <w:kern w:val="2"/>
          <w:sz w:val="24"/>
          <w:szCs w:val="24"/>
          <w:u w:val="single"/>
        </w:rPr>
        <w:t xml:space="preserve">                    </w:t>
      </w:r>
      <w:r>
        <w:rPr>
          <w:rFonts w:ascii="宋体" w:hAnsi="宋体" w:cs="宋体"/>
          <w:color w:val="auto"/>
          <w:kern w:val="2"/>
          <w:sz w:val="24"/>
          <w:szCs w:val="24"/>
        </w:rPr>
        <w:t xml:space="preserve"> </w:t>
      </w:r>
    </w:p>
    <w:p>
      <w:pPr>
        <w:pStyle w:val="5"/>
        <w:spacing w:after="0" w:line="360" w:lineRule="auto"/>
        <w:ind w:left="0" w:leftChars="0" w:firstLine="840" w:firstLineChars="350"/>
        <w:rPr>
          <w:rFonts w:ascii="宋体" w:hAnsi="宋体" w:cs="宋体"/>
          <w:color w:val="auto"/>
          <w:sz w:val="24"/>
        </w:rPr>
      </w:pPr>
      <w:r>
        <w:rPr>
          <w:rFonts w:hint="eastAsia" w:ascii="宋体" w:hAnsi="宋体" w:cs="宋体"/>
          <w:color w:val="auto"/>
          <w:kern w:val="2"/>
          <w:sz w:val="24"/>
          <w:szCs w:val="24"/>
        </w:rPr>
        <w:t>通讯地址：</w:t>
      </w:r>
      <w:r>
        <w:rPr>
          <w:rFonts w:ascii="宋体" w:hAnsi="宋体" w:cs="宋体"/>
          <w:color w:val="auto"/>
          <w:kern w:val="2"/>
          <w:sz w:val="24"/>
          <w:szCs w:val="24"/>
          <w:u w:val="single"/>
        </w:rPr>
        <w:t xml:space="preserve">                   </w:t>
      </w:r>
      <w:r>
        <w:rPr>
          <w:rFonts w:ascii="宋体" w:hAnsi="宋体" w:cs="宋体"/>
          <w:color w:val="auto"/>
          <w:kern w:val="2"/>
          <w:sz w:val="24"/>
          <w:szCs w:val="24"/>
        </w:rPr>
        <w:t xml:space="preserve">         </w:t>
      </w:r>
      <w:r>
        <w:rPr>
          <w:rFonts w:hint="eastAsia" w:ascii="宋体" w:hAnsi="宋体" w:cs="宋体"/>
          <w:color w:val="auto"/>
          <w:kern w:val="2"/>
          <w:sz w:val="24"/>
          <w:szCs w:val="24"/>
        </w:rPr>
        <w:t>通讯地址：</w:t>
      </w:r>
      <w:r>
        <w:rPr>
          <w:rFonts w:ascii="宋体" w:hAnsi="宋体" w:cs="宋体"/>
          <w:color w:val="auto"/>
          <w:kern w:val="2"/>
          <w:sz w:val="24"/>
          <w:szCs w:val="24"/>
          <w:u w:val="single"/>
        </w:rPr>
        <w:t xml:space="preserve">                    </w:t>
      </w:r>
      <w:r>
        <w:rPr>
          <w:rFonts w:ascii="宋体" w:hAnsi="宋体" w:cs="宋体"/>
          <w:color w:val="auto"/>
          <w:kern w:val="2"/>
          <w:sz w:val="24"/>
          <w:szCs w:val="24"/>
        </w:rPr>
        <w:t xml:space="preserve">   </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八、技术成果</w:t>
      </w:r>
    </w:p>
    <w:p>
      <w:pPr>
        <w:spacing w:line="360" w:lineRule="auto"/>
        <w:ind w:firstLine="480" w:firstLineChars="200"/>
        <w:rPr>
          <w:rFonts w:ascii="宋体" w:hAnsi="宋体" w:cs="宋体"/>
          <w:color w:val="auto"/>
          <w:sz w:val="24"/>
        </w:rPr>
      </w:pPr>
      <w:r>
        <w:rPr>
          <w:rFonts w:hint="eastAsia" w:ascii="宋体" w:hAnsi="宋体" w:cs="宋体"/>
          <w:color w:val="auto"/>
          <w:sz w:val="24"/>
        </w:rPr>
        <w:t>乙方提交甲方的服务成果的知识产权以及其他权利均归甲方所有。</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九、其他条款</w:t>
      </w:r>
    </w:p>
    <w:p>
      <w:pPr>
        <w:spacing w:line="360" w:lineRule="auto"/>
        <w:ind w:firstLine="480" w:firstLineChars="200"/>
        <w:rPr>
          <w:rFonts w:ascii="宋体" w:hAnsi="宋体" w:cs="宋体"/>
          <w:color w:val="auto"/>
          <w:sz w:val="24"/>
        </w:rPr>
      </w:pPr>
      <w:r>
        <w:rPr>
          <w:rFonts w:hint="eastAsia" w:ascii="宋体" w:hAnsi="宋体" w:cs="宋体"/>
          <w:color w:val="auto"/>
          <w:sz w:val="24"/>
        </w:rPr>
        <w:t>1、保险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关于保险的约定：乙方投保内容须至少包含职工的意外伤害险、服务范围内自有人员的生命财产险、机械设备的财产险、第三方人员的生命财产险等。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2、知识产权担保：乙方保证其为完成本协议所提供的服务及使用的物品、材料、软件、工艺等均无侵犯他人的知识产权，否则愿承担全部的侵权责任；</w:t>
      </w:r>
      <w:r>
        <w:rPr>
          <w:rFonts w:hint="eastAsia" w:ascii="宋体" w:hAnsi="宋体" w:cs="宋体"/>
          <w:bCs/>
          <w:color w:val="auto"/>
          <w:sz w:val="24"/>
        </w:rPr>
        <w:t>如乙方侵犯他人知识产权，一切法律责任均由乙方承担，甲方有权要求乙方返还已经支付的全部服务费用，赔偿甲方因此遭受的全部损失，并赔偿由此产生的维权费用包括但不限于公证费、诉讼费、律师费、交通费、差旅费等。</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3、通信方式：双方按照本协议约定的住所、电话，采用通知、函件、传真、电子邮件或口头方式联络。所有书面函件、通知等通过挂号信邮寄至约定住所或当面送达至甲/乙方联系人即为有效送达。一方联系地址发生变更的，须及时以书面形式通知另一方，怠于通知的一方应当承担对其不利的法律后果。</w:t>
      </w:r>
    </w:p>
    <w:p>
      <w:pPr>
        <w:snapToGrid w:val="0"/>
        <w:spacing w:before="160" w:line="360" w:lineRule="auto"/>
        <w:ind w:firstLine="482"/>
        <w:rPr>
          <w:rFonts w:ascii="宋体" w:hAnsi="宋体" w:cs="宋体"/>
          <w:b/>
          <w:color w:val="auto"/>
          <w:sz w:val="24"/>
        </w:rPr>
      </w:pPr>
      <w:r>
        <w:rPr>
          <w:rFonts w:hint="eastAsia" w:ascii="宋体" w:hAnsi="宋体" w:cs="宋体"/>
          <w:b/>
          <w:color w:val="auto"/>
          <w:sz w:val="24"/>
        </w:rPr>
        <w:t>十、不可抗力</w:t>
      </w:r>
    </w:p>
    <w:p>
      <w:pPr>
        <w:spacing w:line="360" w:lineRule="auto"/>
        <w:ind w:firstLine="480" w:firstLineChars="200"/>
        <w:rPr>
          <w:rFonts w:ascii="宋体" w:hAnsi="宋体" w:cs="宋体"/>
          <w:color w:val="auto"/>
          <w:sz w:val="24"/>
        </w:rPr>
      </w:pPr>
      <w:r>
        <w:rPr>
          <w:rFonts w:hint="eastAsia" w:ascii="宋体" w:hAnsi="宋体" w:cs="宋体"/>
          <w:color w:val="auto"/>
          <w:sz w:val="24"/>
        </w:rPr>
        <w:t>1、不可抗力指本协议签订后发生的一方无法合理控制的、阻止并妨碍该方全部或部分履行其在本协议项下义务的任何事件；</w:t>
      </w:r>
    </w:p>
    <w:p>
      <w:pPr>
        <w:spacing w:line="360" w:lineRule="auto"/>
        <w:ind w:firstLine="480" w:firstLineChars="200"/>
        <w:rPr>
          <w:rFonts w:ascii="宋体" w:hAnsi="宋体" w:cs="宋体"/>
          <w:color w:val="auto"/>
          <w:sz w:val="24"/>
        </w:rPr>
      </w:pPr>
      <w:r>
        <w:rPr>
          <w:rFonts w:hint="eastAsia" w:ascii="宋体" w:hAnsi="宋体" w:cs="宋体"/>
          <w:color w:val="auto"/>
          <w:sz w:val="24"/>
        </w:rPr>
        <w:t>2、因协议一方迟延履行协议后发生不可抗力的，不能免除迟延履行方的相应责任。</w:t>
      </w:r>
    </w:p>
    <w:p>
      <w:pPr>
        <w:spacing w:line="360" w:lineRule="auto"/>
        <w:ind w:firstLine="482" w:firstLineChars="200"/>
        <w:rPr>
          <w:rFonts w:ascii="宋体" w:hAnsi="宋体" w:cs="宋体"/>
          <w:color w:val="auto"/>
          <w:sz w:val="24"/>
        </w:rPr>
      </w:pPr>
      <w:r>
        <w:rPr>
          <w:rFonts w:hint="eastAsia" w:ascii="宋体" w:hAnsi="宋体" w:cs="宋体"/>
          <w:b/>
          <w:color w:val="auto"/>
          <w:sz w:val="24"/>
        </w:rPr>
        <w:t>十一、争议的解决方法</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双方在协议履行过程中发生争议或纠纷，应当通过友好协商办法解决。协商不成时，可向甲方所在地人民法院提起诉讼，因诉讼所发生的诉讼费、保全费、诉讼保全保险费、律师费、公证费由败诉方承担。</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十二、协议效力</w:t>
      </w:r>
    </w:p>
    <w:p>
      <w:pPr>
        <w:spacing w:line="360" w:lineRule="auto"/>
        <w:ind w:firstLine="480"/>
        <w:rPr>
          <w:rFonts w:ascii="宋体" w:hAnsi="宋体" w:cs="宋体"/>
          <w:color w:val="auto"/>
          <w:sz w:val="24"/>
        </w:rPr>
      </w:pPr>
      <w:r>
        <w:rPr>
          <w:rFonts w:hint="eastAsia" w:ascii="宋体" w:hAnsi="宋体" w:cs="宋体"/>
          <w:color w:val="auto"/>
          <w:sz w:val="24"/>
        </w:rPr>
        <w:t>1、下列文件为本合同不可分割部分：</w:t>
      </w:r>
    </w:p>
    <w:p>
      <w:pPr>
        <w:spacing w:line="360" w:lineRule="auto"/>
        <w:ind w:firstLine="480"/>
        <w:rPr>
          <w:rFonts w:ascii="宋体" w:hAnsi="宋体" w:cs="宋体"/>
          <w:color w:val="auto"/>
          <w:sz w:val="24"/>
        </w:rPr>
      </w:pPr>
      <w:r>
        <w:rPr>
          <w:rFonts w:hint="eastAsia" w:ascii="宋体" w:hAnsi="宋体" w:cs="宋体"/>
          <w:color w:val="auto"/>
          <w:sz w:val="24"/>
        </w:rPr>
        <w:t>①成交通知书；</w:t>
      </w:r>
    </w:p>
    <w:p>
      <w:pPr>
        <w:spacing w:line="360" w:lineRule="auto"/>
        <w:ind w:firstLine="480"/>
        <w:rPr>
          <w:rFonts w:ascii="宋体" w:hAnsi="宋体" w:cs="宋体"/>
          <w:color w:val="auto"/>
          <w:sz w:val="24"/>
        </w:rPr>
      </w:pPr>
      <w:r>
        <w:rPr>
          <w:rFonts w:hint="eastAsia" w:ascii="宋体" w:hAnsi="宋体" w:cs="宋体"/>
          <w:color w:val="auto"/>
          <w:sz w:val="24"/>
        </w:rPr>
        <w:t>②投标文件；</w:t>
      </w:r>
    </w:p>
    <w:p>
      <w:pPr>
        <w:spacing w:line="360" w:lineRule="auto"/>
        <w:ind w:firstLine="480"/>
        <w:rPr>
          <w:rFonts w:ascii="宋体" w:hAnsi="宋体" w:cs="宋体"/>
          <w:color w:val="auto"/>
          <w:sz w:val="24"/>
        </w:rPr>
      </w:pPr>
      <w:r>
        <w:rPr>
          <w:rFonts w:hint="eastAsia" w:ascii="宋体" w:hAnsi="宋体" w:cs="宋体"/>
          <w:color w:val="auto"/>
          <w:sz w:val="24"/>
        </w:rPr>
        <w:t>③乙方在谈判过程中所作的其它承诺、声明、书面澄清等；</w:t>
      </w:r>
    </w:p>
    <w:p>
      <w:pPr>
        <w:spacing w:line="360" w:lineRule="auto"/>
        <w:ind w:firstLine="480" w:firstLineChars="200"/>
        <w:rPr>
          <w:rFonts w:ascii="宋体" w:hAnsi="宋体" w:cs="宋体"/>
          <w:color w:val="auto"/>
          <w:sz w:val="24"/>
        </w:rPr>
      </w:pPr>
      <w:r>
        <w:rPr>
          <w:rFonts w:hint="eastAsia" w:ascii="宋体" w:hAnsi="宋体" w:cs="宋体"/>
          <w:color w:val="auto"/>
          <w:sz w:val="24"/>
        </w:rPr>
        <w:t>④招标文件及其附件。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本协议约定与前述文件不一致的，以本协议约定为准，但对前述文件中主要合同权利义务作出实质性变更的除外。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2、本协议执行过程中的未尽事宜，双方应本着实事求是、友好协商的态度加以解决。双方协商一致的签订补充协议。补充协议与本协议具有同等效力。</w:t>
      </w:r>
    </w:p>
    <w:p>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、本协议经双方法定代表人或委托代理人签字、加盖公章后生效，双方履行全部协议书义务后效力终止。</w:t>
      </w:r>
    </w:p>
    <w:p>
      <w:pPr>
        <w:spacing w:line="360" w:lineRule="auto"/>
        <w:ind w:firstLine="480" w:firstLineChars="200"/>
        <w:rPr>
          <w:rFonts w:ascii="宋体" w:hAnsi="宋体" w:cs="宋体"/>
          <w:color w:val="auto"/>
          <w:sz w:val="24"/>
        </w:rPr>
      </w:pPr>
      <w:r>
        <w:rPr>
          <w:rFonts w:hint="eastAsia" w:ascii="宋体" w:hAnsi="宋体" w:cs="宋体"/>
          <w:color w:val="auto"/>
          <w:sz w:val="24"/>
        </w:rPr>
        <w:t>3、本协议一式肆份，甲乙双方各执贰份，具有同等效力。</w:t>
      </w: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采购单位（或甲方）：             中标供应商（或乙方）：</w:t>
      </w:r>
    </w:p>
    <w:p>
      <w:pPr>
        <w:spacing w:line="360" w:lineRule="auto"/>
        <w:ind w:firstLine="480"/>
        <w:rPr>
          <w:rFonts w:ascii="宋体" w:hAnsi="宋体" w:cs="宋体"/>
          <w:color w:val="auto"/>
          <w:sz w:val="24"/>
        </w:rPr>
      </w:pPr>
      <w:r>
        <w:rPr>
          <w:rFonts w:hint="eastAsia" w:ascii="宋体" w:hAnsi="宋体" w:cs="宋体"/>
          <w:color w:val="auto"/>
          <w:sz w:val="24"/>
        </w:rPr>
        <w:t>法定代表人：                     法定代表人：</w:t>
      </w:r>
    </w:p>
    <w:p>
      <w:pPr>
        <w:spacing w:line="360" w:lineRule="auto"/>
        <w:ind w:firstLine="480"/>
        <w:rPr>
          <w:rFonts w:ascii="宋体" w:hAnsi="宋体" w:cs="宋体"/>
          <w:color w:val="auto"/>
          <w:sz w:val="24"/>
        </w:rPr>
      </w:pPr>
      <w:r>
        <w:rPr>
          <w:rFonts w:hint="eastAsia" w:ascii="宋体" w:hAnsi="宋体" w:cs="宋体"/>
          <w:color w:val="auto"/>
          <w:sz w:val="24"/>
        </w:rPr>
        <w:t>委托代理人：                     委托代理人：</w:t>
      </w:r>
    </w:p>
    <w:p>
      <w:pPr>
        <w:adjustRightInd w:val="0"/>
        <w:snapToGrid w:val="0"/>
        <w:spacing w:line="360" w:lineRule="auto"/>
        <w:jc w:val="center"/>
        <w:rPr>
          <w:rFonts w:ascii="宋体" w:hAnsi="宋体" w:cs="宋体"/>
          <w:b/>
          <w:color w:val="auto"/>
          <w:w w:val="80"/>
          <w:kern w:val="44"/>
          <w:sz w:val="36"/>
          <w:szCs w:val="36"/>
        </w:rPr>
      </w:pPr>
      <w:r>
        <w:rPr>
          <w:b/>
          <w:color w:val="auto"/>
          <w:sz w:val="36"/>
          <w:szCs w:val="36"/>
        </w:rPr>
        <w:br w:type="page"/>
      </w:r>
    </w:p>
    <w:p>
      <w:pPr>
        <w:pStyle w:val="55"/>
        <w:rPr>
          <w:b/>
          <w:color w:val="auto"/>
          <w:sz w:val="36"/>
          <w:szCs w:val="36"/>
        </w:rPr>
      </w:pPr>
    </w:p>
    <w:p>
      <w:pPr>
        <w:snapToGrid w:val="0"/>
        <w:spacing w:line="300" w:lineRule="auto"/>
        <w:jc w:val="center"/>
        <w:outlineLvl w:val="0"/>
        <w:rPr>
          <w:b/>
          <w:color w:val="auto"/>
          <w:sz w:val="36"/>
          <w:szCs w:val="36"/>
        </w:rPr>
      </w:pPr>
      <w:r>
        <w:rPr>
          <w:b/>
          <w:color w:val="auto"/>
          <w:sz w:val="36"/>
          <w:szCs w:val="36"/>
        </w:rPr>
        <w:t>第六部分质疑提出和处理</w:t>
      </w:r>
    </w:p>
    <w:p>
      <w:pPr>
        <w:autoSpaceDE w:val="0"/>
        <w:autoSpaceDN w:val="0"/>
        <w:adjustRightInd w:val="0"/>
        <w:snapToGrid w:val="0"/>
        <w:spacing w:line="360" w:lineRule="auto"/>
        <w:ind w:firstLine="482" w:firstLineChars="200"/>
        <w:contextualSpacing/>
        <w:jc w:val="left"/>
        <w:rPr>
          <w:b/>
          <w:color w:val="auto"/>
          <w:kern w:val="0"/>
          <w:sz w:val="24"/>
        </w:rPr>
      </w:pPr>
      <w:r>
        <w:rPr>
          <w:b/>
          <w:color w:val="auto"/>
          <w:kern w:val="0"/>
          <w:sz w:val="24"/>
        </w:rPr>
        <w:t>一、质疑的提出</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（一）质疑人的身份要求</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1.质疑人必须是直接参加本次采购活动的当事人。</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2.未参加投标活动的供应商或在投标活动中自身权益未受到损害的供应商所提出的质疑不予受理。</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（二）质疑提出的格式要求</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1.质疑必须按《政府采购法》、《政府采购法实施条例》及《江苏省政府采购供应商监督管理暂行办法》的相关规定提交，质疑实行实名制，不得进行虚假、恶意质疑，未按上述要求提交的质疑函，将不予受理。</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2.质疑函应包括：</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（1）质疑投标供应商的名称、地址、邮编、联系人及联系电话；</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（2）具体、明确的质疑事项及明确的请求；</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（3）质疑的事实依据和必要的法律依据；</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（4）提起质疑的日期；</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（5）认为自己合法权益受到损害或可能受到损害的相关证据材料；</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3.质疑函需遵循的原则：</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（三）质疑提出的时效要求</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1.投标供应商认为采购文件、采购过程和采购结果使自己的权益受到损害的，可以在知道或应知其权益受到损害之日起七个工作日内，以书面形式向采购人或代理机构提出质疑。上述应知其权益受到损害之日，是指：</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（1）对可以质疑的采购文件提出质疑的，为收到采购文件之日或者采购文件公告期限届满之日；</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（2）对采购过程提出质疑的，为各采购程序环节结束之日；</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（3）对中标或者成交结果提出质疑的，为中标或者成交结果公告期限届满之日。</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投标供应商认为采购文件使自己的权益受到损害的，可以向采购人提出质疑；投标供应商认为采购过程和采购结果使自己的权益受到损害的，可以以书面形式向采购人或代理机构提出质疑。</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2.投标供应商应在法定质疑期一次性提出针对同一采购程序环节的质疑。</w:t>
      </w:r>
    </w:p>
    <w:p>
      <w:pPr>
        <w:autoSpaceDE w:val="0"/>
        <w:autoSpaceDN w:val="0"/>
        <w:adjustRightInd w:val="0"/>
        <w:snapToGrid w:val="0"/>
        <w:spacing w:line="360" w:lineRule="auto"/>
        <w:ind w:firstLine="482" w:firstLineChars="200"/>
        <w:contextualSpacing/>
        <w:jc w:val="left"/>
        <w:rPr>
          <w:b/>
          <w:color w:val="auto"/>
          <w:sz w:val="24"/>
        </w:rPr>
      </w:pPr>
      <w:r>
        <w:rPr>
          <w:b/>
          <w:color w:val="auto"/>
          <w:sz w:val="24"/>
        </w:rPr>
        <w:t>二、《质疑函》的受理和回复</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1.收到质疑函后，采购人将对质疑的形式和内容进行审查，如质疑函内容、格式不符合规定，采购人将告知质疑人进行补正。</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2.质疑人应当在法定质疑期限内进行补正并重新提交质疑函，拒不补正或者在法定期限内未重新提交质疑函的，为无效质疑，采购人将不予受理。</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3.采购人或采购代理机构答复供应商质疑应当采用书面方式并依法送达，质疑供应商或其委托代理人拒绝签收的视为已经送达。</w:t>
      </w:r>
    </w:p>
    <w:p>
      <w:pPr>
        <w:autoSpaceDE w:val="0"/>
        <w:autoSpaceDN w:val="0"/>
        <w:adjustRightInd w:val="0"/>
        <w:snapToGrid w:val="0"/>
        <w:spacing w:line="360" w:lineRule="auto"/>
        <w:ind w:firstLine="482" w:firstLineChars="200"/>
        <w:contextualSpacing/>
        <w:jc w:val="left"/>
        <w:rPr>
          <w:b/>
          <w:color w:val="auto"/>
          <w:kern w:val="0"/>
          <w:sz w:val="24"/>
          <w:lang w:val="zh-CN"/>
        </w:rPr>
      </w:pPr>
      <w:r>
        <w:rPr>
          <w:b/>
          <w:color w:val="auto"/>
          <w:kern w:val="0"/>
          <w:sz w:val="24"/>
          <w:lang w:val="zh-CN"/>
        </w:rPr>
        <w:t>三、质疑处理</w:t>
      </w:r>
    </w:p>
    <w:p>
      <w:pPr>
        <w:autoSpaceDE w:val="0"/>
        <w:autoSpaceDN w:val="0"/>
        <w:adjustRightInd w:val="0"/>
        <w:snapToGrid w:val="0"/>
        <w:spacing w:line="360" w:lineRule="auto"/>
        <w:ind w:firstLine="482" w:firstLineChars="200"/>
        <w:contextualSpacing/>
        <w:jc w:val="left"/>
        <w:rPr>
          <w:b/>
          <w:color w:val="auto"/>
          <w:sz w:val="24"/>
        </w:rPr>
      </w:pPr>
      <w:r>
        <w:rPr>
          <w:b/>
          <w:color w:val="auto"/>
          <w:sz w:val="24"/>
        </w:rPr>
        <w:t>1、质疑成立的处理。</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（1）对于内容、格式符合规定的质疑函，采购人在收到投标供应商的书面质疑后七个工作日内作出书面答复，但答复的内容不得涉及商业秘密。</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（2）对采购文件提出的质疑，依法通过澄清或者修改可以继续开展采购活动的，澄清或者修改采购文件后继续开展采购活动；否则应当修改采购文件后重新开展采购活动。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（3）对采购过程、中标或者成交结果提出的质疑，合格供应商符合法定数量时，可以从合格的中标候选人中另行确定中标、成交供应商，或重新开展采购活动。</w:t>
      </w:r>
    </w:p>
    <w:p>
      <w:pPr>
        <w:autoSpaceDE w:val="0"/>
        <w:autoSpaceDN w:val="0"/>
        <w:adjustRightInd w:val="0"/>
        <w:snapToGrid w:val="0"/>
        <w:spacing w:line="360" w:lineRule="auto"/>
        <w:ind w:firstLine="480" w:firstLineChars="200"/>
        <w:contextualSpacing/>
        <w:jc w:val="left"/>
        <w:rPr>
          <w:color w:val="auto"/>
          <w:sz w:val="24"/>
        </w:rPr>
      </w:pPr>
      <w:r>
        <w:rPr>
          <w:color w:val="auto"/>
          <w:sz w:val="24"/>
        </w:rPr>
        <w:t>质疑答复导致中标、成交结果改变的，采购人或者采购代理机构应当将有关情况书面报告本级财政部门。</w:t>
      </w:r>
    </w:p>
    <w:p>
      <w:pPr>
        <w:autoSpaceDE w:val="0"/>
        <w:autoSpaceDN w:val="0"/>
        <w:adjustRightInd w:val="0"/>
        <w:snapToGrid w:val="0"/>
        <w:spacing w:line="360" w:lineRule="auto"/>
        <w:ind w:firstLine="482" w:firstLineChars="200"/>
        <w:contextualSpacing/>
        <w:jc w:val="left"/>
        <w:rPr>
          <w:b/>
          <w:color w:val="auto"/>
          <w:kern w:val="0"/>
          <w:sz w:val="24"/>
          <w:lang w:val="zh-CN"/>
        </w:rPr>
      </w:pPr>
      <w:r>
        <w:rPr>
          <w:b/>
          <w:color w:val="auto"/>
          <w:kern w:val="0"/>
          <w:sz w:val="24"/>
          <w:lang w:val="zh-CN"/>
        </w:rPr>
        <w:t>2、质疑不成立的处理。</w:t>
      </w:r>
    </w:p>
    <w:p>
      <w:pPr>
        <w:snapToGrid w:val="0"/>
        <w:spacing w:line="360" w:lineRule="auto"/>
        <w:ind w:firstLine="480" w:firstLineChars="200"/>
        <w:contextualSpacing/>
        <w:jc w:val="left"/>
        <w:rPr>
          <w:color w:val="auto"/>
          <w:sz w:val="24"/>
        </w:rPr>
      </w:pPr>
      <w:r>
        <w:rPr>
          <w:color w:val="auto"/>
          <w:kern w:val="0"/>
          <w:sz w:val="24"/>
          <w:lang w:val="zh-CN"/>
        </w:rPr>
        <w:t>（1）</w:t>
      </w:r>
      <w:r>
        <w:rPr>
          <w:color w:val="auto"/>
          <w:sz w:val="24"/>
        </w:rPr>
        <w:t>若质疑不成立，或者成立未对中标、成交结果构成影响的，继续开展采购活动。</w:t>
      </w:r>
    </w:p>
    <w:p>
      <w:pPr>
        <w:snapToGrid w:val="0"/>
        <w:spacing w:line="360" w:lineRule="auto"/>
        <w:ind w:firstLine="460" w:firstLineChars="192"/>
        <w:contextualSpacing/>
        <w:jc w:val="left"/>
        <w:rPr>
          <w:color w:val="auto"/>
          <w:kern w:val="0"/>
          <w:sz w:val="24"/>
          <w:lang w:val="zh-CN"/>
        </w:rPr>
      </w:pPr>
      <w:r>
        <w:rPr>
          <w:color w:val="auto"/>
          <w:kern w:val="0"/>
          <w:sz w:val="24"/>
          <w:lang w:val="zh-CN"/>
        </w:rPr>
        <w:t>（2）对明显有违背事实的、经相关专家或评委认定无依据的、经其他供应商举证无依据的质疑，作违约处理，对其中每一项不成立的质疑给予质疑人1年内禁入由采购人组织的政府采购活动的违约处理。</w:t>
      </w:r>
    </w:p>
    <w:p>
      <w:pPr>
        <w:snapToGrid w:val="0"/>
        <w:spacing w:line="360" w:lineRule="auto"/>
        <w:ind w:firstLine="460" w:firstLineChars="192"/>
        <w:contextualSpacing/>
        <w:jc w:val="left"/>
        <w:rPr>
          <w:color w:val="auto"/>
          <w:kern w:val="0"/>
          <w:sz w:val="24"/>
          <w:lang w:val="zh-CN"/>
        </w:rPr>
      </w:pPr>
      <w:r>
        <w:rPr>
          <w:color w:val="auto"/>
          <w:kern w:val="0"/>
          <w:sz w:val="24"/>
          <w:lang w:val="zh-CN"/>
        </w:rPr>
        <w:t>（3）质疑人承担使用虚假材料或恶意方式质疑的法律责任。</w:t>
      </w:r>
    </w:p>
    <w:p>
      <w:pPr>
        <w:autoSpaceDE w:val="0"/>
        <w:autoSpaceDN w:val="0"/>
        <w:adjustRightInd w:val="0"/>
        <w:snapToGrid w:val="0"/>
        <w:spacing w:line="360" w:lineRule="auto"/>
        <w:ind w:firstLine="482" w:firstLineChars="200"/>
        <w:contextualSpacing/>
        <w:jc w:val="left"/>
        <w:rPr>
          <w:b/>
          <w:color w:val="auto"/>
          <w:kern w:val="0"/>
          <w:sz w:val="24"/>
          <w:lang w:val="zh-CN"/>
        </w:rPr>
      </w:pPr>
      <w:r>
        <w:rPr>
          <w:b/>
          <w:color w:val="auto"/>
          <w:kern w:val="0"/>
          <w:sz w:val="24"/>
          <w:lang w:val="zh-CN"/>
        </w:rPr>
        <w:t>3、虚假质疑的处理</w:t>
      </w:r>
    </w:p>
    <w:p>
      <w:pPr>
        <w:snapToGrid w:val="0"/>
        <w:spacing w:line="360" w:lineRule="auto"/>
        <w:ind w:firstLine="460" w:firstLineChars="192"/>
        <w:contextualSpacing/>
        <w:jc w:val="left"/>
        <w:rPr>
          <w:color w:val="auto"/>
          <w:kern w:val="0"/>
          <w:sz w:val="24"/>
          <w:lang w:val="zh-CN"/>
        </w:rPr>
      </w:pPr>
      <w:r>
        <w:rPr>
          <w:color w:val="auto"/>
          <w:kern w:val="0"/>
          <w:sz w:val="24"/>
          <w:lang w:val="zh-CN"/>
        </w:rPr>
        <w:t>投标供应商提出书面质疑必须有理、有据，不得恶意质疑或提交虚假质疑。否则，一经查实，将依据政府采购的有关规定，报请政府采购监管部门对该投标供应商进行相应的行政处罚。</w:t>
      </w:r>
    </w:p>
    <w:p>
      <w:pPr>
        <w:snapToGrid w:val="0"/>
        <w:jc w:val="center"/>
        <w:outlineLvl w:val="0"/>
        <w:rPr>
          <w:b/>
          <w:color w:val="auto"/>
          <w:sz w:val="36"/>
          <w:szCs w:val="36"/>
        </w:rPr>
      </w:pPr>
      <w:r>
        <w:rPr>
          <w:b/>
          <w:color w:val="auto"/>
          <w:sz w:val="36"/>
          <w:szCs w:val="36"/>
        </w:rPr>
        <w:br w:type="page"/>
      </w:r>
      <w:r>
        <w:rPr>
          <w:b/>
          <w:color w:val="auto"/>
          <w:sz w:val="36"/>
          <w:szCs w:val="36"/>
        </w:rPr>
        <w:t>第七部分</w:t>
      </w:r>
      <w:r>
        <w:rPr>
          <w:rFonts w:hint="eastAsia"/>
          <w:b/>
          <w:color w:val="auto"/>
          <w:sz w:val="36"/>
          <w:szCs w:val="36"/>
        </w:rPr>
        <w:t xml:space="preserve">  </w:t>
      </w:r>
      <w:r>
        <w:rPr>
          <w:b/>
          <w:color w:val="auto"/>
          <w:sz w:val="36"/>
          <w:szCs w:val="36"/>
        </w:rPr>
        <w:t>响应文件组成</w:t>
      </w:r>
    </w:p>
    <w:p>
      <w:pPr>
        <w:pStyle w:val="134"/>
        <w:snapToGrid w:val="0"/>
        <w:spacing w:line="360" w:lineRule="auto"/>
        <w:ind w:firstLine="482" w:firstLineChars="200"/>
        <w:contextualSpacing/>
        <w:rPr>
          <w:rFonts w:ascii="Times New Roman" w:hAnsi="Times New Roman" w:cs="Times New Roman"/>
          <w:b/>
          <w:color w:val="auto"/>
        </w:rPr>
      </w:pPr>
      <w:r>
        <w:rPr>
          <w:rFonts w:ascii="Times New Roman" w:hAnsi="Times New Roman" w:cs="Times New Roman"/>
          <w:b/>
          <w:color w:val="auto"/>
        </w:rPr>
        <w:t>响应文件由资格审查资料、价格响应文件、技术商务响应文件三部分组成。</w:t>
      </w:r>
      <w:r>
        <w:rPr>
          <w:rFonts w:ascii="Times New Roman" w:hAnsi="Times New Roman" w:cs="Times New Roman"/>
          <w:color w:val="auto"/>
        </w:rPr>
        <w:t>供应商提供的响应文件材料须字迹清晰。</w:t>
      </w:r>
      <w:r>
        <w:rPr>
          <w:rFonts w:ascii="Times New Roman" w:hAnsi="Times New Roman" w:cs="Times New Roman"/>
          <w:b/>
          <w:color w:val="auto"/>
        </w:rPr>
        <w:t>如响应文件字迹模糊、无法辨认的须提供原件备查，否则由此造成的废标或不得分等后果由供应商自行承担</w:t>
      </w:r>
      <w:r>
        <w:rPr>
          <w:rFonts w:ascii="Times New Roman" w:hAnsi="Times New Roman" w:cs="Times New Roman"/>
          <w:color w:val="auto"/>
        </w:rPr>
        <w:t>。</w:t>
      </w:r>
    </w:p>
    <w:p>
      <w:pPr>
        <w:pStyle w:val="134"/>
        <w:snapToGrid w:val="0"/>
        <w:spacing w:line="360" w:lineRule="auto"/>
        <w:ind w:firstLine="482" w:firstLineChars="200"/>
        <w:contextualSpacing/>
        <w:rPr>
          <w:rFonts w:ascii="Times New Roman" w:hAnsi="Times New Roman" w:cs="Times New Roman"/>
          <w:b/>
          <w:color w:val="auto"/>
        </w:rPr>
      </w:pPr>
      <w:r>
        <w:rPr>
          <w:rFonts w:ascii="Times New Roman" w:hAnsi="Times New Roman" w:cs="Times New Roman"/>
          <w:b/>
          <w:color w:val="auto"/>
        </w:rPr>
        <w:t>一、资格审查资料（正本一份、副本二份，单独密封）：</w:t>
      </w:r>
    </w:p>
    <w:p>
      <w:pPr>
        <w:pStyle w:val="134"/>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rPr>
        <w:t>1.供应商符合《政府采购法》第二十二条规定条件的声明函</w:t>
      </w:r>
    </w:p>
    <w:p>
      <w:pPr>
        <w:pStyle w:val="134"/>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关于资格的声明函；</w:t>
      </w:r>
    </w:p>
    <w:p>
      <w:pPr>
        <w:pStyle w:val="134"/>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rPr>
        <w:t>3.</w:t>
      </w:r>
      <w:r>
        <w:rPr>
          <w:rFonts w:ascii="Times New Roman" w:hAnsi="Times New Roman" w:cs="Times New Roman"/>
          <w:color w:val="auto"/>
        </w:rPr>
        <w:t>法定代表人身份证明书及本人身份证复印件，或法定代表人授权委托书原件、身份证复印件；</w:t>
      </w:r>
    </w:p>
    <w:p>
      <w:pPr>
        <w:pStyle w:val="134"/>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rPr>
        <w:t>4.</w:t>
      </w:r>
      <w:r>
        <w:rPr>
          <w:rFonts w:hint="eastAsia" w:cs="Arial"/>
          <w:color w:val="auto"/>
          <w:szCs w:val="21"/>
        </w:rPr>
        <w:t>提供</w:t>
      </w:r>
      <w:r>
        <w:rPr>
          <w:color w:val="auto"/>
          <w:szCs w:val="21"/>
        </w:rPr>
        <w:t>法人或者其他组织的营业执照等证明文件，自然人的身份证明</w:t>
      </w:r>
      <w:r>
        <w:rPr>
          <w:rFonts w:hint="eastAsia"/>
          <w:color w:val="auto"/>
          <w:szCs w:val="21"/>
        </w:rPr>
        <w:t>复印件加盖公章</w:t>
      </w:r>
      <w:r>
        <w:rPr>
          <w:rFonts w:ascii="Times New Roman" w:hAnsi="Times New Roman" w:cs="Times New Roman"/>
          <w:color w:val="auto"/>
        </w:rPr>
        <w:t>；</w:t>
      </w:r>
    </w:p>
    <w:p>
      <w:pPr>
        <w:pStyle w:val="134"/>
        <w:snapToGrid w:val="0"/>
        <w:spacing w:line="360" w:lineRule="auto"/>
        <w:ind w:firstLine="480" w:firstLineChars="200"/>
        <w:contextualSpacing/>
        <w:rPr>
          <w:color w:val="auto"/>
        </w:rPr>
      </w:pPr>
      <w:r>
        <w:rPr>
          <w:rFonts w:hint="eastAsia"/>
          <w:color w:val="auto"/>
        </w:rPr>
        <w:t>5.未被“信用中国”网站（www.creditchina.gov.cn）列入失信被执行人、重大税收违法案件当事人名单、政府采购严重违法失信行为记录名单</w:t>
      </w:r>
      <w:r>
        <w:rPr>
          <w:rFonts w:hint="eastAsia"/>
          <w:color w:val="auto"/>
          <w:szCs w:val="20"/>
        </w:rPr>
        <w:t>（供应商提供网页截图加盖公章）</w:t>
      </w:r>
      <w:r>
        <w:rPr>
          <w:rFonts w:hint="eastAsia"/>
          <w:color w:val="auto"/>
        </w:rPr>
        <w:t>；</w:t>
      </w:r>
    </w:p>
    <w:p>
      <w:pPr>
        <w:pStyle w:val="134"/>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rPr>
        <w:t>6</w:t>
      </w:r>
      <w:r>
        <w:rPr>
          <w:rFonts w:ascii="Times New Roman" w:hAnsi="Times New Roman" w:cs="Times New Roman"/>
          <w:color w:val="auto"/>
        </w:rPr>
        <w:t>其它需要提交的资格审查证明材料。</w:t>
      </w:r>
    </w:p>
    <w:p>
      <w:pPr>
        <w:pStyle w:val="134"/>
        <w:snapToGrid w:val="0"/>
        <w:spacing w:line="360" w:lineRule="auto"/>
        <w:ind w:firstLine="482" w:firstLineChars="200"/>
        <w:contextualSpacing/>
        <w:rPr>
          <w:rFonts w:ascii="Times New Roman" w:hAnsi="Times New Roman"/>
          <w:b/>
          <w:bCs/>
          <w:color w:val="auto"/>
          <w:lang w:val="zh-CN"/>
        </w:rPr>
      </w:pPr>
      <w:r>
        <w:rPr>
          <w:rFonts w:ascii="Times New Roman" w:hAnsi="Times New Roman"/>
          <w:b/>
          <w:color w:val="auto"/>
        </w:rPr>
        <w:t>二、商务技术文件</w:t>
      </w:r>
      <w:r>
        <w:rPr>
          <w:rFonts w:ascii="Times New Roman" w:hAnsi="Times New Roman"/>
          <w:b/>
          <w:bCs/>
          <w:color w:val="auto"/>
          <w:lang w:val="zh-CN"/>
        </w:rPr>
        <w:t>（不能出现报价）</w:t>
      </w:r>
    </w:p>
    <w:p>
      <w:pPr>
        <w:pStyle w:val="134"/>
        <w:snapToGrid w:val="0"/>
        <w:spacing w:line="360" w:lineRule="auto"/>
        <w:ind w:firstLine="480" w:firstLineChars="200"/>
        <w:contextualSpacing/>
        <w:rPr>
          <w:color w:val="auto"/>
          <w:lang w:val="zh-CN"/>
        </w:rPr>
      </w:pPr>
      <w:r>
        <w:rPr>
          <w:rFonts w:ascii="Times New Roman" w:hAnsi="Times New Roman"/>
          <w:color w:val="auto"/>
        </w:rPr>
        <w:t>1、</w:t>
      </w:r>
      <w:r>
        <w:rPr>
          <w:rFonts w:hint="eastAsia"/>
          <w:b/>
          <w:bCs/>
          <w:color w:val="auto"/>
        </w:rPr>
        <w:t>竞争性磋商响应函</w:t>
      </w:r>
      <w:r>
        <w:rPr>
          <w:rFonts w:hint="eastAsia"/>
          <w:color w:val="auto"/>
          <w:lang w:val="zh-CN"/>
        </w:rPr>
        <w:t>；</w:t>
      </w:r>
    </w:p>
    <w:p>
      <w:pPr>
        <w:pStyle w:val="134"/>
        <w:snapToGrid w:val="0"/>
        <w:spacing w:line="360" w:lineRule="auto"/>
        <w:ind w:firstLine="480" w:firstLineChars="200"/>
        <w:contextualSpacing/>
        <w:rPr>
          <w:color w:val="auto"/>
          <w:lang w:val="zh-CN"/>
        </w:rPr>
      </w:pPr>
      <w:r>
        <w:rPr>
          <w:rFonts w:hint="eastAsia"/>
          <w:color w:val="auto"/>
        </w:rPr>
        <w:t>2</w:t>
      </w:r>
      <w:r>
        <w:rPr>
          <w:color w:val="auto"/>
          <w:lang w:val="zh-CN"/>
        </w:rPr>
        <w:t>、供应商一般情况表</w:t>
      </w:r>
      <w:r>
        <w:rPr>
          <w:rFonts w:hint="eastAsia"/>
          <w:color w:val="auto"/>
          <w:lang w:val="zh-CN"/>
        </w:rPr>
        <w:t>；</w:t>
      </w:r>
    </w:p>
    <w:p>
      <w:pPr>
        <w:pStyle w:val="134"/>
        <w:snapToGrid w:val="0"/>
        <w:spacing w:line="360" w:lineRule="auto"/>
        <w:ind w:firstLine="480" w:firstLineChars="200"/>
        <w:contextualSpacing/>
        <w:rPr>
          <w:color w:val="auto"/>
        </w:rPr>
      </w:pPr>
      <w:r>
        <w:rPr>
          <w:rFonts w:hint="eastAsia"/>
          <w:color w:val="auto"/>
        </w:rPr>
        <w:t>3</w:t>
      </w:r>
      <w:r>
        <w:rPr>
          <w:color w:val="auto"/>
          <w:lang w:val="zh-CN"/>
        </w:rPr>
        <w:t>、</w:t>
      </w:r>
      <w:r>
        <w:rPr>
          <w:color w:val="auto"/>
        </w:rPr>
        <w:t>为方便评委评审，请供应商按评审办法中所涉及的事项顺序进行编制，可以补充相关材料</w:t>
      </w:r>
      <w:r>
        <w:rPr>
          <w:rFonts w:hint="eastAsia"/>
          <w:color w:val="auto"/>
        </w:rPr>
        <w:t>；</w:t>
      </w:r>
    </w:p>
    <w:p>
      <w:pPr>
        <w:pStyle w:val="134"/>
        <w:snapToGrid w:val="0"/>
        <w:spacing w:line="360" w:lineRule="auto"/>
        <w:ind w:firstLine="480" w:firstLineChars="200"/>
        <w:contextualSpacing/>
        <w:rPr>
          <w:rFonts w:ascii="Times New Roman" w:hAnsi="Times New Roman"/>
          <w:color w:val="auto"/>
        </w:rPr>
      </w:pPr>
      <w:r>
        <w:rPr>
          <w:rFonts w:hint="eastAsia" w:ascii="Times New Roman" w:hAnsi="Times New Roman"/>
          <w:color w:val="auto"/>
        </w:rPr>
        <w:t>4</w:t>
      </w:r>
      <w:r>
        <w:rPr>
          <w:rFonts w:ascii="Times New Roman" w:hAnsi="Times New Roman"/>
          <w:color w:val="auto"/>
        </w:rPr>
        <w:t>、评审办法中未涉及的事项，供应商认为需要提交的其他资料。</w:t>
      </w:r>
    </w:p>
    <w:p>
      <w:pPr>
        <w:pStyle w:val="134"/>
        <w:snapToGrid w:val="0"/>
        <w:spacing w:line="360" w:lineRule="auto"/>
        <w:ind w:firstLine="482" w:firstLineChars="200"/>
        <w:contextualSpacing/>
        <w:rPr>
          <w:rFonts w:ascii="Times New Roman" w:hAnsi="Times New Roman"/>
          <w:b/>
          <w:color w:val="auto"/>
        </w:rPr>
      </w:pPr>
      <w:r>
        <w:rPr>
          <w:rFonts w:ascii="Times New Roman" w:hAnsi="Times New Roman"/>
          <w:b/>
          <w:color w:val="auto"/>
        </w:rPr>
        <w:t>三、</w:t>
      </w:r>
      <w:r>
        <w:rPr>
          <w:rFonts w:hint="eastAsia" w:ascii="Times New Roman" w:hAnsi="Times New Roman"/>
          <w:b/>
          <w:color w:val="auto"/>
        </w:rPr>
        <w:t>报价</w:t>
      </w:r>
      <w:r>
        <w:rPr>
          <w:rFonts w:ascii="Times New Roman" w:hAnsi="Times New Roman"/>
          <w:b/>
          <w:color w:val="auto"/>
        </w:rPr>
        <w:t>文件</w:t>
      </w:r>
    </w:p>
    <w:p>
      <w:pPr>
        <w:pStyle w:val="134"/>
        <w:snapToGrid w:val="0"/>
        <w:spacing w:line="360" w:lineRule="auto"/>
        <w:ind w:firstLine="480" w:firstLineChars="200"/>
        <w:contextualSpacing/>
        <w:rPr>
          <w:rFonts w:ascii="Times New Roman" w:hAnsi="Times New Roman"/>
          <w:bCs/>
          <w:color w:val="auto"/>
        </w:rPr>
      </w:pPr>
      <w:r>
        <w:rPr>
          <w:rFonts w:ascii="Times New Roman" w:hAnsi="Times New Roman"/>
          <w:bCs/>
          <w:color w:val="auto"/>
        </w:rPr>
        <w:t>1、投标响应报价总表</w:t>
      </w:r>
      <w:r>
        <w:rPr>
          <w:rFonts w:hint="eastAsia" w:ascii="Times New Roman" w:hAnsi="Times New Roman"/>
          <w:bCs/>
          <w:color w:val="auto"/>
        </w:rPr>
        <w:t>（格式详见第八章）</w:t>
      </w:r>
      <w:r>
        <w:rPr>
          <w:rFonts w:ascii="Times New Roman" w:hAnsi="Times New Roman"/>
          <w:bCs/>
          <w:color w:val="auto"/>
        </w:rPr>
        <w:t>；</w:t>
      </w:r>
    </w:p>
    <w:p>
      <w:pPr>
        <w:pStyle w:val="134"/>
        <w:snapToGrid w:val="0"/>
        <w:spacing w:line="360" w:lineRule="auto"/>
        <w:ind w:firstLine="480" w:firstLineChars="200"/>
        <w:contextualSpacing/>
        <w:rPr>
          <w:rFonts w:ascii="Times New Roman" w:hAnsi="Times New Roman"/>
          <w:bCs/>
          <w:color w:val="auto"/>
        </w:rPr>
      </w:pPr>
      <w:r>
        <w:rPr>
          <w:rFonts w:hint="eastAsia" w:ascii="Times New Roman" w:hAnsi="Times New Roman"/>
          <w:bCs/>
          <w:color w:val="auto"/>
        </w:rPr>
        <w:t>2、磋商报价明细表。</w:t>
      </w:r>
    </w:p>
    <w:p>
      <w:pPr>
        <w:pStyle w:val="134"/>
        <w:snapToGrid w:val="0"/>
        <w:spacing w:line="360" w:lineRule="auto"/>
        <w:ind w:firstLine="480" w:firstLineChars="200"/>
        <w:contextualSpacing/>
        <w:rPr>
          <w:rFonts w:ascii="Times New Roman" w:hAnsi="Times New Roman"/>
          <w:bCs/>
          <w:color w:val="auto"/>
          <w:lang w:val="zh-CN"/>
        </w:rPr>
      </w:pPr>
      <w:r>
        <w:rPr>
          <w:rFonts w:hint="eastAsia" w:ascii="Times New Roman" w:hAnsi="Times New Roman"/>
          <w:bCs/>
          <w:color w:val="auto"/>
          <w:lang w:val="zh-CN"/>
        </w:rPr>
        <w:t>3、中小企业声明函；</w:t>
      </w:r>
    </w:p>
    <w:p>
      <w:pPr>
        <w:pStyle w:val="134"/>
        <w:snapToGrid w:val="0"/>
        <w:spacing w:line="360" w:lineRule="auto"/>
        <w:ind w:firstLine="480" w:firstLineChars="200"/>
        <w:contextualSpacing/>
        <w:rPr>
          <w:rFonts w:ascii="Times New Roman" w:hAnsi="Times New Roman"/>
          <w:bCs/>
          <w:color w:val="auto"/>
          <w:lang w:val="zh-CN"/>
        </w:rPr>
      </w:pPr>
      <w:r>
        <w:rPr>
          <w:rFonts w:hint="eastAsia" w:ascii="Times New Roman" w:hAnsi="Times New Roman"/>
          <w:bCs/>
          <w:color w:val="auto"/>
          <w:lang w:val="zh-CN"/>
        </w:rPr>
        <w:t>4、</w:t>
      </w:r>
      <w:r>
        <w:rPr>
          <w:rFonts w:ascii="Times New Roman" w:hAnsi="Times New Roman"/>
          <w:bCs/>
          <w:color w:val="auto"/>
          <w:lang w:val="zh-CN"/>
        </w:rPr>
        <w:t>残疾人福利性单位声明函</w:t>
      </w:r>
      <w:r>
        <w:rPr>
          <w:rFonts w:hint="eastAsia" w:ascii="Times New Roman" w:hAnsi="Times New Roman"/>
          <w:bCs/>
          <w:color w:val="auto"/>
          <w:lang w:val="zh-CN"/>
        </w:rPr>
        <w:t>；</w:t>
      </w:r>
    </w:p>
    <w:p>
      <w:pPr>
        <w:pStyle w:val="134"/>
        <w:snapToGrid w:val="0"/>
        <w:spacing w:line="360" w:lineRule="auto"/>
        <w:ind w:firstLine="480" w:firstLineChars="200"/>
        <w:contextualSpacing/>
        <w:rPr>
          <w:rFonts w:ascii="Times New Roman" w:hAnsi="Times New Roman"/>
          <w:bCs/>
          <w:color w:val="auto"/>
        </w:rPr>
      </w:pPr>
      <w:r>
        <w:rPr>
          <w:rFonts w:hint="eastAsia" w:ascii="Times New Roman" w:hAnsi="Times New Roman"/>
          <w:bCs/>
          <w:color w:val="auto"/>
          <w:lang w:val="zh-CN"/>
        </w:rPr>
        <w:t>5、</w:t>
      </w:r>
      <w:r>
        <w:rPr>
          <w:rFonts w:ascii="Times New Roman" w:hAnsi="Times New Roman"/>
          <w:bCs/>
          <w:color w:val="auto"/>
          <w:lang w:val="zh-CN"/>
        </w:rPr>
        <w:t>监狱企业的证明</w:t>
      </w:r>
      <w:r>
        <w:rPr>
          <w:rFonts w:hint="eastAsia" w:ascii="Times New Roman" w:hAnsi="Times New Roman"/>
          <w:bCs/>
          <w:color w:val="auto"/>
          <w:lang w:val="zh-CN"/>
        </w:rPr>
        <w:t>。</w:t>
      </w:r>
    </w:p>
    <w:p>
      <w:pPr>
        <w:spacing w:line="360" w:lineRule="auto"/>
        <w:ind w:firstLine="643" w:firstLineChars="200"/>
        <w:rPr>
          <w:rFonts w:ascii="Calibri" w:hAnsi="Calibri"/>
          <w:b/>
          <w:bCs/>
          <w:color w:val="auto"/>
          <w:sz w:val="32"/>
          <w:szCs w:val="32"/>
        </w:rPr>
      </w:pPr>
    </w:p>
    <w:p>
      <w:pPr>
        <w:spacing w:line="360" w:lineRule="auto"/>
        <w:ind w:firstLine="643" w:firstLineChars="200"/>
        <w:rPr>
          <w:rFonts w:ascii="Calibri" w:hAnsi="Calibri"/>
          <w:b/>
          <w:bCs/>
          <w:color w:val="auto"/>
          <w:sz w:val="32"/>
          <w:szCs w:val="32"/>
        </w:rPr>
      </w:pPr>
    </w:p>
    <w:p>
      <w:pPr>
        <w:spacing w:line="360" w:lineRule="auto"/>
        <w:ind w:firstLine="643" w:firstLineChars="200"/>
        <w:rPr>
          <w:rFonts w:ascii="Calibri" w:hAnsi="Calibri"/>
          <w:b/>
          <w:bCs/>
          <w:color w:val="auto"/>
          <w:sz w:val="32"/>
          <w:szCs w:val="32"/>
        </w:rPr>
      </w:pPr>
    </w:p>
    <w:p>
      <w:pPr>
        <w:spacing w:line="360" w:lineRule="auto"/>
        <w:ind w:firstLine="643" w:firstLineChars="200"/>
        <w:rPr>
          <w:rFonts w:ascii="宋体" w:hAnsi="宋体" w:cs="宋体"/>
          <w:color w:val="auto"/>
          <w:sz w:val="24"/>
        </w:rPr>
      </w:pPr>
      <w:r>
        <w:rPr>
          <w:rFonts w:hint="eastAsia" w:ascii="Calibri" w:hAnsi="Calibri"/>
          <w:b/>
          <w:bCs/>
          <w:color w:val="auto"/>
          <w:sz w:val="32"/>
          <w:szCs w:val="32"/>
        </w:rPr>
        <w:t>附件：</w:t>
      </w:r>
      <w:r>
        <w:rPr>
          <w:rFonts w:ascii="Calibri" w:hAnsi="Calibri"/>
          <w:b/>
          <w:bCs/>
          <w:color w:val="auto"/>
          <w:sz w:val="32"/>
          <w:szCs w:val="32"/>
        </w:rPr>
        <w:br w:type="textWrapping"/>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jc w:val="center"/>
        <w:rPr>
          <w:rFonts w:ascii="宋体" w:hAnsi="宋体" w:cs="宋体"/>
          <w:b/>
          <w:color w:val="auto"/>
          <w:sz w:val="24"/>
          <w:u w:val="single"/>
        </w:rPr>
      </w:pPr>
      <w:r>
        <w:rPr>
          <w:rFonts w:hint="eastAsia" w:ascii="宋体" w:hAnsi="宋体" w:cs="宋体"/>
          <w:b/>
          <w:color w:val="auto"/>
          <w:sz w:val="24"/>
          <w:u w:val="single"/>
        </w:rPr>
        <w:t xml:space="preserve">项目名称 </w:t>
      </w:r>
    </w:p>
    <w:p>
      <w:pPr>
        <w:spacing w:line="360" w:lineRule="auto"/>
        <w:jc w:val="center"/>
        <w:rPr>
          <w:rFonts w:ascii="宋体" w:hAnsi="宋体" w:cs="宋体"/>
          <w:color w:val="auto"/>
          <w:sz w:val="24"/>
        </w:rPr>
      </w:pPr>
      <w:r>
        <w:rPr>
          <w:rFonts w:hint="eastAsia" w:ascii="宋体" w:hAnsi="宋体" w:cs="宋体"/>
          <w:color w:val="auto"/>
          <w:sz w:val="24"/>
        </w:rPr>
        <w:t>项目编号：</w:t>
      </w:r>
    </w:p>
    <w:p>
      <w:pPr>
        <w:spacing w:line="360" w:lineRule="auto"/>
        <w:ind w:firstLine="2400" w:firstLineChars="1000"/>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jc w:val="center"/>
        <w:rPr>
          <w:rFonts w:ascii="宋体" w:hAnsi="宋体" w:cs="宋体"/>
          <w:b/>
          <w:bCs/>
          <w:color w:val="auto"/>
          <w:sz w:val="24"/>
        </w:rPr>
      </w:pPr>
      <w:r>
        <w:rPr>
          <w:rFonts w:hint="eastAsia" w:ascii="宋体" w:hAnsi="宋体" w:cs="宋体"/>
          <w:b/>
          <w:bCs/>
          <w:color w:val="auto"/>
          <w:sz w:val="24"/>
        </w:rPr>
        <w:t>磋商响应文件</w:t>
      </w:r>
    </w:p>
    <w:p>
      <w:pPr>
        <w:spacing w:line="360" w:lineRule="auto"/>
        <w:rPr>
          <w:rFonts w:ascii="宋体" w:hAnsi="宋体" w:cs="宋体"/>
          <w:color w:val="auto"/>
          <w:sz w:val="24"/>
        </w:rPr>
      </w:pPr>
    </w:p>
    <w:p>
      <w:pPr>
        <w:spacing w:line="360" w:lineRule="auto"/>
        <w:ind w:firstLine="2400" w:firstLineChars="1000"/>
        <w:rPr>
          <w:rFonts w:ascii="宋体" w:hAnsi="宋体" w:cs="宋体"/>
          <w:color w:val="auto"/>
          <w:sz w:val="24"/>
        </w:rPr>
      </w:pPr>
      <w:r>
        <w:rPr>
          <w:rFonts w:hint="eastAsia" w:ascii="宋体" w:hAnsi="宋体" w:cs="宋体"/>
          <w:color w:val="auto"/>
          <w:sz w:val="24"/>
        </w:rPr>
        <w:t>对应</w:t>
      </w:r>
      <w:r>
        <w:rPr>
          <w:rFonts w:hint="eastAsia" w:ascii="宋体" w:hAnsi="宋体" w:cs="宋体"/>
          <w:bCs/>
          <w:color w:val="auto"/>
          <w:sz w:val="24"/>
        </w:rPr>
        <w:t>磋商响应文件</w:t>
      </w:r>
      <w:r>
        <w:rPr>
          <w:rFonts w:hint="eastAsia" w:ascii="宋体" w:hAnsi="宋体" w:cs="宋体"/>
          <w:color w:val="auto"/>
          <w:sz w:val="24"/>
        </w:rPr>
        <w:t>填写：资格审查文件</w:t>
      </w:r>
    </w:p>
    <w:p>
      <w:pPr>
        <w:spacing w:line="360" w:lineRule="auto"/>
        <w:ind w:firstLine="2400" w:firstLineChars="1000"/>
        <w:rPr>
          <w:rFonts w:ascii="宋体" w:hAnsi="宋体" w:cs="宋体"/>
          <w:bCs/>
          <w:color w:val="auto"/>
          <w:sz w:val="24"/>
        </w:rPr>
      </w:pPr>
      <w:r>
        <w:rPr>
          <w:rFonts w:hint="eastAsia" w:ascii="宋体" w:hAnsi="宋体" w:cs="宋体"/>
          <w:color w:val="auto"/>
          <w:sz w:val="24"/>
        </w:rPr>
        <w:t>对应</w:t>
      </w:r>
      <w:r>
        <w:rPr>
          <w:rFonts w:hint="eastAsia" w:ascii="宋体" w:hAnsi="宋体" w:cs="宋体"/>
          <w:bCs/>
          <w:color w:val="auto"/>
          <w:sz w:val="24"/>
        </w:rPr>
        <w:t>磋商响应文件</w:t>
      </w:r>
      <w:r>
        <w:rPr>
          <w:rFonts w:hint="eastAsia" w:ascii="宋体" w:hAnsi="宋体" w:cs="宋体"/>
          <w:color w:val="auto"/>
          <w:sz w:val="24"/>
        </w:rPr>
        <w:t>填写：商务技术文件</w:t>
      </w:r>
    </w:p>
    <w:p>
      <w:pPr>
        <w:spacing w:line="360" w:lineRule="auto"/>
        <w:ind w:firstLine="2400" w:firstLineChars="1000"/>
        <w:rPr>
          <w:rFonts w:ascii="宋体" w:hAnsi="宋体" w:cs="宋体"/>
          <w:bCs/>
          <w:color w:val="auto"/>
          <w:sz w:val="24"/>
        </w:rPr>
      </w:pPr>
      <w:r>
        <w:rPr>
          <w:rFonts w:hint="eastAsia" w:ascii="宋体" w:hAnsi="宋体" w:cs="宋体"/>
          <w:color w:val="auto"/>
          <w:sz w:val="24"/>
        </w:rPr>
        <w:t>对应</w:t>
      </w:r>
      <w:r>
        <w:rPr>
          <w:rFonts w:hint="eastAsia" w:ascii="宋体" w:hAnsi="宋体" w:cs="宋体"/>
          <w:bCs/>
          <w:color w:val="auto"/>
          <w:sz w:val="24"/>
        </w:rPr>
        <w:t>磋商响应文件</w:t>
      </w:r>
      <w:r>
        <w:rPr>
          <w:rFonts w:hint="eastAsia" w:ascii="宋体" w:hAnsi="宋体" w:cs="宋体"/>
          <w:color w:val="auto"/>
          <w:sz w:val="24"/>
        </w:rPr>
        <w:t>填写：报价文件</w:t>
      </w:r>
    </w:p>
    <w:p>
      <w:pPr>
        <w:jc w:val="center"/>
        <w:rPr>
          <w:rFonts w:ascii="宋体" w:hAnsi="宋体" w:cs="宋体"/>
          <w:b/>
          <w:color w:val="auto"/>
          <w:sz w:val="24"/>
        </w:rPr>
      </w:pPr>
      <w:r>
        <w:rPr>
          <w:rFonts w:hint="eastAsia" w:ascii="宋体" w:hAnsi="宋体" w:cs="宋体"/>
          <w:b/>
          <w:color w:val="auto"/>
          <w:sz w:val="24"/>
        </w:rPr>
        <w:t>（资格后审）</w:t>
      </w:r>
    </w:p>
    <w:p>
      <w:pPr>
        <w:jc w:val="center"/>
        <w:rPr>
          <w:rFonts w:ascii="宋体" w:hAnsi="宋体" w:cs="宋体"/>
          <w:b/>
          <w:color w:val="auto"/>
          <w:sz w:val="24"/>
        </w:rPr>
      </w:pPr>
    </w:p>
    <w:p>
      <w:pPr>
        <w:snapToGrid w:val="0"/>
        <w:spacing w:line="520" w:lineRule="exact"/>
        <w:jc w:val="center"/>
        <w:rPr>
          <w:rFonts w:ascii="宋体" w:hAnsi="宋体" w:cs="宋体"/>
          <w:b/>
          <w:color w:val="auto"/>
          <w:sz w:val="24"/>
        </w:rPr>
      </w:pPr>
      <w:r>
        <w:rPr>
          <w:rFonts w:hint="eastAsia" w:ascii="宋体" w:hAnsi="宋体" w:cs="宋体"/>
          <w:b/>
          <w:color w:val="auto"/>
          <w:sz w:val="24"/>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ind w:firstLine="1440" w:firstLineChars="600"/>
        <w:rPr>
          <w:rFonts w:ascii="宋体" w:hAnsi="宋体" w:cs="宋体"/>
          <w:color w:val="auto"/>
          <w:sz w:val="24"/>
        </w:rPr>
      </w:pPr>
      <w:r>
        <w:rPr>
          <w:rFonts w:hint="eastAsia" w:ascii="宋体" w:hAnsi="宋体" w:cs="宋体"/>
          <w:color w:val="auto"/>
          <w:sz w:val="24"/>
        </w:rPr>
        <w:t>响应供应商：参加供应商全称（公章）</w:t>
      </w:r>
    </w:p>
    <w:p>
      <w:pPr>
        <w:spacing w:line="360" w:lineRule="auto"/>
        <w:ind w:firstLine="1440" w:firstLineChars="600"/>
        <w:rPr>
          <w:rFonts w:ascii="宋体" w:hAnsi="宋体" w:cs="宋体"/>
          <w:color w:val="auto"/>
          <w:sz w:val="24"/>
        </w:rPr>
      </w:pPr>
      <w:r>
        <w:rPr>
          <w:rFonts w:hint="eastAsia" w:ascii="宋体" w:hAnsi="宋体" w:cs="宋体"/>
          <w:color w:val="auto"/>
          <w:sz w:val="24"/>
        </w:rPr>
        <w:t>日  期：      年  月  日</w:t>
      </w:r>
    </w:p>
    <w:p>
      <w:pPr>
        <w:jc w:val="left"/>
        <w:rPr>
          <w:rFonts w:ascii="宋体" w:hAnsi="宋体" w:cs="宋体"/>
          <w:b/>
          <w:bCs/>
          <w:color w:val="auto"/>
          <w:sz w:val="24"/>
        </w:rPr>
      </w:pPr>
      <w:r>
        <w:rPr>
          <w:rFonts w:ascii="宋体" w:hAnsi="宋体" w:cs="宋体"/>
          <w:color w:val="auto"/>
          <w:sz w:val="24"/>
        </w:rPr>
        <w:br w:type="page"/>
      </w:r>
      <w:r>
        <w:rPr>
          <w:rFonts w:hint="eastAsia" w:ascii="宋体" w:hAnsi="宋体" w:cs="宋体"/>
          <w:b/>
          <w:bCs/>
          <w:color w:val="auto"/>
          <w:sz w:val="24"/>
        </w:rPr>
        <w:t>一、资格审查文件相关的格式文件及表格</w:t>
      </w:r>
    </w:p>
    <w:p>
      <w:pPr>
        <w:snapToGrid w:val="0"/>
        <w:spacing w:line="360" w:lineRule="auto"/>
        <w:jc w:val="center"/>
        <w:outlineLvl w:val="4"/>
        <w:rPr>
          <w:rFonts w:ascii="宋体" w:hAnsi="宋体" w:cs="宋体"/>
          <w:b/>
          <w:bCs/>
          <w:color w:val="auto"/>
          <w:sz w:val="24"/>
        </w:rPr>
      </w:pPr>
    </w:p>
    <w:p>
      <w:pPr>
        <w:snapToGrid w:val="0"/>
        <w:spacing w:line="520" w:lineRule="exact"/>
        <w:jc w:val="center"/>
        <w:outlineLvl w:val="3"/>
        <w:rPr>
          <w:rFonts w:ascii="宋体" w:hAnsi="宋体" w:cs="宋体"/>
          <w:b/>
          <w:bCs/>
          <w:color w:val="auto"/>
          <w:sz w:val="24"/>
        </w:rPr>
      </w:pPr>
      <w:r>
        <w:rPr>
          <w:rFonts w:hint="eastAsia" w:ascii="宋体" w:hAnsi="宋体" w:cs="宋体"/>
          <w:b/>
          <w:bCs/>
          <w:color w:val="auto"/>
          <w:sz w:val="24"/>
        </w:rPr>
        <w:t>1、供应商符合《政府采购法》第二十二条规定条件的声明函</w:t>
      </w:r>
    </w:p>
    <w:p>
      <w:pPr>
        <w:snapToGrid w:val="0"/>
        <w:spacing w:before="240" w:line="520" w:lineRule="exact"/>
        <w:ind w:firstLine="480" w:firstLineChars="200"/>
        <w:jc w:val="left"/>
        <w:outlineLvl w:val="2"/>
        <w:rPr>
          <w:rFonts w:ascii="宋体" w:hAnsi="宋体" w:cs="宋体"/>
          <w:bCs/>
          <w:color w:val="auto"/>
          <w:sz w:val="24"/>
        </w:rPr>
      </w:pPr>
      <w:r>
        <w:rPr>
          <w:rFonts w:hint="eastAsia" w:ascii="宋体" w:hAnsi="宋体" w:cs="宋体"/>
          <w:bCs/>
          <w:color w:val="auto"/>
          <w:sz w:val="24"/>
        </w:rPr>
        <w:t>我单位参加</w:t>
      </w:r>
      <w:r>
        <w:rPr>
          <w:rFonts w:hint="eastAsia" w:ascii="宋体" w:hAnsi="宋体" w:cs="宋体"/>
          <w:bCs/>
          <w:color w:val="auto"/>
          <w:sz w:val="24"/>
          <w:u w:val="single"/>
        </w:rPr>
        <w:t xml:space="preserve">       项目</w:t>
      </w:r>
      <w:r>
        <w:rPr>
          <w:rFonts w:hint="eastAsia" w:ascii="宋体" w:hAnsi="宋体" w:cs="宋体"/>
          <w:bCs/>
          <w:color w:val="auto"/>
          <w:sz w:val="24"/>
        </w:rPr>
        <w:t>（项目名称），</w:t>
      </w:r>
      <w:r>
        <w:rPr>
          <w:rFonts w:hint="eastAsia" w:ascii="宋体" w:hAnsi="宋体" w:cs="宋体"/>
          <w:bCs/>
          <w:color w:val="auto"/>
          <w:sz w:val="24"/>
          <w:u w:val="single"/>
        </w:rPr>
        <w:t xml:space="preserve">       </w:t>
      </w:r>
      <w:r>
        <w:rPr>
          <w:rFonts w:hint="eastAsia" w:ascii="宋体" w:hAnsi="宋体" w:cs="宋体"/>
          <w:bCs/>
          <w:color w:val="auto"/>
          <w:sz w:val="24"/>
        </w:rPr>
        <w:t>（项目编号）磋商活动。针对《中华人民共和国政府采购法》第二十二条规定做出如下声明：</w:t>
      </w:r>
    </w:p>
    <w:p>
      <w:pPr>
        <w:snapToGrid w:val="0"/>
        <w:spacing w:line="520" w:lineRule="exact"/>
        <w:ind w:firstLine="480" w:firstLineChars="200"/>
        <w:jc w:val="left"/>
        <w:outlineLvl w:val="2"/>
        <w:rPr>
          <w:rFonts w:ascii="宋体" w:hAnsi="宋体" w:cs="宋体"/>
          <w:bCs/>
          <w:color w:val="auto"/>
          <w:sz w:val="24"/>
        </w:rPr>
      </w:pPr>
      <w:r>
        <w:rPr>
          <w:rFonts w:hint="eastAsia" w:ascii="宋体" w:hAnsi="宋体" w:cs="宋体"/>
          <w:bCs/>
          <w:color w:val="auto"/>
          <w:sz w:val="24"/>
        </w:rPr>
        <w:t>1、我单位具有独立承担民事责任的能力；</w:t>
      </w:r>
    </w:p>
    <w:p>
      <w:pPr>
        <w:snapToGrid w:val="0"/>
        <w:spacing w:line="520" w:lineRule="exact"/>
        <w:ind w:firstLine="480" w:firstLineChars="200"/>
        <w:jc w:val="left"/>
        <w:outlineLvl w:val="2"/>
        <w:rPr>
          <w:rFonts w:ascii="宋体" w:hAnsi="宋体" w:cs="宋体"/>
          <w:bCs/>
          <w:color w:val="auto"/>
          <w:sz w:val="24"/>
        </w:rPr>
      </w:pPr>
      <w:r>
        <w:rPr>
          <w:rFonts w:hint="eastAsia" w:ascii="宋体" w:hAnsi="宋体" w:cs="宋体"/>
          <w:bCs/>
          <w:color w:val="auto"/>
          <w:sz w:val="24"/>
        </w:rPr>
        <w:t>2、我单位具有良好的商业信誉和健全的财务会计制度；</w:t>
      </w:r>
    </w:p>
    <w:p>
      <w:pPr>
        <w:snapToGrid w:val="0"/>
        <w:spacing w:line="520" w:lineRule="exact"/>
        <w:ind w:firstLine="480" w:firstLineChars="200"/>
        <w:jc w:val="left"/>
        <w:outlineLvl w:val="2"/>
        <w:rPr>
          <w:rFonts w:ascii="宋体" w:hAnsi="宋体" w:cs="宋体"/>
          <w:bCs/>
          <w:color w:val="auto"/>
          <w:sz w:val="24"/>
        </w:rPr>
      </w:pPr>
      <w:r>
        <w:rPr>
          <w:rFonts w:hint="eastAsia" w:ascii="宋体" w:hAnsi="宋体" w:cs="宋体"/>
          <w:bCs/>
          <w:color w:val="auto"/>
          <w:sz w:val="24"/>
        </w:rPr>
        <w:t>3、我单位具有履行合同所必需的设备和专业技术能力；</w:t>
      </w:r>
    </w:p>
    <w:p>
      <w:pPr>
        <w:snapToGrid w:val="0"/>
        <w:spacing w:line="520" w:lineRule="exact"/>
        <w:ind w:firstLine="480" w:firstLineChars="200"/>
        <w:jc w:val="left"/>
        <w:outlineLvl w:val="2"/>
        <w:rPr>
          <w:rFonts w:ascii="宋体" w:hAnsi="宋体" w:cs="宋体"/>
          <w:bCs/>
          <w:color w:val="auto"/>
          <w:sz w:val="24"/>
        </w:rPr>
      </w:pPr>
      <w:r>
        <w:rPr>
          <w:rFonts w:hint="eastAsia" w:ascii="宋体" w:hAnsi="宋体" w:cs="宋体"/>
          <w:bCs/>
          <w:color w:val="auto"/>
          <w:sz w:val="24"/>
        </w:rPr>
        <w:t>4、我单位有依法缴纳税收和社会保障资金的良好记录；</w:t>
      </w:r>
    </w:p>
    <w:p>
      <w:pPr>
        <w:spacing w:line="520" w:lineRule="exact"/>
        <w:ind w:firstLine="482"/>
        <w:rPr>
          <w:rFonts w:ascii="宋体" w:hAnsi="宋体"/>
          <w:color w:val="auto"/>
          <w:sz w:val="24"/>
        </w:rPr>
      </w:pPr>
      <w:r>
        <w:rPr>
          <w:rFonts w:hint="eastAsia" w:ascii="宋体" w:hAnsi="宋体"/>
          <w:color w:val="auto"/>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520" w:lineRule="exact"/>
        <w:ind w:firstLine="480" w:firstLineChars="200"/>
        <w:jc w:val="left"/>
        <w:outlineLvl w:val="2"/>
        <w:rPr>
          <w:rFonts w:ascii="宋体" w:hAnsi="宋体" w:cs="宋体"/>
          <w:bCs/>
          <w:color w:val="auto"/>
          <w:sz w:val="24"/>
        </w:rPr>
      </w:pPr>
      <w:r>
        <w:rPr>
          <w:rFonts w:hint="eastAsia" w:ascii="宋体" w:hAnsi="宋体" w:cs="宋体"/>
          <w:bCs/>
          <w:color w:val="auto"/>
          <w:sz w:val="24"/>
        </w:rPr>
        <w:t>6、我单位满足法律、行政法规规定的其他条件。</w:t>
      </w:r>
    </w:p>
    <w:p>
      <w:pPr>
        <w:snapToGrid w:val="0"/>
        <w:spacing w:line="520" w:lineRule="exact"/>
        <w:jc w:val="center"/>
        <w:outlineLvl w:val="2"/>
        <w:rPr>
          <w:rFonts w:ascii="宋体" w:hAnsi="宋体" w:cs="宋体"/>
          <w:bCs/>
          <w:color w:val="auto"/>
          <w:sz w:val="24"/>
        </w:rPr>
      </w:pPr>
    </w:p>
    <w:p>
      <w:pPr>
        <w:snapToGrid w:val="0"/>
        <w:spacing w:line="520" w:lineRule="exact"/>
        <w:jc w:val="center"/>
        <w:outlineLvl w:val="2"/>
        <w:rPr>
          <w:rFonts w:ascii="宋体" w:hAnsi="宋体" w:cs="宋体"/>
          <w:bCs/>
          <w:color w:val="auto"/>
          <w:sz w:val="24"/>
        </w:rPr>
      </w:pPr>
    </w:p>
    <w:p>
      <w:pPr>
        <w:snapToGrid w:val="0"/>
        <w:spacing w:line="520" w:lineRule="exact"/>
        <w:jc w:val="center"/>
        <w:outlineLvl w:val="2"/>
        <w:rPr>
          <w:rFonts w:ascii="宋体" w:hAnsi="宋体" w:cs="宋体"/>
          <w:bCs/>
          <w:color w:val="auto"/>
          <w:sz w:val="24"/>
        </w:rPr>
      </w:pPr>
    </w:p>
    <w:p>
      <w:pPr>
        <w:snapToGrid w:val="0"/>
        <w:spacing w:line="520" w:lineRule="exact"/>
        <w:jc w:val="center"/>
        <w:outlineLvl w:val="2"/>
        <w:rPr>
          <w:rFonts w:ascii="宋体" w:hAnsi="宋体" w:cs="宋体"/>
          <w:bCs/>
          <w:color w:val="auto"/>
          <w:sz w:val="24"/>
        </w:rPr>
      </w:pPr>
      <w:r>
        <w:rPr>
          <w:rFonts w:hint="eastAsia" w:ascii="宋体" w:hAnsi="宋体" w:cs="宋体"/>
          <w:bCs/>
          <w:color w:val="auto"/>
          <w:sz w:val="24"/>
        </w:rPr>
        <w:t xml:space="preserve">                           声明人：（公章）</w:t>
      </w:r>
    </w:p>
    <w:p>
      <w:pPr>
        <w:snapToGrid w:val="0"/>
        <w:spacing w:line="360" w:lineRule="auto"/>
        <w:jc w:val="center"/>
        <w:outlineLvl w:val="4"/>
        <w:rPr>
          <w:rFonts w:ascii="宋体" w:hAnsi="宋体" w:cs="宋体"/>
          <w:b/>
          <w:bCs/>
          <w:color w:val="auto"/>
          <w:sz w:val="24"/>
        </w:rPr>
      </w:pPr>
      <w:r>
        <w:rPr>
          <w:rFonts w:hint="eastAsia" w:ascii="宋体" w:hAnsi="宋体" w:cs="宋体"/>
          <w:bCs/>
          <w:color w:val="auto"/>
          <w:sz w:val="24"/>
        </w:rPr>
        <w:t xml:space="preserve">                                          日期：        年      月     日</w:t>
      </w:r>
    </w:p>
    <w:p>
      <w:pPr>
        <w:snapToGrid w:val="0"/>
        <w:spacing w:line="360" w:lineRule="auto"/>
        <w:jc w:val="center"/>
        <w:outlineLvl w:val="4"/>
        <w:rPr>
          <w:rFonts w:ascii="宋体" w:hAnsi="宋体" w:cs="宋体"/>
          <w:b/>
          <w:bCs/>
          <w:color w:val="auto"/>
          <w:sz w:val="24"/>
        </w:rPr>
      </w:pPr>
    </w:p>
    <w:p>
      <w:pPr>
        <w:snapToGrid w:val="0"/>
        <w:spacing w:line="360" w:lineRule="auto"/>
        <w:jc w:val="center"/>
        <w:outlineLvl w:val="4"/>
        <w:rPr>
          <w:rFonts w:ascii="宋体" w:hAnsi="宋体" w:cs="宋体"/>
          <w:b/>
          <w:bCs/>
          <w:color w:val="auto"/>
          <w:sz w:val="24"/>
        </w:rPr>
      </w:pPr>
    </w:p>
    <w:p>
      <w:pPr>
        <w:snapToGrid w:val="0"/>
        <w:spacing w:line="360" w:lineRule="auto"/>
        <w:jc w:val="center"/>
        <w:outlineLvl w:val="4"/>
        <w:rPr>
          <w:rFonts w:ascii="宋体" w:hAnsi="宋体" w:cs="宋体"/>
          <w:b/>
          <w:bCs/>
          <w:color w:val="auto"/>
          <w:sz w:val="24"/>
        </w:rPr>
      </w:pPr>
    </w:p>
    <w:p>
      <w:pPr>
        <w:snapToGrid w:val="0"/>
        <w:spacing w:line="360" w:lineRule="auto"/>
        <w:jc w:val="center"/>
        <w:outlineLvl w:val="4"/>
        <w:rPr>
          <w:rFonts w:ascii="宋体" w:hAnsi="宋体" w:cs="宋体"/>
          <w:b/>
          <w:bCs/>
          <w:color w:val="auto"/>
          <w:sz w:val="24"/>
        </w:rPr>
      </w:pPr>
    </w:p>
    <w:p>
      <w:pPr>
        <w:snapToGrid w:val="0"/>
        <w:spacing w:line="360" w:lineRule="auto"/>
        <w:jc w:val="center"/>
        <w:outlineLvl w:val="4"/>
        <w:rPr>
          <w:rFonts w:ascii="宋体" w:hAnsi="宋体" w:cs="宋体"/>
          <w:b/>
          <w:bCs/>
          <w:color w:val="auto"/>
          <w:sz w:val="24"/>
        </w:rPr>
      </w:pPr>
    </w:p>
    <w:p>
      <w:pPr>
        <w:snapToGrid w:val="0"/>
        <w:spacing w:line="360" w:lineRule="auto"/>
        <w:jc w:val="center"/>
        <w:outlineLvl w:val="4"/>
        <w:rPr>
          <w:rFonts w:ascii="宋体" w:hAnsi="宋体" w:cs="宋体"/>
          <w:b/>
          <w:bCs/>
          <w:color w:val="auto"/>
          <w:sz w:val="24"/>
        </w:rPr>
      </w:pPr>
    </w:p>
    <w:p>
      <w:pPr>
        <w:snapToGrid w:val="0"/>
        <w:spacing w:line="360" w:lineRule="auto"/>
        <w:jc w:val="center"/>
        <w:outlineLvl w:val="4"/>
        <w:rPr>
          <w:rFonts w:ascii="宋体" w:hAnsi="宋体" w:cs="宋体"/>
          <w:b/>
          <w:bCs/>
          <w:color w:val="auto"/>
          <w:sz w:val="24"/>
        </w:rPr>
      </w:pPr>
    </w:p>
    <w:p>
      <w:pPr>
        <w:snapToGrid w:val="0"/>
        <w:spacing w:line="360" w:lineRule="auto"/>
        <w:jc w:val="center"/>
        <w:outlineLvl w:val="4"/>
        <w:rPr>
          <w:rFonts w:ascii="宋体" w:hAnsi="宋体" w:cs="宋体"/>
          <w:b/>
          <w:bCs/>
          <w:color w:val="auto"/>
          <w:sz w:val="24"/>
        </w:rPr>
      </w:pPr>
    </w:p>
    <w:p>
      <w:pPr>
        <w:snapToGrid w:val="0"/>
        <w:spacing w:line="360" w:lineRule="auto"/>
        <w:jc w:val="center"/>
        <w:outlineLvl w:val="4"/>
        <w:rPr>
          <w:rFonts w:ascii="宋体" w:hAnsi="宋体" w:cs="宋体"/>
          <w:b/>
          <w:bCs/>
          <w:color w:val="auto"/>
          <w:sz w:val="24"/>
        </w:rPr>
      </w:pPr>
      <w:r>
        <w:rPr>
          <w:rFonts w:hint="eastAsia" w:ascii="宋体" w:hAnsi="宋体" w:cs="宋体"/>
          <w:b/>
          <w:bCs/>
          <w:color w:val="auto"/>
          <w:sz w:val="24"/>
        </w:rPr>
        <w:t>2、关于资格文件的声明函</w:t>
      </w:r>
    </w:p>
    <w:p>
      <w:pPr>
        <w:adjustRightInd w:val="0"/>
        <w:snapToGrid w:val="0"/>
        <w:spacing w:line="360" w:lineRule="auto"/>
        <w:jc w:val="left"/>
        <w:rPr>
          <w:rFonts w:ascii="宋体" w:hAnsi="宋体" w:cs="宋体"/>
          <w:color w:val="auto"/>
          <w:sz w:val="24"/>
          <w:u w:val="single"/>
        </w:rPr>
      </w:pPr>
    </w:p>
    <w:p>
      <w:pPr>
        <w:adjustRightInd w:val="0"/>
        <w:snapToGrid w:val="0"/>
        <w:spacing w:line="360" w:lineRule="auto"/>
        <w:jc w:val="left"/>
        <w:rPr>
          <w:rFonts w:ascii="宋体" w:hAnsi="宋体" w:cs="宋体"/>
          <w:color w:val="auto"/>
          <w:sz w:val="24"/>
          <w:u w:val="single"/>
        </w:rPr>
      </w:pPr>
      <w:r>
        <w:rPr>
          <w:rFonts w:hint="eastAsia" w:ascii="宋体" w:hAnsi="宋体" w:cs="宋体"/>
          <w:color w:val="auto"/>
          <w:sz w:val="24"/>
          <w:u w:val="single"/>
        </w:rPr>
        <w:t xml:space="preserve">        （采购人）      ： </w:t>
      </w:r>
    </w:p>
    <w:p>
      <w:pPr>
        <w:overflowPunct w:val="0"/>
        <w:adjustRightInd w:val="0"/>
        <w:spacing w:line="360" w:lineRule="auto"/>
        <w:ind w:firstLine="480" w:firstLineChars="200"/>
        <w:jc w:val="left"/>
        <w:textAlignment w:val="baseline"/>
        <w:rPr>
          <w:rFonts w:ascii="宋体" w:hAnsi="宋体" w:cs="宋体"/>
          <w:color w:val="auto"/>
          <w:sz w:val="24"/>
        </w:rPr>
      </w:pPr>
      <w:r>
        <w:rPr>
          <w:rFonts w:hint="eastAsia" w:ascii="宋体" w:hAnsi="宋体" w:cs="宋体"/>
          <w:color w:val="auto"/>
          <w:sz w:val="24"/>
        </w:rPr>
        <w:t>本公司愿就由贵单位组织实施的</w:t>
      </w:r>
      <w:r>
        <w:rPr>
          <w:rFonts w:hint="eastAsia" w:ascii="宋体" w:hAnsi="宋体" w:cs="宋体"/>
          <w:color w:val="auto"/>
          <w:sz w:val="24"/>
          <w:u w:val="single"/>
        </w:rPr>
        <w:t xml:space="preserve">          （磋商项目名称及项目编号</w:t>
      </w:r>
      <w:r>
        <w:rPr>
          <w:rFonts w:ascii="宋体" w:hAnsi="宋体" w:cs="宋体"/>
          <w:color w:val="auto"/>
          <w:sz w:val="24"/>
          <w:u w:val="single"/>
        </w:rPr>
        <w:t>)</w:t>
      </w:r>
      <w:r>
        <w:rPr>
          <w:rFonts w:hint="eastAsia" w:ascii="宋体" w:hAnsi="宋体" w:cs="宋体"/>
          <w:color w:val="auto"/>
          <w:sz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cs="宋体"/>
          <w:color w:val="auto"/>
          <w:sz w:val="24"/>
        </w:rPr>
      </w:pPr>
    </w:p>
    <w:p>
      <w:pPr>
        <w:overflowPunct w:val="0"/>
        <w:adjustRightInd w:val="0"/>
        <w:spacing w:line="360" w:lineRule="auto"/>
        <w:ind w:firstLine="420"/>
        <w:jc w:val="left"/>
        <w:textAlignment w:val="baseline"/>
        <w:rPr>
          <w:rFonts w:ascii="宋体" w:hAnsi="宋体" w:cs="宋体"/>
          <w:color w:val="auto"/>
          <w:sz w:val="24"/>
        </w:rPr>
      </w:pPr>
    </w:p>
    <w:p>
      <w:pPr>
        <w:spacing w:line="360" w:lineRule="auto"/>
        <w:ind w:firstLine="480" w:firstLineChars="200"/>
        <w:jc w:val="right"/>
        <w:rPr>
          <w:rFonts w:ascii="宋体" w:hAnsi="宋体" w:cs="宋体"/>
          <w:color w:val="auto"/>
          <w:sz w:val="24"/>
        </w:rPr>
      </w:pPr>
      <w:r>
        <w:rPr>
          <w:rFonts w:hint="eastAsia" w:ascii="宋体" w:hAnsi="宋体" w:cs="宋体"/>
          <w:color w:val="auto"/>
          <w:sz w:val="24"/>
        </w:rPr>
        <w:t>响应供应商：</w:t>
      </w:r>
      <w:r>
        <w:rPr>
          <w:rFonts w:hint="eastAsia" w:ascii="宋体" w:hAnsi="宋体" w:cs="宋体"/>
          <w:color w:val="auto"/>
          <w:sz w:val="24"/>
          <w:u w:val="single"/>
        </w:rPr>
        <w:t xml:space="preserve">                    </w:t>
      </w:r>
      <w:r>
        <w:rPr>
          <w:rFonts w:hint="eastAsia" w:ascii="宋体" w:hAnsi="宋体" w:cs="宋体"/>
          <w:color w:val="auto"/>
          <w:sz w:val="24"/>
        </w:rPr>
        <w:t>（加盖公章）</w:t>
      </w:r>
    </w:p>
    <w:p>
      <w:pPr>
        <w:spacing w:line="360" w:lineRule="auto"/>
        <w:ind w:firstLine="480" w:firstLineChars="200"/>
        <w:jc w:val="right"/>
        <w:rPr>
          <w:rFonts w:ascii="宋体" w:hAnsi="宋体" w:cs="宋体"/>
          <w:color w:val="auto"/>
          <w:sz w:val="24"/>
        </w:rPr>
      </w:pPr>
      <w:r>
        <w:rPr>
          <w:rFonts w:hint="eastAsia" w:ascii="宋体" w:hAnsi="宋体" w:cs="宋体"/>
          <w:color w:val="auto"/>
          <w:sz w:val="24"/>
        </w:rPr>
        <w:t>法定代表人或被授权人：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360" w:lineRule="auto"/>
        <w:ind w:firstLine="1320" w:firstLineChars="550"/>
        <w:jc w:val="right"/>
        <w:rPr>
          <w:rFonts w:ascii="宋体" w:hAnsi="宋体" w:cs="宋体"/>
          <w:color w:val="auto"/>
          <w:sz w:val="24"/>
        </w:rPr>
      </w:pPr>
      <w:r>
        <w:rPr>
          <w:rFonts w:hint="eastAsia" w:ascii="宋体" w:hAnsi="宋体" w:cs="宋体"/>
          <w:color w:val="auto"/>
          <w:sz w:val="24"/>
        </w:rPr>
        <w:t>年      月     日</w:t>
      </w:r>
    </w:p>
    <w:p>
      <w:pPr>
        <w:spacing w:line="360" w:lineRule="auto"/>
        <w:jc w:val="center"/>
        <w:rPr>
          <w:rFonts w:ascii="宋体" w:hAnsi="宋体" w:cs="宋体"/>
          <w:b/>
          <w:bCs/>
          <w:color w:val="auto"/>
          <w:sz w:val="24"/>
        </w:rPr>
      </w:pPr>
      <w:r>
        <w:rPr>
          <w:rFonts w:ascii="宋体" w:hAnsi="宋体" w:cs="宋体"/>
          <w:b/>
          <w:bCs/>
          <w:color w:val="auto"/>
          <w:sz w:val="24"/>
        </w:rPr>
        <w:br w:type="page"/>
      </w:r>
      <w:r>
        <w:rPr>
          <w:rFonts w:hint="eastAsia" w:ascii="宋体" w:hAnsi="宋体" w:cs="宋体"/>
          <w:b/>
          <w:bCs/>
          <w:color w:val="auto"/>
          <w:sz w:val="24"/>
        </w:rPr>
        <w:t>3、法定代表人身份证明</w:t>
      </w:r>
    </w:p>
    <w:p>
      <w:pPr>
        <w:spacing w:line="360" w:lineRule="auto"/>
        <w:jc w:val="center"/>
        <w:rPr>
          <w:rFonts w:ascii="宋体" w:hAnsi="宋体" w:cs="宋体"/>
          <w:color w:val="auto"/>
          <w:sz w:val="24"/>
        </w:rPr>
      </w:pPr>
      <w:r>
        <w:rPr>
          <w:rFonts w:hint="eastAsia" w:ascii="宋体" w:hAnsi="宋体" w:cs="宋体"/>
          <w:color w:val="auto"/>
          <w:sz w:val="24"/>
          <w:u w:val="single"/>
        </w:rPr>
        <w:t>（法定代表人参加磋商时，须出示此证明）</w:t>
      </w:r>
    </w:p>
    <w:p>
      <w:pPr>
        <w:adjustRightInd w:val="0"/>
        <w:snapToGrid w:val="0"/>
        <w:spacing w:line="360" w:lineRule="auto"/>
        <w:jc w:val="left"/>
        <w:rPr>
          <w:rFonts w:ascii="宋体" w:hAnsi="宋体" w:cs="宋体"/>
          <w:color w:val="auto"/>
          <w:sz w:val="24"/>
          <w:u w:val="single"/>
        </w:rPr>
      </w:pPr>
    </w:p>
    <w:p>
      <w:pPr>
        <w:adjustRightInd w:val="0"/>
        <w:snapToGrid w:val="0"/>
        <w:spacing w:line="360" w:lineRule="auto"/>
        <w:jc w:val="left"/>
        <w:rPr>
          <w:rFonts w:ascii="宋体" w:hAnsi="宋体" w:cs="宋体"/>
          <w:color w:val="auto"/>
          <w:sz w:val="24"/>
          <w:u w:val="single"/>
        </w:rPr>
      </w:pPr>
      <w:r>
        <w:rPr>
          <w:rFonts w:hint="eastAsia" w:ascii="宋体" w:hAnsi="宋体" w:cs="宋体"/>
          <w:color w:val="auto"/>
          <w:sz w:val="24"/>
          <w:u w:val="single"/>
        </w:rPr>
        <w:t xml:space="preserve">       （采购人）      ： </w:t>
      </w:r>
    </w:p>
    <w:p>
      <w:pPr>
        <w:spacing w:line="360" w:lineRule="auto"/>
        <w:ind w:firstLine="480" w:firstLineChars="200"/>
        <w:rPr>
          <w:rFonts w:ascii="宋体" w:hAnsi="宋体" w:cs="宋体"/>
          <w:color w:val="auto"/>
          <w:sz w:val="24"/>
        </w:rPr>
      </w:pPr>
      <w:r>
        <w:rPr>
          <w:rFonts w:hint="eastAsia" w:ascii="宋体" w:hAnsi="宋体" w:cs="宋体"/>
          <w:color w:val="auto"/>
          <w:sz w:val="24"/>
        </w:rPr>
        <w:t>我公司法定代表人</w:t>
      </w:r>
      <w:r>
        <w:rPr>
          <w:rFonts w:hint="eastAsia" w:ascii="宋体" w:hAnsi="宋体" w:cs="宋体"/>
          <w:color w:val="auto"/>
          <w:sz w:val="24"/>
          <w:u w:val="single"/>
        </w:rPr>
        <w:t>　　　</w:t>
      </w:r>
      <w:r>
        <w:rPr>
          <w:rFonts w:hint="eastAsia" w:ascii="宋体" w:hAnsi="宋体" w:cs="宋体"/>
          <w:color w:val="auto"/>
          <w:sz w:val="24"/>
        </w:rPr>
        <w:t>参加贵单位组织的</w:t>
      </w:r>
      <w:r>
        <w:rPr>
          <w:rFonts w:hint="eastAsia" w:ascii="宋体" w:hAnsi="宋体" w:cs="宋体"/>
          <w:color w:val="auto"/>
          <w:sz w:val="24"/>
          <w:u w:val="single"/>
        </w:rPr>
        <w:t>（竞争性磋商项目名称及项目编号</w:t>
      </w:r>
      <w:r>
        <w:rPr>
          <w:rFonts w:ascii="宋体" w:hAnsi="宋体" w:cs="宋体"/>
          <w:color w:val="auto"/>
          <w:sz w:val="24"/>
          <w:u w:val="single"/>
        </w:rPr>
        <w:t>)</w:t>
      </w:r>
      <w:r>
        <w:rPr>
          <w:rFonts w:hint="eastAsia" w:ascii="宋体" w:hAnsi="宋体" w:cs="宋体"/>
          <w:color w:val="auto"/>
          <w:sz w:val="24"/>
        </w:rPr>
        <w:t>项目的磋商活动，全权代表我公司处理竞争性磋商的有关事宜。</w:t>
      </w:r>
    </w:p>
    <w:p>
      <w:pPr>
        <w:spacing w:line="360" w:lineRule="auto"/>
        <w:ind w:firstLine="480" w:firstLineChars="200"/>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附：法定代表人情况：</w:t>
      </w:r>
    </w:p>
    <w:p>
      <w:pPr>
        <w:spacing w:line="360" w:lineRule="auto"/>
        <w:rPr>
          <w:rFonts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 xml:space="preserve"> 年龄：</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手机： </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adjustRightInd w:val="0"/>
        <w:snapToGrid w:val="0"/>
        <w:spacing w:line="360" w:lineRule="auto"/>
        <w:ind w:firstLine="482"/>
        <w:rPr>
          <w:color w:val="auto"/>
          <w:kern w:val="0"/>
          <w:sz w:val="24"/>
          <w:szCs w:val="20"/>
          <w:shd w:val="clear" w:color="auto" w:fill="FFFFFF"/>
        </w:rPr>
      </w:pPr>
    </w:p>
    <w:p>
      <w:pPr>
        <w:rPr>
          <w:rFonts w:ascii="宋体" w:hAnsi="宋体" w:cs="宋体"/>
          <w:color w:val="auto"/>
          <w:sz w:val="24"/>
        </w:rPr>
      </w:pPr>
    </w:p>
    <w:p>
      <w:pPr>
        <w:widowControl/>
        <w:tabs>
          <w:tab w:val="right" w:leader="hyphen" w:pos="9736"/>
        </w:tabs>
        <w:spacing w:after="100" w:line="276" w:lineRule="auto"/>
        <w:jc w:val="center"/>
        <w:rPr>
          <w:rFonts w:ascii="Calibri" w:hAnsi="Calibri"/>
          <w:color w:val="auto"/>
          <w:kern w:val="0"/>
          <w:sz w:val="22"/>
          <w:szCs w:val="22"/>
        </w:rPr>
      </w:pPr>
    </w:p>
    <w:p>
      <w:pPr>
        <w:spacing w:line="360" w:lineRule="auto"/>
        <w:rPr>
          <w:rFonts w:ascii="宋体" w:hAnsi="宋体" w:cs="宋体"/>
          <w:color w:val="auto"/>
          <w:sz w:val="24"/>
        </w:rPr>
      </w:pPr>
      <w:r>
        <w:rPr>
          <w:rFonts w:hint="eastAsia" w:ascii="宋体" w:hAnsi="宋体" w:cs="宋体"/>
          <w:color w:val="auto"/>
          <w:sz w:val="24"/>
        </w:rPr>
        <w:t>单位名称（公章）             法定代表人（签字或盖章）</w:t>
      </w:r>
    </w:p>
    <w:p>
      <w:pPr>
        <w:spacing w:line="360" w:lineRule="auto"/>
        <w:ind w:firstLine="1200" w:firstLineChars="500"/>
        <w:rPr>
          <w:rFonts w:ascii="宋体" w:hAnsi="宋体" w:cs="宋体"/>
          <w:color w:val="auto"/>
          <w:sz w:val="24"/>
        </w:rPr>
      </w:pPr>
      <w:r>
        <w:rPr>
          <w:rFonts w:hint="eastAsia" w:ascii="宋体" w:hAnsi="宋体" w:cs="宋体"/>
          <w:color w:val="auto"/>
          <w:sz w:val="24"/>
        </w:rPr>
        <w:t xml:space="preserve">年   月   日                 年   月    日  </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法定代表人身份证复印件（正反面）</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ind w:firstLine="2280" w:firstLineChars="950"/>
        <w:rPr>
          <w:rFonts w:ascii="宋体" w:hAnsi="宋体" w:cs="宋体"/>
          <w:color w:val="auto"/>
          <w:sz w:val="24"/>
        </w:rPr>
      </w:pPr>
      <w:r>
        <w:rPr>
          <w:rFonts w:hint="eastAsia" w:ascii="宋体" w:hAnsi="宋体" w:cs="宋体"/>
          <w:color w:val="auto"/>
          <w:sz w:val="24"/>
        </w:rPr>
        <w:t>（粘贴此处）</w:t>
      </w:r>
    </w:p>
    <w:p>
      <w:pPr>
        <w:spacing w:line="360" w:lineRule="auto"/>
        <w:ind w:firstLine="2289" w:firstLineChars="950"/>
        <w:rPr>
          <w:rFonts w:ascii="宋体" w:hAnsi="宋体" w:cs="宋体"/>
          <w:b/>
          <w:bCs/>
          <w:color w:val="auto"/>
          <w:sz w:val="24"/>
        </w:rPr>
      </w:pPr>
    </w:p>
    <w:p>
      <w:pPr>
        <w:spacing w:line="360" w:lineRule="auto"/>
        <w:ind w:firstLine="2289" w:firstLineChars="950"/>
        <w:rPr>
          <w:rFonts w:ascii="宋体" w:hAnsi="宋体" w:cs="宋体"/>
          <w:b/>
          <w:bCs/>
          <w:color w:val="auto"/>
          <w:sz w:val="24"/>
        </w:rPr>
      </w:pPr>
      <w:r>
        <w:rPr>
          <w:rFonts w:hint="eastAsia" w:ascii="宋体" w:hAnsi="宋体" w:cs="宋体"/>
          <w:b/>
          <w:bCs/>
          <w:color w:val="auto"/>
          <w:sz w:val="24"/>
        </w:rPr>
        <w:t xml:space="preserve"> </w:t>
      </w:r>
    </w:p>
    <w:p>
      <w:pPr>
        <w:spacing w:line="360" w:lineRule="auto"/>
        <w:rPr>
          <w:rFonts w:ascii="宋体" w:hAnsi="宋体" w:cs="宋体"/>
          <w:color w:val="auto"/>
          <w:sz w:val="24"/>
        </w:rPr>
      </w:pPr>
      <w:r>
        <w:rPr>
          <w:rFonts w:hint="eastAsia" w:ascii="宋体" w:hAnsi="宋体" w:cs="宋体"/>
          <w:b/>
          <w:bCs/>
          <w:color w:val="auto"/>
          <w:sz w:val="24"/>
        </w:rPr>
        <w:t>注: 如为法定代表人参加竞磋时，须将身份证原件带至磋商现场备查。</w:t>
      </w:r>
    </w:p>
    <w:p>
      <w:pPr>
        <w:spacing w:line="360" w:lineRule="auto"/>
        <w:jc w:val="center"/>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4、授权委托书</w:t>
      </w:r>
    </w:p>
    <w:p>
      <w:pPr>
        <w:snapToGrid w:val="0"/>
        <w:spacing w:line="360" w:lineRule="auto"/>
        <w:jc w:val="center"/>
        <w:rPr>
          <w:rFonts w:ascii="宋体" w:hAnsi="宋体" w:cs="宋体"/>
          <w:color w:val="auto"/>
          <w:sz w:val="24"/>
          <w:u w:val="single"/>
        </w:rPr>
      </w:pPr>
      <w:r>
        <w:rPr>
          <w:rFonts w:hint="eastAsia" w:ascii="宋体" w:hAnsi="宋体" w:cs="宋体"/>
          <w:color w:val="auto"/>
          <w:sz w:val="24"/>
          <w:u w:val="single"/>
        </w:rPr>
        <w:t>（被授权人参加磋商时，须出示此证明）</w:t>
      </w:r>
    </w:p>
    <w:p>
      <w:pPr>
        <w:snapToGrid w:val="0"/>
        <w:spacing w:line="360" w:lineRule="auto"/>
        <w:rPr>
          <w:rFonts w:ascii="宋体" w:hAnsi="宋体" w:cs="宋体"/>
          <w:bCs/>
          <w:color w:val="auto"/>
          <w:sz w:val="24"/>
        </w:rPr>
      </w:pPr>
    </w:p>
    <w:p>
      <w:pPr>
        <w:adjustRightInd w:val="0"/>
        <w:snapToGrid w:val="0"/>
        <w:spacing w:line="360" w:lineRule="auto"/>
        <w:jc w:val="left"/>
        <w:rPr>
          <w:rFonts w:ascii="宋体" w:hAnsi="宋体" w:cs="宋体"/>
          <w:color w:val="auto"/>
          <w:sz w:val="24"/>
          <w:u w:val="single"/>
        </w:rPr>
      </w:pPr>
      <w:r>
        <w:rPr>
          <w:rFonts w:hint="eastAsia" w:ascii="宋体" w:hAnsi="宋体" w:cs="宋体"/>
          <w:color w:val="auto"/>
          <w:sz w:val="24"/>
          <w:u w:val="single"/>
        </w:rPr>
        <w:t xml:space="preserve">      （采购人）      ： </w:t>
      </w:r>
    </w:p>
    <w:p>
      <w:pPr>
        <w:snapToGrid w:val="0"/>
        <w:spacing w:line="360" w:lineRule="auto"/>
        <w:ind w:firstLine="480" w:firstLineChars="200"/>
        <w:rPr>
          <w:rFonts w:ascii="宋体" w:hAnsi="宋体" w:cs="宋体"/>
          <w:color w:val="auto"/>
          <w:sz w:val="24"/>
        </w:rPr>
      </w:pPr>
      <w:r>
        <w:rPr>
          <w:rFonts w:hint="eastAsia" w:hAnsi="宋体" w:cs="宋体"/>
          <w:color w:val="auto"/>
          <w:sz w:val="24"/>
        </w:rPr>
        <w:t>兹授权</w:t>
      </w:r>
      <w:r>
        <w:rPr>
          <w:rFonts w:hint="eastAsia" w:hAnsi="宋体" w:cs="宋体"/>
          <w:color w:val="auto"/>
          <w:sz w:val="24"/>
          <w:u w:val="single"/>
        </w:rPr>
        <w:t xml:space="preserve">    （</w:t>
      </w:r>
      <w:r>
        <w:rPr>
          <w:rFonts w:hint="eastAsia" w:hAnsi="宋体" w:cs="宋体"/>
          <w:color w:val="auto"/>
          <w:sz w:val="24"/>
        </w:rPr>
        <w:t>被授权人的姓名）代表我公司参加</w:t>
      </w:r>
      <w:r>
        <w:rPr>
          <w:rFonts w:hint="eastAsia" w:hAnsi="宋体" w:cs="宋体"/>
          <w:color w:val="auto"/>
          <w:sz w:val="24"/>
          <w:u w:val="single"/>
        </w:rPr>
        <w:t xml:space="preserve">   （</w:t>
      </w:r>
      <w:r>
        <w:rPr>
          <w:rFonts w:hint="eastAsia" w:ascii="宋体" w:hAnsi="宋体" w:cs="宋体"/>
          <w:color w:val="auto"/>
          <w:sz w:val="24"/>
          <w:u w:val="single"/>
        </w:rPr>
        <w:t>竞争性磋商项目名称及项目编号</w:t>
      </w:r>
      <w:r>
        <w:rPr>
          <w:rFonts w:hAnsi="宋体"/>
          <w:color w:val="auto"/>
          <w:sz w:val="24"/>
          <w:u w:val="single"/>
        </w:rPr>
        <w:t>)</w:t>
      </w:r>
      <w:r>
        <w:rPr>
          <w:rFonts w:hint="eastAsia" w:hAnsi="宋体" w:cs="宋体"/>
          <w:color w:val="auto"/>
          <w:sz w:val="24"/>
        </w:rPr>
        <w:t>项目的政府采购活动，全权处理一切与该采购项目有关的事务。其在办理上述事宜过程中所签署的所有文件我公司均予以承认。</w:t>
      </w:r>
    </w:p>
    <w:p>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被授权人无转委托权，特此委托。</w:t>
      </w:r>
    </w:p>
    <w:p>
      <w:pPr>
        <w:adjustRightInd w:val="0"/>
        <w:snapToGrid w:val="0"/>
        <w:spacing w:line="360" w:lineRule="auto"/>
        <w:ind w:firstLine="480" w:firstLineChars="200"/>
        <w:jc w:val="left"/>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附：被授权人情况：</w:t>
      </w:r>
    </w:p>
    <w:p>
      <w:pPr>
        <w:spacing w:line="360" w:lineRule="auto"/>
        <w:rPr>
          <w:rFonts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 xml:space="preserve"> 年龄：</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手机：</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单位名称（公章）             法定代表人（签字或盖章）</w:t>
      </w:r>
    </w:p>
    <w:p>
      <w:pPr>
        <w:spacing w:line="360" w:lineRule="auto"/>
        <w:ind w:firstLine="1200" w:firstLineChars="500"/>
        <w:rPr>
          <w:rFonts w:ascii="宋体" w:hAnsi="宋体" w:cs="宋体"/>
          <w:color w:val="auto"/>
          <w:sz w:val="24"/>
        </w:rPr>
      </w:pPr>
      <w:r>
        <w:rPr>
          <w:rFonts w:hint="eastAsia" w:ascii="宋体" w:hAnsi="宋体" w:cs="宋体"/>
          <w:color w:val="auto"/>
          <w:sz w:val="24"/>
        </w:rPr>
        <w:t xml:space="preserve">年   月   日                 年   月    日  </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法定代表人身份证复印件（正反面）</w:t>
      </w:r>
    </w:p>
    <w:p>
      <w:pPr>
        <w:spacing w:line="360" w:lineRule="auto"/>
        <w:rPr>
          <w:rFonts w:ascii="宋体" w:hAnsi="宋体" w:cs="宋体"/>
          <w:color w:val="auto"/>
          <w:sz w:val="24"/>
        </w:rPr>
      </w:pPr>
    </w:p>
    <w:p>
      <w:pPr>
        <w:spacing w:line="360" w:lineRule="auto"/>
        <w:ind w:firstLine="2160" w:firstLineChars="900"/>
        <w:rPr>
          <w:rFonts w:ascii="宋体" w:hAnsi="宋体" w:cs="宋体"/>
          <w:color w:val="auto"/>
          <w:sz w:val="24"/>
        </w:rPr>
      </w:pPr>
      <w:r>
        <w:rPr>
          <w:rFonts w:hint="eastAsia" w:ascii="宋体" w:hAnsi="宋体" w:cs="宋体"/>
          <w:color w:val="auto"/>
          <w:sz w:val="24"/>
        </w:rPr>
        <w:t>（粘贴此处）</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被授权人身份证复印件（正反面）</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ind w:firstLine="2280" w:firstLineChars="950"/>
        <w:rPr>
          <w:rFonts w:ascii="宋体" w:hAnsi="宋体" w:cs="宋体"/>
          <w:color w:val="auto"/>
          <w:sz w:val="24"/>
        </w:rPr>
      </w:pPr>
      <w:r>
        <w:rPr>
          <w:rFonts w:hint="eastAsia" w:ascii="宋体" w:hAnsi="宋体" w:cs="宋体"/>
          <w:color w:val="auto"/>
          <w:sz w:val="24"/>
        </w:rPr>
        <w:t>（粘贴此处）</w:t>
      </w:r>
    </w:p>
    <w:p>
      <w:pPr>
        <w:spacing w:line="360" w:lineRule="auto"/>
        <w:ind w:firstLine="2289" w:firstLineChars="950"/>
        <w:rPr>
          <w:rFonts w:ascii="宋体" w:hAnsi="宋体" w:cs="宋体"/>
          <w:b/>
          <w:bCs/>
          <w:color w:val="auto"/>
          <w:sz w:val="24"/>
        </w:rPr>
      </w:pPr>
    </w:p>
    <w:p>
      <w:pPr>
        <w:spacing w:line="360" w:lineRule="auto"/>
        <w:rPr>
          <w:rFonts w:ascii="宋体" w:hAnsi="宋体" w:cs="宋体"/>
          <w:color w:val="auto"/>
          <w:sz w:val="24"/>
        </w:rPr>
      </w:pPr>
      <w:r>
        <w:rPr>
          <w:rFonts w:hint="eastAsia" w:ascii="宋体" w:hAnsi="宋体" w:cs="宋体"/>
          <w:b/>
          <w:bCs/>
          <w:color w:val="auto"/>
          <w:sz w:val="24"/>
        </w:rPr>
        <w:t>注: 如为被授权人参加竞磋时，须将身份证原件带至磋商现场备查。</w:t>
      </w:r>
    </w:p>
    <w:p>
      <w:pPr>
        <w:snapToGrid w:val="0"/>
        <w:spacing w:line="360" w:lineRule="auto"/>
        <w:ind w:left="984" w:hanging="984" w:hangingChars="350"/>
        <w:jc w:val="center"/>
        <w:rPr>
          <w:b/>
          <w:color w:val="auto"/>
          <w:kern w:val="44"/>
          <w:sz w:val="28"/>
          <w:szCs w:val="28"/>
        </w:rPr>
      </w:pPr>
    </w:p>
    <w:p>
      <w:pPr>
        <w:spacing w:line="360" w:lineRule="auto"/>
        <w:jc w:val="left"/>
        <w:rPr>
          <w:rFonts w:ascii="宋体" w:hAnsi="宋体" w:cs="宋体"/>
          <w:b/>
          <w:bCs/>
          <w:color w:val="auto"/>
          <w:sz w:val="24"/>
        </w:rPr>
      </w:pPr>
      <w:r>
        <w:rPr>
          <w:rFonts w:hint="eastAsia" w:ascii="宋体" w:hAnsi="宋体" w:cs="宋体"/>
          <w:b/>
          <w:bCs/>
          <w:color w:val="auto"/>
          <w:sz w:val="24"/>
        </w:rPr>
        <w:t>二、商务技术标相关的格式文件及表格</w:t>
      </w:r>
    </w:p>
    <w:p>
      <w:pPr>
        <w:spacing w:line="360" w:lineRule="auto"/>
        <w:jc w:val="center"/>
        <w:rPr>
          <w:rFonts w:ascii="宋体" w:hAnsi="宋体" w:cs="宋体"/>
          <w:b/>
          <w:bCs/>
          <w:color w:val="auto"/>
          <w:sz w:val="24"/>
        </w:rPr>
      </w:pPr>
      <w:r>
        <w:rPr>
          <w:rFonts w:hint="eastAsia" w:ascii="宋体" w:hAnsi="宋体" w:cs="宋体"/>
          <w:b/>
          <w:color w:val="auto"/>
          <w:sz w:val="24"/>
        </w:rPr>
        <w:t>1</w:t>
      </w:r>
      <w:r>
        <w:rPr>
          <w:rFonts w:hint="eastAsia" w:ascii="宋体" w:hAnsi="宋体" w:cs="宋体"/>
          <w:b/>
          <w:bCs/>
          <w:color w:val="auto"/>
          <w:sz w:val="24"/>
        </w:rPr>
        <w:t>、竞争性磋商响应函</w:t>
      </w:r>
    </w:p>
    <w:p>
      <w:pPr>
        <w:spacing w:line="360" w:lineRule="auto"/>
        <w:rPr>
          <w:rFonts w:ascii="宋体" w:hAnsi="宋体" w:cs="宋体"/>
          <w:color w:val="auto"/>
          <w:sz w:val="24"/>
        </w:rPr>
      </w:pPr>
      <w:r>
        <w:rPr>
          <w:rFonts w:hint="eastAsia" w:ascii="宋体" w:hAnsi="宋体" w:cs="宋体"/>
          <w:color w:val="auto"/>
          <w:sz w:val="24"/>
          <w:u w:val="single"/>
        </w:rPr>
        <w:t>致    （采购人）    ：</w:t>
      </w:r>
    </w:p>
    <w:p>
      <w:pPr>
        <w:pStyle w:val="36"/>
        <w:shd w:val="clear" w:color="auto" w:fill="FFFFFF"/>
        <w:wordWrap w:val="0"/>
        <w:spacing w:before="0" w:beforeAutospacing="0" w:after="0" w:afterAutospacing="0" w:line="480" w:lineRule="exact"/>
        <w:ind w:firstLine="480" w:firstLineChars="200"/>
        <w:rPr>
          <w:rFonts w:ascii="Times New Roman" w:hAnsi="Times New Roman" w:cs="Times New Roman"/>
          <w:color w:val="auto"/>
        </w:rPr>
      </w:pPr>
      <w:r>
        <w:rPr>
          <w:rFonts w:ascii="Times New Roman" w:hAnsi="Times New Roman" w:cs="Times New Roman"/>
          <w:color w:val="auto"/>
        </w:rPr>
        <w:t>根据贵方的</w:t>
      </w:r>
      <w:r>
        <w:rPr>
          <w:rFonts w:ascii="Times New Roman" w:hAnsi="Times New Roman" w:cs="Times New Roman"/>
          <w:color w:val="auto"/>
          <w:u w:val="single"/>
        </w:rPr>
        <w:t xml:space="preserve">        </w:t>
      </w:r>
      <w:r>
        <w:rPr>
          <w:rFonts w:hint="eastAsia" w:ascii="Times New Roman" w:hAnsi="Times New Roman" w:cs="Times New Roman"/>
          <w:color w:val="auto"/>
          <w:u w:val="single"/>
        </w:rPr>
        <w:t>（竞争性磋商项目名称和项目编号）</w:t>
      </w:r>
      <w:r>
        <w:rPr>
          <w:rFonts w:ascii="Times New Roman" w:hAnsi="Times New Roman" w:cs="Times New Roman"/>
          <w:color w:val="auto"/>
        </w:rPr>
        <w:t>磋商文件，正式授权下述签字人</w:t>
      </w:r>
      <w:r>
        <w:rPr>
          <w:rFonts w:ascii="Times New Roman" w:hAnsi="Times New Roman" w:cs="Times New Roman"/>
          <w:color w:val="auto"/>
          <w:u w:val="single"/>
        </w:rPr>
        <w:t xml:space="preserve">         (姓名和职务)</w:t>
      </w:r>
      <w:r>
        <w:rPr>
          <w:rFonts w:ascii="Times New Roman" w:hAnsi="Times New Roman" w:cs="Times New Roman"/>
          <w:color w:val="auto"/>
        </w:rPr>
        <w:t>代表我方</w:t>
      </w:r>
      <w:r>
        <w:rPr>
          <w:rFonts w:ascii="Times New Roman" w:hAnsi="Times New Roman" w:cs="Times New Roman"/>
          <w:color w:val="auto"/>
          <w:u w:val="single"/>
        </w:rPr>
        <w:t xml:space="preserve">         （供应商的名称）</w:t>
      </w:r>
      <w:r>
        <w:rPr>
          <w:rFonts w:ascii="Times New Roman" w:hAnsi="Times New Roman" w:cs="Times New Roman"/>
          <w:color w:val="auto"/>
        </w:rPr>
        <w:t>，全权处理本次项目磋商采购的有关事宜。</w:t>
      </w:r>
    </w:p>
    <w:p>
      <w:pPr>
        <w:pStyle w:val="36"/>
        <w:shd w:val="clear" w:color="auto" w:fill="FFFFFF"/>
        <w:wordWrap w:val="0"/>
        <w:spacing w:before="0" w:beforeAutospacing="0" w:after="0" w:afterAutospacing="0" w:line="480" w:lineRule="exact"/>
        <w:ind w:firstLine="480" w:firstLineChars="200"/>
        <w:rPr>
          <w:rFonts w:ascii="Times New Roman" w:hAnsi="Times New Roman" w:cs="Times New Roman"/>
          <w:color w:val="auto"/>
        </w:rPr>
      </w:pPr>
      <w:r>
        <w:rPr>
          <w:rFonts w:ascii="Times New Roman" w:hAnsi="Times New Roman" w:cs="Times New Roman"/>
          <w:color w:val="auto"/>
        </w:rPr>
        <w:t>据此函，</w:t>
      </w:r>
      <w:r>
        <w:rPr>
          <w:rFonts w:ascii="Times New Roman" w:hAnsi="Times New Roman" w:cs="Times New Roman"/>
          <w:color w:val="auto"/>
          <w:u w:val="single"/>
        </w:rPr>
        <w:t xml:space="preserve">       （签字人</w:t>
      </w:r>
      <w:r>
        <w:rPr>
          <w:rFonts w:hint="eastAsia" w:ascii="Times New Roman" w:hAnsi="Times New Roman" w:cs="Times New Roman"/>
          <w:color w:val="auto"/>
          <w:u w:val="single"/>
        </w:rPr>
        <w:t>姓名</w:t>
      </w:r>
      <w:r>
        <w:rPr>
          <w:rFonts w:ascii="Times New Roman" w:hAnsi="Times New Roman" w:cs="Times New Roman"/>
          <w:color w:val="auto"/>
          <w:u w:val="single"/>
        </w:rPr>
        <w:t>）</w:t>
      </w:r>
      <w:r>
        <w:rPr>
          <w:rFonts w:ascii="Times New Roman" w:hAnsi="Times New Roman" w:cs="Times New Roman"/>
          <w:color w:val="auto"/>
        </w:rPr>
        <w:t>兹宣布同意如下：</w:t>
      </w:r>
    </w:p>
    <w:p>
      <w:pPr>
        <w:pStyle w:val="36"/>
        <w:shd w:val="clear" w:color="auto" w:fill="FFFFFF"/>
        <w:wordWrap w:val="0"/>
        <w:spacing w:before="0" w:beforeAutospacing="0" w:after="0" w:afterAutospacing="0" w:line="480" w:lineRule="exact"/>
        <w:ind w:firstLine="480" w:firstLineChars="200"/>
        <w:rPr>
          <w:rFonts w:ascii="Times New Roman" w:hAnsi="Times New Roman" w:cs="Times New Roman"/>
          <w:color w:val="auto"/>
        </w:rPr>
      </w:pPr>
      <w:r>
        <w:rPr>
          <w:rFonts w:ascii="Times New Roman" w:hAnsi="Times New Roman" w:cs="Times New Roman"/>
          <w:color w:val="auto"/>
        </w:rPr>
        <w:t>1.按磋商文件规定的各项要求，向买方提供所需货物、服务。</w:t>
      </w:r>
    </w:p>
    <w:p>
      <w:pPr>
        <w:pStyle w:val="36"/>
        <w:shd w:val="clear" w:color="auto" w:fill="FFFFFF"/>
        <w:wordWrap w:val="0"/>
        <w:spacing w:before="0" w:beforeAutospacing="0" w:after="0" w:afterAutospacing="0" w:line="480" w:lineRule="exact"/>
        <w:ind w:firstLine="480" w:firstLineChars="200"/>
        <w:rPr>
          <w:rFonts w:ascii="Times New Roman" w:hAnsi="Times New Roman" w:cs="Times New Roman"/>
          <w:color w:val="auto"/>
        </w:rPr>
      </w:pPr>
      <w:r>
        <w:rPr>
          <w:rFonts w:ascii="Times New Roman" w:hAnsi="Times New Roman" w:cs="Times New Roman"/>
          <w:color w:val="auto"/>
        </w:rPr>
        <w:t>2.我们已详细审核全部磋商文件及其有效补充文件，我们知道必须放弃提出含糊不清或误解问题的权利。</w:t>
      </w:r>
    </w:p>
    <w:p>
      <w:pPr>
        <w:pStyle w:val="36"/>
        <w:shd w:val="clear" w:color="auto" w:fill="FFFFFF"/>
        <w:wordWrap w:val="0"/>
        <w:spacing w:before="0" w:beforeAutospacing="0" w:after="0" w:afterAutospacing="0" w:line="480" w:lineRule="exact"/>
        <w:ind w:firstLine="480" w:firstLineChars="200"/>
        <w:rPr>
          <w:rFonts w:ascii="Times New Roman" w:hAnsi="Times New Roman" w:cs="Times New Roman"/>
          <w:color w:val="auto"/>
        </w:rPr>
      </w:pPr>
      <w:r>
        <w:rPr>
          <w:rFonts w:ascii="Times New Roman" w:hAnsi="Times New Roman" w:cs="Times New Roman"/>
          <w:color w:val="auto"/>
        </w:rPr>
        <w:t>3.我们同意从规定的响应文件接收截止时间起遵循本响应文件，并在规定的磋商、有效期期满之前均具有约束力。</w:t>
      </w:r>
    </w:p>
    <w:p>
      <w:pPr>
        <w:pStyle w:val="36"/>
        <w:shd w:val="clear" w:color="auto" w:fill="FFFFFF"/>
        <w:wordWrap w:val="0"/>
        <w:spacing w:before="0" w:beforeAutospacing="0" w:after="0" w:afterAutospacing="0" w:line="480" w:lineRule="exact"/>
        <w:ind w:firstLine="480" w:firstLineChars="200"/>
        <w:rPr>
          <w:rFonts w:ascii="Times New Roman" w:hAnsi="Times New Roman" w:cs="Times New Roman"/>
          <w:color w:val="auto"/>
        </w:rPr>
      </w:pPr>
      <w:r>
        <w:rPr>
          <w:rFonts w:ascii="Times New Roman" w:hAnsi="Times New Roman" w:cs="Times New Roman"/>
          <w:color w:val="auto"/>
        </w:rPr>
        <w:t>4.同意向贵方提供贵方可能另外要求的与磋商采购有关的任何证据或资料，并保证我方已提供和将要提供的文件是真实的、准确的。</w:t>
      </w:r>
    </w:p>
    <w:p>
      <w:pPr>
        <w:pStyle w:val="36"/>
        <w:shd w:val="clear" w:color="auto" w:fill="FFFFFF"/>
        <w:wordWrap w:val="0"/>
        <w:spacing w:before="0" w:beforeAutospacing="0" w:after="0" w:afterAutospacing="0" w:line="480" w:lineRule="exact"/>
        <w:ind w:firstLine="480" w:firstLineChars="200"/>
        <w:rPr>
          <w:rFonts w:ascii="Times New Roman" w:hAnsi="Times New Roman" w:cs="Times New Roman"/>
          <w:color w:val="auto"/>
        </w:rPr>
      </w:pPr>
      <w:r>
        <w:rPr>
          <w:rFonts w:ascii="Times New Roman" w:hAnsi="Times New Roman" w:cs="Times New Roman"/>
          <w:color w:val="auto"/>
        </w:rPr>
        <w:t>5.一旦我方成交，我方将根据磋商文件的规定，严格履行合同的责任和义务，并保证在磋商文件规定的时间完成项目，交付买方验收、使用。</w:t>
      </w:r>
    </w:p>
    <w:p>
      <w:pPr>
        <w:pStyle w:val="36"/>
        <w:shd w:val="clear" w:color="auto" w:fill="FFFFFF"/>
        <w:wordWrap w:val="0"/>
        <w:spacing w:before="0" w:beforeAutospacing="0" w:after="0" w:afterAutospacing="0" w:line="480" w:lineRule="exact"/>
        <w:ind w:firstLine="480" w:firstLineChars="200"/>
        <w:rPr>
          <w:rFonts w:ascii="Times New Roman" w:hAnsi="Times New Roman" w:cs="Times New Roman"/>
          <w:color w:val="auto"/>
        </w:rPr>
      </w:pPr>
      <w:r>
        <w:rPr>
          <w:rFonts w:ascii="Times New Roman" w:hAnsi="Times New Roman" w:cs="Times New Roman"/>
          <w:color w:val="auto"/>
        </w:rPr>
        <w:t>6.遵守磋商文件中要求的收费项目和标准。</w:t>
      </w:r>
    </w:p>
    <w:p>
      <w:pPr>
        <w:pStyle w:val="36"/>
        <w:shd w:val="clear" w:color="auto" w:fill="FFFFFF"/>
        <w:wordWrap w:val="0"/>
        <w:spacing w:before="0" w:beforeAutospacing="0" w:after="0" w:afterAutospacing="0" w:line="480" w:lineRule="exact"/>
        <w:ind w:firstLine="480" w:firstLineChars="200"/>
        <w:rPr>
          <w:rFonts w:ascii="Times New Roman" w:hAnsi="Times New Roman" w:cs="Times New Roman"/>
          <w:color w:val="auto"/>
        </w:rPr>
      </w:pPr>
      <w:r>
        <w:rPr>
          <w:rFonts w:ascii="Times New Roman" w:hAnsi="Times New Roman" w:cs="Times New Roman"/>
          <w:color w:val="auto"/>
        </w:rPr>
        <w:t>7.与本磋商采购有关的正式通讯地址为：</w:t>
      </w:r>
    </w:p>
    <w:p>
      <w:pPr>
        <w:widowControl/>
        <w:shd w:val="clear" w:color="auto" w:fill="FFFFFF"/>
        <w:wordWrap w:val="0"/>
        <w:spacing w:line="480" w:lineRule="exact"/>
        <w:ind w:firstLine="480" w:firstLineChars="200"/>
        <w:jc w:val="left"/>
        <w:rPr>
          <w:rFonts w:ascii="宋体" w:hAnsi="宋体" w:cs="Tahoma"/>
          <w:color w:val="auto"/>
          <w:kern w:val="0"/>
          <w:sz w:val="24"/>
        </w:rPr>
      </w:pPr>
      <w:r>
        <w:rPr>
          <w:rFonts w:hint="eastAsia" w:ascii="宋体" w:hAnsi="宋体" w:cs="Tahoma"/>
          <w:color w:val="auto"/>
          <w:kern w:val="0"/>
          <w:sz w:val="24"/>
        </w:rPr>
        <w:t>地址</w:t>
      </w:r>
      <w:r>
        <w:rPr>
          <w:rFonts w:hint="eastAsia" w:ascii="宋体" w:hAnsi="宋体" w:cs="Tahoma"/>
          <w:color w:val="auto"/>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color w:val="auto"/>
          <w:kern w:val="0"/>
          <w:sz w:val="24"/>
        </w:rPr>
      </w:pPr>
      <w:r>
        <w:rPr>
          <w:rFonts w:hint="eastAsia" w:ascii="宋体" w:hAnsi="宋体" w:cs="Tahoma"/>
          <w:color w:val="auto"/>
          <w:kern w:val="0"/>
          <w:sz w:val="24"/>
        </w:rPr>
        <w:t>邮编</w:t>
      </w:r>
      <w:r>
        <w:rPr>
          <w:rFonts w:hint="eastAsia" w:ascii="宋体" w:hAnsi="宋体" w:cs="Tahoma"/>
          <w:color w:val="auto"/>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color w:val="auto"/>
          <w:kern w:val="0"/>
          <w:sz w:val="24"/>
        </w:rPr>
      </w:pPr>
      <w:r>
        <w:rPr>
          <w:rFonts w:hint="eastAsia" w:ascii="宋体" w:hAnsi="宋体" w:cs="Tahoma"/>
          <w:color w:val="auto"/>
          <w:kern w:val="0"/>
          <w:sz w:val="24"/>
        </w:rPr>
        <w:t>电话</w:t>
      </w:r>
      <w:r>
        <w:rPr>
          <w:rFonts w:hint="eastAsia" w:ascii="宋体" w:hAnsi="宋体" w:cs="Tahoma"/>
          <w:color w:val="auto"/>
          <w:kern w:val="0"/>
          <w:sz w:val="24"/>
          <w:u w:val="single"/>
        </w:rPr>
        <w:t xml:space="preserve">：            </w:t>
      </w:r>
      <w:r>
        <w:rPr>
          <w:rFonts w:hint="eastAsia" w:ascii="宋体" w:hAnsi="宋体" w:cs="Tahoma"/>
          <w:color w:val="auto"/>
          <w:kern w:val="0"/>
          <w:sz w:val="24"/>
        </w:rPr>
        <w:t xml:space="preserve"> </w:t>
      </w:r>
    </w:p>
    <w:p>
      <w:pPr>
        <w:widowControl/>
        <w:shd w:val="clear" w:color="auto" w:fill="FFFFFF"/>
        <w:wordWrap w:val="0"/>
        <w:spacing w:line="480" w:lineRule="exact"/>
        <w:ind w:firstLine="480" w:firstLineChars="200"/>
        <w:jc w:val="left"/>
        <w:rPr>
          <w:rFonts w:ascii="宋体" w:hAnsi="宋体" w:cs="Tahoma"/>
          <w:color w:val="auto"/>
          <w:kern w:val="0"/>
          <w:sz w:val="24"/>
        </w:rPr>
      </w:pPr>
      <w:r>
        <w:rPr>
          <w:rFonts w:hint="eastAsia" w:ascii="宋体" w:hAnsi="宋体" w:cs="Tahoma"/>
          <w:color w:val="auto"/>
          <w:kern w:val="0"/>
          <w:sz w:val="24"/>
        </w:rPr>
        <w:t>传真</w:t>
      </w:r>
      <w:r>
        <w:rPr>
          <w:rFonts w:hint="eastAsia" w:ascii="宋体" w:hAnsi="宋体" w:cs="Tahoma"/>
          <w:color w:val="auto"/>
          <w:kern w:val="0"/>
          <w:sz w:val="24"/>
          <w:u w:val="single"/>
        </w:rPr>
        <w:t xml:space="preserve">：            </w:t>
      </w:r>
      <w:r>
        <w:rPr>
          <w:rFonts w:hint="eastAsia" w:ascii="宋体" w:hAnsi="宋体" w:cs="Tahoma"/>
          <w:color w:val="auto"/>
          <w:kern w:val="0"/>
          <w:sz w:val="24"/>
        </w:rPr>
        <w:t xml:space="preserve"> </w:t>
      </w:r>
    </w:p>
    <w:p>
      <w:pPr>
        <w:widowControl/>
        <w:shd w:val="clear" w:color="auto" w:fill="FFFFFF"/>
        <w:wordWrap w:val="0"/>
        <w:spacing w:line="480" w:lineRule="exact"/>
        <w:ind w:firstLine="480" w:firstLineChars="200"/>
        <w:jc w:val="left"/>
        <w:rPr>
          <w:rFonts w:ascii="宋体" w:hAnsi="宋体" w:cs="Tahoma"/>
          <w:color w:val="auto"/>
          <w:kern w:val="0"/>
          <w:sz w:val="24"/>
        </w:rPr>
      </w:pPr>
      <w:r>
        <w:rPr>
          <w:rFonts w:hint="eastAsia" w:ascii="宋体" w:hAnsi="宋体" w:cs="Tahoma"/>
          <w:color w:val="auto"/>
          <w:kern w:val="0"/>
          <w:sz w:val="24"/>
        </w:rPr>
        <w:t>供应商开户行</w:t>
      </w:r>
      <w:r>
        <w:rPr>
          <w:rFonts w:hint="eastAsia" w:ascii="宋体" w:hAnsi="宋体" w:cs="Tahoma"/>
          <w:color w:val="auto"/>
          <w:kern w:val="0"/>
          <w:sz w:val="24"/>
          <w:u w:val="single"/>
        </w:rPr>
        <w:t xml:space="preserve">：            </w:t>
      </w:r>
      <w:r>
        <w:rPr>
          <w:rFonts w:hint="eastAsia" w:ascii="宋体" w:hAnsi="宋体" w:cs="Tahoma"/>
          <w:color w:val="auto"/>
          <w:kern w:val="0"/>
          <w:sz w:val="24"/>
        </w:rPr>
        <w:t xml:space="preserve"> </w:t>
      </w:r>
    </w:p>
    <w:p>
      <w:pPr>
        <w:widowControl/>
        <w:shd w:val="clear" w:color="auto" w:fill="FFFFFF"/>
        <w:wordWrap w:val="0"/>
        <w:spacing w:line="480" w:lineRule="exact"/>
        <w:ind w:firstLine="480" w:firstLineChars="200"/>
        <w:jc w:val="left"/>
        <w:rPr>
          <w:rFonts w:ascii="宋体" w:hAnsi="宋体" w:cs="Tahoma"/>
          <w:color w:val="auto"/>
          <w:kern w:val="0"/>
          <w:sz w:val="24"/>
        </w:rPr>
      </w:pPr>
      <w:r>
        <w:rPr>
          <w:rFonts w:hint="eastAsia" w:ascii="宋体" w:hAnsi="宋体" w:cs="Tahoma"/>
          <w:color w:val="auto"/>
          <w:kern w:val="0"/>
          <w:sz w:val="24"/>
        </w:rPr>
        <w:t>账户</w:t>
      </w:r>
      <w:r>
        <w:rPr>
          <w:rFonts w:hint="eastAsia" w:ascii="宋体" w:hAnsi="宋体" w:cs="Tahoma"/>
          <w:color w:val="auto"/>
          <w:kern w:val="0"/>
          <w:sz w:val="24"/>
          <w:u w:val="single"/>
        </w:rPr>
        <w:t xml:space="preserve">：            </w:t>
      </w:r>
      <w:r>
        <w:rPr>
          <w:rFonts w:hint="eastAsia" w:ascii="宋体" w:hAnsi="宋体" w:cs="Tahoma"/>
          <w:color w:val="auto"/>
          <w:kern w:val="0"/>
          <w:sz w:val="24"/>
        </w:rPr>
        <w:t xml:space="preserve"> </w:t>
      </w:r>
    </w:p>
    <w:p>
      <w:pPr>
        <w:widowControl/>
        <w:shd w:val="clear" w:color="auto" w:fill="FFFFFF"/>
        <w:wordWrap w:val="0"/>
        <w:spacing w:line="480" w:lineRule="exact"/>
        <w:jc w:val="left"/>
        <w:rPr>
          <w:rFonts w:ascii="宋体" w:hAnsi="宋体" w:cs="Tahoma"/>
          <w:color w:val="auto"/>
          <w:kern w:val="0"/>
          <w:sz w:val="24"/>
        </w:rPr>
      </w:pPr>
    </w:p>
    <w:p>
      <w:pPr>
        <w:kinsoku w:val="0"/>
        <w:topLinePunct/>
        <w:snapToGrid w:val="0"/>
        <w:spacing w:line="480" w:lineRule="exact"/>
        <w:ind w:firstLine="480" w:firstLineChars="200"/>
        <w:rPr>
          <w:rFonts w:ascii="宋体" w:hAnsi="宋体" w:cs="宋体"/>
          <w:color w:val="auto"/>
          <w:sz w:val="24"/>
        </w:rPr>
      </w:pPr>
      <w:r>
        <w:rPr>
          <w:rFonts w:hint="eastAsia" w:ascii="宋体" w:hAnsi="宋体" w:cs="宋体"/>
          <w:color w:val="auto"/>
          <w:sz w:val="24"/>
        </w:rPr>
        <w:t xml:space="preserve">供应商：（盖章）             </w:t>
      </w:r>
    </w:p>
    <w:p>
      <w:pPr>
        <w:kinsoku w:val="0"/>
        <w:topLinePunct/>
        <w:snapToGrid w:val="0"/>
        <w:spacing w:line="480" w:lineRule="exact"/>
        <w:ind w:firstLine="480" w:firstLineChars="200"/>
        <w:rPr>
          <w:rFonts w:ascii="宋体" w:hAnsi="宋体" w:cs="宋体"/>
          <w:color w:val="auto"/>
          <w:sz w:val="24"/>
        </w:rPr>
      </w:pPr>
      <w:r>
        <w:rPr>
          <w:rFonts w:hint="eastAsia" w:ascii="宋体" w:hAnsi="宋体" w:cs="宋体"/>
          <w:color w:val="auto"/>
          <w:sz w:val="24"/>
        </w:rPr>
        <w:t>法定代表人或被授权人（签字或盖章）：</w:t>
      </w:r>
    </w:p>
    <w:p>
      <w:pPr>
        <w:kinsoku w:val="0"/>
        <w:topLinePunct/>
        <w:snapToGrid w:val="0"/>
        <w:spacing w:line="480" w:lineRule="exact"/>
        <w:ind w:firstLine="480" w:firstLineChars="200"/>
        <w:rPr>
          <w:rFonts w:ascii="宋体" w:hAnsi="宋体" w:cs="宋体"/>
          <w:color w:val="auto"/>
          <w:sz w:val="24"/>
        </w:rPr>
      </w:pPr>
      <w:r>
        <w:rPr>
          <w:rFonts w:hint="eastAsia" w:ascii="宋体" w:hAnsi="宋体" w:cs="宋体"/>
          <w:color w:val="auto"/>
          <w:sz w:val="24"/>
        </w:rPr>
        <w:t>日期：</w:t>
      </w:r>
    </w:p>
    <w:p>
      <w:pPr>
        <w:spacing w:line="480" w:lineRule="exact"/>
        <w:ind w:firstLine="964" w:firstLineChars="400"/>
        <w:rPr>
          <w:rFonts w:ascii="宋体" w:hAnsi="宋体"/>
          <w:color w:val="auto"/>
          <w:sz w:val="24"/>
        </w:rPr>
      </w:pPr>
      <w:r>
        <w:rPr>
          <w:rFonts w:ascii="宋体" w:hAnsi="宋体" w:cs="宋体"/>
          <w:b/>
          <w:bCs/>
          <w:color w:val="auto"/>
          <w:sz w:val="24"/>
        </w:rPr>
        <w:br w:type="page"/>
      </w:r>
    </w:p>
    <w:p>
      <w:pPr>
        <w:spacing w:line="360" w:lineRule="auto"/>
        <w:jc w:val="center"/>
        <w:rPr>
          <w:rFonts w:ascii="宋体" w:hAnsi="宋体" w:cs="宋体"/>
          <w:b/>
          <w:bCs/>
          <w:color w:val="auto"/>
          <w:sz w:val="24"/>
        </w:rPr>
      </w:pPr>
      <w:r>
        <w:rPr>
          <w:rFonts w:hint="eastAsia" w:ascii="宋体" w:hAnsi="宋体" w:cs="宋体"/>
          <w:b/>
          <w:bCs/>
          <w:color w:val="auto"/>
          <w:sz w:val="24"/>
        </w:rPr>
        <w:t>2、供应商一般情况表</w:t>
      </w:r>
    </w:p>
    <w:tbl>
      <w:tblPr>
        <w:tblStyle w:val="53"/>
        <w:tblW w:w="9464" w:type="dxa"/>
        <w:jc w:val="center"/>
        <w:tblInd w:w="0" w:type="dxa"/>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Layout w:type="fixed"/>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企业名称</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总部地址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分支机构</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当地代表处地址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电话</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4"/>
              </w:rPr>
            </w:pPr>
            <w:r>
              <w:rPr>
                <w:rFonts w:hint="eastAsia" w:ascii="宋体" w:hAnsi="宋体" w:cs="宋体"/>
                <w:color w:val="auto"/>
                <w:sz w:val="24"/>
              </w:rPr>
              <w:t>联系人</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传真</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4"/>
              </w:rPr>
            </w:pPr>
            <w:r>
              <w:rPr>
                <w:rFonts w:hint="eastAsia" w:ascii="宋体" w:hAnsi="宋体" w:cs="宋体"/>
                <w:color w:val="auto"/>
                <w:sz w:val="24"/>
              </w:rPr>
              <w:t>电子邮件</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注册地</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4"/>
              </w:rPr>
            </w:pPr>
            <w:r>
              <w:rPr>
                <w:rFonts w:hint="eastAsia" w:ascii="宋体" w:hAnsi="宋体" w:cs="宋体"/>
                <w:color w:val="auto"/>
                <w:sz w:val="24"/>
              </w:rPr>
              <w:t>注册年份</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资质等级</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公司具备的相关资质等级及相应的证书号</w:t>
            </w:r>
          </w:p>
          <w:p>
            <w:pPr>
              <w:spacing w:line="360" w:lineRule="auto"/>
              <w:rPr>
                <w:rFonts w:ascii="宋体" w:hAnsi="宋体" w:cs="宋体"/>
                <w:color w:val="auto"/>
                <w:sz w:val="24"/>
              </w:rPr>
            </w:pPr>
            <w:r>
              <w:rPr>
                <w:rFonts w:hint="eastAsia" w:ascii="宋体" w:hAnsi="宋体" w:cs="宋体"/>
                <w:color w:val="auto"/>
                <w:sz w:val="24"/>
              </w:rPr>
              <w:t>（请附有关证书的复印件）</w:t>
            </w: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质量管理体系</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公司</w:t>
            </w:r>
            <w:r>
              <w:rPr>
                <w:rFonts w:hint="eastAsia" w:ascii="宋体" w:hAnsi="宋体" w:cs="宋体"/>
                <w:color w:val="auto"/>
                <w:sz w:val="24"/>
                <w:u w:val="single"/>
              </w:rPr>
              <w:t xml:space="preserve">   （是否通过，何种）   </w:t>
            </w:r>
            <w:r>
              <w:rPr>
                <w:rFonts w:hint="eastAsia" w:ascii="宋体" w:hAnsi="宋体" w:cs="宋体"/>
                <w:color w:val="auto"/>
                <w:sz w:val="24"/>
              </w:rPr>
              <w:t>质量保证体系认证（如通过请附相关在有效期内的证书复印件）</w:t>
            </w: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559"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4"/>
              </w:rPr>
            </w:pPr>
          </w:p>
        </w:tc>
        <w:tc>
          <w:tcPr>
            <w:tcW w:w="1417"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4"/>
              </w:rPr>
            </w:pPr>
            <w:r>
              <w:rPr>
                <w:rFonts w:hint="eastAsia" w:ascii="宋体" w:hAnsi="宋体" w:cs="宋体"/>
                <w:color w:val="auto"/>
                <w:sz w:val="24"/>
              </w:rPr>
              <w:t>年龄</w:t>
            </w:r>
          </w:p>
        </w:tc>
        <w:tc>
          <w:tcPr>
            <w:tcW w:w="1466"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4"/>
              </w:rPr>
            </w:pPr>
          </w:p>
        </w:tc>
        <w:tc>
          <w:tcPr>
            <w:tcW w:w="132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4"/>
              </w:rPr>
            </w:pPr>
            <w:r>
              <w:rPr>
                <w:rFonts w:hint="eastAsia" w:ascii="宋体" w:hAnsi="宋体" w:cs="宋体"/>
                <w:color w:val="auto"/>
                <w:sz w:val="24"/>
              </w:rPr>
              <w:t>性别</w:t>
            </w:r>
          </w:p>
        </w:tc>
        <w:tc>
          <w:tcPr>
            <w:tcW w:w="1467"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sz w:val="24"/>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职务职称</w:t>
            </w:r>
          </w:p>
        </w:tc>
        <w:tc>
          <w:tcPr>
            <w:tcW w:w="2976" w:type="dxa"/>
            <w:gridSpan w:val="4"/>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c>
          <w:tcPr>
            <w:tcW w:w="1466"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执业资格</w:t>
            </w:r>
          </w:p>
        </w:tc>
        <w:tc>
          <w:tcPr>
            <w:tcW w:w="2787"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r>
        <w:tblPrEx>
          <w:tblLayout w:type="fixed"/>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经营范围</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营业执照载明：</w:t>
            </w:r>
          </w:p>
          <w:p>
            <w:pPr>
              <w:spacing w:line="360" w:lineRule="auto"/>
              <w:rPr>
                <w:rFonts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2.</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3.</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w:t>
            </w:r>
          </w:p>
        </w:tc>
      </w:tr>
      <w:tr>
        <w:tblPrEx>
          <w:tblLayout w:type="fixed"/>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r>
        <w:tblPrEx>
          <w:tblLayout w:type="fixed"/>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color w:val="auto"/>
                <w:sz w:val="24"/>
              </w:rPr>
            </w:pPr>
          </w:p>
        </w:tc>
      </w:tr>
    </w:tbl>
    <w:p>
      <w:pPr>
        <w:spacing w:line="360" w:lineRule="auto"/>
        <w:ind w:firstLine="480" w:firstLineChars="200"/>
        <w:jc w:val="righ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u w:val="single"/>
        </w:rPr>
        <w:t xml:space="preserve">                    </w:t>
      </w:r>
      <w:r>
        <w:rPr>
          <w:rFonts w:hint="eastAsia" w:ascii="宋体" w:hAnsi="宋体" w:cs="宋体"/>
          <w:color w:val="auto"/>
          <w:sz w:val="24"/>
        </w:rPr>
        <w:t>（加盖公章）</w:t>
      </w:r>
    </w:p>
    <w:p>
      <w:pPr>
        <w:spacing w:line="360" w:lineRule="auto"/>
        <w:ind w:firstLine="480" w:firstLineChars="200"/>
        <w:jc w:val="right"/>
        <w:rPr>
          <w:rFonts w:ascii="宋体" w:hAnsi="宋体" w:cs="宋体"/>
          <w:color w:val="auto"/>
          <w:sz w:val="24"/>
        </w:rPr>
      </w:pPr>
      <w:r>
        <w:rPr>
          <w:rFonts w:hint="eastAsia" w:ascii="宋体" w:hAnsi="宋体" w:cs="宋体"/>
          <w:color w:val="auto"/>
          <w:sz w:val="24"/>
        </w:rPr>
        <w:t>法定代表人或被授权人：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360" w:lineRule="auto"/>
        <w:ind w:firstLine="1320" w:firstLineChars="550"/>
        <w:jc w:val="right"/>
        <w:rPr>
          <w:rFonts w:ascii="宋体" w:hAnsi="宋体" w:cs="宋体"/>
          <w:color w:val="auto"/>
          <w:sz w:val="24"/>
        </w:rPr>
      </w:pPr>
      <w:r>
        <w:rPr>
          <w:rFonts w:hint="eastAsia" w:ascii="宋体" w:hAnsi="宋体" w:cs="宋体"/>
          <w:color w:val="auto"/>
          <w:sz w:val="24"/>
        </w:rPr>
        <w:t>年      月     日</w:t>
      </w:r>
    </w:p>
    <w:p>
      <w:pPr>
        <w:snapToGrid w:val="0"/>
        <w:spacing w:line="360" w:lineRule="auto"/>
        <w:jc w:val="center"/>
        <w:outlineLvl w:val="4"/>
        <w:rPr>
          <w:rFonts w:ascii="宋体" w:hAnsi="宋体" w:cs="宋体"/>
          <w:b/>
          <w:bCs/>
          <w:color w:val="auto"/>
          <w:sz w:val="24"/>
        </w:rPr>
      </w:pPr>
    </w:p>
    <w:p>
      <w:pPr>
        <w:spacing w:line="500" w:lineRule="exact"/>
        <w:ind w:firstLine="482" w:firstLineChars="200"/>
        <w:contextualSpacing/>
        <w:jc w:val="center"/>
        <w:rPr>
          <w:rFonts w:ascii="宋体" w:hAnsi="宋体" w:cs="宋体"/>
          <w:color w:val="auto"/>
          <w:sz w:val="24"/>
          <w:szCs w:val="21"/>
        </w:rPr>
      </w:pPr>
      <w:r>
        <w:rPr>
          <w:rFonts w:hint="eastAsia" w:ascii="宋体" w:hAnsi="宋体" w:cs="宋体"/>
          <w:b/>
          <w:bCs/>
          <w:color w:val="auto"/>
          <w:sz w:val="24"/>
          <w:szCs w:val="21"/>
        </w:rPr>
        <w:t>3、其他格式（如有）</w:t>
      </w:r>
    </w:p>
    <w:p>
      <w:pPr>
        <w:spacing w:line="520" w:lineRule="exact"/>
        <w:rPr>
          <w:rFonts w:ascii="宋体" w:hAnsi="宋体" w:cs="宋体"/>
          <w:b/>
          <w:bCs/>
          <w:color w:val="auto"/>
          <w:sz w:val="24"/>
        </w:rPr>
      </w:pPr>
    </w:p>
    <w:p>
      <w:pPr>
        <w:spacing w:line="520" w:lineRule="exact"/>
        <w:rPr>
          <w:rFonts w:ascii="宋体" w:hAnsi="宋体" w:cs="宋体"/>
          <w:b/>
          <w:color w:val="auto"/>
          <w:sz w:val="24"/>
        </w:rPr>
      </w:pPr>
      <w:r>
        <w:rPr>
          <w:rFonts w:hint="eastAsia" w:ascii="宋体" w:hAnsi="宋体" w:cs="宋体"/>
          <w:b/>
          <w:bCs/>
          <w:color w:val="auto"/>
          <w:sz w:val="24"/>
        </w:rPr>
        <w:t>三、</w:t>
      </w:r>
      <w:r>
        <w:rPr>
          <w:rFonts w:hint="eastAsia" w:ascii="宋体" w:hAnsi="宋体" w:cs="宋体"/>
          <w:b/>
          <w:color w:val="auto"/>
          <w:sz w:val="24"/>
        </w:rPr>
        <w:t>价格标文件相关的格式文件及表格</w:t>
      </w:r>
    </w:p>
    <w:p>
      <w:pPr>
        <w:snapToGrid w:val="0"/>
        <w:spacing w:line="500" w:lineRule="exact"/>
        <w:jc w:val="center"/>
        <w:outlineLvl w:val="2"/>
        <w:rPr>
          <w:b/>
          <w:color w:val="auto"/>
          <w:sz w:val="28"/>
          <w:szCs w:val="28"/>
        </w:rPr>
      </w:pPr>
      <w:r>
        <w:rPr>
          <w:rFonts w:hint="eastAsia"/>
          <w:b/>
          <w:color w:val="auto"/>
          <w:sz w:val="28"/>
          <w:szCs w:val="28"/>
        </w:rPr>
        <w:t>1、</w:t>
      </w:r>
      <w:r>
        <w:rPr>
          <w:b/>
          <w:color w:val="auto"/>
          <w:sz w:val="28"/>
          <w:szCs w:val="28"/>
        </w:rPr>
        <w:t>磋商报价总表</w:t>
      </w:r>
    </w:p>
    <w:p>
      <w:pPr>
        <w:snapToGrid w:val="0"/>
        <w:spacing w:line="500" w:lineRule="exact"/>
        <w:jc w:val="center"/>
        <w:outlineLvl w:val="2"/>
        <w:rPr>
          <w:b/>
          <w:color w:val="auto"/>
          <w:sz w:val="28"/>
          <w:szCs w:val="28"/>
        </w:rPr>
      </w:pPr>
    </w:p>
    <w:tbl>
      <w:tblPr>
        <w:tblStyle w:val="53"/>
        <w:tblW w:w="8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auto"/>
                <w:sz w:val="24"/>
              </w:rPr>
            </w:pPr>
            <w:r>
              <w:rPr>
                <w:rFonts w:hint="eastAsia" w:ascii="宋体" w:hAnsi="宋体" w:cs="宋体"/>
                <w:color w:val="auto"/>
                <w:sz w:val="24"/>
              </w:rPr>
              <w:t>项目名称</w:t>
            </w:r>
          </w:p>
        </w:tc>
        <w:tc>
          <w:tcPr>
            <w:tcW w:w="5997" w:type="dxa"/>
            <w:vAlign w:val="center"/>
          </w:tcPr>
          <w:p>
            <w:pPr>
              <w:kinsoku w:val="0"/>
              <w:topLinePunct/>
              <w:snapToGrid w:val="0"/>
              <w:spacing w:line="520" w:lineRule="exact"/>
              <w:rPr>
                <w:rFonts w:ascii="宋体" w:hAnsi="宋体"/>
                <w:strik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auto"/>
                <w:sz w:val="24"/>
              </w:rPr>
            </w:pPr>
            <w:r>
              <w:rPr>
                <w:rFonts w:hint="eastAsia" w:ascii="宋体" w:hAnsi="宋体" w:cs="宋体"/>
                <w:color w:val="auto"/>
                <w:sz w:val="24"/>
              </w:rPr>
              <w:t>项目编号</w:t>
            </w:r>
          </w:p>
        </w:tc>
        <w:tc>
          <w:tcPr>
            <w:tcW w:w="5997" w:type="dxa"/>
            <w:vAlign w:val="center"/>
          </w:tcPr>
          <w:p>
            <w:pPr>
              <w:kinsoku w:val="0"/>
              <w:topLinePunct/>
              <w:snapToGrid w:val="0"/>
              <w:spacing w:line="52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ascii="宋体" w:hAnsi="宋体"/>
                <w:color w:val="auto"/>
                <w:sz w:val="24"/>
              </w:rPr>
            </w:pPr>
            <w:r>
              <w:rPr>
                <w:rFonts w:hint="eastAsia" w:ascii="宋体" w:hAnsi="宋体" w:cs="宋体"/>
                <w:color w:val="auto"/>
                <w:sz w:val="24"/>
              </w:rPr>
              <w:t>磋商报价总计</w:t>
            </w:r>
          </w:p>
        </w:tc>
        <w:tc>
          <w:tcPr>
            <w:tcW w:w="5997" w:type="dxa"/>
            <w:vAlign w:val="center"/>
          </w:tcPr>
          <w:p>
            <w:pPr>
              <w:kinsoku w:val="0"/>
              <w:topLinePunct/>
              <w:snapToGrid w:val="0"/>
              <w:spacing w:line="520" w:lineRule="exact"/>
              <w:rPr>
                <w:rFonts w:ascii="宋体" w:hAnsi="宋体" w:cs="宋体"/>
                <w:color w:val="auto"/>
                <w:sz w:val="24"/>
              </w:rPr>
            </w:pPr>
            <w:r>
              <w:rPr>
                <w:rFonts w:ascii="宋体" w:hAnsi="宋体"/>
                <w:color w:val="auto"/>
                <w:sz w:val="24"/>
              </w:rPr>
              <w:t>¥</w:t>
            </w:r>
            <w:r>
              <w:rPr>
                <w:rFonts w:hint="eastAsia" w:ascii="宋体" w:hAnsi="宋体"/>
                <w:color w:val="auto"/>
                <w:sz w:val="24"/>
              </w:rPr>
              <w:t xml:space="preserve">       </w:t>
            </w:r>
            <w:r>
              <w:rPr>
                <w:rFonts w:hint="eastAsia" w:ascii="宋体" w:hAnsi="宋体" w:cs="宋体"/>
                <w:color w:val="auto"/>
                <w:sz w:val="24"/>
              </w:rPr>
              <w:t>元，人民币大写：   。</w:t>
            </w:r>
          </w:p>
        </w:tc>
      </w:tr>
    </w:tbl>
    <w:p>
      <w:pPr>
        <w:kinsoku w:val="0"/>
        <w:topLinePunct/>
        <w:snapToGrid w:val="0"/>
        <w:spacing w:line="520" w:lineRule="exact"/>
        <w:rPr>
          <w:rFonts w:ascii="宋体" w:hAnsi="宋体" w:cs="宋体"/>
          <w:color w:val="auto"/>
          <w:sz w:val="24"/>
        </w:rPr>
      </w:pPr>
    </w:p>
    <w:p>
      <w:pPr>
        <w:kinsoku w:val="0"/>
        <w:topLinePunct/>
        <w:snapToGrid w:val="0"/>
        <w:spacing w:line="520" w:lineRule="exact"/>
        <w:rPr>
          <w:rFonts w:ascii="宋体"/>
          <w:color w:val="auto"/>
          <w:sz w:val="24"/>
        </w:rPr>
      </w:pPr>
      <w:r>
        <w:rPr>
          <w:rFonts w:hint="eastAsia" w:ascii="宋体" w:hAnsi="宋体" w:cs="宋体"/>
          <w:color w:val="auto"/>
          <w:sz w:val="24"/>
        </w:rPr>
        <w:t>竞争性磋商响应单位：（盖章）</w:t>
      </w:r>
    </w:p>
    <w:p>
      <w:pPr>
        <w:kinsoku w:val="0"/>
        <w:topLinePunct/>
        <w:snapToGrid w:val="0"/>
        <w:spacing w:line="520" w:lineRule="exact"/>
        <w:rPr>
          <w:rFonts w:ascii="宋体"/>
          <w:color w:val="auto"/>
          <w:sz w:val="24"/>
        </w:rPr>
      </w:pPr>
      <w:r>
        <w:rPr>
          <w:rFonts w:hint="eastAsia" w:ascii="宋体" w:hAnsi="宋体" w:cs="宋体"/>
          <w:color w:val="auto"/>
          <w:sz w:val="24"/>
        </w:rPr>
        <w:t>法定代表人或被授权人（签字或盖章）：</w:t>
      </w:r>
    </w:p>
    <w:p>
      <w:pPr>
        <w:kinsoku w:val="0"/>
        <w:topLinePunct/>
        <w:snapToGrid w:val="0"/>
        <w:spacing w:line="520" w:lineRule="exact"/>
        <w:rPr>
          <w:rFonts w:ascii="宋体"/>
          <w:color w:val="auto"/>
          <w:sz w:val="24"/>
        </w:rPr>
      </w:pPr>
      <w:r>
        <w:rPr>
          <w:rFonts w:hint="eastAsia" w:ascii="宋体" w:hAnsi="宋体" w:cs="宋体"/>
          <w:color w:val="auto"/>
          <w:sz w:val="24"/>
        </w:rPr>
        <w:t>日期：</w:t>
      </w:r>
    </w:p>
    <w:p>
      <w:pPr>
        <w:spacing w:after="156"/>
        <w:ind w:firstLine="480" w:firstLineChars="200"/>
        <w:rPr>
          <w:rFonts w:ascii="Calibri" w:hAnsi="Calibri"/>
          <w:color w:val="auto"/>
          <w:sz w:val="24"/>
        </w:rPr>
      </w:pPr>
    </w:p>
    <w:p>
      <w:pPr>
        <w:snapToGrid w:val="0"/>
        <w:spacing w:line="480" w:lineRule="exact"/>
        <w:ind w:firstLine="482" w:firstLineChars="200"/>
        <w:jc w:val="left"/>
        <w:rPr>
          <w:rFonts w:ascii="宋体"/>
          <w:b/>
          <w:bCs/>
          <w:color w:val="auto"/>
          <w:sz w:val="24"/>
        </w:rPr>
      </w:pPr>
      <w:r>
        <w:rPr>
          <w:rFonts w:hint="eastAsia" w:ascii="宋体" w:hAnsi="宋体" w:cs="宋体"/>
          <w:b/>
          <w:bCs/>
          <w:color w:val="auto"/>
          <w:sz w:val="24"/>
        </w:rPr>
        <w:t>注：（</w:t>
      </w:r>
      <w:r>
        <w:rPr>
          <w:rFonts w:ascii="宋体" w:hAnsi="宋体" w:cs="宋体"/>
          <w:b/>
          <w:bCs/>
          <w:color w:val="auto"/>
          <w:sz w:val="24"/>
        </w:rPr>
        <w:t>1</w:t>
      </w:r>
      <w:r>
        <w:rPr>
          <w:rFonts w:hint="eastAsia" w:ascii="宋体" w:hAnsi="宋体" w:cs="宋体"/>
          <w:b/>
          <w:bCs/>
          <w:color w:val="auto"/>
          <w:sz w:val="24"/>
        </w:rPr>
        <w:t>）本表为格式表，不得自行改动，必须提供。</w:t>
      </w:r>
    </w:p>
    <w:p>
      <w:pPr>
        <w:snapToGrid w:val="0"/>
        <w:spacing w:line="480" w:lineRule="exact"/>
        <w:ind w:firstLine="472" w:firstLineChars="196"/>
        <w:jc w:val="left"/>
        <w:outlineLvl w:val="2"/>
        <w:rPr>
          <w:rFonts w:ascii="宋体" w:hAnsi="宋体" w:cs="宋体"/>
          <w:color w:val="auto"/>
          <w:sz w:val="24"/>
        </w:rPr>
      </w:pPr>
      <w:r>
        <w:rPr>
          <w:rFonts w:hint="eastAsia" w:ascii="宋体" w:hAnsi="宋体" w:cs="宋体"/>
          <w:b/>
          <w:bCs/>
          <w:color w:val="auto"/>
          <w:sz w:val="24"/>
        </w:rPr>
        <w:t>（2）第二次及之后的报价将在开标现场填写，响应文件密封提交时只需填写磋商响应报价表（首次）的报价。</w:t>
      </w:r>
    </w:p>
    <w:p>
      <w:pPr>
        <w:pStyle w:val="134"/>
        <w:snapToGrid w:val="0"/>
        <w:spacing w:line="360" w:lineRule="auto"/>
        <w:ind w:firstLine="480" w:firstLineChars="200"/>
        <w:contextualSpacing/>
        <w:rPr>
          <w:rFonts w:ascii="Times New Roman" w:hAnsi="Times New Roman" w:cs="Times New Roman"/>
          <w:color w:val="auto"/>
        </w:rPr>
      </w:pPr>
    </w:p>
    <w:p>
      <w:pPr>
        <w:pStyle w:val="134"/>
        <w:snapToGrid w:val="0"/>
        <w:spacing w:line="360" w:lineRule="auto"/>
        <w:ind w:firstLine="480" w:firstLineChars="200"/>
        <w:contextualSpacing/>
        <w:rPr>
          <w:rFonts w:ascii="Times New Roman" w:hAnsi="Times New Roman" w:cs="Times New Roman"/>
          <w:color w:val="auto"/>
        </w:rPr>
      </w:pPr>
    </w:p>
    <w:p>
      <w:pPr>
        <w:snapToGrid w:val="0"/>
        <w:spacing w:line="520" w:lineRule="exact"/>
        <w:rPr>
          <w:rFonts w:ascii="宋体" w:hAnsi="宋体" w:cs="宋体"/>
          <w:b/>
          <w:color w:val="auto"/>
          <w:sz w:val="24"/>
          <w:szCs w:val="21"/>
        </w:rPr>
      </w:pPr>
      <w:r>
        <w:rPr>
          <w:rFonts w:ascii="宋体" w:hAnsi="宋体" w:cs="宋体"/>
          <w:b/>
          <w:color w:val="auto"/>
          <w:sz w:val="24"/>
          <w:szCs w:val="21"/>
        </w:rPr>
        <w:br w:type="page"/>
      </w:r>
    </w:p>
    <w:p>
      <w:pPr>
        <w:numPr>
          <w:ilvl w:val="0"/>
          <w:numId w:val="6"/>
        </w:numPr>
        <w:snapToGrid w:val="0"/>
        <w:spacing w:line="500" w:lineRule="exact"/>
        <w:ind w:firstLine="689" w:firstLineChars="245"/>
        <w:jc w:val="center"/>
        <w:rPr>
          <w:rFonts w:ascii="宋体" w:hAnsi="宋体" w:cs="宋体"/>
          <w:b/>
          <w:color w:val="auto"/>
          <w:sz w:val="28"/>
          <w:szCs w:val="28"/>
        </w:rPr>
      </w:pPr>
      <w:r>
        <w:rPr>
          <w:rFonts w:hint="eastAsia" w:ascii="宋体" w:hAnsi="宋体" w:cs="宋体"/>
          <w:b/>
          <w:color w:val="auto"/>
          <w:sz w:val="28"/>
          <w:szCs w:val="28"/>
        </w:rPr>
        <w:t>磋商</w:t>
      </w:r>
      <w:r>
        <w:rPr>
          <w:rFonts w:ascii="宋体" w:hAnsi="宋体" w:cs="宋体"/>
          <w:b/>
          <w:color w:val="auto"/>
          <w:sz w:val="28"/>
          <w:szCs w:val="28"/>
        </w:rPr>
        <w:t>报价明细表</w:t>
      </w:r>
      <w:r>
        <w:rPr>
          <w:rFonts w:hint="eastAsia" w:ascii="宋体" w:hAnsi="宋体" w:cs="宋体"/>
          <w:b/>
          <w:color w:val="auto"/>
          <w:sz w:val="28"/>
          <w:szCs w:val="28"/>
        </w:rPr>
        <w:t>（供应商自拟）</w:t>
      </w:r>
    </w:p>
    <w:p>
      <w:pPr>
        <w:pStyle w:val="2"/>
        <w:ind w:left="840" w:leftChars="400" w:firstLine="0" w:firstLineChars="0"/>
        <w:rPr>
          <w:color w:val="auto"/>
        </w:rPr>
      </w:pPr>
    </w:p>
    <w:p>
      <w:pPr>
        <w:snapToGrid w:val="0"/>
        <w:ind w:left="1133" w:hanging="1132" w:hangingChars="472"/>
        <w:jc w:val="left"/>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崇川区碳达峰实施方案（碳排放特征、碳减排潜力管理研究）采购项目</w:t>
      </w:r>
    </w:p>
    <w:p>
      <w:pPr>
        <w:snapToGrid w:val="0"/>
        <w:ind w:left="1133" w:hanging="1132" w:hangingChars="472"/>
        <w:jc w:val="left"/>
        <w:rPr>
          <w:rFonts w:ascii="宋体" w:hAnsi="宋体" w:cs="宋体"/>
          <w:color w:val="auto"/>
          <w:sz w:val="24"/>
        </w:rPr>
      </w:pPr>
    </w:p>
    <w:p>
      <w:pPr>
        <w:kinsoku w:val="0"/>
        <w:topLinePunct/>
        <w:snapToGrid w:val="0"/>
        <w:ind w:firstLine="480"/>
        <w:jc w:val="left"/>
        <w:rPr>
          <w:rFonts w:ascii="宋体" w:hAnsi="宋体" w:cs="宋体"/>
          <w:color w:val="auto"/>
          <w:sz w:val="24"/>
        </w:rPr>
      </w:pPr>
      <w:r>
        <w:rPr>
          <w:rFonts w:hint="eastAsia" w:ascii="宋体" w:hAnsi="宋体" w:cs="宋体"/>
          <w:color w:val="auto"/>
          <w:sz w:val="24"/>
        </w:rPr>
        <w:t xml:space="preserve">供应商：（盖章）             </w:t>
      </w:r>
    </w:p>
    <w:p>
      <w:pPr>
        <w:kinsoku w:val="0"/>
        <w:topLinePunct/>
        <w:snapToGrid w:val="0"/>
        <w:ind w:firstLine="480"/>
        <w:jc w:val="left"/>
        <w:rPr>
          <w:rFonts w:ascii="宋体" w:hAnsi="宋体" w:cs="宋体"/>
          <w:color w:val="auto"/>
          <w:sz w:val="24"/>
        </w:rPr>
      </w:pPr>
      <w:r>
        <w:rPr>
          <w:rFonts w:hint="eastAsia" w:ascii="宋体" w:hAnsi="宋体" w:cs="宋体"/>
          <w:color w:val="auto"/>
          <w:sz w:val="24"/>
        </w:rPr>
        <w:t>法定代表人或被授权人（签字）：</w:t>
      </w:r>
    </w:p>
    <w:p>
      <w:pPr>
        <w:snapToGrid w:val="0"/>
        <w:spacing w:line="500" w:lineRule="exact"/>
        <w:ind w:firstLine="480" w:firstLineChars="200"/>
        <w:outlineLvl w:val="2"/>
        <w:rPr>
          <w:b/>
          <w:color w:val="auto"/>
          <w:sz w:val="28"/>
          <w:szCs w:val="28"/>
        </w:rPr>
      </w:pPr>
      <w:r>
        <w:rPr>
          <w:rFonts w:hint="eastAsia" w:ascii="宋体" w:hAnsi="宋体" w:cs="宋体"/>
          <w:color w:val="auto"/>
          <w:sz w:val="24"/>
        </w:rPr>
        <w:t>日期：</w:t>
      </w:r>
    </w:p>
    <w:p>
      <w:pPr>
        <w:snapToGrid w:val="0"/>
        <w:spacing w:line="500" w:lineRule="exact"/>
        <w:jc w:val="center"/>
        <w:outlineLvl w:val="2"/>
        <w:rPr>
          <w:b/>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360" w:lineRule="auto"/>
        <w:ind w:left="984" w:hanging="984" w:hangingChars="350"/>
        <w:jc w:val="center"/>
        <w:rPr>
          <w:b/>
          <w:color w:val="auto"/>
          <w:kern w:val="44"/>
          <w:sz w:val="28"/>
          <w:szCs w:val="28"/>
        </w:rPr>
      </w:pPr>
    </w:p>
    <w:p>
      <w:pPr>
        <w:snapToGrid w:val="0"/>
        <w:spacing w:line="360" w:lineRule="auto"/>
        <w:ind w:left="984" w:hanging="984" w:hangingChars="350"/>
        <w:jc w:val="center"/>
        <w:rPr>
          <w:b/>
          <w:color w:val="auto"/>
          <w:kern w:val="44"/>
          <w:sz w:val="28"/>
          <w:szCs w:val="28"/>
        </w:rPr>
      </w:pPr>
    </w:p>
    <w:p>
      <w:pPr>
        <w:pStyle w:val="2"/>
        <w:ind w:firstLine="562"/>
        <w:rPr>
          <w:b/>
          <w:color w:val="auto"/>
          <w:kern w:val="44"/>
          <w:sz w:val="28"/>
          <w:szCs w:val="28"/>
        </w:rPr>
      </w:pPr>
    </w:p>
    <w:p>
      <w:pPr>
        <w:pStyle w:val="5"/>
        <w:rPr>
          <w:b/>
          <w:color w:val="auto"/>
          <w:kern w:val="44"/>
          <w:sz w:val="28"/>
          <w:szCs w:val="28"/>
        </w:rPr>
      </w:pPr>
    </w:p>
    <w:p>
      <w:pPr>
        <w:pStyle w:val="5"/>
        <w:rPr>
          <w:b/>
          <w:color w:val="auto"/>
          <w:kern w:val="44"/>
          <w:sz w:val="28"/>
          <w:szCs w:val="28"/>
        </w:rPr>
      </w:pPr>
    </w:p>
    <w:p>
      <w:pPr>
        <w:pStyle w:val="5"/>
        <w:rPr>
          <w:b/>
          <w:color w:val="auto"/>
          <w:kern w:val="44"/>
          <w:sz w:val="28"/>
          <w:szCs w:val="28"/>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p>
    <w:p>
      <w:pPr>
        <w:snapToGrid w:val="0"/>
        <w:spacing w:line="360" w:lineRule="auto"/>
        <w:ind w:left="843" w:hanging="843" w:hangingChars="350"/>
        <w:jc w:val="center"/>
        <w:rPr>
          <w:rFonts w:ascii="宋体" w:hAnsi="宋体" w:cs="宋体"/>
          <w:b/>
          <w:color w:val="auto"/>
          <w:kern w:val="44"/>
          <w:sz w:val="24"/>
        </w:rPr>
      </w:pPr>
      <w:r>
        <w:rPr>
          <w:rFonts w:hint="eastAsia" w:ascii="宋体" w:hAnsi="宋体" w:cs="宋体"/>
          <w:b/>
          <w:color w:val="auto"/>
          <w:kern w:val="44"/>
          <w:sz w:val="24"/>
        </w:rPr>
        <w:t>3、</w:t>
      </w:r>
      <w:r>
        <w:rPr>
          <w:rFonts w:hint="eastAsia" w:ascii="宋体" w:hAnsi="宋体" w:cs="宋体"/>
          <w:b/>
          <w:bCs/>
          <w:color w:val="auto"/>
          <w:sz w:val="24"/>
          <w:lang w:bidi="zh-CN"/>
        </w:rPr>
        <w:t>中小企业声明函（服务）</w:t>
      </w:r>
    </w:p>
    <w:p>
      <w:pPr>
        <w:spacing w:line="400" w:lineRule="exact"/>
        <w:rPr>
          <w:rFonts w:ascii="宋体" w:hAnsi="宋体" w:cs="宋体"/>
          <w:b/>
          <w:color w:val="auto"/>
          <w:sz w:val="24"/>
        </w:rPr>
      </w:pPr>
    </w:p>
    <w:p>
      <w:pPr>
        <w:snapToGrid w:val="0"/>
        <w:spacing w:line="360" w:lineRule="auto"/>
        <w:ind w:firstLine="480" w:firstLineChars="200"/>
        <w:outlineLvl w:val="0"/>
        <w:rPr>
          <w:rFonts w:ascii="宋体" w:hAnsi="宋体" w:cs="宋体"/>
          <w:color w:val="auto"/>
          <w:sz w:val="24"/>
          <w:lang w:bidi="zh-CN"/>
        </w:rPr>
      </w:pPr>
      <w:r>
        <w:rPr>
          <w:rFonts w:hint="eastAsia" w:ascii="宋体" w:hAnsi="宋体" w:cs="宋体"/>
          <w:color w:val="auto"/>
          <w:sz w:val="24"/>
          <w:lang w:bidi="zh-CN"/>
        </w:rPr>
        <w:t>本公司（联合体）郑重声明，根据《政府采购促进中小企业发展管理办法》（财库﹝2020﹞46 号）的规定，本公司（联合体）参加</w:t>
      </w:r>
      <w:r>
        <w:rPr>
          <w:rFonts w:hint="eastAsia" w:ascii="宋体" w:hAnsi="宋体" w:cs="宋体"/>
          <w:color w:val="auto"/>
          <w:sz w:val="24"/>
          <w:u w:val="single"/>
          <w:lang w:bidi="zh-CN"/>
        </w:rPr>
        <w:t>（单位名称）</w:t>
      </w:r>
      <w:r>
        <w:rPr>
          <w:rFonts w:hint="eastAsia" w:ascii="宋体" w:hAnsi="宋体" w:cs="宋体"/>
          <w:color w:val="auto"/>
          <w:sz w:val="24"/>
          <w:lang w:bidi="zh-CN"/>
        </w:rPr>
        <w:t>的</w:t>
      </w:r>
      <w:r>
        <w:rPr>
          <w:rFonts w:hint="eastAsia" w:ascii="宋体" w:hAnsi="宋体" w:cs="宋体"/>
          <w:color w:val="auto"/>
          <w:sz w:val="24"/>
          <w:u w:val="single"/>
          <w:lang w:bidi="zh-CN"/>
        </w:rPr>
        <w:t>（项目名称）</w:t>
      </w:r>
      <w:r>
        <w:rPr>
          <w:rFonts w:hint="eastAsia" w:ascii="宋体" w:hAnsi="宋体" w:cs="宋体"/>
          <w:color w:val="auto"/>
          <w:sz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napToGrid w:val="0"/>
        <w:spacing w:line="360" w:lineRule="auto"/>
        <w:jc w:val="left"/>
        <w:outlineLvl w:val="0"/>
        <w:rPr>
          <w:rFonts w:ascii="宋体" w:hAnsi="宋体" w:cs="宋体"/>
          <w:color w:val="auto"/>
          <w:sz w:val="24"/>
          <w:lang w:bidi="zh-CN"/>
        </w:rPr>
      </w:pPr>
      <w:r>
        <w:rPr>
          <w:rFonts w:hint="eastAsia" w:ascii="宋体" w:hAnsi="宋体" w:cs="宋体"/>
          <w:color w:val="auto"/>
          <w:sz w:val="24"/>
          <w:lang w:bidi="zh-CN"/>
        </w:rPr>
        <w:t>1.</w:t>
      </w:r>
      <w:r>
        <w:rPr>
          <w:rFonts w:hint="eastAsia" w:ascii="宋体" w:hAnsi="宋体" w:cs="宋体"/>
          <w:color w:val="auto"/>
          <w:sz w:val="24"/>
          <w:u w:val="single"/>
          <w:lang w:bidi="zh-CN"/>
        </w:rPr>
        <w:t>（标的名称）</w:t>
      </w:r>
      <w:r>
        <w:rPr>
          <w:rFonts w:hint="eastAsia" w:ascii="宋体" w:hAnsi="宋体" w:cs="宋体"/>
          <w:color w:val="auto"/>
          <w:sz w:val="24"/>
          <w:lang w:bidi="zh-CN"/>
        </w:rPr>
        <w:t>，属于（</w:t>
      </w:r>
      <w:r>
        <w:rPr>
          <w:rFonts w:hint="eastAsia" w:ascii="宋体" w:hAnsi="宋体" w:cs="宋体"/>
          <w:color w:val="auto"/>
          <w:sz w:val="24"/>
          <w:u w:val="single"/>
          <w:lang w:bidi="zh-CN"/>
        </w:rPr>
        <w:t>采购文件中明确的所属行业）</w:t>
      </w:r>
      <w:r>
        <w:rPr>
          <w:rFonts w:hint="eastAsia" w:ascii="宋体" w:hAnsi="宋体" w:cs="宋体"/>
          <w:color w:val="auto"/>
          <w:sz w:val="24"/>
          <w:lang w:bidi="zh-CN"/>
        </w:rPr>
        <w:t>；承建（承接）企业为</w:t>
      </w:r>
      <w:r>
        <w:rPr>
          <w:rFonts w:hint="eastAsia" w:ascii="宋体" w:hAnsi="宋体" w:cs="宋体"/>
          <w:color w:val="auto"/>
          <w:sz w:val="24"/>
          <w:u w:val="single"/>
          <w:lang w:bidi="zh-CN"/>
        </w:rPr>
        <w:t>（企业名称）</w:t>
      </w:r>
      <w:r>
        <w:rPr>
          <w:rFonts w:hint="eastAsia" w:ascii="宋体" w:hAnsi="宋体" w:cs="宋体"/>
          <w:color w:val="auto"/>
          <w:sz w:val="24"/>
          <w:lang w:bidi="zh-CN"/>
        </w:rPr>
        <w:t>，从业人员</w:t>
      </w:r>
      <w:r>
        <w:rPr>
          <w:rFonts w:hint="eastAsia" w:ascii="宋体" w:hAnsi="宋体" w:cs="宋体"/>
          <w:color w:val="auto"/>
          <w:sz w:val="24"/>
          <w:u w:val="single"/>
          <w:lang w:bidi="zh-CN"/>
        </w:rPr>
        <w:tab/>
      </w:r>
      <w:r>
        <w:rPr>
          <w:rFonts w:hint="eastAsia" w:ascii="宋体" w:hAnsi="宋体" w:cs="宋体"/>
          <w:color w:val="auto"/>
          <w:sz w:val="24"/>
          <w:lang w:bidi="zh-CN"/>
        </w:rPr>
        <w:t>人，营业收入为</w:t>
      </w:r>
      <w:r>
        <w:rPr>
          <w:rFonts w:hint="eastAsia" w:ascii="宋体" w:hAnsi="宋体" w:cs="宋体"/>
          <w:color w:val="auto"/>
          <w:sz w:val="24"/>
          <w:u w:val="single"/>
          <w:lang w:bidi="zh-CN"/>
        </w:rPr>
        <w:tab/>
      </w:r>
      <w:r>
        <w:rPr>
          <w:rFonts w:hint="eastAsia" w:ascii="宋体" w:hAnsi="宋体" w:cs="宋体"/>
          <w:color w:val="auto"/>
          <w:sz w:val="24"/>
          <w:lang w:bidi="zh-CN"/>
        </w:rPr>
        <w:t>万元，资产总额为</w:t>
      </w:r>
      <w:r>
        <w:rPr>
          <w:rFonts w:hint="eastAsia" w:ascii="宋体" w:hAnsi="宋体" w:cs="宋体"/>
          <w:color w:val="auto"/>
          <w:sz w:val="24"/>
          <w:u w:val="single"/>
          <w:lang w:bidi="zh-CN"/>
        </w:rPr>
        <w:tab/>
      </w:r>
      <w:r>
        <w:rPr>
          <w:rFonts w:hint="eastAsia" w:ascii="宋体" w:hAnsi="宋体" w:cs="宋体"/>
          <w:color w:val="auto"/>
          <w:sz w:val="24"/>
          <w:lang w:bidi="zh-CN"/>
        </w:rPr>
        <w:t>万元，属于</w:t>
      </w:r>
      <w:r>
        <w:rPr>
          <w:rFonts w:hint="eastAsia" w:ascii="宋体" w:hAnsi="宋体" w:cs="宋体"/>
          <w:color w:val="auto"/>
          <w:sz w:val="24"/>
          <w:u w:val="single"/>
          <w:lang w:bidi="zh-CN"/>
        </w:rPr>
        <w:t>（中型企业、小型企业、微型企业）</w:t>
      </w:r>
      <w:r>
        <w:rPr>
          <w:rFonts w:hint="eastAsia" w:ascii="宋体" w:hAnsi="宋体" w:cs="宋体"/>
          <w:color w:val="auto"/>
          <w:sz w:val="24"/>
          <w:lang w:bidi="zh-CN"/>
        </w:rPr>
        <w:t>；</w:t>
      </w:r>
    </w:p>
    <w:p>
      <w:pPr>
        <w:snapToGrid w:val="0"/>
        <w:spacing w:line="360" w:lineRule="auto"/>
        <w:jc w:val="left"/>
        <w:outlineLvl w:val="0"/>
        <w:rPr>
          <w:rFonts w:ascii="宋体" w:hAnsi="宋体" w:cs="宋体"/>
          <w:color w:val="auto"/>
          <w:sz w:val="24"/>
          <w:lang w:bidi="zh-CN"/>
        </w:rPr>
      </w:pPr>
      <w:r>
        <w:rPr>
          <w:rFonts w:hint="eastAsia" w:ascii="宋体" w:hAnsi="宋体" w:cs="宋体"/>
          <w:color w:val="auto"/>
          <w:sz w:val="24"/>
          <w:lang w:bidi="zh-CN"/>
        </w:rPr>
        <w:t>2.</w:t>
      </w:r>
      <w:r>
        <w:rPr>
          <w:rFonts w:hint="eastAsia" w:ascii="宋体" w:hAnsi="宋体" w:cs="宋体"/>
          <w:color w:val="auto"/>
          <w:sz w:val="24"/>
          <w:u w:val="single"/>
          <w:lang w:bidi="zh-CN"/>
        </w:rPr>
        <w:t>（标的名称）</w:t>
      </w:r>
      <w:r>
        <w:rPr>
          <w:rFonts w:hint="eastAsia" w:ascii="宋体" w:hAnsi="宋体" w:cs="宋体"/>
          <w:color w:val="auto"/>
          <w:sz w:val="24"/>
          <w:lang w:bidi="zh-CN"/>
        </w:rPr>
        <w:t>，属于（</w:t>
      </w:r>
      <w:r>
        <w:rPr>
          <w:rFonts w:hint="eastAsia" w:ascii="宋体" w:hAnsi="宋体" w:cs="宋体"/>
          <w:color w:val="auto"/>
          <w:sz w:val="24"/>
          <w:u w:val="single"/>
          <w:lang w:bidi="zh-CN"/>
        </w:rPr>
        <w:t>采购文件中明确的所属行业）</w:t>
      </w:r>
      <w:r>
        <w:rPr>
          <w:rFonts w:hint="eastAsia" w:ascii="宋体" w:hAnsi="宋体" w:cs="宋体"/>
          <w:color w:val="auto"/>
          <w:sz w:val="24"/>
          <w:lang w:bidi="zh-CN"/>
        </w:rPr>
        <w:t>；承建（承接）企业为</w:t>
      </w:r>
      <w:r>
        <w:rPr>
          <w:rFonts w:hint="eastAsia" w:ascii="宋体" w:hAnsi="宋体" w:cs="宋体"/>
          <w:color w:val="auto"/>
          <w:sz w:val="24"/>
          <w:u w:val="single"/>
          <w:lang w:bidi="zh-CN"/>
        </w:rPr>
        <w:t>（企业名称）</w:t>
      </w:r>
      <w:r>
        <w:rPr>
          <w:rFonts w:hint="eastAsia" w:ascii="宋体" w:hAnsi="宋体" w:cs="宋体"/>
          <w:color w:val="auto"/>
          <w:sz w:val="24"/>
          <w:lang w:bidi="zh-CN"/>
        </w:rPr>
        <w:t>，从业人员</w:t>
      </w:r>
      <w:r>
        <w:rPr>
          <w:rFonts w:hint="eastAsia" w:ascii="宋体" w:hAnsi="宋体" w:cs="宋体"/>
          <w:color w:val="auto"/>
          <w:sz w:val="24"/>
          <w:u w:val="single"/>
          <w:lang w:bidi="zh-CN"/>
        </w:rPr>
        <w:tab/>
      </w:r>
      <w:r>
        <w:rPr>
          <w:rFonts w:hint="eastAsia" w:ascii="宋体" w:hAnsi="宋体" w:cs="宋体"/>
          <w:color w:val="auto"/>
          <w:sz w:val="24"/>
          <w:lang w:bidi="zh-CN"/>
        </w:rPr>
        <w:t>人，营业收入为</w:t>
      </w:r>
      <w:r>
        <w:rPr>
          <w:rFonts w:hint="eastAsia" w:ascii="宋体" w:hAnsi="宋体" w:cs="宋体"/>
          <w:color w:val="auto"/>
          <w:sz w:val="24"/>
          <w:u w:val="single"/>
          <w:lang w:bidi="zh-CN"/>
        </w:rPr>
        <w:tab/>
      </w:r>
      <w:r>
        <w:rPr>
          <w:rFonts w:hint="eastAsia" w:ascii="宋体" w:hAnsi="宋体" w:cs="宋体"/>
          <w:color w:val="auto"/>
          <w:sz w:val="24"/>
          <w:lang w:bidi="zh-CN"/>
        </w:rPr>
        <w:t>万元，资产总额为</w:t>
      </w:r>
      <w:r>
        <w:rPr>
          <w:rFonts w:hint="eastAsia" w:ascii="宋体" w:hAnsi="宋体" w:cs="宋体"/>
          <w:color w:val="auto"/>
          <w:sz w:val="24"/>
          <w:u w:val="single"/>
          <w:lang w:bidi="zh-CN"/>
        </w:rPr>
        <w:tab/>
      </w:r>
      <w:r>
        <w:rPr>
          <w:rFonts w:hint="eastAsia" w:ascii="宋体" w:hAnsi="宋体" w:cs="宋体"/>
          <w:color w:val="auto"/>
          <w:sz w:val="24"/>
          <w:lang w:bidi="zh-CN"/>
        </w:rPr>
        <w:t>万元，属于</w:t>
      </w:r>
      <w:r>
        <w:rPr>
          <w:rFonts w:hint="eastAsia" w:ascii="宋体" w:hAnsi="宋体" w:cs="宋体"/>
          <w:color w:val="auto"/>
          <w:sz w:val="24"/>
          <w:u w:val="single"/>
          <w:lang w:bidi="zh-CN"/>
        </w:rPr>
        <w:t>（中型企业、小型企业、微型企业）</w:t>
      </w:r>
      <w:r>
        <w:rPr>
          <w:rFonts w:hint="eastAsia" w:ascii="宋体" w:hAnsi="宋体" w:cs="宋体"/>
          <w:color w:val="auto"/>
          <w:sz w:val="24"/>
          <w:lang w:bidi="zh-CN"/>
        </w:rPr>
        <w:t>；</w:t>
      </w:r>
    </w:p>
    <w:p>
      <w:pPr>
        <w:snapToGrid w:val="0"/>
        <w:spacing w:line="360" w:lineRule="auto"/>
        <w:jc w:val="left"/>
        <w:outlineLvl w:val="0"/>
        <w:rPr>
          <w:rFonts w:ascii="宋体" w:hAnsi="宋体" w:cs="宋体"/>
          <w:color w:val="auto"/>
          <w:sz w:val="24"/>
          <w:lang w:bidi="zh-CN"/>
        </w:rPr>
      </w:pPr>
      <w:r>
        <w:rPr>
          <w:rFonts w:hint="eastAsia" w:ascii="宋体" w:hAnsi="宋体" w:cs="宋体"/>
          <w:color w:val="auto"/>
          <w:sz w:val="24"/>
          <w:lang w:bidi="zh-CN"/>
        </w:rPr>
        <w:t>……</w:t>
      </w:r>
    </w:p>
    <w:p>
      <w:pPr>
        <w:snapToGrid w:val="0"/>
        <w:spacing w:line="360" w:lineRule="auto"/>
        <w:ind w:firstLine="480" w:firstLineChars="200"/>
        <w:outlineLvl w:val="0"/>
        <w:rPr>
          <w:rFonts w:ascii="宋体" w:hAnsi="宋体" w:cs="宋体"/>
          <w:color w:val="auto"/>
          <w:sz w:val="24"/>
          <w:lang w:bidi="zh-CN"/>
        </w:rPr>
      </w:pPr>
      <w:r>
        <w:rPr>
          <w:rFonts w:hint="eastAsia" w:ascii="宋体" w:hAnsi="宋体" w:cs="宋体"/>
          <w:color w:val="auto"/>
          <w:sz w:val="24"/>
          <w:lang w:bidi="zh-CN"/>
        </w:rPr>
        <w:t>以上企业，不属于大企业的分支机构，不存在控股股东为大企业的情形，也不存在与大企业的负责人为同一人的情形。</w:t>
      </w:r>
    </w:p>
    <w:p>
      <w:pPr>
        <w:snapToGrid w:val="0"/>
        <w:spacing w:line="360" w:lineRule="auto"/>
        <w:ind w:firstLine="480" w:firstLineChars="200"/>
        <w:outlineLvl w:val="0"/>
        <w:rPr>
          <w:rFonts w:ascii="宋体" w:hAnsi="宋体" w:cs="宋体"/>
          <w:color w:val="auto"/>
          <w:sz w:val="24"/>
          <w:lang w:bidi="zh-CN"/>
        </w:rPr>
      </w:pPr>
      <w:r>
        <w:rPr>
          <w:rFonts w:hint="eastAsia" w:ascii="宋体" w:hAnsi="宋体" w:cs="宋体"/>
          <w:color w:val="auto"/>
          <w:sz w:val="24"/>
          <w:lang w:bidi="zh-CN"/>
        </w:rPr>
        <w:t>本企业对上述声明内容的真实性负责。如有虚假，将依法承担相应责任。</w:t>
      </w:r>
    </w:p>
    <w:p>
      <w:pPr>
        <w:spacing w:before="35" w:line="520" w:lineRule="exact"/>
        <w:ind w:left="4060" w:right="2166"/>
        <w:rPr>
          <w:rFonts w:ascii="宋体" w:hAnsi="宋体" w:cs="宋体"/>
          <w:color w:val="auto"/>
          <w:w w:val="99"/>
          <w:sz w:val="24"/>
        </w:rPr>
      </w:pPr>
      <w:r>
        <w:rPr>
          <w:rFonts w:hint="eastAsia" w:ascii="宋体" w:hAnsi="宋体" w:cs="宋体"/>
          <w:color w:val="auto"/>
          <w:w w:val="99"/>
          <w:sz w:val="24"/>
        </w:rPr>
        <w:t>企业名称（盖章）：</w:t>
      </w:r>
    </w:p>
    <w:p>
      <w:pPr>
        <w:snapToGrid w:val="0"/>
        <w:spacing w:line="500" w:lineRule="exact"/>
        <w:ind w:firstLine="3974" w:firstLineChars="1656"/>
        <w:jc w:val="left"/>
        <w:rPr>
          <w:rFonts w:ascii="宋体" w:hAnsi="宋体" w:cs="宋体"/>
          <w:color w:val="auto"/>
          <w:sz w:val="24"/>
        </w:rPr>
      </w:pPr>
      <w:r>
        <w:rPr>
          <w:rFonts w:hint="eastAsia" w:ascii="宋体" w:hAnsi="宋体" w:cs="宋体"/>
          <w:color w:val="auto"/>
          <w:sz w:val="24"/>
        </w:rPr>
        <w:t>日期：</w:t>
      </w:r>
    </w:p>
    <w:p>
      <w:pPr>
        <w:snapToGrid w:val="0"/>
        <w:spacing w:line="500" w:lineRule="exact"/>
        <w:ind w:firstLine="3494" w:firstLineChars="1456"/>
        <w:jc w:val="left"/>
        <w:rPr>
          <w:rFonts w:ascii="Arial Unicode MS" w:hAnsi="创艺简仿宋" w:eastAsia="Arial Unicode MS"/>
          <w:color w:val="auto"/>
          <w:sz w:val="24"/>
          <w:szCs w:val="20"/>
        </w:rPr>
      </w:pPr>
    </w:p>
    <w:p>
      <w:pPr>
        <w:snapToGrid w:val="0"/>
        <w:spacing w:before="312" w:beforeLines="100" w:after="312" w:afterLines="100" w:line="420" w:lineRule="exact"/>
        <w:jc w:val="center"/>
        <w:rPr>
          <w:rFonts w:ascii="宋体" w:hAnsi="宋体" w:cs="宋体"/>
          <w:b/>
          <w:color w:val="auto"/>
          <w:sz w:val="24"/>
        </w:rPr>
      </w:pPr>
      <w:r>
        <w:rPr>
          <w:rFonts w:ascii="Calibri" w:hAnsi="Calibri" w:eastAsia="楷体_GB2312" w:cs="宋体"/>
          <w:b/>
          <w:bCs/>
          <w:color w:val="auto"/>
          <w:sz w:val="28"/>
          <w:szCs w:val="28"/>
        </w:rPr>
        <w:br w:type="page"/>
      </w:r>
      <w:r>
        <w:rPr>
          <w:rFonts w:hint="eastAsia" w:ascii="宋体" w:hAnsi="宋体" w:cs="宋体"/>
          <w:b/>
          <w:bCs/>
          <w:color w:val="auto"/>
          <w:sz w:val="24"/>
        </w:rPr>
        <w:t>4、残疾人福利性单位声明函</w:t>
      </w:r>
      <w:r>
        <w:rPr>
          <w:rFonts w:hint="eastAsia" w:ascii="宋体" w:hAnsi="宋体" w:cs="宋体"/>
          <w:b/>
          <w:color w:val="auto"/>
          <w:kern w:val="44"/>
          <w:sz w:val="24"/>
        </w:rPr>
        <w:t>（如需）</w:t>
      </w:r>
    </w:p>
    <w:p>
      <w:pPr>
        <w:snapToGrid w:val="0"/>
        <w:spacing w:line="420" w:lineRule="exact"/>
        <w:ind w:firstLine="566" w:firstLineChars="236"/>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中国残疾人联合会关于促进残疾人就业政府采购政策的通知》（财库〔2017〕141号）的规定，本单位为符合条件的残疾人福利性单位，且本单位参加采购活动，提供本单位的</w:t>
      </w:r>
      <w:r>
        <w:rPr>
          <w:rFonts w:hint="eastAsia" w:ascii="宋体" w:hAnsi="宋体" w:cs="宋体"/>
          <w:color w:val="auto"/>
          <w:sz w:val="24"/>
          <w:u w:val="single"/>
        </w:rPr>
        <w:t>全部服务</w:t>
      </w:r>
      <w:r>
        <w:rPr>
          <w:rFonts w:hint="eastAsia" w:ascii="宋体" w:hAnsi="宋体" w:cs="宋体"/>
          <w:color w:val="auto"/>
          <w:sz w:val="24"/>
        </w:rPr>
        <w:t>，或者提供其他残疾人福利性单位的</w:t>
      </w:r>
      <w:r>
        <w:rPr>
          <w:rFonts w:hint="eastAsia" w:ascii="宋体" w:hAnsi="宋体" w:cs="宋体"/>
          <w:color w:val="auto"/>
          <w:sz w:val="24"/>
          <w:u w:val="single"/>
        </w:rPr>
        <w:t xml:space="preserve">全部服务（不包括使用非残疾人福利性单位承接的货物） </w:t>
      </w:r>
      <w:r>
        <w:rPr>
          <w:rFonts w:hint="eastAsia" w:ascii="宋体" w:hAnsi="宋体" w:cs="宋体"/>
          <w:color w:val="auto"/>
          <w:sz w:val="24"/>
        </w:rPr>
        <w:t>。</w:t>
      </w:r>
    </w:p>
    <w:p>
      <w:pPr>
        <w:snapToGrid w:val="0"/>
        <w:spacing w:line="420" w:lineRule="exact"/>
        <w:ind w:firstLine="566" w:firstLineChars="236"/>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napToGrid w:val="0"/>
        <w:spacing w:line="420" w:lineRule="exact"/>
        <w:rPr>
          <w:rFonts w:ascii="宋体" w:hAnsi="宋体" w:cs="宋体"/>
          <w:color w:val="auto"/>
          <w:sz w:val="24"/>
        </w:rPr>
      </w:pPr>
    </w:p>
    <w:p>
      <w:pPr>
        <w:snapToGrid w:val="0"/>
        <w:spacing w:line="420" w:lineRule="exact"/>
        <w:rPr>
          <w:rFonts w:ascii="宋体" w:hAnsi="宋体" w:cs="宋体"/>
          <w:color w:val="auto"/>
          <w:sz w:val="24"/>
        </w:rPr>
      </w:pPr>
    </w:p>
    <w:p>
      <w:pPr>
        <w:kinsoku w:val="0"/>
        <w:topLinePunct/>
        <w:snapToGrid w:val="0"/>
        <w:spacing w:line="500" w:lineRule="exact"/>
        <w:ind w:firstLine="5160" w:firstLineChars="2150"/>
        <w:jc w:val="left"/>
        <w:rPr>
          <w:rFonts w:ascii="宋体" w:hAnsi="宋体" w:cs="宋体"/>
          <w:color w:val="auto"/>
          <w:sz w:val="24"/>
        </w:rPr>
      </w:pPr>
      <w:r>
        <w:rPr>
          <w:rFonts w:hint="eastAsia" w:ascii="宋体" w:hAnsi="宋体" w:cs="宋体"/>
          <w:color w:val="auto"/>
          <w:sz w:val="24"/>
        </w:rPr>
        <w:t>供应商：（盖章）</w:t>
      </w:r>
    </w:p>
    <w:p>
      <w:pPr>
        <w:kinsoku w:val="0"/>
        <w:topLinePunct/>
        <w:snapToGrid w:val="0"/>
        <w:spacing w:line="500" w:lineRule="exact"/>
        <w:ind w:firstLine="4080" w:firstLineChars="1700"/>
        <w:jc w:val="left"/>
        <w:rPr>
          <w:rFonts w:ascii="宋体" w:hAnsi="宋体" w:cs="宋体"/>
          <w:color w:val="auto"/>
          <w:sz w:val="24"/>
        </w:rPr>
      </w:pPr>
      <w:r>
        <w:rPr>
          <w:rFonts w:hint="eastAsia" w:ascii="宋体" w:hAnsi="宋体" w:cs="宋体"/>
          <w:color w:val="auto"/>
          <w:sz w:val="24"/>
        </w:rPr>
        <w:t>法定代表人或被授权人（签字或盖章）：</w:t>
      </w:r>
    </w:p>
    <w:p>
      <w:pPr>
        <w:kinsoku w:val="0"/>
        <w:topLinePunct/>
        <w:snapToGrid w:val="0"/>
        <w:spacing w:line="500" w:lineRule="exact"/>
        <w:ind w:firstLine="5880" w:firstLineChars="2450"/>
        <w:jc w:val="left"/>
        <w:rPr>
          <w:rFonts w:ascii="宋体" w:hAnsi="宋体" w:cs="宋体"/>
          <w:color w:val="auto"/>
          <w:sz w:val="24"/>
        </w:rPr>
      </w:pPr>
      <w:r>
        <w:rPr>
          <w:rFonts w:hint="eastAsia" w:ascii="宋体" w:hAnsi="宋体" w:cs="宋体"/>
          <w:color w:val="auto"/>
          <w:sz w:val="24"/>
        </w:rPr>
        <w:t>日期：</w:t>
      </w:r>
    </w:p>
    <w:p>
      <w:pPr>
        <w:spacing w:line="520" w:lineRule="exact"/>
        <w:ind w:left="570" w:firstLine="480" w:firstLineChars="200"/>
        <w:rPr>
          <w:rFonts w:ascii="宋体" w:hAnsi="宋体" w:cs="宋体"/>
          <w:color w:val="auto"/>
          <w:sz w:val="24"/>
        </w:rPr>
      </w:pPr>
    </w:p>
    <w:p>
      <w:pPr>
        <w:spacing w:line="520" w:lineRule="exact"/>
        <w:ind w:left="570" w:firstLine="480" w:firstLineChars="200"/>
        <w:rPr>
          <w:rFonts w:ascii="宋体" w:hAnsi="宋体" w:cs="宋体"/>
          <w:color w:val="auto"/>
          <w:sz w:val="24"/>
        </w:rPr>
      </w:pPr>
    </w:p>
    <w:p>
      <w:pPr>
        <w:snapToGrid w:val="0"/>
        <w:spacing w:line="420" w:lineRule="exact"/>
        <w:jc w:val="center"/>
        <w:outlineLvl w:val="3"/>
        <w:rPr>
          <w:rFonts w:ascii="宋体" w:hAnsi="宋体" w:cs="宋体"/>
          <w:color w:val="auto"/>
          <w:sz w:val="24"/>
        </w:rPr>
      </w:pPr>
      <w:r>
        <w:rPr>
          <w:rFonts w:hint="eastAsia" w:ascii="宋体" w:hAnsi="宋体" w:cs="宋体"/>
          <w:b/>
          <w:color w:val="auto"/>
          <w:sz w:val="24"/>
        </w:rPr>
        <w:t>5、监狱企业的证明（如涉有，则提供）</w:t>
      </w:r>
      <w:r>
        <w:rPr>
          <w:rFonts w:hint="eastAsia" w:ascii="宋体" w:hAnsi="宋体" w:cs="宋体"/>
          <w:b/>
          <w:color w:val="auto"/>
          <w:kern w:val="44"/>
          <w:sz w:val="24"/>
        </w:rPr>
        <w:t>（如需）</w:t>
      </w:r>
    </w:p>
    <w:p>
      <w:pPr>
        <w:snapToGrid w:val="0"/>
        <w:spacing w:line="420" w:lineRule="exact"/>
        <w:ind w:firstLine="424" w:firstLineChars="177"/>
        <w:rPr>
          <w:rFonts w:ascii="宋体" w:hAnsi="宋体" w:cs="宋体"/>
          <w:color w:val="auto"/>
          <w:sz w:val="24"/>
        </w:rPr>
      </w:pPr>
      <w:r>
        <w:rPr>
          <w:rFonts w:hint="eastAsia" w:ascii="宋体" w:hAnsi="宋体" w:cs="宋体"/>
          <w:color w:val="auto"/>
          <w:sz w:val="24"/>
        </w:rPr>
        <w:t>（格式自拟）</w:t>
      </w:r>
    </w:p>
    <w:p>
      <w:pPr>
        <w:snapToGrid w:val="0"/>
        <w:spacing w:line="420" w:lineRule="exact"/>
        <w:ind w:firstLine="566" w:firstLineChars="236"/>
        <w:rPr>
          <w:rFonts w:ascii="宋体" w:hAnsi="宋体" w:cs="宋体"/>
          <w:color w:val="auto"/>
          <w:sz w:val="24"/>
        </w:rPr>
      </w:pPr>
      <w:r>
        <w:rPr>
          <w:rFonts w:hint="eastAsia" w:ascii="宋体" w:hAnsi="宋体" w:cs="宋体"/>
          <w:color w:val="auto"/>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5"/>
        <w:rPr>
          <w:b/>
          <w:color w:val="auto"/>
          <w:kern w:val="44"/>
          <w:sz w:val="28"/>
          <w:szCs w:val="28"/>
        </w:rPr>
      </w:pPr>
    </w:p>
    <w:p>
      <w:pPr>
        <w:pStyle w:val="5"/>
        <w:rPr>
          <w:b/>
          <w:color w:val="auto"/>
          <w:kern w:val="44"/>
          <w:sz w:val="28"/>
          <w:szCs w:val="28"/>
        </w:rPr>
      </w:pPr>
    </w:p>
    <w:p>
      <w:pPr>
        <w:pStyle w:val="5"/>
        <w:rPr>
          <w:b/>
          <w:color w:val="auto"/>
          <w:kern w:val="44"/>
          <w:sz w:val="28"/>
          <w:szCs w:val="28"/>
        </w:rPr>
      </w:pPr>
    </w:p>
    <w:p>
      <w:pPr>
        <w:snapToGrid w:val="0"/>
        <w:spacing w:line="360" w:lineRule="auto"/>
        <w:ind w:left="984" w:hanging="984" w:hangingChars="350"/>
        <w:jc w:val="center"/>
        <w:rPr>
          <w:b/>
          <w:color w:val="auto"/>
          <w:kern w:val="44"/>
          <w:sz w:val="28"/>
          <w:szCs w:val="28"/>
        </w:rPr>
      </w:pPr>
    </w:p>
    <w:p>
      <w:pPr>
        <w:snapToGrid w:val="0"/>
        <w:spacing w:line="360" w:lineRule="auto"/>
        <w:ind w:left="984" w:hanging="984" w:hangingChars="350"/>
        <w:jc w:val="center"/>
        <w:rPr>
          <w:b/>
          <w:color w:val="auto"/>
          <w:kern w:val="44"/>
          <w:sz w:val="28"/>
          <w:szCs w:val="28"/>
        </w:rPr>
      </w:pPr>
    </w:p>
    <w:p>
      <w:pPr>
        <w:pStyle w:val="2"/>
        <w:ind w:firstLine="562"/>
        <w:rPr>
          <w:b/>
          <w:color w:val="auto"/>
          <w:kern w:val="44"/>
          <w:sz w:val="28"/>
          <w:szCs w:val="28"/>
        </w:rPr>
      </w:pPr>
    </w:p>
    <w:p>
      <w:pPr>
        <w:pStyle w:val="5"/>
        <w:rPr>
          <w:b/>
          <w:color w:val="auto"/>
          <w:kern w:val="44"/>
          <w:sz w:val="28"/>
          <w:szCs w:val="28"/>
        </w:rPr>
      </w:pPr>
    </w:p>
    <w:sectPr>
      <w:footerReference r:id="rId4" w:type="default"/>
      <w:pgSz w:w="11906" w:h="16838"/>
      <w:pgMar w:top="1247" w:right="1191" w:bottom="124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16C480-D4F5-402E-9840-FDDC704252A3}"/>
  </w:font>
  <w:font w:name="黑体">
    <w:panose1 w:val="02010609060101010101"/>
    <w:charset w:val="86"/>
    <w:family w:val="auto"/>
    <w:pitch w:val="default"/>
    <w:sig w:usb0="800002BF" w:usb1="38CF7CFA" w:usb2="00000016" w:usb3="00000000" w:csb0="00040001" w:csb1="00000000"/>
    <w:embedRegular r:id="rId2" w:fontKey="{FDA68529-2799-4DDC-9C2A-86563D3416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A4C639D-2E37-45C5-AA61-A7CD3FF51CD4}"/>
  </w:font>
  <w:font w:name="等线">
    <w:panose1 w:val="02010600030101010101"/>
    <w:charset w:val="86"/>
    <w:family w:val="auto"/>
    <w:pitch w:val="default"/>
    <w:sig w:usb0="A00002BF" w:usb1="38CF7CFA" w:usb2="00000016" w:usb3="00000000" w:csb0="0004000F" w:csb1="00000000"/>
    <w:embedRegular r:id="rId4" w:fontKey="{2688AE3B-4ED7-406C-9AA0-2AB839CD2D28}"/>
  </w:font>
  <w:font w:name="仿宋">
    <w:panose1 w:val="02010609060101010101"/>
    <w:charset w:val="86"/>
    <w:family w:val="modern"/>
    <w:pitch w:val="default"/>
    <w:sig w:usb0="800002BF" w:usb1="38CF7CFA" w:usb2="00000016" w:usb3="00000000" w:csb0="00040001" w:csb1="00000000"/>
    <w:embedRegular r:id="rId5" w:fontKey="{99B08E8E-AB8D-4249-A8E8-90ECE8D9082F}"/>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onospace">
    <w:altName w:val="微软雅黑"/>
    <w:panose1 w:val="020B0604020202020204"/>
    <w:charset w:val="00"/>
    <w:family w:val="auto"/>
    <w:pitch w:val="default"/>
    <w:sig w:usb0="00000000" w:usb1="00000000" w:usb2="00000000" w:usb3="00000000" w:csb0="00040001" w:csb1="00000000"/>
  </w:font>
  <w:font w:name="ˎ̥">
    <w:altName w:val="Times New Roman"/>
    <w:panose1 w:val="020B0604020202020204"/>
    <w:charset w:val="00"/>
    <w:family w:val="roman"/>
    <w:pitch w:val="default"/>
    <w:sig w:usb0="00000000" w:usb1="00000000" w:usb2="00000000" w:usb3="00000000" w:csb0="00040001" w:csb1="00000000"/>
  </w:font>
  <w:font w:name="仿宋_GB2312">
    <w:panose1 w:val="02010609030101010101"/>
    <w:charset w:val="86"/>
    <w:family w:val="auto"/>
    <w:pitch w:val="default"/>
    <w:sig w:usb0="00000000" w:usb1="00000000" w:usb2="00000000" w:usb3="00000000" w:csb0="00000000" w:csb1="00000000"/>
    <w:embedRegular r:id="rId6" w:fontKey="{E10BA67F-C604-4EAD-B227-5C3B140FD6E2}"/>
  </w:font>
  <w:font w:name="Tahoma">
    <w:panose1 w:val="020B0604030504040204"/>
    <w:charset w:val="00"/>
    <w:family w:val="swiss"/>
    <w:pitch w:val="default"/>
    <w:sig w:usb0="E1002EFF" w:usb1="C000605B" w:usb2="00000029" w:usb3="00000000" w:csb0="200101FF" w:csb1="20280000"/>
    <w:embedRegular r:id="rId7" w:fontKey="{A5386267-48A5-4344-BD89-14699F6467F5}"/>
  </w:font>
  <w:font w:name="KOCJL A+ Avenir LT Std">
    <w:altName w:val="微软雅黑"/>
    <w:panose1 w:val="020B0604020202020204"/>
    <w:charset w:val="86"/>
    <w:family w:val="swiss"/>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0" w:usb1="00000000" w:usb2="00000000" w:usb3="00000000" w:csb0="00000000" w:csb1="00000000"/>
    <w:embedRegular r:id="rId8" w:fontKey="{0DCFBB8B-B327-4415-B556-C81FF5AB78A4}"/>
  </w:font>
  <w:font w:name="华文新魏">
    <w:panose1 w:val="02010800040101010101"/>
    <w:charset w:val="86"/>
    <w:family w:val="auto"/>
    <w:pitch w:val="default"/>
    <w:sig w:usb0="00000001" w:usb1="080F0000" w:usb2="00000000" w:usb3="00000000" w:csb0="00040000" w:csb1="00000000"/>
    <w:embedRegular r:id="rId9" w:fontKey="{86144630-76B7-440E-BB53-4E0FAAB0547E}"/>
  </w:font>
  <w:font w:name="Arial Narrow">
    <w:panose1 w:val="020B0606020202030204"/>
    <w:charset w:val="00"/>
    <w:family w:val="swiss"/>
    <w:pitch w:val="default"/>
    <w:sig w:usb0="00000287" w:usb1="00000800" w:usb2="00000000" w:usb3="00000000" w:csb0="2000009F" w:csb1="DFD70000"/>
    <w:embedRegular r:id="rId10" w:fontKey="{D6F4B50D-CF73-48C5-A253-81B7095117AE}"/>
  </w:font>
  <w:font w:name="Arial Unicode MS">
    <w:panose1 w:val="020B0604020202020204"/>
    <w:charset w:val="80"/>
    <w:family w:val="swiss"/>
    <w:pitch w:val="default"/>
    <w:sig w:usb0="00000000" w:usb1="00000000" w:usb2="00000000" w:usb3="00000000" w:csb0="00000000" w:csb1="00000000"/>
    <w:embedRegular r:id="rId11" w:fontKey="{36A9B055-FA16-46D9-B8AA-2E0EACF0B099}"/>
  </w:font>
  <w:font w:name="创艺简仿宋">
    <w:altName w:val="黑体"/>
    <w:panose1 w:val="020B0604020202020204"/>
    <w:charset w:val="86"/>
    <w:family w:val="auto"/>
    <w:pitch w:val="default"/>
    <w:sig w:usb0="00000000" w:usb1="00000000" w:usb2="00000010" w:usb3="00000000" w:csb0="00040000" w:csb1="00000000"/>
    <w:embedRegular r:id="rId12" w:fontKey="{47D47A06-5ECA-4B02-8A50-336AFF98D0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0"/>
                            <w:jc w:val="center"/>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CI8lLL9QEAAMUDAAAOAAAAAAAAAAEAIAAAAB8BAABkcnMvZTJvRG9jLnhtbFBLBQYAAAAA&#10;BgAGAFkBAACGBQAAAAA=&#10;">
              <v:fill on="f" focussize="0,0"/>
              <v:stroke on="f"/>
              <v:imagedata o:title=""/>
              <o:lock v:ext="edit" aspectratio="f"/>
              <v:textbox inset="0mm,0mm,0mm,0mm" style="mso-fit-shape-to-text:t;">
                <w:txbxContent>
                  <w:p>
                    <w:pPr>
                      <w:pStyle w:val="30"/>
                      <w:jc w:val="center"/>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8DF2E"/>
    <w:multiLevelType w:val="singleLevel"/>
    <w:tmpl w:val="90D8DF2E"/>
    <w:lvl w:ilvl="0" w:tentative="0">
      <w:start w:val="1"/>
      <w:numFmt w:val="chineseCounting"/>
      <w:suff w:val="nothing"/>
      <w:lvlText w:val="（%1）"/>
      <w:lvlJc w:val="left"/>
      <w:rPr>
        <w:rFonts w:hint="eastAsia"/>
      </w:rPr>
    </w:lvl>
  </w:abstractNum>
  <w:abstractNum w:abstractNumId="1">
    <w:nsid w:val="17BB51BD"/>
    <w:multiLevelType w:val="singleLevel"/>
    <w:tmpl w:val="17BB51BD"/>
    <w:lvl w:ilvl="0" w:tentative="0">
      <w:start w:val="3"/>
      <w:numFmt w:val="decimal"/>
      <w:pStyle w:val="156"/>
      <w:suff w:val="nothing"/>
      <w:lvlText w:val="%1、"/>
      <w:lvlJc w:val="left"/>
    </w:lvl>
  </w:abstractNum>
  <w:abstractNum w:abstractNumId="2">
    <w:nsid w:val="17F11E45"/>
    <w:multiLevelType w:val="multilevel"/>
    <w:tmpl w:val="17F11E45"/>
    <w:lvl w:ilvl="0" w:tentative="0">
      <w:start w:val="1"/>
      <w:numFmt w:val="decimal"/>
      <w:pStyle w:val="7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8DA3F37"/>
    <w:multiLevelType w:val="multilevel"/>
    <w:tmpl w:val="38DA3F37"/>
    <w:lvl w:ilvl="0" w:tentative="0">
      <w:start w:val="1"/>
      <w:numFmt w:val="bullet"/>
      <w:pStyle w:val="147"/>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420C153B"/>
    <w:multiLevelType w:val="multilevel"/>
    <w:tmpl w:val="420C153B"/>
    <w:lvl w:ilvl="0" w:tentative="0">
      <w:start w:val="1"/>
      <w:numFmt w:val="decimal"/>
      <w:pStyle w:val="18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7F1E46C"/>
    <w:multiLevelType w:val="singleLevel"/>
    <w:tmpl w:val="57F1E46C"/>
    <w:lvl w:ilvl="0" w:tentative="0">
      <w:start w:val="2"/>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kOGFmZDMzMzFkNmU5OTgwNDc4MDYzMjM5MTRmMjQifQ=="/>
    <w:docVar w:name="KGWebUrl" w:val="http://jszfcg.jsczt.cn/jszc/gateWay/joffice/office?access_token=8209c385-26e4-4f43-ae90-7c756311020f"/>
    <w:docVar w:name="KSO_WPS_MARK_KEY" w:val="12720b38-13fa-4835-8ca1-1643e6a7acce"/>
  </w:docVars>
  <w:rsids>
    <w:rsidRoot w:val="00172A27"/>
    <w:rsid w:val="00003393"/>
    <w:rsid w:val="00006F19"/>
    <w:rsid w:val="000073B3"/>
    <w:rsid w:val="00010415"/>
    <w:rsid w:val="00014AFB"/>
    <w:rsid w:val="00014EF7"/>
    <w:rsid w:val="00020734"/>
    <w:rsid w:val="00020F27"/>
    <w:rsid w:val="00020FB4"/>
    <w:rsid w:val="00021558"/>
    <w:rsid w:val="00021924"/>
    <w:rsid w:val="000238EF"/>
    <w:rsid w:val="00026151"/>
    <w:rsid w:val="00027F3E"/>
    <w:rsid w:val="0003120D"/>
    <w:rsid w:val="00034925"/>
    <w:rsid w:val="00042B98"/>
    <w:rsid w:val="0004312D"/>
    <w:rsid w:val="00052AB4"/>
    <w:rsid w:val="000551CF"/>
    <w:rsid w:val="000574A6"/>
    <w:rsid w:val="00060A9A"/>
    <w:rsid w:val="00061175"/>
    <w:rsid w:val="00061780"/>
    <w:rsid w:val="00063273"/>
    <w:rsid w:val="0006428D"/>
    <w:rsid w:val="00067507"/>
    <w:rsid w:val="00072B44"/>
    <w:rsid w:val="00077E41"/>
    <w:rsid w:val="00081948"/>
    <w:rsid w:val="000831D6"/>
    <w:rsid w:val="00084DE5"/>
    <w:rsid w:val="00085982"/>
    <w:rsid w:val="000871C7"/>
    <w:rsid w:val="00087F33"/>
    <w:rsid w:val="00090315"/>
    <w:rsid w:val="000911AA"/>
    <w:rsid w:val="00092796"/>
    <w:rsid w:val="000938B4"/>
    <w:rsid w:val="00095DC6"/>
    <w:rsid w:val="000A0041"/>
    <w:rsid w:val="000A3C28"/>
    <w:rsid w:val="000A3F14"/>
    <w:rsid w:val="000A4EDC"/>
    <w:rsid w:val="000A5AED"/>
    <w:rsid w:val="000A6C4F"/>
    <w:rsid w:val="000B03F4"/>
    <w:rsid w:val="000B0C1C"/>
    <w:rsid w:val="000B2890"/>
    <w:rsid w:val="000B37E4"/>
    <w:rsid w:val="000B51AE"/>
    <w:rsid w:val="000B60C1"/>
    <w:rsid w:val="000B654D"/>
    <w:rsid w:val="000C4E2C"/>
    <w:rsid w:val="000C5238"/>
    <w:rsid w:val="000C5D14"/>
    <w:rsid w:val="000D110F"/>
    <w:rsid w:val="000D4AD6"/>
    <w:rsid w:val="000D4AFA"/>
    <w:rsid w:val="000D5212"/>
    <w:rsid w:val="000D607D"/>
    <w:rsid w:val="000E1FB4"/>
    <w:rsid w:val="000E41EF"/>
    <w:rsid w:val="000E4429"/>
    <w:rsid w:val="000E4B01"/>
    <w:rsid w:val="000E5313"/>
    <w:rsid w:val="000E79A4"/>
    <w:rsid w:val="000F4BDD"/>
    <w:rsid w:val="00100CBF"/>
    <w:rsid w:val="00101C7F"/>
    <w:rsid w:val="00102096"/>
    <w:rsid w:val="001028B3"/>
    <w:rsid w:val="0010416E"/>
    <w:rsid w:val="0010640A"/>
    <w:rsid w:val="0010739D"/>
    <w:rsid w:val="00107626"/>
    <w:rsid w:val="00110960"/>
    <w:rsid w:val="0011279C"/>
    <w:rsid w:val="00113FE5"/>
    <w:rsid w:val="00116377"/>
    <w:rsid w:val="00120666"/>
    <w:rsid w:val="0012141B"/>
    <w:rsid w:val="00121461"/>
    <w:rsid w:val="00122617"/>
    <w:rsid w:val="00123B0D"/>
    <w:rsid w:val="001248AA"/>
    <w:rsid w:val="00124ED1"/>
    <w:rsid w:val="001253DE"/>
    <w:rsid w:val="0012689E"/>
    <w:rsid w:val="001315E9"/>
    <w:rsid w:val="00132BA8"/>
    <w:rsid w:val="00136902"/>
    <w:rsid w:val="00137B7C"/>
    <w:rsid w:val="00142558"/>
    <w:rsid w:val="0014270C"/>
    <w:rsid w:val="00142A7C"/>
    <w:rsid w:val="0014671B"/>
    <w:rsid w:val="001468EE"/>
    <w:rsid w:val="00152E44"/>
    <w:rsid w:val="00154637"/>
    <w:rsid w:val="00155C8A"/>
    <w:rsid w:val="00156733"/>
    <w:rsid w:val="00164465"/>
    <w:rsid w:val="001649B8"/>
    <w:rsid w:val="0016558F"/>
    <w:rsid w:val="001706BC"/>
    <w:rsid w:val="0017202A"/>
    <w:rsid w:val="00172A27"/>
    <w:rsid w:val="001730B0"/>
    <w:rsid w:val="00175052"/>
    <w:rsid w:val="001757BB"/>
    <w:rsid w:val="00180909"/>
    <w:rsid w:val="001849B2"/>
    <w:rsid w:val="0018578D"/>
    <w:rsid w:val="00187C96"/>
    <w:rsid w:val="00190086"/>
    <w:rsid w:val="00190CF0"/>
    <w:rsid w:val="001930CB"/>
    <w:rsid w:val="00193A6A"/>
    <w:rsid w:val="001A0F03"/>
    <w:rsid w:val="001A2000"/>
    <w:rsid w:val="001A272F"/>
    <w:rsid w:val="001A417A"/>
    <w:rsid w:val="001A500B"/>
    <w:rsid w:val="001B4589"/>
    <w:rsid w:val="001B616A"/>
    <w:rsid w:val="001B6597"/>
    <w:rsid w:val="001C0F09"/>
    <w:rsid w:val="001C1DBB"/>
    <w:rsid w:val="001C45C4"/>
    <w:rsid w:val="001C520E"/>
    <w:rsid w:val="001C580C"/>
    <w:rsid w:val="001C58ED"/>
    <w:rsid w:val="001C5918"/>
    <w:rsid w:val="001C6731"/>
    <w:rsid w:val="001C6864"/>
    <w:rsid w:val="001D279D"/>
    <w:rsid w:val="001D3D15"/>
    <w:rsid w:val="001E2191"/>
    <w:rsid w:val="001E255E"/>
    <w:rsid w:val="001E2C75"/>
    <w:rsid w:val="001E2EEA"/>
    <w:rsid w:val="001E4AF6"/>
    <w:rsid w:val="001E6ED0"/>
    <w:rsid w:val="001F00B3"/>
    <w:rsid w:val="001F198A"/>
    <w:rsid w:val="001F2D52"/>
    <w:rsid w:val="001F2D78"/>
    <w:rsid w:val="001F3B30"/>
    <w:rsid w:val="001F638B"/>
    <w:rsid w:val="0020072B"/>
    <w:rsid w:val="00201E68"/>
    <w:rsid w:val="00202092"/>
    <w:rsid w:val="0020367B"/>
    <w:rsid w:val="00204F62"/>
    <w:rsid w:val="002051B8"/>
    <w:rsid w:val="00205FA9"/>
    <w:rsid w:val="002158FB"/>
    <w:rsid w:val="00215DEF"/>
    <w:rsid w:val="00216007"/>
    <w:rsid w:val="002212D5"/>
    <w:rsid w:val="00222749"/>
    <w:rsid w:val="0022468B"/>
    <w:rsid w:val="002257AA"/>
    <w:rsid w:val="00225867"/>
    <w:rsid w:val="002265D0"/>
    <w:rsid w:val="00226DBE"/>
    <w:rsid w:val="002304F3"/>
    <w:rsid w:val="00232F42"/>
    <w:rsid w:val="0023471E"/>
    <w:rsid w:val="0023615E"/>
    <w:rsid w:val="00237873"/>
    <w:rsid w:val="00242025"/>
    <w:rsid w:val="00250C25"/>
    <w:rsid w:val="00251391"/>
    <w:rsid w:val="0025159C"/>
    <w:rsid w:val="002527D1"/>
    <w:rsid w:val="00252D8A"/>
    <w:rsid w:val="00254390"/>
    <w:rsid w:val="00255A0D"/>
    <w:rsid w:val="00257673"/>
    <w:rsid w:val="00257A0C"/>
    <w:rsid w:val="00260BB4"/>
    <w:rsid w:val="0026258C"/>
    <w:rsid w:val="0026309A"/>
    <w:rsid w:val="002635D1"/>
    <w:rsid w:val="0026626F"/>
    <w:rsid w:val="00266E3B"/>
    <w:rsid w:val="002707F6"/>
    <w:rsid w:val="00270FD4"/>
    <w:rsid w:val="00271C9F"/>
    <w:rsid w:val="002724ED"/>
    <w:rsid w:val="00273D4A"/>
    <w:rsid w:val="00274F29"/>
    <w:rsid w:val="00277236"/>
    <w:rsid w:val="002875AE"/>
    <w:rsid w:val="00290901"/>
    <w:rsid w:val="00290912"/>
    <w:rsid w:val="00291D80"/>
    <w:rsid w:val="00291ED8"/>
    <w:rsid w:val="002963D9"/>
    <w:rsid w:val="002977A9"/>
    <w:rsid w:val="00297F97"/>
    <w:rsid w:val="002A2747"/>
    <w:rsid w:val="002A3C5A"/>
    <w:rsid w:val="002B0B75"/>
    <w:rsid w:val="002B217E"/>
    <w:rsid w:val="002B24C1"/>
    <w:rsid w:val="002B24CD"/>
    <w:rsid w:val="002B2AC4"/>
    <w:rsid w:val="002B5F30"/>
    <w:rsid w:val="002B6CCA"/>
    <w:rsid w:val="002B7F43"/>
    <w:rsid w:val="002C007A"/>
    <w:rsid w:val="002C325F"/>
    <w:rsid w:val="002C41BE"/>
    <w:rsid w:val="002C4A74"/>
    <w:rsid w:val="002C755D"/>
    <w:rsid w:val="002C781F"/>
    <w:rsid w:val="002D117C"/>
    <w:rsid w:val="002D3C0F"/>
    <w:rsid w:val="002D4427"/>
    <w:rsid w:val="002D58D6"/>
    <w:rsid w:val="002D5DCA"/>
    <w:rsid w:val="002E082B"/>
    <w:rsid w:val="002E1162"/>
    <w:rsid w:val="002E56BB"/>
    <w:rsid w:val="002E5B59"/>
    <w:rsid w:val="002F0047"/>
    <w:rsid w:val="002F3ACB"/>
    <w:rsid w:val="002F58FC"/>
    <w:rsid w:val="002F627C"/>
    <w:rsid w:val="002F754A"/>
    <w:rsid w:val="00301AD9"/>
    <w:rsid w:val="003030CD"/>
    <w:rsid w:val="00305808"/>
    <w:rsid w:val="00306ACA"/>
    <w:rsid w:val="00310534"/>
    <w:rsid w:val="00310AB2"/>
    <w:rsid w:val="00310EFB"/>
    <w:rsid w:val="00312083"/>
    <w:rsid w:val="00313E9B"/>
    <w:rsid w:val="00314503"/>
    <w:rsid w:val="00314E43"/>
    <w:rsid w:val="00315B65"/>
    <w:rsid w:val="00324258"/>
    <w:rsid w:val="003243CD"/>
    <w:rsid w:val="003255CB"/>
    <w:rsid w:val="00330C50"/>
    <w:rsid w:val="00332384"/>
    <w:rsid w:val="0033534B"/>
    <w:rsid w:val="00336569"/>
    <w:rsid w:val="00336BEE"/>
    <w:rsid w:val="00337AAA"/>
    <w:rsid w:val="00341AD7"/>
    <w:rsid w:val="00343821"/>
    <w:rsid w:val="00343FAB"/>
    <w:rsid w:val="00344664"/>
    <w:rsid w:val="00344E5D"/>
    <w:rsid w:val="003458FF"/>
    <w:rsid w:val="00346BD7"/>
    <w:rsid w:val="00346C76"/>
    <w:rsid w:val="00347B09"/>
    <w:rsid w:val="00352EEF"/>
    <w:rsid w:val="00353091"/>
    <w:rsid w:val="00355DDB"/>
    <w:rsid w:val="003562C3"/>
    <w:rsid w:val="003567EA"/>
    <w:rsid w:val="0035785E"/>
    <w:rsid w:val="00364CC7"/>
    <w:rsid w:val="0036657C"/>
    <w:rsid w:val="00367ABB"/>
    <w:rsid w:val="00371B67"/>
    <w:rsid w:val="003726DA"/>
    <w:rsid w:val="00374E32"/>
    <w:rsid w:val="003772F8"/>
    <w:rsid w:val="003801BB"/>
    <w:rsid w:val="003831B8"/>
    <w:rsid w:val="00383928"/>
    <w:rsid w:val="00383DBE"/>
    <w:rsid w:val="00384B42"/>
    <w:rsid w:val="00385DF7"/>
    <w:rsid w:val="00386030"/>
    <w:rsid w:val="003865D5"/>
    <w:rsid w:val="00391A56"/>
    <w:rsid w:val="00392DE7"/>
    <w:rsid w:val="00395D8D"/>
    <w:rsid w:val="0039674C"/>
    <w:rsid w:val="003A1573"/>
    <w:rsid w:val="003A4122"/>
    <w:rsid w:val="003A4E2E"/>
    <w:rsid w:val="003A677E"/>
    <w:rsid w:val="003B1D72"/>
    <w:rsid w:val="003B2A76"/>
    <w:rsid w:val="003B56B4"/>
    <w:rsid w:val="003B6CF0"/>
    <w:rsid w:val="003B7DD0"/>
    <w:rsid w:val="003C03F0"/>
    <w:rsid w:val="003C0BD4"/>
    <w:rsid w:val="003C2C99"/>
    <w:rsid w:val="003C4D5B"/>
    <w:rsid w:val="003C5409"/>
    <w:rsid w:val="003D014B"/>
    <w:rsid w:val="003D1CD6"/>
    <w:rsid w:val="003D2C64"/>
    <w:rsid w:val="003D2FC7"/>
    <w:rsid w:val="003D4FF1"/>
    <w:rsid w:val="003D5774"/>
    <w:rsid w:val="003D5F6E"/>
    <w:rsid w:val="003D68D8"/>
    <w:rsid w:val="003E0EED"/>
    <w:rsid w:val="003E250E"/>
    <w:rsid w:val="003E43FF"/>
    <w:rsid w:val="003F0D4C"/>
    <w:rsid w:val="003F45DC"/>
    <w:rsid w:val="003F5AE0"/>
    <w:rsid w:val="003F72CC"/>
    <w:rsid w:val="003F794C"/>
    <w:rsid w:val="00400C6C"/>
    <w:rsid w:val="00401FCD"/>
    <w:rsid w:val="00403C08"/>
    <w:rsid w:val="00410175"/>
    <w:rsid w:val="00412D01"/>
    <w:rsid w:val="00413A19"/>
    <w:rsid w:val="00414575"/>
    <w:rsid w:val="00414687"/>
    <w:rsid w:val="00415160"/>
    <w:rsid w:val="00415F3B"/>
    <w:rsid w:val="0042088B"/>
    <w:rsid w:val="004229F7"/>
    <w:rsid w:val="00424B5F"/>
    <w:rsid w:val="00424E6E"/>
    <w:rsid w:val="004256C7"/>
    <w:rsid w:val="00426C36"/>
    <w:rsid w:val="0042701F"/>
    <w:rsid w:val="00431BCA"/>
    <w:rsid w:val="0043235B"/>
    <w:rsid w:val="004341ED"/>
    <w:rsid w:val="004365EC"/>
    <w:rsid w:val="0044006B"/>
    <w:rsid w:val="00443354"/>
    <w:rsid w:val="00444074"/>
    <w:rsid w:val="0044689F"/>
    <w:rsid w:val="004473D1"/>
    <w:rsid w:val="0045029B"/>
    <w:rsid w:val="00454290"/>
    <w:rsid w:val="0045607D"/>
    <w:rsid w:val="00461828"/>
    <w:rsid w:val="00464ED5"/>
    <w:rsid w:val="00470338"/>
    <w:rsid w:val="004721B6"/>
    <w:rsid w:val="00472A82"/>
    <w:rsid w:val="004766E1"/>
    <w:rsid w:val="00476758"/>
    <w:rsid w:val="004776ED"/>
    <w:rsid w:val="004777A1"/>
    <w:rsid w:val="004833D3"/>
    <w:rsid w:val="00483692"/>
    <w:rsid w:val="00484D8B"/>
    <w:rsid w:val="00486CA6"/>
    <w:rsid w:val="00487726"/>
    <w:rsid w:val="00491EF1"/>
    <w:rsid w:val="004938B4"/>
    <w:rsid w:val="00496D50"/>
    <w:rsid w:val="004B3857"/>
    <w:rsid w:val="004B4BC5"/>
    <w:rsid w:val="004B52E4"/>
    <w:rsid w:val="004B5EC8"/>
    <w:rsid w:val="004C1371"/>
    <w:rsid w:val="004C159D"/>
    <w:rsid w:val="004C45A9"/>
    <w:rsid w:val="004C650B"/>
    <w:rsid w:val="004C6D4A"/>
    <w:rsid w:val="004D15E5"/>
    <w:rsid w:val="004D1788"/>
    <w:rsid w:val="004D273D"/>
    <w:rsid w:val="004D3FF7"/>
    <w:rsid w:val="004E03D8"/>
    <w:rsid w:val="004E05C6"/>
    <w:rsid w:val="004E0637"/>
    <w:rsid w:val="004E099F"/>
    <w:rsid w:val="004E3C02"/>
    <w:rsid w:val="004E3D45"/>
    <w:rsid w:val="004E7C71"/>
    <w:rsid w:val="004F1538"/>
    <w:rsid w:val="004F2744"/>
    <w:rsid w:val="004F2EB4"/>
    <w:rsid w:val="004F5030"/>
    <w:rsid w:val="004F625B"/>
    <w:rsid w:val="004F6B74"/>
    <w:rsid w:val="00501F32"/>
    <w:rsid w:val="00502440"/>
    <w:rsid w:val="00502FD6"/>
    <w:rsid w:val="005065A3"/>
    <w:rsid w:val="005104F7"/>
    <w:rsid w:val="00512522"/>
    <w:rsid w:val="00514970"/>
    <w:rsid w:val="00520945"/>
    <w:rsid w:val="00521703"/>
    <w:rsid w:val="00522701"/>
    <w:rsid w:val="0052284F"/>
    <w:rsid w:val="0052312A"/>
    <w:rsid w:val="00523B3E"/>
    <w:rsid w:val="00524386"/>
    <w:rsid w:val="00530B25"/>
    <w:rsid w:val="00531EAD"/>
    <w:rsid w:val="00532641"/>
    <w:rsid w:val="00535BC9"/>
    <w:rsid w:val="00537A49"/>
    <w:rsid w:val="00541530"/>
    <w:rsid w:val="00542C90"/>
    <w:rsid w:val="00542D65"/>
    <w:rsid w:val="005432B0"/>
    <w:rsid w:val="005439B9"/>
    <w:rsid w:val="00543F74"/>
    <w:rsid w:val="0054405A"/>
    <w:rsid w:val="005441DB"/>
    <w:rsid w:val="00544641"/>
    <w:rsid w:val="00544AB9"/>
    <w:rsid w:val="00546BF9"/>
    <w:rsid w:val="005477AB"/>
    <w:rsid w:val="005510E9"/>
    <w:rsid w:val="005522AA"/>
    <w:rsid w:val="00552375"/>
    <w:rsid w:val="00552B62"/>
    <w:rsid w:val="005536FD"/>
    <w:rsid w:val="00553BFD"/>
    <w:rsid w:val="00560CFA"/>
    <w:rsid w:val="00561843"/>
    <w:rsid w:val="005629EF"/>
    <w:rsid w:val="00562B11"/>
    <w:rsid w:val="005661C0"/>
    <w:rsid w:val="00570E83"/>
    <w:rsid w:val="00571FEF"/>
    <w:rsid w:val="00572198"/>
    <w:rsid w:val="00573812"/>
    <w:rsid w:val="00573943"/>
    <w:rsid w:val="00574798"/>
    <w:rsid w:val="005844C3"/>
    <w:rsid w:val="0058669C"/>
    <w:rsid w:val="00586A49"/>
    <w:rsid w:val="00587557"/>
    <w:rsid w:val="00587678"/>
    <w:rsid w:val="00592AAC"/>
    <w:rsid w:val="00594EB4"/>
    <w:rsid w:val="005A02E4"/>
    <w:rsid w:val="005A086F"/>
    <w:rsid w:val="005A4840"/>
    <w:rsid w:val="005A618B"/>
    <w:rsid w:val="005A6397"/>
    <w:rsid w:val="005A6B50"/>
    <w:rsid w:val="005A6D19"/>
    <w:rsid w:val="005B1A87"/>
    <w:rsid w:val="005B1FBC"/>
    <w:rsid w:val="005B2678"/>
    <w:rsid w:val="005B5458"/>
    <w:rsid w:val="005B6C84"/>
    <w:rsid w:val="005C0353"/>
    <w:rsid w:val="005C4BDD"/>
    <w:rsid w:val="005C52C6"/>
    <w:rsid w:val="005C5AA8"/>
    <w:rsid w:val="005D090B"/>
    <w:rsid w:val="005D2048"/>
    <w:rsid w:val="005D3607"/>
    <w:rsid w:val="005D411E"/>
    <w:rsid w:val="005D5F49"/>
    <w:rsid w:val="005D7CCB"/>
    <w:rsid w:val="005E02B0"/>
    <w:rsid w:val="005E077D"/>
    <w:rsid w:val="005E1DA5"/>
    <w:rsid w:val="005E3446"/>
    <w:rsid w:val="005E374C"/>
    <w:rsid w:val="005E519A"/>
    <w:rsid w:val="005F1C9C"/>
    <w:rsid w:val="005F1E04"/>
    <w:rsid w:val="005F3809"/>
    <w:rsid w:val="00601D18"/>
    <w:rsid w:val="00602825"/>
    <w:rsid w:val="006060B1"/>
    <w:rsid w:val="00607B22"/>
    <w:rsid w:val="00610931"/>
    <w:rsid w:val="00610AC9"/>
    <w:rsid w:val="006135DE"/>
    <w:rsid w:val="006150EF"/>
    <w:rsid w:val="00615198"/>
    <w:rsid w:val="00617DDD"/>
    <w:rsid w:val="00620DCB"/>
    <w:rsid w:val="006212A1"/>
    <w:rsid w:val="0062170A"/>
    <w:rsid w:val="006240A9"/>
    <w:rsid w:val="006317B5"/>
    <w:rsid w:val="006327B7"/>
    <w:rsid w:val="00637540"/>
    <w:rsid w:val="00637904"/>
    <w:rsid w:val="006403BF"/>
    <w:rsid w:val="00640F79"/>
    <w:rsid w:val="006414B5"/>
    <w:rsid w:val="00643D42"/>
    <w:rsid w:val="00647F8F"/>
    <w:rsid w:val="00652285"/>
    <w:rsid w:val="0065311A"/>
    <w:rsid w:val="00653FB4"/>
    <w:rsid w:val="006550F3"/>
    <w:rsid w:val="0065518E"/>
    <w:rsid w:val="00657AA4"/>
    <w:rsid w:val="006609C6"/>
    <w:rsid w:val="00661709"/>
    <w:rsid w:val="00661872"/>
    <w:rsid w:val="00666E98"/>
    <w:rsid w:val="00667F35"/>
    <w:rsid w:val="006707FB"/>
    <w:rsid w:val="006712AA"/>
    <w:rsid w:val="00671F8C"/>
    <w:rsid w:val="0067481A"/>
    <w:rsid w:val="006758E7"/>
    <w:rsid w:val="0068309B"/>
    <w:rsid w:val="00683B35"/>
    <w:rsid w:val="00684005"/>
    <w:rsid w:val="00685A68"/>
    <w:rsid w:val="0068675D"/>
    <w:rsid w:val="0069180B"/>
    <w:rsid w:val="00693997"/>
    <w:rsid w:val="0069433D"/>
    <w:rsid w:val="006943E7"/>
    <w:rsid w:val="00694948"/>
    <w:rsid w:val="006951D1"/>
    <w:rsid w:val="00697A1C"/>
    <w:rsid w:val="00697E91"/>
    <w:rsid w:val="006A2630"/>
    <w:rsid w:val="006A2866"/>
    <w:rsid w:val="006A508A"/>
    <w:rsid w:val="006A5621"/>
    <w:rsid w:val="006A5CE7"/>
    <w:rsid w:val="006A647B"/>
    <w:rsid w:val="006A6816"/>
    <w:rsid w:val="006A7795"/>
    <w:rsid w:val="006B5A1A"/>
    <w:rsid w:val="006C1086"/>
    <w:rsid w:val="006C6ACD"/>
    <w:rsid w:val="006D1693"/>
    <w:rsid w:val="006D1EB2"/>
    <w:rsid w:val="006D2438"/>
    <w:rsid w:val="006D4193"/>
    <w:rsid w:val="006D4A59"/>
    <w:rsid w:val="006D4E50"/>
    <w:rsid w:val="006D5392"/>
    <w:rsid w:val="006D62A0"/>
    <w:rsid w:val="006D70D4"/>
    <w:rsid w:val="006E25F2"/>
    <w:rsid w:val="006E26B0"/>
    <w:rsid w:val="006E28C7"/>
    <w:rsid w:val="006E55C1"/>
    <w:rsid w:val="006E728B"/>
    <w:rsid w:val="006F02AC"/>
    <w:rsid w:val="006F3332"/>
    <w:rsid w:val="006F46C2"/>
    <w:rsid w:val="006F4D91"/>
    <w:rsid w:val="00701B44"/>
    <w:rsid w:val="007032CE"/>
    <w:rsid w:val="00705F83"/>
    <w:rsid w:val="00706B3E"/>
    <w:rsid w:val="00706BE9"/>
    <w:rsid w:val="00707407"/>
    <w:rsid w:val="00710347"/>
    <w:rsid w:val="007123FB"/>
    <w:rsid w:val="0071403E"/>
    <w:rsid w:val="00714982"/>
    <w:rsid w:val="00724D84"/>
    <w:rsid w:val="00727443"/>
    <w:rsid w:val="00733588"/>
    <w:rsid w:val="00733D4F"/>
    <w:rsid w:val="00736CD1"/>
    <w:rsid w:val="00741CC1"/>
    <w:rsid w:val="007421B3"/>
    <w:rsid w:val="00742A9F"/>
    <w:rsid w:val="007438F2"/>
    <w:rsid w:val="007456DC"/>
    <w:rsid w:val="0075052B"/>
    <w:rsid w:val="0075112E"/>
    <w:rsid w:val="00760109"/>
    <w:rsid w:val="00760C7E"/>
    <w:rsid w:val="00760DB3"/>
    <w:rsid w:val="00761FC3"/>
    <w:rsid w:val="007666BA"/>
    <w:rsid w:val="00772653"/>
    <w:rsid w:val="00773027"/>
    <w:rsid w:val="00775164"/>
    <w:rsid w:val="007767D1"/>
    <w:rsid w:val="00776B55"/>
    <w:rsid w:val="00781717"/>
    <w:rsid w:val="007849EA"/>
    <w:rsid w:val="00786C61"/>
    <w:rsid w:val="00787355"/>
    <w:rsid w:val="007948F3"/>
    <w:rsid w:val="007964DD"/>
    <w:rsid w:val="00796B60"/>
    <w:rsid w:val="00796C4F"/>
    <w:rsid w:val="00797A48"/>
    <w:rsid w:val="007A05AA"/>
    <w:rsid w:val="007A16A0"/>
    <w:rsid w:val="007A1927"/>
    <w:rsid w:val="007A2E6E"/>
    <w:rsid w:val="007A3E56"/>
    <w:rsid w:val="007A6E0C"/>
    <w:rsid w:val="007A7CC8"/>
    <w:rsid w:val="007B0283"/>
    <w:rsid w:val="007B045B"/>
    <w:rsid w:val="007B09BB"/>
    <w:rsid w:val="007B0AF6"/>
    <w:rsid w:val="007B389C"/>
    <w:rsid w:val="007B4684"/>
    <w:rsid w:val="007B585E"/>
    <w:rsid w:val="007B5BE7"/>
    <w:rsid w:val="007B5F1D"/>
    <w:rsid w:val="007B6A9B"/>
    <w:rsid w:val="007C0B4F"/>
    <w:rsid w:val="007C2A4B"/>
    <w:rsid w:val="007C3A20"/>
    <w:rsid w:val="007C44D3"/>
    <w:rsid w:val="007D2065"/>
    <w:rsid w:val="007D2857"/>
    <w:rsid w:val="007D2B5D"/>
    <w:rsid w:val="007D45EF"/>
    <w:rsid w:val="007D48B9"/>
    <w:rsid w:val="007D594A"/>
    <w:rsid w:val="007D5D51"/>
    <w:rsid w:val="007D6259"/>
    <w:rsid w:val="007D7484"/>
    <w:rsid w:val="007E2E24"/>
    <w:rsid w:val="007E3B2A"/>
    <w:rsid w:val="007E5BCB"/>
    <w:rsid w:val="007F1B25"/>
    <w:rsid w:val="007F57EE"/>
    <w:rsid w:val="008001A1"/>
    <w:rsid w:val="00803CBD"/>
    <w:rsid w:val="008053E0"/>
    <w:rsid w:val="008068ED"/>
    <w:rsid w:val="00811601"/>
    <w:rsid w:val="0081315A"/>
    <w:rsid w:val="00814664"/>
    <w:rsid w:val="00814EDA"/>
    <w:rsid w:val="00820162"/>
    <w:rsid w:val="00820971"/>
    <w:rsid w:val="00821681"/>
    <w:rsid w:val="0082183F"/>
    <w:rsid w:val="00821D00"/>
    <w:rsid w:val="00822C85"/>
    <w:rsid w:val="00822D2F"/>
    <w:rsid w:val="00824113"/>
    <w:rsid w:val="00831C5D"/>
    <w:rsid w:val="008324B4"/>
    <w:rsid w:val="008350C4"/>
    <w:rsid w:val="00835FD2"/>
    <w:rsid w:val="008369F7"/>
    <w:rsid w:val="008402CA"/>
    <w:rsid w:val="00843803"/>
    <w:rsid w:val="008446BE"/>
    <w:rsid w:val="00844F05"/>
    <w:rsid w:val="008456CA"/>
    <w:rsid w:val="00845DB4"/>
    <w:rsid w:val="00847B82"/>
    <w:rsid w:val="00850D79"/>
    <w:rsid w:val="0085486B"/>
    <w:rsid w:val="00854E62"/>
    <w:rsid w:val="0086075A"/>
    <w:rsid w:val="00860F25"/>
    <w:rsid w:val="0086525D"/>
    <w:rsid w:val="00866772"/>
    <w:rsid w:val="00867A14"/>
    <w:rsid w:val="008707B2"/>
    <w:rsid w:val="00870C9D"/>
    <w:rsid w:val="0087174E"/>
    <w:rsid w:val="00871A23"/>
    <w:rsid w:val="00871EBC"/>
    <w:rsid w:val="008730A3"/>
    <w:rsid w:val="0087378D"/>
    <w:rsid w:val="00875002"/>
    <w:rsid w:val="00875144"/>
    <w:rsid w:val="00876AEC"/>
    <w:rsid w:val="00876C17"/>
    <w:rsid w:val="00883809"/>
    <w:rsid w:val="0088768D"/>
    <w:rsid w:val="00893C12"/>
    <w:rsid w:val="008944F7"/>
    <w:rsid w:val="00894C84"/>
    <w:rsid w:val="008A2F34"/>
    <w:rsid w:val="008A4AB7"/>
    <w:rsid w:val="008B1700"/>
    <w:rsid w:val="008B19B6"/>
    <w:rsid w:val="008B1F29"/>
    <w:rsid w:val="008B1FDB"/>
    <w:rsid w:val="008B4597"/>
    <w:rsid w:val="008B5061"/>
    <w:rsid w:val="008B62F7"/>
    <w:rsid w:val="008B665A"/>
    <w:rsid w:val="008C1FCB"/>
    <w:rsid w:val="008D1429"/>
    <w:rsid w:val="008D523F"/>
    <w:rsid w:val="008D5965"/>
    <w:rsid w:val="008D73AC"/>
    <w:rsid w:val="008E0FD1"/>
    <w:rsid w:val="008E1634"/>
    <w:rsid w:val="008E272A"/>
    <w:rsid w:val="008E2A95"/>
    <w:rsid w:val="008E2CC3"/>
    <w:rsid w:val="008E30D6"/>
    <w:rsid w:val="008E3F41"/>
    <w:rsid w:val="008E6BC4"/>
    <w:rsid w:val="008F010A"/>
    <w:rsid w:val="008F19D4"/>
    <w:rsid w:val="008F22A6"/>
    <w:rsid w:val="008F2E12"/>
    <w:rsid w:val="008F4846"/>
    <w:rsid w:val="008F5C09"/>
    <w:rsid w:val="008F6E5B"/>
    <w:rsid w:val="008F701F"/>
    <w:rsid w:val="008F7038"/>
    <w:rsid w:val="008F70D5"/>
    <w:rsid w:val="008F7163"/>
    <w:rsid w:val="008F7BDA"/>
    <w:rsid w:val="00902E53"/>
    <w:rsid w:val="00903AE2"/>
    <w:rsid w:val="0090643A"/>
    <w:rsid w:val="00906F4F"/>
    <w:rsid w:val="00906F7F"/>
    <w:rsid w:val="0090757A"/>
    <w:rsid w:val="009102E5"/>
    <w:rsid w:val="0091185C"/>
    <w:rsid w:val="00915AF8"/>
    <w:rsid w:val="009202CC"/>
    <w:rsid w:val="00924E59"/>
    <w:rsid w:val="00930055"/>
    <w:rsid w:val="00930ABD"/>
    <w:rsid w:val="009324B4"/>
    <w:rsid w:val="00933282"/>
    <w:rsid w:val="00935017"/>
    <w:rsid w:val="009363DE"/>
    <w:rsid w:val="00941B3C"/>
    <w:rsid w:val="00942451"/>
    <w:rsid w:val="00944382"/>
    <w:rsid w:val="00944668"/>
    <w:rsid w:val="00946A0B"/>
    <w:rsid w:val="00947FDA"/>
    <w:rsid w:val="00954ADB"/>
    <w:rsid w:val="0095651B"/>
    <w:rsid w:val="00966AF2"/>
    <w:rsid w:val="00966DC1"/>
    <w:rsid w:val="00975742"/>
    <w:rsid w:val="00975859"/>
    <w:rsid w:val="0097628F"/>
    <w:rsid w:val="00976CD3"/>
    <w:rsid w:val="00983DAC"/>
    <w:rsid w:val="00985633"/>
    <w:rsid w:val="0098586E"/>
    <w:rsid w:val="009859D3"/>
    <w:rsid w:val="00985F76"/>
    <w:rsid w:val="00986B8F"/>
    <w:rsid w:val="00987CE3"/>
    <w:rsid w:val="00991C4A"/>
    <w:rsid w:val="00994503"/>
    <w:rsid w:val="009950FC"/>
    <w:rsid w:val="00995550"/>
    <w:rsid w:val="00995995"/>
    <w:rsid w:val="009A7149"/>
    <w:rsid w:val="009B0621"/>
    <w:rsid w:val="009B0FE8"/>
    <w:rsid w:val="009B108A"/>
    <w:rsid w:val="009B20C2"/>
    <w:rsid w:val="009B62EE"/>
    <w:rsid w:val="009B6B44"/>
    <w:rsid w:val="009C0B5F"/>
    <w:rsid w:val="009C2029"/>
    <w:rsid w:val="009C25D9"/>
    <w:rsid w:val="009C3081"/>
    <w:rsid w:val="009C4A7F"/>
    <w:rsid w:val="009C5174"/>
    <w:rsid w:val="009C67D6"/>
    <w:rsid w:val="009C718A"/>
    <w:rsid w:val="009C73C0"/>
    <w:rsid w:val="009C7671"/>
    <w:rsid w:val="009D0437"/>
    <w:rsid w:val="009D2342"/>
    <w:rsid w:val="009D3CB1"/>
    <w:rsid w:val="009D6027"/>
    <w:rsid w:val="009D751A"/>
    <w:rsid w:val="009E0D28"/>
    <w:rsid w:val="009E46EB"/>
    <w:rsid w:val="009E58D4"/>
    <w:rsid w:val="009E6C1B"/>
    <w:rsid w:val="009E7003"/>
    <w:rsid w:val="009F3079"/>
    <w:rsid w:val="009F33C1"/>
    <w:rsid w:val="009F4845"/>
    <w:rsid w:val="009F4D29"/>
    <w:rsid w:val="009F57DA"/>
    <w:rsid w:val="00A01C28"/>
    <w:rsid w:val="00A10264"/>
    <w:rsid w:val="00A109AD"/>
    <w:rsid w:val="00A10B19"/>
    <w:rsid w:val="00A11967"/>
    <w:rsid w:val="00A11B8C"/>
    <w:rsid w:val="00A15647"/>
    <w:rsid w:val="00A17C38"/>
    <w:rsid w:val="00A2133C"/>
    <w:rsid w:val="00A21503"/>
    <w:rsid w:val="00A23018"/>
    <w:rsid w:val="00A24D4C"/>
    <w:rsid w:val="00A25830"/>
    <w:rsid w:val="00A263D7"/>
    <w:rsid w:val="00A30A6B"/>
    <w:rsid w:val="00A30B41"/>
    <w:rsid w:val="00A31BA4"/>
    <w:rsid w:val="00A32809"/>
    <w:rsid w:val="00A3439C"/>
    <w:rsid w:val="00A349F4"/>
    <w:rsid w:val="00A35995"/>
    <w:rsid w:val="00A36FD6"/>
    <w:rsid w:val="00A37803"/>
    <w:rsid w:val="00A416AD"/>
    <w:rsid w:val="00A44D09"/>
    <w:rsid w:val="00A50964"/>
    <w:rsid w:val="00A51FF3"/>
    <w:rsid w:val="00A5341E"/>
    <w:rsid w:val="00A54996"/>
    <w:rsid w:val="00A56F29"/>
    <w:rsid w:val="00A57FC6"/>
    <w:rsid w:val="00A60E20"/>
    <w:rsid w:val="00A641F8"/>
    <w:rsid w:val="00A7097F"/>
    <w:rsid w:val="00A71EDC"/>
    <w:rsid w:val="00A72BFC"/>
    <w:rsid w:val="00A73A0E"/>
    <w:rsid w:val="00A73D25"/>
    <w:rsid w:val="00A74875"/>
    <w:rsid w:val="00A756BE"/>
    <w:rsid w:val="00A7730B"/>
    <w:rsid w:val="00A800A8"/>
    <w:rsid w:val="00A802EA"/>
    <w:rsid w:val="00A829EC"/>
    <w:rsid w:val="00A82CE9"/>
    <w:rsid w:val="00A875C3"/>
    <w:rsid w:val="00A9013B"/>
    <w:rsid w:val="00A90538"/>
    <w:rsid w:val="00A905AE"/>
    <w:rsid w:val="00A97F74"/>
    <w:rsid w:val="00AA0BC6"/>
    <w:rsid w:val="00AA0BD7"/>
    <w:rsid w:val="00AA2FCC"/>
    <w:rsid w:val="00AA33CC"/>
    <w:rsid w:val="00AA3977"/>
    <w:rsid w:val="00AA455F"/>
    <w:rsid w:val="00AA4C82"/>
    <w:rsid w:val="00AA6056"/>
    <w:rsid w:val="00AA7E0D"/>
    <w:rsid w:val="00AB4583"/>
    <w:rsid w:val="00AB57C2"/>
    <w:rsid w:val="00AB67DA"/>
    <w:rsid w:val="00AB7E0E"/>
    <w:rsid w:val="00AC0BC5"/>
    <w:rsid w:val="00AC103D"/>
    <w:rsid w:val="00AC3E9A"/>
    <w:rsid w:val="00AD090E"/>
    <w:rsid w:val="00AD32BE"/>
    <w:rsid w:val="00AD341F"/>
    <w:rsid w:val="00AD755A"/>
    <w:rsid w:val="00AE1C77"/>
    <w:rsid w:val="00AE2547"/>
    <w:rsid w:val="00AE29F5"/>
    <w:rsid w:val="00AE2A51"/>
    <w:rsid w:val="00AE2FC9"/>
    <w:rsid w:val="00AE36FF"/>
    <w:rsid w:val="00AE4023"/>
    <w:rsid w:val="00AE4586"/>
    <w:rsid w:val="00AE4BD5"/>
    <w:rsid w:val="00AE4EA0"/>
    <w:rsid w:val="00AE56E5"/>
    <w:rsid w:val="00AE679F"/>
    <w:rsid w:val="00AF09B7"/>
    <w:rsid w:val="00AF6E10"/>
    <w:rsid w:val="00B004DF"/>
    <w:rsid w:val="00B01A2F"/>
    <w:rsid w:val="00B0383B"/>
    <w:rsid w:val="00B03BCD"/>
    <w:rsid w:val="00B10B53"/>
    <w:rsid w:val="00B128ED"/>
    <w:rsid w:val="00B1438A"/>
    <w:rsid w:val="00B14C8A"/>
    <w:rsid w:val="00B15570"/>
    <w:rsid w:val="00B20076"/>
    <w:rsid w:val="00B2016D"/>
    <w:rsid w:val="00B20407"/>
    <w:rsid w:val="00B239CC"/>
    <w:rsid w:val="00B240A9"/>
    <w:rsid w:val="00B26B44"/>
    <w:rsid w:val="00B32BE9"/>
    <w:rsid w:val="00B33893"/>
    <w:rsid w:val="00B3436E"/>
    <w:rsid w:val="00B37E3C"/>
    <w:rsid w:val="00B41D56"/>
    <w:rsid w:val="00B4487A"/>
    <w:rsid w:val="00B460B4"/>
    <w:rsid w:val="00B5005D"/>
    <w:rsid w:val="00B507AE"/>
    <w:rsid w:val="00B546C8"/>
    <w:rsid w:val="00B548F3"/>
    <w:rsid w:val="00B60370"/>
    <w:rsid w:val="00B60CB6"/>
    <w:rsid w:val="00B61683"/>
    <w:rsid w:val="00B61D13"/>
    <w:rsid w:val="00B6209C"/>
    <w:rsid w:val="00B622D2"/>
    <w:rsid w:val="00B636B4"/>
    <w:rsid w:val="00B63F90"/>
    <w:rsid w:val="00B64592"/>
    <w:rsid w:val="00B66D41"/>
    <w:rsid w:val="00B67449"/>
    <w:rsid w:val="00B73B2B"/>
    <w:rsid w:val="00B74B4F"/>
    <w:rsid w:val="00B763F6"/>
    <w:rsid w:val="00B76F16"/>
    <w:rsid w:val="00B807A1"/>
    <w:rsid w:val="00B828EE"/>
    <w:rsid w:val="00B83806"/>
    <w:rsid w:val="00B85345"/>
    <w:rsid w:val="00B869DC"/>
    <w:rsid w:val="00B97A1D"/>
    <w:rsid w:val="00BA3644"/>
    <w:rsid w:val="00BA5D53"/>
    <w:rsid w:val="00BA6B96"/>
    <w:rsid w:val="00BB2FE5"/>
    <w:rsid w:val="00BB53E1"/>
    <w:rsid w:val="00BB67CF"/>
    <w:rsid w:val="00BC2C6B"/>
    <w:rsid w:val="00BC367E"/>
    <w:rsid w:val="00BC4F89"/>
    <w:rsid w:val="00BC520A"/>
    <w:rsid w:val="00BC5536"/>
    <w:rsid w:val="00BC79AA"/>
    <w:rsid w:val="00BD3BAE"/>
    <w:rsid w:val="00BD5243"/>
    <w:rsid w:val="00BD6192"/>
    <w:rsid w:val="00BD7DC5"/>
    <w:rsid w:val="00BE2433"/>
    <w:rsid w:val="00BE62BC"/>
    <w:rsid w:val="00BF13A0"/>
    <w:rsid w:val="00BF20CD"/>
    <w:rsid w:val="00BF30B7"/>
    <w:rsid w:val="00BF4C59"/>
    <w:rsid w:val="00BF521E"/>
    <w:rsid w:val="00BF5240"/>
    <w:rsid w:val="00C041BA"/>
    <w:rsid w:val="00C0532C"/>
    <w:rsid w:val="00C0576B"/>
    <w:rsid w:val="00C10A74"/>
    <w:rsid w:val="00C10AB6"/>
    <w:rsid w:val="00C10E72"/>
    <w:rsid w:val="00C113FF"/>
    <w:rsid w:val="00C11859"/>
    <w:rsid w:val="00C11C40"/>
    <w:rsid w:val="00C136C9"/>
    <w:rsid w:val="00C20EF1"/>
    <w:rsid w:val="00C2253B"/>
    <w:rsid w:val="00C22922"/>
    <w:rsid w:val="00C24873"/>
    <w:rsid w:val="00C26665"/>
    <w:rsid w:val="00C26ED3"/>
    <w:rsid w:val="00C27BDC"/>
    <w:rsid w:val="00C32284"/>
    <w:rsid w:val="00C32FC4"/>
    <w:rsid w:val="00C33ED0"/>
    <w:rsid w:val="00C35A3E"/>
    <w:rsid w:val="00C36E6F"/>
    <w:rsid w:val="00C37CFD"/>
    <w:rsid w:val="00C416AA"/>
    <w:rsid w:val="00C422F0"/>
    <w:rsid w:val="00C42E9D"/>
    <w:rsid w:val="00C435B8"/>
    <w:rsid w:val="00C43F80"/>
    <w:rsid w:val="00C4430A"/>
    <w:rsid w:val="00C4485B"/>
    <w:rsid w:val="00C4550E"/>
    <w:rsid w:val="00C50A2C"/>
    <w:rsid w:val="00C50AF7"/>
    <w:rsid w:val="00C51CCD"/>
    <w:rsid w:val="00C53924"/>
    <w:rsid w:val="00C61B6C"/>
    <w:rsid w:val="00C625B4"/>
    <w:rsid w:val="00C628D6"/>
    <w:rsid w:val="00C64E52"/>
    <w:rsid w:val="00C657AB"/>
    <w:rsid w:val="00C65956"/>
    <w:rsid w:val="00C6742D"/>
    <w:rsid w:val="00C67A71"/>
    <w:rsid w:val="00C700AC"/>
    <w:rsid w:val="00C70A8E"/>
    <w:rsid w:val="00C7169A"/>
    <w:rsid w:val="00C74165"/>
    <w:rsid w:val="00C741F1"/>
    <w:rsid w:val="00C7429C"/>
    <w:rsid w:val="00C75B23"/>
    <w:rsid w:val="00C7693A"/>
    <w:rsid w:val="00C8008C"/>
    <w:rsid w:val="00C81A6D"/>
    <w:rsid w:val="00C81BDF"/>
    <w:rsid w:val="00C84E46"/>
    <w:rsid w:val="00C851BA"/>
    <w:rsid w:val="00C859D1"/>
    <w:rsid w:val="00C8612B"/>
    <w:rsid w:val="00C90131"/>
    <w:rsid w:val="00C906CC"/>
    <w:rsid w:val="00C9411B"/>
    <w:rsid w:val="00C95660"/>
    <w:rsid w:val="00CA17C1"/>
    <w:rsid w:val="00CA3A60"/>
    <w:rsid w:val="00CA4A9C"/>
    <w:rsid w:val="00CA4C38"/>
    <w:rsid w:val="00CA77E2"/>
    <w:rsid w:val="00CA7828"/>
    <w:rsid w:val="00CB0757"/>
    <w:rsid w:val="00CB0B98"/>
    <w:rsid w:val="00CB1B1D"/>
    <w:rsid w:val="00CB1DFA"/>
    <w:rsid w:val="00CB20C9"/>
    <w:rsid w:val="00CB2156"/>
    <w:rsid w:val="00CB3986"/>
    <w:rsid w:val="00CB6849"/>
    <w:rsid w:val="00CB7987"/>
    <w:rsid w:val="00CB7ACB"/>
    <w:rsid w:val="00CC18C1"/>
    <w:rsid w:val="00CC432F"/>
    <w:rsid w:val="00CC4654"/>
    <w:rsid w:val="00CC5FAD"/>
    <w:rsid w:val="00CC70A7"/>
    <w:rsid w:val="00CD185F"/>
    <w:rsid w:val="00CD2288"/>
    <w:rsid w:val="00CD331D"/>
    <w:rsid w:val="00CD3332"/>
    <w:rsid w:val="00CD4E55"/>
    <w:rsid w:val="00CD54D7"/>
    <w:rsid w:val="00CD567B"/>
    <w:rsid w:val="00CD7173"/>
    <w:rsid w:val="00CD7B1A"/>
    <w:rsid w:val="00CD7F0C"/>
    <w:rsid w:val="00CE1B12"/>
    <w:rsid w:val="00CE2A00"/>
    <w:rsid w:val="00CE3BA9"/>
    <w:rsid w:val="00CE74B0"/>
    <w:rsid w:val="00CE7B44"/>
    <w:rsid w:val="00CF0929"/>
    <w:rsid w:val="00CF0DF6"/>
    <w:rsid w:val="00CF28EC"/>
    <w:rsid w:val="00CF29D5"/>
    <w:rsid w:val="00CF47AC"/>
    <w:rsid w:val="00CF59A3"/>
    <w:rsid w:val="00CF6876"/>
    <w:rsid w:val="00CF69F6"/>
    <w:rsid w:val="00D02710"/>
    <w:rsid w:val="00D03C91"/>
    <w:rsid w:val="00D11D57"/>
    <w:rsid w:val="00D1280D"/>
    <w:rsid w:val="00D12A31"/>
    <w:rsid w:val="00D15C99"/>
    <w:rsid w:val="00D20ABF"/>
    <w:rsid w:val="00D23CDC"/>
    <w:rsid w:val="00D25281"/>
    <w:rsid w:val="00D2528B"/>
    <w:rsid w:val="00D2538B"/>
    <w:rsid w:val="00D25FDC"/>
    <w:rsid w:val="00D262F0"/>
    <w:rsid w:val="00D313BC"/>
    <w:rsid w:val="00D3310C"/>
    <w:rsid w:val="00D33F22"/>
    <w:rsid w:val="00D363DB"/>
    <w:rsid w:val="00D36BE9"/>
    <w:rsid w:val="00D372F8"/>
    <w:rsid w:val="00D37E97"/>
    <w:rsid w:val="00D40748"/>
    <w:rsid w:val="00D40ADA"/>
    <w:rsid w:val="00D40DCF"/>
    <w:rsid w:val="00D41DA9"/>
    <w:rsid w:val="00D43265"/>
    <w:rsid w:val="00D47422"/>
    <w:rsid w:val="00D47DAA"/>
    <w:rsid w:val="00D51A54"/>
    <w:rsid w:val="00D55114"/>
    <w:rsid w:val="00D55447"/>
    <w:rsid w:val="00D5764B"/>
    <w:rsid w:val="00D62199"/>
    <w:rsid w:val="00D62E43"/>
    <w:rsid w:val="00D633B8"/>
    <w:rsid w:val="00D66125"/>
    <w:rsid w:val="00D71463"/>
    <w:rsid w:val="00D73323"/>
    <w:rsid w:val="00D742CC"/>
    <w:rsid w:val="00D75B62"/>
    <w:rsid w:val="00D818AF"/>
    <w:rsid w:val="00D81C8D"/>
    <w:rsid w:val="00D82211"/>
    <w:rsid w:val="00D82F8D"/>
    <w:rsid w:val="00D83BCA"/>
    <w:rsid w:val="00D843A5"/>
    <w:rsid w:val="00D9009E"/>
    <w:rsid w:val="00D90C1F"/>
    <w:rsid w:val="00D91E3C"/>
    <w:rsid w:val="00D925F5"/>
    <w:rsid w:val="00D9552A"/>
    <w:rsid w:val="00D97CA9"/>
    <w:rsid w:val="00DA0EC1"/>
    <w:rsid w:val="00DA1EBB"/>
    <w:rsid w:val="00DA23FA"/>
    <w:rsid w:val="00DA357F"/>
    <w:rsid w:val="00DB5580"/>
    <w:rsid w:val="00DB5CD5"/>
    <w:rsid w:val="00DB6048"/>
    <w:rsid w:val="00DC07D7"/>
    <w:rsid w:val="00DC1298"/>
    <w:rsid w:val="00DC16BB"/>
    <w:rsid w:val="00DC494F"/>
    <w:rsid w:val="00DC4FD5"/>
    <w:rsid w:val="00DC553A"/>
    <w:rsid w:val="00DC6A9D"/>
    <w:rsid w:val="00DC7C6C"/>
    <w:rsid w:val="00DD1705"/>
    <w:rsid w:val="00DD182E"/>
    <w:rsid w:val="00DD74C6"/>
    <w:rsid w:val="00DE28EA"/>
    <w:rsid w:val="00DE50AD"/>
    <w:rsid w:val="00DE61E5"/>
    <w:rsid w:val="00DE6BEA"/>
    <w:rsid w:val="00DE6E48"/>
    <w:rsid w:val="00DE7ED3"/>
    <w:rsid w:val="00DF0901"/>
    <w:rsid w:val="00DF1867"/>
    <w:rsid w:val="00DF19F4"/>
    <w:rsid w:val="00DF2BD0"/>
    <w:rsid w:val="00DF3FAA"/>
    <w:rsid w:val="00DF4877"/>
    <w:rsid w:val="00DF776E"/>
    <w:rsid w:val="00E00B09"/>
    <w:rsid w:val="00E02F2C"/>
    <w:rsid w:val="00E03903"/>
    <w:rsid w:val="00E03C0B"/>
    <w:rsid w:val="00E061DB"/>
    <w:rsid w:val="00E07662"/>
    <w:rsid w:val="00E10B34"/>
    <w:rsid w:val="00E1213F"/>
    <w:rsid w:val="00E12D4D"/>
    <w:rsid w:val="00E140E5"/>
    <w:rsid w:val="00E210F6"/>
    <w:rsid w:val="00E237E4"/>
    <w:rsid w:val="00E23CBD"/>
    <w:rsid w:val="00E264B8"/>
    <w:rsid w:val="00E2667C"/>
    <w:rsid w:val="00E3492F"/>
    <w:rsid w:val="00E34CCA"/>
    <w:rsid w:val="00E365DD"/>
    <w:rsid w:val="00E4427F"/>
    <w:rsid w:val="00E4576C"/>
    <w:rsid w:val="00E51725"/>
    <w:rsid w:val="00E52661"/>
    <w:rsid w:val="00E53559"/>
    <w:rsid w:val="00E535B4"/>
    <w:rsid w:val="00E55672"/>
    <w:rsid w:val="00E55E29"/>
    <w:rsid w:val="00E56B29"/>
    <w:rsid w:val="00E63CA8"/>
    <w:rsid w:val="00E6500C"/>
    <w:rsid w:val="00E7003A"/>
    <w:rsid w:val="00E7307D"/>
    <w:rsid w:val="00E73E30"/>
    <w:rsid w:val="00E74BE3"/>
    <w:rsid w:val="00E75168"/>
    <w:rsid w:val="00E75A71"/>
    <w:rsid w:val="00E76501"/>
    <w:rsid w:val="00E8372C"/>
    <w:rsid w:val="00E9050B"/>
    <w:rsid w:val="00E91F9E"/>
    <w:rsid w:val="00E9261D"/>
    <w:rsid w:val="00E93243"/>
    <w:rsid w:val="00E95021"/>
    <w:rsid w:val="00E95A0B"/>
    <w:rsid w:val="00E95C4B"/>
    <w:rsid w:val="00E96CA3"/>
    <w:rsid w:val="00EA002C"/>
    <w:rsid w:val="00EA0235"/>
    <w:rsid w:val="00EA3060"/>
    <w:rsid w:val="00EA35DC"/>
    <w:rsid w:val="00EA59BA"/>
    <w:rsid w:val="00EA627A"/>
    <w:rsid w:val="00EB0F47"/>
    <w:rsid w:val="00EB1C6F"/>
    <w:rsid w:val="00EB40C2"/>
    <w:rsid w:val="00EB6445"/>
    <w:rsid w:val="00EB726F"/>
    <w:rsid w:val="00EB7745"/>
    <w:rsid w:val="00EC08D0"/>
    <w:rsid w:val="00EC0C44"/>
    <w:rsid w:val="00EC3016"/>
    <w:rsid w:val="00EC3583"/>
    <w:rsid w:val="00EC5520"/>
    <w:rsid w:val="00EC717A"/>
    <w:rsid w:val="00ED03C0"/>
    <w:rsid w:val="00ED4522"/>
    <w:rsid w:val="00ED500F"/>
    <w:rsid w:val="00ED53AB"/>
    <w:rsid w:val="00EE5078"/>
    <w:rsid w:val="00EE5093"/>
    <w:rsid w:val="00EE799C"/>
    <w:rsid w:val="00EF0110"/>
    <w:rsid w:val="00EF5F23"/>
    <w:rsid w:val="00EF7240"/>
    <w:rsid w:val="00F00DF1"/>
    <w:rsid w:val="00F00E7C"/>
    <w:rsid w:val="00F01C11"/>
    <w:rsid w:val="00F03289"/>
    <w:rsid w:val="00F0518B"/>
    <w:rsid w:val="00F10F5E"/>
    <w:rsid w:val="00F12A21"/>
    <w:rsid w:val="00F15A97"/>
    <w:rsid w:val="00F169F0"/>
    <w:rsid w:val="00F171AC"/>
    <w:rsid w:val="00F20C26"/>
    <w:rsid w:val="00F226FD"/>
    <w:rsid w:val="00F233B7"/>
    <w:rsid w:val="00F23633"/>
    <w:rsid w:val="00F246A2"/>
    <w:rsid w:val="00F27070"/>
    <w:rsid w:val="00F2788F"/>
    <w:rsid w:val="00F331F1"/>
    <w:rsid w:val="00F3467C"/>
    <w:rsid w:val="00F377BC"/>
    <w:rsid w:val="00F41F94"/>
    <w:rsid w:val="00F43C36"/>
    <w:rsid w:val="00F45A7D"/>
    <w:rsid w:val="00F5038A"/>
    <w:rsid w:val="00F50F96"/>
    <w:rsid w:val="00F51E98"/>
    <w:rsid w:val="00F53BB1"/>
    <w:rsid w:val="00F577B2"/>
    <w:rsid w:val="00F64018"/>
    <w:rsid w:val="00F66EF9"/>
    <w:rsid w:val="00F67DE9"/>
    <w:rsid w:val="00F7026E"/>
    <w:rsid w:val="00F70916"/>
    <w:rsid w:val="00F70AEC"/>
    <w:rsid w:val="00F71998"/>
    <w:rsid w:val="00F824EF"/>
    <w:rsid w:val="00F865CF"/>
    <w:rsid w:val="00F919E9"/>
    <w:rsid w:val="00F91E90"/>
    <w:rsid w:val="00F96977"/>
    <w:rsid w:val="00FA0539"/>
    <w:rsid w:val="00FA0E4B"/>
    <w:rsid w:val="00FA2D37"/>
    <w:rsid w:val="00FB1093"/>
    <w:rsid w:val="00FB46DB"/>
    <w:rsid w:val="00FB5658"/>
    <w:rsid w:val="00FB644A"/>
    <w:rsid w:val="00FB7FCD"/>
    <w:rsid w:val="00FC2A2D"/>
    <w:rsid w:val="00FD183C"/>
    <w:rsid w:val="00FD4AE1"/>
    <w:rsid w:val="00FD4D0A"/>
    <w:rsid w:val="00FD560E"/>
    <w:rsid w:val="00FD67E1"/>
    <w:rsid w:val="00FE10A8"/>
    <w:rsid w:val="00FE17B4"/>
    <w:rsid w:val="00FE3F86"/>
    <w:rsid w:val="00FE4D9B"/>
    <w:rsid w:val="00FE53D5"/>
    <w:rsid w:val="00FF2B82"/>
    <w:rsid w:val="00FF5CA5"/>
    <w:rsid w:val="00FF70B1"/>
    <w:rsid w:val="01417015"/>
    <w:rsid w:val="015E6884"/>
    <w:rsid w:val="018726B3"/>
    <w:rsid w:val="020B0236"/>
    <w:rsid w:val="02576382"/>
    <w:rsid w:val="025A376A"/>
    <w:rsid w:val="025F6B6B"/>
    <w:rsid w:val="026E5EDF"/>
    <w:rsid w:val="02AC43E3"/>
    <w:rsid w:val="02E64F36"/>
    <w:rsid w:val="02F16D40"/>
    <w:rsid w:val="02F348CA"/>
    <w:rsid w:val="036B1902"/>
    <w:rsid w:val="036D2DAF"/>
    <w:rsid w:val="03D26776"/>
    <w:rsid w:val="03DF5FA8"/>
    <w:rsid w:val="03EC63C9"/>
    <w:rsid w:val="03EC76E3"/>
    <w:rsid w:val="04143EE0"/>
    <w:rsid w:val="04367F3D"/>
    <w:rsid w:val="04A11624"/>
    <w:rsid w:val="04DC6EB3"/>
    <w:rsid w:val="05377178"/>
    <w:rsid w:val="053F077B"/>
    <w:rsid w:val="056A390F"/>
    <w:rsid w:val="05BA49E5"/>
    <w:rsid w:val="05CD00B2"/>
    <w:rsid w:val="05D707D7"/>
    <w:rsid w:val="060F307B"/>
    <w:rsid w:val="066D0A9F"/>
    <w:rsid w:val="0697526B"/>
    <w:rsid w:val="069F6221"/>
    <w:rsid w:val="06D86211"/>
    <w:rsid w:val="07550729"/>
    <w:rsid w:val="0771277F"/>
    <w:rsid w:val="0774046D"/>
    <w:rsid w:val="0780060C"/>
    <w:rsid w:val="07E33E5E"/>
    <w:rsid w:val="0805092E"/>
    <w:rsid w:val="080512E2"/>
    <w:rsid w:val="08366EE9"/>
    <w:rsid w:val="0867345C"/>
    <w:rsid w:val="08B645FC"/>
    <w:rsid w:val="08BB4778"/>
    <w:rsid w:val="08E25FED"/>
    <w:rsid w:val="08EF2BA1"/>
    <w:rsid w:val="091C4968"/>
    <w:rsid w:val="093F046F"/>
    <w:rsid w:val="097C7A01"/>
    <w:rsid w:val="099C263F"/>
    <w:rsid w:val="09C0632E"/>
    <w:rsid w:val="09FA040D"/>
    <w:rsid w:val="0A096E4D"/>
    <w:rsid w:val="0A1A5654"/>
    <w:rsid w:val="0A210ED1"/>
    <w:rsid w:val="0A373700"/>
    <w:rsid w:val="0A4800D1"/>
    <w:rsid w:val="0A63147A"/>
    <w:rsid w:val="0A746A83"/>
    <w:rsid w:val="0A7D7816"/>
    <w:rsid w:val="0A7E60B9"/>
    <w:rsid w:val="0ABF65E6"/>
    <w:rsid w:val="0AC22BF1"/>
    <w:rsid w:val="0ADE18C3"/>
    <w:rsid w:val="0B111E00"/>
    <w:rsid w:val="0B6041CA"/>
    <w:rsid w:val="0B716B23"/>
    <w:rsid w:val="0B832C44"/>
    <w:rsid w:val="0B8547EE"/>
    <w:rsid w:val="0B923CFA"/>
    <w:rsid w:val="0B942E06"/>
    <w:rsid w:val="0C027100"/>
    <w:rsid w:val="0C061EAE"/>
    <w:rsid w:val="0C07507E"/>
    <w:rsid w:val="0C275F3F"/>
    <w:rsid w:val="0C2A7A8F"/>
    <w:rsid w:val="0C2D5783"/>
    <w:rsid w:val="0C5111AD"/>
    <w:rsid w:val="0C535088"/>
    <w:rsid w:val="0C544DF9"/>
    <w:rsid w:val="0C8001DE"/>
    <w:rsid w:val="0CD332EF"/>
    <w:rsid w:val="0CE10E1F"/>
    <w:rsid w:val="0CF610C4"/>
    <w:rsid w:val="0D0C61C7"/>
    <w:rsid w:val="0D1E18D1"/>
    <w:rsid w:val="0D1F3613"/>
    <w:rsid w:val="0D257329"/>
    <w:rsid w:val="0D265FD4"/>
    <w:rsid w:val="0DFC0C73"/>
    <w:rsid w:val="0E3015A8"/>
    <w:rsid w:val="0E341A8A"/>
    <w:rsid w:val="0E62227C"/>
    <w:rsid w:val="0F135152"/>
    <w:rsid w:val="0F214F22"/>
    <w:rsid w:val="0FD53D59"/>
    <w:rsid w:val="1032554E"/>
    <w:rsid w:val="103D63C9"/>
    <w:rsid w:val="106A0DA4"/>
    <w:rsid w:val="10CD3EF8"/>
    <w:rsid w:val="10FD2C30"/>
    <w:rsid w:val="110A0557"/>
    <w:rsid w:val="1111153B"/>
    <w:rsid w:val="112C42A9"/>
    <w:rsid w:val="113E5FA3"/>
    <w:rsid w:val="11555D9B"/>
    <w:rsid w:val="118B740A"/>
    <w:rsid w:val="11DD0071"/>
    <w:rsid w:val="11F72B09"/>
    <w:rsid w:val="124F46F3"/>
    <w:rsid w:val="125515DD"/>
    <w:rsid w:val="125855B9"/>
    <w:rsid w:val="12895E27"/>
    <w:rsid w:val="12BF52E7"/>
    <w:rsid w:val="12C560F4"/>
    <w:rsid w:val="12C951E3"/>
    <w:rsid w:val="12D31841"/>
    <w:rsid w:val="131E6243"/>
    <w:rsid w:val="13286F52"/>
    <w:rsid w:val="133206F4"/>
    <w:rsid w:val="13330662"/>
    <w:rsid w:val="133471D8"/>
    <w:rsid w:val="1334749C"/>
    <w:rsid w:val="13682460"/>
    <w:rsid w:val="13A10F7E"/>
    <w:rsid w:val="14C52A4A"/>
    <w:rsid w:val="14D14F98"/>
    <w:rsid w:val="14DB6D43"/>
    <w:rsid w:val="14E153AA"/>
    <w:rsid w:val="14E42F20"/>
    <w:rsid w:val="151501EB"/>
    <w:rsid w:val="15371623"/>
    <w:rsid w:val="158038F2"/>
    <w:rsid w:val="15DB44F0"/>
    <w:rsid w:val="15DD4AA4"/>
    <w:rsid w:val="15E53031"/>
    <w:rsid w:val="16324897"/>
    <w:rsid w:val="16545BA8"/>
    <w:rsid w:val="16971EC1"/>
    <w:rsid w:val="169A5C2A"/>
    <w:rsid w:val="169D3371"/>
    <w:rsid w:val="16C35356"/>
    <w:rsid w:val="17166347"/>
    <w:rsid w:val="174310E4"/>
    <w:rsid w:val="17570F3E"/>
    <w:rsid w:val="1781407B"/>
    <w:rsid w:val="179E563C"/>
    <w:rsid w:val="179F0D22"/>
    <w:rsid w:val="17BC4017"/>
    <w:rsid w:val="189E767E"/>
    <w:rsid w:val="18AF23CC"/>
    <w:rsid w:val="18CC1D4B"/>
    <w:rsid w:val="19876791"/>
    <w:rsid w:val="19957DD4"/>
    <w:rsid w:val="19AB73A1"/>
    <w:rsid w:val="19B648B5"/>
    <w:rsid w:val="19E11E28"/>
    <w:rsid w:val="19EF23EB"/>
    <w:rsid w:val="1A2C1184"/>
    <w:rsid w:val="1A3927A1"/>
    <w:rsid w:val="1A453689"/>
    <w:rsid w:val="1A652AC2"/>
    <w:rsid w:val="1B123564"/>
    <w:rsid w:val="1B1B523C"/>
    <w:rsid w:val="1B462847"/>
    <w:rsid w:val="1B6276D9"/>
    <w:rsid w:val="1B6C43E6"/>
    <w:rsid w:val="1BC74969"/>
    <w:rsid w:val="1C0B7532"/>
    <w:rsid w:val="1C1C260C"/>
    <w:rsid w:val="1C1D13BE"/>
    <w:rsid w:val="1C297D63"/>
    <w:rsid w:val="1C7F5BD5"/>
    <w:rsid w:val="1D0A4167"/>
    <w:rsid w:val="1D1F2F14"/>
    <w:rsid w:val="1D1F6383"/>
    <w:rsid w:val="1DC57B03"/>
    <w:rsid w:val="1E2D59AE"/>
    <w:rsid w:val="1E9B1DB1"/>
    <w:rsid w:val="1ED33D85"/>
    <w:rsid w:val="1F021894"/>
    <w:rsid w:val="1F1F6AB6"/>
    <w:rsid w:val="1F394761"/>
    <w:rsid w:val="1FC328C7"/>
    <w:rsid w:val="1FC714C0"/>
    <w:rsid w:val="1FDB34DA"/>
    <w:rsid w:val="1FE47902"/>
    <w:rsid w:val="1FE53A6C"/>
    <w:rsid w:val="2007610A"/>
    <w:rsid w:val="200B703B"/>
    <w:rsid w:val="201062C1"/>
    <w:rsid w:val="201604CB"/>
    <w:rsid w:val="209B044D"/>
    <w:rsid w:val="20C377D9"/>
    <w:rsid w:val="21042B4C"/>
    <w:rsid w:val="213A656E"/>
    <w:rsid w:val="214657E0"/>
    <w:rsid w:val="217504CE"/>
    <w:rsid w:val="21C347B6"/>
    <w:rsid w:val="21CD1190"/>
    <w:rsid w:val="22264816"/>
    <w:rsid w:val="22335934"/>
    <w:rsid w:val="22490077"/>
    <w:rsid w:val="224D0523"/>
    <w:rsid w:val="226B2757"/>
    <w:rsid w:val="226E2F60"/>
    <w:rsid w:val="227370BF"/>
    <w:rsid w:val="22AD6EE5"/>
    <w:rsid w:val="22FB1D2D"/>
    <w:rsid w:val="23187343"/>
    <w:rsid w:val="231D5E8F"/>
    <w:rsid w:val="234E04BA"/>
    <w:rsid w:val="23624DC1"/>
    <w:rsid w:val="23673D54"/>
    <w:rsid w:val="236F132C"/>
    <w:rsid w:val="237D1BE7"/>
    <w:rsid w:val="239C2B3D"/>
    <w:rsid w:val="23C860B3"/>
    <w:rsid w:val="243D2D82"/>
    <w:rsid w:val="244C11F8"/>
    <w:rsid w:val="244E07E9"/>
    <w:rsid w:val="24935EB9"/>
    <w:rsid w:val="24B6667D"/>
    <w:rsid w:val="24E31A7B"/>
    <w:rsid w:val="24F66C3C"/>
    <w:rsid w:val="259D53F4"/>
    <w:rsid w:val="25E14220"/>
    <w:rsid w:val="25E34BD9"/>
    <w:rsid w:val="25E87F94"/>
    <w:rsid w:val="25F1147B"/>
    <w:rsid w:val="25F16507"/>
    <w:rsid w:val="261910BE"/>
    <w:rsid w:val="26200F65"/>
    <w:rsid w:val="26416061"/>
    <w:rsid w:val="2676482B"/>
    <w:rsid w:val="26A03DA3"/>
    <w:rsid w:val="26CA0394"/>
    <w:rsid w:val="26E86692"/>
    <w:rsid w:val="26F32AFE"/>
    <w:rsid w:val="2709025B"/>
    <w:rsid w:val="276C49F3"/>
    <w:rsid w:val="28304227"/>
    <w:rsid w:val="28707E80"/>
    <w:rsid w:val="287F3446"/>
    <w:rsid w:val="288C4CFB"/>
    <w:rsid w:val="28A563ED"/>
    <w:rsid w:val="28DB5DC9"/>
    <w:rsid w:val="28DE7433"/>
    <w:rsid w:val="291A6A75"/>
    <w:rsid w:val="293F655C"/>
    <w:rsid w:val="296315D6"/>
    <w:rsid w:val="29705CC6"/>
    <w:rsid w:val="29910CF5"/>
    <w:rsid w:val="299C3850"/>
    <w:rsid w:val="29B230E6"/>
    <w:rsid w:val="29DA269C"/>
    <w:rsid w:val="2A005E7B"/>
    <w:rsid w:val="2A0875D8"/>
    <w:rsid w:val="2A1E1FC0"/>
    <w:rsid w:val="2A4937A0"/>
    <w:rsid w:val="2A745885"/>
    <w:rsid w:val="2A7F17B6"/>
    <w:rsid w:val="2A8D6F61"/>
    <w:rsid w:val="2A905ABE"/>
    <w:rsid w:val="2B094A18"/>
    <w:rsid w:val="2B1062A1"/>
    <w:rsid w:val="2B1E2E35"/>
    <w:rsid w:val="2B786611"/>
    <w:rsid w:val="2B822FEC"/>
    <w:rsid w:val="2BA73380"/>
    <w:rsid w:val="2BB138D1"/>
    <w:rsid w:val="2BF21A2B"/>
    <w:rsid w:val="2BF553F4"/>
    <w:rsid w:val="2C547CAD"/>
    <w:rsid w:val="2C5F4D6E"/>
    <w:rsid w:val="2C772424"/>
    <w:rsid w:val="2C7F6456"/>
    <w:rsid w:val="2CAF7405"/>
    <w:rsid w:val="2D4A33DB"/>
    <w:rsid w:val="2E47082A"/>
    <w:rsid w:val="2E4C168F"/>
    <w:rsid w:val="2E9404FA"/>
    <w:rsid w:val="2EC95BE2"/>
    <w:rsid w:val="2ED26F43"/>
    <w:rsid w:val="2F2D1D01"/>
    <w:rsid w:val="2F332C6A"/>
    <w:rsid w:val="2F5C5025"/>
    <w:rsid w:val="2F630552"/>
    <w:rsid w:val="2F69259E"/>
    <w:rsid w:val="2F8B37FA"/>
    <w:rsid w:val="2F9047B8"/>
    <w:rsid w:val="2FA43D04"/>
    <w:rsid w:val="2FAB7C51"/>
    <w:rsid w:val="30011FAF"/>
    <w:rsid w:val="30185A1C"/>
    <w:rsid w:val="3020785D"/>
    <w:rsid w:val="304308BB"/>
    <w:rsid w:val="30B169A0"/>
    <w:rsid w:val="30E14810"/>
    <w:rsid w:val="310C5ADB"/>
    <w:rsid w:val="31794DC6"/>
    <w:rsid w:val="319677F1"/>
    <w:rsid w:val="319E66A5"/>
    <w:rsid w:val="31A713AE"/>
    <w:rsid w:val="31B15FA5"/>
    <w:rsid w:val="31C57C0D"/>
    <w:rsid w:val="31F02E2A"/>
    <w:rsid w:val="31F310FF"/>
    <w:rsid w:val="31F570FD"/>
    <w:rsid w:val="32411970"/>
    <w:rsid w:val="3244269A"/>
    <w:rsid w:val="32580175"/>
    <w:rsid w:val="32670207"/>
    <w:rsid w:val="327C3FAB"/>
    <w:rsid w:val="328B0677"/>
    <w:rsid w:val="32A907CC"/>
    <w:rsid w:val="32C1597D"/>
    <w:rsid w:val="32CE2FBA"/>
    <w:rsid w:val="32D03AAA"/>
    <w:rsid w:val="32FA6B39"/>
    <w:rsid w:val="33053B2B"/>
    <w:rsid w:val="3363390B"/>
    <w:rsid w:val="33C5616B"/>
    <w:rsid w:val="33C904D3"/>
    <w:rsid w:val="33D009C6"/>
    <w:rsid w:val="33E71C68"/>
    <w:rsid w:val="343632C9"/>
    <w:rsid w:val="34620B5F"/>
    <w:rsid w:val="346B2C03"/>
    <w:rsid w:val="34833B90"/>
    <w:rsid w:val="34837D64"/>
    <w:rsid w:val="34EE7BB1"/>
    <w:rsid w:val="358B4776"/>
    <w:rsid w:val="35A60982"/>
    <w:rsid w:val="35C014EA"/>
    <w:rsid w:val="35D01BA3"/>
    <w:rsid w:val="360533E7"/>
    <w:rsid w:val="36116DB1"/>
    <w:rsid w:val="36510F70"/>
    <w:rsid w:val="36786953"/>
    <w:rsid w:val="367955AA"/>
    <w:rsid w:val="36CC5F45"/>
    <w:rsid w:val="36F62AE0"/>
    <w:rsid w:val="371B2546"/>
    <w:rsid w:val="371D1C1F"/>
    <w:rsid w:val="37425D25"/>
    <w:rsid w:val="374A3635"/>
    <w:rsid w:val="37783329"/>
    <w:rsid w:val="37856ABC"/>
    <w:rsid w:val="37D43366"/>
    <w:rsid w:val="380B4369"/>
    <w:rsid w:val="38282D49"/>
    <w:rsid w:val="385164CC"/>
    <w:rsid w:val="385A284E"/>
    <w:rsid w:val="38864ACF"/>
    <w:rsid w:val="38926838"/>
    <w:rsid w:val="389C348C"/>
    <w:rsid w:val="38CD34E4"/>
    <w:rsid w:val="38CE1212"/>
    <w:rsid w:val="38CE740A"/>
    <w:rsid w:val="390C61EC"/>
    <w:rsid w:val="390D3BC4"/>
    <w:rsid w:val="39186ECA"/>
    <w:rsid w:val="395155C7"/>
    <w:rsid w:val="396C52FB"/>
    <w:rsid w:val="39742824"/>
    <w:rsid w:val="39B57621"/>
    <w:rsid w:val="3A070042"/>
    <w:rsid w:val="3A131FE3"/>
    <w:rsid w:val="3A1E1D7E"/>
    <w:rsid w:val="3A3F1EE3"/>
    <w:rsid w:val="3A764912"/>
    <w:rsid w:val="3AAF59E1"/>
    <w:rsid w:val="3ACF4A43"/>
    <w:rsid w:val="3ADE1C83"/>
    <w:rsid w:val="3B157948"/>
    <w:rsid w:val="3B254329"/>
    <w:rsid w:val="3B4F0A10"/>
    <w:rsid w:val="3B5E3ABE"/>
    <w:rsid w:val="3B826F85"/>
    <w:rsid w:val="3BA4134C"/>
    <w:rsid w:val="3C1203CD"/>
    <w:rsid w:val="3C702CBF"/>
    <w:rsid w:val="3C79268F"/>
    <w:rsid w:val="3C8919C8"/>
    <w:rsid w:val="3C8B2D5A"/>
    <w:rsid w:val="3C8D183A"/>
    <w:rsid w:val="3CBB1C4D"/>
    <w:rsid w:val="3CDC62D4"/>
    <w:rsid w:val="3CEF3F81"/>
    <w:rsid w:val="3D2D791E"/>
    <w:rsid w:val="3DA24085"/>
    <w:rsid w:val="3DBE40DC"/>
    <w:rsid w:val="3DBF0E10"/>
    <w:rsid w:val="3DD9672B"/>
    <w:rsid w:val="3DF126D1"/>
    <w:rsid w:val="3DF84FF7"/>
    <w:rsid w:val="3DFD28A2"/>
    <w:rsid w:val="3E1D1540"/>
    <w:rsid w:val="3E205733"/>
    <w:rsid w:val="3E626501"/>
    <w:rsid w:val="3E7105B2"/>
    <w:rsid w:val="3E7429B0"/>
    <w:rsid w:val="3E7570D2"/>
    <w:rsid w:val="3E9F2716"/>
    <w:rsid w:val="3F0D474A"/>
    <w:rsid w:val="3F2C05B8"/>
    <w:rsid w:val="3F31146C"/>
    <w:rsid w:val="3F415E00"/>
    <w:rsid w:val="3F45273E"/>
    <w:rsid w:val="3F485922"/>
    <w:rsid w:val="3F5509F1"/>
    <w:rsid w:val="3F6A1713"/>
    <w:rsid w:val="3F6E477B"/>
    <w:rsid w:val="3FBF2046"/>
    <w:rsid w:val="3FE43E1D"/>
    <w:rsid w:val="3FFF749A"/>
    <w:rsid w:val="40026FEF"/>
    <w:rsid w:val="4041301D"/>
    <w:rsid w:val="40523C2A"/>
    <w:rsid w:val="40526279"/>
    <w:rsid w:val="40560547"/>
    <w:rsid w:val="405D05E2"/>
    <w:rsid w:val="406E5180"/>
    <w:rsid w:val="40A13ABC"/>
    <w:rsid w:val="40B97058"/>
    <w:rsid w:val="40BB52B4"/>
    <w:rsid w:val="40D83014"/>
    <w:rsid w:val="40F61875"/>
    <w:rsid w:val="410B1E9D"/>
    <w:rsid w:val="4125082C"/>
    <w:rsid w:val="4159741E"/>
    <w:rsid w:val="41630892"/>
    <w:rsid w:val="41C46BF4"/>
    <w:rsid w:val="41D9302C"/>
    <w:rsid w:val="41F465FF"/>
    <w:rsid w:val="420B31B2"/>
    <w:rsid w:val="422331F6"/>
    <w:rsid w:val="425E0B53"/>
    <w:rsid w:val="426E1593"/>
    <w:rsid w:val="426F6E42"/>
    <w:rsid w:val="42820AFD"/>
    <w:rsid w:val="42AE24C0"/>
    <w:rsid w:val="42FC4413"/>
    <w:rsid w:val="43104F29"/>
    <w:rsid w:val="43106CD7"/>
    <w:rsid w:val="43302B75"/>
    <w:rsid w:val="43473E88"/>
    <w:rsid w:val="4368030A"/>
    <w:rsid w:val="436A1B2C"/>
    <w:rsid w:val="43765EFF"/>
    <w:rsid w:val="43E214D5"/>
    <w:rsid w:val="43EB1973"/>
    <w:rsid w:val="441E0142"/>
    <w:rsid w:val="44444E8A"/>
    <w:rsid w:val="444C127F"/>
    <w:rsid w:val="44614C0D"/>
    <w:rsid w:val="446F7A2D"/>
    <w:rsid w:val="44853988"/>
    <w:rsid w:val="44CE07E9"/>
    <w:rsid w:val="44DF651F"/>
    <w:rsid w:val="4504286C"/>
    <w:rsid w:val="45401607"/>
    <w:rsid w:val="455E1F7C"/>
    <w:rsid w:val="457F7098"/>
    <w:rsid w:val="459C0DCA"/>
    <w:rsid w:val="45E50653"/>
    <w:rsid w:val="45E9741B"/>
    <w:rsid w:val="46243558"/>
    <w:rsid w:val="462436B6"/>
    <w:rsid w:val="4629583F"/>
    <w:rsid w:val="466D602A"/>
    <w:rsid w:val="46B66094"/>
    <w:rsid w:val="46BA36E6"/>
    <w:rsid w:val="46D524E2"/>
    <w:rsid w:val="46E322D8"/>
    <w:rsid w:val="46E666CD"/>
    <w:rsid w:val="46FB624F"/>
    <w:rsid w:val="471D14E6"/>
    <w:rsid w:val="47340057"/>
    <w:rsid w:val="475C5803"/>
    <w:rsid w:val="480E290B"/>
    <w:rsid w:val="48146EE6"/>
    <w:rsid w:val="487659D7"/>
    <w:rsid w:val="48CE1CF6"/>
    <w:rsid w:val="490013E0"/>
    <w:rsid w:val="493059E0"/>
    <w:rsid w:val="49361094"/>
    <w:rsid w:val="49952F5F"/>
    <w:rsid w:val="49A43BEB"/>
    <w:rsid w:val="49A62325"/>
    <w:rsid w:val="4A0F3447"/>
    <w:rsid w:val="4A484FA8"/>
    <w:rsid w:val="4A886995"/>
    <w:rsid w:val="4A9621B8"/>
    <w:rsid w:val="4AA27E5E"/>
    <w:rsid w:val="4AE35428"/>
    <w:rsid w:val="4AF3182D"/>
    <w:rsid w:val="4B34358E"/>
    <w:rsid w:val="4B551135"/>
    <w:rsid w:val="4BA87845"/>
    <w:rsid w:val="4BE041DA"/>
    <w:rsid w:val="4BE17463"/>
    <w:rsid w:val="4BE40D01"/>
    <w:rsid w:val="4C001EFC"/>
    <w:rsid w:val="4C0C1A70"/>
    <w:rsid w:val="4C194152"/>
    <w:rsid w:val="4C26371C"/>
    <w:rsid w:val="4C5C2F8D"/>
    <w:rsid w:val="4C5C4FFB"/>
    <w:rsid w:val="4C671627"/>
    <w:rsid w:val="4C7E695A"/>
    <w:rsid w:val="4C8F44DF"/>
    <w:rsid w:val="4C9B73C9"/>
    <w:rsid w:val="4CB16E35"/>
    <w:rsid w:val="4CC33235"/>
    <w:rsid w:val="4CCF7ECB"/>
    <w:rsid w:val="4CD4407E"/>
    <w:rsid w:val="4D3009C9"/>
    <w:rsid w:val="4D367648"/>
    <w:rsid w:val="4D7600FC"/>
    <w:rsid w:val="4D7A540F"/>
    <w:rsid w:val="4D986641"/>
    <w:rsid w:val="4DA775D7"/>
    <w:rsid w:val="4DD21E9B"/>
    <w:rsid w:val="4DD25ECA"/>
    <w:rsid w:val="4DE21193"/>
    <w:rsid w:val="4E094A4F"/>
    <w:rsid w:val="4E434284"/>
    <w:rsid w:val="4E43438B"/>
    <w:rsid w:val="4E9B4829"/>
    <w:rsid w:val="4EE81A44"/>
    <w:rsid w:val="4EFC6675"/>
    <w:rsid w:val="4F5E59AC"/>
    <w:rsid w:val="4F921FDC"/>
    <w:rsid w:val="501E0271"/>
    <w:rsid w:val="50B14E4E"/>
    <w:rsid w:val="50EF529B"/>
    <w:rsid w:val="51112598"/>
    <w:rsid w:val="513F6816"/>
    <w:rsid w:val="51711289"/>
    <w:rsid w:val="51A42191"/>
    <w:rsid w:val="51AE1D6E"/>
    <w:rsid w:val="51F956F1"/>
    <w:rsid w:val="5270469B"/>
    <w:rsid w:val="5287425C"/>
    <w:rsid w:val="52B47439"/>
    <w:rsid w:val="53B53431"/>
    <w:rsid w:val="53B61BC4"/>
    <w:rsid w:val="53DA7C39"/>
    <w:rsid w:val="540E0E28"/>
    <w:rsid w:val="54130E4E"/>
    <w:rsid w:val="54512D92"/>
    <w:rsid w:val="54AF6350"/>
    <w:rsid w:val="54E8780D"/>
    <w:rsid w:val="54F43282"/>
    <w:rsid w:val="55211F96"/>
    <w:rsid w:val="55284354"/>
    <w:rsid w:val="553A3451"/>
    <w:rsid w:val="55491271"/>
    <w:rsid w:val="5593697C"/>
    <w:rsid w:val="55E220E2"/>
    <w:rsid w:val="560C332E"/>
    <w:rsid w:val="561A63C5"/>
    <w:rsid w:val="564055AE"/>
    <w:rsid w:val="564D1505"/>
    <w:rsid w:val="56E30533"/>
    <w:rsid w:val="56F32822"/>
    <w:rsid w:val="570D1A54"/>
    <w:rsid w:val="57297C0D"/>
    <w:rsid w:val="57354F37"/>
    <w:rsid w:val="574F7809"/>
    <w:rsid w:val="57666B11"/>
    <w:rsid w:val="57765EE4"/>
    <w:rsid w:val="57B32846"/>
    <w:rsid w:val="57FB7AFE"/>
    <w:rsid w:val="580D6CF0"/>
    <w:rsid w:val="58182635"/>
    <w:rsid w:val="581B4793"/>
    <w:rsid w:val="585A65D3"/>
    <w:rsid w:val="587E0120"/>
    <w:rsid w:val="588647CF"/>
    <w:rsid w:val="588B296A"/>
    <w:rsid w:val="58C04B7A"/>
    <w:rsid w:val="58EA7427"/>
    <w:rsid w:val="598C1356"/>
    <w:rsid w:val="59B04939"/>
    <w:rsid w:val="59B42E3A"/>
    <w:rsid w:val="59C503C4"/>
    <w:rsid w:val="59CB7FA0"/>
    <w:rsid w:val="59E44A57"/>
    <w:rsid w:val="5A2F4FD5"/>
    <w:rsid w:val="5AB556CA"/>
    <w:rsid w:val="5AB66A39"/>
    <w:rsid w:val="5B3F5233"/>
    <w:rsid w:val="5B4E1685"/>
    <w:rsid w:val="5BC326E1"/>
    <w:rsid w:val="5BE16D34"/>
    <w:rsid w:val="5BE94433"/>
    <w:rsid w:val="5C7965FA"/>
    <w:rsid w:val="5C8104E0"/>
    <w:rsid w:val="5C8C4B79"/>
    <w:rsid w:val="5CA4442D"/>
    <w:rsid w:val="5CB22294"/>
    <w:rsid w:val="5CC72FCF"/>
    <w:rsid w:val="5D3470E3"/>
    <w:rsid w:val="5D5E27D2"/>
    <w:rsid w:val="5D9D1761"/>
    <w:rsid w:val="5DC4655C"/>
    <w:rsid w:val="5E173E7E"/>
    <w:rsid w:val="5E20206C"/>
    <w:rsid w:val="5E635EB6"/>
    <w:rsid w:val="5E9B35DF"/>
    <w:rsid w:val="5EC944B2"/>
    <w:rsid w:val="5ED218AA"/>
    <w:rsid w:val="5EE8302F"/>
    <w:rsid w:val="5EF37B62"/>
    <w:rsid w:val="5F0068FD"/>
    <w:rsid w:val="5F275FCB"/>
    <w:rsid w:val="60205117"/>
    <w:rsid w:val="603E5F99"/>
    <w:rsid w:val="604269A5"/>
    <w:rsid w:val="604D4C6F"/>
    <w:rsid w:val="607B1940"/>
    <w:rsid w:val="60E55611"/>
    <w:rsid w:val="60F32FFE"/>
    <w:rsid w:val="613126B0"/>
    <w:rsid w:val="61377A50"/>
    <w:rsid w:val="615E13D6"/>
    <w:rsid w:val="61614E76"/>
    <w:rsid w:val="61B907E0"/>
    <w:rsid w:val="61D31067"/>
    <w:rsid w:val="62225869"/>
    <w:rsid w:val="62563D3C"/>
    <w:rsid w:val="62620EA5"/>
    <w:rsid w:val="62BC127F"/>
    <w:rsid w:val="62EC16C5"/>
    <w:rsid w:val="62F03339"/>
    <w:rsid w:val="62F76A27"/>
    <w:rsid w:val="63484125"/>
    <w:rsid w:val="634E35D4"/>
    <w:rsid w:val="637013A0"/>
    <w:rsid w:val="638E7F81"/>
    <w:rsid w:val="639130C5"/>
    <w:rsid w:val="63BE1AC8"/>
    <w:rsid w:val="63C226FA"/>
    <w:rsid w:val="6448789A"/>
    <w:rsid w:val="64883C80"/>
    <w:rsid w:val="64EB16D8"/>
    <w:rsid w:val="65114E4C"/>
    <w:rsid w:val="6544591F"/>
    <w:rsid w:val="657169C4"/>
    <w:rsid w:val="65C01635"/>
    <w:rsid w:val="661F2C0A"/>
    <w:rsid w:val="66270337"/>
    <w:rsid w:val="662F6629"/>
    <w:rsid w:val="665931A6"/>
    <w:rsid w:val="667224B9"/>
    <w:rsid w:val="66A24460"/>
    <w:rsid w:val="66AD290B"/>
    <w:rsid w:val="66AF3F8D"/>
    <w:rsid w:val="66DA3FFA"/>
    <w:rsid w:val="66DF4311"/>
    <w:rsid w:val="66F47CD3"/>
    <w:rsid w:val="671F3661"/>
    <w:rsid w:val="674F7E1E"/>
    <w:rsid w:val="67567309"/>
    <w:rsid w:val="6759371E"/>
    <w:rsid w:val="675A4288"/>
    <w:rsid w:val="67915D89"/>
    <w:rsid w:val="67AA0EDA"/>
    <w:rsid w:val="67BF28F6"/>
    <w:rsid w:val="67DC1995"/>
    <w:rsid w:val="68213BD6"/>
    <w:rsid w:val="68833956"/>
    <w:rsid w:val="68AF77CE"/>
    <w:rsid w:val="68BC75E6"/>
    <w:rsid w:val="68E357D0"/>
    <w:rsid w:val="692B6C90"/>
    <w:rsid w:val="694C08CA"/>
    <w:rsid w:val="69590983"/>
    <w:rsid w:val="69A51678"/>
    <w:rsid w:val="69EE7DE7"/>
    <w:rsid w:val="6A0740E0"/>
    <w:rsid w:val="6A0E1913"/>
    <w:rsid w:val="6A30761F"/>
    <w:rsid w:val="6A3F0E10"/>
    <w:rsid w:val="6A773C28"/>
    <w:rsid w:val="6AA765A9"/>
    <w:rsid w:val="6AC56475"/>
    <w:rsid w:val="6AD2649C"/>
    <w:rsid w:val="6ADD630A"/>
    <w:rsid w:val="6B104D22"/>
    <w:rsid w:val="6B560E7C"/>
    <w:rsid w:val="6B5D75C7"/>
    <w:rsid w:val="6B871E0A"/>
    <w:rsid w:val="6BCD6991"/>
    <w:rsid w:val="6C5A2BED"/>
    <w:rsid w:val="6C8F247C"/>
    <w:rsid w:val="6CE40709"/>
    <w:rsid w:val="6CE55767"/>
    <w:rsid w:val="6D1A412B"/>
    <w:rsid w:val="6D572E2F"/>
    <w:rsid w:val="6D8A3964"/>
    <w:rsid w:val="6D8F67F7"/>
    <w:rsid w:val="6DA34938"/>
    <w:rsid w:val="6DA560EA"/>
    <w:rsid w:val="6DBB3B60"/>
    <w:rsid w:val="6DF34C0D"/>
    <w:rsid w:val="6E0D7776"/>
    <w:rsid w:val="6E1F5E9D"/>
    <w:rsid w:val="6E2C3712"/>
    <w:rsid w:val="6E303C5C"/>
    <w:rsid w:val="6E492F1A"/>
    <w:rsid w:val="6E6A590D"/>
    <w:rsid w:val="6E955FA9"/>
    <w:rsid w:val="6EB26FDE"/>
    <w:rsid w:val="6F7C5620"/>
    <w:rsid w:val="6F816C40"/>
    <w:rsid w:val="6FD1766A"/>
    <w:rsid w:val="6FF6489C"/>
    <w:rsid w:val="6FFF2F39"/>
    <w:rsid w:val="701F5C50"/>
    <w:rsid w:val="704F5AD7"/>
    <w:rsid w:val="706D5CFC"/>
    <w:rsid w:val="707D334E"/>
    <w:rsid w:val="709618E5"/>
    <w:rsid w:val="70C517D8"/>
    <w:rsid w:val="70CC0F1F"/>
    <w:rsid w:val="70CE6331"/>
    <w:rsid w:val="70FE4463"/>
    <w:rsid w:val="714E7CD0"/>
    <w:rsid w:val="71574DD0"/>
    <w:rsid w:val="71926986"/>
    <w:rsid w:val="71FC70A3"/>
    <w:rsid w:val="72103096"/>
    <w:rsid w:val="72381FEC"/>
    <w:rsid w:val="724B3BE5"/>
    <w:rsid w:val="72621DCA"/>
    <w:rsid w:val="72757BBD"/>
    <w:rsid w:val="72AC33FD"/>
    <w:rsid w:val="72B02FB5"/>
    <w:rsid w:val="72CC3A8A"/>
    <w:rsid w:val="72FD7B60"/>
    <w:rsid w:val="73045661"/>
    <w:rsid w:val="730B69EF"/>
    <w:rsid w:val="7335451E"/>
    <w:rsid w:val="73770529"/>
    <w:rsid w:val="740C7E0F"/>
    <w:rsid w:val="74870F58"/>
    <w:rsid w:val="7493794B"/>
    <w:rsid w:val="74B145BA"/>
    <w:rsid w:val="74D203CF"/>
    <w:rsid w:val="7523343E"/>
    <w:rsid w:val="752B4572"/>
    <w:rsid w:val="753B3A43"/>
    <w:rsid w:val="755C229C"/>
    <w:rsid w:val="756665C8"/>
    <w:rsid w:val="7594040D"/>
    <w:rsid w:val="75AD3484"/>
    <w:rsid w:val="75DD2B73"/>
    <w:rsid w:val="75F85030"/>
    <w:rsid w:val="76366ABE"/>
    <w:rsid w:val="76574C3C"/>
    <w:rsid w:val="76681E89"/>
    <w:rsid w:val="76D65566"/>
    <w:rsid w:val="76FF1318"/>
    <w:rsid w:val="771102B5"/>
    <w:rsid w:val="771661EC"/>
    <w:rsid w:val="771E2F38"/>
    <w:rsid w:val="771F6F0D"/>
    <w:rsid w:val="77493F8A"/>
    <w:rsid w:val="775E3958"/>
    <w:rsid w:val="77A41E44"/>
    <w:rsid w:val="77FC71CE"/>
    <w:rsid w:val="78370C9C"/>
    <w:rsid w:val="785D24FD"/>
    <w:rsid w:val="785D560F"/>
    <w:rsid w:val="78763A5D"/>
    <w:rsid w:val="788647E6"/>
    <w:rsid w:val="78EE21D2"/>
    <w:rsid w:val="79426EE3"/>
    <w:rsid w:val="7997722F"/>
    <w:rsid w:val="79FE59F3"/>
    <w:rsid w:val="7A2D600E"/>
    <w:rsid w:val="7A3208AA"/>
    <w:rsid w:val="7A6C207F"/>
    <w:rsid w:val="7A85266E"/>
    <w:rsid w:val="7AA5772A"/>
    <w:rsid w:val="7ABC66F5"/>
    <w:rsid w:val="7ABE700B"/>
    <w:rsid w:val="7ACE0B47"/>
    <w:rsid w:val="7AD922EE"/>
    <w:rsid w:val="7AF368CF"/>
    <w:rsid w:val="7AFE4CDF"/>
    <w:rsid w:val="7B1353E2"/>
    <w:rsid w:val="7B323829"/>
    <w:rsid w:val="7B437127"/>
    <w:rsid w:val="7BF430F1"/>
    <w:rsid w:val="7C234C0C"/>
    <w:rsid w:val="7C3D4D60"/>
    <w:rsid w:val="7CA0289E"/>
    <w:rsid w:val="7CBA2277"/>
    <w:rsid w:val="7CBB1F89"/>
    <w:rsid w:val="7CC35C85"/>
    <w:rsid w:val="7CEB3CE0"/>
    <w:rsid w:val="7CF0632C"/>
    <w:rsid w:val="7CF96C38"/>
    <w:rsid w:val="7CFA095A"/>
    <w:rsid w:val="7D1071BE"/>
    <w:rsid w:val="7D8A3CEB"/>
    <w:rsid w:val="7DA67368"/>
    <w:rsid w:val="7DC101F4"/>
    <w:rsid w:val="7E6B4B29"/>
    <w:rsid w:val="7E814193"/>
    <w:rsid w:val="7E906943"/>
    <w:rsid w:val="7ED6395D"/>
    <w:rsid w:val="7F0056EF"/>
    <w:rsid w:val="7F230F64"/>
    <w:rsid w:val="7F64440C"/>
    <w:rsid w:val="7F7F310E"/>
    <w:rsid w:val="7F9F4046"/>
    <w:rsid w:val="7FCA19A9"/>
    <w:rsid w:val="7FDC2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1"/>
    <w:qFormat/>
    <w:uiPriority w:val="0"/>
    <w:pPr>
      <w:keepNext/>
      <w:keepLines/>
      <w:spacing w:line="578" w:lineRule="auto"/>
      <w:outlineLvl w:val="0"/>
    </w:pPr>
    <w:rPr>
      <w:rFonts w:eastAsia="仿宋"/>
      <w:b/>
      <w:bCs/>
      <w:kern w:val="44"/>
      <w:sz w:val="28"/>
      <w:szCs w:val="44"/>
    </w:rPr>
  </w:style>
  <w:style w:type="paragraph" w:styleId="7">
    <w:name w:val="heading 2"/>
    <w:basedOn w:val="1"/>
    <w:next w:val="1"/>
    <w:link w:val="65"/>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link w:val="66"/>
    <w:qFormat/>
    <w:uiPriority w:val="0"/>
    <w:pPr>
      <w:keepNext/>
      <w:keepLines/>
      <w:spacing w:before="260" w:after="260" w:line="416" w:lineRule="auto"/>
      <w:outlineLvl w:val="2"/>
    </w:pPr>
    <w:rPr>
      <w:b/>
      <w:bCs/>
      <w:kern w:val="0"/>
      <w:sz w:val="32"/>
      <w:szCs w:val="32"/>
    </w:rPr>
  </w:style>
  <w:style w:type="paragraph" w:styleId="9">
    <w:name w:val="heading 4"/>
    <w:basedOn w:val="1"/>
    <w:next w:val="1"/>
    <w:link w:val="101"/>
    <w:qFormat/>
    <w:uiPriority w:val="9"/>
    <w:pPr>
      <w:keepNext/>
      <w:jc w:val="center"/>
      <w:outlineLvl w:val="3"/>
    </w:pPr>
    <w:rPr>
      <w:rFonts w:eastAsia="新宋体"/>
      <w:kern w:val="0"/>
      <w:sz w:val="30"/>
      <w:szCs w:val="21"/>
    </w:rPr>
  </w:style>
  <w:style w:type="paragraph" w:styleId="10">
    <w:name w:val="heading 5"/>
    <w:basedOn w:val="1"/>
    <w:next w:val="1"/>
    <w:link w:val="79"/>
    <w:qFormat/>
    <w:uiPriority w:val="0"/>
    <w:pPr>
      <w:keepNext/>
      <w:keepLines/>
      <w:spacing w:before="280" w:after="290" w:line="376" w:lineRule="auto"/>
      <w:outlineLvl w:val="4"/>
    </w:pPr>
    <w:rPr>
      <w:b/>
      <w:bCs/>
      <w:kern w:val="0"/>
      <w:sz w:val="28"/>
      <w:szCs w:val="28"/>
    </w:rPr>
  </w:style>
  <w:style w:type="paragraph" w:styleId="11">
    <w:name w:val="heading 6"/>
    <w:basedOn w:val="1"/>
    <w:next w:val="12"/>
    <w:link w:val="93"/>
    <w:qFormat/>
    <w:uiPriority w:val="0"/>
    <w:pPr>
      <w:keepNext/>
      <w:jc w:val="center"/>
      <w:outlineLvl w:val="5"/>
    </w:pPr>
    <w:rPr>
      <w:b/>
      <w:kern w:val="0"/>
      <w:sz w:val="44"/>
      <w:szCs w:val="20"/>
    </w:rPr>
  </w:style>
  <w:style w:type="paragraph" w:styleId="13">
    <w:name w:val="heading 7"/>
    <w:basedOn w:val="1"/>
    <w:next w:val="1"/>
    <w:link w:val="112"/>
    <w:qFormat/>
    <w:uiPriority w:val="0"/>
    <w:pPr>
      <w:keepNext/>
      <w:keepLines/>
      <w:spacing w:before="240" w:after="64" w:line="320" w:lineRule="auto"/>
      <w:outlineLvl w:val="6"/>
    </w:pPr>
    <w:rPr>
      <w:b/>
      <w:bCs/>
      <w:kern w:val="0"/>
      <w:sz w:val="24"/>
    </w:rPr>
  </w:style>
  <w:style w:type="paragraph" w:styleId="14">
    <w:name w:val="heading 8"/>
    <w:basedOn w:val="1"/>
    <w:next w:val="1"/>
    <w:link w:val="68"/>
    <w:qFormat/>
    <w:uiPriority w:val="0"/>
    <w:pPr>
      <w:keepNext/>
      <w:keepLines/>
      <w:spacing w:before="240" w:after="64" w:line="320" w:lineRule="auto"/>
      <w:outlineLvl w:val="7"/>
    </w:pPr>
    <w:rPr>
      <w:rFonts w:ascii="Arial" w:hAnsi="Arial" w:eastAsia="黑体"/>
      <w:kern w:val="0"/>
      <w:sz w:val="24"/>
    </w:rPr>
  </w:style>
  <w:style w:type="paragraph" w:styleId="15">
    <w:name w:val="heading 9"/>
    <w:basedOn w:val="1"/>
    <w:next w:val="1"/>
    <w:link w:val="91"/>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link w:val="90"/>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link w:val="94"/>
    <w:qFormat/>
    <w:uiPriority w:val="0"/>
    <w:pPr>
      <w:spacing w:after="120"/>
      <w:ind w:left="420" w:leftChars="200"/>
    </w:pPr>
    <w:rPr>
      <w:kern w:val="0"/>
      <w:sz w:val="16"/>
      <w:szCs w:val="16"/>
    </w:rPr>
  </w:style>
  <w:style w:type="paragraph" w:styleId="12">
    <w:name w:val="Normal Indent"/>
    <w:basedOn w:val="1"/>
    <w:link w:val="99"/>
    <w:qFormat/>
    <w:uiPriority w:val="0"/>
    <w:pPr>
      <w:adjustRightInd w:val="0"/>
      <w:spacing w:line="360" w:lineRule="atLeast"/>
      <w:ind w:firstLine="482"/>
      <w:textAlignment w:val="baseline"/>
    </w:pPr>
    <w:rPr>
      <w:kern w:val="0"/>
      <w:sz w:val="24"/>
    </w:rPr>
  </w:style>
  <w:style w:type="paragraph" w:styleId="16">
    <w:name w:val="annotation subject"/>
    <w:basedOn w:val="17"/>
    <w:next w:val="17"/>
    <w:link w:val="69"/>
    <w:unhideWhenUsed/>
    <w:qFormat/>
    <w:uiPriority w:val="0"/>
    <w:rPr>
      <w:b/>
      <w:bCs/>
    </w:rPr>
  </w:style>
  <w:style w:type="paragraph" w:styleId="17">
    <w:name w:val="annotation text"/>
    <w:basedOn w:val="1"/>
    <w:link w:val="108"/>
    <w:unhideWhenUsed/>
    <w:qFormat/>
    <w:uiPriority w:val="99"/>
    <w:pPr>
      <w:jc w:val="left"/>
    </w:pPr>
  </w:style>
  <w:style w:type="paragraph" w:styleId="18">
    <w:name w:val="Body Text First Indent"/>
    <w:basedOn w:val="19"/>
    <w:link w:val="117"/>
    <w:qFormat/>
    <w:uiPriority w:val="0"/>
    <w:pPr>
      <w:ind w:firstLine="420" w:firstLineChars="100"/>
    </w:pPr>
    <w:rPr>
      <w:kern w:val="0"/>
      <w:sz w:val="24"/>
    </w:rPr>
  </w:style>
  <w:style w:type="paragraph" w:styleId="19">
    <w:name w:val="Body Text"/>
    <w:basedOn w:val="1"/>
    <w:next w:val="20"/>
    <w:link w:val="88"/>
    <w:unhideWhenUsed/>
    <w:qFormat/>
    <w:uiPriority w:val="0"/>
    <w:pPr>
      <w:spacing w:after="120"/>
    </w:pPr>
  </w:style>
  <w:style w:type="paragraph" w:customStyle="1" w:styleId="20">
    <w:name w:val="style4"/>
    <w:basedOn w:val="1"/>
    <w:next w:val="21"/>
    <w:qFormat/>
    <w:uiPriority w:val="0"/>
    <w:pPr>
      <w:widowControl/>
      <w:spacing w:before="280" w:after="280"/>
    </w:pPr>
    <w:rPr>
      <w:rFonts w:ascii="宋体"/>
      <w:sz w:val="18"/>
    </w:rPr>
  </w:style>
  <w:style w:type="paragraph" w:customStyle="1" w:styleId="21">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2">
    <w:name w:val="table of authorities"/>
    <w:basedOn w:val="1"/>
    <w:next w:val="1"/>
    <w:semiHidden/>
    <w:unhideWhenUsed/>
    <w:qFormat/>
    <w:uiPriority w:val="99"/>
    <w:pPr>
      <w:ind w:left="420" w:leftChars="200"/>
    </w:pPr>
  </w:style>
  <w:style w:type="paragraph" w:styleId="23">
    <w:name w:val="Document Map"/>
    <w:basedOn w:val="1"/>
    <w:link w:val="70"/>
    <w:qFormat/>
    <w:uiPriority w:val="0"/>
    <w:pPr>
      <w:shd w:val="clear" w:color="auto" w:fill="000080"/>
    </w:pPr>
    <w:rPr>
      <w:kern w:val="0"/>
      <w:sz w:val="20"/>
    </w:rPr>
  </w:style>
  <w:style w:type="paragraph" w:styleId="24">
    <w:name w:val="toa heading"/>
    <w:basedOn w:val="1"/>
    <w:next w:val="1"/>
    <w:qFormat/>
    <w:uiPriority w:val="0"/>
    <w:rPr>
      <w:rFonts w:ascii="Arial" w:hAnsi="Arial"/>
      <w:szCs w:val="20"/>
    </w:rPr>
  </w:style>
  <w:style w:type="paragraph" w:styleId="25">
    <w:name w:val="Body Text 3"/>
    <w:basedOn w:val="1"/>
    <w:link w:val="72"/>
    <w:qFormat/>
    <w:uiPriority w:val="0"/>
    <w:pPr>
      <w:spacing w:after="120"/>
    </w:pPr>
    <w:rPr>
      <w:kern w:val="0"/>
      <w:sz w:val="16"/>
      <w:szCs w:val="16"/>
    </w:rPr>
  </w:style>
  <w:style w:type="paragraph" w:styleId="26">
    <w:name w:val="Plain Text"/>
    <w:basedOn w:val="1"/>
    <w:link w:val="97"/>
    <w:qFormat/>
    <w:uiPriority w:val="0"/>
    <w:rPr>
      <w:rFonts w:ascii="宋体" w:hAnsi="Courier New"/>
      <w:szCs w:val="21"/>
    </w:rPr>
  </w:style>
  <w:style w:type="paragraph" w:styleId="27">
    <w:name w:val="Date"/>
    <w:basedOn w:val="1"/>
    <w:next w:val="1"/>
    <w:link w:val="73"/>
    <w:qFormat/>
    <w:uiPriority w:val="0"/>
    <w:rPr>
      <w:kern w:val="0"/>
      <w:sz w:val="24"/>
      <w:szCs w:val="20"/>
    </w:rPr>
  </w:style>
  <w:style w:type="paragraph" w:styleId="28">
    <w:name w:val="Body Text Indent 2"/>
    <w:basedOn w:val="1"/>
    <w:link w:val="118"/>
    <w:qFormat/>
    <w:uiPriority w:val="0"/>
    <w:pPr>
      <w:spacing w:after="120" w:line="480" w:lineRule="auto"/>
      <w:ind w:left="420" w:leftChars="200"/>
    </w:pPr>
    <w:rPr>
      <w:kern w:val="0"/>
      <w:sz w:val="20"/>
    </w:rPr>
  </w:style>
  <w:style w:type="paragraph" w:styleId="29">
    <w:name w:val="Balloon Text"/>
    <w:basedOn w:val="1"/>
    <w:link w:val="59"/>
    <w:unhideWhenUsed/>
    <w:qFormat/>
    <w:uiPriority w:val="99"/>
    <w:rPr>
      <w:sz w:val="18"/>
      <w:szCs w:val="18"/>
    </w:rPr>
  </w:style>
  <w:style w:type="paragraph" w:styleId="30">
    <w:name w:val="footer"/>
    <w:basedOn w:val="1"/>
    <w:link w:val="74"/>
    <w:unhideWhenUsed/>
    <w:qFormat/>
    <w:uiPriority w:val="99"/>
    <w:pPr>
      <w:tabs>
        <w:tab w:val="center" w:pos="4153"/>
        <w:tab w:val="right" w:pos="8306"/>
      </w:tabs>
      <w:snapToGrid w:val="0"/>
      <w:jc w:val="left"/>
    </w:pPr>
    <w:rPr>
      <w:sz w:val="18"/>
      <w:szCs w:val="18"/>
    </w:rPr>
  </w:style>
  <w:style w:type="paragraph" w:styleId="31">
    <w:name w:val="header"/>
    <w:basedOn w:val="1"/>
    <w:link w:val="100"/>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rPr>
      <w:sz w:val="24"/>
    </w:rPr>
  </w:style>
  <w:style w:type="paragraph" w:styleId="33">
    <w:name w:val="List"/>
    <w:basedOn w:val="1"/>
    <w:qFormat/>
    <w:uiPriority w:val="0"/>
    <w:pPr>
      <w:ind w:left="200" w:hanging="200" w:hangingChars="200"/>
    </w:pPr>
  </w:style>
  <w:style w:type="paragraph" w:styleId="34">
    <w:name w:val="Body Text 2"/>
    <w:basedOn w:val="1"/>
    <w:link w:val="80"/>
    <w:qFormat/>
    <w:uiPriority w:val="0"/>
    <w:pPr>
      <w:snapToGrid w:val="0"/>
    </w:pPr>
    <w:rPr>
      <w:b/>
      <w:bCs/>
      <w:kern w:val="0"/>
      <w:sz w:val="18"/>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link w:val="116"/>
    <w:qFormat/>
    <w:uiPriority w:val="0"/>
    <w:pPr>
      <w:spacing w:before="240" w:after="60"/>
      <w:jc w:val="center"/>
      <w:outlineLvl w:val="0"/>
    </w:pPr>
    <w:rPr>
      <w:rFonts w:ascii="Arial" w:hAnsi="Arial"/>
      <w:b/>
      <w:bCs/>
      <w:kern w:val="0"/>
      <w:sz w:val="32"/>
      <w:szCs w:val="32"/>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none"/>
    </w:rPr>
  </w:style>
  <w:style w:type="character" w:styleId="42">
    <w:name w:val="Emphasis"/>
    <w:qFormat/>
    <w:uiPriority w:val="0"/>
    <w:rPr>
      <w:rFonts w:ascii="Cambria" w:hAnsi="Cambria" w:eastAsia="黑体" w:cs="Times New Roman"/>
      <w:b/>
      <w:bCs/>
      <w:iCs/>
      <w:kern w:val="2"/>
      <w:sz w:val="24"/>
      <w:szCs w:val="32"/>
      <w:lang w:val="en-US" w:eastAsia="zh-CN" w:bidi="ar-SA"/>
    </w:rPr>
  </w:style>
  <w:style w:type="character" w:styleId="43">
    <w:name w:val="HTML Definition"/>
    <w:unhideWhenUsed/>
    <w:qFormat/>
    <w:uiPriority w:val="99"/>
  </w:style>
  <w:style w:type="character" w:styleId="44">
    <w:name w:val="HTML Typewriter"/>
    <w:qFormat/>
    <w:uiPriority w:val="0"/>
    <w:rPr>
      <w:rFonts w:ascii="宋体" w:hAnsi="宋体" w:eastAsia="宋体" w:cs="宋体"/>
      <w:bCs/>
      <w:sz w:val="24"/>
      <w:szCs w:val="24"/>
      <w:lang w:val="en-US" w:eastAsia="zh-CN" w:bidi="ar-SA"/>
    </w:rPr>
  </w:style>
  <w:style w:type="character" w:styleId="45">
    <w:name w:val="HTML Acronym"/>
    <w:basedOn w:val="38"/>
    <w:unhideWhenUsed/>
    <w:qFormat/>
    <w:uiPriority w:val="99"/>
  </w:style>
  <w:style w:type="character" w:styleId="46">
    <w:name w:val="HTML Variable"/>
    <w:unhideWhenUsed/>
    <w:qFormat/>
    <w:uiPriority w:val="99"/>
  </w:style>
  <w:style w:type="character" w:styleId="47">
    <w:name w:val="Hyperlink"/>
    <w:unhideWhenUsed/>
    <w:qFormat/>
    <w:uiPriority w:val="99"/>
    <w:rPr>
      <w:color w:val="0000FF"/>
      <w:u w:val="none"/>
    </w:rPr>
  </w:style>
  <w:style w:type="character" w:styleId="48">
    <w:name w:val="HTML Code"/>
    <w:unhideWhenUsed/>
    <w:qFormat/>
    <w:uiPriority w:val="99"/>
    <w:rPr>
      <w:rFonts w:hint="default" w:ascii="monospace" w:hAnsi="monospace" w:eastAsia="monospace" w:cs="monospace"/>
      <w:sz w:val="20"/>
    </w:rPr>
  </w:style>
  <w:style w:type="character" w:styleId="49">
    <w:name w:val="annotation reference"/>
    <w:unhideWhenUsed/>
    <w:qFormat/>
    <w:uiPriority w:val="99"/>
    <w:rPr>
      <w:sz w:val="21"/>
      <w:szCs w:val="21"/>
    </w:rPr>
  </w:style>
  <w:style w:type="character" w:styleId="50">
    <w:name w:val="HTML Cite"/>
    <w:unhideWhenUsed/>
    <w:qFormat/>
    <w:uiPriority w:val="99"/>
  </w:style>
  <w:style w:type="character" w:styleId="51">
    <w:name w:val="HTML Keyboard"/>
    <w:unhideWhenUsed/>
    <w:qFormat/>
    <w:uiPriority w:val="99"/>
    <w:rPr>
      <w:rFonts w:hint="default" w:ascii="monospace" w:hAnsi="monospace" w:eastAsia="monospace" w:cs="monospace"/>
      <w:sz w:val="20"/>
    </w:rPr>
  </w:style>
  <w:style w:type="character" w:styleId="52">
    <w:name w:val="HTML Sample"/>
    <w:unhideWhenUsed/>
    <w:qFormat/>
    <w:uiPriority w:val="99"/>
    <w:rPr>
      <w:rFonts w:hint="default" w:ascii="monospace" w:hAnsi="monospace" w:eastAsia="monospace" w:cs="monospace"/>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5">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56">
    <w:name w:val="发布"/>
    <w:qFormat/>
    <w:uiPriority w:val="0"/>
    <w:rPr>
      <w:rFonts w:ascii="黑体" w:hAnsi="黑体" w:eastAsia="黑体"/>
      <w:bCs/>
      <w:spacing w:val="22"/>
      <w:w w:val="100"/>
      <w:position w:val="3"/>
      <w:sz w:val="28"/>
      <w:szCs w:val="21"/>
      <w:lang w:val="en-US" w:eastAsia="zh-CN" w:bidi="ar-SA"/>
    </w:rPr>
  </w:style>
  <w:style w:type="character" w:customStyle="1" w:styleId="57">
    <w:name w:val="普通正文 Char"/>
    <w:link w:val="58"/>
    <w:qFormat/>
    <w:uiPriority w:val="0"/>
    <w:rPr>
      <w:rFonts w:ascii="Arial" w:hAnsi="Arial"/>
      <w:sz w:val="24"/>
      <w:szCs w:val="24"/>
    </w:rPr>
  </w:style>
  <w:style w:type="paragraph" w:customStyle="1" w:styleId="58">
    <w:name w:val="普通正文"/>
    <w:basedOn w:val="1"/>
    <w:link w:val="5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59">
    <w:name w:val="批注框文本 字符"/>
    <w:link w:val="29"/>
    <w:qFormat/>
    <w:uiPriority w:val="99"/>
    <w:rPr>
      <w:rFonts w:ascii="Times New Roman" w:hAnsi="Times New Roman"/>
      <w:kern w:val="2"/>
      <w:sz w:val="18"/>
      <w:szCs w:val="18"/>
    </w:rPr>
  </w:style>
  <w:style w:type="character" w:customStyle="1" w:styleId="60">
    <w:name w:val="HTML 预设格式 字符"/>
    <w:link w:val="35"/>
    <w:qFormat/>
    <w:uiPriority w:val="0"/>
    <w:rPr>
      <w:rFonts w:ascii="Arial" w:hAnsi="Arial" w:cs="Arial"/>
      <w:sz w:val="24"/>
      <w:szCs w:val="24"/>
    </w:rPr>
  </w:style>
  <w:style w:type="character" w:customStyle="1" w:styleId="61">
    <w:name w:val="标题 1 字符"/>
    <w:link w:val="6"/>
    <w:qFormat/>
    <w:uiPriority w:val="0"/>
    <w:rPr>
      <w:rFonts w:ascii="Times New Roman" w:hAnsi="Times New Roman" w:eastAsia="仿宋"/>
      <w:b/>
      <w:bCs/>
      <w:kern w:val="44"/>
      <w:sz w:val="28"/>
      <w:szCs w:val="44"/>
    </w:rPr>
  </w:style>
  <w:style w:type="character" w:customStyle="1" w:styleId="62">
    <w:name w:val="正文文本 3 Char1"/>
    <w:semiHidden/>
    <w:qFormat/>
    <w:uiPriority w:val="99"/>
    <w:rPr>
      <w:rFonts w:ascii="Times New Roman" w:hAnsi="Times New Roman"/>
      <w:kern w:val="2"/>
      <w:sz w:val="16"/>
      <w:szCs w:val="16"/>
    </w:rPr>
  </w:style>
  <w:style w:type="character" w:customStyle="1" w:styleId="63">
    <w:name w:val="point_normal1"/>
    <w:qFormat/>
    <w:uiPriority w:val="0"/>
    <w:rPr>
      <w:rFonts w:hint="default" w:ascii="Arial" w:hAnsi="Arial" w:cs="Arial"/>
      <w:sz w:val="16"/>
      <w:szCs w:val="16"/>
    </w:rPr>
  </w:style>
  <w:style w:type="character" w:customStyle="1" w:styleId="64">
    <w:name w:val="cn_text1"/>
    <w:qFormat/>
    <w:uiPriority w:val="0"/>
    <w:rPr>
      <w:rFonts w:hint="default" w:ascii="ˎ̥" w:hAnsi="ˎ̥"/>
      <w:color w:val="003399"/>
      <w:spacing w:val="15"/>
      <w:sz w:val="18"/>
      <w:szCs w:val="18"/>
    </w:rPr>
  </w:style>
  <w:style w:type="character" w:customStyle="1" w:styleId="65">
    <w:name w:val="标题 2 字符"/>
    <w:link w:val="7"/>
    <w:qFormat/>
    <w:uiPriority w:val="9"/>
    <w:rPr>
      <w:rFonts w:ascii="Cambria" w:hAnsi="Cambria" w:eastAsia="宋体" w:cs="Times New Roman"/>
      <w:b/>
      <w:bCs/>
      <w:kern w:val="2"/>
      <w:sz w:val="32"/>
      <w:szCs w:val="32"/>
    </w:rPr>
  </w:style>
  <w:style w:type="character" w:customStyle="1" w:styleId="66">
    <w:name w:val="标题 3 字符"/>
    <w:link w:val="8"/>
    <w:qFormat/>
    <w:uiPriority w:val="0"/>
    <w:rPr>
      <w:rFonts w:ascii="Times New Roman" w:hAnsi="Times New Roman"/>
      <w:b/>
      <w:bCs/>
      <w:sz w:val="32"/>
      <w:szCs w:val="32"/>
    </w:rPr>
  </w:style>
  <w:style w:type="character" w:customStyle="1" w:styleId="67">
    <w:name w:val="标题 Char1"/>
    <w:qFormat/>
    <w:uiPriority w:val="10"/>
    <w:rPr>
      <w:rFonts w:ascii="Cambria" w:hAnsi="Cambria" w:cs="Times New Roman"/>
      <w:b/>
      <w:bCs/>
      <w:kern w:val="2"/>
      <w:sz w:val="32"/>
      <w:szCs w:val="32"/>
    </w:rPr>
  </w:style>
  <w:style w:type="character" w:customStyle="1" w:styleId="68">
    <w:name w:val="标题 8 字符"/>
    <w:link w:val="14"/>
    <w:qFormat/>
    <w:uiPriority w:val="0"/>
    <w:rPr>
      <w:rFonts w:ascii="Arial" w:hAnsi="Arial" w:eastAsia="黑体"/>
      <w:sz w:val="24"/>
      <w:szCs w:val="24"/>
    </w:rPr>
  </w:style>
  <w:style w:type="character" w:customStyle="1" w:styleId="69">
    <w:name w:val="批注主题 字符"/>
    <w:link w:val="16"/>
    <w:qFormat/>
    <w:uiPriority w:val="0"/>
    <w:rPr>
      <w:rFonts w:ascii="Times New Roman" w:hAnsi="Times New Roman"/>
      <w:b/>
      <w:bCs/>
      <w:kern w:val="2"/>
      <w:sz w:val="21"/>
      <w:szCs w:val="24"/>
    </w:rPr>
  </w:style>
  <w:style w:type="character" w:customStyle="1" w:styleId="70">
    <w:name w:val="文档结构图 字符"/>
    <w:link w:val="23"/>
    <w:qFormat/>
    <w:uiPriority w:val="0"/>
    <w:rPr>
      <w:szCs w:val="24"/>
      <w:shd w:val="clear" w:color="auto" w:fill="000080"/>
    </w:rPr>
  </w:style>
  <w:style w:type="character" w:customStyle="1" w:styleId="71">
    <w:name w:val="正文文本缩进 3 Char1"/>
    <w:semiHidden/>
    <w:qFormat/>
    <w:uiPriority w:val="99"/>
    <w:rPr>
      <w:rFonts w:ascii="Times New Roman" w:hAnsi="Times New Roman"/>
      <w:kern w:val="2"/>
      <w:sz w:val="16"/>
      <w:szCs w:val="16"/>
    </w:rPr>
  </w:style>
  <w:style w:type="character" w:customStyle="1" w:styleId="72">
    <w:name w:val="正文文本 3 字符"/>
    <w:link w:val="25"/>
    <w:qFormat/>
    <w:uiPriority w:val="0"/>
    <w:rPr>
      <w:rFonts w:ascii="Times New Roman" w:hAnsi="Times New Roman"/>
      <w:sz w:val="16"/>
      <w:szCs w:val="16"/>
    </w:rPr>
  </w:style>
  <w:style w:type="character" w:customStyle="1" w:styleId="73">
    <w:name w:val="日期 字符"/>
    <w:link w:val="27"/>
    <w:qFormat/>
    <w:uiPriority w:val="0"/>
    <w:rPr>
      <w:rFonts w:ascii="Times New Roman" w:hAnsi="Times New Roman"/>
      <w:sz w:val="24"/>
    </w:rPr>
  </w:style>
  <w:style w:type="character" w:customStyle="1" w:styleId="74">
    <w:name w:val="页脚 字符"/>
    <w:link w:val="30"/>
    <w:qFormat/>
    <w:uiPriority w:val="99"/>
    <w:rPr>
      <w:rFonts w:ascii="Times New Roman" w:hAnsi="Times New Roman"/>
      <w:kern w:val="2"/>
      <w:sz w:val="18"/>
      <w:szCs w:val="18"/>
    </w:rPr>
  </w:style>
  <w:style w:type="character" w:customStyle="1" w:styleId="75">
    <w:name w:val="样式 标题 1 + 黑体 五号 Char"/>
    <w:link w:val="76"/>
    <w:qFormat/>
    <w:uiPriority w:val="99"/>
    <w:rPr>
      <w:rFonts w:ascii="黑体" w:hAnsi="黑体" w:eastAsia="黑体"/>
    </w:rPr>
  </w:style>
  <w:style w:type="paragraph" w:customStyle="1" w:styleId="76">
    <w:name w:val="样式 标题 1 + 黑体 五号"/>
    <w:basedOn w:val="6"/>
    <w:link w:val="75"/>
    <w:qFormat/>
    <w:uiPriority w:val="99"/>
    <w:pPr>
      <w:keepLines w:val="0"/>
      <w:numPr>
        <w:ilvl w:val="0"/>
        <w:numId w:val="1"/>
      </w:numPr>
      <w:tabs>
        <w:tab w:val="left" w:pos="360"/>
      </w:tabs>
      <w:spacing w:beforeLines="50" w:afterLines="50" w:line="360" w:lineRule="exact"/>
    </w:pPr>
    <w:rPr>
      <w:rFonts w:ascii="黑体" w:hAnsi="黑体" w:eastAsia="黑体"/>
      <w:b w:val="0"/>
      <w:bCs w:val="0"/>
      <w:kern w:val="0"/>
      <w:sz w:val="20"/>
      <w:szCs w:val="20"/>
    </w:rPr>
  </w:style>
  <w:style w:type="character" w:customStyle="1" w:styleId="77">
    <w:name w:val="纯文本 Char1"/>
    <w:semiHidden/>
    <w:qFormat/>
    <w:uiPriority w:val="99"/>
    <w:rPr>
      <w:rFonts w:ascii="宋体" w:hAnsi="Courier New" w:cs="Courier New"/>
      <w:kern w:val="2"/>
      <w:sz w:val="21"/>
      <w:szCs w:val="21"/>
    </w:rPr>
  </w:style>
  <w:style w:type="character" w:customStyle="1" w:styleId="78">
    <w:name w:val="short_text1"/>
    <w:qFormat/>
    <w:uiPriority w:val="0"/>
    <w:rPr>
      <w:rFonts w:ascii="黑体" w:hAnsi="黑体" w:eastAsia="黑体"/>
      <w:bCs/>
      <w:sz w:val="29"/>
      <w:szCs w:val="29"/>
      <w:lang w:val="en-US" w:eastAsia="zh-CN" w:bidi="ar-SA"/>
    </w:rPr>
  </w:style>
  <w:style w:type="character" w:customStyle="1" w:styleId="79">
    <w:name w:val="标题 5 字符"/>
    <w:link w:val="10"/>
    <w:qFormat/>
    <w:uiPriority w:val="0"/>
    <w:rPr>
      <w:rFonts w:ascii="Times New Roman" w:hAnsi="Times New Roman"/>
      <w:b/>
      <w:bCs/>
      <w:sz w:val="28"/>
      <w:szCs w:val="28"/>
    </w:rPr>
  </w:style>
  <w:style w:type="character" w:customStyle="1" w:styleId="80">
    <w:name w:val="正文文本 2 字符"/>
    <w:link w:val="34"/>
    <w:qFormat/>
    <w:uiPriority w:val="0"/>
    <w:rPr>
      <w:rFonts w:ascii="Times New Roman" w:hAnsi="Times New Roman"/>
      <w:b/>
      <w:bCs/>
      <w:sz w:val="18"/>
      <w:szCs w:val="24"/>
    </w:rPr>
  </w:style>
  <w:style w:type="character" w:customStyle="1" w:styleId="81">
    <w:name w:val="样式 仿宋"/>
    <w:qFormat/>
    <w:uiPriority w:val="0"/>
    <w:rPr>
      <w:rFonts w:ascii="仿宋" w:hAnsi="仿宋" w:eastAsia="仿宋"/>
      <w:kern w:val="1"/>
    </w:rPr>
  </w:style>
  <w:style w:type="character" w:customStyle="1" w:styleId="82">
    <w:name w:val="ssss Char1"/>
    <w:link w:val="83"/>
    <w:qFormat/>
    <w:uiPriority w:val="0"/>
    <w:rPr>
      <w:rFonts w:ascii="Times New Roman" w:hAnsi="Times New Roman"/>
      <w:sz w:val="24"/>
      <w:szCs w:val="24"/>
    </w:rPr>
  </w:style>
  <w:style w:type="paragraph" w:customStyle="1" w:styleId="83">
    <w:name w:val="ssss"/>
    <w:basedOn w:val="1"/>
    <w:link w:val="82"/>
    <w:qFormat/>
    <w:uiPriority w:val="0"/>
    <w:pPr>
      <w:spacing w:line="360" w:lineRule="auto"/>
      <w:ind w:firstLine="480" w:firstLineChars="200"/>
    </w:pPr>
    <w:rPr>
      <w:kern w:val="0"/>
      <w:sz w:val="24"/>
    </w:rPr>
  </w:style>
  <w:style w:type="character" w:customStyle="1" w:styleId="84">
    <w:name w:val="ssss Char"/>
    <w:qFormat/>
    <w:uiPriority w:val="0"/>
    <w:rPr>
      <w:rFonts w:eastAsia="宋体"/>
      <w:kern w:val="2"/>
      <w:sz w:val="24"/>
      <w:szCs w:val="24"/>
      <w:lang w:val="en-US" w:eastAsia="zh-CN" w:bidi="ar-SA"/>
    </w:rPr>
  </w:style>
  <w:style w:type="character" w:customStyle="1" w:styleId="85">
    <w:name w:val="文档结构图 Char1"/>
    <w:semiHidden/>
    <w:qFormat/>
    <w:uiPriority w:val="99"/>
    <w:rPr>
      <w:rFonts w:ascii="宋体" w:hAnsi="Times New Roman"/>
      <w:kern w:val="2"/>
      <w:sz w:val="18"/>
      <w:szCs w:val="18"/>
    </w:rPr>
  </w:style>
  <w:style w:type="character" w:customStyle="1" w:styleId="86">
    <w:name w:val="正文缩进2格 Char"/>
    <w:link w:val="87"/>
    <w:qFormat/>
    <w:locked/>
    <w:uiPriority w:val="0"/>
    <w:rPr>
      <w:rFonts w:ascii="仿宋_GB2312" w:hAnsi="宋体" w:eastAsia="仿宋_GB2312"/>
      <w:sz w:val="31"/>
      <w:szCs w:val="28"/>
    </w:rPr>
  </w:style>
  <w:style w:type="paragraph" w:customStyle="1" w:styleId="87">
    <w:name w:val="正文缩进2格"/>
    <w:basedOn w:val="1"/>
    <w:link w:val="86"/>
    <w:qFormat/>
    <w:uiPriority w:val="0"/>
    <w:pPr>
      <w:spacing w:line="600" w:lineRule="exact"/>
      <w:ind w:firstLine="639" w:firstLineChars="206"/>
    </w:pPr>
    <w:rPr>
      <w:rFonts w:ascii="仿宋_GB2312" w:hAnsi="宋体" w:eastAsia="仿宋_GB2312"/>
      <w:kern w:val="0"/>
      <w:sz w:val="31"/>
      <w:szCs w:val="28"/>
    </w:rPr>
  </w:style>
  <w:style w:type="character" w:customStyle="1" w:styleId="88">
    <w:name w:val="正文文本 字符"/>
    <w:link w:val="19"/>
    <w:qFormat/>
    <w:uiPriority w:val="0"/>
    <w:rPr>
      <w:rFonts w:ascii="Times New Roman" w:hAnsi="Times New Roman"/>
      <w:kern w:val="2"/>
      <w:sz w:val="21"/>
      <w:szCs w:val="24"/>
    </w:rPr>
  </w:style>
  <w:style w:type="character" w:customStyle="1" w:styleId="89">
    <w:name w:val="f1"/>
    <w:qFormat/>
    <w:uiPriority w:val="0"/>
    <w:rPr>
      <w:rFonts w:ascii="黑体" w:hAnsi="黑体" w:eastAsia="黑体"/>
      <w:bCs/>
      <w:color w:val="666666"/>
      <w:sz w:val="21"/>
      <w:szCs w:val="21"/>
      <w:lang w:val="en-US" w:eastAsia="zh-CN" w:bidi="ar-SA"/>
    </w:rPr>
  </w:style>
  <w:style w:type="character" w:customStyle="1" w:styleId="90">
    <w:name w:val="正文文本缩进 字符"/>
    <w:link w:val="3"/>
    <w:qFormat/>
    <w:uiPriority w:val="0"/>
    <w:rPr>
      <w:rFonts w:ascii="Times New Roman" w:hAnsi="Times New Roman"/>
      <w:kern w:val="2"/>
      <w:sz w:val="21"/>
      <w:szCs w:val="24"/>
    </w:rPr>
  </w:style>
  <w:style w:type="character" w:customStyle="1" w:styleId="91">
    <w:name w:val="标题 9 字符"/>
    <w:link w:val="15"/>
    <w:qFormat/>
    <w:uiPriority w:val="0"/>
    <w:rPr>
      <w:rFonts w:ascii="Arial" w:hAnsi="Arial" w:eastAsia="黑体"/>
      <w:sz w:val="24"/>
      <w:szCs w:val="21"/>
    </w:rPr>
  </w:style>
  <w:style w:type="character" w:customStyle="1" w:styleId="92">
    <w:name w:val="日期 Char1"/>
    <w:semiHidden/>
    <w:qFormat/>
    <w:uiPriority w:val="99"/>
    <w:rPr>
      <w:rFonts w:ascii="Times New Roman" w:hAnsi="Times New Roman"/>
      <w:kern w:val="2"/>
      <w:sz w:val="21"/>
      <w:szCs w:val="24"/>
    </w:rPr>
  </w:style>
  <w:style w:type="character" w:customStyle="1" w:styleId="93">
    <w:name w:val="标题 6 字符"/>
    <w:link w:val="11"/>
    <w:qFormat/>
    <w:uiPriority w:val="0"/>
    <w:rPr>
      <w:rFonts w:ascii="Times New Roman" w:hAnsi="Times New Roman"/>
      <w:b/>
      <w:sz w:val="44"/>
    </w:rPr>
  </w:style>
  <w:style w:type="character" w:customStyle="1" w:styleId="94">
    <w:name w:val="正文文本缩进 3 字符"/>
    <w:link w:val="5"/>
    <w:qFormat/>
    <w:uiPriority w:val="0"/>
    <w:rPr>
      <w:rFonts w:ascii="Times New Roman" w:hAnsi="Times New Roman"/>
      <w:sz w:val="16"/>
      <w:szCs w:val="16"/>
    </w:rPr>
  </w:style>
  <w:style w:type="character" w:customStyle="1" w:styleId="95">
    <w:name w:val="样式 正文文本 + Char"/>
    <w:link w:val="96"/>
    <w:qFormat/>
    <w:uiPriority w:val="0"/>
    <w:rPr>
      <w:rFonts w:ascii="Times New Roman" w:hAnsi="Times New Roman"/>
      <w:szCs w:val="19"/>
    </w:rPr>
  </w:style>
  <w:style w:type="paragraph" w:customStyle="1" w:styleId="96">
    <w:name w:val="样式 正文文本 +"/>
    <w:basedOn w:val="19"/>
    <w:link w:val="95"/>
    <w:qFormat/>
    <w:uiPriority w:val="0"/>
    <w:pPr>
      <w:spacing w:after="0" w:line="360" w:lineRule="exact"/>
    </w:pPr>
    <w:rPr>
      <w:kern w:val="0"/>
      <w:sz w:val="20"/>
      <w:szCs w:val="19"/>
    </w:rPr>
  </w:style>
  <w:style w:type="character" w:customStyle="1" w:styleId="97">
    <w:name w:val="纯文本 字符"/>
    <w:link w:val="26"/>
    <w:qFormat/>
    <w:locked/>
    <w:uiPriority w:val="0"/>
    <w:rPr>
      <w:rFonts w:ascii="宋体" w:hAnsi="Courier New" w:cs="Courier New"/>
      <w:kern w:val="2"/>
      <w:sz w:val="21"/>
      <w:szCs w:val="21"/>
    </w:rPr>
  </w:style>
  <w:style w:type="character" w:customStyle="1" w:styleId="98">
    <w:name w:val="标题 4 Char1"/>
    <w:qFormat/>
    <w:uiPriority w:val="0"/>
    <w:rPr>
      <w:rFonts w:ascii="Arial" w:hAnsi="Arial" w:eastAsia="黑体"/>
      <w:b/>
      <w:bCs/>
      <w:kern w:val="2"/>
      <w:sz w:val="28"/>
      <w:szCs w:val="28"/>
      <w:lang w:val="en-US" w:eastAsia="zh-CN" w:bidi="ar-SA"/>
    </w:rPr>
  </w:style>
  <w:style w:type="character" w:customStyle="1" w:styleId="99">
    <w:name w:val="正文缩进 字符"/>
    <w:link w:val="12"/>
    <w:qFormat/>
    <w:locked/>
    <w:uiPriority w:val="0"/>
    <w:rPr>
      <w:rFonts w:ascii="Times New Roman" w:hAnsi="Times New Roman"/>
      <w:sz w:val="24"/>
      <w:szCs w:val="24"/>
    </w:rPr>
  </w:style>
  <w:style w:type="character" w:customStyle="1" w:styleId="100">
    <w:name w:val="页眉 字符"/>
    <w:link w:val="31"/>
    <w:qFormat/>
    <w:uiPriority w:val="0"/>
    <w:rPr>
      <w:rFonts w:ascii="Times New Roman" w:hAnsi="Times New Roman"/>
      <w:kern w:val="2"/>
      <w:sz w:val="18"/>
      <w:szCs w:val="18"/>
    </w:rPr>
  </w:style>
  <w:style w:type="character" w:customStyle="1" w:styleId="101">
    <w:name w:val="标题 4 字符"/>
    <w:link w:val="9"/>
    <w:qFormat/>
    <w:uiPriority w:val="9"/>
    <w:rPr>
      <w:rFonts w:ascii="Times New Roman" w:hAnsi="Times New Roman" w:eastAsia="新宋体"/>
      <w:sz w:val="30"/>
      <w:szCs w:val="21"/>
    </w:rPr>
  </w:style>
  <w:style w:type="character" w:customStyle="1" w:styleId="102">
    <w:name w:val="批注文字 Char1"/>
    <w:qFormat/>
    <w:uiPriority w:val="99"/>
    <w:rPr>
      <w:rFonts w:ascii="Times New Roman" w:hAnsi="Times New Roman" w:eastAsia="宋体" w:cs="Times New Roman"/>
      <w:szCs w:val="24"/>
    </w:rPr>
  </w:style>
  <w:style w:type="character" w:customStyle="1" w:styleId="103">
    <w:name w:val="HTML 预设格式 Char1"/>
    <w:semiHidden/>
    <w:qFormat/>
    <w:uiPriority w:val="99"/>
    <w:rPr>
      <w:rFonts w:ascii="Courier New" w:hAnsi="Courier New" w:cs="Courier New"/>
      <w:kern w:val="2"/>
    </w:rPr>
  </w:style>
  <w:style w:type="character" w:customStyle="1" w:styleId="104">
    <w:name w:val="无间隔 字符"/>
    <w:basedOn w:val="38"/>
    <w:link w:val="105"/>
    <w:qFormat/>
    <w:uiPriority w:val="1"/>
  </w:style>
  <w:style w:type="paragraph" w:styleId="105">
    <w:name w:val="No Spacing"/>
    <w:basedOn w:val="1"/>
    <w:link w:val="104"/>
    <w:qFormat/>
    <w:uiPriority w:val="1"/>
    <w:rPr>
      <w:rFonts w:ascii="Calibri" w:hAnsi="Calibri"/>
      <w:kern w:val="0"/>
      <w:sz w:val="20"/>
      <w:szCs w:val="20"/>
    </w:rPr>
  </w:style>
  <w:style w:type="character" w:customStyle="1" w:styleId="106">
    <w:name w:val="FA正文 Char"/>
    <w:link w:val="107"/>
    <w:qFormat/>
    <w:uiPriority w:val="0"/>
    <w:rPr>
      <w:rFonts w:ascii="宋体" w:hAnsi="宋体"/>
      <w:sz w:val="28"/>
      <w:szCs w:val="28"/>
    </w:rPr>
  </w:style>
  <w:style w:type="paragraph" w:customStyle="1" w:styleId="107">
    <w:name w:val="FA正文"/>
    <w:basedOn w:val="1"/>
    <w:link w:val="106"/>
    <w:qFormat/>
    <w:uiPriority w:val="0"/>
    <w:pPr>
      <w:tabs>
        <w:tab w:val="left" w:pos="3375"/>
      </w:tabs>
      <w:spacing w:line="440" w:lineRule="atLeast"/>
      <w:ind w:firstLine="538" w:firstLineChars="192"/>
    </w:pPr>
    <w:rPr>
      <w:rFonts w:ascii="宋体" w:hAnsi="宋体"/>
      <w:kern w:val="0"/>
      <w:sz w:val="28"/>
      <w:szCs w:val="28"/>
    </w:rPr>
  </w:style>
  <w:style w:type="character" w:customStyle="1" w:styleId="108">
    <w:name w:val="批注文字 字符"/>
    <w:link w:val="17"/>
    <w:qFormat/>
    <w:uiPriority w:val="99"/>
    <w:rPr>
      <w:rFonts w:ascii="Times New Roman" w:hAnsi="Times New Roman"/>
      <w:kern w:val="2"/>
      <w:sz w:val="21"/>
      <w:szCs w:val="24"/>
    </w:rPr>
  </w:style>
  <w:style w:type="character" w:customStyle="1" w:styleId="109">
    <w:name w:val="正文首行缩进 Char1"/>
    <w:basedOn w:val="88"/>
    <w:semiHidden/>
    <w:qFormat/>
    <w:uiPriority w:val="99"/>
    <w:rPr>
      <w:rFonts w:ascii="Times New Roman" w:hAnsi="Times New Roman"/>
      <w:kern w:val="2"/>
      <w:sz w:val="21"/>
      <w:szCs w:val="24"/>
    </w:rPr>
  </w:style>
  <w:style w:type="character" w:customStyle="1" w:styleId="110">
    <w:name w:val="正文文本 2 Char1"/>
    <w:semiHidden/>
    <w:qFormat/>
    <w:uiPriority w:val="99"/>
    <w:rPr>
      <w:rFonts w:ascii="Times New Roman" w:hAnsi="Times New Roman"/>
      <w:kern w:val="2"/>
      <w:sz w:val="21"/>
      <w:szCs w:val="24"/>
    </w:rPr>
  </w:style>
  <w:style w:type="character" w:customStyle="1" w:styleId="111">
    <w:name w:val="def"/>
    <w:basedOn w:val="38"/>
    <w:qFormat/>
    <w:uiPriority w:val="0"/>
  </w:style>
  <w:style w:type="character" w:customStyle="1" w:styleId="112">
    <w:name w:val="标题 7 字符"/>
    <w:link w:val="13"/>
    <w:qFormat/>
    <w:uiPriority w:val="0"/>
    <w:rPr>
      <w:rFonts w:ascii="Times New Roman" w:hAnsi="Times New Roman"/>
      <w:b/>
      <w:bCs/>
      <w:sz w:val="24"/>
      <w:szCs w:val="24"/>
    </w:rPr>
  </w:style>
  <w:style w:type="character" w:customStyle="1" w:styleId="113">
    <w:name w:val="样式 ssss + 宋体 五号1 Char"/>
    <w:link w:val="114"/>
    <w:qFormat/>
    <w:uiPriority w:val="0"/>
    <w:rPr>
      <w:rFonts w:ascii="宋体" w:hAnsi="宋体"/>
      <w:sz w:val="24"/>
      <w:szCs w:val="24"/>
    </w:rPr>
  </w:style>
  <w:style w:type="paragraph" w:customStyle="1" w:styleId="114">
    <w:name w:val="样式 ssss + 宋体 五号1"/>
    <w:basedOn w:val="83"/>
    <w:link w:val="113"/>
    <w:qFormat/>
    <w:uiPriority w:val="0"/>
    <w:rPr>
      <w:rFonts w:ascii="宋体" w:hAnsi="宋体"/>
    </w:rPr>
  </w:style>
  <w:style w:type="character" w:customStyle="1" w:styleId="115">
    <w:name w:val="A4"/>
    <w:qFormat/>
    <w:uiPriority w:val="0"/>
    <w:rPr>
      <w:rFonts w:hint="eastAsia" w:ascii="新宋体" w:hAnsi="新宋体" w:eastAsia="新宋体" w:cs="新宋体"/>
      <w:color w:val="000000"/>
    </w:rPr>
  </w:style>
  <w:style w:type="character" w:customStyle="1" w:styleId="116">
    <w:name w:val="标题 字符"/>
    <w:link w:val="37"/>
    <w:qFormat/>
    <w:uiPriority w:val="0"/>
    <w:rPr>
      <w:rFonts w:ascii="Arial" w:hAnsi="Arial" w:cs="Arial"/>
      <w:b/>
      <w:bCs/>
      <w:sz w:val="32"/>
      <w:szCs w:val="32"/>
    </w:rPr>
  </w:style>
  <w:style w:type="character" w:customStyle="1" w:styleId="117">
    <w:name w:val="正文文本首行缩进 字符"/>
    <w:link w:val="18"/>
    <w:qFormat/>
    <w:uiPriority w:val="0"/>
    <w:rPr>
      <w:rFonts w:ascii="Times New Roman" w:hAnsi="Times New Roman"/>
      <w:sz w:val="24"/>
      <w:szCs w:val="24"/>
    </w:rPr>
  </w:style>
  <w:style w:type="character" w:customStyle="1" w:styleId="118">
    <w:name w:val="正文文本缩进 2 字符"/>
    <w:link w:val="28"/>
    <w:qFormat/>
    <w:uiPriority w:val="0"/>
    <w:rPr>
      <w:rFonts w:ascii="Times New Roman" w:hAnsi="Times New Roman" w:eastAsia="宋体" w:cs="Times New Roman"/>
      <w:szCs w:val="24"/>
    </w:rPr>
  </w:style>
  <w:style w:type="paragraph" w:customStyle="1" w:styleId="119">
    <w:name w:val="样式1 程继雄"/>
    <w:basedOn w:val="1"/>
    <w:qFormat/>
    <w:uiPriority w:val="0"/>
    <w:pPr>
      <w:adjustRightInd w:val="0"/>
      <w:snapToGrid w:val="0"/>
      <w:spacing w:line="365" w:lineRule="auto"/>
      <w:ind w:firstLine="600" w:firstLineChars="200"/>
    </w:pPr>
    <w:rPr>
      <w:rFonts w:ascii="仿宋_GB2312" w:hAnsi="黑体" w:eastAsia="仿宋_GB2312"/>
      <w:sz w:val="30"/>
      <w:szCs w:val="21"/>
    </w:rPr>
  </w:style>
  <w:style w:type="paragraph" w:customStyle="1" w:styleId="120">
    <w:name w:val="Char Char Char Char"/>
    <w:basedOn w:val="1"/>
    <w:qFormat/>
    <w:uiPriority w:val="0"/>
    <w:rPr>
      <w:rFonts w:ascii="Tahoma" w:hAnsi="Tahoma"/>
      <w:sz w:val="24"/>
      <w:szCs w:val="20"/>
    </w:rPr>
  </w:style>
  <w:style w:type="paragraph" w:customStyle="1" w:styleId="121">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p0"/>
    <w:basedOn w:val="1"/>
    <w:qFormat/>
    <w:uiPriority w:val="0"/>
    <w:pPr>
      <w:widowControl/>
      <w:jc w:val="left"/>
    </w:pPr>
    <w:rPr>
      <w:kern w:val="0"/>
      <w:szCs w:val="21"/>
    </w:rPr>
  </w:style>
  <w:style w:type="paragraph" w:customStyle="1" w:styleId="124">
    <w:name w:val="样式 ssss + 宋体 五号"/>
    <w:basedOn w:val="83"/>
    <w:qFormat/>
    <w:uiPriority w:val="0"/>
    <w:pPr>
      <w:ind w:firstLine="420"/>
    </w:pPr>
    <w:rPr>
      <w:rFonts w:ascii="宋体" w:hAnsi="宋体" w:cs="宋体"/>
      <w:szCs w:val="20"/>
    </w:rPr>
  </w:style>
  <w:style w:type="paragraph" w:customStyle="1" w:styleId="125">
    <w:name w:val="GB-1.1"/>
    <w:qFormat/>
    <w:uiPriority w:val="0"/>
    <w:pPr>
      <w:outlineLvl w:val="1"/>
    </w:pPr>
    <w:rPr>
      <w:rFonts w:ascii="黑体" w:hAnsi="宋体" w:eastAsia="黑体" w:cs="Times New Roman"/>
      <w:sz w:val="21"/>
      <w:lang w:val="en-US" w:eastAsia="zh-CN" w:bidi="ar-SA"/>
    </w:rPr>
  </w:style>
  <w:style w:type="paragraph" w:customStyle="1" w:styleId="126">
    <w:name w:val="样式 样式 ssss + 宋体 五号 + 首行缩进:  2 字符"/>
    <w:basedOn w:val="124"/>
    <w:qFormat/>
    <w:uiPriority w:val="0"/>
    <w:pPr>
      <w:ind w:firstLine="480"/>
    </w:pPr>
  </w:style>
  <w:style w:type="paragraph" w:customStyle="1" w:styleId="127">
    <w:name w:val="Char Char 字元 字元 字元 Char Char Char Char"/>
    <w:basedOn w:val="1"/>
    <w:qFormat/>
    <w:uiPriority w:val="0"/>
    <w:pPr>
      <w:adjustRightInd w:val="0"/>
      <w:spacing w:line="360" w:lineRule="auto"/>
    </w:pPr>
    <w:rPr>
      <w:kern w:val="0"/>
      <w:sz w:val="24"/>
      <w:szCs w:val="20"/>
    </w:rPr>
  </w:style>
  <w:style w:type="paragraph" w:customStyle="1" w:styleId="128">
    <w:name w:val="Default"/>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customStyle="1" w:styleId="129">
    <w:name w:val="标题-----3"/>
    <w:basedOn w:val="8"/>
    <w:qFormat/>
    <w:uiPriority w:val="0"/>
    <w:pPr>
      <w:spacing w:before="0" w:after="0" w:line="240" w:lineRule="auto"/>
      <w:outlineLvl w:val="0"/>
    </w:pPr>
    <w:rPr>
      <w:rFonts w:ascii="宋体" w:hAnsi="宋体"/>
      <w:b w:val="0"/>
      <w:bCs w:val="0"/>
      <w:sz w:val="28"/>
      <w:szCs w:val="28"/>
    </w:rPr>
  </w:style>
  <w:style w:type="paragraph" w:customStyle="1" w:styleId="130">
    <w:name w:val="正文样式1"/>
    <w:basedOn w:val="1"/>
    <w:qFormat/>
    <w:uiPriority w:val="0"/>
    <w:pPr>
      <w:spacing w:before="120" w:after="120" w:line="360" w:lineRule="auto"/>
      <w:ind w:firstLine="480" w:firstLineChars="200"/>
    </w:pPr>
    <w:rPr>
      <w:sz w:val="24"/>
      <w:szCs w:val="20"/>
    </w:rPr>
  </w:style>
  <w:style w:type="paragraph" w:customStyle="1" w:styleId="131">
    <w:name w:val="徐丽丽三级标题"/>
    <w:basedOn w:val="1"/>
    <w:qFormat/>
    <w:uiPriority w:val="0"/>
    <w:pPr>
      <w:adjustRightInd w:val="0"/>
      <w:snapToGrid w:val="0"/>
      <w:spacing w:line="360" w:lineRule="auto"/>
      <w:ind w:firstLine="560" w:firstLineChars="200"/>
      <w:jc w:val="center"/>
      <w:outlineLvl w:val="0"/>
    </w:pPr>
    <w:rPr>
      <w:rFonts w:eastAsia="黑体"/>
      <w:bCs/>
      <w:sz w:val="28"/>
      <w:szCs w:val="28"/>
    </w:rPr>
  </w:style>
  <w:style w:type="paragraph" w:customStyle="1" w:styleId="132">
    <w:name w:val="二级条标题"/>
    <w:basedOn w:val="1"/>
    <w:next w:val="1"/>
    <w:qFormat/>
    <w:uiPriority w:val="0"/>
    <w:pPr>
      <w:autoSpaceDE w:val="0"/>
      <w:autoSpaceDN w:val="0"/>
      <w:adjustRightInd w:val="0"/>
      <w:jc w:val="left"/>
    </w:pPr>
    <w:rPr>
      <w:rFonts w:ascii="宋体"/>
      <w:kern w:val="0"/>
      <w:sz w:val="24"/>
    </w:rPr>
  </w:style>
  <w:style w:type="paragraph" w:customStyle="1" w:styleId="133">
    <w:name w:val="列出段落1"/>
    <w:basedOn w:val="1"/>
    <w:qFormat/>
    <w:uiPriority w:val="34"/>
    <w:pPr>
      <w:ind w:firstLine="420" w:firstLineChars="200"/>
    </w:pPr>
    <w:rPr>
      <w:rFonts w:ascii="Calibri" w:hAnsi="Calibri"/>
      <w:szCs w:val="22"/>
    </w:rPr>
  </w:style>
  <w:style w:type="paragraph" w:customStyle="1" w:styleId="13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_Style 6"/>
    <w:basedOn w:val="1"/>
    <w:qFormat/>
    <w:uiPriority w:val="34"/>
    <w:pPr>
      <w:ind w:firstLine="420" w:firstLineChars="200"/>
    </w:pPr>
    <w:rPr>
      <w:szCs w:val="21"/>
    </w:rPr>
  </w:style>
  <w:style w:type="paragraph" w:customStyle="1" w:styleId="136">
    <w:name w:val="TOC 标题1"/>
    <w:basedOn w:val="6"/>
    <w:next w:val="1"/>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137">
    <w:name w:val="样式 ssss + 居中"/>
    <w:basedOn w:val="83"/>
    <w:qFormat/>
    <w:uiPriority w:val="0"/>
    <w:pPr>
      <w:jc w:val="center"/>
    </w:pPr>
    <w:rPr>
      <w:rFonts w:cs="宋体"/>
      <w:szCs w:val="20"/>
    </w:rPr>
  </w:style>
  <w:style w:type="paragraph" w:customStyle="1" w:styleId="138">
    <w:name w:val="Char Char Char Char Char Char Char Char Char Char Char Char Char"/>
    <w:basedOn w:val="1"/>
    <w:qFormat/>
    <w:uiPriority w:val="0"/>
  </w:style>
  <w:style w:type="paragraph" w:customStyle="1" w:styleId="139">
    <w:name w:val="Char Char"/>
    <w:basedOn w:val="1"/>
    <w:qFormat/>
    <w:uiPriority w:val="0"/>
    <w:rPr>
      <w:szCs w:val="20"/>
    </w:rPr>
  </w:style>
  <w:style w:type="paragraph" w:customStyle="1" w:styleId="140">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141">
    <w:name w:val="List Paragraph"/>
    <w:basedOn w:val="1"/>
    <w:qFormat/>
    <w:uiPriority w:val="34"/>
    <w:pPr>
      <w:ind w:firstLine="420" w:firstLineChars="200"/>
    </w:pPr>
  </w:style>
  <w:style w:type="paragraph" w:customStyle="1" w:styleId="142">
    <w:name w:val="徐丽丽正文"/>
    <w:basedOn w:val="1"/>
    <w:qFormat/>
    <w:uiPriority w:val="0"/>
    <w:pPr>
      <w:spacing w:before="120" w:after="120" w:line="360" w:lineRule="auto"/>
      <w:ind w:firstLine="480" w:firstLineChars="200"/>
      <w:jc w:val="left"/>
    </w:pPr>
    <w:rPr>
      <w:color w:val="000000"/>
      <w:kern w:val="0"/>
      <w:sz w:val="24"/>
      <w:szCs w:val="21"/>
    </w:rPr>
  </w:style>
  <w:style w:type="paragraph" w:customStyle="1" w:styleId="14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4">
    <w:name w:val="样式 正文文本缩进 3 + 四号"/>
    <w:basedOn w:val="5"/>
    <w:qFormat/>
    <w:uiPriority w:val="0"/>
    <w:pPr>
      <w:spacing w:after="0" w:line="360" w:lineRule="auto"/>
      <w:ind w:left="0" w:leftChars="0" w:firstLine="437"/>
    </w:pPr>
    <w:rPr>
      <w:sz w:val="24"/>
      <w:szCs w:val="21"/>
    </w:rPr>
  </w:style>
  <w:style w:type="paragraph" w:customStyle="1" w:styleId="145">
    <w:name w:val="标题------4"/>
    <w:basedOn w:val="9"/>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46">
    <w:name w:val="徐丽丽五级标题"/>
    <w:basedOn w:val="1"/>
    <w:qFormat/>
    <w:uiPriority w:val="0"/>
    <w:pPr>
      <w:spacing w:before="120" w:after="120" w:line="360" w:lineRule="auto"/>
      <w:jc w:val="left"/>
    </w:pPr>
    <w:rPr>
      <w:rFonts w:ascii="宋体" w:hAnsi="宋体"/>
      <w:b/>
      <w:bCs/>
      <w:color w:val="000000"/>
      <w:kern w:val="0"/>
      <w:sz w:val="24"/>
    </w:rPr>
  </w:style>
  <w:style w:type="paragraph" w:customStyle="1" w:styleId="147">
    <w:name w:val="Header2"/>
    <w:basedOn w:val="1"/>
    <w:qFormat/>
    <w:uiPriority w:val="0"/>
    <w:pPr>
      <w:numPr>
        <w:ilvl w:val="0"/>
        <w:numId w:val="2"/>
      </w:numPr>
    </w:pPr>
  </w:style>
  <w:style w:type="paragraph" w:customStyle="1" w:styleId="148">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49">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5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1">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2">
    <w:name w:val="四级条标题"/>
    <w:basedOn w:val="153"/>
    <w:next w:val="1"/>
    <w:qFormat/>
    <w:uiPriority w:val="0"/>
  </w:style>
  <w:style w:type="paragraph" w:customStyle="1" w:styleId="153">
    <w:name w:val="三级条标题"/>
    <w:basedOn w:val="132"/>
    <w:next w:val="1"/>
    <w:qFormat/>
    <w:uiPriority w:val="0"/>
  </w:style>
  <w:style w:type="paragraph" w:customStyle="1" w:styleId="154">
    <w:name w:val="Char Char Char Char Char Char Char Char Char Char"/>
    <w:basedOn w:val="1"/>
    <w:qFormat/>
    <w:uiPriority w:val="0"/>
    <w:rPr>
      <w:rFonts w:ascii="Tahoma" w:hAnsi="Tahoma"/>
      <w:sz w:val="24"/>
      <w:szCs w:val="20"/>
    </w:rPr>
  </w:style>
  <w:style w:type="paragraph" w:customStyle="1" w:styleId="155">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GB-1"/>
    <w:qFormat/>
    <w:uiPriority w:val="0"/>
    <w:pPr>
      <w:keepNext/>
      <w:numPr>
        <w:ilvl w:val="0"/>
        <w:numId w:val="3"/>
      </w:numPr>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157">
    <w:name w:val="Char Char Char Char1"/>
    <w:basedOn w:val="23"/>
    <w:qFormat/>
    <w:uiPriority w:val="0"/>
    <w:pPr>
      <w:adjustRightInd w:val="0"/>
      <w:snapToGrid w:val="0"/>
      <w:spacing w:line="360" w:lineRule="auto"/>
    </w:pPr>
    <w:rPr>
      <w:rFonts w:ascii="Tahoma" w:hAnsi="Tahoma"/>
      <w:sz w:val="24"/>
    </w:rPr>
  </w:style>
  <w:style w:type="paragraph" w:customStyle="1" w:styleId="158">
    <w:name w:val="章标题"/>
    <w:next w:val="1"/>
    <w:qFormat/>
    <w:uiPriority w:val="0"/>
    <w:pPr>
      <w:tabs>
        <w:tab w:val="left" w:pos="360"/>
      </w:tabs>
      <w:spacing w:beforeLines="50" w:afterLines="50"/>
      <w:ind w:left="360" w:hanging="360"/>
      <w:jc w:val="both"/>
      <w:outlineLvl w:val="1"/>
    </w:pPr>
    <w:rPr>
      <w:rFonts w:ascii="黑体" w:hAnsi="Times New Roman" w:eastAsia="黑体" w:cs="Times New Roman"/>
      <w:sz w:val="21"/>
      <w:lang w:val="en-US" w:eastAsia="zh-CN" w:bidi="ar-SA"/>
    </w:rPr>
  </w:style>
  <w:style w:type="paragraph" w:customStyle="1" w:styleId="159">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62">
    <w:name w:val="Char"/>
    <w:basedOn w:val="1"/>
    <w:qFormat/>
    <w:uiPriority w:val="0"/>
    <w:rPr>
      <w:rFonts w:ascii="Tahoma" w:hAnsi="Tahoma"/>
      <w:sz w:val="24"/>
      <w:szCs w:val="20"/>
    </w:rPr>
  </w:style>
  <w:style w:type="paragraph" w:customStyle="1" w:styleId="163">
    <w:name w:val="Char Char Char Char2"/>
    <w:basedOn w:val="1"/>
    <w:qFormat/>
    <w:uiPriority w:val="0"/>
    <w:rPr>
      <w:rFonts w:ascii="Tahoma" w:hAnsi="Tahoma"/>
      <w:sz w:val="24"/>
      <w:szCs w:val="20"/>
    </w:rPr>
  </w:style>
  <w:style w:type="paragraph" w:customStyle="1" w:styleId="164">
    <w:name w:val="Char11"/>
    <w:basedOn w:val="1"/>
    <w:qFormat/>
    <w:uiPriority w:val="0"/>
    <w:pPr>
      <w:tabs>
        <w:tab w:val="left" w:pos="360"/>
      </w:tabs>
    </w:pPr>
    <w:rPr>
      <w:sz w:val="24"/>
    </w:rPr>
  </w:style>
  <w:style w:type="paragraph" w:customStyle="1" w:styleId="165">
    <w:name w:val="样式3"/>
    <w:basedOn w:val="26"/>
    <w:qFormat/>
    <w:uiPriority w:val="0"/>
    <w:pPr>
      <w:spacing w:line="0" w:lineRule="atLeast"/>
      <w:outlineLvl w:val="0"/>
    </w:pPr>
    <w:rPr>
      <w:kern w:val="0"/>
      <w:sz w:val="28"/>
      <w:szCs w:val="20"/>
    </w:rPr>
  </w:style>
  <w:style w:type="paragraph" w:customStyle="1" w:styleId="166">
    <w:name w:val="Char Char Char"/>
    <w:basedOn w:val="1"/>
    <w:qFormat/>
    <w:uiPriority w:val="0"/>
    <w:rPr>
      <w:rFonts w:ascii="Tahoma" w:hAnsi="Tahoma"/>
      <w:sz w:val="24"/>
      <w:szCs w:val="20"/>
    </w:rPr>
  </w:style>
  <w:style w:type="paragraph" w:customStyle="1" w:styleId="167">
    <w:name w:val="Char1"/>
    <w:basedOn w:val="1"/>
    <w:qFormat/>
    <w:uiPriority w:val="0"/>
    <w:pPr>
      <w:widowControl/>
      <w:spacing w:after="160" w:line="240" w:lineRule="exact"/>
      <w:jc w:val="left"/>
    </w:pPr>
  </w:style>
  <w:style w:type="paragraph" w:customStyle="1" w:styleId="168">
    <w:name w:val="表格"/>
    <w:basedOn w:val="1"/>
    <w:qFormat/>
    <w:uiPriority w:val="0"/>
    <w:rPr>
      <w:rFonts w:ascii="Arial" w:hAnsi="Arial"/>
      <w:sz w:val="24"/>
    </w:rPr>
  </w:style>
  <w:style w:type="paragraph" w:customStyle="1" w:styleId="169">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71">
    <w:name w:val="列出段落11"/>
    <w:basedOn w:val="1"/>
    <w:qFormat/>
    <w:uiPriority w:val="1"/>
    <w:pPr>
      <w:spacing w:line="360" w:lineRule="auto"/>
      <w:ind w:firstLine="420" w:firstLineChars="200"/>
      <w:jc w:val="left"/>
    </w:pPr>
    <w:rPr>
      <w:rFonts w:ascii="宋体" w:hAnsi="宋体"/>
      <w:sz w:val="24"/>
    </w:rPr>
  </w:style>
  <w:style w:type="paragraph" w:customStyle="1" w:styleId="172">
    <w:name w:val="徐丽丽四级标题"/>
    <w:basedOn w:val="1"/>
    <w:qFormat/>
    <w:uiPriority w:val="0"/>
    <w:pPr>
      <w:spacing w:before="120" w:after="120" w:line="360" w:lineRule="auto"/>
    </w:pPr>
    <w:rPr>
      <w:rFonts w:eastAsia="黑体"/>
      <w:b/>
      <w:kern w:val="0"/>
      <w:sz w:val="28"/>
    </w:rPr>
  </w:style>
  <w:style w:type="paragraph" w:customStyle="1" w:styleId="173">
    <w:name w:val="Char Char Char Char Char Char Char Char Char Char Char Char Char1"/>
    <w:basedOn w:val="1"/>
    <w:qFormat/>
    <w:uiPriority w:val="0"/>
    <w:rPr>
      <w:sz w:val="24"/>
    </w:rPr>
  </w:style>
  <w:style w:type="paragraph" w:customStyle="1" w:styleId="174">
    <w:name w:val="样式 样式 标题 1 + 黑体 五号 + 段前: 0.5 行 段后: 0.5 行"/>
    <w:basedOn w:val="76"/>
    <w:qFormat/>
    <w:uiPriority w:val="99"/>
    <w:pPr>
      <w:spacing w:before="156" w:after="156"/>
    </w:pPr>
    <w:rPr>
      <w:rFonts w:cs="宋体"/>
      <w:b/>
    </w:rPr>
  </w:style>
  <w:style w:type="paragraph" w:customStyle="1" w:styleId="175">
    <w:name w:val="Pa1"/>
    <w:basedOn w:val="128"/>
    <w:next w:val="128"/>
    <w:qFormat/>
    <w:uiPriority w:val="0"/>
    <w:pPr>
      <w:spacing w:line="241" w:lineRule="atLeast"/>
    </w:pPr>
    <w:rPr>
      <w:rFonts w:ascii="Tahoma" w:hAnsi="Tahoma" w:eastAsia="宋体" w:cs="Times New Roman"/>
      <w:color w:val="auto"/>
    </w:rPr>
  </w:style>
  <w:style w:type="table" w:customStyle="1" w:styleId="176">
    <w:name w:val="网格型1"/>
    <w:basedOn w:val="5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7">
    <w:name w:val="网格型2"/>
    <w:basedOn w:val="5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8">
    <w:name w:val="Placeholder Text"/>
    <w:basedOn w:val="38"/>
    <w:unhideWhenUsed/>
    <w:qFormat/>
    <w:uiPriority w:val="99"/>
    <w:rPr>
      <w:color w:val="808080"/>
    </w:rPr>
  </w:style>
  <w:style w:type="table" w:customStyle="1" w:styleId="179">
    <w:name w:val="网格型3"/>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
    <w:name w:val="样式1"/>
    <w:basedOn w:val="1"/>
    <w:qFormat/>
    <w:uiPriority w:val="0"/>
    <w:pPr>
      <w:numPr>
        <w:ilvl w:val="0"/>
        <w:numId w:val="4"/>
      </w:numPr>
      <w:adjustRightInd w:val="0"/>
      <w:textAlignment w:val="baseline"/>
    </w:pPr>
    <w:rPr>
      <w:rFonts w:ascii="宋体" w:hAnsi="宋体"/>
      <w:kern w:val="0"/>
      <w:szCs w:val="21"/>
    </w:rPr>
  </w:style>
  <w:style w:type="character" w:customStyle="1" w:styleId="181">
    <w:name w:val="样式 小四 加粗"/>
    <w:basedOn w:val="38"/>
    <w:qFormat/>
    <w:uiPriority w:val="0"/>
    <w:rPr>
      <w:rFonts w:eastAsia="黑体"/>
      <w:b/>
      <w:bCs/>
      <w:sz w:val="24"/>
    </w:rPr>
  </w:style>
  <w:style w:type="character" w:customStyle="1" w:styleId="182">
    <w:name w:val="NormalCharacter"/>
    <w:semiHidden/>
    <w:qFormat/>
    <w:uiPriority w:val="0"/>
  </w:style>
  <w:style w:type="paragraph" w:customStyle="1" w:styleId="183">
    <w:name w:val="列表段落4"/>
    <w:basedOn w:val="1"/>
    <w:qFormat/>
    <w:uiPriority w:val="99"/>
    <w:pPr>
      <w:ind w:firstLine="420" w:firstLineChars="200"/>
    </w:pPr>
  </w:style>
  <w:style w:type="paragraph" w:customStyle="1" w:styleId="184">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185">
    <w:name w:val="无样式"/>
    <w:basedOn w:val="1"/>
    <w:next w:val="1"/>
    <w:qFormat/>
    <w:uiPriority w:val="0"/>
    <w:pPr>
      <w:jc w:val="left"/>
    </w:pPr>
    <w:rPr>
      <w:rFonts w:hint="eastAsia" w:ascii="仿宋" w:hAnsi="仿宋" w:cs="微软雅黑"/>
    </w:rPr>
  </w:style>
  <w:style w:type="paragraph" w:customStyle="1" w:styleId="186">
    <w:name w:val="普通(网站) Char"/>
    <w:basedOn w:val="1"/>
    <w:qFormat/>
    <w:uiPriority w:val="0"/>
    <w:pPr>
      <w:widowControl/>
      <w:spacing w:beforeAutospacing="1" w:afterAutospacing="1"/>
      <w:jc w:val="left"/>
    </w:pPr>
    <w:rPr>
      <w:rFonts w:hint="eastAsia" w:ascii="宋体" w:hAnsi="宋体"/>
      <w:kern w:val="0"/>
      <w:sz w:val="24"/>
    </w:rPr>
  </w:style>
  <w:style w:type="paragraph" w:customStyle="1" w:styleId="187">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903BA-662E-B846-9D8E-2E393F6BDF26}">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37</Pages>
  <Words>18360</Words>
  <Characters>18684</Characters>
  <Lines>147</Lines>
  <Paragraphs>41</Paragraphs>
  <TotalTime>14</TotalTime>
  <ScaleCrop>false</ScaleCrop>
  <LinksUpToDate>false</LinksUpToDate>
  <CharactersWithSpaces>19966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2024-08-09T02:48:00Z</dcterms:created>
  <dc:creator>gcn</dc:creator>
  <cp:lastModifiedBy>gu</cp:lastModifiedBy>
  <cp:lastPrinted>2022-06-13T02:12:00Z</cp:lastPrinted>
  <dcterms:modified xsi:type="dcterms:W3CDTF">2024-08-09T03:13:56Z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2A2381E69B044D6AA7A93265DEA7C588_13</vt:lpwstr>
  </property>
</Properties>
</file>