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AE0BC6">
      <w:pPr>
        <w:pStyle w:val="13"/>
        <w:tabs>
          <w:tab w:val="left" w:pos="3156"/>
        </w:tabs>
        <w:spacing w:before="312" w:after="312" w:line="360" w:lineRule="auto"/>
        <w:rPr>
          <w:rFonts w:hint="eastAsia" w:ascii="宋体" w:eastAsia="宋体"/>
          <w:sz w:val="36"/>
          <w:szCs w:val="36"/>
        </w:rPr>
      </w:pPr>
      <w:bookmarkStart w:id="0" w:name="_GoBack"/>
      <w:bookmarkEnd w:id="0"/>
      <w:r>
        <w:rPr>
          <w:rFonts w:hint="eastAsia" w:ascii="宋体" w:eastAsia="宋体"/>
          <w:sz w:val="36"/>
          <w:szCs w:val="36"/>
        </w:rPr>
        <w:t>评审方法和程序</w:t>
      </w:r>
    </w:p>
    <w:p w14:paraId="2351F687">
      <w:pPr>
        <w:adjustRightInd w:val="0"/>
        <w:snapToGrid w:val="0"/>
        <w:spacing w:line="360" w:lineRule="auto"/>
        <w:ind w:firstLine="487" w:firstLineChars="202"/>
        <w:rPr>
          <w:rFonts w:hint="eastAsia" w:ascii="宋体" w:hAnsi="宋体" w:cs="宋体"/>
          <w:b/>
          <w:sz w:val="24"/>
        </w:rPr>
      </w:pPr>
      <w:r>
        <w:rPr>
          <w:rFonts w:hint="eastAsia" w:ascii="宋体" w:hAnsi="宋体" w:cs="宋体"/>
          <w:b/>
          <w:sz w:val="24"/>
        </w:rPr>
        <w:t>一、招标人委托招标代理机构组织开标</w:t>
      </w:r>
    </w:p>
    <w:p w14:paraId="28B8C0D6">
      <w:pPr>
        <w:adjustRightInd w:val="0"/>
        <w:snapToGrid w:val="0"/>
        <w:spacing w:line="360" w:lineRule="auto"/>
        <w:ind w:firstLine="484" w:firstLineChars="202"/>
        <w:rPr>
          <w:rFonts w:hint="eastAsia" w:ascii="宋体" w:hAnsi="宋体" w:cs="宋体"/>
          <w:sz w:val="24"/>
        </w:rPr>
      </w:pPr>
      <w:r>
        <w:rPr>
          <w:rFonts w:hint="eastAsia" w:ascii="宋体" w:hAnsi="宋体" w:cs="宋体"/>
          <w:sz w:val="24"/>
        </w:rPr>
        <w:t>1、成立评标委员会小组，由招标人代表和有关专家依法组成。</w:t>
      </w:r>
    </w:p>
    <w:p w14:paraId="3B8C3EB1">
      <w:pPr>
        <w:adjustRightInd w:val="0"/>
        <w:snapToGrid w:val="0"/>
        <w:spacing w:line="360" w:lineRule="auto"/>
        <w:ind w:firstLine="484" w:firstLineChars="202"/>
        <w:rPr>
          <w:rFonts w:hint="eastAsia" w:ascii="宋体" w:hAnsi="宋体" w:cs="宋体"/>
          <w:sz w:val="24"/>
        </w:rPr>
      </w:pPr>
      <w:r>
        <w:rPr>
          <w:rFonts w:hint="eastAsia" w:ascii="宋体" w:hAnsi="宋体" w:cs="宋体"/>
          <w:sz w:val="24"/>
        </w:rPr>
        <w:t>2、投标人的法定代表人或被授权人须持身份证准时参加投标会。</w:t>
      </w:r>
    </w:p>
    <w:p w14:paraId="38D1867C">
      <w:pPr>
        <w:adjustRightInd w:val="0"/>
        <w:snapToGrid w:val="0"/>
        <w:spacing w:line="360" w:lineRule="auto"/>
        <w:ind w:firstLine="487" w:firstLineChars="202"/>
        <w:rPr>
          <w:rFonts w:hint="eastAsia" w:ascii="宋体" w:hAnsi="宋体" w:cs="宋体"/>
          <w:b/>
          <w:sz w:val="24"/>
        </w:rPr>
      </w:pPr>
      <w:r>
        <w:rPr>
          <w:rFonts w:hint="eastAsia" w:ascii="宋体" w:hAnsi="宋体" w:cs="宋体"/>
          <w:b/>
          <w:sz w:val="24"/>
        </w:rPr>
        <w:t>二、开标</w:t>
      </w:r>
    </w:p>
    <w:p w14:paraId="54E0E6C6">
      <w:pPr>
        <w:adjustRightInd w:val="0"/>
        <w:snapToGrid w:val="0"/>
        <w:spacing w:line="360" w:lineRule="auto"/>
        <w:ind w:firstLine="484" w:firstLineChars="202"/>
        <w:jc w:val="left"/>
        <w:rPr>
          <w:rFonts w:hint="eastAsia" w:ascii="宋体" w:hAnsi="宋体" w:cs="宋体"/>
          <w:sz w:val="24"/>
        </w:rPr>
      </w:pPr>
      <w:r>
        <w:rPr>
          <w:rFonts w:hint="eastAsia" w:ascii="宋体" w:hAnsi="宋体" w:cs="宋体"/>
          <w:sz w:val="24"/>
        </w:rPr>
        <w:t>1、招标代理机构主持开标并记录，及时处理投标人代表提出的询问或者回避申请。</w:t>
      </w:r>
    </w:p>
    <w:p w14:paraId="2EE29B70">
      <w:pPr>
        <w:adjustRightInd w:val="0"/>
        <w:snapToGrid w:val="0"/>
        <w:spacing w:line="360" w:lineRule="auto"/>
        <w:ind w:firstLine="484" w:firstLineChars="202"/>
        <w:rPr>
          <w:rFonts w:hint="eastAsia" w:ascii="宋体" w:hAnsi="宋体" w:cs="宋体"/>
          <w:sz w:val="24"/>
        </w:rPr>
      </w:pPr>
      <w:r>
        <w:rPr>
          <w:rFonts w:hint="eastAsia" w:ascii="宋体" w:hAnsi="宋体" w:cs="宋体"/>
          <w:sz w:val="24"/>
        </w:rPr>
        <w:t>2、投标人不足3家的不得开标。</w:t>
      </w:r>
    </w:p>
    <w:p w14:paraId="7694D975">
      <w:pPr>
        <w:adjustRightInd w:val="0"/>
        <w:snapToGrid w:val="0"/>
        <w:spacing w:line="360" w:lineRule="auto"/>
        <w:ind w:firstLine="487" w:firstLineChars="202"/>
        <w:rPr>
          <w:rFonts w:hint="eastAsia" w:ascii="宋体" w:hAnsi="宋体" w:cs="宋体"/>
          <w:b/>
          <w:sz w:val="24"/>
        </w:rPr>
      </w:pPr>
      <w:r>
        <w:rPr>
          <w:rFonts w:hint="eastAsia" w:ascii="宋体" w:hAnsi="宋体" w:cs="宋体"/>
          <w:b/>
          <w:sz w:val="24"/>
        </w:rPr>
        <w:t>三、资格审查</w:t>
      </w:r>
    </w:p>
    <w:p w14:paraId="01257E03">
      <w:pPr>
        <w:adjustRightInd w:val="0"/>
        <w:snapToGrid w:val="0"/>
        <w:spacing w:line="360" w:lineRule="auto"/>
        <w:ind w:firstLine="484" w:firstLineChars="202"/>
        <w:rPr>
          <w:rFonts w:hint="eastAsia" w:ascii="宋体" w:hAnsi="宋体" w:cs="宋体"/>
          <w:sz w:val="24"/>
        </w:rPr>
      </w:pPr>
      <w:r>
        <w:rPr>
          <w:rFonts w:hint="eastAsia" w:ascii="宋体" w:hAnsi="宋体" w:cs="宋体"/>
          <w:sz w:val="24"/>
        </w:rPr>
        <w:t>1、开标后，评标委员会根据招标文件载明的资格审查要求，对投标人的资格进行审查。</w:t>
      </w:r>
    </w:p>
    <w:p w14:paraId="51299F39">
      <w:pPr>
        <w:adjustRightInd w:val="0"/>
        <w:snapToGrid w:val="0"/>
        <w:spacing w:line="360" w:lineRule="auto"/>
        <w:ind w:firstLine="484" w:firstLineChars="202"/>
        <w:rPr>
          <w:rFonts w:hint="eastAsia" w:ascii="宋体" w:hAnsi="宋体" w:cs="宋体"/>
          <w:sz w:val="24"/>
        </w:rPr>
      </w:pPr>
      <w:r>
        <w:rPr>
          <w:rFonts w:hint="eastAsia" w:ascii="宋体" w:hAnsi="宋体" w:cs="宋体"/>
          <w:sz w:val="24"/>
        </w:rPr>
        <w:t>2、资格审查合格的供应商进入评标。</w:t>
      </w:r>
    </w:p>
    <w:p w14:paraId="6AEE0D0D">
      <w:pPr>
        <w:adjustRightInd w:val="0"/>
        <w:snapToGrid w:val="0"/>
        <w:spacing w:line="360" w:lineRule="auto"/>
        <w:ind w:firstLine="484" w:firstLineChars="202"/>
        <w:rPr>
          <w:rFonts w:hint="eastAsia" w:ascii="宋体" w:hAnsi="宋体" w:cs="宋体"/>
          <w:sz w:val="24"/>
        </w:rPr>
      </w:pPr>
      <w:r>
        <w:rPr>
          <w:rFonts w:hint="eastAsia" w:ascii="宋体" w:hAnsi="宋体" w:cs="宋体"/>
          <w:sz w:val="24"/>
        </w:rPr>
        <w:t>3、合格投标人不足3家的，不得评标，相应处理方式见本招标文件第四章第十一条的规定。</w:t>
      </w:r>
    </w:p>
    <w:p w14:paraId="1DDF130F">
      <w:pPr>
        <w:adjustRightInd w:val="0"/>
        <w:snapToGrid w:val="0"/>
        <w:spacing w:line="360" w:lineRule="auto"/>
        <w:ind w:firstLine="487" w:firstLineChars="202"/>
        <w:rPr>
          <w:rFonts w:hint="eastAsia" w:ascii="宋体" w:hAnsi="宋体" w:cs="宋体"/>
          <w:b/>
          <w:sz w:val="24"/>
        </w:rPr>
      </w:pPr>
      <w:r>
        <w:rPr>
          <w:rFonts w:hint="eastAsia" w:ascii="宋体" w:hAnsi="宋体" w:cs="宋体"/>
          <w:b/>
          <w:sz w:val="24"/>
        </w:rPr>
        <w:t>四、评标</w:t>
      </w:r>
    </w:p>
    <w:p w14:paraId="4F9B4265">
      <w:pPr>
        <w:adjustRightInd w:val="0"/>
        <w:snapToGrid w:val="0"/>
        <w:spacing w:line="360" w:lineRule="auto"/>
        <w:ind w:firstLine="484" w:firstLineChars="202"/>
        <w:rPr>
          <w:rFonts w:hint="eastAsia" w:ascii="宋体" w:hAnsi="宋体" w:cs="宋体"/>
          <w:b/>
          <w:sz w:val="24"/>
        </w:rPr>
      </w:pPr>
      <w:r>
        <w:rPr>
          <w:rFonts w:hint="eastAsia" w:ascii="宋体" w:hAnsi="宋体" w:cs="宋体"/>
          <w:sz w:val="24"/>
        </w:rPr>
        <w:t>1、评标时间：</w:t>
      </w:r>
      <w:r>
        <w:rPr>
          <w:rFonts w:hint="eastAsia" w:ascii="宋体" w:hAnsi="宋体" w:cs="宋体"/>
          <w:b/>
          <w:sz w:val="24"/>
        </w:rPr>
        <w:t>资格审查结束以后。</w:t>
      </w:r>
    </w:p>
    <w:p w14:paraId="135B9833">
      <w:pPr>
        <w:adjustRightInd w:val="0"/>
        <w:snapToGrid w:val="0"/>
        <w:spacing w:line="360" w:lineRule="auto"/>
        <w:ind w:firstLine="484" w:firstLineChars="202"/>
        <w:rPr>
          <w:rFonts w:hint="eastAsia" w:ascii="宋体" w:hAnsi="宋体" w:cs="宋体"/>
          <w:sz w:val="24"/>
        </w:rPr>
      </w:pPr>
      <w:r>
        <w:rPr>
          <w:rFonts w:hint="eastAsia" w:ascii="宋体" w:hAnsi="宋体" w:cs="宋体"/>
          <w:sz w:val="24"/>
        </w:rPr>
        <w:t>2、招标代理机构负责组织评标工作，并履行下列职责：</w:t>
      </w:r>
    </w:p>
    <w:p w14:paraId="3C83EAAD">
      <w:pPr>
        <w:adjustRightInd w:val="0"/>
        <w:snapToGrid w:val="0"/>
        <w:spacing w:line="360" w:lineRule="auto"/>
        <w:ind w:firstLine="484" w:firstLineChars="202"/>
        <w:rPr>
          <w:rFonts w:hint="eastAsia" w:ascii="宋体" w:hAnsi="宋体" w:cs="宋体"/>
          <w:sz w:val="24"/>
        </w:rPr>
      </w:pPr>
      <w:r>
        <w:rPr>
          <w:rFonts w:hint="eastAsia" w:ascii="宋体" w:hAnsi="宋体" w:cs="宋体"/>
          <w:sz w:val="24"/>
        </w:rPr>
        <w:t>（1）核对评审专家身份和招标人代表授权函，对评审专家在采购活动中的职责履行情况予以记录。</w:t>
      </w:r>
    </w:p>
    <w:p w14:paraId="136B2B24">
      <w:pPr>
        <w:adjustRightInd w:val="0"/>
        <w:snapToGrid w:val="0"/>
        <w:spacing w:line="360" w:lineRule="auto"/>
        <w:ind w:firstLine="484" w:firstLineChars="202"/>
        <w:rPr>
          <w:rFonts w:hint="eastAsia" w:ascii="宋体" w:hAnsi="宋体" w:cs="宋体"/>
          <w:sz w:val="24"/>
        </w:rPr>
      </w:pPr>
      <w:r>
        <w:rPr>
          <w:rFonts w:hint="eastAsia" w:ascii="宋体" w:hAnsi="宋体" w:cs="宋体"/>
          <w:sz w:val="24"/>
        </w:rPr>
        <w:t>（2）宣布评标纪律。</w:t>
      </w:r>
    </w:p>
    <w:p w14:paraId="13C862E7">
      <w:pPr>
        <w:adjustRightInd w:val="0"/>
        <w:snapToGrid w:val="0"/>
        <w:spacing w:line="360" w:lineRule="auto"/>
        <w:ind w:firstLine="484" w:firstLineChars="202"/>
        <w:rPr>
          <w:rFonts w:hint="eastAsia" w:ascii="宋体" w:hAnsi="宋体" w:cs="宋体"/>
          <w:sz w:val="24"/>
        </w:rPr>
      </w:pPr>
      <w:r>
        <w:rPr>
          <w:rFonts w:hint="eastAsia" w:ascii="宋体" w:hAnsi="宋体" w:cs="宋体"/>
          <w:sz w:val="24"/>
        </w:rPr>
        <w:t>（3）公布投标人名单，告知评审专家应当回避的情形。</w:t>
      </w:r>
    </w:p>
    <w:p w14:paraId="30AFABB0">
      <w:pPr>
        <w:adjustRightInd w:val="0"/>
        <w:snapToGrid w:val="0"/>
        <w:spacing w:line="360" w:lineRule="auto"/>
        <w:ind w:firstLine="484" w:firstLineChars="202"/>
        <w:rPr>
          <w:rFonts w:hint="eastAsia" w:ascii="宋体" w:hAnsi="宋体" w:cs="宋体"/>
          <w:sz w:val="24"/>
        </w:rPr>
      </w:pPr>
      <w:r>
        <w:rPr>
          <w:rFonts w:hint="eastAsia" w:ascii="宋体" w:hAnsi="宋体" w:cs="宋体"/>
          <w:sz w:val="24"/>
        </w:rPr>
        <w:t>（4）组织评标委员会推选评标组长，招标人代表不得担任组长。</w:t>
      </w:r>
    </w:p>
    <w:p w14:paraId="2738A306">
      <w:pPr>
        <w:adjustRightInd w:val="0"/>
        <w:snapToGrid w:val="0"/>
        <w:spacing w:line="360" w:lineRule="auto"/>
        <w:ind w:firstLine="484" w:firstLineChars="202"/>
        <w:rPr>
          <w:rFonts w:hint="eastAsia" w:ascii="宋体" w:hAnsi="宋体" w:cs="宋体"/>
          <w:sz w:val="24"/>
        </w:rPr>
      </w:pPr>
      <w:r>
        <w:rPr>
          <w:rFonts w:hint="eastAsia" w:ascii="宋体" w:hAnsi="宋体" w:cs="宋体"/>
          <w:sz w:val="24"/>
        </w:rPr>
        <w:t>（5）在评标期间采取必要的通讯管理措施，保证评标活动不受外界干扰；除招标人代表、评标现场组织人员外，招标人的其他工作人员以及与评标工作无关的人员不得进入评标现场。</w:t>
      </w:r>
    </w:p>
    <w:p w14:paraId="3CD69EB4">
      <w:pPr>
        <w:adjustRightInd w:val="0"/>
        <w:snapToGrid w:val="0"/>
        <w:spacing w:line="360" w:lineRule="auto"/>
        <w:ind w:firstLine="484" w:firstLineChars="202"/>
        <w:rPr>
          <w:rFonts w:hint="eastAsia" w:ascii="宋体" w:hAnsi="宋体" w:cs="宋体"/>
          <w:sz w:val="24"/>
        </w:rPr>
      </w:pPr>
      <w:r>
        <w:rPr>
          <w:rFonts w:hint="eastAsia" w:ascii="宋体" w:hAnsi="宋体" w:cs="宋体"/>
          <w:sz w:val="24"/>
        </w:rPr>
        <w:t>（6）根据评标委员会的要求介绍采购招标文件。</w:t>
      </w:r>
    </w:p>
    <w:p w14:paraId="3576C03B">
      <w:pPr>
        <w:adjustRightInd w:val="0"/>
        <w:snapToGrid w:val="0"/>
        <w:spacing w:line="360" w:lineRule="auto"/>
        <w:ind w:firstLine="484" w:firstLineChars="202"/>
        <w:rPr>
          <w:rFonts w:hint="eastAsia" w:ascii="宋体" w:hAnsi="宋体" w:cs="宋体"/>
          <w:sz w:val="24"/>
        </w:rPr>
      </w:pPr>
      <w:r>
        <w:rPr>
          <w:rFonts w:hint="eastAsia" w:ascii="宋体" w:hAnsi="宋体" w:cs="宋体"/>
          <w:sz w:val="24"/>
        </w:rPr>
        <w:t>（7）维护评标秩序，监督评标委员会依照招标文件规定的评标程序、方法和标准进行独立评审，及时制止和纠正招标人代表、评审专家的倾向性言论或者违法违规行为；招标人可以在评标前说明项目背景和采购需求，说明内容不得含有歧视性、倾向性意见，不得超出招标文件所述范围。说明应当提交书面材料，并随采购文件一并存档。</w:t>
      </w:r>
    </w:p>
    <w:p w14:paraId="20623E84">
      <w:pPr>
        <w:adjustRightInd w:val="0"/>
        <w:snapToGrid w:val="0"/>
        <w:spacing w:line="360" w:lineRule="auto"/>
        <w:ind w:firstLine="484" w:firstLineChars="202"/>
        <w:rPr>
          <w:rFonts w:hint="eastAsia" w:ascii="宋体" w:hAnsi="宋体" w:cs="宋体"/>
          <w:sz w:val="24"/>
        </w:rPr>
      </w:pPr>
      <w:r>
        <w:rPr>
          <w:rFonts w:hint="eastAsia" w:ascii="宋体" w:hAnsi="宋体" w:cs="宋体"/>
          <w:sz w:val="24"/>
        </w:rPr>
        <w:t>（8）核对评标结果，有下列规定情形的，要求评标委员会复核或者书面说明理由，评标委员会拒绝的，则予以书面记录并向本级财政部门报告：</w:t>
      </w:r>
    </w:p>
    <w:p w14:paraId="24935824">
      <w:pPr>
        <w:adjustRightInd w:val="0"/>
        <w:snapToGrid w:val="0"/>
        <w:spacing w:line="360" w:lineRule="auto"/>
        <w:ind w:firstLine="484" w:firstLineChars="202"/>
        <w:rPr>
          <w:rFonts w:hint="eastAsia" w:ascii="宋体" w:hAnsi="宋体" w:cs="宋体"/>
          <w:sz w:val="24"/>
        </w:rPr>
      </w:pPr>
      <w:r>
        <w:rPr>
          <w:rFonts w:hint="eastAsia" w:ascii="宋体" w:hAnsi="宋体" w:cs="宋体"/>
          <w:sz w:val="24"/>
        </w:rPr>
        <w:t>① 分值汇总计算错误的；</w:t>
      </w:r>
    </w:p>
    <w:p w14:paraId="391271BF">
      <w:pPr>
        <w:adjustRightInd w:val="0"/>
        <w:snapToGrid w:val="0"/>
        <w:spacing w:line="360" w:lineRule="auto"/>
        <w:ind w:firstLine="484" w:firstLineChars="202"/>
        <w:rPr>
          <w:rFonts w:hint="eastAsia" w:ascii="宋体" w:hAnsi="宋体" w:cs="宋体"/>
          <w:sz w:val="24"/>
        </w:rPr>
      </w:pPr>
      <w:r>
        <w:rPr>
          <w:rFonts w:hint="eastAsia" w:ascii="宋体" w:hAnsi="宋体" w:cs="宋体"/>
          <w:sz w:val="24"/>
        </w:rPr>
        <w:t>② 分项评分超出评分标准范围的；</w:t>
      </w:r>
    </w:p>
    <w:p w14:paraId="1BCB3EA6">
      <w:pPr>
        <w:adjustRightInd w:val="0"/>
        <w:snapToGrid w:val="0"/>
        <w:spacing w:line="360" w:lineRule="auto"/>
        <w:ind w:firstLine="484" w:firstLineChars="202"/>
        <w:rPr>
          <w:rFonts w:hint="eastAsia" w:ascii="宋体" w:hAnsi="宋体" w:cs="宋体"/>
          <w:sz w:val="24"/>
        </w:rPr>
      </w:pPr>
      <w:r>
        <w:rPr>
          <w:rFonts w:hint="eastAsia" w:ascii="宋体" w:hAnsi="宋体" w:cs="宋体"/>
          <w:sz w:val="24"/>
        </w:rPr>
        <w:t>③ 评标委员会成员对客观评审因素评分不一致的；</w:t>
      </w:r>
    </w:p>
    <w:p w14:paraId="49E77BB8">
      <w:pPr>
        <w:adjustRightInd w:val="0"/>
        <w:snapToGrid w:val="0"/>
        <w:spacing w:line="360" w:lineRule="auto"/>
        <w:ind w:firstLine="484" w:firstLineChars="202"/>
        <w:rPr>
          <w:rFonts w:hint="eastAsia" w:ascii="宋体" w:hAnsi="宋体" w:cs="宋体"/>
          <w:sz w:val="24"/>
        </w:rPr>
      </w:pPr>
      <w:r>
        <w:rPr>
          <w:rFonts w:hint="eastAsia" w:ascii="宋体" w:hAnsi="宋体" w:cs="宋体"/>
          <w:sz w:val="24"/>
        </w:rPr>
        <w:t>④ 经评标委员会认定评分畸高、畸低的。</w:t>
      </w:r>
    </w:p>
    <w:p w14:paraId="2EADB763">
      <w:pPr>
        <w:adjustRightInd w:val="0"/>
        <w:snapToGrid w:val="0"/>
        <w:spacing w:line="360" w:lineRule="auto"/>
        <w:ind w:firstLine="484" w:firstLineChars="202"/>
        <w:rPr>
          <w:rFonts w:hint="eastAsia" w:ascii="宋体" w:hAnsi="宋体" w:cs="宋体"/>
          <w:sz w:val="24"/>
        </w:rPr>
      </w:pPr>
      <w:r>
        <w:rPr>
          <w:rFonts w:hint="eastAsia" w:ascii="宋体" w:hAnsi="宋体" w:cs="宋体"/>
          <w:sz w:val="24"/>
        </w:rPr>
        <w:t>（9）评审工作完成后，按照规定向评审专家支付劳务报酬和异地评审差旅费，不得向评审专家以外的其他人员支付评审劳务报酬。</w:t>
      </w:r>
    </w:p>
    <w:p w14:paraId="1455271A">
      <w:pPr>
        <w:adjustRightInd w:val="0"/>
        <w:snapToGrid w:val="0"/>
        <w:spacing w:line="360" w:lineRule="auto"/>
        <w:ind w:firstLine="484" w:firstLineChars="202"/>
        <w:rPr>
          <w:rFonts w:hint="eastAsia" w:ascii="宋体" w:hAnsi="宋体" w:cs="宋体"/>
          <w:sz w:val="24"/>
        </w:rPr>
      </w:pPr>
      <w:r>
        <w:rPr>
          <w:rFonts w:hint="eastAsia" w:ascii="宋体" w:hAnsi="宋体" w:cs="宋体"/>
          <w:sz w:val="24"/>
        </w:rPr>
        <w:t>（10）处理与评标有关的其他事项。</w:t>
      </w:r>
    </w:p>
    <w:p w14:paraId="7FBFD7F2">
      <w:pPr>
        <w:adjustRightInd w:val="0"/>
        <w:snapToGrid w:val="0"/>
        <w:spacing w:line="360" w:lineRule="auto"/>
        <w:ind w:firstLine="484" w:firstLineChars="202"/>
        <w:rPr>
          <w:rFonts w:hint="eastAsia" w:ascii="宋体" w:hAnsi="宋体" w:cs="宋体"/>
          <w:sz w:val="24"/>
        </w:rPr>
      </w:pPr>
      <w:r>
        <w:rPr>
          <w:rFonts w:hint="eastAsia" w:ascii="宋体" w:hAnsi="宋体" w:cs="宋体"/>
          <w:sz w:val="24"/>
        </w:rPr>
        <w:t>4、评标委员会负责具体评标事务：</w:t>
      </w:r>
    </w:p>
    <w:p w14:paraId="61BD4657">
      <w:pPr>
        <w:adjustRightInd w:val="0"/>
        <w:snapToGrid w:val="0"/>
        <w:spacing w:line="360" w:lineRule="auto"/>
        <w:ind w:firstLine="484" w:firstLineChars="202"/>
        <w:rPr>
          <w:rFonts w:hint="eastAsia" w:ascii="宋体" w:hAnsi="宋体" w:cs="宋体"/>
          <w:sz w:val="24"/>
        </w:rPr>
      </w:pPr>
      <w:r>
        <w:rPr>
          <w:rFonts w:hint="eastAsia" w:ascii="宋体" w:hAnsi="宋体" w:cs="宋体"/>
          <w:sz w:val="24"/>
        </w:rPr>
        <w:t>（1）独立履行审查、评价合格投标人的投标文件是否符合招标文件的商务、技术等实质性要求并进行比较和评价；按照招标文件中规定的评标方法和标准，对符合性审查合格的投标文件进行商务和技术评估，综合比较与评价并依据招标文件载明的评标方法推荐三明中标候选人。</w:t>
      </w:r>
    </w:p>
    <w:p w14:paraId="3D21C919">
      <w:pPr>
        <w:adjustRightInd w:val="0"/>
        <w:snapToGrid w:val="0"/>
        <w:spacing w:line="360" w:lineRule="auto"/>
        <w:ind w:firstLine="484" w:firstLineChars="202"/>
        <w:rPr>
          <w:rFonts w:hint="eastAsia" w:ascii="宋体" w:hAnsi="宋体" w:cs="宋体"/>
          <w:sz w:val="24"/>
        </w:rPr>
      </w:pPr>
      <w:r>
        <w:rPr>
          <w:rFonts w:hint="eastAsia" w:ascii="宋体" w:hAnsi="宋体" w:cs="宋体"/>
          <w:sz w:val="24"/>
        </w:rPr>
        <w:t>（2）对于投标文件中含义不明确、同类问题表述不一致或者有明显文字和计算错误的内容，评标委员会应当以书面形式要求投标人作出必要的澄清、说明或者补正。投标人的澄清、说明或者补正，应当采用书面形式由投标人代表签字，但不得超出招标文件的范围或者改变其实质性内容。</w:t>
      </w:r>
    </w:p>
    <w:p w14:paraId="7C9C5A1C">
      <w:pPr>
        <w:adjustRightInd w:val="0"/>
        <w:snapToGrid w:val="0"/>
        <w:spacing w:line="360" w:lineRule="auto"/>
        <w:ind w:firstLine="484" w:firstLineChars="202"/>
        <w:rPr>
          <w:rFonts w:hint="eastAsia" w:ascii="宋体" w:hAnsi="宋体" w:cs="宋体"/>
          <w:sz w:val="24"/>
        </w:rPr>
      </w:pPr>
      <w:r>
        <w:rPr>
          <w:rFonts w:hint="eastAsia" w:ascii="宋体" w:hAnsi="宋体" w:cs="宋体"/>
          <w:sz w:val="24"/>
        </w:rPr>
        <w:t>（3）评标委员会发现招标文件存在歧义、重大缺陷导致评标工作无法进行，或者招标文件内容违反国家有关强制性规定的，应当停止评标工作，与招标人或者招标代理机构沟通并作书面记录。招标人或者招标代理机构确认后，应当修改招标文件，重新组织采购活动。</w:t>
      </w:r>
    </w:p>
    <w:p w14:paraId="5DD4AC5C">
      <w:pPr>
        <w:adjustRightInd w:val="0"/>
        <w:snapToGrid w:val="0"/>
        <w:spacing w:line="360" w:lineRule="auto"/>
        <w:ind w:firstLine="484" w:firstLineChars="202"/>
        <w:rPr>
          <w:rFonts w:hint="eastAsia" w:ascii="宋体" w:hAnsi="宋体" w:cs="宋体"/>
          <w:sz w:val="24"/>
        </w:rPr>
      </w:pPr>
      <w:r>
        <w:rPr>
          <w:rFonts w:hint="eastAsia" w:ascii="宋体" w:hAnsi="宋体" w:cs="宋体"/>
          <w:sz w:val="24"/>
        </w:rPr>
        <w:t>5、评标委员会成员独立履行以下职责与义务：</w:t>
      </w:r>
    </w:p>
    <w:p w14:paraId="2B0F5A89">
      <w:pPr>
        <w:adjustRightInd w:val="0"/>
        <w:snapToGrid w:val="0"/>
        <w:spacing w:line="360" w:lineRule="auto"/>
        <w:ind w:firstLine="484" w:firstLineChars="202"/>
        <w:rPr>
          <w:rFonts w:hint="eastAsia" w:ascii="宋体" w:hAnsi="宋体" w:cs="宋体"/>
          <w:sz w:val="24"/>
        </w:rPr>
      </w:pPr>
      <w:r>
        <w:rPr>
          <w:rFonts w:hint="eastAsia" w:ascii="宋体" w:hAnsi="宋体" w:cs="宋体"/>
          <w:sz w:val="24"/>
        </w:rPr>
        <w:t>（1）遵纪守法，客观、公正、廉洁地履行职责；</w:t>
      </w:r>
    </w:p>
    <w:p w14:paraId="44F639A6">
      <w:pPr>
        <w:adjustRightInd w:val="0"/>
        <w:snapToGrid w:val="0"/>
        <w:spacing w:line="360" w:lineRule="auto"/>
        <w:ind w:firstLine="484" w:firstLineChars="202"/>
        <w:rPr>
          <w:rFonts w:hint="eastAsia" w:ascii="宋体" w:hAnsi="宋体" w:cs="宋体"/>
          <w:sz w:val="24"/>
        </w:rPr>
      </w:pPr>
      <w:r>
        <w:rPr>
          <w:rFonts w:hint="eastAsia" w:ascii="宋体" w:hAnsi="宋体" w:cs="宋体"/>
          <w:sz w:val="24"/>
        </w:rPr>
        <w:t>（2）审查合格投标人的投标文件是否实质性响应招标文件要求，并做出评价；</w:t>
      </w:r>
    </w:p>
    <w:p w14:paraId="100AA1E4">
      <w:pPr>
        <w:adjustRightInd w:val="0"/>
        <w:snapToGrid w:val="0"/>
        <w:spacing w:line="360" w:lineRule="auto"/>
        <w:ind w:firstLine="484" w:firstLineChars="202"/>
        <w:rPr>
          <w:rFonts w:hint="eastAsia" w:ascii="宋体" w:hAnsi="宋体" w:cs="宋体"/>
          <w:sz w:val="24"/>
        </w:rPr>
      </w:pPr>
      <w:r>
        <w:rPr>
          <w:rFonts w:hint="eastAsia" w:ascii="宋体" w:hAnsi="宋体" w:cs="宋体"/>
          <w:sz w:val="24"/>
        </w:rPr>
        <w:t>（3）按照招标文件规定的评标办法和评标标准进行评标，对评审意见承担个人责任；</w:t>
      </w:r>
    </w:p>
    <w:p w14:paraId="5B38B09C">
      <w:pPr>
        <w:adjustRightInd w:val="0"/>
        <w:snapToGrid w:val="0"/>
        <w:spacing w:line="360" w:lineRule="auto"/>
        <w:ind w:firstLine="484" w:firstLineChars="202"/>
        <w:rPr>
          <w:rFonts w:hint="eastAsia" w:ascii="宋体" w:hAnsi="宋体" w:cs="宋体"/>
          <w:sz w:val="24"/>
        </w:rPr>
      </w:pPr>
      <w:r>
        <w:rPr>
          <w:rFonts w:hint="eastAsia" w:ascii="宋体" w:hAnsi="宋体" w:cs="宋体"/>
          <w:sz w:val="24"/>
        </w:rPr>
        <w:t>（4）可以要求投标人对投标文件有关事项做出解释或澄清；</w:t>
      </w:r>
    </w:p>
    <w:p w14:paraId="6F074EBA">
      <w:pPr>
        <w:adjustRightInd w:val="0"/>
        <w:snapToGrid w:val="0"/>
        <w:spacing w:line="360" w:lineRule="auto"/>
        <w:ind w:firstLine="484" w:firstLineChars="202"/>
        <w:rPr>
          <w:rFonts w:hint="eastAsia" w:ascii="宋体" w:hAnsi="宋体" w:cs="宋体"/>
          <w:sz w:val="24"/>
        </w:rPr>
      </w:pPr>
      <w:r>
        <w:rPr>
          <w:rFonts w:hint="eastAsia" w:ascii="宋体" w:hAnsi="宋体" w:cs="宋体"/>
          <w:sz w:val="24"/>
        </w:rPr>
        <w:t>（5）对评标过程和结果，以及投标人的商业秘密保密；</w:t>
      </w:r>
    </w:p>
    <w:p w14:paraId="6693F811">
      <w:pPr>
        <w:adjustRightInd w:val="0"/>
        <w:snapToGrid w:val="0"/>
        <w:spacing w:line="360" w:lineRule="auto"/>
        <w:ind w:firstLine="484" w:firstLineChars="202"/>
        <w:rPr>
          <w:rFonts w:hint="eastAsia" w:ascii="宋体" w:hAnsi="宋体" w:cs="宋体"/>
          <w:sz w:val="24"/>
        </w:rPr>
      </w:pPr>
      <w:r>
        <w:rPr>
          <w:rFonts w:hint="eastAsia" w:ascii="宋体" w:hAnsi="宋体" w:cs="宋体"/>
          <w:sz w:val="24"/>
        </w:rPr>
        <w:t>（6）配合相关部门的投诉处理工作；</w:t>
      </w:r>
    </w:p>
    <w:p w14:paraId="11AFD0F4">
      <w:pPr>
        <w:adjustRightInd w:val="0"/>
        <w:snapToGrid w:val="0"/>
        <w:spacing w:line="360" w:lineRule="auto"/>
        <w:ind w:firstLine="484" w:firstLineChars="202"/>
        <w:rPr>
          <w:rFonts w:hint="eastAsia" w:ascii="宋体" w:hAnsi="宋体" w:cs="宋体"/>
          <w:sz w:val="24"/>
        </w:rPr>
      </w:pPr>
      <w:r>
        <w:rPr>
          <w:rFonts w:hint="eastAsia" w:ascii="宋体" w:hAnsi="宋体" w:cs="宋体"/>
          <w:sz w:val="24"/>
        </w:rPr>
        <w:t>（7）配合招标人或招标代理机构答复投标人提出的质疑。</w:t>
      </w:r>
    </w:p>
    <w:p w14:paraId="5A2DAD81">
      <w:pPr>
        <w:adjustRightInd w:val="0"/>
        <w:snapToGrid w:val="0"/>
        <w:spacing w:line="360" w:lineRule="auto"/>
        <w:ind w:firstLine="484" w:firstLineChars="202"/>
        <w:rPr>
          <w:rFonts w:hint="eastAsia" w:ascii="宋体" w:hAnsi="宋体" w:cs="宋体"/>
          <w:sz w:val="24"/>
        </w:rPr>
      </w:pPr>
      <w:r>
        <w:rPr>
          <w:rFonts w:hint="eastAsia" w:ascii="宋体" w:hAnsi="宋体" w:cs="宋体"/>
          <w:sz w:val="24"/>
        </w:rPr>
        <w:t>6、除招标人代表、评标现场组织人员外，招标人的其他工作人员以及与评标工作无关的人员不得进入评标现场；有关人员对评标情况以及在评标过程中获悉的国家秘密、商业秘密负有保密责任。</w:t>
      </w:r>
    </w:p>
    <w:p w14:paraId="1E0F617E">
      <w:pPr>
        <w:adjustRightInd w:val="0"/>
        <w:snapToGrid w:val="0"/>
        <w:spacing w:line="360" w:lineRule="auto"/>
        <w:ind w:firstLine="484" w:firstLineChars="202"/>
        <w:rPr>
          <w:rFonts w:hint="eastAsia" w:ascii="宋体" w:hAnsi="宋体" w:cs="宋体"/>
          <w:sz w:val="24"/>
        </w:rPr>
      </w:pPr>
      <w:r>
        <w:rPr>
          <w:rFonts w:hint="eastAsia" w:ascii="宋体" w:hAnsi="宋体" w:cs="宋体"/>
          <w:sz w:val="24"/>
        </w:rPr>
        <w:t>7、开标后直到发出中标通知书并授予中标人合同为止，凡属于评审、澄清、评价和比较投标的所有资料及有关授予合同等的相关信息，都不应向投标人或与评标无关的其他人泄露。</w:t>
      </w:r>
    </w:p>
    <w:p w14:paraId="0083260B">
      <w:pPr>
        <w:adjustRightInd w:val="0"/>
        <w:snapToGrid w:val="0"/>
        <w:spacing w:line="360" w:lineRule="auto"/>
        <w:ind w:firstLine="484" w:firstLineChars="202"/>
        <w:rPr>
          <w:rFonts w:hint="eastAsia" w:ascii="宋体" w:hAnsi="宋体" w:cs="宋体"/>
          <w:sz w:val="24"/>
        </w:rPr>
      </w:pPr>
      <w:r>
        <w:rPr>
          <w:rFonts w:hint="eastAsia" w:ascii="宋体" w:hAnsi="宋体" w:cs="宋体"/>
          <w:sz w:val="24"/>
        </w:rPr>
        <w:t>8、评审期间，合格投标人的投标文件仍有可能被评标委员会根据规定判为无效投标。</w:t>
      </w:r>
    </w:p>
    <w:p w14:paraId="4474914E">
      <w:pPr>
        <w:adjustRightInd w:val="0"/>
        <w:snapToGrid w:val="0"/>
        <w:spacing w:line="360" w:lineRule="auto"/>
        <w:ind w:firstLine="484" w:firstLineChars="202"/>
        <w:rPr>
          <w:rFonts w:ascii="宋体" w:hAnsi="宋体" w:cs="宋体"/>
          <w:sz w:val="24"/>
        </w:rPr>
      </w:pPr>
      <w:r>
        <w:rPr>
          <w:rFonts w:hint="eastAsia" w:ascii="宋体" w:hAnsi="宋体" w:cs="宋体"/>
          <w:sz w:val="24"/>
        </w:rPr>
        <w:t>9、在投标文件的评审、澄清、评价和比较以及授予合同的过程中，投标人对招标人和评标委员会成员有施加影响的任何行为，都将取消其可能的中标资格。</w:t>
      </w:r>
    </w:p>
    <w:p w14:paraId="5BB06654">
      <w:pPr>
        <w:adjustRightInd w:val="0"/>
        <w:snapToGrid w:val="0"/>
        <w:spacing w:line="360" w:lineRule="auto"/>
        <w:ind w:firstLine="487" w:firstLineChars="202"/>
        <w:outlineLvl w:val="1"/>
        <w:rPr>
          <w:rFonts w:hint="eastAsia" w:ascii="宋体" w:hAnsi="宋体" w:cs="宋体"/>
          <w:b/>
          <w:bCs/>
          <w:sz w:val="24"/>
        </w:rPr>
      </w:pPr>
      <w:r>
        <w:rPr>
          <w:rFonts w:hint="eastAsia" w:ascii="宋体" w:hAnsi="宋体" w:cs="宋体"/>
          <w:b/>
          <w:bCs/>
          <w:sz w:val="24"/>
        </w:rPr>
        <w:t>五、评审原则</w:t>
      </w:r>
    </w:p>
    <w:p w14:paraId="16490903">
      <w:pPr>
        <w:snapToGrid w:val="0"/>
        <w:spacing w:line="360" w:lineRule="auto"/>
        <w:ind w:firstLine="484" w:firstLineChars="202"/>
        <w:rPr>
          <w:rFonts w:hint="eastAsia" w:ascii="宋体" w:hAnsi="宋体" w:cs="宋体"/>
          <w:sz w:val="24"/>
        </w:rPr>
      </w:pPr>
      <w:r>
        <w:rPr>
          <w:rFonts w:hint="eastAsia" w:ascii="宋体" w:hAnsi="宋体" w:cs="宋体"/>
          <w:sz w:val="24"/>
        </w:rPr>
        <w:t>1、本项目采用</w:t>
      </w:r>
      <w:r>
        <w:rPr>
          <w:rFonts w:hint="eastAsia" w:ascii="宋体" w:hAnsi="宋体" w:cs="宋体"/>
          <w:sz w:val="24"/>
          <w:u w:val="single"/>
        </w:rPr>
        <w:t xml:space="preserve">  </w:t>
      </w:r>
      <w:r>
        <w:rPr>
          <w:rFonts w:hint="eastAsia" w:ascii="宋体" w:hAnsi="宋体" w:cs="宋体"/>
          <w:b/>
          <w:sz w:val="24"/>
          <w:u w:val="single"/>
        </w:rPr>
        <w:t>综合评分法</w:t>
      </w:r>
      <w:r>
        <w:rPr>
          <w:rFonts w:hint="eastAsia" w:ascii="宋体" w:hAnsi="宋体" w:cs="宋体"/>
          <w:sz w:val="24"/>
          <w:u w:val="single"/>
        </w:rPr>
        <w:t xml:space="preserve"> </w:t>
      </w:r>
      <w:r>
        <w:rPr>
          <w:rFonts w:hint="eastAsia" w:ascii="宋体" w:hAnsi="宋体" w:cs="宋体"/>
          <w:sz w:val="24"/>
        </w:rPr>
        <w:t>，即指投标文件满足本项目招标文件全部实质性要求，且按照评审因素的量化指标，经评审后得分最高的投标人推荐为中标人的评标方法。</w:t>
      </w:r>
    </w:p>
    <w:p w14:paraId="5F96A892">
      <w:pPr>
        <w:snapToGrid w:val="0"/>
        <w:spacing w:line="360" w:lineRule="auto"/>
        <w:ind w:firstLine="484" w:firstLineChars="202"/>
        <w:rPr>
          <w:rFonts w:hint="eastAsia" w:ascii="宋体" w:hAnsi="宋体" w:cs="宋体"/>
          <w:sz w:val="24"/>
        </w:rPr>
      </w:pPr>
      <w:r>
        <w:rPr>
          <w:rFonts w:hint="eastAsia" w:ascii="宋体" w:hAnsi="宋体" w:cs="宋体"/>
          <w:sz w:val="24"/>
        </w:rPr>
        <w:t>2、评标委员会成员：对符合资格的投标人的投标文件进行资格审查，以确定其是否满足招标文件的资格要求；按照招标文件中规定的评标方法和标准，对资格审查合格的投标文件进行商务和技术评估，综合比较与评价。</w:t>
      </w:r>
    </w:p>
    <w:p w14:paraId="238C9C70">
      <w:pPr>
        <w:snapToGrid w:val="0"/>
        <w:spacing w:line="360" w:lineRule="auto"/>
        <w:ind w:firstLine="484" w:firstLineChars="202"/>
        <w:rPr>
          <w:rFonts w:hint="eastAsia" w:ascii="宋体" w:hAnsi="宋体" w:cs="宋体"/>
          <w:sz w:val="24"/>
        </w:rPr>
      </w:pPr>
      <w:r>
        <w:rPr>
          <w:rFonts w:hint="eastAsia" w:ascii="宋体" w:hAnsi="宋体" w:cs="宋体"/>
          <w:sz w:val="24"/>
        </w:rPr>
        <w:t>3、评标委员会严格按照招标文件规定的要求、条件、评分标准，对投标人所提供的完整计划标的物的科学性、可行性、产品质量、服务质量的保证及承诺等实质性响应内容进行比较评价。</w:t>
      </w:r>
    </w:p>
    <w:p w14:paraId="2FB05D24">
      <w:pPr>
        <w:snapToGrid w:val="0"/>
        <w:spacing w:line="360" w:lineRule="auto"/>
        <w:ind w:firstLine="484" w:firstLineChars="202"/>
        <w:rPr>
          <w:rFonts w:hint="eastAsia" w:ascii="宋体" w:hAnsi="宋体" w:cs="宋体"/>
          <w:sz w:val="24"/>
        </w:rPr>
      </w:pPr>
      <w:r>
        <w:rPr>
          <w:rFonts w:hint="eastAsia" w:ascii="宋体" w:hAnsi="宋体" w:cs="宋体"/>
          <w:sz w:val="24"/>
        </w:rPr>
        <w:t>4、对投标文件的评审判定，只依据投标文件内容本身，不依靠开标后任何外来证明文件。</w:t>
      </w:r>
    </w:p>
    <w:p w14:paraId="395CAD2C">
      <w:pPr>
        <w:adjustRightInd w:val="0"/>
        <w:snapToGrid w:val="0"/>
        <w:spacing w:line="360" w:lineRule="auto"/>
        <w:ind w:firstLine="487" w:firstLineChars="202"/>
        <w:outlineLvl w:val="1"/>
        <w:rPr>
          <w:rFonts w:hint="eastAsia" w:ascii="宋体" w:hAnsi="宋体" w:cs="宋体"/>
          <w:b/>
          <w:bCs/>
          <w:sz w:val="24"/>
        </w:rPr>
      </w:pPr>
      <w:r>
        <w:rPr>
          <w:rFonts w:hint="eastAsia" w:ascii="宋体" w:hAnsi="宋体" w:cs="宋体"/>
          <w:b/>
          <w:bCs/>
          <w:sz w:val="24"/>
        </w:rPr>
        <w:t>六、评审办法</w:t>
      </w:r>
    </w:p>
    <w:p w14:paraId="4FFDCB41">
      <w:pPr>
        <w:snapToGrid w:val="0"/>
        <w:spacing w:line="360" w:lineRule="auto"/>
        <w:ind w:firstLine="484" w:firstLineChars="202"/>
        <w:rPr>
          <w:rFonts w:hint="eastAsia" w:ascii="宋体" w:hAnsi="宋体" w:cs="宋体"/>
          <w:sz w:val="24"/>
        </w:rPr>
      </w:pPr>
      <w:r>
        <w:rPr>
          <w:rFonts w:hint="eastAsia" w:ascii="宋体" w:hAnsi="宋体" w:cs="宋体"/>
          <w:sz w:val="24"/>
        </w:rPr>
        <w:t>1、评标程序：</w:t>
      </w:r>
    </w:p>
    <w:p w14:paraId="3E381A5E">
      <w:pPr>
        <w:snapToGrid w:val="0"/>
        <w:spacing w:line="360" w:lineRule="auto"/>
        <w:ind w:firstLine="484" w:firstLineChars="202"/>
        <w:rPr>
          <w:rFonts w:hint="eastAsia" w:ascii="宋体" w:hAnsi="宋体" w:cs="宋体"/>
          <w:sz w:val="24"/>
        </w:rPr>
      </w:pPr>
      <w:r>
        <w:rPr>
          <w:rFonts w:hint="eastAsia" w:ascii="宋体" w:hAnsi="宋体" w:cs="宋体"/>
          <w:sz w:val="24"/>
        </w:rPr>
        <w:t>资格评审——试菜评审——商务标评审——确定中标候选人。</w:t>
      </w:r>
    </w:p>
    <w:p w14:paraId="017ACF72">
      <w:pPr>
        <w:snapToGrid w:val="0"/>
        <w:spacing w:line="360" w:lineRule="auto"/>
        <w:ind w:firstLine="484" w:firstLineChars="202"/>
        <w:rPr>
          <w:rFonts w:hint="eastAsia" w:ascii="宋体" w:hAnsi="宋体" w:cs="宋体"/>
          <w:sz w:val="24"/>
        </w:rPr>
      </w:pPr>
      <w:r>
        <w:rPr>
          <w:rFonts w:hint="eastAsia" w:ascii="宋体" w:hAnsi="宋体" w:cs="宋体"/>
          <w:sz w:val="24"/>
        </w:rPr>
        <w:t>本次资格审查采用资格后审，各投标人资格审查通过后方能进入商务标开标。</w:t>
      </w:r>
    </w:p>
    <w:p w14:paraId="3A166D4F">
      <w:pPr>
        <w:snapToGrid w:val="0"/>
        <w:spacing w:line="360" w:lineRule="auto"/>
        <w:ind w:firstLine="484" w:firstLineChars="202"/>
        <w:rPr>
          <w:rFonts w:hint="eastAsia" w:ascii="宋体" w:hAnsi="宋体" w:cs="宋体"/>
          <w:sz w:val="24"/>
        </w:rPr>
      </w:pPr>
      <w:r>
        <w:rPr>
          <w:rFonts w:hint="eastAsia" w:ascii="宋体" w:hAnsi="宋体" w:cs="宋体"/>
          <w:sz w:val="24"/>
        </w:rPr>
        <w:t>2、评标委员会将仅对按本招标文件载明的方法与规定，为实质上响应招标文件要求的投标文件评审并进行评价和比较。</w:t>
      </w:r>
    </w:p>
    <w:p w14:paraId="5D674563">
      <w:pPr>
        <w:snapToGrid w:val="0"/>
        <w:spacing w:line="360" w:lineRule="auto"/>
        <w:ind w:firstLine="484" w:firstLineChars="202"/>
        <w:rPr>
          <w:rFonts w:hint="eastAsia" w:ascii="宋体" w:hAnsi="宋体" w:cs="宋体"/>
          <w:sz w:val="24"/>
        </w:rPr>
      </w:pPr>
      <w:r>
        <w:rPr>
          <w:rFonts w:hint="eastAsia" w:ascii="宋体" w:hAnsi="宋体" w:cs="宋体"/>
          <w:sz w:val="24"/>
        </w:rPr>
        <w:t>3、本次项目的试菜分、商务标评审总分值为100分，“限额以上住宿和餐饮业”入库承诺增值分5分；</w:t>
      </w:r>
    </w:p>
    <w:p w14:paraId="0AE8E9D3">
      <w:pPr>
        <w:snapToGrid w:val="0"/>
        <w:spacing w:line="360" w:lineRule="auto"/>
        <w:ind w:firstLine="484" w:firstLineChars="202"/>
        <w:rPr>
          <w:rFonts w:hint="eastAsia" w:ascii="宋体" w:hAnsi="宋体" w:cs="宋体"/>
          <w:sz w:val="24"/>
        </w:rPr>
      </w:pPr>
      <w:r>
        <w:rPr>
          <w:rFonts w:hint="eastAsia" w:ascii="宋体" w:hAnsi="宋体" w:cs="宋体"/>
          <w:sz w:val="24"/>
        </w:rPr>
        <w:t>（1）试菜分、商务标比重如下：</w:t>
      </w:r>
    </w:p>
    <w:p w14:paraId="4111922E">
      <w:pPr>
        <w:snapToGrid w:val="0"/>
        <w:spacing w:line="360" w:lineRule="auto"/>
        <w:ind w:firstLine="484" w:firstLineChars="202"/>
        <w:rPr>
          <w:rFonts w:hint="eastAsia" w:ascii="宋体" w:hAnsi="宋体" w:cs="宋体"/>
          <w:sz w:val="24"/>
        </w:rPr>
      </w:pPr>
      <w:r>
        <w:rPr>
          <w:rFonts w:hint="eastAsia" w:ascii="宋体" w:hAnsi="宋体" w:cs="宋体"/>
          <w:sz w:val="24"/>
        </w:rPr>
        <w:t>试菜分值占总分值的比重为</w:t>
      </w:r>
      <w:r>
        <w:rPr>
          <w:rFonts w:hint="eastAsia" w:ascii="宋体" w:hAnsi="宋体" w:cs="宋体"/>
          <w:sz w:val="24"/>
          <w:u w:val="single"/>
        </w:rPr>
        <w:t xml:space="preserve"> 80%（权重）</w:t>
      </w:r>
      <w:r>
        <w:rPr>
          <w:rFonts w:hint="eastAsia" w:ascii="宋体" w:hAnsi="宋体" w:cs="宋体"/>
          <w:sz w:val="24"/>
        </w:rPr>
        <w:t>（计算结果均四舍五入保留两位小数）；</w:t>
      </w:r>
    </w:p>
    <w:p w14:paraId="2572D426">
      <w:pPr>
        <w:snapToGrid w:val="0"/>
        <w:spacing w:line="360" w:lineRule="auto"/>
        <w:ind w:firstLine="484" w:firstLineChars="202"/>
        <w:rPr>
          <w:rFonts w:hint="eastAsia" w:ascii="宋体" w:hAnsi="宋体" w:cs="宋体"/>
          <w:sz w:val="24"/>
        </w:rPr>
      </w:pPr>
    </w:p>
    <w:p w14:paraId="6EF62EF5">
      <w:pPr>
        <w:snapToGrid w:val="0"/>
        <w:spacing w:line="360" w:lineRule="auto"/>
        <w:ind w:firstLine="484" w:firstLineChars="202"/>
        <w:rPr>
          <w:rFonts w:hint="eastAsia" w:ascii="宋体" w:hAnsi="宋体" w:cs="宋体"/>
          <w:sz w:val="24"/>
        </w:rPr>
      </w:pPr>
      <w:r>
        <w:rPr>
          <w:rFonts w:hint="eastAsia" w:ascii="宋体" w:hAnsi="宋体" w:cs="宋体"/>
          <w:sz w:val="24"/>
        </w:rPr>
        <w:t>商务标评审分值占总分值的比重为</w:t>
      </w:r>
      <w:r>
        <w:rPr>
          <w:rFonts w:hint="eastAsia" w:ascii="宋体" w:hAnsi="宋体" w:cs="宋体"/>
          <w:sz w:val="24"/>
          <w:u w:val="single"/>
        </w:rPr>
        <w:t xml:space="preserve"> 20%（权重）</w:t>
      </w:r>
      <w:r>
        <w:rPr>
          <w:rFonts w:hint="eastAsia" w:ascii="宋体" w:hAnsi="宋体" w:cs="宋体"/>
          <w:sz w:val="24"/>
        </w:rPr>
        <w:t>（计算结果均四舍五入保留两位小数）；</w:t>
      </w:r>
    </w:p>
    <w:p w14:paraId="58DD7D8B">
      <w:pPr>
        <w:snapToGrid w:val="0"/>
        <w:spacing w:line="360" w:lineRule="auto"/>
        <w:ind w:firstLine="484" w:firstLineChars="202"/>
        <w:rPr>
          <w:rFonts w:hint="eastAsia" w:ascii="宋体" w:hAnsi="宋体" w:cs="宋体"/>
          <w:sz w:val="24"/>
        </w:rPr>
      </w:pPr>
      <w:r>
        <w:rPr>
          <w:rFonts w:hint="eastAsia" w:ascii="宋体" w:hAnsi="宋体" w:cs="宋体"/>
          <w:sz w:val="24"/>
        </w:rPr>
        <w:t>（2）增值加分项：“限额以上住宿和餐饮业”入库承诺增值分5分。</w:t>
      </w:r>
    </w:p>
    <w:p w14:paraId="623D0F86">
      <w:pPr>
        <w:snapToGrid w:val="0"/>
        <w:spacing w:line="360" w:lineRule="auto"/>
        <w:ind w:firstLine="484" w:firstLineChars="202"/>
        <w:rPr>
          <w:rFonts w:hint="eastAsia" w:ascii="宋体" w:hAnsi="宋体" w:cs="宋体"/>
          <w:sz w:val="24"/>
        </w:rPr>
      </w:pPr>
      <w:r>
        <w:rPr>
          <w:rFonts w:hint="eastAsia" w:ascii="宋体" w:hAnsi="宋体" w:cs="宋体"/>
          <w:sz w:val="24"/>
        </w:rPr>
        <w:t>4、评标委员会由招标人依法组建。</w:t>
      </w:r>
    </w:p>
    <w:p w14:paraId="4C192527">
      <w:pPr>
        <w:snapToGrid w:val="0"/>
        <w:spacing w:line="360" w:lineRule="auto"/>
        <w:ind w:firstLine="484" w:firstLineChars="202"/>
        <w:rPr>
          <w:rFonts w:hint="eastAsia" w:ascii="宋体" w:hAnsi="宋体" w:cs="宋体"/>
          <w:sz w:val="24"/>
        </w:rPr>
      </w:pPr>
      <w:r>
        <w:rPr>
          <w:rFonts w:hint="eastAsia" w:ascii="宋体" w:hAnsi="宋体" w:cs="宋体"/>
          <w:sz w:val="24"/>
        </w:rPr>
        <w:t>5、开启投标人的商务报价标，现场唱标后由投标人代表签名确认。</w:t>
      </w:r>
    </w:p>
    <w:p w14:paraId="548EFA81">
      <w:pPr>
        <w:snapToGrid w:val="0"/>
        <w:spacing w:line="360" w:lineRule="auto"/>
        <w:ind w:firstLine="484" w:firstLineChars="202"/>
        <w:rPr>
          <w:rFonts w:hint="eastAsia" w:ascii="宋体" w:hAnsi="宋体" w:cs="宋体"/>
          <w:sz w:val="24"/>
        </w:rPr>
      </w:pPr>
      <w:r>
        <w:rPr>
          <w:rFonts w:hint="eastAsia" w:ascii="宋体" w:hAnsi="宋体" w:cs="宋体"/>
          <w:sz w:val="24"/>
        </w:rPr>
        <w:t>6、投标人的“限额以上住宿和餐饮业”入库承诺增值分及商务标评审得分直接计算取得，并与其试菜得分相加为该投标人的综合得分（计算结果均四舍五入保留两位小数）。</w:t>
      </w:r>
    </w:p>
    <w:p w14:paraId="17CD14CD">
      <w:pPr>
        <w:snapToGrid w:val="0"/>
        <w:spacing w:line="360" w:lineRule="auto"/>
        <w:ind w:firstLine="484" w:firstLineChars="202"/>
        <w:rPr>
          <w:rFonts w:hint="eastAsia" w:ascii="宋体" w:hAnsi="宋体" w:cs="宋体"/>
          <w:sz w:val="24"/>
        </w:rPr>
      </w:pPr>
      <w:r>
        <w:rPr>
          <w:rFonts w:hint="eastAsia" w:ascii="宋体" w:hAnsi="宋体" w:cs="宋体"/>
          <w:sz w:val="24"/>
        </w:rPr>
        <w:t>7、评标委员会根据评审后的综合得分由高到低进行排序推荐三名中标候选人。若综合得分相同的，试菜评分高的排序优先。若综合得分及试菜评分均相同的，投标报价低者排序优先。若综合得分、试菜评分、投标报价均相同的，则采取现场抽签的方式确定排列顺序（投标人的抽签顺序为各投标人递交投标文件签到顺序号）。</w:t>
      </w:r>
    </w:p>
    <w:p w14:paraId="404508CD">
      <w:pPr>
        <w:snapToGrid w:val="0"/>
        <w:spacing w:line="360" w:lineRule="auto"/>
        <w:ind w:firstLine="484" w:firstLineChars="202"/>
        <w:rPr>
          <w:rFonts w:hint="eastAsia" w:ascii="宋体" w:hAnsi="宋体" w:cs="宋体"/>
          <w:sz w:val="24"/>
        </w:rPr>
      </w:pPr>
      <w:r>
        <w:rPr>
          <w:rFonts w:hint="eastAsia" w:ascii="宋体" w:hAnsi="宋体" w:cs="宋体"/>
          <w:sz w:val="24"/>
        </w:rPr>
        <w:t>8、评标结果按投标文件满足招标文件全部实质性要求，且按照评审因素的量化指标评审综合得分排名第一的确定为第一中标候选人，出具评审报告并将结果通知所有投标人。</w:t>
      </w:r>
    </w:p>
    <w:p w14:paraId="2A9A0B96">
      <w:pPr>
        <w:snapToGrid w:val="0"/>
        <w:spacing w:line="360" w:lineRule="auto"/>
        <w:ind w:firstLine="484" w:firstLineChars="202"/>
        <w:rPr>
          <w:rFonts w:hint="eastAsia" w:ascii="宋体" w:hAnsi="宋体" w:cs="宋体"/>
          <w:sz w:val="24"/>
        </w:rPr>
      </w:pPr>
      <w:r>
        <w:rPr>
          <w:rFonts w:hint="eastAsia" w:ascii="宋体" w:hAnsi="宋体" w:cs="宋体"/>
          <w:sz w:val="24"/>
        </w:rPr>
        <w:t>9、当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6716A336">
      <w:pPr>
        <w:snapToGrid w:val="0"/>
        <w:spacing w:line="360" w:lineRule="auto"/>
        <w:ind w:firstLine="487" w:firstLineChars="202"/>
        <w:rPr>
          <w:rFonts w:hint="eastAsia" w:ascii="宋体" w:hAnsi="宋体" w:cs="宋体"/>
          <w:b/>
          <w:sz w:val="24"/>
        </w:rPr>
      </w:pPr>
      <w:r>
        <w:rPr>
          <w:rFonts w:hint="eastAsia" w:ascii="宋体" w:hAnsi="宋体" w:cs="宋体"/>
          <w:b/>
          <w:sz w:val="24"/>
        </w:rPr>
        <w:t>七、关于投标价格评审</w:t>
      </w:r>
    </w:p>
    <w:p w14:paraId="6C1D53B2">
      <w:pPr>
        <w:snapToGrid w:val="0"/>
        <w:spacing w:line="360" w:lineRule="auto"/>
        <w:ind w:firstLine="480" w:firstLineChars="200"/>
        <w:outlineLvl w:val="2"/>
        <w:rPr>
          <w:rFonts w:hint="eastAsia" w:ascii="宋体" w:hAnsi="宋体" w:cs="宋体"/>
          <w:sz w:val="24"/>
        </w:rPr>
      </w:pPr>
      <w:r>
        <w:rPr>
          <w:rFonts w:hint="eastAsia" w:ascii="宋体" w:hAnsi="宋体" w:cs="宋体"/>
          <w:sz w:val="24"/>
        </w:rPr>
        <w:t>1、针对投标价格实质响应的评审</w:t>
      </w:r>
    </w:p>
    <w:p w14:paraId="4D8299A7">
      <w:pPr>
        <w:snapToGrid w:val="0"/>
        <w:spacing w:line="360" w:lineRule="auto"/>
        <w:ind w:firstLine="484" w:firstLineChars="202"/>
        <w:rPr>
          <w:rFonts w:hint="eastAsia" w:ascii="宋体" w:hAnsi="宋体" w:cs="宋体"/>
          <w:sz w:val="24"/>
        </w:rPr>
      </w:pPr>
      <w:r>
        <w:rPr>
          <w:rFonts w:hint="eastAsia" w:ascii="宋体" w:hAnsi="宋体" w:cs="宋体"/>
          <w:sz w:val="24"/>
        </w:rPr>
        <w:t>评标委员会将审查每份投标文件的商务报价是否实质上响应了招标文件的要求。实质上响应的投标应该是与招标文件要求的全部条款、条件和规格相符，没有重大偏离或保留。所谓重大偏离或保留是指实质上影响合同的服务范围、质量和性能，或者实质上与招标文件的要求不一致。纠正这些偏离或保留将会对其他实质上响应要求的投标人的竞争地位产生不公正的影响。如未实质上响应 ，则按无效投标处理。</w:t>
      </w:r>
    </w:p>
    <w:p w14:paraId="3A567881">
      <w:pPr>
        <w:snapToGrid w:val="0"/>
        <w:spacing w:line="360" w:lineRule="auto"/>
        <w:ind w:firstLine="480" w:firstLineChars="200"/>
        <w:outlineLvl w:val="2"/>
        <w:rPr>
          <w:rFonts w:hint="eastAsia" w:ascii="宋体" w:hAnsi="宋体" w:cs="宋体"/>
          <w:sz w:val="24"/>
        </w:rPr>
      </w:pPr>
      <w:r>
        <w:rPr>
          <w:rFonts w:hint="eastAsia" w:ascii="宋体" w:hAnsi="宋体" w:cs="宋体"/>
          <w:sz w:val="24"/>
        </w:rPr>
        <w:t>2、针对投标价格合理性的评审</w:t>
      </w:r>
    </w:p>
    <w:p w14:paraId="613BE416">
      <w:pPr>
        <w:spacing w:line="360" w:lineRule="auto"/>
        <w:ind w:firstLine="480"/>
        <w:rPr>
          <w:rFonts w:ascii="宋体" w:hAnsi="宋体" w:cs="宋体"/>
          <w:kern w:val="0"/>
          <w:sz w:val="24"/>
        </w:rPr>
      </w:pPr>
      <w:r>
        <w:rPr>
          <w:rFonts w:hint="eastAsia" w:ascii="宋体" w:hAnsi="宋体" w:cs="宋体"/>
          <w:kern w:val="0"/>
          <w:sz w:val="24"/>
        </w:rPr>
        <w:t>2.1评审过程中出现下列情形之一的，评标委员会应当启动异常低价投标审查程序：</w:t>
      </w:r>
    </w:p>
    <w:p w14:paraId="52A53190">
      <w:pPr>
        <w:spacing w:line="360" w:lineRule="auto"/>
        <w:ind w:firstLine="480"/>
        <w:rPr>
          <w:rFonts w:ascii="宋体" w:hAnsi="宋体" w:cs="宋体"/>
          <w:kern w:val="0"/>
          <w:sz w:val="24"/>
        </w:rPr>
      </w:pPr>
      <w:r>
        <w:rPr>
          <w:rFonts w:hint="eastAsia" w:ascii="宋体" w:hAnsi="宋体" w:cs="宋体"/>
          <w:kern w:val="0"/>
          <w:sz w:val="24"/>
        </w:rPr>
        <w:t>①投标报价低于采购项目最高限价45%的，即投标报价&lt;采购项目最高限价×45% ；</w:t>
      </w:r>
    </w:p>
    <w:p w14:paraId="69E10076">
      <w:pPr>
        <w:spacing w:line="360" w:lineRule="auto"/>
        <w:ind w:firstLine="480"/>
        <w:rPr>
          <w:rFonts w:ascii="宋体" w:hAnsi="宋体" w:cs="宋体"/>
          <w:kern w:val="0"/>
          <w:sz w:val="24"/>
        </w:rPr>
      </w:pPr>
      <w:r>
        <w:rPr>
          <w:rFonts w:hint="eastAsia" w:ascii="宋体" w:hAnsi="宋体" w:cs="宋体"/>
          <w:kern w:val="0"/>
          <w:sz w:val="24"/>
        </w:rPr>
        <w:t>②评标委员会认定的投标人报价过低、有可能影响产品质量或者不能诚信履约的其他情形。</w:t>
      </w:r>
    </w:p>
    <w:p w14:paraId="31F3EFDD">
      <w:pPr>
        <w:snapToGrid w:val="0"/>
        <w:spacing w:line="360" w:lineRule="auto"/>
        <w:ind w:firstLine="480" w:firstLineChars="200"/>
        <w:outlineLvl w:val="2"/>
        <w:rPr>
          <w:rFonts w:hint="eastAsia" w:ascii="宋体" w:hAnsi="宋体" w:cs="宋体"/>
          <w:sz w:val="24"/>
        </w:rPr>
      </w:pPr>
      <w:r>
        <w:rPr>
          <w:rFonts w:hint="eastAsia" w:ascii="宋体" w:hAnsi="宋体" w:cs="宋体"/>
          <w:kern w:val="0"/>
          <w:sz w:val="24"/>
        </w:rPr>
        <w:t>2.2启动异常低价投标审查后，评标委员会应当要求相关投标人在评标现场在30分钟内，提供项目具体成本测算等与报价合理性相关的书面说明及相关证明材料，对投标价格作出解释，由评标委员会结合同类产品在主要电商平台的价格、该行业当地薪资水平等情况，依据专业经验对投标人报价合理性进行判断。投标人不提供书面说明、证明材料，或者提供的书面说明、证明材料不能证明其报价合理性的，评标委员会应当将其作为无效投标处理。</w:t>
      </w:r>
    </w:p>
    <w:p w14:paraId="4FF91B9C">
      <w:pPr>
        <w:snapToGrid w:val="0"/>
        <w:spacing w:line="360" w:lineRule="auto"/>
        <w:ind w:firstLine="487" w:firstLineChars="202"/>
        <w:rPr>
          <w:rFonts w:hint="eastAsia" w:ascii="宋体" w:hAnsi="宋体" w:cs="宋体"/>
          <w:b/>
          <w:sz w:val="24"/>
        </w:rPr>
      </w:pPr>
      <w:r>
        <w:rPr>
          <w:rFonts w:hint="eastAsia" w:ascii="宋体" w:hAnsi="宋体" w:cs="宋体"/>
          <w:b/>
          <w:sz w:val="24"/>
        </w:rPr>
        <w:t>八、评审评分项</w:t>
      </w:r>
    </w:p>
    <w:tbl>
      <w:tblPr>
        <w:tblStyle w:val="7"/>
        <w:tblW w:w="8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907"/>
        <w:gridCol w:w="6078"/>
      </w:tblGrid>
      <w:tr w14:paraId="3EA4E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04" w:type="dxa"/>
            <w:vAlign w:val="center"/>
          </w:tcPr>
          <w:p w14:paraId="12443120">
            <w:pPr>
              <w:spacing w:line="276" w:lineRule="auto"/>
              <w:jc w:val="center"/>
              <w:rPr>
                <w:rFonts w:hint="eastAsia" w:ascii="宋体" w:hAnsi="宋体" w:cs="宋体"/>
                <w:sz w:val="24"/>
              </w:rPr>
            </w:pPr>
            <w:r>
              <w:rPr>
                <w:rFonts w:hint="eastAsia" w:ascii="宋体" w:hAnsi="宋体" w:cs="宋体"/>
                <w:sz w:val="24"/>
              </w:rPr>
              <w:t>序号</w:t>
            </w:r>
          </w:p>
        </w:tc>
        <w:tc>
          <w:tcPr>
            <w:tcW w:w="1907" w:type="dxa"/>
            <w:vAlign w:val="center"/>
          </w:tcPr>
          <w:p w14:paraId="3603D1B1">
            <w:pPr>
              <w:spacing w:line="276" w:lineRule="auto"/>
              <w:jc w:val="center"/>
              <w:rPr>
                <w:rFonts w:hint="eastAsia" w:ascii="宋体" w:hAnsi="宋体" w:cs="宋体"/>
                <w:sz w:val="24"/>
              </w:rPr>
            </w:pPr>
            <w:r>
              <w:rPr>
                <w:rFonts w:hint="eastAsia" w:ascii="宋体" w:hAnsi="宋体" w:cs="宋体"/>
                <w:sz w:val="24"/>
              </w:rPr>
              <w:t>评分内容</w:t>
            </w:r>
          </w:p>
        </w:tc>
        <w:tc>
          <w:tcPr>
            <w:tcW w:w="6078" w:type="dxa"/>
            <w:vAlign w:val="center"/>
          </w:tcPr>
          <w:p w14:paraId="7FE94F36">
            <w:pPr>
              <w:spacing w:line="276" w:lineRule="auto"/>
              <w:jc w:val="center"/>
              <w:rPr>
                <w:rFonts w:hint="eastAsia" w:ascii="宋体" w:hAnsi="宋体" w:cs="宋体"/>
                <w:sz w:val="24"/>
              </w:rPr>
            </w:pPr>
            <w:r>
              <w:rPr>
                <w:rFonts w:hint="eastAsia" w:ascii="宋体" w:hAnsi="宋体" w:cs="宋体"/>
                <w:sz w:val="24"/>
              </w:rPr>
              <w:t>评分标准</w:t>
            </w:r>
          </w:p>
        </w:tc>
      </w:tr>
      <w:tr w14:paraId="590FC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04" w:type="dxa"/>
            <w:vAlign w:val="center"/>
          </w:tcPr>
          <w:p w14:paraId="703E6582">
            <w:pPr>
              <w:spacing w:line="276" w:lineRule="auto"/>
              <w:jc w:val="center"/>
              <w:rPr>
                <w:rFonts w:hint="eastAsia" w:ascii="宋体" w:hAnsi="宋体" w:cs="宋体"/>
                <w:sz w:val="24"/>
              </w:rPr>
            </w:pPr>
            <w:r>
              <w:rPr>
                <w:rFonts w:hint="eastAsia" w:ascii="宋体" w:hAnsi="宋体" w:cs="宋体"/>
                <w:sz w:val="24"/>
              </w:rPr>
              <w:t>1</w:t>
            </w:r>
          </w:p>
        </w:tc>
        <w:tc>
          <w:tcPr>
            <w:tcW w:w="1907" w:type="dxa"/>
            <w:vAlign w:val="center"/>
          </w:tcPr>
          <w:p w14:paraId="4343A136">
            <w:pPr>
              <w:spacing w:line="276" w:lineRule="auto"/>
              <w:jc w:val="center"/>
              <w:rPr>
                <w:rFonts w:hint="eastAsia" w:ascii="宋体" w:hAnsi="宋体" w:cs="宋体"/>
                <w:sz w:val="24"/>
              </w:rPr>
            </w:pPr>
            <w:r>
              <w:rPr>
                <w:rFonts w:hint="eastAsia" w:ascii="宋体" w:hAnsi="宋体" w:cs="宋体"/>
                <w:sz w:val="24"/>
              </w:rPr>
              <w:t>试菜评审得分</w:t>
            </w:r>
          </w:p>
          <w:p w14:paraId="7FCCA2DF">
            <w:pPr>
              <w:spacing w:line="276" w:lineRule="auto"/>
              <w:jc w:val="center"/>
              <w:rPr>
                <w:rFonts w:hint="eastAsia" w:ascii="宋体" w:hAnsi="宋体" w:cs="宋体"/>
                <w:sz w:val="24"/>
              </w:rPr>
            </w:pPr>
            <w:r>
              <w:rPr>
                <w:rFonts w:hint="eastAsia" w:ascii="宋体" w:hAnsi="宋体" w:cs="宋体"/>
                <w:sz w:val="24"/>
              </w:rPr>
              <w:t>（80分）</w:t>
            </w:r>
          </w:p>
        </w:tc>
        <w:tc>
          <w:tcPr>
            <w:tcW w:w="6078" w:type="dxa"/>
            <w:vAlign w:val="center"/>
          </w:tcPr>
          <w:p w14:paraId="4BD608C5">
            <w:pPr>
              <w:snapToGrid w:val="0"/>
              <w:spacing w:line="480" w:lineRule="exact"/>
              <w:rPr>
                <w:rFonts w:hint="eastAsia" w:ascii="宋体" w:hAnsi="宋体" w:cs="宋体"/>
                <w:spacing w:val="6"/>
                <w:sz w:val="25"/>
                <w:szCs w:val="25"/>
              </w:rPr>
            </w:pPr>
            <w:r>
              <w:rPr>
                <w:rFonts w:hint="eastAsia" w:ascii="宋体" w:hAnsi="宋体" w:cs="宋体"/>
                <w:spacing w:val="6"/>
                <w:sz w:val="25"/>
                <w:szCs w:val="25"/>
              </w:rPr>
              <w:t>试采期间由员工代表团对每家单位进行打分。同一家单位去掉最高得分和最低得分后的</w:t>
            </w:r>
            <w:r>
              <w:rPr>
                <w:rFonts w:ascii="宋体" w:hAnsi="宋体" w:cs="宋体"/>
                <w:spacing w:val="-12"/>
                <w:sz w:val="25"/>
                <w:szCs w:val="25"/>
              </w:rPr>
              <w:t>算数</w:t>
            </w:r>
            <w:r>
              <w:rPr>
                <w:rFonts w:hint="eastAsia" w:ascii="宋体" w:hAnsi="宋体" w:cs="宋体"/>
                <w:spacing w:val="6"/>
                <w:sz w:val="25"/>
                <w:szCs w:val="25"/>
              </w:rPr>
              <w:t>平均值即为该家单位的试菜得分（计算保留两位小数），根据员工代表团的试菜得分划分等级，</w:t>
            </w:r>
            <w:r>
              <w:rPr>
                <w:rFonts w:hint="eastAsia"/>
                <w:sz w:val="24"/>
              </w:rPr>
              <w:t>≥95分为“优+”，90分≤总分≤94分为“优”，85分≤总分≤89分为“良+”，80分≤总分≤84分为“良”，75分≤总分≤79分为“一般+”，70分≤总分≤74分为“一般”，60分≤总分≤69分为“合格”，低于60分为“不合格”。</w:t>
            </w:r>
            <w:r>
              <w:rPr>
                <w:rFonts w:hint="eastAsia" w:ascii="宋体" w:hAnsi="宋体" w:cs="宋体"/>
                <w:spacing w:val="6"/>
                <w:sz w:val="25"/>
                <w:szCs w:val="25"/>
              </w:rPr>
              <w:t>全程由监督管理部门监督，资格审查结束后，宣布投标单位试菜得分等级。</w:t>
            </w:r>
          </w:p>
          <w:p w14:paraId="05CCB721">
            <w:pPr>
              <w:snapToGrid w:val="0"/>
              <w:spacing w:line="480" w:lineRule="exact"/>
              <w:rPr>
                <w:rFonts w:hint="eastAsia" w:ascii="宋体" w:hAnsi="宋体" w:cs="宋体"/>
                <w:sz w:val="24"/>
              </w:rPr>
            </w:pPr>
            <w:r>
              <w:rPr>
                <w:rFonts w:hint="eastAsia" w:ascii="宋体" w:hAnsi="宋体" w:cs="宋体"/>
                <w:spacing w:val="6"/>
                <w:sz w:val="25"/>
                <w:szCs w:val="25"/>
              </w:rPr>
              <w:t>评标</w:t>
            </w:r>
            <w:r>
              <w:rPr>
                <w:rFonts w:hint="eastAsia" w:ascii="宋体" w:hAnsi="宋体" w:cs="宋体"/>
                <w:spacing w:val="6"/>
                <w:sz w:val="25"/>
                <w:szCs w:val="25"/>
                <w:lang w:eastAsia="zh-CN"/>
              </w:rPr>
              <w:t>委员会</w:t>
            </w:r>
            <w:r>
              <w:rPr>
                <w:rFonts w:hint="eastAsia" w:ascii="宋体" w:hAnsi="宋体" w:cs="宋体"/>
                <w:spacing w:val="6"/>
                <w:sz w:val="25"/>
                <w:szCs w:val="25"/>
              </w:rPr>
              <w:t>根据等级进行评分，等级为</w:t>
            </w:r>
            <w:r>
              <w:rPr>
                <w:rFonts w:hint="eastAsia"/>
                <w:sz w:val="24"/>
              </w:rPr>
              <w:t>“优+”的得80分，</w:t>
            </w:r>
            <w:r>
              <w:rPr>
                <w:rFonts w:hint="eastAsia" w:ascii="宋体" w:hAnsi="宋体" w:cs="宋体"/>
                <w:spacing w:val="6"/>
                <w:sz w:val="25"/>
                <w:szCs w:val="25"/>
              </w:rPr>
              <w:t>等级为</w:t>
            </w:r>
            <w:r>
              <w:rPr>
                <w:rFonts w:hint="eastAsia"/>
                <w:sz w:val="24"/>
              </w:rPr>
              <w:t>“优”的得65分，</w:t>
            </w:r>
            <w:r>
              <w:rPr>
                <w:rFonts w:hint="eastAsia" w:ascii="宋体" w:hAnsi="宋体" w:cs="宋体"/>
                <w:spacing w:val="6"/>
                <w:sz w:val="25"/>
                <w:szCs w:val="25"/>
              </w:rPr>
              <w:t>等级为</w:t>
            </w:r>
            <w:r>
              <w:rPr>
                <w:rFonts w:hint="eastAsia"/>
                <w:sz w:val="24"/>
              </w:rPr>
              <w:t>“良+”的得50分，</w:t>
            </w:r>
            <w:r>
              <w:rPr>
                <w:rFonts w:hint="eastAsia" w:ascii="宋体" w:hAnsi="宋体" w:cs="宋体"/>
                <w:spacing w:val="6"/>
                <w:sz w:val="25"/>
                <w:szCs w:val="25"/>
              </w:rPr>
              <w:t>等级为</w:t>
            </w:r>
            <w:r>
              <w:rPr>
                <w:rFonts w:hint="eastAsia"/>
                <w:sz w:val="24"/>
              </w:rPr>
              <w:t>“良”的得35分，</w:t>
            </w:r>
            <w:r>
              <w:rPr>
                <w:rFonts w:hint="eastAsia" w:ascii="宋体" w:hAnsi="宋体" w:cs="宋体"/>
                <w:spacing w:val="6"/>
                <w:sz w:val="25"/>
                <w:szCs w:val="25"/>
              </w:rPr>
              <w:t>等级为</w:t>
            </w:r>
            <w:r>
              <w:rPr>
                <w:rFonts w:hint="eastAsia"/>
                <w:sz w:val="24"/>
              </w:rPr>
              <w:t>“一般”的得20分，</w:t>
            </w:r>
            <w:r>
              <w:rPr>
                <w:rFonts w:hint="eastAsia" w:ascii="宋体" w:hAnsi="宋体" w:cs="宋体"/>
                <w:spacing w:val="6"/>
                <w:sz w:val="25"/>
                <w:szCs w:val="25"/>
              </w:rPr>
              <w:t>等级为</w:t>
            </w:r>
            <w:r>
              <w:rPr>
                <w:rFonts w:hint="eastAsia"/>
                <w:sz w:val="24"/>
              </w:rPr>
              <w:t>“不合格”的得5分，未参加试菜的单位不得分。</w:t>
            </w:r>
          </w:p>
        </w:tc>
      </w:tr>
      <w:tr w14:paraId="5DAA8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04" w:type="dxa"/>
            <w:vAlign w:val="center"/>
          </w:tcPr>
          <w:p w14:paraId="2F2B64BB">
            <w:pPr>
              <w:spacing w:line="276" w:lineRule="auto"/>
              <w:jc w:val="center"/>
              <w:rPr>
                <w:rFonts w:ascii="宋体" w:hAnsi="宋体" w:cs="宋体"/>
                <w:sz w:val="24"/>
              </w:rPr>
            </w:pPr>
            <w:r>
              <w:rPr>
                <w:rFonts w:hint="eastAsia" w:ascii="宋体" w:hAnsi="宋体" w:cs="宋体"/>
                <w:sz w:val="24"/>
              </w:rPr>
              <w:t>2</w:t>
            </w:r>
          </w:p>
        </w:tc>
        <w:tc>
          <w:tcPr>
            <w:tcW w:w="1907" w:type="dxa"/>
            <w:vAlign w:val="center"/>
          </w:tcPr>
          <w:p w14:paraId="52679390">
            <w:pPr>
              <w:spacing w:line="276" w:lineRule="auto"/>
              <w:jc w:val="center"/>
              <w:rPr>
                <w:rFonts w:ascii="宋体" w:hAnsi="宋体" w:cs="宋体"/>
                <w:sz w:val="24"/>
              </w:rPr>
            </w:pPr>
            <w:r>
              <w:rPr>
                <w:rFonts w:hint="eastAsia" w:ascii="宋体" w:hAnsi="宋体" w:cs="宋体"/>
                <w:sz w:val="24"/>
              </w:rPr>
              <w:t>价格评审</w:t>
            </w:r>
          </w:p>
          <w:p w14:paraId="553C2EA6">
            <w:pPr>
              <w:spacing w:line="276" w:lineRule="auto"/>
              <w:jc w:val="center"/>
              <w:rPr>
                <w:rFonts w:hint="eastAsia" w:ascii="宋体" w:hAnsi="宋体" w:cs="宋体"/>
                <w:sz w:val="24"/>
                <w:highlight w:val="green"/>
              </w:rPr>
            </w:pPr>
            <w:r>
              <w:rPr>
                <w:rFonts w:hint="eastAsia" w:ascii="宋体" w:hAnsi="宋体" w:cs="宋体"/>
                <w:sz w:val="24"/>
              </w:rPr>
              <w:t>（20分）</w:t>
            </w:r>
          </w:p>
        </w:tc>
        <w:tc>
          <w:tcPr>
            <w:tcW w:w="6078" w:type="dxa"/>
            <w:vAlign w:val="center"/>
          </w:tcPr>
          <w:p w14:paraId="65AD1AFB">
            <w:pPr>
              <w:snapToGrid w:val="0"/>
              <w:spacing w:line="360" w:lineRule="auto"/>
              <w:rPr>
                <w:rFonts w:hint="eastAsia" w:ascii="宋体" w:hAnsi="宋体" w:cs="宋体"/>
                <w:b/>
                <w:bCs/>
                <w:sz w:val="24"/>
              </w:rPr>
            </w:pPr>
            <w:r>
              <w:rPr>
                <w:rFonts w:hint="eastAsia" w:ascii="宋体" w:hAnsi="宋体" w:cs="宋体"/>
                <w:b/>
                <w:bCs/>
                <w:sz w:val="24"/>
              </w:rPr>
              <w:t>本项目的预算金额为29.6万元/年，投标人报价不得高于或等于预算金额，否则作无效投标处理。</w:t>
            </w:r>
          </w:p>
          <w:p w14:paraId="4A189731">
            <w:pPr>
              <w:spacing w:line="360" w:lineRule="auto"/>
              <w:rPr>
                <w:rFonts w:hAnsi="宋体" w:cs="宋体"/>
                <w:color w:val="000000"/>
                <w:kern w:val="0"/>
                <w:sz w:val="24"/>
              </w:rPr>
            </w:pPr>
            <w:r>
              <w:rPr>
                <w:rFonts w:hint="eastAsia" w:hAnsi="宋体" w:cs="宋体"/>
                <w:color w:val="000000"/>
                <w:kern w:val="0"/>
                <w:sz w:val="24"/>
              </w:rPr>
              <w:t>1.满足招标文件要求且投标报价最低的报价为评标基准价，其价格标得分为满分</w:t>
            </w:r>
            <w:r>
              <w:rPr>
                <w:rFonts w:hAnsi="宋体" w:cs="宋体"/>
                <w:color w:val="000000"/>
                <w:kern w:val="0"/>
                <w:sz w:val="24"/>
              </w:rPr>
              <w:t>20</w:t>
            </w:r>
            <w:r>
              <w:rPr>
                <w:rFonts w:hint="eastAsia" w:hAnsi="宋体" w:cs="宋体"/>
                <w:color w:val="000000"/>
                <w:kern w:val="0"/>
                <w:sz w:val="24"/>
              </w:rPr>
              <w:t>分。</w:t>
            </w:r>
          </w:p>
          <w:p w14:paraId="389E70EF">
            <w:pPr>
              <w:spacing w:line="360" w:lineRule="auto"/>
              <w:rPr>
                <w:rFonts w:hAnsi="宋体" w:cs="宋体"/>
                <w:color w:val="000000"/>
                <w:kern w:val="0"/>
                <w:sz w:val="24"/>
              </w:rPr>
            </w:pPr>
            <w:r>
              <w:rPr>
                <w:rFonts w:hint="eastAsia" w:hAnsi="宋体" w:cs="宋体"/>
                <w:color w:val="000000"/>
                <w:kern w:val="0"/>
                <w:sz w:val="24"/>
              </w:rPr>
              <w:t>2.其他投标人的价格标得分按照下列公式计算（计算结果四舍五入保留两位小数）：</w:t>
            </w:r>
          </w:p>
          <w:p w14:paraId="256F5E39">
            <w:pPr>
              <w:spacing w:line="360" w:lineRule="auto"/>
              <w:rPr>
                <w:rFonts w:eastAsia="楷体_GB2312"/>
                <w:kern w:val="0"/>
                <w:sz w:val="26"/>
                <w:szCs w:val="20"/>
              </w:rPr>
            </w:pPr>
            <w:r>
              <w:rPr>
                <w:rFonts w:hint="eastAsia" w:hAnsi="宋体" w:cs="宋体"/>
                <w:color w:val="000000"/>
                <w:kern w:val="0"/>
                <w:sz w:val="24"/>
              </w:rPr>
              <w:t>3.价格标得分</w:t>
            </w:r>
            <w:r>
              <w:rPr>
                <w:rFonts w:hAnsi="宋体" w:cs="宋体"/>
                <w:color w:val="000000"/>
                <w:kern w:val="0"/>
                <w:sz w:val="24"/>
              </w:rPr>
              <w:t xml:space="preserve"> =</w:t>
            </w:r>
            <w:r>
              <w:rPr>
                <w:rFonts w:hint="eastAsia" w:hAnsi="宋体" w:cs="宋体"/>
                <w:color w:val="000000"/>
                <w:kern w:val="0"/>
                <w:sz w:val="24"/>
              </w:rPr>
              <w:t>（评标基准价</w:t>
            </w:r>
            <w:r>
              <w:rPr>
                <w:rFonts w:hAnsi="宋体" w:cs="宋体"/>
                <w:color w:val="000000"/>
                <w:kern w:val="0"/>
                <w:sz w:val="24"/>
              </w:rPr>
              <w:t>/</w:t>
            </w:r>
            <w:r>
              <w:rPr>
                <w:rFonts w:hint="eastAsia" w:hAnsi="宋体" w:cs="宋体"/>
                <w:color w:val="000000"/>
                <w:kern w:val="0"/>
                <w:sz w:val="24"/>
              </w:rPr>
              <w:t>投标报价）×</w:t>
            </w:r>
            <w:r>
              <w:rPr>
                <w:rFonts w:hAnsi="宋体" w:cs="宋体"/>
                <w:color w:val="000000"/>
                <w:kern w:val="0"/>
                <w:sz w:val="24"/>
              </w:rPr>
              <w:t>20%</w:t>
            </w:r>
            <w:r>
              <w:rPr>
                <w:rFonts w:hint="eastAsia" w:hAnsi="宋体" w:cs="宋体"/>
                <w:color w:val="000000"/>
                <w:kern w:val="0"/>
                <w:sz w:val="24"/>
              </w:rPr>
              <w:t>×</w:t>
            </w:r>
            <w:r>
              <w:rPr>
                <w:rFonts w:hAnsi="宋体" w:cs="宋体"/>
                <w:color w:val="000000"/>
                <w:kern w:val="0"/>
                <w:sz w:val="24"/>
              </w:rPr>
              <w:t>100</w:t>
            </w:r>
            <w:r>
              <w:rPr>
                <w:rFonts w:hint="eastAsia" w:hAnsi="宋体" w:cs="宋体"/>
                <w:color w:val="000000"/>
                <w:kern w:val="0"/>
                <w:sz w:val="24"/>
              </w:rPr>
              <w:t>。</w:t>
            </w:r>
          </w:p>
        </w:tc>
      </w:tr>
      <w:tr w14:paraId="7F468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689" w:type="dxa"/>
            <w:gridSpan w:val="3"/>
            <w:shd w:val="clear" w:color="auto" w:fill="9BBB59"/>
            <w:vAlign w:val="center"/>
          </w:tcPr>
          <w:p w14:paraId="503F6730">
            <w:pPr>
              <w:snapToGrid w:val="0"/>
              <w:spacing w:line="480" w:lineRule="exact"/>
              <w:jc w:val="center"/>
              <w:rPr>
                <w:rFonts w:hint="eastAsia" w:ascii="宋体" w:hAnsi="宋体" w:cs="宋体"/>
                <w:spacing w:val="-1"/>
                <w:sz w:val="25"/>
                <w:szCs w:val="25"/>
              </w:rPr>
            </w:pPr>
            <w:r>
              <w:rPr>
                <w:rFonts w:hint="eastAsia" w:ascii="宋体" w:hAnsi="宋体" w:cs="宋体"/>
                <w:spacing w:val="-1"/>
                <w:sz w:val="25"/>
                <w:szCs w:val="25"/>
              </w:rPr>
              <w:t>增值加分项</w:t>
            </w:r>
          </w:p>
        </w:tc>
      </w:tr>
      <w:tr w14:paraId="1DD6C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04" w:type="dxa"/>
            <w:vAlign w:val="center"/>
          </w:tcPr>
          <w:p w14:paraId="10BA89D4">
            <w:pPr>
              <w:spacing w:line="276" w:lineRule="auto"/>
              <w:jc w:val="center"/>
              <w:rPr>
                <w:rFonts w:hint="eastAsia" w:ascii="宋体" w:hAnsi="宋体" w:cs="宋体"/>
                <w:sz w:val="24"/>
              </w:rPr>
            </w:pPr>
            <w:r>
              <w:rPr>
                <w:rFonts w:hint="eastAsia" w:ascii="宋体" w:hAnsi="宋体" w:cs="宋体"/>
                <w:sz w:val="24"/>
              </w:rPr>
              <w:t>3</w:t>
            </w:r>
          </w:p>
        </w:tc>
        <w:tc>
          <w:tcPr>
            <w:tcW w:w="1907" w:type="dxa"/>
            <w:vAlign w:val="center"/>
          </w:tcPr>
          <w:p w14:paraId="0862068A">
            <w:pPr>
              <w:spacing w:line="276" w:lineRule="auto"/>
              <w:jc w:val="center"/>
              <w:rPr>
                <w:rFonts w:ascii="宋体" w:hAnsi="宋体" w:cs="宋体"/>
                <w:sz w:val="24"/>
              </w:rPr>
            </w:pPr>
            <w:r>
              <w:rPr>
                <w:rFonts w:hint="eastAsia" w:ascii="宋体" w:hAnsi="宋体" w:cs="宋体"/>
                <w:sz w:val="24"/>
              </w:rPr>
              <w:t>“限额以上住宿和餐饮业”入库承诺（5分）</w:t>
            </w:r>
          </w:p>
        </w:tc>
        <w:tc>
          <w:tcPr>
            <w:tcW w:w="6078" w:type="dxa"/>
            <w:vAlign w:val="center"/>
          </w:tcPr>
          <w:p w14:paraId="54BFFB39">
            <w:pPr>
              <w:snapToGrid w:val="0"/>
              <w:spacing w:line="480" w:lineRule="exact"/>
              <w:rPr>
                <w:rFonts w:hint="eastAsia" w:ascii="宋体" w:hAnsi="宋体" w:cs="宋体"/>
                <w:sz w:val="24"/>
              </w:rPr>
            </w:pPr>
            <w:r>
              <w:rPr>
                <w:rFonts w:hint="eastAsia" w:ascii="宋体" w:hAnsi="宋体" w:cs="宋体"/>
                <w:sz w:val="24"/>
              </w:rPr>
              <w:t>投标单位认真仔细阅读附件《限额以上“住宿和餐饮业”入库标准》，根据自身实际经营情况作出相应承诺，格式自拟，但应承诺在一年内完成。此项为加分项。</w:t>
            </w:r>
          </w:p>
          <w:p w14:paraId="431C318F">
            <w:pPr>
              <w:snapToGrid w:val="0"/>
              <w:spacing w:line="480" w:lineRule="exact"/>
              <w:rPr>
                <w:rFonts w:hint="eastAsia" w:ascii="宋体" w:hAnsi="宋体" w:cs="宋体"/>
                <w:sz w:val="24"/>
              </w:rPr>
            </w:pPr>
            <w:r>
              <w:rPr>
                <w:rFonts w:hint="eastAsia" w:ascii="宋体" w:hAnsi="宋体" w:cs="宋体"/>
                <w:b/>
                <w:bCs/>
                <w:sz w:val="24"/>
              </w:rPr>
              <w:t>注：该承诺与中标后的服务合同效力一致，如一年内未完成，</w:t>
            </w:r>
            <w:r>
              <w:rPr>
                <w:rFonts w:hint="eastAsia" w:ascii="宋体" w:hAnsi="宋体" w:cs="宋体"/>
                <w:sz w:val="24"/>
              </w:rPr>
              <w:t>招标人将扣除其一个季度的服务费及年度奖金，且取消其服务资格。</w:t>
            </w:r>
          </w:p>
        </w:tc>
      </w:tr>
    </w:tbl>
    <w:p w14:paraId="478FFE4D">
      <w:pPr>
        <w:pStyle w:val="6"/>
        <w:ind w:left="0" w:leftChars="0" w:firstLine="0" w:firstLineChars="0"/>
        <w:rPr>
          <w:rFonts w:hint="eastAsia" w:ascii="宋体" w:hAnsi="宋体" w:cs="宋体"/>
        </w:rPr>
      </w:pPr>
    </w:p>
    <w:p w14:paraId="64840E20">
      <w:pPr>
        <w:snapToGrid w:val="0"/>
        <w:spacing w:line="360" w:lineRule="auto"/>
        <w:ind w:firstLine="482" w:firstLineChars="200"/>
        <w:outlineLvl w:val="1"/>
        <w:rPr>
          <w:rFonts w:hint="eastAsia" w:ascii="宋体" w:hAnsi="宋体" w:cs="宋体"/>
          <w:b/>
          <w:sz w:val="24"/>
          <w:highlight w:val="red"/>
        </w:rPr>
      </w:pPr>
      <w:r>
        <w:rPr>
          <w:rFonts w:hint="eastAsia" w:ascii="宋体" w:hAnsi="宋体" w:cs="宋体"/>
          <w:b/>
          <w:sz w:val="24"/>
        </w:rPr>
        <w:t>九、出现下列情形之一的，作无效投标处理：</w:t>
      </w:r>
    </w:p>
    <w:p w14:paraId="5C52A755">
      <w:pPr>
        <w:snapToGrid w:val="0"/>
        <w:spacing w:line="360" w:lineRule="auto"/>
        <w:ind w:firstLine="480" w:firstLineChars="200"/>
        <w:rPr>
          <w:rFonts w:hint="eastAsia" w:ascii="宋体" w:hAnsi="宋体" w:cs="宋体"/>
          <w:sz w:val="24"/>
        </w:rPr>
      </w:pPr>
      <w:r>
        <w:rPr>
          <w:rFonts w:hint="eastAsia" w:ascii="宋体" w:hAnsi="宋体" w:cs="宋体"/>
          <w:sz w:val="24"/>
        </w:rPr>
        <w:t>1、投标文件未按招标文件要求签署、盖章的；</w:t>
      </w:r>
    </w:p>
    <w:p w14:paraId="5B029D33">
      <w:pPr>
        <w:snapToGrid w:val="0"/>
        <w:spacing w:line="360" w:lineRule="auto"/>
        <w:ind w:firstLine="480" w:firstLineChars="200"/>
        <w:rPr>
          <w:rFonts w:hint="eastAsia" w:ascii="宋体" w:hAnsi="宋体" w:cs="宋体"/>
          <w:sz w:val="24"/>
        </w:rPr>
      </w:pPr>
      <w:r>
        <w:rPr>
          <w:rFonts w:hint="eastAsia" w:ascii="宋体" w:hAnsi="宋体" w:cs="宋体"/>
          <w:sz w:val="24"/>
        </w:rPr>
        <w:t>2、不具备招标文件中规定的资格要求的；</w:t>
      </w:r>
    </w:p>
    <w:p w14:paraId="739D7656">
      <w:pPr>
        <w:snapToGrid w:val="0"/>
        <w:spacing w:line="360" w:lineRule="auto"/>
        <w:ind w:firstLine="480" w:firstLineChars="200"/>
        <w:rPr>
          <w:rFonts w:hint="eastAsia" w:ascii="宋体" w:hAnsi="宋体" w:cs="宋体"/>
          <w:sz w:val="24"/>
        </w:rPr>
      </w:pPr>
      <w:r>
        <w:rPr>
          <w:rFonts w:hint="eastAsia" w:ascii="宋体" w:hAnsi="宋体" w:cs="宋体"/>
          <w:sz w:val="24"/>
        </w:rPr>
        <w:t>3、报价超过招标文件中规定的预算金额或者最高限价的；</w:t>
      </w:r>
    </w:p>
    <w:p w14:paraId="5612CFFB">
      <w:pPr>
        <w:snapToGrid w:val="0"/>
        <w:spacing w:line="360" w:lineRule="auto"/>
        <w:ind w:firstLine="480" w:firstLineChars="200"/>
        <w:rPr>
          <w:rFonts w:hint="eastAsia" w:ascii="宋体" w:hAnsi="宋体" w:cs="宋体"/>
          <w:sz w:val="24"/>
        </w:rPr>
      </w:pPr>
      <w:r>
        <w:rPr>
          <w:rFonts w:hint="eastAsia" w:ascii="宋体" w:hAnsi="宋体" w:cs="宋体"/>
          <w:sz w:val="24"/>
        </w:rPr>
        <w:t>4、投标文件含有招标人不能接受的附加条件的；</w:t>
      </w:r>
    </w:p>
    <w:p w14:paraId="42DA2411">
      <w:pPr>
        <w:snapToGrid w:val="0"/>
        <w:spacing w:line="360" w:lineRule="auto"/>
        <w:ind w:firstLine="480" w:firstLineChars="200"/>
        <w:rPr>
          <w:rFonts w:hint="eastAsia" w:ascii="宋体" w:hAnsi="宋体" w:cs="宋体"/>
          <w:sz w:val="24"/>
        </w:rPr>
      </w:pPr>
      <w:r>
        <w:rPr>
          <w:rFonts w:hint="eastAsia" w:ascii="宋体" w:hAnsi="宋体" w:cs="宋体"/>
          <w:sz w:val="24"/>
        </w:rPr>
        <w:t>5、法律、法规和招标文件规定的其他无效情形。</w:t>
      </w:r>
    </w:p>
    <w:p w14:paraId="5D20CCDB">
      <w:pPr>
        <w:snapToGrid w:val="0"/>
        <w:spacing w:line="360" w:lineRule="auto"/>
        <w:ind w:firstLine="482" w:firstLineChars="200"/>
        <w:rPr>
          <w:rFonts w:hint="eastAsia" w:ascii="宋体" w:hAnsi="宋体" w:cs="宋体"/>
          <w:b/>
          <w:bCs/>
          <w:sz w:val="24"/>
        </w:rPr>
      </w:pPr>
      <w:r>
        <w:rPr>
          <w:rFonts w:hint="eastAsia" w:ascii="宋体" w:hAnsi="宋体" w:cs="宋体"/>
          <w:b/>
          <w:bCs/>
          <w:sz w:val="24"/>
        </w:rPr>
        <w:t>十、有下列情形之一的，视为投标人串通投标，其投标无效</w:t>
      </w:r>
    </w:p>
    <w:p w14:paraId="31A79E57">
      <w:pPr>
        <w:snapToGrid w:val="0"/>
        <w:spacing w:line="360" w:lineRule="auto"/>
        <w:ind w:firstLine="484" w:firstLineChars="202"/>
        <w:rPr>
          <w:rFonts w:hint="eastAsia" w:ascii="宋体" w:hAnsi="宋体" w:cs="宋体"/>
          <w:sz w:val="24"/>
        </w:rPr>
      </w:pPr>
      <w:r>
        <w:rPr>
          <w:rFonts w:hint="eastAsia" w:ascii="宋体" w:hAnsi="宋体" w:cs="宋体"/>
          <w:sz w:val="24"/>
        </w:rPr>
        <w:t>1、不同投标人的投标文件由同一单位或者个人编制；</w:t>
      </w:r>
    </w:p>
    <w:p w14:paraId="6941C253">
      <w:pPr>
        <w:snapToGrid w:val="0"/>
        <w:spacing w:line="360" w:lineRule="auto"/>
        <w:ind w:firstLine="484" w:firstLineChars="202"/>
        <w:rPr>
          <w:rFonts w:hint="eastAsia" w:ascii="宋体" w:hAnsi="宋体" w:cs="宋体"/>
          <w:sz w:val="24"/>
        </w:rPr>
      </w:pPr>
      <w:r>
        <w:rPr>
          <w:rFonts w:hint="eastAsia" w:ascii="宋体" w:hAnsi="宋体" w:cs="宋体"/>
          <w:sz w:val="24"/>
        </w:rPr>
        <w:t>2、不同投标人委托同一单位或者个人办理投标事宜；</w:t>
      </w:r>
    </w:p>
    <w:p w14:paraId="633614DD">
      <w:pPr>
        <w:snapToGrid w:val="0"/>
        <w:spacing w:line="360" w:lineRule="auto"/>
        <w:ind w:firstLine="484" w:firstLineChars="202"/>
        <w:rPr>
          <w:rFonts w:hint="eastAsia" w:ascii="宋体" w:hAnsi="宋体" w:cs="宋体"/>
          <w:sz w:val="24"/>
        </w:rPr>
      </w:pPr>
      <w:r>
        <w:rPr>
          <w:rFonts w:hint="eastAsia" w:ascii="宋体" w:hAnsi="宋体" w:cs="宋体"/>
          <w:sz w:val="24"/>
        </w:rPr>
        <w:t>3、不同投标人的投标文件载明的项目管理成员或者联系人员为同一人；</w:t>
      </w:r>
    </w:p>
    <w:p w14:paraId="5E185841">
      <w:pPr>
        <w:snapToGrid w:val="0"/>
        <w:spacing w:line="360" w:lineRule="auto"/>
        <w:ind w:firstLine="484" w:firstLineChars="202"/>
        <w:rPr>
          <w:rFonts w:hint="eastAsia" w:ascii="宋体" w:hAnsi="宋体" w:cs="宋体"/>
          <w:sz w:val="24"/>
        </w:rPr>
      </w:pPr>
      <w:r>
        <w:rPr>
          <w:rFonts w:hint="eastAsia" w:ascii="宋体" w:hAnsi="宋体" w:cs="宋体"/>
          <w:sz w:val="24"/>
        </w:rPr>
        <w:t>4、不同投标人的投标文件异常一致或者投标报价呈规律性差异；</w:t>
      </w:r>
    </w:p>
    <w:p w14:paraId="1C5F036B">
      <w:pPr>
        <w:snapToGrid w:val="0"/>
        <w:spacing w:line="360" w:lineRule="auto"/>
        <w:ind w:firstLine="484" w:firstLineChars="202"/>
        <w:rPr>
          <w:rFonts w:hint="eastAsia" w:ascii="宋体" w:hAnsi="宋体" w:cs="宋体"/>
          <w:sz w:val="24"/>
        </w:rPr>
      </w:pPr>
      <w:r>
        <w:rPr>
          <w:rFonts w:hint="eastAsia" w:ascii="宋体" w:hAnsi="宋体" w:cs="宋体"/>
          <w:sz w:val="24"/>
        </w:rPr>
        <w:t>5、不同投标人的投标文件相互混装；</w:t>
      </w:r>
    </w:p>
    <w:p w14:paraId="029FDAC9">
      <w:pPr>
        <w:snapToGrid w:val="0"/>
        <w:spacing w:line="360" w:lineRule="auto"/>
        <w:ind w:firstLine="482" w:firstLineChars="200"/>
        <w:outlineLvl w:val="1"/>
        <w:rPr>
          <w:rFonts w:hint="eastAsia" w:ascii="宋体" w:hAnsi="宋体" w:cs="宋体"/>
          <w:b/>
          <w:sz w:val="24"/>
        </w:rPr>
      </w:pPr>
      <w:r>
        <w:rPr>
          <w:rFonts w:hint="eastAsia" w:ascii="宋体" w:hAnsi="宋体" w:cs="宋体"/>
          <w:b/>
          <w:sz w:val="24"/>
        </w:rPr>
        <w:t>十一、出现下列情形之一的，作废标处理：</w:t>
      </w:r>
    </w:p>
    <w:p w14:paraId="046988D6">
      <w:pPr>
        <w:snapToGrid w:val="0"/>
        <w:spacing w:line="360" w:lineRule="auto"/>
        <w:ind w:firstLine="480" w:firstLineChars="200"/>
        <w:rPr>
          <w:rFonts w:hint="eastAsia" w:ascii="宋体" w:hAnsi="宋体" w:cs="宋体"/>
          <w:sz w:val="24"/>
        </w:rPr>
      </w:pPr>
      <w:r>
        <w:rPr>
          <w:rFonts w:hint="eastAsia" w:ascii="宋体" w:hAnsi="宋体" w:cs="宋体"/>
          <w:sz w:val="24"/>
        </w:rPr>
        <w:t>1、出现影响采购公正的违法违规行为的；</w:t>
      </w:r>
    </w:p>
    <w:p w14:paraId="3CC6BC3B">
      <w:pPr>
        <w:snapToGrid w:val="0"/>
        <w:spacing w:line="360" w:lineRule="auto"/>
        <w:ind w:firstLine="480" w:firstLineChars="200"/>
        <w:rPr>
          <w:rFonts w:hint="eastAsia" w:ascii="宋体" w:hAnsi="宋体" w:cs="宋体"/>
          <w:sz w:val="24"/>
        </w:rPr>
      </w:pPr>
      <w:r>
        <w:rPr>
          <w:rFonts w:hint="eastAsia" w:ascii="宋体" w:hAnsi="宋体" w:cs="宋体"/>
          <w:sz w:val="24"/>
        </w:rPr>
        <w:t>2、所有投标人报价超出采购预算价的；</w:t>
      </w:r>
    </w:p>
    <w:p w14:paraId="5F3355BA">
      <w:pPr>
        <w:snapToGrid w:val="0"/>
        <w:spacing w:line="360" w:lineRule="auto"/>
        <w:ind w:firstLine="480" w:firstLineChars="200"/>
        <w:rPr>
          <w:rFonts w:hint="eastAsia" w:ascii="宋体" w:hAnsi="宋体" w:cs="宋体"/>
          <w:sz w:val="24"/>
        </w:rPr>
      </w:pPr>
      <w:r>
        <w:rPr>
          <w:rFonts w:hint="eastAsia" w:ascii="宋体" w:hAnsi="宋体" w:cs="宋体"/>
          <w:sz w:val="24"/>
        </w:rPr>
        <w:t>3、因重大变故，采购任务被取消的；</w:t>
      </w:r>
    </w:p>
    <w:p w14:paraId="5BDF4EEC">
      <w:pPr>
        <w:snapToGrid w:val="0"/>
        <w:spacing w:line="360" w:lineRule="auto"/>
        <w:ind w:firstLine="480" w:firstLineChars="200"/>
        <w:rPr>
          <w:rFonts w:hint="eastAsia" w:ascii="宋体" w:hAnsi="宋体" w:cs="宋体"/>
          <w:sz w:val="24"/>
        </w:rPr>
      </w:pPr>
      <w:r>
        <w:rPr>
          <w:rFonts w:hint="eastAsia" w:ascii="宋体" w:hAnsi="宋体" w:cs="宋体"/>
          <w:sz w:val="24"/>
        </w:rPr>
        <w:t>4、评标委员会依据法律法规可以认定为废标的其他情况。</w:t>
      </w:r>
    </w:p>
    <w:p w14:paraId="1953FFA3">
      <w:pPr>
        <w:snapToGrid w:val="0"/>
        <w:spacing w:line="360" w:lineRule="auto"/>
        <w:ind w:firstLine="482" w:firstLineChars="200"/>
        <w:outlineLvl w:val="1"/>
        <w:rPr>
          <w:rFonts w:hint="eastAsia" w:ascii="宋体" w:hAnsi="宋体" w:cs="宋体"/>
          <w:b/>
          <w:sz w:val="24"/>
        </w:rPr>
      </w:pPr>
      <w:r>
        <w:rPr>
          <w:rFonts w:hint="eastAsia" w:ascii="宋体" w:hAnsi="宋体" w:cs="宋体"/>
          <w:b/>
          <w:sz w:val="24"/>
        </w:rPr>
        <w:t>十二、中标通知</w:t>
      </w:r>
    </w:p>
    <w:p w14:paraId="16645F3D">
      <w:pPr>
        <w:spacing w:line="360" w:lineRule="auto"/>
        <w:ind w:firstLine="484" w:firstLineChars="202"/>
        <w:rPr>
          <w:rFonts w:hint="eastAsia" w:ascii="宋体" w:hAnsi="宋体" w:cs="宋体"/>
          <w:kern w:val="0"/>
          <w:sz w:val="24"/>
        </w:rPr>
      </w:pPr>
      <w:r>
        <w:rPr>
          <w:rFonts w:hint="eastAsia" w:ascii="宋体" w:hAnsi="宋体" w:cs="宋体"/>
          <w:kern w:val="0"/>
          <w:sz w:val="24"/>
        </w:rPr>
        <w:t>1、开标结束后，招标人向中标人发出《中标通知书》。</w:t>
      </w:r>
    </w:p>
    <w:p w14:paraId="6934E6E9">
      <w:r>
        <w:rPr>
          <w:rFonts w:hint="eastAsia" w:ascii="宋体" w:hAnsi="宋体" w:cs="宋体"/>
          <w:kern w:val="0"/>
          <w:sz w:val="24"/>
        </w:rPr>
        <w:t>3、《中标通知书》一经发出，即具有法律效力。招标人、中标人依法承担法律责任。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094"/>
    <w:rsid w:val="00374094"/>
    <w:rsid w:val="004844C8"/>
    <w:rsid w:val="00523B57"/>
    <w:rsid w:val="00AE0519"/>
    <w:rsid w:val="00C249D4"/>
    <w:rsid w:val="00D463B8"/>
    <w:rsid w:val="0BCE6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1"/>
    <w:semiHidden/>
    <w:unhideWhenUsed/>
    <w:uiPriority w:val="99"/>
    <w:pPr>
      <w:spacing w:after="120"/>
      <w:ind w:left="420" w:leftChars="200"/>
    </w:pPr>
  </w:style>
  <w:style w:type="paragraph" w:styleId="4">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First Indent 2"/>
    <w:basedOn w:val="3"/>
    <w:link w:val="12"/>
    <w:qFormat/>
    <w:uiPriority w:val="0"/>
    <w:pPr>
      <w:ind w:firstLine="420" w:firstLineChars="200"/>
    </w:pPr>
    <w:rPr>
      <w:kern w:val="0"/>
      <w:sz w:val="20"/>
      <w:szCs w:val="20"/>
    </w:r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character" w:customStyle="1" w:styleId="11">
    <w:name w:val="正文文本缩进 Char"/>
    <w:basedOn w:val="8"/>
    <w:link w:val="3"/>
    <w:semiHidden/>
    <w:uiPriority w:val="99"/>
    <w:rPr>
      <w:rFonts w:ascii="Times New Roman" w:hAnsi="Times New Roman" w:eastAsia="宋体" w:cs="Times New Roman"/>
      <w:szCs w:val="24"/>
    </w:rPr>
  </w:style>
  <w:style w:type="character" w:customStyle="1" w:styleId="12">
    <w:name w:val="正文首行缩进 2 Char"/>
    <w:basedOn w:val="11"/>
    <w:link w:val="6"/>
    <w:uiPriority w:val="0"/>
    <w:rPr>
      <w:rFonts w:ascii="Times New Roman" w:hAnsi="Times New Roman" w:eastAsia="宋体" w:cs="Times New Roman"/>
      <w:kern w:val="0"/>
      <w:sz w:val="20"/>
      <w:szCs w:val="20"/>
    </w:rPr>
  </w:style>
  <w:style w:type="paragraph" w:customStyle="1" w:styleId="13">
    <w:name w:val="样式 标题 1 + 宋体 段前: 0 磅 段后: 0 磅 行距: 单倍行距"/>
    <w:basedOn w:val="2"/>
    <w:next w:val="1"/>
    <w:uiPriority w:val="0"/>
    <w:pPr>
      <w:spacing w:before="0" w:beforeLines="100" w:after="0" w:afterLines="100" w:line="240" w:lineRule="auto"/>
      <w:jc w:val="center"/>
    </w:pPr>
    <w:rPr>
      <w:rFonts w:ascii="仿宋_GB2312" w:hAnsi="宋体" w:eastAsia="仿宋_GB2312" w:cs="宋体"/>
    </w:rPr>
  </w:style>
  <w:style w:type="character" w:customStyle="1" w:styleId="14">
    <w:name w:val="标题 1 Char"/>
    <w:basedOn w:val="8"/>
    <w:link w:val="2"/>
    <w:uiPriority w:val="9"/>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4401</Words>
  <Characters>4449</Characters>
  <Lines>32</Lines>
  <Paragraphs>9</Paragraphs>
  <TotalTime>2</TotalTime>
  <ScaleCrop>false</ScaleCrop>
  <LinksUpToDate>false</LinksUpToDate>
  <CharactersWithSpaces>4461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2025-09-19T09:04:00Z</dcterms:created>
  <dc:creator>뒴뒴჏჏჏䟸ܒ჏㱸ܕ</dc:creator>
  <cp:lastModifiedBy>0803</cp:lastModifiedBy>
  <dcterms:modified xsi:type="dcterms:W3CDTF">2025-09-30T07:37:30Z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eyJoZGlkIjoiYWUwNmZkNDQxZTk1MjIzMDk3MmJlZmIyYWI1ODA2MzIiLCJ1c2VySWQiOiIxNDYxNDUyNDQ3In0=</vt:lpwstr>
  </property>
  <property fmtid="{D5CDD505-2E9C-101B-9397-08002B2CF9AE}" pid="3" name="KSOProductBuildVer">
    <vt:lpwstr>2052-12.1.0.22529</vt:lpwstr>
  </property>
  <property fmtid="{D5CDD505-2E9C-101B-9397-08002B2CF9AE}" pid="4" name="ICV">
    <vt:lpwstr>9D668B00308544B4A822EEB4BE086D27_12</vt:lpwstr>
  </property>
</Properties>
</file>