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rPr>
          <w:rFonts w:ascii="宋体" w:hAnsi="宋体" w:cs="宋体"/>
          <w:sz w:val="24"/>
        </w:rPr>
      </w:pPr>
    </w:p>
    <w:p>
      <w:pPr>
        <w:tabs>
          <w:tab w:val="left" w:pos="1446"/>
        </w:tabs>
        <w:overflowPunct w:val="0"/>
        <w:spacing w:line="360" w:lineRule="auto"/>
        <w:ind w:left="617" w:hanging="616" w:hangingChars="257"/>
        <w:rPr>
          <w:rFonts w:ascii="宋体" w:hAnsi="宋体" w:cs="宋体"/>
          <w:sz w:val="24"/>
        </w:rPr>
      </w:pPr>
      <w:r>
        <w:rPr>
          <w:rFonts w:hint="eastAsia" w:ascii="宋体" w:hAnsi="宋体" w:cs="宋体"/>
          <w:sz w:val="24"/>
        </w:rPr>
        <w:tab/>
      </w:r>
    </w:p>
    <w:p>
      <w:pPr>
        <w:snapToGrid w:val="0"/>
        <w:spacing w:line="360" w:lineRule="auto"/>
        <w:jc w:val="center"/>
        <w:rPr>
          <w:rFonts w:hint="eastAsia" w:ascii="宋体" w:hAnsi="宋体" w:cs="宋体"/>
          <w:b/>
          <w:bCs/>
          <w:sz w:val="52"/>
          <w:szCs w:val="52"/>
        </w:rPr>
      </w:pPr>
      <w:r>
        <w:rPr>
          <w:rFonts w:hint="eastAsia" w:ascii="宋体" w:hAnsi="宋体" w:cs="宋体"/>
          <w:b/>
          <w:bCs/>
          <w:sz w:val="52"/>
          <w:szCs w:val="52"/>
        </w:rPr>
        <w:t>苏源工业园2号楼电梯采购安装项目</w:t>
      </w:r>
    </w:p>
    <w:p>
      <w:pPr>
        <w:snapToGrid w:val="0"/>
        <w:spacing w:line="360" w:lineRule="auto"/>
        <w:jc w:val="center"/>
        <w:rPr>
          <w:rFonts w:hint="eastAsia" w:ascii="宋体" w:hAnsi="宋体" w:eastAsia="宋体" w:cs="宋体"/>
          <w:b/>
          <w:bCs/>
          <w:sz w:val="24"/>
          <w:lang w:eastAsia="zh-CN"/>
        </w:rPr>
      </w:pPr>
      <w:r>
        <w:rPr>
          <w:rFonts w:hint="eastAsia" w:ascii="宋体" w:hAnsi="宋体" w:cs="宋体"/>
          <w:b/>
          <w:bCs/>
          <w:sz w:val="52"/>
          <w:szCs w:val="52"/>
          <w:lang w:eastAsia="zh-CN"/>
        </w:rPr>
        <w:t>（</w:t>
      </w:r>
      <w:r>
        <w:rPr>
          <w:rFonts w:hint="eastAsia" w:ascii="宋体" w:hAnsi="宋体" w:cs="宋体"/>
          <w:b/>
          <w:bCs/>
          <w:sz w:val="52"/>
          <w:szCs w:val="52"/>
          <w:lang w:val="en-US" w:eastAsia="zh-CN"/>
        </w:rPr>
        <w:t>第二次</w:t>
      </w:r>
      <w:r>
        <w:rPr>
          <w:rFonts w:hint="eastAsia" w:ascii="宋体" w:hAnsi="宋体" w:cs="宋体"/>
          <w:b/>
          <w:bCs/>
          <w:sz w:val="52"/>
          <w:szCs w:val="52"/>
          <w:lang w:eastAsia="zh-CN"/>
        </w:rPr>
        <w:t>）</w:t>
      </w:r>
    </w:p>
    <w:p>
      <w:pPr>
        <w:snapToGrid w:val="0"/>
        <w:spacing w:line="360" w:lineRule="auto"/>
        <w:rPr>
          <w:rFonts w:ascii="宋体" w:hAnsi="宋体" w:cs="宋体"/>
          <w:b/>
          <w:bCs/>
          <w:sz w:val="24"/>
        </w:rPr>
      </w:pPr>
    </w:p>
    <w:p>
      <w:pPr>
        <w:snapToGrid w:val="0"/>
        <w:spacing w:line="360" w:lineRule="auto"/>
        <w:rPr>
          <w:rFonts w:ascii="宋体" w:hAnsi="宋体" w:cs="宋体"/>
          <w:b/>
          <w:bCs/>
          <w:sz w:val="24"/>
        </w:rPr>
      </w:pPr>
    </w:p>
    <w:p>
      <w:pPr>
        <w:snapToGrid w:val="0"/>
        <w:spacing w:line="360" w:lineRule="auto"/>
        <w:rPr>
          <w:rFonts w:ascii="宋体" w:hAnsi="宋体" w:cs="宋体"/>
          <w:b/>
          <w:bCs/>
          <w:sz w:val="30"/>
          <w:szCs w:val="30"/>
        </w:rPr>
      </w:pPr>
    </w:p>
    <w:p>
      <w:pPr>
        <w:snapToGrid w:val="0"/>
        <w:spacing w:before="156" w:beforeLines="50" w:line="360" w:lineRule="auto"/>
        <w:jc w:val="center"/>
        <w:rPr>
          <w:rFonts w:ascii="宋体" w:hAnsi="宋体" w:cs="宋体"/>
          <w:b/>
          <w:bCs/>
          <w:sz w:val="36"/>
          <w:szCs w:val="36"/>
        </w:rPr>
      </w:pPr>
      <w:r>
        <w:rPr>
          <w:rFonts w:hint="eastAsia" w:ascii="宋体" w:hAnsi="宋体" w:cs="宋体"/>
          <w:b/>
          <w:bCs/>
          <w:sz w:val="36"/>
          <w:szCs w:val="36"/>
        </w:rPr>
        <w:t>公开招标文件</w:t>
      </w:r>
    </w:p>
    <w:p>
      <w:pPr>
        <w:spacing w:line="360" w:lineRule="auto"/>
        <w:jc w:val="center"/>
        <w:rPr>
          <w:rFonts w:ascii="宋体" w:hAnsi="宋体" w:cs="宋体"/>
          <w:b/>
          <w:bCs/>
          <w:sz w:val="32"/>
          <w:szCs w:val="32"/>
        </w:rPr>
      </w:pPr>
      <w:r>
        <w:rPr>
          <w:rFonts w:hint="eastAsia" w:ascii="宋体" w:hAnsi="宋体" w:cs="宋体"/>
          <w:b/>
          <w:bCs/>
          <w:sz w:val="36"/>
          <w:szCs w:val="36"/>
        </w:rPr>
        <w:t>（资格后审）</w:t>
      </w:r>
    </w:p>
    <w:p>
      <w:pPr>
        <w:spacing w:line="360" w:lineRule="auto"/>
        <w:jc w:val="center"/>
        <w:rPr>
          <w:rFonts w:ascii="宋体" w:hAnsi="宋体" w:cs="宋体"/>
          <w:b/>
          <w:bCs/>
          <w:sz w:val="28"/>
          <w:szCs w:val="28"/>
        </w:rPr>
      </w:pPr>
    </w:p>
    <w:p>
      <w:pPr>
        <w:widowControl/>
        <w:spacing w:line="360" w:lineRule="auto"/>
        <w:jc w:val="center"/>
        <w:rPr>
          <w:rFonts w:ascii="宋体" w:hAnsi="宋体" w:cs="宋体"/>
          <w:b/>
          <w:bCs/>
          <w:sz w:val="28"/>
          <w:szCs w:val="28"/>
        </w:rPr>
      </w:pPr>
    </w:p>
    <w:p>
      <w:pPr>
        <w:spacing w:line="360" w:lineRule="auto"/>
        <w:jc w:val="center"/>
        <w:rPr>
          <w:rFonts w:ascii="宋体" w:hAnsi="宋体" w:cs="宋体"/>
          <w:b/>
          <w:bCs/>
          <w:sz w:val="28"/>
          <w:szCs w:val="28"/>
        </w:rPr>
      </w:pPr>
    </w:p>
    <w:p>
      <w:pPr>
        <w:snapToGrid w:val="0"/>
        <w:spacing w:line="360" w:lineRule="auto"/>
        <w:rPr>
          <w:rFonts w:ascii="宋体" w:hAnsi="宋体" w:cs="宋体"/>
          <w:b/>
          <w:bCs/>
          <w:sz w:val="28"/>
          <w:szCs w:val="28"/>
        </w:rPr>
      </w:pPr>
    </w:p>
    <w:p>
      <w:pPr>
        <w:pStyle w:val="53"/>
        <w:spacing w:line="360" w:lineRule="auto"/>
        <w:ind w:firstLine="400"/>
      </w:pPr>
    </w:p>
    <w:p>
      <w:pPr>
        <w:pStyle w:val="53"/>
        <w:spacing w:line="360" w:lineRule="auto"/>
        <w:ind w:firstLine="400"/>
      </w:pPr>
    </w:p>
    <w:p>
      <w:pPr>
        <w:snapToGrid w:val="0"/>
        <w:spacing w:line="360" w:lineRule="auto"/>
        <w:rPr>
          <w:rFonts w:ascii="宋体" w:hAnsi="宋体" w:cs="宋体"/>
          <w:b/>
          <w:bCs/>
          <w:sz w:val="28"/>
          <w:szCs w:val="28"/>
        </w:rPr>
      </w:pPr>
    </w:p>
    <w:p>
      <w:pPr>
        <w:adjustRightInd w:val="0"/>
        <w:snapToGrid w:val="0"/>
        <w:spacing w:line="360" w:lineRule="auto"/>
        <w:ind w:firstLine="1405" w:firstLineChars="500"/>
        <w:rPr>
          <w:rFonts w:ascii="宋体" w:hAnsi="宋体" w:cs="宋体"/>
          <w:b/>
          <w:bCs/>
          <w:sz w:val="28"/>
          <w:szCs w:val="28"/>
          <w:u w:val="single"/>
        </w:rPr>
      </w:pPr>
      <w:r>
        <w:rPr>
          <w:rFonts w:hint="eastAsia" w:ascii="宋体" w:hAnsi="宋体" w:cs="宋体"/>
          <w:b/>
          <w:bCs/>
          <w:sz w:val="28"/>
          <w:szCs w:val="28"/>
        </w:rPr>
        <w:t>采购单位：</w:t>
      </w:r>
      <w:r>
        <w:rPr>
          <w:rFonts w:hint="eastAsia" w:ascii="宋体" w:hAnsi="宋体" w:cs="宋体"/>
          <w:b/>
          <w:bCs/>
          <w:sz w:val="28"/>
          <w:szCs w:val="28"/>
          <w:u w:val="single"/>
        </w:rPr>
        <w:t>南通市崇川科技园投资发展有限公司</w:t>
      </w:r>
    </w:p>
    <w:p>
      <w:pPr>
        <w:adjustRightInd w:val="0"/>
        <w:snapToGrid w:val="0"/>
        <w:spacing w:line="360" w:lineRule="auto"/>
        <w:ind w:firstLine="1405" w:firstLineChars="500"/>
        <w:rPr>
          <w:rFonts w:ascii="宋体" w:hAnsi="宋体" w:cs="宋体"/>
          <w:b/>
          <w:bCs/>
          <w:sz w:val="28"/>
          <w:szCs w:val="28"/>
          <w:u w:val="single"/>
        </w:rPr>
      </w:pPr>
      <w:r>
        <w:rPr>
          <w:rFonts w:hint="eastAsia" w:ascii="宋体" w:hAnsi="宋体" w:cs="宋体"/>
          <w:b/>
          <w:bCs/>
          <w:sz w:val="28"/>
          <w:szCs w:val="28"/>
        </w:rPr>
        <w:t>代理机构：</w:t>
      </w:r>
      <w:r>
        <w:rPr>
          <w:rFonts w:hint="eastAsia" w:ascii="宋体" w:hAnsi="宋体" w:cs="宋体"/>
          <w:b/>
          <w:bCs/>
          <w:sz w:val="28"/>
          <w:szCs w:val="28"/>
          <w:u w:val="single"/>
        </w:rPr>
        <w:t xml:space="preserve">    江苏海审工程咨询有限公司    </w:t>
      </w:r>
    </w:p>
    <w:p>
      <w:pPr>
        <w:adjustRightInd w:val="0"/>
        <w:snapToGrid w:val="0"/>
        <w:spacing w:line="360" w:lineRule="auto"/>
        <w:ind w:firstLine="1405" w:firstLineChars="500"/>
        <w:rPr>
          <w:rFonts w:ascii="宋体" w:hAnsi="宋体" w:cs="宋体"/>
          <w:b/>
          <w:bCs/>
          <w:sz w:val="28"/>
          <w:szCs w:val="28"/>
          <w:u w:val="single"/>
        </w:rPr>
      </w:pPr>
      <w:r>
        <w:rPr>
          <w:rFonts w:hint="eastAsia" w:ascii="宋体" w:hAnsi="宋体" w:cs="宋体"/>
          <w:b/>
          <w:bCs/>
          <w:sz w:val="28"/>
          <w:szCs w:val="28"/>
        </w:rPr>
        <w:t>日    期：</w:t>
      </w:r>
      <w:r>
        <w:rPr>
          <w:rFonts w:hint="eastAsia" w:ascii="宋体" w:hAnsi="宋体" w:cs="宋体"/>
          <w:b/>
          <w:bCs/>
          <w:sz w:val="28"/>
          <w:szCs w:val="28"/>
          <w:u w:val="single"/>
        </w:rPr>
        <w:t xml:space="preserve">        2023年</w:t>
      </w:r>
      <w:bookmarkStart w:id="16" w:name="_GoBack"/>
      <w:bookmarkEnd w:id="16"/>
      <w:r>
        <w:rPr>
          <w:rFonts w:hint="eastAsia" w:ascii="宋体" w:hAnsi="宋体" w:cs="宋体"/>
          <w:b/>
          <w:bCs/>
          <w:sz w:val="28"/>
          <w:szCs w:val="28"/>
          <w:u w:val="single"/>
          <w:lang w:val="en-US" w:eastAsia="zh-CN"/>
        </w:rPr>
        <w:t>2</w:t>
      </w:r>
      <w:r>
        <w:rPr>
          <w:rFonts w:hint="eastAsia" w:ascii="宋体" w:hAnsi="宋体" w:cs="宋体"/>
          <w:b/>
          <w:bCs/>
          <w:sz w:val="28"/>
          <w:szCs w:val="28"/>
          <w:u w:val="single"/>
        </w:rPr>
        <w:t>月</w:t>
      </w:r>
      <w:r>
        <w:rPr>
          <w:rFonts w:hint="eastAsia" w:ascii="宋体" w:hAnsi="宋体" w:cs="宋体"/>
          <w:b/>
          <w:bCs/>
          <w:sz w:val="28"/>
          <w:szCs w:val="28"/>
          <w:u w:val="single"/>
          <w:lang w:val="en-US" w:eastAsia="zh-CN"/>
        </w:rPr>
        <w:t>7</w:t>
      </w:r>
      <w:r>
        <w:rPr>
          <w:rFonts w:hint="eastAsia" w:ascii="宋体" w:hAnsi="宋体" w:cs="宋体"/>
          <w:b/>
          <w:bCs/>
          <w:sz w:val="28"/>
          <w:szCs w:val="28"/>
          <w:u w:val="single"/>
        </w:rPr>
        <w:t xml:space="preserve">日        </w:t>
      </w:r>
    </w:p>
    <w:p>
      <w:pPr>
        <w:pageBreakBefore/>
        <w:spacing w:line="360" w:lineRule="auto"/>
        <w:jc w:val="center"/>
        <w:rPr>
          <w:rFonts w:ascii="宋体" w:hAnsi="宋体" w:cs="宋体"/>
          <w:b/>
          <w:sz w:val="28"/>
          <w:szCs w:val="28"/>
        </w:rPr>
      </w:pPr>
      <w:r>
        <w:rPr>
          <w:rFonts w:hint="eastAsia" w:ascii="宋体" w:hAnsi="宋体" w:cs="宋体"/>
          <w:b/>
          <w:sz w:val="28"/>
          <w:szCs w:val="28"/>
        </w:rPr>
        <w:t>目      录</w:t>
      </w:r>
    </w:p>
    <w:p>
      <w:pPr>
        <w:spacing w:line="360" w:lineRule="auto"/>
        <w:rPr>
          <w:rFonts w:ascii="宋体" w:hAnsi="宋体" w:cs="宋体"/>
          <w:b/>
          <w:sz w:val="28"/>
          <w:szCs w:val="28"/>
        </w:rPr>
      </w:pPr>
    </w:p>
    <w:p>
      <w:pPr>
        <w:pStyle w:val="35"/>
        <w:spacing w:line="360" w:lineRule="auto"/>
        <w:ind w:firstLine="220" w:firstLineChars="100"/>
        <w:jc w:val="left"/>
        <w:rPr>
          <w:rFonts w:ascii="宋体" w:hAnsi="宋体" w:cs="宋体"/>
          <w:b/>
          <w:sz w:val="28"/>
          <w:szCs w:val="28"/>
        </w:rPr>
      </w:pPr>
      <w:r>
        <w:fldChar w:fldCharType="begin"/>
      </w:r>
      <w:r>
        <w:instrText xml:space="preserve"> HYPERLINK \l "_Toc450137519" </w:instrText>
      </w:r>
      <w:r>
        <w:fldChar w:fldCharType="separate"/>
      </w:r>
      <w:r>
        <w:rPr>
          <w:rStyle w:val="112"/>
          <w:rFonts w:hint="eastAsia" w:ascii="宋体" w:hAnsi="宋体" w:cs="宋体"/>
          <w:b/>
          <w:color w:val="auto"/>
          <w:sz w:val="28"/>
          <w:szCs w:val="28"/>
          <w:u w:val="none"/>
        </w:rPr>
        <w:t>第一章 招标公告</w:t>
      </w:r>
      <w:r>
        <w:rPr>
          <w:rStyle w:val="112"/>
          <w:rFonts w:hint="eastAsia" w:ascii="宋体" w:hAnsi="宋体" w:cs="宋体"/>
          <w:b/>
          <w:color w:val="auto"/>
          <w:sz w:val="28"/>
          <w:szCs w:val="28"/>
          <w:u w:val="none"/>
        </w:rPr>
        <w:fldChar w:fldCharType="end"/>
      </w:r>
    </w:p>
    <w:p>
      <w:pPr>
        <w:pStyle w:val="35"/>
        <w:spacing w:line="360" w:lineRule="auto"/>
        <w:ind w:firstLine="220" w:firstLineChars="100"/>
        <w:jc w:val="left"/>
        <w:rPr>
          <w:rFonts w:ascii="宋体" w:hAnsi="宋体" w:cs="宋体"/>
          <w:b/>
          <w:sz w:val="28"/>
          <w:szCs w:val="28"/>
        </w:rPr>
      </w:pPr>
      <w:r>
        <w:fldChar w:fldCharType="begin"/>
      </w:r>
      <w:r>
        <w:instrText xml:space="preserve"> HYPERLINK \l "_Toc450137520" </w:instrText>
      </w:r>
      <w:r>
        <w:fldChar w:fldCharType="separate"/>
      </w:r>
      <w:r>
        <w:rPr>
          <w:rStyle w:val="112"/>
          <w:rFonts w:hint="eastAsia" w:ascii="宋体" w:hAnsi="宋体" w:cs="宋体"/>
          <w:b/>
          <w:color w:val="auto"/>
          <w:sz w:val="28"/>
          <w:szCs w:val="28"/>
          <w:u w:val="none"/>
        </w:rPr>
        <w:t>第二章 投标供应商须知</w:t>
      </w:r>
      <w:r>
        <w:rPr>
          <w:rStyle w:val="112"/>
          <w:rFonts w:hint="eastAsia" w:ascii="宋体" w:hAnsi="宋体" w:cs="宋体"/>
          <w:b/>
          <w:color w:val="auto"/>
          <w:sz w:val="28"/>
          <w:szCs w:val="28"/>
          <w:u w:val="none"/>
        </w:rPr>
        <w:fldChar w:fldCharType="end"/>
      </w:r>
    </w:p>
    <w:p>
      <w:pPr>
        <w:pStyle w:val="35"/>
        <w:spacing w:line="360" w:lineRule="auto"/>
        <w:ind w:firstLine="220" w:firstLineChars="100"/>
        <w:jc w:val="left"/>
        <w:rPr>
          <w:rFonts w:ascii="宋体" w:hAnsi="宋体" w:cs="宋体"/>
          <w:b/>
          <w:sz w:val="28"/>
          <w:szCs w:val="28"/>
        </w:rPr>
      </w:pPr>
      <w:r>
        <w:fldChar w:fldCharType="begin"/>
      </w:r>
      <w:r>
        <w:instrText xml:space="preserve"> HYPERLINK \l "_Toc450137521" </w:instrText>
      </w:r>
      <w:r>
        <w:fldChar w:fldCharType="separate"/>
      </w:r>
      <w:r>
        <w:rPr>
          <w:rStyle w:val="112"/>
          <w:rFonts w:hint="eastAsia" w:ascii="宋体" w:hAnsi="宋体" w:cs="宋体"/>
          <w:b/>
          <w:color w:val="auto"/>
          <w:sz w:val="28"/>
          <w:szCs w:val="28"/>
          <w:u w:val="none"/>
        </w:rPr>
        <w:t>第三章 项目需求</w:t>
      </w:r>
      <w:r>
        <w:rPr>
          <w:rStyle w:val="112"/>
          <w:rFonts w:hint="eastAsia" w:ascii="宋体" w:hAnsi="宋体" w:cs="宋体"/>
          <w:b/>
          <w:color w:val="auto"/>
          <w:sz w:val="28"/>
          <w:szCs w:val="28"/>
          <w:u w:val="none"/>
        </w:rPr>
        <w:fldChar w:fldCharType="end"/>
      </w:r>
    </w:p>
    <w:p>
      <w:pPr>
        <w:pStyle w:val="35"/>
        <w:spacing w:line="360" w:lineRule="auto"/>
        <w:ind w:firstLine="220" w:firstLineChars="100"/>
        <w:jc w:val="left"/>
        <w:rPr>
          <w:rFonts w:ascii="宋体" w:hAnsi="宋体" w:cs="宋体"/>
          <w:b/>
          <w:sz w:val="28"/>
          <w:szCs w:val="28"/>
        </w:rPr>
      </w:pPr>
      <w:r>
        <w:fldChar w:fldCharType="begin"/>
      </w:r>
      <w:r>
        <w:instrText xml:space="preserve"> HYPERLINK \l "_Toc450137522" </w:instrText>
      </w:r>
      <w:r>
        <w:fldChar w:fldCharType="separate"/>
      </w:r>
      <w:r>
        <w:rPr>
          <w:rStyle w:val="112"/>
          <w:rFonts w:hint="eastAsia" w:ascii="宋体" w:hAnsi="宋体" w:cs="宋体"/>
          <w:b/>
          <w:color w:val="auto"/>
          <w:sz w:val="28"/>
          <w:szCs w:val="28"/>
          <w:u w:val="none"/>
        </w:rPr>
        <w:t>第四章 评审方法和程序</w:t>
      </w:r>
      <w:r>
        <w:rPr>
          <w:rStyle w:val="112"/>
          <w:rFonts w:hint="eastAsia" w:ascii="宋体" w:hAnsi="宋体" w:cs="宋体"/>
          <w:b/>
          <w:color w:val="auto"/>
          <w:sz w:val="28"/>
          <w:szCs w:val="28"/>
          <w:u w:val="none"/>
        </w:rPr>
        <w:fldChar w:fldCharType="end"/>
      </w:r>
    </w:p>
    <w:p>
      <w:pPr>
        <w:pStyle w:val="35"/>
        <w:spacing w:line="360" w:lineRule="auto"/>
        <w:ind w:firstLine="220" w:firstLineChars="100"/>
        <w:jc w:val="left"/>
        <w:rPr>
          <w:rFonts w:ascii="宋体" w:hAnsi="宋体" w:cs="宋体"/>
          <w:b/>
          <w:sz w:val="28"/>
          <w:szCs w:val="28"/>
        </w:rPr>
      </w:pPr>
      <w:r>
        <w:fldChar w:fldCharType="begin"/>
      </w:r>
      <w:r>
        <w:instrText xml:space="preserve"> HYPERLINK \l "_Toc450137523" </w:instrText>
      </w:r>
      <w:r>
        <w:fldChar w:fldCharType="separate"/>
      </w:r>
      <w:r>
        <w:rPr>
          <w:rStyle w:val="112"/>
          <w:rFonts w:hint="eastAsia" w:ascii="宋体" w:hAnsi="宋体" w:cs="宋体"/>
          <w:b/>
          <w:color w:val="auto"/>
          <w:sz w:val="28"/>
          <w:szCs w:val="28"/>
          <w:u w:val="none"/>
        </w:rPr>
        <w:t>第五章 合同主要条款</w:t>
      </w:r>
      <w:r>
        <w:rPr>
          <w:rStyle w:val="112"/>
          <w:rFonts w:hint="eastAsia" w:ascii="宋体" w:hAnsi="宋体" w:cs="宋体"/>
          <w:b/>
          <w:color w:val="auto"/>
          <w:sz w:val="28"/>
          <w:szCs w:val="28"/>
          <w:u w:val="none"/>
        </w:rPr>
        <w:fldChar w:fldCharType="end"/>
      </w:r>
    </w:p>
    <w:p>
      <w:pPr>
        <w:pStyle w:val="35"/>
        <w:spacing w:line="360" w:lineRule="auto"/>
        <w:ind w:firstLine="220" w:firstLineChars="100"/>
        <w:jc w:val="left"/>
        <w:rPr>
          <w:rFonts w:ascii="宋体" w:hAnsi="宋体" w:cs="宋体"/>
          <w:b/>
          <w:sz w:val="28"/>
          <w:szCs w:val="28"/>
        </w:rPr>
      </w:pPr>
      <w:r>
        <w:fldChar w:fldCharType="begin"/>
      </w:r>
      <w:r>
        <w:instrText xml:space="preserve"> HYPERLINK \l "_Toc450137524" </w:instrText>
      </w:r>
      <w:r>
        <w:fldChar w:fldCharType="separate"/>
      </w:r>
      <w:r>
        <w:rPr>
          <w:rStyle w:val="112"/>
          <w:rFonts w:hint="eastAsia" w:ascii="宋体" w:hAnsi="宋体" w:cs="宋体"/>
          <w:b/>
          <w:color w:val="auto"/>
          <w:sz w:val="28"/>
          <w:szCs w:val="28"/>
          <w:u w:val="none"/>
        </w:rPr>
        <w:t>第六章 合同授予</w:t>
      </w:r>
      <w:r>
        <w:rPr>
          <w:rStyle w:val="112"/>
          <w:rFonts w:hint="eastAsia" w:ascii="宋体" w:hAnsi="宋体" w:cs="宋体"/>
          <w:b/>
          <w:color w:val="auto"/>
          <w:sz w:val="28"/>
          <w:szCs w:val="28"/>
          <w:u w:val="none"/>
        </w:rPr>
        <w:fldChar w:fldCharType="end"/>
      </w:r>
    </w:p>
    <w:p>
      <w:pPr>
        <w:pStyle w:val="35"/>
        <w:spacing w:line="360" w:lineRule="auto"/>
        <w:ind w:firstLine="220" w:firstLineChars="100"/>
        <w:jc w:val="left"/>
        <w:rPr>
          <w:rFonts w:ascii="宋体" w:hAnsi="宋体" w:cs="宋体"/>
          <w:b/>
          <w:sz w:val="28"/>
          <w:szCs w:val="28"/>
        </w:rPr>
      </w:pPr>
      <w:r>
        <w:fldChar w:fldCharType="begin"/>
      </w:r>
      <w:r>
        <w:instrText xml:space="preserve"> HYPERLINK \l "_Toc450137525" </w:instrText>
      </w:r>
      <w:r>
        <w:fldChar w:fldCharType="separate"/>
      </w:r>
      <w:r>
        <w:rPr>
          <w:rStyle w:val="112"/>
          <w:rFonts w:hint="eastAsia" w:ascii="宋体" w:hAnsi="宋体" w:cs="宋体"/>
          <w:b/>
          <w:color w:val="auto"/>
          <w:sz w:val="28"/>
          <w:szCs w:val="28"/>
          <w:u w:val="none"/>
        </w:rPr>
        <w:t>第七章 质疑与投诉</w:t>
      </w:r>
      <w:r>
        <w:rPr>
          <w:rStyle w:val="112"/>
          <w:rFonts w:hint="eastAsia" w:ascii="宋体" w:hAnsi="宋体" w:cs="宋体"/>
          <w:b/>
          <w:color w:val="auto"/>
          <w:sz w:val="28"/>
          <w:szCs w:val="28"/>
          <w:u w:val="none"/>
        </w:rPr>
        <w:fldChar w:fldCharType="end"/>
      </w:r>
    </w:p>
    <w:p>
      <w:pPr>
        <w:pStyle w:val="35"/>
        <w:spacing w:line="360" w:lineRule="auto"/>
        <w:ind w:firstLine="220" w:firstLineChars="100"/>
        <w:jc w:val="left"/>
        <w:rPr>
          <w:rFonts w:ascii="宋体" w:hAnsi="宋体" w:cs="宋体"/>
          <w:b/>
          <w:sz w:val="28"/>
          <w:szCs w:val="28"/>
        </w:rPr>
      </w:pPr>
      <w:r>
        <w:fldChar w:fldCharType="begin"/>
      </w:r>
      <w:r>
        <w:instrText xml:space="preserve"> HYPERLINK \l "_Toc450137526" </w:instrText>
      </w:r>
      <w:r>
        <w:fldChar w:fldCharType="separate"/>
      </w:r>
      <w:r>
        <w:rPr>
          <w:rStyle w:val="112"/>
          <w:rFonts w:hint="eastAsia" w:ascii="宋体" w:hAnsi="宋体" w:cs="宋体"/>
          <w:b/>
          <w:color w:val="auto"/>
          <w:sz w:val="28"/>
          <w:szCs w:val="28"/>
          <w:u w:val="none"/>
        </w:rPr>
        <w:t>第八章 投标文件组成及格式</w:t>
      </w:r>
      <w:r>
        <w:rPr>
          <w:rStyle w:val="112"/>
          <w:rFonts w:hint="eastAsia" w:ascii="宋体" w:hAnsi="宋体" w:cs="宋体"/>
          <w:b/>
          <w:color w:val="auto"/>
          <w:sz w:val="28"/>
          <w:szCs w:val="28"/>
          <w:u w:val="none"/>
        </w:rPr>
        <w:fldChar w:fldCharType="end"/>
      </w:r>
    </w:p>
    <w:p>
      <w:pPr>
        <w:snapToGrid w:val="0"/>
        <w:spacing w:line="360" w:lineRule="auto"/>
        <w:rPr>
          <w:rFonts w:ascii="宋体" w:hAnsi="宋体" w:cs="宋体"/>
          <w:sz w:val="24"/>
        </w:rPr>
      </w:pPr>
      <w:r>
        <w:rPr>
          <w:rFonts w:hint="eastAsia" w:ascii="宋体" w:hAnsi="宋体" w:cs="宋体"/>
          <w:b/>
          <w:sz w:val="24"/>
        </w:rPr>
        <w:br w:type="page"/>
      </w:r>
      <w:r>
        <w:rPr>
          <w:rFonts w:hint="eastAsia" w:ascii="宋体" w:hAnsi="宋体" w:cs="宋体"/>
          <w:b/>
          <w:sz w:val="24"/>
        </w:rPr>
        <w:t>尊敬的投标供应商：</w:t>
      </w:r>
    </w:p>
    <w:p>
      <w:pPr>
        <w:snapToGrid w:val="0"/>
        <w:spacing w:line="360" w:lineRule="auto"/>
        <w:ind w:firstLine="602" w:firstLineChars="250"/>
        <w:rPr>
          <w:rFonts w:ascii="宋体" w:hAnsi="宋体" w:cs="宋体"/>
          <w:b/>
          <w:sz w:val="24"/>
        </w:rPr>
      </w:pPr>
      <w:r>
        <w:rPr>
          <w:rFonts w:hint="eastAsia" w:ascii="宋体" w:hAnsi="宋体" w:cs="宋体"/>
          <w:b/>
          <w:sz w:val="24"/>
        </w:rPr>
        <w:t>欢迎参加本采购项目的公开招标。为了保证本次招标顺利进行，请在制作投标响应文件（以下称投标文件）之前，仔细阅读本招标文件的各项条款，并按要求制作和递交投标文件。谢谢合作！</w:t>
      </w:r>
    </w:p>
    <w:p>
      <w:pPr>
        <w:pStyle w:val="186"/>
        <w:spacing w:before="312" w:after="312" w:line="360" w:lineRule="auto"/>
        <w:rPr>
          <w:rFonts w:ascii="宋体" w:eastAsia="宋体"/>
          <w:sz w:val="28"/>
          <w:szCs w:val="28"/>
        </w:rPr>
      </w:pPr>
      <w:r>
        <w:rPr>
          <w:rFonts w:hint="eastAsia" w:ascii="宋体" w:eastAsia="宋体"/>
          <w:sz w:val="28"/>
          <w:szCs w:val="28"/>
        </w:rPr>
        <w:t>第一章  招标公告</w:t>
      </w:r>
    </w:p>
    <w:p>
      <w:pPr>
        <w:pBdr>
          <w:top w:val="single" w:color="auto" w:sz="4" w:space="1"/>
          <w:left w:val="single" w:color="auto" w:sz="4" w:space="4"/>
          <w:bottom w:val="single" w:color="auto" w:sz="4" w:space="10"/>
          <w:right w:val="single" w:color="auto" w:sz="4" w:space="0"/>
        </w:pBdr>
        <w:spacing w:line="360" w:lineRule="auto"/>
        <w:rPr>
          <w:rFonts w:ascii="宋体" w:hAnsi="宋体" w:cs="宋体"/>
          <w:b/>
          <w:bCs/>
          <w:sz w:val="24"/>
        </w:rPr>
      </w:pPr>
      <w:bookmarkStart w:id="0" w:name="_Hlk67480463"/>
      <w:bookmarkStart w:id="1" w:name="_Toc182848970"/>
      <w:r>
        <w:rPr>
          <w:rFonts w:hint="eastAsia" w:ascii="宋体" w:hAnsi="宋体" w:cs="宋体"/>
          <w:b/>
          <w:bCs/>
          <w:sz w:val="24"/>
          <w:lang w:bidi="ar"/>
        </w:rPr>
        <w:t>项目概况</w:t>
      </w:r>
    </w:p>
    <w:p>
      <w:pPr>
        <w:pBdr>
          <w:top w:val="single" w:color="auto" w:sz="4" w:space="1"/>
          <w:left w:val="single" w:color="auto" w:sz="4" w:space="4"/>
          <w:bottom w:val="single" w:color="auto" w:sz="4" w:space="10"/>
          <w:right w:val="single" w:color="auto" w:sz="4" w:space="0"/>
        </w:pBdr>
        <w:spacing w:line="360" w:lineRule="auto"/>
        <w:ind w:firstLine="482" w:firstLineChars="200"/>
        <w:rPr>
          <w:rFonts w:ascii="宋体" w:hAnsi="宋体" w:cs="宋体"/>
          <w:sz w:val="24"/>
        </w:rPr>
      </w:pPr>
      <w:r>
        <w:rPr>
          <w:rFonts w:hint="eastAsia" w:ascii="宋体" w:hAnsi="宋体" w:cs="宋体"/>
          <w:b/>
          <w:bCs/>
          <w:sz w:val="24"/>
          <w:u w:val="single"/>
          <w:lang w:bidi="ar"/>
        </w:rPr>
        <w:t>苏源工业园2号楼电梯采购安装项目</w:t>
      </w:r>
      <w:r>
        <w:rPr>
          <w:rFonts w:hint="eastAsia" w:ascii="宋体" w:hAnsi="宋体" w:cs="宋体"/>
          <w:b/>
          <w:bCs/>
          <w:sz w:val="24"/>
          <w:u w:val="single"/>
          <w:lang w:eastAsia="zh-CN" w:bidi="ar"/>
        </w:rPr>
        <w:t>（</w:t>
      </w:r>
      <w:r>
        <w:rPr>
          <w:rFonts w:hint="eastAsia" w:ascii="宋体" w:hAnsi="宋体" w:cs="宋体"/>
          <w:b/>
          <w:bCs/>
          <w:sz w:val="24"/>
          <w:u w:val="single"/>
          <w:lang w:val="en-US" w:eastAsia="zh-CN" w:bidi="ar"/>
        </w:rPr>
        <w:t>第二次</w:t>
      </w:r>
      <w:r>
        <w:rPr>
          <w:rFonts w:hint="eastAsia" w:ascii="宋体" w:hAnsi="宋体" w:cs="宋体"/>
          <w:b/>
          <w:bCs/>
          <w:sz w:val="24"/>
          <w:u w:val="single"/>
          <w:lang w:eastAsia="zh-CN" w:bidi="ar"/>
        </w:rPr>
        <w:t>）</w:t>
      </w:r>
      <w:r>
        <w:rPr>
          <w:rFonts w:hint="eastAsia" w:ascii="宋体" w:hAnsi="宋体" w:cs="宋体"/>
          <w:b/>
          <w:bCs/>
          <w:sz w:val="24"/>
          <w:lang w:bidi="ar"/>
        </w:rPr>
        <w:t>的潜在供应商应在</w:t>
      </w:r>
      <w:r>
        <w:rPr>
          <w:rFonts w:hint="eastAsia" w:ascii="宋体" w:hAnsi="宋体" w:cs="宋体"/>
          <w:b/>
          <w:bCs/>
          <w:sz w:val="24"/>
          <w:u w:val="single"/>
          <w:lang w:bidi="ar"/>
        </w:rPr>
        <w:t>“崇川区人民政府网→我要看→公示公告”栏内</w:t>
      </w:r>
      <w:r>
        <w:rPr>
          <w:rFonts w:hint="eastAsia" w:ascii="宋体" w:hAnsi="宋体" w:cs="宋体"/>
          <w:b/>
          <w:bCs/>
          <w:sz w:val="24"/>
          <w:lang w:bidi="ar"/>
        </w:rPr>
        <w:t>获取采购文件，并于</w:t>
      </w:r>
      <w:r>
        <w:rPr>
          <w:rFonts w:hint="eastAsia" w:ascii="宋体" w:hAnsi="宋体" w:cs="宋体"/>
          <w:b/>
          <w:bCs/>
          <w:sz w:val="24"/>
          <w:u w:val="single"/>
          <w:lang w:bidi="ar"/>
        </w:rPr>
        <w:t>2023年</w:t>
      </w:r>
      <w:r>
        <w:rPr>
          <w:rFonts w:hint="eastAsia" w:ascii="宋体" w:hAnsi="宋体" w:cs="宋体"/>
          <w:b/>
          <w:bCs/>
          <w:sz w:val="24"/>
          <w:u w:val="single"/>
          <w:lang w:val="en-US" w:eastAsia="zh-CN" w:bidi="ar"/>
        </w:rPr>
        <w:t>3</w:t>
      </w:r>
      <w:r>
        <w:rPr>
          <w:rFonts w:hint="eastAsia" w:ascii="宋体" w:hAnsi="宋体" w:cs="宋体"/>
          <w:b/>
          <w:bCs/>
          <w:sz w:val="24"/>
          <w:u w:val="single"/>
          <w:lang w:bidi="ar"/>
        </w:rPr>
        <w:t>月</w:t>
      </w:r>
      <w:r>
        <w:rPr>
          <w:rFonts w:hint="eastAsia" w:ascii="宋体" w:hAnsi="宋体" w:cs="宋体"/>
          <w:b/>
          <w:bCs/>
          <w:sz w:val="24"/>
          <w:u w:val="single"/>
          <w:lang w:val="en-US" w:eastAsia="zh-CN" w:bidi="ar"/>
        </w:rPr>
        <w:t>1</w:t>
      </w:r>
      <w:r>
        <w:rPr>
          <w:rFonts w:hint="eastAsia" w:ascii="宋体" w:hAnsi="宋体" w:cs="宋体"/>
          <w:b/>
          <w:bCs/>
          <w:sz w:val="24"/>
          <w:u w:val="single"/>
          <w:lang w:bidi="ar"/>
        </w:rPr>
        <w:t>日14时30分</w:t>
      </w:r>
      <w:r>
        <w:rPr>
          <w:rFonts w:hint="eastAsia" w:ascii="宋体" w:hAnsi="宋体" w:cs="宋体"/>
          <w:b/>
          <w:bCs/>
          <w:sz w:val="24"/>
          <w:lang w:bidi="ar"/>
        </w:rPr>
        <w:t>前提交投标响应文件。</w:t>
      </w:r>
      <w:bookmarkEnd w:id="0"/>
    </w:p>
    <w:p>
      <w:pPr>
        <w:spacing w:line="360" w:lineRule="auto"/>
        <w:ind w:firstLine="480" w:firstLineChars="200"/>
        <w:rPr>
          <w:rFonts w:ascii="宋体" w:hAnsi="宋体" w:cs="宋体"/>
          <w:sz w:val="24"/>
        </w:rPr>
      </w:pPr>
      <w:r>
        <w:rPr>
          <w:rFonts w:hint="eastAsia" w:ascii="宋体" w:hAnsi="宋体" w:cs="宋体"/>
          <w:sz w:val="24"/>
          <w:u w:val="single"/>
        </w:rPr>
        <w:t>江苏海审工程咨询有限公司</w:t>
      </w:r>
      <w:r>
        <w:rPr>
          <w:rFonts w:hint="eastAsia" w:ascii="宋体" w:hAnsi="宋体" w:cs="宋体"/>
          <w:sz w:val="24"/>
        </w:rPr>
        <w:t>（以下简称采购代理机构）受</w:t>
      </w:r>
      <w:r>
        <w:rPr>
          <w:rFonts w:hint="eastAsia" w:ascii="宋体" w:hAnsi="宋体" w:cs="宋体"/>
          <w:sz w:val="24"/>
          <w:u w:val="single"/>
        </w:rPr>
        <w:t>南通市崇川科技园投资发展有限公司</w:t>
      </w:r>
      <w:r>
        <w:rPr>
          <w:rFonts w:hint="eastAsia" w:ascii="宋体" w:hAnsi="宋体" w:cs="宋体"/>
          <w:sz w:val="24"/>
        </w:rPr>
        <w:t>（以下简称采购人）的委托，就</w:t>
      </w:r>
      <w:r>
        <w:rPr>
          <w:rFonts w:hint="eastAsia" w:ascii="宋体" w:hAnsi="宋体" w:cs="宋体"/>
          <w:sz w:val="24"/>
          <w:u w:val="single"/>
        </w:rPr>
        <w:t>苏源工业园2号楼电梯采购安装项目</w:t>
      </w:r>
      <w:r>
        <w:rPr>
          <w:rFonts w:hint="eastAsia" w:ascii="宋体" w:hAnsi="宋体" w:cs="宋体"/>
          <w:sz w:val="24"/>
          <w:u w:val="single"/>
          <w:lang w:eastAsia="zh-CN"/>
        </w:rPr>
        <w:t>（</w:t>
      </w:r>
      <w:r>
        <w:rPr>
          <w:rFonts w:hint="eastAsia" w:ascii="宋体" w:hAnsi="宋体" w:cs="宋体"/>
          <w:sz w:val="24"/>
          <w:u w:val="single"/>
          <w:lang w:val="en-US" w:eastAsia="zh-CN"/>
        </w:rPr>
        <w:t>第二次</w:t>
      </w:r>
      <w:r>
        <w:rPr>
          <w:rFonts w:hint="eastAsia" w:ascii="宋体" w:hAnsi="宋体" w:cs="宋体"/>
          <w:sz w:val="24"/>
          <w:u w:val="single"/>
          <w:lang w:eastAsia="zh-CN"/>
        </w:rPr>
        <w:t>）</w:t>
      </w:r>
      <w:r>
        <w:rPr>
          <w:rFonts w:hint="eastAsia" w:ascii="宋体" w:hAnsi="宋体" w:cs="宋体"/>
          <w:sz w:val="24"/>
        </w:rPr>
        <w:t>拟用公开招标方式组织采购。诚邀符合条件的潜在投标供应商参加投标。项目相关信息</w:t>
      </w:r>
      <w:r>
        <w:rPr>
          <w:rFonts w:hint="eastAsia" w:ascii="宋体" w:hAnsi="宋体"/>
          <w:sz w:val="24"/>
        </w:rPr>
        <w:t>如下：</w:t>
      </w:r>
    </w:p>
    <w:p>
      <w:pPr>
        <w:spacing w:line="360" w:lineRule="auto"/>
        <w:ind w:firstLine="482" w:firstLineChars="200"/>
        <w:rPr>
          <w:rFonts w:hint="eastAsia" w:ascii="宋体" w:hAnsi="宋体" w:eastAsia="宋体" w:cs="宋体"/>
          <w:sz w:val="24"/>
          <w:lang w:eastAsia="zh-CN"/>
        </w:rPr>
      </w:pPr>
      <w:r>
        <w:rPr>
          <w:rFonts w:hint="eastAsia" w:ascii="宋体" w:hAnsi="宋体" w:cs="宋体"/>
          <w:b/>
          <w:sz w:val="24"/>
        </w:rPr>
        <w:t>一、项目名称：</w:t>
      </w:r>
      <w:r>
        <w:rPr>
          <w:rFonts w:hint="eastAsia" w:ascii="宋体" w:hAnsi="宋体" w:cs="宋体"/>
          <w:sz w:val="24"/>
        </w:rPr>
        <w:t>苏源工业园2号楼电梯采购安装项目</w:t>
      </w:r>
      <w:r>
        <w:rPr>
          <w:rFonts w:hint="eastAsia" w:ascii="宋体" w:hAnsi="宋体" w:cs="宋体"/>
          <w:sz w:val="24"/>
          <w:lang w:eastAsia="zh-CN"/>
        </w:rPr>
        <w:t>（</w:t>
      </w:r>
      <w:r>
        <w:rPr>
          <w:rFonts w:hint="eastAsia" w:ascii="宋体" w:hAnsi="宋体" w:cs="宋体"/>
          <w:sz w:val="24"/>
          <w:lang w:val="en-US" w:eastAsia="zh-CN"/>
        </w:rPr>
        <w:t>第二次</w:t>
      </w:r>
      <w:r>
        <w:rPr>
          <w:rFonts w:hint="eastAsia" w:ascii="宋体" w:hAnsi="宋体" w:cs="宋体"/>
          <w:sz w:val="24"/>
          <w:lang w:eastAsia="zh-CN"/>
        </w:rPr>
        <w:t>）</w:t>
      </w:r>
    </w:p>
    <w:p>
      <w:pPr>
        <w:spacing w:line="360" w:lineRule="auto"/>
        <w:ind w:firstLine="482" w:firstLineChars="200"/>
        <w:rPr>
          <w:rFonts w:ascii="宋体" w:hAnsi="宋体" w:cs="宋体"/>
          <w:sz w:val="24"/>
        </w:rPr>
      </w:pPr>
      <w:r>
        <w:rPr>
          <w:rFonts w:hint="eastAsia" w:ascii="宋体" w:hAnsi="宋体" w:cs="宋体"/>
          <w:b/>
          <w:sz w:val="24"/>
        </w:rPr>
        <w:t>二、项目预算：</w:t>
      </w:r>
      <w:r>
        <w:rPr>
          <w:rFonts w:hint="eastAsia" w:ascii="宋体" w:hAnsi="宋体" w:cs="宋体"/>
          <w:sz w:val="24"/>
          <w:u w:val="single"/>
        </w:rPr>
        <w:t xml:space="preserve"> 16 </w:t>
      </w:r>
      <w:r>
        <w:rPr>
          <w:rFonts w:hint="eastAsia" w:ascii="宋体" w:hAnsi="宋体" w:cs="宋体"/>
          <w:sz w:val="24"/>
        </w:rPr>
        <w:t>万元。</w:t>
      </w:r>
    </w:p>
    <w:p>
      <w:pPr>
        <w:spacing w:line="360" w:lineRule="auto"/>
        <w:ind w:firstLine="482" w:firstLineChars="200"/>
        <w:rPr>
          <w:rFonts w:ascii="宋体" w:hAnsi="宋体" w:cs="宋体"/>
          <w:sz w:val="24"/>
        </w:rPr>
      </w:pPr>
      <w:r>
        <w:rPr>
          <w:rFonts w:hint="eastAsia" w:ascii="宋体" w:hAnsi="宋体" w:cs="宋体"/>
          <w:b/>
          <w:sz w:val="24"/>
        </w:rPr>
        <w:t>三、项目需求：</w:t>
      </w:r>
      <w:r>
        <w:rPr>
          <w:rFonts w:hint="eastAsia" w:ascii="宋体" w:hAnsi="宋体" w:cs="宋体"/>
          <w:sz w:val="24"/>
        </w:rPr>
        <w:t>详见招标文件第三章。</w:t>
      </w:r>
    </w:p>
    <w:p>
      <w:pPr>
        <w:spacing w:line="360" w:lineRule="auto"/>
        <w:ind w:firstLine="482" w:firstLineChars="200"/>
        <w:rPr>
          <w:rFonts w:ascii="宋体" w:hAnsi="宋体" w:cs="宋体"/>
          <w:b/>
          <w:bCs/>
          <w:sz w:val="24"/>
        </w:rPr>
      </w:pPr>
      <w:r>
        <w:rPr>
          <w:rFonts w:hint="eastAsia" w:ascii="宋体" w:hAnsi="宋体" w:cs="宋体"/>
          <w:b/>
          <w:bCs/>
          <w:sz w:val="24"/>
        </w:rPr>
        <w:t>四、投标供应商资格要求</w:t>
      </w:r>
    </w:p>
    <w:p>
      <w:pPr>
        <w:spacing w:line="360" w:lineRule="auto"/>
        <w:ind w:firstLine="482" w:firstLineChars="200"/>
        <w:rPr>
          <w:rFonts w:ascii="宋体" w:hAnsi="宋体" w:cs="宋体"/>
          <w:b/>
          <w:bCs/>
          <w:sz w:val="24"/>
        </w:rPr>
      </w:pPr>
      <w:r>
        <w:rPr>
          <w:rFonts w:hint="eastAsia" w:ascii="宋体" w:hAnsi="宋体" w:cs="宋体"/>
          <w:b/>
          <w:sz w:val="24"/>
        </w:rPr>
        <w:t>（一）投标单位须满足以下条件：</w:t>
      </w:r>
    </w:p>
    <w:p>
      <w:pPr>
        <w:snapToGrid w:val="0"/>
        <w:spacing w:line="360" w:lineRule="auto"/>
        <w:ind w:firstLine="480" w:firstLineChars="200"/>
        <w:rPr>
          <w:rFonts w:ascii="宋体" w:hAnsi="宋体" w:cs="黑体"/>
          <w:sz w:val="24"/>
          <w:szCs w:val="21"/>
        </w:rPr>
      </w:pPr>
      <w:r>
        <w:rPr>
          <w:rFonts w:hint="eastAsia" w:ascii="宋体" w:hAnsi="宋体" w:cs="黑体"/>
          <w:sz w:val="24"/>
          <w:szCs w:val="21"/>
        </w:rPr>
        <w:t>1、具有独立承担民事责任能力的主体，提供有效的营业执照复印件。若投标人为法人单位的分支关联机构，必须是由总公司授权的分公司或分支关联机构参加投标。投标时须提供法人或者其他组织的营业执照，提供原件复印件并加盖公章；</w:t>
      </w:r>
    </w:p>
    <w:p>
      <w:pPr>
        <w:snapToGrid w:val="0"/>
        <w:spacing w:line="360" w:lineRule="auto"/>
        <w:ind w:firstLine="480" w:firstLineChars="200"/>
        <w:rPr>
          <w:rFonts w:ascii="宋体" w:hAnsi="宋体" w:cs="黑体"/>
          <w:sz w:val="24"/>
          <w:szCs w:val="21"/>
        </w:rPr>
      </w:pPr>
      <w:r>
        <w:rPr>
          <w:rFonts w:ascii="宋体" w:hAnsi="宋体" w:cs="黑体"/>
          <w:sz w:val="24"/>
          <w:szCs w:val="21"/>
        </w:rPr>
        <w:t>2</w:t>
      </w:r>
      <w:r>
        <w:rPr>
          <w:rFonts w:hint="eastAsia" w:ascii="宋体" w:hAnsi="宋体" w:cs="黑体"/>
          <w:sz w:val="24"/>
          <w:szCs w:val="21"/>
        </w:rPr>
        <w:t>、具有良好的商业信誉和健全的财务会计制度【提供2021年度的财务状况报告（成立不满一年不需提供）】；</w:t>
      </w:r>
    </w:p>
    <w:p>
      <w:pPr>
        <w:snapToGrid w:val="0"/>
        <w:spacing w:line="360" w:lineRule="auto"/>
        <w:ind w:firstLine="480" w:firstLineChars="200"/>
        <w:rPr>
          <w:rFonts w:ascii="宋体" w:hAnsi="宋体" w:cs="黑体"/>
          <w:sz w:val="24"/>
          <w:szCs w:val="21"/>
        </w:rPr>
      </w:pPr>
      <w:r>
        <w:rPr>
          <w:rFonts w:hint="eastAsia" w:ascii="宋体" w:hAnsi="宋体" w:cs="黑体"/>
          <w:sz w:val="24"/>
          <w:szCs w:val="21"/>
        </w:rPr>
        <w:t>3、具有履行合同所必须的设备和专业技术能力（</w:t>
      </w:r>
      <w:r>
        <w:rPr>
          <w:rFonts w:hint="eastAsia" w:ascii="宋体" w:hAnsi="宋体" w:cs="宋体"/>
          <w:sz w:val="24"/>
        </w:rPr>
        <w:t>格式参见第八章</w:t>
      </w:r>
      <w:r>
        <w:rPr>
          <w:rFonts w:hint="eastAsia" w:ascii="宋体" w:hAnsi="宋体" w:cs="黑体"/>
          <w:sz w:val="24"/>
          <w:szCs w:val="21"/>
        </w:rPr>
        <w:t>）；</w:t>
      </w:r>
    </w:p>
    <w:p>
      <w:pPr>
        <w:snapToGrid w:val="0"/>
        <w:spacing w:line="360" w:lineRule="auto"/>
        <w:ind w:firstLine="480" w:firstLineChars="200"/>
        <w:rPr>
          <w:rFonts w:ascii="宋体" w:hAnsi="宋体" w:cs="黑体"/>
          <w:sz w:val="24"/>
          <w:szCs w:val="21"/>
        </w:rPr>
      </w:pPr>
      <w:r>
        <w:rPr>
          <w:rFonts w:ascii="宋体" w:hAnsi="宋体" w:cs="黑体"/>
          <w:sz w:val="24"/>
          <w:szCs w:val="21"/>
        </w:rPr>
        <w:t>4</w:t>
      </w:r>
      <w:r>
        <w:rPr>
          <w:rFonts w:hint="eastAsia" w:ascii="宋体" w:hAnsi="宋体" w:cs="黑体"/>
          <w:sz w:val="24"/>
          <w:szCs w:val="21"/>
        </w:rPr>
        <w:t>、有依法缴纳税收和社会保障资金的良好记录（</w:t>
      </w:r>
      <w:r>
        <w:rPr>
          <w:rFonts w:hint="eastAsia" w:ascii="宋体" w:hAnsi="宋体" w:cs="宋体"/>
          <w:sz w:val="24"/>
        </w:rPr>
        <w:t>提供2022年7月-2022年12月任意一个月的依法缴纳税收和社会保障资金的相关材料</w:t>
      </w:r>
      <w:r>
        <w:rPr>
          <w:rFonts w:hint="eastAsia" w:ascii="宋体" w:hAnsi="宋体" w:cs="黑体"/>
          <w:sz w:val="24"/>
          <w:szCs w:val="21"/>
        </w:rPr>
        <w:t>）；</w:t>
      </w:r>
    </w:p>
    <w:p>
      <w:pPr>
        <w:snapToGrid w:val="0"/>
        <w:spacing w:line="360" w:lineRule="auto"/>
        <w:ind w:firstLine="480" w:firstLineChars="200"/>
        <w:rPr>
          <w:rFonts w:ascii="宋体" w:hAnsi="宋体" w:cs="黑体"/>
          <w:sz w:val="24"/>
          <w:szCs w:val="21"/>
        </w:rPr>
      </w:pPr>
      <w:r>
        <w:rPr>
          <w:rFonts w:ascii="宋体" w:hAnsi="宋体" w:cs="黑体"/>
          <w:sz w:val="24"/>
          <w:szCs w:val="21"/>
        </w:rPr>
        <w:t>5</w:t>
      </w:r>
      <w:r>
        <w:rPr>
          <w:rFonts w:hint="eastAsia" w:ascii="宋体" w:hAnsi="宋体" w:cs="黑体"/>
          <w:sz w:val="24"/>
          <w:szCs w:val="21"/>
        </w:rPr>
        <w:t>、参加采购活动近三年内，在经营活动中没有重大违法记录（</w:t>
      </w:r>
      <w:r>
        <w:rPr>
          <w:rFonts w:hint="eastAsia" w:ascii="宋体" w:hAnsi="宋体" w:cs="宋体"/>
          <w:sz w:val="24"/>
        </w:rPr>
        <w:t>提供参加本项目采购活动前3年内在经营活动中没有重大违法记录的书面声明，按第八章后附格式</w:t>
      </w:r>
      <w:r>
        <w:rPr>
          <w:rFonts w:hint="eastAsia" w:ascii="宋体" w:hAnsi="宋体" w:cs="黑体"/>
          <w:sz w:val="24"/>
          <w:szCs w:val="21"/>
        </w:rPr>
        <w:t>）。</w:t>
      </w:r>
    </w:p>
    <w:p>
      <w:pPr>
        <w:snapToGrid w:val="0"/>
        <w:spacing w:line="360" w:lineRule="auto"/>
        <w:ind w:firstLine="480" w:firstLineChars="200"/>
        <w:rPr>
          <w:rFonts w:ascii="宋体" w:hAnsi="宋体" w:cs="黑体"/>
          <w:sz w:val="24"/>
          <w:szCs w:val="21"/>
        </w:rPr>
      </w:pPr>
      <w:r>
        <w:rPr>
          <w:rFonts w:hint="eastAsia" w:ascii="宋体" w:hAnsi="宋体" w:cs="Arial"/>
          <w:sz w:val="24"/>
          <w:szCs w:val="21"/>
        </w:rPr>
        <w:t>6、投标人必须为电梯制造商或取得生产厂家对本项目唯一授权的代理商或分支机构；每一品牌只接受一家制造商或其授权代理商或分支机构投标；同一品牌，有多家授权代理商或分支机构参与投标的，均作无效标处理，如制造商和代理商或分支机构同时参与投标的，只接受制造商投标，代理商或分支机构投标作无效标处理。</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7、法定代表人参加投标的，必须提供法定代表人身份证明及法定代表人本人身份证复印件；非法定代表人参加投标的，必须提供法定代表人签名或盖章的授权委托书及被授权人本人的身份证复印件（格式参见第八章）。被授权人为供应商正式人员证明材料【提供①与投标供应商签订的有效劳动合同复印件；②社保机构出具并盖章的投标供应商为其缴纳2022年6月-2021年11月连续6个月的社会保险证明】。</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8、供应商资质要求：</w:t>
      </w:r>
    </w:p>
    <w:p>
      <w:pPr>
        <w:autoSpaceDE w:val="0"/>
        <w:autoSpaceDN w:val="0"/>
        <w:snapToGrid w:val="0"/>
        <w:spacing w:line="360" w:lineRule="auto"/>
        <w:ind w:firstLine="480" w:firstLineChars="200"/>
        <w:rPr>
          <w:rFonts w:ascii="宋体" w:hAnsi="宋体" w:cs="宋体"/>
          <w:sz w:val="24"/>
          <w:highlight w:val="cyan"/>
        </w:rPr>
      </w:pPr>
      <w:r>
        <w:rPr>
          <w:rFonts w:hint="eastAsia" w:ascii="宋体" w:hAnsi="宋体" w:cs="宋体"/>
          <w:kern w:val="0"/>
          <w:sz w:val="24"/>
        </w:rPr>
        <w:t xml:space="preserve">8.1 </w:t>
      </w:r>
      <w:r>
        <w:rPr>
          <w:rFonts w:hint="eastAsia" w:ascii="宋体" w:hAnsi="宋体" w:cs="宋体"/>
          <w:sz w:val="24"/>
        </w:rPr>
        <w:t>如</w:t>
      </w:r>
      <w:r>
        <w:rPr>
          <w:rFonts w:hint="eastAsia" w:ascii="宋体" w:hAnsi="宋体" w:cs="宋体"/>
          <w:b/>
          <w:bCs/>
          <w:sz w:val="24"/>
        </w:rPr>
        <w:t>品牌制造商</w:t>
      </w:r>
      <w:r>
        <w:rPr>
          <w:rFonts w:hint="eastAsia" w:ascii="宋体" w:hAnsi="宋体" w:cs="宋体"/>
          <w:sz w:val="24"/>
        </w:rPr>
        <w:t>参与投标的，必须满足下列条件（序号一、二、三）之一：</w:t>
      </w:r>
    </w:p>
    <w:tbl>
      <w:tblPr>
        <w:tblStyle w:val="54"/>
        <w:tblW w:w="9387" w:type="dxa"/>
        <w:tblInd w:w="93" w:type="dxa"/>
        <w:tblLayout w:type="autofit"/>
        <w:tblCellMar>
          <w:top w:w="0" w:type="dxa"/>
          <w:left w:w="108" w:type="dxa"/>
          <w:bottom w:w="0" w:type="dxa"/>
          <w:right w:w="108" w:type="dxa"/>
        </w:tblCellMar>
      </w:tblPr>
      <w:tblGrid>
        <w:gridCol w:w="780"/>
        <w:gridCol w:w="2892"/>
        <w:gridCol w:w="5715"/>
      </w:tblGrid>
      <w:tr>
        <w:tblPrEx>
          <w:tblCellMar>
            <w:top w:w="0" w:type="dxa"/>
            <w:left w:w="108" w:type="dxa"/>
            <w:bottom w:w="0" w:type="dxa"/>
            <w:right w:w="108" w:type="dxa"/>
          </w:tblCellMar>
        </w:tblPrEx>
        <w:trPr>
          <w:trHeight w:val="570" w:hRule="atLeast"/>
        </w:trPr>
        <w:tc>
          <w:tcPr>
            <w:tcW w:w="78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60" w:lineRule="auto"/>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证书名称</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证书内容</w:t>
            </w:r>
          </w:p>
        </w:tc>
      </w:tr>
      <w:tr>
        <w:tblPrEx>
          <w:tblCellMar>
            <w:top w:w="0" w:type="dxa"/>
            <w:left w:w="108" w:type="dxa"/>
            <w:bottom w:w="0" w:type="dxa"/>
            <w:right w:w="108" w:type="dxa"/>
          </w:tblCellMar>
        </w:tblPrEx>
        <w:trPr>
          <w:trHeight w:val="114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cs="宋体"/>
                <w:color w:val="000000"/>
                <w:kern w:val="0"/>
                <w:sz w:val="24"/>
                <w:lang w:bidi="ar"/>
              </w:rPr>
              <w:t>一</w:t>
            </w:r>
          </w:p>
        </w:tc>
        <w:tc>
          <w:tcPr>
            <w:tcW w:w="289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特种设备生产许可证</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许可项目：电梯制造（含安装、修理、改造）</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许可子项目：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曳引驱动载货电梯和强制驱动载货电梯（含防爆电梯中的载货电梯）</w:t>
            </w:r>
          </w:p>
        </w:tc>
      </w:tr>
      <w:tr>
        <w:tblPrEx>
          <w:tblCellMar>
            <w:top w:w="0" w:type="dxa"/>
            <w:left w:w="108" w:type="dxa"/>
            <w:bottom w:w="0" w:type="dxa"/>
            <w:right w:w="108" w:type="dxa"/>
          </w:tblCellMar>
        </w:tblPrEx>
        <w:trPr>
          <w:trHeight w:val="660" w:hRule="atLeast"/>
        </w:trPr>
        <w:tc>
          <w:tcPr>
            <w:tcW w:w="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cs="宋体"/>
                <w:color w:val="000000"/>
                <w:kern w:val="0"/>
                <w:sz w:val="24"/>
                <w:lang w:bidi="ar"/>
              </w:rPr>
              <w:t>二</w:t>
            </w:r>
          </w:p>
        </w:tc>
        <w:tc>
          <w:tcPr>
            <w:tcW w:w="289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特种设备制造许可证</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载货电梯：曳引式货梯C级及以上</w:t>
            </w:r>
          </w:p>
        </w:tc>
      </w:tr>
      <w:tr>
        <w:tblPrEx>
          <w:tblCellMar>
            <w:top w:w="0" w:type="dxa"/>
            <w:left w:w="108" w:type="dxa"/>
            <w:bottom w:w="0" w:type="dxa"/>
            <w:right w:w="108" w:type="dxa"/>
          </w:tblCellMar>
        </w:tblPrEx>
        <w:trPr>
          <w:trHeight w:val="995" w:hRule="atLeast"/>
        </w:trPr>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000000"/>
                <w:sz w:val="24"/>
              </w:rPr>
            </w:pPr>
          </w:p>
        </w:tc>
        <w:tc>
          <w:tcPr>
            <w:tcW w:w="2892" w:type="dxa"/>
            <w:tcBorders>
              <w:top w:val="single" w:color="000000" w:sz="4" w:space="0"/>
              <w:left w:val="single" w:color="auto"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中华人民共和国特种设备安装改造维修许可证</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eastAsia="方正仿宋简体"/>
                <w:sz w:val="24"/>
              </w:rPr>
            </w:pPr>
            <w:r>
              <w:rPr>
                <w:rFonts w:hint="eastAsia" w:ascii="宋体" w:hAnsi="宋体" w:cs="宋体"/>
                <w:color w:val="000000"/>
                <w:kern w:val="0"/>
                <w:sz w:val="24"/>
                <w:lang w:bidi="ar"/>
              </w:rPr>
              <w:t>载货电梯：施工类别（安装、维修、改造）C级及以上</w:t>
            </w:r>
          </w:p>
        </w:tc>
      </w:tr>
      <w:tr>
        <w:tblPrEx>
          <w:tblCellMar>
            <w:top w:w="0" w:type="dxa"/>
            <w:left w:w="108" w:type="dxa"/>
            <w:bottom w:w="0" w:type="dxa"/>
            <w:right w:w="108" w:type="dxa"/>
          </w:tblCellMar>
        </w:tblPrEx>
        <w:trPr>
          <w:trHeight w:val="760" w:hRule="atLeast"/>
        </w:trPr>
        <w:tc>
          <w:tcPr>
            <w:tcW w:w="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000000"/>
                <w:sz w:val="24"/>
              </w:rPr>
            </w:pPr>
            <w:r>
              <w:rPr>
                <w:rFonts w:hint="eastAsia" w:ascii="宋体" w:hAnsi="宋体" w:cs="宋体"/>
                <w:color w:val="000000"/>
                <w:sz w:val="24"/>
              </w:rPr>
              <w:t>三</w:t>
            </w:r>
          </w:p>
        </w:tc>
        <w:tc>
          <w:tcPr>
            <w:tcW w:w="289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特种设备制造许可证</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载货电梯：曳引式货梯C级及以上</w:t>
            </w:r>
          </w:p>
        </w:tc>
      </w:tr>
      <w:tr>
        <w:tblPrEx>
          <w:tblCellMar>
            <w:top w:w="0" w:type="dxa"/>
            <w:left w:w="108" w:type="dxa"/>
            <w:bottom w:w="0" w:type="dxa"/>
            <w:right w:w="108" w:type="dxa"/>
          </w:tblCellMar>
        </w:tblPrEx>
        <w:trPr>
          <w:trHeight w:val="760" w:hRule="atLeast"/>
        </w:trPr>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000000"/>
                <w:sz w:val="24"/>
              </w:rPr>
            </w:pPr>
          </w:p>
        </w:tc>
        <w:tc>
          <w:tcPr>
            <w:tcW w:w="289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特种设备生产许可证</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许可项目：电梯</w:t>
            </w:r>
            <w:r>
              <w:rPr>
                <w:rFonts w:ascii="宋体" w:hAnsi="宋体" w:cs="宋体"/>
                <w:color w:val="000000"/>
                <w:kern w:val="0"/>
                <w:sz w:val="24"/>
                <w:lang w:bidi="ar"/>
              </w:rPr>
              <w:t>安装（含修理）</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许可子项目：</w:t>
            </w:r>
            <w:r>
              <w:rPr>
                <w:rFonts w:ascii="宋体" w:hAnsi="宋体" w:cs="宋体"/>
                <w:color w:val="000000"/>
                <w:kern w:val="0"/>
                <w:sz w:val="24"/>
                <w:lang w:bidi="ar"/>
              </w:rPr>
              <w:t>安装（含修理）</w:t>
            </w:r>
            <w:r>
              <w:rPr>
                <w:rFonts w:hint="eastAsia" w:ascii="宋体" w:hAnsi="宋体" w:cs="宋体"/>
                <w:color w:val="000000"/>
                <w:kern w:val="0"/>
                <w:sz w:val="24"/>
                <w:lang w:bidi="ar"/>
              </w:rPr>
              <w:t>曳引驱动载货电梯和强制驱动载货电梯（含防爆电梯中的载货电梯）B级</w:t>
            </w:r>
          </w:p>
        </w:tc>
      </w:tr>
    </w:tbl>
    <w:p>
      <w:pPr>
        <w:snapToGrid w:val="0"/>
        <w:spacing w:before="156" w:beforeLines="50" w:line="360" w:lineRule="auto"/>
        <w:ind w:firstLine="480" w:firstLineChars="200"/>
        <w:rPr>
          <w:rFonts w:ascii="宋体" w:hAnsi="宋体" w:cs="Arial"/>
          <w:sz w:val="24"/>
          <w:szCs w:val="21"/>
        </w:rPr>
      </w:pPr>
      <w:r>
        <w:rPr>
          <w:rFonts w:hint="eastAsia" w:ascii="宋体" w:hAnsi="宋体" w:cs="宋体"/>
          <w:sz w:val="24"/>
        </w:rPr>
        <w:t>8.2如为</w:t>
      </w:r>
      <w:r>
        <w:rPr>
          <w:rFonts w:hint="eastAsia" w:ascii="宋体" w:hAnsi="宋体" w:cs="宋体"/>
          <w:b/>
          <w:bCs/>
          <w:sz w:val="24"/>
        </w:rPr>
        <w:t>代理商或分支机构</w:t>
      </w:r>
      <w:r>
        <w:rPr>
          <w:rFonts w:hint="eastAsia" w:ascii="宋体" w:hAnsi="宋体" w:cs="宋体"/>
          <w:sz w:val="24"/>
        </w:rPr>
        <w:t>参与投标的，品牌制造商需满足本公告8.1条件（序号一、二、三）之一外【代理商或分支机构投标时必须提供对应品牌制造商8.1条件（序号一、二、三）之一对应资料复印件】，代理商或分支机构还必须具备电梯安装、维修、改造C级及以上资质或特种设备生产许可证（电梯安装（含修理），且取得生产厂家对本项</w:t>
      </w:r>
      <w:r>
        <w:rPr>
          <w:rFonts w:hint="eastAsia" w:ascii="宋体" w:hAnsi="宋体" w:cs="Arial"/>
          <w:sz w:val="24"/>
          <w:szCs w:val="21"/>
        </w:rPr>
        <w:t>目唯一授权。</w:t>
      </w:r>
    </w:p>
    <w:p>
      <w:pPr>
        <w:snapToGrid w:val="0"/>
        <w:spacing w:line="360" w:lineRule="auto"/>
        <w:ind w:firstLine="480" w:firstLineChars="200"/>
        <w:rPr>
          <w:rFonts w:ascii="宋体" w:hAnsi="宋体" w:cs="Arial"/>
          <w:sz w:val="24"/>
          <w:szCs w:val="21"/>
        </w:rPr>
      </w:pPr>
      <w:r>
        <w:rPr>
          <w:rFonts w:hint="eastAsia" w:ascii="宋体" w:hAnsi="宋体" w:cs="Arial"/>
          <w:sz w:val="24"/>
          <w:szCs w:val="21"/>
        </w:rPr>
        <w:t>9、拟派项目负责人为投标企业正式人员（提供与投标人的有效劳动合同及投标企业为其缴纳的2022年6月至2022年11月连续6个月社会保险证明），还须具备工程技术类中级及以上职称和特种设备作业人员资格（T证）；</w:t>
      </w:r>
    </w:p>
    <w:p>
      <w:pPr>
        <w:pStyle w:val="53"/>
        <w:spacing w:line="360" w:lineRule="auto"/>
        <w:ind w:left="0" w:leftChars="0" w:firstLine="482"/>
        <w:rPr>
          <w:rFonts w:ascii="宋体" w:hAnsi="宋体"/>
          <w:b/>
          <w:bCs/>
          <w:sz w:val="24"/>
        </w:rPr>
      </w:pPr>
      <w:r>
        <w:rPr>
          <w:rFonts w:hint="eastAsia" w:ascii="宋体" w:hAnsi="宋体"/>
          <w:b/>
          <w:bCs/>
          <w:sz w:val="24"/>
        </w:rPr>
        <w:t>10、其他说明：</w:t>
      </w:r>
    </w:p>
    <w:p>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10.1本项目电梯建议品牌为杭州西奥、康力、奥的斯机电、帝奥。</w:t>
      </w:r>
    </w:p>
    <w:p>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项目中的建议品牌，只是建议所采购产品的档次。投标人可以选择建议品牌，也可以选择建议品牌以外的品牌，但所选品牌档次须等于或高于建议品牌档次。其产品技术参数须等于或高于建议品牌产品型号的技术参数。同时投标人应当在投标时提供以下资料：①由相关机构出具的检测报告；②技术白皮书；③生产许可证（若①②③项出具材料为复印件，则需加盖厂家红章，不满足上述要求的，将不予以认可），当全体评委一致认定，所选品牌档次及技术参数高于或等于建议品牌的，作为有效响应，否则将作无效响应处理。</w:t>
      </w:r>
    </w:p>
    <w:p>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注：非推荐品牌产品必须满足招标文件技术的最低要求。</w:t>
      </w:r>
    </w:p>
    <w:p>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10.2不同品牌设备制造商之间若存在控股、管理关系或母公司、全资子公司关系或被同一母公司控股、管理关系的，只接受一个品牌参与投标。</w:t>
      </w:r>
    </w:p>
    <w:p>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10.3如品牌制造商投标的，安装项目及维保合同可由该品牌制造商具有安装维修资质的分公司与采购人签订。如为代理商或分支机构投标，电梯采购项目、安装项目及维保合同都由代理商或分支机构签订。</w:t>
      </w:r>
    </w:p>
    <w:p>
      <w:pPr>
        <w:autoSpaceDE w:val="0"/>
        <w:autoSpaceDN w:val="0"/>
        <w:snapToGrid w:val="0"/>
        <w:spacing w:line="360" w:lineRule="auto"/>
        <w:ind w:firstLine="480" w:firstLineChars="200"/>
        <w:rPr>
          <w:rFonts w:ascii="宋体" w:hAnsi="宋体" w:cs="宋体"/>
          <w:sz w:val="24"/>
        </w:rPr>
      </w:pPr>
      <w:bookmarkStart w:id="2" w:name="_Toc387526366"/>
      <w:bookmarkStart w:id="3" w:name="_Toc387526274"/>
      <w:bookmarkStart w:id="4" w:name="_Toc387526170"/>
      <w:r>
        <w:rPr>
          <w:rFonts w:hint="eastAsia" w:ascii="宋体" w:hAnsi="宋体" w:cs="宋体"/>
          <w:sz w:val="24"/>
        </w:rPr>
        <w:t>10.4未尽之处详见“第三章 项目需求”。</w:t>
      </w:r>
    </w:p>
    <w:p>
      <w:pPr>
        <w:snapToGrid w:val="0"/>
        <w:spacing w:line="360" w:lineRule="auto"/>
        <w:ind w:firstLine="480" w:firstLineChars="200"/>
        <w:rPr>
          <w:rFonts w:ascii="宋体" w:hAnsi="宋体" w:cs="黑体"/>
          <w:sz w:val="24"/>
          <w:szCs w:val="21"/>
        </w:rPr>
      </w:pPr>
      <w:r>
        <w:rPr>
          <w:rFonts w:hint="eastAsia" w:ascii="宋体" w:hAnsi="宋体" w:cs="Arial"/>
          <w:sz w:val="24"/>
          <w:szCs w:val="21"/>
        </w:rPr>
        <w:t>11、关于资格文件的声明函（</w:t>
      </w:r>
      <w:r>
        <w:rPr>
          <w:rFonts w:hint="eastAsia" w:ascii="宋体" w:hAnsi="宋体" w:cs="宋体"/>
          <w:sz w:val="24"/>
        </w:rPr>
        <w:t>格式参见第八章</w:t>
      </w:r>
      <w:r>
        <w:rPr>
          <w:rFonts w:hint="eastAsia" w:ascii="宋体" w:hAnsi="宋体" w:cs="Arial"/>
          <w:sz w:val="24"/>
          <w:szCs w:val="21"/>
        </w:rPr>
        <w:t>）。</w:t>
      </w:r>
    </w:p>
    <w:p>
      <w:pPr>
        <w:snapToGrid w:val="0"/>
        <w:spacing w:line="360" w:lineRule="auto"/>
        <w:ind w:firstLine="480" w:firstLineChars="200"/>
        <w:rPr>
          <w:rFonts w:ascii="宋体" w:hAnsi="宋体" w:cs="Arial"/>
          <w:sz w:val="24"/>
          <w:szCs w:val="21"/>
        </w:rPr>
      </w:pPr>
      <w:r>
        <w:rPr>
          <w:rFonts w:hint="eastAsia" w:ascii="宋体" w:hAnsi="宋体" w:cs="Arial"/>
          <w:sz w:val="24"/>
          <w:szCs w:val="21"/>
        </w:rPr>
        <w:t>12、无重大违法记录声明函（</w:t>
      </w:r>
      <w:r>
        <w:rPr>
          <w:rFonts w:hint="eastAsia" w:ascii="宋体" w:hAnsi="宋体" w:cs="宋体"/>
          <w:sz w:val="24"/>
        </w:rPr>
        <w:t>格式参见第八章</w:t>
      </w:r>
      <w:r>
        <w:rPr>
          <w:rFonts w:hint="eastAsia" w:ascii="宋体" w:hAnsi="宋体" w:cs="Arial"/>
          <w:sz w:val="24"/>
          <w:szCs w:val="21"/>
        </w:rPr>
        <w:t>）。</w:t>
      </w:r>
    </w:p>
    <w:p>
      <w:pPr>
        <w:snapToGrid w:val="0"/>
        <w:spacing w:line="360" w:lineRule="auto"/>
        <w:ind w:firstLine="480" w:firstLineChars="200"/>
        <w:rPr>
          <w:rFonts w:ascii="宋体" w:hAnsi="宋体"/>
          <w:sz w:val="24"/>
        </w:rPr>
      </w:pPr>
      <w:r>
        <w:rPr>
          <w:rFonts w:hint="eastAsia" w:ascii="宋体" w:hAnsi="宋体" w:cs="Arial"/>
          <w:sz w:val="24"/>
          <w:szCs w:val="21"/>
        </w:rPr>
        <w:t>13、</w:t>
      </w:r>
      <w:r>
        <w:rPr>
          <w:rFonts w:ascii="宋体" w:hAnsi="宋体"/>
          <w:sz w:val="24"/>
        </w:rPr>
        <w:t>本</w:t>
      </w:r>
      <w:r>
        <w:rPr>
          <w:rFonts w:hint="eastAsia" w:ascii="宋体" w:hAnsi="宋体"/>
          <w:sz w:val="24"/>
        </w:rPr>
        <w:t>项目</w:t>
      </w:r>
      <w:r>
        <w:rPr>
          <w:rFonts w:ascii="宋体" w:hAnsi="宋体"/>
          <w:sz w:val="24"/>
        </w:rPr>
        <w:t>不接受联合体形式的投标形式</w:t>
      </w:r>
      <w:r>
        <w:rPr>
          <w:rFonts w:hint="eastAsia" w:ascii="宋体" w:hAnsi="宋体"/>
          <w:sz w:val="24"/>
        </w:rPr>
        <w:t>。</w:t>
      </w:r>
    </w:p>
    <w:bookmarkEnd w:id="2"/>
    <w:bookmarkEnd w:id="3"/>
    <w:bookmarkEnd w:id="4"/>
    <w:p>
      <w:pPr>
        <w:spacing w:line="360" w:lineRule="auto"/>
        <w:ind w:firstLine="482" w:firstLineChars="200"/>
        <w:rPr>
          <w:rFonts w:ascii="宋体" w:hAnsi="宋体" w:cs="宋体"/>
          <w:b/>
          <w:sz w:val="24"/>
          <w:u w:val="thick" w:color="FF0000"/>
        </w:rPr>
      </w:pPr>
      <w:r>
        <w:rPr>
          <w:rFonts w:hint="eastAsia" w:ascii="宋体" w:hAnsi="宋体" w:cs="宋体"/>
          <w:b/>
          <w:sz w:val="24"/>
          <w:u w:val="thick" w:color="FF0000"/>
        </w:rPr>
        <w:t>具体详见本招标文件《第八章　投标文件组成及格式》中的资格审查文件要求</w:t>
      </w:r>
      <w:r>
        <w:rPr>
          <w:rFonts w:hint="eastAsia" w:ascii="宋体" w:hAnsi="宋体" w:cs="宋体"/>
          <w:b/>
          <w:sz w:val="24"/>
        </w:rPr>
        <w:t>。</w:t>
      </w:r>
    </w:p>
    <w:p>
      <w:pPr>
        <w:snapToGrid w:val="0"/>
        <w:spacing w:line="360" w:lineRule="auto"/>
        <w:ind w:firstLine="482" w:firstLineChars="200"/>
        <w:rPr>
          <w:rFonts w:ascii="宋体" w:hAnsi="宋体" w:cs="宋体"/>
          <w:b/>
          <w:bCs/>
          <w:sz w:val="24"/>
          <w:szCs w:val="21"/>
        </w:rPr>
      </w:pPr>
      <w:r>
        <w:rPr>
          <w:rFonts w:hint="eastAsia" w:ascii="宋体" w:hAnsi="宋体" w:cs="宋体"/>
          <w:b/>
          <w:bCs/>
          <w:kern w:val="0"/>
          <w:sz w:val="24"/>
          <w:u w:val="thick" w:color="FF0000"/>
        </w:rPr>
        <w:t>请投标供应商认真对照资格条件，如不符合要求的，无意或故意参与投标所产生的一切后果由投标供应商自行承担，开标过程中，投标供应商提供的相关证件为虚假或伪造，或者其他人员持法定代表人或授权委托人的身份证参与投标，一经发现则取消投标供应商资格，</w:t>
      </w:r>
      <w:r>
        <w:rPr>
          <w:rFonts w:hint="eastAsia" w:ascii="宋体" w:hAnsi="宋体" w:cs="宋体"/>
          <w:b/>
          <w:kern w:val="0"/>
          <w:sz w:val="24"/>
          <w:u w:val="thick" w:color="FF0000"/>
        </w:rPr>
        <w:t>该投标供应商将记入不良记录，并报相关部门后将其列入采购黑名单</w:t>
      </w:r>
      <w:r>
        <w:rPr>
          <w:rFonts w:hint="eastAsia" w:ascii="宋体" w:hAnsi="宋体" w:cs="宋体"/>
          <w:b/>
          <w:sz w:val="24"/>
          <w:u w:val="thick" w:color="FF0000"/>
          <w:lang w:bidi="ar"/>
        </w:rPr>
        <w:t>，视情公布在</w:t>
      </w:r>
      <w:r>
        <w:rPr>
          <w:rFonts w:hint="eastAsia" w:ascii="宋体" w:hAnsi="宋体" w:cs="宋体"/>
          <w:b/>
          <w:bCs/>
          <w:sz w:val="24"/>
          <w:u w:val="thick" w:color="FF0000"/>
          <w:lang w:bidi="ar"/>
        </w:rPr>
        <w:t>崇川区人民政府网</w:t>
      </w:r>
      <w:r>
        <w:rPr>
          <w:rFonts w:hint="eastAsia" w:ascii="宋体" w:hAnsi="宋体" w:cs="宋体"/>
          <w:b/>
          <w:bCs/>
          <w:sz w:val="24"/>
          <w:szCs w:val="21"/>
        </w:rPr>
        <w:t>。</w:t>
      </w:r>
    </w:p>
    <w:p>
      <w:pPr>
        <w:snapToGrid w:val="0"/>
        <w:spacing w:line="360" w:lineRule="auto"/>
        <w:ind w:firstLine="482" w:firstLineChars="200"/>
        <w:rPr>
          <w:rFonts w:ascii="宋体" w:hAnsi="宋体" w:cs="宋体"/>
          <w:b/>
          <w:bCs/>
          <w:sz w:val="24"/>
          <w:szCs w:val="21"/>
        </w:rPr>
      </w:pPr>
      <w:r>
        <w:rPr>
          <w:b/>
          <w:sz w:val="24"/>
          <w:u w:val="thick" w:color="FF0000"/>
        </w:rPr>
        <w:t>供应商应依照规定提交各类声明函、承诺函，不再同时提供原件备查或提供有关部门出具的相关证明文件。但中标或</w:t>
      </w:r>
      <w:r>
        <w:rPr>
          <w:rFonts w:hint="eastAsia"/>
          <w:b/>
          <w:sz w:val="24"/>
          <w:u w:val="thick" w:color="FF0000"/>
        </w:rPr>
        <w:t>中标</w:t>
      </w:r>
      <w:r>
        <w:rPr>
          <w:b/>
          <w:sz w:val="24"/>
          <w:u w:val="thick" w:color="FF0000"/>
        </w:rPr>
        <w:t>供应商，应做好提交声明函、承诺函相应原件的核查准备；核查后发现虚假或违背承诺的，依照相关法律法规规定处理</w:t>
      </w:r>
      <w:r>
        <w:rPr>
          <w:rFonts w:hint="eastAsia"/>
          <w:b/>
          <w:sz w:val="24"/>
          <w:u w:val="thick" w:color="FF0000"/>
        </w:rPr>
        <w:t>。</w:t>
      </w:r>
    </w:p>
    <w:p>
      <w:pPr>
        <w:snapToGrid w:val="0"/>
        <w:spacing w:line="360" w:lineRule="auto"/>
        <w:ind w:firstLine="482" w:firstLineChars="200"/>
        <w:rPr>
          <w:rFonts w:ascii="宋体" w:hAnsi="宋体" w:cs="宋体"/>
          <w:b/>
          <w:bCs/>
          <w:sz w:val="24"/>
          <w:szCs w:val="21"/>
        </w:rPr>
      </w:pPr>
      <w:r>
        <w:rPr>
          <w:rFonts w:hint="eastAsia" w:ascii="宋体" w:hAnsi="宋体" w:cs="宋体"/>
          <w:b/>
          <w:sz w:val="24"/>
          <w:u w:val="thick" w:color="FF0000"/>
        </w:rPr>
        <w:t>【特别提醒】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投标供应商递交的资格后审材料有弄虚作假行为，该投标供应商将记入不良记录，并上报有关部门，如已中标，采购人有权取消其中标资格，并由该投标供应商承担由此带来可能的一切责任和损失</w:t>
      </w:r>
      <w:r>
        <w:rPr>
          <w:rFonts w:hint="eastAsia" w:ascii="宋体" w:hAnsi="宋体"/>
          <w:b/>
          <w:bCs/>
          <w:kern w:val="0"/>
          <w:sz w:val="24"/>
        </w:rPr>
        <w:t>。</w:t>
      </w:r>
    </w:p>
    <w:p>
      <w:pPr>
        <w:pStyle w:val="53"/>
        <w:adjustRightInd w:val="0"/>
        <w:spacing w:after="0" w:line="360" w:lineRule="auto"/>
        <w:ind w:left="0" w:leftChars="0" w:firstLine="482"/>
        <w:rPr>
          <w:rFonts w:ascii="宋体" w:hAnsi="宋体" w:cs="宋体"/>
          <w:b/>
          <w:sz w:val="24"/>
        </w:rPr>
      </w:pPr>
      <w:r>
        <w:rPr>
          <w:rFonts w:hint="eastAsia" w:ascii="宋体" w:hAnsi="宋体" w:cs="宋体"/>
          <w:b/>
          <w:sz w:val="24"/>
        </w:rPr>
        <w:t>六、</w:t>
      </w:r>
      <w:r>
        <w:rPr>
          <w:rFonts w:hint="eastAsia" w:ascii="宋体" w:hAnsi="宋体"/>
          <w:b/>
          <w:sz w:val="24"/>
        </w:rPr>
        <w:t>投标</w:t>
      </w:r>
    </w:p>
    <w:p>
      <w:pPr>
        <w:spacing w:line="360" w:lineRule="auto"/>
        <w:ind w:firstLine="482" w:firstLineChars="200"/>
        <w:rPr>
          <w:rFonts w:ascii="宋体" w:hAnsi="宋体" w:cs="宋体"/>
          <w:b/>
          <w:sz w:val="24"/>
        </w:rPr>
      </w:pPr>
      <w:r>
        <w:rPr>
          <w:rFonts w:hint="eastAsia" w:ascii="宋体" w:hAnsi="宋体" w:cs="宋体"/>
          <w:b/>
          <w:sz w:val="24"/>
          <w:u w:val="thick" w:color="FF0000"/>
        </w:rPr>
        <w:t>1、投标供应商须认真阅读本招标文件的资格、技术、商务报价的各项要求条款，结合项目需求提供投标文件参与本项目的采购活动。投标文件中如有各项投标资料经查实为弄虚作假的，将被列入“采购严重违法失信行为记录名单”</w:t>
      </w:r>
      <w:r>
        <w:rPr>
          <w:rFonts w:hint="eastAsia" w:ascii="宋体" w:hAnsi="宋体" w:cs="宋体"/>
          <w:b/>
          <w:sz w:val="24"/>
        </w:rPr>
        <w:t>。</w:t>
      </w:r>
    </w:p>
    <w:p>
      <w:pPr>
        <w:autoSpaceDE w:val="0"/>
        <w:autoSpaceDN w:val="0"/>
        <w:adjustRightInd w:val="0"/>
        <w:spacing w:line="360" w:lineRule="auto"/>
        <w:ind w:firstLine="482" w:firstLineChars="200"/>
        <w:rPr>
          <w:rFonts w:ascii="宋体" w:hAnsi="宋体" w:cs="宋体"/>
          <w:b/>
          <w:bCs/>
          <w:sz w:val="24"/>
        </w:rPr>
      </w:pPr>
      <w:r>
        <w:rPr>
          <w:rFonts w:hint="eastAsia" w:ascii="宋体" w:hAnsi="宋体" w:cs="宋体"/>
          <w:b/>
          <w:bCs/>
          <w:sz w:val="24"/>
        </w:rPr>
        <w:t>2、投标文件的递交</w:t>
      </w:r>
    </w:p>
    <w:p>
      <w:pPr>
        <w:autoSpaceDE w:val="0"/>
        <w:autoSpaceDN w:val="0"/>
        <w:adjustRightInd w:val="0"/>
        <w:spacing w:line="360" w:lineRule="auto"/>
        <w:ind w:firstLine="482" w:firstLineChars="200"/>
        <w:rPr>
          <w:rFonts w:ascii="宋体" w:hAnsi="宋体" w:cs="宋体"/>
          <w:b/>
          <w:bCs/>
          <w:sz w:val="24"/>
        </w:rPr>
      </w:pPr>
      <w:r>
        <w:rPr>
          <w:rFonts w:hint="eastAsia" w:ascii="宋体" w:hAnsi="宋体" w:cs="宋体"/>
          <w:b/>
          <w:bCs/>
          <w:sz w:val="24"/>
        </w:rPr>
        <w:t>（1）接收人：采购代理机构。</w:t>
      </w:r>
    </w:p>
    <w:p>
      <w:pPr>
        <w:widowControl/>
        <w:spacing w:line="360" w:lineRule="auto"/>
        <w:ind w:firstLine="482" w:firstLineChars="200"/>
        <w:jc w:val="left"/>
        <w:rPr>
          <w:rFonts w:ascii="宋体" w:hAnsi="宋体"/>
          <w:b/>
          <w:bCs/>
          <w:kern w:val="0"/>
          <w:sz w:val="24"/>
        </w:rPr>
      </w:pPr>
      <w:r>
        <w:rPr>
          <w:rFonts w:hint="eastAsia" w:ascii="宋体" w:hAnsi="宋体" w:cs="宋体"/>
          <w:b/>
          <w:bCs/>
          <w:sz w:val="24"/>
        </w:rPr>
        <w:t>（2）投标文件接收截止及评审开始时间：</w:t>
      </w:r>
      <w:r>
        <w:rPr>
          <w:rFonts w:hint="eastAsia" w:ascii="宋体" w:hAnsi="宋体" w:cs="宋体"/>
          <w:b/>
          <w:bCs/>
          <w:sz w:val="24"/>
          <w:u w:val="single"/>
        </w:rPr>
        <w:t>2023年</w:t>
      </w:r>
      <w:r>
        <w:rPr>
          <w:rFonts w:hint="eastAsia" w:ascii="宋体" w:hAnsi="宋体" w:cs="宋体"/>
          <w:b/>
          <w:bCs/>
          <w:sz w:val="24"/>
          <w:u w:val="single"/>
          <w:lang w:val="en-US" w:eastAsia="zh-CN"/>
        </w:rPr>
        <w:t>3</w:t>
      </w:r>
      <w:r>
        <w:rPr>
          <w:rFonts w:hint="eastAsia" w:ascii="宋体" w:hAnsi="宋体" w:cs="宋体"/>
          <w:b/>
          <w:bCs/>
          <w:sz w:val="24"/>
          <w:u w:val="single"/>
        </w:rPr>
        <w:t>月</w:t>
      </w:r>
      <w:r>
        <w:rPr>
          <w:rFonts w:hint="eastAsia" w:ascii="宋体" w:hAnsi="宋体" w:cs="宋体"/>
          <w:b/>
          <w:bCs/>
          <w:sz w:val="24"/>
          <w:u w:val="single"/>
          <w:lang w:val="en-US" w:eastAsia="zh-CN"/>
        </w:rPr>
        <w:t>1</w:t>
      </w:r>
      <w:r>
        <w:rPr>
          <w:rFonts w:hint="eastAsia" w:ascii="宋体" w:hAnsi="宋体" w:cs="宋体"/>
          <w:b/>
          <w:bCs/>
          <w:sz w:val="24"/>
          <w:u w:val="single"/>
        </w:rPr>
        <w:t>日14时30分</w:t>
      </w:r>
      <w:r>
        <w:rPr>
          <w:rFonts w:hint="eastAsia" w:ascii="宋体" w:hAnsi="宋体" w:cs="宋体"/>
          <w:b/>
          <w:bCs/>
          <w:sz w:val="24"/>
        </w:rPr>
        <w:t>。</w:t>
      </w:r>
    </w:p>
    <w:p>
      <w:pPr>
        <w:autoSpaceDE w:val="0"/>
        <w:autoSpaceDN w:val="0"/>
        <w:adjustRightInd w:val="0"/>
        <w:spacing w:line="360" w:lineRule="auto"/>
        <w:ind w:firstLine="482" w:firstLineChars="200"/>
        <w:rPr>
          <w:rFonts w:ascii="宋体" w:hAnsi="宋体" w:cs="宋体"/>
          <w:b/>
          <w:bCs/>
          <w:sz w:val="24"/>
        </w:rPr>
      </w:pPr>
      <w:r>
        <w:rPr>
          <w:rFonts w:hint="eastAsia" w:ascii="宋体" w:hAnsi="宋体" w:cs="宋体"/>
          <w:b/>
          <w:bCs/>
          <w:sz w:val="24"/>
        </w:rPr>
        <w:t>（3）投标文件递交地址</w:t>
      </w:r>
      <w:r>
        <w:rPr>
          <w:rFonts w:hint="eastAsia" w:ascii="宋体" w:hAnsi="宋体" w:cs="宋体"/>
          <w:sz w:val="24"/>
          <w:u w:val="single"/>
        </w:rPr>
        <w:t>：</w:t>
      </w:r>
      <w:r>
        <w:rPr>
          <w:rFonts w:hint="eastAsia" w:ascii="宋体" w:hAnsi="宋体" w:cs="宋体"/>
          <w:b/>
          <w:bCs/>
          <w:sz w:val="24"/>
          <w:u w:val="single"/>
        </w:rPr>
        <w:t>崇川路1号园发集团2楼会议室</w:t>
      </w:r>
      <w:r>
        <w:rPr>
          <w:rFonts w:hint="eastAsia" w:ascii="宋体" w:hAnsi="宋体" w:cs="宋体"/>
          <w:b/>
          <w:bCs/>
          <w:sz w:val="24"/>
        </w:rPr>
        <w:t>，如有变动另行通知。</w:t>
      </w:r>
    </w:p>
    <w:p>
      <w:pPr>
        <w:autoSpaceDE w:val="0"/>
        <w:autoSpaceDN w:val="0"/>
        <w:adjustRightInd w:val="0"/>
        <w:spacing w:line="360" w:lineRule="auto"/>
        <w:ind w:firstLine="482" w:firstLineChars="200"/>
        <w:rPr>
          <w:rFonts w:ascii="宋体" w:hAnsi="宋体" w:cs="宋体"/>
          <w:b/>
          <w:bCs/>
          <w:sz w:val="24"/>
        </w:rPr>
      </w:pPr>
      <w:r>
        <w:rPr>
          <w:rFonts w:hint="eastAsia" w:ascii="宋体" w:hAnsi="宋体" w:cs="宋体"/>
          <w:b/>
          <w:bCs/>
          <w:sz w:val="24"/>
        </w:rPr>
        <w:t>（4）投标单位在递交投标文件的同事，提交300元招标文件费用，售后不退。若不符合此要求，其投标文件将被拒绝。</w:t>
      </w:r>
    </w:p>
    <w:p>
      <w:pPr>
        <w:spacing w:line="360" w:lineRule="auto"/>
        <w:ind w:left="567"/>
        <w:rPr>
          <w:rFonts w:ascii="宋体" w:hAnsi="宋体" w:cs="宋体"/>
          <w:sz w:val="24"/>
        </w:rPr>
      </w:pPr>
      <w:r>
        <w:rPr>
          <w:rFonts w:hint="eastAsia" w:ascii="宋体" w:hAnsi="宋体" w:cs="宋体"/>
          <w:b/>
          <w:bCs/>
          <w:sz w:val="24"/>
        </w:rPr>
        <w:t>七、开标</w:t>
      </w:r>
    </w:p>
    <w:p>
      <w:pPr>
        <w:widowControl/>
        <w:spacing w:line="360" w:lineRule="auto"/>
        <w:ind w:firstLine="482" w:firstLineChars="200"/>
        <w:jc w:val="left"/>
        <w:rPr>
          <w:rFonts w:ascii="宋体" w:hAnsi="宋体" w:cs="宋体"/>
          <w:b/>
          <w:bCs/>
          <w:kern w:val="0"/>
          <w:sz w:val="24"/>
        </w:rPr>
      </w:pPr>
      <w:r>
        <w:rPr>
          <w:rFonts w:hint="eastAsia" w:ascii="宋体" w:hAnsi="宋体" w:cs="宋体"/>
          <w:b/>
          <w:bCs/>
          <w:kern w:val="0"/>
          <w:sz w:val="24"/>
        </w:rPr>
        <w:t>1、开标时间：</w:t>
      </w:r>
      <w:r>
        <w:rPr>
          <w:rFonts w:hint="eastAsia" w:ascii="宋体" w:hAnsi="宋体" w:cs="宋体"/>
          <w:b/>
          <w:bCs/>
          <w:sz w:val="24"/>
          <w:u w:val="single"/>
        </w:rPr>
        <w:t>2023年</w:t>
      </w:r>
      <w:r>
        <w:rPr>
          <w:rFonts w:hint="eastAsia" w:ascii="宋体" w:hAnsi="宋体" w:cs="宋体"/>
          <w:b/>
          <w:bCs/>
          <w:sz w:val="24"/>
          <w:u w:val="single"/>
          <w:lang w:val="en-US" w:eastAsia="zh-CN"/>
        </w:rPr>
        <w:t>3</w:t>
      </w:r>
      <w:r>
        <w:rPr>
          <w:rFonts w:hint="eastAsia" w:ascii="宋体" w:hAnsi="宋体" w:cs="宋体"/>
          <w:b/>
          <w:bCs/>
          <w:sz w:val="24"/>
          <w:u w:val="single"/>
        </w:rPr>
        <w:t>月</w:t>
      </w:r>
      <w:r>
        <w:rPr>
          <w:rFonts w:hint="eastAsia" w:ascii="宋体" w:hAnsi="宋体" w:cs="宋体"/>
          <w:b/>
          <w:bCs/>
          <w:sz w:val="24"/>
          <w:u w:val="single"/>
          <w:lang w:val="en-US" w:eastAsia="zh-CN"/>
        </w:rPr>
        <w:t>1</w:t>
      </w:r>
      <w:r>
        <w:rPr>
          <w:rFonts w:hint="eastAsia" w:ascii="宋体" w:hAnsi="宋体" w:cs="宋体"/>
          <w:b/>
          <w:bCs/>
          <w:sz w:val="24"/>
          <w:u w:val="single"/>
        </w:rPr>
        <w:t>日14时30分</w:t>
      </w:r>
      <w:r>
        <w:rPr>
          <w:rFonts w:hint="eastAsia" w:ascii="宋体" w:hAnsi="宋体" w:cs="宋体"/>
          <w:b/>
          <w:bCs/>
          <w:kern w:val="0"/>
          <w:sz w:val="24"/>
        </w:rPr>
        <w:t>；</w:t>
      </w:r>
    </w:p>
    <w:p>
      <w:pPr>
        <w:widowControl/>
        <w:spacing w:line="360" w:lineRule="auto"/>
        <w:ind w:firstLine="482" w:firstLineChars="200"/>
        <w:jc w:val="left"/>
        <w:rPr>
          <w:rFonts w:ascii="宋体" w:hAnsi="宋体" w:cs="宋体"/>
          <w:b/>
          <w:bCs/>
          <w:kern w:val="0"/>
          <w:sz w:val="24"/>
        </w:rPr>
      </w:pPr>
      <w:r>
        <w:rPr>
          <w:rFonts w:hint="eastAsia" w:ascii="宋体" w:hAnsi="宋体" w:cs="宋体"/>
          <w:b/>
          <w:bCs/>
          <w:kern w:val="0"/>
          <w:sz w:val="24"/>
        </w:rPr>
        <w:t>2、开标地点：</w:t>
      </w:r>
      <w:r>
        <w:rPr>
          <w:rFonts w:hint="eastAsia" w:ascii="宋体" w:hAnsi="宋体" w:cs="宋体"/>
          <w:b/>
          <w:bCs/>
          <w:sz w:val="24"/>
          <w:u w:val="single"/>
        </w:rPr>
        <w:t>崇川路1号园发集团2楼会议室</w:t>
      </w:r>
      <w:r>
        <w:rPr>
          <w:rFonts w:hint="eastAsia" w:ascii="宋体" w:hAnsi="宋体" w:cs="宋体"/>
          <w:b/>
          <w:bCs/>
          <w:sz w:val="24"/>
        </w:rPr>
        <w:t>，如有变动</w:t>
      </w:r>
      <w:r>
        <w:rPr>
          <w:rFonts w:hint="eastAsia" w:ascii="宋体" w:hAnsi="宋体" w:cs="宋体"/>
          <w:b/>
          <w:bCs/>
          <w:kern w:val="0"/>
          <w:sz w:val="24"/>
        </w:rPr>
        <w:t>另行通知。</w:t>
      </w:r>
    </w:p>
    <w:p>
      <w:pPr>
        <w:widowControl/>
        <w:spacing w:line="360" w:lineRule="auto"/>
        <w:ind w:firstLine="482" w:firstLineChars="200"/>
        <w:jc w:val="left"/>
        <w:rPr>
          <w:rFonts w:ascii="宋体" w:hAnsi="宋体" w:cs="宋体"/>
          <w:b/>
          <w:kern w:val="0"/>
          <w:sz w:val="24"/>
        </w:rPr>
      </w:pPr>
      <w:r>
        <w:rPr>
          <w:rFonts w:hint="eastAsia" w:ascii="宋体" w:hAnsi="宋体" w:cs="宋体"/>
          <w:b/>
          <w:kern w:val="0"/>
          <w:sz w:val="24"/>
        </w:rPr>
        <w:t>八、资格审查</w:t>
      </w:r>
    </w:p>
    <w:p>
      <w:pPr>
        <w:widowControl/>
        <w:spacing w:line="360" w:lineRule="auto"/>
        <w:ind w:firstLine="482" w:firstLineChars="200"/>
        <w:jc w:val="left"/>
        <w:rPr>
          <w:rFonts w:ascii="宋体" w:hAnsi="宋体" w:cs="宋体"/>
          <w:b/>
          <w:bCs/>
          <w:kern w:val="0"/>
          <w:sz w:val="24"/>
        </w:rPr>
      </w:pPr>
      <w:r>
        <w:rPr>
          <w:rFonts w:hint="eastAsia" w:ascii="宋体" w:hAnsi="宋体" w:cs="宋体"/>
          <w:b/>
          <w:bCs/>
          <w:kern w:val="0"/>
          <w:sz w:val="24"/>
        </w:rPr>
        <w:t>1、资格审查时间：</w:t>
      </w:r>
      <w:r>
        <w:rPr>
          <w:rFonts w:hint="eastAsia" w:ascii="宋体" w:hAnsi="宋体" w:cs="宋体"/>
          <w:b/>
          <w:bCs/>
          <w:sz w:val="24"/>
          <w:u w:val="single"/>
        </w:rPr>
        <w:t>2023年</w:t>
      </w:r>
      <w:r>
        <w:rPr>
          <w:rFonts w:hint="eastAsia" w:ascii="宋体" w:hAnsi="宋体" w:cs="宋体"/>
          <w:b/>
          <w:bCs/>
          <w:sz w:val="24"/>
          <w:u w:val="single"/>
          <w:lang w:val="en-US" w:eastAsia="zh-CN"/>
        </w:rPr>
        <w:t>3</w:t>
      </w:r>
      <w:r>
        <w:rPr>
          <w:rFonts w:hint="eastAsia" w:ascii="宋体" w:hAnsi="宋体" w:cs="宋体"/>
          <w:b/>
          <w:bCs/>
          <w:sz w:val="24"/>
          <w:u w:val="single"/>
        </w:rPr>
        <w:t>月</w:t>
      </w:r>
      <w:r>
        <w:rPr>
          <w:rFonts w:hint="eastAsia" w:ascii="宋体" w:hAnsi="宋体" w:cs="宋体"/>
          <w:b/>
          <w:bCs/>
          <w:sz w:val="24"/>
          <w:u w:val="single"/>
          <w:lang w:val="en-US" w:eastAsia="zh-CN"/>
        </w:rPr>
        <w:t>1</w:t>
      </w:r>
      <w:r>
        <w:rPr>
          <w:rFonts w:hint="eastAsia" w:ascii="宋体" w:hAnsi="宋体" w:cs="宋体"/>
          <w:b/>
          <w:bCs/>
          <w:sz w:val="24"/>
          <w:u w:val="single"/>
        </w:rPr>
        <w:t>日14时30分</w:t>
      </w:r>
      <w:r>
        <w:rPr>
          <w:rFonts w:hint="eastAsia" w:ascii="宋体" w:hAnsi="宋体" w:cs="宋体"/>
          <w:b/>
          <w:bCs/>
          <w:kern w:val="0"/>
          <w:sz w:val="24"/>
        </w:rPr>
        <w:t>；</w:t>
      </w:r>
    </w:p>
    <w:p>
      <w:pPr>
        <w:widowControl/>
        <w:spacing w:line="360" w:lineRule="auto"/>
        <w:ind w:firstLine="482" w:firstLineChars="200"/>
        <w:jc w:val="left"/>
        <w:rPr>
          <w:rFonts w:ascii="宋体" w:hAnsi="宋体" w:cs="宋体"/>
          <w:b/>
          <w:bCs/>
          <w:kern w:val="0"/>
          <w:sz w:val="24"/>
        </w:rPr>
      </w:pPr>
      <w:r>
        <w:rPr>
          <w:rFonts w:hint="eastAsia" w:ascii="宋体" w:hAnsi="宋体" w:cs="宋体"/>
          <w:b/>
          <w:bCs/>
          <w:kern w:val="0"/>
          <w:sz w:val="24"/>
        </w:rPr>
        <w:t>2、资格审查地点：</w:t>
      </w:r>
      <w:r>
        <w:rPr>
          <w:rFonts w:hint="eastAsia" w:ascii="宋体" w:hAnsi="宋体" w:cs="宋体"/>
          <w:b/>
          <w:bCs/>
          <w:sz w:val="24"/>
          <w:u w:val="single"/>
        </w:rPr>
        <w:t>崇川路1号园发集团2楼会议室</w:t>
      </w:r>
      <w:r>
        <w:rPr>
          <w:rFonts w:hint="eastAsia" w:ascii="宋体" w:hAnsi="宋体" w:cs="宋体"/>
          <w:b/>
          <w:bCs/>
          <w:sz w:val="24"/>
        </w:rPr>
        <w:t>，如有</w:t>
      </w:r>
      <w:r>
        <w:rPr>
          <w:rFonts w:hint="eastAsia" w:ascii="宋体" w:hAnsi="宋体" w:cs="宋体"/>
          <w:b/>
          <w:bCs/>
          <w:kern w:val="0"/>
          <w:sz w:val="24"/>
        </w:rPr>
        <w:t>变动另行通知；</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3、采购人及其委托的代理机构将依法对投标供应商的资格进行审查，审查通过方可参与项目的评标。</w:t>
      </w:r>
    </w:p>
    <w:p>
      <w:pPr>
        <w:widowControl/>
        <w:spacing w:line="360" w:lineRule="auto"/>
        <w:ind w:firstLine="482" w:firstLineChars="200"/>
        <w:jc w:val="left"/>
        <w:rPr>
          <w:rFonts w:ascii="宋体" w:hAnsi="宋体" w:cs="宋体"/>
          <w:b/>
          <w:bCs/>
          <w:kern w:val="0"/>
          <w:sz w:val="24"/>
        </w:rPr>
      </w:pPr>
      <w:r>
        <w:rPr>
          <w:rFonts w:hint="eastAsia" w:ascii="宋体" w:hAnsi="宋体" w:cs="宋体"/>
          <w:b/>
          <w:bCs/>
          <w:kern w:val="0"/>
          <w:sz w:val="24"/>
        </w:rPr>
        <w:t>九、评标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1、评标时间：资格审查结束后；</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2、评标地点：</w:t>
      </w:r>
      <w:r>
        <w:rPr>
          <w:rFonts w:hint="eastAsia" w:ascii="宋体" w:hAnsi="宋体" w:cs="宋体"/>
          <w:b/>
          <w:bCs/>
          <w:sz w:val="24"/>
          <w:u w:val="single"/>
        </w:rPr>
        <w:t>崇川路1号园发集团2楼会议室</w:t>
      </w:r>
      <w:r>
        <w:rPr>
          <w:rFonts w:hint="eastAsia" w:ascii="宋体" w:hAnsi="宋体" w:cs="宋体"/>
          <w:kern w:val="0"/>
          <w:sz w:val="24"/>
        </w:rPr>
        <w:t>，如有变动另行通知；</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3、评标委员会负责具体评标事务。</w:t>
      </w:r>
    </w:p>
    <w:p>
      <w:pPr>
        <w:widowControl/>
        <w:spacing w:line="360" w:lineRule="auto"/>
        <w:ind w:firstLine="482" w:firstLineChars="200"/>
        <w:jc w:val="left"/>
        <w:rPr>
          <w:rFonts w:ascii="宋体" w:hAnsi="宋体" w:cs="宋体"/>
          <w:b/>
          <w:kern w:val="0"/>
          <w:sz w:val="24"/>
        </w:rPr>
      </w:pPr>
      <w:r>
        <w:rPr>
          <w:rFonts w:hint="eastAsia" w:ascii="宋体" w:hAnsi="宋体" w:cs="宋体"/>
          <w:b/>
          <w:kern w:val="0"/>
          <w:sz w:val="24"/>
        </w:rPr>
        <w:t>十、履约保证金</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本项目履约保证金为中标价的</w:t>
      </w:r>
      <w:r>
        <w:rPr>
          <w:rFonts w:hint="eastAsia" w:ascii="宋体" w:hAnsi="宋体" w:cs="宋体"/>
          <w:kern w:val="0"/>
          <w:sz w:val="24"/>
          <w:u w:val="single"/>
        </w:rPr>
        <w:t>10%</w:t>
      </w:r>
      <w:r>
        <w:rPr>
          <w:rFonts w:hint="eastAsia" w:ascii="宋体" w:hAnsi="宋体" w:cs="宋体"/>
          <w:kern w:val="0"/>
          <w:sz w:val="24"/>
        </w:rPr>
        <w:t>。</w:t>
      </w:r>
    </w:p>
    <w:p>
      <w:pPr>
        <w:widowControl/>
        <w:spacing w:line="360" w:lineRule="auto"/>
        <w:ind w:firstLine="482" w:firstLineChars="200"/>
        <w:jc w:val="left"/>
        <w:rPr>
          <w:rFonts w:ascii="宋体" w:hAnsi="宋体" w:cs="宋体"/>
          <w:b/>
          <w:kern w:val="0"/>
          <w:sz w:val="24"/>
        </w:rPr>
      </w:pPr>
      <w:r>
        <w:rPr>
          <w:rFonts w:hint="eastAsia" w:ascii="宋体" w:hAnsi="宋体" w:cs="宋体"/>
          <w:b/>
          <w:kern w:val="0"/>
          <w:sz w:val="24"/>
        </w:rPr>
        <w:t>十一、联系方式</w:t>
      </w:r>
    </w:p>
    <w:p>
      <w:pPr>
        <w:spacing w:line="360" w:lineRule="auto"/>
        <w:ind w:firstLine="480" w:firstLineChars="200"/>
        <w:rPr>
          <w:rFonts w:ascii="宋体" w:hAnsi="宋体" w:cs="宋体"/>
          <w:bCs/>
          <w:sz w:val="24"/>
        </w:rPr>
      </w:pPr>
      <w:r>
        <w:rPr>
          <w:rFonts w:hint="eastAsia" w:ascii="宋体" w:hAnsi="宋体" w:cs="宋体"/>
          <w:bCs/>
          <w:sz w:val="24"/>
        </w:rPr>
        <w:t xml:space="preserve">采购单位：南通市崇川科技园投资发展有限公司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采购人联系人：沙先生           联系电话：</w:t>
      </w:r>
      <w:r>
        <w:rPr>
          <w:rFonts w:hint="eastAsia" w:ascii="宋体" w:hAnsi="宋体" w:cs="宋体"/>
          <w:kern w:val="0"/>
          <w:sz w:val="24"/>
          <w:u w:val="single"/>
        </w:rPr>
        <w:t>0513-85728789</w:t>
      </w:r>
      <w:r>
        <w:rPr>
          <w:rFonts w:hint="eastAsia" w:ascii="宋体" w:hAnsi="宋体" w:cs="宋体"/>
          <w:kern w:val="0"/>
          <w:sz w:val="24"/>
        </w:rPr>
        <w:t>；</w:t>
      </w:r>
    </w:p>
    <w:p>
      <w:pPr>
        <w:spacing w:line="360" w:lineRule="auto"/>
        <w:ind w:firstLine="480" w:firstLineChars="200"/>
        <w:rPr>
          <w:rFonts w:ascii="宋体" w:hAnsi="宋体"/>
          <w:sz w:val="24"/>
        </w:rPr>
      </w:pPr>
      <w:bookmarkStart w:id="5" w:name="_Toc450137520"/>
      <w:bookmarkEnd w:id="5"/>
      <w:r>
        <w:rPr>
          <w:rFonts w:hint="eastAsia" w:ascii="宋体" w:hAnsi="宋体"/>
          <w:sz w:val="24"/>
        </w:rPr>
        <w:t>代理机构：江苏海审工程咨询有限公司；</w:t>
      </w:r>
    </w:p>
    <w:p>
      <w:pPr>
        <w:spacing w:line="360" w:lineRule="auto"/>
        <w:ind w:firstLine="480" w:firstLineChars="200"/>
        <w:jc w:val="left"/>
        <w:rPr>
          <w:rFonts w:ascii="宋体" w:cs="Calibri"/>
          <w:sz w:val="24"/>
        </w:rPr>
      </w:pPr>
      <w:r>
        <w:rPr>
          <w:rFonts w:hint="eastAsia" w:ascii="宋体" w:hAnsi="宋体"/>
          <w:sz w:val="24"/>
        </w:rPr>
        <w:t>地  址：</w:t>
      </w:r>
      <w:r>
        <w:rPr>
          <w:rFonts w:hint="eastAsia" w:ascii="宋体" w:hAnsi="宋体" w:cs="Calibri"/>
          <w:sz w:val="24"/>
        </w:rPr>
        <w:t>南通市星城路299号创源科技园3号楼5楼</w:t>
      </w:r>
    </w:p>
    <w:p>
      <w:pPr>
        <w:spacing w:line="360" w:lineRule="auto"/>
        <w:ind w:firstLine="480" w:firstLineChars="200"/>
        <w:jc w:val="left"/>
        <w:rPr>
          <w:rFonts w:ascii="宋体" w:cs="Calibri"/>
          <w:sz w:val="24"/>
        </w:rPr>
      </w:pPr>
      <w:r>
        <w:rPr>
          <w:rFonts w:hint="eastAsia" w:ascii="宋体" w:hAnsi="宋体"/>
          <w:sz w:val="24"/>
        </w:rPr>
        <w:t>联系人：孙杰                 联系电话：</w:t>
      </w:r>
      <w:r>
        <w:rPr>
          <w:rFonts w:hint="eastAsia" w:ascii="宋体" w:hAnsi="宋体" w:cs="Calibri"/>
          <w:sz w:val="24"/>
        </w:rPr>
        <w:t>15962955750</w:t>
      </w:r>
    </w:p>
    <w:p>
      <w:pPr>
        <w:spacing w:line="360" w:lineRule="auto"/>
        <w:ind w:firstLine="480" w:firstLineChars="200"/>
        <w:jc w:val="left"/>
        <w:rPr>
          <w:rFonts w:ascii="宋体" w:cs="Calibri"/>
          <w:sz w:val="24"/>
        </w:rPr>
      </w:pPr>
      <w:r>
        <w:rPr>
          <w:rFonts w:hint="eastAsia" w:ascii="宋体" w:hAnsi="宋体"/>
          <w:sz w:val="24"/>
        </w:rPr>
        <w:t>邮箱：</w:t>
      </w:r>
      <w:r>
        <w:rPr>
          <w:rFonts w:hint="eastAsia"/>
        </w:rPr>
        <w:t>644639294@qq.com</w:t>
      </w:r>
    </w:p>
    <w:p>
      <w:pPr>
        <w:spacing w:line="360" w:lineRule="auto"/>
        <w:ind w:firstLine="482" w:firstLineChars="200"/>
        <w:jc w:val="left"/>
        <w:rPr>
          <w:rFonts w:ascii="宋体" w:cs="Calibri"/>
          <w:sz w:val="24"/>
        </w:rPr>
      </w:pPr>
      <w:r>
        <w:rPr>
          <w:rFonts w:hint="eastAsia" w:ascii="宋体" w:hAnsi="宋体"/>
          <w:b/>
          <w:bCs/>
          <w:sz w:val="24"/>
        </w:rPr>
        <w:t>十二、招标公告期</w:t>
      </w:r>
    </w:p>
    <w:p>
      <w:pPr>
        <w:spacing w:line="360" w:lineRule="auto"/>
        <w:ind w:firstLine="480" w:firstLineChars="200"/>
        <w:jc w:val="left"/>
        <w:rPr>
          <w:rFonts w:ascii="宋体" w:cs="Calibri"/>
          <w:sz w:val="24"/>
        </w:rPr>
      </w:pPr>
      <w:r>
        <w:rPr>
          <w:rFonts w:hint="eastAsia" w:ascii="宋体" w:hAnsi="宋体" w:cs="宋体"/>
          <w:sz w:val="24"/>
          <w:lang w:bidi="ar"/>
        </w:rPr>
        <w:t>1、本公开招标采购项目的公告期为5个工作日。</w:t>
      </w:r>
    </w:p>
    <w:p>
      <w:pPr>
        <w:spacing w:line="360" w:lineRule="auto"/>
        <w:ind w:firstLine="480" w:firstLineChars="200"/>
        <w:jc w:val="left"/>
        <w:rPr>
          <w:rFonts w:ascii="宋体" w:hAnsi="宋体" w:cs="宋体"/>
          <w:sz w:val="24"/>
        </w:rPr>
      </w:pPr>
      <w:r>
        <w:rPr>
          <w:rFonts w:hint="eastAsia" w:ascii="宋体" w:hAnsi="宋体" w:cs="宋体"/>
          <w:sz w:val="24"/>
          <w:lang w:bidi="ar"/>
        </w:rPr>
        <w:t>2、本次采购的有关信息将在崇川区人民政府网上发布，敬请留意。</w:t>
      </w:r>
    </w:p>
    <w:p>
      <w:pPr>
        <w:spacing w:line="360" w:lineRule="auto"/>
        <w:ind w:firstLine="480" w:firstLineChars="200"/>
        <w:jc w:val="left"/>
        <w:rPr>
          <w:rFonts w:ascii="宋体" w:hAnsi="宋体" w:cs="宋体"/>
          <w:sz w:val="24"/>
          <w:lang w:bidi="ar"/>
        </w:rPr>
      </w:pPr>
      <w:r>
        <w:rPr>
          <w:rFonts w:hint="eastAsia" w:ascii="宋体" w:hAnsi="宋体" w:cs="宋体"/>
          <w:sz w:val="24"/>
          <w:lang w:bidi="ar"/>
        </w:rPr>
        <w:t>3、潜在供应商在获取本次招标采购文件后，认真阅读各项内容。有意愿参与本项目投标响应的供应商须进行必要准备工作，按招标文件的要求详细填写和编制响应文件，并按招标文件确定的时间、地点准时参加本项目的招标采购活动。</w:t>
      </w:r>
    </w:p>
    <w:p>
      <w:pPr>
        <w:spacing w:line="360" w:lineRule="auto"/>
        <w:ind w:firstLine="480" w:firstLineChars="200"/>
        <w:jc w:val="left"/>
        <w:rPr>
          <w:rFonts w:ascii="宋体" w:cs="Calibri"/>
          <w:sz w:val="24"/>
        </w:rPr>
      </w:pPr>
    </w:p>
    <w:p>
      <w:pPr>
        <w:pStyle w:val="53"/>
        <w:spacing w:line="360" w:lineRule="auto"/>
        <w:ind w:firstLine="480"/>
        <w:rPr>
          <w:rFonts w:ascii="宋体" w:hAnsi="宋体" w:cs="宋体"/>
          <w:sz w:val="24"/>
        </w:rPr>
      </w:pPr>
    </w:p>
    <w:p>
      <w:pPr>
        <w:pageBreakBefore/>
        <w:spacing w:line="360" w:lineRule="auto"/>
        <w:jc w:val="center"/>
        <w:rPr>
          <w:rFonts w:ascii="宋体" w:hAnsi="宋体" w:cs="宋体"/>
          <w:b/>
          <w:bCs/>
          <w:sz w:val="28"/>
          <w:szCs w:val="28"/>
        </w:rPr>
      </w:pPr>
      <w:r>
        <w:rPr>
          <w:rFonts w:hint="eastAsia" w:ascii="宋体" w:hAnsi="宋体" w:cs="宋体"/>
          <w:b/>
          <w:bCs/>
          <w:sz w:val="28"/>
          <w:szCs w:val="28"/>
        </w:rPr>
        <w:t>第二章 投标供应商须知</w:t>
      </w:r>
    </w:p>
    <w:p>
      <w:pPr>
        <w:snapToGrid w:val="0"/>
        <w:spacing w:line="360" w:lineRule="auto"/>
        <w:ind w:firstLine="482" w:firstLineChars="200"/>
        <w:outlineLvl w:val="1"/>
        <w:rPr>
          <w:rFonts w:ascii="宋体" w:hAnsi="宋体" w:cs="宋体"/>
          <w:b/>
          <w:bCs/>
          <w:sz w:val="24"/>
        </w:rPr>
      </w:pPr>
      <w:r>
        <w:rPr>
          <w:rFonts w:hint="eastAsia" w:ascii="宋体" w:hAnsi="宋体" w:cs="宋体"/>
          <w:b/>
          <w:bCs/>
          <w:sz w:val="24"/>
        </w:rPr>
        <w:t>一、说明</w:t>
      </w:r>
    </w:p>
    <w:p>
      <w:pPr>
        <w:snapToGrid w:val="0"/>
        <w:spacing w:line="360" w:lineRule="auto"/>
        <w:ind w:firstLine="480" w:firstLineChars="200"/>
        <w:rPr>
          <w:rFonts w:ascii="宋体" w:hAnsi="宋体" w:cs="宋体"/>
          <w:sz w:val="24"/>
        </w:rPr>
      </w:pPr>
      <w:r>
        <w:rPr>
          <w:rFonts w:hint="eastAsia" w:ascii="宋体" w:hAnsi="宋体" w:cs="宋体"/>
          <w:sz w:val="24"/>
        </w:rPr>
        <w:t>1、本招标文件仅适用于</w:t>
      </w:r>
      <w:r>
        <w:rPr>
          <w:rFonts w:hint="eastAsia" w:ascii="宋体" w:hAnsi="宋体" w:cs="宋体"/>
          <w:kern w:val="0"/>
          <w:sz w:val="24"/>
        </w:rPr>
        <w:t>江苏海审工程咨询有限公司</w:t>
      </w:r>
      <w:r>
        <w:rPr>
          <w:rFonts w:hint="eastAsia" w:ascii="宋体" w:hAnsi="宋体" w:cs="宋体"/>
          <w:sz w:val="24"/>
        </w:rPr>
        <w:t>（以下称代理机构）的招标活动。</w:t>
      </w:r>
    </w:p>
    <w:p>
      <w:pPr>
        <w:snapToGrid w:val="0"/>
        <w:spacing w:line="360" w:lineRule="auto"/>
        <w:ind w:firstLine="480" w:firstLineChars="200"/>
        <w:rPr>
          <w:rFonts w:ascii="宋体" w:hAnsi="宋体" w:cs="宋体"/>
          <w:sz w:val="24"/>
        </w:rPr>
      </w:pPr>
      <w:r>
        <w:rPr>
          <w:rFonts w:hint="eastAsia" w:ascii="宋体" w:hAnsi="宋体" w:cs="宋体"/>
          <w:sz w:val="24"/>
        </w:rPr>
        <w:t>2、因本次招标产生的合同受中国法律制约和保护。</w:t>
      </w:r>
    </w:p>
    <w:p>
      <w:pPr>
        <w:snapToGrid w:val="0"/>
        <w:spacing w:line="360" w:lineRule="auto"/>
        <w:ind w:firstLine="480" w:firstLineChars="200"/>
        <w:rPr>
          <w:rFonts w:ascii="宋体" w:hAnsi="宋体" w:cs="宋体"/>
          <w:sz w:val="24"/>
        </w:rPr>
      </w:pPr>
      <w:r>
        <w:rPr>
          <w:rFonts w:hint="eastAsia" w:ascii="宋体" w:hAnsi="宋体" w:cs="宋体"/>
          <w:sz w:val="24"/>
        </w:rPr>
        <w:t>3、招标文件的解释权属于</w:t>
      </w:r>
      <w:r>
        <w:rPr>
          <w:rFonts w:hint="eastAsia" w:ascii="宋体" w:hAnsi="宋体" w:cs="宋体"/>
          <w:kern w:val="0"/>
          <w:sz w:val="24"/>
        </w:rPr>
        <w:t>江苏海审工程咨询有限公司</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4、投标供应商在知道或应当知道本项目招标公告及招标文件中的所有内容：如内容或页码短缺、资格要求和技术参数出现倾向性或排他性等表述的，</w:t>
      </w:r>
      <w:r>
        <w:rPr>
          <w:rFonts w:hint="eastAsia" w:ascii="宋体" w:hAnsi="宋体" w:cs="宋体"/>
          <w:b/>
          <w:sz w:val="24"/>
          <w:u w:val="thick" w:color="FF0000"/>
        </w:rPr>
        <w:t>应在本项目招标公告期限及期限届满之日后的7个工作日内提出询问或以书面实名制形式提出质疑；</w:t>
      </w:r>
      <w:r>
        <w:rPr>
          <w:rFonts w:hint="eastAsia" w:ascii="宋体" w:hAnsi="宋体" w:cs="宋体"/>
          <w:sz w:val="24"/>
        </w:rPr>
        <w:t>未提出询问、质疑或是未在规定期间内提出询问、质疑的，视作供应商接受本项目招标公告及招标文件中的全部内容；投标供应商不得在招标活动期间及招标结束后针对本项目招标公告及招标文件中的所有内容提出质疑、投诉。</w:t>
      </w:r>
      <w:r>
        <w:rPr>
          <w:rFonts w:hint="eastAsia" w:ascii="宋体" w:hAnsi="宋体" w:cs="宋体"/>
          <w:b/>
          <w:bCs/>
          <w:sz w:val="24"/>
        </w:rPr>
        <w:t>非书面形式的不作为日后质疑提出的依据。</w:t>
      </w:r>
    </w:p>
    <w:p>
      <w:pPr>
        <w:snapToGrid w:val="0"/>
        <w:spacing w:line="360" w:lineRule="auto"/>
        <w:ind w:firstLine="480" w:firstLineChars="200"/>
        <w:rPr>
          <w:rFonts w:ascii="宋体" w:hAnsi="宋体" w:cs="宋体"/>
          <w:sz w:val="24"/>
        </w:rPr>
      </w:pPr>
      <w:r>
        <w:rPr>
          <w:rFonts w:hint="eastAsia" w:ascii="宋体" w:hAnsi="宋体" w:cs="宋体"/>
          <w:sz w:val="24"/>
        </w:rPr>
        <w:t>5、投标供应商应认真审阅招标文件中所有的事项、格式、条款和规范要求等，如果投标供应商没有按照招标文件要求提交投标文件，或者投标文件没有对招标文件做出实质性响应，将被拒绝参与投标。</w:t>
      </w:r>
    </w:p>
    <w:p>
      <w:pPr>
        <w:snapToGrid w:val="0"/>
        <w:spacing w:line="360" w:lineRule="auto"/>
        <w:ind w:firstLine="482" w:firstLineChars="200"/>
        <w:rPr>
          <w:rFonts w:ascii="宋体" w:hAnsi="宋体" w:cs="宋体"/>
          <w:sz w:val="24"/>
        </w:rPr>
      </w:pPr>
      <w:r>
        <w:rPr>
          <w:rFonts w:hint="eastAsia" w:ascii="宋体" w:hAnsi="宋体" w:cs="宋体"/>
          <w:b/>
          <w:bCs/>
          <w:sz w:val="24"/>
        </w:rPr>
        <w:t>6、招标文件项目需求提供的可能涉及到的工艺、材料、设备、商标、样本、技术规范、参数规格、品牌等，仅作为说明并没有限制性，投标供应商在投标中可以选用替代标准，但这些替代标准要优于或相当于项目需求技术规格中要求的标准，以满足采购人的需要。</w:t>
      </w:r>
    </w:p>
    <w:p>
      <w:pPr>
        <w:snapToGrid w:val="0"/>
        <w:spacing w:line="360" w:lineRule="auto"/>
        <w:ind w:firstLine="482" w:firstLineChars="200"/>
        <w:outlineLvl w:val="1"/>
        <w:rPr>
          <w:rFonts w:ascii="宋体" w:hAnsi="宋体" w:cs="宋体"/>
          <w:b/>
          <w:bCs/>
          <w:sz w:val="24"/>
        </w:rPr>
      </w:pPr>
      <w:r>
        <w:rPr>
          <w:rFonts w:hint="eastAsia" w:ascii="宋体" w:hAnsi="宋体" w:cs="宋体"/>
          <w:b/>
          <w:bCs/>
          <w:sz w:val="24"/>
        </w:rPr>
        <w:t>二、招标文件的补充说明、澄清、修改、答疑</w:t>
      </w:r>
    </w:p>
    <w:p>
      <w:pPr>
        <w:snapToGrid w:val="0"/>
        <w:spacing w:line="360" w:lineRule="auto"/>
        <w:ind w:firstLine="480" w:firstLineChars="200"/>
        <w:rPr>
          <w:rFonts w:ascii="宋体" w:hAnsi="宋体" w:cs="宋体"/>
          <w:sz w:val="24"/>
        </w:rPr>
      </w:pPr>
      <w:r>
        <w:rPr>
          <w:rFonts w:hint="eastAsia" w:ascii="宋体" w:hAnsi="宋体" w:cs="宋体"/>
          <w:sz w:val="24"/>
        </w:rPr>
        <w:t>1、代理机构有权对发出的招标文件进行必要的补充说明、澄清或修改。</w:t>
      </w:r>
    </w:p>
    <w:p>
      <w:pPr>
        <w:snapToGrid w:val="0"/>
        <w:spacing w:line="360" w:lineRule="auto"/>
        <w:ind w:firstLine="480" w:firstLineChars="200"/>
        <w:jc w:val="left"/>
        <w:rPr>
          <w:rFonts w:ascii="宋体" w:hAnsi="宋体" w:cs="宋体"/>
          <w:sz w:val="24"/>
        </w:rPr>
      </w:pPr>
      <w:r>
        <w:rPr>
          <w:rFonts w:hint="eastAsia" w:ascii="宋体" w:hAnsi="宋体" w:cs="宋体"/>
          <w:sz w:val="24"/>
        </w:rPr>
        <w:t>2、招标文件的澄清、修改、补充等内容均以书面明确的形式发布</w:t>
      </w:r>
      <w:r>
        <w:rPr>
          <w:rFonts w:hint="eastAsia" w:ascii="宋体" w:hAnsi="宋体" w:cs="宋体"/>
          <w:sz w:val="24"/>
          <w:lang w:bidi="ar"/>
        </w:rPr>
        <w:t>，且以在“</w:t>
      </w:r>
      <w:r>
        <w:rPr>
          <w:rFonts w:hint="eastAsia" w:ascii="宋体" w:hAnsi="宋体" w:cs="宋体"/>
          <w:b/>
          <w:sz w:val="24"/>
          <w:lang w:bidi="ar"/>
        </w:rPr>
        <w:t>崇川区人民政府网→政府采购与工程招标</w:t>
      </w:r>
      <w:r>
        <w:rPr>
          <w:rFonts w:hint="eastAsia" w:ascii="宋体" w:hAnsi="宋体" w:cs="宋体"/>
          <w:sz w:val="24"/>
          <w:lang w:bidi="ar"/>
        </w:rPr>
        <w:t>”发布的信息为准</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3、代理机构对招标文件的补充说明、澄清或修改，将构成招标文件的一部分，对投标供应商具有约束力。</w:t>
      </w:r>
    </w:p>
    <w:p>
      <w:pPr>
        <w:snapToGrid w:val="0"/>
        <w:spacing w:line="360" w:lineRule="auto"/>
        <w:ind w:firstLine="480" w:firstLineChars="200"/>
        <w:rPr>
          <w:rFonts w:ascii="宋体" w:hAnsi="宋体" w:cs="宋体"/>
          <w:sz w:val="24"/>
        </w:rPr>
      </w:pPr>
      <w:r>
        <w:rPr>
          <w:rFonts w:hint="eastAsia" w:ascii="宋体" w:hAnsi="宋体" w:cs="宋体"/>
          <w:sz w:val="24"/>
        </w:rPr>
        <w:t>4、补充说明、澄清或修改的内容可能影响响应文件编制的，代理机构将在投标截止时间3日前，发布补充说明、澄清不足3日的，应当顺延提交投标文件的截止时间。</w:t>
      </w:r>
    </w:p>
    <w:p>
      <w:pPr>
        <w:snapToGrid w:val="0"/>
        <w:spacing w:line="360" w:lineRule="auto"/>
        <w:ind w:firstLine="480" w:firstLineChars="200"/>
        <w:rPr>
          <w:rFonts w:ascii="宋体" w:hAnsi="宋体" w:cs="宋体"/>
          <w:sz w:val="24"/>
        </w:rPr>
      </w:pPr>
      <w:r>
        <w:rPr>
          <w:rFonts w:hint="eastAsia" w:ascii="宋体" w:hAnsi="宋体" w:cs="宋体"/>
          <w:sz w:val="24"/>
        </w:rPr>
        <w:t>5、除非代理机构以书面的形式对招标文件作出澄清、修改及补充，投标供应商对涉及招标文件的任何推论、理解和结论所造成的结果，均由投标供应商自负。</w:t>
      </w:r>
    </w:p>
    <w:p>
      <w:pPr>
        <w:snapToGrid w:val="0"/>
        <w:spacing w:line="360" w:lineRule="auto"/>
        <w:ind w:firstLine="480" w:firstLineChars="200"/>
        <w:rPr>
          <w:rFonts w:ascii="宋体" w:hAnsi="宋体" w:cs="宋体"/>
          <w:sz w:val="24"/>
        </w:rPr>
      </w:pPr>
      <w:r>
        <w:rPr>
          <w:rFonts w:hint="eastAsia" w:ascii="宋体" w:hAnsi="宋体" w:cs="宋体"/>
          <w:sz w:val="24"/>
        </w:rPr>
        <w:t>6、采购人视情组织答疑会。如有产生答疑且对招标文件内容有修改，代理机构将按照本须知有关规定，以补充通知的方式发出。</w:t>
      </w:r>
    </w:p>
    <w:p>
      <w:pPr>
        <w:snapToGrid w:val="0"/>
        <w:spacing w:line="360" w:lineRule="auto"/>
        <w:ind w:firstLine="482" w:firstLineChars="200"/>
        <w:rPr>
          <w:rFonts w:ascii="宋体" w:hAnsi="宋体" w:cs="宋体"/>
          <w:b/>
          <w:sz w:val="24"/>
        </w:rPr>
      </w:pPr>
      <w:r>
        <w:rPr>
          <w:rFonts w:hint="eastAsia" w:ascii="宋体" w:hAnsi="宋体" w:cs="宋体"/>
          <w:b/>
          <w:sz w:val="24"/>
        </w:rPr>
        <w:t>三、投标文件的组成及装订</w:t>
      </w:r>
    </w:p>
    <w:p>
      <w:pPr>
        <w:snapToGrid w:val="0"/>
        <w:spacing w:line="360" w:lineRule="auto"/>
        <w:ind w:firstLine="480" w:firstLineChars="200"/>
        <w:rPr>
          <w:rFonts w:ascii="宋体" w:hAnsi="宋体" w:cs="宋体"/>
          <w:sz w:val="24"/>
        </w:rPr>
      </w:pPr>
      <w:r>
        <w:rPr>
          <w:rFonts w:hint="eastAsia" w:ascii="宋体" w:hAnsi="宋体" w:cs="宋体"/>
          <w:sz w:val="24"/>
        </w:rPr>
        <w:t>1、投标文件由：⑴资格审查文件、⑵技术标、⑶商务标共三部分组成。</w:t>
      </w:r>
    </w:p>
    <w:p>
      <w:pPr>
        <w:snapToGrid w:val="0"/>
        <w:spacing w:line="360" w:lineRule="auto"/>
        <w:ind w:firstLine="480" w:firstLineChars="200"/>
        <w:rPr>
          <w:rFonts w:ascii="宋体" w:hAnsi="宋体" w:cs="宋体"/>
          <w:sz w:val="24"/>
        </w:rPr>
      </w:pPr>
      <w:r>
        <w:rPr>
          <w:rFonts w:hint="eastAsia" w:ascii="宋体" w:hAnsi="宋体" w:cs="宋体"/>
          <w:sz w:val="24"/>
        </w:rPr>
        <w:t>2、投标供应商按招标文件要求编写投标文件，并牢固装订成册。投标文件均需采用A4纸（图纸等除外），不允许使用活页夹、拉杆夹、文件夹、塑料方便式书脊（插入式或穿孔式）装订。投标文件不得行间插字、涂改、增删，如修改错漏处，须经签署投标文件的投标供应商法定代表人或其委托的代理人（以下称被授权人）签字（或盖章）并加盖公章。</w:t>
      </w:r>
    </w:p>
    <w:p>
      <w:pPr>
        <w:snapToGrid w:val="0"/>
        <w:spacing w:line="360" w:lineRule="auto"/>
        <w:ind w:firstLine="480" w:firstLineChars="200"/>
        <w:rPr>
          <w:rFonts w:ascii="宋体" w:hAnsi="宋体" w:cs="宋体"/>
          <w:sz w:val="24"/>
        </w:rPr>
      </w:pPr>
      <w:r>
        <w:rPr>
          <w:rFonts w:hint="eastAsia" w:ascii="宋体" w:hAnsi="宋体" w:cs="宋体"/>
          <w:sz w:val="24"/>
        </w:rPr>
        <w:t>3、投标文件的 “资格审查文件”、“技术标”、“商务标”各自装订成册。特别提示：“商务标”必须单独装订和封装，不得出现在“资格审查文件”和“技术标”之中。</w:t>
      </w:r>
    </w:p>
    <w:p>
      <w:pPr>
        <w:snapToGrid w:val="0"/>
        <w:spacing w:line="360" w:lineRule="auto"/>
        <w:ind w:firstLine="482" w:firstLineChars="200"/>
        <w:rPr>
          <w:rFonts w:ascii="宋体" w:hAnsi="宋体" w:cs="宋体"/>
          <w:b/>
          <w:sz w:val="24"/>
        </w:rPr>
      </w:pPr>
      <w:r>
        <w:rPr>
          <w:rFonts w:hint="eastAsia" w:ascii="宋体" w:hAnsi="宋体" w:cs="宋体"/>
          <w:b/>
          <w:sz w:val="24"/>
        </w:rPr>
        <w:t>四、投标文件的份数、签署</w:t>
      </w:r>
    </w:p>
    <w:p>
      <w:pPr>
        <w:snapToGrid w:val="0"/>
        <w:spacing w:line="360" w:lineRule="auto"/>
        <w:ind w:firstLine="480" w:firstLineChars="200"/>
        <w:rPr>
          <w:rFonts w:ascii="宋体" w:hAnsi="宋体" w:cs="宋体"/>
          <w:sz w:val="24"/>
        </w:rPr>
      </w:pPr>
      <w:r>
        <w:rPr>
          <w:rFonts w:hint="eastAsia" w:ascii="宋体" w:hAnsi="宋体" w:cs="宋体"/>
          <w:sz w:val="24"/>
        </w:rPr>
        <w:t>1、投标供应商应准备</w:t>
      </w:r>
      <w:r>
        <w:rPr>
          <w:rFonts w:hint="eastAsia" w:ascii="宋体" w:hAnsi="宋体" w:cs="宋体"/>
          <w:b/>
          <w:bCs/>
          <w:sz w:val="24"/>
          <w:u w:val="single"/>
        </w:rPr>
        <w:t xml:space="preserve">叁 </w:t>
      </w:r>
      <w:r>
        <w:rPr>
          <w:rFonts w:hint="eastAsia" w:ascii="宋体" w:hAnsi="宋体" w:cs="宋体"/>
          <w:sz w:val="24"/>
        </w:rPr>
        <w:t>份完整的投标文件，其中正本</w:t>
      </w:r>
      <w:r>
        <w:rPr>
          <w:rFonts w:hint="eastAsia" w:ascii="宋体" w:hAnsi="宋体" w:cs="宋体"/>
          <w:b/>
          <w:bCs/>
          <w:sz w:val="24"/>
          <w:u w:val="single"/>
        </w:rPr>
        <w:t>壹</w:t>
      </w:r>
      <w:r>
        <w:rPr>
          <w:rFonts w:hint="eastAsia" w:ascii="宋体" w:hAnsi="宋体" w:cs="宋体"/>
          <w:sz w:val="24"/>
        </w:rPr>
        <w:t>份，副本</w:t>
      </w:r>
      <w:r>
        <w:rPr>
          <w:rFonts w:hint="eastAsia" w:ascii="宋体" w:hAnsi="宋体" w:cs="宋体"/>
          <w:b/>
          <w:bCs/>
          <w:sz w:val="24"/>
          <w:u w:val="single"/>
        </w:rPr>
        <w:t>贰</w:t>
      </w:r>
      <w:r>
        <w:rPr>
          <w:rFonts w:hint="eastAsia" w:ascii="宋体" w:hAnsi="宋体" w:cs="宋体"/>
          <w:sz w:val="24"/>
        </w:rPr>
        <w:t>份，并标明“正本”或“副本”字样，若有差异，概以“正本”为准。</w:t>
      </w:r>
    </w:p>
    <w:p>
      <w:pPr>
        <w:snapToGrid w:val="0"/>
        <w:spacing w:line="360" w:lineRule="auto"/>
        <w:ind w:firstLine="480" w:firstLineChars="200"/>
        <w:rPr>
          <w:rFonts w:ascii="宋体" w:hAnsi="宋体" w:cs="宋体"/>
          <w:sz w:val="24"/>
        </w:rPr>
      </w:pPr>
      <w:r>
        <w:rPr>
          <w:rFonts w:hint="eastAsia" w:ascii="宋体" w:hAnsi="宋体" w:cs="宋体"/>
          <w:sz w:val="24"/>
        </w:rPr>
        <w:t>2、投标文件分三册密封。第一册为“资格审查文件”，第二册为“技术标”，第三册为“商务标”，投标文件的第一册、第二册、第三册应分别密封，并在封袋上标明“资格审查文件”、“技术标”、“商务标”。</w:t>
      </w:r>
    </w:p>
    <w:p>
      <w:pPr>
        <w:snapToGrid w:val="0"/>
        <w:spacing w:line="360" w:lineRule="auto"/>
        <w:ind w:firstLine="480" w:firstLineChars="200"/>
        <w:rPr>
          <w:rFonts w:ascii="宋体" w:hAnsi="宋体" w:cs="宋体"/>
          <w:sz w:val="24"/>
        </w:rPr>
      </w:pPr>
      <w:r>
        <w:rPr>
          <w:rFonts w:hint="eastAsia" w:ascii="宋体" w:hAnsi="宋体" w:cs="宋体"/>
          <w:sz w:val="24"/>
        </w:rPr>
        <w:t>3、投标供应商可将投标文件正副本统一密封或分别密封，如正本和副本分别密封的，应在封袋上标明正、副本字样。</w:t>
      </w:r>
    </w:p>
    <w:p>
      <w:pPr>
        <w:snapToGrid w:val="0"/>
        <w:spacing w:line="360" w:lineRule="auto"/>
        <w:ind w:firstLine="480" w:firstLineChars="200"/>
        <w:rPr>
          <w:rFonts w:ascii="宋体" w:hAnsi="宋体" w:cs="宋体"/>
          <w:sz w:val="24"/>
        </w:rPr>
      </w:pPr>
      <w:r>
        <w:rPr>
          <w:rFonts w:hint="eastAsia" w:ascii="宋体" w:hAnsi="宋体" w:cs="宋体"/>
          <w:sz w:val="24"/>
        </w:rPr>
        <w:t xml:space="preserve">4、投标文件正本须按招标文件要求由法定代表人或被授权人签字或盖章并加盖投标单位印章。副本可复印，但须加盖投标单位印章。  </w:t>
      </w:r>
    </w:p>
    <w:p>
      <w:pPr>
        <w:snapToGrid w:val="0"/>
        <w:spacing w:line="360" w:lineRule="auto"/>
        <w:ind w:firstLine="480" w:firstLineChars="200"/>
        <w:rPr>
          <w:rFonts w:ascii="宋体" w:hAnsi="宋体" w:cs="宋体"/>
          <w:sz w:val="24"/>
        </w:rPr>
      </w:pPr>
      <w:r>
        <w:rPr>
          <w:rFonts w:hint="eastAsia" w:ascii="宋体" w:hAnsi="宋体" w:cs="宋体"/>
          <w:sz w:val="24"/>
        </w:rPr>
        <w:t>5、开标程序顺利进行后，所有投标文件都将作为档案保存，不论中标与否，代理机构均不退回（未拆封的除外）。</w:t>
      </w:r>
    </w:p>
    <w:p>
      <w:pPr>
        <w:snapToGrid w:val="0"/>
        <w:spacing w:line="360" w:lineRule="auto"/>
        <w:ind w:firstLine="482" w:firstLineChars="200"/>
        <w:rPr>
          <w:rFonts w:ascii="宋体" w:hAnsi="宋体" w:cs="宋体"/>
          <w:b/>
          <w:bCs/>
          <w:sz w:val="24"/>
        </w:rPr>
      </w:pPr>
      <w:r>
        <w:rPr>
          <w:rFonts w:hint="eastAsia" w:ascii="宋体" w:hAnsi="宋体" w:cs="宋体"/>
          <w:b/>
          <w:bCs/>
          <w:sz w:val="24"/>
        </w:rPr>
        <w:t>五、投标响应文件的密封及标记</w:t>
      </w:r>
    </w:p>
    <w:p>
      <w:pPr>
        <w:snapToGrid w:val="0"/>
        <w:spacing w:line="360" w:lineRule="auto"/>
        <w:ind w:firstLine="472" w:firstLineChars="196"/>
        <w:outlineLvl w:val="1"/>
        <w:rPr>
          <w:rFonts w:ascii="宋体" w:hAnsi="宋体" w:cs="宋体"/>
          <w:b/>
          <w:sz w:val="24"/>
        </w:rPr>
      </w:pPr>
      <w:r>
        <w:rPr>
          <w:rFonts w:hint="eastAsia" w:ascii="宋体" w:hAnsi="宋体" w:cs="宋体"/>
          <w:b/>
          <w:sz w:val="24"/>
        </w:rPr>
        <w:t>密封后，应在每一密封包的投标文件上明确标注投标项目名称、投标文件各自对应的名称、投标供应商全称及日期，同时加盖投标供应商公章。</w:t>
      </w:r>
    </w:p>
    <w:p>
      <w:pPr>
        <w:snapToGrid w:val="0"/>
        <w:spacing w:line="360" w:lineRule="auto"/>
        <w:ind w:firstLine="482" w:firstLineChars="200"/>
        <w:outlineLvl w:val="1"/>
        <w:rPr>
          <w:rFonts w:ascii="宋体" w:hAnsi="宋体" w:cs="宋体"/>
          <w:b/>
          <w:bCs/>
          <w:sz w:val="24"/>
        </w:rPr>
      </w:pPr>
      <w:r>
        <w:rPr>
          <w:rFonts w:hint="eastAsia" w:ascii="宋体" w:hAnsi="宋体" w:cs="宋体"/>
          <w:b/>
          <w:bCs/>
          <w:sz w:val="24"/>
        </w:rPr>
        <w:t>六、投标文件的有效期</w:t>
      </w:r>
    </w:p>
    <w:p>
      <w:pPr>
        <w:snapToGrid w:val="0"/>
        <w:spacing w:line="360" w:lineRule="auto"/>
        <w:ind w:firstLine="480" w:firstLineChars="200"/>
        <w:rPr>
          <w:rFonts w:ascii="宋体" w:hAnsi="宋体" w:cs="宋体"/>
          <w:sz w:val="24"/>
        </w:rPr>
      </w:pPr>
      <w:r>
        <w:rPr>
          <w:rFonts w:hint="eastAsia" w:ascii="宋体" w:hAnsi="宋体" w:cs="宋体"/>
          <w:sz w:val="24"/>
        </w:rPr>
        <w:t>1、从投标文件接收截止之日算起，</w:t>
      </w:r>
      <w:r>
        <w:rPr>
          <w:rFonts w:hint="eastAsia" w:ascii="宋体" w:hAnsi="宋体" w:cs="宋体"/>
          <w:b/>
          <w:sz w:val="24"/>
        </w:rPr>
        <w:t>45</w:t>
      </w:r>
      <w:r>
        <w:rPr>
          <w:rFonts w:hint="eastAsia" w:ascii="宋体" w:hAnsi="宋体" w:cs="宋体"/>
          <w:sz w:val="24"/>
        </w:rPr>
        <w:t>个“日历天”内投标书应保持有效。有效期短于这个规定期限的，投标将被拒绝。</w:t>
      </w:r>
    </w:p>
    <w:p>
      <w:pPr>
        <w:snapToGrid w:val="0"/>
        <w:spacing w:line="360" w:lineRule="auto"/>
        <w:ind w:firstLine="470" w:firstLineChars="196"/>
        <w:outlineLvl w:val="1"/>
        <w:rPr>
          <w:rFonts w:ascii="宋体" w:hAnsi="宋体" w:cs="宋体"/>
          <w:b/>
          <w:sz w:val="24"/>
        </w:rPr>
      </w:pPr>
      <w:r>
        <w:rPr>
          <w:rFonts w:hint="eastAsia" w:ascii="宋体" w:hAnsi="宋体" w:cs="宋体"/>
          <w:sz w:val="24"/>
        </w:rPr>
        <w:t>2、在特殊情况下，采购代理机构可与投标供应商协商延长投标书的有效期。这种要求和答复都应以书面、传真、或电报的形式进行。同意延长有效期的投标供应商不能修改投标文件，拒绝接受延期要求的投标供应商的投标书将被拒绝。</w:t>
      </w:r>
    </w:p>
    <w:p>
      <w:pPr>
        <w:tabs>
          <w:tab w:val="center" w:pos="5071"/>
        </w:tabs>
        <w:spacing w:line="360" w:lineRule="auto"/>
        <w:ind w:firstLine="482" w:firstLineChars="200"/>
        <w:rPr>
          <w:rFonts w:ascii="宋体" w:hAnsi="宋体" w:cs="宋体"/>
          <w:b/>
          <w:bCs/>
          <w:sz w:val="24"/>
        </w:rPr>
      </w:pPr>
      <w:r>
        <w:rPr>
          <w:rFonts w:hint="eastAsia" w:ascii="宋体" w:hAnsi="宋体" w:cs="宋体"/>
          <w:b/>
          <w:bCs/>
          <w:sz w:val="24"/>
        </w:rPr>
        <w:t>七、投标报价</w:t>
      </w:r>
      <w:r>
        <w:rPr>
          <w:rFonts w:hint="eastAsia" w:ascii="宋体" w:hAnsi="宋体" w:cs="宋体"/>
          <w:b/>
          <w:bCs/>
          <w:sz w:val="24"/>
        </w:rPr>
        <w:tab/>
      </w:r>
    </w:p>
    <w:p>
      <w:pPr>
        <w:snapToGrid w:val="0"/>
        <w:spacing w:line="360" w:lineRule="auto"/>
        <w:ind w:firstLine="480" w:firstLineChars="200"/>
        <w:rPr>
          <w:rFonts w:ascii="宋体" w:hAnsi="宋体" w:cs="宋体"/>
          <w:sz w:val="24"/>
        </w:rPr>
      </w:pPr>
      <w:r>
        <w:rPr>
          <w:rFonts w:hint="eastAsia" w:ascii="宋体" w:hAnsi="宋体" w:cs="宋体"/>
          <w:sz w:val="24"/>
        </w:rPr>
        <w:t>1、本项目不接受任何有选择的报价。</w:t>
      </w:r>
    </w:p>
    <w:p>
      <w:pPr>
        <w:snapToGrid w:val="0"/>
        <w:spacing w:line="360" w:lineRule="auto"/>
        <w:ind w:firstLine="480" w:firstLineChars="200"/>
        <w:rPr>
          <w:rFonts w:ascii="宋体" w:hAnsi="宋体" w:cs="宋体"/>
          <w:sz w:val="24"/>
        </w:rPr>
      </w:pPr>
      <w:r>
        <w:rPr>
          <w:rFonts w:hint="eastAsia" w:ascii="宋体" w:hAnsi="宋体" w:cs="宋体"/>
          <w:sz w:val="24"/>
        </w:rPr>
        <w:t>2、投标报价均以人民币为报价的币种。</w:t>
      </w:r>
    </w:p>
    <w:p>
      <w:pPr>
        <w:snapToGrid w:val="0"/>
        <w:spacing w:line="360" w:lineRule="auto"/>
        <w:ind w:firstLine="480" w:firstLineChars="200"/>
        <w:rPr>
          <w:rFonts w:ascii="宋体" w:hAnsi="宋体" w:cs="宋体"/>
          <w:sz w:val="24"/>
        </w:rPr>
      </w:pPr>
      <w:r>
        <w:rPr>
          <w:rFonts w:hint="eastAsia" w:ascii="宋体" w:hAnsi="宋体" w:cs="宋体"/>
          <w:sz w:val="24"/>
        </w:rPr>
        <w:t>3、报价表必须加盖投标供应商公章且必须经法定代表人或被授权人签字或盖章。</w:t>
      </w:r>
    </w:p>
    <w:p>
      <w:pPr>
        <w:snapToGrid w:val="0"/>
        <w:spacing w:line="360" w:lineRule="auto"/>
        <w:ind w:firstLine="480" w:firstLineChars="200"/>
        <w:rPr>
          <w:rFonts w:ascii="宋体" w:hAnsi="宋体" w:cs="宋体"/>
          <w:sz w:val="24"/>
        </w:rPr>
      </w:pPr>
      <w:r>
        <w:rPr>
          <w:rFonts w:hint="eastAsia" w:ascii="宋体" w:hAnsi="宋体" w:cs="宋体"/>
          <w:sz w:val="24"/>
        </w:rPr>
        <w:t>4、报价出现前后不一致的，按照下列规定修正：</w:t>
      </w:r>
    </w:p>
    <w:p>
      <w:pPr>
        <w:snapToGrid w:val="0"/>
        <w:spacing w:line="360" w:lineRule="auto"/>
        <w:ind w:firstLine="480" w:firstLineChars="200"/>
        <w:rPr>
          <w:rFonts w:ascii="宋体" w:hAnsi="宋体" w:cs="宋体"/>
          <w:sz w:val="24"/>
        </w:rPr>
      </w:pPr>
      <w:r>
        <w:rPr>
          <w:rFonts w:hint="eastAsia" w:ascii="宋体" w:hAnsi="宋体" w:cs="宋体"/>
          <w:sz w:val="24"/>
        </w:rPr>
        <w:t>（1）投标文件中报价表（开标一览表）内容与投标文件技术响应中内容明细不一致的，以报价表（开标一览表）为准；</w:t>
      </w:r>
    </w:p>
    <w:p>
      <w:pPr>
        <w:snapToGrid w:val="0"/>
        <w:spacing w:line="360" w:lineRule="auto"/>
        <w:ind w:firstLine="480" w:firstLineChars="200"/>
        <w:rPr>
          <w:rFonts w:ascii="宋体" w:hAnsi="宋体" w:cs="宋体"/>
          <w:sz w:val="24"/>
        </w:rPr>
      </w:pPr>
      <w:r>
        <w:rPr>
          <w:rFonts w:hint="eastAsia" w:ascii="宋体" w:hAnsi="宋体" w:cs="宋体"/>
          <w:sz w:val="24"/>
        </w:rPr>
        <w:t>（2）投标文件中涉及大写金额和小写金额不一致的，以大写金额为准；</w:t>
      </w:r>
    </w:p>
    <w:p>
      <w:pPr>
        <w:snapToGrid w:val="0"/>
        <w:spacing w:line="360" w:lineRule="auto"/>
        <w:ind w:firstLine="480" w:firstLineChars="200"/>
        <w:rPr>
          <w:rFonts w:ascii="宋体" w:hAnsi="宋体" w:cs="宋体"/>
          <w:sz w:val="24"/>
        </w:rPr>
      </w:pPr>
      <w:r>
        <w:rPr>
          <w:rFonts w:hint="eastAsia" w:ascii="宋体" w:hAnsi="宋体" w:cs="宋体"/>
          <w:sz w:val="24"/>
        </w:rPr>
        <w:t>（3）单价金额小数点或者百分比有明显错位的，以报价表（开标一览表）的总价为准，并修改单价；</w:t>
      </w:r>
    </w:p>
    <w:p>
      <w:pPr>
        <w:snapToGrid w:val="0"/>
        <w:spacing w:line="360" w:lineRule="auto"/>
        <w:ind w:firstLine="480" w:firstLineChars="200"/>
        <w:rPr>
          <w:rFonts w:ascii="宋体" w:hAnsi="宋体" w:cs="宋体"/>
          <w:sz w:val="24"/>
        </w:rPr>
      </w:pPr>
      <w:r>
        <w:rPr>
          <w:rFonts w:hint="eastAsia" w:ascii="宋体" w:hAnsi="宋体" w:cs="宋体"/>
          <w:sz w:val="24"/>
        </w:rPr>
        <w:t>（4）总价金额与按单价汇总金额不一致的，以单价金额计算结果为准。</w:t>
      </w:r>
    </w:p>
    <w:p>
      <w:pPr>
        <w:snapToGrid w:val="0"/>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同时出现两种以上不一致的，按照前款规定的顺序修正。修正后的报价应当由投标供应商的法定代表人或分支机构负责人或其被授权人签字确认后产生约束力，投标供应商不确认的，其投标无效。</w:t>
      </w:r>
    </w:p>
    <w:p>
      <w:pPr>
        <w:numPr>
          <w:ilvl w:val="0"/>
          <w:numId w:val="1"/>
        </w:numPr>
        <w:snapToGrid w:val="0"/>
        <w:spacing w:line="360" w:lineRule="auto"/>
        <w:ind w:firstLine="480" w:firstLineChars="200"/>
        <w:rPr>
          <w:rFonts w:ascii="宋体" w:hAnsi="宋体" w:cs="宋体"/>
          <w:sz w:val="24"/>
        </w:rPr>
      </w:pPr>
      <w:r>
        <w:rPr>
          <w:rFonts w:hint="eastAsia" w:ascii="宋体" w:hAnsi="宋体" w:cs="宋体"/>
          <w:sz w:val="24"/>
        </w:rPr>
        <w:t>投标响应报价中应包含但不限于：</w:t>
      </w:r>
      <w:bookmarkStart w:id="6" w:name="OLE_LINK5"/>
    </w:p>
    <w:p>
      <w:pPr>
        <w:pStyle w:val="198"/>
        <w:numPr>
          <w:ilvl w:val="0"/>
          <w:numId w:val="2"/>
        </w:numPr>
        <w:autoSpaceDE w:val="0"/>
        <w:autoSpaceDN w:val="0"/>
        <w:snapToGrid w:val="0"/>
        <w:spacing w:line="360" w:lineRule="auto"/>
        <w:ind w:firstLine="480"/>
        <w:rPr>
          <w:rFonts w:ascii="宋体" w:hAnsi="宋体" w:cs="宋体"/>
          <w:sz w:val="24"/>
        </w:rPr>
      </w:pPr>
      <w:r>
        <w:rPr>
          <w:rFonts w:hint="eastAsia" w:ascii="宋体" w:hAnsi="宋体" w:cs="宋体"/>
          <w:sz w:val="24"/>
        </w:rPr>
        <w:t>设备费包括：设备的制造成本、开办费、利润、税金、管理费、规费、二次设计费、技术措施费、机械进出场费、市场材料价格风险费、政策性调整风险费；设备的主材及标准附件（含梯控）、备品备件、专用工具、技术资料、损耗等费用；设备运至最终目的地的包装费、运输费、装卸费、保险费、现场设备材料保管费；设备的检验费、培训费、技术服务等费用；取得相关检验部门检查验收并出具权威验收报告以及为完成本项目而发生的其它所有措施等全部费用。</w:t>
      </w:r>
    </w:p>
    <w:p>
      <w:pPr>
        <w:pStyle w:val="198"/>
        <w:numPr>
          <w:ilvl w:val="0"/>
          <w:numId w:val="2"/>
        </w:numPr>
        <w:autoSpaceDE w:val="0"/>
        <w:autoSpaceDN w:val="0"/>
        <w:snapToGrid w:val="0"/>
        <w:spacing w:line="360" w:lineRule="auto"/>
        <w:ind w:firstLine="480"/>
        <w:rPr>
          <w:rFonts w:ascii="宋体" w:hAnsi="宋体" w:cs="宋体"/>
          <w:sz w:val="24"/>
        </w:rPr>
      </w:pPr>
      <w:r>
        <w:rPr>
          <w:rFonts w:hint="eastAsia" w:ascii="宋体" w:hAnsi="宋体" w:cs="宋体"/>
          <w:sz w:val="24"/>
        </w:rPr>
        <w:t>安装费包括：开孔及封堵费、层门与土建结构的封堵费、安装调试费、安装配合费（自行考虑）、梯控安装相关费用、搬运（包括吊装）、垂直运输费、脚手架费、安装过程中与总承包单位的配合费、检验费、监检费、管理费、利润、规费、税金、市场价格波动风险、人员培训费用、技术服务费、性能介绍、售后服务、调试用的电缆、五方对讲及视频通话电缆（由轿箱至机房层）、验收时的专家评审费（验收时必须邀请专家）、免费保修保养期间各项维修保养费用及特种设备检验检测费。即招标物安装验收合格交付使用前的所有费用以及免费保养维修的服务费用以及其它不可预见费用等。</w:t>
      </w:r>
    </w:p>
    <w:p>
      <w:pPr>
        <w:pStyle w:val="198"/>
        <w:numPr>
          <w:ilvl w:val="0"/>
          <w:numId w:val="2"/>
        </w:numPr>
        <w:autoSpaceDE w:val="0"/>
        <w:autoSpaceDN w:val="0"/>
        <w:snapToGrid w:val="0"/>
        <w:spacing w:line="360" w:lineRule="auto"/>
        <w:ind w:firstLine="480"/>
        <w:rPr>
          <w:rFonts w:ascii="宋体" w:hAnsi="宋体" w:cs="宋体"/>
          <w:sz w:val="24"/>
        </w:rPr>
      </w:pPr>
      <w:r>
        <w:rPr>
          <w:rFonts w:hint="eastAsia" w:ascii="宋体" w:hAnsi="宋体" w:cs="宋体"/>
          <w:sz w:val="24"/>
        </w:rPr>
        <w:t>其他可能发生的费用：如实际井道尺寸超过招标所提供的参数表尺寸宽度而需要增加支撑和支架的费用；所有电梯机房钢丝绳洞和因安装电梯设备用洞的开洞和洞口止水圈的费用；电梯机房如需增加承重圈梁和设备吊环、吊钩的费用；电梯机房间电源配电箱到电梯控制箱之间的连接桥架和电缆费用；电梯机房主机工字钢大梁和设备用支架费用；因过梁或柱与井道墙体间存在高低或水平尺寸差时（或其它原因）为符合规范要求而增加的封堵、封板费用等。</w:t>
      </w:r>
    </w:p>
    <w:p>
      <w:pPr>
        <w:spacing w:line="360" w:lineRule="auto"/>
        <w:ind w:firstLine="480" w:firstLineChars="200"/>
        <w:rPr>
          <w:rFonts w:ascii="宋体" w:hAnsi="宋体" w:cs="宋体"/>
          <w:sz w:val="24"/>
          <w:highlight w:val="cyan"/>
        </w:rPr>
      </w:pPr>
      <w:r>
        <w:rPr>
          <w:rFonts w:hint="eastAsia" w:ascii="宋体" w:hAnsi="宋体" w:cs="宋体"/>
          <w:sz w:val="24"/>
        </w:rPr>
        <w:t>即投标报价包含招标物交付使用前的所有费用以及免保期内的服务费用等包含响应招标文件采购要求的所有费用。</w:t>
      </w:r>
    </w:p>
    <w:bookmarkEnd w:id="6"/>
    <w:p>
      <w:pPr>
        <w:spacing w:line="360" w:lineRule="auto"/>
        <w:ind w:firstLine="480" w:firstLineChars="200"/>
        <w:rPr>
          <w:rFonts w:ascii="宋体" w:hAnsi="宋体" w:cs="宋体"/>
          <w:sz w:val="24"/>
        </w:rPr>
      </w:pPr>
      <w:r>
        <w:rPr>
          <w:rFonts w:hint="eastAsia" w:ascii="宋体" w:hAnsi="宋体" w:cs="宋体"/>
          <w:sz w:val="24"/>
        </w:rPr>
        <w:t>6、一次报定的投标报价为</w:t>
      </w:r>
      <w:r>
        <w:rPr>
          <w:rFonts w:hint="eastAsia" w:ascii="宋体" w:hAnsi="宋体"/>
          <w:sz w:val="24"/>
        </w:rPr>
        <w:t>中标价</w:t>
      </w:r>
      <w:r>
        <w:rPr>
          <w:rFonts w:hint="eastAsia" w:ascii="宋体" w:hAnsi="宋体" w:cs="宋体"/>
          <w:sz w:val="24"/>
        </w:rPr>
        <w:t>，同时，中标人的</w:t>
      </w:r>
      <w:r>
        <w:rPr>
          <w:rFonts w:hint="eastAsia" w:ascii="宋体" w:hAnsi="宋体"/>
          <w:sz w:val="24"/>
        </w:rPr>
        <w:t>中标价</w:t>
      </w:r>
      <w:r>
        <w:rPr>
          <w:rFonts w:hint="eastAsia" w:ascii="宋体" w:hAnsi="宋体" w:cs="宋体"/>
          <w:sz w:val="24"/>
        </w:rPr>
        <w:t>在合同实施期间不因市场变化因素而变动。</w:t>
      </w:r>
    </w:p>
    <w:p>
      <w:pPr>
        <w:spacing w:line="360" w:lineRule="auto"/>
        <w:ind w:firstLine="480" w:firstLineChars="200"/>
        <w:rPr>
          <w:rFonts w:ascii="宋体" w:hAnsi="宋体" w:cs="宋体"/>
          <w:sz w:val="24"/>
        </w:rPr>
      </w:pPr>
      <w:r>
        <w:rPr>
          <w:rFonts w:hint="eastAsia" w:ascii="宋体" w:hAnsi="宋体" w:cs="宋体"/>
          <w:sz w:val="24"/>
        </w:rPr>
        <w:t>7、投标供应商应详细阅读招标文件的全部内容，根据采购项目需求，准确制定相关工作方案等，必须对本采购项目全部进行报价，如有漏项，视同对本项目的优惠。不按招标文件的要求提供响应文件，导致报价无效，按无效标处理。</w:t>
      </w:r>
    </w:p>
    <w:p>
      <w:pPr>
        <w:snapToGrid w:val="0"/>
        <w:spacing w:line="360" w:lineRule="auto"/>
        <w:ind w:firstLine="482" w:firstLineChars="200"/>
        <w:outlineLvl w:val="1"/>
        <w:rPr>
          <w:rFonts w:ascii="宋体" w:hAnsi="宋体" w:cs="宋体"/>
          <w:b/>
          <w:bCs/>
          <w:sz w:val="24"/>
          <w:lang w:val="zh-CN"/>
        </w:rPr>
      </w:pPr>
      <w:r>
        <w:rPr>
          <w:rFonts w:hint="eastAsia" w:ascii="宋体" w:hAnsi="宋体" w:cs="宋体"/>
          <w:b/>
          <w:bCs/>
          <w:sz w:val="24"/>
          <w:lang w:val="zh-CN"/>
        </w:rPr>
        <w:t>八、投标费用</w:t>
      </w:r>
    </w:p>
    <w:p>
      <w:pPr>
        <w:snapToGrid w:val="0"/>
        <w:spacing w:line="360" w:lineRule="auto"/>
        <w:ind w:firstLine="480" w:firstLineChars="200"/>
        <w:rPr>
          <w:rFonts w:ascii="宋体" w:hAnsi="宋体" w:cs="宋体"/>
          <w:sz w:val="24"/>
        </w:rPr>
      </w:pPr>
      <w:r>
        <w:rPr>
          <w:rFonts w:hint="eastAsia" w:ascii="宋体" w:hAnsi="宋体" w:cs="宋体"/>
          <w:sz w:val="24"/>
        </w:rPr>
        <w:t>1、无论招标过程和结果如何，投标供应商自行承担与本次项目招标有关的全部费用。投标供应商承担参与投标可能发生的全部费用，采购人在任何情况下均无义务和责任承担这些费用。</w:t>
      </w:r>
    </w:p>
    <w:p>
      <w:pPr>
        <w:snapToGrid w:val="0"/>
        <w:spacing w:line="360" w:lineRule="auto"/>
        <w:ind w:firstLine="480" w:firstLineChars="200"/>
        <w:rPr>
          <w:rFonts w:ascii="宋体" w:hAnsi="宋体" w:cs="宋体"/>
          <w:sz w:val="24"/>
        </w:rPr>
      </w:pPr>
      <w:r>
        <w:rPr>
          <w:rFonts w:hint="eastAsia" w:ascii="宋体" w:hAnsi="宋体" w:cs="宋体"/>
          <w:sz w:val="24"/>
        </w:rPr>
        <w:t xml:space="preserve">2、投标人在提交投标文件的同时提交300元（现金）招标文件相关费用，无论是否中标，该费用不予退还。 </w:t>
      </w:r>
    </w:p>
    <w:p>
      <w:pPr>
        <w:snapToGrid w:val="0"/>
        <w:spacing w:line="360" w:lineRule="auto"/>
        <w:ind w:firstLine="494" w:firstLineChars="206"/>
        <w:rPr>
          <w:rFonts w:ascii="宋体" w:hAnsi="宋体" w:cs="宋体"/>
          <w:sz w:val="24"/>
        </w:rPr>
      </w:pPr>
      <w:r>
        <w:rPr>
          <w:rFonts w:hint="eastAsia" w:ascii="宋体" w:hAnsi="宋体" w:cs="宋体"/>
          <w:sz w:val="24"/>
        </w:rPr>
        <w:t>3、为完成本项目所产生的专家论证或验收费用由中标单位承担，此费用包含在总价中，不再另行计取</w:t>
      </w:r>
    </w:p>
    <w:p>
      <w:pPr>
        <w:snapToGrid w:val="0"/>
        <w:spacing w:line="360" w:lineRule="auto"/>
        <w:ind w:firstLine="494" w:firstLineChars="206"/>
        <w:rPr>
          <w:rFonts w:ascii="宋体" w:hAnsi="宋体" w:cs="宋体"/>
          <w:sz w:val="24"/>
        </w:rPr>
      </w:pPr>
      <w:r>
        <w:rPr>
          <w:rFonts w:hint="eastAsia" w:ascii="宋体" w:hAnsi="宋体" w:cs="宋体"/>
          <w:sz w:val="24"/>
        </w:rPr>
        <w:t>4、本项目招标代理费</w:t>
      </w:r>
      <w:r>
        <w:rPr>
          <w:rFonts w:hint="eastAsia" w:ascii="宋体" w:hAnsi="宋体"/>
          <w:sz w:val="24"/>
        </w:rPr>
        <w:t>及评审费用（按实际支出为准）</w:t>
      </w:r>
      <w:r>
        <w:rPr>
          <w:rFonts w:hint="eastAsia" w:ascii="宋体" w:hAnsi="宋体" w:cs="宋体"/>
          <w:sz w:val="24"/>
        </w:rPr>
        <w:t>由中标供应商承担，请参加投标的供应商在成本中自行考虑。中标供应商在领取中标通知书前，一次性支付给招标代理机构。</w:t>
      </w:r>
    </w:p>
    <w:p>
      <w:pPr>
        <w:snapToGrid w:val="0"/>
        <w:spacing w:line="360" w:lineRule="auto"/>
        <w:ind w:firstLine="494" w:firstLineChars="206"/>
        <w:rPr>
          <w:rFonts w:ascii="宋体" w:hAnsi="宋体" w:cs="宋体"/>
          <w:sz w:val="24"/>
        </w:rPr>
      </w:pPr>
      <w:r>
        <w:rPr>
          <w:rFonts w:hint="eastAsia" w:ascii="宋体" w:hAnsi="宋体" w:cs="宋体"/>
          <w:sz w:val="24"/>
        </w:rPr>
        <w:t>采购代理费率标准：</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15"/>
        <w:gridCol w:w="4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blHeader/>
          <w:jc w:val="center"/>
        </w:trPr>
        <w:tc>
          <w:tcPr>
            <w:tcW w:w="3315" w:type="dxa"/>
            <w:vAlign w:val="center"/>
          </w:tcPr>
          <w:p>
            <w:pPr>
              <w:spacing w:line="360" w:lineRule="auto"/>
              <w:jc w:val="center"/>
              <w:rPr>
                <w:rFonts w:ascii="宋体"/>
                <w:b/>
                <w:bCs/>
                <w:sz w:val="24"/>
              </w:rPr>
            </w:pPr>
            <w:r>
              <w:rPr>
                <w:rFonts w:hint="eastAsia" w:ascii="宋体" w:hAnsi="宋体" w:cs="宋体"/>
                <w:b/>
                <w:bCs/>
                <w:sz w:val="24"/>
              </w:rPr>
              <w:t>中标金额</w:t>
            </w:r>
          </w:p>
        </w:tc>
        <w:tc>
          <w:tcPr>
            <w:tcW w:w="4992" w:type="dxa"/>
            <w:vAlign w:val="center"/>
          </w:tcPr>
          <w:p>
            <w:pPr>
              <w:spacing w:line="360" w:lineRule="auto"/>
              <w:jc w:val="center"/>
              <w:rPr>
                <w:rFonts w:ascii="宋体"/>
                <w:b/>
                <w:bCs/>
                <w:sz w:val="24"/>
              </w:rPr>
            </w:pPr>
            <w:r>
              <w:rPr>
                <w:rFonts w:hint="eastAsia" w:ascii="宋体" w:hAnsi="宋体" w:cs="宋体"/>
                <w:b/>
                <w:bCs/>
                <w:sz w:val="24"/>
              </w:rPr>
              <w:t>货物招标代理收费费率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3315" w:type="dxa"/>
            <w:vAlign w:val="center"/>
          </w:tcPr>
          <w:p>
            <w:pPr>
              <w:spacing w:line="360" w:lineRule="auto"/>
              <w:jc w:val="center"/>
              <w:rPr>
                <w:rFonts w:ascii="宋体"/>
                <w:sz w:val="24"/>
              </w:rPr>
            </w:pPr>
            <w:r>
              <w:rPr>
                <w:rFonts w:ascii="宋体" w:hAnsi="宋体" w:cs="宋体"/>
                <w:sz w:val="24"/>
              </w:rPr>
              <w:t>50</w:t>
            </w:r>
            <w:r>
              <w:rPr>
                <w:rFonts w:hint="eastAsia" w:ascii="宋体" w:hAnsi="宋体" w:cs="宋体"/>
                <w:sz w:val="24"/>
              </w:rPr>
              <w:t>万元以下的项目</w:t>
            </w:r>
          </w:p>
        </w:tc>
        <w:tc>
          <w:tcPr>
            <w:tcW w:w="4992" w:type="dxa"/>
            <w:vAlign w:val="center"/>
          </w:tcPr>
          <w:p>
            <w:pPr>
              <w:spacing w:line="360" w:lineRule="auto"/>
              <w:ind w:firstLine="480" w:firstLineChars="200"/>
              <w:jc w:val="center"/>
              <w:rPr>
                <w:rFonts w:ascii="宋体"/>
                <w:sz w:val="24"/>
              </w:rPr>
            </w:pPr>
            <w:r>
              <w:rPr>
                <w:rFonts w:ascii="宋体" w:hAnsi="宋体" w:cs="宋体"/>
                <w:sz w:val="24"/>
              </w:rPr>
              <w:t>10.5</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3315" w:type="dxa"/>
            <w:vAlign w:val="center"/>
          </w:tcPr>
          <w:p>
            <w:pPr>
              <w:spacing w:line="360" w:lineRule="auto"/>
              <w:jc w:val="center"/>
              <w:rPr>
                <w:rFonts w:ascii="宋体"/>
                <w:sz w:val="24"/>
              </w:rPr>
            </w:pPr>
            <w:r>
              <w:rPr>
                <w:rFonts w:ascii="宋体" w:hAnsi="宋体" w:cs="宋体"/>
                <w:sz w:val="24"/>
              </w:rPr>
              <w:t>50-100</w:t>
            </w:r>
            <w:r>
              <w:rPr>
                <w:rFonts w:hint="eastAsia" w:ascii="宋体" w:hAnsi="宋体" w:cs="宋体"/>
                <w:sz w:val="24"/>
              </w:rPr>
              <w:t>万元的项目</w:t>
            </w:r>
          </w:p>
        </w:tc>
        <w:tc>
          <w:tcPr>
            <w:tcW w:w="4992" w:type="dxa"/>
            <w:vAlign w:val="center"/>
          </w:tcPr>
          <w:p>
            <w:pPr>
              <w:spacing w:line="360" w:lineRule="auto"/>
              <w:ind w:firstLine="480" w:firstLineChars="200"/>
              <w:jc w:val="center"/>
              <w:rPr>
                <w:rFonts w:ascii="宋体"/>
                <w:sz w:val="24"/>
              </w:rPr>
            </w:pPr>
            <w:r>
              <w:rPr>
                <w:rFonts w:ascii="宋体" w:hAnsi="宋体" w:cs="宋体"/>
                <w:sz w:val="24"/>
              </w:rPr>
              <w:t>8</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3315" w:type="dxa"/>
            <w:vAlign w:val="center"/>
          </w:tcPr>
          <w:p>
            <w:pPr>
              <w:spacing w:line="360" w:lineRule="auto"/>
              <w:jc w:val="center"/>
              <w:rPr>
                <w:rFonts w:ascii="宋体"/>
                <w:sz w:val="24"/>
              </w:rPr>
            </w:pPr>
            <w:r>
              <w:rPr>
                <w:rFonts w:ascii="宋体" w:hAnsi="宋体" w:cs="宋体"/>
                <w:sz w:val="24"/>
              </w:rPr>
              <w:t>100-200</w:t>
            </w:r>
            <w:r>
              <w:rPr>
                <w:rFonts w:hint="eastAsia" w:ascii="宋体" w:hAnsi="宋体" w:cs="宋体"/>
                <w:sz w:val="24"/>
              </w:rPr>
              <w:t>万元的项目</w:t>
            </w:r>
          </w:p>
        </w:tc>
        <w:tc>
          <w:tcPr>
            <w:tcW w:w="4992" w:type="dxa"/>
            <w:vAlign w:val="center"/>
          </w:tcPr>
          <w:p>
            <w:pPr>
              <w:spacing w:line="360" w:lineRule="auto"/>
              <w:ind w:firstLine="480" w:firstLineChars="200"/>
              <w:jc w:val="center"/>
              <w:rPr>
                <w:rFonts w:ascii="宋体"/>
                <w:sz w:val="24"/>
              </w:rPr>
            </w:pPr>
            <w:r>
              <w:rPr>
                <w:rFonts w:ascii="宋体" w:hAnsi="宋体" w:cs="宋体"/>
                <w:sz w:val="24"/>
              </w:rPr>
              <w:t>7</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3315" w:type="dxa"/>
            <w:vAlign w:val="center"/>
          </w:tcPr>
          <w:p>
            <w:pPr>
              <w:spacing w:line="360" w:lineRule="auto"/>
              <w:jc w:val="center"/>
              <w:rPr>
                <w:rFonts w:ascii="宋体"/>
                <w:sz w:val="24"/>
              </w:rPr>
            </w:pPr>
            <w:r>
              <w:rPr>
                <w:rFonts w:hint="eastAsia" w:ascii="宋体" w:hAnsi="宋体" w:cs="宋体"/>
                <w:sz w:val="24"/>
              </w:rPr>
              <w:t>备注</w:t>
            </w:r>
          </w:p>
        </w:tc>
        <w:tc>
          <w:tcPr>
            <w:tcW w:w="4992" w:type="dxa"/>
            <w:vAlign w:val="center"/>
          </w:tcPr>
          <w:p>
            <w:pPr>
              <w:spacing w:line="360" w:lineRule="auto"/>
              <w:jc w:val="center"/>
              <w:rPr>
                <w:rFonts w:ascii="宋体"/>
                <w:sz w:val="24"/>
              </w:rPr>
            </w:pPr>
            <w:r>
              <w:rPr>
                <w:rFonts w:hint="eastAsia" w:ascii="宋体" w:hAnsi="宋体" w:cs="宋体"/>
                <w:sz w:val="24"/>
              </w:rPr>
              <w:t>招标代理费用不足</w:t>
            </w:r>
            <w:r>
              <w:rPr>
                <w:rFonts w:ascii="宋体" w:hAnsi="宋体" w:cs="宋体"/>
                <w:sz w:val="24"/>
              </w:rPr>
              <w:t>2000</w:t>
            </w:r>
            <w:r>
              <w:rPr>
                <w:rFonts w:hint="eastAsia" w:ascii="宋体" w:hAnsi="宋体" w:cs="宋体"/>
                <w:sz w:val="24"/>
              </w:rPr>
              <w:t>元的，按</w:t>
            </w:r>
            <w:r>
              <w:rPr>
                <w:rFonts w:ascii="宋体" w:hAnsi="宋体" w:cs="宋体"/>
                <w:sz w:val="24"/>
              </w:rPr>
              <w:t>2000</w:t>
            </w:r>
            <w:r>
              <w:rPr>
                <w:rFonts w:hint="eastAsia" w:ascii="宋体" w:hAnsi="宋体" w:cs="宋体"/>
                <w:sz w:val="24"/>
              </w:rPr>
              <w:t>元收费。</w:t>
            </w:r>
          </w:p>
        </w:tc>
      </w:tr>
    </w:tbl>
    <w:p>
      <w:pPr>
        <w:snapToGrid w:val="0"/>
        <w:spacing w:line="360" w:lineRule="auto"/>
        <w:ind w:firstLine="482" w:firstLineChars="200"/>
        <w:rPr>
          <w:rFonts w:ascii="宋体" w:hAnsi="宋体" w:cs="宋体"/>
          <w:b/>
          <w:sz w:val="24"/>
        </w:rPr>
      </w:pPr>
      <w:r>
        <w:rPr>
          <w:rFonts w:hint="eastAsia" w:ascii="宋体" w:hAnsi="宋体" w:cs="宋体"/>
          <w:b/>
          <w:sz w:val="24"/>
        </w:rPr>
        <w:t>九、投标文件递交时间及地址</w:t>
      </w:r>
    </w:p>
    <w:p>
      <w:pPr>
        <w:snapToGrid w:val="0"/>
        <w:spacing w:line="360" w:lineRule="auto"/>
        <w:ind w:firstLine="480" w:firstLineChars="200"/>
        <w:rPr>
          <w:rFonts w:ascii="宋体" w:hAnsi="宋体" w:cs="宋体"/>
          <w:sz w:val="24"/>
        </w:rPr>
      </w:pPr>
      <w:r>
        <w:rPr>
          <w:rFonts w:hint="eastAsia" w:ascii="宋体" w:hAnsi="宋体" w:cs="宋体"/>
          <w:sz w:val="24"/>
        </w:rPr>
        <w:t>投标供应商必须在规定的时间将投标文件送达指定地点。采购人将拒绝接收在截止时间后递交的投标文件。</w:t>
      </w:r>
    </w:p>
    <w:p>
      <w:pPr>
        <w:snapToGrid w:val="0"/>
        <w:spacing w:line="360" w:lineRule="auto"/>
        <w:ind w:firstLine="482" w:firstLineChars="200"/>
        <w:rPr>
          <w:rFonts w:ascii="宋体" w:hAnsi="宋体" w:cs="宋体"/>
          <w:b/>
          <w:sz w:val="24"/>
        </w:rPr>
      </w:pPr>
      <w:r>
        <w:rPr>
          <w:rFonts w:hint="eastAsia" w:ascii="宋体" w:hAnsi="宋体" w:cs="宋体"/>
          <w:b/>
          <w:sz w:val="24"/>
        </w:rPr>
        <w:t>十、履约保证金</w:t>
      </w:r>
    </w:p>
    <w:p>
      <w:pPr>
        <w:snapToGrid w:val="0"/>
        <w:spacing w:line="360" w:lineRule="auto"/>
        <w:ind w:firstLine="480" w:firstLineChars="200"/>
        <w:rPr>
          <w:rFonts w:ascii="宋体" w:hAnsi="宋体" w:cs="宋体"/>
          <w:sz w:val="24"/>
        </w:rPr>
      </w:pPr>
      <w:r>
        <w:rPr>
          <w:rFonts w:hint="eastAsia" w:ascii="宋体" w:hAnsi="宋体" w:cs="宋体"/>
          <w:sz w:val="24"/>
        </w:rPr>
        <w:t>1、本项目中标后的履约保证金为项目合同总价款的</w:t>
      </w:r>
      <w:r>
        <w:rPr>
          <w:rFonts w:hint="eastAsia" w:ascii="宋体" w:hAnsi="宋体" w:cs="宋体"/>
          <w:sz w:val="24"/>
          <w:u w:val="single"/>
        </w:rPr>
        <w:t xml:space="preserve"> 10%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2、中标人的履约保证金须在中标通知书发出7个工作日内汇入采购人账户，中标人凭“中标通知书”和已经汇至采购人账上的“履约保证金”凭证，15日内与采购人签订合同。超期或未有协商，则视为自动放弃中标资格。</w:t>
      </w:r>
    </w:p>
    <w:p>
      <w:pPr>
        <w:snapToGrid w:val="0"/>
        <w:spacing w:line="360" w:lineRule="auto"/>
        <w:ind w:firstLine="480" w:firstLineChars="200"/>
        <w:rPr>
          <w:rFonts w:ascii="宋体" w:hAnsi="宋体" w:cs="宋体"/>
          <w:sz w:val="24"/>
        </w:rPr>
      </w:pPr>
      <w:r>
        <w:rPr>
          <w:rFonts w:hint="eastAsia" w:ascii="宋体" w:hAnsi="宋体" w:cs="宋体"/>
          <w:sz w:val="24"/>
        </w:rPr>
        <w:t xml:space="preserve">3、中标人在按要求保质保量的完成该项目合同并通过验收后，采购人凭中标人提交的申请，一次性无息退还该合同的履约保证金。 </w:t>
      </w:r>
    </w:p>
    <w:p>
      <w:pPr>
        <w:snapToGrid w:val="0"/>
        <w:spacing w:line="360" w:lineRule="auto"/>
        <w:ind w:firstLine="480" w:firstLineChars="200"/>
        <w:rPr>
          <w:rFonts w:ascii="宋体" w:hAnsi="宋体" w:cs="宋体"/>
          <w:sz w:val="24"/>
        </w:rPr>
      </w:pPr>
      <w:r>
        <w:rPr>
          <w:rFonts w:hint="eastAsia" w:ascii="宋体" w:hAnsi="宋体" w:cs="宋体"/>
          <w:sz w:val="24"/>
        </w:rPr>
        <w:t>4、由于中标人原因，在签订合同后出现不按合同履行的情况，采购人有权将履约保证金作为违约金，全额不予退还，同时采购人亦有权终止合同，中标人还须承担相应的法律赔偿责任。</w:t>
      </w:r>
    </w:p>
    <w:p>
      <w:pPr>
        <w:adjustRightInd w:val="0"/>
        <w:snapToGrid w:val="0"/>
        <w:spacing w:line="360" w:lineRule="auto"/>
        <w:ind w:firstLine="479" w:firstLineChars="199"/>
        <w:contextualSpacing/>
        <w:rPr>
          <w:rFonts w:ascii="宋体" w:hAnsi="宋体" w:cs="宋体"/>
          <w:b/>
          <w:bCs/>
          <w:sz w:val="24"/>
        </w:rPr>
      </w:pPr>
      <w:r>
        <w:rPr>
          <w:rFonts w:hint="eastAsia" w:ascii="宋体" w:hAnsi="宋体" w:cs="宋体"/>
          <w:b/>
          <w:bCs/>
          <w:sz w:val="24"/>
        </w:rPr>
        <w:t>十一、付款方式</w:t>
      </w:r>
    </w:p>
    <w:p>
      <w:pPr>
        <w:tabs>
          <w:tab w:val="left" w:pos="5325"/>
        </w:tabs>
        <w:snapToGrid w:val="0"/>
        <w:spacing w:line="360" w:lineRule="auto"/>
        <w:ind w:firstLine="480" w:firstLineChars="200"/>
        <w:jc w:val="left"/>
        <w:rPr>
          <w:rFonts w:ascii="宋体" w:hAnsi="宋体"/>
          <w:sz w:val="24"/>
        </w:rPr>
      </w:pPr>
      <w:bookmarkStart w:id="7" w:name="_Hlk77863585"/>
      <w:r>
        <w:rPr>
          <w:rFonts w:ascii="宋体" w:hAnsi="宋体"/>
          <w:sz w:val="24"/>
        </w:rPr>
        <w:t>1</w:t>
      </w:r>
      <w:r>
        <w:rPr>
          <w:rFonts w:hint="eastAsia" w:ascii="宋体" w:hAnsi="宋体"/>
          <w:sz w:val="24"/>
        </w:rPr>
        <w:t>. 全部设备安装完成通过相关部门检测合格后且通过相关负责特种设备安全监督管理的政府部门验收合格（包括所有装潢到位）并提供完整的竣工资料，交付电梯钥匙后，待审计结束后支付至审计价的80%；余款待质保期满后一次性付清（无息）。质保期5年（质保期从取得电梯安全检验合格证后30日起计算）。</w:t>
      </w:r>
    </w:p>
    <w:p>
      <w:pPr>
        <w:tabs>
          <w:tab w:val="left" w:pos="5325"/>
        </w:tabs>
        <w:snapToGrid w:val="0"/>
        <w:spacing w:line="360" w:lineRule="auto"/>
        <w:ind w:firstLine="480" w:firstLineChars="200"/>
        <w:jc w:val="left"/>
        <w:rPr>
          <w:rFonts w:ascii="宋体" w:hAnsi="宋体"/>
          <w:sz w:val="24"/>
        </w:rPr>
      </w:pPr>
      <w:r>
        <w:rPr>
          <w:rFonts w:hint="eastAsia" w:ascii="宋体" w:hAnsi="宋体"/>
          <w:sz w:val="24"/>
        </w:rPr>
        <w:t>2</w:t>
      </w:r>
      <w:r>
        <w:rPr>
          <w:rFonts w:ascii="宋体" w:hAnsi="宋体"/>
          <w:sz w:val="24"/>
        </w:rPr>
        <w:t>.支付方式：银行转账。</w:t>
      </w:r>
      <w:bookmarkEnd w:id="7"/>
    </w:p>
    <w:p>
      <w:pPr>
        <w:snapToGrid w:val="0"/>
        <w:spacing w:line="360" w:lineRule="auto"/>
        <w:ind w:firstLine="482" w:firstLineChars="200"/>
        <w:rPr>
          <w:rFonts w:ascii="宋体" w:hAnsi="宋体" w:cs="宋体"/>
          <w:b/>
          <w:sz w:val="24"/>
        </w:rPr>
      </w:pPr>
      <w:r>
        <w:rPr>
          <w:rFonts w:hint="eastAsia" w:ascii="宋体" w:hAnsi="宋体" w:cs="宋体"/>
          <w:b/>
          <w:sz w:val="24"/>
        </w:rPr>
        <w:t>十二、未尽事宜</w:t>
      </w:r>
    </w:p>
    <w:p>
      <w:pPr>
        <w:spacing w:line="360" w:lineRule="auto"/>
        <w:ind w:firstLine="480" w:firstLineChars="200"/>
        <w:rPr>
          <w:rFonts w:ascii="宋体" w:hAnsi="宋体" w:cs="宋体"/>
          <w:sz w:val="24"/>
        </w:rPr>
      </w:pPr>
      <w:r>
        <w:rPr>
          <w:rFonts w:hint="eastAsia" w:ascii="宋体" w:hAnsi="宋体" w:cs="宋体"/>
          <w:sz w:val="24"/>
        </w:rPr>
        <w:t>按有关的法律法规的规定执行。</w:t>
      </w:r>
    </w:p>
    <w:bookmarkEnd w:id="1"/>
    <w:p>
      <w:pPr>
        <w:pStyle w:val="186"/>
        <w:spacing w:before="312" w:after="312" w:line="360" w:lineRule="auto"/>
        <w:jc w:val="both"/>
        <w:rPr>
          <w:rFonts w:ascii="宋体" w:eastAsia="宋体"/>
          <w:sz w:val="24"/>
          <w:szCs w:val="24"/>
        </w:rPr>
        <w:sectPr>
          <w:footerReference r:id="rId3" w:type="default"/>
          <w:pgSz w:w="11906" w:h="16838"/>
          <w:pgMar w:top="1134" w:right="1112" w:bottom="1021" w:left="1134" w:header="851" w:footer="992" w:gutter="0"/>
          <w:pgNumType w:start="0"/>
          <w:cols w:space="720" w:num="1"/>
          <w:docGrid w:type="lines" w:linePitch="312" w:charSpace="0"/>
        </w:sectPr>
      </w:pPr>
      <w:bookmarkStart w:id="8" w:name="_Toc182848971"/>
    </w:p>
    <w:p>
      <w:pPr>
        <w:pStyle w:val="186"/>
        <w:spacing w:before="312" w:after="312" w:line="360" w:lineRule="auto"/>
        <w:rPr>
          <w:rFonts w:ascii="宋体" w:eastAsia="宋体"/>
          <w:sz w:val="28"/>
          <w:szCs w:val="28"/>
        </w:rPr>
      </w:pPr>
      <w:r>
        <w:rPr>
          <w:rFonts w:hint="eastAsia" w:ascii="宋体" w:eastAsia="宋体"/>
          <w:sz w:val="28"/>
          <w:szCs w:val="28"/>
        </w:rPr>
        <w:t>第三章 项目需求</w:t>
      </w:r>
    </w:p>
    <w:p>
      <w:pPr>
        <w:spacing w:line="360" w:lineRule="auto"/>
        <w:ind w:firstLine="482" w:firstLineChars="200"/>
        <w:outlineLvl w:val="1"/>
        <w:rPr>
          <w:rFonts w:cs="宋体"/>
          <w:b/>
          <w:bCs/>
          <w:sz w:val="24"/>
        </w:rPr>
      </w:pPr>
      <w:bookmarkStart w:id="9" w:name="_Toc13642116"/>
      <w:r>
        <w:rPr>
          <w:rFonts w:hint="eastAsia" w:cs="宋体"/>
          <w:b/>
          <w:bCs/>
          <w:sz w:val="24"/>
        </w:rPr>
        <w:t>一、需求总则</w:t>
      </w:r>
    </w:p>
    <w:p>
      <w:pPr>
        <w:spacing w:line="360" w:lineRule="auto"/>
        <w:ind w:firstLine="480" w:firstLineChars="200"/>
        <w:rPr>
          <w:rFonts w:cs="宋体"/>
          <w:sz w:val="24"/>
        </w:rPr>
      </w:pPr>
      <w:r>
        <w:rPr>
          <w:rFonts w:hint="eastAsia" w:cs="宋体"/>
          <w:sz w:val="24"/>
        </w:rPr>
        <w:t>1</w:t>
      </w:r>
      <w:r>
        <w:rPr>
          <w:rFonts w:hint="eastAsia" w:ascii="宋体" w:hAnsi="宋体" w:cs="宋体"/>
          <w:sz w:val="24"/>
        </w:rPr>
        <w:t>.</w:t>
      </w:r>
      <w:r>
        <w:rPr>
          <w:rFonts w:hint="eastAsia" w:cs="宋体"/>
          <w:sz w:val="24"/>
        </w:rPr>
        <w:t>产品要求：</w:t>
      </w:r>
    </w:p>
    <w:p>
      <w:pPr>
        <w:spacing w:line="360" w:lineRule="auto"/>
        <w:ind w:firstLine="480" w:firstLineChars="200"/>
        <w:rPr>
          <w:rFonts w:cs="宋体"/>
          <w:sz w:val="24"/>
        </w:rPr>
      </w:pPr>
      <w:r>
        <w:rPr>
          <w:rFonts w:hint="eastAsia" w:cs="宋体"/>
          <w:sz w:val="24"/>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spacing w:line="360" w:lineRule="auto"/>
        <w:ind w:firstLine="480" w:firstLineChars="200"/>
        <w:rPr>
          <w:rFonts w:cs="宋体"/>
          <w:sz w:val="24"/>
        </w:rPr>
      </w:pPr>
      <w:r>
        <w:rPr>
          <w:rFonts w:hint="eastAsia" w:cs="宋体"/>
          <w:sz w:val="24"/>
        </w:rPr>
        <w:t>2</w:t>
      </w:r>
      <w:r>
        <w:rPr>
          <w:rFonts w:hint="eastAsia" w:ascii="宋体" w:hAnsi="宋体" w:cs="宋体"/>
          <w:sz w:val="24"/>
        </w:rPr>
        <w:t>.</w:t>
      </w:r>
      <w:r>
        <w:rPr>
          <w:rFonts w:hint="eastAsia" w:cs="宋体"/>
          <w:sz w:val="24"/>
        </w:rPr>
        <w:t xml:space="preserve">技术响应要求： </w:t>
      </w:r>
    </w:p>
    <w:p>
      <w:pPr>
        <w:spacing w:line="360" w:lineRule="auto"/>
        <w:ind w:firstLine="480" w:firstLineChars="200"/>
        <w:rPr>
          <w:rFonts w:cs="宋体"/>
          <w:sz w:val="24"/>
        </w:rPr>
      </w:pPr>
      <w:r>
        <w:rPr>
          <w:rFonts w:hint="eastAsia" w:cs="宋体"/>
          <w:sz w:val="24"/>
        </w:rPr>
        <w:t>技术标文件的内容，不得有缺陷或漏项。否则有可能被视为未实质性响应招标文件要求而作无效投标处理。技术标文件应能明确载明：产品品牌、产品功能简介、安装调试完成的时间、免费维保期、维保期内容、维护保修响应时间等。</w:t>
      </w:r>
    </w:p>
    <w:p>
      <w:pPr>
        <w:spacing w:line="360" w:lineRule="auto"/>
        <w:ind w:firstLine="480" w:firstLineChars="200"/>
        <w:rPr>
          <w:rFonts w:cs="宋体"/>
          <w:sz w:val="24"/>
        </w:rPr>
      </w:pPr>
      <w:r>
        <w:rPr>
          <w:rFonts w:hint="eastAsia" w:cs="宋体"/>
          <w:sz w:val="24"/>
        </w:rPr>
        <w:t>3</w:t>
      </w:r>
      <w:r>
        <w:rPr>
          <w:rFonts w:hint="eastAsia" w:ascii="宋体" w:hAnsi="宋体" w:cs="宋体"/>
          <w:sz w:val="24"/>
        </w:rPr>
        <w:t>.</w:t>
      </w:r>
      <w:r>
        <w:rPr>
          <w:rFonts w:hint="eastAsia" w:cs="宋体"/>
          <w:sz w:val="24"/>
        </w:rPr>
        <w:t>技术响应有关要求说明：</w:t>
      </w:r>
    </w:p>
    <w:p>
      <w:pPr>
        <w:spacing w:line="360" w:lineRule="auto"/>
        <w:ind w:firstLine="480" w:firstLineChars="200"/>
        <w:rPr>
          <w:rFonts w:cs="宋体"/>
          <w:sz w:val="24"/>
        </w:rPr>
      </w:pPr>
      <w:r>
        <w:rPr>
          <w:rFonts w:hint="eastAsia" w:cs="宋体"/>
          <w:sz w:val="24"/>
        </w:rPr>
        <w:t>投标人不能简单照搬照抄采购人项目需求说明中的技术要求，必须作实事求是的响应：</w:t>
      </w:r>
    </w:p>
    <w:p>
      <w:pPr>
        <w:spacing w:line="360" w:lineRule="auto"/>
        <w:ind w:firstLine="480" w:firstLineChars="200"/>
        <w:rPr>
          <w:rFonts w:cs="宋体"/>
          <w:sz w:val="24"/>
        </w:rPr>
      </w:pPr>
      <w:r>
        <w:rPr>
          <w:rFonts w:hint="eastAsia" w:cs="宋体"/>
          <w:sz w:val="24"/>
        </w:rPr>
        <w:t>（1）照搬照抄项目需求说明中的技术要求，一旦成交中标，在与采购人签订合同和履约环节中不得提出异议，一切后果和损失由中标人承担。</w:t>
      </w:r>
    </w:p>
    <w:p>
      <w:pPr>
        <w:spacing w:line="360" w:lineRule="auto"/>
        <w:ind w:firstLine="480" w:firstLineChars="200"/>
        <w:rPr>
          <w:rFonts w:cs="宋体"/>
          <w:sz w:val="24"/>
        </w:rPr>
      </w:pPr>
      <w:r>
        <w:rPr>
          <w:rFonts w:hint="eastAsia" w:cs="宋体"/>
          <w:sz w:val="24"/>
        </w:rPr>
        <w:t>（2）投标人提供的货物和服务与采购人提出的项目需求说明中的技术要求不同，必须在逐一逐条响应的《技术条款响应正负偏离表》上明示偏离的部分。</w:t>
      </w:r>
    </w:p>
    <w:p>
      <w:pPr>
        <w:spacing w:line="360" w:lineRule="auto"/>
        <w:ind w:firstLine="480" w:firstLineChars="200"/>
        <w:rPr>
          <w:rFonts w:cs="宋体"/>
          <w:sz w:val="24"/>
        </w:rPr>
      </w:pPr>
      <w:r>
        <w:rPr>
          <w:rFonts w:hint="eastAsia" w:cs="宋体"/>
          <w:sz w:val="24"/>
        </w:rPr>
        <w:t>（</w:t>
      </w:r>
      <w:r>
        <w:rPr>
          <w:rFonts w:cs="宋体"/>
          <w:sz w:val="24"/>
        </w:rPr>
        <w:t>3</w:t>
      </w:r>
      <w:r>
        <w:rPr>
          <w:rFonts w:hint="eastAsia" w:cs="宋体"/>
          <w:sz w:val="24"/>
        </w:rPr>
        <w:t>）如技术参数属于个别品牌专有，则该主要技术参数不具有限制性，供应商可对该参数进行适当调整，为此必须在《技术条款响应正负偏离表》中说明该参数为个别品牌专有的理由并提供相关佐证。</w:t>
      </w:r>
    </w:p>
    <w:p>
      <w:pPr>
        <w:spacing w:line="360" w:lineRule="auto"/>
        <w:ind w:firstLine="480" w:firstLineChars="200"/>
        <w:rPr>
          <w:rFonts w:cs="宋体"/>
          <w:sz w:val="24"/>
        </w:rPr>
      </w:pPr>
      <w:r>
        <w:rPr>
          <w:rFonts w:hint="eastAsia" w:cs="宋体"/>
          <w:sz w:val="24"/>
        </w:rPr>
        <w:t>（4）</w:t>
      </w:r>
      <w:r>
        <w:rPr>
          <w:rFonts w:hint="eastAsia" w:cs="宋体"/>
          <w:b/>
          <w:sz w:val="24"/>
        </w:rPr>
        <w:t>本项目电梯建议品牌为杭州西奥、康力、奥的斯机电、帝奥。</w:t>
      </w:r>
      <w:r>
        <w:rPr>
          <w:rFonts w:hint="eastAsia" w:cs="宋体"/>
          <w:sz w:val="24"/>
        </w:rPr>
        <w:t>项目中的建议品牌，只是建议所采购产品的档次。投标人可以选择建议品牌，也可以选择建议品牌以外的品牌，但所选品牌档次须等于或高于建议品牌档次。其产品技术参数须等于或高于建议品牌产品型号的技术参数。同时投标人应当在投标时提供以下资料：①由相关机构出具的检测报告；②技术白皮书；③生产许可证（若①②③项出具材料为复印件，则需加盖厂家红章，不满足上述要求的，将不予以认可），当全体评委一致认定，所选品牌档次及技术参数高于或等于建议品牌的，作为有效响应，否则将作无效响应处理。</w:t>
      </w:r>
    </w:p>
    <w:p>
      <w:pPr>
        <w:spacing w:line="360" w:lineRule="auto"/>
        <w:ind w:firstLine="480" w:firstLineChars="200"/>
        <w:rPr>
          <w:rFonts w:ascii="宋体" w:hAnsi="宋体" w:cs="宋体"/>
          <w:sz w:val="24"/>
        </w:rPr>
      </w:pPr>
      <w:r>
        <w:rPr>
          <w:rFonts w:hint="eastAsia" w:cs="宋体"/>
          <w:sz w:val="24"/>
        </w:rPr>
        <w:t>注：非推荐品牌产品必须满足招标文件技术的最低要求。</w:t>
      </w:r>
    </w:p>
    <w:p>
      <w:pPr>
        <w:spacing w:line="360" w:lineRule="auto"/>
        <w:ind w:firstLine="482" w:firstLineChars="200"/>
        <w:outlineLvl w:val="1"/>
        <w:rPr>
          <w:rFonts w:ascii="宋体" w:hAnsi="宋体"/>
          <w:bCs/>
          <w:sz w:val="24"/>
        </w:rPr>
      </w:pPr>
      <w:r>
        <w:rPr>
          <w:rFonts w:hint="eastAsia" w:ascii="宋体" w:hAnsi="宋体"/>
          <w:b/>
          <w:sz w:val="24"/>
        </w:rPr>
        <w:t>二</w:t>
      </w:r>
      <w:r>
        <w:rPr>
          <w:rFonts w:ascii="宋体" w:hAnsi="宋体"/>
          <w:b/>
          <w:sz w:val="24"/>
        </w:rPr>
        <w:t>、</w:t>
      </w:r>
      <w:r>
        <w:rPr>
          <w:rFonts w:hint="eastAsia" w:ascii="宋体" w:hAnsi="宋体"/>
          <w:b/>
          <w:sz w:val="24"/>
        </w:rPr>
        <w:t>项目概况</w:t>
      </w:r>
    </w:p>
    <w:p>
      <w:pPr>
        <w:spacing w:line="360" w:lineRule="auto"/>
        <w:ind w:firstLine="480" w:firstLineChars="200"/>
        <w:rPr>
          <w:rFonts w:ascii="宋体" w:hAnsi="宋体"/>
          <w:bCs/>
          <w:sz w:val="24"/>
        </w:rPr>
      </w:pPr>
      <w:r>
        <w:rPr>
          <w:rFonts w:hint="eastAsia" w:ascii="宋体" w:hAnsi="宋体"/>
          <w:bCs/>
          <w:sz w:val="24"/>
        </w:rPr>
        <w:t>采购人拟对苏源工业园2号楼电梯采购安装项目进行采购，</w:t>
      </w:r>
      <w:r>
        <w:rPr>
          <w:rFonts w:ascii="宋体" w:hAnsi="宋体"/>
          <w:bCs/>
          <w:sz w:val="24"/>
        </w:rPr>
        <w:t>并</w:t>
      </w:r>
      <w:r>
        <w:rPr>
          <w:rFonts w:hint="eastAsia" w:ascii="宋体" w:hAnsi="宋体"/>
          <w:bCs/>
          <w:sz w:val="24"/>
        </w:rPr>
        <w:t>依据相关法律法规的规定，现采用</w:t>
      </w:r>
      <w:r>
        <w:rPr>
          <w:rFonts w:hint="eastAsia" w:ascii="宋体" w:hAnsi="宋体"/>
          <w:b/>
          <w:bCs/>
          <w:sz w:val="24"/>
          <w:u w:val="single"/>
        </w:rPr>
        <w:t>公开招标</w:t>
      </w:r>
      <w:r>
        <w:rPr>
          <w:rFonts w:hint="eastAsia" w:ascii="宋体" w:hAnsi="宋体"/>
          <w:bCs/>
          <w:sz w:val="24"/>
        </w:rPr>
        <w:t>的采购方式确定中标人。</w:t>
      </w:r>
    </w:p>
    <w:p>
      <w:pPr>
        <w:snapToGrid w:val="0"/>
        <w:spacing w:line="360" w:lineRule="auto"/>
        <w:ind w:firstLine="482" w:firstLineChars="200"/>
        <w:outlineLvl w:val="1"/>
        <w:rPr>
          <w:rFonts w:ascii="宋体" w:hAnsi="宋体"/>
          <w:b/>
          <w:bCs/>
          <w:sz w:val="24"/>
        </w:rPr>
      </w:pPr>
      <w:r>
        <w:rPr>
          <w:rFonts w:hint="eastAsia" w:ascii="宋体" w:hAnsi="宋体"/>
          <w:b/>
          <w:bCs/>
          <w:sz w:val="24"/>
        </w:rPr>
        <w:t>三、项目需求产品及</w:t>
      </w:r>
      <w:r>
        <w:rPr>
          <w:rFonts w:ascii="宋体" w:hAnsi="宋体"/>
          <w:b/>
          <w:bCs/>
          <w:sz w:val="24"/>
        </w:rPr>
        <w:t>技术要求</w:t>
      </w:r>
    </w:p>
    <w:p>
      <w:pPr>
        <w:snapToGrid w:val="0"/>
        <w:spacing w:line="360" w:lineRule="auto"/>
        <w:ind w:firstLine="480" w:firstLineChars="200"/>
        <w:outlineLvl w:val="1"/>
        <w:rPr>
          <w:rFonts w:ascii="宋体" w:hAnsi="宋体"/>
          <w:b/>
          <w:bCs/>
          <w:sz w:val="24"/>
        </w:rPr>
      </w:pPr>
      <w:r>
        <w:rPr>
          <w:rFonts w:cs="宋体"/>
          <w:sz w:val="24"/>
        </w:rPr>
        <w:t>1</w:t>
      </w:r>
      <w:r>
        <w:rPr>
          <w:rFonts w:hint="eastAsia" w:ascii="宋体" w:hAnsi="宋体" w:cs="宋体"/>
          <w:sz w:val="24"/>
        </w:rPr>
        <w:t>.</w:t>
      </w:r>
      <w:r>
        <w:rPr>
          <w:rFonts w:hint="eastAsia" w:ascii="宋体" w:hAnsi="宋体"/>
          <w:b/>
          <w:bCs/>
          <w:sz w:val="24"/>
        </w:rPr>
        <w:t>项目需求</w:t>
      </w:r>
    </w:p>
    <w:p>
      <w:pPr>
        <w:spacing w:line="360" w:lineRule="auto"/>
        <w:ind w:firstLine="480" w:firstLineChars="200"/>
        <w:rPr>
          <w:rFonts w:ascii="宋体" w:hAnsi="宋体"/>
          <w:bCs/>
          <w:sz w:val="24"/>
        </w:rPr>
      </w:pPr>
      <w:r>
        <w:rPr>
          <w:rFonts w:hint="eastAsia" w:ascii="宋体" w:hAnsi="宋体"/>
          <w:bCs/>
          <w:sz w:val="24"/>
        </w:rPr>
        <w:t>南通市崇川区苏源工业园2号楼壹台载货电梯更换（原电梯为载重量2000kg，速度0.5m/s，5层5站5门），原电梯整体拆除并运输至采购人指定地点；新制造安装1台载重量2000kg，速度0.5m/s，5层5站5门的载货电梯。（注：1.原电梯井道楼层之间无圈梁，请各投标人自行现场勘察，加装圈梁投标人自理；2.电梯门洞口需根据现场状况重新处理，投标人自理）。</w:t>
      </w:r>
    </w:p>
    <w:p>
      <w:pPr>
        <w:spacing w:line="360" w:lineRule="auto"/>
        <w:ind w:firstLine="480" w:firstLineChars="200"/>
        <w:rPr>
          <w:rFonts w:ascii="宋体" w:hAnsi="宋体"/>
          <w:bCs/>
          <w:sz w:val="24"/>
        </w:rPr>
      </w:pPr>
      <w:r>
        <w:rPr>
          <w:rFonts w:hint="eastAsia" w:ascii="宋体" w:hAnsi="宋体"/>
          <w:bCs/>
          <w:sz w:val="24"/>
        </w:rPr>
        <w:t>本项目需拆除1台老电梯（老电梯残值归采购人所有），工程量及现场实际情况、安装条件，由投标人自行踏勘确认。</w:t>
      </w:r>
    </w:p>
    <w:p>
      <w:pPr>
        <w:spacing w:line="360" w:lineRule="auto"/>
        <w:ind w:firstLine="480" w:firstLineChars="200"/>
        <w:rPr>
          <w:rFonts w:ascii="宋体" w:hAnsi="宋体"/>
          <w:bCs/>
          <w:sz w:val="24"/>
        </w:rPr>
      </w:pPr>
      <w:r>
        <w:rPr>
          <w:rFonts w:hint="eastAsia" w:ascii="宋体" w:hAnsi="宋体"/>
          <w:bCs/>
          <w:sz w:val="24"/>
        </w:rPr>
        <w:t>采购人仅对现有建筑物尺寸负责，旧电梯拆除及可能发生的电梯井道改造、结构加固、土建收口等产生的费用由成交人负责，投标单位可自行踏勘现场（采购单位不统一组织踏勘现场）。</w:t>
      </w:r>
    </w:p>
    <w:p>
      <w:pPr>
        <w:spacing w:line="360" w:lineRule="auto"/>
        <w:ind w:firstLine="480" w:firstLineChars="200"/>
        <w:rPr>
          <w:rFonts w:ascii="宋体" w:hAnsi="宋体"/>
          <w:bCs/>
          <w:sz w:val="24"/>
        </w:rPr>
      </w:pPr>
      <w:r>
        <w:rPr>
          <w:rFonts w:hint="eastAsia" w:ascii="宋体" w:hAnsi="宋体"/>
          <w:bCs/>
          <w:sz w:val="24"/>
        </w:rPr>
        <w:t>拆除的旧电梯归采购人所有，中标单位须将拆除的旧电梯清理和转移至采购人指定地点，所有物件不得遗失，投标人自行考虑搬运费及运输费用。</w:t>
      </w:r>
    </w:p>
    <w:p>
      <w:pPr>
        <w:snapToGrid w:val="0"/>
        <w:spacing w:line="360" w:lineRule="auto"/>
        <w:ind w:firstLine="482" w:firstLineChars="200"/>
        <w:outlineLvl w:val="1"/>
        <w:rPr>
          <w:rFonts w:ascii="宋体" w:hAnsi="宋体"/>
          <w:b/>
          <w:bCs/>
          <w:sz w:val="24"/>
        </w:rPr>
      </w:pPr>
      <w:bookmarkStart w:id="10" w:name="_Hlk77863833"/>
      <w:r>
        <w:rPr>
          <w:rFonts w:hint="eastAsia" w:ascii="宋体" w:hAnsi="宋体"/>
          <w:b/>
          <w:bCs/>
          <w:sz w:val="24"/>
        </w:rPr>
        <w:t>2.电梯基本参数</w:t>
      </w:r>
    </w:p>
    <w:p>
      <w:pPr>
        <w:spacing w:line="360" w:lineRule="auto"/>
        <w:ind w:firstLine="480" w:firstLineChars="200"/>
        <w:rPr>
          <w:rFonts w:ascii="宋体" w:hAnsi="宋体"/>
          <w:bCs/>
          <w:sz w:val="24"/>
        </w:rPr>
      </w:pPr>
      <w:r>
        <w:rPr>
          <w:rFonts w:hint="eastAsia" w:ascii="宋体" w:hAnsi="宋体"/>
          <w:bCs/>
          <w:sz w:val="24"/>
        </w:rPr>
        <w:t>（1）载重量：2000kg；</w:t>
      </w:r>
    </w:p>
    <w:p>
      <w:pPr>
        <w:spacing w:line="360" w:lineRule="auto"/>
        <w:ind w:firstLine="480" w:firstLineChars="200"/>
        <w:rPr>
          <w:rFonts w:ascii="宋体" w:hAnsi="宋体"/>
          <w:bCs/>
          <w:sz w:val="24"/>
        </w:rPr>
      </w:pPr>
      <w:r>
        <w:rPr>
          <w:rFonts w:hint="eastAsia" w:ascii="宋体" w:hAnsi="宋体"/>
          <w:bCs/>
          <w:sz w:val="24"/>
        </w:rPr>
        <w:t>（2）速度：0.5m/s；</w:t>
      </w:r>
    </w:p>
    <w:p>
      <w:pPr>
        <w:spacing w:line="360" w:lineRule="auto"/>
        <w:ind w:firstLine="480" w:firstLineChars="200"/>
        <w:rPr>
          <w:rFonts w:ascii="宋体" w:hAnsi="宋体"/>
          <w:bCs/>
          <w:sz w:val="24"/>
        </w:rPr>
      </w:pPr>
      <w:r>
        <w:rPr>
          <w:rFonts w:hint="eastAsia" w:ascii="宋体" w:hAnsi="宋体"/>
          <w:bCs/>
          <w:sz w:val="24"/>
        </w:rPr>
        <w:t>（3）层/站/门：5/5/5；</w:t>
      </w:r>
    </w:p>
    <w:p>
      <w:pPr>
        <w:spacing w:line="360" w:lineRule="auto"/>
        <w:ind w:firstLine="480" w:firstLineChars="200"/>
        <w:rPr>
          <w:rFonts w:ascii="宋体" w:hAnsi="宋体"/>
          <w:bCs/>
          <w:sz w:val="24"/>
        </w:rPr>
      </w:pPr>
      <w:r>
        <w:rPr>
          <w:rFonts w:hint="eastAsia" w:ascii="宋体" w:hAnsi="宋体"/>
          <w:bCs/>
          <w:sz w:val="24"/>
        </w:rPr>
        <w:t>（4）开门尺寸：1500mm*2100mm；</w:t>
      </w:r>
    </w:p>
    <w:p>
      <w:pPr>
        <w:spacing w:line="360" w:lineRule="auto"/>
        <w:ind w:firstLine="480" w:firstLineChars="200"/>
        <w:rPr>
          <w:rFonts w:ascii="宋体" w:hAnsi="宋体"/>
          <w:bCs/>
          <w:sz w:val="24"/>
        </w:rPr>
      </w:pPr>
      <w:r>
        <w:rPr>
          <w:rFonts w:hint="eastAsia" w:ascii="宋体" w:hAnsi="宋体"/>
          <w:bCs/>
          <w:sz w:val="24"/>
        </w:rPr>
        <w:t>（5）楼层高度：底坑：1550mm；1层：3850mm； 2~4层4050mm；5层：4500mm；</w:t>
      </w:r>
    </w:p>
    <w:p>
      <w:pPr>
        <w:spacing w:line="360" w:lineRule="auto"/>
        <w:ind w:firstLine="480" w:firstLineChars="200"/>
        <w:rPr>
          <w:rFonts w:ascii="宋体" w:hAnsi="宋体"/>
          <w:bCs/>
          <w:sz w:val="24"/>
        </w:rPr>
      </w:pPr>
      <w:r>
        <w:rPr>
          <w:rFonts w:hint="eastAsia" w:ascii="宋体" w:hAnsi="宋体"/>
          <w:bCs/>
          <w:sz w:val="24"/>
        </w:rPr>
        <w:t>（6）井道内净尺寸：宽2900mm*深2850mm；</w:t>
      </w:r>
    </w:p>
    <w:p>
      <w:pPr>
        <w:spacing w:line="360" w:lineRule="auto"/>
        <w:ind w:firstLine="480" w:firstLineChars="200"/>
        <w:rPr>
          <w:rFonts w:ascii="宋体" w:hAnsi="宋体"/>
          <w:bCs/>
          <w:sz w:val="24"/>
        </w:rPr>
      </w:pPr>
      <w:r>
        <w:rPr>
          <w:rFonts w:hint="eastAsia" w:ascii="宋体" w:hAnsi="宋体"/>
          <w:bCs/>
          <w:sz w:val="24"/>
        </w:rPr>
        <w:t>（7）机房高度：3.15m；</w:t>
      </w:r>
    </w:p>
    <w:p>
      <w:pPr>
        <w:spacing w:line="360" w:lineRule="auto"/>
        <w:ind w:firstLine="480" w:firstLineChars="200"/>
        <w:rPr>
          <w:rFonts w:ascii="宋体" w:hAnsi="宋体"/>
          <w:bCs/>
          <w:sz w:val="24"/>
        </w:rPr>
      </w:pPr>
      <w:r>
        <w:rPr>
          <w:rFonts w:hint="eastAsia" w:ascii="宋体" w:hAnsi="宋体"/>
          <w:bCs/>
          <w:sz w:val="24"/>
        </w:rPr>
        <w:t>（8）开门方式：旁开式；</w:t>
      </w:r>
    </w:p>
    <w:p>
      <w:pPr>
        <w:snapToGrid w:val="0"/>
        <w:spacing w:line="360" w:lineRule="auto"/>
        <w:ind w:firstLine="482" w:firstLineChars="200"/>
        <w:outlineLvl w:val="1"/>
        <w:rPr>
          <w:rFonts w:ascii="宋体" w:hAnsi="宋体"/>
          <w:b/>
          <w:bCs/>
          <w:sz w:val="24"/>
        </w:rPr>
      </w:pPr>
      <w:r>
        <w:rPr>
          <w:rFonts w:hint="eastAsia" w:ascii="宋体" w:hAnsi="宋体"/>
          <w:b/>
          <w:bCs/>
          <w:sz w:val="24"/>
        </w:rPr>
        <w:t>3.装饰及技术要求</w:t>
      </w:r>
    </w:p>
    <w:p>
      <w:pPr>
        <w:spacing w:line="360" w:lineRule="auto"/>
        <w:ind w:firstLine="480" w:firstLineChars="200"/>
        <w:rPr>
          <w:rFonts w:ascii="宋体" w:hAnsi="宋体"/>
          <w:bCs/>
          <w:sz w:val="24"/>
        </w:rPr>
      </w:pPr>
      <w:r>
        <w:rPr>
          <w:rFonts w:hint="eastAsia" w:ascii="宋体" w:hAnsi="宋体"/>
          <w:bCs/>
          <w:sz w:val="24"/>
        </w:rPr>
        <w:t>（1）曳引机：</w:t>
      </w:r>
      <w:r>
        <w:rPr>
          <w:rFonts w:hint="eastAsia" w:ascii="宋体" w:hAnsi="宋体"/>
          <w:b/>
          <w:bCs/>
          <w:sz w:val="24"/>
        </w:rPr>
        <w:t>原产原品牌永磁同步曳引机</w:t>
      </w:r>
      <w:r>
        <w:rPr>
          <w:rFonts w:hint="eastAsia" w:ascii="宋体" w:hAnsi="宋体"/>
          <w:bCs/>
          <w:sz w:val="24"/>
        </w:rPr>
        <w:t>；</w:t>
      </w:r>
    </w:p>
    <w:p>
      <w:pPr>
        <w:spacing w:line="360" w:lineRule="auto"/>
        <w:ind w:firstLine="480" w:firstLineChars="200"/>
        <w:rPr>
          <w:rFonts w:ascii="宋体" w:hAnsi="宋体"/>
          <w:b/>
          <w:bCs/>
          <w:sz w:val="24"/>
        </w:rPr>
      </w:pPr>
      <w:r>
        <w:rPr>
          <w:rFonts w:hint="eastAsia" w:ascii="宋体" w:hAnsi="宋体"/>
          <w:bCs/>
          <w:sz w:val="24"/>
        </w:rPr>
        <w:t>（2）门机：</w:t>
      </w:r>
      <w:r>
        <w:rPr>
          <w:rFonts w:hint="eastAsia" w:ascii="宋体" w:hAnsi="宋体"/>
          <w:b/>
          <w:bCs/>
          <w:sz w:val="24"/>
        </w:rPr>
        <w:t>原产原品牌永磁同步曳引机；</w:t>
      </w:r>
    </w:p>
    <w:p>
      <w:pPr>
        <w:spacing w:line="360" w:lineRule="auto"/>
        <w:ind w:firstLine="1205" w:firstLineChars="500"/>
        <w:rPr>
          <w:rFonts w:ascii="宋体" w:hAnsi="宋体"/>
          <w:bCs/>
          <w:sz w:val="24"/>
        </w:rPr>
      </w:pPr>
      <w:r>
        <w:rPr>
          <w:rFonts w:hint="eastAsia" w:ascii="宋体" w:hAnsi="宋体"/>
          <w:b/>
          <w:bCs/>
          <w:sz w:val="24"/>
        </w:rPr>
        <w:t>控制柜：原产原品牌</w:t>
      </w:r>
    </w:p>
    <w:p>
      <w:pPr>
        <w:spacing w:line="360" w:lineRule="auto"/>
        <w:ind w:firstLine="480" w:firstLineChars="200"/>
        <w:rPr>
          <w:rFonts w:ascii="宋体" w:hAnsi="宋体"/>
          <w:bCs/>
          <w:sz w:val="24"/>
        </w:rPr>
      </w:pPr>
      <w:r>
        <w:rPr>
          <w:rFonts w:hint="eastAsia" w:ascii="宋体" w:hAnsi="宋体"/>
          <w:bCs/>
          <w:sz w:val="24"/>
        </w:rPr>
        <w:t>（3）轿厢尺寸：大于等于1900*2100*2200（宽*深*高）；</w:t>
      </w:r>
    </w:p>
    <w:p>
      <w:pPr>
        <w:spacing w:line="360" w:lineRule="auto"/>
        <w:ind w:firstLine="480" w:firstLineChars="200"/>
        <w:rPr>
          <w:rFonts w:ascii="宋体" w:hAnsi="宋体"/>
          <w:bCs/>
          <w:sz w:val="24"/>
        </w:rPr>
      </w:pPr>
      <w:r>
        <w:rPr>
          <w:rFonts w:hint="eastAsia" w:ascii="宋体" w:hAnsi="宋体"/>
          <w:bCs/>
          <w:sz w:val="24"/>
        </w:rPr>
        <w:t>（4）轿厢：轿底花纹钢板，轿顶钢板静电喷涂（浅灰色），厚度：不小于1.2mm；</w:t>
      </w:r>
    </w:p>
    <w:p>
      <w:pPr>
        <w:spacing w:line="360" w:lineRule="auto"/>
        <w:ind w:firstLine="480" w:firstLineChars="200"/>
        <w:rPr>
          <w:rFonts w:ascii="宋体" w:hAnsi="宋体"/>
          <w:bCs/>
          <w:sz w:val="24"/>
        </w:rPr>
      </w:pPr>
      <w:r>
        <w:rPr>
          <w:rFonts w:hint="eastAsia" w:ascii="宋体" w:hAnsi="宋体"/>
          <w:bCs/>
          <w:sz w:val="24"/>
        </w:rPr>
        <w:t>（5）厅门：钢板静电喷涂，浅灰色，厚度：不小于1.2mm；</w:t>
      </w:r>
    </w:p>
    <w:p>
      <w:pPr>
        <w:spacing w:line="360" w:lineRule="auto"/>
        <w:ind w:firstLine="480" w:firstLineChars="200"/>
        <w:rPr>
          <w:rFonts w:ascii="宋体" w:hAnsi="宋体"/>
          <w:bCs/>
          <w:sz w:val="24"/>
        </w:rPr>
      </w:pPr>
      <w:r>
        <w:rPr>
          <w:rFonts w:hint="eastAsia" w:ascii="宋体" w:hAnsi="宋体"/>
          <w:bCs/>
          <w:sz w:val="24"/>
        </w:rPr>
        <w:t>（6）小门套：钢板静电喷涂，浅灰色，厚度：不小于1.2mm；</w:t>
      </w:r>
    </w:p>
    <w:p>
      <w:pPr>
        <w:spacing w:line="360" w:lineRule="auto"/>
        <w:ind w:firstLine="480" w:firstLineChars="200"/>
        <w:rPr>
          <w:rFonts w:ascii="宋体" w:hAnsi="宋体"/>
          <w:bCs/>
          <w:sz w:val="24"/>
        </w:rPr>
      </w:pPr>
      <w:r>
        <w:rPr>
          <w:rFonts w:hint="eastAsia" w:ascii="宋体" w:hAnsi="宋体"/>
          <w:bCs/>
          <w:sz w:val="24"/>
        </w:rPr>
        <w:t>（7）操纵箱：发纹不锈钢面板，金属按钮，液晶显示；</w:t>
      </w:r>
    </w:p>
    <w:p>
      <w:pPr>
        <w:spacing w:line="360" w:lineRule="auto"/>
        <w:ind w:firstLine="480" w:firstLineChars="200"/>
        <w:rPr>
          <w:rFonts w:ascii="宋体" w:hAnsi="宋体"/>
          <w:bCs/>
          <w:sz w:val="24"/>
        </w:rPr>
      </w:pPr>
      <w:r>
        <w:rPr>
          <w:rFonts w:hint="eastAsia" w:ascii="宋体" w:hAnsi="宋体"/>
          <w:bCs/>
          <w:sz w:val="24"/>
        </w:rPr>
        <w:t>（8）外召呼：发纹不锈钢面板，金属按钮，液晶显示，无底盒；</w:t>
      </w:r>
    </w:p>
    <w:p>
      <w:pPr>
        <w:spacing w:line="360" w:lineRule="auto"/>
        <w:ind w:firstLine="480" w:firstLineChars="200"/>
        <w:rPr>
          <w:rFonts w:ascii="宋体" w:hAnsi="宋体"/>
          <w:bCs/>
          <w:sz w:val="24"/>
        </w:rPr>
      </w:pPr>
      <w:r>
        <w:rPr>
          <w:rFonts w:hint="eastAsia" w:ascii="宋体" w:hAnsi="宋体"/>
          <w:bCs/>
          <w:sz w:val="24"/>
        </w:rPr>
        <w:t>（9）门保护装置：红外线光幕；</w:t>
      </w:r>
    </w:p>
    <w:p>
      <w:pPr>
        <w:spacing w:line="360" w:lineRule="auto"/>
        <w:ind w:firstLine="480" w:firstLineChars="200"/>
        <w:rPr>
          <w:rFonts w:ascii="宋体" w:hAnsi="宋体"/>
          <w:bCs/>
          <w:sz w:val="24"/>
        </w:rPr>
      </w:pPr>
      <w:r>
        <w:rPr>
          <w:rFonts w:hint="eastAsia" w:ascii="宋体" w:hAnsi="宋体"/>
          <w:bCs/>
          <w:sz w:val="24"/>
        </w:rPr>
        <w:t>（10）五方通话线路：无线；</w:t>
      </w:r>
    </w:p>
    <w:p>
      <w:pPr>
        <w:spacing w:line="360" w:lineRule="auto"/>
        <w:ind w:firstLine="480" w:firstLineChars="200"/>
        <w:rPr>
          <w:rFonts w:ascii="宋体" w:hAnsi="宋体"/>
          <w:bCs/>
          <w:sz w:val="24"/>
        </w:rPr>
      </w:pPr>
      <w:r>
        <w:rPr>
          <w:rFonts w:hint="eastAsia" w:ascii="宋体" w:hAnsi="宋体"/>
          <w:bCs/>
          <w:sz w:val="24"/>
        </w:rPr>
        <w:t>（11）预留视频电缆和IC卡线路；</w:t>
      </w:r>
    </w:p>
    <w:p>
      <w:pPr>
        <w:spacing w:line="360" w:lineRule="auto"/>
        <w:ind w:firstLine="480" w:firstLineChars="200"/>
        <w:rPr>
          <w:rFonts w:ascii="宋体" w:hAnsi="宋体"/>
          <w:bCs/>
          <w:sz w:val="24"/>
        </w:rPr>
      </w:pPr>
      <w:r>
        <w:rPr>
          <w:rFonts w:hint="eastAsia" w:ascii="宋体" w:hAnsi="宋体"/>
          <w:bCs/>
          <w:sz w:val="24"/>
        </w:rPr>
        <w:t>（12）灯为LED灯，</w:t>
      </w:r>
    </w:p>
    <w:p>
      <w:pPr>
        <w:spacing w:line="360" w:lineRule="auto"/>
        <w:ind w:firstLine="480" w:firstLineChars="200"/>
        <w:rPr>
          <w:rFonts w:ascii="宋体" w:hAnsi="宋体"/>
          <w:bCs/>
          <w:sz w:val="24"/>
        </w:rPr>
      </w:pPr>
      <w:r>
        <w:rPr>
          <w:rFonts w:hint="eastAsia" w:ascii="宋体" w:hAnsi="宋体"/>
          <w:bCs/>
          <w:sz w:val="24"/>
        </w:rPr>
        <w:t>（13）</w:t>
      </w:r>
      <w:r>
        <w:rPr>
          <w:rFonts w:hint="eastAsia" w:ascii="宋体" w:hAnsi="宋体" w:cs="宋体"/>
          <w:color w:val="000000"/>
          <w:kern w:val="0"/>
          <w:sz w:val="24"/>
          <w:lang w:bidi="ar"/>
        </w:rPr>
        <w:t>光幕保护：光束≥150束，防护等级≥IP54。</w:t>
      </w:r>
      <w:r>
        <w:rPr>
          <w:rFonts w:hint="eastAsia" w:ascii="宋体" w:hAnsi="宋体"/>
          <w:bCs/>
          <w:sz w:val="24"/>
        </w:rPr>
        <w:t>。</w:t>
      </w:r>
    </w:p>
    <w:p>
      <w:pPr>
        <w:snapToGrid w:val="0"/>
        <w:spacing w:line="360" w:lineRule="auto"/>
        <w:ind w:firstLine="482" w:firstLineChars="200"/>
        <w:outlineLvl w:val="1"/>
        <w:rPr>
          <w:rFonts w:ascii="宋体" w:hAnsi="宋体"/>
          <w:b/>
          <w:bCs/>
          <w:sz w:val="24"/>
        </w:rPr>
      </w:pPr>
      <w:r>
        <w:rPr>
          <w:rFonts w:hint="eastAsia" w:ascii="宋体" w:hAnsi="宋体"/>
          <w:b/>
          <w:bCs/>
          <w:sz w:val="24"/>
        </w:rPr>
        <w:t>4.功能要求</w:t>
      </w:r>
    </w:p>
    <w:p>
      <w:pPr>
        <w:spacing w:line="360" w:lineRule="auto"/>
        <w:ind w:firstLine="480" w:firstLineChars="200"/>
        <w:rPr>
          <w:rFonts w:ascii="宋体" w:hAnsi="宋体"/>
          <w:b/>
          <w:bCs/>
          <w:sz w:val="24"/>
        </w:rPr>
      </w:pPr>
      <w:r>
        <w:rPr>
          <w:rFonts w:hint="eastAsia" w:ascii="宋体" w:hAnsi="宋体"/>
          <w:bCs/>
          <w:sz w:val="24"/>
        </w:rPr>
        <w:t>所有参加投标人的电梯在具备电梯所有基本功能的前提下，还需具备如下功能：</w:t>
      </w:r>
    </w:p>
    <w:tbl>
      <w:tblPr>
        <w:tblStyle w:val="54"/>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9"/>
        <w:gridCol w:w="7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2289" w:type="dxa"/>
            <w:vAlign w:val="center"/>
          </w:tcPr>
          <w:p>
            <w:pPr>
              <w:spacing w:line="360" w:lineRule="auto"/>
              <w:jc w:val="center"/>
              <w:rPr>
                <w:rFonts w:ascii="宋体" w:hAnsi="宋体"/>
                <w:b/>
                <w:bCs/>
                <w:sz w:val="24"/>
              </w:rPr>
            </w:pPr>
            <w:r>
              <w:rPr>
                <w:rFonts w:hint="eastAsia" w:ascii="宋体" w:hAnsi="宋体"/>
                <w:b/>
                <w:bCs/>
                <w:sz w:val="24"/>
              </w:rPr>
              <w:t>功 能 名 称</w:t>
            </w:r>
          </w:p>
        </w:tc>
        <w:tc>
          <w:tcPr>
            <w:tcW w:w="7130" w:type="dxa"/>
            <w:vAlign w:val="center"/>
          </w:tcPr>
          <w:p>
            <w:pPr>
              <w:spacing w:line="360" w:lineRule="auto"/>
              <w:jc w:val="center"/>
              <w:rPr>
                <w:rFonts w:ascii="宋体" w:hAnsi="宋体"/>
                <w:b/>
                <w:bCs/>
                <w:sz w:val="24"/>
              </w:rPr>
            </w:pPr>
            <w:r>
              <w:rPr>
                <w:rFonts w:hint="eastAsia" w:ascii="宋体" w:hAnsi="宋体"/>
                <w:b/>
                <w:bCs/>
                <w:sz w:val="24"/>
              </w:rPr>
              <w:t>功  能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2289" w:type="dxa"/>
            <w:vAlign w:val="center"/>
          </w:tcPr>
          <w:p>
            <w:pPr>
              <w:spacing w:line="360" w:lineRule="auto"/>
              <w:jc w:val="center"/>
              <w:rPr>
                <w:rFonts w:ascii="宋体" w:hAnsi="宋体"/>
                <w:bCs/>
                <w:sz w:val="24"/>
              </w:rPr>
            </w:pPr>
            <w:r>
              <w:rPr>
                <w:rFonts w:hint="eastAsia" w:ascii="宋体" w:hAnsi="宋体"/>
                <w:bCs/>
                <w:sz w:val="24"/>
              </w:rPr>
              <w:t>电梯变频驱动</w:t>
            </w:r>
          </w:p>
        </w:tc>
        <w:tc>
          <w:tcPr>
            <w:tcW w:w="7130" w:type="dxa"/>
            <w:vAlign w:val="center"/>
          </w:tcPr>
          <w:p>
            <w:pPr>
              <w:spacing w:line="360" w:lineRule="auto"/>
              <w:rPr>
                <w:rFonts w:ascii="宋体" w:hAnsi="宋体"/>
                <w:bCs/>
                <w:sz w:val="24"/>
              </w:rPr>
            </w:pPr>
            <w:r>
              <w:rPr>
                <w:rFonts w:hint="eastAsia" w:ascii="宋体" w:hAnsi="宋体"/>
                <w:bCs/>
                <w:sz w:val="24"/>
              </w:rPr>
              <w:t>精确调整电动机转速，令电梯启动、运行、停止的速度曲线平稳、圆滑，获得良好的舒适感。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jc w:val="center"/>
        </w:trPr>
        <w:tc>
          <w:tcPr>
            <w:tcW w:w="2289" w:type="dxa"/>
            <w:vAlign w:val="center"/>
          </w:tcPr>
          <w:p>
            <w:pPr>
              <w:spacing w:line="360" w:lineRule="auto"/>
              <w:jc w:val="center"/>
              <w:rPr>
                <w:rFonts w:ascii="宋体" w:hAnsi="宋体"/>
                <w:bCs/>
                <w:sz w:val="24"/>
              </w:rPr>
            </w:pPr>
            <w:r>
              <w:rPr>
                <w:rFonts w:hint="eastAsia" w:ascii="宋体" w:hAnsi="宋体"/>
                <w:bCs/>
                <w:sz w:val="24"/>
              </w:rPr>
              <w:t>轿厢风扇/照明自动开关</w:t>
            </w:r>
          </w:p>
        </w:tc>
        <w:tc>
          <w:tcPr>
            <w:tcW w:w="7130" w:type="dxa"/>
            <w:vAlign w:val="center"/>
          </w:tcPr>
          <w:p>
            <w:pPr>
              <w:spacing w:line="360" w:lineRule="auto"/>
              <w:rPr>
                <w:rFonts w:ascii="宋体" w:hAnsi="宋体"/>
                <w:bCs/>
                <w:sz w:val="24"/>
              </w:rPr>
            </w:pPr>
            <w:r>
              <w:rPr>
                <w:rFonts w:hint="eastAsia" w:ascii="宋体" w:hAnsi="宋体"/>
                <w:bCs/>
                <w:sz w:val="24"/>
              </w:rPr>
              <w:t>在规定的时间内没有召唤或指令信号，轿厢内的风扇和照明会自动关闭，以节能。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2289" w:type="dxa"/>
            <w:vAlign w:val="center"/>
          </w:tcPr>
          <w:p>
            <w:pPr>
              <w:spacing w:line="360" w:lineRule="auto"/>
              <w:jc w:val="center"/>
              <w:rPr>
                <w:rFonts w:ascii="宋体" w:hAnsi="宋体"/>
                <w:bCs/>
                <w:sz w:val="24"/>
              </w:rPr>
            </w:pPr>
            <w:r>
              <w:rPr>
                <w:rFonts w:hint="eastAsia" w:ascii="宋体" w:hAnsi="宋体"/>
                <w:bCs/>
                <w:sz w:val="24"/>
              </w:rPr>
              <w:t>自动返基站功能</w:t>
            </w:r>
          </w:p>
        </w:tc>
        <w:tc>
          <w:tcPr>
            <w:tcW w:w="7130" w:type="dxa"/>
            <w:vAlign w:val="center"/>
          </w:tcPr>
          <w:p>
            <w:pPr>
              <w:spacing w:line="360" w:lineRule="auto"/>
              <w:rPr>
                <w:rFonts w:ascii="宋体" w:hAnsi="宋体"/>
                <w:bCs/>
                <w:sz w:val="24"/>
              </w:rPr>
            </w:pPr>
            <w:r>
              <w:rPr>
                <w:rFonts w:hint="eastAsia" w:ascii="宋体" w:hAnsi="宋体"/>
                <w:bCs/>
                <w:sz w:val="24"/>
              </w:rPr>
              <w:t>在交通量低时，无召唤信号的电梯将自动返回基站，关门等待。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9" w:type="dxa"/>
            <w:vAlign w:val="center"/>
          </w:tcPr>
          <w:p>
            <w:pPr>
              <w:spacing w:line="360" w:lineRule="auto"/>
              <w:jc w:val="center"/>
              <w:rPr>
                <w:rFonts w:ascii="宋体" w:hAnsi="宋体"/>
                <w:bCs/>
                <w:sz w:val="24"/>
              </w:rPr>
            </w:pPr>
            <w:r>
              <w:rPr>
                <w:rFonts w:hint="eastAsia" w:ascii="宋体" w:hAnsi="宋体"/>
                <w:bCs/>
                <w:sz w:val="24"/>
              </w:rPr>
              <w:t>集选控制</w:t>
            </w:r>
          </w:p>
        </w:tc>
        <w:tc>
          <w:tcPr>
            <w:tcW w:w="7130" w:type="dxa"/>
          </w:tcPr>
          <w:p>
            <w:pPr>
              <w:spacing w:line="360" w:lineRule="auto"/>
              <w:rPr>
                <w:rFonts w:ascii="宋体" w:hAnsi="宋体"/>
                <w:bCs/>
                <w:sz w:val="24"/>
              </w:rPr>
            </w:pPr>
            <w:r>
              <w:rPr>
                <w:rFonts w:hint="eastAsia" w:ascii="宋体" w:hAnsi="宋体"/>
                <w:bCs/>
                <w:sz w:val="24"/>
              </w:rPr>
              <w:t>无司机集选控制操作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9" w:type="dxa"/>
            <w:vAlign w:val="center"/>
          </w:tcPr>
          <w:p>
            <w:pPr>
              <w:spacing w:line="360" w:lineRule="auto"/>
              <w:jc w:val="center"/>
              <w:rPr>
                <w:rFonts w:ascii="宋体" w:hAnsi="宋体"/>
                <w:bCs/>
                <w:sz w:val="24"/>
              </w:rPr>
            </w:pPr>
            <w:r>
              <w:rPr>
                <w:rFonts w:hint="eastAsia" w:ascii="宋体" w:hAnsi="宋体"/>
                <w:bCs/>
                <w:sz w:val="24"/>
              </w:rPr>
              <w:t>上电再平层</w:t>
            </w:r>
          </w:p>
        </w:tc>
        <w:tc>
          <w:tcPr>
            <w:tcW w:w="7130" w:type="dxa"/>
          </w:tcPr>
          <w:p>
            <w:pPr>
              <w:spacing w:line="360" w:lineRule="auto"/>
              <w:rPr>
                <w:rFonts w:ascii="宋体" w:hAnsi="宋体"/>
                <w:bCs/>
                <w:sz w:val="24"/>
              </w:rPr>
            </w:pPr>
            <w:r>
              <w:rPr>
                <w:rFonts w:hint="eastAsia" w:ascii="宋体" w:hAnsi="宋体"/>
                <w:bCs/>
                <w:sz w:val="24"/>
              </w:rPr>
              <w:t>由于电源故障引起轿厢停在两层之间，当电源恢复后轿厢将就近自动运行到平层位置。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9" w:type="dxa"/>
            <w:vAlign w:val="center"/>
          </w:tcPr>
          <w:p>
            <w:pPr>
              <w:spacing w:line="360" w:lineRule="auto"/>
              <w:jc w:val="center"/>
              <w:rPr>
                <w:rFonts w:ascii="宋体" w:hAnsi="宋体"/>
                <w:bCs/>
                <w:sz w:val="24"/>
              </w:rPr>
            </w:pPr>
            <w:r>
              <w:rPr>
                <w:rFonts w:hint="eastAsia" w:ascii="宋体" w:hAnsi="宋体"/>
                <w:bCs/>
                <w:sz w:val="24"/>
              </w:rPr>
              <w:t>光幕保护</w:t>
            </w:r>
          </w:p>
        </w:tc>
        <w:tc>
          <w:tcPr>
            <w:tcW w:w="7130" w:type="dxa"/>
            <w:vAlign w:val="center"/>
          </w:tcPr>
          <w:p>
            <w:pPr>
              <w:spacing w:line="360" w:lineRule="auto"/>
              <w:rPr>
                <w:rFonts w:ascii="宋体" w:hAnsi="宋体"/>
                <w:bCs/>
                <w:sz w:val="24"/>
              </w:rPr>
            </w:pPr>
            <w:r>
              <w:rPr>
                <w:rFonts w:hint="eastAsia" w:ascii="宋体" w:hAnsi="宋体"/>
                <w:bCs/>
                <w:sz w:val="24"/>
              </w:rPr>
              <w:t>门开启和关闭期间，用覆盖整个门高度的红外光控测乘客和物体的门保护装置。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9" w:type="dxa"/>
            <w:vAlign w:val="center"/>
          </w:tcPr>
          <w:p>
            <w:pPr>
              <w:spacing w:line="360" w:lineRule="auto"/>
              <w:jc w:val="center"/>
              <w:rPr>
                <w:rFonts w:ascii="宋体" w:hAnsi="宋体"/>
                <w:bCs/>
                <w:sz w:val="24"/>
              </w:rPr>
            </w:pPr>
            <w:r>
              <w:rPr>
                <w:rFonts w:hint="eastAsia" w:ascii="宋体" w:hAnsi="宋体"/>
                <w:bCs/>
                <w:sz w:val="24"/>
              </w:rPr>
              <w:t>电梯门重复开关</w:t>
            </w:r>
          </w:p>
        </w:tc>
        <w:tc>
          <w:tcPr>
            <w:tcW w:w="7130" w:type="dxa"/>
          </w:tcPr>
          <w:p>
            <w:pPr>
              <w:spacing w:line="360" w:lineRule="auto"/>
              <w:rPr>
                <w:rFonts w:ascii="宋体" w:hAnsi="宋体"/>
                <w:bCs/>
                <w:sz w:val="24"/>
              </w:rPr>
            </w:pPr>
            <w:r>
              <w:rPr>
                <w:rFonts w:hint="eastAsia" w:ascii="宋体" w:hAnsi="宋体"/>
                <w:bCs/>
                <w:sz w:val="24"/>
              </w:rPr>
              <w:t>有时因阻碍或干扰，电梯门未能关闭，电梯门会重复打开或关闭，直到杂物补清除。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9" w:type="dxa"/>
            <w:vAlign w:val="center"/>
          </w:tcPr>
          <w:p>
            <w:pPr>
              <w:spacing w:line="360" w:lineRule="auto"/>
              <w:jc w:val="center"/>
              <w:rPr>
                <w:rFonts w:ascii="宋体" w:hAnsi="宋体"/>
                <w:bCs/>
                <w:sz w:val="24"/>
              </w:rPr>
            </w:pPr>
            <w:r>
              <w:rPr>
                <w:rFonts w:hint="eastAsia" w:ascii="宋体" w:hAnsi="宋体"/>
                <w:bCs/>
                <w:sz w:val="24"/>
              </w:rPr>
              <w:t>本层重开门</w:t>
            </w:r>
          </w:p>
        </w:tc>
        <w:tc>
          <w:tcPr>
            <w:tcW w:w="7130" w:type="dxa"/>
          </w:tcPr>
          <w:p>
            <w:pPr>
              <w:spacing w:line="360" w:lineRule="auto"/>
              <w:rPr>
                <w:rFonts w:ascii="宋体" w:hAnsi="宋体"/>
                <w:bCs/>
                <w:sz w:val="24"/>
              </w:rPr>
            </w:pPr>
            <w:r>
              <w:rPr>
                <w:rFonts w:hint="eastAsia" w:ascii="宋体" w:hAnsi="宋体"/>
                <w:bCs/>
                <w:sz w:val="24"/>
              </w:rPr>
              <w:t>关门途中，可以按本层站召唤按钮使门重新开启。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9" w:type="dxa"/>
            <w:vAlign w:val="center"/>
          </w:tcPr>
          <w:p>
            <w:pPr>
              <w:spacing w:line="360" w:lineRule="auto"/>
              <w:jc w:val="center"/>
              <w:rPr>
                <w:rFonts w:ascii="宋体" w:hAnsi="宋体"/>
                <w:bCs/>
                <w:sz w:val="24"/>
              </w:rPr>
            </w:pPr>
            <w:r>
              <w:rPr>
                <w:rFonts w:hint="eastAsia" w:ascii="宋体" w:hAnsi="宋体"/>
                <w:bCs/>
                <w:sz w:val="24"/>
              </w:rPr>
              <w:t>超载停梯</w:t>
            </w:r>
          </w:p>
        </w:tc>
        <w:tc>
          <w:tcPr>
            <w:tcW w:w="7130" w:type="dxa"/>
          </w:tcPr>
          <w:p>
            <w:pPr>
              <w:spacing w:line="360" w:lineRule="auto"/>
              <w:rPr>
                <w:rFonts w:ascii="宋体" w:hAnsi="宋体"/>
                <w:bCs/>
                <w:sz w:val="24"/>
              </w:rPr>
            </w:pPr>
            <w:r>
              <w:rPr>
                <w:rFonts w:hint="eastAsia" w:ascii="宋体" w:hAnsi="宋体"/>
                <w:bCs/>
                <w:sz w:val="24"/>
              </w:rPr>
              <w:t>轿厢超载时，呜响蜂鸣器并停止于该层站。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9" w:type="dxa"/>
            <w:vAlign w:val="center"/>
          </w:tcPr>
          <w:p>
            <w:pPr>
              <w:spacing w:line="360" w:lineRule="auto"/>
              <w:jc w:val="center"/>
              <w:rPr>
                <w:rFonts w:ascii="宋体" w:hAnsi="宋体"/>
                <w:bCs/>
                <w:sz w:val="24"/>
              </w:rPr>
            </w:pPr>
            <w:r>
              <w:rPr>
                <w:rFonts w:hint="eastAsia" w:ascii="宋体" w:hAnsi="宋体"/>
                <w:bCs/>
                <w:sz w:val="24"/>
              </w:rPr>
              <w:t>应急照明</w:t>
            </w:r>
          </w:p>
        </w:tc>
        <w:tc>
          <w:tcPr>
            <w:tcW w:w="7130" w:type="dxa"/>
            <w:vAlign w:val="center"/>
          </w:tcPr>
          <w:p>
            <w:pPr>
              <w:spacing w:line="360" w:lineRule="auto"/>
              <w:rPr>
                <w:rFonts w:ascii="宋体" w:hAnsi="宋体"/>
                <w:bCs/>
                <w:sz w:val="24"/>
              </w:rPr>
            </w:pPr>
            <w:r>
              <w:rPr>
                <w:rFonts w:hint="eastAsia" w:ascii="宋体" w:hAnsi="宋体"/>
                <w:bCs/>
                <w:sz w:val="24"/>
              </w:rPr>
              <w:t>停电时，自动打开轿内应急照明。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9" w:type="dxa"/>
            <w:vAlign w:val="center"/>
          </w:tcPr>
          <w:p>
            <w:pPr>
              <w:spacing w:line="360" w:lineRule="auto"/>
              <w:jc w:val="center"/>
              <w:rPr>
                <w:rFonts w:ascii="宋体" w:hAnsi="宋体"/>
                <w:bCs/>
                <w:sz w:val="24"/>
              </w:rPr>
            </w:pPr>
            <w:r>
              <w:rPr>
                <w:rFonts w:hint="eastAsia" w:ascii="宋体" w:hAnsi="宋体"/>
                <w:bCs/>
                <w:sz w:val="24"/>
              </w:rPr>
              <w:t>防止失速内部计数器保护</w:t>
            </w:r>
          </w:p>
        </w:tc>
        <w:tc>
          <w:tcPr>
            <w:tcW w:w="7130" w:type="dxa"/>
            <w:vAlign w:val="center"/>
          </w:tcPr>
          <w:p>
            <w:pPr>
              <w:spacing w:line="360" w:lineRule="auto"/>
              <w:rPr>
                <w:rFonts w:ascii="宋体" w:hAnsi="宋体"/>
                <w:bCs/>
                <w:sz w:val="24"/>
              </w:rPr>
            </w:pPr>
            <w:r>
              <w:rPr>
                <w:rFonts w:hint="eastAsia" w:ascii="宋体" w:hAnsi="宋体"/>
                <w:bCs/>
                <w:sz w:val="24"/>
              </w:rPr>
              <w:t>由于曳引钢丝绳打滑而无法正常运行时，电梯停止运行。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9" w:type="dxa"/>
            <w:vAlign w:val="center"/>
          </w:tcPr>
          <w:p>
            <w:pPr>
              <w:spacing w:line="360" w:lineRule="auto"/>
              <w:jc w:val="center"/>
              <w:rPr>
                <w:rFonts w:ascii="宋体" w:hAnsi="宋体"/>
                <w:bCs/>
                <w:sz w:val="24"/>
              </w:rPr>
            </w:pPr>
            <w:r>
              <w:rPr>
                <w:rFonts w:hint="eastAsia" w:ascii="宋体" w:hAnsi="宋体"/>
                <w:bCs/>
                <w:sz w:val="24"/>
              </w:rPr>
              <w:t>启动保护控制</w:t>
            </w:r>
          </w:p>
        </w:tc>
        <w:tc>
          <w:tcPr>
            <w:tcW w:w="7130" w:type="dxa"/>
            <w:vAlign w:val="center"/>
          </w:tcPr>
          <w:p>
            <w:pPr>
              <w:spacing w:line="360" w:lineRule="auto"/>
              <w:rPr>
                <w:rFonts w:ascii="宋体" w:hAnsi="宋体"/>
                <w:bCs/>
                <w:sz w:val="24"/>
              </w:rPr>
            </w:pPr>
            <w:r>
              <w:rPr>
                <w:rFonts w:hint="eastAsia" w:ascii="宋体" w:hAnsi="宋体"/>
                <w:bCs/>
                <w:sz w:val="24"/>
              </w:rPr>
              <w:t>电梯启动后在指定的时间内，没有离开门区，电梯停止运行。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9" w:type="dxa"/>
            <w:vAlign w:val="center"/>
          </w:tcPr>
          <w:p>
            <w:pPr>
              <w:spacing w:line="360" w:lineRule="auto"/>
              <w:jc w:val="center"/>
              <w:rPr>
                <w:rFonts w:ascii="宋体" w:hAnsi="宋体"/>
                <w:bCs/>
                <w:sz w:val="24"/>
              </w:rPr>
            </w:pPr>
            <w:r>
              <w:rPr>
                <w:rFonts w:hint="eastAsia" w:ascii="宋体" w:hAnsi="宋体"/>
                <w:bCs/>
                <w:sz w:val="24"/>
              </w:rPr>
              <w:t>检修操作</w:t>
            </w:r>
          </w:p>
        </w:tc>
        <w:tc>
          <w:tcPr>
            <w:tcW w:w="7130" w:type="dxa"/>
            <w:vAlign w:val="center"/>
          </w:tcPr>
          <w:p>
            <w:pPr>
              <w:spacing w:line="360" w:lineRule="auto"/>
              <w:rPr>
                <w:rFonts w:ascii="宋体" w:hAnsi="宋体"/>
                <w:bCs/>
                <w:sz w:val="24"/>
              </w:rPr>
            </w:pPr>
            <w:r>
              <w:rPr>
                <w:rFonts w:hint="eastAsia" w:ascii="宋体" w:hAnsi="宋体"/>
                <w:bCs/>
                <w:sz w:val="24"/>
              </w:rPr>
              <w:t>当进入检修状态时，轿厢以慢速点动运行。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9" w:type="dxa"/>
            <w:vAlign w:val="center"/>
          </w:tcPr>
          <w:p>
            <w:pPr>
              <w:spacing w:line="360" w:lineRule="auto"/>
              <w:jc w:val="center"/>
              <w:rPr>
                <w:rFonts w:ascii="宋体" w:hAnsi="宋体"/>
                <w:bCs/>
                <w:sz w:val="24"/>
              </w:rPr>
            </w:pPr>
            <w:r>
              <w:rPr>
                <w:rFonts w:hint="eastAsia" w:ascii="宋体" w:hAnsi="宋体"/>
                <w:bCs/>
                <w:sz w:val="24"/>
              </w:rPr>
              <w:t>停梯开门</w:t>
            </w:r>
          </w:p>
        </w:tc>
        <w:tc>
          <w:tcPr>
            <w:tcW w:w="7130" w:type="dxa"/>
            <w:vAlign w:val="center"/>
          </w:tcPr>
          <w:p>
            <w:pPr>
              <w:spacing w:line="360" w:lineRule="auto"/>
              <w:rPr>
                <w:rFonts w:ascii="宋体" w:hAnsi="宋体"/>
                <w:bCs/>
                <w:sz w:val="24"/>
              </w:rPr>
            </w:pPr>
            <w:r>
              <w:rPr>
                <w:rFonts w:hint="eastAsia" w:ascii="宋体" w:hAnsi="宋体"/>
                <w:bCs/>
                <w:sz w:val="24"/>
              </w:rPr>
              <w:t>电梯减速平层，直到完全停稳后才开门。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9" w:type="dxa"/>
            <w:vAlign w:val="center"/>
          </w:tcPr>
          <w:p>
            <w:pPr>
              <w:spacing w:line="360" w:lineRule="auto"/>
              <w:jc w:val="center"/>
              <w:rPr>
                <w:rFonts w:ascii="宋体" w:hAnsi="宋体"/>
                <w:bCs/>
                <w:sz w:val="24"/>
              </w:rPr>
            </w:pPr>
            <w:r>
              <w:rPr>
                <w:rFonts w:hint="eastAsia" w:ascii="宋体" w:hAnsi="宋体"/>
                <w:bCs/>
                <w:sz w:val="24"/>
              </w:rPr>
              <w:t>轿内及层站微动指令按钮</w:t>
            </w:r>
          </w:p>
        </w:tc>
        <w:tc>
          <w:tcPr>
            <w:tcW w:w="7130" w:type="dxa"/>
            <w:vAlign w:val="center"/>
          </w:tcPr>
          <w:p>
            <w:pPr>
              <w:spacing w:line="360" w:lineRule="auto"/>
              <w:rPr>
                <w:rFonts w:ascii="宋体" w:hAnsi="宋体"/>
                <w:bCs/>
                <w:sz w:val="24"/>
              </w:rPr>
            </w:pPr>
            <w:r>
              <w:rPr>
                <w:rFonts w:hint="eastAsia" w:ascii="宋体" w:hAnsi="宋体"/>
                <w:bCs/>
                <w:sz w:val="24"/>
              </w:rPr>
              <w:t>轿内操纵箱指令按钮及层站召唤按钮采用新型微动型按钮。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9" w:type="dxa"/>
            <w:vAlign w:val="center"/>
          </w:tcPr>
          <w:p>
            <w:pPr>
              <w:spacing w:line="360" w:lineRule="auto"/>
              <w:jc w:val="center"/>
              <w:rPr>
                <w:rFonts w:ascii="宋体" w:hAnsi="宋体"/>
                <w:bCs/>
                <w:sz w:val="24"/>
              </w:rPr>
            </w:pPr>
            <w:r>
              <w:rPr>
                <w:rFonts w:hint="eastAsia" w:ascii="宋体" w:hAnsi="宋体"/>
                <w:bCs/>
                <w:sz w:val="24"/>
              </w:rPr>
              <w:t>警铃</w:t>
            </w:r>
          </w:p>
        </w:tc>
        <w:tc>
          <w:tcPr>
            <w:tcW w:w="7130" w:type="dxa"/>
            <w:vAlign w:val="center"/>
          </w:tcPr>
          <w:p>
            <w:pPr>
              <w:spacing w:line="360" w:lineRule="auto"/>
              <w:rPr>
                <w:rFonts w:ascii="宋体" w:hAnsi="宋体"/>
                <w:bCs/>
                <w:sz w:val="24"/>
              </w:rPr>
            </w:pPr>
            <w:r>
              <w:rPr>
                <w:rFonts w:hint="eastAsia" w:ascii="宋体" w:hAnsi="宋体"/>
                <w:bCs/>
                <w:sz w:val="24"/>
              </w:rPr>
              <w:t>紧急时，连续近下轿内操箱上的警铃按钮，安装于轿厢顶上的电铃会鸣响。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9" w:type="dxa"/>
            <w:vAlign w:val="center"/>
          </w:tcPr>
          <w:p>
            <w:pPr>
              <w:spacing w:line="360" w:lineRule="auto"/>
              <w:jc w:val="center"/>
              <w:rPr>
                <w:rFonts w:ascii="宋体" w:hAnsi="宋体"/>
                <w:bCs/>
                <w:sz w:val="24"/>
              </w:rPr>
            </w:pPr>
            <w:r>
              <w:rPr>
                <w:rFonts w:hint="eastAsia" w:ascii="宋体" w:hAnsi="宋体"/>
                <w:bCs/>
                <w:sz w:val="24"/>
              </w:rPr>
              <w:t>上下越层及上下极限保护装置</w:t>
            </w:r>
          </w:p>
        </w:tc>
        <w:tc>
          <w:tcPr>
            <w:tcW w:w="7130" w:type="dxa"/>
            <w:vAlign w:val="center"/>
          </w:tcPr>
          <w:p>
            <w:pPr>
              <w:spacing w:line="360" w:lineRule="auto"/>
              <w:rPr>
                <w:rFonts w:ascii="宋体" w:hAnsi="宋体"/>
                <w:bCs/>
                <w:sz w:val="24"/>
              </w:rPr>
            </w:pPr>
            <w:r>
              <w:rPr>
                <w:rFonts w:hint="eastAsia" w:ascii="宋体" w:hAnsi="宋体"/>
                <w:bCs/>
                <w:sz w:val="24"/>
              </w:rPr>
              <w:t>该装置可有效地防止当电梯万一发生失控时的冲顶或撞底现象，使电梯更安全可靠。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9" w:type="dxa"/>
            <w:vAlign w:val="center"/>
          </w:tcPr>
          <w:p>
            <w:pPr>
              <w:spacing w:line="360" w:lineRule="auto"/>
              <w:jc w:val="center"/>
              <w:rPr>
                <w:rFonts w:ascii="宋体" w:hAnsi="宋体"/>
                <w:bCs/>
                <w:sz w:val="24"/>
              </w:rPr>
            </w:pPr>
            <w:r>
              <w:rPr>
                <w:rFonts w:hint="eastAsia" w:ascii="宋体" w:hAnsi="宋体"/>
                <w:bCs/>
                <w:sz w:val="24"/>
              </w:rPr>
              <w:t>超速保护装置</w:t>
            </w:r>
          </w:p>
        </w:tc>
        <w:tc>
          <w:tcPr>
            <w:tcW w:w="7130" w:type="dxa"/>
            <w:vAlign w:val="center"/>
          </w:tcPr>
          <w:p>
            <w:pPr>
              <w:spacing w:line="360" w:lineRule="auto"/>
              <w:rPr>
                <w:rFonts w:ascii="宋体" w:hAnsi="宋体"/>
                <w:bCs/>
                <w:sz w:val="24"/>
              </w:rPr>
            </w:pPr>
            <w:r>
              <w:rPr>
                <w:rFonts w:hint="eastAsia" w:ascii="宋体" w:hAnsi="宋体"/>
                <w:bCs/>
                <w:sz w:val="24"/>
              </w:rPr>
              <w:t>当电梯下降运行的速度超过额定速度的1.2倍时，该装置自动切断控制电源，使电机停止运转以阻止电梯超速下行；如电梯继续超速下行，其速度超过额定速度的1.4倍时，安全钳动作，强制电梯停止运行，保证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9" w:type="dxa"/>
            <w:vAlign w:val="center"/>
          </w:tcPr>
          <w:p>
            <w:pPr>
              <w:spacing w:line="360" w:lineRule="auto"/>
              <w:jc w:val="center"/>
              <w:rPr>
                <w:rFonts w:ascii="宋体" w:hAnsi="宋体"/>
                <w:bCs/>
                <w:sz w:val="24"/>
              </w:rPr>
            </w:pPr>
            <w:r>
              <w:rPr>
                <w:rFonts w:hint="eastAsia" w:ascii="宋体" w:hAnsi="宋体"/>
                <w:bCs/>
                <w:sz w:val="24"/>
              </w:rPr>
              <w:t>轿内层楼、方向指示</w:t>
            </w:r>
          </w:p>
        </w:tc>
        <w:tc>
          <w:tcPr>
            <w:tcW w:w="7130" w:type="dxa"/>
            <w:vAlign w:val="center"/>
          </w:tcPr>
          <w:p>
            <w:pPr>
              <w:spacing w:line="360" w:lineRule="auto"/>
              <w:rPr>
                <w:rFonts w:ascii="宋体" w:hAnsi="宋体"/>
                <w:bCs/>
                <w:sz w:val="24"/>
              </w:rPr>
            </w:pPr>
            <w:r>
              <w:rPr>
                <w:rFonts w:hint="eastAsia" w:ascii="宋体" w:hAnsi="宋体"/>
                <w:bCs/>
                <w:sz w:val="24"/>
              </w:rPr>
              <w:t>轿内显示电梯所在层楼及当前运行方向。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9" w:type="dxa"/>
            <w:vAlign w:val="center"/>
          </w:tcPr>
          <w:p>
            <w:pPr>
              <w:spacing w:line="360" w:lineRule="auto"/>
              <w:jc w:val="center"/>
              <w:rPr>
                <w:rFonts w:ascii="宋体" w:hAnsi="宋体"/>
                <w:bCs/>
                <w:sz w:val="24"/>
              </w:rPr>
            </w:pPr>
            <w:r>
              <w:rPr>
                <w:rFonts w:hint="eastAsia" w:ascii="宋体" w:hAnsi="宋体"/>
                <w:bCs/>
                <w:sz w:val="24"/>
              </w:rPr>
              <w:t>层站层楼、方向指示</w:t>
            </w:r>
          </w:p>
        </w:tc>
        <w:tc>
          <w:tcPr>
            <w:tcW w:w="7130" w:type="dxa"/>
            <w:vAlign w:val="center"/>
          </w:tcPr>
          <w:p>
            <w:pPr>
              <w:spacing w:line="360" w:lineRule="auto"/>
              <w:rPr>
                <w:rFonts w:ascii="宋体" w:hAnsi="宋体"/>
                <w:bCs/>
                <w:sz w:val="24"/>
              </w:rPr>
            </w:pPr>
            <w:r>
              <w:rPr>
                <w:rFonts w:hint="eastAsia" w:ascii="宋体" w:hAnsi="宋体"/>
                <w:bCs/>
                <w:sz w:val="24"/>
              </w:rPr>
              <w:t>层站显示电梯所在层楼及当前运行方向。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轿厢意外移动</w:t>
            </w:r>
          </w:p>
        </w:tc>
        <w:tc>
          <w:tcPr>
            <w:tcW w:w="71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r>
              <w:rPr>
                <w:rFonts w:hint="eastAsia" w:ascii="宋体" w:hAnsi="宋体"/>
                <w:bCs/>
                <w:sz w:val="24"/>
              </w:rPr>
              <w:t>在开锁区域内且开门状态下，轿厢无指令离开层站的移动，不包含装卸载引起的移动。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层门强度</w:t>
            </w:r>
          </w:p>
        </w:tc>
        <w:tc>
          <w:tcPr>
            <w:tcW w:w="71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r>
              <w:rPr>
                <w:rFonts w:hint="eastAsia" w:ascii="宋体" w:hAnsi="宋体"/>
                <w:bCs/>
                <w:sz w:val="24"/>
              </w:rPr>
              <w:t>层门在锁住位置时，所有层门及其门锁应有GB7588标准的机械强度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轿门的开启</w:t>
            </w:r>
          </w:p>
        </w:tc>
        <w:tc>
          <w:tcPr>
            <w:tcW w:w="71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r>
              <w:rPr>
                <w:rFonts w:hint="eastAsia" w:ascii="宋体" w:hAnsi="宋体"/>
                <w:bCs/>
                <w:sz w:val="24"/>
              </w:rPr>
              <w:t>当轿厢位于开锁区域内时才能从轿厢内打开轿门，任何原因电梯停在开锁区域，应能在GB7588规定的位置用不超过300N的力，手动打开轿门和层门。</w:t>
            </w:r>
          </w:p>
        </w:tc>
      </w:tr>
    </w:tbl>
    <w:p>
      <w:pPr>
        <w:snapToGrid w:val="0"/>
        <w:spacing w:line="360" w:lineRule="auto"/>
        <w:ind w:firstLine="482" w:firstLineChars="200"/>
        <w:outlineLvl w:val="1"/>
        <w:rPr>
          <w:rFonts w:ascii="宋体" w:hAnsi="宋体"/>
          <w:b/>
          <w:sz w:val="24"/>
        </w:rPr>
      </w:pPr>
      <w:r>
        <w:rPr>
          <w:rFonts w:hint="eastAsia" w:ascii="宋体" w:hAnsi="宋体"/>
          <w:b/>
          <w:bCs/>
          <w:sz w:val="24"/>
        </w:rPr>
        <w:t>四、设备交货、安装调试服务</w:t>
      </w:r>
    </w:p>
    <w:p>
      <w:pPr>
        <w:snapToGrid w:val="0"/>
        <w:spacing w:line="360" w:lineRule="auto"/>
        <w:ind w:firstLine="480" w:firstLineChars="200"/>
        <w:outlineLvl w:val="1"/>
        <w:rPr>
          <w:rFonts w:ascii="宋体" w:hAnsi="宋体"/>
          <w:bCs/>
          <w:sz w:val="24"/>
        </w:rPr>
      </w:pPr>
      <w:r>
        <w:rPr>
          <w:rFonts w:hint="eastAsia" w:ascii="宋体" w:hAnsi="宋体"/>
          <w:bCs/>
          <w:sz w:val="24"/>
        </w:rPr>
        <w:t xml:space="preserve">1.设备交付： </w:t>
      </w:r>
    </w:p>
    <w:p>
      <w:pPr>
        <w:tabs>
          <w:tab w:val="left" w:pos="5325"/>
        </w:tabs>
        <w:snapToGrid w:val="0"/>
        <w:spacing w:line="360" w:lineRule="auto"/>
        <w:ind w:firstLine="480" w:firstLineChars="200"/>
        <w:jc w:val="left"/>
        <w:rPr>
          <w:rFonts w:ascii="宋体" w:hAnsi="宋体"/>
          <w:sz w:val="24"/>
        </w:rPr>
      </w:pPr>
      <w:r>
        <w:rPr>
          <w:rFonts w:hint="eastAsia" w:ascii="宋体" w:hAnsi="宋体"/>
          <w:sz w:val="24"/>
        </w:rPr>
        <w:t>（1）交货地点：原设备拆除、电梯清理和转移至采购人指定地点、新设备送至采购人指定的地点并负责安装、调试。</w:t>
      </w:r>
    </w:p>
    <w:p>
      <w:pPr>
        <w:tabs>
          <w:tab w:val="left" w:pos="5325"/>
        </w:tabs>
        <w:snapToGrid w:val="0"/>
        <w:spacing w:line="360" w:lineRule="auto"/>
        <w:ind w:firstLine="480" w:firstLineChars="200"/>
        <w:jc w:val="left"/>
        <w:rPr>
          <w:rFonts w:ascii="宋体" w:hAnsi="宋体"/>
          <w:sz w:val="24"/>
        </w:rPr>
      </w:pPr>
      <w:r>
        <w:rPr>
          <w:rFonts w:hint="eastAsia" w:ascii="宋体" w:hAnsi="宋体"/>
          <w:sz w:val="24"/>
        </w:rPr>
        <w:t>（2）货物装卸、运输涉及到的保险，其费用包含在合同总价中。</w:t>
      </w:r>
    </w:p>
    <w:p>
      <w:pPr>
        <w:tabs>
          <w:tab w:val="left" w:pos="5325"/>
        </w:tabs>
        <w:snapToGrid w:val="0"/>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bCs/>
          <w:sz w:val="24"/>
        </w:rPr>
        <w:t>.</w:t>
      </w:r>
      <w:r>
        <w:rPr>
          <w:rFonts w:hint="eastAsia" w:ascii="宋体" w:hAnsi="宋体"/>
          <w:sz w:val="24"/>
        </w:rPr>
        <w:t>项目交付安装调试服务期：合同签订后</w:t>
      </w:r>
      <w:r>
        <w:rPr>
          <w:rFonts w:hint="eastAsia" w:ascii="宋体" w:hAnsi="宋体"/>
          <w:b/>
          <w:sz w:val="24"/>
          <w:u w:val="single"/>
        </w:rPr>
        <w:t>30日历天</w:t>
      </w:r>
      <w:r>
        <w:rPr>
          <w:rFonts w:hint="eastAsia" w:ascii="宋体" w:hAnsi="宋体"/>
          <w:sz w:val="24"/>
        </w:rPr>
        <w:t>内完成原设备拆除及运转至采购人指定地点、货物送到采购方指定地点并完成安装调试工作。</w:t>
      </w:r>
    </w:p>
    <w:p>
      <w:pPr>
        <w:tabs>
          <w:tab w:val="left" w:pos="5325"/>
        </w:tabs>
        <w:snapToGrid w:val="0"/>
        <w:spacing w:line="360" w:lineRule="auto"/>
        <w:ind w:firstLine="480" w:firstLineChars="200"/>
        <w:jc w:val="left"/>
        <w:rPr>
          <w:rFonts w:ascii="宋体" w:hAnsi="宋体"/>
          <w:sz w:val="24"/>
        </w:rPr>
      </w:pPr>
      <w:r>
        <w:rPr>
          <w:rFonts w:hint="eastAsia" w:ascii="宋体" w:hAnsi="宋体"/>
          <w:sz w:val="24"/>
        </w:rPr>
        <w:t>3</w:t>
      </w:r>
      <w:r>
        <w:rPr>
          <w:rFonts w:hint="eastAsia" w:ascii="宋体" w:hAnsi="宋体"/>
          <w:bCs/>
          <w:sz w:val="24"/>
        </w:rPr>
        <w:t>.</w:t>
      </w:r>
      <w:r>
        <w:rPr>
          <w:rFonts w:hint="eastAsia" w:ascii="宋体" w:hAnsi="宋体"/>
          <w:sz w:val="24"/>
        </w:rPr>
        <w:t>发货到采购人指定地点时应先用函、电通告采购人。</w:t>
      </w:r>
    </w:p>
    <w:p>
      <w:pPr>
        <w:tabs>
          <w:tab w:val="left" w:pos="5325"/>
        </w:tabs>
        <w:snapToGrid w:val="0"/>
        <w:spacing w:line="360" w:lineRule="auto"/>
        <w:ind w:firstLine="480" w:firstLineChars="200"/>
        <w:jc w:val="left"/>
        <w:rPr>
          <w:rFonts w:ascii="宋体" w:hAnsi="宋体"/>
          <w:sz w:val="24"/>
        </w:rPr>
      </w:pPr>
      <w:r>
        <w:rPr>
          <w:rFonts w:hint="eastAsia" w:ascii="宋体" w:hAnsi="宋体"/>
          <w:sz w:val="24"/>
        </w:rPr>
        <w:t>4</w:t>
      </w:r>
      <w:r>
        <w:rPr>
          <w:rFonts w:hint="eastAsia" w:ascii="宋体" w:hAnsi="宋体"/>
          <w:bCs/>
          <w:sz w:val="24"/>
        </w:rPr>
        <w:t>.</w:t>
      </w:r>
      <w:r>
        <w:rPr>
          <w:rFonts w:hint="eastAsia" w:ascii="宋体" w:hAnsi="宋体"/>
          <w:sz w:val="24"/>
        </w:rPr>
        <w:t>产品的外观、包装、运输应按国家规定或部颁标准执行，如因供方包装不当以及其它原因造成损坏或丢失，应由供方负一切责任。</w:t>
      </w:r>
    </w:p>
    <w:p>
      <w:pPr>
        <w:tabs>
          <w:tab w:val="left" w:pos="5325"/>
        </w:tabs>
        <w:snapToGrid w:val="0"/>
        <w:spacing w:line="360" w:lineRule="auto"/>
        <w:ind w:firstLine="480" w:firstLineChars="200"/>
        <w:jc w:val="left"/>
        <w:rPr>
          <w:rFonts w:ascii="宋体" w:hAnsi="宋体"/>
          <w:sz w:val="24"/>
        </w:rPr>
      </w:pPr>
      <w:r>
        <w:rPr>
          <w:rFonts w:hint="eastAsia" w:ascii="宋体" w:hAnsi="宋体"/>
          <w:sz w:val="24"/>
        </w:rPr>
        <w:t>5</w:t>
      </w:r>
      <w:r>
        <w:rPr>
          <w:rFonts w:hint="eastAsia" w:ascii="宋体" w:hAnsi="宋体"/>
          <w:bCs/>
          <w:sz w:val="24"/>
        </w:rPr>
        <w:t>.</w:t>
      </w:r>
      <w:r>
        <w:rPr>
          <w:rFonts w:hint="eastAsia" w:ascii="宋体" w:hAnsi="宋体"/>
          <w:sz w:val="24"/>
        </w:rPr>
        <w:t>合同项目涉及到的产品设备交货时，外包装应完整无破损。</w:t>
      </w:r>
    </w:p>
    <w:p>
      <w:pPr>
        <w:spacing w:line="360" w:lineRule="auto"/>
        <w:ind w:firstLine="482" w:firstLineChars="200"/>
        <w:outlineLvl w:val="1"/>
        <w:rPr>
          <w:rFonts w:ascii="宋体" w:hAnsi="宋体"/>
          <w:b/>
          <w:sz w:val="24"/>
        </w:rPr>
      </w:pPr>
      <w:r>
        <w:rPr>
          <w:rFonts w:hint="eastAsia" w:ascii="宋体" w:hAnsi="宋体"/>
          <w:b/>
          <w:sz w:val="24"/>
        </w:rPr>
        <w:t>五、项目供货安装调试与验收</w:t>
      </w:r>
    </w:p>
    <w:p>
      <w:pPr>
        <w:tabs>
          <w:tab w:val="left" w:pos="5325"/>
        </w:tabs>
        <w:snapToGrid w:val="0"/>
        <w:spacing w:line="360" w:lineRule="auto"/>
        <w:ind w:firstLine="480" w:firstLineChars="200"/>
        <w:jc w:val="left"/>
        <w:rPr>
          <w:rFonts w:ascii="宋体" w:hAnsi="宋体"/>
          <w:sz w:val="24"/>
        </w:rPr>
      </w:pPr>
      <w:r>
        <w:rPr>
          <w:rFonts w:ascii="宋体" w:hAnsi="宋体"/>
          <w:sz w:val="24"/>
        </w:rPr>
        <w:t>1</w:t>
      </w:r>
      <w:r>
        <w:rPr>
          <w:rFonts w:hint="eastAsia" w:ascii="宋体" w:hAnsi="宋体"/>
          <w:bCs/>
          <w:sz w:val="24"/>
        </w:rPr>
        <w:t>.</w:t>
      </w:r>
      <w:r>
        <w:rPr>
          <w:rFonts w:hint="eastAsia" w:ascii="宋体" w:hAnsi="宋体"/>
          <w:sz w:val="24"/>
        </w:rPr>
        <w:t>项目供货安装调试</w:t>
      </w:r>
    </w:p>
    <w:p>
      <w:pPr>
        <w:tabs>
          <w:tab w:val="left" w:pos="5325"/>
        </w:tabs>
        <w:snapToGrid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）项目需求产品到货及报验；</w:t>
      </w:r>
    </w:p>
    <w:p>
      <w:pPr>
        <w:tabs>
          <w:tab w:val="left" w:pos="5325"/>
        </w:tabs>
        <w:snapToGrid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）提供项目产品安装、调试的人员组织安排方案；</w:t>
      </w:r>
    </w:p>
    <w:p>
      <w:pPr>
        <w:tabs>
          <w:tab w:val="left" w:pos="5325"/>
        </w:tabs>
        <w:snapToGrid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）项目产品均需安装调试，确保产品正常工作运行。</w:t>
      </w:r>
    </w:p>
    <w:p>
      <w:pPr>
        <w:tabs>
          <w:tab w:val="left" w:pos="5325"/>
        </w:tabs>
        <w:snapToGrid w:val="0"/>
        <w:spacing w:line="360" w:lineRule="auto"/>
        <w:ind w:firstLine="480" w:firstLineChars="200"/>
        <w:jc w:val="left"/>
        <w:rPr>
          <w:rFonts w:ascii="宋体" w:hAnsi="宋体"/>
          <w:sz w:val="24"/>
        </w:rPr>
      </w:pPr>
      <w:r>
        <w:rPr>
          <w:rFonts w:ascii="宋体" w:hAnsi="宋体"/>
          <w:sz w:val="24"/>
        </w:rPr>
        <w:t>2</w:t>
      </w:r>
      <w:r>
        <w:rPr>
          <w:rFonts w:hint="eastAsia" w:ascii="宋体" w:hAnsi="宋体"/>
          <w:bCs/>
          <w:sz w:val="24"/>
        </w:rPr>
        <w:t>.</w:t>
      </w:r>
      <w:r>
        <w:rPr>
          <w:rFonts w:hint="eastAsia" w:ascii="宋体" w:hAnsi="宋体"/>
          <w:sz w:val="24"/>
        </w:rPr>
        <w:t>系统验收</w:t>
      </w:r>
    </w:p>
    <w:p>
      <w:pPr>
        <w:tabs>
          <w:tab w:val="left" w:pos="5325"/>
        </w:tabs>
        <w:snapToGrid w:val="0"/>
        <w:spacing w:line="360" w:lineRule="auto"/>
        <w:ind w:firstLine="480" w:firstLineChars="200"/>
        <w:jc w:val="left"/>
        <w:rPr>
          <w:rFonts w:ascii="宋体" w:hAnsi="宋体"/>
          <w:sz w:val="24"/>
        </w:rPr>
      </w:pPr>
      <w:r>
        <w:rPr>
          <w:rFonts w:hint="eastAsia" w:ascii="宋体" w:hAnsi="宋体"/>
          <w:sz w:val="24"/>
        </w:rPr>
        <w:t>（1）投标人须提供项目产品验收方案，该方案可能在中标后会作为双方合同文件内的验收条款依据；</w:t>
      </w:r>
    </w:p>
    <w:p>
      <w:pPr>
        <w:tabs>
          <w:tab w:val="left" w:pos="5325"/>
        </w:tabs>
        <w:snapToGrid w:val="0"/>
        <w:spacing w:line="360" w:lineRule="auto"/>
        <w:ind w:firstLine="480" w:firstLineChars="200"/>
        <w:jc w:val="left"/>
        <w:rPr>
          <w:rFonts w:ascii="宋体" w:hAnsi="宋体"/>
          <w:sz w:val="24"/>
        </w:rPr>
      </w:pPr>
      <w:r>
        <w:rPr>
          <w:rFonts w:hint="eastAsia" w:ascii="宋体" w:hAnsi="宋体"/>
          <w:sz w:val="24"/>
        </w:rPr>
        <w:t>（2）设备到达采购人指定现场前，应提前3天通知采购人做好准备，由采购人会同有关单位和人员根据中标人提供的项目设备清单，进行现场验收货；</w:t>
      </w:r>
    </w:p>
    <w:p>
      <w:pPr>
        <w:tabs>
          <w:tab w:val="left" w:pos="5325"/>
        </w:tabs>
        <w:snapToGrid w:val="0"/>
        <w:spacing w:line="360" w:lineRule="auto"/>
        <w:ind w:firstLine="480" w:firstLineChars="200"/>
        <w:jc w:val="left"/>
        <w:rPr>
          <w:rFonts w:ascii="宋体" w:hAnsi="宋体"/>
          <w:sz w:val="24"/>
        </w:rPr>
      </w:pPr>
      <w:r>
        <w:rPr>
          <w:rFonts w:hint="eastAsia" w:ascii="宋体" w:hAnsi="宋体"/>
          <w:sz w:val="24"/>
        </w:rPr>
        <w:t>（3）项目完成安装调试任务后，不排除采购方对主要原部件进行原厂检测的可能。如检测不合格，中标人承担所有产品无条件退回的责任。</w:t>
      </w:r>
    </w:p>
    <w:p>
      <w:pPr>
        <w:spacing w:line="360" w:lineRule="auto"/>
        <w:ind w:firstLine="482" w:firstLineChars="200"/>
        <w:outlineLvl w:val="1"/>
        <w:rPr>
          <w:rFonts w:ascii="宋体" w:hAnsi="宋体"/>
          <w:b/>
          <w:sz w:val="24"/>
        </w:rPr>
      </w:pPr>
      <w:r>
        <w:rPr>
          <w:rFonts w:hint="eastAsia" w:ascii="宋体" w:hAnsi="宋体"/>
          <w:b/>
          <w:sz w:val="24"/>
        </w:rPr>
        <w:t>六、质量要求</w:t>
      </w:r>
    </w:p>
    <w:p>
      <w:pPr>
        <w:tabs>
          <w:tab w:val="left" w:pos="5325"/>
        </w:tabs>
        <w:snapToGrid w:val="0"/>
        <w:spacing w:line="360" w:lineRule="auto"/>
        <w:ind w:firstLine="480" w:firstLineChars="200"/>
        <w:jc w:val="left"/>
        <w:rPr>
          <w:rFonts w:ascii="宋体" w:hAnsi="宋体"/>
          <w:sz w:val="24"/>
        </w:rPr>
      </w:pPr>
      <w:r>
        <w:rPr>
          <w:rFonts w:hint="eastAsia" w:ascii="宋体" w:hAnsi="宋体"/>
          <w:sz w:val="24"/>
        </w:rPr>
        <w:t>1</w:t>
      </w:r>
      <w:r>
        <w:rPr>
          <w:rFonts w:hint="eastAsia" w:ascii="宋体" w:hAnsi="宋体"/>
          <w:bCs/>
          <w:sz w:val="24"/>
        </w:rPr>
        <w:t>.</w:t>
      </w:r>
      <w:r>
        <w:rPr>
          <w:rFonts w:hint="eastAsia" w:ascii="宋体" w:hAnsi="宋体"/>
          <w:sz w:val="24"/>
        </w:rPr>
        <w:t>中标人应保证货物是全新、未使用过的原装合格正品，并完全符合招标文件及本项目合同规定的质量、规格和性能的要求。</w:t>
      </w:r>
    </w:p>
    <w:p>
      <w:pPr>
        <w:tabs>
          <w:tab w:val="left" w:pos="5325"/>
        </w:tabs>
        <w:snapToGrid w:val="0"/>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bCs/>
          <w:sz w:val="24"/>
        </w:rPr>
        <w:t>.</w:t>
      </w:r>
      <w:r>
        <w:rPr>
          <w:rFonts w:hint="eastAsia" w:ascii="宋体" w:hAnsi="宋体"/>
          <w:sz w:val="24"/>
        </w:rPr>
        <w:t>成交产品的技术标准按国家标准执行，无国家标准的，按行业标准执行，无国家和行业标准的，按企业标准执行；但在招标文件中有特别要求的，按招标文件中规定的要求执行，并且符合相关法律、法规规定的要求。</w:t>
      </w:r>
    </w:p>
    <w:p>
      <w:pPr>
        <w:tabs>
          <w:tab w:val="left" w:pos="5325"/>
        </w:tabs>
        <w:snapToGrid w:val="0"/>
        <w:spacing w:line="360" w:lineRule="auto"/>
        <w:ind w:firstLine="480" w:firstLineChars="200"/>
        <w:jc w:val="left"/>
        <w:rPr>
          <w:rFonts w:ascii="宋体" w:hAnsi="宋体"/>
          <w:sz w:val="24"/>
        </w:rPr>
      </w:pPr>
      <w:r>
        <w:rPr>
          <w:rFonts w:hint="eastAsia" w:ascii="宋体" w:hAnsi="宋体"/>
          <w:sz w:val="24"/>
        </w:rPr>
        <w:t>3</w:t>
      </w:r>
      <w:r>
        <w:rPr>
          <w:rFonts w:hint="eastAsia" w:ascii="宋体" w:hAnsi="宋体"/>
          <w:bCs/>
          <w:sz w:val="24"/>
        </w:rPr>
        <w:t>.</w:t>
      </w:r>
      <w:r>
        <w:rPr>
          <w:rFonts w:hint="eastAsia" w:ascii="宋体" w:hAnsi="宋体"/>
          <w:sz w:val="24"/>
        </w:rPr>
        <w:t xml:space="preserve">产品的包装，国家或行业主管部门有规定的，按规定执行。 </w:t>
      </w:r>
    </w:p>
    <w:p>
      <w:pPr>
        <w:tabs>
          <w:tab w:val="left" w:pos="5325"/>
        </w:tabs>
        <w:snapToGrid w:val="0"/>
        <w:spacing w:line="360" w:lineRule="auto"/>
        <w:ind w:firstLine="480" w:firstLineChars="200"/>
        <w:jc w:val="left"/>
        <w:rPr>
          <w:rFonts w:ascii="宋体" w:hAnsi="宋体"/>
          <w:sz w:val="24"/>
        </w:rPr>
      </w:pPr>
      <w:r>
        <w:rPr>
          <w:rFonts w:hint="eastAsia" w:ascii="宋体" w:hAnsi="宋体"/>
          <w:sz w:val="24"/>
        </w:rPr>
        <w:t>4</w:t>
      </w:r>
      <w:r>
        <w:rPr>
          <w:rFonts w:hint="eastAsia" w:ascii="宋体" w:hAnsi="宋体"/>
          <w:bCs/>
          <w:sz w:val="24"/>
        </w:rPr>
        <w:t>.</w:t>
      </w:r>
      <w:r>
        <w:rPr>
          <w:rFonts w:hint="eastAsia" w:ascii="宋体" w:hAnsi="宋体"/>
          <w:sz w:val="24"/>
        </w:rPr>
        <w:t>中标人应保证提供的产品不得侵犯第三方专利权、商标权和工业设计权、版权等。否则，中标人应负全部责任，并承担由此引起的一切后果。</w:t>
      </w:r>
    </w:p>
    <w:p>
      <w:pPr>
        <w:tabs>
          <w:tab w:val="left" w:pos="5325"/>
        </w:tabs>
        <w:snapToGrid w:val="0"/>
        <w:spacing w:line="360" w:lineRule="auto"/>
        <w:ind w:firstLine="480" w:firstLineChars="200"/>
        <w:jc w:val="left"/>
        <w:rPr>
          <w:rFonts w:ascii="宋体" w:hAnsi="宋体"/>
          <w:sz w:val="24"/>
        </w:rPr>
      </w:pPr>
      <w:r>
        <w:rPr>
          <w:rFonts w:hint="eastAsia" w:ascii="宋体" w:hAnsi="宋体"/>
          <w:sz w:val="24"/>
        </w:rPr>
        <w:t>5</w:t>
      </w:r>
      <w:r>
        <w:rPr>
          <w:rFonts w:hint="eastAsia" w:ascii="宋体" w:hAnsi="宋体"/>
          <w:bCs/>
          <w:sz w:val="24"/>
        </w:rPr>
        <w:t>.</w:t>
      </w:r>
      <w:r>
        <w:rPr>
          <w:rFonts w:hint="eastAsia" w:ascii="宋体" w:hAnsi="宋体"/>
          <w:sz w:val="24"/>
        </w:rPr>
        <w:t>中标人应保证其货物在正确安装、正常使用和保养条件下，在其使用寿命期内应具有满意的性能。</w:t>
      </w:r>
    </w:p>
    <w:p>
      <w:pPr>
        <w:tabs>
          <w:tab w:val="left" w:pos="5325"/>
        </w:tabs>
        <w:snapToGrid w:val="0"/>
        <w:spacing w:line="360" w:lineRule="auto"/>
        <w:ind w:firstLine="480" w:firstLineChars="200"/>
        <w:jc w:val="left"/>
        <w:rPr>
          <w:rFonts w:ascii="宋体" w:hAnsi="宋体"/>
          <w:sz w:val="24"/>
        </w:rPr>
      </w:pPr>
      <w:r>
        <w:rPr>
          <w:rFonts w:hint="eastAsia" w:ascii="宋体" w:hAnsi="宋体"/>
          <w:sz w:val="24"/>
        </w:rPr>
        <w:t>6</w:t>
      </w:r>
      <w:r>
        <w:rPr>
          <w:rFonts w:hint="eastAsia" w:ascii="宋体" w:hAnsi="宋体"/>
          <w:bCs/>
          <w:sz w:val="24"/>
        </w:rPr>
        <w:t>.</w:t>
      </w:r>
      <w:r>
        <w:rPr>
          <w:rFonts w:hint="eastAsia" w:ascii="宋体" w:hAnsi="宋体"/>
          <w:sz w:val="24"/>
        </w:rPr>
        <w:t>中标人应采取必要的安全措施保证货物的运输及安装的安全，并承担货物的运输及安装过程中产生的一切风险及全部责任。</w:t>
      </w:r>
    </w:p>
    <w:p>
      <w:pPr>
        <w:spacing w:line="360" w:lineRule="auto"/>
        <w:ind w:firstLine="482" w:firstLineChars="200"/>
        <w:outlineLvl w:val="1"/>
        <w:rPr>
          <w:rFonts w:ascii="宋体" w:hAnsi="宋体"/>
          <w:b/>
          <w:sz w:val="24"/>
        </w:rPr>
      </w:pPr>
      <w:r>
        <w:rPr>
          <w:rFonts w:hint="eastAsia" w:ascii="宋体" w:hAnsi="宋体"/>
          <w:b/>
          <w:sz w:val="24"/>
        </w:rPr>
        <w:t xml:space="preserve">七、质保及售后服务要求  </w:t>
      </w:r>
    </w:p>
    <w:p>
      <w:pPr>
        <w:tabs>
          <w:tab w:val="left" w:pos="5325"/>
        </w:tabs>
        <w:snapToGrid w:val="0"/>
        <w:spacing w:line="360" w:lineRule="auto"/>
        <w:ind w:firstLine="480" w:firstLineChars="200"/>
        <w:jc w:val="left"/>
        <w:rPr>
          <w:rFonts w:ascii="宋体" w:hAnsi="宋体"/>
          <w:sz w:val="24"/>
        </w:rPr>
      </w:pPr>
      <w:r>
        <w:rPr>
          <w:rFonts w:ascii="宋体" w:hAnsi="宋体"/>
          <w:sz w:val="24"/>
        </w:rPr>
        <w:t>1</w:t>
      </w:r>
      <w:r>
        <w:rPr>
          <w:rFonts w:hint="eastAsia" w:ascii="宋体" w:hAnsi="宋体"/>
          <w:bCs/>
          <w:sz w:val="24"/>
        </w:rPr>
        <w:t>.</w:t>
      </w:r>
      <w:r>
        <w:rPr>
          <w:rFonts w:hint="eastAsia" w:ascii="宋体" w:hAnsi="宋体"/>
          <w:sz w:val="24"/>
        </w:rPr>
        <w:t>项目产品的质保</w:t>
      </w:r>
    </w:p>
    <w:p>
      <w:pPr>
        <w:tabs>
          <w:tab w:val="left" w:pos="5325"/>
        </w:tabs>
        <w:snapToGrid w:val="0"/>
        <w:spacing w:line="360" w:lineRule="auto"/>
        <w:ind w:firstLine="480" w:firstLineChars="200"/>
        <w:jc w:val="left"/>
        <w:rPr>
          <w:rFonts w:ascii="宋体" w:hAnsi="宋体"/>
          <w:sz w:val="24"/>
        </w:rPr>
      </w:pPr>
      <w:r>
        <w:rPr>
          <w:rFonts w:hint="eastAsia" w:ascii="宋体" w:hAnsi="宋体"/>
          <w:sz w:val="24"/>
        </w:rPr>
        <w:t>本工程质保要求：</w:t>
      </w:r>
      <w:r>
        <w:rPr>
          <w:rFonts w:hint="eastAsia" w:ascii="宋体" w:hAnsi="宋体"/>
          <w:b/>
          <w:sz w:val="24"/>
        </w:rPr>
        <w:t>质保期和免费维保期为5年</w:t>
      </w:r>
      <w:r>
        <w:rPr>
          <w:rFonts w:hint="eastAsia" w:ascii="宋体" w:hAnsi="宋体"/>
          <w:sz w:val="24"/>
        </w:rPr>
        <w:t>。电梯的整机的质量保修期应为通过当地特检部门验收合格、取得电梯安全检验合格证后30日起计算，时间为5年，在此质量保修期内发生的任何故障，中标人均应负责免费修复。</w:t>
      </w:r>
    </w:p>
    <w:p>
      <w:pPr>
        <w:tabs>
          <w:tab w:val="left" w:pos="5325"/>
        </w:tabs>
        <w:snapToGrid w:val="0"/>
        <w:spacing w:line="360" w:lineRule="auto"/>
        <w:ind w:firstLine="480" w:firstLineChars="200"/>
        <w:jc w:val="left"/>
        <w:rPr>
          <w:rFonts w:ascii="宋体" w:hAnsi="宋体"/>
          <w:sz w:val="24"/>
        </w:rPr>
      </w:pPr>
      <w:r>
        <w:rPr>
          <w:rFonts w:hint="eastAsia" w:ascii="宋体" w:hAnsi="宋体"/>
          <w:sz w:val="24"/>
        </w:rPr>
        <w:t>（1）电梯在免费维修保养期内中标人负责免费维修保养，如因人为原因而造成电梯设备损坏，其修理费及损坏部分的零件材料费（优惠）由使用方承担：</w:t>
      </w:r>
    </w:p>
    <w:p>
      <w:pPr>
        <w:tabs>
          <w:tab w:val="left" w:pos="5325"/>
        </w:tabs>
        <w:snapToGrid w:val="0"/>
        <w:spacing w:line="360" w:lineRule="auto"/>
        <w:ind w:firstLine="480" w:firstLineChars="200"/>
        <w:jc w:val="left"/>
        <w:rPr>
          <w:rFonts w:ascii="宋体" w:hAnsi="宋体"/>
          <w:sz w:val="24"/>
        </w:rPr>
      </w:pPr>
      <w:r>
        <w:rPr>
          <w:rFonts w:hint="eastAsia" w:ascii="宋体" w:hAnsi="宋体"/>
          <w:sz w:val="24"/>
        </w:rPr>
        <w:t>（2）中标人按合同约定履行上述保修、维保义务，若中标人未履行或未及时履行时，由采购人告知中标人，采购人有权自行或找第三方保修、维保，产生的一切费用和损失由中标人承担。</w:t>
      </w:r>
    </w:p>
    <w:p>
      <w:pPr>
        <w:tabs>
          <w:tab w:val="left" w:pos="5325"/>
        </w:tabs>
        <w:snapToGrid w:val="0"/>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 xml:space="preserve">.服务承诺 </w:t>
      </w:r>
    </w:p>
    <w:p>
      <w:pPr>
        <w:tabs>
          <w:tab w:val="left" w:pos="5325"/>
        </w:tabs>
        <w:snapToGrid w:val="0"/>
        <w:spacing w:line="360" w:lineRule="auto"/>
        <w:ind w:firstLine="480" w:firstLineChars="200"/>
        <w:jc w:val="left"/>
        <w:rPr>
          <w:rFonts w:ascii="宋体" w:hAnsi="宋体"/>
          <w:sz w:val="24"/>
        </w:rPr>
      </w:pPr>
      <w:r>
        <w:rPr>
          <w:rFonts w:hint="eastAsia" w:ascii="宋体" w:hAnsi="宋体"/>
          <w:sz w:val="24"/>
        </w:rPr>
        <w:t>（1）质量保修期间巡检次数须满足有关规定，包括对整个设备系统的检查、调校、保养、清洁，并提供维修所需的零配件，服务全面细致，体系完整。其他服务内容包括：免费保修服务、一梯一档记录、提醒服务、年检服务等，在每次维护性保养和维修工作开始前应设置必要的围护设施及安全警告标志，保养、维修工作结束后，及时清除现场的所有剩余材料、垃圾及临时设施，恢复现场的整洁、通畅。</w:t>
      </w:r>
    </w:p>
    <w:p>
      <w:pPr>
        <w:tabs>
          <w:tab w:val="left" w:pos="5325"/>
        </w:tabs>
        <w:snapToGrid w:val="0"/>
        <w:spacing w:line="360" w:lineRule="auto"/>
        <w:ind w:firstLine="480" w:firstLineChars="200"/>
        <w:jc w:val="left"/>
        <w:rPr>
          <w:rFonts w:ascii="宋体" w:hAnsi="宋体"/>
          <w:sz w:val="24"/>
        </w:rPr>
      </w:pPr>
      <w:r>
        <w:rPr>
          <w:rFonts w:hint="eastAsia" w:ascii="宋体" w:hAnsi="宋体"/>
          <w:sz w:val="24"/>
        </w:rPr>
        <w:t>（2）电梯供货合同签订时应提供货物从质量保修期结束后所需的完整的备件、易损件和特种工具清单，包括备件、易损件和特种工具的货源及价合理价格，并承诺在质量保修期结束后以不高于上述价格向使用方提供所需的备品备件和特种工具。</w:t>
      </w:r>
    </w:p>
    <w:p>
      <w:pPr>
        <w:tabs>
          <w:tab w:val="left" w:pos="5325"/>
        </w:tabs>
        <w:snapToGrid w:val="0"/>
        <w:spacing w:line="360" w:lineRule="auto"/>
        <w:ind w:firstLine="480" w:firstLineChars="200"/>
        <w:jc w:val="left"/>
        <w:rPr>
          <w:rFonts w:ascii="宋体" w:hAnsi="宋体"/>
          <w:sz w:val="24"/>
        </w:rPr>
      </w:pPr>
      <w:r>
        <w:rPr>
          <w:rFonts w:hint="eastAsia" w:ascii="宋体" w:hAnsi="宋体"/>
          <w:sz w:val="24"/>
        </w:rPr>
        <w:t>（3）当设备发生突发紧急故障时，承包人专业维修单位须在接报后派出维修人员于15分钟内赶到现场实施排险救援。</w:t>
      </w:r>
    </w:p>
    <w:p>
      <w:pPr>
        <w:tabs>
          <w:tab w:val="left" w:pos="5325"/>
        </w:tabs>
        <w:snapToGrid w:val="0"/>
        <w:spacing w:line="360" w:lineRule="auto"/>
        <w:ind w:firstLine="480" w:firstLineChars="200"/>
        <w:jc w:val="left"/>
        <w:rPr>
          <w:rFonts w:ascii="宋体" w:hAnsi="宋体"/>
          <w:sz w:val="24"/>
        </w:rPr>
      </w:pPr>
      <w:r>
        <w:rPr>
          <w:rFonts w:hint="eastAsia" w:ascii="宋体" w:hAnsi="宋体"/>
          <w:sz w:val="24"/>
        </w:rPr>
        <w:t>（4）当设备发生故障后，承包人专业维修单位须在第一次接到报修电话后派出维修人员于2小时内到达现场进行抢修，一般故障应在4小时内修复，重大故障的修复时间不得超过24小时（上述修理时间应视具体故障情况而定）。</w:t>
      </w:r>
    </w:p>
    <w:p>
      <w:pPr>
        <w:tabs>
          <w:tab w:val="left" w:pos="5325"/>
        </w:tabs>
        <w:snapToGrid w:val="0"/>
        <w:spacing w:line="360" w:lineRule="auto"/>
        <w:ind w:firstLine="480" w:firstLineChars="200"/>
        <w:jc w:val="left"/>
        <w:rPr>
          <w:rFonts w:ascii="宋体" w:hAnsi="宋体"/>
          <w:sz w:val="24"/>
        </w:rPr>
      </w:pPr>
      <w:r>
        <w:rPr>
          <w:rFonts w:hint="eastAsia" w:ascii="宋体" w:hAnsi="宋体"/>
          <w:sz w:val="24"/>
        </w:rPr>
        <w:t>（5）承包人保修期内负责与特检部门进行联络和协调，保证及时取得电梯的年度安全检验合格证明。</w:t>
      </w:r>
    </w:p>
    <w:bookmarkEnd w:id="9"/>
    <w:bookmarkEnd w:id="10"/>
    <w:p>
      <w:pPr>
        <w:snapToGrid w:val="0"/>
        <w:spacing w:line="360" w:lineRule="auto"/>
        <w:ind w:firstLine="560" w:firstLineChars="200"/>
        <w:rPr>
          <w:rFonts w:ascii="宋体"/>
          <w:sz w:val="28"/>
          <w:szCs w:val="28"/>
        </w:rPr>
      </w:pPr>
    </w:p>
    <w:bookmarkEnd w:id="8"/>
    <w:p>
      <w:pPr>
        <w:pageBreakBefore/>
        <w:tabs>
          <w:tab w:val="left" w:pos="5325"/>
        </w:tabs>
        <w:snapToGrid w:val="0"/>
        <w:spacing w:line="360" w:lineRule="auto"/>
        <w:ind w:firstLine="723" w:firstLineChars="200"/>
        <w:jc w:val="center"/>
        <w:rPr>
          <w:b/>
          <w:bCs/>
          <w:sz w:val="36"/>
          <w:szCs w:val="36"/>
        </w:rPr>
      </w:pPr>
      <w:bookmarkStart w:id="11" w:name="_Toc182849073"/>
      <w:r>
        <w:rPr>
          <w:rFonts w:hint="eastAsia" w:cs="宋体"/>
          <w:b/>
          <w:bCs/>
          <w:sz w:val="36"/>
          <w:szCs w:val="36"/>
        </w:rPr>
        <w:t>第四章</w:t>
      </w:r>
      <w:bookmarkStart w:id="12" w:name="_Toc182848996"/>
      <w:r>
        <w:rPr>
          <w:rFonts w:hint="eastAsia" w:cs="宋体"/>
          <w:b/>
          <w:bCs/>
          <w:sz w:val="36"/>
          <w:szCs w:val="36"/>
        </w:rPr>
        <w:t xml:space="preserve"> 评审程序和方法</w:t>
      </w:r>
    </w:p>
    <w:p>
      <w:pPr>
        <w:snapToGrid w:val="0"/>
        <w:spacing w:line="360" w:lineRule="auto"/>
        <w:ind w:firstLine="482" w:firstLineChars="200"/>
        <w:outlineLvl w:val="1"/>
        <w:rPr>
          <w:rFonts w:cs="宋体"/>
          <w:b/>
          <w:bCs/>
          <w:sz w:val="24"/>
        </w:rPr>
      </w:pPr>
      <w:r>
        <w:rPr>
          <w:rFonts w:hint="eastAsia" w:cs="宋体"/>
          <w:b/>
          <w:bCs/>
          <w:sz w:val="24"/>
        </w:rPr>
        <w:t>一、采购人委托采购代理机构组织招标</w:t>
      </w:r>
    </w:p>
    <w:p>
      <w:pPr>
        <w:adjustRightInd w:val="0"/>
        <w:snapToGrid w:val="0"/>
        <w:spacing w:line="360" w:lineRule="auto"/>
        <w:ind w:firstLine="484" w:firstLineChars="202"/>
        <w:rPr>
          <w:rFonts w:ascii="宋体" w:hAnsi="宋体"/>
          <w:sz w:val="24"/>
        </w:rPr>
      </w:pPr>
      <w:r>
        <w:rPr>
          <w:rFonts w:hint="eastAsia" w:ascii="宋体" w:hAnsi="宋体"/>
          <w:sz w:val="24"/>
        </w:rPr>
        <w:t>1</w:t>
      </w:r>
      <w:r>
        <w:rPr>
          <w:sz w:val="24"/>
        </w:rPr>
        <w:t>.</w:t>
      </w:r>
      <w:r>
        <w:rPr>
          <w:rFonts w:hint="eastAsia" w:ascii="宋体" w:hAnsi="宋体"/>
          <w:sz w:val="24"/>
        </w:rPr>
        <w:t>依法成立评标委员会，评标委员会成员人数为</w:t>
      </w:r>
      <w:r>
        <w:rPr>
          <w:rFonts w:hint="eastAsia" w:ascii="宋体" w:hAnsi="宋体"/>
          <w:b/>
          <w:sz w:val="24"/>
        </w:rPr>
        <w:t>5</w:t>
      </w:r>
      <w:r>
        <w:rPr>
          <w:rFonts w:hint="eastAsia" w:ascii="宋体" w:hAnsi="宋体"/>
          <w:sz w:val="24"/>
        </w:rPr>
        <w:t>人或5人以上单数。</w:t>
      </w:r>
    </w:p>
    <w:p>
      <w:pPr>
        <w:adjustRightInd w:val="0"/>
        <w:snapToGrid w:val="0"/>
        <w:spacing w:line="360" w:lineRule="auto"/>
        <w:ind w:firstLine="484" w:firstLineChars="202"/>
        <w:rPr>
          <w:rFonts w:ascii="宋体" w:hAnsi="宋体"/>
          <w:sz w:val="24"/>
        </w:rPr>
      </w:pPr>
      <w:r>
        <w:rPr>
          <w:rFonts w:hint="eastAsia" w:ascii="宋体" w:hAnsi="宋体"/>
          <w:sz w:val="24"/>
        </w:rPr>
        <w:t>2</w:t>
      </w:r>
      <w:r>
        <w:rPr>
          <w:sz w:val="24"/>
        </w:rPr>
        <w:t>.</w:t>
      </w:r>
      <w:r>
        <w:rPr>
          <w:rFonts w:hint="eastAsia" w:ascii="宋体" w:hAnsi="宋体"/>
          <w:sz w:val="24"/>
        </w:rPr>
        <w:t>投标人的法定代表人或被授权人须持身份证准时参加投标会。</w:t>
      </w:r>
    </w:p>
    <w:p>
      <w:pPr>
        <w:snapToGrid w:val="0"/>
        <w:spacing w:line="360" w:lineRule="auto"/>
        <w:ind w:firstLine="482" w:firstLineChars="200"/>
        <w:outlineLvl w:val="1"/>
        <w:rPr>
          <w:sz w:val="24"/>
        </w:rPr>
      </w:pPr>
      <w:r>
        <w:rPr>
          <w:rFonts w:hint="eastAsia" w:cs="宋体"/>
          <w:b/>
          <w:bCs/>
          <w:sz w:val="24"/>
        </w:rPr>
        <w:t>二、开标</w:t>
      </w:r>
    </w:p>
    <w:p>
      <w:pPr>
        <w:adjustRightInd w:val="0"/>
        <w:snapToGrid w:val="0"/>
        <w:spacing w:line="360" w:lineRule="auto"/>
        <w:ind w:firstLine="484" w:firstLineChars="202"/>
        <w:rPr>
          <w:sz w:val="24"/>
        </w:rPr>
      </w:pPr>
      <w:bookmarkStart w:id="13" w:name="_Hlk45420790"/>
      <w:r>
        <w:rPr>
          <w:sz w:val="24"/>
        </w:rPr>
        <w:t>1.</w:t>
      </w:r>
      <w:r>
        <w:rPr>
          <w:rFonts w:hint="eastAsia" w:cs="宋体"/>
          <w:sz w:val="24"/>
        </w:rPr>
        <w:t>投标响应投标人不足</w:t>
      </w:r>
      <w:r>
        <w:rPr>
          <w:sz w:val="24"/>
        </w:rPr>
        <w:t>3</w:t>
      </w:r>
      <w:r>
        <w:rPr>
          <w:rFonts w:hint="eastAsia" w:cs="宋体"/>
          <w:sz w:val="24"/>
        </w:rPr>
        <w:t>家的，不得开启。</w:t>
      </w:r>
      <w:bookmarkEnd w:id="13"/>
    </w:p>
    <w:p>
      <w:pPr>
        <w:adjustRightInd w:val="0"/>
        <w:snapToGrid w:val="0"/>
        <w:spacing w:line="360" w:lineRule="auto"/>
        <w:ind w:firstLine="484" w:firstLineChars="202"/>
        <w:rPr>
          <w:sz w:val="24"/>
        </w:rPr>
      </w:pPr>
      <w:r>
        <w:rPr>
          <w:sz w:val="24"/>
        </w:rPr>
        <w:t>2.</w:t>
      </w:r>
      <w:r>
        <w:rPr>
          <w:rFonts w:hint="eastAsia" w:cs="宋体"/>
          <w:sz w:val="24"/>
        </w:rPr>
        <w:t>开启时间：</w:t>
      </w:r>
      <w:r>
        <w:rPr>
          <w:rFonts w:hint="eastAsia"/>
          <w:b/>
          <w:bCs/>
          <w:sz w:val="24"/>
          <w:u w:val="single"/>
        </w:rPr>
        <w:t>2023年</w:t>
      </w:r>
      <w:r>
        <w:rPr>
          <w:rFonts w:hint="eastAsia"/>
          <w:b/>
          <w:bCs/>
          <w:sz w:val="24"/>
          <w:u w:val="single"/>
          <w:lang w:val="en-US" w:eastAsia="zh-CN"/>
        </w:rPr>
        <w:t>3</w:t>
      </w:r>
      <w:r>
        <w:rPr>
          <w:rFonts w:hint="eastAsia"/>
          <w:b/>
          <w:bCs/>
          <w:sz w:val="24"/>
          <w:u w:val="single"/>
        </w:rPr>
        <w:t>月</w:t>
      </w:r>
      <w:r>
        <w:rPr>
          <w:rFonts w:hint="eastAsia"/>
          <w:b/>
          <w:bCs/>
          <w:sz w:val="24"/>
          <w:u w:val="single"/>
          <w:lang w:val="en-US" w:eastAsia="zh-CN"/>
        </w:rPr>
        <w:t>1</w:t>
      </w:r>
      <w:r>
        <w:rPr>
          <w:rFonts w:hint="eastAsia"/>
          <w:b/>
          <w:bCs/>
          <w:sz w:val="24"/>
          <w:u w:val="single"/>
        </w:rPr>
        <w:t>日14时30分</w:t>
      </w:r>
      <w:r>
        <w:rPr>
          <w:rFonts w:hint="eastAsia" w:cs="宋体"/>
          <w:sz w:val="24"/>
        </w:rPr>
        <w:t>。开启地点：</w:t>
      </w:r>
      <w:r>
        <w:rPr>
          <w:rFonts w:hint="eastAsia" w:cs="宋体"/>
          <w:b/>
          <w:bCs/>
          <w:sz w:val="24"/>
          <w:u w:val="single"/>
        </w:rPr>
        <w:t>崇川区崇川路1号园发集团二楼会议室</w:t>
      </w:r>
      <w:r>
        <w:rPr>
          <w:rFonts w:hint="eastAsia" w:cs="宋体"/>
          <w:sz w:val="24"/>
        </w:rPr>
        <w:t>，如有变动另行通知；</w:t>
      </w:r>
    </w:p>
    <w:p>
      <w:pPr>
        <w:spacing w:line="360" w:lineRule="auto"/>
        <w:ind w:firstLine="480" w:firstLineChars="200"/>
        <w:rPr>
          <w:rFonts w:cs="宋体"/>
          <w:sz w:val="24"/>
        </w:rPr>
      </w:pPr>
      <w:r>
        <w:rPr>
          <w:rFonts w:cs="宋体"/>
          <w:sz w:val="24"/>
        </w:rPr>
        <w:t>3.</w:t>
      </w:r>
      <w:r>
        <w:rPr>
          <w:rFonts w:hint="eastAsia" w:cs="宋体"/>
          <w:sz w:val="24"/>
        </w:rPr>
        <w:t>采购代理机构主持开启并记录，及时处理投标人代表提出的询问或回避申请。</w:t>
      </w:r>
    </w:p>
    <w:p>
      <w:pPr>
        <w:adjustRightInd w:val="0"/>
        <w:snapToGrid w:val="0"/>
        <w:spacing w:line="360" w:lineRule="auto"/>
        <w:ind w:firstLine="484" w:firstLineChars="202"/>
        <w:rPr>
          <w:rFonts w:cs="宋体"/>
          <w:sz w:val="24"/>
        </w:rPr>
      </w:pPr>
      <w:r>
        <w:rPr>
          <w:rFonts w:cs="宋体"/>
          <w:sz w:val="24"/>
        </w:rPr>
        <w:t>4.</w:t>
      </w:r>
      <w:r>
        <w:rPr>
          <w:rFonts w:hint="eastAsia" w:cs="宋体"/>
          <w:sz w:val="24"/>
        </w:rPr>
        <w:t>开启后投标人不得撤回投标。</w:t>
      </w:r>
    </w:p>
    <w:p>
      <w:pPr>
        <w:adjustRightInd w:val="0"/>
        <w:snapToGrid w:val="0"/>
        <w:spacing w:line="360" w:lineRule="auto"/>
        <w:ind w:firstLine="484" w:firstLineChars="202"/>
        <w:rPr>
          <w:sz w:val="24"/>
        </w:rPr>
      </w:pPr>
      <w:r>
        <w:rPr>
          <w:sz w:val="24"/>
        </w:rPr>
        <w:t>5.</w:t>
      </w:r>
      <w:r>
        <w:rPr>
          <w:rFonts w:hint="eastAsia" w:cs="宋体"/>
          <w:sz w:val="24"/>
        </w:rPr>
        <w:t>开启后，采购人委托评标委员会根据招标文件载明的资格审查要求，对投标人的资格进行审查，合格的投标人进入评审，参与项目的技术、价格评审综合环节。</w:t>
      </w:r>
    </w:p>
    <w:p>
      <w:pPr>
        <w:adjustRightInd w:val="0"/>
        <w:snapToGrid w:val="0"/>
        <w:spacing w:line="360" w:lineRule="auto"/>
        <w:ind w:firstLine="484" w:firstLineChars="202"/>
        <w:rPr>
          <w:sz w:val="24"/>
        </w:rPr>
      </w:pPr>
      <w:r>
        <w:rPr>
          <w:sz w:val="24"/>
        </w:rPr>
        <w:t>6.</w:t>
      </w:r>
      <w:r>
        <w:rPr>
          <w:rFonts w:hint="eastAsia" w:cs="宋体"/>
          <w:sz w:val="24"/>
        </w:rPr>
        <w:t>资格审查时间：</w:t>
      </w:r>
      <w:r>
        <w:rPr>
          <w:rFonts w:hint="eastAsia" w:cs="宋体"/>
          <w:b/>
          <w:bCs/>
          <w:sz w:val="24"/>
          <w:u w:val="thick" w:color="FF0000"/>
        </w:rPr>
        <w:t>开启后当即开始</w:t>
      </w:r>
      <w:r>
        <w:rPr>
          <w:rFonts w:hint="eastAsia" w:cs="宋体"/>
          <w:sz w:val="24"/>
        </w:rPr>
        <w:t>。</w:t>
      </w:r>
    </w:p>
    <w:p>
      <w:pPr>
        <w:adjustRightInd w:val="0"/>
        <w:snapToGrid w:val="0"/>
        <w:spacing w:line="360" w:lineRule="auto"/>
        <w:ind w:firstLine="487" w:firstLineChars="202"/>
        <w:outlineLvl w:val="1"/>
        <w:rPr>
          <w:b/>
          <w:bCs/>
          <w:sz w:val="24"/>
        </w:rPr>
      </w:pPr>
      <w:r>
        <w:rPr>
          <w:rFonts w:hint="eastAsia" w:cs="宋体"/>
          <w:b/>
          <w:bCs/>
          <w:sz w:val="24"/>
        </w:rPr>
        <w:t>三、评审</w:t>
      </w:r>
    </w:p>
    <w:p>
      <w:pPr>
        <w:snapToGrid w:val="0"/>
        <w:spacing w:line="360" w:lineRule="auto"/>
        <w:ind w:firstLine="482" w:firstLineChars="200"/>
        <w:outlineLvl w:val="2"/>
        <w:rPr>
          <w:b/>
          <w:bCs/>
          <w:sz w:val="24"/>
        </w:rPr>
      </w:pPr>
      <w:r>
        <w:rPr>
          <w:rFonts w:hint="eastAsia" w:cs="宋体"/>
          <w:b/>
          <w:bCs/>
          <w:sz w:val="24"/>
        </w:rPr>
        <w:t>（一）评审事项</w:t>
      </w:r>
    </w:p>
    <w:p>
      <w:pPr>
        <w:snapToGrid w:val="0"/>
        <w:spacing w:line="360" w:lineRule="auto"/>
        <w:ind w:firstLine="480" w:firstLineChars="200"/>
        <w:rPr>
          <w:sz w:val="24"/>
        </w:rPr>
      </w:pPr>
      <w:r>
        <w:rPr>
          <w:sz w:val="24"/>
        </w:rPr>
        <w:t>1.</w:t>
      </w:r>
      <w:bookmarkStart w:id="14" w:name="_Hlk45420967"/>
      <w:r>
        <w:rPr>
          <w:rFonts w:hint="eastAsia" w:cs="宋体"/>
          <w:sz w:val="24"/>
        </w:rPr>
        <w:t>符合资格要求的投标人不足</w:t>
      </w:r>
      <w:r>
        <w:rPr>
          <w:sz w:val="24"/>
        </w:rPr>
        <w:t>3</w:t>
      </w:r>
      <w:r>
        <w:rPr>
          <w:rFonts w:hint="eastAsia" w:cs="宋体"/>
          <w:sz w:val="24"/>
        </w:rPr>
        <w:t>家的，不得评审；</w:t>
      </w:r>
      <w:bookmarkEnd w:id="14"/>
    </w:p>
    <w:p>
      <w:pPr>
        <w:snapToGrid w:val="0"/>
        <w:spacing w:line="360" w:lineRule="auto"/>
        <w:ind w:firstLine="480" w:firstLineChars="200"/>
        <w:rPr>
          <w:sz w:val="24"/>
        </w:rPr>
      </w:pPr>
      <w:r>
        <w:rPr>
          <w:sz w:val="24"/>
        </w:rPr>
        <w:t>2.</w:t>
      </w:r>
      <w:r>
        <w:rPr>
          <w:rFonts w:hint="eastAsia" w:cs="宋体"/>
          <w:sz w:val="24"/>
        </w:rPr>
        <w:t>评审时间：</w:t>
      </w:r>
      <w:r>
        <w:rPr>
          <w:rFonts w:hint="eastAsia" w:cs="宋体"/>
          <w:b/>
          <w:bCs/>
          <w:sz w:val="24"/>
          <w:u w:val="thick" w:color="FF0000"/>
        </w:rPr>
        <w:t>资审后当即开始</w:t>
      </w:r>
      <w:r>
        <w:rPr>
          <w:rFonts w:hint="eastAsia" w:cs="宋体"/>
          <w:sz w:val="24"/>
        </w:rPr>
        <w:t>；</w:t>
      </w:r>
    </w:p>
    <w:p>
      <w:pPr>
        <w:spacing w:line="360" w:lineRule="auto"/>
        <w:ind w:firstLine="480" w:firstLineChars="200"/>
        <w:rPr>
          <w:rFonts w:ascii="宋体" w:hAnsi="宋体"/>
          <w:sz w:val="24"/>
        </w:rPr>
      </w:pPr>
      <w:r>
        <w:rPr>
          <w:rFonts w:hint="eastAsia" w:ascii="宋体" w:hAnsi="宋体"/>
          <w:sz w:val="24"/>
        </w:rPr>
        <w:t>3</w:t>
      </w:r>
      <w:r>
        <w:rPr>
          <w:sz w:val="24"/>
        </w:rPr>
        <w:t>.</w:t>
      </w:r>
      <w:r>
        <w:rPr>
          <w:rFonts w:hint="eastAsia" w:ascii="宋体" w:hAnsi="宋体"/>
          <w:sz w:val="24"/>
        </w:rPr>
        <w:t>招标代理机构负责组织评标工作，并履行下列职责：</w:t>
      </w:r>
    </w:p>
    <w:p>
      <w:pPr>
        <w:spacing w:line="360" w:lineRule="auto"/>
        <w:ind w:firstLine="480" w:firstLineChars="200"/>
        <w:rPr>
          <w:rFonts w:ascii="宋体" w:hAnsi="宋体"/>
          <w:sz w:val="24"/>
        </w:rPr>
      </w:pPr>
      <w:r>
        <w:rPr>
          <w:rFonts w:hint="eastAsia" w:ascii="宋体" w:hAnsi="宋体"/>
          <w:sz w:val="24"/>
        </w:rPr>
        <w:t>（1）核对评审专家身份和采购人代表授权函，对评审专家在招标活动中的职责履行情况予以记录，并及时将有关违法违规行为向有关部门报告。</w:t>
      </w:r>
    </w:p>
    <w:p>
      <w:pPr>
        <w:spacing w:line="360" w:lineRule="auto"/>
        <w:ind w:firstLine="480" w:firstLineChars="200"/>
        <w:rPr>
          <w:rFonts w:ascii="宋体" w:hAnsi="宋体"/>
          <w:sz w:val="24"/>
        </w:rPr>
      </w:pPr>
      <w:r>
        <w:rPr>
          <w:rFonts w:hint="eastAsia" w:ascii="宋体" w:hAnsi="宋体"/>
          <w:sz w:val="24"/>
        </w:rPr>
        <w:t>（2）宣布评标纪律。</w:t>
      </w:r>
    </w:p>
    <w:p>
      <w:pPr>
        <w:spacing w:line="360" w:lineRule="auto"/>
        <w:ind w:firstLine="480" w:firstLineChars="200"/>
        <w:rPr>
          <w:rFonts w:ascii="宋体" w:hAnsi="宋体"/>
          <w:sz w:val="24"/>
        </w:rPr>
      </w:pPr>
      <w:r>
        <w:rPr>
          <w:rFonts w:hint="eastAsia" w:ascii="宋体" w:hAnsi="宋体"/>
          <w:sz w:val="24"/>
        </w:rPr>
        <w:t>（3）公布投标人名单，告知评审专家应当回避的情形。</w:t>
      </w:r>
    </w:p>
    <w:p>
      <w:pPr>
        <w:spacing w:line="360" w:lineRule="auto"/>
        <w:ind w:firstLine="480" w:firstLineChars="200"/>
        <w:rPr>
          <w:rFonts w:ascii="宋体" w:hAnsi="宋体"/>
          <w:sz w:val="24"/>
        </w:rPr>
      </w:pPr>
      <w:r>
        <w:rPr>
          <w:rFonts w:hint="eastAsia" w:ascii="宋体" w:hAnsi="宋体"/>
          <w:sz w:val="24"/>
        </w:rPr>
        <w:t>（4）组织评标委员会推选评标组长，采购人代表不得担任组长。</w:t>
      </w:r>
    </w:p>
    <w:p>
      <w:pPr>
        <w:spacing w:line="360" w:lineRule="auto"/>
        <w:ind w:firstLine="480" w:firstLineChars="200"/>
        <w:rPr>
          <w:rFonts w:ascii="宋体" w:hAnsi="宋体"/>
          <w:sz w:val="24"/>
        </w:rPr>
      </w:pPr>
      <w:r>
        <w:rPr>
          <w:rFonts w:hint="eastAsia" w:ascii="宋体" w:hAnsi="宋体"/>
          <w:sz w:val="24"/>
        </w:rPr>
        <w:t>（5）在评标期间采取必要的通讯管理措施，保证评标活动不受外界干扰；除采购人代表、评标现场组织人员外，采购人的其他工作人员以及与评标工作无关的人员不得进入评标现场。</w:t>
      </w:r>
    </w:p>
    <w:p>
      <w:pPr>
        <w:spacing w:line="360" w:lineRule="auto"/>
        <w:ind w:firstLine="480" w:firstLineChars="200"/>
        <w:rPr>
          <w:rFonts w:ascii="宋体" w:hAnsi="宋体"/>
          <w:sz w:val="24"/>
        </w:rPr>
      </w:pPr>
      <w:r>
        <w:rPr>
          <w:rFonts w:hint="eastAsia" w:ascii="宋体" w:hAnsi="宋体"/>
          <w:sz w:val="24"/>
        </w:rPr>
        <w:t>（6）根据评标委员会的要求介绍招标相关政策法规、招标文件。</w:t>
      </w:r>
    </w:p>
    <w:p>
      <w:pPr>
        <w:spacing w:line="360" w:lineRule="auto"/>
        <w:ind w:firstLine="480" w:firstLineChars="200"/>
        <w:rPr>
          <w:rFonts w:ascii="宋体" w:hAnsi="宋体"/>
          <w:sz w:val="24"/>
        </w:rPr>
      </w:pPr>
      <w:r>
        <w:rPr>
          <w:rFonts w:hint="eastAsia" w:ascii="宋体" w:hAnsi="宋体"/>
          <w:sz w:val="24"/>
        </w:rPr>
        <w:t>（7）维护评标秩序，监督评标委员会依照招标文件规定的评标程序、方法和标准进行独立评审，及时制止和纠正采购人代表、评审专家的倾向性言论或者违法违规行为；采购人可以在评标前说明项目背景和招标需求，说明内容不得含有歧视性、倾向性意见，不得超出招标文件所述范围。说明招标应当提交书面材料，并随招标文件一并存档。</w:t>
      </w:r>
    </w:p>
    <w:p>
      <w:pPr>
        <w:adjustRightInd w:val="0"/>
        <w:snapToGrid w:val="0"/>
        <w:spacing w:line="360" w:lineRule="auto"/>
        <w:ind w:firstLine="480" w:firstLineChars="200"/>
        <w:jc w:val="left"/>
        <w:rPr>
          <w:rFonts w:ascii="宋体" w:hAnsi="宋体"/>
          <w:sz w:val="24"/>
        </w:rPr>
      </w:pPr>
      <w:r>
        <w:rPr>
          <w:rFonts w:hint="eastAsia" w:ascii="宋体" w:hAnsi="宋体"/>
          <w:sz w:val="24"/>
        </w:rPr>
        <w:t>（8）核对评标结果，有下列规定情形的，要求评标委员会复核或者书面说明理由，评标委员会拒绝的，则予以书面记录并向有关部门报告：</w:t>
      </w:r>
    </w:p>
    <w:p>
      <w:pPr>
        <w:adjustRightInd w:val="0"/>
        <w:snapToGrid w:val="0"/>
        <w:spacing w:line="360" w:lineRule="auto"/>
        <w:ind w:firstLine="480" w:firstLineChars="200"/>
        <w:jc w:val="left"/>
        <w:rPr>
          <w:rFonts w:ascii="宋体" w:hAnsi="宋体"/>
          <w:sz w:val="24"/>
        </w:rPr>
      </w:pPr>
      <w:r>
        <w:rPr>
          <w:rFonts w:hint="eastAsia" w:ascii="宋体" w:hAnsi="宋体"/>
          <w:sz w:val="24"/>
        </w:rPr>
        <w:t>① 分值汇总计算错误的；</w:t>
      </w:r>
    </w:p>
    <w:p>
      <w:pPr>
        <w:adjustRightInd w:val="0"/>
        <w:snapToGrid w:val="0"/>
        <w:spacing w:line="360" w:lineRule="auto"/>
        <w:ind w:firstLine="480" w:firstLineChars="200"/>
        <w:jc w:val="left"/>
        <w:rPr>
          <w:rFonts w:ascii="宋体" w:hAnsi="宋体"/>
          <w:sz w:val="24"/>
        </w:rPr>
      </w:pPr>
      <w:r>
        <w:rPr>
          <w:rFonts w:hint="eastAsia" w:ascii="宋体" w:hAnsi="宋体"/>
          <w:sz w:val="24"/>
        </w:rPr>
        <w:t>② 分项评分超出评分标准范围的；</w:t>
      </w:r>
    </w:p>
    <w:p>
      <w:pPr>
        <w:adjustRightInd w:val="0"/>
        <w:snapToGrid w:val="0"/>
        <w:spacing w:line="360" w:lineRule="auto"/>
        <w:ind w:firstLine="480" w:firstLineChars="200"/>
        <w:jc w:val="left"/>
        <w:rPr>
          <w:rFonts w:ascii="宋体" w:hAnsi="宋体"/>
          <w:sz w:val="24"/>
        </w:rPr>
      </w:pPr>
      <w:r>
        <w:rPr>
          <w:rFonts w:hint="eastAsia" w:ascii="宋体" w:hAnsi="宋体"/>
          <w:sz w:val="24"/>
        </w:rPr>
        <w:t>③ 评标委员会成员对客观评审因素评分不一致的；</w:t>
      </w:r>
    </w:p>
    <w:p>
      <w:pPr>
        <w:adjustRightInd w:val="0"/>
        <w:snapToGrid w:val="0"/>
        <w:spacing w:line="360" w:lineRule="auto"/>
        <w:ind w:firstLine="480" w:firstLineChars="200"/>
        <w:jc w:val="left"/>
        <w:rPr>
          <w:rFonts w:ascii="宋体" w:hAnsi="宋体"/>
          <w:sz w:val="24"/>
        </w:rPr>
      </w:pPr>
      <w:r>
        <w:rPr>
          <w:rFonts w:hint="eastAsia" w:ascii="宋体" w:hAnsi="宋体"/>
          <w:sz w:val="24"/>
        </w:rPr>
        <w:t>④ 经评标委员会认定评分畸高、畸低的。</w:t>
      </w:r>
    </w:p>
    <w:p>
      <w:pPr>
        <w:spacing w:line="360" w:lineRule="auto"/>
        <w:ind w:firstLine="480" w:firstLineChars="200"/>
        <w:rPr>
          <w:rFonts w:ascii="宋体" w:hAnsi="宋体"/>
          <w:sz w:val="24"/>
        </w:rPr>
      </w:pPr>
      <w:r>
        <w:rPr>
          <w:rFonts w:hint="eastAsia" w:ascii="宋体" w:hAnsi="宋体"/>
          <w:sz w:val="24"/>
        </w:rPr>
        <w:t>（9）评审工作完成后，按照规定向评审专家支付劳务报酬和异地评审差旅费，不得向评审专家以外的其他人员支付评审劳务报酬；</w:t>
      </w:r>
    </w:p>
    <w:p>
      <w:pPr>
        <w:spacing w:line="360" w:lineRule="auto"/>
        <w:ind w:firstLine="480" w:firstLineChars="200"/>
        <w:rPr>
          <w:rFonts w:ascii="宋体" w:hAnsi="宋体"/>
          <w:sz w:val="24"/>
        </w:rPr>
      </w:pPr>
      <w:r>
        <w:rPr>
          <w:rFonts w:hint="eastAsia" w:ascii="宋体" w:hAnsi="宋体"/>
          <w:sz w:val="24"/>
        </w:rPr>
        <w:t>（10）处理与评标有关的其他事项。</w:t>
      </w:r>
    </w:p>
    <w:p>
      <w:pPr>
        <w:spacing w:line="360" w:lineRule="auto"/>
        <w:ind w:firstLine="480" w:firstLineChars="200"/>
        <w:rPr>
          <w:rFonts w:ascii="宋体" w:hAnsi="宋体"/>
          <w:sz w:val="24"/>
        </w:rPr>
      </w:pPr>
      <w:r>
        <w:rPr>
          <w:rFonts w:ascii="宋体" w:hAnsi="宋体"/>
          <w:sz w:val="24"/>
        </w:rPr>
        <w:t>4</w:t>
      </w:r>
      <w:r>
        <w:rPr>
          <w:sz w:val="24"/>
        </w:rPr>
        <w:t>.</w:t>
      </w:r>
      <w:r>
        <w:rPr>
          <w:rFonts w:hint="eastAsia" w:ascii="宋体" w:hAnsi="宋体"/>
          <w:sz w:val="24"/>
        </w:rPr>
        <w:t>评标委员会负责具体评标事务：</w:t>
      </w:r>
    </w:p>
    <w:p>
      <w:pPr>
        <w:spacing w:line="360" w:lineRule="auto"/>
        <w:ind w:firstLine="480" w:firstLineChars="200"/>
        <w:rPr>
          <w:rFonts w:ascii="宋体" w:hAnsi="宋体"/>
          <w:sz w:val="24"/>
        </w:rPr>
      </w:pPr>
      <w:r>
        <w:rPr>
          <w:rFonts w:hint="eastAsia" w:ascii="宋体" w:hAnsi="宋体"/>
          <w:sz w:val="24"/>
        </w:rPr>
        <w:t>（1）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p>
    <w:p>
      <w:pPr>
        <w:snapToGrid w:val="0"/>
        <w:spacing w:line="360" w:lineRule="auto"/>
        <w:ind w:left="2" w:firstLine="484" w:firstLineChars="202"/>
        <w:rPr>
          <w:rFonts w:ascii="宋体" w:hAnsi="宋体"/>
          <w:sz w:val="24"/>
        </w:rPr>
      </w:pPr>
      <w:r>
        <w:rPr>
          <w:rFonts w:hint="eastAsia" w:ascii="宋体" w:hAnsi="宋体"/>
          <w:sz w:val="24"/>
        </w:rPr>
        <w:t>（2）对于投标文件中含义不明确、同类问题表述不一致或者有明显文字和计算错误的内容，评标委员会应当以书面形式要求投标人作出必要的澄清、说明或者补正。投标人的澄清、说明或者补正，应当采用书面形式由投标人代表签字，但不得超出招标文件的范围或者改变其实质性内容。</w:t>
      </w:r>
    </w:p>
    <w:p>
      <w:pPr>
        <w:snapToGrid w:val="0"/>
        <w:spacing w:line="360" w:lineRule="auto"/>
        <w:ind w:left="2" w:firstLine="484" w:firstLineChars="202"/>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评标委员会发现招标文件存在歧义、重大缺陷导致评标工作无法进行，或者招标文件内容违反国家有关强制性规定的，应当停止评标工作，与采购人或者招标代理机构沟通并作书面记录。采购人或者招标代理机构确认后，应当修改招标文件，重新组织招标活动。</w:t>
      </w:r>
    </w:p>
    <w:p>
      <w:pPr>
        <w:adjustRightInd w:val="0"/>
        <w:snapToGrid w:val="0"/>
        <w:spacing w:line="360" w:lineRule="auto"/>
        <w:ind w:firstLine="484" w:firstLineChars="202"/>
        <w:rPr>
          <w:rFonts w:ascii="宋体" w:hAnsi="宋体"/>
          <w:sz w:val="24"/>
        </w:rPr>
      </w:pPr>
      <w:r>
        <w:rPr>
          <w:rFonts w:ascii="宋体" w:hAnsi="宋体"/>
          <w:sz w:val="24"/>
        </w:rPr>
        <w:t>5</w:t>
      </w:r>
      <w:r>
        <w:rPr>
          <w:sz w:val="24"/>
        </w:rPr>
        <w:t>.</w:t>
      </w:r>
      <w:r>
        <w:rPr>
          <w:rFonts w:hint="eastAsia" w:ascii="宋体" w:hAnsi="宋体"/>
          <w:sz w:val="24"/>
        </w:rPr>
        <w:t>评标委员会成员独立履行以下职责与义务：</w:t>
      </w:r>
    </w:p>
    <w:p>
      <w:pPr>
        <w:snapToGrid w:val="0"/>
        <w:spacing w:line="360" w:lineRule="auto"/>
        <w:ind w:left="2" w:firstLine="484" w:firstLineChars="202"/>
        <w:rPr>
          <w:rFonts w:ascii="宋体" w:hAnsi="宋体"/>
          <w:sz w:val="24"/>
        </w:rPr>
      </w:pPr>
      <w:r>
        <w:rPr>
          <w:rFonts w:hint="eastAsia" w:ascii="宋体" w:hAnsi="宋体"/>
          <w:sz w:val="24"/>
        </w:rPr>
        <w:t>（1）遵纪守法，客观、公正、廉洁地履行职责；</w:t>
      </w:r>
    </w:p>
    <w:p>
      <w:pPr>
        <w:adjustRightInd w:val="0"/>
        <w:snapToGrid w:val="0"/>
        <w:spacing w:line="360" w:lineRule="auto"/>
        <w:ind w:firstLine="484" w:firstLineChars="202"/>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）审查合格投标人的投标文件是否实质性响应招标文件要求，并做出评价；</w:t>
      </w:r>
    </w:p>
    <w:p>
      <w:pPr>
        <w:adjustRightInd w:val="0"/>
        <w:snapToGrid w:val="0"/>
        <w:spacing w:line="360" w:lineRule="auto"/>
        <w:ind w:firstLine="484" w:firstLineChars="202"/>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）按照招标文件规定的评标办法和评标标准进行评标，对评审意见承担个人责任；</w:t>
      </w:r>
    </w:p>
    <w:p>
      <w:pPr>
        <w:adjustRightInd w:val="0"/>
        <w:snapToGrid w:val="0"/>
        <w:spacing w:line="360" w:lineRule="auto"/>
        <w:ind w:firstLine="484" w:firstLineChars="202"/>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）可以要求投标人对投标文件有关事项做出解释或澄清；</w:t>
      </w:r>
    </w:p>
    <w:p>
      <w:pPr>
        <w:snapToGrid w:val="0"/>
        <w:spacing w:line="360" w:lineRule="auto"/>
        <w:ind w:firstLine="484" w:firstLineChars="202"/>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）对评标过程和结果，以及投标人的商业秘密保密；</w:t>
      </w:r>
    </w:p>
    <w:p>
      <w:pPr>
        <w:snapToGrid w:val="0"/>
        <w:spacing w:line="360" w:lineRule="auto"/>
        <w:ind w:firstLine="484" w:firstLineChars="202"/>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）配合相关部门的投诉处理工作；</w:t>
      </w:r>
    </w:p>
    <w:p>
      <w:pPr>
        <w:snapToGrid w:val="0"/>
        <w:spacing w:line="360" w:lineRule="auto"/>
        <w:ind w:left="2" w:firstLine="484" w:firstLineChars="202"/>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）配合采购人或招标代理机构答复投标人提出的质疑。</w:t>
      </w:r>
    </w:p>
    <w:p>
      <w:pPr>
        <w:adjustRightInd w:val="0"/>
        <w:snapToGrid w:val="0"/>
        <w:spacing w:line="360" w:lineRule="auto"/>
        <w:ind w:firstLine="484" w:firstLineChars="202"/>
        <w:rPr>
          <w:rFonts w:ascii="宋体" w:hAnsi="宋体"/>
          <w:sz w:val="24"/>
        </w:rPr>
      </w:pPr>
      <w:r>
        <w:rPr>
          <w:rFonts w:ascii="宋体" w:hAnsi="宋体"/>
          <w:sz w:val="24"/>
        </w:rPr>
        <w:t>6</w:t>
      </w:r>
      <w:r>
        <w:rPr>
          <w:sz w:val="24"/>
        </w:rPr>
        <w:t>.</w:t>
      </w:r>
      <w:r>
        <w:rPr>
          <w:rFonts w:hint="eastAsia" w:ascii="宋体" w:hAnsi="宋体"/>
          <w:sz w:val="24"/>
        </w:rPr>
        <w:t>除采购人代表、评标现场组织人员外，采购人的其他工作人员以及与评标工作无关的人员不得进入评标现场；有关人员对评标情况以及在评标过程中获悉的国家秘密、商业秘密负有保密责任。</w:t>
      </w:r>
    </w:p>
    <w:p>
      <w:pPr>
        <w:adjustRightInd w:val="0"/>
        <w:snapToGrid w:val="0"/>
        <w:spacing w:line="360" w:lineRule="auto"/>
        <w:ind w:firstLine="484" w:firstLineChars="202"/>
        <w:rPr>
          <w:rFonts w:ascii="宋体" w:hAnsi="宋体"/>
          <w:sz w:val="24"/>
        </w:rPr>
      </w:pPr>
      <w:r>
        <w:rPr>
          <w:rFonts w:ascii="宋体" w:hAnsi="宋体"/>
          <w:sz w:val="24"/>
        </w:rPr>
        <w:t>7</w:t>
      </w:r>
      <w:r>
        <w:rPr>
          <w:sz w:val="24"/>
        </w:rPr>
        <w:t>.</w:t>
      </w:r>
      <w:r>
        <w:rPr>
          <w:rFonts w:hint="eastAsia" w:ascii="宋体" w:hAnsi="宋体"/>
          <w:sz w:val="24"/>
        </w:rPr>
        <w:t>开标后直到公告项目中标结果发出中标通知书并授予中标人合同为止，凡属于评审、澄清、评价和比较投标的所有资料及有关授予合同等的相关信息，都不应向投标人或与评标无关的其他人泄露。</w:t>
      </w:r>
    </w:p>
    <w:p>
      <w:pPr>
        <w:adjustRightInd w:val="0"/>
        <w:snapToGrid w:val="0"/>
        <w:spacing w:line="360" w:lineRule="auto"/>
        <w:ind w:firstLine="484" w:firstLineChars="202"/>
        <w:rPr>
          <w:rFonts w:ascii="宋体" w:hAnsi="宋体"/>
          <w:b/>
          <w:sz w:val="24"/>
        </w:rPr>
      </w:pPr>
      <w:r>
        <w:rPr>
          <w:rFonts w:ascii="宋体" w:hAnsi="宋体"/>
          <w:sz w:val="24"/>
        </w:rPr>
        <w:t>8</w:t>
      </w:r>
      <w:r>
        <w:rPr>
          <w:sz w:val="24"/>
        </w:rPr>
        <w:t>.</w:t>
      </w:r>
      <w:r>
        <w:rPr>
          <w:rFonts w:hint="eastAsia" w:ascii="宋体" w:hAnsi="宋体"/>
          <w:sz w:val="24"/>
        </w:rPr>
        <w:t>评审期间，合格投标人的投标文件仍有可能被评标委员会根据规定判为无效投标。</w:t>
      </w:r>
    </w:p>
    <w:p>
      <w:pPr>
        <w:adjustRightInd w:val="0"/>
        <w:snapToGrid w:val="0"/>
        <w:spacing w:line="360" w:lineRule="auto"/>
        <w:ind w:firstLine="484" w:firstLineChars="202"/>
        <w:rPr>
          <w:rFonts w:cs="宋体"/>
          <w:sz w:val="24"/>
        </w:rPr>
      </w:pPr>
      <w:r>
        <w:rPr>
          <w:rFonts w:ascii="宋体" w:hAnsi="宋体"/>
          <w:sz w:val="24"/>
        </w:rPr>
        <w:t>9</w:t>
      </w:r>
      <w:r>
        <w:rPr>
          <w:sz w:val="24"/>
        </w:rPr>
        <w:t>.</w:t>
      </w:r>
      <w:r>
        <w:rPr>
          <w:rFonts w:hint="eastAsia" w:ascii="宋体" w:hAnsi="宋体"/>
          <w:sz w:val="24"/>
        </w:rPr>
        <w:t>在投标文件的评审、澄清、评价和比较以及授予合同的过程中，投标人对采购人和评标委员会成员有施加影响的任何行为，都将取消其可能的中标资格。</w:t>
      </w:r>
    </w:p>
    <w:p>
      <w:pPr>
        <w:snapToGrid w:val="0"/>
        <w:spacing w:line="360" w:lineRule="auto"/>
        <w:ind w:firstLine="482" w:firstLineChars="200"/>
        <w:outlineLvl w:val="2"/>
        <w:rPr>
          <w:b/>
          <w:bCs/>
          <w:sz w:val="24"/>
        </w:rPr>
      </w:pPr>
      <w:r>
        <w:rPr>
          <w:rFonts w:hint="eastAsia" w:cs="宋体"/>
          <w:b/>
          <w:bCs/>
          <w:sz w:val="24"/>
        </w:rPr>
        <w:t>（二）评标方法和程序</w:t>
      </w:r>
    </w:p>
    <w:p>
      <w:pPr>
        <w:snapToGrid w:val="0"/>
        <w:spacing w:line="360" w:lineRule="auto"/>
        <w:ind w:firstLine="484" w:firstLineChars="202"/>
        <w:rPr>
          <w:rFonts w:ascii="宋体" w:hAnsi="宋体"/>
          <w:sz w:val="24"/>
        </w:rPr>
      </w:pPr>
      <w:r>
        <w:rPr>
          <w:rFonts w:hint="eastAsia" w:ascii="宋体" w:hAnsi="宋体"/>
          <w:sz w:val="24"/>
        </w:rPr>
        <w:t>1</w:t>
      </w:r>
      <w:r>
        <w:rPr>
          <w:sz w:val="24"/>
        </w:rPr>
        <w:t>.</w:t>
      </w:r>
      <w:r>
        <w:rPr>
          <w:rFonts w:hint="eastAsia" w:ascii="宋体" w:hAnsi="宋体"/>
          <w:sz w:val="24"/>
        </w:rPr>
        <w:t>本项目采用</w:t>
      </w:r>
      <w:r>
        <w:rPr>
          <w:rFonts w:hint="eastAsia" w:ascii="宋体" w:hAnsi="宋体"/>
          <w:sz w:val="24"/>
          <w:u w:val="single"/>
        </w:rPr>
        <w:t xml:space="preserve">  </w:t>
      </w:r>
      <w:r>
        <w:rPr>
          <w:rFonts w:hint="eastAsia" w:ascii="宋体" w:hAnsi="宋体"/>
          <w:b/>
          <w:sz w:val="24"/>
          <w:u w:val="single"/>
        </w:rPr>
        <w:t>综合评分法</w:t>
      </w:r>
      <w:r>
        <w:rPr>
          <w:rFonts w:hint="eastAsia" w:ascii="宋体" w:hAnsi="宋体"/>
          <w:sz w:val="24"/>
          <w:u w:val="single"/>
        </w:rPr>
        <w:t xml:space="preserve">  </w:t>
      </w:r>
      <w:r>
        <w:rPr>
          <w:rFonts w:hint="eastAsia" w:ascii="宋体" w:hAnsi="宋体"/>
          <w:sz w:val="24"/>
        </w:rPr>
        <w:t>，即指投标文件满足本项目招标文件全部实质性要求，且按照评审因素的量化指标，经评审后得分最高的投标人推荐为中标人的评标方法。</w:t>
      </w:r>
    </w:p>
    <w:p>
      <w:pPr>
        <w:snapToGrid w:val="0"/>
        <w:spacing w:line="360" w:lineRule="auto"/>
        <w:ind w:firstLine="484" w:firstLineChars="202"/>
        <w:rPr>
          <w:rFonts w:ascii="宋体" w:hAnsi="宋体"/>
          <w:sz w:val="24"/>
        </w:rPr>
      </w:pPr>
      <w:r>
        <w:rPr>
          <w:rFonts w:ascii="宋体" w:hAnsi="宋体"/>
          <w:sz w:val="24"/>
        </w:rPr>
        <w:t>2</w:t>
      </w:r>
      <w:r>
        <w:rPr>
          <w:sz w:val="24"/>
        </w:rPr>
        <w:t>.</w:t>
      </w:r>
      <w:r>
        <w:rPr>
          <w:rFonts w:hint="eastAsia" w:ascii="宋体" w:hAnsi="宋体"/>
          <w:sz w:val="24"/>
        </w:rPr>
        <w:t>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pPr>
        <w:snapToGrid w:val="0"/>
        <w:spacing w:line="360" w:lineRule="auto"/>
        <w:ind w:firstLine="484" w:firstLineChars="202"/>
        <w:rPr>
          <w:rFonts w:ascii="宋体" w:hAnsi="宋体"/>
          <w:sz w:val="24"/>
        </w:rPr>
      </w:pPr>
      <w:r>
        <w:rPr>
          <w:rFonts w:hint="eastAsia" w:ascii="宋体" w:hAnsi="宋体"/>
          <w:sz w:val="24"/>
        </w:rPr>
        <w:t>3</w:t>
      </w:r>
      <w:r>
        <w:rPr>
          <w:sz w:val="24"/>
        </w:rPr>
        <w:t>.</w:t>
      </w:r>
      <w:r>
        <w:rPr>
          <w:rFonts w:hint="eastAsia" w:ascii="宋体" w:hAnsi="宋体"/>
          <w:sz w:val="24"/>
        </w:rPr>
        <w:t>评标委员会严格按照招标文件规定的要求、条件、评分标准，对投标人所提供的完整计划标的物的科学性、可行性、产品质量、服务质量的保证及承诺等实质性响应内容进行比较评价。</w:t>
      </w:r>
    </w:p>
    <w:p>
      <w:pPr>
        <w:snapToGrid w:val="0"/>
        <w:spacing w:line="360" w:lineRule="auto"/>
        <w:ind w:firstLine="484" w:firstLineChars="202"/>
        <w:rPr>
          <w:rFonts w:ascii="宋体" w:hAnsi="宋体"/>
          <w:sz w:val="24"/>
        </w:rPr>
      </w:pPr>
      <w:r>
        <w:rPr>
          <w:rFonts w:hint="eastAsia" w:ascii="宋体" w:hAnsi="宋体"/>
          <w:sz w:val="24"/>
        </w:rPr>
        <w:t>4</w:t>
      </w:r>
      <w:r>
        <w:rPr>
          <w:sz w:val="24"/>
        </w:rPr>
        <w:t>.</w:t>
      </w:r>
      <w:r>
        <w:rPr>
          <w:rFonts w:hint="eastAsia" w:ascii="宋体" w:hAnsi="宋体"/>
          <w:sz w:val="24"/>
        </w:rPr>
        <w:t>对投标文件的评审判定，只依据投标文件内容本身，不依靠开标后任何外来证明文件。</w:t>
      </w:r>
    </w:p>
    <w:p>
      <w:pPr>
        <w:snapToGrid w:val="0"/>
        <w:spacing w:line="360" w:lineRule="auto"/>
        <w:ind w:firstLine="484" w:firstLineChars="202"/>
        <w:rPr>
          <w:sz w:val="24"/>
        </w:rPr>
      </w:pPr>
      <w:r>
        <w:rPr>
          <w:rFonts w:ascii="宋体" w:hAnsi="宋体"/>
          <w:sz w:val="24"/>
        </w:rPr>
        <w:t>5</w:t>
      </w:r>
      <w:r>
        <w:rPr>
          <w:sz w:val="24"/>
        </w:rPr>
        <w:t>.</w:t>
      </w:r>
      <w:r>
        <w:rPr>
          <w:rFonts w:hint="eastAsia" w:ascii="宋体" w:hAnsi="宋体"/>
          <w:sz w:val="24"/>
        </w:rPr>
        <w:t>本次项目商务技术标的评审总分值为100分。评审</w:t>
      </w:r>
      <w:r>
        <w:rPr>
          <w:rFonts w:hint="eastAsia"/>
          <w:sz w:val="24"/>
        </w:rPr>
        <w:t>因素比重如下：</w:t>
      </w:r>
    </w:p>
    <w:p>
      <w:pPr>
        <w:snapToGrid w:val="0"/>
        <w:spacing w:line="360" w:lineRule="auto"/>
        <w:ind w:firstLine="484" w:firstLineChars="202"/>
        <w:rPr>
          <w:sz w:val="24"/>
        </w:rPr>
      </w:pPr>
      <w:r>
        <w:rPr>
          <w:rFonts w:hint="eastAsia"/>
          <w:sz w:val="24"/>
        </w:rPr>
        <w:t>（1）“技术标分值”占总分值的比重为</w:t>
      </w:r>
      <w:r>
        <w:rPr>
          <w:rFonts w:hint="eastAsia"/>
          <w:b/>
          <w:bCs/>
          <w:sz w:val="24"/>
          <w:u w:val="single"/>
        </w:rPr>
        <w:t>40%（权重）</w:t>
      </w:r>
      <w:r>
        <w:rPr>
          <w:rFonts w:hint="eastAsia"/>
          <w:sz w:val="24"/>
        </w:rPr>
        <w:t>（得分四舍五入取小数点后二位）；</w:t>
      </w:r>
    </w:p>
    <w:p>
      <w:pPr>
        <w:snapToGrid w:val="0"/>
        <w:spacing w:line="360" w:lineRule="auto"/>
        <w:ind w:firstLine="484" w:firstLineChars="202"/>
        <w:rPr>
          <w:sz w:val="24"/>
        </w:rPr>
      </w:pPr>
      <w:r>
        <w:rPr>
          <w:rFonts w:hint="eastAsia"/>
          <w:sz w:val="24"/>
        </w:rPr>
        <w:t>（2）“价格标分值”占总分值的比重为</w:t>
      </w:r>
      <w:r>
        <w:rPr>
          <w:rFonts w:hint="eastAsia"/>
          <w:b/>
          <w:bCs/>
          <w:sz w:val="24"/>
          <w:u w:val="single"/>
        </w:rPr>
        <w:t>60%（权重）</w:t>
      </w:r>
      <w:r>
        <w:rPr>
          <w:rFonts w:hint="eastAsia"/>
          <w:sz w:val="24"/>
        </w:rPr>
        <w:t>（得分四舍五入取小数点后二位）。</w:t>
      </w:r>
    </w:p>
    <w:p>
      <w:pPr>
        <w:snapToGrid w:val="0"/>
        <w:spacing w:line="360" w:lineRule="auto"/>
        <w:ind w:firstLine="484" w:firstLineChars="202"/>
        <w:rPr>
          <w:rFonts w:ascii="宋体" w:hAnsi="宋体"/>
          <w:sz w:val="24"/>
        </w:rPr>
      </w:pPr>
      <w:r>
        <w:rPr>
          <w:rFonts w:ascii="宋体" w:hAnsi="宋体"/>
          <w:sz w:val="24"/>
        </w:rPr>
        <w:t>6</w:t>
      </w:r>
      <w:r>
        <w:rPr>
          <w:sz w:val="24"/>
        </w:rPr>
        <w:t>.</w:t>
      </w:r>
      <w:r>
        <w:rPr>
          <w:rFonts w:hint="eastAsia" w:ascii="宋体" w:hAnsi="宋体"/>
          <w:sz w:val="24"/>
        </w:rPr>
        <w:t>评标委员会评委独立对每个进入打分程序的有效投标人的投标文件商务技术部分以打分的形式进行评审和评价（计算结果均四舍五入保留两位小数）。</w:t>
      </w:r>
    </w:p>
    <w:p>
      <w:pPr>
        <w:snapToGrid w:val="0"/>
        <w:spacing w:line="360" w:lineRule="auto"/>
        <w:ind w:firstLine="484" w:firstLineChars="202"/>
        <w:rPr>
          <w:rFonts w:ascii="宋体" w:hAnsi="宋体"/>
          <w:sz w:val="24"/>
        </w:rPr>
      </w:pPr>
      <w:r>
        <w:rPr>
          <w:rFonts w:ascii="宋体" w:hAnsi="宋体"/>
          <w:sz w:val="24"/>
        </w:rPr>
        <w:t>7</w:t>
      </w:r>
      <w:r>
        <w:rPr>
          <w:sz w:val="24"/>
        </w:rPr>
        <w:t>.</w:t>
      </w:r>
      <w:r>
        <w:rPr>
          <w:rFonts w:hint="eastAsia"/>
          <w:sz w:val="24"/>
        </w:rPr>
        <w:t>各投标人的</w:t>
      </w:r>
      <w:r>
        <w:rPr>
          <w:rFonts w:hint="eastAsia" w:ascii="宋体" w:hAnsi="宋体"/>
          <w:sz w:val="24"/>
        </w:rPr>
        <w:t>得分按各评标委员会成员评分的算术平均值，分值四舍五入后保留到小数点后两位。</w:t>
      </w:r>
    </w:p>
    <w:p>
      <w:pPr>
        <w:snapToGrid w:val="0"/>
        <w:spacing w:line="360" w:lineRule="auto"/>
        <w:ind w:firstLine="484" w:firstLineChars="202"/>
        <w:rPr>
          <w:sz w:val="24"/>
        </w:rPr>
      </w:pPr>
      <w:r>
        <w:rPr>
          <w:rFonts w:ascii="宋体" w:hAnsi="宋体"/>
          <w:sz w:val="24"/>
        </w:rPr>
        <w:t>8</w:t>
      </w:r>
      <w:r>
        <w:rPr>
          <w:sz w:val="24"/>
        </w:rPr>
        <w:t>.</w:t>
      </w:r>
      <w:r>
        <w:rPr>
          <w:rFonts w:hint="eastAsia" w:ascii="宋体" w:hAnsi="宋体"/>
          <w:sz w:val="24"/>
        </w:rPr>
        <w:t>评标结果按投标文件满足招标文件全部实质性要求，且按照评审因素的量化指标评审综合得分最高的投标人，排名第一的确定为中标人，出具评审报告并将结果通知所有投标人。</w:t>
      </w:r>
      <w:r>
        <w:rPr>
          <w:rFonts w:hint="eastAsia"/>
          <w:sz w:val="24"/>
        </w:rPr>
        <w:t>评审后的综合得分相同的，按投标报价由低到高顺序排列。综合得分且投标报价相同的并列；综合得分排序并列第一的，按技术指标优劣顺序排列。</w:t>
      </w:r>
    </w:p>
    <w:p>
      <w:pPr>
        <w:snapToGrid w:val="0"/>
        <w:spacing w:line="360" w:lineRule="auto"/>
        <w:ind w:firstLine="482" w:firstLineChars="200"/>
        <w:outlineLvl w:val="2"/>
        <w:rPr>
          <w:sz w:val="24"/>
        </w:rPr>
      </w:pPr>
      <w:r>
        <w:rPr>
          <w:rFonts w:hint="eastAsia" w:cs="宋体"/>
          <w:b/>
          <w:bCs/>
          <w:sz w:val="24"/>
        </w:rPr>
        <w:t>（三）</w:t>
      </w:r>
      <w:r>
        <w:rPr>
          <w:rFonts w:hint="eastAsia" w:cs="宋体"/>
          <w:b/>
          <w:bCs/>
          <w:sz w:val="24"/>
          <w:u w:val="thick" w:color="FF0000"/>
        </w:rPr>
        <w:t>关于报价的价格评审</w:t>
      </w:r>
    </w:p>
    <w:p>
      <w:pPr>
        <w:snapToGrid w:val="0"/>
        <w:spacing w:line="360" w:lineRule="auto"/>
        <w:ind w:firstLine="484" w:firstLineChars="202"/>
        <w:rPr>
          <w:sz w:val="24"/>
        </w:rPr>
      </w:pPr>
      <w:r>
        <w:rPr>
          <w:sz w:val="24"/>
        </w:rPr>
        <w:t>1.</w:t>
      </w:r>
      <w:r>
        <w:rPr>
          <w:rFonts w:hint="eastAsia" w:cs="宋体"/>
          <w:sz w:val="24"/>
        </w:rPr>
        <w:t>评标委员会将审查每份投标人的报价是否实质上响应了采购文件的要求。实质性响应是指与采购文件技术要求的全部条款、条件和规格参数相符，没有重大负偏离或保留。所谓重大负偏离或保留是指实质上影响合同的供货范围、服务质量和性能，或者实质上与采购文件的技术要求不一致。纠正这些偏离或保留将会对其他实质性响应要求的投标人的地位产生不公正的影响。如未实质性响应，则按无效投标处理。</w:t>
      </w:r>
    </w:p>
    <w:p>
      <w:pPr>
        <w:snapToGrid w:val="0"/>
        <w:spacing w:line="360" w:lineRule="auto"/>
        <w:ind w:firstLine="484" w:firstLineChars="202"/>
        <w:rPr>
          <w:b/>
          <w:bCs/>
          <w:sz w:val="24"/>
        </w:rPr>
      </w:pPr>
      <w:r>
        <w:rPr>
          <w:sz w:val="24"/>
        </w:rPr>
        <w:t>2.</w:t>
      </w:r>
      <w:r>
        <w:rPr>
          <w:rFonts w:hint="eastAsia" w:cs="宋体"/>
          <w:b/>
          <w:bCs/>
          <w:sz w:val="24"/>
          <w:u w:val="thick" w:color="FF0000"/>
        </w:rPr>
        <w:t>评标委员会认为入围投标人的报价明显低于其他投标人的报价，有可能影响产品或服务质量或者不能诚信履约的，应当要求其</w:t>
      </w:r>
      <w:r>
        <w:rPr>
          <w:b/>
          <w:bCs/>
          <w:sz w:val="24"/>
          <w:u w:val="thick" w:color="FF0000"/>
        </w:rPr>
        <w:t>“</w:t>
      </w:r>
      <w:r>
        <w:rPr>
          <w:rFonts w:hint="eastAsia" w:cs="宋体"/>
          <w:b/>
          <w:bCs/>
          <w:sz w:val="24"/>
          <w:u w:val="thick" w:color="FF0000"/>
        </w:rPr>
        <w:t>在评标现场</w:t>
      </w:r>
      <w:r>
        <w:rPr>
          <w:b/>
          <w:bCs/>
          <w:sz w:val="24"/>
          <w:u w:val="thick" w:color="FF0000"/>
        </w:rPr>
        <w:t>”</w:t>
      </w:r>
      <w:r>
        <w:rPr>
          <w:rFonts w:hint="eastAsia" w:cs="宋体"/>
          <w:b/>
          <w:bCs/>
          <w:sz w:val="24"/>
          <w:u w:val="thick" w:color="FF0000"/>
        </w:rPr>
        <w:t>合理的时间内提供</w:t>
      </w:r>
      <w:r>
        <w:rPr>
          <w:b/>
          <w:bCs/>
          <w:sz w:val="24"/>
          <w:u w:val="thick" w:color="FF0000"/>
        </w:rPr>
        <w:t>“</w:t>
      </w:r>
      <w:r>
        <w:rPr>
          <w:rFonts w:hint="eastAsia" w:cs="宋体"/>
          <w:b/>
          <w:bCs/>
          <w:sz w:val="24"/>
          <w:u w:val="thick" w:color="FF0000"/>
        </w:rPr>
        <w:t>书面</w:t>
      </w:r>
      <w:r>
        <w:rPr>
          <w:b/>
          <w:bCs/>
          <w:sz w:val="24"/>
          <w:u w:val="thick" w:color="FF0000"/>
        </w:rPr>
        <w:t>”</w:t>
      </w:r>
      <w:r>
        <w:rPr>
          <w:rFonts w:hint="eastAsia" w:cs="宋体"/>
          <w:b/>
          <w:bCs/>
          <w:sz w:val="24"/>
          <w:u w:val="thick" w:color="FF0000"/>
        </w:rPr>
        <w:t>说明，必要时提交</w:t>
      </w:r>
      <w:r>
        <w:rPr>
          <w:b/>
          <w:bCs/>
          <w:sz w:val="24"/>
          <w:u w:val="thick" w:color="FF0000"/>
        </w:rPr>
        <w:t>“</w:t>
      </w:r>
      <w:r>
        <w:rPr>
          <w:rFonts w:hint="eastAsia" w:cs="宋体"/>
          <w:b/>
          <w:bCs/>
          <w:sz w:val="24"/>
          <w:u w:val="thick" w:color="FF0000"/>
        </w:rPr>
        <w:t>相关证明</w:t>
      </w:r>
      <w:r>
        <w:rPr>
          <w:b/>
          <w:bCs/>
          <w:sz w:val="24"/>
          <w:u w:val="thick" w:color="FF0000"/>
        </w:rPr>
        <w:t>”</w:t>
      </w:r>
      <w:r>
        <w:rPr>
          <w:rFonts w:hint="eastAsia" w:cs="宋体"/>
          <w:b/>
          <w:bCs/>
          <w:sz w:val="24"/>
          <w:u w:val="thick" w:color="FF0000"/>
        </w:rPr>
        <w:t>材料；投标人不能证明其</w:t>
      </w:r>
      <w:r>
        <w:rPr>
          <w:b/>
          <w:bCs/>
          <w:sz w:val="24"/>
          <w:u w:val="thick" w:color="FF0000"/>
        </w:rPr>
        <w:t>“</w:t>
      </w:r>
      <w:r>
        <w:rPr>
          <w:rFonts w:hint="eastAsia" w:cs="宋体"/>
          <w:b/>
          <w:bCs/>
          <w:sz w:val="24"/>
          <w:u w:val="thick" w:color="FF0000"/>
        </w:rPr>
        <w:t>报价合理性</w:t>
      </w:r>
      <w:r>
        <w:rPr>
          <w:b/>
          <w:bCs/>
          <w:sz w:val="24"/>
          <w:u w:val="thick" w:color="FF0000"/>
        </w:rPr>
        <w:t>”</w:t>
      </w:r>
      <w:r>
        <w:rPr>
          <w:rFonts w:hint="eastAsia" w:cs="宋体"/>
          <w:b/>
          <w:bCs/>
          <w:sz w:val="24"/>
          <w:u w:val="thick" w:color="FF0000"/>
        </w:rPr>
        <w:t>的，评标委员会应当将其作为无效投标处理。</w:t>
      </w:r>
    </w:p>
    <w:p>
      <w:pPr>
        <w:snapToGrid w:val="0"/>
        <w:spacing w:line="360" w:lineRule="auto"/>
        <w:ind w:firstLine="482" w:firstLineChars="200"/>
        <w:outlineLvl w:val="1"/>
        <w:rPr>
          <w:rFonts w:cs="宋体"/>
          <w:b/>
          <w:bCs/>
          <w:sz w:val="24"/>
        </w:rPr>
      </w:pPr>
      <w:r>
        <w:rPr>
          <w:rFonts w:hint="eastAsia" w:cs="宋体"/>
          <w:b/>
          <w:bCs/>
          <w:sz w:val="24"/>
        </w:rPr>
        <w:t>四、综合评分评审因素</w:t>
      </w:r>
    </w:p>
    <w:p>
      <w:pPr>
        <w:snapToGrid w:val="0"/>
        <w:spacing w:line="360" w:lineRule="auto"/>
        <w:ind w:firstLine="482" w:firstLineChars="200"/>
        <w:outlineLvl w:val="1"/>
        <w:rPr>
          <w:rFonts w:cs="宋体"/>
          <w:b/>
          <w:bCs/>
          <w:sz w:val="24"/>
        </w:rPr>
      </w:pPr>
      <w:r>
        <w:rPr>
          <w:rFonts w:hint="eastAsia" w:cs="宋体"/>
          <w:b/>
          <w:bCs/>
          <w:sz w:val="24"/>
        </w:rPr>
        <w:t>1</w:t>
      </w:r>
      <w:r>
        <w:rPr>
          <w:rFonts w:cs="宋体"/>
          <w:b/>
          <w:bCs/>
          <w:sz w:val="24"/>
        </w:rPr>
        <w:t>.</w:t>
      </w:r>
      <w:r>
        <w:rPr>
          <w:rFonts w:hint="eastAsia" w:cs="宋体"/>
          <w:b/>
          <w:bCs/>
          <w:sz w:val="24"/>
        </w:rPr>
        <w:t>技术标评审评分一览表（4</w:t>
      </w:r>
      <w:r>
        <w:rPr>
          <w:rFonts w:cs="宋体"/>
          <w:b/>
          <w:bCs/>
          <w:sz w:val="24"/>
        </w:rPr>
        <w:t>0</w:t>
      </w:r>
      <w:r>
        <w:rPr>
          <w:rFonts w:hint="eastAsia" w:cs="宋体"/>
          <w:b/>
          <w:bCs/>
          <w:sz w:val="24"/>
        </w:rPr>
        <w:t>分）</w:t>
      </w:r>
    </w:p>
    <w:tbl>
      <w:tblPr>
        <w:tblStyle w:val="54"/>
        <w:tblpPr w:leftFromText="180" w:rightFromText="180" w:vertAnchor="text" w:horzAnchor="page" w:tblpX="1233" w:tblpY="387"/>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58"/>
        <w:gridCol w:w="642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blHeader/>
        </w:trPr>
        <w:tc>
          <w:tcPr>
            <w:tcW w:w="709" w:type="dxa"/>
            <w:vAlign w:val="center"/>
          </w:tcPr>
          <w:p>
            <w:pPr>
              <w:spacing w:line="360" w:lineRule="exact"/>
              <w:jc w:val="center"/>
              <w:rPr>
                <w:rFonts w:ascii="宋体" w:hAnsi="宋体"/>
                <w:b/>
                <w:bCs/>
                <w:kern w:val="0"/>
                <w:sz w:val="24"/>
              </w:rPr>
            </w:pPr>
            <w:r>
              <w:rPr>
                <w:rFonts w:ascii="宋体" w:hAnsi="宋体"/>
                <w:b/>
                <w:bCs/>
                <w:kern w:val="0"/>
                <w:sz w:val="24"/>
              </w:rPr>
              <w:t>序号</w:t>
            </w:r>
          </w:p>
        </w:tc>
        <w:tc>
          <w:tcPr>
            <w:tcW w:w="1658" w:type="dxa"/>
            <w:vAlign w:val="center"/>
          </w:tcPr>
          <w:p>
            <w:pPr>
              <w:spacing w:line="360" w:lineRule="exact"/>
              <w:jc w:val="center"/>
              <w:rPr>
                <w:rFonts w:ascii="宋体" w:hAnsi="宋体"/>
                <w:b/>
                <w:bCs/>
                <w:kern w:val="0"/>
                <w:sz w:val="24"/>
              </w:rPr>
            </w:pPr>
            <w:r>
              <w:rPr>
                <w:rFonts w:ascii="宋体" w:hAnsi="宋体"/>
                <w:b/>
                <w:bCs/>
                <w:kern w:val="0"/>
                <w:sz w:val="24"/>
              </w:rPr>
              <w:t>评审项目</w:t>
            </w:r>
          </w:p>
        </w:tc>
        <w:tc>
          <w:tcPr>
            <w:tcW w:w="6422" w:type="dxa"/>
            <w:vAlign w:val="center"/>
          </w:tcPr>
          <w:p>
            <w:pPr>
              <w:spacing w:line="360" w:lineRule="exact"/>
              <w:jc w:val="center"/>
              <w:rPr>
                <w:rFonts w:ascii="宋体" w:hAnsi="宋体"/>
                <w:b/>
                <w:bCs/>
                <w:kern w:val="0"/>
                <w:sz w:val="24"/>
              </w:rPr>
            </w:pPr>
            <w:r>
              <w:rPr>
                <w:rFonts w:ascii="宋体" w:hAnsi="宋体"/>
                <w:b/>
                <w:bCs/>
                <w:kern w:val="0"/>
                <w:sz w:val="24"/>
              </w:rPr>
              <w:t>评审因素</w:t>
            </w:r>
          </w:p>
        </w:tc>
        <w:tc>
          <w:tcPr>
            <w:tcW w:w="850" w:type="dxa"/>
            <w:vAlign w:val="center"/>
          </w:tcPr>
          <w:p>
            <w:pPr>
              <w:spacing w:line="360" w:lineRule="exact"/>
              <w:jc w:val="center"/>
              <w:rPr>
                <w:rFonts w:ascii="宋体" w:hAnsi="宋体"/>
                <w:b/>
                <w:bCs/>
                <w:kern w:val="0"/>
                <w:sz w:val="24"/>
              </w:rPr>
            </w:pPr>
            <w:r>
              <w:rPr>
                <w:rFonts w:ascii="宋体" w:hAnsi="宋体"/>
                <w:b/>
                <w:bCs/>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709" w:type="dxa"/>
            <w:vAlign w:val="center"/>
          </w:tcPr>
          <w:p>
            <w:pPr>
              <w:spacing w:line="360" w:lineRule="exact"/>
              <w:jc w:val="center"/>
              <w:rPr>
                <w:rFonts w:ascii="宋体" w:hAnsi="宋体"/>
                <w:kern w:val="0"/>
                <w:sz w:val="24"/>
              </w:rPr>
            </w:pPr>
            <w:r>
              <w:rPr>
                <w:rFonts w:ascii="宋体" w:hAnsi="宋体"/>
                <w:kern w:val="0"/>
                <w:sz w:val="24"/>
              </w:rPr>
              <w:t>1</w:t>
            </w:r>
          </w:p>
        </w:tc>
        <w:tc>
          <w:tcPr>
            <w:tcW w:w="1658" w:type="dxa"/>
            <w:vAlign w:val="center"/>
          </w:tcPr>
          <w:p>
            <w:pPr>
              <w:spacing w:line="360" w:lineRule="exact"/>
              <w:jc w:val="center"/>
              <w:rPr>
                <w:rFonts w:ascii="宋体" w:hAnsi="宋体"/>
                <w:sz w:val="24"/>
              </w:rPr>
            </w:pPr>
            <w:r>
              <w:rPr>
                <w:rFonts w:hint="eastAsia" w:ascii="宋体" w:hAnsi="宋体"/>
                <w:sz w:val="24"/>
              </w:rPr>
              <w:t>投标企业</w:t>
            </w:r>
          </w:p>
          <w:p>
            <w:pPr>
              <w:spacing w:line="360" w:lineRule="exact"/>
              <w:jc w:val="center"/>
              <w:rPr>
                <w:rFonts w:ascii="宋体" w:hAnsi="宋体"/>
                <w:kern w:val="0"/>
                <w:sz w:val="24"/>
              </w:rPr>
            </w:pPr>
            <w:r>
              <w:rPr>
                <w:rFonts w:hint="eastAsia" w:ascii="宋体" w:hAnsi="宋体"/>
                <w:sz w:val="24"/>
              </w:rPr>
              <w:t>实力</w:t>
            </w:r>
          </w:p>
        </w:tc>
        <w:tc>
          <w:tcPr>
            <w:tcW w:w="6422" w:type="dxa"/>
            <w:vAlign w:val="center"/>
          </w:tcPr>
          <w:p>
            <w:pPr>
              <w:adjustRightInd w:val="0"/>
              <w:spacing w:line="360" w:lineRule="exact"/>
              <w:jc w:val="left"/>
              <w:textAlignment w:val="baseline"/>
              <w:rPr>
                <w:sz w:val="24"/>
              </w:rPr>
            </w:pPr>
            <w:r>
              <w:rPr>
                <w:rFonts w:hint="eastAsia"/>
                <w:b/>
                <w:bCs/>
                <w:sz w:val="24"/>
              </w:rPr>
              <w:t>投标人和所投品牌制造商供应商</w:t>
            </w:r>
            <w:r>
              <w:rPr>
                <w:rFonts w:hint="eastAsia"/>
                <w:sz w:val="24"/>
              </w:rPr>
              <w:t>都具有ISO9001质量管理体系认证证书、IS014001环境管理体系认证证书、IS045001或OHSAS18001职业安全健康体系认证证书，且在有效期内的，每提供1项证书得1分，最多得3分。</w:t>
            </w:r>
          </w:p>
          <w:p>
            <w:pPr>
              <w:pStyle w:val="53"/>
              <w:spacing w:after="0" w:line="360" w:lineRule="exact"/>
              <w:ind w:left="0" w:leftChars="0" w:firstLine="0" w:firstLineChars="0"/>
              <w:rPr>
                <w:sz w:val="24"/>
                <w:szCs w:val="24"/>
              </w:rPr>
            </w:pPr>
            <w:r>
              <w:rPr>
                <w:rFonts w:hint="eastAsia"/>
                <w:sz w:val="24"/>
                <w:szCs w:val="24"/>
              </w:rPr>
              <w:t>注：以上证书投标人和所投品牌制造供应商均需提供，缺一不可，否则不得分。投标时提供有效原件复印件并加盖投标单位公章。</w:t>
            </w:r>
          </w:p>
        </w:tc>
        <w:tc>
          <w:tcPr>
            <w:tcW w:w="850" w:type="dxa"/>
            <w:vAlign w:val="center"/>
          </w:tcPr>
          <w:p>
            <w:pPr>
              <w:spacing w:line="360" w:lineRule="exact"/>
              <w:jc w:val="center"/>
              <w:textAlignment w:val="center"/>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pPr>
              <w:spacing w:line="360" w:lineRule="exact"/>
              <w:jc w:val="center"/>
              <w:rPr>
                <w:rFonts w:ascii="宋体" w:hAnsi="宋体"/>
                <w:kern w:val="0"/>
                <w:sz w:val="24"/>
              </w:rPr>
            </w:pPr>
            <w:r>
              <w:rPr>
                <w:rFonts w:ascii="宋体" w:hAnsi="宋体"/>
                <w:kern w:val="0"/>
                <w:sz w:val="24"/>
              </w:rPr>
              <w:t>2</w:t>
            </w:r>
          </w:p>
        </w:tc>
        <w:tc>
          <w:tcPr>
            <w:tcW w:w="1658" w:type="dxa"/>
            <w:vAlign w:val="center"/>
          </w:tcPr>
          <w:p>
            <w:pPr>
              <w:spacing w:line="360" w:lineRule="exact"/>
              <w:jc w:val="center"/>
              <w:rPr>
                <w:rFonts w:ascii="宋体" w:hAnsi="宋体"/>
                <w:kern w:val="0"/>
                <w:sz w:val="24"/>
              </w:rPr>
            </w:pPr>
            <w:r>
              <w:rPr>
                <w:rFonts w:hint="eastAsia" w:ascii="宋体" w:hAnsi="宋体"/>
                <w:sz w:val="24"/>
              </w:rPr>
              <w:t>技术力量</w:t>
            </w:r>
          </w:p>
        </w:tc>
        <w:tc>
          <w:tcPr>
            <w:tcW w:w="6422" w:type="dxa"/>
            <w:vAlign w:val="center"/>
          </w:tcPr>
          <w:p>
            <w:pPr>
              <w:numPr>
                <w:ilvl w:val="0"/>
                <w:numId w:val="3"/>
              </w:numPr>
              <w:adjustRightInd w:val="0"/>
              <w:spacing w:line="360" w:lineRule="exact"/>
              <w:jc w:val="left"/>
              <w:textAlignment w:val="baseline"/>
              <w:rPr>
                <w:rFonts w:ascii="宋体" w:hAnsi="宋体"/>
                <w:sz w:val="24"/>
              </w:rPr>
            </w:pPr>
            <w:r>
              <w:rPr>
                <w:rFonts w:hint="eastAsia"/>
                <w:sz w:val="24"/>
              </w:rPr>
              <w:t>电梯调速装置及控制装置采用与整机同品牌，有一项得2分,最多得4分(投标时提供有效的制造商整机型式试验报告复印件并加盖公章)；</w:t>
            </w:r>
          </w:p>
          <w:p>
            <w:pPr>
              <w:numPr>
                <w:ilvl w:val="0"/>
                <w:numId w:val="3"/>
              </w:numPr>
              <w:adjustRightInd w:val="0"/>
              <w:spacing w:line="360" w:lineRule="exact"/>
              <w:jc w:val="left"/>
              <w:textAlignment w:val="baseline"/>
              <w:rPr>
                <w:rFonts w:ascii="宋体" w:hAnsi="宋体"/>
                <w:sz w:val="24"/>
              </w:rPr>
            </w:pPr>
            <w:r>
              <w:rPr>
                <w:rFonts w:hint="eastAsia"/>
                <w:sz w:val="24"/>
              </w:rPr>
              <w:t>投标品牌电梯制造商具有VDI4707电梯能源效率认证，A级证书得2分，B级得1分，其他不得分（投标时需提供有效的电梯能源效率认证证书复印件并加盖公章）。</w:t>
            </w:r>
          </w:p>
        </w:tc>
        <w:tc>
          <w:tcPr>
            <w:tcW w:w="850" w:type="dxa"/>
            <w:vAlign w:val="center"/>
          </w:tcPr>
          <w:p>
            <w:pPr>
              <w:spacing w:line="360" w:lineRule="exact"/>
              <w:jc w:val="center"/>
              <w:rPr>
                <w:rFonts w:ascii="宋体" w:hAnsi="宋体"/>
                <w:kern w:val="0"/>
                <w:sz w:val="24"/>
              </w:rPr>
            </w:pPr>
            <w:r>
              <w:rPr>
                <w:rFonts w:hint="eastAsia" w:ascii="宋体" w:hAnsi="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pPr>
              <w:spacing w:line="360" w:lineRule="exact"/>
              <w:jc w:val="center"/>
              <w:rPr>
                <w:rFonts w:ascii="宋体" w:hAnsi="宋体"/>
                <w:kern w:val="0"/>
                <w:sz w:val="24"/>
              </w:rPr>
            </w:pPr>
            <w:r>
              <w:rPr>
                <w:rFonts w:hint="eastAsia" w:ascii="宋体" w:hAnsi="宋体"/>
                <w:kern w:val="0"/>
                <w:sz w:val="24"/>
              </w:rPr>
              <w:t>3</w:t>
            </w:r>
          </w:p>
        </w:tc>
        <w:tc>
          <w:tcPr>
            <w:tcW w:w="1658" w:type="dxa"/>
            <w:vAlign w:val="center"/>
          </w:tcPr>
          <w:p>
            <w:pPr>
              <w:spacing w:line="360" w:lineRule="exact"/>
              <w:jc w:val="center"/>
              <w:rPr>
                <w:rFonts w:ascii="宋体" w:hAnsi="宋体"/>
                <w:sz w:val="24"/>
              </w:rPr>
            </w:pPr>
            <w:r>
              <w:rPr>
                <w:rFonts w:hint="eastAsia" w:ascii="宋体" w:hAnsi="宋体"/>
                <w:sz w:val="24"/>
              </w:rPr>
              <w:t>设备保修</w:t>
            </w:r>
          </w:p>
          <w:p>
            <w:pPr>
              <w:spacing w:line="360" w:lineRule="exact"/>
              <w:jc w:val="center"/>
              <w:rPr>
                <w:rFonts w:ascii="宋体" w:hAnsi="宋体"/>
                <w:sz w:val="24"/>
              </w:rPr>
            </w:pPr>
            <w:r>
              <w:rPr>
                <w:rFonts w:hint="eastAsia" w:ascii="宋体" w:hAnsi="宋体"/>
                <w:sz w:val="24"/>
              </w:rPr>
              <w:t>保养期</w:t>
            </w:r>
          </w:p>
        </w:tc>
        <w:tc>
          <w:tcPr>
            <w:tcW w:w="6422" w:type="dxa"/>
            <w:vAlign w:val="center"/>
          </w:tcPr>
          <w:p>
            <w:pPr>
              <w:adjustRightInd w:val="0"/>
              <w:spacing w:line="360" w:lineRule="exact"/>
              <w:jc w:val="left"/>
              <w:textAlignment w:val="baseline"/>
              <w:rPr>
                <w:rFonts w:ascii="宋体" w:hAnsi="宋体"/>
                <w:sz w:val="24"/>
              </w:rPr>
            </w:pPr>
            <w:r>
              <w:rPr>
                <w:rFonts w:hint="eastAsia" w:ascii="宋体" w:hAnsi="宋体"/>
                <w:sz w:val="24"/>
              </w:rPr>
              <w:t>承诺在5年免费保修保养基础上每增加1年的得1分，最多得2分。（未承诺或承诺服务期少于5年的按无效投标处理）</w:t>
            </w:r>
          </w:p>
        </w:tc>
        <w:tc>
          <w:tcPr>
            <w:tcW w:w="850" w:type="dxa"/>
            <w:vAlign w:val="center"/>
          </w:tcPr>
          <w:p>
            <w:pPr>
              <w:spacing w:line="360" w:lineRule="exact"/>
              <w:jc w:val="center"/>
              <w:rPr>
                <w:rFonts w:ascii="宋体" w:hAnsi="宋体"/>
                <w:kern w:val="0"/>
                <w:sz w:val="24"/>
              </w:rPr>
            </w:pPr>
            <w:r>
              <w:rPr>
                <w:rFonts w:hint="eastAsia" w:ascii="宋体" w:hAnsi="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pPr>
              <w:spacing w:line="360" w:lineRule="exact"/>
              <w:jc w:val="center"/>
              <w:rPr>
                <w:rFonts w:ascii="宋体" w:hAnsi="宋体"/>
                <w:kern w:val="0"/>
                <w:sz w:val="24"/>
              </w:rPr>
            </w:pPr>
            <w:r>
              <w:rPr>
                <w:rFonts w:hint="eastAsia" w:ascii="宋体" w:hAnsi="宋体"/>
                <w:kern w:val="0"/>
                <w:sz w:val="24"/>
              </w:rPr>
              <w:t>4</w:t>
            </w:r>
          </w:p>
        </w:tc>
        <w:tc>
          <w:tcPr>
            <w:tcW w:w="1658" w:type="dxa"/>
            <w:vAlign w:val="center"/>
          </w:tcPr>
          <w:p>
            <w:pPr>
              <w:spacing w:line="360" w:lineRule="exact"/>
              <w:jc w:val="center"/>
              <w:rPr>
                <w:rFonts w:ascii="宋体" w:hAnsi="宋体"/>
                <w:sz w:val="24"/>
              </w:rPr>
            </w:pPr>
            <w:r>
              <w:rPr>
                <w:rFonts w:hint="eastAsia" w:ascii="宋体" w:hAnsi="宋体"/>
                <w:sz w:val="24"/>
              </w:rPr>
              <w:t>伴随服务保障</w:t>
            </w:r>
          </w:p>
        </w:tc>
        <w:tc>
          <w:tcPr>
            <w:tcW w:w="6422" w:type="dxa"/>
            <w:vAlign w:val="center"/>
          </w:tcPr>
          <w:p>
            <w:pPr>
              <w:adjustRightInd w:val="0"/>
              <w:spacing w:line="360" w:lineRule="exact"/>
              <w:jc w:val="left"/>
              <w:textAlignment w:val="baseline"/>
              <w:rPr>
                <w:rFonts w:ascii="宋体" w:hAnsi="宋体"/>
                <w:sz w:val="24"/>
              </w:rPr>
            </w:pPr>
            <w:r>
              <w:rPr>
                <w:rFonts w:hint="eastAsia" w:ascii="宋体" w:hAnsi="宋体"/>
                <w:sz w:val="24"/>
              </w:rPr>
              <w:t>（1）投标人具有有效期内的资信等级证书：AAA级的得3分，AA级得得2分，A级的得1分；（提供复印件并加盖投标单位公章）</w:t>
            </w:r>
          </w:p>
          <w:p>
            <w:pPr>
              <w:adjustRightInd w:val="0"/>
              <w:spacing w:line="360" w:lineRule="exact"/>
              <w:jc w:val="left"/>
              <w:textAlignment w:val="baseline"/>
              <w:rPr>
                <w:rFonts w:ascii="宋体" w:hAnsi="宋体"/>
                <w:sz w:val="24"/>
              </w:rPr>
            </w:pPr>
            <w:r>
              <w:rPr>
                <w:rFonts w:hint="eastAsia" w:ascii="宋体" w:hAnsi="宋体"/>
                <w:sz w:val="24"/>
              </w:rPr>
              <w:t>（2）根据江苏省市场监管局公布2021年度电梯维保单位维保质量四星五星评定结果的公告，投标人被评为四星及以上电梯维保单位的得5分，三星电梯维保单位的得3分，二星电梯维保单位的得2分，其他不得分。（提供2021年度江苏省电梯维保单位维保质量星级评定结果名单并加盖投标单位公章）</w:t>
            </w:r>
          </w:p>
        </w:tc>
        <w:tc>
          <w:tcPr>
            <w:tcW w:w="850" w:type="dxa"/>
            <w:vAlign w:val="center"/>
          </w:tcPr>
          <w:p>
            <w:pPr>
              <w:spacing w:line="360" w:lineRule="exact"/>
              <w:jc w:val="center"/>
              <w:rPr>
                <w:rFonts w:ascii="宋体" w:hAnsi="宋体"/>
                <w:kern w:val="0"/>
                <w:sz w:val="24"/>
              </w:rPr>
            </w:pPr>
            <w:r>
              <w:rPr>
                <w:rFonts w:hint="eastAsia" w:ascii="宋体" w:hAnsi="宋体"/>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pPr>
              <w:spacing w:line="360" w:lineRule="exact"/>
              <w:jc w:val="center"/>
              <w:rPr>
                <w:rFonts w:ascii="宋体" w:hAnsi="宋体"/>
                <w:kern w:val="0"/>
                <w:sz w:val="24"/>
              </w:rPr>
            </w:pPr>
            <w:r>
              <w:rPr>
                <w:rFonts w:hint="eastAsia" w:ascii="宋体" w:hAnsi="宋体"/>
                <w:kern w:val="0"/>
                <w:sz w:val="24"/>
              </w:rPr>
              <w:t>5</w:t>
            </w:r>
          </w:p>
        </w:tc>
        <w:tc>
          <w:tcPr>
            <w:tcW w:w="1658" w:type="dxa"/>
            <w:vAlign w:val="center"/>
          </w:tcPr>
          <w:p>
            <w:pPr>
              <w:spacing w:line="360" w:lineRule="exact"/>
              <w:jc w:val="center"/>
              <w:rPr>
                <w:rFonts w:ascii="宋体" w:hAnsi="宋体"/>
                <w:sz w:val="24"/>
              </w:rPr>
            </w:pPr>
            <w:r>
              <w:rPr>
                <w:rFonts w:hint="eastAsia" w:ascii="宋体" w:hAnsi="宋体"/>
                <w:sz w:val="24"/>
              </w:rPr>
              <w:t>业绩</w:t>
            </w:r>
          </w:p>
        </w:tc>
        <w:tc>
          <w:tcPr>
            <w:tcW w:w="6422" w:type="dxa"/>
            <w:vAlign w:val="center"/>
          </w:tcPr>
          <w:p>
            <w:pPr>
              <w:adjustRightInd w:val="0"/>
              <w:spacing w:line="360" w:lineRule="exact"/>
              <w:jc w:val="left"/>
              <w:textAlignment w:val="baseline"/>
              <w:rPr>
                <w:rFonts w:ascii="宋体" w:hAnsi="宋体"/>
                <w:sz w:val="24"/>
              </w:rPr>
            </w:pPr>
            <w:r>
              <w:rPr>
                <w:rFonts w:hint="eastAsia" w:ascii="宋体" w:hAnsi="宋体"/>
                <w:bCs/>
                <w:sz w:val="24"/>
              </w:rPr>
              <w:t>投标人</w:t>
            </w:r>
            <w:r>
              <w:rPr>
                <w:rFonts w:hint="eastAsia" w:ascii="宋体" w:hAnsi="宋体"/>
                <w:sz w:val="24"/>
              </w:rPr>
              <w:t>在2020年1月以来承担过类似载货电梯设备采购及安装项目的，每提供1个得2分，本项最多得6分（提供合同或中标通知书，金额及时间以合同或中标通知书为准，提供清晰完整的复印件并加盖公章）</w:t>
            </w:r>
          </w:p>
        </w:tc>
        <w:tc>
          <w:tcPr>
            <w:tcW w:w="850" w:type="dxa"/>
            <w:vAlign w:val="center"/>
          </w:tcPr>
          <w:p>
            <w:pPr>
              <w:spacing w:line="360" w:lineRule="exact"/>
              <w:jc w:val="center"/>
              <w:rPr>
                <w:rFonts w:ascii="宋体" w:hAnsi="宋体"/>
                <w:kern w:val="0"/>
                <w:sz w:val="24"/>
              </w:rPr>
            </w:pPr>
            <w:r>
              <w:rPr>
                <w:rFonts w:hint="eastAsia" w:ascii="宋体" w:hAnsi="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pPr>
              <w:spacing w:line="360" w:lineRule="exact"/>
              <w:jc w:val="center"/>
              <w:rPr>
                <w:rFonts w:ascii="宋体" w:hAnsi="宋体"/>
                <w:kern w:val="0"/>
                <w:sz w:val="24"/>
              </w:rPr>
            </w:pPr>
            <w:r>
              <w:rPr>
                <w:rFonts w:hint="eastAsia" w:ascii="宋体" w:hAnsi="宋体"/>
                <w:kern w:val="0"/>
                <w:sz w:val="24"/>
              </w:rPr>
              <w:t>6</w:t>
            </w:r>
          </w:p>
        </w:tc>
        <w:tc>
          <w:tcPr>
            <w:tcW w:w="1658" w:type="dxa"/>
            <w:vAlign w:val="center"/>
          </w:tcPr>
          <w:p>
            <w:pPr>
              <w:spacing w:line="360" w:lineRule="exact"/>
              <w:jc w:val="center"/>
              <w:rPr>
                <w:rFonts w:ascii="宋体" w:hAnsi="宋体"/>
                <w:sz w:val="24"/>
              </w:rPr>
            </w:pPr>
            <w:r>
              <w:rPr>
                <w:rFonts w:hint="eastAsia" w:ascii="宋体" w:hAnsi="宋体"/>
                <w:sz w:val="24"/>
              </w:rPr>
              <w:t>培训及售后</w:t>
            </w:r>
          </w:p>
          <w:p>
            <w:pPr>
              <w:spacing w:line="360" w:lineRule="exact"/>
              <w:jc w:val="center"/>
              <w:rPr>
                <w:rFonts w:ascii="宋体" w:hAnsi="宋体"/>
                <w:sz w:val="24"/>
              </w:rPr>
            </w:pPr>
            <w:r>
              <w:rPr>
                <w:rFonts w:hint="eastAsia" w:ascii="宋体" w:hAnsi="宋体"/>
                <w:sz w:val="24"/>
              </w:rPr>
              <w:t>服务</w:t>
            </w:r>
          </w:p>
        </w:tc>
        <w:tc>
          <w:tcPr>
            <w:tcW w:w="6422" w:type="dxa"/>
            <w:vAlign w:val="center"/>
          </w:tcPr>
          <w:p>
            <w:pPr>
              <w:adjustRightInd w:val="0"/>
              <w:spacing w:line="360" w:lineRule="exact"/>
              <w:jc w:val="left"/>
              <w:textAlignment w:val="baseline"/>
              <w:rPr>
                <w:rFonts w:ascii="宋体" w:hAnsi="宋体"/>
                <w:sz w:val="24"/>
              </w:rPr>
            </w:pPr>
            <w:r>
              <w:rPr>
                <w:rFonts w:hint="eastAsia" w:ascii="宋体" w:hAnsi="宋体"/>
                <w:sz w:val="24"/>
              </w:rPr>
              <w:t>（1）培训方案由评委在0-3分内评定；</w:t>
            </w:r>
          </w:p>
          <w:p>
            <w:pPr>
              <w:adjustRightInd w:val="0"/>
              <w:spacing w:line="360" w:lineRule="exact"/>
              <w:jc w:val="left"/>
              <w:textAlignment w:val="baseline"/>
              <w:rPr>
                <w:rFonts w:ascii="宋体" w:hAnsi="宋体"/>
                <w:sz w:val="24"/>
              </w:rPr>
            </w:pPr>
            <w:r>
              <w:rPr>
                <w:rFonts w:hint="eastAsia" w:ascii="宋体" w:hAnsi="宋体"/>
                <w:sz w:val="24"/>
              </w:rPr>
              <w:t>（2）投标人具有完备、详细的维修维护方案由评委在0-3分内评定；</w:t>
            </w:r>
          </w:p>
          <w:p>
            <w:pPr>
              <w:adjustRightInd w:val="0"/>
              <w:spacing w:line="360" w:lineRule="exact"/>
              <w:jc w:val="left"/>
              <w:textAlignment w:val="baseline"/>
              <w:rPr>
                <w:rFonts w:ascii="宋体" w:hAnsi="宋体"/>
                <w:sz w:val="24"/>
              </w:rPr>
            </w:pPr>
            <w:r>
              <w:rPr>
                <w:rFonts w:hint="eastAsia" w:ascii="宋体" w:hAnsi="宋体"/>
                <w:sz w:val="24"/>
              </w:rPr>
              <w:t>（3）评委根据其备品备件库（备件齐全程度、满足招标文件规定的时间响应程度）与项目适应程度进行在0-1分内进行打分。（提供相关证明文件并加盖投标供应商公章，不提供或提供不全者，视为不满足，此项不得分。）</w:t>
            </w:r>
          </w:p>
        </w:tc>
        <w:tc>
          <w:tcPr>
            <w:tcW w:w="850" w:type="dxa"/>
            <w:vAlign w:val="center"/>
          </w:tcPr>
          <w:p>
            <w:pPr>
              <w:spacing w:line="360" w:lineRule="exact"/>
              <w:jc w:val="center"/>
              <w:rPr>
                <w:rFonts w:ascii="宋体" w:hAnsi="宋体"/>
                <w:kern w:val="0"/>
                <w:sz w:val="24"/>
              </w:rPr>
            </w:pPr>
            <w:r>
              <w:rPr>
                <w:rFonts w:hint="eastAsia" w:ascii="宋体" w:hAnsi="宋体"/>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pPr>
              <w:spacing w:line="360" w:lineRule="exact"/>
              <w:jc w:val="center"/>
              <w:rPr>
                <w:rFonts w:ascii="宋体" w:hAnsi="宋体"/>
                <w:kern w:val="0"/>
                <w:sz w:val="24"/>
              </w:rPr>
            </w:pPr>
            <w:r>
              <w:rPr>
                <w:rFonts w:hint="eastAsia" w:ascii="宋体" w:hAnsi="宋体"/>
                <w:kern w:val="0"/>
                <w:sz w:val="24"/>
              </w:rPr>
              <w:t>7</w:t>
            </w:r>
          </w:p>
        </w:tc>
        <w:tc>
          <w:tcPr>
            <w:tcW w:w="1658" w:type="dxa"/>
            <w:vAlign w:val="center"/>
          </w:tcPr>
          <w:p>
            <w:pPr>
              <w:spacing w:line="360" w:lineRule="exact"/>
              <w:jc w:val="center"/>
              <w:rPr>
                <w:rFonts w:ascii="宋体" w:hAnsi="宋体"/>
                <w:sz w:val="24"/>
              </w:rPr>
            </w:pPr>
            <w:r>
              <w:rPr>
                <w:rFonts w:hint="eastAsia" w:ascii="宋体" w:hAnsi="宋体"/>
                <w:sz w:val="24"/>
              </w:rPr>
              <w:t>施工安装方案</w:t>
            </w:r>
          </w:p>
        </w:tc>
        <w:tc>
          <w:tcPr>
            <w:tcW w:w="6422" w:type="dxa"/>
            <w:vAlign w:val="center"/>
          </w:tcPr>
          <w:p>
            <w:pPr>
              <w:adjustRightInd w:val="0"/>
              <w:spacing w:line="360" w:lineRule="exact"/>
              <w:jc w:val="left"/>
              <w:textAlignment w:val="baseline"/>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）施工组织计划（6分）：施工组织计划详细具体、科学合理和各阶段进度的保证措施可靠、全面可行、针对性强的，得6分；其余酌情给分；缺失的，本项不得分。</w:t>
            </w:r>
          </w:p>
          <w:p>
            <w:pPr>
              <w:adjustRightInd w:val="0"/>
              <w:spacing w:line="360" w:lineRule="exact"/>
              <w:jc w:val="left"/>
              <w:textAlignment w:val="baseline"/>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）施工队伍（2分）：组建合理，由制造商负责安装的得2分，由代理商或分支机构安装的得</w:t>
            </w:r>
            <w:r>
              <w:rPr>
                <w:rFonts w:ascii="宋体" w:hAnsi="宋体"/>
                <w:sz w:val="24"/>
              </w:rPr>
              <w:t>1</w:t>
            </w:r>
            <w:r>
              <w:rPr>
                <w:rFonts w:hint="eastAsia" w:ascii="宋体" w:hAnsi="宋体"/>
                <w:sz w:val="24"/>
              </w:rPr>
              <w:t>分，其他的不给分。（本项必须提供制造商承诺）。</w:t>
            </w:r>
          </w:p>
        </w:tc>
        <w:tc>
          <w:tcPr>
            <w:tcW w:w="850" w:type="dxa"/>
            <w:vAlign w:val="center"/>
          </w:tcPr>
          <w:p>
            <w:pPr>
              <w:spacing w:line="360" w:lineRule="exact"/>
              <w:jc w:val="center"/>
              <w:rPr>
                <w:rFonts w:ascii="宋体" w:hAnsi="宋体"/>
                <w:kern w:val="0"/>
                <w:sz w:val="24"/>
              </w:rPr>
            </w:pPr>
            <w:r>
              <w:rPr>
                <w:rFonts w:hint="eastAsia" w:ascii="宋体" w:hAnsi="宋体"/>
                <w:kern w:val="0"/>
                <w:sz w:val="24"/>
              </w:rPr>
              <w:t>8</w:t>
            </w:r>
          </w:p>
        </w:tc>
      </w:tr>
    </w:tbl>
    <w:p>
      <w:pPr>
        <w:adjustRightInd w:val="0"/>
        <w:snapToGrid w:val="0"/>
        <w:spacing w:line="360" w:lineRule="auto"/>
        <w:ind w:firstLine="482" w:firstLineChars="200"/>
        <w:outlineLvl w:val="2"/>
        <w:rPr>
          <w:b/>
          <w:bCs/>
          <w:sz w:val="24"/>
        </w:rPr>
      </w:pPr>
      <w:r>
        <w:rPr>
          <w:b/>
          <w:bCs/>
          <w:sz w:val="24"/>
        </w:rPr>
        <w:t>2.</w:t>
      </w:r>
      <w:r>
        <w:rPr>
          <w:rFonts w:hint="eastAsia" w:cs="宋体"/>
          <w:b/>
          <w:bCs/>
          <w:sz w:val="24"/>
        </w:rPr>
        <w:t>商务报价评审：（6</w:t>
      </w:r>
      <w:r>
        <w:rPr>
          <w:b/>
          <w:bCs/>
          <w:sz w:val="24"/>
        </w:rPr>
        <w:t>0</w:t>
      </w:r>
      <w:r>
        <w:rPr>
          <w:rFonts w:hint="eastAsia" w:cs="宋体"/>
          <w:b/>
          <w:bCs/>
          <w:sz w:val="24"/>
        </w:rPr>
        <w:t>分）</w:t>
      </w:r>
    </w:p>
    <w:p>
      <w:pPr>
        <w:snapToGrid w:val="0"/>
        <w:spacing w:line="360" w:lineRule="auto"/>
        <w:ind w:firstLine="484" w:firstLineChars="202"/>
        <w:rPr>
          <w:sz w:val="24"/>
        </w:rPr>
      </w:pPr>
      <w:r>
        <w:rPr>
          <w:rFonts w:hint="eastAsia" w:cs="宋体"/>
          <w:sz w:val="24"/>
        </w:rPr>
        <w:t>（</w:t>
      </w:r>
      <w:r>
        <w:rPr>
          <w:sz w:val="24"/>
        </w:rPr>
        <w:t>1</w:t>
      </w:r>
      <w:r>
        <w:rPr>
          <w:rFonts w:hint="eastAsia" w:cs="宋体"/>
          <w:sz w:val="24"/>
        </w:rPr>
        <w:t>）本项目最高限价为</w:t>
      </w:r>
      <w:r>
        <w:rPr>
          <w:rFonts w:hint="eastAsia" w:cs="宋体"/>
          <w:b/>
          <w:sz w:val="24"/>
        </w:rPr>
        <w:t>人民币</w:t>
      </w:r>
      <w:r>
        <w:rPr>
          <w:rFonts w:hint="eastAsia" w:cs="宋体"/>
          <w:b/>
          <w:sz w:val="24"/>
          <w:u w:val="single"/>
        </w:rPr>
        <w:t xml:space="preserve"> 16 </w:t>
      </w:r>
      <w:r>
        <w:rPr>
          <w:rFonts w:hint="eastAsia" w:cs="宋体"/>
          <w:b/>
          <w:sz w:val="24"/>
        </w:rPr>
        <w:t>万元</w:t>
      </w:r>
      <w:r>
        <w:rPr>
          <w:rFonts w:hint="eastAsia" w:cs="宋体"/>
          <w:sz w:val="24"/>
        </w:rPr>
        <w:t>，超过最高限价的作无效报价处理。</w:t>
      </w:r>
    </w:p>
    <w:p>
      <w:pPr>
        <w:snapToGrid w:val="0"/>
        <w:spacing w:line="360" w:lineRule="auto"/>
        <w:ind w:firstLine="484" w:firstLineChars="202"/>
        <w:rPr>
          <w:sz w:val="24"/>
        </w:rPr>
      </w:pPr>
      <w:r>
        <w:rPr>
          <w:rFonts w:hint="eastAsia" w:cs="宋体"/>
          <w:sz w:val="24"/>
        </w:rPr>
        <w:t>（</w:t>
      </w:r>
      <w:r>
        <w:rPr>
          <w:sz w:val="24"/>
        </w:rPr>
        <w:t>2</w:t>
      </w:r>
      <w:r>
        <w:rPr>
          <w:rFonts w:hint="eastAsia" w:cs="宋体"/>
          <w:sz w:val="24"/>
        </w:rPr>
        <w:t>）满足招标文件要求且报价最低的投标人的价格，定为评标基准价，其价格分为满分。其他投标人的价格分统一按照下列公式计算：</w:t>
      </w:r>
    </w:p>
    <w:p>
      <w:pPr>
        <w:snapToGrid w:val="0"/>
        <w:spacing w:line="360" w:lineRule="auto"/>
        <w:rPr>
          <w:b/>
          <w:bCs/>
          <w:sz w:val="24"/>
        </w:rPr>
      </w:pPr>
      <w:r>
        <w:rPr>
          <w:rFonts w:hint="eastAsia" w:cs="宋体"/>
          <w:b/>
          <w:bCs/>
          <w:sz w:val="24"/>
        </w:rPr>
        <w:t>投标人报价得分</w:t>
      </w:r>
      <w:r>
        <w:rPr>
          <w:b/>
          <w:bCs/>
          <w:sz w:val="24"/>
        </w:rPr>
        <w:t xml:space="preserve"> =</w:t>
      </w:r>
      <w:r>
        <w:rPr>
          <w:rFonts w:hint="eastAsia" w:cs="宋体"/>
          <w:b/>
          <w:bCs/>
          <w:sz w:val="24"/>
        </w:rPr>
        <w:t>（评标基准价</w:t>
      </w:r>
      <w:r>
        <w:rPr>
          <w:b/>
          <w:bCs/>
          <w:sz w:val="24"/>
        </w:rPr>
        <w:t>/</w:t>
      </w:r>
      <w:r>
        <w:rPr>
          <w:rFonts w:hint="eastAsia" w:cs="宋体"/>
          <w:b/>
          <w:bCs/>
          <w:sz w:val="24"/>
        </w:rPr>
        <w:t>投标报价）</w:t>
      </w:r>
      <w:r>
        <w:rPr>
          <w:b/>
          <w:bCs/>
          <w:sz w:val="24"/>
        </w:rPr>
        <w:t>×</w:t>
      </w:r>
      <w:r>
        <w:rPr>
          <w:rFonts w:hint="eastAsia"/>
          <w:b/>
          <w:bCs/>
          <w:sz w:val="24"/>
        </w:rPr>
        <w:t>6</w:t>
      </w:r>
      <w:r>
        <w:rPr>
          <w:b/>
          <w:bCs/>
          <w:sz w:val="24"/>
        </w:rPr>
        <w:t>0%×100</w:t>
      </w:r>
    </w:p>
    <w:p>
      <w:pPr>
        <w:snapToGrid w:val="0"/>
        <w:spacing w:line="360" w:lineRule="auto"/>
        <w:ind w:firstLine="484" w:firstLineChars="202"/>
        <w:rPr>
          <w:sz w:val="24"/>
        </w:rPr>
      </w:pPr>
      <w:r>
        <w:rPr>
          <w:rFonts w:hint="eastAsia" w:cs="宋体"/>
          <w:sz w:val="24"/>
        </w:rPr>
        <w:t>（</w:t>
      </w:r>
      <w:r>
        <w:rPr>
          <w:sz w:val="24"/>
        </w:rPr>
        <w:t>3</w:t>
      </w:r>
      <w:r>
        <w:rPr>
          <w:rFonts w:hint="eastAsia" w:cs="宋体"/>
          <w:sz w:val="24"/>
        </w:rPr>
        <w:t>）评审过程中，不得去掉最后报价中的最高报价和最低报价。</w:t>
      </w:r>
    </w:p>
    <w:p>
      <w:pPr>
        <w:adjustRightInd w:val="0"/>
        <w:snapToGrid w:val="0"/>
        <w:spacing w:line="360" w:lineRule="auto"/>
        <w:ind w:firstLine="482" w:firstLineChars="200"/>
        <w:outlineLvl w:val="2"/>
        <w:rPr>
          <w:sz w:val="24"/>
        </w:rPr>
      </w:pPr>
      <w:r>
        <w:rPr>
          <w:b/>
          <w:bCs/>
          <w:sz w:val="24"/>
        </w:rPr>
        <w:t>3.</w:t>
      </w:r>
      <w:r>
        <w:rPr>
          <w:rFonts w:hint="eastAsia"/>
          <w:b/>
          <w:bCs/>
          <w:sz w:val="24"/>
        </w:rPr>
        <w:t>评审细则争议的处理</w:t>
      </w:r>
    </w:p>
    <w:p>
      <w:pPr>
        <w:snapToGrid w:val="0"/>
        <w:spacing w:line="360" w:lineRule="auto"/>
        <w:ind w:firstLine="484" w:firstLineChars="202"/>
        <w:rPr>
          <w:sz w:val="24"/>
        </w:rPr>
      </w:pPr>
      <w:r>
        <w:rPr>
          <w:rFonts w:hint="eastAsia"/>
          <w:sz w:val="24"/>
        </w:rPr>
        <w:t>评标时，评标委员会评委成员对评标细则若有争议，由评标委员会评委成员集体讨论确定并对未尽情况有最终解释权。评标委员会评委成员对需要共同认定的事项存在争议的，应当按照少数服从多数的原则做出结论。持不同意见的评标委员会评委成员应当在评标报告上签署不同意见及理由，否则视为同意评标报告。</w:t>
      </w:r>
    </w:p>
    <w:p>
      <w:pPr>
        <w:adjustRightInd w:val="0"/>
        <w:snapToGrid w:val="0"/>
        <w:spacing w:line="360" w:lineRule="auto"/>
        <w:ind w:firstLine="482" w:firstLineChars="200"/>
        <w:outlineLvl w:val="2"/>
        <w:rPr>
          <w:sz w:val="24"/>
        </w:rPr>
      </w:pPr>
      <w:r>
        <w:rPr>
          <w:b/>
          <w:bCs/>
          <w:sz w:val="24"/>
        </w:rPr>
        <w:t>4.</w:t>
      </w:r>
      <w:r>
        <w:rPr>
          <w:rFonts w:hint="eastAsia"/>
          <w:b/>
          <w:bCs/>
          <w:sz w:val="24"/>
        </w:rPr>
        <w:t>关于落标原因的解释</w:t>
      </w:r>
    </w:p>
    <w:p>
      <w:pPr>
        <w:adjustRightInd w:val="0"/>
        <w:snapToGrid w:val="0"/>
        <w:spacing w:line="360" w:lineRule="auto"/>
        <w:ind w:firstLine="480" w:firstLineChars="200"/>
        <w:rPr>
          <w:sz w:val="24"/>
        </w:rPr>
      </w:pPr>
      <w:r>
        <w:rPr>
          <w:rFonts w:hint="eastAsia" w:cs="宋体"/>
          <w:sz w:val="24"/>
        </w:rPr>
        <w:t>对落标的响应投标人不做落标原因的解释。</w:t>
      </w:r>
    </w:p>
    <w:bookmarkEnd w:id="12"/>
    <w:p>
      <w:pPr>
        <w:snapToGrid w:val="0"/>
        <w:spacing w:line="360" w:lineRule="auto"/>
        <w:ind w:firstLine="487" w:firstLineChars="202"/>
        <w:outlineLvl w:val="1"/>
        <w:rPr>
          <w:b/>
          <w:bCs/>
          <w:sz w:val="24"/>
        </w:rPr>
      </w:pPr>
      <w:r>
        <w:rPr>
          <w:rFonts w:hint="eastAsia" w:cs="宋体"/>
          <w:b/>
          <w:bCs/>
          <w:sz w:val="24"/>
        </w:rPr>
        <w:t>五、出现下列情形之一的，作无效标处理</w:t>
      </w:r>
    </w:p>
    <w:p>
      <w:pPr>
        <w:snapToGrid w:val="0"/>
        <w:spacing w:line="360" w:lineRule="auto"/>
        <w:ind w:firstLine="480" w:firstLineChars="200"/>
        <w:rPr>
          <w:sz w:val="24"/>
        </w:rPr>
      </w:pPr>
      <w:r>
        <w:rPr>
          <w:rFonts w:hint="eastAsia" w:ascii="宋体" w:hAnsi="宋体"/>
          <w:sz w:val="24"/>
        </w:rPr>
        <w:t>1</w:t>
      </w:r>
      <w:r>
        <w:rPr>
          <w:sz w:val="24"/>
        </w:rPr>
        <w:t>.</w:t>
      </w:r>
      <w:r>
        <w:rPr>
          <w:rFonts w:hint="eastAsia"/>
          <w:sz w:val="24"/>
        </w:rPr>
        <w:t>投标文件未按招标文件要求密封、签署、盖章及主要资料不齐全的；</w:t>
      </w:r>
    </w:p>
    <w:p>
      <w:pPr>
        <w:snapToGrid w:val="0"/>
        <w:spacing w:line="360" w:lineRule="auto"/>
        <w:ind w:firstLine="480" w:firstLineChars="200"/>
        <w:rPr>
          <w:rFonts w:ascii="宋体" w:hAnsi="宋体"/>
          <w:sz w:val="24"/>
        </w:rPr>
      </w:pPr>
      <w:r>
        <w:rPr>
          <w:rFonts w:hint="eastAsia" w:ascii="宋体" w:hAnsi="宋体"/>
          <w:sz w:val="24"/>
        </w:rPr>
        <w:t>2</w:t>
      </w:r>
      <w:r>
        <w:rPr>
          <w:sz w:val="24"/>
        </w:rPr>
        <w:t>.</w:t>
      </w:r>
      <w:r>
        <w:rPr>
          <w:rFonts w:ascii="宋体" w:hAnsi="宋体"/>
          <w:sz w:val="24"/>
        </w:rPr>
        <w:t>投标文件未按招标文件要求签署、盖章的；</w:t>
      </w:r>
    </w:p>
    <w:p>
      <w:pPr>
        <w:snapToGrid w:val="0"/>
        <w:spacing w:line="360" w:lineRule="auto"/>
        <w:ind w:firstLine="480" w:firstLineChars="200"/>
        <w:rPr>
          <w:rFonts w:ascii="宋体" w:hAnsi="宋体"/>
          <w:sz w:val="24"/>
        </w:rPr>
      </w:pPr>
      <w:r>
        <w:rPr>
          <w:rFonts w:hint="eastAsia" w:ascii="宋体" w:hAnsi="宋体"/>
          <w:sz w:val="24"/>
        </w:rPr>
        <w:t>3</w:t>
      </w:r>
      <w:r>
        <w:rPr>
          <w:sz w:val="24"/>
        </w:rPr>
        <w:t>.</w:t>
      </w:r>
      <w:r>
        <w:rPr>
          <w:rFonts w:ascii="宋体" w:hAnsi="宋体"/>
          <w:sz w:val="24"/>
        </w:rPr>
        <w:t>不具备招标文件中规定的资格要求的；</w:t>
      </w:r>
    </w:p>
    <w:p>
      <w:pPr>
        <w:snapToGrid w:val="0"/>
        <w:spacing w:line="360" w:lineRule="auto"/>
        <w:ind w:firstLine="480" w:firstLineChars="200"/>
        <w:rPr>
          <w:sz w:val="24"/>
        </w:rPr>
      </w:pPr>
      <w:r>
        <w:rPr>
          <w:rFonts w:hint="eastAsia" w:ascii="宋体" w:hAnsi="宋体"/>
          <w:sz w:val="24"/>
        </w:rPr>
        <w:t>4</w:t>
      </w:r>
      <w:r>
        <w:rPr>
          <w:sz w:val="24"/>
        </w:rPr>
        <w:t>.</w:t>
      </w:r>
      <w:r>
        <w:rPr>
          <w:rFonts w:hint="eastAsia"/>
          <w:sz w:val="24"/>
        </w:rPr>
        <w:t>报价超过招标文件中规定的预算金额或者最高限价的</w:t>
      </w:r>
    </w:p>
    <w:p>
      <w:pPr>
        <w:snapToGrid w:val="0"/>
        <w:spacing w:line="360" w:lineRule="auto"/>
        <w:ind w:firstLine="480" w:firstLineChars="200"/>
        <w:rPr>
          <w:rFonts w:ascii="宋体" w:hAnsi="宋体"/>
          <w:sz w:val="24"/>
        </w:rPr>
      </w:pPr>
      <w:r>
        <w:rPr>
          <w:rFonts w:hint="eastAsia" w:ascii="宋体" w:hAnsi="宋体"/>
          <w:sz w:val="24"/>
        </w:rPr>
        <w:t>5</w:t>
      </w:r>
      <w:r>
        <w:rPr>
          <w:sz w:val="24"/>
        </w:rPr>
        <w:t>.</w:t>
      </w:r>
      <w:r>
        <w:rPr>
          <w:rFonts w:hint="eastAsia" w:ascii="宋体" w:hAnsi="宋体"/>
          <w:sz w:val="24"/>
        </w:rPr>
        <w:t>同一投标人提交两个（含两个）以上不同的投标报价的；</w:t>
      </w:r>
    </w:p>
    <w:p>
      <w:pPr>
        <w:snapToGrid w:val="0"/>
        <w:spacing w:line="360" w:lineRule="auto"/>
        <w:ind w:firstLine="480" w:firstLineChars="200"/>
        <w:rPr>
          <w:rFonts w:ascii="宋体" w:hAnsi="宋体"/>
          <w:sz w:val="24"/>
        </w:rPr>
      </w:pPr>
      <w:r>
        <w:rPr>
          <w:rFonts w:hint="eastAsia" w:ascii="宋体" w:hAnsi="宋体"/>
          <w:sz w:val="24"/>
        </w:rPr>
        <w:t>6.报价文件出现在其他投标文件中的；</w:t>
      </w:r>
    </w:p>
    <w:p>
      <w:pPr>
        <w:snapToGrid w:val="0"/>
        <w:spacing w:line="360" w:lineRule="auto"/>
        <w:ind w:firstLine="480" w:firstLineChars="200"/>
        <w:rPr>
          <w:rFonts w:ascii="宋体" w:hAnsi="宋体"/>
          <w:sz w:val="24"/>
        </w:rPr>
      </w:pPr>
      <w:r>
        <w:rPr>
          <w:rFonts w:hint="eastAsia" w:ascii="宋体" w:hAnsi="宋体"/>
          <w:sz w:val="24"/>
        </w:rPr>
        <w:t>7.投标产品技术性能出现负偏离的；</w:t>
      </w:r>
    </w:p>
    <w:p>
      <w:pPr>
        <w:snapToGrid w:val="0"/>
        <w:spacing w:line="360" w:lineRule="auto"/>
        <w:ind w:firstLine="480" w:firstLineChars="200"/>
        <w:rPr>
          <w:rFonts w:ascii="宋体" w:hAnsi="宋体"/>
          <w:sz w:val="24"/>
        </w:rPr>
      </w:pPr>
      <w:r>
        <w:rPr>
          <w:rFonts w:hint="eastAsia" w:ascii="宋体" w:hAnsi="宋体"/>
          <w:sz w:val="24"/>
        </w:rPr>
        <w:t xml:space="preserve">8. 售后服务免费保修保养期少于5年或未承诺的； </w:t>
      </w:r>
    </w:p>
    <w:p>
      <w:pPr>
        <w:snapToGrid w:val="0"/>
        <w:spacing w:line="360" w:lineRule="auto"/>
        <w:ind w:firstLine="480" w:firstLineChars="200"/>
        <w:rPr>
          <w:rFonts w:ascii="宋体" w:hAnsi="宋体"/>
          <w:sz w:val="24"/>
        </w:rPr>
      </w:pPr>
      <w:r>
        <w:rPr>
          <w:rFonts w:hint="eastAsia" w:ascii="宋体" w:hAnsi="宋体"/>
          <w:sz w:val="24"/>
        </w:rPr>
        <w:t>9.</w:t>
      </w:r>
      <w:r>
        <w:rPr>
          <w:rFonts w:ascii="宋体" w:hAnsi="宋体"/>
          <w:sz w:val="24"/>
        </w:rPr>
        <w:t>投标文件含有</w:t>
      </w:r>
      <w:r>
        <w:rPr>
          <w:rFonts w:hint="eastAsia" w:ascii="宋体" w:hAnsi="宋体"/>
          <w:sz w:val="24"/>
        </w:rPr>
        <w:t>采购人</w:t>
      </w:r>
      <w:r>
        <w:rPr>
          <w:rFonts w:ascii="宋体" w:hAnsi="宋体"/>
          <w:sz w:val="24"/>
        </w:rPr>
        <w:t>不能接受的附加条件的</w:t>
      </w:r>
      <w:r>
        <w:rPr>
          <w:rFonts w:hint="eastAsia"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10</w:t>
      </w:r>
      <w:r>
        <w:rPr>
          <w:rFonts w:ascii="宋体" w:hAnsi="宋体"/>
          <w:sz w:val="24"/>
        </w:rPr>
        <w:t>法律、法规和招标文件规定的其他无效情形。</w:t>
      </w:r>
    </w:p>
    <w:p>
      <w:pPr>
        <w:snapToGrid w:val="0"/>
        <w:spacing w:line="360" w:lineRule="auto"/>
        <w:ind w:firstLine="482" w:firstLineChars="200"/>
        <w:outlineLvl w:val="1"/>
        <w:rPr>
          <w:sz w:val="24"/>
        </w:rPr>
      </w:pPr>
      <w:r>
        <w:rPr>
          <w:rFonts w:hint="eastAsia" w:cs="宋体"/>
          <w:b/>
          <w:bCs/>
          <w:sz w:val="24"/>
        </w:rPr>
        <w:t>六、有下列情形之一的，视为投标人恶意串通投标，其投标无效</w:t>
      </w:r>
    </w:p>
    <w:p>
      <w:pPr>
        <w:snapToGrid w:val="0"/>
        <w:spacing w:line="360" w:lineRule="auto"/>
        <w:ind w:firstLine="484" w:firstLineChars="202"/>
        <w:rPr>
          <w:sz w:val="24"/>
        </w:rPr>
      </w:pPr>
      <w:r>
        <w:rPr>
          <w:sz w:val="24"/>
        </w:rPr>
        <w:t>1.</w:t>
      </w:r>
      <w:r>
        <w:rPr>
          <w:rFonts w:hint="eastAsia" w:cs="宋体"/>
          <w:sz w:val="24"/>
        </w:rPr>
        <w:t>直接或者间接从采购人或者采购代理机构处获得其他</w:t>
      </w:r>
      <w:r>
        <w:rPr>
          <w:rFonts w:hint="eastAsia" w:ascii="宋体" w:hAnsi="宋体"/>
          <w:bCs/>
          <w:sz w:val="24"/>
        </w:rPr>
        <w:t>投标人</w:t>
      </w:r>
      <w:r>
        <w:rPr>
          <w:rFonts w:hint="eastAsia" w:cs="宋体"/>
          <w:sz w:val="24"/>
        </w:rPr>
        <w:t>的相关情况并修改其投标文件；</w:t>
      </w:r>
    </w:p>
    <w:p>
      <w:pPr>
        <w:snapToGrid w:val="0"/>
        <w:spacing w:line="360" w:lineRule="auto"/>
        <w:ind w:firstLine="484" w:firstLineChars="202"/>
        <w:rPr>
          <w:sz w:val="24"/>
        </w:rPr>
      </w:pPr>
      <w:r>
        <w:rPr>
          <w:sz w:val="24"/>
        </w:rPr>
        <w:t>2.</w:t>
      </w:r>
      <w:r>
        <w:rPr>
          <w:rFonts w:hint="eastAsia" w:cs="宋体"/>
          <w:sz w:val="24"/>
        </w:rPr>
        <w:t>按照采购人或者采购代理机构的授意撤换、修改投标文件；</w:t>
      </w:r>
    </w:p>
    <w:p>
      <w:pPr>
        <w:snapToGrid w:val="0"/>
        <w:spacing w:line="360" w:lineRule="auto"/>
        <w:ind w:firstLine="484" w:firstLineChars="202"/>
        <w:rPr>
          <w:sz w:val="24"/>
        </w:rPr>
      </w:pPr>
      <w:r>
        <w:rPr>
          <w:sz w:val="24"/>
        </w:rPr>
        <w:t>3.</w:t>
      </w:r>
      <w:r>
        <w:rPr>
          <w:rFonts w:hint="eastAsia" w:cs="宋体"/>
          <w:sz w:val="24"/>
        </w:rPr>
        <w:t>与其他的</w:t>
      </w:r>
      <w:r>
        <w:rPr>
          <w:rFonts w:hint="eastAsia" w:ascii="宋体" w:hAnsi="宋体"/>
          <w:bCs/>
          <w:sz w:val="24"/>
        </w:rPr>
        <w:t>投标人</w:t>
      </w:r>
      <w:r>
        <w:rPr>
          <w:rFonts w:hint="eastAsia" w:cs="宋体"/>
          <w:sz w:val="24"/>
        </w:rPr>
        <w:t>协商报价、技术方案等投标文件的实质性内容；</w:t>
      </w:r>
    </w:p>
    <w:p>
      <w:pPr>
        <w:snapToGrid w:val="0"/>
        <w:spacing w:line="360" w:lineRule="auto"/>
        <w:ind w:firstLine="484" w:firstLineChars="202"/>
        <w:rPr>
          <w:sz w:val="24"/>
        </w:rPr>
      </w:pPr>
      <w:r>
        <w:rPr>
          <w:sz w:val="24"/>
        </w:rPr>
        <w:t>4.</w:t>
      </w:r>
      <w:r>
        <w:rPr>
          <w:rFonts w:hint="eastAsia" w:cs="宋体"/>
          <w:sz w:val="24"/>
        </w:rPr>
        <w:t>属于同一集团、协会、商会等组织成员的</w:t>
      </w:r>
      <w:r>
        <w:rPr>
          <w:rFonts w:hint="eastAsia" w:ascii="宋体" w:hAnsi="宋体"/>
          <w:bCs/>
          <w:sz w:val="24"/>
        </w:rPr>
        <w:t>投标人</w:t>
      </w:r>
      <w:r>
        <w:rPr>
          <w:rFonts w:hint="eastAsia" w:cs="宋体"/>
          <w:sz w:val="24"/>
        </w:rPr>
        <w:t>，按照该组织要求协同参加采购活动；</w:t>
      </w:r>
    </w:p>
    <w:p>
      <w:pPr>
        <w:snapToGrid w:val="0"/>
        <w:spacing w:line="360" w:lineRule="auto"/>
        <w:ind w:firstLine="484" w:firstLineChars="202"/>
        <w:rPr>
          <w:sz w:val="24"/>
        </w:rPr>
      </w:pPr>
      <w:r>
        <w:rPr>
          <w:sz w:val="24"/>
        </w:rPr>
        <w:t>5.</w:t>
      </w:r>
      <w:r>
        <w:rPr>
          <w:rFonts w:hint="eastAsia" w:ascii="宋体" w:hAnsi="宋体"/>
          <w:bCs/>
          <w:sz w:val="24"/>
        </w:rPr>
        <w:t xml:space="preserve"> 投标人</w:t>
      </w:r>
      <w:r>
        <w:rPr>
          <w:rFonts w:hint="eastAsia" w:cs="宋体"/>
          <w:sz w:val="24"/>
        </w:rPr>
        <w:t>之间事先约定由某一特定供应商成交；</w:t>
      </w:r>
    </w:p>
    <w:p>
      <w:pPr>
        <w:snapToGrid w:val="0"/>
        <w:spacing w:line="360" w:lineRule="auto"/>
        <w:ind w:firstLine="484" w:firstLineChars="202"/>
        <w:rPr>
          <w:sz w:val="24"/>
        </w:rPr>
      </w:pPr>
      <w:r>
        <w:rPr>
          <w:sz w:val="24"/>
        </w:rPr>
        <w:t>6.</w:t>
      </w:r>
      <w:r>
        <w:rPr>
          <w:rFonts w:hint="eastAsia" w:ascii="宋体" w:hAnsi="宋体"/>
          <w:bCs/>
          <w:sz w:val="24"/>
        </w:rPr>
        <w:t xml:space="preserve"> 投标人</w:t>
      </w:r>
      <w:r>
        <w:rPr>
          <w:rFonts w:hint="eastAsia" w:cs="宋体"/>
          <w:sz w:val="24"/>
        </w:rPr>
        <w:t>之间商定部分供应商放弃参加采购活动或者放弃成交；</w:t>
      </w:r>
    </w:p>
    <w:p>
      <w:pPr>
        <w:snapToGrid w:val="0"/>
        <w:spacing w:line="360" w:lineRule="auto"/>
        <w:ind w:firstLine="484" w:firstLineChars="202"/>
        <w:rPr>
          <w:sz w:val="24"/>
        </w:rPr>
      </w:pPr>
      <w:r>
        <w:rPr>
          <w:sz w:val="24"/>
        </w:rPr>
        <w:t>7.</w:t>
      </w:r>
      <w:r>
        <w:rPr>
          <w:rFonts w:hint="eastAsia" w:ascii="宋体" w:hAnsi="宋体"/>
          <w:bCs/>
          <w:sz w:val="24"/>
        </w:rPr>
        <w:t xml:space="preserve"> 投标人</w:t>
      </w:r>
      <w:r>
        <w:rPr>
          <w:rFonts w:hint="eastAsia" w:cs="宋体"/>
          <w:sz w:val="24"/>
        </w:rPr>
        <w:t>与采购人或者采购代理机构之间、</w:t>
      </w:r>
      <w:r>
        <w:rPr>
          <w:rFonts w:hint="eastAsia" w:ascii="宋体" w:hAnsi="宋体"/>
          <w:bCs/>
          <w:sz w:val="24"/>
        </w:rPr>
        <w:t>投标人</w:t>
      </w:r>
      <w:r>
        <w:rPr>
          <w:rFonts w:hint="eastAsia" w:cs="宋体"/>
          <w:sz w:val="24"/>
        </w:rPr>
        <w:t>相互之间，为谋求特定</w:t>
      </w:r>
      <w:r>
        <w:rPr>
          <w:rFonts w:hint="eastAsia" w:ascii="宋体" w:hAnsi="宋体"/>
          <w:bCs/>
          <w:sz w:val="24"/>
        </w:rPr>
        <w:t>投标人</w:t>
      </w:r>
      <w:r>
        <w:rPr>
          <w:rFonts w:hint="eastAsia" w:cs="宋体"/>
          <w:sz w:val="24"/>
        </w:rPr>
        <w:t>中标或者排斥其他</w:t>
      </w:r>
      <w:r>
        <w:rPr>
          <w:rFonts w:hint="eastAsia" w:ascii="宋体" w:hAnsi="宋体"/>
          <w:bCs/>
          <w:sz w:val="24"/>
        </w:rPr>
        <w:t>投标人</w:t>
      </w:r>
      <w:r>
        <w:rPr>
          <w:rFonts w:hint="eastAsia" w:cs="宋体"/>
          <w:sz w:val="24"/>
        </w:rPr>
        <w:t>的其他串通行为；</w:t>
      </w:r>
    </w:p>
    <w:p>
      <w:pPr>
        <w:snapToGrid w:val="0"/>
        <w:spacing w:line="360" w:lineRule="auto"/>
        <w:ind w:firstLine="484" w:firstLineChars="202"/>
        <w:rPr>
          <w:sz w:val="24"/>
        </w:rPr>
      </w:pPr>
      <w:r>
        <w:rPr>
          <w:sz w:val="24"/>
        </w:rPr>
        <w:t>8</w:t>
      </w:r>
      <w:r>
        <w:rPr>
          <w:rFonts w:hint="eastAsia"/>
          <w:sz w:val="24"/>
        </w:rPr>
        <w:t>.不同投标人的投标文件由同一单位或者个人编制；</w:t>
      </w:r>
    </w:p>
    <w:p>
      <w:pPr>
        <w:snapToGrid w:val="0"/>
        <w:spacing w:line="360" w:lineRule="auto"/>
        <w:ind w:firstLine="484" w:firstLineChars="202"/>
        <w:rPr>
          <w:sz w:val="24"/>
        </w:rPr>
      </w:pPr>
      <w:r>
        <w:rPr>
          <w:sz w:val="24"/>
        </w:rPr>
        <w:t>9</w:t>
      </w:r>
      <w:r>
        <w:rPr>
          <w:rFonts w:hint="eastAsia"/>
          <w:sz w:val="24"/>
        </w:rPr>
        <w:t>.不同投标人委托同一单位或者个人办理投标事宜；</w:t>
      </w:r>
    </w:p>
    <w:p>
      <w:pPr>
        <w:snapToGrid w:val="0"/>
        <w:spacing w:line="360" w:lineRule="auto"/>
        <w:ind w:firstLine="484" w:firstLineChars="202"/>
        <w:rPr>
          <w:sz w:val="24"/>
        </w:rPr>
      </w:pPr>
      <w:r>
        <w:rPr>
          <w:sz w:val="24"/>
        </w:rPr>
        <w:t>10</w:t>
      </w:r>
      <w:r>
        <w:rPr>
          <w:rFonts w:hint="eastAsia"/>
          <w:sz w:val="24"/>
        </w:rPr>
        <w:t>.不同投标人的投标文件载明的项目管理成员或者联系人员为同一人；</w:t>
      </w:r>
    </w:p>
    <w:p>
      <w:pPr>
        <w:snapToGrid w:val="0"/>
        <w:spacing w:line="360" w:lineRule="auto"/>
        <w:ind w:firstLine="484" w:firstLineChars="202"/>
        <w:rPr>
          <w:sz w:val="24"/>
        </w:rPr>
      </w:pPr>
      <w:r>
        <w:rPr>
          <w:sz w:val="24"/>
        </w:rPr>
        <w:t>11</w:t>
      </w:r>
      <w:r>
        <w:rPr>
          <w:rFonts w:hint="eastAsia"/>
          <w:sz w:val="24"/>
        </w:rPr>
        <w:t>.不同投标人的投标文件异常一致或者投标报价呈规律性差异；</w:t>
      </w:r>
    </w:p>
    <w:p>
      <w:pPr>
        <w:snapToGrid w:val="0"/>
        <w:spacing w:line="360" w:lineRule="auto"/>
        <w:ind w:firstLine="484" w:firstLineChars="202"/>
        <w:rPr>
          <w:sz w:val="24"/>
        </w:rPr>
      </w:pPr>
      <w:r>
        <w:rPr>
          <w:sz w:val="24"/>
        </w:rPr>
        <w:t>12</w:t>
      </w:r>
      <w:r>
        <w:rPr>
          <w:rFonts w:hint="eastAsia"/>
          <w:sz w:val="24"/>
        </w:rPr>
        <w:t>.不同投标人的投标文件相互混装。</w:t>
      </w:r>
    </w:p>
    <w:p>
      <w:pPr>
        <w:snapToGrid w:val="0"/>
        <w:spacing w:line="360" w:lineRule="auto"/>
        <w:ind w:firstLine="482" w:firstLineChars="200"/>
        <w:outlineLvl w:val="1"/>
        <w:rPr>
          <w:sz w:val="24"/>
        </w:rPr>
      </w:pPr>
      <w:r>
        <w:rPr>
          <w:rFonts w:hint="eastAsia" w:cs="宋体"/>
          <w:b/>
          <w:bCs/>
          <w:sz w:val="24"/>
        </w:rPr>
        <w:t>七、出现下列情形之一的，作废标处理</w:t>
      </w:r>
    </w:p>
    <w:p>
      <w:pPr>
        <w:snapToGrid w:val="0"/>
        <w:spacing w:line="360" w:lineRule="auto"/>
        <w:ind w:firstLine="480" w:firstLineChars="200"/>
        <w:rPr>
          <w:rFonts w:ascii="宋体" w:hAnsi="宋体"/>
          <w:sz w:val="24"/>
        </w:rPr>
      </w:pPr>
      <w:r>
        <w:rPr>
          <w:rFonts w:ascii="宋体" w:hAnsi="宋体"/>
          <w:sz w:val="24"/>
        </w:rPr>
        <w:t>1</w:t>
      </w:r>
      <w:r>
        <w:rPr>
          <w:rFonts w:hint="eastAsia"/>
          <w:sz w:val="24"/>
        </w:rPr>
        <w:t>.</w:t>
      </w:r>
      <w:r>
        <w:rPr>
          <w:rFonts w:hint="eastAsia" w:ascii="宋体" w:hAnsi="宋体"/>
          <w:sz w:val="24"/>
        </w:rPr>
        <w:t>出现影响招标公正的违法违规行为的；</w:t>
      </w:r>
    </w:p>
    <w:p>
      <w:pPr>
        <w:snapToGrid w:val="0"/>
        <w:spacing w:line="360" w:lineRule="auto"/>
        <w:ind w:firstLine="480" w:firstLineChars="200"/>
        <w:rPr>
          <w:rFonts w:ascii="宋体" w:hAnsi="宋体"/>
          <w:sz w:val="24"/>
        </w:rPr>
      </w:pPr>
      <w:r>
        <w:rPr>
          <w:rFonts w:ascii="宋体" w:hAnsi="宋体"/>
          <w:sz w:val="24"/>
        </w:rPr>
        <w:t>2</w:t>
      </w:r>
      <w:r>
        <w:rPr>
          <w:rFonts w:hint="eastAsia"/>
          <w:sz w:val="24"/>
        </w:rPr>
        <w:t>.</w:t>
      </w:r>
      <w:r>
        <w:rPr>
          <w:rFonts w:hint="eastAsia" w:ascii="宋体" w:hAnsi="宋体"/>
          <w:sz w:val="24"/>
        </w:rPr>
        <w:t>因重大变故，招标任务被取消的；</w:t>
      </w:r>
    </w:p>
    <w:p>
      <w:pPr>
        <w:snapToGrid w:val="0"/>
        <w:spacing w:line="360" w:lineRule="auto"/>
        <w:ind w:firstLine="480" w:firstLineChars="200"/>
        <w:rPr>
          <w:rFonts w:ascii="宋体" w:hAnsi="宋体"/>
          <w:sz w:val="24"/>
        </w:rPr>
      </w:pPr>
      <w:r>
        <w:rPr>
          <w:rFonts w:hint="eastAsia" w:ascii="宋体" w:hAnsi="宋体"/>
          <w:sz w:val="24"/>
        </w:rPr>
        <w:t>3</w:t>
      </w:r>
      <w:r>
        <w:rPr>
          <w:rFonts w:hint="eastAsia"/>
          <w:sz w:val="24"/>
        </w:rPr>
        <w:t>.</w:t>
      </w:r>
      <w:r>
        <w:rPr>
          <w:rFonts w:hint="eastAsia" w:ascii="宋体" w:hAnsi="宋体"/>
          <w:sz w:val="24"/>
        </w:rPr>
        <w:t>评标委员会依据法律法规可以认定为废标的其他情况。</w:t>
      </w:r>
    </w:p>
    <w:p>
      <w:pPr>
        <w:snapToGrid w:val="0"/>
        <w:spacing w:line="360" w:lineRule="auto"/>
        <w:ind w:firstLine="482" w:firstLineChars="200"/>
        <w:outlineLvl w:val="1"/>
        <w:rPr>
          <w:b/>
          <w:bCs/>
          <w:sz w:val="24"/>
        </w:rPr>
      </w:pPr>
      <w:r>
        <w:rPr>
          <w:rFonts w:hint="eastAsia" w:cs="宋体"/>
          <w:b/>
          <w:bCs/>
          <w:sz w:val="24"/>
        </w:rPr>
        <w:t>八、在采购活动中因重大变故，采购任务取消的，采购人或者采购代理机构应当终止采购活动，通知所有参加采购活动的投标人，并将项目实施情况和采购任务取消原因报送本级相关部门。</w:t>
      </w:r>
    </w:p>
    <w:p>
      <w:pPr>
        <w:snapToGrid w:val="0"/>
        <w:spacing w:line="360" w:lineRule="auto"/>
        <w:ind w:firstLine="487" w:firstLineChars="202"/>
        <w:outlineLvl w:val="1"/>
        <w:rPr>
          <w:b/>
          <w:bCs/>
          <w:sz w:val="24"/>
        </w:rPr>
      </w:pPr>
      <w:r>
        <w:rPr>
          <w:rFonts w:hint="eastAsia" w:cs="宋体"/>
          <w:b/>
          <w:bCs/>
          <w:sz w:val="24"/>
        </w:rPr>
        <w:t>九、成交通知</w:t>
      </w:r>
    </w:p>
    <w:p>
      <w:pPr>
        <w:snapToGrid w:val="0"/>
        <w:spacing w:line="360" w:lineRule="auto"/>
        <w:ind w:firstLine="484" w:firstLineChars="202"/>
        <w:rPr>
          <w:sz w:val="24"/>
        </w:rPr>
      </w:pPr>
      <w:r>
        <w:rPr>
          <w:rFonts w:hint="eastAsia"/>
          <w:sz w:val="24"/>
        </w:rPr>
        <w:t>1.开标结束后，采购单位自中标人确定之日起2个工作日内在指定媒体上公告中标结果。</w:t>
      </w:r>
    </w:p>
    <w:p>
      <w:pPr>
        <w:snapToGrid w:val="0"/>
        <w:spacing w:line="360" w:lineRule="auto"/>
        <w:ind w:firstLine="484" w:firstLineChars="202"/>
        <w:rPr>
          <w:sz w:val="24"/>
        </w:rPr>
      </w:pPr>
      <w:r>
        <w:rPr>
          <w:rFonts w:hint="eastAsia"/>
          <w:sz w:val="24"/>
        </w:rPr>
        <w:t>2.中标公告期限为1个工作日，期限结束后采购代理机构向中标人发出《中标通知书》。</w:t>
      </w:r>
    </w:p>
    <w:p>
      <w:pPr>
        <w:snapToGrid w:val="0"/>
        <w:spacing w:line="360" w:lineRule="auto"/>
        <w:ind w:firstLine="484" w:firstLineChars="202"/>
        <w:rPr>
          <w:sz w:val="24"/>
        </w:rPr>
      </w:pPr>
      <w:r>
        <w:rPr>
          <w:rFonts w:hint="eastAsia"/>
          <w:sz w:val="24"/>
        </w:rPr>
        <w:t>3.《中标通知书》一经发出，即具有法律效力。采购人、中标人依法承担法律责任。</w:t>
      </w:r>
    </w:p>
    <w:p>
      <w:pPr>
        <w:pageBreakBefore/>
        <w:adjustRightInd w:val="0"/>
        <w:snapToGrid w:val="0"/>
        <w:spacing w:line="360" w:lineRule="auto"/>
        <w:jc w:val="center"/>
        <w:rPr>
          <w:rFonts w:ascii="宋体" w:hAnsi="宋体" w:cs="宋体"/>
          <w:b/>
          <w:kern w:val="44"/>
          <w:sz w:val="36"/>
          <w:szCs w:val="36"/>
        </w:rPr>
      </w:pPr>
      <w:r>
        <w:rPr>
          <w:rFonts w:hint="eastAsia" w:ascii="宋体" w:hAnsi="宋体" w:cs="宋体"/>
          <w:b/>
          <w:kern w:val="44"/>
          <w:sz w:val="36"/>
          <w:szCs w:val="36"/>
        </w:rPr>
        <w:t>第五章 合同主要条款</w:t>
      </w:r>
    </w:p>
    <w:p>
      <w:pPr>
        <w:widowControl/>
        <w:snapToGrid w:val="0"/>
        <w:ind w:firstLine="640" w:firstLineChars="200"/>
        <w:jc w:val="center"/>
        <w:rPr>
          <w:rFonts w:ascii="方正小标宋简体" w:eastAsia="方正小标宋简体"/>
          <w:sz w:val="32"/>
          <w:szCs w:val="32"/>
        </w:rPr>
      </w:pPr>
      <w:r>
        <w:rPr>
          <w:rFonts w:hint="eastAsia" w:ascii="方正小标宋简体" w:eastAsia="方正小标宋简体"/>
          <w:sz w:val="32"/>
          <w:szCs w:val="32"/>
        </w:rPr>
        <w:t>苏源工业园2号楼电梯采购安装项目采购合同</w:t>
      </w:r>
    </w:p>
    <w:p>
      <w:pPr>
        <w:widowControl/>
        <w:snapToGrid w:val="0"/>
        <w:spacing w:line="400" w:lineRule="exact"/>
        <w:rPr>
          <w:rFonts w:ascii="仿宋" w:hAnsi="仿宋" w:eastAsia="仿宋"/>
          <w:sz w:val="24"/>
        </w:rPr>
      </w:pPr>
      <w:r>
        <w:rPr>
          <w:rFonts w:hint="eastAsia" w:ascii="仿宋" w:hAnsi="仿宋" w:eastAsia="仿宋"/>
          <w:sz w:val="24"/>
        </w:rPr>
        <w:t xml:space="preserve">甲方 : </w:t>
      </w:r>
    </w:p>
    <w:p>
      <w:pPr>
        <w:widowControl/>
        <w:snapToGrid w:val="0"/>
        <w:spacing w:line="400" w:lineRule="exact"/>
        <w:rPr>
          <w:rFonts w:ascii="仿宋" w:hAnsi="仿宋" w:eastAsia="仿宋"/>
          <w:sz w:val="24"/>
        </w:rPr>
      </w:pPr>
      <w:r>
        <w:rPr>
          <w:rFonts w:hint="eastAsia" w:ascii="仿宋" w:hAnsi="仿宋" w:eastAsia="仿宋"/>
          <w:sz w:val="24"/>
        </w:rPr>
        <w:t xml:space="preserve">乙方 : </w:t>
      </w:r>
    </w:p>
    <w:p>
      <w:pPr>
        <w:widowControl/>
        <w:snapToGrid w:val="0"/>
        <w:spacing w:line="400" w:lineRule="exact"/>
        <w:ind w:firstLine="480" w:firstLineChars="200"/>
        <w:rPr>
          <w:rFonts w:ascii="仿宋" w:hAnsi="仿宋" w:eastAsia="仿宋"/>
          <w:sz w:val="24"/>
        </w:rPr>
      </w:pPr>
      <w:r>
        <w:rPr>
          <w:rFonts w:hint="eastAsia" w:ascii="仿宋" w:hAnsi="仿宋" w:eastAsia="仿宋"/>
          <w:sz w:val="24"/>
        </w:rPr>
        <w:t xml:space="preserve">    </w:t>
      </w:r>
      <w:r>
        <w:rPr>
          <w:rFonts w:hint="eastAsia" w:ascii="仿宋_GB2312" w:hAnsi="宋体" w:eastAsia="仿宋_GB2312"/>
          <w:sz w:val="24"/>
          <w:u w:val="single"/>
        </w:rPr>
        <w:t>（甲方）（××项目）</w:t>
      </w:r>
      <w:r>
        <w:rPr>
          <w:rFonts w:hint="eastAsia" w:ascii="仿宋_GB2312" w:hAnsi="宋体" w:eastAsia="仿宋_GB2312"/>
          <w:sz w:val="24"/>
        </w:rPr>
        <w:t>委托</w:t>
      </w:r>
      <w:r>
        <w:rPr>
          <w:rFonts w:hint="eastAsia" w:ascii="仿宋_GB2312" w:hAnsi="宋体" w:eastAsia="仿宋_GB2312"/>
          <w:sz w:val="24"/>
          <w:u w:val="single"/>
        </w:rPr>
        <w:t>（代理机构名称，如有）</w:t>
      </w:r>
      <w:r>
        <w:rPr>
          <w:rFonts w:hint="eastAsia" w:ascii="仿宋_GB2312" w:hAnsi="宋体" w:eastAsia="仿宋_GB2312"/>
          <w:sz w:val="24"/>
        </w:rPr>
        <w:t>进行了本项目的采购工作。按照评委会评审推荐、甲方确定乙方为中标单位。现甲乙双方协商同意签订本合同。</w:t>
      </w:r>
    </w:p>
    <w:p>
      <w:pPr>
        <w:widowControl/>
        <w:numPr>
          <w:ilvl w:val="0"/>
          <w:numId w:val="4"/>
        </w:numPr>
        <w:snapToGrid w:val="0"/>
        <w:spacing w:line="400" w:lineRule="exact"/>
        <w:ind w:left="0" w:firstLine="482" w:firstLineChars="200"/>
        <w:rPr>
          <w:rFonts w:ascii="仿宋" w:hAnsi="仿宋" w:eastAsia="仿宋"/>
          <w:sz w:val="24"/>
          <w:u w:val="single"/>
        </w:rPr>
      </w:pPr>
      <w:r>
        <w:rPr>
          <w:rFonts w:hint="eastAsia" w:ascii="仿宋" w:hAnsi="仿宋" w:eastAsia="仿宋"/>
          <w:b/>
          <w:bCs/>
          <w:sz w:val="24"/>
        </w:rPr>
        <w:t>货物及其数量如下表</w:t>
      </w:r>
      <w:r>
        <w:rPr>
          <w:rFonts w:hint="eastAsia" w:ascii="仿宋" w:hAnsi="仿宋" w:eastAsia="仿宋"/>
          <w:sz w:val="24"/>
        </w:rPr>
        <w:t>：</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3256"/>
        <w:gridCol w:w="769"/>
        <w:gridCol w:w="769"/>
        <w:gridCol w:w="1203"/>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80" w:type="dxa"/>
            <w:vAlign w:val="center"/>
          </w:tcPr>
          <w:p>
            <w:pPr>
              <w:spacing w:line="400" w:lineRule="exact"/>
              <w:jc w:val="center"/>
              <w:rPr>
                <w:rFonts w:ascii="仿宋" w:hAnsi="仿宋" w:eastAsia="仿宋"/>
                <w:sz w:val="24"/>
              </w:rPr>
            </w:pPr>
            <w:r>
              <w:rPr>
                <w:rFonts w:hint="eastAsia" w:ascii="仿宋" w:hAnsi="仿宋" w:eastAsia="仿宋"/>
                <w:sz w:val="24"/>
              </w:rPr>
              <w:t>货物名称</w:t>
            </w:r>
          </w:p>
        </w:tc>
        <w:tc>
          <w:tcPr>
            <w:tcW w:w="3256" w:type="dxa"/>
            <w:vAlign w:val="center"/>
          </w:tcPr>
          <w:p>
            <w:pPr>
              <w:spacing w:line="400" w:lineRule="exact"/>
              <w:jc w:val="center"/>
              <w:rPr>
                <w:rFonts w:ascii="仿宋" w:hAnsi="仿宋" w:eastAsia="仿宋"/>
                <w:sz w:val="24"/>
              </w:rPr>
            </w:pPr>
            <w:r>
              <w:rPr>
                <w:rFonts w:hint="eastAsia" w:ascii="仿宋" w:hAnsi="仿宋" w:eastAsia="仿宋"/>
                <w:sz w:val="24"/>
              </w:rPr>
              <w:t>规格型号</w:t>
            </w:r>
          </w:p>
        </w:tc>
        <w:tc>
          <w:tcPr>
            <w:tcW w:w="769" w:type="dxa"/>
            <w:vAlign w:val="center"/>
          </w:tcPr>
          <w:p>
            <w:pPr>
              <w:spacing w:line="400" w:lineRule="exact"/>
              <w:jc w:val="center"/>
              <w:rPr>
                <w:rFonts w:ascii="仿宋" w:hAnsi="仿宋" w:eastAsia="仿宋"/>
                <w:sz w:val="24"/>
              </w:rPr>
            </w:pPr>
            <w:r>
              <w:rPr>
                <w:rFonts w:hint="eastAsia" w:ascii="仿宋" w:hAnsi="仿宋" w:eastAsia="仿宋"/>
                <w:sz w:val="24"/>
              </w:rPr>
              <w:t>单位</w:t>
            </w:r>
          </w:p>
        </w:tc>
        <w:tc>
          <w:tcPr>
            <w:tcW w:w="769" w:type="dxa"/>
            <w:vAlign w:val="center"/>
          </w:tcPr>
          <w:p>
            <w:pPr>
              <w:spacing w:line="400" w:lineRule="exact"/>
              <w:jc w:val="center"/>
              <w:rPr>
                <w:rFonts w:ascii="仿宋" w:hAnsi="仿宋" w:eastAsia="仿宋"/>
                <w:sz w:val="24"/>
              </w:rPr>
            </w:pPr>
            <w:r>
              <w:rPr>
                <w:rFonts w:hint="eastAsia" w:ascii="仿宋" w:hAnsi="仿宋" w:eastAsia="仿宋"/>
                <w:sz w:val="24"/>
              </w:rPr>
              <w:t>数量</w:t>
            </w:r>
          </w:p>
        </w:tc>
        <w:tc>
          <w:tcPr>
            <w:tcW w:w="1203" w:type="dxa"/>
            <w:vAlign w:val="center"/>
          </w:tcPr>
          <w:p>
            <w:pPr>
              <w:spacing w:line="400" w:lineRule="exact"/>
              <w:jc w:val="center"/>
              <w:rPr>
                <w:rFonts w:ascii="仿宋" w:hAnsi="仿宋" w:eastAsia="仿宋"/>
                <w:sz w:val="24"/>
              </w:rPr>
            </w:pPr>
            <w:r>
              <w:rPr>
                <w:rFonts w:hint="eastAsia" w:ascii="仿宋" w:hAnsi="仿宋" w:eastAsia="仿宋"/>
                <w:sz w:val="24"/>
              </w:rPr>
              <w:t>单价</w:t>
            </w:r>
          </w:p>
        </w:tc>
        <w:tc>
          <w:tcPr>
            <w:tcW w:w="1425" w:type="dxa"/>
            <w:vAlign w:val="center"/>
          </w:tcPr>
          <w:p>
            <w:pPr>
              <w:spacing w:line="400" w:lineRule="exact"/>
              <w:jc w:val="center"/>
              <w:rPr>
                <w:rFonts w:ascii="仿宋" w:hAnsi="仿宋" w:eastAsia="仿宋"/>
                <w:sz w:val="24"/>
              </w:rPr>
            </w:pPr>
            <w:r>
              <w:rPr>
                <w:rFonts w:hint="eastAsia" w:ascii="仿宋" w:hAnsi="仿宋" w:eastAsia="仿宋"/>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80" w:type="dxa"/>
          </w:tcPr>
          <w:p>
            <w:pPr>
              <w:spacing w:line="400" w:lineRule="exact"/>
              <w:rPr>
                <w:rFonts w:ascii="仿宋" w:hAnsi="仿宋" w:eastAsia="仿宋"/>
                <w:sz w:val="24"/>
              </w:rPr>
            </w:pPr>
          </w:p>
        </w:tc>
        <w:tc>
          <w:tcPr>
            <w:tcW w:w="3256" w:type="dxa"/>
          </w:tcPr>
          <w:p>
            <w:pPr>
              <w:spacing w:line="400" w:lineRule="exact"/>
              <w:rPr>
                <w:rFonts w:ascii="仿宋" w:hAnsi="仿宋" w:eastAsia="仿宋"/>
                <w:sz w:val="24"/>
              </w:rPr>
            </w:pPr>
          </w:p>
        </w:tc>
        <w:tc>
          <w:tcPr>
            <w:tcW w:w="769" w:type="dxa"/>
          </w:tcPr>
          <w:p>
            <w:pPr>
              <w:spacing w:line="400" w:lineRule="exact"/>
              <w:rPr>
                <w:rFonts w:ascii="仿宋" w:hAnsi="仿宋" w:eastAsia="仿宋"/>
                <w:sz w:val="24"/>
              </w:rPr>
            </w:pPr>
          </w:p>
        </w:tc>
        <w:tc>
          <w:tcPr>
            <w:tcW w:w="769" w:type="dxa"/>
          </w:tcPr>
          <w:p>
            <w:pPr>
              <w:spacing w:line="400" w:lineRule="exact"/>
              <w:rPr>
                <w:rFonts w:ascii="仿宋" w:hAnsi="仿宋" w:eastAsia="仿宋"/>
                <w:sz w:val="24"/>
              </w:rPr>
            </w:pPr>
          </w:p>
        </w:tc>
        <w:tc>
          <w:tcPr>
            <w:tcW w:w="1203" w:type="dxa"/>
          </w:tcPr>
          <w:p>
            <w:pPr>
              <w:spacing w:line="400" w:lineRule="exact"/>
              <w:rPr>
                <w:rFonts w:ascii="仿宋" w:hAnsi="仿宋" w:eastAsia="仿宋"/>
                <w:sz w:val="24"/>
              </w:rPr>
            </w:pPr>
          </w:p>
        </w:tc>
        <w:tc>
          <w:tcPr>
            <w:tcW w:w="1425" w:type="dxa"/>
          </w:tcPr>
          <w:p>
            <w:pPr>
              <w:spacing w:line="4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80" w:type="dxa"/>
          </w:tcPr>
          <w:p>
            <w:pPr>
              <w:spacing w:line="400" w:lineRule="exact"/>
              <w:rPr>
                <w:rFonts w:ascii="仿宋" w:hAnsi="仿宋" w:eastAsia="仿宋"/>
                <w:sz w:val="24"/>
              </w:rPr>
            </w:pPr>
          </w:p>
        </w:tc>
        <w:tc>
          <w:tcPr>
            <w:tcW w:w="3256" w:type="dxa"/>
          </w:tcPr>
          <w:p>
            <w:pPr>
              <w:spacing w:line="400" w:lineRule="exact"/>
              <w:rPr>
                <w:rFonts w:ascii="仿宋" w:hAnsi="仿宋" w:eastAsia="仿宋"/>
                <w:sz w:val="24"/>
              </w:rPr>
            </w:pPr>
          </w:p>
        </w:tc>
        <w:tc>
          <w:tcPr>
            <w:tcW w:w="769" w:type="dxa"/>
          </w:tcPr>
          <w:p>
            <w:pPr>
              <w:spacing w:line="400" w:lineRule="exact"/>
              <w:rPr>
                <w:rFonts w:ascii="仿宋" w:hAnsi="仿宋" w:eastAsia="仿宋"/>
                <w:sz w:val="24"/>
              </w:rPr>
            </w:pPr>
          </w:p>
        </w:tc>
        <w:tc>
          <w:tcPr>
            <w:tcW w:w="769" w:type="dxa"/>
          </w:tcPr>
          <w:p>
            <w:pPr>
              <w:spacing w:line="400" w:lineRule="exact"/>
              <w:rPr>
                <w:rFonts w:ascii="仿宋" w:hAnsi="仿宋" w:eastAsia="仿宋"/>
                <w:sz w:val="24"/>
              </w:rPr>
            </w:pPr>
          </w:p>
        </w:tc>
        <w:tc>
          <w:tcPr>
            <w:tcW w:w="1203" w:type="dxa"/>
          </w:tcPr>
          <w:p>
            <w:pPr>
              <w:spacing w:line="400" w:lineRule="exact"/>
              <w:rPr>
                <w:rFonts w:ascii="仿宋" w:hAnsi="仿宋" w:eastAsia="仿宋"/>
                <w:sz w:val="24"/>
              </w:rPr>
            </w:pPr>
          </w:p>
        </w:tc>
        <w:tc>
          <w:tcPr>
            <w:tcW w:w="1425" w:type="dxa"/>
          </w:tcPr>
          <w:p>
            <w:pPr>
              <w:spacing w:line="4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80" w:type="dxa"/>
            <w:vAlign w:val="center"/>
          </w:tcPr>
          <w:p>
            <w:pPr>
              <w:spacing w:line="400" w:lineRule="exact"/>
              <w:rPr>
                <w:rFonts w:ascii="仿宋" w:hAnsi="仿宋" w:eastAsia="仿宋"/>
                <w:sz w:val="24"/>
              </w:rPr>
            </w:pPr>
            <w:r>
              <w:rPr>
                <w:rFonts w:hint="eastAsia" w:ascii="仿宋" w:hAnsi="仿宋" w:eastAsia="仿宋"/>
                <w:sz w:val="24"/>
              </w:rPr>
              <w:t>总      计</w:t>
            </w:r>
          </w:p>
        </w:tc>
        <w:tc>
          <w:tcPr>
            <w:tcW w:w="4794" w:type="dxa"/>
            <w:gridSpan w:val="3"/>
            <w:vAlign w:val="center"/>
          </w:tcPr>
          <w:p>
            <w:pPr>
              <w:spacing w:line="400" w:lineRule="exact"/>
              <w:rPr>
                <w:rFonts w:ascii="仿宋" w:hAnsi="仿宋" w:eastAsia="仿宋"/>
                <w:sz w:val="24"/>
              </w:rPr>
            </w:pPr>
            <w:r>
              <w:rPr>
                <w:rFonts w:hint="eastAsia" w:ascii="仿宋" w:hAnsi="仿宋" w:eastAsia="仿宋"/>
                <w:sz w:val="24"/>
              </w:rPr>
              <w:t>（大写）</w:t>
            </w:r>
          </w:p>
        </w:tc>
        <w:tc>
          <w:tcPr>
            <w:tcW w:w="2628" w:type="dxa"/>
            <w:gridSpan w:val="2"/>
            <w:vAlign w:val="center"/>
          </w:tcPr>
          <w:p>
            <w:pPr>
              <w:spacing w:line="400" w:lineRule="exact"/>
              <w:rPr>
                <w:rFonts w:ascii="仿宋" w:hAnsi="仿宋" w:eastAsia="仿宋"/>
                <w:sz w:val="24"/>
              </w:rPr>
            </w:pPr>
            <w:r>
              <w:rPr>
                <w:rFonts w:hint="eastAsia" w:ascii="仿宋" w:hAnsi="仿宋" w:eastAsia="仿宋"/>
                <w:b/>
                <w:bCs/>
                <w:color w:val="333333"/>
                <w:sz w:val="24"/>
              </w:rPr>
              <w:t>￥</w:t>
            </w:r>
          </w:p>
        </w:tc>
      </w:tr>
    </w:tbl>
    <w:p>
      <w:pPr>
        <w:widowControl/>
        <w:numPr>
          <w:ilvl w:val="0"/>
          <w:numId w:val="4"/>
        </w:numPr>
        <w:snapToGrid w:val="0"/>
        <w:spacing w:line="400" w:lineRule="exact"/>
        <w:ind w:left="0" w:firstLine="482" w:firstLineChars="200"/>
        <w:rPr>
          <w:rFonts w:ascii="仿宋" w:hAnsi="仿宋" w:eastAsia="仿宋"/>
          <w:sz w:val="24"/>
        </w:rPr>
      </w:pPr>
      <w:r>
        <w:rPr>
          <w:rFonts w:hint="eastAsia" w:ascii="仿宋" w:hAnsi="仿宋" w:eastAsia="仿宋"/>
          <w:b/>
          <w:bCs/>
          <w:sz w:val="24"/>
        </w:rPr>
        <w:t>质保期</w:t>
      </w:r>
      <w:r>
        <w:rPr>
          <w:rFonts w:hint="eastAsia" w:ascii="仿宋" w:hAnsi="仿宋" w:eastAsia="仿宋"/>
          <w:sz w:val="24"/>
        </w:rPr>
        <w:t>：</w:t>
      </w:r>
      <w:r>
        <w:rPr>
          <w:rFonts w:hint="eastAsia" w:ascii="仿宋" w:hAnsi="仿宋" w:eastAsia="仿宋"/>
          <w:sz w:val="24"/>
          <w:u w:val="single"/>
        </w:rPr>
        <w:t xml:space="preserve">                       </w:t>
      </w:r>
    </w:p>
    <w:p>
      <w:pPr>
        <w:widowControl/>
        <w:numPr>
          <w:ilvl w:val="0"/>
          <w:numId w:val="4"/>
        </w:numPr>
        <w:snapToGrid w:val="0"/>
        <w:spacing w:line="400" w:lineRule="exact"/>
        <w:ind w:left="0" w:firstLine="482" w:firstLineChars="200"/>
        <w:rPr>
          <w:rFonts w:ascii="仿宋" w:hAnsi="仿宋" w:eastAsia="仿宋"/>
          <w:sz w:val="24"/>
        </w:rPr>
      </w:pPr>
      <w:r>
        <w:rPr>
          <w:rFonts w:hint="eastAsia" w:ascii="仿宋" w:hAnsi="仿宋" w:eastAsia="仿宋"/>
          <w:b/>
          <w:bCs/>
          <w:sz w:val="24"/>
        </w:rPr>
        <w:t>交货时间</w:t>
      </w:r>
      <w:r>
        <w:rPr>
          <w:rFonts w:hint="eastAsia" w:ascii="仿宋" w:hAnsi="仿宋" w:eastAsia="仿宋"/>
          <w:sz w:val="24"/>
        </w:rPr>
        <w:t>：</w:t>
      </w:r>
      <w:r>
        <w:rPr>
          <w:rFonts w:hint="eastAsia" w:ascii="仿宋" w:hAnsi="仿宋" w:eastAsia="仿宋"/>
          <w:sz w:val="24"/>
          <w:u w:val="single"/>
        </w:rPr>
        <w:t xml:space="preserve">                     </w:t>
      </w:r>
    </w:p>
    <w:p>
      <w:pPr>
        <w:widowControl/>
        <w:numPr>
          <w:ilvl w:val="0"/>
          <w:numId w:val="4"/>
        </w:numPr>
        <w:snapToGrid w:val="0"/>
        <w:spacing w:line="400" w:lineRule="exact"/>
        <w:ind w:left="0" w:firstLine="482" w:firstLineChars="200"/>
        <w:rPr>
          <w:rFonts w:ascii="仿宋" w:hAnsi="仿宋" w:eastAsia="仿宋"/>
          <w:sz w:val="24"/>
        </w:rPr>
      </w:pPr>
      <w:r>
        <w:rPr>
          <w:rFonts w:hint="eastAsia" w:ascii="仿宋" w:hAnsi="仿宋" w:eastAsia="仿宋"/>
          <w:b/>
          <w:bCs/>
          <w:sz w:val="24"/>
        </w:rPr>
        <w:t>交货地点</w:t>
      </w:r>
      <w:r>
        <w:rPr>
          <w:rFonts w:hint="eastAsia" w:ascii="仿宋" w:hAnsi="仿宋" w:eastAsia="仿宋"/>
          <w:sz w:val="24"/>
        </w:rPr>
        <w:t>：</w:t>
      </w:r>
      <w:r>
        <w:rPr>
          <w:rFonts w:hint="eastAsia" w:ascii="仿宋" w:hAnsi="仿宋" w:eastAsia="仿宋"/>
          <w:sz w:val="24"/>
          <w:u w:val="single"/>
        </w:rPr>
        <w:t xml:space="preserve">                     </w:t>
      </w:r>
    </w:p>
    <w:p>
      <w:pPr>
        <w:widowControl/>
        <w:numPr>
          <w:ilvl w:val="0"/>
          <w:numId w:val="4"/>
        </w:numPr>
        <w:snapToGrid w:val="0"/>
        <w:spacing w:line="400" w:lineRule="exact"/>
        <w:ind w:left="0" w:firstLine="482" w:firstLineChars="200"/>
        <w:rPr>
          <w:rFonts w:ascii="仿宋" w:hAnsi="仿宋" w:eastAsia="仿宋"/>
          <w:sz w:val="24"/>
        </w:rPr>
      </w:pPr>
      <w:r>
        <w:rPr>
          <w:rFonts w:hint="eastAsia" w:ascii="仿宋" w:hAnsi="仿宋" w:eastAsia="仿宋"/>
          <w:b/>
          <w:bCs/>
          <w:sz w:val="24"/>
        </w:rPr>
        <w:t>付款</w:t>
      </w:r>
      <w:r>
        <w:rPr>
          <w:rFonts w:hint="eastAsia" w:ascii="仿宋" w:hAnsi="仿宋" w:eastAsia="仿宋"/>
          <w:sz w:val="24"/>
        </w:rPr>
        <w:t>：全部设备安装完成通过相关部门检测合格后且通过相关负责特种设备安全监督管理的政府部门验收合格（包括所有装潢到位）并提供完整的竣工资料，交付电梯钥匙后，待审计结束后支付至审计价的80%；余款待质保期满一年后一次性付清（无息）。质保期5年（质保期从取得电梯安全检验合格证后30日起计算）。</w:t>
      </w:r>
    </w:p>
    <w:p>
      <w:pPr>
        <w:widowControl/>
        <w:numPr>
          <w:ilvl w:val="0"/>
          <w:numId w:val="4"/>
        </w:numPr>
        <w:snapToGrid w:val="0"/>
        <w:spacing w:line="400" w:lineRule="exact"/>
        <w:ind w:left="0" w:firstLine="482" w:firstLineChars="200"/>
        <w:rPr>
          <w:rFonts w:ascii="仿宋" w:hAnsi="仿宋" w:eastAsia="仿宋"/>
          <w:b/>
          <w:bCs/>
          <w:sz w:val="24"/>
        </w:rPr>
      </w:pPr>
      <w:r>
        <w:rPr>
          <w:rFonts w:hint="eastAsia" w:ascii="仿宋" w:hAnsi="仿宋" w:eastAsia="仿宋"/>
          <w:b/>
          <w:bCs/>
          <w:sz w:val="24"/>
        </w:rPr>
        <w:t>合同纠纷处理：</w:t>
      </w:r>
      <w:r>
        <w:rPr>
          <w:rFonts w:hint="eastAsia" w:ascii="仿宋" w:hAnsi="仿宋" w:eastAsia="仿宋"/>
          <w:sz w:val="24"/>
        </w:rPr>
        <w:t>本合同执行过程中发生纠纷，由甲方和乙方协商处理。</w:t>
      </w:r>
    </w:p>
    <w:p>
      <w:pPr>
        <w:widowControl/>
        <w:numPr>
          <w:ilvl w:val="0"/>
          <w:numId w:val="4"/>
        </w:numPr>
        <w:snapToGrid w:val="0"/>
        <w:spacing w:line="400" w:lineRule="exact"/>
        <w:ind w:left="0" w:firstLine="482" w:firstLineChars="200"/>
        <w:rPr>
          <w:rFonts w:ascii="仿宋" w:hAnsi="仿宋" w:eastAsia="仿宋"/>
          <w:b/>
          <w:bCs/>
          <w:sz w:val="24"/>
        </w:rPr>
      </w:pPr>
      <w:r>
        <w:rPr>
          <w:rFonts w:hint="eastAsia" w:ascii="仿宋" w:hAnsi="仿宋" w:eastAsia="仿宋"/>
          <w:b/>
          <w:bCs/>
          <w:sz w:val="24"/>
        </w:rPr>
        <w:t>合同生效：</w:t>
      </w:r>
      <w:r>
        <w:rPr>
          <w:rFonts w:hint="eastAsia" w:ascii="仿宋" w:hAnsi="仿宋" w:eastAsia="仿宋"/>
          <w:sz w:val="24"/>
        </w:rPr>
        <w:t>本合同由甲乙双方签字盖章后生效。</w:t>
      </w:r>
    </w:p>
    <w:p>
      <w:pPr>
        <w:widowControl/>
        <w:numPr>
          <w:ilvl w:val="0"/>
          <w:numId w:val="4"/>
        </w:numPr>
        <w:snapToGrid w:val="0"/>
        <w:spacing w:line="400" w:lineRule="exact"/>
        <w:ind w:left="0" w:firstLine="482" w:firstLineChars="200"/>
        <w:rPr>
          <w:rFonts w:ascii="仿宋" w:hAnsi="仿宋" w:eastAsia="仿宋"/>
          <w:b/>
          <w:bCs/>
          <w:sz w:val="24"/>
        </w:rPr>
      </w:pPr>
      <w:r>
        <w:rPr>
          <w:rFonts w:hint="eastAsia" w:ascii="仿宋" w:hAnsi="仿宋" w:eastAsia="仿宋"/>
          <w:b/>
          <w:bCs/>
          <w:sz w:val="24"/>
        </w:rPr>
        <w:t>组成本合同的文件包括：</w:t>
      </w:r>
    </w:p>
    <w:p>
      <w:pPr>
        <w:widowControl/>
        <w:snapToGrid w:val="0"/>
        <w:spacing w:line="400" w:lineRule="exact"/>
        <w:ind w:firstLine="480" w:firstLineChars="200"/>
        <w:rPr>
          <w:rFonts w:ascii="仿宋" w:hAnsi="仿宋" w:eastAsia="仿宋"/>
          <w:bCs/>
          <w:sz w:val="24"/>
        </w:rPr>
      </w:pPr>
      <w:r>
        <w:rPr>
          <w:rFonts w:hint="eastAsia" w:ascii="仿宋" w:hAnsi="仿宋" w:eastAsia="仿宋"/>
          <w:bCs/>
          <w:sz w:val="24"/>
        </w:rPr>
        <w:t>1、本合同专用条款；</w:t>
      </w:r>
    </w:p>
    <w:p>
      <w:pPr>
        <w:widowControl/>
        <w:snapToGrid w:val="0"/>
        <w:spacing w:line="400" w:lineRule="exact"/>
        <w:ind w:firstLine="480" w:firstLineChars="200"/>
        <w:rPr>
          <w:rFonts w:ascii="仿宋" w:hAnsi="仿宋" w:eastAsia="仿宋"/>
          <w:bCs/>
          <w:sz w:val="24"/>
        </w:rPr>
      </w:pPr>
      <w:r>
        <w:rPr>
          <w:rFonts w:hint="eastAsia" w:ascii="仿宋" w:hAnsi="仿宋" w:eastAsia="仿宋"/>
          <w:bCs/>
          <w:sz w:val="24"/>
        </w:rPr>
        <w:t>2、甲乙双方商定的其他必要文件。</w:t>
      </w:r>
    </w:p>
    <w:p>
      <w:pPr>
        <w:widowControl/>
        <w:snapToGrid w:val="0"/>
        <w:spacing w:line="400" w:lineRule="exact"/>
        <w:ind w:firstLine="480" w:firstLineChars="200"/>
        <w:rPr>
          <w:rFonts w:ascii="仿宋" w:hAnsi="仿宋" w:eastAsia="仿宋"/>
          <w:bCs/>
          <w:sz w:val="24"/>
        </w:rPr>
      </w:pPr>
      <w:r>
        <w:rPr>
          <w:rFonts w:hint="eastAsia" w:ascii="仿宋" w:hAnsi="仿宋" w:eastAsia="仿宋"/>
          <w:bCs/>
          <w:sz w:val="24"/>
        </w:rPr>
        <w:t>上述合同文件内容互为补充，如有不明确，由甲方负责解释。</w:t>
      </w:r>
    </w:p>
    <w:p>
      <w:pPr>
        <w:widowControl/>
        <w:snapToGrid w:val="0"/>
        <w:spacing w:line="400" w:lineRule="exact"/>
        <w:ind w:firstLine="480" w:firstLineChars="200"/>
        <w:rPr>
          <w:rFonts w:ascii="仿宋" w:hAnsi="仿宋" w:eastAsia="仿宋"/>
          <w:bCs/>
          <w:sz w:val="24"/>
        </w:rPr>
      </w:pPr>
      <w:r>
        <w:rPr>
          <w:rFonts w:hint="eastAsia" w:ascii="仿宋" w:hAnsi="仿宋" w:eastAsia="仿宋"/>
          <w:bCs/>
          <w:sz w:val="24"/>
        </w:rPr>
        <w:t>本合同一式两份，甲方持一份，乙方持一份。</w:t>
      </w:r>
    </w:p>
    <w:tbl>
      <w:tblPr>
        <w:tblStyle w:val="54"/>
        <w:tblW w:w="0" w:type="auto"/>
        <w:tblInd w:w="0" w:type="dxa"/>
        <w:tblLayout w:type="autofit"/>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c>
          <w:tcPr>
            <w:tcW w:w="4261" w:type="dxa"/>
          </w:tcPr>
          <w:p>
            <w:pPr>
              <w:widowControl/>
              <w:snapToGrid w:val="0"/>
              <w:spacing w:line="400" w:lineRule="exact"/>
              <w:ind w:firstLine="482" w:firstLineChars="200"/>
              <w:rPr>
                <w:rFonts w:ascii="仿宋" w:hAnsi="仿宋" w:eastAsia="仿宋"/>
                <w:b/>
                <w:sz w:val="24"/>
                <w:u w:val="single"/>
              </w:rPr>
            </w:pPr>
            <w:r>
              <w:rPr>
                <w:rFonts w:hint="eastAsia" w:ascii="仿宋" w:hAnsi="仿宋" w:eastAsia="仿宋"/>
                <w:b/>
                <w:sz w:val="24"/>
              </w:rPr>
              <w:t>甲方（公章）：</w:t>
            </w:r>
            <w:r>
              <w:rPr>
                <w:rFonts w:hint="eastAsia" w:ascii="仿宋" w:hAnsi="仿宋" w:eastAsia="仿宋"/>
                <w:b/>
                <w:sz w:val="24"/>
                <w:u w:val="single"/>
              </w:rPr>
              <w:t xml:space="preserve">                </w:t>
            </w:r>
          </w:p>
          <w:p>
            <w:pPr>
              <w:widowControl/>
              <w:snapToGrid w:val="0"/>
              <w:spacing w:line="400" w:lineRule="exact"/>
              <w:ind w:firstLine="480" w:firstLineChars="200"/>
              <w:rPr>
                <w:rFonts w:ascii="仿宋" w:hAnsi="仿宋" w:eastAsia="仿宋"/>
                <w:b/>
                <w:sz w:val="24"/>
                <w:u w:val="single"/>
              </w:rPr>
            </w:pPr>
            <w:r>
              <w:rPr>
                <w:rFonts w:hint="eastAsia" w:ascii="仿宋" w:hAnsi="仿宋" w:eastAsia="仿宋"/>
                <w:sz w:val="24"/>
              </w:rPr>
              <w:t>地址：</w:t>
            </w:r>
            <w:r>
              <w:rPr>
                <w:rFonts w:hint="eastAsia" w:ascii="仿宋" w:hAnsi="仿宋" w:eastAsia="仿宋"/>
                <w:sz w:val="24"/>
                <w:u w:val="single"/>
              </w:rPr>
              <w:t xml:space="preserve">                      </w:t>
            </w:r>
            <w:r>
              <w:rPr>
                <w:rFonts w:hint="eastAsia" w:ascii="仿宋" w:hAnsi="仿宋" w:eastAsia="仿宋"/>
                <w:b/>
                <w:sz w:val="24"/>
                <w:u w:val="single"/>
              </w:rPr>
              <w:t xml:space="preserve"> </w:t>
            </w:r>
          </w:p>
          <w:p>
            <w:pPr>
              <w:widowControl/>
              <w:snapToGrid w:val="0"/>
              <w:spacing w:line="400" w:lineRule="exact"/>
              <w:ind w:firstLine="480" w:firstLineChars="200"/>
              <w:rPr>
                <w:rFonts w:ascii="仿宋" w:hAnsi="仿宋" w:eastAsia="仿宋"/>
                <w:sz w:val="24"/>
                <w:u w:val="single"/>
              </w:rPr>
            </w:pPr>
            <w:r>
              <w:rPr>
                <w:rFonts w:hint="eastAsia" w:ascii="仿宋" w:hAnsi="仿宋" w:eastAsia="仿宋"/>
                <w:sz w:val="24"/>
              </w:rPr>
              <w:t>法定代表人（授权人）：</w:t>
            </w:r>
            <w:r>
              <w:rPr>
                <w:rFonts w:hint="eastAsia" w:ascii="仿宋" w:hAnsi="仿宋" w:eastAsia="仿宋"/>
                <w:sz w:val="24"/>
                <w:u w:val="single"/>
              </w:rPr>
              <w:t xml:space="preserve">        </w:t>
            </w:r>
          </w:p>
          <w:p>
            <w:pPr>
              <w:widowControl/>
              <w:snapToGrid w:val="0"/>
              <w:spacing w:line="400" w:lineRule="exact"/>
              <w:ind w:firstLine="480" w:firstLineChars="200"/>
              <w:jc w:val="right"/>
              <w:rPr>
                <w:rFonts w:ascii="仿宋" w:hAnsi="仿宋" w:eastAsia="仿宋"/>
                <w:sz w:val="24"/>
                <w:u w:val="single"/>
              </w:rPr>
            </w:pPr>
          </w:p>
          <w:p>
            <w:pPr>
              <w:widowControl/>
              <w:snapToGrid w:val="0"/>
              <w:spacing w:line="400" w:lineRule="exact"/>
              <w:ind w:firstLine="480" w:firstLineChars="200"/>
              <w:jc w:val="right"/>
              <w:rPr>
                <w:rFonts w:ascii="仿宋" w:hAnsi="仿宋" w:eastAsia="仿宋"/>
                <w:sz w:val="24"/>
                <w:u w:val="single"/>
              </w:rPr>
            </w:pPr>
          </w:p>
          <w:p>
            <w:pPr>
              <w:widowControl/>
              <w:snapToGrid w:val="0"/>
              <w:spacing w:line="400" w:lineRule="exact"/>
              <w:ind w:firstLine="480" w:firstLineChars="200"/>
              <w:jc w:val="right"/>
              <w:rPr>
                <w:rFonts w:ascii="仿宋" w:hAnsi="仿宋" w:eastAsia="仿宋"/>
                <w:sz w:val="24"/>
                <w:u w:val="single"/>
              </w:rPr>
            </w:pPr>
          </w:p>
          <w:p>
            <w:pPr>
              <w:widowControl/>
              <w:snapToGrid w:val="0"/>
              <w:spacing w:line="400" w:lineRule="exact"/>
              <w:ind w:firstLine="480" w:firstLineChars="200"/>
              <w:jc w:val="right"/>
              <w:rPr>
                <w:rFonts w:ascii="仿宋" w:hAnsi="仿宋" w:eastAsia="仿宋"/>
                <w:bCs/>
                <w:sz w:val="24"/>
              </w:rPr>
            </w:pP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tc>
        <w:tc>
          <w:tcPr>
            <w:tcW w:w="4261" w:type="dxa"/>
          </w:tcPr>
          <w:p>
            <w:pPr>
              <w:widowControl/>
              <w:snapToGrid w:val="0"/>
              <w:spacing w:line="400" w:lineRule="exact"/>
              <w:ind w:firstLine="482" w:firstLineChars="200"/>
              <w:rPr>
                <w:rFonts w:ascii="仿宋" w:hAnsi="仿宋" w:eastAsia="仿宋"/>
                <w:b/>
                <w:sz w:val="24"/>
                <w:u w:val="single"/>
              </w:rPr>
            </w:pPr>
            <w:r>
              <w:rPr>
                <w:rFonts w:hint="eastAsia" w:ascii="仿宋" w:hAnsi="仿宋" w:eastAsia="仿宋"/>
                <w:b/>
                <w:sz w:val="24"/>
              </w:rPr>
              <w:t>乙方（公章）：</w:t>
            </w:r>
            <w:r>
              <w:rPr>
                <w:rFonts w:hint="eastAsia" w:ascii="仿宋" w:hAnsi="仿宋" w:eastAsia="仿宋"/>
                <w:b/>
                <w:sz w:val="24"/>
                <w:u w:val="single"/>
              </w:rPr>
              <w:t xml:space="preserve">                </w:t>
            </w:r>
          </w:p>
          <w:p>
            <w:pPr>
              <w:widowControl/>
              <w:snapToGrid w:val="0"/>
              <w:spacing w:line="400" w:lineRule="exact"/>
              <w:ind w:firstLine="480" w:firstLineChars="200"/>
              <w:rPr>
                <w:rFonts w:ascii="仿宋" w:hAnsi="仿宋" w:eastAsia="仿宋"/>
                <w:sz w:val="24"/>
                <w:u w:val="single"/>
              </w:rPr>
            </w:pPr>
            <w:r>
              <w:rPr>
                <w:rFonts w:hint="eastAsia" w:ascii="仿宋" w:hAnsi="仿宋" w:eastAsia="仿宋"/>
                <w:sz w:val="24"/>
              </w:rPr>
              <w:t>地址：</w:t>
            </w:r>
            <w:r>
              <w:rPr>
                <w:rFonts w:hint="eastAsia" w:ascii="仿宋" w:hAnsi="仿宋" w:eastAsia="仿宋"/>
                <w:sz w:val="24"/>
                <w:u w:val="single"/>
              </w:rPr>
              <w:t xml:space="preserve">                       </w:t>
            </w:r>
          </w:p>
          <w:p>
            <w:pPr>
              <w:widowControl/>
              <w:snapToGrid w:val="0"/>
              <w:spacing w:line="400" w:lineRule="exact"/>
              <w:ind w:firstLine="480" w:firstLineChars="200"/>
              <w:rPr>
                <w:rFonts w:ascii="仿宋" w:hAnsi="仿宋" w:eastAsia="仿宋"/>
                <w:sz w:val="24"/>
                <w:u w:val="single"/>
              </w:rPr>
            </w:pPr>
            <w:r>
              <w:rPr>
                <w:rFonts w:hint="eastAsia" w:ascii="仿宋" w:hAnsi="仿宋" w:eastAsia="仿宋"/>
                <w:sz w:val="24"/>
              </w:rPr>
              <w:t>法定代表人（授权人）：</w:t>
            </w:r>
            <w:r>
              <w:rPr>
                <w:rFonts w:hint="eastAsia" w:ascii="仿宋" w:hAnsi="仿宋" w:eastAsia="仿宋"/>
                <w:sz w:val="24"/>
                <w:u w:val="single"/>
              </w:rPr>
              <w:t xml:space="preserve">        </w:t>
            </w:r>
          </w:p>
          <w:p>
            <w:pPr>
              <w:widowControl/>
              <w:snapToGrid w:val="0"/>
              <w:spacing w:line="400" w:lineRule="exact"/>
              <w:ind w:firstLine="480" w:firstLineChars="200"/>
              <w:rPr>
                <w:rFonts w:ascii="仿宋" w:hAnsi="仿宋" w:eastAsia="仿宋"/>
                <w:sz w:val="24"/>
                <w:u w:val="single"/>
              </w:rPr>
            </w:pPr>
            <w:r>
              <w:rPr>
                <w:rFonts w:hint="eastAsia" w:ascii="仿宋" w:hAnsi="仿宋" w:eastAsia="仿宋"/>
                <w:sz w:val="24"/>
              </w:rPr>
              <w:t>户名：</w:t>
            </w:r>
            <w:r>
              <w:rPr>
                <w:rFonts w:hint="eastAsia" w:ascii="仿宋" w:hAnsi="仿宋" w:eastAsia="仿宋"/>
                <w:sz w:val="24"/>
                <w:u w:val="single"/>
              </w:rPr>
              <w:t xml:space="preserve">                       </w:t>
            </w:r>
          </w:p>
          <w:p>
            <w:pPr>
              <w:widowControl/>
              <w:snapToGrid w:val="0"/>
              <w:spacing w:line="400" w:lineRule="exact"/>
              <w:ind w:firstLine="480" w:firstLineChars="200"/>
              <w:rPr>
                <w:rFonts w:ascii="仿宋" w:hAnsi="仿宋" w:eastAsia="仿宋"/>
                <w:sz w:val="24"/>
                <w:u w:val="single"/>
              </w:rPr>
            </w:pPr>
            <w:r>
              <w:rPr>
                <w:rFonts w:hint="eastAsia" w:ascii="仿宋" w:hAnsi="仿宋" w:eastAsia="仿宋"/>
                <w:sz w:val="24"/>
              </w:rPr>
              <w:t>开户银行：</w:t>
            </w:r>
            <w:r>
              <w:rPr>
                <w:rFonts w:hint="eastAsia" w:ascii="仿宋" w:hAnsi="仿宋" w:eastAsia="仿宋"/>
                <w:sz w:val="24"/>
                <w:u w:val="single"/>
              </w:rPr>
              <w:t xml:space="preserve">                   </w:t>
            </w:r>
          </w:p>
          <w:p>
            <w:pPr>
              <w:widowControl/>
              <w:snapToGrid w:val="0"/>
              <w:spacing w:line="400" w:lineRule="exact"/>
              <w:ind w:firstLine="480" w:firstLineChars="200"/>
              <w:rPr>
                <w:rFonts w:ascii="仿宋" w:hAnsi="仿宋" w:eastAsia="仿宋"/>
                <w:sz w:val="24"/>
                <w:u w:val="single"/>
              </w:rPr>
            </w:pPr>
            <w:r>
              <w:rPr>
                <w:rFonts w:hint="eastAsia" w:ascii="仿宋" w:hAnsi="仿宋" w:eastAsia="仿宋"/>
                <w:sz w:val="24"/>
              </w:rPr>
              <w:t>账号：</w:t>
            </w:r>
            <w:r>
              <w:rPr>
                <w:rFonts w:hint="eastAsia" w:ascii="仿宋" w:hAnsi="仿宋" w:eastAsia="仿宋"/>
                <w:sz w:val="24"/>
                <w:u w:val="single"/>
              </w:rPr>
              <w:t xml:space="preserve">                       </w:t>
            </w:r>
          </w:p>
          <w:p>
            <w:pPr>
              <w:widowControl/>
              <w:snapToGrid w:val="0"/>
              <w:spacing w:line="400" w:lineRule="exact"/>
              <w:ind w:firstLine="480" w:firstLineChars="200"/>
              <w:jc w:val="right"/>
              <w:rPr>
                <w:rFonts w:ascii="仿宋" w:hAnsi="仿宋" w:eastAsia="仿宋"/>
                <w:bCs/>
                <w:sz w:val="24"/>
              </w:rPr>
            </w:pP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tc>
      </w:tr>
    </w:tbl>
    <w:p>
      <w:pPr>
        <w:pageBreakBefore/>
        <w:widowControl/>
        <w:snapToGrid w:val="0"/>
        <w:spacing w:line="400" w:lineRule="exact"/>
        <w:ind w:firstLine="482" w:firstLineChars="200"/>
        <w:jc w:val="center"/>
        <w:rPr>
          <w:rFonts w:ascii="仿宋" w:hAnsi="仿宋" w:eastAsia="仿宋"/>
          <w:sz w:val="24"/>
        </w:rPr>
      </w:pPr>
      <w:r>
        <w:rPr>
          <w:rFonts w:hint="eastAsia" w:ascii="仿宋" w:hAnsi="仿宋" w:eastAsia="仿宋"/>
          <w:b/>
          <w:bCs/>
          <w:sz w:val="24"/>
          <w:u w:val="double"/>
        </w:rPr>
        <w:t>合同专用条款</w:t>
      </w:r>
    </w:p>
    <w:p>
      <w:pPr>
        <w:spacing w:line="400" w:lineRule="exact"/>
        <w:ind w:firstLine="482" w:firstLineChars="200"/>
        <w:rPr>
          <w:rFonts w:ascii="仿宋" w:hAnsi="仿宋" w:eastAsia="仿宋"/>
          <w:b/>
          <w:sz w:val="24"/>
        </w:rPr>
      </w:pPr>
      <w:r>
        <w:rPr>
          <w:rFonts w:hint="eastAsia" w:ascii="仿宋" w:hAnsi="仿宋" w:eastAsia="仿宋"/>
          <w:b/>
          <w:sz w:val="24"/>
        </w:rPr>
        <w:t>第一条 供货及知识产权</w:t>
      </w:r>
    </w:p>
    <w:p>
      <w:pPr>
        <w:spacing w:line="400" w:lineRule="exact"/>
        <w:ind w:firstLine="480" w:firstLineChars="200"/>
        <w:rPr>
          <w:rFonts w:ascii="仿宋" w:hAnsi="仿宋" w:eastAsia="仿宋"/>
          <w:sz w:val="24"/>
        </w:rPr>
      </w:pPr>
      <w:r>
        <w:rPr>
          <w:rFonts w:ascii="仿宋" w:hAnsi="仿宋" w:eastAsia="仿宋"/>
          <w:sz w:val="24"/>
        </w:rPr>
        <w:t>乙方应按</w:t>
      </w:r>
      <w:r>
        <w:rPr>
          <w:rFonts w:hint="eastAsia" w:ascii="仿宋" w:hAnsi="仿宋" w:eastAsia="仿宋"/>
          <w:sz w:val="24"/>
        </w:rPr>
        <w:t>询价</w:t>
      </w:r>
      <w:r>
        <w:rPr>
          <w:rFonts w:ascii="仿宋" w:hAnsi="仿宋" w:eastAsia="仿宋"/>
          <w:sz w:val="24"/>
        </w:rPr>
        <w:t>文件规定</w:t>
      </w:r>
      <w:r>
        <w:rPr>
          <w:rFonts w:hint="eastAsia" w:ascii="仿宋" w:hAnsi="仿宋" w:eastAsia="仿宋"/>
          <w:sz w:val="24"/>
        </w:rPr>
        <w:t>及响应文件承诺</w:t>
      </w:r>
      <w:r>
        <w:rPr>
          <w:rFonts w:ascii="仿宋" w:hAnsi="仿宋" w:eastAsia="仿宋"/>
          <w:sz w:val="24"/>
        </w:rPr>
        <w:t>的货物性能、技术要求、质量标准向甲方提供未经使用的全新产品。乙</w:t>
      </w:r>
      <w:r>
        <w:rPr>
          <w:rFonts w:hint="eastAsia" w:ascii="仿宋" w:hAnsi="仿宋" w:eastAsia="仿宋"/>
          <w:sz w:val="24"/>
        </w:rPr>
        <w:t>方应保证甲方在使用、接受本合同货物和服务或其任何一部分时不受第三方提出侵犯其专利权、版权、商标权和工业设计权等知识产权的起诉。一旦出现侵权，由乙方负全部责任。</w:t>
      </w:r>
    </w:p>
    <w:p>
      <w:pPr>
        <w:spacing w:line="400" w:lineRule="exact"/>
        <w:ind w:firstLine="482" w:firstLineChars="200"/>
        <w:rPr>
          <w:rFonts w:ascii="仿宋" w:hAnsi="仿宋" w:eastAsia="仿宋"/>
          <w:sz w:val="24"/>
        </w:rPr>
      </w:pPr>
      <w:r>
        <w:rPr>
          <w:rFonts w:hint="eastAsia" w:ascii="仿宋" w:hAnsi="仿宋" w:eastAsia="仿宋"/>
          <w:b/>
          <w:sz w:val="24"/>
        </w:rPr>
        <w:t xml:space="preserve">第二条 合同总价款    </w:t>
      </w:r>
      <w:r>
        <w:rPr>
          <w:rFonts w:hint="eastAsia" w:ascii="仿宋" w:hAnsi="仿宋" w:eastAsia="仿宋"/>
          <w:sz w:val="24"/>
        </w:rPr>
        <w:t xml:space="preserve"> </w:t>
      </w:r>
    </w:p>
    <w:p>
      <w:pPr>
        <w:spacing w:line="400" w:lineRule="exact"/>
        <w:ind w:firstLine="480" w:firstLineChars="200"/>
        <w:rPr>
          <w:rFonts w:ascii="仿宋" w:hAnsi="仿宋" w:eastAsia="仿宋"/>
          <w:sz w:val="24"/>
        </w:rPr>
      </w:pPr>
      <w:r>
        <w:rPr>
          <w:rFonts w:hint="eastAsia" w:ascii="仿宋" w:hAnsi="仿宋" w:eastAsia="仿宋"/>
          <w:sz w:val="24"/>
        </w:rPr>
        <w:t>本合同总价款是货物设计、制造、包装、仓储、运输、安装及验收合格之前及保修期内备品备件发生的所有含税费用。本合同总价款还包含乙方应当提供的伴随服务/售后服务费用。</w:t>
      </w:r>
    </w:p>
    <w:p>
      <w:pPr>
        <w:spacing w:line="400" w:lineRule="exact"/>
        <w:ind w:firstLine="482" w:firstLineChars="200"/>
        <w:rPr>
          <w:rFonts w:ascii="仿宋" w:hAnsi="仿宋" w:eastAsia="仿宋"/>
          <w:b/>
          <w:sz w:val="24"/>
        </w:rPr>
      </w:pPr>
      <w:r>
        <w:rPr>
          <w:rFonts w:hint="eastAsia" w:ascii="仿宋" w:hAnsi="仿宋" w:eastAsia="仿宋"/>
          <w:b/>
          <w:sz w:val="24"/>
        </w:rPr>
        <w:t>第三条 质量保证期内的技术支持与售后服务</w:t>
      </w:r>
    </w:p>
    <w:p>
      <w:pPr>
        <w:spacing w:line="400" w:lineRule="exact"/>
        <w:ind w:firstLine="480" w:firstLineChars="200"/>
        <w:rPr>
          <w:rFonts w:ascii="仿宋" w:hAnsi="仿宋" w:eastAsia="仿宋"/>
          <w:sz w:val="24"/>
        </w:rPr>
      </w:pPr>
      <w:r>
        <w:rPr>
          <w:rFonts w:hint="eastAsia" w:ascii="仿宋" w:hAnsi="仿宋" w:eastAsia="仿宋"/>
          <w:sz w:val="24"/>
        </w:rPr>
        <w:t>1.所提供产品应包含不少于</w:t>
      </w:r>
      <w:r>
        <w:rPr>
          <w:rFonts w:hint="eastAsia" w:ascii="仿宋" w:hAnsi="仿宋" w:eastAsia="仿宋"/>
          <w:sz w:val="24"/>
          <w:u w:val="single"/>
        </w:rPr>
        <w:t xml:space="preserve">   </w:t>
      </w:r>
      <w:r>
        <w:rPr>
          <w:rFonts w:hint="eastAsia" w:ascii="仿宋" w:hAnsi="仿宋" w:eastAsia="仿宋"/>
          <w:sz w:val="24"/>
        </w:rPr>
        <w:t>年的整机（含全部部件）免费上门保修服务，质量保证期从设备安装验收合格开始计算。</w:t>
      </w:r>
    </w:p>
    <w:p>
      <w:pPr>
        <w:spacing w:line="400" w:lineRule="exact"/>
        <w:ind w:firstLine="480" w:firstLineChars="200"/>
        <w:rPr>
          <w:rFonts w:ascii="仿宋" w:hAnsi="仿宋" w:eastAsia="仿宋"/>
          <w:sz w:val="24"/>
        </w:rPr>
      </w:pPr>
      <w:r>
        <w:rPr>
          <w:rFonts w:hint="eastAsia" w:ascii="仿宋" w:hAnsi="仿宋" w:eastAsia="仿宋"/>
          <w:sz w:val="24"/>
        </w:rPr>
        <w:t>2.在质量保证期内厂商应自行处理保修凭证问题，采购人不负责提供产品的保修卡、发票等保修凭证。</w:t>
      </w:r>
    </w:p>
    <w:p>
      <w:pPr>
        <w:spacing w:line="400" w:lineRule="exact"/>
        <w:ind w:firstLine="480" w:firstLineChars="200"/>
        <w:rPr>
          <w:rFonts w:ascii="仿宋" w:hAnsi="仿宋" w:eastAsia="仿宋"/>
          <w:sz w:val="24"/>
        </w:rPr>
      </w:pPr>
      <w:r>
        <w:rPr>
          <w:rFonts w:hint="eastAsia" w:ascii="仿宋" w:hAnsi="仿宋" w:eastAsia="仿宋"/>
          <w:sz w:val="24"/>
        </w:rPr>
        <w:t>3.应针对本项目指定专人作为售后联系人，7*8小时负责协调产品销售以及售后问题。</w:t>
      </w:r>
    </w:p>
    <w:p>
      <w:pPr>
        <w:spacing w:line="400" w:lineRule="exact"/>
        <w:ind w:firstLine="480" w:firstLineChars="200"/>
        <w:rPr>
          <w:rFonts w:ascii="仿宋" w:hAnsi="仿宋" w:eastAsia="仿宋"/>
          <w:sz w:val="24"/>
        </w:rPr>
      </w:pPr>
      <w:r>
        <w:rPr>
          <w:rFonts w:hint="eastAsia" w:ascii="仿宋" w:hAnsi="仿宋" w:eastAsia="仿宋"/>
          <w:sz w:val="24"/>
        </w:rPr>
        <w:t>4.应在质量保证期内，免费故障报修电话为7*24小时，当设备发生故障后，乙方须在第一次接到报修电话后派出维修人员于2小时内到达现场进行抢修，一般故障应在4小时内修复，重大故障的修复时间不得超过24小时（上述修理时间应视具体故障情况而定）。此款“修复”，是指从发现设备或系统发生故障并通知有关成交供应商后，经过相应的技术服务使设备或系统继续正常提供系统服务，才视为“修复”。</w:t>
      </w:r>
    </w:p>
    <w:p>
      <w:pPr>
        <w:spacing w:line="400" w:lineRule="exact"/>
        <w:ind w:firstLine="480" w:firstLineChars="200"/>
        <w:rPr>
          <w:rFonts w:ascii="仿宋" w:hAnsi="仿宋" w:eastAsia="仿宋"/>
          <w:sz w:val="24"/>
        </w:rPr>
      </w:pPr>
      <w:r>
        <w:rPr>
          <w:rFonts w:hint="eastAsia" w:ascii="仿宋" w:hAnsi="仿宋" w:eastAsia="仿宋"/>
          <w:sz w:val="24"/>
        </w:rPr>
        <w:t>5.在质量保证期内，未能在规定时间内修复情况下主动提供免费备机服务。</w:t>
      </w:r>
    </w:p>
    <w:p>
      <w:pPr>
        <w:spacing w:line="400" w:lineRule="exact"/>
        <w:ind w:firstLine="480" w:firstLineChars="200"/>
        <w:rPr>
          <w:rFonts w:ascii="仿宋" w:hAnsi="仿宋" w:eastAsia="仿宋"/>
          <w:sz w:val="24"/>
        </w:rPr>
      </w:pPr>
      <w:r>
        <w:rPr>
          <w:rFonts w:hint="eastAsia" w:ascii="仿宋" w:hAnsi="仿宋" w:eastAsia="仿宋"/>
          <w:sz w:val="24"/>
        </w:rPr>
        <w:t>6.在质量保证期内更换的任何配件，须为原设备厂家生产的；并且保证替代的零配件是新的未使用过和未经修复的。</w:t>
      </w:r>
    </w:p>
    <w:p>
      <w:pPr>
        <w:spacing w:line="400" w:lineRule="exact"/>
        <w:ind w:firstLine="480" w:firstLineChars="200"/>
        <w:rPr>
          <w:rFonts w:ascii="仿宋" w:hAnsi="仿宋" w:eastAsia="仿宋"/>
          <w:sz w:val="24"/>
        </w:rPr>
      </w:pPr>
      <w:r>
        <w:rPr>
          <w:rFonts w:hint="eastAsia" w:ascii="仿宋" w:hAnsi="仿宋" w:eastAsia="仿宋"/>
          <w:sz w:val="24"/>
        </w:rPr>
        <w:t>7. 提供的产品若有设计缺陷，应主动召回。</w:t>
      </w:r>
    </w:p>
    <w:p>
      <w:pPr>
        <w:spacing w:line="400" w:lineRule="exact"/>
        <w:ind w:firstLine="480" w:firstLineChars="200"/>
        <w:rPr>
          <w:rFonts w:ascii="仿宋" w:hAnsi="仿宋" w:eastAsia="仿宋"/>
          <w:sz w:val="24"/>
        </w:rPr>
      </w:pPr>
      <w:r>
        <w:rPr>
          <w:rFonts w:hint="eastAsia" w:ascii="仿宋" w:hAnsi="仿宋" w:eastAsia="仿宋"/>
          <w:sz w:val="24"/>
        </w:rPr>
        <w:t>8. 在质量保证期内，供应商应提供每年度技术巡检服务，巡检内容应包含：对设备使用状况的调查、升级软件、为机器除尘，故障预防工作。并向采购人提供巡检记录以及巡检报告。</w:t>
      </w:r>
    </w:p>
    <w:p>
      <w:pPr>
        <w:spacing w:line="400" w:lineRule="exact"/>
        <w:ind w:firstLine="480" w:firstLineChars="200"/>
        <w:rPr>
          <w:rFonts w:ascii="仿宋" w:hAnsi="仿宋" w:eastAsia="仿宋"/>
          <w:sz w:val="24"/>
        </w:rPr>
      </w:pPr>
      <w:r>
        <w:rPr>
          <w:rFonts w:hint="eastAsia" w:ascii="仿宋" w:hAnsi="仿宋" w:eastAsia="仿宋"/>
          <w:sz w:val="24"/>
        </w:rPr>
        <w:t>9.软件免费维护和升级服务的内容，供应商可根据自身情况，提供相应的软件服务方案。</w:t>
      </w:r>
    </w:p>
    <w:p>
      <w:pPr>
        <w:spacing w:line="400" w:lineRule="exact"/>
        <w:ind w:firstLine="480" w:firstLineChars="200"/>
        <w:rPr>
          <w:rFonts w:ascii="仿宋" w:hAnsi="仿宋" w:eastAsia="仿宋"/>
          <w:sz w:val="24"/>
        </w:rPr>
      </w:pPr>
      <w:r>
        <w:rPr>
          <w:rFonts w:hint="eastAsia" w:ascii="仿宋" w:hAnsi="仿宋" w:eastAsia="仿宋"/>
          <w:sz w:val="24"/>
        </w:rPr>
        <w:t>10.损坏的信息存储介质不得收回，应免费由用户保留。</w:t>
      </w:r>
    </w:p>
    <w:p>
      <w:pPr>
        <w:spacing w:line="400" w:lineRule="exact"/>
        <w:ind w:firstLine="482" w:firstLineChars="200"/>
        <w:rPr>
          <w:rFonts w:ascii="仿宋" w:hAnsi="仿宋" w:eastAsia="仿宋"/>
          <w:b/>
          <w:sz w:val="24"/>
        </w:rPr>
      </w:pPr>
      <w:r>
        <w:rPr>
          <w:rFonts w:hint="eastAsia" w:ascii="仿宋" w:hAnsi="仿宋" w:eastAsia="仿宋"/>
          <w:b/>
          <w:sz w:val="24"/>
        </w:rPr>
        <w:t>第四条 质量保证期外的技术支持与服务</w:t>
      </w:r>
    </w:p>
    <w:p>
      <w:pPr>
        <w:spacing w:line="400" w:lineRule="exact"/>
        <w:ind w:firstLine="480" w:firstLineChars="200"/>
        <w:rPr>
          <w:rFonts w:ascii="仿宋" w:hAnsi="仿宋" w:eastAsia="仿宋"/>
          <w:sz w:val="24"/>
        </w:rPr>
      </w:pPr>
      <w:r>
        <w:rPr>
          <w:rFonts w:hint="eastAsia" w:ascii="仿宋" w:hAnsi="仿宋" w:eastAsia="仿宋"/>
          <w:sz w:val="24"/>
        </w:rPr>
        <w:t>按乙方询价响应文件执行。</w:t>
      </w:r>
    </w:p>
    <w:p>
      <w:pPr>
        <w:spacing w:line="400" w:lineRule="exact"/>
        <w:ind w:firstLine="482" w:firstLineChars="200"/>
        <w:rPr>
          <w:rFonts w:ascii="仿宋" w:hAnsi="仿宋" w:eastAsia="仿宋"/>
          <w:b/>
          <w:sz w:val="24"/>
        </w:rPr>
      </w:pPr>
      <w:r>
        <w:rPr>
          <w:rFonts w:hint="eastAsia" w:ascii="仿宋" w:hAnsi="仿宋" w:eastAsia="仿宋"/>
          <w:b/>
          <w:sz w:val="24"/>
        </w:rPr>
        <w:t>第五条 交货和验收</w:t>
      </w:r>
    </w:p>
    <w:p>
      <w:pPr>
        <w:spacing w:line="400" w:lineRule="exact"/>
        <w:ind w:firstLine="480" w:firstLineChars="200"/>
        <w:rPr>
          <w:rFonts w:ascii="仿宋" w:hAnsi="仿宋" w:eastAsia="仿宋"/>
          <w:sz w:val="24"/>
        </w:rPr>
      </w:pPr>
      <w:r>
        <w:rPr>
          <w:rFonts w:hint="eastAsia" w:ascii="仿宋" w:hAnsi="仿宋" w:eastAsia="仿宋"/>
          <w:sz w:val="24"/>
        </w:rPr>
        <w:t>1、乙方应按照本合同规定的时间、地点和方式向甲方交付货物。</w:t>
      </w:r>
    </w:p>
    <w:p>
      <w:pPr>
        <w:spacing w:line="400" w:lineRule="exact"/>
        <w:ind w:firstLine="480" w:firstLineChars="200"/>
        <w:rPr>
          <w:rFonts w:ascii="仿宋" w:hAnsi="仿宋" w:eastAsia="仿宋"/>
          <w:sz w:val="24"/>
        </w:rPr>
      </w:pPr>
      <w:r>
        <w:rPr>
          <w:rFonts w:hint="eastAsia" w:ascii="仿宋" w:hAnsi="仿宋" w:eastAsia="仿宋"/>
          <w:sz w:val="24"/>
        </w:rPr>
        <w:t>2、乙方交付的货物应当完全符合本合同所规定的货物、数量和规格要求。 乙方提供的货物不符合合同规定的，甲方有权拒收货物，由此引起的风险，由乙方承担。</w:t>
      </w:r>
    </w:p>
    <w:p>
      <w:pPr>
        <w:spacing w:line="400" w:lineRule="exact"/>
        <w:ind w:firstLine="480" w:firstLineChars="200"/>
        <w:rPr>
          <w:rFonts w:ascii="仿宋" w:hAnsi="仿宋" w:eastAsia="仿宋"/>
          <w:sz w:val="24"/>
        </w:rPr>
      </w:pPr>
      <w:r>
        <w:rPr>
          <w:rFonts w:hint="eastAsia" w:ascii="仿宋" w:hAnsi="仿宋" w:eastAsia="仿宋"/>
          <w:sz w:val="24"/>
        </w:rPr>
        <w:t>3、甲方应当在到货后五日内对货物进行验收，</w:t>
      </w:r>
      <w:r>
        <w:rPr>
          <w:rFonts w:ascii="仿宋" w:hAnsi="仿宋" w:eastAsia="仿宋"/>
          <w:sz w:val="24"/>
        </w:rPr>
        <w:t>验收包括：型号、规格、数量、外观质量、及货物包装</w:t>
      </w:r>
      <w:r>
        <w:rPr>
          <w:rFonts w:hint="eastAsia" w:ascii="仿宋" w:hAnsi="仿宋" w:eastAsia="仿宋"/>
          <w:sz w:val="24"/>
        </w:rPr>
        <w:t>是否完好，安装调试是否合格。所提供货物的装箱清单、用户手册、原厂保修卡、随机资料及配件、随机工具等是否齐全。验收合格后甲方应在验收记录上签字盖章。</w:t>
      </w:r>
    </w:p>
    <w:p>
      <w:pPr>
        <w:spacing w:line="400" w:lineRule="exact"/>
        <w:ind w:firstLine="482" w:firstLineChars="200"/>
        <w:rPr>
          <w:rFonts w:ascii="仿宋" w:hAnsi="仿宋" w:eastAsia="仿宋"/>
          <w:b/>
          <w:sz w:val="24"/>
        </w:rPr>
      </w:pPr>
      <w:r>
        <w:rPr>
          <w:rFonts w:hint="eastAsia" w:ascii="仿宋" w:hAnsi="仿宋" w:eastAsia="仿宋"/>
          <w:b/>
          <w:sz w:val="24"/>
        </w:rPr>
        <w:t>第六条 货款支付</w:t>
      </w:r>
    </w:p>
    <w:p>
      <w:pPr>
        <w:widowControl/>
        <w:snapToGrid w:val="0"/>
        <w:spacing w:line="400" w:lineRule="exact"/>
        <w:ind w:firstLine="480" w:firstLineChars="200"/>
        <w:rPr>
          <w:rFonts w:ascii="仿宋" w:hAnsi="仿宋" w:eastAsia="仿宋"/>
          <w:sz w:val="24"/>
        </w:rPr>
      </w:pPr>
      <w:r>
        <w:rPr>
          <w:rFonts w:hint="eastAsia" w:ascii="仿宋" w:hAnsi="仿宋" w:eastAsia="仿宋"/>
          <w:sz w:val="24"/>
        </w:rPr>
        <w:t>全部设备安装完成通过相关部门检测合格后且通过相关负责特种设备安全监督管理的政府部门验收合格（包括所有装潢到位）并提供完整的竣工资料，交付电梯钥匙后，待审计结束后支付至审计价的80%；余款待质保期满一年后一次性付清（无息）。质保期5年（质保期从取得电梯安全检验合格证后30日起计算）。</w:t>
      </w:r>
    </w:p>
    <w:p>
      <w:pPr>
        <w:spacing w:line="400" w:lineRule="exact"/>
        <w:ind w:firstLine="482" w:firstLineChars="200"/>
        <w:rPr>
          <w:rFonts w:ascii="仿宋" w:hAnsi="仿宋" w:eastAsia="仿宋"/>
          <w:b/>
          <w:sz w:val="24"/>
        </w:rPr>
      </w:pPr>
      <w:r>
        <w:rPr>
          <w:rFonts w:hint="eastAsia" w:ascii="仿宋" w:hAnsi="仿宋" w:eastAsia="仿宋"/>
          <w:b/>
          <w:sz w:val="24"/>
        </w:rPr>
        <w:t>第七条 违约责任</w:t>
      </w:r>
    </w:p>
    <w:p>
      <w:pPr>
        <w:spacing w:line="400" w:lineRule="exact"/>
        <w:ind w:firstLine="480" w:firstLineChars="200"/>
        <w:rPr>
          <w:rFonts w:ascii="仿宋" w:hAnsi="仿宋" w:eastAsia="仿宋"/>
          <w:sz w:val="24"/>
        </w:rPr>
      </w:pPr>
      <w:r>
        <w:rPr>
          <w:rFonts w:hint="eastAsia" w:ascii="仿宋" w:hAnsi="仿宋" w:eastAsia="仿宋"/>
          <w:sz w:val="24"/>
        </w:rPr>
        <w:t>1、甲方无正当理由拒收货物、拒付货物款的，由甲方向乙方偿付合同总价的5%违约金。</w:t>
      </w:r>
    </w:p>
    <w:p>
      <w:pPr>
        <w:spacing w:line="400" w:lineRule="exact"/>
        <w:ind w:firstLine="480" w:firstLineChars="200"/>
        <w:rPr>
          <w:rFonts w:ascii="仿宋" w:hAnsi="仿宋" w:eastAsia="仿宋"/>
          <w:sz w:val="24"/>
        </w:rPr>
      </w:pPr>
      <w:r>
        <w:rPr>
          <w:rFonts w:hint="eastAsia" w:ascii="仿宋" w:hAnsi="仿宋" w:eastAsia="仿宋"/>
          <w:sz w:val="24"/>
        </w:rPr>
        <w:t>2、甲方未按合同规定的期限向乙方支付货款的，每逾期1天甲方向乙方偿付欠款总额的5‰滞纳金，但累计滞纳金总额不超过欠款总额的5% 。</w:t>
      </w:r>
    </w:p>
    <w:p>
      <w:pPr>
        <w:spacing w:line="400" w:lineRule="exact"/>
        <w:ind w:firstLine="480" w:firstLineChars="200"/>
        <w:rPr>
          <w:rFonts w:ascii="仿宋" w:hAnsi="仿宋" w:eastAsia="仿宋"/>
          <w:sz w:val="24"/>
        </w:rPr>
      </w:pPr>
      <w:r>
        <w:rPr>
          <w:rFonts w:hint="eastAsia" w:ascii="仿宋" w:hAnsi="仿宋" w:eastAsia="仿宋"/>
          <w:sz w:val="24"/>
        </w:rPr>
        <w:t>3、如乙方不能交付货物，甲方有权扣留全部履约保证金；同时乙方应向甲方支付合同总价５％的违约金。</w:t>
      </w:r>
    </w:p>
    <w:p>
      <w:pPr>
        <w:spacing w:line="400" w:lineRule="exact"/>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乙方逾期交付货物的，每逾期1天，乙方向甲方偿付逾期交货部分货款总额的5‰的滞纳金</w:t>
      </w:r>
      <w:r>
        <w:rPr>
          <w:rFonts w:hint="eastAsia" w:ascii="仿宋" w:hAnsi="仿宋" w:eastAsia="仿宋"/>
          <w:sz w:val="24"/>
        </w:rPr>
        <w:t>。如乙方逾期交货达10天，甲方有权解除合同，解除合同的通知自到达乙方时生效。</w:t>
      </w:r>
    </w:p>
    <w:p>
      <w:pPr>
        <w:spacing w:line="400" w:lineRule="exact"/>
        <w:ind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乙方所交</w:t>
      </w:r>
      <w:r>
        <w:rPr>
          <w:rFonts w:hint="eastAsia" w:ascii="仿宋" w:hAnsi="仿宋" w:eastAsia="仿宋"/>
          <w:sz w:val="24"/>
        </w:rPr>
        <w:t>付</w:t>
      </w:r>
      <w:r>
        <w:rPr>
          <w:rFonts w:ascii="仿宋" w:hAnsi="仿宋" w:eastAsia="仿宋"/>
          <w:sz w:val="24"/>
        </w:rPr>
        <w:t>的货物品种、型号、规格不符合合同规定的，甲方有权拒收。</w:t>
      </w:r>
      <w:r>
        <w:rPr>
          <w:rFonts w:hint="eastAsia" w:ascii="仿宋" w:hAnsi="仿宋" w:eastAsia="仿宋"/>
          <w:sz w:val="24"/>
        </w:rPr>
        <w:t>甲方拒收的，</w:t>
      </w:r>
      <w:r>
        <w:rPr>
          <w:rFonts w:ascii="仿宋" w:hAnsi="仿宋" w:eastAsia="仿宋"/>
          <w:sz w:val="24"/>
        </w:rPr>
        <w:t>乙方</w:t>
      </w:r>
      <w:r>
        <w:rPr>
          <w:rFonts w:hint="eastAsia" w:ascii="仿宋" w:hAnsi="仿宋" w:eastAsia="仿宋"/>
          <w:sz w:val="24"/>
        </w:rPr>
        <w:t>应</w:t>
      </w:r>
      <w:r>
        <w:rPr>
          <w:rFonts w:ascii="仿宋" w:hAnsi="仿宋" w:eastAsia="仿宋"/>
          <w:sz w:val="24"/>
        </w:rPr>
        <w:t>向甲方支付货款总额5%的违约金。</w:t>
      </w:r>
    </w:p>
    <w:p>
      <w:pPr>
        <w:spacing w:line="400" w:lineRule="exact"/>
        <w:ind w:firstLine="480" w:firstLineChars="200"/>
        <w:rPr>
          <w:rFonts w:ascii="仿宋" w:hAnsi="仿宋" w:eastAsia="仿宋"/>
          <w:sz w:val="24"/>
        </w:rPr>
      </w:pPr>
      <w:r>
        <w:rPr>
          <w:rFonts w:hint="eastAsia" w:ascii="仿宋" w:hAnsi="仿宋" w:eastAsia="仿宋"/>
          <w:sz w:val="24"/>
        </w:rPr>
        <w:t>6、在乙方承诺的或国家规定的质量保证期内（取两者中最长的期限），</w:t>
      </w:r>
      <w:r>
        <w:rPr>
          <w:rFonts w:ascii="仿宋" w:hAnsi="仿宋" w:eastAsia="仿宋"/>
          <w:sz w:val="24"/>
        </w:rPr>
        <w:t>如经乙方两次维修</w:t>
      </w:r>
      <w:r>
        <w:rPr>
          <w:rFonts w:hint="eastAsia" w:ascii="仿宋" w:hAnsi="仿宋" w:eastAsia="仿宋"/>
          <w:sz w:val="24"/>
        </w:rPr>
        <w:t>或更换</w:t>
      </w:r>
      <w:r>
        <w:rPr>
          <w:rFonts w:ascii="仿宋" w:hAnsi="仿宋" w:eastAsia="仿宋"/>
          <w:sz w:val="24"/>
        </w:rPr>
        <w:t>，货物仍不能达到合同约定</w:t>
      </w:r>
      <w:r>
        <w:rPr>
          <w:rFonts w:hint="eastAsia" w:ascii="仿宋" w:hAnsi="仿宋" w:eastAsia="仿宋"/>
          <w:sz w:val="24"/>
        </w:rPr>
        <w:t>的</w:t>
      </w:r>
      <w:r>
        <w:rPr>
          <w:rFonts w:ascii="仿宋" w:hAnsi="仿宋" w:eastAsia="仿宋"/>
          <w:sz w:val="24"/>
        </w:rPr>
        <w:t>质量标准，甲方有权退货，乙方</w:t>
      </w:r>
      <w:r>
        <w:rPr>
          <w:rFonts w:hint="eastAsia" w:ascii="仿宋" w:hAnsi="仿宋" w:eastAsia="仿宋"/>
          <w:sz w:val="24"/>
        </w:rPr>
        <w:t>应</w:t>
      </w:r>
      <w:r>
        <w:rPr>
          <w:rFonts w:ascii="仿宋" w:hAnsi="仿宋" w:eastAsia="仿宋"/>
          <w:sz w:val="24"/>
        </w:rPr>
        <w:t>退回全部货款，并按第3款处理，同时，乙方还须赔偿甲方因此遭受的损失。</w:t>
      </w:r>
    </w:p>
    <w:p>
      <w:pPr>
        <w:spacing w:line="400" w:lineRule="exact"/>
        <w:ind w:firstLine="480" w:firstLineChars="200"/>
        <w:rPr>
          <w:rFonts w:ascii="仿宋" w:hAnsi="仿宋" w:eastAsia="仿宋"/>
          <w:sz w:val="24"/>
        </w:rPr>
      </w:pPr>
      <w:r>
        <w:rPr>
          <w:rFonts w:hint="eastAsia" w:ascii="仿宋" w:hAnsi="仿宋" w:eastAsia="仿宋"/>
          <w:sz w:val="24"/>
        </w:rPr>
        <w:t>7、乙方未按本合同的规定和服务承诺提供服务的，应按合同总价款的_3_%向甲方承担违约责任。</w:t>
      </w:r>
    </w:p>
    <w:p>
      <w:pPr>
        <w:spacing w:line="400" w:lineRule="exact"/>
        <w:ind w:firstLine="482" w:firstLineChars="200"/>
        <w:rPr>
          <w:rFonts w:ascii="仿宋" w:hAnsi="仿宋" w:eastAsia="仿宋"/>
          <w:b/>
          <w:sz w:val="24"/>
        </w:rPr>
      </w:pPr>
      <w:r>
        <w:rPr>
          <w:rFonts w:hint="eastAsia" w:ascii="仿宋" w:hAnsi="仿宋" w:eastAsia="仿宋"/>
          <w:b/>
          <w:sz w:val="24"/>
        </w:rPr>
        <w:t>第八条 合同的变更和终止</w:t>
      </w:r>
    </w:p>
    <w:p>
      <w:pPr>
        <w:snapToGrid w:val="0"/>
        <w:spacing w:line="400" w:lineRule="exact"/>
        <w:ind w:firstLine="480" w:firstLineChars="200"/>
        <w:jc w:val="left"/>
        <w:rPr>
          <w:rFonts w:ascii="仿宋" w:hAnsi="仿宋" w:eastAsia="仿宋"/>
          <w:sz w:val="24"/>
        </w:rPr>
      </w:pPr>
      <w:r>
        <w:rPr>
          <w:rFonts w:hint="eastAsia" w:ascii="仿宋" w:hAnsi="仿宋" w:eastAsia="仿宋"/>
          <w:sz w:val="24"/>
        </w:rPr>
        <w:t>本合同一经签订，甲乙双方不得擅自变更、中止或终止合同。</w:t>
      </w:r>
    </w:p>
    <w:p>
      <w:pPr>
        <w:spacing w:line="400" w:lineRule="exact"/>
        <w:ind w:firstLine="482" w:firstLineChars="200"/>
        <w:rPr>
          <w:rFonts w:ascii="仿宋" w:hAnsi="仿宋" w:eastAsia="仿宋"/>
          <w:b/>
          <w:sz w:val="24"/>
        </w:rPr>
      </w:pPr>
      <w:r>
        <w:rPr>
          <w:rFonts w:hint="eastAsia" w:ascii="仿宋" w:hAnsi="仿宋" w:eastAsia="仿宋"/>
          <w:b/>
          <w:sz w:val="24"/>
        </w:rPr>
        <w:t>第十三条 合同的转让</w:t>
      </w:r>
    </w:p>
    <w:p>
      <w:pPr>
        <w:spacing w:line="400" w:lineRule="exact"/>
        <w:ind w:firstLine="480" w:firstLineChars="200"/>
        <w:rPr>
          <w:rFonts w:ascii="仿宋" w:hAnsi="仿宋" w:eastAsia="仿宋"/>
          <w:sz w:val="24"/>
        </w:rPr>
      </w:pPr>
      <w:r>
        <w:rPr>
          <w:rFonts w:hint="eastAsia" w:ascii="仿宋" w:hAnsi="仿宋" w:eastAsia="仿宋"/>
          <w:sz w:val="24"/>
        </w:rPr>
        <w:t>乙方不得擅自部分或全部转让其应履行的合同义务。</w:t>
      </w:r>
    </w:p>
    <w:p>
      <w:pPr>
        <w:spacing w:line="400" w:lineRule="exact"/>
        <w:ind w:firstLine="482" w:firstLineChars="200"/>
        <w:rPr>
          <w:rFonts w:ascii="仿宋" w:hAnsi="仿宋" w:eastAsia="仿宋"/>
          <w:b/>
          <w:sz w:val="24"/>
        </w:rPr>
      </w:pPr>
      <w:r>
        <w:rPr>
          <w:rFonts w:hint="eastAsia" w:ascii="仿宋" w:hAnsi="仿宋" w:eastAsia="仿宋"/>
          <w:b/>
          <w:sz w:val="24"/>
        </w:rPr>
        <w:t>第十四条 争议的解决</w:t>
      </w:r>
    </w:p>
    <w:p>
      <w:pPr>
        <w:spacing w:line="400" w:lineRule="exact"/>
        <w:ind w:firstLine="480" w:firstLineChars="200"/>
        <w:rPr>
          <w:rFonts w:ascii="仿宋" w:hAnsi="仿宋" w:eastAsia="仿宋"/>
          <w:sz w:val="24"/>
        </w:rPr>
      </w:pPr>
      <w:r>
        <w:rPr>
          <w:rFonts w:hint="eastAsia" w:ascii="仿宋" w:hAnsi="仿宋" w:eastAsia="仿宋"/>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spacing w:line="400" w:lineRule="exact"/>
        <w:ind w:firstLine="480" w:firstLineChars="200"/>
        <w:rPr>
          <w:rFonts w:ascii="仿宋" w:hAnsi="仿宋" w:eastAsia="仿宋"/>
          <w:sz w:val="24"/>
        </w:rPr>
      </w:pPr>
      <w:r>
        <w:rPr>
          <w:rFonts w:hint="eastAsia" w:ascii="仿宋" w:hAnsi="仿宋" w:eastAsia="仿宋"/>
          <w:sz w:val="24"/>
        </w:rPr>
        <w:t>2、因履行本合同引起的或与本合同有关的争议，甲、乙双方应首先通过友好协商解决，如果协商不能解决争议，向南通市仲裁委员会按其仲裁规则申请仲裁。</w:t>
      </w:r>
    </w:p>
    <w:p>
      <w:pPr>
        <w:spacing w:line="400" w:lineRule="exact"/>
        <w:ind w:firstLine="482" w:firstLineChars="200"/>
        <w:rPr>
          <w:rFonts w:ascii="仿宋" w:hAnsi="仿宋" w:eastAsia="仿宋"/>
          <w:b/>
          <w:sz w:val="24"/>
        </w:rPr>
      </w:pPr>
      <w:r>
        <w:rPr>
          <w:rFonts w:hint="eastAsia" w:ascii="仿宋" w:hAnsi="仿宋" w:eastAsia="仿宋"/>
          <w:b/>
          <w:sz w:val="24"/>
        </w:rPr>
        <w:t>第十五条 合同生效及其他</w:t>
      </w:r>
    </w:p>
    <w:p>
      <w:pPr>
        <w:spacing w:line="400" w:lineRule="exact"/>
        <w:ind w:firstLine="480" w:firstLineChars="200"/>
        <w:outlineLvl w:val="0"/>
        <w:rPr>
          <w:rFonts w:ascii="仿宋" w:hAnsi="仿宋" w:eastAsia="仿宋"/>
          <w:sz w:val="24"/>
        </w:rPr>
      </w:pPr>
      <w:r>
        <w:rPr>
          <w:rFonts w:hint="eastAsia" w:ascii="仿宋" w:hAnsi="仿宋" w:eastAsia="仿宋"/>
          <w:sz w:val="24"/>
        </w:rPr>
        <w:t>1、本合同自签订之日起生效。</w:t>
      </w:r>
    </w:p>
    <w:p>
      <w:pPr>
        <w:spacing w:line="400" w:lineRule="exact"/>
        <w:ind w:firstLine="480" w:firstLineChars="200"/>
        <w:outlineLvl w:val="0"/>
        <w:rPr>
          <w:rFonts w:ascii="仿宋" w:hAnsi="仿宋" w:eastAsia="仿宋"/>
          <w:sz w:val="24"/>
        </w:rPr>
      </w:pPr>
      <w:r>
        <w:rPr>
          <w:rFonts w:hint="eastAsia" w:ascii="仿宋" w:hAnsi="仿宋" w:eastAsia="仿宋"/>
          <w:sz w:val="24"/>
        </w:rPr>
        <w:t>2、履约保证金在履约验收合格后七个工作日内无息退还。</w:t>
      </w:r>
    </w:p>
    <w:p>
      <w:pPr>
        <w:pStyle w:val="205"/>
        <w:tabs>
          <w:tab w:val="clear" w:pos="1654"/>
        </w:tabs>
        <w:spacing w:line="360" w:lineRule="auto"/>
        <w:ind w:firstLine="880" w:firstLineChars="200"/>
        <w:jc w:val="both"/>
        <w:textAlignment w:val="baseline"/>
        <w:rPr>
          <w:rFonts w:ascii="方正小标宋简体" w:eastAsia="方正小标宋简体"/>
          <w:bCs/>
          <w:color w:val="auto"/>
          <w:kern w:val="2"/>
          <w:sz w:val="44"/>
          <w:szCs w:val="28"/>
        </w:rPr>
      </w:pPr>
      <w:r>
        <w:rPr>
          <w:rFonts w:ascii="方正小标宋简体" w:eastAsia="方正小标宋简体"/>
          <w:bCs/>
          <w:color w:val="auto"/>
          <w:kern w:val="2"/>
          <w:sz w:val="44"/>
          <w:szCs w:val="28"/>
        </w:rPr>
        <w:br w:type="page"/>
      </w:r>
    </w:p>
    <w:p>
      <w:pPr>
        <w:spacing w:line="36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项目安全生产管理协议</w:t>
      </w: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b/>
          <w:sz w:val="24"/>
          <w:u w:val="single"/>
        </w:rPr>
      </w:pPr>
      <w:r>
        <w:rPr>
          <w:rFonts w:hint="eastAsia" w:ascii="仿宋_GB2312" w:hAnsi="仿宋_GB2312" w:eastAsia="仿宋_GB2312" w:cs="仿宋_GB2312"/>
          <w:b/>
          <w:sz w:val="24"/>
        </w:rPr>
        <w:t>甲方（全称）：</w:t>
      </w:r>
      <w:r>
        <w:rPr>
          <w:rFonts w:hint="eastAsia" w:ascii="仿宋_GB2312" w:hAnsi="仿宋_GB2312" w:eastAsia="仿宋_GB2312" w:cs="仿宋_GB2312"/>
          <w:b/>
          <w:sz w:val="24"/>
          <w:u w:val="single"/>
        </w:rPr>
        <w:t xml:space="preserve">                       </w:t>
      </w:r>
    </w:p>
    <w:p>
      <w:pPr>
        <w:spacing w:line="360" w:lineRule="auto"/>
        <w:rPr>
          <w:rFonts w:ascii="仿宋_GB2312" w:hAnsi="仿宋_GB2312" w:eastAsia="仿宋_GB2312" w:cs="仿宋_GB2312"/>
          <w:b/>
          <w:sz w:val="24"/>
          <w:u w:val="single"/>
        </w:rPr>
      </w:pPr>
      <w:r>
        <w:rPr>
          <w:rFonts w:hint="eastAsia" w:ascii="仿宋_GB2312" w:hAnsi="仿宋_GB2312" w:eastAsia="仿宋_GB2312" w:cs="仿宋_GB2312"/>
          <w:b/>
          <w:sz w:val="24"/>
        </w:rPr>
        <w:t>乙方（全称）：</w:t>
      </w:r>
      <w:r>
        <w:rPr>
          <w:rFonts w:hint="eastAsia" w:ascii="仿宋_GB2312" w:hAnsi="仿宋_GB2312" w:eastAsia="仿宋_GB2312" w:cs="仿宋_GB2312"/>
          <w:b/>
          <w:sz w:val="24"/>
          <w:u w:val="single"/>
        </w:rPr>
        <w:t xml:space="preserve">                       </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依据《中华人民共和国民法典》、《中华人民共和国安全生产法》及其他有关法律、法规，为了保证甲乙双方生产安全，防止生产安全事故发生，明确双方的安全生产管理职责和应当采取的安全措施，经双方共同协商一致，就乙方在甲方工作期间的安全管理工作签订本协议如下： </w:t>
      </w:r>
    </w:p>
    <w:p>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 xml:space="preserve">一、维保项目概况 </w:t>
      </w:r>
    </w:p>
    <w:p>
      <w:pPr>
        <w:spacing w:line="360" w:lineRule="auto"/>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1、项目名称：</w:t>
      </w:r>
      <w:r>
        <w:rPr>
          <w:rFonts w:hint="eastAsia" w:ascii="仿宋_GB2312" w:hAnsi="仿宋_GB2312" w:eastAsia="仿宋_GB2312" w:cs="仿宋_GB2312"/>
          <w:sz w:val="24"/>
          <w:u w:val="single"/>
        </w:rPr>
        <w:t xml:space="preserve">                             </w:t>
      </w:r>
    </w:p>
    <w:p>
      <w:pPr>
        <w:spacing w:line="360" w:lineRule="auto"/>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2、项目地址：</w:t>
      </w:r>
      <w:r>
        <w:rPr>
          <w:rFonts w:hint="eastAsia" w:ascii="仿宋_GB2312" w:hAnsi="仿宋_GB2312" w:eastAsia="仿宋_GB2312" w:cs="仿宋_GB2312"/>
          <w:sz w:val="24"/>
          <w:u w:val="single"/>
        </w:rPr>
        <w:t xml:space="preserve">                             </w:t>
      </w:r>
    </w:p>
    <w:p>
      <w:pPr>
        <w:spacing w:line="360" w:lineRule="auto"/>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3、项目范围：</w:t>
      </w:r>
      <w:r>
        <w:rPr>
          <w:rFonts w:hint="eastAsia" w:ascii="仿宋_GB2312" w:hAnsi="仿宋_GB2312" w:eastAsia="仿宋_GB2312" w:cs="仿宋_GB2312"/>
          <w:sz w:val="24"/>
          <w:u w:val="single"/>
        </w:rPr>
        <w:t xml:space="preserve">                             </w:t>
      </w:r>
    </w:p>
    <w:p>
      <w:pPr>
        <w:spacing w:line="360" w:lineRule="auto"/>
        <w:rPr>
          <w:rFonts w:ascii="仿宋_GB2312" w:hAnsi="仿宋_GB2312" w:eastAsia="仿宋_GB2312" w:cs="仿宋_GB2312"/>
          <w:sz w:val="24"/>
        </w:rPr>
      </w:pPr>
      <w:r>
        <w:rPr>
          <w:rFonts w:hint="eastAsia" w:ascii="仿宋_GB2312" w:hAnsi="仿宋_GB2312" w:eastAsia="仿宋_GB2312" w:cs="仿宋_GB2312"/>
          <w:b/>
          <w:sz w:val="24"/>
        </w:rPr>
        <w:t>二、乙方现场负责人及安全生产管理人员：</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乙方现场负责人: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；安全生产管理人员：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 xml:space="preserve">三、甲方的责任与权利 </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甲方有权审查乙方编制的服务方案和服务期间采取的安全措施，监督、检查乙方在服务期间项目安全措施的执行情况（甲方的审查、监督并不免除或减轻乙方在编制和执行安全措施上的任何义务和责任）；乙方应遵守国家法律法规和甲方安全生产管理规定，因管理不善、操作不当等原因发生各种安全事故，以及由此给甲方及第三人造成人身损害和财产损失，全部由乙方承担赔偿责任。</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3、甲方有权审查乙方资质，对不具备资质或资质与工作内容不相符的，有权拒绝为其办理任何施工手续。</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4、甲方对乙方所制定的安全施工方案和安全技术措施进行审查、审批和检查落实，对无方案、无措施及措施落实不到位的有权要求乙方停止施工作业，限期整改，并根据具体情况按甲方有关规定进行处理。</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5、甲方有权对乙方服务、作业的工作区域、工作内容进行安全监督和检查，对检查发现的安全隐患，甲方有权下发《隐患整改通知单》，责令乙方进行整改。对安全隐患整改不力或有可能危及人身安全情况的，甲方有权制止乙方的服务作业。 </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6、甲方有权对乙方所有特种作业人员持证情况进行检查验证，并进行备案管理。</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7、对乙方的违章操作行为或不服从甲方管理的行为，甲方有权依据有关规定给予约谈。对乙方不服从甲方管理或拒不改正的，甲方有权解除或要求发包人（委托人）解除与乙方签订的有关维保合同（主合同）。    </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8、乙方在施工中如发生重大人身、设备安全事故，甲方有权进行单方面组织调查处理；并有权要求乙方停工并提供事故调查书面结论及处理意见。</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9、甲方安全部门发现以下情况，有权要求乙方立即停工整顿，因停工造成的违约责任和损失由乙方承担，同时有权向乙方追索赔偿： </w:t>
      </w:r>
    </w:p>
    <w:p>
      <w:pPr>
        <w:spacing w:line="360" w:lineRule="auto"/>
        <w:ind w:firstLine="360" w:firstLineChars="150"/>
        <w:rPr>
          <w:rFonts w:ascii="仿宋_GB2312" w:hAnsi="仿宋_GB2312" w:eastAsia="仿宋_GB2312" w:cs="仿宋_GB2312"/>
          <w:sz w:val="24"/>
        </w:rPr>
      </w:pPr>
      <w:r>
        <w:rPr>
          <w:rFonts w:hint="eastAsia" w:ascii="仿宋_GB2312" w:hAnsi="仿宋_GB2312" w:eastAsia="仿宋_GB2312" w:cs="仿宋_GB2312"/>
          <w:sz w:val="24"/>
        </w:rPr>
        <w:t xml:space="preserve">（1）人身伤亡事故； </w:t>
      </w:r>
    </w:p>
    <w:p>
      <w:pPr>
        <w:spacing w:line="360" w:lineRule="auto"/>
        <w:ind w:firstLine="360" w:firstLineChars="150"/>
        <w:rPr>
          <w:rFonts w:ascii="仿宋_GB2312" w:hAnsi="仿宋_GB2312" w:eastAsia="仿宋_GB2312" w:cs="仿宋_GB2312"/>
          <w:sz w:val="24"/>
        </w:rPr>
      </w:pPr>
      <w:r>
        <w:rPr>
          <w:rFonts w:hint="eastAsia" w:ascii="仿宋_GB2312" w:hAnsi="仿宋_GB2312" w:eastAsia="仿宋_GB2312" w:cs="仿宋_GB2312"/>
          <w:sz w:val="24"/>
        </w:rPr>
        <w:t>（2）发生施工机械、生产主设备严重损坏事故；</w:t>
      </w:r>
    </w:p>
    <w:p>
      <w:pPr>
        <w:spacing w:line="360" w:lineRule="auto"/>
        <w:ind w:firstLine="360" w:firstLineChars="150"/>
        <w:rPr>
          <w:rFonts w:ascii="仿宋_GB2312" w:hAnsi="仿宋_GB2312" w:eastAsia="仿宋_GB2312" w:cs="仿宋_GB2312"/>
          <w:sz w:val="24"/>
        </w:rPr>
      </w:pPr>
      <w:r>
        <w:rPr>
          <w:rFonts w:hint="eastAsia" w:ascii="仿宋_GB2312" w:hAnsi="仿宋_GB2312" w:eastAsia="仿宋_GB2312" w:cs="仿宋_GB2312"/>
          <w:sz w:val="24"/>
        </w:rPr>
        <w:t xml:space="preserve">（3）发生施工火灾事故； </w:t>
      </w:r>
    </w:p>
    <w:p>
      <w:pPr>
        <w:spacing w:line="360" w:lineRule="auto"/>
        <w:ind w:firstLine="360" w:firstLineChars="150"/>
        <w:rPr>
          <w:rFonts w:ascii="仿宋_GB2312" w:hAnsi="仿宋_GB2312" w:eastAsia="仿宋_GB2312" w:cs="仿宋_GB2312"/>
          <w:sz w:val="24"/>
        </w:rPr>
      </w:pPr>
      <w:r>
        <w:rPr>
          <w:rFonts w:hint="eastAsia" w:ascii="仿宋_GB2312" w:hAnsi="仿宋_GB2312" w:eastAsia="仿宋_GB2312" w:cs="仿宋_GB2312"/>
          <w:sz w:val="24"/>
        </w:rPr>
        <w:t xml:space="preserve">（4）发生违章作业、冒险作业不听劝告； </w:t>
      </w:r>
    </w:p>
    <w:p>
      <w:pPr>
        <w:spacing w:line="360" w:lineRule="auto"/>
        <w:ind w:firstLine="360" w:firstLineChars="150"/>
        <w:rPr>
          <w:rFonts w:ascii="仿宋_GB2312" w:hAnsi="仿宋_GB2312" w:eastAsia="仿宋_GB2312" w:cs="仿宋_GB2312"/>
          <w:sz w:val="24"/>
        </w:rPr>
      </w:pPr>
      <w:r>
        <w:rPr>
          <w:rFonts w:hint="eastAsia" w:ascii="仿宋_GB2312" w:hAnsi="仿宋_GB2312" w:eastAsia="仿宋_GB2312" w:cs="仿宋_GB2312"/>
          <w:sz w:val="24"/>
        </w:rPr>
        <w:t>（5）施工现场脏、乱、差，不能满足安全和文明施工要求；</w:t>
      </w:r>
    </w:p>
    <w:p>
      <w:pPr>
        <w:spacing w:line="360" w:lineRule="auto"/>
        <w:ind w:firstLine="360" w:firstLineChars="150"/>
        <w:rPr>
          <w:rFonts w:ascii="仿宋_GB2312" w:hAnsi="仿宋_GB2312" w:eastAsia="仿宋_GB2312" w:cs="仿宋_GB2312"/>
          <w:sz w:val="24"/>
        </w:rPr>
      </w:pPr>
      <w:r>
        <w:rPr>
          <w:rFonts w:hint="eastAsia" w:ascii="仿宋_GB2312" w:hAnsi="仿宋_GB2312" w:eastAsia="仿宋_GB2312" w:cs="仿宋_GB2312"/>
          <w:sz w:val="24"/>
        </w:rPr>
        <w:t>（6）未按规定办理特种作业票据；</w:t>
      </w:r>
    </w:p>
    <w:p>
      <w:pPr>
        <w:spacing w:line="360" w:lineRule="auto"/>
        <w:ind w:firstLine="360" w:firstLineChars="150"/>
        <w:rPr>
          <w:rFonts w:ascii="仿宋_GB2312" w:hAnsi="仿宋_GB2312" w:eastAsia="仿宋_GB2312" w:cs="仿宋_GB2312"/>
          <w:sz w:val="24"/>
        </w:rPr>
      </w:pPr>
      <w:r>
        <w:rPr>
          <w:rFonts w:hint="eastAsia" w:ascii="仿宋_GB2312" w:hAnsi="仿宋_GB2312" w:eastAsia="仿宋_GB2312" w:cs="仿宋_GB2312"/>
          <w:sz w:val="24"/>
        </w:rPr>
        <w:t>（7）其他可能发生安全事故或存在安全隐患的情形。</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10、甲方不得要求乙方违反安全管理规定进行施工。 </w:t>
      </w:r>
    </w:p>
    <w:p>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五、乙方的责任与权利</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1、乙方应认真贯彻执行国家安全生产政策、法规、国家标准、行业标准、安全技术操作规程以及甲方制定的各项安全生产管理制度，自觉遵守本协议。</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2、乙方负责人是本项目的安全生产第一责任人，对本协议安全生产负全责。</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3、乙方应接受甲方对乙方安全生产资质的审查，按照甲方规定进行登记，办理相关手续。</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4、乙方应建立安全组织机构，设置专职安全生产管理人员，健全现场安全生产责任制及相应的安全奖惩办法。</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5、乙方的项目负责人、专（兼）职安全生产管理人员和特种作业人员应按照国家有关规定经过培训考核合格后，持证上岗，并将岗位证复印件交送甲方备查。</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6、乙方应按照国家有关法律、法规合法用工，严禁使用有职业禁忌、患有妨碍工作病症的人员以及未成年人员。严禁使用患有传染病、精神病的人员。严禁使用身份不明的人员。</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7、乙方应根据所项目的特点编制服务方案，制定相应的安全技术措施，达到一定规模的危险性较大的应编制专项服务方案。服务方案需经过甲方审核通过。</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8、乙方负责人及管理人员应做好所属工作人员的安全教育和安全技术交底工作，未经安全教育培训的不得上岗作业。 </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9、乙方必须为所属人员依法缴纳工伤保险，办理意外伤害保险，支付保险费，并将保单复印件交给甲方备案。 </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10、乙方在服务作业中涉及危险作业时，应按照相关作业规范和甲方所制定的相关管理规定办理作业审批手续。</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11、乙方应购置配备安全防护设备和劳动保护用品，其使用要求符合国家标准，对不合格的，甲方有权要求整改，并进行相关处理。</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12、乙方投入服务项目的全部机械设备及各类工具，必须经检验合格，符合国家相关标准，遵守相关操作规程。</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13、乙方应在作业时应设临时围栏、警告标志，不得超越指定的作业范围进行作业，禁止无关人员进入作业现场。未经甲方同意，乙方不得擅自使用与服务项目无关的甲方设施设备；不得擅自拆除、变更甲方防护设施及标识，如因工作需要拆除的，事后必须及时恢复原状。 </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14、乙方要做好作业现场的安全检查工作，自觉接受甲方安全、环境监督和检查，对安全隐患及时整改。对甲方检查后下达的安全隐患整改通知应无条件按要求整改。</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15、在作业过程中，若甲方人员违章指挥，强令冒险作业，乙方有权拒绝执行。</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16、乙方应采取措施，控制或处理作业过程中所产生的粉尘、废气、废水、固体废物和噪声对环境的污染和危害。 </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17、乙方须及时或定期清理作业现场垃圾、废旧物品，要做到作业现场清洁。</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18、乙方在作业过程中如发生安全事故，应按照国家有关伤亡事故报告和调查处理的规定，及时如实上报；生产安全事故发生后，乙方应当采取措施防止事故扩大，保护现场。按照国家有关规定和事故处理“四不放过”的原则进行调查、处理，做好事故的善后处理工作。同时必须明确事故的责任主体为乙方，不得将经济损失和矛盾转移到甲方，不得隐瞒事故不报。</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19、在乙方进入甲方工作期间，因乙方人员违反有关安全生产规章制度，导致发生安全事故、火灾等事故、治安案件及刑事案件的，情节严重的交由政府有关部门处理。由乙方承担由此引发的全部责任，并承担由此给甲方及第三方造成的全部损失。 </w:t>
      </w:r>
    </w:p>
    <w:p>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 xml:space="preserve">六、其他要求 </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如乙方的原因被政府部门处罚的，其罚款均从乙方合同款中扣除。若乙方不服从甲方安全管理或乙方严重违章作业、野蛮施工、管理混乱等，甲方有权立即责令乙方停止作业，并解除或终止与乙方的合同，限期撤场，并不再与乙方签约。</w:t>
      </w:r>
    </w:p>
    <w:p>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七、其他事宜</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1、本协议作为主合同的附件，与主合同具有同等效力，期限与主合同一致，如果主合同期限有变动，本协议期限也随之变动，主合同终止或解除以后，本协议也随之终止或解除。 </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2、本协议的所有条款由各方进行了充分的协商。甲方已提请乙方对协议内容作全面、准确的理解。甲方已应乙方的要求对上述条款作出相应的说明。签约各方对本协议条款的理解完全一致。</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3、本协议签订后，因国家法律法规修改需要对协议进行修订的，双方应及时补充完善。</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4、本协议自双方签字盖章之日起生效，一式二份，甲、乙双方各执一份。 </w:t>
      </w:r>
    </w:p>
    <w:p>
      <w:pPr>
        <w:spacing w:line="480" w:lineRule="auto"/>
        <w:rPr>
          <w:rFonts w:ascii="仿宋_GB2312" w:hAnsi="仿宋_GB2312" w:eastAsia="仿宋_GB2312" w:cs="仿宋_GB2312"/>
          <w:sz w:val="24"/>
        </w:rPr>
      </w:pPr>
    </w:p>
    <w:p>
      <w:pPr>
        <w:spacing w:line="480" w:lineRule="auto"/>
        <w:rPr>
          <w:rFonts w:ascii="仿宋_GB2312" w:hAnsi="仿宋_GB2312" w:eastAsia="仿宋_GB2312" w:cs="仿宋_GB2312"/>
          <w:sz w:val="24"/>
        </w:rPr>
      </w:pPr>
      <w:r>
        <w:rPr>
          <w:rFonts w:hint="eastAsia" w:ascii="仿宋_GB2312" w:hAnsi="仿宋_GB2312" w:eastAsia="仿宋_GB2312" w:cs="仿宋_GB2312"/>
          <w:sz w:val="24"/>
        </w:rPr>
        <w:t xml:space="preserve"> 甲方（公章）：                             乙方（公章）：</w:t>
      </w:r>
    </w:p>
    <w:p>
      <w:pPr>
        <w:spacing w:line="48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                               法定代表人：</w:t>
      </w:r>
    </w:p>
    <w:p>
      <w:pPr>
        <w:spacing w:line="480" w:lineRule="auto"/>
        <w:ind w:firstLine="120" w:firstLineChars="50"/>
        <w:rPr>
          <w:rFonts w:ascii="仿宋_GB2312" w:hAnsi="仿宋_GB2312" w:eastAsia="仿宋_GB2312" w:cs="仿宋_GB2312"/>
          <w:sz w:val="24"/>
        </w:rPr>
      </w:pPr>
      <w:r>
        <w:rPr>
          <w:rFonts w:hint="eastAsia" w:ascii="仿宋_GB2312" w:hAnsi="仿宋_GB2312" w:eastAsia="仿宋_GB2312" w:cs="仿宋_GB2312"/>
          <w:sz w:val="24"/>
        </w:rPr>
        <w:t>日期：                                     日期：</w:t>
      </w:r>
    </w:p>
    <w:p>
      <w:pPr>
        <w:rPr>
          <w:rFonts w:ascii="仿宋_GB2312" w:hAnsi="仿宋_GB2312" w:eastAsia="仿宋_GB2312" w:cs="仿宋_GB2312"/>
          <w:sz w:val="30"/>
          <w:szCs w:val="30"/>
        </w:rPr>
      </w:pPr>
    </w:p>
    <w:p>
      <w:pPr>
        <w:rPr>
          <w:rFonts w:ascii="仿宋_GB2312" w:hAnsi="仿宋_GB2312" w:eastAsia="仿宋_GB2312" w:cs="仿宋_GB2312"/>
        </w:rPr>
      </w:pPr>
    </w:p>
    <w:p>
      <w:pPr>
        <w:pStyle w:val="205"/>
        <w:tabs>
          <w:tab w:val="clear" w:pos="1654"/>
        </w:tabs>
        <w:spacing w:line="360" w:lineRule="auto"/>
        <w:ind w:firstLine="880" w:firstLineChars="200"/>
        <w:jc w:val="both"/>
        <w:textAlignment w:val="baseline"/>
        <w:rPr>
          <w:rFonts w:ascii="方正小标宋简体" w:eastAsia="方正小标宋简体"/>
          <w:bCs/>
          <w:color w:val="auto"/>
          <w:kern w:val="2"/>
          <w:sz w:val="44"/>
          <w:szCs w:val="28"/>
        </w:rPr>
      </w:pPr>
    </w:p>
    <w:p>
      <w:pPr>
        <w:pageBreakBefore/>
        <w:spacing w:line="360" w:lineRule="auto"/>
        <w:jc w:val="center"/>
        <w:rPr>
          <w:b/>
          <w:bCs/>
          <w:sz w:val="30"/>
          <w:szCs w:val="30"/>
        </w:rPr>
      </w:pPr>
      <w:r>
        <w:rPr>
          <w:rFonts w:hint="eastAsia"/>
          <w:b/>
          <w:bCs/>
          <w:sz w:val="30"/>
          <w:szCs w:val="30"/>
        </w:rPr>
        <w:t>第六章 合同授予</w:t>
      </w:r>
    </w:p>
    <w:p>
      <w:pPr>
        <w:pStyle w:val="17"/>
        <w:spacing w:line="360" w:lineRule="auto"/>
        <w:ind w:firstLine="480" w:firstLineChars="200"/>
        <w:rPr>
          <w:rFonts w:ascii="宋体" w:hAnsi="宋体" w:cs="宋体"/>
          <w:sz w:val="24"/>
        </w:rPr>
      </w:pPr>
      <w:r>
        <w:rPr>
          <w:rFonts w:hint="eastAsia" w:ascii="宋体" w:hAnsi="宋体" w:cs="宋体"/>
          <w:sz w:val="24"/>
        </w:rPr>
        <w:t xml:space="preserve">一、中标人的履约保证金须在中标通知书发出7个工作日内汇入采购人账户，中标人凭中标通知书及履约保证金缴费证明15日内与采购人签订合同。本合同一式陆份，采购人叁份、供应商各贰份、崇川区行政审批局交易管理科壹份。所签合同不得对采购文件作实质性修改。采购人不得向中标供应商提出不合理的要求作为签订合同的条件，不得与中标人私下订立背离采购文件实质性内容的协议。 </w:t>
      </w:r>
    </w:p>
    <w:p>
      <w:pPr>
        <w:spacing w:line="360" w:lineRule="auto"/>
        <w:ind w:firstLine="484" w:firstLineChars="202"/>
        <w:rPr>
          <w:rFonts w:ascii="宋体" w:hAnsi="宋体" w:cs="宋体"/>
          <w:sz w:val="24"/>
        </w:rPr>
      </w:pPr>
      <w:r>
        <w:rPr>
          <w:rFonts w:hint="eastAsia" w:ascii="宋体" w:hAnsi="宋体" w:cs="宋体"/>
          <w:sz w:val="24"/>
        </w:rPr>
        <w:t>二、采购人按合同约定积极配合中标人履约，中标人履约到位后，请以书面形式向采购人提出验收申请，采购人接到申请后原则上在5个工作日内及时组织相关专业技术人员，必要时邀请质检等部门共同参与验收，并出具验收报告，验收合格后支付相应款项。</w:t>
      </w:r>
    </w:p>
    <w:p>
      <w:pPr>
        <w:spacing w:line="360" w:lineRule="auto"/>
        <w:ind w:firstLine="484" w:firstLineChars="202"/>
        <w:rPr>
          <w:rFonts w:ascii="宋体" w:hAnsi="宋体" w:cs="宋体"/>
          <w:sz w:val="24"/>
        </w:rPr>
      </w:pPr>
      <w:r>
        <w:rPr>
          <w:rFonts w:hint="eastAsia" w:ascii="宋体" w:hAnsi="宋体" w:cs="宋体"/>
          <w:sz w:val="24"/>
        </w:rPr>
        <w:t>三、采购人故意推迟项目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pPr>
        <w:spacing w:line="360" w:lineRule="auto"/>
        <w:ind w:firstLine="484" w:firstLineChars="202"/>
        <w:rPr>
          <w:rFonts w:ascii="宋体" w:hAnsi="宋体" w:cs="宋体"/>
          <w:sz w:val="24"/>
        </w:rPr>
      </w:pPr>
      <w:r>
        <w:rPr>
          <w:rFonts w:hint="eastAsia" w:ascii="宋体" w:hAnsi="宋体" w:cs="宋体"/>
          <w:sz w:val="24"/>
        </w:rPr>
        <w:t>四、中标人出现违约情形，应当及时纠正或补偿；造成损失的，按合同约定追究违约责任；发现有假冒、伪劣、走私产品、商业贿赂等违法情形的，应由采购人移交工商、质监、公安等行政执法部门依法查处。</w:t>
      </w:r>
    </w:p>
    <w:p>
      <w:pPr>
        <w:spacing w:line="360" w:lineRule="auto"/>
        <w:ind w:firstLine="484" w:firstLineChars="202"/>
        <w:rPr>
          <w:rFonts w:ascii="宋体" w:hAnsi="宋体" w:cs="宋体"/>
          <w:sz w:val="24"/>
        </w:rPr>
      </w:pPr>
      <w:r>
        <w:rPr>
          <w:rFonts w:hint="eastAsia" w:ascii="宋体" w:hAnsi="宋体" w:cs="宋体"/>
          <w:sz w:val="24"/>
        </w:rPr>
        <w:t>五、按采购合同约定支付的货款。</w:t>
      </w:r>
    </w:p>
    <w:p>
      <w:pPr>
        <w:spacing w:line="360" w:lineRule="auto"/>
        <w:ind w:firstLine="484" w:firstLineChars="202"/>
        <w:rPr>
          <w:rFonts w:ascii="宋体" w:hAnsi="宋体" w:cs="宋体"/>
          <w:sz w:val="24"/>
        </w:rPr>
      </w:pPr>
      <w:r>
        <w:rPr>
          <w:rFonts w:hint="eastAsia" w:ascii="宋体" w:hAnsi="宋体" w:cs="宋体"/>
          <w:sz w:val="24"/>
        </w:rPr>
        <w:t>六、不响应付款方式的，视同响应文件无效，按无效响应文件处理。</w:t>
      </w:r>
    </w:p>
    <w:p>
      <w:pPr>
        <w:spacing w:line="360" w:lineRule="auto"/>
        <w:ind w:firstLine="484" w:firstLineChars="202"/>
        <w:rPr>
          <w:rFonts w:ascii="宋体" w:hAnsi="宋体" w:cs="宋体"/>
          <w:sz w:val="24"/>
        </w:rPr>
      </w:pPr>
      <w:r>
        <w:rPr>
          <w:rFonts w:hint="eastAsia" w:ascii="宋体" w:hAnsi="宋体" w:cs="宋体"/>
          <w:sz w:val="24"/>
        </w:rPr>
        <w:t>七、付款方式详见招标文件第五章，以上项目款的支付不计息。</w:t>
      </w:r>
    </w:p>
    <w:p>
      <w:pPr>
        <w:pStyle w:val="186"/>
        <w:spacing w:before="312" w:after="312" w:line="360" w:lineRule="auto"/>
        <w:rPr>
          <w:rFonts w:ascii="宋体" w:eastAsia="宋体"/>
          <w:sz w:val="28"/>
          <w:szCs w:val="28"/>
        </w:rPr>
      </w:pPr>
      <w:r>
        <w:rPr>
          <w:rFonts w:hint="eastAsia" w:ascii="宋体" w:eastAsia="宋体"/>
          <w:sz w:val="24"/>
          <w:szCs w:val="24"/>
        </w:rPr>
        <w:br w:type="page"/>
      </w:r>
      <w:r>
        <w:rPr>
          <w:rFonts w:hint="eastAsia" w:ascii="宋体" w:eastAsia="宋体"/>
          <w:sz w:val="28"/>
          <w:szCs w:val="28"/>
        </w:rPr>
        <w:t>第七章 质疑与投诉</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一、质疑的提出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1、质疑人必须是直接参加本次投标活动的当事人。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下载招标文件的供应商应根据第二章“投标供应商须知”中第一条第4款的约定提出；响应文件接收截止后，供应商未进行投标登记的，不能就响应文件接收截止后的招投标过程、中标结果提出质疑；在投标过程中，凡主持人或评标小组明确提出须由供应商确认的事项，供应商当场无异议的，事后不得提出质疑。</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提出质疑时，必须坚持“谁主张，谁举证”、“实事求是”的原则，不能臆测。属于须由法定部门调查、侦查或先行作出相关认定的事项，质疑人应当依法申请具有法定职权的部门查清、认定，并将相关结果提供给采购人或代理机构。采购人或代理机构不具有法定调查、认定权限。</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对本次招标有质疑的，实行实名制，不得进行虚假、恶意质疑。质疑人应在质疑有效期内以书面形式提出《质疑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对不能提供相关佐证材料的、涉及商业秘密的、非书面形式的、非送达的、匿名的《质疑函》将不予受理。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相关佐证材料要具备客观性、关联性、合法性，无法查实的（如宣传册、媒体报道、猜测、推理等）不能作为佐证材料。</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采购人或代理机构不负责搜集相关佐证材料等工作。</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二、《质疑函》的受理和回复</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1、《质疑函》须由质疑人的法定代表人或参加本次投标授权人送达采购人和代理机构。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对符合提出质疑要求的，采购人、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3、对不符合提出质疑要求的，出具《质疑退回通知书》并提出相关补充材料要求，质疑人未在规定的时间内提供补充佐证材料的，视同放弃质疑。</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4、采购人、代理机构负责将质疑人提出的质疑相关材料提供给相关专家或评标小组审核，并将审核意见回复质疑人。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5、因质疑情况复杂，组织论证或审查时间较长的，采购人、代理机构以书面形式通知质疑人，可适当延长质疑回复处理时间。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三、质疑处理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1、质疑成立的处理。采购人或代理机构终止采购，并建议有关部门给相关当事人予以处理。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2、质疑不成立的处理。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1）质疑人书面《申请撤回质疑函》的，不作违约处理。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2）质疑人在规定的时间内不配合进行质疑调查处理的，按自动撤回《质疑函》处理。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3）质疑人不按《质疑函》格式就提出质疑的，作违约处理。同时，视情列入不良供应商名单。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4）质疑人虽提供了相关佐证材料，但不能证明其质疑成立的，采购人或代理机构请质疑人补充相关佐证材料，仍不能证明其质疑成立的，作违约处理。并将其列入不良供应商名单。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5）质疑人不能提供相关佐证材料的，采购人、代理机构已指出，质疑人仍然坚持提出质疑的，作违约处理。同时，列入不良供应商名单。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对明显有违事实的、经相关专家或评标小组认定无依据的、经其他供应商举证无依据的质疑，作违约处理，列入不良供应商名单；同时，对其中每一项不成立的质疑给予质疑人1年内禁入本区域内的采购活动的违约处理，依次类推；视情在南通政府采购网、省、国家级相关媒体予以披露。</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7）质疑人承担使用虚假材料或恶意方式质疑的法律责任。</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四、无佐证材料的举报作违约处理。供应商不得进行不提供相关佐证材料（含无法查实的如宣传册、媒体报道、猜测、推理等）向有关部门的举报，否则作违约处理。同时对其在1至3年内禁入由采购人组织的采购活动的违约处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五、投诉不成立的作违约处理。供应商进行质疑后，采购人回复质疑不成立，供应商仍进行投诉的，并最终投诉不成立的，作违约处理。采购人有权对其在1至3年内禁入由采购人组织的采购活动的违约处理。</w:t>
      </w:r>
    </w:p>
    <w:bookmarkEnd w:id="11"/>
    <w:p>
      <w:pPr>
        <w:pStyle w:val="186"/>
        <w:spacing w:before="312" w:after="312" w:line="360" w:lineRule="auto"/>
        <w:rPr>
          <w:rFonts w:ascii="宋体" w:eastAsia="宋体"/>
          <w:sz w:val="28"/>
          <w:szCs w:val="28"/>
        </w:rPr>
      </w:pPr>
      <w:r>
        <w:rPr>
          <w:rFonts w:hint="eastAsia" w:ascii="宋体" w:eastAsia="宋体"/>
          <w:sz w:val="28"/>
          <w:szCs w:val="28"/>
        </w:rPr>
        <w:t>第八章 投标文件组成及格式</w:t>
      </w:r>
    </w:p>
    <w:p>
      <w:pPr>
        <w:adjustRightInd w:val="0"/>
        <w:snapToGrid w:val="0"/>
        <w:spacing w:line="360" w:lineRule="auto"/>
        <w:ind w:firstLine="470" w:firstLineChars="196"/>
        <w:contextualSpacing/>
        <w:rPr>
          <w:rFonts w:ascii="宋体" w:hAnsi="宋体" w:cs="宋体"/>
          <w:sz w:val="24"/>
        </w:rPr>
      </w:pPr>
      <w:r>
        <w:rPr>
          <w:rFonts w:hint="eastAsia" w:ascii="宋体" w:hAnsi="宋体" w:cs="宋体"/>
          <w:sz w:val="24"/>
        </w:rPr>
        <w:t>投标文件由资格审查文件、技术标和商务标三部分组成。本次招标采用资格后审方式。</w:t>
      </w:r>
    </w:p>
    <w:p>
      <w:pPr>
        <w:adjustRightInd w:val="0"/>
        <w:snapToGrid w:val="0"/>
        <w:spacing w:line="360" w:lineRule="auto"/>
        <w:ind w:firstLine="472" w:firstLineChars="196"/>
        <w:contextualSpacing/>
        <w:rPr>
          <w:rFonts w:ascii="宋体" w:hAnsi="宋体" w:cs="宋体"/>
          <w:b/>
          <w:bCs/>
          <w:sz w:val="24"/>
        </w:rPr>
      </w:pPr>
      <w:r>
        <w:rPr>
          <w:rFonts w:hint="eastAsia" w:ascii="宋体" w:hAnsi="宋体" w:cs="宋体"/>
          <w:b/>
          <w:bCs/>
          <w:sz w:val="24"/>
        </w:rPr>
        <w:t>本项目资格审查文件、技术标和商务标请分别装订、分别单独密封后一起递交。</w:t>
      </w:r>
    </w:p>
    <w:p>
      <w:pPr>
        <w:numPr>
          <w:ilvl w:val="0"/>
          <w:numId w:val="5"/>
        </w:numPr>
        <w:adjustRightInd w:val="0"/>
        <w:snapToGrid w:val="0"/>
        <w:spacing w:line="360" w:lineRule="auto"/>
        <w:rPr>
          <w:rFonts w:ascii="宋体" w:hAnsi="宋体" w:cs="宋体"/>
          <w:b/>
          <w:sz w:val="24"/>
        </w:rPr>
      </w:pPr>
      <w:r>
        <w:rPr>
          <w:rFonts w:hint="eastAsia" w:ascii="宋体" w:hAnsi="宋体" w:cs="宋体"/>
          <w:b/>
          <w:sz w:val="24"/>
        </w:rPr>
        <w:t xml:space="preserve">资格审查文件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1、</w:t>
      </w:r>
      <w:r>
        <w:rPr>
          <w:rFonts w:hint="eastAsia" w:ascii="宋体" w:hAnsi="宋体" w:cs="宋体"/>
          <w:sz w:val="24"/>
        </w:rPr>
        <w:t>具有独立承担民事责任能力的主体，提供有效的营业执照复印件。若投标人为法人单位的分支关联机构，必须是由总公司授权的分公司或分支关联机构参加投标。投标时须提供法人或者其他组织的营业执照，提供原件复印件并加盖公章。</w:t>
      </w:r>
    </w:p>
    <w:p>
      <w:pPr>
        <w:widowControl/>
        <w:spacing w:line="360" w:lineRule="auto"/>
        <w:ind w:firstLine="480" w:firstLineChars="200"/>
        <w:jc w:val="left"/>
        <w:rPr>
          <w:rFonts w:ascii="宋体" w:hAnsi="宋体" w:cs="宋体"/>
          <w:sz w:val="24"/>
        </w:rPr>
      </w:pPr>
      <w:r>
        <w:rPr>
          <w:rFonts w:hint="eastAsia" w:ascii="宋体" w:hAnsi="宋体" w:cs="宋体"/>
          <w:sz w:val="24"/>
        </w:rPr>
        <w:t>2、具有良好的商业信誉和健全的财务会计制度【提供2021年度的财务状况报告复印件（成立不满一年不需提供）】。</w:t>
      </w:r>
    </w:p>
    <w:p>
      <w:pPr>
        <w:widowControl/>
        <w:spacing w:line="360" w:lineRule="auto"/>
        <w:ind w:firstLine="480" w:firstLineChars="200"/>
        <w:jc w:val="left"/>
        <w:rPr>
          <w:rFonts w:ascii="宋体" w:hAnsi="宋体" w:cs="宋体"/>
          <w:sz w:val="24"/>
        </w:rPr>
      </w:pPr>
      <w:r>
        <w:rPr>
          <w:rFonts w:hint="eastAsia" w:ascii="宋体" w:hAnsi="宋体" w:cs="宋体"/>
          <w:sz w:val="24"/>
        </w:rPr>
        <w:t>3、履行合同所必需的设备和专业技术能力</w:t>
      </w:r>
      <w:r>
        <w:rPr>
          <w:rFonts w:hint="eastAsia" w:ascii="宋体" w:hAnsi="宋体" w:cs="黑体"/>
          <w:sz w:val="24"/>
          <w:szCs w:val="21"/>
          <w:lang w:bidi="ar"/>
        </w:rPr>
        <w:t>（</w:t>
      </w:r>
      <w:r>
        <w:rPr>
          <w:rFonts w:hint="eastAsia" w:ascii="宋体" w:hAnsi="宋体" w:cs="宋体"/>
          <w:sz w:val="24"/>
          <w:lang w:bidi="ar"/>
        </w:rPr>
        <w:t>格式参见第八章</w:t>
      </w:r>
      <w:r>
        <w:rPr>
          <w:rFonts w:hint="eastAsia" w:ascii="宋体" w:hAnsi="宋体" w:cs="黑体"/>
          <w:sz w:val="24"/>
          <w:szCs w:val="21"/>
          <w:lang w:bidi="ar"/>
        </w:rPr>
        <w:t>）</w:t>
      </w:r>
      <w:r>
        <w:rPr>
          <w:rFonts w:hint="eastAsia" w:ascii="宋体" w:hAnsi="宋体" w:cs="宋体"/>
          <w:sz w:val="24"/>
        </w:rPr>
        <w:t>。</w:t>
      </w:r>
    </w:p>
    <w:p>
      <w:pPr>
        <w:widowControl/>
        <w:spacing w:line="360" w:lineRule="auto"/>
        <w:ind w:firstLine="480" w:firstLineChars="200"/>
        <w:jc w:val="left"/>
        <w:rPr>
          <w:rFonts w:ascii="宋体" w:hAnsi="宋体" w:cs="宋体"/>
          <w:sz w:val="24"/>
        </w:rPr>
      </w:pPr>
      <w:r>
        <w:rPr>
          <w:rFonts w:hint="eastAsia" w:ascii="宋体" w:hAnsi="宋体" w:cs="宋体"/>
          <w:sz w:val="24"/>
        </w:rPr>
        <w:t>4、有依法缴纳税收和社会保障资金的良好记录（提供2022年7月-2022年12月任意一个月依法缴纳税收和社会保障资金的相关材料复印件）。</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5、供应商须提供参与本次项目采购活动前三年内，在经营活动中没有重大违法记录。（提供参加本项目采购活动前3年内在经营活动中没有重大违法记录的书面声明，按第八章后附格式）。</w:t>
      </w:r>
    </w:p>
    <w:p>
      <w:pPr>
        <w:widowControl/>
        <w:spacing w:line="360" w:lineRule="auto"/>
        <w:ind w:firstLine="480" w:firstLineChars="200"/>
        <w:jc w:val="left"/>
      </w:pPr>
      <w:r>
        <w:rPr>
          <w:rFonts w:hint="eastAsia" w:ascii="宋体" w:hAnsi="宋体" w:cs="Arial"/>
          <w:sz w:val="24"/>
          <w:szCs w:val="21"/>
        </w:rPr>
        <w:t>6、如为代理商或分支机构参加投标，则提供唯一授权书复印件（格式参见第八章）。</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7、法定代表人参加投标的，必须提供法定代表人身份证明及法定代表人本人身份证复印件；非法定代表人参加投标的，必须提供法定代表人签名或盖章的</w:t>
      </w:r>
      <w:r>
        <w:rPr>
          <w:rFonts w:hint="eastAsia" w:ascii="宋体" w:hAnsi="宋体" w:cs="宋体"/>
          <w:kern w:val="0"/>
          <w:sz w:val="24"/>
        </w:rPr>
        <w:t>授权委托书及被授权人本人的身份证复印件（格式参见第八章）。被授权人为供应商正式人员证明材料【提供</w:t>
      </w:r>
      <w:r>
        <w:rPr>
          <w:rFonts w:hint="eastAsia" w:ascii="宋体" w:hAnsi="宋体" w:cs="宋体"/>
          <w:bCs/>
          <w:sz w:val="24"/>
        </w:rPr>
        <w:t>①与投标供应商签订的有效劳动合同复印件；②</w:t>
      </w:r>
      <w:r>
        <w:rPr>
          <w:rFonts w:hint="eastAsia" w:ascii="宋体" w:hAnsi="宋体" w:cs="宋体"/>
          <w:kern w:val="0"/>
          <w:sz w:val="24"/>
        </w:rPr>
        <w:t>社保机构出具并盖章的投标供应商为其缴纳2022年6月-2022年11月连续6个月的社会保险证明复印件】。</w:t>
      </w:r>
    </w:p>
    <w:p>
      <w:pPr>
        <w:spacing w:line="360" w:lineRule="auto"/>
        <w:ind w:firstLine="480" w:firstLineChars="200"/>
        <w:rPr>
          <w:rFonts w:ascii="宋体" w:hAnsi="宋体" w:cs="宋体"/>
          <w:b/>
          <w:bCs/>
          <w:sz w:val="24"/>
        </w:rPr>
      </w:pPr>
      <w:r>
        <w:rPr>
          <w:rFonts w:hint="eastAsia" w:ascii="宋体" w:hAnsi="宋体" w:cs="Arial"/>
          <w:sz w:val="24"/>
          <w:szCs w:val="21"/>
        </w:rPr>
        <w:t>8、供应商资质复印件</w:t>
      </w:r>
      <w:r>
        <w:rPr>
          <w:rFonts w:hint="eastAsia" w:ascii="宋体" w:hAnsi="宋体" w:cs="Arial"/>
          <w:b/>
          <w:bCs/>
          <w:sz w:val="24"/>
          <w:szCs w:val="21"/>
        </w:rPr>
        <w:t>（详见招标公告—四、</w:t>
      </w:r>
      <w:r>
        <w:rPr>
          <w:rFonts w:hint="eastAsia" w:ascii="宋体" w:hAnsi="宋体" w:cs="宋体"/>
          <w:b/>
          <w:bCs/>
          <w:sz w:val="24"/>
        </w:rPr>
        <w:t>投标供应商资格要求—8、供应商资质要求）</w:t>
      </w:r>
    </w:p>
    <w:p>
      <w:pPr>
        <w:snapToGrid w:val="0"/>
        <w:spacing w:line="360" w:lineRule="auto"/>
        <w:ind w:firstLine="480" w:firstLineChars="200"/>
        <w:rPr>
          <w:rFonts w:ascii="宋体" w:hAnsi="宋体" w:cs="Arial"/>
          <w:sz w:val="24"/>
          <w:szCs w:val="21"/>
        </w:rPr>
      </w:pPr>
      <w:r>
        <w:rPr>
          <w:rFonts w:hint="eastAsia" w:ascii="宋体" w:hAnsi="宋体" w:cs="Arial"/>
          <w:sz w:val="24"/>
          <w:szCs w:val="21"/>
        </w:rPr>
        <w:t>9、拟派项目负责人为投标企业正式人员（提供与投标人的有效劳动合同及投标企业为其缴纳的2022年6月至2022年11月连续6个月社会保险证明复印件），还须具备工程技术类中级及以上职称和特种设备作业人员资格（T证）（提供有效的对应证书复印件）；</w:t>
      </w:r>
    </w:p>
    <w:p>
      <w:pPr>
        <w:widowControl/>
        <w:spacing w:line="360" w:lineRule="auto"/>
        <w:ind w:firstLine="480" w:firstLineChars="200"/>
        <w:jc w:val="left"/>
        <w:rPr>
          <w:rFonts w:ascii="宋体" w:hAnsi="宋体" w:cs="宋体"/>
          <w:sz w:val="24"/>
        </w:rPr>
      </w:pPr>
      <w:r>
        <w:rPr>
          <w:rFonts w:hint="eastAsia" w:ascii="宋体" w:hAnsi="宋体" w:cs="宋体"/>
          <w:sz w:val="24"/>
        </w:rPr>
        <w:t>10、关于资格文件的声明函。</w:t>
      </w:r>
    </w:p>
    <w:p>
      <w:pPr>
        <w:widowControl/>
        <w:spacing w:line="360" w:lineRule="auto"/>
        <w:ind w:firstLine="480" w:firstLineChars="200"/>
        <w:jc w:val="left"/>
        <w:rPr>
          <w:rFonts w:ascii="宋体" w:hAnsi="宋体" w:cs="宋体"/>
          <w:sz w:val="24"/>
        </w:rPr>
      </w:pPr>
      <w:r>
        <w:rPr>
          <w:rFonts w:hint="eastAsia" w:ascii="宋体" w:hAnsi="宋体" w:cs="宋体"/>
          <w:sz w:val="24"/>
        </w:rPr>
        <w:t>11、无重大违法记录声明函。</w:t>
      </w:r>
    </w:p>
    <w:p>
      <w:pPr>
        <w:widowControl/>
        <w:spacing w:line="360" w:lineRule="auto"/>
        <w:ind w:firstLine="480" w:firstLineChars="200"/>
        <w:jc w:val="left"/>
        <w:rPr>
          <w:rFonts w:ascii="宋体" w:hAnsi="宋体" w:cs="宋体"/>
          <w:sz w:val="24"/>
        </w:rPr>
      </w:pPr>
      <w:r>
        <w:rPr>
          <w:rFonts w:hint="eastAsia" w:ascii="宋体" w:hAnsi="宋体" w:cs="宋体"/>
          <w:sz w:val="24"/>
        </w:rPr>
        <w:t>12、招标文件要求的其他与资格审查有关的材料复印件（如“</w:t>
      </w:r>
      <w:r>
        <w:rPr>
          <w:rFonts w:hint="eastAsia" w:ascii="宋体" w:hAnsi="宋体" w:cs="Arial"/>
          <w:b/>
          <w:bCs/>
          <w:sz w:val="24"/>
          <w:szCs w:val="21"/>
        </w:rPr>
        <w:t>招标公告—四、</w:t>
      </w:r>
      <w:r>
        <w:rPr>
          <w:rFonts w:hint="eastAsia" w:ascii="宋体" w:hAnsi="宋体" w:cs="宋体"/>
          <w:b/>
          <w:bCs/>
          <w:sz w:val="24"/>
        </w:rPr>
        <w:t>投标供应商资格要求—10、其他说明”中内容</w:t>
      </w:r>
      <w:r>
        <w:rPr>
          <w:rFonts w:hint="eastAsia" w:ascii="宋体" w:hAnsi="宋体" w:cs="宋体"/>
          <w:sz w:val="24"/>
        </w:rPr>
        <w:t>）。</w:t>
      </w:r>
    </w:p>
    <w:p>
      <w:pPr>
        <w:snapToGrid w:val="0"/>
        <w:spacing w:line="360" w:lineRule="auto"/>
        <w:ind w:firstLine="482" w:firstLineChars="200"/>
        <w:rPr>
          <w:rFonts w:ascii="宋体" w:hAnsi="宋体" w:cs="宋体"/>
          <w:b/>
          <w:bCs/>
          <w:sz w:val="24"/>
        </w:rPr>
      </w:pPr>
      <w:r>
        <w:rPr>
          <w:rFonts w:hint="eastAsia" w:ascii="宋体" w:hAnsi="宋体" w:cs="宋体"/>
          <w:b/>
          <w:bCs/>
          <w:sz w:val="24"/>
          <w:u w:val="thick" w:color="FF0000"/>
        </w:rPr>
        <w:t>注：以上材料如为复印件均需加盖供应商公章</w:t>
      </w:r>
      <w:r>
        <w:rPr>
          <w:rFonts w:hint="eastAsia" w:ascii="宋体" w:hAnsi="宋体" w:cs="宋体"/>
          <w:b/>
          <w:bCs/>
          <w:sz w:val="24"/>
        </w:rPr>
        <w:t>。</w:t>
      </w:r>
    </w:p>
    <w:p>
      <w:pPr>
        <w:snapToGrid w:val="0"/>
        <w:spacing w:line="360" w:lineRule="auto"/>
        <w:ind w:firstLine="482" w:firstLineChars="200"/>
        <w:rPr>
          <w:rFonts w:ascii="宋体" w:hAnsi="宋体" w:cs="宋体"/>
          <w:b/>
          <w:bCs/>
          <w:sz w:val="24"/>
        </w:rPr>
      </w:pPr>
      <w:r>
        <w:rPr>
          <w:rFonts w:hint="eastAsia" w:ascii="宋体" w:hAnsi="宋体" w:cs="宋体"/>
          <w:b/>
          <w:bCs/>
          <w:sz w:val="24"/>
        </w:rPr>
        <w:t>特别提醒：“资格审查文件”所须提供的材料（须加盖投标供应商公章）按招标文件要求装订，密封，递交。</w:t>
      </w:r>
      <w:r>
        <w:rPr>
          <w:rFonts w:hint="eastAsia" w:ascii="宋体" w:hAnsi="宋体" w:cs="宋体"/>
          <w:b/>
          <w:bCs/>
          <w:sz w:val="24"/>
          <w:szCs w:val="21"/>
        </w:rPr>
        <w:t>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pPr>
        <w:numPr>
          <w:ilvl w:val="0"/>
          <w:numId w:val="6"/>
        </w:numPr>
        <w:spacing w:line="360" w:lineRule="auto"/>
        <w:ind w:firstLine="482" w:firstLineChars="200"/>
        <w:rPr>
          <w:rFonts w:ascii="宋体" w:hAnsi="宋体" w:cs="宋体"/>
          <w:sz w:val="24"/>
        </w:rPr>
      </w:pPr>
      <w:r>
        <w:rPr>
          <w:rFonts w:hint="eastAsia" w:ascii="宋体" w:hAnsi="宋体" w:cs="宋体"/>
          <w:b/>
          <w:bCs/>
          <w:sz w:val="24"/>
        </w:rPr>
        <w:t>技术标（不得出现报价）</w:t>
      </w:r>
    </w:p>
    <w:p>
      <w:pPr>
        <w:pStyle w:val="156"/>
        <w:spacing w:line="360" w:lineRule="auto"/>
        <w:rPr>
          <w:rFonts w:ascii="宋体" w:hAnsi="宋体" w:cs="宋体"/>
          <w:sz w:val="24"/>
          <w:szCs w:val="24"/>
        </w:rPr>
      </w:pPr>
      <w:r>
        <w:rPr>
          <w:rFonts w:hint="eastAsia" w:ascii="宋体" w:hAnsi="宋体" w:cs="宋体"/>
          <w:sz w:val="24"/>
          <w:szCs w:val="24"/>
        </w:rPr>
        <w:t xml:space="preserve">    1、投标响应函。</w:t>
      </w:r>
    </w:p>
    <w:p>
      <w:pPr>
        <w:pStyle w:val="156"/>
        <w:spacing w:line="360" w:lineRule="auto"/>
        <w:ind w:firstLine="480" w:firstLineChars="200"/>
        <w:rPr>
          <w:rFonts w:ascii="宋体" w:hAnsi="宋体" w:cs="宋体"/>
          <w:sz w:val="24"/>
          <w:szCs w:val="24"/>
        </w:rPr>
      </w:pPr>
      <w:r>
        <w:rPr>
          <w:rFonts w:hint="eastAsia" w:ascii="宋体" w:hAnsi="宋体" w:cs="宋体"/>
          <w:sz w:val="24"/>
          <w:szCs w:val="24"/>
        </w:rPr>
        <w:t>2、供应商一般情况表。</w:t>
      </w:r>
    </w:p>
    <w:p>
      <w:pPr>
        <w:spacing w:line="360" w:lineRule="auto"/>
        <w:ind w:firstLine="480" w:firstLineChars="200"/>
        <w:rPr>
          <w:rFonts w:ascii="宋体" w:hAnsi="宋体" w:cs="宋体"/>
          <w:sz w:val="24"/>
        </w:rPr>
      </w:pPr>
      <w:r>
        <w:rPr>
          <w:rFonts w:hint="eastAsia" w:ascii="宋体" w:hAnsi="宋体" w:cs="宋体"/>
          <w:sz w:val="24"/>
        </w:rPr>
        <w:t>3、技术偏离说明表</w:t>
      </w:r>
    </w:p>
    <w:p>
      <w:pPr>
        <w:pStyle w:val="156"/>
        <w:spacing w:line="360" w:lineRule="auto"/>
        <w:ind w:firstLine="480" w:firstLineChars="200"/>
        <w:rPr>
          <w:rFonts w:ascii="宋体" w:hAnsi="宋体" w:cs="宋体"/>
          <w:sz w:val="24"/>
          <w:szCs w:val="24"/>
        </w:rPr>
      </w:pPr>
      <w:r>
        <w:rPr>
          <w:rFonts w:hint="eastAsia" w:ascii="宋体" w:hAnsi="宋体" w:cs="宋体"/>
          <w:sz w:val="24"/>
          <w:szCs w:val="24"/>
        </w:rPr>
        <w:t>4、评审评分项技术响应评分中所涉及的事项需提供的所有资料。</w:t>
      </w:r>
    </w:p>
    <w:p>
      <w:pPr>
        <w:pStyle w:val="156"/>
        <w:spacing w:line="360" w:lineRule="auto"/>
        <w:ind w:firstLine="480" w:firstLineChars="200"/>
        <w:rPr>
          <w:rFonts w:ascii="宋体" w:hAnsi="宋体" w:cs="宋体"/>
          <w:sz w:val="24"/>
          <w:szCs w:val="24"/>
        </w:rPr>
      </w:pPr>
      <w:r>
        <w:rPr>
          <w:rFonts w:hint="eastAsia" w:ascii="宋体" w:hAnsi="宋体" w:cs="宋体"/>
          <w:sz w:val="24"/>
          <w:szCs w:val="24"/>
        </w:rPr>
        <w:t>5、评审评分项中未涉及的事项，投标供应商认为需要提交的其他资料。</w:t>
      </w:r>
    </w:p>
    <w:p>
      <w:pPr>
        <w:pStyle w:val="156"/>
        <w:spacing w:line="360" w:lineRule="auto"/>
        <w:ind w:firstLine="480" w:firstLineChars="200"/>
        <w:rPr>
          <w:rFonts w:ascii="宋体" w:hAnsi="宋体" w:cs="宋体"/>
          <w:sz w:val="24"/>
          <w:szCs w:val="24"/>
        </w:rPr>
      </w:pPr>
      <w:r>
        <w:rPr>
          <w:rFonts w:hint="eastAsia" w:ascii="宋体" w:hAnsi="宋体" w:cs="宋体"/>
          <w:sz w:val="24"/>
          <w:szCs w:val="24"/>
        </w:rPr>
        <w:t>6、招标文件中要求提供的其他材料。</w:t>
      </w:r>
    </w:p>
    <w:p>
      <w:pPr>
        <w:pStyle w:val="156"/>
        <w:spacing w:line="360" w:lineRule="auto"/>
        <w:rPr>
          <w:rFonts w:ascii="宋体" w:hAnsi="宋体" w:cs="宋体"/>
          <w:b/>
          <w:bCs/>
          <w:sz w:val="24"/>
        </w:rPr>
      </w:pPr>
      <w:r>
        <w:rPr>
          <w:rFonts w:hint="eastAsia" w:ascii="宋体" w:hAnsi="宋体" w:cs="宋体"/>
          <w:sz w:val="24"/>
          <w:szCs w:val="24"/>
        </w:rPr>
        <w:t>注：为方便评委评审，请投标供应商按评审评分项中所涉及的事项顺序进行编制，可以补充相关材料。</w:t>
      </w:r>
    </w:p>
    <w:p>
      <w:pPr>
        <w:pStyle w:val="156"/>
        <w:spacing w:line="360" w:lineRule="auto"/>
        <w:ind w:firstLine="481"/>
        <w:rPr>
          <w:rFonts w:ascii="宋体" w:hAnsi="宋体" w:cs="宋体"/>
          <w:b/>
          <w:bCs/>
          <w:sz w:val="24"/>
          <w:szCs w:val="24"/>
        </w:rPr>
      </w:pPr>
      <w:r>
        <w:rPr>
          <w:rFonts w:hint="eastAsia" w:ascii="宋体" w:hAnsi="宋体" w:cs="宋体"/>
          <w:b/>
          <w:sz w:val="24"/>
          <w:szCs w:val="24"/>
        </w:rPr>
        <w:t>三、</w:t>
      </w:r>
      <w:r>
        <w:rPr>
          <w:rFonts w:hint="eastAsia" w:ascii="宋体" w:hAnsi="宋体" w:cs="宋体"/>
          <w:b/>
          <w:bCs/>
          <w:sz w:val="24"/>
          <w:szCs w:val="24"/>
        </w:rPr>
        <w:t>商务报价响应文件</w:t>
      </w:r>
    </w:p>
    <w:p>
      <w:pPr>
        <w:spacing w:line="360" w:lineRule="auto"/>
        <w:ind w:firstLine="480" w:firstLineChars="200"/>
        <w:rPr>
          <w:rFonts w:ascii="宋体" w:hAnsi="宋体" w:cs="宋体"/>
          <w:sz w:val="24"/>
        </w:rPr>
      </w:pPr>
      <w:r>
        <w:rPr>
          <w:rFonts w:hint="eastAsia" w:ascii="宋体" w:hAnsi="宋体" w:cs="宋体"/>
          <w:sz w:val="24"/>
        </w:rPr>
        <w:t>1、投标响应报价总表。</w:t>
      </w:r>
    </w:p>
    <w:p>
      <w:pPr>
        <w:spacing w:line="360" w:lineRule="auto"/>
        <w:ind w:firstLine="480" w:firstLineChars="200"/>
        <w:rPr>
          <w:rFonts w:ascii="宋体" w:hAnsi="宋体" w:cs="宋体"/>
          <w:sz w:val="24"/>
        </w:rPr>
      </w:pPr>
      <w:r>
        <w:rPr>
          <w:rFonts w:hint="eastAsia" w:ascii="宋体" w:hAnsi="宋体" w:cs="宋体"/>
          <w:sz w:val="24"/>
        </w:rPr>
        <w:t>2、投标货物进口件明细表</w:t>
      </w:r>
    </w:p>
    <w:p>
      <w:pPr>
        <w:spacing w:line="360" w:lineRule="auto"/>
        <w:ind w:firstLine="480" w:firstLineChars="200"/>
        <w:rPr>
          <w:rFonts w:ascii="宋体" w:hAnsi="宋体" w:cs="宋体"/>
          <w:sz w:val="24"/>
        </w:rPr>
      </w:pPr>
      <w:r>
        <w:rPr>
          <w:rFonts w:hint="eastAsia" w:ascii="宋体" w:hAnsi="宋体" w:cs="宋体"/>
          <w:sz w:val="24"/>
        </w:rPr>
        <w:t>3、备品备件和特种工具明细表</w:t>
      </w:r>
    </w:p>
    <w:p>
      <w:pPr>
        <w:spacing w:line="360" w:lineRule="auto"/>
        <w:ind w:firstLine="480" w:firstLineChars="200"/>
        <w:rPr>
          <w:rFonts w:ascii="宋体" w:hAnsi="宋体" w:cs="宋体"/>
          <w:sz w:val="24"/>
        </w:rPr>
      </w:pPr>
      <w:r>
        <w:rPr>
          <w:rFonts w:hint="eastAsia" w:ascii="宋体" w:hAnsi="宋体" w:cs="宋体"/>
          <w:sz w:val="24"/>
        </w:rPr>
        <w:t>4、备品备件和特种工具报价表</w:t>
      </w:r>
    </w:p>
    <w:p>
      <w:pPr>
        <w:spacing w:line="360" w:lineRule="auto"/>
        <w:ind w:firstLine="480" w:firstLineChars="200"/>
        <w:rPr>
          <w:rFonts w:ascii="宋体" w:hAnsi="宋体" w:cs="宋体"/>
          <w:sz w:val="24"/>
        </w:rPr>
      </w:pPr>
      <w:r>
        <w:rPr>
          <w:rFonts w:hint="eastAsia" w:ascii="宋体" w:hAnsi="宋体" w:cs="宋体"/>
          <w:sz w:val="24"/>
        </w:rPr>
        <w:t>5、电梯主要部件报价表</w:t>
      </w:r>
    </w:p>
    <w:p>
      <w:pPr>
        <w:pStyle w:val="9"/>
        <w:spacing w:line="360" w:lineRule="auto"/>
        <w:ind w:firstLine="640"/>
        <w:jc w:val="center"/>
        <w:outlineLvl w:val="0"/>
        <w:rPr>
          <w:rStyle w:val="102"/>
          <w:rFonts w:ascii="宋体" w:hAnsi="宋体" w:eastAsia="宋体" w:cs="宋体"/>
        </w:rPr>
      </w:pPr>
    </w:p>
    <w:p>
      <w:pPr>
        <w:spacing w:line="360" w:lineRule="auto"/>
        <w:rPr>
          <w:rFonts w:ascii="宋体" w:hAnsi="宋体" w:cs="宋体"/>
          <w:sz w:val="24"/>
        </w:rPr>
      </w:pPr>
      <w:r>
        <w:rPr>
          <w:rFonts w:hint="eastAsia" w:ascii="宋体" w:hAnsi="宋体" w:cs="宋体"/>
          <w:bCs/>
          <w:sz w:val="24"/>
        </w:rPr>
        <w:br w:type="page"/>
      </w:r>
      <w:r>
        <w:rPr>
          <w:rFonts w:hint="eastAsia" w:ascii="宋体" w:hAnsi="宋体" w:cs="宋体"/>
          <w:sz w:val="24"/>
        </w:rPr>
        <w:t>附件：</w:t>
      </w:r>
    </w:p>
    <w:p>
      <w:pPr>
        <w:spacing w:line="360" w:lineRule="auto"/>
        <w:ind w:firstLine="480" w:firstLineChars="200"/>
        <w:rPr>
          <w:rFonts w:ascii="宋体" w:hAnsi="宋体" w:cs="宋体"/>
          <w:sz w:val="24"/>
        </w:rPr>
      </w:pPr>
    </w:p>
    <w:p>
      <w:pPr>
        <w:spacing w:line="360" w:lineRule="auto"/>
        <w:jc w:val="center"/>
        <w:rPr>
          <w:rFonts w:ascii="宋体" w:hAnsi="宋体" w:cs="宋体"/>
          <w:b/>
          <w:sz w:val="24"/>
        </w:rPr>
      </w:pPr>
      <w:r>
        <w:rPr>
          <w:rFonts w:hint="eastAsia" w:ascii="宋体" w:hAnsi="宋体" w:cs="宋体"/>
          <w:b/>
          <w:sz w:val="24"/>
        </w:rPr>
        <w:t>苏源工业园2号楼电梯采购安装项目</w:t>
      </w:r>
    </w:p>
    <w:p>
      <w:pPr>
        <w:spacing w:line="360" w:lineRule="auto"/>
        <w:ind w:firstLine="2400" w:firstLineChars="1000"/>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投标文件</w:t>
      </w:r>
    </w:p>
    <w:p>
      <w:pPr>
        <w:spacing w:line="360" w:lineRule="auto"/>
        <w:rPr>
          <w:rFonts w:ascii="宋体" w:hAnsi="宋体" w:cs="宋体"/>
          <w:sz w:val="24"/>
        </w:rPr>
      </w:pPr>
    </w:p>
    <w:p>
      <w:pPr>
        <w:spacing w:line="360" w:lineRule="auto"/>
        <w:ind w:firstLine="1920" w:firstLineChars="800"/>
        <w:rPr>
          <w:rFonts w:ascii="宋体" w:hAnsi="宋体" w:cs="宋体"/>
          <w:sz w:val="24"/>
        </w:rPr>
      </w:pPr>
      <w:r>
        <w:rPr>
          <w:rFonts w:hint="eastAsia" w:ascii="宋体" w:hAnsi="宋体" w:cs="宋体"/>
          <w:sz w:val="24"/>
        </w:rPr>
        <w:t>对应投标文件填写：资格审查文件</w:t>
      </w:r>
    </w:p>
    <w:p>
      <w:pPr>
        <w:spacing w:line="360" w:lineRule="auto"/>
        <w:ind w:firstLine="1920" w:firstLineChars="800"/>
        <w:rPr>
          <w:rFonts w:ascii="宋体" w:hAnsi="宋体" w:cs="宋体"/>
          <w:sz w:val="24"/>
        </w:rPr>
      </w:pPr>
      <w:r>
        <w:rPr>
          <w:rFonts w:hint="eastAsia" w:ascii="宋体" w:hAnsi="宋体" w:cs="宋体"/>
          <w:sz w:val="24"/>
        </w:rPr>
        <w:t>对应投标文件填写：技术标</w:t>
      </w:r>
    </w:p>
    <w:p>
      <w:pPr>
        <w:spacing w:line="360" w:lineRule="auto"/>
        <w:ind w:firstLine="1920" w:firstLineChars="800"/>
        <w:rPr>
          <w:rFonts w:ascii="宋体" w:hAnsi="宋体" w:cs="宋体"/>
          <w:sz w:val="24"/>
        </w:rPr>
      </w:pPr>
      <w:r>
        <w:rPr>
          <w:rFonts w:hint="eastAsia" w:ascii="宋体" w:hAnsi="宋体" w:cs="宋体"/>
          <w:sz w:val="24"/>
        </w:rPr>
        <w:t>对应投标文件填写：商务标</w:t>
      </w:r>
    </w:p>
    <w:p>
      <w:pPr>
        <w:spacing w:line="360" w:lineRule="auto"/>
        <w:jc w:val="center"/>
        <w:rPr>
          <w:rFonts w:ascii="宋体" w:hAnsi="宋体" w:cs="宋体"/>
          <w:b/>
          <w:sz w:val="24"/>
        </w:rPr>
      </w:pPr>
      <w:r>
        <w:rPr>
          <w:rFonts w:hint="eastAsia" w:ascii="宋体" w:hAnsi="宋体" w:cs="宋体"/>
          <w:b/>
          <w:sz w:val="24"/>
        </w:rPr>
        <w:t>（资格后审）</w:t>
      </w:r>
    </w:p>
    <w:p>
      <w:pPr>
        <w:spacing w:line="360" w:lineRule="auto"/>
        <w:jc w:val="center"/>
        <w:rPr>
          <w:rFonts w:ascii="宋体" w:hAnsi="宋体" w:cs="宋体"/>
          <w:b/>
          <w:sz w:val="24"/>
        </w:rPr>
      </w:pPr>
    </w:p>
    <w:p>
      <w:pPr>
        <w:snapToGrid w:val="0"/>
        <w:spacing w:line="360" w:lineRule="auto"/>
        <w:jc w:val="center"/>
        <w:rPr>
          <w:rFonts w:ascii="宋体" w:hAnsi="宋体" w:cs="宋体"/>
          <w:b/>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ind w:firstLine="1440" w:firstLineChars="600"/>
        <w:rPr>
          <w:rFonts w:ascii="宋体" w:hAnsi="宋体" w:cs="宋体"/>
          <w:sz w:val="24"/>
        </w:rPr>
      </w:pPr>
      <w:r>
        <w:rPr>
          <w:rFonts w:hint="eastAsia" w:ascii="宋体" w:hAnsi="宋体" w:cs="宋体"/>
          <w:sz w:val="24"/>
        </w:rPr>
        <w:t>投标供应商：参加投标供应商全称（公章）</w:t>
      </w:r>
    </w:p>
    <w:p>
      <w:pPr>
        <w:spacing w:line="360" w:lineRule="auto"/>
        <w:ind w:firstLine="1440" w:firstLineChars="600"/>
        <w:rPr>
          <w:rFonts w:ascii="宋体" w:hAnsi="宋体" w:cs="宋体"/>
          <w:sz w:val="24"/>
        </w:rPr>
      </w:pPr>
      <w:r>
        <w:rPr>
          <w:rFonts w:hint="eastAsia" w:ascii="宋体" w:hAnsi="宋体" w:cs="宋体"/>
          <w:sz w:val="24"/>
        </w:rPr>
        <w:t>日  期：      年  月  日</w:t>
      </w:r>
    </w:p>
    <w:p>
      <w:pPr>
        <w:spacing w:line="360" w:lineRule="auto"/>
        <w:jc w:val="left"/>
        <w:rPr>
          <w:rFonts w:ascii="宋体" w:hAnsi="宋体" w:cs="宋体"/>
          <w:b/>
          <w:bCs/>
          <w:sz w:val="24"/>
        </w:rPr>
      </w:pPr>
      <w:r>
        <w:rPr>
          <w:rFonts w:hint="eastAsia" w:ascii="宋体" w:hAnsi="宋体" w:cs="宋体"/>
          <w:b/>
          <w:bCs/>
          <w:sz w:val="24"/>
        </w:rPr>
        <w:br w:type="page"/>
      </w:r>
    </w:p>
    <w:p>
      <w:pPr>
        <w:spacing w:line="360" w:lineRule="auto"/>
        <w:jc w:val="left"/>
        <w:rPr>
          <w:rFonts w:ascii="宋体" w:hAnsi="宋体" w:cs="宋体"/>
          <w:b/>
          <w:bCs/>
          <w:sz w:val="24"/>
        </w:rPr>
      </w:pPr>
      <w:r>
        <w:rPr>
          <w:rFonts w:hint="eastAsia" w:ascii="宋体" w:hAnsi="宋体" w:cs="宋体"/>
          <w:b/>
          <w:bCs/>
          <w:sz w:val="24"/>
        </w:rPr>
        <w:t>一、资格审查文件相关的格式文件及表格</w:t>
      </w:r>
    </w:p>
    <w:p>
      <w:pPr>
        <w:spacing w:line="360" w:lineRule="auto"/>
        <w:jc w:val="center"/>
        <w:rPr>
          <w:rFonts w:ascii="宋体" w:hAnsi="宋体" w:cs="宋体"/>
          <w:b/>
          <w:bCs/>
          <w:sz w:val="24"/>
        </w:rPr>
      </w:pPr>
      <w:r>
        <w:rPr>
          <w:rFonts w:hint="eastAsia" w:ascii="宋体" w:hAnsi="宋体" w:cs="宋体"/>
          <w:b/>
          <w:bCs/>
          <w:sz w:val="24"/>
        </w:rPr>
        <w:t>1、法定代表人身份证明</w:t>
      </w:r>
    </w:p>
    <w:p>
      <w:pPr>
        <w:spacing w:line="360" w:lineRule="auto"/>
        <w:jc w:val="center"/>
        <w:rPr>
          <w:rFonts w:ascii="宋体" w:hAnsi="宋体" w:cs="宋体"/>
          <w:sz w:val="24"/>
        </w:rPr>
      </w:pPr>
      <w:r>
        <w:rPr>
          <w:rFonts w:hint="eastAsia" w:ascii="宋体" w:hAnsi="宋体" w:cs="宋体"/>
          <w:sz w:val="24"/>
          <w:u w:val="single"/>
        </w:rPr>
        <w:t>（法定代表人参加投标时，须出示此证明）</w:t>
      </w:r>
    </w:p>
    <w:p>
      <w:pPr>
        <w:spacing w:line="360" w:lineRule="auto"/>
        <w:rPr>
          <w:rFonts w:ascii="宋体" w:hAnsi="宋体" w:cs="宋体"/>
          <w:sz w:val="24"/>
        </w:rPr>
      </w:pPr>
      <w:r>
        <w:rPr>
          <w:rFonts w:hint="eastAsia" w:ascii="宋体" w:hAnsi="宋体" w:cs="宋体"/>
          <w:sz w:val="24"/>
          <w:u w:val="single"/>
        </w:rPr>
        <w:t xml:space="preserve"> （采购人名称）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我公司法定代表人参加贵单位组织的（采购项目名称)项目公开招标采购活动，全权代表我公司处理投标的有关事宜。</w:t>
      </w:r>
    </w:p>
    <w:p>
      <w:pPr>
        <w:spacing w:line="360" w:lineRule="auto"/>
        <w:ind w:firstLine="480" w:firstLineChars="200"/>
        <w:rPr>
          <w:rFonts w:ascii="宋体" w:hAnsi="宋体" w:cs="宋体"/>
          <w:sz w:val="24"/>
        </w:rPr>
      </w:pPr>
    </w:p>
    <w:p>
      <w:pPr>
        <w:spacing w:line="360" w:lineRule="auto"/>
        <w:rPr>
          <w:rFonts w:ascii="宋体" w:hAnsi="宋体" w:cs="宋体"/>
          <w:sz w:val="24"/>
        </w:rPr>
      </w:pPr>
      <w:r>
        <w:rPr>
          <w:rFonts w:hint="eastAsia" w:ascii="宋体" w:hAnsi="宋体" w:cs="宋体"/>
          <w:sz w:val="24"/>
        </w:rPr>
        <w:t>附：法定代表人情况：</w:t>
      </w:r>
    </w:p>
    <w:p>
      <w:pPr>
        <w:spacing w:line="360" w:lineRule="auto"/>
        <w:rPr>
          <w:rFonts w:ascii="宋体" w:hAnsi="宋体" w:cs="宋体"/>
          <w:sz w:val="24"/>
          <w:u w:val="single"/>
        </w:rPr>
      </w:pPr>
      <w:r>
        <w:rPr>
          <w:rFonts w:hint="eastAsia" w:ascii="宋体" w:hAnsi="宋体" w:cs="宋体"/>
          <w:sz w:val="24"/>
        </w:rPr>
        <w:t>姓名： 性别： 年龄：  职务：</w:t>
      </w:r>
    </w:p>
    <w:p>
      <w:pPr>
        <w:spacing w:line="360" w:lineRule="auto"/>
        <w:rPr>
          <w:rFonts w:ascii="宋体" w:hAnsi="宋体" w:cs="宋体"/>
          <w:sz w:val="24"/>
        </w:rPr>
      </w:pPr>
      <w:r>
        <w:rPr>
          <w:rFonts w:hint="eastAsia" w:ascii="宋体" w:hAnsi="宋体" w:cs="宋体"/>
          <w:sz w:val="24"/>
        </w:rPr>
        <w:t>身份证号码：</w:t>
      </w:r>
    </w:p>
    <w:p>
      <w:pPr>
        <w:spacing w:line="360" w:lineRule="auto"/>
        <w:rPr>
          <w:rFonts w:ascii="宋体" w:hAnsi="宋体" w:cs="宋体"/>
          <w:sz w:val="24"/>
        </w:rPr>
      </w:pPr>
      <w:r>
        <w:rPr>
          <w:rFonts w:hint="eastAsia" w:ascii="宋体" w:hAnsi="宋体" w:cs="宋体"/>
          <w:sz w:val="24"/>
        </w:rPr>
        <w:t>手机：   传真：</w:t>
      </w:r>
    </w:p>
    <w:p>
      <w:pPr>
        <w:pStyle w:val="4"/>
        <w:spacing w:line="360" w:lineRule="auto"/>
        <w:rPr>
          <w:rFonts w:ascii="宋体" w:hAnsi="宋体" w:cs="宋体"/>
          <w:sz w:val="24"/>
          <w:szCs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单位名称（公章）             法定代表人（签字或盖章）</w:t>
      </w:r>
    </w:p>
    <w:p>
      <w:pPr>
        <w:spacing w:line="360" w:lineRule="auto"/>
        <w:ind w:firstLine="1200" w:firstLineChars="500"/>
        <w:rPr>
          <w:rFonts w:ascii="宋体" w:hAnsi="宋体" w:cs="宋体"/>
          <w:sz w:val="24"/>
        </w:rPr>
      </w:pPr>
      <w:r>
        <w:rPr>
          <w:rFonts w:hint="eastAsia" w:ascii="宋体" w:hAnsi="宋体" w:cs="宋体"/>
          <w:sz w:val="24"/>
        </w:rPr>
        <w:t xml:space="preserve">年   月   日                 年   月    日  </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法定代表人身份证复印件</w:t>
      </w:r>
    </w:p>
    <w:p>
      <w:pPr>
        <w:spacing w:line="360" w:lineRule="auto"/>
        <w:rPr>
          <w:rFonts w:ascii="宋体" w:hAnsi="宋体" w:cs="宋体"/>
          <w:sz w:val="24"/>
        </w:rPr>
      </w:pPr>
    </w:p>
    <w:p>
      <w:pPr>
        <w:spacing w:line="360" w:lineRule="auto"/>
        <w:ind w:firstLine="2280" w:firstLineChars="950"/>
        <w:rPr>
          <w:rFonts w:ascii="宋体" w:hAnsi="宋体" w:cs="宋体"/>
          <w:sz w:val="24"/>
        </w:rPr>
      </w:pPr>
      <w:r>
        <w:rPr>
          <w:rFonts w:hint="eastAsia" w:ascii="宋体" w:hAnsi="宋体" w:cs="宋体"/>
          <w:sz w:val="24"/>
        </w:rPr>
        <w:t>（粘贴此处）</w:t>
      </w:r>
    </w:p>
    <w:p>
      <w:pPr>
        <w:spacing w:line="360" w:lineRule="auto"/>
        <w:ind w:firstLine="2289" w:firstLineChars="950"/>
        <w:rPr>
          <w:rFonts w:ascii="宋体" w:hAnsi="宋体" w:cs="宋体"/>
          <w:b/>
          <w:bCs/>
          <w:sz w:val="24"/>
        </w:rPr>
      </w:pPr>
    </w:p>
    <w:p>
      <w:pPr>
        <w:spacing w:line="360" w:lineRule="auto"/>
        <w:rPr>
          <w:rFonts w:ascii="宋体" w:hAnsi="宋体" w:cs="宋体"/>
          <w:sz w:val="24"/>
        </w:rPr>
      </w:pPr>
      <w:r>
        <w:rPr>
          <w:rFonts w:hint="eastAsia" w:ascii="宋体" w:hAnsi="宋体" w:cs="宋体"/>
          <w:b/>
          <w:bCs/>
          <w:sz w:val="24"/>
        </w:rPr>
        <w:t>注: 如为法定代表人参加投标时，须将身份证原件带至开标现场备查。</w:t>
      </w:r>
    </w:p>
    <w:p>
      <w:pPr>
        <w:spacing w:line="360" w:lineRule="auto"/>
        <w:jc w:val="center"/>
        <w:rPr>
          <w:rFonts w:ascii="宋体" w:hAnsi="宋体" w:cs="宋体"/>
          <w:b/>
          <w:bCs/>
          <w:sz w:val="24"/>
        </w:rPr>
      </w:pPr>
      <w:r>
        <w:rPr>
          <w:rFonts w:hint="eastAsia" w:ascii="宋体" w:hAnsi="宋体" w:cs="宋体"/>
          <w:b/>
          <w:bCs/>
          <w:sz w:val="24"/>
        </w:rPr>
        <w:br w:type="page"/>
      </w:r>
      <w:r>
        <w:rPr>
          <w:rFonts w:hint="eastAsia" w:ascii="宋体" w:hAnsi="宋体" w:cs="宋体"/>
          <w:b/>
          <w:bCs/>
          <w:sz w:val="24"/>
        </w:rPr>
        <w:t>2、授权委托书</w:t>
      </w:r>
    </w:p>
    <w:p>
      <w:pPr>
        <w:snapToGrid w:val="0"/>
        <w:spacing w:line="360" w:lineRule="auto"/>
        <w:jc w:val="center"/>
        <w:rPr>
          <w:rFonts w:ascii="宋体" w:hAnsi="宋体" w:cs="宋体"/>
          <w:sz w:val="24"/>
          <w:u w:val="single"/>
        </w:rPr>
      </w:pPr>
      <w:bookmarkStart w:id="15" w:name="_Toc360526534"/>
      <w:r>
        <w:rPr>
          <w:rFonts w:hint="eastAsia" w:ascii="宋体" w:hAnsi="宋体" w:cs="宋体"/>
          <w:sz w:val="24"/>
          <w:u w:val="single"/>
        </w:rPr>
        <w:t>（被授权人参加投标时，须出示此证明）</w:t>
      </w:r>
    </w:p>
    <w:p>
      <w:pPr>
        <w:snapToGrid w:val="0"/>
        <w:spacing w:line="360" w:lineRule="auto"/>
        <w:rPr>
          <w:rFonts w:ascii="宋体" w:hAnsi="宋体" w:cs="宋体"/>
          <w:bCs/>
          <w:sz w:val="24"/>
        </w:rPr>
      </w:pPr>
    </w:p>
    <w:p>
      <w:pPr>
        <w:snapToGrid w:val="0"/>
        <w:spacing w:line="360" w:lineRule="auto"/>
        <w:rPr>
          <w:rFonts w:ascii="宋体" w:hAnsi="宋体" w:cs="宋体"/>
          <w:bCs/>
          <w:sz w:val="24"/>
        </w:rPr>
      </w:pPr>
    </w:p>
    <w:p>
      <w:pPr>
        <w:snapToGrid w:val="0"/>
        <w:spacing w:line="360" w:lineRule="auto"/>
        <w:rPr>
          <w:rFonts w:ascii="宋体" w:hAnsi="宋体" w:cs="宋体"/>
          <w:bCs/>
          <w:sz w:val="24"/>
        </w:rPr>
      </w:pPr>
      <w:r>
        <w:rPr>
          <w:rFonts w:hint="eastAsia" w:ascii="宋体" w:hAnsi="宋体" w:cs="宋体"/>
          <w:bCs/>
          <w:sz w:val="24"/>
          <w:u w:val="single"/>
        </w:rPr>
        <w:t xml:space="preserve">  （采购人名称）   </w:t>
      </w:r>
      <w:r>
        <w:rPr>
          <w:rFonts w:hint="eastAsia" w:ascii="宋体" w:hAnsi="宋体" w:cs="宋体"/>
          <w:bCs/>
          <w:sz w:val="24"/>
        </w:rPr>
        <w:t>：</w:t>
      </w:r>
    </w:p>
    <w:p>
      <w:pPr>
        <w:snapToGrid w:val="0"/>
        <w:spacing w:line="360" w:lineRule="auto"/>
        <w:ind w:firstLine="480" w:firstLineChars="200"/>
        <w:rPr>
          <w:rFonts w:ascii="宋体" w:hAnsi="宋体" w:cs="宋体"/>
          <w:sz w:val="24"/>
        </w:rPr>
      </w:pPr>
      <w:r>
        <w:rPr>
          <w:rFonts w:hint="eastAsia" w:ascii="宋体" w:hAnsi="宋体" w:cs="宋体"/>
          <w:sz w:val="24"/>
        </w:rPr>
        <w:t>兹授权</w:t>
      </w:r>
      <w:r>
        <w:rPr>
          <w:rFonts w:hint="eastAsia" w:ascii="宋体" w:hAnsi="宋体" w:cs="宋体"/>
          <w:sz w:val="24"/>
          <w:u w:val="single"/>
        </w:rPr>
        <w:t xml:space="preserve">               （</w:t>
      </w:r>
      <w:r>
        <w:rPr>
          <w:rFonts w:hint="eastAsia" w:ascii="宋体" w:hAnsi="宋体" w:cs="宋体"/>
          <w:sz w:val="24"/>
        </w:rPr>
        <w:t>被授权人的姓名）代表我公司参加（采购项目名称)项目的采购活动，全权处理一切与该项目公开招标有关的事务。其在办理上述事宜过程中所签署的所有文件我公司均予以承认。</w:t>
      </w:r>
    </w:p>
    <w:p>
      <w:pPr>
        <w:pStyle w:val="27"/>
        <w:adjustRightInd w:val="0"/>
        <w:snapToGrid w:val="0"/>
        <w:spacing w:line="360" w:lineRule="auto"/>
        <w:ind w:firstLine="480" w:firstLineChars="200"/>
        <w:jc w:val="left"/>
        <w:rPr>
          <w:rFonts w:hAnsi="宋体" w:cs="宋体"/>
          <w:sz w:val="24"/>
          <w:szCs w:val="24"/>
        </w:rPr>
      </w:pPr>
      <w:r>
        <w:rPr>
          <w:rFonts w:hint="eastAsia" w:hAnsi="宋体" w:cs="宋体"/>
          <w:sz w:val="24"/>
          <w:szCs w:val="24"/>
        </w:rPr>
        <w:t>被授权人无转委托权，特此委托。</w:t>
      </w:r>
    </w:p>
    <w:p>
      <w:pPr>
        <w:pStyle w:val="27"/>
        <w:adjustRightInd w:val="0"/>
        <w:snapToGrid w:val="0"/>
        <w:spacing w:line="360" w:lineRule="auto"/>
        <w:ind w:firstLine="480" w:firstLineChars="200"/>
        <w:jc w:val="left"/>
        <w:rPr>
          <w:rFonts w:hAnsi="宋体" w:cs="宋体"/>
          <w:sz w:val="24"/>
          <w:szCs w:val="24"/>
        </w:rPr>
      </w:pPr>
    </w:p>
    <w:p>
      <w:pPr>
        <w:spacing w:line="360" w:lineRule="auto"/>
        <w:rPr>
          <w:rFonts w:ascii="宋体" w:hAnsi="宋体" w:cs="宋体"/>
          <w:sz w:val="24"/>
        </w:rPr>
      </w:pPr>
      <w:r>
        <w:rPr>
          <w:rFonts w:hint="eastAsia" w:ascii="宋体" w:hAnsi="宋体" w:cs="宋体"/>
          <w:sz w:val="24"/>
        </w:rPr>
        <w:t>附：被授权人情况：</w:t>
      </w:r>
    </w:p>
    <w:p>
      <w:pPr>
        <w:spacing w:line="360" w:lineRule="auto"/>
        <w:rPr>
          <w:rFonts w:ascii="宋体" w:hAnsi="宋体" w:cs="宋体"/>
          <w:sz w:val="24"/>
          <w:u w:val="single"/>
        </w:rPr>
      </w:pPr>
      <w:r>
        <w:rPr>
          <w:rFonts w:hint="eastAsia" w:ascii="宋体" w:hAnsi="宋体" w:cs="宋体"/>
          <w:sz w:val="24"/>
        </w:rPr>
        <w:t>姓名： 性别： 年龄： 职务：</w:t>
      </w:r>
    </w:p>
    <w:p>
      <w:pPr>
        <w:spacing w:line="360" w:lineRule="auto"/>
        <w:rPr>
          <w:rFonts w:ascii="宋体" w:hAnsi="宋体" w:cs="宋体"/>
          <w:sz w:val="24"/>
        </w:rPr>
      </w:pPr>
      <w:r>
        <w:rPr>
          <w:rFonts w:hint="eastAsia" w:ascii="宋体" w:hAnsi="宋体" w:cs="宋体"/>
          <w:sz w:val="24"/>
        </w:rPr>
        <w:t>身份证号码：</w:t>
      </w:r>
    </w:p>
    <w:p>
      <w:pPr>
        <w:spacing w:line="360" w:lineRule="auto"/>
        <w:rPr>
          <w:rFonts w:ascii="宋体" w:hAnsi="宋体" w:cs="宋体"/>
          <w:sz w:val="24"/>
        </w:rPr>
      </w:pPr>
      <w:r>
        <w:rPr>
          <w:rFonts w:hint="eastAsia" w:ascii="宋体" w:hAnsi="宋体" w:cs="宋体"/>
          <w:sz w:val="24"/>
        </w:rPr>
        <w:t>手机：  传真：</w:t>
      </w:r>
    </w:p>
    <w:p>
      <w:pPr>
        <w:spacing w:line="360" w:lineRule="auto"/>
        <w:rPr>
          <w:rFonts w:ascii="宋体" w:hAnsi="宋体" w:cs="宋体"/>
          <w:sz w:val="24"/>
        </w:rPr>
      </w:pPr>
      <w:r>
        <w:rPr>
          <w:rFonts w:hint="eastAsia" w:ascii="宋体" w:hAnsi="宋体" w:cs="宋体"/>
          <w:sz w:val="24"/>
        </w:rPr>
        <w:t>单位名称（公章）             法定代表人（签字或盖章）</w:t>
      </w:r>
    </w:p>
    <w:p>
      <w:pPr>
        <w:spacing w:line="360" w:lineRule="auto"/>
        <w:ind w:firstLine="1200" w:firstLineChars="500"/>
        <w:rPr>
          <w:rFonts w:ascii="宋体" w:hAnsi="宋体" w:cs="宋体"/>
          <w:sz w:val="24"/>
        </w:rPr>
      </w:pPr>
      <w:r>
        <w:rPr>
          <w:rFonts w:hint="eastAsia" w:ascii="宋体" w:hAnsi="宋体" w:cs="宋体"/>
          <w:sz w:val="24"/>
        </w:rPr>
        <w:t xml:space="preserve">年   月   日                 年   月    日  </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法定代表人身份证复印件</w:t>
      </w:r>
    </w:p>
    <w:p>
      <w:pPr>
        <w:spacing w:line="360" w:lineRule="auto"/>
        <w:rPr>
          <w:rFonts w:ascii="宋体" w:hAnsi="宋体" w:cs="宋体"/>
          <w:sz w:val="24"/>
        </w:rPr>
      </w:pPr>
    </w:p>
    <w:p>
      <w:pPr>
        <w:spacing w:line="360" w:lineRule="auto"/>
        <w:ind w:firstLine="2160" w:firstLineChars="900"/>
        <w:rPr>
          <w:rFonts w:ascii="宋体" w:hAnsi="宋体" w:cs="宋体"/>
          <w:sz w:val="24"/>
        </w:rPr>
      </w:pPr>
      <w:r>
        <w:rPr>
          <w:rFonts w:hint="eastAsia" w:ascii="宋体" w:hAnsi="宋体" w:cs="宋体"/>
          <w:sz w:val="24"/>
        </w:rPr>
        <w:t>（粘贴此处）</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被授权人身份证复印件</w:t>
      </w:r>
    </w:p>
    <w:p>
      <w:pPr>
        <w:spacing w:line="360" w:lineRule="auto"/>
        <w:rPr>
          <w:rFonts w:ascii="宋体" w:hAnsi="宋体" w:cs="宋体"/>
          <w:sz w:val="24"/>
        </w:rPr>
      </w:pPr>
    </w:p>
    <w:p>
      <w:pPr>
        <w:spacing w:line="360" w:lineRule="auto"/>
        <w:rPr>
          <w:rFonts w:ascii="宋体" w:hAnsi="宋体" w:cs="宋体"/>
          <w:sz w:val="24"/>
        </w:rPr>
      </w:pPr>
    </w:p>
    <w:p>
      <w:pPr>
        <w:spacing w:line="360" w:lineRule="auto"/>
        <w:ind w:firstLine="2280" w:firstLineChars="950"/>
        <w:rPr>
          <w:rFonts w:ascii="宋体" w:hAnsi="宋体" w:cs="宋体"/>
          <w:sz w:val="24"/>
        </w:rPr>
      </w:pPr>
      <w:r>
        <w:rPr>
          <w:rFonts w:hint="eastAsia" w:ascii="宋体" w:hAnsi="宋体" w:cs="宋体"/>
          <w:sz w:val="24"/>
        </w:rPr>
        <w:t>（粘贴此处）</w:t>
      </w:r>
    </w:p>
    <w:p>
      <w:pPr>
        <w:spacing w:line="360" w:lineRule="auto"/>
        <w:ind w:firstLine="2289" w:firstLineChars="950"/>
        <w:rPr>
          <w:rFonts w:ascii="宋体" w:hAnsi="宋体" w:cs="宋体"/>
          <w:b/>
          <w:bCs/>
          <w:sz w:val="24"/>
        </w:rPr>
      </w:pPr>
    </w:p>
    <w:p>
      <w:pPr>
        <w:spacing w:line="360" w:lineRule="auto"/>
        <w:rPr>
          <w:rFonts w:ascii="宋体" w:hAnsi="宋体" w:cs="宋体"/>
          <w:sz w:val="24"/>
        </w:rPr>
      </w:pPr>
      <w:r>
        <w:rPr>
          <w:rFonts w:hint="eastAsia" w:ascii="宋体" w:hAnsi="宋体" w:cs="宋体"/>
          <w:b/>
          <w:bCs/>
          <w:sz w:val="24"/>
        </w:rPr>
        <w:t>注: 如为被授权人参加投标时，须将身份证原件带至开标现场备查。</w:t>
      </w:r>
    </w:p>
    <w:p>
      <w:pPr>
        <w:snapToGrid w:val="0"/>
        <w:spacing w:line="360" w:lineRule="auto"/>
        <w:jc w:val="center"/>
        <w:outlineLvl w:val="4"/>
        <w:rPr>
          <w:rFonts w:ascii="宋体" w:hAnsi="宋体" w:cs="宋体"/>
          <w:b/>
          <w:bCs/>
          <w:sz w:val="24"/>
        </w:rPr>
      </w:pPr>
      <w:r>
        <w:rPr>
          <w:rFonts w:hint="eastAsia" w:ascii="宋体" w:hAnsi="宋体" w:cs="宋体"/>
          <w:b/>
          <w:bCs/>
          <w:sz w:val="24"/>
        </w:rPr>
        <w:br w:type="page"/>
      </w:r>
    </w:p>
    <w:p>
      <w:pPr>
        <w:snapToGrid w:val="0"/>
        <w:spacing w:line="360" w:lineRule="auto"/>
        <w:jc w:val="center"/>
        <w:outlineLvl w:val="4"/>
        <w:rPr>
          <w:rFonts w:ascii="宋体" w:hAnsi="宋体" w:cs="宋体"/>
          <w:b/>
          <w:bCs/>
          <w:sz w:val="24"/>
        </w:rPr>
      </w:pPr>
      <w:r>
        <w:rPr>
          <w:rFonts w:hint="eastAsia" w:ascii="宋体" w:hAnsi="宋体" w:cs="宋体"/>
          <w:b/>
          <w:bCs/>
          <w:sz w:val="24"/>
        </w:rPr>
        <w:t>3、无重大违法记录声明</w:t>
      </w:r>
    </w:p>
    <w:p>
      <w:pPr>
        <w:spacing w:line="360" w:lineRule="auto"/>
        <w:rPr>
          <w:rFonts w:ascii="宋体" w:hAnsi="宋体" w:cs="宋体"/>
          <w:bCs/>
          <w:sz w:val="24"/>
        </w:rPr>
      </w:pPr>
      <w:r>
        <w:rPr>
          <w:rFonts w:hint="eastAsia" w:ascii="宋体" w:hAnsi="宋体" w:cs="宋体"/>
          <w:sz w:val="24"/>
          <w:u w:val="single"/>
        </w:rPr>
        <w:t xml:space="preserve">         （采购人名称）         </w:t>
      </w:r>
      <w:r>
        <w:rPr>
          <w:rFonts w:hint="eastAsia" w:ascii="宋体" w:hAnsi="宋体" w:cs="宋体"/>
          <w:bCs/>
          <w:sz w:val="24"/>
        </w:rPr>
        <w:t>：</w:t>
      </w:r>
    </w:p>
    <w:p>
      <w:pPr>
        <w:spacing w:line="360" w:lineRule="auto"/>
        <w:rPr>
          <w:rFonts w:ascii="宋体" w:hAnsi="宋体" w:cs="宋体"/>
          <w:sz w:val="24"/>
        </w:rPr>
      </w:pPr>
      <w:r>
        <w:rPr>
          <w:rFonts w:hint="eastAsia" w:ascii="宋体" w:hAnsi="宋体" w:cs="宋体"/>
          <w:sz w:val="24"/>
        </w:rPr>
        <w:t xml:space="preserve">    我单位（投标供应商名称）郑重声明：</w:t>
      </w:r>
    </w:p>
    <w:p>
      <w:pPr>
        <w:spacing w:line="360" w:lineRule="auto"/>
        <w:rPr>
          <w:rFonts w:ascii="宋体" w:hAnsi="宋体" w:cs="宋体"/>
          <w:sz w:val="24"/>
        </w:rPr>
      </w:pPr>
      <w:r>
        <w:rPr>
          <w:rFonts w:hint="eastAsia" w:ascii="宋体" w:hAnsi="宋体" w:cs="宋体"/>
          <w:sz w:val="24"/>
        </w:rPr>
        <w:t xml:space="preserve">    参加采购活动前3年内在经营活动中</w:t>
      </w:r>
      <w:r>
        <w:rPr>
          <w:rFonts w:hint="eastAsia" w:ascii="宋体" w:hAnsi="宋体" w:cs="宋体"/>
          <w:sz w:val="24"/>
          <w:u w:val="single"/>
        </w:rPr>
        <w:t>（在下划线上如实填写：有或没有）</w:t>
      </w:r>
      <w:r>
        <w:rPr>
          <w:rFonts w:hint="eastAsia" w:ascii="宋体" w:hAnsi="宋体" w:cs="宋体"/>
          <w:sz w:val="24"/>
        </w:rPr>
        <w:t>重大违法记录。</w:t>
      </w:r>
    </w:p>
    <w:p>
      <w:pPr>
        <w:spacing w:line="360" w:lineRule="auto"/>
        <w:ind w:firstLine="480"/>
        <w:rPr>
          <w:rFonts w:ascii="宋体" w:hAnsi="宋体" w:cs="宋体"/>
          <w:sz w:val="24"/>
        </w:rPr>
      </w:pPr>
      <w:r>
        <w:rPr>
          <w:rFonts w:hint="eastAsia" w:ascii="宋体" w:hAnsi="宋体" w:cs="宋体"/>
          <w:sz w:val="24"/>
        </w:rPr>
        <w:t>（说明：采购法第二十二条第一款第五项所称重大违法记录，是指供应商因违法经营受到刑事处罚或者责令停产停业、吊销许可证或者执照、较大数额罚款等行政处罚。）</w:t>
      </w: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r>
        <w:rPr>
          <w:rFonts w:hint="eastAsia" w:ascii="宋体" w:hAnsi="宋体" w:cs="宋体"/>
          <w:sz w:val="24"/>
        </w:rPr>
        <w:t xml:space="preserve"> 投标供应商：（加盖公章）</w:t>
      </w:r>
    </w:p>
    <w:p>
      <w:pPr>
        <w:spacing w:line="360" w:lineRule="auto"/>
        <w:ind w:firstLine="480" w:firstLineChars="200"/>
        <w:jc w:val="right"/>
        <w:rPr>
          <w:rFonts w:ascii="宋体" w:hAnsi="宋体" w:cs="宋体"/>
          <w:sz w:val="24"/>
        </w:rPr>
      </w:pPr>
      <w:r>
        <w:rPr>
          <w:rFonts w:hint="eastAsia" w:ascii="宋体" w:hAnsi="宋体" w:cs="宋体"/>
          <w:sz w:val="24"/>
        </w:rPr>
        <w:t>法定代表人或被授权人：（签字或盖章）</w:t>
      </w:r>
    </w:p>
    <w:p>
      <w:pPr>
        <w:spacing w:line="360" w:lineRule="auto"/>
        <w:ind w:firstLine="1320" w:firstLineChars="550"/>
        <w:jc w:val="right"/>
        <w:rPr>
          <w:rFonts w:ascii="宋体" w:hAnsi="宋体" w:cs="宋体"/>
          <w:sz w:val="24"/>
        </w:rPr>
      </w:pPr>
      <w:r>
        <w:rPr>
          <w:rFonts w:hint="eastAsia" w:ascii="宋体" w:hAnsi="宋体" w:cs="宋体"/>
          <w:sz w:val="24"/>
        </w:rPr>
        <w:t>年      月     日</w:t>
      </w:r>
    </w:p>
    <w:p>
      <w:pPr>
        <w:snapToGrid w:val="0"/>
        <w:spacing w:line="360" w:lineRule="auto"/>
        <w:jc w:val="center"/>
        <w:outlineLvl w:val="4"/>
        <w:rPr>
          <w:rFonts w:ascii="宋体" w:hAnsi="宋体" w:cs="宋体"/>
          <w:b/>
          <w:bCs/>
          <w:sz w:val="24"/>
        </w:rPr>
      </w:pPr>
      <w:r>
        <w:rPr>
          <w:rFonts w:hint="eastAsia" w:ascii="宋体" w:hAnsi="宋体" w:cs="宋体"/>
          <w:b/>
          <w:bCs/>
          <w:sz w:val="24"/>
        </w:rPr>
        <w:br w:type="page"/>
      </w:r>
    </w:p>
    <w:p>
      <w:pPr>
        <w:spacing w:line="360" w:lineRule="auto"/>
        <w:jc w:val="center"/>
        <w:rPr>
          <w:b/>
          <w:bCs/>
          <w:sz w:val="24"/>
        </w:rPr>
      </w:pPr>
      <w:r>
        <w:rPr>
          <w:rFonts w:hint="eastAsia"/>
          <w:b/>
          <w:bCs/>
          <w:sz w:val="24"/>
        </w:rPr>
        <w:t>4、履行合同所必需的设备和专业技术能力承诺函</w:t>
      </w:r>
    </w:p>
    <w:p>
      <w:pPr>
        <w:snapToGrid w:val="0"/>
        <w:spacing w:line="360" w:lineRule="auto"/>
        <w:jc w:val="center"/>
        <w:rPr>
          <w:rFonts w:ascii="宋体" w:hAnsi="宋体" w:cs="宋体"/>
          <w:b/>
          <w:bCs/>
          <w:sz w:val="24"/>
        </w:rPr>
      </w:pPr>
    </w:p>
    <w:p>
      <w:pPr>
        <w:adjustRightInd w:val="0"/>
        <w:snapToGrid w:val="0"/>
        <w:spacing w:line="360" w:lineRule="auto"/>
        <w:jc w:val="left"/>
        <w:rPr>
          <w:rFonts w:ascii="宋体" w:hAnsi="宋体" w:cs="宋体"/>
          <w:sz w:val="24"/>
          <w:u w:val="single"/>
        </w:rPr>
      </w:pPr>
      <w:r>
        <w:rPr>
          <w:rFonts w:hint="eastAsia" w:ascii="宋体" w:hAnsi="宋体" w:cs="宋体"/>
          <w:sz w:val="24"/>
          <w:u w:val="single"/>
        </w:rPr>
        <w:t xml:space="preserve">      （采购人）    ： </w:t>
      </w:r>
    </w:p>
    <w:p>
      <w:pPr>
        <w:spacing w:line="360" w:lineRule="auto"/>
        <w:ind w:firstLine="560"/>
        <w:jc w:val="left"/>
        <w:rPr>
          <w:rFonts w:ascii="宋体" w:hAnsi="宋体" w:cs="宋体"/>
          <w:sz w:val="24"/>
        </w:rPr>
      </w:pPr>
      <w:r>
        <w:rPr>
          <w:rFonts w:hint="eastAsia" w:ascii="宋体" w:hAnsi="宋体" w:cs="宋体"/>
          <w:sz w:val="24"/>
        </w:rPr>
        <w:t>我单位</w:t>
      </w:r>
      <w:r>
        <w:rPr>
          <w:rFonts w:hint="eastAsia" w:ascii="宋体" w:hAnsi="宋体" w:cs="宋体"/>
          <w:sz w:val="24"/>
          <w:u w:val="single"/>
        </w:rPr>
        <w:t xml:space="preserve">                            </w:t>
      </w:r>
      <w:r>
        <w:rPr>
          <w:rFonts w:hint="eastAsia" w:ascii="宋体" w:hAnsi="宋体" w:cs="宋体"/>
          <w:sz w:val="24"/>
        </w:rPr>
        <w:t>（供应商名称）郑重承诺：</w:t>
      </w:r>
    </w:p>
    <w:p>
      <w:pPr>
        <w:spacing w:line="360" w:lineRule="auto"/>
        <w:ind w:firstLine="560"/>
        <w:jc w:val="left"/>
        <w:rPr>
          <w:rFonts w:ascii="宋体" w:hAnsi="宋体" w:cs="宋体"/>
          <w:sz w:val="24"/>
        </w:rPr>
      </w:pPr>
      <w:r>
        <w:rPr>
          <w:rFonts w:hint="eastAsia" w:ascii="宋体" w:hAnsi="宋体" w:cs="宋体"/>
          <w:sz w:val="24"/>
        </w:rPr>
        <w:t>贵方组织的</w:t>
      </w:r>
      <w:r>
        <w:rPr>
          <w:rFonts w:hint="eastAsia" w:ascii="宋体" w:hAnsi="宋体" w:cs="宋体"/>
          <w:sz w:val="24"/>
          <w:u w:val="single"/>
        </w:rPr>
        <w:t xml:space="preserve">               </w:t>
      </w:r>
      <w:r>
        <w:rPr>
          <w:rFonts w:hint="eastAsia" w:ascii="宋体" w:hAnsi="宋体" w:cs="宋体"/>
          <w:sz w:val="24"/>
        </w:rPr>
        <w:t>(项目名称），</w:t>
      </w:r>
      <w:r>
        <w:rPr>
          <w:rFonts w:hint="eastAsia" w:ascii="宋体" w:hAnsi="宋体" w:cs="宋体"/>
          <w:sz w:val="24"/>
          <w:u w:val="single"/>
        </w:rPr>
        <w:t xml:space="preserve">               (项目编号）</w:t>
      </w:r>
      <w:r>
        <w:rPr>
          <w:rFonts w:hint="eastAsia" w:ascii="宋体" w:hAnsi="宋体" w:cs="宋体"/>
          <w:sz w:val="24"/>
        </w:rPr>
        <w:t>，我单位</w:t>
      </w:r>
      <w:r>
        <w:rPr>
          <w:rFonts w:hint="eastAsia" w:ascii="宋体" w:hAnsi="宋体" w:cs="宋体"/>
          <w:sz w:val="24"/>
          <w:u w:val="single"/>
        </w:rPr>
        <w:t xml:space="preserve">       </w:t>
      </w:r>
      <w:r>
        <w:rPr>
          <w:rFonts w:hint="eastAsia" w:ascii="宋体" w:hAnsi="宋体" w:cs="宋体"/>
          <w:sz w:val="24"/>
        </w:rPr>
        <w:t>(在下划线上如实填写：有或没有）履行合同所必需的设备和专业技术能力。</w:t>
      </w:r>
    </w:p>
    <w:p>
      <w:pPr>
        <w:spacing w:line="360" w:lineRule="auto"/>
        <w:ind w:firstLine="560"/>
        <w:jc w:val="left"/>
        <w:rPr>
          <w:rFonts w:ascii="宋体" w:hAnsi="宋体" w:cs="宋体"/>
          <w:sz w:val="24"/>
        </w:rPr>
      </w:pPr>
    </w:p>
    <w:p>
      <w:pPr>
        <w:spacing w:line="360" w:lineRule="auto"/>
        <w:ind w:firstLine="560"/>
        <w:jc w:val="left"/>
        <w:rPr>
          <w:rFonts w:ascii="宋体" w:hAnsi="宋体" w:cs="宋体"/>
          <w:sz w:val="24"/>
        </w:rPr>
      </w:pPr>
    </w:p>
    <w:p>
      <w:pPr>
        <w:snapToGrid w:val="0"/>
        <w:spacing w:line="460" w:lineRule="exact"/>
        <w:jc w:val="right"/>
        <w:rPr>
          <w:rFonts w:ascii="宋体" w:hAnsi="宋体"/>
          <w:bCs/>
          <w:sz w:val="24"/>
        </w:rPr>
      </w:pPr>
      <w:r>
        <w:rPr>
          <w:rFonts w:hint="eastAsia" w:ascii="宋体" w:hAnsi="宋体"/>
          <w:bCs/>
          <w:sz w:val="24"/>
        </w:rPr>
        <w:t>法定代表人或被授权人（签字或盖章）：</w:t>
      </w:r>
    </w:p>
    <w:p>
      <w:pPr>
        <w:snapToGrid w:val="0"/>
        <w:spacing w:line="460" w:lineRule="exact"/>
        <w:jc w:val="right"/>
        <w:rPr>
          <w:rFonts w:ascii="宋体" w:hAnsi="宋体"/>
          <w:bCs/>
          <w:sz w:val="24"/>
        </w:rPr>
      </w:pPr>
    </w:p>
    <w:p>
      <w:pPr>
        <w:snapToGrid w:val="0"/>
        <w:spacing w:line="460" w:lineRule="exact"/>
        <w:jc w:val="right"/>
        <w:rPr>
          <w:rFonts w:ascii="宋体" w:hAnsi="宋体"/>
          <w:bCs/>
          <w:sz w:val="24"/>
        </w:rPr>
      </w:pPr>
      <w:r>
        <w:rPr>
          <w:rFonts w:hint="eastAsia" w:ascii="宋体" w:hAnsi="宋体"/>
          <w:bCs/>
          <w:sz w:val="24"/>
        </w:rPr>
        <w:t xml:space="preserve">        </w:t>
      </w:r>
      <w:r>
        <w:rPr>
          <w:rFonts w:ascii="宋体" w:hAnsi="宋体"/>
          <w:bCs/>
          <w:sz w:val="24"/>
        </w:rPr>
        <w:t xml:space="preserve">                                </w:t>
      </w:r>
      <w:r>
        <w:rPr>
          <w:rFonts w:hint="eastAsia" w:ascii="宋体" w:hAnsi="宋体"/>
          <w:bCs/>
          <w:sz w:val="24"/>
        </w:rPr>
        <w:t>（投标人）公章：</w:t>
      </w:r>
    </w:p>
    <w:p>
      <w:pPr>
        <w:snapToGrid w:val="0"/>
        <w:spacing w:line="460" w:lineRule="exact"/>
        <w:jc w:val="right"/>
        <w:rPr>
          <w:rFonts w:ascii="宋体" w:hAnsi="宋体"/>
          <w:bCs/>
          <w:sz w:val="24"/>
        </w:rPr>
      </w:pPr>
    </w:p>
    <w:p>
      <w:pPr>
        <w:wordWrap w:val="0"/>
        <w:snapToGrid w:val="0"/>
        <w:spacing w:line="460" w:lineRule="exact"/>
        <w:jc w:val="right"/>
        <w:rPr>
          <w:rFonts w:ascii="宋体" w:hAnsi="宋体"/>
          <w:bCs/>
          <w:sz w:val="24"/>
        </w:rPr>
      </w:pPr>
      <w:r>
        <w:rPr>
          <w:rFonts w:hint="eastAsia" w:ascii="宋体" w:hAnsi="宋体"/>
          <w:bCs/>
          <w:sz w:val="24"/>
        </w:rPr>
        <w:t>年</w:t>
      </w:r>
      <w:r>
        <w:rPr>
          <w:rFonts w:hint="eastAsia" w:ascii="宋体" w:hAnsi="宋体"/>
          <w:bCs/>
          <w:sz w:val="24"/>
        </w:rPr>
        <w:tab/>
      </w:r>
      <w:r>
        <w:rPr>
          <w:rFonts w:hint="eastAsia" w:ascii="宋体" w:hAnsi="宋体"/>
          <w:bCs/>
          <w:sz w:val="24"/>
        </w:rPr>
        <w:t xml:space="preserve">   月 </w:t>
      </w:r>
      <w:r>
        <w:rPr>
          <w:rFonts w:hint="eastAsia" w:ascii="宋体" w:hAnsi="宋体"/>
          <w:bCs/>
          <w:sz w:val="24"/>
        </w:rPr>
        <w:tab/>
      </w:r>
      <w:r>
        <w:rPr>
          <w:rFonts w:ascii="宋体" w:hAnsi="宋体"/>
          <w:bCs/>
          <w:sz w:val="24"/>
        </w:rPr>
        <w:t xml:space="preserve">  </w:t>
      </w:r>
      <w:r>
        <w:rPr>
          <w:rFonts w:hint="eastAsia" w:ascii="宋体" w:hAnsi="宋体"/>
          <w:bCs/>
          <w:sz w:val="24"/>
        </w:rPr>
        <w:t>日</w:t>
      </w:r>
    </w:p>
    <w:p>
      <w:pPr>
        <w:snapToGrid w:val="0"/>
        <w:spacing w:line="360" w:lineRule="auto"/>
        <w:jc w:val="center"/>
        <w:outlineLvl w:val="4"/>
        <w:rPr>
          <w:rFonts w:ascii="宋体" w:hAnsi="宋体" w:cs="宋体"/>
          <w:b/>
          <w:bCs/>
          <w:sz w:val="24"/>
        </w:rPr>
      </w:pPr>
    </w:p>
    <w:p>
      <w:pPr>
        <w:snapToGrid w:val="0"/>
        <w:spacing w:line="360" w:lineRule="auto"/>
        <w:jc w:val="center"/>
        <w:outlineLvl w:val="4"/>
        <w:rPr>
          <w:rFonts w:ascii="宋体" w:hAnsi="宋体" w:cs="宋体"/>
          <w:b/>
          <w:bCs/>
          <w:sz w:val="24"/>
        </w:rPr>
      </w:pPr>
    </w:p>
    <w:p>
      <w:pPr>
        <w:snapToGrid w:val="0"/>
        <w:spacing w:line="360" w:lineRule="auto"/>
        <w:jc w:val="center"/>
        <w:outlineLvl w:val="4"/>
        <w:rPr>
          <w:rFonts w:ascii="宋体" w:hAnsi="宋体" w:cs="宋体"/>
          <w:b/>
          <w:bCs/>
          <w:sz w:val="24"/>
        </w:rPr>
      </w:pPr>
    </w:p>
    <w:p>
      <w:pPr>
        <w:snapToGrid w:val="0"/>
        <w:spacing w:line="360" w:lineRule="auto"/>
        <w:jc w:val="center"/>
        <w:outlineLvl w:val="4"/>
        <w:rPr>
          <w:rFonts w:ascii="宋体" w:hAnsi="宋体" w:cs="宋体"/>
          <w:b/>
          <w:bCs/>
          <w:sz w:val="24"/>
        </w:rPr>
      </w:pPr>
    </w:p>
    <w:p>
      <w:pPr>
        <w:snapToGrid w:val="0"/>
        <w:spacing w:line="360" w:lineRule="auto"/>
        <w:jc w:val="center"/>
        <w:outlineLvl w:val="4"/>
        <w:rPr>
          <w:rFonts w:ascii="宋体" w:hAnsi="宋体" w:cs="宋体"/>
          <w:b/>
          <w:bCs/>
          <w:sz w:val="24"/>
        </w:rPr>
      </w:pPr>
    </w:p>
    <w:p>
      <w:pPr>
        <w:snapToGrid w:val="0"/>
        <w:spacing w:line="360" w:lineRule="auto"/>
        <w:jc w:val="center"/>
        <w:outlineLvl w:val="4"/>
        <w:rPr>
          <w:rFonts w:ascii="宋体" w:hAnsi="宋体" w:cs="宋体"/>
          <w:b/>
          <w:bCs/>
          <w:sz w:val="24"/>
        </w:rPr>
      </w:pPr>
      <w:r>
        <w:rPr>
          <w:rFonts w:hint="eastAsia" w:ascii="宋体" w:hAnsi="宋体" w:cs="宋体"/>
          <w:b/>
          <w:bCs/>
          <w:sz w:val="24"/>
        </w:rPr>
        <w:t>5、关于资格文件的声明函</w:t>
      </w:r>
    </w:p>
    <w:p>
      <w:pPr>
        <w:adjustRightInd w:val="0"/>
        <w:snapToGrid w:val="0"/>
        <w:spacing w:line="360" w:lineRule="auto"/>
        <w:jc w:val="lef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（采购人名称）             </w:t>
      </w:r>
      <w:r>
        <w:rPr>
          <w:rFonts w:hint="eastAsia" w:ascii="宋体" w:hAnsi="宋体" w:cs="宋体"/>
          <w:sz w:val="24"/>
        </w:rPr>
        <w:t xml:space="preserve"> ：</w:t>
      </w:r>
    </w:p>
    <w:p>
      <w:pPr>
        <w:overflowPunct w:val="0"/>
        <w:adjustRightInd w:val="0"/>
        <w:spacing w:line="360" w:lineRule="auto"/>
        <w:ind w:firstLine="660"/>
        <w:jc w:val="left"/>
        <w:textAlignment w:val="baseline"/>
        <w:rPr>
          <w:rFonts w:ascii="宋体" w:hAnsi="宋体" w:cs="宋体"/>
          <w:sz w:val="24"/>
        </w:rPr>
      </w:pPr>
      <w:r>
        <w:rPr>
          <w:rFonts w:hint="eastAsia" w:ascii="宋体" w:hAnsi="宋体" w:cs="宋体"/>
          <w:sz w:val="24"/>
        </w:rPr>
        <w:t>本公司愿就由贵单位组织实施的</w:t>
      </w:r>
      <w:r>
        <w:rPr>
          <w:rFonts w:hint="eastAsia" w:ascii="宋体" w:hAnsi="宋体" w:cs="宋体"/>
          <w:sz w:val="24"/>
          <w:u w:val="single"/>
        </w:rPr>
        <w:t>（招标项目名称)</w:t>
      </w:r>
      <w:r>
        <w:rPr>
          <w:rFonts w:hint="eastAsia" w:ascii="宋体" w:hAnsi="宋体" w:cs="宋体"/>
          <w:sz w:val="24"/>
        </w:rPr>
        <w:t>的招标活动进行投标。本公司所提交的投标文件中所有关于投标资格的文件、证明和陈述均是真实的、准确的。若与真实情况不符，本公司愿意承担由此而产生的一切后果。</w:t>
      </w:r>
    </w:p>
    <w:p>
      <w:pPr>
        <w:overflowPunct w:val="0"/>
        <w:adjustRightInd w:val="0"/>
        <w:spacing w:line="360" w:lineRule="auto"/>
        <w:ind w:firstLine="420"/>
        <w:jc w:val="left"/>
        <w:textAlignment w:val="baseline"/>
        <w:rPr>
          <w:rFonts w:ascii="宋体" w:hAnsi="宋体" w:cs="宋体"/>
          <w:sz w:val="24"/>
        </w:rPr>
      </w:pPr>
    </w:p>
    <w:p>
      <w:pPr>
        <w:overflowPunct w:val="0"/>
        <w:adjustRightInd w:val="0"/>
        <w:spacing w:line="360" w:lineRule="auto"/>
        <w:ind w:firstLine="420"/>
        <w:jc w:val="left"/>
        <w:textAlignment w:val="baseline"/>
        <w:rPr>
          <w:rFonts w:ascii="宋体" w:hAnsi="宋体" w:cs="宋体"/>
          <w:sz w:val="24"/>
        </w:rPr>
      </w:pPr>
    </w:p>
    <w:p>
      <w:pPr>
        <w:spacing w:line="360" w:lineRule="auto"/>
        <w:ind w:firstLine="480" w:firstLineChars="200"/>
        <w:jc w:val="right"/>
        <w:rPr>
          <w:rFonts w:ascii="宋体" w:hAnsi="宋体" w:cs="宋体"/>
          <w:sz w:val="24"/>
        </w:rPr>
      </w:pPr>
      <w:r>
        <w:rPr>
          <w:rFonts w:hint="eastAsia" w:ascii="宋体" w:hAnsi="宋体" w:cs="宋体"/>
          <w:sz w:val="24"/>
        </w:rPr>
        <w:t>投标供应商：（加盖公章）</w:t>
      </w:r>
    </w:p>
    <w:p>
      <w:pPr>
        <w:spacing w:line="360" w:lineRule="auto"/>
        <w:ind w:firstLine="480" w:firstLineChars="200"/>
        <w:jc w:val="right"/>
        <w:rPr>
          <w:rFonts w:ascii="宋体" w:hAnsi="宋体" w:cs="宋体"/>
          <w:sz w:val="24"/>
        </w:rPr>
      </w:pPr>
      <w:r>
        <w:rPr>
          <w:rFonts w:hint="eastAsia" w:ascii="宋体" w:hAnsi="宋体" w:cs="宋体"/>
          <w:sz w:val="24"/>
        </w:rPr>
        <w:t>法定代表人或被授权人：（签字或盖章）</w:t>
      </w:r>
    </w:p>
    <w:p>
      <w:pPr>
        <w:spacing w:line="360" w:lineRule="auto"/>
        <w:ind w:firstLine="1320" w:firstLineChars="550"/>
        <w:jc w:val="right"/>
        <w:rPr>
          <w:rFonts w:ascii="宋体" w:hAnsi="宋体" w:cs="宋体"/>
          <w:sz w:val="24"/>
        </w:rPr>
      </w:pPr>
      <w:r>
        <w:rPr>
          <w:rFonts w:hint="eastAsia" w:ascii="宋体" w:hAnsi="宋体" w:cs="宋体"/>
          <w:sz w:val="24"/>
        </w:rPr>
        <w:t>年      月     日</w:t>
      </w:r>
    </w:p>
    <w:p>
      <w:pPr>
        <w:spacing w:line="360" w:lineRule="auto"/>
        <w:rPr>
          <w:rFonts w:ascii="宋体" w:hAnsi="宋体" w:cs="宋体"/>
          <w:sz w:val="24"/>
        </w:rPr>
      </w:pPr>
      <w:r>
        <w:rPr>
          <w:rFonts w:hint="eastAsia" w:ascii="宋体" w:hAnsi="宋体" w:cs="宋体"/>
          <w:sz w:val="24"/>
        </w:rPr>
        <w:br w:type="page"/>
      </w:r>
    </w:p>
    <w:p>
      <w:pPr>
        <w:pStyle w:val="203"/>
        <w:jc w:val="center"/>
        <w:rPr>
          <w:rFonts w:ascii="宋体" w:hAnsi="宋体"/>
          <w:color w:val="auto"/>
          <w:sz w:val="24"/>
          <w:szCs w:val="24"/>
        </w:rPr>
      </w:pPr>
      <w:r>
        <w:rPr>
          <w:rFonts w:hint="eastAsia" w:ascii="宋体" w:hAnsi="宋体"/>
          <w:color w:val="auto"/>
          <w:sz w:val="24"/>
          <w:szCs w:val="24"/>
        </w:rPr>
        <w:t>6、制造商唯一授权书</w:t>
      </w:r>
    </w:p>
    <w:p>
      <w:pPr>
        <w:autoSpaceDE w:val="0"/>
        <w:autoSpaceDN w:val="0"/>
        <w:adjustRightInd w:val="0"/>
        <w:spacing w:line="360" w:lineRule="auto"/>
        <w:ind w:firstLine="480" w:firstLineChars="200"/>
        <w:rPr>
          <w:sz w:val="24"/>
          <w:u w:val="single"/>
        </w:rPr>
      </w:pPr>
      <w:r>
        <w:rPr>
          <w:rFonts w:hint="eastAsia"/>
          <w:sz w:val="24"/>
        </w:rPr>
        <w:t>致：</w:t>
      </w:r>
      <w:r>
        <w:rPr>
          <w:rFonts w:hint="eastAsia"/>
          <w:sz w:val="24"/>
          <w:u w:val="single"/>
        </w:rPr>
        <w:t xml:space="preserve">             </w:t>
      </w:r>
    </w:p>
    <w:p>
      <w:pPr>
        <w:autoSpaceDE w:val="0"/>
        <w:autoSpaceDN w:val="0"/>
        <w:adjustRightInd w:val="0"/>
        <w:spacing w:line="360" w:lineRule="auto"/>
        <w:ind w:firstLine="720" w:firstLineChars="300"/>
        <w:rPr>
          <w:sz w:val="24"/>
        </w:rPr>
      </w:pPr>
      <w:r>
        <w:rPr>
          <w:rFonts w:hint="eastAsia"/>
          <w:sz w:val="24"/>
          <w:u w:val="single"/>
        </w:rPr>
        <w:t xml:space="preserve">(制造商)      </w:t>
      </w:r>
      <w:r>
        <w:rPr>
          <w:rFonts w:hint="eastAsia"/>
          <w:sz w:val="24"/>
        </w:rPr>
        <w:t>是根据中华人民共和国法律成立的一家电梯制造商，注册地址为：</w:t>
      </w:r>
      <w:r>
        <w:rPr>
          <w:rFonts w:hint="eastAsia"/>
          <w:sz w:val="24"/>
          <w:u w:val="single"/>
        </w:rPr>
        <w:t xml:space="preserve">   (制造商地址)</w:t>
      </w:r>
      <w:r>
        <w:rPr>
          <w:rFonts w:hint="eastAsia"/>
          <w:sz w:val="24"/>
        </w:rPr>
        <w:t>，法定代表人为：</w:t>
      </w:r>
      <w:r>
        <w:rPr>
          <w:rFonts w:hint="eastAsia"/>
          <w:sz w:val="24"/>
          <w:u w:val="single"/>
        </w:rPr>
        <w:t xml:space="preserve">       </w:t>
      </w:r>
      <w:r>
        <w:rPr>
          <w:rFonts w:hint="eastAsia"/>
          <w:sz w:val="24"/>
        </w:rPr>
        <w:t>。</w:t>
      </w:r>
    </w:p>
    <w:p>
      <w:pPr>
        <w:autoSpaceDE w:val="0"/>
        <w:autoSpaceDN w:val="0"/>
        <w:adjustRightInd w:val="0"/>
        <w:spacing w:line="360" w:lineRule="auto"/>
        <w:ind w:firstLine="480" w:firstLineChars="200"/>
        <w:rPr>
          <w:sz w:val="24"/>
        </w:rPr>
      </w:pPr>
    </w:p>
    <w:p>
      <w:pPr>
        <w:autoSpaceDE w:val="0"/>
        <w:autoSpaceDN w:val="0"/>
        <w:adjustRightInd w:val="0"/>
        <w:spacing w:line="360" w:lineRule="auto"/>
        <w:ind w:firstLine="480" w:firstLineChars="200"/>
        <w:rPr>
          <w:sz w:val="24"/>
        </w:rPr>
      </w:pPr>
      <w:r>
        <w:rPr>
          <w:rFonts w:hint="eastAsia"/>
          <w:sz w:val="24"/>
          <w:u w:val="single"/>
        </w:rPr>
        <w:t>(制造商)</w:t>
      </w:r>
      <w:r>
        <w:rPr>
          <w:rFonts w:hint="eastAsia"/>
          <w:sz w:val="24"/>
        </w:rPr>
        <w:t>现同意</w:t>
      </w:r>
      <w:r>
        <w:rPr>
          <w:rFonts w:hint="eastAsia"/>
          <w:sz w:val="24"/>
          <w:u w:val="single"/>
        </w:rPr>
        <w:t>(代理商或分支机构)</w:t>
      </w:r>
      <w:r>
        <w:rPr>
          <w:rFonts w:hint="eastAsia"/>
          <w:sz w:val="24"/>
        </w:rPr>
        <w:t>就</w:t>
      </w:r>
      <w:r>
        <w:rPr>
          <w:rFonts w:hint="eastAsia"/>
          <w:sz w:val="24"/>
          <w:u w:val="single"/>
        </w:rPr>
        <w:t>(项目名称)</w:t>
      </w:r>
      <w:r>
        <w:rPr>
          <w:rFonts w:hint="eastAsia"/>
          <w:sz w:val="24"/>
        </w:rPr>
        <w:t>经销</w:t>
      </w:r>
      <w:r>
        <w:rPr>
          <w:rFonts w:hint="eastAsia"/>
          <w:sz w:val="24"/>
          <w:u w:val="single"/>
        </w:rPr>
        <w:t xml:space="preserve">          (品牌) </w:t>
      </w:r>
      <w:r>
        <w:rPr>
          <w:rFonts w:hint="eastAsia"/>
          <w:sz w:val="24"/>
        </w:rPr>
        <w:t>电/扶梯产品。</w:t>
      </w:r>
      <w:r>
        <w:rPr>
          <w:rFonts w:hint="eastAsia"/>
          <w:sz w:val="24"/>
          <w:u w:val="single"/>
        </w:rPr>
        <w:t>（代理商或分支机构）</w:t>
      </w:r>
      <w:r>
        <w:rPr>
          <w:rFonts w:hint="eastAsia"/>
          <w:sz w:val="24"/>
        </w:rPr>
        <w:t>为本公司参与上述项目的唯一代理商或分支机构。</w:t>
      </w:r>
    </w:p>
    <w:p>
      <w:pPr>
        <w:autoSpaceDE w:val="0"/>
        <w:autoSpaceDN w:val="0"/>
        <w:adjustRightInd w:val="0"/>
        <w:spacing w:line="360" w:lineRule="auto"/>
        <w:ind w:firstLine="480" w:firstLineChars="200"/>
        <w:rPr>
          <w:sz w:val="24"/>
        </w:rPr>
      </w:pPr>
    </w:p>
    <w:p>
      <w:pPr>
        <w:autoSpaceDE w:val="0"/>
        <w:autoSpaceDN w:val="0"/>
        <w:adjustRightInd w:val="0"/>
        <w:spacing w:line="360" w:lineRule="auto"/>
        <w:ind w:firstLine="480" w:firstLineChars="200"/>
        <w:rPr>
          <w:sz w:val="24"/>
          <w:u w:val="single"/>
        </w:rPr>
      </w:pPr>
      <w:r>
        <w:rPr>
          <w:rFonts w:hint="eastAsia"/>
          <w:sz w:val="24"/>
        </w:rPr>
        <w:t>此次投标的产品品牌为：</w:t>
      </w:r>
      <w:r>
        <w:rPr>
          <w:rFonts w:hint="eastAsia"/>
          <w:sz w:val="24"/>
          <w:u w:val="single"/>
        </w:rPr>
        <w:t xml:space="preserve">      </w:t>
      </w:r>
      <w:r>
        <w:rPr>
          <w:rFonts w:hint="eastAsia"/>
          <w:sz w:val="24"/>
        </w:rPr>
        <w:t>，型号为：</w:t>
      </w:r>
      <w:r>
        <w:rPr>
          <w:rFonts w:hint="eastAsia"/>
          <w:sz w:val="24"/>
          <w:u w:val="single"/>
        </w:rPr>
        <w:t xml:space="preserve">          </w:t>
      </w:r>
      <w:r>
        <w:rPr>
          <w:rFonts w:hint="eastAsia"/>
          <w:sz w:val="24"/>
        </w:rPr>
        <w:t>。此次投标的产品所含的进口部件见如下明细：</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4568"/>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autoSpaceDE w:val="0"/>
              <w:autoSpaceDN w:val="0"/>
              <w:adjustRightInd w:val="0"/>
              <w:spacing w:line="360" w:lineRule="auto"/>
              <w:jc w:val="center"/>
              <w:rPr>
                <w:sz w:val="24"/>
              </w:rPr>
            </w:pPr>
            <w:r>
              <w:rPr>
                <w:rFonts w:hint="eastAsia"/>
                <w:sz w:val="24"/>
              </w:rPr>
              <w:t>序号</w:t>
            </w:r>
          </w:p>
        </w:tc>
        <w:tc>
          <w:tcPr>
            <w:tcW w:w="4568" w:type="dxa"/>
          </w:tcPr>
          <w:p>
            <w:pPr>
              <w:autoSpaceDE w:val="0"/>
              <w:autoSpaceDN w:val="0"/>
              <w:adjustRightInd w:val="0"/>
              <w:spacing w:line="360" w:lineRule="auto"/>
              <w:jc w:val="center"/>
              <w:rPr>
                <w:sz w:val="24"/>
              </w:rPr>
            </w:pPr>
            <w:r>
              <w:rPr>
                <w:rFonts w:hint="eastAsia"/>
                <w:sz w:val="24"/>
              </w:rPr>
              <w:t>进口件名称</w:t>
            </w:r>
          </w:p>
        </w:tc>
        <w:tc>
          <w:tcPr>
            <w:tcW w:w="3402" w:type="dxa"/>
          </w:tcPr>
          <w:p>
            <w:pPr>
              <w:autoSpaceDE w:val="0"/>
              <w:autoSpaceDN w:val="0"/>
              <w:adjustRightInd w:val="0"/>
              <w:spacing w:line="360" w:lineRule="auto"/>
              <w:jc w:val="center"/>
              <w:rPr>
                <w:sz w:val="24"/>
              </w:rPr>
            </w:pPr>
            <w:r>
              <w:rPr>
                <w:rFonts w:hint="eastAsia"/>
                <w:sz w:val="24"/>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autoSpaceDE w:val="0"/>
              <w:autoSpaceDN w:val="0"/>
              <w:adjustRightInd w:val="0"/>
              <w:spacing w:line="360" w:lineRule="auto"/>
              <w:rPr>
                <w:sz w:val="24"/>
              </w:rPr>
            </w:pPr>
          </w:p>
        </w:tc>
        <w:tc>
          <w:tcPr>
            <w:tcW w:w="4568" w:type="dxa"/>
          </w:tcPr>
          <w:p>
            <w:pPr>
              <w:autoSpaceDE w:val="0"/>
              <w:autoSpaceDN w:val="0"/>
              <w:adjustRightInd w:val="0"/>
              <w:spacing w:line="360" w:lineRule="auto"/>
              <w:rPr>
                <w:sz w:val="24"/>
              </w:rPr>
            </w:pPr>
          </w:p>
        </w:tc>
        <w:tc>
          <w:tcPr>
            <w:tcW w:w="3402" w:type="dxa"/>
          </w:tcPr>
          <w:p>
            <w:pPr>
              <w:autoSpaceDE w:val="0"/>
              <w:autoSpaceDN w:val="0"/>
              <w:adjustRightIn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autoSpaceDE w:val="0"/>
              <w:autoSpaceDN w:val="0"/>
              <w:adjustRightInd w:val="0"/>
              <w:spacing w:line="360" w:lineRule="auto"/>
              <w:rPr>
                <w:sz w:val="24"/>
              </w:rPr>
            </w:pPr>
          </w:p>
        </w:tc>
        <w:tc>
          <w:tcPr>
            <w:tcW w:w="4568" w:type="dxa"/>
          </w:tcPr>
          <w:p>
            <w:pPr>
              <w:autoSpaceDE w:val="0"/>
              <w:autoSpaceDN w:val="0"/>
              <w:adjustRightInd w:val="0"/>
              <w:spacing w:line="360" w:lineRule="auto"/>
              <w:rPr>
                <w:sz w:val="24"/>
              </w:rPr>
            </w:pPr>
          </w:p>
        </w:tc>
        <w:tc>
          <w:tcPr>
            <w:tcW w:w="3402" w:type="dxa"/>
          </w:tcPr>
          <w:p>
            <w:pPr>
              <w:autoSpaceDE w:val="0"/>
              <w:autoSpaceDN w:val="0"/>
              <w:adjustRightIn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autoSpaceDE w:val="0"/>
              <w:autoSpaceDN w:val="0"/>
              <w:adjustRightInd w:val="0"/>
              <w:spacing w:line="360" w:lineRule="auto"/>
              <w:rPr>
                <w:sz w:val="24"/>
              </w:rPr>
            </w:pPr>
          </w:p>
        </w:tc>
        <w:tc>
          <w:tcPr>
            <w:tcW w:w="4568" w:type="dxa"/>
          </w:tcPr>
          <w:p>
            <w:pPr>
              <w:autoSpaceDE w:val="0"/>
              <w:autoSpaceDN w:val="0"/>
              <w:adjustRightInd w:val="0"/>
              <w:spacing w:line="360" w:lineRule="auto"/>
              <w:rPr>
                <w:sz w:val="24"/>
              </w:rPr>
            </w:pPr>
          </w:p>
        </w:tc>
        <w:tc>
          <w:tcPr>
            <w:tcW w:w="3402" w:type="dxa"/>
          </w:tcPr>
          <w:p>
            <w:pPr>
              <w:autoSpaceDE w:val="0"/>
              <w:autoSpaceDN w:val="0"/>
              <w:adjustRightIn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autoSpaceDE w:val="0"/>
              <w:autoSpaceDN w:val="0"/>
              <w:adjustRightInd w:val="0"/>
              <w:spacing w:line="360" w:lineRule="auto"/>
              <w:rPr>
                <w:sz w:val="24"/>
              </w:rPr>
            </w:pPr>
          </w:p>
        </w:tc>
        <w:tc>
          <w:tcPr>
            <w:tcW w:w="4568" w:type="dxa"/>
          </w:tcPr>
          <w:p>
            <w:pPr>
              <w:autoSpaceDE w:val="0"/>
              <w:autoSpaceDN w:val="0"/>
              <w:adjustRightInd w:val="0"/>
              <w:spacing w:line="360" w:lineRule="auto"/>
              <w:rPr>
                <w:sz w:val="24"/>
              </w:rPr>
            </w:pPr>
          </w:p>
        </w:tc>
        <w:tc>
          <w:tcPr>
            <w:tcW w:w="3402" w:type="dxa"/>
          </w:tcPr>
          <w:p>
            <w:pPr>
              <w:autoSpaceDE w:val="0"/>
              <w:autoSpaceDN w:val="0"/>
              <w:adjustRightInd w:val="0"/>
              <w:spacing w:line="360" w:lineRule="auto"/>
              <w:rPr>
                <w:sz w:val="24"/>
              </w:rPr>
            </w:pPr>
          </w:p>
        </w:tc>
      </w:tr>
    </w:tbl>
    <w:p>
      <w:pPr>
        <w:autoSpaceDE w:val="0"/>
        <w:autoSpaceDN w:val="0"/>
        <w:adjustRightInd w:val="0"/>
        <w:spacing w:line="360" w:lineRule="auto"/>
        <w:ind w:firstLine="480" w:firstLineChars="200"/>
        <w:rPr>
          <w:sz w:val="24"/>
          <w:u w:val="single"/>
        </w:rPr>
      </w:pPr>
    </w:p>
    <w:p>
      <w:pPr>
        <w:autoSpaceDE w:val="0"/>
        <w:autoSpaceDN w:val="0"/>
        <w:adjustRightInd w:val="0"/>
        <w:spacing w:line="360" w:lineRule="auto"/>
        <w:ind w:firstLine="480" w:firstLineChars="200"/>
        <w:rPr>
          <w:sz w:val="24"/>
        </w:rPr>
      </w:pPr>
      <w:r>
        <w:rPr>
          <w:rFonts w:hint="eastAsia"/>
          <w:sz w:val="24"/>
        </w:rPr>
        <w:t>【</w:t>
      </w:r>
      <w:r>
        <w:rPr>
          <w:rFonts w:hint="eastAsia"/>
          <w:sz w:val="24"/>
          <w:u w:val="single"/>
        </w:rPr>
        <w:t xml:space="preserve">       </w:t>
      </w:r>
      <w:r>
        <w:rPr>
          <w:rFonts w:hint="eastAsia"/>
          <w:sz w:val="24"/>
        </w:rPr>
        <w:t>】(代理商或分支机构)独立履行其在投标活动中的承诺和义务。如【</w:t>
      </w:r>
      <w:r>
        <w:rPr>
          <w:rFonts w:hint="eastAsia"/>
          <w:sz w:val="24"/>
          <w:u w:val="single"/>
        </w:rPr>
        <w:t xml:space="preserve">      </w:t>
      </w:r>
      <w:r>
        <w:rPr>
          <w:rFonts w:hint="eastAsia"/>
          <w:sz w:val="24"/>
        </w:rPr>
        <w:t>】(代理商或分支机构)中标此项目，且与本公司签约购买上述品牌电梯，本公司作为电梯制造单位，将根据《中华人民共和国特种设备安全法》的规定对本公司生产的产品承担质量保证责任。</w:t>
      </w:r>
    </w:p>
    <w:p>
      <w:pPr>
        <w:autoSpaceDE w:val="0"/>
        <w:autoSpaceDN w:val="0"/>
        <w:adjustRightInd w:val="0"/>
        <w:spacing w:line="360" w:lineRule="auto"/>
        <w:ind w:firstLine="480" w:firstLineChars="200"/>
        <w:rPr>
          <w:sz w:val="24"/>
        </w:rPr>
      </w:pPr>
    </w:p>
    <w:p>
      <w:pPr>
        <w:autoSpaceDE w:val="0"/>
        <w:autoSpaceDN w:val="0"/>
        <w:adjustRightInd w:val="0"/>
        <w:spacing w:line="360" w:lineRule="auto"/>
        <w:ind w:firstLine="480" w:firstLineChars="200"/>
        <w:rPr>
          <w:sz w:val="24"/>
        </w:rPr>
      </w:pPr>
      <w:r>
        <w:rPr>
          <w:rFonts w:hint="eastAsia"/>
          <w:sz w:val="24"/>
        </w:rPr>
        <w:t>本授权书自盖章之日起，90天内有效。</w:t>
      </w:r>
    </w:p>
    <w:p>
      <w:pPr>
        <w:autoSpaceDE w:val="0"/>
        <w:autoSpaceDN w:val="0"/>
        <w:spacing w:line="360" w:lineRule="auto"/>
        <w:jc w:val="right"/>
        <w:rPr>
          <w:sz w:val="24"/>
        </w:rPr>
      </w:pPr>
    </w:p>
    <w:p>
      <w:pPr>
        <w:autoSpaceDE w:val="0"/>
        <w:autoSpaceDN w:val="0"/>
        <w:spacing w:line="360" w:lineRule="auto"/>
        <w:jc w:val="center"/>
        <w:rPr>
          <w:sz w:val="24"/>
        </w:rPr>
      </w:pPr>
      <w:r>
        <w:rPr>
          <w:rFonts w:hint="eastAsia"/>
          <w:sz w:val="24"/>
        </w:rPr>
        <w:t>(制造商公章)</w:t>
      </w:r>
    </w:p>
    <w:p>
      <w:pPr>
        <w:autoSpaceDE w:val="0"/>
        <w:autoSpaceDN w:val="0"/>
        <w:spacing w:line="360" w:lineRule="auto"/>
        <w:jc w:val="center"/>
        <w:rPr>
          <w:sz w:val="24"/>
        </w:rPr>
      </w:pPr>
      <w:r>
        <w:rPr>
          <w:rFonts w:hint="eastAsia"/>
          <w:sz w:val="24"/>
        </w:rPr>
        <w:t xml:space="preserve">     日期：2021年月日</w:t>
      </w:r>
    </w:p>
    <w:p>
      <w:pPr>
        <w:autoSpaceDE w:val="0"/>
        <w:autoSpaceDN w:val="0"/>
        <w:spacing w:line="360" w:lineRule="auto"/>
        <w:rPr>
          <w:rStyle w:val="67"/>
          <w:rFonts w:ascii="宋体" w:hAnsi="宋体" w:cs="宋体"/>
          <w:sz w:val="24"/>
          <w:szCs w:val="24"/>
        </w:rPr>
      </w:pPr>
      <w:r>
        <w:rPr>
          <w:rFonts w:hint="eastAsia"/>
          <w:sz w:val="24"/>
        </w:rPr>
        <w:t>备注：《制造商唯一经销授权书》格式不允许偏离</w:t>
      </w:r>
    </w:p>
    <w:p>
      <w:pPr>
        <w:pStyle w:val="53"/>
        <w:spacing w:line="360" w:lineRule="auto"/>
        <w:ind w:firstLine="400"/>
      </w:pPr>
    </w:p>
    <w:p>
      <w:pPr>
        <w:spacing w:line="360" w:lineRule="auto"/>
        <w:jc w:val="left"/>
        <w:rPr>
          <w:rFonts w:ascii="宋体" w:hAnsi="宋体" w:cs="宋体"/>
          <w:b/>
          <w:bCs/>
          <w:sz w:val="24"/>
        </w:rPr>
      </w:pPr>
      <w:r>
        <w:rPr>
          <w:rFonts w:hint="eastAsia" w:ascii="宋体" w:hAnsi="宋体" w:cs="宋体"/>
          <w:b/>
          <w:bCs/>
          <w:sz w:val="24"/>
        </w:rPr>
        <w:br w:type="page"/>
      </w:r>
      <w:r>
        <w:rPr>
          <w:rFonts w:hint="eastAsia" w:ascii="宋体" w:hAnsi="宋体" w:cs="宋体"/>
          <w:b/>
          <w:bCs/>
          <w:sz w:val="24"/>
        </w:rPr>
        <w:t>二、技术标相关的格式文件及表格</w:t>
      </w:r>
    </w:p>
    <w:p>
      <w:pPr>
        <w:spacing w:line="360" w:lineRule="auto"/>
        <w:jc w:val="center"/>
        <w:rPr>
          <w:rFonts w:ascii="宋体" w:hAnsi="宋体" w:cs="宋体"/>
          <w:b/>
          <w:bCs/>
          <w:sz w:val="24"/>
        </w:rPr>
      </w:pPr>
      <w:r>
        <w:rPr>
          <w:rFonts w:hint="eastAsia" w:ascii="宋体" w:hAnsi="宋体" w:cs="宋体"/>
          <w:b/>
          <w:sz w:val="24"/>
        </w:rPr>
        <w:t>1</w:t>
      </w:r>
      <w:r>
        <w:rPr>
          <w:rFonts w:hint="eastAsia" w:ascii="宋体" w:hAnsi="宋体" w:cs="宋体"/>
          <w:b/>
          <w:bCs/>
          <w:sz w:val="24"/>
        </w:rPr>
        <w:t>、投标响应函</w:t>
      </w:r>
    </w:p>
    <w:p>
      <w:pPr>
        <w:spacing w:line="360" w:lineRule="auto"/>
        <w:rPr>
          <w:rFonts w:ascii="宋体" w:hAnsi="宋体" w:cs="宋体"/>
          <w:sz w:val="24"/>
        </w:rPr>
      </w:pP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依据贵单位</w:t>
      </w:r>
      <w:r>
        <w:rPr>
          <w:rFonts w:hint="eastAsia" w:ascii="宋体" w:hAnsi="宋体" w:cs="宋体"/>
          <w:sz w:val="24"/>
          <w:u w:val="single"/>
        </w:rPr>
        <w:t>（招标项目名称、项目编号、标段名称及标段编号)</w:t>
      </w:r>
      <w:r>
        <w:rPr>
          <w:rFonts w:hint="eastAsia" w:ascii="宋体" w:hAnsi="宋体" w:cs="宋体"/>
          <w:sz w:val="24"/>
        </w:rPr>
        <w:t>项目公开招标采购的邀请，我方授权</w:t>
      </w:r>
      <w:r>
        <w:rPr>
          <w:rFonts w:hint="eastAsia" w:ascii="宋体" w:hAnsi="宋体" w:cs="宋体"/>
          <w:sz w:val="24"/>
          <w:u w:val="single"/>
        </w:rPr>
        <w:t>（姓名）（职务）</w:t>
      </w:r>
      <w:r>
        <w:rPr>
          <w:rFonts w:hint="eastAsia" w:ascii="宋体" w:hAnsi="宋体" w:cs="宋体"/>
          <w:sz w:val="24"/>
        </w:rPr>
        <w:t>为全权代表参加该项目的投标工作，全权处理本次投标的有关事宜。同时，我公司声明如下：</w:t>
      </w:r>
    </w:p>
    <w:p>
      <w:pPr>
        <w:numPr>
          <w:ilvl w:val="0"/>
          <w:numId w:val="7"/>
        </w:numPr>
        <w:spacing w:line="360" w:lineRule="auto"/>
        <w:ind w:firstLine="480"/>
        <w:rPr>
          <w:rFonts w:ascii="宋体" w:hAnsi="宋体" w:cs="宋体"/>
          <w:sz w:val="24"/>
        </w:rPr>
      </w:pPr>
      <w:r>
        <w:rPr>
          <w:rFonts w:hint="eastAsia" w:ascii="宋体" w:hAnsi="宋体" w:cs="宋体"/>
          <w:sz w:val="24"/>
        </w:rPr>
        <w:t>我方愿意按照招标文件的一切要求，提供完成该项目的全部内容，我方的投标报价包含但不限于：</w:t>
      </w:r>
    </w:p>
    <w:p>
      <w:pPr>
        <w:spacing w:line="360" w:lineRule="auto"/>
        <w:ind w:firstLine="480" w:firstLineChars="200"/>
        <w:rPr>
          <w:rFonts w:ascii="宋体" w:hAnsi="宋体" w:cs="宋体"/>
          <w:sz w:val="24"/>
        </w:rPr>
      </w:pPr>
      <w:r>
        <w:rPr>
          <w:rFonts w:hint="eastAsia" w:ascii="宋体" w:hAnsi="宋体" w:cs="宋体"/>
          <w:sz w:val="24"/>
        </w:rPr>
        <w:t>（1）设备费包括：设备的制造成本、开办费、利润、税金、管理费、规费、二次设计费、技术措施费、机械进出场费、市场材料价格风险费、政策性调整风险费；设备的主材及标准附件（含梯控）、备品备件、专用工具、技术资料、损耗等费用；设备运至最终目的地的包装费、运输费、装卸费、保险费、现场设备材料保管费；设备的检验费、培训费、技术服务等费用；取得相关检验部门检查验收并出具权威验收报告以及为完成本项目而发生的其它所有措施等全部费用。</w:t>
      </w:r>
    </w:p>
    <w:p>
      <w:pPr>
        <w:spacing w:line="360" w:lineRule="auto"/>
        <w:ind w:firstLine="480" w:firstLineChars="200"/>
        <w:rPr>
          <w:rFonts w:ascii="宋体" w:hAnsi="宋体" w:cs="宋体"/>
          <w:sz w:val="24"/>
        </w:rPr>
      </w:pPr>
      <w:r>
        <w:rPr>
          <w:rFonts w:hint="eastAsia" w:ascii="宋体" w:hAnsi="宋体" w:cs="宋体"/>
          <w:sz w:val="24"/>
        </w:rPr>
        <w:t>（2）安装费包括：开孔及封堵费、层门与土建结构的封堵费、安装调试费、安装配合费（自行考虑）、梯控安装相关费用、搬运（包括吊装）、垂直运输费、脚手架费、安装过程中与总承包单位的配合费、检验费、监检费、管理费、利润、规费、税金、市场价格波动风险、人员培训费用、技术服务费、性能介绍、售后服务、调试用的电缆、五方对讲及视频通话电缆（由轿箱至机房层）、免费保修保养期间各项维修保养费用及特种设备检验检测费。即招标物安装验收合格交付使用前的所有费用以及免费保养维修的服务费用以及其它不可预见费用等。</w:t>
      </w:r>
    </w:p>
    <w:p>
      <w:pPr>
        <w:spacing w:line="360" w:lineRule="auto"/>
        <w:ind w:firstLine="480" w:firstLineChars="200"/>
        <w:rPr>
          <w:rFonts w:ascii="宋体" w:hAnsi="宋体" w:cs="宋体"/>
          <w:sz w:val="24"/>
        </w:rPr>
      </w:pPr>
      <w:r>
        <w:rPr>
          <w:rFonts w:hint="eastAsia" w:ascii="宋体" w:hAnsi="宋体" w:cs="宋体"/>
          <w:sz w:val="24"/>
        </w:rPr>
        <w:t>（3）其他可能发生的费用：如实际井道尺寸超过招标所提供的参数表尺寸宽度而需要增加支撑和支架的费用；所有电梯机房钢丝绳洞和因安装电梯设备用洞的开洞和洞口止水圈的费用；电梯机房如需增加承重圈梁和设备吊环、吊钩的费用；电梯机房间电源配电箱到电梯控制箱之间的连接桥架和电缆费用；电梯机房主机工字钢大梁和设备用支架费用；因过梁或柱与井道墙体间存在高低或水平尺寸差时（或其它原因）为符合规范要求而增加的封堵、封板费用等。</w:t>
      </w:r>
    </w:p>
    <w:p>
      <w:pPr>
        <w:spacing w:line="360" w:lineRule="auto"/>
        <w:ind w:firstLine="480" w:firstLineChars="200"/>
        <w:rPr>
          <w:rFonts w:ascii="宋体" w:hAnsi="宋体" w:cs="宋体"/>
          <w:sz w:val="24"/>
        </w:rPr>
      </w:pPr>
      <w:r>
        <w:rPr>
          <w:rFonts w:hint="eastAsia" w:ascii="宋体" w:hAnsi="宋体" w:cs="宋体"/>
          <w:sz w:val="24"/>
        </w:rPr>
        <w:t>即投标报价包含招标物交付使用前的所有费用以及免保期内的服务费用等包含响应招标文件采购要求的所有费用。</w:t>
      </w:r>
    </w:p>
    <w:p>
      <w:pPr>
        <w:spacing w:line="360" w:lineRule="auto"/>
        <w:ind w:firstLine="480" w:firstLineChars="200"/>
        <w:rPr>
          <w:rFonts w:ascii="宋体" w:hAnsi="宋体" w:cs="宋体"/>
          <w:sz w:val="24"/>
        </w:rPr>
      </w:pPr>
      <w:r>
        <w:rPr>
          <w:rFonts w:hint="eastAsia" w:ascii="宋体" w:hAnsi="宋体" w:cs="宋体"/>
          <w:sz w:val="24"/>
        </w:rPr>
        <w:t>2、我方已经详细审查了全部招标文件，我方已完全清晰理解招标文件的要求，不存在任何含糊不清和误解之处，同意放弃对这些文件所提出的异议和质疑的权利。</w:t>
      </w:r>
    </w:p>
    <w:p>
      <w:pPr>
        <w:snapToGrid w:val="0"/>
        <w:spacing w:line="360" w:lineRule="auto"/>
        <w:ind w:firstLine="480" w:firstLineChars="200"/>
        <w:rPr>
          <w:rFonts w:ascii="宋体" w:hAnsi="宋体" w:cs="宋体"/>
          <w:sz w:val="24"/>
        </w:rPr>
      </w:pPr>
      <w:r>
        <w:rPr>
          <w:rFonts w:hint="eastAsia" w:ascii="宋体" w:hAnsi="宋体" w:cs="宋体"/>
          <w:sz w:val="24"/>
        </w:rPr>
        <w:t>3、我方愿意提供采购单位在招标文件中要求的所有资料。</w:t>
      </w:r>
    </w:p>
    <w:p>
      <w:pPr>
        <w:snapToGrid w:val="0"/>
        <w:spacing w:line="360" w:lineRule="auto"/>
        <w:ind w:firstLine="480" w:firstLineChars="200"/>
        <w:rPr>
          <w:rFonts w:ascii="宋体" w:hAnsi="宋体" w:cs="宋体"/>
          <w:sz w:val="24"/>
        </w:rPr>
      </w:pPr>
      <w:r>
        <w:rPr>
          <w:rFonts w:hint="eastAsia" w:ascii="宋体" w:hAnsi="宋体" w:cs="宋体"/>
          <w:sz w:val="24"/>
        </w:rPr>
        <w:t>4、我方承诺在本次招标响应中提供的一切文件，无论是原件还是复印件均真实有效，绝无任何虚假、伪造和夸大的成份。否则，愿承担相应的后果和法律责任。</w:t>
      </w:r>
    </w:p>
    <w:p>
      <w:pPr>
        <w:snapToGrid w:val="0"/>
        <w:spacing w:line="360" w:lineRule="auto"/>
        <w:ind w:firstLine="480" w:firstLineChars="200"/>
        <w:rPr>
          <w:rFonts w:ascii="宋体" w:hAnsi="宋体" w:cs="宋体"/>
          <w:sz w:val="24"/>
        </w:rPr>
      </w:pPr>
      <w:r>
        <w:rPr>
          <w:rFonts w:hint="eastAsia" w:ascii="宋体" w:hAnsi="宋体" w:cs="宋体"/>
          <w:sz w:val="24"/>
        </w:rPr>
        <w:t>5、我方尊重评标小组所作的评定结果，同时也清楚理解到投标报价最低并非意味着必定获得中标资格。</w:t>
      </w:r>
    </w:p>
    <w:p>
      <w:pPr>
        <w:snapToGrid w:val="0"/>
        <w:spacing w:line="360" w:lineRule="auto"/>
        <w:ind w:firstLine="480" w:firstLineChars="200"/>
        <w:rPr>
          <w:rFonts w:ascii="宋体" w:hAnsi="宋体" w:cs="宋体"/>
          <w:sz w:val="24"/>
        </w:rPr>
      </w:pPr>
      <w:r>
        <w:rPr>
          <w:rFonts w:hint="eastAsia" w:ascii="宋体" w:hAnsi="宋体" w:cs="宋体"/>
          <w:sz w:val="24"/>
        </w:rPr>
        <w:t xml:space="preserve">6、一旦我方中标，我方将根据招标文件的规定，严格履行招标文件中规定的每一项要求，按期、按质、按量履行合同的义务。 </w:t>
      </w:r>
    </w:p>
    <w:p>
      <w:pPr>
        <w:snapToGrid w:val="0"/>
        <w:spacing w:line="360" w:lineRule="auto"/>
        <w:ind w:firstLine="2400" w:firstLineChars="1000"/>
        <w:jc w:val="right"/>
        <w:rPr>
          <w:rFonts w:ascii="宋体" w:hAnsi="宋体" w:cs="宋体"/>
          <w:sz w:val="24"/>
        </w:rPr>
      </w:pPr>
      <w:r>
        <w:rPr>
          <w:rFonts w:hint="eastAsia" w:ascii="宋体" w:hAnsi="宋体" w:cs="宋体"/>
          <w:sz w:val="24"/>
        </w:rPr>
        <w:t>投标供应商：（加盖公章）</w:t>
      </w:r>
    </w:p>
    <w:p>
      <w:pPr>
        <w:snapToGrid w:val="0"/>
        <w:spacing w:line="360" w:lineRule="auto"/>
        <w:ind w:firstLine="2400" w:firstLineChars="1000"/>
        <w:jc w:val="right"/>
        <w:rPr>
          <w:rFonts w:ascii="宋体" w:hAnsi="宋体" w:cs="宋体"/>
          <w:sz w:val="24"/>
        </w:rPr>
      </w:pPr>
      <w:r>
        <w:rPr>
          <w:rFonts w:hint="eastAsia" w:ascii="宋体" w:hAnsi="宋体" w:cs="宋体"/>
          <w:sz w:val="24"/>
        </w:rPr>
        <w:t>法定代表人或被授权人：（签字或盖章）</w:t>
      </w:r>
    </w:p>
    <w:p>
      <w:pPr>
        <w:spacing w:line="360" w:lineRule="auto"/>
        <w:ind w:firstLine="1320" w:firstLineChars="550"/>
        <w:jc w:val="center"/>
        <w:rPr>
          <w:rFonts w:ascii="宋体" w:hAnsi="宋体" w:cs="宋体"/>
          <w:b/>
          <w:bCs/>
          <w:sz w:val="24"/>
        </w:rPr>
      </w:pPr>
      <w:r>
        <w:rPr>
          <w:rFonts w:hint="eastAsia" w:ascii="宋体" w:hAnsi="宋体" w:cs="宋体"/>
          <w:sz w:val="24"/>
        </w:rPr>
        <w:t xml:space="preserve">                                             年      月     日</w:t>
      </w:r>
      <w:r>
        <w:rPr>
          <w:rFonts w:hint="eastAsia" w:ascii="宋体" w:hAnsi="宋体" w:cs="宋体"/>
          <w:b/>
          <w:bCs/>
          <w:sz w:val="24"/>
        </w:rPr>
        <w:br w:type="page"/>
      </w:r>
      <w:r>
        <w:rPr>
          <w:rFonts w:hint="eastAsia" w:ascii="宋体" w:hAnsi="宋体" w:cs="宋体"/>
          <w:b/>
          <w:bCs/>
          <w:sz w:val="24"/>
        </w:rPr>
        <w:t>2、供应商一般情况表</w:t>
      </w:r>
    </w:p>
    <w:tbl>
      <w:tblPr>
        <w:tblStyle w:val="54"/>
        <w:tblW w:w="0" w:type="auto"/>
        <w:tblInd w:w="0" w:type="dxa"/>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CellMar>
            <w:top w:w="0" w:type="dxa"/>
            <w:left w:w="108" w:type="dxa"/>
            <w:bottom w:w="0" w:type="dxa"/>
            <w:right w:w="108" w:type="dxa"/>
          </w:tblCellMar>
        </w:tblPrEx>
        <w:trPr>
          <w:cantSplit/>
          <w:trHeight w:val="286" w:hRule="atLeast"/>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企业名称</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ascii="宋体" w:hAnsi="宋体" w:cs="宋体"/>
                <w:sz w:val="24"/>
              </w:rPr>
            </w:pPr>
          </w:p>
        </w:tc>
      </w:tr>
      <w:tr>
        <w:tblPrEx>
          <w:tblCellMar>
            <w:top w:w="0" w:type="dxa"/>
            <w:left w:w="108" w:type="dxa"/>
            <w:bottom w:w="0" w:type="dxa"/>
            <w:right w:w="108" w:type="dxa"/>
          </w:tblCellMar>
        </w:tblPrEx>
        <w:trPr>
          <w:cantSplit/>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总部地址</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ascii="宋体" w:hAnsi="宋体" w:cs="宋体"/>
                <w:sz w:val="24"/>
              </w:rPr>
            </w:pPr>
          </w:p>
        </w:tc>
      </w:tr>
      <w:tr>
        <w:tblPrEx>
          <w:tblCellMar>
            <w:top w:w="0" w:type="dxa"/>
            <w:left w:w="108" w:type="dxa"/>
            <w:bottom w:w="0" w:type="dxa"/>
            <w:right w:w="108" w:type="dxa"/>
          </w:tblCellMar>
        </w:tblPrEx>
        <w:trPr>
          <w:cantSplit/>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分支机构</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ascii="宋体" w:hAnsi="宋体" w:cs="宋体"/>
                <w:sz w:val="24"/>
              </w:rPr>
            </w:pPr>
          </w:p>
        </w:tc>
      </w:tr>
      <w:tr>
        <w:tblPrEx>
          <w:tblCellMar>
            <w:top w:w="0" w:type="dxa"/>
            <w:left w:w="108" w:type="dxa"/>
            <w:bottom w:w="0" w:type="dxa"/>
            <w:right w:w="108" w:type="dxa"/>
          </w:tblCellMar>
        </w:tblPrEx>
        <w:trPr>
          <w:cantSplit/>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当地代表处地址</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ascii="宋体" w:hAnsi="宋体" w:cs="宋体"/>
                <w:sz w:val="24"/>
              </w:rPr>
            </w:pPr>
          </w:p>
        </w:tc>
      </w:tr>
      <w:tr>
        <w:tblPrEx>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电话</w:t>
            </w:r>
          </w:p>
        </w:tc>
        <w:tc>
          <w:tcPr>
            <w:tcW w:w="2408" w:type="dxa"/>
            <w:gridSpan w:val="3"/>
            <w:tcBorders>
              <w:top w:val="single" w:color="auto" w:sz="4" w:space="0"/>
              <w:left w:val="nil"/>
              <w:bottom w:val="single" w:color="auto" w:sz="4" w:space="0"/>
              <w:right w:val="single" w:color="auto" w:sz="4" w:space="0"/>
            </w:tcBorders>
          </w:tcPr>
          <w:p>
            <w:pPr>
              <w:spacing w:line="360" w:lineRule="auto"/>
              <w:rPr>
                <w:rFonts w:ascii="宋体" w:hAnsi="宋体" w:cs="宋体"/>
                <w:sz w:val="24"/>
              </w:rPr>
            </w:pPr>
          </w:p>
        </w:tc>
        <w:tc>
          <w:tcPr>
            <w:tcW w:w="1875" w:type="dxa"/>
            <w:gridSpan w:val="2"/>
            <w:tcBorders>
              <w:top w:val="single" w:color="auto" w:sz="4" w:space="0"/>
              <w:left w:val="nil"/>
              <w:bottom w:val="single" w:color="auto" w:sz="4" w:space="0"/>
              <w:right w:val="single" w:color="auto" w:sz="4" w:space="0"/>
            </w:tcBorders>
          </w:tcPr>
          <w:p>
            <w:pPr>
              <w:spacing w:line="360" w:lineRule="auto"/>
              <w:rPr>
                <w:rFonts w:ascii="宋体" w:hAnsi="宋体" w:cs="宋体"/>
                <w:sz w:val="24"/>
              </w:rPr>
            </w:pPr>
            <w:r>
              <w:rPr>
                <w:rFonts w:hint="eastAsia" w:ascii="宋体" w:hAnsi="宋体" w:cs="宋体"/>
                <w:sz w:val="24"/>
              </w:rPr>
              <w:t>联系人</w:t>
            </w:r>
          </w:p>
        </w:tc>
        <w:tc>
          <w:tcPr>
            <w:tcW w:w="2946" w:type="dxa"/>
            <w:gridSpan w:val="3"/>
            <w:tcBorders>
              <w:top w:val="single" w:color="auto" w:sz="4" w:space="0"/>
              <w:left w:val="nil"/>
              <w:bottom w:val="single" w:color="auto" w:sz="4" w:space="0"/>
              <w:right w:val="single" w:color="auto" w:sz="4" w:space="0"/>
            </w:tcBorders>
          </w:tcPr>
          <w:p>
            <w:pPr>
              <w:spacing w:line="360" w:lineRule="auto"/>
              <w:rPr>
                <w:rFonts w:ascii="宋体" w:hAnsi="宋体" w:cs="宋体"/>
                <w:sz w:val="24"/>
              </w:rPr>
            </w:pPr>
          </w:p>
        </w:tc>
      </w:tr>
      <w:tr>
        <w:tblPrEx>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传真</w:t>
            </w:r>
          </w:p>
        </w:tc>
        <w:tc>
          <w:tcPr>
            <w:tcW w:w="2408" w:type="dxa"/>
            <w:gridSpan w:val="3"/>
            <w:tcBorders>
              <w:top w:val="single" w:color="auto" w:sz="4" w:space="0"/>
              <w:left w:val="nil"/>
              <w:bottom w:val="single" w:color="auto" w:sz="4" w:space="0"/>
              <w:right w:val="single" w:color="auto" w:sz="4" w:space="0"/>
            </w:tcBorders>
          </w:tcPr>
          <w:p>
            <w:pPr>
              <w:spacing w:line="360" w:lineRule="auto"/>
              <w:rPr>
                <w:rFonts w:ascii="宋体" w:hAnsi="宋体" w:cs="宋体"/>
                <w:sz w:val="24"/>
              </w:rPr>
            </w:pPr>
          </w:p>
        </w:tc>
        <w:tc>
          <w:tcPr>
            <w:tcW w:w="1875" w:type="dxa"/>
            <w:gridSpan w:val="2"/>
            <w:tcBorders>
              <w:top w:val="single" w:color="auto" w:sz="4" w:space="0"/>
              <w:left w:val="nil"/>
              <w:bottom w:val="single" w:color="auto" w:sz="4" w:space="0"/>
              <w:right w:val="single" w:color="auto" w:sz="4" w:space="0"/>
            </w:tcBorders>
          </w:tcPr>
          <w:p>
            <w:pPr>
              <w:spacing w:line="360" w:lineRule="auto"/>
              <w:rPr>
                <w:rFonts w:ascii="宋体" w:hAnsi="宋体" w:cs="宋体"/>
                <w:sz w:val="24"/>
              </w:rPr>
            </w:pPr>
            <w:r>
              <w:rPr>
                <w:rFonts w:hint="eastAsia" w:ascii="宋体" w:hAnsi="宋体" w:cs="宋体"/>
                <w:sz w:val="24"/>
              </w:rPr>
              <w:t>电子邮件</w:t>
            </w:r>
          </w:p>
        </w:tc>
        <w:tc>
          <w:tcPr>
            <w:tcW w:w="2946" w:type="dxa"/>
            <w:gridSpan w:val="3"/>
            <w:tcBorders>
              <w:top w:val="single" w:color="auto" w:sz="4" w:space="0"/>
              <w:left w:val="nil"/>
              <w:bottom w:val="single" w:color="auto" w:sz="4" w:space="0"/>
              <w:right w:val="single" w:color="auto" w:sz="4" w:space="0"/>
            </w:tcBorders>
          </w:tcPr>
          <w:p>
            <w:pPr>
              <w:spacing w:line="360" w:lineRule="auto"/>
              <w:rPr>
                <w:rFonts w:ascii="宋体" w:hAnsi="宋体" w:cs="宋体"/>
                <w:sz w:val="24"/>
              </w:rPr>
            </w:pPr>
          </w:p>
        </w:tc>
      </w:tr>
      <w:tr>
        <w:tblPrEx>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注册地</w:t>
            </w:r>
          </w:p>
        </w:tc>
        <w:tc>
          <w:tcPr>
            <w:tcW w:w="2408" w:type="dxa"/>
            <w:gridSpan w:val="3"/>
            <w:tcBorders>
              <w:top w:val="single" w:color="auto" w:sz="4" w:space="0"/>
              <w:left w:val="nil"/>
              <w:bottom w:val="single" w:color="auto" w:sz="4" w:space="0"/>
              <w:right w:val="single" w:color="auto" w:sz="4" w:space="0"/>
            </w:tcBorders>
          </w:tcPr>
          <w:p>
            <w:pPr>
              <w:spacing w:line="360" w:lineRule="auto"/>
              <w:rPr>
                <w:rFonts w:ascii="宋体" w:hAnsi="宋体" w:cs="宋体"/>
                <w:sz w:val="24"/>
              </w:rPr>
            </w:pPr>
          </w:p>
        </w:tc>
        <w:tc>
          <w:tcPr>
            <w:tcW w:w="1875" w:type="dxa"/>
            <w:gridSpan w:val="2"/>
            <w:tcBorders>
              <w:top w:val="single" w:color="auto" w:sz="4" w:space="0"/>
              <w:left w:val="nil"/>
              <w:bottom w:val="single" w:color="auto" w:sz="4" w:space="0"/>
              <w:right w:val="single" w:color="auto" w:sz="4" w:space="0"/>
            </w:tcBorders>
          </w:tcPr>
          <w:p>
            <w:pPr>
              <w:spacing w:line="360" w:lineRule="auto"/>
              <w:rPr>
                <w:rFonts w:ascii="宋体" w:hAnsi="宋体" w:cs="宋体"/>
                <w:sz w:val="24"/>
              </w:rPr>
            </w:pPr>
            <w:r>
              <w:rPr>
                <w:rFonts w:hint="eastAsia" w:ascii="宋体" w:hAnsi="宋体" w:cs="宋体"/>
                <w:sz w:val="24"/>
              </w:rPr>
              <w:t>注册年份</w:t>
            </w:r>
          </w:p>
        </w:tc>
        <w:tc>
          <w:tcPr>
            <w:tcW w:w="2946" w:type="dxa"/>
            <w:gridSpan w:val="3"/>
            <w:tcBorders>
              <w:top w:val="single" w:color="auto" w:sz="4" w:space="0"/>
              <w:left w:val="nil"/>
              <w:bottom w:val="single" w:color="auto" w:sz="4" w:space="0"/>
              <w:right w:val="single" w:color="auto" w:sz="4" w:space="0"/>
            </w:tcBorders>
          </w:tcPr>
          <w:p>
            <w:pPr>
              <w:spacing w:line="360" w:lineRule="auto"/>
              <w:rPr>
                <w:rFonts w:ascii="宋体" w:hAnsi="宋体" w:cs="宋体"/>
                <w:sz w:val="24"/>
              </w:rPr>
            </w:pPr>
          </w:p>
        </w:tc>
      </w:tr>
      <w:tr>
        <w:tblPrEx>
          <w:tblCellMar>
            <w:top w:w="0" w:type="dxa"/>
            <w:left w:w="108" w:type="dxa"/>
            <w:bottom w:w="0" w:type="dxa"/>
            <w:right w:w="108" w:type="dxa"/>
          </w:tblCellMar>
        </w:tblPrEx>
        <w:trPr>
          <w:cantSplit/>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资质等级</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ascii="宋体" w:hAnsi="宋体" w:cs="宋体"/>
                <w:sz w:val="24"/>
              </w:rPr>
            </w:pPr>
            <w:r>
              <w:rPr>
                <w:rFonts w:hint="eastAsia" w:ascii="宋体" w:hAnsi="宋体" w:cs="宋体"/>
                <w:sz w:val="24"/>
              </w:rPr>
              <w:t>公司具备的相关资质等级及相应的证书号</w:t>
            </w:r>
          </w:p>
          <w:p>
            <w:pPr>
              <w:spacing w:line="360" w:lineRule="auto"/>
              <w:rPr>
                <w:rFonts w:ascii="宋体" w:hAnsi="宋体" w:cs="宋体"/>
                <w:sz w:val="24"/>
              </w:rPr>
            </w:pPr>
            <w:r>
              <w:rPr>
                <w:rFonts w:hint="eastAsia" w:ascii="宋体" w:hAnsi="宋体" w:cs="宋体"/>
                <w:sz w:val="24"/>
              </w:rPr>
              <w:t>（请附有关证书的复印件）</w:t>
            </w:r>
          </w:p>
        </w:tc>
      </w:tr>
      <w:tr>
        <w:tblPrEx>
          <w:tblCellMar>
            <w:top w:w="0" w:type="dxa"/>
            <w:left w:w="108" w:type="dxa"/>
            <w:bottom w:w="0" w:type="dxa"/>
            <w:right w:w="108" w:type="dxa"/>
          </w:tblCellMar>
        </w:tblPrEx>
        <w:trPr>
          <w:cantSplit/>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质量管理体系</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ascii="宋体" w:hAnsi="宋体" w:cs="宋体"/>
                <w:sz w:val="24"/>
              </w:rPr>
            </w:pPr>
            <w:r>
              <w:rPr>
                <w:rFonts w:hint="eastAsia" w:ascii="宋体" w:hAnsi="宋体" w:cs="宋体"/>
                <w:sz w:val="24"/>
              </w:rPr>
              <w:t>公司</w:t>
            </w:r>
            <w:r>
              <w:rPr>
                <w:rFonts w:hint="eastAsia" w:ascii="宋体" w:hAnsi="宋体" w:cs="宋体"/>
                <w:sz w:val="24"/>
                <w:u w:val="single"/>
              </w:rPr>
              <w:t xml:space="preserve">   （是否通过，何种）   </w:t>
            </w:r>
            <w:r>
              <w:rPr>
                <w:rFonts w:hint="eastAsia" w:ascii="宋体" w:hAnsi="宋体" w:cs="宋体"/>
                <w:sz w:val="24"/>
              </w:rPr>
              <w:t>质量保证体系认证（如通过请附相关在有效期内的证书复印件）</w:t>
            </w:r>
          </w:p>
        </w:tc>
      </w:tr>
      <w:tr>
        <w:tblPrEx>
          <w:tblCellMar>
            <w:top w:w="0" w:type="dxa"/>
            <w:left w:w="108" w:type="dxa"/>
            <w:bottom w:w="0" w:type="dxa"/>
            <w:right w:w="108" w:type="dxa"/>
          </w:tblCellMar>
        </w:tblPrEx>
        <w:trPr>
          <w:cantSplit/>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项目负责人</w:t>
            </w:r>
          </w:p>
        </w:tc>
        <w:tc>
          <w:tcPr>
            <w:tcW w:w="1559"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s="宋体"/>
                <w:sz w:val="24"/>
              </w:rPr>
            </w:pPr>
          </w:p>
        </w:tc>
        <w:tc>
          <w:tcPr>
            <w:tcW w:w="1417"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s="宋体"/>
                <w:sz w:val="24"/>
              </w:rPr>
            </w:pPr>
            <w:r>
              <w:rPr>
                <w:rFonts w:hint="eastAsia" w:ascii="宋体" w:hAnsi="宋体" w:cs="宋体"/>
                <w:sz w:val="24"/>
              </w:rPr>
              <w:t>年龄</w:t>
            </w:r>
          </w:p>
        </w:tc>
        <w:tc>
          <w:tcPr>
            <w:tcW w:w="1466"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s="宋体"/>
                <w:sz w:val="24"/>
              </w:rPr>
            </w:pPr>
          </w:p>
        </w:tc>
        <w:tc>
          <w:tcPr>
            <w:tcW w:w="1320"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sz w:val="24"/>
              </w:rPr>
            </w:pPr>
            <w:r>
              <w:rPr>
                <w:rFonts w:hint="eastAsia" w:ascii="宋体" w:hAnsi="宋体" w:cs="宋体"/>
                <w:sz w:val="24"/>
              </w:rPr>
              <w:t>性别</w:t>
            </w:r>
          </w:p>
        </w:tc>
        <w:tc>
          <w:tcPr>
            <w:tcW w:w="1467"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sz w:val="24"/>
              </w:rPr>
            </w:pPr>
          </w:p>
        </w:tc>
      </w:tr>
      <w:tr>
        <w:tblPrEx>
          <w:tblCellMar>
            <w:top w:w="0" w:type="dxa"/>
            <w:left w:w="108" w:type="dxa"/>
            <w:bottom w:w="0" w:type="dxa"/>
            <w:right w:w="108" w:type="dxa"/>
          </w:tblCellMar>
        </w:tblPrEx>
        <w:trPr>
          <w:cantSplit/>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职务职称</w:t>
            </w:r>
          </w:p>
        </w:tc>
        <w:tc>
          <w:tcPr>
            <w:tcW w:w="2976" w:type="dxa"/>
            <w:gridSpan w:val="4"/>
            <w:tcBorders>
              <w:top w:val="single" w:color="auto" w:sz="4" w:space="0"/>
              <w:left w:val="nil"/>
              <w:bottom w:val="single" w:color="auto" w:sz="4" w:space="0"/>
              <w:right w:val="single" w:color="auto" w:sz="4" w:space="0"/>
            </w:tcBorders>
          </w:tcPr>
          <w:p>
            <w:pPr>
              <w:spacing w:line="360" w:lineRule="auto"/>
              <w:rPr>
                <w:rFonts w:ascii="宋体" w:hAnsi="宋体" w:cs="宋体"/>
                <w:sz w:val="24"/>
              </w:rPr>
            </w:pPr>
          </w:p>
        </w:tc>
        <w:tc>
          <w:tcPr>
            <w:tcW w:w="1466" w:type="dxa"/>
            <w:gridSpan w:val="2"/>
            <w:tcBorders>
              <w:top w:val="single" w:color="auto" w:sz="4" w:space="0"/>
              <w:left w:val="nil"/>
              <w:bottom w:val="single" w:color="auto" w:sz="4" w:space="0"/>
              <w:right w:val="single" w:color="auto" w:sz="4" w:space="0"/>
            </w:tcBorders>
          </w:tcPr>
          <w:p>
            <w:pPr>
              <w:spacing w:line="360" w:lineRule="auto"/>
              <w:rPr>
                <w:rFonts w:ascii="宋体" w:hAnsi="宋体" w:cs="宋体"/>
                <w:sz w:val="24"/>
              </w:rPr>
            </w:pPr>
            <w:r>
              <w:rPr>
                <w:rFonts w:hint="eastAsia" w:ascii="宋体" w:hAnsi="宋体" w:cs="宋体"/>
                <w:sz w:val="24"/>
              </w:rPr>
              <w:t>执业资格</w:t>
            </w:r>
          </w:p>
        </w:tc>
        <w:tc>
          <w:tcPr>
            <w:tcW w:w="2787" w:type="dxa"/>
            <w:gridSpan w:val="2"/>
            <w:tcBorders>
              <w:top w:val="single" w:color="auto" w:sz="4" w:space="0"/>
              <w:left w:val="nil"/>
              <w:bottom w:val="single" w:color="auto" w:sz="4" w:space="0"/>
              <w:right w:val="single" w:color="auto" w:sz="4" w:space="0"/>
            </w:tcBorders>
          </w:tcPr>
          <w:p>
            <w:pPr>
              <w:spacing w:line="360" w:lineRule="auto"/>
              <w:rPr>
                <w:rFonts w:ascii="宋体" w:hAnsi="宋体" w:cs="宋体"/>
                <w:sz w:val="24"/>
              </w:rPr>
            </w:pPr>
          </w:p>
        </w:tc>
      </w:tr>
      <w:tr>
        <w:tblPrEx>
          <w:tblCellMar>
            <w:top w:w="0" w:type="dxa"/>
            <w:left w:w="108" w:type="dxa"/>
            <w:bottom w:w="0" w:type="dxa"/>
            <w:right w:w="108" w:type="dxa"/>
          </w:tblCellMar>
        </w:tblPrEx>
        <w:trPr>
          <w:cantSplit/>
          <w:trHeight w:val="2780" w:hRule="atLeast"/>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经营范围</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ascii="宋体" w:hAnsi="宋体" w:cs="宋体"/>
                <w:sz w:val="24"/>
              </w:rPr>
            </w:pPr>
            <w:r>
              <w:rPr>
                <w:rFonts w:hint="eastAsia" w:ascii="宋体" w:hAnsi="宋体" w:cs="宋体"/>
                <w:sz w:val="24"/>
              </w:rPr>
              <w:t>营业执照载明：</w:t>
            </w:r>
          </w:p>
          <w:p>
            <w:pPr>
              <w:spacing w:line="360" w:lineRule="auto"/>
              <w:rPr>
                <w:rFonts w:ascii="宋体" w:hAnsi="宋体" w:cs="宋体"/>
                <w:sz w:val="24"/>
                <w:u w:val="single"/>
              </w:rPr>
            </w:pPr>
            <w:r>
              <w:rPr>
                <w:rFonts w:hint="eastAsia" w:ascii="宋体" w:hAnsi="宋体" w:cs="宋体"/>
                <w:sz w:val="24"/>
              </w:rPr>
              <w:t>1.</w:t>
            </w:r>
          </w:p>
          <w:p>
            <w:pPr>
              <w:spacing w:line="360" w:lineRule="auto"/>
              <w:rPr>
                <w:rFonts w:ascii="宋体" w:hAnsi="宋体" w:cs="宋体"/>
                <w:sz w:val="24"/>
                <w:u w:val="single"/>
              </w:rPr>
            </w:pPr>
            <w:r>
              <w:rPr>
                <w:rFonts w:hint="eastAsia" w:ascii="宋体" w:hAnsi="宋体" w:cs="宋体"/>
                <w:sz w:val="24"/>
              </w:rPr>
              <w:t>2.</w:t>
            </w:r>
          </w:p>
          <w:p>
            <w:pPr>
              <w:spacing w:line="360" w:lineRule="auto"/>
              <w:rPr>
                <w:rFonts w:ascii="宋体" w:hAnsi="宋体" w:cs="宋体"/>
                <w:sz w:val="24"/>
                <w:u w:val="single"/>
              </w:rPr>
            </w:pPr>
            <w:r>
              <w:rPr>
                <w:rFonts w:hint="eastAsia" w:ascii="宋体" w:hAnsi="宋体" w:cs="宋体"/>
                <w:sz w:val="24"/>
              </w:rPr>
              <w:t>3.</w:t>
            </w:r>
          </w:p>
          <w:p>
            <w:pPr>
              <w:spacing w:line="360" w:lineRule="auto"/>
              <w:rPr>
                <w:rFonts w:ascii="宋体" w:hAnsi="宋体" w:cs="宋体"/>
                <w:sz w:val="24"/>
              </w:rPr>
            </w:pPr>
            <w:r>
              <w:rPr>
                <w:rFonts w:hint="eastAsia" w:ascii="宋体" w:hAnsi="宋体" w:cs="宋体"/>
                <w:sz w:val="24"/>
              </w:rPr>
              <w:t>………………………</w:t>
            </w:r>
          </w:p>
        </w:tc>
      </w:tr>
      <w:tr>
        <w:tblPrEx>
          <w:tblCellMar>
            <w:top w:w="0" w:type="dxa"/>
            <w:left w:w="108" w:type="dxa"/>
            <w:bottom w:w="0" w:type="dxa"/>
            <w:right w:w="108" w:type="dxa"/>
          </w:tblCellMar>
        </w:tblPrEx>
        <w:trPr>
          <w:trHeight w:val="471" w:hRule="atLeast"/>
        </w:trPr>
        <w:tc>
          <w:tcPr>
            <w:tcW w:w="294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从事类似相关项目的经历及年数</w:t>
            </w:r>
          </w:p>
        </w:tc>
        <w:tc>
          <w:tcPr>
            <w:tcW w:w="6521" w:type="dxa"/>
            <w:gridSpan w:val="7"/>
            <w:tcBorders>
              <w:top w:val="single" w:color="auto" w:sz="4" w:space="0"/>
              <w:left w:val="nil"/>
              <w:bottom w:val="single" w:color="auto" w:sz="4" w:space="0"/>
              <w:right w:val="single" w:color="auto" w:sz="4" w:space="0"/>
            </w:tcBorders>
          </w:tcPr>
          <w:p>
            <w:pPr>
              <w:spacing w:line="360" w:lineRule="auto"/>
              <w:rPr>
                <w:rFonts w:ascii="宋体" w:hAnsi="宋体" w:cs="宋体"/>
                <w:sz w:val="24"/>
              </w:rPr>
            </w:pPr>
          </w:p>
        </w:tc>
      </w:tr>
      <w:tr>
        <w:tblPrEx>
          <w:tblCellMar>
            <w:top w:w="0" w:type="dxa"/>
            <w:left w:w="108" w:type="dxa"/>
            <w:bottom w:w="0" w:type="dxa"/>
            <w:right w:w="108" w:type="dxa"/>
          </w:tblCellMar>
        </w:tblPrEx>
        <w:trPr>
          <w:trHeight w:val="471" w:hRule="atLeast"/>
        </w:trPr>
        <w:tc>
          <w:tcPr>
            <w:tcW w:w="294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其他认为有必要提供的内容，可自行添加</w:t>
            </w:r>
          </w:p>
        </w:tc>
        <w:tc>
          <w:tcPr>
            <w:tcW w:w="6521" w:type="dxa"/>
            <w:gridSpan w:val="7"/>
            <w:tcBorders>
              <w:top w:val="single" w:color="auto" w:sz="4" w:space="0"/>
              <w:left w:val="nil"/>
              <w:bottom w:val="single" w:color="auto" w:sz="4" w:space="0"/>
              <w:right w:val="single" w:color="auto" w:sz="4" w:space="0"/>
            </w:tcBorders>
          </w:tcPr>
          <w:p>
            <w:pPr>
              <w:spacing w:line="360" w:lineRule="auto"/>
              <w:rPr>
                <w:rFonts w:ascii="宋体" w:hAnsi="宋体" w:cs="宋体"/>
                <w:sz w:val="24"/>
              </w:rPr>
            </w:pPr>
          </w:p>
        </w:tc>
      </w:tr>
    </w:tbl>
    <w:p>
      <w:pPr>
        <w:spacing w:line="360" w:lineRule="auto"/>
        <w:ind w:firstLine="480" w:firstLineChars="200"/>
        <w:jc w:val="right"/>
        <w:rPr>
          <w:rFonts w:ascii="宋体" w:hAnsi="宋体" w:cs="宋体"/>
          <w:sz w:val="24"/>
        </w:rPr>
      </w:pPr>
      <w:r>
        <w:rPr>
          <w:rFonts w:hint="eastAsia" w:ascii="宋体" w:hAnsi="宋体" w:cs="宋体"/>
          <w:sz w:val="24"/>
        </w:rPr>
        <w:t>投标供应商：（加盖公章）</w:t>
      </w:r>
    </w:p>
    <w:p>
      <w:pPr>
        <w:spacing w:line="360" w:lineRule="auto"/>
        <w:ind w:firstLine="480" w:firstLineChars="200"/>
        <w:jc w:val="right"/>
        <w:rPr>
          <w:rFonts w:ascii="宋体" w:hAnsi="宋体" w:cs="宋体"/>
          <w:sz w:val="24"/>
        </w:rPr>
      </w:pPr>
      <w:r>
        <w:rPr>
          <w:rFonts w:hint="eastAsia" w:ascii="宋体" w:hAnsi="宋体" w:cs="宋体"/>
          <w:sz w:val="24"/>
        </w:rPr>
        <w:t>法定代表人或被授权人：（签字或盖章）</w:t>
      </w:r>
    </w:p>
    <w:p>
      <w:pPr>
        <w:spacing w:line="360" w:lineRule="auto"/>
        <w:ind w:firstLine="1320" w:firstLineChars="550"/>
        <w:jc w:val="right"/>
        <w:rPr>
          <w:rFonts w:ascii="宋体" w:hAnsi="宋体" w:cs="宋体"/>
          <w:sz w:val="24"/>
        </w:rPr>
      </w:pPr>
      <w:r>
        <w:rPr>
          <w:rFonts w:hint="eastAsia" w:ascii="宋体" w:hAnsi="宋体" w:cs="宋体"/>
          <w:sz w:val="24"/>
        </w:rPr>
        <w:t>年      月     日</w:t>
      </w:r>
    </w:p>
    <w:p>
      <w:pPr>
        <w:spacing w:line="360" w:lineRule="auto"/>
        <w:rPr>
          <w:rFonts w:ascii="宋体" w:hAnsi="宋体" w:cs="宋体"/>
          <w:sz w:val="24"/>
        </w:rPr>
      </w:pPr>
      <w:r>
        <w:rPr>
          <w:rFonts w:hint="eastAsia" w:ascii="宋体" w:hAnsi="宋体" w:cs="宋体"/>
          <w:sz w:val="24"/>
        </w:rPr>
        <w:br w:type="page"/>
      </w:r>
    </w:p>
    <w:p>
      <w:pPr>
        <w:spacing w:line="360" w:lineRule="auto"/>
        <w:ind w:left="-19" w:leftChars="-9" w:right="400"/>
        <w:jc w:val="center"/>
        <w:rPr>
          <w:b/>
          <w:sz w:val="32"/>
        </w:rPr>
      </w:pPr>
      <w:r>
        <w:rPr>
          <w:rFonts w:hint="eastAsia"/>
          <w:b/>
          <w:sz w:val="32"/>
        </w:rPr>
        <w:t>3、技术偏离说明表</w:t>
      </w:r>
    </w:p>
    <w:p>
      <w:pPr>
        <w:widowControl/>
        <w:spacing w:line="360" w:lineRule="auto"/>
        <w:outlineLvl w:val="0"/>
      </w:pPr>
      <w:r>
        <w:rPr>
          <w:rFonts w:hint="eastAsia"/>
        </w:rPr>
        <w:t>项目名称：日期：    年   月   日</w:t>
      </w:r>
    </w:p>
    <w:tbl>
      <w:tblPr>
        <w:tblStyle w:val="54"/>
        <w:tblW w:w="9998" w:type="dxa"/>
        <w:jc w:val="center"/>
        <w:tblLayout w:type="fixed"/>
        <w:tblCellMar>
          <w:top w:w="0" w:type="dxa"/>
          <w:left w:w="108" w:type="dxa"/>
          <w:bottom w:w="0" w:type="dxa"/>
          <w:right w:w="108" w:type="dxa"/>
        </w:tblCellMar>
      </w:tblPr>
      <w:tblGrid>
        <w:gridCol w:w="648"/>
        <w:gridCol w:w="1786"/>
        <w:gridCol w:w="1217"/>
        <w:gridCol w:w="1497"/>
        <w:gridCol w:w="938"/>
        <w:gridCol w:w="790"/>
        <w:gridCol w:w="1940"/>
        <w:gridCol w:w="1182"/>
      </w:tblGrid>
      <w:tr>
        <w:tblPrEx>
          <w:tblCellMar>
            <w:top w:w="0" w:type="dxa"/>
            <w:left w:w="108" w:type="dxa"/>
            <w:bottom w:w="0" w:type="dxa"/>
            <w:right w:w="108"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outlineLvl w:val="0"/>
            </w:pPr>
            <w:r>
              <w:rPr>
                <w:rFonts w:hint="eastAsia"/>
              </w:rPr>
              <w:t>序号</w:t>
            </w:r>
          </w:p>
        </w:tc>
        <w:tc>
          <w:tcPr>
            <w:tcW w:w="1786" w:type="dxa"/>
            <w:tcBorders>
              <w:top w:val="single" w:color="000000" w:sz="4" w:space="0"/>
              <w:left w:val="nil"/>
              <w:bottom w:val="single" w:color="000000" w:sz="4" w:space="0"/>
              <w:right w:val="single" w:color="000000" w:sz="4" w:space="0"/>
            </w:tcBorders>
            <w:vAlign w:val="center"/>
          </w:tcPr>
          <w:p>
            <w:pPr>
              <w:widowControl/>
              <w:spacing w:line="360" w:lineRule="auto"/>
              <w:jc w:val="center"/>
              <w:outlineLvl w:val="0"/>
            </w:pPr>
            <w:r>
              <w:rPr>
                <w:rFonts w:hint="eastAsia"/>
              </w:rPr>
              <w:t>设备名称</w:t>
            </w:r>
          </w:p>
        </w:tc>
        <w:tc>
          <w:tcPr>
            <w:tcW w:w="1217" w:type="dxa"/>
            <w:tcBorders>
              <w:top w:val="single" w:color="000000" w:sz="4" w:space="0"/>
              <w:left w:val="nil"/>
              <w:bottom w:val="single" w:color="000000" w:sz="4" w:space="0"/>
              <w:right w:val="single" w:color="000000" w:sz="4" w:space="0"/>
            </w:tcBorders>
            <w:vAlign w:val="center"/>
          </w:tcPr>
          <w:p>
            <w:pPr>
              <w:widowControl/>
              <w:spacing w:line="360" w:lineRule="auto"/>
              <w:jc w:val="center"/>
              <w:outlineLvl w:val="0"/>
            </w:pPr>
            <w:r>
              <w:rPr>
                <w:rFonts w:hint="eastAsia"/>
              </w:rPr>
              <w:t>投标型号</w:t>
            </w:r>
          </w:p>
        </w:tc>
        <w:tc>
          <w:tcPr>
            <w:tcW w:w="1497" w:type="dxa"/>
            <w:tcBorders>
              <w:top w:val="single" w:color="000000" w:sz="4" w:space="0"/>
              <w:left w:val="nil"/>
              <w:bottom w:val="single" w:color="000000" w:sz="4" w:space="0"/>
              <w:right w:val="single" w:color="000000" w:sz="4" w:space="0"/>
            </w:tcBorders>
            <w:vAlign w:val="center"/>
          </w:tcPr>
          <w:p>
            <w:pPr>
              <w:widowControl/>
              <w:spacing w:line="360" w:lineRule="auto"/>
              <w:jc w:val="center"/>
              <w:outlineLvl w:val="0"/>
            </w:pPr>
            <w:r>
              <w:rPr>
                <w:rFonts w:hint="eastAsia"/>
              </w:rPr>
              <w:t>投标产品详细性能参数</w:t>
            </w:r>
          </w:p>
        </w:tc>
        <w:tc>
          <w:tcPr>
            <w:tcW w:w="938" w:type="dxa"/>
            <w:tcBorders>
              <w:top w:val="single" w:color="000000" w:sz="4" w:space="0"/>
              <w:left w:val="nil"/>
              <w:bottom w:val="single" w:color="000000" w:sz="4" w:space="0"/>
              <w:right w:val="single" w:color="000000" w:sz="4" w:space="0"/>
            </w:tcBorders>
            <w:vAlign w:val="center"/>
          </w:tcPr>
          <w:p>
            <w:pPr>
              <w:widowControl/>
              <w:spacing w:line="360" w:lineRule="auto"/>
              <w:jc w:val="center"/>
              <w:outlineLvl w:val="0"/>
            </w:pPr>
            <w:r>
              <w:rPr>
                <w:rFonts w:hint="eastAsia"/>
              </w:rPr>
              <w:t>品牌或供应商</w:t>
            </w:r>
          </w:p>
        </w:tc>
        <w:tc>
          <w:tcPr>
            <w:tcW w:w="790" w:type="dxa"/>
            <w:tcBorders>
              <w:top w:val="single" w:color="000000" w:sz="4" w:space="0"/>
              <w:left w:val="nil"/>
              <w:bottom w:val="single" w:color="000000" w:sz="4" w:space="0"/>
              <w:right w:val="single" w:color="000000" w:sz="4" w:space="0"/>
            </w:tcBorders>
            <w:vAlign w:val="center"/>
          </w:tcPr>
          <w:p>
            <w:pPr>
              <w:widowControl/>
              <w:spacing w:line="360" w:lineRule="auto"/>
              <w:jc w:val="center"/>
              <w:outlineLvl w:val="0"/>
            </w:pPr>
            <w:r>
              <w:rPr>
                <w:rFonts w:hint="eastAsia"/>
              </w:rPr>
              <w:t>产地</w:t>
            </w:r>
          </w:p>
        </w:tc>
        <w:tc>
          <w:tcPr>
            <w:tcW w:w="1940" w:type="dxa"/>
            <w:tcBorders>
              <w:top w:val="single" w:color="000000" w:sz="4" w:space="0"/>
              <w:left w:val="nil"/>
              <w:bottom w:val="single" w:color="000000" w:sz="4" w:space="0"/>
              <w:right w:val="single" w:color="000000" w:sz="4" w:space="0"/>
            </w:tcBorders>
            <w:vAlign w:val="center"/>
          </w:tcPr>
          <w:p>
            <w:pPr>
              <w:widowControl/>
              <w:spacing w:line="360" w:lineRule="auto"/>
              <w:jc w:val="center"/>
              <w:outlineLvl w:val="0"/>
            </w:pPr>
            <w:r>
              <w:rPr>
                <w:rFonts w:hint="eastAsia"/>
              </w:rPr>
              <w:t>参数是否符合</w:t>
            </w:r>
          </w:p>
          <w:p>
            <w:pPr>
              <w:widowControl/>
              <w:spacing w:line="360" w:lineRule="auto"/>
              <w:jc w:val="center"/>
              <w:outlineLvl w:val="0"/>
            </w:pPr>
            <w:r>
              <w:rPr>
                <w:rFonts w:hint="eastAsia"/>
              </w:rPr>
              <w:t>招标文件要求</w:t>
            </w:r>
          </w:p>
        </w:tc>
        <w:tc>
          <w:tcPr>
            <w:tcW w:w="1182" w:type="dxa"/>
            <w:tcBorders>
              <w:top w:val="single" w:color="000000" w:sz="4" w:space="0"/>
              <w:left w:val="nil"/>
              <w:bottom w:val="single" w:color="000000" w:sz="4" w:space="0"/>
              <w:right w:val="single" w:color="000000" w:sz="4" w:space="0"/>
            </w:tcBorders>
            <w:vAlign w:val="center"/>
          </w:tcPr>
          <w:p>
            <w:pPr>
              <w:widowControl/>
              <w:spacing w:line="360" w:lineRule="auto"/>
              <w:jc w:val="center"/>
              <w:outlineLvl w:val="0"/>
            </w:pPr>
            <w:r>
              <w:rPr>
                <w:rFonts w:hint="eastAsia"/>
              </w:rPr>
              <w:t>参数偏离</w:t>
            </w:r>
          </w:p>
          <w:p>
            <w:pPr>
              <w:widowControl/>
              <w:spacing w:line="360" w:lineRule="auto"/>
              <w:jc w:val="center"/>
              <w:outlineLvl w:val="0"/>
            </w:pPr>
            <w:r>
              <w:rPr>
                <w:rFonts w:hint="eastAsia"/>
              </w:rPr>
              <w:t>说明</w:t>
            </w:r>
          </w:p>
        </w:tc>
      </w:tr>
      <w:tr>
        <w:tblPrEx>
          <w:tblCellMar>
            <w:top w:w="0" w:type="dxa"/>
            <w:left w:w="108" w:type="dxa"/>
            <w:bottom w:w="0" w:type="dxa"/>
            <w:right w:w="108" w:type="dxa"/>
          </w:tblCellMar>
        </w:tblPrEx>
        <w:trPr>
          <w:trHeight w:val="585" w:hRule="atLeast"/>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outlineLvl w:val="0"/>
            </w:pPr>
            <w:r>
              <w:t>1</w:t>
            </w:r>
          </w:p>
        </w:tc>
        <w:tc>
          <w:tcPr>
            <w:tcW w:w="1786" w:type="dxa"/>
            <w:tcBorders>
              <w:top w:val="single" w:color="000000" w:sz="4" w:space="0"/>
              <w:left w:val="nil"/>
              <w:bottom w:val="single" w:color="000000" w:sz="4" w:space="0"/>
              <w:right w:val="single" w:color="000000" w:sz="4" w:space="0"/>
            </w:tcBorders>
          </w:tcPr>
          <w:p>
            <w:pPr>
              <w:widowControl/>
              <w:spacing w:line="360" w:lineRule="auto"/>
              <w:jc w:val="center"/>
              <w:outlineLvl w:val="0"/>
            </w:pPr>
          </w:p>
        </w:tc>
        <w:tc>
          <w:tcPr>
            <w:tcW w:w="1217"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1497"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938"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790"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1940"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1182" w:type="dxa"/>
            <w:tcBorders>
              <w:top w:val="single" w:color="000000" w:sz="4" w:space="0"/>
              <w:left w:val="nil"/>
              <w:bottom w:val="single" w:color="000000" w:sz="4" w:space="0"/>
              <w:right w:val="single" w:color="000000" w:sz="4" w:space="0"/>
            </w:tcBorders>
          </w:tcPr>
          <w:p>
            <w:pPr>
              <w:widowControl/>
              <w:spacing w:line="360" w:lineRule="auto"/>
              <w:outlineLvl w:val="0"/>
            </w:pPr>
          </w:p>
        </w:tc>
      </w:tr>
      <w:tr>
        <w:tblPrEx>
          <w:tblCellMar>
            <w:top w:w="0" w:type="dxa"/>
            <w:left w:w="108" w:type="dxa"/>
            <w:bottom w:w="0" w:type="dxa"/>
            <w:right w:w="108" w:type="dxa"/>
          </w:tblCellMar>
        </w:tblPrEx>
        <w:trPr>
          <w:trHeight w:val="585" w:hRule="atLeast"/>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outlineLvl w:val="0"/>
            </w:pPr>
            <w:r>
              <w:t>2</w:t>
            </w:r>
          </w:p>
        </w:tc>
        <w:tc>
          <w:tcPr>
            <w:tcW w:w="1786"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1217"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1497"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938"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790"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1940"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1182" w:type="dxa"/>
            <w:tcBorders>
              <w:top w:val="single" w:color="000000" w:sz="4" w:space="0"/>
              <w:left w:val="nil"/>
              <w:bottom w:val="single" w:color="000000" w:sz="4" w:space="0"/>
              <w:right w:val="single" w:color="000000" w:sz="4" w:space="0"/>
            </w:tcBorders>
          </w:tcPr>
          <w:p>
            <w:pPr>
              <w:widowControl/>
              <w:spacing w:line="360" w:lineRule="auto"/>
              <w:outlineLvl w:val="0"/>
            </w:pPr>
          </w:p>
        </w:tc>
      </w:tr>
      <w:tr>
        <w:tblPrEx>
          <w:tblCellMar>
            <w:top w:w="0" w:type="dxa"/>
            <w:left w:w="108" w:type="dxa"/>
            <w:bottom w:w="0" w:type="dxa"/>
            <w:right w:w="108" w:type="dxa"/>
          </w:tblCellMar>
        </w:tblPrEx>
        <w:trPr>
          <w:trHeight w:val="585" w:hRule="atLeast"/>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outlineLvl w:val="0"/>
            </w:pPr>
            <w:r>
              <w:t>3</w:t>
            </w:r>
          </w:p>
        </w:tc>
        <w:tc>
          <w:tcPr>
            <w:tcW w:w="1786"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1217"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1497"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938"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790"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1940"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1182" w:type="dxa"/>
            <w:tcBorders>
              <w:top w:val="single" w:color="000000" w:sz="4" w:space="0"/>
              <w:left w:val="nil"/>
              <w:bottom w:val="single" w:color="000000" w:sz="4" w:space="0"/>
              <w:right w:val="single" w:color="000000" w:sz="4" w:space="0"/>
            </w:tcBorders>
          </w:tcPr>
          <w:p>
            <w:pPr>
              <w:widowControl/>
              <w:spacing w:line="360" w:lineRule="auto"/>
              <w:outlineLvl w:val="0"/>
            </w:pPr>
          </w:p>
        </w:tc>
      </w:tr>
      <w:tr>
        <w:tblPrEx>
          <w:tblCellMar>
            <w:top w:w="0" w:type="dxa"/>
            <w:left w:w="108" w:type="dxa"/>
            <w:bottom w:w="0" w:type="dxa"/>
            <w:right w:w="108" w:type="dxa"/>
          </w:tblCellMar>
        </w:tblPrEx>
        <w:trPr>
          <w:trHeight w:val="585" w:hRule="atLeast"/>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outlineLvl w:val="0"/>
            </w:pPr>
            <w:r>
              <w:t>4</w:t>
            </w:r>
          </w:p>
        </w:tc>
        <w:tc>
          <w:tcPr>
            <w:tcW w:w="1786"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1217"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1497"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938"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790"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1940"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1182" w:type="dxa"/>
            <w:tcBorders>
              <w:top w:val="single" w:color="000000" w:sz="4" w:space="0"/>
              <w:left w:val="nil"/>
              <w:bottom w:val="single" w:color="000000" w:sz="4" w:space="0"/>
              <w:right w:val="single" w:color="000000" w:sz="4" w:space="0"/>
            </w:tcBorders>
          </w:tcPr>
          <w:p>
            <w:pPr>
              <w:widowControl/>
              <w:spacing w:line="360" w:lineRule="auto"/>
              <w:outlineLvl w:val="0"/>
            </w:pPr>
          </w:p>
        </w:tc>
      </w:tr>
      <w:tr>
        <w:tblPrEx>
          <w:tblCellMar>
            <w:top w:w="0" w:type="dxa"/>
            <w:left w:w="108" w:type="dxa"/>
            <w:bottom w:w="0" w:type="dxa"/>
            <w:right w:w="108" w:type="dxa"/>
          </w:tblCellMar>
        </w:tblPrEx>
        <w:trPr>
          <w:trHeight w:val="585" w:hRule="atLeast"/>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outlineLvl w:val="0"/>
            </w:pPr>
            <w:r>
              <w:t>5</w:t>
            </w:r>
          </w:p>
        </w:tc>
        <w:tc>
          <w:tcPr>
            <w:tcW w:w="1786"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1217"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1497"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938"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790"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1940"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1182" w:type="dxa"/>
            <w:tcBorders>
              <w:top w:val="single" w:color="000000" w:sz="4" w:space="0"/>
              <w:left w:val="nil"/>
              <w:bottom w:val="single" w:color="000000" w:sz="4" w:space="0"/>
              <w:right w:val="single" w:color="000000" w:sz="4" w:space="0"/>
            </w:tcBorders>
          </w:tcPr>
          <w:p>
            <w:pPr>
              <w:widowControl/>
              <w:spacing w:line="360" w:lineRule="auto"/>
              <w:outlineLvl w:val="0"/>
            </w:pPr>
          </w:p>
        </w:tc>
      </w:tr>
      <w:tr>
        <w:tblPrEx>
          <w:tblCellMar>
            <w:top w:w="0" w:type="dxa"/>
            <w:left w:w="108" w:type="dxa"/>
            <w:bottom w:w="0" w:type="dxa"/>
            <w:right w:w="108" w:type="dxa"/>
          </w:tblCellMar>
        </w:tblPrEx>
        <w:trPr>
          <w:trHeight w:val="585" w:hRule="atLeast"/>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outlineLvl w:val="0"/>
            </w:pPr>
            <w:r>
              <w:t>6</w:t>
            </w:r>
          </w:p>
        </w:tc>
        <w:tc>
          <w:tcPr>
            <w:tcW w:w="1786"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1217"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1497"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938"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790"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1940"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1182" w:type="dxa"/>
            <w:tcBorders>
              <w:top w:val="single" w:color="000000" w:sz="4" w:space="0"/>
              <w:left w:val="nil"/>
              <w:bottom w:val="single" w:color="000000" w:sz="4" w:space="0"/>
              <w:right w:val="single" w:color="000000" w:sz="4" w:space="0"/>
            </w:tcBorders>
          </w:tcPr>
          <w:p>
            <w:pPr>
              <w:widowControl/>
              <w:spacing w:line="360" w:lineRule="auto"/>
              <w:outlineLvl w:val="0"/>
            </w:pPr>
          </w:p>
        </w:tc>
      </w:tr>
      <w:tr>
        <w:tblPrEx>
          <w:tblCellMar>
            <w:top w:w="0" w:type="dxa"/>
            <w:left w:w="108" w:type="dxa"/>
            <w:bottom w:w="0" w:type="dxa"/>
            <w:right w:w="108" w:type="dxa"/>
          </w:tblCellMar>
        </w:tblPrEx>
        <w:trPr>
          <w:trHeight w:val="585" w:hRule="atLeast"/>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outlineLvl w:val="0"/>
            </w:pPr>
            <w:r>
              <w:t>7</w:t>
            </w:r>
          </w:p>
        </w:tc>
        <w:tc>
          <w:tcPr>
            <w:tcW w:w="1786"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1217"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1497"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938"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790"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1940"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1182" w:type="dxa"/>
            <w:tcBorders>
              <w:top w:val="single" w:color="000000" w:sz="4" w:space="0"/>
              <w:left w:val="nil"/>
              <w:bottom w:val="single" w:color="000000" w:sz="4" w:space="0"/>
              <w:right w:val="single" w:color="000000" w:sz="4" w:space="0"/>
            </w:tcBorders>
          </w:tcPr>
          <w:p>
            <w:pPr>
              <w:widowControl/>
              <w:spacing w:line="360" w:lineRule="auto"/>
              <w:outlineLvl w:val="0"/>
            </w:pPr>
          </w:p>
        </w:tc>
      </w:tr>
      <w:tr>
        <w:tblPrEx>
          <w:tblCellMar>
            <w:top w:w="0" w:type="dxa"/>
            <w:left w:w="108" w:type="dxa"/>
            <w:bottom w:w="0" w:type="dxa"/>
            <w:right w:w="108" w:type="dxa"/>
          </w:tblCellMar>
        </w:tblPrEx>
        <w:trPr>
          <w:trHeight w:val="585" w:hRule="atLeast"/>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outlineLvl w:val="0"/>
            </w:pPr>
            <w:r>
              <w:t>8</w:t>
            </w:r>
          </w:p>
        </w:tc>
        <w:tc>
          <w:tcPr>
            <w:tcW w:w="1786"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1217"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1497"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938"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790"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1940"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1182" w:type="dxa"/>
            <w:tcBorders>
              <w:top w:val="single" w:color="000000" w:sz="4" w:space="0"/>
              <w:left w:val="nil"/>
              <w:bottom w:val="single" w:color="000000" w:sz="4" w:space="0"/>
              <w:right w:val="single" w:color="000000" w:sz="4" w:space="0"/>
            </w:tcBorders>
          </w:tcPr>
          <w:p>
            <w:pPr>
              <w:widowControl/>
              <w:spacing w:line="360" w:lineRule="auto"/>
              <w:outlineLvl w:val="0"/>
            </w:pPr>
          </w:p>
        </w:tc>
      </w:tr>
      <w:tr>
        <w:tblPrEx>
          <w:tblCellMar>
            <w:top w:w="0" w:type="dxa"/>
            <w:left w:w="108" w:type="dxa"/>
            <w:bottom w:w="0" w:type="dxa"/>
            <w:right w:w="108" w:type="dxa"/>
          </w:tblCellMar>
        </w:tblPrEx>
        <w:trPr>
          <w:trHeight w:val="585" w:hRule="atLeast"/>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outlineLvl w:val="0"/>
            </w:pPr>
          </w:p>
        </w:tc>
        <w:tc>
          <w:tcPr>
            <w:tcW w:w="1786"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1217"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1497"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938"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790"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1940"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1182" w:type="dxa"/>
            <w:tcBorders>
              <w:top w:val="single" w:color="000000" w:sz="4" w:space="0"/>
              <w:left w:val="nil"/>
              <w:bottom w:val="single" w:color="000000" w:sz="4" w:space="0"/>
              <w:right w:val="single" w:color="000000" w:sz="4" w:space="0"/>
            </w:tcBorders>
          </w:tcPr>
          <w:p>
            <w:pPr>
              <w:widowControl/>
              <w:spacing w:line="360" w:lineRule="auto"/>
              <w:outlineLvl w:val="0"/>
            </w:pPr>
          </w:p>
        </w:tc>
      </w:tr>
      <w:tr>
        <w:tblPrEx>
          <w:tblCellMar>
            <w:top w:w="0" w:type="dxa"/>
            <w:left w:w="108" w:type="dxa"/>
            <w:bottom w:w="0" w:type="dxa"/>
            <w:right w:w="108" w:type="dxa"/>
          </w:tblCellMar>
        </w:tblPrEx>
        <w:trPr>
          <w:trHeight w:val="585" w:hRule="atLeast"/>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outlineLvl w:val="0"/>
            </w:pPr>
          </w:p>
        </w:tc>
        <w:tc>
          <w:tcPr>
            <w:tcW w:w="1786"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1217"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1497"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938"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790"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1940" w:type="dxa"/>
            <w:tcBorders>
              <w:top w:val="single" w:color="000000" w:sz="4" w:space="0"/>
              <w:left w:val="nil"/>
              <w:bottom w:val="single" w:color="000000" w:sz="4" w:space="0"/>
              <w:right w:val="single" w:color="000000" w:sz="4" w:space="0"/>
            </w:tcBorders>
          </w:tcPr>
          <w:p>
            <w:pPr>
              <w:widowControl/>
              <w:spacing w:line="360" w:lineRule="auto"/>
              <w:outlineLvl w:val="0"/>
            </w:pPr>
          </w:p>
        </w:tc>
        <w:tc>
          <w:tcPr>
            <w:tcW w:w="1182" w:type="dxa"/>
            <w:tcBorders>
              <w:top w:val="single" w:color="000000" w:sz="4" w:space="0"/>
              <w:left w:val="nil"/>
              <w:bottom w:val="single" w:color="000000" w:sz="4" w:space="0"/>
              <w:right w:val="single" w:color="000000" w:sz="4" w:space="0"/>
            </w:tcBorders>
          </w:tcPr>
          <w:p>
            <w:pPr>
              <w:widowControl/>
              <w:spacing w:line="360" w:lineRule="auto"/>
              <w:outlineLvl w:val="0"/>
            </w:pPr>
          </w:p>
        </w:tc>
      </w:tr>
    </w:tbl>
    <w:p>
      <w:pPr>
        <w:widowControl/>
        <w:spacing w:line="360" w:lineRule="auto"/>
        <w:outlineLvl w:val="0"/>
        <w:rPr>
          <w:rFonts w:ascii="宋体" w:hAnsi="宋体" w:cs="宋体"/>
          <w:sz w:val="24"/>
        </w:rPr>
      </w:pPr>
      <w:r>
        <w:rPr>
          <w:rFonts w:hint="eastAsia" w:ascii="宋体" w:hAnsi="宋体" w:cs="宋体"/>
          <w:sz w:val="24"/>
        </w:rPr>
        <w:t>注： 1、本表只是表式，投标人可根据实际需要自行增减行数；</w:t>
      </w:r>
    </w:p>
    <w:p>
      <w:pPr>
        <w:widowControl/>
        <w:spacing w:line="360" w:lineRule="auto"/>
        <w:ind w:firstLine="600" w:firstLineChars="250"/>
        <w:outlineLvl w:val="0"/>
        <w:rPr>
          <w:rFonts w:ascii="宋体" w:hAnsi="宋体" w:cs="宋体"/>
          <w:sz w:val="24"/>
        </w:rPr>
      </w:pPr>
      <w:r>
        <w:rPr>
          <w:rFonts w:hint="eastAsia" w:ascii="宋体" w:hAnsi="宋体" w:cs="宋体"/>
          <w:sz w:val="24"/>
        </w:rPr>
        <w:t>2、性能参数必须和投标正规产品样本一致，应如实详细填写；</w:t>
      </w:r>
    </w:p>
    <w:p>
      <w:pPr>
        <w:widowControl/>
        <w:spacing w:line="360" w:lineRule="auto"/>
        <w:outlineLvl w:val="0"/>
        <w:rPr>
          <w:rFonts w:ascii="宋体" w:hAnsi="宋体" w:cs="宋体"/>
          <w:sz w:val="24"/>
        </w:rPr>
      </w:pPr>
      <w:r>
        <w:rPr>
          <w:rFonts w:hint="eastAsia" w:ascii="宋体" w:hAnsi="宋体" w:cs="宋体"/>
          <w:sz w:val="24"/>
        </w:rPr>
        <w:t xml:space="preserve">     3、投标人根据招标文件中的货物配置及技术性能参数要求对照所投标货物的配置及技术性能参数进行参数偏移（</w:t>
      </w:r>
      <w:r>
        <w:rPr>
          <w:rFonts w:hint="eastAsia" w:ascii="宋体" w:hAnsi="宋体" w:cs="宋体"/>
          <w:b/>
          <w:bCs/>
          <w:sz w:val="24"/>
        </w:rPr>
        <w:t>只允许正偏离</w:t>
      </w:r>
      <w:r>
        <w:rPr>
          <w:rFonts w:hint="eastAsia" w:ascii="宋体" w:hAnsi="宋体" w:cs="宋体"/>
          <w:sz w:val="24"/>
        </w:rPr>
        <w:t>）情况说明。</w:t>
      </w:r>
    </w:p>
    <w:p>
      <w:pPr>
        <w:pStyle w:val="9"/>
        <w:spacing w:line="360" w:lineRule="auto"/>
        <w:ind w:firstLine="480"/>
        <w:outlineLvl w:val="0"/>
        <w:rPr>
          <w:rFonts w:ascii="宋体" w:hAnsi="宋体" w:cs="宋体"/>
          <w:sz w:val="24"/>
        </w:rPr>
      </w:pPr>
    </w:p>
    <w:p>
      <w:pPr>
        <w:pStyle w:val="9"/>
        <w:spacing w:line="360" w:lineRule="auto"/>
        <w:ind w:firstLine="480"/>
        <w:outlineLvl w:val="0"/>
        <w:rPr>
          <w:rFonts w:ascii="宋体" w:hAnsi="宋体" w:cs="宋体"/>
          <w:sz w:val="24"/>
        </w:rPr>
      </w:pPr>
      <w:r>
        <w:rPr>
          <w:rFonts w:hint="eastAsia" w:ascii="宋体" w:hAnsi="宋体" w:cs="宋体"/>
          <w:sz w:val="24"/>
        </w:rPr>
        <w:t>投标人代表签字或盖章：</w:t>
      </w:r>
    </w:p>
    <w:p>
      <w:pPr>
        <w:pStyle w:val="9"/>
        <w:spacing w:line="360" w:lineRule="auto"/>
        <w:ind w:firstLine="480"/>
        <w:outlineLvl w:val="0"/>
        <w:rPr>
          <w:rFonts w:ascii="宋体" w:hAnsi="宋体" w:cs="宋体"/>
          <w:sz w:val="24"/>
        </w:rPr>
      </w:pPr>
      <w:r>
        <w:rPr>
          <w:rFonts w:hint="eastAsia" w:ascii="宋体" w:hAnsi="宋体" w:cs="宋体"/>
          <w:sz w:val="24"/>
        </w:rPr>
        <w:t>投标人公章：</w:t>
      </w:r>
    </w:p>
    <w:p>
      <w:pPr>
        <w:pStyle w:val="18"/>
        <w:tabs>
          <w:tab w:val="left" w:pos="7472"/>
          <w:tab w:val="left" w:pos="8313"/>
          <w:tab w:val="left" w:pos="9153"/>
        </w:tabs>
        <w:spacing w:before="72" w:line="360" w:lineRule="auto"/>
        <w:ind w:firstLine="480" w:firstLineChars="200"/>
        <w:rPr>
          <w:rFonts w:ascii="宋体" w:hAnsi="宋体" w:cs="宋体"/>
          <w:sz w:val="24"/>
        </w:rPr>
      </w:pPr>
      <w:r>
        <w:rPr>
          <w:rFonts w:hint="eastAsia" w:ascii="宋体" w:hAnsi="宋体" w:cs="宋体"/>
          <w:sz w:val="24"/>
        </w:rPr>
        <w:t>日期</w:t>
      </w:r>
    </w:p>
    <w:p>
      <w:pPr>
        <w:autoSpaceDE w:val="0"/>
        <w:autoSpaceDN w:val="0"/>
        <w:spacing w:line="360" w:lineRule="auto"/>
        <w:ind w:firstLine="482" w:firstLineChars="200"/>
        <w:jc w:val="left"/>
        <w:rPr>
          <w:rFonts w:ascii="宋体" w:hAnsi="宋体" w:cs="宋体"/>
          <w:b/>
          <w:kern w:val="0"/>
          <w:sz w:val="24"/>
          <w:szCs w:val="22"/>
          <w:lang w:bidi="zh-CN"/>
        </w:rPr>
      </w:pPr>
    </w:p>
    <w:p>
      <w:pPr>
        <w:autoSpaceDE w:val="0"/>
        <w:autoSpaceDN w:val="0"/>
        <w:spacing w:line="360" w:lineRule="auto"/>
        <w:ind w:firstLine="482" w:firstLineChars="200"/>
        <w:jc w:val="left"/>
        <w:rPr>
          <w:rFonts w:ascii="宋体" w:hAnsi="宋体" w:cs="宋体"/>
          <w:b/>
          <w:kern w:val="0"/>
          <w:sz w:val="24"/>
          <w:szCs w:val="22"/>
          <w:lang w:bidi="zh-CN"/>
        </w:rPr>
      </w:pPr>
    </w:p>
    <w:p>
      <w:pPr>
        <w:autoSpaceDE w:val="0"/>
        <w:autoSpaceDN w:val="0"/>
        <w:spacing w:line="360" w:lineRule="auto"/>
        <w:ind w:firstLine="482" w:firstLineChars="200"/>
        <w:jc w:val="left"/>
        <w:rPr>
          <w:rFonts w:ascii="宋体" w:hAnsi="宋体" w:cs="宋体"/>
          <w:b/>
          <w:kern w:val="0"/>
          <w:sz w:val="24"/>
          <w:szCs w:val="22"/>
          <w:lang w:bidi="zh-CN"/>
        </w:rPr>
      </w:pPr>
    </w:p>
    <w:p>
      <w:pPr>
        <w:autoSpaceDE w:val="0"/>
        <w:autoSpaceDN w:val="0"/>
        <w:spacing w:line="360" w:lineRule="auto"/>
        <w:ind w:firstLine="482" w:firstLineChars="200"/>
        <w:jc w:val="left"/>
        <w:rPr>
          <w:rFonts w:ascii="宋体" w:hAnsi="宋体" w:cs="宋体"/>
          <w:b/>
          <w:kern w:val="0"/>
          <w:sz w:val="24"/>
          <w:szCs w:val="22"/>
          <w:lang w:bidi="zh-CN"/>
        </w:rPr>
      </w:pPr>
    </w:p>
    <w:p>
      <w:pPr>
        <w:autoSpaceDE w:val="0"/>
        <w:autoSpaceDN w:val="0"/>
        <w:spacing w:line="360" w:lineRule="auto"/>
        <w:ind w:firstLine="482" w:firstLineChars="200"/>
        <w:jc w:val="left"/>
        <w:rPr>
          <w:rFonts w:ascii="宋体" w:hAnsi="宋体" w:cs="宋体"/>
          <w:b/>
          <w:kern w:val="0"/>
          <w:sz w:val="24"/>
          <w:szCs w:val="22"/>
          <w:lang w:bidi="zh-CN"/>
        </w:rPr>
      </w:pPr>
    </w:p>
    <w:p>
      <w:pPr>
        <w:autoSpaceDE w:val="0"/>
        <w:autoSpaceDN w:val="0"/>
        <w:spacing w:line="360" w:lineRule="auto"/>
        <w:ind w:firstLine="482" w:firstLineChars="200"/>
        <w:jc w:val="left"/>
        <w:rPr>
          <w:rFonts w:ascii="宋体" w:hAnsi="宋体" w:cs="宋体"/>
          <w:b/>
          <w:kern w:val="0"/>
          <w:sz w:val="24"/>
          <w:szCs w:val="22"/>
          <w:lang w:val="zh-CN" w:bidi="zh-CN"/>
        </w:rPr>
      </w:pPr>
      <w:r>
        <w:rPr>
          <w:rFonts w:hint="eastAsia" w:ascii="宋体" w:hAnsi="宋体" w:cs="宋体"/>
          <w:b/>
          <w:kern w:val="0"/>
          <w:sz w:val="24"/>
          <w:szCs w:val="22"/>
          <w:lang w:bidi="zh-CN"/>
        </w:rPr>
        <w:t>4、</w:t>
      </w:r>
      <w:r>
        <w:rPr>
          <w:rFonts w:hint="eastAsia" w:ascii="宋体" w:hAnsi="宋体" w:cs="宋体"/>
          <w:b/>
          <w:kern w:val="0"/>
          <w:sz w:val="24"/>
          <w:szCs w:val="22"/>
          <w:lang w:val="zh-CN" w:bidi="zh-CN"/>
        </w:rPr>
        <w:t>对应评标办法中技术标响应的要求及说明编制技术标文件（根据招标文件第</w:t>
      </w:r>
      <w:r>
        <w:rPr>
          <w:rFonts w:hint="eastAsia" w:ascii="宋体" w:hAnsi="宋体" w:cs="宋体"/>
          <w:b/>
          <w:kern w:val="0"/>
          <w:sz w:val="24"/>
          <w:szCs w:val="22"/>
          <w:lang w:bidi="zh-CN"/>
        </w:rPr>
        <w:t>三</w:t>
      </w:r>
      <w:r>
        <w:rPr>
          <w:rFonts w:hint="eastAsia" w:ascii="宋体" w:hAnsi="宋体" w:cs="宋体"/>
          <w:b/>
          <w:kern w:val="0"/>
          <w:sz w:val="24"/>
          <w:szCs w:val="22"/>
          <w:lang w:val="zh-CN" w:bidi="zh-CN"/>
        </w:rPr>
        <w:t>章</w:t>
      </w:r>
      <w:r>
        <w:rPr>
          <w:rFonts w:hint="eastAsia" w:ascii="宋体" w:hAnsi="宋体" w:cs="宋体"/>
          <w:b/>
          <w:kern w:val="0"/>
          <w:sz w:val="24"/>
          <w:szCs w:val="22"/>
          <w:lang w:bidi="zh-CN"/>
        </w:rPr>
        <w:t>项目</w:t>
      </w:r>
      <w:r>
        <w:rPr>
          <w:rFonts w:hint="eastAsia" w:ascii="宋体" w:hAnsi="宋体" w:cs="宋体"/>
          <w:b/>
          <w:kern w:val="0"/>
          <w:sz w:val="24"/>
          <w:szCs w:val="22"/>
          <w:lang w:val="zh-CN" w:bidi="zh-CN"/>
        </w:rPr>
        <w:t>需求中的所需提供的内容；投标人对招标文件技术规格的响应，文字描述部分应详尽，技术参数部分应列出数值）。</w:t>
      </w:r>
    </w:p>
    <w:p>
      <w:pPr>
        <w:pStyle w:val="53"/>
        <w:spacing w:line="360" w:lineRule="auto"/>
        <w:ind w:firstLine="400"/>
      </w:pPr>
    </w:p>
    <w:bookmarkEnd w:id="15"/>
    <w:p>
      <w:pPr>
        <w:spacing w:line="360" w:lineRule="auto"/>
        <w:rPr>
          <w:rFonts w:ascii="宋体" w:hAnsi="宋体" w:cs="宋体"/>
          <w:b/>
          <w:bCs/>
          <w:sz w:val="24"/>
        </w:rPr>
      </w:pPr>
      <w:r>
        <w:rPr>
          <w:rFonts w:hint="eastAsia" w:ascii="宋体" w:hAnsi="宋体" w:cs="宋体"/>
          <w:b/>
          <w:bCs/>
          <w:sz w:val="24"/>
        </w:rPr>
        <w:br w:type="page"/>
      </w:r>
    </w:p>
    <w:p>
      <w:pPr>
        <w:spacing w:line="360" w:lineRule="auto"/>
        <w:rPr>
          <w:rFonts w:ascii="宋体" w:hAnsi="宋体" w:cs="宋体"/>
          <w:b/>
          <w:sz w:val="24"/>
        </w:rPr>
      </w:pPr>
      <w:r>
        <w:rPr>
          <w:rFonts w:hint="eastAsia" w:ascii="宋体" w:hAnsi="宋体" w:cs="宋体"/>
          <w:b/>
          <w:bCs/>
          <w:sz w:val="24"/>
        </w:rPr>
        <w:t>三、</w:t>
      </w:r>
      <w:r>
        <w:rPr>
          <w:rFonts w:hint="eastAsia" w:ascii="宋体" w:hAnsi="宋体" w:cs="宋体"/>
          <w:b/>
          <w:sz w:val="24"/>
        </w:rPr>
        <w:t>商务标文件相关的格式文件及表格</w:t>
      </w:r>
    </w:p>
    <w:p>
      <w:pPr>
        <w:snapToGrid w:val="0"/>
        <w:spacing w:line="360" w:lineRule="auto"/>
        <w:jc w:val="center"/>
        <w:rPr>
          <w:rFonts w:ascii="宋体" w:hAnsi="宋体" w:cs="宋体"/>
          <w:b/>
          <w:bCs/>
          <w:sz w:val="24"/>
        </w:rPr>
      </w:pPr>
      <w:r>
        <w:rPr>
          <w:rFonts w:hint="eastAsia" w:ascii="宋体" w:hAnsi="宋体" w:cs="宋体"/>
          <w:b/>
          <w:bCs/>
          <w:sz w:val="24"/>
        </w:rPr>
        <w:t>1、投标响应报价总表</w:t>
      </w:r>
    </w:p>
    <w:p>
      <w:pPr>
        <w:snapToGrid w:val="0"/>
        <w:spacing w:line="360" w:lineRule="auto"/>
        <w:rPr>
          <w:rFonts w:ascii="宋体" w:hAnsi="宋体" w:cs="宋体"/>
          <w:sz w:val="24"/>
        </w:rPr>
      </w:pPr>
    </w:p>
    <w:tbl>
      <w:tblPr>
        <w:tblStyle w:val="54"/>
        <w:tblW w:w="959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756" w:type="dxa"/>
            <w:vAlign w:val="center"/>
          </w:tcPr>
          <w:p>
            <w:pPr>
              <w:kinsoku w:val="0"/>
              <w:topLinePunct/>
              <w:snapToGrid w:val="0"/>
              <w:spacing w:line="360" w:lineRule="auto"/>
              <w:jc w:val="center"/>
              <w:rPr>
                <w:rFonts w:ascii="宋体" w:hAnsi="宋体" w:cs="宋体"/>
                <w:sz w:val="24"/>
              </w:rPr>
            </w:pPr>
            <w:r>
              <w:rPr>
                <w:rFonts w:hint="eastAsia" w:ascii="宋体" w:hAnsi="宋体" w:cs="宋体"/>
                <w:sz w:val="24"/>
              </w:rPr>
              <w:t>项目名称</w:t>
            </w:r>
          </w:p>
        </w:tc>
        <w:tc>
          <w:tcPr>
            <w:tcW w:w="6843" w:type="dxa"/>
            <w:vAlign w:val="center"/>
          </w:tcPr>
          <w:p>
            <w:pPr>
              <w:kinsoku w:val="0"/>
              <w:topLinePunct/>
              <w:snapToGrid w:val="0"/>
              <w:spacing w:line="360" w:lineRule="auto"/>
              <w:rPr>
                <w:rFonts w:ascii="宋体" w:hAnsi="宋体" w:cs="宋体"/>
                <w:strik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756" w:type="dxa"/>
            <w:vAlign w:val="center"/>
          </w:tcPr>
          <w:p>
            <w:pPr>
              <w:kinsoku w:val="0"/>
              <w:topLinePunct/>
              <w:snapToGrid w:val="0"/>
              <w:spacing w:line="360" w:lineRule="auto"/>
              <w:jc w:val="center"/>
              <w:rPr>
                <w:rFonts w:ascii="宋体" w:hAnsi="宋体" w:cs="宋体"/>
                <w:sz w:val="24"/>
              </w:rPr>
            </w:pPr>
            <w:r>
              <w:rPr>
                <w:rFonts w:hint="eastAsia" w:ascii="宋体" w:hAnsi="宋体" w:cs="宋体"/>
                <w:sz w:val="24"/>
              </w:rPr>
              <w:t>项目编号</w:t>
            </w:r>
          </w:p>
        </w:tc>
        <w:tc>
          <w:tcPr>
            <w:tcW w:w="6843" w:type="dxa"/>
            <w:vAlign w:val="center"/>
          </w:tcPr>
          <w:p>
            <w:pPr>
              <w:kinsoku w:val="0"/>
              <w:topLinePunct/>
              <w:snapToGrid w:val="0"/>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756" w:type="dxa"/>
            <w:vAlign w:val="center"/>
          </w:tcPr>
          <w:p>
            <w:pPr>
              <w:kinsoku w:val="0"/>
              <w:topLinePunct/>
              <w:snapToGrid w:val="0"/>
              <w:spacing w:line="360" w:lineRule="auto"/>
              <w:jc w:val="center"/>
              <w:rPr>
                <w:rFonts w:ascii="宋体" w:hAnsi="宋体" w:cs="宋体"/>
                <w:sz w:val="24"/>
              </w:rPr>
            </w:pPr>
            <w:r>
              <w:rPr>
                <w:rFonts w:hint="eastAsia" w:ascii="宋体" w:hAnsi="宋体" w:cs="宋体"/>
                <w:sz w:val="24"/>
              </w:rPr>
              <w:t>投标报价总计</w:t>
            </w:r>
          </w:p>
        </w:tc>
        <w:tc>
          <w:tcPr>
            <w:tcW w:w="6843" w:type="dxa"/>
            <w:vAlign w:val="center"/>
          </w:tcPr>
          <w:p>
            <w:pPr>
              <w:kinsoku w:val="0"/>
              <w:topLinePunct/>
              <w:snapToGrid w:val="0"/>
              <w:spacing w:line="360" w:lineRule="auto"/>
              <w:rPr>
                <w:rFonts w:ascii="宋体" w:hAnsi="宋体" w:cs="宋体"/>
                <w:sz w:val="24"/>
              </w:rPr>
            </w:pPr>
            <w:r>
              <w:rPr>
                <w:rFonts w:hint="eastAsia"/>
              </w:rPr>
              <w:t>大写：</w:t>
            </w:r>
            <w:r>
              <w:rPr>
                <w:rFonts w:hint="eastAsia"/>
                <w:u w:val="single"/>
              </w:rPr>
              <w:t xml:space="preserve">          元</w:t>
            </w:r>
            <w:r>
              <w:rPr>
                <w:rFonts w:hint="eastAsia"/>
              </w:rPr>
              <w:t>（小写：</w:t>
            </w:r>
            <w:r>
              <w:rPr>
                <w:rFonts w:hint="eastAsia"/>
                <w:u w:val="single"/>
              </w:rPr>
              <w:t xml:space="preserve">         </w:t>
            </w:r>
            <w:r>
              <w:rPr>
                <w:rFonts w:hint="eastAsia"/>
              </w:rPr>
              <w:t>元）</w:t>
            </w:r>
          </w:p>
        </w:tc>
      </w:tr>
    </w:tbl>
    <w:p>
      <w:pPr>
        <w:kinsoku w:val="0"/>
        <w:topLinePunct/>
        <w:snapToGrid w:val="0"/>
        <w:spacing w:line="360" w:lineRule="auto"/>
        <w:rPr>
          <w:rFonts w:ascii="宋体" w:hAnsi="宋体" w:cs="宋体"/>
          <w:sz w:val="24"/>
        </w:rPr>
      </w:pPr>
      <w:r>
        <w:rPr>
          <w:rFonts w:hint="eastAsia" w:ascii="宋体" w:hAnsi="宋体" w:cs="宋体"/>
          <w:sz w:val="24"/>
        </w:rPr>
        <w:t xml:space="preserve">投标供应商：（盖章）             </w:t>
      </w:r>
    </w:p>
    <w:p>
      <w:pPr>
        <w:kinsoku w:val="0"/>
        <w:topLinePunct/>
        <w:snapToGrid w:val="0"/>
        <w:spacing w:line="360" w:lineRule="auto"/>
        <w:rPr>
          <w:rFonts w:ascii="宋体" w:hAnsi="宋体" w:cs="宋体"/>
          <w:sz w:val="24"/>
        </w:rPr>
      </w:pPr>
      <w:r>
        <w:rPr>
          <w:rFonts w:hint="eastAsia" w:ascii="宋体" w:hAnsi="宋体" w:cs="宋体"/>
          <w:sz w:val="24"/>
        </w:rPr>
        <w:t>法定代表人或被授权人（签字或盖章）：</w:t>
      </w:r>
    </w:p>
    <w:p>
      <w:pPr>
        <w:kinsoku w:val="0"/>
        <w:topLinePunct/>
        <w:snapToGrid w:val="0"/>
        <w:spacing w:line="360" w:lineRule="auto"/>
        <w:rPr>
          <w:rFonts w:ascii="宋体" w:hAnsi="宋体" w:cs="宋体"/>
          <w:sz w:val="24"/>
        </w:rPr>
      </w:pPr>
      <w:r>
        <w:rPr>
          <w:rFonts w:hint="eastAsia" w:ascii="宋体" w:hAnsi="宋体" w:cs="宋体"/>
          <w:sz w:val="24"/>
        </w:rPr>
        <w:t>日期：</w:t>
      </w:r>
    </w:p>
    <w:p>
      <w:pPr>
        <w:snapToGrid w:val="0"/>
        <w:spacing w:line="360" w:lineRule="auto"/>
        <w:ind w:firstLine="414" w:firstLineChars="206"/>
        <w:rPr>
          <w:rFonts w:ascii="宋体" w:hAnsi="宋体" w:cs="宋体"/>
          <w:sz w:val="20"/>
          <w:szCs w:val="20"/>
        </w:rPr>
      </w:pPr>
      <w:r>
        <w:rPr>
          <w:rFonts w:hint="eastAsia" w:ascii="宋体" w:hAnsi="宋体" w:cs="宋体"/>
          <w:b/>
          <w:bCs/>
          <w:sz w:val="20"/>
          <w:szCs w:val="20"/>
        </w:rPr>
        <w:t>注：</w:t>
      </w:r>
      <w:r>
        <w:rPr>
          <w:rFonts w:hint="eastAsia" w:ascii="宋体" w:hAnsi="宋体" w:cs="宋体"/>
          <w:sz w:val="20"/>
          <w:szCs w:val="20"/>
        </w:rPr>
        <w:t xml:space="preserve"> 1、本表为格式表，不得自行改动，必须提供。</w:t>
      </w:r>
    </w:p>
    <w:p>
      <w:pPr>
        <w:snapToGrid w:val="0"/>
        <w:spacing w:line="360" w:lineRule="auto"/>
        <w:ind w:left="630"/>
        <w:rPr>
          <w:rFonts w:ascii="宋体" w:hAnsi="宋体" w:cs="宋体"/>
          <w:sz w:val="20"/>
          <w:szCs w:val="20"/>
        </w:rPr>
      </w:pPr>
      <w:r>
        <w:rPr>
          <w:rFonts w:hint="eastAsia" w:ascii="宋体" w:hAnsi="宋体" w:cs="宋体"/>
          <w:sz w:val="20"/>
          <w:szCs w:val="20"/>
        </w:rPr>
        <w:t>2、投标报价包含投标报价应包含但不限于：</w:t>
      </w:r>
    </w:p>
    <w:p>
      <w:pPr>
        <w:snapToGrid w:val="0"/>
        <w:spacing w:line="360" w:lineRule="auto"/>
        <w:ind w:firstLine="400" w:firstLineChars="200"/>
        <w:rPr>
          <w:rFonts w:ascii="宋体" w:hAnsi="宋体" w:cs="宋体"/>
          <w:sz w:val="20"/>
          <w:szCs w:val="20"/>
        </w:rPr>
      </w:pPr>
      <w:r>
        <w:rPr>
          <w:rFonts w:hint="eastAsia" w:ascii="宋体" w:hAnsi="宋体" w:cs="宋体"/>
          <w:sz w:val="20"/>
          <w:szCs w:val="20"/>
        </w:rPr>
        <w:t>（1）设备费包括：设备的制造成本、开办费、利润、税金、管理费、规费、二次设计费、技术措施费、机械进出场费、市场材料价格风险费、政策性调整风险费；设备的主材及标准附件（含梯控）、备品备件、专用工具、技术资料、损耗等费用；设备运至最终目的地的包装费、运输费、装卸费、保险费、现场设备材料保管费；设备的检验费、培训费、技术服务等费用；取得相关检验部门检查验收并出具权威验收报告以及为完成本项目而发生的其它所有措施等全部费用。</w:t>
      </w:r>
    </w:p>
    <w:p>
      <w:pPr>
        <w:snapToGrid w:val="0"/>
        <w:spacing w:line="360" w:lineRule="auto"/>
        <w:ind w:firstLine="400" w:firstLineChars="200"/>
        <w:rPr>
          <w:rFonts w:ascii="宋体" w:hAnsi="宋体" w:cs="宋体"/>
          <w:sz w:val="20"/>
          <w:szCs w:val="20"/>
        </w:rPr>
      </w:pPr>
      <w:r>
        <w:rPr>
          <w:rFonts w:hint="eastAsia" w:ascii="宋体" w:hAnsi="宋体" w:cs="宋体"/>
          <w:sz w:val="20"/>
          <w:szCs w:val="20"/>
        </w:rPr>
        <w:t>（2）安装费包括：开孔及封堵费、层门与土建结构的封堵费、安装调试费、安装配合费（自行考虑）、梯控安装相关费用、搬运（包括吊装）、垂直运输费、脚手架费、安装过程中与总承包单位的配合费、检验费、监检费、管理费、利润、规费、税金、市场价格波动风险、人员培训费用、技术服务费、性能介绍、售后服务、调试用的电缆、五方对讲及视频通话电缆（由轿箱至机房层）、免费保修保养期间各项维修保养费用及特种设备检验检测费。即招标物安装验收合格交付使用前的所有费用以及免费保养维修的服务费用以及其它不可预见费用等。</w:t>
      </w:r>
    </w:p>
    <w:p>
      <w:pPr>
        <w:snapToGrid w:val="0"/>
        <w:spacing w:line="360" w:lineRule="auto"/>
        <w:ind w:firstLine="400" w:firstLineChars="200"/>
        <w:rPr>
          <w:rFonts w:ascii="宋体" w:hAnsi="宋体" w:cs="宋体"/>
          <w:sz w:val="20"/>
          <w:szCs w:val="20"/>
        </w:rPr>
      </w:pPr>
      <w:r>
        <w:rPr>
          <w:rFonts w:hint="eastAsia" w:ascii="宋体" w:hAnsi="宋体" w:cs="宋体"/>
          <w:sz w:val="20"/>
          <w:szCs w:val="20"/>
        </w:rPr>
        <w:t>（3）其他可能发生的费用：如实际井道尺寸超过招标所提供的参数表尺寸宽度而需要增加支撑和支架的费用；所有电梯机房钢丝绳洞和因安装电梯设备用洞的开洞和洞口止水圈的费用；电梯机房如需增加承重圈梁和设备吊环、吊钩的费用；电梯机房间电源配电箱到电梯控制箱之间的连接桥架和电缆费用；电梯机房主机工字钢大梁和设备用支架费用；因过梁或柱与井道墙体间存在高低或水平尺寸差时（或其它原因）为符合规范要求而增加的封堵、封板费用等。</w:t>
      </w:r>
    </w:p>
    <w:p>
      <w:pPr>
        <w:snapToGrid w:val="0"/>
        <w:spacing w:line="360" w:lineRule="auto"/>
        <w:ind w:firstLine="400" w:firstLineChars="200"/>
        <w:rPr>
          <w:rFonts w:ascii="宋体" w:hAnsi="宋体" w:cs="宋体"/>
          <w:sz w:val="20"/>
          <w:szCs w:val="20"/>
        </w:rPr>
      </w:pPr>
      <w:r>
        <w:rPr>
          <w:rFonts w:hint="eastAsia" w:ascii="宋体" w:hAnsi="宋体" w:cs="宋体"/>
          <w:sz w:val="20"/>
          <w:szCs w:val="20"/>
        </w:rPr>
        <w:t>即投标报价包含招标物交付使用前的所有费用以及免保期内的服务费用等包含响应招标文件采购要求的所有费用。</w:t>
      </w:r>
    </w:p>
    <w:p>
      <w:pPr>
        <w:spacing w:line="360" w:lineRule="auto"/>
        <w:rPr>
          <w:rFonts w:ascii="宋体" w:hAnsi="宋体" w:cs="宋体"/>
          <w:sz w:val="24"/>
        </w:rPr>
      </w:pPr>
      <w:r>
        <w:rPr>
          <w:rFonts w:ascii="宋体" w:hAnsi="宋体" w:cs="宋体"/>
          <w:sz w:val="24"/>
        </w:rPr>
        <w:br w:type="page"/>
      </w:r>
    </w:p>
    <w:p>
      <w:pPr>
        <w:pStyle w:val="9"/>
        <w:spacing w:line="360" w:lineRule="auto"/>
        <w:ind w:firstLine="640"/>
        <w:jc w:val="center"/>
        <w:outlineLvl w:val="0"/>
        <w:rPr>
          <w:rStyle w:val="102"/>
          <w:rFonts w:ascii="宋体" w:hAnsi="宋体" w:eastAsia="宋体" w:cs="宋体"/>
        </w:rPr>
      </w:pPr>
      <w:r>
        <w:rPr>
          <w:rStyle w:val="102"/>
          <w:rFonts w:hint="eastAsia" w:ascii="宋体" w:hAnsi="宋体" w:cs="宋体"/>
        </w:rPr>
        <w:t>2、</w:t>
      </w:r>
      <w:r>
        <w:rPr>
          <w:rStyle w:val="102"/>
          <w:rFonts w:hint="eastAsia" w:ascii="宋体" w:hAnsi="宋体" w:eastAsia="宋体" w:cs="宋体"/>
        </w:rPr>
        <w:t>投标货物进口件明细表</w:t>
      </w:r>
    </w:p>
    <w:p>
      <w:pPr>
        <w:pStyle w:val="9"/>
        <w:spacing w:line="360" w:lineRule="auto"/>
        <w:ind w:firstLine="210" w:firstLineChars="100"/>
        <w:outlineLvl w:val="0"/>
        <w:rPr>
          <w:rStyle w:val="102"/>
        </w:rPr>
      </w:pPr>
      <w:r>
        <w:rPr>
          <w:rFonts w:hint="eastAsia" w:ascii="宋体" w:hAnsi="宋体"/>
        </w:rPr>
        <w:t>项目名称：</w:t>
      </w:r>
    </w:p>
    <w:tbl>
      <w:tblPr>
        <w:tblStyle w:val="5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28"/>
        <w:gridCol w:w="2620"/>
        <w:gridCol w:w="1900"/>
        <w:gridCol w:w="1140"/>
        <w:gridCol w:w="31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12" w:space="0"/>
              <w:bottom w:val="nil"/>
            </w:tcBorders>
          </w:tcPr>
          <w:p>
            <w:pPr>
              <w:spacing w:after="120" w:line="360" w:lineRule="auto"/>
              <w:outlineLvl w:val="0"/>
              <w:rPr>
                <w:rFonts w:ascii="Arial" w:hAnsi="Arial" w:eastAsia="黑体" w:cs="Arial"/>
                <w:sz w:val="24"/>
                <w:szCs w:val="20"/>
              </w:rPr>
            </w:pPr>
            <w:r>
              <w:rPr>
                <w:rFonts w:ascii="Arial" w:hAnsi="Arial" w:eastAsia="黑体" w:cs="Arial"/>
                <w:sz w:val="24"/>
                <w:szCs w:val="20"/>
              </w:rPr>
              <w:t>序号</w:t>
            </w:r>
          </w:p>
        </w:tc>
        <w:tc>
          <w:tcPr>
            <w:tcW w:w="2620" w:type="dxa"/>
            <w:tcBorders>
              <w:top w:val="single" w:color="auto" w:sz="12" w:space="0"/>
              <w:bottom w:val="nil"/>
            </w:tcBorders>
          </w:tcPr>
          <w:p>
            <w:pPr>
              <w:spacing w:after="120" w:line="360" w:lineRule="auto"/>
              <w:outlineLvl w:val="0"/>
              <w:rPr>
                <w:rFonts w:ascii="Arial" w:hAnsi="Arial" w:eastAsia="黑体" w:cs="Arial"/>
                <w:sz w:val="24"/>
                <w:szCs w:val="20"/>
              </w:rPr>
            </w:pPr>
            <w:r>
              <w:rPr>
                <w:rFonts w:ascii="Arial" w:hAnsi="Arial" w:eastAsia="黑体" w:cs="Arial"/>
                <w:sz w:val="24"/>
                <w:szCs w:val="20"/>
              </w:rPr>
              <w:t>部件名称</w:t>
            </w:r>
          </w:p>
        </w:tc>
        <w:tc>
          <w:tcPr>
            <w:tcW w:w="1900" w:type="dxa"/>
            <w:tcBorders>
              <w:top w:val="single" w:color="auto" w:sz="12" w:space="0"/>
              <w:bottom w:val="nil"/>
            </w:tcBorders>
          </w:tcPr>
          <w:p>
            <w:pPr>
              <w:spacing w:after="120" w:line="360" w:lineRule="auto"/>
              <w:outlineLvl w:val="0"/>
              <w:rPr>
                <w:rFonts w:ascii="Arial" w:hAnsi="Arial" w:eastAsia="黑体" w:cs="Arial"/>
                <w:sz w:val="24"/>
                <w:szCs w:val="20"/>
              </w:rPr>
            </w:pPr>
            <w:r>
              <w:rPr>
                <w:rFonts w:ascii="Arial" w:hAnsi="Arial" w:eastAsia="黑体" w:cs="Arial"/>
                <w:sz w:val="24"/>
                <w:szCs w:val="20"/>
              </w:rPr>
              <w:t>产地</w:t>
            </w:r>
          </w:p>
        </w:tc>
        <w:tc>
          <w:tcPr>
            <w:tcW w:w="1140" w:type="dxa"/>
            <w:tcBorders>
              <w:top w:val="single" w:color="auto" w:sz="12" w:space="0"/>
              <w:bottom w:val="nil"/>
            </w:tcBorders>
          </w:tcPr>
          <w:p>
            <w:pPr>
              <w:spacing w:after="120" w:line="360" w:lineRule="auto"/>
              <w:outlineLvl w:val="0"/>
              <w:rPr>
                <w:rFonts w:ascii="Arial" w:hAnsi="Arial" w:eastAsia="黑体" w:cs="Arial"/>
                <w:sz w:val="24"/>
                <w:szCs w:val="20"/>
              </w:rPr>
            </w:pPr>
            <w:r>
              <w:rPr>
                <w:rFonts w:ascii="Arial" w:hAnsi="Arial" w:eastAsia="黑体" w:cs="Arial"/>
                <w:sz w:val="24"/>
                <w:szCs w:val="20"/>
              </w:rPr>
              <w:t>数量</w:t>
            </w:r>
          </w:p>
        </w:tc>
        <w:tc>
          <w:tcPr>
            <w:tcW w:w="3160" w:type="dxa"/>
            <w:tcBorders>
              <w:top w:val="single" w:color="auto" w:sz="12" w:space="0"/>
              <w:bottom w:val="nil"/>
            </w:tcBorders>
          </w:tcPr>
          <w:p>
            <w:pPr>
              <w:spacing w:after="120" w:line="360" w:lineRule="auto"/>
              <w:outlineLvl w:val="0"/>
              <w:rPr>
                <w:rFonts w:ascii="Arial" w:hAnsi="Arial" w:eastAsia="黑体" w:cs="Arial"/>
                <w:sz w:val="24"/>
                <w:szCs w:val="20"/>
              </w:rPr>
            </w:pPr>
            <w:r>
              <w:rPr>
                <w:rFonts w:ascii="Arial" w:hAnsi="Arial" w:eastAsia="黑体" w:cs="Arial"/>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double" w:color="auto" w:sz="6" w:space="0"/>
              <w:bottom w:val="single" w:color="auto" w:sz="6" w:space="0"/>
            </w:tcBorders>
          </w:tcPr>
          <w:p>
            <w:pPr>
              <w:spacing w:after="120" w:line="360" w:lineRule="auto"/>
              <w:outlineLvl w:val="0"/>
              <w:rPr>
                <w:rFonts w:ascii="Arial" w:hAnsi="Arial" w:cs="Arial"/>
                <w:sz w:val="24"/>
                <w:szCs w:val="20"/>
              </w:rPr>
            </w:pPr>
          </w:p>
        </w:tc>
        <w:tc>
          <w:tcPr>
            <w:tcW w:w="2620" w:type="dxa"/>
            <w:tcBorders>
              <w:top w:val="double" w:color="auto" w:sz="6" w:space="0"/>
              <w:bottom w:val="single" w:color="auto" w:sz="6" w:space="0"/>
            </w:tcBorders>
          </w:tcPr>
          <w:p>
            <w:pPr>
              <w:spacing w:after="120" w:line="360" w:lineRule="auto"/>
              <w:outlineLvl w:val="0"/>
              <w:rPr>
                <w:rFonts w:ascii="Arial" w:hAnsi="Arial" w:cs="Arial"/>
                <w:sz w:val="24"/>
                <w:szCs w:val="20"/>
              </w:rPr>
            </w:pPr>
          </w:p>
        </w:tc>
        <w:tc>
          <w:tcPr>
            <w:tcW w:w="1900" w:type="dxa"/>
            <w:tcBorders>
              <w:top w:val="double" w:color="auto" w:sz="6" w:space="0"/>
              <w:bottom w:val="single" w:color="auto" w:sz="6" w:space="0"/>
            </w:tcBorders>
          </w:tcPr>
          <w:p>
            <w:pPr>
              <w:spacing w:after="120" w:line="360" w:lineRule="auto"/>
              <w:outlineLvl w:val="0"/>
              <w:rPr>
                <w:rFonts w:ascii="Arial" w:hAnsi="Arial" w:cs="Arial"/>
                <w:sz w:val="24"/>
                <w:szCs w:val="20"/>
              </w:rPr>
            </w:pPr>
          </w:p>
        </w:tc>
        <w:tc>
          <w:tcPr>
            <w:tcW w:w="1140" w:type="dxa"/>
            <w:tcBorders>
              <w:top w:val="double" w:color="auto" w:sz="6" w:space="0"/>
              <w:bottom w:val="single" w:color="auto" w:sz="6" w:space="0"/>
            </w:tcBorders>
          </w:tcPr>
          <w:p>
            <w:pPr>
              <w:spacing w:after="120" w:line="360" w:lineRule="auto"/>
              <w:outlineLvl w:val="0"/>
              <w:rPr>
                <w:rFonts w:ascii="Arial" w:hAnsi="Arial" w:cs="Arial"/>
                <w:sz w:val="24"/>
                <w:szCs w:val="20"/>
              </w:rPr>
            </w:pPr>
          </w:p>
        </w:tc>
        <w:tc>
          <w:tcPr>
            <w:tcW w:w="3160" w:type="dxa"/>
            <w:tcBorders>
              <w:top w:val="double" w:color="auto" w:sz="6" w:space="0"/>
              <w:bottom w:val="single" w:color="auto" w:sz="6" w:space="0"/>
            </w:tcBorders>
          </w:tcPr>
          <w:p>
            <w:pPr>
              <w:spacing w:after="120" w:line="360" w:lineRule="auto"/>
              <w:outlineLvl w:val="0"/>
              <w:rPr>
                <w:rFonts w:ascii="Arial" w:hAnsi="Arial" w:cs="Arial"/>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262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190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114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3160" w:type="dxa"/>
            <w:tcBorders>
              <w:top w:val="single" w:color="auto" w:sz="6" w:space="0"/>
              <w:bottom w:val="single" w:color="auto" w:sz="6" w:space="0"/>
            </w:tcBorders>
          </w:tcPr>
          <w:p>
            <w:pPr>
              <w:spacing w:after="120" w:line="360" w:lineRule="auto"/>
              <w:outlineLvl w:val="0"/>
              <w:rPr>
                <w:rFonts w:ascii="Arial" w:hAnsi="Arial" w:cs="Arial"/>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262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190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114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3160" w:type="dxa"/>
            <w:tcBorders>
              <w:top w:val="single" w:color="auto" w:sz="6" w:space="0"/>
              <w:bottom w:val="single" w:color="auto" w:sz="6" w:space="0"/>
            </w:tcBorders>
          </w:tcPr>
          <w:p>
            <w:pPr>
              <w:spacing w:after="120" w:line="360" w:lineRule="auto"/>
              <w:outlineLvl w:val="0"/>
              <w:rPr>
                <w:rFonts w:ascii="Arial" w:hAnsi="Arial" w:cs="Arial"/>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262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190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114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3160" w:type="dxa"/>
            <w:tcBorders>
              <w:top w:val="single" w:color="auto" w:sz="6" w:space="0"/>
              <w:bottom w:val="single" w:color="auto" w:sz="6" w:space="0"/>
            </w:tcBorders>
          </w:tcPr>
          <w:p>
            <w:pPr>
              <w:spacing w:after="120" w:line="360" w:lineRule="auto"/>
              <w:outlineLvl w:val="0"/>
              <w:rPr>
                <w:rFonts w:ascii="Arial" w:hAnsi="Arial" w:cs="Arial"/>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262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190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114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3160" w:type="dxa"/>
            <w:tcBorders>
              <w:top w:val="single" w:color="auto" w:sz="6" w:space="0"/>
              <w:bottom w:val="single" w:color="auto" w:sz="6" w:space="0"/>
            </w:tcBorders>
          </w:tcPr>
          <w:p>
            <w:pPr>
              <w:spacing w:after="120" w:line="360" w:lineRule="auto"/>
              <w:outlineLvl w:val="0"/>
              <w:rPr>
                <w:rFonts w:ascii="Arial" w:hAnsi="Arial" w:cs="Arial"/>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262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190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114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3160" w:type="dxa"/>
            <w:tcBorders>
              <w:top w:val="single" w:color="auto" w:sz="6" w:space="0"/>
              <w:bottom w:val="single" w:color="auto" w:sz="6" w:space="0"/>
            </w:tcBorders>
          </w:tcPr>
          <w:p>
            <w:pPr>
              <w:spacing w:after="120" w:line="360" w:lineRule="auto"/>
              <w:outlineLvl w:val="0"/>
              <w:rPr>
                <w:rFonts w:ascii="Arial" w:hAnsi="Arial" w:cs="Arial"/>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262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190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114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3160" w:type="dxa"/>
            <w:tcBorders>
              <w:top w:val="single" w:color="auto" w:sz="6" w:space="0"/>
              <w:bottom w:val="single" w:color="auto" w:sz="6" w:space="0"/>
            </w:tcBorders>
          </w:tcPr>
          <w:p>
            <w:pPr>
              <w:spacing w:after="120" w:line="360" w:lineRule="auto"/>
              <w:outlineLvl w:val="0"/>
              <w:rPr>
                <w:rFonts w:ascii="Arial" w:hAnsi="Arial" w:cs="Arial"/>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262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190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114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3160" w:type="dxa"/>
            <w:tcBorders>
              <w:top w:val="single" w:color="auto" w:sz="6" w:space="0"/>
              <w:bottom w:val="single" w:color="auto" w:sz="6" w:space="0"/>
            </w:tcBorders>
          </w:tcPr>
          <w:p>
            <w:pPr>
              <w:spacing w:after="120" w:line="360" w:lineRule="auto"/>
              <w:outlineLvl w:val="0"/>
              <w:rPr>
                <w:rFonts w:ascii="Arial" w:hAnsi="Arial" w:cs="Arial"/>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262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190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114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3160" w:type="dxa"/>
            <w:tcBorders>
              <w:top w:val="single" w:color="auto" w:sz="6" w:space="0"/>
              <w:bottom w:val="single" w:color="auto" w:sz="6" w:space="0"/>
            </w:tcBorders>
          </w:tcPr>
          <w:p>
            <w:pPr>
              <w:spacing w:after="120" w:line="360" w:lineRule="auto"/>
              <w:outlineLvl w:val="0"/>
              <w:rPr>
                <w:rFonts w:ascii="Arial" w:hAnsi="Arial" w:cs="Arial"/>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262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190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114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3160" w:type="dxa"/>
            <w:tcBorders>
              <w:top w:val="single" w:color="auto" w:sz="6" w:space="0"/>
              <w:bottom w:val="single" w:color="auto" w:sz="6" w:space="0"/>
            </w:tcBorders>
          </w:tcPr>
          <w:p>
            <w:pPr>
              <w:spacing w:after="120" w:line="360" w:lineRule="auto"/>
              <w:outlineLvl w:val="0"/>
              <w:rPr>
                <w:rFonts w:ascii="Arial" w:hAnsi="Arial" w:cs="Arial"/>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262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190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114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3160" w:type="dxa"/>
            <w:tcBorders>
              <w:top w:val="single" w:color="auto" w:sz="6" w:space="0"/>
              <w:bottom w:val="single" w:color="auto" w:sz="6" w:space="0"/>
            </w:tcBorders>
          </w:tcPr>
          <w:p>
            <w:pPr>
              <w:spacing w:after="120" w:line="360" w:lineRule="auto"/>
              <w:outlineLvl w:val="0"/>
              <w:rPr>
                <w:rFonts w:ascii="Arial" w:hAnsi="Arial" w:cs="Arial"/>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262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190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114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3160" w:type="dxa"/>
            <w:tcBorders>
              <w:top w:val="single" w:color="auto" w:sz="6" w:space="0"/>
              <w:bottom w:val="single" w:color="auto" w:sz="6" w:space="0"/>
            </w:tcBorders>
          </w:tcPr>
          <w:p>
            <w:pPr>
              <w:spacing w:after="120" w:line="360" w:lineRule="auto"/>
              <w:outlineLvl w:val="0"/>
              <w:rPr>
                <w:rFonts w:ascii="Arial" w:hAnsi="Arial" w:cs="Arial"/>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262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190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114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3160" w:type="dxa"/>
            <w:tcBorders>
              <w:top w:val="single" w:color="auto" w:sz="6" w:space="0"/>
              <w:bottom w:val="single" w:color="auto" w:sz="6" w:space="0"/>
            </w:tcBorders>
          </w:tcPr>
          <w:p>
            <w:pPr>
              <w:spacing w:after="120" w:line="360" w:lineRule="auto"/>
              <w:outlineLvl w:val="0"/>
              <w:rPr>
                <w:rFonts w:ascii="Arial" w:hAnsi="Arial" w:cs="Arial"/>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262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190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114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3160" w:type="dxa"/>
            <w:tcBorders>
              <w:top w:val="single" w:color="auto" w:sz="6" w:space="0"/>
              <w:bottom w:val="single" w:color="auto" w:sz="6" w:space="0"/>
            </w:tcBorders>
          </w:tcPr>
          <w:p>
            <w:pPr>
              <w:spacing w:after="120" w:line="360" w:lineRule="auto"/>
              <w:outlineLvl w:val="0"/>
              <w:rPr>
                <w:rFonts w:ascii="Arial" w:hAnsi="Arial" w:cs="Arial"/>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262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190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114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3160" w:type="dxa"/>
            <w:tcBorders>
              <w:top w:val="single" w:color="auto" w:sz="6" w:space="0"/>
              <w:bottom w:val="single" w:color="auto" w:sz="6" w:space="0"/>
            </w:tcBorders>
          </w:tcPr>
          <w:p>
            <w:pPr>
              <w:spacing w:after="120" w:line="360" w:lineRule="auto"/>
              <w:outlineLvl w:val="0"/>
              <w:rPr>
                <w:rFonts w:ascii="Arial" w:hAnsi="Arial" w:cs="Arial"/>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262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190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114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3160" w:type="dxa"/>
            <w:tcBorders>
              <w:top w:val="single" w:color="auto" w:sz="6" w:space="0"/>
              <w:bottom w:val="single" w:color="auto" w:sz="6" w:space="0"/>
            </w:tcBorders>
          </w:tcPr>
          <w:p>
            <w:pPr>
              <w:spacing w:after="120" w:line="360" w:lineRule="auto"/>
              <w:outlineLvl w:val="0"/>
              <w:rPr>
                <w:rFonts w:ascii="Arial" w:hAnsi="Arial" w:cs="Arial"/>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262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190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1140" w:type="dxa"/>
            <w:tcBorders>
              <w:top w:val="single" w:color="auto" w:sz="6" w:space="0"/>
              <w:bottom w:val="single" w:color="auto" w:sz="6" w:space="0"/>
            </w:tcBorders>
          </w:tcPr>
          <w:p>
            <w:pPr>
              <w:spacing w:after="120" w:line="360" w:lineRule="auto"/>
              <w:outlineLvl w:val="0"/>
              <w:rPr>
                <w:rFonts w:ascii="Arial" w:hAnsi="Arial" w:cs="Arial"/>
                <w:sz w:val="24"/>
                <w:szCs w:val="20"/>
              </w:rPr>
            </w:pPr>
          </w:p>
        </w:tc>
        <w:tc>
          <w:tcPr>
            <w:tcW w:w="3160" w:type="dxa"/>
            <w:tcBorders>
              <w:top w:val="single" w:color="auto" w:sz="6" w:space="0"/>
              <w:bottom w:val="single" w:color="auto" w:sz="6" w:space="0"/>
            </w:tcBorders>
          </w:tcPr>
          <w:p>
            <w:pPr>
              <w:spacing w:after="120" w:line="360" w:lineRule="auto"/>
              <w:outlineLvl w:val="0"/>
              <w:rPr>
                <w:rFonts w:ascii="Arial" w:hAnsi="Arial" w:cs="Arial"/>
                <w:sz w:val="24"/>
                <w:szCs w:val="20"/>
              </w:rPr>
            </w:pPr>
          </w:p>
        </w:tc>
      </w:tr>
    </w:tbl>
    <w:p>
      <w:pPr>
        <w:spacing w:line="360" w:lineRule="auto"/>
        <w:outlineLvl w:val="0"/>
        <w:rPr>
          <w:rFonts w:ascii="Arial" w:hAnsi="Arial" w:cs="Arial"/>
        </w:rPr>
      </w:pPr>
    </w:p>
    <w:p>
      <w:pPr>
        <w:pStyle w:val="9"/>
        <w:spacing w:line="360" w:lineRule="auto"/>
        <w:ind w:firstLine="480"/>
        <w:outlineLvl w:val="0"/>
        <w:rPr>
          <w:rFonts w:ascii="Arial" w:hAnsi="Arial" w:cs="Arial"/>
          <w:sz w:val="24"/>
        </w:rPr>
      </w:pPr>
      <w:r>
        <w:rPr>
          <w:rFonts w:hint="eastAsia" w:ascii="Arial" w:hAnsi="Arial" w:cs="Arial"/>
          <w:sz w:val="24"/>
        </w:rPr>
        <w:t>投标</w:t>
      </w:r>
      <w:r>
        <w:rPr>
          <w:rFonts w:ascii="Arial" w:hAnsi="Arial" w:cs="Arial"/>
          <w:sz w:val="24"/>
        </w:rPr>
        <w:t>人代表</w:t>
      </w:r>
      <w:r>
        <w:rPr>
          <w:rFonts w:hint="eastAsia" w:ascii="Arial" w:hAnsi="Arial" w:cs="Arial"/>
          <w:sz w:val="24"/>
        </w:rPr>
        <w:t>签字或盖章</w:t>
      </w:r>
      <w:r>
        <w:rPr>
          <w:rFonts w:ascii="Arial" w:hAnsi="Arial" w:cs="Arial"/>
          <w:sz w:val="24"/>
        </w:rPr>
        <w:t>：</w:t>
      </w:r>
    </w:p>
    <w:p>
      <w:pPr>
        <w:pStyle w:val="9"/>
        <w:spacing w:line="360" w:lineRule="auto"/>
        <w:ind w:firstLine="480"/>
        <w:outlineLvl w:val="0"/>
        <w:rPr>
          <w:rFonts w:ascii="Arial" w:hAnsi="Arial" w:cs="Arial"/>
          <w:sz w:val="24"/>
        </w:rPr>
      </w:pPr>
      <w:r>
        <w:rPr>
          <w:rFonts w:hint="eastAsia" w:ascii="Arial" w:hAnsi="Arial" w:cs="Arial"/>
          <w:sz w:val="24"/>
        </w:rPr>
        <w:t>投标人</w:t>
      </w:r>
      <w:r>
        <w:rPr>
          <w:rFonts w:ascii="Arial" w:hAnsi="Arial" w:cs="Arial"/>
          <w:sz w:val="24"/>
        </w:rPr>
        <w:t>公章：</w:t>
      </w:r>
    </w:p>
    <w:p>
      <w:pPr>
        <w:pStyle w:val="9"/>
        <w:spacing w:line="360" w:lineRule="auto"/>
        <w:ind w:firstLine="480"/>
        <w:jc w:val="right"/>
        <w:outlineLvl w:val="0"/>
        <w:rPr>
          <w:rFonts w:ascii="Arial" w:hAnsi="Arial" w:cs="Arial"/>
          <w:sz w:val="24"/>
        </w:rPr>
      </w:pPr>
      <w:r>
        <w:rPr>
          <w:rFonts w:ascii="Arial" w:hAnsi="Arial" w:cs="Arial"/>
          <w:sz w:val="24"/>
        </w:rPr>
        <w:t>日期：</w:t>
      </w:r>
      <w:r>
        <w:rPr>
          <w:rFonts w:hint="eastAsia" w:ascii="Arial" w:hAnsi="Arial" w:cs="Arial"/>
          <w:sz w:val="24"/>
        </w:rPr>
        <w:t xml:space="preserve">    </w:t>
      </w:r>
      <w:r>
        <w:rPr>
          <w:rFonts w:ascii="Arial" w:hAnsi="Arial" w:cs="Arial"/>
          <w:sz w:val="24"/>
        </w:rPr>
        <w:t>年</w:t>
      </w:r>
      <w:r>
        <w:rPr>
          <w:rFonts w:hint="eastAsia" w:ascii="Arial" w:hAnsi="Arial" w:cs="Arial"/>
          <w:sz w:val="24"/>
        </w:rPr>
        <w:t xml:space="preserve">  </w:t>
      </w:r>
      <w:r>
        <w:rPr>
          <w:rFonts w:ascii="Arial" w:hAnsi="Arial" w:cs="Arial"/>
          <w:sz w:val="24"/>
        </w:rPr>
        <w:t>月</w:t>
      </w:r>
      <w:r>
        <w:rPr>
          <w:rFonts w:hint="eastAsia" w:ascii="Arial" w:hAnsi="Arial" w:cs="Arial"/>
          <w:sz w:val="24"/>
        </w:rPr>
        <w:t xml:space="preserve">  </w:t>
      </w:r>
      <w:r>
        <w:rPr>
          <w:rFonts w:ascii="Arial" w:hAnsi="Arial" w:cs="Arial"/>
          <w:sz w:val="24"/>
        </w:rPr>
        <w:t>日</w:t>
      </w:r>
    </w:p>
    <w:p>
      <w:pPr>
        <w:spacing w:line="360" w:lineRule="auto"/>
        <w:rPr>
          <w:rFonts w:ascii="Arial" w:hAnsi="Arial" w:cs="Arial"/>
        </w:rPr>
      </w:pPr>
      <w:r>
        <w:rPr>
          <w:rFonts w:ascii="Arial" w:hAnsi="Arial" w:cs="Arial"/>
        </w:rPr>
        <w:br w:type="page"/>
      </w:r>
    </w:p>
    <w:p>
      <w:pPr>
        <w:pStyle w:val="103"/>
        <w:spacing w:line="360" w:lineRule="auto"/>
        <w:outlineLvl w:val="0"/>
        <w:rPr>
          <w:rFonts w:ascii="宋体" w:hAnsi="宋体" w:eastAsia="宋体" w:cs="宋体"/>
        </w:rPr>
      </w:pPr>
      <w:r>
        <w:rPr>
          <w:rFonts w:hint="eastAsia" w:ascii="宋体" w:hAnsi="宋体" w:eastAsia="宋体" w:cs="宋体"/>
        </w:rPr>
        <w:t>3、备品备件和特种工具明细表</w:t>
      </w:r>
    </w:p>
    <w:p>
      <w:pPr>
        <w:pStyle w:val="103"/>
        <w:spacing w:line="360" w:lineRule="auto"/>
        <w:jc w:val="both"/>
        <w:outlineLvl w:val="0"/>
        <w:rPr>
          <w:rFonts w:ascii="宋体" w:hAnsi="宋体" w:eastAsia="宋体" w:cs="Arial"/>
        </w:rPr>
      </w:pPr>
      <w:r>
        <w:rPr>
          <w:rFonts w:hint="eastAsia" w:ascii="宋体" w:hAnsi="宋体" w:eastAsia="宋体"/>
          <w:sz w:val="24"/>
        </w:rPr>
        <w:t>项目</w:t>
      </w:r>
      <w:r>
        <w:rPr>
          <w:rFonts w:hint="eastAsia" w:ascii="宋体" w:hAnsi="宋体" w:eastAsia="宋体"/>
          <w:sz w:val="24"/>
          <w:szCs w:val="24"/>
        </w:rPr>
        <w:t>名称：</w:t>
      </w:r>
    </w:p>
    <w:tbl>
      <w:tblPr>
        <w:tblStyle w:val="54"/>
        <w:tblW w:w="0" w:type="auto"/>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19"/>
        <w:gridCol w:w="1905"/>
        <w:gridCol w:w="2268"/>
        <w:gridCol w:w="1701"/>
        <w:gridCol w:w="26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870" w:hRule="atLeast"/>
          <w:tblHeader/>
        </w:trPr>
        <w:tc>
          <w:tcPr>
            <w:tcW w:w="819" w:type="dxa"/>
            <w:tcBorders>
              <w:top w:val="single" w:color="auto" w:sz="12" w:space="0"/>
              <w:bottom w:val="single" w:color="auto" w:sz="6" w:space="0"/>
            </w:tcBorders>
            <w:vAlign w:val="center"/>
          </w:tcPr>
          <w:p>
            <w:pPr>
              <w:pStyle w:val="20"/>
              <w:spacing w:line="360" w:lineRule="auto"/>
              <w:ind w:left="-116" w:leftChars="-61" w:hanging="12" w:hangingChars="6"/>
              <w:jc w:val="center"/>
              <w:outlineLvl w:val="0"/>
              <w:rPr>
                <w:rFonts w:cs="Arial"/>
                <w:szCs w:val="21"/>
              </w:rPr>
            </w:pPr>
            <w:r>
              <w:rPr>
                <w:rFonts w:cs="Arial"/>
                <w:szCs w:val="21"/>
              </w:rPr>
              <w:t>序号</w:t>
            </w:r>
          </w:p>
        </w:tc>
        <w:tc>
          <w:tcPr>
            <w:tcW w:w="1905" w:type="dxa"/>
            <w:tcBorders>
              <w:top w:val="single" w:color="auto" w:sz="12" w:space="0"/>
              <w:bottom w:val="single" w:color="auto" w:sz="6" w:space="0"/>
            </w:tcBorders>
            <w:vAlign w:val="center"/>
          </w:tcPr>
          <w:p>
            <w:pPr>
              <w:pStyle w:val="20"/>
              <w:spacing w:line="360" w:lineRule="auto"/>
              <w:ind w:left="-118" w:leftChars="-59" w:hanging="6" w:hangingChars="3"/>
              <w:jc w:val="center"/>
              <w:outlineLvl w:val="0"/>
              <w:rPr>
                <w:rFonts w:cs="Arial"/>
                <w:szCs w:val="21"/>
              </w:rPr>
            </w:pPr>
            <w:r>
              <w:rPr>
                <w:rFonts w:cs="Arial"/>
                <w:szCs w:val="21"/>
              </w:rPr>
              <w:t>名　　称</w:t>
            </w:r>
          </w:p>
        </w:tc>
        <w:tc>
          <w:tcPr>
            <w:tcW w:w="2268" w:type="dxa"/>
            <w:tcBorders>
              <w:top w:val="single" w:color="auto" w:sz="12" w:space="0"/>
              <w:left w:val="single" w:color="auto" w:sz="4" w:space="0"/>
              <w:right w:val="single" w:color="auto" w:sz="4" w:space="0"/>
            </w:tcBorders>
            <w:vAlign w:val="center"/>
          </w:tcPr>
          <w:p>
            <w:pPr>
              <w:pStyle w:val="20"/>
              <w:spacing w:line="360" w:lineRule="auto"/>
              <w:ind w:left="-118" w:leftChars="-59" w:hanging="6" w:hangingChars="3"/>
              <w:jc w:val="center"/>
              <w:outlineLvl w:val="0"/>
              <w:rPr>
                <w:rFonts w:cs="Arial"/>
                <w:szCs w:val="21"/>
              </w:rPr>
            </w:pPr>
            <w:r>
              <w:rPr>
                <w:rFonts w:cs="Arial"/>
                <w:szCs w:val="21"/>
              </w:rPr>
              <w:t>规格型号</w:t>
            </w:r>
          </w:p>
        </w:tc>
        <w:tc>
          <w:tcPr>
            <w:tcW w:w="1701" w:type="dxa"/>
            <w:tcBorders>
              <w:top w:val="single" w:color="auto" w:sz="12" w:space="0"/>
              <w:left w:val="single" w:color="auto" w:sz="4" w:space="0"/>
            </w:tcBorders>
            <w:vAlign w:val="center"/>
          </w:tcPr>
          <w:p>
            <w:pPr>
              <w:pStyle w:val="20"/>
              <w:spacing w:line="360" w:lineRule="auto"/>
              <w:ind w:left="-115" w:leftChars="-65" w:hanging="21" w:hangingChars="10"/>
              <w:jc w:val="center"/>
              <w:outlineLvl w:val="0"/>
              <w:rPr>
                <w:rFonts w:cs="Arial"/>
                <w:szCs w:val="21"/>
              </w:rPr>
            </w:pPr>
            <w:r>
              <w:rPr>
                <w:rFonts w:cs="Arial"/>
                <w:szCs w:val="21"/>
              </w:rPr>
              <w:t>品牌</w:t>
            </w:r>
          </w:p>
        </w:tc>
        <w:tc>
          <w:tcPr>
            <w:tcW w:w="2693" w:type="dxa"/>
            <w:tcBorders>
              <w:top w:val="single" w:color="auto" w:sz="12" w:space="0"/>
              <w:left w:val="single" w:color="auto" w:sz="4" w:space="0"/>
            </w:tcBorders>
            <w:vAlign w:val="center"/>
          </w:tcPr>
          <w:p>
            <w:pPr>
              <w:pStyle w:val="20"/>
              <w:spacing w:line="360" w:lineRule="auto"/>
              <w:ind w:left="-115" w:leftChars="-65" w:hanging="21" w:hangingChars="10"/>
              <w:jc w:val="center"/>
              <w:outlineLvl w:val="0"/>
              <w:rPr>
                <w:rFonts w:cs="Arial"/>
                <w:szCs w:val="21"/>
              </w:rPr>
            </w:pPr>
            <w:r>
              <w:rPr>
                <w:rFonts w:cs="Arial"/>
                <w:szCs w:val="21"/>
              </w:rPr>
              <w:t>产地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tcBorders>
              <w:top w:val="double" w:color="auto" w:sz="6" w:space="0"/>
            </w:tcBorders>
            <w:vAlign w:val="center"/>
          </w:tcPr>
          <w:p>
            <w:pPr>
              <w:adjustRightInd w:val="0"/>
              <w:spacing w:after="60" w:line="360" w:lineRule="auto"/>
              <w:ind w:left="432"/>
              <w:textAlignment w:val="baseline"/>
              <w:outlineLvl w:val="0"/>
              <w:rPr>
                <w:rFonts w:ascii="Arial" w:hAnsi="Arial" w:cs="Arial"/>
                <w:sz w:val="24"/>
                <w:szCs w:val="20"/>
              </w:rPr>
            </w:pPr>
          </w:p>
        </w:tc>
        <w:tc>
          <w:tcPr>
            <w:tcW w:w="1905" w:type="dxa"/>
            <w:tcBorders>
              <w:top w:val="double" w:color="auto" w:sz="6" w:space="0"/>
            </w:tcBorders>
            <w:vAlign w:val="center"/>
          </w:tcPr>
          <w:p>
            <w:pPr>
              <w:spacing w:after="120" w:line="360" w:lineRule="auto"/>
              <w:ind w:left="72"/>
              <w:outlineLvl w:val="0"/>
              <w:rPr>
                <w:rFonts w:ascii="Arial" w:hAnsi="Arial" w:cs="Arial"/>
                <w:sz w:val="24"/>
                <w:szCs w:val="20"/>
              </w:rPr>
            </w:pPr>
          </w:p>
        </w:tc>
        <w:tc>
          <w:tcPr>
            <w:tcW w:w="2268" w:type="dxa"/>
            <w:tcBorders>
              <w:top w:val="double" w:color="auto" w:sz="6" w:space="0"/>
              <w:left w:val="single" w:color="auto" w:sz="4" w:space="0"/>
              <w:right w:val="single" w:color="auto" w:sz="4" w:space="0"/>
            </w:tcBorders>
            <w:vAlign w:val="center"/>
          </w:tcPr>
          <w:p>
            <w:pPr>
              <w:spacing w:after="120" w:line="360" w:lineRule="auto"/>
              <w:ind w:left="72"/>
              <w:outlineLvl w:val="0"/>
              <w:rPr>
                <w:rFonts w:ascii="Arial" w:hAnsi="Arial" w:cs="Arial"/>
                <w:sz w:val="24"/>
                <w:szCs w:val="20"/>
              </w:rPr>
            </w:pPr>
          </w:p>
        </w:tc>
        <w:tc>
          <w:tcPr>
            <w:tcW w:w="1701" w:type="dxa"/>
            <w:tcBorders>
              <w:top w:val="double" w:color="auto" w:sz="6" w:space="0"/>
              <w:left w:val="single" w:color="auto" w:sz="4" w:space="0"/>
            </w:tcBorders>
            <w:vAlign w:val="center"/>
          </w:tcPr>
          <w:p>
            <w:pPr>
              <w:spacing w:after="120" w:line="360" w:lineRule="auto"/>
              <w:ind w:left="72"/>
              <w:outlineLvl w:val="0"/>
              <w:rPr>
                <w:rFonts w:ascii="Arial" w:hAnsi="Arial" w:cs="Arial"/>
                <w:sz w:val="24"/>
                <w:szCs w:val="20"/>
              </w:rPr>
            </w:pPr>
          </w:p>
        </w:tc>
        <w:tc>
          <w:tcPr>
            <w:tcW w:w="2693" w:type="dxa"/>
            <w:tcBorders>
              <w:top w:val="double" w:color="auto" w:sz="6" w:space="0"/>
              <w:left w:val="single" w:color="auto" w:sz="4" w:space="0"/>
            </w:tcBorders>
          </w:tcPr>
          <w:p>
            <w:pPr>
              <w:spacing w:after="120" w:line="360" w:lineRule="auto"/>
              <w:ind w:left="72"/>
              <w:outlineLvl w:val="0"/>
              <w:rPr>
                <w:rFonts w:ascii="Arial" w:hAnsi="Arial" w:cs="Arial"/>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vAlign w:val="center"/>
          </w:tcPr>
          <w:p>
            <w:pPr>
              <w:adjustRightInd w:val="0"/>
              <w:spacing w:after="60" w:line="360" w:lineRule="auto"/>
              <w:ind w:left="423"/>
              <w:textAlignment w:val="baseline"/>
              <w:outlineLvl w:val="0"/>
              <w:rPr>
                <w:rFonts w:ascii="Arial" w:hAnsi="Arial" w:cs="Arial"/>
                <w:sz w:val="24"/>
                <w:szCs w:val="20"/>
              </w:rPr>
            </w:pPr>
          </w:p>
        </w:tc>
        <w:tc>
          <w:tcPr>
            <w:tcW w:w="1905" w:type="dxa"/>
            <w:vAlign w:val="center"/>
          </w:tcPr>
          <w:p>
            <w:pPr>
              <w:spacing w:after="120" w:line="360" w:lineRule="auto"/>
              <w:ind w:left="72"/>
              <w:outlineLvl w:val="0"/>
              <w:rPr>
                <w:rFonts w:ascii="Arial" w:hAnsi="Arial" w:cs="Arial"/>
                <w:sz w:val="24"/>
                <w:szCs w:val="20"/>
              </w:rPr>
            </w:pPr>
          </w:p>
        </w:tc>
        <w:tc>
          <w:tcPr>
            <w:tcW w:w="2268" w:type="dxa"/>
            <w:tcBorders>
              <w:right w:val="single" w:color="auto" w:sz="4" w:space="0"/>
            </w:tcBorders>
            <w:vAlign w:val="center"/>
          </w:tcPr>
          <w:p>
            <w:pPr>
              <w:spacing w:after="120" w:line="360" w:lineRule="auto"/>
              <w:ind w:left="72"/>
              <w:outlineLvl w:val="0"/>
              <w:rPr>
                <w:rFonts w:ascii="Arial" w:hAnsi="Arial" w:cs="Arial"/>
                <w:sz w:val="24"/>
                <w:szCs w:val="20"/>
              </w:rPr>
            </w:pPr>
          </w:p>
        </w:tc>
        <w:tc>
          <w:tcPr>
            <w:tcW w:w="1701" w:type="dxa"/>
            <w:tcBorders>
              <w:left w:val="single" w:color="auto" w:sz="4" w:space="0"/>
            </w:tcBorders>
            <w:vAlign w:val="center"/>
          </w:tcPr>
          <w:p>
            <w:pPr>
              <w:spacing w:after="120" w:line="360" w:lineRule="auto"/>
              <w:ind w:left="72"/>
              <w:outlineLvl w:val="0"/>
              <w:rPr>
                <w:rFonts w:ascii="Arial" w:hAnsi="Arial" w:cs="Arial"/>
                <w:sz w:val="24"/>
                <w:szCs w:val="20"/>
              </w:rPr>
            </w:pPr>
          </w:p>
        </w:tc>
        <w:tc>
          <w:tcPr>
            <w:tcW w:w="2693" w:type="dxa"/>
            <w:tcBorders>
              <w:left w:val="single" w:color="auto" w:sz="4" w:space="0"/>
            </w:tcBorders>
          </w:tcPr>
          <w:p>
            <w:pPr>
              <w:spacing w:after="120" w:line="360" w:lineRule="auto"/>
              <w:ind w:left="72"/>
              <w:outlineLvl w:val="0"/>
              <w:rPr>
                <w:rFonts w:ascii="Arial" w:hAnsi="Arial" w:cs="Arial"/>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vAlign w:val="center"/>
          </w:tcPr>
          <w:p>
            <w:pPr>
              <w:adjustRightInd w:val="0"/>
              <w:spacing w:after="60" w:line="360" w:lineRule="auto"/>
              <w:ind w:left="423"/>
              <w:textAlignment w:val="baseline"/>
              <w:outlineLvl w:val="0"/>
              <w:rPr>
                <w:rFonts w:ascii="Arial" w:hAnsi="Arial" w:cs="Arial"/>
                <w:sz w:val="24"/>
                <w:szCs w:val="20"/>
              </w:rPr>
            </w:pPr>
          </w:p>
        </w:tc>
        <w:tc>
          <w:tcPr>
            <w:tcW w:w="1905" w:type="dxa"/>
            <w:vAlign w:val="center"/>
          </w:tcPr>
          <w:p>
            <w:pPr>
              <w:spacing w:after="120" w:line="360" w:lineRule="auto"/>
              <w:ind w:left="72"/>
              <w:outlineLvl w:val="0"/>
              <w:rPr>
                <w:rFonts w:ascii="Arial" w:hAnsi="Arial" w:cs="Arial"/>
                <w:sz w:val="24"/>
                <w:szCs w:val="20"/>
              </w:rPr>
            </w:pPr>
          </w:p>
        </w:tc>
        <w:tc>
          <w:tcPr>
            <w:tcW w:w="2268" w:type="dxa"/>
            <w:tcBorders>
              <w:right w:val="single" w:color="auto" w:sz="4" w:space="0"/>
            </w:tcBorders>
            <w:vAlign w:val="center"/>
          </w:tcPr>
          <w:p>
            <w:pPr>
              <w:spacing w:after="120" w:line="360" w:lineRule="auto"/>
              <w:ind w:left="72"/>
              <w:outlineLvl w:val="0"/>
              <w:rPr>
                <w:rFonts w:ascii="Arial" w:hAnsi="Arial" w:cs="Arial"/>
                <w:sz w:val="24"/>
                <w:szCs w:val="20"/>
              </w:rPr>
            </w:pPr>
          </w:p>
        </w:tc>
        <w:tc>
          <w:tcPr>
            <w:tcW w:w="1701" w:type="dxa"/>
            <w:tcBorders>
              <w:left w:val="single" w:color="auto" w:sz="4" w:space="0"/>
            </w:tcBorders>
            <w:vAlign w:val="center"/>
          </w:tcPr>
          <w:p>
            <w:pPr>
              <w:spacing w:after="120" w:line="360" w:lineRule="auto"/>
              <w:ind w:left="72"/>
              <w:outlineLvl w:val="0"/>
              <w:rPr>
                <w:rFonts w:ascii="Arial" w:hAnsi="Arial" w:cs="Arial"/>
                <w:sz w:val="24"/>
                <w:szCs w:val="20"/>
              </w:rPr>
            </w:pPr>
          </w:p>
        </w:tc>
        <w:tc>
          <w:tcPr>
            <w:tcW w:w="2693" w:type="dxa"/>
            <w:tcBorders>
              <w:left w:val="single" w:color="auto" w:sz="4" w:space="0"/>
            </w:tcBorders>
          </w:tcPr>
          <w:p>
            <w:pPr>
              <w:spacing w:after="120" w:line="360" w:lineRule="auto"/>
              <w:ind w:left="72"/>
              <w:outlineLvl w:val="0"/>
              <w:rPr>
                <w:rFonts w:ascii="Arial" w:hAnsi="Arial" w:cs="Arial"/>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vAlign w:val="center"/>
          </w:tcPr>
          <w:p>
            <w:pPr>
              <w:adjustRightInd w:val="0"/>
              <w:spacing w:after="60" w:line="360" w:lineRule="auto"/>
              <w:jc w:val="center"/>
              <w:textAlignment w:val="baseline"/>
              <w:outlineLvl w:val="0"/>
              <w:rPr>
                <w:rFonts w:ascii="Arial" w:hAnsi="Arial" w:cs="Arial"/>
                <w:sz w:val="24"/>
                <w:szCs w:val="20"/>
              </w:rPr>
            </w:pPr>
          </w:p>
        </w:tc>
        <w:tc>
          <w:tcPr>
            <w:tcW w:w="1905" w:type="dxa"/>
            <w:vAlign w:val="center"/>
          </w:tcPr>
          <w:p>
            <w:pPr>
              <w:spacing w:after="120" w:line="360" w:lineRule="auto"/>
              <w:ind w:left="72"/>
              <w:outlineLvl w:val="0"/>
              <w:rPr>
                <w:rFonts w:ascii="Arial" w:hAnsi="Arial" w:cs="Arial"/>
                <w:sz w:val="24"/>
                <w:szCs w:val="20"/>
              </w:rPr>
            </w:pPr>
          </w:p>
        </w:tc>
        <w:tc>
          <w:tcPr>
            <w:tcW w:w="2268" w:type="dxa"/>
            <w:tcBorders>
              <w:right w:val="single" w:color="auto" w:sz="4" w:space="0"/>
            </w:tcBorders>
            <w:vAlign w:val="center"/>
          </w:tcPr>
          <w:p>
            <w:pPr>
              <w:spacing w:after="120" w:line="360" w:lineRule="auto"/>
              <w:ind w:left="72"/>
              <w:outlineLvl w:val="0"/>
              <w:rPr>
                <w:rFonts w:ascii="Arial" w:hAnsi="Arial" w:cs="Arial"/>
                <w:sz w:val="24"/>
                <w:szCs w:val="20"/>
              </w:rPr>
            </w:pPr>
          </w:p>
        </w:tc>
        <w:tc>
          <w:tcPr>
            <w:tcW w:w="1701" w:type="dxa"/>
            <w:tcBorders>
              <w:left w:val="single" w:color="auto" w:sz="4" w:space="0"/>
            </w:tcBorders>
            <w:vAlign w:val="center"/>
          </w:tcPr>
          <w:p>
            <w:pPr>
              <w:spacing w:after="120" w:line="360" w:lineRule="auto"/>
              <w:ind w:left="72"/>
              <w:outlineLvl w:val="0"/>
              <w:rPr>
                <w:rFonts w:ascii="Arial" w:hAnsi="Arial" w:cs="Arial"/>
                <w:sz w:val="24"/>
                <w:szCs w:val="20"/>
              </w:rPr>
            </w:pPr>
          </w:p>
        </w:tc>
        <w:tc>
          <w:tcPr>
            <w:tcW w:w="2693" w:type="dxa"/>
            <w:tcBorders>
              <w:left w:val="single" w:color="auto" w:sz="4" w:space="0"/>
            </w:tcBorders>
          </w:tcPr>
          <w:p>
            <w:pPr>
              <w:spacing w:after="120" w:line="360" w:lineRule="auto"/>
              <w:ind w:left="72"/>
              <w:outlineLvl w:val="0"/>
              <w:rPr>
                <w:rFonts w:ascii="Arial" w:hAnsi="Arial" w:cs="Arial"/>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vAlign w:val="center"/>
          </w:tcPr>
          <w:p>
            <w:pPr>
              <w:adjustRightInd w:val="0"/>
              <w:spacing w:after="60" w:line="360" w:lineRule="auto"/>
              <w:ind w:left="423"/>
              <w:textAlignment w:val="baseline"/>
              <w:outlineLvl w:val="0"/>
              <w:rPr>
                <w:rFonts w:ascii="Arial" w:hAnsi="Arial" w:cs="Arial"/>
                <w:sz w:val="24"/>
                <w:szCs w:val="20"/>
              </w:rPr>
            </w:pPr>
          </w:p>
        </w:tc>
        <w:tc>
          <w:tcPr>
            <w:tcW w:w="1905" w:type="dxa"/>
            <w:vAlign w:val="center"/>
          </w:tcPr>
          <w:p>
            <w:pPr>
              <w:spacing w:after="120" w:line="360" w:lineRule="auto"/>
              <w:ind w:left="72"/>
              <w:outlineLvl w:val="0"/>
              <w:rPr>
                <w:rFonts w:ascii="Arial" w:hAnsi="Arial" w:cs="Arial"/>
                <w:sz w:val="24"/>
                <w:szCs w:val="20"/>
              </w:rPr>
            </w:pPr>
          </w:p>
        </w:tc>
        <w:tc>
          <w:tcPr>
            <w:tcW w:w="2268" w:type="dxa"/>
            <w:tcBorders>
              <w:right w:val="single" w:color="auto" w:sz="4" w:space="0"/>
            </w:tcBorders>
            <w:vAlign w:val="center"/>
          </w:tcPr>
          <w:p>
            <w:pPr>
              <w:spacing w:after="120" w:line="360" w:lineRule="auto"/>
              <w:ind w:left="72"/>
              <w:outlineLvl w:val="0"/>
              <w:rPr>
                <w:rFonts w:ascii="Arial" w:hAnsi="Arial" w:cs="Arial"/>
                <w:sz w:val="24"/>
                <w:szCs w:val="20"/>
              </w:rPr>
            </w:pPr>
          </w:p>
        </w:tc>
        <w:tc>
          <w:tcPr>
            <w:tcW w:w="1701" w:type="dxa"/>
            <w:tcBorders>
              <w:left w:val="single" w:color="auto" w:sz="4" w:space="0"/>
            </w:tcBorders>
            <w:vAlign w:val="center"/>
          </w:tcPr>
          <w:p>
            <w:pPr>
              <w:spacing w:after="120" w:line="360" w:lineRule="auto"/>
              <w:ind w:left="72"/>
              <w:outlineLvl w:val="0"/>
              <w:rPr>
                <w:rFonts w:ascii="Arial" w:hAnsi="Arial" w:cs="Arial"/>
                <w:sz w:val="24"/>
                <w:szCs w:val="20"/>
              </w:rPr>
            </w:pPr>
          </w:p>
        </w:tc>
        <w:tc>
          <w:tcPr>
            <w:tcW w:w="2693" w:type="dxa"/>
            <w:tcBorders>
              <w:left w:val="single" w:color="auto" w:sz="4" w:space="0"/>
            </w:tcBorders>
          </w:tcPr>
          <w:p>
            <w:pPr>
              <w:spacing w:after="120" w:line="360" w:lineRule="auto"/>
              <w:ind w:left="72"/>
              <w:outlineLvl w:val="0"/>
              <w:rPr>
                <w:rFonts w:ascii="Arial" w:hAnsi="Arial" w:cs="Arial"/>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vAlign w:val="center"/>
          </w:tcPr>
          <w:p>
            <w:pPr>
              <w:adjustRightInd w:val="0"/>
              <w:spacing w:after="60" w:line="360" w:lineRule="auto"/>
              <w:ind w:left="423"/>
              <w:textAlignment w:val="baseline"/>
              <w:outlineLvl w:val="0"/>
              <w:rPr>
                <w:rFonts w:ascii="Arial" w:hAnsi="Arial" w:cs="Arial"/>
                <w:sz w:val="24"/>
                <w:szCs w:val="20"/>
              </w:rPr>
            </w:pPr>
          </w:p>
        </w:tc>
        <w:tc>
          <w:tcPr>
            <w:tcW w:w="1905" w:type="dxa"/>
            <w:vAlign w:val="center"/>
          </w:tcPr>
          <w:p>
            <w:pPr>
              <w:spacing w:after="120" w:line="360" w:lineRule="auto"/>
              <w:ind w:left="72"/>
              <w:outlineLvl w:val="0"/>
              <w:rPr>
                <w:rFonts w:ascii="Arial" w:hAnsi="Arial" w:cs="Arial"/>
                <w:sz w:val="24"/>
                <w:szCs w:val="20"/>
              </w:rPr>
            </w:pPr>
          </w:p>
        </w:tc>
        <w:tc>
          <w:tcPr>
            <w:tcW w:w="2268" w:type="dxa"/>
            <w:tcBorders>
              <w:right w:val="single" w:color="auto" w:sz="4" w:space="0"/>
            </w:tcBorders>
            <w:vAlign w:val="center"/>
          </w:tcPr>
          <w:p>
            <w:pPr>
              <w:spacing w:after="120" w:line="360" w:lineRule="auto"/>
              <w:ind w:left="72"/>
              <w:outlineLvl w:val="0"/>
              <w:rPr>
                <w:rFonts w:ascii="Arial" w:hAnsi="Arial" w:cs="Arial"/>
                <w:sz w:val="24"/>
                <w:szCs w:val="20"/>
              </w:rPr>
            </w:pPr>
          </w:p>
        </w:tc>
        <w:tc>
          <w:tcPr>
            <w:tcW w:w="1701" w:type="dxa"/>
            <w:tcBorders>
              <w:left w:val="single" w:color="auto" w:sz="4" w:space="0"/>
            </w:tcBorders>
            <w:vAlign w:val="center"/>
          </w:tcPr>
          <w:p>
            <w:pPr>
              <w:spacing w:after="120" w:line="360" w:lineRule="auto"/>
              <w:ind w:left="72"/>
              <w:outlineLvl w:val="0"/>
              <w:rPr>
                <w:rFonts w:ascii="Arial" w:hAnsi="Arial" w:cs="Arial"/>
                <w:sz w:val="24"/>
                <w:szCs w:val="20"/>
              </w:rPr>
            </w:pPr>
          </w:p>
        </w:tc>
        <w:tc>
          <w:tcPr>
            <w:tcW w:w="2693" w:type="dxa"/>
            <w:tcBorders>
              <w:left w:val="single" w:color="auto" w:sz="4" w:space="0"/>
            </w:tcBorders>
          </w:tcPr>
          <w:p>
            <w:pPr>
              <w:spacing w:after="120" w:line="360" w:lineRule="auto"/>
              <w:ind w:left="72"/>
              <w:outlineLvl w:val="0"/>
              <w:rPr>
                <w:rFonts w:ascii="Arial" w:hAnsi="Arial" w:cs="Arial"/>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vAlign w:val="center"/>
          </w:tcPr>
          <w:p>
            <w:pPr>
              <w:adjustRightInd w:val="0"/>
              <w:spacing w:after="60" w:line="360" w:lineRule="auto"/>
              <w:ind w:left="423"/>
              <w:textAlignment w:val="baseline"/>
              <w:outlineLvl w:val="0"/>
              <w:rPr>
                <w:rFonts w:ascii="Arial" w:hAnsi="Arial" w:cs="Arial"/>
                <w:sz w:val="24"/>
                <w:szCs w:val="20"/>
              </w:rPr>
            </w:pPr>
          </w:p>
        </w:tc>
        <w:tc>
          <w:tcPr>
            <w:tcW w:w="1905" w:type="dxa"/>
            <w:vAlign w:val="center"/>
          </w:tcPr>
          <w:p>
            <w:pPr>
              <w:spacing w:after="120" w:line="360" w:lineRule="auto"/>
              <w:ind w:left="72"/>
              <w:outlineLvl w:val="0"/>
              <w:rPr>
                <w:rFonts w:ascii="Arial" w:hAnsi="Arial" w:cs="Arial"/>
                <w:sz w:val="24"/>
                <w:szCs w:val="20"/>
              </w:rPr>
            </w:pPr>
          </w:p>
        </w:tc>
        <w:tc>
          <w:tcPr>
            <w:tcW w:w="2268" w:type="dxa"/>
            <w:tcBorders>
              <w:right w:val="single" w:color="auto" w:sz="4" w:space="0"/>
            </w:tcBorders>
            <w:vAlign w:val="center"/>
          </w:tcPr>
          <w:p>
            <w:pPr>
              <w:spacing w:after="120" w:line="360" w:lineRule="auto"/>
              <w:ind w:left="72"/>
              <w:outlineLvl w:val="0"/>
              <w:rPr>
                <w:rFonts w:ascii="Arial" w:hAnsi="Arial" w:cs="Arial"/>
                <w:sz w:val="24"/>
                <w:szCs w:val="20"/>
              </w:rPr>
            </w:pPr>
          </w:p>
        </w:tc>
        <w:tc>
          <w:tcPr>
            <w:tcW w:w="1701" w:type="dxa"/>
            <w:tcBorders>
              <w:left w:val="single" w:color="auto" w:sz="4" w:space="0"/>
            </w:tcBorders>
            <w:vAlign w:val="center"/>
          </w:tcPr>
          <w:p>
            <w:pPr>
              <w:spacing w:after="120" w:line="360" w:lineRule="auto"/>
              <w:ind w:left="72"/>
              <w:outlineLvl w:val="0"/>
              <w:rPr>
                <w:rFonts w:ascii="Arial" w:hAnsi="Arial" w:cs="Arial"/>
                <w:sz w:val="24"/>
                <w:szCs w:val="20"/>
              </w:rPr>
            </w:pPr>
          </w:p>
        </w:tc>
        <w:tc>
          <w:tcPr>
            <w:tcW w:w="2693" w:type="dxa"/>
            <w:tcBorders>
              <w:left w:val="single" w:color="auto" w:sz="4" w:space="0"/>
            </w:tcBorders>
          </w:tcPr>
          <w:p>
            <w:pPr>
              <w:spacing w:after="120" w:line="360" w:lineRule="auto"/>
              <w:ind w:left="72"/>
              <w:outlineLvl w:val="0"/>
              <w:rPr>
                <w:rFonts w:ascii="Arial" w:hAnsi="Arial" w:cs="Arial"/>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vAlign w:val="center"/>
          </w:tcPr>
          <w:p>
            <w:pPr>
              <w:adjustRightInd w:val="0"/>
              <w:spacing w:after="60" w:line="360" w:lineRule="auto"/>
              <w:jc w:val="center"/>
              <w:textAlignment w:val="baseline"/>
              <w:outlineLvl w:val="0"/>
              <w:rPr>
                <w:rFonts w:ascii="Arial" w:hAnsi="Arial" w:cs="Arial"/>
                <w:sz w:val="24"/>
                <w:szCs w:val="20"/>
              </w:rPr>
            </w:pPr>
          </w:p>
        </w:tc>
        <w:tc>
          <w:tcPr>
            <w:tcW w:w="1905" w:type="dxa"/>
            <w:vAlign w:val="center"/>
          </w:tcPr>
          <w:p>
            <w:pPr>
              <w:spacing w:after="120" w:line="360" w:lineRule="auto"/>
              <w:ind w:left="72"/>
              <w:outlineLvl w:val="0"/>
              <w:rPr>
                <w:rFonts w:ascii="Arial" w:hAnsi="Arial" w:cs="Arial"/>
                <w:sz w:val="24"/>
                <w:szCs w:val="20"/>
              </w:rPr>
            </w:pPr>
          </w:p>
        </w:tc>
        <w:tc>
          <w:tcPr>
            <w:tcW w:w="2268" w:type="dxa"/>
            <w:tcBorders>
              <w:right w:val="single" w:color="auto" w:sz="4" w:space="0"/>
            </w:tcBorders>
            <w:vAlign w:val="center"/>
          </w:tcPr>
          <w:p>
            <w:pPr>
              <w:spacing w:after="120" w:line="360" w:lineRule="auto"/>
              <w:ind w:left="72"/>
              <w:outlineLvl w:val="0"/>
              <w:rPr>
                <w:rFonts w:ascii="Arial" w:hAnsi="Arial" w:cs="Arial"/>
                <w:sz w:val="24"/>
                <w:szCs w:val="20"/>
              </w:rPr>
            </w:pPr>
          </w:p>
        </w:tc>
        <w:tc>
          <w:tcPr>
            <w:tcW w:w="1701" w:type="dxa"/>
            <w:tcBorders>
              <w:left w:val="single" w:color="auto" w:sz="4" w:space="0"/>
            </w:tcBorders>
            <w:vAlign w:val="center"/>
          </w:tcPr>
          <w:p>
            <w:pPr>
              <w:spacing w:after="120" w:line="360" w:lineRule="auto"/>
              <w:ind w:left="72"/>
              <w:outlineLvl w:val="0"/>
              <w:rPr>
                <w:rFonts w:ascii="Arial" w:hAnsi="Arial" w:cs="Arial"/>
                <w:sz w:val="24"/>
                <w:szCs w:val="20"/>
              </w:rPr>
            </w:pPr>
          </w:p>
        </w:tc>
        <w:tc>
          <w:tcPr>
            <w:tcW w:w="2693" w:type="dxa"/>
            <w:tcBorders>
              <w:left w:val="single" w:color="auto" w:sz="4" w:space="0"/>
            </w:tcBorders>
          </w:tcPr>
          <w:p>
            <w:pPr>
              <w:spacing w:after="120" w:line="360" w:lineRule="auto"/>
              <w:ind w:left="72"/>
              <w:outlineLvl w:val="0"/>
              <w:rPr>
                <w:rFonts w:ascii="Arial" w:hAnsi="Arial" w:cs="Arial"/>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vAlign w:val="center"/>
          </w:tcPr>
          <w:p>
            <w:pPr>
              <w:adjustRightInd w:val="0"/>
              <w:spacing w:after="60" w:line="360" w:lineRule="auto"/>
              <w:ind w:left="423"/>
              <w:textAlignment w:val="baseline"/>
              <w:outlineLvl w:val="0"/>
              <w:rPr>
                <w:rFonts w:ascii="Arial" w:hAnsi="Arial" w:cs="Arial"/>
                <w:sz w:val="24"/>
                <w:szCs w:val="20"/>
              </w:rPr>
            </w:pPr>
          </w:p>
        </w:tc>
        <w:tc>
          <w:tcPr>
            <w:tcW w:w="1905" w:type="dxa"/>
            <w:vAlign w:val="center"/>
          </w:tcPr>
          <w:p>
            <w:pPr>
              <w:spacing w:after="120" w:line="360" w:lineRule="auto"/>
              <w:ind w:left="72"/>
              <w:outlineLvl w:val="0"/>
              <w:rPr>
                <w:rFonts w:ascii="Arial" w:hAnsi="Arial" w:cs="Arial"/>
                <w:sz w:val="24"/>
                <w:szCs w:val="20"/>
              </w:rPr>
            </w:pPr>
          </w:p>
        </w:tc>
        <w:tc>
          <w:tcPr>
            <w:tcW w:w="2268" w:type="dxa"/>
            <w:tcBorders>
              <w:right w:val="single" w:color="auto" w:sz="4" w:space="0"/>
            </w:tcBorders>
            <w:vAlign w:val="center"/>
          </w:tcPr>
          <w:p>
            <w:pPr>
              <w:spacing w:after="120" w:line="360" w:lineRule="auto"/>
              <w:ind w:left="72"/>
              <w:outlineLvl w:val="0"/>
              <w:rPr>
                <w:rFonts w:ascii="Arial" w:hAnsi="Arial" w:cs="Arial"/>
                <w:sz w:val="24"/>
                <w:szCs w:val="20"/>
              </w:rPr>
            </w:pPr>
          </w:p>
        </w:tc>
        <w:tc>
          <w:tcPr>
            <w:tcW w:w="1701" w:type="dxa"/>
            <w:tcBorders>
              <w:left w:val="single" w:color="auto" w:sz="4" w:space="0"/>
            </w:tcBorders>
            <w:vAlign w:val="center"/>
          </w:tcPr>
          <w:p>
            <w:pPr>
              <w:spacing w:after="120" w:line="360" w:lineRule="auto"/>
              <w:ind w:left="72"/>
              <w:outlineLvl w:val="0"/>
              <w:rPr>
                <w:rFonts w:ascii="Arial" w:hAnsi="Arial" w:cs="Arial"/>
                <w:sz w:val="24"/>
                <w:szCs w:val="20"/>
              </w:rPr>
            </w:pPr>
          </w:p>
        </w:tc>
        <w:tc>
          <w:tcPr>
            <w:tcW w:w="2693" w:type="dxa"/>
            <w:tcBorders>
              <w:left w:val="single" w:color="auto" w:sz="4" w:space="0"/>
            </w:tcBorders>
          </w:tcPr>
          <w:p>
            <w:pPr>
              <w:spacing w:after="120" w:line="360" w:lineRule="auto"/>
              <w:ind w:left="72"/>
              <w:outlineLvl w:val="0"/>
              <w:rPr>
                <w:rFonts w:ascii="Arial" w:hAnsi="Arial" w:cs="Arial"/>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vAlign w:val="center"/>
          </w:tcPr>
          <w:p>
            <w:pPr>
              <w:adjustRightInd w:val="0"/>
              <w:spacing w:after="60" w:line="360" w:lineRule="auto"/>
              <w:jc w:val="center"/>
              <w:textAlignment w:val="baseline"/>
              <w:outlineLvl w:val="0"/>
              <w:rPr>
                <w:rFonts w:ascii="Arial" w:hAnsi="Arial" w:cs="Arial"/>
                <w:sz w:val="24"/>
                <w:szCs w:val="20"/>
              </w:rPr>
            </w:pPr>
          </w:p>
        </w:tc>
        <w:tc>
          <w:tcPr>
            <w:tcW w:w="1905" w:type="dxa"/>
            <w:vAlign w:val="center"/>
          </w:tcPr>
          <w:p>
            <w:pPr>
              <w:spacing w:after="120" w:line="360" w:lineRule="auto"/>
              <w:ind w:left="72"/>
              <w:outlineLvl w:val="0"/>
              <w:rPr>
                <w:rFonts w:ascii="Arial" w:hAnsi="Arial" w:cs="Arial"/>
                <w:sz w:val="24"/>
                <w:szCs w:val="20"/>
              </w:rPr>
            </w:pPr>
          </w:p>
        </w:tc>
        <w:tc>
          <w:tcPr>
            <w:tcW w:w="2268" w:type="dxa"/>
            <w:tcBorders>
              <w:right w:val="single" w:color="auto" w:sz="4" w:space="0"/>
            </w:tcBorders>
            <w:vAlign w:val="center"/>
          </w:tcPr>
          <w:p>
            <w:pPr>
              <w:spacing w:after="120" w:line="360" w:lineRule="auto"/>
              <w:ind w:left="72"/>
              <w:outlineLvl w:val="0"/>
              <w:rPr>
                <w:rFonts w:ascii="Arial" w:hAnsi="Arial" w:cs="Arial"/>
                <w:sz w:val="24"/>
                <w:szCs w:val="20"/>
              </w:rPr>
            </w:pPr>
          </w:p>
        </w:tc>
        <w:tc>
          <w:tcPr>
            <w:tcW w:w="1701" w:type="dxa"/>
            <w:tcBorders>
              <w:left w:val="single" w:color="auto" w:sz="4" w:space="0"/>
            </w:tcBorders>
            <w:vAlign w:val="center"/>
          </w:tcPr>
          <w:p>
            <w:pPr>
              <w:spacing w:after="120" w:line="360" w:lineRule="auto"/>
              <w:ind w:left="72"/>
              <w:outlineLvl w:val="0"/>
              <w:rPr>
                <w:rFonts w:ascii="Arial" w:hAnsi="Arial" w:cs="Arial"/>
                <w:sz w:val="24"/>
                <w:szCs w:val="20"/>
              </w:rPr>
            </w:pPr>
          </w:p>
        </w:tc>
        <w:tc>
          <w:tcPr>
            <w:tcW w:w="2693" w:type="dxa"/>
            <w:tcBorders>
              <w:left w:val="single" w:color="auto" w:sz="4" w:space="0"/>
            </w:tcBorders>
          </w:tcPr>
          <w:p>
            <w:pPr>
              <w:spacing w:after="120" w:line="360" w:lineRule="auto"/>
              <w:ind w:left="72"/>
              <w:outlineLvl w:val="0"/>
              <w:rPr>
                <w:rFonts w:ascii="Arial" w:hAnsi="Arial" w:cs="Arial"/>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vAlign w:val="center"/>
          </w:tcPr>
          <w:p>
            <w:pPr>
              <w:adjustRightInd w:val="0"/>
              <w:spacing w:after="60" w:line="360" w:lineRule="auto"/>
              <w:ind w:left="423"/>
              <w:textAlignment w:val="baseline"/>
              <w:outlineLvl w:val="0"/>
              <w:rPr>
                <w:rFonts w:ascii="Arial" w:hAnsi="Arial" w:cs="Arial"/>
                <w:sz w:val="24"/>
                <w:szCs w:val="20"/>
              </w:rPr>
            </w:pPr>
          </w:p>
        </w:tc>
        <w:tc>
          <w:tcPr>
            <w:tcW w:w="1905" w:type="dxa"/>
            <w:vAlign w:val="center"/>
          </w:tcPr>
          <w:p>
            <w:pPr>
              <w:spacing w:after="120" w:line="360" w:lineRule="auto"/>
              <w:ind w:left="72"/>
              <w:outlineLvl w:val="0"/>
              <w:rPr>
                <w:rFonts w:ascii="Arial" w:hAnsi="Arial" w:cs="Arial"/>
                <w:sz w:val="24"/>
                <w:szCs w:val="20"/>
              </w:rPr>
            </w:pPr>
          </w:p>
        </w:tc>
        <w:tc>
          <w:tcPr>
            <w:tcW w:w="2268" w:type="dxa"/>
            <w:tcBorders>
              <w:right w:val="single" w:color="auto" w:sz="4" w:space="0"/>
            </w:tcBorders>
            <w:vAlign w:val="center"/>
          </w:tcPr>
          <w:p>
            <w:pPr>
              <w:spacing w:after="120" w:line="360" w:lineRule="auto"/>
              <w:ind w:left="72"/>
              <w:outlineLvl w:val="0"/>
              <w:rPr>
                <w:rFonts w:ascii="Arial" w:hAnsi="Arial" w:cs="Arial"/>
                <w:sz w:val="24"/>
                <w:szCs w:val="20"/>
              </w:rPr>
            </w:pPr>
          </w:p>
        </w:tc>
        <w:tc>
          <w:tcPr>
            <w:tcW w:w="1701" w:type="dxa"/>
            <w:tcBorders>
              <w:left w:val="single" w:color="auto" w:sz="4" w:space="0"/>
            </w:tcBorders>
            <w:vAlign w:val="center"/>
          </w:tcPr>
          <w:p>
            <w:pPr>
              <w:spacing w:after="120" w:line="360" w:lineRule="auto"/>
              <w:ind w:left="72"/>
              <w:outlineLvl w:val="0"/>
              <w:rPr>
                <w:rFonts w:ascii="Arial" w:hAnsi="Arial" w:cs="Arial"/>
                <w:sz w:val="24"/>
                <w:szCs w:val="20"/>
              </w:rPr>
            </w:pPr>
          </w:p>
        </w:tc>
        <w:tc>
          <w:tcPr>
            <w:tcW w:w="2693" w:type="dxa"/>
            <w:tcBorders>
              <w:left w:val="single" w:color="auto" w:sz="4" w:space="0"/>
            </w:tcBorders>
          </w:tcPr>
          <w:p>
            <w:pPr>
              <w:spacing w:after="120" w:line="360" w:lineRule="auto"/>
              <w:ind w:left="72"/>
              <w:outlineLvl w:val="0"/>
              <w:rPr>
                <w:rFonts w:ascii="Arial" w:hAnsi="Arial" w:cs="Arial"/>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vAlign w:val="center"/>
          </w:tcPr>
          <w:p>
            <w:pPr>
              <w:adjustRightInd w:val="0"/>
              <w:spacing w:after="60" w:line="360" w:lineRule="auto"/>
              <w:jc w:val="center"/>
              <w:textAlignment w:val="baseline"/>
              <w:outlineLvl w:val="0"/>
              <w:rPr>
                <w:rFonts w:ascii="Arial" w:hAnsi="Arial" w:cs="Arial"/>
                <w:sz w:val="24"/>
                <w:szCs w:val="20"/>
              </w:rPr>
            </w:pPr>
          </w:p>
        </w:tc>
        <w:tc>
          <w:tcPr>
            <w:tcW w:w="1905" w:type="dxa"/>
            <w:vAlign w:val="center"/>
          </w:tcPr>
          <w:p>
            <w:pPr>
              <w:spacing w:after="120" w:line="360" w:lineRule="auto"/>
              <w:ind w:left="72"/>
              <w:outlineLvl w:val="0"/>
              <w:rPr>
                <w:rFonts w:ascii="Arial" w:hAnsi="Arial" w:cs="Arial"/>
                <w:sz w:val="24"/>
                <w:szCs w:val="20"/>
              </w:rPr>
            </w:pPr>
          </w:p>
        </w:tc>
        <w:tc>
          <w:tcPr>
            <w:tcW w:w="2268" w:type="dxa"/>
            <w:tcBorders>
              <w:right w:val="single" w:color="auto" w:sz="4" w:space="0"/>
            </w:tcBorders>
            <w:vAlign w:val="center"/>
          </w:tcPr>
          <w:p>
            <w:pPr>
              <w:spacing w:after="120" w:line="360" w:lineRule="auto"/>
              <w:ind w:left="72"/>
              <w:outlineLvl w:val="0"/>
              <w:rPr>
                <w:rFonts w:ascii="Arial" w:hAnsi="Arial" w:cs="Arial"/>
                <w:sz w:val="24"/>
                <w:szCs w:val="20"/>
              </w:rPr>
            </w:pPr>
          </w:p>
        </w:tc>
        <w:tc>
          <w:tcPr>
            <w:tcW w:w="1701" w:type="dxa"/>
            <w:tcBorders>
              <w:left w:val="single" w:color="auto" w:sz="4" w:space="0"/>
            </w:tcBorders>
            <w:vAlign w:val="center"/>
          </w:tcPr>
          <w:p>
            <w:pPr>
              <w:spacing w:after="120" w:line="360" w:lineRule="auto"/>
              <w:ind w:left="72"/>
              <w:outlineLvl w:val="0"/>
              <w:rPr>
                <w:rFonts w:ascii="Arial" w:hAnsi="Arial" w:cs="Arial"/>
                <w:sz w:val="24"/>
                <w:szCs w:val="20"/>
              </w:rPr>
            </w:pPr>
          </w:p>
        </w:tc>
        <w:tc>
          <w:tcPr>
            <w:tcW w:w="2693" w:type="dxa"/>
            <w:tcBorders>
              <w:left w:val="single" w:color="auto" w:sz="4" w:space="0"/>
            </w:tcBorders>
          </w:tcPr>
          <w:p>
            <w:pPr>
              <w:spacing w:after="120" w:line="360" w:lineRule="auto"/>
              <w:ind w:left="72"/>
              <w:outlineLvl w:val="0"/>
              <w:rPr>
                <w:rFonts w:ascii="Arial" w:hAnsi="Arial" w:cs="Arial"/>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vAlign w:val="center"/>
          </w:tcPr>
          <w:p>
            <w:pPr>
              <w:adjustRightInd w:val="0"/>
              <w:spacing w:after="60" w:line="360" w:lineRule="auto"/>
              <w:ind w:left="423"/>
              <w:textAlignment w:val="baseline"/>
              <w:outlineLvl w:val="0"/>
              <w:rPr>
                <w:rFonts w:ascii="Arial" w:hAnsi="Arial" w:cs="Arial"/>
                <w:sz w:val="24"/>
                <w:szCs w:val="20"/>
              </w:rPr>
            </w:pPr>
          </w:p>
        </w:tc>
        <w:tc>
          <w:tcPr>
            <w:tcW w:w="1905" w:type="dxa"/>
            <w:vAlign w:val="center"/>
          </w:tcPr>
          <w:p>
            <w:pPr>
              <w:spacing w:after="120" w:line="360" w:lineRule="auto"/>
              <w:ind w:left="72"/>
              <w:outlineLvl w:val="0"/>
              <w:rPr>
                <w:rFonts w:ascii="Arial" w:hAnsi="Arial" w:cs="Arial"/>
                <w:sz w:val="24"/>
                <w:szCs w:val="20"/>
              </w:rPr>
            </w:pPr>
          </w:p>
        </w:tc>
        <w:tc>
          <w:tcPr>
            <w:tcW w:w="2268" w:type="dxa"/>
            <w:tcBorders>
              <w:right w:val="single" w:color="auto" w:sz="4" w:space="0"/>
            </w:tcBorders>
            <w:vAlign w:val="center"/>
          </w:tcPr>
          <w:p>
            <w:pPr>
              <w:spacing w:after="120" w:line="360" w:lineRule="auto"/>
              <w:ind w:left="72"/>
              <w:outlineLvl w:val="0"/>
              <w:rPr>
                <w:rFonts w:ascii="Arial" w:hAnsi="Arial" w:cs="Arial"/>
                <w:sz w:val="24"/>
                <w:szCs w:val="20"/>
              </w:rPr>
            </w:pPr>
          </w:p>
        </w:tc>
        <w:tc>
          <w:tcPr>
            <w:tcW w:w="1701" w:type="dxa"/>
            <w:tcBorders>
              <w:left w:val="single" w:color="auto" w:sz="4" w:space="0"/>
            </w:tcBorders>
            <w:vAlign w:val="center"/>
          </w:tcPr>
          <w:p>
            <w:pPr>
              <w:spacing w:after="120" w:line="360" w:lineRule="auto"/>
              <w:ind w:left="72"/>
              <w:outlineLvl w:val="0"/>
              <w:rPr>
                <w:rFonts w:ascii="Arial" w:hAnsi="Arial" w:cs="Arial"/>
                <w:sz w:val="24"/>
                <w:szCs w:val="20"/>
              </w:rPr>
            </w:pPr>
          </w:p>
        </w:tc>
        <w:tc>
          <w:tcPr>
            <w:tcW w:w="2693" w:type="dxa"/>
            <w:tcBorders>
              <w:left w:val="single" w:color="auto" w:sz="4" w:space="0"/>
            </w:tcBorders>
          </w:tcPr>
          <w:p>
            <w:pPr>
              <w:spacing w:after="120" w:line="360" w:lineRule="auto"/>
              <w:ind w:left="72"/>
              <w:outlineLvl w:val="0"/>
              <w:rPr>
                <w:rFonts w:ascii="Arial" w:hAnsi="Arial" w:cs="Arial"/>
                <w:sz w:val="24"/>
                <w:szCs w:val="20"/>
              </w:rPr>
            </w:pPr>
          </w:p>
        </w:tc>
      </w:tr>
    </w:tbl>
    <w:p>
      <w:pPr>
        <w:pStyle w:val="204"/>
        <w:spacing w:line="360" w:lineRule="auto"/>
        <w:ind w:left="1080" w:hanging="660"/>
        <w:outlineLvl w:val="0"/>
        <w:rPr>
          <w:rFonts w:ascii="宋体" w:hAnsi="宋体" w:cs="宋体"/>
          <w:sz w:val="24"/>
        </w:rPr>
      </w:pPr>
      <w:r>
        <w:rPr>
          <w:rFonts w:hint="eastAsia" w:ascii="宋体" w:hAnsi="宋体" w:cs="宋体"/>
          <w:sz w:val="24"/>
        </w:rPr>
        <w:t>注：1. 清单应尽可能详细。</w:t>
      </w:r>
    </w:p>
    <w:p>
      <w:pPr>
        <w:pStyle w:val="204"/>
        <w:spacing w:line="360" w:lineRule="auto"/>
        <w:ind w:left="420" w:firstLine="0"/>
        <w:outlineLvl w:val="0"/>
        <w:rPr>
          <w:rFonts w:ascii="宋体" w:hAnsi="宋体" w:cs="宋体"/>
          <w:sz w:val="24"/>
        </w:rPr>
      </w:pPr>
      <w:r>
        <w:rPr>
          <w:rFonts w:hint="eastAsia" w:ascii="宋体" w:hAnsi="宋体" w:cs="宋体"/>
          <w:sz w:val="24"/>
        </w:rPr>
        <w:t>　　2 .投标人应根据产品的技术状况列出质量保证期内备品备件和特种工具的清单、规格型号、品牌、产地，在质保期内采购人均无需为维护维修保养所需的专用工具和备品备件另行支付费用，随机备品备件的价格应包含在设备价中。</w:t>
      </w:r>
    </w:p>
    <w:p>
      <w:pPr>
        <w:pStyle w:val="204"/>
        <w:spacing w:line="360" w:lineRule="auto"/>
        <w:ind w:left="1080" w:hanging="660"/>
        <w:outlineLvl w:val="0"/>
        <w:rPr>
          <w:rFonts w:ascii="宋体" w:hAnsi="宋体" w:cs="宋体"/>
          <w:sz w:val="24"/>
        </w:rPr>
      </w:pPr>
    </w:p>
    <w:p>
      <w:pPr>
        <w:pStyle w:val="204"/>
        <w:spacing w:line="360" w:lineRule="auto"/>
        <w:ind w:left="1080" w:hanging="660"/>
        <w:outlineLvl w:val="0"/>
        <w:rPr>
          <w:rFonts w:ascii="宋体" w:hAnsi="宋体" w:cs="宋体"/>
          <w:sz w:val="24"/>
        </w:rPr>
      </w:pPr>
      <w:r>
        <w:rPr>
          <w:rFonts w:hint="eastAsia" w:ascii="宋体" w:hAnsi="宋体" w:cs="宋体"/>
          <w:sz w:val="24"/>
        </w:rPr>
        <w:t>投标人代表签字或盖章：</w:t>
      </w:r>
    </w:p>
    <w:p>
      <w:pPr>
        <w:pStyle w:val="204"/>
        <w:spacing w:line="360" w:lineRule="auto"/>
        <w:ind w:left="1080" w:hanging="660"/>
        <w:outlineLvl w:val="0"/>
        <w:rPr>
          <w:rFonts w:ascii="宋体" w:hAnsi="宋体" w:cs="宋体"/>
          <w:sz w:val="24"/>
        </w:rPr>
      </w:pPr>
      <w:r>
        <w:rPr>
          <w:rFonts w:hint="eastAsia" w:ascii="宋体" w:hAnsi="宋体" w:cs="宋体"/>
          <w:sz w:val="24"/>
        </w:rPr>
        <w:t>投标人公章：</w:t>
      </w:r>
    </w:p>
    <w:p>
      <w:pPr>
        <w:pStyle w:val="204"/>
        <w:spacing w:line="360" w:lineRule="auto"/>
        <w:ind w:left="1080" w:hanging="660"/>
        <w:outlineLvl w:val="0"/>
        <w:rPr>
          <w:rFonts w:ascii="宋体" w:hAnsi="宋体" w:cs="宋体"/>
          <w:sz w:val="24"/>
        </w:rPr>
      </w:pPr>
    </w:p>
    <w:p>
      <w:pPr>
        <w:pStyle w:val="204"/>
        <w:spacing w:line="360" w:lineRule="auto"/>
        <w:ind w:left="1080" w:hanging="660"/>
        <w:jc w:val="right"/>
        <w:outlineLvl w:val="0"/>
        <w:rPr>
          <w:rFonts w:ascii="宋体" w:hAnsi="宋体" w:cs="宋体"/>
          <w:sz w:val="24"/>
        </w:rPr>
      </w:pPr>
      <w:r>
        <w:rPr>
          <w:rFonts w:hint="eastAsia" w:ascii="宋体" w:hAnsi="宋体" w:cs="宋体"/>
          <w:sz w:val="24"/>
        </w:rPr>
        <w:t>　　　　　　　　　　　　日期：  年  月  日</w:t>
      </w:r>
    </w:p>
    <w:p>
      <w:pPr>
        <w:pStyle w:val="9"/>
        <w:spacing w:line="360" w:lineRule="auto"/>
        <w:outlineLvl w:val="0"/>
        <w:rPr>
          <w:rFonts w:ascii="Arial" w:hAnsi="Arial" w:cs="Arial"/>
        </w:rPr>
      </w:pPr>
    </w:p>
    <w:p>
      <w:pPr>
        <w:pStyle w:val="103"/>
        <w:spacing w:line="360" w:lineRule="auto"/>
        <w:outlineLvl w:val="0"/>
        <w:rPr>
          <w:rFonts w:ascii="宋体" w:hAnsi="宋体" w:eastAsia="宋体" w:cs="宋体"/>
        </w:rPr>
      </w:pPr>
      <w:r>
        <w:rPr>
          <w:rFonts w:hint="eastAsia" w:ascii="宋体" w:hAnsi="宋体" w:eastAsia="宋体" w:cs="宋体"/>
        </w:rPr>
        <w:t>4、备品备件和特种工具报价表</w:t>
      </w:r>
    </w:p>
    <w:p>
      <w:pPr>
        <w:pStyle w:val="103"/>
        <w:spacing w:line="360" w:lineRule="auto"/>
        <w:ind w:firstLine="480" w:firstLineChars="200"/>
        <w:jc w:val="both"/>
        <w:outlineLvl w:val="0"/>
        <w:rPr>
          <w:rFonts w:ascii="宋体" w:hAnsi="宋体" w:eastAsia="宋体" w:cs="Arial"/>
        </w:rPr>
      </w:pPr>
      <w:r>
        <w:rPr>
          <w:rFonts w:hint="eastAsia" w:ascii="宋体" w:hAnsi="宋体" w:eastAsia="宋体"/>
          <w:sz w:val="24"/>
        </w:rPr>
        <w:t>项目</w:t>
      </w:r>
      <w:r>
        <w:rPr>
          <w:rFonts w:hint="eastAsia" w:ascii="宋体" w:hAnsi="宋体" w:eastAsia="宋体"/>
          <w:sz w:val="24"/>
          <w:szCs w:val="24"/>
        </w:rPr>
        <w:t>名称：</w:t>
      </w:r>
    </w:p>
    <w:tbl>
      <w:tblPr>
        <w:tblStyle w:val="5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19"/>
        <w:gridCol w:w="3352"/>
        <w:gridCol w:w="2970"/>
        <w:gridCol w:w="19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870" w:hRule="atLeast"/>
          <w:tblHeader/>
          <w:jc w:val="center"/>
        </w:trPr>
        <w:tc>
          <w:tcPr>
            <w:tcW w:w="819" w:type="dxa"/>
            <w:tcBorders>
              <w:top w:val="single" w:color="auto" w:sz="12" w:space="0"/>
              <w:bottom w:val="single" w:color="auto" w:sz="6" w:space="0"/>
            </w:tcBorders>
            <w:vAlign w:val="center"/>
          </w:tcPr>
          <w:p>
            <w:pPr>
              <w:pStyle w:val="20"/>
              <w:spacing w:line="360" w:lineRule="auto"/>
              <w:ind w:left="-116" w:leftChars="-61" w:hanging="12" w:hangingChars="6"/>
              <w:jc w:val="center"/>
              <w:outlineLvl w:val="0"/>
              <w:rPr>
                <w:rFonts w:cs="Arial"/>
                <w:szCs w:val="21"/>
              </w:rPr>
            </w:pPr>
            <w:r>
              <w:rPr>
                <w:rFonts w:cs="Arial"/>
                <w:szCs w:val="21"/>
              </w:rPr>
              <w:t>序号</w:t>
            </w:r>
          </w:p>
        </w:tc>
        <w:tc>
          <w:tcPr>
            <w:tcW w:w="3352" w:type="dxa"/>
            <w:tcBorders>
              <w:top w:val="single" w:color="auto" w:sz="12" w:space="0"/>
              <w:bottom w:val="single" w:color="auto" w:sz="6" w:space="0"/>
            </w:tcBorders>
            <w:vAlign w:val="center"/>
          </w:tcPr>
          <w:p>
            <w:pPr>
              <w:pStyle w:val="20"/>
              <w:spacing w:line="360" w:lineRule="auto"/>
              <w:ind w:left="-118" w:leftChars="-59" w:hanging="6" w:hangingChars="3"/>
              <w:jc w:val="center"/>
              <w:outlineLvl w:val="0"/>
              <w:rPr>
                <w:rFonts w:cs="Arial"/>
                <w:szCs w:val="21"/>
              </w:rPr>
            </w:pPr>
            <w:r>
              <w:rPr>
                <w:rFonts w:cs="Arial"/>
                <w:szCs w:val="21"/>
              </w:rPr>
              <w:t>名　　称</w:t>
            </w:r>
          </w:p>
        </w:tc>
        <w:tc>
          <w:tcPr>
            <w:tcW w:w="2970" w:type="dxa"/>
            <w:tcBorders>
              <w:top w:val="single" w:color="auto" w:sz="12" w:space="0"/>
              <w:left w:val="single" w:color="auto" w:sz="4" w:space="0"/>
              <w:right w:val="single" w:color="auto" w:sz="4" w:space="0"/>
            </w:tcBorders>
            <w:vAlign w:val="center"/>
          </w:tcPr>
          <w:p>
            <w:pPr>
              <w:pStyle w:val="20"/>
              <w:spacing w:line="360" w:lineRule="auto"/>
              <w:ind w:left="-118" w:leftChars="-59" w:hanging="6" w:hangingChars="3"/>
              <w:jc w:val="center"/>
              <w:outlineLvl w:val="0"/>
              <w:rPr>
                <w:rFonts w:cs="Arial"/>
                <w:szCs w:val="21"/>
              </w:rPr>
            </w:pPr>
            <w:r>
              <w:rPr>
                <w:rFonts w:cs="Arial"/>
                <w:szCs w:val="21"/>
              </w:rPr>
              <w:t>价　　格</w:t>
            </w:r>
          </w:p>
        </w:tc>
        <w:tc>
          <w:tcPr>
            <w:tcW w:w="1904" w:type="dxa"/>
            <w:tcBorders>
              <w:top w:val="single" w:color="auto" w:sz="12" w:space="0"/>
              <w:left w:val="single" w:color="auto" w:sz="4" w:space="0"/>
            </w:tcBorders>
            <w:vAlign w:val="center"/>
          </w:tcPr>
          <w:p>
            <w:pPr>
              <w:pStyle w:val="20"/>
              <w:spacing w:line="360" w:lineRule="auto"/>
              <w:ind w:left="-115" w:leftChars="-65" w:hanging="21" w:hangingChars="10"/>
              <w:jc w:val="center"/>
              <w:outlineLvl w:val="0"/>
              <w:rPr>
                <w:rFonts w:cs="Arial"/>
                <w:szCs w:val="21"/>
              </w:rPr>
            </w:pPr>
            <w:r>
              <w:rPr>
                <w:rFonts w:cs="Arial"/>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tcBorders>
              <w:top w:val="double" w:color="auto" w:sz="6" w:space="0"/>
            </w:tcBorders>
            <w:vAlign w:val="center"/>
          </w:tcPr>
          <w:p>
            <w:pPr>
              <w:adjustRightInd w:val="0"/>
              <w:spacing w:after="60" w:line="360" w:lineRule="auto"/>
              <w:ind w:left="432"/>
              <w:textAlignment w:val="baseline"/>
              <w:outlineLvl w:val="0"/>
              <w:rPr>
                <w:rFonts w:ascii="Arial" w:hAnsi="Arial" w:cs="Arial"/>
                <w:sz w:val="24"/>
                <w:szCs w:val="20"/>
              </w:rPr>
            </w:pPr>
          </w:p>
        </w:tc>
        <w:tc>
          <w:tcPr>
            <w:tcW w:w="3352" w:type="dxa"/>
            <w:tcBorders>
              <w:top w:val="double" w:color="auto" w:sz="6" w:space="0"/>
            </w:tcBorders>
            <w:vAlign w:val="center"/>
          </w:tcPr>
          <w:p>
            <w:pPr>
              <w:spacing w:after="120" w:line="360" w:lineRule="auto"/>
              <w:ind w:left="72"/>
              <w:outlineLvl w:val="0"/>
              <w:rPr>
                <w:rFonts w:ascii="Arial" w:hAnsi="Arial" w:cs="Arial"/>
                <w:sz w:val="24"/>
                <w:szCs w:val="20"/>
              </w:rPr>
            </w:pPr>
          </w:p>
        </w:tc>
        <w:tc>
          <w:tcPr>
            <w:tcW w:w="2970" w:type="dxa"/>
            <w:tcBorders>
              <w:top w:val="double" w:color="auto" w:sz="6" w:space="0"/>
              <w:left w:val="single" w:color="auto" w:sz="4" w:space="0"/>
              <w:right w:val="single" w:color="auto" w:sz="4" w:space="0"/>
            </w:tcBorders>
            <w:vAlign w:val="center"/>
          </w:tcPr>
          <w:p>
            <w:pPr>
              <w:spacing w:after="120" w:line="360" w:lineRule="auto"/>
              <w:ind w:left="72"/>
              <w:outlineLvl w:val="0"/>
              <w:rPr>
                <w:rFonts w:ascii="Arial" w:hAnsi="Arial" w:cs="Arial"/>
                <w:sz w:val="24"/>
                <w:szCs w:val="20"/>
              </w:rPr>
            </w:pPr>
          </w:p>
        </w:tc>
        <w:tc>
          <w:tcPr>
            <w:tcW w:w="1904" w:type="dxa"/>
            <w:tcBorders>
              <w:top w:val="double" w:color="auto" w:sz="6" w:space="0"/>
              <w:left w:val="single" w:color="auto" w:sz="4" w:space="0"/>
            </w:tcBorders>
            <w:vAlign w:val="center"/>
          </w:tcPr>
          <w:p>
            <w:pPr>
              <w:spacing w:after="120" w:line="360" w:lineRule="auto"/>
              <w:ind w:left="72"/>
              <w:outlineLvl w:val="0"/>
              <w:rPr>
                <w:rFonts w:ascii="Arial" w:hAnsi="Arial" w:cs="Arial"/>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ind w:firstLine="480" w:firstLineChars="200"/>
              <w:textAlignment w:val="baseline"/>
              <w:outlineLvl w:val="0"/>
              <w:rPr>
                <w:rFonts w:ascii="Arial" w:hAnsi="Arial" w:cs="Arial"/>
                <w:sz w:val="24"/>
                <w:szCs w:val="20"/>
              </w:rPr>
            </w:pPr>
          </w:p>
        </w:tc>
        <w:tc>
          <w:tcPr>
            <w:tcW w:w="3352" w:type="dxa"/>
            <w:vAlign w:val="center"/>
          </w:tcPr>
          <w:p>
            <w:pPr>
              <w:spacing w:after="120" w:line="360" w:lineRule="auto"/>
              <w:ind w:left="72"/>
              <w:outlineLvl w:val="0"/>
              <w:rPr>
                <w:rFonts w:ascii="Arial" w:hAnsi="Arial" w:cs="Arial"/>
                <w:sz w:val="24"/>
                <w:szCs w:val="20"/>
              </w:rPr>
            </w:pPr>
          </w:p>
        </w:tc>
        <w:tc>
          <w:tcPr>
            <w:tcW w:w="2970" w:type="dxa"/>
            <w:tcBorders>
              <w:right w:val="single" w:color="auto" w:sz="4" w:space="0"/>
            </w:tcBorders>
            <w:vAlign w:val="center"/>
          </w:tcPr>
          <w:p>
            <w:pPr>
              <w:spacing w:after="120" w:line="360" w:lineRule="auto"/>
              <w:ind w:left="72"/>
              <w:outlineLvl w:val="0"/>
              <w:rPr>
                <w:rFonts w:ascii="Arial" w:hAnsi="Arial" w:cs="Arial"/>
                <w:sz w:val="24"/>
                <w:szCs w:val="20"/>
              </w:rPr>
            </w:pPr>
          </w:p>
        </w:tc>
        <w:tc>
          <w:tcPr>
            <w:tcW w:w="1904" w:type="dxa"/>
            <w:tcBorders>
              <w:left w:val="single" w:color="auto" w:sz="4" w:space="0"/>
            </w:tcBorders>
            <w:vAlign w:val="center"/>
          </w:tcPr>
          <w:p>
            <w:pPr>
              <w:spacing w:after="120" w:line="360" w:lineRule="auto"/>
              <w:ind w:left="72"/>
              <w:outlineLvl w:val="0"/>
              <w:rPr>
                <w:rFonts w:ascii="Arial" w:hAnsi="Arial" w:cs="Arial"/>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jc w:val="center"/>
              <w:textAlignment w:val="baseline"/>
              <w:outlineLvl w:val="0"/>
              <w:rPr>
                <w:rFonts w:ascii="Arial" w:hAnsi="Arial" w:cs="Arial"/>
                <w:sz w:val="24"/>
                <w:szCs w:val="20"/>
              </w:rPr>
            </w:pPr>
          </w:p>
        </w:tc>
        <w:tc>
          <w:tcPr>
            <w:tcW w:w="3352" w:type="dxa"/>
            <w:vAlign w:val="center"/>
          </w:tcPr>
          <w:p>
            <w:pPr>
              <w:spacing w:after="120" w:line="360" w:lineRule="auto"/>
              <w:ind w:left="72"/>
              <w:outlineLvl w:val="0"/>
              <w:rPr>
                <w:rFonts w:ascii="Arial" w:hAnsi="Arial" w:cs="Arial"/>
                <w:sz w:val="24"/>
                <w:szCs w:val="20"/>
              </w:rPr>
            </w:pPr>
          </w:p>
        </w:tc>
        <w:tc>
          <w:tcPr>
            <w:tcW w:w="2970" w:type="dxa"/>
            <w:tcBorders>
              <w:right w:val="single" w:color="auto" w:sz="4" w:space="0"/>
            </w:tcBorders>
            <w:vAlign w:val="center"/>
          </w:tcPr>
          <w:p>
            <w:pPr>
              <w:spacing w:after="120" w:line="360" w:lineRule="auto"/>
              <w:ind w:left="72"/>
              <w:outlineLvl w:val="0"/>
              <w:rPr>
                <w:rFonts w:ascii="Arial" w:hAnsi="Arial" w:cs="Arial"/>
                <w:sz w:val="24"/>
                <w:szCs w:val="20"/>
              </w:rPr>
            </w:pPr>
          </w:p>
        </w:tc>
        <w:tc>
          <w:tcPr>
            <w:tcW w:w="1904" w:type="dxa"/>
            <w:tcBorders>
              <w:left w:val="single" w:color="auto" w:sz="4" w:space="0"/>
            </w:tcBorders>
            <w:vAlign w:val="center"/>
          </w:tcPr>
          <w:p>
            <w:pPr>
              <w:spacing w:after="120" w:line="360" w:lineRule="auto"/>
              <w:ind w:left="72"/>
              <w:outlineLvl w:val="0"/>
              <w:rPr>
                <w:rFonts w:ascii="Arial" w:hAnsi="Arial" w:cs="Arial"/>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jc w:val="center"/>
              <w:textAlignment w:val="baseline"/>
              <w:outlineLvl w:val="0"/>
              <w:rPr>
                <w:rFonts w:ascii="Arial" w:hAnsi="Arial" w:cs="Arial"/>
                <w:sz w:val="24"/>
                <w:szCs w:val="20"/>
              </w:rPr>
            </w:pPr>
          </w:p>
        </w:tc>
        <w:tc>
          <w:tcPr>
            <w:tcW w:w="3352" w:type="dxa"/>
            <w:vAlign w:val="center"/>
          </w:tcPr>
          <w:p>
            <w:pPr>
              <w:spacing w:after="120" w:line="360" w:lineRule="auto"/>
              <w:ind w:left="72"/>
              <w:outlineLvl w:val="0"/>
              <w:rPr>
                <w:rFonts w:ascii="Arial" w:hAnsi="Arial" w:cs="Arial"/>
                <w:sz w:val="24"/>
                <w:szCs w:val="20"/>
              </w:rPr>
            </w:pPr>
          </w:p>
        </w:tc>
        <w:tc>
          <w:tcPr>
            <w:tcW w:w="2970" w:type="dxa"/>
            <w:tcBorders>
              <w:right w:val="single" w:color="auto" w:sz="4" w:space="0"/>
            </w:tcBorders>
            <w:vAlign w:val="center"/>
          </w:tcPr>
          <w:p>
            <w:pPr>
              <w:spacing w:after="120" w:line="360" w:lineRule="auto"/>
              <w:ind w:left="72"/>
              <w:outlineLvl w:val="0"/>
              <w:rPr>
                <w:rFonts w:ascii="Arial" w:hAnsi="Arial" w:cs="Arial"/>
                <w:sz w:val="24"/>
                <w:szCs w:val="20"/>
              </w:rPr>
            </w:pPr>
          </w:p>
        </w:tc>
        <w:tc>
          <w:tcPr>
            <w:tcW w:w="1904" w:type="dxa"/>
            <w:tcBorders>
              <w:left w:val="single" w:color="auto" w:sz="4" w:space="0"/>
            </w:tcBorders>
            <w:vAlign w:val="center"/>
          </w:tcPr>
          <w:p>
            <w:pPr>
              <w:spacing w:after="120" w:line="360" w:lineRule="auto"/>
              <w:ind w:left="72"/>
              <w:outlineLvl w:val="0"/>
              <w:rPr>
                <w:rFonts w:ascii="Arial" w:hAnsi="Arial" w:cs="Arial"/>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jc w:val="center"/>
              <w:textAlignment w:val="baseline"/>
              <w:outlineLvl w:val="0"/>
              <w:rPr>
                <w:rFonts w:ascii="Arial" w:hAnsi="Arial" w:cs="Arial"/>
                <w:sz w:val="24"/>
                <w:szCs w:val="20"/>
              </w:rPr>
            </w:pPr>
          </w:p>
        </w:tc>
        <w:tc>
          <w:tcPr>
            <w:tcW w:w="3352" w:type="dxa"/>
            <w:vAlign w:val="center"/>
          </w:tcPr>
          <w:p>
            <w:pPr>
              <w:spacing w:after="120" w:line="360" w:lineRule="auto"/>
              <w:ind w:left="72"/>
              <w:outlineLvl w:val="0"/>
              <w:rPr>
                <w:rFonts w:ascii="Arial" w:hAnsi="Arial" w:cs="Arial"/>
                <w:sz w:val="24"/>
                <w:szCs w:val="20"/>
              </w:rPr>
            </w:pPr>
          </w:p>
        </w:tc>
        <w:tc>
          <w:tcPr>
            <w:tcW w:w="2970" w:type="dxa"/>
            <w:tcBorders>
              <w:right w:val="single" w:color="auto" w:sz="4" w:space="0"/>
            </w:tcBorders>
            <w:vAlign w:val="center"/>
          </w:tcPr>
          <w:p>
            <w:pPr>
              <w:spacing w:after="120" w:line="360" w:lineRule="auto"/>
              <w:ind w:left="72"/>
              <w:outlineLvl w:val="0"/>
              <w:rPr>
                <w:rFonts w:ascii="Arial" w:hAnsi="Arial" w:cs="Arial"/>
                <w:sz w:val="24"/>
                <w:szCs w:val="20"/>
              </w:rPr>
            </w:pPr>
          </w:p>
        </w:tc>
        <w:tc>
          <w:tcPr>
            <w:tcW w:w="1904" w:type="dxa"/>
            <w:tcBorders>
              <w:left w:val="single" w:color="auto" w:sz="4" w:space="0"/>
            </w:tcBorders>
            <w:vAlign w:val="center"/>
          </w:tcPr>
          <w:p>
            <w:pPr>
              <w:spacing w:after="120" w:line="360" w:lineRule="auto"/>
              <w:ind w:left="72"/>
              <w:outlineLvl w:val="0"/>
              <w:rPr>
                <w:rFonts w:ascii="Arial" w:hAnsi="Arial" w:cs="Arial"/>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jc w:val="center"/>
              <w:textAlignment w:val="baseline"/>
              <w:outlineLvl w:val="0"/>
              <w:rPr>
                <w:rFonts w:ascii="Arial" w:hAnsi="Arial" w:cs="Arial"/>
                <w:sz w:val="24"/>
                <w:szCs w:val="20"/>
              </w:rPr>
            </w:pPr>
          </w:p>
        </w:tc>
        <w:tc>
          <w:tcPr>
            <w:tcW w:w="3352" w:type="dxa"/>
            <w:vAlign w:val="center"/>
          </w:tcPr>
          <w:p>
            <w:pPr>
              <w:spacing w:after="120" w:line="360" w:lineRule="auto"/>
              <w:ind w:left="72"/>
              <w:outlineLvl w:val="0"/>
              <w:rPr>
                <w:rFonts w:ascii="Arial" w:hAnsi="Arial" w:cs="Arial"/>
                <w:sz w:val="24"/>
                <w:szCs w:val="20"/>
              </w:rPr>
            </w:pPr>
          </w:p>
        </w:tc>
        <w:tc>
          <w:tcPr>
            <w:tcW w:w="2970" w:type="dxa"/>
            <w:tcBorders>
              <w:right w:val="single" w:color="auto" w:sz="4" w:space="0"/>
            </w:tcBorders>
            <w:vAlign w:val="center"/>
          </w:tcPr>
          <w:p>
            <w:pPr>
              <w:spacing w:after="120" w:line="360" w:lineRule="auto"/>
              <w:ind w:left="72"/>
              <w:outlineLvl w:val="0"/>
              <w:rPr>
                <w:rFonts w:ascii="Arial" w:hAnsi="Arial" w:cs="Arial"/>
                <w:sz w:val="24"/>
                <w:szCs w:val="20"/>
              </w:rPr>
            </w:pPr>
          </w:p>
        </w:tc>
        <w:tc>
          <w:tcPr>
            <w:tcW w:w="1904" w:type="dxa"/>
            <w:tcBorders>
              <w:left w:val="single" w:color="auto" w:sz="4" w:space="0"/>
            </w:tcBorders>
            <w:vAlign w:val="center"/>
          </w:tcPr>
          <w:p>
            <w:pPr>
              <w:spacing w:after="120" w:line="360" w:lineRule="auto"/>
              <w:ind w:left="72"/>
              <w:outlineLvl w:val="0"/>
              <w:rPr>
                <w:rFonts w:ascii="Arial" w:hAnsi="Arial" w:cs="Arial"/>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jc w:val="center"/>
              <w:textAlignment w:val="baseline"/>
              <w:outlineLvl w:val="0"/>
              <w:rPr>
                <w:rFonts w:ascii="Arial" w:hAnsi="Arial" w:cs="Arial"/>
                <w:sz w:val="24"/>
                <w:szCs w:val="20"/>
              </w:rPr>
            </w:pPr>
          </w:p>
        </w:tc>
        <w:tc>
          <w:tcPr>
            <w:tcW w:w="3352" w:type="dxa"/>
            <w:vAlign w:val="center"/>
          </w:tcPr>
          <w:p>
            <w:pPr>
              <w:spacing w:after="120" w:line="360" w:lineRule="auto"/>
              <w:ind w:left="72"/>
              <w:outlineLvl w:val="0"/>
              <w:rPr>
                <w:rFonts w:ascii="Arial" w:hAnsi="Arial" w:cs="Arial"/>
                <w:sz w:val="24"/>
                <w:szCs w:val="20"/>
              </w:rPr>
            </w:pPr>
          </w:p>
        </w:tc>
        <w:tc>
          <w:tcPr>
            <w:tcW w:w="2970" w:type="dxa"/>
            <w:tcBorders>
              <w:right w:val="single" w:color="auto" w:sz="4" w:space="0"/>
            </w:tcBorders>
            <w:vAlign w:val="center"/>
          </w:tcPr>
          <w:p>
            <w:pPr>
              <w:spacing w:after="120" w:line="360" w:lineRule="auto"/>
              <w:ind w:left="72"/>
              <w:outlineLvl w:val="0"/>
              <w:rPr>
                <w:rFonts w:ascii="Arial" w:hAnsi="Arial" w:cs="Arial"/>
                <w:sz w:val="24"/>
                <w:szCs w:val="20"/>
              </w:rPr>
            </w:pPr>
          </w:p>
        </w:tc>
        <w:tc>
          <w:tcPr>
            <w:tcW w:w="1904" w:type="dxa"/>
            <w:tcBorders>
              <w:left w:val="single" w:color="auto" w:sz="4" w:space="0"/>
            </w:tcBorders>
            <w:vAlign w:val="center"/>
          </w:tcPr>
          <w:p>
            <w:pPr>
              <w:spacing w:after="120" w:line="360" w:lineRule="auto"/>
              <w:ind w:left="72"/>
              <w:outlineLvl w:val="0"/>
              <w:rPr>
                <w:rFonts w:ascii="Arial" w:hAnsi="Arial" w:cs="Arial"/>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jc w:val="center"/>
              <w:textAlignment w:val="baseline"/>
              <w:outlineLvl w:val="0"/>
              <w:rPr>
                <w:rFonts w:ascii="Arial" w:hAnsi="Arial" w:cs="Arial"/>
                <w:sz w:val="24"/>
                <w:szCs w:val="20"/>
              </w:rPr>
            </w:pPr>
          </w:p>
        </w:tc>
        <w:tc>
          <w:tcPr>
            <w:tcW w:w="3352" w:type="dxa"/>
            <w:vAlign w:val="center"/>
          </w:tcPr>
          <w:p>
            <w:pPr>
              <w:spacing w:after="120" w:line="360" w:lineRule="auto"/>
              <w:ind w:left="72"/>
              <w:outlineLvl w:val="0"/>
              <w:rPr>
                <w:rFonts w:ascii="Arial" w:hAnsi="Arial" w:cs="Arial"/>
                <w:sz w:val="24"/>
                <w:szCs w:val="20"/>
              </w:rPr>
            </w:pPr>
          </w:p>
        </w:tc>
        <w:tc>
          <w:tcPr>
            <w:tcW w:w="2970" w:type="dxa"/>
            <w:tcBorders>
              <w:right w:val="single" w:color="auto" w:sz="4" w:space="0"/>
            </w:tcBorders>
            <w:vAlign w:val="center"/>
          </w:tcPr>
          <w:p>
            <w:pPr>
              <w:spacing w:after="120" w:line="360" w:lineRule="auto"/>
              <w:ind w:left="72"/>
              <w:outlineLvl w:val="0"/>
              <w:rPr>
                <w:rFonts w:ascii="Arial" w:hAnsi="Arial" w:cs="Arial"/>
                <w:sz w:val="24"/>
                <w:szCs w:val="20"/>
              </w:rPr>
            </w:pPr>
          </w:p>
        </w:tc>
        <w:tc>
          <w:tcPr>
            <w:tcW w:w="1904" w:type="dxa"/>
            <w:tcBorders>
              <w:left w:val="single" w:color="auto" w:sz="4" w:space="0"/>
            </w:tcBorders>
            <w:vAlign w:val="center"/>
          </w:tcPr>
          <w:p>
            <w:pPr>
              <w:spacing w:after="120" w:line="360" w:lineRule="auto"/>
              <w:ind w:left="72"/>
              <w:outlineLvl w:val="0"/>
              <w:rPr>
                <w:rFonts w:ascii="Arial" w:hAnsi="Arial" w:cs="Arial"/>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jc w:val="center"/>
              <w:textAlignment w:val="baseline"/>
              <w:outlineLvl w:val="0"/>
              <w:rPr>
                <w:rFonts w:ascii="Arial" w:hAnsi="Arial" w:cs="Arial"/>
                <w:sz w:val="24"/>
                <w:szCs w:val="20"/>
              </w:rPr>
            </w:pPr>
          </w:p>
        </w:tc>
        <w:tc>
          <w:tcPr>
            <w:tcW w:w="3352" w:type="dxa"/>
            <w:vAlign w:val="center"/>
          </w:tcPr>
          <w:p>
            <w:pPr>
              <w:spacing w:after="120" w:line="360" w:lineRule="auto"/>
              <w:ind w:left="72"/>
              <w:outlineLvl w:val="0"/>
              <w:rPr>
                <w:rFonts w:ascii="Arial" w:hAnsi="Arial" w:cs="Arial"/>
                <w:sz w:val="24"/>
                <w:szCs w:val="20"/>
              </w:rPr>
            </w:pPr>
          </w:p>
        </w:tc>
        <w:tc>
          <w:tcPr>
            <w:tcW w:w="2970" w:type="dxa"/>
            <w:tcBorders>
              <w:right w:val="single" w:color="auto" w:sz="4" w:space="0"/>
            </w:tcBorders>
            <w:vAlign w:val="center"/>
          </w:tcPr>
          <w:p>
            <w:pPr>
              <w:spacing w:after="120" w:line="360" w:lineRule="auto"/>
              <w:ind w:left="72"/>
              <w:outlineLvl w:val="0"/>
              <w:rPr>
                <w:rFonts w:ascii="Arial" w:hAnsi="Arial" w:cs="Arial"/>
                <w:sz w:val="24"/>
                <w:szCs w:val="20"/>
              </w:rPr>
            </w:pPr>
          </w:p>
        </w:tc>
        <w:tc>
          <w:tcPr>
            <w:tcW w:w="1904" w:type="dxa"/>
            <w:tcBorders>
              <w:left w:val="single" w:color="auto" w:sz="4" w:space="0"/>
            </w:tcBorders>
            <w:vAlign w:val="center"/>
          </w:tcPr>
          <w:p>
            <w:pPr>
              <w:spacing w:after="120" w:line="360" w:lineRule="auto"/>
              <w:ind w:left="72"/>
              <w:outlineLvl w:val="0"/>
              <w:rPr>
                <w:rFonts w:ascii="Arial" w:hAnsi="Arial" w:cs="Arial"/>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jc w:val="center"/>
              <w:textAlignment w:val="baseline"/>
              <w:outlineLvl w:val="0"/>
              <w:rPr>
                <w:rFonts w:ascii="Arial" w:hAnsi="Arial" w:cs="Arial"/>
                <w:sz w:val="24"/>
                <w:szCs w:val="20"/>
              </w:rPr>
            </w:pPr>
          </w:p>
        </w:tc>
        <w:tc>
          <w:tcPr>
            <w:tcW w:w="3352" w:type="dxa"/>
            <w:vAlign w:val="center"/>
          </w:tcPr>
          <w:p>
            <w:pPr>
              <w:spacing w:after="120" w:line="360" w:lineRule="auto"/>
              <w:ind w:left="72"/>
              <w:outlineLvl w:val="0"/>
              <w:rPr>
                <w:rFonts w:ascii="Arial" w:hAnsi="Arial" w:cs="Arial"/>
                <w:sz w:val="24"/>
                <w:szCs w:val="20"/>
              </w:rPr>
            </w:pPr>
          </w:p>
        </w:tc>
        <w:tc>
          <w:tcPr>
            <w:tcW w:w="2970" w:type="dxa"/>
            <w:tcBorders>
              <w:right w:val="single" w:color="auto" w:sz="4" w:space="0"/>
            </w:tcBorders>
            <w:vAlign w:val="center"/>
          </w:tcPr>
          <w:p>
            <w:pPr>
              <w:spacing w:after="120" w:line="360" w:lineRule="auto"/>
              <w:ind w:left="72"/>
              <w:outlineLvl w:val="0"/>
              <w:rPr>
                <w:rFonts w:ascii="Arial" w:hAnsi="Arial" w:cs="Arial"/>
                <w:sz w:val="24"/>
                <w:szCs w:val="20"/>
              </w:rPr>
            </w:pPr>
          </w:p>
        </w:tc>
        <w:tc>
          <w:tcPr>
            <w:tcW w:w="1904" w:type="dxa"/>
            <w:tcBorders>
              <w:left w:val="single" w:color="auto" w:sz="4" w:space="0"/>
            </w:tcBorders>
            <w:vAlign w:val="center"/>
          </w:tcPr>
          <w:p>
            <w:pPr>
              <w:spacing w:after="120" w:line="360" w:lineRule="auto"/>
              <w:ind w:left="72"/>
              <w:outlineLvl w:val="0"/>
              <w:rPr>
                <w:rFonts w:ascii="Arial" w:hAnsi="Arial" w:cs="Arial"/>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jc w:val="center"/>
              <w:textAlignment w:val="baseline"/>
              <w:outlineLvl w:val="0"/>
              <w:rPr>
                <w:rFonts w:ascii="Arial" w:hAnsi="Arial" w:cs="Arial"/>
                <w:sz w:val="24"/>
                <w:szCs w:val="20"/>
              </w:rPr>
            </w:pPr>
          </w:p>
        </w:tc>
        <w:tc>
          <w:tcPr>
            <w:tcW w:w="3352" w:type="dxa"/>
            <w:vAlign w:val="center"/>
          </w:tcPr>
          <w:p>
            <w:pPr>
              <w:spacing w:after="120" w:line="360" w:lineRule="auto"/>
              <w:ind w:left="72"/>
              <w:outlineLvl w:val="0"/>
              <w:rPr>
                <w:rFonts w:ascii="Arial" w:hAnsi="Arial" w:cs="Arial"/>
                <w:sz w:val="24"/>
                <w:szCs w:val="20"/>
              </w:rPr>
            </w:pPr>
          </w:p>
        </w:tc>
        <w:tc>
          <w:tcPr>
            <w:tcW w:w="2970" w:type="dxa"/>
            <w:tcBorders>
              <w:right w:val="single" w:color="auto" w:sz="4" w:space="0"/>
            </w:tcBorders>
            <w:vAlign w:val="center"/>
          </w:tcPr>
          <w:p>
            <w:pPr>
              <w:spacing w:after="120" w:line="360" w:lineRule="auto"/>
              <w:ind w:left="72"/>
              <w:outlineLvl w:val="0"/>
              <w:rPr>
                <w:rFonts w:ascii="Arial" w:hAnsi="Arial" w:cs="Arial"/>
                <w:sz w:val="24"/>
                <w:szCs w:val="20"/>
              </w:rPr>
            </w:pPr>
          </w:p>
        </w:tc>
        <w:tc>
          <w:tcPr>
            <w:tcW w:w="1904" w:type="dxa"/>
            <w:tcBorders>
              <w:left w:val="single" w:color="auto" w:sz="4" w:space="0"/>
            </w:tcBorders>
            <w:vAlign w:val="center"/>
          </w:tcPr>
          <w:p>
            <w:pPr>
              <w:spacing w:after="120" w:line="360" w:lineRule="auto"/>
              <w:ind w:left="72"/>
              <w:outlineLvl w:val="0"/>
              <w:rPr>
                <w:rFonts w:ascii="Arial" w:hAnsi="Arial" w:cs="Arial"/>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textAlignment w:val="baseline"/>
              <w:outlineLvl w:val="0"/>
              <w:rPr>
                <w:rFonts w:ascii="Arial" w:hAnsi="Arial" w:cs="Arial"/>
                <w:sz w:val="24"/>
                <w:szCs w:val="20"/>
              </w:rPr>
            </w:pPr>
          </w:p>
        </w:tc>
        <w:tc>
          <w:tcPr>
            <w:tcW w:w="3352" w:type="dxa"/>
            <w:vAlign w:val="center"/>
          </w:tcPr>
          <w:p>
            <w:pPr>
              <w:spacing w:after="120" w:line="360" w:lineRule="auto"/>
              <w:ind w:left="72"/>
              <w:outlineLvl w:val="0"/>
              <w:rPr>
                <w:rFonts w:ascii="Arial" w:hAnsi="Arial" w:cs="Arial"/>
                <w:sz w:val="24"/>
                <w:szCs w:val="20"/>
              </w:rPr>
            </w:pPr>
          </w:p>
        </w:tc>
        <w:tc>
          <w:tcPr>
            <w:tcW w:w="2970" w:type="dxa"/>
            <w:tcBorders>
              <w:right w:val="single" w:color="auto" w:sz="4" w:space="0"/>
            </w:tcBorders>
            <w:vAlign w:val="center"/>
          </w:tcPr>
          <w:p>
            <w:pPr>
              <w:spacing w:after="120" w:line="360" w:lineRule="auto"/>
              <w:ind w:left="72"/>
              <w:outlineLvl w:val="0"/>
              <w:rPr>
                <w:rFonts w:ascii="Arial" w:hAnsi="Arial" w:cs="Arial"/>
                <w:sz w:val="24"/>
                <w:szCs w:val="20"/>
              </w:rPr>
            </w:pPr>
          </w:p>
        </w:tc>
        <w:tc>
          <w:tcPr>
            <w:tcW w:w="1904" w:type="dxa"/>
            <w:tcBorders>
              <w:left w:val="single" w:color="auto" w:sz="4" w:space="0"/>
            </w:tcBorders>
            <w:vAlign w:val="center"/>
          </w:tcPr>
          <w:p>
            <w:pPr>
              <w:spacing w:after="120" w:line="360" w:lineRule="auto"/>
              <w:ind w:left="72"/>
              <w:outlineLvl w:val="0"/>
              <w:rPr>
                <w:rFonts w:ascii="Arial" w:hAnsi="Arial" w:cs="Arial"/>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textAlignment w:val="baseline"/>
              <w:outlineLvl w:val="0"/>
              <w:rPr>
                <w:rFonts w:ascii="Arial" w:hAnsi="Arial" w:cs="Arial"/>
                <w:sz w:val="24"/>
                <w:szCs w:val="20"/>
              </w:rPr>
            </w:pPr>
          </w:p>
        </w:tc>
        <w:tc>
          <w:tcPr>
            <w:tcW w:w="3352" w:type="dxa"/>
            <w:vAlign w:val="center"/>
          </w:tcPr>
          <w:p>
            <w:pPr>
              <w:spacing w:after="120" w:line="360" w:lineRule="auto"/>
              <w:ind w:left="72"/>
              <w:outlineLvl w:val="0"/>
              <w:rPr>
                <w:rFonts w:ascii="Arial" w:hAnsi="Arial" w:cs="Arial"/>
                <w:sz w:val="24"/>
                <w:szCs w:val="20"/>
              </w:rPr>
            </w:pPr>
          </w:p>
        </w:tc>
        <w:tc>
          <w:tcPr>
            <w:tcW w:w="2970" w:type="dxa"/>
            <w:tcBorders>
              <w:right w:val="single" w:color="auto" w:sz="4" w:space="0"/>
            </w:tcBorders>
            <w:vAlign w:val="center"/>
          </w:tcPr>
          <w:p>
            <w:pPr>
              <w:spacing w:after="120" w:line="360" w:lineRule="auto"/>
              <w:ind w:left="72"/>
              <w:outlineLvl w:val="0"/>
              <w:rPr>
                <w:rFonts w:ascii="Arial" w:hAnsi="Arial" w:cs="Arial"/>
                <w:sz w:val="24"/>
                <w:szCs w:val="20"/>
              </w:rPr>
            </w:pPr>
          </w:p>
        </w:tc>
        <w:tc>
          <w:tcPr>
            <w:tcW w:w="1904" w:type="dxa"/>
            <w:tcBorders>
              <w:left w:val="single" w:color="auto" w:sz="4" w:space="0"/>
            </w:tcBorders>
            <w:vAlign w:val="center"/>
          </w:tcPr>
          <w:p>
            <w:pPr>
              <w:spacing w:after="120" w:line="360" w:lineRule="auto"/>
              <w:ind w:left="72"/>
              <w:outlineLvl w:val="0"/>
              <w:rPr>
                <w:rFonts w:ascii="Arial" w:hAnsi="Arial" w:cs="Arial"/>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jc w:val="center"/>
              <w:textAlignment w:val="baseline"/>
              <w:outlineLvl w:val="0"/>
              <w:rPr>
                <w:rFonts w:ascii="Arial" w:hAnsi="Arial" w:cs="Arial"/>
                <w:sz w:val="24"/>
                <w:szCs w:val="20"/>
              </w:rPr>
            </w:pPr>
          </w:p>
        </w:tc>
        <w:tc>
          <w:tcPr>
            <w:tcW w:w="3352" w:type="dxa"/>
            <w:vAlign w:val="center"/>
          </w:tcPr>
          <w:p>
            <w:pPr>
              <w:spacing w:after="120" w:line="360" w:lineRule="auto"/>
              <w:ind w:left="72"/>
              <w:outlineLvl w:val="0"/>
              <w:rPr>
                <w:rFonts w:ascii="Arial" w:hAnsi="Arial" w:cs="Arial"/>
                <w:sz w:val="24"/>
                <w:szCs w:val="20"/>
              </w:rPr>
            </w:pPr>
          </w:p>
        </w:tc>
        <w:tc>
          <w:tcPr>
            <w:tcW w:w="2970" w:type="dxa"/>
            <w:tcBorders>
              <w:right w:val="single" w:color="auto" w:sz="4" w:space="0"/>
            </w:tcBorders>
            <w:vAlign w:val="center"/>
          </w:tcPr>
          <w:p>
            <w:pPr>
              <w:spacing w:after="120" w:line="360" w:lineRule="auto"/>
              <w:ind w:left="72"/>
              <w:outlineLvl w:val="0"/>
              <w:rPr>
                <w:rFonts w:ascii="Arial" w:hAnsi="Arial" w:cs="Arial"/>
                <w:sz w:val="24"/>
                <w:szCs w:val="20"/>
              </w:rPr>
            </w:pPr>
          </w:p>
        </w:tc>
        <w:tc>
          <w:tcPr>
            <w:tcW w:w="1904" w:type="dxa"/>
            <w:tcBorders>
              <w:left w:val="single" w:color="auto" w:sz="4" w:space="0"/>
            </w:tcBorders>
            <w:vAlign w:val="center"/>
          </w:tcPr>
          <w:p>
            <w:pPr>
              <w:spacing w:after="120" w:line="360" w:lineRule="auto"/>
              <w:ind w:left="72"/>
              <w:outlineLvl w:val="0"/>
              <w:rPr>
                <w:rFonts w:ascii="Arial" w:hAnsi="Arial" w:cs="Arial"/>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jc w:val="center"/>
              <w:textAlignment w:val="baseline"/>
              <w:outlineLvl w:val="0"/>
              <w:rPr>
                <w:rFonts w:ascii="Arial" w:hAnsi="Arial" w:cs="Arial"/>
                <w:sz w:val="24"/>
                <w:szCs w:val="20"/>
              </w:rPr>
            </w:pPr>
          </w:p>
        </w:tc>
        <w:tc>
          <w:tcPr>
            <w:tcW w:w="3352" w:type="dxa"/>
            <w:vAlign w:val="center"/>
          </w:tcPr>
          <w:p>
            <w:pPr>
              <w:spacing w:after="120" w:line="360" w:lineRule="auto"/>
              <w:ind w:left="72"/>
              <w:outlineLvl w:val="0"/>
              <w:rPr>
                <w:rFonts w:ascii="Arial" w:hAnsi="Arial" w:cs="Arial"/>
                <w:sz w:val="24"/>
                <w:szCs w:val="20"/>
              </w:rPr>
            </w:pPr>
          </w:p>
        </w:tc>
        <w:tc>
          <w:tcPr>
            <w:tcW w:w="2970" w:type="dxa"/>
            <w:tcBorders>
              <w:right w:val="single" w:color="auto" w:sz="4" w:space="0"/>
            </w:tcBorders>
            <w:vAlign w:val="center"/>
          </w:tcPr>
          <w:p>
            <w:pPr>
              <w:spacing w:after="120" w:line="360" w:lineRule="auto"/>
              <w:ind w:left="72"/>
              <w:outlineLvl w:val="0"/>
              <w:rPr>
                <w:rFonts w:ascii="Arial" w:hAnsi="Arial" w:cs="Arial"/>
                <w:sz w:val="24"/>
                <w:szCs w:val="20"/>
              </w:rPr>
            </w:pPr>
          </w:p>
        </w:tc>
        <w:tc>
          <w:tcPr>
            <w:tcW w:w="1904" w:type="dxa"/>
            <w:tcBorders>
              <w:left w:val="single" w:color="auto" w:sz="4" w:space="0"/>
            </w:tcBorders>
            <w:vAlign w:val="center"/>
          </w:tcPr>
          <w:p>
            <w:pPr>
              <w:spacing w:after="120" w:line="360" w:lineRule="auto"/>
              <w:ind w:left="72"/>
              <w:outlineLvl w:val="0"/>
              <w:rPr>
                <w:rFonts w:ascii="Arial" w:hAnsi="Arial" w:cs="Arial"/>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textAlignment w:val="baseline"/>
              <w:outlineLvl w:val="0"/>
              <w:rPr>
                <w:rFonts w:ascii="Arial" w:hAnsi="Arial" w:cs="Arial"/>
                <w:sz w:val="24"/>
                <w:szCs w:val="20"/>
              </w:rPr>
            </w:pPr>
          </w:p>
        </w:tc>
        <w:tc>
          <w:tcPr>
            <w:tcW w:w="3352" w:type="dxa"/>
            <w:vAlign w:val="center"/>
          </w:tcPr>
          <w:p>
            <w:pPr>
              <w:spacing w:after="120" w:line="360" w:lineRule="auto"/>
              <w:ind w:left="72"/>
              <w:outlineLvl w:val="0"/>
              <w:rPr>
                <w:rFonts w:ascii="Arial" w:hAnsi="Arial" w:cs="Arial"/>
                <w:sz w:val="24"/>
                <w:szCs w:val="20"/>
              </w:rPr>
            </w:pPr>
          </w:p>
        </w:tc>
        <w:tc>
          <w:tcPr>
            <w:tcW w:w="2970" w:type="dxa"/>
            <w:tcBorders>
              <w:right w:val="single" w:color="auto" w:sz="4" w:space="0"/>
            </w:tcBorders>
            <w:vAlign w:val="center"/>
          </w:tcPr>
          <w:p>
            <w:pPr>
              <w:spacing w:after="120" w:line="360" w:lineRule="auto"/>
              <w:ind w:left="72"/>
              <w:outlineLvl w:val="0"/>
              <w:rPr>
                <w:rFonts w:ascii="Arial" w:hAnsi="Arial" w:cs="Arial"/>
                <w:sz w:val="24"/>
                <w:szCs w:val="20"/>
              </w:rPr>
            </w:pPr>
          </w:p>
        </w:tc>
        <w:tc>
          <w:tcPr>
            <w:tcW w:w="1904" w:type="dxa"/>
            <w:tcBorders>
              <w:left w:val="single" w:color="auto" w:sz="4" w:space="0"/>
            </w:tcBorders>
            <w:vAlign w:val="center"/>
          </w:tcPr>
          <w:p>
            <w:pPr>
              <w:spacing w:after="120" w:line="360" w:lineRule="auto"/>
              <w:ind w:left="72"/>
              <w:outlineLvl w:val="0"/>
              <w:rPr>
                <w:rFonts w:ascii="Arial" w:hAnsi="Arial" w:cs="Arial"/>
                <w:sz w:val="24"/>
                <w:szCs w:val="20"/>
              </w:rPr>
            </w:pPr>
          </w:p>
        </w:tc>
      </w:tr>
    </w:tbl>
    <w:p>
      <w:pPr>
        <w:pStyle w:val="204"/>
        <w:spacing w:line="360" w:lineRule="auto"/>
        <w:ind w:left="1080" w:hanging="660"/>
        <w:outlineLvl w:val="0"/>
        <w:rPr>
          <w:rFonts w:ascii="宋体" w:hAnsi="宋体" w:cs="宋体"/>
          <w:sz w:val="24"/>
        </w:rPr>
      </w:pPr>
      <w:r>
        <w:rPr>
          <w:rFonts w:hint="eastAsia" w:ascii="宋体" w:hAnsi="宋体" w:cs="宋体"/>
          <w:sz w:val="24"/>
        </w:rPr>
        <w:t>注：1、报价应尽可能详细。</w:t>
      </w:r>
    </w:p>
    <w:p>
      <w:pPr>
        <w:pStyle w:val="204"/>
        <w:spacing w:line="360" w:lineRule="auto"/>
        <w:ind w:left="1080" w:hanging="660"/>
        <w:outlineLvl w:val="0"/>
        <w:rPr>
          <w:rFonts w:ascii="宋体" w:hAnsi="宋体" w:cs="宋体"/>
          <w:sz w:val="24"/>
        </w:rPr>
      </w:pPr>
      <w:r>
        <w:rPr>
          <w:rFonts w:hint="eastAsia" w:ascii="宋体" w:hAnsi="宋体" w:cs="宋体"/>
          <w:sz w:val="24"/>
        </w:rPr>
        <w:t>　　2、</w:t>
      </w:r>
      <w:r>
        <w:rPr>
          <w:rFonts w:hint="eastAsia" w:ascii="宋体" w:hAnsi="宋体" w:cs="宋体"/>
          <w:b/>
          <w:sz w:val="24"/>
        </w:rPr>
        <w:t>此报价不计入投标总价</w:t>
      </w:r>
      <w:r>
        <w:rPr>
          <w:rFonts w:hint="eastAsia" w:ascii="宋体" w:hAnsi="宋体" w:cs="宋体"/>
          <w:sz w:val="24"/>
        </w:rPr>
        <w:t>，在质量保证期后五年内不超过所承诺的价格。</w:t>
      </w:r>
    </w:p>
    <w:p>
      <w:pPr>
        <w:pStyle w:val="204"/>
        <w:spacing w:line="360" w:lineRule="auto"/>
        <w:ind w:left="210" w:leftChars="100" w:firstLine="720" w:firstLineChars="300"/>
        <w:outlineLvl w:val="0"/>
        <w:rPr>
          <w:rFonts w:ascii="宋体" w:hAnsi="宋体" w:cs="宋体"/>
          <w:sz w:val="24"/>
        </w:rPr>
      </w:pPr>
      <w:r>
        <w:rPr>
          <w:rFonts w:hint="eastAsia" w:ascii="宋体" w:hAnsi="宋体" w:cs="宋体"/>
          <w:sz w:val="24"/>
        </w:rPr>
        <w:t>3、质量保证期后的相同备品备件和特种工具规格型号、品牌、产地必须与质量保证期内的一致或不低于质量保证期内的参数、品牌及档次要求。</w:t>
      </w:r>
    </w:p>
    <w:p>
      <w:pPr>
        <w:pStyle w:val="9"/>
        <w:spacing w:line="360" w:lineRule="auto"/>
        <w:ind w:firstLine="480"/>
        <w:outlineLvl w:val="0"/>
        <w:rPr>
          <w:rFonts w:ascii="宋体" w:hAnsi="宋体" w:cs="宋体"/>
          <w:sz w:val="24"/>
        </w:rPr>
      </w:pPr>
      <w:r>
        <w:rPr>
          <w:rFonts w:hint="eastAsia" w:ascii="宋体" w:hAnsi="宋体" w:cs="宋体"/>
          <w:sz w:val="24"/>
        </w:rPr>
        <w:t>投标人代表签字或盖章：</w:t>
      </w:r>
    </w:p>
    <w:p>
      <w:pPr>
        <w:pStyle w:val="9"/>
        <w:spacing w:line="360" w:lineRule="auto"/>
        <w:ind w:firstLine="480"/>
        <w:outlineLvl w:val="0"/>
        <w:rPr>
          <w:rFonts w:ascii="宋体" w:hAnsi="宋体" w:cs="宋体"/>
          <w:sz w:val="24"/>
        </w:rPr>
      </w:pPr>
      <w:r>
        <w:rPr>
          <w:rFonts w:hint="eastAsia" w:ascii="宋体" w:hAnsi="宋体" w:cs="宋体"/>
          <w:sz w:val="24"/>
        </w:rPr>
        <w:t>投标人公章：</w:t>
      </w:r>
    </w:p>
    <w:p>
      <w:pPr>
        <w:widowControl/>
        <w:spacing w:line="360" w:lineRule="auto"/>
        <w:ind w:firstLine="2280" w:firstLineChars="950"/>
        <w:jc w:val="center"/>
        <w:outlineLvl w:val="0"/>
        <w:rPr>
          <w:rFonts w:ascii="宋体" w:hAnsi="宋体" w:cs="宋体"/>
          <w:sz w:val="24"/>
        </w:rPr>
      </w:pPr>
    </w:p>
    <w:p>
      <w:pPr>
        <w:widowControl/>
        <w:spacing w:line="360" w:lineRule="auto"/>
        <w:ind w:firstLine="2280" w:firstLineChars="950"/>
        <w:jc w:val="center"/>
        <w:rPr>
          <w:rFonts w:ascii="宋体" w:hAnsi="宋体" w:cs="宋体"/>
          <w:sz w:val="24"/>
        </w:rPr>
      </w:pPr>
      <w:r>
        <w:rPr>
          <w:rFonts w:hint="eastAsia" w:ascii="宋体" w:hAnsi="宋体" w:cs="宋体"/>
          <w:sz w:val="24"/>
        </w:rPr>
        <w:t>　　　　　　　　　　　　日期：年月日</w:t>
      </w:r>
    </w:p>
    <w:p>
      <w:pPr>
        <w:spacing w:line="360" w:lineRule="auto"/>
        <w:rPr>
          <w:rFonts w:ascii="宋体" w:hAnsi="宋体" w:cs="宋体"/>
        </w:rPr>
      </w:pPr>
      <w:r>
        <w:rPr>
          <w:rFonts w:hint="eastAsia" w:ascii="宋体" w:hAnsi="宋体" w:cs="宋体"/>
        </w:rPr>
        <w:br w:type="page"/>
      </w:r>
    </w:p>
    <w:p>
      <w:pPr>
        <w:pStyle w:val="103"/>
        <w:spacing w:line="360" w:lineRule="auto"/>
        <w:outlineLvl w:val="0"/>
        <w:rPr>
          <w:rFonts w:ascii="宋体" w:hAnsi="宋体" w:eastAsia="宋体" w:cs="宋体"/>
        </w:rPr>
      </w:pPr>
      <w:r>
        <w:rPr>
          <w:rFonts w:hint="eastAsia" w:ascii="宋体" w:hAnsi="宋体" w:eastAsia="宋体" w:cs="宋体"/>
        </w:rPr>
        <w:t>5、电梯主要部件报价表</w:t>
      </w:r>
    </w:p>
    <w:tbl>
      <w:tblPr>
        <w:tblStyle w:val="54"/>
        <w:tblW w:w="10237" w:type="dxa"/>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21"/>
        <w:gridCol w:w="1903"/>
        <w:gridCol w:w="1984"/>
        <w:gridCol w:w="2552"/>
        <w:gridCol w:w="29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807" w:hRule="atLeast"/>
          <w:tblHeader/>
        </w:trPr>
        <w:tc>
          <w:tcPr>
            <w:tcW w:w="821" w:type="dxa"/>
            <w:tcBorders>
              <w:top w:val="single" w:color="auto" w:sz="12" w:space="0"/>
              <w:bottom w:val="single" w:color="auto" w:sz="6" w:space="0"/>
            </w:tcBorders>
            <w:vAlign w:val="center"/>
          </w:tcPr>
          <w:p>
            <w:pPr>
              <w:widowControl/>
              <w:spacing w:line="360" w:lineRule="auto"/>
              <w:jc w:val="center"/>
              <w:outlineLvl w:val="0"/>
            </w:pPr>
            <w:r>
              <w:rPr>
                <w:rFonts w:hint="eastAsia"/>
              </w:rPr>
              <w:t>序号</w:t>
            </w:r>
          </w:p>
        </w:tc>
        <w:tc>
          <w:tcPr>
            <w:tcW w:w="1903" w:type="dxa"/>
            <w:tcBorders>
              <w:top w:val="single" w:color="auto" w:sz="12" w:space="0"/>
              <w:bottom w:val="single" w:color="auto" w:sz="6" w:space="0"/>
            </w:tcBorders>
            <w:vAlign w:val="center"/>
          </w:tcPr>
          <w:p>
            <w:pPr>
              <w:widowControl/>
              <w:spacing w:line="360" w:lineRule="auto"/>
              <w:jc w:val="center"/>
              <w:outlineLvl w:val="0"/>
            </w:pPr>
            <w:r>
              <w:rPr>
                <w:rFonts w:hint="eastAsia"/>
              </w:rPr>
              <w:t>部件名称</w:t>
            </w:r>
          </w:p>
        </w:tc>
        <w:tc>
          <w:tcPr>
            <w:tcW w:w="1984" w:type="dxa"/>
            <w:tcBorders>
              <w:top w:val="single" w:color="auto" w:sz="12" w:space="0"/>
            </w:tcBorders>
            <w:vAlign w:val="center"/>
          </w:tcPr>
          <w:p>
            <w:pPr>
              <w:widowControl/>
              <w:spacing w:line="360" w:lineRule="auto"/>
              <w:jc w:val="center"/>
              <w:outlineLvl w:val="0"/>
            </w:pPr>
            <w:r>
              <w:rPr>
                <w:rFonts w:hint="eastAsia"/>
              </w:rPr>
              <w:t>主要部件价格</w:t>
            </w:r>
          </w:p>
        </w:tc>
        <w:tc>
          <w:tcPr>
            <w:tcW w:w="2552" w:type="dxa"/>
            <w:tcBorders>
              <w:top w:val="single" w:color="auto" w:sz="12" w:space="0"/>
            </w:tcBorders>
            <w:vAlign w:val="center"/>
          </w:tcPr>
          <w:p>
            <w:pPr>
              <w:widowControl/>
              <w:spacing w:line="360" w:lineRule="auto"/>
              <w:jc w:val="center"/>
              <w:outlineLvl w:val="0"/>
            </w:pPr>
            <w:r>
              <w:t>规格</w:t>
            </w:r>
          </w:p>
        </w:tc>
        <w:tc>
          <w:tcPr>
            <w:tcW w:w="2977" w:type="dxa"/>
            <w:tcBorders>
              <w:top w:val="single" w:color="auto" w:sz="12" w:space="0"/>
            </w:tcBorders>
            <w:vAlign w:val="center"/>
          </w:tcPr>
          <w:p>
            <w:pPr>
              <w:widowControl/>
              <w:spacing w:line="360" w:lineRule="auto"/>
              <w:jc w:val="center"/>
              <w:outlineLvl w:val="0"/>
            </w:pPr>
            <w:r>
              <w:t>货源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tcBorders>
              <w:top w:val="double" w:color="auto" w:sz="6" w:space="0"/>
            </w:tcBorders>
            <w:vAlign w:val="center"/>
          </w:tcPr>
          <w:p>
            <w:pPr>
              <w:widowControl/>
              <w:spacing w:line="360" w:lineRule="auto"/>
              <w:jc w:val="center"/>
              <w:outlineLvl w:val="0"/>
            </w:pPr>
          </w:p>
        </w:tc>
        <w:tc>
          <w:tcPr>
            <w:tcW w:w="1903" w:type="dxa"/>
            <w:tcBorders>
              <w:top w:val="double" w:color="auto" w:sz="6" w:space="0"/>
            </w:tcBorders>
          </w:tcPr>
          <w:p>
            <w:pPr>
              <w:widowControl/>
              <w:spacing w:line="360" w:lineRule="auto"/>
              <w:jc w:val="center"/>
              <w:outlineLvl w:val="0"/>
            </w:pPr>
            <w:r>
              <w:t>主机</w:t>
            </w:r>
          </w:p>
        </w:tc>
        <w:tc>
          <w:tcPr>
            <w:tcW w:w="1984" w:type="dxa"/>
            <w:tcBorders>
              <w:top w:val="double" w:color="auto" w:sz="6" w:space="0"/>
            </w:tcBorders>
            <w:vAlign w:val="center"/>
          </w:tcPr>
          <w:p>
            <w:pPr>
              <w:widowControl/>
              <w:spacing w:line="360" w:lineRule="auto"/>
              <w:jc w:val="center"/>
              <w:outlineLvl w:val="0"/>
            </w:pPr>
          </w:p>
        </w:tc>
        <w:tc>
          <w:tcPr>
            <w:tcW w:w="2552" w:type="dxa"/>
            <w:tcBorders>
              <w:top w:val="double" w:color="auto" w:sz="6" w:space="0"/>
            </w:tcBorders>
            <w:vAlign w:val="center"/>
          </w:tcPr>
          <w:p>
            <w:pPr>
              <w:widowControl/>
              <w:spacing w:line="360" w:lineRule="auto"/>
              <w:jc w:val="center"/>
              <w:outlineLvl w:val="0"/>
            </w:pPr>
          </w:p>
        </w:tc>
        <w:tc>
          <w:tcPr>
            <w:tcW w:w="2977" w:type="dxa"/>
            <w:tcBorders>
              <w:top w:val="double" w:color="auto" w:sz="6" w:space="0"/>
            </w:tcBorders>
          </w:tcPr>
          <w:p>
            <w:pPr>
              <w:widowControl/>
              <w:spacing w:line="360" w:lineRule="auto"/>
              <w:jc w:val="center"/>
              <w:outlineLv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0"/>
            </w:pPr>
          </w:p>
        </w:tc>
        <w:tc>
          <w:tcPr>
            <w:tcW w:w="1903" w:type="dxa"/>
          </w:tcPr>
          <w:p>
            <w:pPr>
              <w:widowControl/>
              <w:spacing w:line="360" w:lineRule="auto"/>
              <w:jc w:val="center"/>
              <w:outlineLvl w:val="0"/>
            </w:pPr>
            <w:r>
              <w:t>控制柜</w:t>
            </w:r>
          </w:p>
        </w:tc>
        <w:tc>
          <w:tcPr>
            <w:tcW w:w="1984" w:type="dxa"/>
            <w:vAlign w:val="center"/>
          </w:tcPr>
          <w:p>
            <w:pPr>
              <w:widowControl/>
              <w:spacing w:line="360" w:lineRule="auto"/>
              <w:jc w:val="center"/>
              <w:outlineLvl w:val="0"/>
            </w:pPr>
          </w:p>
        </w:tc>
        <w:tc>
          <w:tcPr>
            <w:tcW w:w="2552" w:type="dxa"/>
            <w:vAlign w:val="center"/>
          </w:tcPr>
          <w:p>
            <w:pPr>
              <w:widowControl/>
              <w:spacing w:line="360" w:lineRule="auto"/>
              <w:jc w:val="center"/>
              <w:outlineLvl w:val="0"/>
            </w:pPr>
          </w:p>
        </w:tc>
        <w:tc>
          <w:tcPr>
            <w:tcW w:w="2977" w:type="dxa"/>
          </w:tcPr>
          <w:p>
            <w:pPr>
              <w:widowControl/>
              <w:spacing w:line="360" w:lineRule="auto"/>
              <w:jc w:val="center"/>
              <w:outlineLv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0"/>
            </w:pPr>
          </w:p>
        </w:tc>
        <w:tc>
          <w:tcPr>
            <w:tcW w:w="1903" w:type="dxa"/>
          </w:tcPr>
          <w:p>
            <w:pPr>
              <w:widowControl/>
              <w:spacing w:line="360" w:lineRule="auto"/>
              <w:jc w:val="center"/>
              <w:outlineLvl w:val="0"/>
            </w:pPr>
            <w:r>
              <w:t>变频器</w:t>
            </w:r>
          </w:p>
        </w:tc>
        <w:tc>
          <w:tcPr>
            <w:tcW w:w="1984" w:type="dxa"/>
            <w:vAlign w:val="center"/>
          </w:tcPr>
          <w:p>
            <w:pPr>
              <w:widowControl/>
              <w:spacing w:line="360" w:lineRule="auto"/>
              <w:jc w:val="center"/>
              <w:outlineLvl w:val="0"/>
            </w:pPr>
          </w:p>
        </w:tc>
        <w:tc>
          <w:tcPr>
            <w:tcW w:w="2552" w:type="dxa"/>
            <w:vAlign w:val="center"/>
          </w:tcPr>
          <w:p>
            <w:pPr>
              <w:widowControl/>
              <w:spacing w:line="360" w:lineRule="auto"/>
              <w:jc w:val="center"/>
              <w:outlineLvl w:val="0"/>
            </w:pPr>
          </w:p>
        </w:tc>
        <w:tc>
          <w:tcPr>
            <w:tcW w:w="2977" w:type="dxa"/>
          </w:tcPr>
          <w:p>
            <w:pPr>
              <w:widowControl/>
              <w:spacing w:line="360" w:lineRule="auto"/>
              <w:jc w:val="center"/>
              <w:outlineLv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0"/>
            </w:pPr>
          </w:p>
        </w:tc>
        <w:tc>
          <w:tcPr>
            <w:tcW w:w="1903" w:type="dxa"/>
          </w:tcPr>
          <w:p>
            <w:pPr>
              <w:widowControl/>
              <w:spacing w:line="360" w:lineRule="auto"/>
              <w:jc w:val="center"/>
              <w:outlineLvl w:val="0"/>
            </w:pPr>
            <w:r>
              <w:t>手动紧急救援</w:t>
            </w:r>
          </w:p>
        </w:tc>
        <w:tc>
          <w:tcPr>
            <w:tcW w:w="1984" w:type="dxa"/>
            <w:vAlign w:val="center"/>
          </w:tcPr>
          <w:p>
            <w:pPr>
              <w:widowControl/>
              <w:spacing w:line="360" w:lineRule="auto"/>
              <w:jc w:val="center"/>
              <w:outlineLvl w:val="0"/>
            </w:pPr>
          </w:p>
        </w:tc>
        <w:tc>
          <w:tcPr>
            <w:tcW w:w="2552" w:type="dxa"/>
            <w:vAlign w:val="center"/>
          </w:tcPr>
          <w:p>
            <w:pPr>
              <w:widowControl/>
              <w:spacing w:line="360" w:lineRule="auto"/>
              <w:jc w:val="center"/>
              <w:outlineLvl w:val="0"/>
            </w:pPr>
          </w:p>
        </w:tc>
        <w:tc>
          <w:tcPr>
            <w:tcW w:w="2977" w:type="dxa"/>
          </w:tcPr>
          <w:p>
            <w:pPr>
              <w:widowControl/>
              <w:spacing w:line="360" w:lineRule="auto"/>
              <w:jc w:val="center"/>
              <w:outlineLv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0"/>
            </w:pPr>
          </w:p>
        </w:tc>
        <w:tc>
          <w:tcPr>
            <w:tcW w:w="1903" w:type="dxa"/>
          </w:tcPr>
          <w:p>
            <w:pPr>
              <w:widowControl/>
              <w:spacing w:line="360" w:lineRule="auto"/>
              <w:jc w:val="center"/>
              <w:outlineLvl w:val="0"/>
            </w:pPr>
            <w:r>
              <w:t>轿厢操纵器</w:t>
            </w:r>
          </w:p>
        </w:tc>
        <w:tc>
          <w:tcPr>
            <w:tcW w:w="1984" w:type="dxa"/>
            <w:vAlign w:val="center"/>
          </w:tcPr>
          <w:p>
            <w:pPr>
              <w:widowControl/>
              <w:spacing w:line="360" w:lineRule="auto"/>
              <w:jc w:val="center"/>
              <w:outlineLvl w:val="0"/>
            </w:pPr>
          </w:p>
        </w:tc>
        <w:tc>
          <w:tcPr>
            <w:tcW w:w="2552" w:type="dxa"/>
            <w:vAlign w:val="center"/>
          </w:tcPr>
          <w:p>
            <w:pPr>
              <w:widowControl/>
              <w:spacing w:line="360" w:lineRule="auto"/>
              <w:jc w:val="center"/>
              <w:outlineLvl w:val="0"/>
            </w:pPr>
          </w:p>
        </w:tc>
        <w:tc>
          <w:tcPr>
            <w:tcW w:w="2977" w:type="dxa"/>
          </w:tcPr>
          <w:p>
            <w:pPr>
              <w:widowControl/>
              <w:spacing w:line="360" w:lineRule="auto"/>
              <w:jc w:val="center"/>
              <w:outlineLv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0"/>
            </w:pPr>
          </w:p>
        </w:tc>
        <w:tc>
          <w:tcPr>
            <w:tcW w:w="1903" w:type="dxa"/>
          </w:tcPr>
          <w:p>
            <w:pPr>
              <w:widowControl/>
              <w:spacing w:line="360" w:lineRule="auto"/>
              <w:jc w:val="center"/>
              <w:outlineLvl w:val="0"/>
            </w:pPr>
            <w:r>
              <w:t>门机</w:t>
            </w:r>
          </w:p>
        </w:tc>
        <w:tc>
          <w:tcPr>
            <w:tcW w:w="1984" w:type="dxa"/>
            <w:vAlign w:val="center"/>
          </w:tcPr>
          <w:p>
            <w:pPr>
              <w:widowControl/>
              <w:spacing w:line="360" w:lineRule="auto"/>
              <w:jc w:val="center"/>
              <w:outlineLvl w:val="0"/>
            </w:pPr>
          </w:p>
        </w:tc>
        <w:tc>
          <w:tcPr>
            <w:tcW w:w="2552" w:type="dxa"/>
            <w:vAlign w:val="center"/>
          </w:tcPr>
          <w:p>
            <w:pPr>
              <w:widowControl/>
              <w:spacing w:line="360" w:lineRule="auto"/>
              <w:jc w:val="center"/>
              <w:outlineLvl w:val="0"/>
            </w:pPr>
          </w:p>
        </w:tc>
        <w:tc>
          <w:tcPr>
            <w:tcW w:w="2977" w:type="dxa"/>
          </w:tcPr>
          <w:p>
            <w:pPr>
              <w:widowControl/>
              <w:spacing w:line="360" w:lineRule="auto"/>
              <w:jc w:val="center"/>
              <w:outlineLv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0"/>
            </w:pPr>
          </w:p>
        </w:tc>
        <w:tc>
          <w:tcPr>
            <w:tcW w:w="1903" w:type="dxa"/>
          </w:tcPr>
          <w:p>
            <w:pPr>
              <w:widowControl/>
              <w:spacing w:line="360" w:lineRule="auto"/>
              <w:jc w:val="center"/>
              <w:outlineLvl w:val="0"/>
            </w:pPr>
            <w:r>
              <w:t>门保护装置</w:t>
            </w:r>
          </w:p>
        </w:tc>
        <w:tc>
          <w:tcPr>
            <w:tcW w:w="1984" w:type="dxa"/>
            <w:vAlign w:val="center"/>
          </w:tcPr>
          <w:p>
            <w:pPr>
              <w:widowControl/>
              <w:spacing w:line="360" w:lineRule="auto"/>
              <w:jc w:val="center"/>
              <w:outlineLvl w:val="0"/>
            </w:pPr>
          </w:p>
        </w:tc>
        <w:tc>
          <w:tcPr>
            <w:tcW w:w="2552" w:type="dxa"/>
            <w:vAlign w:val="center"/>
          </w:tcPr>
          <w:p>
            <w:pPr>
              <w:widowControl/>
              <w:spacing w:line="360" w:lineRule="auto"/>
              <w:jc w:val="center"/>
              <w:outlineLvl w:val="0"/>
            </w:pPr>
          </w:p>
        </w:tc>
        <w:tc>
          <w:tcPr>
            <w:tcW w:w="2977" w:type="dxa"/>
          </w:tcPr>
          <w:p>
            <w:pPr>
              <w:widowControl/>
              <w:spacing w:line="360" w:lineRule="auto"/>
              <w:jc w:val="center"/>
              <w:outlineLv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0"/>
            </w:pPr>
          </w:p>
        </w:tc>
        <w:tc>
          <w:tcPr>
            <w:tcW w:w="1903" w:type="dxa"/>
          </w:tcPr>
          <w:p>
            <w:pPr>
              <w:widowControl/>
              <w:spacing w:line="360" w:lineRule="auto"/>
              <w:jc w:val="center"/>
              <w:outlineLvl w:val="0"/>
            </w:pPr>
            <w:r>
              <w:t>安全钳</w:t>
            </w:r>
          </w:p>
        </w:tc>
        <w:tc>
          <w:tcPr>
            <w:tcW w:w="1984" w:type="dxa"/>
            <w:vAlign w:val="center"/>
          </w:tcPr>
          <w:p>
            <w:pPr>
              <w:widowControl/>
              <w:spacing w:line="360" w:lineRule="auto"/>
              <w:jc w:val="center"/>
              <w:outlineLvl w:val="0"/>
            </w:pPr>
          </w:p>
        </w:tc>
        <w:tc>
          <w:tcPr>
            <w:tcW w:w="2552" w:type="dxa"/>
            <w:vAlign w:val="center"/>
          </w:tcPr>
          <w:p>
            <w:pPr>
              <w:widowControl/>
              <w:spacing w:line="360" w:lineRule="auto"/>
              <w:jc w:val="center"/>
              <w:outlineLvl w:val="0"/>
            </w:pPr>
          </w:p>
        </w:tc>
        <w:tc>
          <w:tcPr>
            <w:tcW w:w="2977" w:type="dxa"/>
          </w:tcPr>
          <w:p>
            <w:pPr>
              <w:widowControl/>
              <w:spacing w:line="360" w:lineRule="auto"/>
              <w:jc w:val="center"/>
              <w:outlineLv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0"/>
            </w:pPr>
          </w:p>
        </w:tc>
        <w:tc>
          <w:tcPr>
            <w:tcW w:w="1903" w:type="dxa"/>
          </w:tcPr>
          <w:p>
            <w:pPr>
              <w:widowControl/>
              <w:spacing w:line="360" w:lineRule="auto"/>
              <w:jc w:val="center"/>
              <w:outlineLvl w:val="0"/>
            </w:pPr>
            <w:r>
              <w:t>限速器</w:t>
            </w:r>
          </w:p>
        </w:tc>
        <w:tc>
          <w:tcPr>
            <w:tcW w:w="1984" w:type="dxa"/>
            <w:vAlign w:val="center"/>
          </w:tcPr>
          <w:p>
            <w:pPr>
              <w:widowControl/>
              <w:spacing w:line="360" w:lineRule="auto"/>
              <w:jc w:val="center"/>
              <w:outlineLvl w:val="0"/>
            </w:pPr>
          </w:p>
        </w:tc>
        <w:tc>
          <w:tcPr>
            <w:tcW w:w="2552" w:type="dxa"/>
            <w:vAlign w:val="center"/>
          </w:tcPr>
          <w:p>
            <w:pPr>
              <w:widowControl/>
              <w:spacing w:line="360" w:lineRule="auto"/>
              <w:jc w:val="center"/>
              <w:outlineLvl w:val="0"/>
            </w:pPr>
          </w:p>
        </w:tc>
        <w:tc>
          <w:tcPr>
            <w:tcW w:w="2977" w:type="dxa"/>
          </w:tcPr>
          <w:p>
            <w:pPr>
              <w:widowControl/>
              <w:spacing w:line="360" w:lineRule="auto"/>
              <w:jc w:val="center"/>
              <w:outlineLv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0"/>
            </w:pPr>
          </w:p>
        </w:tc>
        <w:tc>
          <w:tcPr>
            <w:tcW w:w="1903" w:type="dxa"/>
          </w:tcPr>
          <w:p>
            <w:pPr>
              <w:widowControl/>
              <w:spacing w:line="360" w:lineRule="auto"/>
              <w:jc w:val="center"/>
              <w:outlineLvl w:val="0"/>
            </w:pPr>
            <w:r>
              <w:t>缓冲器</w:t>
            </w:r>
          </w:p>
        </w:tc>
        <w:tc>
          <w:tcPr>
            <w:tcW w:w="1984" w:type="dxa"/>
            <w:vAlign w:val="center"/>
          </w:tcPr>
          <w:p>
            <w:pPr>
              <w:widowControl/>
              <w:spacing w:line="360" w:lineRule="auto"/>
              <w:jc w:val="center"/>
              <w:outlineLvl w:val="0"/>
            </w:pPr>
          </w:p>
        </w:tc>
        <w:tc>
          <w:tcPr>
            <w:tcW w:w="2552" w:type="dxa"/>
            <w:vAlign w:val="center"/>
          </w:tcPr>
          <w:p>
            <w:pPr>
              <w:widowControl/>
              <w:spacing w:line="360" w:lineRule="auto"/>
              <w:jc w:val="center"/>
              <w:outlineLvl w:val="0"/>
            </w:pPr>
          </w:p>
        </w:tc>
        <w:tc>
          <w:tcPr>
            <w:tcW w:w="2977" w:type="dxa"/>
          </w:tcPr>
          <w:p>
            <w:pPr>
              <w:widowControl/>
              <w:spacing w:line="360" w:lineRule="auto"/>
              <w:jc w:val="center"/>
              <w:outlineLv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0"/>
            </w:pPr>
          </w:p>
        </w:tc>
        <w:tc>
          <w:tcPr>
            <w:tcW w:w="1903" w:type="dxa"/>
          </w:tcPr>
          <w:p>
            <w:pPr>
              <w:widowControl/>
              <w:spacing w:line="360" w:lineRule="auto"/>
              <w:jc w:val="center"/>
              <w:outlineLvl w:val="0"/>
            </w:pPr>
            <w:r>
              <w:t>称重装置</w:t>
            </w:r>
          </w:p>
        </w:tc>
        <w:tc>
          <w:tcPr>
            <w:tcW w:w="1984" w:type="dxa"/>
            <w:vAlign w:val="center"/>
          </w:tcPr>
          <w:p>
            <w:pPr>
              <w:widowControl/>
              <w:spacing w:line="360" w:lineRule="auto"/>
              <w:jc w:val="center"/>
              <w:outlineLvl w:val="0"/>
            </w:pPr>
          </w:p>
        </w:tc>
        <w:tc>
          <w:tcPr>
            <w:tcW w:w="2552" w:type="dxa"/>
            <w:vAlign w:val="center"/>
          </w:tcPr>
          <w:p>
            <w:pPr>
              <w:widowControl/>
              <w:spacing w:line="360" w:lineRule="auto"/>
              <w:jc w:val="center"/>
              <w:outlineLvl w:val="0"/>
            </w:pPr>
          </w:p>
        </w:tc>
        <w:tc>
          <w:tcPr>
            <w:tcW w:w="2977" w:type="dxa"/>
          </w:tcPr>
          <w:p>
            <w:pPr>
              <w:widowControl/>
              <w:spacing w:line="360" w:lineRule="auto"/>
              <w:jc w:val="center"/>
              <w:outlineLv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0"/>
            </w:pPr>
          </w:p>
        </w:tc>
        <w:tc>
          <w:tcPr>
            <w:tcW w:w="1903" w:type="dxa"/>
          </w:tcPr>
          <w:p>
            <w:pPr>
              <w:widowControl/>
              <w:spacing w:line="360" w:lineRule="auto"/>
              <w:jc w:val="center"/>
              <w:outlineLvl w:val="0"/>
            </w:pPr>
            <w:r>
              <w:t>厅门</w:t>
            </w:r>
          </w:p>
        </w:tc>
        <w:tc>
          <w:tcPr>
            <w:tcW w:w="1984" w:type="dxa"/>
            <w:vAlign w:val="center"/>
          </w:tcPr>
          <w:p>
            <w:pPr>
              <w:widowControl/>
              <w:spacing w:line="360" w:lineRule="auto"/>
              <w:jc w:val="center"/>
              <w:outlineLvl w:val="0"/>
            </w:pPr>
          </w:p>
        </w:tc>
        <w:tc>
          <w:tcPr>
            <w:tcW w:w="2552" w:type="dxa"/>
            <w:vAlign w:val="center"/>
          </w:tcPr>
          <w:p>
            <w:pPr>
              <w:widowControl/>
              <w:spacing w:line="360" w:lineRule="auto"/>
              <w:jc w:val="center"/>
              <w:outlineLvl w:val="0"/>
            </w:pPr>
          </w:p>
        </w:tc>
        <w:tc>
          <w:tcPr>
            <w:tcW w:w="2977" w:type="dxa"/>
          </w:tcPr>
          <w:p>
            <w:pPr>
              <w:widowControl/>
              <w:spacing w:line="360" w:lineRule="auto"/>
              <w:jc w:val="center"/>
              <w:outlineLv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0"/>
            </w:pPr>
          </w:p>
        </w:tc>
        <w:tc>
          <w:tcPr>
            <w:tcW w:w="1903" w:type="dxa"/>
          </w:tcPr>
          <w:p>
            <w:pPr>
              <w:widowControl/>
              <w:spacing w:line="360" w:lineRule="auto"/>
              <w:jc w:val="center"/>
              <w:outlineLvl w:val="0"/>
            </w:pPr>
            <w:r>
              <w:t>轿架</w:t>
            </w:r>
          </w:p>
        </w:tc>
        <w:tc>
          <w:tcPr>
            <w:tcW w:w="1984" w:type="dxa"/>
            <w:vAlign w:val="center"/>
          </w:tcPr>
          <w:p>
            <w:pPr>
              <w:widowControl/>
              <w:spacing w:line="360" w:lineRule="auto"/>
              <w:jc w:val="center"/>
              <w:outlineLvl w:val="0"/>
            </w:pPr>
          </w:p>
        </w:tc>
        <w:tc>
          <w:tcPr>
            <w:tcW w:w="2552" w:type="dxa"/>
            <w:vAlign w:val="center"/>
          </w:tcPr>
          <w:p>
            <w:pPr>
              <w:widowControl/>
              <w:spacing w:line="360" w:lineRule="auto"/>
              <w:jc w:val="center"/>
              <w:outlineLvl w:val="0"/>
            </w:pPr>
          </w:p>
        </w:tc>
        <w:tc>
          <w:tcPr>
            <w:tcW w:w="2977" w:type="dxa"/>
          </w:tcPr>
          <w:p>
            <w:pPr>
              <w:widowControl/>
              <w:spacing w:line="360" w:lineRule="auto"/>
              <w:jc w:val="center"/>
              <w:outlineLv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0"/>
            </w:pPr>
          </w:p>
        </w:tc>
        <w:tc>
          <w:tcPr>
            <w:tcW w:w="1903" w:type="dxa"/>
          </w:tcPr>
          <w:p>
            <w:pPr>
              <w:widowControl/>
              <w:spacing w:line="360" w:lineRule="auto"/>
              <w:jc w:val="center"/>
              <w:outlineLvl w:val="0"/>
            </w:pPr>
            <w:r>
              <w:t>轿厢围壁</w:t>
            </w:r>
          </w:p>
        </w:tc>
        <w:tc>
          <w:tcPr>
            <w:tcW w:w="1984" w:type="dxa"/>
            <w:vAlign w:val="center"/>
          </w:tcPr>
          <w:p>
            <w:pPr>
              <w:widowControl/>
              <w:spacing w:line="360" w:lineRule="auto"/>
              <w:jc w:val="center"/>
              <w:outlineLvl w:val="0"/>
            </w:pPr>
          </w:p>
        </w:tc>
        <w:tc>
          <w:tcPr>
            <w:tcW w:w="2552" w:type="dxa"/>
            <w:vAlign w:val="center"/>
          </w:tcPr>
          <w:p>
            <w:pPr>
              <w:widowControl/>
              <w:spacing w:line="360" w:lineRule="auto"/>
              <w:jc w:val="center"/>
              <w:outlineLvl w:val="0"/>
            </w:pPr>
          </w:p>
        </w:tc>
        <w:tc>
          <w:tcPr>
            <w:tcW w:w="2977" w:type="dxa"/>
          </w:tcPr>
          <w:p>
            <w:pPr>
              <w:widowControl/>
              <w:spacing w:line="360" w:lineRule="auto"/>
              <w:jc w:val="center"/>
              <w:outlineLv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0"/>
            </w:pPr>
          </w:p>
        </w:tc>
        <w:tc>
          <w:tcPr>
            <w:tcW w:w="1903" w:type="dxa"/>
          </w:tcPr>
          <w:p>
            <w:pPr>
              <w:widowControl/>
              <w:spacing w:line="360" w:lineRule="auto"/>
              <w:jc w:val="center"/>
              <w:outlineLvl w:val="0"/>
            </w:pPr>
            <w:r>
              <w:t>随行电缆</w:t>
            </w:r>
          </w:p>
        </w:tc>
        <w:tc>
          <w:tcPr>
            <w:tcW w:w="1984" w:type="dxa"/>
            <w:vAlign w:val="center"/>
          </w:tcPr>
          <w:p>
            <w:pPr>
              <w:widowControl/>
              <w:spacing w:line="360" w:lineRule="auto"/>
              <w:jc w:val="center"/>
              <w:outlineLvl w:val="0"/>
            </w:pPr>
          </w:p>
        </w:tc>
        <w:tc>
          <w:tcPr>
            <w:tcW w:w="2552" w:type="dxa"/>
            <w:vAlign w:val="center"/>
          </w:tcPr>
          <w:p>
            <w:pPr>
              <w:widowControl/>
              <w:spacing w:line="360" w:lineRule="auto"/>
              <w:jc w:val="center"/>
              <w:outlineLvl w:val="0"/>
            </w:pPr>
          </w:p>
        </w:tc>
        <w:tc>
          <w:tcPr>
            <w:tcW w:w="2977" w:type="dxa"/>
          </w:tcPr>
          <w:p>
            <w:pPr>
              <w:widowControl/>
              <w:spacing w:line="360" w:lineRule="auto"/>
              <w:jc w:val="center"/>
              <w:outlineLv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0"/>
            </w:pPr>
          </w:p>
        </w:tc>
        <w:tc>
          <w:tcPr>
            <w:tcW w:w="1903" w:type="dxa"/>
          </w:tcPr>
          <w:p>
            <w:pPr>
              <w:widowControl/>
              <w:spacing w:line="360" w:lineRule="auto"/>
              <w:jc w:val="center"/>
              <w:outlineLvl w:val="0"/>
            </w:pPr>
            <w:r>
              <w:t>厅呼</w:t>
            </w:r>
          </w:p>
        </w:tc>
        <w:tc>
          <w:tcPr>
            <w:tcW w:w="1984" w:type="dxa"/>
            <w:vAlign w:val="center"/>
          </w:tcPr>
          <w:p>
            <w:pPr>
              <w:widowControl/>
              <w:spacing w:line="360" w:lineRule="auto"/>
              <w:jc w:val="center"/>
              <w:outlineLvl w:val="0"/>
            </w:pPr>
          </w:p>
        </w:tc>
        <w:tc>
          <w:tcPr>
            <w:tcW w:w="2552" w:type="dxa"/>
            <w:vAlign w:val="center"/>
          </w:tcPr>
          <w:p>
            <w:pPr>
              <w:widowControl/>
              <w:spacing w:line="360" w:lineRule="auto"/>
              <w:jc w:val="center"/>
              <w:outlineLvl w:val="0"/>
            </w:pPr>
          </w:p>
        </w:tc>
        <w:tc>
          <w:tcPr>
            <w:tcW w:w="2977" w:type="dxa"/>
          </w:tcPr>
          <w:p>
            <w:pPr>
              <w:widowControl/>
              <w:spacing w:line="360" w:lineRule="auto"/>
              <w:jc w:val="center"/>
              <w:outlineLv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0"/>
            </w:pPr>
          </w:p>
        </w:tc>
        <w:tc>
          <w:tcPr>
            <w:tcW w:w="1903" w:type="dxa"/>
          </w:tcPr>
          <w:p>
            <w:pPr>
              <w:widowControl/>
              <w:spacing w:line="360" w:lineRule="auto"/>
              <w:jc w:val="center"/>
              <w:outlineLvl w:val="0"/>
            </w:pPr>
            <w:r>
              <w:t>操纵盘</w:t>
            </w:r>
          </w:p>
        </w:tc>
        <w:tc>
          <w:tcPr>
            <w:tcW w:w="1984" w:type="dxa"/>
            <w:vAlign w:val="center"/>
          </w:tcPr>
          <w:p>
            <w:pPr>
              <w:widowControl/>
              <w:spacing w:line="360" w:lineRule="auto"/>
              <w:jc w:val="center"/>
              <w:outlineLvl w:val="0"/>
            </w:pPr>
          </w:p>
        </w:tc>
        <w:tc>
          <w:tcPr>
            <w:tcW w:w="2552" w:type="dxa"/>
            <w:vAlign w:val="center"/>
          </w:tcPr>
          <w:p>
            <w:pPr>
              <w:widowControl/>
              <w:spacing w:line="360" w:lineRule="auto"/>
              <w:jc w:val="center"/>
              <w:outlineLvl w:val="0"/>
            </w:pPr>
          </w:p>
        </w:tc>
        <w:tc>
          <w:tcPr>
            <w:tcW w:w="2977" w:type="dxa"/>
          </w:tcPr>
          <w:p>
            <w:pPr>
              <w:widowControl/>
              <w:spacing w:line="360" w:lineRule="auto"/>
              <w:jc w:val="center"/>
              <w:outlineLv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0"/>
            </w:pPr>
          </w:p>
        </w:tc>
        <w:tc>
          <w:tcPr>
            <w:tcW w:w="1903" w:type="dxa"/>
          </w:tcPr>
          <w:p>
            <w:pPr>
              <w:widowControl/>
              <w:spacing w:line="360" w:lineRule="auto"/>
              <w:jc w:val="center"/>
              <w:outlineLvl w:val="0"/>
            </w:pPr>
            <w:r>
              <w:t>导轨</w:t>
            </w:r>
          </w:p>
        </w:tc>
        <w:tc>
          <w:tcPr>
            <w:tcW w:w="1984" w:type="dxa"/>
            <w:vAlign w:val="center"/>
          </w:tcPr>
          <w:p>
            <w:pPr>
              <w:widowControl/>
              <w:spacing w:line="360" w:lineRule="auto"/>
              <w:jc w:val="center"/>
              <w:outlineLvl w:val="0"/>
            </w:pPr>
          </w:p>
        </w:tc>
        <w:tc>
          <w:tcPr>
            <w:tcW w:w="2552" w:type="dxa"/>
            <w:vAlign w:val="center"/>
          </w:tcPr>
          <w:p>
            <w:pPr>
              <w:widowControl/>
              <w:spacing w:line="360" w:lineRule="auto"/>
              <w:jc w:val="center"/>
              <w:outlineLvl w:val="0"/>
            </w:pPr>
          </w:p>
        </w:tc>
        <w:tc>
          <w:tcPr>
            <w:tcW w:w="2977" w:type="dxa"/>
          </w:tcPr>
          <w:p>
            <w:pPr>
              <w:widowControl/>
              <w:spacing w:line="360" w:lineRule="auto"/>
              <w:jc w:val="center"/>
              <w:outlineLv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0"/>
            </w:pPr>
          </w:p>
        </w:tc>
        <w:tc>
          <w:tcPr>
            <w:tcW w:w="1903" w:type="dxa"/>
          </w:tcPr>
          <w:p>
            <w:pPr>
              <w:widowControl/>
              <w:spacing w:line="360" w:lineRule="auto"/>
              <w:jc w:val="center"/>
              <w:outlineLvl w:val="0"/>
            </w:pPr>
            <w:r>
              <w:t>补偿链</w:t>
            </w:r>
          </w:p>
        </w:tc>
        <w:tc>
          <w:tcPr>
            <w:tcW w:w="1984" w:type="dxa"/>
            <w:vAlign w:val="center"/>
          </w:tcPr>
          <w:p>
            <w:pPr>
              <w:widowControl/>
              <w:spacing w:line="360" w:lineRule="auto"/>
              <w:jc w:val="center"/>
              <w:outlineLvl w:val="0"/>
            </w:pPr>
          </w:p>
        </w:tc>
        <w:tc>
          <w:tcPr>
            <w:tcW w:w="2552" w:type="dxa"/>
            <w:vAlign w:val="center"/>
          </w:tcPr>
          <w:p>
            <w:pPr>
              <w:widowControl/>
              <w:spacing w:line="360" w:lineRule="auto"/>
              <w:jc w:val="center"/>
              <w:outlineLvl w:val="0"/>
            </w:pPr>
          </w:p>
        </w:tc>
        <w:tc>
          <w:tcPr>
            <w:tcW w:w="2977" w:type="dxa"/>
          </w:tcPr>
          <w:p>
            <w:pPr>
              <w:widowControl/>
              <w:spacing w:line="360" w:lineRule="auto"/>
              <w:jc w:val="center"/>
              <w:outlineLv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0"/>
            </w:pPr>
          </w:p>
        </w:tc>
        <w:tc>
          <w:tcPr>
            <w:tcW w:w="1903" w:type="dxa"/>
          </w:tcPr>
          <w:p>
            <w:pPr>
              <w:widowControl/>
              <w:spacing w:line="360" w:lineRule="auto"/>
              <w:jc w:val="center"/>
              <w:outlineLvl w:val="0"/>
            </w:pPr>
            <w:r>
              <w:t>钢丝绳或钢带</w:t>
            </w:r>
          </w:p>
        </w:tc>
        <w:tc>
          <w:tcPr>
            <w:tcW w:w="1984" w:type="dxa"/>
            <w:vAlign w:val="center"/>
          </w:tcPr>
          <w:p>
            <w:pPr>
              <w:widowControl/>
              <w:spacing w:line="360" w:lineRule="auto"/>
              <w:jc w:val="center"/>
              <w:outlineLvl w:val="0"/>
            </w:pPr>
          </w:p>
        </w:tc>
        <w:tc>
          <w:tcPr>
            <w:tcW w:w="2552" w:type="dxa"/>
            <w:vAlign w:val="center"/>
          </w:tcPr>
          <w:p>
            <w:pPr>
              <w:widowControl/>
              <w:spacing w:line="360" w:lineRule="auto"/>
              <w:jc w:val="center"/>
              <w:outlineLvl w:val="0"/>
            </w:pPr>
          </w:p>
        </w:tc>
        <w:tc>
          <w:tcPr>
            <w:tcW w:w="2977" w:type="dxa"/>
          </w:tcPr>
          <w:p>
            <w:pPr>
              <w:widowControl/>
              <w:spacing w:line="360" w:lineRule="auto"/>
              <w:jc w:val="center"/>
              <w:outlineLv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0"/>
            </w:pPr>
          </w:p>
        </w:tc>
        <w:tc>
          <w:tcPr>
            <w:tcW w:w="1903" w:type="dxa"/>
          </w:tcPr>
          <w:p>
            <w:pPr>
              <w:widowControl/>
              <w:spacing w:line="360" w:lineRule="auto"/>
              <w:jc w:val="center"/>
              <w:outlineLvl w:val="0"/>
            </w:pPr>
            <w:r>
              <w:t>导靴</w:t>
            </w:r>
          </w:p>
        </w:tc>
        <w:tc>
          <w:tcPr>
            <w:tcW w:w="1984" w:type="dxa"/>
            <w:vAlign w:val="center"/>
          </w:tcPr>
          <w:p>
            <w:pPr>
              <w:widowControl/>
              <w:spacing w:line="360" w:lineRule="auto"/>
              <w:jc w:val="center"/>
              <w:outlineLvl w:val="0"/>
            </w:pPr>
          </w:p>
        </w:tc>
        <w:tc>
          <w:tcPr>
            <w:tcW w:w="2552" w:type="dxa"/>
            <w:vAlign w:val="center"/>
          </w:tcPr>
          <w:p>
            <w:pPr>
              <w:widowControl/>
              <w:spacing w:line="360" w:lineRule="auto"/>
              <w:jc w:val="center"/>
              <w:outlineLvl w:val="0"/>
            </w:pPr>
          </w:p>
        </w:tc>
        <w:tc>
          <w:tcPr>
            <w:tcW w:w="2977" w:type="dxa"/>
          </w:tcPr>
          <w:p>
            <w:pPr>
              <w:widowControl/>
              <w:spacing w:line="360" w:lineRule="auto"/>
              <w:jc w:val="center"/>
              <w:outlineLv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0"/>
            </w:pPr>
          </w:p>
        </w:tc>
        <w:tc>
          <w:tcPr>
            <w:tcW w:w="1903" w:type="dxa"/>
          </w:tcPr>
          <w:p>
            <w:pPr>
              <w:widowControl/>
              <w:spacing w:line="360" w:lineRule="auto"/>
              <w:jc w:val="center"/>
              <w:outlineLvl w:val="0"/>
            </w:pPr>
            <w:r>
              <w:t>电梯视频随行电缆</w:t>
            </w:r>
          </w:p>
        </w:tc>
        <w:tc>
          <w:tcPr>
            <w:tcW w:w="1984" w:type="dxa"/>
            <w:vAlign w:val="center"/>
          </w:tcPr>
          <w:p>
            <w:pPr>
              <w:widowControl/>
              <w:spacing w:line="360" w:lineRule="auto"/>
              <w:jc w:val="center"/>
              <w:outlineLvl w:val="0"/>
            </w:pPr>
          </w:p>
        </w:tc>
        <w:tc>
          <w:tcPr>
            <w:tcW w:w="2552" w:type="dxa"/>
            <w:vAlign w:val="center"/>
          </w:tcPr>
          <w:p>
            <w:pPr>
              <w:widowControl/>
              <w:spacing w:line="360" w:lineRule="auto"/>
              <w:jc w:val="center"/>
              <w:outlineLvl w:val="0"/>
            </w:pPr>
          </w:p>
        </w:tc>
        <w:tc>
          <w:tcPr>
            <w:tcW w:w="2977" w:type="dxa"/>
          </w:tcPr>
          <w:p>
            <w:pPr>
              <w:widowControl/>
              <w:spacing w:line="360" w:lineRule="auto"/>
              <w:jc w:val="center"/>
              <w:outlineLv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0"/>
            </w:pPr>
          </w:p>
        </w:tc>
        <w:tc>
          <w:tcPr>
            <w:tcW w:w="1903" w:type="dxa"/>
          </w:tcPr>
          <w:p>
            <w:pPr>
              <w:widowControl/>
              <w:spacing w:line="360" w:lineRule="auto"/>
              <w:jc w:val="center"/>
              <w:outlineLvl w:val="0"/>
            </w:pPr>
            <w:r>
              <w:t>机房电箱至电梯开关</w:t>
            </w:r>
          </w:p>
          <w:p>
            <w:pPr>
              <w:widowControl/>
              <w:spacing w:line="360" w:lineRule="auto"/>
              <w:jc w:val="center"/>
              <w:outlineLvl w:val="0"/>
            </w:pPr>
            <w:r>
              <w:t>箱电缆</w:t>
            </w:r>
          </w:p>
        </w:tc>
        <w:tc>
          <w:tcPr>
            <w:tcW w:w="1984" w:type="dxa"/>
            <w:vAlign w:val="center"/>
          </w:tcPr>
          <w:p>
            <w:pPr>
              <w:widowControl/>
              <w:spacing w:line="360" w:lineRule="auto"/>
              <w:jc w:val="center"/>
              <w:outlineLvl w:val="0"/>
            </w:pPr>
          </w:p>
        </w:tc>
        <w:tc>
          <w:tcPr>
            <w:tcW w:w="2552" w:type="dxa"/>
            <w:vAlign w:val="center"/>
          </w:tcPr>
          <w:p>
            <w:pPr>
              <w:widowControl/>
              <w:spacing w:line="360" w:lineRule="auto"/>
              <w:jc w:val="center"/>
              <w:outlineLvl w:val="0"/>
            </w:pPr>
          </w:p>
        </w:tc>
        <w:tc>
          <w:tcPr>
            <w:tcW w:w="2977" w:type="dxa"/>
          </w:tcPr>
          <w:p>
            <w:pPr>
              <w:widowControl/>
              <w:spacing w:line="360" w:lineRule="auto"/>
              <w:jc w:val="center"/>
              <w:outlineLv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adjustRightInd w:val="0"/>
              <w:spacing w:after="60" w:line="360" w:lineRule="auto"/>
              <w:ind w:left="423"/>
              <w:textAlignment w:val="baseline"/>
              <w:outlineLvl w:val="0"/>
              <w:rPr>
                <w:sz w:val="28"/>
                <w:szCs w:val="28"/>
              </w:rPr>
            </w:pPr>
          </w:p>
        </w:tc>
        <w:tc>
          <w:tcPr>
            <w:tcW w:w="1903" w:type="dxa"/>
          </w:tcPr>
          <w:p>
            <w:pPr>
              <w:spacing w:line="360" w:lineRule="auto"/>
              <w:ind w:left="154" w:right="147"/>
              <w:jc w:val="center"/>
              <w:rPr>
                <w:sz w:val="28"/>
                <w:szCs w:val="28"/>
              </w:rPr>
            </w:pPr>
            <w:r>
              <w:rPr>
                <w:sz w:val="28"/>
                <w:szCs w:val="28"/>
              </w:rPr>
              <w:t>......</w:t>
            </w:r>
          </w:p>
        </w:tc>
        <w:tc>
          <w:tcPr>
            <w:tcW w:w="1984" w:type="dxa"/>
            <w:vAlign w:val="center"/>
          </w:tcPr>
          <w:p>
            <w:pPr>
              <w:spacing w:after="120" w:line="360" w:lineRule="auto"/>
              <w:ind w:left="72"/>
              <w:outlineLvl w:val="0"/>
              <w:rPr>
                <w:sz w:val="28"/>
                <w:szCs w:val="28"/>
              </w:rPr>
            </w:pPr>
          </w:p>
        </w:tc>
        <w:tc>
          <w:tcPr>
            <w:tcW w:w="2552" w:type="dxa"/>
            <w:vAlign w:val="center"/>
          </w:tcPr>
          <w:p>
            <w:pPr>
              <w:spacing w:after="120" w:line="360" w:lineRule="auto"/>
              <w:ind w:left="72"/>
              <w:outlineLvl w:val="0"/>
              <w:rPr>
                <w:sz w:val="28"/>
                <w:szCs w:val="28"/>
              </w:rPr>
            </w:pPr>
          </w:p>
        </w:tc>
        <w:tc>
          <w:tcPr>
            <w:tcW w:w="2977" w:type="dxa"/>
          </w:tcPr>
          <w:p>
            <w:pPr>
              <w:spacing w:after="120" w:line="360" w:lineRule="auto"/>
              <w:ind w:left="72"/>
              <w:outlineLvl w:val="0"/>
              <w:rPr>
                <w:sz w:val="28"/>
                <w:szCs w:val="28"/>
              </w:rPr>
            </w:pPr>
          </w:p>
        </w:tc>
      </w:tr>
    </w:tbl>
    <w:p>
      <w:pPr>
        <w:pStyle w:val="204"/>
        <w:spacing w:line="360" w:lineRule="auto"/>
        <w:ind w:left="1080" w:hanging="660"/>
        <w:outlineLvl w:val="0"/>
        <w:rPr>
          <w:rFonts w:ascii="宋体" w:hAnsi="宋体" w:cs="宋体"/>
          <w:sz w:val="24"/>
        </w:rPr>
      </w:pPr>
      <w:r>
        <w:rPr>
          <w:rFonts w:hint="eastAsia" w:ascii="宋体" w:hAnsi="宋体" w:cs="宋体"/>
          <w:sz w:val="24"/>
        </w:rPr>
        <w:t>注：1、主要部件报价应尽可能详细。</w:t>
      </w:r>
    </w:p>
    <w:p>
      <w:pPr>
        <w:pStyle w:val="204"/>
        <w:spacing w:line="360" w:lineRule="auto"/>
        <w:ind w:left="1080" w:hanging="660"/>
        <w:outlineLvl w:val="0"/>
        <w:rPr>
          <w:rFonts w:ascii="宋体" w:hAnsi="宋体" w:cs="宋体"/>
          <w:sz w:val="24"/>
        </w:rPr>
      </w:pPr>
      <w:r>
        <w:rPr>
          <w:rFonts w:hint="eastAsia" w:ascii="宋体" w:hAnsi="宋体" w:cs="宋体"/>
          <w:sz w:val="24"/>
        </w:rPr>
        <w:t>2、此报价不计入投标总价，在质量保证期后五年内不超过所承诺的价格。</w:t>
      </w:r>
    </w:p>
    <w:p>
      <w:pPr>
        <w:pStyle w:val="204"/>
        <w:spacing w:line="360" w:lineRule="auto"/>
        <w:ind w:left="1080" w:hanging="660"/>
        <w:outlineLvl w:val="0"/>
        <w:rPr>
          <w:rFonts w:ascii="宋体" w:hAnsi="宋体" w:cs="宋体"/>
          <w:sz w:val="24"/>
        </w:rPr>
      </w:pPr>
      <w:r>
        <w:rPr>
          <w:rFonts w:hint="eastAsia" w:ascii="宋体" w:hAnsi="宋体" w:cs="宋体"/>
          <w:sz w:val="24"/>
        </w:rPr>
        <w:t>3、表中栏目不够时可按设定格式自行增加。</w:t>
      </w:r>
    </w:p>
    <w:p>
      <w:pPr>
        <w:pStyle w:val="9"/>
        <w:spacing w:line="360" w:lineRule="auto"/>
        <w:ind w:firstLine="480"/>
        <w:outlineLvl w:val="0"/>
        <w:rPr>
          <w:rFonts w:ascii="宋体" w:hAnsi="宋体" w:cs="宋体"/>
          <w:sz w:val="24"/>
        </w:rPr>
      </w:pPr>
    </w:p>
    <w:p>
      <w:pPr>
        <w:pStyle w:val="9"/>
        <w:spacing w:line="360" w:lineRule="auto"/>
        <w:ind w:firstLine="480"/>
        <w:outlineLvl w:val="0"/>
        <w:rPr>
          <w:rFonts w:ascii="宋体" w:hAnsi="宋体" w:cs="宋体"/>
          <w:sz w:val="24"/>
        </w:rPr>
      </w:pPr>
      <w:r>
        <w:rPr>
          <w:rFonts w:hint="eastAsia" w:ascii="宋体" w:hAnsi="宋体" w:cs="宋体"/>
          <w:sz w:val="24"/>
        </w:rPr>
        <w:t>投标人代表签字或盖章：</w:t>
      </w:r>
    </w:p>
    <w:p>
      <w:pPr>
        <w:pStyle w:val="9"/>
        <w:spacing w:line="360" w:lineRule="auto"/>
        <w:ind w:firstLine="480"/>
        <w:outlineLvl w:val="0"/>
        <w:rPr>
          <w:rFonts w:ascii="宋体" w:hAnsi="宋体" w:cs="宋体"/>
          <w:sz w:val="24"/>
        </w:rPr>
      </w:pPr>
      <w:r>
        <w:rPr>
          <w:rFonts w:hint="eastAsia" w:ascii="宋体" w:hAnsi="宋体" w:cs="宋体"/>
          <w:sz w:val="24"/>
        </w:rPr>
        <w:t>投标人公章：</w:t>
      </w:r>
    </w:p>
    <w:p>
      <w:pPr>
        <w:pStyle w:val="103"/>
        <w:spacing w:before="0" w:after="0" w:line="360" w:lineRule="auto"/>
        <w:outlineLvl w:val="0"/>
        <w:rPr>
          <w:rFonts w:ascii="宋体" w:hAnsi="宋体" w:eastAsia="宋体" w:cs="宋体"/>
          <w:sz w:val="24"/>
          <w:szCs w:val="24"/>
        </w:rPr>
      </w:pPr>
      <w:r>
        <w:rPr>
          <w:rFonts w:hint="eastAsia" w:ascii="宋体" w:hAnsi="宋体" w:eastAsia="宋体" w:cs="宋体"/>
          <w:sz w:val="24"/>
          <w:szCs w:val="24"/>
        </w:rPr>
        <w:t>　　　　　　　　　　　　　　　　日期：  年  月  日</w:t>
      </w:r>
    </w:p>
    <w:p>
      <w:pPr>
        <w:pStyle w:val="103"/>
        <w:spacing w:before="0" w:after="0" w:line="360" w:lineRule="auto"/>
        <w:outlineLvl w:val="0"/>
        <w:rPr>
          <w:rFonts w:ascii="宋体" w:hAnsi="宋体" w:eastAsia="宋体" w:cs="宋体"/>
          <w:sz w:val="24"/>
          <w:szCs w:val="24"/>
        </w:rPr>
      </w:pPr>
    </w:p>
    <w:p>
      <w:pPr>
        <w:pStyle w:val="103"/>
        <w:spacing w:before="0" w:after="0" w:line="360" w:lineRule="auto"/>
        <w:outlineLvl w:val="0"/>
        <w:rPr>
          <w:rFonts w:ascii="宋体" w:hAnsi="宋体" w:eastAsia="宋体" w:cs="宋体"/>
          <w:sz w:val="24"/>
          <w:szCs w:val="24"/>
        </w:rPr>
      </w:pPr>
    </w:p>
    <w:p>
      <w:pPr>
        <w:pStyle w:val="103"/>
        <w:spacing w:before="0" w:after="0" w:line="360" w:lineRule="auto"/>
        <w:outlineLvl w:val="0"/>
        <w:rPr>
          <w:rFonts w:ascii="宋体" w:hAnsi="宋体" w:eastAsia="宋体" w:cs="宋体"/>
          <w:sz w:val="24"/>
          <w:szCs w:val="24"/>
        </w:rPr>
      </w:pPr>
    </w:p>
    <w:p>
      <w:pPr>
        <w:pStyle w:val="103"/>
        <w:spacing w:before="0" w:after="0" w:line="360" w:lineRule="auto"/>
        <w:outlineLvl w:val="0"/>
        <w:rPr>
          <w:rFonts w:ascii="宋体" w:hAnsi="宋体" w:eastAsia="宋体" w:cs="宋体"/>
          <w:sz w:val="24"/>
          <w:szCs w:val="24"/>
        </w:rPr>
      </w:pPr>
    </w:p>
    <w:p>
      <w:pPr>
        <w:pStyle w:val="103"/>
        <w:spacing w:before="0" w:after="0" w:line="360" w:lineRule="auto"/>
        <w:outlineLvl w:val="0"/>
        <w:rPr>
          <w:rFonts w:ascii="宋体" w:hAnsi="宋体" w:eastAsia="宋体" w:cs="宋体"/>
          <w:sz w:val="24"/>
          <w:szCs w:val="24"/>
        </w:rPr>
      </w:pPr>
    </w:p>
    <w:p>
      <w:pPr>
        <w:pStyle w:val="103"/>
        <w:spacing w:before="0" w:after="0" w:line="360" w:lineRule="auto"/>
        <w:outlineLvl w:val="0"/>
        <w:rPr>
          <w:rFonts w:ascii="宋体" w:hAnsi="宋体" w:eastAsia="宋体" w:cs="宋体"/>
          <w:sz w:val="24"/>
          <w:szCs w:val="24"/>
        </w:rPr>
      </w:pPr>
    </w:p>
    <w:p>
      <w:pPr>
        <w:pStyle w:val="103"/>
        <w:spacing w:before="0" w:after="0" w:line="360" w:lineRule="auto"/>
        <w:outlineLvl w:val="0"/>
        <w:rPr>
          <w:rFonts w:ascii="宋体" w:hAnsi="宋体" w:eastAsia="宋体" w:cs="宋体"/>
          <w:sz w:val="24"/>
          <w:szCs w:val="24"/>
        </w:rPr>
      </w:pPr>
    </w:p>
    <w:p>
      <w:pPr>
        <w:pStyle w:val="103"/>
        <w:spacing w:before="0" w:after="0" w:line="360" w:lineRule="auto"/>
        <w:outlineLvl w:val="0"/>
        <w:rPr>
          <w:rFonts w:ascii="宋体" w:hAnsi="宋体" w:eastAsia="宋体" w:cs="宋体"/>
          <w:sz w:val="24"/>
          <w:szCs w:val="24"/>
        </w:rPr>
      </w:pPr>
    </w:p>
    <w:p>
      <w:pPr>
        <w:pStyle w:val="103"/>
        <w:spacing w:before="0" w:after="0" w:line="360" w:lineRule="auto"/>
        <w:outlineLvl w:val="0"/>
        <w:rPr>
          <w:rFonts w:ascii="宋体" w:hAnsi="宋体" w:eastAsia="宋体" w:cs="宋体"/>
          <w:sz w:val="24"/>
          <w:szCs w:val="24"/>
        </w:rPr>
      </w:pPr>
    </w:p>
    <w:p>
      <w:pPr>
        <w:pStyle w:val="103"/>
        <w:spacing w:before="0" w:after="0" w:line="360" w:lineRule="auto"/>
        <w:outlineLvl w:val="0"/>
        <w:rPr>
          <w:rFonts w:ascii="宋体" w:hAnsi="宋体" w:eastAsia="宋体" w:cs="宋体"/>
          <w:sz w:val="24"/>
          <w:szCs w:val="24"/>
        </w:rPr>
      </w:pPr>
    </w:p>
    <w:p>
      <w:pPr>
        <w:pStyle w:val="103"/>
        <w:spacing w:before="0" w:after="0" w:line="360" w:lineRule="auto"/>
        <w:outlineLvl w:val="0"/>
        <w:rPr>
          <w:rFonts w:ascii="宋体" w:hAnsi="宋体" w:eastAsia="宋体" w:cs="宋体"/>
          <w:sz w:val="24"/>
          <w:szCs w:val="24"/>
        </w:rPr>
      </w:pPr>
    </w:p>
    <w:p>
      <w:pPr>
        <w:pStyle w:val="103"/>
        <w:spacing w:before="0" w:after="0" w:line="360" w:lineRule="auto"/>
        <w:outlineLvl w:val="0"/>
        <w:rPr>
          <w:rFonts w:ascii="宋体" w:hAnsi="宋体" w:eastAsia="宋体" w:cs="宋体"/>
          <w:sz w:val="24"/>
          <w:szCs w:val="24"/>
        </w:rPr>
      </w:pPr>
    </w:p>
    <w:p>
      <w:pPr>
        <w:pStyle w:val="103"/>
        <w:spacing w:before="0" w:after="0" w:line="360" w:lineRule="auto"/>
        <w:outlineLvl w:val="0"/>
        <w:rPr>
          <w:rFonts w:ascii="宋体" w:hAnsi="宋体" w:eastAsia="宋体" w:cs="宋体"/>
          <w:sz w:val="24"/>
          <w:szCs w:val="24"/>
        </w:rPr>
      </w:pPr>
    </w:p>
    <w:p>
      <w:pPr>
        <w:pStyle w:val="103"/>
        <w:spacing w:before="0" w:after="0" w:line="360" w:lineRule="auto"/>
        <w:outlineLvl w:val="0"/>
        <w:rPr>
          <w:rFonts w:ascii="宋体" w:hAnsi="宋体" w:eastAsia="宋体" w:cs="宋体"/>
          <w:sz w:val="24"/>
          <w:szCs w:val="24"/>
        </w:rPr>
      </w:pPr>
    </w:p>
    <w:p>
      <w:pPr>
        <w:pStyle w:val="103"/>
        <w:spacing w:before="0" w:after="0" w:line="360" w:lineRule="auto"/>
        <w:outlineLvl w:val="0"/>
        <w:rPr>
          <w:rFonts w:ascii="宋体" w:hAnsi="宋体" w:eastAsia="宋体" w:cs="宋体"/>
          <w:sz w:val="24"/>
          <w:szCs w:val="24"/>
        </w:rPr>
      </w:pPr>
    </w:p>
    <w:p>
      <w:pPr>
        <w:pStyle w:val="103"/>
        <w:spacing w:before="0" w:after="0" w:line="360" w:lineRule="auto"/>
        <w:outlineLvl w:val="0"/>
        <w:rPr>
          <w:rFonts w:ascii="宋体" w:hAnsi="宋体" w:eastAsia="宋体" w:cs="宋体"/>
          <w:sz w:val="24"/>
          <w:szCs w:val="24"/>
        </w:rPr>
      </w:pPr>
    </w:p>
    <w:p>
      <w:pPr>
        <w:spacing w:line="360" w:lineRule="auto"/>
        <w:jc w:val="center"/>
        <w:rPr>
          <w:rFonts w:ascii="宋体" w:hAnsi="宋体" w:cs="宋体"/>
        </w:rPr>
      </w:pPr>
      <w:r>
        <w:rPr>
          <w:rFonts w:hint="eastAsia" w:ascii="宋体" w:hAnsi="宋体" w:cs="宋体"/>
          <w:b/>
          <w:bCs/>
          <w:sz w:val="24"/>
        </w:rPr>
        <w:t>……全文结束……</w:t>
      </w:r>
    </w:p>
    <w:sectPr>
      <w:footerReference r:id="rId4" w:type="default"/>
      <w:pgSz w:w="11906" w:h="16838"/>
      <w:pgMar w:top="1021"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Noto Sans Mono CJK JP Regular">
    <w:altName w:val="Calibri"/>
    <w:panose1 w:val="00000000000000000000"/>
    <w:charset w:val="00"/>
    <w:family w:val="swiss"/>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仿宋简体">
    <w:altName w:val="微软雅黑"/>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center" w:pos="4819"/>
        <w:tab w:val="clear" w:pos="4153"/>
      </w:tabs>
      <w:ind w:right="360"/>
    </w:pPr>
    <w: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3"/>
                </w:pPr>
                <w:r>
                  <w:fldChar w:fldCharType="begin"/>
                </w:r>
                <w:r>
                  <w:instrText xml:space="preserve"> PAGE  \* MERGEFORMAT </w:instrText>
                </w:r>
                <w:r>
                  <w:fldChar w:fldCharType="separate"/>
                </w:r>
                <w:r>
                  <w:t>5</w:t>
                </w:r>
                <w:r>
                  <w:fldChar w:fldCharType="end"/>
                </w:r>
              </w:p>
            </w:txbxContent>
          </v:textbox>
        </v:shape>
      </w:pict>
    </w:r>
    <w:r>
      <w:pict>
        <v:shape id="文本框 4107" o:spid="_x0000_s3074" o:spt="202" type="#_x0000_t202" style="position:absolute;left:0pt;margin-top:0pt;height:10.35pt;width:9.0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3"/>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_x0000_s3075" o:spid="_x0000_s307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33"/>
                </w:pPr>
                <w:r>
                  <w:fldChar w:fldCharType="begin"/>
                </w:r>
                <w:r>
                  <w:instrText xml:space="preserve"> PAGE  \* MERGEFORMAT </w:instrText>
                </w:r>
                <w:r>
                  <w:fldChar w:fldCharType="separate"/>
                </w:r>
                <w:r>
                  <w:t>16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5A54BE"/>
    <w:multiLevelType w:val="singleLevel"/>
    <w:tmpl w:val="225A54BE"/>
    <w:lvl w:ilvl="0" w:tentative="0">
      <w:start w:val="1"/>
      <w:numFmt w:val="decimal"/>
      <w:suff w:val="nothing"/>
      <w:lvlText w:val="%1、"/>
      <w:lvlJc w:val="left"/>
      <w:pPr>
        <w:ind w:left="150"/>
      </w:pPr>
    </w:lvl>
  </w:abstractNum>
  <w:abstractNum w:abstractNumId="1">
    <w:nsid w:val="323D7EF1"/>
    <w:multiLevelType w:val="multilevel"/>
    <w:tmpl w:val="323D7EF1"/>
    <w:lvl w:ilvl="0" w:tentative="0">
      <w:start w:val="1"/>
      <w:numFmt w:val="japaneseCounting"/>
      <w:lvlText w:val="%1、"/>
      <w:lvlJc w:val="left"/>
      <w:pPr>
        <w:ind w:left="1202" w:hanging="720"/>
      </w:pPr>
      <w:rPr>
        <w:rFonts w:hint="default"/>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36BB623D"/>
    <w:multiLevelType w:val="multilevel"/>
    <w:tmpl w:val="36BB623D"/>
    <w:lvl w:ilvl="0" w:tentative="0">
      <w:start w:val="1"/>
      <w:numFmt w:val="japaneseCounting"/>
      <w:lvlText w:val="%1、"/>
      <w:lvlJc w:val="left"/>
      <w:pPr>
        <w:tabs>
          <w:tab w:val="left" w:pos="1146"/>
        </w:tabs>
        <w:ind w:left="1146" w:hanging="720"/>
      </w:pPr>
      <w:rPr>
        <w:rFonts w:hint="eastAsia"/>
        <w:b/>
      </w:rPr>
    </w:lvl>
    <w:lvl w:ilvl="1" w:tentative="0">
      <w:start w:val="8"/>
      <w:numFmt w:val="japaneseCounting"/>
      <w:lvlText w:val="%2、"/>
      <w:lvlJc w:val="left"/>
      <w:pPr>
        <w:tabs>
          <w:tab w:val="left" w:pos="1532"/>
        </w:tabs>
        <w:ind w:left="1532" w:hanging="840"/>
      </w:pPr>
      <w:rPr>
        <w:rFonts w:hint="eastAsia"/>
      </w:rPr>
    </w:lvl>
    <w:lvl w:ilvl="2" w:tentative="0">
      <w:start w:val="1"/>
      <w:numFmt w:val="decimal"/>
      <w:lvlText w:val="%3、"/>
      <w:lvlJc w:val="left"/>
      <w:pPr>
        <w:tabs>
          <w:tab w:val="left" w:pos="1832"/>
        </w:tabs>
        <w:ind w:left="1832" w:hanging="720"/>
      </w:pPr>
      <w:rPr>
        <w:rFonts w:hint="eastAsia"/>
        <w:u w:val="none"/>
      </w:rPr>
    </w:lvl>
    <w:lvl w:ilvl="3" w:tentative="0">
      <w:start w:val="1"/>
      <w:numFmt w:val="decimal"/>
      <w:lvlText w:val="%4."/>
      <w:lvlJc w:val="left"/>
      <w:pPr>
        <w:tabs>
          <w:tab w:val="left" w:pos="1952"/>
        </w:tabs>
        <w:ind w:left="1952" w:hanging="420"/>
      </w:pPr>
    </w:lvl>
    <w:lvl w:ilvl="4" w:tentative="0">
      <w:start w:val="1"/>
      <w:numFmt w:val="lowerLetter"/>
      <w:lvlText w:val="%5)"/>
      <w:lvlJc w:val="left"/>
      <w:pPr>
        <w:tabs>
          <w:tab w:val="left" w:pos="2372"/>
        </w:tabs>
        <w:ind w:left="2372" w:hanging="420"/>
      </w:pPr>
    </w:lvl>
    <w:lvl w:ilvl="5" w:tentative="0">
      <w:start w:val="1"/>
      <w:numFmt w:val="lowerRoman"/>
      <w:lvlText w:val="%6."/>
      <w:lvlJc w:val="right"/>
      <w:pPr>
        <w:tabs>
          <w:tab w:val="left" w:pos="2792"/>
        </w:tabs>
        <w:ind w:left="2792" w:hanging="420"/>
      </w:pPr>
    </w:lvl>
    <w:lvl w:ilvl="6" w:tentative="0">
      <w:start w:val="1"/>
      <w:numFmt w:val="decimal"/>
      <w:lvlText w:val="%7."/>
      <w:lvlJc w:val="left"/>
      <w:pPr>
        <w:tabs>
          <w:tab w:val="left" w:pos="3212"/>
        </w:tabs>
        <w:ind w:left="3212" w:hanging="420"/>
      </w:pPr>
    </w:lvl>
    <w:lvl w:ilvl="7" w:tentative="0">
      <w:start w:val="1"/>
      <w:numFmt w:val="lowerLetter"/>
      <w:lvlText w:val="%8)"/>
      <w:lvlJc w:val="left"/>
      <w:pPr>
        <w:tabs>
          <w:tab w:val="left" w:pos="3632"/>
        </w:tabs>
        <w:ind w:left="3632" w:hanging="420"/>
      </w:pPr>
    </w:lvl>
    <w:lvl w:ilvl="8" w:tentative="0">
      <w:start w:val="1"/>
      <w:numFmt w:val="lowerRoman"/>
      <w:lvlText w:val="%9."/>
      <w:lvlJc w:val="right"/>
      <w:pPr>
        <w:tabs>
          <w:tab w:val="left" w:pos="4052"/>
        </w:tabs>
        <w:ind w:left="4052" w:hanging="420"/>
      </w:pPr>
    </w:lvl>
  </w:abstractNum>
  <w:abstractNum w:abstractNumId="3">
    <w:nsid w:val="5912E616"/>
    <w:multiLevelType w:val="multilevel"/>
    <w:tmpl w:val="5912E616"/>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1FC664"/>
    <w:multiLevelType w:val="singleLevel"/>
    <w:tmpl w:val="5A1FC664"/>
    <w:lvl w:ilvl="0" w:tentative="0">
      <w:start w:val="2"/>
      <w:numFmt w:val="chineseCounting"/>
      <w:suff w:val="nothing"/>
      <w:lvlText w:val="%1、"/>
      <w:lvlJc w:val="left"/>
    </w:lvl>
  </w:abstractNum>
  <w:abstractNum w:abstractNumId="5">
    <w:nsid w:val="7802B660"/>
    <w:multiLevelType w:val="singleLevel"/>
    <w:tmpl w:val="7802B660"/>
    <w:lvl w:ilvl="0" w:tentative="0">
      <w:start w:val="1"/>
      <w:numFmt w:val="decimal"/>
      <w:lvlText w:val="(%1)"/>
      <w:lvlJc w:val="left"/>
      <w:pPr>
        <w:tabs>
          <w:tab w:val="left" w:pos="312"/>
        </w:tabs>
      </w:pPr>
    </w:lvl>
  </w:abstractNum>
  <w:abstractNum w:abstractNumId="6">
    <w:nsid w:val="7F65FBA1"/>
    <w:multiLevelType w:val="singleLevel"/>
    <w:tmpl w:val="7F65FBA1"/>
    <w:lvl w:ilvl="0" w:tentative="0">
      <w:start w:val="5"/>
      <w:numFmt w:val="decimal"/>
      <w:suff w:val="nothing"/>
      <w:lvlText w:val="%1、"/>
      <w:lvlJc w:val="left"/>
    </w:lvl>
  </w:abstractNum>
  <w:num w:numId="1">
    <w:abstractNumId w:val="6"/>
  </w:num>
  <w:num w:numId="2">
    <w:abstractNumId w:val="3"/>
  </w:num>
  <w:num w:numId="3">
    <w:abstractNumId w:val="5"/>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90"/>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ODZlNmU4ZDRhMzFiYmFkYzNlMjAwOTU1NWNjODY2MGMifQ=="/>
  </w:docVars>
  <w:rsids>
    <w:rsidRoot w:val="00172A27"/>
    <w:rsid w:val="00000318"/>
    <w:rsid w:val="000017B5"/>
    <w:rsid w:val="000028AE"/>
    <w:rsid w:val="00004EC8"/>
    <w:rsid w:val="00014DA9"/>
    <w:rsid w:val="000309C5"/>
    <w:rsid w:val="00032F98"/>
    <w:rsid w:val="000400A9"/>
    <w:rsid w:val="000413ED"/>
    <w:rsid w:val="000429E2"/>
    <w:rsid w:val="00043680"/>
    <w:rsid w:val="0004619E"/>
    <w:rsid w:val="000520C6"/>
    <w:rsid w:val="0005675E"/>
    <w:rsid w:val="0005739A"/>
    <w:rsid w:val="000602C1"/>
    <w:rsid w:val="00061E15"/>
    <w:rsid w:val="00064E5F"/>
    <w:rsid w:val="00066C39"/>
    <w:rsid w:val="00067ED2"/>
    <w:rsid w:val="0007253C"/>
    <w:rsid w:val="000726D2"/>
    <w:rsid w:val="00077EDC"/>
    <w:rsid w:val="000809DC"/>
    <w:rsid w:val="00080AA9"/>
    <w:rsid w:val="00080AFE"/>
    <w:rsid w:val="0008373B"/>
    <w:rsid w:val="00084F73"/>
    <w:rsid w:val="000852ED"/>
    <w:rsid w:val="0009121D"/>
    <w:rsid w:val="00097003"/>
    <w:rsid w:val="000A085E"/>
    <w:rsid w:val="000A2E01"/>
    <w:rsid w:val="000A31B8"/>
    <w:rsid w:val="000A3948"/>
    <w:rsid w:val="000A4F7A"/>
    <w:rsid w:val="000A516E"/>
    <w:rsid w:val="000A67C6"/>
    <w:rsid w:val="000A7A9B"/>
    <w:rsid w:val="000B47BA"/>
    <w:rsid w:val="000B6F7A"/>
    <w:rsid w:val="000C30AB"/>
    <w:rsid w:val="000C622B"/>
    <w:rsid w:val="000D0B63"/>
    <w:rsid w:val="000D2CCB"/>
    <w:rsid w:val="000D6586"/>
    <w:rsid w:val="000D7E76"/>
    <w:rsid w:val="000E1FE5"/>
    <w:rsid w:val="000F3AE3"/>
    <w:rsid w:val="000F4121"/>
    <w:rsid w:val="000F5986"/>
    <w:rsid w:val="00102617"/>
    <w:rsid w:val="00102A5E"/>
    <w:rsid w:val="00103A94"/>
    <w:rsid w:val="00106D2E"/>
    <w:rsid w:val="0011028F"/>
    <w:rsid w:val="00116DFE"/>
    <w:rsid w:val="001201ED"/>
    <w:rsid w:val="001239F5"/>
    <w:rsid w:val="001242AF"/>
    <w:rsid w:val="001254C1"/>
    <w:rsid w:val="00125FA5"/>
    <w:rsid w:val="001273FB"/>
    <w:rsid w:val="001274B1"/>
    <w:rsid w:val="0013113C"/>
    <w:rsid w:val="001346BC"/>
    <w:rsid w:val="00135313"/>
    <w:rsid w:val="00141D76"/>
    <w:rsid w:val="00142E41"/>
    <w:rsid w:val="001437E7"/>
    <w:rsid w:val="00145032"/>
    <w:rsid w:val="00146E5A"/>
    <w:rsid w:val="0015520E"/>
    <w:rsid w:val="00156485"/>
    <w:rsid w:val="00157009"/>
    <w:rsid w:val="001574A9"/>
    <w:rsid w:val="00157671"/>
    <w:rsid w:val="00157F72"/>
    <w:rsid w:val="001607D3"/>
    <w:rsid w:val="00161EC7"/>
    <w:rsid w:val="00162F5C"/>
    <w:rsid w:val="00163908"/>
    <w:rsid w:val="001672CB"/>
    <w:rsid w:val="001701AF"/>
    <w:rsid w:val="00172A27"/>
    <w:rsid w:val="001818F4"/>
    <w:rsid w:val="00191A75"/>
    <w:rsid w:val="00195B47"/>
    <w:rsid w:val="001A3982"/>
    <w:rsid w:val="001A3A31"/>
    <w:rsid w:val="001A5B22"/>
    <w:rsid w:val="001A62B4"/>
    <w:rsid w:val="001A7375"/>
    <w:rsid w:val="001A7CF1"/>
    <w:rsid w:val="001B413C"/>
    <w:rsid w:val="001C235F"/>
    <w:rsid w:val="001C322D"/>
    <w:rsid w:val="001C51EB"/>
    <w:rsid w:val="001C5659"/>
    <w:rsid w:val="001C5E3B"/>
    <w:rsid w:val="001C6D55"/>
    <w:rsid w:val="001D491E"/>
    <w:rsid w:val="001E2203"/>
    <w:rsid w:val="001F0631"/>
    <w:rsid w:val="001F2D25"/>
    <w:rsid w:val="001F42B4"/>
    <w:rsid w:val="001F75D8"/>
    <w:rsid w:val="00202173"/>
    <w:rsid w:val="002052A0"/>
    <w:rsid w:val="002055DE"/>
    <w:rsid w:val="00205A7B"/>
    <w:rsid w:val="00207C10"/>
    <w:rsid w:val="00211498"/>
    <w:rsid w:val="002122A1"/>
    <w:rsid w:val="00214341"/>
    <w:rsid w:val="002151AC"/>
    <w:rsid w:val="002156EE"/>
    <w:rsid w:val="00216F02"/>
    <w:rsid w:val="00221156"/>
    <w:rsid w:val="00223E7D"/>
    <w:rsid w:val="00225B32"/>
    <w:rsid w:val="0022630B"/>
    <w:rsid w:val="002402DB"/>
    <w:rsid w:val="00245D4D"/>
    <w:rsid w:val="0024728D"/>
    <w:rsid w:val="00250654"/>
    <w:rsid w:val="00257FA1"/>
    <w:rsid w:val="002634CE"/>
    <w:rsid w:val="002634D9"/>
    <w:rsid w:val="002654BF"/>
    <w:rsid w:val="00265E5D"/>
    <w:rsid w:val="002720D6"/>
    <w:rsid w:val="002733F0"/>
    <w:rsid w:val="00274138"/>
    <w:rsid w:val="002801F0"/>
    <w:rsid w:val="002820CB"/>
    <w:rsid w:val="00282D4A"/>
    <w:rsid w:val="00282E92"/>
    <w:rsid w:val="00283AC2"/>
    <w:rsid w:val="002932A7"/>
    <w:rsid w:val="00297E29"/>
    <w:rsid w:val="002A00A5"/>
    <w:rsid w:val="002A63CA"/>
    <w:rsid w:val="002B0B2F"/>
    <w:rsid w:val="002B1984"/>
    <w:rsid w:val="002B2CEF"/>
    <w:rsid w:val="002B61CA"/>
    <w:rsid w:val="002B6B0D"/>
    <w:rsid w:val="002B7395"/>
    <w:rsid w:val="002C2F92"/>
    <w:rsid w:val="002C52E0"/>
    <w:rsid w:val="002D34C5"/>
    <w:rsid w:val="002D486D"/>
    <w:rsid w:val="002D76CC"/>
    <w:rsid w:val="002D77DF"/>
    <w:rsid w:val="002D77E8"/>
    <w:rsid w:val="002E6177"/>
    <w:rsid w:val="002E70A4"/>
    <w:rsid w:val="002F5AD5"/>
    <w:rsid w:val="003016B5"/>
    <w:rsid w:val="00306D84"/>
    <w:rsid w:val="00310717"/>
    <w:rsid w:val="00310D73"/>
    <w:rsid w:val="003244C2"/>
    <w:rsid w:val="00325D3B"/>
    <w:rsid w:val="00326900"/>
    <w:rsid w:val="0033379B"/>
    <w:rsid w:val="003354C9"/>
    <w:rsid w:val="00340705"/>
    <w:rsid w:val="00341EE8"/>
    <w:rsid w:val="00343F89"/>
    <w:rsid w:val="003502D6"/>
    <w:rsid w:val="00351561"/>
    <w:rsid w:val="00352A5E"/>
    <w:rsid w:val="00355C10"/>
    <w:rsid w:val="00357638"/>
    <w:rsid w:val="003607EB"/>
    <w:rsid w:val="00360AF9"/>
    <w:rsid w:val="00362888"/>
    <w:rsid w:val="00363B17"/>
    <w:rsid w:val="0036569F"/>
    <w:rsid w:val="003656E7"/>
    <w:rsid w:val="00365B4E"/>
    <w:rsid w:val="00365BE2"/>
    <w:rsid w:val="003734FB"/>
    <w:rsid w:val="00376C17"/>
    <w:rsid w:val="00381C06"/>
    <w:rsid w:val="00382F91"/>
    <w:rsid w:val="00383249"/>
    <w:rsid w:val="003833AE"/>
    <w:rsid w:val="00383720"/>
    <w:rsid w:val="00383E87"/>
    <w:rsid w:val="00394145"/>
    <w:rsid w:val="00394893"/>
    <w:rsid w:val="003A08B2"/>
    <w:rsid w:val="003A2962"/>
    <w:rsid w:val="003A2D83"/>
    <w:rsid w:val="003B3790"/>
    <w:rsid w:val="003B3C67"/>
    <w:rsid w:val="003C4406"/>
    <w:rsid w:val="003D4EDB"/>
    <w:rsid w:val="003E18EF"/>
    <w:rsid w:val="003E2A1A"/>
    <w:rsid w:val="003F32DA"/>
    <w:rsid w:val="003F3C95"/>
    <w:rsid w:val="003F6FB8"/>
    <w:rsid w:val="004032BD"/>
    <w:rsid w:val="00405F6B"/>
    <w:rsid w:val="0041081C"/>
    <w:rsid w:val="00416A42"/>
    <w:rsid w:val="00417082"/>
    <w:rsid w:val="004177D8"/>
    <w:rsid w:val="00422792"/>
    <w:rsid w:val="00423230"/>
    <w:rsid w:val="00430CC8"/>
    <w:rsid w:val="004326DC"/>
    <w:rsid w:val="00433907"/>
    <w:rsid w:val="00433A23"/>
    <w:rsid w:val="00442AEC"/>
    <w:rsid w:val="00443A52"/>
    <w:rsid w:val="004472BD"/>
    <w:rsid w:val="0045048A"/>
    <w:rsid w:val="00452B58"/>
    <w:rsid w:val="00456C91"/>
    <w:rsid w:val="00457FB7"/>
    <w:rsid w:val="004614D2"/>
    <w:rsid w:val="004623A1"/>
    <w:rsid w:val="004627B7"/>
    <w:rsid w:val="0046732C"/>
    <w:rsid w:val="004700C1"/>
    <w:rsid w:val="00472765"/>
    <w:rsid w:val="0047298D"/>
    <w:rsid w:val="00475F89"/>
    <w:rsid w:val="00480CA2"/>
    <w:rsid w:val="004862C7"/>
    <w:rsid w:val="0048677F"/>
    <w:rsid w:val="004912AF"/>
    <w:rsid w:val="004A178E"/>
    <w:rsid w:val="004A1A50"/>
    <w:rsid w:val="004A31A5"/>
    <w:rsid w:val="004A4F7B"/>
    <w:rsid w:val="004A6DDB"/>
    <w:rsid w:val="004A7248"/>
    <w:rsid w:val="004B01C8"/>
    <w:rsid w:val="004B2B70"/>
    <w:rsid w:val="004C1156"/>
    <w:rsid w:val="004C26B5"/>
    <w:rsid w:val="004C5A9A"/>
    <w:rsid w:val="004C79C7"/>
    <w:rsid w:val="004D2825"/>
    <w:rsid w:val="004D5B77"/>
    <w:rsid w:val="004D653A"/>
    <w:rsid w:val="004E3753"/>
    <w:rsid w:val="004E38CE"/>
    <w:rsid w:val="004E480F"/>
    <w:rsid w:val="004E6AC8"/>
    <w:rsid w:val="004E6F5C"/>
    <w:rsid w:val="004E7D8A"/>
    <w:rsid w:val="004F4655"/>
    <w:rsid w:val="004F675D"/>
    <w:rsid w:val="005001CA"/>
    <w:rsid w:val="005029D1"/>
    <w:rsid w:val="00502BF8"/>
    <w:rsid w:val="005036AB"/>
    <w:rsid w:val="00510031"/>
    <w:rsid w:val="00511831"/>
    <w:rsid w:val="005122C6"/>
    <w:rsid w:val="005123D8"/>
    <w:rsid w:val="00522790"/>
    <w:rsid w:val="0052498D"/>
    <w:rsid w:val="00524DAF"/>
    <w:rsid w:val="005258E3"/>
    <w:rsid w:val="00526FC8"/>
    <w:rsid w:val="00530D9C"/>
    <w:rsid w:val="00532592"/>
    <w:rsid w:val="0053376D"/>
    <w:rsid w:val="005367A6"/>
    <w:rsid w:val="00536A02"/>
    <w:rsid w:val="00540421"/>
    <w:rsid w:val="005418D3"/>
    <w:rsid w:val="00545F26"/>
    <w:rsid w:val="00551D78"/>
    <w:rsid w:val="00554594"/>
    <w:rsid w:val="00561FCC"/>
    <w:rsid w:val="0056407A"/>
    <w:rsid w:val="00564211"/>
    <w:rsid w:val="00566D87"/>
    <w:rsid w:val="00572179"/>
    <w:rsid w:val="00572519"/>
    <w:rsid w:val="00573373"/>
    <w:rsid w:val="00575ED3"/>
    <w:rsid w:val="00580375"/>
    <w:rsid w:val="0058447E"/>
    <w:rsid w:val="0058478D"/>
    <w:rsid w:val="00590802"/>
    <w:rsid w:val="00591EE5"/>
    <w:rsid w:val="005923E5"/>
    <w:rsid w:val="005934F2"/>
    <w:rsid w:val="005A60DD"/>
    <w:rsid w:val="005B17CD"/>
    <w:rsid w:val="005B336F"/>
    <w:rsid w:val="005B3AAF"/>
    <w:rsid w:val="005B4619"/>
    <w:rsid w:val="005B79B2"/>
    <w:rsid w:val="005C31D9"/>
    <w:rsid w:val="005C676C"/>
    <w:rsid w:val="005C7777"/>
    <w:rsid w:val="005D0833"/>
    <w:rsid w:val="005D1D0B"/>
    <w:rsid w:val="005D32DB"/>
    <w:rsid w:val="005E29C7"/>
    <w:rsid w:val="005E30ED"/>
    <w:rsid w:val="005E7F42"/>
    <w:rsid w:val="005F716B"/>
    <w:rsid w:val="005F7C3C"/>
    <w:rsid w:val="006007A5"/>
    <w:rsid w:val="00600F5F"/>
    <w:rsid w:val="0060326C"/>
    <w:rsid w:val="006059FE"/>
    <w:rsid w:val="006063A1"/>
    <w:rsid w:val="00610358"/>
    <w:rsid w:val="00611C01"/>
    <w:rsid w:val="0062047C"/>
    <w:rsid w:val="00621096"/>
    <w:rsid w:val="0062316B"/>
    <w:rsid w:val="00624E70"/>
    <w:rsid w:val="00624FF3"/>
    <w:rsid w:val="00626538"/>
    <w:rsid w:val="00626E62"/>
    <w:rsid w:val="0063311D"/>
    <w:rsid w:val="006375AB"/>
    <w:rsid w:val="00643FD1"/>
    <w:rsid w:val="006451D6"/>
    <w:rsid w:val="0064706B"/>
    <w:rsid w:val="0064799C"/>
    <w:rsid w:val="006551A9"/>
    <w:rsid w:val="006602F1"/>
    <w:rsid w:val="006613B5"/>
    <w:rsid w:val="00662DAB"/>
    <w:rsid w:val="00663F50"/>
    <w:rsid w:val="006643BF"/>
    <w:rsid w:val="00666037"/>
    <w:rsid w:val="00675C6E"/>
    <w:rsid w:val="00675E12"/>
    <w:rsid w:val="00676175"/>
    <w:rsid w:val="00680916"/>
    <w:rsid w:val="0068201A"/>
    <w:rsid w:val="00684B3B"/>
    <w:rsid w:val="00684B7F"/>
    <w:rsid w:val="006912D3"/>
    <w:rsid w:val="0069339D"/>
    <w:rsid w:val="0069408B"/>
    <w:rsid w:val="00694871"/>
    <w:rsid w:val="00695334"/>
    <w:rsid w:val="006A00EB"/>
    <w:rsid w:val="006A057A"/>
    <w:rsid w:val="006A2652"/>
    <w:rsid w:val="006A59DF"/>
    <w:rsid w:val="006B2F8F"/>
    <w:rsid w:val="006B7EA1"/>
    <w:rsid w:val="006C101D"/>
    <w:rsid w:val="006C1859"/>
    <w:rsid w:val="006C3144"/>
    <w:rsid w:val="006C41E2"/>
    <w:rsid w:val="006C4AD2"/>
    <w:rsid w:val="006C6264"/>
    <w:rsid w:val="006C75B3"/>
    <w:rsid w:val="006D6383"/>
    <w:rsid w:val="006D79FA"/>
    <w:rsid w:val="006E2673"/>
    <w:rsid w:val="006E492A"/>
    <w:rsid w:val="006E4BCF"/>
    <w:rsid w:val="006E6F61"/>
    <w:rsid w:val="00702B8C"/>
    <w:rsid w:val="007060E5"/>
    <w:rsid w:val="007072EE"/>
    <w:rsid w:val="0071301A"/>
    <w:rsid w:val="0071312E"/>
    <w:rsid w:val="007133BA"/>
    <w:rsid w:val="00713646"/>
    <w:rsid w:val="0071742A"/>
    <w:rsid w:val="00723A43"/>
    <w:rsid w:val="00725951"/>
    <w:rsid w:val="00726EA5"/>
    <w:rsid w:val="0073319E"/>
    <w:rsid w:val="00733E2D"/>
    <w:rsid w:val="00734842"/>
    <w:rsid w:val="00735B40"/>
    <w:rsid w:val="007373D6"/>
    <w:rsid w:val="00737524"/>
    <w:rsid w:val="00737ECF"/>
    <w:rsid w:val="00741C1D"/>
    <w:rsid w:val="00742BE5"/>
    <w:rsid w:val="00743D58"/>
    <w:rsid w:val="00760797"/>
    <w:rsid w:val="0076171E"/>
    <w:rsid w:val="007674C9"/>
    <w:rsid w:val="00772F3E"/>
    <w:rsid w:val="00772F5A"/>
    <w:rsid w:val="00774E87"/>
    <w:rsid w:val="00775322"/>
    <w:rsid w:val="007876C3"/>
    <w:rsid w:val="00796EF6"/>
    <w:rsid w:val="007B141A"/>
    <w:rsid w:val="007B1B4D"/>
    <w:rsid w:val="007B334A"/>
    <w:rsid w:val="007B549C"/>
    <w:rsid w:val="007C08C6"/>
    <w:rsid w:val="007C19DC"/>
    <w:rsid w:val="007C1A92"/>
    <w:rsid w:val="007C56A4"/>
    <w:rsid w:val="007D4722"/>
    <w:rsid w:val="007D604D"/>
    <w:rsid w:val="007D7F88"/>
    <w:rsid w:val="007E20A7"/>
    <w:rsid w:val="007E2EF5"/>
    <w:rsid w:val="007E3ED6"/>
    <w:rsid w:val="007E5941"/>
    <w:rsid w:val="007E76DE"/>
    <w:rsid w:val="007E785C"/>
    <w:rsid w:val="007F064B"/>
    <w:rsid w:val="007F0B4E"/>
    <w:rsid w:val="007F0EEB"/>
    <w:rsid w:val="007F1A56"/>
    <w:rsid w:val="007F43D4"/>
    <w:rsid w:val="007F50B2"/>
    <w:rsid w:val="007F61B1"/>
    <w:rsid w:val="00801D96"/>
    <w:rsid w:val="00802046"/>
    <w:rsid w:val="008044BC"/>
    <w:rsid w:val="00806D83"/>
    <w:rsid w:val="008125F7"/>
    <w:rsid w:val="0081321C"/>
    <w:rsid w:val="00815EF5"/>
    <w:rsid w:val="00832DB0"/>
    <w:rsid w:val="008335E3"/>
    <w:rsid w:val="00835CE4"/>
    <w:rsid w:val="008361A0"/>
    <w:rsid w:val="00852FF8"/>
    <w:rsid w:val="00856207"/>
    <w:rsid w:val="0085659A"/>
    <w:rsid w:val="00861621"/>
    <w:rsid w:val="0086385C"/>
    <w:rsid w:val="00873E90"/>
    <w:rsid w:val="00875BF2"/>
    <w:rsid w:val="00875CE8"/>
    <w:rsid w:val="0087633D"/>
    <w:rsid w:val="00877780"/>
    <w:rsid w:val="00883991"/>
    <w:rsid w:val="008909C7"/>
    <w:rsid w:val="00890C16"/>
    <w:rsid w:val="008932D7"/>
    <w:rsid w:val="008944FE"/>
    <w:rsid w:val="008954E1"/>
    <w:rsid w:val="008A072A"/>
    <w:rsid w:val="008A4D37"/>
    <w:rsid w:val="008A5226"/>
    <w:rsid w:val="008A52C3"/>
    <w:rsid w:val="008A53F1"/>
    <w:rsid w:val="008A57AA"/>
    <w:rsid w:val="008A687D"/>
    <w:rsid w:val="008A77FC"/>
    <w:rsid w:val="008B0CAF"/>
    <w:rsid w:val="008B1D51"/>
    <w:rsid w:val="008B22C3"/>
    <w:rsid w:val="008B5DD9"/>
    <w:rsid w:val="008B5FF8"/>
    <w:rsid w:val="008D4892"/>
    <w:rsid w:val="008D71DA"/>
    <w:rsid w:val="008E0E49"/>
    <w:rsid w:val="008E0F85"/>
    <w:rsid w:val="008E20ED"/>
    <w:rsid w:val="008E3487"/>
    <w:rsid w:val="008E397B"/>
    <w:rsid w:val="008E41A0"/>
    <w:rsid w:val="008E432E"/>
    <w:rsid w:val="008F0590"/>
    <w:rsid w:val="00901209"/>
    <w:rsid w:val="00901E16"/>
    <w:rsid w:val="00902835"/>
    <w:rsid w:val="0090342A"/>
    <w:rsid w:val="00915797"/>
    <w:rsid w:val="0092205D"/>
    <w:rsid w:val="00925007"/>
    <w:rsid w:val="00927038"/>
    <w:rsid w:val="00927285"/>
    <w:rsid w:val="0093003B"/>
    <w:rsid w:val="009309F9"/>
    <w:rsid w:val="009314E8"/>
    <w:rsid w:val="00931BB6"/>
    <w:rsid w:val="00931DD1"/>
    <w:rsid w:val="00932B31"/>
    <w:rsid w:val="00934DAE"/>
    <w:rsid w:val="0094335F"/>
    <w:rsid w:val="0094388E"/>
    <w:rsid w:val="00943DA8"/>
    <w:rsid w:val="00951C09"/>
    <w:rsid w:val="00955811"/>
    <w:rsid w:val="0095770C"/>
    <w:rsid w:val="00967043"/>
    <w:rsid w:val="009679C6"/>
    <w:rsid w:val="00967D4C"/>
    <w:rsid w:val="0097089A"/>
    <w:rsid w:val="009719B9"/>
    <w:rsid w:val="009751FD"/>
    <w:rsid w:val="00976500"/>
    <w:rsid w:val="00977F7D"/>
    <w:rsid w:val="00984E97"/>
    <w:rsid w:val="00997DCF"/>
    <w:rsid w:val="009A1A0F"/>
    <w:rsid w:val="009A3D0E"/>
    <w:rsid w:val="009A58DF"/>
    <w:rsid w:val="009B0CEC"/>
    <w:rsid w:val="009B1A95"/>
    <w:rsid w:val="009B4F5A"/>
    <w:rsid w:val="009C30C7"/>
    <w:rsid w:val="009C463A"/>
    <w:rsid w:val="009D3BD0"/>
    <w:rsid w:val="009E095E"/>
    <w:rsid w:val="009E24AB"/>
    <w:rsid w:val="009E79C3"/>
    <w:rsid w:val="009E7E8F"/>
    <w:rsid w:val="009F0F3A"/>
    <w:rsid w:val="009F6EA8"/>
    <w:rsid w:val="00A042B3"/>
    <w:rsid w:val="00A077DA"/>
    <w:rsid w:val="00A100BA"/>
    <w:rsid w:val="00A12055"/>
    <w:rsid w:val="00A135E3"/>
    <w:rsid w:val="00A1477D"/>
    <w:rsid w:val="00A15E49"/>
    <w:rsid w:val="00A22A0B"/>
    <w:rsid w:val="00A24234"/>
    <w:rsid w:val="00A2487D"/>
    <w:rsid w:val="00A257E7"/>
    <w:rsid w:val="00A26723"/>
    <w:rsid w:val="00A277AB"/>
    <w:rsid w:val="00A326E9"/>
    <w:rsid w:val="00A34CCD"/>
    <w:rsid w:val="00A40E13"/>
    <w:rsid w:val="00A4181B"/>
    <w:rsid w:val="00A41E57"/>
    <w:rsid w:val="00A43342"/>
    <w:rsid w:val="00A5223F"/>
    <w:rsid w:val="00A52CD4"/>
    <w:rsid w:val="00A56EB3"/>
    <w:rsid w:val="00A61674"/>
    <w:rsid w:val="00A63F54"/>
    <w:rsid w:val="00A70B06"/>
    <w:rsid w:val="00A74012"/>
    <w:rsid w:val="00A841E6"/>
    <w:rsid w:val="00A86BB5"/>
    <w:rsid w:val="00A921CF"/>
    <w:rsid w:val="00A9475F"/>
    <w:rsid w:val="00A97564"/>
    <w:rsid w:val="00AA03C6"/>
    <w:rsid w:val="00AA3059"/>
    <w:rsid w:val="00AA68BD"/>
    <w:rsid w:val="00AB3E47"/>
    <w:rsid w:val="00AB5F50"/>
    <w:rsid w:val="00AB7C2D"/>
    <w:rsid w:val="00AC0BB3"/>
    <w:rsid w:val="00AC23DD"/>
    <w:rsid w:val="00AC3274"/>
    <w:rsid w:val="00AD06CD"/>
    <w:rsid w:val="00AD29B2"/>
    <w:rsid w:val="00AE3ECD"/>
    <w:rsid w:val="00AE6F74"/>
    <w:rsid w:val="00AF19B5"/>
    <w:rsid w:val="00AF2884"/>
    <w:rsid w:val="00AF3BD2"/>
    <w:rsid w:val="00AF7030"/>
    <w:rsid w:val="00B018DA"/>
    <w:rsid w:val="00B01A36"/>
    <w:rsid w:val="00B01C5F"/>
    <w:rsid w:val="00B03182"/>
    <w:rsid w:val="00B058AE"/>
    <w:rsid w:val="00B06C1B"/>
    <w:rsid w:val="00B139D4"/>
    <w:rsid w:val="00B23314"/>
    <w:rsid w:val="00B25FC3"/>
    <w:rsid w:val="00B267A4"/>
    <w:rsid w:val="00B30E47"/>
    <w:rsid w:val="00B33994"/>
    <w:rsid w:val="00B3719A"/>
    <w:rsid w:val="00B417D8"/>
    <w:rsid w:val="00B43452"/>
    <w:rsid w:val="00B477AB"/>
    <w:rsid w:val="00B47CD8"/>
    <w:rsid w:val="00B47E02"/>
    <w:rsid w:val="00B5070C"/>
    <w:rsid w:val="00B51148"/>
    <w:rsid w:val="00B5134D"/>
    <w:rsid w:val="00B51FE4"/>
    <w:rsid w:val="00B567FE"/>
    <w:rsid w:val="00B609D4"/>
    <w:rsid w:val="00B612E7"/>
    <w:rsid w:val="00B61EC1"/>
    <w:rsid w:val="00B626A5"/>
    <w:rsid w:val="00B637DA"/>
    <w:rsid w:val="00B63C35"/>
    <w:rsid w:val="00B6678E"/>
    <w:rsid w:val="00B67DE2"/>
    <w:rsid w:val="00B70C9A"/>
    <w:rsid w:val="00B71A0D"/>
    <w:rsid w:val="00B72B14"/>
    <w:rsid w:val="00B76186"/>
    <w:rsid w:val="00B810A6"/>
    <w:rsid w:val="00B838E0"/>
    <w:rsid w:val="00B86A99"/>
    <w:rsid w:val="00B967F3"/>
    <w:rsid w:val="00BA0435"/>
    <w:rsid w:val="00BA70A3"/>
    <w:rsid w:val="00BA745F"/>
    <w:rsid w:val="00BA75CD"/>
    <w:rsid w:val="00BA7F61"/>
    <w:rsid w:val="00BB195D"/>
    <w:rsid w:val="00BB43F8"/>
    <w:rsid w:val="00BB7FBC"/>
    <w:rsid w:val="00BC2304"/>
    <w:rsid w:val="00BC26AD"/>
    <w:rsid w:val="00BC54A9"/>
    <w:rsid w:val="00BC6205"/>
    <w:rsid w:val="00BD129F"/>
    <w:rsid w:val="00BD4B17"/>
    <w:rsid w:val="00BD782E"/>
    <w:rsid w:val="00BE11BB"/>
    <w:rsid w:val="00BE18BD"/>
    <w:rsid w:val="00BF2204"/>
    <w:rsid w:val="00BF23D4"/>
    <w:rsid w:val="00BF2714"/>
    <w:rsid w:val="00C00BD5"/>
    <w:rsid w:val="00C022D8"/>
    <w:rsid w:val="00C04E7A"/>
    <w:rsid w:val="00C0604D"/>
    <w:rsid w:val="00C1048A"/>
    <w:rsid w:val="00C11295"/>
    <w:rsid w:val="00C122DF"/>
    <w:rsid w:val="00C17549"/>
    <w:rsid w:val="00C17D40"/>
    <w:rsid w:val="00C21D09"/>
    <w:rsid w:val="00C22753"/>
    <w:rsid w:val="00C25302"/>
    <w:rsid w:val="00C26494"/>
    <w:rsid w:val="00C311A1"/>
    <w:rsid w:val="00C31D31"/>
    <w:rsid w:val="00C33738"/>
    <w:rsid w:val="00C36D32"/>
    <w:rsid w:val="00C404AA"/>
    <w:rsid w:val="00C43978"/>
    <w:rsid w:val="00C4525D"/>
    <w:rsid w:val="00C47845"/>
    <w:rsid w:val="00C5022C"/>
    <w:rsid w:val="00C50418"/>
    <w:rsid w:val="00C5366E"/>
    <w:rsid w:val="00C538FA"/>
    <w:rsid w:val="00C5522E"/>
    <w:rsid w:val="00C55FFD"/>
    <w:rsid w:val="00C569AD"/>
    <w:rsid w:val="00C61132"/>
    <w:rsid w:val="00C64A13"/>
    <w:rsid w:val="00C6752E"/>
    <w:rsid w:val="00C711FE"/>
    <w:rsid w:val="00C71477"/>
    <w:rsid w:val="00C72038"/>
    <w:rsid w:val="00C74CEB"/>
    <w:rsid w:val="00C76017"/>
    <w:rsid w:val="00C8088A"/>
    <w:rsid w:val="00C85CD6"/>
    <w:rsid w:val="00C87DFD"/>
    <w:rsid w:val="00C922AC"/>
    <w:rsid w:val="00C93FDF"/>
    <w:rsid w:val="00CA0725"/>
    <w:rsid w:val="00CA0A3C"/>
    <w:rsid w:val="00CA1DC5"/>
    <w:rsid w:val="00CA3FAC"/>
    <w:rsid w:val="00CA5B7C"/>
    <w:rsid w:val="00CB20D7"/>
    <w:rsid w:val="00CB4C97"/>
    <w:rsid w:val="00CC12A8"/>
    <w:rsid w:val="00CC4819"/>
    <w:rsid w:val="00CD29E1"/>
    <w:rsid w:val="00CD49E5"/>
    <w:rsid w:val="00CE0878"/>
    <w:rsid w:val="00CE1FDF"/>
    <w:rsid w:val="00CF0EF8"/>
    <w:rsid w:val="00CF4889"/>
    <w:rsid w:val="00CF55BF"/>
    <w:rsid w:val="00CF6640"/>
    <w:rsid w:val="00D004FD"/>
    <w:rsid w:val="00D005FF"/>
    <w:rsid w:val="00D01C9D"/>
    <w:rsid w:val="00D023EE"/>
    <w:rsid w:val="00D027BC"/>
    <w:rsid w:val="00D02E86"/>
    <w:rsid w:val="00D042F3"/>
    <w:rsid w:val="00D1217C"/>
    <w:rsid w:val="00D146AF"/>
    <w:rsid w:val="00D146C9"/>
    <w:rsid w:val="00D16E69"/>
    <w:rsid w:val="00D20133"/>
    <w:rsid w:val="00D2275E"/>
    <w:rsid w:val="00D302F9"/>
    <w:rsid w:val="00D30D73"/>
    <w:rsid w:val="00D31D1E"/>
    <w:rsid w:val="00D43F8D"/>
    <w:rsid w:val="00D50E9E"/>
    <w:rsid w:val="00D51C44"/>
    <w:rsid w:val="00D53088"/>
    <w:rsid w:val="00D64AEA"/>
    <w:rsid w:val="00D74917"/>
    <w:rsid w:val="00D754A7"/>
    <w:rsid w:val="00D75830"/>
    <w:rsid w:val="00D75DC5"/>
    <w:rsid w:val="00D845CB"/>
    <w:rsid w:val="00D84862"/>
    <w:rsid w:val="00D848BA"/>
    <w:rsid w:val="00D90138"/>
    <w:rsid w:val="00D93BFC"/>
    <w:rsid w:val="00D97E99"/>
    <w:rsid w:val="00DA081F"/>
    <w:rsid w:val="00DA4A8D"/>
    <w:rsid w:val="00DA6BB4"/>
    <w:rsid w:val="00DA7662"/>
    <w:rsid w:val="00DB463D"/>
    <w:rsid w:val="00DC1130"/>
    <w:rsid w:val="00DC18E3"/>
    <w:rsid w:val="00DC4D8A"/>
    <w:rsid w:val="00DD0084"/>
    <w:rsid w:val="00DD2DD8"/>
    <w:rsid w:val="00DD4C6C"/>
    <w:rsid w:val="00DE129E"/>
    <w:rsid w:val="00DE39BC"/>
    <w:rsid w:val="00DE4AC0"/>
    <w:rsid w:val="00DE57DB"/>
    <w:rsid w:val="00DE6644"/>
    <w:rsid w:val="00DE76FD"/>
    <w:rsid w:val="00DF3C64"/>
    <w:rsid w:val="00DF3E31"/>
    <w:rsid w:val="00E00372"/>
    <w:rsid w:val="00E01C4E"/>
    <w:rsid w:val="00E03277"/>
    <w:rsid w:val="00E15DCD"/>
    <w:rsid w:val="00E20C75"/>
    <w:rsid w:val="00E3020A"/>
    <w:rsid w:val="00E30267"/>
    <w:rsid w:val="00E32FF7"/>
    <w:rsid w:val="00E34881"/>
    <w:rsid w:val="00E37439"/>
    <w:rsid w:val="00E4091D"/>
    <w:rsid w:val="00E42317"/>
    <w:rsid w:val="00E46336"/>
    <w:rsid w:val="00E503F1"/>
    <w:rsid w:val="00E52F64"/>
    <w:rsid w:val="00E65B32"/>
    <w:rsid w:val="00E66CA0"/>
    <w:rsid w:val="00E677B1"/>
    <w:rsid w:val="00E67AFE"/>
    <w:rsid w:val="00E709B1"/>
    <w:rsid w:val="00E71126"/>
    <w:rsid w:val="00E74F8E"/>
    <w:rsid w:val="00E75AA2"/>
    <w:rsid w:val="00E84CAB"/>
    <w:rsid w:val="00E85FAC"/>
    <w:rsid w:val="00E9284B"/>
    <w:rsid w:val="00E953F5"/>
    <w:rsid w:val="00E973B2"/>
    <w:rsid w:val="00EA4BAB"/>
    <w:rsid w:val="00EA554B"/>
    <w:rsid w:val="00EB1505"/>
    <w:rsid w:val="00EB52E7"/>
    <w:rsid w:val="00EB72BD"/>
    <w:rsid w:val="00EB7B4A"/>
    <w:rsid w:val="00EC6333"/>
    <w:rsid w:val="00ED0D91"/>
    <w:rsid w:val="00ED12AE"/>
    <w:rsid w:val="00ED37DF"/>
    <w:rsid w:val="00ED7381"/>
    <w:rsid w:val="00EE43B7"/>
    <w:rsid w:val="00EE5579"/>
    <w:rsid w:val="00EE7330"/>
    <w:rsid w:val="00EF15D0"/>
    <w:rsid w:val="00EF1DEB"/>
    <w:rsid w:val="00EF1ED5"/>
    <w:rsid w:val="00EF367C"/>
    <w:rsid w:val="00EF36EF"/>
    <w:rsid w:val="00EF409E"/>
    <w:rsid w:val="00F02F8B"/>
    <w:rsid w:val="00F10600"/>
    <w:rsid w:val="00F14277"/>
    <w:rsid w:val="00F15C5D"/>
    <w:rsid w:val="00F161B5"/>
    <w:rsid w:val="00F1664B"/>
    <w:rsid w:val="00F207AC"/>
    <w:rsid w:val="00F2171C"/>
    <w:rsid w:val="00F24D76"/>
    <w:rsid w:val="00F271EC"/>
    <w:rsid w:val="00F300A1"/>
    <w:rsid w:val="00F33771"/>
    <w:rsid w:val="00F34397"/>
    <w:rsid w:val="00F366A2"/>
    <w:rsid w:val="00F3785D"/>
    <w:rsid w:val="00F37A3B"/>
    <w:rsid w:val="00F40D3E"/>
    <w:rsid w:val="00F60922"/>
    <w:rsid w:val="00F65BCB"/>
    <w:rsid w:val="00F66D37"/>
    <w:rsid w:val="00F7008C"/>
    <w:rsid w:val="00F721F2"/>
    <w:rsid w:val="00F75A6E"/>
    <w:rsid w:val="00F77072"/>
    <w:rsid w:val="00F81AD9"/>
    <w:rsid w:val="00F81BFB"/>
    <w:rsid w:val="00F8245B"/>
    <w:rsid w:val="00F847D8"/>
    <w:rsid w:val="00F85010"/>
    <w:rsid w:val="00F8575D"/>
    <w:rsid w:val="00F86BC4"/>
    <w:rsid w:val="00F86D97"/>
    <w:rsid w:val="00F9027F"/>
    <w:rsid w:val="00F90A12"/>
    <w:rsid w:val="00F90CC0"/>
    <w:rsid w:val="00F93DC6"/>
    <w:rsid w:val="00F95D59"/>
    <w:rsid w:val="00F97BC9"/>
    <w:rsid w:val="00FA0ED3"/>
    <w:rsid w:val="00FA719B"/>
    <w:rsid w:val="00FB0C93"/>
    <w:rsid w:val="00FB25D0"/>
    <w:rsid w:val="00FB53B4"/>
    <w:rsid w:val="00FB557F"/>
    <w:rsid w:val="00FC08BE"/>
    <w:rsid w:val="00FC15E2"/>
    <w:rsid w:val="00FC3510"/>
    <w:rsid w:val="00FC3D12"/>
    <w:rsid w:val="00FC48BE"/>
    <w:rsid w:val="00FC60A6"/>
    <w:rsid w:val="00FC7D95"/>
    <w:rsid w:val="00FD0116"/>
    <w:rsid w:val="00FD1006"/>
    <w:rsid w:val="00FD14B8"/>
    <w:rsid w:val="00FD2593"/>
    <w:rsid w:val="00FD31ED"/>
    <w:rsid w:val="00FD537A"/>
    <w:rsid w:val="00FD6A61"/>
    <w:rsid w:val="00FE57DE"/>
    <w:rsid w:val="00FF0189"/>
    <w:rsid w:val="00FF394F"/>
    <w:rsid w:val="00FF3E2B"/>
    <w:rsid w:val="014C4F0B"/>
    <w:rsid w:val="014D38CE"/>
    <w:rsid w:val="014E189C"/>
    <w:rsid w:val="017276C5"/>
    <w:rsid w:val="01974AAE"/>
    <w:rsid w:val="01A92304"/>
    <w:rsid w:val="01B638F2"/>
    <w:rsid w:val="01BD7FF5"/>
    <w:rsid w:val="01CB589F"/>
    <w:rsid w:val="01DB34CD"/>
    <w:rsid w:val="01E25AE0"/>
    <w:rsid w:val="01FA1C1C"/>
    <w:rsid w:val="02087728"/>
    <w:rsid w:val="02216E27"/>
    <w:rsid w:val="022C3B28"/>
    <w:rsid w:val="024B1FDC"/>
    <w:rsid w:val="028B5FC4"/>
    <w:rsid w:val="028D778B"/>
    <w:rsid w:val="02CB720D"/>
    <w:rsid w:val="02D31408"/>
    <w:rsid w:val="02DB21D4"/>
    <w:rsid w:val="02DC5594"/>
    <w:rsid w:val="02E07781"/>
    <w:rsid w:val="0304755F"/>
    <w:rsid w:val="03107A10"/>
    <w:rsid w:val="03131326"/>
    <w:rsid w:val="034B6C1B"/>
    <w:rsid w:val="036A4B19"/>
    <w:rsid w:val="036C5218"/>
    <w:rsid w:val="036E3CDE"/>
    <w:rsid w:val="0374326D"/>
    <w:rsid w:val="0383396E"/>
    <w:rsid w:val="038F09ED"/>
    <w:rsid w:val="039E6646"/>
    <w:rsid w:val="03A06171"/>
    <w:rsid w:val="03A94C94"/>
    <w:rsid w:val="03AD68A5"/>
    <w:rsid w:val="03BF7E30"/>
    <w:rsid w:val="03E423DF"/>
    <w:rsid w:val="03ED2939"/>
    <w:rsid w:val="03FB05A2"/>
    <w:rsid w:val="043D6657"/>
    <w:rsid w:val="044260EF"/>
    <w:rsid w:val="044D1E92"/>
    <w:rsid w:val="044D2D72"/>
    <w:rsid w:val="045B4D20"/>
    <w:rsid w:val="0467425D"/>
    <w:rsid w:val="04737073"/>
    <w:rsid w:val="047C7E66"/>
    <w:rsid w:val="04A14E70"/>
    <w:rsid w:val="04A30E6F"/>
    <w:rsid w:val="04BD5201"/>
    <w:rsid w:val="04CB07E2"/>
    <w:rsid w:val="04D47DE9"/>
    <w:rsid w:val="04E16487"/>
    <w:rsid w:val="04FA25AF"/>
    <w:rsid w:val="050C2EF3"/>
    <w:rsid w:val="0513344D"/>
    <w:rsid w:val="054C6F48"/>
    <w:rsid w:val="05505ECA"/>
    <w:rsid w:val="057002E9"/>
    <w:rsid w:val="057C05FD"/>
    <w:rsid w:val="05854269"/>
    <w:rsid w:val="05BB39E1"/>
    <w:rsid w:val="05F43B95"/>
    <w:rsid w:val="06090D41"/>
    <w:rsid w:val="061C0450"/>
    <w:rsid w:val="061D7271"/>
    <w:rsid w:val="06200109"/>
    <w:rsid w:val="06235683"/>
    <w:rsid w:val="06375086"/>
    <w:rsid w:val="0657114B"/>
    <w:rsid w:val="065943E7"/>
    <w:rsid w:val="06703B18"/>
    <w:rsid w:val="067D678B"/>
    <w:rsid w:val="067F30D9"/>
    <w:rsid w:val="068D08D3"/>
    <w:rsid w:val="06922E1B"/>
    <w:rsid w:val="069A1BD5"/>
    <w:rsid w:val="06B561BE"/>
    <w:rsid w:val="06D1243B"/>
    <w:rsid w:val="06DA4820"/>
    <w:rsid w:val="06ED07C7"/>
    <w:rsid w:val="06F232B3"/>
    <w:rsid w:val="06FD4432"/>
    <w:rsid w:val="06FE6B3F"/>
    <w:rsid w:val="06FF42EE"/>
    <w:rsid w:val="07201C66"/>
    <w:rsid w:val="074E1C5F"/>
    <w:rsid w:val="07661699"/>
    <w:rsid w:val="077A599D"/>
    <w:rsid w:val="077C20A1"/>
    <w:rsid w:val="07907AD9"/>
    <w:rsid w:val="07924BEC"/>
    <w:rsid w:val="079528C9"/>
    <w:rsid w:val="07A2346B"/>
    <w:rsid w:val="07A6797D"/>
    <w:rsid w:val="07C113D9"/>
    <w:rsid w:val="07C1387C"/>
    <w:rsid w:val="07D7429C"/>
    <w:rsid w:val="07FE6C76"/>
    <w:rsid w:val="07FF5B27"/>
    <w:rsid w:val="080A2411"/>
    <w:rsid w:val="08413DA7"/>
    <w:rsid w:val="084D5DED"/>
    <w:rsid w:val="084E02D6"/>
    <w:rsid w:val="087C7918"/>
    <w:rsid w:val="088F2248"/>
    <w:rsid w:val="08A917F3"/>
    <w:rsid w:val="08B57156"/>
    <w:rsid w:val="08DA73C3"/>
    <w:rsid w:val="08ED74C4"/>
    <w:rsid w:val="09032971"/>
    <w:rsid w:val="09076140"/>
    <w:rsid w:val="09395450"/>
    <w:rsid w:val="09522466"/>
    <w:rsid w:val="095E1236"/>
    <w:rsid w:val="095E4A1E"/>
    <w:rsid w:val="09767929"/>
    <w:rsid w:val="09923DFE"/>
    <w:rsid w:val="099C3D61"/>
    <w:rsid w:val="09A04A13"/>
    <w:rsid w:val="09A22251"/>
    <w:rsid w:val="09AB363F"/>
    <w:rsid w:val="09AF3D95"/>
    <w:rsid w:val="09C46B13"/>
    <w:rsid w:val="09CF563E"/>
    <w:rsid w:val="09E34368"/>
    <w:rsid w:val="0A044977"/>
    <w:rsid w:val="0A0764B2"/>
    <w:rsid w:val="0A1A6C29"/>
    <w:rsid w:val="0A1E1361"/>
    <w:rsid w:val="0A271397"/>
    <w:rsid w:val="0A6B3FC2"/>
    <w:rsid w:val="0A833A22"/>
    <w:rsid w:val="0AA063EB"/>
    <w:rsid w:val="0AAA7647"/>
    <w:rsid w:val="0AC11872"/>
    <w:rsid w:val="0AC90076"/>
    <w:rsid w:val="0AD15BA0"/>
    <w:rsid w:val="0B013EE3"/>
    <w:rsid w:val="0B07078C"/>
    <w:rsid w:val="0B083504"/>
    <w:rsid w:val="0B15754B"/>
    <w:rsid w:val="0B1F5935"/>
    <w:rsid w:val="0B3C2C51"/>
    <w:rsid w:val="0B3E405C"/>
    <w:rsid w:val="0B3F7009"/>
    <w:rsid w:val="0B4458A7"/>
    <w:rsid w:val="0B46262E"/>
    <w:rsid w:val="0B4C3A40"/>
    <w:rsid w:val="0B500022"/>
    <w:rsid w:val="0B7045E1"/>
    <w:rsid w:val="0B7E2F89"/>
    <w:rsid w:val="0B905802"/>
    <w:rsid w:val="0B9F666C"/>
    <w:rsid w:val="0BBA1D82"/>
    <w:rsid w:val="0BC347FD"/>
    <w:rsid w:val="0BCA37D5"/>
    <w:rsid w:val="0BF15F9D"/>
    <w:rsid w:val="0C1A230E"/>
    <w:rsid w:val="0C3769ED"/>
    <w:rsid w:val="0C405AE9"/>
    <w:rsid w:val="0C5E5082"/>
    <w:rsid w:val="0C7C20EA"/>
    <w:rsid w:val="0C820175"/>
    <w:rsid w:val="0C891E59"/>
    <w:rsid w:val="0C8D10FD"/>
    <w:rsid w:val="0C8E2368"/>
    <w:rsid w:val="0CD9479D"/>
    <w:rsid w:val="0CF30BDC"/>
    <w:rsid w:val="0CF6634A"/>
    <w:rsid w:val="0CFE6281"/>
    <w:rsid w:val="0D167FB6"/>
    <w:rsid w:val="0D304BAE"/>
    <w:rsid w:val="0D3E015B"/>
    <w:rsid w:val="0D436728"/>
    <w:rsid w:val="0D485884"/>
    <w:rsid w:val="0D4C7A6F"/>
    <w:rsid w:val="0D603D9F"/>
    <w:rsid w:val="0D76670F"/>
    <w:rsid w:val="0D797F13"/>
    <w:rsid w:val="0D8914F8"/>
    <w:rsid w:val="0D8940E9"/>
    <w:rsid w:val="0DA45EAE"/>
    <w:rsid w:val="0DBC51D1"/>
    <w:rsid w:val="0DD60375"/>
    <w:rsid w:val="0DEF01D5"/>
    <w:rsid w:val="0DF175A7"/>
    <w:rsid w:val="0DF47145"/>
    <w:rsid w:val="0E001228"/>
    <w:rsid w:val="0E0B0D44"/>
    <w:rsid w:val="0E5D7C94"/>
    <w:rsid w:val="0E621A33"/>
    <w:rsid w:val="0E637034"/>
    <w:rsid w:val="0E752887"/>
    <w:rsid w:val="0E7F3529"/>
    <w:rsid w:val="0E8611C8"/>
    <w:rsid w:val="0E935149"/>
    <w:rsid w:val="0E9504DB"/>
    <w:rsid w:val="0E9E7FFF"/>
    <w:rsid w:val="0EE64936"/>
    <w:rsid w:val="0EFC4BFA"/>
    <w:rsid w:val="0F037310"/>
    <w:rsid w:val="0F093411"/>
    <w:rsid w:val="0F0F4EF3"/>
    <w:rsid w:val="0F1375FD"/>
    <w:rsid w:val="0F3559D6"/>
    <w:rsid w:val="0F4B0B9B"/>
    <w:rsid w:val="0F4F5903"/>
    <w:rsid w:val="0F5E3399"/>
    <w:rsid w:val="0F6005A0"/>
    <w:rsid w:val="0F815E5B"/>
    <w:rsid w:val="0F932B0D"/>
    <w:rsid w:val="0F9B173C"/>
    <w:rsid w:val="0FBC3E43"/>
    <w:rsid w:val="0FC304E2"/>
    <w:rsid w:val="0FE90E68"/>
    <w:rsid w:val="0FF86593"/>
    <w:rsid w:val="0FFC0D05"/>
    <w:rsid w:val="1040293C"/>
    <w:rsid w:val="105A6FFF"/>
    <w:rsid w:val="10773356"/>
    <w:rsid w:val="108E37C8"/>
    <w:rsid w:val="10962B5D"/>
    <w:rsid w:val="10983AB5"/>
    <w:rsid w:val="10A84D8E"/>
    <w:rsid w:val="10AA16D7"/>
    <w:rsid w:val="10C30D0C"/>
    <w:rsid w:val="10D57577"/>
    <w:rsid w:val="10DF1DAC"/>
    <w:rsid w:val="10E856D9"/>
    <w:rsid w:val="10F17A2C"/>
    <w:rsid w:val="110C51E9"/>
    <w:rsid w:val="112C1421"/>
    <w:rsid w:val="11341DE4"/>
    <w:rsid w:val="11372F05"/>
    <w:rsid w:val="11483DB8"/>
    <w:rsid w:val="11582BA5"/>
    <w:rsid w:val="11596E29"/>
    <w:rsid w:val="115E5202"/>
    <w:rsid w:val="118E688E"/>
    <w:rsid w:val="11A35C7F"/>
    <w:rsid w:val="11A93703"/>
    <w:rsid w:val="11B50DDF"/>
    <w:rsid w:val="11C10F09"/>
    <w:rsid w:val="11C84D3B"/>
    <w:rsid w:val="11D272C9"/>
    <w:rsid w:val="121876EB"/>
    <w:rsid w:val="121B5A02"/>
    <w:rsid w:val="12277632"/>
    <w:rsid w:val="12285EBD"/>
    <w:rsid w:val="12293E40"/>
    <w:rsid w:val="123D54F1"/>
    <w:rsid w:val="123E5967"/>
    <w:rsid w:val="124B36C1"/>
    <w:rsid w:val="12572299"/>
    <w:rsid w:val="126229AE"/>
    <w:rsid w:val="12764ABC"/>
    <w:rsid w:val="127A296E"/>
    <w:rsid w:val="12BA7242"/>
    <w:rsid w:val="12C64AA0"/>
    <w:rsid w:val="12CB18A0"/>
    <w:rsid w:val="12CB6B01"/>
    <w:rsid w:val="12CE14B2"/>
    <w:rsid w:val="12D930F4"/>
    <w:rsid w:val="131650FC"/>
    <w:rsid w:val="131F18AC"/>
    <w:rsid w:val="133B4987"/>
    <w:rsid w:val="133C481E"/>
    <w:rsid w:val="133E3043"/>
    <w:rsid w:val="13476DD5"/>
    <w:rsid w:val="135F42F1"/>
    <w:rsid w:val="137C2D13"/>
    <w:rsid w:val="139E2747"/>
    <w:rsid w:val="13A83E81"/>
    <w:rsid w:val="13AF3EED"/>
    <w:rsid w:val="13B960B0"/>
    <w:rsid w:val="13D01C80"/>
    <w:rsid w:val="13D10427"/>
    <w:rsid w:val="13E82E90"/>
    <w:rsid w:val="13F314E3"/>
    <w:rsid w:val="14225BE6"/>
    <w:rsid w:val="144956CF"/>
    <w:rsid w:val="144B6EFB"/>
    <w:rsid w:val="145304E0"/>
    <w:rsid w:val="14672133"/>
    <w:rsid w:val="146C6811"/>
    <w:rsid w:val="14733585"/>
    <w:rsid w:val="147F108D"/>
    <w:rsid w:val="148F1B12"/>
    <w:rsid w:val="1495254B"/>
    <w:rsid w:val="14A36AD8"/>
    <w:rsid w:val="14D55697"/>
    <w:rsid w:val="14DF1579"/>
    <w:rsid w:val="14E7292B"/>
    <w:rsid w:val="153C0833"/>
    <w:rsid w:val="15424C54"/>
    <w:rsid w:val="155933BC"/>
    <w:rsid w:val="158139C2"/>
    <w:rsid w:val="15DE599A"/>
    <w:rsid w:val="15EC10B7"/>
    <w:rsid w:val="15FE5570"/>
    <w:rsid w:val="160B00D1"/>
    <w:rsid w:val="16145B44"/>
    <w:rsid w:val="161C075A"/>
    <w:rsid w:val="161C42E3"/>
    <w:rsid w:val="1636620C"/>
    <w:rsid w:val="16497555"/>
    <w:rsid w:val="16535A84"/>
    <w:rsid w:val="1657670E"/>
    <w:rsid w:val="167833C8"/>
    <w:rsid w:val="168459A5"/>
    <w:rsid w:val="169633AD"/>
    <w:rsid w:val="16A51C22"/>
    <w:rsid w:val="16AB5C26"/>
    <w:rsid w:val="16CA6C20"/>
    <w:rsid w:val="16CC1FD3"/>
    <w:rsid w:val="16FF2437"/>
    <w:rsid w:val="1711641B"/>
    <w:rsid w:val="171B79C0"/>
    <w:rsid w:val="174B71D8"/>
    <w:rsid w:val="1786199A"/>
    <w:rsid w:val="179A74E7"/>
    <w:rsid w:val="17B02545"/>
    <w:rsid w:val="17B11B57"/>
    <w:rsid w:val="17B435A3"/>
    <w:rsid w:val="17B87ED1"/>
    <w:rsid w:val="17DB25F0"/>
    <w:rsid w:val="17E5463C"/>
    <w:rsid w:val="17E723F6"/>
    <w:rsid w:val="17E9631D"/>
    <w:rsid w:val="17EC70AE"/>
    <w:rsid w:val="17EE1B2A"/>
    <w:rsid w:val="17F75C26"/>
    <w:rsid w:val="18067563"/>
    <w:rsid w:val="18067FF6"/>
    <w:rsid w:val="181746B2"/>
    <w:rsid w:val="181D6D3D"/>
    <w:rsid w:val="181E086D"/>
    <w:rsid w:val="183A715D"/>
    <w:rsid w:val="18663DE4"/>
    <w:rsid w:val="188A3081"/>
    <w:rsid w:val="188D100A"/>
    <w:rsid w:val="18927AAC"/>
    <w:rsid w:val="18A15F90"/>
    <w:rsid w:val="18A65C19"/>
    <w:rsid w:val="18B00F82"/>
    <w:rsid w:val="18D75F9F"/>
    <w:rsid w:val="18EA5988"/>
    <w:rsid w:val="18EB10F6"/>
    <w:rsid w:val="191C274C"/>
    <w:rsid w:val="191F7E1B"/>
    <w:rsid w:val="19252F74"/>
    <w:rsid w:val="19597C05"/>
    <w:rsid w:val="198B692C"/>
    <w:rsid w:val="198F193F"/>
    <w:rsid w:val="19974177"/>
    <w:rsid w:val="19B608EA"/>
    <w:rsid w:val="19CC46CB"/>
    <w:rsid w:val="19E14607"/>
    <w:rsid w:val="19F72D5A"/>
    <w:rsid w:val="19FC614C"/>
    <w:rsid w:val="1A156242"/>
    <w:rsid w:val="1A221661"/>
    <w:rsid w:val="1A4F0849"/>
    <w:rsid w:val="1A546EE3"/>
    <w:rsid w:val="1A691A21"/>
    <w:rsid w:val="1A773450"/>
    <w:rsid w:val="1A7D6097"/>
    <w:rsid w:val="1AA133A9"/>
    <w:rsid w:val="1AAC20BF"/>
    <w:rsid w:val="1AC1269D"/>
    <w:rsid w:val="1ADA542C"/>
    <w:rsid w:val="1ADF2C79"/>
    <w:rsid w:val="1AF514CA"/>
    <w:rsid w:val="1AF756B1"/>
    <w:rsid w:val="1B0833E2"/>
    <w:rsid w:val="1B293DA0"/>
    <w:rsid w:val="1B403E05"/>
    <w:rsid w:val="1B487802"/>
    <w:rsid w:val="1B490373"/>
    <w:rsid w:val="1B540637"/>
    <w:rsid w:val="1B6C48F8"/>
    <w:rsid w:val="1BB05441"/>
    <w:rsid w:val="1BB446BE"/>
    <w:rsid w:val="1BBE7E2A"/>
    <w:rsid w:val="1BC456DE"/>
    <w:rsid w:val="1BE8619F"/>
    <w:rsid w:val="1BFC012B"/>
    <w:rsid w:val="1C055963"/>
    <w:rsid w:val="1C0639C3"/>
    <w:rsid w:val="1C2A53D1"/>
    <w:rsid w:val="1C5A0D1A"/>
    <w:rsid w:val="1C6E22D0"/>
    <w:rsid w:val="1C6F716C"/>
    <w:rsid w:val="1C936256"/>
    <w:rsid w:val="1CB05709"/>
    <w:rsid w:val="1CB45D88"/>
    <w:rsid w:val="1CE73CDD"/>
    <w:rsid w:val="1CFD4217"/>
    <w:rsid w:val="1D135156"/>
    <w:rsid w:val="1D140D36"/>
    <w:rsid w:val="1D2150B5"/>
    <w:rsid w:val="1D223E34"/>
    <w:rsid w:val="1D373C9E"/>
    <w:rsid w:val="1D40448F"/>
    <w:rsid w:val="1D5906D2"/>
    <w:rsid w:val="1D5D2195"/>
    <w:rsid w:val="1D744167"/>
    <w:rsid w:val="1D9A2EED"/>
    <w:rsid w:val="1D9C3CE5"/>
    <w:rsid w:val="1D9F5FE4"/>
    <w:rsid w:val="1DD008C4"/>
    <w:rsid w:val="1E0316E6"/>
    <w:rsid w:val="1E052285"/>
    <w:rsid w:val="1E097069"/>
    <w:rsid w:val="1E684B04"/>
    <w:rsid w:val="1E773E27"/>
    <w:rsid w:val="1E863010"/>
    <w:rsid w:val="1E921AC0"/>
    <w:rsid w:val="1EC33642"/>
    <w:rsid w:val="1EC37317"/>
    <w:rsid w:val="1EC46128"/>
    <w:rsid w:val="1ED904EA"/>
    <w:rsid w:val="1F0C11E8"/>
    <w:rsid w:val="1F157FAC"/>
    <w:rsid w:val="1F447284"/>
    <w:rsid w:val="1F521A5C"/>
    <w:rsid w:val="1F537767"/>
    <w:rsid w:val="1F7F7313"/>
    <w:rsid w:val="1FBB60DE"/>
    <w:rsid w:val="1FC141D0"/>
    <w:rsid w:val="1FC5532C"/>
    <w:rsid w:val="20125EBD"/>
    <w:rsid w:val="20172329"/>
    <w:rsid w:val="203F6958"/>
    <w:rsid w:val="204E03F0"/>
    <w:rsid w:val="20600764"/>
    <w:rsid w:val="20756C5F"/>
    <w:rsid w:val="20761DEA"/>
    <w:rsid w:val="20877613"/>
    <w:rsid w:val="208C1C62"/>
    <w:rsid w:val="20A330CD"/>
    <w:rsid w:val="20A9504F"/>
    <w:rsid w:val="20C65C2A"/>
    <w:rsid w:val="20FB79A3"/>
    <w:rsid w:val="210A133E"/>
    <w:rsid w:val="21104D07"/>
    <w:rsid w:val="21137C94"/>
    <w:rsid w:val="212F7962"/>
    <w:rsid w:val="2132074C"/>
    <w:rsid w:val="21385848"/>
    <w:rsid w:val="214327BC"/>
    <w:rsid w:val="21455BEA"/>
    <w:rsid w:val="217F5972"/>
    <w:rsid w:val="21830630"/>
    <w:rsid w:val="219B6812"/>
    <w:rsid w:val="21BB6D7E"/>
    <w:rsid w:val="21EA5E20"/>
    <w:rsid w:val="21F56A8E"/>
    <w:rsid w:val="221931DB"/>
    <w:rsid w:val="223A42FD"/>
    <w:rsid w:val="22447B49"/>
    <w:rsid w:val="224F79F7"/>
    <w:rsid w:val="2250018C"/>
    <w:rsid w:val="225E2BAD"/>
    <w:rsid w:val="226A3C59"/>
    <w:rsid w:val="22AF41D8"/>
    <w:rsid w:val="22D84194"/>
    <w:rsid w:val="22E41E93"/>
    <w:rsid w:val="230A09E2"/>
    <w:rsid w:val="2328632C"/>
    <w:rsid w:val="23680C0E"/>
    <w:rsid w:val="23713ACF"/>
    <w:rsid w:val="23871526"/>
    <w:rsid w:val="23A52A6D"/>
    <w:rsid w:val="23A73B5D"/>
    <w:rsid w:val="23C81D41"/>
    <w:rsid w:val="23CB1E3C"/>
    <w:rsid w:val="23D07CFA"/>
    <w:rsid w:val="23F30985"/>
    <w:rsid w:val="23FD224D"/>
    <w:rsid w:val="24134D86"/>
    <w:rsid w:val="241F3191"/>
    <w:rsid w:val="242342EC"/>
    <w:rsid w:val="24476FEA"/>
    <w:rsid w:val="24512D0E"/>
    <w:rsid w:val="245843B3"/>
    <w:rsid w:val="245D5B57"/>
    <w:rsid w:val="246B3544"/>
    <w:rsid w:val="247B2E01"/>
    <w:rsid w:val="247D5480"/>
    <w:rsid w:val="24857D66"/>
    <w:rsid w:val="248A3524"/>
    <w:rsid w:val="248C38B8"/>
    <w:rsid w:val="24D7664B"/>
    <w:rsid w:val="24DE1402"/>
    <w:rsid w:val="24E4362E"/>
    <w:rsid w:val="25373185"/>
    <w:rsid w:val="255726E6"/>
    <w:rsid w:val="25703710"/>
    <w:rsid w:val="25775EF6"/>
    <w:rsid w:val="257763C3"/>
    <w:rsid w:val="258375ED"/>
    <w:rsid w:val="2595421F"/>
    <w:rsid w:val="259E3D1A"/>
    <w:rsid w:val="25A63C1F"/>
    <w:rsid w:val="25A760D9"/>
    <w:rsid w:val="25C24EE0"/>
    <w:rsid w:val="25E0693B"/>
    <w:rsid w:val="25E307D0"/>
    <w:rsid w:val="25FB128E"/>
    <w:rsid w:val="260237D7"/>
    <w:rsid w:val="26040100"/>
    <w:rsid w:val="26196B4F"/>
    <w:rsid w:val="261E09B6"/>
    <w:rsid w:val="261F750A"/>
    <w:rsid w:val="263D65D6"/>
    <w:rsid w:val="264C3E82"/>
    <w:rsid w:val="265C3B3F"/>
    <w:rsid w:val="2666313C"/>
    <w:rsid w:val="26766557"/>
    <w:rsid w:val="26802601"/>
    <w:rsid w:val="268038FC"/>
    <w:rsid w:val="26845A27"/>
    <w:rsid w:val="268C18A8"/>
    <w:rsid w:val="26EC69BC"/>
    <w:rsid w:val="26ED0861"/>
    <w:rsid w:val="26F44DFF"/>
    <w:rsid w:val="26F519E0"/>
    <w:rsid w:val="27151626"/>
    <w:rsid w:val="27463AB1"/>
    <w:rsid w:val="27547370"/>
    <w:rsid w:val="27770BE2"/>
    <w:rsid w:val="277B4476"/>
    <w:rsid w:val="2787081E"/>
    <w:rsid w:val="278B0674"/>
    <w:rsid w:val="278F11C9"/>
    <w:rsid w:val="27A25F63"/>
    <w:rsid w:val="27AE6D4A"/>
    <w:rsid w:val="27B20501"/>
    <w:rsid w:val="27B36FF9"/>
    <w:rsid w:val="27B45834"/>
    <w:rsid w:val="27B768EE"/>
    <w:rsid w:val="27B83D6E"/>
    <w:rsid w:val="27C36E42"/>
    <w:rsid w:val="27C5204D"/>
    <w:rsid w:val="27C552DF"/>
    <w:rsid w:val="27D24223"/>
    <w:rsid w:val="27E5479A"/>
    <w:rsid w:val="28084573"/>
    <w:rsid w:val="2828166D"/>
    <w:rsid w:val="283607DF"/>
    <w:rsid w:val="28410FB1"/>
    <w:rsid w:val="2852270C"/>
    <w:rsid w:val="28594B64"/>
    <w:rsid w:val="287C64DF"/>
    <w:rsid w:val="28925265"/>
    <w:rsid w:val="28BD4D96"/>
    <w:rsid w:val="28BF3787"/>
    <w:rsid w:val="28DD1B96"/>
    <w:rsid w:val="29490F61"/>
    <w:rsid w:val="295276A3"/>
    <w:rsid w:val="29632832"/>
    <w:rsid w:val="297B26F0"/>
    <w:rsid w:val="29825C13"/>
    <w:rsid w:val="298B01ED"/>
    <w:rsid w:val="29A279FA"/>
    <w:rsid w:val="29B048EF"/>
    <w:rsid w:val="29E71D6D"/>
    <w:rsid w:val="2A13092A"/>
    <w:rsid w:val="2A1A14E8"/>
    <w:rsid w:val="2A1C7C51"/>
    <w:rsid w:val="2A3B1041"/>
    <w:rsid w:val="2A6C6AA3"/>
    <w:rsid w:val="2A774CA2"/>
    <w:rsid w:val="2AA16BCC"/>
    <w:rsid w:val="2AC65003"/>
    <w:rsid w:val="2ADD6035"/>
    <w:rsid w:val="2AE4041E"/>
    <w:rsid w:val="2AE45564"/>
    <w:rsid w:val="2AED24D1"/>
    <w:rsid w:val="2B0A0F21"/>
    <w:rsid w:val="2B0D7502"/>
    <w:rsid w:val="2B140A29"/>
    <w:rsid w:val="2B146EFC"/>
    <w:rsid w:val="2B1C54D0"/>
    <w:rsid w:val="2B225C43"/>
    <w:rsid w:val="2B297378"/>
    <w:rsid w:val="2B2F364B"/>
    <w:rsid w:val="2B5A110F"/>
    <w:rsid w:val="2B630168"/>
    <w:rsid w:val="2B714BA7"/>
    <w:rsid w:val="2B804EA2"/>
    <w:rsid w:val="2B854A8C"/>
    <w:rsid w:val="2B8A2664"/>
    <w:rsid w:val="2B92125B"/>
    <w:rsid w:val="2B9F3DC1"/>
    <w:rsid w:val="2BB2126B"/>
    <w:rsid w:val="2BD1498F"/>
    <w:rsid w:val="2BD671F3"/>
    <w:rsid w:val="2BDC385A"/>
    <w:rsid w:val="2BFD3509"/>
    <w:rsid w:val="2C057ACF"/>
    <w:rsid w:val="2C0E664C"/>
    <w:rsid w:val="2C104ECA"/>
    <w:rsid w:val="2C782B0F"/>
    <w:rsid w:val="2CB5705A"/>
    <w:rsid w:val="2CEF5396"/>
    <w:rsid w:val="2D010736"/>
    <w:rsid w:val="2D11387D"/>
    <w:rsid w:val="2D2E2AEF"/>
    <w:rsid w:val="2D3336B7"/>
    <w:rsid w:val="2D3E1A5D"/>
    <w:rsid w:val="2D48322B"/>
    <w:rsid w:val="2D514EA5"/>
    <w:rsid w:val="2D6A746C"/>
    <w:rsid w:val="2D6D6046"/>
    <w:rsid w:val="2D8B7806"/>
    <w:rsid w:val="2D9274BC"/>
    <w:rsid w:val="2DD3558F"/>
    <w:rsid w:val="2DD575EF"/>
    <w:rsid w:val="2DE91DB0"/>
    <w:rsid w:val="2DFC7718"/>
    <w:rsid w:val="2DFD6E1F"/>
    <w:rsid w:val="2E041A0C"/>
    <w:rsid w:val="2E0B39F3"/>
    <w:rsid w:val="2E3D38D4"/>
    <w:rsid w:val="2E511CCD"/>
    <w:rsid w:val="2E8042F9"/>
    <w:rsid w:val="2E960E75"/>
    <w:rsid w:val="2E9621B5"/>
    <w:rsid w:val="2EC05908"/>
    <w:rsid w:val="2EC240A0"/>
    <w:rsid w:val="2EDA37A1"/>
    <w:rsid w:val="2EE75CD4"/>
    <w:rsid w:val="2EE90B65"/>
    <w:rsid w:val="2EF5461F"/>
    <w:rsid w:val="2F0E7715"/>
    <w:rsid w:val="2F1D1195"/>
    <w:rsid w:val="2F254AD3"/>
    <w:rsid w:val="2F387BA5"/>
    <w:rsid w:val="2F546F57"/>
    <w:rsid w:val="2F694ED9"/>
    <w:rsid w:val="2F6F5744"/>
    <w:rsid w:val="2F892EFB"/>
    <w:rsid w:val="2FA16728"/>
    <w:rsid w:val="2FD32D86"/>
    <w:rsid w:val="2FEA1283"/>
    <w:rsid w:val="2FF33C34"/>
    <w:rsid w:val="300172C6"/>
    <w:rsid w:val="3028327F"/>
    <w:rsid w:val="303B4803"/>
    <w:rsid w:val="304754FE"/>
    <w:rsid w:val="307B13F0"/>
    <w:rsid w:val="30877FA2"/>
    <w:rsid w:val="30B751CC"/>
    <w:rsid w:val="30C53661"/>
    <w:rsid w:val="30D44048"/>
    <w:rsid w:val="30DF746F"/>
    <w:rsid w:val="30F2185A"/>
    <w:rsid w:val="30FD381E"/>
    <w:rsid w:val="311B06BF"/>
    <w:rsid w:val="311E4484"/>
    <w:rsid w:val="31303466"/>
    <w:rsid w:val="313E5FA6"/>
    <w:rsid w:val="31483511"/>
    <w:rsid w:val="31500087"/>
    <w:rsid w:val="317B1BB4"/>
    <w:rsid w:val="31840A1A"/>
    <w:rsid w:val="319A3DDA"/>
    <w:rsid w:val="319F634F"/>
    <w:rsid w:val="31C2403B"/>
    <w:rsid w:val="31DC4E32"/>
    <w:rsid w:val="31F46BBE"/>
    <w:rsid w:val="31F91714"/>
    <w:rsid w:val="321564C4"/>
    <w:rsid w:val="321773C3"/>
    <w:rsid w:val="323932FA"/>
    <w:rsid w:val="323D7CAE"/>
    <w:rsid w:val="324E2C45"/>
    <w:rsid w:val="326B21D7"/>
    <w:rsid w:val="32732D45"/>
    <w:rsid w:val="32804858"/>
    <w:rsid w:val="329C620B"/>
    <w:rsid w:val="329E195B"/>
    <w:rsid w:val="32B503D1"/>
    <w:rsid w:val="32CD69C5"/>
    <w:rsid w:val="32ED257A"/>
    <w:rsid w:val="331A4898"/>
    <w:rsid w:val="333F4C11"/>
    <w:rsid w:val="334B0F27"/>
    <w:rsid w:val="3354069D"/>
    <w:rsid w:val="33786650"/>
    <w:rsid w:val="338A0823"/>
    <w:rsid w:val="339A61D5"/>
    <w:rsid w:val="33BE7DA6"/>
    <w:rsid w:val="33E04FD7"/>
    <w:rsid w:val="34071ACD"/>
    <w:rsid w:val="34165DE7"/>
    <w:rsid w:val="342D06C4"/>
    <w:rsid w:val="344A419D"/>
    <w:rsid w:val="34513552"/>
    <w:rsid w:val="345D12DA"/>
    <w:rsid w:val="346D18F3"/>
    <w:rsid w:val="346E24B7"/>
    <w:rsid w:val="3472731F"/>
    <w:rsid w:val="3474691E"/>
    <w:rsid w:val="34821026"/>
    <w:rsid w:val="348E1828"/>
    <w:rsid w:val="34A0748A"/>
    <w:rsid w:val="34A7329F"/>
    <w:rsid w:val="34EB3E3A"/>
    <w:rsid w:val="350E4328"/>
    <w:rsid w:val="354F5102"/>
    <w:rsid w:val="357C7ECF"/>
    <w:rsid w:val="35804A8A"/>
    <w:rsid w:val="35816AF9"/>
    <w:rsid w:val="358E3FAD"/>
    <w:rsid w:val="359B7273"/>
    <w:rsid w:val="35A15883"/>
    <w:rsid w:val="35A2652A"/>
    <w:rsid w:val="35B77D96"/>
    <w:rsid w:val="35C1135D"/>
    <w:rsid w:val="35C95639"/>
    <w:rsid w:val="35CC02DE"/>
    <w:rsid w:val="35D23421"/>
    <w:rsid w:val="35D36C45"/>
    <w:rsid w:val="35D9634F"/>
    <w:rsid w:val="35E87AA2"/>
    <w:rsid w:val="360A4520"/>
    <w:rsid w:val="360A77BD"/>
    <w:rsid w:val="361911CB"/>
    <w:rsid w:val="367D0EBB"/>
    <w:rsid w:val="367E675A"/>
    <w:rsid w:val="36981107"/>
    <w:rsid w:val="36BA5E77"/>
    <w:rsid w:val="36C5007D"/>
    <w:rsid w:val="3705599A"/>
    <w:rsid w:val="372407F6"/>
    <w:rsid w:val="3730725F"/>
    <w:rsid w:val="37574216"/>
    <w:rsid w:val="375B5A08"/>
    <w:rsid w:val="376541A4"/>
    <w:rsid w:val="376D787B"/>
    <w:rsid w:val="37723228"/>
    <w:rsid w:val="37732049"/>
    <w:rsid w:val="379C220F"/>
    <w:rsid w:val="37B03042"/>
    <w:rsid w:val="37C603AA"/>
    <w:rsid w:val="37D13683"/>
    <w:rsid w:val="37D72E32"/>
    <w:rsid w:val="37EB7966"/>
    <w:rsid w:val="381F1EBF"/>
    <w:rsid w:val="383E45D6"/>
    <w:rsid w:val="3843763D"/>
    <w:rsid w:val="38445883"/>
    <w:rsid w:val="38695F66"/>
    <w:rsid w:val="3873242A"/>
    <w:rsid w:val="387A7E7C"/>
    <w:rsid w:val="38920AFA"/>
    <w:rsid w:val="389D1EE2"/>
    <w:rsid w:val="389E1413"/>
    <w:rsid w:val="38AC5924"/>
    <w:rsid w:val="38C20631"/>
    <w:rsid w:val="38CF200E"/>
    <w:rsid w:val="38E8660F"/>
    <w:rsid w:val="38E95CE5"/>
    <w:rsid w:val="38F2532E"/>
    <w:rsid w:val="38F6372F"/>
    <w:rsid w:val="38FF2E69"/>
    <w:rsid w:val="39071917"/>
    <w:rsid w:val="390E2D96"/>
    <w:rsid w:val="393671A8"/>
    <w:rsid w:val="39521EB6"/>
    <w:rsid w:val="395D11AD"/>
    <w:rsid w:val="39943506"/>
    <w:rsid w:val="39E82317"/>
    <w:rsid w:val="39F11AC1"/>
    <w:rsid w:val="39F911BA"/>
    <w:rsid w:val="3A06678A"/>
    <w:rsid w:val="3A2A4049"/>
    <w:rsid w:val="3A361C55"/>
    <w:rsid w:val="3A364A6F"/>
    <w:rsid w:val="3A3E4AAD"/>
    <w:rsid w:val="3A40178A"/>
    <w:rsid w:val="3A723320"/>
    <w:rsid w:val="3A7C42C9"/>
    <w:rsid w:val="3A832F57"/>
    <w:rsid w:val="3AAB6CAF"/>
    <w:rsid w:val="3AB077FB"/>
    <w:rsid w:val="3AC51D5B"/>
    <w:rsid w:val="3AC53C21"/>
    <w:rsid w:val="3AE82B6A"/>
    <w:rsid w:val="3B026829"/>
    <w:rsid w:val="3B0F7910"/>
    <w:rsid w:val="3B1D3077"/>
    <w:rsid w:val="3B3932CD"/>
    <w:rsid w:val="3B4A3032"/>
    <w:rsid w:val="3B5240E5"/>
    <w:rsid w:val="3B526E56"/>
    <w:rsid w:val="3B6424BF"/>
    <w:rsid w:val="3B6936D5"/>
    <w:rsid w:val="3B811F48"/>
    <w:rsid w:val="3BC31009"/>
    <w:rsid w:val="3BC8310D"/>
    <w:rsid w:val="3C2220BD"/>
    <w:rsid w:val="3C383A8B"/>
    <w:rsid w:val="3C446C8B"/>
    <w:rsid w:val="3C6642EF"/>
    <w:rsid w:val="3C687FDC"/>
    <w:rsid w:val="3C7726C2"/>
    <w:rsid w:val="3C780AA5"/>
    <w:rsid w:val="3C8D05F3"/>
    <w:rsid w:val="3CA1310E"/>
    <w:rsid w:val="3CB74552"/>
    <w:rsid w:val="3CBF7488"/>
    <w:rsid w:val="3CD12983"/>
    <w:rsid w:val="3CDC257C"/>
    <w:rsid w:val="3CF81BCF"/>
    <w:rsid w:val="3D0809EC"/>
    <w:rsid w:val="3D2402E8"/>
    <w:rsid w:val="3D382128"/>
    <w:rsid w:val="3D4C374C"/>
    <w:rsid w:val="3D8F7BC5"/>
    <w:rsid w:val="3DC000B1"/>
    <w:rsid w:val="3DE54499"/>
    <w:rsid w:val="3DFD44B4"/>
    <w:rsid w:val="3E0B01AF"/>
    <w:rsid w:val="3E1255EA"/>
    <w:rsid w:val="3E2905E0"/>
    <w:rsid w:val="3E356B36"/>
    <w:rsid w:val="3E3B0BA2"/>
    <w:rsid w:val="3E696AF3"/>
    <w:rsid w:val="3E713795"/>
    <w:rsid w:val="3E985DC1"/>
    <w:rsid w:val="3EA33820"/>
    <w:rsid w:val="3EBE4205"/>
    <w:rsid w:val="3ED13575"/>
    <w:rsid w:val="3ED37B27"/>
    <w:rsid w:val="3ED672CE"/>
    <w:rsid w:val="3EDB1ECA"/>
    <w:rsid w:val="3EF14D65"/>
    <w:rsid w:val="3F047B60"/>
    <w:rsid w:val="3F3C178B"/>
    <w:rsid w:val="3F3C4F5E"/>
    <w:rsid w:val="3F3D458A"/>
    <w:rsid w:val="3F4E3F87"/>
    <w:rsid w:val="3F6B20CB"/>
    <w:rsid w:val="3F8670E4"/>
    <w:rsid w:val="3FAC1AE4"/>
    <w:rsid w:val="3FC02573"/>
    <w:rsid w:val="3FD370A0"/>
    <w:rsid w:val="3FDC6086"/>
    <w:rsid w:val="3FDD5294"/>
    <w:rsid w:val="3FE10ACC"/>
    <w:rsid w:val="3FE66CBB"/>
    <w:rsid w:val="3FF57AA3"/>
    <w:rsid w:val="40005504"/>
    <w:rsid w:val="402E1926"/>
    <w:rsid w:val="404C5975"/>
    <w:rsid w:val="40521806"/>
    <w:rsid w:val="405F474B"/>
    <w:rsid w:val="40622382"/>
    <w:rsid w:val="40697608"/>
    <w:rsid w:val="40A57733"/>
    <w:rsid w:val="411049FC"/>
    <w:rsid w:val="411A7F70"/>
    <w:rsid w:val="415316E0"/>
    <w:rsid w:val="41546F5A"/>
    <w:rsid w:val="417013DA"/>
    <w:rsid w:val="41766ACA"/>
    <w:rsid w:val="41796E89"/>
    <w:rsid w:val="417F73F6"/>
    <w:rsid w:val="41A53F4D"/>
    <w:rsid w:val="41B3660D"/>
    <w:rsid w:val="41B43B4C"/>
    <w:rsid w:val="41FB27EF"/>
    <w:rsid w:val="41FB4F0D"/>
    <w:rsid w:val="42045F55"/>
    <w:rsid w:val="42127AEA"/>
    <w:rsid w:val="42354DC5"/>
    <w:rsid w:val="423E0C4B"/>
    <w:rsid w:val="42507B54"/>
    <w:rsid w:val="42735D45"/>
    <w:rsid w:val="427A49FB"/>
    <w:rsid w:val="427C0258"/>
    <w:rsid w:val="42A47D23"/>
    <w:rsid w:val="42CE1E27"/>
    <w:rsid w:val="42D0698F"/>
    <w:rsid w:val="42D91EF5"/>
    <w:rsid w:val="42EF2219"/>
    <w:rsid w:val="431B4931"/>
    <w:rsid w:val="43304DC2"/>
    <w:rsid w:val="433C6C43"/>
    <w:rsid w:val="43726D4E"/>
    <w:rsid w:val="43802C30"/>
    <w:rsid w:val="438A5A6B"/>
    <w:rsid w:val="43A06254"/>
    <w:rsid w:val="43BC2C7F"/>
    <w:rsid w:val="43D931E1"/>
    <w:rsid w:val="43F517E7"/>
    <w:rsid w:val="440A4E42"/>
    <w:rsid w:val="440F09D8"/>
    <w:rsid w:val="44145584"/>
    <w:rsid w:val="441A4E29"/>
    <w:rsid w:val="44237FCD"/>
    <w:rsid w:val="44454DE8"/>
    <w:rsid w:val="445F0427"/>
    <w:rsid w:val="446E7964"/>
    <w:rsid w:val="448A3879"/>
    <w:rsid w:val="449222CE"/>
    <w:rsid w:val="44E66741"/>
    <w:rsid w:val="44ED7049"/>
    <w:rsid w:val="45312E6A"/>
    <w:rsid w:val="453721D7"/>
    <w:rsid w:val="453B36F8"/>
    <w:rsid w:val="453E75D7"/>
    <w:rsid w:val="454E5D78"/>
    <w:rsid w:val="45505A92"/>
    <w:rsid w:val="4558495F"/>
    <w:rsid w:val="456F3A5E"/>
    <w:rsid w:val="45775497"/>
    <w:rsid w:val="457E3699"/>
    <w:rsid w:val="45840EF4"/>
    <w:rsid w:val="45C40201"/>
    <w:rsid w:val="45E37A86"/>
    <w:rsid w:val="45EF50A4"/>
    <w:rsid w:val="460A0420"/>
    <w:rsid w:val="461A580C"/>
    <w:rsid w:val="463F27D6"/>
    <w:rsid w:val="465E2CD1"/>
    <w:rsid w:val="466E1D60"/>
    <w:rsid w:val="467263F8"/>
    <w:rsid w:val="467D6F40"/>
    <w:rsid w:val="46857660"/>
    <w:rsid w:val="46AD0A68"/>
    <w:rsid w:val="46B77493"/>
    <w:rsid w:val="46EB37D9"/>
    <w:rsid w:val="470F23AB"/>
    <w:rsid w:val="47274190"/>
    <w:rsid w:val="473E0507"/>
    <w:rsid w:val="476F7531"/>
    <w:rsid w:val="47866BB6"/>
    <w:rsid w:val="479A5AB7"/>
    <w:rsid w:val="479D4AA5"/>
    <w:rsid w:val="47A238B3"/>
    <w:rsid w:val="47B62EED"/>
    <w:rsid w:val="47D373A2"/>
    <w:rsid w:val="47D56C14"/>
    <w:rsid w:val="47DD2E02"/>
    <w:rsid w:val="47F3757C"/>
    <w:rsid w:val="47FC2983"/>
    <w:rsid w:val="47FF22A2"/>
    <w:rsid w:val="48186CC8"/>
    <w:rsid w:val="482821A7"/>
    <w:rsid w:val="483457FD"/>
    <w:rsid w:val="48465B62"/>
    <w:rsid w:val="484D179A"/>
    <w:rsid w:val="484E6B7C"/>
    <w:rsid w:val="485E489A"/>
    <w:rsid w:val="48693316"/>
    <w:rsid w:val="48741FEF"/>
    <w:rsid w:val="487D111F"/>
    <w:rsid w:val="487F7F96"/>
    <w:rsid w:val="48802E60"/>
    <w:rsid w:val="488A49DA"/>
    <w:rsid w:val="488E4FAA"/>
    <w:rsid w:val="489E7F8D"/>
    <w:rsid w:val="48EC6D53"/>
    <w:rsid w:val="48F47029"/>
    <w:rsid w:val="48F50630"/>
    <w:rsid w:val="49024282"/>
    <w:rsid w:val="49096891"/>
    <w:rsid w:val="49301BDD"/>
    <w:rsid w:val="493F158D"/>
    <w:rsid w:val="49406FC1"/>
    <w:rsid w:val="4942650D"/>
    <w:rsid w:val="49457EA6"/>
    <w:rsid w:val="49593179"/>
    <w:rsid w:val="496E4A44"/>
    <w:rsid w:val="496F35F7"/>
    <w:rsid w:val="49866A35"/>
    <w:rsid w:val="49900DF4"/>
    <w:rsid w:val="49951494"/>
    <w:rsid w:val="499722A0"/>
    <w:rsid w:val="49C22FD9"/>
    <w:rsid w:val="49C80067"/>
    <w:rsid w:val="49CE533D"/>
    <w:rsid w:val="49F303A5"/>
    <w:rsid w:val="49FF1575"/>
    <w:rsid w:val="4A037D46"/>
    <w:rsid w:val="4A0965F6"/>
    <w:rsid w:val="4A11580F"/>
    <w:rsid w:val="4A155BDA"/>
    <w:rsid w:val="4A1A1D8F"/>
    <w:rsid w:val="4A4A0394"/>
    <w:rsid w:val="4A4A1ADF"/>
    <w:rsid w:val="4A6F14DE"/>
    <w:rsid w:val="4A7A15E9"/>
    <w:rsid w:val="4A7A5C0C"/>
    <w:rsid w:val="4A872A1A"/>
    <w:rsid w:val="4AB86107"/>
    <w:rsid w:val="4AC56C65"/>
    <w:rsid w:val="4AC90EE7"/>
    <w:rsid w:val="4ACC17DB"/>
    <w:rsid w:val="4ACD0C2E"/>
    <w:rsid w:val="4AD93F44"/>
    <w:rsid w:val="4ADE1D01"/>
    <w:rsid w:val="4AEF6226"/>
    <w:rsid w:val="4AF764BD"/>
    <w:rsid w:val="4B1072CE"/>
    <w:rsid w:val="4B1E06E1"/>
    <w:rsid w:val="4B296B88"/>
    <w:rsid w:val="4B29791F"/>
    <w:rsid w:val="4B343D21"/>
    <w:rsid w:val="4B4C0904"/>
    <w:rsid w:val="4B71301B"/>
    <w:rsid w:val="4B8B2692"/>
    <w:rsid w:val="4B9059C0"/>
    <w:rsid w:val="4BAA29A6"/>
    <w:rsid w:val="4BB122ED"/>
    <w:rsid w:val="4BB733EC"/>
    <w:rsid w:val="4BCF1CD7"/>
    <w:rsid w:val="4BD93354"/>
    <w:rsid w:val="4C0032DC"/>
    <w:rsid w:val="4C1F1DAF"/>
    <w:rsid w:val="4C2E1399"/>
    <w:rsid w:val="4C325EAB"/>
    <w:rsid w:val="4C370A2E"/>
    <w:rsid w:val="4C5B7C2C"/>
    <w:rsid w:val="4C7412FC"/>
    <w:rsid w:val="4C77673B"/>
    <w:rsid w:val="4C7D3862"/>
    <w:rsid w:val="4C94526C"/>
    <w:rsid w:val="4CA23645"/>
    <w:rsid w:val="4CBD4127"/>
    <w:rsid w:val="4CD53A50"/>
    <w:rsid w:val="4D0223CC"/>
    <w:rsid w:val="4D2A557C"/>
    <w:rsid w:val="4D405769"/>
    <w:rsid w:val="4D4B38E7"/>
    <w:rsid w:val="4D4F4F51"/>
    <w:rsid w:val="4D91000A"/>
    <w:rsid w:val="4D95060A"/>
    <w:rsid w:val="4DA10A4C"/>
    <w:rsid w:val="4DBC5015"/>
    <w:rsid w:val="4DDC2F0F"/>
    <w:rsid w:val="4DE50869"/>
    <w:rsid w:val="4DF36B00"/>
    <w:rsid w:val="4DF9376D"/>
    <w:rsid w:val="4E106DFF"/>
    <w:rsid w:val="4E2560E2"/>
    <w:rsid w:val="4E395CCC"/>
    <w:rsid w:val="4E5B3830"/>
    <w:rsid w:val="4E746596"/>
    <w:rsid w:val="4E843B53"/>
    <w:rsid w:val="4E8608C2"/>
    <w:rsid w:val="4E8C55EC"/>
    <w:rsid w:val="4E964534"/>
    <w:rsid w:val="4EA527EC"/>
    <w:rsid w:val="4EDB6EAA"/>
    <w:rsid w:val="4EE8476D"/>
    <w:rsid w:val="4EF159E9"/>
    <w:rsid w:val="4F1A2FE5"/>
    <w:rsid w:val="4F1E4C61"/>
    <w:rsid w:val="4F2326B2"/>
    <w:rsid w:val="4F541037"/>
    <w:rsid w:val="4F627AEE"/>
    <w:rsid w:val="4F6A68E6"/>
    <w:rsid w:val="4F746A59"/>
    <w:rsid w:val="4F9255C1"/>
    <w:rsid w:val="4F9346B1"/>
    <w:rsid w:val="4FD2350C"/>
    <w:rsid w:val="4FE50F2F"/>
    <w:rsid w:val="4FE6453D"/>
    <w:rsid w:val="500E794B"/>
    <w:rsid w:val="501D5717"/>
    <w:rsid w:val="504016A7"/>
    <w:rsid w:val="504B693D"/>
    <w:rsid w:val="50582BE6"/>
    <w:rsid w:val="506A02B0"/>
    <w:rsid w:val="507C6D2D"/>
    <w:rsid w:val="507F4155"/>
    <w:rsid w:val="50824B78"/>
    <w:rsid w:val="50D049A3"/>
    <w:rsid w:val="50DC38D0"/>
    <w:rsid w:val="50FE213E"/>
    <w:rsid w:val="510F3219"/>
    <w:rsid w:val="513A36F2"/>
    <w:rsid w:val="514D4707"/>
    <w:rsid w:val="515B7EC3"/>
    <w:rsid w:val="51666616"/>
    <w:rsid w:val="51693403"/>
    <w:rsid w:val="51756077"/>
    <w:rsid w:val="51811E9E"/>
    <w:rsid w:val="51862D94"/>
    <w:rsid w:val="51986B95"/>
    <w:rsid w:val="5199639C"/>
    <w:rsid w:val="519E2CCF"/>
    <w:rsid w:val="51AC2680"/>
    <w:rsid w:val="51C55364"/>
    <w:rsid w:val="51D011AC"/>
    <w:rsid w:val="51FB3172"/>
    <w:rsid w:val="52065BDC"/>
    <w:rsid w:val="5237174D"/>
    <w:rsid w:val="52433DA9"/>
    <w:rsid w:val="526C2F5D"/>
    <w:rsid w:val="52A20EA4"/>
    <w:rsid w:val="52A3083E"/>
    <w:rsid w:val="52B6717C"/>
    <w:rsid w:val="52C153D3"/>
    <w:rsid w:val="52D02D95"/>
    <w:rsid w:val="52DB22B4"/>
    <w:rsid w:val="52DC4DB9"/>
    <w:rsid w:val="52F02399"/>
    <w:rsid w:val="53441C42"/>
    <w:rsid w:val="53473378"/>
    <w:rsid w:val="535D1D36"/>
    <w:rsid w:val="536721A2"/>
    <w:rsid w:val="53B4545D"/>
    <w:rsid w:val="53B61720"/>
    <w:rsid w:val="53D02FDC"/>
    <w:rsid w:val="53D57469"/>
    <w:rsid w:val="53DB5FC3"/>
    <w:rsid w:val="53E31820"/>
    <w:rsid w:val="541F461B"/>
    <w:rsid w:val="5424507B"/>
    <w:rsid w:val="543F4AB0"/>
    <w:rsid w:val="54530711"/>
    <w:rsid w:val="54A03DD3"/>
    <w:rsid w:val="54AB3FF6"/>
    <w:rsid w:val="54DE4791"/>
    <w:rsid w:val="550A72C5"/>
    <w:rsid w:val="55120FB8"/>
    <w:rsid w:val="5530108D"/>
    <w:rsid w:val="55364FDF"/>
    <w:rsid w:val="553B1B4F"/>
    <w:rsid w:val="55465881"/>
    <w:rsid w:val="557B711A"/>
    <w:rsid w:val="55851A58"/>
    <w:rsid w:val="55AF533F"/>
    <w:rsid w:val="55C335C4"/>
    <w:rsid w:val="55FB3240"/>
    <w:rsid w:val="55FD2FD6"/>
    <w:rsid w:val="562E1193"/>
    <w:rsid w:val="56303B27"/>
    <w:rsid w:val="5635322E"/>
    <w:rsid w:val="56424E64"/>
    <w:rsid w:val="566E580A"/>
    <w:rsid w:val="56765AF4"/>
    <w:rsid w:val="568D3A3E"/>
    <w:rsid w:val="56963C92"/>
    <w:rsid w:val="569D7ED6"/>
    <w:rsid w:val="56B71485"/>
    <w:rsid w:val="56EF3E3A"/>
    <w:rsid w:val="57100009"/>
    <w:rsid w:val="57255ADE"/>
    <w:rsid w:val="5736638D"/>
    <w:rsid w:val="5750187C"/>
    <w:rsid w:val="57525A24"/>
    <w:rsid w:val="5795526B"/>
    <w:rsid w:val="57DB76EA"/>
    <w:rsid w:val="57E32DBF"/>
    <w:rsid w:val="57F14CF6"/>
    <w:rsid w:val="57F42388"/>
    <w:rsid w:val="581036C2"/>
    <w:rsid w:val="58107AD6"/>
    <w:rsid w:val="581B44E2"/>
    <w:rsid w:val="581C5290"/>
    <w:rsid w:val="581D6A04"/>
    <w:rsid w:val="582366FF"/>
    <w:rsid w:val="583122EB"/>
    <w:rsid w:val="58343C9B"/>
    <w:rsid w:val="583F6084"/>
    <w:rsid w:val="58500FC7"/>
    <w:rsid w:val="58581431"/>
    <w:rsid w:val="58644CB8"/>
    <w:rsid w:val="586A3DED"/>
    <w:rsid w:val="5894276A"/>
    <w:rsid w:val="58956CAE"/>
    <w:rsid w:val="58B65BDF"/>
    <w:rsid w:val="58C60304"/>
    <w:rsid w:val="58F23853"/>
    <w:rsid w:val="58FD39A3"/>
    <w:rsid w:val="59111A46"/>
    <w:rsid w:val="59372200"/>
    <w:rsid w:val="594A3628"/>
    <w:rsid w:val="595D107A"/>
    <w:rsid w:val="59631A50"/>
    <w:rsid w:val="596525B8"/>
    <w:rsid w:val="597361A2"/>
    <w:rsid w:val="59806662"/>
    <w:rsid w:val="59844482"/>
    <w:rsid w:val="59861B7A"/>
    <w:rsid w:val="59A139ED"/>
    <w:rsid w:val="59A23EFA"/>
    <w:rsid w:val="59AD415E"/>
    <w:rsid w:val="59B86E65"/>
    <w:rsid w:val="59D37C59"/>
    <w:rsid w:val="59DB02EE"/>
    <w:rsid w:val="59F36270"/>
    <w:rsid w:val="59F46CB0"/>
    <w:rsid w:val="59FC3F76"/>
    <w:rsid w:val="5A0A0B42"/>
    <w:rsid w:val="5A0F0CF8"/>
    <w:rsid w:val="5A1A0670"/>
    <w:rsid w:val="5A336481"/>
    <w:rsid w:val="5A487F1D"/>
    <w:rsid w:val="5A6825F5"/>
    <w:rsid w:val="5A764B77"/>
    <w:rsid w:val="5A86306A"/>
    <w:rsid w:val="5AB36BF6"/>
    <w:rsid w:val="5AB51637"/>
    <w:rsid w:val="5ACE7A2F"/>
    <w:rsid w:val="5AD366DC"/>
    <w:rsid w:val="5AD55BD3"/>
    <w:rsid w:val="5AE41730"/>
    <w:rsid w:val="5AF56D32"/>
    <w:rsid w:val="5B0E1CFC"/>
    <w:rsid w:val="5B1B17F8"/>
    <w:rsid w:val="5B5C6A3D"/>
    <w:rsid w:val="5B632414"/>
    <w:rsid w:val="5B664341"/>
    <w:rsid w:val="5B760F19"/>
    <w:rsid w:val="5B7D118C"/>
    <w:rsid w:val="5B7D6456"/>
    <w:rsid w:val="5B8B1350"/>
    <w:rsid w:val="5BBF74BC"/>
    <w:rsid w:val="5BCB35CE"/>
    <w:rsid w:val="5BD72B68"/>
    <w:rsid w:val="5C0841BC"/>
    <w:rsid w:val="5C1178F0"/>
    <w:rsid w:val="5C290CF7"/>
    <w:rsid w:val="5C301F73"/>
    <w:rsid w:val="5C333CFE"/>
    <w:rsid w:val="5C662780"/>
    <w:rsid w:val="5C6C1369"/>
    <w:rsid w:val="5C936AAB"/>
    <w:rsid w:val="5C9B6EE8"/>
    <w:rsid w:val="5C9D27A8"/>
    <w:rsid w:val="5C9D5993"/>
    <w:rsid w:val="5CC06281"/>
    <w:rsid w:val="5CC564CE"/>
    <w:rsid w:val="5CF01795"/>
    <w:rsid w:val="5CF13AAF"/>
    <w:rsid w:val="5CF2210A"/>
    <w:rsid w:val="5D0E5AC9"/>
    <w:rsid w:val="5D1322E8"/>
    <w:rsid w:val="5D191600"/>
    <w:rsid w:val="5D27104D"/>
    <w:rsid w:val="5D397C69"/>
    <w:rsid w:val="5D612B4F"/>
    <w:rsid w:val="5D6301E8"/>
    <w:rsid w:val="5D7F3085"/>
    <w:rsid w:val="5D823668"/>
    <w:rsid w:val="5DBA56F2"/>
    <w:rsid w:val="5DC91BD0"/>
    <w:rsid w:val="5DDA10DC"/>
    <w:rsid w:val="5DDD462E"/>
    <w:rsid w:val="5DE41CD3"/>
    <w:rsid w:val="5DF3033F"/>
    <w:rsid w:val="5DFB28EC"/>
    <w:rsid w:val="5E1A2B91"/>
    <w:rsid w:val="5E215573"/>
    <w:rsid w:val="5E49785A"/>
    <w:rsid w:val="5E577B04"/>
    <w:rsid w:val="5E5F54E5"/>
    <w:rsid w:val="5E8D36A1"/>
    <w:rsid w:val="5EA62E7A"/>
    <w:rsid w:val="5ECA3D7B"/>
    <w:rsid w:val="5ECC54BB"/>
    <w:rsid w:val="5ED1418D"/>
    <w:rsid w:val="5EF31B17"/>
    <w:rsid w:val="5EF84D97"/>
    <w:rsid w:val="5EF87E16"/>
    <w:rsid w:val="5F0533D9"/>
    <w:rsid w:val="5F1965E8"/>
    <w:rsid w:val="5F21714C"/>
    <w:rsid w:val="5F2543FE"/>
    <w:rsid w:val="5F4F287E"/>
    <w:rsid w:val="5F6041F9"/>
    <w:rsid w:val="5F7A7F20"/>
    <w:rsid w:val="5F845476"/>
    <w:rsid w:val="5F8A5E5E"/>
    <w:rsid w:val="5F9228EE"/>
    <w:rsid w:val="5FD02AAE"/>
    <w:rsid w:val="5FE235FD"/>
    <w:rsid w:val="60034D08"/>
    <w:rsid w:val="60233356"/>
    <w:rsid w:val="603E5900"/>
    <w:rsid w:val="60423396"/>
    <w:rsid w:val="60562FC6"/>
    <w:rsid w:val="60563A62"/>
    <w:rsid w:val="60590A7D"/>
    <w:rsid w:val="6069168F"/>
    <w:rsid w:val="607F436F"/>
    <w:rsid w:val="608154C0"/>
    <w:rsid w:val="60A70F8F"/>
    <w:rsid w:val="60B11A72"/>
    <w:rsid w:val="60C70EC5"/>
    <w:rsid w:val="60D50DFC"/>
    <w:rsid w:val="60FD0B8D"/>
    <w:rsid w:val="611E54E6"/>
    <w:rsid w:val="613A3FCA"/>
    <w:rsid w:val="6143345B"/>
    <w:rsid w:val="61493688"/>
    <w:rsid w:val="615F3A1A"/>
    <w:rsid w:val="61A20732"/>
    <w:rsid w:val="61A25520"/>
    <w:rsid w:val="61AE56AF"/>
    <w:rsid w:val="61B06B6F"/>
    <w:rsid w:val="61B47FAA"/>
    <w:rsid w:val="61B503C9"/>
    <w:rsid w:val="61BC252B"/>
    <w:rsid w:val="61CF502F"/>
    <w:rsid w:val="61EA0D51"/>
    <w:rsid w:val="61F30079"/>
    <w:rsid w:val="61F33450"/>
    <w:rsid w:val="6218293E"/>
    <w:rsid w:val="622032DE"/>
    <w:rsid w:val="623E283F"/>
    <w:rsid w:val="62455BD7"/>
    <w:rsid w:val="625A687D"/>
    <w:rsid w:val="62656433"/>
    <w:rsid w:val="62717173"/>
    <w:rsid w:val="62790860"/>
    <w:rsid w:val="628701A5"/>
    <w:rsid w:val="62897B69"/>
    <w:rsid w:val="628B725A"/>
    <w:rsid w:val="62943198"/>
    <w:rsid w:val="62A37EB3"/>
    <w:rsid w:val="62D13013"/>
    <w:rsid w:val="62D27290"/>
    <w:rsid w:val="62DD072E"/>
    <w:rsid w:val="62F279FB"/>
    <w:rsid w:val="62F97866"/>
    <w:rsid w:val="6308059F"/>
    <w:rsid w:val="633A63BB"/>
    <w:rsid w:val="635479D9"/>
    <w:rsid w:val="63622C13"/>
    <w:rsid w:val="636B2FFC"/>
    <w:rsid w:val="636C00E5"/>
    <w:rsid w:val="6379276E"/>
    <w:rsid w:val="637D2D56"/>
    <w:rsid w:val="6387436B"/>
    <w:rsid w:val="639E447B"/>
    <w:rsid w:val="63A64DC2"/>
    <w:rsid w:val="63CC3A17"/>
    <w:rsid w:val="63DB08E2"/>
    <w:rsid w:val="63E749FD"/>
    <w:rsid w:val="63EE320E"/>
    <w:rsid w:val="63EF5BB2"/>
    <w:rsid w:val="641B4B01"/>
    <w:rsid w:val="64217D01"/>
    <w:rsid w:val="642B7C88"/>
    <w:rsid w:val="64310676"/>
    <w:rsid w:val="64336052"/>
    <w:rsid w:val="643F5DAE"/>
    <w:rsid w:val="644C18E2"/>
    <w:rsid w:val="646D00B0"/>
    <w:rsid w:val="64711508"/>
    <w:rsid w:val="64A42DEA"/>
    <w:rsid w:val="650E69DF"/>
    <w:rsid w:val="652B17F5"/>
    <w:rsid w:val="652C500A"/>
    <w:rsid w:val="6535060B"/>
    <w:rsid w:val="654344D8"/>
    <w:rsid w:val="65526138"/>
    <w:rsid w:val="65745436"/>
    <w:rsid w:val="658E0CD5"/>
    <w:rsid w:val="65986078"/>
    <w:rsid w:val="65A24C17"/>
    <w:rsid w:val="65A95FB3"/>
    <w:rsid w:val="65FD7D01"/>
    <w:rsid w:val="66011A3A"/>
    <w:rsid w:val="661D24C6"/>
    <w:rsid w:val="662A323B"/>
    <w:rsid w:val="662E5628"/>
    <w:rsid w:val="6649083A"/>
    <w:rsid w:val="666D6758"/>
    <w:rsid w:val="6675734B"/>
    <w:rsid w:val="6685416D"/>
    <w:rsid w:val="66880FB7"/>
    <w:rsid w:val="66A6228B"/>
    <w:rsid w:val="66EC0FA2"/>
    <w:rsid w:val="66FF3681"/>
    <w:rsid w:val="670758A9"/>
    <w:rsid w:val="670868E6"/>
    <w:rsid w:val="67097F2A"/>
    <w:rsid w:val="67365741"/>
    <w:rsid w:val="673A00BB"/>
    <w:rsid w:val="67802B2D"/>
    <w:rsid w:val="67806110"/>
    <w:rsid w:val="679552D6"/>
    <w:rsid w:val="67AB1333"/>
    <w:rsid w:val="67BF3A40"/>
    <w:rsid w:val="67D67ACB"/>
    <w:rsid w:val="67EC292F"/>
    <w:rsid w:val="67EE5F1E"/>
    <w:rsid w:val="67EF53A7"/>
    <w:rsid w:val="6803173F"/>
    <w:rsid w:val="68045945"/>
    <w:rsid w:val="681B4A80"/>
    <w:rsid w:val="681D0D50"/>
    <w:rsid w:val="6832582C"/>
    <w:rsid w:val="68521D9E"/>
    <w:rsid w:val="686306AD"/>
    <w:rsid w:val="687A3DF2"/>
    <w:rsid w:val="68903F0A"/>
    <w:rsid w:val="689E0CED"/>
    <w:rsid w:val="68A20DF6"/>
    <w:rsid w:val="68AC76C4"/>
    <w:rsid w:val="68AE40A9"/>
    <w:rsid w:val="68BC2586"/>
    <w:rsid w:val="68D0186E"/>
    <w:rsid w:val="68D55517"/>
    <w:rsid w:val="68E84A2A"/>
    <w:rsid w:val="68EA0ED1"/>
    <w:rsid w:val="69025093"/>
    <w:rsid w:val="691B726D"/>
    <w:rsid w:val="6922669D"/>
    <w:rsid w:val="69253A1C"/>
    <w:rsid w:val="69497D13"/>
    <w:rsid w:val="69504E97"/>
    <w:rsid w:val="69565B74"/>
    <w:rsid w:val="69774471"/>
    <w:rsid w:val="69860ECD"/>
    <w:rsid w:val="699E1EAF"/>
    <w:rsid w:val="69A71AB5"/>
    <w:rsid w:val="69B34317"/>
    <w:rsid w:val="69B65CC7"/>
    <w:rsid w:val="69DA102A"/>
    <w:rsid w:val="69ED05BC"/>
    <w:rsid w:val="69F72763"/>
    <w:rsid w:val="69F727F4"/>
    <w:rsid w:val="6A030C3E"/>
    <w:rsid w:val="6A040FE8"/>
    <w:rsid w:val="6A10742A"/>
    <w:rsid w:val="6A12493E"/>
    <w:rsid w:val="6A2955D3"/>
    <w:rsid w:val="6A2B0181"/>
    <w:rsid w:val="6A3069DA"/>
    <w:rsid w:val="6A48205B"/>
    <w:rsid w:val="6A487CCF"/>
    <w:rsid w:val="6A6F6736"/>
    <w:rsid w:val="6A704AF9"/>
    <w:rsid w:val="6AAF3455"/>
    <w:rsid w:val="6AC505AB"/>
    <w:rsid w:val="6ADA35FC"/>
    <w:rsid w:val="6AE07624"/>
    <w:rsid w:val="6AE7318C"/>
    <w:rsid w:val="6AE83F6E"/>
    <w:rsid w:val="6AF31C2A"/>
    <w:rsid w:val="6AF94CA1"/>
    <w:rsid w:val="6AFE6505"/>
    <w:rsid w:val="6B07198D"/>
    <w:rsid w:val="6B10651F"/>
    <w:rsid w:val="6B7D3862"/>
    <w:rsid w:val="6BAF15E8"/>
    <w:rsid w:val="6BD86973"/>
    <w:rsid w:val="6BDB3F8E"/>
    <w:rsid w:val="6BEC4E14"/>
    <w:rsid w:val="6C0A456C"/>
    <w:rsid w:val="6C3907DD"/>
    <w:rsid w:val="6C456817"/>
    <w:rsid w:val="6C5D594A"/>
    <w:rsid w:val="6C6E3D9A"/>
    <w:rsid w:val="6C7E6458"/>
    <w:rsid w:val="6C827972"/>
    <w:rsid w:val="6C8A7F86"/>
    <w:rsid w:val="6C947293"/>
    <w:rsid w:val="6C9613D5"/>
    <w:rsid w:val="6C966075"/>
    <w:rsid w:val="6C98221D"/>
    <w:rsid w:val="6C9D206A"/>
    <w:rsid w:val="6CC05A10"/>
    <w:rsid w:val="6CE13164"/>
    <w:rsid w:val="6D1A039E"/>
    <w:rsid w:val="6D3B0F87"/>
    <w:rsid w:val="6D486EEA"/>
    <w:rsid w:val="6D555D55"/>
    <w:rsid w:val="6D576F1D"/>
    <w:rsid w:val="6D766C00"/>
    <w:rsid w:val="6D792634"/>
    <w:rsid w:val="6D8E590C"/>
    <w:rsid w:val="6DB223B0"/>
    <w:rsid w:val="6DBA4D70"/>
    <w:rsid w:val="6DBA78FE"/>
    <w:rsid w:val="6DE871AD"/>
    <w:rsid w:val="6E2F61E7"/>
    <w:rsid w:val="6E340839"/>
    <w:rsid w:val="6E4522F0"/>
    <w:rsid w:val="6E545256"/>
    <w:rsid w:val="6E631B8C"/>
    <w:rsid w:val="6E7B030D"/>
    <w:rsid w:val="6EA80404"/>
    <w:rsid w:val="6EAC3203"/>
    <w:rsid w:val="6EC26CCA"/>
    <w:rsid w:val="6EFA1511"/>
    <w:rsid w:val="6F0827EC"/>
    <w:rsid w:val="6F0E034A"/>
    <w:rsid w:val="6F3E7B64"/>
    <w:rsid w:val="6F43203D"/>
    <w:rsid w:val="6F4D4AC1"/>
    <w:rsid w:val="6F590C57"/>
    <w:rsid w:val="6F6165F7"/>
    <w:rsid w:val="6F7160E4"/>
    <w:rsid w:val="6F834596"/>
    <w:rsid w:val="6F954F97"/>
    <w:rsid w:val="6FA50E01"/>
    <w:rsid w:val="6FB93070"/>
    <w:rsid w:val="6FD02634"/>
    <w:rsid w:val="6FF42F98"/>
    <w:rsid w:val="70015CC7"/>
    <w:rsid w:val="70163922"/>
    <w:rsid w:val="70505825"/>
    <w:rsid w:val="70733015"/>
    <w:rsid w:val="707E7CEC"/>
    <w:rsid w:val="708B6CF7"/>
    <w:rsid w:val="70A679E4"/>
    <w:rsid w:val="70A91D25"/>
    <w:rsid w:val="70DC2B41"/>
    <w:rsid w:val="70E43DF9"/>
    <w:rsid w:val="70E752FA"/>
    <w:rsid w:val="70F33862"/>
    <w:rsid w:val="70FA63D7"/>
    <w:rsid w:val="70FD3EFD"/>
    <w:rsid w:val="71021AD1"/>
    <w:rsid w:val="711317AD"/>
    <w:rsid w:val="711E459C"/>
    <w:rsid w:val="71292964"/>
    <w:rsid w:val="712A36AD"/>
    <w:rsid w:val="712E0DB1"/>
    <w:rsid w:val="71363750"/>
    <w:rsid w:val="716A4120"/>
    <w:rsid w:val="718F2F57"/>
    <w:rsid w:val="71B06045"/>
    <w:rsid w:val="71BA39D7"/>
    <w:rsid w:val="71FB0F24"/>
    <w:rsid w:val="72021480"/>
    <w:rsid w:val="720B22BF"/>
    <w:rsid w:val="721475DD"/>
    <w:rsid w:val="722C2B59"/>
    <w:rsid w:val="724D677B"/>
    <w:rsid w:val="7292338D"/>
    <w:rsid w:val="72B12560"/>
    <w:rsid w:val="72B53BC3"/>
    <w:rsid w:val="72CB00BA"/>
    <w:rsid w:val="72DC1F49"/>
    <w:rsid w:val="72ED2B50"/>
    <w:rsid w:val="72F35E1E"/>
    <w:rsid w:val="72FB228C"/>
    <w:rsid w:val="73017FF7"/>
    <w:rsid w:val="730A5639"/>
    <w:rsid w:val="730F1299"/>
    <w:rsid w:val="730F58D8"/>
    <w:rsid w:val="73152A52"/>
    <w:rsid w:val="735B450B"/>
    <w:rsid w:val="736A04D9"/>
    <w:rsid w:val="738F6D79"/>
    <w:rsid w:val="73936016"/>
    <w:rsid w:val="739734ED"/>
    <w:rsid w:val="739805A5"/>
    <w:rsid w:val="73A66B67"/>
    <w:rsid w:val="73A90958"/>
    <w:rsid w:val="73B424C9"/>
    <w:rsid w:val="73B822F7"/>
    <w:rsid w:val="73C0251A"/>
    <w:rsid w:val="73C07265"/>
    <w:rsid w:val="73F5049F"/>
    <w:rsid w:val="74043AB2"/>
    <w:rsid w:val="740A21C7"/>
    <w:rsid w:val="74194094"/>
    <w:rsid w:val="744C2844"/>
    <w:rsid w:val="744C5115"/>
    <w:rsid w:val="744E12FF"/>
    <w:rsid w:val="745B2468"/>
    <w:rsid w:val="74B801DB"/>
    <w:rsid w:val="74BE22EA"/>
    <w:rsid w:val="74D709CA"/>
    <w:rsid w:val="74E94F3C"/>
    <w:rsid w:val="74FF4C73"/>
    <w:rsid w:val="751A7ACF"/>
    <w:rsid w:val="752E298E"/>
    <w:rsid w:val="75350133"/>
    <w:rsid w:val="75525607"/>
    <w:rsid w:val="75660632"/>
    <w:rsid w:val="75790DC0"/>
    <w:rsid w:val="757E796F"/>
    <w:rsid w:val="75967195"/>
    <w:rsid w:val="75A44ED9"/>
    <w:rsid w:val="75AD4CBE"/>
    <w:rsid w:val="75BF3A45"/>
    <w:rsid w:val="75DE6483"/>
    <w:rsid w:val="75E755EE"/>
    <w:rsid w:val="76045D43"/>
    <w:rsid w:val="76691C09"/>
    <w:rsid w:val="76D572E6"/>
    <w:rsid w:val="76D9209E"/>
    <w:rsid w:val="76DF42AF"/>
    <w:rsid w:val="76E16E55"/>
    <w:rsid w:val="76E73A8B"/>
    <w:rsid w:val="76EB6D21"/>
    <w:rsid w:val="77070C78"/>
    <w:rsid w:val="77110910"/>
    <w:rsid w:val="77234D14"/>
    <w:rsid w:val="7736570D"/>
    <w:rsid w:val="77572E04"/>
    <w:rsid w:val="775A394F"/>
    <w:rsid w:val="775C68A9"/>
    <w:rsid w:val="7764105E"/>
    <w:rsid w:val="776E3DCD"/>
    <w:rsid w:val="77820A10"/>
    <w:rsid w:val="77842D64"/>
    <w:rsid w:val="779A5F80"/>
    <w:rsid w:val="77AA7CB7"/>
    <w:rsid w:val="77AD2533"/>
    <w:rsid w:val="77B40FAD"/>
    <w:rsid w:val="77CF7E1D"/>
    <w:rsid w:val="77D009E3"/>
    <w:rsid w:val="77E15F71"/>
    <w:rsid w:val="77E71520"/>
    <w:rsid w:val="77E87885"/>
    <w:rsid w:val="77EC52ED"/>
    <w:rsid w:val="78117918"/>
    <w:rsid w:val="78173636"/>
    <w:rsid w:val="78235DC9"/>
    <w:rsid w:val="78270A52"/>
    <w:rsid w:val="78314B88"/>
    <w:rsid w:val="78334AEC"/>
    <w:rsid w:val="78425FA5"/>
    <w:rsid w:val="78577E5D"/>
    <w:rsid w:val="785E22DB"/>
    <w:rsid w:val="78690C71"/>
    <w:rsid w:val="787259C9"/>
    <w:rsid w:val="78910311"/>
    <w:rsid w:val="78933D64"/>
    <w:rsid w:val="78A67571"/>
    <w:rsid w:val="78C11BF8"/>
    <w:rsid w:val="78C37D6C"/>
    <w:rsid w:val="78D205ED"/>
    <w:rsid w:val="78F6464B"/>
    <w:rsid w:val="793A578D"/>
    <w:rsid w:val="794B3368"/>
    <w:rsid w:val="79590F72"/>
    <w:rsid w:val="795E538B"/>
    <w:rsid w:val="79673F46"/>
    <w:rsid w:val="796B7E19"/>
    <w:rsid w:val="79930427"/>
    <w:rsid w:val="79A14EF3"/>
    <w:rsid w:val="79A95201"/>
    <w:rsid w:val="79B55881"/>
    <w:rsid w:val="79B93C11"/>
    <w:rsid w:val="79CA2D6C"/>
    <w:rsid w:val="79D13649"/>
    <w:rsid w:val="79F81044"/>
    <w:rsid w:val="7A122AB3"/>
    <w:rsid w:val="7A171389"/>
    <w:rsid w:val="7A36404A"/>
    <w:rsid w:val="7A3B32D4"/>
    <w:rsid w:val="7A4C7F1F"/>
    <w:rsid w:val="7A63470C"/>
    <w:rsid w:val="7A6F35DF"/>
    <w:rsid w:val="7A75278C"/>
    <w:rsid w:val="7A9F3C5B"/>
    <w:rsid w:val="7AAB4A41"/>
    <w:rsid w:val="7AB26C25"/>
    <w:rsid w:val="7AEB41DB"/>
    <w:rsid w:val="7AF10AB5"/>
    <w:rsid w:val="7B2032D6"/>
    <w:rsid w:val="7B334ED0"/>
    <w:rsid w:val="7B3C494F"/>
    <w:rsid w:val="7B41631C"/>
    <w:rsid w:val="7B485786"/>
    <w:rsid w:val="7B4C534B"/>
    <w:rsid w:val="7B6D72E4"/>
    <w:rsid w:val="7B7F7CB5"/>
    <w:rsid w:val="7BA84412"/>
    <w:rsid w:val="7BAF1EA6"/>
    <w:rsid w:val="7BC73EB2"/>
    <w:rsid w:val="7C0A1612"/>
    <w:rsid w:val="7C170EB6"/>
    <w:rsid w:val="7C205B93"/>
    <w:rsid w:val="7C69240D"/>
    <w:rsid w:val="7C6F5F6F"/>
    <w:rsid w:val="7C7D04B4"/>
    <w:rsid w:val="7C985E3A"/>
    <w:rsid w:val="7C9F6B23"/>
    <w:rsid w:val="7CA94FA8"/>
    <w:rsid w:val="7CB52D38"/>
    <w:rsid w:val="7CEB0145"/>
    <w:rsid w:val="7CF864DA"/>
    <w:rsid w:val="7D0E55F1"/>
    <w:rsid w:val="7D141949"/>
    <w:rsid w:val="7D2A6543"/>
    <w:rsid w:val="7D3F4554"/>
    <w:rsid w:val="7D7879F9"/>
    <w:rsid w:val="7D843995"/>
    <w:rsid w:val="7D8E1923"/>
    <w:rsid w:val="7DAA3122"/>
    <w:rsid w:val="7DD94247"/>
    <w:rsid w:val="7E186D9F"/>
    <w:rsid w:val="7E33778A"/>
    <w:rsid w:val="7E5379AC"/>
    <w:rsid w:val="7E5C6539"/>
    <w:rsid w:val="7E647045"/>
    <w:rsid w:val="7E700C01"/>
    <w:rsid w:val="7EAB759D"/>
    <w:rsid w:val="7EC65B5C"/>
    <w:rsid w:val="7ECD7E44"/>
    <w:rsid w:val="7ED96E4D"/>
    <w:rsid w:val="7F110F5D"/>
    <w:rsid w:val="7F1933A9"/>
    <w:rsid w:val="7F1F0030"/>
    <w:rsid w:val="7F395488"/>
    <w:rsid w:val="7F464BFA"/>
    <w:rsid w:val="7F521011"/>
    <w:rsid w:val="7F656FEF"/>
    <w:rsid w:val="7F8C0ECB"/>
    <w:rsid w:val="7F926ED9"/>
    <w:rsid w:val="7F936EA0"/>
    <w:rsid w:val="7FA512E4"/>
    <w:rsid w:val="7FA835D3"/>
    <w:rsid w:val="7FB87147"/>
    <w:rsid w:val="7FC4622D"/>
    <w:rsid w:val="7FC7174B"/>
    <w:rsid w:val="7FDB645B"/>
    <w:rsid w:val="7FDF2B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0" w:semiHidden="0" w:name="toc 2"/>
    <w:lsdException w:qFormat="1"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qFormat="1" w:unhideWhenUsed="0" w:uiPriority="0" w:semiHidden="0" w:name="List"/>
    <w:lsdException w:qFormat="1"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6"/>
    <w:qFormat/>
    <w:uiPriority w:val="0"/>
    <w:pPr>
      <w:keepNext/>
      <w:jc w:val="center"/>
      <w:outlineLvl w:val="0"/>
    </w:pPr>
    <w:rPr>
      <w:rFonts w:eastAsia="仿宋_GB2312"/>
      <w:sz w:val="28"/>
    </w:rPr>
  </w:style>
  <w:style w:type="paragraph" w:styleId="3">
    <w:name w:val="heading 2"/>
    <w:basedOn w:val="1"/>
    <w:next w:val="1"/>
    <w:link w:val="67"/>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90"/>
    <w:qFormat/>
    <w:uiPriority w:val="0"/>
    <w:pPr>
      <w:keepNext/>
      <w:keepLines/>
      <w:spacing w:before="260" w:after="260" w:line="416" w:lineRule="auto"/>
      <w:outlineLvl w:val="2"/>
    </w:pPr>
    <w:rPr>
      <w:b/>
      <w:bCs/>
      <w:sz w:val="32"/>
      <w:szCs w:val="32"/>
    </w:rPr>
  </w:style>
  <w:style w:type="paragraph" w:styleId="5">
    <w:name w:val="heading 4"/>
    <w:basedOn w:val="1"/>
    <w:next w:val="1"/>
    <w:link w:val="69"/>
    <w:qFormat/>
    <w:uiPriority w:val="0"/>
    <w:pPr>
      <w:keepNext/>
      <w:keepLines/>
      <w:adjustRightInd w:val="0"/>
      <w:spacing w:before="280" w:after="290" w:line="376" w:lineRule="atLeast"/>
      <w:textAlignment w:val="baseline"/>
      <w:outlineLvl w:val="3"/>
    </w:pPr>
    <w:rPr>
      <w:rFonts w:ascii="Arial" w:hAnsi="Arial" w:eastAsia="黑体"/>
      <w:b/>
      <w:sz w:val="28"/>
      <w:szCs w:val="20"/>
    </w:rPr>
  </w:style>
  <w:style w:type="paragraph" w:styleId="6">
    <w:name w:val="heading 5"/>
    <w:basedOn w:val="1"/>
    <w:next w:val="1"/>
    <w:link w:val="70"/>
    <w:qFormat/>
    <w:uiPriority w:val="0"/>
    <w:pPr>
      <w:keepNext/>
      <w:keepLines/>
      <w:adjustRightInd w:val="0"/>
      <w:spacing w:before="280" w:after="290" w:line="376" w:lineRule="atLeast"/>
      <w:textAlignment w:val="baseline"/>
      <w:outlineLvl w:val="4"/>
    </w:pPr>
    <w:rPr>
      <w:b/>
      <w:kern w:val="0"/>
      <w:sz w:val="28"/>
      <w:szCs w:val="20"/>
    </w:rPr>
  </w:style>
  <w:style w:type="paragraph" w:styleId="7">
    <w:name w:val="heading 6"/>
    <w:basedOn w:val="1"/>
    <w:next w:val="1"/>
    <w:link w:val="71"/>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9"/>
    <w:link w:val="72"/>
    <w:qFormat/>
    <w:uiPriority w:val="0"/>
    <w:pPr>
      <w:keepNext/>
      <w:keepLines/>
      <w:spacing w:before="240" w:after="64" w:line="320" w:lineRule="auto"/>
      <w:outlineLvl w:val="6"/>
    </w:pPr>
    <w:rPr>
      <w:b/>
      <w:bCs/>
      <w:sz w:val="24"/>
    </w:rPr>
  </w:style>
  <w:style w:type="paragraph" w:styleId="10">
    <w:name w:val="heading 8"/>
    <w:basedOn w:val="1"/>
    <w:next w:val="1"/>
    <w:link w:val="73"/>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74"/>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6">
    <w:name w:val="Default Paragraph Font"/>
    <w:semiHidden/>
    <w:unhideWhenUsed/>
    <w:uiPriority w:val="1"/>
  </w:style>
  <w:style w:type="table" w:default="1" w:styleId="54">
    <w:name w:val="Normal Table"/>
    <w:semiHidden/>
    <w:unhideWhenUsed/>
    <w:uiPriority w:val="99"/>
    <w:tblPr>
      <w:tblCellMar>
        <w:top w:w="0" w:type="dxa"/>
        <w:left w:w="108" w:type="dxa"/>
        <w:bottom w:w="0" w:type="dxa"/>
        <w:right w:w="108" w:type="dxa"/>
      </w:tblCellMar>
    </w:tblPr>
  </w:style>
  <w:style w:type="paragraph" w:styleId="9">
    <w:name w:val="Normal Indent"/>
    <w:basedOn w:val="1"/>
    <w:link w:val="75"/>
    <w:qFormat/>
    <w:uiPriority w:val="0"/>
    <w:pPr>
      <w:ind w:firstLine="420" w:firstLineChars="200"/>
    </w:pPr>
  </w:style>
  <w:style w:type="paragraph" w:styleId="12">
    <w:name w:val="List 3"/>
    <w:basedOn w:val="1"/>
    <w:qFormat/>
    <w:uiPriority w:val="0"/>
    <w:pPr>
      <w:ind w:left="100" w:leftChars="400" w:hanging="200" w:hangingChars="200"/>
    </w:pPr>
    <w:rPr>
      <w:szCs w:val="20"/>
    </w:rPr>
  </w:style>
  <w:style w:type="paragraph" w:styleId="13">
    <w:name w:val="toc 7"/>
    <w:basedOn w:val="1"/>
    <w:next w:val="1"/>
    <w:qFormat/>
    <w:uiPriority w:val="0"/>
    <w:pPr>
      <w:ind w:left="1260"/>
      <w:jc w:val="left"/>
    </w:pPr>
    <w:rPr>
      <w:sz w:val="18"/>
      <w:szCs w:val="20"/>
    </w:rPr>
  </w:style>
  <w:style w:type="paragraph" w:styleId="14">
    <w:name w:val="List Bullet"/>
    <w:basedOn w:val="1"/>
    <w:unhideWhenUsed/>
    <w:qFormat/>
    <w:uiPriority w:val="0"/>
    <w:pPr>
      <w:tabs>
        <w:tab w:val="left" w:pos="360"/>
      </w:tabs>
      <w:contextualSpacing/>
    </w:pPr>
    <w:rPr>
      <w:szCs w:val="20"/>
    </w:rPr>
  </w:style>
  <w:style w:type="paragraph" w:styleId="15">
    <w:name w:val="Document Map"/>
    <w:basedOn w:val="1"/>
    <w:link w:val="76"/>
    <w:unhideWhenUsed/>
    <w:qFormat/>
    <w:uiPriority w:val="0"/>
    <w:rPr>
      <w:rFonts w:ascii="宋体"/>
      <w:sz w:val="18"/>
      <w:szCs w:val="18"/>
    </w:rPr>
  </w:style>
  <w:style w:type="paragraph" w:styleId="16">
    <w:name w:val="toa heading"/>
    <w:basedOn w:val="1"/>
    <w:next w:val="1"/>
    <w:unhideWhenUsed/>
    <w:qFormat/>
    <w:uiPriority w:val="0"/>
    <w:pPr>
      <w:adjustRightInd w:val="0"/>
      <w:spacing w:before="200" w:line="360" w:lineRule="atLeast"/>
      <w:jc w:val="center"/>
    </w:pPr>
    <w:rPr>
      <w:rFonts w:ascii="Arial" w:hAnsi="Arial" w:eastAsia="黑体"/>
      <w:kern w:val="0"/>
      <w:sz w:val="44"/>
      <w:szCs w:val="20"/>
    </w:rPr>
  </w:style>
  <w:style w:type="paragraph" w:styleId="17">
    <w:name w:val="annotation text"/>
    <w:basedOn w:val="1"/>
    <w:link w:val="77"/>
    <w:semiHidden/>
    <w:qFormat/>
    <w:uiPriority w:val="0"/>
    <w:pPr>
      <w:jc w:val="left"/>
    </w:pPr>
  </w:style>
  <w:style w:type="paragraph" w:styleId="18">
    <w:name w:val="Body Text"/>
    <w:basedOn w:val="1"/>
    <w:next w:val="19"/>
    <w:link w:val="78"/>
    <w:qFormat/>
    <w:uiPriority w:val="0"/>
    <w:pPr>
      <w:spacing w:after="120"/>
    </w:pPr>
  </w:style>
  <w:style w:type="paragraph" w:customStyle="1" w:styleId="19">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styleId="20">
    <w:name w:val="Body Text Indent"/>
    <w:basedOn w:val="1"/>
    <w:next w:val="21"/>
    <w:link w:val="64"/>
    <w:qFormat/>
    <w:uiPriority w:val="99"/>
    <w:pPr>
      <w:spacing w:after="120"/>
      <w:ind w:left="420" w:leftChars="200"/>
    </w:pPr>
  </w:style>
  <w:style w:type="paragraph" w:styleId="21">
    <w:name w:val="envelope return"/>
    <w:basedOn w:val="1"/>
    <w:unhideWhenUsed/>
    <w:qFormat/>
    <w:uiPriority w:val="99"/>
    <w:pPr>
      <w:snapToGrid w:val="0"/>
    </w:pPr>
    <w:rPr>
      <w:rFonts w:ascii="Arial" w:hAnsi="Arial"/>
    </w:rPr>
  </w:style>
  <w:style w:type="paragraph" w:styleId="22">
    <w:name w:val="List 2"/>
    <w:basedOn w:val="1"/>
    <w:qFormat/>
    <w:uiPriority w:val="0"/>
    <w:pPr>
      <w:ind w:left="100" w:leftChars="200" w:hanging="200" w:hangingChars="200"/>
    </w:pPr>
    <w:rPr>
      <w:szCs w:val="20"/>
    </w:rPr>
  </w:style>
  <w:style w:type="paragraph" w:styleId="23">
    <w:name w:val="List Continue"/>
    <w:basedOn w:val="1"/>
    <w:qFormat/>
    <w:uiPriority w:val="0"/>
    <w:pPr>
      <w:spacing w:after="120"/>
      <w:ind w:left="420" w:leftChars="200"/>
    </w:pPr>
    <w:rPr>
      <w:szCs w:val="20"/>
    </w:rPr>
  </w:style>
  <w:style w:type="paragraph" w:styleId="24">
    <w:name w:val="Block Text"/>
    <w:basedOn w:val="1"/>
    <w:qFormat/>
    <w:uiPriority w:val="0"/>
    <w:pPr>
      <w:autoSpaceDE w:val="0"/>
      <w:autoSpaceDN w:val="0"/>
      <w:adjustRightInd w:val="0"/>
      <w:spacing w:line="300" w:lineRule="auto"/>
      <w:ind w:left="29" w:leftChars="12" w:right="6" w:firstLine="560" w:firstLineChars="200"/>
    </w:pPr>
    <w:rPr>
      <w:kern w:val="0"/>
      <w:sz w:val="28"/>
      <w:szCs w:val="20"/>
    </w:rPr>
  </w:style>
  <w:style w:type="paragraph" w:styleId="25">
    <w:name w:val="toc 5"/>
    <w:basedOn w:val="1"/>
    <w:next w:val="1"/>
    <w:qFormat/>
    <w:uiPriority w:val="0"/>
    <w:pPr>
      <w:ind w:left="840"/>
      <w:jc w:val="left"/>
    </w:pPr>
    <w:rPr>
      <w:sz w:val="18"/>
      <w:szCs w:val="20"/>
    </w:rPr>
  </w:style>
  <w:style w:type="paragraph" w:styleId="26">
    <w:name w:val="toc 3"/>
    <w:basedOn w:val="1"/>
    <w:next w:val="1"/>
    <w:unhideWhenUsed/>
    <w:qFormat/>
    <w:uiPriority w:val="0"/>
    <w:pPr>
      <w:widowControl/>
      <w:spacing w:after="100" w:line="276" w:lineRule="auto"/>
      <w:ind w:left="440"/>
      <w:jc w:val="left"/>
    </w:pPr>
    <w:rPr>
      <w:rFonts w:ascii="Calibri" w:hAnsi="Calibri"/>
      <w:kern w:val="0"/>
      <w:sz w:val="22"/>
      <w:szCs w:val="22"/>
    </w:rPr>
  </w:style>
  <w:style w:type="paragraph" w:styleId="27">
    <w:name w:val="Plain Text"/>
    <w:basedOn w:val="1"/>
    <w:link w:val="79"/>
    <w:qFormat/>
    <w:uiPriority w:val="99"/>
    <w:rPr>
      <w:rFonts w:ascii="宋体" w:hAnsi="Courier New"/>
      <w:szCs w:val="20"/>
    </w:rPr>
  </w:style>
  <w:style w:type="paragraph" w:styleId="28">
    <w:name w:val="toc 8"/>
    <w:basedOn w:val="1"/>
    <w:next w:val="1"/>
    <w:qFormat/>
    <w:uiPriority w:val="0"/>
    <w:pPr>
      <w:ind w:left="1470"/>
      <w:jc w:val="left"/>
    </w:pPr>
    <w:rPr>
      <w:sz w:val="18"/>
      <w:szCs w:val="20"/>
    </w:rPr>
  </w:style>
  <w:style w:type="paragraph" w:styleId="29">
    <w:name w:val="Date"/>
    <w:basedOn w:val="1"/>
    <w:next w:val="1"/>
    <w:link w:val="80"/>
    <w:qFormat/>
    <w:uiPriority w:val="0"/>
    <w:pPr>
      <w:widowControl/>
      <w:ind w:left="100"/>
      <w:jc w:val="left"/>
    </w:pPr>
    <w:rPr>
      <w:rFonts w:ascii="宋体" w:hAnsi="宋体"/>
      <w:kern w:val="0"/>
      <w:sz w:val="28"/>
      <w:szCs w:val="20"/>
    </w:rPr>
  </w:style>
  <w:style w:type="paragraph" w:styleId="30">
    <w:name w:val="Body Text Indent 2"/>
    <w:basedOn w:val="1"/>
    <w:link w:val="81"/>
    <w:unhideWhenUsed/>
    <w:qFormat/>
    <w:uiPriority w:val="0"/>
    <w:pPr>
      <w:spacing w:after="120" w:line="480" w:lineRule="auto"/>
      <w:ind w:left="420" w:leftChars="200"/>
    </w:pPr>
    <w:rPr>
      <w:szCs w:val="20"/>
    </w:rPr>
  </w:style>
  <w:style w:type="paragraph" w:styleId="31">
    <w:name w:val="List Continue 5"/>
    <w:basedOn w:val="1"/>
    <w:qFormat/>
    <w:uiPriority w:val="0"/>
    <w:pPr>
      <w:spacing w:after="120"/>
      <w:ind w:left="2100" w:leftChars="1000"/>
    </w:pPr>
    <w:rPr>
      <w:szCs w:val="20"/>
    </w:rPr>
  </w:style>
  <w:style w:type="paragraph" w:styleId="32">
    <w:name w:val="Balloon Text"/>
    <w:basedOn w:val="1"/>
    <w:link w:val="82"/>
    <w:qFormat/>
    <w:uiPriority w:val="0"/>
    <w:rPr>
      <w:sz w:val="18"/>
      <w:szCs w:val="18"/>
    </w:rPr>
  </w:style>
  <w:style w:type="paragraph" w:styleId="33">
    <w:name w:val="footer"/>
    <w:basedOn w:val="1"/>
    <w:link w:val="83"/>
    <w:qFormat/>
    <w:uiPriority w:val="0"/>
    <w:pPr>
      <w:tabs>
        <w:tab w:val="center" w:pos="4153"/>
        <w:tab w:val="right" w:pos="8306"/>
      </w:tabs>
      <w:snapToGrid w:val="0"/>
      <w:jc w:val="left"/>
    </w:pPr>
    <w:rPr>
      <w:sz w:val="18"/>
    </w:rPr>
  </w:style>
  <w:style w:type="paragraph" w:styleId="34">
    <w:name w:val="header"/>
    <w:basedOn w:val="1"/>
    <w:link w:val="8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5">
    <w:name w:val="toc 1"/>
    <w:basedOn w:val="1"/>
    <w:next w:val="1"/>
    <w:unhideWhenUsed/>
    <w:qFormat/>
    <w:uiPriority w:val="39"/>
    <w:pPr>
      <w:widowControl/>
      <w:tabs>
        <w:tab w:val="right" w:leader="hyphen" w:pos="9736"/>
      </w:tabs>
      <w:spacing w:after="100" w:line="276" w:lineRule="auto"/>
      <w:jc w:val="center"/>
    </w:pPr>
    <w:rPr>
      <w:rFonts w:ascii="Calibri" w:hAnsi="Calibri"/>
      <w:kern w:val="0"/>
      <w:sz w:val="22"/>
      <w:szCs w:val="22"/>
    </w:rPr>
  </w:style>
  <w:style w:type="paragraph" w:styleId="36">
    <w:name w:val="List Continue 4"/>
    <w:basedOn w:val="1"/>
    <w:qFormat/>
    <w:uiPriority w:val="0"/>
    <w:pPr>
      <w:spacing w:after="120"/>
      <w:ind w:left="1680" w:leftChars="800"/>
    </w:pPr>
    <w:rPr>
      <w:szCs w:val="20"/>
    </w:rPr>
  </w:style>
  <w:style w:type="paragraph" w:styleId="37">
    <w:name w:val="toc 4"/>
    <w:basedOn w:val="1"/>
    <w:next w:val="1"/>
    <w:qFormat/>
    <w:uiPriority w:val="0"/>
    <w:pPr>
      <w:tabs>
        <w:tab w:val="left" w:pos="1080"/>
        <w:tab w:val="right" w:leader="dot" w:pos="9125"/>
      </w:tabs>
      <w:adjustRightInd w:val="0"/>
      <w:snapToGrid w:val="0"/>
      <w:spacing w:line="360" w:lineRule="auto"/>
      <w:jc w:val="left"/>
    </w:pPr>
    <w:rPr>
      <w:sz w:val="18"/>
      <w:szCs w:val="20"/>
    </w:rPr>
  </w:style>
  <w:style w:type="paragraph" w:styleId="38">
    <w:name w:val="List"/>
    <w:basedOn w:val="1"/>
    <w:qFormat/>
    <w:uiPriority w:val="0"/>
    <w:pPr>
      <w:ind w:left="200" w:hanging="200" w:hangingChars="200"/>
    </w:pPr>
    <w:rPr>
      <w:szCs w:val="20"/>
    </w:rPr>
  </w:style>
  <w:style w:type="paragraph" w:styleId="39">
    <w:name w:val="footnote text"/>
    <w:basedOn w:val="1"/>
    <w:link w:val="85"/>
    <w:unhideWhenUsed/>
    <w:qFormat/>
    <w:uiPriority w:val="0"/>
    <w:pPr>
      <w:snapToGrid w:val="0"/>
      <w:jc w:val="left"/>
    </w:pPr>
    <w:rPr>
      <w:rFonts w:ascii="Calibri" w:hAnsi="Calibri"/>
      <w:sz w:val="18"/>
      <w:szCs w:val="18"/>
    </w:rPr>
  </w:style>
  <w:style w:type="paragraph" w:styleId="40">
    <w:name w:val="toc 6"/>
    <w:basedOn w:val="1"/>
    <w:next w:val="1"/>
    <w:qFormat/>
    <w:uiPriority w:val="0"/>
    <w:pPr>
      <w:ind w:left="1050"/>
      <w:jc w:val="left"/>
    </w:pPr>
    <w:rPr>
      <w:sz w:val="18"/>
      <w:szCs w:val="20"/>
    </w:rPr>
  </w:style>
  <w:style w:type="paragraph" w:styleId="41">
    <w:name w:val="List 5"/>
    <w:basedOn w:val="1"/>
    <w:qFormat/>
    <w:uiPriority w:val="0"/>
    <w:pPr>
      <w:ind w:left="100" w:leftChars="800" w:hanging="200" w:hangingChars="200"/>
    </w:pPr>
    <w:rPr>
      <w:szCs w:val="20"/>
    </w:rPr>
  </w:style>
  <w:style w:type="paragraph" w:styleId="42">
    <w:name w:val="Body Text Indent 3"/>
    <w:basedOn w:val="1"/>
    <w:qFormat/>
    <w:uiPriority w:val="0"/>
    <w:pPr>
      <w:ind w:firstLine="435"/>
    </w:pPr>
    <w:rPr>
      <w:rFonts w:ascii="仿宋_GB2312" w:hAnsi="宋体" w:eastAsia="仿宋_GB2312"/>
      <w:sz w:val="28"/>
    </w:rPr>
  </w:style>
  <w:style w:type="paragraph" w:styleId="43">
    <w:name w:val="toc 2"/>
    <w:basedOn w:val="1"/>
    <w:next w:val="1"/>
    <w:unhideWhenUsed/>
    <w:qFormat/>
    <w:uiPriority w:val="0"/>
    <w:pPr>
      <w:widowControl/>
      <w:spacing w:after="100" w:line="276" w:lineRule="auto"/>
      <w:ind w:left="220"/>
      <w:jc w:val="left"/>
    </w:pPr>
    <w:rPr>
      <w:rFonts w:ascii="Calibri" w:hAnsi="Calibri"/>
      <w:kern w:val="0"/>
      <w:sz w:val="22"/>
      <w:szCs w:val="22"/>
    </w:rPr>
  </w:style>
  <w:style w:type="paragraph" w:styleId="44">
    <w:name w:val="toc 9"/>
    <w:basedOn w:val="1"/>
    <w:next w:val="1"/>
    <w:qFormat/>
    <w:uiPriority w:val="0"/>
    <w:pPr>
      <w:ind w:left="1680"/>
      <w:jc w:val="left"/>
    </w:pPr>
    <w:rPr>
      <w:sz w:val="18"/>
      <w:szCs w:val="20"/>
    </w:rPr>
  </w:style>
  <w:style w:type="paragraph" w:styleId="45">
    <w:name w:val="Body Text 2"/>
    <w:basedOn w:val="1"/>
    <w:link w:val="86"/>
    <w:qFormat/>
    <w:uiPriority w:val="0"/>
    <w:rPr>
      <w:rFonts w:ascii="宋体" w:hAnsi="宋体"/>
      <w:sz w:val="24"/>
      <w:szCs w:val="20"/>
    </w:rPr>
  </w:style>
  <w:style w:type="paragraph" w:styleId="46">
    <w:name w:val="List 4"/>
    <w:basedOn w:val="1"/>
    <w:qFormat/>
    <w:uiPriority w:val="0"/>
    <w:pPr>
      <w:ind w:left="100" w:leftChars="600" w:hanging="200" w:hangingChars="200"/>
    </w:pPr>
    <w:rPr>
      <w:szCs w:val="20"/>
    </w:rPr>
  </w:style>
  <w:style w:type="paragraph" w:styleId="47">
    <w:name w:val="List Continue 2"/>
    <w:basedOn w:val="1"/>
    <w:qFormat/>
    <w:uiPriority w:val="0"/>
    <w:pPr>
      <w:spacing w:after="120"/>
      <w:ind w:left="840" w:leftChars="400"/>
    </w:pPr>
    <w:rPr>
      <w:szCs w:val="20"/>
    </w:rPr>
  </w:style>
  <w:style w:type="paragraph" w:styleId="48">
    <w:name w:val="HTML Preformatted"/>
    <w:basedOn w:val="1"/>
    <w:link w:val="87"/>
    <w:unhideWhenUsed/>
    <w:qFormat/>
    <w:uiPriority w:val="0"/>
    <w:rPr>
      <w:rFonts w:ascii="Courier New" w:hAnsi="Courier New"/>
      <w:sz w:val="20"/>
      <w:szCs w:val="20"/>
    </w:rPr>
  </w:style>
  <w:style w:type="paragraph" w:styleId="4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0">
    <w:name w:val="List Continue 3"/>
    <w:basedOn w:val="1"/>
    <w:qFormat/>
    <w:uiPriority w:val="0"/>
    <w:pPr>
      <w:spacing w:after="120"/>
      <w:ind w:left="1260" w:leftChars="600"/>
    </w:pPr>
    <w:rPr>
      <w:szCs w:val="20"/>
    </w:rPr>
  </w:style>
  <w:style w:type="paragraph" w:styleId="51">
    <w:name w:val="annotation subject"/>
    <w:basedOn w:val="17"/>
    <w:next w:val="17"/>
    <w:link w:val="88"/>
    <w:qFormat/>
    <w:uiPriority w:val="0"/>
    <w:rPr>
      <w:b/>
      <w:bCs/>
    </w:rPr>
  </w:style>
  <w:style w:type="paragraph" w:styleId="52">
    <w:name w:val="Body Text First Indent"/>
    <w:basedOn w:val="1"/>
    <w:link w:val="89"/>
    <w:qFormat/>
    <w:uiPriority w:val="0"/>
    <w:pPr>
      <w:spacing w:line="360" w:lineRule="auto"/>
      <w:ind w:firstLine="482"/>
    </w:pPr>
    <w:rPr>
      <w:b/>
      <w:sz w:val="24"/>
    </w:rPr>
  </w:style>
  <w:style w:type="paragraph" w:styleId="53">
    <w:name w:val="Body Text First Indent 2"/>
    <w:basedOn w:val="20"/>
    <w:link w:val="65"/>
    <w:qFormat/>
    <w:uiPriority w:val="99"/>
    <w:pPr>
      <w:ind w:firstLine="420" w:firstLineChars="200"/>
    </w:pPr>
    <w:rPr>
      <w:kern w:val="0"/>
      <w:sz w:val="20"/>
      <w:szCs w:val="20"/>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0"/>
    <w:rPr>
      <w:b/>
      <w:bCs/>
    </w:rPr>
  </w:style>
  <w:style w:type="character" w:styleId="58">
    <w:name w:val="page number"/>
    <w:qFormat/>
    <w:uiPriority w:val="0"/>
  </w:style>
  <w:style w:type="character" w:styleId="59">
    <w:name w:val="FollowedHyperlink"/>
    <w:unhideWhenUsed/>
    <w:qFormat/>
    <w:uiPriority w:val="0"/>
    <w:rPr>
      <w:color w:val="FF00FF"/>
      <w:u w:val="single"/>
    </w:rPr>
  </w:style>
  <w:style w:type="character" w:styleId="60">
    <w:name w:val="Emphasis"/>
    <w:qFormat/>
    <w:uiPriority w:val="0"/>
    <w:rPr>
      <w:color w:val="CC0000"/>
    </w:rPr>
  </w:style>
  <w:style w:type="character" w:styleId="61">
    <w:name w:val="Hyperlink"/>
    <w:basedOn w:val="56"/>
    <w:unhideWhenUsed/>
    <w:qFormat/>
    <w:uiPriority w:val="0"/>
    <w:rPr>
      <w:color w:val="333333"/>
      <w:u w:val="none"/>
    </w:rPr>
  </w:style>
  <w:style w:type="character" w:styleId="62">
    <w:name w:val="annotation reference"/>
    <w:basedOn w:val="56"/>
    <w:qFormat/>
    <w:uiPriority w:val="0"/>
    <w:rPr>
      <w:sz w:val="21"/>
      <w:szCs w:val="21"/>
    </w:rPr>
  </w:style>
  <w:style w:type="character" w:styleId="63">
    <w:name w:val="footnote reference"/>
    <w:qFormat/>
    <w:uiPriority w:val="0"/>
    <w:rPr>
      <w:vertAlign w:val="superscript"/>
    </w:rPr>
  </w:style>
  <w:style w:type="character" w:customStyle="1" w:styleId="64">
    <w:name w:val="正文文本缩进 Char"/>
    <w:link w:val="20"/>
    <w:qFormat/>
    <w:uiPriority w:val="0"/>
    <w:rPr>
      <w:rFonts w:eastAsia="宋体"/>
      <w:kern w:val="2"/>
      <w:sz w:val="21"/>
      <w:szCs w:val="24"/>
      <w:lang w:val="en-US" w:eastAsia="zh-CN" w:bidi="ar-SA"/>
    </w:rPr>
  </w:style>
  <w:style w:type="character" w:customStyle="1" w:styleId="65">
    <w:name w:val="正文首行缩进 2 Char"/>
    <w:link w:val="53"/>
    <w:qFormat/>
    <w:uiPriority w:val="0"/>
    <w:rPr>
      <w:lang w:val="en-US" w:eastAsia="zh-CN" w:bidi="ar-SA"/>
    </w:rPr>
  </w:style>
  <w:style w:type="character" w:customStyle="1" w:styleId="66">
    <w:name w:val="标题 1 Char"/>
    <w:link w:val="2"/>
    <w:qFormat/>
    <w:uiPriority w:val="0"/>
    <w:rPr>
      <w:rFonts w:eastAsia="仿宋_GB2312"/>
      <w:kern w:val="2"/>
      <w:sz w:val="28"/>
      <w:szCs w:val="24"/>
      <w:lang w:val="en-US" w:eastAsia="zh-CN" w:bidi="ar-SA"/>
    </w:rPr>
  </w:style>
  <w:style w:type="character" w:customStyle="1" w:styleId="67">
    <w:name w:val="标题 2 Char"/>
    <w:link w:val="3"/>
    <w:qFormat/>
    <w:uiPriority w:val="0"/>
    <w:rPr>
      <w:rFonts w:ascii="Cambria" w:hAnsi="Cambria" w:eastAsia="宋体"/>
      <w:b/>
      <w:bCs/>
      <w:kern w:val="2"/>
      <w:sz w:val="32"/>
      <w:szCs w:val="32"/>
      <w:lang w:val="en-US" w:eastAsia="zh-CN" w:bidi="ar-SA"/>
    </w:rPr>
  </w:style>
  <w:style w:type="character" w:customStyle="1" w:styleId="68">
    <w:name w:val="标题 3 Char"/>
    <w:basedOn w:val="56"/>
    <w:qFormat/>
    <w:uiPriority w:val="9"/>
    <w:rPr>
      <w:rFonts w:ascii="Times New Roman" w:hAnsi="Times New Roman" w:eastAsia="仿宋_GB2312" w:cs="Times New Roman"/>
      <w:bCs/>
      <w:szCs w:val="32"/>
    </w:rPr>
  </w:style>
  <w:style w:type="character" w:customStyle="1" w:styleId="69">
    <w:name w:val="标题 4 Char"/>
    <w:link w:val="5"/>
    <w:qFormat/>
    <w:uiPriority w:val="0"/>
    <w:rPr>
      <w:rFonts w:ascii="Arial" w:hAnsi="Arial" w:eastAsia="黑体"/>
      <w:b/>
      <w:kern w:val="2"/>
      <w:sz w:val="28"/>
      <w:lang w:bidi="ar-SA"/>
    </w:rPr>
  </w:style>
  <w:style w:type="character" w:customStyle="1" w:styleId="70">
    <w:name w:val="标题 5 Char"/>
    <w:link w:val="6"/>
    <w:qFormat/>
    <w:uiPriority w:val="0"/>
    <w:rPr>
      <w:rFonts w:eastAsia="宋体"/>
      <w:b/>
      <w:sz w:val="28"/>
      <w:lang w:bidi="ar-SA"/>
    </w:rPr>
  </w:style>
  <w:style w:type="character" w:customStyle="1" w:styleId="71">
    <w:name w:val="标题 6 Char"/>
    <w:link w:val="7"/>
    <w:qFormat/>
    <w:uiPriority w:val="0"/>
    <w:rPr>
      <w:rFonts w:ascii="Arial" w:hAnsi="Arial" w:eastAsia="黑体"/>
      <w:b/>
      <w:sz w:val="24"/>
      <w:lang w:bidi="ar-SA"/>
    </w:rPr>
  </w:style>
  <w:style w:type="character" w:customStyle="1" w:styleId="72">
    <w:name w:val="标题 7 Char"/>
    <w:link w:val="8"/>
    <w:qFormat/>
    <w:uiPriority w:val="0"/>
    <w:rPr>
      <w:rFonts w:eastAsia="宋体"/>
      <w:b/>
      <w:bCs/>
      <w:kern w:val="2"/>
      <w:sz w:val="24"/>
      <w:szCs w:val="24"/>
      <w:lang w:val="en-US" w:eastAsia="zh-CN" w:bidi="ar-SA"/>
    </w:rPr>
  </w:style>
  <w:style w:type="character" w:customStyle="1" w:styleId="73">
    <w:name w:val="标题 8 Char"/>
    <w:link w:val="10"/>
    <w:qFormat/>
    <w:uiPriority w:val="0"/>
    <w:rPr>
      <w:rFonts w:ascii="Arial" w:hAnsi="Arial" w:eastAsia="黑体"/>
      <w:sz w:val="24"/>
      <w:lang w:bidi="ar-SA"/>
    </w:rPr>
  </w:style>
  <w:style w:type="character" w:customStyle="1" w:styleId="74">
    <w:name w:val="标题 9 Char"/>
    <w:link w:val="11"/>
    <w:qFormat/>
    <w:uiPriority w:val="0"/>
    <w:rPr>
      <w:rFonts w:ascii="Arial" w:hAnsi="Arial" w:eastAsia="黑体"/>
      <w:sz w:val="21"/>
      <w:lang w:bidi="ar-SA"/>
    </w:rPr>
  </w:style>
  <w:style w:type="character" w:customStyle="1" w:styleId="75">
    <w:name w:val="正文缩进 Char1"/>
    <w:link w:val="9"/>
    <w:qFormat/>
    <w:uiPriority w:val="0"/>
    <w:rPr>
      <w:rFonts w:eastAsia="宋体"/>
      <w:kern w:val="2"/>
      <w:sz w:val="21"/>
      <w:szCs w:val="24"/>
      <w:lang w:val="en-US" w:eastAsia="zh-CN" w:bidi="ar-SA"/>
    </w:rPr>
  </w:style>
  <w:style w:type="character" w:customStyle="1" w:styleId="76">
    <w:name w:val="文档结构图 Char"/>
    <w:link w:val="15"/>
    <w:qFormat/>
    <w:uiPriority w:val="0"/>
    <w:rPr>
      <w:rFonts w:ascii="宋体"/>
      <w:kern w:val="2"/>
      <w:sz w:val="18"/>
      <w:szCs w:val="18"/>
      <w:lang w:bidi="ar-SA"/>
    </w:rPr>
  </w:style>
  <w:style w:type="character" w:customStyle="1" w:styleId="77">
    <w:name w:val="批注文字 Char"/>
    <w:link w:val="17"/>
    <w:qFormat/>
    <w:uiPriority w:val="0"/>
    <w:rPr>
      <w:rFonts w:eastAsia="宋体"/>
      <w:kern w:val="2"/>
      <w:sz w:val="21"/>
      <w:szCs w:val="24"/>
      <w:lang w:val="en-US" w:eastAsia="zh-CN" w:bidi="ar-SA"/>
    </w:rPr>
  </w:style>
  <w:style w:type="character" w:customStyle="1" w:styleId="78">
    <w:name w:val="正文文本 Char"/>
    <w:link w:val="18"/>
    <w:qFormat/>
    <w:uiPriority w:val="0"/>
    <w:rPr>
      <w:rFonts w:eastAsia="宋体"/>
      <w:kern w:val="2"/>
      <w:sz w:val="21"/>
      <w:szCs w:val="24"/>
      <w:lang w:val="en-US" w:eastAsia="zh-CN" w:bidi="ar-SA"/>
    </w:rPr>
  </w:style>
  <w:style w:type="character" w:customStyle="1" w:styleId="79">
    <w:name w:val="纯文本 Char"/>
    <w:link w:val="27"/>
    <w:qFormat/>
    <w:uiPriority w:val="99"/>
    <w:rPr>
      <w:rFonts w:ascii="宋体" w:hAnsi="Courier New" w:eastAsia="宋体"/>
      <w:kern w:val="2"/>
      <w:sz w:val="21"/>
      <w:lang w:val="en-US" w:eastAsia="zh-CN" w:bidi="ar-SA"/>
    </w:rPr>
  </w:style>
  <w:style w:type="character" w:customStyle="1" w:styleId="80">
    <w:name w:val="日期 Char"/>
    <w:link w:val="29"/>
    <w:qFormat/>
    <w:uiPriority w:val="0"/>
    <w:rPr>
      <w:rFonts w:ascii="宋体" w:hAnsi="宋体"/>
      <w:sz w:val="28"/>
      <w:lang w:bidi="ar-SA"/>
    </w:rPr>
  </w:style>
  <w:style w:type="character" w:customStyle="1" w:styleId="81">
    <w:name w:val="正文文本缩进 2 Char"/>
    <w:link w:val="30"/>
    <w:qFormat/>
    <w:uiPriority w:val="0"/>
    <w:rPr>
      <w:kern w:val="2"/>
      <w:sz w:val="21"/>
      <w:lang w:bidi="ar-SA"/>
    </w:rPr>
  </w:style>
  <w:style w:type="character" w:customStyle="1" w:styleId="82">
    <w:name w:val="批注框文本 Char"/>
    <w:link w:val="32"/>
    <w:qFormat/>
    <w:uiPriority w:val="0"/>
    <w:rPr>
      <w:kern w:val="2"/>
      <w:sz w:val="18"/>
      <w:szCs w:val="18"/>
      <w:lang w:bidi="ar-SA"/>
    </w:rPr>
  </w:style>
  <w:style w:type="character" w:customStyle="1" w:styleId="83">
    <w:name w:val="页脚 Char"/>
    <w:link w:val="33"/>
    <w:qFormat/>
    <w:uiPriority w:val="0"/>
    <w:rPr>
      <w:kern w:val="2"/>
      <w:sz w:val="18"/>
      <w:szCs w:val="24"/>
      <w:lang w:bidi="ar-SA"/>
    </w:rPr>
  </w:style>
  <w:style w:type="character" w:customStyle="1" w:styleId="84">
    <w:name w:val="页眉 Char"/>
    <w:link w:val="34"/>
    <w:qFormat/>
    <w:uiPriority w:val="0"/>
    <w:rPr>
      <w:kern w:val="2"/>
      <w:sz w:val="18"/>
      <w:szCs w:val="24"/>
      <w:lang w:bidi="ar-SA"/>
    </w:rPr>
  </w:style>
  <w:style w:type="character" w:customStyle="1" w:styleId="85">
    <w:name w:val="脚注文本 Char"/>
    <w:link w:val="39"/>
    <w:qFormat/>
    <w:uiPriority w:val="0"/>
    <w:rPr>
      <w:rFonts w:ascii="Calibri" w:hAnsi="Calibri"/>
      <w:kern w:val="2"/>
      <w:sz w:val="18"/>
      <w:szCs w:val="18"/>
      <w:lang w:bidi="ar-SA"/>
    </w:rPr>
  </w:style>
  <w:style w:type="character" w:customStyle="1" w:styleId="86">
    <w:name w:val="正文文本 2 Char"/>
    <w:link w:val="45"/>
    <w:qFormat/>
    <w:uiPriority w:val="0"/>
    <w:rPr>
      <w:rFonts w:ascii="宋体" w:hAnsi="宋体"/>
      <w:kern w:val="2"/>
      <w:sz w:val="24"/>
      <w:lang w:bidi="ar-SA"/>
    </w:rPr>
  </w:style>
  <w:style w:type="character" w:customStyle="1" w:styleId="87">
    <w:name w:val="HTML 预设格式 Char"/>
    <w:link w:val="48"/>
    <w:qFormat/>
    <w:uiPriority w:val="0"/>
    <w:rPr>
      <w:rFonts w:ascii="Courier New" w:hAnsi="Courier New"/>
      <w:kern w:val="2"/>
      <w:lang w:bidi="ar-SA"/>
    </w:rPr>
  </w:style>
  <w:style w:type="character" w:customStyle="1" w:styleId="88">
    <w:name w:val="批注主题 Char"/>
    <w:link w:val="51"/>
    <w:qFormat/>
    <w:uiPriority w:val="0"/>
    <w:rPr>
      <w:b/>
      <w:bCs/>
      <w:kern w:val="2"/>
      <w:sz w:val="21"/>
      <w:szCs w:val="24"/>
      <w:lang w:bidi="ar-SA"/>
    </w:rPr>
  </w:style>
  <w:style w:type="character" w:customStyle="1" w:styleId="89">
    <w:name w:val="正文首行缩进 Char"/>
    <w:link w:val="52"/>
    <w:qFormat/>
    <w:uiPriority w:val="0"/>
    <w:rPr>
      <w:b/>
      <w:kern w:val="2"/>
      <w:sz w:val="24"/>
      <w:szCs w:val="24"/>
      <w:lang w:bidi="ar-SA"/>
    </w:rPr>
  </w:style>
  <w:style w:type="character" w:customStyle="1" w:styleId="90">
    <w:name w:val="标题 3 Char1"/>
    <w:link w:val="4"/>
    <w:qFormat/>
    <w:uiPriority w:val="0"/>
    <w:rPr>
      <w:rFonts w:eastAsia="宋体"/>
      <w:b/>
      <w:bCs/>
      <w:kern w:val="2"/>
      <w:sz w:val="32"/>
      <w:szCs w:val="32"/>
      <w:lang w:val="en-US" w:eastAsia="zh-CN" w:bidi="ar-SA"/>
    </w:rPr>
  </w:style>
  <w:style w:type="paragraph" w:customStyle="1" w:styleId="91">
    <w:name w:val="正文首行缩进2字符"/>
    <w:basedOn w:val="1"/>
    <w:qFormat/>
    <w:uiPriority w:val="0"/>
    <w:pPr>
      <w:spacing w:before="60" w:after="60" w:line="360" w:lineRule="auto"/>
      <w:ind w:firstLine="482"/>
    </w:pPr>
    <w:rPr>
      <w:iCs/>
    </w:rPr>
  </w:style>
  <w:style w:type="character" w:customStyle="1" w:styleId="92">
    <w:name w:val="font11"/>
    <w:qFormat/>
    <w:uiPriority w:val="0"/>
    <w:rPr>
      <w:rFonts w:hint="eastAsia" w:ascii="宋体" w:hAnsi="宋体" w:eastAsia="宋体" w:cs="宋体"/>
      <w:color w:val="000000"/>
      <w:sz w:val="24"/>
      <w:szCs w:val="24"/>
      <w:u w:val="none"/>
    </w:rPr>
  </w:style>
  <w:style w:type="character" w:customStyle="1" w:styleId="93">
    <w:name w:val="二级目录 Char"/>
    <w:link w:val="94"/>
    <w:qFormat/>
    <w:locked/>
    <w:uiPriority w:val="99"/>
    <w:rPr>
      <w:rFonts w:cs="Calibri"/>
      <w:b/>
      <w:bCs/>
      <w:kern w:val="2"/>
      <w:sz w:val="30"/>
      <w:szCs w:val="30"/>
      <w:lang w:val="en-US" w:eastAsia="zh-CN" w:bidi="ar-SA"/>
    </w:rPr>
  </w:style>
  <w:style w:type="paragraph" w:customStyle="1" w:styleId="94">
    <w:name w:val="二级目录"/>
    <w:next w:val="1"/>
    <w:link w:val="93"/>
    <w:qFormat/>
    <w:uiPriority w:val="99"/>
    <w:pPr>
      <w:tabs>
        <w:tab w:val="left" w:pos="720"/>
      </w:tabs>
      <w:ind w:left="720" w:hanging="720"/>
      <w:outlineLvl w:val="1"/>
    </w:pPr>
    <w:rPr>
      <w:rFonts w:ascii="Times New Roman" w:hAnsi="Times New Roman" w:eastAsia="宋体" w:cs="Calibri"/>
      <w:b/>
      <w:bCs/>
      <w:kern w:val="2"/>
      <w:sz w:val="30"/>
      <w:szCs w:val="30"/>
      <w:lang w:val="en-US" w:eastAsia="zh-CN" w:bidi="ar-SA"/>
    </w:rPr>
  </w:style>
  <w:style w:type="character" w:customStyle="1" w:styleId="95">
    <w:name w:val="font31"/>
    <w:qFormat/>
    <w:uiPriority w:val="0"/>
    <w:rPr>
      <w:rFonts w:hint="eastAsia" w:ascii="宋体" w:hAnsi="宋体" w:eastAsia="宋体" w:cs="宋体"/>
      <w:color w:val="000000"/>
      <w:sz w:val="22"/>
      <w:szCs w:val="22"/>
      <w:u w:val="none"/>
    </w:rPr>
  </w:style>
  <w:style w:type="character" w:customStyle="1" w:styleId="96">
    <w:name w:val="正文缩进2格 Char"/>
    <w:qFormat/>
    <w:uiPriority w:val="0"/>
    <w:rPr>
      <w:rFonts w:ascii="仿宋_GB2312" w:hAnsi="宋体" w:eastAsia="仿宋_GB2312"/>
      <w:kern w:val="2"/>
      <w:sz w:val="31"/>
      <w:szCs w:val="28"/>
      <w:lang w:val="en-US" w:eastAsia="zh-CN" w:bidi="ar-SA"/>
    </w:rPr>
  </w:style>
  <w:style w:type="character" w:customStyle="1" w:styleId="97">
    <w:name w:val="font61"/>
    <w:qFormat/>
    <w:uiPriority w:val="0"/>
    <w:rPr>
      <w:rFonts w:hint="eastAsia" w:ascii="宋体" w:hAnsi="宋体" w:eastAsia="宋体" w:cs="宋体"/>
      <w:b/>
      <w:color w:val="000000"/>
      <w:sz w:val="24"/>
      <w:szCs w:val="24"/>
      <w:u w:val="none"/>
    </w:rPr>
  </w:style>
  <w:style w:type="character" w:customStyle="1" w:styleId="98">
    <w:name w:val="font71"/>
    <w:qFormat/>
    <w:uiPriority w:val="0"/>
    <w:rPr>
      <w:rFonts w:hint="eastAsia" w:ascii="宋体" w:hAnsi="宋体" w:eastAsia="宋体" w:cs="宋体"/>
      <w:b/>
      <w:color w:val="000000"/>
      <w:sz w:val="40"/>
      <w:szCs w:val="40"/>
      <w:u w:val="none"/>
    </w:rPr>
  </w:style>
  <w:style w:type="character" w:customStyle="1" w:styleId="99">
    <w:name w:val="正文文本 2 Char2"/>
    <w:link w:val="100"/>
    <w:qFormat/>
    <w:uiPriority w:val="0"/>
    <w:rPr>
      <w:rFonts w:ascii="Calibri" w:hAnsi="Calibri"/>
      <w:szCs w:val="21"/>
      <w:lang w:bidi="ar-SA"/>
    </w:rPr>
  </w:style>
  <w:style w:type="paragraph" w:customStyle="1" w:styleId="100">
    <w:name w:val="正文文本 21"/>
    <w:basedOn w:val="1"/>
    <w:link w:val="99"/>
    <w:qFormat/>
    <w:uiPriority w:val="0"/>
    <w:pPr>
      <w:spacing w:before="280" w:after="120" w:line="480" w:lineRule="auto"/>
      <w:ind w:left="420" w:hanging="420"/>
    </w:pPr>
    <w:rPr>
      <w:rFonts w:ascii="Calibri" w:hAnsi="Calibri"/>
      <w:kern w:val="0"/>
      <w:sz w:val="20"/>
      <w:szCs w:val="21"/>
    </w:rPr>
  </w:style>
  <w:style w:type="character" w:customStyle="1" w:styleId="101">
    <w:name w:val="HTML 预设格式 Char1"/>
    <w:qFormat/>
    <w:locked/>
    <w:uiPriority w:val="0"/>
    <w:rPr>
      <w:rFonts w:ascii="Courier New" w:hAnsi="Courier New" w:eastAsia="宋体" w:cs="Times New Roman"/>
      <w:kern w:val="0"/>
      <w:sz w:val="20"/>
      <w:szCs w:val="20"/>
    </w:rPr>
  </w:style>
  <w:style w:type="character" w:customStyle="1" w:styleId="102">
    <w:name w:val="flName Char"/>
    <w:link w:val="103"/>
    <w:qFormat/>
    <w:locked/>
    <w:uiPriority w:val="0"/>
    <w:rPr>
      <w:rFonts w:ascii="Arial" w:hAnsi="Arial" w:eastAsia="黑体"/>
      <w:sz w:val="32"/>
      <w:lang w:bidi="ar-SA"/>
    </w:rPr>
  </w:style>
  <w:style w:type="paragraph" w:customStyle="1" w:styleId="103">
    <w:name w:val="flName"/>
    <w:basedOn w:val="1"/>
    <w:link w:val="102"/>
    <w:qFormat/>
    <w:uiPriority w:val="0"/>
    <w:pPr>
      <w:adjustRightInd w:val="0"/>
      <w:spacing w:before="320" w:after="160" w:line="360" w:lineRule="atLeast"/>
      <w:jc w:val="center"/>
    </w:pPr>
    <w:rPr>
      <w:rFonts w:ascii="Arial" w:hAnsi="Arial" w:eastAsia="黑体"/>
      <w:kern w:val="0"/>
      <w:sz w:val="32"/>
      <w:szCs w:val="20"/>
    </w:rPr>
  </w:style>
  <w:style w:type="character" w:customStyle="1" w:styleId="104">
    <w:name w:val="正文缩进2格 Char Char"/>
    <w:link w:val="105"/>
    <w:qFormat/>
    <w:uiPriority w:val="0"/>
    <w:rPr>
      <w:rFonts w:ascii="仿宋_GB2312" w:hAnsi="宋体" w:eastAsia="仿宋_GB2312"/>
      <w:kern w:val="2"/>
      <w:sz w:val="31"/>
      <w:szCs w:val="28"/>
      <w:lang w:val="en-US" w:eastAsia="zh-CN" w:bidi="ar-SA"/>
    </w:rPr>
  </w:style>
  <w:style w:type="paragraph" w:customStyle="1" w:styleId="105">
    <w:name w:val="正文缩进2格"/>
    <w:basedOn w:val="1"/>
    <w:link w:val="104"/>
    <w:qFormat/>
    <w:uiPriority w:val="0"/>
    <w:pPr>
      <w:spacing w:line="600" w:lineRule="exact"/>
      <w:ind w:firstLine="639" w:firstLineChars="206"/>
    </w:pPr>
    <w:rPr>
      <w:rFonts w:ascii="仿宋_GB2312" w:hAnsi="宋体" w:eastAsia="仿宋_GB2312"/>
      <w:sz w:val="31"/>
      <w:szCs w:val="28"/>
    </w:rPr>
  </w:style>
  <w:style w:type="character" w:customStyle="1" w:styleId="106">
    <w:name w:val="style1"/>
    <w:qFormat/>
    <w:uiPriority w:val="0"/>
  </w:style>
  <w:style w:type="character" w:customStyle="1" w:styleId="107">
    <w:name w:val="font01"/>
    <w:qFormat/>
    <w:uiPriority w:val="0"/>
    <w:rPr>
      <w:rFonts w:hint="eastAsia" w:ascii="宋体" w:hAnsi="宋体" w:eastAsia="宋体" w:cs="宋体"/>
      <w:color w:val="000000"/>
      <w:sz w:val="22"/>
      <w:szCs w:val="22"/>
      <w:u w:val="none"/>
    </w:rPr>
  </w:style>
  <w:style w:type="character" w:customStyle="1" w:styleId="108">
    <w:name w:val="正文缩进 Char"/>
    <w:qFormat/>
    <w:uiPriority w:val="0"/>
    <w:rPr>
      <w:rFonts w:eastAsia="宋体"/>
      <w:kern w:val="2"/>
      <w:sz w:val="21"/>
      <w:szCs w:val="24"/>
      <w:lang w:val="en-US" w:eastAsia="zh-CN" w:bidi="ar-SA"/>
    </w:rPr>
  </w:style>
  <w:style w:type="character" w:customStyle="1" w:styleId="109">
    <w:name w:val="font51"/>
    <w:qFormat/>
    <w:uiPriority w:val="0"/>
    <w:rPr>
      <w:rFonts w:hint="eastAsia" w:ascii="宋体" w:hAnsi="宋体" w:eastAsia="宋体" w:cs="宋体"/>
      <w:color w:val="000000"/>
      <w:sz w:val="22"/>
      <w:szCs w:val="22"/>
      <w:u w:val="none"/>
    </w:rPr>
  </w:style>
  <w:style w:type="character" w:customStyle="1" w:styleId="110">
    <w:name w:val="Char Char4"/>
    <w:qFormat/>
    <w:uiPriority w:val="0"/>
    <w:rPr>
      <w:rFonts w:eastAsia="宋体"/>
      <w:kern w:val="2"/>
      <w:sz w:val="21"/>
      <w:szCs w:val="24"/>
      <w:lang w:val="en-US" w:eastAsia="zh-CN" w:bidi="ar-SA"/>
    </w:rPr>
  </w:style>
  <w:style w:type="character" w:customStyle="1" w:styleId="111">
    <w:name w:val="font41"/>
    <w:qFormat/>
    <w:uiPriority w:val="0"/>
    <w:rPr>
      <w:rFonts w:hint="eastAsia" w:ascii="宋体" w:hAnsi="宋体" w:eastAsia="宋体" w:cs="宋体"/>
      <w:color w:val="000000"/>
      <w:sz w:val="22"/>
      <w:szCs w:val="22"/>
      <w:u w:val="none"/>
    </w:rPr>
  </w:style>
  <w:style w:type="character" w:customStyle="1" w:styleId="112">
    <w:name w:val="16"/>
    <w:qFormat/>
    <w:uiPriority w:val="0"/>
    <w:rPr>
      <w:rFonts w:hint="default" w:ascii="Calibri" w:hAnsi="Calibri" w:cs="Calibri"/>
      <w:color w:val="0000FF"/>
      <w:u w:val="single"/>
    </w:rPr>
  </w:style>
  <w:style w:type="character" w:customStyle="1" w:styleId="113">
    <w:name w:val="Style Heading 3 + Char"/>
    <w:link w:val="114"/>
    <w:qFormat/>
    <w:uiPriority w:val="0"/>
    <w:rPr>
      <w:b/>
      <w:kern w:val="2"/>
      <w:sz w:val="28"/>
      <w:lang w:bidi="ar-SA"/>
    </w:rPr>
  </w:style>
  <w:style w:type="paragraph" w:customStyle="1" w:styleId="114">
    <w:name w:val="Style Heading 3 +"/>
    <w:basedOn w:val="4"/>
    <w:link w:val="113"/>
    <w:qFormat/>
    <w:uiPriority w:val="0"/>
    <w:pPr>
      <w:spacing w:before="120" w:after="120" w:line="120" w:lineRule="atLeast"/>
    </w:pPr>
    <w:rPr>
      <w:bCs w:val="0"/>
      <w:sz w:val="28"/>
      <w:szCs w:val="20"/>
    </w:rPr>
  </w:style>
  <w:style w:type="character" w:customStyle="1" w:styleId="115">
    <w:name w:val="标题 1 Char Char"/>
    <w:qFormat/>
    <w:uiPriority w:val="0"/>
    <w:rPr>
      <w:rFonts w:eastAsia="宋体"/>
      <w:b/>
      <w:spacing w:val="-2"/>
      <w:sz w:val="24"/>
      <w:lang w:val="en-US" w:eastAsia="zh-CN"/>
    </w:rPr>
  </w:style>
  <w:style w:type="character" w:customStyle="1" w:styleId="116">
    <w:name w:val="无间隔 Char"/>
    <w:link w:val="117"/>
    <w:qFormat/>
    <w:uiPriority w:val="0"/>
    <w:rPr>
      <w:rFonts w:eastAsia="Times New Roman"/>
      <w:kern w:val="2"/>
      <w:sz w:val="22"/>
      <w:szCs w:val="22"/>
      <w:lang w:val="en-US" w:eastAsia="zh-CN" w:bidi="ar-SA"/>
    </w:rPr>
  </w:style>
  <w:style w:type="paragraph" w:styleId="117">
    <w:name w:val="No Spacing"/>
    <w:link w:val="116"/>
    <w:qFormat/>
    <w:uiPriority w:val="0"/>
    <w:rPr>
      <w:rFonts w:ascii="Times New Roman" w:hAnsi="Times New Roman" w:eastAsia="Times New Roman" w:cs="Times New Roman"/>
      <w:kern w:val="2"/>
      <w:sz w:val="22"/>
      <w:szCs w:val="22"/>
      <w:lang w:val="en-US" w:eastAsia="zh-CN" w:bidi="ar-SA"/>
    </w:rPr>
  </w:style>
  <w:style w:type="character" w:customStyle="1" w:styleId="118">
    <w:name w:val="font21"/>
    <w:basedOn w:val="56"/>
    <w:qFormat/>
    <w:uiPriority w:val="0"/>
    <w:rPr>
      <w:rFonts w:hint="eastAsia" w:ascii="宋体" w:hAnsi="宋体" w:eastAsia="宋体" w:cs="宋体"/>
      <w:color w:val="000000"/>
      <w:sz w:val="22"/>
      <w:szCs w:val="22"/>
      <w:u w:val="none"/>
    </w:rPr>
  </w:style>
  <w:style w:type="character" w:customStyle="1" w:styleId="119">
    <w:name w:val="15"/>
    <w:basedOn w:val="56"/>
    <w:qFormat/>
    <w:uiPriority w:val="0"/>
    <w:rPr>
      <w:rFonts w:hint="eastAsia" w:ascii="微软雅黑" w:hAnsi="微软雅黑" w:eastAsia="微软雅黑"/>
      <w:b/>
      <w:bCs/>
      <w:color w:val="000000"/>
      <w:sz w:val="20"/>
      <w:szCs w:val="20"/>
    </w:rPr>
  </w:style>
  <w:style w:type="character" w:customStyle="1" w:styleId="120">
    <w:name w:val="18"/>
    <w:basedOn w:val="56"/>
    <w:qFormat/>
    <w:uiPriority w:val="0"/>
    <w:rPr>
      <w:rFonts w:hint="eastAsia" w:ascii="微软雅黑" w:hAnsi="微软雅黑" w:eastAsia="微软雅黑"/>
      <w:color w:val="000000"/>
      <w:sz w:val="20"/>
      <w:szCs w:val="20"/>
    </w:rPr>
  </w:style>
  <w:style w:type="paragraph" w:customStyle="1" w:styleId="121">
    <w:name w:val="xl81"/>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2">
    <w:name w:val="xl7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23">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4">
    <w:name w:val="xl77"/>
    <w:basedOn w:val="1"/>
    <w:qFormat/>
    <w:uiPriority w:val="0"/>
    <w:pPr>
      <w:widowControl/>
      <w:pBdr>
        <w:bottom w:val="single" w:color="000000" w:sz="4" w:space="0"/>
      </w:pBdr>
      <w:spacing w:before="100" w:beforeAutospacing="1" w:after="100" w:afterAutospacing="1"/>
      <w:jc w:val="center"/>
    </w:pPr>
    <w:rPr>
      <w:rFonts w:ascii="宋体" w:hAnsi="宋体" w:cs="宋体"/>
      <w:kern w:val="0"/>
      <w:sz w:val="20"/>
      <w:szCs w:val="20"/>
    </w:rPr>
  </w:style>
  <w:style w:type="paragraph" w:customStyle="1" w:styleId="125">
    <w:name w:val="xl94"/>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126">
    <w:name w:val="xl109"/>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127">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8">
    <w:name w:val="xl107"/>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129">
    <w:name w:val="xl100"/>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1">
    <w:name w:val="xl9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_GB2312" w:hAnsi="宋体" w:eastAsia="仿宋_GB2312" w:cs="宋体"/>
      <w:kern w:val="0"/>
      <w:sz w:val="20"/>
      <w:szCs w:val="20"/>
    </w:rPr>
  </w:style>
  <w:style w:type="paragraph" w:customStyle="1" w:styleId="13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33">
    <w:name w:val="xl95"/>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34">
    <w:name w:val="xl10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6">
    <w:name w:val="图文"/>
    <w:basedOn w:val="1"/>
    <w:qFormat/>
    <w:uiPriority w:val="0"/>
    <w:pPr>
      <w:adjustRightInd w:val="0"/>
      <w:snapToGrid w:val="0"/>
      <w:spacing w:after="50" w:line="360" w:lineRule="auto"/>
    </w:pPr>
    <w:rPr>
      <w:sz w:val="24"/>
      <w:szCs w:val="20"/>
    </w:rPr>
  </w:style>
  <w:style w:type="paragraph" w:customStyle="1" w:styleId="137">
    <w:name w:val="列出段落2"/>
    <w:basedOn w:val="1"/>
    <w:qFormat/>
    <w:uiPriority w:val="0"/>
    <w:pPr>
      <w:ind w:firstLine="420" w:firstLineChars="200"/>
    </w:pPr>
    <w:rPr>
      <w:rFonts w:ascii="Calibri" w:hAnsi="Calibri"/>
      <w:szCs w:val="22"/>
    </w:rPr>
  </w:style>
  <w:style w:type="paragraph" w:customStyle="1" w:styleId="13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39">
    <w:name w:val="xl74"/>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kern w:val="0"/>
      <w:sz w:val="20"/>
      <w:szCs w:val="20"/>
    </w:rPr>
  </w:style>
  <w:style w:type="paragraph" w:customStyle="1" w:styleId="140">
    <w:name w:val="xl92"/>
    <w:basedOn w:val="1"/>
    <w:qFormat/>
    <w:uiPriority w:val="0"/>
    <w:pPr>
      <w:widowControl/>
      <w:pBdr>
        <w:top w:val="single" w:color="000000" w:sz="4" w:space="0"/>
      </w:pBdr>
      <w:spacing w:before="100" w:beforeAutospacing="1" w:after="100" w:afterAutospacing="1"/>
      <w:jc w:val="center"/>
    </w:pPr>
    <w:rPr>
      <w:rFonts w:ascii="宋体" w:hAnsi="宋体" w:cs="宋体"/>
      <w:kern w:val="0"/>
      <w:sz w:val="20"/>
      <w:szCs w:val="20"/>
    </w:rPr>
  </w:style>
  <w:style w:type="paragraph" w:customStyle="1" w:styleId="141">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42">
    <w:name w:val="1"/>
    <w:basedOn w:val="1"/>
    <w:next w:val="27"/>
    <w:qFormat/>
    <w:uiPriority w:val="0"/>
    <w:rPr>
      <w:rFonts w:ascii="宋体" w:hAnsi="Courier New"/>
      <w:szCs w:val="20"/>
    </w:rPr>
  </w:style>
  <w:style w:type="paragraph" w:customStyle="1" w:styleId="143">
    <w:name w:val="xl64"/>
    <w:basedOn w:val="1"/>
    <w:qFormat/>
    <w:uiPriority w:val="0"/>
    <w:pPr>
      <w:widowControl/>
      <w:spacing w:before="100" w:beforeAutospacing="1" w:after="100" w:afterAutospacing="1"/>
      <w:jc w:val="center"/>
      <w:textAlignment w:val="center"/>
    </w:pPr>
    <w:rPr>
      <w:rFonts w:ascii="宋体" w:hAnsi="宋体" w:cs="宋体"/>
      <w:b/>
      <w:bCs/>
      <w:kern w:val="0"/>
      <w:sz w:val="44"/>
      <w:szCs w:val="44"/>
    </w:rPr>
  </w:style>
  <w:style w:type="paragraph" w:customStyle="1" w:styleId="144">
    <w:name w:val="xl88"/>
    <w:basedOn w:val="1"/>
    <w:qFormat/>
    <w:uiPriority w:val="0"/>
    <w:pPr>
      <w:widowControl/>
      <w:pBdr>
        <w:left w:val="single" w:color="000000" w:sz="4" w:space="0"/>
      </w:pBdr>
      <w:spacing w:before="100" w:beforeAutospacing="1" w:after="100" w:afterAutospacing="1"/>
      <w:jc w:val="center"/>
    </w:pPr>
    <w:rPr>
      <w:rFonts w:ascii="宋体" w:hAnsi="宋体" w:cs="宋体"/>
      <w:kern w:val="0"/>
      <w:sz w:val="20"/>
      <w:szCs w:val="20"/>
    </w:rPr>
  </w:style>
  <w:style w:type="paragraph" w:customStyle="1" w:styleId="145">
    <w:name w:val="TOC 标题1"/>
    <w:basedOn w:val="2"/>
    <w:next w:val="1"/>
    <w:qFormat/>
    <w:uiPriority w:val="0"/>
    <w:pPr>
      <w:keepLines/>
      <w:widowControl/>
      <w:spacing w:before="480" w:line="276" w:lineRule="auto"/>
      <w:jc w:val="left"/>
      <w:outlineLvl w:val="9"/>
    </w:pPr>
    <w:rPr>
      <w:rFonts w:ascii="Cambria" w:hAnsi="Cambria" w:eastAsia="宋体"/>
      <w:b/>
      <w:bCs/>
      <w:color w:val="365F91"/>
      <w:kern w:val="0"/>
      <w:szCs w:val="28"/>
    </w:rPr>
  </w:style>
  <w:style w:type="paragraph" w:customStyle="1" w:styleId="146">
    <w:name w:val="xl101"/>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7">
    <w:name w:val="xl99"/>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148">
    <w:name w:val="Char Char Char1 Char"/>
    <w:basedOn w:val="1"/>
    <w:qFormat/>
    <w:uiPriority w:val="0"/>
    <w:rPr>
      <w:szCs w:val="20"/>
    </w:rPr>
  </w:style>
  <w:style w:type="paragraph" w:customStyle="1" w:styleId="149">
    <w:name w:val="p0"/>
    <w:basedOn w:val="1"/>
    <w:qFormat/>
    <w:uiPriority w:val="0"/>
    <w:pPr>
      <w:widowControl/>
    </w:pPr>
    <w:rPr>
      <w:rFonts w:ascii="Calibri" w:hAnsi="Calibri" w:cs="宋体"/>
      <w:kern w:val="0"/>
      <w:szCs w:val="21"/>
    </w:rPr>
  </w:style>
  <w:style w:type="paragraph" w:customStyle="1" w:styleId="150">
    <w:name w:val="列出段落4"/>
    <w:basedOn w:val="1"/>
    <w:qFormat/>
    <w:uiPriority w:val="34"/>
    <w:pPr>
      <w:ind w:firstLine="420" w:firstLineChars="200"/>
    </w:pPr>
  </w:style>
  <w:style w:type="paragraph" w:customStyle="1" w:styleId="15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52">
    <w:name w:val="xl80"/>
    <w:basedOn w:val="1"/>
    <w:qFormat/>
    <w:uiPriority w:val="0"/>
    <w:pPr>
      <w:widowControl/>
      <w:pBdr>
        <w:left w:val="single" w:color="000000" w:sz="4" w:space="0"/>
        <w:bottom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53">
    <w:name w:val="xl86"/>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仿宋_GB2312" w:hAnsi="宋体" w:eastAsia="仿宋_GB2312" w:cs="宋体"/>
      <w:kern w:val="0"/>
      <w:sz w:val="20"/>
      <w:szCs w:val="20"/>
    </w:rPr>
  </w:style>
  <w:style w:type="paragraph" w:customStyle="1" w:styleId="154">
    <w:name w:val="xl79"/>
    <w:basedOn w:val="1"/>
    <w:qFormat/>
    <w:uiPriority w:val="0"/>
    <w:pPr>
      <w:widowControl/>
      <w:pBdr>
        <w:bottom w:val="single" w:color="000000"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155">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6">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5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8">
    <w:name w:val="简单回函地址"/>
    <w:basedOn w:val="1"/>
    <w:qFormat/>
    <w:uiPriority w:val="0"/>
    <w:rPr>
      <w:szCs w:val="20"/>
    </w:rPr>
  </w:style>
  <w:style w:type="paragraph" w:customStyle="1" w:styleId="159">
    <w:name w:val="xl97"/>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60">
    <w:name w:val="xl85"/>
    <w:basedOn w:val="1"/>
    <w:qFormat/>
    <w:uiPriority w:val="0"/>
    <w:pPr>
      <w:widowControl/>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161">
    <w:name w:val="6"/>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2">
    <w:name w:val="xl111"/>
    <w:basedOn w:val="1"/>
    <w:qFormat/>
    <w:uiPriority w:val="0"/>
    <w:pPr>
      <w:widowControl/>
      <w:pBdr>
        <w:left w:val="single" w:color="000000" w:sz="4" w:space="0"/>
        <w:bottom w:val="single" w:color="000000"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163">
    <w:name w:val="默认段落字体 Para Char Char Char Char"/>
    <w:basedOn w:val="1"/>
    <w:qFormat/>
    <w:uiPriority w:val="0"/>
    <w:rPr>
      <w:szCs w:val="20"/>
    </w:rPr>
  </w:style>
  <w:style w:type="paragraph" w:customStyle="1" w:styleId="164">
    <w:name w:val="xl87"/>
    <w:basedOn w:val="1"/>
    <w:qFormat/>
    <w:uiPriority w:val="0"/>
    <w:pPr>
      <w:widowControl/>
      <w:pBdr>
        <w:top w:val="single" w:color="000000"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165">
    <w:name w:val="xl91"/>
    <w:basedOn w:val="1"/>
    <w:qFormat/>
    <w:uiPriority w:val="0"/>
    <w:pPr>
      <w:widowControl/>
      <w:pBdr>
        <w:top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66">
    <w:name w:val="xl96"/>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167">
    <w:name w:val="xl103"/>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6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0">
    <w:name w:val="正文样式"/>
    <w:basedOn w:val="1"/>
    <w:qFormat/>
    <w:uiPriority w:val="0"/>
    <w:pPr>
      <w:spacing w:line="440" w:lineRule="exact"/>
      <w:ind w:firstLine="200" w:firstLineChars="200"/>
    </w:pPr>
    <w:rPr>
      <w:rFonts w:ascii="仿宋_GB2312" w:eastAsia="仿宋_GB2312"/>
      <w:sz w:val="28"/>
    </w:rPr>
  </w:style>
  <w:style w:type="paragraph" w:customStyle="1" w:styleId="17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74">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75">
    <w:name w:val="纯文本1"/>
    <w:basedOn w:val="1"/>
    <w:qFormat/>
    <w:uiPriority w:val="0"/>
    <w:rPr>
      <w:rFonts w:ascii="宋体" w:hAnsi="Courier New" w:eastAsia="Times New Roman"/>
      <w:szCs w:val="20"/>
    </w:rPr>
  </w:style>
  <w:style w:type="paragraph" w:customStyle="1" w:styleId="176">
    <w:name w:val="xl65"/>
    <w:basedOn w:val="1"/>
    <w:qFormat/>
    <w:uiPriority w:val="0"/>
    <w:pPr>
      <w:widowControl/>
      <w:spacing w:before="100" w:beforeAutospacing="1" w:after="100" w:afterAutospacing="1"/>
      <w:jc w:val="center"/>
      <w:textAlignment w:val="center"/>
    </w:pPr>
    <w:rPr>
      <w:rFonts w:ascii="宋体" w:hAnsi="宋体" w:cs="宋体"/>
      <w:b/>
      <w:bCs/>
      <w:kern w:val="0"/>
      <w:sz w:val="44"/>
      <w:szCs w:val="44"/>
    </w:rPr>
  </w:style>
  <w:style w:type="paragraph" w:customStyle="1" w:styleId="17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79">
    <w:name w:val="列出段落1"/>
    <w:basedOn w:val="1"/>
    <w:qFormat/>
    <w:uiPriority w:val="99"/>
    <w:pPr>
      <w:widowControl/>
      <w:spacing w:before="100" w:beforeAutospacing="1" w:after="100" w:afterAutospacing="1"/>
      <w:jc w:val="left"/>
    </w:pPr>
    <w:rPr>
      <w:rFonts w:ascii="Arial" w:hAnsi="Arial" w:cs="Arial"/>
      <w:color w:val="000000"/>
      <w:sz w:val="18"/>
      <w:szCs w:val="18"/>
    </w:rPr>
  </w:style>
  <w:style w:type="paragraph" w:customStyle="1" w:styleId="180">
    <w:name w:val="xl78"/>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_GB2312" w:hAnsi="宋体" w:eastAsia="仿宋_GB2312" w:cs="宋体"/>
      <w:kern w:val="0"/>
      <w:sz w:val="20"/>
      <w:szCs w:val="20"/>
    </w:rPr>
  </w:style>
  <w:style w:type="paragraph" w:customStyle="1" w:styleId="181">
    <w:name w:val="Table Paragraph"/>
    <w:basedOn w:val="1"/>
    <w:qFormat/>
    <w:uiPriority w:val="1"/>
    <w:rPr>
      <w:rFonts w:ascii="Noto Sans Mono CJK JP Regular" w:hAnsi="Noto Sans Mono CJK JP Regular" w:eastAsia="Noto Sans Mono CJK JP Regular" w:cs="Noto Sans Mono CJK JP Regular"/>
    </w:rPr>
  </w:style>
  <w:style w:type="paragraph" w:customStyle="1" w:styleId="182">
    <w:name w:val="xl102"/>
    <w:basedOn w:val="1"/>
    <w:qFormat/>
    <w:uiPriority w:val="0"/>
    <w:pPr>
      <w:widowControl/>
      <w:pBdr>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83">
    <w:name w:val="xl105"/>
    <w:basedOn w:val="1"/>
    <w:qFormat/>
    <w:uiPriority w:val="0"/>
    <w:pPr>
      <w:widowControl/>
      <w:pBdr>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4">
    <w:name w:val="xl84"/>
    <w:basedOn w:val="1"/>
    <w:qFormat/>
    <w:uiPriority w:val="0"/>
    <w:pPr>
      <w:widowControl/>
      <w:pBdr>
        <w:left w:val="single" w:color="000000" w:sz="4" w:space="0"/>
        <w:right w:val="single" w:color="000000" w:sz="4" w:space="0"/>
      </w:pBdr>
      <w:shd w:val="clear" w:color="000000" w:fill="FFFFFF"/>
      <w:spacing w:before="100" w:beforeAutospacing="1" w:after="100" w:afterAutospacing="1"/>
      <w:jc w:val="center"/>
    </w:pPr>
    <w:rPr>
      <w:rFonts w:ascii="仿宋_GB2312" w:hAnsi="宋体" w:eastAsia="仿宋_GB2312" w:cs="宋体"/>
      <w:kern w:val="0"/>
      <w:sz w:val="20"/>
      <w:szCs w:val="20"/>
    </w:rPr>
  </w:style>
  <w:style w:type="paragraph" w:customStyle="1" w:styleId="185">
    <w:name w:val="正文文字3"/>
    <w:basedOn w:val="18"/>
    <w:qFormat/>
    <w:uiPriority w:val="0"/>
    <w:pPr>
      <w:adjustRightInd w:val="0"/>
      <w:spacing w:after="0" w:line="360" w:lineRule="atLeast"/>
      <w:ind w:left="30" w:leftChars="30" w:right="30" w:rightChars="30"/>
    </w:pPr>
    <w:rPr>
      <w:kern w:val="0"/>
      <w:szCs w:val="20"/>
    </w:rPr>
  </w:style>
  <w:style w:type="paragraph" w:customStyle="1" w:styleId="186">
    <w:name w:val="样式 标题 1 + 宋体 段前: 0 磅 段后: 0 磅 行距: 单倍行距"/>
    <w:basedOn w:val="2"/>
    <w:next w:val="1"/>
    <w:qFormat/>
    <w:uiPriority w:val="0"/>
    <w:pPr>
      <w:keepLines/>
      <w:spacing w:beforeLines="100" w:afterLines="100"/>
    </w:pPr>
    <w:rPr>
      <w:rFonts w:ascii="仿宋_GB2312" w:hAnsi="宋体" w:cs="宋体"/>
      <w:b/>
      <w:bCs/>
      <w:kern w:val="44"/>
      <w:sz w:val="44"/>
      <w:szCs w:val="44"/>
    </w:rPr>
  </w:style>
  <w:style w:type="paragraph" w:customStyle="1" w:styleId="187">
    <w:name w:val="xl110"/>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188">
    <w:name w:val="xl90"/>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189">
    <w:name w:val="xl10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190">
    <w:name w:val="Char"/>
    <w:basedOn w:val="1"/>
    <w:qFormat/>
    <w:uiPriority w:val="0"/>
  </w:style>
  <w:style w:type="paragraph" w:customStyle="1" w:styleId="191">
    <w:name w:val="xl98"/>
    <w:basedOn w:val="1"/>
    <w:qFormat/>
    <w:uiPriority w:val="0"/>
    <w:pPr>
      <w:widowControl/>
      <w:pBdr>
        <w:bottom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92">
    <w:name w:val="xl104"/>
    <w:basedOn w:val="1"/>
    <w:qFormat/>
    <w:uiPriority w:val="0"/>
    <w:pPr>
      <w:widowControl/>
      <w:pBdr>
        <w:left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93">
    <w:name w:val="xl89"/>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94">
    <w:name w:val="xl82"/>
    <w:basedOn w:val="1"/>
    <w:qFormat/>
    <w:uiPriority w:val="0"/>
    <w:pPr>
      <w:widowControl/>
      <w:pBdr>
        <w:bottom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95">
    <w:name w:val="列出段落3"/>
    <w:basedOn w:val="1"/>
    <w:qFormat/>
    <w:uiPriority w:val="34"/>
    <w:pPr>
      <w:ind w:firstLine="420" w:firstLineChars="200"/>
    </w:pPr>
  </w:style>
  <w:style w:type="paragraph" w:customStyle="1" w:styleId="196">
    <w:name w:val="段落"/>
    <w:qFormat/>
    <w:uiPriority w:val="0"/>
    <w:pPr>
      <w:adjustRightInd w:val="0"/>
      <w:snapToGrid w:val="0"/>
      <w:spacing w:before="120" w:after="120" w:line="360" w:lineRule="auto"/>
      <w:ind w:firstLine="560" w:firstLineChars="200"/>
      <w:jc w:val="both"/>
    </w:pPr>
    <w:rPr>
      <w:rFonts w:ascii="Times New Roman" w:hAnsi="Times New Roman" w:eastAsia="仿宋_GB2312" w:cs="Times New Roman"/>
      <w:kern w:val="2"/>
      <w:sz w:val="28"/>
      <w:szCs w:val="24"/>
      <w:lang w:val="en-US" w:eastAsia="zh-CN" w:bidi="ar-SA"/>
    </w:rPr>
  </w:style>
  <w:style w:type="paragraph" w:customStyle="1" w:styleId="197">
    <w:name w:val="表格样式"/>
    <w:basedOn w:val="1"/>
    <w:qFormat/>
    <w:uiPriority w:val="0"/>
    <w:pPr>
      <w:widowControl/>
      <w:jc w:val="center"/>
    </w:pPr>
    <w:rPr>
      <w:rFonts w:ascii="仿宋" w:hAnsi="仿宋" w:eastAsia="仿宋"/>
      <w:bCs/>
      <w:kern w:val="0"/>
      <w:sz w:val="20"/>
      <w:szCs w:val="21"/>
      <w:lang w:eastAsia="en-US"/>
    </w:rPr>
  </w:style>
  <w:style w:type="paragraph" w:styleId="198">
    <w:name w:val="List Paragraph"/>
    <w:basedOn w:val="1"/>
    <w:qFormat/>
    <w:uiPriority w:val="34"/>
    <w:pPr>
      <w:ind w:firstLine="420" w:firstLineChars="200"/>
    </w:pPr>
  </w:style>
  <w:style w:type="paragraph" w:customStyle="1" w:styleId="199">
    <w:name w:val="正文对齐"/>
    <w:basedOn w:val="1"/>
    <w:qFormat/>
    <w:uiPriority w:val="0"/>
    <w:pPr>
      <w:spacing w:before="60"/>
      <w:ind w:left="400" w:leftChars="400"/>
    </w:pPr>
    <w:rPr>
      <w:szCs w:val="21"/>
    </w:rPr>
  </w:style>
  <w:style w:type="paragraph" w:customStyle="1" w:styleId="200">
    <w:name w:val="*正文"/>
    <w:basedOn w:val="1"/>
    <w:qFormat/>
    <w:uiPriority w:val="0"/>
    <w:pPr>
      <w:adjustRightInd w:val="0"/>
      <w:snapToGrid w:val="0"/>
      <w:spacing w:line="360" w:lineRule="auto"/>
      <w:ind w:firstLine="482"/>
    </w:pPr>
    <w:rPr>
      <w:kern w:val="0"/>
      <w:sz w:val="24"/>
      <w:szCs w:val="20"/>
      <w:shd w:val="clear" w:color="auto" w:fill="FFFFFF"/>
    </w:rPr>
  </w:style>
  <w:style w:type="paragraph" w:customStyle="1" w:styleId="201">
    <w:name w:val="DAS正文"/>
    <w:basedOn w:val="1"/>
    <w:qFormat/>
    <w:uiPriority w:val="0"/>
    <w:pPr>
      <w:spacing w:line="360" w:lineRule="auto"/>
      <w:ind w:right="181" w:firstLine="480"/>
    </w:pPr>
    <w:rPr>
      <w:rFonts w:ascii="Verdana" w:hAnsi="Verdana"/>
    </w:rPr>
  </w:style>
  <w:style w:type="paragraph" w:customStyle="1" w:styleId="202">
    <w:name w:val="样式 首行缩进:  2 字符"/>
    <w:basedOn w:val="1"/>
    <w:qFormat/>
    <w:uiPriority w:val="0"/>
    <w:pPr>
      <w:ind w:firstLine="560"/>
    </w:pPr>
    <w:rPr>
      <w:rFonts w:eastAsia="仿宋_GB2312" w:cs="宋体"/>
      <w:sz w:val="24"/>
      <w:szCs w:val="20"/>
    </w:rPr>
  </w:style>
  <w:style w:type="paragraph" w:customStyle="1" w:styleId="203">
    <w:name w:val="样式 标题 2 + 黑色 行距: 1.5 倍行距"/>
    <w:basedOn w:val="3"/>
    <w:qFormat/>
    <w:uiPriority w:val="99"/>
    <w:pPr>
      <w:spacing w:line="360" w:lineRule="auto"/>
    </w:pPr>
    <w:rPr>
      <w:rFonts w:cs="宋体"/>
      <w:color w:val="000000"/>
    </w:rPr>
  </w:style>
  <w:style w:type="paragraph" w:customStyle="1" w:styleId="204">
    <w:name w:val="注"/>
    <w:qFormat/>
    <w:uiPriority w:val="99"/>
    <w:pPr>
      <w:widowControl w:val="0"/>
      <w:adjustRightInd w:val="0"/>
      <w:spacing w:line="360" w:lineRule="atLeast"/>
      <w:ind w:left="840" w:hanging="420"/>
      <w:jc w:val="both"/>
      <w:textAlignment w:val="baseline"/>
    </w:pPr>
    <w:rPr>
      <w:rFonts w:ascii="Times New Roman" w:hAnsi="Times New Roman" w:eastAsia="宋体" w:cs="Times New Roman"/>
      <w:sz w:val="21"/>
      <w:szCs w:val="24"/>
      <w:lang w:val="en-US" w:eastAsia="zh-CN" w:bidi="ar-SA"/>
    </w:rPr>
  </w:style>
  <w:style w:type="paragraph" w:customStyle="1" w:styleId="205">
    <w:name w:val="默认"/>
    <w:qFormat/>
    <w:uiPriority w:val="0"/>
    <w:pPr>
      <w:widowControl w:val="0"/>
      <w:tabs>
        <w:tab w:val="left" w:pos="1654"/>
      </w:tabs>
      <w:suppressAutoHyphens/>
      <w:spacing w:line="360" w:lineRule="atLeast"/>
      <w:ind w:firstLine="420"/>
    </w:pPr>
    <w:rPr>
      <w:rFonts w:ascii="Times New Roman" w:hAnsi="Times New Roman" w:eastAsia="Times New Roman" w:cs="Times New Roman"/>
      <w:color w:val="000000"/>
      <w:sz w:val="21"/>
      <w:szCs w:val="22"/>
      <w:lang w:val="en-US" w:eastAsia="zh-CN" w:bidi="ar-SA"/>
    </w:rPr>
  </w:style>
  <w:style w:type="paragraph" w:customStyle="1" w:styleId="206">
    <w:name w:val="普通(网站)1"/>
    <w:qFormat/>
    <w:uiPriority w:val="0"/>
    <w:pPr>
      <w:spacing w:before="100" w:beforeAutospacing="1" w:after="100" w:afterAutospacing="1"/>
    </w:pPr>
    <w:rPr>
      <w:rFonts w:ascii="??" w:hAnsi="??" w:eastAsia="宋体" w:cs="宋体"/>
      <w:sz w:val="24"/>
      <w:szCs w:val="24"/>
      <w:lang w:val="en-US" w:eastAsia="zh-CN" w:bidi="ar-SA"/>
    </w:rPr>
  </w:style>
  <w:style w:type="paragraph" w:customStyle="1" w:styleId="207">
    <w:name w:val="WW-正文缩进"/>
    <w:qFormat/>
    <w:uiPriority w:val="0"/>
    <w:pPr>
      <w:widowControl w:val="0"/>
      <w:suppressAutoHyphens/>
      <w:spacing w:line="360" w:lineRule="atLeast"/>
      <w:ind w:firstLine="420"/>
    </w:pPr>
    <w:rPr>
      <w:rFonts w:ascii="Times New Roman" w:hAnsi="Times New Roman" w:eastAsia="Times New Roman" w:cs="Times New Roman"/>
      <w:color w:val="000000"/>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Info spid="_x0000_s307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5FC6E1-5AC1-4D88-94C3-DD3EB0EF6C4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54</Pages>
  <Words>29622</Words>
  <Characters>30159</Characters>
  <Lines>236</Lines>
  <Paragraphs>66</Paragraphs>
  <TotalTime>8</TotalTime>
  <ScaleCrop>false</ScaleCrop>
  <LinksUpToDate>false</LinksUpToDate>
  <CharactersWithSpaces>31495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2021-11-12T09:20:00Z</dcterms:created>
  <dc:creator>admin</dc:creator>
  <cp:lastModifiedBy>夏天的冰</cp:lastModifiedBy>
  <cp:lastPrinted>2018-05-09T08:44:00Z</cp:lastPrinted>
  <dcterms:modified xsi:type="dcterms:W3CDTF">2023-02-07T07:59:47Z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EB13AB63731A42849BFE43CB1D8D6B7C</vt:lpwstr>
  </property>
</Properties>
</file>