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CC200">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14:paraId="608B5C14">
      <w:pPr>
        <w:adjustRightInd w:val="0"/>
        <w:snapToGrid w:val="0"/>
        <w:spacing w:line="360" w:lineRule="auto"/>
        <w:rPr>
          <w:rFonts w:hint="eastAsia" w:ascii="宋体" w:hAnsi="宋体" w:cs="宋体"/>
          <w:color w:val="auto"/>
          <w:highlight w:val="none"/>
        </w:rPr>
      </w:pPr>
    </w:p>
    <w:p w14:paraId="5D5862A0">
      <w:pPr>
        <w:adjustRightInd w:val="0"/>
        <w:snapToGrid w:val="0"/>
        <w:spacing w:line="360" w:lineRule="auto"/>
        <w:rPr>
          <w:rFonts w:hint="eastAsia" w:ascii="宋体" w:hAnsi="宋体" w:cs="宋体"/>
          <w:color w:val="auto"/>
          <w:highlight w:val="none"/>
        </w:rPr>
      </w:pPr>
    </w:p>
    <w:p w14:paraId="22CC7B87">
      <w:pPr>
        <w:adjustRightInd w:val="0"/>
        <w:snapToGrid w:val="0"/>
        <w:spacing w:line="360" w:lineRule="auto"/>
        <w:jc w:val="center"/>
        <w:rPr>
          <w:rFonts w:hint="eastAsia" w:ascii="宋体" w:hAnsi="宋体" w:cs="宋体"/>
          <w:color w:val="auto"/>
          <w:sz w:val="28"/>
          <w:highlight w:val="none"/>
        </w:rPr>
      </w:pPr>
      <w:r>
        <w:rPr>
          <w:rFonts w:hint="eastAsia" w:ascii="宋体" w:hAnsi="宋体" w:cs="宋体"/>
          <w:b/>
          <w:color w:val="auto"/>
          <w:sz w:val="44"/>
          <w:highlight w:val="none"/>
        </w:rPr>
        <w:t>2026年度南通市崇川区城市工程建设管理中心建设项目测绘服务</w:t>
      </w:r>
    </w:p>
    <w:p w14:paraId="19ABB6FF">
      <w:pPr>
        <w:adjustRightInd w:val="0"/>
        <w:snapToGrid w:val="0"/>
        <w:spacing w:line="360" w:lineRule="auto"/>
        <w:jc w:val="center"/>
        <w:rPr>
          <w:rFonts w:hint="eastAsia" w:ascii="宋体" w:hAnsi="宋体" w:cs="宋体"/>
          <w:color w:val="auto"/>
          <w:sz w:val="72"/>
          <w:highlight w:val="none"/>
        </w:rPr>
      </w:pPr>
    </w:p>
    <w:p w14:paraId="6B981D04">
      <w:pPr>
        <w:adjustRightInd w:val="0"/>
        <w:snapToGrid w:val="0"/>
        <w:spacing w:line="360" w:lineRule="auto"/>
        <w:jc w:val="center"/>
        <w:rPr>
          <w:rFonts w:hint="eastAsia" w:ascii="宋体" w:hAnsi="宋体" w:cs="宋体"/>
          <w:color w:val="auto"/>
          <w:sz w:val="72"/>
          <w:highlight w:val="none"/>
        </w:rPr>
      </w:pPr>
    </w:p>
    <w:p w14:paraId="459E0E20">
      <w:pPr>
        <w:adjustRightInd w:val="0"/>
        <w:snapToGrid w:val="0"/>
        <w:spacing w:line="360" w:lineRule="auto"/>
        <w:jc w:val="center"/>
        <w:rPr>
          <w:rFonts w:hint="eastAsia" w:ascii="宋体" w:hAnsi="宋体" w:cs="宋体"/>
          <w:color w:val="auto"/>
          <w:sz w:val="72"/>
          <w:highlight w:val="none"/>
        </w:rPr>
      </w:pPr>
    </w:p>
    <w:p w14:paraId="5B90BC36">
      <w:pPr>
        <w:adjustRightInd w:val="0"/>
        <w:snapToGrid w:val="0"/>
        <w:spacing w:line="360" w:lineRule="auto"/>
        <w:jc w:val="center"/>
        <w:rPr>
          <w:rFonts w:hint="eastAsia" w:ascii="宋体" w:hAnsi="宋体" w:cs="宋体"/>
          <w:b/>
          <w:color w:val="auto"/>
          <w:sz w:val="72"/>
          <w:highlight w:val="none"/>
        </w:rPr>
      </w:pPr>
      <w:r>
        <w:rPr>
          <w:rFonts w:hint="eastAsia" w:ascii="宋体" w:hAnsi="宋体" w:cs="宋体"/>
          <w:b/>
          <w:color w:val="auto"/>
          <w:sz w:val="72"/>
          <w:highlight w:val="none"/>
        </w:rPr>
        <w:t>招标文件</w:t>
      </w:r>
    </w:p>
    <w:p w14:paraId="5A91549C">
      <w:pPr>
        <w:autoSpaceDE w:val="0"/>
        <w:autoSpaceDN w:val="0"/>
        <w:adjustRightInd w:val="0"/>
        <w:snapToGrid w:val="0"/>
        <w:spacing w:line="360" w:lineRule="auto"/>
        <w:rPr>
          <w:rFonts w:hint="eastAsia" w:ascii="宋体" w:hAnsi="宋体" w:cs="宋体"/>
          <w:color w:val="auto"/>
          <w:sz w:val="20"/>
          <w:highlight w:val="none"/>
        </w:rPr>
      </w:pPr>
      <w:r>
        <w:rPr>
          <w:rFonts w:hint="eastAsia" w:ascii="宋体" w:hAnsi="宋体" w:cs="宋体"/>
          <w:color w:val="auto"/>
          <w:sz w:val="20"/>
          <w:highlight w:val="none"/>
        </w:rPr>
        <w:t xml:space="preserve">    </w:t>
      </w:r>
    </w:p>
    <w:p w14:paraId="1467BB38">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A85FEF3">
      <w:pPr>
        <w:adjustRightInd w:val="0"/>
        <w:snapToGrid w:val="0"/>
        <w:spacing w:line="360" w:lineRule="auto"/>
        <w:jc w:val="center"/>
        <w:rPr>
          <w:rFonts w:hint="eastAsia" w:ascii="宋体" w:hAnsi="宋体" w:cs="宋体"/>
          <w:color w:val="auto"/>
          <w:sz w:val="20"/>
          <w:highlight w:val="none"/>
        </w:rPr>
      </w:pPr>
      <w:r>
        <w:rPr>
          <w:rFonts w:hint="eastAsia" w:ascii="宋体" w:hAnsi="宋体" w:cs="宋体"/>
          <w:color w:val="auto"/>
          <w:sz w:val="28"/>
          <w:highlight w:val="none"/>
        </w:rPr>
        <w:t xml:space="preserve">           </w:t>
      </w:r>
    </w:p>
    <w:p w14:paraId="3192A58B">
      <w:pPr>
        <w:adjustRightInd w:val="0"/>
        <w:snapToGrid w:val="0"/>
        <w:spacing w:line="360" w:lineRule="auto"/>
        <w:rPr>
          <w:rFonts w:hint="eastAsia" w:ascii="宋体" w:hAnsi="宋体" w:cs="宋体"/>
          <w:color w:val="auto"/>
          <w:highlight w:val="none"/>
        </w:rPr>
      </w:pPr>
    </w:p>
    <w:p w14:paraId="61E5833C">
      <w:pPr>
        <w:adjustRightInd w:val="0"/>
        <w:snapToGrid w:val="0"/>
        <w:spacing w:line="360" w:lineRule="auto"/>
        <w:rPr>
          <w:rFonts w:hint="eastAsia" w:ascii="宋体" w:hAnsi="宋体" w:cs="宋体"/>
          <w:color w:val="auto"/>
          <w:highlight w:val="none"/>
        </w:rPr>
      </w:pPr>
    </w:p>
    <w:p w14:paraId="3CE88869">
      <w:pPr>
        <w:adjustRightInd w:val="0"/>
        <w:snapToGrid w:val="0"/>
        <w:spacing w:line="360" w:lineRule="auto"/>
        <w:rPr>
          <w:rFonts w:hint="eastAsia" w:ascii="宋体" w:hAnsi="宋体" w:cs="宋体"/>
          <w:color w:val="auto"/>
          <w:highlight w:val="none"/>
        </w:rPr>
      </w:pPr>
    </w:p>
    <w:p w14:paraId="3FC60866">
      <w:pPr>
        <w:adjustRightInd w:val="0"/>
        <w:snapToGrid w:val="0"/>
        <w:spacing w:line="360" w:lineRule="auto"/>
        <w:ind w:firstLine="298" w:firstLineChars="99"/>
        <w:rPr>
          <w:rFonts w:hint="eastAsia" w:ascii="宋体" w:hAnsi="宋体" w:cs="宋体"/>
          <w:b/>
          <w:color w:val="auto"/>
          <w:sz w:val="30"/>
          <w:highlight w:val="none"/>
          <w:u w:val="single"/>
        </w:rPr>
      </w:pPr>
      <w:r>
        <w:rPr>
          <w:rFonts w:hint="eastAsia" w:ascii="宋体" w:hAnsi="宋体" w:cs="宋体"/>
          <w:b/>
          <w:color w:val="auto"/>
          <w:sz w:val="30"/>
          <w:highlight w:val="none"/>
        </w:rPr>
        <w:t>招   标   人：</w:t>
      </w:r>
      <w:r>
        <w:rPr>
          <w:rFonts w:hint="eastAsia" w:ascii="宋体" w:hAnsi="宋体" w:cs="宋体"/>
          <w:b/>
          <w:color w:val="auto"/>
          <w:sz w:val="30"/>
          <w:highlight w:val="none"/>
          <w:u w:val="single"/>
        </w:rPr>
        <w:t>南通市崇川区城市工程建设管理中心</w:t>
      </w:r>
    </w:p>
    <w:p w14:paraId="2B3D0C3E">
      <w:pPr>
        <w:adjustRightInd w:val="0"/>
        <w:snapToGrid w:val="0"/>
        <w:spacing w:line="360" w:lineRule="auto"/>
        <w:ind w:firstLine="298" w:firstLineChars="99"/>
        <w:rPr>
          <w:rFonts w:hint="eastAsia" w:ascii="宋体" w:hAnsi="宋体" w:cs="宋体"/>
          <w:b/>
          <w:color w:val="auto"/>
          <w:sz w:val="30"/>
          <w:highlight w:val="none"/>
          <w:u w:val="single"/>
        </w:rPr>
      </w:pPr>
      <w:r>
        <w:rPr>
          <w:rFonts w:hint="eastAsia" w:ascii="宋体" w:hAnsi="宋体" w:cs="宋体"/>
          <w:b/>
          <w:color w:val="auto"/>
          <w:sz w:val="30"/>
          <w:highlight w:val="none"/>
        </w:rPr>
        <w:t>招标代理机构：</w:t>
      </w:r>
      <w:r>
        <w:rPr>
          <w:rFonts w:hint="eastAsia" w:ascii="宋体" w:hAnsi="宋体" w:cs="宋体"/>
          <w:b/>
          <w:color w:val="auto"/>
          <w:sz w:val="30"/>
          <w:highlight w:val="none"/>
          <w:u w:val="single"/>
        </w:rPr>
        <w:t>宏信天德工程顾问有限公司</w:t>
      </w:r>
    </w:p>
    <w:p w14:paraId="600B8289">
      <w:pPr>
        <w:adjustRightInd w:val="0"/>
        <w:snapToGrid w:val="0"/>
        <w:spacing w:line="360" w:lineRule="auto"/>
        <w:ind w:firstLine="298" w:firstLineChars="99"/>
        <w:rPr>
          <w:rFonts w:hint="eastAsia" w:ascii="宋体" w:hAnsi="宋体" w:cs="宋体"/>
          <w:b/>
          <w:color w:val="auto"/>
          <w:sz w:val="30"/>
          <w:highlight w:val="none"/>
        </w:rPr>
      </w:pPr>
      <w:r>
        <w:rPr>
          <w:rFonts w:hint="eastAsia" w:ascii="宋体" w:hAnsi="宋体" w:cs="宋体"/>
          <w:b/>
          <w:color w:val="auto"/>
          <w:sz w:val="30"/>
          <w:highlight w:val="none"/>
        </w:rPr>
        <w:t>日        期：</w:t>
      </w:r>
      <w:r>
        <w:rPr>
          <w:rFonts w:hint="eastAsia" w:ascii="宋体" w:hAnsi="宋体" w:cs="宋体"/>
          <w:b/>
          <w:color w:val="auto"/>
          <w:sz w:val="30"/>
          <w:highlight w:val="none"/>
          <w:u w:val="single"/>
        </w:rPr>
        <w:t>2026</w:t>
      </w:r>
      <w:r>
        <w:rPr>
          <w:rFonts w:hint="eastAsia" w:ascii="宋体" w:hAnsi="宋体" w:cs="宋体"/>
          <w:b/>
          <w:color w:val="auto"/>
          <w:sz w:val="30"/>
          <w:highlight w:val="none"/>
        </w:rPr>
        <w:t>年</w:t>
      </w:r>
      <w:r>
        <w:rPr>
          <w:rFonts w:hint="eastAsia" w:ascii="宋体" w:hAnsi="宋体" w:cs="宋体"/>
          <w:b/>
          <w:color w:val="auto"/>
          <w:sz w:val="30"/>
          <w:highlight w:val="none"/>
          <w:u w:val="single"/>
        </w:rPr>
        <w:t>04</w:t>
      </w:r>
      <w:bookmarkStart w:id="101" w:name="_GoBack"/>
      <w:bookmarkEnd w:id="101"/>
      <w:r>
        <w:rPr>
          <w:rFonts w:hint="eastAsia" w:ascii="宋体" w:hAnsi="宋体" w:cs="宋体"/>
          <w:b/>
          <w:color w:val="auto"/>
          <w:sz w:val="30"/>
          <w:highlight w:val="none"/>
        </w:rPr>
        <w:t>月</w:t>
      </w:r>
      <w:r>
        <w:rPr>
          <w:rFonts w:hint="eastAsia" w:ascii="宋体" w:hAnsi="宋体" w:cs="宋体"/>
          <w:b/>
          <w:color w:val="auto"/>
          <w:sz w:val="30"/>
          <w:highlight w:val="none"/>
          <w:u w:val="single"/>
          <w:lang w:val="en-US" w:eastAsia="zh-CN"/>
        </w:rPr>
        <w:t>23</w:t>
      </w:r>
      <w:r>
        <w:rPr>
          <w:rFonts w:hint="eastAsia" w:ascii="宋体" w:hAnsi="宋体" w:cs="宋体"/>
          <w:b/>
          <w:color w:val="auto"/>
          <w:sz w:val="30"/>
          <w:highlight w:val="none"/>
        </w:rPr>
        <w:t>日</w:t>
      </w:r>
    </w:p>
    <w:p w14:paraId="349B9DB5">
      <w:pPr>
        <w:adjustRightInd w:val="0"/>
        <w:snapToGrid w:val="0"/>
        <w:spacing w:line="360" w:lineRule="auto"/>
        <w:jc w:val="center"/>
        <w:rPr>
          <w:rFonts w:hint="eastAsia" w:ascii="宋体" w:hAnsi="宋体" w:cs="宋体"/>
          <w:color w:val="auto"/>
          <w:sz w:val="32"/>
          <w:highlight w:val="none"/>
        </w:rPr>
      </w:pPr>
    </w:p>
    <w:p w14:paraId="50FDFDB9">
      <w:pPr>
        <w:tabs>
          <w:tab w:val="right" w:leader="dot" w:pos="8306"/>
        </w:tabs>
        <w:adjustRightInd w:val="0"/>
        <w:snapToGrid w:val="0"/>
        <w:spacing w:line="360" w:lineRule="auto"/>
        <w:jc w:val="center"/>
        <w:rPr>
          <w:rFonts w:hint="eastAsia" w:ascii="宋体" w:hAnsi="宋体" w:cs="宋体"/>
          <w:b/>
          <w:bCs/>
          <w:color w:val="auto"/>
          <w:sz w:val="40"/>
          <w:szCs w:val="40"/>
          <w:highlight w:val="none"/>
        </w:rPr>
      </w:pPr>
      <w:r>
        <w:rPr>
          <w:rFonts w:hint="eastAsia" w:ascii="宋体" w:hAnsi="宋体" w:cs="宋体"/>
          <w:color w:val="auto"/>
          <w:sz w:val="32"/>
          <w:highlight w:val="none"/>
        </w:rPr>
        <w:br w:type="page"/>
      </w:r>
      <w:r>
        <w:rPr>
          <w:rFonts w:hint="eastAsia" w:ascii="宋体" w:hAnsi="宋体" w:cs="宋体"/>
          <w:b/>
          <w:bCs/>
          <w:color w:val="auto"/>
          <w:sz w:val="40"/>
          <w:szCs w:val="40"/>
          <w:highlight w:val="none"/>
        </w:rPr>
        <w:t>目    录</w:t>
      </w:r>
    </w:p>
    <w:p w14:paraId="3AFB7B4C">
      <w:pPr>
        <w:pStyle w:val="39"/>
        <w:tabs>
          <w:tab w:val="right" w:leader="dot" w:pos="8666"/>
        </w:tabs>
        <w:rPr>
          <w:color w:val="auto"/>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r>
        <w:rPr>
          <w:color w:val="auto"/>
          <w:highlight w:val="none"/>
        </w:rPr>
        <w:fldChar w:fldCharType="begin"/>
      </w:r>
      <w:r>
        <w:rPr>
          <w:color w:val="auto"/>
          <w:highlight w:val="none"/>
        </w:rPr>
        <w:instrText xml:space="preserve"> HYPERLINK \l "_Toc29792" </w:instrText>
      </w:r>
      <w:r>
        <w:rPr>
          <w:color w:val="auto"/>
          <w:highlight w:val="none"/>
        </w:rPr>
        <w:fldChar w:fldCharType="separate"/>
      </w:r>
      <w:r>
        <w:rPr>
          <w:rFonts w:hint="eastAsia" w:hAnsi="宋体" w:cs="宋体"/>
          <w:bCs/>
          <w:color w:val="auto"/>
          <w:szCs w:val="32"/>
          <w:highlight w:val="none"/>
          <w:shd w:val="clear" w:color="auto" w:fill="FFFFFF"/>
        </w:rPr>
        <w:t>2026年度南通市崇川区城市工程建设管理中心建设项目测绘服务</w:t>
      </w:r>
      <w:r>
        <w:rPr>
          <w:rFonts w:hint="eastAsia" w:ascii="宋体" w:hAnsi="宋体" w:cs="宋体"/>
          <w:bCs/>
          <w:color w:val="auto"/>
          <w:szCs w:val="32"/>
          <w:highlight w:val="none"/>
          <w:shd w:val="clear" w:color="auto" w:fill="FFFFFF"/>
        </w:rPr>
        <w:t>招标公告（资格后审）</w:t>
      </w:r>
      <w:r>
        <w:rPr>
          <w:color w:val="auto"/>
          <w:highlight w:val="none"/>
        </w:rPr>
        <w:tab/>
      </w:r>
      <w:r>
        <w:rPr>
          <w:color w:val="auto"/>
          <w:highlight w:val="none"/>
        </w:rPr>
        <w:fldChar w:fldCharType="begin"/>
      </w:r>
      <w:r>
        <w:rPr>
          <w:color w:val="auto"/>
          <w:highlight w:val="none"/>
        </w:rPr>
        <w:instrText xml:space="preserve"> PAGEREF _Toc29792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CB5EB53">
      <w:pPr>
        <w:pStyle w:val="39"/>
        <w:tabs>
          <w:tab w:val="right" w:leader="dot" w:pos="8666"/>
        </w:tabs>
        <w:rPr>
          <w:color w:val="auto"/>
          <w:highlight w:val="none"/>
        </w:rPr>
      </w:pPr>
      <w:r>
        <w:rPr>
          <w:color w:val="auto"/>
          <w:highlight w:val="none"/>
        </w:rPr>
        <w:fldChar w:fldCharType="begin"/>
      </w:r>
      <w:r>
        <w:rPr>
          <w:color w:val="auto"/>
          <w:highlight w:val="none"/>
        </w:rPr>
        <w:instrText xml:space="preserve"> HYPERLINK \l "_Toc28596" </w:instrText>
      </w:r>
      <w:r>
        <w:rPr>
          <w:color w:val="auto"/>
          <w:highlight w:val="none"/>
        </w:rPr>
        <w:fldChar w:fldCharType="separate"/>
      </w:r>
      <w:r>
        <w:rPr>
          <w:rFonts w:hint="eastAsia" w:ascii="宋体" w:hAnsi="宋体" w:cs="宋体"/>
          <w:bCs/>
          <w:color w:val="auto"/>
          <w:szCs w:val="44"/>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_Toc28596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4A11AB64">
      <w:pPr>
        <w:pStyle w:val="39"/>
        <w:tabs>
          <w:tab w:val="right" w:leader="dot" w:pos="8666"/>
        </w:tabs>
        <w:rPr>
          <w:color w:val="auto"/>
          <w:highlight w:val="none"/>
        </w:rPr>
      </w:pPr>
      <w:r>
        <w:rPr>
          <w:color w:val="auto"/>
          <w:highlight w:val="none"/>
        </w:rPr>
        <w:fldChar w:fldCharType="begin"/>
      </w:r>
      <w:r>
        <w:rPr>
          <w:color w:val="auto"/>
          <w:highlight w:val="none"/>
        </w:rPr>
        <w:instrText xml:space="preserve"> HYPERLINK \l "_Toc1902" </w:instrText>
      </w:r>
      <w:r>
        <w:rPr>
          <w:color w:val="auto"/>
          <w:highlight w:val="none"/>
        </w:rPr>
        <w:fldChar w:fldCharType="separate"/>
      </w:r>
      <w:r>
        <w:rPr>
          <w:rFonts w:hint="eastAsia" w:ascii="宋体" w:hAnsi="宋体" w:cs="宋体"/>
          <w:bCs/>
          <w:color w:val="auto"/>
          <w:szCs w:val="44"/>
          <w:highlight w:val="none"/>
        </w:rPr>
        <w:t>第二章 评标办法</w:t>
      </w:r>
      <w:r>
        <w:rPr>
          <w:color w:val="auto"/>
          <w:highlight w:val="none"/>
        </w:rPr>
        <w:tab/>
      </w:r>
      <w:r>
        <w:rPr>
          <w:color w:val="auto"/>
          <w:highlight w:val="none"/>
        </w:rPr>
        <w:fldChar w:fldCharType="begin"/>
      </w:r>
      <w:r>
        <w:rPr>
          <w:color w:val="auto"/>
          <w:highlight w:val="none"/>
        </w:rPr>
        <w:instrText xml:space="preserve"> PAGEREF _Toc1902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2E8E5CF">
      <w:pPr>
        <w:pStyle w:val="39"/>
        <w:tabs>
          <w:tab w:val="right" w:leader="dot" w:pos="8666"/>
        </w:tabs>
        <w:rPr>
          <w:color w:val="auto"/>
          <w:highlight w:val="none"/>
        </w:rPr>
      </w:pPr>
      <w:r>
        <w:rPr>
          <w:color w:val="auto"/>
          <w:highlight w:val="none"/>
        </w:rPr>
        <w:fldChar w:fldCharType="begin"/>
      </w:r>
      <w:r>
        <w:rPr>
          <w:color w:val="auto"/>
          <w:highlight w:val="none"/>
        </w:rPr>
        <w:instrText xml:space="preserve"> HYPERLINK \l "_Toc5454" </w:instrText>
      </w:r>
      <w:r>
        <w:rPr>
          <w:color w:val="auto"/>
          <w:highlight w:val="none"/>
        </w:rPr>
        <w:fldChar w:fldCharType="separate"/>
      </w:r>
      <w:r>
        <w:rPr>
          <w:rFonts w:hint="eastAsia" w:ascii="宋体" w:hAnsi="宋体" w:cs="宋体"/>
          <w:bCs/>
          <w:color w:val="auto"/>
          <w:szCs w:val="44"/>
          <w:highlight w:val="none"/>
        </w:rPr>
        <w:t>第三章 合同部分条款</w:t>
      </w:r>
      <w:r>
        <w:rPr>
          <w:color w:val="auto"/>
          <w:highlight w:val="none"/>
        </w:rPr>
        <w:tab/>
      </w:r>
      <w:r>
        <w:rPr>
          <w:color w:val="auto"/>
          <w:highlight w:val="none"/>
        </w:rPr>
        <w:fldChar w:fldCharType="begin"/>
      </w:r>
      <w:r>
        <w:rPr>
          <w:color w:val="auto"/>
          <w:highlight w:val="none"/>
        </w:rPr>
        <w:instrText xml:space="preserve"> PAGEREF _Toc5454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BC4FECE">
      <w:pPr>
        <w:pStyle w:val="39"/>
        <w:tabs>
          <w:tab w:val="right" w:leader="dot" w:pos="8666"/>
        </w:tabs>
        <w:rPr>
          <w:color w:val="auto"/>
          <w:highlight w:val="none"/>
        </w:rPr>
      </w:pPr>
      <w:r>
        <w:rPr>
          <w:color w:val="auto"/>
          <w:highlight w:val="none"/>
        </w:rPr>
        <w:fldChar w:fldCharType="begin"/>
      </w:r>
      <w:r>
        <w:rPr>
          <w:color w:val="auto"/>
          <w:highlight w:val="none"/>
        </w:rPr>
        <w:instrText xml:space="preserve"> HYPERLINK \l "_Toc22011" </w:instrText>
      </w:r>
      <w:r>
        <w:rPr>
          <w:color w:val="auto"/>
          <w:highlight w:val="none"/>
        </w:rPr>
        <w:fldChar w:fldCharType="separate"/>
      </w:r>
      <w:r>
        <w:rPr>
          <w:rFonts w:hint="eastAsia" w:ascii="宋体" w:hAnsi="宋体" w:cs="宋体"/>
          <w:bCs/>
          <w:color w:val="auto"/>
          <w:szCs w:val="44"/>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_Toc22011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F6FFF0D">
      <w:pPr>
        <w:pStyle w:val="6"/>
        <w:rPr>
          <w:color w:val="auto"/>
          <w:highlight w:val="none"/>
        </w:rPr>
        <w:sectPr>
          <w:headerReference r:id="rId3" w:type="default"/>
          <w:footerReference r:id="rId4" w:type="default"/>
          <w:footerReference r:id="rId5" w:type="even"/>
          <w:pgSz w:w="11906" w:h="16838"/>
          <w:pgMar w:top="1417" w:right="1701" w:bottom="1417" w:left="1701" w:header="851" w:footer="992" w:gutter="0"/>
          <w:cols w:space="720" w:num="1"/>
          <w:docGrid w:type="lines" w:linePitch="312" w:charSpace="0"/>
        </w:sectPr>
      </w:pPr>
      <w:r>
        <w:rPr>
          <w:rFonts w:hint="eastAsia"/>
          <w:color w:val="auto"/>
          <w:highlight w:val="none"/>
        </w:rPr>
        <w:fldChar w:fldCharType="end"/>
      </w:r>
    </w:p>
    <w:p w14:paraId="769863DF">
      <w:pPr>
        <w:pStyle w:val="5"/>
        <w:keepNext/>
        <w:keepLines/>
        <w:adjustRightInd w:val="0"/>
        <w:snapToGrid w:val="0"/>
        <w:spacing w:before="0" w:after="0" w:line="360" w:lineRule="auto"/>
        <w:jc w:val="center"/>
        <w:rPr>
          <w:rFonts w:hint="eastAsia" w:ascii="宋体" w:hAnsi="宋体" w:cs="宋体"/>
          <w:bCs/>
          <w:color w:val="auto"/>
          <w:sz w:val="32"/>
          <w:szCs w:val="32"/>
          <w:highlight w:val="none"/>
        </w:rPr>
      </w:pPr>
      <w:bookmarkStart w:id="0" w:name="_Toc10703"/>
      <w:bookmarkStart w:id="1" w:name="_Toc29792"/>
      <w:bookmarkStart w:id="2" w:name="_Toc26477"/>
      <w:bookmarkStart w:id="3" w:name="OLE_LINK4"/>
      <w:r>
        <w:rPr>
          <w:rFonts w:hint="eastAsia" w:ascii="宋体" w:hAnsi="宋体" w:cs="宋体"/>
          <w:bCs/>
          <w:color w:val="auto"/>
          <w:sz w:val="32"/>
          <w:szCs w:val="32"/>
          <w:highlight w:val="none"/>
        </w:rPr>
        <w:t>2026年度南通市崇川区城市工程建设管理中心建设项目测绘服务招标公告（资格后审）</w:t>
      </w:r>
      <w:bookmarkEnd w:id="0"/>
      <w:bookmarkEnd w:id="1"/>
      <w:bookmarkEnd w:id="2"/>
    </w:p>
    <w:p w14:paraId="4F3C4D29">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w:t>
      </w:r>
      <w:r>
        <w:rPr>
          <w:rFonts w:hint="eastAsia" w:hAnsi="宋体" w:cs="宋体"/>
          <w:b/>
          <w:bCs/>
          <w:color w:val="auto"/>
          <w:szCs w:val="24"/>
          <w:highlight w:val="none"/>
          <w:u w:val="single"/>
          <w:shd w:val="clear" w:color="auto" w:fill="FFFFFF"/>
        </w:rPr>
        <w:t>南通市崇川区城市工程建设管理中心</w:t>
      </w:r>
      <w:r>
        <w:rPr>
          <w:rFonts w:hint="eastAsia" w:hAnsi="宋体" w:cs="宋体"/>
          <w:color w:val="auto"/>
          <w:szCs w:val="24"/>
          <w:highlight w:val="none"/>
          <w:shd w:val="clear" w:color="auto" w:fill="FFFFFF"/>
        </w:rPr>
        <w:t>的</w:t>
      </w:r>
      <w:r>
        <w:rPr>
          <w:rFonts w:hint="eastAsia" w:hAnsi="宋体" w:cs="宋体"/>
          <w:b/>
          <w:bCs/>
          <w:color w:val="auto"/>
          <w:szCs w:val="24"/>
          <w:highlight w:val="none"/>
          <w:u w:val="single"/>
          <w:shd w:val="clear" w:color="auto" w:fill="FFFFFF"/>
        </w:rPr>
        <w:t>2026年度南通市崇川区城市工程建设管理中心建设项目测绘服务</w:t>
      </w:r>
      <w:r>
        <w:rPr>
          <w:rFonts w:hint="eastAsia" w:hAnsi="宋体" w:cs="宋体"/>
          <w:color w:val="auto"/>
          <w:szCs w:val="24"/>
          <w:highlight w:val="none"/>
          <w:shd w:val="clear" w:color="auto" w:fill="FFFFFF"/>
        </w:rPr>
        <w:t>已经由相关部门批准建设，工程所需资金来源为</w:t>
      </w:r>
      <w:r>
        <w:rPr>
          <w:rFonts w:hint="eastAsia" w:hAnsi="宋体" w:cs="宋体"/>
          <w:b/>
          <w:bCs/>
          <w:color w:val="auto"/>
          <w:szCs w:val="24"/>
          <w:highlight w:val="none"/>
          <w:u w:val="single"/>
          <w:shd w:val="clear" w:color="auto" w:fill="FFFFFF"/>
        </w:rPr>
        <w:t>财政</w:t>
      </w:r>
      <w:r>
        <w:rPr>
          <w:rFonts w:hint="eastAsia" w:hAnsi="宋体" w:cs="宋体"/>
          <w:color w:val="auto"/>
          <w:szCs w:val="24"/>
          <w:highlight w:val="none"/>
          <w:shd w:val="clear" w:color="auto" w:fill="FFFFFF"/>
        </w:rPr>
        <w:t>。现对</w:t>
      </w:r>
      <w:r>
        <w:rPr>
          <w:rFonts w:hint="eastAsia" w:hAnsi="宋体" w:cs="宋体"/>
          <w:b/>
          <w:bCs/>
          <w:color w:val="auto"/>
          <w:szCs w:val="24"/>
          <w:highlight w:val="none"/>
          <w:u w:val="single"/>
          <w:shd w:val="clear" w:color="auto" w:fill="FFFFFF"/>
        </w:rPr>
        <w:t>2026年度南通市崇川区城市工程建设管理中心建设项目测绘服务</w:t>
      </w:r>
      <w:r>
        <w:rPr>
          <w:rFonts w:hint="eastAsia" w:hAnsi="宋体" w:cs="宋体"/>
          <w:color w:val="auto"/>
          <w:szCs w:val="24"/>
          <w:highlight w:val="none"/>
          <w:shd w:val="clear" w:color="auto" w:fill="FFFFFF"/>
        </w:rPr>
        <w:t>进行公开招标，邀请合格的潜在投标人参加本工程的资格后审。</w:t>
      </w:r>
    </w:p>
    <w:p w14:paraId="5768EE24">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2、</w:t>
      </w:r>
      <w:r>
        <w:rPr>
          <w:rFonts w:hint="eastAsia" w:hAnsi="宋体" w:cs="宋体"/>
          <w:b/>
          <w:bCs/>
          <w:color w:val="auto"/>
          <w:szCs w:val="24"/>
          <w:highlight w:val="none"/>
          <w:u w:val="single"/>
          <w:shd w:val="clear" w:color="auto" w:fill="FFFFFF"/>
        </w:rPr>
        <w:t>宏信天德工程顾问有限公司</w:t>
      </w:r>
      <w:r>
        <w:rPr>
          <w:rFonts w:hint="eastAsia" w:hAnsi="宋体" w:cs="宋体"/>
          <w:color w:val="auto"/>
          <w:szCs w:val="24"/>
          <w:highlight w:val="none"/>
          <w:shd w:val="clear" w:color="auto" w:fill="FFFFFF"/>
        </w:rPr>
        <w:t>受招标人委托具体负责本工程的招标事宜。</w:t>
      </w:r>
    </w:p>
    <w:p w14:paraId="6F84C985">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3、工程概况：</w:t>
      </w:r>
    </w:p>
    <w:p w14:paraId="5433E97A">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（1）工程地点：</w:t>
      </w:r>
      <w:r>
        <w:rPr>
          <w:rFonts w:hint="eastAsia" w:hAnsi="宋体" w:cs="宋体"/>
          <w:color w:val="auto"/>
          <w:szCs w:val="24"/>
          <w:highlight w:val="none"/>
          <w:u w:val="single"/>
          <w:shd w:val="clear" w:color="auto" w:fill="FFFFFF"/>
        </w:rPr>
        <w:t>南通市崇川区</w:t>
      </w:r>
      <w:r>
        <w:rPr>
          <w:rFonts w:hint="eastAsia" w:hAnsi="宋体" w:cs="宋体"/>
          <w:color w:val="auto"/>
          <w:szCs w:val="24"/>
          <w:highlight w:val="none"/>
          <w:shd w:val="clear" w:color="auto" w:fill="FFFFFF"/>
        </w:rPr>
        <w:t>。</w:t>
      </w:r>
    </w:p>
    <w:p w14:paraId="6690D864">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（2）工程规模：</w:t>
      </w:r>
      <w:r>
        <w:rPr>
          <w:rFonts w:hint="eastAsia" w:hAnsi="宋体" w:cs="宋体"/>
          <w:color w:val="auto"/>
          <w:szCs w:val="24"/>
          <w:highlight w:val="none"/>
          <w:u w:val="single"/>
          <w:shd w:val="clear" w:color="auto" w:fill="FFFFFF"/>
        </w:rPr>
        <w:t>结合项目实施进度安排，至2026年12月底期间（招标完成、中标通知书发出后），由南通市崇川区城市工程建设管理中心负责实施的项目</w:t>
      </w:r>
      <w:r>
        <w:rPr>
          <w:rFonts w:hint="eastAsia" w:hAnsi="宋体" w:cs="宋体"/>
          <w:color w:val="auto"/>
          <w:szCs w:val="24"/>
          <w:highlight w:val="none"/>
          <w:shd w:val="clear" w:color="auto" w:fill="FFFFFF"/>
        </w:rPr>
        <w:t>。</w:t>
      </w:r>
    </w:p>
    <w:p w14:paraId="5DCA63D2">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（3）工期：</w:t>
      </w:r>
      <w:r>
        <w:rPr>
          <w:rFonts w:hint="eastAsia" w:hAnsi="宋体" w:cs="宋体"/>
          <w:color w:val="auto"/>
          <w:szCs w:val="24"/>
          <w:highlight w:val="none"/>
          <w:u w:val="single"/>
          <w:shd w:val="clear" w:color="auto" w:fill="FFFFFF"/>
        </w:rPr>
        <w:t>乙方在接受甲方委托之日起，按合同规定时间提供成果</w:t>
      </w:r>
      <w:r>
        <w:rPr>
          <w:rFonts w:hint="eastAsia" w:hAnsi="宋体" w:cs="宋体"/>
          <w:color w:val="auto"/>
          <w:szCs w:val="24"/>
          <w:highlight w:val="none"/>
          <w:shd w:val="clear" w:color="auto" w:fill="FFFFFF"/>
        </w:rPr>
        <w:t>。</w:t>
      </w:r>
    </w:p>
    <w:p w14:paraId="386453EB">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4、本次招标工程不分标段，招标内容如下：结合项目实施进度安排，至2026年12月底期间（招标完成、中标通知书发出后），按照相关法律法规和相关职能部门的要求，对南通市崇川区城市工程建设管理中心负责实施的项目进行测绘服务。</w:t>
      </w:r>
    </w:p>
    <w:p w14:paraId="7BF43609">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5、投标人资格要求</w:t>
      </w:r>
    </w:p>
    <w:p w14:paraId="62C9E50A">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5.1主要资格条件：</w:t>
      </w:r>
    </w:p>
    <w:p w14:paraId="76648E84">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（1）具有企业法人营业执照或事业单位法人证书。</w:t>
      </w:r>
    </w:p>
    <w:p w14:paraId="0ABC4EA6">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（2）拟投标申请人资质等级：具有甲级测绘资质（专业能力中必须同时包含：工程测量、界线与不动产测绘专业）。</w:t>
      </w:r>
    </w:p>
    <w:p w14:paraId="7521F0F8">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5.2合格必要条件：</w:t>
      </w:r>
    </w:p>
    <w:p w14:paraId="322662EA">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（1）具有独立订立合同的能力；</w:t>
      </w:r>
    </w:p>
    <w:p w14:paraId="05AD7890">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（2）未处于被责令停业、投标资格被取消或者财产被接管、冻结和破产状态；</w:t>
      </w:r>
    </w:p>
    <w:p w14:paraId="6AF6DFB6">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（3）企业的资质类别、等级满足招标公告要求；</w:t>
      </w:r>
    </w:p>
    <w:p w14:paraId="1BF13A30">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（4）资格审查文件中的重要内容没有失实或者弄虚作假；</w:t>
      </w:r>
    </w:p>
    <w:p w14:paraId="1051FAAA">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（5）本工程不接受联合体投标。</w:t>
      </w:r>
    </w:p>
    <w:p w14:paraId="3409FA37">
      <w:pPr>
        <w:pStyle w:val="49"/>
        <w:shd w:val="clear" w:color="auto" w:fill="FFFFFF"/>
        <w:adjustRightInd w:val="0"/>
        <w:snapToGrid w:val="0"/>
        <w:spacing w:before="0" w:after="0" w:line="360" w:lineRule="auto"/>
        <w:ind w:firstLine="482" w:firstLineChars="200"/>
        <w:jc w:val="left"/>
        <w:rPr>
          <w:rFonts w:hint="eastAsia" w:hAnsi="宋体" w:cs="宋体"/>
          <w:b/>
          <w:bCs/>
          <w:color w:val="auto"/>
          <w:szCs w:val="24"/>
          <w:highlight w:val="none"/>
          <w:u w:val="single"/>
        </w:rPr>
      </w:pPr>
      <w:r>
        <w:rPr>
          <w:rFonts w:hint="eastAsia" w:hAnsi="宋体" w:cs="宋体"/>
          <w:b/>
          <w:bCs/>
          <w:color w:val="auto"/>
          <w:szCs w:val="24"/>
          <w:highlight w:val="none"/>
          <w:u w:val="single"/>
          <w:shd w:val="clear" w:color="auto" w:fill="FFFFFF"/>
        </w:rPr>
        <w:t>未尽之处具体详见第二章“评标办法”中的“资格审查必要合格条件标准”。提供的资格审查材料及审查标准，前后矛盾的以《资格审查必要合格条件标准》为准。</w:t>
      </w:r>
    </w:p>
    <w:p w14:paraId="7DD0DB21">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6、如发现投标人递交的资格后审材料有弄虚作假行为，该投标人将记入不良记录，并上报有关部门。如已中标，招标人有权取消其中标资格，并由该投标人承担一切责任和损失。</w:t>
      </w:r>
    </w:p>
    <w:p w14:paraId="5073884F">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7、招标文件获取时间：自招标公告发布之日起至2026年</w:t>
      </w:r>
      <w:r>
        <w:rPr>
          <w:rFonts w:hint="eastAsia" w:hAnsi="宋体" w:cs="宋体"/>
          <w:color w:val="auto"/>
          <w:szCs w:val="24"/>
          <w:highlight w:val="none"/>
          <w:shd w:val="clear" w:color="auto" w:fill="FFFFFF"/>
          <w:lang w:val="en-US" w:eastAsia="zh-CN"/>
        </w:rPr>
        <w:t>05</w:t>
      </w:r>
      <w:r>
        <w:rPr>
          <w:rFonts w:hint="eastAsia" w:hAnsi="宋体" w:cs="宋体"/>
          <w:color w:val="auto"/>
          <w:szCs w:val="24"/>
          <w:highlight w:val="none"/>
          <w:shd w:val="clear" w:color="auto" w:fill="FFFFFF"/>
        </w:rPr>
        <w:t>月</w:t>
      </w:r>
      <w:r>
        <w:rPr>
          <w:rFonts w:hint="eastAsia" w:hAnsi="宋体" w:cs="宋体"/>
          <w:color w:val="auto"/>
          <w:szCs w:val="24"/>
          <w:highlight w:val="none"/>
          <w:shd w:val="clear" w:color="auto" w:fill="FFFFFF"/>
          <w:lang w:val="en-US" w:eastAsia="zh-CN"/>
        </w:rPr>
        <w:t>09</w:t>
      </w:r>
      <w:r>
        <w:rPr>
          <w:rFonts w:hint="eastAsia" w:hAnsi="宋体" w:cs="宋体"/>
          <w:color w:val="auto"/>
          <w:szCs w:val="24"/>
          <w:highlight w:val="none"/>
          <w:shd w:val="clear" w:color="auto" w:fill="FFFFFF"/>
        </w:rPr>
        <w:t>日</w:t>
      </w:r>
      <w:r>
        <w:rPr>
          <w:rFonts w:hint="eastAsia" w:hAnsi="宋体" w:cs="宋体"/>
          <w:color w:val="auto"/>
          <w:szCs w:val="24"/>
          <w:highlight w:val="none"/>
          <w:shd w:val="clear" w:color="auto" w:fill="FFFFFF"/>
          <w:lang w:val="en-US" w:eastAsia="zh-CN"/>
        </w:rPr>
        <w:t>09</w:t>
      </w:r>
      <w:r>
        <w:rPr>
          <w:rFonts w:hint="eastAsia" w:hAnsi="宋体" w:cs="宋体"/>
          <w:color w:val="auto"/>
          <w:szCs w:val="24"/>
          <w:highlight w:val="none"/>
          <w:shd w:val="clear" w:color="auto" w:fill="FFFFFF"/>
        </w:rPr>
        <w:t>时30分（北京时间）；</w:t>
      </w:r>
    </w:p>
    <w:p w14:paraId="7B411A55">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8、本工程投标申请人的资格审查采用资格后审的方式，无需另行进行网上报名，各投标人须于2026年</w:t>
      </w:r>
      <w:r>
        <w:rPr>
          <w:rFonts w:hint="eastAsia" w:hAnsi="宋体" w:cs="宋体"/>
          <w:color w:val="auto"/>
          <w:szCs w:val="24"/>
          <w:highlight w:val="none"/>
          <w:shd w:val="clear" w:color="auto" w:fill="FFFFFF"/>
          <w:lang w:val="en-US" w:eastAsia="zh-CN"/>
        </w:rPr>
        <w:t>05</w:t>
      </w:r>
      <w:r>
        <w:rPr>
          <w:rFonts w:hint="eastAsia" w:hAnsi="宋体" w:cs="宋体"/>
          <w:color w:val="auto"/>
          <w:szCs w:val="24"/>
          <w:highlight w:val="none"/>
          <w:shd w:val="clear" w:color="auto" w:fill="FFFFFF"/>
        </w:rPr>
        <w:t>月</w:t>
      </w:r>
      <w:r>
        <w:rPr>
          <w:rFonts w:hint="eastAsia" w:hAnsi="宋体" w:cs="宋体"/>
          <w:color w:val="auto"/>
          <w:szCs w:val="24"/>
          <w:highlight w:val="none"/>
          <w:shd w:val="clear" w:color="auto" w:fill="FFFFFF"/>
          <w:lang w:val="en-US" w:eastAsia="zh-CN"/>
        </w:rPr>
        <w:t>09</w:t>
      </w:r>
      <w:r>
        <w:rPr>
          <w:rFonts w:hint="eastAsia" w:hAnsi="宋体" w:cs="宋体"/>
          <w:color w:val="auto"/>
          <w:szCs w:val="24"/>
          <w:highlight w:val="none"/>
          <w:shd w:val="clear" w:color="auto" w:fill="FFFFFF"/>
        </w:rPr>
        <w:t>日</w:t>
      </w:r>
      <w:r>
        <w:rPr>
          <w:rFonts w:hint="eastAsia" w:hAnsi="宋体" w:cs="宋体"/>
          <w:color w:val="auto"/>
          <w:szCs w:val="24"/>
          <w:highlight w:val="none"/>
          <w:shd w:val="clear" w:color="auto" w:fill="FFFFFF"/>
          <w:lang w:val="en-US" w:eastAsia="zh-CN"/>
        </w:rPr>
        <w:t>09</w:t>
      </w:r>
      <w:r>
        <w:rPr>
          <w:rFonts w:hint="eastAsia" w:hAnsi="宋体" w:cs="宋体"/>
          <w:color w:val="auto"/>
          <w:szCs w:val="24"/>
          <w:highlight w:val="none"/>
          <w:shd w:val="clear" w:color="auto" w:fill="FFFFFF"/>
        </w:rPr>
        <w:t>时30分以前将投标文件提交至</w:t>
      </w:r>
      <w:r>
        <w:rPr>
          <w:rFonts w:hint="eastAsia" w:hAnsi="宋体" w:cs="宋体"/>
          <w:b/>
          <w:bCs/>
          <w:color w:val="auto"/>
          <w:szCs w:val="24"/>
          <w:highlight w:val="none"/>
          <w:u w:val="single"/>
          <w:shd w:val="clear" w:color="auto" w:fill="FFFFFF"/>
        </w:rPr>
        <w:t>南通市崇川区城港路56号城建中心404会议室</w:t>
      </w:r>
      <w:r>
        <w:rPr>
          <w:rFonts w:hint="eastAsia" w:hAnsi="宋体" w:cs="宋体"/>
          <w:color w:val="auto"/>
          <w:szCs w:val="24"/>
          <w:highlight w:val="none"/>
          <w:shd w:val="clear" w:color="auto" w:fill="FFFFFF"/>
        </w:rPr>
        <w:t>，并在2026年</w:t>
      </w:r>
      <w:r>
        <w:rPr>
          <w:rFonts w:hint="eastAsia" w:hAnsi="宋体" w:cs="宋体"/>
          <w:color w:val="auto"/>
          <w:szCs w:val="24"/>
          <w:highlight w:val="none"/>
          <w:shd w:val="clear" w:color="auto" w:fill="FFFFFF"/>
          <w:lang w:val="en-US" w:eastAsia="zh-CN"/>
        </w:rPr>
        <w:t>05</w:t>
      </w:r>
      <w:r>
        <w:rPr>
          <w:rFonts w:hint="eastAsia" w:hAnsi="宋体" w:cs="宋体"/>
          <w:color w:val="auto"/>
          <w:szCs w:val="24"/>
          <w:highlight w:val="none"/>
          <w:shd w:val="clear" w:color="auto" w:fill="FFFFFF"/>
        </w:rPr>
        <w:t>月</w:t>
      </w:r>
      <w:r>
        <w:rPr>
          <w:rFonts w:hint="eastAsia" w:hAnsi="宋体" w:cs="宋体"/>
          <w:color w:val="auto"/>
          <w:szCs w:val="24"/>
          <w:highlight w:val="none"/>
          <w:shd w:val="clear" w:color="auto" w:fill="FFFFFF"/>
          <w:lang w:val="en-US" w:eastAsia="zh-CN"/>
        </w:rPr>
        <w:t>09</w:t>
      </w:r>
      <w:r>
        <w:rPr>
          <w:rFonts w:hint="eastAsia" w:hAnsi="宋体" w:cs="宋体"/>
          <w:color w:val="auto"/>
          <w:szCs w:val="24"/>
          <w:highlight w:val="none"/>
          <w:shd w:val="clear" w:color="auto" w:fill="FFFFFF"/>
        </w:rPr>
        <w:t>日</w:t>
      </w:r>
      <w:r>
        <w:rPr>
          <w:rFonts w:hint="eastAsia" w:hAnsi="宋体" w:cs="宋体"/>
          <w:color w:val="auto"/>
          <w:szCs w:val="24"/>
          <w:highlight w:val="none"/>
          <w:shd w:val="clear" w:color="auto" w:fill="FFFFFF"/>
          <w:lang w:val="en-US" w:eastAsia="zh-CN"/>
        </w:rPr>
        <w:t>09</w:t>
      </w:r>
      <w:r>
        <w:rPr>
          <w:rFonts w:hint="eastAsia" w:hAnsi="宋体" w:cs="宋体"/>
          <w:color w:val="auto"/>
          <w:szCs w:val="24"/>
          <w:highlight w:val="none"/>
          <w:shd w:val="clear" w:color="auto" w:fill="FFFFFF"/>
        </w:rPr>
        <w:t>时30分开标。逾期送达的投标文件将被拒绝。</w:t>
      </w:r>
    </w:p>
    <w:p w14:paraId="0B9C34B4">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9、招标文件等材料从本公告附件下载；招标文件、修改、补充公布的网址：“南通市崇川区人民政府网-公告公示”公布。请各投标人自行关注，否则，引起的所有损失由投标人自行承担。</w:t>
      </w:r>
    </w:p>
    <w:p w14:paraId="029EA0C1">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10、主要资格审查标准和内容详见招标文件中的资格审查文件。</w:t>
      </w:r>
    </w:p>
    <w:p w14:paraId="1A89CAE8">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11、本工程评标办法详见招标文件。</w:t>
      </w:r>
    </w:p>
    <w:p w14:paraId="3339E201">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12、本次招标公告在“南通市崇川区人民政府网-公告公示”上发布。南通市崇川区人民政府网-公告公示是本项目招标公告、中标公示招标信息约定的唯一公开发布媒介。</w:t>
      </w:r>
    </w:p>
    <w:p w14:paraId="4EA001ED">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招标人：南通市崇川区城市工程建设管理中心</w:t>
      </w:r>
    </w:p>
    <w:p w14:paraId="6B76B876">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地址：南通市城港路56号</w:t>
      </w:r>
    </w:p>
    <w:p w14:paraId="448F7F21">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联系人：赵先生</w:t>
      </w:r>
    </w:p>
    <w:p w14:paraId="500CDCFE">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联系电话：0513-89106020</w:t>
      </w:r>
    </w:p>
    <w:p w14:paraId="1886EB78">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招标代理机构：宏信天德工程顾问有限公司</w:t>
      </w:r>
    </w:p>
    <w:p w14:paraId="0B04235A">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地址：南通市崇川区北大街108号万科壹中心8楼北区</w:t>
      </w:r>
    </w:p>
    <w:p w14:paraId="38CCF57C">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shd w:val="clear" w:color="auto" w:fill="FFFFFF"/>
        </w:rPr>
      </w:pPr>
      <w:r>
        <w:rPr>
          <w:rFonts w:hint="eastAsia" w:hAnsi="宋体" w:cs="宋体"/>
          <w:color w:val="auto"/>
          <w:szCs w:val="24"/>
          <w:highlight w:val="none"/>
          <w:shd w:val="clear" w:color="auto" w:fill="FFFFFF"/>
        </w:rPr>
        <w:t>联系人：陈婷婷、董安国</w:t>
      </w:r>
    </w:p>
    <w:p w14:paraId="29F25BF5">
      <w:pPr>
        <w:pStyle w:val="49"/>
        <w:shd w:val="clear" w:color="auto" w:fill="FFFFFF"/>
        <w:adjustRightInd w:val="0"/>
        <w:snapToGrid w:val="0"/>
        <w:spacing w:before="0" w:after="0"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shd w:val="clear" w:color="auto" w:fill="FFFFFF"/>
        </w:rPr>
        <w:t>电话：18856267670、18912299056</w:t>
      </w:r>
    </w:p>
    <w:p w14:paraId="15FBF631">
      <w:pPr>
        <w:pStyle w:val="5"/>
        <w:keepNext/>
        <w:keepLines/>
        <w:adjustRightInd w:val="0"/>
        <w:snapToGrid w:val="0"/>
        <w:spacing w:before="0" w:after="0" w:line="360" w:lineRule="auto"/>
        <w:jc w:val="center"/>
        <w:rPr>
          <w:rFonts w:hint="eastAsia" w:ascii="宋体" w:hAnsi="宋体" w:cs="宋体"/>
          <w:bCs/>
          <w:color w:val="auto"/>
          <w:sz w:val="32"/>
          <w:szCs w:val="32"/>
          <w:highlight w:val="none"/>
        </w:rPr>
      </w:pPr>
      <w:r>
        <w:rPr>
          <w:rFonts w:hint="eastAsia" w:ascii="宋体" w:hAnsi="宋体" w:cs="宋体"/>
          <w:bCs/>
          <w:color w:val="auto"/>
          <w:szCs w:val="44"/>
          <w:highlight w:val="none"/>
        </w:rPr>
        <w:br w:type="page"/>
      </w:r>
      <w:bookmarkStart w:id="4" w:name="_Toc28596"/>
      <w:bookmarkStart w:id="5" w:name="_Toc9451"/>
      <w:bookmarkStart w:id="6" w:name="_Toc28604"/>
      <w:r>
        <w:rPr>
          <w:rFonts w:hint="eastAsia" w:ascii="宋体" w:hAnsi="宋体" w:cs="宋体"/>
          <w:bCs/>
          <w:color w:val="auto"/>
          <w:sz w:val="32"/>
          <w:szCs w:val="32"/>
          <w:highlight w:val="none"/>
        </w:rPr>
        <w:t>第一章 投标人须知</w:t>
      </w:r>
      <w:bookmarkEnd w:id="3"/>
      <w:bookmarkEnd w:id="4"/>
      <w:bookmarkEnd w:id="5"/>
      <w:bookmarkEnd w:id="6"/>
    </w:p>
    <w:p w14:paraId="7E206D18">
      <w:pPr>
        <w:keepNext/>
        <w:keepLines/>
        <w:adjustRightInd w:val="0"/>
        <w:snapToGrid w:val="0"/>
        <w:spacing w:line="360" w:lineRule="auto"/>
        <w:jc w:val="center"/>
        <w:outlineLvl w:val="1"/>
        <w:rPr>
          <w:rFonts w:hint="eastAsia" w:ascii="宋体" w:hAnsi="宋体" w:cs="宋体"/>
          <w:b/>
          <w:bCs/>
          <w:color w:val="auto"/>
          <w:sz w:val="28"/>
          <w:szCs w:val="18"/>
          <w:highlight w:val="none"/>
        </w:rPr>
      </w:pPr>
      <w:bookmarkStart w:id="7" w:name="_Toc9245"/>
      <w:bookmarkStart w:id="8" w:name="_Toc20508"/>
      <w:r>
        <w:rPr>
          <w:rFonts w:hint="eastAsia" w:ascii="宋体" w:hAnsi="宋体" w:cs="宋体"/>
          <w:b/>
          <w:bCs/>
          <w:color w:val="auto"/>
          <w:sz w:val="28"/>
          <w:szCs w:val="18"/>
          <w:highlight w:val="none"/>
        </w:rPr>
        <w:t>一、投标人须知前附表</w:t>
      </w:r>
      <w:bookmarkEnd w:id="7"/>
      <w:bookmarkEnd w:id="8"/>
    </w:p>
    <w:tbl>
      <w:tblPr>
        <w:tblStyle w:val="53"/>
        <w:tblW w:w="0" w:type="auto"/>
        <w:jc w:val="center"/>
        <w:tblLayout w:type="fixed"/>
        <w:tblCellMar>
          <w:top w:w="0" w:type="dxa"/>
          <w:left w:w="0" w:type="dxa"/>
          <w:bottom w:w="0" w:type="dxa"/>
          <w:right w:w="0" w:type="dxa"/>
        </w:tblCellMar>
      </w:tblPr>
      <w:tblGrid>
        <w:gridCol w:w="993"/>
        <w:gridCol w:w="1857"/>
        <w:gridCol w:w="6506"/>
      </w:tblGrid>
      <w:tr w14:paraId="57D7245F">
        <w:tblPrEx>
          <w:tblCellMar>
            <w:top w:w="0" w:type="dxa"/>
            <w:left w:w="0" w:type="dxa"/>
            <w:bottom w:w="0" w:type="dxa"/>
            <w:right w:w="0" w:type="dxa"/>
          </w:tblCellMar>
        </w:tblPrEx>
        <w:trPr>
          <w:trHeight w:val="786"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0633DF">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8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00B91F">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条款名称</w:t>
            </w:r>
          </w:p>
        </w:tc>
        <w:tc>
          <w:tcPr>
            <w:tcW w:w="6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CA9C32">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14:paraId="436476A3">
        <w:tblPrEx>
          <w:tblCellMar>
            <w:top w:w="0" w:type="dxa"/>
            <w:left w:w="0" w:type="dxa"/>
            <w:bottom w:w="0" w:type="dxa"/>
            <w:right w:w="0" w:type="dxa"/>
          </w:tblCellMar>
        </w:tblPrEx>
        <w:trPr>
          <w:trHeight w:val="1549"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9B342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8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2D1F6D">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招标人</w:t>
            </w:r>
          </w:p>
        </w:tc>
        <w:tc>
          <w:tcPr>
            <w:tcW w:w="6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1B6F49">
            <w:pPr>
              <w:widowControl/>
              <w:adjustRightInd w:val="0"/>
              <w:snapToGrid w:val="0"/>
              <w:spacing w:line="360" w:lineRule="auto"/>
              <w:jc w:val="left"/>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招标人：南通市崇川区城市工程建设管理中心</w:t>
            </w:r>
          </w:p>
          <w:p w14:paraId="218949CB">
            <w:pPr>
              <w:widowControl/>
              <w:adjustRightInd w:val="0"/>
              <w:snapToGrid w:val="0"/>
              <w:spacing w:line="360" w:lineRule="auto"/>
              <w:jc w:val="left"/>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地址：南通市城港路56号</w:t>
            </w:r>
          </w:p>
          <w:p w14:paraId="2AE0B768">
            <w:pPr>
              <w:widowControl/>
              <w:adjustRightInd w:val="0"/>
              <w:snapToGrid w:val="0"/>
              <w:spacing w:line="360" w:lineRule="auto"/>
              <w:jc w:val="left"/>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联系人：赵先生</w:t>
            </w:r>
          </w:p>
          <w:p w14:paraId="09E8CF46">
            <w:pPr>
              <w:widowControl/>
              <w:adjustRightInd w:val="0"/>
              <w:snapToGrid w:val="0"/>
              <w:spacing w:line="360" w:lineRule="auto"/>
              <w:jc w:val="left"/>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联系电话：0513-89106020</w:t>
            </w:r>
          </w:p>
        </w:tc>
      </w:tr>
      <w:tr w14:paraId="3E8BFD25">
        <w:tblPrEx>
          <w:tblCellMar>
            <w:top w:w="0" w:type="dxa"/>
            <w:left w:w="0" w:type="dxa"/>
            <w:bottom w:w="0" w:type="dxa"/>
            <w:right w:w="0" w:type="dxa"/>
          </w:tblCellMar>
        </w:tblPrEx>
        <w:trPr>
          <w:trHeight w:val="1961"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282CA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8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44AEB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w:t>
            </w:r>
          </w:p>
        </w:tc>
        <w:tc>
          <w:tcPr>
            <w:tcW w:w="6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EEC1D4">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招标代理机构：宏信天德工程顾问有限公司</w:t>
            </w:r>
          </w:p>
          <w:p w14:paraId="338E97BE">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地址：南通市崇川区北大街108号万科壹中心8楼北区</w:t>
            </w:r>
          </w:p>
          <w:p w14:paraId="00601092">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联系人：陈婷婷、董安国</w:t>
            </w:r>
          </w:p>
          <w:p w14:paraId="00685B87">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电话：18856267670、18912299056</w:t>
            </w:r>
          </w:p>
        </w:tc>
      </w:tr>
      <w:tr w14:paraId="51BA5F82">
        <w:tblPrEx>
          <w:tblCellMar>
            <w:top w:w="0" w:type="dxa"/>
            <w:left w:w="0" w:type="dxa"/>
            <w:bottom w:w="0" w:type="dxa"/>
            <w:right w:w="0" w:type="dxa"/>
          </w:tblCellMar>
        </w:tblPrEx>
        <w:trPr>
          <w:trHeight w:val="764"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7B580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8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EC284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D32189">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2026年度南通市崇川区城市工程建设管理中心建设项目测绘服务</w:t>
            </w:r>
          </w:p>
        </w:tc>
      </w:tr>
      <w:tr w14:paraId="6699485B">
        <w:tblPrEx>
          <w:tblCellMar>
            <w:top w:w="0" w:type="dxa"/>
            <w:left w:w="0" w:type="dxa"/>
            <w:bottom w:w="0" w:type="dxa"/>
            <w:right w:w="0" w:type="dxa"/>
          </w:tblCellMar>
        </w:tblPrEx>
        <w:trPr>
          <w:trHeight w:val="764"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EED6C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8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B2F80B">
            <w:pPr>
              <w:widowControl/>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工程概况</w:t>
            </w:r>
          </w:p>
        </w:tc>
        <w:tc>
          <w:tcPr>
            <w:tcW w:w="6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E2B727">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结合项目实施进度安排，至2026年12月底期间（招标完成、中标通知书发出后），由南通市崇川区城市工程建设管理中心负责实施的项目。</w:t>
            </w:r>
          </w:p>
        </w:tc>
      </w:tr>
      <w:tr w14:paraId="29617CB5">
        <w:tblPrEx>
          <w:tblCellMar>
            <w:top w:w="0" w:type="dxa"/>
            <w:left w:w="0" w:type="dxa"/>
            <w:bottom w:w="0" w:type="dxa"/>
            <w:right w:w="0" w:type="dxa"/>
          </w:tblCellMar>
        </w:tblPrEx>
        <w:trPr>
          <w:trHeight w:val="1078"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79A832">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8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36578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建设资金</w:t>
            </w:r>
          </w:p>
        </w:tc>
        <w:tc>
          <w:tcPr>
            <w:tcW w:w="6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C906A6">
            <w:pPr>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资金来源: 财政</w:t>
            </w:r>
          </w:p>
          <w:p w14:paraId="4910ED04">
            <w:pPr>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资金落实情况：已落实</w:t>
            </w:r>
          </w:p>
        </w:tc>
      </w:tr>
      <w:tr w14:paraId="7C9B082C">
        <w:tblPrEx>
          <w:tblCellMar>
            <w:top w:w="0" w:type="dxa"/>
            <w:left w:w="0" w:type="dxa"/>
            <w:bottom w:w="0" w:type="dxa"/>
            <w:right w:w="0" w:type="dxa"/>
          </w:tblCellMar>
        </w:tblPrEx>
        <w:trPr>
          <w:trHeight w:val="861"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FA05D2">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8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BE098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工期</w:t>
            </w:r>
          </w:p>
        </w:tc>
        <w:tc>
          <w:tcPr>
            <w:tcW w:w="6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7F66E4">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乙方在接受甲方委托之日起，</w:t>
            </w:r>
            <w:r>
              <w:rPr>
                <w:rFonts w:hint="eastAsia" w:ascii="宋体" w:hAnsi="宋体" w:cs="宋体"/>
                <w:color w:val="auto"/>
                <w:sz w:val="24"/>
                <w:highlight w:val="none"/>
              </w:rPr>
              <w:t>按合同规定时间提供成果</w:t>
            </w:r>
            <w:r>
              <w:rPr>
                <w:rFonts w:hint="eastAsia" w:ascii="宋体" w:hAnsi="宋体" w:cs="宋体"/>
                <w:color w:val="auto"/>
                <w:highlight w:val="none"/>
              </w:rPr>
              <w:t>。</w:t>
            </w:r>
          </w:p>
        </w:tc>
      </w:tr>
      <w:tr w14:paraId="2EE8656D">
        <w:tblPrEx>
          <w:tblCellMar>
            <w:top w:w="0" w:type="dxa"/>
            <w:left w:w="0" w:type="dxa"/>
            <w:bottom w:w="0" w:type="dxa"/>
            <w:right w:w="0" w:type="dxa"/>
          </w:tblCellMar>
        </w:tblPrEx>
        <w:trPr>
          <w:trHeight w:val="536"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958DE6">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18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718B9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招标范围</w:t>
            </w:r>
          </w:p>
        </w:tc>
        <w:tc>
          <w:tcPr>
            <w:tcW w:w="6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5144C">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结合项目实施进度安排，至2026年12月底期间（招标完成、中标通知书发出后），按照相关法律法规和相关职能部门的要求，对南通市崇川区城市工程建设管理中心负责实施的项目进行测绘服务。</w:t>
            </w:r>
          </w:p>
        </w:tc>
      </w:tr>
      <w:tr w14:paraId="79209E94">
        <w:tblPrEx>
          <w:tblCellMar>
            <w:top w:w="0" w:type="dxa"/>
            <w:left w:w="0" w:type="dxa"/>
            <w:bottom w:w="0" w:type="dxa"/>
            <w:right w:w="0" w:type="dxa"/>
          </w:tblCellMar>
        </w:tblPrEx>
        <w:trPr>
          <w:trHeight w:val="662"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87DAD2">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18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E2641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工程报价方式</w:t>
            </w:r>
          </w:p>
        </w:tc>
        <w:tc>
          <w:tcPr>
            <w:tcW w:w="6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256F03">
            <w:pPr>
              <w:adjustRightInd w:val="0"/>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highlight w:val="none"/>
              </w:rPr>
              <w:t>固定下浮率报价</w:t>
            </w:r>
          </w:p>
        </w:tc>
      </w:tr>
      <w:tr w14:paraId="71C35D3B">
        <w:tblPrEx>
          <w:tblCellMar>
            <w:top w:w="0" w:type="dxa"/>
            <w:left w:w="0" w:type="dxa"/>
            <w:bottom w:w="0" w:type="dxa"/>
            <w:right w:w="0" w:type="dxa"/>
          </w:tblCellMar>
        </w:tblPrEx>
        <w:trPr>
          <w:trHeight w:val="661" w:hRule="atLeast"/>
          <w:jc w:val="center"/>
        </w:trPr>
        <w:tc>
          <w:tcPr>
            <w:tcW w:w="993"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7370817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1857"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3E2362B6">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506"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6E8EA7AC">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45 </w:t>
            </w:r>
            <w:r>
              <w:rPr>
                <w:rFonts w:hint="eastAsia" w:ascii="宋体" w:hAnsi="宋体" w:cs="宋体"/>
                <w:color w:val="auto"/>
                <w:sz w:val="24"/>
                <w:szCs w:val="24"/>
                <w:highlight w:val="none"/>
              </w:rPr>
              <w:t>日历天</w:t>
            </w:r>
          </w:p>
        </w:tc>
      </w:tr>
      <w:tr w14:paraId="56168280">
        <w:tblPrEx>
          <w:tblCellMar>
            <w:top w:w="0" w:type="dxa"/>
            <w:left w:w="0" w:type="dxa"/>
            <w:bottom w:w="0" w:type="dxa"/>
            <w:right w:w="0" w:type="dxa"/>
          </w:tblCellMar>
        </w:tblPrEx>
        <w:trPr>
          <w:trHeight w:val="558"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DC821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1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7693BB">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6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0E206A">
            <w:pPr>
              <w:autoSpaceDE w:val="0"/>
              <w:autoSpaceDN w:val="0"/>
              <w:adjustRightInd w:val="0"/>
              <w:snapToGrid w:val="0"/>
              <w:spacing w:line="360" w:lineRule="auto"/>
              <w:rPr>
                <w:rFonts w:hint="eastAsia" w:ascii="宋体" w:hAnsi="宋体" w:cs="宋体"/>
                <w:b/>
                <w:bCs/>
                <w:color w:val="auto"/>
                <w:sz w:val="24"/>
                <w:szCs w:val="24"/>
                <w:highlight w:val="none"/>
                <w:lang w:val="zh-CN" w:bidi="zh-CN"/>
              </w:rPr>
            </w:pPr>
            <w:r>
              <w:rPr>
                <w:rFonts w:hint="eastAsia" w:ascii="宋体" w:hAnsi="宋体" w:cs="宋体"/>
                <w:b/>
                <w:bCs/>
                <w:color w:val="auto"/>
                <w:sz w:val="24"/>
                <w:szCs w:val="24"/>
                <w:highlight w:val="none"/>
                <w:lang w:val="zh-CN" w:bidi="zh-CN"/>
              </w:rPr>
              <w:t>投标保证金的缴纳形式：转账、电汇、网银，银行电子保函、保险电子保函、现金、本票、投标保证金信用承诺书等形式。</w:t>
            </w:r>
          </w:p>
          <w:p w14:paraId="14FE2DD2">
            <w:pPr>
              <w:autoSpaceDE w:val="0"/>
              <w:autoSpaceDN w:val="0"/>
              <w:adjustRightInd w:val="0"/>
              <w:snapToGrid w:val="0"/>
              <w:spacing w:line="360" w:lineRule="auto"/>
              <w:rPr>
                <w:rFonts w:hint="eastAsia" w:ascii="宋体" w:hAnsi="宋体" w:cs="宋体"/>
                <w:b/>
                <w:bCs/>
                <w:color w:val="auto"/>
                <w:sz w:val="24"/>
                <w:szCs w:val="24"/>
                <w:highlight w:val="none"/>
                <w:lang w:val="zh-CN" w:bidi="zh-CN"/>
              </w:rPr>
            </w:pPr>
            <w:r>
              <w:rPr>
                <w:rFonts w:hint="eastAsia" w:ascii="宋体" w:hAnsi="宋体" w:cs="宋体"/>
                <w:b/>
                <w:bCs/>
                <w:color w:val="auto"/>
                <w:sz w:val="24"/>
                <w:szCs w:val="24"/>
                <w:highlight w:val="none"/>
                <w:lang w:val="zh-CN" w:bidi="zh-CN"/>
              </w:rPr>
              <w:t>投标保证金的金额：人民币贰仟元整</w:t>
            </w:r>
          </w:p>
          <w:p w14:paraId="76308450">
            <w:pPr>
              <w:autoSpaceDE w:val="0"/>
              <w:autoSpaceDN w:val="0"/>
              <w:adjustRightInd w:val="0"/>
              <w:snapToGrid w:val="0"/>
              <w:spacing w:line="360" w:lineRule="auto"/>
              <w:rPr>
                <w:rFonts w:hint="eastAsia" w:ascii="宋体" w:hAnsi="宋体" w:cs="宋体"/>
                <w:b/>
                <w:bCs/>
                <w:color w:val="auto"/>
                <w:sz w:val="24"/>
                <w:szCs w:val="24"/>
                <w:highlight w:val="none"/>
                <w:lang w:val="zh-CN" w:bidi="zh-CN"/>
              </w:rPr>
            </w:pPr>
            <w:r>
              <w:rPr>
                <w:rFonts w:hint="eastAsia" w:ascii="宋体" w:hAnsi="宋体" w:cs="宋体"/>
                <w:b/>
                <w:bCs/>
                <w:color w:val="auto"/>
                <w:sz w:val="24"/>
                <w:szCs w:val="24"/>
                <w:highlight w:val="none"/>
                <w:lang w:val="zh-CN" w:bidi="zh-CN"/>
              </w:rPr>
              <w:t>递交方式：各投标人根据企业实际情况合理选择投标保证金的缴纳形式，各类缴纳形式具有同等法律效力。各投标人必须以企业法人基本存款帐户办理保证金缴纳手续，否则不予接受。</w:t>
            </w:r>
          </w:p>
          <w:p w14:paraId="3E50E5A7">
            <w:pPr>
              <w:adjustRightInd w:val="0"/>
              <w:snapToGrid w:val="0"/>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账号：107070010402888820730020000</w:t>
            </w:r>
          </w:p>
          <w:p w14:paraId="4087036C">
            <w:pPr>
              <w:adjustRightInd w:val="0"/>
              <w:snapToGrid w:val="0"/>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户名：南通市崇川区城市工程建设管理中心</w:t>
            </w:r>
          </w:p>
          <w:p w14:paraId="169B1237">
            <w:pPr>
              <w:adjustRightInd w:val="0"/>
              <w:snapToGrid w:val="0"/>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开户行：中国农业银行南通分行营业部</w:t>
            </w:r>
          </w:p>
        </w:tc>
      </w:tr>
      <w:tr w14:paraId="048A40E8">
        <w:tblPrEx>
          <w:tblCellMar>
            <w:top w:w="0" w:type="dxa"/>
            <w:left w:w="0" w:type="dxa"/>
            <w:bottom w:w="0" w:type="dxa"/>
            <w:right w:w="0" w:type="dxa"/>
          </w:tblCellMar>
        </w:tblPrEx>
        <w:trPr>
          <w:trHeight w:val="558" w:hRule="atLeast"/>
          <w:jc w:val="center"/>
        </w:trPr>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993D0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1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C6BE75">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投标文件份</w:t>
            </w:r>
            <w:r>
              <w:rPr>
                <w:rFonts w:hint="eastAsia" w:ascii="宋体" w:hAnsi="宋体" w:cs="宋体"/>
                <w:color w:val="auto"/>
                <w:sz w:val="24"/>
                <w:szCs w:val="24"/>
                <w:highlight w:val="none"/>
                <w:lang w:val="en-US" w:eastAsia="zh-CN"/>
              </w:rPr>
              <w:t>数</w:t>
            </w:r>
          </w:p>
        </w:tc>
        <w:tc>
          <w:tcPr>
            <w:tcW w:w="65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857FF3">
            <w:pPr>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纸质投标文件</w:t>
            </w:r>
            <w:r>
              <w:rPr>
                <w:rFonts w:hint="eastAsia" w:ascii="宋体" w:hAnsi="宋体" w:cs="宋体"/>
                <w:color w:val="auto"/>
                <w:sz w:val="24"/>
                <w:szCs w:val="24"/>
                <w:highlight w:val="none"/>
              </w:rPr>
              <w:t>一式</w:t>
            </w:r>
            <w:r>
              <w:rPr>
                <w:rFonts w:hint="eastAsia" w:ascii="宋体" w:hAnsi="宋体" w:cs="宋体"/>
                <w:b/>
                <w:color w:val="auto"/>
                <w:sz w:val="24"/>
                <w:szCs w:val="24"/>
                <w:highlight w:val="none"/>
                <w:u w:val="single"/>
              </w:rPr>
              <w:t xml:space="preserve"> 叁 </w:t>
            </w:r>
            <w:r>
              <w:rPr>
                <w:rFonts w:hint="eastAsia" w:ascii="宋体" w:hAnsi="宋体" w:cs="宋体"/>
                <w:color w:val="auto"/>
                <w:sz w:val="24"/>
                <w:szCs w:val="24"/>
                <w:highlight w:val="none"/>
              </w:rPr>
              <w:t>份，其中正本</w:t>
            </w:r>
            <w:r>
              <w:rPr>
                <w:rFonts w:hint="eastAsia" w:ascii="宋体" w:hAnsi="宋体" w:cs="宋体"/>
                <w:color w:val="auto"/>
                <w:sz w:val="24"/>
                <w:szCs w:val="24"/>
                <w:highlight w:val="none"/>
                <w:u w:val="single"/>
              </w:rPr>
              <w:t xml:space="preserve"> </w:t>
            </w:r>
            <w:r>
              <w:rPr>
                <w:rFonts w:hint="eastAsia" w:ascii="宋体" w:hAnsi="宋体" w:cs="宋体"/>
                <w:b/>
                <w:color w:val="auto"/>
                <w:sz w:val="24"/>
                <w:szCs w:val="24"/>
                <w:highlight w:val="none"/>
                <w:u w:val="single"/>
              </w:rPr>
              <w:t xml:space="preserve">壹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b/>
                <w:color w:val="auto"/>
                <w:sz w:val="24"/>
                <w:szCs w:val="24"/>
                <w:highlight w:val="none"/>
                <w:u w:val="single"/>
              </w:rPr>
              <w:t>贰</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val="en-US" w:eastAsia="zh-CN"/>
              </w:rPr>
              <w:t>电子投标文件</w:t>
            </w:r>
            <w:r>
              <w:rPr>
                <w:rFonts w:hint="eastAsia" w:ascii="宋体" w:hAnsi="宋体" w:cs="宋体"/>
                <w:b/>
                <w:bCs/>
                <w:color w:val="auto"/>
                <w:sz w:val="24"/>
                <w:szCs w:val="24"/>
                <w:highlight w:val="none"/>
                <w:u w:val="single"/>
                <w:lang w:val="en-US" w:eastAsia="zh-CN"/>
              </w:rPr>
              <w:t>壹</w:t>
            </w:r>
            <w:r>
              <w:rPr>
                <w:rFonts w:hint="eastAsia" w:ascii="宋体" w:hAnsi="宋体" w:cs="宋体"/>
                <w:color w:val="auto"/>
                <w:sz w:val="24"/>
                <w:szCs w:val="24"/>
                <w:highlight w:val="none"/>
                <w:lang w:val="en-US" w:eastAsia="zh-CN"/>
              </w:rPr>
              <w:t>份。</w:t>
            </w:r>
          </w:p>
        </w:tc>
      </w:tr>
      <w:tr w14:paraId="585EAB67">
        <w:tblPrEx>
          <w:tblCellMar>
            <w:top w:w="0" w:type="dxa"/>
            <w:left w:w="0" w:type="dxa"/>
            <w:bottom w:w="0" w:type="dxa"/>
            <w:right w:w="0" w:type="dxa"/>
          </w:tblCellMar>
        </w:tblPrEx>
        <w:trPr>
          <w:trHeight w:val="1211"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E8BD8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18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BBB53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投标文件递交截止时间及地点</w:t>
            </w:r>
          </w:p>
        </w:tc>
        <w:tc>
          <w:tcPr>
            <w:tcW w:w="6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22E7C6">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收件人：</w:t>
            </w:r>
            <w:r>
              <w:rPr>
                <w:rFonts w:hint="eastAsia" w:ascii="宋体" w:hAnsi="宋体" w:cs="宋体"/>
                <w:b/>
                <w:bCs/>
                <w:snapToGrid w:val="0"/>
                <w:color w:val="auto"/>
                <w:sz w:val="24"/>
                <w:szCs w:val="24"/>
                <w:highlight w:val="none"/>
                <w:u w:val="single"/>
              </w:rPr>
              <w:t>宏信天德工程顾问有限公司</w:t>
            </w:r>
          </w:p>
          <w:p w14:paraId="13228201">
            <w:pPr>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递交截止时间：</w:t>
            </w:r>
            <w:r>
              <w:rPr>
                <w:rFonts w:hint="eastAsia" w:ascii="宋体" w:hAnsi="宋体" w:cs="宋体"/>
                <w:b/>
                <w:color w:val="auto"/>
                <w:sz w:val="24"/>
                <w:szCs w:val="24"/>
                <w:highlight w:val="none"/>
                <w:u w:val="single"/>
              </w:rPr>
              <w:t>2026年05月</w:t>
            </w:r>
            <w:r>
              <w:rPr>
                <w:rFonts w:hint="eastAsia" w:ascii="宋体" w:hAnsi="宋体" w:cs="宋体"/>
                <w:b/>
                <w:color w:val="auto"/>
                <w:sz w:val="24"/>
                <w:szCs w:val="24"/>
                <w:highlight w:val="none"/>
                <w:u w:val="single"/>
                <w:lang w:val="en-US" w:eastAsia="zh-CN"/>
              </w:rPr>
              <w:t>09</w:t>
            </w:r>
            <w:r>
              <w:rPr>
                <w:rFonts w:hint="eastAsia" w:ascii="宋体" w:hAnsi="宋体" w:cs="宋体"/>
                <w:b/>
                <w:color w:val="auto"/>
                <w:sz w:val="24"/>
                <w:szCs w:val="24"/>
                <w:highlight w:val="none"/>
                <w:u w:val="single"/>
              </w:rPr>
              <w:t>日09时30分</w:t>
            </w:r>
            <w:r>
              <w:rPr>
                <w:rFonts w:hint="eastAsia" w:ascii="宋体" w:hAnsi="宋体" w:cs="宋体"/>
                <w:color w:val="auto"/>
                <w:sz w:val="24"/>
                <w:szCs w:val="24"/>
                <w:highlight w:val="none"/>
                <w:u w:val="single"/>
              </w:rPr>
              <w:t>（以北京时间为准）</w:t>
            </w:r>
          </w:p>
          <w:p w14:paraId="2DE2297F">
            <w:pPr>
              <w:widowControl/>
              <w:adjustRightInd w:val="0"/>
              <w:snapToGrid w:val="0"/>
              <w:spacing w:line="360" w:lineRule="auto"/>
              <w:jc w:val="left"/>
              <w:rPr>
                <w:rFonts w:hint="eastAsia" w:ascii="宋体" w:hAnsi="宋体" w:cs="宋体"/>
                <w:b/>
                <w:color w:val="auto"/>
                <w:sz w:val="24"/>
                <w:szCs w:val="24"/>
                <w:highlight w:val="none"/>
              </w:rPr>
            </w:pPr>
            <w:r>
              <w:rPr>
                <w:rFonts w:hint="eastAsia" w:ascii="宋体" w:hAnsi="宋体" w:cs="宋体"/>
                <w:color w:val="auto"/>
                <w:sz w:val="24"/>
                <w:szCs w:val="24"/>
                <w:highlight w:val="none"/>
              </w:rPr>
              <w:t>递交地点：</w:t>
            </w:r>
            <w:r>
              <w:rPr>
                <w:rFonts w:hint="eastAsia" w:ascii="宋体" w:hAnsi="宋体" w:cs="宋体"/>
                <w:b/>
                <w:bCs/>
                <w:color w:val="auto"/>
                <w:sz w:val="24"/>
                <w:highlight w:val="none"/>
                <w:u w:val="single"/>
              </w:rPr>
              <w:t>南通市崇川区城港路56号城建中心404会议室，如有变动另行通知。</w:t>
            </w:r>
          </w:p>
        </w:tc>
      </w:tr>
      <w:tr w14:paraId="6C25ABE1">
        <w:tblPrEx>
          <w:tblCellMar>
            <w:top w:w="0" w:type="dxa"/>
            <w:left w:w="0" w:type="dxa"/>
            <w:bottom w:w="0" w:type="dxa"/>
            <w:right w:w="0" w:type="dxa"/>
          </w:tblCellMar>
        </w:tblPrEx>
        <w:trPr>
          <w:trHeight w:val="1551"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E26616">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18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73216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开标时间、地点</w:t>
            </w:r>
          </w:p>
        </w:tc>
        <w:tc>
          <w:tcPr>
            <w:tcW w:w="6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D523DE">
            <w:pPr>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开标时间：</w:t>
            </w:r>
            <w:r>
              <w:rPr>
                <w:rFonts w:hint="eastAsia" w:ascii="宋体" w:hAnsi="宋体" w:cs="宋体"/>
                <w:b/>
                <w:color w:val="auto"/>
                <w:sz w:val="24"/>
                <w:szCs w:val="24"/>
                <w:highlight w:val="none"/>
                <w:u w:val="single"/>
              </w:rPr>
              <w:t>2026年05月</w:t>
            </w:r>
            <w:r>
              <w:rPr>
                <w:rFonts w:hint="eastAsia" w:ascii="宋体" w:hAnsi="宋体" w:cs="宋体"/>
                <w:b/>
                <w:color w:val="auto"/>
                <w:sz w:val="24"/>
                <w:szCs w:val="24"/>
                <w:highlight w:val="none"/>
                <w:u w:val="single"/>
                <w:lang w:val="en-US" w:eastAsia="zh-CN"/>
              </w:rPr>
              <w:t>09</w:t>
            </w:r>
            <w:r>
              <w:rPr>
                <w:rFonts w:hint="eastAsia" w:ascii="宋体" w:hAnsi="宋体" w:cs="宋体"/>
                <w:b/>
                <w:color w:val="auto"/>
                <w:sz w:val="24"/>
                <w:szCs w:val="24"/>
                <w:highlight w:val="none"/>
                <w:u w:val="single"/>
              </w:rPr>
              <w:t>日09时30分</w:t>
            </w:r>
            <w:r>
              <w:rPr>
                <w:rFonts w:hint="eastAsia" w:ascii="宋体" w:hAnsi="宋体" w:cs="宋体"/>
                <w:color w:val="auto"/>
                <w:sz w:val="24"/>
                <w:szCs w:val="24"/>
                <w:highlight w:val="none"/>
                <w:u w:val="single"/>
              </w:rPr>
              <w:t>（以北京时间为准）</w:t>
            </w:r>
          </w:p>
          <w:p w14:paraId="2CCDBF03">
            <w:pPr>
              <w:widowControl/>
              <w:adjustRightInd w:val="0"/>
              <w:snapToGrid w:val="0"/>
              <w:spacing w:line="360" w:lineRule="auto"/>
              <w:jc w:val="left"/>
              <w:rPr>
                <w:rFonts w:hint="eastAsia" w:ascii="宋体" w:hAnsi="宋体" w:cs="宋体"/>
                <w:b/>
                <w:color w:val="auto"/>
                <w:sz w:val="24"/>
                <w:szCs w:val="24"/>
                <w:highlight w:val="none"/>
              </w:rPr>
            </w:pPr>
            <w:r>
              <w:rPr>
                <w:rFonts w:hint="eastAsia" w:ascii="宋体" w:hAnsi="宋体" w:cs="宋体"/>
                <w:color w:val="auto"/>
                <w:sz w:val="24"/>
                <w:szCs w:val="24"/>
                <w:highlight w:val="none"/>
              </w:rPr>
              <w:t>开标地点：</w:t>
            </w:r>
            <w:r>
              <w:rPr>
                <w:rFonts w:hint="eastAsia" w:ascii="宋体" w:hAnsi="宋体" w:cs="宋体"/>
                <w:b/>
                <w:bCs/>
                <w:color w:val="auto"/>
                <w:sz w:val="24"/>
                <w:highlight w:val="none"/>
                <w:u w:val="single"/>
              </w:rPr>
              <w:t>南通市崇川区城港路56号城建中心404会议室，如有变动另行通知。</w:t>
            </w:r>
          </w:p>
        </w:tc>
      </w:tr>
      <w:tr w14:paraId="73B723F2">
        <w:tblPrEx>
          <w:tblCellMar>
            <w:top w:w="0" w:type="dxa"/>
            <w:left w:w="0" w:type="dxa"/>
            <w:bottom w:w="0" w:type="dxa"/>
            <w:right w:w="0" w:type="dxa"/>
          </w:tblCellMar>
        </w:tblPrEx>
        <w:trPr>
          <w:trHeight w:val="557"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3FD61D">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18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060EA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6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6CB05F">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履约保证金的金额：</w:t>
            </w:r>
            <w:r>
              <w:rPr>
                <w:rFonts w:hint="eastAsia" w:ascii="宋体" w:hAnsi="宋体" w:cs="宋体"/>
                <w:b/>
                <w:bCs/>
                <w:color w:val="auto"/>
                <w:sz w:val="24"/>
                <w:szCs w:val="24"/>
                <w:highlight w:val="none"/>
                <w:u w:val="single"/>
              </w:rPr>
              <w:t>壹万元整</w:t>
            </w:r>
            <w:r>
              <w:rPr>
                <w:rFonts w:hint="eastAsia" w:ascii="宋体" w:hAnsi="宋体" w:cs="宋体"/>
                <w:color w:val="auto"/>
                <w:sz w:val="24"/>
                <w:szCs w:val="24"/>
                <w:highlight w:val="none"/>
              </w:rPr>
              <w:t>，投标人在中标通知书发出后30日内、合同签订前向招标人足额提交履约保证金，逾期视作放弃中标处理。</w:t>
            </w:r>
          </w:p>
        </w:tc>
      </w:tr>
      <w:tr w14:paraId="4D016CD1">
        <w:tblPrEx>
          <w:tblCellMar>
            <w:top w:w="0" w:type="dxa"/>
            <w:left w:w="0" w:type="dxa"/>
            <w:bottom w:w="0" w:type="dxa"/>
            <w:right w:w="0" w:type="dxa"/>
          </w:tblCellMar>
        </w:tblPrEx>
        <w:trPr>
          <w:trHeight w:val="557"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EAE94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18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045E6C">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w:t>
            </w:r>
          </w:p>
        </w:tc>
        <w:tc>
          <w:tcPr>
            <w:tcW w:w="6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74B53">
            <w:pPr>
              <w:adjustRightInd w:val="0"/>
              <w:snapToGrid w:val="0"/>
              <w:spacing w:line="360" w:lineRule="auto"/>
              <w:jc w:val="left"/>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 xml:space="preserve"> 3 人或3人以上单数</w:t>
            </w:r>
          </w:p>
        </w:tc>
      </w:tr>
    </w:tbl>
    <w:p w14:paraId="4AB87A92">
      <w:pPr>
        <w:adjustRightInd w:val="0"/>
        <w:snapToGrid w:val="0"/>
        <w:spacing w:line="360" w:lineRule="auto"/>
        <w:jc w:val="center"/>
        <w:rPr>
          <w:rFonts w:hint="eastAsia" w:ascii="宋体" w:hAnsi="宋体" w:cs="宋体"/>
          <w:b/>
          <w:color w:val="auto"/>
          <w:sz w:val="32"/>
          <w:szCs w:val="32"/>
          <w:highlight w:val="none"/>
        </w:rPr>
      </w:pPr>
    </w:p>
    <w:p w14:paraId="22431B6B">
      <w:pPr>
        <w:keepNext/>
        <w:keepLines/>
        <w:adjustRightInd w:val="0"/>
        <w:snapToGrid w:val="0"/>
        <w:spacing w:line="360" w:lineRule="auto"/>
        <w:jc w:val="center"/>
        <w:outlineLvl w:val="1"/>
        <w:rPr>
          <w:rFonts w:hint="eastAsia" w:ascii="宋体" w:hAnsi="宋体" w:cs="宋体"/>
          <w:b/>
          <w:bCs/>
          <w:color w:val="auto"/>
          <w:sz w:val="28"/>
          <w:szCs w:val="18"/>
          <w:highlight w:val="none"/>
        </w:rPr>
      </w:pPr>
      <w:bookmarkStart w:id="9" w:name="_Toc42205469"/>
      <w:r>
        <w:rPr>
          <w:rFonts w:hint="eastAsia" w:ascii="宋体" w:hAnsi="宋体" w:cs="宋体"/>
          <w:b/>
          <w:color w:val="auto"/>
          <w:sz w:val="32"/>
          <w:szCs w:val="32"/>
          <w:highlight w:val="none"/>
        </w:rPr>
        <w:br w:type="page"/>
      </w:r>
      <w:bookmarkStart w:id="10" w:name="_Toc553"/>
      <w:bookmarkStart w:id="11" w:name="_Toc12834"/>
      <w:bookmarkStart w:id="12" w:name="_Toc164100508"/>
      <w:r>
        <w:rPr>
          <w:rFonts w:hint="eastAsia" w:ascii="宋体" w:hAnsi="宋体" w:cs="宋体"/>
          <w:b/>
          <w:bCs/>
          <w:color w:val="auto"/>
          <w:sz w:val="28"/>
          <w:szCs w:val="18"/>
          <w:highlight w:val="none"/>
        </w:rPr>
        <w:t>二、投 标 人 须 知</w:t>
      </w:r>
      <w:bookmarkEnd w:id="9"/>
      <w:bookmarkEnd w:id="10"/>
      <w:bookmarkEnd w:id="11"/>
      <w:bookmarkEnd w:id="12"/>
    </w:p>
    <w:p w14:paraId="037F8C53">
      <w:pPr>
        <w:adjustRightInd w:val="0"/>
        <w:snapToGrid w:val="0"/>
        <w:spacing w:line="360" w:lineRule="auto"/>
        <w:jc w:val="center"/>
        <w:outlineLvl w:val="2"/>
        <w:rPr>
          <w:rFonts w:hint="eastAsia" w:ascii="宋体" w:hAnsi="宋体" w:cs="宋体"/>
          <w:b/>
          <w:color w:val="auto"/>
          <w:sz w:val="32"/>
          <w:szCs w:val="32"/>
          <w:highlight w:val="none"/>
        </w:rPr>
      </w:pPr>
      <w:bookmarkStart w:id="13" w:name="_Toc13453"/>
      <w:bookmarkStart w:id="14" w:name="_Toc8388"/>
      <w:r>
        <w:rPr>
          <w:rFonts w:hint="eastAsia" w:ascii="宋体" w:hAnsi="宋体" w:cs="宋体"/>
          <w:b/>
          <w:color w:val="auto"/>
          <w:sz w:val="32"/>
          <w:szCs w:val="32"/>
          <w:highlight w:val="none"/>
        </w:rPr>
        <w:t>（一）总 则</w:t>
      </w:r>
      <w:bookmarkEnd w:id="13"/>
      <w:bookmarkEnd w:id="14"/>
    </w:p>
    <w:p w14:paraId="4F370552">
      <w:pPr>
        <w:adjustRightInd w:val="0"/>
        <w:snapToGrid w:val="0"/>
        <w:spacing w:line="360" w:lineRule="auto"/>
        <w:ind w:firstLine="480" w:firstLineChars="200"/>
        <w:rPr>
          <w:rFonts w:hint="eastAsia" w:ascii="宋体" w:hAnsi="宋体" w:cs="宋体"/>
          <w:color w:val="auto"/>
          <w:sz w:val="24"/>
          <w:szCs w:val="24"/>
          <w:highlight w:val="none"/>
        </w:rPr>
      </w:pPr>
      <w:bookmarkStart w:id="15" w:name="_Hlk165035169"/>
      <w:r>
        <w:rPr>
          <w:rFonts w:hint="eastAsia" w:ascii="宋体" w:hAnsi="宋体" w:cs="宋体"/>
          <w:color w:val="auto"/>
          <w:sz w:val="24"/>
          <w:szCs w:val="24"/>
          <w:highlight w:val="none"/>
        </w:rPr>
        <w:t>1、工程概况</w:t>
      </w:r>
    </w:p>
    <w:p w14:paraId="0CD40B56">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1.1本招标工程项目说明详见本须知前附表第1项～第7项。</w:t>
      </w:r>
    </w:p>
    <w:p w14:paraId="3DC38EFA">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1.2招标范围：见本须知前附表第7项。</w:t>
      </w:r>
    </w:p>
    <w:p w14:paraId="1250D128">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1.3按照《中华人民共和国招标投标法》、《工程建设项目施工招标投标办法》及相关规定，上述工程已符合招标条件，现采用</w:t>
      </w:r>
      <w:r>
        <w:rPr>
          <w:rFonts w:hint="eastAsia" w:ascii="宋体" w:hAnsi="宋体" w:cs="宋体"/>
          <w:color w:val="auto"/>
          <w:sz w:val="24"/>
          <w:szCs w:val="24"/>
          <w:highlight w:val="none"/>
          <w:u w:val="single"/>
        </w:rPr>
        <w:t xml:space="preserve">  公开招标且资格后审  </w:t>
      </w:r>
      <w:r>
        <w:rPr>
          <w:rFonts w:hint="eastAsia" w:ascii="宋体" w:hAnsi="宋体" w:cs="宋体"/>
          <w:color w:val="auto"/>
          <w:sz w:val="24"/>
          <w:szCs w:val="24"/>
          <w:highlight w:val="none"/>
        </w:rPr>
        <w:t>招标方式，择优选定测绘单位。</w:t>
      </w:r>
    </w:p>
    <w:p w14:paraId="4174B82F">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2、投标人资格要求</w:t>
      </w:r>
    </w:p>
    <w:p w14:paraId="35CAB5F2">
      <w:pPr>
        <w:pStyle w:val="28"/>
        <w:adjustRightInd w:val="0"/>
        <w:snapToGrid w:val="0"/>
        <w:spacing w:line="360" w:lineRule="auto"/>
        <w:ind w:firstLine="480" w:firstLineChars="200"/>
        <w:rPr>
          <w:rFonts w:hint="eastAsia" w:hAnsi="宋体" w:cs="宋体"/>
          <w:color w:val="auto"/>
          <w:sz w:val="24"/>
          <w:highlight w:val="none"/>
          <w:u w:val="single"/>
        </w:rPr>
      </w:pPr>
      <w:r>
        <w:rPr>
          <w:rFonts w:hint="eastAsia" w:hAnsi="宋体" w:cs="宋体"/>
          <w:color w:val="auto"/>
          <w:sz w:val="24"/>
          <w:szCs w:val="24"/>
          <w:highlight w:val="none"/>
        </w:rPr>
        <w:t xml:space="preserve">2.1申请人资质类别和等级: </w:t>
      </w:r>
      <w:r>
        <w:rPr>
          <w:rFonts w:hint="eastAsia" w:hAnsi="宋体" w:cs="宋体"/>
          <w:color w:val="auto"/>
          <w:sz w:val="24"/>
          <w:szCs w:val="24"/>
          <w:highlight w:val="none"/>
          <w:u w:val="single"/>
        </w:rPr>
        <w:t>具备独立法人资格和测绘甲级资质</w:t>
      </w:r>
      <w:r>
        <w:rPr>
          <w:rFonts w:hint="eastAsia" w:hAnsi="宋体" w:cs="宋体"/>
          <w:color w:val="auto"/>
          <w:sz w:val="24"/>
          <w:szCs w:val="24"/>
          <w:highlight w:val="none"/>
          <w:u w:val="single"/>
          <w:shd w:val="clear" w:color="auto" w:fill="FFFFFF"/>
        </w:rPr>
        <w:t>（专业能力中必须同时包含：工程测量、界线与不动产测绘专业）</w:t>
      </w:r>
      <w:r>
        <w:rPr>
          <w:rFonts w:hint="eastAsia" w:hAnsi="宋体" w:cs="宋体"/>
          <w:color w:val="auto"/>
          <w:sz w:val="24"/>
          <w:szCs w:val="24"/>
          <w:highlight w:val="none"/>
          <w:u w:val="single"/>
        </w:rPr>
        <w:t>。</w:t>
      </w:r>
    </w:p>
    <w:bookmarkEnd w:id="15"/>
    <w:p w14:paraId="3CB2DAB5">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2.2本工程不接受联合体形式的投标形式。</w:t>
      </w:r>
    </w:p>
    <w:p w14:paraId="347D2AC5">
      <w:pPr>
        <w:adjustRightInd w:val="0"/>
        <w:snapToGrid w:val="0"/>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2.3其他要求：</w:t>
      </w:r>
      <w:r>
        <w:rPr>
          <w:rFonts w:hint="eastAsia" w:ascii="宋体" w:hAnsi="宋体" w:cs="宋体"/>
          <w:bCs/>
          <w:color w:val="auto"/>
          <w:sz w:val="24"/>
          <w:szCs w:val="24"/>
          <w:highlight w:val="none"/>
          <w:u w:val="single"/>
        </w:rPr>
        <w:t>具体详见本招标文件《第二章评标办法》中的资格审查必要合格条件标准</w:t>
      </w:r>
      <w:r>
        <w:rPr>
          <w:rFonts w:hint="eastAsia" w:ascii="宋体" w:hAnsi="宋体" w:cs="宋体"/>
          <w:color w:val="auto"/>
          <w:sz w:val="24"/>
          <w:szCs w:val="24"/>
          <w:highlight w:val="none"/>
        </w:rPr>
        <w:t>。</w:t>
      </w:r>
    </w:p>
    <w:p w14:paraId="40DE9950">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3、投标费用</w:t>
      </w:r>
    </w:p>
    <w:p w14:paraId="36AC726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3.1投标人应承担其编制投标文件以及递交投标文件所涉及的一切费用。无论投标结果如何，招标人对上述费用不负任何责任。</w:t>
      </w:r>
    </w:p>
    <w:p w14:paraId="10AE6357">
      <w:pPr>
        <w:autoSpaceDE w:val="0"/>
        <w:autoSpaceDN w:val="0"/>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3.2投标人在提交投标文件的同时提交</w:t>
      </w:r>
      <w:r>
        <w:rPr>
          <w:rFonts w:hint="eastAsia" w:ascii="宋体" w:hAnsi="宋体" w:cs="宋体"/>
          <w:b/>
          <w:color w:val="auto"/>
          <w:sz w:val="24"/>
          <w:szCs w:val="24"/>
          <w:highlight w:val="none"/>
        </w:rPr>
        <w:t xml:space="preserve"> 300元</w:t>
      </w:r>
      <w:r>
        <w:rPr>
          <w:rFonts w:hint="eastAsia" w:ascii="宋体" w:hAnsi="宋体" w:cs="宋体"/>
          <w:color w:val="auto"/>
          <w:sz w:val="24"/>
          <w:szCs w:val="24"/>
          <w:highlight w:val="none"/>
        </w:rPr>
        <w:t>（现金）招标文件相关费用，无论是否中标，该费用不予退还。</w:t>
      </w:r>
    </w:p>
    <w:p w14:paraId="0D25CCB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4、现场考察</w:t>
      </w:r>
    </w:p>
    <w:p w14:paraId="7E2C10C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4.1投标人自行对工程现场及周围环境进行踏勘，以便投标人获取有关编制投标文件和签署合同所涉及现场的资料。投标人承担踏勘现场发生的自身费用。</w:t>
      </w:r>
    </w:p>
    <w:p w14:paraId="7B8B8863">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4.2招标人向投标人提供的有关现场的数据和资料，是招标人现有的能被投标人利用的资料，招标人对投标人作出的任何推论、理解和结论均不负责任。 </w:t>
      </w:r>
    </w:p>
    <w:p w14:paraId="32FC3AD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4.3投标人应充分考虑标书制作过程中的数据变化因素，检查确认标书内容的正确完整和对招标文件的响应程度。</w:t>
      </w:r>
    </w:p>
    <w:p w14:paraId="116B4F10">
      <w:pPr>
        <w:adjustRightInd w:val="0"/>
        <w:snapToGrid w:val="0"/>
        <w:spacing w:line="360" w:lineRule="auto"/>
        <w:jc w:val="center"/>
        <w:outlineLvl w:val="2"/>
        <w:rPr>
          <w:rFonts w:hint="eastAsia" w:ascii="宋体" w:hAnsi="宋体" w:cs="宋体"/>
          <w:b/>
          <w:color w:val="auto"/>
          <w:sz w:val="32"/>
          <w:szCs w:val="32"/>
          <w:highlight w:val="none"/>
        </w:rPr>
      </w:pPr>
      <w:bookmarkStart w:id="16" w:name="_Toc1897"/>
      <w:bookmarkStart w:id="17" w:name="_Toc46"/>
      <w:r>
        <w:rPr>
          <w:rFonts w:hint="eastAsia" w:ascii="宋体" w:hAnsi="宋体" w:cs="宋体"/>
          <w:b/>
          <w:color w:val="auto"/>
          <w:sz w:val="32"/>
          <w:szCs w:val="32"/>
          <w:highlight w:val="none"/>
        </w:rPr>
        <w:t>（二）招标文件</w:t>
      </w:r>
      <w:bookmarkEnd w:id="16"/>
      <w:bookmarkEnd w:id="17"/>
    </w:p>
    <w:p w14:paraId="5CC4C851">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5、招标文件的内容</w:t>
      </w:r>
    </w:p>
    <w:p w14:paraId="0445AB6A">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5.1招标文件包括下列内容：</w:t>
      </w:r>
    </w:p>
    <w:p w14:paraId="7FCDA8C4">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第一章：投标人须知</w:t>
      </w:r>
    </w:p>
    <w:p w14:paraId="0FD06E4D">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第二章：评标方法</w:t>
      </w:r>
    </w:p>
    <w:p w14:paraId="4A2446A1">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第三章：合同条款</w:t>
      </w:r>
    </w:p>
    <w:p w14:paraId="6CB67357">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第四章：投标文件格式</w:t>
      </w:r>
    </w:p>
    <w:p w14:paraId="2E73BD2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5.2除上述内容外，招标人以书面形式发出的对招标文件的澄清或修改内容，均为招标文件的组成部分，对招标人和投标人起约束作用。</w:t>
      </w:r>
    </w:p>
    <w:p w14:paraId="292D48D5">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5.3</w:t>
      </w:r>
      <w:r>
        <w:rPr>
          <w:rFonts w:hint="eastAsia" w:ascii="宋体" w:hAnsi="宋体" w:cs="宋体"/>
          <w:bCs/>
          <w:color w:val="auto"/>
          <w:sz w:val="24"/>
          <w:szCs w:val="24"/>
          <w:highlight w:val="none"/>
        </w:rPr>
        <w:t>根据本章对招标文件所作的澄清、修改，构成招标文件的组成部分。投标人在投标截止时间前，应通过</w:t>
      </w:r>
      <w:r>
        <w:rPr>
          <w:rFonts w:hint="eastAsia" w:ascii="宋体" w:hAnsi="宋体" w:cs="宋体"/>
          <w:color w:val="auto"/>
          <w:sz w:val="24"/>
          <w:szCs w:val="24"/>
          <w:highlight w:val="none"/>
        </w:rPr>
        <w:t>“</w:t>
      </w:r>
      <w:bookmarkStart w:id="18" w:name="_Hlk187336107"/>
      <w:r>
        <w:rPr>
          <w:rFonts w:hint="eastAsia" w:ascii="宋体" w:hAnsi="宋体" w:cs="宋体"/>
          <w:color w:val="auto"/>
          <w:sz w:val="24"/>
          <w:szCs w:val="24"/>
          <w:highlight w:val="none"/>
        </w:rPr>
        <w:t>南通市崇川区人民政府网-公告公示</w:t>
      </w:r>
      <w:bookmarkEnd w:id="18"/>
      <w:r>
        <w:rPr>
          <w:rFonts w:hint="eastAsia" w:ascii="宋体" w:hAnsi="宋体" w:cs="宋体"/>
          <w:color w:val="auto"/>
          <w:sz w:val="24"/>
          <w:szCs w:val="24"/>
          <w:highlight w:val="none"/>
        </w:rPr>
        <w:t>”栏</w:t>
      </w:r>
      <w:r>
        <w:rPr>
          <w:rFonts w:hint="eastAsia" w:ascii="宋体" w:hAnsi="宋体" w:cs="宋体"/>
          <w:bCs/>
          <w:color w:val="auto"/>
          <w:sz w:val="24"/>
          <w:szCs w:val="24"/>
          <w:highlight w:val="none"/>
        </w:rPr>
        <w:t>随时查阅有关该工程招标文件的澄清、招标文件的修改(招标答疑、补遗文件)等内容。</w:t>
      </w:r>
      <w:r>
        <w:rPr>
          <w:rFonts w:hint="eastAsia" w:ascii="宋体" w:hAnsi="宋体" w:cs="宋体"/>
          <w:b/>
          <w:bCs/>
          <w:color w:val="auto"/>
          <w:sz w:val="24"/>
          <w:szCs w:val="24"/>
          <w:highlight w:val="none"/>
        </w:rPr>
        <w:t>投标人查阅如有遗漏，其风险应由投标人自行承担</w:t>
      </w:r>
      <w:r>
        <w:rPr>
          <w:rFonts w:hint="eastAsia" w:ascii="宋体" w:hAnsi="宋体" w:cs="宋体"/>
          <w:bCs/>
          <w:color w:val="auto"/>
          <w:sz w:val="24"/>
          <w:szCs w:val="24"/>
          <w:highlight w:val="none"/>
        </w:rPr>
        <w:t>。</w:t>
      </w:r>
    </w:p>
    <w:p w14:paraId="494FD2E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6、招标文件的澄清</w:t>
      </w:r>
    </w:p>
    <w:p w14:paraId="165B5C69">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6.1投标人从“南通市崇川区人民政府网-公告公示” 栏下载招标文件后应仔细阅读和检查招标文件的全部内容。如发现缺页或附件不全，应及时向招标人提出，以便补齐。</w:t>
      </w:r>
    </w:p>
    <w:p w14:paraId="49F4F63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6.2招标人不组织集中答疑，投标人如有疑问，应于</w:t>
      </w:r>
      <w:r>
        <w:rPr>
          <w:rFonts w:hint="eastAsia" w:ascii="宋体" w:hAnsi="宋体" w:cs="宋体"/>
          <w:b/>
          <w:bCs/>
          <w:color w:val="auto"/>
          <w:sz w:val="24"/>
          <w:szCs w:val="24"/>
          <w:highlight w:val="none"/>
          <w:u w:val="single"/>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lang w:val="en-US" w:eastAsia="zh-CN"/>
        </w:rPr>
        <w:t>04</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lang w:val="en-US" w:eastAsia="zh-CN"/>
        </w:rPr>
        <w:t>28</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u w:val="single"/>
        </w:rPr>
        <w:t>17</w:t>
      </w:r>
      <w:r>
        <w:rPr>
          <w:rFonts w:hint="eastAsia" w:ascii="宋体" w:hAnsi="宋体" w:cs="宋体"/>
          <w:b/>
          <w:bCs/>
          <w:color w:val="auto"/>
          <w:sz w:val="24"/>
          <w:szCs w:val="24"/>
          <w:highlight w:val="none"/>
        </w:rPr>
        <w:t>时前</w:t>
      </w:r>
      <w:r>
        <w:rPr>
          <w:rFonts w:hint="eastAsia" w:ascii="宋体" w:hAnsi="宋体" w:cs="宋体"/>
          <w:color w:val="auto"/>
          <w:sz w:val="24"/>
          <w:szCs w:val="24"/>
          <w:highlight w:val="none"/>
        </w:rPr>
        <w:t>向招标人提出澄清要求，</w:t>
      </w:r>
      <w:r>
        <w:rPr>
          <w:color w:val="auto"/>
          <w:highlight w:val="none"/>
        </w:rPr>
        <w:fldChar w:fldCharType="begin"/>
      </w:r>
      <w:r>
        <w:rPr>
          <w:color w:val="auto"/>
          <w:highlight w:val="none"/>
        </w:rPr>
        <w:instrText xml:space="preserve"> HYPERLINK "mailto:以电子文件形式发送至550362779@qq.com" </w:instrText>
      </w:r>
      <w:r>
        <w:rPr>
          <w:color w:val="auto"/>
          <w:highlight w:val="none"/>
        </w:rPr>
        <w:fldChar w:fldCharType="separate"/>
      </w:r>
      <w:r>
        <w:rPr>
          <w:rFonts w:hint="eastAsia" w:ascii="宋体" w:hAnsi="宋体" w:cs="宋体"/>
          <w:color w:val="auto"/>
          <w:sz w:val="24"/>
          <w:szCs w:val="24"/>
          <w:highlight w:val="none"/>
          <w:u w:val="single"/>
        </w:rPr>
        <w:t>以电子文件形式发送至</w:t>
      </w:r>
      <w:r>
        <w:rPr>
          <w:rFonts w:hint="eastAsia" w:ascii="宋体" w:hAnsi="宋体" w:cs="宋体"/>
          <w:color w:val="auto"/>
          <w:sz w:val="24"/>
          <w:szCs w:val="24"/>
          <w:highlight w:val="none"/>
          <w:u w:val="single"/>
        </w:rPr>
        <w:fldChar w:fldCharType="end"/>
      </w:r>
      <w:r>
        <w:rPr>
          <w:rFonts w:hint="eastAsia" w:ascii="宋体" w:hAnsi="宋体" w:cs="宋体"/>
          <w:color w:val="auto"/>
          <w:sz w:val="24"/>
          <w:szCs w:val="24"/>
          <w:highlight w:val="none"/>
        </w:rPr>
        <w:t>指定邮箱</w:t>
      </w:r>
      <w:r>
        <w:rPr>
          <w:rFonts w:hint="eastAsia" w:ascii="宋体" w:hAnsi="宋体" w:cs="宋体"/>
          <w:b/>
          <w:bCs/>
          <w:color w:val="auto"/>
          <w:sz w:val="24"/>
          <w:szCs w:val="24"/>
          <w:highlight w:val="none"/>
        </w:rPr>
        <w:t>：</w:t>
      </w:r>
      <w:r>
        <w:rPr>
          <w:rFonts w:hint="eastAsia" w:ascii="宋体" w:hAnsi="宋体" w:cs="宋体"/>
          <w:color w:val="auto"/>
          <w:sz w:val="24"/>
          <w:highlight w:val="none"/>
        </w:rPr>
        <w:t>1329444261@qq.com</w:t>
      </w:r>
      <w:r>
        <w:rPr>
          <w:rFonts w:hint="eastAsia" w:ascii="宋体" w:hAnsi="宋体" w:cs="宋体"/>
          <w:color w:val="auto"/>
          <w:sz w:val="24"/>
          <w:szCs w:val="24"/>
          <w:highlight w:val="none"/>
        </w:rPr>
        <w:t>（不具单位名称，不加盖单位公章）。</w:t>
      </w:r>
    </w:p>
    <w:p w14:paraId="5596A686">
      <w:pPr>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0F7F36E7">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6.3招标文件的澄清答疑将在“南通市崇川区人民政府网-公告公示” 栏向所有投标人公示，但招标人不指明澄清问题的来源。</w:t>
      </w:r>
    </w:p>
    <w:p w14:paraId="1E69F5B1">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投标人对招标人提供的招标文件所做出的推论、解释和结论，招标人概不负责。投标人由于对招标文件的任何推论和误解均由投标人自负。</w:t>
      </w:r>
    </w:p>
    <w:p w14:paraId="62033C8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7、招标文件的修改</w:t>
      </w:r>
    </w:p>
    <w:p w14:paraId="3134D2F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7.1招标文件发布后，在投标截止期前，确需对招标文件进行修改的，招标人以招标文件澄清、答疑方式，经“南通市崇川区人民政府网-公告公示” 栏向所有投标人公示。</w:t>
      </w:r>
    </w:p>
    <w:p w14:paraId="528F219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7.2招标人在投标截止期前对招标文件的所作澄清、答疑、修改作为招标文件的组成部分，对招标人、投标人均具有约束力。</w:t>
      </w:r>
    </w:p>
    <w:p w14:paraId="58090E26">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7.3在投标截止时间3天前，招标人可以修改招标文件，并以电子文档形式在</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南通市崇川区人民政府网-公告公示</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发布。如果修改招标文件的时间距投标截止时间不足3天，相应延长投标截止时间。</w:t>
      </w:r>
    </w:p>
    <w:p w14:paraId="6E70B5A6">
      <w:pPr>
        <w:adjustRightInd w:val="0"/>
        <w:snapToGrid w:val="0"/>
        <w:spacing w:line="360" w:lineRule="auto"/>
        <w:ind w:firstLine="480" w:firstLineChars="200"/>
        <w:rPr>
          <w:rFonts w:hint="eastAsia" w:ascii="宋体" w:hAnsi="宋体" w:cs="宋体"/>
          <w:color w:val="auto"/>
          <w:sz w:val="24"/>
          <w:szCs w:val="24"/>
          <w:highlight w:val="none"/>
        </w:rPr>
      </w:pPr>
      <w:bookmarkStart w:id="19" w:name="_Toc448318535"/>
      <w:bookmarkStart w:id="20" w:name="_Toc433383743"/>
      <w:bookmarkStart w:id="21" w:name="_Toc425435733"/>
      <w:bookmarkStart w:id="22" w:name="_Toc466898676"/>
      <w:r>
        <w:rPr>
          <w:rFonts w:hint="eastAsia" w:ascii="宋体" w:hAnsi="宋体" w:cs="宋体"/>
          <w:color w:val="auto"/>
          <w:sz w:val="24"/>
          <w:szCs w:val="24"/>
          <w:highlight w:val="none"/>
        </w:rPr>
        <w:t>7.4本工程采用网上答疑，招标人对招标文件的所作澄清、答疑、修改均以“南通市崇川区人民政府网”上</w:t>
      </w:r>
      <w:bookmarkEnd w:id="19"/>
      <w:bookmarkEnd w:id="20"/>
      <w:bookmarkEnd w:id="21"/>
      <w:bookmarkEnd w:id="22"/>
      <w:r>
        <w:rPr>
          <w:rFonts w:hint="eastAsia" w:ascii="宋体" w:hAnsi="宋体" w:cs="宋体"/>
          <w:color w:val="auto"/>
          <w:sz w:val="24"/>
          <w:szCs w:val="24"/>
          <w:highlight w:val="none"/>
        </w:rPr>
        <w:t xml:space="preserve">公布的内容为准。当招标文件、招标文件的澄清、修改、补充等在同一内容的表述上不一致时，以最后在网上发布的为准。投标人应密切关注招标人在网上发布的招标文件澄清、修改、补充、答疑等相关信息，投标人因自身原因未能及时掌握上述网上公示信息，由此造成投标损失自负。 </w:t>
      </w:r>
    </w:p>
    <w:p w14:paraId="74F58615">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7.5根据《江苏省房屋建筑和市政基础设施工程招标投标活动异议与投诉处理实施办法》等有关文件规定，招标文件中，存在的遗漏、错误、含义不清甚至多处表述不一致或者前后矛盾情况的，不属于异议，属于疑问，疑问应当在资格预审文件或者招标文件规定的时间内提出。</w:t>
      </w:r>
    </w:p>
    <w:p w14:paraId="0A25B94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7.6异议人对涉及开标事项提出异议的，应当在开标现场以书面形式提出，招标人应当当场作出答复，并制作记录。开标结束后投标人不得对开标事项再提出异议。</w:t>
      </w:r>
    </w:p>
    <w:p w14:paraId="6442D1E8">
      <w:pPr>
        <w:adjustRightInd w:val="0"/>
        <w:snapToGrid w:val="0"/>
        <w:spacing w:line="360" w:lineRule="auto"/>
        <w:jc w:val="center"/>
        <w:outlineLvl w:val="2"/>
        <w:rPr>
          <w:rFonts w:hint="eastAsia" w:ascii="宋体" w:hAnsi="宋体" w:cs="宋体"/>
          <w:b/>
          <w:color w:val="auto"/>
          <w:sz w:val="32"/>
          <w:szCs w:val="32"/>
          <w:highlight w:val="none"/>
        </w:rPr>
      </w:pPr>
      <w:bookmarkStart w:id="23" w:name="_Toc26226"/>
      <w:bookmarkStart w:id="24" w:name="_Toc24172"/>
      <w:r>
        <w:rPr>
          <w:rFonts w:hint="eastAsia" w:ascii="宋体" w:hAnsi="宋体" w:cs="宋体"/>
          <w:b/>
          <w:color w:val="auto"/>
          <w:sz w:val="32"/>
          <w:szCs w:val="32"/>
          <w:highlight w:val="none"/>
        </w:rPr>
        <w:t>（三）投标文件的编制</w:t>
      </w:r>
      <w:bookmarkEnd w:id="23"/>
      <w:bookmarkEnd w:id="24"/>
    </w:p>
    <w:p w14:paraId="727B92AF">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8、投标文件计量单位和使用文字</w:t>
      </w:r>
    </w:p>
    <w:p w14:paraId="09B748E0">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8.1</w:t>
      </w:r>
      <w:r>
        <w:rPr>
          <w:rFonts w:hint="eastAsia" w:ascii="宋体" w:hAnsi="宋体" w:cs="宋体"/>
          <w:color w:val="auto"/>
          <w:sz w:val="24"/>
          <w:szCs w:val="24"/>
          <w:highlight w:val="none"/>
        </w:rPr>
        <w:t>投标文件中所使用的计量单位,除招标文件中有特殊要求外,应采用国家法定计量单位。</w:t>
      </w:r>
    </w:p>
    <w:p w14:paraId="5773723F">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8.2</w:t>
      </w:r>
      <w:r>
        <w:rPr>
          <w:rFonts w:hint="eastAsia" w:ascii="宋体" w:hAnsi="宋体" w:cs="宋体"/>
          <w:color w:val="auto"/>
          <w:sz w:val="24"/>
          <w:szCs w:val="24"/>
          <w:highlight w:val="none"/>
        </w:rPr>
        <w:t xml:space="preserve"> 投标文件应使用中文编制,投标文件中必须使用其他文字的,必须附有中文译本。对于未附有中文译本和中文译本不准确的投标文件,由此引起的对投标人不利后果的,招标人概不负责。</w:t>
      </w:r>
    </w:p>
    <w:p w14:paraId="02F2AF8F">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9、本工程投标文件由</w:t>
      </w:r>
      <w:r>
        <w:rPr>
          <w:rFonts w:hint="eastAsia" w:ascii="宋体" w:hAnsi="宋体" w:cs="宋体"/>
          <w:b/>
          <w:bCs/>
          <w:color w:val="auto"/>
          <w:sz w:val="24"/>
          <w:szCs w:val="24"/>
          <w:highlight w:val="none"/>
          <w:u w:val="single"/>
        </w:rPr>
        <w:t>资格审查文件、商务标、电子投标文件</w:t>
      </w:r>
      <w:r>
        <w:rPr>
          <w:rFonts w:hint="eastAsia" w:ascii="宋体" w:hAnsi="宋体" w:cs="宋体"/>
          <w:color w:val="auto"/>
          <w:sz w:val="24"/>
          <w:szCs w:val="24"/>
          <w:highlight w:val="none"/>
        </w:rPr>
        <w:t>三部分组成</w:t>
      </w:r>
      <w:r>
        <w:rPr>
          <w:rFonts w:hint="eastAsia" w:ascii="宋体" w:hAnsi="宋体" w:cs="宋体"/>
          <w:bCs/>
          <w:color w:val="auto"/>
          <w:sz w:val="24"/>
          <w:szCs w:val="24"/>
          <w:highlight w:val="none"/>
        </w:rPr>
        <w:t>，具体应包括以下内容：</w:t>
      </w:r>
    </w:p>
    <w:p w14:paraId="3345BE2B">
      <w:pPr>
        <w:adjustRightInd w:val="0"/>
        <w:snapToGrid w:val="0"/>
        <w:spacing w:line="360" w:lineRule="auto"/>
        <w:ind w:firstLine="482" w:firstLineChars="200"/>
        <w:rPr>
          <w:rFonts w:hint="eastAsia" w:ascii="宋体" w:hAnsi="宋体" w:cs="宋体"/>
          <w:b/>
          <w:bCs/>
          <w:color w:val="auto"/>
          <w:sz w:val="24"/>
          <w:szCs w:val="24"/>
          <w:highlight w:val="none"/>
        </w:rPr>
      </w:pPr>
      <w:bookmarkStart w:id="25" w:name="_Hlk166746603"/>
      <w:r>
        <w:rPr>
          <w:rFonts w:hint="eastAsia" w:ascii="宋体" w:hAnsi="宋体" w:cs="宋体"/>
          <w:b/>
          <w:color w:val="auto"/>
          <w:sz w:val="24"/>
          <w:szCs w:val="24"/>
          <w:highlight w:val="none"/>
        </w:rPr>
        <w:t>9.1</w:t>
      </w:r>
      <w:r>
        <w:rPr>
          <w:rFonts w:hint="eastAsia" w:ascii="宋体" w:hAnsi="宋体" w:cs="宋体"/>
          <w:b/>
          <w:bCs/>
          <w:color w:val="auto"/>
          <w:sz w:val="24"/>
          <w:szCs w:val="24"/>
          <w:highlight w:val="none"/>
        </w:rPr>
        <w:t>资格审查文件</w:t>
      </w:r>
    </w:p>
    <w:p w14:paraId="159D3A76">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（1）法定代表人身份证明书；</w:t>
      </w:r>
    </w:p>
    <w:p w14:paraId="4BD88C3F">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（2）授权委托书(如有授权)；</w:t>
      </w:r>
    </w:p>
    <w:p w14:paraId="4D891C63">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（3）有效的企业营业执照</w:t>
      </w:r>
      <w:r>
        <w:rPr>
          <w:rFonts w:hint="eastAsia" w:ascii="宋体" w:hAnsi="宋体" w:cs="宋体"/>
          <w:color w:val="auto"/>
          <w:sz w:val="24"/>
          <w:highlight w:val="none"/>
        </w:rPr>
        <w:t>或事业单位法人证书</w:t>
      </w:r>
      <w:r>
        <w:rPr>
          <w:rFonts w:hint="eastAsia" w:ascii="宋体" w:hAnsi="宋体" w:cs="宋体"/>
          <w:color w:val="auto"/>
          <w:sz w:val="24"/>
          <w:szCs w:val="24"/>
          <w:highlight w:val="none"/>
        </w:rPr>
        <w:t>；</w:t>
      </w:r>
    </w:p>
    <w:p w14:paraId="2012D117">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（4）投标人具备的测绘甲级资质证书（有效期内的）；</w:t>
      </w:r>
    </w:p>
    <w:p w14:paraId="0CEC3201">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（5）诚信承诺书；</w:t>
      </w:r>
    </w:p>
    <w:p w14:paraId="5C471140">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（6）投标人免缴投标保证金信用承诺书（如有）；</w:t>
      </w:r>
    </w:p>
    <w:p w14:paraId="2D6DA9A1">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（7）招标文件要求的其他材料。</w:t>
      </w:r>
    </w:p>
    <w:p w14:paraId="6311561C">
      <w:pPr>
        <w:adjustRightInd w:val="0"/>
        <w:snapToGrid w:val="0"/>
        <w:spacing w:line="360" w:lineRule="auto"/>
        <w:ind w:firstLine="480"/>
        <w:rPr>
          <w:rFonts w:hint="eastAsia" w:ascii="宋体" w:hAnsi="宋体" w:cs="宋体"/>
          <w:b/>
          <w:color w:val="auto"/>
          <w:sz w:val="24"/>
          <w:szCs w:val="24"/>
          <w:highlight w:val="none"/>
        </w:rPr>
      </w:pPr>
      <w:r>
        <w:rPr>
          <w:rFonts w:hint="eastAsia" w:ascii="宋体" w:hAnsi="宋体" w:cs="宋体"/>
          <w:b/>
          <w:bCs/>
          <w:color w:val="auto"/>
          <w:sz w:val="24"/>
          <w:szCs w:val="24"/>
          <w:highlight w:val="none"/>
        </w:rPr>
        <w:t>9.2商务标</w:t>
      </w:r>
    </w:p>
    <w:p w14:paraId="28BBAC3A">
      <w:pPr>
        <w:numPr>
          <w:ilvl w:val="0"/>
          <w:numId w:val="1"/>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投标人一般情况表；</w:t>
      </w:r>
    </w:p>
    <w:p w14:paraId="2B215B19">
      <w:pPr>
        <w:numPr>
          <w:ilvl w:val="0"/>
          <w:numId w:val="1"/>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投标函；</w:t>
      </w:r>
    </w:p>
    <w:p w14:paraId="441673E4">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（3）商务标评审需要提供的其他材料</w:t>
      </w:r>
      <w:bookmarkEnd w:id="25"/>
      <w:r>
        <w:rPr>
          <w:rFonts w:hint="eastAsia" w:ascii="宋体" w:hAnsi="宋体" w:cs="宋体"/>
          <w:color w:val="auto"/>
          <w:sz w:val="24"/>
          <w:szCs w:val="24"/>
          <w:highlight w:val="none"/>
        </w:rPr>
        <w:t>。</w:t>
      </w:r>
    </w:p>
    <w:p w14:paraId="2C68C048">
      <w:pPr>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9.3电子投标文件（U盘）</w:t>
      </w:r>
    </w:p>
    <w:p w14:paraId="49A54473">
      <w:pPr>
        <w:adjustRightInd w:val="0"/>
        <w:snapToGrid w:val="0"/>
        <w:spacing w:line="360" w:lineRule="auto"/>
        <w:ind w:firstLine="48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刻录在U盘上，包括完整盖章版本的资格审查文件、商务标文件的PDF扫描件。</w:t>
      </w:r>
    </w:p>
    <w:p w14:paraId="643FD5C1">
      <w:pPr>
        <w:adjustRightInd w:val="0"/>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10、</w:t>
      </w:r>
      <w:r>
        <w:rPr>
          <w:rFonts w:hint="eastAsia" w:ascii="宋体" w:hAnsi="宋体" w:cs="宋体"/>
          <w:bCs/>
          <w:color w:val="auto"/>
          <w:sz w:val="24"/>
          <w:szCs w:val="24"/>
          <w:highlight w:val="none"/>
        </w:rPr>
        <w:t>投标文件正本须用不能擦去的墨水书写或打印，投标文件副本可以复印，其正、副本都应装订成册，并在封面上正确标明“正本”、“副本”字样。</w:t>
      </w:r>
      <w:r>
        <w:rPr>
          <w:rFonts w:hint="eastAsia" w:ascii="宋体" w:hAnsi="宋体" w:cs="宋体"/>
          <w:b/>
          <w:bCs/>
          <w:color w:val="auto"/>
          <w:sz w:val="24"/>
          <w:szCs w:val="24"/>
          <w:highlight w:val="none"/>
        </w:rPr>
        <w:t>资格审查文件、商务标、电子投标文件分开装袋分别密封。</w:t>
      </w:r>
    </w:p>
    <w:p w14:paraId="7FF82F1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11、全套投标文件应无修改和行间插字。如有修改，须在修改处加盖投标人法定代表人或其代理人的印鉴。</w:t>
      </w:r>
    </w:p>
    <w:p w14:paraId="6F348237">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12、投标有效期</w:t>
      </w:r>
    </w:p>
    <w:p w14:paraId="4C745C9C">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投标文件自投标截止时间起至投标须知前附表规定的时间内有效。</w:t>
      </w:r>
    </w:p>
    <w:p w14:paraId="2711A46A">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13、投标保证金</w:t>
      </w:r>
    </w:p>
    <w:p w14:paraId="6ADD44E1">
      <w:pPr>
        <w:adjustRightInd w:val="0"/>
        <w:snapToGrid w:val="0"/>
        <w:spacing w:line="360" w:lineRule="auto"/>
        <w:ind w:firstLine="480" w:firstLineChars="200"/>
        <w:jc w:val="left"/>
        <w:rPr>
          <w:rFonts w:hint="eastAsia" w:ascii="宋体" w:hAnsi="宋体" w:cs="宋体"/>
          <w:color w:val="auto"/>
          <w:sz w:val="24"/>
          <w:szCs w:val="24"/>
          <w:highlight w:val="none"/>
        </w:rPr>
      </w:pPr>
      <w:bookmarkStart w:id="26" w:name="_Hlk118647900"/>
      <w:bookmarkStart w:id="27" w:name="_Toc6413165"/>
      <w:r>
        <w:rPr>
          <w:rFonts w:hint="eastAsia" w:ascii="宋体" w:hAnsi="宋体" w:cs="宋体"/>
          <w:color w:val="auto"/>
          <w:sz w:val="24"/>
          <w:szCs w:val="24"/>
          <w:highlight w:val="none"/>
        </w:rPr>
        <w:t>中标单位的投标保证金有效期在投标截止日后45天内有效；特别提醒：投标人应充分考虑投标保证金从提交到入账的时间风险，在投标截止日之前办理相关事项并再次确认是否已成功缴纳。</w:t>
      </w:r>
    </w:p>
    <w:p w14:paraId="45A86BCA">
      <w:pPr>
        <w:adjustRightInd w:val="0"/>
        <w:snapToGrid w:val="0"/>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13.1投标人必须按照前附表规定于投标文件提交截止时间前将缴纳投标保证金的相关凭证（无须密封）</w:t>
      </w:r>
      <w:r>
        <w:rPr>
          <w:rFonts w:hint="eastAsia" w:ascii="宋体" w:hAnsi="宋体" w:cs="宋体"/>
          <w:b/>
          <w:bCs/>
          <w:color w:val="auto"/>
          <w:sz w:val="24"/>
          <w:szCs w:val="24"/>
          <w:highlight w:val="none"/>
        </w:rPr>
        <w:t>和基本账户开户许可证（或基本存款账户信息）复印件</w:t>
      </w:r>
      <w:r>
        <w:rPr>
          <w:rFonts w:hint="eastAsia" w:ascii="宋体" w:hAnsi="宋体" w:cs="宋体"/>
          <w:b/>
          <w:color w:val="auto"/>
          <w:sz w:val="24"/>
          <w:szCs w:val="24"/>
          <w:highlight w:val="none"/>
        </w:rPr>
        <w:t>递交给招标代理查验；投标保证金帐户如下：</w:t>
      </w:r>
    </w:p>
    <w:p w14:paraId="693C0E8E">
      <w:pPr>
        <w:adjustRightInd w:val="0"/>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账号：107070010402888820730020000</w:t>
      </w:r>
    </w:p>
    <w:p w14:paraId="40074630">
      <w:pPr>
        <w:adjustRightInd w:val="0"/>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户名：南通市崇川区城市工程建设管理中心</w:t>
      </w:r>
    </w:p>
    <w:p w14:paraId="721C68CA">
      <w:pPr>
        <w:adjustRightInd w:val="0"/>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开户行：中国农业银行南通分行营业部</w:t>
      </w:r>
    </w:p>
    <w:p w14:paraId="46ED06EB">
      <w:pPr>
        <w:adjustRightInd w:val="0"/>
        <w:snapToGrid w:val="0"/>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特别提醒：</w:t>
      </w:r>
      <w:bookmarkEnd w:id="26"/>
    </w:p>
    <w:p w14:paraId="0E2F30D4">
      <w:pPr>
        <w:adjustRightInd w:val="0"/>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bCs/>
          <w:color w:val="auto"/>
          <w:sz w:val="24"/>
          <w:szCs w:val="24"/>
          <w:highlight w:val="none"/>
        </w:rPr>
        <w:t>投标保证金的形式：转账、电汇、网银，银行电子保函、保险电子保函，接受现金、本票、投标保证金信用承诺书等形式。各投标人根据企业实际情况合理选择投标保证金的缴纳形式，各类缴纳形式具有同等法律效力。</w:t>
      </w:r>
    </w:p>
    <w:p w14:paraId="4370E51F">
      <w:pPr>
        <w:adjustRightInd w:val="0"/>
        <w:snapToGrid w:val="0"/>
        <w:spacing w:line="360" w:lineRule="auto"/>
        <w:ind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（2）各投标人必须以企业法人基本存款帐户办理保证金缴纳手续，否则不予接受。（现场递交现金</w:t>
      </w:r>
      <w:r>
        <w:rPr>
          <w:rFonts w:hint="eastAsia" w:ascii="宋体" w:hAnsi="宋体" w:cs="宋体"/>
          <w:b/>
          <w:color w:val="auto"/>
          <w:sz w:val="24"/>
          <w:szCs w:val="24"/>
          <w:highlight w:val="none"/>
          <w:lang w:val="en-US" w:eastAsia="zh-CN"/>
        </w:rPr>
        <w:t>或采用</w:t>
      </w:r>
      <w:r>
        <w:rPr>
          <w:rFonts w:hint="eastAsia" w:ascii="宋体" w:hAnsi="宋体" w:cs="宋体"/>
          <w:b/>
          <w:bCs/>
          <w:color w:val="auto"/>
          <w:sz w:val="24"/>
          <w:szCs w:val="24"/>
          <w:highlight w:val="none"/>
        </w:rPr>
        <w:t>投标保证金信用承诺书</w:t>
      </w:r>
      <w:r>
        <w:rPr>
          <w:rFonts w:hint="eastAsia" w:ascii="宋体" w:hAnsi="宋体" w:cs="宋体"/>
          <w:b/>
          <w:color w:val="auto"/>
          <w:sz w:val="24"/>
          <w:szCs w:val="24"/>
          <w:highlight w:val="none"/>
        </w:rPr>
        <w:t>的，无需提供</w:t>
      </w:r>
      <w:r>
        <w:rPr>
          <w:rFonts w:hint="eastAsia" w:ascii="宋体" w:hAnsi="宋体" w:cs="宋体"/>
          <w:b/>
          <w:bCs/>
          <w:color w:val="auto"/>
          <w:sz w:val="24"/>
          <w:highlight w:val="none"/>
        </w:rPr>
        <w:t>基本账户开户许可证（或基本存款账户信息）复印件</w:t>
      </w:r>
      <w:r>
        <w:rPr>
          <w:rFonts w:hint="eastAsia" w:ascii="宋体" w:hAnsi="宋体" w:cs="宋体"/>
          <w:b/>
          <w:color w:val="auto"/>
          <w:sz w:val="24"/>
          <w:szCs w:val="24"/>
          <w:highlight w:val="none"/>
        </w:rPr>
        <w:t>）</w:t>
      </w:r>
    </w:p>
    <w:p w14:paraId="5D12A143">
      <w:pPr>
        <w:adjustRightInd w:val="0"/>
        <w:snapToGrid w:val="0"/>
        <w:spacing w:line="360" w:lineRule="auto"/>
        <w:ind w:firstLine="482" w:firstLineChars="200"/>
        <w:rPr>
          <w:rFonts w:hint="eastAsia" w:ascii="宋体" w:hAnsi="宋体" w:cs="宋体"/>
          <w:color w:val="auto"/>
          <w:szCs w:val="24"/>
          <w:highlight w:val="none"/>
        </w:rPr>
      </w:pPr>
      <w:r>
        <w:rPr>
          <w:rFonts w:hint="eastAsia" w:ascii="宋体" w:hAnsi="宋体" w:cs="宋体"/>
          <w:b/>
          <w:bCs/>
          <w:color w:val="auto"/>
          <w:sz w:val="24"/>
          <w:szCs w:val="22"/>
          <w:highlight w:val="none"/>
        </w:rPr>
        <w:t>（3）各投标人在递交投标文件的同时需递交投标保证金</w:t>
      </w:r>
      <w:r>
        <w:rPr>
          <w:rFonts w:hint="eastAsia" w:ascii="宋体" w:hAnsi="宋体" w:cs="宋体"/>
          <w:b/>
          <w:color w:val="auto"/>
          <w:sz w:val="24"/>
          <w:szCs w:val="24"/>
          <w:highlight w:val="none"/>
        </w:rPr>
        <w:t>缴纳凭证</w:t>
      </w:r>
      <w:r>
        <w:rPr>
          <w:rFonts w:hint="eastAsia" w:ascii="宋体" w:hAnsi="宋体" w:cs="宋体"/>
          <w:b/>
          <w:bCs/>
          <w:color w:val="auto"/>
          <w:sz w:val="24"/>
          <w:szCs w:val="22"/>
          <w:highlight w:val="none"/>
        </w:rPr>
        <w:t>（无须密封）和基本账户开户许可证（或基本存款账户信息）复印件（无须密封）供招标人代表查验，否则其投标文件不予接收（如采用</w:t>
      </w:r>
      <w:r>
        <w:rPr>
          <w:rFonts w:hint="eastAsia" w:ascii="宋体" w:hAnsi="宋体" w:cs="宋体"/>
          <w:b/>
          <w:bCs/>
          <w:color w:val="auto"/>
          <w:sz w:val="24"/>
          <w:szCs w:val="22"/>
          <w:highlight w:val="none"/>
          <w:lang w:val="en-US" w:eastAsia="zh-CN"/>
        </w:rPr>
        <w:t>现金或</w:t>
      </w:r>
      <w:r>
        <w:rPr>
          <w:rFonts w:hint="eastAsia" w:ascii="宋体" w:hAnsi="宋体" w:cs="宋体"/>
          <w:b/>
          <w:bCs/>
          <w:color w:val="auto"/>
          <w:sz w:val="24"/>
          <w:szCs w:val="24"/>
          <w:highlight w:val="none"/>
        </w:rPr>
        <w:t>投标保证金信用承诺书的，无须提供</w:t>
      </w:r>
      <w:r>
        <w:rPr>
          <w:rFonts w:hint="eastAsia" w:ascii="宋体" w:hAnsi="宋体" w:cs="宋体"/>
          <w:b/>
          <w:bCs/>
          <w:color w:val="auto"/>
          <w:sz w:val="24"/>
          <w:szCs w:val="22"/>
          <w:highlight w:val="none"/>
        </w:rPr>
        <w:t>）。</w:t>
      </w:r>
    </w:p>
    <w:p w14:paraId="2EC180BA">
      <w:pPr>
        <w:adjustRightInd w:val="0"/>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投标人应当按照规定的时间和方式，及时、足额汇入投标保证金，以保证金到达指定账户的时刻作为有效保证金时限的依据，各投标人应当充分预判因各种因素导致保证金到账的滞后情况，提前做好相关准备。</w:t>
      </w:r>
    </w:p>
    <w:p w14:paraId="50741CF0">
      <w:pPr>
        <w:adjustRightInd w:val="0"/>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（5）本项目接受投标保证金信用承诺书代替投标保证金，投标人应提交《投标人免缴投标保证金信用承诺书》 (附件)，作出承诺不免除投标人违法、违规、违约责任，并遵守招投标相关法律、法规。</w:t>
      </w:r>
    </w:p>
    <w:p w14:paraId="1186F3F7">
      <w:pPr>
        <w:adjustRightInd w:val="0"/>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（6）不按招标文件要求递交本项目投标保证金的，其投标文件将被招标代理机构拒绝。</w:t>
      </w:r>
    </w:p>
    <w:p w14:paraId="0149F6DE">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13.2未中标单位的投标保证金在其定标后予以退还；招标人与中标人签订合同后5个工作日内，退还中标人投标保证金。</w:t>
      </w:r>
    </w:p>
    <w:p w14:paraId="0D90559A">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13.3投标人在规定的投标有效期内撤销其投标文件，其投标保证金不予退还。</w:t>
      </w:r>
    </w:p>
    <w:p w14:paraId="7530BC33">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13.4中标通知书发出后，中标人发生下列情形之一，招标人可取消其中标资格，其投标保证金不予退还：</w:t>
      </w:r>
    </w:p>
    <w:p w14:paraId="69B0F243">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（1）放弃中标项目的；</w:t>
      </w:r>
    </w:p>
    <w:p w14:paraId="444AF4FE">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（2）拒不按照招标文件的要求提交履约保证金的；</w:t>
      </w:r>
    </w:p>
    <w:p w14:paraId="0AA58965">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（3）无正当理由不与招标人签订合同的；</w:t>
      </w:r>
    </w:p>
    <w:p w14:paraId="0B94A85C">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（4）在签订合同时向招标人提出附加条件或者更改合同实质性内容的。</w:t>
      </w:r>
    </w:p>
    <w:p w14:paraId="610B7B88">
      <w:pPr>
        <w:adjustRightInd w:val="0"/>
        <w:snapToGrid w:val="0"/>
        <w:spacing w:line="360" w:lineRule="auto"/>
        <w:jc w:val="center"/>
        <w:outlineLvl w:val="2"/>
        <w:rPr>
          <w:rFonts w:hint="eastAsia" w:ascii="宋体" w:hAnsi="宋体" w:cs="宋体"/>
          <w:b/>
          <w:color w:val="auto"/>
          <w:sz w:val="32"/>
          <w:szCs w:val="32"/>
          <w:highlight w:val="none"/>
        </w:rPr>
      </w:pPr>
      <w:bookmarkStart w:id="28" w:name="_Toc393"/>
      <w:bookmarkStart w:id="29" w:name="_Toc21196"/>
      <w:r>
        <w:rPr>
          <w:rFonts w:hint="eastAsia" w:ascii="宋体" w:hAnsi="宋体" w:cs="宋体"/>
          <w:b/>
          <w:color w:val="auto"/>
          <w:sz w:val="32"/>
          <w:szCs w:val="32"/>
          <w:highlight w:val="none"/>
        </w:rPr>
        <w:t>（四）投标报价</w:t>
      </w:r>
      <w:bookmarkEnd w:id="27"/>
      <w:bookmarkEnd w:id="28"/>
      <w:bookmarkEnd w:id="29"/>
    </w:p>
    <w:p w14:paraId="108EED65">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14、投标报价</w:t>
      </w:r>
    </w:p>
    <w:p w14:paraId="5635FF20">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14.1</w:t>
      </w:r>
      <w:r>
        <w:rPr>
          <w:rFonts w:hint="eastAsia" w:ascii="宋体" w:hAnsi="宋体" w:cs="宋体"/>
          <w:color w:val="auto"/>
          <w:sz w:val="24"/>
          <w:szCs w:val="24"/>
          <w:highlight w:val="none"/>
        </w:rPr>
        <w:t>本项目不接受任何有选择的报价。</w:t>
      </w:r>
    </w:p>
    <w:p w14:paraId="70895AB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14.2</w:t>
      </w:r>
      <w:r>
        <w:rPr>
          <w:rFonts w:hint="eastAsia" w:ascii="宋体" w:hAnsi="宋体" w:cs="宋体"/>
          <w:color w:val="auto"/>
          <w:sz w:val="24"/>
          <w:szCs w:val="24"/>
          <w:highlight w:val="none"/>
        </w:rPr>
        <w:t>投标文件报价中的投标报价均以人民币为报价的币种。</w:t>
      </w:r>
    </w:p>
    <w:p w14:paraId="606B2F5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15、报价方式说明</w:t>
      </w:r>
    </w:p>
    <w:p w14:paraId="0B043AC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15.1本次招标采用</w:t>
      </w:r>
      <w:r>
        <w:rPr>
          <w:rFonts w:hint="eastAsia" w:ascii="宋体" w:hAnsi="宋体" w:cs="宋体"/>
          <w:b/>
          <w:color w:val="auto"/>
          <w:sz w:val="24"/>
          <w:szCs w:val="24"/>
          <w:highlight w:val="none"/>
          <w:u w:val="single"/>
        </w:rPr>
        <w:t>固定下浮率报价</w:t>
      </w:r>
      <w:r>
        <w:rPr>
          <w:rFonts w:hint="eastAsia" w:ascii="宋体" w:hAnsi="宋体" w:cs="宋体"/>
          <w:color w:val="auto"/>
          <w:sz w:val="24"/>
          <w:szCs w:val="24"/>
          <w:highlight w:val="none"/>
        </w:rPr>
        <w:t>方式，包括完成该项目所涉及的一切费用。投标人报价时应充分考虑项目实施期间各类人工、材料的市场风险，市场价格风险由投标人自行承担，招标人不额外承担任何费用。</w:t>
      </w:r>
    </w:p>
    <w:p w14:paraId="3C4FCF2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15.2如因招标人实际需求，中标人须无条件满足招标人需求。</w:t>
      </w:r>
    </w:p>
    <w:p w14:paraId="5CCA72A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15.3</w:t>
      </w:r>
      <w:r>
        <w:rPr>
          <w:rFonts w:hint="eastAsia" w:ascii="宋体" w:hAnsi="宋体" w:cs="宋体"/>
          <w:b/>
          <w:color w:val="auto"/>
          <w:sz w:val="24"/>
          <w:highlight w:val="none"/>
        </w:rPr>
        <w:t>投标人按照相关法律法规、相关职能部门要求、关于印发《南通市区开展工程建设项目“多测合一”改革的意见（试行）》的通知（通自然资规发[2023]133号）等文件精神、招标人要求，充分考虑现场情况及其他需考虑的各种因素（包括报告书的编制费用、技术服务费用、会务费用等所有费用），进行一次性下浮率报价。项目测绘收费参照财政部、国家测绘局颁布《测绘生产成本费用定额》国财建【2009】17号，在此收费基础上×70%计费，并在此基础上按100%系数下浮率报价。为了最终结算统一，收费标准统一按Ⅰ类定额进行取费，如无Ⅰ类定额按Ⅱ类定额收费。定额中未明确的按照下表设定定额执行，结算按照下表定额标准×（1-中标下浮率）。</w:t>
      </w:r>
    </w:p>
    <w:tbl>
      <w:tblPr>
        <w:tblStyle w:val="53"/>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761"/>
        <w:gridCol w:w="1435"/>
        <w:gridCol w:w="4960"/>
      </w:tblGrid>
      <w:tr w14:paraId="5D28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5D9DD4C0">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工作内容</w:t>
            </w:r>
          </w:p>
        </w:tc>
        <w:tc>
          <w:tcPr>
            <w:tcW w:w="761" w:type="dxa"/>
            <w:vAlign w:val="center"/>
          </w:tcPr>
          <w:p w14:paraId="0AF7A04C">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单位</w:t>
            </w:r>
          </w:p>
        </w:tc>
        <w:tc>
          <w:tcPr>
            <w:tcW w:w="1435" w:type="dxa"/>
            <w:vAlign w:val="center"/>
          </w:tcPr>
          <w:p w14:paraId="58CD2F37">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定额标准</w:t>
            </w:r>
          </w:p>
        </w:tc>
        <w:tc>
          <w:tcPr>
            <w:tcW w:w="4960" w:type="dxa"/>
            <w:vAlign w:val="center"/>
          </w:tcPr>
          <w:p w14:paraId="5299463E">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备注</w:t>
            </w:r>
          </w:p>
        </w:tc>
      </w:tr>
      <w:tr w14:paraId="1AE7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7A0D99BC">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原始地表测量</w:t>
            </w:r>
          </w:p>
        </w:tc>
        <w:tc>
          <w:tcPr>
            <w:tcW w:w="761" w:type="dxa"/>
            <w:vAlign w:val="center"/>
          </w:tcPr>
          <w:p w14:paraId="76CFCBE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平米</w:t>
            </w:r>
          </w:p>
        </w:tc>
        <w:tc>
          <w:tcPr>
            <w:tcW w:w="1435" w:type="dxa"/>
            <w:vAlign w:val="center"/>
          </w:tcPr>
          <w:p w14:paraId="1CCEAB5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0.15元/㎡</w:t>
            </w:r>
          </w:p>
        </w:tc>
        <w:tc>
          <w:tcPr>
            <w:tcW w:w="4960" w:type="dxa"/>
            <w:vAlign w:val="center"/>
          </w:tcPr>
          <w:p w14:paraId="3F9038F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测量现状地表标高（含水下），配合做好现场工程审计工作</w:t>
            </w:r>
          </w:p>
        </w:tc>
      </w:tr>
      <w:tr w14:paraId="031C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34FFC2C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记录册编制</w:t>
            </w:r>
          </w:p>
        </w:tc>
        <w:tc>
          <w:tcPr>
            <w:tcW w:w="761" w:type="dxa"/>
            <w:vAlign w:val="center"/>
          </w:tcPr>
          <w:p w14:paraId="52E06B71">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w:t>
            </w:r>
          </w:p>
        </w:tc>
        <w:tc>
          <w:tcPr>
            <w:tcW w:w="1435" w:type="dxa"/>
            <w:vAlign w:val="center"/>
          </w:tcPr>
          <w:p w14:paraId="0686A06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2200元</w:t>
            </w:r>
          </w:p>
        </w:tc>
        <w:tc>
          <w:tcPr>
            <w:tcW w:w="4960" w:type="dxa"/>
            <w:vAlign w:val="center"/>
          </w:tcPr>
          <w:p w14:paraId="75C4346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按照报建项结算</w:t>
            </w:r>
          </w:p>
        </w:tc>
      </w:tr>
      <w:tr w14:paraId="4804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71154ED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规划环境测量</w:t>
            </w:r>
          </w:p>
        </w:tc>
        <w:tc>
          <w:tcPr>
            <w:tcW w:w="761" w:type="dxa"/>
            <w:vAlign w:val="center"/>
          </w:tcPr>
          <w:p w14:paraId="597EDAD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组</w:t>
            </w:r>
          </w:p>
        </w:tc>
        <w:tc>
          <w:tcPr>
            <w:tcW w:w="1435" w:type="dxa"/>
            <w:vAlign w:val="center"/>
          </w:tcPr>
          <w:p w14:paraId="729D316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2200元</w:t>
            </w:r>
          </w:p>
        </w:tc>
        <w:tc>
          <w:tcPr>
            <w:tcW w:w="4960" w:type="dxa"/>
            <w:vAlign w:val="center"/>
          </w:tcPr>
          <w:p w14:paraId="137D467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按照报建项结算</w:t>
            </w:r>
          </w:p>
        </w:tc>
      </w:tr>
      <w:tr w14:paraId="1354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5C997821">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工程水准测量</w:t>
            </w:r>
          </w:p>
        </w:tc>
        <w:tc>
          <w:tcPr>
            <w:tcW w:w="761" w:type="dxa"/>
            <w:vAlign w:val="center"/>
          </w:tcPr>
          <w:p w14:paraId="06A2810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w:t>
            </w:r>
          </w:p>
        </w:tc>
        <w:tc>
          <w:tcPr>
            <w:tcW w:w="1435" w:type="dxa"/>
            <w:vAlign w:val="center"/>
          </w:tcPr>
          <w:p w14:paraId="233D9B41">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2200元</w:t>
            </w:r>
          </w:p>
        </w:tc>
        <w:tc>
          <w:tcPr>
            <w:tcW w:w="4960" w:type="dxa"/>
            <w:vAlign w:val="center"/>
          </w:tcPr>
          <w:p w14:paraId="0D79C3B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根据需要，提供现场项目施工水准点</w:t>
            </w:r>
          </w:p>
        </w:tc>
      </w:tr>
      <w:tr w14:paraId="1CA0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3E9A34AF">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平面控制测量</w:t>
            </w:r>
          </w:p>
        </w:tc>
        <w:tc>
          <w:tcPr>
            <w:tcW w:w="761" w:type="dxa"/>
            <w:vAlign w:val="center"/>
          </w:tcPr>
          <w:p w14:paraId="3CE3FDC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w:t>
            </w:r>
          </w:p>
        </w:tc>
        <w:tc>
          <w:tcPr>
            <w:tcW w:w="1435" w:type="dxa"/>
            <w:vAlign w:val="center"/>
          </w:tcPr>
          <w:p w14:paraId="118BC431">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2200元</w:t>
            </w:r>
          </w:p>
        </w:tc>
        <w:tc>
          <w:tcPr>
            <w:tcW w:w="4960" w:type="dxa"/>
            <w:vAlign w:val="center"/>
          </w:tcPr>
          <w:p w14:paraId="39F239CF">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根据需要，提供现场项目施工平米控制点</w:t>
            </w:r>
          </w:p>
        </w:tc>
      </w:tr>
      <w:tr w14:paraId="02DD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54A4749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定位放线</w:t>
            </w:r>
          </w:p>
        </w:tc>
        <w:tc>
          <w:tcPr>
            <w:tcW w:w="761" w:type="dxa"/>
            <w:vAlign w:val="center"/>
          </w:tcPr>
          <w:p w14:paraId="441A112F">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点</w:t>
            </w:r>
          </w:p>
        </w:tc>
        <w:tc>
          <w:tcPr>
            <w:tcW w:w="1435" w:type="dxa"/>
            <w:vAlign w:val="center"/>
          </w:tcPr>
          <w:p w14:paraId="37121EB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600元</w:t>
            </w:r>
          </w:p>
        </w:tc>
        <w:tc>
          <w:tcPr>
            <w:tcW w:w="4960" w:type="dxa"/>
            <w:vAlign w:val="center"/>
          </w:tcPr>
          <w:p w14:paraId="4D31999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根据报告现场定位，用于甲方现场规划验线</w:t>
            </w:r>
          </w:p>
        </w:tc>
      </w:tr>
      <w:tr w14:paraId="3125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775DF7D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竣工地形图测量</w:t>
            </w:r>
          </w:p>
        </w:tc>
        <w:tc>
          <w:tcPr>
            <w:tcW w:w="761" w:type="dxa"/>
            <w:vAlign w:val="center"/>
          </w:tcPr>
          <w:p w14:paraId="6AF9F0D6">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幅</w:t>
            </w:r>
          </w:p>
        </w:tc>
        <w:tc>
          <w:tcPr>
            <w:tcW w:w="1435" w:type="dxa"/>
            <w:vAlign w:val="center"/>
          </w:tcPr>
          <w:p w14:paraId="11992AB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9000元</w:t>
            </w:r>
          </w:p>
        </w:tc>
        <w:tc>
          <w:tcPr>
            <w:tcW w:w="4960" w:type="dxa"/>
            <w:vAlign w:val="center"/>
          </w:tcPr>
          <w:p w14:paraId="3C089AC1">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对应地形数据采集1:500线划图，按照项目用地面积结算</w:t>
            </w:r>
          </w:p>
        </w:tc>
      </w:tr>
      <w:tr w14:paraId="67F5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0C03E05D">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楼高间距</w:t>
            </w:r>
          </w:p>
        </w:tc>
        <w:tc>
          <w:tcPr>
            <w:tcW w:w="761" w:type="dxa"/>
            <w:vAlign w:val="center"/>
          </w:tcPr>
          <w:p w14:paraId="0BC30716">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幢</w:t>
            </w:r>
          </w:p>
        </w:tc>
        <w:tc>
          <w:tcPr>
            <w:tcW w:w="1435" w:type="dxa"/>
            <w:vAlign w:val="center"/>
          </w:tcPr>
          <w:p w14:paraId="53F38C6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1500元</w:t>
            </w:r>
          </w:p>
        </w:tc>
        <w:tc>
          <w:tcPr>
            <w:tcW w:w="4960" w:type="dxa"/>
            <w:vAlign w:val="center"/>
          </w:tcPr>
          <w:p w14:paraId="415EABE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对应验测高程、高度，按照实际地面建筑物幢数结算</w:t>
            </w:r>
          </w:p>
        </w:tc>
      </w:tr>
      <w:tr w14:paraId="783D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54C4D53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建筑面积</w:t>
            </w:r>
          </w:p>
        </w:tc>
        <w:tc>
          <w:tcPr>
            <w:tcW w:w="761" w:type="dxa"/>
            <w:vAlign w:val="center"/>
          </w:tcPr>
          <w:p w14:paraId="1E34824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平米</w:t>
            </w:r>
          </w:p>
        </w:tc>
        <w:tc>
          <w:tcPr>
            <w:tcW w:w="1435" w:type="dxa"/>
            <w:vAlign w:val="center"/>
          </w:tcPr>
          <w:p w14:paraId="5F7611A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1.2元/㎡</w:t>
            </w:r>
          </w:p>
        </w:tc>
        <w:tc>
          <w:tcPr>
            <w:tcW w:w="4960" w:type="dxa"/>
            <w:vAlign w:val="center"/>
          </w:tcPr>
          <w:p w14:paraId="4F9091FB">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按照最终规划核实建筑面积结算</w:t>
            </w:r>
          </w:p>
        </w:tc>
      </w:tr>
      <w:tr w14:paraId="2303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5C3170A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地理数据加工</w:t>
            </w:r>
          </w:p>
        </w:tc>
        <w:tc>
          <w:tcPr>
            <w:tcW w:w="761" w:type="dxa"/>
            <w:vAlign w:val="center"/>
          </w:tcPr>
          <w:p w14:paraId="6FBAF5B4">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w:t>
            </w:r>
          </w:p>
        </w:tc>
        <w:tc>
          <w:tcPr>
            <w:tcW w:w="1435" w:type="dxa"/>
            <w:vAlign w:val="center"/>
          </w:tcPr>
          <w:p w14:paraId="7270E81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2500元</w:t>
            </w:r>
          </w:p>
        </w:tc>
        <w:tc>
          <w:tcPr>
            <w:tcW w:w="4960" w:type="dxa"/>
            <w:vAlign w:val="center"/>
          </w:tcPr>
          <w:p w14:paraId="70846AD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按照报建项结算</w:t>
            </w:r>
          </w:p>
        </w:tc>
      </w:tr>
      <w:tr w14:paraId="2173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52D25E6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绿地现状调查</w:t>
            </w:r>
          </w:p>
        </w:tc>
        <w:tc>
          <w:tcPr>
            <w:tcW w:w="761" w:type="dxa"/>
            <w:vAlign w:val="center"/>
          </w:tcPr>
          <w:p w14:paraId="6B7D8A6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平米</w:t>
            </w:r>
          </w:p>
        </w:tc>
        <w:tc>
          <w:tcPr>
            <w:tcW w:w="1435" w:type="dxa"/>
            <w:vAlign w:val="center"/>
          </w:tcPr>
          <w:p w14:paraId="4A33BFED">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0.12元/㎡</w:t>
            </w:r>
          </w:p>
        </w:tc>
        <w:tc>
          <w:tcPr>
            <w:tcW w:w="4960" w:type="dxa"/>
            <w:vAlign w:val="center"/>
          </w:tcPr>
          <w:p w14:paraId="3E56C296">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提供绿地现状数据，执行园林局相关要求，并确保数据入库</w:t>
            </w:r>
          </w:p>
        </w:tc>
      </w:tr>
      <w:tr w14:paraId="2C14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718052E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变形测量</w:t>
            </w:r>
          </w:p>
        </w:tc>
        <w:tc>
          <w:tcPr>
            <w:tcW w:w="761" w:type="dxa"/>
            <w:vAlign w:val="center"/>
          </w:tcPr>
          <w:p w14:paraId="62F964BF">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点次</w:t>
            </w:r>
          </w:p>
        </w:tc>
        <w:tc>
          <w:tcPr>
            <w:tcW w:w="1435" w:type="dxa"/>
            <w:vAlign w:val="center"/>
          </w:tcPr>
          <w:p w14:paraId="149AE4E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110元</w:t>
            </w:r>
          </w:p>
        </w:tc>
        <w:tc>
          <w:tcPr>
            <w:tcW w:w="4960" w:type="dxa"/>
            <w:vAlign w:val="center"/>
          </w:tcPr>
          <w:p w14:paraId="154C52E1">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根据业主需要，提供现场建筑物沉降观测服务，不足8个点按8的点结算</w:t>
            </w:r>
          </w:p>
        </w:tc>
      </w:tr>
      <w:tr w14:paraId="5E51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1E898DCF">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基础地理数据转换</w:t>
            </w:r>
          </w:p>
        </w:tc>
        <w:tc>
          <w:tcPr>
            <w:tcW w:w="761" w:type="dxa"/>
            <w:vAlign w:val="center"/>
          </w:tcPr>
          <w:p w14:paraId="1E1209A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次</w:t>
            </w:r>
          </w:p>
        </w:tc>
        <w:tc>
          <w:tcPr>
            <w:tcW w:w="1435" w:type="dxa"/>
            <w:vAlign w:val="center"/>
          </w:tcPr>
          <w:p w14:paraId="3509222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0元/次</w:t>
            </w:r>
          </w:p>
        </w:tc>
        <w:tc>
          <w:tcPr>
            <w:tcW w:w="4960" w:type="dxa"/>
            <w:vAlign w:val="center"/>
          </w:tcPr>
          <w:p w14:paraId="3A6F63B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根据甲方报建需要，提供国土空间坐标系统转换服务</w:t>
            </w:r>
          </w:p>
        </w:tc>
      </w:tr>
      <w:tr w14:paraId="440E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72646E0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人防工程测绘</w:t>
            </w:r>
          </w:p>
        </w:tc>
        <w:tc>
          <w:tcPr>
            <w:tcW w:w="761" w:type="dxa"/>
            <w:vAlign w:val="center"/>
          </w:tcPr>
          <w:p w14:paraId="11DD603B">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平米</w:t>
            </w:r>
          </w:p>
        </w:tc>
        <w:tc>
          <w:tcPr>
            <w:tcW w:w="1435" w:type="dxa"/>
            <w:vAlign w:val="center"/>
          </w:tcPr>
          <w:p w14:paraId="74C163B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3元/㎡</w:t>
            </w:r>
          </w:p>
        </w:tc>
        <w:tc>
          <w:tcPr>
            <w:tcW w:w="4960" w:type="dxa"/>
            <w:vAlign w:val="center"/>
          </w:tcPr>
          <w:p w14:paraId="3A1B4ABB">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人防工程地理坐标、高程、各项面积指标及内部空间测量（苏防【2020】58号）及其他人防相关测量任务</w:t>
            </w:r>
          </w:p>
        </w:tc>
      </w:tr>
      <w:tr w14:paraId="4E37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06ED066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地下管线探测及入库</w:t>
            </w:r>
          </w:p>
        </w:tc>
        <w:tc>
          <w:tcPr>
            <w:tcW w:w="761" w:type="dxa"/>
            <w:vAlign w:val="center"/>
          </w:tcPr>
          <w:p w14:paraId="4E1C664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公里</w:t>
            </w:r>
          </w:p>
        </w:tc>
        <w:tc>
          <w:tcPr>
            <w:tcW w:w="1435" w:type="dxa"/>
            <w:vAlign w:val="center"/>
          </w:tcPr>
          <w:p w14:paraId="328C941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500</w:t>
            </w:r>
            <w:r>
              <w:rPr>
                <w:rFonts w:hint="eastAsia" w:ascii="宋体" w:hAnsi="宋体" w:cs="宋体"/>
                <w:color w:val="auto"/>
                <w:sz w:val="24"/>
                <w:szCs w:val="24"/>
                <w:highlight w:val="none"/>
              </w:rPr>
              <w:t>元/公里</w:t>
            </w:r>
          </w:p>
        </w:tc>
        <w:tc>
          <w:tcPr>
            <w:tcW w:w="4960" w:type="dxa"/>
            <w:vAlign w:val="center"/>
          </w:tcPr>
          <w:p w14:paraId="561A68E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对项目进行管线探测，并根据项目需求对接市资规局完成管线入库工作，如涉及到陀螺仪管线探测，费用另行协商</w:t>
            </w:r>
          </w:p>
        </w:tc>
      </w:tr>
    </w:tbl>
    <w:p w14:paraId="4337ECAD">
      <w:pPr>
        <w:adjustRightInd w:val="0"/>
        <w:snapToGrid w:val="0"/>
        <w:spacing w:line="360" w:lineRule="auto"/>
        <w:ind w:firstLine="54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15.4绿地现状调查相关说明</w:t>
      </w:r>
    </w:p>
    <w:p w14:paraId="537F8CA7">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30" w:name="_Toc164100509"/>
      <w:r>
        <w:rPr>
          <w:rFonts w:hint="eastAsia" w:ascii="宋体" w:hAnsi="宋体" w:cs="宋体"/>
          <w:b w:val="0"/>
          <w:bCs w:val="0"/>
          <w:color w:val="auto"/>
          <w:sz w:val="24"/>
          <w:szCs w:val="24"/>
          <w:highlight w:val="none"/>
        </w:rPr>
        <w:t>15.4.1单元绿地指单个公园、小游园、防护绿地、生产绿地、居住区绿地、停车场绿地等。</w:t>
      </w:r>
      <w:bookmarkEnd w:id="30"/>
    </w:p>
    <w:p w14:paraId="5F43BA68">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31" w:name="_Toc164100510"/>
      <w:r>
        <w:rPr>
          <w:rFonts w:hint="eastAsia" w:ascii="宋体" w:hAnsi="宋体" w:cs="宋体"/>
          <w:b w:val="0"/>
          <w:bCs w:val="0"/>
          <w:color w:val="auto"/>
          <w:sz w:val="24"/>
          <w:szCs w:val="24"/>
          <w:highlight w:val="none"/>
        </w:rPr>
        <w:t>15.4.2绿地分类参考《城市绿地分类标准》（CJJ/T 85-2017）</w:t>
      </w:r>
      <w:bookmarkEnd w:id="31"/>
    </w:p>
    <w:p w14:paraId="44531C85">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32" w:name="_Toc164100511"/>
      <w:r>
        <w:rPr>
          <w:rFonts w:hint="eastAsia" w:ascii="宋体" w:hAnsi="宋体" w:cs="宋体"/>
          <w:b w:val="0"/>
          <w:bCs w:val="0"/>
          <w:color w:val="auto"/>
          <w:sz w:val="24"/>
          <w:szCs w:val="24"/>
          <w:highlight w:val="none"/>
        </w:rPr>
        <w:t>15.4.3相关指标、术语详见《城市园林绿化评价标准》（GB/T50563-2010）</w:t>
      </w:r>
      <w:bookmarkEnd w:id="32"/>
    </w:p>
    <w:p w14:paraId="4379F401">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33" w:name="_Toc164100512"/>
      <w:r>
        <w:rPr>
          <w:rFonts w:hint="eastAsia" w:ascii="宋体" w:hAnsi="宋体" w:cs="宋体"/>
          <w:b w:val="0"/>
          <w:bCs w:val="0"/>
          <w:color w:val="auto"/>
          <w:sz w:val="24"/>
          <w:szCs w:val="24"/>
          <w:highlight w:val="none"/>
        </w:rPr>
        <w:t>15.4.4调查对象：南通市崇川区城市工程建设管理中心实施的各类绿地或绿化项目。</w:t>
      </w:r>
      <w:bookmarkEnd w:id="33"/>
    </w:p>
    <w:p w14:paraId="3892B476">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34" w:name="_Toc164100513"/>
      <w:r>
        <w:rPr>
          <w:rFonts w:hint="eastAsia" w:ascii="宋体" w:hAnsi="宋体" w:cs="宋体"/>
          <w:b w:val="0"/>
          <w:bCs w:val="0"/>
          <w:color w:val="auto"/>
          <w:sz w:val="24"/>
          <w:szCs w:val="24"/>
          <w:highlight w:val="none"/>
        </w:rPr>
        <w:t>15.4.5利用2018年最新遥感图计算出各类绿地的绿化覆盖面积和各类绿地绿化覆盖面积中乔、灌木的垂直投影面积，南通市绿化覆盖面积和南通市绿化覆盖面积中乔、灌木的垂直投影面积，林荫路、公园绿地服务半径覆盖率等数据。对于遥感影像中被遮挡的绿地，经现场核实补测后计入相应类型绿地的面积，并注明实际情况。</w:t>
      </w:r>
      <w:bookmarkEnd w:id="34"/>
    </w:p>
    <w:p w14:paraId="6F21F47F">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35" w:name="_Toc164100514"/>
      <w:r>
        <w:rPr>
          <w:rFonts w:hint="eastAsia" w:ascii="宋体" w:hAnsi="宋体" w:cs="宋体"/>
          <w:b w:val="0"/>
          <w:bCs w:val="0"/>
          <w:color w:val="auto"/>
          <w:sz w:val="24"/>
          <w:szCs w:val="24"/>
          <w:highlight w:val="none"/>
        </w:rPr>
        <w:t>15.4.6各单元绿地图上古树名木、行道树、大树、其他乔木准确定位：其中公园、风景林地的河边或山上胸径小于20cm野生的自然林木树种无需准确定位，只要求统计品种，数量；人工种植的树木应准确定位；绿篱、色块形状规则的四址要准确定位，形状不规则的外形要与现状一致；四季草花不区分品种，记录为“四季草花”。</w:t>
      </w:r>
      <w:bookmarkEnd w:id="35"/>
    </w:p>
    <w:p w14:paraId="04AD9FFB">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36" w:name="_Toc164100515"/>
      <w:r>
        <w:rPr>
          <w:rFonts w:hint="eastAsia" w:ascii="宋体" w:hAnsi="宋体" w:cs="宋体"/>
          <w:b w:val="0"/>
          <w:bCs w:val="0"/>
          <w:color w:val="auto"/>
          <w:sz w:val="24"/>
          <w:szCs w:val="24"/>
          <w:highlight w:val="none"/>
        </w:rPr>
        <w:t>15.4.7各类绿地绿化情况统计、汇总统计等各类表格由投标单位提供，各类指标相关计算过程表格由中标人自行设计，验收时一并提交。</w:t>
      </w:r>
      <w:bookmarkEnd w:id="36"/>
    </w:p>
    <w:p w14:paraId="13DF0CC5">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37" w:name="_Toc164100516"/>
      <w:r>
        <w:rPr>
          <w:rFonts w:hint="eastAsia" w:ascii="宋体" w:hAnsi="宋体" w:cs="宋体"/>
          <w:b w:val="0"/>
          <w:bCs w:val="0"/>
          <w:color w:val="auto"/>
          <w:sz w:val="24"/>
          <w:szCs w:val="24"/>
          <w:highlight w:val="none"/>
        </w:rPr>
        <w:t>15.4.8孤树的绿化占地面积指树池占地面积，没有树池的乔木统一按1平米计、灌木按实际占地面积调查；道路绿地中的行道树绿地面积应按照单排1.5m的宽度乘以连续的行道树长度计算，对于乔木下成带状配置地被植物，宽度大于1.5m的行道树绿带按照实际宽度计。</w:t>
      </w:r>
      <w:bookmarkEnd w:id="37"/>
    </w:p>
    <w:p w14:paraId="6EF997F6">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38" w:name="_Toc164100517"/>
      <w:r>
        <w:rPr>
          <w:rFonts w:hint="eastAsia" w:ascii="宋体" w:hAnsi="宋体" w:cs="宋体"/>
          <w:b w:val="0"/>
          <w:bCs w:val="0"/>
          <w:color w:val="auto"/>
          <w:sz w:val="24"/>
          <w:szCs w:val="24"/>
          <w:highlight w:val="none"/>
        </w:rPr>
        <w:t>15.4.9公园面积严格按照《公园设计规范》（GB 51192-2016）关于绿化占地比例≥65%的规定进行计算，符合规定的公园面积全部计入公园绿地面积，不符合规定的公园按照实际绿化面积计入公园绿地面积。</w:t>
      </w:r>
      <w:bookmarkEnd w:id="38"/>
      <w:r>
        <w:rPr>
          <w:rFonts w:hint="eastAsia" w:ascii="宋体" w:hAnsi="宋体" w:cs="宋体"/>
          <w:b w:val="0"/>
          <w:bCs w:val="0"/>
          <w:color w:val="auto"/>
          <w:sz w:val="24"/>
          <w:szCs w:val="24"/>
          <w:highlight w:val="none"/>
        </w:rPr>
        <w:t xml:space="preserve"> </w:t>
      </w:r>
    </w:p>
    <w:p w14:paraId="7847B39F">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39" w:name="_Toc164100518"/>
      <w:r>
        <w:rPr>
          <w:rFonts w:hint="eastAsia" w:ascii="宋体" w:hAnsi="宋体" w:cs="宋体"/>
          <w:b w:val="0"/>
          <w:bCs w:val="0"/>
          <w:color w:val="auto"/>
          <w:sz w:val="24"/>
          <w:szCs w:val="24"/>
          <w:highlight w:val="none"/>
        </w:rPr>
        <w:t>15.4.10城市绿地内水面在特定条件下可纳入绿地范畴，具体按以下几种情况统计：</w:t>
      </w:r>
      <w:bookmarkEnd w:id="39"/>
      <w:r>
        <w:rPr>
          <w:rFonts w:hint="eastAsia" w:ascii="宋体" w:hAnsi="宋体" w:cs="宋体"/>
          <w:b w:val="0"/>
          <w:bCs w:val="0"/>
          <w:color w:val="auto"/>
          <w:sz w:val="24"/>
          <w:szCs w:val="24"/>
          <w:highlight w:val="none"/>
        </w:rPr>
        <w:t xml:space="preserve"> </w:t>
      </w:r>
    </w:p>
    <w:p w14:paraId="71C2D352">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40" w:name="_Toc164100519"/>
      <w:r>
        <w:rPr>
          <w:rFonts w:hint="eastAsia" w:ascii="宋体" w:hAnsi="宋体" w:cs="宋体"/>
          <w:b w:val="0"/>
          <w:bCs w:val="0"/>
          <w:color w:val="auto"/>
          <w:sz w:val="24"/>
          <w:szCs w:val="24"/>
          <w:highlight w:val="none"/>
        </w:rPr>
        <w:t>15.4.10.1公园内符合《公园设计规范》（GB 51192-2016）园内用地比例要求（绿化用地比例≥65%）的水面，水面全部计入公园绿地面积和绿化覆盖面积；</w:t>
      </w:r>
      <w:bookmarkEnd w:id="40"/>
      <w:r>
        <w:rPr>
          <w:rFonts w:hint="eastAsia" w:ascii="宋体" w:hAnsi="宋体" w:cs="宋体"/>
          <w:b w:val="0"/>
          <w:bCs w:val="0"/>
          <w:color w:val="auto"/>
          <w:sz w:val="24"/>
          <w:szCs w:val="24"/>
          <w:highlight w:val="none"/>
        </w:rPr>
        <w:t xml:space="preserve"> </w:t>
      </w:r>
    </w:p>
    <w:p w14:paraId="5A31D4AB">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41" w:name="_Toc164100520"/>
      <w:r>
        <w:rPr>
          <w:rFonts w:hint="eastAsia" w:ascii="宋体" w:hAnsi="宋体" w:cs="宋体"/>
          <w:b w:val="0"/>
          <w:bCs w:val="0"/>
          <w:color w:val="auto"/>
          <w:sz w:val="24"/>
          <w:szCs w:val="24"/>
          <w:highlight w:val="none"/>
        </w:rPr>
        <w:t>15.4.10.2城市内部河流，沿岸（单岸）绿化带宽度&lt;30米，水面不计入绿地面积和绿化覆盖面积；</w:t>
      </w:r>
      <w:bookmarkEnd w:id="41"/>
    </w:p>
    <w:p w14:paraId="44B882E8">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42" w:name="_Toc164100521"/>
      <w:r>
        <w:rPr>
          <w:rFonts w:hint="eastAsia" w:ascii="宋体" w:hAnsi="宋体" w:cs="宋体"/>
          <w:b w:val="0"/>
          <w:bCs w:val="0"/>
          <w:color w:val="auto"/>
          <w:sz w:val="24"/>
          <w:szCs w:val="24"/>
          <w:highlight w:val="none"/>
        </w:rPr>
        <w:t>15.4.10.3城市内部河流，沿岸（单岸）种植植物形成宽度≥30米的滨水公园绿地，水面面积≤滨水绿地面积的50%，水面全部计入公园绿地面积，不计入绿化覆盖面积；水面面积＞滨水绿地面积的50%，水面按滨水绿地面积的50%计入公园绿地面积，不计入绿化覆盖面积。</w:t>
      </w:r>
      <w:bookmarkEnd w:id="42"/>
      <w:r>
        <w:rPr>
          <w:rFonts w:hint="eastAsia" w:ascii="宋体" w:hAnsi="宋体" w:cs="宋体"/>
          <w:b w:val="0"/>
          <w:bCs w:val="0"/>
          <w:color w:val="auto"/>
          <w:sz w:val="24"/>
          <w:szCs w:val="24"/>
          <w:highlight w:val="none"/>
        </w:rPr>
        <w:t xml:space="preserve"> </w:t>
      </w:r>
    </w:p>
    <w:p w14:paraId="7582CF80">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43" w:name="_Toc164100522"/>
      <w:r>
        <w:rPr>
          <w:rFonts w:hint="eastAsia" w:ascii="宋体" w:hAnsi="宋体" w:cs="宋体"/>
          <w:b w:val="0"/>
          <w:bCs w:val="0"/>
          <w:color w:val="auto"/>
          <w:sz w:val="24"/>
          <w:szCs w:val="24"/>
          <w:highlight w:val="none"/>
        </w:rPr>
        <w:t>15.4.10.4城市内部湖泊，沿岸种植植物形成1000平方米以上的滨水公园绿地，水面面积≤滨水绿地面积的50%，水面全部计入公园绿地面积，不计入绿化覆盖面积；水面面积＞滨水绿地面积的50%，水面按滨水绿地面积的50%计入公园绿地面积，不计入绿化覆盖面积。</w:t>
      </w:r>
      <w:bookmarkEnd w:id="43"/>
      <w:r>
        <w:rPr>
          <w:rFonts w:hint="eastAsia" w:ascii="宋体" w:hAnsi="宋体" w:cs="宋体"/>
          <w:b w:val="0"/>
          <w:bCs w:val="0"/>
          <w:color w:val="auto"/>
          <w:sz w:val="24"/>
          <w:szCs w:val="24"/>
          <w:highlight w:val="none"/>
        </w:rPr>
        <w:t xml:space="preserve"> </w:t>
      </w:r>
    </w:p>
    <w:p w14:paraId="365F5DCF">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44" w:name="_Toc164100523"/>
      <w:r>
        <w:rPr>
          <w:rFonts w:hint="eastAsia" w:ascii="宋体" w:hAnsi="宋体" w:cs="宋体"/>
          <w:b w:val="0"/>
          <w:bCs w:val="0"/>
          <w:color w:val="auto"/>
          <w:sz w:val="24"/>
          <w:szCs w:val="24"/>
          <w:highlight w:val="none"/>
        </w:rPr>
        <w:t>15.4.11公园以外的各类运动场地，不计入绿地率，按照实际绿化情况计入绿化覆盖率。高尔夫球场除外，既不计入绿地率，也不计入绿化覆盖率。</w:t>
      </w:r>
      <w:bookmarkEnd w:id="44"/>
      <w:r>
        <w:rPr>
          <w:rFonts w:hint="eastAsia" w:ascii="宋体" w:hAnsi="宋体" w:cs="宋体"/>
          <w:b w:val="0"/>
          <w:bCs w:val="0"/>
          <w:color w:val="auto"/>
          <w:sz w:val="24"/>
          <w:szCs w:val="24"/>
          <w:highlight w:val="none"/>
        </w:rPr>
        <w:t xml:space="preserve"> </w:t>
      </w:r>
    </w:p>
    <w:p w14:paraId="039E8EDE">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45" w:name="_Toc164100524"/>
      <w:r>
        <w:rPr>
          <w:rFonts w:hint="eastAsia" w:ascii="宋体" w:hAnsi="宋体" w:cs="宋体"/>
          <w:b w:val="0"/>
          <w:bCs w:val="0"/>
          <w:color w:val="auto"/>
          <w:sz w:val="24"/>
          <w:szCs w:val="24"/>
          <w:highlight w:val="none"/>
        </w:rPr>
        <w:t>15.4.12立体绿化不计入绿地率，按照植被垂直投影面积计入绿化覆盖率；竹类纳入灌木统计。</w:t>
      </w:r>
      <w:bookmarkEnd w:id="45"/>
      <w:r>
        <w:rPr>
          <w:rFonts w:hint="eastAsia" w:ascii="宋体" w:hAnsi="宋体" w:cs="宋体"/>
          <w:b w:val="0"/>
          <w:bCs w:val="0"/>
          <w:color w:val="auto"/>
          <w:sz w:val="24"/>
          <w:szCs w:val="24"/>
          <w:highlight w:val="none"/>
        </w:rPr>
        <w:t xml:space="preserve"> </w:t>
      </w:r>
    </w:p>
    <w:p w14:paraId="74DB84C1">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46" w:name="_Toc164100525"/>
      <w:r>
        <w:rPr>
          <w:rFonts w:hint="eastAsia" w:ascii="宋体" w:hAnsi="宋体" w:cs="宋体"/>
          <w:b w:val="0"/>
          <w:bCs w:val="0"/>
          <w:color w:val="auto"/>
          <w:sz w:val="24"/>
          <w:szCs w:val="24"/>
          <w:highlight w:val="none"/>
        </w:rPr>
        <w:t>15.4.13乔木胸径测量按四舍五入法精确到1cm，以3cm为一个径级组即1-3cm、4-6cm、7-9cm、10-12cm、13-15cm、…，分级统计；单独的灌木球蓬径测量按四舍五入法精确到10cm，以50cm为一个径级组即10-50cm、60-100cm、110-150cm、160-200cm、…，分级统计；成片的乔木应根据不同品种，划分明显分界线，并注明品种、规格、数量，并附相关说明（如高度、面积等）；成片灌木应根据不同品种，划分明显分界线，并注明品种、规格、面积，成片水生植物应根据不同品种，划分明显分界线，并注明品种、面积。如绿地中有缺株现象或长势较差应做相应说明，杂草不纳入绿化统计。</w:t>
      </w:r>
      <w:bookmarkEnd w:id="46"/>
    </w:p>
    <w:p w14:paraId="2480E377">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47" w:name="_Toc164100526"/>
      <w:r>
        <w:rPr>
          <w:rFonts w:hint="eastAsia" w:ascii="宋体" w:hAnsi="宋体" w:cs="宋体"/>
          <w:b w:val="0"/>
          <w:bCs w:val="0"/>
          <w:color w:val="auto"/>
          <w:sz w:val="24"/>
          <w:szCs w:val="24"/>
          <w:highlight w:val="none"/>
        </w:rPr>
        <w:t>15.4.14坐标系统：2000国家大地坐标系。将2014年普查成果数据转换成2000国家大地坐标系。</w:t>
      </w:r>
      <w:bookmarkEnd w:id="47"/>
    </w:p>
    <w:p w14:paraId="7FA30FBD">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48" w:name="_Toc164100527"/>
      <w:r>
        <w:rPr>
          <w:rFonts w:hint="eastAsia" w:ascii="宋体" w:hAnsi="宋体" w:cs="宋体"/>
          <w:b w:val="0"/>
          <w:bCs w:val="0"/>
          <w:color w:val="auto"/>
          <w:sz w:val="24"/>
          <w:szCs w:val="24"/>
          <w:highlight w:val="none"/>
        </w:rPr>
        <w:t>15.4.15调查结束后初验收、最终验收的所有成果均提供电子稿（CAD图，并制作成光盘）一式三份。</w:t>
      </w:r>
      <w:bookmarkEnd w:id="48"/>
    </w:p>
    <w:p w14:paraId="2D9FB8C0">
      <w:pPr>
        <w:adjustRightInd w:val="0"/>
        <w:snapToGrid w:val="0"/>
        <w:spacing w:line="360" w:lineRule="auto"/>
        <w:ind w:firstLine="480" w:firstLineChars="200"/>
        <w:rPr>
          <w:rFonts w:hint="eastAsia" w:ascii="宋体" w:hAnsi="宋体" w:cs="宋体"/>
          <w:b w:val="0"/>
          <w:bCs w:val="0"/>
          <w:color w:val="auto"/>
          <w:sz w:val="24"/>
          <w:szCs w:val="24"/>
          <w:highlight w:val="none"/>
        </w:rPr>
      </w:pPr>
      <w:bookmarkStart w:id="49" w:name="_Toc164100528"/>
      <w:r>
        <w:rPr>
          <w:rFonts w:hint="eastAsia" w:ascii="宋体" w:hAnsi="宋体" w:cs="宋体"/>
          <w:b w:val="0"/>
          <w:bCs w:val="0"/>
          <w:color w:val="auto"/>
          <w:sz w:val="24"/>
          <w:szCs w:val="24"/>
          <w:highlight w:val="none"/>
        </w:rPr>
        <w:t>15.4.16现状调查成果不得向第三方泄密，不得提供给第三方使用。</w:t>
      </w:r>
      <w:bookmarkEnd w:id="49"/>
    </w:p>
    <w:p w14:paraId="637F7796">
      <w:pPr>
        <w:adjustRightInd w:val="0"/>
        <w:snapToGrid w:val="0"/>
        <w:spacing w:line="360" w:lineRule="auto"/>
        <w:jc w:val="center"/>
        <w:outlineLvl w:val="2"/>
        <w:rPr>
          <w:rFonts w:hint="eastAsia" w:ascii="宋体" w:hAnsi="宋体" w:cs="宋体"/>
          <w:b/>
          <w:color w:val="auto"/>
          <w:sz w:val="32"/>
          <w:szCs w:val="32"/>
          <w:highlight w:val="none"/>
        </w:rPr>
      </w:pPr>
      <w:bookmarkStart w:id="50" w:name="_Toc6900"/>
      <w:bookmarkStart w:id="51" w:name="_Toc27195"/>
      <w:r>
        <w:rPr>
          <w:rFonts w:hint="eastAsia" w:ascii="宋体" w:hAnsi="宋体" w:cs="宋体"/>
          <w:b/>
          <w:color w:val="auto"/>
          <w:sz w:val="32"/>
          <w:szCs w:val="32"/>
          <w:highlight w:val="none"/>
        </w:rPr>
        <w:t>（五）投标文件的递交</w:t>
      </w:r>
      <w:bookmarkEnd w:id="50"/>
      <w:bookmarkEnd w:id="51"/>
    </w:p>
    <w:p w14:paraId="2C1BAD87">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16、投标文件的密封与标志</w:t>
      </w:r>
      <w:bookmarkStart w:id="52" w:name="_Toc2861272"/>
    </w:p>
    <w:p w14:paraId="3CDCED6F">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16.1投标文件的</w:t>
      </w:r>
      <w:r>
        <w:rPr>
          <w:rFonts w:hint="eastAsia" w:ascii="宋体" w:hAnsi="宋体" w:cs="宋体"/>
          <w:b/>
          <w:bCs/>
          <w:color w:val="auto"/>
          <w:sz w:val="24"/>
          <w:szCs w:val="24"/>
          <w:highlight w:val="none"/>
        </w:rPr>
        <w:t>资格审查文件、商务标、电子投标文件</w:t>
      </w:r>
      <w:r>
        <w:rPr>
          <w:rFonts w:hint="eastAsia" w:ascii="宋体" w:hAnsi="宋体" w:cs="宋体"/>
          <w:bCs/>
          <w:color w:val="auto"/>
          <w:sz w:val="24"/>
          <w:szCs w:val="24"/>
          <w:highlight w:val="none"/>
        </w:rPr>
        <w:t>须分别密封。</w:t>
      </w:r>
      <w:bookmarkEnd w:id="52"/>
    </w:p>
    <w:p w14:paraId="028D898E">
      <w:pPr>
        <w:adjustRightInd w:val="0"/>
        <w:snapToGrid w:val="0"/>
        <w:spacing w:line="360" w:lineRule="auto"/>
        <w:ind w:firstLine="472" w:firstLineChars="196"/>
        <w:rPr>
          <w:rFonts w:hint="eastAsia" w:ascii="宋体" w:hAnsi="宋体" w:cs="宋体"/>
          <w:b/>
          <w:color w:val="auto"/>
          <w:sz w:val="24"/>
          <w:szCs w:val="24"/>
          <w:highlight w:val="none"/>
        </w:rPr>
      </w:pPr>
      <w:r>
        <w:rPr>
          <w:rFonts w:hint="eastAsia" w:ascii="宋体" w:hAnsi="宋体" w:cs="宋体"/>
          <w:b/>
          <w:bCs/>
          <w:color w:val="auto"/>
          <w:sz w:val="24"/>
          <w:szCs w:val="24"/>
          <w:highlight w:val="none"/>
        </w:rPr>
        <w:t>资格审查文件、商务标均</w:t>
      </w:r>
      <w:r>
        <w:rPr>
          <w:rFonts w:hint="eastAsia" w:ascii="宋体" w:hAnsi="宋体" w:cs="宋体"/>
          <w:b/>
          <w:color w:val="auto"/>
          <w:sz w:val="24"/>
          <w:szCs w:val="24"/>
          <w:highlight w:val="none"/>
        </w:rPr>
        <w:t>壹式</w:t>
      </w:r>
      <w:r>
        <w:rPr>
          <w:rFonts w:hint="eastAsia" w:ascii="宋体" w:hAnsi="宋体" w:cs="宋体"/>
          <w:b/>
          <w:color w:val="auto"/>
          <w:sz w:val="24"/>
          <w:szCs w:val="24"/>
          <w:highlight w:val="none"/>
          <w:u w:val="single"/>
        </w:rPr>
        <w:t xml:space="preserve"> 叁 </w:t>
      </w:r>
      <w:r>
        <w:rPr>
          <w:rFonts w:hint="eastAsia" w:ascii="宋体" w:hAnsi="宋体" w:cs="宋体"/>
          <w:b/>
          <w:color w:val="auto"/>
          <w:sz w:val="24"/>
          <w:szCs w:val="24"/>
          <w:highlight w:val="none"/>
        </w:rPr>
        <w:t>份，其中正本</w:t>
      </w:r>
      <w:r>
        <w:rPr>
          <w:rFonts w:hint="eastAsia" w:ascii="宋体" w:hAnsi="宋体" w:cs="宋体"/>
          <w:b/>
          <w:color w:val="auto"/>
          <w:sz w:val="24"/>
          <w:szCs w:val="24"/>
          <w:highlight w:val="none"/>
          <w:u w:val="single"/>
        </w:rPr>
        <w:t xml:space="preserve">  壹  </w:t>
      </w:r>
      <w:r>
        <w:rPr>
          <w:rFonts w:hint="eastAsia" w:ascii="宋体" w:hAnsi="宋体" w:cs="宋体"/>
          <w:b/>
          <w:color w:val="auto"/>
          <w:sz w:val="24"/>
          <w:szCs w:val="24"/>
          <w:highlight w:val="none"/>
        </w:rPr>
        <w:t>份，副本</w:t>
      </w:r>
      <w:r>
        <w:rPr>
          <w:rFonts w:hint="eastAsia" w:ascii="宋体" w:hAnsi="宋体" w:cs="宋体"/>
          <w:b/>
          <w:color w:val="auto"/>
          <w:sz w:val="24"/>
          <w:szCs w:val="24"/>
          <w:highlight w:val="none"/>
          <w:u w:val="single"/>
          <w:lang w:val="en-US" w:eastAsia="zh-CN"/>
        </w:rPr>
        <w:t xml:space="preserve"> </w:t>
      </w:r>
      <w:r>
        <w:rPr>
          <w:rFonts w:hint="eastAsia" w:ascii="宋体" w:hAnsi="宋体" w:cs="宋体"/>
          <w:b/>
          <w:color w:val="auto"/>
          <w:sz w:val="24"/>
          <w:szCs w:val="24"/>
          <w:highlight w:val="none"/>
          <w:u w:val="single"/>
        </w:rPr>
        <w:t xml:space="preserve">贰 </w:t>
      </w:r>
      <w:r>
        <w:rPr>
          <w:rFonts w:hint="eastAsia" w:ascii="宋体" w:hAnsi="宋体" w:cs="宋体"/>
          <w:b/>
          <w:color w:val="auto"/>
          <w:sz w:val="24"/>
          <w:szCs w:val="24"/>
          <w:highlight w:val="none"/>
        </w:rPr>
        <w:t>份，并分别标明“正本”或“副本”字样。</w:t>
      </w:r>
      <w:r>
        <w:rPr>
          <w:rFonts w:hint="eastAsia" w:ascii="宋体" w:hAnsi="宋体" w:cs="宋体"/>
          <w:b/>
          <w:bCs/>
          <w:color w:val="auto"/>
          <w:sz w:val="24"/>
          <w:highlight w:val="none"/>
        </w:rPr>
        <w:t>“电子投标文件”只需提供</w:t>
      </w:r>
      <w:r>
        <w:rPr>
          <w:rFonts w:hint="eastAsia" w:ascii="宋体" w:hAnsi="宋体" w:cs="宋体"/>
          <w:b/>
          <w:bCs/>
          <w:color w:val="auto"/>
          <w:sz w:val="24"/>
          <w:highlight w:val="none"/>
          <w:u w:val="single"/>
        </w:rPr>
        <w:t>壹份</w:t>
      </w:r>
      <w:r>
        <w:rPr>
          <w:rFonts w:hint="eastAsia" w:ascii="宋体" w:hAnsi="宋体" w:cs="宋体"/>
          <w:b/>
          <w:bCs/>
          <w:color w:val="auto"/>
          <w:sz w:val="24"/>
          <w:highlight w:val="none"/>
        </w:rPr>
        <w:t>。</w:t>
      </w:r>
    </w:p>
    <w:p w14:paraId="0AE2B1FB">
      <w:pPr>
        <w:adjustRightInd w:val="0"/>
        <w:snapToGrid w:val="0"/>
        <w:spacing w:line="360" w:lineRule="auto"/>
        <w:ind w:firstLine="472" w:firstLineChars="196"/>
        <w:rPr>
          <w:rFonts w:hint="eastAsia" w:ascii="宋体" w:hAnsi="宋体" w:cs="宋体"/>
          <w:color w:val="auto"/>
          <w:sz w:val="24"/>
          <w:szCs w:val="24"/>
          <w:highlight w:val="none"/>
        </w:rPr>
      </w:pPr>
      <w:bookmarkStart w:id="53" w:name="_Toc2861273"/>
      <w:r>
        <w:rPr>
          <w:rFonts w:hint="eastAsia" w:ascii="宋体" w:hAnsi="宋体" w:cs="宋体"/>
          <w:b/>
          <w:color w:val="auto"/>
          <w:sz w:val="24"/>
          <w:szCs w:val="24"/>
          <w:highlight w:val="none"/>
        </w:rPr>
        <w:t>16.2资格审查文件应装订成册，统一密封包装，</w:t>
      </w:r>
      <w:bookmarkEnd w:id="53"/>
      <w:bookmarkStart w:id="54" w:name="_Toc2861274"/>
      <w:r>
        <w:rPr>
          <w:rFonts w:hint="eastAsia" w:ascii="宋体" w:hAnsi="宋体" w:cs="宋体"/>
          <w:b/>
          <w:color w:val="auto"/>
          <w:sz w:val="24"/>
          <w:szCs w:val="24"/>
          <w:highlight w:val="none"/>
        </w:rPr>
        <w:t xml:space="preserve">并在封袋上加盖投标人单位公章和法定代表人签字或盖章，另须在封袋上标明“资格审查文件”同时还要写明项目名称及投标人名称。  </w:t>
      </w:r>
    </w:p>
    <w:p w14:paraId="35D28FCD">
      <w:pPr>
        <w:adjustRightInd w:val="0"/>
        <w:snapToGrid w:val="0"/>
        <w:spacing w:line="360" w:lineRule="auto"/>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16.3商务标应装订成册，统一密封包装，</w:t>
      </w:r>
      <w:bookmarkEnd w:id="54"/>
      <w:r>
        <w:rPr>
          <w:rFonts w:hint="eastAsia" w:ascii="宋体" w:hAnsi="宋体" w:cs="宋体"/>
          <w:b/>
          <w:color w:val="auto"/>
          <w:sz w:val="24"/>
          <w:szCs w:val="24"/>
          <w:highlight w:val="none"/>
        </w:rPr>
        <w:t xml:space="preserve">并在封袋上加盖投标人单位公章和法定代表人签字或盖章，另须在封袋上标明 “商务标”同时还要写明项目名称及投标人名称。  </w:t>
      </w:r>
    </w:p>
    <w:p w14:paraId="69E37CFC">
      <w:pPr>
        <w:adjustRightInd w:val="0"/>
        <w:snapToGrid w:val="0"/>
        <w:spacing w:line="360" w:lineRule="auto"/>
        <w:ind w:firstLine="472" w:firstLineChars="196"/>
        <w:rPr>
          <w:rFonts w:hint="eastAsia" w:ascii="宋体" w:hAnsi="宋体" w:cs="宋体"/>
          <w:bCs/>
          <w:color w:val="auto"/>
          <w:sz w:val="24"/>
          <w:szCs w:val="24"/>
          <w:highlight w:val="none"/>
        </w:rPr>
      </w:pPr>
      <w:r>
        <w:rPr>
          <w:rFonts w:hint="eastAsia" w:ascii="宋体" w:hAnsi="宋体" w:cs="宋体"/>
          <w:b/>
          <w:color w:val="auto"/>
          <w:sz w:val="24"/>
          <w:szCs w:val="24"/>
          <w:highlight w:val="none"/>
        </w:rPr>
        <w:t>16.4</w:t>
      </w:r>
      <w:r>
        <w:rPr>
          <w:rFonts w:hint="eastAsia" w:ascii="宋体" w:hAnsi="宋体" w:cs="宋体"/>
          <w:b/>
          <w:bCs/>
          <w:color w:val="auto"/>
          <w:sz w:val="24"/>
          <w:highlight w:val="none"/>
        </w:rPr>
        <w:t>电子投标文件</w:t>
      </w:r>
      <w:r>
        <w:rPr>
          <w:rFonts w:ascii="宋体" w:hAnsi="宋体" w:cs="宋体"/>
          <w:b/>
          <w:bCs/>
          <w:color w:val="auto"/>
          <w:sz w:val="24"/>
          <w:szCs w:val="24"/>
          <w:highlight w:val="none"/>
        </w:rPr>
        <w:t>刻录在U盘上，</w:t>
      </w:r>
      <w:r>
        <w:rPr>
          <w:rFonts w:hint="eastAsia" w:ascii="宋体" w:hAnsi="宋体" w:cs="宋体"/>
          <w:b/>
          <w:color w:val="auto"/>
          <w:sz w:val="24"/>
          <w:szCs w:val="24"/>
          <w:highlight w:val="none"/>
        </w:rPr>
        <w:t>密封包装，并在封袋上加盖投标人单位公章和法定代表人签字或盖章，另须在封袋上标明 “</w:t>
      </w:r>
      <w:r>
        <w:rPr>
          <w:rFonts w:hint="eastAsia" w:ascii="宋体" w:hAnsi="宋体" w:cs="宋体"/>
          <w:b/>
          <w:bCs/>
          <w:color w:val="auto"/>
          <w:sz w:val="24"/>
          <w:highlight w:val="none"/>
        </w:rPr>
        <w:t>电子投标文件</w:t>
      </w:r>
      <w:r>
        <w:rPr>
          <w:rFonts w:hint="eastAsia" w:ascii="宋体" w:hAnsi="宋体" w:cs="宋体"/>
          <w:b/>
          <w:color w:val="auto"/>
          <w:sz w:val="24"/>
          <w:szCs w:val="24"/>
          <w:highlight w:val="none"/>
        </w:rPr>
        <w:t>”同时还要写明项目名称及投标人名称。</w:t>
      </w:r>
    </w:p>
    <w:p w14:paraId="573EB214">
      <w:pPr>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bCs/>
          <w:color w:val="auto"/>
          <w:sz w:val="24"/>
          <w:szCs w:val="24"/>
          <w:highlight w:val="none"/>
        </w:rPr>
        <w:t>16.5投标人未按上述规定提交投标文件，其投标文件将被拒绝，并退还给投标人。</w:t>
      </w:r>
    </w:p>
    <w:p w14:paraId="1B427DA3">
      <w:pPr>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bCs/>
          <w:color w:val="auto"/>
          <w:sz w:val="24"/>
          <w:szCs w:val="24"/>
          <w:highlight w:val="none"/>
        </w:rPr>
        <w:t>16.6</w:t>
      </w:r>
      <w:r>
        <w:rPr>
          <w:rFonts w:hint="eastAsia" w:ascii="宋体" w:hAnsi="宋体" w:cs="宋体"/>
          <w:snapToGrid w:val="0"/>
          <w:color w:val="auto"/>
          <w:sz w:val="24"/>
          <w:szCs w:val="24"/>
          <w:highlight w:val="none"/>
        </w:rPr>
        <w:t>投标文件正、副本不一致时，以正本为准。</w:t>
      </w:r>
    </w:p>
    <w:p w14:paraId="60DA9DEB">
      <w:pPr>
        <w:adjustRightInd w:val="0"/>
        <w:snapToGrid w:val="0"/>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17、投标文件的递交</w:t>
      </w:r>
    </w:p>
    <w:p w14:paraId="3DE93A0E">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17.1投标人应在投标须知前附表规定的投标文件递交截止时间之前完成投标文件的递交。</w:t>
      </w:r>
    </w:p>
    <w:p w14:paraId="37650454">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17.2逾期送达的或者未送达指定地点的投标文件，招标人不予受理。</w:t>
      </w:r>
    </w:p>
    <w:p w14:paraId="3963CACE">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18、投标文件的修改与撤回</w:t>
      </w:r>
    </w:p>
    <w:p w14:paraId="446814D5">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14:paraId="67F3FA9B">
      <w:pPr>
        <w:adjustRightInd w:val="0"/>
        <w:snapToGrid w:val="0"/>
        <w:spacing w:line="360" w:lineRule="auto"/>
        <w:jc w:val="center"/>
        <w:outlineLvl w:val="2"/>
        <w:rPr>
          <w:rFonts w:hint="eastAsia" w:ascii="宋体" w:hAnsi="宋体" w:cs="宋体"/>
          <w:b/>
          <w:color w:val="auto"/>
          <w:sz w:val="32"/>
          <w:szCs w:val="32"/>
          <w:highlight w:val="none"/>
        </w:rPr>
      </w:pPr>
      <w:bookmarkStart w:id="55" w:name="_Toc6413167"/>
      <w:bookmarkStart w:id="56" w:name="_Toc8354"/>
      <w:bookmarkStart w:id="57" w:name="_Toc5344"/>
      <w:r>
        <w:rPr>
          <w:rFonts w:hint="eastAsia" w:ascii="宋体" w:hAnsi="宋体" w:cs="宋体"/>
          <w:b/>
          <w:color w:val="auto"/>
          <w:sz w:val="32"/>
          <w:szCs w:val="32"/>
          <w:highlight w:val="none"/>
        </w:rPr>
        <w:t>（六）开标、评标和定标</w:t>
      </w:r>
      <w:bookmarkEnd w:id="55"/>
      <w:bookmarkEnd w:id="56"/>
      <w:bookmarkEnd w:id="57"/>
    </w:p>
    <w:p w14:paraId="15E1F43D">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19、本工程评标、定标办法采用下列</w:t>
      </w:r>
      <w:r>
        <w:rPr>
          <w:rFonts w:hint="eastAsia" w:ascii="宋体" w:hAnsi="宋体" w:cs="宋体"/>
          <w:color w:val="auto"/>
          <w:sz w:val="24"/>
          <w:szCs w:val="24"/>
          <w:highlight w:val="none"/>
          <w:u w:val="single"/>
        </w:rPr>
        <w:t xml:space="preserve">  19.3 </w:t>
      </w:r>
      <w:r>
        <w:rPr>
          <w:rFonts w:hint="eastAsia" w:ascii="宋体" w:hAnsi="宋体" w:cs="宋体"/>
          <w:color w:val="auto"/>
          <w:sz w:val="24"/>
          <w:szCs w:val="24"/>
          <w:highlight w:val="none"/>
        </w:rPr>
        <w:t xml:space="preserve"> 种方式</w:t>
      </w:r>
    </w:p>
    <w:p w14:paraId="1863792A">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19.1价格单因素评标办法</w:t>
      </w:r>
    </w:p>
    <w:p w14:paraId="3B2C1228">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19.2含施工组织设计的价格单因素评标方法</w:t>
      </w:r>
    </w:p>
    <w:p w14:paraId="24C15077">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19.3综合评估法</w:t>
      </w:r>
    </w:p>
    <w:p w14:paraId="2738A718">
      <w:pPr>
        <w:adjustRightInd w:val="0"/>
        <w:snapToGrid w:val="0"/>
        <w:spacing w:line="360" w:lineRule="auto"/>
        <w:ind w:firstLine="480"/>
        <w:rPr>
          <w:rFonts w:hint="eastAsia" w:ascii="宋体" w:hAnsi="宋体" w:cs="宋体"/>
          <w:bCs/>
          <w:color w:val="auto"/>
          <w:sz w:val="24"/>
          <w:szCs w:val="24"/>
          <w:highlight w:val="none"/>
        </w:rPr>
      </w:pPr>
      <w:r>
        <w:rPr>
          <w:rFonts w:hint="eastAsia" w:ascii="宋体" w:hAnsi="宋体" w:cs="宋体"/>
          <w:color w:val="auto"/>
          <w:sz w:val="24"/>
          <w:szCs w:val="24"/>
          <w:highlight w:val="none"/>
        </w:rPr>
        <w:t>20、</w:t>
      </w:r>
      <w:r>
        <w:rPr>
          <w:rFonts w:hint="eastAsia" w:ascii="宋体" w:hAnsi="宋体" w:cs="宋体"/>
          <w:bCs/>
          <w:color w:val="auto"/>
          <w:sz w:val="24"/>
          <w:szCs w:val="24"/>
          <w:highlight w:val="none"/>
        </w:rPr>
        <w:t>招标人按投标须知前附表规定的时间、地点公开开标。开标会由招标代理机构主持，由投标人或投标人代表检查投标文件的密封情况。经确认无误签字确认后，当众启封投标文件及修改文件，公布投标文件的主要内容。</w:t>
      </w:r>
    </w:p>
    <w:p w14:paraId="436F1098">
      <w:pPr>
        <w:adjustRightInd w:val="0"/>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21、评标委员会</w:t>
      </w:r>
    </w:p>
    <w:p w14:paraId="16DC7EF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评标由招标人依法组建的评标委员会负责。</w:t>
      </w:r>
    </w:p>
    <w:p w14:paraId="2400C612">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招标代理机构的人员不得担任其代理招标项目的评标委员会成员。</w:t>
      </w:r>
    </w:p>
    <w:p w14:paraId="4CBB5450">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22、评标委员会应当审查每一投标文件是否对招标文件提出的所有实质性要求和条件作出响应。</w:t>
      </w:r>
    </w:p>
    <w:p w14:paraId="499E6E9B">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w:t>
      </w:r>
      <w:r>
        <w:rPr>
          <w:rFonts w:hint="eastAsia" w:ascii="宋体" w:hAnsi="宋体" w:cs="宋体"/>
          <w:b/>
          <w:color w:val="auto"/>
          <w:sz w:val="24"/>
          <w:szCs w:val="24"/>
          <w:highlight w:val="none"/>
        </w:rPr>
        <w:t xml:space="preserve">投标文件有下列情况之一的，属于重大偏差，视为未能对招标文件作出实质性响应，应当作为无效投标予以否决： </w:t>
      </w:r>
    </w:p>
    <w:p w14:paraId="5E061F93">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23.1投标文件中的投标函未加盖投标人的公章；</w:t>
      </w:r>
    </w:p>
    <w:p w14:paraId="2BF6407E">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23.2投标文件中的投标函未加盖企业法定代表人（或企业法定代表人委托代理人）印章（或签字）的；</w:t>
      </w:r>
    </w:p>
    <w:p w14:paraId="2114DF71">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23.3投标函加盖企业法定代表人委托代理人印章（或签字），企业法定代表人委托代理人没有合法、有效的委托书（原件）的；</w:t>
      </w:r>
    </w:p>
    <w:p w14:paraId="38CCB856">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23.4投标人资质条件不符合国家有关规定，或者不满足招标文件规定的资格条件的；</w:t>
      </w:r>
    </w:p>
    <w:p w14:paraId="20C87D42">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23.5投标人名称或组织结构与资格预审时不一致的；</w:t>
      </w:r>
    </w:p>
    <w:p w14:paraId="467A016D">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23.6除在投标截止时间前经招标人书面同意外，项目负责人与资格预审时不一致的；</w:t>
      </w:r>
    </w:p>
    <w:p w14:paraId="51959221">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23.7组成联合体投标未提供联合体各方共同投标协议的；</w:t>
      </w:r>
    </w:p>
    <w:p w14:paraId="7213EC87">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23.8在同一招标项目中，联合体成员以自己名义单独投标或者参加其他联合体投标的；</w:t>
      </w:r>
    </w:p>
    <w:p w14:paraId="0165F082">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23.9联合体成员与资格预审确定的结果不一致的；</w:t>
      </w:r>
    </w:p>
    <w:p w14:paraId="3EC84946">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23.10投标报价低于工程成本或者高于招标文件设定的招标控制价或者招标人设置的投标限价的</w:t>
      </w:r>
      <w:r>
        <w:rPr>
          <w:rFonts w:hint="eastAsia" w:ascii="宋体" w:hAnsi="宋体"/>
          <w:b/>
          <w:bCs/>
          <w:color w:val="auto"/>
          <w:kern w:val="2"/>
          <w:sz w:val="24"/>
          <w:szCs w:val="24"/>
          <w:highlight w:val="none"/>
        </w:rPr>
        <w:t>（或未按规定报价的）</w:t>
      </w:r>
      <w:r>
        <w:rPr>
          <w:rFonts w:hint="eastAsia" w:ascii="宋体" w:hAnsi="宋体" w:cs="宋体"/>
          <w:color w:val="auto"/>
          <w:sz w:val="24"/>
          <w:szCs w:val="24"/>
          <w:highlight w:val="none"/>
        </w:rPr>
        <w:t>；</w:t>
      </w:r>
    </w:p>
    <w:p w14:paraId="24AFD60E">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23.11同一投标人提交两个及以上不同的投标文件或者投标报价，但招标文件要求提交备选投标的除外；</w:t>
      </w:r>
    </w:p>
    <w:p w14:paraId="08B38AF1">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23.12投标文件中已标价工程量清单与招标文件规定的暂估价、暂列金额及甲供材料价格不一致的；</w:t>
      </w:r>
    </w:p>
    <w:p w14:paraId="6AE5E756">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23.13投标文件中已标价工程量清单与招标文件明确列出的不可竞争费用项目或费率或计算基础不一致的；</w:t>
      </w:r>
    </w:p>
    <w:p w14:paraId="10E8B965">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23.14投标文件的已标价工程量清单与招标文件提供的工程量清单中的项目编码、项目名称、项目特征、计量单位、工程量不一致的；</w:t>
      </w:r>
    </w:p>
    <w:p w14:paraId="4B1D0193">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23.15未按招标文件要求提供投标保证金的；</w:t>
      </w:r>
    </w:p>
    <w:p w14:paraId="32D252D9">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23.16投标文件载明的招标项目完成期限超过招标文件规定的期限的；</w:t>
      </w:r>
    </w:p>
    <w:p w14:paraId="49C11EA1">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23.17明显不符合技术规范、技术标准的要求的；</w:t>
      </w:r>
    </w:p>
    <w:p w14:paraId="10C0F17D">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23.18投标文件载明的货物包装方式、检验标准和方法等不符合招标文件的要求的；</w:t>
      </w:r>
    </w:p>
    <w:p w14:paraId="54FD0A92">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23.19投标文件提出了不能满足招标文件要求或招标人不能接受的工程验收、计量、价款结算和支付办法的；</w:t>
      </w:r>
    </w:p>
    <w:p w14:paraId="0A8B6BCB">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23.20不同投标人的投标文件以及投标文件制作过程出现了评标委员会认为不应当雷同的情况的；</w:t>
      </w:r>
    </w:p>
    <w:p w14:paraId="21B2FBAD">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23.21以他人的名义投标、串通投标、以行贿手段谋取中标或者以其他弄虚作假方式投标的；</w:t>
      </w:r>
    </w:p>
    <w:p w14:paraId="6A6DE6C6">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23.22投标文件关键内容模糊、无法辨认的。</w:t>
      </w:r>
    </w:p>
    <w:p w14:paraId="153B2C59">
      <w:pPr>
        <w:widowControl/>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24、评标、定标工作由招标人或代理机构组织进行。</w:t>
      </w:r>
    </w:p>
    <w:p w14:paraId="1A2113D2">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25、投标文件的澄清</w:t>
      </w:r>
    </w:p>
    <w:p w14:paraId="02022FB1">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评标过程中，评标委员会认为需要，可以书面形式要求投标人对投标文件中的有关问题进行澄清或提供补充说明及有关资料，投标人应作出书面答复。书面答复中不得有变更价格、工期、自报质量等级等实质性内容。</w:t>
      </w:r>
    </w:p>
    <w:p w14:paraId="28EC48F5">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书面答复须经投标人法定代表人或经其授权的委托代理人的签字或加盖印鉴，签字或加盖印鉴的书面答复将被视为投标文件的组成部。投标截止日后，投标人对投标报价或其他实质性内容修正的函件和增加的任何优惠条件，一律不得作为评标、定标的依据。</w:t>
      </w:r>
    </w:p>
    <w:p w14:paraId="0BB7A691">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26、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14:paraId="1F7DBEB4">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27、</w:t>
      </w:r>
      <w:r>
        <w:rPr>
          <w:rFonts w:hint="eastAsia" w:ascii="宋体" w:hAnsi="宋体" w:cs="宋体"/>
          <w:bCs/>
          <w:color w:val="auto"/>
          <w:sz w:val="24"/>
          <w:szCs w:val="24"/>
          <w:highlight w:val="none"/>
        </w:rPr>
        <w:t>投标报价可以保留两位小数。</w:t>
      </w:r>
    </w:p>
    <w:p w14:paraId="3609B172">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28、在投标文件的审查、澄清、评价和比较以及授予合同的过程中，投标人对招标人和评标组织成员施加影响的任何行为，都将导致取消其中标资格。</w:t>
      </w:r>
    </w:p>
    <w:p w14:paraId="2CE922C7">
      <w:pPr>
        <w:widowControl/>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29、评标委员会在评标工作完成后，将中标结果在南通市崇川区人民政府网公布，公布的时间为三日。</w:t>
      </w:r>
    </w:p>
    <w:p w14:paraId="06E80742">
      <w:pPr>
        <w:adjustRightInd w:val="0"/>
        <w:snapToGrid w:val="0"/>
        <w:spacing w:line="360" w:lineRule="auto"/>
        <w:jc w:val="center"/>
        <w:outlineLvl w:val="2"/>
        <w:rPr>
          <w:rFonts w:hint="eastAsia" w:ascii="宋体" w:hAnsi="宋体" w:cs="宋体"/>
          <w:b/>
          <w:color w:val="auto"/>
          <w:sz w:val="32"/>
          <w:szCs w:val="32"/>
          <w:highlight w:val="none"/>
        </w:rPr>
      </w:pPr>
      <w:bookmarkStart w:id="58" w:name="_Toc10562"/>
      <w:bookmarkStart w:id="59" w:name="_Toc4291"/>
      <w:bookmarkStart w:id="60" w:name="_Toc6413168"/>
      <w:r>
        <w:rPr>
          <w:rFonts w:hint="eastAsia" w:ascii="宋体" w:hAnsi="宋体" w:cs="宋体"/>
          <w:b/>
          <w:color w:val="auto"/>
          <w:sz w:val="32"/>
          <w:szCs w:val="32"/>
          <w:highlight w:val="none"/>
        </w:rPr>
        <w:t>（七）授予合同</w:t>
      </w:r>
      <w:bookmarkEnd w:id="58"/>
      <w:bookmarkEnd w:id="59"/>
      <w:bookmarkEnd w:id="60"/>
    </w:p>
    <w:p w14:paraId="0E6B3616">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30、招标人和中标人应当自中标通知书发出之日起30日内，按照招标文件和中标人的投标文件订立书面合同。招标人和中标人不得再订立背离合同实质性内容的其他协议。</w:t>
      </w:r>
    </w:p>
    <w:p w14:paraId="4206ABE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31、中标通知书发出后30日内、合同签订前须齐交履约保证金，否则作自动放弃中标资格处理。</w:t>
      </w:r>
    </w:p>
    <w:p w14:paraId="14FE9D4F">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32、若中标人不能按本须知第31条款的规定执行，</w:t>
      </w:r>
      <w:r>
        <w:rPr>
          <w:rFonts w:hint="eastAsia" w:ascii="宋体" w:hAnsi="宋体" w:cs="宋体"/>
          <w:b/>
          <w:bCs/>
          <w:color w:val="auto"/>
          <w:sz w:val="24"/>
          <w:szCs w:val="24"/>
          <w:highlight w:val="none"/>
        </w:rPr>
        <w:t>招标人将有充分的理由认为中标人放弃中标项目及签订合同的权利，并没收其投标保证金</w:t>
      </w:r>
      <w:r>
        <w:rPr>
          <w:rFonts w:hint="eastAsia" w:ascii="宋体" w:hAnsi="宋体" w:cs="宋体"/>
          <w:bCs/>
          <w:color w:val="auto"/>
          <w:sz w:val="24"/>
          <w:szCs w:val="24"/>
          <w:highlight w:val="none"/>
        </w:rPr>
        <w:t>，中标人的行为给招标人造成损失超过投标保证金数额的，还应当对超过部分予以赔偿。</w:t>
      </w:r>
    </w:p>
    <w:p w14:paraId="06E59CF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33、中标人在中标后或施工期间不得随意变更中标项目负责人。如果出现特殊情况，确需更换的，应当经招标人同意。</w:t>
      </w:r>
    </w:p>
    <w:p w14:paraId="31C48614">
      <w:pPr>
        <w:adjustRightInd w:val="0"/>
        <w:snapToGrid w:val="0"/>
        <w:spacing w:line="360" w:lineRule="auto"/>
        <w:rPr>
          <w:rFonts w:hint="eastAsia" w:ascii="宋体" w:hAnsi="宋体" w:cs="宋体"/>
          <w:color w:val="auto"/>
          <w:highlight w:val="none"/>
        </w:rPr>
      </w:pPr>
    </w:p>
    <w:p w14:paraId="5B5883E2">
      <w:pPr>
        <w:adjustRightInd w:val="0"/>
        <w:snapToGrid w:val="0"/>
        <w:spacing w:line="360" w:lineRule="auto"/>
        <w:rPr>
          <w:rFonts w:hint="eastAsia" w:ascii="宋体" w:hAnsi="宋体" w:cs="宋体"/>
          <w:color w:val="auto"/>
          <w:highlight w:val="none"/>
        </w:rPr>
      </w:pPr>
    </w:p>
    <w:p w14:paraId="6DC84E0A">
      <w:pPr>
        <w:adjustRightInd w:val="0"/>
        <w:snapToGrid w:val="0"/>
        <w:spacing w:line="360" w:lineRule="auto"/>
        <w:rPr>
          <w:rFonts w:hint="eastAsia" w:ascii="宋体" w:hAnsi="宋体" w:cs="宋体"/>
          <w:color w:val="auto"/>
          <w:highlight w:val="none"/>
        </w:rPr>
      </w:pPr>
    </w:p>
    <w:p w14:paraId="2DD80B9E">
      <w:pPr>
        <w:pStyle w:val="5"/>
        <w:keepNext/>
        <w:keepLines/>
        <w:adjustRightInd w:val="0"/>
        <w:snapToGrid w:val="0"/>
        <w:spacing w:before="0" w:after="0" w:line="360" w:lineRule="auto"/>
        <w:jc w:val="center"/>
        <w:rPr>
          <w:rFonts w:hint="eastAsia" w:ascii="宋体" w:hAnsi="宋体" w:cs="宋体"/>
          <w:bCs/>
          <w:color w:val="auto"/>
          <w:sz w:val="32"/>
          <w:szCs w:val="32"/>
          <w:highlight w:val="none"/>
        </w:rPr>
      </w:pPr>
      <w:bookmarkStart w:id="61" w:name="_Toc1902"/>
      <w:bookmarkStart w:id="62" w:name="_Toc10133"/>
      <w:bookmarkStart w:id="63" w:name="_Toc10768"/>
      <w:r>
        <w:rPr>
          <w:rFonts w:hint="eastAsia" w:ascii="宋体" w:hAnsi="宋体" w:cs="宋体"/>
          <w:bCs/>
          <w:color w:val="auto"/>
          <w:sz w:val="32"/>
          <w:szCs w:val="32"/>
          <w:highlight w:val="none"/>
        </w:rPr>
        <w:t>第二章 评标办法</w:t>
      </w:r>
      <w:bookmarkEnd w:id="61"/>
      <w:bookmarkEnd w:id="62"/>
      <w:bookmarkEnd w:id="63"/>
    </w:p>
    <w:p w14:paraId="544273CE">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（综合评分法）</w:t>
      </w:r>
    </w:p>
    <w:p w14:paraId="494B70E9">
      <w:pPr>
        <w:adjustRightInd w:val="0"/>
        <w:snapToGrid w:val="0"/>
        <w:spacing w:line="360" w:lineRule="auto"/>
        <w:ind w:firstLine="482" w:firstLineChars="200"/>
        <w:rPr>
          <w:rFonts w:hint="eastAsia" w:ascii="宋体" w:hAnsi="宋体" w:cs="宋体"/>
          <w:b/>
          <w:color w:val="auto"/>
          <w:sz w:val="24"/>
          <w:szCs w:val="22"/>
          <w:highlight w:val="none"/>
        </w:rPr>
      </w:pPr>
      <w:r>
        <w:rPr>
          <w:rFonts w:hint="eastAsia" w:ascii="宋体" w:hAnsi="宋体" w:cs="宋体"/>
          <w:b/>
          <w:color w:val="auto"/>
          <w:sz w:val="24"/>
          <w:szCs w:val="24"/>
          <w:highlight w:val="none"/>
        </w:rPr>
        <w:t>一、开标和评标原则</w:t>
      </w:r>
    </w:p>
    <w:p w14:paraId="6E377CD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1、投标人数量不少于三个的，则进入评标程序，否则，本次招标失败，应依法重新组织招标。通过资格审查的投标人数量少于三个的，招标人如若认为投标文件有竞争力的，仍可继续进行评审。</w:t>
      </w:r>
    </w:p>
    <w:p w14:paraId="61BE7C3C">
      <w:pPr>
        <w:adjustRightInd w:val="0"/>
        <w:snapToGrid w:val="0"/>
        <w:spacing w:line="360" w:lineRule="auto"/>
        <w:ind w:firstLine="500"/>
        <w:rPr>
          <w:rFonts w:hint="eastAsia" w:ascii="宋体" w:hAnsi="宋体" w:cs="宋体"/>
          <w:color w:val="auto"/>
          <w:sz w:val="24"/>
          <w:szCs w:val="24"/>
          <w:highlight w:val="none"/>
        </w:rPr>
      </w:pPr>
      <w:r>
        <w:rPr>
          <w:rFonts w:hint="eastAsia" w:ascii="宋体" w:hAnsi="宋体" w:cs="宋体"/>
          <w:color w:val="auto"/>
          <w:sz w:val="24"/>
          <w:szCs w:val="24"/>
          <w:highlight w:val="none"/>
        </w:rPr>
        <w:t>2、所有投标人的资格同时审查，采用合格制，资格审查不合格的，不再对其后续评审。</w:t>
      </w:r>
    </w:p>
    <w:p w14:paraId="63B0E223">
      <w:pPr>
        <w:adjustRightInd w:val="0"/>
        <w:snapToGrid w:val="0"/>
        <w:spacing w:line="360" w:lineRule="auto"/>
        <w:ind w:firstLine="500"/>
        <w:rPr>
          <w:rFonts w:hint="eastAsia" w:ascii="宋体" w:hAnsi="宋体" w:cs="宋体"/>
          <w:color w:val="auto"/>
          <w:sz w:val="24"/>
          <w:szCs w:val="24"/>
          <w:highlight w:val="none"/>
        </w:rPr>
      </w:pPr>
      <w:r>
        <w:rPr>
          <w:rFonts w:hint="eastAsia" w:ascii="宋体" w:hAnsi="宋体" w:cs="宋体"/>
          <w:color w:val="auto"/>
          <w:sz w:val="24"/>
          <w:szCs w:val="24"/>
          <w:highlight w:val="none"/>
        </w:rPr>
        <w:t>3、评审得分均保留两位小数（四舍五入法）。</w:t>
      </w:r>
    </w:p>
    <w:p w14:paraId="13E0387A">
      <w:pPr>
        <w:widowControl/>
        <w:adjustRightInd w:val="0"/>
        <w:snapToGrid w:val="0"/>
        <w:spacing w:line="360" w:lineRule="auto"/>
        <w:ind w:firstLine="476"/>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二、评标程序</w:t>
      </w:r>
    </w:p>
    <w:p w14:paraId="1BE3590B">
      <w:pPr>
        <w:widowControl/>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资格符合性评审→商务标开标→商务标评审→确定中标候选人。</w:t>
      </w:r>
    </w:p>
    <w:p w14:paraId="7BDBC1BA">
      <w:pP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三、资格审查程序及办法</w:t>
      </w:r>
    </w:p>
    <w:p w14:paraId="38A3E865">
      <w:pPr>
        <w:widowControl/>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1、本次资格审查采用合格制，各投标人只有满足资格审查必要合格条件后，方可参与商务标的评审。</w:t>
      </w:r>
    </w:p>
    <w:p w14:paraId="03172CDB">
      <w:pPr>
        <w:autoSpaceDE w:val="0"/>
        <w:autoSpaceDN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2、评标委员会按下表所列的资格审查必要合格条件，对各投标人递交的资格审查资料进行评审，并公布资格审查合格者名单。</w:t>
      </w:r>
    </w:p>
    <w:p w14:paraId="2B208FF2">
      <w:pPr>
        <w:widowControl/>
        <w:adjustRightInd w:val="0"/>
        <w:snapToGrid w:val="0"/>
        <w:spacing w:line="360" w:lineRule="auto"/>
        <w:ind w:firstLine="482" w:firstLineChars="20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资格审查必要合格条件标准</w:t>
      </w:r>
    </w:p>
    <w:tbl>
      <w:tblPr>
        <w:tblStyle w:val="53"/>
        <w:tblW w:w="9606" w:type="dxa"/>
        <w:jc w:val="center"/>
        <w:tblLayout w:type="fixed"/>
        <w:tblCellMar>
          <w:top w:w="0" w:type="dxa"/>
          <w:left w:w="0" w:type="dxa"/>
          <w:bottom w:w="0" w:type="dxa"/>
          <w:right w:w="0" w:type="dxa"/>
        </w:tblCellMar>
      </w:tblPr>
      <w:tblGrid>
        <w:gridCol w:w="817"/>
        <w:gridCol w:w="1985"/>
        <w:gridCol w:w="3402"/>
        <w:gridCol w:w="3402"/>
      </w:tblGrid>
      <w:tr w14:paraId="6256370A">
        <w:tblPrEx>
          <w:tblCellMar>
            <w:top w:w="0" w:type="dxa"/>
            <w:left w:w="0" w:type="dxa"/>
            <w:bottom w:w="0" w:type="dxa"/>
            <w:right w:w="0" w:type="dxa"/>
          </w:tblCellMar>
        </w:tblPrEx>
        <w:trPr>
          <w:trHeight w:val="544" w:hRule="atLeast"/>
          <w:jc w:val="center"/>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3F0E36">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10E92F">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项目内容</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CE996C">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合格条件</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E0ACE9">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需提供的证明材料</w:t>
            </w:r>
          </w:p>
        </w:tc>
      </w:tr>
      <w:tr w14:paraId="6C898967">
        <w:tblPrEx>
          <w:tblCellMar>
            <w:top w:w="0" w:type="dxa"/>
            <w:left w:w="0" w:type="dxa"/>
            <w:bottom w:w="0" w:type="dxa"/>
            <w:right w:w="0" w:type="dxa"/>
          </w:tblCellMar>
        </w:tblPrEx>
        <w:trPr>
          <w:trHeight w:val="544" w:hRule="atLeast"/>
          <w:jc w:val="center"/>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8A7704">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1</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049C02">
            <w:pPr>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法定代表人身份证明</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E1E478">
            <w:pPr>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有效的法定代表人身份证明书</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06D797">
            <w:pPr>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有效的</w:t>
            </w:r>
            <w:r>
              <w:rPr>
                <w:rFonts w:hint="eastAsia" w:ascii="宋体" w:hAnsi="宋体" w:cs="宋体"/>
                <w:color w:val="auto"/>
                <w:sz w:val="24"/>
                <w:szCs w:val="24"/>
                <w:highlight w:val="none"/>
                <w:lang w:val="zh-CN"/>
              </w:rPr>
              <w:t>法定代表人身份证明书（格式见第四章）</w:t>
            </w:r>
          </w:p>
        </w:tc>
      </w:tr>
      <w:tr w14:paraId="6702706E">
        <w:tblPrEx>
          <w:tblCellMar>
            <w:top w:w="0" w:type="dxa"/>
            <w:left w:w="0" w:type="dxa"/>
            <w:bottom w:w="0" w:type="dxa"/>
            <w:right w:w="0" w:type="dxa"/>
          </w:tblCellMar>
        </w:tblPrEx>
        <w:trPr>
          <w:trHeight w:val="544" w:hRule="atLeast"/>
          <w:jc w:val="center"/>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69348B">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2</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11A9B7">
            <w:pPr>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授权委托书（如有授权）</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A896A5">
            <w:pPr>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有效的授权委托书</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A7DE27">
            <w:pPr>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有效的</w:t>
            </w:r>
            <w:r>
              <w:rPr>
                <w:rFonts w:hint="eastAsia" w:ascii="宋体" w:hAnsi="宋体" w:cs="宋体"/>
                <w:color w:val="auto"/>
                <w:sz w:val="24"/>
                <w:szCs w:val="24"/>
                <w:highlight w:val="none"/>
                <w:lang w:val="zh-CN"/>
              </w:rPr>
              <w:t>授权委托书（格式见第四章）</w:t>
            </w:r>
          </w:p>
        </w:tc>
      </w:tr>
      <w:tr w14:paraId="7F5EF1DF">
        <w:tblPrEx>
          <w:tblCellMar>
            <w:top w:w="0" w:type="dxa"/>
            <w:left w:w="0" w:type="dxa"/>
            <w:bottom w:w="0" w:type="dxa"/>
            <w:right w:w="0" w:type="dxa"/>
          </w:tblCellMar>
        </w:tblPrEx>
        <w:trPr>
          <w:trHeight w:val="494" w:hRule="atLeast"/>
          <w:jc w:val="center"/>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A02C5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D0D8AD">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企业法人营业执照或事业单位法人证书</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50FA1">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工商行政管理部门颁发的有效法人营业执照或事业单位法人证书</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0588D3">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有效的企业营业执照或事业单位法人证书</w:t>
            </w:r>
          </w:p>
        </w:tc>
      </w:tr>
      <w:tr w14:paraId="1A3DFE3F">
        <w:tblPrEx>
          <w:tblCellMar>
            <w:top w:w="0" w:type="dxa"/>
            <w:left w:w="0" w:type="dxa"/>
            <w:bottom w:w="0" w:type="dxa"/>
            <w:right w:w="0" w:type="dxa"/>
          </w:tblCellMar>
        </w:tblPrEx>
        <w:trPr>
          <w:trHeight w:val="881" w:hRule="atLeast"/>
          <w:jc w:val="center"/>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71F57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E1CC96">
            <w:pP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企业资质类别等级</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727CEB">
            <w:pPr>
              <w:autoSpaceDE w:val="0"/>
              <w:autoSpaceDN w:val="0"/>
              <w:adjustRightInd w:val="0"/>
              <w:snapToGrid w:val="0"/>
              <w:spacing w:line="360" w:lineRule="auto"/>
              <w:rPr>
                <w:rFonts w:hint="eastAsia" w:ascii="宋体" w:hAnsi="宋体" w:cs="宋体"/>
                <w:b/>
                <w:bCs/>
                <w:color w:val="auto"/>
                <w:sz w:val="24"/>
                <w:szCs w:val="24"/>
                <w:highlight w:val="none"/>
                <w:u w:val="single"/>
              </w:rPr>
            </w:pPr>
            <w:r>
              <w:rPr>
                <w:rFonts w:hint="eastAsia" w:ascii="宋体" w:hAnsi="宋体" w:cs="宋体"/>
                <w:color w:val="auto"/>
                <w:sz w:val="24"/>
                <w:szCs w:val="24"/>
                <w:highlight w:val="none"/>
              </w:rPr>
              <w:t>具有测绘甲级资质（专业能力中必须同时包含：工程测量、界线与不动产测绘专业）</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2F28D3">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有效企业资质证书</w:t>
            </w:r>
          </w:p>
        </w:tc>
      </w:tr>
      <w:tr w14:paraId="08C71A77">
        <w:tblPrEx>
          <w:tblCellMar>
            <w:top w:w="0" w:type="dxa"/>
            <w:left w:w="0" w:type="dxa"/>
            <w:bottom w:w="0" w:type="dxa"/>
            <w:right w:w="0" w:type="dxa"/>
          </w:tblCellMar>
        </w:tblPrEx>
        <w:trPr>
          <w:trHeight w:val="893" w:hRule="atLeast"/>
          <w:jc w:val="center"/>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4F775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18D16">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诚信承诺书</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AE47FB">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诚信承诺书</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0C2A7E">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诚信承诺书（格式见招标文件第四章）</w:t>
            </w:r>
          </w:p>
        </w:tc>
      </w:tr>
      <w:tr w14:paraId="3F54AA55">
        <w:tblPrEx>
          <w:tblCellMar>
            <w:top w:w="0" w:type="dxa"/>
            <w:left w:w="0" w:type="dxa"/>
            <w:bottom w:w="0" w:type="dxa"/>
            <w:right w:w="0" w:type="dxa"/>
          </w:tblCellMar>
        </w:tblPrEx>
        <w:trPr>
          <w:trHeight w:val="893" w:hRule="atLeast"/>
          <w:jc w:val="center"/>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4EEFE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56D60C">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投标人免缴投标保证金信用承诺书（如有）</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5E75BB">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投标人免缴投标保证金信用承诺书</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D76BF1">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投标人免缴投标保证金信用承诺书（格式见招标文件第四章）</w:t>
            </w:r>
          </w:p>
        </w:tc>
      </w:tr>
      <w:tr w14:paraId="1D6E3299">
        <w:tblPrEx>
          <w:tblCellMar>
            <w:top w:w="0" w:type="dxa"/>
            <w:left w:w="0" w:type="dxa"/>
            <w:bottom w:w="0" w:type="dxa"/>
            <w:right w:w="0" w:type="dxa"/>
          </w:tblCellMar>
        </w:tblPrEx>
        <w:trPr>
          <w:trHeight w:val="699" w:hRule="atLeast"/>
          <w:jc w:val="center"/>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17580C">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878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997DAE">
            <w:pPr>
              <w:widowControl/>
              <w:adjustRightInd w:val="0"/>
              <w:snapToGrid w:val="0"/>
              <w:spacing w:line="360" w:lineRule="auto"/>
              <w:ind w:firstLine="470" w:firstLineChars="196"/>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以上</w:t>
            </w: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中任何一条不符合要求的，则资格审查不通过。而且，上述序号3-</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提供复印件并加盖单位公章；上述序号1-</w:t>
            </w:r>
            <w:r>
              <w:rPr>
                <w:rFonts w:hint="eastAsia" w:ascii="宋体" w:hAnsi="宋体" w:cs="宋体"/>
                <w:color w:val="auto"/>
                <w:sz w:val="24"/>
                <w:szCs w:val="24"/>
                <w:highlight w:val="none"/>
              </w:rPr>
              <w:t>2、5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6（如有）</w:t>
            </w:r>
            <w:r>
              <w:rPr>
                <w:rFonts w:hint="eastAsia" w:ascii="宋体" w:hAnsi="宋体" w:cs="宋体"/>
                <w:color w:val="auto"/>
                <w:sz w:val="24"/>
                <w:szCs w:val="24"/>
                <w:highlight w:val="none"/>
                <w:lang w:val="zh-CN"/>
              </w:rPr>
              <w:t>须提供原件，且所有的原件均装订在投标文件正本中，投标文件副本中可用复印件并加盖单位公章，否则资格审查不通过。</w:t>
            </w:r>
          </w:p>
          <w:p w14:paraId="2B775454">
            <w:pP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如发现投标人递交的材料有弄虚作假行为，该投标人将记入不良记录，并上报有关部门。如已中标，招标人有权取消其中标资格，并由该投标人承担一切责任和损失。</w:t>
            </w:r>
          </w:p>
          <w:p w14:paraId="1BEAE55F">
            <w:pPr>
              <w:adjustRightInd w:val="0"/>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本项目接受投标人免缴投标保证金信用承诺书代替投标保证金。</w:t>
            </w:r>
          </w:p>
        </w:tc>
      </w:tr>
    </w:tbl>
    <w:p w14:paraId="2797DD31">
      <w:pPr>
        <w:widowControl/>
        <w:shd w:val="clear" w:color="auto" w:fill="FFFFFF"/>
        <w:adjustRightInd w:val="0"/>
        <w:snapToGrid w:val="0"/>
        <w:spacing w:line="360" w:lineRule="auto"/>
        <w:ind w:firstLine="241" w:firstLineChars="100"/>
        <w:jc w:val="left"/>
        <w:rPr>
          <w:rFonts w:hint="eastAsia" w:ascii="宋体" w:hAnsi="宋体" w:cs="宋体"/>
          <w:b/>
          <w:bCs/>
          <w:color w:val="auto"/>
          <w:sz w:val="24"/>
          <w:highlight w:val="none"/>
        </w:rPr>
      </w:pPr>
      <w:r>
        <w:rPr>
          <w:rFonts w:hint="eastAsia" w:ascii="宋体" w:hAnsi="宋体" w:cs="宋体"/>
          <w:b/>
          <w:bCs/>
          <w:color w:val="auto"/>
          <w:sz w:val="24"/>
          <w:highlight w:val="none"/>
        </w:rPr>
        <w:t>四、商务标评分标准（100分）</w:t>
      </w:r>
    </w:p>
    <w:p w14:paraId="080D70D4">
      <w:pPr>
        <w:adjustRightInd w:val="0"/>
        <w:snapToGrid w:val="0"/>
        <w:spacing w:line="360" w:lineRule="auto"/>
        <w:ind w:firstLine="472" w:firstLineChars="196"/>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1、综合能力评审（以计分的方法衡量投标单位的综合能力，满分35分）。</w:t>
      </w:r>
    </w:p>
    <w:tbl>
      <w:tblPr>
        <w:tblStyle w:val="53"/>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34"/>
        <w:gridCol w:w="6662"/>
        <w:gridCol w:w="753"/>
      </w:tblGrid>
      <w:tr w14:paraId="2B0A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06AE2832">
            <w:pPr>
              <w:widowControl/>
              <w:adjustRightInd w:val="0"/>
              <w:snapToGrid w:val="0"/>
              <w:spacing w:line="360" w:lineRule="auto"/>
              <w:jc w:val="center"/>
              <w:rPr>
                <w:rFonts w:hint="eastAsia" w:ascii="宋体" w:hAnsi="宋体" w:cs="宋体"/>
                <w:b/>
                <w:color w:val="auto"/>
                <w:sz w:val="24"/>
                <w:szCs w:val="24"/>
                <w:highlight w:val="none"/>
              </w:rPr>
            </w:pPr>
            <w:bookmarkStart w:id="64" w:name="_Toc42205472"/>
            <w:r>
              <w:rPr>
                <w:rFonts w:hint="eastAsia" w:ascii="宋体" w:hAnsi="宋体" w:cs="宋体"/>
                <w:b/>
                <w:color w:val="auto"/>
                <w:sz w:val="24"/>
                <w:szCs w:val="24"/>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6248BBF6">
            <w:pPr>
              <w:widowControl/>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评分因素</w:t>
            </w:r>
          </w:p>
        </w:tc>
        <w:tc>
          <w:tcPr>
            <w:tcW w:w="6662" w:type="dxa"/>
            <w:tcBorders>
              <w:top w:val="single" w:color="auto" w:sz="4" w:space="0"/>
              <w:left w:val="single" w:color="auto" w:sz="4" w:space="0"/>
              <w:bottom w:val="single" w:color="auto" w:sz="4" w:space="0"/>
              <w:right w:val="single" w:color="auto" w:sz="4" w:space="0"/>
            </w:tcBorders>
            <w:vAlign w:val="center"/>
          </w:tcPr>
          <w:p w14:paraId="1B5FB63E">
            <w:pPr>
              <w:widowControl/>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评分标准</w:t>
            </w:r>
          </w:p>
        </w:tc>
        <w:tc>
          <w:tcPr>
            <w:tcW w:w="753" w:type="dxa"/>
            <w:tcBorders>
              <w:top w:val="single" w:color="auto" w:sz="4" w:space="0"/>
              <w:left w:val="single" w:color="auto" w:sz="4" w:space="0"/>
              <w:bottom w:val="single" w:color="auto" w:sz="4" w:space="0"/>
              <w:right w:val="single" w:color="auto" w:sz="4" w:space="0"/>
            </w:tcBorders>
            <w:vAlign w:val="center"/>
          </w:tcPr>
          <w:p w14:paraId="41DF3540">
            <w:pPr>
              <w:widowControl/>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分值</w:t>
            </w:r>
          </w:p>
        </w:tc>
      </w:tr>
      <w:tr w14:paraId="6579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545EEE07">
            <w:pPr>
              <w:widowControl/>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一</w:t>
            </w:r>
          </w:p>
        </w:tc>
        <w:tc>
          <w:tcPr>
            <w:tcW w:w="8549" w:type="dxa"/>
            <w:gridSpan w:val="3"/>
            <w:tcBorders>
              <w:top w:val="single" w:color="auto" w:sz="4" w:space="0"/>
              <w:left w:val="single" w:color="auto" w:sz="4" w:space="0"/>
              <w:bottom w:val="single" w:color="auto" w:sz="4" w:space="0"/>
              <w:right w:val="single" w:color="auto" w:sz="4" w:space="0"/>
            </w:tcBorders>
            <w:vAlign w:val="center"/>
          </w:tcPr>
          <w:p w14:paraId="58DE5BEE">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投标人资质与综合实力（20分）</w:t>
            </w:r>
          </w:p>
        </w:tc>
      </w:tr>
      <w:tr w14:paraId="5198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8" w:type="dxa"/>
            <w:vMerge w:val="restart"/>
            <w:tcBorders>
              <w:top w:val="single" w:color="auto" w:sz="4" w:space="0"/>
              <w:left w:val="single" w:color="auto" w:sz="4" w:space="0"/>
              <w:right w:val="single" w:color="auto" w:sz="4" w:space="0"/>
            </w:tcBorders>
            <w:vAlign w:val="center"/>
          </w:tcPr>
          <w:p w14:paraId="0816F47B">
            <w:pPr>
              <w:widowControl/>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134" w:type="dxa"/>
            <w:vMerge w:val="restart"/>
            <w:tcBorders>
              <w:top w:val="single" w:color="auto" w:sz="4" w:space="0"/>
              <w:left w:val="single" w:color="auto" w:sz="4" w:space="0"/>
              <w:right w:val="single" w:color="auto" w:sz="4" w:space="0"/>
            </w:tcBorders>
            <w:vAlign w:val="center"/>
          </w:tcPr>
          <w:p w14:paraId="73ADB84B">
            <w:pPr>
              <w:widowControl/>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资质</w:t>
            </w:r>
          </w:p>
        </w:tc>
        <w:tc>
          <w:tcPr>
            <w:tcW w:w="6662" w:type="dxa"/>
            <w:tcBorders>
              <w:top w:val="single" w:color="auto" w:sz="4" w:space="0"/>
              <w:left w:val="single" w:color="auto" w:sz="4" w:space="0"/>
              <w:bottom w:val="single" w:color="auto" w:sz="4" w:space="0"/>
              <w:right w:val="single" w:color="auto" w:sz="4" w:space="0"/>
            </w:tcBorders>
            <w:vAlign w:val="center"/>
          </w:tcPr>
          <w:p w14:paraId="6A841C7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具有检验检测机构资质认定证书的得2分，如检测类别参数含管线点平面、高程、放线点平面坐标的，各得1分，本项最高得5分。 </w:t>
            </w:r>
          </w:p>
          <w:p w14:paraId="6945E25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注：须提供有效期内的检验检测机构资质认定证书（含检验检测能力表）复印件，并加盖公章。</w:t>
            </w:r>
          </w:p>
        </w:tc>
        <w:tc>
          <w:tcPr>
            <w:tcW w:w="753" w:type="dxa"/>
            <w:tcBorders>
              <w:top w:val="single" w:color="auto" w:sz="4" w:space="0"/>
              <w:left w:val="single" w:color="auto" w:sz="4" w:space="0"/>
              <w:bottom w:val="single" w:color="auto" w:sz="4" w:space="0"/>
              <w:right w:val="single" w:color="auto" w:sz="4" w:space="0"/>
            </w:tcBorders>
            <w:vAlign w:val="center"/>
          </w:tcPr>
          <w:p w14:paraId="390A0CC3">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r>
      <w:tr w14:paraId="7D9C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8" w:type="dxa"/>
            <w:vMerge w:val="continue"/>
            <w:tcBorders>
              <w:left w:val="single" w:color="auto" w:sz="4" w:space="0"/>
              <w:bottom w:val="single" w:color="auto" w:sz="4" w:space="0"/>
              <w:right w:val="single" w:color="auto" w:sz="4" w:space="0"/>
            </w:tcBorders>
            <w:vAlign w:val="center"/>
          </w:tcPr>
          <w:p w14:paraId="5D067B79">
            <w:pPr>
              <w:widowControl/>
              <w:adjustRightInd w:val="0"/>
              <w:snapToGrid w:val="0"/>
              <w:spacing w:line="360" w:lineRule="auto"/>
              <w:jc w:val="center"/>
              <w:rPr>
                <w:rFonts w:hint="eastAsia" w:ascii="宋体" w:hAnsi="宋体" w:cs="宋体"/>
                <w:color w:val="auto"/>
                <w:sz w:val="24"/>
                <w:szCs w:val="24"/>
                <w:highlight w:val="none"/>
              </w:rPr>
            </w:pPr>
          </w:p>
        </w:tc>
        <w:tc>
          <w:tcPr>
            <w:tcW w:w="1134" w:type="dxa"/>
            <w:vMerge w:val="continue"/>
            <w:tcBorders>
              <w:left w:val="single" w:color="auto" w:sz="4" w:space="0"/>
              <w:bottom w:val="single" w:color="auto" w:sz="4" w:space="0"/>
              <w:right w:val="single" w:color="auto" w:sz="4" w:space="0"/>
            </w:tcBorders>
            <w:vAlign w:val="center"/>
          </w:tcPr>
          <w:p w14:paraId="5CBBAD0B">
            <w:pPr>
              <w:widowControl/>
              <w:adjustRightInd w:val="0"/>
              <w:snapToGrid w:val="0"/>
              <w:spacing w:line="360" w:lineRule="auto"/>
              <w:rPr>
                <w:rFonts w:hint="eastAsia" w:ascii="宋体" w:hAnsi="宋体" w:cs="宋体"/>
                <w:color w:val="auto"/>
                <w:sz w:val="24"/>
                <w:szCs w:val="24"/>
                <w:highlight w:val="none"/>
              </w:rPr>
            </w:pPr>
          </w:p>
        </w:tc>
        <w:tc>
          <w:tcPr>
            <w:tcW w:w="6662" w:type="dxa"/>
            <w:tcBorders>
              <w:top w:val="single" w:color="auto" w:sz="4" w:space="0"/>
              <w:left w:val="single" w:color="auto" w:sz="4" w:space="0"/>
              <w:bottom w:val="single" w:color="auto" w:sz="4" w:space="0"/>
              <w:right w:val="single" w:color="auto" w:sz="4" w:space="0"/>
            </w:tcBorders>
            <w:vAlign w:val="center"/>
          </w:tcPr>
          <w:p w14:paraId="26EA61E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具有质量管理体系认证、环境管理体系认证、职业健康安全管理体系认证、信息安全体系认证、信息技术服务管理体系认证的，有一项得1分；最高得5分。</w:t>
            </w:r>
          </w:p>
          <w:p w14:paraId="08BAABC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注：提供证书复印件加盖公章。</w:t>
            </w:r>
          </w:p>
        </w:tc>
        <w:tc>
          <w:tcPr>
            <w:tcW w:w="753" w:type="dxa"/>
            <w:tcBorders>
              <w:top w:val="single" w:color="auto" w:sz="4" w:space="0"/>
              <w:left w:val="single" w:color="auto" w:sz="4" w:space="0"/>
              <w:bottom w:val="single" w:color="auto" w:sz="4" w:space="0"/>
              <w:right w:val="single" w:color="auto" w:sz="4" w:space="0"/>
            </w:tcBorders>
            <w:vAlign w:val="center"/>
          </w:tcPr>
          <w:p w14:paraId="7C5C57AA">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r>
      <w:tr w14:paraId="3DE8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8" w:type="dxa"/>
            <w:tcBorders>
              <w:top w:val="single" w:color="auto" w:sz="4" w:space="0"/>
              <w:left w:val="single" w:color="auto" w:sz="4" w:space="0"/>
              <w:right w:val="single" w:color="auto" w:sz="4" w:space="0"/>
            </w:tcBorders>
            <w:vAlign w:val="center"/>
          </w:tcPr>
          <w:p w14:paraId="672ABB21">
            <w:pPr>
              <w:widowControl/>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134" w:type="dxa"/>
            <w:tcBorders>
              <w:top w:val="single" w:color="auto" w:sz="4" w:space="0"/>
              <w:left w:val="single" w:color="auto" w:sz="4" w:space="0"/>
              <w:right w:val="single" w:color="auto" w:sz="4" w:space="0"/>
            </w:tcBorders>
            <w:vAlign w:val="center"/>
          </w:tcPr>
          <w:p w14:paraId="6D59DABF">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业绩</w:t>
            </w:r>
          </w:p>
        </w:tc>
        <w:tc>
          <w:tcPr>
            <w:tcW w:w="6662" w:type="dxa"/>
            <w:tcBorders>
              <w:top w:val="single" w:color="auto" w:sz="4" w:space="0"/>
              <w:left w:val="single" w:color="auto" w:sz="4" w:space="0"/>
              <w:bottom w:val="single" w:color="auto" w:sz="4" w:space="0"/>
              <w:right w:val="single" w:color="auto" w:sz="4" w:space="0"/>
            </w:tcBorders>
            <w:vAlign w:val="center"/>
          </w:tcPr>
          <w:p w14:paraId="2B29B19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rPr>
              <w:t>投标企业自202</w:t>
            </w:r>
            <w:r>
              <w:rPr>
                <w:rFonts w:ascii="宋体" w:hAnsi="宋体" w:cs="Times New Roman"/>
                <w:color w:val="auto"/>
                <w:sz w:val="24"/>
                <w:szCs w:val="24"/>
                <w:highlight w:val="none"/>
              </w:rPr>
              <w:t>3</w:t>
            </w:r>
            <w:r>
              <w:rPr>
                <w:rFonts w:hint="eastAsia" w:ascii="宋体" w:hAnsi="宋体" w:cs="Times New Roman"/>
                <w:color w:val="auto"/>
                <w:sz w:val="24"/>
                <w:szCs w:val="24"/>
                <w:highlight w:val="none"/>
              </w:rPr>
              <w:t>年3月1日以来（以合同签订时间为准），承担过单个合同金额20万元及以上的测绘项目，满足以下条件的，给予对应得分</w:t>
            </w:r>
            <w:r>
              <w:rPr>
                <w:rFonts w:hint="eastAsia" w:ascii="宋体" w:hAnsi="宋体" w:cs="Times New Roman"/>
                <w:color w:val="auto"/>
                <w:sz w:val="24"/>
                <w:szCs w:val="24"/>
                <w:highlight w:val="none"/>
                <w:lang w:eastAsia="zh-CN"/>
              </w:rPr>
              <w:t>：</w:t>
            </w:r>
          </w:p>
          <w:p w14:paraId="798EF6BF">
            <w:pPr>
              <w:pStyle w:val="123"/>
              <w:widowControl/>
              <w:numPr>
                <w:ilvl w:val="0"/>
                <w:numId w:val="0"/>
              </w:numPr>
              <w:wordWrap/>
              <w:adjustRightInd w:val="0"/>
              <w:snapToGrid w:val="0"/>
              <w:spacing w:line="440" w:lineRule="exact"/>
              <w:ind w:left="0" w:firstLine="480" w:firstLineChars="200"/>
              <w:rPr>
                <w:rFonts w:ascii="宋体" w:hAnsi="宋体"/>
                <w:color w:val="auto"/>
                <w:sz w:val="24"/>
                <w:szCs w:val="24"/>
                <w:highlight w:val="none"/>
              </w:rPr>
            </w:pPr>
            <w:r>
              <w:rPr>
                <w:rFonts w:hint="eastAsia" w:ascii="宋体" w:hAnsi="宋体" w:eastAsia="宋体" w:cs="Times New Roman"/>
                <w:color w:val="auto"/>
                <w:sz w:val="24"/>
                <w:szCs w:val="24"/>
                <w:highlight w:val="none"/>
                <w:lang w:val="en-US" w:eastAsia="zh-CN" w:bidi="ar-SA"/>
              </w:rPr>
              <w:t>①</w:t>
            </w:r>
            <w:r>
              <w:rPr>
                <w:rFonts w:hint="eastAsia" w:ascii="宋体" w:hAnsi="宋体"/>
                <w:color w:val="auto"/>
                <w:sz w:val="24"/>
                <w:szCs w:val="24"/>
                <w:highlight w:val="none"/>
              </w:rPr>
              <w:t>合同服务内容内包含原始地表测量、建筑面积测量、绿地竣工测量、建筑物沉降观测、地下管线测量中的一项或多项工作内容的，每提供一个业绩，得</w:t>
            </w:r>
            <w:r>
              <w:rPr>
                <w:rFonts w:ascii="宋体" w:hAnsi="宋体"/>
                <w:color w:val="auto"/>
                <w:sz w:val="24"/>
                <w:szCs w:val="24"/>
                <w:highlight w:val="none"/>
              </w:rPr>
              <w:t>2</w:t>
            </w:r>
            <w:r>
              <w:rPr>
                <w:rFonts w:hint="eastAsia" w:ascii="宋体" w:hAnsi="宋体"/>
                <w:color w:val="auto"/>
                <w:sz w:val="24"/>
                <w:szCs w:val="24"/>
                <w:highlight w:val="none"/>
              </w:rPr>
              <w:t>分，最高得</w:t>
            </w:r>
            <w:r>
              <w:rPr>
                <w:rFonts w:ascii="宋体" w:hAnsi="宋体"/>
                <w:color w:val="auto"/>
                <w:sz w:val="24"/>
                <w:szCs w:val="24"/>
                <w:highlight w:val="none"/>
              </w:rPr>
              <w:t>6</w:t>
            </w:r>
            <w:r>
              <w:rPr>
                <w:rFonts w:hint="eastAsia" w:ascii="宋体" w:hAnsi="宋体"/>
                <w:color w:val="auto"/>
                <w:sz w:val="24"/>
                <w:szCs w:val="24"/>
                <w:highlight w:val="none"/>
              </w:rPr>
              <w:t>分；</w:t>
            </w:r>
          </w:p>
          <w:p w14:paraId="7C9CF81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②合同服务内容内包含原始地表测量、建筑面积测量、绿地竣工测量、建筑物沉降观测、地下管线测量中的三项及以上工作内容的，每提供一个业绩，得2分，最高得4分；</w:t>
            </w:r>
          </w:p>
          <w:p w14:paraId="3F7DB9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注：</w:t>
            </w:r>
          </w:p>
          <w:p w14:paraId="59F8B96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只有在投标人第①条已经得6分的基础上，才评审第②条内容。同一业绩合同只认可一次，不重复得分。</w:t>
            </w:r>
          </w:p>
          <w:p w14:paraId="0E1BDDD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以上证明材料须同时提供中标通知书复印件、合同（合同包含以上规定的服务内容）复印件，并加盖投标单位公章。</w:t>
            </w:r>
          </w:p>
          <w:p w14:paraId="48EAB13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Times New Roman"/>
                <w:color w:val="auto"/>
                <w:sz w:val="24"/>
                <w:szCs w:val="24"/>
                <w:highlight w:val="none"/>
              </w:rPr>
            </w:pPr>
            <w:r>
              <w:rPr>
                <w:rFonts w:hint="eastAsia" w:ascii="宋体" w:hAnsi="宋体"/>
                <w:color w:val="auto"/>
                <w:sz w:val="24"/>
                <w:szCs w:val="24"/>
                <w:highlight w:val="none"/>
              </w:rPr>
              <w:t>金额以合同为准</w:t>
            </w:r>
            <w:r>
              <w:rPr>
                <w:rFonts w:hint="eastAsia" w:ascii="宋体" w:hAnsi="宋体"/>
                <w:color w:val="auto"/>
                <w:sz w:val="24"/>
                <w:szCs w:val="24"/>
                <w:highlight w:val="none"/>
                <w:lang w:eastAsia="zh-CN"/>
              </w:rPr>
              <w:t>，若合同文本无法体现具体金额的，须额外提供加盖投标单位公章的结算凭证、发票，或由项目业主出具</w:t>
            </w:r>
            <w:r>
              <w:rPr>
                <w:rFonts w:hint="eastAsia" w:ascii="宋体" w:hAnsi="宋体"/>
                <w:color w:val="auto"/>
                <w:sz w:val="24"/>
                <w:szCs w:val="24"/>
                <w:highlight w:val="none"/>
                <w:lang w:val="en-US" w:eastAsia="zh-CN"/>
              </w:rPr>
              <w:t>并加盖业主单位公章</w:t>
            </w:r>
            <w:r>
              <w:rPr>
                <w:rFonts w:hint="eastAsia" w:ascii="宋体" w:hAnsi="宋体"/>
                <w:color w:val="auto"/>
                <w:sz w:val="24"/>
                <w:szCs w:val="24"/>
                <w:highlight w:val="none"/>
                <w:lang w:eastAsia="zh-CN"/>
              </w:rPr>
              <w:t>的金额证明材料等有效佐证文件，否则该业绩不予认可</w:t>
            </w:r>
            <w:r>
              <w:rPr>
                <w:rFonts w:hint="eastAsia" w:ascii="宋体" w:hAnsi="宋体"/>
                <w:color w:val="auto"/>
                <w:sz w:val="24"/>
                <w:szCs w:val="24"/>
                <w:highlight w:val="none"/>
              </w:rPr>
              <w:t>。</w:t>
            </w:r>
          </w:p>
        </w:tc>
        <w:tc>
          <w:tcPr>
            <w:tcW w:w="753" w:type="dxa"/>
            <w:tcBorders>
              <w:top w:val="single" w:color="auto" w:sz="4" w:space="0"/>
              <w:left w:val="single" w:color="auto" w:sz="4" w:space="0"/>
              <w:bottom w:val="single" w:color="auto" w:sz="4" w:space="0"/>
              <w:right w:val="single" w:color="auto" w:sz="4" w:space="0"/>
            </w:tcBorders>
            <w:vAlign w:val="center"/>
          </w:tcPr>
          <w:p w14:paraId="6E9DFC66">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44F0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23F488A5">
            <w:pPr>
              <w:widowControl/>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8549" w:type="dxa"/>
            <w:gridSpan w:val="3"/>
            <w:tcBorders>
              <w:top w:val="single" w:color="auto" w:sz="4" w:space="0"/>
              <w:left w:val="single" w:color="auto" w:sz="4" w:space="0"/>
              <w:bottom w:val="single" w:color="auto" w:sz="4" w:space="0"/>
              <w:right w:val="single" w:color="auto" w:sz="4" w:space="0"/>
            </w:tcBorders>
            <w:vAlign w:val="center"/>
          </w:tcPr>
          <w:p w14:paraId="772AEDC4">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项目组成员要求（15分）</w:t>
            </w:r>
          </w:p>
        </w:tc>
      </w:tr>
      <w:tr w14:paraId="1444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573F8B6D">
            <w:pPr>
              <w:widowControl/>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3BD4B076">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6662" w:type="dxa"/>
            <w:tcBorders>
              <w:top w:val="single" w:color="auto" w:sz="4" w:space="0"/>
              <w:left w:val="single" w:color="auto" w:sz="4" w:space="0"/>
              <w:bottom w:val="single" w:color="auto" w:sz="4" w:space="0"/>
              <w:right w:val="single" w:color="auto" w:sz="4" w:space="0"/>
            </w:tcBorders>
            <w:vAlign w:val="center"/>
          </w:tcPr>
          <w:p w14:paraId="69826CD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（1）外业测量项目负责人：具有测绘高级及以上职称的得2分，同时具备注册测绘师的得4分，本项最高得6分。</w:t>
            </w:r>
          </w:p>
          <w:p w14:paraId="4B975DD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（2）内业数据处理项目负责人：具有高级及以上职称得2分，</w:t>
            </w:r>
            <w:r>
              <w:rPr>
                <w:rFonts w:hint="eastAsia" w:ascii="宋体" w:hAnsi="宋体"/>
                <w:color w:val="auto"/>
                <w:sz w:val="24"/>
                <w:szCs w:val="24"/>
                <w:highlight w:val="none"/>
              </w:rPr>
              <w:t>同时具备系统集成项目管理工程师中级及以上证书再得1分，</w:t>
            </w:r>
            <w:r>
              <w:rPr>
                <w:rFonts w:hint="eastAsia" w:ascii="宋体" w:hAnsi="宋体" w:cs="宋体"/>
                <w:color w:val="auto"/>
                <w:sz w:val="24"/>
                <w:szCs w:val="24"/>
                <w:highlight w:val="none"/>
              </w:rPr>
              <w:t>本项最高得3分。</w:t>
            </w:r>
          </w:p>
          <w:p w14:paraId="08F899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olor w:val="auto"/>
                <w:sz w:val="24"/>
                <w:szCs w:val="24"/>
                <w:highlight w:val="none"/>
              </w:rPr>
              <w:t>提供证书复印件并加盖投标单位公章。以上人员不可重复计分。</w:t>
            </w:r>
          </w:p>
        </w:tc>
        <w:tc>
          <w:tcPr>
            <w:tcW w:w="753" w:type="dxa"/>
            <w:tcBorders>
              <w:top w:val="single" w:color="auto" w:sz="4" w:space="0"/>
              <w:left w:val="single" w:color="auto" w:sz="4" w:space="0"/>
              <w:bottom w:val="single" w:color="auto" w:sz="4" w:space="0"/>
              <w:right w:val="single" w:color="auto" w:sz="4" w:space="0"/>
            </w:tcBorders>
            <w:vAlign w:val="center"/>
          </w:tcPr>
          <w:p w14:paraId="441C7F19">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r>
      <w:tr w14:paraId="0D63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2CB3555B">
            <w:pPr>
              <w:widowControl/>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76DE4984">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6662" w:type="dxa"/>
            <w:tcBorders>
              <w:top w:val="single" w:color="auto" w:sz="4" w:space="0"/>
              <w:left w:val="single" w:color="auto" w:sz="4" w:space="0"/>
              <w:bottom w:val="single" w:color="auto" w:sz="4" w:space="0"/>
              <w:right w:val="single" w:color="auto" w:sz="4" w:space="0"/>
            </w:tcBorders>
            <w:vAlign w:val="center"/>
          </w:tcPr>
          <w:p w14:paraId="18D3C7A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投入的其他人员</w:t>
            </w:r>
            <w:r>
              <w:rPr>
                <w:rFonts w:hint="eastAsia" w:ascii="宋体" w:hAnsi="宋体"/>
                <w:color w:val="auto"/>
                <w:sz w:val="24"/>
                <w:szCs w:val="24"/>
                <w:highlight w:val="none"/>
              </w:rPr>
              <w:t>（项目负责人除外）</w:t>
            </w:r>
            <w:r>
              <w:rPr>
                <w:rFonts w:hint="eastAsia" w:ascii="宋体" w:hAnsi="宋体" w:cs="宋体"/>
                <w:color w:val="auto"/>
                <w:sz w:val="24"/>
                <w:szCs w:val="24"/>
                <w:highlight w:val="none"/>
              </w:rPr>
              <w:t>具备测绘中级及以上职称且同时具备注册测绘师的，有一个得</w:t>
            </w:r>
            <w:r>
              <w:rPr>
                <w:rFonts w:ascii="宋体" w:hAnsi="宋体" w:cs="宋体"/>
                <w:color w:val="auto"/>
                <w:sz w:val="24"/>
                <w:szCs w:val="24"/>
                <w:highlight w:val="none"/>
              </w:rPr>
              <w:t>1</w:t>
            </w:r>
            <w:r>
              <w:rPr>
                <w:rFonts w:hint="eastAsia" w:ascii="宋体" w:hAnsi="宋体" w:cs="宋体"/>
                <w:color w:val="auto"/>
                <w:sz w:val="24"/>
                <w:szCs w:val="24"/>
                <w:highlight w:val="none"/>
              </w:rPr>
              <w:t>分，本项最高6分。</w:t>
            </w:r>
          </w:p>
          <w:p w14:paraId="48B7356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auto"/>
                <w:sz w:val="24"/>
                <w:szCs w:val="24"/>
                <w:highlight w:val="none"/>
              </w:rPr>
            </w:pPr>
            <w:r>
              <w:rPr>
                <w:rFonts w:hint="eastAsia" w:ascii="宋体" w:hAnsi="宋体" w:cs="宋体"/>
                <w:color w:val="auto"/>
                <w:sz w:val="24"/>
                <w:szCs w:val="24"/>
                <w:highlight w:val="none"/>
              </w:rPr>
              <w:t>注：提供证书复印件并加盖投标单位公章。</w:t>
            </w:r>
          </w:p>
        </w:tc>
        <w:tc>
          <w:tcPr>
            <w:tcW w:w="753" w:type="dxa"/>
            <w:tcBorders>
              <w:top w:val="single" w:color="auto" w:sz="4" w:space="0"/>
              <w:left w:val="single" w:color="auto" w:sz="4" w:space="0"/>
              <w:bottom w:val="single" w:color="auto" w:sz="4" w:space="0"/>
              <w:right w:val="single" w:color="auto" w:sz="4" w:space="0"/>
            </w:tcBorders>
            <w:vAlign w:val="center"/>
          </w:tcPr>
          <w:p w14:paraId="3788925A">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r>
      <w:bookmarkEnd w:id="64"/>
    </w:tbl>
    <w:p w14:paraId="350E80E3">
      <w:pPr>
        <w:autoSpaceDE w:val="0"/>
        <w:autoSpaceDN w:val="0"/>
        <w:adjustRightInd w:val="0"/>
        <w:snapToGrid w:val="0"/>
        <w:spacing w:line="360" w:lineRule="auto"/>
        <w:ind w:firstLine="482" w:firstLineChars="200"/>
        <w:jc w:val="left"/>
        <w:rPr>
          <w:rFonts w:hint="eastAsia" w:ascii="宋体" w:hAnsi="宋体" w:cs="宋体"/>
          <w:b/>
          <w:bCs w:val="0"/>
          <w:color w:val="auto"/>
          <w:sz w:val="24"/>
          <w:highlight w:val="none"/>
        </w:rPr>
      </w:pPr>
      <w:r>
        <w:rPr>
          <w:rFonts w:hint="eastAsia" w:ascii="宋体" w:hAnsi="宋体" w:cs="宋体"/>
          <w:b/>
          <w:bCs w:val="0"/>
          <w:color w:val="auto"/>
          <w:sz w:val="24"/>
          <w:highlight w:val="none"/>
        </w:rPr>
        <w:t>2、投标报价评审（65分）</w:t>
      </w:r>
    </w:p>
    <w:p w14:paraId="087354CB">
      <w:pPr>
        <w:autoSpaceDE w:val="0"/>
        <w:autoSpaceDN w:val="0"/>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（1）确定有效报价：投标下浮率以百分数进行的报价，大于0的且至多保留小数点后两位的为有效报价，否则为无效报价，作废标处理。（如：15.12%有效报价，15.123%为无效报价。）。</w:t>
      </w:r>
    </w:p>
    <w:p w14:paraId="4B88986F">
      <w:pPr>
        <w:autoSpaceDE w:val="0"/>
        <w:autoSpaceDN w:val="0"/>
        <w:adjustRightInd w:val="0"/>
        <w:snapToGrid w:val="0"/>
        <w:spacing w:line="360" w:lineRule="auto"/>
        <w:ind w:firstLine="480" w:firstLineChars="200"/>
        <w:jc w:val="left"/>
        <w:rPr>
          <w:rFonts w:hint="eastAsia" w:ascii="宋体" w:hAnsi="宋体" w:cs="宋体"/>
          <w:bCs/>
          <w:color w:val="auto"/>
          <w:sz w:val="24"/>
          <w:highlight w:val="none"/>
          <w:shd w:val="clear" w:color="auto"/>
        </w:rPr>
      </w:pPr>
      <w:r>
        <w:rPr>
          <w:rFonts w:hint="eastAsia" w:ascii="宋体" w:hAnsi="宋体" w:cs="宋体"/>
          <w:bCs/>
          <w:color w:val="auto"/>
          <w:sz w:val="24"/>
          <w:highlight w:val="none"/>
        </w:rPr>
        <w:t>（2）招标控制价：</w:t>
      </w:r>
      <w:r>
        <w:rPr>
          <w:rFonts w:hint="eastAsia" w:ascii="宋体" w:hAnsi="宋体" w:cs="宋体"/>
          <w:b/>
          <w:color w:val="auto"/>
          <w:sz w:val="24"/>
          <w:highlight w:val="none"/>
          <w:u w:val="single"/>
        </w:rPr>
        <w:t>本项目测绘收费参照财政部、国家测绘局颁布《测绘生产成本费用定额》国财建【2009】17号×70%计费，并在此基础上按100%系数下浮率报价，</w:t>
      </w:r>
      <w:r>
        <w:rPr>
          <w:rFonts w:hint="eastAsia" w:ascii="宋体" w:hAnsi="宋体" w:cs="宋体"/>
          <w:b/>
          <w:color w:val="auto"/>
          <w:sz w:val="24"/>
          <w:highlight w:val="none"/>
          <w:u w:val="single"/>
          <w:shd w:val="clear" w:color="auto"/>
        </w:rPr>
        <w:t>执行标准执行文件中对应测量项目的最低困难类别</w:t>
      </w:r>
      <w:r>
        <w:rPr>
          <w:rFonts w:hint="eastAsia" w:ascii="宋体" w:hAnsi="宋体" w:cs="宋体"/>
          <w:bCs/>
          <w:color w:val="auto"/>
          <w:sz w:val="24"/>
          <w:highlight w:val="none"/>
          <w:shd w:val="clear" w:color="auto"/>
        </w:rPr>
        <w:t>。</w:t>
      </w:r>
    </w:p>
    <w:p w14:paraId="524CA600">
      <w:pPr>
        <w:autoSpaceDE w:val="0"/>
        <w:autoSpaceDN w:val="0"/>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（3）确定评标基准价：</w:t>
      </w:r>
    </w:p>
    <w:p w14:paraId="6189395F">
      <w:pPr>
        <w:autoSpaceDE w:val="0"/>
        <w:autoSpaceDN w:val="0"/>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以所有有效投标文件(有效投标文件是指初步评审合格的投标文件，下同)的投标报价的(评标价是指经澄清、补正和修正算术计算错误的投标报价，下同)算术平均值为评标基准价（按四舍五入法，保留两位小数)；</w:t>
      </w:r>
    </w:p>
    <w:p w14:paraId="686AD683">
      <w:pPr>
        <w:widowControl/>
        <w:autoSpaceDN w:val="0"/>
        <w:adjustRightInd w:val="0"/>
        <w:snapToGrid w:val="0"/>
        <w:spacing w:line="360" w:lineRule="auto"/>
        <w:ind w:firstLine="47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（4）计算报价得分</w:t>
      </w:r>
    </w:p>
    <w:p w14:paraId="65B45A18">
      <w:pPr>
        <w:widowControl/>
        <w:autoSpaceDN w:val="0"/>
        <w:adjustRightInd w:val="0"/>
        <w:snapToGrid w:val="0"/>
        <w:spacing w:line="360" w:lineRule="auto"/>
        <w:ind w:firstLine="470"/>
        <w:jc w:val="left"/>
        <w:rPr>
          <w:rFonts w:hint="eastAsia" w:ascii="宋体" w:hAnsi="宋体" w:cs="宋体"/>
          <w:b/>
          <w:color w:val="auto"/>
          <w:sz w:val="24"/>
          <w:szCs w:val="24"/>
          <w:highlight w:val="none"/>
        </w:rPr>
      </w:pPr>
      <w:r>
        <w:rPr>
          <w:rFonts w:hint="eastAsia" w:ascii="宋体" w:hAnsi="宋体" w:cs="宋体"/>
          <w:bCs/>
          <w:color w:val="auto"/>
          <w:sz w:val="24"/>
          <w:szCs w:val="24"/>
          <w:highlight w:val="none"/>
        </w:rPr>
        <w:t>投标人的有效投标报价与评标基准价相等的得65分；投标报价与评标基准价相比较，每增加1%扣0.6分，每减少1%扣0.9分(得分按四舍五入法，保留两位小数)，</w:t>
      </w:r>
      <w:r>
        <w:rPr>
          <w:rFonts w:hint="eastAsia" w:ascii="宋体" w:hAnsi="宋体" w:cs="宋体"/>
          <w:b/>
          <w:color w:val="auto"/>
          <w:sz w:val="24"/>
          <w:szCs w:val="24"/>
          <w:highlight w:val="none"/>
        </w:rPr>
        <w:t>（举例说明：A单位报价20%、B单位报价18%、C单位报价19%，则基准价为19%，A得分65-（20%-19%）*100*0.6=64.4分；B得分65-〡（18%-19%）〡*100*0.9=64.1分）</w:t>
      </w:r>
      <w:r>
        <w:rPr>
          <w:rFonts w:hint="eastAsia" w:ascii="宋体" w:hAnsi="宋体" w:cs="宋体"/>
          <w:bCs/>
          <w:color w:val="auto"/>
          <w:sz w:val="24"/>
          <w:szCs w:val="24"/>
          <w:highlight w:val="none"/>
        </w:rPr>
        <w:t>。</w:t>
      </w:r>
    </w:p>
    <w:p w14:paraId="52F14A3F">
      <w:pPr>
        <w:widowControl/>
        <w:autoSpaceDN w:val="0"/>
        <w:adjustRightInd w:val="0"/>
        <w:snapToGrid w:val="0"/>
        <w:spacing w:line="360" w:lineRule="auto"/>
        <w:ind w:firstLine="470"/>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五、</w:t>
      </w:r>
      <w:r>
        <w:rPr>
          <w:rFonts w:hint="eastAsia" w:ascii="宋体" w:hAnsi="宋体" w:cs="宋体"/>
          <w:b/>
          <w:bCs/>
          <w:color w:val="auto"/>
          <w:sz w:val="24"/>
          <w:szCs w:val="24"/>
          <w:highlight w:val="none"/>
        </w:rPr>
        <w:t>确定中标候选人</w:t>
      </w:r>
    </w:p>
    <w:p w14:paraId="0DBA3293">
      <w:pPr>
        <w:widowControl/>
        <w:autoSpaceDN w:val="0"/>
        <w:adjustRightInd w:val="0"/>
        <w:snapToGrid w:val="0"/>
        <w:spacing w:line="360" w:lineRule="auto"/>
        <w:ind w:firstLine="470"/>
        <w:jc w:val="left"/>
        <w:rPr>
          <w:rFonts w:hint="eastAsia" w:ascii="宋体" w:hAnsi="宋体" w:cs="宋体"/>
          <w:color w:val="auto"/>
          <w:sz w:val="24"/>
          <w:szCs w:val="22"/>
          <w:highlight w:val="none"/>
        </w:rPr>
      </w:pPr>
      <w:r>
        <w:rPr>
          <w:rFonts w:hint="eastAsia" w:ascii="宋体" w:hAnsi="宋体" w:cs="宋体"/>
          <w:color w:val="auto"/>
          <w:sz w:val="24"/>
          <w:szCs w:val="22"/>
          <w:highlight w:val="none"/>
        </w:rPr>
        <w:t>总得分=商务标得分，得分保留两位小数。评标委员会按照各投标人的总得分从高到低的顺序依次推荐前三名为第一、第二、第三中标候选人。若总得分相同时，则按下列办法确定：</w:t>
      </w:r>
    </w:p>
    <w:p w14:paraId="3B32E328">
      <w:pPr>
        <w:widowControl/>
        <w:autoSpaceDN w:val="0"/>
        <w:adjustRightInd w:val="0"/>
        <w:snapToGrid w:val="0"/>
        <w:spacing w:line="360" w:lineRule="auto"/>
        <w:ind w:firstLine="470"/>
        <w:jc w:val="left"/>
        <w:rPr>
          <w:rFonts w:hint="eastAsia" w:ascii="宋体" w:hAnsi="宋体" w:cs="宋体"/>
          <w:color w:val="auto"/>
          <w:sz w:val="24"/>
          <w:szCs w:val="22"/>
          <w:highlight w:val="none"/>
        </w:rPr>
      </w:pPr>
      <w:r>
        <w:rPr>
          <w:rFonts w:hint="eastAsia" w:ascii="宋体" w:hAnsi="宋体" w:cs="宋体"/>
          <w:color w:val="auto"/>
          <w:sz w:val="24"/>
          <w:szCs w:val="22"/>
          <w:highlight w:val="none"/>
        </w:rPr>
        <w:t>①若报价不同，则</w:t>
      </w:r>
      <w:r>
        <w:rPr>
          <w:rFonts w:hint="eastAsia" w:ascii="宋体" w:hAnsi="宋体" w:cs="宋体"/>
          <w:b/>
          <w:bCs/>
          <w:color w:val="auto"/>
          <w:sz w:val="24"/>
          <w:szCs w:val="22"/>
          <w:highlight w:val="none"/>
        </w:rPr>
        <w:t>报价下浮率高者</w:t>
      </w:r>
      <w:r>
        <w:rPr>
          <w:rFonts w:hint="eastAsia" w:ascii="宋体" w:hAnsi="宋体" w:cs="宋体"/>
          <w:color w:val="auto"/>
          <w:sz w:val="24"/>
          <w:szCs w:val="22"/>
          <w:highlight w:val="none"/>
        </w:rPr>
        <w:t>优先中标；</w:t>
      </w:r>
    </w:p>
    <w:p w14:paraId="2A414063">
      <w:pPr>
        <w:widowControl/>
        <w:adjustRightInd w:val="0"/>
        <w:snapToGrid w:val="0"/>
        <w:spacing w:line="360" w:lineRule="auto"/>
        <w:ind w:firstLine="470" w:firstLineChars="196"/>
        <w:jc w:val="left"/>
        <w:rPr>
          <w:rFonts w:hint="eastAsia" w:ascii="宋体" w:hAnsi="宋体" w:cs="宋体"/>
          <w:color w:val="auto"/>
          <w:sz w:val="24"/>
          <w:szCs w:val="22"/>
          <w:highlight w:val="none"/>
        </w:rPr>
      </w:pPr>
      <w:r>
        <w:rPr>
          <w:rFonts w:hint="eastAsia" w:ascii="宋体" w:hAnsi="宋体" w:cs="宋体"/>
          <w:color w:val="auto"/>
          <w:sz w:val="24"/>
          <w:szCs w:val="22"/>
          <w:highlight w:val="none"/>
        </w:rPr>
        <w:t>②若报价相同，则由招标人现场抽签确定中标人。</w:t>
      </w:r>
    </w:p>
    <w:p w14:paraId="244FDB0D">
      <w:pPr>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6934755">
      <w:pPr>
        <w:adjustRightInd w:val="0"/>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七、评标过程如遇特殊情况，评标委员会具有最终解释权。</w:t>
      </w:r>
    </w:p>
    <w:p w14:paraId="7B2457E6">
      <w:pPr>
        <w:adjustRightInd w:val="0"/>
        <w:snapToGrid w:val="0"/>
        <w:spacing w:line="360" w:lineRule="auto"/>
        <w:rPr>
          <w:rFonts w:hint="eastAsia" w:ascii="宋体" w:hAnsi="宋体" w:cs="宋体"/>
          <w:b/>
          <w:color w:val="auto"/>
          <w:sz w:val="24"/>
          <w:szCs w:val="24"/>
          <w:highlight w:val="none"/>
        </w:rPr>
      </w:pPr>
    </w:p>
    <w:p w14:paraId="3C4D1275">
      <w:pPr>
        <w:adjustRightInd w:val="0"/>
        <w:snapToGrid w:val="0"/>
        <w:spacing w:line="360" w:lineRule="auto"/>
        <w:rPr>
          <w:rFonts w:hint="eastAsia" w:ascii="宋体" w:hAnsi="宋体" w:cs="宋体"/>
          <w:b/>
          <w:color w:val="auto"/>
          <w:sz w:val="24"/>
          <w:szCs w:val="24"/>
          <w:highlight w:val="none"/>
        </w:rPr>
      </w:pPr>
    </w:p>
    <w:p w14:paraId="4E7CC349">
      <w:pPr>
        <w:pStyle w:val="5"/>
        <w:keepNext/>
        <w:keepLines/>
        <w:adjustRightInd w:val="0"/>
        <w:snapToGrid w:val="0"/>
        <w:spacing w:before="0" w:after="0" w:line="360" w:lineRule="auto"/>
        <w:jc w:val="center"/>
        <w:rPr>
          <w:rFonts w:ascii="宋体" w:hAnsi="宋体" w:cs="宋体"/>
          <w:bCs/>
          <w:color w:val="auto"/>
          <w:szCs w:val="44"/>
          <w:highlight w:val="none"/>
        </w:rPr>
      </w:pPr>
      <w:r>
        <w:rPr>
          <w:rFonts w:hint="eastAsia" w:ascii="宋体" w:hAnsi="宋体" w:cs="宋体"/>
          <w:bCs/>
          <w:color w:val="auto"/>
          <w:szCs w:val="44"/>
          <w:highlight w:val="none"/>
        </w:rPr>
        <w:br w:type="page"/>
      </w:r>
      <w:bookmarkStart w:id="65" w:name="_Toc30217"/>
      <w:bookmarkStart w:id="66" w:name="_Toc29795"/>
      <w:bookmarkStart w:id="67" w:name="_Toc5454"/>
    </w:p>
    <w:p w14:paraId="73C9EEBD">
      <w:pPr>
        <w:pStyle w:val="5"/>
        <w:keepNext/>
        <w:keepLines/>
        <w:adjustRightInd w:val="0"/>
        <w:snapToGrid w:val="0"/>
        <w:spacing w:before="0" w:after="0"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第三章 合同部分条款</w:t>
      </w:r>
      <w:bookmarkEnd w:id="65"/>
      <w:bookmarkEnd w:id="66"/>
      <w:bookmarkEnd w:id="67"/>
    </w:p>
    <w:p w14:paraId="24D8B981">
      <w:pPr>
        <w:pStyle w:val="49"/>
        <w:widowControl w:val="0"/>
        <w:adjustRightInd w:val="0"/>
        <w:snapToGrid w:val="0"/>
        <w:spacing w:before="0" w:after="0" w:line="360" w:lineRule="auto"/>
        <w:rPr>
          <w:rFonts w:hint="eastAsia" w:hAnsi="宋体" w:cs="宋体"/>
          <w:color w:val="auto"/>
          <w:highlight w:val="none"/>
        </w:rPr>
      </w:pPr>
      <w:bookmarkStart w:id="68" w:name="_Toc513206273"/>
      <w:r>
        <w:rPr>
          <w:rFonts w:hint="eastAsia" w:hAnsi="宋体" w:cs="宋体"/>
          <w:color w:val="auto"/>
          <w:highlight w:val="none"/>
        </w:rPr>
        <w:t>委托单位：</w:t>
      </w:r>
      <w:r>
        <w:rPr>
          <w:rFonts w:hint="eastAsia" w:hAnsi="宋体" w:cs="宋体"/>
          <w:color w:val="auto"/>
          <w:highlight w:val="none"/>
          <w:u w:val="single"/>
        </w:rPr>
        <w:t>南通市崇川区城市工程建设管理中心</w:t>
      </w:r>
      <w:r>
        <w:rPr>
          <w:rFonts w:hint="eastAsia" w:hAnsi="宋体" w:cs="宋体"/>
          <w:color w:val="auto"/>
          <w:highlight w:val="none"/>
        </w:rPr>
        <w:t xml:space="preserve">（以下简称甲方）          </w:t>
      </w:r>
    </w:p>
    <w:p w14:paraId="2951529F">
      <w:pPr>
        <w:pStyle w:val="49"/>
        <w:widowControl w:val="0"/>
        <w:adjustRightInd w:val="0"/>
        <w:snapToGrid w:val="0"/>
        <w:spacing w:before="0" w:after="0" w:line="360" w:lineRule="auto"/>
        <w:rPr>
          <w:rFonts w:hint="eastAsia" w:hAnsi="宋体" w:cs="宋体"/>
          <w:color w:val="auto"/>
          <w:highlight w:val="none"/>
        </w:rPr>
      </w:pPr>
      <w:r>
        <w:rPr>
          <w:rFonts w:hint="eastAsia" w:hAnsi="宋体" w:cs="宋体"/>
          <w:color w:val="auto"/>
          <w:highlight w:val="none"/>
        </w:rPr>
        <w:t>测量单位：</w:t>
      </w:r>
      <w:r>
        <w:rPr>
          <w:rFonts w:hint="eastAsia" w:hAnsi="宋体" w:cs="宋体"/>
          <w:color w:val="auto"/>
          <w:highlight w:val="none"/>
          <w:u w:val="single"/>
        </w:rPr>
        <w:t xml:space="preserve">                     </w:t>
      </w:r>
      <w:r>
        <w:rPr>
          <w:rFonts w:hint="eastAsia" w:hAnsi="宋体" w:cs="宋体"/>
          <w:color w:val="auto"/>
          <w:highlight w:val="none"/>
        </w:rPr>
        <w:t xml:space="preserve">（以下简称乙方） 　     </w:t>
      </w:r>
    </w:p>
    <w:p w14:paraId="2FDB5F8D">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根据《中华人民共和国民法典》、《中华人民共和国测绘法》和有关法律法规，经双方协商一致签订本合同。 </w:t>
      </w:r>
    </w:p>
    <w:p w14:paraId="0DED6A22">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第一条   测绘范围： 2026年度南通市崇川区城市工程建设管理中心建设项目测绘服务</w:t>
      </w:r>
    </w:p>
    <w:p w14:paraId="680D5FE2">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第二条   测绘内容：</w:t>
      </w:r>
      <w:r>
        <w:rPr>
          <w:rFonts w:hint="eastAsia" w:hAnsi="宋体" w:cs="宋体"/>
          <w:color w:val="auto"/>
          <w:szCs w:val="24"/>
          <w:highlight w:val="none"/>
        </w:rPr>
        <w:t>结合项目实施进度安排，至2026年12月底期间（招标完成、中标通知书发出后），</w:t>
      </w:r>
      <w:r>
        <w:rPr>
          <w:rFonts w:hint="eastAsia" w:hAnsi="宋体" w:cs="宋体"/>
          <w:b/>
          <w:color w:val="auto"/>
          <w:highlight w:val="none"/>
        </w:rPr>
        <w:t>按照相关法律法规、相关职能部门要求、关于印发《南通市区开展工程建设项目“多测合一”改革的意见（试行）》的通知（通自然资规发[2023]133号）等文件精神、甲方具体要求，充分考虑现场情况及其他需考虑的各种因素（包括报告书的编制费用、技术服务费用、会务费用等所有费用），</w:t>
      </w:r>
      <w:r>
        <w:rPr>
          <w:rFonts w:hint="eastAsia" w:hAnsi="宋体" w:cs="宋体"/>
          <w:color w:val="auto"/>
          <w:szCs w:val="24"/>
          <w:highlight w:val="none"/>
        </w:rPr>
        <w:t>对南通市崇川区城市工程建设管理中心负责实施的项目进行测绘服务。</w:t>
      </w:r>
    </w:p>
    <w:p w14:paraId="64245085">
      <w:pPr>
        <w:pStyle w:val="49"/>
        <w:widowControl w:val="0"/>
        <w:adjustRightInd w:val="0"/>
        <w:snapToGrid w:val="0"/>
        <w:spacing w:before="0" w:after="0"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第三条   测绘时间：乙方在接受甲方委托之日起，</w:t>
      </w:r>
      <w:r>
        <w:rPr>
          <w:rFonts w:hint="eastAsia" w:hAnsi="宋体" w:cs="宋体"/>
          <w:color w:val="auto"/>
          <w:highlight w:val="none"/>
        </w:rPr>
        <w:t>按合同规定时间提供成果。</w:t>
      </w:r>
    </w:p>
    <w:tbl>
      <w:tblPr>
        <w:tblStyle w:val="53"/>
        <w:tblW w:w="6879" w:type="dxa"/>
        <w:tblInd w:w="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227"/>
      </w:tblGrid>
      <w:tr w14:paraId="2F6B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trPr>
        <w:tc>
          <w:tcPr>
            <w:tcW w:w="3652" w:type="dxa"/>
            <w:vAlign w:val="center"/>
          </w:tcPr>
          <w:p w14:paraId="6031DBFA">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工作内容</w:t>
            </w:r>
          </w:p>
        </w:tc>
        <w:tc>
          <w:tcPr>
            <w:tcW w:w="3227" w:type="dxa"/>
            <w:vAlign w:val="center"/>
          </w:tcPr>
          <w:p w14:paraId="73D0E19B">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测绘成果交付时间</w:t>
            </w:r>
          </w:p>
        </w:tc>
      </w:tr>
      <w:tr w14:paraId="05CD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652" w:type="dxa"/>
            <w:vAlign w:val="center"/>
          </w:tcPr>
          <w:p w14:paraId="5931AEB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原始地表测量</w:t>
            </w:r>
          </w:p>
        </w:tc>
        <w:tc>
          <w:tcPr>
            <w:tcW w:w="3227" w:type="dxa"/>
            <w:vAlign w:val="center"/>
          </w:tcPr>
          <w:p w14:paraId="6208C72C">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5天</w:t>
            </w:r>
          </w:p>
        </w:tc>
      </w:tr>
      <w:tr w14:paraId="542F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652" w:type="dxa"/>
            <w:vAlign w:val="center"/>
          </w:tcPr>
          <w:p w14:paraId="423BEC0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记录册编制</w:t>
            </w:r>
          </w:p>
        </w:tc>
        <w:tc>
          <w:tcPr>
            <w:tcW w:w="3227" w:type="dxa"/>
            <w:vAlign w:val="center"/>
          </w:tcPr>
          <w:p w14:paraId="0FDAB3C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5天</w:t>
            </w:r>
          </w:p>
        </w:tc>
      </w:tr>
      <w:tr w14:paraId="382B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652" w:type="dxa"/>
            <w:vAlign w:val="center"/>
          </w:tcPr>
          <w:p w14:paraId="334E5C74">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规划环境测量</w:t>
            </w:r>
          </w:p>
        </w:tc>
        <w:tc>
          <w:tcPr>
            <w:tcW w:w="3227" w:type="dxa"/>
            <w:vAlign w:val="center"/>
          </w:tcPr>
          <w:p w14:paraId="603DA68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5天</w:t>
            </w:r>
          </w:p>
        </w:tc>
      </w:tr>
      <w:tr w14:paraId="0830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652" w:type="dxa"/>
            <w:vAlign w:val="center"/>
          </w:tcPr>
          <w:p w14:paraId="774CE406">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工程水准测量</w:t>
            </w:r>
          </w:p>
        </w:tc>
        <w:tc>
          <w:tcPr>
            <w:tcW w:w="3227" w:type="dxa"/>
            <w:vAlign w:val="center"/>
          </w:tcPr>
          <w:p w14:paraId="5BD4A7A6">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5天</w:t>
            </w:r>
          </w:p>
        </w:tc>
      </w:tr>
      <w:tr w14:paraId="6777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652" w:type="dxa"/>
            <w:vAlign w:val="center"/>
          </w:tcPr>
          <w:p w14:paraId="45D2B506">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平面控制测量</w:t>
            </w:r>
          </w:p>
        </w:tc>
        <w:tc>
          <w:tcPr>
            <w:tcW w:w="3227" w:type="dxa"/>
            <w:vAlign w:val="center"/>
          </w:tcPr>
          <w:p w14:paraId="3F7786B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5天</w:t>
            </w:r>
          </w:p>
        </w:tc>
      </w:tr>
      <w:tr w14:paraId="18AD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652" w:type="dxa"/>
            <w:vAlign w:val="center"/>
          </w:tcPr>
          <w:p w14:paraId="7D8BFA7D">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定位放线</w:t>
            </w:r>
          </w:p>
        </w:tc>
        <w:tc>
          <w:tcPr>
            <w:tcW w:w="3227" w:type="dxa"/>
            <w:vAlign w:val="center"/>
          </w:tcPr>
          <w:p w14:paraId="7E15781B">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5天</w:t>
            </w:r>
          </w:p>
        </w:tc>
      </w:tr>
      <w:tr w14:paraId="75FC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652" w:type="dxa"/>
            <w:vAlign w:val="center"/>
          </w:tcPr>
          <w:p w14:paraId="567FEF9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竣工地形图测量</w:t>
            </w:r>
          </w:p>
        </w:tc>
        <w:tc>
          <w:tcPr>
            <w:tcW w:w="3227" w:type="dxa"/>
            <w:vAlign w:val="center"/>
          </w:tcPr>
          <w:p w14:paraId="05179D5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60天</w:t>
            </w:r>
          </w:p>
        </w:tc>
      </w:tr>
      <w:tr w14:paraId="6DBB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652" w:type="dxa"/>
            <w:vAlign w:val="center"/>
          </w:tcPr>
          <w:p w14:paraId="61ACA96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楼高间距</w:t>
            </w:r>
          </w:p>
        </w:tc>
        <w:tc>
          <w:tcPr>
            <w:tcW w:w="3227" w:type="dxa"/>
            <w:vAlign w:val="center"/>
          </w:tcPr>
          <w:p w14:paraId="37EBD79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60天</w:t>
            </w:r>
          </w:p>
        </w:tc>
      </w:tr>
      <w:tr w14:paraId="7EED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3652" w:type="dxa"/>
            <w:vAlign w:val="center"/>
          </w:tcPr>
          <w:p w14:paraId="52996C5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建筑面积</w:t>
            </w:r>
          </w:p>
        </w:tc>
        <w:tc>
          <w:tcPr>
            <w:tcW w:w="3227" w:type="dxa"/>
            <w:vAlign w:val="center"/>
          </w:tcPr>
          <w:p w14:paraId="62DE22E4">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60天</w:t>
            </w:r>
          </w:p>
        </w:tc>
      </w:tr>
      <w:tr w14:paraId="3E7C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52" w:type="dxa"/>
            <w:vAlign w:val="center"/>
          </w:tcPr>
          <w:p w14:paraId="74276E5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地理数据加工</w:t>
            </w:r>
          </w:p>
        </w:tc>
        <w:tc>
          <w:tcPr>
            <w:tcW w:w="3227" w:type="dxa"/>
            <w:vAlign w:val="center"/>
          </w:tcPr>
          <w:p w14:paraId="27C1523B">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60天</w:t>
            </w:r>
          </w:p>
        </w:tc>
      </w:tr>
      <w:tr w14:paraId="039B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52" w:type="dxa"/>
            <w:vAlign w:val="center"/>
          </w:tcPr>
          <w:p w14:paraId="463C190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绿地现状调查</w:t>
            </w:r>
          </w:p>
        </w:tc>
        <w:tc>
          <w:tcPr>
            <w:tcW w:w="3227" w:type="dxa"/>
            <w:vAlign w:val="center"/>
          </w:tcPr>
          <w:p w14:paraId="0A97FB9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60天</w:t>
            </w:r>
          </w:p>
        </w:tc>
      </w:tr>
      <w:tr w14:paraId="3CA5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52" w:type="dxa"/>
            <w:vAlign w:val="center"/>
          </w:tcPr>
          <w:p w14:paraId="729F201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变形测量</w:t>
            </w:r>
          </w:p>
        </w:tc>
        <w:tc>
          <w:tcPr>
            <w:tcW w:w="3227" w:type="dxa"/>
            <w:vAlign w:val="center"/>
          </w:tcPr>
          <w:p w14:paraId="5D9F204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施工周期</w:t>
            </w:r>
          </w:p>
        </w:tc>
      </w:tr>
      <w:tr w14:paraId="549C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52" w:type="dxa"/>
            <w:vAlign w:val="center"/>
          </w:tcPr>
          <w:p w14:paraId="407A23E2">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基础地理数据转换</w:t>
            </w:r>
          </w:p>
        </w:tc>
        <w:tc>
          <w:tcPr>
            <w:tcW w:w="3227" w:type="dxa"/>
            <w:vAlign w:val="center"/>
          </w:tcPr>
          <w:p w14:paraId="28BF794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4小时内</w:t>
            </w:r>
          </w:p>
        </w:tc>
      </w:tr>
      <w:tr w14:paraId="6B94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52" w:type="dxa"/>
            <w:vAlign w:val="center"/>
          </w:tcPr>
          <w:p w14:paraId="15CEAA0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人防工程测绘</w:t>
            </w:r>
          </w:p>
        </w:tc>
        <w:tc>
          <w:tcPr>
            <w:tcW w:w="3227" w:type="dxa"/>
            <w:vAlign w:val="center"/>
          </w:tcPr>
          <w:p w14:paraId="345CEA4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60天</w:t>
            </w:r>
          </w:p>
        </w:tc>
      </w:tr>
      <w:tr w14:paraId="4CD3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52" w:type="dxa"/>
            <w:vAlign w:val="center"/>
          </w:tcPr>
          <w:p w14:paraId="4BFCB73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管线工程测绘</w:t>
            </w:r>
          </w:p>
        </w:tc>
        <w:tc>
          <w:tcPr>
            <w:tcW w:w="3227" w:type="dxa"/>
            <w:vAlign w:val="center"/>
          </w:tcPr>
          <w:p w14:paraId="390D431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60天</w:t>
            </w:r>
          </w:p>
        </w:tc>
      </w:tr>
    </w:tbl>
    <w:p w14:paraId="76E7C217">
      <w:pPr>
        <w:pStyle w:val="50"/>
        <w:adjustRightInd w:val="0"/>
        <w:snapToGrid w:val="0"/>
        <w:spacing w:line="360" w:lineRule="auto"/>
        <w:ind w:left="0"/>
        <w:rPr>
          <w:rFonts w:hint="eastAsia" w:ascii="宋体" w:hAnsi="宋体" w:cs="宋体"/>
          <w:color w:val="auto"/>
          <w:sz w:val="24"/>
          <w:szCs w:val="24"/>
          <w:highlight w:val="none"/>
        </w:rPr>
      </w:pPr>
    </w:p>
    <w:p w14:paraId="340DD1F6">
      <w:pPr>
        <w:pStyle w:val="50"/>
        <w:adjustRightInd w:val="0"/>
        <w:snapToGrid w:val="0"/>
        <w:spacing w:line="360"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测绘内容包含但不限于上表中内容，中标单位需根据相关规范及甲方要求完成必须的测绘内容。费用包含在合同价中，不作调整。</w:t>
      </w:r>
    </w:p>
    <w:p w14:paraId="113C8989">
      <w:pPr>
        <w:adjustRightInd w:val="0"/>
        <w:snapToGrid w:val="0"/>
        <w:spacing w:line="360" w:lineRule="auto"/>
        <w:rPr>
          <w:rFonts w:hint="eastAsia" w:ascii="宋体" w:hAnsi="宋体" w:cs="宋体"/>
          <w:color w:val="auto"/>
          <w:sz w:val="20"/>
          <w:highlight w:val="none"/>
        </w:rPr>
      </w:pPr>
    </w:p>
    <w:p w14:paraId="5A7504F7">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第四条   执行技术标准： </w:t>
      </w:r>
    </w:p>
    <w:tbl>
      <w:tblPr>
        <w:tblStyle w:val="53"/>
        <w:tblW w:w="9198"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0" w:type="dxa"/>
          <w:left w:w="30" w:type="dxa"/>
          <w:bottom w:w="30" w:type="dxa"/>
          <w:right w:w="30" w:type="dxa"/>
        </w:tblCellMar>
      </w:tblPr>
      <w:tblGrid>
        <w:gridCol w:w="812"/>
        <w:gridCol w:w="3436"/>
        <w:gridCol w:w="2156"/>
        <w:gridCol w:w="2794"/>
      </w:tblGrid>
      <w:tr w14:paraId="02D7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7" w:type="dxa"/>
          <w:jc w:val="center"/>
        </w:trPr>
        <w:tc>
          <w:tcPr>
            <w:tcW w:w="791" w:type="dxa"/>
            <w:vAlign w:val="center"/>
          </w:tcPr>
          <w:p w14:paraId="564C5A6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 号</w:t>
            </w:r>
          </w:p>
        </w:tc>
        <w:tc>
          <w:tcPr>
            <w:tcW w:w="3422" w:type="dxa"/>
            <w:vAlign w:val="center"/>
          </w:tcPr>
          <w:p w14:paraId="4A35507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标 准 名 称</w:t>
            </w:r>
          </w:p>
        </w:tc>
        <w:tc>
          <w:tcPr>
            <w:tcW w:w="2142" w:type="dxa"/>
            <w:vAlign w:val="center"/>
          </w:tcPr>
          <w:p w14:paraId="7A5C319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标 准 代 号</w:t>
            </w:r>
          </w:p>
        </w:tc>
        <w:tc>
          <w:tcPr>
            <w:tcW w:w="2773" w:type="dxa"/>
            <w:vAlign w:val="center"/>
          </w:tcPr>
          <w:p w14:paraId="3DE7DB61">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标 准 级 别</w:t>
            </w:r>
          </w:p>
        </w:tc>
      </w:tr>
      <w:tr w14:paraId="2927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7" w:type="dxa"/>
          <w:jc w:val="center"/>
        </w:trPr>
        <w:tc>
          <w:tcPr>
            <w:tcW w:w="791" w:type="dxa"/>
            <w:vAlign w:val="center"/>
          </w:tcPr>
          <w:p w14:paraId="304F47DF">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422" w:type="dxa"/>
            <w:vAlign w:val="center"/>
          </w:tcPr>
          <w:p w14:paraId="6C850583">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《城市测量规范》</w:t>
            </w:r>
          </w:p>
        </w:tc>
        <w:tc>
          <w:tcPr>
            <w:tcW w:w="2142" w:type="dxa"/>
            <w:vAlign w:val="center"/>
          </w:tcPr>
          <w:p w14:paraId="463158B8">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CJJ/T8-2011</w:t>
            </w:r>
          </w:p>
        </w:tc>
        <w:tc>
          <w:tcPr>
            <w:tcW w:w="2773" w:type="dxa"/>
            <w:vAlign w:val="center"/>
          </w:tcPr>
          <w:p w14:paraId="6E25547F">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行业标准</w:t>
            </w:r>
          </w:p>
        </w:tc>
      </w:tr>
      <w:tr w14:paraId="45F2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7" w:type="dxa"/>
          <w:jc w:val="center"/>
        </w:trPr>
        <w:tc>
          <w:tcPr>
            <w:tcW w:w="791" w:type="dxa"/>
            <w:vAlign w:val="center"/>
          </w:tcPr>
          <w:p w14:paraId="6AAD750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3422" w:type="dxa"/>
            <w:vAlign w:val="center"/>
          </w:tcPr>
          <w:p w14:paraId="1B6FFEF7">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《工程测量规范》</w:t>
            </w:r>
          </w:p>
        </w:tc>
        <w:tc>
          <w:tcPr>
            <w:tcW w:w="2142" w:type="dxa"/>
            <w:vAlign w:val="center"/>
          </w:tcPr>
          <w:p w14:paraId="329506A6">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GB 50026-2007</w:t>
            </w:r>
          </w:p>
        </w:tc>
        <w:tc>
          <w:tcPr>
            <w:tcW w:w="2773" w:type="dxa"/>
            <w:vAlign w:val="center"/>
          </w:tcPr>
          <w:p w14:paraId="1A2CDBA2">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国家标准</w:t>
            </w:r>
          </w:p>
        </w:tc>
      </w:tr>
      <w:tr w14:paraId="0383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7" w:type="dxa"/>
          <w:jc w:val="center"/>
        </w:trPr>
        <w:tc>
          <w:tcPr>
            <w:tcW w:w="791" w:type="dxa"/>
            <w:vAlign w:val="center"/>
          </w:tcPr>
          <w:p w14:paraId="07260F3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3422" w:type="dxa"/>
            <w:vAlign w:val="center"/>
          </w:tcPr>
          <w:p w14:paraId="5A215A76">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《建筑变形测量规范》</w:t>
            </w:r>
          </w:p>
        </w:tc>
        <w:tc>
          <w:tcPr>
            <w:tcW w:w="2142" w:type="dxa"/>
            <w:vAlign w:val="center"/>
          </w:tcPr>
          <w:p w14:paraId="4C983948">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JGJ 8-2016</w:t>
            </w:r>
          </w:p>
        </w:tc>
        <w:tc>
          <w:tcPr>
            <w:tcW w:w="2773" w:type="dxa"/>
            <w:vAlign w:val="center"/>
          </w:tcPr>
          <w:p w14:paraId="06DA65E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行业标准</w:t>
            </w:r>
          </w:p>
        </w:tc>
      </w:tr>
    </w:tbl>
    <w:p w14:paraId="6388D548">
      <w:pPr>
        <w:pStyle w:val="49"/>
        <w:widowControl w:val="0"/>
        <w:adjustRightInd w:val="0"/>
        <w:snapToGrid w:val="0"/>
        <w:spacing w:before="0" w:after="0" w:line="360" w:lineRule="auto"/>
        <w:rPr>
          <w:rFonts w:hint="eastAsia" w:hAnsi="宋体" w:cs="宋体"/>
          <w:color w:val="auto"/>
          <w:highlight w:val="none"/>
        </w:rPr>
      </w:pPr>
      <w:r>
        <w:rPr>
          <w:rFonts w:hint="eastAsia" w:hAnsi="宋体" w:cs="宋体"/>
          <w:color w:val="auto"/>
          <w:highlight w:val="none"/>
        </w:rPr>
        <w:t>注：在招标期限内如有新规范标准，按新规范标准执行</w:t>
      </w:r>
    </w:p>
    <w:p w14:paraId="136B1376">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第五条   测绘工程费： </w:t>
      </w:r>
    </w:p>
    <w:p w14:paraId="0DD6435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1、中标下浮率为</w:t>
      </w:r>
      <w:r>
        <w:rPr>
          <w:rFonts w:hint="eastAsia" w:ascii="宋体" w:hAnsi="宋体" w:cs="宋体"/>
          <w:color w:val="auto"/>
          <w:sz w:val="24"/>
          <w:highlight w:val="none"/>
          <w:u w:val="single"/>
        </w:rPr>
        <w:t>百分之    （      %）</w:t>
      </w:r>
    </w:p>
    <w:p w14:paraId="6FE290F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2、本项目</w:t>
      </w:r>
      <w:r>
        <w:rPr>
          <w:rFonts w:hint="eastAsia" w:ascii="宋体" w:hAnsi="宋体" w:cs="宋体"/>
          <w:bCs/>
          <w:color w:val="auto"/>
          <w:sz w:val="24"/>
          <w:highlight w:val="none"/>
          <w:lang w:val="zh-CN"/>
        </w:rPr>
        <w:t>履约保证金</w:t>
      </w:r>
      <w:r>
        <w:rPr>
          <w:rFonts w:hint="eastAsia" w:ascii="宋体" w:hAnsi="宋体" w:cs="宋体"/>
          <w:bCs/>
          <w:color w:val="auto"/>
          <w:highlight w:val="none"/>
          <w:lang w:val="zh-CN"/>
        </w:rPr>
        <w:t>：</w:t>
      </w:r>
      <w:r>
        <w:rPr>
          <w:rFonts w:hint="eastAsia" w:ascii="宋体" w:hAnsi="宋体" w:cs="宋体"/>
          <w:bCs/>
          <w:color w:val="auto"/>
          <w:highlight w:val="none"/>
          <w:u w:val="single"/>
        </w:rPr>
        <w:t>10000</w:t>
      </w:r>
      <w:r>
        <w:rPr>
          <w:rFonts w:hint="eastAsia" w:ascii="宋体" w:hAnsi="宋体" w:cs="宋体"/>
          <w:bCs/>
          <w:color w:val="auto"/>
          <w:highlight w:val="none"/>
        </w:rPr>
        <w:t>元</w:t>
      </w:r>
      <w:r>
        <w:rPr>
          <w:rFonts w:hint="eastAsia" w:ascii="宋体" w:hAnsi="宋体" w:cs="宋体"/>
          <w:bCs/>
          <w:color w:val="auto"/>
          <w:highlight w:val="none"/>
          <w:lang w:val="zh-CN"/>
        </w:rPr>
        <w:t>；</w:t>
      </w:r>
      <w:r>
        <w:rPr>
          <w:rFonts w:hint="eastAsia" w:ascii="宋体" w:hAnsi="宋体" w:cs="宋体"/>
          <w:color w:val="auto"/>
          <w:sz w:val="24"/>
          <w:highlight w:val="none"/>
        </w:rPr>
        <w:t>在按要求保质保量的完成，待2026年度所有测绘工作内容全部履行完成后，一次性无息退还履约保证金。</w:t>
      </w:r>
    </w:p>
    <w:p w14:paraId="61E103B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本项目测绘收费参照财政部、国家测绘局颁布《测绘生产成本费用定额》国财建【2009】17号，在此收费基础上×70%计费，并在此基础上按中标下浮率结算。为了最终结算统一，收费标准统一按Ⅰ类定额进行取费，如无Ⅰ类定额按Ⅱ类定额收费。定额中未明确的按照下表设定定额执行，结算按照下表定额标准×（1-中标下浮率）。</w:t>
      </w:r>
    </w:p>
    <w:tbl>
      <w:tblPr>
        <w:tblStyle w:val="53"/>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1018"/>
        <w:gridCol w:w="1801"/>
        <w:gridCol w:w="4437"/>
      </w:tblGrid>
      <w:tr w14:paraId="72E1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722" w:type="dxa"/>
            <w:vAlign w:val="center"/>
          </w:tcPr>
          <w:p w14:paraId="10585A2D">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工作内容</w:t>
            </w:r>
          </w:p>
        </w:tc>
        <w:tc>
          <w:tcPr>
            <w:tcW w:w="1018" w:type="dxa"/>
            <w:vAlign w:val="center"/>
          </w:tcPr>
          <w:p w14:paraId="288829E5">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单位</w:t>
            </w:r>
          </w:p>
        </w:tc>
        <w:tc>
          <w:tcPr>
            <w:tcW w:w="1801" w:type="dxa"/>
            <w:vAlign w:val="center"/>
          </w:tcPr>
          <w:p w14:paraId="0ABBFCDA">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定额标准</w:t>
            </w:r>
          </w:p>
        </w:tc>
        <w:tc>
          <w:tcPr>
            <w:tcW w:w="4437" w:type="dxa"/>
            <w:vAlign w:val="center"/>
          </w:tcPr>
          <w:p w14:paraId="68DFF5AF">
            <w:pP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备注</w:t>
            </w:r>
          </w:p>
        </w:tc>
      </w:tr>
      <w:tr w14:paraId="00A3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2" w:type="dxa"/>
            <w:vAlign w:val="center"/>
          </w:tcPr>
          <w:p w14:paraId="42A797D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原始地表测量</w:t>
            </w:r>
          </w:p>
        </w:tc>
        <w:tc>
          <w:tcPr>
            <w:tcW w:w="1018" w:type="dxa"/>
            <w:vAlign w:val="center"/>
          </w:tcPr>
          <w:p w14:paraId="32793EC4">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平米</w:t>
            </w:r>
          </w:p>
        </w:tc>
        <w:tc>
          <w:tcPr>
            <w:tcW w:w="1801" w:type="dxa"/>
            <w:vAlign w:val="center"/>
          </w:tcPr>
          <w:p w14:paraId="7069C45C">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0.15元/㎡</w:t>
            </w:r>
          </w:p>
        </w:tc>
        <w:tc>
          <w:tcPr>
            <w:tcW w:w="4437" w:type="dxa"/>
            <w:vAlign w:val="center"/>
          </w:tcPr>
          <w:p w14:paraId="249EF17D">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测量现状地表标高（含水下），配合做好现场工程审计工作</w:t>
            </w:r>
          </w:p>
        </w:tc>
      </w:tr>
      <w:tr w14:paraId="3608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22" w:type="dxa"/>
            <w:vAlign w:val="center"/>
          </w:tcPr>
          <w:p w14:paraId="09BCAD16">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记录册编制</w:t>
            </w:r>
          </w:p>
        </w:tc>
        <w:tc>
          <w:tcPr>
            <w:tcW w:w="1018" w:type="dxa"/>
            <w:vAlign w:val="center"/>
          </w:tcPr>
          <w:p w14:paraId="2648D8C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w:t>
            </w:r>
          </w:p>
        </w:tc>
        <w:tc>
          <w:tcPr>
            <w:tcW w:w="1801" w:type="dxa"/>
            <w:vAlign w:val="center"/>
          </w:tcPr>
          <w:p w14:paraId="53B0D04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2200元</w:t>
            </w:r>
          </w:p>
        </w:tc>
        <w:tc>
          <w:tcPr>
            <w:tcW w:w="4437" w:type="dxa"/>
            <w:vAlign w:val="center"/>
          </w:tcPr>
          <w:p w14:paraId="4131FEC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按照报建项结算</w:t>
            </w:r>
          </w:p>
        </w:tc>
      </w:tr>
      <w:tr w14:paraId="09C5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22" w:type="dxa"/>
            <w:vAlign w:val="center"/>
          </w:tcPr>
          <w:p w14:paraId="10AC353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规划环境测量</w:t>
            </w:r>
          </w:p>
        </w:tc>
        <w:tc>
          <w:tcPr>
            <w:tcW w:w="1018" w:type="dxa"/>
            <w:vAlign w:val="center"/>
          </w:tcPr>
          <w:p w14:paraId="3981DFD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组</w:t>
            </w:r>
          </w:p>
        </w:tc>
        <w:tc>
          <w:tcPr>
            <w:tcW w:w="1801" w:type="dxa"/>
            <w:vAlign w:val="center"/>
          </w:tcPr>
          <w:p w14:paraId="4673F2D2">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2200元</w:t>
            </w:r>
          </w:p>
        </w:tc>
        <w:tc>
          <w:tcPr>
            <w:tcW w:w="4437" w:type="dxa"/>
            <w:vAlign w:val="center"/>
          </w:tcPr>
          <w:p w14:paraId="69374E5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按照报建项结算</w:t>
            </w:r>
          </w:p>
        </w:tc>
      </w:tr>
      <w:tr w14:paraId="30EA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22" w:type="dxa"/>
            <w:vAlign w:val="center"/>
          </w:tcPr>
          <w:p w14:paraId="680CA33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工程水准测量</w:t>
            </w:r>
          </w:p>
        </w:tc>
        <w:tc>
          <w:tcPr>
            <w:tcW w:w="1018" w:type="dxa"/>
            <w:vAlign w:val="center"/>
          </w:tcPr>
          <w:p w14:paraId="47DE5184">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w:t>
            </w:r>
          </w:p>
        </w:tc>
        <w:tc>
          <w:tcPr>
            <w:tcW w:w="1801" w:type="dxa"/>
            <w:vAlign w:val="center"/>
          </w:tcPr>
          <w:p w14:paraId="36EA1B4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2200元</w:t>
            </w:r>
          </w:p>
        </w:tc>
        <w:tc>
          <w:tcPr>
            <w:tcW w:w="4437" w:type="dxa"/>
            <w:vAlign w:val="center"/>
          </w:tcPr>
          <w:p w14:paraId="4E265DD2">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根据需要，提供现场项目施工水准点</w:t>
            </w:r>
          </w:p>
        </w:tc>
      </w:tr>
      <w:tr w14:paraId="756D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22" w:type="dxa"/>
            <w:vAlign w:val="center"/>
          </w:tcPr>
          <w:p w14:paraId="20676F6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平面控制测量</w:t>
            </w:r>
          </w:p>
        </w:tc>
        <w:tc>
          <w:tcPr>
            <w:tcW w:w="1018" w:type="dxa"/>
            <w:vAlign w:val="center"/>
          </w:tcPr>
          <w:p w14:paraId="3B2A8E0D">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w:t>
            </w:r>
          </w:p>
        </w:tc>
        <w:tc>
          <w:tcPr>
            <w:tcW w:w="1801" w:type="dxa"/>
            <w:vAlign w:val="center"/>
          </w:tcPr>
          <w:p w14:paraId="6A98605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2200元</w:t>
            </w:r>
          </w:p>
        </w:tc>
        <w:tc>
          <w:tcPr>
            <w:tcW w:w="4437" w:type="dxa"/>
            <w:vAlign w:val="center"/>
          </w:tcPr>
          <w:p w14:paraId="72B3C3DD">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根据需要，提供现场项目施工平米控制点</w:t>
            </w:r>
          </w:p>
        </w:tc>
      </w:tr>
      <w:tr w14:paraId="34F1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2" w:type="dxa"/>
            <w:vAlign w:val="center"/>
          </w:tcPr>
          <w:p w14:paraId="11E6426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定位放线</w:t>
            </w:r>
          </w:p>
        </w:tc>
        <w:tc>
          <w:tcPr>
            <w:tcW w:w="1018" w:type="dxa"/>
            <w:vAlign w:val="center"/>
          </w:tcPr>
          <w:p w14:paraId="498E592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点</w:t>
            </w:r>
          </w:p>
        </w:tc>
        <w:tc>
          <w:tcPr>
            <w:tcW w:w="1801" w:type="dxa"/>
            <w:vAlign w:val="center"/>
          </w:tcPr>
          <w:p w14:paraId="74FE66E2">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600元</w:t>
            </w:r>
          </w:p>
        </w:tc>
        <w:tc>
          <w:tcPr>
            <w:tcW w:w="4437" w:type="dxa"/>
            <w:vAlign w:val="center"/>
          </w:tcPr>
          <w:p w14:paraId="5EBDDDC4">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根据报告现场定位，用于甲方现场规划验线</w:t>
            </w:r>
          </w:p>
        </w:tc>
      </w:tr>
      <w:tr w14:paraId="2B96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2" w:type="dxa"/>
            <w:vAlign w:val="center"/>
          </w:tcPr>
          <w:p w14:paraId="33414D3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竣工地形图测量</w:t>
            </w:r>
          </w:p>
        </w:tc>
        <w:tc>
          <w:tcPr>
            <w:tcW w:w="1018" w:type="dxa"/>
            <w:vAlign w:val="center"/>
          </w:tcPr>
          <w:p w14:paraId="6B3B6BAD">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幅</w:t>
            </w:r>
          </w:p>
        </w:tc>
        <w:tc>
          <w:tcPr>
            <w:tcW w:w="1801" w:type="dxa"/>
            <w:vAlign w:val="center"/>
          </w:tcPr>
          <w:p w14:paraId="619EB6F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9000元</w:t>
            </w:r>
          </w:p>
        </w:tc>
        <w:tc>
          <w:tcPr>
            <w:tcW w:w="4437" w:type="dxa"/>
            <w:vAlign w:val="center"/>
          </w:tcPr>
          <w:p w14:paraId="20DF24E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对应地形数据采集1:500线划图，按照项目用地面积结算</w:t>
            </w:r>
          </w:p>
        </w:tc>
      </w:tr>
      <w:tr w14:paraId="0A63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2" w:type="dxa"/>
            <w:vAlign w:val="center"/>
          </w:tcPr>
          <w:p w14:paraId="56312AA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楼高间距</w:t>
            </w:r>
          </w:p>
        </w:tc>
        <w:tc>
          <w:tcPr>
            <w:tcW w:w="1018" w:type="dxa"/>
            <w:vAlign w:val="center"/>
          </w:tcPr>
          <w:p w14:paraId="373E5A0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幢</w:t>
            </w:r>
          </w:p>
        </w:tc>
        <w:tc>
          <w:tcPr>
            <w:tcW w:w="1801" w:type="dxa"/>
            <w:vAlign w:val="center"/>
          </w:tcPr>
          <w:p w14:paraId="6E10A711">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1500元</w:t>
            </w:r>
          </w:p>
        </w:tc>
        <w:tc>
          <w:tcPr>
            <w:tcW w:w="4437" w:type="dxa"/>
            <w:vAlign w:val="center"/>
          </w:tcPr>
          <w:p w14:paraId="0FE61FE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对应验测高程、高度，按照实际地面建筑物幢数结算</w:t>
            </w:r>
          </w:p>
        </w:tc>
      </w:tr>
      <w:tr w14:paraId="6C1F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2" w:type="dxa"/>
            <w:vAlign w:val="center"/>
          </w:tcPr>
          <w:p w14:paraId="2AC5ED0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建筑面积</w:t>
            </w:r>
          </w:p>
        </w:tc>
        <w:tc>
          <w:tcPr>
            <w:tcW w:w="1018" w:type="dxa"/>
            <w:vAlign w:val="center"/>
          </w:tcPr>
          <w:p w14:paraId="0621DCD0">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平米</w:t>
            </w:r>
          </w:p>
        </w:tc>
        <w:tc>
          <w:tcPr>
            <w:tcW w:w="1801" w:type="dxa"/>
            <w:vAlign w:val="center"/>
          </w:tcPr>
          <w:p w14:paraId="5C20D9CC">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1.2元/㎡</w:t>
            </w:r>
          </w:p>
        </w:tc>
        <w:tc>
          <w:tcPr>
            <w:tcW w:w="4437" w:type="dxa"/>
            <w:vAlign w:val="center"/>
          </w:tcPr>
          <w:p w14:paraId="735056D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按照最终规划核实建筑面积结算</w:t>
            </w:r>
          </w:p>
        </w:tc>
      </w:tr>
      <w:tr w14:paraId="79EC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22" w:type="dxa"/>
            <w:vAlign w:val="center"/>
          </w:tcPr>
          <w:p w14:paraId="1C68BAE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地理数据加工</w:t>
            </w:r>
          </w:p>
        </w:tc>
        <w:tc>
          <w:tcPr>
            <w:tcW w:w="1018" w:type="dxa"/>
            <w:vAlign w:val="center"/>
          </w:tcPr>
          <w:p w14:paraId="78D6935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w:t>
            </w:r>
          </w:p>
        </w:tc>
        <w:tc>
          <w:tcPr>
            <w:tcW w:w="1801" w:type="dxa"/>
            <w:vAlign w:val="center"/>
          </w:tcPr>
          <w:p w14:paraId="5AE0757B">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2500元</w:t>
            </w:r>
          </w:p>
        </w:tc>
        <w:tc>
          <w:tcPr>
            <w:tcW w:w="4437" w:type="dxa"/>
            <w:vAlign w:val="center"/>
          </w:tcPr>
          <w:p w14:paraId="7007E51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按照报建项结算</w:t>
            </w:r>
          </w:p>
        </w:tc>
      </w:tr>
      <w:tr w14:paraId="6952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2" w:type="dxa"/>
            <w:vAlign w:val="center"/>
          </w:tcPr>
          <w:p w14:paraId="09EBED01">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绿地现状调查</w:t>
            </w:r>
          </w:p>
        </w:tc>
        <w:tc>
          <w:tcPr>
            <w:tcW w:w="1018" w:type="dxa"/>
            <w:vAlign w:val="center"/>
          </w:tcPr>
          <w:p w14:paraId="3AEFE5A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平米</w:t>
            </w:r>
          </w:p>
        </w:tc>
        <w:tc>
          <w:tcPr>
            <w:tcW w:w="1801" w:type="dxa"/>
            <w:vAlign w:val="center"/>
          </w:tcPr>
          <w:p w14:paraId="204A0A8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0.12元/㎡</w:t>
            </w:r>
          </w:p>
        </w:tc>
        <w:tc>
          <w:tcPr>
            <w:tcW w:w="4437" w:type="dxa"/>
            <w:vAlign w:val="center"/>
          </w:tcPr>
          <w:p w14:paraId="538325ED">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提供绿地现状数据，执行园林局相关要求，并确保数据入库</w:t>
            </w:r>
          </w:p>
        </w:tc>
      </w:tr>
      <w:tr w14:paraId="29B9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2" w:type="dxa"/>
            <w:vAlign w:val="center"/>
          </w:tcPr>
          <w:p w14:paraId="28BA004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变形测量</w:t>
            </w:r>
          </w:p>
        </w:tc>
        <w:tc>
          <w:tcPr>
            <w:tcW w:w="1018" w:type="dxa"/>
            <w:vAlign w:val="center"/>
          </w:tcPr>
          <w:p w14:paraId="02A9AA8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点次</w:t>
            </w:r>
          </w:p>
        </w:tc>
        <w:tc>
          <w:tcPr>
            <w:tcW w:w="1801" w:type="dxa"/>
            <w:vAlign w:val="center"/>
          </w:tcPr>
          <w:p w14:paraId="41FF540F">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110元</w:t>
            </w:r>
          </w:p>
        </w:tc>
        <w:tc>
          <w:tcPr>
            <w:tcW w:w="4437" w:type="dxa"/>
            <w:vAlign w:val="center"/>
          </w:tcPr>
          <w:p w14:paraId="7B488F9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根据业主需要，提供现场建筑物沉降观测服务，不足8个点按8的点结算</w:t>
            </w:r>
          </w:p>
        </w:tc>
      </w:tr>
      <w:tr w14:paraId="4939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2" w:type="dxa"/>
            <w:vAlign w:val="center"/>
          </w:tcPr>
          <w:p w14:paraId="394A746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基础地理数据转换</w:t>
            </w:r>
          </w:p>
        </w:tc>
        <w:tc>
          <w:tcPr>
            <w:tcW w:w="1018" w:type="dxa"/>
            <w:vAlign w:val="center"/>
          </w:tcPr>
          <w:p w14:paraId="7861851C">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次</w:t>
            </w:r>
          </w:p>
        </w:tc>
        <w:tc>
          <w:tcPr>
            <w:tcW w:w="1801" w:type="dxa"/>
            <w:vAlign w:val="center"/>
          </w:tcPr>
          <w:p w14:paraId="503C8B9E">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0元/次</w:t>
            </w:r>
          </w:p>
        </w:tc>
        <w:tc>
          <w:tcPr>
            <w:tcW w:w="4437" w:type="dxa"/>
            <w:vAlign w:val="center"/>
          </w:tcPr>
          <w:p w14:paraId="3DC4FD6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根据甲方报建需要，提供国土空间坐标系统转换服务</w:t>
            </w:r>
          </w:p>
        </w:tc>
      </w:tr>
      <w:tr w14:paraId="6745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722" w:type="dxa"/>
            <w:vAlign w:val="center"/>
          </w:tcPr>
          <w:p w14:paraId="4F2FACAB">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人防工程测绘</w:t>
            </w:r>
          </w:p>
        </w:tc>
        <w:tc>
          <w:tcPr>
            <w:tcW w:w="1018" w:type="dxa"/>
            <w:vAlign w:val="center"/>
          </w:tcPr>
          <w:p w14:paraId="73000ADD">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平米</w:t>
            </w:r>
          </w:p>
        </w:tc>
        <w:tc>
          <w:tcPr>
            <w:tcW w:w="1801" w:type="dxa"/>
            <w:vAlign w:val="center"/>
          </w:tcPr>
          <w:p w14:paraId="63ADABF5">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3元/㎡</w:t>
            </w:r>
          </w:p>
        </w:tc>
        <w:tc>
          <w:tcPr>
            <w:tcW w:w="4437" w:type="dxa"/>
            <w:vAlign w:val="center"/>
          </w:tcPr>
          <w:p w14:paraId="18AAB09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人防工程地理坐标、高程、各项面积指标及内部空间测量（苏防【2020】58号）及其他人防相关测量任务</w:t>
            </w:r>
          </w:p>
        </w:tc>
      </w:tr>
      <w:tr w14:paraId="69F2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722" w:type="dxa"/>
            <w:vAlign w:val="center"/>
          </w:tcPr>
          <w:p w14:paraId="7093385F">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地下管线探测及入库</w:t>
            </w:r>
          </w:p>
        </w:tc>
        <w:tc>
          <w:tcPr>
            <w:tcW w:w="1018" w:type="dxa"/>
            <w:vAlign w:val="center"/>
          </w:tcPr>
          <w:p w14:paraId="5AE68CD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公里</w:t>
            </w:r>
          </w:p>
        </w:tc>
        <w:tc>
          <w:tcPr>
            <w:tcW w:w="1801" w:type="dxa"/>
            <w:vAlign w:val="center"/>
          </w:tcPr>
          <w:p w14:paraId="59B62FE1">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500</w:t>
            </w:r>
            <w:r>
              <w:rPr>
                <w:rFonts w:hint="eastAsia" w:ascii="宋体" w:hAnsi="宋体" w:cs="宋体"/>
                <w:color w:val="auto"/>
                <w:sz w:val="24"/>
                <w:szCs w:val="24"/>
                <w:highlight w:val="none"/>
              </w:rPr>
              <w:t>元/km</w:t>
            </w:r>
          </w:p>
        </w:tc>
        <w:tc>
          <w:tcPr>
            <w:tcW w:w="4437" w:type="dxa"/>
            <w:vAlign w:val="center"/>
          </w:tcPr>
          <w:p w14:paraId="3D57BCC8">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对项目进行管线探测服务，根据项目需要报市资规审查入库，如涉及到陀螺仪管线探测，费用另行协商</w:t>
            </w:r>
          </w:p>
        </w:tc>
      </w:tr>
    </w:tbl>
    <w:p w14:paraId="0569A3C4">
      <w:pPr>
        <w:pStyle w:val="49"/>
        <w:widowControl w:val="0"/>
        <w:adjustRightInd w:val="0"/>
        <w:snapToGrid w:val="0"/>
        <w:spacing w:before="0" w:after="0" w:line="360" w:lineRule="auto"/>
        <w:ind w:firstLine="480" w:firstLineChars="200"/>
        <w:rPr>
          <w:rFonts w:hint="eastAsia" w:hAnsi="宋体" w:cs="宋体"/>
          <w:color w:val="auto"/>
          <w:highlight w:val="none"/>
        </w:rPr>
      </w:pPr>
    </w:p>
    <w:p w14:paraId="40BC43FC">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第六条   甲方的义务 </w:t>
      </w:r>
    </w:p>
    <w:p w14:paraId="1188F3B7">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1、甲方提前1</w:t>
      </w:r>
      <w:r>
        <w:rPr>
          <w:rFonts w:hint="eastAsia" w:hAnsi="宋体" w:cs="宋体"/>
          <w:color w:val="auto"/>
          <w:highlight w:val="none"/>
          <w:vertAlign w:val="subscript"/>
        </w:rPr>
        <w:t>~</w:t>
      </w:r>
      <w:r>
        <w:rPr>
          <w:rFonts w:hint="eastAsia" w:hAnsi="宋体" w:cs="宋体"/>
          <w:color w:val="auto"/>
          <w:highlight w:val="none"/>
        </w:rPr>
        <w:t xml:space="preserve">3天通知乙方实施测绘项目，并及时提供项目测绘所需的相关资料。 </w:t>
      </w:r>
    </w:p>
    <w:p w14:paraId="4DFA6CCD">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2、保证乙方的测绘队伍顺利进入现场工作，并对乙方进场人员的工作开展提供必要的条件。</w:t>
      </w:r>
    </w:p>
    <w:p w14:paraId="1B2CCC97">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3、协调施工单位配合乙方做好监测标志的安装工作。</w:t>
      </w:r>
    </w:p>
    <w:p w14:paraId="20B187B6">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4、保证工程款按合同约定及时到位。 </w:t>
      </w:r>
    </w:p>
    <w:p w14:paraId="55B01633">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第七条   乙方的义务</w:t>
      </w:r>
    </w:p>
    <w:p w14:paraId="5F508E7F">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1、自接到甲方通知后立即组织相关技术人员开展工作，特殊项目即时跟踪测绘。如因乙方监测不及时所引起的责任由乙方承担。</w:t>
      </w:r>
    </w:p>
    <w:p w14:paraId="30779486">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2、自行解决测量工作所需的人、仪器、材料等所有生产资料。</w:t>
      </w:r>
    </w:p>
    <w:p w14:paraId="7689B237">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3、乙方应当根据规范与设计要求开展监测工作，确保数据的准确性、及时性。</w:t>
      </w:r>
    </w:p>
    <w:p w14:paraId="1B86EA82">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4、提供使用于本工程的相关仪器有效期内的鉴定证书（复印件）。</w:t>
      </w:r>
    </w:p>
    <w:p w14:paraId="21DF40E4">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第八条   甲方违约责任 </w:t>
      </w:r>
    </w:p>
    <w:p w14:paraId="0CC91F22">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1、甲方未按要求支付乙方工程费，应按顺延天数和当时银行贷款利息，向乙方支付违约金。影响工程进度的，甲方应承担顺延工期的责任，并根据本条第二项的约定向乙方支付停窝工费。 </w:t>
      </w:r>
    </w:p>
    <w:p w14:paraId="1ABC0696">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2、对于乙方提供的图纸等资料以及属于乙方的测绘成果，甲方有义务保密，不得向第三人提供或用于本合同以外的项目，否则乙方有权要求甲方按该项目委托款总额的10％赔偿损失。 </w:t>
      </w:r>
    </w:p>
    <w:p w14:paraId="3A557AEA">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第九条   乙方违约责任 </w:t>
      </w:r>
    </w:p>
    <w:p w14:paraId="7C59355A">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1、合同签订后，如乙方擅自中途停止或解除合同，乙方应向甲方支付违约金人民币</w:t>
      </w:r>
      <w:r>
        <w:rPr>
          <w:rFonts w:hint="eastAsia" w:hAnsi="宋体" w:cs="宋体"/>
          <w:color w:val="auto"/>
          <w:highlight w:val="none"/>
          <w:u w:val="single"/>
        </w:rPr>
        <w:t xml:space="preserve">  1  </w:t>
      </w:r>
      <w:r>
        <w:rPr>
          <w:rFonts w:hint="eastAsia" w:hAnsi="宋体" w:cs="宋体"/>
          <w:color w:val="auto"/>
          <w:highlight w:val="none"/>
        </w:rPr>
        <w:t xml:space="preserve">万元。 </w:t>
      </w:r>
    </w:p>
    <w:p w14:paraId="0560AF71">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2、乙方未按合同规定时间提供成果的，每延误1天，甲方将按合同价的1%计扣编制人的违约金；累计延误【20】天，甲方有权委托第三方继续完成相关工作，所产生的费用及损失均有乙方承担，甲方亦有权单方解除本合同，且乙方还需向甲方支付总合同价【10】%的违约金。上述违约金无法弥补甲方损失的，乙方应予补足。</w:t>
      </w:r>
    </w:p>
    <w:p w14:paraId="69372B56">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3、测绘成果须达到 “成果合格且一次性通过相关职能部门审查”要求。如未达到，乙方向甲方支付工程结算总价5%的违约金，并承担给甲方造成的损失。</w:t>
      </w:r>
    </w:p>
    <w:p w14:paraId="04865F4F">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4、对于甲方提供的图纸和技术资料以及属于甲方的测绘成果，乙方有保密义务，不得向第三方转让，否则，甲方有权对因此造成的损失追究责任。 </w:t>
      </w:r>
    </w:p>
    <w:p w14:paraId="3202FDBE">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第十条   乙方向甲方交付的成果</w:t>
      </w:r>
    </w:p>
    <w:tbl>
      <w:tblPr>
        <w:tblStyle w:val="53"/>
        <w:tblW w:w="8917"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0" w:type="dxa"/>
          <w:left w:w="30" w:type="dxa"/>
          <w:bottom w:w="30" w:type="dxa"/>
          <w:right w:w="30" w:type="dxa"/>
        </w:tblCellMar>
      </w:tblPr>
      <w:tblGrid>
        <w:gridCol w:w="1044"/>
        <w:gridCol w:w="3629"/>
        <w:gridCol w:w="2079"/>
        <w:gridCol w:w="2165"/>
      </w:tblGrid>
      <w:tr w14:paraId="0728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7" w:type="dxa"/>
          <w:jc w:val="center"/>
        </w:trPr>
        <w:tc>
          <w:tcPr>
            <w:tcW w:w="1023" w:type="dxa"/>
            <w:vAlign w:val="center"/>
          </w:tcPr>
          <w:p w14:paraId="37CD23A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615" w:type="dxa"/>
            <w:vAlign w:val="center"/>
          </w:tcPr>
          <w:p w14:paraId="53DDE8BA">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成果名称</w:t>
            </w:r>
          </w:p>
        </w:tc>
        <w:tc>
          <w:tcPr>
            <w:tcW w:w="2065" w:type="dxa"/>
            <w:vAlign w:val="center"/>
          </w:tcPr>
          <w:p w14:paraId="03361BB7">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 格</w:t>
            </w:r>
          </w:p>
        </w:tc>
        <w:tc>
          <w:tcPr>
            <w:tcW w:w="2144" w:type="dxa"/>
            <w:vAlign w:val="center"/>
          </w:tcPr>
          <w:p w14:paraId="4DD1DD6C">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 量</w:t>
            </w:r>
          </w:p>
        </w:tc>
      </w:tr>
      <w:tr w14:paraId="2AAE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7" w:type="dxa"/>
          <w:jc w:val="center"/>
        </w:trPr>
        <w:tc>
          <w:tcPr>
            <w:tcW w:w="1023" w:type="dxa"/>
            <w:vAlign w:val="center"/>
          </w:tcPr>
          <w:p w14:paraId="328258D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615" w:type="dxa"/>
            <w:vAlign w:val="center"/>
          </w:tcPr>
          <w:p w14:paraId="4D96773C">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测绘报告</w:t>
            </w:r>
          </w:p>
        </w:tc>
        <w:tc>
          <w:tcPr>
            <w:tcW w:w="2065" w:type="dxa"/>
            <w:vAlign w:val="center"/>
          </w:tcPr>
          <w:p w14:paraId="206917CF">
            <w:pPr>
              <w:adjustRightInd w:val="0"/>
              <w:snapToGrid w:val="0"/>
              <w:spacing w:line="360" w:lineRule="auto"/>
              <w:jc w:val="center"/>
              <w:rPr>
                <w:rFonts w:hint="eastAsia" w:ascii="宋体" w:hAnsi="宋体" w:cs="宋体"/>
                <w:color w:val="auto"/>
                <w:sz w:val="24"/>
                <w:szCs w:val="24"/>
                <w:highlight w:val="none"/>
              </w:rPr>
            </w:pPr>
          </w:p>
        </w:tc>
        <w:tc>
          <w:tcPr>
            <w:tcW w:w="2144" w:type="dxa"/>
            <w:vAlign w:val="center"/>
          </w:tcPr>
          <w:p w14:paraId="7AC31FF6">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4份</w:t>
            </w:r>
          </w:p>
        </w:tc>
      </w:tr>
    </w:tbl>
    <w:p w14:paraId="72B48EEC">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第十一条   测绘工程费支付日期和方式 </w:t>
      </w:r>
    </w:p>
    <w:p w14:paraId="13DBE6FA">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本合同可能涉及多个项目，单个项目可单独结算。完成单个项目全部测绘任务、出具报告并通过甲方确认后，付至合同价的70%；余款待审计完成后付清。</w:t>
      </w:r>
    </w:p>
    <w:p w14:paraId="7638C661">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第十二条   由于不可抗力，致使合同无法履行时，双方应按有关法律规定及时协商处理。 </w:t>
      </w:r>
    </w:p>
    <w:p w14:paraId="7B1F74F7">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第十三条   本合同执行过程中的未尽事宜，双方应本着实事求是、友好协商的态度加以解决。双方协商一致的，签订补充协议。补充协议与本合同具有同等效力。 </w:t>
      </w:r>
    </w:p>
    <w:p w14:paraId="00D72025">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第十四条   附则 </w:t>
      </w:r>
    </w:p>
    <w:p w14:paraId="57F8DB05">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 xml:space="preserve">1、本合同由双方代表签字，加盖双方公章或合同专用章即生效。全部成果交接完毕和测绘工程费结算完成后，本合同终止。 </w:t>
      </w:r>
    </w:p>
    <w:p w14:paraId="00F735C6">
      <w:pPr>
        <w:pStyle w:val="49"/>
        <w:widowControl w:val="0"/>
        <w:adjustRightInd w:val="0"/>
        <w:snapToGrid w:val="0"/>
        <w:spacing w:before="0" w:after="0" w:line="360" w:lineRule="auto"/>
        <w:ind w:firstLine="480" w:firstLineChars="200"/>
        <w:rPr>
          <w:rFonts w:hint="eastAsia" w:hAnsi="宋体" w:cs="宋体"/>
          <w:color w:val="auto"/>
          <w:highlight w:val="none"/>
        </w:rPr>
      </w:pPr>
      <w:r>
        <w:rPr>
          <w:rFonts w:hint="eastAsia" w:hAnsi="宋体" w:cs="宋体"/>
          <w:color w:val="auto"/>
          <w:highlight w:val="none"/>
        </w:rPr>
        <w:t>2、本合同一式</w:t>
      </w:r>
      <w:r>
        <w:rPr>
          <w:rFonts w:hint="eastAsia" w:hAnsi="宋体" w:cs="宋体"/>
          <w:color w:val="auto"/>
          <w:highlight w:val="none"/>
          <w:u w:val="single"/>
        </w:rPr>
        <w:t>陆</w:t>
      </w:r>
      <w:r>
        <w:rPr>
          <w:rFonts w:hint="eastAsia" w:hAnsi="宋体" w:cs="宋体"/>
          <w:color w:val="auto"/>
          <w:highlight w:val="none"/>
        </w:rPr>
        <w:t>份，甲方执</w:t>
      </w:r>
      <w:r>
        <w:rPr>
          <w:rFonts w:hint="eastAsia" w:hAnsi="宋体" w:cs="宋体"/>
          <w:b/>
          <w:bCs/>
          <w:color w:val="auto"/>
          <w:highlight w:val="none"/>
          <w:u w:val="single"/>
        </w:rPr>
        <w:t>叁</w:t>
      </w:r>
      <w:r>
        <w:rPr>
          <w:rFonts w:hint="eastAsia" w:hAnsi="宋体" w:cs="宋体"/>
          <w:color w:val="auto"/>
          <w:highlight w:val="none"/>
        </w:rPr>
        <w:t>份、乙方执</w:t>
      </w:r>
      <w:r>
        <w:rPr>
          <w:rFonts w:hint="eastAsia" w:hAnsi="宋体" w:cs="宋体"/>
          <w:b/>
          <w:bCs/>
          <w:color w:val="auto"/>
          <w:highlight w:val="none"/>
          <w:u w:val="single"/>
        </w:rPr>
        <w:t>叁</w:t>
      </w:r>
      <w:r>
        <w:rPr>
          <w:rFonts w:hint="eastAsia" w:hAnsi="宋体" w:cs="宋体"/>
          <w:color w:val="auto"/>
          <w:highlight w:val="none"/>
        </w:rPr>
        <w:t xml:space="preserve">份。 </w:t>
      </w:r>
    </w:p>
    <w:p w14:paraId="26D69B89">
      <w:pPr>
        <w:widowControl/>
        <w:adjustRightInd w:val="0"/>
        <w:snapToGrid w:val="0"/>
        <w:spacing w:line="360" w:lineRule="auto"/>
        <w:ind w:firstLine="720" w:firstLineChars="300"/>
        <w:rPr>
          <w:rFonts w:hint="eastAsia" w:ascii="宋体" w:hAnsi="宋体" w:cs="宋体"/>
          <w:color w:val="auto"/>
          <w:sz w:val="24"/>
          <w:highlight w:val="none"/>
        </w:rPr>
      </w:pPr>
    </w:p>
    <w:p w14:paraId="1219AFDD">
      <w:pPr>
        <w:widowControl/>
        <w:adjustRightInd w:val="0"/>
        <w:snapToGrid w:val="0"/>
        <w:spacing w:line="360" w:lineRule="auto"/>
        <w:ind w:firstLine="720" w:firstLineChars="300"/>
        <w:rPr>
          <w:rFonts w:hint="eastAsia" w:ascii="宋体" w:hAnsi="宋体" w:cs="宋体"/>
          <w:color w:val="auto"/>
          <w:sz w:val="24"/>
          <w:highlight w:val="none"/>
        </w:rPr>
      </w:pPr>
    </w:p>
    <w:p w14:paraId="7E7C6F23">
      <w:pPr>
        <w:widowControl/>
        <w:adjustRightInd w:val="0"/>
        <w:snapToGrid w:val="0"/>
        <w:spacing w:line="360" w:lineRule="auto"/>
        <w:ind w:firstLine="720" w:firstLineChars="300"/>
        <w:rPr>
          <w:rFonts w:hint="eastAsia" w:ascii="宋体" w:hAnsi="宋体" w:cs="宋体"/>
          <w:color w:val="auto"/>
          <w:sz w:val="24"/>
          <w:highlight w:val="none"/>
        </w:rPr>
      </w:pPr>
    </w:p>
    <w:p w14:paraId="06C07C9B">
      <w:pPr>
        <w:widowControl/>
        <w:adjustRightInd w:val="0"/>
        <w:snapToGrid w:val="0"/>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委托人：                              监测人：</w:t>
      </w:r>
    </w:p>
    <w:p w14:paraId="2178EAF3">
      <w:pPr>
        <w:widowControl/>
        <w:adjustRightInd w:val="0"/>
        <w:snapToGrid w:val="0"/>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 xml:space="preserve">法定代表人：                          法定代表人： </w:t>
      </w:r>
    </w:p>
    <w:p w14:paraId="36DA3F4C">
      <w:pPr>
        <w:widowControl/>
        <w:adjustRightInd w:val="0"/>
        <w:snapToGrid w:val="0"/>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 xml:space="preserve">授权代理人：                          授权代理人： </w:t>
      </w:r>
    </w:p>
    <w:p w14:paraId="6DBB2A56">
      <w:pPr>
        <w:widowControl/>
        <w:adjustRightInd w:val="0"/>
        <w:snapToGrid w:val="0"/>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年  月  日                            年   月   日</w:t>
      </w:r>
    </w:p>
    <w:p w14:paraId="40541C61">
      <w:pPr>
        <w:widowControl/>
        <w:adjustRightInd w:val="0"/>
        <w:snapToGrid w:val="0"/>
        <w:spacing w:line="360" w:lineRule="auto"/>
        <w:ind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签地点：</w:t>
      </w:r>
      <w:r>
        <w:rPr>
          <w:rFonts w:hint="eastAsia" w:ascii="宋体" w:hAnsi="宋体" w:cs="宋体"/>
          <w:color w:val="auto"/>
          <w:sz w:val="24"/>
          <w:highlight w:val="none"/>
          <w:u w:val="single"/>
        </w:rPr>
        <w:t xml:space="preserve"> 南通市崇川区    </w:t>
      </w:r>
    </w:p>
    <w:p w14:paraId="75D187E2">
      <w:pPr>
        <w:adjustRightInd w:val="0"/>
        <w:snapToGrid w:val="0"/>
        <w:spacing w:line="360" w:lineRule="auto"/>
        <w:ind w:firstLine="420" w:firstLineChars="200"/>
        <w:rPr>
          <w:rFonts w:hint="eastAsia" w:ascii="宋体" w:hAnsi="宋体" w:cs="宋体"/>
          <w:color w:val="auto"/>
          <w:highlight w:val="none"/>
        </w:rPr>
      </w:pPr>
    </w:p>
    <w:p w14:paraId="0256D05B">
      <w:pPr>
        <w:adjustRightInd w:val="0"/>
        <w:snapToGrid w:val="0"/>
        <w:spacing w:line="360" w:lineRule="auto"/>
        <w:rPr>
          <w:rFonts w:hint="eastAsia" w:ascii="宋体" w:hAnsi="宋体" w:cs="宋体"/>
          <w:color w:val="auto"/>
          <w:highlight w:val="none"/>
        </w:rPr>
      </w:pPr>
    </w:p>
    <w:p w14:paraId="5783F239">
      <w:pPr>
        <w:adjustRightInd w:val="0"/>
        <w:snapToGrid w:val="0"/>
        <w:spacing w:line="360" w:lineRule="auto"/>
        <w:rPr>
          <w:rFonts w:hint="eastAsia" w:ascii="宋体" w:hAnsi="宋体" w:cs="宋体"/>
          <w:color w:val="auto"/>
          <w:sz w:val="24"/>
          <w:szCs w:val="24"/>
          <w:highlight w:val="none"/>
        </w:rPr>
      </w:pPr>
    </w:p>
    <w:bookmarkEnd w:id="68"/>
    <w:p w14:paraId="7BF05344">
      <w:pPr>
        <w:keepNext/>
        <w:keepLines/>
        <w:adjustRightInd w:val="0"/>
        <w:snapToGrid w:val="0"/>
        <w:spacing w:line="360" w:lineRule="auto"/>
        <w:jc w:val="center"/>
        <w:rPr>
          <w:rFonts w:hint="eastAsia" w:ascii="宋体" w:hAnsi="宋体" w:cs="宋体"/>
          <w:bCs/>
          <w:color w:val="auto"/>
          <w:szCs w:val="44"/>
          <w:highlight w:val="none"/>
        </w:rPr>
      </w:pPr>
    </w:p>
    <w:p w14:paraId="4DB75163">
      <w:pPr>
        <w:keepNext/>
        <w:keepLines/>
        <w:adjustRightInd w:val="0"/>
        <w:snapToGrid w:val="0"/>
        <w:spacing w:line="360" w:lineRule="auto"/>
        <w:jc w:val="center"/>
        <w:rPr>
          <w:rFonts w:hint="eastAsia" w:ascii="宋体" w:hAnsi="宋体" w:cs="宋体"/>
          <w:bCs/>
          <w:color w:val="auto"/>
          <w:szCs w:val="44"/>
          <w:highlight w:val="none"/>
        </w:rPr>
      </w:pPr>
    </w:p>
    <w:p w14:paraId="0CBA1C35">
      <w:pPr>
        <w:adjustRightInd w:val="0"/>
        <w:snapToGrid w:val="0"/>
        <w:spacing w:line="360" w:lineRule="auto"/>
        <w:rPr>
          <w:rFonts w:hint="eastAsia" w:ascii="宋体" w:hAnsi="宋体" w:cs="宋体"/>
          <w:bCs/>
          <w:color w:val="auto"/>
          <w:szCs w:val="44"/>
          <w:highlight w:val="none"/>
        </w:rPr>
      </w:pPr>
    </w:p>
    <w:p w14:paraId="5AD8DD8B">
      <w:pPr>
        <w:adjustRightInd w:val="0"/>
        <w:snapToGrid w:val="0"/>
        <w:spacing w:line="360" w:lineRule="auto"/>
        <w:rPr>
          <w:rFonts w:hint="eastAsia" w:ascii="宋体" w:hAnsi="宋体" w:cs="宋体"/>
          <w:color w:val="auto"/>
          <w:highlight w:val="none"/>
        </w:rPr>
      </w:pPr>
    </w:p>
    <w:p w14:paraId="4CB7F17E">
      <w:pPr>
        <w:pStyle w:val="5"/>
        <w:keepNext/>
        <w:keepLines/>
        <w:adjustRightInd w:val="0"/>
        <w:snapToGrid w:val="0"/>
        <w:spacing w:before="0" w:after="0" w:line="360" w:lineRule="auto"/>
        <w:jc w:val="center"/>
        <w:rPr>
          <w:rFonts w:hint="eastAsia" w:ascii="宋体" w:hAnsi="宋体" w:cs="宋体"/>
          <w:bCs/>
          <w:color w:val="auto"/>
          <w:sz w:val="32"/>
          <w:szCs w:val="32"/>
          <w:highlight w:val="none"/>
        </w:rPr>
      </w:pPr>
      <w:r>
        <w:rPr>
          <w:rFonts w:hint="eastAsia" w:ascii="宋体" w:hAnsi="宋体" w:cs="宋体"/>
          <w:bCs/>
          <w:color w:val="auto"/>
          <w:szCs w:val="44"/>
          <w:highlight w:val="none"/>
        </w:rPr>
        <w:br w:type="page"/>
      </w:r>
      <w:bookmarkStart w:id="69" w:name="_Toc22011"/>
      <w:bookmarkStart w:id="70" w:name="_Toc2073"/>
      <w:bookmarkStart w:id="71" w:name="_Toc2994"/>
      <w:r>
        <w:rPr>
          <w:rFonts w:hint="eastAsia" w:ascii="宋体" w:hAnsi="宋体" w:cs="宋体"/>
          <w:bCs/>
          <w:color w:val="auto"/>
          <w:sz w:val="32"/>
          <w:szCs w:val="32"/>
          <w:highlight w:val="none"/>
        </w:rPr>
        <w:t>第四章 投标文件格式</w:t>
      </w:r>
      <w:bookmarkEnd w:id="69"/>
      <w:bookmarkEnd w:id="70"/>
      <w:bookmarkEnd w:id="71"/>
    </w:p>
    <w:p w14:paraId="47B83A00">
      <w:pPr>
        <w:pStyle w:val="6"/>
        <w:adjustRightInd w:val="0"/>
        <w:snapToGrid w:val="0"/>
        <w:spacing w:before="0" w:after="0" w:line="360" w:lineRule="auto"/>
        <w:rPr>
          <w:rFonts w:hint="eastAsia" w:ascii="宋体" w:hAnsi="宋体" w:eastAsia="宋体" w:cs="宋体"/>
          <w:color w:val="auto"/>
          <w:highlight w:val="none"/>
        </w:rPr>
      </w:pPr>
      <w:bookmarkStart w:id="72" w:name="_Toc497464075"/>
      <w:bookmarkStart w:id="73" w:name="_Toc10826"/>
      <w:bookmarkStart w:id="74" w:name="_Toc42205476"/>
      <w:bookmarkStart w:id="75" w:name="_Toc23147"/>
      <w:bookmarkStart w:id="76" w:name="_Toc164100533"/>
      <w:r>
        <w:rPr>
          <w:rFonts w:hint="eastAsia" w:ascii="宋体" w:hAnsi="宋体" w:eastAsia="宋体" w:cs="宋体"/>
          <w:color w:val="auto"/>
          <w:highlight w:val="none"/>
        </w:rPr>
        <w:t>1. 投标文件封面、目录</w:t>
      </w:r>
      <w:bookmarkEnd w:id="72"/>
      <w:bookmarkEnd w:id="73"/>
      <w:bookmarkEnd w:id="74"/>
      <w:bookmarkEnd w:id="75"/>
      <w:bookmarkEnd w:id="76"/>
    </w:p>
    <w:p w14:paraId="0195F9EE">
      <w:pPr>
        <w:pStyle w:val="7"/>
        <w:adjustRightInd w:val="0"/>
        <w:snapToGrid w:val="0"/>
        <w:spacing w:before="0" w:after="0" w:line="360" w:lineRule="auto"/>
        <w:rPr>
          <w:rFonts w:hint="eastAsia" w:ascii="宋体" w:hAnsi="宋体" w:eastAsia="宋体" w:cs="宋体"/>
          <w:color w:val="auto"/>
          <w:highlight w:val="none"/>
        </w:rPr>
      </w:pPr>
      <w:bookmarkStart w:id="77" w:name="_Toc2223"/>
      <w:bookmarkStart w:id="78" w:name="_Toc164100534"/>
      <w:bookmarkStart w:id="79" w:name="_Toc497464076"/>
      <w:bookmarkStart w:id="80" w:name="_Toc2519"/>
      <w:bookmarkStart w:id="81" w:name="_Toc42205477"/>
      <w:r>
        <w:rPr>
          <w:rFonts w:hint="eastAsia" w:ascii="宋体" w:hAnsi="宋体" w:eastAsia="宋体" w:cs="宋体"/>
          <w:color w:val="auto"/>
          <w:highlight w:val="none"/>
        </w:rPr>
        <w:t>1.1 投标文件封面</w:t>
      </w:r>
      <w:bookmarkEnd w:id="77"/>
      <w:bookmarkEnd w:id="78"/>
      <w:bookmarkEnd w:id="79"/>
      <w:bookmarkEnd w:id="80"/>
      <w:bookmarkEnd w:id="81"/>
    </w:p>
    <w:p w14:paraId="71A1D076">
      <w:pPr>
        <w:adjustRightInd w:val="0"/>
        <w:snapToGrid w:val="0"/>
        <w:spacing w:line="360" w:lineRule="auto"/>
        <w:jc w:val="right"/>
        <w:rPr>
          <w:rFonts w:hint="default" w:ascii="宋体" w:hAnsi="宋体" w:eastAsia="宋体" w:cs="宋体"/>
          <w:color w:val="auto"/>
          <w:sz w:val="32"/>
          <w:szCs w:val="32"/>
          <w:highlight w:val="none"/>
          <w:u w:val="none"/>
          <w:lang w:val="en-US" w:eastAsia="zh-CN"/>
        </w:rPr>
      </w:pPr>
      <w:r>
        <w:rPr>
          <w:rFonts w:hint="eastAsia" w:ascii="宋体" w:hAnsi="宋体" w:cs="宋体"/>
          <w:color w:val="auto"/>
          <w:sz w:val="32"/>
          <w:szCs w:val="32"/>
          <w:highlight w:val="none"/>
          <w:u w:val="none"/>
          <w:lang w:val="en-US" w:eastAsia="zh-CN"/>
        </w:rPr>
        <w:t>正本/副本</w:t>
      </w:r>
    </w:p>
    <w:p w14:paraId="67C73720">
      <w:pPr>
        <w:adjustRightInd w:val="0"/>
        <w:snapToGrid w:val="0"/>
        <w:spacing w:line="360" w:lineRule="auto"/>
        <w:jc w:val="center"/>
        <w:rPr>
          <w:rFonts w:hint="eastAsia" w:ascii="宋体" w:hAnsi="宋体" w:cs="宋体"/>
          <w:color w:val="auto"/>
          <w:szCs w:val="21"/>
          <w:highlight w:val="none"/>
          <w:u w:val="single"/>
        </w:rPr>
      </w:pPr>
    </w:p>
    <w:p w14:paraId="609AC088">
      <w:pPr>
        <w:adjustRightInd w:val="0"/>
        <w:snapToGrid w:val="0"/>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（项目名称）</w:t>
      </w:r>
    </w:p>
    <w:p w14:paraId="2BD90F8D">
      <w:pPr>
        <w:adjustRightInd w:val="0"/>
        <w:snapToGrid w:val="0"/>
        <w:spacing w:line="360" w:lineRule="auto"/>
        <w:rPr>
          <w:rFonts w:hint="eastAsia" w:ascii="宋体" w:hAnsi="宋体" w:cs="宋体"/>
          <w:color w:val="auto"/>
          <w:sz w:val="32"/>
          <w:szCs w:val="32"/>
          <w:highlight w:val="none"/>
        </w:rPr>
      </w:pPr>
    </w:p>
    <w:p w14:paraId="41366E83">
      <w:pPr>
        <w:adjustRightInd w:val="0"/>
        <w:snapToGrid w:val="0"/>
        <w:spacing w:line="360" w:lineRule="auto"/>
        <w:rPr>
          <w:rFonts w:hint="eastAsia" w:ascii="宋体" w:hAnsi="宋体" w:cs="宋体"/>
          <w:color w:val="auto"/>
          <w:sz w:val="32"/>
          <w:szCs w:val="32"/>
          <w:highlight w:val="none"/>
        </w:rPr>
      </w:pPr>
    </w:p>
    <w:p w14:paraId="603A6CB5">
      <w:pPr>
        <w:adjustRightInd w:val="0"/>
        <w:snapToGrid w:val="0"/>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资格审查文件/商务标/电子投标文件</w:t>
      </w:r>
    </w:p>
    <w:p w14:paraId="3C6942C8">
      <w:pPr>
        <w:adjustRightInd w:val="0"/>
        <w:snapToGrid w:val="0"/>
        <w:spacing w:line="360" w:lineRule="auto"/>
        <w:rPr>
          <w:rFonts w:hint="eastAsia" w:ascii="宋体" w:hAnsi="宋体" w:cs="宋体"/>
          <w:color w:val="auto"/>
          <w:sz w:val="32"/>
          <w:szCs w:val="32"/>
          <w:highlight w:val="none"/>
        </w:rPr>
      </w:pPr>
    </w:p>
    <w:p w14:paraId="2D33C321">
      <w:pPr>
        <w:adjustRightInd w:val="0"/>
        <w:snapToGrid w:val="0"/>
        <w:spacing w:line="360" w:lineRule="auto"/>
        <w:rPr>
          <w:rFonts w:hint="eastAsia" w:ascii="宋体" w:hAnsi="宋体" w:cs="宋体"/>
          <w:color w:val="auto"/>
          <w:szCs w:val="21"/>
          <w:highlight w:val="none"/>
        </w:rPr>
      </w:pPr>
    </w:p>
    <w:p w14:paraId="35D1A5FA">
      <w:pPr>
        <w:adjustRightInd w:val="0"/>
        <w:snapToGrid w:val="0"/>
        <w:spacing w:line="360" w:lineRule="auto"/>
        <w:rPr>
          <w:rFonts w:hint="eastAsia" w:ascii="宋体" w:hAnsi="宋体" w:cs="宋体"/>
          <w:color w:val="auto"/>
          <w:szCs w:val="21"/>
          <w:highlight w:val="none"/>
        </w:rPr>
      </w:pPr>
    </w:p>
    <w:p w14:paraId="46D92B41">
      <w:pPr>
        <w:adjustRightInd w:val="0"/>
        <w:snapToGrid w:val="0"/>
        <w:spacing w:line="360" w:lineRule="auto"/>
        <w:rPr>
          <w:rFonts w:hint="eastAsia" w:ascii="宋体" w:hAnsi="宋体" w:cs="宋体"/>
          <w:color w:val="auto"/>
          <w:szCs w:val="21"/>
          <w:highlight w:val="none"/>
        </w:rPr>
      </w:pPr>
    </w:p>
    <w:p w14:paraId="145D48BD">
      <w:pPr>
        <w:adjustRightInd w:val="0"/>
        <w:snapToGrid w:val="0"/>
        <w:spacing w:line="360" w:lineRule="auto"/>
        <w:rPr>
          <w:rFonts w:hint="eastAsia" w:ascii="宋体" w:hAnsi="宋体" w:cs="宋体"/>
          <w:color w:val="auto"/>
          <w:szCs w:val="21"/>
          <w:highlight w:val="none"/>
        </w:rPr>
      </w:pPr>
    </w:p>
    <w:p w14:paraId="59BC3241">
      <w:pPr>
        <w:adjustRightInd w:val="0"/>
        <w:snapToGrid w:val="0"/>
        <w:spacing w:line="360" w:lineRule="auto"/>
        <w:rPr>
          <w:rFonts w:hint="eastAsia" w:ascii="宋体" w:hAnsi="宋体" w:cs="宋体"/>
          <w:color w:val="auto"/>
          <w:szCs w:val="21"/>
          <w:highlight w:val="none"/>
        </w:rPr>
      </w:pPr>
    </w:p>
    <w:p w14:paraId="23E0DF4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4E25D58">
      <w:pPr>
        <w:adjustRightInd w:val="0"/>
        <w:snapToGrid w:val="0"/>
        <w:spacing w:line="360" w:lineRule="auto"/>
        <w:rPr>
          <w:rFonts w:hint="eastAsia" w:ascii="宋体" w:hAnsi="宋体" w:cs="宋体"/>
          <w:color w:val="auto"/>
          <w:szCs w:val="21"/>
          <w:highlight w:val="none"/>
        </w:rPr>
      </w:pPr>
    </w:p>
    <w:p w14:paraId="7B23B56F">
      <w:pPr>
        <w:adjustRightInd w:val="0"/>
        <w:snapToGrid w:val="0"/>
        <w:spacing w:line="360" w:lineRule="auto"/>
        <w:rPr>
          <w:rFonts w:hint="eastAsia" w:ascii="宋体" w:hAnsi="宋体" w:cs="宋体"/>
          <w:color w:val="auto"/>
          <w:szCs w:val="21"/>
          <w:highlight w:val="none"/>
        </w:rPr>
      </w:pPr>
    </w:p>
    <w:p w14:paraId="23F45392">
      <w:pPr>
        <w:adjustRightInd w:val="0"/>
        <w:snapToGrid w:val="0"/>
        <w:spacing w:line="360" w:lineRule="auto"/>
        <w:ind w:firstLine="1500" w:firstLineChars="500"/>
        <w:rPr>
          <w:rFonts w:hint="eastAsia" w:ascii="宋体" w:hAnsi="宋体" w:cs="宋体"/>
          <w:color w:val="auto"/>
          <w:sz w:val="30"/>
          <w:szCs w:val="30"/>
          <w:highlight w:val="none"/>
        </w:rPr>
      </w:pPr>
      <w:r>
        <w:rPr>
          <w:rFonts w:hint="eastAsia" w:ascii="宋体" w:hAnsi="宋体" w:cs="宋体"/>
          <w:color w:val="auto"/>
          <w:sz w:val="30"/>
          <w:szCs w:val="30"/>
          <w:highlight w:val="none"/>
        </w:rPr>
        <w:t>投标人：</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（盖单位章）</w:t>
      </w:r>
    </w:p>
    <w:p w14:paraId="6F36BF69">
      <w:pPr>
        <w:adjustRightInd w:val="0"/>
        <w:snapToGrid w:val="0"/>
        <w:spacing w:line="360" w:lineRule="auto"/>
        <w:ind w:firstLine="1500" w:firstLineChars="500"/>
        <w:rPr>
          <w:rFonts w:hint="eastAsia" w:ascii="宋体" w:hAnsi="宋体" w:cs="宋体"/>
          <w:color w:val="auto"/>
          <w:sz w:val="30"/>
          <w:szCs w:val="30"/>
          <w:highlight w:val="none"/>
        </w:rPr>
      </w:pPr>
      <w:r>
        <w:rPr>
          <w:rFonts w:hint="eastAsia" w:ascii="宋体" w:hAnsi="宋体" w:cs="宋体"/>
          <w:color w:val="auto"/>
          <w:sz w:val="30"/>
          <w:szCs w:val="30"/>
          <w:highlight w:val="none"/>
        </w:rPr>
        <w:t>法定代表人或其委托代理人：</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（签字或盖章）</w:t>
      </w:r>
    </w:p>
    <w:p w14:paraId="225A01E7">
      <w:pPr>
        <w:adjustRightInd w:val="0"/>
        <w:snapToGrid w:val="0"/>
        <w:spacing w:line="360" w:lineRule="auto"/>
        <w:ind w:firstLine="2250" w:firstLineChars="750"/>
        <w:rPr>
          <w:rFonts w:hint="eastAsia" w:ascii="宋体" w:hAnsi="宋体" w:cs="宋体"/>
          <w:color w:val="auto"/>
          <w:sz w:val="30"/>
          <w:szCs w:val="30"/>
          <w:highlight w:val="none"/>
        </w:rPr>
      </w:pP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月</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日</w:t>
      </w:r>
    </w:p>
    <w:p w14:paraId="7207BDFA">
      <w:pPr>
        <w:adjustRightInd w:val="0"/>
        <w:snapToGrid w:val="0"/>
        <w:spacing w:line="360" w:lineRule="auto"/>
        <w:ind w:firstLine="2250" w:firstLineChars="750"/>
        <w:rPr>
          <w:rFonts w:hint="eastAsia" w:ascii="宋体" w:hAnsi="宋体" w:cs="宋体"/>
          <w:color w:val="auto"/>
          <w:sz w:val="30"/>
          <w:szCs w:val="30"/>
          <w:highlight w:val="none"/>
        </w:rPr>
      </w:pPr>
    </w:p>
    <w:p w14:paraId="2E100F77">
      <w:pPr>
        <w:autoSpaceDE w:val="0"/>
        <w:autoSpaceDN w:val="0"/>
        <w:adjustRightInd w:val="0"/>
        <w:snapToGrid w:val="0"/>
        <w:spacing w:line="360" w:lineRule="auto"/>
        <w:rPr>
          <w:rFonts w:hint="eastAsia" w:ascii="宋体" w:hAnsi="宋体" w:cs="宋体"/>
          <w:b/>
          <w:color w:val="auto"/>
          <w:szCs w:val="21"/>
          <w:highlight w:val="none"/>
        </w:rPr>
      </w:pPr>
    </w:p>
    <w:p w14:paraId="392E1495">
      <w:pPr>
        <w:autoSpaceDE w:val="0"/>
        <w:autoSpaceDN w:val="0"/>
        <w:adjustRightInd w:val="0"/>
        <w:snapToGrid w:val="0"/>
        <w:spacing w:line="360" w:lineRule="auto"/>
        <w:rPr>
          <w:rFonts w:hint="eastAsia" w:ascii="宋体" w:hAnsi="宋体" w:cs="宋体"/>
          <w:b/>
          <w:color w:val="auto"/>
          <w:szCs w:val="21"/>
          <w:highlight w:val="none"/>
        </w:rPr>
      </w:pPr>
    </w:p>
    <w:p w14:paraId="37D8757E">
      <w:pPr>
        <w:pStyle w:val="6"/>
        <w:adjustRightInd w:val="0"/>
        <w:snapToGrid w:val="0"/>
        <w:spacing w:before="0" w:after="0" w:line="360" w:lineRule="auto"/>
        <w:jc w:val="left"/>
        <w:rPr>
          <w:rFonts w:hint="eastAsia" w:ascii="宋体" w:hAnsi="宋体" w:eastAsia="宋体" w:cs="宋体"/>
          <w:color w:val="auto"/>
          <w:highlight w:val="none"/>
        </w:rPr>
      </w:pPr>
      <w:bookmarkStart w:id="82" w:name="_Toc42205478"/>
      <w:bookmarkStart w:id="83" w:name="_Toc164100535"/>
      <w:r>
        <w:rPr>
          <w:rFonts w:hint="eastAsia" w:ascii="宋体" w:hAnsi="宋体" w:eastAsia="宋体" w:cs="宋体"/>
          <w:color w:val="auto"/>
          <w:highlight w:val="none"/>
        </w:rPr>
        <w:br w:type="page"/>
      </w:r>
      <w:bookmarkStart w:id="84" w:name="_Toc2238"/>
      <w:bookmarkStart w:id="85" w:name="_Toc18372"/>
      <w:r>
        <w:rPr>
          <w:rFonts w:hint="eastAsia" w:ascii="宋体" w:hAnsi="宋体" w:eastAsia="宋体" w:cs="宋体"/>
          <w:color w:val="auto"/>
          <w:highlight w:val="none"/>
        </w:rPr>
        <w:t>2.资格审查文件格式</w:t>
      </w:r>
      <w:bookmarkEnd w:id="82"/>
      <w:bookmarkEnd w:id="83"/>
      <w:bookmarkEnd w:id="84"/>
      <w:bookmarkEnd w:id="85"/>
    </w:p>
    <w:p w14:paraId="062022B1">
      <w:pPr>
        <w:adjustRightInd w:val="0"/>
        <w:snapToGrid w:val="0"/>
        <w:spacing w:line="360" w:lineRule="auto"/>
        <w:jc w:val="center"/>
        <w:outlineLvl w:val="2"/>
        <w:rPr>
          <w:rFonts w:hint="eastAsia" w:ascii="宋体" w:hAnsi="宋体" w:cs="宋体"/>
          <w:b/>
          <w:color w:val="auto"/>
          <w:sz w:val="32"/>
          <w:highlight w:val="none"/>
        </w:rPr>
      </w:pPr>
      <w:bookmarkStart w:id="86" w:name="_Toc1210"/>
      <w:bookmarkStart w:id="87" w:name="_Toc16418"/>
      <w:r>
        <w:rPr>
          <w:rFonts w:hint="eastAsia" w:ascii="宋体" w:hAnsi="宋体" w:cs="宋体"/>
          <w:b/>
          <w:color w:val="auto"/>
          <w:sz w:val="32"/>
          <w:highlight w:val="none"/>
        </w:rPr>
        <w:t>一、法定代表人身份证明</w:t>
      </w:r>
      <w:bookmarkEnd w:id="86"/>
      <w:bookmarkEnd w:id="87"/>
    </w:p>
    <w:p w14:paraId="19DF9175">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30DBEEFA">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投标人单位名称：</w:t>
      </w:r>
      <w:r>
        <w:rPr>
          <w:rFonts w:hint="eastAsia" w:ascii="宋体" w:hAnsi="宋体" w:cs="宋体"/>
          <w:color w:val="auto"/>
          <w:sz w:val="24"/>
          <w:szCs w:val="24"/>
          <w:highlight w:val="none"/>
          <w:u w:val="single"/>
        </w:rPr>
        <w:t xml:space="preserve">                  </w:t>
      </w:r>
    </w:p>
    <w:p w14:paraId="006BAC83">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投标人单位地址：</w:t>
      </w:r>
      <w:r>
        <w:rPr>
          <w:rFonts w:hint="eastAsia" w:ascii="宋体" w:hAnsi="宋体" w:cs="宋体"/>
          <w:color w:val="auto"/>
          <w:sz w:val="24"/>
          <w:szCs w:val="24"/>
          <w:highlight w:val="none"/>
          <w:u w:val="single"/>
        </w:rPr>
        <w:t xml:space="preserve">                  </w:t>
      </w:r>
    </w:p>
    <w:p w14:paraId="3DC5E034">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性别：</w:t>
      </w:r>
      <w:r>
        <w:rPr>
          <w:rFonts w:hint="eastAsia" w:ascii="宋体" w:hAnsi="宋体" w:cs="宋体"/>
          <w:color w:val="auto"/>
          <w:sz w:val="24"/>
          <w:szCs w:val="24"/>
          <w:highlight w:val="none"/>
          <w:u w:val="single"/>
        </w:rPr>
        <w:t xml:space="preserve">           </w:t>
      </w:r>
    </w:p>
    <w:p w14:paraId="6B36F0B9">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职务：</w:t>
      </w:r>
      <w:r>
        <w:rPr>
          <w:rFonts w:hint="eastAsia" w:ascii="宋体" w:hAnsi="宋体" w:cs="宋体"/>
          <w:color w:val="auto"/>
          <w:sz w:val="24"/>
          <w:szCs w:val="24"/>
          <w:highlight w:val="none"/>
          <w:u w:val="single"/>
        </w:rPr>
        <w:t xml:space="preserve">           </w:t>
      </w:r>
    </w:p>
    <w:p w14:paraId="35BDD99A">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（投标人单位名称）的法定代表人。</w:t>
      </w:r>
    </w:p>
    <w:p w14:paraId="4F51AE1B">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14:paraId="0B910E64">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56E1B7DE">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2C579990">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w:t>
      </w:r>
    </w:p>
    <w:p w14:paraId="37AB01F4">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3676C2E9">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法定代表人身份证复印件</w:t>
      </w:r>
    </w:p>
    <w:p w14:paraId="05203340">
      <w:pPr>
        <w:adjustRightInd w:val="0"/>
        <w:snapToGrid w:val="0"/>
        <w:spacing w:line="360" w:lineRule="auto"/>
        <w:rPr>
          <w:rFonts w:hint="eastAsia" w:ascii="宋体" w:hAnsi="宋体" w:cs="宋体"/>
          <w:color w:val="auto"/>
          <w:sz w:val="24"/>
          <w:szCs w:val="24"/>
          <w:highlight w:val="none"/>
        </w:rPr>
      </w:pPr>
    </w:p>
    <w:p w14:paraId="3F5AC01E">
      <w:pPr>
        <w:adjustRightInd w:val="0"/>
        <w:snapToGrid w:val="0"/>
        <w:spacing w:line="360" w:lineRule="auto"/>
        <w:ind w:firstLine="2280" w:firstLineChars="950"/>
        <w:rPr>
          <w:rFonts w:hint="eastAsia" w:ascii="宋体" w:hAnsi="宋体" w:cs="宋体"/>
          <w:color w:val="auto"/>
          <w:sz w:val="24"/>
          <w:szCs w:val="24"/>
          <w:highlight w:val="none"/>
        </w:rPr>
      </w:pPr>
      <w:r>
        <w:rPr>
          <w:rFonts w:hint="eastAsia" w:ascii="宋体" w:hAnsi="宋体" w:cs="宋体"/>
          <w:color w:val="auto"/>
          <w:sz w:val="24"/>
          <w:szCs w:val="24"/>
          <w:highlight w:val="none"/>
        </w:rPr>
        <w:t>（粘贴此处）</w:t>
      </w:r>
    </w:p>
    <w:p w14:paraId="17891CA3">
      <w:pPr>
        <w:autoSpaceDE w:val="0"/>
        <w:autoSpaceDN w:val="0"/>
        <w:adjustRightInd w:val="0"/>
        <w:snapToGrid w:val="0"/>
        <w:spacing w:line="360" w:lineRule="auto"/>
        <w:ind w:firstLine="480"/>
        <w:jc w:val="center"/>
        <w:outlineLvl w:val="2"/>
        <w:rPr>
          <w:rFonts w:hint="eastAsia" w:ascii="宋体" w:hAnsi="宋体" w:cs="宋体"/>
          <w:b/>
          <w:color w:val="auto"/>
          <w:sz w:val="32"/>
          <w:highlight w:val="none"/>
        </w:rPr>
      </w:pPr>
      <w:r>
        <w:rPr>
          <w:rFonts w:hint="eastAsia" w:ascii="宋体" w:hAnsi="宋体" w:cs="宋体"/>
          <w:b/>
          <w:color w:val="auto"/>
          <w:sz w:val="32"/>
          <w:highlight w:val="none"/>
        </w:rPr>
        <w:br w:type="page"/>
      </w:r>
      <w:bookmarkStart w:id="88" w:name="_Toc10466"/>
      <w:bookmarkStart w:id="89" w:name="_Toc1569"/>
      <w:r>
        <w:rPr>
          <w:rFonts w:hint="eastAsia" w:ascii="宋体" w:hAnsi="宋体" w:cs="宋体"/>
          <w:b/>
          <w:color w:val="auto"/>
          <w:sz w:val="32"/>
          <w:highlight w:val="none"/>
        </w:rPr>
        <w:t>二、授权委托书</w:t>
      </w:r>
      <w:bookmarkEnd w:id="88"/>
      <w:bookmarkEnd w:id="89"/>
    </w:p>
    <w:p w14:paraId="021C559C">
      <w:pPr>
        <w:widowControl/>
        <w:tabs>
          <w:tab w:val="left" w:pos="0"/>
          <w:tab w:val="left" w:pos="993"/>
          <w:tab w:val="left" w:pos="1134"/>
        </w:tabs>
        <w:adjustRightInd w:val="0"/>
        <w:snapToGrid w:val="0"/>
        <w:spacing w:line="360" w:lineRule="auto"/>
        <w:jc w:val="center"/>
        <w:rPr>
          <w:rFonts w:hint="eastAsia" w:ascii="宋体" w:hAnsi="宋体" w:cs="宋体"/>
          <w:color w:val="auto"/>
          <w:sz w:val="30"/>
          <w:highlight w:val="none"/>
        </w:rPr>
      </w:pPr>
    </w:p>
    <w:p w14:paraId="140D0496">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投标人单位名称）的法定代表人，现委托</w:t>
      </w:r>
      <w:r>
        <w:rPr>
          <w:rFonts w:hint="eastAsia" w:ascii="宋体" w:hAnsi="宋体" w:cs="宋体"/>
          <w:color w:val="auto"/>
          <w:sz w:val="24"/>
          <w:szCs w:val="24"/>
          <w:highlight w:val="none"/>
          <w:u w:val="single"/>
        </w:rPr>
        <w:t xml:space="preserve">         （姓名)</w:t>
      </w: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）为我方代理人。代理人根据授权，以我方名义签署、澄清、说明、补正、递交、撤回、修改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投标文件，签订合同和处理有关事宜，其法律后果由我方承担。</w:t>
      </w:r>
    </w:p>
    <w:p w14:paraId="5275A9D6">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 xml:space="preserve">                 </w:t>
      </w:r>
    </w:p>
    <w:p w14:paraId="07016231">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代理人无转委托权。</w:t>
      </w:r>
    </w:p>
    <w:p w14:paraId="5B20B768">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p>
    <w:p w14:paraId="1129072C">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代理人单位：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部门：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14:paraId="6E04D628">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4A98BF0E">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（签字或印章）</w:t>
      </w:r>
    </w:p>
    <w:p w14:paraId="60E6661C">
      <w:pPr>
        <w:widowControl/>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w:t>
      </w:r>
    </w:p>
    <w:p w14:paraId="01E81AD7">
      <w:pPr>
        <w:adjustRightInd w:val="0"/>
        <w:snapToGrid w:val="0"/>
        <w:spacing w:line="360" w:lineRule="auto"/>
        <w:rPr>
          <w:rFonts w:hint="eastAsia" w:ascii="宋体" w:hAnsi="宋体" w:cs="宋体"/>
          <w:color w:val="auto"/>
          <w:sz w:val="24"/>
          <w:szCs w:val="24"/>
          <w:highlight w:val="none"/>
        </w:rPr>
      </w:pPr>
    </w:p>
    <w:p w14:paraId="405A5557">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法定代表人身份证复印件</w:t>
      </w:r>
    </w:p>
    <w:p w14:paraId="6488BD07">
      <w:pPr>
        <w:adjustRightInd w:val="0"/>
        <w:snapToGrid w:val="0"/>
        <w:spacing w:line="360" w:lineRule="auto"/>
        <w:rPr>
          <w:rFonts w:hint="eastAsia" w:ascii="宋体" w:hAnsi="宋体" w:cs="宋体"/>
          <w:color w:val="auto"/>
          <w:sz w:val="24"/>
          <w:szCs w:val="24"/>
          <w:highlight w:val="none"/>
        </w:rPr>
      </w:pPr>
    </w:p>
    <w:p w14:paraId="6CC89EE4">
      <w:pPr>
        <w:adjustRightInd w:val="0"/>
        <w:snapToGrid w:val="0"/>
        <w:spacing w:line="360" w:lineRule="auto"/>
        <w:ind w:firstLine="2280" w:firstLineChars="950"/>
        <w:rPr>
          <w:rFonts w:hint="eastAsia" w:ascii="宋体" w:hAnsi="宋体" w:cs="宋体"/>
          <w:color w:val="auto"/>
          <w:sz w:val="24"/>
          <w:szCs w:val="24"/>
          <w:highlight w:val="none"/>
        </w:rPr>
      </w:pPr>
      <w:r>
        <w:rPr>
          <w:rFonts w:hint="eastAsia" w:ascii="宋体" w:hAnsi="宋体" w:cs="宋体"/>
          <w:color w:val="auto"/>
          <w:sz w:val="24"/>
          <w:szCs w:val="24"/>
          <w:highlight w:val="none"/>
        </w:rPr>
        <w:t>（粘贴此处）</w:t>
      </w:r>
    </w:p>
    <w:p w14:paraId="67847980">
      <w:pPr>
        <w:adjustRightInd w:val="0"/>
        <w:snapToGrid w:val="0"/>
        <w:spacing w:line="360" w:lineRule="auto"/>
        <w:rPr>
          <w:rFonts w:hint="eastAsia" w:ascii="宋体" w:hAnsi="宋体" w:cs="宋体"/>
          <w:color w:val="auto"/>
          <w:sz w:val="24"/>
          <w:szCs w:val="24"/>
          <w:highlight w:val="none"/>
        </w:rPr>
      </w:pPr>
    </w:p>
    <w:p w14:paraId="60361A42">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被授权人身份证复印件</w:t>
      </w:r>
    </w:p>
    <w:p w14:paraId="169A525C">
      <w:pPr>
        <w:adjustRightInd w:val="0"/>
        <w:snapToGrid w:val="0"/>
        <w:spacing w:line="360" w:lineRule="auto"/>
        <w:ind w:firstLine="2400" w:firstLineChars="1000"/>
        <w:rPr>
          <w:rFonts w:hint="eastAsia" w:ascii="宋体" w:hAnsi="宋体" w:cs="宋体"/>
          <w:b/>
          <w:bCs/>
          <w:color w:val="auto"/>
          <w:sz w:val="24"/>
          <w:szCs w:val="24"/>
          <w:highlight w:val="none"/>
        </w:rPr>
      </w:pPr>
      <w:r>
        <w:rPr>
          <w:rFonts w:hint="eastAsia" w:ascii="宋体" w:hAnsi="宋体" w:cs="宋体"/>
          <w:color w:val="auto"/>
          <w:sz w:val="24"/>
          <w:szCs w:val="24"/>
          <w:highlight w:val="none"/>
        </w:rPr>
        <w:t>（粘贴此处）</w:t>
      </w:r>
    </w:p>
    <w:p w14:paraId="39565AFB">
      <w:pPr>
        <w:keepNext/>
        <w:keepLines/>
        <w:adjustRightInd w:val="0"/>
        <w:snapToGrid w:val="0"/>
        <w:spacing w:line="360" w:lineRule="auto"/>
        <w:jc w:val="center"/>
        <w:outlineLvl w:val="2"/>
        <w:rPr>
          <w:rFonts w:hint="eastAsia" w:ascii="宋体" w:hAnsi="宋体" w:cs="宋体"/>
          <w:b/>
          <w:color w:val="auto"/>
          <w:sz w:val="28"/>
          <w:highlight w:val="none"/>
        </w:rPr>
      </w:pPr>
      <w:r>
        <w:rPr>
          <w:rFonts w:hint="eastAsia" w:ascii="宋体" w:hAnsi="宋体" w:cs="宋体"/>
          <w:b/>
          <w:color w:val="auto"/>
          <w:sz w:val="32"/>
          <w:highlight w:val="none"/>
        </w:rPr>
        <w:br w:type="page"/>
      </w:r>
      <w:bookmarkStart w:id="90" w:name="_Toc24839"/>
      <w:bookmarkStart w:id="91" w:name="_Toc17285"/>
      <w:r>
        <w:rPr>
          <w:rFonts w:hint="eastAsia" w:ascii="宋体" w:hAnsi="宋体" w:cs="宋体"/>
          <w:b/>
          <w:color w:val="auto"/>
          <w:sz w:val="32"/>
          <w:highlight w:val="none"/>
        </w:rPr>
        <w:t>三、诚信承诺书</w:t>
      </w:r>
      <w:bookmarkEnd w:id="90"/>
      <w:bookmarkEnd w:id="91"/>
    </w:p>
    <w:p w14:paraId="40ED1491">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23AE028">
      <w:pPr>
        <w:widowControl/>
        <w:adjustRightInd w:val="0"/>
        <w:snapToGrid w:val="0"/>
        <w:spacing w:line="360" w:lineRule="auto"/>
        <w:ind w:firstLine="499"/>
        <w:jc w:val="left"/>
        <w:rPr>
          <w:rFonts w:hint="eastAsia" w:ascii="宋体" w:hAnsi="宋体" w:cs="宋体"/>
          <w:color w:val="auto"/>
          <w:sz w:val="24"/>
          <w:highlight w:val="none"/>
        </w:rPr>
      </w:pPr>
      <w:r>
        <w:rPr>
          <w:rFonts w:hint="eastAsia" w:ascii="宋体" w:hAnsi="宋体" w:cs="宋体"/>
          <w:color w:val="auto"/>
          <w:sz w:val="24"/>
          <w:highlight w:val="none"/>
        </w:rPr>
        <w:t>我方参加你方的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（以下简称“本工程”）投标的申请，现我方向你方慎重承诺：</w:t>
      </w:r>
    </w:p>
    <w:p w14:paraId="07B64470">
      <w:pPr>
        <w:widowControl/>
        <w:adjustRightInd w:val="0"/>
        <w:snapToGrid w:val="0"/>
        <w:spacing w:line="360" w:lineRule="auto"/>
        <w:ind w:firstLine="499"/>
        <w:jc w:val="left"/>
        <w:rPr>
          <w:rFonts w:hint="eastAsia" w:ascii="宋体" w:hAnsi="宋体" w:cs="宋体"/>
          <w:color w:val="auto"/>
          <w:sz w:val="24"/>
          <w:highlight w:val="none"/>
        </w:rPr>
      </w:pPr>
      <w:r>
        <w:rPr>
          <w:rFonts w:hint="eastAsia" w:ascii="宋体" w:hAnsi="宋体" w:cs="宋体"/>
          <w:color w:val="auto"/>
          <w:sz w:val="24"/>
          <w:highlight w:val="none"/>
        </w:rPr>
        <w:t>1、我单位企业财务和经营状况良好，具备履行合同能力，无不良经营行为；</w:t>
      </w:r>
    </w:p>
    <w:p w14:paraId="766C315C">
      <w:pPr>
        <w:widowControl/>
        <w:adjustRightInd w:val="0"/>
        <w:snapToGrid w:val="0"/>
        <w:spacing w:line="360" w:lineRule="auto"/>
        <w:ind w:firstLine="499"/>
        <w:jc w:val="left"/>
        <w:rPr>
          <w:rFonts w:hint="eastAsia" w:ascii="宋体" w:hAnsi="宋体" w:cs="宋体"/>
          <w:color w:val="auto"/>
          <w:sz w:val="24"/>
          <w:highlight w:val="none"/>
        </w:rPr>
      </w:pPr>
      <w:r>
        <w:rPr>
          <w:rFonts w:hint="eastAsia" w:ascii="宋体" w:hAnsi="宋体" w:cs="宋体"/>
          <w:color w:val="auto"/>
          <w:sz w:val="24"/>
          <w:highlight w:val="none"/>
        </w:rPr>
        <w:t>2、我单位未处于被责令停业、投标资格被取消或者财产被接管、冻结和破产状态；</w:t>
      </w:r>
    </w:p>
    <w:p w14:paraId="2FAE8ADD">
      <w:pPr>
        <w:widowControl/>
        <w:adjustRightInd w:val="0"/>
        <w:snapToGrid w:val="0"/>
        <w:spacing w:line="360" w:lineRule="auto"/>
        <w:ind w:firstLine="499"/>
        <w:jc w:val="left"/>
        <w:rPr>
          <w:rFonts w:hint="eastAsia" w:ascii="宋体" w:hAnsi="宋体" w:cs="宋体"/>
          <w:color w:val="auto"/>
          <w:sz w:val="24"/>
          <w:highlight w:val="none"/>
        </w:rPr>
      </w:pPr>
      <w:r>
        <w:rPr>
          <w:rFonts w:hint="eastAsia" w:ascii="宋体" w:hAnsi="宋体" w:cs="宋体"/>
          <w:color w:val="auto"/>
          <w:sz w:val="24"/>
          <w:highlight w:val="none"/>
        </w:rPr>
        <w:t>3、我单位及拟派项目负责人在以往工程中无不良记录，资格申请书中的重要内容没有失实或者弄虚作假，证件及有关附件是真实的，扫描件或复印件与原件是一致的。</w:t>
      </w:r>
    </w:p>
    <w:p w14:paraId="5611FE40">
      <w:pPr>
        <w:widowControl/>
        <w:adjustRightInd w:val="0"/>
        <w:snapToGrid w:val="0"/>
        <w:spacing w:line="360" w:lineRule="auto"/>
        <w:ind w:firstLine="499"/>
        <w:jc w:val="left"/>
        <w:rPr>
          <w:rFonts w:hint="eastAsia" w:ascii="宋体" w:hAnsi="宋体" w:cs="宋体"/>
          <w:color w:val="auto"/>
          <w:sz w:val="24"/>
          <w:highlight w:val="none"/>
        </w:rPr>
      </w:pPr>
      <w:r>
        <w:rPr>
          <w:rFonts w:hint="eastAsia" w:ascii="宋体" w:hAnsi="宋体" w:cs="宋体"/>
          <w:color w:val="auto"/>
          <w:sz w:val="24"/>
          <w:highlight w:val="none"/>
        </w:rPr>
        <w:t>4、我单位参与本工程投标，绝无借资质、挂靠、提供虚假材料等违规现象。</w:t>
      </w:r>
    </w:p>
    <w:p w14:paraId="0B53BF69">
      <w:pPr>
        <w:widowControl/>
        <w:adjustRightInd w:val="0"/>
        <w:snapToGrid w:val="0"/>
        <w:spacing w:line="360" w:lineRule="auto"/>
        <w:ind w:firstLine="499"/>
        <w:jc w:val="left"/>
        <w:rPr>
          <w:rFonts w:hint="eastAsia" w:ascii="宋体" w:hAnsi="宋体" w:cs="宋体"/>
          <w:color w:val="auto"/>
          <w:sz w:val="24"/>
          <w:highlight w:val="none"/>
        </w:rPr>
      </w:pPr>
      <w:r>
        <w:rPr>
          <w:rFonts w:hint="eastAsia" w:ascii="宋体" w:hAnsi="宋体" w:cs="宋体"/>
          <w:color w:val="auto"/>
          <w:sz w:val="24"/>
          <w:highlight w:val="none"/>
        </w:rPr>
        <w:t>5、我单位未参与任何串标围标等违法活动。</w:t>
      </w:r>
    </w:p>
    <w:p w14:paraId="26E2D0AD">
      <w:pPr>
        <w:widowControl/>
        <w:adjustRightInd w:val="0"/>
        <w:snapToGrid w:val="0"/>
        <w:spacing w:line="360" w:lineRule="auto"/>
        <w:ind w:firstLine="499"/>
        <w:jc w:val="left"/>
        <w:rPr>
          <w:rFonts w:hint="eastAsia" w:ascii="宋体" w:hAnsi="宋体" w:cs="宋体"/>
          <w:color w:val="auto"/>
          <w:sz w:val="24"/>
          <w:highlight w:val="none"/>
        </w:rPr>
      </w:pPr>
      <w:r>
        <w:rPr>
          <w:rFonts w:hint="eastAsia" w:ascii="宋体" w:hAnsi="宋体" w:cs="宋体"/>
          <w:color w:val="auto"/>
          <w:sz w:val="24"/>
          <w:highlight w:val="none"/>
        </w:rPr>
        <w:t>6、我单位遵守国家廉政相关规定，无失信、行贿等不良行为。</w:t>
      </w:r>
    </w:p>
    <w:p w14:paraId="666C32CB">
      <w:pPr>
        <w:autoSpaceDE w:val="0"/>
        <w:autoSpaceDN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若我单位未能兑现以上承诺，愿意接受没收投标保证金或履约保证金的处理，并愿意接受招标人和监管部门的处罚。对违反承诺内容所引发的一切后果，我单位愿负法律责任。</w:t>
      </w:r>
    </w:p>
    <w:p w14:paraId="5FE58D8E">
      <w:pPr>
        <w:widowControl/>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 标 人 (盖单位公章)：</w:t>
      </w:r>
      <w:r>
        <w:rPr>
          <w:rFonts w:hint="eastAsia" w:ascii="宋体" w:hAnsi="宋体" w:cs="宋体"/>
          <w:color w:val="auto"/>
          <w:sz w:val="24"/>
          <w:highlight w:val="none"/>
        </w:rPr>
        <mc:AlternateContent>
          <mc:Choice Requires="wps">
            <w:drawing>
              <wp:inline distT="0" distB="0" distL="0" distR="0">
                <wp:extent cx="723900" cy="228600"/>
                <wp:effectExtent l="3810" t="0" r="0" b="1270"/>
                <wp:docPr id="2" name="自选图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723900" cy="228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自选图形 8" o:spid="_x0000_s1026" o:spt="1" style="height:18pt;width:57pt;" filled="f" stroked="f" coordsize="21600,21600" o:gfxdata="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I1PHVAAAA&#10;BAEAAA8AAAAAAAAAAQAgAAAAIgAAAGRycy9kb3ducmV2LnhtbFBLAQIUABQAAAAIAIdO4kCmR7dJ&#10;IAIAACsEAAAOAAAAAAAAAAEAIAAAACQBAABkcnMvZTJvRG9jLnhtbFBLBQYAAAAABgAGAFkBAAC2&#10;BQAAAAA=&#10;">
                <v:fill on="f" focussize="0,0"/>
                <v:stroke on="f"/>
                <v:imagedata o:title=""/>
                <o:lock v:ext="edit" aspectratio="t"/>
                <w10:wrap type="none"/>
                <w10:anchorlock/>
              </v:rect>
            </w:pict>
          </mc:Fallback>
        </mc:AlternateContent>
      </w:r>
    </w:p>
    <w:p w14:paraId="04746B70">
      <w:pPr>
        <w:widowControl/>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法定代表人（签字或盖章）：</w:t>
      </w:r>
      <w:r>
        <w:rPr>
          <w:rFonts w:hint="eastAsia" w:ascii="宋体" w:hAnsi="宋体" w:cs="宋体"/>
          <w:color w:val="auto"/>
          <w:sz w:val="24"/>
          <w:highlight w:val="none"/>
        </w:rPr>
        <mc:AlternateContent>
          <mc:Choice Requires="wps">
            <w:drawing>
              <wp:inline distT="0" distB="0" distL="0" distR="0">
                <wp:extent cx="723900" cy="228600"/>
                <wp:effectExtent l="3810" t="0" r="0" b="1270"/>
                <wp:docPr id="1" name="自选图形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723900" cy="228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自选图形 9" o:spid="_x0000_s1026" o:spt="1" style="height:18pt;width:57pt;" filled="f" stroked="f" coordsize="21600,21600" o:gfxdata="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8jU8dUAAAAE&#10;AQAADwAAAAAAAAABACAAAAAiAAAAZHJzL2Rvd25yZXYueG1sUEsBAhQAFAAAAAgAh07iQJFH3bof&#10;AgAAKwQAAA4AAAAAAAAAAQAgAAAAJAEAAGRycy9lMm9Eb2MueG1sUEsFBgAAAAAGAAYAWQEAALUF&#10;AAAAAA==&#10;">
                <v:fill on="f" focussize="0,0"/>
                <v:stroke on="f"/>
                <v:imagedata o:title=""/>
                <o:lock v:ext="edit" aspectratio="t"/>
                <w10:wrap type="none"/>
                <w10:anchorlock/>
              </v:rect>
            </w:pict>
          </mc:Fallback>
        </mc:AlternateContent>
      </w:r>
    </w:p>
    <w:p w14:paraId="014A5BEB">
      <w:pPr>
        <w:widowControl/>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w:t>
      </w:r>
    </w:p>
    <w:p w14:paraId="1CB4EAA4">
      <w:pPr>
        <w:keepNext/>
        <w:keepLines/>
        <w:adjustRightInd w:val="0"/>
        <w:snapToGrid w:val="0"/>
        <w:spacing w:line="360" w:lineRule="auto"/>
        <w:jc w:val="left"/>
        <w:rPr>
          <w:rFonts w:hint="eastAsia" w:ascii="宋体" w:hAnsi="宋体" w:cs="宋体"/>
          <w:b/>
          <w:color w:val="auto"/>
          <w:sz w:val="32"/>
          <w:szCs w:val="22"/>
          <w:highlight w:val="none"/>
        </w:rPr>
      </w:pPr>
    </w:p>
    <w:p w14:paraId="639A45C2">
      <w:pPr>
        <w:adjustRightInd w:val="0"/>
        <w:snapToGrid w:val="0"/>
        <w:spacing w:line="360" w:lineRule="auto"/>
        <w:ind w:firstLine="413" w:firstLineChars="196"/>
        <w:outlineLvl w:val="2"/>
        <w:rPr>
          <w:rFonts w:hint="eastAsia" w:ascii="宋体" w:hAnsi="宋体" w:cs="宋体"/>
          <w:b/>
          <w:color w:val="auto"/>
          <w:szCs w:val="24"/>
          <w:highlight w:val="none"/>
        </w:rPr>
      </w:pPr>
      <w:r>
        <w:rPr>
          <w:rFonts w:hint="eastAsia" w:ascii="宋体" w:hAnsi="宋体" w:cs="宋体"/>
          <w:b/>
          <w:color w:val="auto"/>
          <w:szCs w:val="24"/>
          <w:highlight w:val="none"/>
        </w:rPr>
        <w:br w:type="page"/>
      </w:r>
      <w:bookmarkStart w:id="92" w:name="_Toc8571"/>
      <w:bookmarkStart w:id="93" w:name="_Toc27036"/>
      <w:r>
        <w:rPr>
          <w:rFonts w:hint="eastAsia" w:ascii="宋体" w:hAnsi="宋体" w:cs="宋体"/>
          <w:b/>
          <w:bCs/>
          <w:color w:val="auto"/>
          <w:sz w:val="24"/>
          <w:szCs w:val="24"/>
          <w:highlight w:val="none"/>
        </w:rPr>
        <w:t>四、如采用《投标人免缴投标保证金信用承诺书》形式，可采用下列格式。</w:t>
      </w:r>
      <w:bookmarkEnd w:id="92"/>
      <w:bookmarkEnd w:id="93"/>
    </w:p>
    <w:p w14:paraId="307300F3">
      <w:pPr>
        <w:adjustRightInd w:val="0"/>
        <w:snapToGrid w:val="0"/>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投标人免缴投标保证金信用承诺书</w:t>
      </w:r>
    </w:p>
    <w:p w14:paraId="46F847CA">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（招标人名称）</w:t>
      </w:r>
    </w:p>
    <w:p w14:paraId="3DE6DE3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 (单位)拟参加</w:t>
      </w:r>
      <w:r>
        <w:rPr>
          <w:rFonts w:hint="eastAsia" w:ascii="宋体" w:hAnsi="宋体" w:cs="宋体"/>
          <w:color w:val="auto"/>
          <w:sz w:val="24"/>
          <w:szCs w:val="24"/>
          <w:highlight w:val="none"/>
          <w:u w:val="single"/>
        </w:rPr>
        <w:t xml:space="preserve">  2026年度南通市崇川区城市工程建设管理中心建设项目测绘服务  </w:t>
      </w:r>
      <w:r>
        <w:rPr>
          <w:rFonts w:hint="eastAsia" w:ascii="宋体" w:hAnsi="宋体" w:cs="宋体"/>
          <w:color w:val="auto"/>
          <w:sz w:val="24"/>
          <w:szCs w:val="24"/>
          <w:highlight w:val="none"/>
        </w:rPr>
        <w:t>项目的投标，自愿以书面承诺形式替代投标保证金并愿意承担不实承诺的法律责任。</w:t>
      </w:r>
    </w:p>
    <w:p w14:paraId="5CE8731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一、项目基本情况</w:t>
      </w:r>
    </w:p>
    <w:p w14:paraId="5C935A1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  2026年度南通市崇川区城市工程建设管理中心建设项目测绘服务</w:t>
      </w:r>
    </w:p>
    <w:p w14:paraId="1BF53646">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标段名称:  2026年度南通市崇川区城市工程建设管理中心建设项目测绘服务</w:t>
      </w:r>
    </w:p>
    <w:p w14:paraId="292FDB3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保证金金额:</w:t>
      </w:r>
      <w:r>
        <w:rPr>
          <w:rFonts w:hint="eastAsia" w:ascii="宋体" w:hAnsi="宋体" w:cs="宋体"/>
          <w:color w:val="auto"/>
          <w:sz w:val="24"/>
          <w:szCs w:val="24"/>
          <w:highlight w:val="none"/>
          <w:u w:val="single"/>
        </w:rPr>
        <w:t xml:space="preserve"> 2000</w:t>
      </w:r>
      <w:r>
        <w:rPr>
          <w:rFonts w:hint="eastAsia" w:ascii="宋体" w:hAnsi="宋体" w:cs="宋体"/>
          <w:color w:val="auto"/>
          <w:sz w:val="24"/>
          <w:szCs w:val="24"/>
          <w:highlight w:val="none"/>
        </w:rPr>
        <w:t>元，投标有效期:</w:t>
      </w:r>
      <w:r>
        <w:rPr>
          <w:rFonts w:hint="eastAsia" w:ascii="宋体" w:hAnsi="宋体" w:cs="宋体"/>
          <w:color w:val="auto"/>
          <w:sz w:val="24"/>
          <w:szCs w:val="24"/>
          <w:highlight w:val="none"/>
          <w:u w:val="single"/>
        </w:rPr>
        <w:t xml:space="preserve"> 45 </w:t>
      </w:r>
      <w:r>
        <w:rPr>
          <w:rFonts w:hint="eastAsia" w:ascii="宋体" w:hAnsi="宋体" w:cs="宋体"/>
          <w:color w:val="auto"/>
          <w:sz w:val="24"/>
          <w:szCs w:val="24"/>
          <w:highlight w:val="none"/>
        </w:rPr>
        <w:t>天，投标有效期延长的，本承诺书有效期相应顺延。</w:t>
      </w:r>
    </w:p>
    <w:p w14:paraId="2BF8D6B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二、本公司 (单位)承诺</w:t>
      </w:r>
    </w:p>
    <w:p w14:paraId="04531F1A">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(一)符合信用承诺制的办理条件，无不良信用记录或虚假承诺等情形。</w:t>
      </w:r>
    </w:p>
    <w:p w14:paraId="03DCE76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(二)在此次招标活动中不发生以下情形:</w:t>
      </w:r>
    </w:p>
    <w:p w14:paraId="4CA58A9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1.在开标后和投标有效期满之前撤销投标文件;</w:t>
      </w:r>
    </w:p>
    <w:p w14:paraId="05C3BE7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2.在收到中标通知后，不能或拒绝在中标通知书规定的时间内与招标人签订合同;</w:t>
      </w:r>
    </w:p>
    <w:p w14:paraId="416DD63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3.与招标人签订合同后，未在规定的时间内提交符合招标文件要求的履约担保;</w:t>
      </w:r>
    </w:p>
    <w:p w14:paraId="2DC085D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4.法律、法规或部门规章、招标文件等规定的关于不予退还投标保证金的其他要求。</w:t>
      </w:r>
    </w:p>
    <w:p w14:paraId="4DDADB2D">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(三)自愿承担不实承诺的法律后果：</w:t>
      </w:r>
    </w:p>
    <w:p w14:paraId="601719E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1.投标资格无效;</w:t>
      </w:r>
    </w:p>
    <w:p w14:paraId="714A64F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2.将失信行为记录到招标投标信用信息共享平台或公共资源交易服务平台予以公示;给他人造成损失的，依法承担赔偿责任;违反相关法律法规的，交由相关行政监督部门处理;涉嫌犯罪的，依法移送司法机关。</w:t>
      </w:r>
    </w:p>
    <w:p w14:paraId="4E118AEA">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3.自发现承诺内容失信行为之日起 5个工作日内向招标人补缴投标保证金，逾期补缴的的视为失信行为记入信用记录；给他人造成损失的，依法承担赔偿责任。</w:t>
      </w:r>
    </w:p>
    <w:p w14:paraId="120B0BA7">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招标人依法提起诉讼的，相关诉讼费用（包括但不限于案件受理费、律师费、申请费、差旅费等）由我公司承担，南通市内各级公共资源交易中心、招标人有权暂缓退付我公司以现金方式缴纳的其他项目保证金，并配合法院执行。</w:t>
      </w:r>
    </w:p>
    <w:p w14:paraId="4CCAB493">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(四)上述承诺是自身真实的意思表示。</w:t>
      </w:r>
    </w:p>
    <w:p w14:paraId="177E3A01">
      <w:pPr>
        <w:adjustRightInd w:val="0"/>
        <w:snapToGrid w:val="0"/>
        <w:spacing w:line="360" w:lineRule="auto"/>
        <w:ind w:firstLine="480" w:firstLineChars="200"/>
        <w:rPr>
          <w:rFonts w:hint="eastAsia" w:ascii="宋体" w:hAnsi="宋体" w:cs="宋体"/>
          <w:color w:val="auto"/>
          <w:sz w:val="24"/>
          <w:szCs w:val="24"/>
          <w:highlight w:val="none"/>
        </w:rPr>
      </w:pPr>
    </w:p>
    <w:p w14:paraId="6084009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申请人 (盖公章 ): </w:t>
      </w:r>
    </w:p>
    <w:p w14:paraId="4317A4F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签字或盖章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7D200765">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p w14:paraId="50C896F7">
      <w:pPr>
        <w:adjustRightInd w:val="0"/>
        <w:snapToGrid w:val="0"/>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承诺日期:  年 月 日</w:t>
      </w:r>
    </w:p>
    <w:p w14:paraId="3A546383">
      <w:pPr>
        <w:adjustRightInd w:val="0"/>
        <w:snapToGrid w:val="0"/>
        <w:spacing w:line="360" w:lineRule="auto"/>
        <w:rPr>
          <w:rFonts w:hint="eastAsia" w:ascii="宋体" w:hAnsi="宋体" w:cs="宋体"/>
          <w:color w:val="auto"/>
          <w:highlight w:val="none"/>
        </w:rPr>
      </w:pPr>
    </w:p>
    <w:p w14:paraId="527A7400">
      <w:pPr>
        <w:keepNext/>
        <w:keepLines/>
        <w:adjustRightInd w:val="0"/>
        <w:snapToGrid w:val="0"/>
        <w:spacing w:line="360" w:lineRule="auto"/>
        <w:jc w:val="left"/>
        <w:outlineLvl w:val="1"/>
        <w:rPr>
          <w:rFonts w:hint="eastAsia" w:ascii="宋体" w:hAnsi="宋体" w:cs="宋体"/>
          <w:b/>
          <w:color w:val="auto"/>
          <w:sz w:val="32"/>
          <w:szCs w:val="22"/>
          <w:highlight w:val="none"/>
        </w:rPr>
      </w:pPr>
      <w:r>
        <w:rPr>
          <w:rFonts w:hint="eastAsia" w:ascii="宋体" w:hAnsi="宋体" w:cs="宋体"/>
          <w:b/>
          <w:color w:val="auto"/>
          <w:sz w:val="32"/>
          <w:szCs w:val="22"/>
          <w:highlight w:val="none"/>
        </w:rPr>
        <w:br w:type="page"/>
      </w:r>
      <w:bookmarkStart w:id="94" w:name="_Toc25668"/>
      <w:bookmarkStart w:id="95" w:name="_Toc29796"/>
      <w:r>
        <w:rPr>
          <w:rFonts w:hint="eastAsia" w:ascii="宋体" w:hAnsi="宋体" w:cs="宋体"/>
          <w:b/>
          <w:color w:val="auto"/>
          <w:sz w:val="32"/>
          <w:szCs w:val="22"/>
          <w:highlight w:val="none"/>
        </w:rPr>
        <w:t>3.商务标格式</w:t>
      </w:r>
      <w:bookmarkEnd w:id="94"/>
      <w:bookmarkEnd w:id="95"/>
    </w:p>
    <w:p w14:paraId="3EC114EB">
      <w:pPr>
        <w:keepNext/>
        <w:keepLines/>
        <w:adjustRightInd w:val="0"/>
        <w:snapToGrid w:val="0"/>
        <w:spacing w:line="360" w:lineRule="auto"/>
        <w:jc w:val="center"/>
        <w:outlineLvl w:val="2"/>
        <w:rPr>
          <w:rFonts w:hint="eastAsia" w:ascii="宋体" w:hAnsi="宋体" w:cs="宋体"/>
          <w:b/>
          <w:color w:val="auto"/>
          <w:sz w:val="32"/>
          <w:szCs w:val="22"/>
          <w:highlight w:val="none"/>
        </w:rPr>
      </w:pPr>
      <w:bookmarkStart w:id="96" w:name="_Toc26555"/>
      <w:bookmarkStart w:id="97" w:name="_Toc198"/>
      <w:r>
        <w:rPr>
          <w:rFonts w:hint="eastAsia" w:ascii="宋体" w:hAnsi="宋体" w:cs="宋体"/>
          <w:b/>
          <w:color w:val="auto"/>
          <w:sz w:val="24"/>
          <w:szCs w:val="24"/>
          <w:highlight w:val="none"/>
        </w:rPr>
        <w:t>一、投标人一般情况表</w:t>
      </w:r>
      <w:bookmarkEnd w:id="96"/>
      <w:bookmarkEnd w:id="97"/>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1A47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2235" w:type="dxa"/>
            <w:vAlign w:val="center"/>
          </w:tcPr>
          <w:p w14:paraId="104C4AF3">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企业名称</w:t>
            </w:r>
          </w:p>
        </w:tc>
        <w:tc>
          <w:tcPr>
            <w:tcW w:w="7229" w:type="dxa"/>
            <w:gridSpan w:val="8"/>
          </w:tcPr>
          <w:p w14:paraId="59E3FC01">
            <w:pPr>
              <w:tabs>
                <w:tab w:val="left" w:pos="993"/>
              </w:tabs>
              <w:adjustRightInd w:val="0"/>
              <w:snapToGrid w:val="0"/>
              <w:spacing w:line="360" w:lineRule="auto"/>
              <w:rPr>
                <w:rFonts w:hint="eastAsia" w:ascii="宋体" w:hAnsi="宋体" w:cs="宋体"/>
                <w:color w:val="auto"/>
                <w:sz w:val="24"/>
                <w:szCs w:val="24"/>
                <w:highlight w:val="none"/>
              </w:rPr>
            </w:pPr>
          </w:p>
        </w:tc>
      </w:tr>
      <w:tr w14:paraId="6494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49E829E0">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总部地址</w:t>
            </w:r>
          </w:p>
        </w:tc>
        <w:tc>
          <w:tcPr>
            <w:tcW w:w="7229" w:type="dxa"/>
            <w:gridSpan w:val="8"/>
          </w:tcPr>
          <w:p w14:paraId="6A9B583B">
            <w:pPr>
              <w:tabs>
                <w:tab w:val="left" w:pos="993"/>
              </w:tabs>
              <w:adjustRightInd w:val="0"/>
              <w:snapToGrid w:val="0"/>
              <w:spacing w:line="360" w:lineRule="auto"/>
              <w:rPr>
                <w:rFonts w:hint="eastAsia" w:ascii="宋体" w:hAnsi="宋体" w:cs="宋体"/>
                <w:color w:val="auto"/>
                <w:sz w:val="24"/>
                <w:szCs w:val="24"/>
                <w:highlight w:val="none"/>
              </w:rPr>
            </w:pPr>
          </w:p>
        </w:tc>
      </w:tr>
      <w:tr w14:paraId="3600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3776655C">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分支机构</w:t>
            </w:r>
          </w:p>
        </w:tc>
        <w:tc>
          <w:tcPr>
            <w:tcW w:w="7229" w:type="dxa"/>
            <w:gridSpan w:val="8"/>
          </w:tcPr>
          <w:p w14:paraId="541B4A5F">
            <w:pPr>
              <w:tabs>
                <w:tab w:val="left" w:pos="993"/>
              </w:tabs>
              <w:adjustRightInd w:val="0"/>
              <w:snapToGrid w:val="0"/>
              <w:spacing w:line="360" w:lineRule="auto"/>
              <w:rPr>
                <w:rFonts w:hint="eastAsia" w:ascii="宋体" w:hAnsi="宋体" w:cs="宋体"/>
                <w:color w:val="auto"/>
                <w:sz w:val="24"/>
                <w:szCs w:val="24"/>
                <w:highlight w:val="none"/>
              </w:rPr>
            </w:pPr>
          </w:p>
        </w:tc>
      </w:tr>
      <w:tr w14:paraId="507C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5D2D92E9">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当地代表处地址</w:t>
            </w:r>
          </w:p>
        </w:tc>
        <w:tc>
          <w:tcPr>
            <w:tcW w:w="7229" w:type="dxa"/>
            <w:gridSpan w:val="8"/>
          </w:tcPr>
          <w:p w14:paraId="3869DE25">
            <w:pPr>
              <w:tabs>
                <w:tab w:val="left" w:pos="993"/>
              </w:tabs>
              <w:adjustRightInd w:val="0"/>
              <w:snapToGrid w:val="0"/>
              <w:spacing w:line="360" w:lineRule="auto"/>
              <w:rPr>
                <w:rFonts w:hint="eastAsia" w:ascii="宋体" w:hAnsi="宋体" w:cs="宋体"/>
                <w:color w:val="auto"/>
                <w:sz w:val="24"/>
                <w:szCs w:val="24"/>
                <w:highlight w:val="none"/>
              </w:rPr>
            </w:pPr>
          </w:p>
        </w:tc>
      </w:tr>
      <w:tr w14:paraId="3849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4059AB62">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2408" w:type="dxa"/>
            <w:gridSpan w:val="3"/>
          </w:tcPr>
          <w:p w14:paraId="4B109E66">
            <w:pPr>
              <w:tabs>
                <w:tab w:val="left" w:pos="993"/>
              </w:tabs>
              <w:adjustRightInd w:val="0"/>
              <w:snapToGrid w:val="0"/>
              <w:spacing w:line="360" w:lineRule="auto"/>
              <w:rPr>
                <w:rFonts w:hint="eastAsia" w:ascii="宋体" w:hAnsi="宋体" w:cs="宋体"/>
                <w:color w:val="auto"/>
                <w:sz w:val="24"/>
                <w:szCs w:val="24"/>
                <w:highlight w:val="none"/>
              </w:rPr>
            </w:pPr>
          </w:p>
        </w:tc>
        <w:tc>
          <w:tcPr>
            <w:tcW w:w="1875" w:type="dxa"/>
            <w:gridSpan w:val="2"/>
          </w:tcPr>
          <w:p w14:paraId="57999A0D">
            <w:pPr>
              <w:tabs>
                <w:tab w:val="left" w:pos="993"/>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946" w:type="dxa"/>
            <w:gridSpan w:val="3"/>
          </w:tcPr>
          <w:p w14:paraId="3AB7CD40">
            <w:pPr>
              <w:tabs>
                <w:tab w:val="left" w:pos="993"/>
              </w:tabs>
              <w:adjustRightInd w:val="0"/>
              <w:snapToGrid w:val="0"/>
              <w:spacing w:line="360" w:lineRule="auto"/>
              <w:rPr>
                <w:rFonts w:hint="eastAsia" w:ascii="宋体" w:hAnsi="宋体" w:cs="宋体"/>
                <w:color w:val="auto"/>
                <w:sz w:val="24"/>
                <w:szCs w:val="24"/>
                <w:highlight w:val="none"/>
              </w:rPr>
            </w:pPr>
          </w:p>
        </w:tc>
      </w:tr>
      <w:tr w14:paraId="32BF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03228E83">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传真</w:t>
            </w:r>
          </w:p>
        </w:tc>
        <w:tc>
          <w:tcPr>
            <w:tcW w:w="2408" w:type="dxa"/>
            <w:gridSpan w:val="3"/>
          </w:tcPr>
          <w:p w14:paraId="5FC1DC27">
            <w:pPr>
              <w:tabs>
                <w:tab w:val="left" w:pos="993"/>
              </w:tabs>
              <w:adjustRightInd w:val="0"/>
              <w:snapToGrid w:val="0"/>
              <w:spacing w:line="360" w:lineRule="auto"/>
              <w:rPr>
                <w:rFonts w:hint="eastAsia" w:ascii="宋体" w:hAnsi="宋体" w:cs="宋体"/>
                <w:color w:val="auto"/>
                <w:sz w:val="24"/>
                <w:szCs w:val="24"/>
                <w:highlight w:val="none"/>
              </w:rPr>
            </w:pPr>
          </w:p>
        </w:tc>
        <w:tc>
          <w:tcPr>
            <w:tcW w:w="1875" w:type="dxa"/>
            <w:gridSpan w:val="2"/>
          </w:tcPr>
          <w:p w14:paraId="2B27B696">
            <w:pPr>
              <w:tabs>
                <w:tab w:val="left" w:pos="993"/>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电子邮件</w:t>
            </w:r>
          </w:p>
        </w:tc>
        <w:tc>
          <w:tcPr>
            <w:tcW w:w="2946" w:type="dxa"/>
            <w:gridSpan w:val="3"/>
          </w:tcPr>
          <w:p w14:paraId="2D9470FC">
            <w:pPr>
              <w:tabs>
                <w:tab w:val="left" w:pos="993"/>
              </w:tabs>
              <w:adjustRightInd w:val="0"/>
              <w:snapToGrid w:val="0"/>
              <w:spacing w:line="360" w:lineRule="auto"/>
              <w:rPr>
                <w:rFonts w:hint="eastAsia" w:ascii="宋体" w:hAnsi="宋体" w:cs="宋体"/>
                <w:color w:val="auto"/>
                <w:sz w:val="24"/>
                <w:szCs w:val="24"/>
                <w:highlight w:val="none"/>
              </w:rPr>
            </w:pPr>
          </w:p>
        </w:tc>
      </w:tr>
      <w:tr w14:paraId="1377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6D42A094">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注册地</w:t>
            </w:r>
          </w:p>
        </w:tc>
        <w:tc>
          <w:tcPr>
            <w:tcW w:w="2408" w:type="dxa"/>
            <w:gridSpan w:val="3"/>
          </w:tcPr>
          <w:p w14:paraId="30173B9D">
            <w:pPr>
              <w:tabs>
                <w:tab w:val="left" w:pos="993"/>
              </w:tabs>
              <w:adjustRightInd w:val="0"/>
              <w:snapToGrid w:val="0"/>
              <w:spacing w:line="360" w:lineRule="auto"/>
              <w:rPr>
                <w:rFonts w:hint="eastAsia" w:ascii="宋体" w:hAnsi="宋体" w:cs="宋体"/>
                <w:color w:val="auto"/>
                <w:sz w:val="24"/>
                <w:szCs w:val="24"/>
                <w:highlight w:val="none"/>
              </w:rPr>
            </w:pPr>
          </w:p>
        </w:tc>
        <w:tc>
          <w:tcPr>
            <w:tcW w:w="1875" w:type="dxa"/>
            <w:gridSpan w:val="2"/>
          </w:tcPr>
          <w:p w14:paraId="0656B49B">
            <w:pPr>
              <w:tabs>
                <w:tab w:val="left" w:pos="993"/>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注册年份</w:t>
            </w:r>
          </w:p>
        </w:tc>
        <w:tc>
          <w:tcPr>
            <w:tcW w:w="2946" w:type="dxa"/>
            <w:gridSpan w:val="3"/>
          </w:tcPr>
          <w:p w14:paraId="475B451F">
            <w:pPr>
              <w:tabs>
                <w:tab w:val="left" w:pos="993"/>
              </w:tabs>
              <w:adjustRightInd w:val="0"/>
              <w:snapToGrid w:val="0"/>
              <w:spacing w:line="360" w:lineRule="auto"/>
              <w:rPr>
                <w:rFonts w:hint="eastAsia" w:ascii="宋体" w:hAnsi="宋体" w:cs="宋体"/>
                <w:color w:val="auto"/>
                <w:sz w:val="24"/>
                <w:szCs w:val="24"/>
                <w:highlight w:val="none"/>
              </w:rPr>
            </w:pPr>
          </w:p>
        </w:tc>
      </w:tr>
      <w:tr w14:paraId="5114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6D64412A">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资质等级</w:t>
            </w:r>
          </w:p>
        </w:tc>
        <w:tc>
          <w:tcPr>
            <w:tcW w:w="7229" w:type="dxa"/>
            <w:gridSpan w:val="8"/>
          </w:tcPr>
          <w:p w14:paraId="3A24EA42">
            <w:pPr>
              <w:tabs>
                <w:tab w:val="left" w:pos="993"/>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公司具备的相关资质等级及相应的证书号</w:t>
            </w:r>
          </w:p>
          <w:p w14:paraId="353BC583">
            <w:pPr>
              <w:tabs>
                <w:tab w:val="left" w:pos="993"/>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（请附有关证书的复印件）</w:t>
            </w:r>
          </w:p>
        </w:tc>
      </w:tr>
      <w:tr w14:paraId="12A8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2D31E4AA">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质量管理体系</w:t>
            </w:r>
          </w:p>
        </w:tc>
        <w:tc>
          <w:tcPr>
            <w:tcW w:w="7229" w:type="dxa"/>
            <w:gridSpan w:val="8"/>
          </w:tcPr>
          <w:p w14:paraId="6E1E1217">
            <w:pPr>
              <w:tabs>
                <w:tab w:val="left" w:pos="993"/>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公司</w:t>
            </w:r>
            <w:r>
              <w:rPr>
                <w:rFonts w:hint="eastAsia" w:ascii="宋体" w:hAnsi="宋体" w:cs="宋体"/>
                <w:color w:val="auto"/>
                <w:sz w:val="24"/>
                <w:szCs w:val="24"/>
                <w:highlight w:val="none"/>
                <w:u w:val="single"/>
              </w:rPr>
              <w:t xml:space="preserve">   （是否通过，何种）   </w:t>
            </w:r>
            <w:r>
              <w:rPr>
                <w:rFonts w:hint="eastAsia" w:ascii="宋体" w:hAnsi="宋体" w:cs="宋体"/>
                <w:color w:val="auto"/>
                <w:sz w:val="24"/>
                <w:szCs w:val="24"/>
                <w:highlight w:val="none"/>
              </w:rPr>
              <w:t>质量保证体系认证（如通过请附相关在有效期内的证书复印件）</w:t>
            </w:r>
          </w:p>
        </w:tc>
      </w:tr>
      <w:tr w14:paraId="23CC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75F3E274">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559" w:type="dxa"/>
            <w:gridSpan w:val="2"/>
          </w:tcPr>
          <w:p w14:paraId="28437F44">
            <w:pPr>
              <w:tabs>
                <w:tab w:val="left" w:pos="993"/>
              </w:tabs>
              <w:adjustRightInd w:val="0"/>
              <w:snapToGrid w:val="0"/>
              <w:spacing w:line="360" w:lineRule="auto"/>
              <w:jc w:val="center"/>
              <w:rPr>
                <w:rFonts w:hint="eastAsia" w:ascii="宋体" w:hAnsi="宋体" w:cs="宋体"/>
                <w:color w:val="auto"/>
                <w:sz w:val="24"/>
                <w:szCs w:val="24"/>
                <w:highlight w:val="none"/>
              </w:rPr>
            </w:pPr>
          </w:p>
        </w:tc>
        <w:tc>
          <w:tcPr>
            <w:tcW w:w="1417" w:type="dxa"/>
            <w:gridSpan w:val="2"/>
          </w:tcPr>
          <w:p w14:paraId="407628BF">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年龄</w:t>
            </w:r>
          </w:p>
        </w:tc>
        <w:tc>
          <w:tcPr>
            <w:tcW w:w="1466" w:type="dxa"/>
            <w:gridSpan w:val="2"/>
          </w:tcPr>
          <w:p w14:paraId="10060773">
            <w:pPr>
              <w:tabs>
                <w:tab w:val="left" w:pos="993"/>
              </w:tabs>
              <w:adjustRightInd w:val="0"/>
              <w:snapToGrid w:val="0"/>
              <w:spacing w:line="360" w:lineRule="auto"/>
              <w:jc w:val="center"/>
              <w:rPr>
                <w:rFonts w:hint="eastAsia" w:ascii="宋体" w:hAnsi="宋体" w:cs="宋体"/>
                <w:color w:val="auto"/>
                <w:sz w:val="24"/>
                <w:szCs w:val="24"/>
                <w:highlight w:val="none"/>
              </w:rPr>
            </w:pPr>
          </w:p>
        </w:tc>
        <w:tc>
          <w:tcPr>
            <w:tcW w:w="1320" w:type="dxa"/>
          </w:tcPr>
          <w:p w14:paraId="52587502">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性别</w:t>
            </w:r>
          </w:p>
        </w:tc>
        <w:tc>
          <w:tcPr>
            <w:tcW w:w="1467" w:type="dxa"/>
          </w:tcPr>
          <w:p w14:paraId="268DAA57">
            <w:pPr>
              <w:tabs>
                <w:tab w:val="left" w:pos="993"/>
              </w:tabs>
              <w:adjustRightInd w:val="0"/>
              <w:snapToGrid w:val="0"/>
              <w:spacing w:line="360" w:lineRule="auto"/>
              <w:jc w:val="center"/>
              <w:rPr>
                <w:rFonts w:hint="eastAsia" w:ascii="宋体" w:hAnsi="宋体" w:cs="宋体"/>
                <w:color w:val="auto"/>
                <w:sz w:val="24"/>
                <w:szCs w:val="24"/>
                <w:highlight w:val="none"/>
              </w:rPr>
            </w:pPr>
          </w:p>
        </w:tc>
      </w:tr>
      <w:tr w14:paraId="5A69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14:paraId="7A1F78AC">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职务职称</w:t>
            </w:r>
          </w:p>
        </w:tc>
        <w:tc>
          <w:tcPr>
            <w:tcW w:w="2976" w:type="dxa"/>
            <w:gridSpan w:val="4"/>
          </w:tcPr>
          <w:p w14:paraId="246560F0">
            <w:pPr>
              <w:tabs>
                <w:tab w:val="left" w:pos="993"/>
              </w:tabs>
              <w:adjustRightInd w:val="0"/>
              <w:snapToGrid w:val="0"/>
              <w:spacing w:line="360" w:lineRule="auto"/>
              <w:rPr>
                <w:rFonts w:hint="eastAsia" w:ascii="宋体" w:hAnsi="宋体" w:cs="宋体"/>
                <w:color w:val="auto"/>
                <w:sz w:val="24"/>
                <w:szCs w:val="24"/>
                <w:highlight w:val="none"/>
              </w:rPr>
            </w:pPr>
          </w:p>
        </w:tc>
        <w:tc>
          <w:tcPr>
            <w:tcW w:w="1466" w:type="dxa"/>
            <w:gridSpan w:val="2"/>
          </w:tcPr>
          <w:p w14:paraId="604493CE">
            <w:pPr>
              <w:tabs>
                <w:tab w:val="left" w:pos="993"/>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培训证书</w:t>
            </w:r>
          </w:p>
        </w:tc>
        <w:tc>
          <w:tcPr>
            <w:tcW w:w="2787" w:type="dxa"/>
            <w:gridSpan w:val="2"/>
          </w:tcPr>
          <w:p w14:paraId="41E71DA7">
            <w:pPr>
              <w:tabs>
                <w:tab w:val="left" w:pos="993"/>
              </w:tabs>
              <w:adjustRightInd w:val="0"/>
              <w:snapToGrid w:val="0"/>
              <w:spacing w:line="360" w:lineRule="auto"/>
              <w:rPr>
                <w:rFonts w:hint="eastAsia" w:ascii="宋体" w:hAnsi="宋体" w:cs="宋体"/>
                <w:color w:val="auto"/>
                <w:sz w:val="24"/>
                <w:szCs w:val="24"/>
                <w:highlight w:val="none"/>
              </w:rPr>
            </w:pPr>
          </w:p>
        </w:tc>
      </w:tr>
      <w:tr w14:paraId="477E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trPr>
        <w:tc>
          <w:tcPr>
            <w:tcW w:w="2235" w:type="dxa"/>
            <w:vAlign w:val="center"/>
          </w:tcPr>
          <w:p w14:paraId="1854F9A9">
            <w:pPr>
              <w:tabs>
                <w:tab w:val="left" w:pos="993"/>
              </w:tabs>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7229" w:type="dxa"/>
            <w:gridSpan w:val="8"/>
          </w:tcPr>
          <w:p w14:paraId="0EFA8C82">
            <w:pPr>
              <w:tabs>
                <w:tab w:val="left" w:pos="993"/>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营业执照载明：</w:t>
            </w:r>
          </w:p>
          <w:p w14:paraId="3CED0EF9">
            <w:pPr>
              <w:tabs>
                <w:tab w:val="left" w:pos="993"/>
              </w:tabs>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p>
          <w:p w14:paraId="6D6445B0">
            <w:pPr>
              <w:tabs>
                <w:tab w:val="left" w:pos="993"/>
              </w:tabs>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w:t>
            </w:r>
          </w:p>
          <w:p w14:paraId="3AD26BF8">
            <w:pPr>
              <w:tabs>
                <w:tab w:val="left" w:pos="993"/>
              </w:tabs>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u w:val="single"/>
              </w:rPr>
              <w:t xml:space="preserve">                                               </w:t>
            </w:r>
          </w:p>
          <w:p w14:paraId="3584ECD3">
            <w:pPr>
              <w:tabs>
                <w:tab w:val="left" w:pos="993"/>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716E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3" w:type="dxa"/>
            <w:gridSpan w:val="2"/>
            <w:vAlign w:val="center"/>
          </w:tcPr>
          <w:p w14:paraId="4E54C718">
            <w:pPr>
              <w:tabs>
                <w:tab w:val="left" w:pos="993"/>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从事类似相关项目的经历及年数</w:t>
            </w:r>
          </w:p>
        </w:tc>
        <w:tc>
          <w:tcPr>
            <w:tcW w:w="6521" w:type="dxa"/>
            <w:gridSpan w:val="7"/>
          </w:tcPr>
          <w:p w14:paraId="2566BD09">
            <w:pPr>
              <w:tabs>
                <w:tab w:val="left" w:pos="993"/>
              </w:tabs>
              <w:adjustRightInd w:val="0"/>
              <w:snapToGrid w:val="0"/>
              <w:spacing w:line="360" w:lineRule="auto"/>
              <w:rPr>
                <w:rFonts w:hint="eastAsia" w:ascii="宋体" w:hAnsi="宋体" w:cs="宋体"/>
                <w:color w:val="auto"/>
                <w:sz w:val="24"/>
                <w:szCs w:val="24"/>
                <w:highlight w:val="none"/>
              </w:rPr>
            </w:pPr>
          </w:p>
        </w:tc>
      </w:tr>
      <w:tr w14:paraId="3279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3" w:type="dxa"/>
            <w:gridSpan w:val="2"/>
            <w:vAlign w:val="center"/>
          </w:tcPr>
          <w:p w14:paraId="42360FEB">
            <w:pPr>
              <w:tabs>
                <w:tab w:val="left" w:pos="993"/>
              </w:tabs>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其他认为有必要提供的内容，可自行添加</w:t>
            </w:r>
          </w:p>
        </w:tc>
        <w:tc>
          <w:tcPr>
            <w:tcW w:w="6521" w:type="dxa"/>
            <w:gridSpan w:val="7"/>
          </w:tcPr>
          <w:p w14:paraId="2F0D7620">
            <w:pPr>
              <w:tabs>
                <w:tab w:val="left" w:pos="993"/>
              </w:tabs>
              <w:adjustRightInd w:val="0"/>
              <w:snapToGrid w:val="0"/>
              <w:spacing w:line="360" w:lineRule="auto"/>
              <w:rPr>
                <w:rFonts w:hint="eastAsia" w:ascii="宋体" w:hAnsi="宋体" w:cs="宋体"/>
                <w:color w:val="auto"/>
                <w:sz w:val="24"/>
                <w:szCs w:val="24"/>
                <w:highlight w:val="none"/>
              </w:rPr>
            </w:pPr>
          </w:p>
        </w:tc>
      </w:tr>
    </w:tbl>
    <w:p w14:paraId="78A175D3">
      <w:pPr>
        <w:adjustRightInd w:val="0"/>
        <w:snapToGrid w:val="0"/>
        <w:spacing w:line="360" w:lineRule="auto"/>
        <w:ind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投标人（法人盖章）：</w:t>
      </w:r>
      <w:r>
        <w:rPr>
          <w:rFonts w:hint="eastAsia" w:ascii="宋体" w:hAnsi="宋体" w:cs="宋体"/>
          <w:color w:val="auto"/>
          <w:sz w:val="24"/>
          <w:highlight w:val="none"/>
          <w:u w:val="single"/>
        </w:rPr>
        <w:t xml:space="preserve">                                 </w:t>
      </w:r>
    </w:p>
    <w:p w14:paraId="65321A88">
      <w:pPr>
        <w:adjustRightInd w:val="0"/>
        <w:snapToGrid w:val="0"/>
        <w:spacing w:line="360" w:lineRule="auto"/>
        <w:ind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法定代表人或授权委托人（签字或盖章）</w:t>
      </w:r>
      <w:r>
        <w:rPr>
          <w:rFonts w:hint="eastAsia" w:ascii="宋体" w:hAnsi="宋体" w:cs="宋体"/>
          <w:color w:val="auto"/>
          <w:sz w:val="24"/>
          <w:highlight w:val="none"/>
          <w:u w:val="single"/>
        </w:rPr>
        <w:t xml:space="preserve">                 </w:t>
      </w:r>
    </w:p>
    <w:p w14:paraId="4E30CF6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4191E096">
      <w:pPr>
        <w:pStyle w:val="7"/>
        <w:adjustRightInd w:val="0"/>
        <w:snapToGrid w:val="0"/>
        <w:spacing w:before="0" w:after="0" w:line="360" w:lineRule="auto"/>
        <w:jc w:val="center"/>
        <w:rPr>
          <w:rFonts w:hint="eastAsia" w:ascii="宋体" w:hAnsi="宋体" w:eastAsia="宋体" w:cs="宋体"/>
          <w:b/>
          <w:color w:val="auto"/>
          <w:highlight w:val="none"/>
        </w:rPr>
      </w:pPr>
      <w:bookmarkStart w:id="98" w:name="_Toc42205479"/>
      <w:r>
        <w:rPr>
          <w:rFonts w:hint="eastAsia" w:ascii="宋体" w:hAnsi="宋体" w:eastAsia="宋体" w:cs="宋体"/>
          <w:color w:val="auto"/>
          <w:highlight w:val="none"/>
        </w:rPr>
        <w:br w:type="page"/>
      </w:r>
      <w:bookmarkEnd w:id="98"/>
      <w:bookmarkStart w:id="99" w:name="_Toc26812"/>
      <w:bookmarkStart w:id="100" w:name="_Toc29231"/>
      <w:r>
        <w:rPr>
          <w:rFonts w:hint="eastAsia" w:ascii="宋体" w:hAnsi="宋体" w:eastAsia="宋体" w:cs="宋体"/>
          <w:b/>
          <w:color w:val="auto"/>
          <w:highlight w:val="none"/>
        </w:rPr>
        <w:t>二、投标函</w:t>
      </w:r>
      <w:bookmarkEnd w:id="99"/>
      <w:bookmarkEnd w:id="100"/>
    </w:p>
    <w:p w14:paraId="1461B47C">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14:paraId="0355B24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（一）根据已收到的</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的招标文件，我方经研究招标文件和有关资料后，愿意按招标文件规定的内容承担该工程的任务，严格履行投标人所应承担的责任和义务。</w:t>
      </w:r>
    </w:p>
    <w:p w14:paraId="09A5B86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（二）我单位经慎重考虑后，参照财政部、国家测绘局颁布《测绘生产成本费用定额》国财建【2009】17号文件精神，在此收费基础上×70%×(1-中标下浮率计费)，我方决定本次报价下浮率为：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（最多保留小数点后两位小数），按招标文件的要求承担本次招标范围内的全部测绘工作。</w:t>
      </w:r>
    </w:p>
    <w:p w14:paraId="359FC9A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（三）本单位承诺：如果接到合作通知后未按贵司要求的时间与内容签署正式协议或坚持提出附加条件，贵司有权取消本单位的合作资格，另选其他合作单位。</w:t>
      </w:r>
    </w:p>
    <w:p w14:paraId="4E0869D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（四）本单位接受贵司向本单位已经或可能发出的关于招标文件的修改通知，否则，贵司有权取消本单位的协议合作资格，另选其他合作单位。</w:t>
      </w:r>
    </w:p>
    <w:p w14:paraId="33D0D98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（五）贵单位的招标文件、中标通知书和本投标文件将构成约束我们双方的合同。</w:t>
      </w:r>
    </w:p>
    <w:p w14:paraId="6E3534DA">
      <w:pPr>
        <w:adjustRightInd w:val="0"/>
        <w:snapToGrid w:val="0"/>
        <w:spacing w:line="360" w:lineRule="auto"/>
        <w:rPr>
          <w:rFonts w:hint="eastAsia" w:ascii="宋体" w:hAnsi="宋体" w:cs="宋体"/>
          <w:color w:val="auto"/>
          <w:sz w:val="24"/>
          <w:highlight w:val="none"/>
        </w:rPr>
      </w:pPr>
    </w:p>
    <w:p w14:paraId="0A398D3A">
      <w:pPr>
        <w:adjustRightInd w:val="0"/>
        <w:snapToGrid w:val="0"/>
        <w:spacing w:line="360" w:lineRule="auto"/>
        <w:ind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投标人（法人盖章）：</w:t>
      </w:r>
      <w:r>
        <w:rPr>
          <w:rFonts w:hint="eastAsia" w:ascii="宋体" w:hAnsi="宋体" w:cs="宋体"/>
          <w:color w:val="auto"/>
          <w:sz w:val="24"/>
          <w:highlight w:val="none"/>
          <w:u w:val="single"/>
        </w:rPr>
        <w:t xml:space="preserve">                                 </w:t>
      </w:r>
    </w:p>
    <w:p w14:paraId="5CEBB1A0">
      <w:pPr>
        <w:adjustRightInd w:val="0"/>
        <w:snapToGrid w:val="0"/>
        <w:spacing w:line="360" w:lineRule="auto"/>
        <w:rPr>
          <w:rFonts w:hint="eastAsia" w:ascii="宋体" w:hAnsi="宋体" w:cs="宋体"/>
          <w:color w:val="auto"/>
          <w:sz w:val="24"/>
          <w:highlight w:val="none"/>
        </w:rPr>
      </w:pPr>
    </w:p>
    <w:p w14:paraId="590A32DF">
      <w:pPr>
        <w:adjustRightInd w:val="0"/>
        <w:snapToGrid w:val="0"/>
        <w:spacing w:line="360" w:lineRule="auto"/>
        <w:ind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法定代表人或授权委托人（签字或盖章）</w:t>
      </w:r>
      <w:r>
        <w:rPr>
          <w:rFonts w:hint="eastAsia" w:ascii="宋体" w:hAnsi="宋体" w:cs="宋体"/>
          <w:color w:val="auto"/>
          <w:sz w:val="24"/>
          <w:highlight w:val="none"/>
          <w:u w:val="single"/>
        </w:rPr>
        <w:t xml:space="preserve">                  </w:t>
      </w:r>
    </w:p>
    <w:p w14:paraId="774E767E">
      <w:pPr>
        <w:adjustRightInd w:val="0"/>
        <w:snapToGrid w:val="0"/>
        <w:spacing w:line="360" w:lineRule="auto"/>
        <w:rPr>
          <w:rFonts w:hint="eastAsia" w:ascii="宋体" w:hAnsi="宋体" w:cs="宋体"/>
          <w:color w:val="auto"/>
          <w:sz w:val="24"/>
          <w:highlight w:val="none"/>
          <w:u w:val="single"/>
        </w:rPr>
      </w:pPr>
    </w:p>
    <w:p w14:paraId="1824A5AE">
      <w:pPr>
        <w:adjustRightInd w:val="0"/>
        <w:snapToGrid w:val="0"/>
        <w:spacing w:line="360" w:lineRule="auto"/>
        <w:rPr>
          <w:rFonts w:hint="eastAsia" w:ascii="宋体" w:hAnsi="宋体" w:cs="宋体"/>
          <w:color w:val="auto"/>
          <w:sz w:val="24"/>
          <w:highlight w:val="none"/>
          <w:u w:val="single"/>
        </w:rPr>
      </w:pPr>
    </w:p>
    <w:p w14:paraId="50F4B8E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469BDBD4">
      <w:pPr>
        <w:adjustRightInd w:val="0"/>
        <w:snapToGrid w:val="0"/>
        <w:spacing w:line="360" w:lineRule="auto"/>
        <w:jc w:val="center"/>
        <w:outlineLvl w:val="2"/>
        <w:rPr>
          <w:rFonts w:hint="eastAsia" w:ascii="宋体" w:hAnsi="宋体" w:cs="宋体"/>
          <w:color w:val="auto"/>
          <w:sz w:val="24"/>
          <w:highlight w:val="none"/>
        </w:rPr>
      </w:pPr>
    </w:p>
    <w:sectPr>
      <w:footerReference r:id="rId6" w:type="default"/>
      <w:pgSz w:w="11906" w:h="16838"/>
      <w:pgMar w:top="1417" w:right="1701" w:bottom="1417" w:left="1701"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Trebuchet MS">
    <w:panose1 w:val="020B0603020202020204"/>
    <w:charset w:val="00"/>
    <w:family w:val="swiss"/>
    <w:pitch w:val="default"/>
    <w:sig w:usb0="00000687" w:usb1="00000000" w:usb2="00000000" w:usb3="00000000" w:csb0="2000009F" w:csb1="00000000"/>
  </w:font>
  <w:font w:name="FuturaA Bk BT">
    <w:altName w:val="Arial"/>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8C909">
    <w:pPr>
      <w:pStyle w:val="35"/>
      <w:jc w:val="center"/>
    </w:pPr>
    <w:r>
      <w:fldChar w:fldCharType="begin"/>
    </w:r>
    <w:r>
      <w:instrText xml:space="preserve"> PAGE   \* MERGEFORMAT </w:instrText>
    </w:r>
    <w:r>
      <w:fldChar w:fldCharType="separate"/>
    </w:r>
    <w:r>
      <w:rPr>
        <w:lang w:val="zh-CN"/>
      </w:rPr>
      <w:t>2</w:t>
    </w:r>
    <w:r>
      <w:fldChar w:fldCharType="end"/>
    </w:r>
  </w:p>
  <w:p w14:paraId="40C55D80">
    <w:pPr>
      <w:pStyle w:val="35"/>
      <w:tabs>
        <w:tab w:val="center" w:pos="4153"/>
        <w:tab w:val="right"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FD8AA">
    <w:pPr>
      <w:pStyle w:val="35"/>
      <w:framePr w:wrap="around" w:vAnchor="text" w:hAnchor="margin" w:xAlign="center" w:y="1"/>
      <w:tabs>
        <w:tab w:val="center" w:pos="4153"/>
        <w:tab w:val="right" w:pos="8306"/>
      </w:tabs>
      <w:rPr>
        <w:rStyle w:val="57"/>
      </w:rPr>
    </w:pPr>
    <w:r>
      <w:fldChar w:fldCharType="begin"/>
    </w:r>
    <w:r>
      <w:rPr>
        <w:rStyle w:val="57"/>
      </w:rPr>
      <w:instrText xml:space="preserve">PAGE  </w:instrText>
    </w:r>
    <w:r>
      <w:fldChar w:fldCharType="end"/>
    </w:r>
  </w:p>
  <w:p w14:paraId="4947B0D9">
    <w:pPr>
      <w:pStyle w:val="35"/>
      <w:tabs>
        <w:tab w:val="center" w:pos="4153"/>
        <w:tab w:val="right"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46E0B">
    <w:pPr>
      <w:pStyle w:val="35"/>
      <w:jc w:val="center"/>
    </w:pPr>
    <w:r>
      <w:fldChar w:fldCharType="begin"/>
    </w:r>
    <w:r>
      <w:instrText xml:space="preserve"> PAGE   \* MERGEFORMAT </w:instrText>
    </w:r>
    <w:r>
      <w:fldChar w:fldCharType="separate"/>
    </w:r>
    <w:r>
      <w:rPr>
        <w:lang w:val="zh-CN"/>
      </w:rPr>
      <w:t>22</w:t>
    </w:r>
    <w:r>
      <w:fldChar w:fldCharType="end"/>
    </w:r>
  </w:p>
  <w:p w14:paraId="073E5D43">
    <w:pPr>
      <w:tabs>
        <w:tab w:val="center" w:pos="4153"/>
        <w:tab w:val="right" w:pos="8306"/>
      </w:tabs>
      <w:snapToGrid w:val="0"/>
      <w:jc w:val="center"/>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17A3E">
    <w:pPr>
      <w:pStyle w:val="37"/>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9E54C"/>
    <w:multiLevelType w:val="singleLevel"/>
    <w:tmpl w:val="8FD9E54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3NTQ2NGFlNTY1NjBiZjc5NDkxMTdiNTc2NWZiYTIifQ=="/>
  </w:docVars>
  <w:rsids>
    <w:rsidRoot w:val="00590445"/>
    <w:rsid w:val="00001129"/>
    <w:rsid w:val="00003103"/>
    <w:rsid w:val="00003399"/>
    <w:rsid w:val="0000471C"/>
    <w:rsid w:val="000047CC"/>
    <w:rsid w:val="00005AC0"/>
    <w:rsid w:val="0000734B"/>
    <w:rsid w:val="00007DAC"/>
    <w:rsid w:val="00010B7F"/>
    <w:rsid w:val="00010E26"/>
    <w:rsid w:val="00010FEB"/>
    <w:rsid w:val="00011A3F"/>
    <w:rsid w:val="000120C2"/>
    <w:rsid w:val="000159E4"/>
    <w:rsid w:val="00020A99"/>
    <w:rsid w:val="000243CC"/>
    <w:rsid w:val="00024E28"/>
    <w:rsid w:val="00025025"/>
    <w:rsid w:val="00033E0C"/>
    <w:rsid w:val="00034213"/>
    <w:rsid w:val="00035002"/>
    <w:rsid w:val="0003556E"/>
    <w:rsid w:val="00035CE0"/>
    <w:rsid w:val="000360B8"/>
    <w:rsid w:val="00036536"/>
    <w:rsid w:val="00036812"/>
    <w:rsid w:val="00036E9B"/>
    <w:rsid w:val="000371E9"/>
    <w:rsid w:val="00040546"/>
    <w:rsid w:val="0004094A"/>
    <w:rsid w:val="00040C7D"/>
    <w:rsid w:val="0004153D"/>
    <w:rsid w:val="00041FC2"/>
    <w:rsid w:val="000425E2"/>
    <w:rsid w:val="00054454"/>
    <w:rsid w:val="00061560"/>
    <w:rsid w:val="00061D81"/>
    <w:rsid w:val="00063AC3"/>
    <w:rsid w:val="000643A7"/>
    <w:rsid w:val="00065908"/>
    <w:rsid w:val="00066DFA"/>
    <w:rsid w:val="00070A55"/>
    <w:rsid w:val="00071C19"/>
    <w:rsid w:val="00072E14"/>
    <w:rsid w:val="00073D1B"/>
    <w:rsid w:val="00074F13"/>
    <w:rsid w:val="000758C0"/>
    <w:rsid w:val="00075D99"/>
    <w:rsid w:val="0008018B"/>
    <w:rsid w:val="000803A6"/>
    <w:rsid w:val="00081971"/>
    <w:rsid w:val="00083163"/>
    <w:rsid w:val="00083C68"/>
    <w:rsid w:val="00084CA9"/>
    <w:rsid w:val="000877CA"/>
    <w:rsid w:val="00087A3B"/>
    <w:rsid w:val="00090885"/>
    <w:rsid w:val="00094CFF"/>
    <w:rsid w:val="00096754"/>
    <w:rsid w:val="000975C0"/>
    <w:rsid w:val="00097E1D"/>
    <w:rsid w:val="00097FCD"/>
    <w:rsid w:val="000A1010"/>
    <w:rsid w:val="000A132B"/>
    <w:rsid w:val="000A17B4"/>
    <w:rsid w:val="000A2EE2"/>
    <w:rsid w:val="000A3A2D"/>
    <w:rsid w:val="000A42D1"/>
    <w:rsid w:val="000A5C86"/>
    <w:rsid w:val="000A7301"/>
    <w:rsid w:val="000A7FEB"/>
    <w:rsid w:val="000B0437"/>
    <w:rsid w:val="000B0F65"/>
    <w:rsid w:val="000B2498"/>
    <w:rsid w:val="000B26B6"/>
    <w:rsid w:val="000B341C"/>
    <w:rsid w:val="000C04B7"/>
    <w:rsid w:val="000C0ABA"/>
    <w:rsid w:val="000C0DE0"/>
    <w:rsid w:val="000C22CE"/>
    <w:rsid w:val="000C4C6E"/>
    <w:rsid w:val="000C5055"/>
    <w:rsid w:val="000C7386"/>
    <w:rsid w:val="000D0862"/>
    <w:rsid w:val="000D08BC"/>
    <w:rsid w:val="000D333C"/>
    <w:rsid w:val="000D43B1"/>
    <w:rsid w:val="000D492F"/>
    <w:rsid w:val="000D4BEA"/>
    <w:rsid w:val="000D4E2C"/>
    <w:rsid w:val="000D5B1D"/>
    <w:rsid w:val="000D6888"/>
    <w:rsid w:val="000D69A0"/>
    <w:rsid w:val="000D6F78"/>
    <w:rsid w:val="000E058D"/>
    <w:rsid w:val="000E086C"/>
    <w:rsid w:val="000E0BC8"/>
    <w:rsid w:val="000E1500"/>
    <w:rsid w:val="000E582E"/>
    <w:rsid w:val="000E6114"/>
    <w:rsid w:val="000E779A"/>
    <w:rsid w:val="000F14E0"/>
    <w:rsid w:val="000F1EC4"/>
    <w:rsid w:val="000F29AF"/>
    <w:rsid w:val="000F35C9"/>
    <w:rsid w:val="000F4FFF"/>
    <w:rsid w:val="000F6289"/>
    <w:rsid w:val="000F7AB3"/>
    <w:rsid w:val="00102559"/>
    <w:rsid w:val="001122DC"/>
    <w:rsid w:val="001123EF"/>
    <w:rsid w:val="00113984"/>
    <w:rsid w:val="00114487"/>
    <w:rsid w:val="001144A9"/>
    <w:rsid w:val="00114803"/>
    <w:rsid w:val="00114E16"/>
    <w:rsid w:val="001177FC"/>
    <w:rsid w:val="0012031A"/>
    <w:rsid w:val="00123183"/>
    <w:rsid w:val="001259FD"/>
    <w:rsid w:val="001279B8"/>
    <w:rsid w:val="00127E8B"/>
    <w:rsid w:val="00131795"/>
    <w:rsid w:val="00131EE6"/>
    <w:rsid w:val="0013245D"/>
    <w:rsid w:val="00132D24"/>
    <w:rsid w:val="00133481"/>
    <w:rsid w:val="00133D2F"/>
    <w:rsid w:val="001341B5"/>
    <w:rsid w:val="001347C5"/>
    <w:rsid w:val="001349CE"/>
    <w:rsid w:val="001365A4"/>
    <w:rsid w:val="00137642"/>
    <w:rsid w:val="001430B0"/>
    <w:rsid w:val="001458FB"/>
    <w:rsid w:val="00150D6A"/>
    <w:rsid w:val="00151888"/>
    <w:rsid w:val="00154581"/>
    <w:rsid w:val="00154B45"/>
    <w:rsid w:val="00156BF6"/>
    <w:rsid w:val="00157E85"/>
    <w:rsid w:val="0016122A"/>
    <w:rsid w:val="00163982"/>
    <w:rsid w:val="0016524E"/>
    <w:rsid w:val="001666EA"/>
    <w:rsid w:val="0016697B"/>
    <w:rsid w:val="00172638"/>
    <w:rsid w:val="00173AE7"/>
    <w:rsid w:val="00173F7C"/>
    <w:rsid w:val="00175260"/>
    <w:rsid w:val="00177681"/>
    <w:rsid w:val="001835CE"/>
    <w:rsid w:val="001845B1"/>
    <w:rsid w:val="001864A6"/>
    <w:rsid w:val="0018780C"/>
    <w:rsid w:val="00187FF9"/>
    <w:rsid w:val="00190413"/>
    <w:rsid w:val="001910E1"/>
    <w:rsid w:val="001911DA"/>
    <w:rsid w:val="00193203"/>
    <w:rsid w:val="0019533D"/>
    <w:rsid w:val="00195696"/>
    <w:rsid w:val="00195D3D"/>
    <w:rsid w:val="001A1452"/>
    <w:rsid w:val="001A395D"/>
    <w:rsid w:val="001A50F2"/>
    <w:rsid w:val="001A7E89"/>
    <w:rsid w:val="001B0BBD"/>
    <w:rsid w:val="001B101D"/>
    <w:rsid w:val="001B1866"/>
    <w:rsid w:val="001B1E25"/>
    <w:rsid w:val="001B2314"/>
    <w:rsid w:val="001B27BC"/>
    <w:rsid w:val="001B313D"/>
    <w:rsid w:val="001B46D8"/>
    <w:rsid w:val="001B5E0F"/>
    <w:rsid w:val="001B6444"/>
    <w:rsid w:val="001C027A"/>
    <w:rsid w:val="001C170C"/>
    <w:rsid w:val="001C3578"/>
    <w:rsid w:val="001C597C"/>
    <w:rsid w:val="001C6352"/>
    <w:rsid w:val="001D1D34"/>
    <w:rsid w:val="001D4DDF"/>
    <w:rsid w:val="001D59FA"/>
    <w:rsid w:val="001D7190"/>
    <w:rsid w:val="001E0E61"/>
    <w:rsid w:val="001E1BAA"/>
    <w:rsid w:val="001E241D"/>
    <w:rsid w:val="001E3415"/>
    <w:rsid w:val="001E3B9B"/>
    <w:rsid w:val="001E4553"/>
    <w:rsid w:val="001E620E"/>
    <w:rsid w:val="001E7E95"/>
    <w:rsid w:val="001F0155"/>
    <w:rsid w:val="001F090B"/>
    <w:rsid w:val="001F0FBF"/>
    <w:rsid w:val="001F1B4B"/>
    <w:rsid w:val="001F224D"/>
    <w:rsid w:val="001F7137"/>
    <w:rsid w:val="0020074A"/>
    <w:rsid w:val="002025CF"/>
    <w:rsid w:val="002026F4"/>
    <w:rsid w:val="002063A8"/>
    <w:rsid w:val="002073F4"/>
    <w:rsid w:val="00214463"/>
    <w:rsid w:val="002147F8"/>
    <w:rsid w:val="00216F74"/>
    <w:rsid w:val="002176FB"/>
    <w:rsid w:val="00217A50"/>
    <w:rsid w:val="00220A22"/>
    <w:rsid w:val="0022104A"/>
    <w:rsid w:val="00221353"/>
    <w:rsid w:val="002219E6"/>
    <w:rsid w:val="00221CFD"/>
    <w:rsid w:val="0022369A"/>
    <w:rsid w:val="0022397D"/>
    <w:rsid w:val="00225ADB"/>
    <w:rsid w:val="002273AF"/>
    <w:rsid w:val="002324F6"/>
    <w:rsid w:val="0023341C"/>
    <w:rsid w:val="002336F7"/>
    <w:rsid w:val="00234210"/>
    <w:rsid w:val="00242015"/>
    <w:rsid w:val="00242B5C"/>
    <w:rsid w:val="00243C97"/>
    <w:rsid w:val="00244483"/>
    <w:rsid w:val="00244775"/>
    <w:rsid w:val="002458C6"/>
    <w:rsid w:val="00246739"/>
    <w:rsid w:val="00250366"/>
    <w:rsid w:val="002506FD"/>
    <w:rsid w:val="0025581B"/>
    <w:rsid w:val="00256C6A"/>
    <w:rsid w:val="00260212"/>
    <w:rsid w:val="0026081C"/>
    <w:rsid w:val="00261F4D"/>
    <w:rsid w:val="002627C4"/>
    <w:rsid w:val="00263125"/>
    <w:rsid w:val="00264454"/>
    <w:rsid w:val="00264682"/>
    <w:rsid w:val="00265291"/>
    <w:rsid w:val="00266998"/>
    <w:rsid w:val="00267CE2"/>
    <w:rsid w:val="00267F2A"/>
    <w:rsid w:val="0027089D"/>
    <w:rsid w:val="00272D4A"/>
    <w:rsid w:val="00274865"/>
    <w:rsid w:val="00276DFA"/>
    <w:rsid w:val="00277284"/>
    <w:rsid w:val="00281647"/>
    <w:rsid w:val="00282A93"/>
    <w:rsid w:val="00283216"/>
    <w:rsid w:val="00292941"/>
    <w:rsid w:val="002940F6"/>
    <w:rsid w:val="002950E9"/>
    <w:rsid w:val="00297B0C"/>
    <w:rsid w:val="002A2F32"/>
    <w:rsid w:val="002A33DB"/>
    <w:rsid w:val="002A45D7"/>
    <w:rsid w:val="002A4BED"/>
    <w:rsid w:val="002A6453"/>
    <w:rsid w:val="002A7076"/>
    <w:rsid w:val="002A79C6"/>
    <w:rsid w:val="002B0BAD"/>
    <w:rsid w:val="002B1844"/>
    <w:rsid w:val="002B2109"/>
    <w:rsid w:val="002B2826"/>
    <w:rsid w:val="002B3E69"/>
    <w:rsid w:val="002B5E4E"/>
    <w:rsid w:val="002B68B0"/>
    <w:rsid w:val="002C16A4"/>
    <w:rsid w:val="002C1DA0"/>
    <w:rsid w:val="002C2A65"/>
    <w:rsid w:val="002C3206"/>
    <w:rsid w:val="002C37E2"/>
    <w:rsid w:val="002C3897"/>
    <w:rsid w:val="002C3F28"/>
    <w:rsid w:val="002C407A"/>
    <w:rsid w:val="002C5871"/>
    <w:rsid w:val="002C59A8"/>
    <w:rsid w:val="002D0A41"/>
    <w:rsid w:val="002D0BCA"/>
    <w:rsid w:val="002D0E01"/>
    <w:rsid w:val="002D16E6"/>
    <w:rsid w:val="002D2305"/>
    <w:rsid w:val="002D491A"/>
    <w:rsid w:val="002D51CE"/>
    <w:rsid w:val="002D577E"/>
    <w:rsid w:val="002D67DD"/>
    <w:rsid w:val="002E0EDD"/>
    <w:rsid w:val="002E1DAD"/>
    <w:rsid w:val="002E390E"/>
    <w:rsid w:val="002F0DC2"/>
    <w:rsid w:val="002F0FF6"/>
    <w:rsid w:val="002F2F80"/>
    <w:rsid w:val="002F5213"/>
    <w:rsid w:val="002F7684"/>
    <w:rsid w:val="002F7E63"/>
    <w:rsid w:val="0030006A"/>
    <w:rsid w:val="003009E4"/>
    <w:rsid w:val="0030133A"/>
    <w:rsid w:val="00301DDE"/>
    <w:rsid w:val="00302C1D"/>
    <w:rsid w:val="00304B21"/>
    <w:rsid w:val="00306251"/>
    <w:rsid w:val="00307456"/>
    <w:rsid w:val="003079D2"/>
    <w:rsid w:val="00307CAF"/>
    <w:rsid w:val="00307D7B"/>
    <w:rsid w:val="0031035A"/>
    <w:rsid w:val="003113E9"/>
    <w:rsid w:val="00312077"/>
    <w:rsid w:val="00312145"/>
    <w:rsid w:val="00312907"/>
    <w:rsid w:val="00314406"/>
    <w:rsid w:val="00315A34"/>
    <w:rsid w:val="0032093C"/>
    <w:rsid w:val="00322B26"/>
    <w:rsid w:val="003249F3"/>
    <w:rsid w:val="00332C30"/>
    <w:rsid w:val="00333C1A"/>
    <w:rsid w:val="00334B54"/>
    <w:rsid w:val="00336864"/>
    <w:rsid w:val="00336BAF"/>
    <w:rsid w:val="00337472"/>
    <w:rsid w:val="0034306D"/>
    <w:rsid w:val="00345107"/>
    <w:rsid w:val="003472B5"/>
    <w:rsid w:val="00352628"/>
    <w:rsid w:val="00352ADC"/>
    <w:rsid w:val="00353981"/>
    <w:rsid w:val="00356758"/>
    <w:rsid w:val="00357EF7"/>
    <w:rsid w:val="00360AC9"/>
    <w:rsid w:val="00360FB1"/>
    <w:rsid w:val="00362019"/>
    <w:rsid w:val="00363A47"/>
    <w:rsid w:val="0036465F"/>
    <w:rsid w:val="00364899"/>
    <w:rsid w:val="0036545F"/>
    <w:rsid w:val="00370F51"/>
    <w:rsid w:val="00371B23"/>
    <w:rsid w:val="00372443"/>
    <w:rsid w:val="00373AC5"/>
    <w:rsid w:val="0037720A"/>
    <w:rsid w:val="00377371"/>
    <w:rsid w:val="00377EFD"/>
    <w:rsid w:val="003803A9"/>
    <w:rsid w:val="00385B5B"/>
    <w:rsid w:val="00386F0C"/>
    <w:rsid w:val="00387E7F"/>
    <w:rsid w:val="00393090"/>
    <w:rsid w:val="00393A30"/>
    <w:rsid w:val="00393C50"/>
    <w:rsid w:val="003951F6"/>
    <w:rsid w:val="003957DE"/>
    <w:rsid w:val="003A11EE"/>
    <w:rsid w:val="003A2D93"/>
    <w:rsid w:val="003A377C"/>
    <w:rsid w:val="003A494D"/>
    <w:rsid w:val="003A4C03"/>
    <w:rsid w:val="003A606C"/>
    <w:rsid w:val="003A6DA3"/>
    <w:rsid w:val="003B083F"/>
    <w:rsid w:val="003B499C"/>
    <w:rsid w:val="003B49EF"/>
    <w:rsid w:val="003B5A13"/>
    <w:rsid w:val="003B7CD1"/>
    <w:rsid w:val="003B7E0D"/>
    <w:rsid w:val="003C00FD"/>
    <w:rsid w:val="003C1176"/>
    <w:rsid w:val="003C162D"/>
    <w:rsid w:val="003C2579"/>
    <w:rsid w:val="003C25DF"/>
    <w:rsid w:val="003C336E"/>
    <w:rsid w:val="003C3699"/>
    <w:rsid w:val="003C3CF3"/>
    <w:rsid w:val="003C3F0B"/>
    <w:rsid w:val="003C5D36"/>
    <w:rsid w:val="003C6ABA"/>
    <w:rsid w:val="003C6FD9"/>
    <w:rsid w:val="003C71D0"/>
    <w:rsid w:val="003D0041"/>
    <w:rsid w:val="003D0415"/>
    <w:rsid w:val="003D08DD"/>
    <w:rsid w:val="003D4200"/>
    <w:rsid w:val="003D6CEC"/>
    <w:rsid w:val="003E062A"/>
    <w:rsid w:val="003E06E6"/>
    <w:rsid w:val="003E1318"/>
    <w:rsid w:val="003E249E"/>
    <w:rsid w:val="003E3684"/>
    <w:rsid w:val="003E4AC2"/>
    <w:rsid w:val="003E5B6E"/>
    <w:rsid w:val="003E6E80"/>
    <w:rsid w:val="003E7DC8"/>
    <w:rsid w:val="003F0BA6"/>
    <w:rsid w:val="003F0CA1"/>
    <w:rsid w:val="003F0F87"/>
    <w:rsid w:val="003F168A"/>
    <w:rsid w:val="003F26DF"/>
    <w:rsid w:val="003F4C7D"/>
    <w:rsid w:val="003F5ECC"/>
    <w:rsid w:val="003F6082"/>
    <w:rsid w:val="003F6539"/>
    <w:rsid w:val="004004EB"/>
    <w:rsid w:val="00400833"/>
    <w:rsid w:val="00401678"/>
    <w:rsid w:val="00404D97"/>
    <w:rsid w:val="00406A89"/>
    <w:rsid w:val="00406DE2"/>
    <w:rsid w:val="00412D8D"/>
    <w:rsid w:val="00413423"/>
    <w:rsid w:val="004137AE"/>
    <w:rsid w:val="00416A65"/>
    <w:rsid w:val="00417130"/>
    <w:rsid w:val="00420DE8"/>
    <w:rsid w:val="004221E2"/>
    <w:rsid w:val="004224CD"/>
    <w:rsid w:val="00422CAC"/>
    <w:rsid w:val="00423A5F"/>
    <w:rsid w:val="00424E21"/>
    <w:rsid w:val="004255A4"/>
    <w:rsid w:val="0042583C"/>
    <w:rsid w:val="00425B92"/>
    <w:rsid w:val="004264E7"/>
    <w:rsid w:val="00426AB9"/>
    <w:rsid w:val="00430A03"/>
    <w:rsid w:val="004311E7"/>
    <w:rsid w:val="0043577E"/>
    <w:rsid w:val="004401D7"/>
    <w:rsid w:val="004406AB"/>
    <w:rsid w:val="00442674"/>
    <w:rsid w:val="00443E99"/>
    <w:rsid w:val="00444D96"/>
    <w:rsid w:val="0044520F"/>
    <w:rsid w:val="0044571E"/>
    <w:rsid w:val="00447B58"/>
    <w:rsid w:val="004509BC"/>
    <w:rsid w:val="00450A06"/>
    <w:rsid w:val="00451D59"/>
    <w:rsid w:val="004521B0"/>
    <w:rsid w:val="004559B8"/>
    <w:rsid w:val="0045764A"/>
    <w:rsid w:val="00457F29"/>
    <w:rsid w:val="004639C3"/>
    <w:rsid w:val="00464112"/>
    <w:rsid w:val="00464FD8"/>
    <w:rsid w:val="004662A0"/>
    <w:rsid w:val="00466342"/>
    <w:rsid w:val="00467995"/>
    <w:rsid w:val="00470ABE"/>
    <w:rsid w:val="0047251F"/>
    <w:rsid w:val="00473E27"/>
    <w:rsid w:val="004751B8"/>
    <w:rsid w:val="004759BC"/>
    <w:rsid w:val="004767F3"/>
    <w:rsid w:val="004770F7"/>
    <w:rsid w:val="00480B18"/>
    <w:rsid w:val="0048107D"/>
    <w:rsid w:val="004813D8"/>
    <w:rsid w:val="004817B0"/>
    <w:rsid w:val="00483691"/>
    <w:rsid w:val="00483803"/>
    <w:rsid w:val="004839A8"/>
    <w:rsid w:val="00484552"/>
    <w:rsid w:val="0048592B"/>
    <w:rsid w:val="00485D36"/>
    <w:rsid w:val="00486782"/>
    <w:rsid w:val="00487AD4"/>
    <w:rsid w:val="0049070C"/>
    <w:rsid w:val="004908CD"/>
    <w:rsid w:val="0049149F"/>
    <w:rsid w:val="00491F50"/>
    <w:rsid w:val="00495619"/>
    <w:rsid w:val="004962AA"/>
    <w:rsid w:val="00496589"/>
    <w:rsid w:val="00497250"/>
    <w:rsid w:val="0049727B"/>
    <w:rsid w:val="004A0072"/>
    <w:rsid w:val="004A1BD6"/>
    <w:rsid w:val="004A411A"/>
    <w:rsid w:val="004A5190"/>
    <w:rsid w:val="004A6A29"/>
    <w:rsid w:val="004A7CB7"/>
    <w:rsid w:val="004B2EA2"/>
    <w:rsid w:val="004B3A5B"/>
    <w:rsid w:val="004B690A"/>
    <w:rsid w:val="004C3CFC"/>
    <w:rsid w:val="004C50DB"/>
    <w:rsid w:val="004C5FC2"/>
    <w:rsid w:val="004C6F45"/>
    <w:rsid w:val="004D033E"/>
    <w:rsid w:val="004D306A"/>
    <w:rsid w:val="004D4D01"/>
    <w:rsid w:val="004D561F"/>
    <w:rsid w:val="004D7102"/>
    <w:rsid w:val="004D74F0"/>
    <w:rsid w:val="004E128E"/>
    <w:rsid w:val="004E391F"/>
    <w:rsid w:val="004E686E"/>
    <w:rsid w:val="004E7023"/>
    <w:rsid w:val="004F448D"/>
    <w:rsid w:val="004F4ED1"/>
    <w:rsid w:val="004F5286"/>
    <w:rsid w:val="004F5AA0"/>
    <w:rsid w:val="004F5FAF"/>
    <w:rsid w:val="005041AB"/>
    <w:rsid w:val="0050645B"/>
    <w:rsid w:val="0050685E"/>
    <w:rsid w:val="005105CC"/>
    <w:rsid w:val="00510F29"/>
    <w:rsid w:val="005111DE"/>
    <w:rsid w:val="00511423"/>
    <w:rsid w:val="005127D8"/>
    <w:rsid w:val="00513663"/>
    <w:rsid w:val="00514BDB"/>
    <w:rsid w:val="00515381"/>
    <w:rsid w:val="0052407D"/>
    <w:rsid w:val="00527A9F"/>
    <w:rsid w:val="00532084"/>
    <w:rsid w:val="0053218E"/>
    <w:rsid w:val="005342EB"/>
    <w:rsid w:val="00534960"/>
    <w:rsid w:val="005352A1"/>
    <w:rsid w:val="00535D3C"/>
    <w:rsid w:val="00536C95"/>
    <w:rsid w:val="00536CA5"/>
    <w:rsid w:val="00540601"/>
    <w:rsid w:val="0054362D"/>
    <w:rsid w:val="005436B2"/>
    <w:rsid w:val="00543914"/>
    <w:rsid w:val="00547D33"/>
    <w:rsid w:val="0055023B"/>
    <w:rsid w:val="005509C0"/>
    <w:rsid w:val="005518E3"/>
    <w:rsid w:val="00552D19"/>
    <w:rsid w:val="00553D64"/>
    <w:rsid w:val="00554719"/>
    <w:rsid w:val="00556358"/>
    <w:rsid w:val="00556C0C"/>
    <w:rsid w:val="0055723B"/>
    <w:rsid w:val="00561049"/>
    <w:rsid w:val="00562989"/>
    <w:rsid w:val="00564A20"/>
    <w:rsid w:val="00566110"/>
    <w:rsid w:val="0056697F"/>
    <w:rsid w:val="00567F3C"/>
    <w:rsid w:val="00571250"/>
    <w:rsid w:val="0057127C"/>
    <w:rsid w:val="00571E59"/>
    <w:rsid w:val="00572AAE"/>
    <w:rsid w:val="00573797"/>
    <w:rsid w:val="005750CB"/>
    <w:rsid w:val="00576B55"/>
    <w:rsid w:val="00576FA5"/>
    <w:rsid w:val="0058012E"/>
    <w:rsid w:val="00580ABF"/>
    <w:rsid w:val="00583266"/>
    <w:rsid w:val="00590445"/>
    <w:rsid w:val="00590AC7"/>
    <w:rsid w:val="00590F58"/>
    <w:rsid w:val="00591C33"/>
    <w:rsid w:val="00592D42"/>
    <w:rsid w:val="00593F14"/>
    <w:rsid w:val="00594D10"/>
    <w:rsid w:val="00595267"/>
    <w:rsid w:val="00596866"/>
    <w:rsid w:val="00597E45"/>
    <w:rsid w:val="005A0C34"/>
    <w:rsid w:val="005A1513"/>
    <w:rsid w:val="005A3EC7"/>
    <w:rsid w:val="005A5172"/>
    <w:rsid w:val="005A746B"/>
    <w:rsid w:val="005B00FE"/>
    <w:rsid w:val="005B2968"/>
    <w:rsid w:val="005B45A1"/>
    <w:rsid w:val="005B4F27"/>
    <w:rsid w:val="005B5099"/>
    <w:rsid w:val="005C1B81"/>
    <w:rsid w:val="005C1F24"/>
    <w:rsid w:val="005C3C14"/>
    <w:rsid w:val="005C3F9D"/>
    <w:rsid w:val="005C429D"/>
    <w:rsid w:val="005C44D2"/>
    <w:rsid w:val="005D2DF3"/>
    <w:rsid w:val="005D32D1"/>
    <w:rsid w:val="005D4DC1"/>
    <w:rsid w:val="005E0738"/>
    <w:rsid w:val="005E0F70"/>
    <w:rsid w:val="005E16CE"/>
    <w:rsid w:val="005E35F8"/>
    <w:rsid w:val="005E4A56"/>
    <w:rsid w:val="005E65A1"/>
    <w:rsid w:val="005E7E85"/>
    <w:rsid w:val="005F15C3"/>
    <w:rsid w:val="005F3273"/>
    <w:rsid w:val="005F5211"/>
    <w:rsid w:val="005F5F82"/>
    <w:rsid w:val="005F6E23"/>
    <w:rsid w:val="006013F0"/>
    <w:rsid w:val="006021BD"/>
    <w:rsid w:val="00602541"/>
    <w:rsid w:val="00602B71"/>
    <w:rsid w:val="00603946"/>
    <w:rsid w:val="006057A7"/>
    <w:rsid w:val="00606E4D"/>
    <w:rsid w:val="00607794"/>
    <w:rsid w:val="006109F7"/>
    <w:rsid w:val="0061194F"/>
    <w:rsid w:val="00613CA9"/>
    <w:rsid w:val="00615517"/>
    <w:rsid w:val="00615922"/>
    <w:rsid w:val="00615C3D"/>
    <w:rsid w:val="00616533"/>
    <w:rsid w:val="00620617"/>
    <w:rsid w:val="006217AB"/>
    <w:rsid w:val="006221B5"/>
    <w:rsid w:val="006222EE"/>
    <w:rsid w:val="00622403"/>
    <w:rsid w:val="006229FA"/>
    <w:rsid w:val="0062427D"/>
    <w:rsid w:val="0062459E"/>
    <w:rsid w:val="00625926"/>
    <w:rsid w:val="0062663C"/>
    <w:rsid w:val="00626EC2"/>
    <w:rsid w:val="006272AA"/>
    <w:rsid w:val="0062740B"/>
    <w:rsid w:val="006276F6"/>
    <w:rsid w:val="00630811"/>
    <w:rsid w:val="00630CDB"/>
    <w:rsid w:val="00631BFB"/>
    <w:rsid w:val="00632B4B"/>
    <w:rsid w:val="00634717"/>
    <w:rsid w:val="006348DF"/>
    <w:rsid w:val="006376A4"/>
    <w:rsid w:val="00637A1A"/>
    <w:rsid w:val="00637E20"/>
    <w:rsid w:val="006421D7"/>
    <w:rsid w:val="00642495"/>
    <w:rsid w:val="00643B05"/>
    <w:rsid w:val="00643EAE"/>
    <w:rsid w:val="00646794"/>
    <w:rsid w:val="006470CD"/>
    <w:rsid w:val="00647482"/>
    <w:rsid w:val="00650A41"/>
    <w:rsid w:val="00650D85"/>
    <w:rsid w:val="00651A01"/>
    <w:rsid w:val="0065207E"/>
    <w:rsid w:val="00652192"/>
    <w:rsid w:val="00652E20"/>
    <w:rsid w:val="006533D3"/>
    <w:rsid w:val="00653B0A"/>
    <w:rsid w:val="00654265"/>
    <w:rsid w:val="006546C7"/>
    <w:rsid w:val="006551F5"/>
    <w:rsid w:val="00656B84"/>
    <w:rsid w:val="00656E15"/>
    <w:rsid w:val="0065727D"/>
    <w:rsid w:val="00663221"/>
    <w:rsid w:val="0066374C"/>
    <w:rsid w:val="00663C71"/>
    <w:rsid w:val="00667CD9"/>
    <w:rsid w:val="006709D5"/>
    <w:rsid w:val="006710DF"/>
    <w:rsid w:val="00671E36"/>
    <w:rsid w:val="00674E19"/>
    <w:rsid w:val="0067766D"/>
    <w:rsid w:val="00680F41"/>
    <w:rsid w:val="006811A1"/>
    <w:rsid w:val="00681BA8"/>
    <w:rsid w:val="00681E63"/>
    <w:rsid w:val="0068249A"/>
    <w:rsid w:val="006859D7"/>
    <w:rsid w:val="00685FD4"/>
    <w:rsid w:val="00687285"/>
    <w:rsid w:val="00690848"/>
    <w:rsid w:val="00690E1B"/>
    <w:rsid w:val="006936CB"/>
    <w:rsid w:val="00693CFE"/>
    <w:rsid w:val="0069476A"/>
    <w:rsid w:val="006965C2"/>
    <w:rsid w:val="0069754D"/>
    <w:rsid w:val="006A1B42"/>
    <w:rsid w:val="006A1EB2"/>
    <w:rsid w:val="006A2430"/>
    <w:rsid w:val="006A3AC9"/>
    <w:rsid w:val="006A3C43"/>
    <w:rsid w:val="006A4060"/>
    <w:rsid w:val="006A46F1"/>
    <w:rsid w:val="006A54B1"/>
    <w:rsid w:val="006B0513"/>
    <w:rsid w:val="006B26C7"/>
    <w:rsid w:val="006B2B6B"/>
    <w:rsid w:val="006B482D"/>
    <w:rsid w:val="006B6014"/>
    <w:rsid w:val="006B7852"/>
    <w:rsid w:val="006C0693"/>
    <w:rsid w:val="006C13D7"/>
    <w:rsid w:val="006C171E"/>
    <w:rsid w:val="006C19CC"/>
    <w:rsid w:val="006C607C"/>
    <w:rsid w:val="006C6A80"/>
    <w:rsid w:val="006D3E98"/>
    <w:rsid w:val="006D4541"/>
    <w:rsid w:val="006D4E16"/>
    <w:rsid w:val="006D7E14"/>
    <w:rsid w:val="006E1678"/>
    <w:rsid w:val="006E68B5"/>
    <w:rsid w:val="006E6C69"/>
    <w:rsid w:val="006E71F9"/>
    <w:rsid w:val="006E7F2E"/>
    <w:rsid w:val="006F0A6E"/>
    <w:rsid w:val="006F2EA4"/>
    <w:rsid w:val="006F3689"/>
    <w:rsid w:val="006F38E5"/>
    <w:rsid w:val="006F6B51"/>
    <w:rsid w:val="006F6BC1"/>
    <w:rsid w:val="006F6F15"/>
    <w:rsid w:val="006F6F5A"/>
    <w:rsid w:val="006F7AFA"/>
    <w:rsid w:val="006F7C52"/>
    <w:rsid w:val="00701C94"/>
    <w:rsid w:val="00701D97"/>
    <w:rsid w:val="00703A94"/>
    <w:rsid w:val="00703B72"/>
    <w:rsid w:val="007063E8"/>
    <w:rsid w:val="00706936"/>
    <w:rsid w:val="00713620"/>
    <w:rsid w:val="00713BEC"/>
    <w:rsid w:val="00720010"/>
    <w:rsid w:val="0072342C"/>
    <w:rsid w:val="00723BBA"/>
    <w:rsid w:val="00727AEC"/>
    <w:rsid w:val="00732077"/>
    <w:rsid w:val="0073256D"/>
    <w:rsid w:val="0073437D"/>
    <w:rsid w:val="00735500"/>
    <w:rsid w:val="00740B1A"/>
    <w:rsid w:val="007434C0"/>
    <w:rsid w:val="00743D00"/>
    <w:rsid w:val="00743EC3"/>
    <w:rsid w:val="00744A11"/>
    <w:rsid w:val="007465DD"/>
    <w:rsid w:val="007468F8"/>
    <w:rsid w:val="00751875"/>
    <w:rsid w:val="00751A33"/>
    <w:rsid w:val="00752DA7"/>
    <w:rsid w:val="007542A1"/>
    <w:rsid w:val="00754917"/>
    <w:rsid w:val="007564CE"/>
    <w:rsid w:val="0075672C"/>
    <w:rsid w:val="00756D80"/>
    <w:rsid w:val="00757562"/>
    <w:rsid w:val="00757CE1"/>
    <w:rsid w:val="00757E5F"/>
    <w:rsid w:val="00764590"/>
    <w:rsid w:val="007676D8"/>
    <w:rsid w:val="007679FD"/>
    <w:rsid w:val="0077031E"/>
    <w:rsid w:val="00770F55"/>
    <w:rsid w:val="00771151"/>
    <w:rsid w:val="007739F4"/>
    <w:rsid w:val="007740C1"/>
    <w:rsid w:val="00777C1D"/>
    <w:rsid w:val="00777F62"/>
    <w:rsid w:val="00780A9D"/>
    <w:rsid w:val="00780EEB"/>
    <w:rsid w:val="00780F2C"/>
    <w:rsid w:val="0078276E"/>
    <w:rsid w:val="007829F1"/>
    <w:rsid w:val="007843E4"/>
    <w:rsid w:val="00784653"/>
    <w:rsid w:val="007857F9"/>
    <w:rsid w:val="00785E49"/>
    <w:rsid w:val="00787807"/>
    <w:rsid w:val="007931FD"/>
    <w:rsid w:val="00797CC1"/>
    <w:rsid w:val="007A089F"/>
    <w:rsid w:val="007A0908"/>
    <w:rsid w:val="007A0B33"/>
    <w:rsid w:val="007A23A3"/>
    <w:rsid w:val="007A27FE"/>
    <w:rsid w:val="007A3FD2"/>
    <w:rsid w:val="007A4AAE"/>
    <w:rsid w:val="007A552F"/>
    <w:rsid w:val="007A627A"/>
    <w:rsid w:val="007B1EF2"/>
    <w:rsid w:val="007B45B5"/>
    <w:rsid w:val="007B5AB3"/>
    <w:rsid w:val="007B5B32"/>
    <w:rsid w:val="007B5C6E"/>
    <w:rsid w:val="007B5F75"/>
    <w:rsid w:val="007B6474"/>
    <w:rsid w:val="007B6538"/>
    <w:rsid w:val="007C01B6"/>
    <w:rsid w:val="007C09B8"/>
    <w:rsid w:val="007C09BE"/>
    <w:rsid w:val="007C16A9"/>
    <w:rsid w:val="007C4013"/>
    <w:rsid w:val="007C6498"/>
    <w:rsid w:val="007C70EC"/>
    <w:rsid w:val="007D1390"/>
    <w:rsid w:val="007D1CE9"/>
    <w:rsid w:val="007D20B9"/>
    <w:rsid w:val="007D382E"/>
    <w:rsid w:val="007D4D0E"/>
    <w:rsid w:val="007D6414"/>
    <w:rsid w:val="007D6843"/>
    <w:rsid w:val="007E1230"/>
    <w:rsid w:val="007E2082"/>
    <w:rsid w:val="007E2303"/>
    <w:rsid w:val="007E2AF7"/>
    <w:rsid w:val="007E3F2C"/>
    <w:rsid w:val="007E4ED9"/>
    <w:rsid w:val="007E5398"/>
    <w:rsid w:val="007F0164"/>
    <w:rsid w:val="007F352A"/>
    <w:rsid w:val="007F543C"/>
    <w:rsid w:val="007F69CE"/>
    <w:rsid w:val="007F7F3A"/>
    <w:rsid w:val="00800238"/>
    <w:rsid w:val="00801DB6"/>
    <w:rsid w:val="00803DE4"/>
    <w:rsid w:val="008061CA"/>
    <w:rsid w:val="00807382"/>
    <w:rsid w:val="00810A5B"/>
    <w:rsid w:val="00811543"/>
    <w:rsid w:val="00811ECC"/>
    <w:rsid w:val="008121F9"/>
    <w:rsid w:val="008123DB"/>
    <w:rsid w:val="00813175"/>
    <w:rsid w:val="008169A9"/>
    <w:rsid w:val="00817144"/>
    <w:rsid w:val="00820125"/>
    <w:rsid w:val="00821CC9"/>
    <w:rsid w:val="00822C60"/>
    <w:rsid w:val="008233CE"/>
    <w:rsid w:val="00823764"/>
    <w:rsid w:val="00824FE3"/>
    <w:rsid w:val="008253B7"/>
    <w:rsid w:val="00827A86"/>
    <w:rsid w:val="0083017C"/>
    <w:rsid w:val="00831F3E"/>
    <w:rsid w:val="00832210"/>
    <w:rsid w:val="008330BD"/>
    <w:rsid w:val="00834E6F"/>
    <w:rsid w:val="00834E9C"/>
    <w:rsid w:val="00835E0B"/>
    <w:rsid w:val="008362D3"/>
    <w:rsid w:val="008366D1"/>
    <w:rsid w:val="0084014A"/>
    <w:rsid w:val="0084301F"/>
    <w:rsid w:val="00843FC0"/>
    <w:rsid w:val="008464EB"/>
    <w:rsid w:val="00846715"/>
    <w:rsid w:val="00846BA9"/>
    <w:rsid w:val="00851699"/>
    <w:rsid w:val="008529E5"/>
    <w:rsid w:val="00854201"/>
    <w:rsid w:val="0085501A"/>
    <w:rsid w:val="00855DAF"/>
    <w:rsid w:val="00860FC7"/>
    <w:rsid w:val="00861F24"/>
    <w:rsid w:val="008625C0"/>
    <w:rsid w:val="00863868"/>
    <w:rsid w:val="00863BD8"/>
    <w:rsid w:val="0086465A"/>
    <w:rsid w:val="00866647"/>
    <w:rsid w:val="00873A4E"/>
    <w:rsid w:val="00874364"/>
    <w:rsid w:val="0087437D"/>
    <w:rsid w:val="0087478D"/>
    <w:rsid w:val="00875D60"/>
    <w:rsid w:val="00876A2C"/>
    <w:rsid w:val="00877785"/>
    <w:rsid w:val="0087798A"/>
    <w:rsid w:val="00877D6D"/>
    <w:rsid w:val="0088011F"/>
    <w:rsid w:val="00881AEC"/>
    <w:rsid w:val="00884444"/>
    <w:rsid w:val="0088695B"/>
    <w:rsid w:val="008911C1"/>
    <w:rsid w:val="00891CAB"/>
    <w:rsid w:val="00891F8D"/>
    <w:rsid w:val="00892579"/>
    <w:rsid w:val="0089275C"/>
    <w:rsid w:val="008936B8"/>
    <w:rsid w:val="00893741"/>
    <w:rsid w:val="0089378B"/>
    <w:rsid w:val="00894BFB"/>
    <w:rsid w:val="008954D3"/>
    <w:rsid w:val="0089658F"/>
    <w:rsid w:val="008974B3"/>
    <w:rsid w:val="00897C29"/>
    <w:rsid w:val="008A0C2E"/>
    <w:rsid w:val="008A2AD3"/>
    <w:rsid w:val="008A352D"/>
    <w:rsid w:val="008A38E2"/>
    <w:rsid w:val="008A398D"/>
    <w:rsid w:val="008A463B"/>
    <w:rsid w:val="008A57F1"/>
    <w:rsid w:val="008A6463"/>
    <w:rsid w:val="008A66CD"/>
    <w:rsid w:val="008B30A6"/>
    <w:rsid w:val="008B371C"/>
    <w:rsid w:val="008B4FB2"/>
    <w:rsid w:val="008B5E84"/>
    <w:rsid w:val="008B5FC4"/>
    <w:rsid w:val="008B6DE5"/>
    <w:rsid w:val="008C0A3A"/>
    <w:rsid w:val="008C147A"/>
    <w:rsid w:val="008C2B6F"/>
    <w:rsid w:val="008C5FA6"/>
    <w:rsid w:val="008C6CC3"/>
    <w:rsid w:val="008D1883"/>
    <w:rsid w:val="008D229D"/>
    <w:rsid w:val="008D4918"/>
    <w:rsid w:val="008D606B"/>
    <w:rsid w:val="008D608D"/>
    <w:rsid w:val="008E1832"/>
    <w:rsid w:val="008E3385"/>
    <w:rsid w:val="008E4601"/>
    <w:rsid w:val="008E52EF"/>
    <w:rsid w:val="008E6515"/>
    <w:rsid w:val="008E6731"/>
    <w:rsid w:val="008E76AC"/>
    <w:rsid w:val="008E7DD3"/>
    <w:rsid w:val="008F3906"/>
    <w:rsid w:val="008F3A6A"/>
    <w:rsid w:val="008F58E6"/>
    <w:rsid w:val="00902975"/>
    <w:rsid w:val="00902EF2"/>
    <w:rsid w:val="00904A3C"/>
    <w:rsid w:val="00912072"/>
    <w:rsid w:val="0091237B"/>
    <w:rsid w:val="009126AB"/>
    <w:rsid w:val="00912A12"/>
    <w:rsid w:val="009134E0"/>
    <w:rsid w:val="0091403E"/>
    <w:rsid w:val="0092096F"/>
    <w:rsid w:val="009209C2"/>
    <w:rsid w:val="00923A24"/>
    <w:rsid w:val="00923ED9"/>
    <w:rsid w:val="009241D6"/>
    <w:rsid w:val="00924917"/>
    <w:rsid w:val="00924C90"/>
    <w:rsid w:val="009318E6"/>
    <w:rsid w:val="00931B4C"/>
    <w:rsid w:val="0093387A"/>
    <w:rsid w:val="009348F9"/>
    <w:rsid w:val="00934980"/>
    <w:rsid w:val="009361DB"/>
    <w:rsid w:val="00937623"/>
    <w:rsid w:val="00941205"/>
    <w:rsid w:val="0094154A"/>
    <w:rsid w:val="009433B5"/>
    <w:rsid w:val="00943564"/>
    <w:rsid w:val="00943D10"/>
    <w:rsid w:val="009442C0"/>
    <w:rsid w:val="00944CF9"/>
    <w:rsid w:val="00946416"/>
    <w:rsid w:val="00947362"/>
    <w:rsid w:val="009473FB"/>
    <w:rsid w:val="009503AE"/>
    <w:rsid w:val="00951613"/>
    <w:rsid w:val="0095169C"/>
    <w:rsid w:val="00952192"/>
    <w:rsid w:val="00953355"/>
    <w:rsid w:val="00953510"/>
    <w:rsid w:val="00954B55"/>
    <w:rsid w:val="00954CCE"/>
    <w:rsid w:val="00955631"/>
    <w:rsid w:val="00956384"/>
    <w:rsid w:val="00956E7A"/>
    <w:rsid w:val="00956FB3"/>
    <w:rsid w:val="00957273"/>
    <w:rsid w:val="0095751A"/>
    <w:rsid w:val="0095785C"/>
    <w:rsid w:val="0095788F"/>
    <w:rsid w:val="00960A29"/>
    <w:rsid w:val="009633C9"/>
    <w:rsid w:val="00964610"/>
    <w:rsid w:val="009655B6"/>
    <w:rsid w:val="00966BD4"/>
    <w:rsid w:val="0096768D"/>
    <w:rsid w:val="00970882"/>
    <w:rsid w:val="00970AD9"/>
    <w:rsid w:val="00970DEF"/>
    <w:rsid w:val="009712F5"/>
    <w:rsid w:val="0097281D"/>
    <w:rsid w:val="00972A0F"/>
    <w:rsid w:val="00974738"/>
    <w:rsid w:val="00975CEE"/>
    <w:rsid w:val="00976350"/>
    <w:rsid w:val="00976DD0"/>
    <w:rsid w:val="00982C36"/>
    <w:rsid w:val="00983548"/>
    <w:rsid w:val="0098358E"/>
    <w:rsid w:val="00983EDB"/>
    <w:rsid w:val="0098444D"/>
    <w:rsid w:val="00984475"/>
    <w:rsid w:val="00984658"/>
    <w:rsid w:val="0098506E"/>
    <w:rsid w:val="00986115"/>
    <w:rsid w:val="00990C1E"/>
    <w:rsid w:val="00991ACA"/>
    <w:rsid w:val="00992325"/>
    <w:rsid w:val="00994FA6"/>
    <w:rsid w:val="0099592E"/>
    <w:rsid w:val="00995FFA"/>
    <w:rsid w:val="009A08D8"/>
    <w:rsid w:val="009A101F"/>
    <w:rsid w:val="009A14D3"/>
    <w:rsid w:val="009A1C4F"/>
    <w:rsid w:val="009A23F1"/>
    <w:rsid w:val="009A60E1"/>
    <w:rsid w:val="009A7052"/>
    <w:rsid w:val="009A7661"/>
    <w:rsid w:val="009B1710"/>
    <w:rsid w:val="009B4223"/>
    <w:rsid w:val="009B5B1F"/>
    <w:rsid w:val="009B6022"/>
    <w:rsid w:val="009B622F"/>
    <w:rsid w:val="009B6A09"/>
    <w:rsid w:val="009B6D2D"/>
    <w:rsid w:val="009C1460"/>
    <w:rsid w:val="009C1FC8"/>
    <w:rsid w:val="009C238C"/>
    <w:rsid w:val="009C2E51"/>
    <w:rsid w:val="009C4300"/>
    <w:rsid w:val="009C4DF4"/>
    <w:rsid w:val="009C5613"/>
    <w:rsid w:val="009C5B96"/>
    <w:rsid w:val="009C6742"/>
    <w:rsid w:val="009C6E5D"/>
    <w:rsid w:val="009C7694"/>
    <w:rsid w:val="009C7BD3"/>
    <w:rsid w:val="009D0798"/>
    <w:rsid w:val="009D07A9"/>
    <w:rsid w:val="009D0DF8"/>
    <w:rsid w:val="009D20F8"/>
    <w:rsid w:val="009D24EB"/>
    <w:rsid w:val="009D2A82"/>
    <w:rsid w:val="009D3FA7"/>
    <w:rsid w:val="009D42DF"/>
    <w:rsid w:val="009D704D"/>
    <w:rsid w:val="009D7331"/>
    <w:rsid w:val="009E2E36"/>
    <w:rsid w:val="009E3AAB"/>
    <w:rsid w:val="009E47B3"/>
    <w:rsid w:val="009E4C59"/>
    <w:rsid w:val="009E4CD7"/>
    <w:rsid w:val="009E5242"/>
    <w:rsid w:val="009E6877"/>
    <w:rsid w:val="009E6B9A"/>
    <w:rsid w:val="009E7C2F"/>
    <w:rsid w:val="009F1D48"/>
    <w:rsid w:val="009F3CA8"/>
    <w:rsid w:val="009F3D03"/>
    <w:rsid w:val="009F5DC7"/>
    <w:rsid w:val="009F71C6"/>
    <w:rsid w:val="009F73CF"/>
    <w:rsid w:val="009F751B"/>
    <w:rsid w:val="009F782A"/>
    <w:rsid w:val="00A0240B"/>
    <w:rsid w:val="00A067CA"/>
    <w:rsid w:val="00A075D7"/>
    <w:rsid w:val="00A121E5"/>
    <w:rsid w:val="00A12DD9"/>
    <w:rsid w:val="00A1442B"/>
    <w:rsid w:val="00A15AFB"/>
    <w:rsid w:val="00A169C2"/>
    <w:rsid w:val="00A16EAE"/>
    <w:rsid w:val="00A16FD5"/>
    <w:rsid w:val="00A201C3"/>
    <w:rsid w:val="00A24E29"/>
    <w:rsid w:val="00A25121"/>
    <w:rsid w:val="00A25BFF"/>
    <w:rsid w:val="00A31832"/>
    <w:rsid w:val="00A32A3F"/>
    <w:rsid w:val="00A33E95"/>
    <w:rsid w:val="00A35D0E"/>
    <w:rsid w:val="00A370BB"/>
    <w:rsid w:val="00A37985"/>
    <w:rsid w:val="00A37F61"/>
    <w:rsid w:val="00A4086D"/>
    <w:rsid w:val="00A4098D"/>
    <w:rsid w:val="00A41D68"/>
    <w:rsid w:val="00A41F23"/>
    <w:rsid w:val="00A42B55"/>
    <w:rsid w:val="00A45309"/>
    <w:rsid w:val="00A4662E"/>
    <w:rsid w:val="00A46C48"/>
    <w:rsid w:val="00A4790F"/>
    <w:rsid w:val="00A509B3"/>
    <w:rsid w:val="00A55D68"/>
    <w:rsid w:val="00A56B5C"/>
    <w:rsid w:val="00A5783B"/>
    <w:rsid w:val="00A57A6A"/>
    <w:rsid w:val="00A60BFC"/>
    <w:rsid w:val="00A61AB7"/>
    <w:rsid w:val="00A62252"/>
    <w:rsid w:val="00A62C68"/>
    <w:rsid w:val="00A656D5"/>
    <w:rsid w:val="00A65EB7"/>
    <w:rsid w:val="00A6604A"/>
    <w:rsid w:val="00A6607F"/>
    <w:rsid w:val="00A7209F"/>
    <w:rsid w:val="00A73C66"/>
    <w:rsid w:val="00A74F4D"/>
    <w:rsid w:val="00A75260"/>
    <w:rsid w:val="00A76E6B"/>
    <w:rsid w:val="00A773FB"/>
    <w:rsid w:val="00A776FA"/>
    <w:rsid w:val="00A77AA5"/>
    <w:rsid w:val="00A77ED1"/>
    <w:rsid w:val="00A810CA"/>
    <w:rsid w:val="00A81F2E"/>
    <w:rsid w:val="00A81FE2"/>
    <w:rsid w:val="00A84350"/>
    <w:rsid w:val="00A90F68"/>
    <w:rsid w:val="00A9276F"/>
    <w:rsid w:val="00A92D87"/>
    <w:rsid w:val="00A96E03"/>
    <w:rsid w:val="00A97B42"/>
    <w:rsid w:val="00AA13A5"/>
    <w:rsid w:val="00AA29C4"/>
    <w:rsid w:val="00AA3208"/>
    <w:rsid w:val="00AA4A7E"/>
    <w:rsid w:val="00AA4F20"/>
    <w:rsid w:val="00AA53F0"/>
    <w:rsid w:val="00AA6E21"/>
    <w:rsid w:val="00AA7519"/>
    <w:rsid w:val="00AB3FEC"/>
    <w:rsid w:val="00AB403A"/>
    <w:rsid w:val="00AB4116"/>
    <w:rsid w:val="00AB542E"/>
    <w:rsid w:val="00AB705B"/>
    <w:rsid w:val="00AB7BC1"/>
    <w:rsid w:val="00AC08DF"/>
    <w:rsid w:val="00AC1A0C"/>
    <w:rsid w:val="00AC3511"/>
    <w:rsid w:val="00AC37B3"/>
    <w:rsid w:val="00AC621A"/>
    <w:rsid w:val="00AC63D9"/>
    <w:rsid w:val="00AC7753"/>
    <w:rsid w:val="00AD0D83"/>
    <w:rsid w:val="00AD18BE"/>
    <w:rsid w:val="00AD24EF"/>
    <w:rsid w:val="00AD4B09"/>
    <w:rsid w:val="00AD5B17"/>
    <w:rsid w:val="00AD648F"/>
    <w:rsid w:val="00AD7C8B"/>
    <w:rsid w:val="00AE38F3"/>
    <w:rsid w:val="00AE4000"/>
    <w:rsid w:val="00AE429F"/>
    <w:rsid w:val="00AE52A8"/>
    <w:rsid w:val="00AE5FAF"/>
    <w:rsid w:val="00AE6C42"/>
    <w:rsid w:val="00AE770E"/>
    <w:rsid w:val="00AE793D"/>
    <w:rsid w:val="00AF0014"/>
    <w:rsid w:val="00AF0FD9"/>
    <w:rsid w:val="00AF1448"/>
    <w:rsid w:val="00AF18C7"/>
    <w:rsid w:val="00AF1B0A"/>
    <w:rsid w:val="00AF339B"/>
    <w:rsid w:val="00AF3886"/>
    <w:rsid w:val="00AF53E0"/>
    <w:rsid w:val="00AF6602"/>
    <w:rsid w:val="00AF6721"/>
    <w:rsid w:val="00AF6F6F"/>
    <w:rsid w:val="00AF7923"/>
    <w:rsid w:val="00AF7ADE"/>
    <w:rsid w:val="00B024F5"/>
    <w:rsid w:val="00B05C82"/>
    <w:rsid w:val="00B05EC1"/>
    <w:rsid w:val="00B0669D"/>
    <w:rsid w:val="00B06C17"/>
    <w:rsid w:val="00B1005F"/>
    <w:rsid w:val="00B150C5"/>
    <w:rsid w:val="00B154DB"/>
    <w:rsid w:val="00B157AB"/>
    <w:rsid w:val="00B15D7D"/>
    <w:rsid w:val="00B17629"/>
    <w:rsid w:val="00B201C7"/>
    <w:rsid w:val="00B20512"/>
    <w:rsid w:val="00B23261"/>
    <w:rsid w:val="00B24C0B"/>
    <w:rsid w:val="00B26032"/>
    <w:rsid w:val="00B266F1"/>
    <w:rsid w:val="00B2780A"/>
    <w:rsid w:val="00B31A11"/>
    <w:rsid w:val="00B32BAE"/>
    <w:rsid w:val="00B34D65"/>
    <w:rsid w:val="00B350C7"/>
    <w:rsid w:val="00B358B4"/>
    <w:rsid w:val="00B3794D"/>
    <w:rsid w:val="00B412DC"/>
    <w:rsid w:val="00B42ACD"/>
    <w:rsid w:val="00B43DB3"/>
    <w:rsid w:val="00B43EF6"/>
    <w:rsid w:val="00B43F94"/>
    <w:rsid w:val="00B4488D"/>
    <w:rsid w:val="00B46624"/>
    <w:rsid w:val="00B52F07"/>
    <w:rsid w:val="00B53A0F"/>
    <w:rsid w:val="00B5582A"/>
    <w:rsid w:val="00B61B69"/>
    <w:rsid w:val="00B62A20"/>
    <w:rsid w:val="00B63B3C"/>
    <w:rsid w:val="00B650C6"/>
    <w:rsid w:val="00B65E49"/>
    <w:rsid w:val="00B67D47"/>
    <w:rsid w:val="00B717E4"/>
    <w:rsid w:val="00B71F88"/>
    <w:rsid w:val="00B722F1"/>
    <w:rsid w:val="00B73D65"/>
    <w:rsid w:val="00B753B4"/>
    <w:rsid w:val="00B75A34"/>
    <w:rsid w:val="00B76478"/>
    <w:rsid w:val="00B767D3"/>
    <w:rsid w:val="00B77110"/>
    <w:rsid w:val="00B77FBA"/>
    <w:rsid w:val="00B80D85"/>
    <w:rsid w:val="00B810F5"/>
    <w:rsid w:val="00B819CB"/>
    <w:rsid w:val="00B81B11"/>
    <w:rsid w:val="00B83B47"/>
    <w:rsid w:val="00B83B96"/>
    <w:rsid w:val="00B85C1F"/>
    <w:rsid w:val="00B863CD"/>
    <w:rsid w:val="00B876D7"/>
    <w:rsid w:val="00B90661"/>
    <w:rsid w:val="00B90E48"/>
    <w:rsid w:val="00B916CA"/>
    <w:rsid w:val="00B92180"/>
    <w:rsid w:val="00B93B8C"/>
    <w:rsid w:val="00B9428A"/>
    <w:rsid w:val="00B95012"/>
    <w:rsid w:val="00B95625"/>
    <w:rsid w:val="00B969C0"/>
    <w:rsid w:val="00BA0AD9"/>
    <w:rsid w:val="00BA39A3"/>
    <w:rsid w:val="00BA5766"/>
    <w:rsid w:val="00BA5E14"/>
    <w:rsid w:val="00BA5FDC"/>
    <w:rsid w:val="00BA74FF"/>
    <w:rsid w:val="00BA7C44"/>
    <w:rsid w:val="00BB0EB1"/>
    <w:rsid w:val="00BB14BF"/>
    <w:rsid w:val="00BB17CF"/>
    <w:rsid w:val="00BB2166"/>
    <w:rsid w:val="00BB2E60"/>
    <w:rsid w:val="00BB333E"/>
    <w:rsid w:val="00BB3CA5"/>
    <w:rsid w:val="00BB4226"/>
    <w:rsid w:val="00BB4448"/>
    <w:rsid w:val="00BB67A0"/>
    <w:rsid w:val="00BB6AC2"/>
    <w:rsid w:val="00BC1168"/>
    <w:rsid w:val="00BC35B2"/>
    <w:rsid w:val="00BC44B2"/>
    <w:rsid w:val="00BC54AE"/>
    <w:rsid w:val="00BC5AD6"/>
    <w:rsid w:val="00BC748B"/>
    <w:rsid w:val="00BC7CB9"/>
    <w:rsid w:val="00BD008C"/>
    <w:rsid w:val="00BD1A7C"/>
    <w:rsid w:val="00BD2522"/>
    <w:rsid w:val="00BD2AD0"/>
    <w:rsid w:val="00BD3396"/>
    <w:rsid w:val="00BD3D0F"/>
    <w:rsid w:val="00BD7854"/>
    <w:rsid w:val="00BD7AB2"/>
    <w:rsid w:val="00BE100E"/>
    <w:rsid w:val="00BE13D5"/>
    <w:rsid w:val="00BE301E"/>
    <w:rsid w:val="00BE38C1"/>
    <w:rsid w:val="00BE4C32"/>
    <w:rsid w:val="00BE5A39"/>
    <w:rsid w:val="00BE6EEC"/>
    <w:rsid w:val="00BF241E"/>
    <w:rsid w:val="00BF315E"/>
    <w:rsid w:val="00BF52F4"/>
    <w:rsid w:val="00BF6ACD"/>
    <w:rsid w:val="00BF6C92"/>
    <w:rsid w:val="00BF7631"/>
    <w:rsid w:val="00BF7F2A"/>
    <w:rsid w:val="00C044EB"/>
    <w:rsid w:val="00C05D6F"/>
    <w:rsid w:val="00C06E6F"/>
    <w:rsid w:val="00C07FC9"/>
    <w:rsid w:val="00C07FE2"/>
    <w:rsid w:val="00C11BEC"/>
    <w:rsid w:val="00C12D51"/>
    <w:rsid w:val="00C145A3"/>
    <w:rsid w:val="00C15D0A"/>
    <w:rsid w:val="00C2031D"/>
    <w:rsid w:val="00C20A97"/>
    <w:rsid w:val="00C21D21"/>
    <w:rsid w:val="00C224C8"/>
    <w:rsid w:val="00C23AC7"/>
    <w:rsid w:val="00C24ECC"/>
    <w:rsid w:val="00C308F0"/>
    <w:rsid w:val="00C31B94"/>
    <w:rsid w:val="00C32A1C"/>
    <w:rsid w:val="00C337D4"/>
    <w:rsid w:val="00C33A17"/>
    <w:rsid w:val="00C34291"/>
    <w:rsid w:val="00C36392"/>
    <w:rsid w:val="00C408F7"/>
    <w:rsid w:val="00C40AAF"/>
    <w:rsid w:val="00C41555"/>
    <w:rsid w:val="00C423BB"/>
    <w:rsid w:val="00C43101"/>
    <w:rsid w:val="00C44C0A"/>
    <w:rsid w:val="00C45C8A"/>
    <w:rsid w:val="00C45F3A"/>
    <w:rsid w:val="00C503FE"/>
    <w:rsid w:val="00C510F4"/>
    <w:rsid w:val="00C52909"/>
    <w:rsid w:val="00C529A0"/>
    <w:rsid w:val="00C52BBF"/>
    <w:rsid w:val="00C53EA0"/>
    <w:rsid w:val="00C55644"/>
    <w:rsid w:val="00C6210E"/>
    <w:rsid w:val="00C62217"/>
    <w:rsid w:val="00C62348"/>
    <w:rsid w:val="00C64F6E"/>
    <w:rsid w:val="00C6522F"/>
    <w:rsid w:val="00C65813"/>
    <w:rsid w:val="00C66783"/>
    <w:rsid w:val="00C670F0"/>
    <w:rsid w:val="00C67B5F"/>
    <w:rsid w:val="00C67C8E"/>
    <w:rsid w:val="00C67C97"/>
    <w:rsid w:val="00C706F5"/>
    <w:rsid w:val="00C728D4"/>
    <w:rsid w:val="00C72C4D"/>
    <w:rsid w:val="00C74138"/>
    <w:rsid w:val="00C74669"/>
    <w:rsid w:val="00C74E43"/>
    <w:rsid w:val="00C762E4"/>
    <w:rsid w:val="00C763BD"/>
    <w:rsid w:val="00C77548"/>
    <w:rsid w:val="00C778FD"/>
    <w:rsid w:val="00C8357E"/>
    <w:rsid w:val="00C8380F"/>
    <w:rsid w:val="00C83BCB"/>
    <w:rsid w:val="00C863C3"/>
    <w:rsid w:val="00C87661"/>
    <w:rsid w:val="00C9110D"/>
    <w:rsid w:val="00C9120D"/>
    <w:rsid w:val="00C91516"/>
    <w:rsid w:val="00C952BE"/>
    <w:rsid w:val="00C95F7A"/>
    <w:rsid w:val="00C963E3"/>
    <w:rsid w:val="00C97978"/>
    <w:rsid w:val="00CA64C5"/>
    <w:rsid w:val="00CA7B90"/>
    <w:rsid w:val="00CA7C2A"/>
    <w:rsid w:val="00CB0573"/>
    <w:rsid w:val="00CB1A72"/>
    <w:rsid w:val="00CB53C9"/>
    <w:rsid w:val="00CB59C5"/>
    <w:rsid w:val="00CB63F0"/>
    <w:rsid w:val="00CB6475"/>
    <w:rsid w:val="00CC25CC"/>
    <w:rsid w:val="00CC3700"/>
    <w:rsid w:val="00CC7310"/>
    <w:rsid w:val="00CD20ED"/>
    <w:rsid w:val="00CD2937"/>
    <w:rsid w:val="00CD2A64"/>
    <w:rsid w:val="00CD56D3"/>
    <w:rsid w:val="00CD56F8"/>
    <w:rsid w:val="00CD62F9"/>
    <w:rsid w:val="00CD6BD1"/>
    <w:rsid w:val="00CD6D1D"/>
    <w:rsid w:val="00CD6E0F"/>
    <w:rsid w:val="00CE0A3E"/>
    <w:rsid w:val="00CE0DB9"/>
    <w:rsid w:val="00CE1536"/>
    <w:rsid w:val="00CE1F93"/>
    <w:rsid w:val="00CE2DC1"/>
    <w:rsid w:val="00CE3D7D"/>
    <w:rsid w:val="00CE41F0"/>
    <w:rsid w:val="00CE4A43"/>
    <w:rsid w:val="00CE5FC0"/>
    <w:rsid w:val="00CE6CAC"/>
    <w:rsid w:val="00CE6FBE"/>
    <w:rsid w:val="00CF0A02"/>
    <w:rsid w:val="00CF1FDD"/>
    <w:rsid w:val="00CF2450"/>
    <w:rsid w:val="00CF4C71"/>
    <w:rsid w:val="00CF534A"/>
    <w:rsid w:val="00CF6355"/>
    <w:rsid w:val="00CF7600"/>
    <w:rsid w:val="00D02458"/>
    <w:rsid w:val="00D029EB"/>
    <w:rsid w:val="00D03044"/>
    <w:rsid w:val="00D037B6"/>
    <w:rsid w:val="00D03B9E"/>
    <w:rsid w:val="00D05D87"/>
    <w:rsid w:val="00D0673A"/>
    <w:rsid w:val="00D07DE0"/>
    <w:rsid w:val="00D103E5"/>
    <w:rsid w:val="00D10928"/>
    <w:rsid w:val="00D10EEE"/>
    <w:rsid w:val="00D1100D"/>
    <w:rsid w:val="00D12985"/>
    <w:rsid w:val="00D129F7"/>
    <w:rsid w:val="00D15A00"/>
    <w:rsid w:val="00D17EC9"/>
    <w:rsid w:val="00D204FA"/>
    <w:rsid w:val="00D21372"/>
    <w:rsid w:val="00D23B55"/>
    <w:rsid w:val="00D24EEF"/>
    <w:rsid w:val="00D309EB"/>
    <w:rsid w:val="00D3160C"/>
    <w:rsid w:val="00D34E99"/>
    <w:rsid w:val="00D357A1"/>
    <w:rsid w:val="00D36F7B"/>
    <w:rsid w:val="00D430A9"/>
    <w:rsid w:val="00D431CF"/>
    <w:rsid w:val="00D437AC"/>
    <w:rsid w:val="00D446ED"/>
    <w:rsid w:val="00D45A4C"/>
    <w:rsid w:val="00D4795D"/>
    <w:rsid w:val="00D5344A"/>
    <w:rsid w:val="00D5354C"/>
    <w:rsid w:val="00D57FAE"/>
    <w:rsid w:val="00D60704"/>
    <w:rsid w:val="00D6096E"/>
    <w:rsid w:val="00D61136"/>
    <w:rsid w:val="00D62304"/>
    <w:rsid w:val="00D64989"/>
    <w:rsid w:val="00D66469"/>
    <w:rsid w:val="00D66545"/>
    <w:rsid w:val="00D6654F"/>
    <w:rsid w:val="00D70418"/>
    <w:rsid w:val="00D708E9"/>
    <w:rsid w:val="00D728A3"/>
    <w:rsid w:val="00D73860"/>
    <w:rsid w:val="00D75A2F"/>
    <w:rsid w:val="00D81C3A"/>
    <w:rsid w:val="00D8266F"/>
    <w:rsid w:val="00D8298E"/>
    <w:rsid w:val="00D86CB3"/>
    <w:rsid w:val="00D86F54"/>
    <w:rsid w:val="00D910F0"/>
    <w:rsid w:val="00D92743"/>
    <w:rsid w:val="00D9367C"/>
    <w:rsid w:val="00D97504"/>
    <w:rsid w:val="00DA08E0"/>
    <w:rsid w:val="00DA1432"/>
    <w:rsid w:val="00DA1443"/>
    <w:rsid w:val="00DA405A"/>
    <w:rsid w:val="00DA5CA6"/>
    <w:rsid w:val="00DA631A"/>
    <w:rsid w:val="00DB0776"/>
    <w:rsid w:val="00DB0A92"/>
    <w:rsid w:val="00DB2178"/>
    <w:rsid w:val="00DB2E01"/>
    <w:rsid w:val="00DB3996"/>
    <w:rsid w:val="00DB456C"/>
    <w:rsid w:val="00DB46B3"/>
    <w:rsid w:val="00DB50BF"/>
    <w:rsid w:val="00DB5F2E"/>
    <w:rsid w:val="00DB6CAF"/>
    <w:rsid w:val="00DC1C36"/>
    <w:rsid w:val="00DC2FCE"/>
    <w:rsid w:val="00DC51A5"/>
    <w:rsid w:val="00DC5BCE"/>
    <w:rsid w:val="00DC5CC8"/>
    <w:rsid w:val="00DC5F5B"/>
    <w:rsid w:val="00DC6E4E"/>
    <w:rsid w:val="00DC6EB6"/>
    <w:rsid w:val="00DC703E"/>
    <w:rsid w:val="00DD0D78"/>
    <w:rsid w:val="00DD19EE"/>
    <w:rsid w:val="00DD2C29"/>
    <w:rsid w:val="00DD3F44"/>
    <w:rsid w:val="00DD5976"/>
    <w:rsid w:val="00DD5A92"/>
    <w:rsid w:val="00DD5FEA"/>
    <w:rsid w:val="00DE1851"/>
    <w:rsid w:val="00DE295A"/>
    <w:rsid w:val="00DE3040"/>
    <w:rsid w:val="00DE3048"/>
    <w:rsid w:val="00DE7AE8"/>
    <w:rsid w:val="00DF0AFF"/>
    <w:rsid w:val="00DF0DB0"/>
    <w:rsid w:val="00DF143B"/>
    <w:rsid w:val="00DF24F2"/>
    <w:rsid w:val="00DF2C05"/>
    <w:rsid w:val="00DF2D10"/>
    <w:rsid w:val="00DF3AF3"/>
    <w:rsid w:val="00E00C05"/>
    <w:rsid w:val="00E030C5"/>
    <w:rsid w:val="00E0613C"/>
    <w:rsid w:val="00E06AC9"/>
    <w:rsid w:val="00E14773"/>
    <w:rsid w:val="00E154EC"/>
    <w:rsid w:val="00E16404"/>
    <w:rsid w:val="00E17436"/>
    <w:rsid w:val="00E21433"/>
    <w:rsid w:val="00E22219"/>
    <w:rsid w:val="00E24115"/>
    <w:rsid w:val="00E241A8"/>
    <w:rsid w:val="00E248C6"/>
    <w:rsid w:val="00E25064"/>
    <w:rsid w:val="00E3068F"/>
    <w:rsid w:val="00E31A7F"/>
    <w:rsid w:val="00E32278"/>
    <w:rsid w:val="00E325E7"/>
    <w:rsid w:val="00E32A1C"/>
    <w:rsid w:val="00E346CC"/>
    <w:rsid w:val="00E34DED"/>
    <w:rsid w:val="00E352F0"/>
    <w:rsid w:val="00E35438"/>
    <w:rsid w:val="00E354BC"/>
    <w:rsid w:val="00E356BB"/>
    <w:rsid w:val="00E4051A"/>
    <w:rsid w:val="00E40A4B"/>
    <w:rsid w:val="00E41C86"/>
    <w:rsid w:val="00E41C98"/>
    <w:rsid w:val="00E430C1"/>
    <w:rsid w:val="00E434E1"/>
    <w:rsid w:val="00E440C6"/>
    <w:rsid w:val="00E44F7D"/>
    <w:rsid w:val="00E4581F"/>
    <w:rsid w:val="00E47DBD"/>
    <w:rsid w:val="00E51992"/>
    <w:rsid w:val="00E52405"/>
    <w:rsid w:val="00E52AC4"/>
    <w:rsid w:val="00E53FBE"/>
    <w:rsid w:val="00E55390"/>
    <w:rsid w:val="00E57213"/>
    <w:rsid w:val="00E57A7F"/>
    <w:rsid w:val="00E61087"/>
    <w:rsid w:val="00E61B6B"/>
    <w:rsid w:val="00E6289E"/>
    <w:rsid w:val="00E64B38"/>
    <w:rsid w:val="00E671C5"/>
    <w:rsid w:val="00E70686"/>
    <w:rsid w:val="00E72E80"/>
    <w:rsid w:val="00E755B4"/>
    <w:rsid w:val="00E75FCF"/>
    <w:rsid w:val="00E82E3A"/>
    <w:rsid w:val="00E835C7"/>
    <w:rsid w:val="00E84B68"/>
    <w:rsid w:val="00E85086"/>
    <w:rsid w:val="00E85958"/>
    <w:rsid w:val="00E862E4"/>
    <w:rsid w:val="00E873DF"/>
    <w:rsid w:val="00E90BAC"/>
    <w:rsid w:val="00E9127B"/>
    <w:rsid w:val="00EA3D2B"/>
    <w:rsid w:val="00EA420A"/>
    <w:rsid w:val="00EA59E6"/>
    <w:rsid w:val="00EA627E"/>
    <w:rsid w:val="00EA669B"/>
    <w:rsid w:val="00EA7327"/>
    <w:rsid w:val="00EA7C73"/>
    <w:rsid w:val="00EA7EF3"/>
    <w:rsid w:val="00EB05F7"/>
    <w:rsid w:val="00EB0DE1"/>
    <w:rsid w:val="00EB29A8"/>
    <w:rsid w:val="00EB41F6"/>
    <w:rsid w:val="00EB5526"/>
    <w:rsid w:val="00EB585A"/>
    <w:rsid w:val="00EB606E"/>
    <w:rsid w:val="00EB6772"/>
    <w:rsid w:val="00EB7205"/>
    <w:rsid w:val="00EB7283"/>
    <w:rsid w:val="00EC1289"/>
    <w:rsid w:val="00EC5E0C"/>
    <w:rsid w:val="00EC5EFE"/>
    <w:rsid w:val="00EC6CA4"/>
    <w:rsid w:val="00EC7802"/>
    <w:rsid w:val="00ED3449"/>
    <w:rsid w:val="00ED381F"/>
    <w:rsid w:val="00ED3BF9"/>
    <w:rsid w:val="00ED4475"/>
    <w:rsid w:val="00ED492D"/>
    <w:rsid w:val="00ED4DE3"/>
    <w:rsid w:val="00EE04D9"/>
    <w:rsid w:val="00EE17EE"/>
    <w:rsid w:val="00EE4DC7"/>
    <w:rsid w:val="00EE5963"/>
    <w:rsid w:val="00EE60AD"/>
    <w:rsid w:val="00EE619B"/>
    <w:rsid w:val="00EE727C"/>
    <w:rsid w:val="00EF30FA"/>
    <w:rsid w:val="00EF3977"/>
    <w:rsid w:val="00EF7229"/>
    <w:rsid w:val="00EF7EFE"/>
    <w:rsid w:val="00F00841"/>
    <w:rsid w:val="00F01719"/>
    <w:rsid w:val="00F05585"/>
    <w:rsid w:val="00F05965"/>
    <w:rsid w:val="00F0643B"/>
    <w:rsid w:val="00F10F73"/>
    <w:rsid w:val="00F1125B"/>
    <w:rsid w:val="00F1185E"/>
    <w:rsid w:val="00F11AB4"/>
    <w:rsid w:val="00F12CFF"/>
    <w:rsid w:val="00F137BD"/>
    <w:rsid w:val="00F14C9A"/>
    <w:rsid w:val="00F15098"/>
    <w:rsid w:val="00F159DD"/>
    <w:rsid w:val="00F16A89"/>
    <w:rsid w:val="00F16DA9"/>
    <w:rsid w:val="00F1706A"/>
    <w:rsid w:val="00F17D9D"/>
    <w:rsid w:val="00F20D3F"/>
    <w:rsid w:val="00F20F9D"/>
    <w:rsid w:val="00F23FA1"/>
    <w:rsid w:val="00F259B9"/>
    <w:rsid w:val="00F3049E"/>
    <w:rsid w:val="00F31AAA"/>
    <w:rsid w:val="00F32048"/>
    <w:rsid w:val="00F32EF4"/>
    <w:rsid w:val="00F3626C"/>
    <w:rsid w:val="00F36457"/>
    <w:rsid w:val="00F4078D"/>
    <w:rsid w:val="00F40B05"/>
    <w:rsid w:val="00F411F5"/>
    <w:rsid w:val="00F41992"/>
    <w:rsid w:val="00F42046"/>
    <w:rsid w:val="00F42492"/>
    <w:rsid w:val="00F43348"/>
    <w:rsid w:val="00F43766"/>
    <w:rsid w:val="00F45581"/>
    <w:rsid w:val="00F4710C"/>
    <w:rsid w:val="00F4788A"/>
    <w:rsid w:val="00F47AD2"/>
    <w:rsid w:val="00F502C4"/>
    <w:rsid w:val="00F5052B"/>
    <w:rsid w:val="00F50BA9"/>
    <w:rsid w:val="00F53702"/>
    <w:rsid w:val="00F53819"/>
    <w:rsid w:val="00F543B8"/>
    <w:rsid w:val="00F54DCD"/>
    <w:rsid w:val="00F5600B"/>
    <w:rsid w:val="00F56CCB"/>
    <w:rsid w:val="00F619FE"/>
    <w:rsid w:val="00F61EB9"/>
    <w:rsid w:val="00F624EF"/>
    <w:rsid w:val="00F627C0"/>
    <w:rsid w:val="00F62943"/>
    <w:rsid w:val="00F6580C"/>
    <w:rsid w:val="00F662A2"/>
    <w:rsid w:val="00F67B33"/>
    <w:rsid w:val="00F70282"/>
    <w:rsid w:val="00F71BF6"/>
    <w:rsid w:val="00F71EFA"/>
    <w:rsid w:val="00F73877"/>
    <w:rsid w:val="00F73FE2"/>
    <w:rsid w:val="00F7407B"/>
    <w:rsid w:val="00F763C8"/>
    <w:rsid w:val="00F8004E"/>
    <w:rsid w:val="00F80193"/>
    <w:rsid w:val="00F80C26"/>
    <w:rsid w:val="00F8351A"/>
    <w:rsid w:val="00F83A54"/>
    <w:rsid w:val="00F84840"/>
    <w:rsid w:val="00F8701F"/>
    <w:rsid w:val="00F8766C"/>
    <w:rsid w:val="00F90DF9"/>
    <w:rsid w:val="00F927D9"/>
    <w:rsid w:val="00F945CF"/>
    <w:rsid w:val="00F94AA4"/>
    <w:rsid w:val="00F97563"/>
    <w:rsid w:val="00F979E6"/>
    <w:rsid w:val="00FA0603"/>
    <w:rsid w:val="00FA0940"/>
    <w:rsid w:val="00FA2A3B"/>
    <w:rsid w:val="00FA3C8A"/>
    <w:rsid w:val="00FA5170"/>
    <w:rsid w:val="00FA5DD7"/>
    <w:rsid w:val="00FB2135"/>
    <w:rsid w:val="00FB21A4"/>
    <w:rsid w:val="00FB36EF"/>
    <w:rsid w:val="00FB3A67"/>
    <w:rsid w:val="00FC2175"/>
    <w:rsid w:val="00FC31CE"/>
    <w:rsid w:val="00FC346C"/>
    <w:rsid w:val="00FC3D04"/>
    <w:rsid w:val="00FC614C"/>
    <w:rsid w:val="00FC7EFB"/>
    <w:rsid w:val="00FD012F"/>
    <w:rsid w:val="00FD6215"/>
    <w:rsid w:val="00FD6E58"/>
    <w:rsid w:val="00FD72A9"/>
    <w:rsid w:val="00FD7D76"/>
    <w:rsid w:val="00FE11F4"/>
    <w:rsid w:val="00FE1307"/>
    <w:rsid w:val="00FE1822"/>
    <w:rsid w:val="00FE22B9"/>
    <w:rsid w:val="00FF1E41"/>
    <w:rsid w:val="00FF36BF"/>
    <w:rsid w:val="00FF6019"/>
    <w:rsid w:val="00FF6D36"/>
    <w:rsid w:val="00FF7831"/>
    <w:rsid w:val="012A27A0"/>
    <w:rsid w:val="01AF556E"/>
    <w:rsid w:val="01E626A5"/>
    <w:rsid w:val="0235564E"/>
    <w:rsid w:val="02CD3E4E"/>
    <w:rsid w:val="03B52DF7"/>
    <w:rsid w:val="0426225D"/>
    <w:rsid w:val="04A80875"/>
    <w:rsid w:val="05763AAA"/>
    <w:rsid w:val="064578F2"/>
    <w:rsid w:val="06CB4FA1"/>
    <w:rsid w:val="07716362"/>
    <w:rsid w:val="096D6E81"/>
    <w:rsid w:val="09735491"/>
    <w:rsid w:val="09897A07"/>
    <w:rsid w:val="0A585E35"/>
    <w:rsid w:val="0B730C62"/>
    <w:rsid w:val="0C632C54"/>
    <w:rsid w:val="0E72547B"/>
    <w:rsid w:val="0FDD0077"/>
    <w:rsid w:val="0FE82773"/>
    <w:rsid w:val="11940816"/>
    <w:rsid w:val="12B81841"/>
    <w:rsid w:val="12C113AF"/>
    <w:rsid w:val="13626CC4"/>
    <w:rsid w:val="13735C70"/>
    <w:rsid w:val="13C67ADB"/>
    <w:rsid w:val="16AB10E8"/>
    <w:rsid w:val="172706F2"/>
    <w:rsid w:val="19E76CF2"/>
    <w:rsid w:val="1ADB1663"/>
    <w:rsid w:val="1D8A4718"/>
    <w:rsid w:val="20EE2AEB"/>
    <w:rsid w:val="21C00765"/>
    <w:rsid w:val="224B6650"/>
    <w:rsid w:val="227026B1"/>
    <w:rsid w:val="22EB2416"/>
    <w:rsid w:val="27F276D4"/>
    <w:rsid w:val="27F427FC"/>
    <w:rsid w:val="2A4B51FE"/>
    <w:rsid w:val="2BF65612"/>
    <w:rsid w:val="2CB81ADC"/>
    <w:rsid w:val="2D2A393B"/>
    <w:rsid w:val="2D74348F"/>
    <w:rsid w:val="2DA60119"/>
    <w:rsid w:val="2FF76606"/>
    <w:rsid w:val="30073655"/>
    <w:rsid w:val="311A2AFB"/>
    <w:rsid w:val="326967D2"/>
    <w:rsid w:val="32B82F4D"/>
    <w:rsid w:val="340A24BD"/>
    <w:rsid w:val="34B73EA1"/>
    <w:rsid w:val="37AE13D6"/>
    <w:rsid w:val="37DF2741"/>
    <w:rsid w:val="38662F7F"/>
    <w:rsid w:val="389F0C87"/>
    <w:rsid w:val="38F1523E"/>
    <w:rsid w:val="394E15E7"/>
    <w:rsid w:val="3DA63134"/>
    <w:rsid w:val="3ED01585"/>
    <w:rsid w:val="41030827"/>
    <w:rsid w:val="41135944"/>
    <w:rsid w:val="4227312E"/>
    <w:rsid w:val="42A94C07"/>
    <w:rsid w:val="42FF060D"/>
    <w:rsid w:val="441C0C90"/>
    <w:rsid w:val="45D525F4"/>
    <w:rsid w:val="46FF0C65"/>
    <w:rsid w:val="471548BC"/>
    <w:rsid w:val="480E795B"/>
    <w:rsid w:val="48D4392E"/>
    <w:rsid w:val="49416664"/>
    <w:rsid w:val="4ABE6644"/>
    <w:rsid w:val="4AD4683C"/>
    <w:rsid w:val="4BC34CDC"/>
    <w:rsid w:val="4C9B34FB"/>
    <w:rsid w:val="4CF96987"/>
    <w:rsid w:val="4DD83CE5"/>
    <w:rsid w:val="4F992D92"/>
    <w:rsid w:val="52E94D6A"/>
    <w:rsid w:val="52FE3D08"/>
    <w:rsid w:val="536C1B58"/>
    <w:rsid w:val="53B911C6"/>
    <w:rsid w:val="54082F69"/>
    <w:rsid w:val="55876BC4"/>
    <w:rsid w:val="559079A6"/>
    <w:rsid w:val="56000942"/>
    <w:rsid w:val="56B935D4"/>
    <w:rsid w:val="57A54A59"/>
    <w:rsid w:val="581463A6"/>
    <w:rsid w:val="59711B86"/>
    <w:rsid w:val="59B75F59"/>
    <w:rsid w:val="59C21467"/>
    <w:rsid w:val="5BA604D8"/>
    <w:rsid w:val="5BCD349A"/>
    <w:rsid w:val="5BFC7A5D"/>
    <w:rsid w:val="5C314028"/>
    <w:rsid w:val="5D3505D8"/>
    <w:rsid w:val="628479A3"/>
    <w:rsid w:val="63016EBD"/>
    <w:rsid w:val="635A609D"/>
    <w:rsid w:val="64344214"/>
    <w:rsid w:val="64AE6EF8"/>
    <w:rsid w:val="64E20A62"/>
    <w:rsid w:val="64F00327"/>
    <w:rsid w:val="661E0505"/>
    <w:rsid w:val="679D5E5C"/>
    <w:rsid w:val="6B032AFA"/>
    <w:rsid w:val="6B2C0F9E"/>
    <w:rsid w:val="6CD2663C"/>
    <w:rsid w:val="6CFE4CB7"/>
    <w:rsid w:val="6D0C4D22"/>
    <w:rsid w:val="6E261E25"/>
    <w:rsid w:val="6FBC00FA"/>
    <w:rsid w:val="70733072"/>
    <w:rsid w:val="711019EC"/>
    <w:rsid w:val="72197345"/>
    <w:rsid w:val="72496357"/>
    <w:rsid w:val="727530DE"/>
    <w:rsid w:val="72E971AE"/>
    <w:rsid w:val="73822548"/>
    <w:rsid w:val="74384B8A"/>
    <w:rsid w:val="75CB16FD"/>
    <w:rsid w:val="76AC1696"/>
    <w:rsid w:val="76E539FB"/>
    <w:rsid w:val="77B71C44"/>
    <w:rsid w:val="79530BF1"/>
    <w:rsid w:val="7A177E81"/>
    <w:rsid w:val="7A3B0BE1"/>
    <w:rsid w:val="7A710AD7"/>
    <w:rsid w:val="7ADA5E02"/>
    <w:rsid w:val="7B2C2189"/>
    <w:rsid w:val="7B3C59DD"/>
    <w:rsid w:val="7BBD1F48"/>
    <w:rsid w:val="7BDB4A34"/>
    <w:rsid w:val="7C597B34"/>
    <w:rsid w:val="7D4056CE"/>
    <w:rsid w:val="7D8D659C"/>
    <w:rsid w:val="7E1D259A"/>
    <w:rsid w:val="7EF56928"/>
    <w:rsid w:val="7F614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5">
    <w:name w:val="heading 1"/>
    <w:basedOn w:val="1"/>
    <w:next w:val="1"/>
    <w:qFormat/>
    <w:uiPriority w:val="0"/>
    <w:pPr>
      <w:spacing w:before="340" w:after="330" w:line="578" w:lineRule="auto"/>
      <w:outlineLvl w:val="0"/>
    </w:pPr>
    <w:rPr>
      <w:b/>
      <w:sz w:val="44"/>
    </w:rPr>
  </w:style>
  <w:style w:type="paragraph" w:styleId="6">
    <w:name w:val="heading 2"/>
    <w:basedOn w:val="1"/>
    <w:next w:val="1"/>
    <w:qFormat/>
    <w:uiPriority w:val="0"/>
    <w:pPr>
      <w:spacing w:before="260" w:after="260" w:line="416" w:lineRule="auto"/>
      <w:outlineLvl w:val="1"/>
    </w:pPr>
    <w:rPr>
      <w:rFonts w:ascii="Arial" w:eastAsia="黑体"/>
      <w:b/>
      <w:sz w:val="32"/>
    </w:rPr>
  </w:style>
  <w:style w:type="paragraph" w:styleId="7">
    <w:name w:val="heading 3"/>
    <w:basedOn w:val="1"/>
    <w:next w:val="1"/>
    <w:qFormat/>
    <w:uiPriority w:val="0"/>
    <w:pPr>
      <w:spacing w:before="20" w:after="20" w:line="416" w:lineRule="auto"/>
      <w:outlineLvl w:val="2"/>
    </w:pPr>
    <w:rPr>
      <w:rFonts w:eastAsia="黑体"/>
      <w:sz w:val="24"/>
    </w:rPr>
  </w:style>
  <w:style w:type="paragraph" w:styleId="8">
    <w:name w:val="heading 4"/>
    <w:basedOn w:val="1"/>
    <w:next w:val="1"/>
    <w:qFormat/>
    <w:uiPriority w:val="0"/>
    <w:pPr>
      <w:spacing w:before="280" w:after="290" w:line="376" w:lineRule="auto"/>
      <w:outlineLvl w:val="3"/>
    </w:pPr>
    <w:rPr>
      <w:rFonts w:ascii="Arial" w:eastAsia="黑体"/>
      <w:b/>
      <w:sz w:val="28"/>
    </w:rPr>
  </w:style>
  <w:style w:type="paragraph" w:styleId="9">
    <w:name w:val="heading 5"/>
    <w:next w:val="1"/>
    <w:qFormat/>
    <w:uiPriority w:val="0"/>
    <w:pPr>
      <w:wordWrap w:val="0"/>
      <w:spacing w:after="160"/>
      <w:ind w:left="1800" w:hanging="400"/>
      <w:jc w:val="both"/>
      <w:outlineLvl w:val="4"/>
    </w:pPr>
    <w:rPr>
      <w:rFonts w:ascii="Times New Roman" w:hAnsi="Times New Roman" w:eastAsia="宋体" w:cs="Times New Roman"/>
      <w:sz w:val="21"/>
      <w:lang w:val="en-US" w:eastAsia="zh-CN" w:bidi="ar-SA"/>
    </w:rPr>
  </w:style>
  <w:style w:type="paragraph" w:styleId="10">
    <w:name w:val="heading 6"/>
    <w:basedOn w:val="1"/>
    <w:next w:val="1"/>
    <w:qFormat/>
    <w:uiPriority w:val="0"/>
    <w:pPr>
      <w:widowControl/>
      <w:spacing w:before="240" w:after="64" w:line="320" w:lineRule="auto"/>
      <w:ind w:left="1152" w:hanging="1152"/>
      <w:outlineLvl w:val="5"/>
    </w:pPr>
    <w:rPr>
      <w:rFonts w:ascii="Arial" w:eastAsia="黑体"/>
      <w:b/>
      <w:sz w:val="24"/>
    </w:rPr>
  </w:style>
  <w:style w:type="paragraph" w:styleId="11">
    <w:name w:val="heading 7"/>
    <w:basedOn w:val="1"/>
    <w:next w:val="1"/>
    <w:qFormat/>
    <w:uiPriority w:val="0"/>
    <w:pPr>
      <w:widowControl/>
      <w:spacing w:before="240" w:after="64" w:line="320" w:lineRule="auto"/>
      <w:ind w:left="1296" w:hanging="1296"/>
      <w:outlineLvl w:val="6"/>
    </w:pPr>
    <w:rPr>
      <w:b/>
      <w:sz w:val="24"/>
    </w:rPr>
  </w:style>
  <w:style w:type="paragraph" w:styleId="12">
    <w:name w:val="heading 8"/>
    <w:basedOn w:val="1"/>
    <w:next w:val="1"/>
    <w:qFormat/>
    <w:uiPriority w:val="0"/>
    <w:pPr>
      <w:widowControl/>
      <w:spacing w:before="240" w:after="64" w:line="320" w:lineRule="auto"/>
      <w:ind w:left="1440" w:hanging="1440"/>
      <w:outlineLvl w:val="7"/>
    </w:pPr>
    <w:rPr>
      <w:rFonts w:ascii="Arial" w:eastAsia="黑体"/>
      <w:sz w:val="24"/>
    </w:rPr>
  </w:style>
  <w:style w:type="paragraph" w:styleId="13">
    <w:name w:val="heading 9"/>
    <w:basedOn w:val="1"/>
    <w:next w:val="1"/>
    <w:qFormat/>
    <w:uiPriority w:val="0"/>
    <w:pPr>
      <w:widowControl/>
      <w:spacing w:before="240" w:after="64" w:line="320" w:lineRule="auto"/>
      <w:ind w:left="1584" w:hanging="1584"/>
      <w:outlineLvl w:val="8"/>
    </w:pPr>
    <w:rPr>
      <w:rFonts w:ascii="Arial" w:eastAsia="黑体"/>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2">
    <w:name w:val="正文缩进1"/>
    <w:next w:val="3"/>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3">
    <w:name w:val="List Paragraph1"/>
    <w:basedOn w:val="1"/>
    <w:next w:val="4"/>
    <w:qFormat/>
    <w:uiPriority w:val="0"/>
    <w:pPr>
      <w:ind w:firstLine="420"/>
    </w:pPr>
    <w:rPr>
      <w:rFonts w:hAnsi="宋体" w:cs="宋体"/>
    </w:rPr>
  </w:style>
  <w:style w:type="paragraph" w:customStyle="1" w:styleId="4">
    <w:name w:val="Char Char Char Char"/>
    <w:basedOn w:val="1"/>
    <w:qFormat/>
    <w:uiPriority w:val="0"/>
    <w:rPr>
      <w:rFonts w:ascii="Tahoma" w:hAnsi="Tahoma"/>
      <w:sz w:val="24"/>
    </w:rPr>
  </w:style>
  <w:style w:type="paragraph" w:styleId="14">
    <w:name w:val="toc 7"/>
    <w:next w:val="1"/>
    <w:qFormat/>
    <w:uiPriority w:val="0"/>
    <w:pPr>
      <w:wordWrap w:val="0"/>
      <w:ind w:left="2125"/>
      <w:jc w:val="both"/>
    </w:pPr>
    <w:rPr>
      <w:rFonts w:ascii="Times New Roman" w:hAnsi="Times New Roman" w:eastAsia="宋体" w:cs="Times New Roman"/>
      <w:sz w:val="21"/>
      <w:lang w:val="en-US" w:eastAsia="zh-CN" w:bidi="ar-SA"/>
    </w:rPr>
  </w:style>
  <w:style w:type="paragraph" w:styleId="15">
    <w:name w:val="Normal Indent"/>
    <w:basedOn w:val="1"/>
    <w:next w:val="1"/>
    <w:qFormat/>
    <w:uiPriority w:val="0"/>
    <w:pPr>
      <w:wordWrap w:val="0"/>
      <w:ind w:left="3400"/>
    </w:pPr>
  </w:style>
  <w:style w:type="paragraph" w:styleId="16">
    <w:name w:val="Document Map"/>
    <w:basedOn w:val="1"/>
    <w:next w:val="17"/>
    <w:semiHidden/>
    <w:qFormat/>
    <w:uiPriority w:val="0"/>
    <w:pPr>
      <w:shd w:val="clear" w:color="000000" w:fill="000080"/>
    </w:pPr>
  </w:style>
  <w:style w:type="paragraph" w:customStyle="1" w:styleId="17">
    <w:name w:val="目录 52"/>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annotation text"/>
    <w:basedOn w:val="1"/>
    <w:next w:val="19"/>
    <w:qFormat/>
    <w:uiPriority w:val="0"/>
  </w:style>
  <w:style w:type="paragraph" w:styleId="19">
    <w:name w:val="toc 8"/>
    <w:next w:val="1"/>
    <w:qFormat/>
    <w:uiPriority w:val="0"/>
    <w:pPr>
      <w:wordWrap w:val="0"/>
      <w:ind w:left="2550"/>
      <w:jc w:val="both"/>
    </w:pPr>
    <w:rPr>
      <w:rFonts w:ascii="Times New Roman" w:hAnsi="Times New Roman" w:eastAsia="宋体" w:cs="Times New Roman"/>
      <w:sz w:val="21"/>
      <w:lang w:val="en-US" w:eastAsia="zh-CN" w:bidi="ar-SA"/>
    </w:rPr>
  </w:style>
  <w:style w:type="paragraph" w:styleId="20">
    <w:name w:val="Body Text 3"/>
    <w:basedOn w:val="1"/>
    <w:next w:val="21"/>
    <w:qFormat/>
    <w:uiPriority w:val="0"/>
    <w:rPr>
      <w:rFonts w:ascii="宋体"/>
      <w:sz w:val="24"/>
    </w:rPr>
  </w:style>
  <w:style w:type="paragraph" w:customStyle="1" w:styleId="21">
    <w:name w:val="目录 63"/>
    <w:next w:val="1"/>
    <w:qFormat/>
    <w:uiPriority w:val="0"/>
    <w:pPr>
      <w:wordWrap w:val="0"/>
      <w:ind w:left="1700"/>
      <w:jc w:val="both"/>
    </w:pPr>
    <w:rPr>
      <w:rFonts w:ascii="Times New Roman" w:hAnsi="Times New Roman" w:eastAsia="宋体" w:cs="Times New Roman"/>
      <w:sz w:val="21"/>
      <w:lang w:val="en-US" w:eastAsia="zh-CN" w:bidi="ar-SA"/>
    </w:rPr>
  </w:style>
  <w:style w:type="paragraph" w:styleId="22">
    <w:name w:val="Body Text"/>
    <w:basedOn w:val="1"/>
    <w:next w:val="23"/>
    <w:qFormat/>
    <w:uiPriority w:val="0"/>
    <w:pPr>
      <w:spacing w:after="120"/>
    </w:pPr>
  </w:style>
  <w:style w:type="paragraph" w:customStyle="1" w:styleId="23">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24">
    <w:name w:val="Body Text Indent"/>
    <w:basedOn w:val="1"/>
    <w:next w:val="25"/>
    <w:qFormat/>
    <w:uiPriority w:val="0"/>
    <w:pPr>
      <w:spacing w:line="480" w:lineRule="atLeast"/>
      <w:ind w:firstLine="540"/>
    </w:pPr>
    <w:rPr>
      <w:rFonts w:ascii="仿宋体"/>
      <w:sz w:val="28"/>
    </w:rPr>
  </w:style>
  <w:style w:type="paragraph" w:customStyle="1" w:styleId="25">
    <w:name w:val="目录 92"/>
    <w:next w:val="1"/>
    <w:qFormat/>
    <w:uiPriority w:val="0"/>
    <w:pPr>
      <w:wordWrap w:val="0"/>
      <w:ind w:left="2975"/>
      <w:jc w:val="both"/>
    </w:pPr>
    <w:rPr>
      <w:rFonts w:ascii="Times New Roman" w:hAnsi="Times New Roman" w:eastAsia="宋体" w:cs="Times New Roman"/>
      <w:sz w:val="21"/>
      <w:lang w:val="en-US" w:eastAsia="zh-CN" w:bidi="ar-SA"/>
    </w:rPr>
  </w:style>
  <w:style w:type="paragraph" w:styleId="26">
    <w:name w:val="toc 5"/>
    <w:next w:val="1"/>
    <w:qFormat/>
    <w:uiPriority w:val="0"/>
    <w:pPr>
      <w:wordWrap w:val="0"/>
      <w:ind w:left="1275"/>
      <w:jc w:val="both"/>
    </w:pPr>
    <w:rPr>
      <w:rFonts w:ascii="Times New Roman" w:hAnsi="Times New Roman" w:eastAsia="宋体" w:cs="Times New Roman"/>
      <w:sz w:val="21"/>
      <w:lang w:val="en-US" w:eastAsia="zh-CN" w:bidi="ar-SA"/>
    </w:rPr>
  </w:style>
  <w:style w:type="paragraph" w:styleId="27">
    <w:name w:val="toc 3"/>
    <w:next w:val="1"/>
    <w:qFormat/>
    <w:uiPriority w:val="39"/>
    <w:pPr>
      <w:wordWrap w:val="0"/>
      <w:ind w:left="425"/>
      <w:jc w:val="both"/>
    </w:pPr>
    <w:rPr>
      <w:rFonts w:ascii="Times New Roman" w:hAnsi="Times New Roman" w:eastAsia="宋体" w:cs="Times New Roman"/>
      <w:sz w:val="21"/>
      <w:lang w:val="en-US" w:eastAsia="zh-CN" w:bidi="ar-SA"/>
    </w:rPr>
  </w:style>
  <w:style w:type="paragraph" w:styleId="28">
    <w:name w:val="Plain Text"/>
    <w:basedOn w:val="1"/>
    <w:next w:val="29"/>
    <w:qFormat/>
    <w:uiPriority w:val="0"/>
    <w:rPr>
      <w:rFonts w:ascii="宋体"/>
    </w:rPr>
  </w:style>
  <w:style w:type="paragraph" w:customStyle="1" w:styleId="29">
    <w:name w:val="目录 81"/>
    <w:next w:val="1"/>
    <w:qFormat/>
    <w:uiPriority w:val="0"/>
    <w:pPr>
      <w:wordWrap w:val="0"/>
      <w:ind w:left="2550"/>
      <w:jc w:val="both"/>
    </w:pPr>
    <w:rPr>
      <w:rFonts w:ascii="Times New Roman" w:hAnsi="Times New Roman" w:eastAsia="宋体" w:cs="Times New Roman"/>
      <w:sz w:val="21"/>
      <w:lang w:val="en-US" w:eastAsia="zh-CN" w:bidi="ar-SA"/>
    </w:rPr>
  </w:style>
  <w:style w:type="paragraph" w:styleId="30">
    <w:name w:val="Date"/>
    <w:basedOn w:val="1"/>
    <w:next w:val="1"/>
    <w:qFormat/>
    <w:uiPriority w:val="0"/>
    <w:pPr>
      <w:ind w:left="100"/>
    </w:pPr>
  </w:style>
  <w:style w:type="paragraph" w:styleId="31">
    <w:name w:val="Body Text Indent 2"/>
    <w:basedOn w:val="1"/>
    <w:next w:val="32"/>
    <w:qFormat/>
    <w:uiPriority w:val="0"/>
    <w:pPr>
      <w:spacing w:after="120" w:line="480" w:lineRule="auto"/>
      <w:ind w:left="420"/>
    </w:pPr>
  </w:style>
  <w:style w:type="paragraph" w:customStyle="1" w:styleId="32">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33">
    <w:name w:val="Balloon Text"/>
    <w:basedOn w:val="1"/>
    <w:next w:val="34"/>
    <w:semiHidden/>
    <w:qFormat/>
    <w:uiPriority w:val="0"/>
    <w:rPr>
      <w:sz w:val="18"/>
    </w:rPr>
  </w:style>
  <w:style w:type="paragraph" w:customStyle="1" w:styleId="34">
    <w:name w:val="目录 32"/>
    <w:next w:val="1"/>
    <w:qFormat/>
    <w:uiPriority w:val="0"/>
    <w:pPr>
      <w:wordWrap w:val="0"/>
      <w:ind w:left="425"/>
      <w:jc w:val="both"/>
    </w:pPr>
    <w:rPr>
      <w:rFonts w:ascii="Times New Roman" w:hAnsi="Times New Roman" w:eastAsia="宋体" w:cs="Times New Roman"/>
      <w:sz w:val="21"/>
      <w:lang w:val="en-US" w:eastAsia="zh-CN" w:bidi="ar-SA"/>
    </w:rPr>
  </w:style>
  <w:style w:type="paragraph" w:styleId="35">
    <w:name w:val="footer"/>
    <w:basedOn w:val="1"/>
    <w:next w:val="36"/>
    <w:qFormat/>
    <w:uiPriority w:val="99"/>
    <w:rPr>
      <w:sz w:val="18"/>
    </w:rPr>
  </w:style>
  <w:style w:type="paragraph" w:customStyle="1" w:styleId="36">
    <w:name w:val="目录 43"/>
    <w:next w:val="1"/>
    <w:qFormat/>
    <w:uiPriority w:val="0"/>
    <w:pPr>
      <w:wordWrap w:val="0"/>
      <w:ind w:left="850"/>
      <w:jc w:val="both"/>
    </w:pPr>
    <w:rPr>
      <w:rFonts w:ascii="Times New Roman" w:hAnsi="Times New Roman" w:eastAsia="宋体" w:cs="Times New Roman"/>
      <w:sz w:val="21"/>
      <w:lang w:val="en-US" w:eastAsia="zh-CN" w:bidi="ar-SA"/>
    </w:rPr>
  </w:style>
  <w:style w:type="paragraph" w:styleId="37">
    <w:name w:val="header"/>
    <w:basedOn w:val="1"/>
    <w:next w:val="38"/>
    <w:qFormat/>
    <w:uiPriority w:val="0"/>
    <w:pPr>
      <w:jc w:val="center"/>
    </w:pPr>
    <w:rPr>
      <w:sz w:val="18"/>
    </w:rPr>
  </w:style>
  <w:style w:type="paragraph" w:customStyle="1" w:styleId="38">
    <w:name w:val="目录 62"/>
    <w:next w:val="1"/>
    <w:qFormat/>
    <w:uiPriority w:val="0"/>
    <w:pPr>
      <w:wordWrap w:val="0"/>
      <w:ind w:left="1700"/>
      <w:jc w:val="both"/>
    </w:pPr>
    <w:rPr>
      <w:rFonts w:ascii="Times New Roman" w:hAnsi="Times New Roman" w:eastAsia="宋体" w:cs="Times New Roman"/>
      <w:sz w:val="21"/>
      <w:lang w:val="en-US" w:eastAsia="zh-CN" w:bidi="ar-SA"/>
    </w:rPr>
  </w:style>
  <w:style w:type="paragraph" w:styleId="39">
    <w:name w:val="toc 1"/>
    <w:basedOn w:val="1"/>
    <w:next w:val="1"/>
    <w:qFormat/>
    <w:uiPriority w:val="39"/>
  </w:style>
  <w:style w:type="paragraph" w:styleId="40">
    <w:name w:val="toc 4"/>
    <w:next w:val="1"/>
    <w:qFormat/>
    <w:uiPriority w:val="0"/>
    <w:pPr>
      <w:wordWrap w:val="0"/>
      <w:ind w:left="850"/>
      <w:jc w:val="both"/>
    </w:pPr>
    <w:rPr>
      <w:rFonts w:ascii="Times New Roman" w:hAnsi="Times New Roman" w:eastAsia="宋体" w:cs="Times New Roman"/>
      <w:sz w:val="21"/>
      <w:lang w:val="en-US" w:eastAsia="zh-CN" w:bidi="ar-SA"/>
    </w:rPr>
  </w:style>
  <w:style w:type="paragraph" w:styleId="41">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42">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43">
    <w:name w:val="Body Text Indent 3"/>
    <w:basedOn w:val="1"/>
    <w:next w:val="44"/>
    <w:qFormat/>
    <w:uiPriority w:val="0"/>
    <w:pPr>
      <w:spacing w:after="120"/>
      <w:ind w:left="420"/>
    </w:pPr>
    <w:rPr>
      <w:sz w:val="16"/>
    </w:rPr>
  </w:style>
  <w:style w:type="paragraph" w:customStyle="1" w:styleId="44">
    <w:name w:val="TOC 标题2"/>
    <w:next w:val="1"/>
    <w:qFormat/>
    <w:uiPriority w:val="0"/>
    <w:pPr>
      <w:wordWrap w:val="0"/>
    </w:pPr>
    <w:rPr>
      <w:rFonts w:ascii="Times New Roman" w:hAnsi="Times New Roman" w:eastAsia="宋体" w:cs="Times New Roman"/>
      <w:sz w:val="32"/>
      <w:lang w:val="en-US" w:eastAsia="zh-CN" w:bidi="ar-SA"/>
    </w:rPr>
  </w:style>
  <w:style w:type="paragraph" w:styleId="45">
    <w:name w:val="toc 2"/>
    <w:next w:val="1"/>
    <w:qFormat/>
    <w:uiPriority w:val="39"/>
    <w:pPr>
      <w:wordWrap w:val="0"/>
      <w:jc w:val="both"/>
    </w:pPr>
    <w:rPr>
      <w:rFonts w:ascii="Times New Roman" w:hAnsi="Times New Roman" w:eastAsia="宋体" w:cs="Times New Roman"/>
      <w:sz w:val="21"/>
      <w:lang w:val="en-US" w:eastAsia="zh-CN" w:bidi="ar-SA"/>
    </w:rPr>
  </w:style>
  <w:style w:type="paragraph" w:styleId="46">
    <w:name w:val="toc 9"/>
    <w:next w:val="1"/>
    <w:qFormat/>
    <w:uiPriority w:val="0"/>
    <w:pPr>
      <w:wordWrap w:val="0"/>
      <w:ind w:left="2975"/>
      <w:jc w:val="both"/>
    </w:pPr>
    <w:rPr>
      <w:rFonts w:ascii="Times New Roman" w:hAnsi="Times New Roman" w:eastAsia="宋体" w:cs="Times New Roman"/>
      <w:sz w:val="21"/>
      <w:lang w:val="en-US" w:eastAsia="zh-CN" w:bidi="ar-SA"/>
    </w:rPr>
  </w:style>
  <w:style w:type="paragraph" w:styleId="47">
    <w:name w:val="Body Text 2"/>
    <w:basedOn w:val="1"/>
    <w:next w:val="48"/>
    <w:qFormat/>
    <w:uiPriority w:val="0"/>
    <w:pPr>
      <w:spacing w:after="120" w:line="480" w:lineRule="auto"/>
    </w:pPr>
  </w:style>
  <w:style w:type="paragraph" w:customStyle="1" w:styleId="48">
    <w:name w:val="TOC 标题1"/>
    <w:next w:val="1"/>
    <w:qFormat/>
    <w:uiPriority w:val="0"/>
    <w:pPr>
      <w:wordWrap w:val="0"/>
    </w:pPr>
    <w:rPr>
      <w:rFonts w:ascii="Times New Roman" w:hAnsi="Times New Roman" w:eastAsia="宋体" w:cs="Times New Roman"/>
      <w:sz w:val="32"/>
      <w:lang w:val="en-US" w:eastAsia="zh-CN" w:bidi="ar-SA"/>
    </w:rPr>
  </w:style>
  <w:style w:type="paragraph" w:styleId="49">
    <w:name w:val="Normal (Web)"/>
    <w:basedOn w:val="1"/>
    <w:next w:val="50"/>
    <w:qFormat/>
    <w:uiPriority w:val="0"/>
    <w:pPr>
      <w:widowControl/>
      <w:spacing w:before="280" w:after="280"/>
    </w:pPr>
    <w:rPr>
      <w:rFonts w:ascii="宋体"/>
      <w:sz w:val="24"/>
    </w:rPr>
  </w:style>
  <w:style w:type="paragraph" w:customStyle="1" w:styleId="50">
    <w:name w:val="目录 71"/>
    <w:next w:val="1"/>
    <w:qFormat/>
    <w:uiPriority w:val="0"/>
    <w:pPr>
      <w:wordWrap w:val="0"/>
      <w:ind w:left="2125"/>
      <w:jc w:val="both"/>
    </w:pPr>
    <w:rPr>
      <w:rFonts w:ascii="Times New Roman" w:hAnsi="Times New Roman" w:eastAsia="宋体" w:cs="Times New Roman"/>
      <w:sz w:val="21"/>
      <w:lang w:val="en-US" w:eastAsia="zh-CN" w:bidi="ar-SA"/>
    </w:rPr>
  </w:style>
  <w:style w:type="paragraph" w:styleId="51">
    <w:name w:val="Title"/>
    <w:basedOn w:val="1"/>
    <w:next w:val="1"/>
    <w:link w:val="62"/>
    <w:qFormat/>
    <w:uiPriority w:val="0"/>
    <w:pPr>
      <w:spacing w:before="240" w:after="60"/>
      <w:jc w:val="center"/>
      <w:outlineLvl w:val="0"/>
    </w:pPr>
    <w:rPr>
      <w:rFonts w:ascii="Cambria" w:hAnsi="Cambria"/>
      <w:b/>
      <w:sz w:val="32"/>
    </w:rPr>
  </w:style>
  <w:style w:type="paragraph" w:styleId="52">
    <w:name w:val="annotation subject"/>
    <w:next w:val="19"/>
    <w:semiHidden/>
    <w:qFormat/>
    <w:uiPriority w:val="0"/>
    <w:pPr>
      <w:widowControl w:val="0"/>
    </w:pPr>
    <w:rPr>
      <w:rFonts w:ascii="Times New Roman" w:hAnsi="Times New Roman" w:eastAsia="宋体" w:cs="Times New Roman"/>
      <w:b/>
      <w:sz w:val="21"/>
      <w:lang w:val="en-US" w:eastAsia="zh-CN" w:bidi="ar-SA"/>
    </w:r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6">
    <w:name w:val="Strong"/>
    <w:qFormat/>
    <w:uiPriority w:val="22"/>
    <w:rPr>
      <w:b/>
      <w:sz w:val="20"/>
    </w:rPr>
  </w:style>
  <w:style w:type="character" w:styleId="57">
    <w:name w:val="page number"/>
    <w:qFormat/>
    <w:uiPriority w:val="0"/>
    <w:rPr>
      <w:sz w:val="20"/>
    </w:rPr>
  </w:style>
  <w:style w:type="character" w:styleId="58">
    <w:name w:val="FollowedHyperlink"/>
    <w:qFormat/>
    <w:uiPriority w:val="0"/>
    <w:rPr>
      <w:color w:val="800080"/>
      <w:sz w:val="20"/>
      <w:u w:val="single"/>
    </w:rPr>
  </w:style>
  <w:style w:type="character" w:styleId="59">
    <w:name w:val="Emphasis"/>
    <w:qFormat/>
    <w:uiPriority w:val="0"/>
    <w:rPr>
      <w:i/>
      <w:sz w:val="20"/>
    </w:rPr>
  </w:style>
  <w:style w:type="character" w:styleId="60">
    <w:name w:val="Hyperlink"/>
    <w:qFormat/>
    <w:uiPriority w:val="99"/>
    <w:rPr>
      <w:color w:val="0000FF"/>
      <w:sz w:val="20"/>
      <w:u w:val="single"/>
    </w:rPr>
  </w:style>
  <w:style w:type="character" w:styleId="61">
    <w:name w:val="annotation reference"/>
    <w:semiHidden/>
    <w:qFormat/>
    <w:uiPriority w:val="0"/>
    <w:rPr>
      <w:sz w:val="20"/>
    </w:rPr>
  </w:style>
  <w:style w:type="character" w:customStyle="1" w:styleId="62">
    <w:name w:val="标题 字符"/>
    <w:link w:val="51"/>
    <w:qFormat/>
    <w:uiPriority w:val="0"/>
    <w:rPr>
      <w:rFonts w:ascii="Cambria" w:hAnsi="Cambria"/>
      <w:b/>
      <w:sz w:val="32"/>
    </w:rPr>
  </w:style>
  <w:style w:type="character" w:customStyle="1" w:styleId="63">
    <w:name w:val="标题 3 Char"/>
    <w:qFormat/>
    <w:uiPriority w:val="0"/>
    <w:rPr>
      <w:sz w:val="20"/>
    </w:rPr>
  </w:style>
  <w:style w:type="character" w:customStyle="1" w:styleId="64">
    <w:name w:val="正文文本缩进 Char1"/>
    <w:qFormat/>
    <w:uiPriority w:val="0"/>
    <w:rPr>
      <w:sz w:val="20"/>
    </w:rPr>
  </w:style>
  <w:style w:type="character" w:customStyle="1" w:styleId="65">
    <w:name w:val="标题 1 Char"/>
    <w:qFormat/>
    <w:uiPriority w:val="0"/>
    <w:rPr>
      <w:b/>
      <w:sz w:val="20"/>
    </w:rPr>
  </w:style>
  <w:style w:type="character" w:customStyle="1" w:styleId="66">
    <w:name w:val="apple-converted-space"/>
    <w:qFormat/>
    <w:uiPriority w:val="0"/>
  </w:style>
  <w:style w:type="character" w:customStyle="1" w:styleId="67">
    <w:name w:val="正文缩进 Char"/>
    <w:qFormat/>
    <w:uiPriority w:val="0"/>
    <w:rPr>
      <w:sz w:val="20"/>
    </w:rPr>
  </w:style>
  <w:style w:type="character" w:customStyle="1" w:styleId="68">
    <w:name w:val="书籍标题1"/>
    <w:qFormat/>
    <w:uiPriority w:val="0"/>
    <w:rPr>
      <w:b/>
      <w:i/>
      <w:sz w:val="20"/>
    </w:rPr>
  </w:style>
  <w:style w:type="character" w:customStyle="1" w:styleId="69">
    <w:name w:val="明显参考1"/>
    <w:qFormat/>
    <w:uiPriority w:val="0"/>
    <w:rPr>
      <w:b/>
      <w:sz w:val="20"/>
    </w:rPr>
  </w:style>
  <w:style w:type="character" w:customStyle="1" w:styleId="70">
    <w:name w:val="页脚 Char"/>
    <w:qFormat/>
    <w:uiPriority w:val="99"/>
    <w:rPr>
      <w:sz w:val="20"/>
    </w:rPr>
  </w:style>
  <w:style w:type="character" w:customStyle="1" w:styleId="71">
    <w:name w:val="Char Char1"/>
    <w:qFormat/>
    <w:uiPriority w:val="0"/>
    <w:rPr>
      <w:sz w:val="20"/>
    </w:rPr>
  </w:style>
  <w:style w:type="character" w:customStyle="1" w:styleId="72">
    <w:name w:val="标题 Char"/>
    <w:qFormat/>
    <w:uiPriority w:val="10"/>
    <w:rPr>
      <w:rFonts w:ascii="Cambria" w:hAnsi="Cambria" w:cs="Times New Roman"/>
      <w:b/>
      <w:bCs/>
      <w:sz w:val="32"/>
      <w:szCs w:val="32"/>
    </w:rPr>
  </w:style>
  <w:style w:type="character" w:customStyle="1" w:styleId="73">
    <w:name w:val="正文文本缩进 Char"/>
    <w:qFormat/>
    <w:uiPriority w:val="0"/>
    <w:rPr>
      <w:sz w:val="20"/>
    </w:rPr>
  </w:style>
  <w:style w:type="character" w:customStyle="1" w:styleId="74">
    <w:name w:val="批注文字 Char"/>
    <w:qFormat/>
    <w:uiPriority w:val="0"/>
    <w:rPr>
      <w:sz w:val="20"/>
    </w:rPr>
  </w:style>
  <w:style w:type="character" w:customStyle="1" w:styleId="75">
    <w:name w:val="不明显参考1"/>
    <w:qFormat/>
    <w:uiPriority w:val="0"/>
    <w:rPr>
      <w:sz w:val="20"/>
    </w:rPr>
  </w:style>
  <w:style w:type="character" w:customStyle="1" w:styleId="76">
    <w:name w:val="明显强调1"/>
    <w:qFormat/>
    <w:uiPriority w:val="0"/>
    <w:rPr>
      <w:i/>
      <w:sz w:val="20"/>
    </w:rPr>
  </w:style>
  <w:style w:type="character" w:customStyle="1" w:styleId="77">
    <w:name w:val="不明显强调1"/>
    <w:qFormat/>
    <w:uiPriority w:val="0"/>
    <w:rPr>
      <w:i/>
      <w:sz w:val="20"/>
    </w:rPr>
  </w:style>
  <w:style w:type="character" w:customStyle="1" w:styleId="78">
    <w:name w:val="纯文本 Char"/>
    <w:qFormat/>
    <w:uiPriority w:val="0"/>
    <w:rPr>
      <w:sz w:val="20"/>
    </w:rPr>
  </w:style>
  <w:style w:type="character" w:customStyle="1" w:styleId="79">
    <w:name w:val="font161"/>
    <w:qFormat/>
    <w:uiPriority w:val="0"/>
    <w:rPr>
      <w:b/>
      <w:sz w:val="20"/>
    </w:rPr>
  </w:style>
  <w:style w:type="character" w:customStyle="1" w:styleId="80">
    <w:name w:val="标题 2 Char"/>
    <w:qFormat/>
    <w:uiPriority w:val="0"/>
    <w:rPr>
      <w:b/>
      <w:sz w:val="20"/>
    </w:rPr>
  </w:style>
  <w:style w:type="paragraph" w:customStyle="1" w:styleId="81">
    <w:name w:val="正文缩进4"/>
    <w:basedOn w:val="1"/>
    <w:next w:val="82"/>
    <w:qFormat/>
    <w:uiPriority w:val="0"/>
    <w:pPr>
      <w:ind w:firstLine="420"/>
    </w:pPr>
  </w:style>
  <w:style w:type="paragraph" w:customStyle="1" w:styleId="82">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83">
    <w:name w:val="目录 44"/>
    <w:basedOn w:val="1"/>
    <w:next w:val="1"/>
    <w:qFormat/>
    <w:uiPriority w:val="0"/>
    <w:pPr>
      <w:ind w:left="1260"/>
    </w:pPr>
  </w:style>
  <w:style w:type="paragraph" w:customStyle="1" w:styleId="84">
    <w:name w:val="表格"/>
    <w:basedOn w:val="1"/>
    <w:next w:val="85"/>
    <w:qFormat/>
    <w:uiPriority w:val="0"/>
    <w:pPr>
      <w:jc w:val="center"/>
    </w:pPr>
    <w:rPr>
      <w:rFonts w:ascii="华文细黑"/>
    </w:rPr>
  </w:style>
  <w:style w:type="paragraph" w:customStyle="1" w:styleId="85">
    <w:name w:val="目录 4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6">
    <w:name w:val="目录 73"/>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87">
    <w:name w:val="目录 33"/>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88">
    <w:name w:val="样式 标题 1 + 黑体 三号 非加粗 居中 段前: 6 磅 段后: 6 磅 行距: 固定值 20 磅"/>
    <w:basedOn w:val="5"/>
    <w:next w:val="89"/>
    <w:qFormat/>
    <w:uiPriority w:val="0"/>
    <w:pPr>
      <w:spacing w:before="120" w:after="120" w:line="400" w:lineRule="exact"/>
      <w:jc w:val="center"/>
    </w:pPr>
    <w:rPr>
      <w:rFonts w:ascii="黑体" w:eastAsia="黑体"/>
      <w:b w:val="0"/>
      <w:sz w:val="32"/>
    </w:rPr>
  </w:style>
  <w:style w:type="paragraph" w:customStyle="1" w:styleId="89">
    <w:name w:val="TOC 标题3"/>
    <w:next w:val="1"/>
    <w:qFormat/>
    <w:uiPriority w:val="0"/>
    <w:pPr>
      <w:wordWrap w:val="0"/>
    </w:pPr>
    <w:rPr>
      <w:rFonts w:ascii="Times New Roman" w:hAnsi="Times New Roman" w:eastAsia="宋体" w:cs="Times New Roman"/>
      <w:sz w:val="32"/>
      <w:lang w:val="en-US" w:eastAsia="zh-CN" w:bidi="ar-SA"/>
    </w:rPr>
  </w:style>
  <w:style w:type="paragraph" w:customStyle="1" w:styleId="90">
    <w:name w:val="_Style 19"/>
    <w:basedOn w:val="1"/>
    <w:next w:val="29"/>
    <w:qFormat/>
    <w:uiPriority w:val="0"/>
    <w:rPr>
      <w:rFonts w:ascii="宋体"/>
    </w:rPr>
  </w:style>
  <w:style w:type="paragraph" w:styleId="91">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92">
    <w:name w:val="目录 3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3">
    <w:name w:val="TOC 标题4"/>
    <w:next w:val="1"/>
    <w:qFormat/>
    <w:uiPriority w:val="0"/>
    <w:pPr>
      <w:wordWrap w:val="0"/>
    </w:pPr>
    <w:rPr>
      <w:rFonts w:ascii="Times New Roman" w:hAnsi="Times New Roman" w:eastAsia="宋体" w:cs="Times New Roman"/>
      <w:sz w:val="32"/>
      <w:lang w:val="en-US" w:eastAsia="zh-CN" w:bidi="ar-SA"/>
    </w:rPr>
  </w:style>
  <w:style w:type="paragraph" w:customStyle="1" w:styleId="94">
    <w:name w:val="正文缩进2"/>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95">
    <w:name w:val="目录 9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96">
    <w:name w:val="目录 24"/>
    <w:basedOn w:val="1"/>
    <w:next w:val="1"/>
    <w:qFormat/>
    <w:uiPriority w:val="0"/>
    <w:pPr>
      <w:ind w:left="420"/>
    </w:pPr>
  </w:style>
  <w:style w:type="paragraph" w:customStyle="1" w:styleId="97">
    <w:name w:val="样式 标题 3 + (中文) 黑体 小四 非加粗 段前: 7.8 磅 段后: 0 磅 行距: 固定值 20 磅"/>
    <w:basedOn w:val="7"/>
    <w:next w:val="94"/>
    <w:qFormat/>
    <w:uiPriority w:val="0"/>
    <w:pPr>
      <w:spacing w:before="0" w:after="0" w:line="400" w:lineRule="exact"/>
    </w:pPr>
    <w:rPr>
      <w:b/>
    </w:rPr>
  </w:style>
  <w:style w:type="paragraph" w:customStyle="1" w:styleId="98">
    <w:name w:val="目录 54"/>
    <w:basedOn w:val="1"/>
    <w:next w:val="1"/>
    <w:qFormat/>
    <w:uiPriority w:val="0"/>
    <w:pPr>
      <w:ind w:left="1680"/>
    </w:pPr>
  </w:style>
  <w:style w:type="paragraph" w:customStyle="1" w:styleId="99">
    <w:name w:val="p0"/>
    <w:basedOn w:val="1"/>
    <w:next w:val="100"/>
    <w:qFormat/>
    <w:uiPriority w:val="0"/>
    <w:pPr>
      <w:widowControl/>
    </w:pPr>
  </w:style>
  <w:style w:type="paragraph" w:customStyle="1" w:styleId="100">
    <w:name w:val="目录 22"/>
    <w:next w:val="1"/>
    <w:qFormat/>
    <w:uiPriority w:val="0"/>
    <w:pPr>
      <w:wordWrap w:val="0"/>
      <w:jc w:val="both"/>
    </w:pPr>
    <w:rPr>
      <w:rFonts w:ascii="Times New Roman" w:hAnsi="Times New Roman" w:eastAsia="宋体" w:cs="Times New Roman"/>
      <w:sz w:val="21"/>
      <w:lang w:val="en-US" w:eastAsia="zh-CN" w:bidi="ar-SA"/>
    </w:rPr>
  </w:style>
  <w:style w:type="paragraph" w:customStyle="1" w:styleId="101">
    <w:name w:val="Char Char Char Char1"/>
    <w:basedOn w:val="1"/>
    <w:next w:val="1"/>
    <w:qFormat/>
    <w:uiPriority w:val="0"/>
    <w:pPr>
      <w:widowControl/>
      <w:spacing w:after="160" w:line="240" w:lineRule="exact"/>
    </w:pPr>
  </w:style>
  <w:style w:type="paragraph" w:customStyle="1" w:styleId="102">
    <w:name w:val="Default"/>
    <w:next w:val="1"/>
    <w:qFormat/>
    <w:uiPriority w:val="99"/>
    <w:pPr>
      <w:widowControl w:val="0"/>
      <w:autoSpaceDE w:val="0"/>
      <w:autoSpaceDN w:val="0"/>
    </w:pPr>
    <w:rPr>
      <w:rFonts w:ascii="Arial Unicode MS" w:hAnsi="Times New Roman" w:eastAsia="Arial Unicode MS" w:cs="Times New Roman"/>
      <w:color w:val="000000"/>
      <w:sz w:val="24"/>
      <w:lang w:val="en-US" w:eastAsia="zh-CN" w:bidi="ar-SA"/>
    </w:rPr>
  </w:style>
  <w:style w:type="paragraph" w:customStyle="1" w:styleId="103">
    <w:name w:val="正文缩进3"/>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4">
    <w:name w:val="目录 74"/>
    <w:basedOn w:val="1"/>
    <w:next w:val="1"/>
    <w:qFormat/>
    <w:uiPriority w:val="0"/>
    <w:pPr>
      <w:ind w:left="2520"/>
    </w:pPr>
  </w:style>
  <w:style w:type="paragraph" w:customStyle="1" w:styleId="105">
    <w:name w:val="默认段落字体 Para Char Char Char Char Char Char Char Char Char1 Char Char Char Char Char Char Char"/>
    <w:next w:val="1"/>
    <w:qFormat/>
    <w:uiPriority w:val="0"/>
    <w:pPr>
      <w:widowControl w:val="0"/>
      <w:shd w:val="clear" w:color="000000" w:fill="000080"/>
      <w:jc w:val="both"/>
    </w:pPr>
    <w:rPr>
      <w:rFonts w:ascii="Tahoma" w:hAnsi="Times New Roman" w:eastAsia="宋体" w:cs="Times New Roman"/>
      <w:sz w:val="24"/>
      <w:lang w:val="en-US" w:eastAsia="zh-CN" w:bidi="ar-SA"/>
    </w:rPr>
  </w:style>
  <w:style w:type="paragraph" w:customStyle="1" w:styleId="106">
    <w:name w:val="Char Char2"/>
    <w:next w:val="1"/>
    <w:qFormat/>
    <w:uiPriority w:val="0"/>
    <w:pPr>
      <w:widowControl w:val="0"/>
      <w:shd w:val="clear" w:color="000000" w:fill="000080"/>
      <w:jc w:val="both"/>
    </w:pPr>
    <w:rPr>
      <w:rFonts w:ascii="Tahoma" w:hAnsi="Times New Roman" w:eastAsia="宋体" w:cs="Times New Roman"/>
      <w:sz w:val="24"/>
      <w:lang w:val="en-US" w:eastAsia="zh-CN" w:bidi="ar-SA"/>
    </w:rPr>
  </w:style>
  <w:style w:type="paragraph" w:customStyle="1" w:styleId="107">
    <w:name w:val="段落"/>
    <w:basedOn w:val="1"/>
    <w:qFormat/>
    <w:uiPriority w:val="0"/>
    <w:pPr>
      <w:ind w:firstLine="420" w:firstLineChars="200"/>
    </w:pPr>
    <w:rPr>
      <w:rFonts w:ascii="宋体" w:hAnsi="宋体"/>
      <w:color w:val="000000"/>
      <w:kern w:val="2"/>
    </w:rPr>
  </w:style>
  <w:style w:type="paragraph" w:customStyle="1" w:styleId="108">
    <w:name w:val="Blockquote"/>
    <w:basedOn w:val="1"/>
    <w:next w:val="109"/>
    <w:qFormat/>
    <w:uiPriority w:val="0"/>
    <w:pPr>
      <w:autoSpaceDE w:val="0"/>
      <w:autoSpaceDN w:val="0"/>
      <w:spacing w:before="100" w:after="100"/>
      <w:ind w:left="360" w:right="360"/>
    </w:pPr>
    <w:rPr>
      <w:sz w:val="24"/>
    </w:rPr>
  </w:style>
  <w:style w:type="paragraph" w:customStyle="1" w:styleId="109">
    <w:name w:val="目录 93"/>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10">
    <w:name w:val="样式 标题 2 + Times New Roman 四号 非加粗 段前: 5 磅 段后: 0 磅 行距: 固定值 20..."/>
    <w:basedOn w:val="6"/>
    <w:next w:val="1"/>
    <w:qFormat/>
    <w:uiPriority w:val="0"/>
    <w:pPr>
      <w:spacing w:before="100" w:after="0" w:line="400" w:lineRule="exact"/>
    </w:pPr>
    <w:rPr>
      <w:rFonts w:ascii="Times New Roman"/>
      <w:b w:val="0"/>
      <w:sz w:val="28"/>
    </w:rPr>
  </w:style>
  <w:style w:type="paragraph" w:customStyle="1" w:styleId="111">
    <w:name w:val="目录 72"/>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12">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113">
    <w:name w:val="目录 94"/>
    <w:basedOn w:val="1"/>
    <w:next w:val="1"/>
    <w:qFormat/>
    <w:uiPriority w:val="0"/>
    <w:pPr>
      <w:ind w:left="3360"/>
    </w:pPr>
  </w:style>
  <w:style w:type="paragraph" w:customStyle="1" w:styleId="114">
    <w:name w:val="小条"/>
    <w:basedOn w:val="107"/>
    <w:qFormat/>
    <w:uiPriority w:val="0"/>
    <w:pPr>
      <w:ind w:firstLine="0" w:firstLineChars="0"/>
    </w:pPr>
    <w:rPr>
      <w:rFonts w:ascii="Times New Roman"/>
      <w:color w:val="auto"/>
    </w:rPr>
  </w:style>
  <w:style w:type="paragraph" w:customStyle="1" w:styleId="115">
    <w:name w:val="1"/>
    <w:basedOn w:val="1"/>
    <w:next w:val="1"/>
    <w:qFormat/>
    <w:uiPriority w:val="0"/>
  </w:style>
  <w:style w:type="paragraph" w:customStyle="1" w:styleId="116">
    <w:name w:val="Char"/>
    <w:basedOn w:val="1"/>
    <w:next w:val="15"/>
    <w:qFormat/>
    <w:uiPriority w:val="0"/>
    <w:pPr>
      <w:widowControl/>
      <w:spacing w:line="400" w:lineRule="exact"/>
      <w:jc w:val="center"/>
    </w:pPr>
  </w:style>
  <w:style w:type="paragraph" w:customStyle="1" w:styleId="117">
    <w:name w:val="目录 84"/>
    <w:basedOn w:val="1"/>
    <w:next w:val="1"/>
    <w:qFormat/>
    <w:uiPriority w:val="0"/>
    <w:pPr>
      <w:ind w:left="2940"/>
    </w:pPr>
  </w:style>
  <w:style w:type="paragraph" w:customStyle="1" w:styleId="118">
    <w:name w:val="目录 34"/>
    <w:basedOn w:val="1"/>
    <w:next w:val="1"/>
    <w:qFormat/>
    <w:uiPriority w:val="0"/>
    <w:pPr>
      <w:ind w:left="840"/>
    </w:pPr>
  </w:style>
  <w:style w:type="paragraph" w:customStyle="1" w:styleId="119">
    <w:name w:val="6'"/>
    <w:basedOn w:val="1"/>
    <w:next w:val="1"/>
    <w:qFormat/>
    <w:uiPriority w:val="0"/>
    <w:pPr>
      <w:autoSpaceDE w:val="0"/>
      <w:autoSpaceDN w:val="0"/>
      <w:spacing w:line="320" w:lineRule="exact"/>
      <w:jc w:val="center"/>
    </w:pPr>
  </w:style>
  <w:style w:type="paragraph" w:customStyle="1" w:styleId="120">
    <w:name w:val="目录 23"/>
    <w:next w:val="1"/>
    <w:qFormat/>
    <w:uiPriority w:val="0"/>
    <w:pPr>
      <w:wordWrap w:val="0"/>
      <w:jc w:val="both"/>
    </w:pPr>
    <w:rPr>
      <w:rFonts w:ascii="Times New Roman" w:hAnsi="Times New Roman" w:eastAsia="宋体" w:cs="Times New Roman"/>
      <w:sz w:val="21"/>
      <w:lang w:val="en-US" w:eastAsia="zh-CN" w:bidi="ar-SA"/>
    </w:rPr>
  </w:style>
  <w:style w:type="paragraph" w:customStyle="1" w:styleId="121">
    <w:name w:val="目录 21"/>
    <w:next w:val="1"/>
    <w:qFormat/>
    <w:uiPriority w:val="0"/>
    <w:pPr>
      <w:wordWrap w:val="0"/>
      <w:jc w:val="both"/>
    </w:pPr>
    <w:rPr>
      <w:rFonts w:ascii="Times New Roman" w:hAnsi="Times New Roman" w:eastAsia="宋体" w:cs="Times New Roman"/>
      <w:sz w:val="21"/>
      <w:lang w:val="en-US" w:eastAsia="zh-CN" w:bidi="ar-SA"/>
    </w:rPr>
  </w:style>
  <w:style w:type="paragraph" w:customStyle="1" w:styleId="122">
    <w:name w:val="目录 42"/>
    <w:next w:val="1"/>
    <w:qFormat/>
    <w:uiPriority w:val="0"/>
    <w:pPr>
      <w:wordWrap w:val="0"/>
      <w:ind w:left="850"/>
      <w:jc w:val="both"/>
    </w:pPr>
    <w:rPr>
      <w:rFonts w:ascii="Times New Roman" w:hAnsi="Times New Roman" w:eastAsia="宋体" w:cs="Times New Roman"/>
      <w:sz w:val="21"/>
      <w:lang w:val="en-US" w:eastAsia="zh-CN" w:bidi="ar-SA"/>
    </w:rPr>
  </w:style>
  <w:style w:type="paragraph" w:styleId="123">
    <w:name w:val="List Paragraph"/>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124">
    <w:name w:val="Char Char2 Char Char"/>
    <w:next w:val="86"/>
    <w:qFormat/>
    <w:uiPriority w:val="0"/>
    <w:pPr>
      <w:widowControl w:val="0"/>
      <w:shd w:val="clear" w:color="000000" w:fill="000080"/>
      <w:jc w:val="both"/>
    </w:pPr>
    <w:rPr>
      <w:rFonts w:ascii="Tahoma" w:hAnsi="Times New Roman" w:eastAsia="宋体" w:cs="Times New Roman"/>
      <w:sz w:val="24"/>
      <w:lang w:val="en-US" w:eastAsia="zh-CN" w:bidi="ar-SA"/>
    </w:rPr>
  </w:style>
  <w:style w:type="paragraph" w:customStyle="1" w:styleId="125">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12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27">
    <w:name w:val="表格文字"/>
    <w:basedOn w:val="1"/>
    <w:next w:val="103"/>
    <w:qFormat/>
    <w:uiPriority w:val="0"/>
    <w:pPr>
      <w:spacing w:line="420" w:lineRule="atLeast"/>
    </w:pPr>
  </w:style>
  <w:style w:type="paragraph" w:customStyle="1" w:styleId="128">
    <w:name w:val="目录 64"/>
    <w:basedOn w:val="1"/>
    <w:next w:val="1"/>
    <w:qFormat/>
    <w:uiPriority w:val="0"/>
    <w:pPr>
      <w:ind w:left="2100"/>
    </w:pPr>
  </w:style>
  <w:style w:type="paragraph" w:customStyle="1" w:styleId="129">
    <w:name w:val="ZX-正文"/>
    <w:qFormat/>
    <w:uiPriority w:val="0"/>
    <w:pPr>
      <w:spacing w:beforeLines="50"/>
      <w:ind w:firstLine="480" w:firstLineChars="200"/>
    </w:pPr>
    <w:rPr>
      <w:rFonts w:ascii="Trebuchet MS" w:hAnsi="FuturaA Bk BT" w:eastAsia="宋体" w:cs="Times New Roman"/>
      <w:kern w:val="2"/>
      <w:sz w:val="24"/>
      <w:lang w:val="en-US" w:eastAsia="zh-CN" w:bidi="ar-SA"/>
    </w:rPr>
  </w:style>
  <w:style w:type="paragraph" w:customStyle="1" w:styleId="130">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35</Pages>
  <Words>17706</Words>
  <Characters>18764</Characters>
  <Lines>38</Lines>
  <Paragraphs>44</Paragraphs>
  <TotalTime>9</TotalTime>
  <ScaleCrop>false</ScaleCrop>
  <LinksUpToDate>false</LinksUpToDate>
  <CharactersWithSpaces>19894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2026-04-12T15:06:00Z</dcterms:created>
  <dc:creator>Feng LIU LIU</dc:creator>
  <cp:lastModifiedBy>婷婷</cp:lastModifiedBy>
  <cp:lastPrinted>2024-04-26T08:15:00Z</cp:lastPrinted>
  <dcterms:modified xsi:type="dcterms:W3CDTF">2026-04-22T09:09:33Z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SaveFontToCloudKey">
    <vt:lpwstr>361077898_cloud</vt:lpwstr>
  </property>
  <property fmtid="{D5CDD505-2E9C-101B-9397-08002B2CF9AE}" pid="4" name="ICV">
    <vt:lpwstr>5BEFB4820AF24371BADC9202E8124884_13</vt:lpwstr>
  </property>
  <property fmtid="{D5CDD505-2E9C-101B-9397-08002B2CF9AE}" pid="5" name="KSOTemplateDocerSaveRecord">
    <vt:lpwstr>eyJoZGlkIjoiYWYyYjQyMGZjOTYxMjY3MjJkM2Y4OTM3ZDNhN2EyNmUiLCJ1c2VySWQiOiIzNjIwODIzNjMifQ==</vt:lpwstr>
  </property>
</Properties>
</file>