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3B3C">
      <w:pPr>
        <w:spacing w:line="500" w:lineRule="exact"/>
        <w:jc w:val="center"/>
        <w:rPr>
          <w:b/>
          <w:color w:val="auto"/>
          <w:spacing w:val="20"/>
          <w:sz w:val="44"/>
          <w:u w:val="single"/>
        </w:rPr>
      </w:pPr>
    </w:p>
    <w:p w14:paraId="3B5CB80A">
      <w:pPr>
        <w:spacing w:line="500" w:lineRule="exact"/>
        <w:jc w:val="center"/>
        <w:rPr>
          <w:b/>
          <w:color w:val="auto"/>
          <w:spacing w:val="20"/>
          <w:sz w:val="40"/>
          <w:szCs w:val="40"/>
          <w:u w:val="single"/>
        </w:rPr>
      </w:pPr>
      <w:r>
        <w:rPr>
          <w:rFonts w:hint="eastAsia"/>
          <w:b/>
          <w:color w:val="auto"/>
          <w:spacing w:val="20"/>
          <w:sz w:val="40"/>
          <w:szCs w:val="40"/>
          <w:u w:val="single"/>
        </w:rPr>
        <w:t>唐闸原大兴面粉厂合作运营项目</w:t>
      </w:r>
    </w:p>
    <w:p w14:paraId="7D7EB34B">
      <w:pPr>
        <w:jc w:val="center"/>
        <w:rPr>
          <w:rFonts w:eastAsia="华文新魏"/>
          <w:b/>
          <w:color w:val="auto"/>
          <w:sz w:val="100"/>
          <w:szCs w:val="100"/>
        </w:rPr>
      </w:pPr>
      <w:r>
        <w:rPr>
          <w:rFonts w:hint="eastAsia" w:eastAsia="华文新魏"/>
          <w:b/>
          <w:color w:val="auto"/>
          <w:sz w:val="100"/>
          <w:szCs w:val="100"/>
        </w:rPr>
        <w:t>公开</w:t>
      </w:r>
      <w:r>
        <w:rPr>
          <w:rFonts w:eastAsia="华文新魏"/>
          <w:b/>
          <w:color w:val="auto"/>
          <w:sz w:val="100"/>
          <w:szCs w:val="100"/>
        </w:rPr>
        <w:t>招标文件</w:t>
      </w:r>
    </w:p>
    <w:p w14:paraId="509454EB">
      <w:pPr>
        <w:rPr>
          <w:color w:val="auto"/>
        </w:rPr>
      </w:pPr>
    </w:p>
    <w:p w14:paraId="18572135">
      <w:pPr>
        <w:pStyle w:val="5"/>
        <w:spacing w:line="500" w:lineRule="exact"/>
        <w:rPr>
          <w:color w:val="auto"/>
          <w:sz w:val="36"/>
          <w:szCs w:val="36"/>
        </w:rPr>
      </w:pPr>
      <w:r>
        <w:rPr>
          <w:color w:val="auto"/>
          <w:sz w:val="36"/>
          <w:szCs w:val="36"/>
        </w:rPr>
        <w:t>项目编号：</w:t>
      </w:r>
      <w:r>
        <w:rPr>
          <w:rFonts w:hint="eastAsia"/>
          <w:color w:val="auto"/>
          <w:sz w:val="36"/>
          <w:szCs w:val="36"/>
        </w:rPr>
        <w:t xml:space="preserve">ZRNT20250169   </w:t>
      </w:r>
    </w:p>
    <w:p w14:paraId="20827718">
      <w:pPr>
        <w:spacing w:line="500" w:lineRule="exact"/>
        <w:jc w:val="center"/>
        <w:rPr>
          <w:rFonts w:eastAsia="仿宋_GB2312"/>
          <w:b/>
          <w:color w:val="auto"/>
          <w:sz w:val="36"/>
        </w:rPr>
      </w:pPr>
    </w:p>
    <w:p w14:paraId="37C39589">
      <w:pPr>
        <w:spacing w:line="500" w:lineRule="exact"/>
        <w:rPr>
          <w:rFonts w:eastAsia="仿宋_GB2312"/>
          <w:b/>
          <w:color w:val="auto"/>
          <w:sz w:val="36"/>
        </w:rPr>
      </w:pPr>
    </w:p>
    <w:p w14:paraId="0A970DC5">
      <w:pPr>
        <w:spacing w:line="500" w:lineRule="exact"/>
        <w:jc w:val="center"/>
        <w:rPr>
          <w:rFonts w:eastAsia="仿宋_GB2312"/>
          <w:b/>
          <w:color w:val="auto"/>
          <w:sz w:val="36"/>
        </w:rPr>
      </w:pPr>
    </w:p>
    <w:p w14:paraId="7A529DE3">
      <w:pPr>
        <w:spacing w:line="500" w:lineRule="exact"/>
        <w:rPr>
          <w:rFonts w:eastAsia="仿宋_GB2312"/>
          <w:color w:val="auto"/>
        </w:rPr>
      </w:pPr>
      <w:r>
        <w:rPr>
          <w:rFonts w:eastAsia="仿宋_GB2312"/>
          <w:color w:val="auto"/>
        </w:rPr>
        <w:drawing>
          <wp:anchor distT="0" distB="0" distL="114300" distR="114300" simplePos="0" relativeHeight="251659264" behindDoc="0" locked="0" layoutInCell="0" allowOverlap="1">
            <wp:simplePos x="0" y="0"/>
            <wp:positionH relativeFrom="column">
              <wp:posOffset>1440180</wp:posOffset>
            </wp:positionH>
            <wp:positionV relativeFrom="paragraph">
              <wp:posOffset>1035050</wp:posOffset>
            </wp:positionV>
            <wp:extent cx="2735580" cy="2098040"/>
            <wp:effectExtent l="0" t="0" r="7620" b="1079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2735580" cy="2098040"/>
                    </a:xfrm>
                    <a:prstGeom prst="rect">
                      <a:avLst/>
                    </a:prstGeom>
                    <a:noFill/>
                    <a:ln>
                      <a:noFill/>
                    </a:ln>
                  </pic:spPr>
                </pic:pic>
              </a:graphicData>
            </a:graphic>
          </wp:anchor>
        </w:drawing>
      </w:r>
    </w:p>
    <w:p w14:paraId="32AF0094">
      <w:pPr>
        <w:spacing w:line="500" w:lineRule="exact"/>
        <w:jc w:val="center"/>
        <w:rPr>
          <w:rFonts w:eastAsia="仿宋_GB2312"/>
          <w:color w:val="auto"/>
          <w:sz w:val="32"/>
        </w:rPr>
      </w:pPr>
    </w:p>
    <w:p w14:paraId="1377DD3F">
      <w:pPr>
        <w:spacing w:line="500" w:lineRule="exact"/>
        <w:rPr>
          <w:rFonts w:eastAsia="仿宋_GB2312"/>
          <w:color w:val="auto"/>
          <w:sz w:val="32"/>
        </w:rPr>
      </w:pPr>
    </w:p>
    <w:p w14:paraId="4F33A937">
      <w:pPr>
        <w:spacing w:line="500" w:lineRule="exact"/>
        <w:jc w:val="center"/>
        <w:rPr>
          <w:rFonts w:eastAsia="仿宋_GB2312"/>
          <w:color w:val="auto"/>
          <w:sz w:val="32"/>
        </w:rPr>
      </w:pPr>
    </w:p>
    <w:p w14:paraId="03649CE8">
      <w:pPr>
        <w:spacing w:line="500" w:lineRule="exact"/>
        <w:jc w:val="center"/>
        <w:rPr>
          <w:rFonts w:eastAsia="仿宋_GB2312"/>
          <w:color w:val="auto"/>
          <w:sz w:val="32"/>
        </w:rPr>
      </w:pPr>
    </w:p>
    <w:p w14:paraId="768B659E">
      <w:pPr>
        <w:spacing w:line="500" w:lineRule="exact"/>
        <w:jc w:val="center"/>
        <w:rPr>
          <w:rFonts w:eastAsia="仿宋_GB2312"/>
          <w:color w:val="auto"/>
          <w:sz w:val="32"/>
        </w:rPr>
      </w:pPr>
    </w:p>
    <w:p w14:paraId="3110A785">
      <w:pPr>
        <w:pStyle w:val="3"/>
        <w:rPr>
          <w:color w:val="auto"/>
        </w:rPr>
      </w:pPr>
    </w:p>
    <w:p w14:paraId="1E61C80C">
      <w:pPr>
        <w:spacing w:line="560" w:lineRule="exact"/>
        <w:ind w:firstLine="1280" w:firstLineChars="400"/>
        <w:rPr>
          <w:color w:val="auto"/>
          <w:spacing w:val="20"/>
          <w:sz w:val="28"/>
          <w:szCs w:val="28"/>
        </w:rPr>
      </w:pPr>
      <w:r>
        <w:rPr>
          <w:rFonts w:hint="eastAsia"/>
          <w:color w:val="auto"/>
          <w:spacing w:val="20"/>
          <w:sz w:val="28"/>
          <w:szCs w:val="28"/>
        </w:rPr>
        <w:t>招标</w:t>
      </w:r>
      <w:r>
        <w:rPr>
          <w:color w:val="auto"/>
          <w:spacing w:val="20"/>
          <w:sz w:val="28"/>
          <w:szCs w:val="28"/>
        </w:rPr>
        <w:t>单位：</w:t>
      </w:r>
      <w:r>
        <w:rPr>
          <w:rFonts w:hint="eastAsia"/>
          <w:color w:val="auto"/>
          <w:spacing w:val="20"/>
          <w:sz w:val="28"/>
          <w:szCs w:val="28"/>
        </w:rPr>
        <w:t>南通唐闸古镇保护开发有限公司</w:t>
      </w:r>
    </w:p>
    <w:p w14:paraId="4046C33B">
      <w:pPr>
        <w:spacing w:line="560" w:lineRule="exact"/>
        <w:jc w:val="center"/>
        <w:rPr>
          <w:color w:val="auto"/>
          <w:spacing w:val="20"/>
          <w:sz w:val="28"/>
          <w:szCs w:val="28"/>
        </w:rPr>
      </w:pPr>
      <w:r>
        <w:rPr>
          <w:color w:val="auto"/>
          <w:spacing w:val="20"/>
          <w:sz w:val="28"/>
          <w:szCs w:val="28"/>
        </w:rPr>
        <w:t xml:space="preserve">日期： </w:t>
      </w:r>
      <w:r>
        <w:rPr>
          <w:color w:val="auto"/>
          <w:spacing w:val="20"/>
          <w:sz w:val="28"/>
          <w:szCs w:val="28"/>
          <w:u w:val="single"/>
        </w:rPr>
        <w:t>二〇</w:t>
      </w:r>
      <w:r>
        <w:rPr>
          <w:rFonts w:hint="eastAsia"/>
          <w:color w:val="auto"/>
          <w:spacing w:val="20"/>
          <w:sz w:val="28"/>
          <w:szCs w:val="28"/>
          <w:u w:val="single"/>
        </w:rPr>
        <w:t>二五</w:t>
      </w:r>
      <w:r>
        <w:rPr>
          <w:color w:val="auto"/>
          <w:spacing w:val="20"/>
          <w:sz w:val="28"/>
          <w:szCs w:val="28"/>
          <w:u w:val="single"/>
        </w:rPr>
        <w:t>年</w:t>
      </w:r>
      <w:r>
        <w:rPr>
          <w:rFonts w:hint="eastAsia"/>
          <w:color w:val="auto"/>
          <w:spacing w:val="20"/>
          <w:sz w:val="28"/>
          <w:szCs w:val="28"/>
          <w:u w:val="single"/>
        </w:rPr>
        <w:t>九月</w:t>
      </w:r>
      <w:r>
        <w:rPr>
          <w:rFonts w:hint="eastAsia"/>
          <w:color w:val="auto"/>
          <w:spacing w:val="20"/>
          <w:sz w:val="28"/>
          <w:szCs w:val="28"/>
          <w:u w:val="single"/>
          <w:lang w:val="en-US" w:eastAsia="zh-CN"/>
        </w:rPr>
        <w:t>三</w:t>
      </w:r>
      <w:r>
        <w:rPr>
          <w:rFonts w:hint="eastAsia"/>
          <w:color w:val="auto"/>
          <w:spacing w:val="20"/>
          <w:sz w:val="28"/>
          <w:szCs w:val="28"/>
          <w:u w:val="single"/>
          <w:lang w:eastAsia="zh-CN"/>
        </w:rPr>
        <w:t>十</w:t>
      </w:r>
      <w:r>
        <w:rPr>
          <w:color w:val="auto"/>
          <w:spacing w:val="20"/>
          <w:sz w:val="28"/>
          <w:szCs w:val="28"/>
          <w:u w:val="single"/>
        </w:rPr>
        <w:t>日</w:t>
      </w:r>
    </w:p>
    <w:p w14:paraId="10469857">
      <w:pPr>
        <w:adjustRightInd w:val="0"/>
        <w:snapToGrid w:val="0"/>
        <w:ind w:right="-601" w:rightChars="-286"/>
        <w:rPr>
          <w:snapToGrid w:val="0"/>
          <w:color w:val="auto"/>
          <w:sz w:val="26"/>
          <w:szCs w:val="28"/>
        </w:rPr>
      </w:pPr>
    </w:p>
    <w:p w14:paraId="18572C74">
      <w:pPr>
        <w:spacing w:line="500" w:lineRule="exact"/>
        <w:jc w:val="center"/>
        <w:rPr>
          <w:color w:val="auto"/>
          <w:sz w:val="44"/>
          <w:szCs w:val="44"/>
        </w:rPr>
      </w:pPr>
      <w:r>
        <w:rPr>
          <w:color w:val="auto"/>
          <w:sz w:val="44"/>
          <w:szCs w:val="44"/>
        </w:rPr>
        <w:br w:type="page"/>
      </w:r>
      <w:r>
        <w:rPr>
          <w:color w:val="auto"/>
          <w:sz w:val="44"/>
          <w:szCs w:val="44"/>
        </w:rPr>
        <w:t>目      录</w:t>
      </w:r>
    </w:p>
    <w:p w14:paraId="07ED532F">
      <w:pPr>
        <w:spacing w:line="500" w:lineRule="exact"/>
        <w:jc w:val="center"/>
        <w:rPr>
          <w:color w:val="auto"/>
          <w:sz w:val="44"/>
        </w:rPr>
      </w:pPr>
    </w:p>
    <w:p w14:paraId="2BECA189">
      <w:pPr>
        <w:tabs>
          <w:tab w:val="left" w:pos="7740"/>
        </w:tabs>
        <w:spacing w:line="500" w:lineRule="exact"/>
        <w:rPr>
          <w:color w:val="auto"/>
          <w:spacing w:val="2"/>
          <w:sz w:val="32"/>
          <w:szCs w:val="32"/>
        </w:rPr>
      </w:pPr>
      <w:r>
        <w:rPr>
          <w:bCs/>
          <w:color w:val="auto"/>
          <w:sz w:val="32"/>
          <w:szCs w:val="32"/>
        </w:rPr>
        <w:t>第一部分  招标公告</w:t>
      </w:r>
    </w:p>
    <w:p w14:paraId="535217F9">
      <w:pPr>
        <w:tabs>
          <w:tab w:val="left" w:pos="7740"/>
        </w:tabs>
        <w:spacing w:line="500" w:lineRule="exact"/>
        <w:rPr>
          <w:color w:val="auto"/>
          <w:sz w:val="32"/>
          <w:szCs w:val="32"/>
        </w:rPr>
      </w:pPr>
    </w:p>
    <w:p w14:paraId="4FD779F9">
      <w:pPr>
        <w:tabs>
          <w:tab w:val="left" w:pos="7740"/>
        </w:tabs>
        <w:spacing w:line="500" w:lineRule="exact"/>
        <w:rPr>
          <w:color w:val="auto"/>
          <w:spacing w:val="2"/>
          <w:sz w:val="32"/>
          <w:szCs w:val="32"/>
        </w:rPr>
      </w:pPr>
      <w:r>
        <w:rPr>
          <w:bCs/>
          <w:color w:val="auto"/>
          <w:sz w:val="32"/>
          <w:szCs w:val="32"/>
        </w:rPr>
        <w:t>第二部分  投标须知</w:t>
      </w:r>
    </w:p>
    <w:p w14:paraId="590E402C">
      <w:pPr>
        <w:spacing w:line="500" w:lineRule="exact"/>
        <w:rPr>
          <w:color w:val="auto"/>
          <w:sz w:val="32"/>
          <w:szCs w:val="32"/>
        </w:rPr>
      </w:pPr>
    </w:p>
    <w:p w14:paraId="237DB698">
      <w:pPr>
        <w:tabs>
          <w:tab w:val="left" w:pos="7740"/>
        </w:tabs>
        <w:spacing w:line="500" w:lineRule="exact"/>
        <w:rPr>
          <w:color w:val="auto"/>
          <w:spacing w:val="2"/>
          <w:sz w:val="32"/>
          <w:szCs w:val="32"/>
        </w:rPr>
      </w:pPr>
      <w:r>
        <w:rPr>
          <w:bCs/>
          <w:color w:val="auto"/>
          <w:sz w:val="32"/>
          <w:szCs w:val="32"/>
        </w:rPr>
        <w:t>第三部分  项目需求说明</w:t>
      </w:r>
    </w:p>
    <w:p w14:paraId="22293B29">
      <w:pPr>
        <w:pStyle w:val="9"/>
        <w:tabs>
          <w:tab w:val="left" w:pos="7740"/>
          <w:tab w:val="left" w:pos="7920"/>
        </w:tabs>
        <w:spacing w:line="500" w:lineRule="exact"/>
        <w:ind w:left="0"/>
        <w:rPr>
          <w:rFonts w:ascii="Times New Roman" w:eastAsia="宋体"/>
          <w:color w:val="auto"/>
          <w:sz w:val="32"/>
          <w:szCs w:val="32"/>
        </w:rPr>
      </w:pPr>
    </w:p>
    <w:p w14:paraId="51ED3C26">
      <w:pPr>
        <w:tabs>
          <w:tab w:val="left" w:pos="7740"/>
        </w:tabs>
        <w:spacing w:line="500" w:lineRule="exact"/>
        <w:rPr>
          <w:color w:val="auto"/>
          <w:spacing w:val="2"/>
          <w:sz w:val="32"/>
          <w:szCs w:val="32"/>
        </w:rPr>
      </w:pPr>
      <w:r>
        <w:rPr>
          <w:color w:val="auto"/>
          <w:sz w:val="32"/>
          <w:szCs w:val="32"/>
        </w:rPr>
        <w:t xml:space="preserve">第四部分  </w:t>
      </w:r>
      <w:r>
        <w:rPr>
          <w:bCs/>
          <w:color w:val="auto"/>
          <w:sz w:val="32"/>
          <w:szCs w:val="32"/>
        </w:rPr>
        <w:t>开标和评标</w:t>
      </w:r>
    </w:p>
    <w:p w14:paraId="33BAFC5B">
      <w:pPr>
        <w:spacing w:line="500" w:lineRule="exact"/>
        <w:rPr>
          <w:color w:val="auto"/>
          <w:sz w:val="32"/>
          <w:szCs w:val="32"/>
        </w:rPr>
      </w:pPr>
    </w:p>
    <w:p w14:paraId="59DE2A88">
      <w:pPr>
        <w:tabs>
          <w:tab w:val="left" w:pos="7740"/>
        </w:tabs>
        <w:spacing w:line="500" w:lineRule="exact"/>
        <w:rPr>
          <w:color w:val="auto"/>
          <w:spacing w:val="2"/>
          <w:sz w:val="32"/>
          <w:szCs w:val="32"/>
        </w:rPr>
      </w:pPr>
      <w:r>
        <w:rPr>
          <w:bCs/>
          <w:color w:val="auto"/>
          <w:sz w:val="32"/>
          <w:szCs w:val="32"/>
        </w:rPr>
        <w:t xml:space="preserve">第五部分  </w:t>
      </w:r>
      <w:r>
        <w:rPr>
          <w:rFonts w:hint="eastAsia"/>
          <w:bCs/>
          <w:color w:val="auto"/>
          <w:sz w:val="32"/>
          <w:szCs w:val="32"/>
        </w:rPr>
        <w:t>协议</w:t>
      </w:r>
      <w:r>
        <w:rPr>
          <w:bCs/>
          <w:color w:val="auto"/>
          <w:sz w:val="32"/>
          <w:szCs w:val="32"/>
        </w:rPr>
        <w:t>签订</w:t>
      </w:r>
    </w:p>
    <w:p w14:paraId="581080D5">
      <w:pPr>
        <w:spacing w:line="500" w:lineRule="exact"/>
        <w:rPr>
          <w:color w:val="auto"/>
          <w:sz w:val="32"/>
          <w:szCs w:val="32"/>
        </w:rPr>
      </w:pPr>
    </w:p>
    <w:p w14:paraId="063384DA">
      <w:pPr>
        <w:tabs>
          <w:tab w:val="left" w:pos="7740"/>
        </w:tabs>
        <w:spacing w:line="500" w:lineRule="exact"/>
        <w:rPr>
          <w:color w:val="auto"/>
          <w:spacing w:val="2"/>
          <w:sz w:val="32"/>
          <w:szCs w:val="32"/>
        </w:rPr>
      </w:pPr>
      <w:r>
        <w:rPr>
          <w:bCs/>
          <w:color w:val="auto"/>
          <w:sz w:val="32"/>
          <w:szCs w:val="32"/>
        </w:rPr>
        <w:t>第六部分  质疑提出和处理</w:t>
      </w:r>
    </w:p>
    <w:p w14:paraId="6AA12066">
      <w:pPr>
        <w:spacing w:line="500" w:lineRule="exact"/>
        <w:rPr>
          <w:color w:val="auto"/>
          <w:sz w:val="32"/>
          <w:szCs w:val="32"/>
        </w:rPr>
      </w:pPr>
    </w:p>
    <w:p w14:paraId="54250DD3">
      <w:pPr>
        <w:tabs>
          <w:tab w:val="left" w:pos="7740"/>
        </w:tabs>
        <w:spacing w:line="500" w:lineRule="exact"/>
        <w:rPr>
          <w:color w:val="auto"/>
          <w:spacing w:val="2"/>
          <w:sz w:val="32"/>
          <w:szCs w:val="32"/>
        </w:rPr>
      </w:pPr>
      <w:r>
        <w:rPr>
          <w:bCs/>
          <w:color w:val="auto"/>
          <w:sz w:val="32"/>
          <w:szCs w:val="32"/>
        </w:rPr>
        <w:t>第七部分  投标文件组成</w:t>
      </w:r>
    </w:p>
    <w:p w14:paraId="290F0A42">
      <w:pPr>
        <w:spacing w:line="500" w:lineRule="exact"/>
        <w:rPr>
          <w:rFonts w:eastAsia="楷体_GB2312"/>
          <w:b/>
          <w:color w:val="auto"/>
          <w:sz w:val="32"/>
          <w:szCs w:val="32"/>
        </w:rPr>
      </w:pPr>
    </w:p>
    <w:p w14:paraId="03E1FF3F">
      <w:pPr>
        <w:tabs>
          <w:tab w:val="left" w:pos="7740"/>
        </w:tabs>
        <w:spacing w:line="500" w:lineRule="exact"/>
        <w:rPr>
          <w:rFonts w:eastAsia="楷体_GB2312"/>
          <w:b/>
          <w:color w:val="auto"/>
          <w:spacing w:val="2"/>
          <w:sz w:val="32"/>
          <w:szCs w:val="32"/>
        </w:rPr>
      </w:pPr>
    </w:p>
    <w:p w14:paraId="0442308E">
      <w:pPr>
        <w:tabs>
          <w:tab w:val="left" w:pos="7740"/>
        </w:tabs>
        <w:spacing w:line="500" w:lineRule="exact"/>
        <w:rPr>
          <w:rFonts w:eastAsia="楷体_GB2312"/>
          <w:b/>
          <w:color w:val="auto"/>
          <w:spacing w:val="2"/>
          <w:sz w:val="32"/>
          <w:szCs w:val="32"/>
        </w:rPr>
      </w:pPr>
    </w:p>
    <w:p w14:paraId="42CA09C4">
      <w:pPr>
        <w:tabs>
          <w:tab w:val="left" w:pos="7740"/>
        </w:tabs>
        <w:spacing w:line="500" w:lineRule="exact"/>
        <w:rPr>
          <w:rFonts w:eastAsia="楷体_GB2312"/>
          <w:b/>
          <w:bCs/>
          <w:color w:val="auto"/>
          <w:sz w:val="32"/>
          <w:szCs w:val="32"/>
        </w:rPr>
      </w:pPr>
    </w:p>
    <w:p w14:paraId="2913663E">
      <w:pPr>
        <w:spacing w:line="500" w:lineRule="exact"/>
        <w:outlineLvl w:val="0"/>
        <w:rPr>
          <w:rFonts w:eastAsia="楷体_GB2312"/>
          <w:b/>
          <w:color w:val="auto"/>
          <w:sz w:val="44"/>
          <w:szCs w:val="44"/>
        </w:rPr>
      </w:pPr>
    </w:p>
    <w:p w14:paraId="3A323056">
      <w:pPr>
        <w:spacing w:line="500" w:lineRule="exact"/>
        <w:outlineLvl w:val="0"/>
        <w:rPr>
          <w:rFonts w:eastAsia="仿宋_GB2312"/>
          <w:color w:val="auto"/>
          <w:sz w:val="44"/>
          <w:szCs w:val="44"/>
        </w:rPr>
      </w:pPr>
    </w:p>
    <w:p w14:paraId="00CA461E">
      <w:pPr>
        <w:spacing w:line="500" w:lineRule="exact"/>
        <w:outlineLvl w:val="0"/>
        <w:rPr>
          <w:rFonts w:eastAsia="仿宋_GB2312"/>
          <w:color w:val="auto"/>
          <w:sz w:val="44"/>
          <w:szCs w:val="44"/>
        </w:rPr>
      </w:pPr>
    </w:p>
    <w:p w14:paraId="53AB11CC">
      <w:pPr>
        <w:spacing w:line="500" w:lineRule="exact"/>
        <w:outlineLvl w:val="0"/>
        <w:rPr>
          <w:rFonts w:eastAsia="仿宋_GB2312"/>
          <w:color w:val="auto"/>
          <w:sz w:val="44"/>
          <w:szCs w:val="44"/>
        </w:rPr>
      </w:pPr>
    </w:p>
    <w:p w14:paraId="7FCF1A75">
      <w:pPr>
        <w:spacing w:line="500" w:lineRule="exact"/>
        <w:outlineLvl w:val="0"/>
        <w:rPr>
          <w:rFonts w:eastAsia="仿宋_GB2312"/>
          <w:color w:val="auto"/>
          <w:sz w:val="44"/>
          <w:szCs w:val="44"/>
        </w:rPr>
      </w:pPr>
    </w:p>
    <w:p w14:paraId="4066746A">
      <w:pPr>
        <w:spacing w:line="500" w:lineRule="exact"/>
        <w:outlineLvl w:val="0"/>
        <w:rPr>
          <w:rFonts w:eastAsia="仿宋_GB2312"/>
          <w:color w:val="auto"/>
          <w:sz w:val="44"/>
          <w:szCs w:val="44"/>
        </w:rPr>
      </w:pPr>
    </w:p>
    <w:p w14:paraId="053F43C2">
      <w:pPr>
        <w:spacing w:line="500" w:lineRule="exact"/>
        <w:outlineLvl w:val="0"/>
        <w:rPr>
          <w:rFonts w:eastAsia="仿宋_GB2312"/>
          <w:color w:val="auto"/>
          <w:sz w:val="44"/>
          <w:szCs w:val="44"/>
        </w:rPr>
      </w:pPr>
    </w:p>
    <w:p w14:paraId="5F4B1F89">
      <w:pPr>
        <w:snapToGrid w:val="0"/>
        <w:spacing w:line="300" w:lineRule="auto"/>
        <w:jc w:val="center"/>
        <w:outlineLvl w:val="0"/>
        <w:rPr>
          <w:b/>
          <w:color w:val="auto"/>
          <w:sz w:val="36"/>
          <w:szCs w:val="36"/>
        </w:rPr>
      </w:pPr>
      <w:r>
        <w:rPr>
          <w:b/>
          <w:color w:val="auto"/>
          <w:sz w:val="36"/>
          <w:szCs w:val="36"/>
        </w:rPr>
        <w:br w:type="page"/>
      </w:r>
      <w:r>
        <w:rPr>
          <w:b/>
          <w:color w:val="auto"/>
          <w:sz w:val="36"/>
          <w:szCs w:val="36"/>
        </w:rPr>
        <w:t xml:space="preserve">第一部分  </w:t>
      </w:r>
      <w:bookmarkStart w:id="0" w:name="OLE_LINK5"/>
      <w:bookmarkStart w:id="1" w:name="OLE_LINK7"/>
      <w:r>
        <w:rPr>
          <w:b/>
          <w:color w:val="auto"/>
          <w:sz w:val="36"/>
          <w:szCs w:val="36"/>
        </w:rPr>
        <w:t>招标公告</w:t>
      </w:r>
    </w:p>
    <w:bookmarkEnd w:id="0"/>
    <w:bookmarkEnd w:id="1"/>
    <w:p w14:paraId="07E55E45">
      <w:pPr>
        <w:snapToGrid w:val="0"/>
        <w:spacing w:line="460" w:lineRule="exact"/>
        <w:ind w:firstLine="480" w:firstLineChars="200"/>
        <w:rPr>
          <w:color w:val="auto"/>
          <w:sz w:val="24"/>
        </w:rPr>
      </w:pPr>
      <w:r>
        <w:rPr>
          <w:bCs/>
          <w:color w:val="auto"/>
          <w:sz w:val="24"/>
        </w:rPr>
        <w:t>项目概况：</w:t>
      </w:r>
      <w:r>
        <w:rPr>
          <w:rFonts w:hint="eastAsia"/>
          <w:bCs/>
          <w:color w:val="auto"/>
          <w:sz w:val="24"/>
          <w:u w:val="single"/>
        </w:rPr>
        <w:t>唐闸原大兴面粉厂合作运营项目</w:t>
      </w:r>
      <w:r>
        <w:rPr>
          <w:color w:val="auto"/>
          <w:sz w:val="24"/>
        </w:rPr>
        <w:t>招标的潜在投标人应在</w:t>
      </w:r>
      <w:r>
        <w:rPr>
          <w:color w:val="auto"/>
          <w:sz w:val="24"/>
          <w:u w:val="single"/>
        </w:rPr>
        <w:t>南通市崇川区人民政府网</w:t>
      </w:r>
      <w:r>
        <w:rPr>
          <w:color w:val="auto"/>
          <w:sz w:val="24"/>
        </w:rPr>
        <w:t>获取招标文件，并于</w:t>
      </w:r>
      <w:r>
        <w:rPr>
          <w:color w:val="auto"/>
          <w:sz w:val="24"/>
          <w:u w:val="single"/>
        </w:rPr>
        <w:t>20</w:t>
      </w:r>
      <w:r>
        <w:rPr>
          <w:rFonts w:hint="eastAsia"/>
          <w:color w:val="auto"/>
          <w:sz w:val="24"/>
          <w:u w:val="single"/>
        </w:rPr>
        <w:t>25</w:t>
      </w:r>
      <w:r>
        <w:rPr>
          <w:color w:val="auto"/>
          <w:sz w:val="24"/>
          <w:u w:val="single"/>
        </w:rPr>
        <w:t>年</w:t>
      </w:r>
      <w:r>
        <w:rPr>
          <w:rFonts w:hint="eastAsia"/>
          <w:color w:val="auto"/>
          <w:sz w:val="24"/>
          <w:u w:val="single"/>
          <w:lang w:val="en-US" w:eastAsia="zh-CN"/>
        </w:rPr>
        <w:t>10</w:t>
      </w:r>
      <w:r>
        <w:rPr>
          <w:color w:val="auto"/>
          <w:sz w:val="24"/>
          <w:u w:val="single"/>
        </w:rPr>
        <w:t>月</w:t>
      </w:r>
      <w:r>
        <w:rPr>
          <w:rFonts w:hint="eastAsia"/>
          <w:color w:val="auto"/>
          <w:sz w:val="24"/>
          <w:u w:val="single"/>
          <w:lang w:val="en-US" w:eastAsia="zh-CN"/>
        </w:rPr>
        <w:t>21</w:t>
      </w:r>
      <w:r>
        <w:rPr>
          <w:color w:val="auto"/>
          <w:sz w:val="24"/>
          <w:u w:val="single"/>
        </w:rPr>
        <w:t>日</w:t>
      </w:r>
      <w:r>
        <w:rPr>
          <w:rFonts w:hint="eastAsia"/>
          <w:color w:val="auto"/>
          <w:sz w:val="24"/>
          <w:u w:val="single"/>
        </w:rPr>
        <w:t>10</w:t>
      </w:r>
      <w:r>
        <w:rPr>
          <w:color w:val="auto"/>
          <w:sz w:val="24"/>
          <w:u w:val="single"/>
        </w:rPr>
        <w:t>点</w:t>
      </w:r>
      <w:r>
        <w:rPr>
          <w:rFonts w:hint="eastAsia"/>
          <w:color w:val="auto"/>
          <w:sz w:val="24"/>
          <w:u w:val="single"/>
        </w:rPr>
        <w:t>00</w:t>
      </w:r>
      <w:r>
        <w:rPr>
          <w:color w:val="auto"/>
          <w:sz w:val="24"/>
          <w:u w:val="single"/>
        </w:rPr>
        <w:t>分</w:t>
      </w:r>
      <w:r>
        <w:rPr>
          <w:color w:val="auto"/>
          <w:sz w:val="24"/>
        </w:rPr>
        <w:t>（北京时间）前递交投标文件。</w:t>
      </w:r>
    </w:p>
    <w:p w14:paraId="4337FB80">
      <w:pPr>
        <w:snapToGrid w:val="0"/>
        <w:spacing w:line="460" w:lineRule="exact"/>
        <w:ind w:firstLine="480" w:firstLineChars="200"/>
        <w:rPr>
          <w:b/>
          <w:color w:val="auto"/>
          <w:sz w:val="24"/>
        </w:rPr>
      </w:pPr>
      <w:r>
        <w:rPr>
          <w:color w:val="auto"/>
          <w:sz w:val="24"/>
        </w:rPr>
        <w:t> </w:t>
      </w:r>
      <w:r>
        <w:rPr>
          <w:b/>
          <w:color w:val="auto"/>
          <w:sz w:val="24"/>
        </w:rPr>
        <w:t xml:space="preserve"> 一、项目基本情况</w:t>
      </w:r>
    </w:p>
    <w:p w14:paraId="29205E86">
      <w:pPr>
        <w:snapToGrid w:val="0"/>
        <w:spacing w:line="460" w:lineRule="exact"/>
        <w:ind w:firstLine="480" w:firstLineChars="200"/>
        <w:rPr>
          <w:color w:val="auto"/>
          <w:sz w:val="24"/>
        </w:rPr>
      </w:pPr>
      <w:r>
        <w:rPr>
          <w:color w:val="auto"/>
          <w:sz w:val="24"/>
        </w:rPr>
        <w:t>项目编号：</w:t>
      </w:r>
      <w:r>
        <w:rPr>
          <w:rFonts w:hint="eastAsia"/>
          <w:color w:val="auto"/>
          <w:sz w:val="24"/>
        </w:rPr>
        <w:t xml:space="preserve">ZRNT20250169  </w:t>
      </w:r>
    </w:p>
    <w:p w14:paraId="49951F71">
      <w:pPr>
        <w:snapToGrid w:val="0"/>
        <w:spacing w:line="460" w:lineRule="exact"/>
        <w:ind w:firstLine="480" w:firstLineChars="200"/>
        <w:rPr>
          <w:color w:val="auto"/>
          <w:sz w:val="24"/>
        </w:rPr>
      </w:pPr>
      <w:r>
        <w:rPr>
          <w:color w:val="auto"/>
          <w:sz w:val="24"/>
        </w:rPr>
        <w:t>项目名称：</w:t>
      </w:r>
      <w:r>
        <w:rPr>
          <w:rFonts w:hint="eastAsia"/>
          <w:color w:val="auto"/>
          <w:sz w:val="24"/>
        </w:rPr>
        <w:t>唐闸原大兴面粉厂合作运营项目</w:t>
      </w:r>
    </w:p>
    <w:p w14:paraId="67035469">
      <w:pPr>
        <w:snapToGrid w:val="0"/>
        <w:spacing w:line="460" w:lineRule="exact"/>
        <w:ind w:firstLine="480" w:firstLineChars="200"/>
        <w:rPr>
          <w:color w:val="auto"/>
          <w:sz w:val="24"/>
        </w:rPr>
      </w:pPr>
      <w:r>
        <w:rPr>
          <w:rFonts w:hint="eastAsia"/>
          <w:color w:val="auto"/>
          <w:sz w:val="24"/>
        </w:rPr>
        <w:t>招标控制价</w:t>
      </w:r>
      <w:r>
        <w:rPr>
          <w:color w:val="auto"/>
          <w:sz w:val="24"/>
        </w:rPr>
        <w:t>：</w:t>
      </w:r>
      <w:r>
        <w:rPr>
          <w:rFonts w:hint="eastAsia"/>
          <w:color w:val="auto"/>
          <w:sz w:val="24"/>
        </w:rPr>
        <w:t>前五年修缮培育期的租金为不低于90万元/年，第6~8年租金不低于95万元/年，第9~12年租金不低于100万元/年，第13~15年租金不低于105万元/年。投标报价低于对应的招标控制价的作无效标处理。</w:t>
      </w:r>
    </w:p>
    <w:p w14:paraId="4587E7A8">
      <w:pPr>
        <w:snapToGrid w:val="0"/>
        <w:spacing w:line="400" w:lineRule="exact"/>
        <w:ind w:firstLine="482" w:firstLineChars="200"/>
        <w:contextualSpacing/>
        <w:rPr>
          <w:b/>
          <w:bCs/>
          <w:color w:val="auto"/>
          <w:sz w:val="24"/>
        </w:rPr>
      </w:pPr>
      <w:r>
        <w:rPr>
          <w:rFonts w:hint="eastAsia"/>
          <w:b/>
          <w:bCs/>
          <w:color w:val="auto"/>
          <w:sz w:val="24"/>
        </w:rPr>
        <w:t>注</w:t>
      </w:r>
      <w:r>
        <w:rPr>
          <w:rFonts w:hint="eastAsia"/>
          <w:b/>
          <w:bCs/>
          <w:color w:val="auto"/>
          <w:sz w:val="24"/>
          <w:lang w:eastAsia="zh-CN"/>
        </w:rPr>
        <w:t>：</w:t>
      </w:r>
      <w:r>
        <w:rPr>
          <w:rFonts w:hint="eastAsia"/>
          <w:b/>
          <w:bCs/>
          <w:color w:val="auto"/>
          <w:sz w:val="24"/>
        </w:rPr>
        <w:t>前五年修缮培育期改造投资金额为1000万元。投标人须固定报价。</w:t>
      </w:r>
    </w:p>
    <w:p w14:paraId="4E9879CB">
      <w:pPr>
        <w:snapToGrid w:val="0"/>
        <w:spacing w:line="460" w:lineRule="exact"/>
        <w:ind w:firstLine="480" w:firstLineChars="200"/>
        <w:rPr>
          <w:color w:val="auto"/>
          <w:sz w:val="24"/>
        </w:rPr>
      </w:pPr>
      <w:r>
        <w:rPr>
          <w:color w:val="auto"/>
          <w:sz w:val="24"/>
        </w:rPr>
        <w:t>采购需求：详见</w:t>
      </w:r>
      <w:r>
        <w:rPr>
          <w:color w:val="auto"/>
          <w:spacing w:val="7"/>
          <w:kern w:val="0"/>
          <w:sz w:val="24"/>
        </w:rPr>
        <w:t>第三部分</w:t>
      </w:r>
      <w:r>
        <w:rPr>
          <w:color w:val="auto"/>
          <w:sz w:val="24"/>
        </w:rPr>
        <w:t>项目需求。</w:t>
      </w:r>
    </w:p>
    <w:p w14:paraId="4B602F02">
      <w:pPr>
        <w:snapToGrid w:val="0"/>
        <w:spacing w:line="460" w:lineRule="exact"/>
        <w:ind w:firstLine="508" w:firstLineChars="200"/>
        <w:rPr>
          <w:color w:val="auto"/>
          <w:spacing w:val="7"/>
          <w:kern w:val="0"/>
          <w:sz w:val="24"/>
        </w:rPr>
      </w:pPr>
      <w:r>
        <w:rPr>
          <w:rFonts w:hint="eastAsia"/>
          <w:color w:val="auto"/>
          <w:spacing w:val="7"/>
          <w:kern w:val="0"/>
          <w:sz w:val="24"/>
        </w:rPr>
        <w:t>协议</w:t>
      </w:r>
      <w:r>
        <w:rPr>
          <w:color w:val="auto"/>
          <w:spacing w:val="7"/>
          <w:kern w:val="0"/>
          <w:sz w:val="24"/>
        </w:rPr>
        <w:t>履行期限：</w:t>
      </w:r>
      <w:r>
        <w:rPr>
          <w:rFonts w:hint="eastAsia"/>
          <w:color w:val="auto"/>
          <w:spacing w:val="7"/>
          <w:kern w:val="0"/>
          <w:sz w:val="24"/>
        </w:rPr>
        <w:t>合作期限为15年。具体划分为：前5年为修缮培育期，后10年为运营期。</w:t>
      </w:r>
    </w:p>
    <w:p w14:paraId="72C481B3">
      <w:pPr>
        <w:snapToGrid w:val="0"/>
        <w:spacing w:line="460" w:lineRule="exact"/>
        <w:ind w:firstLine="480" w:firstLineChars="200"/>
        <w:rPr>
          <w:color w:val="auto"/>
          <w:sz w:val="24"/>
        </w:rPr>
      </w:pPr>
      <w:r>
        <w:rPr>
          <w:color w:val="auto"/>
          <w:sz w:val="24"/>
        </w:rPr>
        <w:t>本项目不接受联合体投标。</w:t>
      </w:r>
    </w:p>
    <w:p w14:paraId="50A0CC5E">
      <w:pPr>
        <w:snapToGrid w:val="0"/>
        <w:spacing w:line="460" w:lineRule="exact"/>
        <w:ind w:firstLine="482" w:firstLineChars="200"/>
        <w:rPr>
          <w:b/>
          <w:color w:val="auto"/>
          <w:sz w:val="24"/>
        </w:rPr>
      </w:pPr>
      <w:r>
        <w:rPr>
          <w:b/>
          <w:color w:val="auto"/>
          <w:sz w:val="24"/>
        </w:rPr>
        <w:t>二、申请人的资格要求</w:t>
      </w:r>
    </w:p>
    <w:p w14:paraId="375FDFAB">
      <w:pPr>
        <w:snapToGrid w:val="0"/>
        <w:spacing w:line="460" w:lineRule="exact"/>
        <w:ind w:firstLine="480" w:firstLineChars="200"/>
        <w:rPr>
          <w:color w:val="auto"/>
          <w:sz w:val="24"/>
        </w:rPr>
      </w:pPr>
      <w:r>
        <w:rPr>
          <w:color w:val="auto"/>
          <w:sz w:val="24"/>
        </w:rPr>
        <w:t>1.投标人须为在中华人民共和国境内注册，具有独立承担民事责任能力的主体；具有良好的商业信誉和健全的财务会计制度；具有履行</w:t>
      </w:r>
      <w:r>
        <w:rPr>
          <w:rFonts w:hint="eastAsia"/>
          <w:color w:val="auto"/>
          <w:sz w:val="24"/>
        </w:rPr>
        <w:t>协议</w:t>
      </w:r>
      <w:r>
        <w:rPr>
          <w:color w:val="auto"/>
          <w:sz w:val="24"/>
        </w:rPr>
        <w:t>所必需的设备和专业技术能力；有依法缴纳税收和社会保障资金的良好记录；参加</w:t>
      </w:r>
      <w:r>
        <w:rPr>
          <w:rFonts w:hint="eastAsia"/>
          <w:color w:val="auto"/>
          <w:sz w:val="24"/>
        </w:rPr>
        <w:t>招标</w:t>
      </w:r>
      <w:r>
        <w:rPr>
          <w:color w:val="auto"/>
          <w:sz w:val="24"/>
        </w:rPr>
        <w:t>活动前三年内，在经营活动中没有重大违法记录</w:t>
      </w:r>
      <w:r>
        <w:rPr>
          <w:rFonts w:hint="eastAsia"/>
          <w:color w:val="auto"/>
          <w:sz w:val="24"/>
        </w:rPr>
        <w:t>。</w:t>
      </w:r>
    </w:p>
    <w:p w14:paraId="602FEC94">
      <w:pPr>
        <w:snapToGrid w:val="0"/>
        <w:spacing w:line="460" w:lineRule="exact"/>
        <w:ind w:firstLine="480" w:firstLineChars="200"/>
        <w:rPr>
          <w:color w:val="auto"/>
          <w:sz w:val="24"/>
        </w:rPr>
      </w:pPr>
      <w:r>
        <w:rPr>
          <w:rFonts w:hint="eastAsia"/>
          <w:color w:val="auto"/>
          <w:sz w:val="24"/>
        </w:rPr>
        <w:t>2.未被“信用中国”网站（www.creditchina.gov.cn）、“中国政府采购网”（www.ccgp.gov.cn）列入失信被执行人、重大税收违法案件当事人名单、政府采购严重违法失信行为记录名单。</w:t>
      </w:r>
    </w:p>
    <w:p w14:paraId="22FE051D">
      <w:pPr>
        <w:snapToGrid w:val="0"/>
        <w:spacing w:line="460" w:lineRule="exact"/>
        <w:ind w:firstLine="480" w:firstLineChars="200"/>
        <w:rPr>
          <w:color w:val="auto"/>
          <w:sz w:val="24"/>
        </w:rPr>
      </w:pPr>
      <w:r>
        <w:rPr>
          <w:color w:val="auto"/>
          <w:sz w:val="24"/>
        </w:rPr>
        <w:t>3.本项目的特定资格要求：</w:t>
      </w:r>
      <w:r>
        <w:rPr>
          <w:rFonts w:hint="eastAsia"/>
          <w:color w:val="auto"/>
          <w:sz w:val="24"/>
        </w:rPr>
        <w:t>无。</w:t>
      </w:r>
    </w:p>
    <w:p w14:paraId="2E00E6C8">
      <w:pPr>
        <w:snapToGrid w:val="0"/>
        <w:spacing w:line="460" w:lineRule="exact"/>
        <w:ind w:firstLine="482" w:firstLineChars="200"/>
        <w:rPr>
          <w:b/>
          <w:color w:val="auto"/>
          <w:sz w:val="24"/>
        </w:rPr>
      </w:pPr>
      <w:r>
        <w:rPr>
          <w:b/>
          <w:color w:val="auto"/>
          <w:sz w:val="24"/>
        </w:rPr>
        <w:t>三、</w:t>
      </w:r>
      <w:r>
        <w:rPr>
          <w:rFonts w:hint="eastAsia"/>
          <w:b/>
          <w:color w:val="auto"/>
          <w:sz w:val="24"/>
        </w:rPr>
        <w:t>报名响应</w:t>
      </w:r>
    </w:p>
    <w:p w14:paraId="4BD84DBB">
      <w:pPr>
        <w:snapToGrid w:val="0"/>
        <w:spacing w:line="460" w:lineRule="exact"/>
        <w:ind w:firstLine="480" w:firstLineChars="200"/>
        <w:rPr>
          <w:color w:val="auto"/>
          <w:sz w:val="24"/>
        </w:rPr>
      </w:pPr>
      <w:r>
        <w:rPr>
          <w:color w:val="auto"/>
          <w:sz w:val="24"/>
        </w:rPr>
        <w:t>时间：</w:t>
      </w:r>
      <w:r>
        <w:rPr>
          <w:color w:val="auto"/>
          <w:sz w:val="24"/>
          <w:u w:val="single"/>
        </w:rPr>
        <w:t>20</w:t>
      </w:r>
      <w:r>
        <w:rPr>
          <w:rFonts w:hint="eastAsia"/>
          <w:color w:val="auto"/>
          <w:sz w:val="24"/>
          <w:u w:val="single"/>
        </w:rPr>
        <w:t>25</w:t>
      </w:r>
      <w:r>
        <w:rPr>
          <w:color w:val="auto"/>
          <w:sz w:val="24"/>
          <w:u w:val="single"/>
        </w:rPr>
        <w:t>年</w:t>
      </w:r>
      <w:r>
        <w:rPr>
          <w:rFonts w:hint="eastAsia"/>
          <w:color w:val="auto"/>
          <w:sz w:val="24"/>
          <w:u w:val="single"/>
          <w:lang w:val="en-US" w:eastAsia="zh-CN"/>
        </w:rPr>
        <w:t>9</w:t>
      </w:r>
      <w:r>
        <w:rPr>
          <w:color w:val="auto"/>
          <w:sz w:val="24"/>
          <w:u w:val="single"/>
        </w:rPr>
        <w:t>月</w:t>
      </w:r>
      <w:r>
        <w:rPr>
          <w:rFonts w:hint="eastAsia"/>
          <w:color w:val="auto"/>
          <w:sz w:val="24"/>
          <w:u w:val="single"/>
          <w:lang w:val="en-US" w:eastAsia="zh-CN"/>
        </w:rPr>
        <w:t>30</w:t>
      </w:r>
      <w:r>
        <w:rPr>
          <w:color w:val="auto"/>
          <w:sz w:val="24"/>
          <w:u w:val="single"/>
        </w:rPr>
        <w:t>日</w:t>
      </w:r>
      <w:r>
        <w:rPr>
          <w:color w:val="auto"/>
          <w:sz w:val="24"/>
        </w:rPr>
        <w:t>至</w:t>
      </w:r>
      <w:r>
        <w:rPr>
          <w:color w:val="auto"/>
          <w:sz w:val="24"/>
          <w:u w:val="single"/>
        </w:rPr>
        <w:t>20</w:t>
      </w:r>
      <w:r>
        <w:rPr>
          <w:rFonts w:hint="eastAsia"/>
          <w:color w:val="auto"/>
          <w:sz w:val="24"/>
          <w:u w:val="single"/>
        </w:rPr>
        <w:t>25</w:t>
      </w:r>
      <w:r>
        <w:rPr>
          <w:color w:val="auto"/>
          <w:sz w:val="24"/>
          <w:u w:val="single"/>
        </w:rPr>
        <w:t>年</w:t>
      </w:r>
      <w:r>
        <w:rPr>
          <w:rFonts w:hint="eastAsia"/>
          <w:color w:val="auto"/>
          <w:sz w:val="24"/>
          <w:u w:val="single"/>
          <w:lang w:val="en-US" w:eastAsia="zh-CN"/>
        </w:rPr>
        <w:t>10</w:t>
      </w:r>
      <w:r>
        <w:rPr>
          <w:color w:val="auto"/>
          <w:sz w:val="24"/>
          <w:u w:val="single"/>
        </w:rPr>
        <w:t>月</w:t>
      </w:r>
      <w:r>
        <w:rPr>
          <w:rFonts w:hint="eastAsia"/>
          <w:color w:val="auto"/>
          <w:sz w:val="24"/>
          <w:u w:val="single"/>
          <w:lang w:val="en-US" w:eastAsia="zh-CN"/>
        </w:rPr>
        <w:t>15</w:t>
      </w:r>
      <w:r>
        <w:rPr>
          <w:color w:val="auto"/>
          <w:sz w:val="24"/>
          <w:u w:val="single"/>
        </w:rPr>
        <w:t>日</w:t>
      </w:r>
      <w:r>
        <w:rPr>
          <w:rFonts w:hint="eastAsia"/>
          <w:color w:val="auto"/>
          <w:sz w:val="24"/>
          <w:u w:val="single"/>
        </w:rPr>
        <w:t>17:00</w:t>
      </w:r>
    </w:p>
    <w:p w14:paraId="5193E38B">
      <w:pPr>
        <w:snapToGrid w:val="0"/>
        <w:spacing w:line="460" w:lineRule="exact"/>
        <w:ind w:firstLine="480" w:firstLineChars="200"/>
        <w:rPr>
          <w:color w:val="auto"/>
          <w:sz w:val="24"/>
        </w:rPr>
      </w:pPr>
      <w:r>
        <w:rPr>
          <w:color w:val="auto"/>
          <w:sz w:val="24"/>
        </w:rPr>
        <w:t>地点：</w:t>
      </w:r>
      <w:r>
        <w:rPr>
          <w:rFonts w:hint="eastAsia"/>
          <w:color w:val="auto"/>
          <w:sz w:val="24"/>
        </w:rPr>
        <w:t>南通市崇川区崇川路58号南通市产业技术研究</w:t>
      </w:r>
      <w:r>
        <w:rPr>
          <w:rFonts w:hint="eastAsia"/>
          <w:color w:val="auto"/>
          <w:sz w:val="24"/>
          <w:lang w:val="en-US" w:eastAsia="zh-CN"/>
        </w:rPr>
        <w:t>院</w:t>
      </w:r>
      <w:r>
        <w:rPr>
          <w:rFonts w:hint="eastAsia"/>
          <w:color w:val="auto"/>
          <w:sz w:val="24"/>
        </w:rPr>
        <w:t>9号楼1004</w:t>
      </w:r>
    </w:p>
    <w:p w14:paraId="124E9828">
      <w:pPr>
        <w:snapToGrid w:val="0"/>
        <w:spacing w:line="460" w:lineRule="exact"/>
        <w:ind w:firstLine="480" w:firstLineChars="200"/>
        <w:rPr>
          <w:color w:val="auto"/>
          <w:sz w:val="24"/>
        </w:rPr>
      </w:pPr>
      <w:r>
        <w:rPr>
          <w:color w:val="auto"/>
          <w:sz w:val="24"/>
        </w:rPr>
        <w:t>方式：</w:t>
      </w:r>
      <w:r>
        <w:rPr>
          <w:rFonts w:hint="eastAsia"/>
          <w:color w:val="auto"/>
          <w:sz w:val="24"/>
        </w:rPr>
        <w:t>提供营业执照副本复印件加盖公章和授权委托书，与代理机构联系办理投标报名事项。联系方式：1</w:t>
      </w:r>
      <w:r>
        <w:rPr>
          <w:rFonts w:hint="eastAsia"/>
          <w:color w:val="auto"/>
          <w:sz w:val="24"/>
          <w:lang w:val="en-US" w:eastAsia="zh-CN"/>
        </w:rPr>
        <w:t>5006287999（微信同号）</w:t>
      </w:r>
      <w:r>
        <w:rPr>
          <w:rFonts w:hint="eastAsia"/>
          <w:color w:val="auto"/>
          <w:sz w:val="24"/>
        </w:rPr>
        <w:t>。</w:t>
      </w:r>
      <w:r>
        <w:rPr>
          <w:rFonts w:hint="eastAsia"/>
          <w:b/>
          <w:bCs/>
          <w:i/>
          <w:iCs/>
          <w:color w:val="auto"/>
          <w:sz w:val="24"/>
        </w:rPr>
        <w:t>投标人在招标文件约定时间内办理投标报名手续的，方可参加本项目投标文件。</w:t>
      </w:r>
    </w:p>
    <w:p w14:paraId="60E9B3B3">
      <w:pPr>
        <w:snapToGrid w:val="0"/>
        <w:spacing w:line="460" w:lineRule="exact"/>
        <w:ind w:firstLine="482" w:firstLineChars="200"/>
        <w:rPr>
          <w:b/>
          <w:color w:val="auto"/>
          <w:sz w:val="24"/>
        </w:rPr>
      </w:pPr>
      <w:r>
        <w:rPr>
          <w:b/>
          <w:color w:val="auto"/>
          <w:sz w:val="24"/>
        </w:rPr>
        <w:t>四、提交投标文件截止时间、开标时间和地点</w:t>
      </w:r>
    </w:p>
    <w:p w14:paraId="7D090853">
      <w:pPr>
        <w:snapToGrid w:val="0"/>
        <w:spacing w:line="460" w:lineRule="exact"/>
        <w:ind w:firstLine="480" w:firstLineChars="200"/>
        <w:rPr>
          <w:color w:val="auto"/>
          <w:sz w:val="24"/>
        </w:rPr>
      </w:pPr>
      <w:r>
        <w:rPr>
          <w:color w:val="auto"/>
          <w:sz w:val="24"/>
          <w:u w:val="single"/>
        </w:rPr>
        <w:t>20</w:t>
      </w:r>
      <w:r>
        <w:rPr>
          <w:rFonts w:hint="eastAsia"/>
          <w:color w:val="auto"/>
          <w:sz w:val="24"/>
          <w:u w:val="single"/>
        </w:rPr>
        <w:t>25</w:t>
      </w:r>
      <w:r>
        <w:rPr>
          <w:color w:val="auto"/>
          <w:sz w:val="24"/>
          <w:u w:val="single"/>
        </w:rPr>
        <w:t>年</w:t>
      </w:r>
      <w:r>
        <w:rPr>
          <w:rFonts w:hint="eastAsia"/>
          <w:color w:val="auto"/>
          <w:sz w:val="24"/>
          <w:u w:val="single"/>
          <w:lang w:val="en-US" w:eastAsia="zh-CN"/>
        </w:rPr>
        <w:t>10</w:t>
      </w:r>
      <w:r>
        <w:rPr>
          <w:color w:val="auto"/>
          <w:sz w:val="24"/>
          <w:u w:val="single"/>
        </w:rPr>
        <w:t>月</w:t>
      </w:r>
      <w:r>
        <w:rPr>
          <w:rFonts w:hint="eastAsia"/>
          <w:color w:val="auto"/>
          <w:sz w:val="24"/>
          <w:u w:val="single"/>
          <w:lang w:val="en-US" w:eastAsia="zh-CN"/>
        </w:rPr>
        <w:t>21</w:t>
      </w:r>
      <w:r>
        <w:rPr>
          <w:color w:val="auto"/>
          <w:sz w:val="24"/>
          <w:u w:val="single"/>
        </w:rPr>
        <w:t>日</w:t>
      </w:r>
      <w:r>
        <w:rPr>
          <w:rFonts w:hint="eastAsia"/>
          <w:color w:val="auto"/>
          <w:sz w:val="24"/>
          <w:u w:val="single"/>
        </w:rPr>
        <w:t>10</w:t>
      </w:r>
      <w:r>
        <w:rPr>
          <w:color w:val="auto"/>
          <w:sz w:val="24"/>
          <w:u w:val="single"/>
        </w:rPr>
        <w:t>点</w:t>
      </w:r>
      <w:r>
        <w:rPr>
          <w:rFonts w:hint="eastAsia"/>
          <w:color w:val="auto"/>
          <w:sz w:val="24"/>
          <w:u w:val="single"/>
        </w:rPr>
        <w:t>00</w:t>
      </w:r>
      <w:r>
        <w:rPr>
          <w:color w:val="auto"/>
          <w:sz w:val="24"/>
          <w:u w:val="single"/>
        </w:rPr>
        <w:t>分</w:t>
      </w:r>
      <w:r>
        <w:rPr>
          <w:color w:val="auto"/>
          <w:sz w:val="24"/>
        </w:rPr>
        <w:t>（北京时间），逾时拒绝接收投标响应文件。</w:t>
      </w:r>
    </w:p>
    <w:p w14:paraId="616DA960">
      <w:pPr>
        <w:snapToGrid w:val="0"/>
        <w:spacing w:line="460" w:lineRule="exact"/>
        <w:ind w:firstLine="480" w:firstLineChars="200"/>
        <w:rPr>
          <w:color w:val="auto"/>
          <w:sz w:val="24"/>
        </w:rPr>
      </w:pPr>
      <w:r>
        <w:rPr>
          <w:color w:val="auto"/>
          <w:sz w:val="24"/>
        </w:rPr>
        <w:t>地点：</w:t>
      </w:r>
      <w:r>
        <w:rPr>
          <w:rFonts w:hint="eastAsia"/>
          <w:color w:val="auto"/>
          <w:sz w:val="24"/>
        </w:rPr>
        <w:t>南通市崇川区崇川路1号商旅集团3楼会议室</w:t>
      </w:r>
      <w:r>
        <w:rPr>
          <w:color w:val="auto"/>
          <w:sz w:val="24"/>
        </w:rPr>
        <w:t>。</w:t>
      </w:r>
    </w:p>
    <w:p w14:paraId="665F1403">
      <w:pPr>
        <w:snapToGrid w:val="0"/>
        <w:spacing w:line="460" w:lineRule="exact"/>
        <w:ind w:firstLine="482" w:firstLineChars="200"/>
        <w:rPr>
          <w:b/>
          <w:color w:val="auto"/>
          <w:sz w:val="24"/>
        </w:rPr>
      </w:pPr>
      <w:r>
        <w:rPr>
          <w:b/>
          <w:color w:val="auto"/>
          <w:sz w:val="24"/>
        </w:rPr>
        <w:t>五、公告期限</w:t>
      </w:r>
    </w:p>
    <w:p w14:paraId="5AEB5324">
      <w:pPr>
        <w:snapToGrid w:val="0"/>
        <w:spacing w:line="460" w:lineRule="exact"/>
        <w:ind w:firstLine="480" w:firstLineChars="200"/>
        <w:rPr>
          <w:color w:val="auto"/>
          <w:sz w:val="24"/>
        </w:rPr>
      </w:pPr>
      <w:r>
        <w:rPr>
          <w:color w:val="auto"/>
          <w:sz w:val="24"/>
        </w:rPr>
        <w:t>自本公告发布之日起5个工作日。</w:t>
      </w:r>
    </w:p>
    <w:p w14:paraId="4BF1B8A9">
      <w:pPr>
        <w:snapToGrid w:val="0"/>
        <w:spacing w:line="460" w:lineRule="exact"/>
        <w:ind w:firstLine="482" w:firstLineChars="200"/>
        <w:rPr>
          <w:b/>
          <w:color w:val="auto"/>
          <w:sz w:val="24"/>
        </w:rPr>
      </w:pPr>
      <w:r>
        <w:rPr>
          <w:b/>
          <w:color w:val="auto"/>
          <w:sz w:val="24"/>
        </w:rPr>
        <w:t>六、其他补充事宜</w:t>
      </w:r>
    </w:p>
    <w:p w14:paraId="2201A26F">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1.投标保证金。</w:t>
      </w:r>
    </w:p>
    <w:p w14:paraId="62808AA2">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（1）投标保证金金额：</w:t>
      </w:r>
      <w:r>
        <w:rPr>
          <w:rFonts w:hint="eastAsia" w:ascii="宋体" w:hAnsi="宋体" w:cs="宋体"/>
          <w:color w:val="auto"/>
          <w:sz w:val="24"/>
          <w:u w:val="single"/>
        </w:rPr>
        <w:t>贰万元人民币。</w:t>
      </w:r>
    </w:p>
    <w:p w14:paraId="7B3E1CDF">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（2）投标保证金形式：</w:t>
      </w:r>
      <w:r>
        <w:rPr>
          <w:rFonts w:hint="eastAsia" w:ascii="宋体" w:hAnsi="宋体" w:eastAsia="宋体" w:cs="宋体"/>
          <w:b/>
          <w:bCs/>
          <w:color w:val="auto"/>
          <w:sz w:val="24"/>
          <w:lang w:eastAsia="zh-CN"/>
        </w:rPr>
        <w:t>投标保证金</w:t>
      </w:r>
      <w:r>
        <w:rPr>
          <w:rFonts w:hint="eastAsia" w:ascii="宋体" w:hAnsi="宋体" w:eastAsia="宋体" w:cs="宋体"/>
          <w:b/>
          <w:bCs/>
          <w:color w:val="auto"/>
          <w:sz w:val="24"/>
        </w:rPr>
        <w:t>应当以支票、汇票</w:t>
      </w:r>
      <w:r>
        <w:rPr>
          <w:rFonts w:hint="eastAsia" w:ascii="宋体" w:hAnsi="宋体" w:cs="宋体"/>
          <w:b/>
          <w:bCs/>
          <w:color w:val="auto"/>
          <w:sz w:val="24"/>
        </w:rPr>
        <w:t>或者金融机构、担保机构出具的保</w:t>
      </w:r>
      <w:r>
        <w:rPr>
          <w:rFonts w:hint="eastAsia" w:ascii="宋体" w:hAnsi="宋体" w:eastAsia="宋体" w:cs="宋体"/>
          <w:b/>
          <w:bCs/>
          <w:color w:val="auto"/>
          <w:sz w:val="24"/>
        </w:rPr>
        <w:t>函</w:t>
      </w:r>
      <w:r>
        <w:rPr>
          <w:rFonts w:hint="eastAsia" w:ascii="宋体" w:hAnsi="宋体" w:eastAsia="宋体" w:cs="宋体"/>
          <w:b/>
          <w:bCs/>
          <w:color w:val="auto"/>
          <w:sz w:val="24"/>
          <w:lang w:eastAsia="zh-CN"/>
        </w:rPr>
        <w:t>（见索即付）</w:t>
      </w:r>
      <w:r>
        <w:rPr>
          <w:rFonts w:hint="eastAsia" w:ascii="宋体" w:hAnsi="宋体" w:eastAsia="宋体" w:cs="宋体"/>
          <w:b/>
          <w:bCs/>
          <w:color w:val="auto"/>
          <w:sz w:val="24"/>
        </w:rPr>
        <w:t>等</w:t>
      </w:r>
      <w:r>
        <w:rPr>
          <w:rFonts w:hint="eastAsia" w:ascii="宋体" w:hAnsi="宋体" w:cs="宋体"/>
          <w:b/>
          <w:bCs/>
          <w:color w:val="auto"/>
          <w:sz w:val="24"/>
        </w:rPr>
        <w:t>非现金形式提交</w:t>
      </w:r>
      <w:r>
        <w:rPr>
          <w:rFonts w:hint="eastAsia" w:ascii="宋体" w:hAnsi="宋体" w:cs="宋体"/>
          <w:color w:val="auto"/>
          <w:sz w:val="24"/>
        </w:rPr>
        <w:t>。</w:t>
      </w:r>
    </w:p>
    <w:p w14:paraId="3F0E9CB0">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（3）收款账户信息：</w:t>
      </w:r>
      <w:bookmarkStart w:id="6" w:name="_GoBack"/>
      <w:bookmarkEnd w:id="6"/>
    </w:p>
    <w:p w14:paraId="6B6ADE29">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单位名称：江苏中润工程建设咨询有限公司南通分公司</w:t>
      </w:r>
    </w:p>
    <w:p w14:paraId="042A9432">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开户银行：中国农业银行南通分行</w:t>
      </w:r>
    </w:p>
    <w:p w14:paraId="002BDF77">
      <w:pPr>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账号：10707001040224564</w:t>
      </w:r>
    </w:p>
    <w:p w14:paraId="5AE6C63E">
      <w:pPr>
        <w:snapToGrid w:val="0"/>
        <w:spacing w:line="360" w:lineRule="auto"/>
        <w:ind w:firstLine="480" w:firstLineChars="200"/>
        <w:textAlignment w:val="baseline"/>
        <w:rPr>
          <w:rFonts w:ascii="宋体" w:cs="宋体"/>
          <w:color w:val="auto"/>
          <w:sz w:val="24"/>
        </w:rPr>
      </w:pPr>
      <w:r>
        <w:rPr>
          <w:rFonts w:hint="eastAsia" w:ascii="宋体" w:hAnsi="宋体" w:cs="宋体"/>
          <w:color w:val="auto"/>
          <w:sz w:val="24"/>
        </w:rPr>
        <w:t>（4）投标保证金截止交纳期限：与提交投标文件截止时间一致，投标人在递交投标文件同时将投标保证金缴纳凭证递交给招标代理查收（无需密封在投标文件内）。因投标人未缴纳投标保证金或未按照招标公告要求缴纳投标保证金</w:t>
      </w:r>
      <w:r>
        <w:rPr>
          <w:rFonts w:hint="eastAsia" w:ascii="宋体" w:cs="宋体"/>
          <w:color w:val="auto"/>
          <w:sz w:val="24"/>
        </w:rPr>
        <w:t>产生的投标保证金无效而导致的一切后果由投标人自行承担。</w:t>
      </w:r>
    </w:p>
    <w:p w14:paraId="606E9EDE">
      <w:pPr>
        <w:spacing w:line="360" w:lineRule="auto"/>
        <w:ind w:firstLine="480" w:firstLineChars="200"/>
        <w:jc w:val="left"/>
        <w:rPr>
          <w:color w:val="auto"/>
          <w:sz w:val="24"/>
        </w:rPr>
      </w:pPr>
      <w:r>
        <w:rPr>
          <w:rFonts w:hint="eastAsia" w:ascii="宋体" w:cs="宋体"/>
          <w:color w:val="auto"/>
          <w:sz w:val="24"/>
        </w:rPr>
        <w:t>（5）中标通知书发出后5个工作日内，招标代理机构向未中标人退还其投标保证金（无息）</w:t>
      </w:r>
      <w:r>
        <w:rPr>
          <w:rFonts w:hint="eastAsia" w:ascii="宋体" w:cs="宋体"/>
          <w:color w:val="auto"/>
          <w:sz w:val="24"/>
          <w:lang w:eastAsia="zh-CN"/>
        </w:rPr>
        <w:t>，保函除外</w:t>
      </w:r>
      <w:r>
        <w:rPr>
          <w:rFonts w:hint="eastAsia" w:ascii="宋体" w:cs="宋体"/>
          <w:color w:val="auto"/>
          <w:sz w:val="24"/>
        </w:rPr>
        <w:t>；招标人与中标人签订协议后5个工作日内，招标代理机构向中标人退还其投标保证金（无息）</w:t>
      </w:r>
      <w:r>
        <w:rPr>
          <w:rFonts w:hint="eastAsia" w:ascii="宋体" w:cs="宋体"/>
          <w:color w:val="auto"/>
          <w:sz w:val="24"/>
          <w:lang w:eastAsia="zh-CN"/>
        </w:rPr>
        <w:t>，保函除外</w:t>
      </w:r>
      <w:r>
        <w:rPr>
          <w:rFonts w:hint="eastAsia" w:ascii="宋体" w:cs="宋体"/>
          <w:color w:val="auto"/>
          <w:sz w:val="24"/>
        </w:rPr>
        <w:t>。</w:t>
      </w:r>
    </w:p>
    <w:p w14:paraId="3FD3DFF8">
      <w:pPr>
        <w:snapToGrid w:val="0"/>
        <w:spacing w:line="460" w:lineRule="exact"/>
        <w:ind w:firstLine="480" w:firstLineChars="200"/>
        <w:rPr>
          <w:b/>
          <w:color w:val="auto"/>
          <w:sz w:val="24"/>
        </w:rPr>
      </w:pPr>
      <w:r>
        <w:rPr>
          <w:rFonts w:hint="eastAsia"/>
          <w:color w:val="auto"/>
          <w:sz w:val="24"/>
        </w:rPr>
        <w:t>2.</w:t>
      </w:r>
      <w:r>
        <w:rPr>
          <w:color w:val="auto"/>
          <w:sz w:val="24"/>
        </w:rPr>
        <w:t>项目开标活动模式：</w:t>
      </w:r>
      <w:r>
        <w:rPr>
          <w:bCs/>
          <w:color w:val="auto"/>
          <w:sz w:val="24"/>
        </w:rPr>
        <w:t>现场投标模式</w:t>
      </w:r>
      <w:r>
        <w:rPr>
          <w:rFonts w:hint="eastAsia"/>
          <w:bCs/>
          <w:color w:val="auto"/>
          <w:sz w:val="24"/>
        </w:rPr>
        <w:t>。</w:t>
      </w:r>
    </w:p>
    <w:p w14:paraId="55C11B28">
      <w:pPr>
        <w:snapToGrid w:val="0"/>
        <w:spacing w:line="460" w:lineRule="exact"/>
        <w:ind w:firstLine="480" w:firstLineChars="200"/>
        <w:rPr>
          <w:color w:val="auto"/>
          <w:sz w:val="24"/>
        </w:rPr>
      </w:pPr>
      <w:r>
        <w:rPr>
          <w:rFonts w:hint="eastAsia"/>
          <w:color w:val="auto"/>
          <w:sz w:val="24"/>
        </w:rPr>
        <w:t>3</w:t>
      </w:r>
      <w:r>
        <w:rPr>
          <w:color w:val="auto"/>
          <w:sz w:val="24"/>
        </w:rPr>
        <w:t>.对项目需求部分（</w:t>
      </w:r>
      <w:r>
        <w:rPr>
          <w:rFonts w:hint="eastAsia"/>
          <w:color w:val="auto"/>
          <w:sz w:val="24"/>
        </w:rPr>
        <w:t>投标人</w:t>
      </w:r>
      <w:r>
        <w:rPr>
          <w:color w:val="auto"/>
          <w:sz w:val="24"/>
        </w:rPr>
        <w:t>其他资格要求、项目需求、评分标准）的询问、质疑请向</w:t>
      </w:r>
      <w:r>
        <w:rPr>
          <w:rFonts w:hint="eastAsia"/>
          <w:color w:val="auto"/>
          <w:sz w:val="24"/>
        </w:rPr>
        <w:t>招标</w:t>
      </w:r>
      <w:r>
        <w:rPr>
          <w:color w:val="auto"/>
          <w:sz w:val="24"/>
        </w:rPr>
        <w:t>人提出，由</w:t>
      </w:r>
      <w:r>
        <w:rPr>
          <w:rFonts w:hint="eastAsia"/>
          <w:color w:val="auto"/>
          <w:sz w:val="24"/>
        </w:rPr>
        <w:t>招标</w:t>
      </w:r>
      <w:r>
        <w:rPr>
          <w:color w:val="auto"/>
          <w:sz w:val="24"/>
        </w:rPr>
        <w:t>人负责答复；对项目招标文件其它部分的询问请向</w:t>
      </w:r>
      <w:r>
        <w:rPr>
          <w:rFonts w:hint="eastAsia"/>
          <w:color w:val="auto"/>
          <w:sz w:val="24"/>
        </w:rPr>
        <w:t>招标</w:t>
      </w:r>
      <w:r>
        <w:rPr>
          <w:color w:val="auto"/>
          <w:sz w:val="24"/>
        </w:rPr>
        <w:t>人或项目联系人提出。</w:t>
      </w:r>
    </w:p>
    <w:p w14:paraId="387C01E0">
      <w:pPr>
        <w:snapToGrid w:val="0"/>
        <w:spacing w:line="460" w:lineRule="exact"/>
        <w:ind w:firstLine="480" w:firstLineChars="200"/>
        <w:rPr>
          <w:color w:val="auto"/>
          <w:sz w:val="24"/>
        </w:rPr>
      </w:pPr>
      <w:r>
        <w:rPr>
          <w:rFonts w:hint="eastAsia"/>
          <w:color w:val="auto"/>
          <w:sz w:val="24"/>
        </w:rPr>
        <w:t>4</w:t>
      </w:r>
      <w:r>
        <w:rPr>
          <w:color w:val="auto"/>
          <w:sz w:val="24"/>
        </w:rPr>
        <w:t>.</w:t>
      </w:r>
      <w:r>
        <w:rPr>
          <w:rFonts w:hint="eastAsia"/>
          <w:color w:val="auto"/>
          <w:sz w:val="24"/>
        </w:rPr>
        <w:t>投标人</w:t>
      </w:r>
      <w:r>
        <w:rPr>
          <w:color w:val="auto"/>
          <w:sz w:val="24"/>
        </w:rPr>
        <w:t>应依照规定提交各类声明函、承诺函，不再同时提供原件备查或提供有关部门出具的相关证明文件。但中标</w:t>
      </w:r>
      <w:r>
        <w:rPr>
          <w:rFonts w:hint="eastAsia"/>
          <w:color w:val="auto"/>
          <w:sz w:val="24"/>
        </w:rPr>
        <w:t>候选人</w:t>
      </w:r>
      <w:r>
        <w:rPr>
          <w:color w:val="auto"/>
          <w:sz w:val="24"/>
        </w:rPr>
        <w:t>应做好提交声明函、承诺函</w:t>
      </w:r>
      <w:r>
        <w:rPr>
          <w:rFonts w:hint="eastAsia"/>
          <w:color w:val="auto"/>
          <w:sz w:val="24"/>
        </w:rPr>
        <w:t>等</w:t>
      </w:r>
      <w:r>
        <w:rPr>
          <w:color w:val="auto"/>
          <w:sz w:val="24"/>
        </w:rPr>
        <w:t>相应原件的核查准备；核查后发现虚假或违背承诺的，依照相关法律法规规定处理。</w:t>
      </w:r>
    </w:p>
    <w:p w14:paraId="6DED4ADB">
      <w:pPr>
        <w:snapToGrid w:val="0"/>
        <w:spacing w:line="460" w:lineRule="exact"/>
        <w:ind w:firstLine="482" w:firstLineChars="200"/>
        <w:rPr>
          <w:rFonts w:hint="eastAsia" w:eastAsia="宋体"/>
          <w:b/>
          <w:color w:val="auto"/>
          <w:sz w:val="24"/>
          <w:lang w:eastAsia="zh-CN"/>
        </w:rPr>
      </w:pPr>
      <w:r>
        <w:rPr>
          <w:b/>
          <w:color w:val="auto"/>
          <w:sz w:val="24"/>
        </w:rPr>
        <w:t>七、对本次招标提出询问，请按以下方式联系</w:t>
      </w:r>
      <w:r>
        <w:rPr>
          <w:rFonts w:hint="eastAsia"/>
          <w:b/>
          <w:color w:val="auto"/>
          <w:sz w:val="24"/>
          <w:lang w:eastAsia="zh-CN"/>
        </w:rPr>
        <w:t>：</w:t>
      </w:r>
    </w:p>
    <w:p w14:paraId="247A17A2">
      <w:pPr>
        <w:snapToGrid w:val="0"/>
        <w:spacing w:line="460" w:lineRule="exact"/>
        <w:ind w:firstLine="480" w:firstLineChars="200"/>
        <w:rPr>
          <w:color w:val="auto"/>
          <w:sz w:val="24"/>
        </w:rPr>
      </w:pPr>
      <w:r>
        <w:rPr>
          <w:color w:val="auto"/>
          <w:sz w:val="24"/>
        </w:rPr>
        <w:t xml:space="preserve">1. </w:t>
      </w:r>
      <w:r>
        <w:rPr>
          <w:rFonts w:hint="eastAsia"/>
          <w:color w:val="auto"/>
          <w:sz w:val="24"/>
        </w:rPr>
        <w:t>招标</w:t>
      </w:r>
      <w:r>
        <w:rPr>
          <w:color w:val="auto"/>
          <w:sz w:val="24"/>
        </w:rPr>
        <w:t>人信息</w:t>
      </w:r>
    </w:p>
    <w:p w14:paraId="3F2812A6">
      <w:pPr>
        <w:snapToGrid w:val="0"/>
        <w:spacing w:line="460" w:lineRule="exact"/>
        <w:ind w:firstLine="480" w:firstLineChars="200"/>
        <w:rPr>
          <w:color w:val="auto"/>
          <w:sz w:val="24"/>
        </w:rPr>
      </w:pPr>
      <w:r>
        <w:rPr>
          <w:color w:val="auto"/>
          <w:sz w:val="24"/>
        </w:rPr>
        <w:t>名 称：</w:t>
      </w:r>
      <w:r>
        <w:rPr>
          <w:rFonts w:hint="eastAsia"/>
          <w:color w:val="auto"/>
          <w:sz w:val="24"/>
        </w:rPr>
        <w:t>南通唐闸古镇保护开发有限公司</w:t>
      </w:r>
    </w:p>
    <w:p w14:paraId="6991F2DE">
      <w:pPr>
        <w:adjustRightInd w:val="0"/>
        <w:snapToGrid w:val="0"/>
        <w:spacing w:line="460" w:lineRule="exact"/>
        <w:ind w:firstLine="480" w:firstLineChars="200"/>
        <w:rPr>
          <w:color w:val="auto"/>
          <w:sz w:val="24"/>
        </w:rPr>
      </w:pPr>
      <w:r>
        <w:rPr>
          <w:color w:val="auto"/>
          <w:sz w:val="24"/>
        </w:rPr>
        <w:t>地 址：</w:t>
      </w:r>
      <w:r>
        <w:rPr>
          <w:rFonts w:hint="eastAsia"/>
          <w:color w:val="auto"/>
          <w:sz w:val="24"/>
        </w:rPr>
        <w:t>南通市唐闸北市街D栋</w:t>
      </w:r>
    </w:p>
    <w:p w14:paraId="37E900E3">
      <w:pPr>
        <w:adjustRightInd w:val="0"/>
        <w:snapToGrid w:val="0"/>
        <w:spacing w:line="460" w:lineRule="exact"/>
        <w:ind w:firstLine="480" w:firstLineChars="200"/>
        <w:rPr>
          <w:color w:val="auto"/>
          <w:sz w:val="24"/>
        </w:rPr>
      </w:pPr>
      <w:r>
        <w:rPr>
          <w:color w:val="auto"/>
          <w:sz w:val="24"/>
        </w:rPr>
        <w:t>联系方式：</w:t>
      </w:r>
      <w:r>
        <w:rPr>
          <w:rFonts w:hint="eastAsia"/>
          <w:color w:val="auto"/>
          <w:sz w:val="24"/>
        </w:rPr>
        <w:t xml:space="preserve">刘女士 0513-89111207 </w:t>
      </w:r>
    </w:p>
    <w:p w14:paraId="035194EA">
      <w:pPr>
        <w:snapToGrid w:val="0"/>
        <w:spacing w:line="460" w:lineRule="exact"/>
        <w:ind w:firstLine="480" w:firstLineChars="200"/>
        <w:rPr>
          <w:color w:val="auto"/>
          <w:sz w:val="24"/>
        </w:rPr>
      </w:pPr>
      <w:r>
        <w:rPr>
          <w:rFonts w:hint="eastAsia"/>
          <w:color w:val="auto"/>
          <w:sz w:val="24"/>
        </w:rPr>
        <w:t>2. 招标代理机构信息</w:t>
      </w:r>
    </w:p>
    <w:p w14:paraId="4200E213">
      <w:pPr>
        <w:snapToGrid w:val="0"/>
        <w:spacing w:line="460" w:lineRule="exact"/>
        <w:ind w:firstLine="480" w:firstLineChars="200"/>
        <w:rPr>
          <w:color w:val="auto"/>
          <w:sz w:val="24"/>
        </w:rPr>
      </w:pPr>
      <w:r>
        <w:rPr>
          <w:rFonts w:hint="eastAsia"/>
          <w:color w:val="auto"/>
          <w:sz w:val="24"/>
        </w:rPr>
        <w:t>名称：江苏中润工程建设咨询有限公司；</w:t>
      </w:r>
    </w:p>
    <w:p w14:paraId="5BC6AE9B">
      <w:pPr>
        <w:snapToGrid w:val="0"/>
        <w:spacing w:line="460" w:lineRule="exact"/>
        <w:ind w:firstLine="480" w:firstLineChars="200"/>
        <w:rPr>
          <w:rFonts w:hint="eastAsia" w:eastAsia="宋体"/>
          <w:color w:val="auto"/>
          <w:sz w:val="24"/>
          <w:lang w:eastAsia="zh-CN"/>
        </w:rPr>
      </w:pPr>
      <w:r>
        <w:rPr>
          <w:rFonts w:hint="eastAsia"/>
          <w:color w:val="auto"/>
          <w:sz w:val="24"/>
        </w:rPr>
        <w:t>地址：南通市崇川区崇川路58号</w:t>
      </w:r>
      <w:r>
        <w:rPr>
          <w:rFonts w:hint="eastAsia"/>
          <w:color w:val="auto"/>
          <w:sz w:val="24"/>
          <w:lang w:eastAsia="zh-CN"/>
        </w:rPr>
        <w:t>；</w:t>
      </w:r>
    </w:p>
    <w:p w14:paraId="50EF8A58">
      <w:pPr>
        <w:snapToGrid w:val="0"/>
        <w:spacing w:line="460" w:lineRule="exact"/>
        <w:ind w:firstLine="480" w:firstLineChars="200"/>
        <w:rPr>
          <w:color w:val="auto"/>
          <w:sz w:val="24"/>
        </w:rPr>
      </w:pPr>
      <w:r>
        <w:rPr>
          <w:rFonts w:hint="eastAsia"/>
          <w:color w:val="auto"/>
          <w:sz w:val="24"/>
        </w:rPr>
        <w:t>联系人：</w:t>
      </w:r>
      <w:r>
        <w:rPr>
          <w:rFonts w:hint="eastAsia"/>
          <w:color w:val="auto"/>
          <w:sz w:val="24"/>
          <w:lang w:val="en-US" w:eastAsia="zh-CN"/>
        </w:rPr>
        <w:t>肖俊菁</w:t>
      </w:r>
      <w:r>
        <w:rPr>
          <w:rFonts w:hint="eastAsia"/>
          <w:color w:val="auto"/>
          <w:sz w:val="24"/>
        </w:rPr>
        <w:t>；</w:t>
      </w:r>
    </w:p>
    <w:p w14:paraId="67B5B15C">
      <w:pPr>
        <w:snapToGrid w:val="0"/>
        <w:spacing w:line="460" w:lineRule="exact"/>
        <w:ind w:firstLine="480" w:firstLineChars="200"/>
        <w:rPr>
          <w:color w:val="auto"/>
          <w:sz w:val="24"/>
        </w:rPr>
      </w:pPr>
      <w:r>
        <w:rPr>
          <w:rFonts w:hint="eastAsia"/>
          <w:color w:val="auto"/>
          <w:sz w:val="24"/>
        </w:rPr>
        <w:t>联系方式：</w:t>
      </w:r>
      <w:r>
        <w:rPr>
          <w:rFonts w:hint="eastAsia"/>
          <w:color w:val="auto"/>
          <w:sz w:val="24"/>
          <w:lang w:val="en-US" w:eastAsia="zh-CN"/>
        </w:rPr>
        <w:t xml:space="preserve">0513-55887688   </w:t>
      </w:r>
      <w:r>
        <w:rPr>
          <w:rFonts w:hint="eastAsia"/>
          <w:color w:val="auto"/>
          <w:sz w:val="24"/>
        </w:rPr>
        <w:t>1</w:t>
      </w:r>
      <w:r>
        <w:rPr>
          <w:rFonts w:hint="eastAsia"/>
          <w:color w:val="auto"/>
          <w:sz w:val="24"/>
          <w:lang w:val="en-US" w:eastAsia="zh-CN"/>
        </w:rPr>
        <w:t>8106299008</w:t>
      </w:r>
      <w:r>
        <w:rPr>
          <w:rFonts w:hint="eastAsia"/>
          <w:color w:val="auto"/>
          <w:sz w:val="24"/>
        </w:rPr>
        <w:t>；</w:t>
      </w:r>
    </w:p>
    <w:p w14:paraId="759D3D19">
      <w:pPr>
        <w:snapToGrid w:val="0"/>
        <w:spacing w:line="460" w:lineRule="exact"/>
        <w:ind w:firstLine="480" w:firstLineChars="200"/>
        <w:rPr>
          <w:color w:val="auto"/>
          <w:sz w:val="24"/>
        </w:rPr>
      </w:pPr>
      <w:r>
        <w:rPr>
          <w:rFonts w:hint="eastAsia"/>
          <w:color w:val="auto"/>
          <w:sz w:val="24"/>
        </w:rPr>
        <w:t>邮箱：526134514@qq.com；</w:t>
      </w:r>
    </w:p>
    <w:p w14:paraId="5C8A15B3">
      <w:pPr>
        <w:adjustRightInd w:val="0"/>
        <w:snapToGrid w:val="0"/>
        <w:spacing w:line="300" w:lineRule="auto"/>
        <w:contextualSpacing/>
        <w:jc w:val="center"/>
        <w:rPr>
          <w:color w:val="auto"/>
          <w:sz w:val="28"/>
          <w:szCs w:val="28"/>
        </w:rPr>
      </w:pPr>
      <w:r>
        <w:rPr>
          <w:b/>
          <w:color w:val="auto"/>
          <w:sz w:val="36"/>
          <w:szCs w:val="36"/>
        </w:rPr>
        <w:br w:type="page"/>
      </w:r>
      <w:r>
        <w:rPr>
          <w:b/>
          <w:color w:val="auto"/>
          <w:sz w:val="36"/>
          <w:szCs w:val="36"/>
        </w:rPr>
        <w:t>第二部分  投标须知</w:t>
      </w:r>
    </w:p>
    <w:p w14:paraId="4D6B8FEB">
      <w:pPr>
        <w:snapToGrid w:val="0"/>
        <w:spacing w:line="460" w:lineRule="exact"/>
        <w:ind w:firstLine="482" w:firstLineChars="200"/>
        <w:outlineLvl w:val="0"/>
        <w:rPr>
          <w:rFonts w:ascii="宋体" w:hAnsi="宋体" w:cs="宋体"/>
          <w:color w:val="auto"/>
          <w:sz w:val="24"/>
        </w:rPr>
      </w:pPr>
      <w:r>
        <w:rPr>
          <w:rFonts w:hint="eastAsia" w:ascii="宋体" w:hAnsi="宋体" w:cs="宋体"/>
          <w:b/>
          <w:color w:val="auto"/>
          <w:sz w:val="24"/>
        </w:rPr>
        <w:t>一、招标文件由招标人或代理机构解释</w:t>
      </w:r>
      <w:r>
        <w:rPr>
          <w:rFonts w:hint="eastAsia" w:ascii="宋体" w:hAnsi="宋体" w:cs="宋体"/>
          <w:color w:val="auto"/>
          <w:sz w:val="24"/>
        </w:rPr>
        <w:t>。</w:t>
      </w:r>
    </w:p>
    <w:p w14:paraId="5D6715B3">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人获取招标文件后，应仔细检查招标文件的所有内容，如对招标活动事项有疑问的，应在获取招标文件开始之日起3日内以书面形式提出询问或疑问，未在规定的3日内提出询问或疑问的，视同投标人理解并接受本招标文件所有内容，并对由此引起的投标损失自负。</w:t>
      </w:r>
    </w:p>
    <w:p w14:paraId="0DAA25BA">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2.投标人应认真审阅招标文件中所有的事项、格式、条款和规范要求等，如果投标人没有按照招标文件要求提交投标文件，或者投标文件没有对招标文件作出实质性响应，其投标将被拒绝，投标人自行承担责任。</w:t>
      </w:r>
    </w:p>
    <w:p w14:paraId="6F4C89F4">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二、招标文件的澄清、修改、答疑</w:t>
      </w:r>
    </w:p>
    <w:p w14:paraId="01D8CD3F">
      <w:pPr>
        <w:pStyle w:val="9"/>
        <w:snapToGrid w:val="0"/>
        <w:spacing w:line="460" w:lineRule="exact"/>
        <w:ind w:left="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1.招标人有权对发出的招标文件进行必要的澄清或修改。</w:t>
      </w:r>
    </w:p>
    <w:p w14:paraId="2412E701">
      <w:pPr>
        <w:pStyle w:val="9"/>
        <w:snapToGrid w:val="0"/>
        <w:spacing w:line="460" w:lineRule="exact"/>
        <w:ind w:left="0"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2.招标人可视情取消、延长相关时间。</w:t>
      </w:r>
    </w:p>
    <w:p w14:paraId="0B7E70F4">
      <w:pPr>
        <w:pStyle w:val="9"/>
        <w:snapToGrid w:val="0"/>
        <w:spacing w:line="460" w:lineRule="exact"/>
        <w:ind w:left="0"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3.招标人对招标文件的澄清、修改将构成招标文件的一部分，对投标人具有约束力。</w:t>
      </w:r>
    </w:p>
    <w:p w14:paraId="0B212299">
      <w:pPr>
        <w:pStyle w:val="9"/>
        <w:snapToGrid w:val="0"/>
        <w:spacing w:line="460" w:lineRule="exact"/>
        <w:ind w:left="0"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4.投标人由于对招标文件的任何推论和误解以及招标人对有关问题的口头解释所造成的后果，均由投标人自负。</w:t>
      </w:r>
    </w:p>
    <w:p w14:paraId="5458A035">
      <w:pPr>
        <w:pStyle w:val="9"/>
        <w:snapToGrid w:val="0"/>
        <w:spacing w:line="460" w:lineRule="exact"/>
        <w:ind w:left="0"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5.招标人视情组织答疑会。</w:t>
      </w:r>
    </w:p>
    <w:p w14:paraId="0D69719C">
      <w:pPr>
        <w:autoSpaceDE w:val="0"/>
        <w:autoSpaceDN w:val="0"/>
        <w:adjustRightInd w:val="0"/>
        <w:snapToGrid w:val="0"/>
        <w:spacing w:after="120" w:line="460" w:lineRule="exact"/>
        <w:ind w:firstLine="482" w:firstLineChars="200"/>
        <w:contextualSpacing/>
        <w:rPr>
          <w:rFonts w:ascii="宋体" w:hAnsi="宋体" w:cs="宋体"/>
          <w:b/>
          <w:bCs/>
          <w:color w:val="auto"/>
          <w:sz w:val="24"/>
        </w:rPr>
      </w:pPr>
      <w:r>
        <w:rPr>
          <w:rFonts w:hint="eastAsia" w:ascii="宋体" w:hAnsi="宋体" w:cs="宋体"/>
          <w:b/>
          <w:bCs/>
          <w:color w:val="auto"/>
          <w:sz w:val="24"/>
          <w:lang w:val="zh-CN"/>
        </w:rPr>
        <w:t>三、投标文件的编写、递交</w:t>
      </w:r>
    </w:p>
    <w:p w14:paraId="1FB1E961">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1.纸质投标文件三部分内容（资格审查文件、商务技术文件、报价文件）须分别单独密封，并牢固装订成册，不得相互混淆，文件自编目录并连续标注页码，不得将内容拆开。报价文件及其内容不得出现于其他投标文件中。</w:t>
      </w:r>
    </w:p>
    <w:p w14:paraId="42937A61">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2.投标文件中，资格审查文件、商务技术文件、报价文件每一部分内容均须提供“一正、肆副”纸质投标文件。其中：</w:t>
      </w:r>
    </w:p>
    <w:p w14:paraId="74A715E0">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资格审查文件正本、副本统一装在一个密封袋或密封箱内；</w:t>
      </w:r>
    </w:p>
    <w:p w14:paraId="48A01314">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商务技术文件正本、副本及图纸类等（如需提供图纸等其他资料的话）合并密封，统一装在一个密封袋或密封箱内（如有A3大小的图纸类，可单独密封）；</w:t>
      </w:r>
    </w:p>
    <w:p w14:paraId="513BAC35">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报价文件正本、副本统一装在一个密封袋内。</w:t>
      </w:r>
    </w:p>
    <w:p w14:paraId="55F459A3">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3.纸质投标文件须采用A4纸（图纸等除外），正本、副本须打印并由法定代表人（负责人）或被授权人签字并加盖单位印章。文件内容中不得行间插字、涂改、增删，如修补错漏处，须由投标文件签署人签字并加盖公章。</w:t>
      </w:r>
    </w:p>
    <w:p w14:paraId="704A4554">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4.本项目要求提供电子响应文件一份，电子响应文件的内容为资格审查文件、商务技术响应文件、价格文件打印盖章后的响应文件的扫描件（资格审查文件、商务技术响应文件、价格文件需分别逐页连续扫描为三个独立的PDF文件），采取U盘方式提交，需单独密封提交。</w:t>
      </w:r>
    </w:p>
    <w:p w14:paraId="09853CDB">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电子响应文件内容应与提交的纸质响应文件内容一致。否则，由此产生的后果投标人自负。</w:t>
      </w:r>
    </w:p>
    <w:p w14:paraId="3F9A9C97">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5.投标文件密封后应标明投标文件项目名称、标段名称、项目编号、边缝处加盖单位骑缝章或骑缝签字，并注明于投标前不得启封。</w:t>
      </w:r>
    </w:p>
    <w:p w14:paraId="09FD91FE">
      <w:pPr>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6.递交时间：投标人须在规定的投标文件接收截止时间前送达指定地点。投标人送达投标文件，即视为已投标参加招标活动。</w:t>
      </w:r>
    </w:p>
    <w:p w14:paraId="6CA75B34">
      <w:pPr>
        <w:snapToGrid w:val="0"/>
        <w:spacing w:line="460" w:lineRule="exact"/>
        <w:ind w:firstLine="482" w:firstLineChars="200"/>
        <w:contextualSpacing/>
        <w:rPr>
          <w:rFonts w:ascii="宋体" w:hAnsi="宋体" w:cs="宋体"/>
          <w:b/>
          <w:color w:val="auto"/>
          <w:sz w:val="24"/>
        </w:rPr>
      </w:pPr>
      <w:r>
        <w:rPr>
          <w:rFonts w:hint="eastAsia" w:ascii="宋体" w:hAnsi="宋体" w:cs="宋体"/>
          <w:b/>
          <w:color w:val="auto"/>
          <w:sz w:val="24"/>
        </w:rPr>
        <w:t>友情提醒：代理机构将拒绝接收未按照招标文件要求密封的投标文件，拒绝接收在投标文件接收截止时间后递交的投标文件。</w:t>
      </w:r>
    </w:p>
    <w:p w14:paraId="48A93072">
      <w:pPr>
        <w:snapToGrid w:val="0"/>
        <w:spacing w:line="460" w:lineRule="exact"/>
        <w:ind w:firstLine="482" w:firstLineChars="200"/>
        <w:contextualSpacing/>
        <w:rPr>
          <w:rFonts w:ascii="宋体" w:hAnsi="宋体" w:cs="宋体"/>
          <w:b/>
          <w:color w:val="auto"/>
          <w:sz w:val="24"/>
        </w:rPr>
      </w:pPr>
      <w:r>
        <w:rPr>
          <w:rFonts w:hint="eastAsia" w:ascii="宋体" w:hAnsi="宋体" w:cs="宋体"/>
          <w:b/>
          <w:color w:val="auto"/>
          <w:sz w:val="24"/>
        </w:rPr>
        <w:t>投标文件密封完好以不泄露投标文件内容为主要判断依据。</w:t>
      </w:r>
    </w:p>
    <w:p w14:paraId="36AB3676">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四、投标文件的有效期</w:t>
      </w:r>
    </w:p>
    <w:p w14:paraId="6A132D98">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1.从投标文件接收截止之日算起，</w:t>
      </w:r>
      <w:r>
        <w:rPr>
          <w:rFonts w:hint="eastAsia" w:ascii="宋体" w:hAnsi="宋体" w:cs="宋体"/>
          <w:b/>
          <w:color w:val="auto"/>
          <w:sz w:val="24"/>
          <w:u w:val="single"/>
        </w:rPr>
        <w:t xml:space="preserve"> 90 </w:t>
      </w:r>
      <w:r>
        <w:rPr>
          <w:rFonts w:hint="eastAsia" w:ascii="宋体" w:hAnsi="宋体" w:cs="宋体"/>
          <w:color w:val="auto"/>
          <w:sz w:val="24"/>
        </w:rPr>
        <w:t>个“日历天”内投标书应保持有效。有效期短于这个规定期限的，投标将被拒绝。</w:t>
      </w:r>
    </w:p>
    <w:p w14:paraId="63220275">
      <w:pPr>
        <w:snapToGrid w:val="0"/>
        <w:spacing w:line="460" w:lineRule="exact"/>
        <w:ind w:firstLine="480" w:firstLineChars="200"/>
        <w:outlineLvl w:val="1"/>
        <w:rPr>
          <w:rFonts w:ascii="宋体" w:hAnsi="宋体" w:cs="宋体"/>
          <w:b/>
          <w:color w:val="auto"/>
          <w:sz w:val="24"/>
        </w:rPr>
      </w:pPr>
      <w:r>
        <w:rPr>
          <w:rFonts w:hint="eastAsia" w:ascii="宋体" w:hAnsi="宋体" w:cs="宋体"/>
          <w:color w:val="auto"/>
          <w:sz w:val="24"/>
        </w:rPr>
        <w:t>2.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14:paraId="552A7CBC">
      <w:pPr>
        <w:snapToGrid w:val="0"/>
        <w:spacing w:line="460" w:lineRule="exact"/>
        <w:ind w:firstLine="482" w:firstLineChars="200"/>
        <w:contextualSpacing/>
        <w:rPr>
          <w:rFonts w:ascii="宋体" w:hAnsi="宋体" w:cs="宋体"/>
          <w:b/>
          <w:color w:val="auto"/>
          <w:sz w:val="24"/>
        </w:rPr>
      </w:pPr>
      <w:r>
        <w:rPr>
          <w:rFonts w:hint="eastAsia" w:ascii="宋体" w:hAnsi="宋体" w:cs="宋体"/>
          <w:b/>
          <w:color w:val="auto"/>
          <w:sz w:val="24"/>
        </w:rPr>
        <w:t>五、投标报价</w:t>
      </w:r>
    </w:p>
    <w:p w14:paraId="699592FC">
      <w:pPr>
        <w:pStyle w:val="9"/>
        <w:snapToGrid w:val="0"/>
        <w:spacing w:line="460" w:lineRule="exact"/>
        <w:ind w:left="0" w:firstLine="480" w:firstLineChars="200"/>
        <w:contextualSpacing/>
        <w:rPr>
          <w:rFonts w:ascii="宋体" w:hAnsi="宋体" w:eastAsia="宋体" w:cs="宋体"/>
          <w:b/>
          <w:color w:val="auto"/>
          <w:sz w:val="24"/>
          <w:szCs w:val="24"/>
        </w:rPr>
      </w:pPr>
      <w:r>
        <w:rPr>
          <w:rFonts w:hint="eastAsia" w:ascii="宋体" w:hAnsi="宋体" w:eastAsia="宋体" w:cs="宋体"/>
          <w:color w:val="auto"/>
          <w:sz w:val="24"/>
          <w:szCs w:val="24"/>
        </w:rPr>
        <w:t>不接受任何有选择性的报价。</w:t>
      </w:r>
    </w:p>
    <w:p w14:paraId="7E256115">
      <w:pPr>
        <w:snapToGrid w:val="0"/>
        <w:spacing w:line="460" w:lineRule="exact"/>
        <w:ind w:firstLine="482" w:firstLineChars="200"/>
        <w:rPr>
          <w:rFonts w:ascii="宋体" w:hAnsi="宋体" w:cs="宋体"/>
          <w:color w:val="auto"/>
          <w:sz w:val="24"/>
        </w:rPr>
      </w:pPr>
      <w:r>
        <w:rPr>
          <w:rFonts w:hint="eastAsia" w:ascii="宋体" w:hAnsi="宋体" w:cs="宋体"/>
          <w:b/>
          <w:bCs/>
          <w:color w:val="auto"/>
          <w:sz w:val="24"/>
        </w:rPr>
        <w:t>六、</w:t>
      </w:r>
      <w:r>
        <w:rPr>
          <w:rFonts w:hint="eastAsia" w:ascii="宋体" w:hAnsi="宋体" w:cs="宋体"/>
          <w:b/>
          <w:color w:val="auto"/>
          <w:sz w:val="24"/>
        </w:rPr>
        <w:t>投标</w:t>
      </w:r>
      <w:r>
        <w:rPr>
          <w:rFonts w:hint="eastAsia" w:ascii="宋体" w:hAnsi="宋体" w:cs="宋体"/>
          <w:b/>
          <w:bCs/>
          <w:color w:val="auto"/>
          <w:sz w:val="24"/>
        </w:rPr>
        <w:t>费用</w:t>
      </w:r>
    </w:p>
    <w:p w14:paraId="448FEBBE">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1.投标人承担参与投标可能发生的全部费用，招标人在任何情况下均无义务和责任承担这些费用。</w:t>
      </w:r>
    </w:p>
    <w:p w14:paraId="2FA302FE">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2.本项目评委费按实结算，由中标单位支付。</w:t>
      </w:r>
    </w:p>
    <w:p w14:paraId="16062B97">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 xml:space="preserve">3.招标代理费： </w:t>
      </w:r>
    </w:p>
    <w:p w14:paraId="2549CAF0">
      <w:pPr>
        <w:snapToGrid w:val="0"/>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（1）本项目招标代理服务费4800元，由中标人中标后缴纳给代理机构。因质疑投诉或中标人自身原因等改变结果的，代理费不予退还。</w:t>
      </w:r>
    </w:p>
    <w:p w14:paraId="0AB86C0F">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（2）投标人自行考虑包含在投标报价内（不单列）。</w:t>
      </w:r>
    </w:p>
    <w:p w14:paraId="67940722">
      <w:pPr>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七、投标保证金</w:t>
      </w:r>
    </w:p>
    <w:p w14:paraId="0C8FFB49">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1.投标人在递交投标文件的同时，应按招标公告规定的金额、时间递交投标保证金。</w:t>
      </w:r>
    </w:p>
    <w:p w14:paraId="305BC938">
      <w:pPr>
        <w:adjustRightInd w:val="0"/>
        <w:snapToGrid w:val="0"/>
        <w:spacing w:line="500" w:lineRule="exact"/>
        <w:ind w:firstLine="480" w:firstLineChars="200"/>
        <w:rPr>
          <w:rFonts w:ascii="宋体" w:cs="宋体"/>
          <w:color w:val="auto"/>
          <w:sz w:val="24"/>
        </w:rPr>
      </w:pPr>
      <w:r>
        <w:rPr>
          <w:rFonts w:hint="eastAsia" w:ascii="宋体" w:cs="宋体"/>
          <w:color w:val="auto"/>
          <w:sz w:val="24"/>
        </w:rPr>
        <w:t>2.</w:t>
      </w:r>
      <w:r>
        <w:rPr>
          <w:rFonts w:hint="eastAsia" w:ascii="宋体" w:cs="宋体"/>
          <w:b/>
          <w:bCs/>
          <w:color w:val="auto"/>
          <w:sz w:val="24"/>
        </w:rPr>
        <w:t>投标人不按招标公告要求提交投标保证金的，其投标文件作无效投标处理</w:t>
      </w:r>
      <w:r>
        <w:rPr>
          <w:rFonts w:hint="eastAsia" w:ascii="宋体" w:cs="宋体"/>
          <w:color w:val="auto"/>
          <w:sz w:val="24"/>
        </w:rPr>
        <w:t>。</w:t>
      </w:r>
    </w:p>
    <w:p w14:paraId="21A4D5BF">
      <w:pPr>
        <w:adjustRightInd w:val="0"/>
        <w:snapToGrid w:val="0"/>
        <w:spacing w:line="500" w:lineRule="exact"/>
        <w:ind w:firstLine="480" w:firstLineChars="200"/>
        <w:rPr>
          <w:rFonts w:ascii="宋体" w:cs="宋体"/>
          <w:color w:val="auto"/>
          <w:sz w:val="24"/>
        </w:rPr>
      </w:pPr>
      <w:r>
        <w:rPr>
          <w:rFonts w:hint="eastAsia" w:ascii="宋体" w:cs="宋体"/>
          <w:color w:val="auto"/>
          <w:sz w:val="24"/>
        </w:rPr>
        <w:t>3.投标保证金退还:见招标公告。</w:t>
      </w:r>
    </w:p>
    <w:p w14:paraId="5BF26A14">
      <w:pPr>
        <w:adjustRightInd w:val="0"/>
        <w:snapToGrid w:val="0"/>
        <w:spacing w:line="500" w:lineRule="exact"/>
        <w:ind w:firstLine="480" w:firstLineChars="200"/>
        <w:rPr>
          <w:rFonts w:hint="eastAsia" w:ascii="宋体" w:eastAsia="宋体" w:cs="宋体"/>
          <w:color w:val="auto"/>
          <w:sz w:val="24"/>
          <w:lang w:eastAsia="zh-CN"/>
        </w:rPr>
      </w:pPr>
      <w:r>
        <w:rPr>
          <w:rFonts w:hint="eastAsia" w:ascii="宋体" w:cs="宋体"/>
          <w:color w:val="auto"/>
          <w:sz w:val="24"/>
        </w:rPr>
        <w:t>4.有下列情形之一的，投标保证金将不予退还</w:t>
      </w:r>
      <w:r>
        <w:rPr>
          <w:rFonts w:hint="eastAsia" w:ascii="宋体" w:cs="宋体"/>
          <w:color w:val="auto"/>
          <w:sz w:val="24"/>
          <w:lang w:eastAsia="zh-CN"/>
        </w:rPr>
        <w:t>；</w:t>
      </w:r>
    </w:p>
    <w:p w14:paraId="7C72F506">
      <w:pPr>
        <w:adjustRightInd w:val="0"/>
        <w:snapToGrid w:val="0"/>
        <w:spacing w:line="500" w:lineRule="exact"/>
        <w:ind w:firstLine="480" w:firstLineChars="200"/>
        <w:rPr>
          <w:rFonts w:ascii="宋体" w:cs="宋体"/>
          <w:color w:val="auto"/>
          <w:sz w:val="24"/>
        </w:rPr>
      </w:pPr>
      <w:r>
        <w:rPr>
          <w:rFonts w:hint="eastAsia" w:ascii="宋体" w:cs="宋体"/>
          <w:color w:val="auto"/>
          <w:sz w:val="24"/>
        </w:rPr>
        <w:t>(1)响应投标人在规定的响应有效期内撤销或修改其投标文件；</w:t>
      </w:r>
    </w:p>
    <w:p w14:paraId="05700867">
      <w:pPr>
        <w:adjustRightInd w:val="0"/>
        <w:snapToGrid w:val="0"/>
        <w:spacing w:line="500" w:lineRule="exact"/>
        <w:ind w:firstLine="480" w:firstLineChars="200"/>
        <w:rPr>
          <w:rFonts w:ascii="宋体" w:cs="宋体"/>
          <w:color w:val="auto"/>
          <w:sz w:val="24"/>
        </w:rPr>
      </w:pPr>
      <w:r>
        <w:rPr>
          <w:rFonts w:hint="eastAsia" w:ascii="宋体" w:cs="宋体"/>
          <w:color w:val="auto"/>
          <w:sz w:val="24"/>
        </w:rPr>
        <w:t>(2)中标人在收到中标通知书后，无正当理由拒签协议书或未按招标文件规定提交履约担保；</w:t>
      </w:r>
    </w:p>
    <w:p w14:paraId="59F819DE">
      <w:pPr>
        <w:adjustRightInd w:val="0"/>
        <w:snapToGrid w:val="0"/>
        <w:spacing w:line="500" w:lineRule="exact"/>
        <w:ind w:firstLine="480" w:firstLineChars="200"/>
        <w:rPr>
          <w:rFonts w:ascii="宋体" w:cs="宋体"/>
          <w:color w:val="auto"/>
          <w:sz w:val="24"/>
        </w:rPr>
      </w:pPr>
      <w:r>
        <w:rPr>
          <w:rFonts w:hint="eastAsia" w:ascii="宋体" w:cs="宋体"/>
          <w:color w:val="auto"/>
          <w:sz w:val="24"/>
        </w:rPr>
        <w:t>(3)违反招标人对投标人的纪律要求的，包括但不限于投标人在投标文件中提供虚假材料的、投标人围标串标的；</w:t>
      </w:r>
    </w:p>
    <w:p w14:paraId="0A9717BD">
      <w:pPr>
        <w:adjustRightInd w:val="0"/>
        <w:snapToGrid w:val="0"/>
        <w:spacing w:line="500" w:lineRule="exact"/>
        <w:ind w:firstLine="480" w:firstLineChars="200"/>
        <w:rPr>
          <w:rFonts w:ascii="宋体" w:cs="宋体"/>
          <w:color w:val="auto"/>
          <w:sz w:val="24"/>
        </w:rPr>
      </w:pPr>
      <w:r>
        <w:rPr>
          <w:rFonts w:hint="eastAsia" w:ascii="宋体" w:cs="宋体"/>
          <w:color w:val="auto"/>
          <w:sz w:val="24"/>
        </w:rPr>
        <w:t>(4)法律法规和本招标文件规定的其他情形。</w:t>
      </w:r>
    </w:p>
    <w:p w14:paraId="3FBFDBAB">
      <w:pPr>
        <w:adjustRightInd w:val="0"/>
        <w:snapToGrid w:val="0"/>
        <w:spacing w:line="500" w:lineRule="exact"/>
        <w:ind w:firstLine="480" w:firstLineChars="200"/>
        <w:rPr>
          <w:rFonts w:ascii="宋体" w:hAnsi="宋体" w:cs="宋体"/>
          <w:b/>
          <w:bCs/>
          <w:color w:val="auto"/>
          <w:sz w:val="24"/>
          <w:lang w:val="zh-CN"/>
        </w:rPr>
      </w:pPr>
      <w:r>
        <w:rPr>
          <w:rFonts w:hint="eastAsia" w:ascii="宋体" w:cs="宋体"/>
          <w:color w:val="auto"/>
          <w:sz w:val="24"/>
        </w:rPr>
        <w:t>5.投标保证金为无条件担保。</w:t>
      </w:r>
    </w:p>
    <w:p w14:paraId="0632931F">
      <w:pPr>
        <w:snapToGrid w:val="0"/>
        <w:spacing w:line="460" w:lineRule="exact"/>
        <w:ind w:firstLine="482" w:firstLineChars="200"/>
        <w:outlineLvl w:val="1"/>
        <w:rPr>
          <w:rFonts w:ascii="宋体" w:hAnsi="宋体" w:cs="宋体"/>
          <w:b/>
          <w:bCs/>
          <w:color w:val="auto"/>
          <w:sz w:val="24"/>
          <w:lang w:val="zh-CN"/>
        </w:rPr>
      </w:pPr>
      <w:r>
        <w:rPr>
          <w:rFonts w:hint="eastAsia" w:ascii="宋体" w:hAnsi="宋体" w:cs="宋体"/>
          <w:b/>
          <w:bCs/>
          <w:color w:val="auto"/>
          <w:sz w:val="24"/>
          <w:lang w:val="zh-CN"/>
        </w:rPr>
        <w:t>八、履约担保</w:t>
      </w:r>
    </w:p>
    <w:p w14:paraId="166877D4">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1.履约保证金：</w:t>
      </w:r>
    </w:p>
    <w:p w14:paraId="04C7F48B">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（1）履约保证金金额：人民币贰拾万元；</w:t>
      </w:r>
    </w:p>
    <w:p w14:paraId="7F4EC947">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（2）中标人应在本协议签订之日起</w:t>
      </w:r>
      <w:r>
        <w:rPr>
          <w:rFonts w:hint="eastAsia" w:ascii="宋体" w:hAnsi="宋体" w:cs="宋体"/>
          <w:color w:val="auto"/>
          <w:sz w:val="24"/>
          <w:lang w:val="en-US" w:eastAsia="zh-CN"/>
        </w:rPr>
        <w:t>10</w:t>
      </w:r>
      <w:r>
        <w:rPr>
          <w:rFonts w:hint="eastAsia" w:ascii="宋体" w:hAnsi="宋体" w:cs="宋体"/>
          <w:color w:val="auto"/>
          <w:sz w:val="24"/>
        </w:rPr>
        <w:t>日内向招标人交纳履约保证金人民币贰拾万元。</w:t>
      </w:r>
    </w:p>
    <w:p w14:paraId="0948D96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szCs w:val="24"/>
          <w:u w:val="none"/>
        </w:rPr>
        <w:t>中标人不及时支付租金、水电费及其他约定应由中标人支付的费用时，招标人有权从该保证金中支取租金、水电费及其他约定应由中标人支付的费用。</w:t>
      </w:r>
    </w:p>
    <w:p w14:paraId="07EF271E">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（4）履约保证金因上述原因被扣减时，中标人应在招标人通知</w:t>
      </w:r>
      <w:r>
        <w:rPr>
          <w:rFonts w:hint="eastAsia" w:ascii="宋体" w:hAnsi="宋体" w:cs="宋体"/>
          <w:color w:val="auto"/>
          <w:sz w:val="24"/>
          <w:lang w:val="en-US" w:eastAsia="zh-CN"/>
        </w:rPr>
        <w:t>15</w:t>
      </w:r>
      <w:r>
        <w:rPr>
          <w:rFonts w:hint="eastAsia" w:ascii="宋体" w:hAnsi="宋体" w:cs="宋体"/>
          <w:color w:val="auto"/>
          <w:sz w:val="24"/>
        </w:rPr>
        <w:t>个工作日内予以补足。</w:t>
      </w:r>
    </w:p>
    <w:p w14:paraId="10D4E63C">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（5）合作期满或协议解除、终止时，中标人无违约行为且不存在未支付费用或赔偿的项目，招标人应在中标人返还运营</w:t>
      </w:r>
      <w:r>
        <w:rPr>
          <w:rFonts w:hint="eastAsia" w:ascii="宋体" w:hAnsi="宋体" w:cs="宋体"/>
          <w:color w:val="auto"/>
          <w:sz w:val="24"/>
          <w:lang w:val="en-US" w:eastAsia="zh-CN"/>
        </w:rPr>
        <w:t>场所</w:t>
      </w:r>
      <w:r>
        <w:rPr>
          <w:rFonts w:hint="eastAsia" w:ascii="宋体" w:hAnsi="宋体" w:cs="宋体"/>
          <w:color w:val="auto"/>
          <w:sz w:val="24"/>
        </w:rPr>
        <w:t>后</w:t>
      </w:r>
      <w:r>
        <w:rPr>
          <w:rFonts w:hint="eastAsia" w:ascii="宋体" w:hAnsi="宋体" w:cs="宋体"/>
          <w:color w:val="auto"/>
          <w:sz w:val="24"/>
          <w:lang w:val="en-US" w:eastAsia="zh-CN"/>
        </w:rPr>
        <w:t>15</w:t>
      </w:r>
      <w:r>
        <w:rPr>
          <w:rFonts w:hint="eastAsia" w:ascii="宋体" w:hAnsi="宋体" w:cs="宋体"/>
          <w:color w:val="auto"/>
          <w:sz w:val="24"/>
        </w:rPr>
        <w:t>个工作日内向中标人全额返还该履约保证金（不计息）。</w:t>
      </w:r>
    </w:p>
    <w:p w14:paraId="59CBBC72">
      <w:pPr>
        <w:snapToGrid w:val="0"/>
        <w:spacing w:line="460" w:lineRule="exact"/>
        <w:ind w:firstLine="480" w:firstLineChars="200"/>
        <w:outlineLvl w:val="1"/>
        <w:rPr>
          <w:rFonts w:ascii="宋体" w:hAnsi="宋体" w:cs="宋体"/>
          <w:color w:val="auto"/>
          <w:sz w:val="24"/>
        </w:rPr>
      </w:pPr>
    </w:p>
    <w:p w14:paraId="00C38D63">
      <w:pPr>
        <w:snapToGrid w:val="0"/>
        <w:spacing w:line="460" w:lineRule="exact"/>
        <w:ind w:firstLine="480" w:firstLineChars="200"/>
        <w:outlineLvl w:val="1"/>
        <w:rPr>
          <w:rFonts w:ascii="宋体" w:hAnsi="宋体" w:cs="宋体"/>
          <w:color w:val="auto"/>
          <w:sz w:val="24"/>
        </w:rPr>
      </w:pPr>
    </w:p>
    <w:p w14:paraId="06EE0FAC">
      <w:pPr>
        <w:snapToGrid w:val="0"/>
        <w:spacing w:line="360" w:lineRule="auto"/>
        <w:contextualSpacing/>
        <w:jc w:val="center"/>
        <w:rPr>
          <w:color w:val="auto"/>
          <w:sz w:val="28"/>
          <w:szCs w:val="28"/>
          <w:u w:val="single"/>
        </w:rPr>
      </w:pPr>
      <w:r>
        <w:rPr>
          <w:color w:val="auto"/>
          <w:sz w:val="24"/>
          <w:u w:val="single"/>
        </w:rPr>
        <w:br w:type="page"/>
      </w:r>
      <w:r>
        <w:rPr>
          <w:b/>
          <w:bCs/>
          <w:color w:val="auto"/>
          <w:sz w:val="36"/>
          <w:szCs w:val="36"/>
        </w:rPr>
        <w:t>第三部分  项目需求说明</w:t>
      </w:r>
      <w:bookmarkStart w:id="2" w:name="OLE_LINK3"/>
      <w:bookmarkStart w:id="3" w:name="OLE_LINK4"/>
    </w:p>
    <w:bookmarkEnd w:id="2"/>
    <w:bookmarkEnd w:id="3"/>
    <w:p w14:paraId="52D9F7B1">
      <w:pPr>
        <w:snapToGrid w:val="0"/>
        <w:spacing w:line="460" w:lineRule="exact"/>
        <w:ind w:firstLine="482" w:firstLineChars="200"/>
        <w:contextualSpacing/>
        <w:outlineLvl w:val="0"/>
        <w:rPr>
          <w:rFonts w:ascii="宋体" w:hAnsi="宋体" w:cs="宋体"/>
          <w:b/>
          <w:color w:val="auto"/>
          <w:sz w:val="24"/>
        </w:rPr>
      </w:pPr>
      <w:r>
        <w:rPr>
          <w:rFonts w:hint="eastAsia" w:ascii="宋体" w:hAnsi="宋体" w:cs="宋体"/>
          <w:b/>
          <w:color w:val="auto"/>
          <w:sz w:val="24"/>
        </w:rPr>
        <w:t>一、项目概况</w:t>
      </w:r>
    </w:p>
    <w:p w14:paraId="78962EC8">
      <w:pPr>
        <w:tabs>
          <w:tab w:val="left" w:pos="0"/>
        </w:tabs>
        <w:spacing w:line="460" w:lineRule="exact"/>
        <w:ind w:firstLine="480" w:firstLineChars="200"/>
        <w:rPr>
          <w:rFonts w:ascii="宋体" w:hAnsi="宋体" w:cs="宋体"/>
          <w:color w:val="auto"/>
          <w:kern w:val="0"/>
          <w:sz w:val="24"/>
          <w:szCs w:val="20"/>
        </w:rPr>
      </w:pPr>
      <w:r>
        <w:rPr>
          <w:rFonts w:hint="eastAsia"/>
          <w:color w:val="auto"/>
          <w:sz w:val="24"/>
        </w:rPr>
        <w:t>唐闸原</w:t>
      </w:r>
      <w:r>
        <w:rPr>
          <w:rFonts w:hint="eastAsia" w:ascii="宋体" w:hAnsi="宋体" w:cs="宋体"/>
          <w:color w:val="auto"/>
          <w:kern w:val="0"/>
          <w:sz w:val="24"/>
          <w:szCs w:val="20"/>
        </w:rPr>
        <w:t>大兴面粉厂位于南通市崇川区南市街25号，占地近13亩，现有房屋建筑面积</w:t>
      </w:r>
      <w:r>
        <w:rPr>
          <w:rFonts w:hint="eastAsia" w:ascii="宋体" w:hAnsi="宋体" w:cs="宋体"/>
          <w:color w:val="auto"/>
          <w:kern w:val="0"/>
          <w:sz w:val="24"/>
          <w:szCs w:val="20"/>
          <w:lang w:val="en-US" w:eastAsia="zh-CN"/>
        </w:rPr>
        <w:t>14537.67</w:t>
      </w:r>
      <w:r>
        <w:rPr>
          <w:rFonts w:hint="eastAsia" w:ascii="宋体" w:hAnsi="宋体" w:cs="宋体"/>
          <w:color w:val="auto"/>
          <w:kern w:val="0"/>
          <w:sz w:val="24"/>
          <w:szCs w:val="20"/>
        </w:rPr>
        <w:t>2平方米。</w:t>
      </w:r>
    </w:p>
    <w:p w14:paraId="32F95087">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招标人拟采用公开招标方式确定实际投资运营单位对原大兴面粉厂进行整体改造升级，以构建“工业遗存再造”为产业指导，以文旅消费场景+社交场景办公场景为依托，打造生活消费、休闲运动、文化艺术、商务办公、影视基地旅游体验于一体的数字文化街区，并逐步带动周边区域改造更新，为市民创造一处悠闲舒适的高阶生活中心。</w:t>
      </w:r>
    </w:p>
    <w:p w14:paraId="2F2000E1">
      <w:pPr>
        <w:tabs>
          <w:tab w:val="left" w:pos="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二、招标标的需执行的国家相关标准、行业标准、地方标准或者其他标准、规范</w:t>
      </w:r>
    </w:p>
    <w:p w14:paraId="70B26CBD">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1.《中华人民共和国民法典》及其他相关法律、法规；</w:t>
      </w:r>
    </w:p>
    <w:p w14:paraId="16071BAD">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2.南通市崇川</w:t>
      </w:r>
      <w:r>
        <w:rPr>
          <w:rFonts w:ascii="宋体" w:hAnsi="宋体" w:cs="宋体"/>
          <w:color w:val="auto"/>
          <w:kern w:val="0"/>
          <w:sz w:val="24"/>
          <w:szCs w:val="20"/>
        </w:rPr>
        <w:t>区</w:t>
      </w:r>
      <w:r>
        <w:rPr>
          <w:rFonts w:hint="eastAsia" w:ascii="宋体" w:hAnsi="宋体" w:cs="宋体"/>
          <w:color w:val="auto"/>
          <w:kern w:val="0"/>
          <w:sz w:val="24"/>
          <w:szCs w:val="20"/>
        </w:rPr>
        <w:t>相关产业发展规划；</w:t>
      </w:r>
    </w:p>
    <w:p w14:paraId="547E24EC">
      <w:pPr>
        <w:spacing w:line="460" w:lineRule="exact"/>
        <w:ind w:firstLine="480" w:firstLineChars="200"/>
        <w:rPr>
          <w:rFonts w:ascii="宋体" w:hAnsi="宋体" w:cs="宋体"/>
          <w:color w:val="auto"/>
          <w:sz w:val="24"/>
        </w:rPr>
      </w:pPr>
      <w:r>
        <w:rPr>
          <w:rFonts w:hint="eastAsia" w:ascii="宋体" w:hAnsi="宋体" w:cs="宋体"/>
          <w:color w:val="auto"/>
          <w:kern w:val="0"/>
          <w:sz w:val="24"/>
          <w:szCs w:val="20"/>
        </w:rPr>
        <w:t>限制项目：不得引进违法违禁、有严重环境污染、高能耗等不符合南通市</w:t>
      </w:r>
      <w:r>
        <w:rPr>
          <w:rFonts w:ascii="宋体" w:hAnsi="宋体" w:cs="宋体"/>
          <w:color w:val="auto"/>
          <w:kern w:val="0"/>
          <w:sz w:val="24"/>
          <w:szCs w:val="20"/>
        </w:rPr>
        <w:t>崇川区及</w:t>
      </w:r>
      <w:r>
        <w:rPr>
          <w:rFonts w:hint="eastAsia" w:ascii="宋体" w:hAnsi="宋体" w:cs="宋体"/>
          <w:color w:val="auto"/>
          <w:kern w:val="0"/>
          <w:sz w:val="24"/>
          <w:szCs w:val="20"/>
        </w:rPr>
        <w:t>园区整体规划定位的商业或办公项目。</w:t>
      </w:r>
    </w:p>
    <w:p w14:paraId="5F3BC93F">
      <w:pPr>
        <w:tabs>
          <w:tab w:val="left" w:pos="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三、招标标的需满足的质量、安全、技术规格、物理特性等要求</w:t>
      </w:r>
    </w:p>
    <w:p w14:paraId="1C897A32">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1.南通唐闸古镇保护开发有限公司（以下简称“招标人”）以全委托运营管理模式与招商运营方（以下简称“运营方”）就本项目开展合作。运营场所给运营方用于文化创意、科技、配套商业、办公等产业对外运营招商、运营管理。总体招商进度要求：合约生效的第二个年度，招商进度要完成全业态不低于35%的入驻；第三年招商进度要完成全业态不低于45%的入驻；第四年招商进度要完成全业态不低于60%的入驻；第五年招商进度要完成全业态不低于75%的入驻。以入驻商户签订运营或合作合约并开始装修为准。</w:t>
      </w:r>
    </w:p>
    <w:p w14:paraId="443F7A61">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运营方应开展和提供以下服务事项：</w:t>
      </w:r>
    </w:p>
    <w:p w14:paraId="3F01B7EC">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1.1修缮培育</w:t>
      </w:r>
    </w:p>
    <w:p w14:paraId="491B6A5C">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本项目修缮培育期为协议签订后前5年，为项目投资打造期，运营方投资改造范围包括项目标的内基础管网、道路、消防、结构、绿化景观、房屋加固、房屋外立面、防水、公共部分装修、标识标牌、公共装置及智能化等工程改造。费用由运营方投资，实际投资金额以双方共同认可的第三方单位审计为准。</w:t>
      </w:r>
    </w:p>
    <w:p w14:paraId="2167EDC7">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运营方需结合运营物的实际情况，根据项目所需制定项目改造设计及规划方案，改造设计及规划方案经双方认可后方可施工。</w:t>
      </w:r>
    </w:p>
    <w:p w14:paraId="33EBEE4A">
      <w:pPr>
        <w:tabs>
          <w:tab w:val="left" w:pos="0"/>
        </w:tabs>
        <w:spacing w:line="460" w:lineRule="exact"/>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项目修缮培育期间，运营方（中标人）对于该项目的改造投资总金额为1000万元。招标人将对运营方修缮培育期内投资金额的投入</w:t>
      </w:r>
      <w:r>
        <w:rPr>
          <w:rFonts w:hint="eastAsia" w:ascii="宋体" w:hAnsi="宋体" w:cs="宋体"/>
          <w:color w:val="auto"/>
          <w:kern w:val="0"/>
          <w:sz w:val="24"/>
          <w:szCs w:val="20"/>
          <w:lang w:val="en-US" w:eastAsia="zh-CN"/>
        </w:rPr>
        <w:t>比例</w:t>
      </w:r>
      <w:r>
        <w:rPr>
          <w:rFonts w:hint="eastAsia" w:ascii="宋体" w:hAnsi="宋体" w:cs="宋体"/>
          <w:color w:val="auto"/>
          <w:kern w:val="0"/>
          <w:sz w:val="24"/>
          <w:szCs w:val="20"/>
        </w:rPr>
        <w:t>进行考核，第一年投资金额不少于投资总金额的20%，第二年累计投资金额不少于投资总金额的50%，第三年累计投资金额不少于投资总金额的60%，第四年累计投资金额不少于投资总金额的80%，第五年累计投资金额不少于投资总金额的100%。项目修缮培育期内如运营方对于项目的改造投资总金额少于1000万元的，招标人有权要求运营方将改造投资补足至1000万元并严格执行考核目标约定。运营方拒绝补足差额的，招标人有权解除协议，并要求运营方承担相应违约责任并支付违约金，同时足额支付本运营年度租金。违约金为修缮培育期后首年总租金的20%。如因投标人违约造成的协议终止或解除，除按照该条约定支付违约金、租金外，其缴纳的履约保证金不予退还。</w:t>
      </w:r>
    </w:p>
    <w:p w14:paraId="38BDBAC6">
      <w:pPr>
        <w:tabs>
          <w:tab w:val="left" w:pos="0"/>
        </w:tabs>
        <w:spacing w:line="460" w:lineRule="exact"/>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在5年修缮培育期内，招标人将依据运营方的投资及招商进度制定年度考核办法，若运营方在运营年度通过考核，可享受培育期优惠免租，进入下一年度运营；若未完成年度考核目标，则对应考核年度不再免租，</w:t>
      </w:r>
      <w:r>
        <w:rPr>
          <w:rFonts w:hint="eastAsia" w:ascii="宋体" w:hAnsi="宋体" w:cs="宋体"/>
          <w:color w:val="auto"/>
          <w:kern w:val="0"/>
          <w:sz w:val="24"/>
          <w:szCs w:val="20"/>
          <w:lang w:val="en-US" w:eastAsia="zh-CN"/>
        </w:rPr>
        <w:t>运营方</w:t>
      </w:r>
      <w:r>
        <w:rPr>
          <w:rFonts w:hint="eastAsia" w:ascii="宋体" w:hAnsi="宋体" w:cs="宋体"/>
          <w:color w:val="auto"/>
          <w:kern w:val="0"/>
          <w:sz w:val="24"/>
          <w:szCs w:val="20"/>
        </w:rPr>
        <w:t>应于双方确认考核结果之日起</w:t>
      </w:r>
      <w:r>
        <w:rPr>
          <w:rFonts w:hint="eastAsia" w:ascii="宋体" w:hAnsi="宋体" w:cs="宋体"/>
          <w:color w:val="auto"/>
          <w:kern w:val="0"/>
          <w:sz w:val="24"/>
          <w:szCs w:val="20"/>
          <w:lang w:val="en-US" w:eastAsia="zh-CN"/>
        </w:rPr>
        <w:t>10</w:t>
      </w:r>
      <w:r>
        <w:rPr>
          <w:rFonts w:hint="eastAsia" w:ascii="宋体" w:hAnsi="宋体" w:cs="宋体"/>
          <w:color w:val="auto"/>
          <w:kern w:val="0"/>
          <w:sz w:val="24"/>
          <w:szCs w:val="20"/>
        </w:rPr>
        <w:t>日内支付违约金，同时足额支付本运营年度租金。违约金为修缮培育期后首年总租金的20%。如因</w:t>
      </w:r>
      <w:r>
        <w:rPr>
          <w:rFonts w:hint="eastAsia" w:ascii="宋体" w:hAnsi="宋体" w:cs="宋体"/>
          <w:color w:val="auto"/>
          <w:kern w:val="0"/>
          <w:sz w:val="24"/>
          <w:szCs w:val="20"/>
          <w:lang w:val="en-US" w:eastAsia="zh-CN"/>
        </w:rPr>
        <w:t>运营方</w:t>
      </w:r>
      <w:r>
        <w:rPr>
          <w:rFonts w:hint="eastAsia" w:ascii="宋体" w:hAnsi="宋体" w:cs="宋体"/>
          <w:color w:val="auto"/>
          <w:kern w:val="0"/>
          <w:sz w:val="24"/>
          <w:szCs w:val="20"/>
        </w:rPr>
        <w:t>违约造成的协议终止或解除，除按照该条约定支付违约金、租金外，其缴纳的履约保证金不予退还。以此类推，直至修缮培育期结束。</w:t>
      </w:r>
    </w:p>
    <w:p w14:paraId="5631CEBE">
      <w:pPr>
        <w:tabs>
          <w:tab w:val="left" w:pos="0"/>
        </w:tabs>
        <w:spacing w:line="460" w:lineRule="exact"/>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1.2招商服务</w:t>
      </w:r>
    </w:p>
    <w:p w14:paraId="5E5672FC">
      <w:pPr>
        <w:tabs>
          <w:tab w:val="left" w:pos="0"/>
        </w:tabs>
        <w:spacing w:line="46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在本项目招商服务阶段内，运营方组成专门的招商团队，在双方确认的项目产业/商业定位、经营业态布局、租金及运营条件基础上开展对外招商服务，包括不限于项目招商运营前期策划、编制项目招商方案及招商手册、制定招商运营优惠政策，进行项目招商、再招商、渠道佣金结算等招商服务，与入驻企业、商户签订运营意向协议、运营协议及相关补充协议等招商服务。招商服务主要内容：</w:t>
      </w:r>
    </w:p>
    <w:p w14:paraId="2E630D59">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（1）根据项目定位、产业定位和商业业态规划制定招商方案、招商政策、运营价格标准等；</w:t>
      </w:r>
    </w:p>
    <w:p w14:paraId="59167F9B">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（2）编制项目招商手册和招商相关的宣传文案；</w:t>
      </w:r>
    </w:p>
    <w:p w14:paraId="3FE22EC3">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（3）拟定企业及商家入驻条件与收租模式；</w:t>
      </w:r>
    </w:p>
    <w:p w14:paraId="0D60A04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（4）不定期组织招商活动进行集中招商；</w:t>
      </w:r>
    </w:p>
    <w:p w14:paraId="75F640B1">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（5）引进符合项目定位的主导企业、优质主力店、优质品牌；</w:t>
      </w:r>
    </w:p>
    <w:p w14:paraId="72D8E1CD">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（6）对企业经营、商业经营进行效益评估，对不适企业、商家进行更新迭代；</w:t>
      </w:r>
    </w:p>
    <w:p w14:paraId="7F1AD640">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（7）完成签约率等招商指标；</w:t>
      </w:r>
    </w:p>
    <w:p w14:paraId="21B2678C">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（8）招商合作条件洽谈与招商签约；</w:t>
      </w:r>
    </w:p>
    <w:p w14:paraId="68C7C2C6">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（9）统筹、整合相应的招商渠道及资源；</w:t>
      </w:r>
    </w:p>
    <w:p w14:paraId="16F32C15">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（10）完成招标人要求的招商考核目标任务；</w:t>
      </w:r>
    </w:p>
    <w:p w14:paraId="15609083">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（11）针对招商目标制定相应的招商策略；</w:t>
      </w:r>
    </w:p>
    <w:p w14:paraId="49A3DA7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（12）完成招标人交办的招商相关的工作；</w:t>
      </w:r>
    </w:p>
    <w:p w14:paraId="1595ADAA">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（13）其他招商相关的工作。</w:t>
      </w:r>
    </w:p>
    <w:p w14:paraId="00C3F47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1.3运营服务</w:t>
      </w:r>
    </w:p>
    <w:p w14:paraId="5D29A971">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在本项目运营管理服务期限内，运营方为招标人提供</w:t>
      </w:r>
      <w:r>
        <w:rPr>
          <w:rFonts w:hint="eastAsia"/>
          <w:color w:val="auto"/>
          <w:sz w:val="24"/>
        </w:rPr>
        <w:t>唐闸原</w:t>
      </w:r>
      <w:r>
        <w:rPr>
          <w:rFonts w:hint="eastAsia" w:ascii="宋体" w:hAnsi="宋体" w:cs="宋体"/>
          <w:color w:val="auto"/>
          <w:kern w:val="0"/>
          <w:sz w:val="24"/>
          <w:szCs w:val="20"/>
        </w:rPr>
        <w:t>大兴面粉厂运营服务，包括不限于进行商业经营管理、经营业态调整、企业创新资源协同服务/非核心业务外包服务、人才出行/人才公寓申请、社交等服务、营销企划活动宣传等运营管理服务。运营服务主要内容：</w:t>
      </w:r>
    </w:p>
    <w:p w14:paraId="04BAF616">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（1）对商家/企业进场装修的管理；</w:t>
      </w:r>
    </w:p>
    <w:p w14:paraId="715A3653">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（2）项目商业部分试营业和正式开业的形象包装、活动策划及执行；</w:t>
      </w:r>
    </w:p>
    <w:p w14:paraId="4C63D3E7">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（3）负责项目线上自媒体账号的注册及运营，包括但不限于微信公众号、微博、抖音、小红书、快手等；</w:t>
      </w:r>
    </w:p>
    <w:p w14:paraId="04C2A54E">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（4）项目每年运营的企划推广计划的制定；</w:t>
      </w:r>
    </w:p>
    <w:p w14:paraId="3EB6302E">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（5）经营期间的商家/企业管理、客户服务及招商调整；</w:t>
      </w:r>
    </w:p>
    <w:p w14:paraId="76DBFA00">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（6）负责企业创新资源协同服务/非核心业务外包服务体系的搭建；</w:t>
      </w:r>
    </w:p>
    <w:p w14:paraId="1FAD6C8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（8）负责企业人才服务体系的搭建；</w:t>
      </w:r>
    </w:p>
    <w:p w14:paraId="14437A9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（9）定期向招标人汇报项目运营策略及运营总结；</w:t>
      </w:r>
    </w:p>
    <w:p w14:paraId="6DAA4B6D">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（10）协调经营期间的政府职能部门、商家关系及日常经营性事务等；</w:t>
      </w:r>
    </w:p>
    <w:p w14:paraId="34C24346">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（11）完成招标人交办的运营相关的工作。</w:t>
      </w:r>
    </w:p>
    <w:p w14:paraId="6B0B0450">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1.4物业管理服务</w:t>
      </w:r>
    </w:p>
    <w:p w14:paraId="66C67AE1">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遵循并执行国家及地方有关物业管理的法规、规章和规范性文件，满足并维护招标人及入驻商户的正当权益，建立系统全面的物业管理方案和体系，制定明确的管理程序及高效的操作标准，为入驻企业和商户提供专业、高效、便捷的保洁、保安、设备运维等物业管理服务。物业管理服务主要内容：</w:t>
      </w:r>
    </w:p>
    <w:p w14:paraId="3D737ABB">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清卫保洁（对项目红线范围内公共区域商业、办公、天台、消防通道、室内公共区域大堂、电梯厅、卫生间、走廊、公共设施、地上/地下停车场地、房屋外立面、广场、下沉广场，非机动车停车场地等，原则上以公共场所为主）垃圾分类及清运工作；</w:t>
      </w:r>
    </w:p>
    <w:p w14:paraId="53D5DC5C">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（2）保修养护期后的绿地养护管理，绿化养护修剪、拔草，灌溉，除虫消杀；</w:t>
      </w:r>
    </w:p>
    <w:p w14:paraId="7929D08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（3）秩序维护，安保日常巡查管理、车辆停放秩序管理、装修管控巡查、空置房巡查、办公区域人员及物品进出管控、车辆停放秩序管理、消防安全管理等；</w:t>
      </w:r>
    </w:p>
    <w:p w14:paraId="063D357C">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（4）安全生产应急事件的处理预案、消防处理预案、电梯困人处理预案、食物中毒处理预案、防汛处理预案、治安事件应急处理预案、</w:t>
      </w:r>
      <w:r>
        <w:rPr>
          <w:rFonts w:hint="eastAsia" w:ascii="宋体" w:hAnsi="宋体" w:cs="宋体"/>
          <w:color w:val="auto"/>
          <w:kern w:val="0"/>
          <w:sz w:val="24"/>
          <w:szCs w:val="20"/>
          <w:lang w:val="zh-CN"/>
        </w:rPr>
        <w:t>交通意外事故</w:t>
      </w:r>
      <w:r>
        <w:rPr>
          <w:rFonts w:hint="eastAsia" w:ascii="宋体" w:hAnsi="宋体" w:cs="宋体"/>
          <w:color w:val="auto"/>
          <w:kern w:val="0"/>
          <w:sz w:val="24"/>
          <w:szCs w:val="20"/>
        </w:rPr>
        <w:t>处理预案</w:t>
      </w:r>
      <w:r>
        <w:rPr>
          <w:rFonts w:hint="eastAsia" w:ascii="宋体" w:hAnsi="宋体" w:cs="宋体"/>
          <w:color w:val="auto"/>
          <w:kern w:val="0"/>
          <w:sz w:val="24"/>
          <w:szCs w:val="20"/>
          <w:lang w:val="zh-CN"/>
        </w:rPr>
        <w:t>、</w:t>
      </w:r>
      <w:r>
        <w:rPr>
          <w:rFonts w:hint="eastAsia" w:ascii="宋体" w:hAnsi="宋体" w:cs="宋体"/>
          <w:color w:val="auto"/>
          <w:kern w:val="0"/>
          <w:sz w:val="24"/>
          <w:szCs w:val="20"/>
        </w:rPr>
        <w:t>活动开展秩序维护保障等；</w:t>
      </w:r>
    </w:p>
    <w:p w14:paraId="602AAB1A">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（5）客户/业主的来访接待服务、会务服务、提供茶水饮品、增值业务服务、日常客户事项办理接待跟进服务、客户拜访、社区文化活动开展服务等工作；</w:t>
      </w:r>
    </w:p>
    <w:p w14:paraId="2DDD419F">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（6）建筑物及设备设施的维保管理；</w:t>
      </w:r>
    </w:p>
    <w:p w14:paraId="5F3D48D6">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（7）公区精装修日常保养管理（大堂及地下室大堂、电梯厅、前室、走廊、卫生间等，原则上以室内公区为主）；</w:t>
      </w:r>
    </w:p>
    <w:p w14:paraId="2EAAF412">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（8）各专业设备运行保养管理（包括电梯系统、供配电系统、给排水系统、采暖通风系统、弱电楼宇智能化系统、消防设施设备系统等）；</w:t>
      </w:r>
    </w:p>
    <w:p w14:paraId="2D39277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（9）配套设施维保管理（喷灌设施、隔油池、化粪池、垃圾站、垃圾桶、休闲座椅、雨水井圈井盖、雨漏、花台、雕塑、栏杆等）；</w:t>
      </w:r>
    </w:p>
    <w:p w14:paraId="17429B2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（10）能耗管理（如有此项）（能耗体系搭建、客户能源服务、公共能源管理）；</w:t>
      </w:r>
    </w:p>
    <w:p w14:paraId="3195E59B">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（11）物业管理及房屋等建筑物、设施设备</w:t>
      </w:r>
      <w:r>
        <w:rPr>
          <w:rFonts w:hint="eastAsia" w:ascii="仿宋" w:hAnsi="仿宋" w:eastAsia="仿宋" w:cs="仿宋"/>
          <w:color w:val="auto"/>
          <w:sz w:val="28"/>
          <w:szCs w:val="28"/>
        </w:rPr>
        <w:t>的</w:t>
      </w:r>
      <w:r>
        <w:rPr>
          <w:rFonts w:hint="eastAsia" w:ascii="宋体" w:hAnsi="宋体" w:cs="宋体"/>
          <w:color w:val="auto"/>
          <w:kern w:val="0"/>
          <w:sz w:val="24"/>
          <w:szCs w:val="20"/>
        </w:rPr>
        <w:t>日常维护、维修等由中标人负责并承担费用，其中属于中标人投资建设、改造装修部分的维护、维修、保养由中标人全权负责；</w:t>
      </w:r>
    </w:p>
    <w:p w14:paraId="462ABD6C">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（12）法律政策及协议规定物业管理的其他事项。</w:t>
      </w:r>
    </w:p>
    <w:p w14:paraId="515A4550">
      <w:pPr>
        <w:pStyle w:val="12"/>
        <w:tabs>
          <w:tab w:val="left" w:pos="0"/>
        </w:tabs>
        <w:snapToGrid w:val="0"/>
        <w:spacing w:before="120" w:after="120" w:line="460" w:lineRule="exact"/>
        <w:ind w:firstLine="482" w:firstLineChars="200"/>
        <w:rPr>
          <w:rFonts w:hAnsi="宋体" w:cs="宋体"/>
          <w:b/>
          <w:bCs/>
          <w:color w:val="auto"/>
          <w:kern w:val="2"/>
          <w:sz w:val="24"/>
          <w:szCs w:val="24"/>
        </w:rPr>
      </w:pPr>
      <w:r>
        <w:rPr>
          <w:rFonts w:hint="eastAsia" w:hAnsi="宋体" w:cs="宋体"/>
          <w:b/>
          <w:bCs/>
          <w:color w:val="auto"/>
          <w:kern w:val="2"/>
          <w:sz w:val="24"/>
          <w:szCs w:val="24"/>
        </w:rPr>
        <w:t>四、招标标的数量、采购项目交付或者实施的时间和地点</w:t>
      </w:r>
    </w:p>
    <w:p w14:paraId="6B5C49AB">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1.招标标的的数量：具体详见 “三、招标标的需满足的质量、安全、技术规格、物理特性等要求”。</w:t>
      </w:r>
    </w:p>
    <w:p w14:paraId="1E779E04">
      <w:pPr>
        <w:spacing w:line="480" w:lineRule="exact"/>
        <w:ind w:firstLine="480" w:firstLineChars="200"/>
        <w:rPr>
          <w:rFonts w:ascii="宋体" w:hAnsi="宋体" w:cs="宋体"/>
          <w:color w:val="auto"/>
          <w:kern w:val="0"/>
          <w:sz w:val="24"/>
          <w:szCs w:val="20"/>
        </w:rPr>
      </w:pPr>
      <w:r>
        <w:rPr>
          <w:rFonts w:hint="eastAsia" w:ascii="宋体" w:hAnsi="宋体" w:cs="宋体"/>
          <w:color w:val="auto"/>
          <w:kern w:val="0"/>
          <w:sz w:val="24"/>
          <w:szCs w:val="20"/>
        </w:rPr>
        <w:t>2.合作期限为15年。具体划分为：前5年为修缮培育期，后10年为运营期。合作期届满时，运营方需在一个月内将本项目房屋建筑、配套设施设备移交招标人，同时移交全部运营资料，并按照招标人要求的期限完成现场撤离。</w:t>
      </w:r>
    </w:p>
    <w:p w14:paraId="59CE4917">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3.招标项目交付地点：南通市崇川区南市街25号。</w:t>
      </w:r>
    </w:p>
    <w:p w14:paraId="74295466">
      <w:pPr>
        <w:pStyle w:val="12"/>
        <w:tabs>
          <w:tab w:val="left" w:pos="0"/>
        </w:tabs>
        <w:snapToGrid w:val="0"/>
        <w:spacing w:before="120" w:after="120" w:line="460" w:lineRule="exact"/>
        <w:ind w:firstLine="482" w:firstLineChars="200"/>
        <w:rPr>
          <w:rFonts w:hAnsi="宋体" w:cs="宋体"/>
          <w:b/>
          <w:bCs/>
          <w:color w:val="auto"/>
          <w:kern w:val="2"/>
          <w:sz w:val="24"/>
          <w:szCs w:val="24"/>
        </w:rPr>
      </w:pPr>
      <w:r>
        <w:rPr>
          <w:rFonts w:hint="eastAsia" w:hAnsi="宋体" w:cs="宋体"/>
          <w:b/>
          <w:bCs/>
          <w:color w:val="auto"/>
          <w:kern w:val="2"/>
          <w:sz w:val="24"/>
          <w:szCs w:val="24"/>
        </w:rPr>
        <w:t>五、招标标的需满足的服务标准、期限、效率等要求</w:t>
      </w:r>
    </w:p>
    <w:p w14:paraId="1DD265E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1.招商阶段服务要求</w:t>
      </w:r>
    </w:p>
    <w:p w14:paraId="3B98018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1.1为本项目遴选符合市场需求、本项目经营规划及功能定位要求的商家或其他使用人，并要求其正常开业和经营。</w:t>
      </w:r>
    </w:p>
    <w:p w14:paraId="1A6067BA">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1.2为本项目遴选符合市场需求、本项目产业规划及定位要求的企业或其他使用人，并要求其正常入驻和经营。</w:t>
      </w:r>
    </w:p>
    <w:p w14:paraId="47489A49">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1.3未经招标人同意，不得向任何第三方透露与本项目有关的信息资料。</w:t>
      </w:r>
    </w:p>
    <w:p w14:paraId="5C813405">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2.运营管理阶段服务要求</w:t>
      </w:r>
    </w:p>
    <w:p w14:paraId="4B172F4A">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2.1对租户或其他使用人的经营活动进行管理，督促其遵守与物业管理、商业经营管理、安全、环保等相关的所有法律规范、协议和文件以及各项管理规定等；</w:t>
      </w:r>
    </w:p>
    <w:p w14:paraId="22211CA3">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2.2负责本项目招商及经营管理过程中的各项日常管理工作和物业管理工作，并自行协调和处理本协议项目范围内的相关纷争（包括但不限于公共区域的使用、租户相邻关系的协调和纠纷的处理、顾客投诉、各承租户的安全、环保督察等）。若因运营方未及时履行本款义务而给招标人造成损失的，运营方应赔偿招标人所有损失；</w:t>
      </w:r>
    </w:p>
    <w:p w14:paraId="4A09D9A4">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2.3运营方应当承担的各项费用、税款等；</w:t>
      </w:r>
    </w:p>
    <w:p w14:paraId="2C67B3B7">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2.4每天在项目内进行巡查并作好记录，及时发现用户自用或公共部位中存在的问题，向用户提出整改要求并督促用户进行整改；涉及公共部位的，由运营方自行整改；</w:t>
      </w:r>
    </w:p>
    <w:p w14:paraId="6281ECEB">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2.5根据招标人要求，按时提交包括但不限于项目商业/产业定位、经营业态布局、企业/人才服务体系、阶段工作总结、物业管理相关工作总结等书面文件；</w:t>
      </w:r>
    </w:p>
    <w:p w14:paraId="1C6F2210">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2.6不得侵害招标人、业主、物业使用人及他人的合法权益。</w:t>
      </w:r>
    </w:p>
    <w:p w14:paraId="0B6CBDFC">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3.物业服务要求</w:t>
      </w:r>
    </w:p>
    <w:p w14:paraId="41B25F05">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3.1遵循并执行国家及地方有关物业管理的法规、规章和规范性文件，建立系统全面的物业管理方案和体系，制定明确的管理程序及高效的操作标准并进行公示，在物业服务每项工作中的每个环节上体现专业化精神。</w:t>
      </w:r>
    </w:p>
    <w:p w14:paraId="4B87AA8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3.2事故发生率控制在安全责任考核目标要求内，杜绝火灾责任事故、杜绝刑事案件、杜绝安全环保责任事故，杜绝因管理原因引起的治安案件。</w:t>
      </w:r>
    </w:p>
    <w:p w14:paraId="6613CE6D">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3.3承担本协议期内物业委托管理范围内的安全生产主体责任，切实行使安全生产的责任。运营方需明确安全生产责任人和部门职责，定期组织安全生产检查，切实采取措施，排除安全隐患。</w:t>
      </w:r>
    </w:p>
    <w:p w14:paraId="4DEDD72F">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3.4</w:t>
      </w:r>
      <w:r>
        <w:rPr>
          <w:rFonts w:ascii="宋体" w:hAnsi="宋体" w:cs="宋体"/>
          <w:color w:val="auto"/>
          <w:kern w:val="0"/>
          <w:sz w:val="24"/>
          <w:szCs w:val="20"/>
        </w:rPr>
        <w:t>运营方</w:t>
      </w:r>
      <w:r>
        <w:rPr>
          <w:rFonts w:hint="eastAsia" w:ascii="宋体" w:hAnsi="宋体" w:cs="宋体"/>
          <w:color w:val="auto"/>
          <w:kern w:val="0"/>
          <w:sz w:val="24"/>
          <w:szCs w:val="20"/>
        </w:rPr>
        <w:t>在合法合规基础上制定物业管理服务费收费标准并</w:t>
      </w:r>
      <w:r>
        <w:rPr>
          <w:rFonts w:ascii="宋体" w:hAnsi="宋体" w:cs="宋体"/>
          <w:color w:val="auto"/>
          <w:kern w:val="0"/>
          <w:sz w:val="24"/>
          <w:szCs w:val="20"/>
        </w:rPr>
        <w:t>自行向租户/业主收取，</w:t>
      </w:r>
      <w:r>
        <w:rPr>
          <w:rFonts w:hint="eastAsia" w:ascii="宋体" w:hAnsi="宋体" w:cs="宋体"/>
          <w:color w:val="auto"/>
          <w:kern w:val="0"/>
          <w:sz w:val="24"/>
          <w:szCs w:val="20"/>
        </w:rPr>
        <w:t>招标人</w:t>
      </w:r>
      <w:r>
        <w:rPr>
          <w:rFonts w:ascii="宋体" w:hAnsi="宋体" w:cs="宋体"/>
          <w:color w:val="auto"/>
          <w:kern w:val="0"/>
          <w:sz w:val="24"/>
          <w:szCs w:val="20"/>
        </w:rPr>
        <w:t>不再</w:t>
      </w:r>
      <w:r>
        <w:rPr>
          <w:rFonts w:hint="eastAsia" w:ascii="宋体" w:hAnsi="宋体" w:cs="宋体"/>
          <w:color w:val="auto"/>
          <w:kern w:val="0"/>
          <w:sz w:val="24"/>
          <w:szCs w:val="20"/>
        </w:rPr>
        <w:t>向运营方</w:t>
      </w:r>
      <w:r>
        <w:rPr>
          <w:rFonts w:ascii="宋体" w:hAnsi="宋体" w:cs="宋体"/>
          <w:color w:val="auto"/>
          <w:kern w:val="0"/>
          <w:sz w:val="24"/>
          <w:szCs w:val="20"/>
        </w:rPr>
        <w:t>支付空置</w:t>
      </w:r>
      <w:r>
        <w:rPr>
          <w:rFonts w:hint="eastAsia" w:ascii="宋体" w:hAnsi="宋体" w:cs="宋体"/>
          <w:color w:val="auto"/>
          <w:kern w:val="0"/>
          <w:sz w:val="24"/>
          <w:szCs w:val="20"/>
        </w:rPr>
        <w:t>房</w:t>
      </w:r>
      <w:r>
        <w:rPr>
          <w:rFonts w:ascii="宋体" w:hAnsi="宋体" w:cs="宋体"/>
          <w:color w:val="auto"/>
          <w:kern w:val="0"/>
          <w:sz w:val="24"/>
          <w:szCs w:val="20"/>
        </w:rPr>
        <w:t>物业费</w:t>
      </w:r>
      <w:r>
        <w:rPr>
          <w:rFonts w:hint="eastAsia" w:ascii="宋体" w:hAnsi="宋体" w:cs="宋体"/>
          <w:color w:val="auto"/>
          <w:kern w:val="0"/>
          <w:sz w:val="24"/>
          <w:szCs w:val="20"/>
        </w:rPr>
        <w:t>。</w:t>
      </w:r>
    </w:p>
    <w:p w14:paraId="29155047">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3.5物业管理收费面积原则上以运营协议面积为准。</w:t>
      </w:r>
    </w:p>
    <w:p w14:paraId="4AA3C670">
      <w:pPr>
        <w:adjustRightInd w:val="0"/>
        <w:snapToGrid w:val="0"/>
        <w:spacing w:line="460" w:lineRule="exact"/>
        <w:ind w:firstLine="480" w:firstLineChars="200"/>
        <w:jc w:val="left"/>
        <w:outlineLvl w:val="1"/>
        <w:rPr>
          <w:rFonts w:ascii="宋体" w:hAnsi="宋体" w:cs="宋体"/>
          <w:bCs/>
          <w:color w:val="auto"/>
          <w:sz w:val="24"/>
        </w:rPr>
      </w:pPr>
      <w:r>
        <w:rPr>
          <w:rFonts w:hint="eastAsia" w:ascii="宋体" w:hAnsi="宋体" w:cs="宋体"/>
          <w:color w:val="auto"/>
          <w:kern w:val="0"/>
          <w:sz w:val="24"/>
          <w:szCs w:val="20"/>
        </w:rPr>
        <w:t>3.6投标人应制定详细的物业管理服务响应方案和考核办法措施，经招标人确认后实施。</w:t>
      </w:r>
    </w:p>
    <w:p w14:paraId="64731A0E">
      <w:pPr>
        <w:pStyle w:val="12"/>
        <w:tabs>
          <w:tab w:val="left" w:pos="0"/>
        </w:tabs>
        <w:snapToGrid w:val="0"/>
        <w:spacing w:line="460" w:lineRule="exact"/>
        <w:ind w:firstLine="482" w:firstLineChars="200"/>
        <w:rPr>
          <w:rFonts w:ascii="Times New Roman" w:hAnsi="Times New Roman"/>
          <w:b/>
          <w:bCs/>
          <w:color w:val="auto"/>
          <w:kern w:val="2"/>
          <w:sz w:val="24"/>
          <w:szCs w:val="24"/>
        </w:rPr>
      </w:pPr>
      <w:r>
        <w:rPr>
          <w:rFonts w:hint="eastAsia" w:ascii="Times New Roman" w:hAnsi="Times New Roman"/>
          <w:b/>
          <w:bCs/>
          <w:color w:val="auto"/>
          <w:kern w:val="2"/>
          <w:sz w:val="24"/>
          <w:szCs w:val="24"/>
        </w:rPr>
        <w:t>六、招标</w:t>
      </w:r>
      <w:r>
        <w:rPr>
          <w:rFonts w:ascii="Times New Roman" w:hAnsi="Times New Roman"/>
          <w:b/>
          <w:bCs/>
          <w:color w:val="auto"/>
          <w:kern w:val="2"/>
          <w:sz w:val="24"/>
          <w:szCs w:val="24"/>
        </w:rPr>
        <w:t>标的</w:t>
      </w:r>
      <w:r>
        <w:rPr>
          <w:rFonts w:hint="eastAsia" w:ascii="Times New Roman" w:hAnsi="Times New Roman"/>
          <w:b/>
          <w:bCs/>
          <w:color w:val="auto"/>
          <w:kern w:val="2"/>
          <w:sz w:val="24"/>
          <w:szCs w:val="24"/>
        </w:rPr>
        <w:t>结算</w:t>
      </w:r>
      <w:r>
        <w:rPr>
          <w:rFonts w:ascii="Times New Roman" w:hAnsi="Times New Roman"/>
          <w:b/>
          <w:bCs/>
          <w:color w:val="auto"/>
          <w:kern w:val="2"/>
          <w:sz w:val="24"/>
          <w:szCs w:val="24"/>
        </w:rPr>
        <w:t>方式</w:t>
      </w:r>
    </w:p>
    <w:p w14:paraId="227C59A9">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合作期间，前5年为修缮培育期，后10年为运营期。招标人按照以下方式收取租金：</w:t>
      </w:r>
    </w:p>
    <w:p w14:paraId="2A416F0F">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1.修缮培育期:</w:t>
      </w:r>
      <w:r>
        <w:rPr>
          <w:rFonts w:hint="eastAsia"/>
          <w:color w:val="auto"/>
          <w:sz w:val="24"/>
        </w:rPr>
        <w:t>前五年修缮培育期的租金为</w:t>
      </w:r>
      <w:r>
        <w:rPr>
          <w:rFonts w:hint="eastAsia"/>
          <w:color w:val="auto"/>
          <w:sz w:val="24"/>
          <w:u w:val="single"/>
        </w:rPr>
        <w:t xml:space="preserve">     万元/年</w:t>
      </w:r>
      <w:r>
        <w:rPr>
          <w:rFonts w:hint="eastAsia"/>
          <w:color w:val="auto"/>
          <w:sz w:val="24"/>
        </w:rPr>
        <w:t>，</w:t>
      </w:r>
      <w:r>
        <w:rPr>
          <w:rFonts w:hint="eastAsia" w:ascii="宋体" w:hAnsi="宋体" w:cs="宋体"/>
          <w:color w:val="auto"/>
          <w:kern w:val="0"/>
          <w:sz w:val="24"/>
          <w:szCs w:val="20"/>
        </w:rPr>
        <w:t>根据招标人对中标人年度考核结果（具体考核标准见附件三</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考核目标）处理如下：若中标人完成当年度考核目标，则对应考核年度租金免收；若中标人未完成年度考核目标，则对应考核年度不</w:t>
      </w:r>
      <w:r>
        <w:rPr>
          <w:rFonts w:hint="eastAsia" w:ascii="宋体" w:hAnsi="宋体" w:cs="宋体"/>
          <w:color w:val="auto"/>
          <w:kern w:val="0"/>
          <w:sz w:val="24"/>
          <w:szCs w:val="20"/>
          <w:lang w:val="en-US" w:eastAsia="zh-CN"/>
        </w:rPr>
        <w:t>予</w:t>
      </w:r>
      <w:r>
        <w:rPr>
          <w:rFonts w:hint="eastAsia" w:ascii="宋体" w:hAnsi="宋体" w:cs="宋体"/>
          <w:color w:val="auto"/>
          <w:kern w:val="0"/>
          <w:sz w:val="24"/>
          <w:szCs w:val="20"/>
        </w:rPr>
        <w:t>免租，中标人应于双方确认考核结果之日起</w:t>
      </w:r>
      <w:r>
        <w:rPr>
          <w:rFonts w:hint="eastAsia" w:ascii="宋体" w:hAnsi="宋体" w:cs="宋体"/>
          <w:color w:val="auto"/>
          <w:kern w:val="0"/>
          <w:sz w:val="24"/>
          <w:szCs w:val="20"/>
          <w:lang w:val="en-US" w:eastAsia="zh-CN"/>
        </w:rPr>
        <w:t>10</w:t>
      </w:r>
      <w:r>
        <w:rPr>
          <w:rFonts w:hint="eastAsia" w:ascii="宋体" w:hAnsi="宋体" w:cs="宋体"/>
          <w:color w:val="auto"/>
          <w:kern w:val="0"/>
          <w:sz w:val="24"/>
          <w:szCs w:val="20"/>
        </w:rPr>
        <w:t>日内支付当年度租金并承担违约金。违约金为修缮培育期后首年总租金的20%。如因中标人违约造成的协议终止或解除，除按照该条约定支付违约金外，其缴纳的履约保证金不予退还。以此类推，直至修缮培育期结束。</w:t>
      </w:r>
    </w:p>
    <w:p w14:paraId="17886098">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2.运营期：中标人需按中标金额标准向招标人支付租金。</w:t>
      </w:r>
    </w:p>
    <w:p w14:paraId="1D5EA285">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运营方租金为先付后用，每半年支付一次。首次租金支付时间为修缮培育期满前一个月内，以后每期满前一个月内支付下一期租金。</w:t>
      </w:r>
    </w:p>
    <w:p w14:paraId="788CDD0E">
      <w:pPr>
        <w:adjustRightInd w:val="0"/>
        <w:snapToGrid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招标人应在中标人支付租金前，向中标人出具相应金额、符合国家法律规定、与招标人、中标人名称一致的增值税专用发票（如遇国家税率调整，含税价按调整后的新税率同步调整）。</w:t>
      </w:r>
    </w:p>
    <w:p w14:paraId="5D48597C">
      <w:pPr>
        <w:spacing w:line="460" w:lineRule="exact"/>
        <w:ind w:firstLine="480" w:firstLineChars="200"/>
        <w:rPr>
          <w:color w:val="auto"/>
          <w:kern w:val="0"/>
          <w:sz w:val="24"/>
          <w:szCs w:val="20"/>
        </w:rPr>
      </w:pPr>
      <w:r>
        <w:rPr>
          <w:rFonts w:hint="eastAsia"/>
          <w:color w:val="auto"/>
          <w:kern w:val="0"/>
          <w:sz w:val="24"/>
          <w:szCs w:val="20"/>
        </w:rPr>
        <w:t>具体以最终签订的协议条款为准。</w:t>
      </w:r>
    </w:p>
    <w:p w14:paraId="42A5E92C">
      <w:pPr>
        <w:pStyle w:val="18"/>
        <w:ind w:firstLine="240"/>
        <w:rPr>
          <w:color w:val="auto"/>
        </w:rPr>
      </w:pPr>
    </w:p>
    <w:p w14:paraId="6B54D891">
      <w:pPr>
        <w:snapToGrid w:val="0"/>
        <w:spacing w:line="460" w:lineRule="exact"/>
        <w:ind w:firstLine="723" w:firstLineChars="200"/>
        <w:jc w:val="center"/>
        <w:outlineLvl w:val="0"/>
        <w:rPr>
          <w:b/>
          <w:color w:val="auto"/>
          <w:sz w:val="36"/>
          <w:szCs w:val="36"/>
        </w:rPr>
      </w:pPr>
      <w:r>
        <w:rPr>
          <w:b/>
          <w:color w:val="auto"/>
          <w:sz w:val="36"/>
          <w:szCs w:val="36"/>
        </w:rPr>
        <w:br w:type="page"/>
      </w:r>
      <w:r>
        <w:rPr>
          <w:b/>
          <w:color w:val="auto"/>
          <w:sz w:val="36"/>
          <w:szCs w:val="36"/>
        </w:rPr>
        <w:t>第四部分  开标和评标</w:t>
      </w:r>
    </w:p>
    <w:p w14:paraId="6C5555C6">
      <w:pPr>
        <w:tabs>
          <w:tab w:val="left" w:pos="3585"/>
        </w:tabs>
        <w:snapToGrid w:val="0"/>
        <w:spacing w:line="460" w:lineRule="exact"/>
        <w:ind w:firstLine="482" w:firstLineChars="200"/>
        <w:rPr>
          <w:b/>
          <w:color w:val="auto"/>
          <w:sz w:val="24"/>
        </w:rPr>
      </w:pPr>
      <w:r>
        <w:rPr>
          <w:b/>
          <w:bCs/>
          <w:color w:val="auto"/>
          <w:sz w:val="24"/>
        </w:rPr>
        <w:t>一、</w:t>
      </w:r>
      <w:r>
        <w:rPr>
          <w:rFonts w:hint="eastAsia"/>
          <w:b/>
          <w:color w:val="auto"/>
          <w:sz w:val="24"/>
        </w:rPr>
        <w:t>招标</w:t>
      </w:r>
      <w:r>
        <w:rPr>
          <w:b/>
          <w:color w:val="auto"/>
          <w:sz w:val="24"/>
        </w:rPr>
        <w:t>人委托代理机构组织开标</w:t>
      </w:r>
    </w:p>
    <w:p w14:paraId="4937E76C">
      <w:pPr>
        <w:tabs>
          <w:tab w:val="left" w:pos="3585"/>
        </w:tabs>
        <w:snapToGrid w:val="0"/>
        <w:spacing w:line="460" w:lineRule="exact"/>
        <w:ind w:firstLine="480" w:firstLineChars="200"/>
        <w:rPr>
          <w:color w:val="auto"/>
          <w:kern w:val="0"/>
          <w:sz w:val="24"/>
        </w:rPr>
      </w:pPr>
      <w:r>
        <w:rPr>
          <w:color w:val="auto"/>
          <w:kern w:val="0"/>
          <w:sz w:val="24"/>
          <w:lang w:val="zh-CN"/>
        </w:rPr>
        <w:t>投标人</w:t>
      </w:r>
      <w:r>
        <w:rPr>
          <w:rFonts w:hint="eastAsia"/>
          <w:color w:val="auto"/>
          <w:kern w:val="0"/>
          <w:sz w:val="24"/>
          <w:lang w:val="en-US" w:eastAsia="zh-CN"/>
        </w:rPr>
        <w:t>代表</w:t>
      </w:r>
      <w:r>
        <w:rPr>
          <w:color w:val="auto"/>
          <w:kern w:val="0"/>
          <w:sz w:val="24"/>
          <w:lang w:val="zh-CN"/>
        </w:rPr>
        <w:t>须持有效身份</w:t>
      </w:r>
      <w:r>
        <w:rPr>
          <w:color w:val="auto"/>
          <w:kern w:val="0"/>
          <w:sz w:val="24"/>
        </w:rPr>
        <w:t>证明</w:t>
      </w:r>
      <w:r>
        <w:rPr>
          <w:color w:val="auto"/>
          <w:kern w:val="0"/>
          <w:sz w:val="24"/>
          <w:lang w:val="zh-CN"/>
        </w:rPr>
        <w:t>参加开标会。</w:t>
      </w:r>
    </w:p>
    <w:p w14:paraId="78D0B614">
      <w:pPr>
        <w:numPr>
          <w:ilvl w:val="0"/>
          <w:numId w:val="2"/>
        </w:numPr>
        <w:snapToGrid w:val="0"/>
        <w:spacing w:line="460" w:lineRule="exact"/>
        <w:ind w:firstLine="482" w:firstLineChars="200"/>
        <w:rPr>
          <w:b/>
          <w:bCs/>
          <w:color w:val="auto"/>
          <w:sz w:val="24"/>
        </w:rPr>
      </w:pPr>
      <w:r>
        <w:rPr>
          <w:b/>
          <w:bCs/>
          <w:color w:val="auto"/>
          <w:sz w:val="24"/>
        </w:rPr>
        <w:t>评委会由有关专家和</w:t>
      </w:r>
      <w:r>
        <w:rPr>
          <w:rFonts w:hint="eastAsia"/>
          <w:b/>
          <w:color w:val="auto"/>
          <w:sz w:val="24"/>
        </w:rPr>
        <w:t>招标</w:t>
      </w:r>
      <w:r>
        <w:rPr>
          <w:b/>
          <w:color w:val="auto"/>
          <w:sz w:val="24"/>
        </w:rPr>
        <w:t>人代表</w:t>
      </w:r>
      <w:r>
        <w:rPr>
          <w:b/>
          <w:bCs/>
          <w:color w:val="auto"/>
          <w:sz w:val="24"/>
        </w:rPr>
        <w:t>组成</w:t>
      </w:r>
      <w:r>
        <w:rPr>
          <w:b/>
          <w:color w:val="auto"/>
          <w:sz w:val="24"/>
        </w:rPr>
        <w:t>，按照</w:t>
      </w:r>
      <w:r>
        <w:rPr>
          <w:b/>
          <w:bCs/>
          <w:color w:val="auto"/>
          <w:sz w:val="24"/>
        </w:rPr>
        <w:t>公平、公正、择优的原则进行</w:t>
      </w:r>
      <w:r>
        <w:rPr>
          <w:b/>
          <w:color w:val="auto"/>
          <w:sz w:val="24"/>
        </w:rPr>
        <w:t>独立</w:t>
      </w:r>
      <w:r>
        <w:rPr>
          <w:b/>
          <w:bCs/>
          <w:color w:val="auto"/>
          <w:sz w:val="24"/>
        </w:rPr>
        <w:t>评标。</w:t>
      </w:r>
    </w:p>
    <w:p w14:paraId="328D24C9">
      <w:pPr>
        <w:snapToGrid w:val="0"/>
        <w:spacing w:line="460" w:lineRule="exact"/>
        <w:ind w:firstLine="480" w:firstLineChars="200"/>
        <w:rPr>
          <w:b/>
          <w:bCs/>
          <w:color w:val="auto"/>
          <w:sz w:val="24"/>
        </w:rPr>
      </w:pPr>
      <w:r>
        <w:rPr>
          <w:rFonts w:hint="eastAsia"/>
          <w:color w:val="auto"/>
          <w:kern w:val="0"/>
          <w:sz w:val="24"/>
          <w:szCs w:val="20"/>
        </w:rPr>
        <w:t>评委会由5人组成，其中评审专家4人，招标人代表1人。</w:t>
      </w:r>
      <w:r>
        <w:rPr>
          <w:bCs/>
          <w:color w:val="auto"/>
          <w:sz w:val="24"/>
        </w:rPr>
        <w:t>评审专家在专家库中随机抽取。</w:t>
      </w:r>
    </w:p>
    <w:p w14:paraId="228C715D">
      <w:pPr>
        <w:snapToGrid w:val="0"/>
        <w:spacing w:line="460" w:lineRule="exact"/>
        <w:ind w:firstLine="482" w:firstLineChars="200"/>
        <w:rPr>
          <w:b/>
          <w:bCs/>
          <w:color w:val="auto"/>
          <w:sz w:val="24"/>
        </w:rPr>
      </w:pPr>
      <w:r>
        <w:rPr>
          <w:b/>
          <w:bCs/>
          <w:color w:val="auto"/>
          <w:sz w:val="24"/>
        </w:rPr>
        <w:t>（一）评审内容</w:t>
      </w:r>
    </w:p>
    <w:p w14:paraId="3A4278C0">
      <w:pPr>
        <w:snapToGrid w:val="0"/>
        <w:spacing w:line="460" w:lineRule="exact"/>
        <w:ind w:firstLine="480" w:firstLineChars="200"/>
        <w:rPr>
          <w:bCs/>
          <w:color w:val="auto"/>
          <w:sz w:val="24"/>
        </w:rPr>
      </w:pPr>
      <w:r>
        <w:rPr>
          <w:bCs/>
          <w:color w:val="auto"/>
          <w:sz w:val="24"/>
        </w:rPr>
        <w:t>1</w:t>
      </w:r>
      <w:r>
        <w:rPr>
          <w:rFonts w:hint="eastAsia"/>
          <w:bCs/>
          <w:color w:val="auto"/>
          <w:sz w:val="24"/>
        </w:rPr>
        <w:t>.</w:t>
      </w:r>
      <w:r>
        <w:rPr>
          <w:bCs/>
          <w:color w:val="auto"/>
          <w:sz w:val="24"/>
        </w:rPr>
        <w:t>是否</w:t>
      </w:r>
      <w:r>
        <w:rPr>
          <w:rFonts w:hint="eastAsia"/>
          <w:bCs/>
          <w:color w:val="auto"/>
          <w:sz w:val="24"/>
        </w:rPr>
        <w:t>按要求</w:t>
      </w:r>
      <w:r>
        <w:rPr>
          <w:bCs/>
          <w:color w:val="auto"/>
          <w:sz w:val="24"/>
        </w:rPr>
        <w:t>递交投标文件；</w:t>
      </w:r>
    </w:p>
    <w:p w14:paraId="1749D083">
      <w:pPr>
        <w:snapToGrid w:val="0"/>
        <w:spacing w:line="460" w:lineRule="exact"/>
        <w:ind w:firstLine="480" w:firstLineChars="200"/>
        <w:rPr>
          <w:rFonts w:hint="eastAsia"/>
          <w:bCs/>
          <w:color w:val="auto"/>
          <w:sz w:val="24"/>
          <w:lang w:eastAsia="zh-CN"/>
        </w:rPr>
      </w:pPr>
      <w:r>
        <w:rPr>
          <w:bCs/>
          <w:color w:val="auto"/>
          <w:sz w:val="24"/>
        </w:rPr>
        <w:t>2</w:t>
      </w:r>
      <w:r>
        <w:rPr>
          <w:rFonts w:hint="eastAsia"/>
          <w:bCs/>
          <w:color w:val="auto"/>
          <w:sz w:val="24"/>
        </w:rPr>
        <w:t>.</w:t>
      </w:r>
      <w:r>
        <w:rPr>
          <w:bCs/>
          <w:color w:val="auto"/>
          <w:sz w:val="24"/>
        </w:rPr>
        <w:t>投标资格是否符合（由</w:t>
      </w:r>
      <w:r>
        <w:rPr>
          <w:rFonts w:hint="eastAsia"/>
          <w:color w:val="auto"/>
          <w:sz w:val="24"/>
        </w:rPr>
        <w:t>招标</w:t>
      </w:r>
      <w:r>
        <w:rPr>
          <w:color w:val="auto"/>
          <w:sz w:val="24"/>
        </w:rPr>
        <w:t>人</w:t>
      </w:r>
      <w:r>
        <w:rPr>
          <w:bCs/>
          <w:color w:val="auto"/>
          <w:sz w:val="24"/>
        </w:rPr>
        <w:t>审查）</w:t>
      </w:r>
      <w:r>
        <w:rPr>
          <w:rFonts w:hint="eastAsia"/>
          <w:bCs/>
          <w:color w:val="auto"/>
          <w:sz w:val="24"/>
          <w:lang w:eastAsia="zh-CN"/>
        </w:rPr>
        <w:t>；</w:t>
      </w:r>
    </w:p>
    <w:p w14:paraId="6A908A5D">
      <w:pPr>
        <w:snapToGrid w:val="0"/>
        <w:spacing w:line="460" w:lineRule="exact"/>
        <w:ind w:firstLine="480" w:firstLineChars="200"/>
        <w:rPr>
          <w:color w:val="auto"/>
          <w:sz w:val="24"/>
        </w:rPr>
      </w:pPr>
      <w:r>
        <w:rPr>
          <w:color w:val="auto"/>
          <w:sz w:val="24"/>
        </w:rPr>
        <w:t>3</w:t>
      </w:r>
      <w:r>
        <w:rPr>
          <w:rFonts w:hint="eastAsia"/>
          <w:color w:val="auto"/>
          <w:sz w:val="24"/>
        </w:rPr>
        <w:t>.</w:t>
      </w:r>
      <w:r>
        <w:rPr>
          <w:color w:val="auto"/>
          <w:sz w:val="24"/>
        </w:rPr>
        <w:t>投标文件是否完整；</w:t>
      </w:r>
    </w:p>
    <w:p w14:paraId="150EA681">
      <w:pPr>
        <w:snapToGrid w:val="0"/>
        <w:spacing w:line="460" w:lineRule="exact"/>
        <w:ind w:firstLine="480" w:firstLineChars="200"/>
        <w:rPr>
          <w:color w:val="auto"/>
          <w:sz w:val="24"/>
        </w:rPr>
      </w:pPr>
      <w:r>
        <w:rPr>
          <w:color w:val="auto"/>
          <w:sz w:val="24"/>
        </w:rPr>
        <w:t>4</w:t>
      </w:r>
      <w:r>
        <w:rPr>
          <w:rFonts w:hint="eastAsia"/>
          <w:color w:val="auto"/>
          <w:sz w:val="24"/>
        </w:rPr>
        <w:t>.</w:t>
      </w:r>
      <w:r>
        <w:rPr>
          <w:color w:val="auto"/>
          <w:sz w:val="24"/>
        </w:rPr>
        <w:t>投标文件是否恰当地签署；</w:t>
      </w:r>
    </w:p>
    <w:p w14:paraId="04DEA09B">
      <w:pPr>
        <w:snapToGrid w:val="0"/>
        <w:spacing w:line="460" w:lineRule="exact"/>
        <w:ind w:firstLine="480" w:firstLineChars="200"/>
        <w:rPr>
          <w:color w:val="auto"/>
          <w:sz w:val="24"/>
        </w:rPr>
      </w:pPr>
      <w:r>
        <w:rPr>
          <w:color w:val="auto"/>
          <w:sz w:val="24"/>
        </w:rPr>
        <w:t>5</w:t>
      </w:r>
      <w:r>
        <w:rPr>
          <w:rFonts w:hint="eastAsia"/>
          <w:color w:val="auto"/>
          <w:sz w:val="24"/>
        </w:rPr>
        <w:t>.</w:t>
      </w:r>
      <w:r>
        <w:rPr>
          <w:color w:val="auto"/>
          <w:sz w:val="24"/>
        </w:rPr>
        <w:t>是否作出实质性响应（是否有实质性响应，只根据投标文件本身，而不寻求外部证据）；</w:t>
      </w:r>
    </w:p>
    <w:p w14:paraId="57EA8D0D">
      <w:pPr>
        <w:snapToGrid w:val="0"/>
        <w:spacing w:line="460" w:lineRule="exact"/>
        <w:ind w:firstLine="480" w:firstLineChars="200"/>
        <w:rPr>
          <w:color w:val="auto"/>
          <w:sz w:val="24"/>
        </w:rPr>
      </w:pPr>
      <w:r>
        <w:rPr>
          <w:color w:val="auto"/>
          <w:sz w:val="24"/>
        </w:rPr>
        <w:t>6</w:t>
      </w:r>
      <w:r>
        <w:rPr>
          <w:rFonts w:hint="eastAsia"/>
          <w:color w:val="auto"/>
          <w:sz w:val="24"/>
        </w:rPr>
        <w:t>.</w:t>
      </w:r>
      <w:r>
        <w:rPr>
          <w:color w:val="auto"/>
          <w:sz w:val="24"/>
        </w:rPr>
        <w:t>是否有计算错误。</w:t>
      </w:r>
    </w:p>
    <w:p w14:paraId="5A66F226">
      <w:pPr>
        <w:snapToGrid w:val="0"/>
        <w:spacing w:line="460" w:lineRule="exact"/>
        <w:ind w:firstLine="482" w:firstLineChars="200"/>
        <w:rPr>
          <w:b/>
          <w:bCs/>
          <w:color w:val="auto"/>
          <w:sz w:val="24"/>
        </w:rPr>
      </w:pPr>
      <w:r>
        <w:rPr>
          <w:b/>
          <w:bCs/>
          <w:color w:val="auto"/>
          <w:sz w:val="24"/>
        </w:rPr>
        <w:t>（二）相应的规定</w:t>
      </w:r>
    </w:p>
    <w:p w14:paraId="342DCE9F">
      <w:pPr>
        <w:snapToGrid w:val="0"/>
        <w:spacing w:line="460" w:lineRule="exact"/>
        <w:ind w:firstLine="480" w:firstLineChars="200"/>
        <w:rPr>
          <w:color w:val="auto"/>
          <w:sz w:val="24"/>
        </w:rPr>
      </w:pPr>
      <w:r>
        <w:rPr>
          <w:color w:val="auto"/>
          <w:sz w:val="24"/>
        </w:rPr>
        <w:t>1</w:t>
      </w:r>
      <w:r>
        <w:rPr>
          <w:rFonts w:hint="eastAsia"/>
          <w:color w:val="auto"/>
          <w:sz w:val="24"/>
        </w:rPr>
        <w:t>.</w:t>
      </w:r>
      <w:r>
        <w:rPr>
          <w:color w:val="auto"/>
          <w:sz w:val="24"/>
        </w:rPr>
        <w:t>投标文件中开标一览表（报价表）内容与投标文件中相应内容不一致的，以开标一览表（报价表）为准；</w:t>
      </w:r>
    </w:p>
    <w:p w14:paraId="76C80908">
      <w:pPr>
        <w:snapToGrid w:val="0"/>
        <w:spacing w:line="460" w:lineRule="exact"/>
        <w:ind w:firstLine="480" w:firstLineChars="200"/>
        <w:rPr>
          <w:color w:val="auto"/>
          <w:sz w:val="24"/>
        </w:rPr>
      </w:pPr>
      <w:r>
        <w:rPr>
          <w:color w:val="auto"/>
          <w:sz w:val="24"/>
        </w:rPr>
        <w:t>2</w:t>
      </w:r>
      <w:r>
        <w:rPr>
          <w:rFonts w:hint="eastAsia"/>
          <w:color w:val="auto"/>
          <w:sz w:val="24"/>
        </w:rPr>
        <w:t>.</w:t>
      </w:r>
      <w:r>
        <w:rPr>
          <w:color w:val="auto"/>
          <w:sz w:val="24"/>
        </w:rPr>
        <w:t>大写金额和小写金额不一致的，以大写金额为准；</w:t>
      </w:r>
    </w:p>
    <w:p w14:paraId="1160B58D">
      <w:pPr>
        <w:snapToGrid w:val="0"/>
        <w:spacing w:line="460" w:lineRule="exact"/>
        <w:ind w:firstLine="480" w:firstLineChars="200"/>
        <w:rPr>
          <w:color w:val="auto"/>
          <w:sz w:val="24"/>
        </w:rPr>
      </w:pPr>
      <w:r>
        <w:rPr>
          <w:color w:val="auto"/>
          <w:sz w:val="24"/>
        </w:rPr>
        <w:t>3</w:t>
      </w:r>
      <w:r>
        <w:rPr>
          <w:rFonts w:hint="eastAsia"/>
          <w:color w:val="auto"/>
          <w:sz w:val="24"/>
        </w:rPr>
        <w:t>.</w:t>
      </w:r>
      <w:r>
        <w:rPr>
          <w:color w:val="auto"/>
          <w:sz w:val="24"/>
        </w:rPr>
        <w:t>单价金额小数点或者百分比有明显错位的，以开标一览表的总价为准，并修改单价；</w:t>
      </w:r>
    </w:p>
    <w:p w14:paraId="6A8AC177">
      <w:pPr>
        <w:snapToGrid w:val="0"/>
        <w:spacing w:line="460" w:lineRule="exact"/>
        <w:ind w:firstLine="480" w:firstLineChars="200"/>
        <w:rPr>
          <w:color w:val="auto"/>
          <w:sz w:val="24"/>
        </w:rPr>
      </w:pPr>
      <w:r>
        <w:rPr>
          <w:color w:val="auto"/>
          <w:sz w:val="24"/>
        </w:rPr>
        <w:t>4</w:t>
      </w:r>
      <w:r>
        <w:rPr>
          <w:rFonts w:hint="eastAsia"/>
          <w:color w:val="auto"/>
          <w:sz w:val="24"/>
        </w:rPr>
        <w:t>.</w:t>
      </w:r>
      <w:r>
        <w:rPr>
          <w:color w:val="auto"/>
          <w:sz w:val="24"/>
        </w:rPr>
        <w:t>总价金额与按单价汇总金额不一致的，以单价金额计算结果为准。</w:t>
      </w:r>
    </w:p>
    <w:p w14:paraId="4E79A65C">
      <w:pPr>
        <w:snapToGrid w:val="0"/>
        <w:spacing w:line="460" w:lineRule="exact"/>
        <w:ind w:firstLine="480" w:firstLineChars="200"/>
        <w:rPr>
          <w:color w:val="auto"/>
          <w:sz w:val="24"/>
        </w:rPr>
      </w:pPr>
      <w:r>
        <w:rPr>
          <w:color w:val="auto"/>
          <w:sz w:val="24"/>
        </w:rPr>
        <w:t>同时出现两种以上不一致的，按照前款规定的顺序修正。</w:t>
      </w:r>
      <w:r>
        <w:rPr>
          <w:rFonts w:hint="eastAsia"/>
          <w:color w:val="auto"/>
          <w:sz w:val="24"/>
        </w:rPr>
        <w:t>投标人</w:t>
      </w:r>
      <w:r>
        <w:rPr>
          <w:color w:val="auto"/>
          <w:sz w:val="24"/>
        </w:rPr>
        <w:t>修正后的报价</w:t>
      </w:r>
      <w:r>
        <w:rPr>
          <w:rFonts w:hint="eastAsia"/>
          <w:color w:val="auto"/>
          <w:sz w:val="24"/>
        </w:rPr>
        <w:t>不得超出投标文件的范围或者改变投标文件的实质性内容因</w:t>
      </w:r>
      <w:r>
        <w:rPr>
          <w:color w:val="auto"/>
          <w:sz w:val="24"/>
        </w:rPr>
        <w:t>投标人不</w:t>
      </w:r>
      <w:r>
        <w:rPr>
          <w:rFonts w:hint="eastAsia"/>
          <w:color w:val="auto"/>
          <w:sz w:val="24"/>
        </w:rPr>
        <w:t>予修正导致评委会无法</w:t>
      </w:r>
      <w:r>
        <w:rPr>
          <w:color w:val="auto"/>
          <w:sz w:val="24"/>
        </w:rPr>
        <w:t>确认</w:t>
      </w:r>
      <w:r>
        <w:rPr>
          <w:rFonts w:hint="eastAsia"/>
          <w:color w:val="auto"/>
          <w:sz w:val="24"/>
        </w:rPr>
        <w:t>相关报价</w:t>
      </w:r>
      <w:r>
        <w:rPr>
          <w:color w:val="auto"/>
          <w:sz w:val="24"/>
        </w:rPr>
        <w:t>的，其投标无效。</w:t>
      </w:r>
    </w:p>
    <w:p w14:paraId="04E3550E">
      <w:pPr>
        <w:tabs>
          <w:tab w:val="left" w:pos="3585"/>
        </w:tabs>
        <w:snapToGrid w:val="0"/>
        <w:spacing w:line="460" w:lineRule="exact"/>
        <w:ind w:firstLine="482" w:firstLineChars="200"/>
        <w:rPr>
          <w:b/>
          <w:bCs/>
          <w:color w:val="auto"/>
          <w:sz w:val="24"/>
        </w:rPr>
      </w:pPr>
      <w:r>
        <w:rPr>
          <w:b/>
          <w:bCs/>
          <w:color w:val="auto"/>
          <w:sz w:val="24"/>
        </w:rPr>
        <w:t>三、</w:t>
      </w:r>
      <w:r>
        <w:rPr>
          <w:b/>
          <w:color w:val="auto"/>
          <w:sz w:val="24"/>
        </w:rPr>
        <w:t>陈述、演示、</w:t>
      </w:r>
      <w:r>
        <w:rPr>
          <w:b/>
          <w:bCs/>
          <w:color w:val="auto"/>
          <w:sz w:val="24"/>
        </w:rPr>
        <w:t>答疑、澄清</w:t>
      </w:r>
    </w:p>
    <w:p w14:paraId="68A9DE22">
      <w:pPr>
        <w:snapToGrid w:val="0"/>
        <w:spacing w:line="460" w:lineRule="exact"/>
        <w:ind w:firstLine="480" w:firstLineChars="200"/>
        <w:rPr>
          <w:b/>
          <w:color w:val="auto"/>
          <w:sz w:val="24"/>
        </w:rPr>
      </w:pPr>
      <w:r>
        <w:rPr>
          <w:color w:val="auto"/>
          <w:sz w:val="24"/>
          <w:shd w:val="clear" w:color="auto" w:fill="FFFFFF"/>
        </w:rPr>
        <w:t>如评委会认为有必要，投标人按评委会的要求作陈述、演示、</w:t>
      </w:r>
      <w:r>
        <w:rPr>
          <w:color w:val="auto"/>
          <w:sz w:val="24"/>
        </w:rPr>
        <w:t>答疑及澄清其投标内容。时间由评委会</w:t>
      </w:r>
      <w:r>
        <w:rPr>
          <w:rFonts w:hint="eastAsia"/>
          <w:color w:val="auto"/>
          <w:sz w:val="24"/>
        </w:rPr>
        <w:t>本着公平合理的原则</w:t>
      </w:r>
      <w:r>
        <w:rPr>
          <w:color w:val="auto"/>
          <w:sz w:val="24"/>
        </w:rPr>
        <w:t>掌握。</w:t>
      </w:r>
    </w:p>
    <w:p w14:paraId="0CFB5F82">
      <w:pPr>
        <w:snapToGrid w:val="0"/>
        <w:spacing w:line="460" w:lineRule="exact"/>
        <w:ind w:firstLine="480" w:firstLineChars="200"/>
        <w:rPr>
          <w:color w:val="auto"/>
          <w:sz w:val="24"/>
        </w:rPr>
      </w:pPr>
      <w:r>
        <w:rPr>
          <w:color w:val="auto"/>
          <w:sz w:val="24"/>
        </w:rPr>
        <w:t>重要澄清答复应是书面的，但不得对投标内容进行实质性修改。</w:t>
      </w:r>
    </w:p>
    <w:p w14:paraId="14712112">
      <w:pPr>
        <w:snapToGrid w:val="0"/>
        <w:spacing w:line="460" w:lineRule="exact"/>
        <w:ind w:firstLine="482" w:firstLineChars="200"/>
        <w:rPr>
          <w:b/>
          <w:color w:val="auto"/>
          <w:sz w:val="24"/>
        </w:rPr>
      </w:pPr>
      <w:r>
        <w:rPr>
          <w:b/>
          <w:color w:val="auto"/>
          <w:sz w:val="24"/>
        </w:rPr>
        <w:t>四、出现下列情形之一的，作无效投标处理</w:t>
      </w:r>
    </w:p>
    <w:p w14:paraId="0C9789BA">
      <w:pPr>
        <w:numPr>
          <w:ilvl w:val="0"/>
          <w:numId w:val="3"/>
        </w:numPr>
        <w:snapToGrid w:val="0"/>
        <w:spacing w:line="460" w:lineRule="exact"/>
        <w:ind w:firstLine="480" w:firstLineChars="200"/>
        <w:rPr>
          <w:color w:val="auto"/>
          <w:sz w:val="24"/>
        </w:rPr>
      </w:pPr>
      <w:r>
        <w:rPr>
          <w:color w:val="auto"/>
          <w:sz w:val="24"/>
        </w:rPr>
        <w:t>投标文件未按招标文件要求密封、签署、盖章及主要资料不齐全；</w:t>
      </w:r>
    </w:p>
    <w:p w14:paraId="3A83C327">
      <w:pPr>
        <w:numPr>
          <w:ilvl w:val="0"/>
          <w:numId w:val="3"/>
        </w:numPr>
        <w:snapToGrid w:val="0"/>
        <w:spacing w:line="460" w:lineRule="exact"/>
        <w:ind w:firstLine="480" w:firstLineChars="200"/>
        <w:rPr>
          <w:color w:val="auto"/>
          <w:sz w:val="24"/>
        </w:rPr>
      </w:pPr>
      <w:r>
        <w:rPr>
          <w:color w:val="auto"/>
          <w:sz w:val="24"/>
        </w:rPr>
        <w:t>不具备招标文件中规定的资格要求的；</w:t>
      </w:r>
    </w:p>
    <w:p w14:paraId="58D28A66">
      <w:pPr>
        <w:numPr>
          <w:ilvl w:val="0"/>
          <w:numId w:val="3"/>
        </w:numPr>
        <w:snapToGrid w:val="0"/>
        <w:spacing w:line="460" w:lineRule="exact"/>
        <w:ind w:firstLine="480" w:firstLineChars="200"/>
        <w:rPr>
          <w:color w:val="auto"/>
          <w:sz w:val="24"/>
        </w:rPr>
      </w:pPr>
      <w:r>
        <w:rPr>
          <w:color w:val="auto"/>
          <w:kern w:val="0"/>
          <w:sz w:val="24"/>
          <w:szCs w:val="20"/>
        </w:rPr>
        <w:t>未通过符合性检查的</w:t>
      </w:r>
      <w:r>
        <w:rPr>
          <w:color w:val="auto"/>
          <w:sz w:val="24"/>
        </w:rPr>
        <w:t>；</w:t>
      </w:r>
    </w:p>
    <w:p w14:paraId="3B8C03F6">
      <w:pPr>
        <w:numPr>
          <w:ilvl w:val="0"/>
          <w:numId w:val="3"/>
        </w:numPr>
        <w:snapToGrid w:val="0"/>
        <w:spacing w:line="460" w:lineRule="exact"/>
        <w:ind w:firstLine="480" w:firstLineChars="200"/>
        <w:rPr>
          <w:color w:val="auto"/>
          <w:sz w:val="24"/>
        </w:rPr>
      </w:pPr>
      <w:r>
        <w:rPr>
          <w:color w:val="auto"/>
          <w:sz w:val="24"/>
        </w:rPr>
        <w:t>报价</w:t>
      </w:r>
      <w:r>
        <w:rPr>
          <w:rFonts w:hint="eastAsia"/>
          <w:color w:val="auto"/>
          <w:sz w:val="24"/>
        </w:rPr>
        <w:t>低于</w:t>
      </w:r>
      <w:r>
        <w:rPr>
          <w:color w:val="auto"/>
          <w:sz w:val="24"/>
        </w:rPr>
        <w:t>招标文件中规定的</w:t>
      </w:r>
      <w:r>
        <w:rPr>
          <w:rFonts w:hint="eastAsia"/>
          <w:color w:val="auto"/>
          <w:sz w:val="24"/>
        </w:rPr>
        <w:t>招标控制价</w:t>
      </w:r>
      <w:r>
        <w:rPr>
          <w:color w:val="auto"/>
          <w:sz w:val="24"/>
        </w:rPr>
        <w:t>的；</w:t>
      </w:r>
    </w:p>
    <w:p w14:paraId="1669B346">
      <w:pPr>
        <w:numPr>
          <w:ilvl w:val="0"/>
          <w:numId w:val="3"/>
        </w:numPr>
        <w:snapToGrid w:val="0"/>
        <w:spacing w:line="460" w:lineRule="exact"/>
        <w:ind w:firstLine="480" w:firstLineChars="200"/>
        <w:rPr>
          <w:color w:val="auto"/>
          <w:sz w:val="24"/>
        </w:rPr>
      </w:pPr>
      <w:r>
        <w:rPr>
          <w:color w:val="auto"/>
          <w:kern w:val="0"/>
          <w:sz w:val="24"/>
          <w:szCs w:val="20"/>
        </w:rPr>
        <w:t>同一投标人提交两个（含两个）以上不同的投标报价的；</w:t>
      </w:r>
    </w:p>
    <w:p w14:paraId="589772EC">
      <w:pPr>
        <w:numPr>
          <w:ilvl w:val="0"/>
          <w:numId w:val="3"/>
        </w:numPr>
        <w:snapToGrid w:val="0"/>
        <w:spacing w:line="460" w:lineRule="exact"/>
        <w:ind w:firstLine="480" w:firstLineChars="200"/>
        <w:rPr>
          <w:color w:val="auto"/>
          <w:sz w:val="24"/>
        </w:rPr>
      </w:pPr>
      <w:r>
        <w:rPr>
          <w:color w:val="auto"/>
          <w:sz w:val="24"/>
        </w:rPr>
        <w:t>报价文件出现在其他投标文件中的；</w:t>
      </w:r>
    </w:p>
    <w:p w14:paraId="53E21B61">
      <w:pPr>
        <w:numPr>
          <w:ilvl w:val="0"/>
          <w:numId w:val="3"/>
        </w:numPr>
        <w:snapToGrid w:val="0"/>
        <w:spacing w:line="460" w:lineRule="exact"/>
        <w:ind w:firstLine="480" w:firstLineChars="200"/>
        <w:rPr>
          <w:color w:val="auto"/>
          <w:sz w:val="24"/>
        </w:rPr>
      </w:pPr>
      <w:r>
        <w:rPr>
          <w:color w:val="auto"/>
          <w:sz w:val="24"/>
        </w:rPr>
        <w:t>投标文件含有</w:t>
      </w:r>
      <w:r>
        <w:rPr>
          <w:rFonts w:hint="eastAsia"/>
          <w:color w:val="auto"/>
          <w:sz w:val="24"/>
        </w:rPr>
        <w:t>招标</w:t>
      </w:r>
      <w:r>
        <w:rPr>
          <w:color w:val="auto"/>
          <w:sz w:val="24"/>
        </w:rPr>
        <w:t>人不能接受的附加条件的；</w:t>
      </w:r>
    </w:p>
    <w:p w14:paraId="5B597075">
      <w:pPr>
        <w:numPr>
          <w:ilvl w:val="0"/>
          <w:numId w:val="3"/>
        </w:numPr>
        <w:snapToGrid w:val="0"/>
        <w:spacing w:line="460" w:lineRule="exact"/>
        <w:ind w:firstLine="480" w:firstLineChars="200"/>
        <w:rPr>
          <w:color w:val="auto"/>
          <w:kern w:val="0"/>
          <w:sz w:val="24"/>
          <w:szCs w:val="20"/>
        </w:rPr>
      </w:pPr>
      <w:r>
        <w:rPr>
          <w:color w:val="auto"/>
          <w:sz w:val="24"/>
        </w:rPr>
        <w:t>不符合招标文件中规定的其他实质性要求和条件的；</w:t>
      </w:r>
    </w:p>
    <w:p w14:paraId="565162F7">
      <w:pPr>
        <w:numPr>
          <w:ilvl w:val="0"/>
          <w:numId w:val="3"/>
        </w:numPr>
        <w:snapToGrid w:val="0"/>
        <w:spacing w:line="460" w:lineRule="exact"/>
        <w:ind w:firstLine="480" w:firstLineChars="200"/>
        <w:rPr>
          <w:color w:val="auto"/>
          <w:kern w:val="0"/>
          <w:sz w:val="24"/>
          <w:szCs w:val="20"/>
        </w:rPr>
      </w:pPr>
      <w:r>
        <w:rPr>
          <w:color w:val="auto"/>
          <w:kern w:val="0"/>
          <w:sz w:val="24"/>
          <w:szCs w:val="20"/>
        </w:rPr>
        <w:t>投标人的商务技术部分得分相差悬殊，评标委员会认为得分畸低者没有实质性响应的；</w:t>
      </w:r>
    </w:p>
    <w:p w14:paraId="28014D5C">
      <w:pPr>
        <w:numPr>
          <w:ilvl w:val="0"/>
          <w:numId w:val="3"/>
        </w:numPr>
        <w:snapToGrid w:val="0"/>
        <w:spacing w:line="460" w:lineRule="exact"/>
        <w:ind w:firstLine="480" w:firstLineChars="200"/>
        <w:rPr>
          <w:color w:val="auto"/>
          <w:kern w:val="0"/>
          <w:sz w:val="24"/>
          <w:szCs w:val="20"/>
        </w:rPr>
      </w:pPr>
      <w:r>
        <w:rPr>
          <w:color w:val="auto"/>
          <w:kern w:val="0"/>
          <w:sz w:val="24"/>
          <w:szCs w:val="20"/>
        </w:rPr>
        <w:t>评标委员会认为投标人的报价明显</w:t>
      </w:r>
      <w:r>
        <w:rPr>
          <w:rFonts w:hint="eastAsia"/>
          <w:color w:val="auto"/>
          <w:kern w:val="0"/>
          <w:sz w:val="24"/>
          <w:szCs w:val="20"/>
        </w:rPr>
        <w:t>高</w:t>
      </w:r>
      <w:r>
        <w:rPr>
          <w:color w:val="auto"/>
          <w:kern w:val="0"/>
          <w:sz w:val="24"/>
          <w:szCs w:val="20"/>
        </w:rPr>
        <w:t>于其他通过符合性审查投标人的报价</w:t>
      </w:r>
      <w:r>
        <w:rPr>
          <w:rFonts w:hint="eastAsia"/>
          <w:color w:val="auto"/>
          <w:kern w:val="0"/>
          <w:sz w:val="24"/>
          <w:szCs w:val="20"/>
        </w:rPr>
        <w:t>或者明显高于其正常的运营成本的</w:t>
      </w:r>
      <w:r>
        <w:rPr>
          <w:color w:val="auto"/>
          <w:kern w:val="0"/>
          <w:sz w:val="24"/>
          <w:szCs w:val="20"/>
        </w:rPr>
        <w:t>，有可能不能诚信履约的，要求其在合理的时间内提供说明，必要时提交相关证明材料；投标人不能证明其报价合理性的，评标委员会应当将其作为无效投标处理；</w:t>
      </w:r>
    </w:p>
    <w:p w14:paraId="0F9A9B2B">
      <w:pPr>
        <w:numPr>
          <w:ilvl w:val="0"/>
          <w:numId w:val="3"/>
        </w:numPr>
        <w:snapToGrid w:val="0"/>
        <w:spacing w:line="460" w:lineRule="exact"/>
        <w:ind w:firstLine="480" w:firstLineChars="200"/>
        <w:rPr>
          <w:color w:val="auto"/>
          <w:kern w:val="0"/>
          <w:sz w:val="24"/>
          <w:szCs w:val="20"/>
        </w:rPr>
      </w:pPr>
      <w:r>
        <w:rPr>
          <w:color w:val="auto"/>
          <w:kern w:val="0"/>
          <w:sz w:val="24"/>
          <w:szCs w:val="20"/>
        </w:rPr>
        <w:t>投标人被 “信用中国”网站（www.creditchina.gov.cn）</w:t>
      </w:r>
      <w:r>
        <w:rPr>
          <w:rFonts w:hint="eastAsia"/>
          <w:color w:val="auto"/>
          <w:sz w:val="24"/>
        </w:rPr>
        <w:t>、“中国政府采购网”（www.ccgp.gov.cn）</w:t>
      </w:r>
      <w:r>
        <w:rPr>
          <w:color w:val="auto"/>
          <w:sz w:val="24"/>
        </w:rPr>
        <w:t>列入失信被执行人或重大税收违法案件当事人名单或政府采购严重失信行为记录名单。</w:t>
      </w:r>
      <w:r>
        <w:rPr>
          <w:color w:val="auto"/>
          <w:kern w:val="0"/>
          <w:sz w:val="24"/>
          <w:szCs w:val="20"/>
        </w:rPr>
        <w:t>或查询“信用中国”</w:t>
      </w:r>
      <w:r>
        <w:rPr>
          <w:rFonts w:hint="eastAsia"/>
          <w:color w:val="auto"/>
          <w:sz w:val="24"/>
        </w:rPr>
        <w:t>、“中国政府采购网”等</w:t>
      </w:r>
      <w:r>
        <w:rPr>
          <w:color w:val="auto"/>
          <w:sz w:val="24"/>
        </w:rPr>
        <w:t>网站</w:t>
      </w:r>
      <w:r>
        <w:rPr>
          <w:color w:val="auto"/>
          <w:kern w:val="0"/>
          <w:sz w:val="24"/>
          <w:szCs w:val="20"/>
        </w:rPr>
        <w:t>后发现投标人存在其他不符合招标文件规定的信用记录；</w:t>
      </w:r>
    </w:p>
    <w:p w14:paraId="16931950">
      <w:pPr>
        <w:numPr>
          <w:ilvl w:val="0"/>
          <w:numId w:val="3"/>
        </w:numPr>
        <w:snapToGrid w:val="0"/>
        <w:spacing w:line="460" w:lineRule="exact"/>
        <w:ind w:firstLine="480" w:firstLineChars="200"/>
        <w:rPr>
          <w:color w:val="auto"/>
          <w:kern w:val="0"/>
          <w:sz w:val="24"/>
          <w:szCs w:val="20"/>
        </w:rPr>
      </w:pPr>
      <w:r>
        <w:rPr>
          <w:rFonts w:hint="eastAsia"/>
          <w:color w:val="auto"/>
          <w:kern w:val="0"/>
          <w:sz w:val="24"/>
          <w:szCs w:val="20"/>
        </w:rPr>
        <w:t>未按招标文件要求提交投标保证金的；</w:t>
      </w:r>
    </w:p>
    <w:p w14:paraId="2C5F5EA3">
      <w:pPr>
        <w:numPr>
          <w:ilvl w:val="0"/>
          <w:numId w:val="3"/>
        </w:numPr>
        <w:snapToGrid w:val="0"/>
        <w:spacing w:line="460" w:lineRule="exact"/>
        <w:ind w:firstLine="480" w:firstLineChars="200"/>
        <w:rPr>
          <w:color w:val="auto"/>
          <w:kern w:val="0"/>
          <w:sz w:val="24"/>
          <w:szCs w:val="20"/>
        </w:rPr>
      </w:pPr>
      <w:r>
        <w:rPr>
          <w:color w:val="auto"/>
          <w:kern w:val="0"/>
          <w:sz w:val="24"/>
          <w:szCs w:val="20"/>
        </w:rPr>
        <w:t>其他法律、法规及本招标文件规定的属无效投标的情形。</w:t>
      </w:r>
    </w:p>
    <w:p w14:paraId="66C540EE">
      <w:pPr>
        <w:snapToGrid w:val="0"/>
        <w:spacing w:line="460" w:lineRule="exact"/>
        <w:ind w:firstLine="482" w:firstLineChars="200"/>
        <w:rPr>
          <w:b/>
          <w:color w:val="auto"/>
          <w:sz w:val="24"/>
        </w:rPr>
      </w:pPr>
      <w:r>
        <w:rPr>
          <w:b/>
          <w:color w:val="auto"/>
          <w:sz w:val="24"/>
        </w:rPr>
        <w:t>五、出现下列情形之一的，作废标处理</w:t>
      </w:r>
    </w:p>
    <w:p w14:paraId="52EF084D">
      <w:pPr>
        <w:snapToGrid w:val="0"/>
        <w:spacing w:line="460" w:lineRule="exact"/>
        <w:ind w:firstLine="480" w:firstLineChars="200"/>
        <w:rPr>
          <w:color w:val="auto"/>
          <w:sz w:val="24"/>
        </w:rPr>
      </w:pPr>
      <w:r>
        <w:rPr>
          <w:color w:val="auto"/>
          <w:sz w:val="24"/>
        </w:rPr>
        <w:t>1、符合专业条件的投标人或者对招标文件作实质响应的投标人不足</w:t>
      </w:r>
      <w:r>
        <w:rPr>
          <w:rFonts w:hint="eastAsia"/>
          <w:color w:val="auto"/>
          <w:sz w:val="24"/>
          <w:u w:val="single"/>
        </w:rPr>
        <w:t>3</w:t>
      </w:r>
      <w:r>
        <w:rPr>
          <w:color w:val="auto"/>
          <w:sz w:val="24"/>
        </w:rPr>
        <w:t>家的；</w:t>
      </w:r>
    </w:p>
    <w:p w14:paraId="54E0F2CD">
      <w:pPr>
        <w:snapToGrid w:val="0"/>
        <w:spacing w:line="460" w:lineRule="exact"/>
        <w:ind w:firstLine="480" w:firstLineChars="200"/>
        <w:rPr>
          <w:color w:val="auto"/>
          <w:sz w:val="24"/>
        </w:rPr>
      </w:pPr>
      <w:r>
        <w:rPr>
          <w:color w:val="auto"/>
          <w:sz w:val="24"/>
        </w:rPr>
        <w:t>2、出现影响</w:t>
      </w:r>
      <w:r>
        <w:rPr>
          <w:rFonts w:hint="eastAsia"/>
          <w:color w:val="auto"/>
          <w:sz w:val="24"/>
        </w:rPr>
        <w:t>招标</w:t>
      </w:r>
      <w:r>
        <w:rPr>
          <w:color w:val="auto"/>
          <w:sz w:val="24"/>
        </w:rPr>
        <w:t>公正的违法违规行为的；</w:t>
      </w:r>
    </w:p>
    <w:p w14:paraId="06EA75D5">
      <w:pPr>
        <w:snapToGrid w:val="0"/>
        <w:spacing w:line="460" w:lineRule="exact"/>
        <w:ind w:firstLine="480" w:firstLineChars="200"/>
        <w:rPr>
          <w:color w:val="auto"/>
          <w:sz w:val="24"/>
        </w:rPr>
      </w:pPr>
      <w:r>
        <w:rPr>
          <w:rFonts w:hint="eastAsia"/>
          <w:color w:val="auto"/>
          <w:sz w:val="24"/>
        </w:rPr>
        <w:t>3</w:t>
      </w:r>
      <w:r>
        <w:rPr>
          <w:color w:val="auto"/>
          <w:sz w:val="24"/>
        </w:rPr>
        <w:t>、评标委员会认定招标文件存在歧义、重大缺陷导致评审工作无法进行</w:t>
      </w:r>
      <w:r>
        <w:rPr>
          <w:rFonts w:hint="eastAsia"/>
          <w:color w:val="auto"/>
          <w:sz w:val="24"/>
        </w:rPr>
        <w:t>的；</w:t>
      </w:r>
    </w:p>
    <w:p w14:paraId="6A8E7DF7">
      <w:pPr>
        <w:snapToGrid w:val="0"/>
        <w:spacing w:line="460" w:lineRule="exact"/>
        <w:ind w:firstLine="480" w:firstLineChars="200"/>
        <w:rPr>
          <w:color w:val="auto"/>
          <w:sz w:val="24"/>
        </w:rPr>
      </w:pPr>
      <w:r>
        <w:rPr>
          <w:rFonts w:hint="eastAsia"/>
          <w:color w:val="auto"/>
          <w:sz w:val="24"/>
        </w:rPr>
        <w:t>4</w:t>
      </w:r>
      <w:r>
        <w:rPr>
          <w:color w:val="auto"/>
          <w:sz w:val="24"/>
        </w:rPr>
        <w:t>、因重大变故，</w:t>
      </w:r>
      <w:r>
        <w:rPr>
          <w:rFonts w:hint="eastAsia"/>
          <w:color w:val="auto"/>
          <w:sz w:val="24"/>
        </w:rPr>
        <w:t>招标</w:t>
      </w:r>
      <w:r>
        <w:rPr>
          <w:color w:val="auto"/>
          <w:sz w:val="24"/>
        </w:rPr>
        <w:t>任务取消的。</w:t>
      </w:r>
    </w:p>
    <w:p w14:paraId="1A3ABCC3">
      <w:pPr>
        <w:snapToGrid w:val="0"/>
        <w:spacing w:line="460" w:lineRule="exact"/>
        <w:ind w:firstLine="480" w:firstLineChars="200"/>
        <w:rPr>
          <w:color w:val="auto"/>
          <w:sz w:val="24"/>
        </w:rPr>
      </w:pPr>
      <w:r>
        <w:rPr>
          <w:color w:val="auto"/>
          <w:sz w:val="24"/>
        </w:rPr>
        <w:t>上述均保留评委会认定可以确定为无效投标或废标的其他情况。</w:t>
      </w:r>
    </w:p>
    <w:p w14:paraId="0365F55F">
      <w:pPr>
        <w:snapToGrid w:val="0"/>
        <w:spacing w:line="460" w:lineRule="exact"/>
        <w:ind w:firstLine="482" w:firstLineChars="200"/>
        <w:rPr>
          <w:b/>
          <w:color w:val="auto"/>
          <w:sz w:val="24"/>
        </w:rPr>
      </w:pPr>
      <w:r>
        <w:rPr>
          <w:b/>
          <w:color w:val="auto"/>
          <w:sz w:val="24"/>
        </w:rPr>
        <w:t>六</w:t>
      </w:r>
      <w:r>
        <w:rPr>
          <w:color w:val="auto"/>
          <w:sz w:val="24"/>
        </w:rPr>
        <w:t>、</w:t>
      </w:r>
      <w:r>
        <w:rPr>
          <w:b/>
          <w:color w:val="auto"/>
          <w:sz w:val="24"/>
        </w:rPr>
        <w:t>变更为其他方式</w:t>
      </w:r>
      <w:r>
        <w:rPr>
          <w:rFonts w:hint="eastAsia"/>
          <w:b/>
          <w:color w:val="auto"/>
          <w:sz w:val="24"/>
        </w:rPr>
        <w:t>确定运营方</w:t>
      </w:r>
      <w:r>
        <w:rPr>
          <w:b/>
          <w:color w:val="auto"/>
          <w:sz w:val="24"/>
        </w:rPr>
        <w:t>的情形</w:t>
      </w:r>
    </w:p>
    <w:p w14:paraId="677EEA78">
      <w:pPr>
        <w:autoSpaceDE w:val="0"/>
        <w:autoSpaceDN w:val="0"/>
        <w:adjustRightInd w:val="0"/>
        <w:snapToGrid w:val="0"/>
        <w:spacing w:line="460" w:lineRule="exact"/>
        <w:ind w:firstLine="480" w:firstLineChars="200"/>
        <w:rPr>
          <w:color w:val="auto"/>
          <w:sz w:val="24"/>
          <w:lang w:val="zh-CN"/>
        </w:rPr>
      </w:pPr>
      <w:r>
        <w:rPr>
          <w:color w:val="auto"/>
          <w:sz w:val="24"/>
        </w:rPr>
        <w:t>投标截止时间出现：参加投标的</w:t>
      </w:r>
      <w:r>
        <w:rPr>
          <w:rFonts w:hint="eastAsia"/>
          <w:color w:val="auto"/>
          <w:sz w:val="24"/>
        </w:rPr>
        <w:t>投标人</w:t>
      </w:r>
      <w:r>
        <w:rPr>
          <w:color w:val="auto"/>
          <w:sz w:val="24"/>
        </w:rPr>
        <w:t>不足</w:t>
      </w:r>
      <w:r>
        <w:rPr>
          <w:rFonts w:hint="eastAsia"/>
          <w:color w:val="auto"/>
          <w:sz w:val="24"/>
          <w:u w:val="single"/>
        </w:rPr>
        <w:t>3</w:t>
      </w:r>
      <w:r>
        <w:rPr>
          <w:color w:val="auto"/>
          <w:sz w:val="24"/>
        </w:rPr>
        <w:t>家的，及评标中出现符合专业条件的</w:t>
      </w:r>
      <w:r>
        <w:rPr>
          <w:rFonts w:hint="eastAsia"/>
          <w:color w:val="auto"/>
          <w:sz w:val="24"/>
        </w:rPr>
        <w:t>投标人</w:t>
      </w:r>
      <w:r>
        <w:rPr>
          <w:color w:val="auto"/>
          <w:sz w:val="24"/>
        </w:rPr>
        <w:t>或对招标文件作实质响应的投标人不足</w:t>
      </w:r>
      <w:r>
        <w:rPr>
          <w:rFonts w:hint="eastAsia"/>
          <w:color w:val="auto"/>
          <w:sz w:val="24"/>
          <w:u w:val="single"/>
        </w:rPr>
        <w:t xml:space="preserve"> 3 </w:t>
      </w:r>
      <w:r>
        <w:rPr>
          <w:color w:val="auto"/>
          <w:sz w:val="24"/>
        </w:rPr>
        <w:t>家如下情形时，除</w:t>
      </w:r>
      <w:r>
        <w:rPr>
          <w:rFonts w:hint="eastAsia"/>
          <w:color w:val="auto"/>
          <w:sz w:val="24"/>
        </w:rPr>
        <w:t>招标项目</w:t>
      </w:r>
      <w:r>
        <w:rPr>
          <w:color w:val="auto"/>
          <w:sz w:val="24"/>
        </w:rPr>
        <w:t>取消外，</w:t>
      </w:r>
      <w:r>
        <w:rPr>
          <w:rFonts w:hint="eastAsia"/>
          <w:color w:val="auto"/>
          <w:sz w:val="24"/>
        </w:rPr>
        <w:t>招标</w:t>
      </w:r>
      <w:r>
        <w:rPr>
          <w:color w:val="auto"/>
          <w:sz w:val="24"/>
        </w:rPr>
        <w:t>人报告</w:t>
      </w:r>
      <w:r>
        <w:rPr>
          <w:rFonts w:hint="eastAsia"/>
          <w:color w:val="auto"/>
          <w:sz w:val="24"/>
        </w:rPr>
        <w:t>国有资产监管部门后</w:t>
      </w:r>
      <w:r>
        <w:rPr>
          <w:color w:val="auto"/>
          <w:sz w:val="24"/>
        </w:rPr>
        <w:t>，视情采取其他方式采购。</w:t>
      </w:r>
      <w:r>
        <w:rPr>
          <w:color w:val="auto"/>
          <w:sz w:val="24"/>
          <w:lang w:val="zh-CN"/>
        </w:rPr>
        <w:t>本次招标文件中对</w:t>
      </w:r>
      <w:r>
        <w:rPr>
          <w:rFonts w:hint="eastAsia"/>
          <w:color w:val="auto"/>
          <w:sz w:val="24"/>
          <w:lang w:val="zh-CN"/>
        </w:rPr>
        <w:t>投标人</w:t>
      </w:r>
      <w:r>
        <w:rPr>
          <w:color w:val="auto"/>
          <w:sz w:val="24"/>
          <w:lang w:val="zh-CN"/>
        </w:rPr>
        <w:t>资质、技术等要求，将作为</w:t>
      </w:r>
      <w:r>
        <w:rPr>
          <w:color w:val="auto"/>
          <w:sz w:val="24"/>
        </w:rPr>
        <w:t>其他</w:t>
      </w:r>
      <w:r>
        <w:rPr>
          <w:color w:val="auto"/>
          <w:sz w:val="24"/>
          <w:lang w:val="zh-CN"/>
        </w:rPr>
        <w:t>方式</w:t>
      </w:r>
      <w:r>
        <w:rPr>
          <w:rFonts w:hint="eastAsia"/>
          <w:color w:val="auto"/>
          <w:sz w:val="24"/>
          <w:lang w:val="zh-CN"/>
        </w:rPr>
        <w:t>确定运营方</w:t>
      </w:r>
      <w:r>
        <w:rPr>
          <w:color w:val="auto"/>
          <w:sz w:val="24"/>
          <w:lang w:val="zh-CN"/>
        </w:rPr>
        <w:t>的基本要求和依据。原已经参加投标并符合要求的</w:t>
      </w:r>
      <w:r>
        <w:rPr>
          <w:rFonts w:hint="eastAsia"/>
          <w:color w:val="auto"/>
          <w:sz w:val="24"/>
          <w:lang w:val="zh-CN"/>
        </w:rPr>
        <w:t>投标人</w:t>
      </w:r>
      <w:r>
        <w:rPr>
          <w:color w:val="auto"/>
          <w:sz w:val="24"/>
          <w:lang w:val="zh-CN"/>
        </w:rPr>
        <w:t>，根据自愿原则，</w:t>
      </w:r>
      <w:r>
        <w:rPr>
          <w:rFonts w:hint="eastAsia"/>
          <w:color w:val="auto"/>
          <w:sz w:val="24"/>
          <w:lang w:val="zh-CN"/>
        </w:rPr>
        <w:t>可</w:t>
      </w:r>
      <w:r>
        <w:rPr>
          <w:color w:val="auto"/>
          <w:sz w:val="24"/>
          <w:lang w:val="zh-CN"/>
        </w:rPr>
        <w:t>参加</w:t>
      </w:r>
      <w:r>
        <w:rPr>
          <w:rFonts w:hint="eastAsia"/>
          <w:color w:val="auto"/>
          <w:sz w:val="24"/>
          <w:lang w:val="zh-CN"/>
        </w:rPr>
        <w:t>以</w:t>
      </w:r>
      <w:r>
        <w:rPr>
          <w:color w:val="auto"/>
          <w:sz w:val="24"/>
        </w:rPr>
        <w:t>其他</w:t>
      </w:r>
      <w:r>
        <w:rPr>
          <w:color w:val="auto"/>
          <w:sz w:val="24"/>
          <w:lang w:val="zh-CN"/>
        </w:rPr>
        <w:t>方式</w:t>
      </w:r>
      <w:r>
        <w:rPr>
          <w:rFonts w:hint="eastAsia"/>
          <w:color w:val="auto"/>
          <w:sz w:val="24"/>
          <w:lang w:val="zh-CN"/>
        </w:rPr>
        <w:t>确定运营方的磋商活动</w:t>
      </w:r>
      <w:r>
        <w:rPr>
          <w:color w:val="auto"/>
          <w:sz w:val="24"/>
          <w:lang w:val="zh-CN"/>
        </w:rPr>
        <w:t>。</w:t>
      </w:r>
    </w:p>
    <w:p w14:paraId="3EAE4E14">
      <w:pPr>
        <w:pStyle w:val="26"/>
        <w:snapToGrid w:val="0"/>
        <w:spacing w:before="0" w:after="0" w:line="460" w:lineRule="exact"/>
        <w:ind w:left="0" w:right="0" w:firstLine="482" w:firstLineChars="200"/>
        <w:jc w:val="left"/>
        <w:rPr>
          <w:rFonts w:ascii="Times New Roman" w:hAnsi="Times New Roman"/>
          <w:b/>
          <w:color w:val="auto"/>
          <w:kern w:val="2"/>
        </w:rPr>
      </w:pPr>
      <w:r>
        <w:rPr>
          <w:rFonts w:ascii="Times New Roman" w:hAnsi="Times New Roman"/>
          <w:b/>
          <w:color w:val="auto"/>
        </w:rPr>
        <w:t>七、</w:t>
      </w:r>
      <w:r>
        <w:rPr>
          <w:rFonts w:ascii="Times New Roman" w:hAnsi="Times New Roman"/>
          <w:b/>
          <w:color w:val="auto"/>
          <w:kern w:val="2"/>
        </w:rPr>
        <w:t>评标流程和评标标准</w:t>
      </w:r>
    </w:p>
    <w:p w14:paraId="0E2192A4">
      <w:pPr>
        <w:adjustRightInd w:val="0"/>
        <w:snapToGrid w:val="0"/>
        <w:spacing w:line="460" w:lineRule="exact"/>
        <w:ind w:firstLine="480" w:firstLineChars="200"/>
        <w:rPr>
          <w:color w:val="auto"/>
          <w:sz w:val="24"/>
        </w:rPr>
      </w:pPr>
      <w:r>
        <w:rPr>
          <w:color w:val="auto"/>
          <w:sz w:val="24"/>
        </w:rPr>
        <w:t>采用综合评分法。分资格审查文件、商务技术文件、报价文件三部分评审，总分值为100分，加分和减分因素除外。</w:t>
      </w:r>
    </w:p>
    <w:p w14:paraId="1241F2BB">
      <w:pPr>
        <w:adjustRightInd w:val="0"/>
        <w:snapToGrid w:val="0"/>
        <w:spacing w:line="460" w:lineRule="exact"/>
        <w:ind w:firstLine="480" w:firstLineChars="200"/>
        <w:rPr>
          <w:color w:val="auto"/>
          <w:sz w:val="24"/>
        </w:rPr>
      </w:pPr>
      <w:r>
        <w:rPr>
          <w:color w:val="auto"/>
          <w:sz w:val="24"/>
        </w:rPr>
        <w:t>首先由</w:t>
      </w:r>
      <w:r>
        <w:rPr>
          <w:rFonts w:hint="eastAsia"/>
          <w:color w:val="auto"/>
          <w:sz w:val="24"/>
        </w:rPr>
        <w:t>招标</w:t>
      </w:r>
      <w:r>
        <w:rPr>
          <w:color w:val="auto"/>
          <w:sz w:val="24"/>
        </w:rPr>
        <w:t>人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评审。投标人商务、技术部分和价格部分的合计分值，为该投标人的评标总得分。</w:t>
      </w:r>
    </w:p>
    <w:p w14:paraId="1F2DD6C9">
      <w:pPr>
        <w:adjustRightInd w:val="0"/>
        <w:snapToGrid w:val="0"/>
        <w:spacing w:line="460" w:lineRule="exact"/>
        <w:ind w:firstLine="480" w:firstLineChars="200"/>
        <w:rPr>
          <w:color w:val="auto"/>
          <w:sz w:val="24"/>
        </w:rPr>
      </w:pPr>
      <w:r>
        <w:rPr>
          <w:color w:val="auto"/>
          <w:sz w:val="24"/>
        </w:rPr>
        <w:t>评标结果按评审后得分由高到低顺序排列。得分相同的，按投标报价由</w:t>
      </w:r>
      <w:r>
        <w:rPr>
          <w:rFonts w:hint="eastAsia"/>
          <w:color w:val="auto"/>
          <w:sz w:val="24"/>
        </w:rPr>
        <w:t>高</w:t>
      </w:r>
      <w:r>
        <w:rPr>
          <w:color w:val="auto"/>
          <w:sz w:val="24"/>
        </w:rPr>
        <w:t>到</w:t>
      </w:r>
      <w:r>
        <w:rPr>
          <w:rFonts w:hint="eastAsia"/>
          <w:color w:val="auto"/>
          <w:sz w:val="24"/>
        </w:rPr>
        <w:t>低</w:t>
      </w:r>
      <w:r>
        <w:rPr>
          <w:color w:val="auto"/>
          <w:sz w:val="24"/>
        </w:rPr>
        <w:t>顺序排列。得分且投标报价相同的并列。投标文件满足招标文件全部实质性要求，且按照评审因素的量化指标评审得分前三名的投标人为中标候选人。</w:t>
      </w:r>
    </w:p>
    <w:p w14:paraId="31442BC0">
      <w:pPr>
        <w:adjustRightInd w:val="0"/>
        <w:snapToGrid w:val="0"/>
        <w:spacing w:line="460" w:lineRule="exact"/>
        <w:ind w:firstLine="480" w:firstLineChars="200"/>
        <w:rPr>
          <w:color w:val="auto"/>
          <w:sz w:val="24"/>
        </w:rPr>
      </w:pPr>
      <w:r>
        <w:rPr>
          <w:color w:val="auto"/>
          <w:sz w:val="24"/>
        </w:rPr>
        <w:t>评委在认真审阅投标文件的基础上，根据各投标文件的响应程度独立评判，不得统一打分。</w:t>
      </w:r>
    </w:p>
    <w:p w14:paraId="749E6078">
      <w:pPr>
        <w:snapToGrid w:val="0"/>
        <w:spacing w:line="460" w:lineRule="exact"/>
        <w:ind w:firstLine="482" w:firstLineChars="200"/>
        <w:rPr>
          <w:b/>
          <w:color w:val="auto"/>
          <w:kern w:val="0"/>
          <w:sz w:val="24"/>
        </w:rPr>
      </w:pPr>
      <w:r>
        <w:rPr>
          <w:b/>
          <w:color w:val="auto"/>
          <w:kern w:val="0"/>
          <w:sz w:val="24"/>
        </w:rPr>
        <w:t>（一）</w:t>
      </w:r>
      <w:r>
        <w:rPr>
          <w:rFonts w:hint="eastAsia"/>
          <w:b/>
          <w:color w:val="auto"/>
          <w:kern w:val="0"/>
          <w:sz w:val="24"/>
        </w:rPr>
        <w:t>招标</w:t>
      </w:r>
      <w:r>
        <w:rPr>
          <w:b/>
          <w:color w:val="auto"/>
          <w:kern w:val="0"/>
          <w:sz w:val="24"/>
        </w:rPr>
        <w:t>人对投标人资格进行审查。</w:t>
      </w:r>
    </w:p>
    <w:p w14:paraId="20EDD268">
      <w:pPr>
        <w:pStyle w:val="25"/>
        <w:adjustRightInd w:val="0"/>
        <w:snapToGrid w:val="0"/>
        <w:spacing w:line="460" w:lineRule="exact"/>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投标人资格不合格的，其投标文件判定为无效投标文件。</w:t>
      </w:r>
    </w:p>
    <w:p w14:paraId="729F859E">
      <w:pPr>
        <w:snapToGrid w:val="0"/>
        <w:spacing w:line="460" w:lineRule="exact"/>
        <w:ind w:firstLine="482" w:firstLineChars="200"/>
        <w:rPr>
          <w:b/>
          <w:color w:val="auto"/>
          <w:kern w:val="0"/>
          <w:sz w:val="24"/>
        </w:rPr>
      </w:pPr>
      <w:r>
        <w:rPr>
          <w:b/>
          <w:color w:val="auto"/>
          <w:kern w:val="0"/>
          <w:sz w:val="24"/>
        </w:rPr>
        <w:t>（二）评标委员会对符合资格投标人的投标文件进行符合性审查。</w:t>
      </w:r>
    </w:p>
    <w:p w14:paraId="4EB631F9">
      <w:pPr>
        <w:pStyle w:val="25"/>
        <w:adjustRightInd w:val="0"/>
        <w:snapToGrid w:val="0"/>
        <w:spacing w:line="460" w:lineRule="exact"/>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 xml:space="preserve">未通过符合性审查的投标文件，将被判为不满足招标文件实质性要求。 </w:t>
      </w:r>
    </w:p>
    <w:p w14:paraId="3EE8C600">
      <w:pPr>
        <w:snapToGrid w:val="0"/>
        <w:spacing w:line="460" w:lineRule="exact"/>
        <w:ind w:firstLine="482" w:firstLineChars="200"/>
        <w:rPr>
          <w:bCs/>
          <w:color w:val="auto"/>
          <w:kern w:val="0"/>
          <w:sz w:val="24"/>
          <w:lang w:val="zh-CN"/>
        </w:rPr>
      </w:pPr>
      <w:r>
        <w:rPr>
          <w:b/>
          <w:color w:val="auto"/>
          <w:kern w:val="0"/>
          <w:sz w:val="24"/>
        </w:rPr>
        <w:t>（</w:t>
      </w:r>
      <w:r>
        <w:rPr>
          <w:b/>
          <w:color w:val="auto"/>
          <w:kern w:val="0"/>
          <w:sz w:val="24"/>
          <w:lang w:val="zh-CN"/>
        </w:rPr>
        <w:t>三</w:t>
      </w:r>
      <w:r>
        <w:rPr>
          <w:b/>
          <w:color w:val="auto"/>
          <w:kern w:val="0"/>
          <w:sz w:val="24"/>
        </w:rPr>
        <w:t>）</w:t>
      </w:r>
      <w:r>
        <w:rPr>
          <w:b/>
          <w:color w:val="auto"/>
          <w:kern w:val="0"/>
          <w:sz w:val="24"/>
          <w:lang w:val="zh-CN"/>
        </w:rPr>
        <w:t>商务技术分：</w:t>
      </w:r>
      <w:r>
        <w:rPr>
          <w:rFonts w:hint="eastAsia"/>
          <w:b/>
          <w:bCs w:val="0"/>
          <w:color w:val="auto"/>
          <w:kern w:val="0"/>
          <w:sz w:val="24"/>
          <w:u w:val="single"/>
        </w:rPr>
        <w:t>80</w:t>
      </w:r>
      <w:r>
        <w:rPr>
          <w:b/>
          <w:bCs w:val="0"/>
          <w:color w:val="auto"/>
          <w:kern w:val="0"/>
          <w:sz w:val="24"/>
          <w:lang w:val="zh-CN"/>
        </w:rPr>
        <w:t>分</w:t>
      </w:r>
      <w:r>
        <w:rPr>
          <w:rFonts w:hint="eastAsia"/>
          <w:b/>
          <w:bCs w:val="0"/>
          <w:color w:val="auto"/>
          <w:kern w:val="0"/>
          <w:sz w:val="24"/>
          <w:lang w:val="zh-CN"/>
        </w:rPr>
        <w:t>。</w:t>
      </w:r>
    </w:p>
    <w:p w14:paraId="4D07FB2B">
      <w:pPr>
        <w:adjustRightInd w:val="0"/>
        <w:snapToGrid w:val="0"/>
        <w:spacing w:line="460" w:lineRule="exact"/>
        <w:ind w:firstLine="480" w:firstLineChars="200"/>
        <w:jc w:val="left"/>
        <w:rPr>
          <w:color w:val="auto"/>
          <w:sz w:val="24"/>
        </w:rPr>
      </w:pPr>
      <w:r>
        <w:rPr>
          <w:color w:val="auto"/>
          <w:sz w:val="24"/>
        </w:rPr>
        <w:t>各投标人得分为评委会成员评分的算术平均分，分值保留小数点后两位。</w:t>
      </w:r>
    </w:p>
    <w:tbl>
      <w:tblPr>
        <w:tblStyle w:val="20"/>
        <w:tblW w:w="8910" w:type="dxa"/>
        <w:jc w:val="center"/>
        <w:tblLayout w:type="autofit"/>
        <w:tblCellMar>
          <w:top w:w="0" w:type="dxa"/>
          <w:left w:w="0" w:type="dxa"/>
          <w:bottom w:w="0" w:type="dxa"/>
          <w:right w:w="0" w:type="dxa"/>
        </w:tblCellMar>
      </w:tblPr>
      <w:tblGrid>
        <w:gridCol w:w="675"/>
        <w:gridCol w:w="1239"/>
        <w:gridCol w:w="652"/>
        <w:gridCol w:w="6344"/>
      </w:tblGrid>
      <w:tr w14:paraId="3E47EE67">
        <w:tblPrEx>
          <w:tblCellMar>
            <w:top w:w="0" w:type="dxa"/>
            <w:left w:w="0" w:type="dxa"/>
            <w:bottom w:w="0" w:type="dxa"/>
            <w:right w:w="0" w:type="dxa"/>
          </w:tblCellMar>
        </w:tblPrEx>
        <w:trPr>
          <w:trHeight w:val="624"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1CEF64">
            <w:pPr>
              <w:widowControl/>
              <w:jc w:val="center"/>
              <w:textAlignment w:val="center"/>
              <w:rPr>
                <w:rFonts w:hAnsi="宋体" w:cs="宋体"/>
                <w:b/>
                <w:color w:val="auto"/>
              </w:rPr>
            </w:pPr>
            <w:r>
              <w:rPr>
                <w:rFonts w:hint="eastAsia" w:hAnsi="宋体" w:cs="宋体"/>
                <w:b/>
                <w:color w:val="auto"/>
              </w:rPr>
              <w:t>序号</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2D1BFB">
            <w:pPr>
              <w:widowControl/>
              <w:jc w:val="center"/>
              <w:textAlignment w:val="center"/>
              <w:rPr>
                <w:rFonts w:hAnsi="宋体" w:cs="宋体"/>
                <w:b/>
                <w:color w:val="auto"/>
              </w:rPr>
            </w:pPr>
            <w:r>
              <w:rPr>
                <w:rFonts w:hint="eastAsia" w:hAnsi="宋体" w:cs="宋体"/>
                <w:b/>
                <w:color w:val="auto"/>
              </w:rPr>
              <w:t>评分点名称</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E38233">
            <w:pPr>
              <w:widowControl/>
              <w:jc w:val="center"/>
              <w:textAlignment w:val="center"/>
              <w:rPr>
                <w:rFonts w:hAnsi="宋体" w:cs="宋体"/>
                <w:b/>
                <w:color w:val="auto"/>
              </w:rPr>
            </w:pPr>
            <w:r>
              <w:rPr>
                <w:rFonts w:hint="eastAsia" w:hAnsi="宋体" w:cs="宋体"/>
                <w:b/>
                <w:color w:val="auto"/>
              </w:rPr>
              <w:t>分值</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A31E2">
            <w:pPr>
              <w:widowControl/>
              <w:jc w:val="center"/>
              <w:textAlignment w:val="center"/>
              <w:rPr>
                <w:rFonts w:hAnsi="宋体" w:cs="宋体"/>
                <w:b/>
                <w:color w:val="auto"/>
              </w:rPr>
            </w:pPr>
            <w:r>
              <w:rPr>
                <w:rFonts w:hint="eastAsia" w:hAnsi="宋体" w:cs="宋体"/>
                <w:b/>
                <w:color w:val="auto"/>
              </w:rPr>
              <w:t>评审标准</w:t>
            </w:r>
          </w:p>
        </w:tc>
      </w:tr>
      <w:tr w14:paraId="0C723EE2">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3201D0">
            <w:pPr>
              <w:widowControl/>
              <w:jc w:val="center"/>
              <w:textAlignment w:val="center"/>
              <w:rPr>
                <w:rFonts w:hAnsi="宋体" w:cs="宋体"/>
                <w:color w:val="auto"/>
              </w:rPr>
            </w:pPr>
            <w:r>
              <w:rPr>
                <w:rFonts w:hint="eastAsia" w:hAnsi="宋体" w:cs="宋体"/>
                <w:color w:val="auto"/>
              </w:rPr>
              <w:t>1</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8FE8CC">
            <w:pPr>
              <w:widowControl/>
              <w:jc w:val="center"/>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szCs w:val="21"/>
              </w:rPr>
              <w:t>拟派项目负责人素质</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815F4A">
            <w:pPr>
              <w:widowControl/>
              <w:jc w:val="center"/>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3</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15FE3B">
            <w:pPr>
              <w:widowControl/>
              <w:jc w:val="left"/>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拟派负责人具有大专及以上学历得3分。需提供负责人学历证书、劳动协议复印件加盖公章。</w:t>
            </w:r>
          </w:p>
        </w:tc>
      </w:tr>
      <w:tr w14:paraId="19360E1B">
        <w:tblPrEx>
          <w:tblCellMar>
            <w:top w:w="0" w:type="dxa"/>
            <w:left w:w="0" w:type="dxa"/>
            <w:bottom w:w="0" w:type="dxa"/>
            <w:right w:w="0" w:type="dxa"/>
          </w:tblCellMar>
        </w:tblPrEx>
        <w:trPr>
          <w:trHeight w:val="576"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9BE781">
            <w:pPr>
              <w:widowControl/>
              <w:jc w:val="center"/>
              <w:textAlignment w:val="center"/>
              <w:rPr>
                <w:rFonts w:hAnsi="宋体" w:cs="宋体"/>
                <w:color w:val="auto"/>
              </w:rPr>
            </w:pPr>
            <w:r>
              <w:rPr>
                <w:rFonts w:hint="eastAsia" w:hAnsi="宋体" w:cs="宋体"/>
                <w:color w:val="auto"/>
              </w:rPr>
              <w:t>2</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D7C80C">
            <w:pPr>
              <w:pStyle w:val="19"/>
              <w:tabs>
                <w:tab w:val="left" w:pos="0"/>
                <w:tab w:val="left" w:pos="1260"/>
                <w:tab w:val="left" w:pos="1365"/>
              </w:tabs>
              <w:adjustRightInd w:val="0"/>
              <w:snapToGrid w:val="0"/>
              <w:spacing w:after="0" w:line="420" w:lineRule="exact"/>
              <w:ind w:left="0" w:leftChars="0" w:firstLine="0" w:firstLineChars="0"/>
              <w:jc w:val="center"/>
              <w:rPr>
                <w:rFonts w:cs="宋体" w:asciiTheme="minorEastAsia" w:hAnsiTheme="minorEastAsia" w:eastAsiaTheme="minorEastAsia"/>
                <w:color w:val="auto"/>
              </w:rPr>
            </w:pPr>
            <w:r>
              <w:rPr>
                <w:rFonts w:hint="eastAsia" w:cs="宋体" w:asciiTheme="minorEastAsia" w:hAnsiTheme="minorEastAsia" w:eastAsiaTheme="minorEastAsia"/>
                <w:color w:val="auto"/>
                <w:szCs w:val="21"/>
              </w:rPr>
              <w:t>类似业绩</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F47520">
            <w:pPr>
              <w:widowControl/>
              <w:jc w:val="center"/>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15</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D37B2">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拟派项目负责人承担过文化创意园或文化街区招商及运营综合管理项目类似业绩，每有一个得5分，最高得15分（需提供协议复印件加盖公章，注：同一业绩不得重复得分，如与同一业主签订了多份符合要求的协议，按一份协议算；同一业主续签不重复得分）。</w:t>
            </w:r>
          </w:p>
          <w:p w14:paraId="77623DA7">
            <w:pPr>
              <w:rPr>
                <w:rFonts w:cs="宋体" w:asciiTheme="minorEastAsia" w:hAnsiTheme="minorEastAsia" w:eastAsiaTheme="minorEastAsia"/>
                <w:color w:val="auto"/>
              </w:rPr>
            </w:pPr>
            <w:r>
              <w:rPr>
                <w:rFonts w:hint="eastAsia" w:cs="宋体" w:asciiTheme="minorEastAsia" w:hAnsiTheme="minorEastAsia" w:eastAsiaTheme="minorEastAsia"/>
                <w:color w:val="auto"/>
              </w:rPr>
              <w:t>每个业绩需同时提供：①协议复印件加盖公章；②协议招标人对履约情况的正面评价。</w:t>
            </w:r>
            <w:r>
              <w:rPr>
                <w:rFonts w:hint="eastAsia" w:cs="宋体" w:asciiTheme="minorEastAsia" w:hAnsiTheme="minorEastAsia" w:eastAsiaTheme="minorEastAsia"/>
                <w:color w:val="auto"/>
                <w:lang w:val="en-US" w:eastAsia="zh-CN"/>
              </w:rPr>
              <w:t>提供的资料需体现合同主要内容和项目负责人信息（协议上没有明确的，可以提供业主方证明）。</w:t>
            </w:r>
            <w:r>
              <w:rPr>
                <w:rFonts w:hint="eastAsia" w:cs="宋体" w:asciiTheme="minorEastAsia" w:hAnsiTheme="minorEastAsia" w:eastAsiaTheme="minorEastAsia"/>
                <w:color w:val="auto"/>
              </w:rPr>
              <w:t>提供不完整的，该项不得分。</w:t>
            </w:r>
          </w:p>
        </w:tc>
      </w:tr>
      <w:tr w14:paraId="07F4AADD">
        <w:tblPrEx>
          <w:tblCellMar>
            <w:top w:w="0" w:type="dxa"/>
            <w:left w:w="0" w:type="dxa"/>
            <w:bottom w:w="0" w:type="dxa"/>
            <w:right w:w="0" w:type="dxa"/>
          </w:tblCellMar>
        </w:tblPrEx>
        <w:trPr>
          <w:trHeight w:val="128"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03C33A">
            <w:pPr>
              <w:widowControl/>
              <w:jc w:val="center"/>
              <w:rPr>
                <w:color w:val="auto"/>
              </w:rPr>
            </w:pPr>
            <w:r>
              <w:rPr>
                <w:rFonts w:hint="eastAsia" w:hAnsi="宋体" w:cs="宋体"/>
                <w:color w:val="auto"/>
              </w:rPr>
              <w:t>3</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CBA8F">
            <w:pPr>
              <w:widowControl/>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技术响应方案</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A40C50">
            <w:pPr>
              <w:widowControl/>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62</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ACD68A">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对投标人提供的服务方案等进行评审。</w:t>
            </w:r>
          </w:p>
        </w:tc>
      </w:tr>
      <w:tr w14:paraId="739F493A">
        <w:tblPrEx>
          <w:tblCellMar>
            <w:top w:w="0" w:type="dxa"/>
            <w:left w:w="0" w:type="dxa"/>
            <w:bottom w:w="0" w:type="dxa"/>
            <w:right w:w="0" w:type="dxa"/>
          </w:tblCellMar>
        </w:tblPrEx>
        <w:trPr>
          <w:trHeight w:val="576"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3F4552">
            <w:pPr>
              <w:pStyle w:val="18"/>
              <w:ind w:firstLine="240"/>
              <w:rPr>
                <w:color w:val="auto"/>
              </w:rPr>
            </w:pPr>
            <w:r>
              <w:rPr>
                <w:rFonts w:hint="eastAsia"/>
                <w:color w:val="auto"/>
              </w:rPr>
              <w:t>3.1</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76332D">
            <w:pPr>
              <w:widowControl/>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项目总体定位和设想</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14B22A">
            <w:pPr>
              <w:widowControl/>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5</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EF0ED8">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评审投标人针对本项目总体定位和设想与招标项目需求是否契合，主题是否明确，是否具有针对性。总体定位和设想与招标项目需求锲合度高，主题明确，针对性强得5分；总体定位和设想与招标项目需求锲合度较高，主题相对明确，有一定的针对性得3分；总体定位和设想与招标项目需求锲合度一般，主题不够明确，针对性一般或针对性不强得1分，没有不得分。</w:t>
            </w:r>
          </w:p>
        </w:tc>
      </w:tr>
      <w:tr w14:paraId="4CE79A55">
        <w:tblPrEx>
          <w:tblCellMar>
            <w:top w:w="0" w:type="dxa"/>
            <w:left w:w="0" w:type="dxa"/>
            <w:bottom w:w="0" w:type="dxa"/>
            <w:right w:w="0" w:type="dxa"/>
          </w:tblCellMar>
        </w:tblPrEx>
        <w:trPr>
          <w:trHeight w:val="576"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38CFBE">
            <w:pPr>
              <w:pStyle w:val="18"/>
              <w:ind w:firstLine="240"/>
              <w:rPr>
                <w:color w:val="auto"/>
              </w:rPr>
            </w:pPr>
            <w:r>
              <w:rPr>
                <w:rFonts w:hint="eastAsia"/>
                <w:color w:val="auto"/>
              </w:rPr>
              <w:t>3.2</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75C6CB">
            <w:pPr>
              <w:widowControl/>
              <w:jc w:val="center"/>
              <w:rPr>
                <w:rFonts w:hAnsi="宋体" w:cs="宋体"/>
                <w:color w:val="auto"/>
              </w:rPr>
            </w:pPr>
            <w:r>
              <w:rPr>
                <w:rFonts w:hint="eastAsia" w:ascii="宋体" w:hAnsi="宋体" w:cs="宋体"/>
                <w:color w:val="auto"/>
              </w:rPr>
              <w:t>功能分布和规划建议方案</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8D8DCA">
            <w:pPr>
              <w:widowControl/>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14</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26216B">
            <w:pPr>
              <w:widowControl/>
              <w:textAlignment w:val="center"/>
              <w:rPr>
                <w:rFonts w:cs="宋体" w:asciiTheme="minorEastAsia" w:hAnsiTheme="minorEastAsia" w:eastAsiaTheme="minorEastAsia"/>
                <w:color w:val="auto"/>
              </w:rPr>
            </w:pPr>
            <w:r>
              <w:rPr>
                <w:rFonts w:cs="Calibri" w:asciiTheme="minorEastAsia" w:hAnsiTheme="minorEastAsia" w:eastAsiaTheme="minorEastAsia"/>
                <w:color w:val="auto"/>
              </w:rPr>
              <w:t>①</w:t>
            </w:r>
            <w:r>
              <w:rPr>
                <w:rFonts w:hint="eastAsia" w:cs="Calibri" w:asciiTheme="minorEastAsia" w:hAnsiTheme="minorEastAsia" w:eastAsiaTheme="minorEastAsia"/>
                <w:color w:val="auto"/>
              </w:rPr>
              <w:t>针对</w:t>
            </w:r>
            <w:r>
              <w:rPr>
                <w:rFonts w:hint="eastAsia" w:cs="宋体" w:asciiTheme="minorEastAsia" w:hAnsiTheme="minorEastAsia" w:eastAsiaTheme="minorEastAsia"/>
                <w:color w:val="auto"/>
              </w:rPr>
              <w:t>投标人就本项目提供的功能分布、定位与本项目总体定位的契合度，规划建议方案的创新性，整体方案的条理性等进行评审。功能分布、定位与本项目总体定位的契合度高，规划建议方案的创新亮点度高，整体方案的条理性强得5分；功能分布、定位与本项目总体定位的契合度较高，规划建议方案的创新具有一定亮点，整体方案的条理性较强强得3分；功能分布、定位与本项目总体定位的契合度一般，规划建议方案的创新一般，整体方案的条理性一般或没有条理性得1分；没有不得分。</w:t>
            </w:r>
          </w:p>
          <w:p w14:paraId="3888E51C">
            <w:pPr>
              <w:widowControl/>
              <w:textAlignment w:val="center"/>
              <w:rPr>
                <w:rFonts w:cs="宋体" w:asciiTheme="minorEastAsia" w:hAnsiTheme="minorEastAsia" w:eastAsiaTheme="minorEastAsia"/>
                <w:color w:val="auto"/>
              </w:rPr>
            </w:pPr>
            <w:r>
              <w:rPr>
                <w:rFonts w:cs="宋体" w:asciiTheme="minorEastAsia" w:hAnsiTheme="minorEastAsia" w:eastAsiaTheme="minorEastAsia"/>
                <w:color w:val="auto"/>
              </w:rPr>
              <w:t>②</w:t>
            </w:r>
            <w:r>
              <w:rPr>
                <w:rFonts w:hint="eastAsia" w:cs="Calibri" w:asciiTheme="minorEastAsia" w:hAnsiTheme="minorEastAsia" w:eastAsiaTheme="minorEastAsia"/>
                <w:color w:val="auto"/>
              </w:rPr>
              <w:t>针对</w:t>
            </w:r>
            <w:r>
              <w:rPr>
                <w:rFonts w:hint="eastAsia" w:cs="宋体" w:asciiTheme="minorEastAsia" w:hAnsiTheme="minorEastAsia" w:eastAsiaTheme="minorEastAsia"/>
                <w:color w:val="auto"/>
              </w:rPr>
              <w:t>投标人就本项目提供的商业业态组合的逻辑思路、品牌方向及业态规划等进行评审。商业业态能完善周边企业/企业人才/居民的生活配套设施、提供生活便利，并能优化周边业态结构得5分；商业业态能部分完善周边企业/企业人才/居民的生活配套设施、提供一定的生活便利，并在一定程度上能优化周边业态结构得3分；商业业态在完善周边企业/企业人才/居民的生活配套设施上较为一般、提供生活便利不突出，并且优化周边业态结构不明显得1分；没有不得分。</w:t>
            </w:r>
          </w:p>
          <w:p w14:paraId="71A5E6A2">
            <w:pPr>
              <w:widowControl/>
              <w:textAlignment w:val="center"/>
              <w:rPr>
                <w:rFonts w:asciiTheme="minorEastAsia" w:hAnsiTheme="minorEastAsia" w:eastAsiaTheme="minorEastAsia"/>
                <w:color w:val="auto"/>
              </w:rPr>
            </w:pPr>
            <w:r>
              <w:rPr>
                <w:rFonts w:hint="eastAsia" w:cs="宋体" w:asciiTheme="minorEastAsia" w:hAnsiTheme="minorEastAsia" w:eastAsiaTheme="minorEastAsia"/>
                <w:color w:val="auto"/>
              </w:rPr>
              <w:t>③主力店、品牌商家：对投标人提供的主力店和品牌商家的数量、业态类型等进行评审。主力店（汉堡王、肯德基、星巴克、Tims咖啡等同级别主流品牌）、品牌商家数量多、业态与本项目锲合度高得4分；主力店、品牌商家数量较多、业态与本项目较为锲合得2分；主力店、品牌商家数量较少、业态与本项目锲合度不高得1分；没有不得分。</w:t>
            </w:r>
          </w:p>
        </w:tc>
      </w:tr>
      <w:tr w14:paraId="5376FEFE">
        <w:tblPrEx>
          <w:tblCellMar>
            <w:top w:w="0" w:type="dxa"/>
            <w:left w:w="0" w:type="dxa"/>
            <w:bottom w:w="0" w:type="dxa"/>
            <w:right w:w="0" w:type="dxa"/>
          </w:tblCellMar>
        </w:tblPrEx>
        <w:trPr>
          <w:trHeight w:val="576"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23379A">
            <w:pPr>
              <w:widowControl/>
              <w:jc w:val="center"/>
              <w:textAlignment w:val="center"/>
              <w:rPr>
                <w:rFonts w:hAnsi="宋体" w:cs="宋体"/>
                <w:color w:val="auto"/>
              </w:rPr>
            </w:pPr>
            <w:r>
              <w:rPr>
                <w:rFonts w:hint="eastAsia" w:hAnsi="宋体" w:cs="宋体"/>
                <w:color w:val="auto"/>
              </w:rPr>
              <w:t>3.3</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6599A0">
            <w:pPr>
              <w:widowControl/>
              <w:jc w:val="center"/>
              <w:textAlignment w:val="center"/>
              <w:rPr>
                <w:rFonts w:hAnsi="宋体" w:cs="宋体"/>
                <w:color w:val="auto"/>
              </w:rPr>
            </w:pPr>
            <w:r>
              <w:rPr>
                <w:rFonts w:hint="eastAsia" w:ascii="宋体" w:hAnsi="宋体" w:cs="宋体"/>
                <w:color w:val="auto"/>
              </w:rPr>
              <w:t>招商定位</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DB7C1">
            <w:pPr>
              <w:widowControl/>
              <w:jc w:val="center"/>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6</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C532BA">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①</w:t>
            </w:r>
            <w:r>
              <w:rPr>
                <w:rFonts w:hint="eastAsia" w:cs="宋体" w:asciiTheme="minorEastAsia" w:hAnsiTheme="minorEastAsia" w:eastAsiaTheme="minorEastAsia"/>
                <w:color w:val="auto"/>
              </w:rPr>
              <w:t>针对投标人就本项目提供的商业客群定位、客群细分、业态分布等进行评审。客群定位、客群细分、业态分布与本项目匹配度高、科学合理、内容完整得3分；客群定位、客群细分、业态分布与本项目匹配度较高、较为科学合理、内容较完整得2分；客群定位、客群细分、业态分布与本项目匹配度一般或不匹配、内容有所欠缺得1分；没有不得分。</w:t>
            </w:r>
          </w:p>
          <w:p w14:paraId="4ADF3D2E">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②</w:t>
            </w:r>
            <w:r>
              <w:rPr>
                <w:rFonts w:hint="eastAsia" w:cs="宋体" w:asciiTheme="minorEastAsia" w:hAnsiTheme="minorEastAsia" w:eastAsiaTheme="minorEastAsia"/>
                <w:color w:val="auto"/>
              </w:rPr>
              <w:t>针对投标人就本项目提供的产业定位及拟选产业进行评审。与本项目招标需求匹配度高、科学合理、完整度高得3分；与本项目招标需求匹配度较高、较为科学合理、完整度较高得2分；与本项目招标需求匹配度不高、有所欠缺得1分；没有不得分。</w:t>
            </w:r>
          </w:p>
        </w:tc>
      </w:tr>
      <w:tr w14:paraId="789A0505">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1D59BB">
            <w:pPr>
              <w:widowControl/>
              <w:jc w:val="center"/>
              <w:textAlignment w:val="center"/>
              <w:rPr>
                <w:rFonts w:hAnsi="宋体" w:cs="宋体"/>
                <w:color w:val="auto"/>
              </w:rPr>
            </w:pPr>
            <w:r>
              <w:rPr>
                <w:rFonts w:hint="eastAsia" w:hAnsi="宋体" w:cs="宋体"/>
                <w:color w:val="auto"/>
              </w:rPr>
              <w:t>3.4</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8DE119">
            <w:pPr>
              <w:widowControl/>
              <w:jc w:val="center"/>
              <w:textAlignment w:val="center"/>
              <w:rPr>
                <w:rFonts w:hAnsi="宋体" w:cs="宋体"/>
                <w:color w:val="auto"/>
              </w:rPr>
            </w:pPr>
            <w:r>
              <w:rPr>
                <w:rFonts w:hint="eastAsia" w:ascii="宋体" w:hAnsi="宋体" w:cs="宋体"/>
                <w:color w:val="auto"/>
              </w:rPr>
              <w:t>招商策略和渠道</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3123B3">
            <w:pPr>
              <w:widowControl/>
              <w:jc w:val="center"/>
              <w:textAlignment w:val="center"/>
              <w:rPr>
                <w:rFonts w:hAnsi="宋体" w:cs="宋体"/>
                <w:color w:val="auto"/>
              </w:rPr>
            </w:pPr>
            <w:r>
              <w:rPr>
                <w:rFonts w:hint="eastAsia" w:hAnsi="宋体" w:cs="宋体"/>
                <w:color w:val="auto"/>
              </w:rPr>
              <w:t>6</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785596">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①招商策略：对投标人提供的招标工作内容阶段性安排：目标分解落实计划、运营政策、重要节点排布等安排进行评审（0-3分）。目标分解明确，重要节点安排合理，得3分；目标分解比较明确，重要节点安排相对合理，得2分；目标分解不够明确，重要节点安排不太合理，得1-0分。</w:t>
            </w:r>
          </w:p>
          <w:p w14:paraId="5D13AD24">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②招商渠道：对投标人提供的招商渠道的种类及具体操作方式进行评审（0-</w:t>
            </w:r>
            <w:r>
              <w:rPr>
                <w:rFonts w:hint="eastAsia" w:asciiTheme="minorEastAsia" w:hAnsiTheme="minorEastAsia" w:eastAsiaTheme="minorEastAsia"/>
                <w:color w:val="auto"/>
              </w:rPr>
              <w:t>3</w:t>
            </w:r>
            <w:r>
              <w:rPr>
                <w:rFonts w:hint="eastAsia" w:cs="宋体" w:asciiTheme="minorEastAsia" w:hAnsiTheme="minorEastAsia" w:eastAsiaTheme="minorEastAsia"/>
                <w:color w:val="auto"/>
              </w:rPr>
              <w:t>分）。招商渠道多，操作方式专业，得3分；招商渠道较多，操作方式相对专业，得2分；招商渠道单一，操作方式不够专业，得1-0分。</w:t>
            </w:r>
          </w:p>
        </w:tc>
      </w:tr>
      <w:tr w14:paraId="13DAFDE5">
        <w:tblPrEx>
          <w:tblCellMar>
            <w:top w:w="0" w:type="dxa"/>
            <w:left w:w="0" w:type="dxa"/>
            <w:bottom w:w="0" w:type="dxa"/>
            <w:right w:w="0" w:type="dxa"/>
          </w:tblCellMar>
        </w:tblPrEx>
        <w:trPr>
          <w:trHeight w:val="558"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FDDEC6">
            <w:pPr>
              <w:widowControl/>
              <w:jc w:val="center"/>
              <w:textAlignment w:val="center"/>
              <w:rPr>
                <w:rFonts w:hAnsi="宋体" w:cs="宋体"/>
                <w:color w:val="auto"/>
              </w:rPr>
            </w:pPr>
            <w:r>
              <w:rPr>
                <w:rFonts w:hint="eastAsia" w:hAnsi="宋体" w:cs="宋体"/>
                <w:color w:val="auto"/>
              </w:rPr>
              <w:t>3.5</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AA8A7E">
            <w:pPr>
              <w:pStyle w:val="19"/>
              <w:tabs>
                <w:tab w:val="left" w:pos="0"/>
                <w:tab w:val="left" w:pos="1260"/>
                <w:tab w:val="left" w:pos="1365"/>
              </w:tabs>
              <w:adjustRightInd w:val="0"/>
              <w:snapToGrid w:val="0"/>
              <w:spacing w:after="0" w:line="420" w:lineRule="exact"/>
              <w:ind w:left="0" w:leftChars="0" w:firstLine="0" w:firstLineChars="0"/>
              <w:jc w:val="center"/>
              <w:rPr>
                <w:rFonts w:ascii="宋体" w:hAnsi="宋体" w:cs="宋体"/>
                <w:color w:val="auto"/>
              </w:rPr>
            </w:pPr>
            <w:r>
              <w:rPr>
                <w:rFonts w:hint="eastAsia" w:ascii="宋体" w:hAnsi="宋体" w:cs="宋体"/>
                <w:color w:val="auto"/>
              </w:rPr>
              <w:t>日常运营</w:t>
            </w:r>
          </w:p>
          <w:p w14:paraId="60AD3D7B">
            <w:pPr>
              <w:widowControl/>
              <w:jc w:val="center"/>
              <w:textAlignment w:val="center"/>
              <w:rPr>
                <w:rFonts w:hAnsi="宋体" w:cs="宋体"/>
                <w:color w:val="auto"/>
              </w:rPr>
            </w:pPr>
            <w:r>
              <w:rPr>
                <w:rFonts w:hint="eastAsia" w:ascii="宋体" w:hAnsi="宋体" w:cs="宋体"/>
                <w:color w:val="auto"/>
              </w:rPr>
              <w:t>服务及管理方案</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0692A3">
            <w:pPr>
              <w:widowControl/>
              <w:jc w:val="center"/>
              <w:textAlignment w:val="center"/>
              <w:rPr>
                <w:rFonts w:hAnsi="宋体" w:cs="宋体"/>
                <w:color w:val="auto"/>
              </w:rPr>
            </w:pPr>
            <w:r>
              <w:rPr>
                <w:rFonts w:hint="eastAsia" w:hAnsi="宋体" w:cs="宋体"/>
                <w:color w:val="auto"/>
              </w:rPr>
              <w:t>10</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C355A1">
            <w:pPr>
              <w:widowControl/>
              <w:textAlignment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①针对投标人就本项目提供的运营服务计划，拟定的运营服务方案进行评审。计划和方案内容科学合理、与本项目招标需求契合度高得5分；计划和方案内容较为科学合理、与本项目招标需求契合度较高得3分；计划和方案内容有所欠缺、与本项目招标需求契合度不高得1分；没有不得分。</w:t>
            </w:r>
          </w:p>
          <w:p w14:paraId="6F0FA715">
            <w:pPr>
              <w:widowControl/>
              <w:textAlignment w:val="center"/>
              <w:rPr>
                <w:rFonts w:asciiTheme="minorEastAsia" w:hAnsiTheme="minorEastAsia" w:eastAsiaTheme="minorEastAsia"/>
                <w:color w:val="auto"/>
              </w:rPr>
            </w:pPr>
            <w:r>
              <w:rPr>
                <w:rFonts w:hint="eastAsia" w:cs="宋体" w:asciiTheme="minorEastAsia" w:hAnsiTheme="minorEastAsia" w:eastAsiaTheme="minorEastAsia"/>
                <w:color w:val="auto"/>
              </w:rPr>
              <w:t>②针对投标人就本项目提供的项目管理内容：能耗管理、租户装修管理、租户档案管理等进行评审，完整性、科学性、合理性进行评议。方案内容完整，科学合理，得5分；方案内容完整，相对科学合理，得3分；方案内容不够完整，科学合理性一般，得1-0分</w:t>
            </w:r>
            <w:r>
              <w:rPr>
                <w:rFonts w:hint="eastAsia" w:cs="宋体" w:asciiTheme="minorEastAsia" w:hAnsiTheme="minorEastAsia" w:eastAsiaTheme="minorEastAsia"/>
                <w:b/>
                <w:bCs/>
                <w:color w:val="auto"/>
              </w:rPr>
              <w:t>。</w:t>
            </w:r>
          </w:p>
        </w:tc>
      </w:tr>
      <w:tr w14:paraId="18B4BBED">
        <w:tblPrEx>
          <w:tblCellMar>
            <w:top w:w="0" w:type="dxa"/>
            <w:left w:w="0" w:type="dxa"/>
            <w:bottom w:w="0" w:type="dxa"/>
            <w:right w:w="0"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59CB35">
            <w:pPr>
              <w:widowControl/>
              <w:jc w:val="center"/>
              <w:textAlignment w:val="center"/>
              <w:rPr>
                <w:rFonts w:hAnsi="宋体" w:cs="宋体"/>
                <w:color w:val="auto"/>
              </w:rPr>
            </w:pPr>
            <w:r>
              <w:rPr>
                <w:rFonts w:hint="eastAsia" w:hAnsi="宋体" w:cs="宋体"/>
                <w:color w:val="auto"/>
              </w:rPr>
              <w:t>3.6</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E68B68">
            <w:pPr>
              <w:widowControl/>
              <w:jc w:val="center"/>
              <w:textAlignment w:val="center"/>
              <w:rPr>
                <w:rFonts w:hAnsi="宋体" w:cs="宋体"/>
                <w:color w:val="auto"/>
              </w:rPr>
            </w:pPr>
            <w:r>
              <w:rPr>
                <w:rFonts w:hint="eastAsia" w:ascii="宋体" w:hAnsi="宋体" w:cs="宋体"/>
                <w:color w:val="auto"/>
              </w:rPr>
              <w:t>物业服务及管理方案</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3BD23D">
            <w:pPr>
              <w:widowControl/>
              <w:jc w:val="center"/>
              <w:textAlignment w:val="center"/>
              <w:rPr>
                <w:rFonts w:hAnsi="宋体" w:cs="宋体"/>
                <w:color w:val="auto"/>
              </w:rPr>
            </w:pPr>
            <w:r>
              <w:rPr>
                <w:rFonts w:hint="eastAsia" w:hAnsi="宋体" w:cs="宋体"/>
                <w:color w:val="auto"/>
              </w:rPr>
              <w:t>8</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3CD9275D">
            <w:pPr>
              <w:widowControl/>
              <w:textAlignment w:val="center"/>
              <w:rPr>
                <w:rFonts w:ascii="宋体" w:hAnsi="宋体" w:cs="宋体"/>
                <w:color w:val="auto"/>
              </w:rPr>
            </w:pPr>
            <w:r>
              <w:rPr>
                <w:rFonts w:hint="eastAsia" w:ascii="宋体" w:hAnsi="宋体" w:cs="宋体"/>
                <w:color w:val="auto"/>
              </w:rPr>
              <w:t>①投标人提供的项目物业管理服务方案，拟定的物业管理服务方案完整性、合理性是否切实可行，由评委进行评议（0-4分）。方案内容完整，科学合理，得4分；方案内容完整，相对科学合理，得2分；方案内容不够完整，科学合理性一般，得1-0分。</w:t>
            </w:r>
          </w:p>
          <w:p w14:paraId="38629843">
            <w:pPr>
              <w:widowControl/>
              <w:textAlignment w:val="center"/>
              <w:rPr>
                <w:color w:val="auto"/>
              </w:rPr>
            </w:pPr>
            <w:r>
              <w:rPr>
                <w:rFonts w:hint="eastAsia" w:ascii="宋体" w:hAnsi="宋体" w:cs="宋体"/>
                <w:color w:val="auto"/>
              </w:rPr>
              <w:t>②对投标人提供的物业管理标准：设施设备管理、消防安全管理、应急事件的处理预案、环境绿化保洁管理，完整性、合理性由评委进行评议（0-4分）。方案内容完整，科学合理，得4分；方案内容完整，相对科学合理，得2分；方案内容不够完整，科学合理性一般，得1-0分。</w:t>
            </w:r>
          </w:p>
        </w:tc>
      </w:tr>
      <w:tr w14:paraId="32F4D0FB">
        <w:tblPrEx>
          <w:tblCellMar>
            <w:top w:w="0" w:type="dxa"/>
            <w:left w:w="0" w:type="dxa"/>
            <w:bottom w:w="0" w:type="dxa"/>
            <w:right w:w="0" w:type="dxa"/>
          </w:tblCellMar>
        </w:tblPrEx>
        <w:trPr>
          <w:trHeight w:val="602" w:hRule="atLeast"/>
          <w:jc w:val="center"/>
        </w:trPr>
        <w:tc>
          <w:tcPr>
            <w:tcW w:w="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A6E153">
            <w:pPr>
              <w:widowControl/>
              <w:jc w:val="center"/>
              <w:textAlignment w:val="center"/>
              <w:rPr>
                <w:rFonts w:hAnsi="宋体" w:cs="宋体"/>
                <w:color w:val="auto"/>
              </w:rPr>
            </w:pPr>
            <w:r>
              <w:rPr>
                <w:rFonts w:hint="eastAsia" w:hAnsi="宋体" w:cs="宋体"/>
                <w:color w:val="auto"/>
              </w:rPr>
              <w:t>3.7</w:t>
            </w:r>
          </w:p>
        </w:tc>
        <w:tc>
          <w:tcPr>
            <w:tcW w:w="12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9EAF73">
            <w:pPr>
              <w:spacing w:line="400" w:lineRule="exact"/>
              <w:jc w:val="center"/>
              <w:textAlignment w:val="baseline"/>
              <w:rPr>
                <w:rFonts w:ascii="宋体" w:hAnsi="宋体" w:cs="宋体"/>
                <w:color w:val="auto"/>
              </w:rPr>
            </w:pPr>
            <w:r>
              <w:rPr>
                <w:rFonts w:hint="eastAsia" w:ascii="宋体" w:hAnsi="宋体" w:cs="宋体"/>
                <w:color w:val="auto"/>
              </w:rPr>
              <w:t>改造设计及规划方案评价</w:t>
            </w: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A1F4A2">
            <w:pPr>
              <w:spacing w:line="400" w:lineRule="exact"/>
              <w:jc w:val="center"/>
              <w:textAlignment w:val="baseline"/>
              <w:rPr>
                <w:rFonts w:ascii="宋体" w:hAnsi="宋体" w:cs="宋体"/>
                <w:color w:val="auto"/>
              </w:rPr>
            </w:pPr>
            <w:r>
              <w:rPr>
                <w:rFonts w:hint="eastAsia" w:ascii="宋体" w:hAnsi="宋体" w:cs="宋体"/>
                <w:color w:val="auto"/>
              </w:rPr>
              <w:t>13</w:t>
            </w:r>
          </w:p>
        </w:tc>
        <w:tc>
          <w:tcPr>
            <w:tcW w:w="63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38B7CE8B">
            <w:pPr>
              <w:spacing w:line="400" w:lineRule="exact"/>
              <w:jc w:val="left"/>
              <w:textAlignment w:val="baseline"/>
              <w:rPr>
                <w:rFonts w:ascii="宋体" w:hAnsi="宋体" w:cs="宋体"/>
                <w:color w:val="auto"/>
              </w:rPr>
            </w:pPr>
            <w:r>
              <w:rPr>
                <w:rFonts w:hint="eastAsia" w:ascii="宋体" w:hAnsi="宋体" w:cs="宋体"/>
                <w:color w:val="auto"/>
              </w:rPr>
              <w:t>本项目修缮培育期为协议签订后前5年，为项目投资打造期，投资改造范围包括项目标的内基础管网、道路、消防、结构、绿化景观、房屋加固、房屋外立面、防水、公共部分装修、标识标牌、公共装置及智能化等工程改造，</w:t>
            </w:r>
            <w:r>
              <w:rPr>
                <w:rFonts w:ascii="宋体" w:hAnsi="宋体" w:cs="宋体"/>
                <w:color w:val="auto"/>
              </w:rPr>
              <w:t>针对项目的定位和需求，对投标人</w:t>
            </w:r>
            <w:r>
              <w:rPr>
                <w:rFonts w:hint="eastAsia" w:ascii="宋体" w:hAnsi="宋体" w:cs="宋体"/>
                <w:color w:val="auto"/>
              </w:rPr>
              <w:t>提供的改造设计及规划方案</w:t>
            </w:r>
            <w:r>
              <w:rPr>
                <w:rFonts w:ascii="宋体" w:hAnsi="宋体" w:cs="宋体"/>
                <w:color w:val="auto"/>
              </w:rPr>
              <w:t>进行评议（0-</w:t>
            </w:r>
            <w:r>
              <w:rPr>
                <w:rFonts w:hint="eastAsia" w:ascii="宋体" w:hAnsi="宋体" w:cs="宋体"/>
                <w:color w:val="auto"/>
              </w:rPr>
              <w:t>13</w:t>
            </w:r>
            <w:r>
              <w:rPr>
                <w:rFonts w:ascii="宋体" w:hAnsi="宋体" w:cs="宋体"/>
                <w:color w:val="auto"/>
              </w:rPr>
              <w:t>分）。投标文件中须提供</w:t>
            </w:r>
            <w:r>
              <w:rPr>
                <w:rFonts w:hint="eastAsia" w:ascii="宋体" w:hAnsi="宋体" w:cs="宋体"/>
                <w:color w:val="auto"/>
              </w:rPr>
              <w:t>改造</w:t>
            </w:r>
            <w:r>
              <w:rPr>
                <w:rFonts w:ascii="宋体" w:hAnsi="宋体" w:cs="宋体"/>
                <w:color w:val="auto"/>
              </w:rPr>
              <w:t>范围</w:t>
            </w:r>
            <w:r>
              <w:rPr>
                <w:rFonts w:hint="eastAsia" w:ascii="宋体" w:hAnsi="宋体" w:cs="宋体"/>
                <w:color w:val="auto"/>
              </w:rPr>
              <w:t>及内容</w:t>
            </w:r>
            <w:r>
              <w:rPr>
                <w:rFonts w:ascii="宋体" w:hAnsi="宋体" w:cs="宋体"/>
                <w:color w:val="auto"/>
              </w:rPr>
              <w:t>、</w:t>
            </w:r>
            <w:r>
              <w:rPr>
                <w:rFonts w:hint="eastAsia" w:ascii="宋体" w:hAnsi="宋体" w:cs="宋体"/>
                <w:color w:val="auto"/>
              </w:rPr>
              <w:t>改造</w:t>
            </w:r>
            <w:r>
              <w:rPr>
                <w:rFonts w:ascii="宋体" w:hAnsi="宋体" w:cs="宋体"/>
                <w:color w:val="auto"/>
              </w:rPr>
              <w:t>效果</w:t>
            </w:r>
            <w:r>
              <w:rPr>
                <w:rFonts w:hint="eastAsia" w:ascii="宋体" w:hAnsi="宋体" w:cs="宋体"/>
                <w:color w:val="auto"/>
              </w:rPr>
              <w:t>、改造资金投入</w:t>
            </w:r>
            <w:r>
              <w:rPr>
                <w:rFonts w:hint="eastAsia" w:ascii="宋体" w:hAnsi="宋体" w:cs="宋体"/>
                <w:color w:val="auto"/>
                <w:lang w:val="en-US" w:eastAsia="zh-CN"/>
              </w:rPr>
              <w:t>明细组成</w:t>
            </w:r>
            <w:r>
              <w:rPr>
                <w:rFonts w:hint="eastAsia" w:ascii="宋体" w:hAnsi="宋体" w:cs="宋体"/>
                <w:color w:val="auto"/>
              </w:rPr>
              <w:t>等：</w:t>
            </w:r>
          </w:p>
          <w:p w14:paraId="04052F3B">
            <w:pPr>
              <w:spacing w:line="400" w:lineRule="exact"/>
              <w:jc w:val="left"/>
              <w:textAlignment w:val="baseline"/>
              <w:rPr>
                <w:rFonts w:ascii="宋体" w:hAnsi="宋体" w:cs="宋体"/>
                <w:color w:val="auto"/>
              </w:rPr>
            </w:pPr>
            <w:r>
              <w:rPr>
                <w:rFonts w:hint="eastAsia" w:ascii="宋体" w:hAnsi="宋体" w:cs="宋体"/>
                <w:color w:val="auto"/>
              </w:rPr>
              <w:t>改造范围考虑充分，设计构思新颖，</w:t>
            </w:r>
            <w:r>
              <w:rPr>
                <w:rFonts w:ascii="宋体" w:hAnsi="宋体" w:cs="宋体"/>
                <w:color w:val="auto"/>
              </w:rPr>
              <w:t>方案内容</w:t>
            </w:r>
            <w:r>
              <w:rPr>
                <w:rFonts w:hint="eastAsia" w:ascii="宋体" w:hAnsi="宋体" w:cs="宋体"/>
                <w:color w:val="auto"/>
                <w:lang w:val="en-US" w:eastAsia="zh-CN"/>
              </w:rPr>
              <w:t>详细</w:t>
            </w:r>
            <w:r>
              <w:rPr>
                <w:rFonts w:ascii="宋体" w:hAnsi="宋体" w:cs="宋体"/>
                <w:color w:val="auto"/>
              </w:rPr>
              <w:t>完整，科学合理，</w:t>
            </w:r>
            <w:r>
              <w:rPr>
                <w:rFonts w:hint="eastAsia" w:ascii="宋体" w:hAnsi="宋体" w:cs="宋体"/>
                <w:color w:val="auto"/>
              </w:rPr>
              <w:t>与本项目匹配度高</w:t>
            </w:r>
            <w:r>
              <w:rPr>
                <w:rFonts w:ascii="宋体" w:hAnsi="宋体" w:cs="宋体"/>
                <w:color w:val="auto"/>
              </w:rPr>
              <w:t>得</w:t>
            </w:r>
            <w:r>
              <w:rPr>
                <w:rFonts w:hint="eastAsia" w:ascii="宋体" w:hAnsi="宋体" w:cs="宋体"/>
                <w:color w:val="auto"/>
              </w:rPr>
              <w:t>13</w:t>
            </w:r>
            <w:r>
              <w:rPr>
                <w:rFonts w:ascii="宋体" w:hAnsi="宋体" w:cs="宋体"/>
                <w:color w:val="auto"/>
              </w:rPr>
              <w:t>分；</w:t>
            </w:r>
            <w:r>
              <w:rPr>
                <w:rFonts w:hint="eastAsia" w:ascii="宋体" w:hAnsi="宋体" w:cs="宋体"/>
                <w:color w:val="auto"/>
              </w:rPr>
              <w:t>改造范围考虑较全面，设计构思较新颖，方案内容基本完整</w:t>
            </w:r>
            <w:r>
              <w:rPr>
                <w:rFonts w:ascii="宋体" w:hAnsi="宋体" w:cs="宋体"/>
                <w:color w:val="auto"/>
              </w:rPr>
              <w:t>，</w:t>
            </w:r>
            <w:r>
              <w:rPr>
                <w:rFonts w:hint="eastAsia" w:ascii="宋体" w:hAnsi="宋体" w:cs="宋体"/>
                <w:color w:val="auto"/>
              </w:rPr>
              <w:t>基本能满足本项目的运营要求10分</w:t>
            </w:r>
            <w:r>
              <w:rPr>
                <w:rFonts w:ascii="宋体" w:hAnsi="宋体" w:cs="宋体"/>
                <w:color w:val="auto"/>
              </w:rPr>
              <w:t>；</w:t>
            </w:r>
            <w:r>
              <w:rPr>
                <w:rFonts w:hint="eastAsia" w:ascii="宋体" w:hAnsi="宋体" w:cs="宋体"/>
                <w:color w:val="auto"/>
              </w:rPr>
              <w:t>改造范围及内容基本涉及，基本能满足本项目的运营要求7分</w:t>
            </w:r>
            <w:r>
              <w:rPr>
                <w:rFonts w:ascii="宋体" w:hAnsi="宋体" w:cs="宋体"/>
                <w:color w:val="auto"/>
              </w:rPr>
              <w:t>；方案内容</w:t>
            </w:r>
            <w:r>
              <w:rPr>
                <w:rFonts w:hint="eastAsia" w:ascii="宋体" w:hAnsi="宋体" w:cs="宋体"/>
                <w:color w:val="auto"/>
              </w:rPr>
              <w:t>较简略，针对性有所欠缺得3分</w:t>
            </w:r>
            <w:r>
              <w:rPr>
                <w:rFonts w:ascii="宋体" w:hAnsi="宋体" w:cs="宋体"/>
                <w:color w:val="auto"/>
              </w:rPr>
              <w:t>，</w:t>
            </w:r>
            <w:r>
              <w:rPr>
                <w:rFonts w:hint="eastAsia" w:ascii="宋体" w:hAnsi="宋体" w:cs="宋体"/>
                <w:color w:val="auto"/>
              </w:rPr>
              <w:t>未提供本项不得分</w:t>
            </w:r>
            <w:r>
              <w:rPr>
                <w:rFonts w:ascii="宋体" w:hAnsi="宋体" w:cs="宋体"/>
                <w:color w:val="auto"/>
              </w:rPr>
              <w:t>。</w:t>
            </w:r>
          </w:p>
        </w:tc>
      </w:tr>
    </w:tbl>
    <w:p w14:paraId="7BEC0BC0">
      <w:pPr>
        <w:adjustRightInd w:val="0"/>
        <w:snapToGrid w:val="0"/>
        <w:spacing w:line="460" w:lineRule="exact"/>
        <w:ind w:firstLine="482" w:firstLineChars="200"/>
        <w:jc w:val="left"/>
        <w:rPr>
          <w:bCs/>
          <w:color w:val="auto"/>
          <w:kern w:val="0"/>
          <w:sz w:val="24"/>
        </w:rPr>
      </w:pPr>
      <w:r>
        <w:rPr>
          <w:b/>
          <w:color w:val="auto"/>
          <w:kern w:val="0"/>
          <w:sz w:val="24"/>
        </w:rPr>
        <w:t xml:space="preserve"> （四）</w:t>
      </w:r>
      <w:r>
        <w:rPr>
          <w:b/>
          <w:color w:val="auto"/>
          <w:kern w:val="0"/>
          <w:sz w:val="24"/>
          <w:lang w:val="zh-CN"/>
        </w:rPr>
        <w:t>价格分</w:t>
      </w:r>
      <w:r>
        <w:rPr>
          <w:b/>
          <w:color w:val="auto"/>
          <w:kern w:val="0"/>
          <w:sz w:val="24"/>
        </w:rPr>
        <w:t>：</w:t>
      </w:r>
      <w:r>
        <w:rPr>
          <w:rFonts w:hint="eastAsia"/>
          <w:b/>
          <w:bCs w:val="0"/>
          <w:color w:val="auto"/>
          <w:kern w:val="0"/>
          <w:sz w:val="24"/>
          <w:u w:val="single"/>
        </w:rPr>
        <w:t>20</w:t>
      </w:r>
      <w:r>
        <w:rPr>
          <w:b/>
          <w:bCs w:val="0"/>
          <w:color w:val="auto"/>
          <w:kern w:val="0"/>
          <w:sz w:val="24"/>
          <w:lang w:val="zh-CN"/>
        </w:rPr>
        <w:t>分</w:t>
      </w:r>
      <w:r>
        <w:rPr>
          <w:rFonts w:hint="eastAsia"/>
          <w:b/>
          <w:bCs w:val="0"/>
          <w:color w:val="auto"/>
          <w:kern w:val="0"/>
          <w:sz w:val="24"/>
          <w:lang w:val="zh-CN"/>
        </w:rPr>
        <w:t>。</w:t>
      </w:r>
    </w:p>
    <w:p w14:paraId="72619BE9">
      <w:pPr>
        <w:adjustRightInd w:val="0"/>
        <w:snapToGrid w:val="0"/>
        <w:spacing w:line="460" w:lineRule="exact"/>
        <w:ind w:firstLine="480" w:firstLineChars="200"/>
        <w:rPr>
          <w:color w:val="auto"/>
          <w:sz w:val="24"/>
        </w:rPr>
      </w:pPr>
      <w:r>
        <w:rPr>
          <w:rFonts w:hint="eastAsia"/>
          <w:color w:val="auto"/>
          <w:sz w:val="24"/>
        </w:rPr>
        <w:t>1.价格分由4部分构成。前五年修缮培育期的租金报价分值为5分</w:t>
      </w:r>
      <w:r>
        <w:rPr>
          <w:rFonts w:hint="eastAsia"/>
          <w:color w:val="auto"/>
        </w:rPr>
        <w:t>；</w:t>
      </w:r>
      <w:r>
        <w:rPr>
          <w:rFonts w:hint="eastAsia"/>
          <w:color w:val="auto"/>
          <w:sz w:val="24"/>
        </w:rPr>
        <w:t>第6~8年每年租金报价分值为5分；第9~12年每年租金报价分值为5分；第13~15年每年租金报价分值为5分。</w:t>
      </w:r>
    </w:p>
    <w:p w14:paraId="400AD4EE">
      <w:pPr>
        <w:adjustRightInd w:val="0"/>
        <w:snapToGrid w:val="0"/>
        <w:spacing w:line="460" w:lineRule="exact"/>
        <w:ind w:firstLine="480" w:firstLineChars="200"/>
        <w:rPr>
          <w:color w:val="auto"/>
          <w:sz w:val="24"/>
        </w:rPr>
      </w:pPr>
      <w:r>
        <w:rPr>
          <w:rFonts w:hint="eastAsia"/>
          <w:color w:val="auto"/>
          <w:sz w:val="24"/>
        </w:rPr>
        <w:t>2.价格分计算方法</w:t>
      </w:r>
    </w:p>
    <w:p w14:paraId="166AEBF8">
      <w:pPr>
        <w:snapToGrid w:val="0"/>
        <w:spacing w:line="460" w:lineRule="exact"/>
        <w:ind w:firstLine="482" w:firstLineChars="200"/>
        <w:rPr>
          <w:rFonts w:eastAsiaTheme="minorEastAsia"/>
          <w:b/>
          <w:color w:val="auto"/>
          <w:sz w:val="24"/>
        </w:rPr>
      </w:pPr>
      <w:r>
        <w:rPr>
          <w:rFonts w:hint="eastAsia"/>
          <w:b/>
          <w:color w:val="auto"/>
          <w:sz w:val="24"/>
        </w:rPr>
        <w:t>2.1本项目</w:t>
      </w:r>
      <w:r>
        <w:rPr>
          <w:rFonts w:hint="eastAsia"/>
          <w:color w:val="auto"/>
          <w:sz w:val="24"/>
        </w:rPr>
        <w:t>招标控制价</w:t>
      </w:r>
      <w:r>
        <w:rPr>
          <w:color w:val="auto"/>
          <w:sz w:val="24"/>
        </w:rPr>
        <w:t>：</w:t>
      </w:r>
      <w:r>
        <w:rPr>
          <w:rFonts w:hint="eastAsia"/>
          <w:color w:val="auto"/>
          <w:sz w:val="24"/>
        </w:rPr>
        <w:t>租金前5年不低于90万元/年，第6~8年不低于95万元/年，第9~12年不低于100万元/年，第13~15年不低于105万元/年。</w:t>
      </w:r>
    </w:p>
    <w:p w14:paraId="65C8ACCE">
      <w:pPr>
        <w:adjustRightInd w:val="0"/>
        <w:snapToGrid w:val="0"/>
        <w:spacing w:line="480" w:lineRule="exact"/>
        <w:ind w:firstLine="480" w:firstLineChars="200"/>
        <w:outlineLvl w:val="1"/>
        <w:rPr>
          <w:color w:val="auto"/>
          <w:sz w:val="24"/>
        </w:rPr>
      </w:pPr>
      <w:r>
        <w:rPr>
          <w:color w:val="auto"/>
          <w:sz w:val="24"/>
        </w:rPr>
        <w:t>2.</w:t>
      </w:r>
      <w:r>
        <w:rPr>
          <w:rFonts w:hint="eastAsia"/>
          <w:color w:val="auto"/>
          <w:sz w:val="24"/>
        </w:rPr>
        <w:t>2每一部分</w:t>
      </w:r>
      <w:r>
        <w:rPr>
          <w:color w:val="auto"/>
          <w:sz w:val="24"/>
        </w:rPr>
        <w:t>各投标</w:t>
      </w:r>
      <w:r>
        <w:rPr>
          <w:rFonts w:hint="eastAsia"/>
          <w:color w:val="auto"/>
          <w:sz w:val="24"/>
        </w:rPr>
        <w:t>人</w:t>
      </w:r>
      <w:r>
        <w:rPr>
          <w:color w:val="auto"/>
          <w:sz w:val="24"/>
        </w:rPr>
        <w:t>的有效投标报价，满足</w:t>
      </w:r>
      <w:r>
        <w:rPr>
          <w:rFonts w:hint="eastAsia"/>
          <w:color w:val="auto"/>
          <w:sz w:val="24"/>
        </w:rPr>
        <w:t>招标</w:t>
      </w:r>
      <w:r>
        <w:rPr>
          <w:color w:val="auto"/>
          <w:sz w:val="24"/>
        </w:rPr>
        <w:t>文件要求的参与评审价格中的算术平均价为评标基准价，其价格</w:t>
      </w:r>
      <w:r>
        <w:rPr>
          <w:rFonts w:hint="eastAsia"/>
          <w:color w:val="auto"/>
          <w:sz w:val="24"/>
        </w:rPr>
        <w:t>分</w:t>
      </w:r>
      <w:r>
        <w:rPr>
          <w:color w:val="auto"/>
          <w:sz w:val="24"/>
        </w:rPr>
        <w:t>为</w:t>
      </w:r>
      <w:r>
        <w:rPr>
          <w:rFonts w:hint="eastAsia"/>
          <w:color w:val="auto"/>
          <w:sz w:val="24"/>
        </w:rPr>
        <w:t>对应部分的满分</w:t>
      </w:r>
      <w:r>
        <w:rPr>
          <w:color w:val="auto"/>
          <w:sz w:val="24"/>
        </w:rPr>
        <w:t>；其他投标供应商的价格分统一按照下列公式计算：</w:t>
      </w:r>
    </w:p>
    <w:p w14:paraId="20BBFBC1">
      <w:pPr>
        <w:adjustRightInd w:val="0"/>
        <w:snapToGrid w:val="0"/>
        <w:spacing w:line="480" w:lineRule="exact"/>
        <w:ind w:firstLine="482" w:firstLineChars="200"/>
        <w:outlineLvl w:val="1"/>
        <w:rPr>
          <w:b/>
          <w:bCs/>
          <w:color w:val="auto"/>
          <w:sz w:val="24"/>
        </w:rPr>
      </w:pPr>
      <w:r>
        <w:rPr>
          <w:rFonts w:hint="eastAsia"/>
          <w:b/>
          <w:bCs/>
          <w:color w:val="auto"/>
          <w:sz w:val="24"/>
        </w:rPr>
        <w:t>每一部分</w:t>
      </w:r>
      <w:r>
        <w:rPr>
          <w:b/>
          <w:bCs/>
          <w:color w:val="auto"/>
          <w:sz w:val="24"/>
        </w:rPr>
        <w:t>投标报价得分=</w:t>
      </w:r>
      <w:r>
        <w:rPr>
          <w:color w:val="auto"/>
          <w:sz w:val="24"/>
        </w:rPr>
        <w:t>价格权值</w:t>
      </w:r>
      <w:r>
        <w:rPr>
          <w:b/>
          <w:bCs/>
          <w:color w:val="auto"/>
          <w:sz w:val="24"/>
        </w:rPr>
        <w:t>×（1-偏离价格/评标基准价)。</w:t>
      </w:r>
    </w:p>
    <w:p w14:paraId="0AF4C41E">
      <w:pPr>
        <w:adjustRightInd w:val="0"/>
        <w:snapToGrid w:val="0"/>
        <w:spacing w:line="480" w:lineRule="exact"/>
        <w:ind w:firstLine="484" w:firstLineChars="202"/>
        <w:rPr>
          <w:color w:val="auto"/>
          <w:sz w:val="24"/>
        </w:rPr>
      </w:pPr>
      <w:r>
        <w:rPr>
          <w:color w:val="auto"/>
          <w:sz w:val="24"/>
        </w:rPr>
        <w:t>注：偏离价格为投标报价与评标基准价差额的绝对值。</w:t>
      </w:r>
    </w:p>
    <w:p w14:paraId="181ECEC8">
      <w:pPr>
        <w:adjustRightInd w:val="0"/>
        <w:snapToGrid w:val="0"/>
        <w:spacing w:line="460" w:lineRule="exact"/>
        <w:ind w:firstLine="480" w:firstLineChars="200"/>
        <w:rPr>
          <w:color w:val="auto"/>
          <w:sz w:val="24"/>
        </w:rPr>
      </w:pPr>
      <w:r>
        <w:rPr>
          <w:rFonts w:hint="eastAsia"/>
          <w:color w:val="auto"/>
          <w:sz w:val="24"/>
        </w:rPr>
        <w:t>2.3价格标总得分=前5年每年租金报价得分+第6~8年每年租金报价得分+第9~12年每年租金报价得分+第13~15年每年租金报价得分。</w:t>
      </w:r>
    </w:p>
    <w:p w14:paraId="0E71DFA5">
      <w:pPr>
        <w:snapToGrid w:val="0"/>
        <w:spacing w:line="460" w:lineRule="exact"/>
        <w:ind w:firstLine="482" w:firstLineChars="200"/>
        <w:rPr>
          <w:b/>
          <w:color w:val="auto"/>
          <w:kern w:val="0"/>
          <w:sz w:val="24"/>
        </w:rPr>
      </w:pPr>
      <w:r>
        <w:rPr>
          <w:b/>
          <w:color w:val="auto"/>
          <w:kern w:val="0"/>
          <w:sz w:val="24"/>
        </w:rPr>
        <w:t>（五）中标人的确定</w:t>
      </w:r>
    </w:p>
    <w:p w14:paraId="6EF18466">
      <w:pPr>
        <w:snapToGrid w:val="0"/>
        <w:spacing w:line="460" w:lineRule="exact"/>
        <w:ind w:firstLine="480" w:firstLineChars="200"/>
        <w:rPr>
          <w:bCs/>
          <w:color w:val="auto"/>
          <w:sz w:val="24"/>
        </w:rPr>
      </w:pPr>
      <w:r>
        <w:rPr>
          <w:bCs/>
          <w:color w:val="auto"/>
          <w:sz w:val="24"/>
        </w:rPr>
        <w:t>评委会认为投标人的报价明显</w:t>
      </w:r>
      <w:r>
        <w:rPr>
          <w:rFonts w:hint="eastAsia"/>
          <w:bCs/>
          <w:color w:val="auto"/>
          <w:sz w:val="24"/>
        </w:rPr>
        <w:t>高于</w:t>
      </w:r>
      <w:r>
        <w:rPr>
          <w:bCs/>
          <w:color w:val="auto"/>
          <w:sz w:val="24"/>
        </w:rPr>
        <w:t>其他通过符合性审查投标人的报价</w:t>
      </w:r>
      <w:r>
        <w:rPr>
          <w:rFonts w:hint="eastAsia"/>
          <w:color w:val="auto"/>
          <w:kern w:val="0"/>
          <w:sz w:val="24"/>
          <w:szCs w:val="20"/>
        </w:rPr>
        <w:t>或者明显高于其正常的运营成本的</w:t>
      </w:r>
      <w:r>
        <w:rPr>
          <w:bCs/>
          <w:color w:val="auto"/>
          <w:sz w:val="24"/>
        </w:rPr>
        <w:t>，有可能不能诚信履约的，应当要求其在合理的时间内提供书面说明，必要时提交相关证明材料；投标人不能证明其报价合理性的，评委会应当将其作为无效投标处理。</w:t>
      </w:r>
    </w:p>
    <w:p w14:paraId="561B010B">
      <w:pPr>
        <w:snapToGrid w:val="0"/>
        <w:spacing w:line="460" w:lineRule="exact"/>
        <w:ind w:firstLine="480" w:firstLineChars="200"/>
        <w:rPr>
          <w:bCs/>
          <w:color w:val="auto"/>
          <w:sz w:val="24"/>
        </w:rPr>
      </w:pPr>
      <w:r>
        <w:rPr>
          <w:bCs/>
          <w:color w:val="auto"/>
          <w:sz w:val="24"/>
        </w:rPr>
        <w:t>评委对中标候选人报价总表和明细表进行审核，应审核</w:t>
      </w:r>
      <w:r>
        <w:rPr>
          <w:rFonts w:hint="eastAsia"/>
          <w:bCs/>
          <w:color w:val="auto"/>
          <w:sz w:val="24"/>
        </w:rPr>
        <w:t>投标人</w:t>
      </w:r>
      <w:r>
        <w:rPr>
          <w:bCs/>
          <w:color w:val="auto"/>
          <w:sz w:val="24"/>
        </w:rPr>
        <w:t>投标报价是否前后一致、大小写金额是否一致、总价金额与单价汇总金额是否一致。对过高过低报价的并作为中标候选人的，应重点审核报价明细表</w:t>
      </w:r>
      <w:r>
        <w:rPr>
          <w:rFonts w:hint="eastAsia"/>
          <w:bCs/>
          <w:color w:val="auto"/>
          <w:sz w:val="24"/>
        </w:rPr>
        <w:t>是</w:t>
      </w:r>
      <w:r>
        <w:rPr>
          <w:bCs/>
          <w:color w:val="auto"/>
          <w:sz w:val="24"/>
        </w:rPr>
        <w:t>否</w:t>
      </w:r>
      <w:r>
        <w:rPr>
          <w:rFonts w:hint="eastAsia"/>
          <w:bCs/>
          <w:color w:val="auto"/>
          <w:sz w:val="24"/>
        </w:rPr>
        <w:t>有</w:t>
      </w:r>
      <w:r>
        <w:rPr>
          <w:bCs/>
          <w:color w:val="auto"/>
          <w:sz w:val="24"/>
        </w:rPr>
        <w:t>重大重复报价或漏项报价等情况，一经发现，现场请中标候选人予以澄清，明显过错或不能澄清的，经超半数以上评委认定，有权取消中标候选人资格。</w:t>
      </w:r>
    </w:p>
    <w:p w14:paraId="480BC012">
      <w:pPr>
        <w:snapToGrid w:val="0"/>
        <w:spacing w:line="460" w:lineRule="exact"/>
        <w:ind w:firstLine="480" w:firstLineChars="200"/>
        <w:rPr>
          <w:bCs/>
          <w:color w:val="auto"/>
          <w:sz w:val="24"/>
        </w:rPr>
      </w:pPr>
      <w:r>
        <w:rPr>
          <w:bCs/>
          <w:color w:val="auto"/>
          <w:sz w:val="24"/>
        </w:rPr>
        <w:t>评委会汇总各评委评分后，按照得分从高到低的顺序推荐三名中标候选人，并编写评标报告。</w:t>
      </w:r>
    </w:p>
    <w:p w14:paraId="3DF4F9BF">
      <w:pPr>
        <w:adjustRightInd w:val="0"/>
        <w:snapToGrid w:val="0"/>
        <w:spacing w:line="500" w:lineRule="exact"/>
        <w:ind w:firstLine="480" w:firstLineChars="200"/>
        <w:rPr>
          <w:rFonts w:hint="eastAsia" w:ascii="仿宋" w:hAnsi="仿宋" w:eastAsia="仿宋" w:cs="仿宋"/>
          <w:color w:val="auto"/>
          <w:sz w:val="28"/>
          <w:szCs w:val="28"/>
        </w:rPr>
      </w:pPr>
      <w:r>
        <w:rPr>
          <w:rFonts w:hint="eastAsia" w:ascii="Times New Roman" w:hAnsi="Times New Roman" w:eastAsia="宋体" w:cs="Times New Roman"/>
          <w:bCs/>
          <w:color w:val="auto"/>
          <w:sz w:val="24"/>
        </w:rPr>
        <w:t>招标人委托评标委员会直接确定排名第一的中标候选人为中标人。</w:t>
      </w:r>
      <w:r>
        <w:rPr>
          <w:bCs/>
          <w:color w:val="auto"/>
          <w:sz w:val="24"/>
        </w:rPr>
        <w:t>中标候选人</w:t>
      </w:r>
      <w:r>
        <w:rPr>
          <w:rFonts w:hint="eastAsia"/>
          <w:bCs/>
          <w:color w:val="auto"/>
          <w:sz w:val="24"/>
          <w:lang w:val="en-US" w:eastAsia="zh-CN"/>
        </w:rPr>
        <w:t>排名</w:t>
      </w:r>
      <w:r>
        <w:rPr>
          <w:bCs/>
          <w:color w:val="auto"/>
          <w:sz w:val="24"/>
        </w:rPr>
        <w:t>并列的，由</w:t>
      </w:r>
      <w:r>
        <w:rPr>
          <w:rFonts w:hint="eastAsia"/>
          <w:bCs/>
          <w:color w:val="auto"/>
          <w:sz w:val="24"/>
          <w:lang w:val="en-US" w:eastAsia="zh-CN"/>
        </w:rPr>
        <w:t>招标人</w:t>
      </w:r>
      <w:r>
        <w:rPr>
          <w:bCs/>
          <w:color w:val="auto"/>
          <w:sz w:val="24"/>
        </w:rPr>
        <w:t>或者采购人委托评标委员会按照现场抽签方式确定中标人。</w:t>
      </w:r>
    </w:p>
    <w:p w14:paraId="186B1CCE">
      <w:pPr>
        <w:snapToGrid w:val="0"/>
        <w:spacing w:line="460" w:lineRule="exact"/>
        <w:ind w:firstLine="482" w:firstLineChars="200"/>
        <w:rPr>
          <w:b/>
          <w:color w:val="auto"/>
          <w:kern w:val="0"/>
          <w:sz w:val="24"/>
        </w:rPr>
      </w:pPr>
      <w:r>
        <w:rPr>
          <w:b/>
          <w:color w:val="auto"/>
          <w:kern w:val="0"/>
          <w:sz w:val="24"/>
        </w:rPr>
        <w:t>（</w:t>
      </w:r>
      <w:r>
        <w:rPr>
          <w:rFonts w:hint="eastAsia"/>
          <w:b/>
          <w:color w:val="auto"/>
          <w:kern w:val="0"/>
          <w:sz w:val="24"/>
        </w:rPr>
        <w:t>六</w:t>
      </w:r>
      <w:r>
        <w:rPr>
          <w:b/>
          <w:color w:val="auto"/>
          <w:kern w:val="0"/>
          <w:sz w:val="24"/>
        </w:rPr>
        <w:t>）结果公告</w:t>
      </w:r>
    </w:p>
    <w:p w14:paraId="63BEA0B1">
      <w:pPr>
        <w:snapToGrid w:val="0"/>
        <w:spacing w:line="460" w:lineRule="exact"/>
        <w:ind w:firstLine="480" w:firstLineChars="200"/>
        <w:rPr>
          <w:bCs/>
          <w:color w:val="auto"/>
          <w:sz w:val="24"/>
        </w:rPr>
      </w:pPr>
      <w:r>
        <w:rPr>
          <w:bCs/>
          <w:color w:val="auto"/>
          <w:sz w:val="24"/>
        </w:rPr>
        <w:t>自确定中标</w:t>
      </w:r>
      <w:r>
        <w:rPr>
          <w:rFonts w:hint="eastAsia"/>
          <w:bCs/>
          <w:color w:val="auto"/>
          <w:sz w:val="24"/>
        </w:rPr>
        <w:t>候选</w:t>
      </w:r>
      <w:r>
        <w:rPr>
          <w:bCs/>
          <w:color w:val="auto"/>
          <w:sz w:val="24"/>
        </w:rPr>
        <w:t>人之日起2个工作日内，在南通市崇川区人民政府网公告</w:t>
      </w:r>
      <w:r>
        <w:rPr>
          <w:rFonts w:hint="eastAsia"/>
          <w:bCs/>
          <w:color w:val="auto"/>
          <w:sz w:val="24"/>
        </w:rPr>
        <w:t>中标</w:t>
      </w:r>
      <w:r>
        <w:rPr>
          <w:bCs/>
          <w:color w:val="auto"/>
          <w:sz w:val="24"/>
        </w:rPr>
        <w:t>结果，公告期限为</w:t>
      </w:r>
      <w:r>
        <w:rPr>
          <w:rFonts w:hint="eastAsia"/>
          <w:bCs/>
          <w:color w:val="auto"/>
          <w:sz w:val="24"/>
        </w:rPr>
        <w:t>3</w:t>
      </w:r>
      <w:r>
        <w:rPr>
          <w:bCs/>
          <w:color w:val="auto"/>
          <w:sz w:val="24"/>
        </w:rPr>
        <w:t>个工作日。</w:t>
      </w:r>
    </w:p>
    <w:p w14:paraId="19B3D24A">
      <w:pPr>
        <w:snapToGrid w:val="0"/>
        <w:spacing w:line="460" w:lineRule="exact"/>
        <w:ind w:firstLine="482" w:firstLineChars="200"/>
        <w:rPr>
          <w:b/>
          <w:color w:val="auto"/>
          <w:kern w:val="0"/>
          <w:sz w:val="24"/>
        </w:rPr>
      </w:pPr>
      <w:r>
        <w:rPr>
          <w:b/>
          <w:color w:val="auto"/>
          <w:kern w:val="0"/>
          <w:sz w:val="24"/>
        </w:rPr>
        <w:t>（</w:t>
      </w:r>
      <w:r>
        <w:rPr>
          <w:rFonts w:hint="eastAsia"/>
          <w:b/>
          <w:color w:val="auto"/>
          <w:kern w:val="0"/>
          <w:sz w:val="24"/>
        </w:rPr>
        <w:t>七</w:t>
      </w:r>
      <w:r>
        <w:rPr>
          <w:b/>
          <w:color w:val="auto"/>
          <w:kern w:val="0"/>
          <w:sz w:val="24"/>
        </w:rPr>
        <w:t>）发放中标通知书</w:t>
      </w:r>
    </w:p>
    <w:p w14:paraId="19F56F18">
      <w:pPr>
        <w:snapToGrid w:val="0"/>
        <w:spacing w:line="460" w:lineRule="exact"/>
        <w:ind w:firstLine="480" w:firstLineChars="200"/>
        <w:contextualSpacing/>
        <w:rPr>
          <w:color w:val="auto"/>
          <w:sz w:val="24"/>
          <w:u w:val="single"/>
        </w:rPr>
      </w:pPr>
      <w:r>
        <w:rPr>
          <w:color w:val="auto"/>
          <w:sz w:val="24"/>
        </w:rPr>
        <w:t>中标通知书发放条件和途径：中标结果公告公示期结束后，</w:t>
      </w:r>
      <w:r>
        <w:rPr>
          <w:rFonts w:hint="eastAsia"/>
          <w:color w:val="auto"/>
          <w:sz w:val="24"/>
        </w:rPr>
        <w:t>中标人</w:t>
      </w:r>
      <w:r>
        <w:rPr>
          <w:color w:val="auto"/>
          <w:sz w:val="24"/>
        </w:rPr>
        <w:t>可至代理单位领取中标通知书</w:t>
      </w:r>
      <w:r>
        <w:rPr>
          <w:rFonts w:hint="eastAsia"/>
          <w:color w:val="auto"/>
          <w:sz w:val="24"/>
          <w:lang w:eastAsia="zh-CN"/>
        </w:rPr>
        <w:t>（</w:t>
      </w:r>
      <w:r>
        <w:rPr>
          <w:rFonts w:hint="eastAsia"/>
          <w:color w:val="auto"/>
          <w:sz w:val="24"/>
          <w:lang w:val="en-US" w:eastAsia="zh-CN"/>
        </w:rPr>
        <w:t>如有质疑投诉等，中标通知书将视情暂缓签发</w:t>
      </w:r>
      <w:r>
        <w:rPr>
          <w:rFonts w:hint="eastAsia"/>
          <w:color w:val="auto"/>
          <w:sz w:val="24"/>
          <w:lang w:eastAsia="zh-CN"/>
        </w:rPr>
        <w:t>）</w:t>
      </w:r>
      <w:r>
        <w:rPr>
          <w:color w:val="auto"/>
          <w:sz w:val="24"/>
        </w:rPr>
        <w:t>。</w:t>
      </w:r>
    </w:p>
    <w:p w14:paraId="519C1949">
      <w:pPr>
        <w:adjustRightInd w:val="0"/>
        <w:snapToGrid w:val="0"/>
        <w:spacing w:line="460" w:lineRule="exact"/>
        <w:ind w:firstLine="480" w:firstLineChars="200"/>
        <w:rPr>
          <w:color w:val="auto"/>
          <w:sz w:val="24"/>
        </w:rPr>
      </w:pPr>
      <w:r>
        <w:rPr>
          <w:color w:val="auto"/>
          <w:sz w:val="24"/>
        </w:rPr>
        <w:t>中标通知书发出后，</w:t>
      </w:r>
      <w:r>
        <w:rPr>
          <w:rFonts w:hint="eastAsia"/>
          <w:color w:val="auto"/>
          <w:sz w:val="24"/>
        </w:rPr>
        <w:t>招标</w:t>
      </w:r>
      <w:r>
        <w:rPr>
          <w:color w:val="auto"/>
          <w:sz w:val="24"/>
        </w:rPr>
        <w:t>人不得违法改变中标结果，中标</w:t>
      </w:r>
      <w:r>
        <w:rPr>
          <w:rFonts w:hint="eastAsia"/>
          <w:color w:val="auto"/>
          <w:sz w:val="24"/>
        </w:rPr>
        <w:t>人</w:t>
      </w:r>
      <w:r>
        <w:rPr>
          <w:color w:val="auto"/>
          <w:sz w:val="24"/>
        </w:rPr>
        <w:t>无正当理由不得放弃中标</w:t>
      </w:r>
      <w:r>
        <w:rPr>
          <w:rFonts w:hint="eastAsia"/>
          <w:color w:val="auto"/>
          <w:sz w:val="24"/>
        </w:rPr>
        <w:t>，且应在规定时间内与招标人签订协议</w:t>
      </w:r>
      <w:r>
        <w:rPr>
          <w:color w:val="auto"/>
          <w:sz w:val="24"/>
        </w:rPr>
        <w:t>。</w:t>
      </w:r>
    </w:p>
    <w:p w14:paraId="5221B6D4">
      <w:pPr>
        <w:snapToGrid w:val="0"/>
        <w:spacing w:line="460" w:lineRule="exact"/>
        <w:ind w:firstLine="482" w:firstLineChars="200"/>
        <w:rPr>
          <w:b/>
          <w:color w:val="auto"/>
          <w:sz w:val="24"/>
        </w:rPr>
      </w:pPr>
      <w:r>
        <w:rPr>
          <w:b/>
          <w:color w:val="auto"/>
          <w:sz w:val="24"/>
        </w:rPr>
        <w:t>八、其他注意事项</w:t>
      </w:r>
    </w:p>
    <w:p w14:paraId="61F3D08D">
      <w:pPr>
        <w:snapToGrid w:val="0"/>
        <w:spacing w:line="460" w:lineRule="exact"/>
        <w:ind w:firstLine="480" w:firstLineChars="200"/>
        <w:rPr>
          <w:color w:val="auto"/>
          <w:sz w:val="24"/>
        </w:rPr>
      </w:pPr>
      <w:r>
        <w:rPr>
          <w:color w:val="auto"/>
          <w:sz w:val="24"/>
        </w:rPr>
        <w:t>1</w:t>
      </w:r>
      <w:r>
        <w:rPr>
          <w:rFonts w:hint="eastAsia"/>
          <w:color w:val="auto"/>
          <w:sz w:val="24"/>
        </w:rPr>
        <w:t>.</w:t>
      </w:r>
      <w:r>
        <w:rPr>
          <w:color w:val="auto"/>
          <w:sz w:val="24"/>
        </w:rPr>
        <w:t>在投标、开标时间，投标人不得向评委询问情况，不得进行旨在影响评标结果的活动。</w:t>
      </w:r>
    </w:p>
    <w:p w14:paraId="568E3761">
      <w:pPr>
        <w:snapToGrid w:val="0"/>
        <w:spacing w:line="460" w:lineRule="exact"/>
        <w:ind w:firstLine="480" w:firstLineChars="200"/>
        <w:rPr>
          <w:color w:val="auto"/>
          <w:sz w:val="24"/>
        </w:rPr>
      </w:pPr>
      <w:r>
        <w:rPr>
          <w:color w:val="auto"/>
          <w:sz w:val="24"/>
        </w:rPr>
        <w:t>2</w:t>
      </w:r>
      <w:r>
        <w:rPr>
          <w:rFonts w:hint="eastAsia"/>
          <w:color w:val="auto"/>
          <w:sz w:val="24"/>
        </w:rPr>
        <w:t>.</w:t>
      </w:r>
      <w:r>
        <w:rPr>
          <w:color w:val="auto"/>
          <w:sz w:val="24"/>
        </w:rPr>
        <w:t>评委会不得向投标人解释落标原因。</w:t>
      </w:r>
    </w:p>
    <w:p w14:paraId="15B57020">
      <w:pPr>
        <w:snapToGrid w:val="0"/>
        <w:spacing w:line="460" w:lineRule="exact"/>
        <w:ind w:firstLine="480" w:firstLineChars="200"/>
        <w:rPr>
          <w:color w:val="auto"/>
          <w:sz w:val="24"/>
        </w:rPr>
      </w:pPr>
      <w:r>
        <w:rPr>
          <w:color w:val="auto"/>
          <w:sz w:val="24"/>
        </w:rPr>
        <w:t>3</w:t>
      </w:r>
      <w:r>
        <w:rPr>
          <w:rFonts w:hint="eastAsia"/>
          <w:color w:val="auto"/>
          <w:sz w:val="24"/>
        </w:rPr>
        <w:t>.</w:t>
      </w:r>
      <w:r>
        <w:rPr>
          <w:color w:val="auto"/>
          <w:sz w:val="24"/>
        </w:rPr>
        <w:t>在投标、评标过程中，如果投标人联合故意抬高报价或出现其他不正当行为，</w:t>
      </w:r>
      <w:r>
        <w:rPr>
          <w:rFonts w:hint="eastAsia"/>
          <w:color w:val="auto"/>
          <w:sz w:val="24"/>
        </w:rPr>
        <w:t>招标</w:t>
      </w:r>
      <w:r>
        <w:rPr>
          <w:color w:val="auto"/>
          <w:sz w:val="24"/>
        </w:rPr>
        <w:t>人有权中止投标或评标。</w:t>
      </w:r>
    </w:p>
    <w:p w14:paraId="1B399C5C">
      <w:pPr>
        <w:snapToGrid w:val="0"/>
        <w:spacing w:line="460" w:lineRule="exact"/>
        <w:ind w:firstLine="482" w:firstLineChars="200"/>
        <w:rPr>
          <w:b/>
          <w:bCs/>
          <w:color w:val="auto"/>
          <w:sz w:val="24"/>
        </w:rPr>
      </w:pPr>
      <w:r>
        <w:rPr>
          <w:b/>
          <w:bCs/>
          <w:color w:val="auto"/>
          <w:sz w:val="24"/>
        </w:rPr>
        <w:t>4</w:t>
      </w:r>
      <w:r>
        <w:rPr>
          <w:rFonts w:hint="eastAsia"/>
          <w:b/>
          <w:bCs/>
          <w:color w:val="auto"/>
          <w:sz w:val="24"/>
        </w:rPr>
        <w:t>.</w:t>
      </w:r>
      <w:r>
        <w:rPr>
          <w:b/>
          <w:bCs/>
          <w:color w:val="auto"/>
          <w:sz w:val="24"/>
        </w:rPr>
        <w:t>凡在投标、开标过程中，已提示是否</w:t>
      </w:r>
      <w:r>
        <w:rPr>
          <w:rFonts w:hint="eastAsia"/>
          <w:b/>
          <w:bCs/>
          <w:color w:val="auto"/>
          <w:sz w:val="24"/>
        </w:rPr>
        <w:t>存在</w:t>
      </w:r>
      <w:r>
        <w:rPr>
          <w:b/>
          <w:bCs/>
          <w:color w:val="auto"/>
          <w:sz w:val="24"/>
        </w:rPr>
        <w:t>异议的事项，投标人当时没有提出异议的，事后不得针对上述事项提出质疑。</w:t>
      </w:r>
    </w:p>
    <w:p w14:paraId="57BEEBDA">
      <w:pPr>
        <w:snapToGrid w:val="0"/>
        <w:spacing w:line="460" w:lineRule="exact"/>
        <w:ind w:firstLine="723" w:firstLineChars="200"/>
        <w:jc w:val="center"/>
        <w:outlineLvl w:val="0"/>
        <w:rPr>
          <w:b/>
          <w:color w:val="auto"/>
          <w:sz w:val="36"/>
          <w:szCs w:val="36"/>
        </w:rPr>
        <w:sectPr>
          <w:footerReference r:id="rId3" w:type="default"/>
          <w:pgSz w:w="11906" w:h="16838"/>
          <w:pgMar w:top="1418" w:right="1474" w:bottom="1418" w:left="1474" w:header="851" w:footer="907" w:gutter="0"/>
          <w:cols w:space="720" w:num="1"/>
          <w:docGrid w:type="lines" w:linePitch="312" w:charSpace="0"/>
        </w:sectPr>
      </w:pPr>
    </w:p>
    <w:p w14:paraId="7137E4A1">
      <w:pPr>
        <w:snapToGrid w:val="0"/>
        <w:spacing w:line="300" w:lineRule="auto"/>
        <w:jc w:val="center"/>
        <w:outlineLvl w:val="0"/>
        <w:rPr>
          <w:b/>
          <w:color w:val="auto"/>
          <w:sz w:val="36"/>
          <w:szCs w:val="36"/>
        </w:rPr>
      </w:pPr>
      <w:r>
        <w:rPr>
          <w:b/>
          <w:color w:val="auto"/>
          <w:sz w:val="36"/>
          <w:szCs w:val="36"/>
        </w:rPr>
        <w:t xml:space="preserve">第五部分  </w:t>
      </w:r>
      <w:r>
        <w:rPr>
          <w:rFonts w:hint="eastAsia"/>
          <w:b/>
          <w:color w:val="auto"/>
          <w:sz w:val="36"/>
          <w:szCs w:val="36"/>
        </w:rPr>
        <w:t>协议</w:t>
      </w:r>
      <w:r>
        <w:rPr>
          <w:b/>
          <w:color w:val="auto"/>
          <w:sz w:val="36"/>
          <w:szCs w:val="36"/>
        </w:rPr>
        <w:t>签订</w:t>
      </w:r>
    </w:p>
    <w:p w14:paraId="7783770E">
      <w:pPr>
        <w:snapToGrid w:val="0"/>
        <w:spacing w:line="300" w:lineRule="auto"/>
        <w:jc w:val="center"/>
        <w:rPr>
          <w:color w:val="auto"/>
          <w:sz w:val="28"/>
          <w:szCs w:val="28"/>
        </w:rPr>
      </w:pPr>
    </w:p>
    <w:p w14:paraId="7FA5DBC9">
      <w:pPr>
        <w:snapToGrid w:val="0"/>
        <w:spacing w:line="460" w:lineRule="exact"/>
        <w:ind w:firstLine="482" w:firstLineChars="200"/>
        <w:contextualSpacing/>
        <w:rPr>
          <w:color w:val="auto"/>
          <w:sz w:val="24"/>
        </w:rPr>
      </w:pPr>
      <w:r>
        <w:rPr>
          <w:b/>
          <w:color w:val="auto"/>
          <w:sz w:val="24"/>
        </w:rPr>
        <w:t>一</w:t>
      </w:r>
      <w:r>
        <w:rPr>
          <w:color w:val="auto"/>
          <w:sz w:val="24"/>
        </w:rPr>
        <w:t>、</w:t>
      </w:r>
      <w:r>
        <w:rPr>
          <w:b/>
          <w:bCs/>
          <w:color w:val="auto"/>
          <w:sz w:val="24"/>
        </w:rPr>
        <w:t>中标</w:t>
      </w:r>
      <w:r>
        <w:rPr>
          <w:rFonts w:hint="eastAsia"/>
          <w:b/>
          <w:bCs/>
          <w:color w:val="auto"/>
          <w:sz w:val="24"/>
        </w:rPr>
        <w:t>人</w:t>
      </w:r>
      <w:r>
        <w:rPr>
          <w:b/>
          <w:bCs/>
          <w:color w:val="auto"/>
          <w:sz w:val="24"/>
        </w:rPr>
        <w:t>和</w:t>
      </w:r>
      <w:r>
        <w:rPr>
          <w:rFonts w:hint="eastAsia"/>
          <w:b/>
          <w:bCs/>
          <w:color w:val="auto"/>
          <w:sz w:val="24"/>
        </w:rPr>
        <w:t>招标</w:t>
      </w:r>
      <w:r>
        <w:rPr>
          <w:b/>
          <w:bCs/>
          <w:color w:val="auto"/>
          <w:sz w:val="24"/>
        </w:rPr>
        <w:t>人需在《中标通知书》发出之日起</w:t>
      </w:r>
      <w:r>
        <w:rPr>
          <w:rFonts w:hint="eastAsia"/>
          <w:b/>
          <w:bCs/>
          <w:color w:val="auto"/>
          <w:sz w:val="24"/>
        </w:rPr>
        <w:t>30</w:t>
      </w:r>
      <w:r>
        <w:rPr>
          <w:b/>
          <w:bCs/>
          <w:color w:val="auto"/>
          <w:sz w:val="24"/>
        </w:rPr>
        <w:t>日内签订</w:t>
      </w:r>
      <w:r>
        <w:rPr>
          <w:rFonts w:hint="eastAsia"/>
          <w:b/>
          <w:bCs/>
          <w:color w:val="auto"/>
          <w:sz w:val="24"/>
        </w:rPr>
        <w:t>协议</w:t>
      </w:r>
      <w:r>
        <w:rPr>
          <w:b/>
          <w:bCs/>
          <w:color w:val="auto"/>
          <w:sz w:val="24"/>
        </w:rPr>
        <w:t>。</w:t>
      </w:r>
      <w:r>
        <w:rPr>
          <w:rFonts w:hint="eastAsia"/>
          <w:color w:val="auto"/>
          <w:sz w:val="24"/>
        </w:rPr>
        <w:t>协议</w:t>
      </w:r>
      <w:r>
        <w:rPr>
          <w:color w:val="auto"/>
          <w:sz w:val="24"/>
        </w:rPr>
        <w:t>签订后中标</w:t>
      </w:r>
      <w:r>
        <w:rPr>
          <w:rFonts w:hint="eastAsia"/>
          <w:color w:val="auto"/>
          <w:sz w:val="24"/>
        </w:rPr>
        <w:t>人</w:t>
      </w:r>
      <w:r>
        <w:rPr>
          <w:color w:val="auto"/>
          <w:sz w:val="24"/>
        </w:rPr>
        <w:t>方可履约，否则引起的一切后果由中标</w:t>
      </w:r>
      <w:r>
        <w:rPr>
          <w:rFonts w:hint="eastAsia"/>
          <w:color w:val="auto"/>
          <w:sz w:val="24"/>
        </w:rPr>
        <w:t>人</w:t>
      </w:r>
      <w:r>
        <w:rPr>
          <w:color w:val="auto"/>
          <w:sz w:val="24"/>
        </w:rPr>
        <w:t>自行承担。</w:t>
      </w:r>
      <w:r>
        <w:rPr>
          <w:b/>
          <w:color w:val="auto"/>
          <w:sz w:val="24"/>
        </w:rPr>
        <w:t>纸质</w:t>
      </w:r>
      <w:r>
        <w:rPr>
          <w:rFonts w:hint="eastAsia"/>
          <w:b/>
          <w:color w:val="auto"/>
          <w:sz w:val="24"/>
        </w:rPr>
        <w:t>协议</w:t>
      </w:r>
      <w:r>
        <w:rPr>
          <w:b/>
          <w:color w:val="auto"/>
          <w:sz w:val="24"/>
        </w:rPr>
        <w:t>一式</w:t>
      </w:r>
      <w:r>
        <w:rPr>
          <w:rFonts w:hint="eastAsia"/>
          <w:b/>
          <w:color w:val="auto"/>
          <w:sz w:val="24"/>
          <w:u w:val="single"/>
        </w:rPr>
        <w:t xml:space="preserve"> 六 </w:t>
      </w:r>
      <w:r>
        <w:rPr>
          <w:b/>
          <w:color w:val="auto"/>
          <w:sz w:val="24"/>
        </w:rPr>
        <w:t>份，</w:t>
      </w:r>
      <w:r>
        <w:rPr>
          <w:rFonts w:hint="eastAsia"/>
          <w:b/>
          <w:color w:val="auto"/>
          <w:sz w:val="24"/>
        </w:rPr>
        <w:t>招标</w:t>
      </w:r>
      <w:r>
        <w:rPr>
          <w:b/>
          <w:color w:val="auto"/>
          <w:sz w:val="24"/>
        </w:rPr>
        <w:t>人</w:t>
      </w:r>
      <w:r>
        <w:rPr>
          <w:rFonts w:hint="eastAsia"/>
          <w:b/>
          <w:color w:val="auto"/>
          <w:sz w:val="24"/>
        </w:rPr>
        <w:t>三份</w:t>
      </w:r>
      <w:r>
        <w:rPr>
          <w:b/>
          <w:color w:val="auto"/>
          <w:sz w:val="24"/>
        </w:rPr>
        <w:t>、</w:t>
      </w:r>
      <w:r>
        <w:rPr>
          <w:rFonts w:hint="eastAsia"/>
          <w:b/>
          <w:color w:val="auto"/>
          <w:sz w:val="24"/>
        </w:rPr>
        <w:t>中标人</w:t>
      </w:r>
      <w:r>
        <w:rPr>
          <w:rFonts w:hint="eastAsia"/>
          <w:b/>
          <w:color w:val="auto"/>
          <w:sz w:val="24"/>
          <w:u w:val="single"/>
        </w:rPr>
        <w:t>三</w:t>
      </w:r>
      <w:r>
        <w:rPr>
          <w:b/>
          <w:color w:val="auto"/>
          <w:sz w:val="24"/>
        </w:rPr>
        <w:t>份，</w:t>
      </w:r>
      <w:r>
        <w:rPr>
          <w:color w:val="auto"/>
          <w:sz w:val="24"/>
          <w:lang w:val="zh-CN"/>
        </w:rPr>
        <w:t>所签</w:t>
      </w:r>
      <w:r>
        <w:rPr>
          <w:rFonts w:hint="eastAsia"/>
          <w:color w:val="auto"/>
          <w:sz w:val="24"/>
          <w:lang w:val="zh-CN"/>
        </w:rPr>
        <w:t>协议</w:t>
      </w:r>
      <w:r>
        <w:rPr>
          <w:color w:val="auto"/>
          <w:sz w:val="24"/>
          <w:lang w:val="zh-CN"/>
        </w:rPr>
        <w:t>不得对</w:t>
      </w:r>
      <w:r>
        <w:rPr>
          <w:rFonts w:hint="eastAsia"/>
          <w:color w:val="auto"/>
          <w:sz w:val="24"/>
          <w:lang w:val="zh-CN"/>
        </w:rPr>
        <w:t>招、</w:t>
      </w:r>
      <w:r>
        <w:rPr>
          <w:rFonts w:hint="eastAsia"/>
          <w:color w:val="auto"/>
          <w:sz w:val="24"/>
        </w:rPr>
        <w:t>投</w:t>
      </w:r>
      <w:r>
        <w:rPr>
          <w:rFonts w:hint="eastAsia"/>
          <w:color w:val="auto"/>
          <w:sz w:val="24"/>
          <w:lang w:val="zh-CN"/>
        </w:rPr>
        <w:t>标</w:t>
      </w:r>
      <w:r>
        <w:rPr>
          <w:color w:val="auto"/>
          <w:sz w:val="24"/>
          <w:lang w:val="zh-CN"/>
        </w:rPr>
        <w:t>文件作实质性修改</w:t>
      </w:r>
      <w:r>
        <w:rPr>
          <w:color w:val="auto"/>
          <w:sz w:val="24"/>
        </w:rPr>
        <w:t>。</w:t>
      </w:r>
      <w:r>
        <w:rPr>
          <w:rFonts w:hint="eastAsia"/>
          <w:color w:val="auto"/>
          <w:sz w:val="24"/>
        </w:rPr>
        <w:t>招标</w:t>
      </w:r>
      <w:r>
        <w:rPr>
          <w:color w:val="auto"/>
          <w:sz w:val="24"/>
        </w:rPr>
        <w:t>人不得向中标</w:t>
      </w:r>
      <w:r>
        <w:rPr>
          <w:rFonts w:hint="eastAsia"/>
          <w:color w:val="auto"/>
          <w:sz w:val="24"/>
        </w:rPr>
        <w:t>人</w:t>
      </w:r>
      <w:r>
        <w:rPr>
          <w:color w:val="auto"/>
          <w:sz w:val="24"/>
        </w:rPr>
        <w:t>提出不合理的要求作为签订</w:t>
      </w:r>
      <w:r>
        <w:rPr>
          <w:rFonts w:hint="eastAsia"/>
          <w:color w:val="auto"/>
          <w:sz w:val="24"/>
        </w:rPr>
        <w:t>协议</w:t>
      </w:r>
      <w:r>
        <w:rPr>
          <w:color w:val="auto"/>
          <w:sz w:val="24"/>
        </w:rPr>
        <w:t>的条件，不得与中标</w:t>
      </w:r>
      <w:r>
        <w:rPr>
          <w:rFonts w:hint="eastAsia"/>
          <w:color w:val="auto"/>
          <w:sz w:val="24"/>
        </w:rPr>
        <w:t>人</w:t>
      </w:r>
      <w:r>
        <w:rPr>
          <w:color w:val="auto"/>
          <w:sz w:val="24"/>
        </w:rPr>
        <w:t>私下订立背离</w:t>
      </w:r>
      <w:r>
        <w:rPr>
          <w:rFonts w:hint="eastAsia"/>
          <w:color w:val="auto"/>
          <w:sz w:val="24"/>
        </w:rPr>
        <w:t>招、投标</w:t>
      </w:r>
      <w:r>
        <w:rPr>
          <w:color w:val="auto"/>
          <w:sz w:val="24"/>
        </w:rPr>
        <w:t>文件实质性内容的协议。</w:t>
      </w:r>
    </w:p>
    <w:p w14:paraId="74AB8610">
      <w:pPr>
        <w:snapToGrid w:val="0"/>
        <w:spacing w:line="460" w:lineRule="exact"/>
        <w:ind w:firstLine="480" w:firstLineChars="200"/>
        <w:contextualSpacing/>
        <w:rPr>
          <w:rFonts w:hint="eastAsia"/>
          <w:color w:val="auto"/>
          <w:sz w:val="24"/>
        </w:rPr>
      </w:pPr>
      <w:r>
        <w:rPr>
          <w:b w:val="0"/>
          <w:color w:val="auto"/>
          <w:sz w:val="24"/>
        </w:rPr>
        <w:t>二</w:t>
      </w:r>
      <w:r>
        <w:rPr>
          <w:color w:val="auto"/>
          <w:sz w:val="24"/>
        </w:rPr>
        <w:t>、</w:t>
      </w:r>
      <w:bookmarkStart w:id="4" w:name="OLE_LINK1"/>
      <w:bookmarkStart w:id="5" w:name="OLE_LINK2"/>
      <w:r>
        <w:rPr>
          <w:rFonts w:hint="eastAsia"/>
          <w:color w:val="auto"/>
          <w:sz w:val="24"/>
        </w:rPr>
        <w:t>招标人按协议约定积极配合中标人履约，定期对中标人进行考核，双方按照考核结果履行权利义务。</w:t>
      </w:r>
    </w:p>
    <w:p w14:paraId="47DDD793">
      <w:pPr>
        <w:snapToGrid w:val="0"/>
        <w:spacing w:line="460" w:lineRule="exact"/>
        <w:ind w:firstLine="480" w:firstLineChars="200"/>
        <w:contextualSpacing/>
        <w:rPr>
          <w:color w:val="auto"/>
          <w:sz w:val="24"/>
        </w:rPr>
      </w:pPr>
      <w:r>
        <w:rPr>
          <w:color w:val="auto"/>
          <w:sz w:val="24"/>
        </w:rPr>
        <w:t>三、中标</w:t>
      </w:r>
      <w:r>
        <w:rPr>
          <w:rFonts w:hint="eastAsia"/>
          <w:color w:val="auto"/>
          <w:sz w:val="24"/>
        </w:rPr>
        <w:t>人</w:t>
      </w:r>
      <w:r>
        <w:rPr>
          <w:color w:val="auto"/>
          <w:sz w:val="24"/>
        </w:rPr>
        <w:t>出现违约情形，应当及时纠正或补偿；造成损失的，按</w:t>
      </w:r>
      <w:r>
        <w:rPr>
          <w:rFonts w:hint="eastAsia"/>
          <w:color w:val="auto"/>
          <w:sz w:val="24"/>
        </w:rPr>
        <w:t>协议</w:t>
      </w:r>
      <w:r>
        <w:rPr>
          <w:color w:val="auto"/>
          <w:sz w:val="24"/>
        </w:rPr>
        <w:t>约定追究违约责任。</w:t>
      </w:r>
    </w:p>
    <w:p w14:paraId="467F03F8">
      <w:pPr>
        <w:pStyle w:val="6"/>
        <w:kinsoku w:val="0"/>
        <w:topLinePunct/>
        <w:autoSpaceDE w:val="0"/>
        <w:autoSpaceDN w:val="0"/>
        <w:snapToGrid w:val="0"/>
        <w:spacing w:line="460" w:lineRule="exact"/>
        <w:ind w:right="210" w:firstLine="480" w:firstLineChars="200"/>
        <w:contextualSpacing/>
        <w:rPr>
          <w:color w:val="auto"/>
          <w:sz w:val="24"/>
        </w:rPr>
      </w:pPr>
      <w:r>
        <w:rPr>
          <w:rFonts w:hint="eastAsia"/>
          <w:color w:val="auto"/>
          <w:sz w:val="24"/>
          <w:szCs w:val="24"/>
        </w:rPr>
        <w:t>四</w:t>
      </w:r>
      <w:r>
        <w:rPr>
          <w:color w:val="auto"/>
          <w:sz w:val="24"/>
          <w:szCs w:val="24"/>
          <w:lang w:val="zh-CN"/>
        </w:rPr>
        <w:t>、</w:t>
      </w:r>
      <w:r>
        <w:rPr>
          <w:b/>
          <w:color w:val="auto"/>
          <w:sz w:val="24"/>
          <w:szCs w:val="24"/>
        </w:rPr>
        <w:t>不响应</w:t>
      </w:r>
      <w:r>
        <w:rPr>
          <w:rFonts w:hint="eastAsia"/>
          <w:b/>
          <w:color w:val="auto"/>
          <w:sz w:val="24"/>
          <w:szCs w:val="24"/>
        </w:rPr>
        <w:t>费用缴纳</w:t>
      </w:r>
      <w:r>
        <w:rPr>
          <w:b/>
          <w:color w:val="auto"/>
          <w:sz w:val="24"/>
          <w:szCs w:val="24"/>
        </w:rPr>
        <w:t>方式的，视同无效投标处理。</w:t>
      </w:r>
      <w:r>
        <w:rPr>
          <w:b/>
          <w:color w:val="auto"/>
          <w:sz w:val="24"/>
        </w:rPr>
        <w:t>实际</w:t>
      </w:r>
      <w:r>
        <w:rPr>
          <w:rFonts w:hint="eastAsia"/>
          <w:b/>
          <w:color w:val="auto"/>
          <w:sz w:val="24"/>
          <w:szCs w:val="24"/>
        </w:rPr>
        <w:t>费用缴纳</w:t>
      </w:r>
      <w:r>
        <w:rPr>
          <w:b/>
          <w:color w:val="auto"/>
          <w:sz w:val="24"/>
        </w:rPr>
        <w:t>方式以最终签订</w:t>
      </w:r>
      <w:r>
        <w:rPr>
          <w:rFonts w:hint="eastAsia"/>
          <w:b/>
          <w:color w:val="auto"/>
          <w:sz w:val="24"/>
        </w:rPr>
        <w:t>协议</w:t>
      </w:r>
      <w:r>
        <w:rPr>
          <w:b/>
          <w:color w:val="auto"/>
          <w:sz w:val="24"/>
        </w:rPr>
        <w:t>为准。</w:t>
      </w:r>
    </w:p>
    <w:p w14:paraId="44EEC61E">
      <w:pPr>
        <w:pStyle w:val="6"/>
        <w:kinsoku w:val="0"/>
        <w:topLinePunct/>
        <w:autoSpaceDE w:val="0"/>
        <w:autoSpaceDN w:val="0"/>
        <w:snapToGrid w:val="0"/>
        <w:spacing w:line="460" w:lineRule="exact"/>
        <w:ind w:right="210" w:firstLine="480" w:firstLineChars="200"/>
        <w:contextualSpacing/>
        <w:rPr>
          <w:color w:val="auto"/>
          <w:sz w:val="24"/>
          <w:szCs w:val="24"/>
        </w:rPr>
      </w:pPr>
      <w:r>
        <w:rPr>
          <w:rFonts w:hint="eastAsia"/>
          <w:color w:val="auto"/>
          <w:sz w:val="24"/>
          <w:szCs w:val="24"/>
        </w:rPr>
        <w:t>中标人应</w:t>
      </w:r>
      <w:r>
        <w:rPr>
          <w:color w:val="auto"/>
          <w:sz w:val="24"/>
          <w:szCs w:val="24"/>
        </w:rPr>
        <w:t>按</w:t>
      </w:r>
      <w:r>
        <w:rPr>
          <w:rFonts w:hint="eastAsia"/>
          <w:color w:val="auto"/>
          <w:sz w:val="24"/>
          <w:szCs w:val="24"/>
        </w:rPr>
        <w:t>协议约定</w:t>
      </w:r>
      <w:r>
        <w:rPr>
          <w:color w:val="auto"/>
          <w:sz w:val="24"/>
          <w:szCs w:val="24"/>
        </w:rPr>
        <w:t>支付</w:t>
      </w:r>
      <w:r>
        <w:rPr>
          <w:rFonts w:hint="eastAsia"/>
          <w:color w:val="auto"/>
          <w:sz w:val="24"/>
          <w:szCs w:val="24"/>
        </w:rPr>
        <w:t>款项，</w:t>
      </w:r>
      <w:r>
        <w:rPr>
          <w:color w:val="auto"/>
          <w:sz w:val="24"/>
          <w:szCs w:val="24"/>
        </w:rPr>
        <w:t>不得故意拖延支付时间</w:t>
      </w:r>
      <w:bookmarkEnd w:id="4"/>
      <w:bookmarkEnd w:id="5"/>
      <w:r>
        <w:rPr>
          <w:color w:val="auto"/>
          <w:sz w:val="24"/>
          <w:szCs w:val="24"/>
        </w:rPr>
        <w:t>。</w:t>
      </w:r>
    </w:p>
    <w:p w14:paraId="115E83D0">
      <w:pPr>
        <w:pStyle w:val="6"/>
        <w:kinsoku w:val="0"/>
        <w:topLinePunct/>
        <w:autoSpaceDE w:val="0"/>
        <w:autoSpaceDN w:val="0"/>
        <w:snapToGrid w:val="0"/>
        <w:spacing w:line="460" w:lineRule="exact"/>
        <w:ind w:right="210" w:firstLine="480" w:firstLineChars="200"/>
        <w:contextualSpacing/>
        <w:rPr>
          <w:color w:val="auto"/>
          <w:sz w:val="24"/>
          <w:szCs w:val="24"/>
        </w:rPr>
      </w:pPr>
      <w:r>
        <w:rPr>
          <w:rFonts w:hint="eastAsia"/>
          <w:color w:val="auto"/>
          <w:sz w:val="24"/>
          <w:szCs w:val="24"/>
        </w:rPr>
        <w:t>五、招标文件的所有组成部分（包括但不限于招标公告、投标须知、项目需求说明、运营协议、开标和评标、附件等）均为本文件不可分割的一部分，各部分内容具有同等法律效力。招标文件的相关内容与附件运营协议具有同等法律效应。</w:t>
      </w:r>
    </w:p>
    <w:p w14:paraId="274BD070">
      <w:pPr>
        <w:pStyle w:val="6"/>
        <w:ind w:firstLine="480" w:firstLineChars="200"/>
        <w:rPr>
          <w:color w:val="auto"/>
          <w:sz w:val="24"/>
          <w:szCs w:val="24"/>
        </w:rPr>
      </w:pPr>
      <w:r>
        <w:rPr>
          <w:rFonts w:hint="eastAsia"/>
          <w:color w:val="auto"/>
          <w:sz w:val="24"/>
          <w:szCs w:val="24"/>
        </w:rPr>
        <w:t>六、运营协议（详见附件）</w:t>
      </w:r>
    </w:p>
    <w:p w14:paraId="12E47AE6">
      <w:pPr>
        <w:rPr>
          <w:b/>
          <w:bCs/>
          <w:color w:val="auto"/>
          <w:w w:val="80"/>
          <w:sz w:val="36"/>
          <w:szCs w:val="36"/>
        </w:rPr>
      </w:pPr>
      <w:r>
        <w:rPr>
          <w:rFonts w:hint="eastAsia"/>
          <w:b/>
          <w:bCs/>
          <w:color w:val="auto"/>
          <w:w w:val="80"/>
          <w:sz w:val="36"/>
          <w:szCs w:val="36"/>
        </w:rPr>
        <w:br w:type="page"/>
      </w:r>
    </w:p>
    <w:p w14:paraId="150156F4">
      <w:pPr>
        <w:rPr>
          <w:color w:val="auto"/>
          <w:sz w:val="72"/>
          <w:szCs w:val="72"/>
        </w:rPr>
      </w:pPr>
      <w:r>
        <w:rPr>
          <w:rFonts w:hint="eastAsia"/>
          <w:b/>
          <w:bCs/>
          <w:color w:val="auto"/>
          <w:w w:val="80"/>
          <w:sz w:val="36"/>
          <w:szCs w:val="36"/>
        </w:rPr>
        <w:t>附件：</w:t>
      </w:r>
    </w:p>
    <w:p w14:paraId="6F7187CF">
      <w:pPr>
        <w:ind w:firstLine="1440"/>
        <w:rPr>
          <w:color w:val="auto"/>
          <w:sz w:val="72"/>
          <w:szCs w:val="72"/>
        </w:rPr>
      </w:pPr>
    </w:p>
    <w:p w14:paraId="717400BD">
      <w:pPr>
        <w:ind w:firstLine="1440"/>
        <w:rPr>
          <w:color w:val="auto"/>
          <w:sz w:val="72"/>
          <w:szCs w:val="72"/>
        </w:rPr>
      </w:pPr>
    </w:p>
    <w:p w14:paraId="3E693EE3">
      <w:pPr>
        <w:ind w:firstLine="1605" w:firstLineChars="444"/>
        <w:jc w:val="both"/>
        <w:rPr>
          <w:b/>
          <w:bCs/>
          <w:color w:val="auto"/>
          <w:sz w:val="36"/>
          <w:szCs w:val="36"/>
        </w:rPr>
      </w:pPr>
      <w:r>
        <w:rPr>
          <w:rFonts w:hint="eastAsia"/>
          <w:b/>
          <w:bCs/>
          <w:color w:val="auto"/>
          <w:sz w:val="36"/>
          <w:szCs w:val="36"/>
        </w:rPr>
        <w:t>唐闸原大兴面粉厂项目运营协议</w:t>
      </w:r>
    </w:p>
    <w:p w14:paraId="669E59F6">
      <w:pPr>
        <w:ind w:firstLine="723"/>
        <w:jc w:val="center"/>
        <w:rPr>
          <w:b/>
          <w:bCs/>
          <w:color w:val="auto"/>
          <w:sz w:val="36"/>
          <w:szCs w:val="36"/>
        </w:rPr>
      </w:pPr>
    </w:p>
    <w:p w14:paraId="63EE27DA">
      <w:pPr>
        <w:ind w:firstLine="1446"/>
        <w:jc w:val="center"/>
        <w:rPr>
          <w:b/>
          <w:bCs/>
          <w:color w:val="auto"/>
          <w:sz w:val="72"/>
          <w:szCs w:val="72"/>
        </w:rPr>
      </w:pPr>
    </w:p>
    <w:p w14:paraId="300678C6">
      <w:pPr>
        <w:pStyle w:val="19"/>
        <w:ind w:firstLine="1446"/>
        <w:rPr>
          <w:b/>
          <w:bCs/>
          <w:color w:val="auto"/>
          <w:sz w:val="72"/>
          <w:szCs w:val="72"/>
        </w:rPr>
      </w:pPr>
    </w:p>
    <w:p w14:paraId="09F5EBC5">
      <w:pPr>
        <w:pStyle w:val="16"/>
        <w:rPr>
          <w:b/>
          <w:bCs/>
          <w:color w:val="auto"/>
          <w:sz w:val="72"/>
          <w:szCs w:val="72"/>
        </w:rPr>
      </w:pPr>
    </w:p>
    <w:p w14:paraId="34FCEA61">
      <w:pPr>
        <w:pStyle w:val="16"/>
        <w:rPr>
          <w:b/>
          <w:bCs/>
          <w:color w:val="auto"/>
          <w:sz w:val="72"/>
          <w:szCs w:val="72"/>
        </w:rPr>
      </w:pPr>
    </w:p>
    <w:p w14:paraId="20E57295">
      <w:pPr>
        <w:pStyle w:val="16"/>
        <w:rPr>
          <w:b/>
          <w:bCs/>
          <w:color w:val="auto"/>
          <w:sz w:val="72"/>
          <w:szCs w:val="72"/>
        </w:rPr>
      </w:pPr>
    </w:p>
    <w:p w14:paraId="427BCF34">
      <w:pPr>
        <w:rPr>
          <w:color w:val="auto"/>
        </w:rPr>
      </w:pPr>
    </w:p>
    <w:p w14:paraId="22C8E525">
      <w:pPr>
        <w:adjustRightInd w:val="0"/>
        <w:snapToGrid w:val="0"/>
        <w:spacing w:line="480" w:lineRule="auto"/>
        <w:ind w:firstLine="1120" w:firstLineChars="400"/>
        <w:jc w:val="center"/>
        <w:rPr>
          <w:rFonts w:ascii="仿宋" w:hAnsi="仿宋" w:eastAsia="仿宋" w:cs="仿宋"/>
          <w:color w:val="auto"/>
          <w:sz w:val="28"/>
          <w:szCs w:val="36"/>
        </w:rPr>
      </w:pPr>
      <w:r>
        <w:rPr>
          <w:rFonts w:hint="eastAsia" w:ascii="仿宋" w:hAnsi="仿宋" w:eastAsia="仿宋" w:cs="仿宋"/>
          <w:color w:val="auto"/>
          <w:sz w:val="28"/>
          <w:szCs w:val="36"/>
        </w:rPr>
        <w:t>签约日期：</w:t>
      </w:r>
      <w:r>
        <w:rPr>
          <w:rFonts w:hint="eastAsia" w:ascii="仿宋" w:hAnsi="仿宋" w:eastAsia="仿宋" w:cs="仿宋"/>
          <w:color w:val="auto"/>
          <w:sz w:val="28"/>
          <w:szCs w:val="36"/>
          <w:u w:val="single"/>
        </w:rPr>
        <w:t xml:space="preserve">     </w:t>
      </w:r>
      <w:r>
        <w:rPr>
          <w:rFonts w:hint="eastAsia" w:ascii="仿宋" w:hAnsi="仿宋" w:eastAsia="仿宋" w:cs="仿宋"/>
          <w:color w:val="auto"/>
          <w:sz w:val="28"/>
          <w:szCs w:val="36"/>
        </w:rPr>
        <w:t>年</w:t>
      </w:r>
      <w:r>
        <w:rPr>
          <w:rFonts w:hint="eastAsia" w:ascii="仿宋" w:hAnsi="仿宋" w:eastAsia="仿宋" w:cs="仿宋"/>
          <w:color w:val="auto"/>
          <w:sz w:val="28"/>
          <w:szCs w:val="36"/>
          <w:u w:val="single"/>
        </w:rPr>
        <w:t xml:space="preserve">    </w:t>
      </w:r>
      <w:r>
        <w:rPr>
          <w:rFonts w:hint="eastAsia" w:ascii="仿宋" w:hAnsi="仿宋" w:eastAsia="仿宋" w:cs="仿宋"/>
          <w:color w:val="auto"/>
          <w:sz w:val="28"/>
          <w:szCs w:val="36"/>
        </w:rPr>
        <w:t>月</w:t>
      </w:r>
      <w:r>
        <w:rPr>
          <w:rFonts w:hint="eastAsia" w:ascii="仿宋" w:hAnsi="仿宋" w:eastAsia="仿宋" w:cs="仿宋"/>
          <w:color w:val="auto"/>
          <w:sz w:val="28"/>
          <w:szCs w:val="36"/>
          <w:u w:val="single"/>
        </w:rPr>
        <w:t xml:space="preserve">    </w:t>
      </w:r>
      <w:r>
        <w:rPr>
          <w:rFonts w:hint="eastAsia" w:ascii="仿宋" w:hAnsi="仿宋" w:eastAsia="仿宋" w:cs="仿宋"/>
          <w:color w:val="auto"/>
          <w:sz w:val="28"/>
          <w:szCs w:val="36"/>
        </w:rPr>
        <w:t>日</w:t>
      </w:r>
    </w:p>
    <w:p w14:paraId="100B7B76">
      <w:pPr>
        <w:adjustRightInd w:val="0"/>
        <w:snapToGrid w:val="0"/>
        <w:spacing w:line="480" w:lineRule="auto"/>
        <w:ind w:firstLine="1120" w:firstLineChars="400"/>
        <w:jc w:val="center"/>
        <w:rPr>
          <w:rFonts w:ascii="仿宋" w:hAnsi="仿宋" w:eastAsia="仿宋" w:cs="仿宋"/>
          <w:color w:val="auto"/>
          <w:sz w:val="28"/>
          <w:szCs w:val="36"/>
        </w:rPr>
      </w:pPr>
    </w:p>
    <w:p w14:paraId="238C0821">
      <w:pPr>
        <w:rPr>
          <w:color w:val="auto"/>
        </w:rPr>
      </w:pPr>
      <w:r>
        <w:rPr>
          <w:rFonts w:hint="eastAsia"/>
          <w:color w:val="auto"/>
        </w:rPr>
        <w:br w:type="page"/>
      </w:r>
    </w:p>
    <w:p w14:paraId="4E209E8C">
      <w:pPr>
        <w:adjustRightInd w:val="0"/>
        <w:snapToGrid w:val="0"/>
        <w:spacing w:line="360" w:lineRule="auto"/>
        <w:ind w:firstLine="562" w:firstLineChars="200"/>
        <w:rPr>
          <w:rFonts w:ascii="仿宋" w:hAnsi="仿宋" w:eastAsia="仿宋" w:cs="仿宋"/>
          <w:color w:val="auto"/>
          <w:sz w:val="28"/>
          <w:szCs w:val="28"/>
          <w:u w:val="single"/>
        </w:rPr>
      </w:pPr>
      <w:r>
        <w:rPr>
          <w:rFonts w:hint="eastAsia" w:ascii="仿宋" w:hAnsi="仿宋" w:eastAsia="仿宋" w:cs="仿宋"/>
          <w:b/>
          <w:bCs/>
          <w:color w:val="auto"/>
          <w:sz w:val="28"/>
          <w:szCs w:val="28"/>
        </w:rPr>
        <w:t>甲方(产权方)：</w:t>
      </w:r>
      <w:r>
        <w:rPr>
          <w:rFonts w:hint="eastAsia" w:ascii="仿宋" w:hAnsi="仿宋" w:eastAsia="仿宋" w:cs="仿宋"/>
          <w:color w:val="auto"/>
          <w:sz w:val="28"/>
          <w:szCs w:val="28"/>
          <w:u w:val="single"/>
        </w:rPr>
        <w:t xml:space="preserve">                                  </w:t>
      </w:r>
    </w:p>
    <w:p w14:paraId="546F42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14:paraId="4B53C96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 xml:space="preserve">                                      </w:t>
      </w:r>
    </w:p>
    <w:p w14:paraId="686165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联系地址：</w:t>
      </w:r>
      <w:r>
        <w:rPr>
          <w:rFonts w:hint="eastAsia" w:ascii="仿宋" w:hAnsi="仿宋" w:eastAsia="仿宋" w:cs="仿宋"/>
          <w:color w:val="auto"/>
          <w:sz w:val="28"/>
          <w:szCs w:val="28"/>
          <w:u w:val="single"/>
        </w:rPr>
        <w:t xml:space="preserve">                                      </w:t>
      </w:r>
    </w:p>
    <w:p w14:paraId="7B727DFA">
      <w:pPr>
        <w:adjustRightInd w:val="0"/>
        <w:snapToGrid w:val="0"/>
        <w:spacing w:line="360" w:lineRule="auto"/>
        <w:ind w:firstLine="560" w:firstLineChars="200"/>
        <w:rPr>
          <w:rFonts w:ascii="仿宋" w:hAnsi="仿宋" w:eastAsia="仿宋" w:cs="仿宋"/>
          <w:color w:val="auto"/>
          <w:sz w:val="28"/>
          <w:szCs w:val="28"/>
        </w:rPr>
      </w:pPr>
    </w:p>
    <w:p w14:paraId="7257E6D7">
      <w:pPr>
        <w:adjustRightInd w:val="0"/>
        <w:snapToGrid w:val="0"/>
        <w:spacing w:line="360" w:lineRule="auto"/>
        <w:ind w:firstLine="562" w:firstLineChars="200"/>
        <w:rPr>
          <w:rFonts w:ascii="仿宋" w:hAnsi="仿宋" w:eastAsia="仿宋" w:cs="仿宋"/>
          <w:color w:val="auto"/>
          <w:sz w:val="28"/>
          <w:szCs w:val="28"/>
          <w:u w:val="single"/>
        </w:rPr>
      </w:pPr>
      <w:r>
        <w:rPr>
          <w:rFonts w:hint="eastAsia" w:ascii="仿宋" w:hAnsi="仿宋" w:eastAsia="仿宋" w:cs="仿宋"/>
          <w:b/>
          <w:bCs/>
          <w:color w:val="auto"/>
          <w:sz w:val="28"/>
          <w:szCs w:val="28"/>
        </w:rPr>
        <w:t>乙方(运营方)</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36"/>
          <w:u w:val="single"/>
        </w:rPr>
        <w:t xml:space="preserve">     </w:t>
      </w:r>
    </w:p>
    <w:p w14:paraId="313FAC3C">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14:paraId="72BF4373">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 xml:space="preserve">                                     </w:t>
      </w:r>
    </w:p>
    <w:p w14:paraId="2E8B81D3">
      <w:pPr>
        <w:adjustRightInd w:val="0"/>
        <w:snapToGrid w:val="0"/>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联系地址：</w:t>
      </w:r>
      <w:r>
        <w:rPr>
          <w:rFonts w:hint="eastAsia" w:ascii="仿宋" w:hAnsi="仿宋" w:eastAsia="仿宋" w:cs="仿宋"/>
          <w:color w:val="auto"/>
          <w:sz w:val="28"/>
          <w:szCs w:val="28"/>
          <w:u w:val="single"/>
        </w:rPr>
        <w:t xml:space="preserve">                                     </w:t>
      </w:r>
    </w:p>
    <w:p w14:paraId="3900369F">
      <w:pPr>
        <w:adjustRightInd w:val="0"/>
        <w:snapToGrid w:val="0"/>
        <w:spacing w:line="360" w:lineRule="auto"/>
        <w:ind w:firstLine="560" w:firstLineChars="200"/>
        <w:rPr>
          <w:rFonts w:ascii="仿宋" w:hAnsi="仿宋" w:eastAsia="仿宋" w:cs="仿宋"/>
          <w:color w:val="auto"/>
          <w:sz w:val="28"/>
          <w:szCs w:val="28"/>
          <w:u w:val="single"/>
        </w:rPr>
      </w:pPr>
    </w:p>
    <w:p w14:paraId="69707BBD">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中华人民共和国民法典》及相关法律法规的规定，和《唐闸原大兴面粉厂合作运营项目》（项目编号：ZRNT20250169）招标结果，甲、乙双方本着平等、互利的原则，经协商一致，就下述房屋及附属设施、设备(以下简称场所)运营事宜签订本协议（即：《唐闸原大兴面粉厂项目运营协议》）。</w:t>
      </w:r>
    </w:p>
    <w:p w14:paraId="411EC680">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一、运营标的</w:t>
      </w:r>
    </w:p>
    <w:p w14:paraId="54B1E3D5">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 xml:space="preserve">.甲方同意将位于南通市崇川区南市街25号房屋租赁给乙方（以实际核准的工商登记名称为准）运营使用，总建筑面积约 </w:t>
      </w:r>
      <w:r>
        <w:rPr>
          <w:rFonts w:hint="eastAsia" w:ascii="仿宋" w:hAnsi="仿宋" w:eastAsia="仿宋" w:cs="仿宋"/>
          <w:color w:val="auto"/>
          <w:sz w:val="28"/>
          <w:szCs w:val="28"/>
          <w:lang w:val="en-US" w:eastAsia="zh-CN"/>
        </w:rPr>
        <w:t>14537.67</w:t>
      </w:r>
      <w:r>
        <w:rPr>
          <w:rFonts w:hint="eastAsia" w:ascii="仿宋" w:hAnsi="仿宋" w:eastAsia="仿宋" w:cs="仿宋"/>
          <w:color w:val="auto"/>
          <w:sz w:val="28"/>
          <w:szCs w:val="28"/>
        </w:rPr>
        <w:t xml:space="preserve"> ㎡。具体范围见附件一《运营场所平面图》。乙方为承租方及运营使用方。</w:t>
      </w:r>
    </w:p>
    <w:p w14:paraId="477E3938">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运营场所给乙方用于文化创意、科技、配套商业、办公等产业对外运营招商、运营管理。甲方同意乙方在打造文旅项目的过程中可以引进相关配套商业经营。合作期间，甲乙双方群策群力，改造、布局方案经双方一致同意后方可实施，策划、引流、运营事项由乙方自行负责。乙方将在甲方所在地设立全资或合资的项目公司负责该项目的运营管理，该项目公司有权行使乙方在本协议项下的部分或全部权利，履行其部分或全部义务。甲方对于运营不符合本协议约定之处有权合理建议乙方限期优化。</w:t>
      </w:r>
    </w:p>
    <w:p w14:paraId="50660730">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.合作期限为</w:t>
      </w:r>
      <w:r>
        <w:rPr>
          <w:rFonts w:hint="eastAsia" w:ascii="仿宋" w:hAnsi="仿宋" w:eastAsia="仿宋" w:cs="仿宋"/>
          <w:color w:val="auto"/>
          <w:sz w:val="28"/>
          <w:szCs w:val="28"/>
          <w:u w:val="single"/>
        </w:rPr>
        <w:t>15</w:t>
      </w:r>
      <w:r>
        <w:rPr>
          <w:rFonts w:hint="eastAsia" w:ascii="仿宋" w:hAnsi="仿宋" w:eastAsia="仿宋" w:cs="仿宋"/>
          <w:color w:val="auto"/>
          <w:sz w:val="28"/>
          <w:szCs w:val="28"/>
        </w:rPr>
        <w:t>年，自</w:t>
      </w:r>
      <w:r>
        <w:rPr>
          <w:rFonts w:hint="eastAsia" w:ascii="仿宋" w:hAnsi="仿宋" w:eastAsia="仿宋" w:cs="仿宋"/>
          <w:color w:val="auto"/>
          <w:sz w:val="28"/>
          <w:szCs w:val="28"/>
          <w:u w:val="single"/>
        </w:rPr>
        <w:t>2025</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rPr>
        <w:t xml:space="preserve"> 2040</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止。租期约定构成为修缮培育期+运营期。</w:t>
      </w:r>
    </w:p>
    <w:p w14:paraId="752EA137">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运营场所现状交付，乙方确认签订协议前根据甲方提供的项目完整资料清单，包括但不限于项目实际可用范围、项目产证等相关数据、资料，踏勘、评估现场，对运营物现状知晓并认可。乙方应根据设备、水、电等现有的配套状况合理使用。</w:t>
      </w:r>
    </w:p>
    <w:p w14:paraId="5A14C498">
      <w:pPr>
        <w:adjustRightInd w:val="0"/>
        <w:snapToGrid w:val="0"/>
        <w:spacing w:line="360" w:lineRule="auto"/>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5.在协议期内因本项目获得的补贴、奖励，按照谁投资谁收益原则确认归属。</w:t>
      </w:r>
    </w:p>
    <w:p w14:paraId="18EBA096">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二、租金及其他费用交纳方式</w:t>
      </w:r>
    </w:p>
    <w:p w14:paraId="1D43CDDA">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合作期间</w:t>
      </w:r>
      <w:r>
        <w:rPr>
          <w:rFonts w:ascii="仿宋" w:hAnsi="仿宋" w:eastAsia="仿宋" w:cs="仿宋"/>
          <w:color w:val="auto"/>
          <w:sz w:val="28"/>
          <w:szCs w:val="28"/>
        </w:rPr>
        <w:t>，</w:t>
      </w:r>
      <w:r>
        <w:rPr>
          <w:rFonts w:hint="eastAsia" w:ascii="仿宋" w:hAnsi="仿宋" w:eastAsia="仿宋" w:cs="仿宋"/>
          <w:color w:val="auto"/>
          <w:sz w:val="28"/>
          <w:szCs w:val="28"/>
        </w:rPr>
        <w:t>前5年为修缮培育期</w:t>
      </w:r>
      <w:r>
        <w:rPr>
          <w:rFonts w:ascii="仿宋" w:hAnsi="仿宋" w:eastAsia="仿宋" w:cs="仿宋"/>
          <w:color w:val="auto"/>
          <w:sz w:val="28"/>
          <w:szCs w:val="28"/>
        </w:rPr>
        <w:t>，后1</w:t>
      </w:r>
      <w:r>
        <w:rPr>
          <w:rFonts w:hint="eastAsia" w:ascii="仿宋" w:hAnsi="仿宋" w:eastAsia="仿宋" w:cs="仿宋"/>
          <w:color w:val="auto"/>
          <w:sz w:val="28"/>
          <w:szCs w:val="28"/>
        </w:rPr>
        <w:t>0</w:t>
      </w:r>
      <w:r>
        <w:rPr>
          <w:rFonts w:ascii="仿宋" w:hAnsi="仿宋" w:eastAsia="仿宋" w:cs="仿宋"/>
          <w:color w:val="auto"/>
          <w:sz w:val="28"/>
          <w:szCs w:val="28"/>
        </w:rPr>
        <w:t>年</w:t>
      </w:r>
      <w:r>
        <w:rPr>
          <w:rFonts w:hint="eastAsia" w:ascii="仿宋" w:hAnsi="仿宋" w:eastAsia="仿宋" w:cs="仿宋"/>
          <w:color w:val="auto"/>
          <w:sz w:val="28"/>
          <w:szCs w:val="28"/>
        </w:rPr>
        <w:t>为运营期。甲方按照以下方式收取租金：</w:t>
      </w:r>
    </w:p>
    <w:p w14:paraId="6AAC9A2A">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修缮培育期:即</w:t>
      </w:r>
      <w:r>
        <w:rPr>
          <w:rFonts w:hint="eastAsia" w:ascii="仿宋" w:hAnsi="仿宋" w:eastAsia="仿宋" w:cs="仿宋"/>
          <w:color w:val="auto"/>
          <w:sz w:val="28"/>
          <w:szCs w:val="28"/>
          <w:u w:val="single"/>
        </w:rPr>
        <w:t>2025年 月  日至 2030年  月  日</w:t>
      </w:r>
      <w:r>
        <w:rPr>
          <w:rFonts w:hint="eastAsia" w:ascii="仿宋" w:hAnsi="仿宋" w:eastAsia="仿宋" w:cs="仿宋"/>
          <w:color w:val="auto"/>
          <w:sz w:val="28"/>
          <w:szCs w:val="28"/>
        </w:rPr>
        <w:t>，租金为</w:t>
      </w:r>
      <w:r>
        <w:rPr>
          <w:rFonts w:hint="eastAsia" w:ascii="仿宋" w:hAnsi="仿宋" w:eastAsia="仿宋" w:cs="仿宋"/>
          <w:color w:val="auto"/>
          <w:sz w:val="28"/>
          <w:szCs w:val="28"/>
          <w:u w:val="single"/>
        </w:rPr>
        <w:t xml:space="preserve">    万元/年</w:t>
      </w:r>
      <w:r>
        <w:rPr>
          <w:rFonts w:hint="eastAsia" w:ascii="仿宋" w:hAnsi="仿宋" w:eastAsia="仿宋" w:cs="仿宋"/>
          <w:color w:val="auto"/>
          <w:sz w:val="28"/>
          <w:szCs w:val="28"/>
        </w:rPr>
        <w:t>。根据甲方对乙方年度考核结果（具体考核标准见附件三：考核目标）处理如下：若乙方完成当年度考核目标，则对应考核年度租金免收；若乙方未完成年度考核目标，则对应考核年度不</w:t>
      </w:r>
      <w:r>
        <w:rPr>
          <w:rFonts w:hint="eastAsia" w:ascii="仿宋" w:hAnsi="仿宋" w:eastAsia="仿宋" w:cs="仿宋"/>
          <w:color w:val="auto"/>
          <w:sz w:val="28"/>
          <w:szCs w:val="28"/>
          <w:lang w:val="en-US" w:eastAsia="zh-CN"/>
        </w:rPr>
        <w:t>予</w:t>
      </w:r>
      <w:r>
        <w:rPr>
          <w:rFonts w:hint="eastAsia" w:ascii="仿宋" w:hAnsi="仿宋" w:eastAsia="仿宋" w:cs="仿宋"/>
          <w:color w:val="auto"/>
          <w:sz w:val="28"/>
          <w:szCs w:val="28"/>
        </w:rPr>
        <w:t>免租，乙方应于双方确认考核结果之日起</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内支付违约金，同时足额支付本运营年度租金。违约金为修缮培育期后首年总租金的20%。如因乙方违约造成的协议终止或解除，除按照该条约定支付违约金、租金外，其缴纳的履约保证金不予退还。以此类推，直至修缮培育期结束。</w:t>
      </w:r>
    </w:p>
    <w:p w14:paraId="5077D3EF">
      <w:pPr>
        <w:adjustRightInd w:val="0"/>
        <w:snapToGrid w:val="0"/>
        <w:spacing w:line="360" w:lineRule="auto"/>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（2）运营期：即</w:t>
      </w:r>
      <w:r>
        <w:rPr>
          <w:rFonts w:hint="eastAsia" w:ascii="仿宋" w:hAnsi="仿宋" w:eastAsia="仿宋" w:cs="仿宋"/>
          <w:color w:val="auto"/>
          <w:sz w:val="28"/>
          <w:szCs w:val="28"/>
          <w:u w:val="single"/>
        </w:rPr>
        <w:t xml:space="preserve"> 2030</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 xml:space="preserve">日至 </w:t>
      </w:r>
      <w:r>
        <w:rPr>
          <w:rFonts w:hint="eastAsia" w:ascii="仿宋" w:hAnsi="仿宋" w:eastAsia="仿宋" w:cs="仿宋"/>
          <w:color w:val="auto"/>
          <w:sz w:val="28"/>
          <w:szCs w:val="28"/>
          <w:u w:val="single"/>
        </w:rPr>
        <w:t xml:space="preserve">2040 </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，乙方需按标准向甲方支付租金，租金缴纳标准为：</w:t>
      </w:r>
      <w:r>
        <w:rPr>
          <w:rFonts w:hint="eastAsia" w:ascii="仿宋" w:hAnsi="仿宋" w:eastAsia="仿宋" w:cs="仿宋"/>
          <w:color w:val="auto"/>
          <w:sz w:val="28"/>
          <w:szCs w:val="28"/>
          <w:u w:val="single"/>
        </w:rPr>
        <w:t>2030</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日至</w:t>
      </w:r>
      <w:r>
        <w:rPr>
          <w:rFonts w:hint="eastAsia" w:ascii="仿宋" w:hAnsi="仿宋" w:eastAsia="仿宋" w:cs="仿宋"/>
          <w:color w:val="auto"/>
          <w:sz w:val="28"/>
          <w:szCs w:val="28"/>
          <w:u w:val="single"/>
        </w:rPr>
        <w:t>2033</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为人民币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元/年</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2033</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日至</w:t>
      </w:r>
      <w:r>
        <w:rPr>
          <w:rFonts w:hint="eastAsia" w:ascii="仿宋" w:hAnsi="仿宋" w:eastAsia="仿宋" w:cs="仿宋"/>
          <w:color w:val="auto"/>
          <w:sz w:val="28"/>
          <w:szCs w:val="28"/>
          <w:u w:val="single"/>
        </w:rPr>
        <w:t>2037</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为人民币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元/年</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2037</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日至</w:t>
      </w:r>
      <w:r>
        <w:rPr>
          <w:rFonts w:hint="eastAsia" w:ascii="仿宋" w:hAnsi="仿宋" w:eastAsia="仿宋" w:cs="仿宋"/>
          <w:color w:val="auto"/>
          <w:sz w:val="28"/>
          <w:szCs w:val="28"/>
          <w:u w:val="single"/>
        </w:rPr>
        <w:t>2040</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 xml:space="preserve">为人民币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rPr>
        <w:t>元/年</w:t>
      </w:r>
      <w:r>
        <w:rPr>
          <w:rFonts w:hint="eastAsia" w:ascii="仿宋" w:hAnsi="仿宋" w:eastAsia="仿宋" w:cs="仿宋"/>
          <w:color w:val="auto"/>
          <w:sz w:val="28"/>
          <w:szCs w:val="28"/>
        </w:rPr>
        <w:t>。</w:t>
      </w:r>
    </w:p>
    <w:p w14:paraId="6851758C">
      <w:pPr>
        <w:adjustRightInd w:val="0"/>
        <w:snapToGrid w:val="0"/>
        <w:spacing w:line="360" w:lineRule="auto"/>
        <w:ind w:firstLine="420" w:firstLineChars="150"/>
        <w:rPr>
          <w:rFonts w:ascii="仿宋" w:hAnsi="仿宋" w:eastAsia="仿宋" w:cs="仿宋"/>
          <w:color w:val="auto"/>
          <w:sz w:val="28"/>
          <w:szCs w:val="28"/>
        </w:rPr>
      </w:pPr>
      <w:r>
        <w:rPr>
          <w:rFonts w:hint="eastAsia" w:ascii="仿宋" w:hAnsi="仿宋" w:eastAsia="仿宋" w:cs="仿宋"/>
          <w:color w:val="auto"/>
          <w:sz w:val="28"/>
          <w:szCs w:val="28"/>
        </w:rPr>
        <w:t>修缮培育期结束后，乙方租金为先付后用，每半年支付一次。首期租金于修缮培育期满前一月内支付，以后每期满前一个月内支付下一期租金。</w:t>
      </w:r>
    </w:p>
    <w:p w14:paraId="056D6114">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合作期间，房屋和土地的产权税由甲方依法缴纳。</w:t>
      </w:r>
    </w:p>
    <w:p w14:paraId="314A1A97">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合作期间，乙方应及时办理水、电、通信等更户手续，甲方予以配合。乙方经营实际发生的水、电、通信等费用，由乙方承担，因未及时缴纳费用而产生的任何损失由乙方负责。乙方应依法经营、依法纳税。合约期满或解除、终止</w:t>
      </w:r>
      <w:r>
        <w:rPr>
          <w:rFonts w:hint="eastAsia" w:ascii="仿宋" w:hAnsi="仿宋" w:eastAsia="仿宋" w:cs="仿宋"/>
          <w:color w:val="auto"/>
          <w:sz w:val="28"/>
          <w:szCs w:val="28"/>
          <w:lang w:val="en-US" w:eastAsia="zh-CN"/>
        </w:rPr>
        <w:t>协议</w:t>
      </w:r>
      <w:r>
        <w:rPr>
          <w:rFonts w:hint="eastAsia" w:ascii="仿宋" w:hAnsi="仿宋" w:eastAsia="仿宋" w:cs="仿宋"/>
          <w:color w:val="auto"/>
          <w:sz w:val="28"/>
          <w:szCs w:val="28"/>
        </w:rPr>
        <w:t>，乙方应在三个月</w:t>
      </w:r>
      <w:r>
        <w:rPr>
          <w:rFonts w:hint="eastAsia" w:ascii="仿宋" w:hAnsi="仿宋" w:eastAsia="仿宋" w:cs="仿宋"/>
          <w:color w:val="auto"/>
          <w:sz w:val="28"/>
          <w:szCs w:val="28"/>
          <w:lang w:val="en-US" w:eastAsia="zh-CN"/>
        </w:rPr>
        <w:t>内</w:t>
      </w:r>
      <w:r>
        <w:rPr>
          <w:rFonts w:hint="eastAsia" w:ascii="仿宋" w:hAnsi="仿宋" w:eastAsia="仿宋" w:cs="仿宋"/>
          <w:color w:val="auto"/>
          <w:sz w:val="28"/>
          <w:szCs w:val="28"/>
        </w:rPr>
        <w:t>将水、电、通信等更户给甲方。</w:t>
      </w:r>
    </w:p>
    <w:p w14:paraId="28930901">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甲方应在乙方支付租金前，向乙方出具相应金额、符合国家法律规定、与甲方、乙方名称一致的增值税专用发票（如遇国家税率调整，含税价按调整后的新税率同步调整）。如甲方未能按协议规定提供运营发票，则乙方有权迟延支付租金而不被视为违约不付租金，直至甲方提供运营发票后10天止。但如因乙方原因导致未能支付上一期租金的，甲方有权要求乙方在支付清全部结欠租金和违约金后再开具等额发票。</w:t>
      </w:r>
    </w:p>
    <w:p w14:paraId="2BCD3D90">
      <w:pPr>
        <w:adjustRightInd w:val="0"/>
        <w:snapToGrid w:val="0"/>
        <w:spacing w:line="360" w:lineRule="auto"/>
        <w:ind w:firstLine="420" w:firstLineChars="15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乙方应将本协议项下应付租金，支付到甲方指定的银行账户上。乙方按本协议约定时间将租金汇往甲方下列账户后，即视为乙方已完成付款义务。如甲方变更收款账户的，应当提前通知乙方。</w:t>
      </w:r>
    </w:p>
    <w:p w14:paraId="7BBF7AC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 xml:space="preserve">                                     </w:t>
      </w:r>
    </w:p>
    <w:p w14:paraId="7BD515D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u w:val="single"/>
        </w:rPr>
        <w:t xml:space="preserve">                                     </w:t>
      </w:r>
    </w:p>
    <w:p w14:paraId="38B44102">
      <w:pPr>
        <w:adjustRightInd w:val="0"/>
        <w:snapToGrid w:val="0"/>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银行账号：</w:t>
      </w:r>
      <w:r>
        <w:rPr>
          <w:rFonts w:hint="eastAsia" w:ascii="仿宋" w:hAnsi="仿宋" w:eastAsia="仿宋" w:cs="仿宋"/>
          <w:color w:val="auto"/>
          <w:sz w:val="28"/>
          <w:szCs w:val="28"/>
          <w:u w:val="single"/>
        </w:rPr>
        <w:t xml:space="preserve">                                     </w:t>
      </w:r>
    </w:p>
    <w:p w14:paraId="764E142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6.履约保证金：（1） 乙方应在本协议签订之日起</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日内向甲方交纳履约保证金人民币贰拾万元。</w:t>
      </w:r>
    </w:p>
    <w:p w14:paraId="2E2C248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（2）乙方不及时支付租金、水电费及其他约定应由乙方支付的费用时，甲方有权从该保证金中支取租金、水电费及其他约定应由乙方支付的费用。</w:t>
      </w:r>
    </w:p>
    <w:p w14:paraId="1235C36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（3）履约保证金因上述原因被扣减时，乙方应在甲方通知后的</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个工作日内予以补足。</w:t>
      </w:r>
    </w:p>
    <w:p w14:paraId="433282C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4</w:t>
      </w:r>
      <w:r>
        <w:rPr>
          <w:rFonts w:hint="eastAsia" w:ascii="仿宋" w:hAnsi="仿宋" w:eastAsia="仿宋" w:cs="仿宋"/>
          <w:color w:val="auto"/>
          <w:sz w:val="28"/>
          <w:szCs w:val="28"/>
        </w:rPr>
        <w:t>）合作</w:t>
      </w:r>
      <w:r>
        <w:rPr>
          <w:rFonts w:ascii="仿宋" w:hAnsi="仿宋" w:eastAsia="仿宋" w:cs="仿宋"/>
          <w:color w:val="auto"/>
          <w:sz w:val="28"/>
          <w:szCs w:val="28"/>
        </w:rPr>
        <w:t>期</w:t>
      </w:r>
      <w:r>
        <w:rPr>
          <w:rFonts w:hint="eastAsia" w:ascii="仿宋" w:hAnsi="仿宋" w:eastAsia="仿宋" w:cs="仿宋"/>
          <w:color w:val="auto"/>
          <w:sz w:val="28"/>
          <w:szCs w:val="28"/>
        </w:rPr>
        <w:t>满或本协议解除、终止时，乙方无违约行为且不存在未支付费用或赔偿的项目，甲方应在乙方返还运营</w:t>
      </w:r>
      <w:r>
        <w:rPr>
          <w:rFonts w:hint="eastAsia" w:ascii="仿宋" w:hAnsi="仿宋" w:eastAsia="仿宋" w:cs="仿宋"/>
          <w:color w:val="auto"/>
          <w:sz w:val="28"/>
          <w:szCs w:val="28"/>
          <w:lang w:val="en-US" w:eastAsia="zh-CN"/>
        </w:rPr>
        <w:t>场所</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个工作日内向乙方全额返还该履约保证金（不计息）。</w:t>
      </w:r>
    </w:p>
    <w:p w14:paraId="762ECA75">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三、甲方责任</w:t>
      </w:r>
    </w:p>
    <w:p w14:paraId="7C19D772">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运营场所的交付：</w:t>
      </w:r>
      <w:r>
        <w:rPr>
          <w:rStyle w:val="37"/>
          <w:rFonts w:hint="eastAsia" w:ascii="仿宋" w:hAnsi="仿宋" w:eastAsia="仿宋" w:cs="仿宋"/>
          <w:color w:val="auto"/>
          <w:sz w:val="28"/>
          <w:szCs w:val="28"/>
        </w:rPr>
        <w:t>甲方完成</w:t>
      </w:r>
      <w:r>
        <w:rPr>
          <w:rFonts w:hint="eastAsia" w:ascii="仿宋" w:hAnsi="仿宋" w:eastAsia="仿宋" w:cs="仿宋"/>
          <w:color w:val="auto"/>
          <w:sz w:val="28"/>
          <w:szCs w:val="28"/>
        </w:rPr>
        <w:t>运营场所</w:t>
      </w:r>
      <w:r>
        <w:rPr>
          <w:rStyle w:val="37"/>
          <w:rFonts w:hint="eastAsia" w:ascii="仿宋" w:hAnsi="仿宋" w:eastAsia="仿宋" w:cs="仿宋"/>
          <w:color w:val="auto"/>
          <w:sz w:val="28"/>
          <w:szCs w:val="28"/>
        </w:rPr>
        <w:t>的前期清退工作后，以现状交付给乙方。双方商定，</w:t>
      </w:r>
      <w:r>
        <w:rPr>
          <w:rFonts w:hint="eastAsia" w:ascii="仿宋" w:hAnsi="仿宋" w:eastAsia="仿宋" w:cs="仿宋"/>
          <w:color w:val="auto"/>
          <w:sz w:val="28"/>
          <w:szCs w:val="28"/>
        </w:rPr>
        <w:t>运营</w:t>
      </w:r>
      <w:r>
        <w:rPr>
          <w:rStyle w:val="37"/>
          <w:rFonts w:hint="eastAsia" w:ascii="仿宋" w:hAnsi="仿宋" w:eastAsia="仿宋" w:cs="仿宋"/>
          <w:color w:val="auto"/>
          <w:sz w:val="28"/>
          <w:szCs w:val="28"/>
        </w:rPr>
        <w:t>场所的交接工作在</w:t>
      </w:r>
      <w:r>
        <w:rPr>
          <w:rStyle w:val="37"/>
          <w:rFonts w:hint="eastAsia" w:ascii="仿宋" w:hAnsi="仿宋" w:eastAsia="仿宋" w:cs="仿宋"/>
          <w:color w:val="auto"/>
          <w:sz w:val="28"/>
          <w:szCs w:val="28"/>
          <w:u w:val="single"/>
        </w:rPr>
        <w:t xml:space="preserve"> 2025 </w:t>
      </w:r>
      <w:r>
        <w:rPr>
          <w:rStyle w:val="37"/>
          <w:rFonts w:hint="eastAsia" w:ascii="仿宋" w:hAnsi="仿宋" w:eastAsia="仿宋" w:cs="仿宋"/>
          <w:color w:val="auto"/>
          <w:sz w:val="28"/>
          <w:szCs w:val="28"/>
        </w:rPr>
        <w:t>年</w:t>
      </w:r>
      <w:r>
        <w:rPr>
          <w:rStyle w:val="37"/>
          <w:rFonts w:hint="eastAsia" w:ascii="仿宋" w:hAnsi="仿宋" w:eastAsia="仿宋" w:cs="仿宋"/>
          <w:color w:val="auto"/>
          <w:sz w:val="28"/>
          <w:szCs w:val="28"/>
          <w:u w:val="single"/>
        </w:rPr>
        <w:t xml:space="preserve">   </w:t>
      </w:r>
      <w:r>
        <w:rPr>
          <w:rStyle w:val="37"/>
          <w:rFonts w:hint="eastAsia" w:ascii="仿宋" w:hAnsi="仿宋" w:eastAsia="仿宋" w:cs="仿宋"/>
          <w:color w:val="auto"/>
          <w:sz w:val="28"/>
          <w:szCs w:val="28"/>
        </w:rPr>
        <w:t>月</w:t>
      </w:r>
      <w:r>
        <w:rPr>
          <w:rStyle w:val="37"/>
          <w:rFonts w:hint="eastAsia" w:ascii="仿宋" w:hAnsi="仿宋" w:eastAsia="仿宋" w:cs="仿宋"/>
          <w:color w:val="auto"/>
          <w:sz w:val="28"/>
          <w:szCs w:val="28"/>
          <w:u w:val="single"/>
        </w:rPr>
        <w:t xml:space="preserve">  </w:t>
      </w:r>
      <w:r>
        <w:rPr>
          <w:rStyle w:val="37"/>
          <w:rFonts w:hint="eastAsia" w:ascii="仿宋" w:hAnsi="仿宋" w:eastAsia="仿宋" w:cs="仿宋"/>
          <w:color w:val="auto"/>
          <w:sz w:val="28"/>
          <w:szCs w:val="28"/>
        </w:rPr>
        <w:t>日前完成，交接时，由甲方与乙方代表在交接清单上签字确认，</w:t>
      </w:r>
      <w:r>
        <w:rPr>
          <w:rStyle w:val="37"/>
          <w:rFonts w:ascii="仿宋" w:hAnsi="仿宋" w:eastAsia="仿宋" w:cs="仿宋"/>
          <w:color w:val="auto"/>
          <w:sz w:val="28"/>
          <w:szCs w:val="28"/>
        </w:rPr>
        <w:t>合作</w:t>
      </w:r>
      <w:r>
        <w:rPr>
          <w:rStyle w:val="37"/>
          <w:rFonts w:hint="eastAsia" w:ascii="仿宋" w:hAnsi="仿宋" w:eastAsia="仿宋" w:cs="仿宋"/>
          <w:color w:val="auto"/>
          <w:sz w:val="28"/>
          <w:szCs w:val="28"/>
        </w:rPr>
        <w:t>计算日期以交接确认日期为准。如甲方具备交付条件后要求乙方接收，乙方无正当理由拒绝接受的，以甲方书面要求交付后15个工作日为实际交付日；如交付延迟，则修缮培育期、运营期等相应顺延，迟延期间不计租金。</w:t>
      </w:r>
    </w:p>
    <w:p w14:paraId="066B34D1">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甲方保证对运营场所享有合法的使用权，具有充分权利将前述运营场所交由乙方运营。</w:t>
      </w:r>
      <w:r>
        <w:rPr>
          <w:rStyle w:val="37"/>
          <w:rFonts w:hint="eastAsia" w:ascii="仿宋" w:hAnsi="仿宋" w:eastAsia="仿宋" w:cs="仿宋"/>
          <w:bCs/>
          <w:color w:val="auto"/>
          <w:kern w:val="0"/>
          <w:sz w:val="28"/>
          <w:szCs w:val="28"/>
        </w:rPr>
        <w:t>甲方确保</w:t>
      </w:r>
      <w:r>
        <w:rPr>
          <w:rFonts w:hint="eastAsia" w:ascii="仿宋" w:hAnsi="仿宋" w:eastAsia="仿宋" w:cs="仿宋"/>
          <w:color w:val="auto"/>
          <w:sz w:val="28"/>
          <w:szCs w:val="28"/>
        </w:rPr>
        <w:t>运营场所</w:t>
      </w:r>
      <w:r>
        <w:rPr>
          <w:rStyle w:val="37"/>
          <w:rFonts w:hint="eastAsia" w:ascii="仿宋" w:hAnsi="仿宋" w:eastAsia="仿宋" w:cs="仿宋"/>
          <w:bCs/>
          <w:color w:val="auto"/>
          <w:kern w:val="0"/>
          <w:sz w:val="28"/>
          <w:szCs w:val="28"/>
        </w:rPr>
        <w:t>产权清晰、无争议，不存在乙方使用的法律和现实障碍，</w:t>
      </w:r>
      <w:r>
        <w:rPr>
          <w:rStyle w:val="37"/>
          <w:rFonts w:hint="eastAsia" w:ascii="仿宋" w:hAnsi="仿宋" w:eastAsia="仿宋" w:cs="仿宋"/>
          <w:color w:val="auto"/>
          <w:sz w:val="28"/>
          <w:szCs w:val="28"/>
        </w:rPr>
        <w:t>不存在抵押、质押、查封、权利异议登记等权利限制以及其他第三方权利负担，或类似的限制、负担影响</w:t>
      </w:r>
      <w:r>
        <w:rPr>
          <w:rStyle w:val="37"/>
          <w:rFonts w:hint="eastAsia" w:ascii="仿宋" w:hAnsi="仿宋" w:eastAsia="仿宋" w:cs="仿宋"/>
          <w:bCs/>
          <w:color w:val="auto"/>
          <w:kern w:val="0"/>
          <w:sz w:val="28"/>
          <w:szCs w:val="28"/>
        </w:rPr>
        <w:t>乙方</w:t>
      </w:r>
      <w:r>
        <w:rPr>
          <w:rStyle w:val="37"/>
          <w:rFonts w:hint="eastAsia" w:ascii="仿宋" w:hAnsi="仿宋" w:eastAsia="仿宋" w:cs="仿宋"/>
          <w:color w:val="auto"/>
          <w:sz w:val="28"/>
          <w:szCs w:val="28"/>
        </w:rPr>
        <w:t>实际使用</w:t>
      </w:r>
      <w:r>
        <w:rPr>
          <w:rFonts w:hint="eastAsia" w:ascii="仿宋" w:hAnsi="仿宋" w:eastAsia="仿宋" w:cs="仿宋"/>
          <w:color w:val="auto"/>
          <w:sz w:val="28"/>
          <w:szCs w:val="28"/>
        </w:rPr>
        <w:t>运营场所</w:t>
      </w:r>
      <w:r>
        <w:rPr>
          <w:rStyle w:val="37"/>
          <w:rFonts w:hint="eastAsia" w:ascii="仿宋" w:hAnsi="仿宋" w:eastAsia="仿宋" w:cs="仿宋"/>
          <w:color w:val="auto"/>
          <w:sz w:val="28"/>
          <w:szCs w:val="28"/>
        </w:rPr>
        <w:t>物业的情形。</w:t>
      </w:r>
      <w:r>
        <w:rPr>
          <w:rStyle w:val="37"/>
          <w:rFonts w:hint="eastAsia" w:ascii="仿宋" w:hAnsi="仿宋" w:eastAsia="仿宋" w:cs="仿宋"/>
          <w:bCs/>
          <w:color w:val="auto"/>
          <w:kern w:val="0"/>
          <w:sz w:val="28"/>
          <w:szCs w:val="28"/>
        </w:rPr>
        <w:t>甲方确保订立协议前取得产权方及其主管单位同意实施本项目的书面授权，同意按照本协议约定内容将标的交由乙方运营，由乙方使用，实施招商、运营、出租、授权加盟和合作使用等。</w:t>
      </w:r>
      <w:r>
        <w:rPr>
          <w:rFonts w:hint="eastAsia" w:ascii="仿宋" w:hAnsi="仿宋" w:eastAsia="仿宋" w:cs="仿宋"/>
          <w:color w:val="auto"/>
          <w:sz w:val="28"/>
          <w:szCs w:val="28"/>
        </w:rPr>
        <w:t>甲方</w:t>
      </w:r>
      <w:r>
        <w:rPr>
          <w:rStyle w:val="37"/>
          <w:rFonts w:hint="eastAsia" w:ascii="仿宋" w:hAnsi="仿宋" w:eastAsia="仿宋" w:cs="仿宋"/>
          <w:color w:val="auto"/>
          <w:sz w:val="28"/>
          <w:szCs w:val="28"/>
        </w:rPr>
        <w:t>保证有权许可</w:t>
      </w:r>
      <w:r>
        <w:rPr>
          <w:rStyle w:val="37"/>
          <w:rFonts w:hint="eastAsia" w:ascii="仿宋" w:hAnsi="仿宋" w:eastAsia="仿宋" w:cs="仿宋"/>
          <w:bCs/>
          <w:color w:val="auto"/>
          <w:kern w:val="0"/>
          <w:sz w:val="28"/>
          <w:szCs w:val="28"/>
        </w:rPr>
        <w:t>乙方</w:t>
      </w:r>
      <w:r>
        <w:rPr>
          <w:rStyle w:val="37"/>
          <w:rFonts w:hint="eastAsia" w:ascii="仿宋" w:hAnsi="仿宋" w:eastAsia="仿宋" w:cs="仿宋"/>
          <w:color w:val="auto"/>
          <w:sz w:val="28"/>
          <w:szCs w:val="28"/>
        </w:rPr>
        <w:t>使用附属通道、设施等公用设施，不存在影响乙方正常承租、使用</w:t>
      </w:r>
      <w:r>
        <w:rPr>
          <w:rFonts w:hint="eastAsia" w:ascii="仿宋" w:hAnsi="仿宋" w:eastAsia="仿宋" w:cs="仿宋"/>
          <w:color w:val="auto"/>
          <w:sz w:val="28"/>
          <w:szCs w:val="28"/>
        </w:rPr>
        <w:t>运营场所</w:t>
      </w:r>
      <w:r>
        <w:rPr>
          <w:rStyle w:val="37"/>
          <w:rFonts w:hint="eastAsia" w:ascii="仿宋" w:hAnsi="仿宋" w:eastAsia="仿宋" w:cs="仿宋"/>
          <w:color w:val="auto"/>
          <w:sz w:val="28"/>
          <w:szCs w:val="28"/>
        </w:rPr>
        <w:t>的行为。</w:t>
      </w:r>
      <w:r>
        <w:rPr>
          <w:rFonts w:hint="eastAsia" w:ascii="仿宋" w:hAnsi="仿宋" w:eastAsia="仿宋" w:cs="仿宋"/>
          <w:color w:val="auto"/>
          <w:sz w:val="28"/>
          <w:szCs w:val="28"/>
        </w:rPr>
        <w:t>合作</w:t>
      </w:r>
      <w:r>
        <w:rPr>
          <w:rStyle w:val="37"/>
          <w:rFonts w:hint="eastAsia" w:ascii="仿宋" w:hAnsi="仿宋" w:eastAsia="仿宋" w:cs="仿宋"/>
          <w:color w:val="auto"/>
          <w:sz w:val="28"/>
          <w:szCs w:val="28"/>
        </w:rPr>
        <w:t>期限内如发生与</w:t>
      </w:r>
      <w:r>
        <w:rPr>
          <w:rFonts w:hint="eastAsia" w:ascii="仿宋" w:hAnsi="仿宋" w:eastAsia="仿宋" w:cs="仿宋"/>
          <w:color w:val="auto"/>
          <w:sz w:val="28"/>
          <w:szCs w:val="28"/>
        </w:rPr>
        <w:t>运营场所</w:t>
      </w:r>
      <w:r>
        <w:rPr>
          <w:rStyle w:val="37"/>
          <w:rFonts w:hint="eastAsia" w:ascii="仿宋" w:hAnsi="仿宋" w:eastAsia="仿宋" w:cs="仿宋"/>
          <w:color w:val="auto"/>
          <w:sz w:val="28"/>
          <w:szCs w:val="28"/>
        </w:rPr>
        <w:t>所有权、使用权相关的任何争议、纠纷、变更等，均由甲方负责妥善处理，并保证</w:t>
      </w:r>
      <w:r>
        <w:rPr>
          <w:rStyle w:val="37"/>
          <w:rFonts w:hint="eastAsia" w:ascii="仿宋" w:hAnsi="仿宋" w:eastAsia="仿宋" w:cs="仿宋"/>
          <w:bCs/>
          <w:color w:val="auto"/>
          <w:kern w:val="0"/>
          <w:sz w:val="28"/>
          <w:szCs w:val="28"/>
        </w:rPr>
        <w:t>乙方</w:t>
      </w:r>
      <w:r>
        <w:rPr>
          <w:rStyle w:val="37"/>
          <w:rFonts w:hint="eastAsia" w:ascii="仿宋" w:hAnsi="仿宋" w:eastAsia="仿宋" w:cs="仿宋"/>
          <w:color w:val="auto"/>
          <w:sz w:val="28"/>
          <w:szCs w:val="28"/>
        </w:rPr>
        <w:t>对</w:t>
      </w:r>
      <w:r>
        <w:rPr>
          <w:rFonts w:hint="eastAsia" w:ascii="仿宋" w:hAnsi="仿宋" w:eastAsia="仿宋" w:cs="仿宋"/>
          <w:color w:val="auto"/>
          <w:sz w:val="28"/>
          <w:szCs w:val="28"/>
        </w:rPr>
        <w:t>运营场所</w:t>
      </w:r>
      <w:r>
        <w:rPr>
          <w:rStyle w:val="37"/>
          <w:rFonts w:hint="eastAsia" w:ascii="仿宋" w:hAnsi="仿宋" w:eastAsia="仿宋" w:cs="仿宋"/>
          <w:color w:val="auto"/>
          <w:sz w:val="28"/>
          <w:szCs w:val="28"/>
        </w:rPr>
        <w:t>的权益不受到任何损害，如因甲方原因造成的，则由甲方承担该等责任。</w:t>
      </w:r>
    </w:p>
    <w:p w14:paraId="59D5E7E7">
      <w:pPr>
        <w:adjustRightInd w:val="0"/>
        <w:snapToGrid w:val="0"/>
        <w:spacing w:line="360" w:lineRule="auto"/>
        <w:ind w:firstLine="560" w:firstLineChars="200"/>
        <w:rPr>
          <w:rStyle w:val="37"/>
          <w:rFonts w:ascii="仿宋" w:hAnsi="仿宋" w:eastAsia="仿宋" w:cs="仿宋"/>
          <w:color w:val="auto"/>
          <w:sz w:val="28"/>
          <w:szCs w:val="28"/>
        </w:rPr>
      </w:pPr>
      <w:r>
        <w:rPr>
          <w:rFonts w:ascii="仿宋" w:hAnsi="仿宋" w:eastAsia="仿宋" w:cs="仿宋"/>
          <w:color w:val="auto"/>
          <w:sz w:val="28"/>
          <w:szCs w:val="28"/>
        </w:rPr>
        <w:t>3.</w:t>
      </w:r>
      <w:r>
        <w:rPr>
          <w:rStyle w:val="37"/>
          <w:rFonts w:hint="eastAsia" w:ascii="仿宋" w:hAnsi="仿宋" w:eastAsia="仿宋" w:cs="仿宋"/>
          <w:color w:val="auto"/>
          <w:sz w:val="28"/>
          <w:szCs w:val="28"/>
        </w:rPr>
        <w:t>甲方有义务向乙方提供</w:t>
      </w:r>
      <w:r>
        <w:rPr>
          <w:rFonts w:hint="eastAsia" w:ascii="仿宋" w:hAnsi="仿宋" w:eastAsia="仿宋" w:cs="仿宋"/>
          <w:color w:val="auto"/>
          <w:sz w:val="28"/>
          <w:szCs w:val="28"/>
        </w:rPr>
        <w:t>运营</w:t>
      </w:r>
      <w:r>
        <w:rPr>
          <w:rStyle w:val="37"/>
          <w:rFonts w:hint="eastAsia" w:ascii="仿宋" w:hAnsi="仿宋" w:eastAsia="仿宋" w:cs="仿宋"/>
          <w:color w:val="auto"/>
          <w:sz w:val="28"/>
          <w:szCs w:val="28"/>
        </w:rPr>
        <w:t>场所的供电、供水、排烟、排水及其它公共系统的使用情况和有关资料（如有），并保证水、电、排水、排污系统端口在签订本协议前接入本项目，同时配合和协助乙方改造施工。如涉及水、电或排水、排污系统的接驳、更改或搬移时，甲方积极配合，以便乙方尽快完成施工，相关费用由乙方承担。</w:t>
      </w:r>
    </w:p>
    <w:p w14:paraId="7E2E68AC">
      <w:pPr>
        <w:adjustRightInd w:val="0"/>
        <w:snapToGrid w:val="0"/>
        <w:spacing w:line="360" w:lineRule="auto"/>
        <w:ind w:firstLine="560" w:firstLineChars="200"/>
        <w:rPr>
          <w:rStyle w:val="37"/>
          <w:rFonts w:ascii="仿宋" w:hAnsi="仿宋" w:eastAsia="仿宋" w:cs="仿宋"/>
          <w:color w:val="auto"/>
          <w:sz w:val="28"/>
          <w:szCs w:val="28"/>
        </w:rPr>
      </w:pPr>
      <w:r>
        <w:rPr>
          <w:rFonts w:ascii="仿宋" w:hAnsi="仿宋" w:eastAsia="仿宋" w:cs="仿宋"/>
          <w:color w:val="auto"/>
          <w:sz w:val="28"/>
          <w:szCs w:val="28"/>
        </w:rPr>
        <w:t>4.</w:t>
      </w:r>
      <w:r>
        <w:rPr>
          <w:rStyle w:val="37"/>
          <w:rFonts w:hint="eastAsia" w:ascii="仿宋" w:hAnsi="仿宋" w:eastAsia="仿宋" w:cs="仿宋"/>
          <w:color w:val="auto"/>
          <w:sz w:val="28"/>
          <w:szCs w:val="28"/>
        </w:rPr>
        <w:t>由乙方出具改造方案后，甲方有义务协调属地政府、相关部门、产权单位等专题听取方案汇报，在</w:t>
      </w:r>
      <w:r>
        <w:rPr>
          <w:rFonts w:hint="eastAsia" w:ascii="仿宋" w:hAnsi="仿宋" w:eastAsia="仿宋" w:cs="仿宋"/>
          <w:color w:val="auto"/>
          <w:sz w:val="28"/>
          <w:szCs w:val="28"/>
        </w:rPr>
        <w:t>运营</w:t>
      </w:r>
      <w:r>
        <w:rPr>
          <w:rStyle w:val="37"/>
          <w:rFonts w:hint="eastAsia" w:ascii="仿宋" w:hAnsi="仿宋" w:eastAsia="仿宋" w:cs="仿宋"/>
          <w:color w:val="auto"/>
          <w:sz w:val="28"/>
          <w:szCs w:val="28"/>
        </w:rPr>
        <w:t>合作协议签订前，明确项目方案及落地备案机制。为扶持项目的顺利开展，甲方需于本协议签订前形成会议纪要，并成立本项目的服务保障小组，后期指定专职对接人员在合作期内对本项目进行对接。</w:t>
      </w:r>
    </w:p>
    <w:p w14:paraId="557293EE">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Style w:val="37"/>
          <w:rFonts w:hint="eastAsia" w:ascii="仿宋" w:hAnsi="仿宋" w:eastAsia="仿宋" w:cs="仿宋"/>
          <w:color w:val="auto"/>
          <w:sz w:val="28"/>
          <w:szCs w:val="28"/>
        </w:rPr>
        <w:t>根据项目整体设计及使用需求，甲方确保项目整体电容量不低于</w:t>
      </w:r>
      <w:r>
        <w:rPr>
          <w:rStyle w:val="37"/>
          <w:rFonts w:hint="eastAsia" w:ascii="仿宋" w:hAnsi="仿宋" w:eastAsia="仿宋" w:cs="仿宋"/>
          <w:color w:val="auto"/>
          <w:sz w:val="28"/>
          <w:szCs w:val="28"/>
          <w:u w:val="single"/>
        </w:rPr>
        <w:t xml:space="preserve">1000 </w:t>
      </w:r>
      <w:r>
        <w:rPr>
          <w:rStyle w:val="37"/>
          <w:rFonts w:hint="eastAsia" w:ascii="仿宋" w:hAnsi="仿宋" w:eastAsia="仿宋" w:cs="仿宋"/>
          <w:color w:val="auto"/>
          <w:sz w:val="28"/>
          <w:szCs w:val="28"/>
        </w:rPr>
        <w:t>KVA，同时负责开户事宜和相关费用。相关配套基础设施（含计量表）由甲方负责施工，并接至项目红线范围内。该电容量在乙方水电施工完成前达到要求，不对后期项目运营造成影响。在乙方开工进场前，甲方应提供符合乙方施工要求的临时施工水电接口，以便乙方顺利进场。在运行过程中，后期若需增容，甲方协助乙方对电量增容的申报、改造等相关环节，以实现增容目标，费用由乙方承担</w:t>
      </w:r>
      <w:r>
        <w:rPr>
          <w:rFonts w:hint="eastAsia" w:ascii="仿宋" w:hAnsi="仿宋" w:eastAsia="仿宋" w:cs="仿宋"/>
          <w:color w:val="auto"/>
          <w:sz w:val="28"/>
          <w:szCs w:val="28"/>
        </w:rPr>
        <w:t>。</w:t>
      </w:r>
    </w:p>
    <w:p w14:paraId="27A1FEA2">
      <w:pPr>
        <w:adjustRightInd w:val="0"/>
        <w:snapToGrid w:val="0"/>
        <w:spacing w:line="360" w:lineRule="auto"/>
        <w:ind w:firstLine="560" w:firstLineChars="200"/>
        <w:rPr>
          <w:rFonts w:ascii="仿宋" w:hAnsi="仿宋" w:eastAsia="仿宋" w:cs="仿宋"/>
          <w:strike/>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乙方在保证不改变房屋结构前提下，有权对运营场所进行装修</w:t>
      </w:r>
      <w:r>
        <w:rPr>
          <w:rStyle w:val="37"/>
          <w:rFonts w:hint="eastAsia" w:ascii="仿宋" w:hAnsi="仿宋" w:eastAsia="仿宋" w:cs="仿宋"/>
          <w:color w:val="auto"/>
          <w:sz w:val="28"/>
          <w:szCs w:val="28"/>
        </w:rPr>
        <w:t>。</w:t>
      </w:r>
    </w:p>
    <w:p w14:paraId="0CB25948">
      <w:pPr>
        <w:adjustRightInd w:val="0"/>
        <w:snapToGrid w:val="0"/>
        <w:spacing w:line="360" w:lineRule="auto"/>
        <w:ind w:firstLine="560" w:firstLineChars="200"/>
        <w:rPr>
          <w:rStyle w:val="37"/>
          <w:rFonts w:ascii="仿宋" w:hAnsi="仿宋" w:eastAsia="仿宋" w:cs="仿宋"/>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rPr>
        <w:t>合作期间，产权方拟将运营场所转让的，甲方应事先通知乙方，并将运营情况如实告知买受方，甲方、产权人均保证乙方对运营场所在协议期内的运营条件不变及维持运营权的合法性及持续性，保证本运营协议继续履行。</w:t>
      </w:r>
    </w:p>
    <w:p w14:paraId="3B66FAB5">
      <w:pPr>
        <w:adjustRightInd w:val="0"/>
        <w:snapToGrid w:val="0"/>
        <w:spacing w:line="360" w:lineRule="auto"/>
        <w:ind w:firstLine="560" w:firstLineChars="200"/>
        <w:rPr>
          <w:rStyle w:val="37"/>
          <w:rFonts w:ascii="仿宋" w:hAnsi="仿宋" w:eastAsia="仿宋" w:cs="仿宋"/>
          <w:color w:val="auto"/>
          <w:sz w:val="28"/>
          <w:szCs w:val="28"/>
        </w:rPr>
      </w:pPr>
      <w:r>
        <w:rPr>
          <w:rStyle w:val="37"/>
          <w:rFonts w:hint="eastAsia" w:ascii="仿宋" w:hAnsi="仿宋" w:eastAsia="仿宋" w:cs="仿宋"/>
          <w:color w:val="auto"/>
          <w:sz w:val="28"/>
          <w:szCs w:val="28"/>
        </w:rPr>
        <w:t>8.甲、乙双方理解并确认，标的物已取得不动产权证。如存在部分建筑未取得不动产权证的情况，本协议签订后，甲方将持续推动产权单位不动产权证的取得和办理事宜。</w:t>
      </w:r>
    </w:p>
    <w:p w14:paraId="176A70C4">
      <w:pPr>
        <w:adjustRightInd w:val="0"/>
        <w:snapToGrid w:val="0"/>
        <w:spacing w:line="360" w:lineRule="auto"/>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rPr>
        <w:t>9</w:t>
      </w:r>
      <w:r>
        <w:rPr>
          <w:rFonts w:ascii="仿宋" w:hAnsi="仿宋" w:eastAsia="仿宋" w:cs="仿宋"/>
          <w:color w:val="auto"/>
          <w:sz w:val="28"/>
          <w:szCs w:val="28"/>
        </w:rPr>
        <w:t>.</w:t>
      </w:r>
      <w:r>
        <w:rPr>
          <w:rFonts w:hint="eastAsia" w:ascii="仿宋" w:hAnsi="仿宋" w:eastAsia="仿宋" w:cs="仿宋"/>
          <w:color w:val="auto"/>
          <w:sz w:val="28"/>
          <w:szCs w:val="28"/>
        </w:rPr>
        <w:t>甲方应配合乙方办理运营标的区域内注册、项目立项、经营、招商、装修或改建所需的或可能发生的规划、环保、通讯、消防、交通、卫生、户外广告、人防许可设置、施工和检核及其它国家规定的申请报批手续，但该等配合的前提是待配合事项符合法律等相关规定。运营物由于本身因素、产证、产权、土地权属及其性质、动拆迁、征收、征用、规划，以及因建筑物、构筑物、附着物、定着物及设施设备的本身固有因素等造成的乙方无法使用的，乙方无需支付无法使用部分在未能正常使用期间租金。</w:t>
      </w:r>
    </w:p>
    <w:p w14:paraId="6974C539">
      <w:pPr>
        <w:adjustRightInd w:val="0"/>
        <w:snapToGrid w:val="0"/>
        <w:spacing w:line="360" w:lineRule="auto"/>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rPr>
        <w:t>10</w:t>
      </w:r>
      <w:r>
        <w:rPr>
          <w:rFonts w:ascii="仿宋" w:hAnsi="仿宋" w:eastAsia="仿宋" w:cs="仿宋"/>
          <w:color w:val="auto"/>
          <w:sz w:val="28"/>
          <w:szCs w:val="28"/>
        </w:rPr>
        <w:t>.</w:t>
      </w:r>
      <w:r>
        <w:rPr>
          <w:rFonts w:hint="eastAsia" w:ascii="仿宋" w:hAnsi="仿宋" w:eastAsia="仿宋" w:cs="仿宋"/>
          <w:color w:val="auto"/>
          <w:sz w:val="28"/>
          <w:szCs w:val="28"/>
        </w:rPr>
        <w:t>甲方保证本协议项下运营物已经于协议签署前结清了所有应缴、欠付费用（包括补缴税费、土地使用金等），不影响乙方正常使用，不存在可能使乙方承担的债务或债务风险，否则甲方应立即进行缴付。如因有关争议影响乙方有序使用、运营，乙方有权要求甲方通过其他方式予以处理，包括但不限于通过：延长修缮培育期/孵化期、减免租金/资产使用费、无偿延长运营期限、变更/解除协议、赔偿损失等一种或多种方式。</w:t>
      </w:r>
    </w:p>
    <w:p w14:paraId="3FBF1A7C">
      <w:pPr>
        <w:pStyle w:val="35"/>
        <w:adjustRightInd w:val="0"/>
        <w:snapToGrid w:val="0"/>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四</w:t>
      </w:r>
      <w:r>
        <w:rPr>
          <w:rFonts w:ascii="仿宋" w:hAnsi="仿宋" w:eastAsia="仿宋" w:cs="仿宋"/>
          <w:b/>
          <w:bCs/>
          <w:color w:val="auto"/>
          <w:sz w:val="28"/>
          <w:szCs w:val="28"/>
        </w:rPr>
        <w:t>、</w:t>
      </w:r>
      <w:r>
        <w:rPr>
          <w:rFonts w:hint="eastAsia" w:ascii="仿宋" w:hAnsi="仿宋" w:eastAsia="仿宋" w:cs="仿宋"/>
          <w:b/>
          <w:bCs/>
          <w:color w:val="auto"/>
          <w:sz w:val="28"/>
          <w:szCs w:val="28"/>
        </w:rPr>
        <w:t>乙方责任</w:t>
      </w:r>
    </w:p>
    <w:p w14:paraId="6B7F4439">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甲方认可乙方有权结合运营物的实际情况，根据项目所需制定项目改造设计及规划方案，改造设计及规划方案经双方认可后方可施工。</w:t>
      </w:r>
    </w:p>
    <w:p w14:paraId="2B199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2.对于改造后的运营场所，乙方有权出租经营，但出租用途应当符合本项目的设计规划、功能、定位，同时需将租户、业态等具体情况报甲方及属地街道备案，涉及到文物点位的还需报文旅局备案。</w:t>
      </w:r>
    </w:p>
    <w:p w14:paraId="1117DB4D">
      <w:pPr>
        <w:numPr>
          <w:ilvl w:val="255"/>
          <w:numId w:val="0"/>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3.乙方因改造而产生的永久性构筑物、装饰装潢物，合作期间由乙方使用，合作期结束后1个月内，随运营场所一并无偿移交给甲方。</w:t>
      </w:r>
    </w:p>
    <w:p w14:paraId="2A5D385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上述“构筑物、装饰装潢物”，是指乙方设置的附着于运营标的的顶部、地面和内外墙面等，一旦拆除将明显影响运营标的外观和功能的构筑物、装潢和设施等，但不包括乙方自行安装的可以移动、拆卸的电器等设备。</w:t>
      </w:r>
    </w:p>
    <w:p w14:paraId="5B44DAE9">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w:t>
      </w:r>
      <w:r>
        <w:rPr>
          <w:rFonts w:hint="eastAsia" w:ascii="仿宋" w:hAnsi="仿宋" w:eastAsia="仿宋" w:cs="仿宋"/>
          <w:color w:val="auto"/>
          <w:sz w:val="28"/>
          <w:szCs w:val="28"/>
        </w:rPr>
        <w:t>乙方需在入场前确认运营标的物原有结构、质量、安全缺陷，及其他隐蔽缺陷的问题，并针对需进行修缮或存在问题的内容提出书面异议，甲方在收到异议后双方协商确认解决方案。如经乙方现场认证，认可房屋符合移交标准，双方进行书面确认移交程序，自移交之日起，房屋及设施的日常维护、维修等由乙方负责并承担费用，其中属于乙方投资建设、改造装修部分的维护、维修、保养由乙方全权负责。因乙方使用不当或未及时维修导致的损失，由乙方全额赔偿。</w:t>
      </w:r>
    </w:p>
    <w:p w14:paraId="7B8EF07C">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ascii="仿宋" w:hAnsi="仿宋" w:eastAsia="仿宋" w:cs="仿宋"/>
          <w:color w:val="auto"/>
          <w:sz w:val="28"/>
          <w:szCs w:val="28"/>
        </w:rPr>
        <w:t>.</w:t>
      </w:r>
      <w:r>
        <w:rPr>
          <w:rFonts w:hint="eastAsia" w:ascii="仿宋" w:hAnsi="仿宋" w:eastAsia="仿宋" w:cs="仿宋"/>
          <w:color w:val="auto"/>
          <w:sz w:val="28"/>
          <w:szCs w:val="28"/>
        </w:rPr>
        <w:t>乙方应按本协议约定如期支付租金和水、电费等应由其缴纳的费用。</w:t>
      </w:r>
    </w:p>
    <w:p w14:paraId="31CBE2B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w:t>
      </w:r>
      <w:r>
        <w:rPr>
          <w:rFonts w:ascii="仿宋" w:hAnsi="仿宋" w:eastAsia="仿宋" w:cs="仿宋"/>
          <w:color w:val="auto"/>
          <w:sz w:val="28"/>
          <w:szCs w:val="28"/>
        </w:rPr>
        <w:t>.</w:t>
      </w:r>
      <w:r>
        <w:rPr>
          <w:rFonts w:hint="eastAsia" w:ascii="仿宋" w:hAnsi="仿宋" w:eastAsia="仿宋" w:cs="仿宋"/>
          <w:color w:val="auto"/>
          <w:sz w:val="28"/>
          <w:szCs w:val="28"/>
        </w:rPr>
        <w:t>合作期间，乙方严格履行运营场所内的安全生产管理职责。在运营场所范围内发生的人员伤亡、侵权责任、防火、防盗等安全管理责任，由乙方依法承担责任。</w:t>
      </w:r>
    </w:p>
    <w:p w14:paraId="60EF196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7.乙方应严格遵守国家法律规定，不得引进包含但不限于违法违禁、有严重环境污染、高能耗等不符合南通市崇川区及园区整体规划定位的商业或办公项目。</w:t>
      </w:r>
    </w:p>
    <w:p w14:paraId="4190892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w:t>
      </w:r>
      <w:r>
        <w:rPr>
          <w:rFonts w:ascii="仿宋" w:hAnsi="仿宋" w:eastAsia="仿宋" w:cs="仿宋"/>
          <w:color w:val="auto"/>
          <w:sz w:val="28"/>
          <w:szCs w:val="28"/>
        </w:rPr>
        <w:t>.</w:t>
      </w:r>
      <w:r>
        <w:rPr>
          <w:rFonts w:hint="eastAsia" w:ascii="仿宋" w:hAnsi="仿宋" w:eastAsia="仿宋" w:cs="仿宋"/>
          <w:color w:val="auto"/>
          <w:sz w:val="28"/>
          <w:szCs w:val="28"/>
        </w:rPr>
        <w:t>乙方保证并承诺按照法律规定合法经营，不得采用违反法律规定的方式方法经营，如因乙方违法经营所造成的损失均由其自行承担，且经营中不得损害甲方的声誉，否则甲方有权要求其纠正，并视情节扣除部分或全部履约保证金，若仍不能弥补给甲方造成的损失的，甲方有权要求乙方补足。</w:t>
      </w:r>
    </w:p>
    <w:p w14:paraId="48A10214">
      <w:pPr>
        <w:adjustRightInd w:val="0"/>
        <w:snapToGrid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9.合作期间，乙方应采取一切措施保证完成约定的考核目标（具体</w:t>
      </w:r>
      <w:r>
        <w:rPr>
          <w:rFonts w:hint="eastAsia" w:ascii="仿宋" w:hAnsi="仿宋" w:eastAsia="仿宋" w:cs="仿宋"/>
          <w:color w:val="auto"/>
          <w:sz w:val="28"/>
          <w:szCs w:val="28"/>
          <w:lang w:val="en-US" w:eastAsia="zh-CN"/>
        </w:rPr>
        <w:t>内容</w:t>
      </w:r>
      <w:r>
        <w:rPr>
          <w:rFonts w:hint="eastAsia" w:ascii="仿宋" w:hAnsi="仿宋" w:eastAsia="仿宋" w:cs="仿宋"/>
          <w:color w:val="auto"/>
          <w:sz w:val="28"/>
          <w:szCs w:val="28"/>
        </w:rPr>
        <w:t>见附件三：考核目标）</w:t>
      </w:r>
      <w:r>
        <w:rPr>
          <w:rFonts w:hint="eastAsia" w:ascii="仿宋" w:hAnsi="仿宋" w:eastAsia="仿宋" w:cs="仿宋"/>
          <w:color w:val="auto"/>
          <w:sz w:val="28"/>
          <w:szCs w:val="28"/>
          <w:lang w:eastAsia="zh-CN"/>
        </w:rPr>
        <w:t>。</w:t>
      </w:r>
    </w:p>
    <w:p w14:paraId="60E99B8A">
      <w:pPr>
        <w:pStyle w:val="35"/>
        <w:adjustRightInd w:val="0"/>
        <w:snapToGrid w:val="0"/>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五</w:t>
      </w:r>
      <w:r>
        <w:rPr>
          <w:rFonts w:ascii="仿宋" w:hAnsi="仿宋" w:eastAsia="仿宋" w:cs="仿宋"/>
          <w:b/>
          <w:bCs/>
          <w:color w:val="auto"/>
          <w:sz w:val="28"/>
          <w:szCs w:val="28"/>
        </w:rPr>
        <w:t>、</w:t>
      </w:r>
      <w:r>
        <w:rPr>
          <w:rFonts w:hint="eastAsia" w:ascii="仿宋" w:hAnsi="仿宋" w:eastAsia="仿宋" w:cs="仿宋"/>
          <w:b/>
          <w:bCs/>
          <w:color w:val="auto"/>
          <w:sz w:val="28"/>
          <w:szCs w:val="28"/>
        </w:rPr>
        <w:t>协议终止</w:t>
      </w:r>
    </w:p>
    <w:p w14:paraId="7D00F431">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甲方无正当理由未按时交付运营场所的，除应及时交付外，按修缮培育期结束后首年租金的0.01%/日向乙方支付违约金，经乙方同意迟延交付的除外，违约金最多不超过首年租金的5%,修缮培育期和运营期限顺延。如超6个月甲方未按时交付运营场所，乙方有权解除协议，并有权要求甲方承担乙方的损失。</w:t>
      </w:r>
    </w:p>
    <w:p w14:paraId="28A4EDB2">
      <w:pPr>
        <w:adjustRightInd w:val="0"/>
        <w:snapToGrid w:val="0"/>
        <w:spacing w:line="360" w:lineRule="auto"/>
        <w:ind w:firstLine="560" w:firstLineChars="200"/>
        <w:rPr>
          <w:rStyle w:val="23"/>
          <w:color w:val="auto"/>
        </w:rPr>
      </w:pPr>
      <w:r>
        <w:rPr>
          <w:rFonts w:ascii="仿宋" w:hAnsi="仿宋" w:eastAsia="仿宋" w:cs="仿宋"/>
          <w:color w:val="auto"/>
          <w:sz w:val="28"/>
          <w:szCs w:val="28"/>
        </w:rPr>
        <w:t>2.</w:t>
      </w:r>
      <w:r>
        <w:rPr>
          <w:rFonts w:hint="eastAsia" w:ascii="仿宋" w:hAnsi="仿宋" w:eastAsia="仿宋" w:cs="仿宋"/>
          <w:color w:val="auto"/>
          <w:sz w:val="28"/>
          <w:szCs w:val="28"/>
        </w:rPr>
        <w:t>乙方无正当理由逾期支付租金，按应付而未付金额的0.1%/日向甲方支付违约金，经甲方同意迟延交付的除外。逾期超过</w:t>
      </w:r>
      <w:r>
        <w:rPr>
          <w:rFonts w:ascii="仿宋" w:hAnsi="仿宋" w:eastAsia="仿宋" w:cs="仿宋"/>
          <w:color w:val="auto"/>
          <w:sz w:val="28"/>
          <w:szCs w:val="28"/>
        </w:rPr>
        <w:t>6</w:t>
      </w:r>
      <w:r>
        <w:rPr>
          <w:rFonts w:hint="eastAsia" w:ascii="仿宋" w:hAnsi="仿宋" w:eastAsia="仿宋" w:cs="仿宋"/>
          <w:color w:val="auto"/>
          <w:sz w:val="28"/>
          <w:szCs w:val="28"/>
        </w:rPr>
        <w:t>个月的，甲方有权解除协议并收回运营场所；甲方因乙方违约未能交付租金</w:t>
      </w:r>
      <w:r>
        <w:rPr>
          <w:rFonts w:ascii="仿宋" w:hAnsi="仿宋" w:eastAsia="仿宋" w:cs="仿宋"/>
          <w:color w:val="auto"/>
          <w:sz w:val="28"/>
          <w:szCs w:val="28"/>
        </w:rPr>
        <w:t>6</w:t>
      </w:r>
      <w:r>
        <w:rPr>
          <w:rFonts w:hint="eastAsia" w:ascii="仿宋" w:hAnsi="仿宋" w:eastAsia="仿宋" w:cs="仿宋"/>
          <w:color w:val="auto"/>
          <w:sz w:val="28"/>
          <w:szCs w:val="28"/>
        </w:rPr>
        <w:t>个月被解除协议并收回运营场所而乙方拒绝交回运营场所的，按照约定租金1.5倍支付占用费，直至交还日止。</w:t>
      </w:r>
    </w:p>
    <w:p w14:paraId="5A3F7CBC">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因甲方所提供运营场所存在运营场所产权、使用权纠纷，并导致乙方不能正常使用达30日以上的，乙方有权解除协议，要求甲方返还已支付但尚未使用期间的租金（不计息）的款项、赔偿其遭受的实际损失。</w:t>
      </w:r>
    </w:p>
    <w:p w14:paraId="50A1258B">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如因运营场所涉及的土地性质和用途无法满足乙方用途或乙方因土地性质和用途受到行政机关处罚导致协议无法履行的以及因政府对该区域产业规划与甲、乙方约定的该产业园业态方向不一致，导致项目无法继续运营，乙方有权解除协议，并要求赔偿损失。</w:t>
      </w:r>
    </w:p>
    <w:p w14:paraId="512A18E4">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如在合作期间，因甲方单方原因提前收回运营场所的，甲方应按实际使用时间收取租金，退回乙方已支付但尚未使用期间的租金（不计息），并视装修改造投入、征用拆迁补偿金额给予乙方投入及经营损失补偿。</w:t>
      </w:r>
    </w:p>
    <w:p w14:paraId="5709C309">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乙方因征用、拆迁等情形产生的其他补偿、赔偿事宜及待遇根据法律、法规和政府规定处理和享有，其中：项目载体的土地及房屋资产的赔偿归甲方所有；项目改造、装修、运营赔偿及经营损失归乙方所有。对于出现拆迁、征收等情况时，甲方（包括产权人）均应将赔偿款项及时支付给乙方。</w:t>
      </w:r>
    </w:p>
    <w:p w14:paraId="2C8C12CD">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w:t>
      </w:r>
      <w:r>
        <w:rPr>
          <w:rFonts w:ascii="仿宋" w:hAnsi="仿宋" w:eastAsia="仿宋" w:cs="仿宋"/>
          <w:b/>
          <w:bCs/>
          <w:color w:val="auto"/>
          <w:sz w:val="28"/>
          <w:szCs w:val="28"/>
        </w:rPr>
        <w:t>、</w:t>
      </w:r>
      <w:r>
        <w:rPr>
          <w:rFonts w:hint="eastAsia" w:ascii="仿宋" w:hAnsi="仿宋" w:eastAsia="仿宋" w:cs="仿宋"/>
          <w:b/>
          <w:bCs/>
          <w:color w:val="auto"/>
          <w:sz w:val="28"/>
          <w:szCs w:val="28"/>
        </w:rPr>
        <w:t>续租及期满财产处置</w:t>
      </w:r>
    </w:p>
    <w:p w14:paraId="14BA16D8">
      <w:pPr>
        <w:adjustRightInd w:val="0"/>
        <w:snapToGrid w:val="0"/>
        <w:spacing w:line="36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合作期限届满，则本协议即行终止。如果乙方有意续租的， 应当在合作期限届满之前提前6个月以书面通知形式告知甲方其续租意向，乙方在同等条件下有优先续租权。如果甲方不再出租，也应当在合作期限届满之前提前 6 个月以书面通知形式告知乙方。</w:t>
      </w:r>
    </w:p>
    <w:p w14:paraId="420B242D">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2.合作期结束后或提前解除后，甲方给予乙方 1 个月的免费宽限期，供乙方搬迁撤离，乙方将运营场所按实际使用后的状况连同不可移动的装修无偿交还甲方。如甲方无合理事由而逾期/拒绝接收该房屋的，在其未接收时间段内，乙方不承担租金。</w:t>
      </w:r>
    </w:p>
    <w:p w14:paraId="4077A5AB">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七</w:t>
      </w:r>
      <w:r>
        <w:rPr>
          <w:rFonts w:ascii="仿宋" w:hAnsi="仿宋" w:eastAsia="仿宋" w:cs="仿宋"/>
          <w:b/>
          <w:bCs/>
          <w:color w:val="auto"/>
          <w:sz w:val="28"/>
          <w:szCs w:val="28"/>
        </w:rPr>
        <w:t>、</w:t>
      </w:r>
      <w:r>
        <w:rPr>
          <w:rFonts w:hint="eastAsia" w:ascii="仿宋" w:hAnsi="仿宋" w:eastAsia="仿宋" w:cs="仿宋"/>
          <w:b/>
          <w:bCs/>
          <w:color w:val="auto"/>
          <w:sz w:val="28"/>
          <w:szCs w:val="28"/>
        </w:rPr>
        <w:t>违约责任</w:t>
      </w:r>
    </w:p>
    <w:p w14:paraId="5C62B59A">
      <w:pPr>
        <w:tabs>
          <w:tab w:val="left" w:pos="0"/>
        </w:tabs>
        <w:spacing w:line="4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w:t>
      </w:r>
      <w:r>
        <w:rPr>
          <w:rFonts w:hint="eastAsia" w:ascii="仿宋" w:hAnsi="仿宋" w:eastAsia="仿宋" w:cs="仿宋"/>
          <w:color w:val="auto"/>
          <w:sz w:val="28"/>
          <w:szCs w:val="28"/>
        </w:rPr>
        <w:t>项目修缮培育期内为项目投资打造期，如投资打造期内乙方对于项目的改造投资不满1000万元（项目改造投资范围包括产业园基础管网、道路、消防、结构、绿化景观、房屋加固、房屋外立面、防水、公共部分装修、标识标牌、公共装置及智能化等工程改造装修投入），根据实际投资强度（以双方共同认可的第三方单位审计为准），甲方有权要求乙方将改造投资补足至1000万元并严格执行考核目标约定。乙方拒绝补足差额的，甲方有权解除协议，并要求乙方承担相应违约责任并支付违约金，同时足额支付本运营年度租金。违约金为修缮培育期后首年总租金的20%。如因乙方违约造成的协议终止或解除，除按照该条约定支付违约金、租金外，其缴纳的履约保证金不予退还。</w:t>
      </w:r>
    </w:p>
    <w:p w14:paraId="74DEF05F">
      <w:pPr>
        <w:adjustRightInd w:val="0"/>
        <w:snapToGrid w:val="0"/>
        <w:spacing w:line="360" w:lineRule="auto"/>
        <w:ind w:firstLine="560" w:firstLineChars="200"/>
        <w:rPr>
          <w:rFonts w:ascii="仿宋" w:hAnsi="仿宋" w:eastAsia="仿宋" w:cs="仿宋"/>
          <w:color w:val="auto"/>
          <w:sz w:val="28"/>
          <w:szCs w:val="28"/>
        </w:rPr>
      </w:pPr>
    </w:p>
    <w:p w14:paraId="3BCC3213">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有下列情况之一的，守约方有权终止、解除协议，并追究违约方责任。守约方解除协议的，有权要求违约方支付违约金，违约金为修缮培育期后首年总租金的20%。如因乙方违约造成的协议终止或解除，除按照该条约定支付违约金外，其缴纳的履约保证金不予退还。</w:t>
      </w:r>
    </w:p>
    <w:p w14:paraId="23A9D6E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甲方有下列情况之一的：</w:t>
      </w:r>
    </w:p>
    <w:p w14:paraId="670A7AAC">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（1）因产证等原因造成项目无法实施停滞连续超过30日/每年或累计超过45日/每年的，或甲方无故阻碍乙方自主招商、运营等经营活动，致使项目运作困难的。</w:t>
      </w:r>
    </w:p>
    <w:p w14:paraId="0C78E09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（2）因项目周边百姓无故阻碍项目建设和运营使项目停滞，甲方拒绝协调的。</w:t>
      </w:r>
    </w:p>
    <w:p w14:paraId="144C8B8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（3）甲方交付的运营</w:t>
      </w:r>
      <w:r>
        <w:rPr>
          <w:rFonts w:hint="eastAsia" w:ascii="仿宋" w:hAnsi="仿宋" w:eastAsia="仿宋" w:cs="仿宋"/>
          <w:color w:val="auto"/>
          <w:sz w:val="28"/>
          <w:szCs w:val="28"/>
          <w:lang w:val="en-US" w:eastAsia="zh-CN"/>
        </w:rPr>
        <w:t>场所</w:t>
      </w:r>
      <w:r>
        <w:rPr>
          <w:rFonts w:hint="eastAsia" w:ascii="仿宋" w:hAnsi="仿宋" w:eastAsia="仿宋" w:cs="仿宋"/>
          <w:color w:val="auto"/>
          <w:sz w:val="28"/>
          <w:szCs w:val="28"/>
        </w:rPr>
        <w:t>存在重大质量缺陷，经乙方书面通知后30日内甲方拒绝协调的。</w:t>
      </w:r>
    </w:p>
    <w:p w14:paraId="3C02717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（4）甲方违反本协议约定的事项，且经乙方书面通知后60日内未能整改完成的。</w:t>
      </w:r>
    </w:p>
    <w:p w14:paraId="57B47633">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乙方有下列情况之一的：</w:t>
      </w:r>
    </w:p>
    <w:p w14:paraId="41276AC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（1）未经甲方书面同意，擅自对运营场所结构进行改造、装修的。</w:t>
      </w:r>
    </w:p>
    <w:p w14:paraId="20373AF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（2）违反法律规定经营的，或未按约定业态招商的且经甲方书面通知后60日内未能整改完成的。</w:t>
      </w:r>
    </w:p>
    <w:p w14:paraId="01DEE3B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（3）投资周期超过约定期限或投资额低于约定金额的。</w:t>
      </w:r>
    </w:p>
    <w:p w14:paraId="0DF4EA9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（4）乙方无正当理由逾期支付租金超过6个月的。</w:t>
      </w:r>
    </w:p>
    <w:p w14:paraId="47CA06A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（5）乙方将该项目整体转包的。</w:t>
      </w:r>
    </w:p>
    <w:p w14:paraId="7CF3D50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（6）乙方违反本协议约定的事项，且经甲方书面通知后60日内未能整改完成的。</w:t>
      </w:r>
    </w:p>
    <w:p w14:paraId="5ED1A05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ascii="仿宋" w:hAnsi="仿宋" w:eastAsia="仿宋" w:cs="仿宋"/>
          <w:color w:val="auto"/>
          <w:sz w:val="28"/>
          <w:szCs w:val="28"/>
        </w:rPr>
        <w:t>.</w:t>
      </w:r>
      <w:r>
        <w:rPr>
          <w:rFonts w:hint="eastAsia" w:ascii="仿宋" w:hAnsi="仿宋" w:eastAsia="仿宋" w:cs="仿宋"/>
          <w:color w:val="auto"/>
          <w:sz w:val="28"/>
          <w:szCs w:val="28"/>
        </w:rPr>
        <w:t>本协议任何一方若有违约行为，均应在收到另一方通知后15日内予以更正，并赔偿对方因此遭受的损失，本协议另有约定的，从其约定。逾期未能更正的，另一方有权按照本协议约定追究对方的违约责任。</w:t>
      </w:r>
    </w:p>
    <w:p w14:paraId="2B02104B">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w:t>
      </w:r>
      <w:r>
        <w:rPr>
          <w:rFonts w:hint="eastAsia" w:ascii="仿宋" w:hAnsi="仿宋" w:eastAsia="仿宋" w:cs="仿宋"/>
          <w:color w:val="auto"/>
          <w:sz w:val="28"/>
          <w:szCs w:val="28"/>
        </w:rPr>
        <w:t>如果一方违约导致另一方有协议解除权，但另一方不行使解除本协议的权利，违约方应承担守约方为纠正该等违约行为而产生的全部费用、赔偿所造成的损失，并承担延迟履行的违约责任。</w:t>
      </w:r>
    </w:p>
    <w:p w14:paraId="0937C512">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八</w:t>
      </w:r>
      <w:r>
        <w:rPr>
          <w:rFonts w:ascii="仿宋" w:hAnsi="仿宋" w:eastAsia="仿宋" w:cs="仿宋"/>
          <w:b/>
          <w:bCs/>
          <w:color w:val="auto"/>
          <w:sz w:val="28"/>
          <w:szCs w:val="28"/>
        </w:rPr>
        <w:t>、</w:t>
      </w:r>
      <w:r>
        <w:rPr>
          <w:rFonts w:hint="eastAsia" w:ascii="仿宋" w:hAnsi="仿宋" w:eastAsia="仿宋" w:cs="仿宋"/>
          <w:b/>
          <w:bCs/>
          <w:color w:val="auto"/>
          <w:sz w:val="28"/>
          <w:szCs w:val="28"/>
        </w:rPr>
        <w:t>争议解决</w:t>
      </w:r>
    </w:p>
    <w:p w14:paraId="3B90036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因履行本协议发生的任何争议，甲、乙双方应友好协商解决；协商无法解决的，则任何一方均有权向运营场所所在地的人民法院提起诉讼。</w:t>
      </w:r>
    </w:p>
    <w:p w14:paraId="1EDE70CA">
      <w:pPr>
        <w:numPr>
          <w:ilvl w:val="255"/>
          <w:numId w:val="0"/>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九</w:t>
      </w:r>
      <w:r>
        <w:rPr>
          <w:rFonts w:ascii="仿宋" w:hAnsi="仿宋" w:eastAsia="仿宋" w:cs="仿宋"/>
          <w:b/>
          <w:bCs/>
          <w:color w:val="auto"/>
          <w:sz w:val="28"/>
          <w:szCs w:val="28"/>
        </w:rPr>
        <w:t>、</w:t>
      </w:r>
      <w:r>
        <w:rPr>
          <w:rFonts w:hint="eastAsia" w:ascii="仿宋" w:hAnsi="仿宋" w:eastAsia="仿宋" w:cs="仿宋"/>
          <w:b/>
          <w:bCs/>
          <w:color w:val="auto"/>
          <w:sz w:val="28"/>
          <w:szCs w:val="28"/>
        </w:rPr>
        <w:t>补充协议</w:t>
      </w:r>
    </w:p>
    <w:p w14:paraId="5699B2F9">
      <w:pPr>
        <w:numPr>
          <w:ilvl w:val="255"/>
          <w:numId w:val="0"/>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本协议未尽事宜，甲、乙双方可根据国家有关法律、法规的规定，共同协商并签订补充协议。补充协议与本协议具有同等法律效力。</w:t>
      </w:r>
    </w:p>
    <w:p w14:paraId="6173E022">
      <w:pPr>
        <w:numPr>
          <w:ilvl w:val="255"/>
          <w:numId w:val="0"/>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十</w:t>
      </w:r>
      <w:r>
        <w:rPr>
          <w:rFonts w:ascii="仿宋" w:hAnsi="仿宋" w:eastAsia="仿宋" w:cs="仿宋"/>
          <w:b/>
          <w:bCs/>
          <w:color w:val="auto"/>
          <w:sz w:val="28"/>
          <w:szCs w:val="28"/>
        </w:rPr>
        <w:t>、</w:t>
      </w:r>
      <w:r>
        <w:rPr>
          <w:rFonts w:hint="eastAsia" w:ascii="仿宋" w:hAnsi="仿宋" w:eastAsia="仿宋" w:cs="仿宋"/>
          <w:b/>
          <w:bCs/>
          <w:color w:val="auto"/>
          <w:sz w:val="28"/>
          <w:szCs w:val="28"/>
        </w:rPr>
        <w:t>附件</w:t>
      </w:r>
    </w:p>
    <w:p w14:paraId="356A64D9">
      <w:pPr>
        <w:numPr>
          <w:ilvl w:val="255"/>
          <w:numId w:val="0"/>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本协议附件均为本协议组成部分，与本协议正文具有同等法律效力。</w:t>
      </w:r>
    </w:p>
    <w:p w14:paraId="4DABB345">
      <w:pPr>
        <w:numPr>
          <w:ilvl w:val="255"/>
          <w:numId w:val="0"/>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十一</w:t>
      </w:r>
      <w:r>
        <w:rPr>
          <w:rFonts w:ascii="仿宋" w:hAnsi="仿宋" w:eastAsia="仿宋" w:cs="仿宋"/>
          <w:b/>
          <w:bCs/>
          <w:color w:val="auto"/>
          <w:sz w:val="28"/>
          <w:szCs w:val="28"/>
        </w:rPr>
        <w:t>、</w:t>
      </w:r>
      <w:r>
        <w:rPr>
          <w:rFonts w:hint="eastAsia" w:ascii="仿宋" w:hAnsi="仿宋" w:eastAsia="仿宋" w:cs="仿宋"/>
          <w:b/>
          <w:bCs/>
          <w:color w:val="auto"/>
          <w:sz w:val="28"/>
          <w:szCs w:val="28"/>
        </w:rPr>
        <w:t>不可抗力</w:t>
      </w:r>
    </w:p>
    <w:p w14:paraId="4F09411F">
      <w:pPr>
        <w:numPr>
          <w:ilvl w:val="255"/>
          <w:numId w:val="0"/>
        </w:numPr>
        <w:adjustRightInd w:val="0"/>
        <w:snapToGrid w:val="0"/>
        <w:spacing w:line="360" w:lineRule="auto"/>
        <w:rPr>
          <w:rFonts w:ascii="仿宋" w:hAnsi="仿宋" w:eastAsia="仿宋" w:cs="仿宋"/>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color w:val="auto"/>
          <w:sz w:val="28"/>
          <w:szCs w:val="28"/>
        </w:rPr>
        <w:t>本协议履行期间，如遇不可抗力事件致使本协议不能或无法继续履行，甲、乙双方互不追究对方责任。不可抗力事件包括但不限于地震、台风、洪水等自然灾害、战争、动乱或骚乱、罢工、示威等以及其它一切非因一方所能控制的突发事件、紧急事件等。任何一方因不可抗力无法履行本协议的，应当立即通知对方，并在不可抗力事件发生之后15日内，将不可抗力事件的具体情况、有效的证明文件通知对方，并详细说明本协议无法全部或部分履行或者需要迟延履行的理由。</w:t>
      </w:r>
    </w:p>
    <w:p w14:paraId="3114210C">
      <w:pPr>
        <w:numPr>
          <w:ilvl w:val="255"/>
          <w:numId w:val="0"/>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十二、协议生效及份数</w:t>
      </w:r>
    </w:p>
    <w:p w14:paraId="6C449A94">
      <w:pPr>
        <w:numPr>
          <w:ilvl w:val="255"/>
          <w:numId w:val="0"/>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本协议自甲、乙双方加盖公司公章后生效。本协议一式陆份，甲、乙双方各执叁份。</w:t>
      </w:r>
    </w:p>
    <w:p w14:paraId="1EEB1C13">
      <w:pPr>
        <w:numPr>
          <w:ilvl w:val="255"/>
          <w:numId w:val="0"/>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十三、备案</w:t>
      </w:r>
    </w:p>
    <w:p w14:paraId="3CA0C591">
      <w:pPr>
        <w:numPr>
          <w:ilvl w:val="255"/>
          <w:numId w:val="0"/>
        </w:numPr>
        <w:adjustRightInd w:val="0"/>
        <w:snapToGrid w:val="0"/>
        <w:spacing w:line="360" w:lineRule="auto"/>
        <w:rPr>
          <w:rFonts w:ascii="仿宋" w:hAnsi="仿宋" w:eastAsia="仿宋" w:cs="仿宋"/>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color w:val="auto"/>
          <w:sz w:val="28"/>
          <w:szCs w:val="28"/>
        </w:rPr>
        <w:t>如果在运营登记备案时，协议登记管理部门要求对本协议的格式和内容作出适当调整方予备案的，各方应积极配合，另行签署政府部门要求的格式协议(基本内容应按照本协议约定确定),以完成运营登记备案手续。但各方特别确认，上述备案协议仅作为办理报备手续之用，各方的权利义务责任均应当以本协议为准。</w:t>
      </w:r>
    </w:p>
    <w:p w14:paraId="7EC81C25">
      <w:pPr>
        <w:adjustRightInd w:val="0"/>
        <w:snapToGrid w:val="0"/>
        <w:spacing w:line="360" w:lineRule="auto"/>
        <w:ind w:firstLine="560" w:firstLineChars="200"/>
        <w:rPr>
          <w:rFonts w:ascii="仿宋" w:hAnsi="仿宋" w:eastAsia="仿宋" w:cs="仿宋"/>
          <w:color w:val="auto"/>
          <w:sz w:val="28"/>
          <w:szCs w:val="28"/>
        </w:rPr>
      </w:pPr>
    </w:p>
    <w:p w14:paraId="5DECBACA">
      <w:pPr>
        <w:rPr>
          <w:rFonts w:ascii="仿宋" w:hAnsi="仿宋" w:eastAsia="仿宋" w:cs="仿宋"/>
          <w:color w:val="auto"/>
          <w:sz w:val="28"/>
          <w:szCs w:val="28"/>
        </w:rPr>
      </w:pPr>
      <w:r>
        <w:rPr>
          <w:rFonts w:hint="eastAsia" w:ascii="仿宋" w:hAnsi="仿宋" w:eastAsia="仿宋" w:cs="仿宋"/>
          <w:color w:val="auto"/>
          <w:sz w:val="28"/>
          <w:szCs w:val="28"/>
        </w:rPr>
        <w:br w:type="page"/>
      </w:r>
    </w:p>
    <w:p w14:paraId="5DC6C141">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附件一：文件清单</w:t>
      </w:r>
    </w:p>
    <w:p w14:paraId="2CF0CDB4">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1.运营场所平面图、区域红线图。</w:t>
      </w:r>
    </w:p>
    <w:p w14:paraId="2D104C3B">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2.运营场所的不动产权证书（土地使用证、房产证），近期不动产登记查询记录。</w:t>
      </w:r>
    </w:p>
    <w:p w14:paraId="6549451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3.资产委托代管协议、授权书。</w:t>
      </w:r>
    </w:p>
    <w:p w14:paraId="46ECF633">
      <w:pPr>
        <w:adjustRightInd w:val="0"/>
        <w:snapToGrid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4.相关会议纪要</w:t>
      </w:r>
      <w:r>
        <w:rPr>
          <w:rFonts w:hint="eastAsia" w:ascii="仿宋" w:hAnsi="仿宋" w:eastAsia="仿宋" w:cs="仿宋"/>
          <w:color w:val="auto"/>
          <w:sz w:val="28"/>
          <w:szCs w:val="28"/>
          <w:lang w:eastAsia="zh-CN"/>
        </w:rPr>
        <w:t>。</w:t>
      </w:r>
    </w:p>
    <w:p w14:paraId="0BADD0C2">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5.甲、乙双方的近期的营业执照、法定代表人身份证复印件。</w:t>
      </w:r>
    </w:p>
    <w:p w14:paraId="65C0AA95">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219C49D5">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1D23CEBE">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512E6436">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4EB3CD6F">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3AC74779">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2DF99A6E">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63C79DD1">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567E9EEA">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7F49C446">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13151EA4">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73BD4CBC">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74374AE9">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61382782">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0BD18F75">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34C05F51">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59A6C2DC">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0207AE66">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003451F9">
      <w:pPr>
        <w:adjustRightInd w:val="0"/>
        <w:snapToGrid w:val="0"/>
        <w:spacing w:line="360" w:lineRule="auto"/>
        <w:ind w:firstLine="560" w:firstLineChars="200"/>
        <w:rPr>
          <w:rFonts w:hint="eastAsia" w:ascii="仿宋" w:hAnsi="仿宋" w:eastAsia="仿宋" w:cs="仿宋"/>
          <w:color w:val="auto"/>
          <w:sz w:val="28"/>
          <w:szCs w:val="28"/>
          <w:lang w:eastAsia="zh-CN"/>
        </w:rPr>
      </w:pPr>
    </w:p>
    <w:p w14:paraId="262E47DE">
      <w:pPr>
        <w:adjustRightInd w:val="0"/>
        <w:snapToGrid w:val="0"/>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附件二：运营场所交付确认书</w:t>
      </w:r>
    </w:p>
    <w:p w14:paraId="4D46FCB2">
      <w:pPr>
        <w:jc w:val="center"/>
        <w:rPr>
          <w:rFonts w:hint="eastAsia" w:ascii="方正小标宋简体" w:hAnsi="方正小标宋简体" w:eastAsia="方正小标宋简体" w:cs="方正小标宋简体"/>
          <w:color w:val="auto"/>
          <w:sz w:val="28"/>
          <w:szCs w:val="28"/>
          <w:lang w:eastAsia="zh-CN"/>
        </w:rPr>
      </w:pPr>
      <w:r>
        <w:rPr>
          <w:rFonts w:hint="eastAsia" w:ascii="方正小标宋简体" w:hAnsi="方正小标宋简体" w:eastAsia="方正小标宋简体" w:cs="方正小标宋简体"/>
          <w:color w:val="auto"/>
          <w:sz w:val="28"/>
          <w:szCs w:val="28"/>
        </w:rPr>
        <w:t>唐闸原大兴面粉厂合作运营项目</w:t>
      </w:r>
      <w:r>
        <w:rPr>
          <w:rFonts w:hint="eastAsia" w:ascii="方正小标宋简体" w:hAnsi="方正小标宋简体" w:eastAsia="方正小标宋简体" w:cs="方正小标宋简体"/>
          <w:color w:val="auto"/>
          <w:sz w:val="28"/>
          <w:szCs w:val="28"/>
          <w:lang w:val="en-US" w:eastAsia="zh-CN"/>
        </w:rPr>
        <w:t xml:space="preserve"> 现场交付清单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1132"/>
        <w:gridCol w:w="1873"/>
        <w:gridCol w:w="1867"/>
        <w:gridCol w:w="1003"/>
      </w:tblGrid>
      <w:tr w14:paraId="0B21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13" w:type="dxa"/>
            <w:vAlign w:val="center"/>
          </w:tcPr>
          <w:p w14:paraId="5C7C85E3">
            <w:pPr>
              <w:jc w:val="center"/>
              <w:rPr>
                <w:rFonts w:hint="eastAsia" w:eastAsia="宋体"/>
                <w:b/>
                <w:bCs/>
                <w:color w:val="auto"/>
                <w:vertAlign w:val="baseline"/>
                <w:lang w:val="en-US" w:eastAsia="zh-CN"/>
              </w:rPr>
            </w:pPr>
            <w:r>
              <w:rPr>
                <w:rFonts w:hint="eastAsia"/>
                <w:b/>
                <w:bCs/>
                <w:color w:val="auto"/>
                <w:vertAlign w:val="baseline"/>
                <w:lang w:val="en-US" w:eastAsia="zh-CN"/>
              </w:rPr>
              <w:t>移交设施</w:t>
            </w:r>
          </w:p>
        </w:tc>
        <w:tc>
          <w:tcPr>
            <w:tcW w:w="1132" w:type="dxa"/>
            <w:vAlign w:val="center"/>
          </w:tcPr>
          <w:p w14:paraId="102A8168">
            <w:pPr>
              <w:jc w:val="center"/>
              <w:rPr>
                <w:rFonts w:hint="eastAsia" w:eastAsia="宋体"/>
                <w:b/>
                <w:bCs/>
                <w:color w:val="auto"/>
                <w:vertAlign w:val="baseline"/>
                <w:lang w:val="en-US" w:eastAsia="zh-CN"/>
              </w:rPr>
            </w:pPr>
            <w:r>
              <w:rPr>
                <w:rFonts w:hint="eastAsia"/>
                <w:b/>
                <w:bCs/>
                <w:color w:val="auto"/>
                <w:vertAlign w:val="baseline"/>
                <w:lang w:val="en-US" w:eastAsia="zh-CN"/>
              </w:rPr>
              <w:t>数量</w:t>
            </w:r>
          </w:p>
        </w:tc>
        <w:tc>
          <w:tcPr>
            <w:tcW w:w="1873" w:type="dxa"/>
            <w:vAlign w:val="center"/>
          </w:tcPr>
          <w:p w14:paraId="78DBBCDB">
            <w:pPr>
              <w:jc w:val="center"/>
              <w:rPr>
                <w:rFonts w:hint="eastAsia" w:eastAsia="宋体"/>
                <w:b/>
                <w:bCs/>
                <w:color w:val="auto"/>
                <w:vertAlign w:val="baseline"/>
                <w:lang w:val="en-US" w:eastAsia="zh-CN"/>
              </w:rPr>
            </w:pPr>
            <w:r>
              <w:rPr>
                <w:rFonts w:hint="eastAsia"/>
                <w:b/>
                <w:bCs/>
                <w:color w:val="auto"/>
                <w:vertAlign w:val="baseline"/>
                <w:lang w:val="en-US" w:eastAsia="zh-CN"/>
              </w:rPr>
              <w:t>验收情况</w:t>
            </w:r>
          </w:p>
        </w:tc>
        <w:tc>
          <w:tcPr>
            <w:tcW w:w="1867" w:type="dxa"/>
            <w:vAlign w:val="center"/>
          </w:tcPr>
          <w:p w14:paraId="727C1DE0">
            <w:pPr>
              <w:jc w:val="center"/>
              <w:rPr>
                <w:rFonts w:hint="eastAsia" w:eastAsia="宋体"/>
                <w:b/>
                <w:bCs/>
                <w:color w:val="auto"/>
                <w:vertAlign w:val="baseline"/>
                <w:lang w:val="en-US" w:eastAsia="zh-CN"/>
              </w:rPr>
            </w:pPr>
            <w:r>
              <w:rPr>
                <w:rFonts w:hint="eastAsia"/>
                <w:b/>
                <w:bCs/>
                <w:color w:val="auto"/>
                <w:vertAlign w:val="baseline"/>
                <w:lang w:val="en-US" w:eastAsia="zh-CN"/>
              </w:rPr>
              <w:t>处理意见</w:t>
            </w:r>
          </w:p>
        </w:tc>
        <w:tc>
          <w:tcPr>
            <w:tcW w:w="1003" w:type="dxa"/>
            <w:vAlign w:val="center"/>
          </w:tcPr>
          <w:p w14:paraId="6DCF151E">
            <w:pPr>
              <w:jc w:val="center"/>
              <w:rPr>
                <w:rFonts w:hint="eastAsia" w:eastAsia="宋体"/>
                <w:b/>
                <w:bCs/>
                <w:color w:val="auto"/>
                <w:vertAlign w:val="baseline"/>
                <w:lang w:val="en-US" w:eastAsia="zh-CN"/>
              </w:rPr>
            </w:pPr>
            <w:r>
              <w:rPr>
                <w:rFonts w:hint="eastAsia"/>
                <w:b/>
                <w:bCs/>
                <w:color w:val="auto"/>
                <w:vertAlign w:val="baseline"/>
                <w:lang w:val="en-US" w:eastAsia="zh-CN"/>
              </w:rPr>
              <w:t>备注</w:t>
            </w:r>
          </w:p>
        </w:tc>
      </w:tr>
      <w:tr w14:paraId="73EF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13" w:type="dxa"/>
          </w:tcPr>
          <w:p w14:paraId="1D38C07F">
            <w:pPr>
              <w:spacing w:line="360" w:lineRule="auto"/>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不动产权证书</w:t>
            </w:r>
          </w:p>
        </w:tc>
        <w:tc>
          <w:tcPr>
            <w:tcW w:w="1132" w:type="dxa"/>
          </w:tcPr>
          <w:p w14:paraId="7B7072B9">
            <w:pPr>
              <w:spacing w:line="360" w:lineRule="auto"/>
              <w:rPr>
                <w:rFonts w:hint="eastAsia" w:eastAsia="宋体"/>
                <w:color w:val="auto"/>
                <w:vertAlign w:val="baseline"/>
                <w:lang w:val="en-US" w:eastAsia="zh-CN"/>
              </w:rPr>
            </w:pPr>
          </w:p>
        </w:tc>
        <w:tc>
          <w:tcPr>
            <w:tcW w:w="1873" w:type="dxa"/>
          </w:tcPr>
          <w:p w14:paraId="641F183D">
            <w:pPr>
              <w:spacing w:line="360" w:lineRule="auto"/>
              <w:rPr>
                <w:color w:val="auto"/>
                <w:vertAlign w:val="baseline"/>
              </w:rPr>
            </w:pPr>
          </w:p>
        </w:tc>
        <w:tc>
          <w:tcPr>
            <w:tcW w:w="1867" w:type="dxa"/>
          </w:tcPr>
          <w:p w14:paraId="6E0CF3F7">
            <w:pPr>
              <w:spacing w:line="360" w:lineRule="auto"/>
              <w:rPr>
                <w:color w:val="auto"/>
                <w:vertAlign w:val="baseline"/>
              </w:rPr>
            </w:pPr>
          </w:p>
        </w:tc>
        <w:tc>
          <w:tcPr>
            <w:tcW w:w="1003" w:type="dxa"/>
          </w:tcPr>
          <w:p w14:paraId="002929C1">
            <w:pPr>
              <w:spacing w:line="360" w:lineRule="auto"/>
              <w:rPr>
                <w:color w:val="auto"/>
                <w:vertAlign w:val="baseline"/>
              </w:rPr>
            </w:pPr>
          </w:p>
        </w:tc>
      </w:tr>
      <w:tr w14:paraId="564A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13" w:type="dxa"/>
            <w:shd w:val="clear" w:color="auto" w:fill="auto"/>
            <w:vAlign w:val="top"/>
          </w:tcPr>
          <w:p w14:paraId="683B8D6E">
            <w:pPr>
              <w:spacing w:line="360" w:lineRule="auto"/>
              <w:jc w:val="center"/>
              <w:rPr>
                <w:rFonts w:hint="eastAsia" w:ascii="仿宋" w:hAnsi="仿宋" w:eastAsia="仿宋" w:cs="仿宋"/>
                <w:color w:val="auto"/>
                <w:kern w:val="2"/>
                <w:sz w:val="21"/>
                <w:szCs w:val="24"/>
                <w:vertAlign w:val="baseline"/>
                <w:lang w:val="en-US" w:eastAsia="zh-CN" w:bidi="ar-SA"/>
              </w:rPr>
            </w:pPr>
            <w:r>
              <w:rPr>
                <w:rFonts w:hint="eastAsia" w:ascii="仿宋" w:hAnsi="仿宋" w:eastAsia="仿宋" w:cs="仿宋"/>
                <w:color w:val="auto"/>
                <w:kern w:val="2"/>
                <w:sz w:val="21"/>
                <w:szCs w:val="24"/>
                <w:vertAlign w:val="baseline"/>
                <w:lang w:val="en-US" w:eastAsia="zh-CN" w:bidi="ar-SA"/>
              </w:rPr>
              <w:t>平面图、区域红线图</w:t>
            </w:r>
          </w:p>
        </w:tc>
        <w:tc>
          <w:tcPr>
            <w:tcW w:w="1132" w:type="dxa"/>
          </w:tcPr>
          <w:p w14:paraId="41DC9A2A">
            <w:pPr>
              <w:spacing w:line="360" w:lineRule="auto"/>
              <w:rPr>
                <w:color w:val="auto"/>
                <w:vertAlign w:val="baseline"/>
              </w:rPr>
            </w:pPr>
          </w:p>
        </w:tc>
        <w:tc>
          <w:tcPr>
            <w:tcW w:w="1873" w:type="dxa"/>
          </w:tcPr>
          <w:p w14:paraId="2B1B64B0">
            <w:pPr>
              <w:spacing w:line="360" w:lineRule="auto"/>
              <w:rPr>
                <w:color w:val="auto"/>
                <w:vertAlign w:val="baseline"/>
              </w:rPr>
            </w:pPr>
          </w:p>
        </w:tc>
        <w:tc>
          <w:tcPr>
            <w:tcW w:w="1867" w:type="dxa"/>
          </w:tcPr>
          <w:p w14:paraId="57FAF754">
            <w:pPr>
              <w:spacing w:line="360" w:lineRule="auto"/>
              <w:rPr>
                <w:color w:val="auto"/>
                <w:vertAlign w:val="baseline"/>
              </w:rPr>
            </w:pPr>
          </w:p>
        </w:tc>
        <w:tc>
          <w:tcPr>
            <w:tcW w:w="1003" w:type="dxa"/>
          </w:tcPr>
          <w:p w14:paraId="538D98D0">
            <w:pPr>
              <w:spacing w:line="360" w:lineRule="auto"/>
              <w:rPr>
                <w:color w:val="auto"/>
                <w:vertAlign w:val="baseline"/>
              </w:rPr>
            </w:pPr>
          </w:p>
        </w:tc>
      </w:tr>
      <w:tr w14:paraId="6E66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13" w:type="dxa"/>
          </w:tcPr>
          <w:p w14:paraId="118B35F0">
            <w:pPr>
              <w:spacing w:line="360" w:lineRule="auto"/>
              <w:jc w:val="center"/>
              <w:rPr>
                <w:rFonts w:hint="eastAsia" w:ascii="仿宋" w:hAnsi="仿宋" w:eastAsia="仿宋" w:cs="仿宋"/>
                <w:color w:val="auto"/>
                <w:vertAlign w:val="baseline"/>
              </w:rPr>
            </w:pPr>
            <w:r>
              <w:rPr>
                <w:rFonts w:hint="eastAsia" w:ascii="仿宋" w:hAnsi="仿宋" w:eastAsia="仿宋" w:cs="仿宋"/>
                <w:color w:val="auto"/>
                <w:vertAlign w:val="baseline"/>
              </w:rPr>
              <w:t>资产委托代管协议、</w:t>
            </w:r>
          </w:p>
          <w:p w14:paraId="3508CB75">
            <w:pPr>
              <w:spacing w:line="360" w:lineRule="auto"/>
              <w:jc w:val="center"/>
              <w:rPr>
                <w:rFonts w:hint="eastAsia" w:ascii="仿宋" w:hAnsi="仿宋" w:eastAsia="仿宋" w:cs="仿宋"/>
                <w:color w:val="auto"/>
                <w:vertAlign w:val="baseline"/>
              </w:rPr>
            </w:pPr>
            <w:r>
              <w:rPr>
                <w:rFonts w:hint="eastAsia" w:ascii="仿宋" w:hAnsi="仿宋" w:eastAsia="仿宋" w:cs="仿宋"/>
                <w:color w:val="auto"/>
                <w:vertAlign w:val="baseline"/>
              </w:rPr>
              <w:t>授权书</w:t>
            </w:r>
          </w:p>
        </w:tc>
        <w:tc>
          <w:tcPr>
            <w:tcW w:w="1132" w:type="dxa"/>
          </w:tcPr>
          <w:p w14:paraId="72F2604C">
            <w:pPr>
              <w:spacing w:line="360" w:lineRule="auto"/>
              <w:rPr>
                <w:color w:val="auto"/>
                <w:vertAlign w:val="baseline"/>
              </w:rPr>
            </w:pPr>
          </w:p>
        </w:tc>
        <w:tc>
          <w:tcPr>
            <w:tcW w:w="1873" w:type="dxa"/>
          </w:tcPr>
          <w:p w14:paraId="4DD5028A">
            <w:pPr>
              <w:spacing w:line="360" w:lineRule="auto"/>
              <w:rPr>
                <w:color w:val="auto"/>
                <w:vertAlign w:val="baseline"/>
              </w:rPr>
            </w:pPr>
          </w:p>
        </w:tc>
        <w:tc>
          <w:tcPr>
            <w:tcW w:w="1867" w:type="dxa"/>
          </w:tcPr>
          <w:p w14:paraId="40D29E58">
            <w:pPr>
              <w:spacing w:line="360" w:lineRule="auto"/>
              <w:rPr>
                <w:color w:val="auto"/>
                <w:vertAlign w:val="baseline"/>
              </w:rPr>
            </w:pPr>
          </w:p>
        </w:tc>
        <w:tc>
          <w:tcPr>
            <w:tcW w:w="1003" w:type="dxa"/>
          </w:tcPr>
          <w:p w14:paraId="7D302F6A">
            <w:pPr>
              <w:spacing w:line="360" w:lineRule="auto"/>
              <w:rPr>
                <w:color w:val="auto"/>
                <w:vertAlign w:val="baseline"/>
              </w:rPr>
            </w:pPr>
          </w:p>
        </w:tc>
      </w:tr>
      <w:tr w14:paraId="1609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513" w:type="dxa"/>
            <w:shd w:val="clear" w:color="auto" w:fill="auto"/>
            <w:vAlign w:val="top"/>
          </w:tcPr>
          <w:p w14:paraId="780C673D">
            <w:pPr>
              <w:spacing w:line="360" w:lineRule="auto"/>
              <w:jc w:val="center"/>
              <w:rPr>
                <w:rFonts w:hint="eastAsia" w:ascii="仿宋" w:hAnsi="仿宋" w:eastAsia="仿宋" w:cs="仿宋"/>
                <w:color w:val="auto"/>
                <w:kern w:val="2"/>
                <w:sz w:val="21"/>
                <w:szCs w:val="24"/>
                <w:vertAlign w:val="baseline"/>
                <w:lang w:val="en-US" w:eastAsia="zh-CN" w:bidi="ar-SA"/>
              </w:rPr>
            </w:pPr>
            <w:r>
              <w:rPr>
                <w:rFonts w:hint="eastAsia" w:ascii="仿宋" w:hAnsi="仿宋" w:eastAsia="仿宋" w:cs="仿宋"/>
                <w:color w:val="auto"/>
                <w:kern w:val="2"/>
                <w:sz w:val="21"/>
                <w:szCs w:val="24"/>
                <w:vertAlign w:val="baseline"/>
                <w:lang w:val="en-US" w:eastAsia="zh-CN" w:bidi="ar-SA"/>
              </w:rPr>
              <w:t>供电、供水资料</w:t>
            </w:r>
          </w:p>
        </w:tc>
        <w:tc>
          <w:tcPr>
            <w:tcW w:w="1132" w:type="dxa"/>
          </w:tcPr>
          <w:p w14:paraId="768E10FD">
            <w:pPr>
              <w:spacing w:line="360" w:lineRule="auto"/>
              <w:rPr>
                <w:color w:val="auto"/>
                <w:vertAlign w:val="baseline"/>
              </w:rPr>
            </w:pPr>
          </w:p>
        </w:tc>
        <w:tc>
          <w:tcPr>
            <w:tcW w:w="1873" w:type="dxa"/>
          </w:tcPr>
          <w:p w14:paraId="49CB62A8">
            <w:pPr>
              <w:spacing w:line="360" w:lineRule="auto"/>
              <w:rPr>
                <w:rFonts w:hint="default" w:eastAsia="宋体"/>
                <w:color w:val="auto"/>
                <w:vertAlign w:val="baseline"/>
                <w:lang w:val="en-US" w:eastAsia="zh-CN"/>
              </w:rPr>
            </w:pPr>
          </w:p>
        </w:tc>
        <w:tc>
          <w:tcPr>
            <w:tcW w:w="1867" w:type="dxa"/>
          </w:tcPr>
          <w:p w14:paraId="6A553FB5">
            <w:pPr>
              <w:spacing w:line="360" w:lineRule="auto"/>
              <w:rPr>
                <w:color w:val="auto"/>
                <w:vertAlign w:val="baseline"/>
              </w:rPr>
            </w:pPr>
          </w:p>
        </w:tc>
        <w:tc>
          <w:tcPr>
            <w:tcW w:w="1003" w:type="dxa"/>
          </w:tcPr>
          <w:p w14:paraId="79E9E1DA">
            <w:pPr>
              <w:spacing w:line="360" w:lineRule="auto"/>
              <w:rPr>
                <w:color w:val="auto"/>
                <w:vertAlign w:val="baseline"/>
              </w:rPr>
            </w:pPr>
          </w:p>
        </w:tc>
      </w:tr>
      <w:tr w14:paraId="120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513" w:type="dxa"/>
            <w:shd w:val="clear" w:color="auto" w:fill="auto"/>
            <w:vAlign w:val="top"/>
          </w:tcPr>
          <w:p w14:paraId="068EED5C">
            <w:pPr>
              <w:spacing w:line="360" w:lineRule="auto"/>
              <w:jc w:val="center"/>
              <w:rPr>
                <w:rFonts w:hint="eastAsia" w:ascii="仿宋" w:hAnsi="仿宋" w:eastAsia="仿宋" w:cs="仿宋"/>
                <w:color w:val="auto"/>
                <w:kern w:val="2"/>
                <w:sz w:val="21"/>
                <w:szCs w:val="24"/>
                <w:vertAlign w:val="baseline"/>
                <w:lang w:val="en-US" w:eastAsia="zh-CN" w:bidi="ar-SA"/>
              </w:rPr>
            </w:pPr>
          </w:p>
        </w:tc>
        <w:tc>
          <w:tcPr>
            <w:tcW w:w="1132" w:type="dxa"/>
          </w:tcPr>
          <w:p w14:paraId="7023B428">
            <w:pPr>
              <w:spacing w:line="360" w:lineRule="auto"/>
              <w:rPr>
                <w:color w:val="auto"/>
                <w:vertAlign w:val="baseline"/>
              </w:rPr>
            </w:pPr>
          </w:p>
        </w:tc>
        <w:tc>
          <w:tcPr>
            <w:tcW w:w="1873" w:type="dxa"/>
          </w:tcPr>
          <w:p w14:paraId="598B797D">
            <w:pPr>
              <w:spacing w:line="360" w:lineRule="auto"/>
              <w:rPr>
                <w:rFonts w:hint="default" w:eastAsia="宋体"/>
                <w:color w:val="auto"/>
                <w:vertAlign w:val="baseline"/>
                <w:lang w:val="en-US" w:eastAsia="zh-CN"/>
              </w:rPr>
            </w:pPr>
          </w:p>
        </w:tc>
        <w:tc>
          <w:tcPr>
            <w:tcW w:w="1867" w:type="dxa"/>
          </w:tcPr>
          <w:p w14:paraId="42A369B0">
            <w:pPr>
              <w:spacing w:line="360" w:lineRule="auto"/>
              <w:rPr>
                <w:color w:val="auto"/>
                <w:vertAlign w:val="baseline"/>
              </w:rPr>
            </w:pPr>
          </w:p>
        </w:tc>
        <w:tc>
          <w:tcPr>
            <w:tcW w:w="1003" w:type="dxa"/>
          </w:tcPr>
          <w:p w14:paraId="2C2F1158">
            <w:pPr>
              <w:spacing w:line="360" w:lineRule="auto"/>
              <w:rPr>
                <w:color w:val="auto"/>
                <w:vertAlign w:val="baseline"/>
              </w:rPr>
            </w:pPr>
          </w:p>
        </w:tc>
      </w:tr>
      <w:tr w14:paraId="59FF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513" w:type="dxa"/>
            <w:shd w:val="clear" w:color="auto" w:fill="auto"/>
            <w:vAlign w:val="top"/>
          </w:tcPr>
          <w:p w14:paraId="0FA357F7">
            <w:pPr>
              <w:spacing w:line="360" w:lineRule="auto"/>
              <w:jc w:val="center"/>
              <w:rPr>
                <w:rFonts w:hint="eastAsia" w:ascii="仿宋" w:hAnsi="仿宋" w:eastAsia="仿宋" w:cs="仿宋"/>
                <w:color w:val="auto"/>
                <w:kern w:val="2"/>
                <w:sz w:val="21"/>
                <w:szCs w:val="24"/>
                <w:vertAlign w:val="baseline"/>
                <w:lang w:val="en-US" w:eastAsia="zh-CN" w:bidi="ar-SA"/>
              </w:rPr>
            </w:pPr>
          </w:p>
        </w:tc>
        <w:tc>
          <w:tcPr>
            <w:tcW w:w="1132" w:type="dxa"/>
          </w:tcPr>
          <w:p w14:paraId="058130E1">
            <w:pPr>
              <w:spacing w:line="360" w:lineRule="auto"/>
              <w:rPr>
                <w:color w:val="auto"/>
                <w:vertAlign w:val="baseline"/>
              </w:rPr>
            </w:pPr>
          </w:p>
        </w:tc>
        <w:tc>
          <w:tcPr>
            <w:tcW w:w="1873" w:type="dxa"/>
          </w:tcPr>
          <w:p w14:paraId="1B054A2E">
            <w:pPr>
              <w:spacing w:line="360" w:lineRule="auto"/>
              <w:rPr>
                <w:rFonts w:hint="default" w:eastAsia="宋体"/>
                <w:color w:val="auto"/>
                <w:vertAlign w:val="baseline"/>
                <w:lang w:val="en-US" w:eastAsia="zh-CN"/>
              </w:rPr>
            </w:pPr>
          </w:p>
        </w:tc>
        <w:tc>
          <w:tcPr>
            <w:tcW w:w="1867" w:type="dxa"/>
          </w:tcPr>
          <w:p w14:paraId="437F1D52">
            <w:pPr>
              <w:spacing w:line="360" w:lineRule="auto"/>
              <w:rPr>
                <w:color w:val="auto"/>
                <w:vertAlign w:val="baseline"/>
              </w:rPr>
            </w:pPr>
          </w:p>
        </w:tc>
        <w:tc>
          <w:tcPr>
            <w:tcW w:w="1003" w:type="dxa"/>
          </w:tcPr>
          <w:p w14:paraId="34D886E3">
            <w:pPr>
              <w:spacing w:line="360" w:lineRule="auto"/>
              <w:rPr>
                <w:color w:val="auto"/>
                <w:vertAlign w:val="baseline"/>
              </w:rPr>
            </w:pPr>
          </w:p>
        </w:tc>
      </w:tr>
    </w:tbl>
    <w:p w14:paraId="29003EA5">
      <w:pPr>
        <w:spacing w:line="360" w:lineRule="auto"/>
        <w:rPr>
          <w:color w:val="auto"/>
        </w:rPr>
      </w:pPr>
    </w:p>
    <w:p w14:paraId="030017DC">
      <w:pPr>
        <w:spacing w:line="360" w:lineRule="auto"/>
        <w:rPr>
          <w:color w:val="auto"/>
        </w:rPr>
      </w:pPr>
    </w:p>
    <w:p w14:paraId="3995D222">
      <w:pPr>
        <w:spacing w:line="360" w:lineRule="auto"/>
        <w:rPr>
          <w:color w:val="auto"/>
        </w:rPr>
      </w:pPr>
    </w:p>
    <w:p w14:paraId="10B4409E">
      <w:pPr>
        <w:spacing w:line="360" w:lineRule="auto"/>
        <w:rPr>
          <w:color w:val="auto"/>
        </w:rPr>
      </w:pPr>
    </w:p>
    <w:p w14:paraId="6F1C0460">
      <w:pPr>
        <w:spacing w:line="360" w:lineRule="auto"/>
        <w:rPr>
          <w:color w:val="auto"/>
        </w:rPr>
      </w:pPr>
    </w:p>
    <w:p w14:paraId="23E524DD">
      <w:pPr>
        <w:spacing w:line="360" w:lineRule="auto"/>
        <w:rPr>
          <w:color w:val="auto"/>
        </w:rPr>
      </w:pPr>
    </w:p>
    <w:p w14:paraId="3B0DC064">
      <w:pPr>
        <w:spacing w:line="360" w:lineRule="auto"/>
        <w:rPr>
          <w:color w:val="auto"/>
        </w:rPr>
      </w:pPr>
    </w:p>
    <w:p w14:paraId="08F0FC42">
      <w:pPr>
        <w:spacing w:line="360" w:lineRule="auto"/>
        <w:rPr>
          <w:color w:val="auto"/>
        </w:rPr>
      </w:pPr>
    </w:p>
    <w:p w14:paraId="5F949F58">
      <w:pPr>
        <w:spacing w:line="360" w:lineRule="auto"/>
        <w:rPr>
          <w:color w:val="auto"/>
        </w:rPr>
      </w:pPr>
    </w:p>
    <w:p w14:paraId="3704ABA8">
      <w:pPr>
        <w:spacing w:line="360" w:lineRule="auto"/>
        <w:rPr>
          <w:color w:val="auto"/>
        </w:rPr>
      </w:pPr>
    </w:p>
    <w:p w14:paraId="3C90F1DC">
      <w:pPr>
        <w:spacing w:line="360" w:lineRule="auto"/>
        <w:rPr>
          <w:color w:val="auto"/>
        </w:rPr>
      </w:pPr>
    </w:p>
    <w:p w14:paraId="07DF0A91">
      <w:pPr>
        <w:spacing w:line="360" w:lineRule="auto"/>
        <w:rPr>
          <w:color w:val="auto"/>
        </w:rPr>
      </w:pPr>
    </w:p>
    <w:p w14:paraId="3E2BF30C">
      <w:pPr>
        <w:spacing w:line="360" w:lineRule="auto"/>
        <w:rPr>
          <w:color w:val="auto"/>
        </w:rPr>
      </w:pPr>
    </w:p>
    <w:p w14:paraId="2188E301">
      <w:pPr>
        <w:spacing w:line="360" w:lineRule="auto"/>
        <w:rPr>
          <w:color w:val="auto"/>
        </w:rPr>
      </w:pPr>
    </w:p>
    <w:p w14:paraId="1E159D44">
      <w:pPr>
        <w:spacing w:line="360" w:lineRule="auto"/>
        <w:rPr>
          <w:color w:val="auto"/>
        </w:rPr>
      </w:pPr>
    </w:p>
    <w:p w14:paraId="6082D555">
      <w:pPr>
        <w:spacing w:line="360" w:lineRule="auto"/>
        <w:rPr>
          <w:color w:val="auto"/>
        </w:rPr>
      </w:pPr>
    </w:p>
    <w:p w14:paraId="0AD5955E">
      <w:pPr>
        <w:spacing w:line="360" w:lineRule="auto"/>
        <w:rPr>
          <w:color w:val="auto"/>
        </w:rPr>
      </w:pPr>
    </w:p>
    <w:p w14:paraId="3D76013F">
      <w:pPr>
        <w:spacing w:line="360" w:lineRule="auto"/>
        <w:rPr>
          <w:color w:val="auto"/>
        </w:rPr>
      </w:pPr>
    </w:p>
    <w:p w14:paraId="5E5621F5">
      <w:pPr>
        <w:spacing w:line="360" w:lineRule="auto"/>
        <w:rPr>
          <w:color w:val="auto"/>
        </w:rPr>
      </w:pPr>
    </w:p>
    <w:p w14:paraId="1D781DE9">
      <w:pPr>
        <w:adjustRightInd w:val="0"/>
        <w:snapToGrid w:val="0"/>
        <w:spacing w:line="360" w:lineRule="auto"/>
        <w:rPr>
          <w:rFonts w:ascii="仿宋" w:hAnsi="仿宋" w:eastAsia="仿宋" w:cs="仿宋"/>
          <w:b/>
          <w:bCs/>
          <w:color w:val="auto"/>
          <w:sz w:val="28"/>
          <w:szCs w:val="28"/>
        </w:rPr>
      </w:pPr>
      <w:r>
        <w:rPr>
          <w:rFonts w:hint="eastAsia" w:ascii="仿宋" w:hAnsi="仿宋" w:eastAsia="仿宋" w:cs="仿宋"/>
          <w:b/>
          <w:bCs/>
          <w:color w:val="auto"/>
          <w:sz w:val="28"/>
          <w:szCs w:val="28"/>
        </w:rPr>
        <w:t>附件三：</w:t>
      </w:r>
    </w:p>
    <w:p w14:paraId="05E2EE87">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唐闸原大兴面粉厂合作运营项目</w:t>
      </w:r>
    </w:p>
    <w:p w14:paraId="72339E0B">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投资进度考核计划表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1688"/>
        <w:gridCol w:w="2947"/>
      </w:tblGrid>
      <w:tr w14:paraId="1EF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45" w:type="dxa"/>
            <w:vAlign w:val="center"/>
          </w:tcPr>
          <w:p w14:paraId="27805EA9">
            <w:pPr>
              <w:jc w:val="center"/>
              <w:rPr>
                <w:rFonts w:ascii="黑体" w:hAnsi="黑体" w:eastAsia="黑体" w:cs="黑体"/>
                <w:color w:val="auto"/>
                <w:sz w:val="24"/>
                <w:szCs w:val="32"/>
              </w:rPr>
            </w:pPr>
            <w:r>
              <w:rPr>
                <w:rFonts w:hint="eastAsia" w:ascii="黑体" w:hAnsi="黑体" w:eastAsia="黑体" w:cs="黑体"/>
                <w:color w:val="auto"/>
                <w:sz w:val="24"/>
                <w:szCs w:val="32"/>
              </w:rPr>
              <w:t>投资内容</w:t>
            </w:r>
          </w:p>
        </w:tc>
        <w:tc>
          <w:tcPr>
            <w:tcW w:w="1688" w:type="dxa"/>
            <w:vAlign w:val="center"/>
          </w:tcPr>
          <w:p w14:paraId="6D907D0A">
            <w:pPr>
              <w:jc w:val="center"/>
              <w:rPr>
                <w:rFonts w:ascii="黑体" w:hAnsi="黑体" w:eastAsia="黑体" w:cs="黑体"/>
                <w:color w:val="auto"/>
                <w:sz w:val="24"/>
                <w:szCs w:val="32"/>
              </w:rPr>
            </w:pPr>
            <w:r>
              <w:rPr>
                <w:rFonts w:hint="eastAsia" w:ascii="黑体" w:hAnsi="黑体" w:eastAsia="黑体" w:cs="黑体"/>
                <w:color w:val="auto"/>
                <w:sz w:val="24"/>
                <w:szCs w:val="32"/>
              </w:rPr>
              <w:t>考核年度</w:t>
            </w:r>
          </w:p>
        </w:tc>
        <w:tc>
          <w:tcPr>
            <w:tcW w:w="2947" w:type="dxa"/>
            <w:vAlign w:val="center"/>
          </w:tcPr>
          <w:p w14:paraId="3A52E838">
            <w:pPr>
              <w:jc w:val="center"/>
              <w:rPr>
                <w:rFonts w:ascii="黑体" w:hAnsi="黑体" w:eastAsia="黑体" w:cs="黑体"/>
                <w:color w:val="auto"/>
                <w:sz w:val="24"/>
                <w:szCs w:val="32"/>
              </w:rPr>
            </w:pPr>
            <w:r>
              <w:rPr>
                <w:rFonts w:hint="eastAsia" w:ascii="黑体" w:hAnsi="黑体" w:eastAsia="黑体" w:cs="黑体"/>
                <w:color w:val="auto"/>
                <w:sz w:val="24"/>
                <w:szCs w:val="32"/>
              </w:rPr>
              <w:t>考核投资金额</w:t>
            </w:r>
          </w:p>
          <w:p w14:paraId="6ED2E5D8">
            <w:pPr>
              <w:jc w:val="center"/>
              <w:rPr>
                <w:rFonts w:ascii="黑体" w:hAnsi="黑体" w:eastAsia="黑体" w:cs="黑体"/>
                <w:color w:val="auto"/>
                <w:sz w:val="24"/>
                <w:szCs w:val="32"/>
              </w:rPr>
            </w:pPr>
            <w:r>
              <w:rPr>
                <w:rFonts w:hint="eastAsia" w:ascii="黑体" w:hAnsi="黑体" w:eastAsia="黑体" w:cs="黑体"/>
                <w:color w:val="auto"/>
                <w:sz w:val="24"/>
                <w:szCs w:val="32"/>
              </w:rPr>
              <w:t>（累计/万元）</w:t>
            </w:r>
          </w:p>
        </w:tc>
      </w:tr>
      <w:tr w14:paraId="4DCB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4045" w:type="dxa"/>
            <w:vMerge w:val="restart"/>
            <w:vAlign w:val="center"/>
          </w:tcPr>
          <w:p w14:paraId="0ED626EF">
            <w:pPr>
              <w:rPr>
                <w:rFonts w:ascii="楷体" w:hAnsi="楷体" w:eastAsia="仿宋" w:cs="楷体"/>
                <w:color w:val="auto"/>
                <w:sz w:val="24"/>
                <w:szCs w:val="32"/>
              </w:rPr>
            </w:pPr>
            <w:r>
              <w:rPr>
                <w:rFonts w:hint="eastAsia" w:ascii="楷体" w:hAnsi="楷体" w:eastAsia="楷体" w:cs="楷体"/>
                <w:b/>
                <w:bCs/>
                <w:color w:val="auto"/>
                <w:sz w:val="24"/>
                <w:szCs w:val="32"/>
              </w:rPr>
              <w:t>项目标的内基础管网、道路、消防、结构、绿化景观、房屋加固、房屋外立面、防水、公共部分装修、标识标牌、公共装置及智能化等工程改造。</w:t>
            </w:r>
          </w:p>
        </w:tc>
        <w:tc>
          <w:tcPr>
            <w:tcW w:w="1688" w:type="dxa"/>
            <w:vAlign w:val="center"/>
          </w:tcPr>
          <w:p w14:paraId="1F0B5633">
            <w:pPr>
              <w:jc w:val="center"/>
              <w:rPr>
                <w:rFonts w:ascii="楷体" w:hAnsi="楷体" w:eastAsia="楷体" w:cs="楷体"/>
                <w:color w:val="auto"/>
                <w:sz w:val="24"/>
                <w:szCs w:val="32"/>
              </w:rPr>
            </w:pPr>
            <w:r>
              <w:rPr>
                <w:rFonts w:hint="eastAsia" w:ascii="楷体" w:hAnsi="楷体" w:eastAsia="楷体" w:cs="楷体"/>
                <w:color w:val="auto"/>
                <w:sz w:val="24"/>
                <w:szCs w:val="32"/>
              </w:rPr>
              <w:t>2026</w:t>
            </w:r>
          </w:p>
        </w:tc>
        <w:tc>
          <w:tcPr>
            <w:tcW w:w="2947" w:type="dxa"/>
            <w:vAlign w:val="center"/>
          </w:tcPr>
          <w:p w14:paraId="37CB686A">
            <w:pPr>
              <w:jc w:val="center"/>
              <w:rPr>
                <w:rFonts w:ascii="楷体" w:hAnsi="楷体" w:eastAsia="楷体" w:cs="楷体"/>
                <w:color w:val="auto"/>
                <w:sz w:val="24"/>
                <w:szCs w:val="32"/>
              </w:rPr>
            </w:pPr>
            <w:r>
              <w:rPr>
                <w:rFonts w:hint="eastAsia" w:ascii="楷体" w:hAnsi="楷体" w:eastAsia="楷体" w:cs="楷体"/>
                <w:color w:val="auto"/>
                <w:sz w:val="24"/>
                <w:szCs w:val="32"/>
              </w:rPr>
              <w:t>200</w:t>
            </w:r>
          </w:p>
        </w:tc>
      </w:tr>
      <w:tr w14:paraId="30F9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045" w:type="dxa"/>
            <w:vMerge w:val="continue"/>
            <w:vAlign w:val="center"/>
          </w:tcPr>
          <w:p w14:paraId="5F3BFD1B">
            <w:pPr>
              <w:rPr>
                <w:rFonts w:ascii="楷体" w:hAnsi="楷体" w:eastAsia="楷体" w:cs="楷体"/>
                <w:color w:val="auto"/>
                <w:sz w:val="24"/>
                <w:szCs w:val="32"/>
              </w:rPr>
            </w:pPr>
          </w:p>
        </w:tc>
        <w:tc>
          <w:tcPr>
            <w:tcW w:w="1688" w:type="dxa"/>
            <w:vAlign w:val="center"/>
          </w:tcPr>
          <w:p w14:paraId="050E31B5">
            <w:pPr>
              <w:jc w:val="center"/>
              <w:rPr>
                <w:rFonts w:ascii="楷体" w:hAnsi="楷体" w:eastAsia="楷体" w:cs="楷体"/>
                <w:color w:val="auto"/>
                <w:sz w:val="24"/>
                <w:szCs w:val="32"/>
              </w:rPr>
            </w:pPr>
            <w:r>
              <w:rPr>
                <w:rFonts w:hint="eastAsia" w:ascii="楷体" w:hAnsi="楷体" w:eastAsia="楷体" w:cs="楷体"/>
                <w:color w:val="auto"/>
                <w:sz w:val="24"/>
                <w:szCs w:val="32"/>
              </w:rPr>
              <w:t>2027</w:t>
            </w:r>
          </w:p>
        </w:tc>
        <w:tc>
          <w:tcPr>
            <w:tcW w:w="2947" w:type="dxa"/>
            <w:vAlign w:val="center"/>
          </w:tcPr>
          <w:p w14:paraId="6692BF91">
            <w:pPr>
              <w:jc w:val="center"/>
              <w:rPr>
                <w:rFonts w:ascii="楷体" w:hAnsi="楷体" w:eastAsia="楷体" w:cs="楷体"/>
                <w:color w:val="auto"/>
                <w:sz w:val="24"/>
                <w:szCs w:val="32"/>
              </w:rPr>
            </w:pPr>
            <w:r>
              <w:rPr>
                <w:rFonts w:hint="eastAsia" w:ascii="楷体" w:hAnsi="楷体" w:eastAsia="楷体" w:cs="楷体"/>
                <w:color w:val="auto"/>
                <w:sz w:val="24"/>
                <w:szCs w:val="32"/>
              </w:rPr>
              <w:t>500</w:t>
            </w:r>
          </w:p>
        </w:tc>
      </w:tr>
      <w:tr w14:paraId="34A7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4045" w:type="dxa"/>
            <w:vMerge w:val="continue"/>
            <w:vAlign w:val="center"/>
          </w:tcPr>
          <w:p w14:paraId="16936560">
            <w:pPr>
              <w:rPr>
                <w:rFonts w:ascii="楷体" w:hAnsi="楷体" w:eastAsia="楷体" w:cs="楷体"/>
                <w:color w:val="auto"/>
                <w:sz w:val="24"/>
                <w:szCs w:val="32"/>
              </w:rPr>
            </w:pPr>
          </w:p>
        </w:tc>
        <w:tc>
          <w:tcPr>
            <w:tcW w:w="1688" w:type="dxa"/>
            <w:vAlign w:val="center"/>
          </w:tcPr>
          <w:p w14:paraId="0FC058DB">
            <w:pPr>
              <w:jc w:val="center"/>
              <w:rPr>
                <w:rFonts w:ascii="楷体" w:hAnsi="楷体" w:eastAsia="楷体" w:cs="楷体"/>
                <w:color w:val="auto"/>
                <w:sz w:val="24"/>
                <w:szCs w:val="32"/>
              </w:rPr>
            </w:pPr>
            <w:r>
              <w:rPr>
                <w:rFonts w:hint="eastAsia" w:ascii="楷体" w:hAnsi="楷体" w:eastAsia="楷体" w:cs="楷体"/>
                <w:color w:val="auto"/>
                <w:sz w:val="24"/>
                <w:szCs w:val="32"/>
              </w:rPr>
              <w:t>2028</w:t>
            </w:r>
          </w:p>
        </w:tc>
        <w:tc>
          <w:tcPr>
            <w:tcW w:w="2947" w:type="dxa"/>
            <w:vAlign w:val="center"/>
          </w:tcPr>
          <w:p w14:paraId="17B5CAFB">
            <w:pPr>
              <w:jc w:val="center"/>
              <w:rPr>
                <w:rFonts w:ascii="楷体" w:hAnsi="楷体" w:eastAsia="楷体" w:cs="楷体"/>
                <w:color w:val="auto"/>
                <w:sz w:val="24"/>
                <w:szCs w:val="32"/>
              </w:rPr>
            </w:pPr>
            <w:r>
              <w:rPr>
                <w:rFonts w:hint="eastAsia" w:ascii="楷体" w:hAnsi="楷体" w:eastAsia="楷体" w:cs="楷体"/>
                <w:color w:val="auto"/>
                <w:sz w:val="24"/>
                <w:szCs w:val="32"/>
              </w:rPr>
              <w:t>600</w:t>
            </w:r>
          </w:p>
        </w:tc>
      </w:tr>
      <w:tr w14:paraId="7D55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045" w:type="dxa"/>
            <w:vMerge w:val="continue"/>
            <w:vAlign w:val="center"/>
          </w:tcPr>
          <w:p w14:paraId="39545014">
            <w:pPr>
              <w:rPr>
                <w:rFonts w:ascii="楷体" w:hAnsi="楷体" w:eastAsia="楷体" w:cs="楷体"/>
                <w:color w:val="auto"/>
                <w:sz w:val="24"/>
                <w:szCs w:val="32"/>
              </w:rPr>
            </w:pPr>
          </w:p>
        </w:tc>
        <w:tc>
          <w:tcPr>
            <w:tcW w:w="1688" w:type="dxa"/>
            <w:vAlign w:val="center"/>
          </w:tcPr>
          <w:p w14:paraId="28115C10">
            <w:pPr>
              <w:jc w:val="center"/>
              <w:rPr>
                <w:rFonts w:ascii="楷体" w:hAnsi="楷体" w:eastAsia="楷体" w:cs="楷体"/>
                <w:color w:val="auto"/>
                <w:sz w:val="24"/>
                <w:szCs w:val="32"/>
              </w:rPr>
            </w:pPr>
            <w:r>
              <w:rPr>
                <w:rFonts w:hint="eastAsia" w:ascii="楷体" w:hAnsi="楷体" w:eastAsia="楷体" w:cs="楷体"/>
                <w:color w:val="auto"/>
                <w:sz w:val="24"/>
                <w:szCs w:val="32"/>
              </w:rPr>
              <w:t>2029</w:t>
            </w:r>
          </w:p>
        </w:tc>
        <w:tc>
          <w:tcPr>
            <w:tcW w:w="2947" w:type="dxa"/>
            <w:vAlign w:val="center"/>
          </w:tcPr>
          <w:p w14:paraId="20D15D8A">
            <w:pPr>
              <w:jc w:val="center"/>
              <w:rPr>
                <w:rFonts w:ascii="楷体" w:hAnsi="楷体" w:eastAsia="楷体" w:cs="楷体"/>
                <w:color w:val="auto"/>
                <w:sz w:val="24"/>
                <w:szCs w:val="32"/>
              </w:rPr>
            </w:pPr>
            <w:r>
              <w:rPr>
                <w:rFonts w:hint="eastAsia" w:ascii="楷体" w:hAnsi="楷体" w:eastAsia="楷体" w:cs="楷体"/>
                <w:color w:val="auto"/>
                <w:sz w:val="24"/>
                <w:szCs w:val="32"/>
              </w:rPr>
              <w:t>800</w:t>
            </w:r>
          </w:p>
        </w:tc>
      </w:tr>
      <w:tr w14:paraId="1118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045" w:type="dxa"/>
            <w:vMerge w:val="continue"/>
            <w:vAlign w:val="center"/>
          </w:tcPr>
          <w:p w14:paraId="52B961E1">
            <w:pPr>
              <w:rPr>
                <w:rFonts w:ascii="楷体" w:hAnsi="楷体" w:eastAsia="楷体" w:cs="楷体"/>
                <w:color w:val="auto"/>
                <w:sz w:val="24"/>
                <w:szCs w:val="32"/>
              </w:rPr>
            </w:pPr>
          </w:p>
        </w:tc>
        <w:tc>
          <w:tcPr>
            <w:tcW w:w="1688" w:type="dxa"/>
            <w:vAlign w:val="center"/>
          </w:tcPr>
          <w:p w14:paraId="13174433">
            <w:pPr>
              <w:jc w:val="center"/>
              <w:rPr>
                <w:rFonts w:ascii="楷体" w:hAnsi="楷体" w:eastAsia="楷体" w:cs="楷体"/>
                <w:color w:val="auto"/>
                <w:sz w:val="24"/>
                <w:szCs w:val="32"/>
              </w:rPr>
            </w:pPr>
            <w:r>
              <w:rPr>
                <w:rFonts w:hint="eastAsia" w:ascii="楷体" w:hAnsi="楷体" w:eastAsia="楷体" w:cs="楷体"/>
                <w:color w:val="auto"/>
                <w:sz w:val="24"/>
                <w:szCs w:val="32"/>
              </w:rPr>
              <w:t>2030</w:t>
            </w:r>
          </w:p>
        </w:tc>
        <w:tc>
          <w:tcPr>
            <w:tcW w:w="2947" w:type="dxa"/>
            <w:vAlign w:val="center"/>
          </w:tcPr>
          <w:p w14:paraId="6B5F471E">
            <w:pPr>
              <w:jc w:val="center"/>
              <w:rPr>
                <w:rFonts w:ascii="楷体" w:hAnsi="楷体" w:eastAsia="楷体" w:cs="楷体"/>
                <w:color w:val="auto"/>
                <w:sz w:val="24"/>
                <w:szCs w:val="32"/>
              </w:rPr>
            </w:pPr>
            <w:r>
              <w:rPr>
                <w:rFonts w:hint="eastAsia" w:ascii="楷体" w:hAnsi="楷体" w:eastAsia="楷体" w:cs="楷体"/>
                <w:color w:val="auto"/>
                <w:sz w:val="24"/>
                <w:szCs w:val="32"/>
              </w:rPr>
              <w:t>1000</w:t>
            </w:r>
          </w:p>
        </w:tc>
      </w:tr>
    </w:tbl>
    <w:p w14:paraId="024161B7">
      <w:pPr>
        <w:jc w:val="center"/>
        <w:rPr>
          <w:rFonts w:ascii="方正小标宋简体" w:hAnsi="方正小标宋简体" w:eastAsia="方正小标宋简体" w:cs="方正小标宋简体"/>
          <w:color w:val="auto"/>
          <w:sz w:val="28"/>
          <w:szCs w:val="28"/>
        </w:rPr>
      </w:pPr>
    </w:p>
    <w:p w14:paraId="00BA6A2A">
      <w:pPr>
        <w:jc w:val="center"/>
        <w:rPr>
          <w:rFonts w:ascii="方正小标宋简体" w:hAnsi="方正小标宋简体" w:eastAsia="方正小标宋简体" w:cs="方正小标宋简体"/>
          <w:color w:val="auto"/>
          <w:sz w:val="28"/>
          <w:szCs w:val="28"/>
        </w:rPr>
      </w:pPr>
    </w:p>
    <w:p w14:paraId="75870923">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唐闸原大兴面粉厂合作运营项目</w:t>
      </w:r>
    </w:p>
    <w:p w14:paraId="6301532D">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招商进度考核计划表</w:t>
      </w:r>
    </w:p>
    <w:p w14:paraId="411E6E9E">
      <w:pPr>
        <w:pStyle w:val="19"/>
        <w:rPr>
          <w:color w:val="auto"/>
        </w:rPr>
      </w:pPr>
    </w:p>
    <w:tbl>
      <w:tblPr>
        <w:tblStyle w:val="21"/>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1275"/>
        <w:gridCol w:w="3273"/>
        <w:gridCol w:w="2080"/>
      </w:tblGrid>
      <w:tr w14:paraId="4705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87" w:type="dxa"/>
            <w:vAlign w:val="center"/>
          </w:tcPr>
          <w:p w14:paraId="7FA1F072">
            <w:pPr>
              <w:jc w:val="center"/>
              <w:rPr>
                <w:rFonts w:ascii="黑体" w:hAnsi="黑体" w:eastAsia="黑体" w:cs="黑体"/>
                <w:color w:val="auto"/>
                <w:sz w:val="24"/>
                <w:szCs w:val="32"/>
              </w:rPr>
            </w:pPr>
            <w:r>
              <w:rPr>
                <w:rFonts w:hint="eastAsia" w:ascii="黑体" w:hAnsi="黑体" w:eastAsia="黑体" w:cs="黑体"/>
                <w:color w:val="auto"/>
                <w:sz w:val="24"/>
                <w:szCs w:val="32"/>
              </w:rPr>
              <w:t>招商业态</w:t>
            </w:r>
          </w:p>
        </w:tc>
        <w:tc>
          <w:tcPr>
            <w:tcW w:w="1275" w:type="dxa"/>
            <w:vAlign w:val="center"/>
          </w:tcPr>
          <w:p w14:paraId="1D3E96C0">
            <w:pPr>
              <w:jc w:val="center"/>
              <w:rPr>
                <w:rFonts w:ascii="黑体" w:hAnsi="黑体" w:eastAsia="黑体" w:cs="黑体"/>
                <w:color w:val="auto"/>
                <w:sz w:val="24"/>
                <w:szCs w:val="32"/>
              </w:rPr>
            </w:pPr>
            <w:r>
              <w:rPr>
                <w:rFonts w:hint="eastAsia" w:ascii="黑体" w:hAnsi="黑体" w:eastAsia="黑体" w:cs="黑体"/>
                <w:color w:val="auto"/>
                <w:sz w:val="24"/>
                <w:szCs w:val="32"/>
              </w:rPr>
              <w:t>考核年度</w:t>
            </w:r>
          </w:p>
        </w:tc>
        <w:tc>
          <w:tcPr>
            <w:tcW w:w="3273" w:type="dxa"/>
            <w:vAlign w:val="center"/>
          </w:tcPr>
          <w:p w14:paraId="2A9C9932">
            <w:pPr>
              <w:jc w:val="center"/>
              <w:rPr>
                <w:rFonts w:ascii="黑体" w:hAnsi="黑体" w:eastAsia="黑体" w:cs="黑体"/>
                <w:color w:val="auto"/>
                <w:sz w:val="24"/>
                <w:szCs w:val="32"/>
              </w:rPr>
            </w:pPr>
            <w:r>
              <w:rPr>
                <w:rFonts w:hint="eastAsia" w:ascii="黑体" w:hAnsi="黑体" w:eastAsia="黑体" w:cs="黑体"/>
                <w:color w:val="auto"/>
                <w:sz w:val="24"/>
                <w:szCs w:val="32"/>
              </w:rPr>
              <w:t>考核指标</w:t>
            </w:r>
          </w:p>
        </w:tc>
        <w:tc>
          <w:tcPr>
            <w:tcW w:w="2080" w:type="dxa"/>
            <w:vAlign w:val="center"/>
          </w:tcPr>
          <w:p w14:paraId="0E93F381">
            <w:pPr>
              <w:jc w:val="center"/>
              <w:rPr>
                <w:rFonts w:ascii="黑体" w:hAnsi="黑体" w:eastAsia="黑体" w:cs="黑体"/>
                <w:color w:val="auto"/>
                <w:sz w:val="24"/>
                <w:szCs w:val="32"/>
              </w:rPr>
            </w:pPr>
            <w:r>
              <w:rPr>
                <w:rFonts w:hint="eastAsia" w:ascii="黑体" w:hAnsi="黑体" w:eastAsia="黑体" w:cs="黑体"/>
                <w:color w:val="auto"/>
                <w:sz w:val="24"/>
                <w:szCs w:val="32"/>
              </w:rPr>
              <w:t>备注</w:t>
            </w:r>
          </w:p>
        </w:tc>
      </w:tr>
      <w:tr w14:paraId="5230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187" w:type="dxa"/>
            <w:vMerge w:val="restart"/>
            <w:vAlign w:val="center"/>
          </w:tcPr>
          <w:p w14:paraId="73D100E3">
            <w:pPr>
              <w:rPr>
                <w:rFonts w:ascii="楷体" w:hAnsi="楷体" w:eastAsia="仿宋" w:cs="楷体"/>
                <w:color w:val="auto"/>
                <w:sz w:val="24"/>
                <w:szCs w:val="32"/>
              </w:rPr>
            </w:pPr>
            <w:r>
              <w:rPr>
                <w:rFonts w:hint="eastAsia" w:ascii="楷体" w:hAnsi="楷体" w:eastAsia="楷体" w:cs="楷体"/>
                <w:b/>
                <w:bCs/>
                <w:color w:val="auto"/>
                <w:sz w:val="24"/>
                <w:szCs w:val="32"/>
              </w:rPr>
              <w:t>文化创意、科技、配套商业、办公等产业</w:t>
            </w:r>
          </w:p>
        </w:tc>
        <w:tc>
          <w:tcPr>
            <w:tcW w:w="1275" w:type="dxa"/>
            <w:vAlign w:val="center"/>
          </w:tcPr>
          <w:p w14:paraId="23A7B553">
            <w:pPr>
              <w:jc w:val="center"/>
              <w:rPr>
                <w:rFonts w:ascii="楷体" w:hAnsi="楷体" w:eastAsia="楷体" w:cs="楷体"/>
                <w:color w:val="auto"/>
                <w:sz w:val="24"/>
                <w:szCs w:val="32"/>
              </w:rPr>
            </w:pPr>
            <w:r>
              <w:rPr>
                <w:rFonts w:hint="eastAsia" w:ascii="楷体" w:hAnsi="楷体" w:eastAsia="楷体" w:cs="楷体"/>
                <w:color w:val="auto"/>
                <w:sz w:val="24"/>
                <w:szCs w:val="32"/>
              </w:rPr>
              <w:t>第2年</w:t>
            </w:r>
          </w:p>
        </w:tc>
        <w:tc>
          <w:tcPr>
            <w:tcW w:w="3273" w:type="dxa"/>
            <w:vAlign w:val="center"/>
          </w:tcPr>
          <w:p w14:paraId="66D5E6B7">
            <w:pPr>
              <w:jc w:val="left"/>
              <w:rPr>
                <w:rFonts w:ascii="楷体" w:hAnsi="楷体" w:eastAsia="楷体" w:cs="楷体"/>
                <w:color w:val="auto"/>
                <w:sz w:val="24"/>
                <w:szCs w:val="32"/>
              </w:rPr>
            </w:pPr>
            <w:r>
              <w:rPr>
                <w:rFonts w:hint="eastAsia" w:ascii="楷体" w:hAnsi="楷体" w:eastAsia="楷体" w:cs="楷体"/>
                <w:color w:val="auto"/>
                <w:sz w:val="24"/>
                <w:szCs w:val="32"/>
              </w:rPr>
              <w:t>招商进度要完成全业态不低于35%的入驻</w:t>
            </w:r>
          </w:p>
        </w:tc>
        <w:tc>
          <w:tcPr>
            <w:tcW w:w="2080" w:type="dxa"/>
            <w:vMerge w:val="restart"/>
            <w:vAlign w:val="center"/>
          </w:tcPr>
          <w:p w14:paraId="4EE7B960">
            <w:pPr>
              <w:jc w:val="left"/>
              <w:rPr>
                <w:rFonts w:hint="eastAsia" w:ascii="楷体" w:hAnsi="楷体" w:eastAsia="楷体" w:cs="楷体"/>
                <w:color w:val="auto"/>
                <w:sz w:val="24"/>
                <w:szCs w:val="32"/>
              </w:rPr>
            </w:pPr>
            <w:r>
              <w:rPr>
                <w:rFonts w:hint="eastAsia" w:ascii="楷体" w:hAnsi="楷体" w:eastAsia="楷体" w:cs="楷体"/>
                <w:color w:val="auto"/>
                <w:sz w:val="24"/>
                <w:szCs w:val="32"/>
              </w:rPr>
              <w:t>①时间以合约生效之日起计</w:t>
            </w:r>
          </w:p>
          <w:p w14:paraId="7463CEA2">
            <w:pPr>
              <w:jc w:val="left"/>
              <w:rPr>
                <w:rFonts w:ascii="宋体" w:hAnsi="宋体" w:cs="宋体"/>
                <w:color w:val="auto"/>
                <w:kern w:val="0"/>
                <w:sz w:val="24"/>
                <w:szCs w:val="20"/>
              </w:rPr>
            </w:pPr>
            <w:r>
              <w:rPr>
                <w:rFonts w:hint="eastAsia" w:ascii="楷体" w:hAnsi="楷体" w:eastAsia="楷体" w:cs="楷体"/>
                <w:color w:val="auto"/>
                <w:sz w:val="24"/>
                <w:szCs w:val="32"/>
              </w:rPr>
              <w:t>②统计以入驻商户签订运营或合作合约并开始装修为准</w:t>
            </w:r>
          </w:p>
        </w:tc>
      </w:tr>
      <w:tr w14:paraId="5FB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187" w:type="dxa"/>
            <w:vMerge w:val="continue"/>
            <w:vAlign w:val="center"/>
          </w:tcPr>
          <w:p w14:paraId="57F1D1AC">
            <w:pPr>
              <w:rPr>
                <w:rFonts w:ascii="楷体" w:hAnsi="楷体" w:eastAsia="楷体" w:cs="楷体"/>
                <w:color w:val="auto"/>
                <w:sz w:val="24"/>
                <w:szCs w:val="32"/>
              </w:rPr>
            </w:pPr>
          </w:p>
        </w:tc>
        <w:tc>
          <w:tcPr>
            <w:tcW w:w="1275" w:type="dxa"/>
            <w:vAlign w:val="center"/>
          </w:tcPr>
          <w:p w14:paraId="5BE86EA8">
            <w:pPr>
              <w:jc w:val="center"/>
              <w:rPr>
                <w:rFonts w:ascii="楷体" w:hAnsi="楷体" w:eastAsia="楷体" w:cs="楷体"/>
                <w:color w:val="auto"/>
                <w:sz w:val="24"/>
                <w:szCs w:val="32"/>
              </w:rPr>
            </w:pPr>
            <w:r>
              <w:rPr>
                <w:rFonts w:hint="eastAsia" w:ascii="楷体" w:hAnsi="楷体" w:eastAsia="楷体" w:cs="楷体"/>
                <w:color w:val="auto"/>
                <w:sz w:val="24"/>
                <w:szCs w:val="32"/>
              </w:rPr>
              <w:t>第3年</w:t>
            </w:r>
          </w:p>
        </w:tc>
        <w:tc>
          <w:tcPr>
            <w:tcW w:w="3273" w:type="dxa"/>
            <w:vAlign w:val="center"/>
          </w:tcPr>
          <w:p w14:paraId="7AFB6E9D">
            <w:pPr>
              <w:jc w:val="left"/>
              <w:rPr>
                <w:rFonts w:ascii="楷体" w:hAnsi="楷体" w:eastAsia="楷体" w:cs="楷体"/>
                <w:color w:val="auto"/>
                <w:sz w:val="24"/>
                <w:szCs w:val="32"/>
              </w:rPr>
            </w:pPr>
            <w:r>
              <w:rPr>
                <w:rFonts w:hint="eastAsia" w:ascii="楷体" w:hAnsi="楷体" w:eastAsia="楷体" w:cs="楷体"/>
                <w:color w:val="auto"/>
                <w:sz w:val="24"/>
                <w:szCs w:val="32"/>
              </w:rPr>
              <w:t>招商进度要完成全业态不低于45%的入驻</w:t>
            </w:r>
          </w:p>
        </w:tc>
        <w:tc>
          <w:tcPr>
            <w:tcW w:w="2080" w:type="dxa"/>
            <w:vMerge w:val="continue"/>
            <w:vAlign w:val="center"/>
          </w:tcPr>
          <w:p w14:paraId="1DD939AA">
            <w:pPr>
              <w:jc w:val="center"/>
              <w:rPr>
                <w:rFonts w:ascii="楷体" w:hAnsi="楷体" w:eastAsia="楷体" w:cs="楷体"/>
                <w:color w:val="auto"/>
                <w:sz w:val="24"/>
                <w:szCs w:val="32"/>
              </w:rPr>
            </w:pPr>
          </w:p>
        </w:tc>
      </w:tr>
      <w:tr w14:paraId="0DE7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187" w:type="dxa"/>
            <w:vMerge w:val="continue"/>
            <w:vAlign w:val="center"/>
          </w:tcPr>
          <w:p w14:paraId="51438537">
            <w:pPr>
              <w:rPr>
                <w:rFonts w:ascii="楷体" w:hAnsi="楷体" w:eastAsia="楷体" w:cs="楷体"/>
                <w:color w:val="auto"/>
                <w:sz w:val="24"/>
                <w:szCs w:val="32"/>
              </w:rPr>
            </w:pPr>
          </w:p>
        </w:tc>
        <w:tc>
          <w:tcPr>
            <w:tcW w:w="1275" w:type="dxa"/>
            <w:vAlign w:val="center"/>
          </w:tcPr>
          <w:p w14:paraId="497FA76E">
            <w:pPr>
              <w:jc w:val="center"/>
              <w:rPr>
                <w:rFonts w:ascii="楷体" w:hAnsi="楷体" w:eastAsia="楷体" w:cs="楷体"/>
                <w:color w:val="auto"/>
                <w:sz w:val="24"/>
                <w:szCs w:val="32"/>
              </w:rPr>
            </w:pPr>
            <w:r>
              <w:rPr>
                <w:rFonts w:hint="eastAsia" w:ascii="楷体" w:hAnsi="楷体" w:eastAsia="楷体" w:cs="楷体"/>
                <w:color w:val="auto"/>
                <w:sz w:val="24"/>
                <w:szCs w:val="32"/>
              </w:rPr>
              <w:t>第4年</w:t>
            </w:r>
          </w:p>
        </w:tc>
        <w:tc>
          <w:tcPr>
            <w:tcW w:w="3273" w:type="dxa"/>
            <w:vAlign w:val="center"/>
          </w:tcPr>
          <w:p w14:paraId="0766544C">
            <w:pPr>
              <w:jc w:val="left"/>
              <w:rPr>
                <w:rFonts w:ascii="楷体" w:hAnsi="楷体" w:eastAsia="楷体" w:cs="楷体"/>
                <w:color w:val="auto"/>
                <w:sz w:val="24"/>
                <w:szCs w:val="32"/>
              </w:rPr>
            </w:pPr>
            <w:r>
              <w:rPr>
                <w:rFonts w:hint="eastAsia" w:ascii="楷体" w:hAnsi="楷体" w:eastAsia="楷体" w:cs="楷体"/>
                <w:color w:val="auto"/>
                <w:sz w:val="24"/>
                <w:szCs w:val="32"/>
              </w:rPr>
              <w:t>招商进度要完成全业态不低于60%的入驻</w:t>
            </w:r>
          </w:p>
        </w:tc>
        <w:tc>
          <w:tcPr>
            <w:tcW w:w="2080" w:type="dxa"/>
            <w:vMerge w:val="continue"/>
            <w:vAlign w:val="center"/>
          </w:tcPr>
          <w:p w14:paraId="0C249C05">
            <w:pPr>
              <w:jc w:val="center"/>
              <w:rPr>
                <w:rFonts w:ascii="楷体" w:hAnsi="楷体" w:eastAsia="楷体" w:cs="楷体"/>
                <w:color w:val="auto"/>
                <w:sz w:val="24"/>
                <w:szCs w:val="32"/>
              </w:rPr>
            </w:pPr>
          </w:p>
        </w:tc>
      </w:tr>
      <w:tr w14:paraId="0E9E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187" w:type="dxa"/>
            <w:vMerge w:val="continue"/>
            <w:vAlign w:val="center"/>
          </w:tcPr>
          <w:p w14:paraId="16D92118">
            <w:pPr>
              <w:rPr>
                <w:rFonts w:ascii="楷体" w:hAnsi="楷体" w:eastAsia="楷体" w:cs="楷体"/>
                <w:color w:val="auto"/>
                <w:sz w:val="24"/>
                <w:szCs w:val="32"/>
              </w:rPr>
            </w:pPr>
          </w:p>
        </w:tc>
        <w:tc>
          <w:tcPr>
            <w:tcW w:w="1275" w:type="dxa"/>
            <w:vAlign w:val="center"/>
          </w:tcPr>
          <w:p w14:paraId="5F0FBCD5">
            <w:pPr>
              <w:jc w:val="center"/>
              <w:rPr>
                <w:rFonts w:ascii="楷体" w:hAnsi="楷体" w:eastAsia="楷体" w:cs="楷体"/>
                <w:color w:val="auto"/>
                <w:sz w:val="24"/>
                <w:szCs w:val="32"/>
              </w:rPr>
            </w:pPr>
            <w:r>
              <w:rPr>
                <w:rFonts w:hint="eastAsia" w:ascii="楷体" w:hAnsi="楷体" w:eastAsia="楷体" w:cs="楷体"/>
                <w:color w:val="auto"/>
                <w:sz w:val="24"/>
                <w:szCs w:val="32"/>
              </w:rPr>
              <w:t>第5年</w:t>
            </w:r>
          </w:p>
        </w:tc>
        <w:tc>
          <w:tcPr>
            <w:tcW w:w="3273" w:type="dxa"/>
            <w:vAlign w:val="center"/>
          </w:tcPr>
          <w:p w14:paraId="79BF850F">
            <w:pPr>
              <w:jc w:val="left"/>
              <w:rPr>
                <w:rFonts w:ascii="楷体" w:hAnsi="楷体" w:eastAsia="楷体" w:cs="楷体"/>
                <w:color w:val="auto"/>
                <w:sz w:val="24"/>
                <w:szCs w:val="32"/>
              </w:rPr>
            </w:pPr>
            <w:r>
              <w:rPr>
                <w:rFonts w:hint="eastAsia" w:ascii="楷体" w:hAnsi="楷体" w:eastAsia="楷体" w:cs="楷体"/>
                <w:color w:val="auto"/>
                <w:sz w:val="24"/>
                <w:szCs w:val="32"/>
              </w:rPr>
              <w:t>招商进度要完成全业态不低于75%的入驻</w:t>
            </w:r>
          </w:p>
        </w:tc>
        <w:tc>
          <w:tcPr>
            <w:tcW w:w="2080" w:type="dxa"/>
            <w:vMerge w:val="continue"/>
            <w:vAlign w:val="center"/>
          </w:tcPr>
          <w:p w14:paraId="629CC85F">
            <w:pPr>
              <w:jc w:val="center"/>
              <w:rPr>
                <w:rFonts w:ascii="楷体" w:hAnsi="楷体" w:eastAsia="楷体" w:cs="楷体"/>
                <w:color w:val="auto"/>
                <w:sz w:val="24"/>
                <w:szCs w:val="32"/>
              </w:rPr>
            </w:pPr>
          </w:p>
        </w:tc>
      </w:tr>
    </w:tbl>
    <w:p w14:paraId="4F0AE316">
      <w:pPr>
        <w:pStyle w:val="8"/>
        <w:jc w:val="center"/>
        <w:rPr>
          <w:b/>
          <w:color w:val="auto"/>
          <w:sz w:val="36"/>
          <w:szCs w:val="36"/>
        </w:rPr>
      </w:pPr>
      <w:r>
        <w:rPr>
          <w:rFonts w:ascii="Times New Roman"/>
          <w:b/>
          <w:bCs/>
          <w:color w:val="auto"/>
          <w:w w:val="80"/>
          <w:sz w:val="36"/>
          <w:szCs w:val="36"/>
        </w:rPr>
        <w:br w:type="page"/>
      </w:r>
      <w:r>
        <w:rPr>
          <w:rFonts w:hint="eastAsia" w:ascii="宋体" w:hAnsi="宋体" w:cs="宋体"/>
          <w:b/>
          <w:color w:val="auto"/>
          <w:sz w:val="36"/>
          <w:szCs w:val="36"/>
        </w:rPr>
        <w:t>第六部</w:t>
      </w:r>
      <w:r>
        <w:rPr>
          <w:rFonts w:hint="eastAsia" w:ascii="___WRD_EMBED_SUB_39" w:hAnsi="___WRD_EMBED_SUB_39" w:eastAsia="___WRD_EMBED_SUB_39" w:cs="___WRD_EMBED_SUB_39"/>
          <w:b/>
          <w:color w:val="auto"/>
          <w:sz w:val="36"/>
          <w:szCs w:val="36"/>
        </w:rPr>
        <w:t>分</w:t>
      </w:r>
      <w:r>
        <w:rPr>
          <w:b/>
          <w:color w:val="auto"/>
          <w:sz w:val="36"/>
          <w:szCs w:val="36"/>
        </w:rPr>
        <w:t xml:space="preserve">  质疑提出和</w:t>
      </w:r>
      <w:r>
        <w:rPr>
          <w:rFonts w:hint="eastAsia" w:ascii="宋体" w:hAnsi="宋体" w:cs="宋体"/>
          <w:b/>
          <w:color w:val="auto"/>
          <w:sz w:val="36"/>
          <w:szCs w:val="36"/>
        </w:rPr>
        <w:t>处</w:t>
      </w:r>
      <w:r>
        <w:rPr>
          <w:rFonts w:hint="eastAsia" w:ascii="___WRD_EMBED_SUB_39" w:hAnsi="___WRD_EMBED_SUB_39" w:eastAsia="___WRD_EMBED_SUB_39" w:cs="___WRD_EMBED_SUB_39"/>
          <w:b/>
          <w:color w:val="auto"/>
          <w:sz w:val="36"/>
          <w:szCs w:val="36"/>
        </w:rPr>
        <w:t>理</w:t>
      </w:r>
    </w:p>
    <w:p w14:paraId="196038C3">
      <w:pPr>
        <w:pStyle w:val="9"/>
        <w:snapToGrid w:val="0"/>
        <w:spacing w:line="400" w:lineRule="atLeast"/>
        <w:ind w:left="0" w:firstLine="640" w:firstLineChars="200"/>
        <w:contextualSpacing/>
        <w:rPr>
          <w:rFonts w:ascii="Times New Roman"/>
          <w:color w:val="auto"/>
          <w:sz w:val="32"/>
          <w:szCs w:val="32"/>
        </w:rPr>
      </w:pPr>
    </w:p>
    <w:p w14:paraId="56DCB437">
      <w:pPr>
        <w:snapToGrid w:val="0"/>
        <w:spacing w:after="120" w:line="460" w:lineRule="exact"/>
        <w:ind w:firstLine="482" w:firstLineChars="200"/>
        <w:contextualSpacing/>
        <w:rPr>
          <w:rFonts w:ascii="宋体" w:hAnsi="宋体" w:cs="宋体"/>
          <w:color w:val="auto"/>
          <w:sz w:val="24"/>
        </w:rPr>
      </w:pPr>
      <w:r>
        <w:rPr>
          <w:rFonts w:hint="eastAsia" w:ascii="宋体" w:hAnsi="宋体" w:cs="宋体"/>
          <w:b/>
          <w:bCs/>
          <w:color w:val="auto"/>
          <w:sz w:val="24"/>
          <w:u w:val="thick" w:color="FF0000"/>
        </w:rPr>
        <w:t>质疑函格式参见附件</w:t>
      </w:r>
      <w:r>
        <w:rPr>
          <w:rFonts w:hint="eastAsia" w:ascii="宋体" w:hAnsi="宋体" w:cs="宋体"/>
          <w:b/>
          <w:bCs/>
          <w:color w:val="auto"/>
          <w:sz w:val="24"/>
        </w:rPr>
        <w:t>。</w:t>
      </w:r>
    </w:p>
    <w:p w14:paraId="2BA14D3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一、质疑的提出</w:t>
      </w:r>
    </w:p>
    <w:p w14:paraId="3298442D">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(一)质疑人的身份要求</w:t>
      </w:r>
    </w:p>
    <w:p w14:paraId="70680F9F">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1.提出质疑的投标人应当是参与所质疑项目招标活动的单位。</w:t>
      </w:r>
    </w:p>
    <w:p w14:paraId="45D3B2DB">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2.潜在投标人已依法获取其可质疑的招标文件的，可以对该文件提出质疑。对资格预审文件有异议的，应当在提交资格预审申请文件截止时间2日前提出；对招标文件提出质疑的，应当在投标截止时间10日前提出。</w:t>
      </w:r>
    </w:p>
    <w:p w14:paraId="0C72F959">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(二)质疑提出的格式要求   </w:t>
      </w:r>
    </w:p>
    <w:p w14:paraId="77E18E10">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1.质疑按照我国招标投标法实施条例有关异议的规定提交，质疑实行实名制，不得进行虚假、恶意质疑，未按上述要求提交的质疑函，招标人和招标代理机构有权不予受理。</w:t>
      </w:r>
    </w:p>
    <w:p w14:paraId="62F52E50">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2.质疑函应包括：    </w:t>
      </w:r>
    </w:p>
    <w:p w14:paraId="6E8A1DDC">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（1）质疑投标人的名称、地址、邮编、联系人及联系电话；</w:t>
      </w:r>
    </w:p>
    <w:p w14:paraId="655AB371">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（2）质疑项目的名称、编号；</w:t>
      </w:r>
    </w:p>
    <w:p w14:paraId="6FAD8C0D">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（3）具体、明确的质疑事项和与质疑事项相关的请求；</w:t>
      </w:r>
    </w:p>
    <w:p w14:paraId="673019D2">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（4）事实依据；</w:t>
      </w:r>
    </w:p>
    <w:p w14:paraId="62145FC7">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（5）必要的法律依据；                          </w:t>
      </w:r>
    </w:p>
    <w:p w14:paraId="48C73BF4">
      <w:pPr>
        <w:pStyle w:val="9"/>
        <w:snapToGrid w:val="0"/>
        <w:spacing w:line="460" w:lineRule="exact"/>
        <w:ind w:left="0" w:firstLine="480" w:firstLineChars="200"/>
        <w:contextualSpacing/>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（6）提出质疑的日期</w:t>
      </w:r>
      <w:r>
        <w:rPr>
          <w:rFonts w:hint="eastAsia" w:ascii="宋体" w:hAnsi="宋体" w:eastAsia="宋体" w:cs="宋体"/>
          <w:color w:val="auto"/>
          <w:kern w:val="2"/>
          <w:sz w:val="24"/>
          <w:szCs w:val="24"/>
          <w:lang w:eastAsia="zh-CN"/>
        </w:rPr>
        <w:t>；</w:t>
      </w:r>
    </w:p>
    <w:p w14:paraId="4C3BCB55">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7）质疑函应当署名：质疑人为自然人的，应当由本人签字并附有效身份证明；质疑人为法人或其他组织的，应当由法定代表人（负责人）签字并加盖单位公章，未按要求签字和盖章的为无效质疑，招标人招标代理机构将不予受理。质疑人委托代理质疑的，应当提交授权委托书，并载明委托代理的具体权限和事项。</w:t>
      </w:r>
    </w:p>
    <w:p w14:paraId="3725332D">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3.质疑函需遵循的原则：</w:t>
      </w:r>
    </w:p>
    <w:p w14:paraId="1938BE3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6C26852">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（三）质疑提出的时效要求</w:t>
      </w:r>
    </w:p>
    <w:p w14:paraId="5E137A19">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1.投标人认为招标文件、招标过程和招标结果使自己的权益受到损害的，可以在第六部分第一条第（一）款第2项规定的时间内，以书面形式向采购人、采购代理机构提出质疑。</w:t>
      </w:r>
    </w:p>
    <w:p w14:paraId="622F2DFE">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对招标过程提出质疑的，为各招标程序环节结束之日起2日内；</w:t>
      </w:r>
      <w:r>
        <w:rPr>
          <w:rFonts w:hint="eastAsia" w:ascii="宋体" w:hAnsi="宋体" w:eastAsia="宋体" w:cs="宋体"/>
          <w:b/>
          <w:bCs/>
          <w:color w:val="auto"/>
          <w:kern w:val="2"/>
          <w:sz w:val="24"/>
          <w:szCs w:val="24"/>
        </w:rPr>
        <w:t>其中：对评审过程中涉及到的密封检查、身份核对、澄清等和程序性事项，投标人如有异议的，必须当时提出。否则，均视为投标人无异议。无论是否成交，投标人事后不得再就前述事项提出任何异议或质疑投诉。</w:t>
      </w:r>
    </w:p>
    <w:p w14:paraId="32451D35">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对中标或者成交结果提出质疑的，应当在中标候选人公示期间内提出。</w:t>
      </w:r>
    </w:p>
    <w:p w14:paraId="1E814DCF">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2.投标人应在规定的质疑期一次性提出针对质疑事项的质疑。                         </w:t>
      </w:r>
    </w:p>
    <w:p w14:paraId="1572E47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二、《质疑函》的受理和答复</w:t>
      </w:r>
    </w:p>
    <w:p w14:paraId="4D95A128">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 招标人、招标代理机构收到质疑函后，将对质疑的形式和内容进行审查，如质疑函内容、格式不符合规定，需告知质疑人进行补正。</w:t>
      </w:r>
    </w:p>
    <w:p w14:paraId="40FDF2CF">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 质疑人应当在规定的质疑期限内进行补正并重新提交质疑函，拒不补正或者在规定期限内未重新提交质疑函的，为无效质疑，不予受理。</w:t>
      </w:r>
    </w:p>
    <w:p w14:paraId="1B6AEC74">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3.招标人、招标代理机构答复供应商质疑应当采用书面方式并依法送达，质疑投标人或其委托代理人拒绝签收的视为已经送达。</w:t>
      </w:r>
    </w:p>
    <w:p w14:paraId="51F68B7F">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4.招标人负责投标人质疑答复。招标人委托招标代理机构采购的，招标代理机构在委托授权范围内作出答复。</w:t>
      </w:r>
    </w:p>
    <w:p w14:paraId="7C9672CE">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三、质疑处理</w:t>
      </w:r>
    </w:p>
    <w:p w14:paraId="03FA5380">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1. 质疑成立的处理</w:t>
      </w:r>
    </w:p>
    <w:p w14:paraId="7EC02C2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（1）对于内容、格式符合规定的质疑函，招标人、招标代理机构在收到投标人的书面质疑后七个工作日内作出书面答复，但答复的内容不得涉及商业秘密。                       </w:t>
      </w:r>
    </w:p>
    <w:p w14:paraId="58D7282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（2）对采购文件提出的质疑成立，招标人依法通过澄清或者修改可以继续开展招标活动的，澄清或者修改招标文件后继续开展招标活动；否则应当修改招标文件后重新开展招标活动。</w:t>
      </w:r>
    </w:p>
    <w:p w14:paraId="730E6C1A">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（3）对招标过程、中标或者成交结果提出的质疑成立，合格投标人符合法定数量时，可以从合格的候选人中另行确定中标人的，应当依法由评委会另行确定中标人；否则应当重新开展招标活动。</w:t>
      </w:r>
    </w:p>
    <w:p w14:paraId="0F80CA49">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2.质疑不成立的处理</w:t>
      </w:r>
    </w:p>
    <w:p w14:paraId="1ED5A8F9">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若质疑不成立，或者成立未对中标、成交结果构成影响的，继续开展采购活动。                  </w:t>
      </w:r>
    </w:p>
    <w:p w14:paraId="06822BC4">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3.虚假质疑的处理          </w:t>
      </w:r>
    </w:p>
    <w:p w14:paraId="0B62CE07">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（1）投标人提出书面质疑必须有理、有据，不得恶意质疑或提交虚假质疑。否则，一经查实，招标人有权依据招标的有关规定，报请监管部门对该投标人进行相应的行政处罚。                          </w:t>
      </w:r>
    </w:p>
    <w:p w14:paraId="0337540B">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（2）在江苏省范围内一年累计三次以上质疑，均查无实据的投标人将按失信行为记入该注册投标人诚信档案中。</w:t>
      </w:r>
    </w:p>
    <w:p w14:paraId="145CD9AB">
      <w:pPr>
        <w:pStyle w:val="9"/>
        <w:snapToGrid w:val="0"/>
        <w:spacing w:line="460" w:lineRule="exact"/>
        <w:ind w:left="0" w:firstLine="480" w:firstLineChars="200"/>
        <w:contextualSpacing/>
        <w:rPr>
          <w:rFonts w:ascii="宋体" w:hAnsi="宋体" w:eastAsia="宋体" w:cs="宋体"/>
          <w:color w:val="auto"/>
          <w:kern w:val="2"/>
          <w:sz w:val="24"/>
          <w:szCs w:val="24"/>
        </w:rPr>
      </w:pPr>
      <w:r>
        <w:rPr>
          <w:rFonts w:hint="eastAsia" w:ascii="宋体" w:hAnsi="宋体" w:eastAsia="宋体" w:cs="宋体"/>
          <w:color w:val="auto"/>
          <w:kern w:val="2"/>
          <w:sz w:val="24"/>
          <w:szCs w:val="24"/>
        </w:rPr>
        <w:t>（3）招标人、招标代理机构受理质疑和答复相关咨询，联系电话详见招标公告。</w:t>
      </w:r>
    </w:p>
    <w:p w14:paraId="3315806B">
      <w:pPr>
        <w:snapToGrid w:val="0"/>
        <w:spacing w:line="300" w:lineRule="auto"/>
        <w:contextualSpacing/>
        <w:rPr>
          <w:color w:val="auto"/>
          <w:sz w:val="28"/>
          <w:szCs w:val="28"/>
        </w:rPr>
      </w:pPr>
    </w:p>
    <w:p w14:paraId="628CB772">
      <w:pPr>
        <w:snapToGrid w:val="0"/>
        <w:spacing w:line="500" w:lineRule="exact"/>
        <w:jc w:val="center"/>
        <w:outlineLvl w:val="0"/>
        <w:rPr>
          <w:b/>
          <w:color w:val="auto"/>
          <w:sz w:val="36"/>
          <w:szCs w:val="36"/>
        </w:rPr>
      </w:pPr>
      <w:r>
        <w:rPr>
          <w:b/>
          <w:color w:val="auto"/>
          <w:sz w:val="36"/>
          <w:szCs w:val="36"/>
        </w:rPr>
        <w:br w:type="page"/>
      </w:r>
      <w:r>
        <w:rPr>
          <w:b/>
          <w:color w:val="auto"/>
          <w:sz w:val="36"/>
          <w:szCs w:val="36"/>
        </w:rPr>
        <w:t>第七部分  投标文件组成</w:t>
      </w:r>
    </w:p>
    <w:p w14:paraId="46706074">
      <w:pPr>
        <w:snapToGrid w:val="0"/>
        <w:spacing w:line="500" w:lineRule="exact"/>
        <w:ind w:firstLine="555"/>
        <w:jc w:val="left"/>
        <w:rPr>
          <w:b/>
          <w:color w:val="auto"/>
          <w:sz w:val="24"/>
        </w:rPr>
      </w:pPr>
    </w:p>
    <w:p w14:paraId="0F10F22E">
      <w:pPr>
        <w:snapToGrid w:val="0"/>
        <w:spacing w:line="460" w:lineRule="exact"/>
        <w:ind w:firstLine="482" w:firstLineChars="200"/>
        <w:jc w:val="left"/>
        <w:rPr>
          <w:b/>
          <w:color w:val="auto"/>
          <w:sz w:val="24"/>
        </w:rPr>
      </w:pPr>
      <w:r>
        <w:rPr>
          <w:b/>
          <w:color w:val="auto"/>
          <w:sz w:val="24"/>
        </w:rPr>
        <w:t>投标文件由资格审查文件、商务技术文件、报价文件</w:t>
      </w:r>
      <w:r>
        <w:rPr>
          <w:rFonts w:hint="eastAsia"/>
          <w:b/>
          <w:color w:val="auto"/>
          <w:sz w:val="24"/>
        </w:rPr>
        <w:t>、电子响应文件四</w:t>
      </w:r>
      <w:r>
        <w:rPr>
          <w:b/>
          <w:color w:val="auto"/>
          <w:sz w:val="24"/>
        </w:rPr>
        <w:t>部分组成，相关</w:t>
      </w:r>
      <w:r>
        <w:rPr>
          <w:b/>
          <w:color w:val="auto"/>
          <w:sz w:val="24"/>
          <w:lang w:val="zh-CN"/>
        </w:rPr>
        <w:t>格式参见附件</w:t>
      </w:r>
      <w:r>
        <w:rPr>
          <w:b/>
          <w:color w:val="auto"/>
          <w:sz w:val="24"/>
        </w:rPr>
        <w:t>。</w:t>
      </w:r>
    </w:p>
    <w:p w14:paraId="3B3BA8B1">
      <w:pPr>
        <w:numPr>
          <w:ilvl w:val="0"/>
          <w:numId w:val="4"/>
        </w:numPr>
        <w:snapToGrid w:val="0"/>
        <w:spacing w:line="460" w:lineRule="exact"/>
        <w:ind w:firstLine="482" w:firstLineChars="200"/>
        <w:contextualSpacing/>
        <w:rPr>
          <w:color w:val="auto"/>
          <w:kern w:val="0"/>
          <w:sz w:val="24"/>
          <w:lang w:val="zh-CN"/>
        </w:rPr>
      </w:pPr>
      <w:r>
        <w:rPr>
          <w:b/>
          <w:bCs/>
          <w:color w:val="auto"/>
          <w:kern w:val="0"/>
          <w:sz w:val="24"/>
          <w:lang w:val="zh-CN"/>
        </w:rPr>
        <w:t>资格审查</w:t>
      </w:r>
      <w:r>
        <w:rPr>
          <w:b/>
          <w:bCs/>
          <w:color w:val="auto"/>
          <w:kern w:val="0"/>
          <w:sz w:val="24"/>
        </w:rPr>
        <w:t>文件</w:t>
      </w:r>
      <w:r>
        <w:rPr>
          <w:b/>
          <w:bCs/>
          <w:color w:val="auto"/>
          <w:kern w:val="0"/>
          <w:sz w:val="24"/>
          <w:lang w:val="zh-CN"/>
        </w:rPr>
        <w:t>（不能出现报价、商务技术</w:t>
      </w:r>
      <w:r>
        <w:rPr>
          <w:b/>
          <w:bCs/>
          <w:color w:val="auto"/>
          <w:kern w:val="0"/>
          <w:sz w:val="24"/>
        </w:rPr>
        <w:t>文件</w:t>
      </w:r>
      <w:r>
        <w:rPr>
          <w:b/>
          <w:bCs/>
          <w:color w:val="auto"/>
          <w:kern w:val="0"/>
          <w:sz w:val="24"/>
          <w:lang w:val="zh-CN"/>
        </w:rPr>
        <w:t>）</w:t>
      </w:r>
    </w:p>
    <w:p w14:paraId="760F6897">
      <w:pPr>
        <w:numPr>
          <w:ilvl w:val="0"/>
          <w:numId w:val="5"/>
        </w:numPr>
        <w:snapToGrid w:val="0"/>
        <w:spacing w:line="460" w:lineRule="exact"/>
        <w:ind w:firstLine="480" w:firstLineChars="200"/>
        <w:contextualSpacing/>
        <w:rPr>
          <w:color w:val="auto"/>
          <w:kern w:val="0"/>
          <w:sz w:val="24"/>
          <w:lang w:val="zh-CN"/>
        </w:rPr>
      </w:pPr>
      <w:r>
        <w:rPr>
          <w:color w:val="auto"/>
          <w:kern w:val="0"/>
          <w:sz w:val="24"/>
          <w:lang w:val="zh-CN"/>
        </w:rPr>
        <w:t>投标人声明函原件；</w:t>
      </w:r>
    </w:p>
    <w:p w14:paraId="3617555F">
      <w:pPr>
        <w:numPr>
          <w:ilvl w:val="0"/>
          <w:numId w:val="5"/>
        </w:numPr>
        <w:snapToGrid w:val="0"/>
        <w:spacing w:line="460" w:lineRule="exact"/>
        <w:ind w:firstLine="480" w:firstLineChars="200"/>
        <w:contextualSpacing/>
        <w:rPr>
          <w:color w:val="auto"/>
          <w:kern w:val="0"/>
          <w:sz w:val="24"/>
          <w:lang w:val="zh-CN"/>
        </w:rPr>
      </w:pPr>
      <w:r>
        <w:rPr>
          <w:color w:val="auto"/>
          <w:kern w:val="0"/>
          <w:sz w:val="24"/>
          <w:lang w:val="zh-CN"/>
        </w:rPr>
        <w:t>法定代表人身份证明书；</w:t>
      </w:r>
    </w:p>
    <w:p w14:paraId="41F6AC00">
      <w:pPr>
        <w:numPr>
          <w:ilvl w:val="0"/>
          <w:numId w:val="5"/>
        </w:numPr>
        <w:snapToGrid w:val="0"/>
        <w:spacing w:line="460" w:lineRule="exact"/>
        <w:ind w:firstLine="480" w:firstLineChars="200"/>
        <w:contextualSpacing/>
        <w:rPr>
          <w:color w:val="auto"/>
          <w:kern w:val="0"/>
          <w:sz w:val="24"/>
          <w:lang w:val="zh-CN"/>
        </w:rPr>
      </w:pPr>
      <w:r>
        <w:rPr>
          <w:color w:val="auto"/>
          <w:kern w:val="0"/>
          <w:sz w:val="24"/>
          <w:lang w:val="zh-CN"/>
        </w:rPr>
        <w:t>法定代表人授权委托书原件，投标代表本人身份证复印件；</w:t>
      </w:r>
    </w:p>
    <w:p w14:paraId="29D7ECF7">
      <w:pPr>
        <w:numPr>
          <w:ilvl w:val="0"/>
          <w:numId w:val="5"/>
        </w:numPr>
        <w:snapToGrid w:val="0"/>
        <w:spacing w:line="460" w:lineRule="exact"/>
        <w:ind w:firstLine="480" w:firstLineChars="200"/>
        <w:contextualSpacing/>
        <w:rPr>
          <w:color w:val="auto"/>
          <w:kern w:val="0"/>
          <w:sz w:val="24"/>
          <w:lang w:val="zh-CN"/>
        </w:rPr>
      </w:pPr>
      <w:r>
        <w:rPr>
          <w:rFonts w:hint="eastAsia"/>
          <w:color w:val="auto"/>
          <w:kern w:val="0"/>
          <w:sz w:val="24"/>
          <w:lang w:val="zh-CN"/>
        </w:rPr>
        <w:t>投标人</w:t>
      </w:r>
      <w:r>
        <w:rPr>
          <w:color w:val="auto"/>
          <w:kern w:val="0"/>
          <w:sz w:val="24"/>
          <w:lang w:val="zh-CN"/>
        </w:rPr>
        <w:t>信用承诺书；</w:t>
      </w:r>
    </w:p>
    <w:p w14:paraId="6A757135">
      <w:pPr>
        <w:numPr>
          <w:ilvl w:val="0"/>
          <w:numId w:val="5"/>
        </w:numPr>
        <w:snapToGrid w:val="0"/>
        <w:spacing w:line="460" w:lineRule="exact"/>
        <w:ind w:firstLine="480" w:firstLineChars="200"/>
        <w:contextualSpacing/>
        <w:rPr>
          <w:color w:val="auto"/>
          <w:kern w:val="0"/>
          <w:sz w:val="24"/>
          <w:lang w:val="zh-CN"/>
        </w:rPr>
      </w:pPr>
      <w:r>
        <w:rPr>
          <w:rFonts w:hint="eastAsia"/>
          <w:color w:val="auto"/>
          <w:kern w:val="0"/>
          <w:sz w:val="24"/>
        </w:rPr>
        <w:t>投标人营业执照副本复印件加盖公章；</w:t>
      </w:r>
    </w:p>
    <w:p w14:paraId="27CF3C25">
      <w:pPr>
        <w:numPr>
          <w:ilvl w:val="0"/>
          <w:numId w:val="5"/>
        </w:numPr>
        <w:snapToGrid w:val="0"/>
        <w:spacing w:line="460" w:lineRule="exact"/>
        <w:ind w:firstLine="480" w:firstLineChars="200"/>
        <w:contextualSpacing/>
        <w:rPr>
          <w:color w:val="auto"/>
          <w:kern w:val="0"/>
          <w:sz w:val="24"/>
          <w:lang w:val="zh-CN"/>
        </w:rPr>
      </w:pPr>
      <w:r>
        <w:rPr>
          <w:color w:val="auto"/>
          <w:kern w:val="0"/>
          <w:sz w:val="24"/>
          <w:lang w:val="zh-CN"/>
        </w:rPr>
        <w:t>其</w:t>
      </w:r>
      <w:r>
        <w:rPr>
          <w:rFonts w:hint="eastAsia"/>
          <w:color w:val="auto"/>
          <w:kern w:val="0"/>
          <w:sz w:val="24"/>
          <w:lang w:val="zh-CN"/>
        </w:rPr>
        <w:t>他</w:t>
      </w:r>
      <w:r>
        <w:rPr>
          <w:color w:val="auto"/>
          <w:kern w:val="0"/>
          <w:sz w:val="24"/>
          <w:lang w:val="zh-CN"/>
        </w:rPr>
        <w:t>需要提交的资格审查证明材料。</w:t>
      </w:r>
    </w:p>
    <w:p w14:paraId="1D97270C">
      <w:pPr>
        <w:snapToGrid w:val="0"/>
        <w:spacing w:line="460" w:lineRule="exact"/>
        <w:ind w:firstLine="482" w:firstLineChars="200"/>
        <w:contextualSpacing/>
        <w:rPr>
          <w:b/>
          <w:bCs/>
          <w:color w:val="auto"/>
          <w:kern w:val="0"/>
          <w:sz w:val="24"/>
          <w:lang w:val="zh-CN"/>
        </w:rPr>
      </w:pPr>
      <w:r>
        <w:rPr>
          <w:b/>
          <w:bCs/>
          <w:color w:val="auto"/>
          <w:kern w:val="0"/>
          <w:sz w:val="24"/>
          <w:lang w:val="zh-CN"/>
        </w:rPr>
        <w:t>二、商务技术</w:t>
      </w:r>
      <w:r>
        <w:rPr>
          <w:b/>
          <w:bCs/>
          <w:color w:val="auto"/>
          <w:kern w:val="0"/>
          <w:sz w:val="24"/>
        </w:rPr>
        <w:t>文件</w:t>
      </w:r>
      <w:r>
        <w:rPr>
          <w:b/>
          <w:bCs/>
          <w:color w:val="auto"/>
          <w:kern w:val="0"/>
          <w:sz w:val="24"/>
          <w:lang w:val="zh-CN"/>
        </w:rPr>
        <w:t>（不能出现报价）</w:t>
      </w:r>
    </w:p>
    <w:p w14:paraId="177FCBCB">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投标人情况一览表；</w:t>
      </w:r>
    </w:p>
    <w:p w14:paraId="35ACB327">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商务技术评分标准中须提供的相关得分佐证材料；</w:t>
      </w:r>
    </w:p>
    <w:p w14:paraId="254E5278">
      <w:pPr>
        <w:numPr>
          <w:ilvl w:val="0"/>
          <w:numId w:val="6"/>
        </w:numPr>
        <w:snapToGrid w:val="0"/>
        <w:spacing w:line="460" w:lineRule="exact"/>
        <w:ind w:firstLine="480" w:firstLineChars="200"/>
        <w:contextualSpacing/>
        <w:rPr>
          <w:color w:val="auto"/>
          <w:kern w:val="0"/>
          <w:sz w:val="24"/>
          <w:lang w:val="zh-CN"/>
        </w:rPr>
      </w:pPr>
      <w:r>
        <w:rPr>
          <w:color w:val="auto"/>
          <w:kern w:val="0"/>
          <w:sz w:val="24"/>
          <w:lang w:val="zh-CN"/>
        </w:rPr>
        <w:t>投标人认为需要提交的其他商务技术材料。</w:t>
      </w:r>
    </w:p>
    <w:p w14:paraId="22997755">
      <w:pPr>
        <w:snapToGrid w:val="0"/>
        <w:spacing w:line="460" w:lineRule="exact"/>
        <w:ind w:firstLine="482" w:firstLineChars="200"/>
        <w:contextualSpacing/>
        <w:rPr>
          <w:b/>
          <w:bCs/>
          <w:color w:val="auto"/>
          <w:kern w:val="0"/>
          <w:sz w:val="24"/>
          <w:lang w:val="zh-CN"/>
        </w:rPr>
      </w:pPr>
      <w:r>
        <w:rPr>
          <w:b/>
          <w:bCs/>
          <w:color w:val="auto"/>
          <w:kern w:val="0"/>
          <w:sz w:val="24"/>
          <w:lang w:val="zh-CN"/>
        </w:rPr>
        <w:t>三、</w:t>
      </w:r>
      <w:r>
        <w:rPr>
          <w:b/>
          <w:bCs/>
          <w:color w:val="auto"/>
          <w:kern w:val="0"/>
          <w:sz w:val="24"/>
        </w:rPr>
        <w:t>报价文件</w:t>
      </w:r>
    </w:p>
    <w:p w14:paraId="0F270C34">
      <w:pPr>
        <w:numPr>
          <w:ilvl w:val="0"/>
          <w:numId w:val="7"/>
        </w:numPr>
        <w:snapToGrid w:val="0"/>
        <w:spacing w:line="460" w:lineRule="exact"/>
        <w:ind w:firstLine="480" w:firstLineChars="200"/>
        <w:contextualSpacing/>
        <w:rPr>
          <w:color w:val="auto"/>
          <w:kern w:val="0"/>
          <w:sz w:val="24"/>
          <w:lang w:val="zh-CN"/>
        </w:rPr>
      </w:pPr>
      <w:r>
        <w:rPr>
          <w:color w:val="auto"/>
          <w:kern w:val="0"/>
          <w:sz w:val="24"/>
          <w:lang w:val="zh-CN"/>
        </w:rPr>
        <w:t>开标一览表；</w:t>
      </w:r>
    </w:p>
    <w:p w14:paraId="6E55AB4A">
      <w:pPr>
        <w:snapToGrid w:val="0"/>
        <w:spacing w:line="460" w:lineRule="exact"/>
        <w:ind w:firstLine="482" w:firstLineChars="200"/>
        <w:contextualSpacing/>
        <w:rPr>
          <w:rFonts w:eastAsia="方正黑体_GBK"/>
          <w:color w:val="auto"/>
          <w:kern w:val="0"/>
          <w:sz w:val="32"/>
          <w:szCs w:val="32"/>
          <w:lang w:val="zh-CN"/>
        </w:rPr>
      </w:pPr>
      <w:r>
        <w:rPr>
          <w:b/>
          <w:bCs/>
          <w:color w:val="auto"/>
          <w:kern w:val="0"/>
          <w:sz w:val="24"/>
          <w:lang w:val="zh-CN"/>
        </w:rPr>
        <w:t>四、电子响应文件（U盘）</w:t>
      </w:r>
      <w:r>
        <w:rPr>
          <w:rFonts w:eastAsia="方正黑体_GBK"/>
          <w:color w:val="auto"/>
          <w:kern w:val="0"/>
          <w:sz w:val="32"/>
          <w:szCs w:val="32"/>
          <w:lang w:val="zh-CN"/>
        </w:rPr>
        <w:br w:type="page"/>
      </w:r>
      <w:r>
        <w:rPr>
          <w:rFonts w:eastAsia="方正黑体_GBK"/>
          <w:color w:val="auto"/>
          <w:kern w:val="0"/>
          <w:sz w:val="32"/>
          <w:szCs w:val="32"/>
          <w:lang w:val="zh-CN"/>
        </w:rPr>
        <w:t>附件1</w:t>
      </w:r>
    </w:p>
    <w:p w14:paraId="00870798">
      <w:pPr>
        <w:pStyle w:val="27"/>
        <w:spacing w:line="560" w:lineRule="exact"/>
        <w:jc w:val="center"/>
        <w:rPr>
          <w:b/>
          <w:bCs/>
          <w:color w:val="auto"/>
          <w:sz w:val="32"/>
          <w:szCs w:val="32"/>
        </w:rPr>
      </w:pPr>
      <w:r>
        <w:rPr>
          <w:b/>
          <w:bCs/>
          <w:color w:val="auto"/>
          <w:sz w:val="32"/>
          <w:szCs w:val="32"/>
        </w:rPr>
        <w:t>投标人声明函</w:t>
      </w:r>
    </w:p>
    <w:p w14:paraId="62297DC4">
      <w:pPr>
        <w:spacing w:line="460" w:lineRule="exact"/>
        <w:rPr>
          <w:b/>
          <w:bCs/>
          <w:color w:val="auto"/>
          <w:sz w:val="44"/>
          <w:szCs w:val="44"/>
        </w:rPr>
      </w:pPr>
    </w:p>
    <w:p w14:paraId="630C22CE">
      <w:pPr>
        <w:spacing w:line="520" w:lineRule="exact"/>
        <w:ind w:firstLine="480" w:firstLineChars="200"/>
        <w:rPr>
          <w:b/>
          <w:bCs/>
          <w:color w:val="auto"/>
          <w:sz w:val="24"/>
        </w:rPr>
      </w:pPr>
      <w:r>
        <w:rPr>
          <w:bCs/>
          <w:color w:val="auto"/>
          <w:sz w:val="24"/>
        </w:rPr>
        <w:t>我单位参加</w:t>
      </w:r>
      <w:r>
        <w:rPr>
          <w:bCs/>
          <w:color w:val="auto"/>
          <w:sz w:val="24"/>
          <w:szCs w:val="21"/>
        </w:rPr>
        <w:t>（项目名称）（标段号）投标活动。</w:t>
      </w:r>
      <w:r>
        <w:rPr>
          <w:bCs/>
          <w:color w:val="auto"/>
          <w:sz w:val="24"/>
        </w:rPr>
        <w:t>我单位</w:t>
      </w:r>
      <w:r>
        <w:rPr>
          <w:bCs/>
          <w:color w:val="auto"/>
          <w:sz w:val="24"/>
          <w:szCs w:val="21"/>
        </w:rPr>
        <w:t>声明如下：</w:t>
      </w:r>
    </w:p>
    <w:p w14:paraId="483796FE">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我单位具有独立承担民事责任的能力；</w:t>
      </w:r>
    </w:p>
    <w:p w14:paraId="4A52ED08">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我单位具有良好的商业信誉和健全的财务会计制度；</w:t>
      </w:r>
    </w:p>
    <w:p w14:paraId="4DAFCFE4">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我单位具有履行</w:t>
      </w:r>
      <w:r>
        <w:rPr>
          <w:rFonts w:hint="eastAsia"/>
          <w:color w:val="auto"/>
          <w:kern w:val="0"/>
          <w:sz w:val="24"/>
          <w:lang w:val="zh-CN"/>
        </w:rPr>
        <w:t>协议</w:t>
      </w:r>
      <w:r>
        <w:rPr>
          <w:color w:val="auto"/>
          <w:kern w:val="0"/>
          <w:sz w:val="24"/>
          <w:lang w:val="zh-CN"/>
        </w:rPr>
        <w:t xml:space="preserve">所必需的设备和专业技术能力； </w:t>
      </w:r>
    </w:p>
    <w:p w14:paraId="09497D59">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我单位有依法缴纳税收和社会保障资金的良好记录；</w:t>
      </w:r>
    </w:p>
    <w:p w14:paraId="468B46B6">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我单位参加</w:t>
      </w:r>
      <w:r>
        <w:rPr>
          <w:rFonts w:hint="eastAsia"/>
          <w:color w:val="auto"/>
          <w:kern w:val="0"/>
          <w:sz w:val="24"/>
          <w:lang w:val="zh-CN"/>
        </w:rPr>
        <w:t>招标</w:t>
      </w:r>
      <w:r>
        <w:rPr>
          <w:color w:val="auto"/>
          <w:kern w:val="0"/>
          <w:sz w:val="24"/>
          <w:lang w:val="zh-CN"/>
        </w:rPr>
        <w:t>活动前三年内，在经营活动中没有重大违法记录；在投标截止时间节点，没有被“信用中国”网站（www.creditchina.gov.cn）列入失信被执行人、重大税收违法案件当事人名单、政府采购严重失信行为记录名单；</w:t>
      </w:r>
    </w:p>
    <w:p w14:paraId="1F2C55A2">
      <w:pPr>
        <w:numPr>
          <w:ilvl w:val="0"/>
          <w:numId w:val="8"/>
        </w:numPr>
        <w:snapToGrid w:val="0"/>
        <w:spacing w:line="460" w:lineRule="exact"/>
        <w:ind w:firstLine="480" w:firstLineChars="200"/>
        <w:contextualSpacing/>
        <w:rPr>
          <w:color w:val="auto"/>
          <w:kern w:val="0"/>
          <w:sz w:val="24"/>
          <w:lang w:val="zh-CN"/>
        </w:rPr>
      </w:pPr>
      <w:r>
        <w:rPr>
          <w:color w:val="auto"/>
          <w:kern w:val="0"/>
          <w:sz w:val="24"/>
          <w:lang w:val="zh-CN"/>
        </w:rPr>
        <w:t>我单位满足法律、行政法规</w:t>
      </w:r>
      <w:r>
        <w:rPr>
          <w:rFonts w:hint="eastAsia"/>
          <w:color w:val="auto"/>
          <w:kern w:val="0"/>
          <w:sz w:val="24"/>
          <w:lang w:val="zh-CN"/>
        </w:rPr>
        <w:t>和招标文件</w:t>
      </w:r>
      <w:r>
        <w:rPr>
          <w:color w:val="auto"/>
          <w:kern w:val="0"/>
          <w:sz w:val="24"/>
          <w:lang w:val="zh-CN"/>
        </w:rPr>
        <w:t>规定的其他条件。</w:t>
      </w:r>
    </w:p>
    <w:p w14:paraId="0B607A2B">
      <w:pPr>
        <w:spacing w:line="500" w:lineRule="exact"/>
        <w:ind w:firstLine="482"/>
        <w:rPr>
          <w:color w:val="auto"/>
          <w:sz w:val="24"/>
        </w:rPr>
      </w:pPr>
    </w:p>
    <w:p w14:paraId="36609678">
      <w:pPr>
        <w:spacing w:line="460" w:lineRule="exact"/>
        <w:jc w:val="center"/>
        <w:rPr>
          <w:bCs/>
          <w:color w:val="auto"/>
          <w:sz w:val="24"/>
          <w:szCs w:val="21"/>
        </w:rPr>
      </w:pPr>
      <w:r>
        <w:rPr>
          <w:bCs/>
          <w:color w:val="auto"/>
          <w:sz w:val="24"/>
          <w:szCs w:val="21"/>
        </w:rPr>
        <w:t xml:space="preserve">                                     承诺人名称（盖单位公章）：</w:t>
      </w:r>
    </w:p>
    <w:p w14:paraId="3DA8D5CA">
      <w:pPr>
        <w:spacing w:line="460" w:lineRule="exact"/>
        <w:jc w:val="right"/>
        <w:rPr>
          <w:bCs/>
          <w:color w:val="auto"/>
          <w:sz w:val="24"/>
          <w:szCs w:val="21"/>
        </w:rPr>
      </w:pPr>
    </w:p>
    <w:p w14:paraId="6CE28167">
      <w:pPr>
        <w:spacing w:line="460" w:lineRule="exact"/>
        <w:jc w:val="right"/>
        <w:rPr>
          <w:bCs/>
          <w:color w:val="auto"/>
          <w:sz w:val="24"/>
          <w:szCs w:val="21"/>
        </w:rPr>
      </w:pPr>
      <w:r>
        <w:rPr>
          <w:bCs/>
          <w:color w:val="auto"/>
          <w:sz w:val="24"/>
          <w:szCs w:val="21"/>
        </w:rPr>
        <w:t xml:space="preserve">                              日期：_____年____月____日</w:t>
      </w:r>
    </w:p>
    <w:p w14:paraId="649F2D94">
      <w:pPr>
        <w:rPr>
          <w:color w:val="auto"/>
          <w:szCs w:val="21"/>
        </w:rPr>
      </w:pPr>
      <w:r>
        <w:rPr>
          <w:b/>
          <w:bCs/>
          <w:color w:val="auto"/>
          <w:sz w:val="28"/>
          <w:szCs w:val="28"/>
        </w:rPr>
        <w:br w:type="page"/>
      </w:r>
    </w:p>
    <w:p w14:paraId="707FB9C1">
      <w:pPr>
        <w:snapToGrid w:val="0"/>
        <w:spacing w:line="400" w:lineRule="exact"/>
        <w:contextualSpacing/>
        <w:rPr>
          <w:rFonts w:eastAsia="方正黑体_GBK"/>
          <w:color w:val="auto"/>
          <w:kern w:val="0"/>
          <w:sz w:val="32"/>
          <w:szCs w:val="32"/>
          <w:lang w:val="zh-CN"/>
        </w:rPr>
      </w:pPr>
      <w:r>
        <w:rPr>
          <w:rFonts w:eastAsia="方正黑体_GBK"/>
          <w:color w:val="auto"/>
          <w:kern w:val="0"/>
          <w:sz w:val="32"/>
          <w:szCs w:val="32"/>
          <w:lang w:val="zh-CN"/>
        </w:rPr>
        <w:t>附件2</w:t>
      </w:r>
    </w:p>
    <w:p w14:paraId="4995E560">
      <w:pPr>
        <w:pStyle w:val="27"/>
        <w:spacing w:line="560" w:lineRule="exact"/>
        <w:jc w:val="center"/>
        <w:rPr>
          <w:b/>
          <w:bCs/>
          <w:color w:val="auto"/>
          <w:sz w:val="32"/>
          <w:szCs w:val="32"/>
        </w:rPr>
      </w:pPr>
      <w:r>
        <w:rPr>
          <w:b/>
          <w:bCs/>
          <w:color w:val="auto"/>
          <w:sz w:val="32"/>
          <w:szCs w:val="32"/>
        </w:rPr>
        <w:t>法定代表人身份证明</w:t>
      </w:r>
    </w:p>
    <w:p w14:paraId="189339AA">
      <w:pPr>
        <w:spacing w:line="480" w:lineRule="exact"/>
        <w:rPr>
          <w:color w:val="auto"/>
          <w:sz w:val="24"/>
        </w:rPr>
      </w:pPr>
    </w:p>
    <w:p w14:paraId="7521AC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rPr>
      </w:pPr>
      <w:r>
        <w:rPr>
          <w:rFonts w:hint="eastAsia"/>
          <w:color w:val="auto"/>
          <w:sz w:val="24"/>
          <w:u w:val="single"/>
          <w:lang w:val="en-US" w:eastAsia="zh-CN"/>
        </w:rPr>
        <w:t xml:space="preserve">        </w:t>
      </w:r>
      <w:r>
        <w:rPr>
          <w:color w:val="auto"/>
          <w:sz w:val="24"/>
          <w:u w:val="none"/>
        </w:rPr>
        <w:t>先生/女士</w:t>
      </w:r>
      <w:r>
        <w:rPr>
          <w:color w:val="auto"/>
          <w:sz w:val="24"/>
        </w:rPr>
        <w:t>： 现任我单位</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none"/>
        </w:rPr>
        <w:t>职务</w:t>
      </w:r>
      <w:r>
        <w:rPr>
          <w:color w:val="auto"/>
          <w:sz w:val="24"/>
        </w:rPr>
        <w:t>，为法定代表人，特此证明。</w:t>
      </w:r>
    </w:p>
    <w:p w14:paraId="6C16A581">
      <w:pPr>
        <w:spacing w:line="480" w:lineRule="exact"/>
        <w:ind w:firstLine="480" w:firstLineChars="200"/>
        <w:rPr>
          <w:color w:val="auto"/>
          <w:sz w:val="24"/>
          <w:u w:val="single"/>
        </w:rPr>
      </w:pPr>
      <w:r>
        <w:rPr>
          <w:color w:val="auto"/>
          <w:sz w:val="24"/>
          <w:u w:val="none"/>
        </w:rPr>
        <w:t>身份证号码：</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p>
    <w:p w14:paraId="07087170">
      <w:pPr>
        <w:spacing w:line="480" w:lineRule="exact"/>
        <w:ind w:firstLine="480"/>
        <w:rPr>
          <w:color w:val="auto"/>
          <w:sz w:val="24"/>
        </w:rPr>
      </w:pPr>
    </w:p>
    <w:p w14:paraId="2F491F4F">
      <w:pPr>
        <w:pStyle w:val="28"/>
        <w:spacing w:line="600" w:lineRule="exact"/>
        <w:rPr>
          <w:b/>
          <w:color w:val="auto"/>
          <w:sz w:val="24"/>
        </w:rPr>
      </w:pPr>
      <w:r>
        <w:rPr>
          <w:b/>
          <w:color w:val="auto"/>
          <w:sz w:val="24"/>
        </w:rPr>
        <w:t>注：提供法定代表人的身份证复印件</w:t>
      </w:r>
      <w:r>
        <w:rPr>
          <w:rFonts w:hint="eastAsia"/>
          <w:b/>
          <w:color w:val="auto"/>
          <w:sz w:val="24"/>
        </w:rPr>
        <w:t>，加盖公章。</w:t>
      </w:r>
    </w:p>
    <w:p w14:paraId="42B5414C">
      <w:pPr>
        <w:spacing w:line="480" w:lineRule="exact"/>
        <w:ind w:firstLine="480" w:firstLineChars="200"/>
        <w:rPr>
          <w:rFonts w:eastAsia="仿宋_GB2312"/>
          <w:color w:val="auto"/>
          <w:sz w:val="24"/>
        </w:rPr>
      </w:pPr>
    </w:p>
    <w:p w14:paraId="137F22D6">
      <w:pPr>
        <w:rPr>
          <w:color w:val="auto"/>
        </w:rPr>
      </w:pPr>
    </w:p>
    <w:p w14:paraId="17143FFE">
      <w:pPr>
        <w:snapToGrid w:val="0"/>
        <w:spacing w:line="400" w:lineRule="exact"/>
        <w:ind w:firstLine="540" w:firstLineChars="192"/>
        <w:contextualSpacing/>
        <w:rPr>
          <w:b/>
          <w:color w:val="auto"/>
          <w:kern w:val="0"/>
          <w:sz w:val="28"/>
          <w:szCs w:val="28"/>
        </w:rPr>
      </w:pPr>
    </w:p>
    <w:p w14:paraId="3263F76B">
      <w:pPr>
        <w:snapToGrid w:val="0"/>
        <w:spacing w:line="400" w:lineRule="exact"/>
        <w:ind w:firstLine="540" w:firstLineChars="192"/>
        <w:contextualSpacing/>
        <w:rPr>
          <w:b/>
          <w:color w:val="auto"/>
          <w:kern w:val="0"/>
          <w:sz w:val="28"/>
          <w:szCs w:val="28"/>
          <w:lang w:val="zh-CN"/>
        </w:rPr>
      </w:pPr>
    </w:p>
    <w:p w14:paraId="4A461A2F">
      <w:pPr>
        <w:snapToGrid w:val="0"/>
        <w:spacing w:line="400" w:lineRule="exact"/>
        <w:ind w:firstLine="540" w:firstLineChars="192"/>
        <w:contextualSpacing/>
        <w:rPr>
          <w:b/>
          <w:color w:val="auto"/>
          <w:kern w:val="0"/>
          <w:sz w:val="28"/>
          <w:szCs w:val="28"/>
          <w:lang w:val="zh-CN"/>
        </w:rPr>
      </w:pPr>
    </w:p>
    <w:p w14:paraId="5274DF47">
      <w:pPr>
        <w:snapToGrid w:val="0"/>
        <w:spacing w:line="400" w:lineRule="exact"/>
        <w:ind w:firstLine="540" w:firstLineChars="192"/>
        <w:contextualSpacing/>
        <w:rPr>
          <w:b/>
          <w:color w:val="auto"/>
          <w:kern w:val="0"/>
          <w:sz w:val="28"/>
          <w:szCs w:val="28"/>
          <w:lang w:val="zh-CN"/>
        </w:rPr>
      </w:pPr>
    </w:p>
    <w:p w14:paraId="7A80503F">
      <w:pPr>
        <w:snapToGrid w:val="0"/>
        <w:spacing w:line="400" w:lineRule="exact"/>
        <w:ind w:firstLine="540" w:firstLineChars="192"/>
        <w:contextualSpacing/>
        <w:rPr>
          <w:b/>
          <w:color w:val="auto"/>
          <w:kern w:val="0"/>
          <w:sz w:val="28"/>
          <w:szCs w:val="28"/>
          <w:lang w:val="zh-CN"/>
        </w:rPr>
      </w:pPr>
    </w:p>
    <w:p w14:paraId="126EA8B0">
      <w:pPr>
        <w:snapToGrid w:val="0"/>
        <w:spacing w:line="400" w:lineRule="exact"/>
        <w:ind w:firstLine="540" w:firstLineChars="192"/>
        <w:contextualSpacing/>
        <w:rPr>
          <w:b/>
          <w:color w:val="auto"/>
          <w:kern w:val="0"/>
          <w:sz w:val="28"/>
          <w:szCs w:val="28"/>
          <w:lang w:val="zh-CN"/>
        </w:rPr>
      </w:pPr>
    </w:p>
    <w:p w14:paraId="14DEC19D">
      <w:pPr>
        <w:snapToGrid w:val="0"/>
        <w:spacing w:line="400" w:lineRule="exact"/>
        <w:ind w:firstLine="540" w:firstLineChars="192"/>
        <w:contextualSpacing/>
        <w:rPr>
          <w:b/>
          <w:color w:val="auto"/>
          <w:kern w:val="0"/>
          <w:sz w:val="28"/>
          <w:szCs w:val="28"/>
          <w:lang w:val="zh-CN"/>
        </w:rPr>
      </w:pPr>
    </w:p>
    <w:p w14:paraId="20A48BAE">
      <w:pPr>
        <w:snapToGrid w:val="0"/>
        <w:spacing w:line="400" w:lineRule="exact"/>
        <w:ind w:firstLine="540" w:firstLineChars="192"/>
        <w:contextualSpacing/>
        <w:rPr>
          <w:b/>
          <w:color w:val="auto"/>
          <w:kern w:val="0"/>
          <w:sz w:val="28"/>
          <w:szCs w:val="28"/>
          <w:lang w:val="zh-CN"/>
        </w:rPr>
      </w:pPr>
    </w:p>
    <w:p w14:paraId="23F3A928">
      <w:pPr>
        <w:snapToGrid w:val="0"/>
        <w:spacing w:line="400" w:lineRule="exact"/>
        <w:ind w:firstLine="540" w:firstLineChars="192"/>
        <w:contextualSpacing/>
        <w:rPr>
          <w:b/>
          <w:color w:val="auto"/>
          <w:kern w:val="0"/>
          <w:sz w:val="28"/>
          <w:szCs w:val="28"/>
          <w:lang w:val="zh-CN"/>
        </w:rPr>
      </w:pPr>
    </w:p>
    <w:p w14:paraId="0B427142">
      <w:pPr>
        <w:snapToGrid w:val="0"/>
        <w:spacing w:line="400" w:lineRule="exact"/>
        <w:ind w:firstLine="540" w:firstLineChars="192"/>
        <w:contextualSpacing/>
        <w:rPr>
          <w:b/>
          <w:color w:val="auto"/>
          <w:kern w:val="0"/>
          <w:sz w:val="28"/>
          <w:szCs w:val="28"/>
          <w:lang w:val="zh-CN"/>
        </w:rPr>
      </w:pPr>
    </w:p>
    <w:p w14:paraId="4834A2BD">
      <w:pPr>
        <w:snapToGrid w:val="0"/>
        <w:spacing w:line="400" w:lineRule="exact"/>
        <w:ind w:firstLine="540" w:firstLineChars="192"/>
        <w:contextualSpacing/>
        <w:rPr>
          <w:b/>
          <w:color w:val="auto"/>
          <w:kern w:val="0"/>
          <w:sz w:val="28"/>
          <w:szCs w:val="28"/>
          <w:lang w:val="zh-CN"/>
        </w:rPr>
      </w:pPr>
    </w:p>
    <w:p w14:paraId="2550A57D">
      <w:pPr>
        <w:snapToGrid w:val="0"/>
        <w:spacing w:line="400" w:lineRule="exact"/>
        <w:ind w:firstLine="540" w:firstLineChars="192"/>
        <w:contextualSpacing/>
        <w:rPr>
          <w:b/>
          <w:color w:val="auto"/>
          <w:kern w:val="0"/>
          <w:sz w:val="28"/>
          <w:szCs w:val="28"/>
          <w:lang w:val="zh-CN"/>
        </w:rPr>
      </w:pPr>
    </w:p>
    <w:p w14:paraId="0B88E729">
      <w:pPr>
        <w:snapToGrid w:val="0"/>
        <w:spacing w:line="400" w:lineRule="exact"/>
        <w:ind w:firstLine="540" w:firstLineChars="192"/>
        <w:contextualSpacing/>
        <w:rPr>
          <w:b/>
          <w:color w:val="auto"/>
          <w:kern w:val="0"/>
          <w:sz w:val="28"/>
          <w:szCs w:val="28"/>
          <w:lang w:val="zh-CN"/>
        </w:rPr>
      </w:pPr>
    </w:p>
    <w:p w14:paraId="16C4E01C">
      <w:pPr>
        <w:snapToGrid w:val="0"/>
        <w:spacing w:line="400" w:lineRule="exact"/>
        <w:ind w:firstLine="540" w:firstLineChars="192"/>
        <w:contextualSpacing/>
        <w:rPr>
          <w:b/>
          <w:color w:val="auto"/>
          <w:kern w:val="0"/>
          <w:sz w:val="28"/>
          <w:szCs w:val="28"/>
          <w:lang w:val="zh-CN"/>
        </w:rPr>
      </w:pPr>
    </w:p>
    <w:p w14:paraId="7DADAC45">
      <w:pPr>
        <w:snapToGrid w:val="0"/>
        <w:spacing w:line="400" w:lineRule="exact"/>
        <w:ind w:firstLine="540" w:firstLineChars="192"/>
        <w:contextualSpacing/>
        <w:rPr>
          <w:b/>
          <w:color w:val="auto"/>
          <w:kern w:val="0"/>
          <w:sz w:val="28"/>
          <w:szCs w:val="28"/>
          <w:lang w:val="zh-CN"/>
        </w:rPr>
      </w:pPr>
    </w:p>
    <w:p w14:paraId="42630017">
      <w:pPr>
        <w:snapToGrid w:val="0"/>
        <w:spacing w:line="400" w:lineRule="exact"/>
        <w:ind w:firstLine="540" w:firstLineChars="192"/>
        <w:contextualSpacing/>
        <w:rPr>
          <w:b/>
          <w:color w:val="auto"/>
          <w:kern w:val="0"/>
          <w:sz w:val="28"/>
          <w:szCs w:val="28"/>
          <w:lang w:val="zh-CN"/>
        </w:rPr>
      </w:pPr>
    </w:p>
    <w:p w14:paraId="256F40AE">
      <w:pPr>
        <w:snapToGrid w:val="0"/>
        <w:spacing w:line="400" w:lineRule="exact"/>
        <w:ind w:firstLine="540" w:firstLineChars="192"/>
        <w:contextualSpacing/>
        <w:rPr>
          <w:b/>
          <w:color w:val="auto"/>
          <w:kern w:val="0"/>
          <w:sz w:val="28"/>
          <w:szCs w:val="28"/>
          <w:lang w:val="zh-CN"/>
        </w:rPr>
      </w:pPr>
    </w:p>
    <w:p w14:paraId="7BC9DAB8">
      <w:pPr>
        <w:snapToGrid w:val="0"/>
        <w:spacing w:line="400" w:lineRule="exact"/>
        <w:ind w:firstLine="540" w:firstLineChars="192"/>
        <w:contextualSpacing/>
        <w:rPr>
          <w:b/>
          <w:color w:val="auto"/>
          <w:kern w:val="0"/>
          <w:sz w:val="28"/>
          <w:szCs w:val="28"/>
          <w:lang w:val="zh-CN"/>
        </w:rPr>
      </w:pPr>
    </w:p>
    <w:p w14:paraId="1D608ACF">
      <w:pPr>
        <w:snapToGrid w:val="0"/>
        <w:spacing w:line="400" w:lineRule="exact"/>
        <w:ind w:firstLine="540" w:firstLineChars="192"/>
        <w:contextualSpacing/>
        <w:rPr>
          <w:b/>
          <w:color w:val="auto"/>
          <w:kern w:val="0"/>
          <w:sz w:val="28"/>
          <w:szCs w:val="28"/>
          <w:lang w:val="zh-CN"/>
        </w:rPr>
      </w:pPr>
    </w:p>
    <w:p w14:paraId="2C509EC6">
      <w:pPr>
        <w:snapToGrid w:val="0"/>
        <w:spacing w:line="400" w:lineRule="exact"/>
        <w:ind w:firstLine="540" w:firstLineChars="192"/>
        <w:contextualSpacing/>
        <w:rPr>
          <w:b/>
          <w:color w:val="auto"/>
          <w:kern w:val="0"/>
          <w:sz w:val="28"/>
          <w:szCs w:val="28"/>
          <w:lang w:val="zh-CN"/>
        </w:rPr>
      </w:pPr>
    </w:p>
    <w:p w14:paraId="3306202A">
      <w:pPr>
        <w:snapToGrid w:val="0"/>
        <w:spacing w:line="400" w:lineRule="exact"/>
        <w:ind w:firstLine="540" w:firstLineChars="192"/>
        <w:contextualSpacing/>
        <w:rPr>
          <w:b/>
          <w:color w:val="auto"/>
          <w:kern w:val="0"/>
          <w:sz w:val="28"/>
          <w:szCs w:val="28"/>
          <w:lang w:val="zh-CN"/>
        </w:rPr>
      </w:pPr>
    </w:p>
    <w:p w14:paraId="410EA4C6">
      <w:pPr>
        <w:snapToGrid w:val="0"/>
        <w:spacing w:line="400" w:lineRule="exact"/>
        <w:ind w:firstLine="540" w:firstLineChars="192"/>
        <w:contextualSpacing/>
        <w:rPr>
          <w:b/>
          <w:color w:val="auto"/>
          <w:kern w:val="0"/>
          <w:sz w:val="28"/>
          <w:szCs w:val="28"/>
          <w:lang w:val="zh-CN"/>
        </w:rPr>
      </w:pPr>
    </w:p>
    <w:p w14:paraId="3E88F451">
      <w:pPr>
        <w:snapToGrid w:val="0"/>
        <w:spacing w:line="400" w:lineRule="exact"/>
        <w:ind w:firstLine="540" w:firstLineChars="192"/>
        <w:contextualSpacing/>
        <w:rPr>
          <w:b/>
          <w:color w:val="auto"/>
          <w:kern w:val="0"/>
          <w:sz w:val="28"/>
          <w:szCs w:val="28"/>
          <w:lang w:val="zh-CN"/>
        </w:rPr>
      </w:pPr>
    </w:p>
    <w:p w14:paraId="320EB032">
      <w:pPr>
        <w:snapToGrid w:val="0"/>
        <w:spacing w:line="400" w:lineRule="exact"/>
        <w:contextualSpacing/>
        <w:rPr>
          <w:b/>
          <w:color w:val="auto"/>
          <w:kern w:val="0"/>
          <w:sz w:val="28"/>
          <w:szCs w:val="28"/>
          <w:lang w:val="zh-CN"/>
        </w:rPr>
      </w:pPr>
    </w:p>
    <w:p w14:paraId="2DB25C04">
      <w:pPr>
        <w:snapToGrid w:val="0"/>
        <w:spacing w:line="400" w:lineRule="exact"/>
        <w:contextualSpacing/>
        <w:rPr>
          <w:rFonts w:eastAsia="方正黑体_GBK"/>
          <w:color w:val="auto"/>
          <w:kern w:val="0"/>
          <w:sz w:val="32"/>
          <w:szCs w:val="32"/>
          <w:lang w:val="zh-CN"/>
        </w:rPr>
      </w:pPr>
      <w:r>
        <w:rPr>
          <w:rFonts w:eastAsia="方正黑体_GBK"/>
          <w:color w:val="auto"/>
          <w:kern w:val="0"/>
          <w:sz w:val="32"/>
          <w:szCs w:val="32"/>
          <w:lang w:val="zh-CN"/>
        </w:rPr>
        <w:t>附件3</w:t>
      </w:r>
    </w:p>
    <w:p w14:paraId="6488A7B0">
      <w:pPr>
        <w:jc w:val="center"/>
        <w:rPr>
          <w:b/>
          <w:bCs/>
          <w:color w:val="auto"/>
          <w:sz w:val="32"/>
          <w:szCs w:val="32"/>
        </w:rPr>
      </w:pPr>
      <w:r>
        <w:rPr>
          <w:b/>
          <w:bCs/>
          <w:color w:val="auto"/>
          <w:sz w:val="32"/>
          <w:szCs w:val="32"/>
        </w:rPr>
        <w:t>法定代表人授权委托书</w:t>
      </w:r>
    </w:p>
    <w:p w14:paraId="20D89887">
      <w:pPr>
        <w:rPr>
          <w:color w:val="auto"/>
          <w:sz w:val="32"/>
          <w:szCs w:val="32"/>
        </w:rPr>
      </w:pPr>
    </w:p>
    <w:p w14:paraId="04BC4A06">
      <w:pPr>
        <w:keepNext w:val="0"/>
        <w:keepLines w:val="0"/>
        <w:pageBreakBefore w:val="0"/>
        <w:widowControl w:val="0"/>
        <w:kinsoku/>
        <w:wordWrap/>
        <w:overflowPunct/>
        <w:topLinePunct w:val="0"/>
        <w:autoSpaceDE/>
        <w:autoSpaceDN/>
        <w:bidi w:val="0"/>
        <w:adjustRightInd/>
        <w:snapToGrid/>
        <w:spacing w:line="480" w:lineRule="exact"/>
        <w:ind w:left="479" w:leftChars="228" w:firstLine="720" w:firstLineChars="300"/>
        <w:textAlignment w:val="auto"/>
        <w:rPr>
          <w:color w:val="auto"/>
          <w:sz w:val="24"/>
        </w:rPr>
      </w:pPr>
      <w:r>
        <w:rPr>
          <w:color w:val="auto"/>
          <w:sz w:val="24"/>
        </w:rPr>
        <w:t>本人</w:t>
      </w:r>
      <w:r>
        <w:rPr>
          <w:rFonts w:hint="eastAsia"/>
          <w:color w:val="auto"/>
          <w:sz w:val="24"/>
          <w:u w:val="single"/>
          <w:lang w:val="en-US" w:eastAsia="zh-CN"/>
        </w:rPr>
        <w:t xml:space="preserve">         </w:t>
      </w:r>
      <w:r>
        <w:rPr>
          <w:color w:val="auto"/>
          <w:sz w:val="24"/>
        </w:rPr>
        <w:t>（姓名）系</w:t>
      </w:r>
      <w:r>
        <w:rPr>
          <w:rFonts w:hint="eastAsia"/>
          <w:color w:val="auto"/>
          <w:sz w:val="24"/>
          <w:u w:val="single"/>
          <w:lang w:val="en-US" w:eastAsia="zh-CN"/>
        </w:rPr>
        <w:t xml:space="preserve">           </w:t>
      </w:r>
      <w:r>
        <w:rPr>
          <w:color w:val="auto"/>
          <w:sz w:val="24"/>
        </w:rPr>
        <w:t>（授权单位名称）的法定代表人，现委托</w:t>
      </w:r>
      <w:r>
        <w:rPr>
          <w:rFonts w:hint="eastAsia"/>
          <w:color w:val="auto"/>
          <w:sz w:val="24"/>
          <w:u w:val="single"/>
          <w:lang w:val="en-US" w:eastAsia="zh-CN"/>
        </w:rPr>
        <w:t xml:space="preserve">           </w:t>
      </w:r>
      <w:r>
        <w:rPr>
          <w:color w:val="auto"/>
          <w:sz w:val="24"/>
        </w:rPr>
        <w:t>（姓名）（身份证号</w:t>
      </w:r>
      <w:r>
        <w:rPr>
          <w:rFonts w:hint="eastAsia"/>
          <w:color w:val="auto"/>
          <w:sz w:val="24"/>
          <w:u w:val="single"/>
          <w:lang w:val="en-US" w:eastAsia="zh-CN"/>
        </w:rPr>
        <w:t xml:space="preserve">              </w:t>
      </w:r>
      <w:r>
        <w:rPr>
          <w:color w:val="auto"/>
          <w:sz w:val="24"/>
        </w:rPr>
        <w:t>）为我方代理人，以我方名义全权处理与本次</w:t>
      </w:r>
      <w:r>
        <w:rPr>
          <w:rFonts w:hint="eastAsia"/>
          <w:color w:val="auto"/>
          <w:sz w:val="24"/>
        </w:rPr>
        <w:t>招标</w:t>
      </w:r>
      <w:r>
        <w:rPr>
          <w:color w:val="auto"/>
          <w:sz w:val="24"/>
        </w:rPr>
        <w:t>项目（编号</w:t>
      </w:r>
      <w:r>
        <w:rPr>
          <w:rFonts w:hint="eastAsia"/>
          <w:color w:val="auto"/>
          <w:sz w:val="24"/>
          <w:u w:val="single"/>
          <w:lang w:val="en-US" w:eastAsia="zh-CN"/>
        </w:rPr>
        <w:t xml:space="preserve">         </w:t>
      </w:r>
      <w:r>
        <w:rPr>
          <w:color w:val="auto"/>
          <w:sz w:val="24"/>
        </w:rPr>
        <w:t>）有关的一切事务，其</w:t>
      </w:r>
      <w:r>
        <w:rPr>
          <w:rFonts w:hint="eastAsia"/>
          <w:color w:val="auto"/>
          <w:sz w:val="24"/>
        </w:rPr>
        <w:t>代理行为产生的</w:t>
      </w:r>
      <w:r>
        <w:rPr>
          <w:color w:val="auto"/>
          <w:sz w:val="24"/>
        </w:rPr>
        <w:t>法律后果由我方承担。</w:t>
      </w:r>
    </w:p>
    <w:p w14:paraId="7D5D5A47">
      <w:pPr>
        <w:spacing w:line="480" w:lineRule="exact"/>
        <w:ind w:firstLine="480" w:firstLineChars="200"/>
        <w:rPr>
          <w:color w:val="auto"/>
          <w:sz w:val="24"/>
        </w:rPr>
      </w:pPr>
      <w:r>
        <w:rPr>
          <w:color w:val="auto"/>
          <w:sz w:val="24"/>
        </w:rPr>
        <w:t>本授权</w:t>
      </w:r>
      <w:r>
        <w:rPr>
          <w:rFonts w:hint="eastAsia"/>
          <w:color w:val="auto"/>
          <w:sz w:val="24"/>
        </w:rPr>
        <w:t>委托</w:t>
      </w:r>
      <w:r>
        <w:rPr>
          <w:color w:val="auto"/>
          <w:sz w:val="24"/>
        </w:rPr>
        <w:t>书于</w:t>
      </w:r>
      <w:r>
        <w:rPr>
          <w:rFonts w:hint="eastAsia"/>
          <w:color w:val="auto"/>
          <w:sz w:val="24"/>
          <w:u w:val="single"/>
          <w:lang w:val="en-US" w:eastAsia="zh-CN"/>
        </w:rPr>
        <w:t xml:space="preserve">   </w:t>
      </w:r>
      <w:r>
        <w:rPr>
          <w:color w:val="auto"/>
          <w:sz w:val="24"/>
        </w:rPr>
        <w:t>年</w:t>
      </w:r>
      <w:r>
        <w:rPr>
          <w:rFonts w:hint="eastAsia"/>
          <w:color w:val="auto"/>
          <w:sz w:val="24"/>
          <w:u w:val="single"/>
          <w:lang w:val="en-US" w:eastAsia="zh-CN"/>
        </w:rPr>
        <w:t xml:space="preserve">   </w:t>
      </w:r>
      <w:r>
        <w:rPr>
          <w:color w:val="auto"/>
          <w:sz w:val="24"/>
        </w:rPr>
        <w:t>月</w:t>
      </w:r>
      <w:r>
        <w:rPr>
          <w:rFonts w:hint="eastAsia"/>
          <w:color w:val="auto"/>
          <w:sz w:val="24"/>
          <w:u w:val="single"/>
          <w:lang w:val="en-US" w:eastAsia="zh-CN"/>
        </w:rPr>
        <w:t xml:space="preserve">    </w:t>
      </w:r>
      <w:r>
        <w:rPr>
          <w:color w:val="auto"/>
          <w:sz w:val="24"/>
        </w:rPr>
        <w:t>日起生效。代理人无转委托权。</w:t>
      </w:r>
    </w:p>
    <w:p w14:paraId="2AF820E6">
      <w:pPr>
        <w:spacing w:line="480" w:lineRule="exact"/>
        <w:ind w:firstLine="480" w:firstLineChars="200"/>
        <w:rPr>
          <w:rFonts w:hint="default"/>
          <w:color w:val="auto"/>
          <w:sz w:val="24"/>
          <w:u w:val="single"/>
          <w:lang w:val="en-US" w:eastAsia="zh-CN"/>
        </w:rPr>
      </w:pPr>
      <w:r>
        <w:rPr>
          <w:color w:val="auto"/>
          <w:sz w:val="24"/>
        </w:rPr>
        <w:t>代理人(被授权人</w:t>
      </w:r>
      <w:r>
        <w:rPr>
          <w:rFonts w:hint="eastAsia"/>
          <w:b/>
          <w:bCs/>
          <w:color w:val="auto"/>
          <w:sz w:val="32"/>
          <w:szCs w:val="32"/>
        </w:rPr>
        <w:t>签字</w:t>
      </w:r>
      <w:r>
        <w:rPr>
          <w:color w:val="auto"/>
          <w:sz w:val="24"/>
        </w:rPr>
        <w:t>)</w:t>
      </w:r>
      <w:r>
        <w:rPr>
          <w:rFonts w:hint="eastAsia"/>
          <w:color w:val="auto"/>
          <w:sz w:val="24"/>
          <w:lang w:val="en-US" w:eastAsia="zh-CN"/>
        </w:rPr>
        <w:t xml:space="preserve"> </w:t>
      </w:r>
      <w:r>
        <w:rPr>
          <w:rFonts w:hint="eastAsia"/>
          <w:color w:val="auto"/>
          <w:sz w:val="24"/>
          <w:lang w:eastAsia="zh-CN"/>
        </w:rPr>
        <w:t>：</w:t>
      </w:r>
      <w:r>
        <w:rPr>
          <w:rFonts w:hint="eastAsia"/>
          <w:color w:val="auto"/>
          <w:sz w:val="24"/>
          <w:u w:val="single"/>
          <w:lang w:val="en-US" w:eastAsia="zh-CN"/>
        </w:rPr>
        <w:t xml:space="preserve">             </w:t>
      </w:r>
    </w:p>
    <w:p w14:paraId="3A805B81">
      <w:pPr>
        <w:spacing w:line="480" w:lineRule="exact"/>
        <w:ind w:firstLine="480" w:firstLineChars="200"/>
        <w:rPr>
          <w:rFonts w:hint="default"/>
          <w:color w:val="auto"/>
          <w:sz w:val="24"/>
          <w:u w:val="single"/>
          <w:lang w:val="en-US" w:eastAsia="zh-CN"/>
        </w:rPr>
      </w:pPr>
      <w:r>
        <w:rPr>
          <w:color w:val="auto"/>
          <w:sz w:val="24"/>
        </w:rPr>
        <w:t>授权单位名称（盖章）：</w:t>
      </w:r>
      <w:r>
        <w:rPr>
          <w:rFonts w:hint="eastAsia"/>
          <w:color w:val="auto"/>
          <w:sz w:val="24"/>
          <w:u w:val="single"/>
          <w:lang w:val="en-US" w:eastAsia="zh-CN"/>
        </w:rPr>
        <w:t xml:space="preserve">             </w:t>
      </w:r>
    </w:p>
    <w:p w14:paraId="463869C7">
      <w:pPr>
        <w:spacing w:line="480" w:lineRule="exact"/>
        <w:ind w:firstLine="480" w:firstLineChars="200"/>
        <w:rPr>
          <w:rFonts w:hint="default"/>
          <w:color w:val="auto"/>
          <w:sz w:val="24"/>
          <w:u w:val="single"/>
          <w:lang w:val="en-US" w:eastAsia="zh-CN"/>
        </w:rPr>
      </w:pPr>
      <w:r>
        <w:rPr>
          <w:color w:val="auto"/>
          <w:sz w:val="24"/>
        </w:rPr>
        <w:t>授权单位法定代表人（签字或盖章）：</w:t>
      </w:r>
      <w:r>
        <w:rPr>
          <w:rFonts w:hint="eastAsia"/>
          <w:color w:val="auto"/>
          <w:sz w:val="24"/>
          <w:u w:val="single"/>
          <w:lang w:val="en-US" w:eastAsia="zh-CN"/>
        </w:rPr>
        <w:t xml:space="preserve">              </w:t>
      </w:r>
    </w:p>
    <w:p w14:paraId="6CDB9751">
      <w:pPr>
        <w:spacing w:line="480" w:lineRule="exact"/>
        <w:ind w:firstLine="480" w:firstLineChars="200"/>
        <w:rPr>
          <w:color w:val="auto"/>
          <w:sz w:val="24"/>
        </w:rPr>
      </w:pPr>
    </w:p>
    <w:p w14:paraId="686F7F51">
      <w:pPr>
        <w:spacing w:line="480" w:lineRule="exact"/>
        <w:ind w:firstLine="480" w:firstLineChars="200"/>
        <w:jc w:val="right"/>
        <w:rPr>
          <w:color w:val="auto"/>
          <w:sz w:val="24"/>
          <w:u w:val="single"/>
        </w:rPr>
      </w:pPr>
      <w:r>
        <w:rPr>
          <w:rFonts w:hint="eastAsia"/>
          <w:color w:val="auto"/>
          <w:sz w:val="24"/>
          <w:u w:val="single"/>
          <w:lang w:val="en-US" w:eastAsia="zh-CN"/>
        </w:rPr>
        <w:t xml:space="preserve">      </w:t>
      </w:r>
      <w:r>
        <w:rPr>
          <w:color w:val="auto"/>
          <w:sz w:val="24"/>
          <w:u w:val="none"/>
        </w:rPr>
        <w:t>年</w:t>
      </w:r>
      <w:r>
        <w:rPr>
          <w:rFonts w:hint="eastAsia"/>
          <w:color w:val="auto"/>
          <w:sz w:val="24"/>
          <w:u w:val="single"/>
          <w:lang w:val="en-US" w:eastAsia="zh-CN"/>
        </w:rPr>
        <w:t xml:space="preserve">    </w:t>
      </w:r>
      <w:r>
        <w:rPr>
          <w:color w:val="auto"/>
          <w:sz w:val="24"/>
          <w:u w:val="none"/>
        </w:rPr>
        <w:t>月</w:t>
      </w:r>
      <w:r>
        <w:rPr>
          <w:rFonts w:hint="eastAsia"/>
          <w:color w:val="auto"/>
          <w:sz w:val="24"/>
          <w:u w:val="single"/>
          <w:lang w:val="en-US" w:eastAsia="zh-CN"/>
        </w:rPr>
        <w:t xml:space="preserve">    </w:t>
      </w:r>
      <w:r>
        <w:rPr>
          <w:color w:val="auto"/>
          <w:sz w:val="24"/>
          <w:u w:val="none"/>
        </w:rPr>
        <w:t>日</w:t>
      </w:r>
    </w:p>
    <w:p w14:paraId="09E61DB8">
      <w:pPr>
        <w:snapToGrid w:val="0"/>
        <w:spacing w:line="400" w:lineRule="exact"/>
        <w:ind w:firstLine="540" w:firstLineChars="192"/>
        <w:contextualSpacing/>
        <w:rPr>
          <w:b/>
          <w:color w:val="auto"/>
          <w:kern w:val="0"/>
          <w:sz w:val="28"/>
          <w:szCs w:val="28"/>
        </w:rPr>
      </w:pPr>
    </w:p>
    <w:p w14:paraId="21A307AD">
      <w:pPr>
        <w:snapToGrid w:val="0"/>
        <w:spacing w:line="400" w:lineRule="exact"/>
        <w:ind w:firstLine="540" w:firstLineChars="192"/>
        <w:contextualSpacing/>
        <w:rPr>
          <w:b/>
          <w:color w:val="auto"/>
          <w:kern w:val="0"/>
          <w:sz w:val="28"/>
          <w:szCs w:val="28"/>
        </w:rPr>
      </w:pPr>
    </w:p>
    <w:p w14:paraId="3739EA55">
      <w:pPr>
        <w:snapToGrid w:val="0"/>
        <w:spacing w:line="400" w:lineRule="exact"/>
        <w:ind w:firstLine="540" w:firstLineChars="192"/>
        <w:contextualSpacing/>
        <w:rPr>
          <w:b/>
          <w:color w:val="auto"/>
          <w:kern w:val="0"/>
          <w:sz w:val="28"/>
          <w:szCs w:val="28"/>
        </w:rPr>
      </w:pPr>
    </w:p>
    <w:p w14:paraId="5E5A2EE0">
      <w:pPr>
        <w:snapToGrid w:val="0"/>
        <w:spacing w:line="400" w:lineRule="exact"/>
        <w:ind w:firstLine="540" w:firstLineChars="192"/>
        <w:contextualSpacing/>
        <w:rPr>
          <w:b/>
          <w:color w:val="auto"/>
          <w:kern w:val="0"/>
          <w:sz w:val="28"/>
          <w:szCs w:val="28"/>
        </w:rPr>
      </w:pPr>
    </w:p>
    <w:p w14:paraId="5C10524B">
      <w:pPr>
        <w:snapToGrid w:val="0"/>
        <w:spacing w:line="400" w:lineRule="exact"/>
        <w:ind w:firstLine="540" w:firstLineChars="192"/>
        <w:contextualSpacing/>
        <w:rPr>
          <w:b/>
          <w:color w:val="auto"/>
          <w:kern w:val="0"/>
          <w:sz w:val="28"/>
          <w:szCs w:val="28"/>
        </w:rPr>
      </w:pPr>
    </w:p>
    <w:p w14:paraId="44659616">
      <w:pPr>
        <w:snapToGrid w:val="0"/>
        <w:spacing w:line="400" w:lineRule="exact"/>
        <w:ind w:firstLine="540" w:firstLineChars="192"/>
        <w:contextualSpacing/>
        <w:rPr>
          <w:b/>
          <w:color w:val="auto"/>
          <w:kern w:val="0"/>
          <w:sz w:val="28"/>
          <w:szCs w:val="28"/>
        </w:rPr>
      </w:pPr>
      <w:r>
        <w:rPr>
          <w:b/>
          <w:color w:val="auto"/>
          <w:kern w:val="0"/>
          <w:sz w:val="28"/>
          <w:szCs w:val="28"/>
        </w:rPr>
        <w:t>注：提供投标代表本人身份证复印件</w:t>
      </w:r>
      <w:r>
        <w:rPr>
          <w:rFonts w:hint="eastAsia"/>
          <w:b/>
          <w:color w:val="auto"/>
          <w:kern w:val="0"/>
          <w:sz w:val="28"/>
          <w:szCs w:val="28"/>
        </w:rPr>
        <w:t>加</w:t>
      </w:r>
      <w:r>
        <w:rPr>
          <w:b/>
          <w:color w:val="auto"/>
          <w:kern w:val="0"/>
          <w:sz w:val="28"/>
          <w:szCs w:val="28"/>
        </w:rPr>
        <w:t>盖公章</w:t>
      </w:r>
    </w:p>
    <w:p w14:paraId="39A564F9">
      <w:pPr>
        <w:snapToGrid w:val="0"/>
        <w:spacing w:line="360" w:lineRule="auto"/>
        <w:jc w:val="center"/>
        <w:outlineLvl w:val="4"/>
        <w:rPr>
          <w:b/>
          <w:bCs/>
          <w:color w:val="auto"/>
          <w:sz w:val="24"/>
        </w:rPr>
      </w:pPr>
    </w:p>
    <w:p w14:paraId="6D922B4F">
      <w:pPr>
        <w:pStyle w:val="6"/>
        <w:rPr>
          <w:color w:val="auto"/>
        </w:rPr>
      </w:pPr>
    </w:p>
    <w:p w14:paraId="622CD1A4">
      <w:pPr>
        <w:snapToGrid w:val="0"/>
        <w:spacing w:line="360" w:lineRule="auto"/>
        <w:jc w:val="center"/>
        <w:outlineLvl w:val="4"/>
        <w:rPr>
          <w:b/>
          <w:bCs/>
          <w:color w:val="auto"/>
          <w:sz w:val="24"/>
        </w:rPr>
      </w:pPr>
    </w:p>
    <w:p w14:paraId="642ACC1E">
      <w:pPr>
        <w:snapToGrid w:val="0"/>
        <w:spacing w:line="360" w:lineRule="auto"/>
        <w:jc w:val="center"/>
        <w:outlineLvl w:val="4"/>
        <w:rPr>
          <w:b/>
          <w:bCs/>
          <w:color w:val="auto"/>
          <w:sz w:val="24"/>
        </w:rPr>
      </w:pPr>
    </w:p>
    <w:p w14:paraId="4BF9B5B7">
      <w:pPr>
        <w:snapToGrid w:val="0"/>
        <w:spacing w:line="360" w:lineRule="auto"/>
        <w:jc w:val="center"/>
        <w:outlineLvl w:val="4"/>
        <w:rPr>
          <w:b/>
          <w:bCs/>
          <w:color w:val="auto"/>
          <w:sz w:val="24"/>
        </w:rPr>
      </w:pPr>
    </w:p>
    <w:p w14:paraId="4C8F7ECC">
      <w:pPr>
        <w:snapToGrid w:val="0"/>
        <w:spacing w:line="360" w:lineRule="auto"/>
        <w:jc w:val="center"/>
        <w:outlineLvl w:val="4"/>
        <w:rPr>
          <w:b/>
          <w:bCs/>
          <w:color w:val="auto"/>
          <w:sz w:val="24"/>
        </w:rPr>
      </w:pPr>
    </w:p>
    <w:p w14:paraId="4224EC41">
      <w:pPr>
        <w:snapToGrid w:val="0"/>
        <w:spacing w:line="360" w:lineRule="auto"/>
        <w:jc w:val="center"/>
        <w:outlineLvl w:val="4"/>
        <w:rPr>
          <w:b/>
          <w:bCs/>
          <w:color w:val="auto"/>
          <w:sz w:val="24"/>
        </w:rPr>
      </w:pPr>
    </w:p>
    <w:p w14:paraId="3F986DE7">
      <w:pPr>
        <w:snapToGrid w:val="0"/>
        <w:spacing w:line="360" w:lineRule="auto"/>
        <w:jc w:val="center"/>
        <w:outlineLvl w:val="4"/>
        <w:rPr>
          <w:b/>
          <w:bCs/>
          <w:color w:val="auto"/>
          <w:sz w:val="24"/>
        </w:rPr>
      </w:pPr>
    </w:p>
    <w:p w14:paraId="338BA78F">
      <w:pPr>
        <w:snapToGrid w:val="0"/>
        <w:spacing w:line="360" w:lineRule="auto"/>
        <w:jc w:val="center"/>
        <w:outlineLvl w:val="4"/>
        <w:rPr>
          <w:b/>
          <w:bCs/>
          <w:color w:val="auto"/>
          <w:sz w:val="24"/>
        </w:rPr>
      </w:pPr>
    </w:p>
    <w:p w14:paraId="7FDACC36">
      <w:pPr>
        <w:snapToGrid w:val="0"/>
        <w:spacing w:line="360" w:lineRule="auto"/>
        <w:jc w:val="center"/>
        <w:outlineLvl w:val="4"/>
        <w:rPr>
          <w:b/>
          <w:bCs/>
          <w:color w:val="auto"/>
          <w:sz w:val="24"/>
        </w:rPr>
      </w:pPr>
    </w:p>
    <w:p w14:paraId="11DA76AA">
      <w:pPr>
        <w:pStyle w:val="3"/>
        <w:rPr>
          <w:color w:val="auto"/>
        </w:rPr>
      </w:pPr>
    </w:p>
    <w:p w14:paraId="216B521E">
      <w:pPr>
        <w:snapToGrid w:val="0"/>
        <w:spacing w:line="360" w:lineRule="auto"/>
        <w:jc w:val="center"/>
        <w:outlineLvl w:val="4"/>
        <w:rPr>
          <w:b/>
          <w:bCs/>
          <w:color w:val="auto"/>
          <w:sz w:val="24"/>
        </w:rPr>
      </w:pPr>
    </w:p>
    <w:p w14:paraId="4955D5B7">
      <w:pPr>
        <w:snapToGrid w:val="0"/>
        <w:spacing w:line="360" w:lineRule="auto"/>
        <w:jc w:val="center"/>
        <w:outlineLvl w:val="4"/>
        <w:rPr>
          <w:b/>
          <w:bCs/>
          <w:color w:val="auto"/>
          <w:sz w:val="24"/>
        </w:rPr>
      </w:pPr>
    </w:p>
    <w:p w14:paraId="5393BA5E">
      <w:pPr>
        <w:pStyle w:val="27"/>
        <w:spacing w:line="560" w:lineRule="exact"/>
        <w:rPr>
          <w:b/>
          <w:bCs/>
          <w:color w:val="auto"/>
          <w:sz w:val="32"/>
          <w:szCs w:val="32"/>
        </w:rPr>
      </w:pPr>
      <w:r>
        <w:rPr>
          <w:b/>
          <w:bCs/>
          <w:color w:val="auto"/>
          <w:sz w:val="32"/>
          <w:szCs w:val="32"/>
        </w:rPr>
        <w:t xml:space="preserve">附件4 </w:t>
      </w:r>
    </w:p>
    <w:p w14:paraId="01C0AB01">
      <w:pPr>
        <w:spacing w:before="240" w:line="312" w:lineRule="auto"/>
        <w:jc w:val="center"/>
        <w:rPr>
          <w:b/>
          <w:bCs/>
          <w:color w:val="auto"/>
          <w:sz w:val="32"/>
          <w:szCs w:val="32"/>
        </w:rPr>
      </w:pPr>
      <w:r>
        <w:rPr>
          <w:b/>
          <w:bCs/>
          <w:color w:val="auto"/>
          <w:sz w:val="32"/>
          <w:szCs w:val="32"/>
        </w:rPr>
        <w:t>投标人信用承诺书</w:t>
      </w:r>
    </w:p>
    <w:p w14:paraId="1B05E2EE">
      <w:pPr>
        <w:spacing w:line="360" w:lineRule="auto"/>
        <w:ind w:firstLine="480" w:firstLineChars="200"/>
        <w:rPr>
          <w:color w:val="auto"/>
          <w:kern w:val="0"/>
          <w:sz w:val="24"/>
          <w:lang w:val="zh-CN"/>
        </w:rPr>
      </w:pPr>
      <w:r>
        <w:rPr>
          <w:color w:val="auto"/>
          <w:kern w:val="0"/>
          <w:sz w:val="24"/>
          <w:lang w:val="zh-CN"/>
        </w:rPr>
        <w:t>为营造公开、公平、公正的</w:t>
      </w:r>
      <w:r>
        <w:rPr>
          <w:rFonts w:hint="eastAsia"/>
          <w:color w:val="auto"/>
          <w:kern w:val="0"/>
          <w:sz w:val="24"/>
          <w:lang w:val="zh-CN"/>
        </w:rPr>
        <w:t>招标</w:t>
      </w:r>
      <w:r>
        <w:rPr>
          <w:color w:val="auto"/>
          <w:kern w:val="0"/>
          <w:sz w:val="24"/>
          <w:lang w:val="zh-CN"/>
        </w:rPr>
        <w:t>环境，树立诚信守法的投标人形象，本人代表本单位作出以下承诺：</w:t>
      </w:r>
    </w:p>
    <w:p w14:paraId="24EB63CF">
      <w:pPr>
        <w:spacing w:line="360" w:lineRule="auto"/>
        <w:ind w:firstLine="480" w:firstLineChars="200"/>
        <w:rPr>
          <w:color w:val="auto"/>
          <w:kern w:val="0"/>
          <w:sz w:val="24"/>
          <w:lang w:val="zh-CN"/>
        </w:rPr>
      </w:pPr>
      <w:r>
        <w:rPr>
          <w:color w:val="auto"/>
          <w:kern w:val="0"/>
          <w:sz w:val="24"/>
          <w:lang w:val="zh-CN"/>
        </w:rPr>
        <w:t>一、本单位对所提交的单位基本信息、单位负责人、从业资质和资格、业绩、财务状况、信誉等所有资料，均合法、真实、准确、有效，无任何伪造、修改、虚假成分；</w:t>
      </w:r>
    </w:p>
    <w:p w14:paraId="7775F4FE">
      <w:pPr>
        <w:spacing w:line="360" w:lineRule="auto"/>
        <w:ind w:firstLine="480" w:firstLineChars="200"/>
        <w:rPr>
          <w:color w:val="auto"/>
          <w:kern w:val="0"/>
          <w:sz w:val="24"/>
          <w:lang w:val="zh-CN"/>
        </w:rPr>
      </w:pPr>
      <w:r>
        <w:rPr>
          <w:color w:val="auto"/>
          <w:kern w:val="0"/>
          <w:sz w:val="24"/>
          <w:lang w:val="zh-CN"/>
        </w:rPr>
        <w:t>二、严格依照国家和省、市、县关于招标投标等方面的法律、法规、规章、规范性文件，参加本项目的招标投标活动；积极履行社会责任，促进廉政建设；</w:t>
      </w:r>
    </w:p>
    <w:p w14:paraId="0923F0D5">
      <w:pPr>
        <w:spacing w:line="360" w:lineRule="auto"/>
        <w:ind w:firstLine="480" w:firstLineChars="200"/>
        <w:rPr>
          <w:color w:val="auto"/>
          <w:kern w:val="0"/>
          <w:sz w:val="24"/>
          <w:lang w:val="zh-CN"/>
        </w:rPr>
      </w:pPr>
      <w:r>
        <w:rPr>
          <w:color w:val="auto"/>
          <w:kern w:val="0"/>
          <w:sz w:val="24"/>
          <w:lang w:val="zh-CN"/>
        </w:rPr>
        <w:t>三、自我约束、自我管理，守</w:t>
      </w:r>
      <w:r>
        <w:rPr>
          <w:rFonts w:hint="eastAsia"/>
          <w:color w:val="auto"/>
          <w:kern w:val="0"/>
          <w:sz w:val="24"/>
          <w:lang w:val="zh-CN"/>
        </w:rPr>
        <w:t>协议</w:t>
      </w:r>
      <w:r>
        <w:rPr>
          <w:color w:val="auto"/>
          <w:kern w:val="0"/>
          <w:sz w:val="24"/>
          <w:lang w:val="zh-CN"/>
        </w:rPr>
        <w:t>、重信用，不参与围标串标、弄虚作假、骗取中标、干扰评标、违约毁约、恶意投诉等行为，主动维护</w:t>
      </w:r>
      <w:r>
        <w:rPr>
          <w:rFonts w:hint="eastAsia"/>
          <w:color w:val="auto"/>
          <w:kern w:val="0"/>
          <w:sz w:val="24"/>
          <w:lang w:val="zh-CN"/>
        </w:rPr>
        <w:t>招标</w:t>
      </w:r>
      <w:r>
        <w:rPr>
          <w:color w:val="auto"/>
          <w:kern w:val="0"/>
          <w:sz w:val="24"/>
          <w:lang w:val="zh-CN"/>
        </w:rPr>
        <w:t>人招标投标的良好秩序；</w:t>
      </w:r>
    </w:p>
    <w:p w14:paraId="05019DDF">
      <w:pPr>
        <w:spacing w:line="360" w:lineRule="auto"/>
        <w:ind w:firstLine="480" w:firstLineChars="200"/>
        <w:rPr>
          <w:color w:val="auto"/>
          <w:kern w:val="0"/>
          <w:sz w:val="24"/>
          <w:lang w:val="zh-CN"/>
        </w:rPr>
      </w:pPr>
      <w:r>
        <w:rPr>
          <w:color w:val="auto"/>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DE33A53">
      <w:pPr>
        <w:spacing w:line="360" w:lineRule="auto"/>
        <w:ind w:firstLine="480" w:firstLineChars="200"/>
        <w:rPr>
          <w:color w:val="auto"/>
          <w:kern w:val="0"/>
          <w:sz w:val="24"/>
          <w:lang w:val="zh-CN"/>
        </w:rPr>
      </w:pPr>
      <w:r>
        <w:rPr>
          <w:color w:val="auto"/>
          <w:kern w:val="0"/>
          <w:sz w:val="24"/>
          <w:lang w:val="zh-CN"/>
        </w:rPr>
        <w:t>五、自觉接受</w:t>
      </w:r>
      <w:r>
        <w:rPr>
          <w:color w:val="auto"/>
          <w:kern w:val="0"/>
          <w:sz w:val="24"/>
        </w:rPr>
        <w:t>相关</w:t>
      </w:r>
      <w:r>
        <w:rPr>
          <w:color w:val="auto"/>
          <w:kern w:val="0"/>
          <w:sz w:val="24"/>
          <w:lang w:val="zh-CN"/>
        </w:rPr>
        <w:t>部门、行业组织、社会公众、新闻舆论等监督；</w:t>
      </w:r>
    </w:p>
    <w:p w14:paraId="75C4187A">
      <w:pPr>
        <w:spacing w:line="360" w:lineRule="auto"/>
        <w:ind w:firstLine="480" w:firstLineChars="200"/>
        <w:rPr>
          <w:color w:val="auto"/>
          <w:kern w:val="0"/>
          <w:sz w:val="24"/>
          <w:lang w:val="zh-CN"/>
        </w:rPr>
      </w:pPr>
      <w:r>
        <w:rPr>
          <w:color w:val="auto"/>
          <w:kern w:val="0"/>
          <w:sz w:val="24"/>
          <w:lang w:val="zh-CN"/>
        </w:rPr>
        <w:t>六、上述承诺已向本单位员工作了宣传教育；</w:t>
      </w:r>
    </w:p>
    <w:p w14:paraId="517E6E97">
      <w:pPr>
        <w:spacing w:line="360" w:lineRule="auto"/>
        <w:ind w:firstLine="482" w:firstLineChars="200"/>
        <w:rPr>
          <w:b/>
          <w:color w:val="auto"/>
          <w:kern w:val="0"/>
          <w:sz w:val="24"/>
          <w:lang w:val="zh-CN"/>
        </w:rPr>
      </w:pPr>
      <w:r>
        <w:rPr>
          <w:b/>
          <w:color w:val="auto"/>
          <w:kern w:val="0"/>
          <w:sz w:val="24"/>
          <w:lang w:val="zh-CN"/>
        </w:rPr>
        <w:t>如有违反上述承诺的不良行为，本单位同意将其予以上网公示。</w:t>
      </w:r>
    </w:p>
    <w:p w14:paraId="4CDB78E9">
      <w:pPr>
        <w:spacing w:line="360" w:lineRule="auto"/>
        <w:rPr>
          <w:color w:val="auto"/>
          <w:kern w:val="0"/>
          <w:sz w:val="24"/>
          <w:lang w:val="zh-CN"/>
        </w:rPr>
      </w:pPr>
    </w:p>
    <w:p w14:paraId="42F0CB88">
      <w:pPr>
        <w:spacing w:line="360" w:lineRule="auto"/>
        <w:ind w:firstLine="4560" w:firstLineChars="1900"/>
        <w:rPr>
          <w:color w:val="auto"/>
          <w:kern w:val="0"/>
          <w:sz w:val="24"/>
          <w:lang w:val="zh-CN"/>
        </w:rPr>
      </w:pPr>
    </w:p>
    <w:p w14:paraId="33FA278E">
      <w:pPr>
        <w:spacing w:line="360" w:lineRule="auto"/>
        <w:jc w:val="center"/>
        <w:rPr>
          <w:color w:val="auto"/>
          <w:kern w:val="0"/>
          <w:sz w:val="24"/>
          <w:lang w:val="zh-CN"/>
        </w:rPr>
      </w:pPr>
      <w:r>
        <w:rPr>
          <w:color w:val="auto"/>
          <w:sz w:val="24"/>
        </w:rPr>
        <w:t xml:space="preserve">   投标人</w:t>
      </w:r>
      <w:r>
        <w:rPr>
          <w:bCs/>
          <w:color w:val="auto"/>
          <w:sz w:val="24"/>
          <w:szCs w:val="21"/>
        </w:rPr>
        <w:t>（盖单位公章）</w:t>
      </w:r>
      <w:r>
        <w:rPr>
          <w:color w:val="auto"/>
          <w:sz w:val="24"/>
        </w:rPr>
        <w:t>：</w:t>
      </w:r>
    </w:p>
    <w:p w14:paraId="27BE5A9C">
      <w:pPr>
        <w:spacing w:line="360" w:lineRule="auto"/>
        <w:jc w:val="center"/>
        <w:rPr>
          <w:color w:val="auto"/>
          <w:sz w:val="24"/>
          <w:u w:val="single"/>
          <w:lang w:val="zh-CN"/>
        </w:rPr>
      </w:pPr>
      <w:r>
        <w:rPr>
          <w:color w:val="auto"/>
          <w:kern w:val="0"/>
          <w:sz w:val="24"/>
          <w:lang w:val="zh-CN"/>
        </w:rPr>
        <w:t>法定代表人或</w:t>
      </w:r>
      <w:r>
        <w:rPr>
          <w:color w:val="auto"/>
          <w:kern w:val="0"/>
          <w:sz w:val="24"/>
        </w:rPr>
        <w:t>其委托代理人</w:t>
      </w:r>
      <w:r>
        <w:rPr>
          <w:color w:val="auto"/>
          <w:kern w:val="0"/>
          <w:sz w:val="24"/>
          <w:lang w:val="zh-CN"/>
        </w:rPr>
        <w:t>（签字或盖章）：</w:t>
      </w:r>
    </w:p>
    <w:p w14:paraId="6FB74B54">
      <w:pPr>
        <w:spacing w:line="360" w:lineRule="auto"/>
        <w:ind w:firstLine="4320" w:firstLineChars="1800"/>
        <w:rPr>
          <w:color w:val="auto"/>
          <w:kern w:val="0"/>
          <w:sz w:val="24"/>
          <w:lang w:val="zh-CN"/>
        </w:rPr>
      </w:pPr>
      <w:r>
        <w:rPr>
          <w:color w:val="auto"/>
          <w:kern w:val="0"/>
          <w:sz w:val="24"/>
          <w:lang w:val="zh-CN"/>
        </w:rPr>
        <w:t xml:space="preserve">  年  月   日</w:t>
      </w:r>
    </w:p>
    <w:p w14:paraId="2889F55C">
      <w:pPr>
        <w:adjustRightInd w:val="0"/>
        <w:snapToGrid w:val="0"/>
        <w:spacing w:line="240" w:lineRule="atLeast"/>
        <w:jc w:val="center"/>
        <w:rPr>
          <w:color w:val="auto"/>
          <w:sz w:val="24"/>
        </w:rPr>
      </w:pPr>
    </w:p>
    <w:p w14:paraId="04F9259B">
      <w:pPr>
        <w:pStyle w:val="19"/>
        <w:ind w:left="0" w:leftChars="0" w:firstLine="0" w:firstLineChars="0"/>
        <w:rPr>
          <w:color w:val="auto"/>
          <w:kern w:val="0"/>
          <w:sz w:val="32"/>
          <w:szCs w:val="32"/>
        </w:rPr>
      </w:pPr>
    </w:p>
    <w:p w14:paraId="454F5E79">
      <w:pPr>
        <w:pStyle w:val="19"/>
        <w:snapToGrid w:val="0"/>
        <w:spacing w:line="400" w:lineRule="exact"/>
        <w:ind w:left="0" w:leftChars="0" w:firstLine="0" w:firstLineChars="0"/>
        <w:contextualSpacing/>
        <w:rPr>
          <w:rFonts w:hint="eastAsia"/>
          <w:b/>
          <w:color w:val="auto"/>
          <w:sz w:val="36"/>
          <w:szCs w:val="36"/>
        </w:rPr>
      </w:pPr>
    </w:p>
    <w:p w14:paraId="125197D2">
      <w:pPr>
        <w:pStyle w:val="19"/>
        <w:snapToGrid w:val="0"/>
        <w:spacing w:line="400" w:lineRule="exact"/>
        <w:ind w:left="0" w:leftChars="0" w:firstLine="0" w:firstLineChars="0"/>
        <w:contextualSpacing/>
        <w:rPr>
          <w:b/>
          <w:color w:val="auto"/>
          <w:sz w:val="36"/>
          <w:szCs w:val="36"/>
        </w:rPr>
      </w:pPr>
      <w:r>
        <w:rPr>
          <w:rFonts w:hint="eastAsia"/>
          <w:b/>
          <w:color w:val="auto"/>
          <w:sz w:val="36"/>
          <w:szCs w:val="36"/>
        </w:rPr>
        <w:t>附件5</w:t>
      </w:r>
    </w:p>
    <w:p w14:paraId="7582A45F">
      <w:pPr>
        <w:tabs>
          <w:tab w:val="left" w:pos="1260"/>
        </w:tabs>
        <w:snapToGrid w:val="0"/>
        <w:spacing w:line="300" w:lineRule="auto"/>
        <w:contextualSpacing/>
        <w:jc w:val="center"/>
        <w:rPr>
          <w:rFonts w:ascii="宋体" w:hAnsi="宋体"/>
          <w:b/>
          <w:color w:val="auto"/>
          <w:sz w:val="32"/>
          <w:szCs w:val="32"/>
        </w:rPr>
      </w:pPr>
      <w:r>
        <w:rPr>
          <w:rFonts w:hint="eastAsia" w:ascii="宋体" w:hAnsi="宋体"/>
          <w:b/>
          <w:color w:val="auto"/>
          <w:sz w:val="32"/>
          <w:szCs w:val="32"/>
        </w:rPr>
        <w:t>投标人情况一览表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94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28A4381">
            <w:pPr>
              <w:tabs>
                <w:tab w:val="left" w:pos="4320"/>
              </w:tabs>
              <w:jc w:val="center"/>
              <w:rPr>
                <w:rFonts w:ascii="宋体" w:hAnsi="宋体"/>
                <w:color w:val="auto"/>
                <w:sz w:val="24"/>
              </w:rPr>
            </w:pPr>
            <w:r>
              <w:rPr>
                <w:rFonts w:hint="eastAsia" w:ascii="宋体" w:hAnsi="宋体"/>
                <w:color w:val="auto"/>
                <w:sz w:val="24"/>
              </w:rPr>
              <w:t>单位名称</w:t>
            </w:r>
          </w:p>
        </w:tc>
        <w:tc>
          <w:tcPr>
            <w:tcW w:w="7923" w:type="dxa"/>
            <w:gridSpan w:val="10"/>
            <w:tcBorders>
              <w:top w:val="double" w:color="auto" w:sz="4" w:space="0"/>
              <w:right w:val="double" w:color="auto" w:sz="4" w:space="0"/>
            </w:tcBorders>
            <w:vAlign w:val="center"/>
          </w:tcPr>
          <w:p w14:paraId="6ED06214">
            <w:pPr>
              <w:tabs>
                <w:tab w:val="left" w:pos="4320"/>
              </w:tabs>
              <w:rPr>
                <w:rFonts w:ascii="宋体" w:hAnsi="宋体"/>
                <w:color w:val="auto"/>
                <w:sz w:val="24"/>
              </w:rPr>
            </w:pPr>
          </w:p>
        </w:tc>
      </w:tr>
      <w:tr w14:paraId="37A5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1DF04C58">
            <w:pPr>
              <w:tabs>
                <w:tab w:val="left" w:pos="4320"/>
              </w:tabs>
              <w:rPr>
                <w:rFonts w:ascii="宋体" w:hAnsi="宋体"/>
                <w:color w:val="auto"/>
                <w:sz w:val="24"/>
              </w:rPr>
            </w:pPr>
            <w:r>
              <w:rPr>
                <w:rFonts w:hint="eastAsia" w:ascii="宋体" w:hAnsi="宋体"/>
                <w:color w:val="auto"/>
                <w:sz w:val="24"/>
              </w:rPr>
              <w:t>单位优势及特长</w:t>
            </w:r>
          </w:p>
        </w:tc>
        <w:tc>
          <w:tcPr>
            <w:tcW w:w="7072" w:type="dxa"/>
            <w:gridSpan w:val="9"/>
            <w:tcBorders>
              <w:left w:val="single" w:color="auto" w:sz="4" w:space="0"/>
              <w:right w:val="double" w:color="auto" w:sz="4" w:space="0"/>
            </w:tcBorders>
            <w:vAlign w:val="center"/>
          </w:tcPr>
          <w:p w14:paraId="1B36DDAC">
            <w:pPr>
              <w:tabs>
                <w:tab w:val="left" w:pos="4320"/>
              </w:tabs>
              <w:rPr>
                <w:rFonts w:ascii="宋体" w:hAnsi="宋体"/>
                <w:color w:val="auto"/>
                <w:sz w:val="24"/>
              </w:rPr>
            </w:pPr>
          </w:p>
        </w:tc>
      </w:tr>
      <w:tr w14:paraId="3167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BBF9C9A">
            <w:pPr>
              <w:tabs>
                <w:tab w:val="left" w:pos="4320"/>
              </w:tabs>
              <w:ind w:left="266" w:hanging="266" w:hangingChars="111"/>
              <w:rPr>
                <w:rFonts w:ascii="宋体" w:hAnsi="宋体"/>
                <w:color w:val="auto"/>
                <w:sz w:val="24"/>
              </w:rPr>
            </w:pPr>
            <w:r>
              <w:rPr>
                <w:rFonts w:hint="eastAsia" w:ascii="宋体" w:hAnsi="宋体"/>
                <w:color w:val="auto"/>
                <w:sz w:val="24"/>
              </w:rPr>
              <w:t>单位</w:t>
            </w:r>
          </w:p>
          <w:p w14:paraId="5F4B8165">
            <w:pPr>
              <w:tabs>
                <w:tab w:val="left" w:pos="4320"/>
              </w:tabs>
              <w:ind w:left="266" w:hanging="266" w:hangingChars="111"/>
              <w:rPr>
                <w:rFonts w:ascii="宋体" w:hAnsi="宋体"/>
                <w:color w:val="auto"/>
                <w:sz w:val="24"/>
              </w:rPr>
            </w:pPr>
            <w:r>
              <w:rPr>
                <w:rFonts w:hint="eastAsia" w:ascii="宋体" w:hAnsi="宋体"/>
                <w:color w:val="auto"/>
                <w:sz w:val="24"/>
              </w:rPr>
              <w:t>概况</w:t>
            </w:r>
          </w:p>
        </w:tc>
        <w:tc>
          <w:tcPr>
            <w:tcW w:w="1276" w:type="dxa"/>
            <w:gridSpan w:val="2"/>
            <w:vAlign w:val="center"/>
          </w:tcPr>
          <w:p w14:paraId="7E570E41">
            <w:pPr>
              <w:tabs>
                <w:tab w:val="left" w:pos="4320"/>
              </w:tabs>
              <w:jc w:val="center"/>
              <w:rPr>
                <w:rFonts w:ascii="宋体" w:hAnsi="宋体"/>
                <w:color w:val="auto"/>
                <w:sz w:val="24"/>
              </w:rPr>
            </w:pPr>
            <w:r>
              <w:rPr>
                <w:rFonts w:hint="eastAsia" w:ascii="宋体" w:hAnsi="宋体"/>
                <w:color w:val="auto"/>
                <w:sz w:val="24"/>
              </w:rPr>
              <w:t>职工总数</w:t>
            </w:r>
          </w:p>
        </w:tc>
        <w:tc>
          <w:tcPr>
            <w:tcW w:w="1417" w:type="dxa"/>
            <w:gridSpan w:val="2"/>
            <w:vAlign w:val="center"/>
          </w:tcPr>
          <w:p w14:paraId="4C454BCC">
            <w:pPr>
              <w:tabs>
                <w:tab w:val="left" w:pos="4320"/>
              </w:tabs>
              <w:jc w:val="right"/>
              <w:rPr>
                <w:rFonts w:ascii="宋体" w:hAnsi="宋体"/>
                <w:color w:val="auto"/>
                <w:sz w:val="24"/>
              </w:rPr>
            </w:pPr>
            <w:r>
              <w:rPr>
                <w:rFonts w:hint="eastAsia" w:ascii="宋体" w:hAnsi="宋体"/>
                <w:color w:val="auto"/>
                <w:sz w:val="24"/>
              </w:rPr>
              <w:t>人</w:t>
            </w:r>
          </w:p>
        </w:tc>
        <w:tc>
          <w:tcPr>
            <w:tcW w:w="567" w:type="dxa"/>
            <w:vMerge w:val="restart"/>
            <w:vAlign w:val="center"/>
          </w:tcPr>
          <w:p w14:paraId="1386080E">
            <w:pPr>
              <w:tabs>
                <w:tab w:val="left" w:pos="4320"/>
              </w:tabs>
              <w:rPr>
                <w:rFonts w:ascii="宋体" w:hAnsi="宋体"/>
                <w:color w:val="auto"/>
                <w:sz w:val="24"/>
              </w:rPr>
            </w:pPr>
            <w:r>
              <w:rPr>
                <w:rFonts w:hint="eastAsia" w:ascii="宋体" w:hAnsi="宋体"/>
                <w:color w:val="auto"/>
                <w:sz w:val="24"/>
              </w:rPr>
              <w:t>上一年主要经济指标</w:t>
            </w:r>
          </w:p>
        </w:tc>
        <w:tc>
          <w:tcPr>
            <w:tcW w:w="946" w:type="dxa"/>
            <w:vAlign w:val="center"/>
          </w:tcPr>
          <w:p w14:paraId="27B1A2FF">
            <w:pPr>
              <w:tabs>
                <w:tab w:val="left" w:pos="4320"/>
              </w:tabs>
              <w:jc w:val="center"/>
              <w:rPr>
                <w:rFonts w:ascii="宋体" w:hAnsi="宋体"/>
                <w:color w:val="auto"/>
                <w:sz w:val="24"/>
              </w:rPr>
            </w:pPr>
            <w:r>
              <w:rPr>
                <w:rFonts w:hint="eastAsia" w:ascii="宋体" w:hAnsi="宋体"/>
                <w:color w:val="auto"/>
                <w:sz w:val="24"/>
              </w:rPr>
              <w:t>营业额</w:t>
            </w:r>
          </w:p>
        </w:tc>
        <w:tc>
          <w:tcPr>
            <w:tcW w:w="1414" w:type="dxa"/>
            <w:gridSpan w:val="2"/>
            <w:vAlign w:val="center"/>
          </w:tcPr>
          <w:p w14:paraId="6E3E1DA8">
            <w:pPr>
              <w:tabs>
                <w:tab w:val="left" w:pos="4320"/>
              </w:tabs>
              <w:rPr>
                <w:rFonts w:ascii="宋体" w:hAnsi="宋体"/>
                <w:color w:val="auto"/>
                <w:sz w:val="24"/>
              </w:rPr>
            </w:pPr>
          </w:p>
        </w:tc>
        <w:tc>
          <w:tcPr>
            <w:tcW w:w="1184" w:type="dxa"/>
            <w:gridSpan w:val="2"/>
            <w:vAlign w:val="center"/>
          </w:tcPr>
          <w:p w14:paraId="5E93CA15">
            <w:pPr>
              <w:tabs>
                <w:tab w:val="left" w:pos="4320"/>
              </w:tabs>
              <w:jc w:val="center"/>
              <w:rPr>
                <w:rFonts w:ascii="宋体" w:hAnsi="宋体"/>
                <w:color w:val="auto"/>
                <w:sz w:val="24"/>
              </w:rPr>
            </w:pPr>
            <w:r>
              <w:rPr>
                <w:rFonts w:hint="eastAsia" w:ascii="宋体" w:hAnsi="宋体"/>
                <w:color w:val="auto"/>
                <w:sz w:val="24"/>
              </w:rPr>
              <w:t>实现利润</w:t>
            </w:r>
          </w:p>
        </w:tc>
        <w:tc>
          <w:tcPr>
            <w:tcW w:w="1544" w:type="dxa"/>
            <w:tcBorders>
              <w:right w:val="double" w:color="auto" w:sz="4" w:space="0"/>
            </w:tcBorders>
            <w:vAlign w:val="center"/>
          </w:tcPr>
          <w:p w14:paraId="698751F4">
            <w:pPr>
              <w:tabs>
                <w:tab w:val="left" w:pos="4320"/>
              </w:tabs>
              <w:rPr>
                <w:rFonts w:ascii="宋体" w:hAnsi="宋体"/>
                <w:color w:val="auto"/>
                <w:sz w:val="24"/>
              </w:rPr>
            </w:pPr>
          </w:p>
        </w:tc>
      </w:tr>
      <w:tr w14:paraId="3CD4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BE04E0A">
            <w:pPr>
              <w:tabs>
                <w:tab w:val="left" w:pos="4320"/>
              </w:tabs>
              <w:ind w:left="266" w:hanging="266" w:hangingChars="111"/>
              <w:rPr>
                <w:rFonts w:ascii="宋体" w:hAnsi="宋体"/>
                <w:color w:val="auto"/>
                <w:sz w:val="24"/>
              </w:rPr>
            </w:pPr>
          </w:p>
        </w:tc>
        <w:tc>
          <w:tcPr>
            <w:tcW w:w="1276" w:type="dxa"/>
            <w:gridSpan w:val="2"/>
            <w:vAlign w:val="center"/>
          </w:tcPr>
          <w:p w14:paraId="382AFB6E">
            <w:pPr>
              <w:tabs>
                <w:tab w:val="left" w:pos="4320"/>
              </w:tabs>
              <w:jc w:val="center"/>
              <w:rPr>
                <w:rFonts w:ascii="宋体" w:hAnsi="宋体"/>
                <w:color w:val="auto"/>
                <w:sz w:val="24"/>
              </w:rPr>
            </w:pPr>
            <w:r>
              <w:rPr>
                <w:rFonts w:hint="eastAsia" w:ascii="宋体" w:hAnsi="宋体"/>
                <w:color w:val="auto"/>
                <w:sz w:val="24"/>
              </w:rPr>
              <w:t>流动资金</w:t>
            </w:r>
          </w:p>
        </w:tc>
        <w:tc>
          <w:tcPr>
            <w:tcW w:w="1417" w:type="dxa"/>
            <w:gridSpan w:val="2"/>
            <w:vAlign w:val="center"/>
          </w:tcPr>
          <w:p w14:paraId="135018A4">
            <w:pPr>
              <w:tabs>
                <w:tab w:val="left" w:pos="4320"/>
              </w:tabs>
              <w:jc w:val="right"/>
              <w:rPr>
                <w:rFonts w:ascii="宋体" w:hAnsi="宋体"/>
                <w:color w:val="auto"/>
                <w:sz w:val="24"/>
              </w:rPr>
            </w:pPr>
            <w:r>
              <w:rPr>
                <w:rFonts w:hint="eastAsia" w:ascii="宋体" w:hAnsi="宋体"/>
                <w:color w:val="auto"/>
                <w:sz w:val="24"/>
              </w:rPr>
              <w:t>万元</w:t>
            </w:r>
          </w:p>
        </w:tc>
        <w:tc>
          <w:tcPr>
            <w:tcW w:w="567" w:type="dxa"/>
            <w:vMerge w:val="continue"/>
            <w:vAlign w:val="center"/>
          </w:tcPr>
          <w:p w14:paraId="2765197A">
            <w:pPr>
              <w:tabs>
                <w:tab w:val="left" w:pos="4320"/>
              </w:tabs>
              <w:rPr>
                <w:rFonts w:ascii="宋体" w:hAnsi="宋体"/>
                <w:color w:val="auto"/>
                <w:sz w:val="24"/>
              </w:rPr>
            </w:pPr>
          </w:p>
        </w:tc>
        <w:tc>
          <w:tcPr>
            <w:tcW w:w="946" w:type="dxa"/>
            <w:vMerge w:val="restart"/>
            <w:vAlign w:val="center"/>
          </w:tcPr>
          <w:p w14:paraId="269E3F58">
            <w:pPr>
              <w:tabs>
                <w:tab w:val="left" w:pos="4320"/>
              </w:tabs>
              <w:jc w:val="center"/>
              <w:rPr>
                <w:rFonts w:ascii="宋体" w:hAnsi="宋体"/>
                <w:color w:val="auto"/>
                <w:sz w:val="24"/>
              </w:rPr>
            </w:pPr>
            <w:r>
              <w:rPr>
                <w:rFonts w:hint="eastAsia" w:ascii="宋体" w:hAnsi="宋体"/>
                <w:color w:val="auto"/>
                <w:sz w:val="24"/>
              </w:rPr>
              <w:t>主要</w:t>
            </w:r>
          </w:p>
          <w:p w14:paraId="67823F0D">
            <w:pPr>
              <w:tabs>
                <w:tab w:val="left" w:pos="4320"/>
              </w:tabs>
              <w:jc w:val="center"/>
              <w:rPr>
                <w:rFonts w:ascii="宋体" w:hAnsi="宋体"/>
                <w:color w:val="auto"/>
                <w:sz w:val="24"/>
              </w:rPr>
            </w:pPr>
            <w:r>
              <w:rPr>
                <w:rFonts w:hint="eastAsia" w:ascii="宋体" w:hAnsi="宋体"/>
                <w:color w:val="auto"/>
                <w:sz w:val="24"/>
              </w:rPr>
              <w:t>产品</w:t>
            </w:r>
          </w:p>
        </w:tc>
        <w:tc>
          <w:tcPr>
            <w:tcW w:w="4142" w:type="dxa"/>
            <w:gridSpan w:val="5"/>
            <w:tcBorders>
              <w:right w:val="double" w:color="auto" w:sz="4" w:space="0"/>
            </w:tcBorders>
            <w:vAlign w:val="center"/>
          </w:tcPr>
          <w:p w14:paraId="3B2AE7EB">
            <w:pPr>
              <w:tabs>
                <w:tab w:val="left" w:pos="4320"/>
              </w:tabs>
              <w:spacing w:before="120" w:after="120"/>
              <w:rPr>
                <w:rFonts w:ascii="宋体" w:hAnsi="宋体"/>
                <w:color w:val="auto"/>
                <w:sz w:val="24"/>
              </w:rPr>
            </w:pPr>
            <w:r>
              <w:rPr>
                <w:rFonts w:hint="eastAsia" w:ascii="宋体" w:hAnsi="宋体"/>
                <w:color w:val="auto"/>
                <w:sz w:val="24"/>
              </w:rPr>
              <w:t>1.</w:t>
            </w:r>
          </w:p>
        </w:tc>
      </w:tr>
      <w:tr w14:paraId="50C4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72339308">
            <w:pPr>
              <w:tabs>
                <w:tab w:val="left" w:pos="4320"/>
              </w:tabs>
              <w:ind w:left="266" w:hanging="266" w:hangingChars="111"/>
              <w:rPr>
                <w:rFonts w:ascii="宋体" w:hAnsi="宋体"/>
                <w:color w:val="auto"/>
                <w:sz w:val="24"/>
              </w:rPr>
            </w:pPr>
          </w:p>
        </w:tc>
        <w:tc>
          <w:tcPr>
            <w:tcW w:w="1276" w:type="dxa"/>
            <w:gridSpan w:val="2"/>
            <w:vAlign w:val="center"/>
          </w:tcPr>
          <w:p w14:paraId="7561C7CE">
            <w:pPr>
              <w:tabs>
                <w:tab w:val="left" w:pos="4320"/>
              </w:tabs>
              <w:jc w:val="center"/>
              <w:rPr>
                <w:rFonts w:ascii="宋体" w:hAnsi="宋体"/>
                <w:color w:val="auto"/>
                <w:sz w:val="24"/>
              </w:rPr>
            </w:pPr>
            <w:r>
              <w:rPr>
                <w:rFonts w:hint="eastAsia" w:ascii="宋体" w:hAnsi="宋体"/>
                <w:color w:val="auto"/>
                <w:sz w:val="24"/>
              </w:rPr>
              <w:t>固定资产</w:t>
            </w:r>
          </w:p>
          <w:p w14:paraId="61BCB783">
            <w:pPr>
              <w:tabs>
                <w:tab w:val="left" w:pos="4320"/>
              </w:tabs>
              <w:jc w:val="center"/>
              <w:rPr>
                <w:rFonts w:ascii="宋体" w:hAnsi="宋体"/>
                <w:color w:val="auto"/>
                <w:sz w:val="24"/>
              </w:rPr>
            </w:pPr>
            <w:r>
              <w:rPr>
                <w:rFonts w:hint="eastAsia" w:ascii="宋体" w:hAnsi="宋体"/>
                <w:color w:val="auto"/>
                <w:sz w:val="24"/>
              </w:rPr>
              <w:t>（万元）</w:t>
            </w:r>
          </w:p>
        </w:tc>
        <w:tc>
          <w:tcPr>
            <w:tcW w:w="1417" w:type="dxa"/>
            <w:gridSpan w:val="2"/>
            <w:vAlign w:val="center"/>
          </w:tcPr>
          <w:p w14:paraId="5A3E376D">
            <w:pPr>
              <w:tabs>
                <w:tab w:val="left" w:pos="-48"/>
                <w:tab w:val="left" w:pos="4320"/>
              </w:tabs>
              <w:ind w:right="-133" w:hanging="48"/>
              <w:rPr>
                <w:rFonts w:ascii="宋体" w:hAnsi="宋体"/>
                <w:color w:val="auto"/>
                <w:sz w:val="24"/>
              </w:rPr>
            </w:pPr>
            <w:r>
              <w:rPr>
                <w:rFonts w:hint="eastAsia" w:ascii="宋体" w:hAnsi="宋体"/>
                <w:color w:val="auto"/>
                <w:sz w:val="24"/>
              </w:rPr>
              <w:t>原值：</w:t>
            </w:r>
          </w:p>
          <w:p w14:paraId="072BB539">
            <w:pPr>
              <w:tabs>
                <w:tab w:val="left" w:pos="-48"/>
                <w:tab w:val="left" w:pos="4320"/>
              </w:tabs>
              <w:ind w:hanging="48"/>
              <w:jc w:val="right"/>
              <w:rPr>
                <w:rFonts w:ascii="宋体" w:hAnsi="宋体"/>
                <w:color w:val="auto"/>
                <w:sz w:val="24"/>
              </w:rPr>
            </w:pPr>
          </w:p>
          <w:p w14:paraId="694B1967">
            <w:pPr>
              <w:tabs>
                <w:tab w:val="left" w:pos="-48"/>
                <w:tab w:val="left" w:pos="4320"/>
              </w:tabs>
              <w:ind w:right="-133" w:hanging="48"/>
              <w:rPr>
                <w:rFonts w:ascii="宋体" w:hAnsi="宋体"/>
                <w:color w:val="auto"/>
                <w:sz w:val="24"/>
              </w:rPr>
            </w:pPr>
            <w:r>
              <w:rPr>
                <w:rFonts w:hint="eastAsia" w:ascii="宋体" w:hAnsi="宋体"/>
                <w:color w:val="auto"/>
                <w:sz w:val="24"/>
              </w:rPr>
              <w:t>净值：</w:t>
            </w:r>
          </w:p>
          <w:p w14:paraId="30C6FE8A">
            <w:pPr>
              <w:tabs>
                <w:tab w:val="left" w:pos="-48"/>
                <w:tab w:val="left" w:pos="4320"/>
              </w:tabs>
              <w:ind w:hanging="48"/>
              <w:jc w:val="right"/>
              <w:rPr>
                <w:rFonts w:ascii="宋体" w:hAnsi="宋体"/>
                <w:color w:val="auto"/>
                <w:sz w:val="24"/>
              </w:rPr>
            </w:pPr>
          </w:p>
        </w:tc>
        <w:tc>
          <w:tcPr>
            <w:tcW w:w="567" w:type="dxa"/>
            <w:vMerge w:val="continue"/>
            <w:vAlign w:val="center"/>
          </w:tcPr>
          <w:p w14:paraId="2558B236">
            <w:pPr>
              <w:tabs>
                <w:tab w:val="left" w:pos="4320"/>
              </w:tabs>
              <w:rPr>
                <w:rFonts w:ascii="宋体" w:hAnsi="宋体"/>
                <w:color w:val="auto"/>
                <w:sz w:val="24"/>
              </w:rPr>
            </w:pPr>
          </w:p>
        </w:tc>
        <w:tc>
          <w:tcPr>
            <w:tcW w:w="946" w:type="dxa"/>
            <w:vMerge w:val="continue"/>
            <w:vAlign w:val="center"/>
          </w:tcPr>
          <w:p w14:paraId="1C132F2E">
            <w:pPr>
              <w:tabs>
                <w:tab w:val="left" w:pos="4320"/>
              </w:tabs>
              <w:jc w:val="center"/>
              <w:rPr>
                <w:rFonts w:ascii="宋体" w:hAnsi="宋体"/>
                <w:color w:val="auto"/>
                <w:sz w:val="24"/>
              </w:rPr>
            </w:pPr>
          </w:p>
        </w:tc>
        <w:tc>
          <w:tcPr>
            <w:tcW w:w="4142" w:type="dxa"/>
            <w:gridSpan w:val="5"/>
            <w:tcBorders>
              <w:right w:val="double" w:color="auto" w:sz="4" w:space="0"/>
            </w:tcBorders>
            <w:vAlign w:val="center"/>
          </w:tcPr>
          <w:p w14:paraId="137BCC25">
            <w:pPr>
              <w:tabs>
                <w:tab w:val="left" w:pos="4320"/>
              </w:tabs>
              <w:rPr>
                <w:rFonts w:ascii="宋体" w:hAnsi="宋体"/>
                <w:color w:val="auto"/>
                <w:sz w:val="24"/>
              </w:rPr>
            </w:pPr>
            <w:r>
              <w:rPr>
                <w:rFonts w:hint="eastAsia" w:ascii="宋体" w:hAnsi="宋体"/>
                <w:color w:val="auto"/>
                <w:sz w:val="24"/>
              </w:rPr>
              <w:t>2.</w:t>
            </w:r>
          </w:p>
        </w:tc>
      </w:tr>
      <w:tr w14:paraId="5E77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7F36741">
            <w:pPr>
              <w:tabs>
                <w:tab w:val="left" w:pos="4320"/>
              </w:tabs>
              <w:ind w:left="266" w:hanging="266" w:hangingChars="111"/>
              <w:rPr>
                <w:rFonts w:ascii="宋体" w:hAnsi="宋体"/>
                <w:color w:val="auto"/>
                <w:sz w:val="24"/>
              </w:rPr>
            </w:pPr>
          </w:p>
        </w:tc>
        <w:tc>
          <w:tcPr>
            <w:tcW w:w="1276" w:type="dxa"/>
            <w:gridSpan w:val="2"/>
            <w:vAlign w:val="center"/>
          </w:tcPr>
          <w:p w14:paraId="3382ACDD">
            <w:pPr>
              <w:tabs>
                <w:tab w:val="left" w:pos="4320"/>
              </w:tabs>
              <w:jc w:val="center"/>
              <w:rPr>
                <w:rFonts w:ascii="宋体" w:hAnsi="宋体"/>
                <w:color w:val="auto"/>
                <w:sz w:val="24"/>
              </w:rPr>
            </w:pPr>
            <w:r>
              <w:rPr>
                <w:rFonts w:hint="eastAsia" w:ascii="宋体" w:hAnsi="宋体"/>
                <w:color w:val="auto"/>
                <w:sz w:val="24"/>
              </w:rPr>
              <w:t>占地面积</w:t>
            </w:r>
          </w:p>
        </w:tc>
        <w:tc>
          <w:tcPr>
            <w:tcW w:w="1417" w:type="dxa"/>
            <w:gridSpan w:val="2"/>
            <w:vAlign w:val="center"/>
          </w:tcPr>
          <w:p w14:paraId="29F8DEB3">
            <w:pPr>
              <w:tabs>
                <w:tab w:val="left" w:pos="4320"/>
              </w:tabs>
              <w:jc w:val="right"/>
              <w:rPr>
                <w:rFonts w:ascii="宋体" w:hAnsi="宋体"/>
                <w:color w:val="auto"/>
                <w:sz w:val="24"/>
              </w:rPr>
            </w:pPr>
            <w:r>
              <w:rPr>
                <w:rFonts w:hint="eastAsia" w:ascii="宋体" w:hAnsi="宋体"/>
                <w:color w:val="auto"/>
                <w:sz w:val="24"/>
              </w:rPr>
              <w:t>M</w:t>
            </w:r>
            <w:r>
              <w:rPr>
                <w:rFonts w:hint="eastAsia" w:ascii="宋体" w:hAnsi="宋体"/>
                <w:color w:val="auto"/>
                <w:sz w:val="24"/>
                <w:vertAlign w:val="superscript"/>
              </w:rPr>
              <w:t>2</w:t>
            </w:r>
          </w:p>
        </w:tc>
        <w:tc>
          <w:tcPr>
            <w:tcW w:w="567" w:type="dxa"/>
            <w:vMerge w:val="continue"/>
            <w:vAlign w:val="center"/>
          </w:tcPr>
          <w:p w14:paraId="5631BC60">
            <w:pPr>
              <w:tabs>
                <w:tab w:val="left" w:pos="4320"/>
              </w:tabs>
              <w:rPr>
                <w:rFonts w:ascii="宋体" w:hAnsi="宋体"/>
                <w:color w:val="auto"/>
                <w:sz w:val="24"/>
              </w:rPr>
            </w:pPr>
          </w:p>
        </w:tc>
        <w:tc>
          <w:tcPr>
            <w:tcW w:w="946" w:type="dxa"/>
            <w:vMerge w:val="continue"/>
            <w:vAlign w:val="center"/>
          </w:tcPr>
          <w:p w14:paraId="725F2463">
            <w:pPr>
              <w:tabs>
                <w:tab w:val="left" w:pos="4320"/>
              </w:tabs>
              <w:jc w:val="center"/>
              <w:rPr>
                <w:rFonts w:ascii="宋体" w:hAnsi="宋体"/>
                <w:color w:val="auto"/>
                <w:sz w:val="24"/>
              </w:rPr>
            </w:pPr>
          </w:p>
        </w:tc>
        <w:tc>
          <w:tcPr>
            <w:tcW w:w="4142" w:type="dxa"/>
            <w:gridSpan w:val="5"/>
            <w:tcBorders>
              <w:right w:val="double" w:color="auto" w:sz="4" w:space="0"/>
            </w:tcBorders>
            <w:vAlign w:val="center"/>
          </w:tcPr>
          <w:p w14:paraId="422D537F">
            <w:pPr>
              <w:tabs>
                <w:tab w:val="left" w:pos="4320"/>
              </w:tabs>
              <w:spacing w:before="120" w:after="120"/>
              <w:rPr>
                <w:rFonts w:ascii="宋体" w:hAnsi="宋体"/>
                <w:color w:val="auto"/>
                <w:sz w:val="24"/>
              </w:rPr>
            </w:pPr>
            <w:r>
              <w:rPr>
                <w:rFonts w:hint="eastAsia" w:ascii="宋体" w:hAnsi="宋体"/>
                <w:color w:val="auto"/>
                <w:sz w:val="24"/>
              </w:rPr>
              <w:t>3.</w:t>
            </w:r>
          </w:p>
        </w:tc>
      </w:tr>
      <w:tr w14:paraId="39CA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4FAF9352">
            <w:pPr>
              <w:tabs>
                <w:tab w:val="left" w:pos="4320"/>
              </w:tabs>
              <w:ind w:left="266" w:hanging="266" w:hangingChars="111"/>
              <w:rPr>
                <w:rFonts w:ascii="宋体" w:hAnsi="宋体"/>
                <w:color w:val="auto"/>
                <w:sz w:val="24"/>
              </w:rPr>
            </w:pPr>
            <w:r>
              <w:rPr>
                <w:rFonts w:hint="eastAsia" w:ascii="宋体" w:hAnsi="宋体"/>
                <w:color w:val="auto"/>
                <w:sz w:val="24"/>
              </w:rPr>
              <w:t>本次</w:t>
            </w:r>
          </w:p>
          <w:p w14:paraId="55A562BD">
            <w:pPr>
              <w:tabs>
                <w:tab w:val="left" w:pos="4320"/>
              </w:tabs>
              <w:ind w:left="266" w:hanging="266" w:hangingChars="111"/>
              <w:rPr>
                <w:rFonts w:ascii="宋体" w:hAnsi="宋体"/>
                <w:color w:val="auto"/>
                <w:sz w:val="24"/>
              </w:rPr>
            </w:pPr>
            <w:r>
              <w:rPr>
                <w:rFonts w:hint="eastAsia" w:ascii="宋体" w:hAnsi="宋体"/>
                <w:color w:val="auto"/>
                <w:sz w:val="24"/>
              </w:rPr>
              <w:t>投标</w:t>
            </w:r>
          </w:p>
          <w:p w14:paraId="0A0E837A">
            <w:pPr>
              <w:tabs>
                <w:tab w:val="left" w:pos="4320"/>
              </w:tabs>
              <w:ind w:left="266" w:hanging="266" w:hangingChars="111"/>
              <w:rPr>
                <w:rFonts w:ascii="宋体" w:hAnsi="宋体"/>
                <w:color w:val="auto"/>
                <w:sz w:val="24"/>
              </w:rPr>
            </w:pPr>
            <w:r>
              <w:rPr>
                <w:rFonts w:hint="eastAsia" w:ascii="宋体" w:hAnsi="宋体"/>
                <w:color w:val="auto"/>
                <w:sz w:val="24"/>
              </w:rPr>
              <w:t>产品</w:t>
            </w:r>
          </w:p>
          <w:p w14:paraId="7828C2FB">
            <w:pPr>
              <w:tabs>
                <w:tab w:val="left" w:pos="4320"/>
              </w:tabs>
              <w:ind w:left="266" w:hanging="266" w:hangingChars="111"/>
              <w:rPr>
                <w:rFonts w:ascii="宋体" w:hAnsi="宋体"/>
                <w:color w:val="auto"/>
                <w:sz w:val="24"/>
              </w:rPr>
            </w:pPr>
            <w:r>
              <w:rPr>
                <w:rFonts w:hint="eastAsia" w:ascii="宋体" w:hAnsi="宋体"/>
                <w:color w:val="auto"/>
                <w:sz w:val="24"/>
              </w:rPr>
              <w:t>情况</w:t>
            </w:r>
          </w:p>
        </w:tc>
        <w:tc>
          <w:tcPr>
            <w:tcW w:w="1643" w:type="dxa"/>
            <w:gridSpan w:val="3"/>
            <w:vAlign w:val="center"/>
          </w:tcPr>
          <w:p w14:paraId="4ED60339">
            <w:pPr>
              <w:tabs>
                <w:tab w:val="left" w:pos="4320"/>
              </w:tabs>
              <w:spacing w:before="60" w:after="60"/>
              <w:jc w:val="center"/>
              <w:rPr>
                <w:rFonts w:ascii="宋体" w:hAnsi="宋体"/>
                <w:color w:val="auto"/>
                <w:sz w:val="24"/>
              </w:rPr>
            </w:pPr>
            <w:r>
              <w:rPr>
                <w:rFonts w:hint="eastAsia" w:ascii="宋体" w:hAnsi="宋体"/>
                <w:color w:val="auto"/>
                <w:sz w:val="24"/>
              </w:rPr>
              <w:t>本次投标</w:t>
            </w:r>
            <w:r>
              <w:rPr>
                <w:rFonts w:ascii="宋体" w:hAnsi="宋体"/>
                <w:color w:val="auto"/>
                <w:sz w:val="24"/>
              </w:rPr>
              <w:br w:type="textWrapping"/>
            </w:r>
            <w:r>
              <w:rPr>
                <w:rFonts w:hint="eastAsia" w:ascii="宋体" w:hAnsi="宋体"/>
                <w:color w:val="auto"/>
                <w:sz w:val="24"/>
              </w:rPr>
              <w:t>产品名称</w:t>
            </w:r>
          </w:p>
        </w:tc>
        <w:tc>
          <w:tcPr>
            <w:tcW w:w="1617" w:type="dxa"/>
            <w:gridSpan w:val="2"/>
            <w:vAlign w:val="center"/>
          </w:tcPr>
          <w:p w14:paraId="62CC5182">
            <w:pPr>
              <w:tabs>
                <w:tab w:val="left" w:pos="4320"/>
              </w:tabs>
              <w:spacing w:before="60" w:after="60"/>
              <w:jc w:val="center"/>
              <w:rPr>
                <w:rFonts w:ascii="宋体" w:hAnsi="宋体"/>
                <w:color w:val="auto"/>
                <w:sz w:val="24"/>
              </w:rPr>
            </w:pPr>
            <w:r>
              <w:rPr>
                <w:rFonts w:hint="eastAsia" w:ascii="宋体" w:hAnsi="宋体"/>
                <w:color w:val="auto"/>
                <w:sz w:val="24"/>
              </w:rPr>
              <w:t>型    号</w:t>
            </w:r>
          </w:p>
        </w:tc>
        <w:tc>
          <w:tcPr>
            <w:tcW w:w="946" w:type="dxa"/>
            <w:vAlign w:val="center"/>
          </w:tcPr>
          <w:p w14:paraId="5D09F7E6">
            <w:pPr>
              <w:tabs>
                <w:tab w:val="left" w:pos="4320"/>
              </w:tabs>
              <w:spacing w:before="60" w:after="60"/>
              <w:jc w:val="center"/>
              <w:rPr>
                <w:rFonts w:ascii="宋体" w:hAnsi="宋体"/>
                <w:color w:val="auto"/>
                <w:sz w:val="24"/>
              </w:rPr>
            </w:pPr>
            <w:r>
              <w:rPr>
                <w:rFonts w:hint="eastAsia" w:ascii="宋体" w:hAnsi="宋体"/>
                <w:color w:val="auto"/>
                <w:sz w:val="24"/>
              </w:rPr>
              <w:t>上年</w:t>
            </w:r>
            <w:r>
              <w:rPr>
                <w:rFonts w:ascii="宋体" w:hAnsi="宋体"/>
                <w:color w:val="auto"/>
                <w:sz w:val="24"/>
              </w:rPr>
              <w:br w:type="textWrapping"/>
            </w:r>
            <w:r>
              <w:rPr>
                <w:rFonts w:hint="eastAsia" w:ascii="宋体" w:hAnsi="宋体"/>
                <w:color w:val="auto"/>
                <w:sz w:val="24"/>
              </w:rPr>
              <w:t>产销量</w:t>
            </w:r>
          </w:p>
        </w:tc>
        <w:tc>
          <w:tcPr>
            <w:tcW w:w="1263" w:type="dxa"/>
            <w:vAlign w:val="center"/>
          </w:tcPr>
          <w:p w14:paraId="1501A6BE">
            <w:pPr>
              <w:tabs>
                <w:tab w:val="left" w:pos="4320"/>
              </w:tabs>
              <w:spacing w:before="60" w:after="60"/>
              <w:jc w:val="center"/>
              <w:rPr>
                <w:rFonts w:ascii="宋体" w:hAnsi="宋体"/>
                <w:color w:val="auto"/>
                <w:sz w:val="24"/>
              </w:rPr>
            </w:pPr>
            <w:r>
              <w:rPr>
                <w:rFonts w:hint="eastAsia" w:ascii="宋体" w:hAnsi="宋体"/>
                <w:color w:val="auto"/>
                <w:sz w:val="24"/>
              </w:rPr>
              <w:t>产品技术</w:t>
            </w:r>
          </w:p>
          <w:p w14:paraId="4B292A63">
            <w:pPr>
              <w:tabs>
                <w:tab w:val="left" w:pos="4320"/>
              </w:tabs>
              <w:spacing w:before="60" w:after="60"/>
              <w:jc w:val="center"/>
              <w:rPr>
                <w:rFonts w:ascii="宋体" w:hAnsi="宋体"/>
                <w:color w:val="auto"/>
                <w:sz w:val="24"/>
              </w:rPr>
            </w:pPr>
            <w:r>
              <w:rPr>
                <w:rFonts w:hint="eastAsia" w:ascii="宋体" w:hAnsi="宋体"/>
                <w:color w:val="auto"/>
                <w:sz w:val="24"/>
              </w:rPr>
              <w:t>先进水平</w:t>
            </w:r>
          </w:p>
        </w:tc>
        <w:tc>
          <w:tcPr>
            <w:tcW w:w="1273" w:type="dxa"/>
            <w:gridSpan w:val="2"/>
            <w:vAlign w:val="center"/>
          </w:tcPr>
          <w:p w14:paraId="7AB0B971">
            <w:pPr>
              <w:tabs>
                <w:tab w:val="left" w:pos="4320"/>
              </w:tabs>
              <w:spacing w:before="60" w:after="60"/>
              <w:jc w:val="center"/>
              <w:rPr>
                <w:rFonts w:ascii="宋体" w:hAnsi="宋体"/>
                <w:color w:val="auto"/>
                <w:sz w:val="24"/>
              </w:rPr>
            </w:pPr>
            <w:r>
              <w:rPr>
                <w:rFonts w:hint="eastAsia" w:ascii="宋体" w:hAnsi="宋体"/>
                <w:color w:val="auto"/>
                <w:sz w:val="24"/>
              </w:rPr>
              <w:t>曾获何级</w:t>
            </w:r>
          </w:p>
          <w:p w14:paraId="473F6B1C">
            <w:pPr>
              <w:tabs>
                <w:tab w:val="left" w:pos="4320"/>
              </w:tabs>
              <w:spacing w:before="60" w:after="60"/>
              <w:jc w:val="center"/>
              <w:rPr>
                <w:rFonts w:ascii="宋体" w:hAnsi="宋体"/>
                <w:color w:val="auto"/>
                <w:sz w:val="24"/>
              </w:rPr>
            </w:pPr>
            <w:r>
              <w:rPr>
                <w:rFonts w:hint="eastAsia" w:ascii="宋体" w:hAnsi="宋体"/>
                <w:color w:val="auto"/>
                <w:sz w:val="24"/>
              </w:rPr>
              <w:t>何种奖励</w:t>
            </w:r>
          </w:p>
        </w:tc>
        <w:tc>
          <w:tcPr>
            <w:tcW w:w="1606" w:type="dxa"/>
            <w:gridSpan w:val="2"/>
            <w:tcBorders>
              <w:right w:val="double" w:color="auto" w:sz="4" w:space="0"/>
            </w:tcBorders>
            <w:vAlign w:val="center"/>
          </w:tcPr>
          <w:p w14:paraId="4D86EBD8">
            <w:pPr>
              <w:tabs>
                <w:tab w:val="left" w:pos="4320"/>
              </w:tabs>
              <w:spacing w:before="60" w:after="60"/>
              <w:jc w:val="center"/>
              <w:rPr>
                <w:rFonts w:ascii="宋体" w:hAnsi="宋体"/>
                <w:color w:val="auto"/>
                <w:sz w:val="24"/>
              </w:rPr>
            </w:pPr>
            <w:r>
              <w:rPr>
                <w:rFonts w:hint="eastAsia" w:ascii="宋体" w:hAnsi="宋体"/>
                <w:color w:val="auto"/>
                <w:sz w:val="24"/>
              </w:rPr>
              <w:t>主要用户</w:t>
            </w:r>
            <w:r>
              <w:rPr>
                <w:rFonts w:ascii="宋体" w:hAnsi="宋体"/>
                <w:color w:val="auto"/>
                <w:sz w:val="24"/>
              </w:rPr>
              <w:br w:type="textWrapping"/>
            </w:r>
            <w:r>
              <w:rPr>
                <w:rFonts w:hint="eastAsia" w:ascii="宋体" w:hAnsi="宋体"/>
                <w:color w:val="auto"/>
                <w:sz w:val="24"/>
              </w:rPr>
              <w:t>名称</w:t>
            </w:r>
          </w:p>
        </w:tc>
      </w:tr>
      <w:tr w14:paraId="1D46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D595DDA">
            <w:pPr>
              <w:tabs>
                <w:tab w:val="left" w:pos="4320"/>
              </w:tabs>
              <w:rPr>
                <w:rFonts w:ascii="宋体" w:hAnsi="宋体"/>
                <w:color w:val="auto"/>
                <w:sz w:val="24"/>
              </w:rPr>
            </w:pPr>
          </w:p>
        </w:tc>
        <w:tc>
          <w:tcPr>
            <w:tcW w:w="1643" w:type="dxa"/>
            <w:gridSpan w:val="3"/>
            <w:vAlign w:val="center"/>
          </w:tcPr>
          <w:p w14:paraId="0C54A0DD">
            <w:pPr>
              <w:tabs>
                <w:tab w:val="left" w:pos="4320"/>
              </w:tabs>
              <w:rPr>
                <w:rFonts w:ascii="宋体" w:hAnsi="宋体"/>
                <w:color w:val="auto"/>
                <w:sz w:val="24"/>
              </w:rPr>
            </w:pPr>
          </w:p>
        </w:tc>
        <w:tc>
          <w:tcPr>
            <w:tcW w:w="1617" w:type="dxa"/>
            <w:gridSpan w:val="2"/>
            <w:vAlign w:val="center"/>
          </w:tcPr>
          <w:p w14:paraId="51030E47">
            <w:pPr>
              <w:tabs>
                <w:tab w:val="left" w:pos="4320"/>
              </w:tabs>
              <w:rPr>
                <w:rFonts w:ascii="宋体" w:hAnsi="宋体"/>
                <w:color w:val="auto"/>
                <w:sz w:val="24"/>
              </w:rPr>
            </w:pPr>
          </w:p>
        </w:tc>
        <w:tc>
          <w:tcPr>
            <w:tcW w:w="946" w:type="dxa"/>
            <w:vAlign w:val="center"/>
          </w:tcPr>
          <w:p w14:paraId="462047E7">
            <w:pPr>
              <w:tabs>
                <w:tab w:val="left" w:pos="4320"/>
              </w:tabs>
              <w:rPr>
                <w:rFonts w:ascii="宋体" w:hAnsi="宋体"/>
                <w:color w:val="auto"/>
                <w:sz w:val="24"/>
              </w:rPr>
            </w:pPr>
          </w:p>
        </w:tc>
        <w:tc>
          <w:tcPr>
            <w:tcW w:w="1263" w:type="dxa"/>
            <w:vAlign w:val="center"/>
          </w:tcPr>
          <w:p w14:paraId="05D77C38">
            <w:pPr>
              <w:tabs>
                <w:tab w:val="left" w:pos="4320"/>
              </w:tabs>
              <w:rPr>
                <w:rFonts w:ascii="宋体" w:hAnsi="宋体"/>
                <w:color w:val="auto"/>
                <w:sz w:val="24"/>
              </w:rPr>
            </w:pPr>
          </w:p>
        </w:tc>
        <w:tc>
          <w:tcPr>
            <w:tcW w:w="1273" w:type="dxa"/>
            <w:gridSpan w:val="2"/>
            <w:vAlign w:val="center"/>
          </w:tcPr>
          <w:p w14:paraId="3C77F655">
            <w:pPr>
              <w:tabs>
                <w:tab w:val="left" w:pos="4320"/>
              </w:tabs>
              <w:rPr>
                <w:rFonts w:ascii="宋体" w:hAnsi="宋体"/>
                <w:color w:val="auto"/>
                <w:sz w:val="24"/>
              </w:rPr>
            </w:pPr>
          </w:p>
        </w:tc>
        <w:tc>
          <w:tcPr>
            <w:tcW w:w="1606" w:type="dxa"/>
            <w:gridSpan w:val="2"/>
            <w:tcBorders>
              <w:right w:val="double" w:color="auto" w:sz="4" w:space="0"/>
            </w:tcBorders>
            <w:vAlign w:val="center"/>
          </w:tcPr>
          <w:p w14:paraId="3EA87B0B">
            <w:pPr>
              <w:tabs>
                <w:tab w:val="left" w:pos="4320"/>
              </w:tabs>
              <w:rPr>
                <w:rFonts w:ascii="宋体" w:hAnsi="宋体"/>
                <w:color w:val="auto"/>
                <w:sz w:val="24"/>
              </w:rPr>
            </w:pPr>
          </w:p>
        </w:tc>
      </w:tr>
      <w:tr w14:paraId="0C67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0C0A297">
            <w:pPr>
              <w:tabs>
                <w:tab w:val="left" w:pos="4320"/>
              </w:tabs>
              <w:rPr>
                <w:rFonts w:ascii="宋体" w:hAnsi="宋体"/>
                <w:color w:val="auto"/>
                <w:sz w:val="24"/>
              </w:rPr>
            </w:pPr>
          </w:p>
        </w:tc>
        <w:tc>
          <w:tcPr>
            <w:tcW w:w="1643" w:type="dxa"/>
            <w:gridSpan w:val="3"/>
            <w:vAlign w:val="center"/>
          </w:tcPr>
          <w:p w14:paraId="2B57AF4C">
            <w:pPr>
              <w:tabs>
                <w:tab w:val="left" w:pos="4320"/>
              </w:tabs>
              <w:rPr>
                <w:rFonts w:ascii="宋体" w:hAnsi="宋体"/>
                <w:color w:val="auto"/>
                <w:sz w:val="24"/>
              </w:rPr>
            </w:pPr>
          </w:p>
        </w:tc>
        <w:tc>
          <w:tcPr>
            <w:tcW w:w="1617" w:type="dxa"/>
            <w:gridSpan w:val="2"/>
            <w:vAlign w:val="center"/>
          </w:tcPr>
          <w:p w14:paraId="49E5B174">
            <w:pPr>
              <w:tabs>
                <w:tab w:val="left" w:pos="4320"/>
              </w:tabs>
              <w:rPr>
                <w:rFonts w:ascii="宋体" w:hAnsi="宋体"/>
                <w:color w:val="auto"/>
                <w:sz w:val="24"/>
              </w:rPr>
            </w:pPr>
          </w:p>
        </w:tc>
        <w:tc>
          <w:tcPr>
            <w:tcW w:w="946" w:type="dxa"/>
            <w:vAlign w:val="center"/>
          </w:tcPr>
          <w:p w14:paraId="31BC3821">
            <w:pPr>
              <w:tabs>
                <w:tab w:val="left" w:pos="4320"/>
              </w:tabs>
              <w:rPr>
                <w:rFonts w:ascii="宋体" w:hAnsi="宋体"/>
                <w:color w:val="auto"/>
                <w:sz w:val="24"/>
              </w:rPr>
            </w:pPr>
          </w:p>
        </w:tc>
        <w:tc>
          <w:tcPr>
            <w:tcW w:w="1263" w:type="dxa"/>
            <w:vAlign w:val="center"/>
          </w:tcPr>
          <w:p w14:paraId="5BEAFB2B">
            <w:pPr>
              <w:tabs>
                <w:tab w:val="left" w:pos="4320"/>
              </w:tabs>
              <w:rPr>
                <w:rFonts w:ascii="宋体" w:hAnsi="宋体"/>
                <w:color w:val="auto"/>
                <w:sz w:val="24"/>
              </w:rPr>
            </w:pPr>
          </w:p>
        </w:tc>
        <w:tc>
          <w:tcPr>
            <w:tcW w:w="1273" w:type="dxa"/>
            <w:gridSpan w:val="2"/>
            <w:vAlign w:val="center"/>
          </w:tcPr>
          <w:p w14:paraId="6EB47770">
            <w:pPr>
              <w:tabs>
                <w:tab w:val="left" w:pos="4320"/>
              </w:tabs>
              <w:rPr>
                <w:rFonts w:ascii="宋体" w:hAnsi="宋体"/>
                <w:color w:val="auto"/>
                <w:sz w:val="24"/>
              </w:rPr>
            </w:pPr>
          </w:p>
        </w:tc>
        <w:tc>
          <w:tcPr>
            <w:tcW w:w="1606" w:type="dxa"/>
            <w:gridSpan w:val="2"/>
            <w:tcBorders>
              <w:right w:val="double" w:color="auto" w:sz="4" w:space="0"/>
            </w:tcBorders>
            <w:vAlign w:val="center"/>
          </w:tcPr>
          <w:p w14:paraId="19A3C948">
            <w:pPr>
              <w:tabs>
                <w:tab w:val="left" w:pos="4320"/>
              </w:tabs>
              <w:rPr>
                <w:rFonts w:ascii="宋体" w:hAnsi="宋体"/>
                <w:color w:val="auto"/>
                <w:sz w:val="24"/>
              </w:rPr>
            </w:pPr>
          </w:p>
        </w:tc>
      </w:tr>
      <w:tr w14:paraId="3446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666AF295">
            <w:pPr>
              <w:tabs>
                <w:tab w:val="left" w:pos="4320"/>
              </w:tabs>
              <w:rPr>
                <w:rFonts w:ascii="宋体" w:hAnsi="宋体"/>
                <w:color w:val="auto"/>
                <w:sz w:val="24"/>
              </w:rPr>
            </w:pPr>
          </w:p>
        </w:tc>
        <w:tc>
          <w:tcPr>
            <w:tcW w:w="1643" w:type="dxa"/>
            <w:gridSpan w:val="3"/>
            <w:vAlign w:val="center"/>
          </w:tcPr>
          <w:p w14:paraId="681E1625">
            <w:pPr>
              <w:tabs>
                <w:tab w:val="left" w:pos="4320"/>
              </w:tabs>
              <w:rPr>
                <w:rFonts w:ascii="宋体" w:hAnsi="宋体"/>
                <w:color w:val="auto"/>
                <w:sz w:val="24"/>
              </w:rPr>
            </w:pPr>
          </w:p>
        </w:tc>
        <w:tc>
          <w:tcPr>
            <w:tcW w:w="1617" w:type="dxa"/>
            <w:gridSpan w:val="2"/>
            <w:vAlign w:val="center"/>
          </w:tcPr>
          <w:p w14:paraId="66B4ADF7">
            <w:pPr>
              <w:tabs>
                <w:tab w:val="left" w:pos="4320"/>
              </w:tabs>
              <w:rPr>
                <w:rFonts w:ascii="宋体" w:hAnsi="宋体"/>
                <w:color w:val="auto"/>
                <w:sz w:val="24"/>
              </w:rPr>
            </w:pPr>
          </w:p>
        </w:tc>
        <w:tc>
          <w:tcPr>
            <w:tcW w:w="946" w:type="dxa"/>
            <w:vAlign w:val="center"/>
          </w:tcPr>
          <w:p w14:paraId="0D959910">
            <w:pPr>
              <w:tabs>
                <w:tab w:val="left" w:pos="4320"/>
              </w:tabs>
              <w:rPr>
                <w:rFonts w:ascii="宋体" w:hAnsi="宋体"/>
                <w:color w:val="auto"/>
                <w:sz w:val="24"/>
              </w:rPr>
            </w:pPr>
          </w:p>
        </w:tc>
        <w:tc>
          <w:tcPr>
            <w:tcW w:w="1263" w:type="dxa"/>
            <w:vAlign w:val="center"/>
          </w:tcPr>
          <w:p w14:paraId="7F9C5F5C">
            <w:pPr>
              <w:tabs>
                <w:tab w:val="left" w:pos="4320"/>
              </w:tabs>
              <w:rPr>
                <w:rFonts w:ascii="宋体" w:hAnsi="宋体"/>
                <w:color w:val="auto"/>
                <w:sz w:val="24"/>
              </w:rPr>
            </w:pPr>
          </w:p>
        </w:tc>
        <w:tc>
          <w:tcPr>
            <w:tcW w:w="1273" w:type="dxa"/>
            <w:gridSpan w:val="2"/>
            <w:vAlign w:val="center"/>
          </w:tcPr>
          <w:p w14:paraId="1D7572B8">
            <w:pPr>
              <w:tabs>
                <w:tab w:val="left" w:pos="4320"/>
              </w:tabs>
              <w:rPr>
                <w:rFonts w:ascii="宋体" w:hAnsi="宋体"/>
                <w:color w:val="auto"/>
                <w:sz w:val="24"/>
              </w:rPr>
            </w:pPr>
          </w:p>
        </w:tc>
        <w:tc>
          <w:tcPr>
            <w:tcW w:w="1606" w:type="dxa"/>
            <w:gridSpan w:val="2"/>
            <w:tcBorders>
              <w:right w:val="double" w:color="auto" w:sz="4" w:space="0"/>
            </w:tcBorders>
            <w:vAlign w:val="center"/>
          </w:tcPr>
          <w:p w14:paraId="2929F044">
            <w:pPr>
              <w:tabs>
                <w:tab w:val="left" w:pos="4320"/>
              </w:tabs>
              <w:rPr>
                <w:rFonts w:ascii="宋体" w:hAnsi="宋体"/>
                <w:color w:val="auto"/>
                <w:sz w:val="24"/>
              </w:rPr>
            </w:pPr>
          </w:p>
        </w:tc>
      </w:tr>
      <w:tr w14:paraId="2367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578B0CC">
            <w:pPr>
              <w:tabs>
                <w:tab w:val="left" w:pos="4320"/>
              </w:tabs>
              <w:rPr>
                <w:rFonts w:ascii="宋体" w:hAnsi="宋体"/>
                <w:color w:val="auto"/>
                <w:sz w:val="24"/>
              </w:rPr>
            </w:pPr>
          </w:p>
        </w:tc>
        <w:tc>
          <w:tcPr>
            <w:tcW w:w="1643" w:type="dxa"/>
            <w:gridSpan w:val="3"/>
            <w:vAlign w:val="center"/>
          </w:tcPr>
          <w:p w14:paraId="69DC1B48">
            <w:pPr>
              <w:tabs>
                <w:tab w:val="left" w:pos="4320"/>
              </w:tabs>
              <w:rPr>
                <w:rFonts w:ascii="宋体" w:hAnsi="宋体"/>
                <w:color w:val="auto"/>
                <w:sz w:val="24"/>
              </w:rPr>
            </w:pPr>
          </w:p>
        </w:tc>
        <w:tc>
          <w:tcPr>
            <w:tcW w:w="1617" w:type="dxa"/>
            <w:gridSpan w:val="2"/>
            <w:vAlign w:val="center"/>
          </w:tcPr>
          <w:p w14:paraId="0398255C">
            <w:pPr>
              <w:tabs>
                <w:tab w:val="left" w:pos="4320"/>
              </w:tabs>
              <w:rPr>
                <w:rFonts w:ascii="宋体" w:hAnsi="宋体"/>
                <w:color w:val="auto"/>
                <w:sz w:val="24"/>
              </w:rPr>
            </w:pPr>
          </w:p>
        </w:tc>
        <w:tc>
          <w:tcPr>
            <w:tcW w:w="946" w:type="dxa"/>
            <w:vAlign w:val="center"/>
          </w:tcPr>
          <w:p w14:paraId="2F2A0266">
            <w:pPr>
              <w:tabs>
                <w:tab w:val="left" w:pos="4320"/>
              </w:tabs>
              <w:rPr>
                <w:rFonts w:ascii="宋体" w:hAnsi="宋体"/>
                <w:color w:val="auto"/>
                <w:sz w:val="24"/>
              </w:rPr>
            </w:pPr>
          </w:p>
        </w:tc>
        <w:tc>
          <w:tcPr>
            <w:tcW w:w="1263" w:type="dxa"/>
            <w:vAlign w:val="center"/>
          </w:tcPr>
          <w:p w14:paraId="3512C479">
            <w:pPr>
              <w:tabs>
                <w:tab w:val="left" w:pos="4320"/>
              </w:tabs>
              <w:rPr>
                <w:rFonts w:ascii="宋体" w:hAnsi="宋体"/>
                <w:color w:val="auto"/>
                <w:sz w:val="24"/>
              </w:rPr>
            </w:pPr>
          </w:p>
        </w:tc>
        <w:tc>
          <w:tcPr>
            <w:tcW w:w="1273" w:type="dxa"/>
            <w:gridSpan w:val="2"/>
            <w:vAlign w:val="center"/>
          </w:tcPr>
          <w:p w14:paraId="2F0899BD">
            <w:pPr>
              <w:tabs>
                <w:tab w:val="left" w:pos="4320"/>
              </w:tabs>
              <w:rPr>
                <w:rFonts w:ascii="宋体" w:hAnsi="宋体"/>
                <w:color w:val="auto"/>
                <w:sz w:val="24"/>
              </w:rPr>
            </w:pPr>
          </w:p>
        </w:tc>
        <w:tc>
          <w:tcPr>
            <w:tcW w:w="1606" w:type="dxa"/>
            <w:gridSpan w:val="2"/>
            <w:tcBorders>
              <w:right w:val="double" w:color="auto" w:sz="4" w:space="0"/>
            </w:tcBorders>
            <w:vAlign w:val="center"/>
          </w:tcPr>
          <w:p w14:paraId="3623BB45">
            <w:pPr>
              <w:tabs>
                <w:tab w:val="left" w:pos="4320"/>
              </w:tabs>
              <w:rPr>
                <w:rFonts w:ascii="宋体" w:hAnsi="宋体"/>
                <w:color w:val="auto"/>
                <w:sz w:val="24"/>
              </w:rPr>
            </w:pPr>
          </w:p>
        </w:tc>
      </w:tr>
      <w:tr w14:paraId="0E34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98A7BFD">
            <w:pPr>
              <w:tabs>
                <w:tab w:val="left" w:pos="4320"/>
              </w:tabs>
              <w:rPr>
                <w:rFonts w:ascii="宋体" w:hAnsi="宋体"/>
                <w:color w:val="auto"/>
                <w:sz w:val="24"/>
              </w:rPr>
            </w:pPr>
            <w:r>
              <w:rPr>
                <w:rFonts w:hint="eastAsia" w:ascii="宋体" w:hAnsi="宋体"/>
                <w:color w:val="auto"/>
                <w:sz w:val="24"/>
              </w:rPr>
              <w:t>其它</w:t>
            </w:r>
          </w:p>
        </w:tc>
        <w:tc>
          <w:tcPr>
            <w:tcW w:w="4206" w:type="dxa"/>
            <w:gridSpan w:val="6"/>
            <w:vAlign w:val="center"/>
          </w:tcPr>
          <w:p w14:paraId="68A2D354">
            <w:pPr>
              <w:tabs>
                <w:tab w:val="left" w:pos="4320"/>
              </w:tabs>
              <w:spacing w:before="60" w:after="60"/>
              <w:rPr>
                <w:rFonts w:ascii="宋体" w:hAnsi="宋体"/>
                <w:color w:val="auto"/>
                <w:sz w:val="24"/>
              </w:rPr>
            </w:pPr>
            <w:r>
              <w:rPr>
                <w:rFonts w:hint="eastAsia" w:ascii="宋体" w:hAnsi="宋体"/>
                <w:color w:val="auto"/>
                <w:sz w:val="24"/>
              </w:rPr>
              <w:t>近3年完成及正在执行的协议中发生的由于投标人违约或部分违约而引起诉讼和受到索赔的案件具体情况及结果（须如实填写，若对此进行隐瞒，尔后又被采购人或采购代理机构发现，或被它人举证成立，其投标资格将被取消）。</w:t>
            </w:r>
          </w:p>
        </w:tc>
        <w:tc>
          <w:tcPr>
            <w:tcW w:w="4142" w:type="dxa"/>
            <w:gridSpan w:val="5"/>
            <w:tcBorders>
              <w:right w:val="double" w:color="auto" w:sz="4" w:space="0"/>
            </w:tcBorders>
            <w:vAlign w:val="center"/>
          </w:tcPr>
          <w:p w14:paraId="30FAA1A0">
            <w:pPr>
              <w:tabs>
                <w:tab w:val="left" w:pos="4320"/>
              </w:tabs>
              <w:spacing w:before="60" w:after="60"/>
              <w:rPr>
                <w:rFonts w:ascii="宋体" w:hAnsi="宋体"/>
                <w:color w:val="auto"/>
                <w:sz w:val="24"/>
              </w:rPr>
            </w:pPr>
            <w:r>
              <w:rPr>
                <w:rFonts w:hint="eastAsia" w:ascii="宋体" w:hAnsi="宋体"/>
                <w:color w:val="auto"/>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F0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732B91B1">
            <w:pPr>
              <w:tabs>
                <w:tab w:val="left" w:pos="4320"/>
              </w:tabs>
              <w:rPr>
                <w:rFonts w:ascii="宋体" w:hAnsi="宋体"/>
                <w:color w:val="auto"/>
                <w:sz w:val="24"/>
              </w:rPr>
            </w:pPr>
          </w:p>
        </w:tc>
        <w:tc>
          <w:tcPr>
            <w:tcW w:w="4206" w:type="dxa"/>
            <w:gridSpan w:val="6"/>
            <w:tcBorders>
              <w:bottom w:val="double" w:color="auto" w:sz="4" w:space="0"/>
            </w:tcBorders>
            <w:vAlign w:val="center"/>
          </w:tcPr>
          <w:p w14:paraId="6BCB6E2D">
            <w:pPr>
              <w:tabs>
                <w:tab w:val="left" w:pos="4320"/>
              </w:tabs>
              <w:rPr>
                <w:rFonts w:ascii="宋体" w:hAnsi="宋体"/>
                <w:color w:val="auto"/>
                <w:sz w:val="24"/>
              </w:rPr>
            </w:pPr>
          </w:p>
        </w:tc>
        <w:tc>
          <w:tcPr>
            <w:tcW w:w="4142" w:type="dxa"/>
            <w:gridSpan w:val="5"/>
            <w:tcBorders>
              <w:bottom w:val="double" w:color="auto" w:sz="4" w:space="0"/>
              <w:right w:val="double" w:color="auto" w:sz="4" w:space="0"/>
            </w:tcBorders>
            <w:vAlign w:val="center"/>
          </w:tcPr>
          <w:p w14:paraId="69A9AEBC">
            <w:pPr>
              <w:tabs>
                <w:tab w:val="left" w:pos="4320"/>
              </w:tabs>
              <w:rPr>
                <w:rFonts w:ascii="宋体" w:hAnsi="宋体"/>
                <w:color w:val="auto"/>
                <w:sz w:val="24"/>
              </w:rPr>
            </w:pPr>
          </w:p>
        </w:tc>
      </w:tr>
    </w:tbl>
    <w:p w14:paraId="635260AC">
      <w:pPr>
        <w:snapToGrid w:val="0"/>
        <w:spacing w:line="300" w:lineRule="auto"/>
        <w:contextualSpacing/>
        <w:rPr>
          <w:rFonts w:ascii="仿宋_GB2312" w:hAnsi="宋体" w:eastAsia="仿宋_GB2312"/>
          <w:color w:val="auto"/>
          <w:sz w:val="28"/>
          <w:szCs w:val="28"/>
        </w:rPr>
      </w:pPr>
    </w:p>
    <w:p w14:paraId="6A3FCCFC">
      <w:pPr>
        <w:rPr>
          <w:color w:val="auto"/>
        </w:rPr>
      </w:pPr>
    </w:p>
    <w:p w14:paraId="5F12405D">
      <w:pPr>
        <w:rPr>
          <w:b/>
          <w:color w:val="auto"/>
          <w:sz w:val="36"/>
          <w:szCs w:val="36"/>
        </w:rPr>
      </w:pPr>
      <w:r>
        <w:rPr>
          <w:rFonts w:hint="eastAsia"/>
          <w:b/>
          <w:color w:val="auto"/>
          <w:sz w:val="36"/>
          <w:szCs w:val="36"/>
        </w:rPr>
        <w:t>附件6</w:t>
      </w:r>
    </w:p>
    <w:p w14:paraId="598C2EB4">
      <w:pPr>
        <w:pStyle w:val="3"/>
        <w:rPr>
          <w:color w:val="auto"/>
        </w:rPr>
      </w:pPr>
    </w:p>
    <w:p w14:paraId="438A2769">
      <w:pPr>
        <w:widowControl/>
        <w:spacing w:before="100" w:beforeAutospacing="1" w:after="100" w:afterAutospacing="1" w:line="500" w:lineRule="atLeast"/>
        <w:jc w:val="center"/>
        <w:rPr>
          <w:color w:val="auto"/>
          <w:kern w:val="0"/>
          <w:sz w:val="32"/>
          <w:szCs w:val="32"/>
        </w:rPr>
      </w:pPr>
      <w:r>
        <w:rPr>
          <w:b/>
          <w:bCs/>
          <w:color w:val="auto"/>
          <w:kern w:val="0"/>
          <w:sz w:val="32"/>
          <w:szCs w:val="32"/>
        </w:rPr>
        <w:t>开  标 一 览  表</w:t>
      </w:r>
    </w:p>
    <w:p w14:paraId="6BFED019">
      <w:pPr>
        <w:rPr>
          <w:color w:val="auto"/>
          <w:kern w:val="0"/>
          <w:sz w:val="28"/>
          <w:szCs w:val="28"/>
          <w:u w:val="single"/>
        </w:rPr>
      </w:pPr>
      <w:r>
        <w:rPr>
          <w:color w:val="auto"/>
          <w:kern w:val="0"/>
          <w:sz w:val="28"/>
          <w:szCs w:val="28"/>
        </w:rPr>
        <w:t>投标人全称（加盖公章）：</w:t>
      </w:r>
    </w:p>
    <w:p w14:paraId="7600BD29">
      <w:pPr>
        <w:rPr>
          <w:color w:val="auto"/>
          <w:kern w:val="0"/>
          <w:sz w:val="28"/>
          <w:szCs w:val="28"/>
          <w:u w:val="single"/>
        </w:rPr>
      </w:pPr>
      <w:r>
        <w:rPr>
          <w:color w:val="auto"/>
          <w:kern w:val="0"/>
          <w:sz w:val="28"/>
          <w:szCs w:val="28"/>
        </w:rPr>
        <w:t>项目名称：</w:t>
      </w:r>
      <w:r>
        <w:rPr>
          <w:rFonts w:hint="eastAsia"/>
          <w:color w:val="auto"/>
          <w:sz w:val="28"/>
          <w:szCs w:val="28"/>
        </w:rPr>
        <w:t>唐闸原大兴面粉厂合作运营项目</w:t>
      </w:r>
    </w:p>
    <w:p w14:paraId="717CA10F">
      <w:pPr>
        <w:rPr>
          <w:color w:val="auto"/>
          <w:kern w:val="0"/>
          <w:sz w:val="28"/>
          <w:szCs w:val="28"/>
        </w:rPr>
      </w:pPr>
      <w:r>
        <w:rPr>
          <w:color w:val="auto"/>
          <w:kern w:val="0"/>
          <w:sz w:val="28"/>
          <w:szCs w:val="28"/>
        </w:rPr>
        <w:t>项目编号：</w:t>
      </w:r>
    </w:p>
    <w:tbl>
      <w:tblPr>
        <w:tblStyle w:val="20"/>
        <w:tblW w:w="920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4635"/>
        <w:gridCol w:w="2370"/>
      </w:tblGrid>
      <w:tr w14:paraId="7D2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14:paraId="54B82E59">
            <w:pPr>
              <w:jc w:val="center"/>
              <w:rPr>
                <w:rFonts w:ascii="宋体" w:hAnsi="宋体" w:cs="宋体"/>
                <w:b/>
                <w:bCs/>
                <w:color w:val="auto"/>
                <w:szCs w:val="22"/>
              </w:rPr>
            </w:pPr>
            <w:r>
              <w:rPr>
                <w:rFonts w:hint="eastAsia" w:ascii="宋体" w:hAnsi="宋体" w:cs="宋体"/>
                <w:b/>
                <w:bCs/>
                <w:color w:val="auto"/>
                <w:kern w:val="0"/>
                <w:sz w:val="28"/>
                <w:szCs w:val="28"/>
              </w:rPr>
              <w:t>报价内容</w:t>
            </w:r>
          </w:p>
        </w:tc>
        <w:tc>
          <w:tcPr>
            <w:tcW w:w="4635" w:type="dxa"/>
            <w:vAlign w:val="center"/>
          </w:tcPr>
          <w:p w14:paraId="1F0E203F">
            <w:pPr>
              <w:jc w:val="center"/>
              <w:rPr>
                <w:rFonts w:ascii="宋体" w:hAnsi="宋体" w:cs="宋体"/>
                <w:b/>
                <w:bCs/>
                <w:color w:val="auto"/>
                <w:szCs w:val="22"/>
              </w:rPr>
            </w:pPr>
            <w:r>
              <w:rPr>
                <w:rFonts w:hint="eastAsia" w:ascii="宋体" w:hAnsi="宋体" w:cs="宋体"/>
                <w:b/>
                <w:bCs/>
                <w:color w:val="auto"/>
                <w:kern w:val="0"/>
                <w:sz w:val="28"/>
                <w:szCs w:val="28"/>
              </w:rPr>
              <w:t>投标报价</w:t>
            </w:r>
          </w:p>
        </w:tc>
        <w:tc>
          <w:tcPr>
            <w:tcW w:w="2370" w:type="dxa"/>
            <w:vAlign w:val="center"/>
          </w:tcPr>
          <w:p w14:paraId="6B0DC905">
            <w:pPr>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052E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98" w:type="dxa"/>
            <w:vAlign w:val="center"/>
          </w:tcPr>
          <w:p w14:paraId="2B42DA6D">
            <w:pPr>
              <w:jc w:val="center"/>
              <w:rPr>
                <w:rFonts w:ascii="宋体" w:hAnsi="宋体" w:cs="宋体"/>
                <w:color w:val="auto"/>
                <w:kern w:val="0"/>
                <w:sz w:val="24"/>
              </w:rPr>
            </w:pPr>
            <w:r>
              <w:rPr>
                <w:rFonts w:hint="eastAsia" w:ascii="宋体" w:hAnsi="宋体" w:cs="宋体"/>
                <w:color w:val="auto"/>
                <w:kern w:val="0"/>
                <w:sz w:val="24"/>
              </w:rPr>
              <w:t>前5年租金</w:t>
            </w:r>
          </w:p>
        </w:tc>
        <w:tc>
          <w:tcPr>
            <w:tcW w:w="4635" w:type="dxa"/>
            <w:shd w:val="clear" w:color="auto" w:fill="auto"/>
            <w:vAlign w:val="center"/>
          </w:tcPr>
          <w:p w14:paraId="0CF81215">
            <w:pPr>
              <w:rPr>
                <w:rFonts w:ascii="宋体" w:hAnsi="宋体" w:cs="宋体"/>
                <w:color w:val="auto"/>
                <w:sz w:val="24"/>
                <w:u w:val="single"/>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rPr>
              <w:t>元/年</w:t>
            </w:r>
            <w:r>
              <w:rPr>
                <w:rFonts w:hint="eastAsia" w:ascii="宋体" w:hAnsi="宋体" w:cs="宋体"/>
                <w:color w:val="auto"/>
                <w:kern w:val="0"/>
                <w:sz w:val="24"/>
              </w:rPr>
              <w:br w:type="textWrapping"/>
            </w: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元/年（人民币）</w:t>
            </w:r>
          </w:p>
        </w:tc>
        <w:tc>
          <w:tcPr>
            <w:tcW w:w="2370" w:type="dxa"/>
            <w:shd w:val="clear" w:color="auto" w:fill="auto"/>
            <w:vAlign w:val="center"/>
          </w:tcPr>
          <w:p w14:paraId="48E95E24">
            <w:pPr>
              <w:jc w:val="left"/>
              <w:rPr>
                <w:rFonts w:ascii="宋体" w:hAnsi="宋体" w:cs="宋体"/>
                <w:color w:val="auto"/>
                <w:kern w:val="0"/>
                <w:sz w:val="24"/>
              </w:rPr>
            </w:pPr>
            <w:r>
              <w:rPr>
                <w:rFonts w:hint="eastAsia" w:ascii="宋体" w:hAnsi="宋体" w:cs="宋体"/>
                <w:color w:val="auto"/>
                <w:kern w:val="0"/>
                <w:sz w:val="24"/>
              </w:rPr>
              <w:t>投标报价</w:t>
            </w:r>
            <w:r>
              <w:rPr>
                <w:rFonts w:hint="eastAsia" w:ascii="宋体" w:hAnsi="宋体" w:cs="宋体"/>
                <w:color w:val="auto"/>
                <w:sz w:val="24"/>
              </w:rPr>
              <w:t>不低于90万元/年</w:t>
            </w:r>
          </w:p>
        </w:tc>
      </w:tr>
      <w:tr w14:paraId="1B6E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98" w:type="dxa"/>
            <w:vAlign w:val="center"/>
          </w:tcPr>
          <w:p w14:paraId="57733864">
            <w:pPr>
              <w:jc w:val="center"/>
              <w:rPr>
                <w:rFonts w:ascii="宋体" w:hAnsi="宋体" w:cs="宋体"/>
                <w:color w:val="auto"/>
                <w:kern w:val="0"/>
                <w:sz w:val="24"/>
              </w:rPr>
            </w:pPr>
            <w:r>
              <w:rPr>
                <w:rFonts w:hint="eastAsia" w:ascii="宋体" w:hAnsi="宋体" w:cs="宋体"/>
                <w:color w:val="auto"/>
                <w:kern w:val="0"/>
                <w:sz w:val="24"/>
              </w:rPr>
              <w:t>第6~8年租金</w:t>
            </w:r>
          </w:p>
        </w:tc>
        <w:tc>
          <w:tcPr>
            <w:tcW w:w="4635" w:type="dxa"/>
            <w:vAlign w:val="center"/>
          </w:tcPr>
          <w:p w14:paraId="1A72D98A">
            <w:pPr>
              <w:rPr>
                <w:rFonts w:ascii="宋体" w:hAnsi="宋体" w:cs="宋体"/>
                <w:color w:val="auto"/>
                <w:sz w:val="24"/>
                <w:u w:val="single"/>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rPr>
              <w:t>元/年</w:t>
            </w:r>
            <w:r>
              <w:rPr>
                <w:rFonts w:hint="eastAsia" w:ascii="宋体" w:hAnsi="宋体" w:cs="宋体"/>
                <w:color w:val="auto"/>
                <w:kern w:val="0"/>
                <w:sz w:val="24"/>
              </w:rPr>
              <w:br w:type="textWrapping"/>
            </w: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元/年（人民币）</w:t>
            </w:r>
          </w:p>
        </w:tc>
        <w:tc>
          <w:tcPr>
            <w:tcW w:w="2370" w:type="dxa"/>
            <w:vAlign w:val="center"/>
          </w:tcPr>
          <w:p w14:paraId="1B10DD3F">
            <w:pPr>
              <w:jc w:val="left"/>
              <w:rPr>
                <w:rFonts w:ascii="宋体" w:hAnsi="宋体" w:cs="宋体"/>
                <w:color w:val="auto"/>
                <w:kern w:val="0"/>
                <w:sz w:val="24"/>
              </w:rPr>
            </w:pPr>
            <w:r>
              <w:rPr>
                <w:rFonts w:hint="eastAsia" w:ascii="宋体" w:hAnsi="宋体" w:cs="宋体"/>
                <w:color w:val="auto"/>
                <w:kern w:val="0"/>
                <w:sz w:val="24"/>
              </w:rPr>
              <w:t>投标报价</w:t>
            </w:r>
            <w:r>
              <w:rPr>
                <w:rFonts w:hint="eastAsia" w:ascii="宋体" w:hAnsi="宋体" w:cs="宋体"/>
                <w:color w:val="auto"/>
                <w:sz w:val="24"/>
              </w:rPr>
              <w:t>不低于95万元/年</w:t>
            </w:r>
          </w:p>
        </w:tc>
      </w:tr>
      <w:tr w14:paraId="32F6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198" w:type="dxa"/>
            <w:vAlign w:val="center"/>
          </w:tcPr>
          <w:p w14:paraId="50ADA860">
            <w:pPr>
              <w:jc w:val="center"/>
              <w:rPr>
                <w:rFonts w:ascii="宋体" w:hAnsi="宋体" w:cs="宋体"/>
                <w:color w:val="auto"/>
                <w:kern w:val="0"/>
                <w:sz w:val="24"/>
              </w:rPr>
            </w:pPr>
            <w:r>
              <w:rPr>
                <w:rFonts w:hint="eastAsia" w:ascii="宋体" w:hAnsi="宋体" w:cs="宋体"/>
                <w:color w:val="auto"/>
                <w:kern w:val="0"/>
                <w:sz w:val="24"/>
              </w:rPr>
              <w:t>第9~12年租金</w:t>
            </w:r>
          </w:p>
        </w:tc>
        <w:tc>
          <w:tcPr>
            <w:tcW w:w="4635" w:type="dxa"/>
            <w:vAlign w:val="center"/>
          </w:tcPr>
          <w:p w14:paraId="2264D2CF">
            <w:pPr>
              <w:rPr>
                <w:rFonts w:ascii="宋体" w:hAnsi="宋体" w:cs="宋体"/>
                <w:color w:val="auto"/>
                <w:sz w:val="24"/>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rPr>
              <w:t>元/年</w:t>
            </w:r>
            <w:r>
              <w:rPr>
                <w:rFonts w:hint="eastAsia" w:ascii="宋体" w:hAnsi="宋体" w:cs="宋体"/>
                <w:color w:val="auto"/>
                <w:kern w:val="0"/>
                <w:sz w:val="24"/>
              </w:rPr>
              <w:br w:type="textWrapping"/>
            </w: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元/年（人民币）</w:t>
            </w:r>
          </w:p>
        </w:tc>
        <w:tc>
          <w:tcPr>
            <w:tcW w:w="2370" w:type="dxa"/>
            <w:vAlign w:val="center"/>
          </w:tcPr>
          <w:p w14:paraId="784CCE61">
            <w:pPr>
              <w:jc w:val="left"/>
              <w:rPr>
                <w:rFonts w:ascii="宋体" w:hAnsi="宋体" w:cs="宋体"/>
                <w:color w:val="auto"/>
                <w:kern w:val="0"/>
                <w:sz w:val="24"/>
              </w:rPr>
            </w:pPr>
            <w:r>
              <w:rPr>
                <w:rFonts w:hint="eastAsia" w:ascii="宋体" w:hAnsi="宋体" w:cs="宋体"/>
                <w:color w:val="auto"/>
                <w:kern w:val="0"/>
                <w:sz w:val="24"/>
              </w:rPr>
              <w:t>投标报价</w:t>
            </w:r>
            <w:r>
              <w:rPr>
                <w:rFonts w:hint="eastAsia" w:ascii="宋体" w:hAnsi="宋体" w:cs="宋体"/>
                <w:color w:val="auto"/>
                <w:sz w:val="24"/>
              </w:rPr>
              <w:t>不低于100万元/年</w:t>
            </w:r>
          </w:p>
        </w:tc>
      </w:tr>
      <w:tr w14:paraId="4AA4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98" w:type="dxa"/>
            <w:vAlign w:val="center"/>
          </w:tcPr>
          <w:p w14:paraId="7BCA21DE">
            <w:pPr>
              <w:jc w:val="center"/>
              <w:rPr>
                <w:rFonts w:ascii="宋体" w:hAnsi="宋体" w:cs="宋体"/>
                <w:color w:val="auto"/>
                <w:kern w:val="0"/>
                <w:sz w:val="24"/>
              </w:rPr>
            </w:pPr>
            <w:r>
              <w:rPr>
                <w:rFonts w:hint="eastAsia" w:ascii="宋体" w:hAnsi="宋体" w:cs="宋体"/>
                <w:color w:val="auto"/>
                <w:kern w:val="0"/>
                <w:sz w:val="24"/>
              </w:rPr>
              <w:t>第13~15年租金</w:t>
            </w:r>
          </w:p>
        </w:tc>
        <w:tc>
          <w:tcPr>
            <w:tcW w:w="4635" w:type="dxa"/>
            <w:vAlign w:val="center"/>
          </w:tcPr>
          <w:p w14:paraId="37CCA8E7">
            <w:pPr>
              <w:rPr>
                <w:rFonts w:ascii="宋体" w:hAnsi="宋体" w:cs="宋体"/>
                <w:color w:val="auto"/>
                <w:sz w:val="24"/>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rPr>
              <w:t>元/年</w:t>
            </w:r>
            <w:r>
              <w:rPr>
                <w:rFonts w:hint="eastAsia" w:ascii="宋体" w:hAnsi="宋体" w:cs="宋体"/>
                <w:color w:val="auto"/>
                <w:kern w:val="0"/>
                <w:sz w:val="24"/>
              </w:rPr>
              <w:br w:type="textWrapping"/>
            </w: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元/年（人民币）</w:t>
            </w:r>
          </w:p>
        </w:tc>
        <w:tc>
          <w:tcPr>
            <w:tcW w:w="2370" w:type="dxa"/>
            <w:vAlign w:val="center"/>
          </w:tcPr>
          <w:p w14:paraId="3F70CDE9">
            <w:pPr>
              <w:jc w:val="left"/>
              <w:rPr>
                <w:rFonts w:ascii="宋体" w:hAnsi="宋体" w:cs="宋体"/>
                <w:color w:val="auto"/>
                <w:sz w:val="24"/>
              </w:rPr>
            </w:pPr>
            <w:r>
              <w:rPr>
                <w:rFonts w:hint="eastAsia" w:ascii="宋体" w:hAnsi="宋体" w:cs="宋体"/>
                <w:color w:val="auto"/>
                <w:kern w:val="0"/>
                <w:sz w:val="24"/>
              </w:rPr>
              <w:t>投标报价</w:t>
            </w:r>
            <w:r>
              <w:rPr>
                <w:rFonts w:hint="eastAsia" w:ascii="宋体" w:hAnsi="宋体" w:cs="宋体"/>
                <w:color w:val="auto"/>
                <w:sz w:val="24"/>
              </w:rPr>
              <w:t>不低于105万元/年</w:t>
            </w:r>
          </w:p>
        </w:tc>
      </w:tr>
      <w:tr w14:paraId="069A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98" w:type="dxa"/>
            <w:vAlign w:val="center"/>
          </w:tcPr>
          <w:p w14:paraId="685ADA44">
            <w:pPr>
              <w:jc w:val="center"/>
              <w:rPr>
                <w:rFonts w:ascii="宋体" w:hAnsi="宋体" w:cs="宋体"/>
                <w:color w:val="auto"/>
                <w:kern w:val="0"/>
                <w:sz w:val="24"/>
              </w:rPr>
            </w:pPr>
            <w:r>
              <w:rPr>
                <w:rFonts w:hint="eastAsia" w:ascii="宋体" w:hAnsi="宋体" w:cs="宋体"/>
                <w:color w:val="auto"/>
                <w:kern w:val="0"/>
                <w:sz w:val="24"/>
              </w:rPr>
              <w:t>前五年修缮培育期改造投资总金额</w:t>
            </w:r>
          </w:p>
        </w:tc>
        <w:tc>
          <w:tcPr>
            <w:tcW w:w="4635" w:type="dxa"/>
            <w:vAlign w:val="center"/>
          </w:tcPr>
          <w:p w14:paraId="22710CAC">
            <w:pPr>
              <w:rPr>
                <w:rFonts w:ascii="宋体" w:hAnsi="宋体" w:cs="宋体"/>
                <w:color w:val="auto"/>
                <w:sz w:val="24"/>
              </w:rPr>
            </w:pPr>
            <w:r>
              <w:rPr>
                <w:rFonts w:hint="eastAsia" w:ascii="宋体" w:hAnsi="宋体" w:cs="宋体"/>
                <w:color w:val="auto"/>
                <w:kern w:val="0"/>
                <w:sz w:val="24"/>
              </w:rPr>
              <w:t>大写：</w:t>
            </w:r>
            <w:r>
              <w:rPr>
                <w:rFonts w:hint="eastAsia" w:ascii="宋体" w:hAnsi="宋体" w:cs="宋体"/>
                <w:color w:val="auto"/>
                <w:kern w:val="0"/>
                <w:sz w:val="24"/>
                <w:u w:val="single"/>
              </w:rPr>
              <w:t xml:space="preserve">    壹仟万   </w:t>
            </w:r>
            <w:r>
              <w:rPr>
                <w:rFonts w:hint="eastAsia" w:ascii="宋体" w:hAnsi="宋体" w:cs="宋体"/>
                <w:color w:val="auto"/>
                <w:kern w:val="0"/>
                <w:sz w:val="24"/>
              </w:rPr>
              <w:t>元</w:t>
            </w:r>
            <w:r>
              <w:rPr>
                <w:rFonts w:hint="eastAsia" w:ascii="宋体" w:hAnsi="宋体" w:cs="宋体"/>
                <w:color w:val="auto"/>
                <w:kern w:val="0"/>
                <w:sz w:val="24"/>
              </w:rPr>
              <w:br w:type="textWrapping"/>
            </w:r>
            <w:r>
              <w:rPr>
                <w:rFonts w:hint="eastAsia" w:ascii="宋体" w:hAnsi="宋体" w:cs="宋体"/>
                <w:color w:val="auto"/>
                <w:kern w:val="0"/>
                <w:sz w:val="24"/>
              </w:rPr>
              <w:t>小写：</w:t>
            </w:r>
            <w:r>
              <w:rPr>
                <w:rFonts w:hint="eastAsia" w:ascii="宋体" w:hAnsi="宋体" w:cs="宋体"/>
                <w:color w:val="auto"/>
                <w:kern w:val="0"/>
                <w:sz w:val="24"/>
                <w:u w:val="single"/>
              </w:rPr>
              <w:t xml:space="preserve">    10，000，000  </w:t>
            </w:r>
            <w:r>
              <w:rPr>
                <w:rFonts w:hint="eastAsia" w:ascii="宋体" w:hAnsi="宋体" w:cs="宋体"/>
                <w:color w:val="auto"/>
                <w:kern w:val="0"/>
                <w:sz w:val="24"/>
              </w:rPr>
              <w:t>元（人民币）</w:t>
            </w:r>
          </w:p>
        </w:tc>
        <w:tc>
          <w:tcPr>
            <w:tcW w:w="2370" w:type="dxa"/>
            <w:vAlign w:val="center"/>
          </w:tcPr>
          <w:p w14:paraId="5A3EE891">
            <w:pPr>
              <w:jc w:val="left"/>
              <w:rPr>
                <w:rFonts w:ascii="宋体" w:hAnsi="宋体" w:cs="宋体"/>
                <w:color w:val="auto"/>
                <w:sz w:val="24"/>
              </w:rPr>
            </w:pPr>
            <w:r>
              <w:rPr>
                <w:rFonts w:hint="eastAsia" w:ascii="宋体" w:hAnsi="宋体" w:cs="宋体"/>
                <w:color w:val="auto"/>
                <w:sz w:val="24"/>
              </w:rPr>
              <w:t>固定报价</w:t>
            </w:r>
          </w:p>
        </w:tc>
      </w:tr>
    </w:tbl>
    <w:p w14:paraId="2E6D6C0C">
      <w:pPr>
        <w:rPr>
          <w:color w:val="auto"/>
          <w:kern w:val="0"/>
          <w:sz w:val="28"/>
          <w:szCs w:val="28"/>
        </w:rPr>
      </w:pPr>
      <w:r>
        <w:rPr>
          <w:color w:val="auto"/>
          <w:kern w:val="0"/>
          <w:sz w:val="28"/>
          <w:szCs w:val="28"/>
        </w:rPr>
        <w:t>日期：</w:t>
      </w:r>
    </w:p>
    <w:p w14:paraId="6F40ED55">
      <w:pPr>
        <w:rPr>
          <w:color w:val="auto"/>
          <w:kern w:val="0"/>
          <w:sz w:val="28"/>
          <w:szCs w:val="28"/>
        </w:rPr>
      </w:pPr>
      <w:r>
        <w:rPr>
          <w:color w:val="auto"/>
          <w:kern w:val="0"/>
          <w:sz w:val="28"/>
          <w:szCs w:val="28"/>
        </w:rPr>
        <w:t>填写说明：</w:t>
      </w:r>
    </w:p>
    <w:p w14:paraId="37EA1633">
      <w:pPr>
        <w:rPr>
          <w:color w:val="auto"/>
          <w:kern w:val="0"/>
          <w:sz w:val="28"/>
          <w:szCs w:val="28"/>
        </w:rPr>
      </w:pPr>
      <w:r>
        <w:rPr>
          <w:color w:val="auto"/>
          <w:kern w:val="0"/>
          <w:sz w:val="28"/>
          <w:szCs w:val="28"/>
        </w:rPr>
        <w:t>1、开标一览表必须加盖投标单位公章（复印件无效）。</w:t>
      </w:r>
    </w:p>
    <w:p w14:paraId="621593AD">
      <w:pPr>
        <w:snapToGrid w:val="0"/>
        <w:spacing w:line="400" w:lineRule="exact"/>
        <w:contextualSpacing/>
        <w:rPr>
          <w:b/>
          <w:color w:val="auto"/>
          <w:kern w:val="0"/>
          <w:sz w:val="28"/>
          <w:szCs w:val="28"/>
        </w:rPr>
      </w:pPr>
      <w:r>
        <w:rPr>
          <w:rFonts w:hint="eastAsia"/>
          <w:b/>
          <w:color w:val="auto"/>
          <w:kern w:val="0"/>
          <w:sz w:val="28"/>
          <w:szCs w:val="28"/>
        </w:rPr>
        <w:t>注:</w:t>
      </w:r>
      <w:r>
        <w:rPr>
          <w:rFonts w:hint="eastAsia"/>
          <w:b/>
          <w:bCs/>
          <w:color w:val="auto"/>
          <w:sz w:val="24"/>
        </w:rPr>
        <w:t>前五年修缮培育期</w:t>
      </w:r>
      <w:r>
        <w:rPr>
          <w:rFonts w:hint="eastAsia" w:ascii="宋体" w:hAnsi="宋体" w:cs="宋体"/>
          <w:b/>
          <w:bCs/>
          <w:color w:val="auto"/>
          <w:kern w:val="0"/>
          <w:sz w:val="24"/>
        </w:rPr>
        <w:t>改造投资总金额</w:t>
      </w:r>
      <w:r>
        <w:rPr>
          <w:rFonts w:hint="eastAsia"/>
          <w:b/>
          <w:bCs/>
          <w:color w:val="auto"/>
          <w:sz w:val="24"/>
        </w:rPr>
        <w:t>为固定值1000万元，投标人须固定报价。</w:t>
      </w:r>
    </w:p>
    <w:p w14:paraId="7E6E711C">
      <w:pPr>
        <w:pStyle w:val="18"/>
        <w:ind w:firstLine="281"/>
        <w:rPr>
          <w:b/>
          <w:color w:val="auto"/>
          <w:sz w:val="28"/>
          <w:szCs w:val="28"/>
        </w:rPr>
      </w:pPr>
    </w:p>
    <w:p w14:paraId="3F3D3212">
      <w:pPr>
        <w:snapToGrid w:val="0"/>
        <w:spacing w:line="300" w:lineRule="auto"/>
        <w:outlineLvl w:val="0"/>
        <w:rPr>
          <w:rFonts w:eastAsia="方正黑体_GBK"/>
          <w:color w:val="auto"/>
          <w:sz w:val="32"/>
          <w:szCs w:val="32"/>
        </w:rPr>
      </w:pPr>
      <w:r>
        <w:rPr>
          <w:rFonts w:eastAsia="方正黑体_GBK"/>
          <w:color w:val="auto"/>
          <w:sz w:val="32"/>
          <w:szCs w:val="32"/>
        </w:rPr>
        <w:t>附件7</w:t>
      </w:r>
    </w:p>
    <w:p w14:paraId="46389A45">
      <w:pPr>
        <w:jc w:val="center"/>
        <w:rPr>
          <w:rFonts w:eastAsia="黑体"/>
          <w:bCs/>
          <w:color w:val="auto"/>
          <w:sz w:val="44"/>
          <w:szCs w:val="44"/>
        </w:rPr>
      </w:pPr>
      <w:r>
        <w:rPr>
          <w:rFonts w:eastAsia="黑体"/>
          <w:bCs/>
          <w:color w:val="auto"/>
          <w:sz w:val="44"/>
          <w:szCs w:val="44"/>
        </w:rPr>
        <w:t>质疑函范本</w:t>
      </w:r>
    </w:p>
    <w:p w14:paraId="30147501">
      <w:pPr>
        <w:adjustRightInd w:val="0"/>
        <w:snapToGrid w:val="0"/>
        <w:spacing w:before="312" w:beforeLines="100" w:line="360" w:lineRule="auto"/>
        <w:rPr>
          <w:rFonts w:eastAsia="黑体"/>
          <w:bCs/>
          <w:color w:val="auto"/>
          <w:sz w:val="32"/>
          <w:szCs w:val="32"/>
        </w:rPr>
      </w:pPr>
      <w:r>
        <w:rPr>
          <w:rFonts w:eastAsia="黑体"/>
          <w:bCs/>
          <w:color w:val="auto"/>
          <w:sz w:val="32"/>
          <w:szCs w:val="32"/>
        </w:rPr>
        <w:t>一、质疑</w:t>
      </w:r>
      <w:r>
        <w:rPr>
          <w:rFonts w:hint="eastAsia" w:eastAsia="黑体"/>
          <w:bCs/>
          <w:color w:val="auto"/>
          <w:sz w:val="32"/>
          <w:szCs w:val="32"/>
        </w:rPr>
        <w:t>投标人</w:t>
      </w:r>
      <w:r>
        <w:rPr>
          <w:rFonts w:eastAsia="黑体"/>
          <w:bCs/>
          <w:color w:val="auto"/>
          <w:sz w:val="32"/>
          <w:szCs w:val="32"/>
        </w:rPr>
        <w:t>基本信息</w:t>
      </w:r>
    </w:p>
    <w:p w14:paraId="75E7FFE4">
      <w:pPr>
        <w:adjustRightInd w:val="0"/>
        <w:snapToGrid w:val="0"/>
        <w:spacing w:line="360" w:lineRule="auto"/>
        <w:rPr>
          <w:rFonts w:eastAsia="仿宋"/>
          <w:color w:val="auto"/>
          <w:sz w:val="32"/>
          <w:szCs w:val="32"/>
          <w:u w:val="dotted"/>
        </w:rPr>
      </w:pPr>
      <w:r>
        <w:rPr>
          <w:rFonts w:eastAsia="仿宋"/>
          <w:color w:val="auto"/>
          <w:sz w:val="32"/>
          <w:szCs w:val="32"/>
        </w:rPr>
        <w:t>质疑</w:t>
      </w:r>
      <w:r>
        <w:rPr>
          <w:rFonts w:hint="eastAsia" w:eastAsia="仿宋"/>
          <w:color w:val="auto"/>
          <w:sz w:val="32"/>
          <w:szCs w:val="32"/>
        </w:rPr>
        <w:t>投标人</w:t>
      </w:r>
      <w:r>
        <w:rPr>
          <w:rFonts w:eastAsia="仿宋"/>
          <w:color w:val="auto"/>
          <w:sz w:val="32"/>
          <w:szCs w:val="32"/>
        </w:rPr>
        <w:t>：</w:t>
      </w:r>
    </w:p>
    <w:p w14:paraId="50D0D70A">
      <w:pPr>
        <w:adjustRightInd w:val="0"/>
        <w:snapToGrid w:val="0"/>
        <w:spacing w:line="360" w:lineRule="auto"/>
        <w:rPr>
          <w:rFonts w:eastAsia="仿宋"/>
          <w:color w:val="auto"/>
          <w:sz w:val="32"/>
          <w:szCs w:val="32"/>
        </w:rPr>
      </w:pPr>
      <w:r>
        <w:rPr>
          <w:rFonts w:eastAsia="仿宋"/>
          <w:color w:val="auto"/>
          <w:sz w:val="32"/>
          <w:szCs w:val="32"/>
        </w:rPr>
        <w:t>地址：               邮编：</w:t>
      </w:r>
    </w:p>
    <w:p w14:paraId="301E31A0">
      <w:pPr>
        <w:adjustRightInd w:val="0"/>
        <w:snapToGrid w:val="0"/>
        <w:spacing w:line="360" w:lineRule="auto"/>
        <w:rPr>
          <w:rFonts w:eastAsia="仿宋"/>
          <w:color w:val="auto"/>
          <w:sz w:val="32"/>
          <w:szCs w:val="32"/>
        </w:rPr>
      </w:pPr>
      <w:r>
        <w:rPr>
          <w:rFonts w:eastAsia="仿宋"/>
          <w:color w:val="auto"/>
          <w:sz w:val="32"/>
          <w:szCs w:val="32"/>
        </w:rPr>
        <w:t>联系人：             联系电话：</w:t>
      </w:r>
    </w:p>
    <w:p w14:paraId="240B0B88">
      <w:pPr>
        <w:adjustRightInd w:val="0"/>
        <w:snapToGrid w:val="0"/>
        <w:spacing w:line="360" w:lineRule="auto"/>
        <w:rPr>
          <w:rFonts w:eastAsia="仿宋"/>
          <w:color w:val="auto"/>
          <w:sz w:val="32"/>
          <w:szCs w:val="32"/>
          <w:u w:val="dotted"/>
        </w:rPr>
      </w:pPr>
      <w:r>
        <w:rPr>
          <w:rFonts w:eastAsia="仿宋"/>
          <w:color w:val="auto"/>
          <w:sz w:val="32"/>
          <w:szCs w:val="32"/>
        </w:rPr>
        <w:t>授权代表：</w:t>
      </w:r>
    </w:p>
    <w:p w14:paraId="7AC26244">
      <w:pPr>
        <w:adjustRightInd w:val="0"/>
        <w:snapToGrid w:val="0"/>
        <w:spacing w:line="360" w:lineRule="auto"/>
        <w:rPr>
          <w:rFonts w:eastAsia="仿宋"/>
          <w:color w:val="auto"/>
          <w:sz w:val="32"/>
          <w:szCs w:val="32"/>
        </w:rPr>
      </w:pPr>
      <w:r>
        <w:rPr>
          <w:rFonts w:eastAsia="仿宋"/>
          <w:color w:val="auto"/>
          <w:sz w:val="32"/>
          <w:szCs w:val="32"/>
        </w:rPr>
        <w:t>联系电话：</w:t>
      </w:r>
    </w:p>
    <w:p w14:paraId="4B1AE859">
      <w:pPr>
        <w:adjustRightInd w:val="0"/>
        <w:snapToGrid w:val="0"/>
        <w:spacing w:line="360" w:lineRule="auto"/>
        <w:rPr>
          <w:rFonts w:eastAsia="仿宋"/>
          <w:color w:val="auto"/>
          <w:sz w:val="32"/>
          <w:szCs w:val="32"/>
        </w:rPr>
      </w:pPr>
      <w:r>
        <w:rPr>
          <w:rFonts w:eastAsia="仿宋"/>
          <w:color w:val="auto"/>
          <w:sz w:val="32"/>
          <w:szCs w:val="32"/>
        </w:rPr>
        <w:t>地址：               邮编：        邮箱：</w:t>
      </w:r>
    </w:p>
    <w:p w14:paraId="6AC7C2CC">
      <w:pPr>
        <w:adjustRightInd w:val="0"/>
        <w:snapToGrid w:val="0"/>
        <w:spacing w:line="360" w:lineRule="auto"/>
        <w:rPr>
          <w:rFonts w:eastAsia="黑体"/>
          <w:bCs/>
          <w:color w:val="auto"/>
          <w:sz w:val="32"/>
          <w:szCs w:val="32"/>
        </w:rPr>
      </w:pPr>
      <w:r>
        <w:rPr>
          <w:rFonts w:eastAsia="黑体"/>
          <w:bCs/>
          <w:color w:val="auto"/>
          <w:sz w:val="32"/>
          <w:szCs w:val="32"/>
        </w:rPr>
        <w:t>二、质疑项目基本情况</w:t>
      </w:r>
    </w:p>
    <w:p w14:paraId="3CC2DAE1">
      <w:pPr>
        <w:adjustRightInd w:val="0"/>
        <w:snapToGrid w:val="0"/>
        <w:spacing w:line="360" w:lineRule="auto"/>
        <w:rPr>
          <w:rFonts w:eastAsia="仿宋"/>
          <w:color w:val="auto"/>
          <w:sz w:val="32"/>
          <w:szCs w:val="32"/>
        </w:rPr>
      </w:pPr>
      <w:r>
        <w:rPr>
          <w:rFonts w:eastAsia="仿宋"/>
          <w:color w:val="auto"/>
          <w:sz w:val="32"/>
          <w:szCs w:val="32"/>
        </w:rPr>
        <w:t>质疑项目的名称：</w:t>
      </w:r>
    </w:p>
    <w:p w14:paraId="1CA975FB">
      <w:pPr>
        <w:adjustRightInd w:val="0"/>
        <w:snapToGrid w:val="0"/>
        <w:spacing w:line="360" w:lineRule="auto"/>
        <w:rPr>
          <w:rFonts w:eastAsia="仿宋"/>
          <w:color w:val="auto"/>
          <w:sz w:val="32"/>
          <w:szCs w:val="32"/>
        </w:rPr>
      </w:pPr>
      <w:r>
        <w:rPr>
          <w:rFonts w:eastAsia="仿宋"/>
          <w:color w:val="auto"/>
          <w:sz w:val="32"/>
          <w:szCs w:val="32"/>
        </w:rPr>
        <w:t>质疑项目的编号：包号：</w:t>
      </w:r>
    </w:p>
    <w:p w14:paraId="07161B05">
      <w:pPr>
        <w:adjustRightInd w:val="0"/>
        <w:snapToGrid w:val="0"/>
        <w:spacing w:line="360" w:lineRule="auto"/>
        <w:rPr>
          <w:rFonts w:eastAsia="仿宋"/>
          <w:color w:val="auto"/>
          <w:sz w:val="32"/>
          <w:szCs w:val="32"/>
          <w:u w:val="dotted"/>
        </w:rPr>
      </w:pPr>
      <w:r>
        <w:rPr>
          <w:rFonts w:hint="eastAsia" w:eastAsia="仿宋"/>
          <w:color w:val="auto"/>
          <w:sz w:val="32"/>
          <w:szCs w:val="32"/>
        </w:rPr>
        <w:t>招标</w:t>
      </w:r>
      <w:r>
        <w:rPr>
          <w:rFonts w:eastAsia="仿宋"/>
          <w:color w:val="auto"/>
          <w:sz w:val="32"/>
          <w:szCs w:val="32"/>
        </w:rPr>
        <w:t>人名称：</w:t>
      </w:r>
    </w:p>
    <w:p w14:paraId="336B480E">
      <w:pPr>
        <w:adjustRightInd w:val="0"/>
        <w:snapToGrid w:val="0"/>
        <w:spacing w:line="360" w:lineRule="auto"/>
        <w:rPr>
          <w:rFonts w:eastAsia="仿宋"/>
          <w:color w:val="auto"/>
          <w:sz w:val="32"/>
          <w:szCs w:val="32"/>
        </w:rPr>
      </w:pPr>
      <w:r>
        <w:rPr>
          <w:rFonts w:hint="eastAsia" w:eastAsia="仿宋"/>
          <w:color w:val="auto"/>
          <w:sz w:val="32"/>
          <w:szCs w:val="32"/>
        </w:rPr>
        <w:t>招标</w:t>
      </w:r>
      <w:r>
        <w:rPr>
          <w:rFonts w:eastAsia="仿宋"/>
          <w:color w:val="auto"/>
          <w:sz w:val="32"/>
          <w:szCs w:val="32"/>
        </w:rPr>
        <w:t>文件获取日期：</w:t>
      </w:r>
    </w:p>
    <w:p w14:paraId="3EA05885">
      <w:pPr>
        <w:adjustRightInd w:val="0"/>
        <w:snapToGrid w:val="0"/>
        <w:spacing w:line="360" w:lineRule="auto"/>
        <w:rPr>
          <w:rFonts w:eastAsia="黑体"/>
          <w:bCs/>
          <w:color w:val="auto"/>
          <w:sz w:val="32"/>
          <w:szCs w:val="32"/>
        </w:rPr>
      </w:pPr>
      <w:r>
        <w:rPr>
          <w:rFonts w:eastAsia="黑体"/>
          <w:bCs/>
          <w:color w:val="auto"/>
          <w:sz w:val="32"/>
          <w:szCs w:val="32"/>
        </w:rPr>
        <w:t>三、质疑事项具体内容</w:t>
      </w:r>
    </w:p>
    <w:p w14:paraId="62EBA229">
      <w:pPr>
        <w:adjustRightInd w:val="0"/>
        <w:snapToGrid w:val="0"/>
        <w:spacing w:line="360" w:lineRule="auto"/>
        <w:rPr>
          <w:rFonts w:eastAsia="仿宋"/>
          <w:color w:val="auto"/>
          <w:sz w:val="32"/>
          <w:szCs w:val="32"/>
          <w:u w:val="dotted"/>
        </w:rPr>
      </w:pPr>
      <w:r>
        <w:rPr>
          <w:rFonts w:eastAsia="仿宋"/>
          <w:color w:val="auto"/>
          <w:sz w:val="32"/>
          <w:szCs w:val="32"/>
        </w:rPr>
        <w:t>质疑事项1：</w:t>
      </w:r>
    </w:p>
    <w:p w14:paraId="48658BE8">
      <w:pPr>
        <w:adjustRightInd w:val="0"/>
        <w:snapToGrid w:val="0"/>
        <w:spacing w:line="360" w:lineRule="auto"/>
        <w:rPr>
          <w:rFonts w:eastAsia="仿宋"/>
          <w:color w:val="auto"/>
          <w:sz w:val="32"/>
          <w:szCs w:val="32"/>
          <w:u w:val="dotted"/>
        </w:rPr>
      </w:pPr>
      <w:r>
        <w:rPr>
          <w:rFonts w:eastAsia="仿宋"/>
          <w:color w:val="auto"/>
          <w:sz w:val="32"/>
          <w:szCs w:val="32"/>
        </w:rPr>
        <w:t>事实依据：</w:t>
      </w:r>
    </w:p>
    <w:p w14:paraId="3E40DBB8">
      <w:pPr>
        <w:adjustRightInd w:val="0"/>
        <w:snapToGrid w:val="0"/>
        <w:spacing w:line="360" w:lineRule="auto"/>
        <w:rPr>
          <w:rFonts w:eastAsia="仿宋"/>
          <w:color w:val="auto"/>
          <w:sz w:val="32"/>
          <w:szCs w:val="32"/>
        </w:rPr>
      </w:pPr>
    </w:p>
    <w:p w14:paraId="23DD4B86">
      <w:pPr>
        <w:adjustRightInd w:val="0"/>
        <w:snapToGrid w:val="0"/>
        <w:spacing w:line="360" w:lineRule="auto"/>
        <w:rPr>
          <w:rFonts w:eastAsia="仿宋"/>
          <w:color w:val="auto"/>
          <w:sz w:val="32"/>
          <w:szCs w:val="32"/>
          <w:u w:val="dotted"/>
        </w:rPr>
      </w:pPr>
      <w:r>
        <w:rPr>
          <w:rFonts w:eastAsia="仿宋"/>
          <w:color w:val="auto"/>
          <w:sz w:val="32"/>
          <w:szCs w:val="32"/>
        </w:rPr>
        <w:t>法律依据：</w:t>
      </w:r>
    </w:p>
    <w:p w14:paraId="3C2D0670">
      <w:pPr>
        <w:adjustRightInd w:val="0"/>
        <w:snapToGrid w:val="0"/>
        <w:spacing w:line="360" w:lineRule="auto"/>
        <w:rPr>
          <w:rFonts w:eastAsia="仿宋"/>
          <w:color w:val="auto"/>
          <w:sz w:val="32"/>
          <w:szCs w:val="32"/>
          <w:u w:val="dotted"/>
        </w:rPr>
      </w:pPr>
    </w:p>
    <w:p w14:paraId="04ACDFFD">
      <w:pPr>
        <w:adjustRightInd w:val="0"/>
        <w:snapToGrid w:val="0"/>
        <w:spacing w:line="360" w:lineRule="auto"/>
        <w:rPr>
          <w:rFonts w:eastAsia="仿宋"/>
          <w:color w:val="auto"/>
          <w:sz w:val="32"/>
          <w:szCs w:val="32"/>
          <w:u w:val="dotted"/>
        </w:rPr>
      </w:pPr>
      <w:r>
        <w:rPr>
          <w:rFonts w:eastAsia="仿宋"/>
          <w:color w:val="auto"/>
          <w:sz w:val="32"/>
          <w:szCs w:val="32"/>
        </w:rPr>
        <w:t>质疑事项2</w:t>
      </w:r>
    </w:p>
    <w:p w14:paraId="69139139">
      <w:pPr>
        <w:adjustRightInd w:val="0"/>
        <w:snapToGrid w:val="0"/>
        <w:spacing w:line="360" w:lineRule="auto"/>
        <w:rPr>
          <w:rFonts w:eastAsia="仿宋"/>
          <w:color w:val="auto"/>
          <w:sz w:val="32"/>
          <w:szCs w:val="32"/>
        </w:rPr>
      </w:pPr>
      <w:r>
        <w:rPr>
          <w:rFonts w:eastAsia="仿宋"/>
          <w:color w:val="auto"/>
          <w:sz w:val="32"/>
          <w:szCs w:val="32"/>
        </w:rPr>
        <w:t>……</w:t>
      </w:r>
    </w:p>
    <w:p w14:paraId="03E87A24">
      <w:pPr>
        <w:adjustRightInd w:val="0"/>
        <w:snapToGrid w:val="0"/>
        <w:spacing w:line="360" w:lineRule="auto"/>
        <w:rPr>
          <w:rFonts w:eastAsia="黑体"/>
          <w:bCs/>
          <w:color w:val="auto"/>
          <w:sz w:val="32"/>
          <w:szCs w:val="32"/>
        </w:rPr>
      </w:pPr>
      <w:r>
        <w:rPr>
          <w:rFonts w:eastAsia="黑体"/>
          <w:bCs/>
          <w:color w:val="auto"/>
          <w:sz w:val="32"/>
          <w:szCs w:val="32"/>
        </w:rPr>
        <w:t>四、与质疑事项相关的质疑请求</w:t>
      </w:r>
    </w:p>
    <w:p w14:paraId="36AFF35C">
      <w:pPr>
        <w:adjustRightInd w:val="0"/>
        <w:snapToGrid w:val="0"/>
        <w:spacing w:line="360" w:lineRule="auto"/>
        <w:rPr>
          <w:rFonts w:eastAsia="仿宋"/>
          <w:color w:val="auto"/>
          <w:sz w:val="32"/>
          <w:szCs w:val="32"/>
          <w:u w:val="dotted"/>
        </w:rPr>
      </w:pPr>
      <w:r>
        <w:rPr>
          <w:rFonts w:eastAsia="仿宋"/>
          <w:color w:val="auto"/>
          <w:sz w:val="32"/>
          <w:szCs w:val="32"/>
        </w:rPr>
        <w:t>请求：</w:t>
      </w:r>
    </w:p>
    <w:p w14:paraId="5EB1F405">
      <w:pPr>
        <w:rPr>
          <w:rFonts w:eastAsia="仿宋_GB2312"/>
          <w:color w:val="auto"/>
          <w:sz w:val="30"/>
          <w:szCs w:val="30"/>
        </w:rPr>
      </w:pPr>
      <w:r>
        <w:rPr>
          <w:rFonts w:eastAsia="仿宋_GB2312"/>
          <w:color w:val="auto"/>
          <w:sz w:val="30"/>
          <w:szCs w:val="30"/>
        </w:rPr>
        <w:t xml:space="preserve">签字(签章)：                   公章：                      </w:t>
      </w:r>
    </w:p>
    <w:p w14:paraId="1B34BE52">
      <w:pPr>
        <w:rPr>
          <w:rFonts w:eastAsia="仿宋_GB2312"/>
          <w:color w:val="auto"/>
          <w:sz w:val="30"/>
          <w:szCs w:val="30"/>
        </w:rPr>
      </w:pPr>
      <w:r>
        <w:rPr>
          <w:rFonts w:eastAsia="仿宋_GB2312"/>
          <w:color w:val="auto"/>
          <w:sz w:val="30"/>
          <w:szCs w:val="30"/>
        </w:rPr>
        <w:t xml:space="preserve">日期：    </w:t>
      </w:r>
    </w:p>
    <w:p w14:paraId="77C6C8F9">
      <w:pPr>
        <w:adjustRightInd w:val="0"/>
        <w:snapToGrid w:val="0"/>
        <w:spacing w:line="360" w:lineRule="auto"/>
        <w:rPr>
          <w:rFonts w:eastAsia="仿宋"/>
          <w:color w:val="auto"/>
          <w:sz w:val="32"/>
          <w:szCs w:val="32"/>
        </w:rPr>
      </w:pPr>
    </w:p>
    <w:p w14:paraId="450CFC04">
      <w:pPr>
        <w:rPr>
          <w:rFonts w:eastAsia="黑体"/>
          <w:b/>
          <w:color w:val="auto"/>
          <w:sz w:val="32"/>
          <w:szCs w:val="32"/>
        </w:rPr>
      </w:pPr>
    </w:p>
    <w:p w14:paraId="3E3A699E">
      <w:pPr>
        <w:rPr>
          <w:rFonts w:eastAsia="黑体"/>
          <w:b/>
          <w:color w:val="auto"/>
          <w:sz w:val="32"/>
          <w:szCs w:val="32"/>
        </w:rPr>
      </w:pPr>
      <w:r>
        <w:rPr>
          <w:rFonts w:eastAsia="黑体"/>
          <w:b/>
          <w:color w:val="auto"/>
          <w:sz w:val="32"/>
          <w:szCs w:val="32"/>
        </w:rPr>
        <w:t>质疑函制作说明：</w:t>
      </w:r>
    </w:p>
    <w:p w14:paraId="330BFAF1">
      <w:pPr>
        <w:widowControl/>
        <w:ind w:firstLine="640" w:firstLineChars="200"/>
        <w:jc w:val="left"/>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投标人</w:t>
      </w:r>
      <w:r>
        <w:rPr>
          <w:rFonts w:eastAsia="仿宋_GB2312"/>
          <w:color w:val="auto"/>
          <w:sz w:val="32"/>
          <w:szCs w:val="32"/>
        </w:rPr>
        <w:t>提出质疑时，应提交质疑函和必要的证明材料。</w:t>
      </w:r>
    </w:p>
    <w:p w14:paraId="5F5EEEBB">
      <w:pPr>
        <w:widowControl/>
        <w:ind w:firstLine="640" w:firstLineChars="200"/>
        <w:jc w:val="left"/>
        <w:rPr>
          <w:rFonts w:eastAsia="仿宋_GB2312"/>
          <w:color w:val="auto"/>
          <w:sz w:val="32"/>
          <w:szCs w:val="32"/>
        </w:rPr>
      </w:pPr>
      <w:r>
        <w:rPr>
          <w:rFonts w:eastAsia="仿宋_GB2312"/>
          <w:color w:val="auto"/>
          <w:sz w:val="32"/>
          <w:szCs w:val="32"/>
        </w:rPr>
        <w:t>2.质疑</w:t>
      </w:r>
      <w:r>
        <w:rPr>
          <w:rFonts w:hint="eastAsia" w:eastAsia="仿宋_GB2312"/>
          <w:color w:val="auto"/>
          <w:sz w:val="32"/>
          <w:szCs w:val="32"/>
        </w:rPr>
        <w:t>投标人</w:t>
      </w:r>
      <w:r>
        <w:rPr>
          <w:rFonts w:eastAsia="仿宋_GB2312"/>
          <w:color w:val="auto"/>
          <w:sz w:val="32"/>
          <w:szCs w:val="32"/>
        </w:rPr>
        <w:t>若委托代理人进行质疑的，质疑函应按要求列明“授权代表”的有关内容，并在附件中提交由质疑</w:t>
      </w:r>
      <w:r>
        <w:rPr>
          <w:rFonts w:eastAsia="仿宋_GB2312"/>
          <w:color w:val="auto"/>
          <w:kern w:val="0"/>
          <w:sz w:val="32"/>
          <w:szCs w:val="32"/>
        </w:rPr>
        <w:t>供应商签署的授权委托书。授权委托书应载明代理人的姓名或者名称、代理事项、具体权限、期限和相关事项。</w:t>
      </w:r>
    </w:p>
    <w:p w14:paraId="44487C4D">
      <w:pPr>
        <w:widowControl/>
        <w:ind w:firstLine="640" w:firstLineChars="200"/>
        <w:jc w:val="left"/>
        <w:rPr>
          <w:rFonts w:eastAsia="仿宋_GB2312"/>
          <w:color w:val="auto"/>
          <w:sz w:val="32"/>
          <w:szCs w:val="32"/>
        </w:rPr>
      </w:pPr>
      <w:r>
        <w:rPr>
          <w:rFonts w:eastAsia="仿宋_GB2312"/>
          <w:color w:val="auto"/>
          <w:sz w:val="32"/>
          <w:szCs w:val="32"/>
        </w:rPr>
        <w:t>3.质疑</w:t>
      </w:r>
      <w:r>
        <w:rPr>
          <w:rFonts w:hint="eastAsia" w:eastAsia="仿宋_GB2312"/>
          <w:color w:val="auto"/>
          <w:sz w:val="32"/>
          <w:szCs w:val="32"/>
        </w:rPr>
        <w:t>投标人</w:t>
      </w:r>
      <w:r>
        <w:rPr>
          <w:rFonts w:eastAsia="仿宋_GB2312"/>
          <w:color w:val="auto"/>
          <w:sz w:val="32"/>
          <w:szCs w:val="32"/>
        </w:rPr>
        <w:t>若对项目的某一分包进行质疑，质疑函中应列明具体分包号。</w:t>
      </w:r>
    </w:p>
    <w:p w14:paraId="32D5F03B">
      <w:pPr>
        <w:widowControl/>
        <w:ind w:firstLine="640" w:firstLineChars="200"/>
        <w:jc w:val="left"/>
        <w:rPr>
          <w:rFonts w:eastAsia="仿宋_GB2312"/>
          <w:color w:val="auto"/>
          <w:sz w:val="32"/>
          <w:szCs w:val="32"/>
        </w:rPr>
      </w:pPr>
      <w:r>
        <w:rPr>
          <w:rFonts w:eastAsia="仿宋_GB2312"/>
          <w:color w:val="auto"/>
          <w:sz w:val="32"/>
          <w:szCs w:val="32"/>
        </w:rPr>
        <w:t>4.质疑函的质疑事项应具体、明确，并有必要的事实依据和法律依据。</w:t>
      </w:r>
    </w:p>
    <w:p w14:paraId="7157BDC3">
      <w:pPr>
        <w:widowControl/>
        <w:ind w:firstLine="640" w:firstLineChars="200"/>
        <w:jc w:val="left"/>
        <w:rPr>
          <w:rFonts w:eastAsia="仿宋_GB2312"/>
          <w:color w:val="auto"/>
          <w:sz w:val="32"/>
          <w:szCs w:val="32"/>
        </w:rPr>
      </w:pPr>
      <w:r>
        <w:rPr>
          <w:rFonts w:eastAsia="仿宋_GB2312"/>
          <w:color w:val="auto"/>
          <w:sz w:val="32"/>
          <w:szCs w:val="32"/>
        </w:rPr>
        <w:t>5.质疑函的质疑请求应与质疑事项相关。</w:t>
      </w:r>
    </w:p>
    <w:p w14:paraId="53A083DD">
      <w:pPr>
        <w:widowControl/>
        <w:ind w:firstLine="640" w:firstLineChars="200"/>
        <w:jc w:val="left"/>
        <w:rPr>
          <w:color w:val="auto"/>
        </w:rPr>
      </w:pPr>
      <w:r>
        <w:rPr>
          <w:rFonts w:eastAsia="仿宋_GB2312"/>
          <w:color w:val="auto"/>
          <w:sz w:val="32"/>
          <w:szCs w:val="32"/>
        </w:rPr>
        <w:t>6.质疑</w:t>
      </w:r>
      <w:r>
        <w:rPr>
          <w:rFonts w:hint="eastAsia" w:eastAsia="仿宋_GB2312"/>
          <w:color w:val="auto"/>
          <w:sz w:val="32"/>
          <w:szCs w:val="32"/>
        </w:rPr>
        <w:t>投标人</w:t>
      </w:r>
      <w:r>
        <w:rPr>
          <w:rFonts w:eastAsia="仿宋_GB2312"/>
          <w:color w:val="auto"/>
          <w:sz w:val="32"/>
          <w:szCs w:val="32"/>
        </w:rPr>
        <w:t>为自然人的，质疑函应由本人签字；质疑</w:t>
      </w:r>
      <w:r>
        <w:rPr>
          <w:rFonts w:hint="eastAsia" w:eastAsia="仿宋_GB2312"/>
          <w:color w:val="auto"/>
          <w:sz w:val="32"/>
          <w:szCs w:val="32"/>
        </w:rPr>
        <w:t>投标人</w:t>
      </w:r>
      <w:r>
        <w:rPr>
          <w:rFonts w:eastAsia="仿宋_GB2312"/>
          <w:color w:val="auto"/>
          <w:sz w:val="32"/>
          <w:szCs w:val="32"/>
        </w:rPr>
        <w:t>为法人或者其他组织的，质疑函应由法定代表人、主要负责人，或者其授权代表签字或者盖章，并加盖公章。</w:t>
      </w:r>
    </w:p>
    <w:p w14:paraId="79BFE96D">
      <w:pPr>
        <w:rPr>
          <w:color w:val="auto"/>
        </w:rPr>
      </w:pPr>
    </w:p>
    <w:sectPr>
      <w:footerReference r:id="rId4" w:type="default"/>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83A3C-68BA-4752-B64A-FBA2B1D0F7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99106A-6629-4250-A746-DF9AFD563915}"/>
  </w:font>
  <w:font w:name="仿宋_GB2312">
    <w:panose1 w:val="02010609030101010101"/>
    <w:charset w:val="86"/>
    <w:family w:val="modern"/>
    <w:pitch w:val="default"/>
    <w:sig w:usb0="00000001" w:usb1="080E0000" w:usb2="00000000" w:usb3="00000000" w:csb0="00040000" w:csb1="00000000"/>
    <w:embedRegular r:id="rId3" w:fontKey="{0C20D802-88CB-4237-96C0-415DAF8EF99D}"/>
  </w:font>
  <w:font w:name="华文新魏">
    <w:panose1 w:val="02010800040101010101"/>
    <w:charset w:val="86"/>
    <w:family w:val="auto"/>
    <w:pitch w:val="default"/>
    <w:sig w:usb0="00000001" w:usb1="080F0000" w:usb2="00000000" w:usb3="00000000" w:csb0="00040000" w:csb1="00000000"/>
    <w:embedRegular r:id="rId4" w:fontKey="{D065E36B-F87E-4C3E-8F52-A68B4D9EF7AF}"/>
  </w:font>
  <w:font w:name="楷体_GB2312">
    <w:panose1 w:val="02010609030101010101"/>
    <w:charset w:val="86"/>
    <w:family w:val="modern"/>
    <w:pitch w:val="default"/>
    <w:sig w:usb0="00000001" w:usb1="080E0000" w:usb2="00000000" w:usb3="00000000" w:csb0="00040000" w:csb1="00000000"/>
    <w:embedRegular r:id="rId5" w:fontKey="{3AC457A8-3756-42F7-AF89-A9077331C18C}"/>
  </w:font>
  <w:font w:name="仿宋">
    <w:panose1 w:val="02010609060101010101"/>
    <w:charset w:val="86"/>
    <w:family w:val="modern"/>
    <w:pitch w:val="default"/>
    <w:sig w:usb0="800002BF" w:usb1="38CF7CFA" w:usb2="00000016" w:usb3="00000000" w:csb0="00040001" w:csb1="00000000"/>
    <w:embedRegular r:id="rId6" w:fontKey="{96909C92-993C-4396-B6F4-410FF2DE592B}"/>
  </w:font>
  <w:font w:name="方正小标宋简体">
    <w:panose1 w:val="03000509000000000000"/>
    <w:charset w:val="86"/>
    <w:family w:val="auto"/>
    <w:pitch w:val="default"/>
    <w:sig w:usb0="00000001" w:usb1="080E0000" w:usb2="00000000" w:usb3="00000000" w:csb0="00040000" w:csb1="00000000"/>
    <w:embedRegular r:id="rId7" w:fontKey="{AD15AFDB-27D6-43B5-AD4F-CBFD44DDFC38}"/>
  </w:font>
  <w:font w:name="楷体">
    <w:panose1 w:val="02010609060101010101"/>
    <w:charset w:val="86"/>
    <w:family w:val="modern"/>
    <w:pitch w:val="default"/>
    <w:sig w:usb0="800002BF" w:usb1="38CF7CFA" w:usb2="00000016" w:usb3="00000000" w:csb0="00040001" w:csb1="00000000"/>
    <w:embedRegular r:id="rId8" w:fontKey="{A6300CB4-90C7-4281-9233-67A92A35735E}"/>
  </w:font>
  <w:font w:name="___WRD_EMBED_SUB_39">
    <w:altName w:val="宋体"/>
    <w:panose1 w:val="00000000000000000000"/>
    <w:charset w:val="86"/>
    <w:family w:val="modern"/>
    <w:pitch w:val="default"/>
    <w:sig w:usb0="00000000" w:usb1="00000000" w:usb2="00000000" w:usb3="00000000" w:csb0="00040000" w:csb1="00000000"/>
    <w:embedRegular r:id="rId9" w:fontKey="{176EC7EE-0BD6-4E20-BCA3-1EA4992FB1BA}"/>
  </w:font>
  <w:font w:name="方正黑体_GBK">
    <w:panose1 w:val="03000509000000000000"/>
    <w:charset w:val="86"/>
    <w:family w:val="script"/>
    <w:pitch w:val="default"/>
    <w:sig w:usb0="00000001" w:usb1="080E0000" w:usb2="00000000" w:usb3="00000000" w:csb0="00040000" w:csb1="00000000"/>
    <w:embedRegular r:id="rId10" w:fontKey="{85BB6DA8-75DC-49CE-B33B-3405C9397F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526C">
    <w:pPr>
      <w:pStyle w:val="1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6FAB">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F74C9">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9F74C9">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D13C"/>
    <w:multiLevelType w:val="multilevel"/>
    <w:tmpl w:val="82C4D13C"/>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101856BF"/>
    <w:multiLevelType w:val="singleLevel"/>
    <w:tmpl w:val="101856BF"/>
    <w:lvl w:ilvl="0" w:tentative="0">
      <w:start w:val="1"/>
      <w:numFmt w:val="decimal"/>
      <w:suff w:val="nothing"/>
      <w:lvlText w:val="%1、"/>
      <w:lvlJc w:val="left"/>
    </w:lvl>
  </w:abstractNum>
  <w:abstractNum w:abstractNumId="4">
    <w:nsid w:val="43657FEE"/>
    <w:multiLevelType w:val="singleLevel"/>
    <w:tmpl w:val="43657FEE"/>
    <w:lvl w:ilvl="0" w:tentative="0">
      <w:start w:val="1"/>
      <w:numFmt w:val="decimal"/>
      <w:suff w:val="nothing"/>
      <w:lvlText w:val="%1、"/>
      <w:lvlJc w:val="left"/>
    </w:lvl>
  </w:abstractNum>
  <w:abstractNum w:abstractNumId="5">
    <w:nsid w:val="4405C25D"/>
    <w:multiLevelType w:val="singleLevel"/>
    <w:tmpl w:val="4405C25D"/>
    <w:lvl w:ilvl="0" w:tentative="0">
      <w:start w:val="1"/>
      <w:numFmt w:val="chineseCounting"/>
      <w:suff w:val="nothing"/>
      <w:lvlText w:val="%1、"/>
      <w:lvlJc w:val="left"/>
      <w:rPr>
        <w:rFonts w:hint="eastAsia"/>
      </w:rPr>
    </w:lvl>
  </w:abstractNum>
  <w:abstractNum w:abstractNumId="6">
    <w:nsid w:val="4C2E8DB6"/>
    <w:multiLevelType w:val="singleLevel"/>
    <w:tmpl w:val="4C2E8DB6"/>
    <w:lvl w:ilvl="0" w:tentative="0">
      <w:start w:val="1"/>
      <w:numFmt w:val="decimal"/>
      <w:suff w:val="nothing"/>
      <w:lvlText w:val="%1、"/>
      <w:lvlJc w:val="left"/>
    </w:lvl>
  </w:abstractNum>
  <w:abstractNum w:abstractNumId="7">
    <w:nsid w:val="53C2DCFD"/>
    <w:multiLevelType w:val="singleLevel"/>
    <w:tmpl w:val="53C2DCFD"/>
    <w:lvl w:ilvl="0" w:tentative="0">
      <w:start w:val="1"/>
      <w:numFmt w:val="decimal"/>
      <w:suff w:val="nothing"/>
      <w:lvlText w:val="%1、"/>
      <w:lvlJc w:val="left"/>
      <w:rPr>
        <w:rFonts w:hint="default"/>
        <w:color w:val="auto"/>
      </w:rPr>
    </w:lvl>
  </w:abstractNum>
  <w:num w:numId="1">
    <w:abstractNumId w:val="0"/>
  </w:num>
  <w:num w:numId="2">
    <w:abstractNumId w:val="2"/>
  </w:num>
  <w:num w:numId="3">
    <w:abstractNumId w:val="7"/>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jZjc2OGM3MmFkOTE0ZDYyOTRhZTlkN2Q1YWFhM2MifQ=="/>
  </w:docVars>
  <w:rsids>
    <w:rsidRoot w:val="12D959BF"/>
    <w:rsid w:val="000000AE"/>
    <w:rsid w:val="00056AB9"/>
    <w:rsid w:val="000828EF"/>
    <w:rsid w:val="000A0B7C"/>
    <w:rsid w:val="000A508E"/>
    <w:rsid w:val="000C69DB"/>
    <w:rsid w:val="000E1357"/>
    <w:rsid w:val="0010603F"/>
    <w:rsid w:val="001327BD"/>
    <w:rsid w:val="001339BD"/>
    <w:rsid w:val="001504D0"/>
    <w:rsid w:val="00183505"/>
    <w:rsid w:val="00187EE3"/>
    <w:rsid w:val="001D6C0B"/>
    <w:rsid w:val="001E5FE7"/>
    <w:rsid w:val="00214B95"/>
    <w:rsid w:val="00234370"/>
    <w:rsid w:val="00254CCB"/>
    <w:rsid w:val="00255769"/>
    <w:rsid w:val="00264CB3"/>
    <w:rsid w:val="00272318"/>
    <w:rsid w:val="00276BEE"/>
    <w:rsid w:val="00296B91"/>
    <w:rsid w:val="0029771B"/>
    <w:rsid w:val="002E68D1"/>
    <w:rsid w:val="002F5919"/>
    <w:rsid w:val="00374F6C"/>
    <w:rsid w:val="003B6E2F"/>
    <w:rsid w:val="003C03FB"/>
    <w:rsid w:val="003C1E87"/>
    <w:rsid w:val="004165CD"/>
    <w:rsid w:val="00430CD6"/>
    <w:rsid w:val="00434235"/>
    <w:rsid w:val="004379F2"/>
    <w:rsid w:val="00463092"/>
    <w:rsid w:val="004717AB"/>
    <w:rsid w:val="00474297"/>
    <w:rsid w:val="0049238C"/>
    <w:rsid w:val="004D41A7"/>
    <w:rsid w:val="00507EAD"/>
    <w:rsid w:val="0052099B"/>
    <w:rsid w:val="00570B05"/>
    <w:rsid w:val="005714C6"/>
    <w:rsid w:val="0057661E"/>
    <w:rsid w:val="005B228B"/>
    <w:rsid w:val="005D2854"/>
    <w:rsid w:val="005E1088"/>
    <w:rsid w:val="005E43BC"/>
    <w:rsid w:val="006001BD"/>
    <w:rsid w:val="006042D7"/>
    <w:rsid w:val="006174F8"/>
    <w:rsid w:val="00632B00"/>
    <w:rsid w:val="00633951"/>
    <w:rsid w:val="006445BD"/>
    <w:rsid w:val="0069124A"/>
    <w:rsid w:val="006A4048"/>
    <w:rsid w:val="006A5B70"/>
    <w:rsid w:val="006C1574"/>
    <w:rsid w:val="007007DA"/>
    <w:rsid w:val="00720AE5"/>
    <w:rsid w:val="00720B5A"/>
    <w:rsid w:val="007211E9"/>
    <w:rsid w:val="00733DBC"/>
    <w:rsid w:val="0074233B"/>
    <w:rsid w:val="0074658C"/>
    <w:rsid w:val="00754A1B"/>
    <w:rsid w:val="00754EDC"/>
    <w:rsid w:val="00772052"/>
    <w:rsid w:val="007857BA"/>
    <w:rsid w:val="007C7A35"/>
    <w:rsid w:val="008069B5"/>
    <w:rsid w:val="00811420"/>
    <w:rsid w:val="008505BD"/>
    <w:rsid w:val="008D5F81"/>
    <w:rsid w:val="008E2737"/>
    <w:rsid w:val="009835DF"/>
    <w:rsid w:val="009B26F6"/>
    <w:rsid w:val="009C3FA6"/>
    <w:rsid w:val="00A54C89"/>
    <w:rsid w:val="00A76D18"/>
    <w:rsid w:val="00A978B8"/>
    <w:rsid w:val="00AA3092"/>
    <w:rsid w:val="00AB7741"/>
    <w:rsid w:val="00AD369D"/>
    <w:rsid w:val="00AE19FE"/>
    <w:rsid w:val="00AE1D6E"/>
    <w:rsid w:val="00B11C10"/>
    <w:rsid w:val="00B4682C"/>
    <w:rsid w:val="00B56F24"/>
    <w:rsid w:val="00B63AB8"/>
    <w:rsid w:val="00B71180"/>
    <w:rsid w:val="00BB0E56"/>
    <w:rsid w:val="00BB1034"/>
    <w:rsid w:val="00BF26CF"/>
    <w:rsid w:val="00C01CBC"/>
    <w:rsid w:val="00C0755F"/>
    <w:rsid w:val="00C174AB"/>
    <w:rsid w:val="00C20796"/>
    <w:rsid w:val="00C5164F"/>
    <w:rsid w:val="00C557CC"/>
    <w:rsid w:val="00C57433"/>
    <w:rsid w:val="00C940BE"/>
    <w:rsid w:val="00CC2DC9"/>
    <w:rsid w:val="00CD3536"/>
    <w:rsid w:val="00CD5A56"/>
    <w:rsid w:val="00CE5887"/>
    <w:rsid w:val="00CF0E0C"/>
    <w:rsid w:val="00CF66C5"/>
    <w:rsid w:val="00D10B70"/>
    <w:rsid w:val="00D15189"/>
    <w:rsid w:val="00D348C5"/>
    <w:rsid w:val="00D62EB4"/>
    <w:rsid w:val="00D64D32"/>
    <w:rsid w:val="00DD68F2"/>
    <w:rsid w:val="00DF50F4"/>
    <w:rsid w:val="00DF6986"/>
    <w:rsid w:val="00E032BA"/>
    <w:rsid w:val="00E07C2E"/>
    <w:rsid w:val="00E44BB6"/>
    <w:rsid w:val="00E47D25"/>
    <w:rsid w:val="00E602DD"/>
    <w:rsid w:val="00E646A4"/>
    <w:rsid w:val="00E73066"/>
    <w:rsid w:val="00E9029E"/>
    <w:rsid w:val="00EA435A"/>
    <w:rsid w:val="00ED0400"/>
    <w:rsid w:val="00F51C2D"/>
    <w:rsid w:val="00F63693"/>
    <w:rsid w:val="00F67DB3"/>
    <w:rsid w:val="00F93908"/>
    <w:rsid w:val="00FC1F48"/>
    <w:rsid w:val="00FC67AE"/>
    <w:rsid w:val="00FF2966"/>
    <w:rsid w:val="01205D5C"/>
    <w:rsid w:val="01852063"/>
    <w:rsid w:val="01944054"/>
    <w:rsid w:val="01A56261"/>
    <w:rsid w:val="01C51A63"/>
    <w:rsid w:val="01F24D3C"/>
    <w:rsid w:val="02242F4B"/>
    <w:rsid w:val="022669CC"/>
    <w:rsid w:val="02432D99"/>
    <w:rsid w:val="026B3007"/>
    <w:rsid w:val="02A4476B"/>
    <w:rsid w:val="02DB2594"/>
    <w:rsid w:val="04365609"/>
    <w:rsid w:val="04DA4474"/>
    <w:rsid w:val="05783435"/>
    <w:rsid w:val="05C420DA"/>
    <w:rsid w:val="05D610DF"/>
    <w:rsid w:val="06210484"/>
    <w:rsid w:val="06212DFF"/>
    <w:rsid w:val="07443F9B"/>
    <w:rsid w:val="07D258D6"/>
    <w:rsid w:val="08504728"/>
    <w:rsid w:val="09722ECD"/>
    <w:rsid w:val="0A825391"/>
    <w:rsid w:val="0AA63786"/>
    <w:rsid w:val="0ADD6A6C"/>
    <w:rsid w:val="0B725406"/>
    <w:rsid w:val="0BEC6AF6"/>
    <w:rsid w:val="0C8B34A5"/>
    <w:rsid w:val="0C9870EE"/>
    <w:rsid w:val="0CFA3FFB"/>
    <w:rsid w:val="0D18690A"/>
    <w:rsid w:val="0D444B7C"/>
    <w:rsid w:val="0D6276FC"/>
    <w:rsid w:val="0D8D4779"/>
    <w:rsid w:val="0DED346A"/>
    <w:rsid w:val="0E9F5A87"/>
    <w:rsid w:val="0EB440A5"/>
    <w:rsid w:val="0F0A3BA7"/>
    <w:rsid w:val="0FF35A9B"/>
    <w:rsid w:val="105B17B2"/>
    <w:rsid w:val="114809B7"/>
    <w:rsid w:val="11A83289"/>
    <w:rsid w:val="12192DBE"/>
    <w:rsid w:val="127A3899"/>
    <w:rsid w:val="12930507"/>
    <w:rsid w:val="12C64289"/>
    <w:rsid w:val="12D959BF"/>
    <w:rsid w:val="12DF1E11"/>
    <w:rsid w:val="13622B93"/>
    <w:rsid w:val="13FC21A6"/>
    <w:rsid w:val="14042D8E"/>
    <w:rsid w:val="146971BF"/>
    <w:rsid w:val="14851D09"/>
    <w:rsid w:val="14CD18FF"/>
    <w:rsid w:val="1552168B"/>
    <w:rsid w:val="15AF54A9"/>
    <w:rsid w:val="1613643D"/>
    <w:rsid w:val="16730284"/>
    <w:rsid w:val="17B9312A"/>
    <w:rsid w:val="191D6E46"/>
    <w:rsid w:val="192945D7"/>
    <w:rsid w:val="19911F03"/>
    <w:rsid w:val="1997072D"/>
    <w:rsid w:val="19FD2C86"/>
    <w:rsid w:val="1A613215"/>
    <w:rsid w:val="1A734CF7"/>
    <w:rsid w:val="1AD27986"/>
    <w:rsid w:val="1B3C01AC"/>
    <w:rsid w:val="1BDA490E"/>
    <w:rsid w:val="1BE51C24"/>
    <w:rsid w:val="1C071B9A"/>
    <w:rsid w:val="1C1222ED"/>
    <w:rsid w:val="1C3B1844"/>
    <w:rsid w:val="1D4D6540"/>
    <w:rsid w:val="1DC23BF6"/>
    <w:rsid w:val="1E3634AF"/>
    <w:rsid w:val="1E4744D0"/>
    <w:rsid w:val="1F896D6A"/>
    <w:rsid w:val="1FBE5DF2"/>
    <w:rsid w:val="208C08C0"/>
    <w:rsid w:val="20C813D6"/>
    <w:rsid w:val="20D65FDF"/>
    <w:rsid w:val="219F6196"/>
    <w:rsid w:val="21B345CC"/>
    <w:rsid w:val="222F59A7"/>
    <w:rsid w:val="22682C67"/>
    <w:rsid w:val="23125A98"/>
    <w:rsid w:val="2327687E"/>
    <w:rsid w:val="237D6BE6"/>
    <w:rsid w:val="24C7636B"/>
    <w:rsid w:val="25A14E4D"/>
    <w:rsid w:val="25DD571A"/>
    <w:rsid w:val="25EA105A"/>
    <w:rsid w:val="25EB7E37"/>
    <w:rsid w:val="26BB5A5B"/>
    <w:rsid w:val="274C4C32"/>
    <w:rsid w:val="27DB3EDB"/>
    <w:rsid w:val="2838400F"/>
    <w:rsid w:val="297F5466"/>
    <w:rsid w:val="29820AB2"/>
    <w:rsid w:val="2A063491"/>
    <w:rsid w:val="2A0A2F62"/>
    <w:rsid w:val="2A703001"/>
    <w:rsid w:val="2AE82B97"/>
    <w:rsid w:val="2B564F56"/>
    <w:rsid w:val="2B836D64"/>
    <w:rsid w:val="2BD37CB4"/>
    <w:rsid w:val="2BE313AE"/>
    <w:rsid w:val="2BE62FA3"/>
    <w:rsid w:val="2D2714C5"/>
    <w:rsid w:val="2D3F2099"/>
    <w:rsid w:val="2E304F81"/>
    <w:rsid w:val="2EA66FF1"/>
    <w:rsid w:val="2ED679C1"/>
    <w:rsid w:val="2F7F74D1"/>
    <w:rsid w:val="2FCB0C6D"/>
    <w:rsid w:val="30215312"/>
    <w:rsid w:val="31E16592"/>
    <w:rsid w:val="31FF4230"/>
    <w:rsid w:val="320635FA"/>
    <w:rsid w:val="32161C8D"/>
    <w:rsid w:val="326C67A3"/>
    <w:rsid w:val="32AB29E5"/>
    <w:rsid w:val="32E91BA2"/>
    <w:rsid w:val="33252EA2"/>
    <w:rsid w:val="334A5C38"/>
    <w:rsid w:val="33686F6B"/>
    <w:rsid w:val="33755963"/>
    <w:rsid w:val="33A71D52"/>
    <w:rsid w:val="33E94E6B"/>
    <w:rsid w:val="344A493E"/>
    <w:rsid w:val="35DA6B91"/>
    <w:rsid w:val="361E7DB5"/>
    <w:rsid w:val="36FB1EA4"/>
    <w:rsid w:val="37387755"/>
    <w:rsid w:val="3747333B"/>
    <w:rsid w:val="37515F68"/>
    <w:rsid w:val="37C52BDE"/>
    <w:rsid w:val="38D6544A"/>
    <w:rsid w:val="390414E4"/>
    <w:rsid w:val="397D7B66"/>
    <w:rsid w:val="3AFF0761"/>
    <w:rsid w:val="3B63409B"/>
    <w:rsid w:val="3B6C6B15"/>
    <w:rsid w:val="3B910ADB"/>
    <w:rsid w:val="3BFC64A2"/>
    <w:rsid w:val="3C553E04"/>
    <w:rsid w:val="3CDE204C"/>
    <w:rsid w:val="3EEF5CC5"/>
    <w:rsid w:val="3F3134CA"/>
    <w:rsid w:val="3F4A716D"/>
    <w:rsid w:val="3F6E7574"/>
    <w:rsid w:val="3F9402CC"/>
    <w:rsid w:val="3FA02E75"/>
    <w:rsid w:val="3FD574C7"/>
    <w:rsid w:val="3FE519ED"/>
    <w:rsid w:val="3FF61BBC"/>
    <w:rsid w:val="401F6C03"/>
    <w:rsid w:val="41941172"/>
    <w:rsid w:val="41A2189A"/>
    <w:rsid w:val="41CC0407"/>
    <w:rsid w:val="42276D4F"/>
    <w:rsid w:val="42982C9D"/>
    <w:rsid w:val="43012310"/>
    <w:rsid w:val="437C611B"/>
    <w:rsid w:val="43913333"/>
    <w:rsid w:val="454F3256"/>
    <w:rsid w:val="46133C06"/>
    <w:rsid w:val="47261C24"/>
    <w:rsid w:val="479B35B2"/>
    <w:rsid w:val="47B10A89"/>
    <w:rsid w:val="47C06F1E"/>
    <w:rsid w:val="47C3256A"/>
    <w:rsid w:val="48741C18"/>
    <w:rsid w:val="487F2F7D"/>
    <w:rsid w:val="4882069B"/>
    <w:rsid w:val="48CD649C"/>
    <w:rsid w:val="49504438"/>
    <w:rsid w:val="49504CC8"/>
    <w:rsid w:val="4A6758CF"/>
    <w:rsid w:val="4B3C0998"/>
    <w:rsid w:val="4B427C4A"/>
    <w:rsid w:val="4B46773A"/>
    <w:rsid w:val="4BE40C0C"/>
    <w:rsid w:val="4C656166"/>
    <w:rsid w:val="4CB93F3C"/>
    <w:rsid w:val="4D61085B"/>
    <w:rsid w:val="4E6B7F53"/>
    <w:rsid w:val="4EFB0E0B"/>
    <w:rsid w:val="500B0F52"/>
    <w:rsid w:val="51516E38"/>
    <w:rsid w:val="52001EDD"/>
    <w:rsid w:val="52D03D8D"/>
    <w:rsid w:val="52D27B05"/>
    <w:rsid w:val="534C5B09"/>
    <w:rsid w:val="536015B5"/>
    <w:rsid w:val="541008E5"/>
    <w:rsid w:val="54837309"/>
    <w:rsid w:val="54CA318A"/>
    <w:rsid w:val="54E620E2"/>
    <w:rsid w:val="550B4D18"/>
    <w:rsid w:val="554B15BE"/>
    <w:rsid w:val="55684751"/>
    <w:rsid w:val="55C71477"/>
    <w:rsid w:val="56026953"/>
    <w:rsid w:val="56220DA3"/>
    <w:rsid w:val="5622221E"/>
    <w:rsid w:val="5632088C"/>
    <w:rsid w:val="569357FD"/>
    <w:rsid w:val="571701DC"/>
    <w:rsid w:val="57603931"/>
    <w:rsid w:val="576378C6"/>
    <w:rsid w:val="579A64CA"/>
    <w:rsid w:val="57D60097"/>
    <w:rsid w:val="57DA6DD8"/>
    <w:rsid w:val="58E42340"/>
    <w:rsid w:val="58F702C5"/>
    <w:rsid w:val="59411541"/>
    <w:rsid w:val="5A2B1A2D"/>
    <w:rsid w:val="5AC06700"/>
    <w:rsid w:val="5AE137B6"/>
    <w:rsid w:val="5B422E2E"/>
    <w:rsid w:val="5B5C08B4"/>
    <w:rsid w:val="5BCD7A28"/>
    <w:rsid w:val="5BDE576D"/>
    <w:rsid w:val="5CEF7511"/>
    <w:rsid w:val="5CFC234E"/>
    <w:rsid w:val="5D5A6893"/>
    <w:rsid w:val="5E0019CA"/>
    <w:rsid w:val="5E4C2E61"/>
    <w:rsid w:val="5EB974F6"/>
    <w:rsid w:val="5ECF24A8"/>
    <w:rsid w:val="5FA6034F"/>
    <w:rsid w:val="5FA665A1"/>
    <w:rsid w:val="60D81FDE"/>
    <w:rsid w:val="60F92F16"/>
    <w:rsid w:val="612B4FB0"/>
    <w:rsid w:val="61527A1A"/>
    <w:rsid w:val="61713E93"/>
    <w:rsid w:val="619C4100"/>
    <w:rsid w:val="61B56613"/>
    <w:rsid w:val="61C947C9"/>
    <w:rsid w:val="61E81904"/>
    <w:rsid w:val="620523F5"/>
    <w:rsid w:val="62E0001C"/>
    <w:rsid w:val="63506F50"/>
    <w:rsid w:val="641F09BB"/>
    <w:rsid w:val="644D463F"/>
    <w:rsid w:val="64836EB1"/>
    <w:rsid w:val="648E5907"/>
    <w:rsid w:val="64B83287"/>
    <w:rsid w:val="64E15B05"/>
    <w:rsid w:val="662F72F1"/>
    <w:rsid w:val="663366B5"/>
    <w:rsid w:val="666D00EC"/>
    <w:rsid w:val="670F0BB8"/>
    <w:rsid w:val="67162064"/>
    <w:rsid w:val="67183895"/>
    <w:rsid w:val="677551D7"/>
    <w:rsid w:val="68147090"/>
    <w:rsid w:val="68BB30BE"/>
    <w:rsid w:val="69051C61"/>
    <w:rsid w:val="698A6F34"/>
    <w:rsid w:val="6A1303D4"/>
    <w:rsid w:val="6A2F0853"/>
    <w:rsid w:val="6A362A91"/>
    <w:rsid w:val="6AC83870"/>
    <w:rsid w:val="6B0A3E88"/>
    <w:rsid w:val="6B2B66DF"/>
    <w:rsid w:val="6B75023C"/>
    <w:rsid w:val="6B7D6319"/>
    <w:rsid w:val="6C427652"/>
    <w:rsid w:val="6CCA7D73"/>
    <w:rsid w:val="6CDE737B"/>
    <w:rsid w:val="6CFB5C37"/>
    <w:rsid w:val="6D877A12"/>
    <w:rsid w:val="6E4E0530"/>
    <w:rsid w:val="6E971ED7"/>
    <w:rsid w:val="6EFA4214"/>
    <w:rsid w:val="6F34556C"/>
    <w:rsid w:val="6F370FC4"/>
    <w:rsid w:val="6F4638FD"/>
    <w:rsid w:val="6F7E6BF3"/>
    <w:rsid w:val="6F7E7B76"/>
    <w:rsid w:val="705B6AF8"/>
    <w:rsid w:val="70626833"/>
    <w:rsid w:val="70A4590D"/>
    <w:rsid w:val="70AB1C6A"/>
    <w:rsid w:val="70F8086E"/>
    <w:rsid w:val="720D60AF"/>
    <w:rsid w:val="73654686"/>
    <w:rsid w:val="737A2F6A"/>
    <w:rsid w:val="73C3376E"/>
    <w:rsid w:val="74A94712"/>
    <w:rsid w:val="74B836C6"/>
    <w:rsid w:val="74DD5F11"/>
    <w:rsid w:val="74F6547D"/>
    <w:rsid w:val="7513602F"/>
    <w:rsid w:val="754A2A99"/>
    <w:rsid w:val="75A31161"/>
    <w:rsid w:val="75E63744"/>
    <w:rsid w:val="761107C1"/>
    <w:rsid w:val="762B1157"/>
    <w:rsid w:val="76A637C5"/>
    <w:rsid w:val="76FA29C8"/>
    <w:rsid w:val="77511A4B"/>
    <w:rsid w:val="77756B2D"/>
    <w:rsid w:val="78177BE5"/>
    <w:rsid w:val="78305D81"/>
    <w:rsid w:val="7863107C"/>
    <w:rsid w:val="788A346A"/>
    <w:rsid w:val="79893CE9"/>
    <w:rsid w:val="79983F19"/>
    <w:rsid w:val="79C45B4A"/>
    <w:rsid w:val="79E87A8A"/>
    <w:rsid w:val="7A8736C1"/>
    <w:rsid w:val="7BD858DD"/>
    <w:rsid w:val="7BEF0B9E"/>
    <w:rsid w:val="7C865339"/>
    <w:rsid w:val="7C9C2034"/>
    <w:rsid w:val="7D142FA8"/>
    <w:rsid w:val="7D211B57"/>
    <w:rsid w:val="7E635932"/>
    <w:rsid w:val="7F207CC7"/>
    <w:rsid w:val="7F261C38"/>
    <w:rsid w:val="7F460DAF"/>
    <w:rsid w:val="7F8308DE"/>
    <w:rsid w:val="7FD52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spacing w:beforeLines="50" w:afterLines="50" w:line="360" w:lineRule="auto"/>
      <w:outlineLvl w:val="2"/>
    </w:pPr>
    <w:rPr>
      <w:rFonts w:eastAsia="黑体"/>
      <w:b/>
      <w:bCs/>
      <w:color w:val="000000"/>
      <w:sz w:val="28"/>
      <w:szCs w:val="28"/>
    </w:rPr>
  </w:style>
  <w:style w:type="paragraph" w:styleId="5">
    <w:name w:val="heading 6"/>
    <w:basedOn w:val="1"/>
    <w:next w:val="6"/>
    <w:autoRedefine/>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kern w:val="0"/>
      <w:sz w:val="20"/>
      <w:szCs w:val="20"/>
    </w:rPr>
  </w:style>
  <w:style w:type="paragraph" w:styleId="7">
    <w:name w:val="annotation text"/>
    <w:basedOn w:val="1"/>
    <w:link w:val="34"/>
    <w:autoRedefine/>
    <w:qFormat/>
    <w:uiPriority w:val="0"/>
    <w:pPr>
      <w:jc w:val="left"/>
    </w:pPr>
  </w:style>
  <w:style w:type="paragraph" w:styleId="8">
    <w:name w:val="Body Text"/>
    <w:basedOn w:val="1"/>
    <w:autoRedefine/>
    <w:qFormat/>
    <w:uiPriority w:val="0"/>
    <w:rPr>
      <w:rFonts w:ascii="仿宋_GB2312" w:eastAsia="仿宋_GB2312"/>
      <w:kern w:val="0"/>
      <w:sz w:val="24"/>
      <w:szCs w:val="20"/>
    </w:rPr>
  </w:style>
  <w:style w:type="paragraph" w:styleId="9">
    <w:name w:val="Body Text Indent"/>
    <w:basedOn w:val="1"/>
    <w:next w:val="10"/>
    <w:qFormat/>
    <w:uiPriority w:val="0"/>
    <w:pPr>
      <w:ind w:left="765"/>
    </w:pPr>
    <w:rPr>
      <w:rFonts w:ascii="仿宋_GB2312" w:eastAsia="仿宋_GB2312"/>
      <w:kern w:val="0"/>
      <w:sz w:val="28"/>
      <w:szCs w:val="20"/>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unhideWhenUsed/>
    <w:qFormat/>
    <w:uiPriority w:val="99"/>
    <w:pPr>
      <w:spacing w:after="120"/>
      <w:ind w:left="1440" w:leftChars="700" w:right="700" w:rightChars="700"/>
    </w:pPr>
  </w:style>
  <w:style w:type="paragraph" w:styleId="12">
    <w:name w:val="Plain Text"/>
    <w:basedOn w:val="1"/>
    <w:autoRedefine/>
    <w:qFormat/>
    <w:uiPriority w:val="0"/>
    <w:rPr>
      <w:rFonts w:ascii="宋体" w:hAnsi="Courier New"/>
      <w:kern w:val="0"/>
      <w:sz w:val="20"/>
      <w:szCs w:val="21"/>
    </w:rPr>
  </w:style>
  <w:style w:type="paragraph" w:styleId="13">
    <w:name w:val="Balloon Text"/>
    <w:basedOn w:val="1"/>
    <w:link w:val="30"/>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kern w:val="0"/>
      <w:sz w:val="18"/>
      <w:szCs w:val="20"/>
    </w:rPr>
  </w:style>
  <w:style w:type="paragraph" w:styleId="15">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rPr>
  </w:style>
  <w:style w:type="paragraph" w:styleId="17">
    <w:name w:val="annotation subject"/>
    <w:basedOn w:val="7"/>
    <w:next w:val="7"/>
    <w:link w:val="39"/>
    <w:semiHidden/>
    <w:unhideWhenUsed/>
    <w:qFormat/>
    <w:uiPriority w:val="0"/>
    <w:rPr>
      <w:b/>
      <w:bCs/>
    </w:rPr>
  </w:style>
  <w:style w:type="paragraph" w:styleId="18">
    <w:name w:val="Body Text First Indent"/>
    <w:basedOn w:val="8"/>
    <w:autoRedefine/>
    <w:qFormat/>
    <w:uiPriority w:val="0"/>
    <w:pPr>
      <w:spacing w:after="120"/>
      <w:ind w:firstLine="420" w:firstLineChars="100"/>
    </w:pPr>
    <w:rPr>
      <w:rFonts w:ascii="Times New Roman" w:eastAsia="宋体"/>
      <w:szCs w:val="24"/>
    </w:rPr>
  </w:style>
  <w:style w:type="paragraph" w:styleId="19">
    <w:name w:val="Body Text First Indent 2"/>
    <w:basedOn w:val="9"/>
    <w:next w:val="16"/>
    <w:autoRedefine/>
    <w:unhideWhenUsed/>
    <w:qFormat/>
    <w:uiPriority w:val="99"/>
    <w:pPr>
      <w:spacing w:after="120"/>
      <w:ind w:left="420" w:leftChars="200" w:firstLine="420" w:firstLineChars="200"/>
    </w:pPr>
    <w:rPr>
      <w:rFonts w:ascii="Times New Roman" w:eastAsia="宋体"/>
      <w:kern w:val="2"/>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无间隔1"/>
    <w:autoRedefine/>
    <w:qFormat/>
    <w:uiPriority w:val="0"/>
    <w:rPr>
      <w:rFonts w:ascii="Times New Roman" w:hAnsi="Times New Roman" w:eastAsia="宋体" w:cs="Times New Roman"/>
      <w:sz w:val="22"/>
      <w:szCs w:val="22"/>
      <w:lang w:val="en-US" w:eastAsia="en-US" w:bidi="en-US"/>
    </w:rPr>
  </w:style>
  <w:style w:type="paragraph" w:customStyle="1" w:styleId="25">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26">
    <w:name w:val="普通正文"/>
    <w:basedOn w:val="1"/>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basedOn w:val="22"/>
    <w:autoRedefine/>
    <w:qFormat/>
    <w:uiPriority w:val="0"/>
  </w:style>
  <w:style w:type="character" w:customStyle="1" w:styleId="30">
    <w:name w:val="批注框文本 字符"/>
    <w:basedOn w:val="22"/>
    <w:link w:val="13"/>
    <w:autoRedefine/>
    <w:qFormat/>
    <w:uiPriority w:val="0"/>
    <w:rPr>
      <w:rFonts w:ascii="Times New Roman" w:hAnsi="Times New Roman" w:eastAsia="宋体" w:cs="Times New Roman"/>
      <w:kern w:val="2"/>
      <w:sz w:val="18"/>
      <w:szCs w:val="18"/>
    </w:rPr>
  </w:style>
  <w:style w:type="character" w:customStyle="1" w:styleId="31">
    <w:name w:val="font11"/>
    <w:basedOn w:val="22"/>
    <w:autoRedefine/>
    <w:qFormat/>
    <w:uiPriority w:val="0"/>
    <w:rPr>
      <w:rFonts w:hint="eastAsia" w:ascii="宋体" w:hAnsi="宋体" w:eastAsia="宋体" w:cs="宋体"/>
      <w:color w:val="000000"/>
      <w:sz w:val="24"/>
      <w:szCs w:val="24"/>
      <w:u w:val="none"/>
    </w:rPr>
  </w:style>
  <w:style w:type="character" w:customStyle="1" w:styleId="32">
    <w:name w:val="font21"/>
    <w:basedOn w:val="22"/>
    <w:autoRedefine/>
    <w:qFormat/>
    <w:uiPriority w:val="0"/>
    <w:rPr>
      <w:rFonts w:hint="default" w:ascii="Times New Roman" w:hAnsi="Times New Roman" w:cs="Times New Roman"/>
      <w:color w:val="000000"/>
      <w:sz w:val="24"/>
      <w:szCs w:val="24"/>
      <w:u w:val="none"/>
    </w:rPr>
  </w:style>
  <w:style w:type="character" w:customStyle="1" w:styleId="33">
    <w:name w:val="font01"/>
    <w:basedOn w:val="22"/>
    <w:autoRedefine/>
    <w:qFormat/>
    <w:uiPriority w:val="0"/>
    <w:rPr>
      <w:rFonts w:hint="eastAsia" w:ascii="宋体" w:hAnsi="宋体" w:eastAsia="宋体" w:cs="宋体"/>
      <w:color w:val="000000"/>
      <w:sz w:val="22"/>
      <w:szCs w:val="22"/>
      <w:u w:val="none"/>
    </w:rPr>
  </w:style>
  <w:style w:type="character" w:customStyle="1" w:styleId="34">
    <w:name w:val="批注文字 字符"/>
    <w:basedOn w:val="22"/>
    <w:link w:val="7"/>
    <w:autoRedefine/>
    <w:qFormat/>
    <w:uiPriority w:val="0"/>
    <w:rPr>
      <w:kern w:val="2"/>
      <w:sz w:val="21"/>
      <w:szCs w:val="24"/>
    </w:rPr>
  </w:style>
  <w:style w:type="paragraph" w:styleId="35">
    <w:name w:val="List Paragraph"/>
    <w:basedOn w:val="1"/>
    <w:autoRedefine/>
    <w:qFormat/>
    <w:uiPriority w:val="99"/>
    <w:pPr>
      <w:ind w:firstLine="420" w:firstLineChars="200"/>
    </w:pPr>
  </w:style>
  <w:style w:type="character" w:customStyle="1" w:styleId="36">
    <w:name w:val="页眉 字符"/>
    <w:basedOn w:val="22"/>
    <w:link w:val="15"/>
    <w:autoRedefine/>
    <w:qFormat/>
    <w:uiPriority w:val="0"/>
    <w:rPr>
      <w:kern w:val="2"/>
      <w:sz w:val="18"/>
      <w:szCs w:val="18"/>
    </w:rPr>
  </w:style>
  <w:style w:type="character" w:customStyle="1" w:styleId="37">
    <w:name w:val="NormalCharacter"/>
    <w:autoRedefine/>
    <w:qFormat/>
    <w:uiPriority w:val="0"/>
  </w:style>
  <w:style w:type="character" w:customStyle="1" w:styleId="38">
    <w:name w:val="标题 1 字符"/>
    <w:link w:val="2"/>
    <w:qFormat/>
    <w:uiPriority w:val="0"/>
    <w:rPr>
      <w:b/>
      <w:kern w:val="44"/>
      <w:sz w:val="44"/>
    </w:rPr>
  </w:style>
  <w:style w:type="character" w:customStyle="1" w:styleId="39">
    <w:name w:val="批注主题 字符"/>
    <w:basedOn w:val="34"/>
    <w:link w:val="17"/>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D7184-5919-4252-83BF-CFE00BF903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10110</Words>
  <Characters>10495</Characters>
  <Lines>201</Lines>
  <Paragraphs>56</Paragraphs>
  <TotalTime>9</TotalTime>
  <ScaleCrop>false</ScaleCrop>
  <LinksUpToDate>false</LinksUpToDate>
  <CharactersWithSpaces>10569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admin</dc:creator>
  <cp:lastModifiedBy>铁匠</cp:lastModifiedBy>
  <dcterms:modified xsi:type="dcterms:W3CDTF">2025-09-28T03:23:03Z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0F0E65C547854283829210C3A2596928_13</vt:lpwstr>
  </property>
  <property fmtid="{D5CDD505-2E9C-101B-9397-08002B2CF9AE}" pid="4" name="KSOTemplateDocerSaveRecord">
    <vt:lpwstr>eyJoZGlkIjoiNWE1YzRmOGRlNDQzZDA3NmEwOWRlZDc3NzE5MTZmMjkiLCJ1c2VySWQiOiI2ODU3NjMzNzMifQ==</vt:lpwstr>
  </property>
</Properties>
</file>