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94E95E">
      <w:pPr>
        <w:pStyle w:val="2"/>
        <w:shd w:val="clear" w:color="auto" w:fill="FFFFFF"/>
        <w:spacing w:before="0" w:beforeAutospacing="0" w:after="75" w:afterAutospacing="0" w:line="525" w:lineRule="atLeast"/>
        <w:jc w:val="center"/>
        <w:rPr>
          <w:rFonts w:hint="eastAsia" w:asciiTheme="majorEastAsia" w:hAnsiTheme="majorEastAsia" w:eastAsiaTheme="majorEastAsia" w:cstheme="majorEastAsia"/>
          <w:b/>
          <w:bCs/>
          <w:color w:val="auto"/>
          <w:sz w:val="28"/>
          <w:szCs w:val="28"/>
          <w:lang w:eastAsia="zh-CN"/>
        </w:rPr>
      </w:pPr>
      <w:r>
        <w:rPr>
          <w:rFonts w:hint="eastAsia" w:asciiTheme="majorEastAsia" w:hAnsiTheme="majorEastAsia" w:eastAsiaTheme="majorEastAsia" w:cstheme="majorEastAsia"/>
          <w:b/>
          <w:bCs/>
          <w:color w:val="auto"/>
          <w:sz w:val="28"/>
          <w:szCs w:val="28"/>
          <w:lang w:eastAsia="zh-CN"/>
        </w:rPr>
        <w:t>唐闸面粉厂高压供电工程</w:t>
      </w:r>
    </w:p>
    <w:p w14:paraId="3EADD128">
      <w:pPr>
        <w:pStyle w:val="2"/>
        <w:shd w:val="clear" w:color="auto" w:fill="FFFFFF"/>
        <w:spacing w:before="0" w:beforeAutospacing="0" w:after="75" w:afterAutospacing="0" w:line="525" w:lineRule="atLeast"/>
        <w:jc w:val="center"/>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b/>
          <w:bCs/>
          <w:color w:val="auto"/>
          <w:sz w:val="28"/>
          <w:szCs w:val="28"/>
        </w:rPr>
        <w:t>招标公告</w:t>
      </w:r>
      <w:r>
        <w:rPr>
          <w:rFonts w:hint="eastAsia" w:asciiTheme="majorEastAsia" w:hAnsiTheme="majorEastAsia" w:eastAsiaTheme="majorEastAsia" w:cstheme="majorEastAsia"/>
          <w:b/>
          <w:bCs/>
          <w:color w:val="auto"/>
          <w:sz w:val="24"/>
          <w:szCs w:val="24"/>
          <w:lang w:val="en-US" w:eastAsia="zh-CN"/>
        </w:rPr>
        <w:t>(资格后审)</w:t>
      </w:r>
    </w:p>
    <w:p w14:paraId="15CD72DD">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w:t>
      </w:r>
      <w:r>
        <w:rPr>
          <w:rFonts w:hint="eastAsia" w:asciiTheme="majorEastAsia" w:hAnsiTheme="majorEastAsia" w:eastAsiaTheme="majorEastAsia" w:cstheme="majorEastAsia"/>
          <w:color w:val="auto"/>
          <w:sz w:val="21"/>
          <w:szCs w:val="21"/>
          <w:lang w:eastAsia="zh-CN"/>
        </w:rPr>
        <w:t>南通唐闸古镇保护开发有限公司</w:t>
      </w:r>
      <w:r>
        <w:rPr>
          <w:rFonts w:hint="eastAsia" w:asciiTheme="majorEastAsia" w:hAnsiTheme="majorEastAsia" w:eastAsiaTheme="majorEastAsia" w:cstheme="majorEastAsia"/>
          <w:color w:val="auto"/>
          <w:sz w:val="21"/>
          <w:szCs w:val="21"/>
        </w:rPr>
        <w:t>的</w:t>
      </w:r>
      <w:r>
        <w:rPr>
          <w:rFonts w:hint="eastAsia" w:asciiTheme="majorEastAsia" w:hAnsiTheme="majorEastAsia" w:eastAsiaTheme="majorEastAsia" w:cstheme="majorEastAsia"/>
          <w:color w:val="auto"/>
          <w:sz w:val="21"/>
          <w:szCs w:val="21"/>
          <w:lang w:eastAsia="zh-CN"/>
        </w:rPr>
        <w:t>唐闸面粉厂高压供电工程</w:t>
      </w:r>
      <w:r>
        <w:rPr>
          <w:rFonts w:hint="eastAsia" w:asciiTheme="majorEastAsia" w:hAnsiTheme="majorEastAsia" w:eastAsiaTheme="majorEastAsia" w:cstheme="majorEastAsia"/>
          <w:color w:val="auto"/>
          <w:sz w:val="21"/>
          <w:szCs w:val="21"/>
        </w:rPr>
        <w:t>已经由相关部门批准建设，工程所需资金来源为</w:t>
      </w:r>
      <w:r>
        <w:rPr>
          <w:rFonts w:hint="eastAsia" w:asciiTheme="majorEastAsia" w:hAnsiTheme="majorEastAsia" w:eastAsiaTheme="majorEastAsia" w:cstheme="majorEastAsia"/>
          <w:color w:val="auto"/>
          <w:sz w:val="21"/>
          <w:szCs w:val="21"/>
          <w:lang w:val="en-US" w:eastAsia="zh-CN"/>
        </w:rPr>
        <w:t>自筹</w:t>
      </w:r>
      <w:r>
        <w:rPr>
          <w:rFonts w:hint="eastAsia" w:asciiTheme="majorEastAsia" w:hAnsiTheme="majorEastAsia" w:eastAsiaTheme="majorEastAsia" w:cstheme="majorEastAsia"/>
          <w:color w:val="auto"/>
          <w:sz w:val="21"/>
          <w:szCs w:val="21"/>
        </w:rPr>
        <w:t>。现对该项目</w:t>
      </w:r>
      <w:r>
        <w:rPr>
          <w:rFonts w:hint="eastAsia" w:asciiTheme="majorEastAsia" w:hAnsiTheme="majorEastAsia" w:eastAsiaTheme="majorEastAsia" w:cstheme="majorEastAsia"/>
          <w:color w:val="auto"/>
          <w:sz w:val="21"/>
          <w:szCs w:val="21"/>
          <w:lang w:val="en-US" w:eastAsia="zh-CN"/>
        </w:rPr>
        <w:t>的</w:t>
      </w:r>
      <w:r>
        <w:rPr>
          <w:rFonts w:hint="eastAsia" w:asciiTheme="majorEastAsia" w:hAnsiTheme="majorEastAsia" w:eastAsiaTheme="majorEastAsia" w:cstheme="majorEastAsia"/>
          <w:color w:val="auto"/>
          <w:sz w:val="21"/>
          <w:szCs w:val="21"/>
        </w:rPr>
        <w:t>施工进行公开招标，邀请合格的潜在投标人参加本工程的资格后审。</w:t>
      </w:r>
    </w:p>
    <w:p w14:paraId="517AD264">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2、</w:t>
      </w:r>
      <w:r>
        <w:rPr>
          <w:rFonts w:hint="eastAsia" w:asciiTheme="majorEastAsia" w:hAnsiTheme="majorEastAsia" w:eastAsiaTheme="majorEastAsia" w:cstheme="majorEastAsia"/>
          <w:color w:val="auto"/>
          <w:sz w:val="21"/>
          <w:szCs w:val="21"/>
          <w:lang w:eastAsia="zh-CN"/>
        </w:rPr>
        <w:t>江苏海审工程咨询有限公司</w:t>
      </w:r>
      <w:r>
        <w:rPr>
          <w:rFonts w:hint="eastAsia" w:asciiTheme="majorEastAsia" w:hAnsiTheme="majorEastAsia" w:eastAsiaTheme="majorEastAsia" w:cstheme="majorEastAsia"/>
          <w:color w:val="auto"/>
          <w:sz w:val="21"/>
          <w:szCs w:val="21"/>
        </w:rPr>
        <w:t>受招标人委托具体负责本工程的招标事宜。</w:t>
      </w:r>
    </w:p>
    <w:p w14:paraId="06D6DD90">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3、工程概况:</w:t>
      </w:r>
    </w:p>
    <w:p w14:paraId="47B2E301">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（1）工程地点：南通市崇川区。</w:t>
      </w:r>
    </w:p>
    <w:p w14:paraId="1DA96717">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highlight w:val="none"/>
        </w:rPr>
      </w:pPr>
      <w:r>
        <w:rPr>
          <w:rFonts w:hint="eastAsia" w:asciiTheme="majorEastAsia" w:hAnsiTheme="majorEastAsia" w:eastAsiaTheme="majorEastAsia" w:cstheme="majorEastAsia"/>
          <w:color w:val="auto"/>
          <w:sz w:val="21"/>
          <w:szCs w:val="21"/>
        </w:rPr>
        <w:t>（2）工程规模：</w:t>
      </w:r>
      <w:r>
        <w:rPr>
          <w:rFonts w:hint="eastAsia" w:asciiTheme="majorEastAsia" w:hAnsiTheme="majorEastAsia" w:eastAsiaTheme="majorEastAsia" w:cstheme="majorEastAsia"/>
          <w:color w:val="auto"/>
          <w:sz w:val="21"/>
          <w:szCs w:val="21"/>
          <w:highlight w:val="none"/>
          <w:lang w:val="en-US" w:eastAsia="zh-CN"/>
        </w:rPr>
        <w:t>合同估算价约170万元</w:t>
      </w:r>
      <w:r>
        <w:rPr>
          <w:rFonts w:hint="eastAsia" w:asciiTheme="majorEastAsia" w:hAnsiTheme="majorEastAsia" w:eastAsiaTheme="majorEastAsia" w:cstheme="majorEastAsia"/>
          <w:color w:val="auto"/>
          <w:sz w:val="21"/>
          <w:szCs w:val="21"/>
          <w:highlight w:val="none"/>
        </w:rPr>
        <w:t>。</w:t>
      </w:r>
    </w:p>
    <w:p w14:paraId="76FFA3EA">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（3）计划工期</w:t>
      </w:r>
      <w:r>
        <w:rPr>
          <w:rFonts w:hint="eastAsia" w:asciiTheme="majorEastAsia" w:hAnsiTheme="majorEastAsia" w:eastAsiaTheme="majorEastAsia" w:cstheme="majorEastAsia"/>
          <w:color w:val="auto"/>
          <w:sz w:val="21"/>
          <w:szCs w:val="21"/>
          <w:lang w:eastAsia="zh-CN"/>
        </w:rPr>
        <w:t>：</w:t>
      </w:r>
      <w:r>
        <w:rPr>
          <w:rFonts w:hint="eastAsia" w:asciiTheme="majorEastAsia" w:hAnsiTheme="majorEastAsia" w:eastAsiaTheme="majorEastAsia" w:cstheme="majorEastAsia"/>
          <w:color w:val="auto"/>
          <w:sz w:val="21"/>
          <w:szCs w:val="21"/>
        </w:rPr>
        <w:t>施工总工期</w:t>
      </w:r>
      <w:r>
        <w:rPr>
          <w:rFonts w:hint="eastAsia" w:asciiTheme="majorEastAsia" w:hAnsiTheme="majorEastAsia" w:eastAsiaTheme="majorEastAsia" w:cstheme="majorEastAsia"/>
          <w:color w:val="auto"/>
          <w:sz w:val="21"/>
          <w:szCs w:val="21"/>
          <w:lang w:val="en-US" w:eastAsia="zh-CN"/>
        </w:rPr>
        <w:t>60日历天</w:t>
      </w:r>
      <w:r>
        <w:rPr>
          <w:rFonts w:hint="eastAsia" w:asciiTheme="majorEastAsia" w:hAnsiTheme="majorEastAsia" w:eastAsiaTheme="majorEastAsia" w:cstheme="majorEastAsia"/>
          <w:color w:val="auto"/>
          <w:sz w:val="21"/>
          <w:szCs w:val="21"/>
        </w:rPr>
        <w:t>，具体开工时间以发包人签发的开工通知书为准。</w:t>
      </w:r>
    </w:p>
    <w:p w14:paraId="2FDB9684">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4、本次招标工程共分</w:t>
      </w:r>
      <w:r>
        <w:rPr>
          <w:rFonts w:hint="eastAsia" w:asciiTheme="majorEastAsia" w:hAnsiTheme="majorEastAsia" w:eastAsiaTheme="majorEastAsia" w:cstheme="majorEastAsia"/>
          <w:color w:val="auto"/>
          <w:sz w:val="21"/>
          <w:szCs w:val="21"/>
          <w:u w:val="single"/>
        </w:rPr>
        <w:t>壹</w:t>
      </w:r>
      <w:r>
        <w:rPr>
          <w:rFonts w:hint="eastAsia" w:asciiTheme="majorEastAsia" w:hAnsiTheme="majorEastAsia" w:eastAsiaTheme="majorEastAsia" w:cstheme="majorEastAsia"/>
          <w:color w:val="auto"/>
          <w:sz w:val="21"/>
          <w:szCs w:val="21"/>
          <w:u w:val="none"/>
        </w:rPr>
        <w:t>个</w:t>
      </w:r>
      <w:r>
        <w:rPr>
          <w:rFonts w:hint="eastAsia" w:asciiTheme="majorEastAsia" w:hAnsiTheme="majorEastAsia" w:eastAsiaTheme="majorEastAsia" w:cstheme="majorEastAsia"/>
          <w:color w:val="auto"/>
          <w:sz w:val="21"/>
          <w:szCs w:val="21"/>
        </w:rPr>
        <w:t>标段，招标内容</w:t>
      </w:r>
      <w:r>
        <w:rPr>
          <w:rFonts w:hint="eastAsia" w:asciiTheme="majorEastAsia" w:hAnsiTheme="majorEastAsia" w:eastAsiaTheme="majorEastAsia" w:cstheme="majorEastAsia"/>
          <w:color w:val="auto"/>
          <w:sz w:val="21"/>
          <w:szCs w:val="21"/>
          <w:lang w:val="en-US" w:eastAsia="zh-CN"/>
        </w:rPr>
        <w:t>为</w:t>
      </w:r>
      <w:r>
        <w:rPr>
          <w:rFonts w:hint="eastAsia" w:asciiTheme="majorEastAsia" w:hAnsiTheme="majorEastAsia" w:eastAsiaTheme="majorEastAsia" w:cstheme="majorEastAsia"/>
          <w:color w:val="auto"/>
          <w:sz w:val="21"/>
          <w:szCs w:val="21"/>
          <w:highlight w:val="none"/>
          <w:lang w:eastAsia="zh-CN"/>
        </w:rPr>
        <w:t>唐闸面粉厂高压供电工程施工</w:t>
      </w:r>
      <w:r>
        <w:rPr>
          <w:rFonts w:hint="eastAsia" w:asciiTheme="majorEastAsia" w:hAnsiTheme="majorEastAsia" w:eastAsiaTheme="majorEastAsia" w:cstheme="majorEastAsia"/>
          <w:color w:val="auto"/>
          <w:sz w:val="21"/>
          <w:szCs w:val="21"/>
          <w:highlight w:val="none"/>
        </w:rPr>
        <w:t>，具体详见施工图纸及工程量清单</w:t>
      </w:r>
      <w:r>
        <w:rPr>
          <w:rFonts w:hint="eastAsia" w:asciiTheme="majorEastAsia" w:hAnsiTheme="majorEastAsia" w:eastAsiaTheme="majorEastAsia" w:cstheme="majorEastAsia"/>
          <w:color w:val="auto"/>
          <w:sz w:val="21"/>
          <w:szCs w:val="21"/>
        </w:rPr>
        <w:t>。</w:t>
      </w:r>
    </w:p>
    <w:p w14:paraId="66E75726">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5、申请人应当具备的主要资格条件：</w:t>
      </w:r>
    </w:p>
    <w:p w14:paraId="455E4682">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lang w:eastAsia="zh-CN"/>
        </w:rPr>
      </w:pPr>
      <w:r>
        <w:rPr>
          <w:rFonts w:hint="eastAsia" w:asciiTheme="majorEastAsia" w:hAnsiTheme="majorEastAsia" w:eastAsiaTheme="majorEastAsia" w:cstheme="majorEastAsia"/>
          <w:color w:val="auto"/>
          <w:sz w:val="21"/>
          <w:szCs w:val="21"/>
          <w:lang w:eastAsia="zh-CN"/>
        </w:rPr>
        <w:t>（1）企业资质条件：具备有效的电力工程施工总承包三级及以上资质或输变电工程专业承包三级及以上资质，且同时具有电力监管机构核发的《承装（修、试）电力设施许可证》，许可范围包含承装、承修、承试五级及以上资质（老证）或承装、承修、承试三级及以上资质（新证，许可范围符合项目电压等级要求）；</w:t>
      </w:r>
    </w:p>
    <w:p w14:paraId="6C60E142">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lang w:eastAsia="zh-CN"/>
        </w:rPr>
      </w:pPr>
      <w:r>
        <w:rPr>
          <w:rFonts w:hint="eastAsia" w:asciiTheme="majorEastAsia" w:hAnsiTheme="majorEastAsia" w:eastAsiaTheme="majorEastAsia" w:cstheme="majorEastAsia"/>
          <w:color w:val="auto"/>
          <w:sz w:val="21"/>
          <w:szCs w:val="21"/>
        </w:rPr>
        <w:t>（2）拟派项目负责人资格</w:t>
      </w:r>
      <w:r>
        <w:rPr>
          <w:rFonts w:hint="eastAsia" w:asciiTheme="majorEastAsia" w:hAnsiTheme="majorEastAsia" w:eastAsiaTheme="majorEastAsia" w:cstheme="majorEastAsia"/>
          <w:color w:val="auto"/>
          <w:sz w:val="21"/>
          <w:szCs w:val="21"/>
          <w:lang w:val="en-US" w:eastAsia="zh-CN"/>
        </w:rPr>
        <w:t>要求</w:t>
      </w:r>
      <w:r>
        <w:rPr>
          <w:rFonts w:hint="eastAsia" w:asciiTheme="majorEastAsia" w:hAnsiTheme="majorEastAsia" w:eastAsiaTheme="majorEastAsia" w:cstheme="majorEastAsia"/>
          <w:color w:val="auto"/>
          <w:sz w:val="21"/>
          <w:szCs w:val="21"/>
        </w:rPr>
        <w:t>：机电工程专业二级及以上注册建造师资质，并具备安全考核合格证书(B证)（以上证书注册在投标单位）。</w:t>
      </w:r>
    </w:p>
    <w:p w14:paraId="426AD33A">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6、以下条件属于资格后审的必要合格条件：</w:t>
      </w:r>
    </w:p>
    <w:p w14:paraId="2F87A76C">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（1）具有独立订立合同的能力；</w:t>
      </w:r>
    </w:p>
    <w:p w14:paraId="6C955AC9">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（2）企业的资质类别、等级和项目负责人注册专业、资格等级符合国家有关规定；</w:t>
      </w:r>
    </w:p>
    <w:p w14:paraId="1C81CE60">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（3）企业具备安全生产条件，并取得安全生产许可证；</w:t>
      </w:r>
    </w:p>
    <w:p w14:paraId="6E5355EB">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lang w:eastAsia="zh-CN"/>
        </w:rPr>
      </w:pPr>
      <w:r>
        <w:rPr>
          <w:rFonts w:hint="eastAsia" w:asciiTheme="majorEastAsia" w:hAnsiTheme="majorEastAsia" w:eastAsiaTheme="majorEastAsia" w:cstheme="majorEastAsia"/>
          <w:color w:val="auto"/>
          <w:sz w:val="21"/>
          <w:szCs w:val="21"/>
        </w:rPr>
        <w:t>（4）拟派项目负责人为投标企业正式人员</w:t>
      </w:r>
      <w:r>
        <w:rPr>
          <w:rFonts w:hint="eastAsia" w:asciiTheme="majorEastAsia" w:hAnsiTheme="majorEastAsia" w:eastAsiaTheme="majorEastAsia" w:cstheme="majorEastAsia"/>
          <w:bCs/>
          <w:color w:val="auto"/>
          <w:kern w:val="0"/>
          <w:sz w:val="21"/>
          <w:szCs w:val="21"/>
          <w:highlight w:val="none"/>
          <w:lang w:val="en-US" w:eastAsia="zh-CN"/>
        </w:rPr>
        <w:t>(提供</w:t>
      </w:r>
      <w:r>
        <w:rPr>
          <w:rFonts w:hint="eastAsia" w:asciiTheme="majorEastAsia" w:hAnsiTheme="majorEastAsia" w:eastAsiaTheme="majorEastAsia" w:cstheme="majorEastAsia"/>
          <w:bCs/>
          <w:color w:val="auto"/>
          <w:kern w:val="0"/>
          <w:sz w:val="21"/>
          <w:szCs w:val="21"/>
          <w:highlight w:val="none"/>
          <w:lang w:eastAsia="zh-CN"/>
        </w:rPr>
        <w:t>投标企业与项目负责人双方签订的有效劳动合同书）（不接受返聘人员）</w:t>
      </w:r>
      <w:r>
        <w:rPr>
          <w:rFonts w:hint="eastAsia" w:asciiTheme="majorEastAsia" w:hAnsiTheme="majorEastAsia" w:eastAsiaTheme="majorEastAsia" w:cstheme="majorEastAsia"/>
          <w:color w:val="auto"/>
          <w:sz w:val="21"/>
          <w:szCs w:val="21"/>
          <w:lang w:eastAsia="zh-CN"/>
        </w:rPr>
        <w:t>；</w:t>
      </w:r>
    </w:p>
    <w:p w14:paraId="4E21825E">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（5）拟派项目负责人必须满足下列条件：</w:t>
      </w:r>
    </w:p>
    <w:p w14:paraId="18803FDA">
      <w:pPr>
        <w:pStyle w:val="2"/>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0" w:beforeAutospacing="0" w:after="0" w:afterAutospacing="0" w:line="348" w:lineRule="auto"/>
        <w:ind w:firstLine="630" w:firstLineChars="300"/>
        <w:textAlignment w:val="auto"/>
        <w:rPr>
          <w:rFonts w:hint="eastAsia" w:asciiTheme="majorEastAsia" w:hAnsiTheme="majorEastAsia" w:eastAsiaTheme="majorEastAsia" w:cstheme="majorEastAsia"/>
          <w:b w:val="0"/>
          <w:bCs/>
          <w:color w:val="auto"/>
          <w:sz w:val="21"/>
          <w:szCs w:val="21"/>
          <w:u w:val="none"/>
          <w:lang w:val="en-US" w:eastAsia="zh-CN"/>
        </w:rPr>
      </w:pPr>
      <w:r>
        <w:rPr>
          <w:rFonts w:hint="eastAsia" w:asciiTheme="majorEastAsia" w:hAnsiTheme="majorEastAsia" w:eastAsiaTheme="majorEastAsia" w:cstheme="majorEastAsia"/>
          <w:b w:val="0"/>
          <w:bCs/>
          <w:color w:val="auto"/>
          <w:sz w:val="21"/>
          <w:szCs w:val="21"/>
          <w:u w:val="none"/>
          <w:lang w:val="en-US" w:eastAsia="zh-CN"/>
        </w:rPr>
        <w:t>①项目负责人不得同时在两个或者两个以上单位受聘或者执业。</w:t>
      </w:r>
    </w:p>
    <w:p w14:paraId="5C92B0FF">
      <w:pPr>
        <w:pStyle w:val="2"/>
        <w:keepNext w:val="0"/>
        <w:keepLines w:val="0"/>
        <w:pageBreakBefore w:val="0"/>
        <w:widowControl/>
        <w:numPr>
          <w:ilvl w:val="0"/>
          <w:numId w:val="0"/>
        </w:numPr>
        <w:shd w:val="clear" w:color="auto" w:fill="FFFFFF"/>
        <w:kinsoku/>
        <w:wordWrap/>
        <w:overflowPunct/>
        <w:topLinePunct w:val="0"/>
        <w:autoSpaceDE/>
        <w:autoSpaceDN/>
        <w:bidi w:val="0"/>
        <w:adjustRightInd w:val="0"/>
        <w:snapToGrid w:val="0"/>
        <w:spacing w:before="0" w:beforeAutospacing="0" w:after="0" w:afterAutospacing="0" w:line="348" w:lineRule="auto"/>
        <w:ind w:firstLine="630" w:firstLineChars="300"/>
        <w:textAlignment w:val="auto"/>
        <w:rPr>
          <w:rFonts w:hint="eastAsia" w:asciiTheme="majorEastAsia" w:hAnsiTheme="majorEastAsia" w:eastAsiaTheme="majorEastAsia" w:cstheme="majorEastAsia"/>
          <w:b w:val="0"/>
          <w:bCs/>
          <w:color w:val="auto"/>
          <w:sz w:val="21"/>
          <w:szCs w:val="21"/>
          <w:u w:val="none"/>
          <w:lang w:val="en-US" w:eastAsia="zh-CN"/>
        </w:rPr>
      </w:pPr>
      <w:r>
        <w:rPr>
          <w:rFonts w:hint="eastAsia" w:asciiTheme="majorEastAsia" w:hAnsiTheme="majorEastAsia" w:eastAsiaTheme="majorEastAsia" w:cstheme="majorEastAsia"/>
          <w:b w:val="0"/>
          <w:bCs/>
          <w:color w:val="auto"/>
          <w:sz w:val="21"/>
          <w:szCs w:val="21"/>
          <w:u w:val="none"/>
          <w:lang w:val="en-US" w:eastAsia="zh-CN"/>
        </w:rPr>
        <w:t>②项目负责人是非变更后无在建工程，或项目负责人是变更后无在建工程（必须原合同工期已满且变更备案之日已满6个月），或因非承包方原因致使工程项目停工或因故不能按期开工且已办理了项目负责人解锁手续，或项目负责人有在建工程，但该在建工程与本次招标的工程属于同一工程项目、同一项目批文、同一施工地点分段发包或分期施工的情况且总的工程规模在项目负责人执业范围之内。</w:t>
      </w:r>
    </w:p>
    <w:p w14:paraId="0EC905D3">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20" w:firstLineChars="200"/>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w:t>
      </w:r>
      <w:r>
        <w:rPr>
          <w:rFonts w:hint="eastAsia" w:asciiTheme="majorEastAsia" w:hAnsiTheme="majorEastAsia" w:eastAsiaTheme="majorEastAsia" w:cstheme="majorEastAsia"/>
          <w:color w:val="auto"/>
          <w:sz w:val="21"/>
          <w:szCs w:val="21"/>
          <w:lang w:val="en-US" w:eastAsia="zh-CN"/>
        </w:rPr>
        <w:t>6</w:t>
      </w:r>
      <w:r>
        <w:rPr>
          <w:rFonts w:hint="eastAsia" w:asciiTheme="majorEastAsia" w:hAnsiTheme="majorEastAsia" w:eastAsiaTheme="majorEastAsia" w:cstheme="majorEastAsia"/>
          <w:color w:val="auto"/>
          <w:sz w:val="21"/>
          <w:szCs w:val="21"/>
        </w:rPr>
        <w:t>）投标人不得存在下列情形之一：</w:t>
      </w:r>
    </w:p>
    <w:p w14:paraId="7DD13394">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①为招标人不具有独立法人资格的附属机构（单位）；</w:t>
      </w:r>
    </w:p>
    <w:p w14:paraId="21AA0BFD">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②为本招标项目的监理人、代建人、项目管理人，以及为本招标项目提供招标代理、设计服务的；</w:t>
      </w:r>
    </w:p>
    <w:p w14:paraId="6B4C268E">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③与本招标项目的监理人、代建人、招标代理机构同为一个法定代表人的，或者相互控股、参股的；</w:t>
      </w:r>
    </w:p>
    <w:p w14:paraId="2748B66D">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④与招标人存在</w:t>
      </w:r>
      <w:r>
        <w:rPr>
          <w:rFonts w:hint="eastAsia" w:asciiTheme="majorEastAsia" w:hAnsiTheme="majorEastAsia" w:eastAsiaTheme="majorEastAsia" w:cstheme="majorEastAsia"/>
          <w:color w:val="auto"/>
          <w:sz w:val="21"/>
          <w:szCs w:val="21"/>
          <w:lang w:eastAsia="zh-CN"/>
        </w:rPr>
        <w:t>利害关系</w:t>
      </w:r>
      <w:r>
        <w:rPr>
          <w:rFonts w:hint="eastAsia" w:asciiTheme="majorEastAsia" w:hAnsiTheme="majorEastAsia" w:eastAsiaTheme="majorEastAsia" w:cstheme="majorEastAsia"/>
          <w:color w:val="auto"/>
          <w:sz w:val="21"/>
          <w:szCs w:val="21"/>
        </w:rPr>
        <w:t>可能影响招标公正性的；</w:t>
      </w:r>
    </w:p>
    <w:p w14:paraId="0827C5B8">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⑤单位负责人为同一人或者存在控股、管理关系的不同单位；</w:t>
      </w:r>
    </w:p>
    <w:p w14:paraId="2EB5ABE2">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⑥处于被责令停业、财产被接管、冻结和破产状态，以及投标资格被取消或者被暂停且在暂停期内的；</w:t>
      </w:r>
    </w:p>
    <w:p w14:paraId="53FD0798">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lang w:eastAsia="zh-CN"/>
        </w:rPr>
      </w:pPr>
      <w:r>
        <w:rPr>
          <w:rFonts w:hint="eastAsia" w:asciiTheme="majorEastAsia" w:hAnsiTheme="majorEastAsia" w:eastAsiaTheme="majorEastAsia" w:cstheme="majorEastAsia"/>
          <w:color w:val="auto"/>
          <w:sz w:val="21"/>
          <w:szCs w:val="21"/>
        </w:rPr>
        <w:t>⑦因拖欠工人工资或者因发生质量安全事故被有关部门限制在招标项目所在地承接工程的</w:t>
      </w:r>
      <w:r>
        <w:rPr>
          <w:rFonts w:hint="eastAsia" w:asciiTheme="majorEastAsia" w:hAnsiTheme="majorEastAsia" w:eastAsiaTheme="majorEastAsia" w:cstheme="majorEastAsia"/>
          <w:color w:val="auto"/>
          <w:sz w:val="21"/>
          <w:szCs w:val="21"/>
          <w:lang w:eastAsia="zh-CN"/>
        </w:rPr>
        <w:t>。</w:t>
      </w:r>
    </w:p>
    <w:p w14:paraId="101DFFA2">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w:t>
      </w:r>
      <w:r>
        <w:rPr>
          <w:rFonts w:hint="eastAsia" w:asciiTheme="majorEastAsia" w:hAnsiTheme="majorEastAsia" w:eastAsiaTheme="majorEastAsia" w:cstheme="majorEastAsia"/>
          <w:color w:val="auto"/>
          <w:sz w:val="21"/>
          <w:szCs w:val="21"/>
          <w:lang w:val="en-US" w:eastAsia="zh-CN"/>
        </w:rPr>
        <w:t>7</w:t>
      </w:r>
      <w:r>
        <w:rPr>
          <w:rFonts w:hint="eastAsia" w:asciiTheme="majorEastAsia" w:hAnsiTheme="majorEastAsia" w:eastAsiaTheme="majorEastAsia" w:cstheme="majorEastAsia"/>
          <w:color w:val="auto"/>
          <w:sz w:val="21"/>
          <w:szCs w:val="21"/>
        </w:rPr>
        <w:t>）在投标文件递交截止时间当日，投标人建筑业企业资质动态监管结果（指本项目要求</w:t>
      </w:r>
      <w:r>
        <w:rPr>
          <w:rFonts w:hint="eastAsia" w:asciiTheme="majorEastAsia" w:hAnsiTheme="majorEastAsia" w:eastAsiaTheme="majorEastAsia" w:cstheme="majorEastAsia"/>
          <w:color w:val="auto"/>
          <w:sz w:val="21"/>
          <w:szCs w:val="21"/>
          <w:lang w:val="en-US" w:eastAsia="zh-CN"/>
        </w:rPr>
        <w:t>的</w:t>
      </w:r>
      <w:r>
        <w:rPr>
          <w:rFonts w:hint="eastAsia" w:asciiTheme="majorEastAsia" w:hAnsiTheme="majorEastAsia" w:eastAsiaTheme="majorEastAsia" w:cstheme="majorEastAsia"/>
          <w:color w:val="auto"/>
          <w:sz w:val="21"/>
          <w:szCs w:val="21"/>
        </w:rPr>
        <w:t>资质）不处于不合格状态。招标人或招标代理机构在投标文件递交截止时间当日，登录“江苏省建筑市场监管与诚信信息一体化平台”，检查投标人的建筑业企业资质动态监管状态，对动态监管处于不合格状态的投标人进行截图保存，提供给评标委员会，</w:t>
      </w:r>
      <w:r>
        <w:rPr>
          <w:rFonts w:hint="eastAsia" w:asciiTheme="majorEastAsia" w:hAnsiTheme="majorEastAsia" w:eastAsiaTheme="majorEastAsia" w:cstheme="majorEastAsia"/>
          <w:color w:val="auto"/>
          <w:sz w:val="21"/>
          <w:szCs w:val="21"/>
          <w:lang w:val="en-US" w:eastAsia="zh-CN"/>
        </w:rPr>
        <w:t>其</w:t>
      </w:r>
      <w:r>
        <w:rPr>
          <w:rFonts w:hint="eastAsia" w:asciiTheme="majorEastAsia" w:hAnsiTheme="majorEastAsia" w:eastAsiaTheme="majorEastAsia" w:cstheme="majorEastAsia"/>
          <w:color w:val="auto"/>
          <w:sz w:val="21"/>
          <w:szCs w:val="21"/>
        </w:rPr>
        <w:t>资格审查不通过。</w:t>
      </w:r>
    </w:p>
    <w:p w14:paraId="0C01EDED">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w:t>
      </w:r>
      <w:r>
        <w:rPr>
          <w:rFonts w:hint="eastAsia" w:asciiTheme="majorEastAsia" w:hAnsiTheme="majorEastAsia" w:eastAsiaTheme="majorEastAsia" w:cstheme="majorEastAsia"/>
          <w:color w:val="auto"/>
          <w:sz w:val="21"/>
          <w:szCs w:val="21"/>
          <w:lang w:val="en-US" w:eastAsia="zh-CN"/>
        </w:rPr>
        <w:t>8</w:t>
      </w:r>
      <w:r>
        <w:rPr>
          <w:rFonts w:hint="eastAsia" w:asciiTheme="majorEastAsia" w:hAnsiTheme="majorEastAsia" w:eastAsiaTheme="majorEastAsia" w:cstheme="majorEastAsia"/>
          <w:color w:val="auto"/>
          <w:sz w:val="21"/>
          <w:szCs w:val="21"/>
        </w:rPr>
        <w:t>）本工程不接受联合体投标。</w:t>
      </w:r>
    </w:p>
    <w:p w14:paraId="775D8B11">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具体要求详见本工程招标文件第二章中《资格审查标准汇总表</w:t>
      </w:r>
      <w:r>
        <w:rPr>
          <w:rFonts w:hint="eastAsia" w:asciiTheme="majorEastAsia" w:hAnsiTheme="majorEastAsia" w:eastAsiaTheme="majorEastAsia" w:cstheme="majorEastAsia"/>
          <w:color w:val="auto"/>
          <w:sz w:val="21"/>
          <w:szCs w:val="21"/>
          <w:lang w:eastAsia="zh-CN"/>
        </w:rPr>
        <w:t>》</w:t>
      </w:r>
      <w:r>
        <w:rPr>
          <w:rFonts w:hint="eastAsia" w:asciiTheme="majorEastAsia" w:hAnsiTheme="majorEastAsia" w:eastAsiaTheme="majorEastAsia" w:cstheme="majorEastAsia"/>
          <w:color w:val="auto"/>
          <w:sz w:val="21"/>
          <w:szCs w:val="21"/>
        </w:rPr>
        <w:t>。提供的资格审查材料及审查标准，前后</w:t>
      </w:r>
      <w:r>
        <w:rPr>
          <w:rFonts w:hint="eastAsia" w:asciiTheme="majorEastAsia" w:hAnsiTheme="majorEastAsia" w:eastAsiaTheme="majorEastAsia" w:cstheme="majorEastAsia"/>
          <w:color w:val="auto"/>
          <w:sz w:val="21"/>
          <w:szCs w:val="21"/>
          <w:lang w:val="en-US" w:eastAsia="zh-CN"/>
        </w:rPr>
        <w:t>不一致</w:t>
      </w:r>
      <w:r>
        <w:rPr>
          <w:rFonts w:hint="eastAsia" w:asciiTheme="majorEastAsia" w:hAnsiTheme="majorEastAsia" w:eastAsiaTheme="majorEastAsia" w:cstheme="majorEastAsia"/>
          <w:color w:val="auto"/>
          <w:sz w:val="21"/>
          <w:szCs w:val="21"/>
        </w:rPr>
        <w:t>的以《资格审查标准汇总表》为准。</w:t>
      </w:r>
    </w:p>
    <w:p w14:paraId="08AEC6BA">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7、如发现投标人递交的资格后审材料有弄虚作假行为，该投标人将记入不良记录，并上报有关部门。如已中标，招标人有权取消其中标资格，并由该投标人承担一切责任和损失。</w:t>
      </w:r>
    </w:p>
    <w:p w14:paraId="67D6D1A4">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8、本工程投标申请人的资格审查采用资格后审的方式，无需另行进行网上报名，各投标人须于</w:t>
      </w:r>
      <w:r>
        <w:rPr>
          <w:rFonts w:hint="eastAsia" w:asciiTheme="majorEastAsia" w:hAnsiTheme="majorEastAsia" w:eastAsiaTheme="majorEastAsia" w:cstheme="majorEastAsia"/>
          <w:color w:val="auto"/>
          <w:sz w:val="21"/>
          <w:szCs w:val="21"/>
          <w:u w:val="single"/>
        </w:rPr>
        <w:t>202</w:t>
      </w:r>
      <w:r>
        <w:rPr>
          <w:rFonts w:hint="eastAsia" w:asciiTheme="majorEastAsia" w:hAnsiTheme="majorEastAsia" w:eastAsiaTheme="majorEastAsia" w:cstheme="majorEastAsia"/>
          <w:color w:val="auto"/>
          <w:sz w:val="21"/>
          <w:szCs w:val="21"/>
          <w:u w:val="single"/>
          <w:lang w:val="en-US" w:eastAsia="zh-CN"/>
        </w:rPr>
        <w:t>6</w:t>
      </w:r>
      <w:r>
        <w:rPr>
          <w:rFonts w:hint="eastAsia" w:asciiTheme="majorEastAsia" w:hAnsiTheme="majorEastAsia" w:eastAsiaTheme="majorEastAsia" w:cstheme="majorEastAsia"/>
          <w:color w:val="auto"/>
          <w:sz w:val="21"/>
          <w:szCs w:val="21"/>
          <w:u w:val="single"/>
        </w:rPr>
        <w:t>年</w:t>
      </w:r>
      <w:r>
        <w:rPr>
          <w:rFonts w:hint="eastAsia" w:asciiTheme="majorEastAsia" w:hAnsiTheme="majorEastAsia" w:eastAsiaTheme="majorEastAsia" w:cstheme="majorEastAsia"/>
          <w:color w:val="auto"/>
          <w:sz w:val="21"/>
          <w:szCs w:val="21"/>
          <w:u w:val="single"/>
          <w:lang w:val="en-US" w:eastAsia="zh-CN"/>
        </w:rPr>
        <w:t>4</w:t>
      </w:r>
      <w:r>
        <w:rPr>
          <w:rFonts w:hint="eastAsia" w:asciiTheme="majorEastAsia" w:hAnsiTheme="majorEastAsia" w:eastAsiaTheme="majorEastAsia" w:cstheme="majorEastAsia"/>
          <w:color w:val="auto"/>
          <w:sz w:val="21"/>
          <w:szCs w:val="21"/>
          <w:u w:val="single"/>
        </w:rPr>
        <w:t>月</w:t>
      </w:r>
      <w:r>
        <w:rPr>
          <w:rFonts w:hint="eastAsia" w:asciiTheme="majorEastAsia" w:hAnsiTheme="majorEastAsia" w:eastAsiaTheme="majorEastAsia" w:cstheme="majorEastAsia"/>
          <w:color w:val="auto"/>
          <w:sz w:val="21"/>
          <w:szCs w:val="21"/>
          <w:u w:val="single"/>
          <w:lang w:val="en-US" w:eastAsia="zh-CN"/>
        </w:rPr>
        <w:t>1</w:t>
      </w:r>
      <w:r>
        <w:rPr>
          <w:rFonts w:hint="eastAsia" w:asciiTheme="majorEastAsia" w:hAnsiTheme="majorEastAsia" w:eastAsiaTheme="majorEastAsia" w:cstheme="majorEastAsia"/>
          <w:color w:val="auto"/>
          <w:sz w:val="21"/>
          <w:szCs w:val="21"/>
          <w:u w:val="single"/>
        </w:rPr>
        <w:t>日</w:t>
      </w:r>
      <w:r>
        <w:rPr>
          <w:rFonts w:hint="eastAsia" w:asciiTheme="majorEastAsia" w:hAnsiTheme="majorEastAsia" w:eastAsiaTheme="majorEastAsia" w:cstheme="majorEastAsia"/>
          <w:color w:val="auto"/>
          <w:sz w:val="21"/>
          <w:szCs w:val="21"/>
          <w:u w:val="single"/>
          <w:lang w:val="en-US" w:eastAsia="zh-CN"/>
        </w:rPr>
        <w:t>14</w:t>
      </w:r>
      <w:r>
        <w:rPr>
          <w:rFonts w:hint="eastAsia" w:asciiTheme="majorEastAsia" w:hAnsiTheme="majorEastAsia" w:eastAsiaTheme="majorEastAsia" w:cstheme="majorEastAsia"/>
          <w:color w:val="auto"/>
          <w:sz w:val="21"/>
          <w:szCs w:val="21"/>
          <w:u w:val="single"/>
        </w:rPr>
        <w:t>时</w:t>
      </w:r>
      <w:r>
        <w:rPr>
          <w:rFonts w:hint="eastAsia" w:asciiTheme="majorEastAsia" w:hAnsiTheme="majorEastAsia" w:eastAsiaTheme="majorEastAsia" w:cstheme="majorEastAsia"/>
          <w:color w:val="auto"/>
          <w:sz w:val="21"/>
          <w:szCs w:val="21"/>
          <w:u w:val="single"/>
          <w:lang w:val="en-US" w:eastAsia="zh-CN"/>
        </w:rPr>
        <w:t>0</w:t>
      </w:r>
      <w:r>
        <w:rPr>
          <w:rFonts w:hint="eastAsia" w:asciiTheme="majorEastAsia" w:hAnsiTheme="majorEastAsia" w:eastAsiaTheme="majorEastAsia" w:cstheme="majorEastAsia"/>
          <w:color w:val="auto"/>
          <w:sz w:val="21"/>
          <w:szCs w:val="21"/>
          <w:u w:val="single"/>
        </w:rPr>
        <w:t>0分</w:t>
      </w:r>
      <w:r>
        <w:rPr>
          <w:rFonts w:hint="eastAsia" w:asciiTheme="majorEastAsia" w:hAnsiTheme="majorEastAsia" w:eastAsiaTheme="majorEastAsia" w:cstheme="majorEastAsia"/>
          <w:color w:val="auto"/>
          <w:sz w:val="21"/>
          <w:szCs w:val="21"/>
        </w:rPr>
        <w:t>以前将投标文件提交至南通市</w:t>
      </w:r>
      <w:r>
        <w:rPr>
          <w:rFonts w:hint="eastAsia" w:asciiTheme="majorEastAsia" w:hAnsiTheme="majorEastAsia" w:eastAsiaTheme="majorEastAsia" w:cstheme="majorEastAsia"/>
          <w:color w:val="auto"/>
          <w:sz w:val="21"/>
          <w:szCs w:val="21"/>
          <w:u w:val="single"/>
        </w:rPr>
        <w:t>崇川区青年中路128号，</w:t>
      </w:r>
      <w:r>
        <w:rPr>
          <w:rFonts w:hint="eastAsia" w:asciiTheme="majorEastAsia" w:hAnsiTheme="majorEastAsia" w:eastAsiaTheme="majorEastAsia" w:cstheme="majorEastAsia"/>
          <w:color w:val="auto"/>
          <w:sz w:val="21"/>
          <w:szCs w:val="21"/>
          <w:u w:val="single"/>
          <w:lang w:eastAsia="zh-CN"/>
        </w:rPr>
        <w:t>崇川区政务服务中心</w:t>
      </w:r>
      <w:r>
        <w:rPr>
          <w:rFonts w:hint="eastAsia" w:asciiTheme="majorEastAsia" w:hAnsiTheme="majorEastAsia" w:eastAsiaTheme="majorEastAsia" w:cstheme="majorEastAsia"/>
          <w:color w:val="auto"/>
          <w:sz w:val="21"/>
          <w:szCs w:val="21"/>
          <w:u w:val="single"/>
        </w:rPr>
        <w:t>314会议室（东楼）</w:t>
      </w:r>
      <w:r>
        <w:rPr>
          <w:rFonts w:hint="eastAsia" w:asciiTheme="majorEastAsia" w:hAnsiTheme="majorEastAsia" w:eastAsiaTheme="majorEastAsia" w:cstheme="majorEastAsia"/>
          <w:color w:val="auto"/>
          <w:sz w:val="21"/>
          <w:szCs w:val="21"/>
        </w:rPr>
        <w:t>，并在</w:t>
      </w:r>
      <w:r>
        <w:rPr>
          <w:rFonts w:hint="eastAsia" w:asciiTheme="majorEastAsia" w:hAnsiTheme="majorEastAsia" w:eastAsiaTheme="majorEastAsia" w:cstheme="majorEastAsia"/>
          <w:color w:val="auto"/>
          <w:sz w:val="21"/>
          <w:szCs w:val="21"/>
          <w:u w:val="single"/>
        </w:rPr>
        <w:t>202</w:t>
      </w:r>
      <w:r>
        <w:rPr>
          <w:rFonts w:hint="eastAsia" w:asciiTheme="majorEastAsia" w:hAnsiTheme="majorEastAsia" w:eastAsiaTheme="majorEastAsia" w:cstheme="majorEastAsia"/>
          <w:color w:val="auto"/>
          <w:sz w:val="21"/>
          <w:szCs w:val="21"/>
          <w:u w:val="single"/>
          <w:lang w:val="en-US" w:eastAsia="zh-CN"/>
        </w:rPr>
        <w:t>6</w:t>
      </w:r>
      <w:r>
        <w:rPr>
          <w:rFonts w:hint="eastAsia" w:asciiTheme="majorEastAsia" w:hAnsiTheme="majorEastAsia" w:eastAsiaTheme="majorEastAsia" w:cstheme="majorEastAsia"/>
          <w:color w:val="auto"/>
          <w:sz w:val="21"/>
          <w:szCs w:val="21"/>
          <w:u w:val="single"/>
        </w:rPr>
        <w:t>年</w:t>
      </w:r>
      <w:r>
        <w:rPr>
          <w:rFonts w:hint="eastAsia" w:asciiTheme="majorEastAsia" w:hAnsiTheme="majorEastAsia" w:eastAsiaTheme="majorEastAsia" w:cstheme="majorEastAsia"/>
          <w:color w:val="auto"/>
          <w:sz w:val="21"/>
          <w:szCs w:val="21"/>
          <w:u w:val="single"/>
          <w:lang w:val="en-US" w:eastAsia="zh-CN"/>
        </w:rPr>
        <w:t>4</w:t>
      </w:r>
      <w:r>
        <w:rPr>
          <w:rFonts w:hint="eastAsia" w:asciiTheme="majorEastAsia" w:hAnsiTheme="majorEastAsia" w:eastAsiaTheme="majorEastAsia" w:cstheme="majorEastAsia"/>
          <w:color w:val="auto"/>
          <w:sz w:val="21"/>
          <w:szCs w:val="21"/>
          <w:u w:val="single"/>
        </w:rPr>
        <w:t>月</w:t>
      </w:r>
      <w:r>
        <w:rPr>
          <w:rFonts w:hint="eastAsia" w:asciiTheme="majorEastAsia" w:hAnsiTheme="majorEastAsia" w:eastAsiaTheme="majorEastAsia" w:cstheme="majorEastAsia"/>
          <w:color w:val="auto"/>
          <w:sz w:val="21"/>
          <w:szCs w:val="21"/>
          <w:u w:val="single"/>
          <w:lang w:val="en-US" w:eastAsia="zh-CN"/>
        </w:rPr>
        <w:t>1</w:t>
      </w:r>
      <w:r>
        <w:rPr>
          <w:rFonts w:hint="eastAsia" w:asciiTheme="majorEastAsia" w:hAnsiTheme="majorEastAsia" w:eastAsiaTheme="majorEastAsia" w:cstheme="majorEastAsia"/>
          <w:color w:val="auto"/>
          <w:sz w:val="21"/>
          <w:szCs w:val="21"/>
          <w:u w:val="single"/>
        </w:rPr>
        <w:t>日</w:t>
      </w:r>
      <w:r>
        <w:rPr>
          <w:rFonts w:hint="eastAsia" w:asciiTheme="majorEastAsia" w:hAnsiTheme="majorEastAsia" w:eastAsiaTheme="majorEastAsia" w:cstheme="majorEastAsia"/>
          <w:color w:val="auto"/>
          <w:sz w:val="21"/>
          <w:szCs w:val="21"/>
          <w:u w:val="single"/>
          <w:lang w:val="en-US" w:eastAsia="zh-CN"/>
        </w:rPr>
        <w:t>14</w:t>
      </w:r>
      <w:r>
        <w:rPr>
          <w:rFonts w:hint="eastAsia" w:asciiTheme="majorEastAsia" w:hAnsiTheme="majorEastAsia" w:eastAsiaTheme="majorEastAsia" w:cstheme="majorEastAsia"/>
          <w:color w:val="auto"/>
          <w:sz w:val="21"/>
          <w:szCs w:val="21"/>
          <w:u w:val="single"/>
        </w:rPr>
        <w:t>时</w:t>
      </w:r>
      <w:r>
        <w:rPr>
          <w:rFonts w:hint="eastAsia" w:asciiTheme="majorEastAsia" w:hAnsiTheme="majorEastAsia" w:eastAsiaTheme="majorEastAsia" w:cstheme="majorEastAsia"/>
          <w:color w:val="auto"/>
          <w:sz w:val="21"/>
          <w:szCs w:val="21"/>
          <w:u w:val="single"/>
          <w:lang w:val="en-US" w:eastAsia="zh-CN"/>
        </w:rPr>
        <w:t>0</w:t>
      </w:r>
      <w:r>
        <w:rPr>
          <w:rFonts w:hint="eastAsia" w:asciiTheme="majorEastAsia" w:hAnsiTheme="majorEastAsia" w:eastAsiaTheme="majorEastAsia" w:cstheme="majorEastAsia"/>
          <w:color w:val="auto"/>
          <w:sz w:val="21"/>
          <w:szCs w:val="21"/>
          <w:u w:val="single"/>
        </w:rPr>
        <w:t>0分</w:t>
      </w:r>
      <w:r>
        <w:rPr>
          <w:rFonts w:hint="eastAsia" w:asciiTheme="majorEastAsia" w:hAnsiTheme="majorEastAsia" w:eastAsiaTheme="majorEastAsia" w:cstheme="majorEastAsia"/>
          <w:color w:val="auto"/>
          <w:sz w:val="21"/>
          <w:szCs w:val="21"/>
        </w:rPr>
        <w:t>开标。逾期送达的投标文件将被拒绝。</w:t>
      </w:r>
    </w:p>
    <w:p w14:paraId="43C8BC40">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特别提醒：</w:t>
      </w:r>
    </w:p>
    <w:p w14:paraId="735AF0B0">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lang w:eastAsia="zh-CN"/>
        </w:rPr>
        <w:t>崇川区政务服务中心</w:t>
      </w:r>
      <w:r>
        <w:rPr>
          <w:rFonts w:hint="eastAsia" w:asciiTheme="majorEastAsia" w:hAnsiTheme="majorEastAsia" w:eastAsiaTheme="majorEastAsia" w:cstheme="majorEastAsia"/>
          <w:color w:val="auto"/>
          <w:sz w:val="21"/>
          <w:szCs w:val="21"/>
        </w:rPr>
        <w:t>停车位有限，请各潜在投标人合理选择交通工具，或提前到达投标地点。</w:t>
      </w:r>
    </w:p>
    <w:p w14:paraId="1DF862EA">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9、招标文件、工程量清单等材料从本公告附件下载；招标文件、修改、补充、招标控制价公布的网址及栏目：“崇川区人民政府网-招标和采购”。请各投标人自行关注，否则，引起的所有损失由投标人自行承担。</w:t>
      </w:r>
    </w:p>
    <w:p w14:paraId="724E29A5">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10、主要资格审查标准和</w:t>
      </w:r>
      <w:r>
        <w:rPr>
          <w:rFonts w:hint="eastAsia" w:asciiTheme="majorEastAsia" w:hAnsiTheme="majorEastAsia" w:eastAsiaTheme="majorEastAsia" w:cstheme="majorEastAsia"/>
          <w:color w:val="auto"/>
          <w:sz w:val="21"/>
          <w:szCs w:val="21"/>
          <w:lang w:val="en-US" w:eastAsia="zh-CN"/>
        </w:rPr>
        <w:t>评标细则</w:t>
      </w:r>
      <w:r>
        <w:rPr>
          <w:rFonts w:hint="eastAsia" w:asciiTheme="majorEastAsia" w:hAnsiTheme="majorEastAsia" w:eastAsiaTheme="majorEastAsia" w:cstheme="majorEastAsia"/>
          <w:color w:val="auto"/>
          <w:sz w:val="21"/>
          <w:szCs w:val="21"/>
        </w:rPr>
        <w:t>详见招标文件中</w:t>
      </w:r>
      <w:r>
        <w:rPr>
          <w:rFonts w:hint="eastAsia" w:asciiTheme="majorEastAsia" w:hAnsiTheme="majorEastAsia" w:eastAsiaTheme="majorEastAsia" w:cstheme="majorEastAsia"/>
          <w:color w:val="auto"/>
          <w:sz w:val="21"/>
          <w:szCs w:val="21"/>
          <w:lang w:val="en-US" w:eastAsia="zh-CN"/>
        </w:rPr>
        <w:t>第二章</w:t>
      </w:r>
      <w:r>
        <w:rPr>
          <w:rFonts w:hint="eastAsia" w:asciiTheme="majorEastAsia" w:hAnsiTheme="majorEastAsia" w:eastAsiaTheme="majorEastAsia" w:cstheme="majorEastAsia"/>
          <w:color w:val="auto"/>
          <w:sz w:val="21"/>
          <w:szCs w:val="21"/>
        </w:rPr>
        <w:t>。</w:t>
      </w:r>
    </w:p>
    <w:p w14:paraId="31230DE0">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lang w:eastAsia="zh-CN"/>
        </w:rPr>
      </w:pPr>
      <w:r>
        <w:rPr>
          <w:rFonts w:hint="eastAsia" w:asciiTheme="majorEastAsia" w:hAnsiTheme="majorEastAsia" w:eastAsiaTheme="majorEastAsia" w:cstheme="majorEastAsia"/>
          <w:color w:val="auto"/>
          <w:sz w:val="21"/>
          <w:szCs w:val="21"/>
        </w:rPr>
        <w:t>招标人：</w:t>
      </w:r>
      <w:r>
        <w:rPr>
          <w:rFonts w:hint="eastAsia" w:asciiTheme="majorEastAsia" w:hAnsiTheme="majorEastAsia" w:eastAsiaTheme="majorEastAsia" w:cstheme="majorEastAsia"/>
          <w:color w:val="auto"/>
          <w:sz w:val="21"/>
          <w:szCs w:val="21"/>
          <w:lang w:eastAsia="zh-CN"/>
        </w:rPr>
        <w:t>南通唐闸古镇保护开发有限公司</w:t>
      </w:r>
    </w:p>
    <w:p w14:paraId="6C3A0C88">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联系人：张工</w:t>
      </w:r>
    </w:p>
    <w:p w14:paraId="18E42EB4">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联系电话：18019656668</w:t>
      </w:r>
    </w:p>
    <w:p w14:paraId="09873AD7">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textAlignment w:val="auto"/>
        <w:rPr>
          <w:rFonts w:hint="eastAsia" w:asciiTheme="majorEastAsia" w:hAnsiTheme="majorEastAsia" w:eastAsiaTheme="majorEastAsia" w:cstheme="majorEastAsia"/>
          <w:color w:val="auto"/>
          <w:sz w:val="21"/>
          <w:szCs w:val="21"/>
          <w:lang w:eastAsia="zh-CN"/>
        </w:rPr>
      </w:pPr>
      <w:r>
        <w:rPr>
          <w:rFonts w:hint="eastAsia" w:asciiTheme="majorEastAsia" w:hAnsiTheme="majorEastAsia" w:eastAsiaTheme="majorEastAsia" w:cstheme="majorEastAsia"/>
          <w:color w:val="auto"/>
          <w:sz w:val="21"/>
          <w:szCs w:val="21"/>
        </w:rPr>
        <w:t>招标代理机构：</w:t>
      </w:r>
      <w:r>
        <w:rPr>
          <w:rFonts w:hint="eastAsia" w:asciiTheme="majorEastAsia" w:hAnsiTheme="majorEastAsia" w:eastAsiaTheme="majorEastAsia" w:cstheme="majorEastAsia"/>
          <w:color w:val="auto"/>
          <w:sz w:val="21"/>
          <w:szCs w:val="21"/>
          <w:lang w:eastAsia="zh-CN"/>
        </w:rPr>
        <w:t>江苏海审工程咨询有限公司</w:t>
      </w:r>
    </w:p>
    <w:p w14:paraId="640113AE">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jc w:val="left"/>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地址：南通市星城路299号创源科技园3号楼501室</w:t>
      </w:r>
    </w:p>
    <w:p w14:paraId="3736CE95">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jc w:val="left"/>
        <w:textAlignment w:val="auto"/>
        <w:rPr>
          <w:rFonts w:hint="eastAsia"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z w:val="21"/>
          <w:szCs w:val="21"/>
        </w:rPr>
        <w:t>联系人：</w:t>
      </w:r>
      <w:r>
        <w:rPr>
          <w:rFonts w:hint="eastAsia" w:asciiTheme="majorEastAsia" w:hAnsiTheme="majorEastAsia" w:eastAsiaTheme="majorEastAsia" w:cstheme="majorEastAsia"/>
          <w:color w:val="auto"/>
          <w:sz w:val="21"/>
          <w:szCs w:val="21"/>
          <w:lang w:val="en-US" w:eastAsia="zh-CN"/>
        </w:rPr>
        <w:t>朱圣杰</w:t>
      </w:r>
    </w:p>
    <w:p w14:paraId="38DA731B">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jc w:val="left"/>
        <w:textAlignment w:val="auto"/>
        <w:rPr>
          <w:rFonts w:hint="default" w:asciiTheme="majorEastAsia" w:hAnsiTheme="majorEastAsia" w:eastAsiaTheme="majorEastAsia" w:cstheme="majorEastAsia"/>
          <w:color w:val="auto"/>
          <w:sz w:val="21"/>
          <w:szCs w:val="21"/>
          <w:lang w:val="en-US" w:eastAsia="zh-CN"/>
        </w:rPr>
      </w:pPr>
      <w:r>
        <w:rPr>
          <w:rFonts w:hint="eastAsia" w:asciiTheme="majorEastAsia" w:hAnsiTheme="majorEastAsia" w:eastAsiaTheme="majorEastAsia" w:cstheme="majorEastAsia"/>
          <w:color w:val="auto"/>
          <w:sz w:val="21"/>
          <w:szCs w:val="21"/>
        </w:rPr>
        <w:t>联系电话：</w:t>
      </w:r>
      <w:r>
        <w:rPr>
          <w:rFonts w:hint="eastAsia" w:asciiTheme="majorEastAsia" w:hAnsiTheme="majorEastAsia" w:eastAsiaTheme="majorEastAsia" w:cstheme="majorEastAsia"/>
          <w:color w:val="auto"/>
          <w:sz w:val="21"/>
          <w:szCs w:val="21"/>
          <w:lang w:val="en-US" w:eastAsia="zh-CN"/>
        </w:rPr>
        <w:t>18862913262</w:t>
      </w:r>
    </w:p>
    <w:p w14:paraId="61CA7FCA">
      <w:pPr>
        <w:pStyle w:val="2"/>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348" w:lineRule="auto"/>
        <w:ind w:firstLine="482"/>
        <w:jc w:val="right"/>
        <w:textAlignment w:val="auto"/>
        <w:rPr>
          <w:rFonts w:hint="eastAsia" w:asciiTheme="majorEastAsia" w:hAnsiTheme="majorEastAsia" w:eastAsiaTheme="majorEastAsia" w:cstheme="majorEastAsia"/>
          <w:color w:val="auto"/>
          <w:sz w:val="21"/>
          <w:szCs w:val="21"/>
        </w:rPr>
      </w:pPr>
      <w:r>
        <w:rPr>
          <w:rFonts w:hint="eastAsia" w:asciiTheme="majorEastAsia" w:hAnsiTheme="majorEastAsia" w:eastAsiaTheme="majorEastAsia" w:cstheme="majorEastAsia"/>
          <w:color w:val="auto"/>
          <w:sz w:val="21"/>
          <w:szCs w:val="21"/>
        </w:rPr>
        <w:t>202</w:t>
      </w:r>
      <w:r>
        <w:rPr>
          <w:rFonts w:hint="eastAsia" w:asciiTheme="majorEastAsia" w:hAnsiTheme="majorEastAsia" w:eastAsiaTheme="majorEastAsia" w:cstheme="majorEastAsia"/>
          <w:color w:val="auto"/>
          <w:sz w:val="21"/>
          <w:szCs w:val="21"/>
          <w:lang w:val="en-US" w:eastAsia="zh-CN"/>
        </w:rPr>
        <w:t>6</w:t>
      </w:r>
      <w:r>
        <w:rPr>
          <w:rFonts w:hint="eastAsia" w:asciiTheme="majorEastAsia" w:hAnsiTheme="majorEastAsia" w:eastAsiaTheme="majorEastAsia" w:cstheme="majorEastAsia"/>
          <w:color w:val="auto"/>
          <w:sz w:val="21"/>
          <w:szCs w:val="21"/>
        </w:rPr>
        <w:t>年</w:t>
      </w:r>
      <w:r>
        <w:rPr>
          <w:rFonts w:hint="eastAsia" w:asciiTheme="majorEastAsia" w:hAnsiTheme="majorEastAsia" w:eastAsiaTheme="majorEastAsia" w:cstheme="majorEastAsia"/>
          <w:color w:val="auto"/>
          <w:sz w:val="21"/>
          <w:szCs w:val="21"/>
          <w:lang w:val="en-US" w:eastAsia="zh-CN"/>
        </w:rPr>
        <w:t>3</w:t>
      </w:r>
      <w:r>
        <w:rPr>
          <w:rFonts w:hint="eastAsia" w:asciiTheme="majorEastAsia" w:hAnsiTheme="majorEastAsia" w:eastAsiaTheme="majorEastAsia" w:cstheme="majorEastAsia"/>
          <w:color w:val="auto"/>
          <w:sz w:val="21"/>
          <w:szCs w:val="21"/>
        </w:rPr>
        <w:t>月</w:t>
      </w:r>
      <w:r>
        <w:rPr>
          <w:rFonts w:hint="eastAsia" w:asciiTheme="majorEastAsia" w:hAnsiTheme="majorEastAsia" w:eastAsiaTheme="majorEastAsia" w:cstheme="majorEastAsia"/>
          <w:color w:val="auto"/>
          <w:sz w:val="21"/>
          <w:szCs w:val="21"/>
          <w:lang w:val="en-US" w:eastAsia="zh-CN"/>
        </w:rPr>
        <w:t>20</w:t>
      </w:r>
      <w:bookmarkStart w:id="0" w:name="_GoBack"/>
      <w:bookmarkEnd w:id="0"/>
      <w:r>
        <w:rPr>
          <w:rFonts w:hint="eastAsia" w:asciiTheme="majorEastAsia" w:hAnsiTheme="majorEastAsia" w:eastAsiaTheme="majorEastAsia" w:cstheme="majorEastAsia"/>
          <w:color w:val="auto"/>
          <w:sz w:val="21"/>
          <w:szCs w:val="21"/>
        </w:rPr>
        <w:t>日</w:t>
      </w:r>
    </w:p>
    <w:p w14:paraId="4419838F">
      <w:pPr>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50638A"/>
    <w:rsid w:val="0235560A"/>
    <w:rsid w:val="02B5111B"/>
    <w:rsid w:val="04F05FE0"/>
    <w:rsid w:val="07FB307F"/>
    <w:rsid w:val="08A76D63"/>
    <w:rsid w:val="0B4E34C6"/>
    <w:rsid w:val="0BD25EA5"/>
    <w:rsid w:val="0CB8153E"/>
    <w:rsid w:val="0DB9208D"/>
    <w:rsid w:val="0E9C279A"/>
    <w:rsid w:val="162D4D4B"/>
    <w:rsid w:val="16777D74"/>
    <w:rsid w:val="1A7F4978"/>
    <w:rsid w:val="1C2029E6"/>
    <w:rsid w:val="1ED37E0C"/>
    <w:rsid w:val="1F686CA5"/>
    <w:rsid w:val="21127D99"/>
    <w:rsid w:val="212C3E51"/>
    <w:rsid w:val="23645B24"/>
    <w:rsid w:val="27647E14"/>
    <w:rsid w:val="2AA64C74"/>
    <w:rsid w:val="2BE47802"/>
    <w:rsid w:val="2D045C82"/>
    <w:rsid w:val="303B5E5F"/>
    <w:rsid w:val="3292466F"/>
    <w:rsid w:val="33F24A86"/>
    <w:rsid w:val="33FB393B"/>
    <w:rsid w:val="36A54032"/>
    <w:rsid w:val="36F32FEF"/>
    <w:rsid w:val="38641789"/>
    <w:rsid w:val="38CA4224"/>
    <w:rsid w:val="3AC21617"/>
    <w:rsid w:val="3C74072E"/>
    <w:rsid w:val="3F794503"/>
    <w:rsid w:val="40297A82"/>
    <w:rsid w:val="4280659A"/>
    <w:rsid w:val="44F468B0"/>
    <w:rsid w:val="45967968"/>
    <w:rsid w:val="46456C98"/>
    <w:rsid w:val="48EA3B26"/>
    <w:rsid w:val="4AEF29AA"/>
    <w:rsid w:val="508E1A12"/>
    <w:rsid w:val="515D57DD"/>
    <w:rsid w:val="52021EE1"/>
    <w:rsid w:val="541303D5"/>
    <w:rsid w:val="54576514"/>
    <w:rsid w:val="56A17F1A"/>
    <w:rsid w:val="596811C3"/>
    <w:rsid w:val="5ADA7E9F"/>
    <w:rsid w:val="5B9E2C7A"/>
    <w:rsid w:val="5BD743DE"/>
    <w:rsid w:val="5CD526CC"/>
    <w:rsid w:val="5CEA1173"/>
    <w:rsid w:val="5CF54B1C"/>
    <w:rsid w:val="5D6D0B56"/>
    <w:rsid w:val="5F42509B"/>
    <w:rsid w:val="5FE62E42"/>
    <w:rsid w:val="60367925"/>
    <w:rsid w:val="6635067F"/>
    <w:rsid w:val="666A0329"/>
    <w:rsid w:val="69436D96"/>
    <w:rsid w:val="6A835E5D"/>
    <w:rsid w:val="6AED777A"/>
    <w:rsid w:val="6B75467F"/>
    <w:rsid w:val="6BAE1FE0"/>
    <w:rsid w:val="6C397F1D"/>
    <w:rsid w:val="6C663340"/>
    <w:rsid w:val="6D090170"/>
    <w:rsid w:val="6DA46816"/>
    <w:rsid w:val="6EDF73DA"/>
    <w:rsid w:val="6F4A00F0"/>
    <w:rsid w:val="702A112C"/>
    <w:rsid w:val="71777222"/>
    <w:rsid w:val="71D347C7"/>
    <w:rsid w:val="74C01A5C"/>
    <w:rsid w:val="74D472B5"/>
    <w:rsid w:val="753C37D8"/>
    <w:rsid w:val="777D3C34"/>
    <w:rsid w:val="77B04009"/>
    <w:rsid w:val="781E0F73"/>
    <w:rsid w:val="79294073"/>
    <w:rsid w:val="79404F19"/>
    <w:rsid w:val="7AED115E"/>
    <w:rsid w:val="7B486307"/>
    <w:rsid w:val="7B771530"/>
    <w:rsid w:val="7D9E6686"/>
    <w:rsid w:val="7E100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2142</Words>
  <Characters>2204</Characters>
  <Lines>0</Lines>
  <Paragraphs>0</Paragraphs>
  <TotalTime>0</TotalTime>
  <ScaleCrop>false</ScaleCrop>
  <LinksUpToDate>false</LinksUpToDate>
  <CharactersWithSpaces>2204</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2025-12-26T09:17:00Z</dcterms:created>
  <dc:creator>user</dc:creator>
  <cp:lastModifiedBy>ZSJ</cp:lastModifiedBy>
  <dcterms:modified xsi:type="dcterms:W3CDTF">2026-03-20T01:14:22Z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eyJoZGlkIjoiNmFkM2Y3ZTNlMjZkYjVhZjcxMmZkMGNlMzY2NGY0M2UiLCJ1c2VySWQiOiI0Mzk4OTE0MjgifQ==</vt:lpwstr>
  </property>
  <property fmtid="{D5CDD505-2E9C-101B-9397-08002B2CF9AE}" pid="4" name="ICV">
    <vt:lpwstr>3A9983E0552242E3A60259E2C0B7DECF_12</vt:lpwstr>
  </property>
</Properties>
</file>