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C2951">
      <w:pPr>
        <w:overflowPunct w:val="0"/>
        <w:spacing w:line="360" w:lineRule="auto"/>
        <w:ind w:right="-3526" w:rightChars="-1679"/>
        <w:rPr>
          <w:rFonts w:hint="eastAsia" w:ascii="宋体" w:hAnsi="宋体" w:eastAsia="宋体" w:cs="宋体"/>
          <w:color w:val="auto"/>
          <w:spacing w:val="0"/>
        </w:rPr>
      </w:pPr>
    </w:p>
    <w:p w14:paraId="7309570D">
      <w:pPr>
        <w:pStyle w:val="15"/>
        <w:ind w:left="0" w:leftChars="0" w:firstLine="0" w:firstLineChars="0"/>
        <w:rPr>
          <w:rFonts w:hint="eastAsia" w:ascii="宋体" w:hAnsi="宋体" w:eastAsia="宋体" w:cs="宋体"/>
          <w:color w:val="auto"/>
          <w:spacing w:val="0"/>
        </w:rPr>
      </w:pPr>
    </w:p>
    <w:p w14:paraId="27A4EE0C">
      <w:pPr>
        <w:tabs>
          <w:tab w:val="left" w:pos="1446"/>
        </w:tabs>
        <w:overflowPunct w:val="0"/>
        <w:spacing w:line="360" w:lineRule="auto"/>
        <w:ind w:left="540" w:hanging="539" w:hangingChars="257"/>
        <w:rPr>
          <w:rFonts w:hint="eastAsia" w:ascii="宋体" w:hAnsi="宋体" w:eastAsia="宋体" w:cs="宋体"/>
          <w:color w:val="auto"/>
          <w:spacing w:val="0"/>
        </w:rPr>
      </w:pPr>
      <w:r>
        <w:rPr>
          <w:rFonts w:hint="eastAsia" w:ascii="宋体" w:hAnsi="宋体" w:eastAsia="宋体" w:cs="宋体"/>
          <w:color w:val="auto"/>
          <w:spacing w:val="0"/>
        </w:rPr>
        <w:t xml:space="preserve"> </w:t>
      </w:r>
      <w:r>
        <w:rPr>
          <w:rFonts w:hint="eastAsia" w:ascii="宋体" w:hAnsi="宋体" w:eastAsia="宋体" w:cs="宋体"/>
          <w:color w:val="auto"/>
          <w:spacing w:val="0"/>
        </w:rPr>
        <w:tab/>
      </w:r>
    </w:p>
    <w:p w14:paraId="63B58086">
      <w:pPr>
        <w:snapToGrid w:val="0"/>
        <w:spacing w:line="360" w:lineRule="auto"/>
        <w:jc w:val="center"/>
        <w:rPr>
          <w:rFonts w:hint="eastAsia" w:ascii="宋体" w:hAnsi="宋体" w:eastAsia="宋体" w:cs="宋体"/>
          <w:b/>
          <w:bCs/>
          <w:color w:val="auto"/>
          <w:spacing w:val="0"/>
          <w:sz w:val="52"/>
          <w:szCs w:val="52"/>
          <w:lang w:eastAsia="zh-CN"/>
        </w:rPr>
      </w:pPr>
      <w:r>
        <w:rPr>
          <w:rFonts w:hint="eastAsia" w:ascii="宋体" w:hAnsi="宋体" w:eastAsia="宋体" w:cs="宋体"/>
          <w:b/>
          <w:bCs/>
          <w:color w:val="auto"/>
          <w:spacing w:val="0"/>
          <w:sz w:val="52"/>
          <w:szCs w:val="52"/>
          <w:lang w:eastAsia="zh-CN"/>
        </w:rPr>
        <w:t>观鑫楼物业看护服务采购项目</w:t>
      </w:r>
    </w:p>
    <w:p w14:paraId="18494EEC">
      <w:pPr>
        <w:snapToGrid w:val="0"/>
        <w:spacing w:line="360" w:lineRule="auto"/>
        <w:rPr>
          <w:rFonts w:hint="eastAsia" w:ascii="宋体" w:hAnsi="宋体" w:eastAsia="宋体" w:cs="宋体"/>
          <w:b/>
          <w:bCs/>
          <w:color w:val="auto"/>
          <w:spacing w:val="0"/>
          <w:sz w:val="30"/>
          <w:szCs w:val="30"/>
        </w:rPr>
      </w:pPr>
    </w:p>
    <w:p w14:paraId="464D513C">
      <w:pPr>
        <w:snapToGrid w:val="0"/>
        <w:spacing w:line="360" w:lineRule="auto"/>
        <w:rPr>
          <w:rFonts w:hint="eastAsia" w:ascii="宋体" w:hAnsi="宋体" w:eastAsia="宋体" w:cs="宋体"/>
          <w:b/>
          <w:bCs/>
          <w:color w:val="auto"/>
          <w:spacing w:val="0"/>
          <w:sz w:val="30"/>
          <w:szCs w:val="30"/>
        </w:rPr>
      </w:pPr>
    </w:p>
    <w:p w14:paraId="4D24A33B">
      <w:pPr>
        <w:snapToGrid w:val="0"/>
        <w:spacing w:line="360" w:lineRule="auto"/>
        <w:rPr>
          <w:rFonts w:hint="eastAsia" w:ascii="宋体" w:hAnsi="宋体" w:eastAsia="宋体" w:cs="宋体"/>
          <w:b/>
          <w:bCs/>
          <w:color w:val="auto"/>
          <w:spacing w:val="0"/>
          <w:sz w:val="30"/>
          <w:szCs w:val="30"/>
        </w:rPr>
      </w:pPr>
    </w:p>
    <w:p w14:paraId="208A36F0">
      <w:pPr>
        <w:snapToGrid w:val="0"/>
        <w:spacing w:line="300" w:lineRule="auto"/>
        <w:jc w:val="center"/>
        <w:rPr>
          <w:rFonts w:hint="eastAsia" w:ascii="宋体" w:hAnsi="宋体" w:eastAsia="宋体" w:cs="宋体"/>
          <w:b/>
          <w:bCs/>
          <w:color w:val="auto"/>
          <w:spacing w:val="0"/>
          <w:sz w:val="44"/>
          <w:szCs w:val="44"/>
        </w:rPr>
      </w:pPr>
      <w:r>
        <w:rPr>
          <w:rFonts w:hint="eastAsia" w:ascii="宋体" w:hAnsi="宋体" w:eastAsia="宋体" w:cs="宋体"/>
          <w:b/>
          <w:bCs/>
          <w:color w:val="auto"/>
          <w:spacing w:val="0"/>
          <w:sz w:val="72"/>
          <w:szCs w:val="72"/>
        </w:rPr>
        <w:t>招标文件</w:t>
      </w:r>
    </w:p>
    <w:p w14:paraId="47C1C1E5">
      <w:pPr>
        <w:spacing w:line="360" w:lineRule="auto"/>
        <w:jc w:val="center"/>
        <w:rPr>
          <w:rFonts w:hint="eastAsia" w:ascii="宋体" w:hAnsi="宋体" w:eastAsia="宋体" w:cs="宋体"/>
          <w:b/>
          <w:bCs/>
          <w:color w:val="auto"/>
          <w:spacing w:val="0"/>
          <w:szCs w:val="21"/>
        </w:rPr>
      </w:pPr>
    </w:p>
    <w:p w14:paraId="5F7F596C">
      <w:pPr>
        <w:widowControl/>
        <w:jc w:val="center"/>
        <w:rPr>
          <w:rFonts w:hint="eastAsia" w:ascii="宋体" w:hAnsi="宋体" w:eastAsia="宋体" w:cs="宋体"/>
          <w:b/>
          <w:bCs/>
          <w:color w:val="auto"/>
          <w:spacing w:val="0"/>
          <w:sz w:val="32"/>
          <w:szCs w:val="32"/>
        </w:rPr>
      </w:pPr>
    </w:p>
    <w:p w14:paraId="459CC5B3">
      <w:pPr>
        <w:pStyle w:val="14"/>
        <w:ind w:firstLine="0"/>
        <w:rPr>
          <w:rFonts w:hint="eastAsia" w:ascii="宋体" w:hAnsi="宋体" w:eastAsia="宋体" w:cs="宋体"/>
          <w:color w:val="auto"/>
          <w:spacing w:val="0"/>
        </w:rPr>
      </w:pPr>
    </w:p>
    <w:p w14:paraId="17D5C87C">
      <w:pPr>
        <w:pStyle w:val="14"/>
        <w:rPr>
          <w:rFonts w:hint="eastAsia" w:ascii="宋体" w:hAnsi="宋体" w:eastAsia="宋体" w:cs="宋体"/>
          <w:color w:val="auto"/>
          <w:spacing w:val="0"/>
        </w:rPr>
      </w:pPr>
    </w:p>
    <w:p w14:paraId="408D9259">
      <w:pPr>
        <w:pStyle w:val="15"/>
        <w:ind w:left="0" w:leftChars="0" w:firstLine="0" w:firstLineChars="0"/>
        <w:rPr>
          <w:rFonts w:hint="eastAsia" w:ascii="宋体" w:hAnsi="宋体" w:eastAsia="宋体" w:cs="宋体"/>
          <w:color w:val="auto"/>
          <w:spacing w:val="0"/>
        </w:rPr>
      </w:pPr>
    </w:p>
    <w:p w14:paraId="25D825C6">
      <w:pPr>
        <w:pStyle w:val="14"/>
        <w:ind w:firstLine="0"/>
        <w:rPr>
          <w:rFonts w:hint="eastAsia" w:ascii="宋体" w:hAnsi="宋体" w:eastAsia="宋体" w:cs="宋体"/>
          <w:color w:val="auto"/>
          <w:spacing w:val="0"/>
        </w:rPr>
      </w:pPr>
    </w:p>
    <w:p w14:paraId="5604B89E">
      <w:pPr>
        <w:pStyle w:val="14"/>
        <w:rPr>
          <w:rFonts w:hint="eastAsia" w:ascii="宋体" w:hAnsi="宋体" w:eastAsia="宋体" w:cs="宋体"/>
          <w:color w:val="auto"/>
          <w:spacing w:val="0"/>
        </w:rPr>
      </w:pPr>
    </w:p>
    <w:p w14:paraId="2725BE1D">
      <w:pPr>
        <w:snapToGrid w:val="0"/>
        <w:spacing w:line="360" w:lineRule="auto"/>
        <w:rPr>
          <w:rFonts w:hint="eastAsia" w:ascii="宋体" w:hAnsi="宋体" w:eastAsia="宋体" w:cs="宋体"/>
          <w:b/>
          <w:bCs/>
          <w:color w:val="auto"/>
          <w:spacing w:val="0"/>
          <w:sz w:val="36"/>
          <w:szCs w:val="36"/>
        </w:rPr>
      </w:pPr>
    </w:p>
    <w:p w14:paraId="6FAD1F7B">
      <w:pPr>
        <w:adjustRightInd w:val="0"/>
        <w:snapToGrid w:val="0"/>
        <w:spacing w:line="480" w:lineRule="auto"/>
        <w:rPr>
          <w:rFonts w:hint="eastAsia" w:ascii="宋体" w:hAnsi="宋体" w:eastAsia="宋体" w:cs="宋体"/>
          <w:b/>
          <w:bCs/>
          <w:color w:val="auto"/>
          <w:spacing w:val="0"/>
          <w:sz w:val="30"/>
          <w:szCs w:val="30"/>
          <w:u w:val="single"/>
        </w:rPr>
      </w:pPr>
      <w:r>
        <w:rPr>
          <w:rFonts w:hint="eastAsia" w:ascii="宋体" w:hAnsi="宋体" w:eastAsia="宋体" w:cs="宋体"/>
          <w:b/>
          <w:bCs/>
          <w:color w:val="auto"/>
          <w:spacing w:val="0"/>
          <w:sz w:val="30"/>
          <w:szCs w:val="30"/>
        </w:rPr>
        <w:t xml:space="preserve">            招标单位：</w:t>
      </w:r>
      <w:r>
        <w:rPr>
          <w:rFonts w:hint="eastAsia" w:ascii="宋体" w:hAnsi="宋体" w:eastAsia="宋体" w:cs="宋体"/>
          <w:b/>
          <w:bCs/>
          <w:color w:val="auto"/>
          <w:spacing w:val="0"/>
          <w:sz w:val="30"/>
          <w:szCs w:val="30"/>
          <w:u w:val="single"/>
          <w:lang w:eastAsia="zh-CN"/>
        </w:rPr>
        <w:t>南通天山置业有限公司</w:t>
      </w:r>
      <w:r>
        <w:rPr>
          <w:rFonts w:hint="eastAsia" w:ascii="宋体" w:hAnsi="宋体" w:eastAsia="宋体" w:cs="宋体"/>
          <w:b/>
          <w:bCs/>
          <w:color w:val="auto"/>
          <w:spacing w:val="0"/>
          <w:sz w:val="30"/>
          <w:szCs w:val="30"/>
          <w:u w:val="single"/>
        </w:rPr>
        <w:t xml:space="preserve"> </w:t>
      </w:r>
    </w:p>
    <w:p w14:paraId="08DBCAB6">
      <w:pPr>
        <w:adjustRightInd w:val="0"/>
        <w:snapToGrid w:val="0"/>
        <w:spacing w:line="480" w:lineRule="auto"/>
        <w:ind w:firstLine="1807" w:firstLineChars="600"/>
        <w:rPr>
          <w:rFonts w:hint="eastAsia" w:ascii="宋体" w:hAnsi="宋体" w:eastAsia="宋体" w:cs="宋体"/>
          <w:b/>
          <w:bCs/>
          <w:color w:val="auto"/>
          <w:spacing w:val="0"/>
          <w:sz w:val="30"/>
          <w:szCs w:val="30"/>
        </w:rPr>
      </w:pPr>
      <w:r>
        <w:rPr>
          <w:rFonts w:hint="eastAsia" w:ascii="宋体" w:hAnsi="宋体" w:eastAsia="宋体" w:cs="宋体"/>
          <w:b/>
          <w:bCs/>
          <w:color w:val="auto"/>
          <w:spacing w:val="0"/>
          <w:sz w:val="30"/>
          <w:szCs w:val="30"/>
        </w:rPr>
        <w:t>代理机构：</w:t>
      </w:r>
      <w:r>
        <w:rPr>
          <w:rFonts w:hint="eastAsia" w:ascii="宋体" w:hAnsi="宋体" w:eastAsia="宋体" w:cs="宋体"/>
          <w:b/>
          <w:bCs/>
          <w:color w:val="auto"/>
          <w:spacing w:val="0"/>
          <w:sz w:val="30"/>
          <w:szCs w:val="30"/>
          <w:u w:val="single"/>
        </w:rPr>
        <w:t>江苏海审工程咨询有限公司</w:t>
      </w:r>
    </w:p>
    <w:p w14:paraId="43BF3B3B">
      <w:pPr>
        <w:adjustRightInd w:val="0"/>
        <w:snapToGrid w:val="0"/>
        <w:spacing w:line="480" w:lineRule="auto"/>
        <w:ind w:firstLine="1807" w:firstLineChars="600"/>
        <w:rPr>
          <w:rFonts w:hint="eastAsia" w:ascii="宋体" w:hAnsi="宋体" w:eastAsia="宋体" w:cs="宋体"/>
          <w:b/>
          <w:bCs/>
          <w:color w:val="auto"/>
          <w:spacing w:val="0"/>
          <w:sz w:val="30"/>
          <w:szCs w:val="30"/>
        </w:rPr>
      </w:pPr>
      <w:r>
        <w:rPr>
          <w:rFonts w:hint="eastAsia" w:ascii="宋体" w:hAnsi="宋体" w:eastAsia="宋体" w:cs="宋体"/>
          <w:b/>
          <w:bCs/>
          <w:color w:val="auto"/>
          <w:spacing w:val="0"/>
          <w:sz w:val="30"/>
          <w:szCs w:val="30"/>
        </w:rPr>
        <w:t>日    期：</w:t>
      </w:r>
      <w:r>
        <w:rPr>
          <w:rFonts w:hint="eastAsia" w:ascii="宋体" w:hAnsi="宋体" w:eastAsia="宋体" w:cs="宋体"/>
          <w:b/>
          <w:bCs/>
          <w:color w:val="auto"/>
          <w:spacing w:val="0"/>
          <w:sz w:val="30"/>
          <w:szCs w:val="30"/>
          <w:u w:val="single"/>
          <w:lang w:val="en-US" w:eastAsia="zh-CN"/>
        </w:rPr>
        <w:t>2025</w:t>
      </w:r>
      <w:r>
        <w:rPr>
          <w:rFonts w:hint="eastAsia" w:ascii="宋体" w:hAnsi="宋体" w:eastAsia="宋体" w:cs="宋体"/>
          <w:b/>
          <w:bCs/>
          <w:color w:val="auto"/>
          <w:spacing w:val="0"/>
          <w:sz w:val="30"/>
          <w:szCs w:val="30"/>
          <w:u w:val="single"/>
        </w:rPr>
        <w:t>年</w:t>
      </w:r>
      <w:r>
        <w:rPr>
          <w:rFonts w:hint="eastAsia" w:ascii="宋体" w:hAnsi="宋体" w:cs="宋体"/>
          <w:b/>
          <w:bCs/>
          <w:color w:val="auto"/>
          <w:spacing w:val="0"/>
          <w:sz w:val="30"/>
          <w:szCs w:val="30"/>
          <w:u w:val="single"/>
          <w:lang w:val="en-US" w:eastAsia="zh-CN"/>
        </w:rPr>
        <w:t>6</w:t>
      </w:r>
      <w:r>
        <w:rPr>
          <w:rFonts w:hint="eastAsia" w:ascii="宋体" w:hAnsi="宋体" w:eastAsia="宋体" w:cs="宋体"/>
          <w:b/>
          <w:bCs/>
          <w:color w:val="auto"/>
          <w:spacing w:val="0"/>
          <w:sz w:val="30"/>
          <w:szCs w:val="30"/>
          <w:u w:val="single"/>
        </w:rPr>
        <w:t>月</w:t>
      </w:r>
      <w:r>
        <w:rPr>
          <w:rFonts w:hint="eastAsia" w:ascii="宋体" w:hAnsi="宋体" w:cs="宋体"/>
          <w:b/>
          <w:bCs/>
          <w:color w:val="auto"/>
          <w:spacing w:val="0"/>
          <w:sz w:val="30"/>
          <w:szCs w:val="30"/>
          <w:u w:val="single"/>
          <w:lang w:val="en-US" w:eastAsia="zh-CN"/>
        </w:rPr>
        <w:t>18</w:t>
      </w:r>
      <w:r>
        <w:rPr>
          <w:rFonts w:hint="eastAsia" w:ascii="宋体" w:hAnsi="宋体" w:eastAsia="宋体" w:cs="宋体"/>
          <w:b/>
          <w:bCs/>
          <w:color w:val="auto"/>
          <w:spacing w:val="0"/>
          <w:sz w:val="30"/>
          <w:szCs w:val="30"/>
          <w:u w:val="single"/>
        </w:rPr>
        <w:t>日</w:t>
      </w:r>
    </w:p>
    <w:p w14:paraId="24E96FEE">
      <w:pPr>
        <w:adjustRightInd w:val="0"/>
        <w:snapToGrid w:val="0"/>
        <w:spacing w:line="360" w:lineRule="auto"/>
        <w:jc w:val="center"/>
        <w:rPr>
          <w:rFonts w:hint="eastAsia" w:ascii="宋体" w:hAnsi="宋体" w:eastAsia="宋体" w:cs="宋体"/>
          <w:b/>
          <w:color w:val="auto"/>
          <w:spacing w:val="0"/>
          <w:sz w:val="44"/>
          <w:szCs w:val="44"/>
        </w:rPr>
      </w:pPr>
      <w:r>
        <w:rPr>
          <w:rFonts w:hint="eastAsia" w:ascii="宋体" w:hAnsi="宋体" w:eastAsia="宋体" w:cs="宋体"/>
          <w:b/>
          <w:bCs/>
          <w:color w:val="auto"/>
          <w:spacing w:val="0"/>
          <w:sz w:val="32"/>
          <w:szCs w:val="32"/>
        </w:rPr>
        <w:br w:type="page"/>
      </w:r>
      <w:r>
        <w:rPr>
          <w:rFonts w:hint="eastAsia" w:ascii="宋体" w:hAnsi="宋体" w:eastAsia="宋体" w:cs="宋体"/>
          <w:b/>
          <w:color w:val="auto"/>
          <w:spacing w:val="0"/>
          <w:sz w:val="44"/>
          <w:szCs w:val="44"/>
        </w:rPr>
        <w:t>目  录</w:t>
      </w:r>
    </w:p>
    <w:p w14:paraId="45EB9918">
      <w:pPr>
        <w:spacing w:line="360" w:lineRule="auto"/>
        <w:rPr>
          <w:rFonts w:hint="eastAsia" w:ascii="宋体" w:hAnsi="宋体" w:eastAsia="宋体" w:cs="宋体"/>
          <w:b/>
          <w:color w:val="auto"/>
          <w:spacing w:val="0"/>
          <w:sz w:val="44"/>
        </w:rPr>
      </w:pPr>
    </w:p>
    <w:p w14:paraId="3C256165">
      <w:pPr>
        <w:pStyle w:val="13"/>
        <w:adjustRightInd w:val="0"/>
        <w:snapToGrid w:val="0"/>
        <w:spacing w:line="480" w:lineRule="auto"/>
        <w:ind w:firstLine="240" w:firstLineChars="100"/>
        <w:jc w:val="left"/>
        <w:rPr>
          <w:rFonts w:hint="eastAsia" w:ascii="宋体" w:hAnsi="宋体" w:eastAsia="宋体" w:cs="宋体"/>
          <w:b/>
          <w:color w:val="auto"/>
          <w:spacing w:val="0"/>
          <w:sz w:val="32"/>
          <w:szCs w:val="28"/>
        </w:rPr>
      </w:pP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HYPERLINK \l "_Toc450137519"</w:instrText>
      </w:r>
      <w:r>
        <w:rPr>
          <w:rFonts w:hint="eastAsia" w:ascii="宋体" w:hAnsi="宋体" w:eastAsia="宋体" w:cs="宋体"/>
          <w:color w:val="auto"/>
          <w:spacing w:val="0"/>
          <w:sz w:val="24"/>
        </w:rPr>
        <w:fldChar w:fldCharType="separate"/>
      </w:r>
      <w:r>
        <w:rPr>
          <w:rStyle w:val="18"/>
          <w:rFonts w:hint="eastAsia" w:ascii="宋体" w:hAnsi="宋体" w:eastAsia="宋体" w:cs="宋体"/>
          <w:b/>
          <w:color w:val="auto"/>
          <w:spacing w:val="0"/>
          <w:sz w:val="32"/>
          <w:szCs w:val="28"/>
          <w:u w:val="none"/>
        </w:rPr>
        <w:t>第一章   招标公告</w:t>
      </w:r>
      <w:r>
        <w:rPr>
          <w:rFonts w:hint="eastAsia" w:ascii="宋体" w:hAnsi="宋体" w:eastAsia="宋体" w:cs="宋体"/>
          <w:color w:val="auto"/>
          <w:spacing w:val="0"/>
          <w:sz w:val="24"/>
        </w:rPr>
        <w:fldChar w:fldCharType="end"/>
      </w:r>
    </w:p>
    <w:p w14:paraId="1C31AC34">
      <w:pPr>
        <w:pStyle w:val="13"/>
        <w:adjustRightInd w:val="0"/>
        <w:snapToGrid w:val="0"/>
        <w:spacing w:line="480" w:lineRule="auto"/>
        <w:ind w:firstLine="240" w:firstLineChars="100"/>
        <w:jc w:val="left"/>
        <w:rPr>
          <w:rFonts w:hint="eastAsia" w:ascii="宋体" w:hAnsi="宋体" w:eastAsia="宋体" w:cs="宋体"/>
          <w:b/>
          <w:color w:val="auto"/>
          <w:spacing w:val="0"/>
          <w:sz w:val="32"/>
          <w:szCs w:val="28"/>
        </w:rPr>
      </w:pP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HYPERLINK \l "_Toc450137520"</w:instrText>
      </w:r>
      <w:r>
        <w:rPr>
          <w:rFonts w:hint="eastAsia" w:ascii="宋体" w:hAnsi="宋体" w:eastAsia="宋体" w:cs="宋体"/>
          <w:color w:val="auto"/>
          <w:spacing w:val="0"/>
          <w:sz w:val="24"/>
        </w:rPr>
        <w:fldChar w:fldCharType="separate"/>
      </w:r>
      <w:r>
        <w:rPr>
          <w:rStyle w:val="18"/>
          <w:rFonts w:hint="eastAsia" w:ascii="宋体" w:hAnsi="宋体" w:eastAsia="宋体" w:cs="宋体"/>
          <w:b/>
          <w:color w:val="auto"/>
          <w:spacing w:val="0"/>
          <w:sz w:val="32"/>
          <w:szCs w:val="28"/>
          <w:u w:val="none"/>
        </w:rPr>
        <w:t>第二章   投标须知</w:t>
      </w:r>
      <w:r>
        <w:rPr>
          <w:rFonts w:hint="eastAsia" w:ascii="宋体" w:hAnsi="宋体" w:eastAsia="宋体" w:cs="宋体"/>
          <w:color w:val="auto"/>
          <w:spacing w:val="0"/>
          <w:sz w:val="24"/>
        </w:rPr>
        <w:fldChar w:fldCharType="end"/>
      </w:r>
    </w:p>
    <w:p w14:paraId="2EE24FD0">
      <w:pPr>
        <w:pStyle w:val="13"/>
        <w:adjustRightInd w:val="0"/>
        <w:snapToGrid w:val="0"/>
        <w:spacing w:line="480" w:lineRule="auto"/>
        <w:ind w:firstLine="240" w:firstLineChars="100"/>
        <w:jc w:val="left"/>
        <w:rPr>
          <w:rFonts w:hint="eastAsia" w:ascii="宋体" w:hAnsi="宋体" w:eastAsia="宋体" w:cs="宋体"/>
          <w:b/>
          <w:color w:val="auto"/>
          <w:spacing w:val="0"/>
          <w:sz w:val="32"/>
          <w:szCs w:val="28"/>
        </w:rPr>
      </w:pP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HYPERLINK \l "_Toc450137521"</w:instrText>
      </w:r>
      <w:r>
        <w:rPr>
          <w:rFonts w:hint="eastAsia" w:ascii="宋体" w:hAnsi="宋体" w:eastAsia="宋体" w:cs="宋体"/>
          <w:color w:val="auto"/>
          <w:spacing w:val="0"/>
          <w:sz w:val="24"/>
        </w:rPr>
        <w:fldChar w:fldCharType="separate"/>
      </w:r>
      <w:r>
        <w:rPr>
          <w:rStyle w:val="18"/>
          <w:rFonts w:hint="eastAsia" w:ascii="宋体" w:hAnsi="宋体" w:eastAsia="宋体" w:cs="宋体"/>
          <w:b/>
          <w:color w:val="auto"/>
          <w:spacing w:val="0"/>
          <w:sz w:val="32"/>
          <w:szCs w:val="28"/>
          <w:u w:val="none"/>
        </w:rPr>
        <w:t>第三章   项目需求</w:t>
      </w:r>
      <w:r>
        <w:rPr>
          <w:rFonts w:hint="eastAsia" w:ascii="宋体" w:hAnsi="宋体" w:eastAsia="宋体" w:cs="宋体"/>
          <w:color w:val="auto"/>
          <w:spacing w:val="0"/>
          <w:sz w:val="24"/>
        </w:rPr>
        <w:fldChar w:fldCharType="end"/>
      </w:r>
    </w:p>
    <w:p w14:paraId="30B8E976">
      <w:pPr>
        <w:pStyle w:val="13"/>
        <w:adjustRightInd w:val="0"/>
        <w:snapToGrid w:val="0"/>
        <w:spacing w:line="480" w:lineRule="auto"/>
        <w:ind w:firstLine="240" w:firstLineChars="100"/>
        <w:jc w:val="left"/>
        <w:rPr>
          <w:rFonts w:hint="eastAsia" w:ascii="宋体" w:hAnsi="宋体" w:eastAsia="宋体" w:cs="宋体"/>
          <w:b/>
          <w:color w:val="auto"/>
          <w:spacing w:val="0"/>
          <w:sz w:val="32"/>
          <w:szCs w:val="28"/>
        </w:rPr>
      </w:pP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HYPERLINK \l "_Toc450137522"</w:instrText>
      </w:r>
      <w:r>
        <w:rPr>
          <w:rFonts w:hint="eastAsia" w:ascii="宋体" w:hAnsi="宋体" w:eastAsia="宋体" w:cs="宋体"/>
          <w:color w:val="auto"/>
          <w:spacing w:val="0"/>
          <w:sz w:val="24"/>
        </w:rPr>
        <w:fldChar w:fldCharType="separate"/>
      </w:r>
      <w:r>
        <w:rPr>
          <w:rStyle w:val="18"/>
          <w:rFonts w:hint="eastAsia" w:ascii="宋体" w:hAnsi="宋体" w:eastAsia="宋体" w:cs="宋体"/>
          <w:b/>
          <w:color w:val="auto"/>
          <w:spacing w:val="0"/>
          <w:sz w:val="32"/>
          <w:szCs w:val="28"/>
          <w:u w:val="none"/>
        </w:rPr>
        <w:t xml:space="preserve">第四章   </w:t>
      </w:r>
      <w:r>
        <w:rPr>
          <w:rFonts w:hint="eastAsia" w:ascii="宋体" w:hAnsi="宋体" w:eastAsia="宋体" w:cs="宋体"/>
          <w:color w:val="auto"/>
          <w:spacing w:val="0"/>
          <w:sz w:val="24"/>
        </w:rPr>
        <w:fldChar w:fldCharType="end"/>
      </w:r>
      <w:r>
        <w:rPr>
          <w:rStyle w:val="18"/>
          <w:rFonts w:hint="eastAsia" w:ascii="宋体" w:hAnsi="宋体" w:eastAsia="宋体" w:cs="宋体"/>
          <w:b/>
          <w:color w:val="auto"/>
          <w:spacing w:val="0"/>
          <w:sz w:val="32"/>
          <w:szCs w:val="28"/>
          <w:u w:val="none"/>
        </w:rPr>
        <w:t>开标和评标</w:t>
      </w:r>
    </w:p>
    <w:p w14:paraId="3C0F590F">
      <w:pPr>
        <w:pStyle w:val="13"/>
        <w:adjustRightInd w:val="0"/>
        <w:snapToGrid w:val="0"/>
        <w:spacing w:line="480" w:lineRule="auto"/>
        <w:ind w:firstLine="240" w:firstLineChars="100"/>
        <w:jc w:val="left"/>
        <w:rPr>
          <w:rFonts w:hint="eastAsia" w:ascii="宋体" w:hAnsi="宋体" w:eastAsia="宋体" w:cs="宋体"/>
          <w:b/>
          <w:color w:val="auto"/>
          <w:spacing w:val="0"/>
          <w:sz w:val="32"/>
          <w:szCs w:val="28"/>
        </w:rPr>
      </w:pP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HYPERLINK \l "_Toc450137523"</w:instrText>
      </w:r>
      <w:r>
        <w:rPr>
          <w:rFonts w:hint="eastAsia" w:ascii="宋体" w:hAnsi="宋体" w:eastAsia="宋体" w:cs="宋体"/>
          <w:color w:val="auto"/>
          <w:spacing w:val="0"/>
          <w:sz w:val="24"/>
        </w:rPr>
        <w:fldChar w:fldCharType="separate"/>
      </w:r>
      <w:r>
        <w:rPr>
          <w:rStyle w:val="18"/>
          <w:rFonts w:hint="eastAsia" w:ascii="宋体" w:hAnsi="宋体" w:eastAsia="宋体" w:cs="宋体"/>
          <w:b/>
          <w:color w:val="auto"/>
          <w:spacing w:val="0"/>
          <w:sz w:val="32"/>
          <w:szCs w:val="28"/>
          <w:u w:val="none"/>
        </w:rPr>
        <w:t>第五章   合同主要条款</w:t>
      </w:r>
      <w:r>
        <w:rPr>
          <w:rFonts w:hint="eastAsia" w:ascii="宋体" w:hAnsi="宋体" w:eastAsia="宋体" w:cs="宋体"/>
          <w:color w:val="auto"/>
          <w:spacing w:val="0"/>
          <w:sz w:val="24"/>
        </w:rPr>
        <w:fldChar w:fldCharType="end"/>
      </w:r>
    </w:p>
    <w:p w14:paraId="0B52C15B">
      <w:pPr>
        <w:pStyle w:val="13"/>
        <w:adjustRightInd w:val="0"/>
        <w:snapToGrid w:val="0"/>
        <w:spacing w:line="480" w:lineRule="auto"/>
        <w:ind w:firstLine="240" w:firstLineChars="100"/>
        <w:jc w:val="left"/>
        <w:rPr>
          <w:rStyle w:val="18"/>
          <w:rFonts w:hint="eastAsia" w:ascii="宋体" w:hAnsi="宋体" w:eastAsia="宋体" w:cs="宋体"/>
          <w:b/>
          <w:color w:val="auto"/>
          <w:spacing w:val="0"/>
          <w:sz w:val="32"/>
          <w:szCs w:val="28"/>
          <w:u w:val="none"/>
        </w:rPr>
      </w:pP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HYPERLINK \l "_Toc450137524"</w:instrText>
      </w:r>
      <w:r>
        <w:rPr>
          <w:rFonts w:hint="eastAsia" w:ascii="宋体" w:hAnsi="宋体" w:eastAsia="宋体" w:cs="宋体"/>
          <w:color w:val="auto"/>
          <w:spacing w:val="0"/>
          <w:sz w:val="24"/>
        </w:rPr>
        <w:fldChar w:fldCharType="separate"/>
      </w:r>
      <w:r>
        <w:rPr>
          <w:rStyle w:val="18"/>
          <w:rFonts w:hint="eastAsia" w:ascii="宋体" w:hAnsi="宋体" w:eastAsia="宋体" w:cs="宋体"/>
          <w:b/>
          <w:color w:val="auto"/>
          <w:spacing w:val="0"/>
          <w:sz w:val="32"/>
          <w:szCs w:val="28"/>
          <w:u w:val="none"/>
        </w:rPr>
        <w:t>第六章   合同授予</w:t>
      </w:r>
      <w:r>
        <w:rPr>
          <w:rFonts w:hint="eastAsia" w:ascii="宋体" w:hAnsi="宋体" w:eastAsia="宋体" w:cs="宋体"/>
          <w:color w:val="auto"/>
          <w:spacing w:val="0"/>
          <w:sz w:val="24"/>
        </w:rPr>
        <w:fldChar w:fldCharType="end"/>
      </w:r>
    </w:p>
    <w:p w14:paraId="5A78E7B0">
      <w:pPr>
        <w:pStyle w:val="13"/>
        <w:adjustRightInd w:val="0"/>
        <w:snapToGrid w:val="0"/>
        <w:spacing w:line="480" w:lineRule="auto"/>
        <w:ind w:firstLine="240" w:firstLineChars="100"/>
        <w:jc w:val="left"/>
        <w:rPr>
          <w:rFonts w:hint="eastAsia" w:ascii="宋体" w:hAnsi="宋体" w:eastAsia="宋体" w:cs="宋体"/>
          <w:b/>
          <w:color w:val="auto"/>
          <w:spacing w:val="0"/>
          <w:sz w:val="32"/>
          <w:szCs w:val="28"/>
          <w:highlight w:val="yellow"/>
        </w:rPr>
      </w:pP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HYPERLINK \l "_Toc450137526"</w:instrText>
      </w:r>
      <w:r>
        <w:rPr>
          <w:rFonts w:hint="eastAsia" w:ascii="宋体" w:hAnsi="宋体" w:eastAsia="宋体" w:cs="宋体"/>
          <w:color w:val="auto"/>
          <w:spacing w:val="0"/>
          <w:sz w:val="24"/>
        </w:rPr>
        <w:fldChar w:fldCharType="separate"/>
      </w:r>
      <w:r>
        <w:rPr>
          <w:rStyle w:val="18"/>
          <w:rFonts w:hint="eastAsia" w:ascii="宋体" w:hAnsi="宋体" w:eastAsia="宋体" w:cs="宋体"/>
          <w:b/>
          <w:color w:val="auto"/>
          <w:spacing w:val="0"/>
          <w:sz w:val="32"/>
          <w:szCs w:val="28"/>
          <w:u w:val="none"/>
        </w:rPr>
        <w:t>第</w:t>
      </w:r>
      <w:r>
        <w:rPr>
          <w:rStyle w:val="18"/>
          <w:rFonts w:hint="eastAsia" w:ascii="宋体" w:hAnsi="宋体" w:eastAsia="宋体" w:cs="宋体"/>
          <w:b/>
          <w:color w:val="auto"/>
          <w:spacing w:val="0"/>
          <w:sz w:val="32"/>
          <w:szCs w:val="28"/>
          <w:u w:val="none"/>
          <w:lang w:val="en-US" w:eastAsia="zh-CN"/>
        </w:rPr>
        <w:t>七</w:t>
      </w:r>
      <w:r>
        <w:rPr>
          <w:rStyle w:val="18"/>
          <w:rFonts w:hint="eastAsia" w:ascii="宋体" w:hAnsi="宋体" w:eastAsia="宋体" w:cs="宋体"/>
          <w:b/>
          <w:color w:val="auto"/>
          <w:spacing w:val="0"/>
          <w:sz w:val="32"/>
          <w:szCs w:val="28"/>
          <w:u w:val="none"/>
        </w:rPr>
        <w:t>章   投标文件组成</w:t>
      </w:r>
      <w:r>
        <w:rPr>
          <w:rFonts w:hint="eastAsia" w:ascii="宋体" w:hAnsi="宋体" w:eastAsia="宋体" w:cs="宋体"/>
          <w:color w:val="auto"/>
          <w:spacing w:val="0"/>
          <w:sz w:val="24"/>
        </w:rPr>
        <w:fldChar w:fldCharType="end"/>
      </w:r>
      <w:r>
        <w:rPr>
          <w:rFonts w:hint="eastAsia" w:ascii="宋体" w:hAnsi="宋体" w:eastAsia="宋体" w:cs="宋体"/>
          <w:color w:val="auto"/>
          <w:spacing w:val="0"/>
          <w:sz w:val="24"/>
        </w:rPr>
        <w:t xml:space="preserve"> </w:t>
      </w:r>
    </w:p>
    <w:p w14:paraId="0D7EC2F9">
      <w:pPr>
        <w:snapToGrid w:val="0"/>
        <w:spacing w:line="360" w:lineRule="auto"/>
        <w:rPr>
          <w:rFonts w:hint="eastAsia" w:ascii="宋体" w:hAnsi="宋体" w:eastAsia="宋体" w:cs="宋体"/>
          <w:b/>
          <w:color w:val="auto"/>
          <w:spacing w:val="0"/>
          <w:szCs w:val="28"/>
        </w:rPr>
        <w:sectPr>
          <w:footerReference r:id="rId3" w:type="default"/>
          <w:pgSz w:w="11906" w:h="16838"/>
          <w:pgMar w:top="1247" w:right="1247" w:bottom="1247" w:left="1247" w:header="851" w:footer="992" w:gutter="0"/>
          <w:pgNumType w:fmt="decimal" w:start="1"/>
          <w:cols w:space="720" w:num="1"/>
          <w:docGrid w:type="lines" w:linePitch="312" w:charSpace="0"/>
        </w:sectPr>
      </w:pPr>
    </w:p>
    <w:p w14:paraId="0766BED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pacing w:val="0"/>
          <w:szCs w:val="21"/>
        </w:rPr>
      </w:pPr>
      <w:r>
        <w:rPr>
          <w:rFonts w:hint="eastAsia" w:ascii="宋体" w:hAnsi="宋体" w:eastAsia="宋体" w:cs="宋体"/>
          <w:b/>
          <w:color w:val="auto"/>
          <w:spacing w:val="0"/>
          <w:szCs w:val="21"/>
        </w:rPr>
        <w:t>尊敬的投标人：</w:t>
      </w:r>
    </w:p>
    <w:p w14:paraId="56EB70EA">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pacing w:val="0"/>
          <w:szCs w:val="21"/>
        </w:rPr>
      </w:pPr>
      <w:r>
        <w:rPr>
          <w:rFonts w:hint="eastAsia" w:ascii="宋体" w:hAnsi="宋体" w:eastAsia="宋体" w:cs="宋体"/>
          <w:b/>
          <w:color w:val="auto"/>
          <w:spacing w:val="0"/>
          <w:szCs w:val="21"/>
        </w:rPr>
        <w:t>欢迎参加本项目的公开招标。为了保证本次招标顺利进行，请在制作投标响应文件（以下称投标文件）之前，仔细阅读本招标文件的各项条款，并按要求制作和递交投标文件。谢谢合作！</w:t>
      </w:r>
    </w:p>
    <w:p w14:paraId="555FA64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sz w:val="36"/>
          <w:szCs w:val="36"/>
        </w:rPr>
      </w:pPr>
      <w:r>
        <w:rPr>
          <w:rFonts w:hint="eastAsia" w:ascii="宋体" w:hAnsi="宋体" w:eastAsia="宋体" w:cs="宋体"/>
          <w:b/>
          <w:bCs/>
          <w:color w:val="auto"/>
          <w:spacing w:val="0"/>
          <w:sz w:val="36"/>
          <w:szCs w:val="36"/>
        </w:rPr>
        <w:t>第一章  招标公告</w:t>
      </w:r>
    </w:p>
    <w:p w14:paraId="79E66C0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color w:val="auto"/>
          <w:spacing w:val="0"/>
          <w:sz w:val="24"/>
        </w:rPr>
      </w:pPr>
      <w:bookmarkStart w:id="0" w:name="_Toc182848970"/>
      <w:r>
        <w:rPr>
          <w:rFonts w:hint="eastAsia" w:ascii="宋体" w:hAnsi="宋体" w:eastAsia="宋体" w:cs="宋体"/>
          <w:b/>
          <w:bCs/>
          <w:color w:val="auto"/>
          <w:spacing w:val="0"/>
          <w:sz w:val="24"/>
          <w:u w:val="single"/>
        </w:rPr>
        <w:t>江苏海审工程咨询有限公司</w:t>
      </w:r>
      <w:r>
        <w:rPr>
          <w:rFonts w:hint="eastAsia" w:ascii="宋体" w:hAnsi="宋体" w:eastAsia="宋体" w:cs="宋体"/>
          <w:color w:val="auto"/>
          <w:spacing w:val="0"/>
          <w:sz w:val="24"/>
        </w:rPr>
        <w:t>（以下称招标代理机构）受</w:t>
      </w:r>
      <w:r>
        <w:rPr>
          <w:rFonts w:hint="eastAsia" w:ascii="宋体" w:hAnsi="宋体" w:eastAsia="宋体" w:cs="宋体"/>
          <w:b/>
          <w:bCs/>
          <w:color w:val="auto"/>
          <w:spacing w:val="0"/>
          <w:sz w:val="24"/>
          <w:u w:val="single"/>
          <w:lang w:eastAsia="zh-CN"/>
        </w:rPr>
        <w:t>南通天山置业有限公司</w:t>
      </w:r>
      <w:r>
        <w:rPr>
          <w:rFonts w:hint="eastAsia" w:ascii="宋体" w:hAnsi="宋体" w:eastAsia="宋体" w:cs="宋体"/>
          <w:color w:val="auto"/>
          <w:spacing w:val="0"/>
          <w:sz w:val="24"/>
        </w:rPr>
        <w:t>的委托，就</w:t>
      </w:r>
      <w:r>
        <w:rPr>
          <w:rFonts w:hint="eastAsia" w:ascii="宋体" w:hAnsi="宋体" w:eastAsia="宋体" w:cs="宋体"/>
          <w:b/>
          <w:bCs/>
          <w:color w:val="auto"/>
          <w:spacing w:val="0"/>
          <w:sz w:val="24"/>
          <w:u w:val="single"/>
          <w:lang w:eastAsia="zh-CN"/>
        </w:rPr>
        <w:t>观鑫楼物业看护服务采购项目</w:t>
      </w:r>
      <w:r>
        <w:rPr>
          <w:rFonts w:hint="eastAsia" w:ascii="宋体" w:hAnsi="宋体" w:eastAsia="宋体" w:cs="宋体"/>
          <w:color w:val="auto"/>
          <w:spacing w:val="0"/>
          <w:sz w:val="24"/>
        </w:rPr>
        <w:t>拟用公开招标方式组织采购。现公告如下：</w:t>
      </w:r>
    </w:p>
    <w:p w14:paraId="5B2DFF61">
      <w:pPr>
        <w:keepNext w:val="0"/>
        <w:keepLines w:val="0"/>
        <w:pageBreakBefore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color w:val="auto"/>
          <w:spacing w:val="0"/>
          <w:sz w:val="24"/>
        </w:rPr>
      </w:pPr>
      <w:r>
        <w:rPr>
          <w:rFonts w:hint="eastAsia" w:ascii="宋体" w:hAnsi="宋体" w:eastAsia="宋体" w:cs="宋体"/>
          <w:b/>
          <w:color w:val="auto"/>
          <w:spacing w:val="0"/>
          <w:sz w:val="24"/>
        </w:rPr>
        <w:t>一、项目基本情况</w:t>
      </w:r>
    </w:p>
    <w:p w14:paraId="637CBC3D">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pacing w:val="0"/>
          <w:kern w:val="0"/>
          <w:sz w:val="24"/>
          <w:lang w:eastAsia="zh-CN"/>
        </w:rPr>
      </w:pPr>
      <w:r>
        <w:rPr>
          <w:rFonts w:hint="eastAsia" w:ascii="宋体" w:hAnsi="宋体" w:eastAsia="宋体" w:cs="宋体"/>
          <w:color w:val="auto"/>
          <w:spacing w:val="0"/>
          <w:kern w:val="0"/>
          <w:sz w:val="24"/>
        </w:rPr>
        <w:t>项目名称：</w:t>
      </w:r>
      <w:r>
        <w:rPr>
          <w:rFonts w:hint="eastAsia" w:ascii="宋体" w:hAnsi="宋体" w:eastAsia="宋体" w:cs="宋体"/>
          <w:b/>
          <w:bCs/>
          <w:color w:val="auto"/>
          <w:spacing w:val="0"/>
          <w:sz w:val="24"/>
          <w:u w:val="single"/>
          <w:lang w:eastAsia="zh-CN"/>
        </w:rPr>
        <w:t>观鑫楼物业看护服务采购项目</w:t>
      </w:r>
    </w:p>
    <w:p w14:paraId="087D194B">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预算金额：人民币</w:t>
      </w:r>
      <w:r>
        <w:rPr>
          <w:rFonts w:hint="eastAsia" w:ascii="宋体" w:hAnsi="宋体" w:eastAsia="宋体" w:cs="宋体"/>
          <w:color w:val="auto"/>
          <w:spacing w:val="0"/>
          <w:kern w:val="0"/>
          <w:sz w:val="24"/>
          <w:lang w:val="en-US" w:eastAsia="zh-CN"/>
        </w:rPr>
        <w:t>22.8</w:t>
      </w:r>
      <w:r>
        <w:rPr>
          <w:rFonts w:hint="eastAsia" w:ascii="宋体" w:hAnsi="宋体" w:eastAsia="宋体" w:cs="宋体"/>
          <w:color w:val="auto"/>
          <w:spacing w:val="0"/>
          <w:kern w:val="0"/>
          <w:sz w:val="24"/>
        </w:rPr>
        <w:t>万元</w:t>
      </w:r>
    </w:p>
    <w:p w14:paraId="5D715411">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pacing w:val="0"/>
          <w:kern w:val="0"/>
          <w:sz w:val="24"/>
          <w:lang w:eastAsia="zh-CN"/>
        </w:rPr>
      </w:pPr>
      <w:r>
        <w:rPr>
          <w:rFonts w:hint="eastAsia" w:ascii="宋体" w:hAnsi="宋体" w:eastAsia="宋体" w:cs="宋体"/>
          <w:color w:val="auto"/>
          <w:spacing w:val="0"/>
          <w:kern w:val="0"/>
          <w:sz w:val="24"/>
        </w:rPr>
        <w:t>最高限价：人民币</w:t>
      </w:r>
      <w:r>
        <w:rPr>
          <w:rFonts w:hint="eastAsia" w:ascii="宋体" w:hAnsi="宋体" w:eastAsia="宋体" w:cs="宋体"/>
          <w:color w:val="auto"/>
          <w:spacing w:val="0"/>
          <w:kern w:val="0"/>
          <w:sz w:val="24"/>
          <w:lang w:val="en-US" w:eastAsia="zh-CN"/>
        </w:rPr>
        <w:t>22.8</w:t>
      </w:r>
      <w:r>
        <w:rPr>
          <w:rFonts w:hint="eastAsia" w:ascii="宋体" w:hAnsi="宋体" w:eastAsia="宋体" w:cs="宋体"/>
          <w:color w:val="auto"/>
          <w:spacing w:val="0"/>
          <w:kern w:val="0"/>
          <w:sz w:val="24"/>
        </w:rPr>
        <w:t>万元</w:t>
      </w:r>
      <w:r>
        <w:rPr>
          <w:rFonts w:hint="eastAsia" w:ascii="宋体" w:hAnsi="宋体" w:eastAsia="宋体" w:cs="宋体"/>
          <w:color w:val="auto"/>
          <w:spacing w:val="0"/>
          <w:kern w:val="0"/>
          <w:sz w:val="24"/>
          <w:lang w:eastAsia="zh-CN"/>
        </w:rPr>
        <w:t>，单价最高限价详见第三章。</w:t>
      </w:r>
    </w:p>
    <w:p w14:paraId="1A408EC4">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项目需求：详见本招标文件第三章</w:t>
      </w:r>
    </w:p>
    <w:p w14:paraId="7FCC1AFC">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bCs/>
          <w:color w:val="auto"/>
          <w:spacing w:val="0"/>
          <w:sz w:val="24"/>
        </w:rPr>
      </w:pPr>
      <w:r>
        <w:rPr>
          <w:rFonts w:hint="eastAsia" w:ascii="宋体" w:hAnsi="宋体" w:eastAsia="宋体" w:cs="宋体"/>
          <w:b w:val="0"/>
          <w:bCs/>
          <w:color w:val="auto"/>
          <w:spacing w:val="0"/>
          <w:kern w:val="0"/>
          <w:sz w:val="24"/>
        </w:rPr>
        <w:t>服务期限：</w:t>
      </w:r>
      <w:r>
        <w:rPr>
          <w:rFonts w:hint="eastAsia" w:ascii="宋体" w:hAnsi="宋体" w:eastAsia="宋体" w:cs="宋体"/>
          <w:b w:val="0"/>
          <w:bCs/>
          <w:color w:val="auto"/>
          <w:spacing w:val="0"/>
          <w:sz w:val="24"/>
        </w:rPr>
        <w:t>从中标后至街道安置完成崇城物业进场为止（具体到岗时间以招标人通知为准）。</w:t>
      </w:r>
    </w:p>
    <w:p w14:paraId="7FE1F23C">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本项目不接受联合体投标。</w:t>
      </w:r>
    </w:p>
    <w:p w14:paraId="1804A6DB">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pacing w:val="0"/>
          <w:sz w:val="24"/>
        </w:rPr>
      </w:pPr>
      <w:bookmarkStart w:id="1" w:name="_Toc28359013"/>
      <w:bookmarkStart w:id="2" w:name="_Toc28359090"/>
      <w:bookmarkStart w:id="3" w:name="_Toc35393630"/>
      <w:bookmarkStart w:id="4" w:name="_Toc35393799"/>
      <w:r>
        <w:rPr>
          <w:rFonts w:hint="eastAsia" w:ascii="宋体" w:hAnsi="宋体" w:eastAsia="宋体" w:cs="宋体"/>
          <w:b/>
          <w:bCs/>
          <w:color w:val="auto"/>
          <w:spacing w:val="0"/>
          <w:sz w:val="24"/>
        </w:rPr>
        <w:t>二、申请人的资格要求</w:t>
      </w:r>
      <w:bookmarkEnd w:id="1"/>
      <w:bookmarkEnd w:id="2"/>
      <w:bookmarkEnd w:id="3"/>
      <w:bookmarkEnd w:id="4"/>
    </w:p>
    <w:p w14:paraId="5DB9410C">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pacing w:val="0"/>
          <w:sz w:val="24"/>
        </w:rPr>
      </w:pPr>
      <w:bookmarkStart w:id="5" w:name="_Toc35393631"/>
      <w:bookmarkStart w:id="6" w:name="_Toc28359091"/>
      <w:bookmarkStart w:id="7" w:name="_Toc35393800"/>
      <w:bookmarkStart w:id="8" w:name="_Toc28359014"/>
      <w:r>
        <w:rPr>
          <w:rFonts w:hint="eastAsia" w:ascii="宋体" w:hAnsi="宋体" w:eastAsia="宋体" w:cs="宋体"/>
          <w:color w:val="auto"/>
          <w:spacing w:val="0"/>
          <w:sz w:val="24"/>
          <w:lang w:bidi="ar"/>
        </w:rPr>
        <w:t>1、具有独立承担民事责任的能力；具有良好的商业信誉和健全的财务会计制度；具有履行合同所必需的设备和专业技术能力</w:t>
      </w:r>
      <w:r>
        <w:rPr>
          <w:rFonts w:hint="eastAsia" w:ascii="宋体" w:hAnsi="宋体" w:eastAsia="宋体" w:cs="宋体"/>
          <w:color w:val="auto"/>
          <w:spacing w:val="0"/>
          <w:sz w:val="24"/>
          <w:lang w:eastAsia="zh-CN" w:bidi="ar"/>
        </w:rPr>
        <w:t>；具</w:t>
      </w:r>
      <w:r>
        <w:rPr>
          <w:rFonts w:hint="eastAsia" w:ascii="宋体" w:hAnsi="宋体" w:eastAsia="宋体" w:cs="宋体"/>
          <w:color w:val="auto"/>
          <w:spacing w:val="0"/>
          <w:sz w:val="24"/>
          <w:lang w:bidi="ar"/>
        </w:rPr>
        <w:t>有依法缴纳“税收”和“社会保障资金”的良好记录；</w:t>
      </w:r>
      <w:r>
        <w:rPr>
          <w:rFonts w:hint="eastAsia" w:ascii="宋体" w:hAnsi="宋体" w:eastAsia="宋体" w:cs="宋体"/>
          <w:bCs/>
          <w:color w:val="auto"/>
          <w:spacing w:val="0"/>
          <w:sz w:val="24"/>
        </w:rPr>
        <w:t>参加本项目招标活动前三年内，在经营活动中没有重大违法记录。</w:t>
      </w:r>
    </w:p>
    <w:p w14:paraId="02EB480C">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pacing w:val="0"/>
          <w:sz w:val="24"/>
        </w:rPr>
      </w:pPr>
      <w:r>
        <w:rPr>
          <w:rFonts w:hint="eastAsia" w:ascii="宋体" w:hAnsi="宋体" w:eastAsia="宋体" w:cs="宋体"/>
          <w:bCs/>
          <w:color w:val="auto"/>
          <w:spacing w:val="0"/>
          <w:sz w:val="24"/>
        </w:rPr>
        <w:t>2、法定代表人为同一人或者存在直接控股、管理关系的不同投标人，不得同时参与同一招标项目相同标段的招标活动，一经发现，将视同围标处理。</w:t>
      </w:r>
    </w:p>
    <w:p w14:paraId="50DAC87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3、本项目的特定资格要求：无</w:t>
      </w:r>
    </w:p>
    <w:p w14:paraId="095A8F6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pacing w:val="0"/>
          <w:sz w:val="24"/>
          <w:lang w:bidi="ar"/>
        </w:rPr>
      </w:pPr>
      <w:r>
        <w:rPr>
          <w:rFonts w:hint="eastAsia" w:ascii="宋体" w:hAnsi="宋体" w:eastAsia="宋体" w:cs="宋体"/>
          <w:color w:val="auto"/>
          <w:spacing w:val="0"/>
          <w:kern w:val="0"/>
          <w:sz w:val="24"/>
        </w:rPr>
        <w:t>4、本项目不接受任何形式的联合体参与投标。</w:t>
      </w:r>
      <w:r>
        <w:rPr>
          <w:rFonts w:hint="eastAsia" w:ascii="宋体" w:hAnsi="宋体" w:eastAsia="宋体" w:cs="宋体"/>
          <w:color w:val="auto"/>
          <w:spacing w:val="0"/>
          <w:sz w:val="24"/>
        </w:rPr>
        <w:t xml:space="preserve"> </w:t>
      </w:r>
    </w:p>
    <w:p w14:paraId="310CF61B">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color w:val="auto"/>
          <w:spacing w:val="0"/>
          <w:sz w:val="24"/>
        </w:rPr>
      </w:pPr>
      <w:r>
        <w:rPr>
          <w:rFonts w:hint="eastAsia" w:ascii="宋体" w:hAnsi="宋体" w:eastAsia="宋体" w:cs="宋体"/>
          <w:b/>
          <w:color w:val="auto"/>
          <w:spacing w:val="0"/>
          <w:sz w:val="24"/>
          <w:u w:val="single"/>
        </w:rPr>
        <w:t>具体详见本招标文件《第</w:t>
      </w:r>
      <w:r>
        <w:rPr>
          <w:rFonts w:hint="eastAsia" w:ascii="宋体" w:hAnsi="宋体" w:eastAsia="宋体" w:cs="宋体"/>
          <w:b/>
          <w:color w:val="auto"/>
          <w:spacing w:val="0"/>
          <w:sz w:val="24"/>
          <w:u w:val="single"/>
          <w:lang w:val="en-US" w:eastAsia="zh-CN"/>
        </w:rPr>
        <w:t>七</w:t>
      </w:r>
      <w:r>
        <w:rPr>
          <w:rFonts w:hint="eastAsia" w:ascii="宋体" w:hAnsi="宋体" w:eastAsia="宋体" w:cs="宋体"/>
          <w:b/>
          <w:color w:val="auto"/>
          <w:spacing w:val="0"/>
          <w:sz w:val="24"/>
          <w:u w:val="single"/>
        </w:rPr>
        <w:t>章 投标响应文件组成及格式》中的资格审查文件要求。</w:t>
      </w:r>
    </w:p>
    <w:p w14:paraId="0E59738D">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pacing w:val="0"/>
          <w:sz w:val="24"/>
        </w:rPr>
      </w:pPr>
      <w:r>
        <w:rPr>
          <w:rFonts w:hint="eastAsia" w:ascii="宋体" w:hAnsi="宋体" w:eastAsia="宋体" w:cs="宋体"/>
          <w:b/>
          <w:color w:val="auto"/>
          <w:spacing w:val="0"/>
          <w:sz w:val="24"/>
        </w:rPr>
        <w:t>【特别提醒】单位负责人为同一人或者存在直接控股、管理关系的不同供应商，不得同时参与同一</w:t>
      </w:r>
      <w:r>
        <w:rPr>
          <w:rFonts w:hint="eastAsia" w:ascii="宋体" w:hAnsi="宋体" w:eastAsia="宋体" w:cs="宋体"/>
          <w:b/>
          <w:color w:val="auto"/>
          <w:spacing w:val="0"/>
          <w:sz w:val="24"/>
          <w:lang w:val="en-US" w:eastAsia="zh-CN"/>
        </w:rPr>
        <w:t>招标</w:t>
      </w:r>
      <w:r>
        <w:rPr>
          <w:rFonts w:hint="eastAsia" w:ascii="宋体" w:hAnsi="宋体" w:eastAsia="宋体" w:cs="宋体"/>
          <w:b/>
          <w:color w:val="auto"/>
          <w:spacing w:val="0"/>
          <w:sz w:val="24"/>
        </w:rPr>
        <w:t>项目相同标段的</w:t>
      </w:r>
      <w:r>
        <w:rPr>
          <w:rFonts w:hint="eastAsia" w:ascii="宋体" w:hAnsi="宋体" w:eastAsia="宋体" w:cs="宋体"/>
          <w:b/>
          <w:color w:val="auto"/>
          <w:spacing w:val="0"/>
          <w:sz w:val="24"/>
          <w:lang w:val="en-US" w:eastAsia="zh-CN"/>
        </w:rPr>
        <w:t>招标</w:t>
      </w:r>
      <w:r>
        <w:rPr>
          <w:rFonts w:hint="eastAsia" w:ascii="宋体" w:hAnsi="宋体" w:eastAsia="宋体" w:cs="宋体"/>
          <w:b/>
          <w:color w:val="auto"/>
          <w:spacing w:val="0"/>
          <w:sz w:val="24"/>
        </w:rPr>
        <w:t>活动；如发现投标</w:t>
      </w:r>
      <w:r>
        <w:rPr>
          <w:rFonts w:hint="eastAsia" w:ascii="宋体" w:hAnsi="宋体" w:eastAsia="宋体" w:cs="宋体"/>
          <w:b/>
          <w:color w:val="auto"/>
          <w:spacing w:val="0"/>
          <w:sz w:val="24"/>
          <w:lang w:val="en-US" w:eastAsia="zh-CN"/>
        </w:rPr>
        <w:t>人</w:t>
      </w:r>
      <w:r>
        <w:rPr>
          <w:rFonts w:hint="eastAsia" w:ascii="宋体" w:hAnsi="宋体" w:eastAsia="宋体" w:cs="宋体"/>
          <w:b/>
          <w:color w:val="auto"/>
          <w:spacing w:val="0"/>
          <w:sz w:val="24"/>
        </w:rPr>
        <w:t>递交的资格后审材料有弄虚作假行为，该投标</w:t>
      </w:r>
      <w:r>
        <w:rPr>
          <w:rFonts w:hint="eastAsia" w:ascii="宋体" w:hAnsi="宋体" w:eastAsia="宋体" w:cs="宋体"/>
          <w:b/>
          <w:color w:val="auto"/>
          <w:spacing w:val="0"/>
          <w:sz w:val="24"/>
          <w:lang w:val="en-US" w:eastAsia="zh-CN"/>
        </w:rPr>
        <w:t>人</w:t>
      </w:r>
      <w:r>
        <w:rPr>
          <w:rFonts w:hint="eastAsia" w:ascii="宋体" w:hAnsi="宋体" w:eastAsia="宋体" w:cs="宋体"/>
          <w:b/>
          <w:color w:val="auto"/>
          <w:spacing w:val="0"/>
          <w:sz w:val="24"/>
        </w:rPr>
        <w:t>将记入不良记录，并上报有关部门，如已中标，</w:t>
      </w:r>
      <w:r>
        <w:rPr>
          <w:rFonts w:hint="eastAsia" w:ascii="宋体" w:hAnsi="宋体" w:eastAsia="宋体" w:cs="宋体"/>
          <w:b/>
          <w:color w:val="auto"/>
          <w:spacing w:val="0"/>
          <w:sz w:val="24"/>
          <w:lang w:val="en-US" w:eastAsia="zh-CN"/>
        </w:rPr>
        <w:t>招标</w:t>
      </w:r>
      <w:r>
        <w:rPr>
          <w:rFonts w:hint="eastAsia" w:ascii="宋体" w:hAnsi="宋体" w:eastAsia="宋体" w:cs="宋体"/>
          <w:b/>
          <w:color w:val="auto"/>
          <w:spacing w:val="0"/>
          <w:sz w:val="24"/>
        </w:rPr>
        <w:t>人有权取消其中标资格，并由该投标</w:t>
      </w:r>
      <w:r>
        <w:rPr>
          <w:rFonts w:hint="eastAsia" w:ascii="宋体" w:hAnsi="宋体" w:eastAsia="宋体" w:cs="宋体"/>
          <w:b/>
          <w:color w:val="auto"/>
          <w:spacing w:val="0"/>
          <w:sz w:val="24"/>
          <w:lang w:val="en-US" w:eastAsia="zh-CN"/>
        </w:rPr>
        <w:t>人</w:t>
      </w:r>
      <w:r>
        <w:rPr>
          <w:rFonts w:hint="eastAsia" w:ascii="宋体" w:hAnsi="宋体" w:eastAsia="宋体" w:cs="宋体"/>
          <w:b/>
          <w:color w:val="auto"/>
          <w:spacing w:val="0"/>
          <w:sz w:val="24"/>
        </w:rPr>
        <w:t>承担由此带来可能的一切责任和损失。</w:t>
      </w:r>
    </w:p>
    <w:p w14:paraId="72F951B4">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pacing w:val="0"/>
          <w:sz w:val="24"/>
        </w:rPr>
      </w:pPr>
      <w:r>
        <w:rPr>
          <w:rFonts w:hint="eastAsia" w:ascii="宋体" w:hAnsi="宋体" w:eastAsia="宋体" w:cs="宋体"/>
          <w:b/>
          <w:color w:val="auto"/>
          <w:spacing w:val="0"/>
          <w:sz w:val="24"/>
        </w:rPr>
        <w:t>备注：投标人不得存在下列情形之一：</w:t>
      </w:r>
    </w:p>
    <w:p w14:paraId="411CFD1D">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pacing w:val="0"/>
          <w:sz w:val="24"/>
        </w:rPr>
      </w:pPr>
      <w:r>
        <w:rPr>
          <w:rFonts w:hint="eastAsia" w:ascii="宋体" w:hAnsi="宋体" w:eastAsia="宋体" w:cs="宋体"/>
          <w:b/>
          <w:color w:val="auto"/>
          <w:spacing w:val="0"/>
          <w:sz w:val="24"/>
        </w:rPr>
        <w:t>（1）为招标人不具有独立法人资格的附属机构（单位）；</w:t>
      </w:r>
    </w:p>
    <w:p w14:paraId="7E198BFA">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pacing w:val="0"/>
          <w:sz w:val="24"/>
        </w:rPr>
      </w:pPr>
      <w:r>
        <w:rPr>
          <w:rFonts w:hint="eastAsia" w:ascii="宋体" w:hAnsi="宋体" w:eastAsia="宋体" w:cs="宋体"/>
          <w:b/>
          <w:color w:val="auto"/>
          <w:spacing w:val="0"/>
          <w:sz w:val="24"/>
        </w:rPr>
        <w:t>（2）为本招标项目的监理人、代建人、项目管理人，以及为本招标项目提供招标代理、设计服务的；</w:t>
      </w:r>
    </w:p>
    <w:p w14:paraId="005D0DF7">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pacing w:val="0"/>
          <w:sz w:val="24"/>
        </w:rPr>
      </w:pPr>
      <w:r>
        <w:rPr>
          <w:rFonts w:hint="eastAsia" w:ascii="宋体" w:hAnsi="宋体" w:eastAsia="宋体" w:cs="宋体"/>
          <w:b/>
          <w:color w:val="auto"/>
          <w:spacing w:val="0"/>
          <w:sz w:val="24"/>
        </w:rPr>
        <w:t>（3）与本招标项目的监理人、代建人、招标代理机构同为一个法定代表人的，或者相互控股、参股的；</w:t>
      </w:r>
    </w:p>
    <w:p w14:paraId="2C888731">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pacing w:val="0"/>
          <w:sz w:val="24"/>
        </w:rPr>
      </w:pPr>
      <w:r>
        <w:rPr>
          <w:rFonts w:hint="eastAsia" w:ascii="宋体" w:hAnsi="宋体" w:eastAsia="宋体" w:cs="宋体"/>
          <w:b/>
          <w:color w:val="auto"/>
          <w:spacing w:val="0"/>
          <w:sz w:val="24"/>
        </w:rPr>
        <w:t>（4）与招标人存在利害关系可能影响招标公正性的；</w:t>
      </w:r>
    </w:p>
    <w:p w14:paraId="4E2B83DD">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pacing w:val="0"/>
          <w:sz w:val="24"/>
        </w:rPr>
      </w:pPr>
      <w:r>
        <w:rPr>
          <w:rFonts w:hint="eastAsia" w:ascii="宋体" w:hAnsi="宋体" w:eastAsia="宋体" w:cs="宋体"/>
          <w:b/>
          <w:color w:val="auto"/>
          <w:spacing w:val="0"/>
          <w:sz w:val="24"/>
        </w:rPr>
        <w:t>（5）单位负责人为同一人或者存在控股、管理关系的不同单位；</w:t>
      </w:r>
    </w:p>
    <w:p w14:paraId="57A85342">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pacing w:val="0"/>
          <w:sz w:val="24"/>
        </w:rPr>
      </w:pPr>
      <w:r>
        <w:rPr>
          <w:rFonts w:hint="eastAsia" w:ascii="宋体" w:hAnsi="宋体" w:eastAsia="宋体" w:cs="宋体"/>
          <w:b/>
          <w:color w:val="auto"/>
          <w:spacing w:val="0"/>
          <w:sz w:val="24"/>
        </w:rPr>
        <w:t>（6）投标人未处于被责令停业、投标资格被取消或者财产被接管、冻结和破产状态、没有因骗取中标或者严重违约以及发生重大工程质量、重大安全生产事故等问题，没有被国家有关部门、省级有关部门、南通市级有关部门及有关部门暂停投标资格并在暂停期内的或列入不良行为和黑名单且在公示期内。</w:t>
      </w:r>
    </w:p>
    <w:p w14:paraId="31432852">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color w:val="auto"/>
          <w:spacing w:val="0"/>
          <w:sz w:val="24"/>
        </w:rPr>
      </w:pPr>
      <w:r>
        <w:rPr>
          <w:rFonts w:hint="eastAsia" w:ascii="宋体" w:hAnsi="宋体" w:eastAsia="宋体" w:cs="宋体"/>
          <w:b/>
          <w:bCs/>
          <w:color w:val="auto"/>
          <w:spacing w:val="0"/>
          <w:sz w:val="24"/>
        </w:rPr>
        <w:t>三、获取招标文件</w:t>
      </w:r>
      <w:bookmarkEnd w:id="5"/>
      <w:bookmarkEnd w:id="6"/>
      <w:bookmarkEnd w:id="7"/>
      <w:bookmarkEnd w:id="8"/>
    </w:p>
    <w:p w14:paraId="680FDA9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时间：自本公告发布之日起5个工作日</w:t>
      </w:r>
    </w:p>
    <w:p w14:paraId="4357573C">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地点：南通市崇川区人民政府网-公告公示栏</w:t>
      </w:r>
    </w:p>
    <w:p w14:paraId="266637C9">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方式：自行下载</w:t>
      </w:r>
    </w:p>
    <w:p w14:paraId="6102AA2D">
      <w:pPr>
        <w:keepNext w:val="0"/>
        <w:keepLines w:val="0"/>
        <w:pageBreakBefore w:val="0"/>
        <w:kinsoku/>
        <w:wordWrap/>
        <w:overflowPunct/>
        <w:topLinePunct w:val="0"/>
        <w:bidi w:val="0"/>
        <w:snapToGrid w:val="0"/>
        <w:spacing w:line="360" w:lineRule="auto"/>
        <w:ind w:firstLine="482" w:firstLineChars="200"/>
        <w:textAlignment w:val="auto"/>
        <w:outlineLvl w:val="1"/>
        <w:rPr>
          <w:rFonts w:hint="eastAsia" w:ascii="宋体" w:hAnsi="宋体" w:eastAsia="宋体" w:cs="宋体"/>
          <w:b/>
          <w:color w:val="auto"/>
          <w:spacing w:val="0"/>
          <w:sz w:val="24"/>
        </w:rPr>
      </w:pPr>
      <w:r>
        <w:rPr>
          <w:rFonts w:hint="eastAsia" w:ascii="宋体" w:hAnsi="宋体" w:eastAsia="宋体" w:cs="宋体"/>
          <w:b/>
          <w:color w:val="auto"/>
          <w:spacing w:val="0"/>
          <w:sz w:val="24"/>
        </w:rPr>
        <w:t>四、提交投标文件截止时间、开标时间和地点</w:t>
      </w:r>
    </w:p>
    <w:p w14:paraId="3E1C23A3">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截止时间：</w:t>
      </w:r>
      <w:r>
        <w:rPr>
          <w:rFonts w:hint="eastAsia" w:ascii="宋体" w:hAnsi="宋体" w:eastAsia="宋体" w:cs="宋体"/>
          <w:color w:val="0000F5"/>
          <w:spacing w:val="0"/>
          <w:sz w:val="24"/>
          <w:u w:val="single"/>
        </w:rPr>
        <w:t xml:space="preserve"> </w:t>
      </w:r>
      <w:r>
        <w:rPr>
          <w:rFonts w:hint="eastAsia" w:ascii="宋体" w:hAnsi="宋体" w:eastAsia="宋体" w:cs="宋体"/>
          <w:b/>
          <w:bCs/>
          <w:color w:val="0000F5"/>
          <w:spacing w:val="0"/>
          <w:sz w:val="24"/>
          <w:u w:val="single"/>
        </w:rPr>
        <w:t>202</w:t>
      </w:r>
      <w:r>
        <w:rPr>
          <w:rFonts w:hint="eastAsia" w:ascii="宋体" w:hAnsi="宋体" w:eastAsia="宋体" w:cs="宋体"/>
          <w:b/>
          <w:bCs/>
          <w:color w:val="0000F5"/>
          <w:spacing w:val="0"/>
          <w:sz w:val="24"/>
          <w:u w:val="single"/>
          <w:lang w:val="en-US" w:eastAsia="zh-CN"/>
        </w:rPr>
        <w:t>5</w:t>
      </w:r>
      <w:r>
        <w:rPr>
          <w:rFonts w:hint="eastAsia" w:ascii="宋体" w:hAnsi="宋体" w:eastAsia="宋体" w:cs="宋体"/>
          <w:b/>
          <w:bCs/>
          <w:color w:val="0000F5"/>
          <w:spacing w:val="0"/>
          <w:sz w:val="24"/>
          <w:u w:val="single"/>
        </w:rPr>
        <w:t>年</w:t>
      </w:r>
      <w:r>
        <w:rPr>
          <w:rFonts w:hint="eastAsia" w:ascii="宋体" w:hAnsi="宋体" w:eastAsia="宋体" w:cs="宋体"/>
          <w:b/>
          <w:bCs/>
          <w:color w:val="0000F5"/>
          <w:spacing w:val="0"/>
          <w:sz w:val="24"/>
          <w:u w:val="single"/>
          <w:lang w:val="en-US" w:eastAsia="zh-CN"/>
        </w:rPr>
        <w:t>7</w:t>
      </w:r>
      <w:r>
        <w:rPr>
          <w:rFonts w:hint="eastAsia" w:ascii="宋体" w:hAnsi="宋体" w:eastAsia="宋体" w:cs="宋体"/>
          <w:b/>
          <w:bCs/>
          <w:color w:val="0000F5"/>
          <w:spacing w:val="0"/>
          <w:sz w:val="24"/>
          <w:u w:val="single"/>
        </w:rPr>
        <w:t>月</w:t>
      </w:r>
      <w:r>
        <w:rPr>
          <w:rFonts w:hint="eastAsia" w:ascii="宋体" w:hAnsi="宋体" w:eastAsia="宋体" w:cs="宋体"/>
          <w:b/>
          <w:bCs/>
          <w:color w:val="0000F5"/>
          <w:spacing w:val="0"/>
          <w:sz w:val="24"/>
          <w:u w:val="single"/>
          <w:lang w:val="en-US" w:eastAsia="zh-CN"/>
        </w:rPr>
        <w:t>10</w:t>
      </w:r>
      <w:r>
        <w:rPr>
          <w:rFonts w:hint="eastAsia" w:ascii="宋体" w:hAnsi="宋体" w:eastAsia="宋体" w:cs="宋体"/>
          <w:b/>
          <w:bCs/>
          <w:color w:val="0000F5"/>
          <w:spacing w:val="0"/>
          <w:sz w:val="24"/>
          <w:u w:val="single"/>
        </w:rPr>
        <w:t>日</w:t>
      </w:r>
      <w:r>
        <w:rPr>
          <w:rFonts w:hint="eastAsia" w:ascii="宋体" w:hAnsi="宋体" w:eastAsia="宋体" w:cs="宋体"/>
          <w:b/>
          <w:bCs/>
          <w:color w:val="0000F5"/>
          <w:spacing w:val="0"/>
          <w:sz w:val="24"/>
          <w:u w:val="single"/>
          <w:lang w:val="en-US" w:eastAsia="zh-CN"/>
        </w:rPr>
        <w:t>09</w:t>
      </w:r>
      <w:r>
        <w:rPr>
          <w:rFonts w:hint="eastAsia" w:ascii="宋体" w:hAnsi="宋体" w:eastAsia="宋体" w:cs="宋体"/>
          <w:b/>
          <w:bCs/>
          <w:color w:val="0000F5"/>
          <w:spacing w:val="0"/>
          <w:sz w:val="24"/>
          <w:u w:val="single"/>
        </w:rPr>
        <w:t>时</w:t>
      </w:r>
      <w:r>
        <w:rPr>
          <w:rFonts w:hint="eastAsia" w:ascii="宋体" w:hAnsi="宋体" w:eastAsia="宋体" w:cs="宋体"/>
          <w:b/>
          <w:bCs/>
          <w:color w:val="0000F5"/>
          <w:spacing w:val="0"/>
          <w:sz w:val="24"/>
          <w:u w:val="single"/>
          <w:lang w:val="en-US" w:eastAsia="zh-CN"/>
        </w:rPr>
        <w:t>30</w:t>
      </w:r>
      <w:r>
        <w:rPr>
          <w:rFonts w:hint="eastAsia" w:ascii="宋体" w:hAnsi="宋体" w:eastAsia="宋体" w:cs="宋体"/>
          <w:b/>
          <w:bCs/>
          <w:color w:val="0000F5"/>
          <w:spacing w:val="0"/>
          <w:sz w:val="24"/>
          <w:u w:val="single"/>
        </w:rPr>
        <w:t>分</w:t>
      </w:r>
      <w:r>
        <w:rPr>
          <w:rFonts w:hint="eastAsia" w:ascii="宋体" w:hAnsi="宋体" w:eastAsia="宋体" w:cs="宋体"/>
          <w:b/>
          <w:bCs/>
          <w:color w:val="0000F5"/>
          <w:spacing w:val="0"/>
          <w:sz w:val="24"/>
          <w:u w:val="single"/>
          <w:lang w:val="en-US" w:eastAsia="zh-CN"/>
        </w:rPr>
        <w:t>00</w:t>
      </w:r>
      <w:r>
        <w:rPr>
          <w:rFonts w:hint="eastAsia" w:ascii="宋体" w:hAnsi="宋体" w:eastAsia="宋体" w:cs="宋体"/>
          <w:b/>
          <w:bCs/>
          <w:color w:val="0000F5"/>
          <w:spacing w:val="0"/>
          <w:sz w:val="24"/>
          <w:u w:val="single"/>
        </w:rPr>
        <w:t>秒</w:t>
      </w:r>
      <w:r>
        <w:rPr>
          <w:rFonts w:hint="eastAsia" w:ascii="宋体" w:hAnsi="宋体" w:eastAsia="宋体" w:cs="宋体"/>
          <w:bCs/>
          <w:color w:val="auto"/>
          <w:spacing w:val="0"/>
          <w:sz w:val="24"/>
        </w:rPr>
        <w:t>（北京时间）</w:t>
      </w:r>
      <w:r>
        <w:rPr>
          <w:rFonts w:hint="eastAsia" w:ascii="宋体" w:hAnsi="宋体" w:eastAsia="宋体" w:cs="宋体"/>
          <w:color w:val="auto"/>
          <w:spacing w:val="0"/>
          <w:sz w:val="24"/>
        </w:rPr>
        <w:t>，逾时拒绝接收投标响应文件。</w:t>
      </w:r>
    </w:p>
    <w:p w14:paraId="3F1AB4F2">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pacing w:val="0"/>
          <w:sz w:val="24"/>
          <w:u w:val="single"/>
        </w:rPr>
      </w:pPr>
      <w:r>
        <w:rPr>
          <w:rFonts w:hint="eastAsia" w:ascii="宋体" w:hAnsi="宋体" w:eastAsia="宋体" w:cs="宋体"/>
          <w:color w:val="auto"/>
          <w:spacing w:val="0"/>
          <w:sz w:val="24"/>
        </w:rPr>
        <w:t>地    点：</w:t>
      </w:r>
      <w:r>
        <w:rPr>
          <w:rFonts w:hint="eastAsia" w:ascii="宋体" w:hAnsi="宋体" w:eastAsia="宋体" w:cs="宋体"/>
          <w:b/>
          <w:bCs/>
          <w:color w:val="auto"/>
          <w:sz w:val="24"/>
          <w:highlight w:val="none"/>
          <w:u w:val="single"/>
        </w:rPr>
        <w:t>江苏省南通市崇川路1号</w:t>
      </w:r>
      <w:r>
        <w:rPr>
          <w:rFonts w:hint="eastAsia" w:ascii="宋体" w:hAnsi="宋体" w:eastAsia="宋体" w:cs="宋体"/>
          <w:b/>
          <w:bCs/>
          <w:color w:val="auto"/>
          <w:sz w:val="24"/>
          <w:highlight w:val="none"/>
          <w:u w:val="single"/>
          <w:lang w:val="en-US" w:eastAsia="zh-CN"/>
        </w:rPr>
        <w:t>建发集团二楼</w:t>
      </w:r>
      <w:r>
        <w:rPr>
          <w:rFonts w:hint="eastAsia" w:ascii="宋体" w:hAnsi="宋体" w:eastAsia="宋体" w:cs="宋体"/>
          <w:b/>
          <w:bCs/>
          <w:color w:val="auto"/>
          <w:sz w:val="24"/>
          <w:highlight w:val="none"/>
          <w:u w:val="single"/>
        </w:rPr>
        <w:t>会议室</w:t>
      </w:r>
      <w:r>
        <w:rPr>
          <w:rFonts w:hint="eastAsia" w:ascii="宋体" w:hAnsi="宋体" w:eastAsia="宋体" w:cs="宋体"/>
          <w:b/>
          <w:bCs/>
          <w:color w:val="auto"/>
          <w:spacing w:val="0"/>
          <w:sz w:val="24"/>
          <w:u w:val="single"/>
        </w:rPr>
        <w:t>，如有变动另行通知</w:t>
      </w:r>
      <w:r>
        <w:rPr>
          <w:rFonts w:hint="eastAsia" w:ascii="宋体" w:hAnsi="宋体" w:eastAsia="宋体" w:cs="宋体"/>
          <w:color w:val="auto"/>
          <w:spacing w:val="0"/>
          <w:sz w:val="24"/>
          <w:u w:val="single"/>
        </w:rPr>
        <w:t>。</w:t>
      </w:r>
    </w:p>
    <w:p w14:paraId="54B3A2D2">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pacing w:val="0"/>
          <w:sz w:val="24"/>
        </w:rPr>
      </w:pPr>
      <w:bookmarkStart w:id="9" w:name="_Toc35393634"/>
      <w:bookmarkStart w:id="10" w:name="_Toc35393803"/>
      <w:bookmarkStart w:id="11" w:name="_Toc28359017"/>
      <w:bookmarkStart w:id="12" w:name="_Toc28359094"/>
      <w:r>
        <w:rPr>
          <w:rFonts w:hint="eastAsia" w:ascii="宋体" w:hAnsi="宋体" w:eastAsia="宋体" w:cs="宋体"/>
          <w:b/>
          <w:bCs/>
          <w:color w:val="auto"/>
          <w:spacing w:val="0"/>
          <w:sz w:val="24"/>
        </w:rPr>
        <w:t>五、公告期限</w:t>
      </w:r>
      <w:bookmarkEnd w:id="9"/>
      <w:bookmarkEnd w:id="10"/>
      <w:bookmarkEnd w:id="11"/>
      <w:bookmarkEnd w:id="12"/>
    </w:p>
    <w:p w14:paraId="3C15D75B">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自本公告发布之日起5个工作日。</w:t>
      </w:r>
    </w:p>
    <w:p w14:paraId="18CBB0CF">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pacing w:val="0"/>
          <w:sz w:val="24"/>
        </w:rPr>
      </w:pPr>
      <w:bookmarkStart w:id="13" w:name="_Toc35393635"/>
      <w:bookmarkStart w:id="14" w:name="_Toc35393804"/>
      <w:r>
        <w:rPr>
          <w:rFonts w:hint="eastAsia" w:ascii="宋体" w:hAnsi="宋体" w:eastAsia="宋体" w:cs="宋体"/>
          <w:b/>
          <w:bCs/>
          <w:color w:val="auto"/>
          <w:spacing w:val="0"/>
          <w:sz w:val="24"/>
        </w:rPr>
        <w:t>六、其他补充事宜</w:t>
      </w:r>
      <w:bookmarkEnd w:id="13"/>
      <w:bookmarkEnd w:id="14"/>
    </w:p>
    <w:p w14:paraId="294DFE35">
      <w:pPr>
        <w:keepNext w:val="0"/>
        <w:keepLines w:val="0"/>
        <w:pageBreakBefore w:val="0"/>
        <w:numPr>
          <w:ilvl w:val="0"/>
          <w:numId w:val="1"/>
        </w:numPr>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投标保证金：</w:t>
      </w:r>
      <w:r>
        <w:rPr>
          <w:rFonts w:hint="eastAsia" w:ascii="宋体" w:hAnsi="宋体" w:eastAsia="宋体" w:cs="宋体"/>
          <w:b/>
          <w:color w:val="auto"/>
          <w:spacing w:val="0"/>
          <w:sz w:val="24"/>
          <w:u w:val="single"/>
        </w:rPr>
        <w:t>人民币</w:t>
      </w:r>
      <w:r>
        <w:rPr>
          <w:rFonts w:hint="eastAsia" w:ascii="宋体" w:hAnsi="宋体" w:eastAsia="宋体" w:cs="宋体"/>
          <w:b/>
          <w:color w:val="auto"/>
          <w:spacing w:val="0"/>
          <w:sz w:val="24"/>
          <w:u w:val="single"/>
          <w:lang w:val="en-US" w:eastAsia="zh-CN"/>
        </w:rPr>
        <w:t>肆</w:t>
      </w:r>
      <w:r>
        <w:rPr>
          <w:rFonts w:hint="eastAsia" w:ascii="宋体" w:hAnsi="宋体" w:eastAsia="宋体" w:cs="宋体"/>
          <w:b/>
          <w:color w:val="auto"/>
          <w:spacing w:val="0"/>
          <w:sz w:val="24"/>
          <w:u w:val="single"/>
        </w:rPr>
        <w:t>仟元整（¥</w:t>
      </w:r>
      <w:r>
        <w:rPr>
          <w:rFonts w:hint="eastAsia" w:ascii="宋体" w:hAnsi="宋体" w:eastAsia="宋体" w:cs="宋体"/>
          <w:b/>
          <w:color w:val="auto"/>
          <w:spacing w:val="0"/>
          <w:sz w:val="24"/>
          <w:u w:val="single"/>
          <w:lang w:val="en-US" w:eastAsia="zh-CN"/>
        </w:rPr>
        <w:t>4</w:t>
      </w:r>
      <w:r>
        <w:rPr>
          <w:rFonts w:hint="eastAsia" w:ascii="宋体" w:hAnsi="宋体" w:eastAsia="宋体" w:cs="宋体"/>
          <w:b/>
          <w:color w:val="auto"/>
          <w:spacing w:val="0"/>
          <w:sz w:val="24"/>
          <w:u w:val="single"/>
        </w:rPr>
        <w:t>000.00元）</w:t>
      </w:r>
      <w:r>
        <w:rPr>
          <w:rFonts w:hint="eastAsia" w:ascii="宋体" w:hAnsi="宋体" w:eastAsia="宋体" w:cs="宋体"/>
          <w:bCs/>
          <w:color w:val="auto"/>
          <w:spacing w:val="0"/>
          <w:sz w:val="24"/>
        </w:rPr>
        <w:t>。</w:t>
      </w:r>
    </w:p>
    <w:p w14:paraId="06CA45C0">
      <w:pPr>
        <w:keepNext w:val="0"/>
        <w:keepLines w:val="0"/>
        <w:pageBreakBefore w:val="0"/>
        <w:numPr>
          <w:ilvl w:val="0"/>
          <w:numId w:val="1"/>
        </w:numPr>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项目招标活动模式：本项目采用现场开标模式。</w:t>
      </w:r>
    </w:p>
    <w:p w14:paraId="7C5B1D1E">
      <w:pPr>
        <w:keepNext w:val="0"/>
        <w:keepLines w:val="0"/>
        <w:pageBreakBefore w:val="0"/>
        <w:numPr>
          <w:ilvl w:val="0"/>
          <w:numId w:val="1"/>
        </w:numPr>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kern w:val="0"/>
          <w:sz w:val="24"/>
        </w:rPr>
        <w:t>对项目需求部分（投标人其他资格要求、项目需求等）的询问、质疑请向招标人提出，由招标人负责答复；对项目招标文件</w:t>
      </w:r>
      <w:r>
        <w:rPr>
          <w:rFonts w:hint="eastAsia" w:ascii="宋体" w:hAnsi="宋体" w:cs="宋体"/>
          <w:color w:val="auto"/>
          <w:spacing w:val="0"/>
          <w:kern w:val="0"/>
          <w:sz w:val="24"/>
          <w:lang w:eastAsia="zh-CN"/>
        </w:rPr>
        <w:t>其他部分</w:t>
      </w:r>
      <w:r>
        <w:rPr>
          <w:rFonts w:hint="eastAsia" w:ascii="宋体" w:hAnsi="宋体" w:eastAsia="宋体" w:cs="宋体"/>
          <w:color w:val="auto"/>
          <w:spacing w:val="0"/>
          <w:kern w:val="0"/>
          <w:sz w:val="24"/>
        </w:rPr>
        <w:t>的询问请向招标代理机构提出。</w:t>
      </w:r>
    </w:p>
    <w:p w14:paraId="267CF5B3">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pacing w:val="0"/>
          <w:sz w:val="24"/>
        </w:rPr>
      </w:pPr>
      <w:bookmarkStart w:id="15" w:name="_Toc35393636"/>
      <w:bookmarkStart w:id="16" w:name="_Toc35393805"/>
      <w:bookmarkStart w:id="17" w:name="_Toc28359095"/>
      <w:bookmarkStart w:id="18" w:name="_Toc28359018"/>
      <w:r>
        <w:rPr>
          <w:rFonts w:hint="eastAsia" w:ascii="宋体" w:hAnsi="宋体" w:eastAsia="宋体" w:cs="宋体"/>
          <w:b/>
          <w:bCs/>
          <w:color w:val="auto"/>
          <w:spacing w:val="0"/>
          <w:sz w:val="24"/>
        </w:rPr>
        <w:t>七、</w:t>
      </w:r>
      <w:bookmarkEnd w:id="15"/>
      <w:bookmarkEnd w:id="16"/>
      <w:bookmarkEnd w:id="17"/>
      <w:bookmarkEnd w:id="18"/>
      <w:r>
        <w:rPr>
          <w:rFonts w:hint="eastAsia" w:ascii="宋体" w:hAnsi="宋体" w:eastAsia="宋体" w:cs="宋体"/>
          <w:b/>
          <w:bCs/>
          <w:color w:val="auto"/>
          <w:spacing w:val="0"/>
          <w:sz w:val="24"/>
        </w:rPr>
        <w:t>对本次招标提出询问，请按以下方式联系</w:t>
      </w:r>
    </w:p>
    <w:p w14:paraId="606C4E1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rPr>
      </w:pPr>
      <w:bookmarkStart w:id="19" w:name="_Toc28359019"/>
      <w:bookmarkStart w:id="20" w:name="_Toc28359096"/>
      <w:bookmarkStart w:id="21" w:name="_Toc35393637"/>
      <w:bookmarkStart w:id="22" w:name="_Toc35393806"/>
      <w:r>
        <w:rPr>
          <w:rFonts w:hint="eastAsia" w:ascii="宋体" w:hAnsi="宋体" w:eastAsia="宋体" w:cs="宋体"/>
          <w:color w:val="auto"/>
          <w:spacing w:val="0"/>
          <w:sz w:val="24"/>
        </w:rPr>
        <w:t>1、招标人信息</w:t>
      </w:r>
      <w:bookmarkEnd w:id="19"/>
      <w:bookmarkEnd w:id="20"/>
      <w:bookmarkEnd w:id="21"/>
      <w:bookmarkEnd w:id="22"/>
    </w:p>
    <w:p w14:paraId="0924F85B">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lang w:eastAsia="zh-CN"/>
        </w:rPr>
      </w:pPr>
      <w:r>
        <w:rPr>
          <w:rFonts w:hint="eastAsia" w:ascii="宋体" w:hAnsi="宋体" w:eastAsia="宋体" w:cs="宋体"/>
          <w:color w:val="auto"/>
          <w:spacing w:val="0"/>
          <w:sz w:val="24"/>
        </w:rPr>
        <w:t>名    称：</w:t>
      </w:r>
      <w:r>
        <w:rPr>
          <w:rFonts w:hint="eastAsia" w:ascii="宋体" w:hAnsi="宋体" w:eastAsia="宋体" w:cs="宋体"/>
          <w:color w:val="auto"/>
          <w:spacing w:val="0"/>
          <w:sz w:val="24"/>
          <w:lang w:eastAsia="zh-CN"/>
        </w:rPr>
        <w:t>南通天山置业有限公司</w:t>
      </w:r>
    </w:p>
    <w:p w14:paraId="770EA73E">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rPr>
        <w:t>联系方式：许先生  13814709178</w:t>
      </w:r>
    </w:p>
    <w:p w14:paraId="24AA886E">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rPr>
      </w:pPr>
      <w:bookmarkStart w:id="23" w:name="_Toc28359020"/>
      <w:bookmarkStart w:id="24" w:name="_Toc35393807"/>
      <w:bookmarkStart w:id="25" w:name="_Toc28359097"/>
      <w:bookmarkStart w:id="26" w:name="_Toc35393638"/>
      <w:r>
        <w:rPr>
          <w:rFonts w:hint="eastAsia" w:ascii="宋体" w:hAnsi="宋体" w:eastAsia="宋体" w:cs="宋体"/>
          <w:color w:val="auto"/>
          <w:spacing w:val="0"/>
          <w:sz w:val="24"/>
        </w:rPr>
        <w:t>2、招标代理机构信息</w:t>
      </w:r>
      <w:bookmarkEnd w:id="23"/>
      <w:bookmarkEnd w:id="24"/>
      <w:bookmarkEnd w:id="25"/>
      <w:bookmarkEnd w:id="26"/>
    </w:p>
    <w:p w14:paraId="695A5B6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名    称：江苏海审工程咨询有限公司</w:t>
      </w:r>
    </w:p>
    <w:p w14:paraId="43A6601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地　　址：南通市崇川区星城路299号创源科技园3号楼501室</w:t>
      </w:r>
    </w:p>
    <w:p w14:paraId="44C763C6">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rPr>
        <w:t>联系方式：</w:t>
      </w:r>
      <w:r>
        <w:rPr>
          <w:rFonts w:hint="eastAsia" w:ascii="宋体" w:hAnsi="宋体" w:eastAsia="宋体" w:cs="宋体"/>
          <w:color w:val="auto"/>
          <w:spacing w:val="0"/>
          <w:sz w:val="24"/>
          <w:lang w:val="en-US" w:eastAsia="zh-CN"/>
        </w:rPr>
        <w:t>庄卫韦</w:t>
      </w:r>
      <w:r>
        <w:rPr>
          <w:rFonts w:hint="eastAsia" w:ascii="宋体" w:hAnsi="宋体" w:eastAsia="宋体" w:cs="宋体"/>
          <w:color w:val="auto"/>
          <w:spacing w:val="0"/>
          <w:sz w:val="24"/>
        </w:rPr>
        <w:t xml:space="preserve">  </w:t>
      </w:r>
      <w:r>
        <w:rPr>
          <w:rFonts w:hint="eastAsia" w:ascii="宋体" w:hAnsi="宋体" w:eastAsia="宋体" w:cs="宋体"/>
          <w:color w:val="auto"/>
          <w:spacing w:val="0"/>
          <w:sz w:val="24"/>
          <w:lang w:val="en-US" w:eastAsia="zh-CN"/>
        </w:rPr>
        <w:t>18752932069</w:t>
      </w:r>
    </w:p>
    <w:p w14:paraId="5E053974">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rPr>
      </w:pPr>
      <w:bookmarkStart w:id="27" w:name="_Toc28359021"/>
      <w:bookmarkStart w:id="28" w:name="_Toc28359098"/>
      <w:bookmarkStart w:id="29" w:name="_Toc35393808"/>
      <w:bookmarkStart w:id="30" w:name="_Toc35393639"/>
      <w:r>
        <w:rPr>
          <w:rFonts w:hint="eastAsia" w:ascii="宋体" w:hAnsi="宋体" w:eastAsia="宋体" w:cs="宋体"/>
          <w:color w:val="auto"/>
          <w:spacing w:val="0"/>
          <w:sz w:val="24"/>
        </w:rPr>
        <w:t>3、项目联系方式</w:t>
      </w:r>
      <w:bookmarkEnd w:id="27"/>
      <w:bookmarkEnd w:id="28"/>
      <w:bookmarkEnd w:id="29"/>
      <w:bookmarkEnd w:id="30"/>
    </w:p>
    <w:p w14:paraId="358178C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lang w:eastAsia="zh-CN"/>
        </w:rPr>
      </w:pPr>
      <w:r>
        <w:rPr>
          <w:rFonts w:hint="eastAsia" w:ascii="宋体" w:hAnsi="宋体" w:eastAsia="宋体" w:cs="宋体"/>
          <w:color w:val="auto"/>
          <w:spacing w:val="0"/>
          <w:sz w:val="24"/>
        </w:rPr>
        <w:t>项目联系人：</w:t>
      </w:r>
      <w:r>
        <w:rPr>
          <w:rFonts w:hint="eastAsia" w:ascii="宋体" w:hAnsi="宋体" w:eastAsia="宋体" w:cs="宋体"/>
          <w:color w:val="auto"/>
          <w:spacing w:val="0"/>
          <w:sz w:val="24"/>
          <w:lang w:val="en-US" w:eastAsia="zh-CN"/>
        </w:rPr>
        <w:t>庄卫韦</w:t>
      </w:r>
    </w:p>
    <w:p w14:paraId="2ACB0E26">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rPr>
        <w:t>电　　  话：</w:t>
      </w:r>
      <w:r>
        <w:rPr>
          <w:rFonts w:hint="eastAsia" w:ascii="宋体" w:hAnsi="宋体" w:eastAsia="宋体" w:cs="宋体"/>
          <w:color w:val="auto"/>
          <w:spacing w:val="0"/>
          <w:sz w:val="24"/>
          <w:lang w:val="en-US" w:eastAsia="zh-CN"/>
        </w:rPr>
        <w:t>18752932069</w:t>
      </w:r>
    </w:p>
    <w:p w14:paraId="5983CF2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br w:type="page"/>
      </w:r>
      <w:r>
        <w:rPr>
          <w:rFonts w:hint="eastAsia" w:ascii="宋体" w:hAnsi="宋体" w:eastAsia="宋体" w:cs="宋体"/>
          <w:b/>
          <w:bCs/>
          <w:color w:val="auto"/>
          <w:spacing w:val="0"/>
          <w:sz w:val="36"/>
          <w:szCs w:val="36"/>
        </w:rPr>
        <w:t>第二章 投标须知</w:t>
      </w:r>
    </w:p>
    <w:p w14:paraId="438752BC">
      <w:pPr>
        <w:snapToGrid w:val="0"/>
        <w:spacing w:line="360" w:lineRule="auto"/>
        <w:ind w:firstLine="482" w:firstLineChars="200"/>
        <w:outlineLvl w:val="1"/>
        <w:rPr>
          <w:rFonts w:hint="eastAsia" w:ascii="宋体" w:hAnsi="宋体" w:eastAsia="宋体" w:cs="宋体"/>
          <w:b/>
          <w:bCs/>
          <w:color w:val="auto"/>
          <w:spacing w:val="0"/>
          <w:sz w:val="24"/>
        </w:rPr>
      </w:pPr>
      <w:r>
        <w:rPr>
          <w:rFonts w:hint="eastAsia" w:ascii="宋体" w:hAnsi="宋体" w:eastAsia="宋体" w:cs="宋体"/>
          <w:b/>
          <w:bCs/>
          <w:color w:val="auto"/>
          <w:spacing w:val="0"/>
          <w:sz w:val="24"/>
        </w:rPr>
        <w:t>一、说明</w:t>
      </w:r>
    </w:p>
    <w:p w14:paraId="73FF8B17">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1、本招标文件仅适用于</w:t>
      </w:r>
      <w:r>
        <w:rPr>
          <w:rFonts w:hint="eastAsia" w:ascii="宋体" w:hAnsi="宋体" w:eastAsia="宋体" w:cs="宋体"/>
          <w:color w:val="auto"/>
          <w:spacing w:val="0"/>
          <w:kern w:val="0"/>
          <w:sz w:val="24"/>
        </w:rPr>
        <w:t>江苏海审工程咨询有限公司</w:t>
      </w:r>
      <w:r>
        <w:rPr>
          <w:rFonts w:hint="eastAsia" w:ascii="宋体" w:hAnsi="宋体" w:eastAsia="宋体" w:cs="宋体"/>
          <w:color w:val="auto"/>
          <w:spacing w:val="0"/>
          <w:sz w:val="24"/>
        </w:rPr>
        <w:t>（以下称代理机构）的公开招标活动。</w:t>
      </w:r>
    </w:p>
    <w:p w14:paraId="090A6B6F">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2、公开招标活动及因本次招标产生的合同受中国法律制约和保护。</w:t>
      </w:r>
    </w:p>
    <w:p w14:paraId="5707F404">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3、招标文件的解释权属于</w:t>
      </w:r>
      <w:r>
        <w:rPr>
          <w:rFonts w:hint="eastAsia" w:ascii="宋体" w:hAnsi="宋体" w:eastAsia="宋体" w:cs="宋体"/>
          <w:color w:val="auto"/>
          <w:spacing w:val="0"/>
          <w:kern w:val="0"/>
          <w:sz w:val="24"/>
        </w:rPr>
        <w:t>招标人</w:t>
      </w:r>
      <w:r>
        <w:rPr>
          <w:rFonts w:hint="eastAsia" w:ascii="宋体" w:hAnsi="宋体" w:eastAsia="宋体" w:cs="宋体"/>
          <w:color w:val="auto"/>
          <w:spacing w:val="0"/>
          <w:sz w:val="24"/>
        </w:rPr>
        <w:t>。</w:t>
      </w:r>
    </w:p>
    <w:p w14:paraId="2DFFFE70">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4、投标人在知道或应当知道本项目招标公告及招标文件中的所有内容：如内容或页码短缺、资格要求和技术参数出现倾向性或排他性等表述的，</w:t>
      </w:r>
      <w:r>
        <w:rPr>
          <w:rFonts w:hint="eastAsia" w:ascii="宋体" w:hAnsi="宋体" w:eastAsia="宋体" w:cs="宋体"/>
          <w:b/>
          <w:color w:val="auto"/>
          <w:spacing w:val="0"/>
          <w:sz w:val="24"/>
        </w:rPr>
        <w:t>应在本项目招标公告期限及期限届满之日后的7个工作日内提出询问或以书面实名制形式提出质疑；</w:t>
      </w:r>
      <w:r>
        <w:rPr>
          <w:rFonts w:hint="eastAsia" w:ascii="宋体" w:hAnsi="宋体" w:eastAsia="宋体" w:cs="宋体"/>
          <w:color w:val="auto"/>
          <w:spacing w:val="0"/>
          <w:sz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eastAsia="宋体" w:cs="宋体"/>
          <w:b/>
          <w:bCs/>
          <w:color w:val="auto"/>
          <w:spacing w:val="0"/>
          <w:sz w:val="24"/>
        </w:rPr>
        <w:t>非书面形式的不作为日后质疑提出的依据。</w:t>
      </w:r>
    </w:p>
    <w:p w14:paraId="014C4A8E">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5、投标人应认真审阅招标文件中所有的事项、格式、条款和规范要求等，如果投标人没有按照招标文件要求提交投标文件，或者投标文件没有对招标文件做出实质性响应，将被拒绝参与投标。</w:t>
      </w:r>
    </w:p>
    <w:p w14:paraId="2680CD93">
      <w:pPr>
        <w:snapToGrid w:val="0"/>
        <w:spacing w:line="360" w:lineRule="auto"/>
        <w:ind w:firstLine="480" w:firstLineChars="200"/>
        <w:rPr>
          <w:rFonts w:hint="eastAsia" w:ascii="宋体" w:hAnsi="宋体" w:eastAsia="宋体" w:cs="宋体"/>
          <w:color w:val="auto"/>
          <w:spacing w:val="0"/>
        </w:rPr>
      </w:pPr>
      <w:r>
        <w:rPr>
          <w:rFonts w:hint="eastAsia" w:ascii="宋体" w:hAnsi="宋体" w:eastAsia="宋体" w:cs="宋体"/>
          <w:color w:val="auto"/>
          <w:spacing w:val="0"/>
          <w:sz w:val="24"/>
        </w:rPr>
        <w:t>6、本招标文件内所称的“以上”、“以下”、“内”、“以内”，包括本数；所称的“不足”、“少于”，不包括本数。</w:t>
      </w:r>
    </w:p>
    <w:p w14:paraId="5962E90C">
      <w:pPr>
        <w:snapToGrid w:val="0"/>
        <w:spacing w:line="360" w:lineRule="auto"/>
        <w:ind w:firstLine="482" w:firstLineChars="200"/>
        <w:outlineLvl w:val="1"/>
        <w:rPr>
          <w:rFonts w:hint="eastAsia" w:ascii="宋体" w:hAnsi="宋体" w:eastAsia="宋体" w:cs="宋体"/>
          <w:b/>
          <w:bCs/>
          <w:color w:val="auto"/>
          <w:spacing w:val="0"/>
          <w:sz w:val="24"/>
        </w:rPr>
      </w:pPr>
      <w:r>
        <w:rPr>
          <w:rFonts w:hint="eastAsia" w:ascii="宋体" w:hAnsi="宋体" w:eastAsia="宋体" w:cs="宋体"/>
          <w:b/>
          <w:bCs/>
          <w:color w:val="auto"/>
          <w:spacing w:val="0"/>
          <w:sz w:val="24"/>
        </w:rPr>
        <w:t>二、招标文件的补充说明、澄清、修改、答疑</w:t>
      </w:r>
    </w:p>
    <w:p w14:paraId="43A93CEA">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1、代理机构有权对发出的招标文件进行必要的补充说明、澄清或修改。</w:t>
      </w:r>
    </w:p>
    <w:p w14:paraId="7894F1B0">
      <w:pPr>
        <w:snapToGrid w:val="0"/>
        <w:spacing w:line="360" w:lineRule="auto"/>
        <w:ind w:firstLine="480" w:firstLineChars="200"/>
        <w:jc w:val="left"/>
        <w:rPr>
          <w:rFonts w:hint="eastAsia" w:ascii="宋体" w:hAnsi="宋体" w:eastAsia="宋体" w:cs="宋体"/>
          <w:color w:val="auto"/>
          <w:spacing w:val="0"/>
          <w:sz w:val="24"/>
        </w:rPr>
      </w:pPr>
      <w:r>
        <w:rPr>
          <w:rFonts w:hint="eastAsia" w:ascii="宋体" w:hAnsi="宋体" w:eastAsia="宋体" w:cs="宋体"/>
          <w:color w:val="auto"/>
          <w:spacing w:val="0"/>
          <w:sz w:val="24"/>
        </w:rPr>
        <w:t>2、招标文件的澄清、修改、补充等内容均以书面明确的形式发布，且以在“</w:t>
      </w:r>
      <w:r>
        <w:rPr>
          <w:rFonts w:hint="eastAsia" w:ascii="宋体" w:hAnsi="宋体" w:eastAsia="宋体" w:cs="宋体"/>
          <w:color w:val="auto"/>
          <w:spacing w:val="0"/>
          <w:sz w:val="24"/>
          <w:lang w:eastAsia="zh-CN"/>
        </w:rPr>
        <w:t>崇川区人民政府网</w:t>
      </w:r>
      <w:r>
        <w:rPr>
          <w:rFonts w:hint="eastAsia" w:ascii="宋体" w:hAnsi="宋体" w:eastAsia="宋体" w:cs="宋体"/>
          <w:color w:val="auto"/>
          <w:spacing w:val="0"/>
          <w:sz w:val="24"/>
        </w:rPr>
        <w:t>”发布的信息为准。</w:t>
      </w:r>
    </w:p>
    <w:p w14:paraId="0B7BC76E">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3、代理机构对招标文件的补充说明、澄清或修改，将构成招标文件的一部分，对投标人具有约束力。</w:t>
      </w:r>
    </w:p>
    <w:p w14:paraId="552D9369">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4、补充说明、澄清或修改的内容可能影响响应文件编制的，代理机构将在投标截止时间</w:t>
      </w:r>
      <w:r>
        <w:rPr>
          <w:rFonts w:hint="eastAsia" w:ascii="宋体" w:hAnsi="宋体" w:cs="宋体"/>
          <w:color w:val="auto"/>
          <w:spacing w:val="0"/>
          <w:sz w:val="24"/>
          <w:lang w:val="en-US" w:eastAsia="zh-CN"/>
        </w:rPr>
        <w:t>15</w:t>
      </w:r>
      <w:r>
        <w:rPr>
          <w:rFonts w:hint="eastAsia" w:ascii="宋体" w:hAnsi="宋体" w:eastAsia="宋体" w:cs="宋体"/>
          <w:color w:val="auto"/>
          <w:spacing w:val="0"/>
          <w:sz w:val="24"/>
        </w:rPr>
        <w:t>日前，发布补充说明、澄清或修改公告，不足</w:t>
      </w:r>
      <w:r>
        <w:rPr>
          <w:rFonts w:hint="eastAsia" w:ascii="宋体" w:hAnsi="宋体" w:cs="宋体"/>
          <w:color w:val="auto"/>
          <w:spacing w:val="0"/>
          <w:sz w:val="24"/>
          <w:lang w:val="en-US" w:eastAsia="zh-CN"/>
        </w:rPr>
        <w:t>15</w:t>
      </w:r>
      <w:r>
        <w:rPr>
          <w:rFonts w:hint="eastAsia" w:ascii="宋体" w:hAnsi="宋体" w:eastAsia="宋体" w:cs="宋体"/>
          <w:color w:val="auto"/>
          <w:spacing w:val="0"/>
          <w:sz w:val="24"/>
        </w:rPr>
        <w:t>日的，应当顺延提交投标文件的截止时间。</w:t>
      </w:r>
    </w:p>
    <w:p w14:paraId="11DD39CD">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5、除非代理机构以书面的形式对招标文件作出澄清、修改及补充，投标人对涉及招标文件的任何推论、理解和结论所造成的结果，均由投标人自负。</w:t>
      </w:r>
    </w:p>
    <w:p w14:paraId="3F20E46C">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6、招标人视情组织答疑会。如有产生答疑且对招标文件内容有修改，代理机构将按照本须知有关规定，以补充通知（公告）的方式发出。</w:t>
      </w:r>
    </w:p>
    <w:p w14:paraId="043710F8">
      <w:pPr>
        <w:snapToGrid w:val="0"/>
        <w:spacing w:line="360" w:lineRule="auto"/>
        <w:ind w:firstLine="482" w:firstLineChars="200"/>
        <w:outlineLvl w:val="1"/>
        <w:rPr>
          <w:rFonts w:hint="eastAsia" w:ascii="宋体" w:hAnsi="宋体" w:eastAsia="宋体" w:cs="宋体"/>
          <w:color w:val="auto"/>
          <w:spacing w:val="0"/>
          <w:sz w:val="24"/>
        </w:rPr>
      </w:pPr>
      <w:r>
        <w:rPr>
          <w:rFonts w:hint="eastAsia" w:ascii="宋体" w:hAnsi="宋体" w:eastAsia="宋体" w:cs="宋体"/>
          <w:b/>
          <w:bCs/>
          <w:color w:val="auto"/>
          <w:spacing w:val="0"/>
          <w:sz w:val="24"/>
        </w:rPr>
        <w:t>三、投标项目涉及到的现场勘察</w:t>
      </w:r>
    </w:p>
    <w:p w14:paraId="6E4DBD8B">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1、招标文件所提供的项目相关数据仅</w:t>
      </w:r>
      <w:r>
        <w:rPr>
          <w:rFonts w:hint="eastAsia" w:ascii="宋体" w:hAnsi="宋体" w:cs="宋体"/>
          <w:color w:val="auto"/>
          <w:spacing w:val="0"/>
          <w:sz w:val="24"/>
          <w:lang w:eastAsia="zh-CN"/>
        </w:rPr>
        <w:t>作</w:t>
      </w:r>
      <w:r>
        <w:rPr>
          <w:rFonts w:hint="eastAsia" w:ascii="宋体" w:hAnsi="宋体" w:eastAsia="宋体" w:cs="宋体"/>
          <w:color w:val="auto"/>
          <w:spacing w:val="0"/>
          <w:sz w:val="24"/>
        </w:rPr>
        <w:t>参考，根据自身需要，投标人可在投标文件递交之日前自行对有关现场和周围环境进行勘察，以获取编制投标文件所需的信息。</w:t>
      </w:r>
      <w:r>
        <w:rPr>
          <w:rFonts w:hint="eastAsia" w:ascii="宋体" w:hAnsi="宋体" w:cs="宋体"/>
          <w:color w:val="auto"/>
          <w:spacing w:val="0"/>
          <w:sz w:val="24"/>
          <w:lang w:eastAsia="zh-CN"/>
        </w:rPr>
        <w:t>勘查现场</w:t>
      </w:r>
      <w:r>
        <w:rPr>
          <w:rFonts w:hint="eastAsia" w:ascii="宋体" w:hAnsi="宋体" w:eastAsia="宋体" w:cs="宋体"/>
          <w:color w:val="auto"/>
          <w:spacing w:val="0"/>
          <w:sz w:val="24"/>
        </w:rPr>
        <w:t>如有费用产生，由投标人自行承担。</w:t>
      </w:r>
    </w:p>
    <w:p w14:paraId="584BC4C4">
      <w:pPr>
        <w:adjustRightInd w:val="0"/>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2、招标单位向投标人提供的有关现场的资料和数据，是招标单位现有的并认为能使投标人可利用的资料。招标单位对投标人由此而做出的推论、理解和结论概不负责。</w:t>
      </w:r>
    </w:p>
    <w:p w14:paraId="08FEAD49">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3、经招标单位允许，投标人可为勘察目的进入招标单位的项目现场，但投标人不得因此使招标单位承担有关的责任和蒙受损失。投标人须承担</w:t>
      </w:r>
      <w:r>
        <w:rPr>
          <w:rFonts w:hint="eastAsia" w:ascii="宋体" w:hAnsi="宋体" w:cs="宋体"/>
          <w:color w:val="auto"/>
          <w:spacing w:val="0"/>
          <w:sz w:val="24"/>
          <w:lang w:eastAsia="zh-CN"/>
        </w:rPr>
        <w:t>勘查现场</w:t>
      </w:r>
      <w:r>
        <w:rPr>
          <w:rFonts w:hint="eastAsia" w:ascii="宋体" w:hAnsi="宋体" w:eastAsia="宋体" w:cs="宋体"/>
          <w:color w:val="auto"/>
          <w:spacing w:val="0"/>
          <w:sz w:val="24"/>
        </w:rPr>
        <w:t>而带来的一切责任及风险。</w:t>
      </w:r>
    </w:p>
    <w:p w14:paraId="0C21C42C">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4、投标人应认真踏勘现场。在现场勘察时，熟悉服务现场、现场周围交通道路等情况，以获得一切可能影响其投标的直接资料。投标人中标后，不得以不完全了解现场情况为理由而向招标单位提出任何索赔的要求，对此招标人不承担任何责任，且不</w:t>
      </w:r>
      <w:r>
        <w:rPr>
          <w:rFonts w:hint="eastAsia" w:ascii="宋体" w:hAnsi="宋体" w:cs="宋体"/>
          <w:color w:val="auto"/>
          <w:spacing w:val="0"/>
          <w:sz w:val="24"/>
          <w:lang w:eastAsia="zh-CN"/>
        </w:rPr>
        <w:t>做</w:t>
      </w:r>
      <w:r>
        <w:rPr>
          <w:rFonts w:hint="eastAsia" w:ascii="宋体" w:hAnsi="宋体" w:eastAsia="宋体" w:cs="宋体"/>
          <w:color w:val="auto"/>
          <w:spacing w:val="0"/>
          <w:sz w:val="24"/>
        </w:rPr>
        <w:t>任何答复。</w:t>
      </w:r>
    </w:p>
    <w:p w14:paraId="29E69248">
      <w:pPr>
        <w:pStyle w:val="5"/>
        <w:snapToGrid w:val="0"/>
        <w:spacing w:after="0"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5、</w:t>
      </w:r>
      <w:r>
        <w:rPr>
          <w:rFonts w:hint="eastAsia" w:ascii="宋体" w:hAnsi="宋体" w:eastAsia="宋体" w:cs="宋体"/>
          <w:b/>
          <w:color w:val="auto"/>
          <w:sz w:val="24"/>
          <w:highlight w:val="none"/>
          <w:lang w:val="en-US" w:eastAsia="zh-CN"/>
        </w:rPr>
        <w:t>投标人在获取到招标文件后，须自行踏勘现场，踏勘前务必先与招标人联系人提前联系，踏勘联系人:梁工，联系电话:17715031886，踏勘完成后须携带《现场踏勘确认函》（详见格式）及本人身份证联系踏勘联系人，由踏勘联系人在《现场踏勘确认函》上签字确认，投标人须将签字后的《现场踏勘确认函》原件放至投标文件资格审查文件正本中。</w:t>
      </w:r>
    </w:p>
    <w:p w14:paraId="0CE6C1C6">
      <w:pPr>
        <w:snapToGrid w:val="0"/>
        <w:spacing w:line="360" w:lineRule="auto"/>
        <w:ind w:firstLine="482" w:firstLineChars="200"/>
        <w:outlineLvl w:val="1"/>
        <w:rPr>
          <w:rFonts w:hint="eastAsia" w:ascii="宋体" w:hAnsi="宋体" w:eastAsia="宋体" w:cs="宋体"/>
          <w:b/>
          <w:color w:val="auto"/>
          <w:spacing w:val="0"/>
          <w:sz w:val="24"/>
        </w:rPr>
      </w:pPr>
      <w:r>
        <w:rPr>
          <w:rFonts w:hint="eastAsia" w:ascii="宋体" w:hAnsi="宋体" w:eastAsia="宋体" w:cs="宋体"/>
          <w:b/>
          <w:color w:val="auto"/>
          <w:spacing w:val="0"/>
          <w:sz w:val="24"/>
        </w:rPr>
        <w:t>四、投标文件的组成及装订</w:t>
      </w:r>
    </w:p>
    <w:p w14:paraId="4BFF43DF">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1、投标文件由：⑴资格审查文件、⑵技术标、⑶商务标共三部分组成。</w:t>
      </w:r>
    </w:p>
    <w:p w14:paraId="4040CD3B">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2、投标人按招标文件要求编写投标文件，并牢固装订成册。投标文件均需采用A4纸（图纸等除外），不允许使用活页夹、拉杆夹、文件夹、塑料方便式书脊（插入式或穿孔式）装订。投标文件不得行间插字、涂改、增删，如修改错漏处，须经签署投标文件的投标人法定代表人或其委托的代理人（以下称被授权人）签字（或盖章）并加盖公章。</w:t>
      </w:r>
    </w:p>
    <w:p w14:paraId="7EB713BC">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3、投标文件的 “资格审查文件”、“技术标”、“商务标”各自装订成册。特别提示：“商务标”必须单独装订和封装，不得出现在“资格审查文件”和“技术标”之中。</w:t>
      </w:r>
    </w:p>
    <w:p w14:paraId="7F13ECB1">
      <w:pPr>
        <w:snapToGrid w:val="0"/>
        <w:spacing w:line="360" w:lineRule="auto"/>
        <w:ind w:firstLine="482" w:firstLineChars="200"/>
        <w:outlineLvl w:val="1"/>
        <w:rPr>
          <w:rFonts w:hint="eastAsia" w:ascii="宋体" w:hAnsi="宋体" w:eastAsia="宋体" w:cs="宋体"/>
          <w:b/>
          <w:color w:val="auto"/>
          <w:spacing w:val="0"/>
          <w:sz w:val="24"/>
        </w:rPr>
      </w:pPr>
      <w:r>
        <w:rPr>
          <w:rFonts w:hint="eastAsia" w:ascii="宋体" w:hAnsi="宋体" w:eastAsia="宋体" w:cs="宋体"/>
          <w:b/>
          <w:color w:val="auto"/>
          <w:spacing w:val="0"/>
          <w:sz w:val="24"/>
        </w:rPr>
        <w:t>五、投标文件的份数、签署</w:t>
      </w:r>
    </w:p>
    <w:p w14:paraId="4065B32D">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1、投标人应准备</w:t>
      </w:r>
      <w:r>
        <w:rPr>
          <w:rFonts w:hint="eastAsia" w:ascii="宋体" w:hAnsi="宋体" w:eastAsia="宋体" w:cs="宋体"/>
          <w:b/>
          <w:bCs/>
          <w:color w:val="auto"/>
          <w:spacing w:val="0"/>
          <w:sz w:val="24"/>
          <w:u w:val="single"/>
        </w:rPr>
        <w:t>伍份</w:t>
      </w:r>
      <w:r>
        <w:rPr>
          <w:rFonts w:hint="eastAsia" w:ascii="宋体" w:hAnsi="宋体" w:eastAsia="宋体" w:cs="宋体"/>
          <w:color w:val="auto"/>
          <w:spacing w:val="0"/>
          <w:sz w:val="24"/>
        </w:rPr>
        <w:t>完整的投标文件，其中正本</w:t>
      </w:r>
      <w:r>
        <w:rPr>
          <w:rFonts w:hint="eastAsia" w:ascii="宋体" w:hAnsi="宋体" w:eastAsia="宋体" w:cs="宋体"/>
          <w:color w:val="auto"/>
          <w:spacing w:val="0"/>
          <w:sz w:val="24"/>
          <w:u w:val="single"/>
        </w:rPr>
        <w:t xml:space="preserve"> </w:t>
      </w:r>
      <w:r>
        <w:rPr>
          <w:rFonts w:hint="eastAsia" w:ascii="宋体" w:hAnsi="宋体" w:eastAsia="宋体" w:cs="宋体"/>
          <w:b/>
          <w:bCs/>
          <w:color w:val="auto"/>
          <w:spacing w:val="0"/>
          <w:sz w:val="24"/>
          <w:u w:val="single"/>
        </w:rPr>
        <w:t>壹</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份，副本</w:t>
      </w:r>
      <w:r>
        <w:rPr>
          <w:rFonts w:hint="eastAsia" w:ascii="宋体" w:hAnsi="宋体" w:eastAsia="宋体" w:cs="宋体"/>
          <w:color w:val="auto"/>
          <w:spacing w:val="0"/>
          <w:sz w:val="24"/>
          <w:u w:val="single"/>
        </w:rPr>
        <w:t xml:space="preserve"> </w:t>
      </w:r>
      <w:r>
        <w:rPr>
          <w:rFonts w:hint="eastAsia" w:ascii="宋体" w:hAnsi="宋体" w:eastAsia="宋体" w:cs="宋体"/>
          <w:b/>
          <w:bCs/>
          <w:color w:val="auto"/>
          <w:spacing w:val="0"/>
          <w:sz w:val="24"/>
          <w:u w:val="single"/>
        </w:rPr>
        <w:t>肆</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份，并标明“正本”或“副本”字样，若有差异，概以“正本”为准。</w:t>
      </w:r>
    </w:p>
    <w:p w14:paraId="1A7F22CD">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2、投标文件分三册密封。第一册为“资格审查文件”，第二册为“技术标”，第三册为“商务标”，投标文件的第一册、第二册、第三册应分别密封，并在封袋上标明“资格审查文件”、“技术标”、“商务标”。</w:t>
      </w:r>
    </w:p>
    <w:p w14:paraId="38B6D530">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3、投标人可将投标文件正副本统一密封或分别密封，如正本和副本分别密封的，应在封袋上标明正、副本字样。</w:t>
      </w:r>
    </w:p>
    <w:p w14:paraId="080B8368">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4、投标文件正本须按招标文件要求由法定代表人或被授权人签字或盖章并加盖投标人印章。副本可复印，但须加盖投标人印章。  </w:t>
      </w:r>
    </w:p>
    <w:p w14:paraId="5AC1ABFA">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5、开标程序顺利进行后，所有投标文件都将作为档案保存，不论中标与否，代理机构均不退回（未拆封的除外）。</w:t>
      </w:r>
    </w:p>
    <w:p w14:paraId="669BBE1E">
      <w:pPr>
        <w:snapToGrid w:val="0"/>
        <w:spacing w:line="360" w:lineRule="auto"/>
        <w:ind w:firstLine="482" w:firstLineChars="200"/>
        <w:outlineLvl w:val="1"/>
        <w:rPr>
          <w:rFonts w:hint="eastAsia" w:ascii="宋体" w:hAnsi="宋体" w:eastAsia="宋体" w:cs="宋体"/>
          <w:b/>
          <w:bCs/>
          <w:color w:val="auto"/>
          <w:spacing w:val="0"/>
          <w:sz w:val="24"/>
        </w:rPr>
      </w:pPr>
      <w:r>
        <w:rPr>
          <w:rFonts w:hint="eastAsia" w:ascii="宋体" w:hAnsi="宋体" w:eastAsia="宋体" w:cs="宋体"/>
          <w:b/>
          <w:bCs/>
          <w:color w:val="auto"/>
          <w:spacing w:val="0"/>
          <w:sz w:val="24"/>
        </w:rPr>
        <w:t>六、投标响应文件的密封及标记</w:t>
      </w:r>
    </w:p>
    <w:p w14:paraId="4299D8F8">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密封后，应在每一密封包的投标文件上明确标注投标项目名称、项目编号（如有、下同）、投标文件各自对应的名称、投标人全称及日期，同时加盖投标人公章。</w:t>
      </w:r>
    </w:p>
    <w:p w14:paraId="646E015E">
      <w:pPr>
        <w:snapToGrid w:val="0"/>
        <w:spacing w:line="360" w:lineRule="auto"/>
        <w:ind w:firstLine="482" w:firstLineChars="200"/>
        <w:outlineLvl w:val="1"/>
        <w:rPr>
          <w:rFonts w:hint="eastAsia" w:ascii="宋体" w:hAnsi="宋体" w:eastAsia="宋体" w:cs="宋体"/>
          <w:b/>
          <w:bCs/>
          <w:color w:val="auto"/>
          <w:spacing w:val="0"/>
          <w:sz w:val="24"/>
        </w:rPr>
      </w:pPr>
      <w:r>
        <w:rPr>
          <w:rFonts w:hint="eastAsia" w:ascii="宋体" w:hAnsi="宋体" w:eastAsia="宋体" w:cs="宋体"/>
          <w:b/>
          <w:bCs/>
          <w:color w:val="auto"/>
          <w:spacing w:val="0"/>
          <w:sz w:val="24"/>
        </w:rPr>
        <w:t>七、投标文件的有效期</w:t>
      </w:r>
    </w:p>
    <w:p w14:paraId="647B6592">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1、从投标文件接收截止之日算起，45个“日历天”内投标书应保持有效。有效期短于这个规定期限的，投标将被拒绝。</w:t>
      </w:r>
    </w:p>
    <w:p w14:paraId="2985D24C">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2、在特殊情况下，招标代理机构可与投标人协商延长投标书的有效期。这种要求和答复都应以书面、传真</w:t>
      </w:r>
      <w:r>
        <w:rPr>
          <w:rFonts w:hint="eastAsia" w:ascii="宋体" w:hAnsi="宋体" w:cs="宋体"/>
          <w:color w:val="auto"/>
          <w:spacing w:val="0"/>
          <w:sz w:val="24"/>
          <w:lang w:eastAsia="zh-CN"/>
        </w:rPr>
        <w:t>或</w:t>
      </w:r>
      <w:r>
        <w:rPr>
          <w:rFonts w:hint="eastAsia" w:ascii="宋体" w:hAnsi="宋体" w:eastAsia="宋体" w:cs="宋体"/>
          <w:color w:val="auto"/>
          <w:spacing w:val="0"/>
          <w:sz w:val="24"/>
        </w:rPr>
        <w:t>电报的形式进行。同意延长有效期的投标人不能修改投标文件，按本招标文件规定的投标保证金的有效期也相应延长。拒绝接受延期要求的投标人的投标书将被拒绝。</w:t>
      </w:r>
    </w:p>
    <w:p w14:paraId="53CE2E26">
      <w:pPr>
        <w:snapToGrid w:val="0"/>
        <w:spacing w:line="360" w:lineRule="auto"/>
        <w:ind w:firstLine="482" w:firstLineChars="200"/>
        <w:outlineLvl w:val="1"/>
        <w:rPr>
          <w:rFonts w:hint="eastAsia" w:ascii="宋体" w:hAnsi="宋体" w:eastAsia="宋体" w:cs="宋体"/>
          <w:b/>
          <w:bCs/>
          <w:color w:val="auto"/>
          <w:spacing w:val="0"/>
          <w:sz w:val="24"/>
        </w:rPr>
      </w:pPr>
      <w:r>
        <w:rPr>
          <w:rFonts w:hint="eastAsia" w:ascii="宋体" w:hAnsi="宋体" w:eastAsia="宋体" w:cs="宋体"/>
          <w:b/>
          <w:bCs/>
          <w:color w:val="auto"/>
          <w:spacing w:val="0"/>
          <w:sz w:val="24"/>
        </w:rPr>
        <w:t>八、投标报价</w:t>
      </w:r>
      <w:r>
        <w:rPr>
          <w:rFonts w:hint="eastAsia" w:ascii="宋体" w:hAnsi="宋体" w:eastAsia="宋体" w:cs="宋体"/>
          <w:b/>
          <w:bCs/>
          <w:color w:val="auto"/>
          <w:spacing w:val="0"/>
          <w:sz w:val="24"/>
        </w:rPr>
        <w:tab/>
      </w:r>
    </w:p>
    <w:p w14:paraId="1399A4A0">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1、本项目不接受任何有选择的报价。</w:t>
      </w:r>
    </w:p>
    <w:p w14:paraId="4137D5D1">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2、投标报价均以人民币为报价的币种。</w:t>
      </w:r>
    </w:p>
    <w:p w14:paraId="2806F37A">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3、报价表必须加盖投标人公章且必须经法定代表人或被授权人签字或盖章。</w:t>
      </w:r>
    </w:p>
    <w:p w14:paraId="514FE1E5">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4、报价出现前后不一致的，按照下列规定修正：</w:t>
      </w:r>
    </w:p>
    <w:p w14:paraId="6DA32B68">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（1）投标文件中报价总表内容与投标文件技术响应中内容明细不一致的，以报价总表为准；</w:t>
      </w:r>
    </w:p>
    <w:p w14:paraId="5A68FB3F">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（2）投标文件中涉及大写金额和小写金额不一致的，以大写金额为准；</w:t>
      </w:r>
    </w:p>
    <w:p w14:paraId="7A5499F8">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（3）单价金额小数点或者百分比有明显错位的，以报价总表的总价为准，并修改单价；</w:t>
      </w:r>
    </w:p>
    <w:p w14:paraId="68943AC3">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（4）总价金额与按单价汇总金额不一致的，以单价金额计算结果为准。</w:t>
      </w:r>
    </w:p>
    <w:p w14:paraId="39489936">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同时出现两种以上不一致的，按照前款规定的顺序修正。修正后的报价应当由投标人的法定代表人或其被授权人签字确认后产生约束力，投标人不确认的，其投标无效。</w:t>
      </w:r>
    </w:p>
    <w:p w14:paraId="69922530">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5、投标总价报价（以人民币计价）包括但不限于以下内容：本次招标范围内全部工作内容所需所有费用，包括但不限于所有员工的基本工资、奖金</w:t>
      </w:r>
      <w:r>
        <w:rPr>
          <w:rFonts w:hint="eastAsia" w:ascii="宋体" w:hAnsi="宋体" w:cs="宋体"/>
          <w:color w:val="auto"/>
          <w:spacing w:val="0"/>
          <w:sz w:val="24"/>
          <w:lang w:eastAsia="zh-CN"/>
        </w:rPr>
        <w:t>及其他</w:t>
      </w:r>
      <w:r>
        <w:rPr>
          <w:rFonts w:hint="eastAsia" w:ascii="宋体" w:hAnsi="宋体" w:eastAsia="宋体" w:cs="宋体"/>
          <w:color w:val="auto"/>
          <w:spacing w:val="0"/>
          <w:sz w:val="24"/>
        </w:rPr>
        <w:t>福利、国家规定的相关保险（须包含但不限于雇主责任险和意外险）、交通费、体检费、招聘及培训费用、行政、报告</w:t>
      </w:r>
      <w:r>
        <w:rPr>
          <w:rFonts w:hint="eastAsia" w:ascii="宋体" w:hAnsi="宋体" w:cs="宋体"/>
          <w:color w:val="auto"/>
          <w:spacing w:val="0"/>
          <w:sz w:val="24"/>
          <w:lang w:eastAsia="zh-CN"/>
        </w:rPr>
        <w:t>及其他</w:t>
      </w:r>
      <w:r>
        <w:rPr>
          <w:rFonts w:hint="eastAsia" w:ascii="宋体" w:hAnsi="宋体" w:eastAsia="宋体" w:cs="宋体"/>
          <w:color w:val="auto"/>
          <w:spacing w:val="0"/>
          <w:sz w:val="24"/>
        </w:rPr>
        <w:t>后勤费用、营业税、管理费及利润、办公费、行政费、节假日加班费、培训费、餐费、税金等各项费用，即招标物服务周期结束前的所有费用且包含响应</w:t>
      </w:r>
      <w:r>
        <w:rPr>
          <w:rFonts w:hint="eastAsia" w:ascii="宋体" w:hAnsi="宋体" w:eastAsia="宋体" w:cs="宋体"/>
          <w:color w:val="auto"/>
          <w:spacing w:val="0"/>
          <w:sz w:val="24"/>
          <w:lang w:val="en-US" w:eastAsia="zh-CN"/>
        </w:rPr>
        <w:t>招标</w:t>
      </w:r>
      <w:r>
        <w:rPr>
          <w:rFonts w:hint="eastAsia" w:ascii="宋体" w:hAnsi="宋体" w:eastAsia="宋体" w:cs="宋体"/>
          <w:color w:val="auto"/>
          <w:spacing w:val="0"/>
          <w:sz w:val="24"/>
        </w:rPr>
        <w:t>文件</w:t>
      </w:r>
      <w:r>
        <w:rPr>
          <w:rFonts w:hint="eastAsia" w:ascii="宋体" w:hAnsi="宋体" w:eastAsia="宋体" w:cs="宋体"/>
          <w:color w:val="auto"/>
          <w:spacing w:val="0"/>
          <w:sz w:val="24"/>
          <w:lang w:val="en-US" w:eastAsia="zh-CN"/>
        </w:rPr>
        <w:t>项目</w:t>
      </w:r>
      <w:r>
        <w:rPr>
          <w:rFonts w:hint="eastAsia" w:ascii="宋体" w:hAnsi="宋体" w:eastAsia="宋体" w:cs="宋体"/>
          <w:color w:val="auto"/>
          <w:spacing w:val="0"/>
          <w:sz w:val="24"/>
        </w:rPr>
        <w:t>要求的所有费用。各投标人应根据招标文件要求，并充分考虑市场，自行核算成本报价。</w:t>
      </w:r>
    </w:p>
    <w:p w14:paraId="7F0C3017">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6</w:t>
      </w:r>
      <w:r>
        <w:rPr>
          <w:rFonts w:hint="eastAsia" w:ascii="宋体" w:hAnsi="宋体" w:eastAsia="宋体" w:cs="宋体"/>
          <w:color w:val="auto"/>
          <w:spacing w:val="0"/>
          <w:sz w:val="24"/>
        </w:rPr>
        <w:t>、除非因特殊原因并经买卖双方协商同意，中标的投标人（以下称中标人）不得再要求追加任何费用。同时，除非合同条款中另有规定，否则，中标人的中标单价在合同实施期间不因市场变化因素而变动。</w:t>
      </w:r>
    </w:p>
    <w:p w14:paraId="3A49BBC1">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7</w:t>
      </w:r>
      <w:r>
        <w:rPr>
          <w:rFonts w:hint="eastAsia" w:ascii="宋体" w:hAnsi="宋体" w:eastAsia="宋体" w:cs="宋体"/>
          <w:color w:val="auto"/>
          <w:spacing w:val="0"/>
          <w:sz w:val="24"/>
        </w:rPr>
        <w:t>、投标人应详细阅读招标文件的全部内容，准确制定相关工作方案等，必须对本项目全部进行报价，如有漏项，视同对本项目的优惠。不按招标文件的要求提供投标文件，导致报价无效，按无效标处理。</w:t>
      </w:r>
    </w:p>
    <w:p w14:paraId="2BEEEB4D">
      <w:pPr>
        <w:snapToGrid w:val="0"/>
        <w:spacing w:line="360" w:lineRule="auto"/>
        <w:ind w:firstLine="482" w:firstLineChars="200"/>
        <w:outlineLvl w:val="1"/>
        <w:rPr>
          <w:rFonts w:hint="eastAsia" w:ascii="宋体" w:hAnsi="宋体" w:eastAsia="宋体" w:cs="宋体"/>
          <w:b/>
          <w:bCs/>
          <w:color w:val="auto"/>
          <w:spacing w:val="0"/>
          <w:sz w:val="24"/>
          <w:lang w:val="zh-CN"/>
        </w:rPr>
      </w:pPr>
      <w:r>
        <w:rPr>
          <w:rFonts w:hint="eastAsia" w:ascii="宋体" w:hAnsi="宋体" w:eastAsia="宋体" w:cs="宋体"/>
          <w:b/>
          <w:bCs/>
          <w:color w:val="auto"/>
          <w:spacing w:val="0"/>
          <w:sz w:val="24"/>
          <w:lang w:val="zh-CN"/>
        </w:rPr>
        <w:t>九、</w:t>
      </w:r>
      <w:r>
        <w:rPr>
          <w:rFonts w:hint="eastAsia" w:ascii="宋体" w:hAnsi="宋体" w:eastAsia="宋体" w:cs="宋体"/>
          <w:b/>
          <w:bCs/>
          <w:color w:val="auto"/>
          <w:spacing w:val="0"/>
          <w:sz w:val="24"/>
        </w:rPr>
        <w:t>投标保证金</w:t>
      </w:r>
    </w:p>
    <w:p w14:paraId="08B5E60F">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1、本项目投标保证金为：</w:t>
      </w:r>
      <w:r>
        <w:rPr>
          <w:rFonts w:hint="eastAsia" w:ascii="宋体" w:hAnsi="宋体" w:eastAsia="宋体" w:cs="宋体"/>
          <w:b/>
          <w:bCs/>
          <w:color w:val="auto"/>
          <w:spacing w:val="0"/>
          <w:sz w:val="24"/>
        </w:rPr>
        <w:t>人民币</w:t>
      </w:r>
      <w:r>
        <w:rPr>
          <w:rFonts w:hint="eastAsia" w:ascii="宋体" w:hAnsi="宋体" w:eastAsia="宋体" w:cs="宋体"/>
          <w:b/>
          <w:bCs/>
          <w:color w:val="auto"/>
          <w:spacing w:val="0"/>
          <w:sz w:val="24"/>
          <w:lang w:val="en-US" w:eastAsia="zh-CN"/>
        </w:rPr>
        <w:t>肆</w:t>
      </w:r>
      <w:r>
        <w:rPr>
          <w:rFonts w:hint="eastAsia" w:ascii="宋体" w:hAnsi="宋体" w:eastAsia="宋体" w:cs="宋体"/>
          <w:b/>
          <w:bCs/>
          <w:color w:val="auto"/>
          <w:spacing w:val="0"/>
          <w:sz w:val="24"/>
        </w:rPr>
        <w:t>仟元整（¥</w:t>
      </w:r>
      <w:r>
        <w:rPr>
          <w:rFonts w:hint="eastAsia" w:ascii="宋体" w:hAnsi="宋体" w:eastAsia="宋体" w:cs="宋体"/>
          <w:b/>
          <w:bCs/>
          <w:color w:val="auto"/>
          <w:spacing w:val="0"/>
          <w:sz w:val="24"/>
          <w:lang w:val="en-US" w:eastAsia="zh-CN"/>
        </w:rPr>
        <w:t>4</w:t>
      </w:r>
      <w:r>
        <w:rPr>
          <w:rFonts w:hint="eastAsia" w:ascii="宋体" w:hAnsi="宋体" w:eastAsia="宋体" w:cs="宋体"/>
          <w:b/>
          <w:bCs/>
          <w:color w:val="auto"/>
          <w:spacing w:val="0"/>
          <w:sz w:val="24"/>
        </w:rPr>
        <w:t>000.00元）</w:t>
      </w:r>
      <w:r>
        <w:rPr>
          <w:rFonts w:hint="eastAsia" w:ascii="宋体" w:hAnsi="宋体" w:eastAsia="宋体" w:cs="宋体"/>
          <w:color w:val="auto"/>
          <w:spacing w:val="0"/>
          <w:sz w:val="24"/>
        </w:rPr>
        <w:t>；</w:t>
      </w:r>
    </w:p>
    <w:p w14:paraId="51880F28">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2、投标保证金的缴纳形式：现金及非现金方式。</w:t>
      </w:r>
    </w:p>
    <w:p w14:paraId="68EBBBB6">
      <w:pPr>
        <w:snapToGrid w:val="0"/>
        <w:spacing w:line="360" w:lineRule="auto"/>
        <w:ind w:firstLine="482" w:firstLineChars="200"/>
        <w:contextualSpacing/>
        <w:rPr>
          <w:rFonts w:hint="eastAsia" w:ascii="宋体" w:hAnsi="宋体" w:eastAsia="宋体" w:cs="宋体"/>
          <w:color w:val="auto"/>
          <w:spacing w:val="0"/>
          <w:sz w:val="24"/>
        </w:rPr>
      </w:pPr>
      <w:r>
        <w:rPr>
          <w:rFonts w:hint="eastAsia" w:ascii="宋体" w:hAnsi="宋体" w:eastAsia="宋体" w:cs="宋体"/>
          <w:b/>
          <w:bCs/>
          <w:color w:val="auto"/>
          <w:spacing w:val="0"/>
          <w:sz w:val="24"/>
        </w:rPr>
        <w:t>现金方式包含：现金、银行汇票；非现金方式包含：保函、保险。</w:t>
      </w:r>
      <w:r>
        <w:rPr>
          <w:rFonts w:hint="eastAsia" w:ascii="宋体" w:hAnsi="宋体" w:eastAsia="宋体" w:cs="宋体"/>
          <w:color w:val="auto"/>
          <w:spacing w:val="0"/>
          <w:sz w:val="24"/>
        </w:rPr>
        <w:t>各投标人根据企业实际情况合理选择投标保证金的缴纳形式，各类缴纳形式具有同等法律效力。投标保证金必须由企业法人基本存款账户汇出</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投标保证金的缴纳凭证须在递交投标文件时交给代理机构。</w:t>
      </w:r>
    </w:p>
    <w:p w14:paraId="5F471F8A">
      <w:pPr>
        <w:snapToGrid w:val="0"/>
        <w:spacing w:line="440" w:lineRule="exact"/>
        <w:ind w:firstLine="496" w:firstLineChars="206"/>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特别提醒：</w:t>
      </w:r>
    </w:p>
    <w:p w14:paraId="21B3E629">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①如采用现金形式缴纳的，须单独密封。在开标时和投标文件同时递交，请勿和投标文件密封。</w:t>
      </w:r>
    </w:p>
    <w:p w14:paraId="3FE52DF5">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②如采用银行汇票形式缴纳的，</w:t>
      </w:r>
      <w:r>
        <w:rPr>
          <w:rFonts w:hint="eastAsia" w:ascii="宋体" w:hAnsi="宋体" w:eastAsia="宋体" w:cs="宋体"/>
          <w:b/>
          <w:bCs/>
          <w:color w:val="auto"/>
          <w:kern w:val="0"/>
          <w:sz w:val="24"/>
          <w:szCs w:val="24"/>
          <w:highlight w:val="none"/>
        </w:rPr>
        <w:t>投标人必须按照规定于投标文件提交截止时间前将投标保证金汇票</w:t>
      </w:r>
      <w:r>
        <w:rPr>
          <w:rFonts w:hint="eastAsia" w:ascii="宋体" w:hAnsi="宋体" w:eastAsia="宋体" w:cs="宋体"/>
          <w:b/>
          <w:bCs/>
          <w:color w:val="auto"/>
          <w:kern w:val="0"/>
          <w:sz w:val="24"/>
          <w:szCs w:val="24"/>
          <w:highlight w:val="none"/>
          <w:lang w:val="en-US" w:eastAsia="zh-CN"/>
        </w:rPr>
        <w:t>原件</w:t>
      </w:r>
      <w:r>
        <w:rPr>
          <w:rFonts w:hint="eastAsia" w:ascii="宋体" w:hAnsi="宋体" w:eastAsia="宋体" w:cs="宋体"/>
          <w:b/>
          <w:bCs/>
          <w:color w:val="auto"/>
          <w:kern w:val="0"/>
          <w:sz w:val="24"/>
          <w:szCs w:val="24"/>
          <w:highlight w:val="none"/>
        </w:rPr>
        <w:t>递交给招标代理查验</w:t>
      </w:r>
      <w:r>
        <w:rPr>
          <w:rFonts w:hint="eastAsia" w:ascii="宋体" w:hAnsi="宋体" w:eastAsia="宋体" w:cs="宋体"/>
          <w:b/>
          <w:bCs/>
          <w:color w:val="auto"/>
          <w:kern w:val="0"/>
          <w:sz w:val="24"/>
          <w:szCs w:val="24"/>
          <w:highlight w:val="none"/>
          <w:lang w:eastAsia="zh-CN"/>
        </w:rPr>
        <w:t>（无须密封）</w:t>
      </w:r>
      <w:r>
        <w:rPr>
          <w:rFonts w:hint="eastAsia" w:ascii="宋体" w:hAnsi="宋体" w:eastAsia="宋体" w:cs="宋体"/>
          <w:b/>
          <w:bCs/>
          <w:color w:val="auto"/>
          <w:kern w:val="0"/>
          <w:sz w:val="24"/>
          <w:szCs w:val="24"/>
          <w:highlight w:val="none"/>
        </w:rPr>
        <w:t>；投标保证金（银行汇票形式）上必须注明收款人：</w:t>
      </w:r>
      <w:r>
        <w:rPr>
          <w:rFonts w:hint="eastAsia" w:ascii="宋体" w:hAnsi="宋体" w:eastAsia="宋体" w:cs="宋体"/>
          <w:b/>
          <w:bCs/>
          <w:color w:val="0000FF"/>
          <w:kern w:val="0"/>
          <w:sz w:val="24"/>
          <w:szCs w:val="24"/>
          <w:highlight w:val="none"/>
          <w:u w:val="single"/>
          <w:lang w:val="en-US"/>
        </w:rPr>
        <w:t>江苏海审工程咨询有限公司第二分公司</w:t>
      </w:r>
      <w:r>
        <w:rPr>
          <w:rFonts w:hint="eastAsia" w:ascii="宋体" w:hAnsi="宋体" w:eastAsia="宋体" w:cs="宋体"/>
          <w:b/>
          <w:bCs/>
          <w:color w:val="0000FF"/>
          <w:kern w:val="0"/>
          <w:sz w:val="24"/>
          <w:szCs w:val="24"/>
          <w:highlight w:val="none"/>
          <w:u w:val="single"/>
          <w:lang w:val="en-US" w:eastAsia="zh-CN"/>
        </w:rPr>
        <w:t xml:space="preserve"> </w:t>
      </w:r>
      <w:r>
        <w:rPr>
          <w:rFonts w:hint="eastAsia" w:ascii="宋体" w:hAnsi="宋体" w:eastAsia="宋体" w:cs="宋体"/>
          <w:b/>
          <w:bCs/>
          <w:color w:val="0000FF"/>
          <w:kern w:val="0"/>
          <w:sz w:val="24"/>
          <w:szCs w:val="24"/>
          <w:highlight w:val="none"/>
        </w:rPr>
        <w:t>，用途：</w:t>
      </w:r>
      <w:r>
        <w:rPr>
          <w:rFonts w:hint="eastAsia" w:ascii="宋体" w:hAnsi="宋体" w:eastAsia="宋体" w:cs="宋体"/>
          <w:b/>
          <w:bCs/>
          <w:color w:val="0000FF"/>
          <w:kern w:val="0"/>
          <w:sz w:val="24"/>
          <w:szCs w:val="24"/>
          <w:highlight w:val="none"/>
          <w:u w:val="single"/>
        </w:rPr>
        <w:t>投标保证金</w:t>
      </w:r>
      <w:r>
        <w:rPr>
          <w:rFonts w:hint="eastAsia" w:ascii="宋体" w:hAnsi="宋体" w:eastAsia="宋体" w:cs="宋体"/>
          <w:b/>
          <w:bCs/>
          <w:color w:val="0000FF"/>
          <w:kern w:val="0"/>
          <w:sz w:val="24"/>
          <w:szCs w:val="24"/>
          <w:highlight w:val="none"/>
        </w:rPr>
        <w:t>；汇款人：</w:t>
      </w:r>
      <w:r>
        <w:rPr>
          <w:rFonts w:hint="eastAsia" w:ascii="宋体" w:hAnsi="宋体" w:eastAsia="宋体" w:cs="宋体"/>
          <w:b/>
          <w:bCs/>
          <w:strike w:val="0"/>
          <w:dstrike w:val="0"/>
          <w:color w:val="0000FF"/>
          <w:kern w:val="0"/>
          <w:sz w:val="24"/>
          <w:szCs w:val="24"/>
          <w:highlight w:val="none"/>
          <w:u w:val="single"/>
        </w:rPr>
        <w:t>投标单位名称</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账户名</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u w:val="single"/>
          <w:lang w:val="en-US"/>
        </w:rPr>
        <w:t>江苏海审工程咨询有限公司第二分公司</w:t>
      </w:r>
      <w:r>
        <w:rPr>
          <w:rFonts w:hint="eastAsia" w:ascii="宋体" w:hAnsi="宋体" w:eastAsia="宋体" w:cs="宋体"/>
          <w:b/>
          <w:bCs/>
          <w:color w:val="0000FF"/>
          <w:kern w:val="0"/>
          <w:sz w:val="24"/>
          <w:szCs w:val="24"/>
          <w:highlight w:val="none"/>
        </w:rPr>
        <w:t>，开户行：</w:t>
      </w:r>
      <w:r>
        <w:rPr>
          <w:rFonts w:hint="eastAsia" w:ascii="宋体" w:hAnsi="宋体" w:eastAsia="宋体" w:cs="宋体"/>
          <w:b/>
          <w:bCs/>
          <w:color w:val="0000FF"/>
          <w:kern w:val="0"/>
          <w:sz w:val="24"/>
          <w:szCs w:val="24"/>
          <w:highlight w:val="none"/>
          <w:u w:val="single"/>
          <w:lang w:val="en-US"/>
        </w:rPr>
        <w:t>中国建设银行南通市城南支行</w:t>
      </w:r>
      <w:r>
        <w:rPr>
          <w:rFonts w:hint="eastAsia" w:ascii="宋体" w:hAnsi="宋体" w:eastAsia="宋体" w:cs="宋体"/>
          <w:b/>
          <w:bCs/>
          <w:color w:val="0000FF"/>
          <w:kern w:val="0"/>
          <w:sz w:val="24"/>
          <w:szCs w:val="24"/>
          <w:highlight w:val="none"/>
        </w:rPr>
        <w:t>，账号：</w:t>
      </w:r>
      <w:r>
        <w:rPr>
          <w:rFonts w:hint="eastAsia" w:ascii="宋体" w:hAnsi="宋体" w:eastAsia="宋体" w:cs="宋体"/>
          <w:b/>
          <w:bCs/>
          <w:color w:val="0000FF"/>
          <w:kern w:val="0"/>
          <w:sz w:val="24"/>
          <w:szCs w:val="24"/>
          <w:highlight w:val="none"/>
          <w:u w:val="single"/>
          <w:lang w:val="en-US"/>
        </w:rPr>
        <w:t>32050164243600000019</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auto"/>
          <w:kern w:val="0"/>
          <w:sz w:val="24"/>
          <w:szCs w:val="24"/>
          <w:highlight w:val="none"/>
        </w:rPr>
        <w:t>。中标单位的投标保证金有效期在投标截止日后</w:t>
      </w:r>
      <w:r>
        <w:rPr>
          <w:rFonts w:hint="eastAsia" w:ascii="宋体" w:hAnsi="宋体" w:eastAsia="宋体" w:cs="宋体"/>
          <w:b/>
          <w:bCs/>
          <w:color w:val="auto"/>
          <w:kern w:val="0"/>
          <w:sz w:val="24"/>
          <w:szCs w:val="24"/>
          <w:highlight w:val="none"/>
          <w:lang w:val="en-US" w:eastAsia="zh-CN"/>
        </w:rPr>
        <w:t>45</w:t>
      </w:r>
      <w:r>
        <w:rPr>
          <w:rFonts w:hint="eastAsia" w:ascii="宋体" w:hAnsi="宋体" w:eastAsia="宋体" w:cs="宋体"/>
          <w:b/>
          <w:bCs/>
          <w:color w:val="auto"/>
          <w:kern w:val="0"/>
          <w:sz w:val="24"/>
          <w:szCs w:val="24"/>
          <w:highlight w:val="none"/>
        </w:rPr>
        <w:t>天内有效</w:t>
      </w:r>
      <w:r>
        <w:rPr>
          <w:rFonts w:hint="eastAsia" w:ascii="宋体" w:hAnsi="宋体" w:eastAsia="宋体" w:cs="宋体"/>
          <w:b/>
          <w:bCs/>
          <w:color w:val="auto"/>
          <w:kern w:val="0"/>
          <w:sz w:val="24"/>
          <w:szCs w:val="24"/>
          <w:highlight w:val="none"/>
          <w:lang w:eastAsia="zh-CN"/>
        </w:rPr>
        <w:t>，在缴纳履约保证金前，如投标保证金已失效，中标单位应主动延续投标保证金的有效期，否则招标人有权在保证金失效后取消中标人的中标资格</w:t>
      </w:r>
      <w:r>
        <w:rPr>
          <w:rFonts w:hint="eastAsia" w:ascii="宋体" w:hAnsi="宋体" w:eastAsia="宋体" w:cs="宋体"/>
          <w:b/>
          <w:bCs/>
          <w:color w:val="auto"/>
          <w:kern w:val="0"/>
          <w:sz w:val="24"/>
          <w:szCs w:val="24"/>
          <w:highlight w:val="none"/>
        </w:rPr>
        <w:t>；</w:t>
      </w:r>
    </w:p>
    <w:p w14:paraId="7517E770">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③如采用</w:t>
      </w:r>
      <w:r>
        <w:rPr>
          <w:rFonts w:hint="eastAsia" w:ascii="宋体" w:hAnsi="宋体" w:eastAsia="宋体" w:cs="宋体"/>
          <w:b/>
          <w:bCs/>
          <w:color w:val="auto"/>
          <w:kern w:val="0"/>
          <w:sz w:val="24"/>
          <w:szCs w:val="24"/>
          <w:highlight w:val="none"/>
        </w:rPr>
        <w:t>保函或保险形式</w:t>
      </w:r>
      <w:r>
        <w:rPr>
          <w:rFonts w:hint="eastAsia" w:ascii="宋体" w:hAnsi="宋体" w:eastAsia="宋体" w:cs="宋体"/>
          <w:b/>
          <w:bCs/>
          <w:color w:val="auto"/>
          <w:kern w:val="0"/>
          <w:sz w:val="24"/>
          <w:szCs w:val="24"/>
          <w:highlight w:val="none"/>
          <w:lang w:val="en-US" w:eastAsia="zh-CN"/>
        </w:rPr>
        <w:t>递交的，</w:t>
      </w:r>
      <w:r>
        <w:rPr>
          <w:rFonts w:hint="eastAsia" w:ascii="宋体" w:hAnsi="宋体" w:eastAsia="宋体" w:cs="宋体"/>
          <w:b/>
          <w:bCs/>
          <w:color w:val="auto"/>
          <w:kern w:val="0"/>
          <w:sz w:val="24"/>
          <w:szCs w:val="24"/>
          <w:highlight w:val="none"/>
        </w:rPr>
        <w:t>开具对象应为</w:t>
      </w:r>
      <w:r>
        <w:rPr>
          <w:rFonts w:hint="eastAsia" w:ascii="宋体" w:hAnsi="宋体" w:eastAsia="宋体" w:cs="宋体"/>
          <w:b/>
          <w:bCs/>
          <w:color w:val="0000FF"/>
          <w:kern w:val="0"/>
          <w:sz w:val="24"/>
          <w:szCs w:val="24"/>
          <w:highlight w:val="none"/>
          <w:u w:val="single"/>
          <w:lang w:val="en-US"/>
        </w:rPr>
        <w:t>江苏海审工程咨询有限公司第二分公司</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须提供保函或保险保单</w:t>
      </w:r>
      <w:r>
        <w:rPr>
          <w:rFonts w:hint="eastAsia" w:ascii="宋体" w:hAnsi="宋体" w:eastAsia="宋体" w:cs="宋体"/>
          <w:b/>
          <w:bCs/>
          <w:color w:val="auto"/>
          <w:kern w:val="0"/>
          <w:sz w:val="24"/>
          <w:szCs w:val="24"/>
          <w:highlight w:val="none"/>
          <w:lang w:val="en-US" w:eastAsia="zh-CN"/>
        </w:rPr>
        <w:t>原件或复印件</w:t>
      </w:r>
      <w:r>
        <w:rPr>
          <w:rFonts w:hint="eastAsia" w:ascii="宋体" w:hAnsi="宋体" w:eastAsia="宋体" w:cs="宋体"/>
          <w:b/>
          <w:bCs/>
          <w:color w:val="auto"/>
          <w:kern w:val="0"/>
          <w:sz w:val="24"/>
          <w:szCs w:val="24"/>
          <w:highlight w:val="none"/>
        </w:rPr>
        <w:t>供招标人代表查验，否则其投标文件不予接收</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投标保函（保险）上投保的投标保证金须在投标有效期内持续有效。</w:t>
      </w:r>
    </w:p>
    <w:p w14:paraId="0BD01C4A">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spacing w:val="0"/>
          <w:sz w:val="24"/>
        </w:rPr>
      </w:pPr>
      <w:r>
        <w:rPr>
          <w:rFonts w:hint="eastAsia" w:ascii="宋体" w:hAnsi="宋体" w:eastAsia="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rPr>
        <w:t>保证金形式，收款人、用途、汇款人等必须符合招标文件规定，否则其投标文件不予接收。</w:t>
      </w:r>
    </w:p>
    <w:p w14:paraId="636BA288">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3</w:t>
      </w:r>
      <w:r>
        <w:rPr>
          <w:rFonts w:hint="eastAsia" w:ascii="宋体" w:hAnsi="宋体" w:eastAsia="宋体" w:cs="宋体"/>
          <w:color w:val="auto"/>
          <w:spacing w:val="0"/>
          <w:sz w:val="24"/>
        </w:rPr>
        <w:t>、未按上述要求提交投标保证金的投标人，招标人有权拒绝其投标文件。</w:t>
      </w:r>
    </w:p>
    <w:p w14:paraId="485E45BE">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4</w:t>
      </w:r>
      <w:r>
        <w:rPr>
          <w:rFonts w:hint="eastAsia" w:ascii="宋体" w:hAnsi="宋体" w:eastAsia="宋体" w:cs="宋体"/>
          <w:color w:val="auto"/>
          <w:spacing w:val="0"/>
          <w:sz w:val="24"/>
        </w:rPr>
        <w:t>、未中标的投标人的投标保证金当场退还，中标的投标人（以下称为中标人）的投标保证金将在招标人与中标人签订的合同生效后</w:t>
      </w:r>
      <w:r>
        <w:rPr>
          <w:rFonts w:hint="eastAsia" w:ascii="宋体" w:hAnsi="宋体" w:eastAsia="宋体" w:cs="宋体"/>
          <w:b/>
          <w:color w:val="auto"/>
          <w:spacing w:val="0"/>
          <w:sz w:val="24"/>
          <w:u w:val="single"/>
        </w:rPr>
        <w:t xml:space="preserve"> 5个工作日内</w:t>
      </w:r>
      <w:r>
        <w:rPr>
          <w:rFonts w:hint="eastAsia" w:ascii="宋体" w:hAnsi="宋体" w:eastAsia="宋体" w:cs="宋体"/>
          <w:color w:val="auto"/>
          <w:spacing w:val="0"/>
          <w:sz w:val="24"/>
        </w:rPr>
        <w:t xml:space="preserve">予以退还（无息）。 </w:t>
      </w:r>
    </w:p>
    <w:p w14:paraId="29464968">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5</w:t>
      </w:r>
      <w:r>
        <w:rPr>
          <w:rFonts w:hint="eastAsia" w:ascii="宋体" w:hAnsi="宋体" w:eastAsia="宋体" w:cs="宋体"/>
          <w:color w:val="auto"/>
          <w:spacing w:val="0"/>
          <w:sz w:val="24"/>
        </w:rPr>
        <w:t>、发生下列情况之一，投标保证金将不予退还。</w:t>
      </w:r>
    </w:p>
    <w:p w14:paraId="6D58011D">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w:t>
      </w:r>
      <w:r>
        <w:rPr>
          <w:rFonts w:hint="eastAsia" w:ascii="宋体" w:hAnsi="宋体" w:eastAsia="宋体" w:cs="宋体"/>
          <w:color w:val="auto"/>
          <w:spacing w:val="0"/>
          <w:kern w:val="0"/>
          <w:sz w:val="24"/>
        </w:rPr>
        <w:t>投标人在提交投标文件截止时间后撤回投标文件的；</w:t>
      </w:r>
    </w:p>
    <w:p w14:paraId="033C2E46">
      <w:pPr>
        <w:snapToGrid w:val="0"/>
        <w:spacing w:line="360" w:lineRule="auto"/>
        <w:ind w:firstLine="480" w:firstLineChars="200"/>
        <w:contextualSpacing/>
        <w:rPr>
          <w:rFonts w:hint="eastAsia" w:ascii="宋体" w:hAnsi="宋体" w:eastAsia="宋体" w:cs="宋体"/>
          <w:color w:val="auto"/>
          <w:spacing w:val="0"/>
          <w:kern w:val="0"/>
          <w:sz w:val="24"/>
        </w:rPr>
      </w:pPr>
      <w:r>
        <w:rPr>
          <w:rFonts w:hint="eastAsia" w:ascii="宋体" w:hAnsi="宋体" w:eastAsia="宋体" w:cs="宋体"/>
          <w:color w:val="auto"/>
          <w:spacing w:val="0"/>
          <w:sz w:val="24"/>
        </w:rPr>
        <w:t>（2）</w:t>
      </w:r>
      <w:r>
        <w:rPr>
          <w:rFonts w:hint="eastAsia" w:ascii="宋体" w:hAnsi="宋体" w:eastAsia="宋体" w:cs="宋体"/>
          <w:color w:val="auto"/>
          <w:spacing w:val="0"/>
          <w:kern w:val="0"/>
          <w:sz w:val="24"/>
        </w:rPr>
        <w:t>投标人在投标文件中提供虚假材料的；</w:t>
      </w:r>
    </w:p>
    <w:p w14:paraId="1DDC715F">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（3）除因不可抗力或招标文件认可的情形以外，中标人不按规定缴纳履约保证金或不与招标人签订合同的； </w:t>
      </w:r>
    </w:p>
    <w:p w14:paraId="7CB39DF3">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（4）投标人与招标人、其他投标人或者代理机构恶意串通的；</w:t>
      </w:r>
    </w:p>
    <w:p w14:paraId="0B7FAF00">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（5）投标人在招标过程中有违反有关法律法规的行为；</w:t>
      </w:r>
    </w:p>
    <w:p w14:paraId="628D91B6">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（6）招标文件规定的其他情形的。</w:t>
      </w:r>
    </w:p>
    <w:p w14:paraId="00E5DD5E">
      <w:pPr>
        <w:snapToGrid w:val="0"/>
        <w:spacing w:line="360" w:lineRule="auto"/>
        <w:ind w:firstLine="482" w:firstLineChars="200"/>
        <w:outlineLvl w:val="1"/>
        <w:rPr>
          <w:rFonts w:hint="eastAsia" w:ascii="宋体" w:hAnsi="宋体" w:eastAsia="宋体" w:cs="宋体"/>
          <w:color w:val="auto"/>
          <w:spacing w:val="0"/>
        </w:rPr>
      </w:pPr>
      <w:r>
        <w:rPr>
          <w:rFonts w:hint="eastAsia" w:ascii="宋体" w:hAnsi="宋体" w:eastAsia="宋体" w:cs="宋体"/>
          <w:b/>
          <w:bCs/>
          <w:color w:val="auto"/>
          <w:spacing w:val="0"/>
          <w:sz w:val="24"/>
          <w:lang w:val="zh-CN"/>
        </w:rPr>
        <w:t>十、</w:t>
      </w:r>
      <w:r>
        <w:rPr>
          <w:rFonts w:hint="eastAsia" w:ascii="宋体" w:hAnsi="宋体" w:eastAsia="宋体" w:cs="宋体"/>
          <w:b/>
          <w:color w:val="auto"/>
          <w:spacing w:val="0"/>
          <w:sz w:val="24"/>
          <w:lang w:val="zh-CN"/>
        </w:rPr>
        <w:t>投标费用</w:t>
      </w:r>
      <w:r>
        <w:rPr>
          <w:rFonts w:hint="eastAsia" w:ascii="宋体" w:hAnsi="宋体" w:eastAsia="宋体" w:cs="宋体"/>
          <w:b/>
          <w:color w:val="auto"/>
          <w:spacing w:val="0"/>
          <w:sz w:val="24"/>
        </w:rPr>
        <w:t>及招标代理服务费</w:t>
      </w:r>
    </w:p>
    <w:p w14:paraId="473E54A7">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1、无论招标过程和结果如何，投标人自行承担与本次项目招标有关的全部费用。投标人承担参与投标可能发生的全部费用，招标人在任何情况下均无义务和责任承担这些费用。</w:t>
      </w:r>
    </w:p>
    <w:p w14:paraId="7E7F3261">
      <w:pPr>
        <w:pStyle w:val="15"/>
        <w:spacing w:line="360" w:lineRule="auto"/>
        <w:ind w:left="0" w:leftChars="0" w:firstLine="480" w:firstLineChars="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提交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文件的同时提交300元招标文件相关费用，否则其文件不予接收，无论是否中标，该费用不予退还。</w:t>
      </w:r>
    </w:p>
    <w:p w14:paraId="78045F7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3、</w:t>
      </w:r>
      <w:r>
        <w:rPr>
          <w:rFonts w:hint="eastAsia" w:ascii="宋体" w:hAnsi="宋体" w:eastAsia="宋体" w:cs="宋体"/>
          <w:color w:val="auto"/>
          <w:sz w:val="24"/>
        </w:rPr>
        <w:t>招标代理费：（1）本项目</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代理费</w:t>
      </w:r>
      <w:r>
        <w:rPr>
          <w:rFonts w:hint="eastAsia" w:ascii="宋体" w:hAnsi="宋体" w:eastAsia="宋体" w:cs="宋体"/>
          <w:color w:val="auto"/>
          <w:sz w:val="24"/>
          <w:lang w:val="en-US" w:eastAsia="zh-CN"/>
        </w:rPr>
        <w:t>及评委费（以现金形式按实支付）</w:t>
      </w:r>
      <w:r>
        <w:rPr>
          <w:rFonts w:hint="eastAsia" w:ascii="宋体" w:hAnsi="宋体" w:eastAsia="宋体" w:cs="宋体"/>
          <w:color w:val="auto"/>
          <w:sz w:val="24"/>
        </w:rPr>
        <w:t>由中标人承担，请各投标人在成本中自行考虑，不得单列。</w:t>
      </w:r>
    </w:p>
    <w:p w14:paraId="718A425C">
      <w:pPr>
        <w:snapToGrid w:val="0"/>
        <w:spacing w:line="480" w:lineRule="exact"/>
        <w:ind w:firstLine="600" w:firstLineChars="250"/>
        <w:contextualSpacing/>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pacing w:val="0"/>
          <w:sz w:val="24"/>
          <w:lang w:val="en-US" w:eastAsia="zh-CN"/>
        </w:rPr>
        <w:t>招标</w:t>
      </w:r>
      <w:r>
        <w:rPr>
          <w:rFonts w:hint="eastAsia" w:ascii="宋体" w:hAnsi="宋体" w:eastAsia="宋体" w:cs="宋体"/>
          <w:color w:val="auto"/>
          <w:sz w:val="24"/>
        </w:rPr>
        <w:t>代理费率标准【收取标准以最终中标价为基数】；</w:t>
      </w:r>
    </w:p>
    <w:p w14:paraId="58527C8A">
      <w:pPr>
        <w:snapToGrid w:val="0"/>
        <w:spacing w:line="480" w:lineRule="exact"/>
        <w:ind w:firstLine="600" w:firstLineChars="250"/>
        <w:contextualSpacing/>
        <w:rPr>
          <w:rFonts w:hint="eastAsia" w:ascii="宋体" w:hAnsi="宋体" w:eastAsia="宋体" w:cs="宋体"/>
          <w:color w:val="auto"/>
          <w:sz w:val="24"/>
        </w:rPr>
      </w:pPr>
      <w:r>
        <w:rPr>
          <w:rFonts w:hint="eastAsia" w:ascii="宋体" w:hAnsi="宋体" w:eastAsia="宋体" w:cs="宋体"/>
          <w:color w:val="auto"/>
          <w:sz w:val="24"/>
        </w:rPr>
        <w:t xml:space="preserve">（3）投标人自行考虑包含在投标总价内的该项费用及风险并将其综合在报价内，不得单列。代理服务费在领取中标通知书时一次性付清。 </w:t>
      </w:r>
    </w:p>
    <w:tbl>
      <w:tblPr>
        <w:tblStyle w:val="16"/>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1"/>
        <w:gridCol w:w="1575"/>
        <w:gridCol w:w="1905"/>
        <w:gridCol w:w="2962"/>
      </w:tblGrid>
      <w:tr w14:paraId="3EE4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Header/>
          <w:jc w:val="center"/>
        </w:trPr>
        <w:tc>
          <w:tcPr>
            <w:tcW w:w="8723" w:type="dxa"/>
            <w:gridSpan w:val="4"/>
            <w:noWrap w:val="0"/>
            <w:vAlign w:val="center"/>
          </w:tcPr>
          <w:p w14:paraId="4B92946F">
            <w:pPr>
              <w:snapToGrid w:val="0"/>
              <w:spacing w:line="480" w:lineRule="exact"/>
              <w:ind w:firstLine="494" w:firstLineChars="206"/>
              <w:jc w:val="center"/>
              <w:rPr>
                <w:rFonts w:hint="eastAsia" w:ascii="宋体" w:hAnsi="宋体" w:eastAsia="宋体" w:cs="宋体"/>
                <w:color w:val="auto"/>
                <w:sz w:val="24"/>
              </w:rPr>
            </w:pPr>
            <w:r>
              <w:rPr>
                <w:rFonts w:hint="eastAsia" w:ascii="宋体" w:hAnsi="宋体" w:eastAsia="宋体" w:cs="宋体"/>
                <w:color w:val="auto"/>
                <w:spacing w:val="0"/>
                <w:sz w:val="24"/>
                <w:lang w:val="en-US" w:eastAsia="zh-CN"/>
              </w:rPr>
              <w:t>招标</w:t>
            </w:r>
            <w:r>
              <w:rPr>
                <w:rFonts w:hint="eastAsia" w:ascii="宋体" w:hAnsi="宋体" w:eastAsia="宋体" w:cs="宋体"/>
                <w:color w:val="auto"/>
                <w:sz w:val="24"/>
              </w:rPr>
              <w:t>代理费标准</w:t>
            </w:r>
          </w:p>
        </w:tc>
      </w:tr>
      <w:tr w14:paraId="0DBB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Header/>
          <w:jc w:val="center"/>
        </w:trPr>
        <w:tc>
          <w:tcPr>
            <w:tcW w:w="2281" w:type="dxa"/>
            <w:noWrap w:val="0"/>
            <w:vAlign w:val="center"/>
          </w:tcPr>
          <w:p w14:paraId="5B8C1174">
            <w:pPr>
              <w:snapToGrid w:val="0"/>
              <w:jc w:val="center"/>
              <w:rPr>
                <w:rFonts w:hint="eastAsia" w:ascii="宋体" w:hAnsi="宋体" w:eastAsia="宋体" w:cs="宋体"/>
                <w:color w:val="auto"/>
                <w:sz w:val="24"/>
              </w:rPr>
            </w:pPr>
            <w:r>
              <w:rPr>
                <w:rFonts w:hint="eastAsia" w:ascii="宋体" w:hAnsi="宋体" w:eastAsia="宋体" w:cs="宋体"/>
                <w:color w:val="auto"/>
                <w:sz w:val="24"/>
              </w:rPr>
              <w:t>中标（成交）金额</w:t>
            </w:r>
          </w:p>
        </w:tc>
        <w:tc>
          <w:tcPr>
            <w:tcW w:w="1575" w:type="dxa"/>
            <w:shd w:val="clear" w:color="auto" w:fill="auto"/>
            <w:noWrap w:val="0"/>
            <w:vAlign w:val="center"/>
          </w:tcPr>
          <w:p w14:paraId="304CB868">
            <w:pPr>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货物</w:t>
            </w:r>
            <w:r>
              <w:rPr>
                <w:rFonts w:hint="eastAsia" w:ascii="宋体" w:hAnsi="宋体" w:eastAsia="宋体" w:cs="宋体"/>
                <w:color w:val="auto"/>
                <w:sz w:val="24"/>
              </w:rPr>
              <w:t>招标代理收费费率</w:t>
            </w:r>
          </w:p>
        </w:tc>
        <w:tc>
          <w:tcPr>
            <w:tcW w:w="1905" w:type="dxa"/>
            <w:shd w:val="clear" w:color="auto" w:fill="auto"/>
            <w:noWrap w:val="0"/>
            <w:vAlign w:val="center"/>
          </w:tcPr>
          <w:p w14:paraId="2A37B9E6">
            <w:pPr>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服务招标代理收费费率</w:t>
            </w:r>
          </w:p>
        </w:tc>
        <w:tc>
          <w:tcPr>
            <w:tcW w:w="2962" w:type="dxa"/>
            <w:shd w:val="clear" w:color="auto" w:fill="auto"/>
            <w:noWrap w:val="0"/>
            <w:vAlign w:val="center"/>
          </w:tcPr>
          <w:p w14:paraId="2BECF2C6">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参照标准</w:t>
            </w:r>
          </w:p>
        </w:tc>
      </w:tr>
      <w:tr w14:paraId="3930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2281" w:type="dxa"/>
            <w:noWrap w:val="0"/>
            <w:vAlign w:val="center"/>
          </w:tcPr>
          <w:p w14:paraId="0EC32D24">
            <w:pPr>
              <w:snapToGrid w:val="0"/>
              <w:jc w:val="center"/>
              <w:rPr>
                <w:rFonts w:hint="eastAsia" w:ascii="宋体" w:hAnsi="宋体" w:eastAsia="宋体" w:cs="宋体"/>
                <w:color w:val="auto"/>
                <w:sz w:val="24"/>
              </w:rPr>
            </w:pPr>
            <w:r>
              <w:rPr>
                <w:rFonts w:hint="eastAsia" w:ascii="宋体" w:hAnsi="宋体" w:eastAsia="宋体" w:cs="宋体"/>
                <w:color w:val="auto"/>
                <w:sz w:val="24"/>
              </w:rPr>
              <w:t>50万元以下的项目</w:t>
            </w:r>
          </w:p>
        </w:tc>
        <w:tc>
          <w:tcPr>
            <w:tcW w:w="1575" w:type="dxa"/>
            <w:shd w:val="clear" w:color="auto" w:fill="auto"/>
            <w:noWrap w:val="0"/>
            <w:vAlign w:val="center"/>
          </w:tcPr>
          <w:p w14:paraId="34F67229">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1.5%</w:t>
            </w:r>
          </w:p>
        </w:tc>
        <w:tc>
          <w:tcPr>
            <w:tcW w:w="1905" w:type="dxa"/>
            <w:shd w:val="clear" w:color="auto" w:fill="auto"/>
            <w:noWrap w:val="0"/>
            <w:vAlign w:val="center"/>
          </w:tcPr>
          <w:p w14:paraId="5F8A2A36">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1.5%</w:t>
            </w:r>
          </w:p>
        </w:tc>
        <w:tc>
          <w:tcPr>
            <w:tcW w:w="2962" w:type="dxa"/>
            <w:shd w:val="clear" w:color="auto" w:fill="auto"/>
            <w:noWrap w:val="0"/>
            <w:vAlign w:val="center"/>
          </w:tcPr>
          <w:p w14:paraId="51AB844D">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国家标准</w:t>
            </w:r>
          </w:p>
        </w:tc>
      </w:tr>
      <w:tr w14:paraId="2F70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2281" w:type="dxa"/>
            <w:noWrap w:val="0"/>
            <w:vAlign w:val="center"/>
          </w:tcPr>
          <w:p w14:paraId="684D0963">
            <w:pPr>
              <w:snapToGrid w:val="0"/>
              <w:jc w:val="center"/>
              <w:rPr>
                <w:rFonts w:hint="eastAsia" w:ascii="宋体" w:hAnsi="宋体" w:eastAsia="宋体" w:cs="宋体"/>
                <w:color w:val="auto"/>
                <w:sz w:val="24"/>
              </w:rPr>
            </w:pPr>
            <w:r>
              <w:rPr>
                <w:rFonts w:hint="eastAsia" w:ascii="宋体" w:hAnsi="宋体" w:cs="宋体"/>
                <w:color w:val="auto"/>
                <w:sz w:val="24"/>
                <w:lang w:eastAsia="zh-CN"/>
              </w:rPr>
              <w:t>50万-100万</w:t>
            </w:r>
            <w:r>
              <w:rPr>
                <w:rFonts w:hint="eastAsia" w:ascii="宋体" w:hAnsi="宋体" w:eastAsia="宋体" w:cs="宋体"/>
                <w:color w:val="auto"/>
                <w:sz w:val="24"/>
              </w:rPr>
              <w:t>元的项目</w:t>
            </w:r>
          </w:p>
        </w:tc>
        <w:tc>
          <w:tcPr>
            <w:tcW w:w="1575" w:type="dxa"/>
            <w:shd w:val="clear" w:color="auto" w:fill="auto"/>
            <w:noWrap w:val="0"/>
            <w:vAlign w:val="center"/>
          </w:tcPr>
          <w:p w14:paraId="4570EC96">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1.05%</w:t>
            </w:r>
          </w:p>
        </w:tc>
        <w:tc>
          <w:tcPr>
            <w:tcW w:w="1905" w:type="dxa"/>
            <w:shd w:val="clear" w:color="auto" w:fill="auto"/>
            <w:noWrap w:val="0"/>
            <w:vAlign w:val="center"/>
          </w:tcPr>
          <w:p w14:paraId="7C1E5B9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1.05%</w:t>
            </w:r>
          </w:p>
        </w:tc>
        <w:tc>
          <w:tcPr>
            <w:tcW w:w="2962" w:type="dxa"/>
            <w:shd w:val="clear" w:color="auto" w:fill="auto"/>
            <w:noWrap w:val="0"/>
            <w:vAlign w:val="center"/>
          </w:tcPr>
          <w:p w14:paraId="25E63423">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按国家标准下浮【30%】</w:t>
            </w:r>
          </w:p>
        </w:tc>
      </w:tr>
      <w:tr w14:paraId="4E2E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2281" w:type="dxa"/>
            <w:noWrap w:val="0"/>
            <w:vAlign w:val="center"/>
          </w:tcPr>
          <w:p w14:paraId="3CB7E8BD">
            <w:pPr>
              <w:snapToGrid w:val="0"/>
              <w:jc w:val="center"/>
              <w:rPr>
                <w:rFonts w:hint="eastAsia" w:ascii="宋体" w:hAnsi="宋体" w:eastAsia="宋体" w:cs="宋体"/>
                <w:color w:val="auto"/>
                <w:sz w:val="24"/>
              </w:rPr>
            </w:pPr>
            <w:r>
              <w:rPr>
                <w:rFonts w:hint="eastAsia" w:ascii="宋体" w:hAnsi="宋体" w:eastAsia="宋体" w:cs="宋体"/>
                <w:color w:val="auto"/>
                <w:sz w:val="24"/>
              </w:rPr>
              <w:t>备注</w:t>
            </w:r>
          </w:p>
        </w:tc>
        <w:tc>
          <w:tcPr>
            <w:tcW w:w="6442" w:type="dxa"/>
            <w:gridSpan w:val="3"/>
            <w:noWrap w:val="0"/>
            <w:vAlign w:val="center"/>
          </w:tcPr>
          <w:p w14:paraId="61F0CEB7">
            <w:pPr>
              <w:snapToGrid w:val="0"/>
              <w:spacing w:line="440" w:lineRule="exact"/>
              <w:jc w:val="left"/>
              <w:rPr>
                <w:rFonts w:hint="eastAsia" w:ascii="宋体" w:hAnsi="宋体" w:eastAsia="宋体" w:cs="宋体"/>
                <w:color w:val="auto"/>
                <w:sz w:val="24"/>
              </w:rPr>
            </w:pPr>
            <w:r>
              <w:rPr>
                <w:rFonts w:hint="eastAsia" w:ascii="宋体" w:hAnsi="宋体" w:eastAsia="宋体" w:cs="宋体"/>
                <w:color w:val="auto"/>
                <w:spacing w:val="0"/>
                <w:sz w:val="24"/>
                <w:lang w:val="en-US" w:eastAsia="zh-CN"/>
              </w:rPr>
              <w:t>招标</w:t>
            </w:r>
            <w:r>
              <w:rPr>
                <w:rFonts w:hint="eastAsia" w:ascii="宋体" w:hAnsi="宋体" w:eastAsia="宋体" w:cs="宋体"/>
                <w:color w:val="auto"/>
                <w:sz w:val="24"/>
              </w:rPr>
              <w:t>代理费用不足2000元的，按2000元收费。</w:t>
            </w:r>
          </w:p>
        </w:tc>
      </w:tr>
    </w:tbl>
    <w:p w14:paraId="48113F01">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outlineLvl w:val="1"/>
        <w:rPr>
          <w:rFonts w:hint="eastAsia" w:ascii="宋体" w:hAnsi="宋体" w:eastAsia="宋体" w:cs="宋体"/>
          <w:b/>
          <w:bCs/>
          <w:color w:val="auto"/>
          <w:spacing w:val="0"/>
          <w:sz w:val="24"/>
          <w:lang w:val="zh-CN"/>
        </w:rPr>
      </w:pPr>
      <w:r>
        <w:rPr>
          <w:rFonts w:hint="eastAsia" w:ascii="宋体" w:hAnsi="宋体" w:eastAsia="宋体" w:cs="宋体"/>
          <w:b/>
          <w:bCs/>
          <w:color w:val="auto"/>
          <w:spacing w:val="0"/>
          <w:sz w:val="24"/>
          <w:lang w:val="zh-CN"/>
        </w:rPr>
        <w:t>十一、投标文件递交时间及地址</w:t>
      </w:r>
    </w:p>
    <w:p w14:paraId="30136015">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投标人必须在规定的时间将投标文件送达指定地点。招标人将拒绝接收在截止时间后递交的投标文件。</w:t>
      </w:r>
    </w:p>
    <w:p w14:paraId="3FA3CA44">
      <w:pPr>
        <w:snapToGrid w:val="0"/>
        <w:spacing w:line="360" w:lineRule="auto"/>
        <w:ind w:firstLine="482" w:firstLineChars="200"/>
        <w:outlineLvl w:val="1"/>
        <w:rPr>
          <w:rFonts w:hint="eastAsia" w:ascii="宋体" w:hAnsi="宋体" w:eastAsia="宋体" w:cs="宋体"/>
          <w:b/>
          <w:color w:val="auto"/>
          <w:spacing w:val="0"/>
          <w:sz w:val="24"/>
        </w:rPr>
      </w:pPr>
      <w:r>
        <w:rPr>
          <w:rFonts w:hint="eastAsia" w:ascii="宋体" w:hAnsi="宋体" w:eastAsia="宋体" w:cs="宋体"/>
          <w:b/>
          <w:color w:val="auto"/>
          <w:spacing w:val="0"/>
          <w:sz w:val="24"/>
        </w:rPr>
        <w:t>十二、履约保证金</w:t>
      </w:r>
    </w:p>
    <w:p w14:paraId="1B888CF6">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1、本项目中标后的履约保证金为</w:t>
      </w:r>
      <w:r>
        <w:rPr>
          <w:rFonts w:hint="eastAsia" w:ascii="宋体" w:hAnsi="宋体" w:eastAsia="宋体" w:cs="宋体"/>
          <w:color w:val="auto"/>
          <w:sz w:val="24"/>
          <w:highlight w:val="none"/>
          <w:u w:val="single"/>
          <w:lang w:val="en-US" w:eastAsia="zh-CN"/>
        </w:rPr>
        <w:t>中标价的10%</w:t>
      </w:r>
      <w:r>
        <w:rPr>
          <w:rFonts w:hint="eastAsia" w:ascii="宋体" w:hAnsi="宋体" w:eastAsia="宋体" w:cs="宋体"/>
          <w:color w:val="auto"/>
          <w:spacing w:val="0"/>
          <w:sz w:val="24"/>
        </w:rPr>
        <w:t>。</w:t>
      </w:r>
    </w:p>
    <w:p w14:paraId="5F7D0872">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2、中标人的履约保证金须在中标通知书发出</w:t>
      </w:r>
      <w:r>
        <w:rPr>
          <w:rFonts w:hint="eastAsia" w:ascii="宋体" w:hAnsi="宋体" w:eastAsia="宋体" w:cs="宋体"/>
          <w:color w:val="auto"/>
          <w:spacing w:val="0"/>
          <w:sz w:val="24"/>
          <w:lang w:val="en-US" w:eastAsia="zh-CN"/>
        </w:rPr>
        <w:t>7</w:t>
      </w:r>
      <w:r>
        <w:rPr>
          <w:rFonts w:hint="eastAsia" w:ascii="宋体" w:hAnsi="宋体" w:eastAsia="宋体" w:cs="宋体"/>
          <w:color w:val="auto"/>
          <w:spacing w:val="0"/>
          <w:sz w:val="24"/>
        </w:rPr>
        <w:t>个工作日内汇入招标人账户，中标人凭“中标通知书”和已经汇至招标人账上的“履约保证金”凭证，</w:t>
      </w:r>
      <w:r>
        <w:rPr>
          <w:rFonts w:hint="eastAsia" w:ascii="宋体" w:hAnsi="宋体" w:eastAsia="宋体" w:cs="宋体"/>
          <w:color w:val="auto"/>
          <w:spacing w:val="0"/>
          <w:sz w:val="24"/>
          <w:lang w:val="en-US" w:eastAsia="zh-CN"/>
        </w:rPr>
        <w:t>15</w:t>
      </w:r>
      <w:r>
        <w:rPr>
          <w:rFonts w:hint="eastAsia" w:ascii="宋体" w:hAnsi="宋体" w:eastAsia="宋体" w:cs="宋体"/>
          <w:color w:val="auto"/>
          <w:spacing w:val="0"/>
          <w:sz w:val="24"/>
        </w:rPr>
        <w:t>日内与招标人签订合同。超期或</w:t>
      </w:r>
      <w:bookmarkStart w:id="36" w:name="_GoBack"/>
      <w:r>
        <w:rPr>
          <w:rFonts w:hint="eastAsia" w:ascii="宋体" w:hAnsi="宋体" w:eastAsia="宋体" w:cs="宋体"/>
          <w:color w:val="auto"/>
          <w:spacing w:val="0"/>
          <w:sz w:val="24"/>
        </w:rPr>
        <w:t>未有</w:t>
      </w:r>
      <w:bookmarkEnd w:id="36"/>
      <w:r>
        <w:rPr>
          <w:rFonts w:hint="eastAsia" w:ascii="宋体" w:hAnsi="宋体" w:eastAsia="宋体" w:cs="宋体"/>
          <w:color w:val="auto"/>
          <w:spacing w:val="0"/>
          <w:sz w:val="24"/>
        </w:rPr>
        <w:t>协商，则视为自动放弃中标资格。</w:t>
      </w:r>
    </w:p>
    <w:p w14:paraId="46C570E7">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3、中标人在按要求保质保量</w:t>
      </w:r>
      <w:r>
        <w:rPr>
          <w:rFonts w:hint="eastAsia" w:ascii="宋体" w:hAnsi="宋体" w:cs="宋体"/>
          <w:color w:val="auto"/>
          <w:spacing w:val="0"/>
          <w:sz w:val="24"/>
          <w:lang w:eastAsia="zh-CN"/>
        </w:rPr>
        <w:t>地</w:t>
      </w:r>
      <w:r>
        <w:rPr>
          <w:rFonts w:hint="eastAsia" w:ascii="宋体" w:hAnsi="宋体" w:eastAsia="宋体" w:cs="宋体"/>
          <w:color w:val="auto"/>
          <w:spacing w:val="0"/>
          <w:sz w:val="24"/>
        </w:rPr>
        <w:t xml:space="preserve">完成该项目合同并通过验收后，招标人凭中标人提交的申请，一次性无息退还该合同的履约保证金。 </w:t>
      </w:r>
    </w:p>
    <w:p w14:paraId="343882E8">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4、由于中标人原因，在签订合同后出现不按合同履行的情况，招标人有权将履约保证金作为违约金，全额不予退还，同时招标人亦有权终止合同，中标人还须承担相应的法律赔偿责任。</w:t>
      </w:r>
    </w:p>
    <w:bookmarkEnd w:id="0"/>
    <w:p w14:paraId="070AD4CD">
      <w:pPr>
        <w:pStyle w:val="19"/>
        <w:keepNext/>
        <w:keepLines/>
        <w:pageBreakBefore/>
        <w:widowControl w:val="0"/>
        <w:kinsoku/>
        <w:wordWrap/>
        <w:overflowPunct/>
        <w:topLinePunct w:val="0"/>
        <w:autoSpaceDE/>
        <w:autoSpaceDN/>
        <w:bidi w:val="0"/>
        <w:adjustRightInd/>
        <w:snapToGrid/>
        <w:spacing w:before="312" w:after="312" w:line="360" w:lineRule="auto"/>
        <w:textAlignment w:val="auto"/>
        <w:rPr>
          <w:rFonts w:hint="eastAsia" w:ascii="宋体" w:hAnsi="宋体" w:eastAsia="宋体" w:cs="宋体"/>
          <w:color w:val="auto"/>
          <w:spacing w:val="0"/>
          <w:sz w:val="36"/>
          <w:szCs w:val="36"/>
        </w:rPr>
      </w:pPr>
      <w:bookmarkStart w:id="31" w:name="_Toc182848971"/>
      <w:r>
        <w:rPr>
          <w:rFonts w:hint="eastAsia" w:ascii="宋体" w:hAnsi="宋体" w:eastAsia="宋体" w:cs="宋体"/>
          <w:color w:val="auto"/>
          <w:spacing w:val="0"/>
          <w:sz w:val="36"/>
          <w:szCs w:val="36"/>
        </w:rPr>
        <w:t>第三章 项目需求</w:t>
      </w:r>
    </w:p>
    <w:p w14:paraId="4E1DF9AD">
      <w:pPr>
        <w:snapToGrid w:val="0"/>
        <w:spacing w:line="360" w:lineRule="auto"/>
        <w:ind w:firstLine="482" w:firstLineChars="200"/>
        <w:contextualSpacing/>
        <w:rPr>
          <w:rFonts w:hint="eastAsia" w:ascii="宋体" w:hAnsi="宋体" w:eastAsia="宋体" w:cs="宋体"/>
          <w:bCs/>
          <w:color w:val="auto"/>
          <w:spacing w:val="0"/>
          <w:sz w:val="24"/>
          <w:lang w:val="en-US" w:eastAsia="zh-CN"/>
        </w:rPr>
      </w:pPr>
      <w:r>
        <w:rPr>
          <w:rFonts w:hint="eastAsia" w:ascii="宋体" w:hAnsi="宋体" w:eastAsia="宋体" w:cs="宋体"/>
          <w:b/>
          <w:bCs/>
          <w:color w:val="auto"/>
          <w:spacing w:val="0"/>
          <w:sz w:val="24"/>
        </w:rPr>
        <w:t>一、</w:t>
      </w:r>
      <w:r>
        <w:rPr>
          <w:rFonts w:hint="eastAsia" w:ascii="宋体" w:hAnsi="宋体" w:eastAsia="宋体" w:cs="宋体"/>
          <w:b/>
          <w:bCs/>
          <w:color w:val="auto"/>
          <w:spacing w:val="0"/>
          <w:sz w:val="24"/>
          <w:lang w:val="en-US" w:eastAsia="zh-CN"/>
        </w:rPr>
        <w:t>物业服务基本内容</w:t>
      </w:r>
    </w:p>
    <w:p w14:paraId="412B6FB7">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物业现场看护服务</w:t>
      </w:r>
      <w:r>
        <w:rPr>
          <w:rFonts w:hint="eastAsia" w:ascii="宋体" w:hAnsi="宋体" w:eastAsia="宋体" w:cs="宋体"/>
          <w:color w:val="auto"/>
          <w:sz w:val="24"/>
          <w:highlight w:val="none"/>
          <w:lang w:val="en-US" w:eastAsia="zh-CN"/>
        </w:rPr>
        <w:t>包括</w:t>
      </w:r>
      <w:r>
        <w:rPr>
          <w:rFonts w:hint="eastAsia" w:ascii="宋体" w:hAnsi="宋体" w:eastAsia="宋体" w:cs="宋体"/>
          <w:color w:val="auto"/>
          <w:sz w:val="24"/>
          <w:highlight w:val="none"/>
        </w:rPr>
        <w:t xml:space="preserve">： </w:t>
      </w:r>
    </w:p>
    <w:p w14:paraId="0AF24A9E">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广场内公共区域的</w:t>
      </w:r>
      <w:r>
        <w:rPr>
          <w:rFonts w:hint="eastAsia" w:ascii="宋体" w:hAnsi="宋体" w:eastAsia="宋体" w:cs="宋体"/>
          <w:color w:val="auto"/>
          <w:sz w:val="24"/>
          <w:highlight w:val="none"/>
          <w:lang w:val="en-US" w:eastAsia="zh-CN"/>
        </w:rPr>
        <w:t>卫生保洁</w:t>
      </w:r>
      <w:r>
        <w:rPr>
          <w:rFonts w:hint="eastAsia" w:ascii="宋体" w:hAnsi="宋体" w:eastAsia="宋体" w:cs="宋体"/>
          <w:color w:val="auto"/>
          <w:sz w:val="24"/>
          <w:highlight w:val="none"/>
        </w:rPr>
        <w:t>；</w:t>
      </w:r>
    </w:p>
    <w:p w14:paraId="3E69D44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 xml:space="preserve">广场内公共区域的日常巡逻、秩序维护；  </w:t>
      </w:r>
    </w:p>
    <w:p w14:paraId="549A8FC5">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 xml:space="preserve">突发事件应急处理；  </w:t>
      </w:r>
    </w:p>
    <w:p w14:paraId="783B0CFF">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 xml:space="preserve">消防安全巡查；  </w:t>
      </w:r>
    </w:p>
    <w:p w14:paraId="4926EE7F">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highlight w:val="none"/>
        </w:rPr>
        <w:t>停车场车辆管理及秩序维护；</w:t>
      </w:r>
    </w:p>
    <w:p w14:paraId="6915C87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lang w:eastAsia="zh-CN"/>
        </w:rPr>
        <w:t>保证现有设施设备的完好；</w:t>
      </w:r>
      <w:r>
        <w:rPr>
          <w:rFonts w:hint="eastAsia" w:ascii="宋体" w:hAnsi="宋体" w:eastAsia="宋体" w:cs="宋体"/>
          <w:color w:val="auto"/>
          <w:sz w:val="24"/>
          <w:highlight w:val="none"/>
        </w:rPr>
        <w:t xml:space="preserve"> </w:t>
      </w:r>
    </w:p>
    <w:p w14:paraId="107D471A">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⑦</w:t>
      </w:r>
      <w:r>
        <w:rPr>
          <w:rFonts w:hint="eastAsia" w:ascii="宋体" w:hAnsi="宋体" w:eastAsia="宋体" w:cs="宋体"/>
          <w:color w:val="auto"/>
          <w:sz w:val="24"/>
          <w:highlight w:val="none"/>
        </w:rPr>
        <w:t xml:space="preserve">其他与现场看护相关的服务。  </w:t>
      </w:r>
    </w:p>
    <w:p w14:paraId="21FE19B1">
      <w:pPr>
        <w:snapToGrid w:val="0"/>
        <w:spacing w:line="360" w:lineRule="auto"/>
        <w:ind w:firstLine="482" w:firstLineChars="200"/>
        <w:outlineLvl w:val="1"/>
        <w:rPr>
          <w:rFonts w:hint="eastAsia" w:ascii="宋体" w:hAnsi="宋体" w:eastAsia="宋体" w:cs="宋体"/>
          <w:b/>
          <w:bCs/>
          <w:color w:val="auto"/>
          <w:spacing w:val="0"/>
          <w:sz w:val="24"/>
          <w:lang w:val="en-US" w:eastAsia="zh-CN"/>
        </w:rPr>
      </w:pPr>
      <w:r>
        <w:rPr>
          <w:rFonts w:hint="eastAsia" w:ascii="宋体" w:hAnsi="宋体" w:eastAsia="宋体" w:cs="宋体"/>
          <w:b/>
          <w:bCs/>
          <w:color w:val="auto"/>
          <w:spacing w:val="0"/>
          <w:sz w:val="24"/>
        </w:rPr>
        <w:t>二、</w:t>
      </w:r>
      <w:r>
        <w:rPr>
          <w:rFonts w:hint="eastAsia" w:ascii="宋体" w:hAnsi="宋体" w:eastAsia="宋体" w:cs="宋体"/>
          <w:b/>
          <w:bCs/>
          <w:color w:val="auto"/>
          <w:spacing w:val="0"/>
          <w:sz w:val="24"/>
          <w:lang w:val="en-US" w:eastAsia="zh-CN"/>
        </w:rPr>
        <w:t>具体内容及相关要求</w:t>
      </w:r>
    </w:p>
    <w:p w14:paraId="0C7F05F5">
      <w:pPr>
        <w:snapToGrid w:val="0"/>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1、服务期限：从中标</w:t>
      </w:r>
      <w:r>
        <w:rPr>
          <w:rFonts w:hint="eastAsia" w:ascii="宋体" w:hAnsi="宋体" w:eastAsia="宋体" w:cs="宋体"/>
          <w:color w:val="auto"/>
          <w:sz w:val="24"/>
          <w:highlight w:val="none"/>
          <w:lang w:val="en-US" w:eastAsia="zh-CN"/>
        </w:rPr>
        <w:t>后至</w:t>
      </w:r>
      <w:r>
        <w:rPr>
          <w:rFonts w:hint="eastAsia" w:ascii="宋体" w:hAnsi="宋体" w:eastAsia="宋体" w:cs="宋体"/>
          <w:color w:val="auto"/>
          <w:sz w:val="24"/>
          <w:highlight w:val="none"/>
        </w:rPr>
        <w:t>街道安置完成崇城物业进场</w:t>
      </w:r>
      <w:r>
        <w:rPr>
          <w:rFonts w:hint="eastAsia" w:ascii="宋体" w:hAnsi="宋体" w:eastAsia="宋体" w:cs="宋体"/>
          <w:color w:val="auto"/>
          <w:sz w:val="24"/>
          <w:highlight w:val="none"/>
          <w:lang w:val="en-US" w:eastAsia="zh-CN"/>
        </w:rPr>
        <w:t>为止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具体到岗时间</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通知</w:t>
      </w:r>
      <w:r>
        <w:rPr>
          <w:rFonts w:hint="eastAsia" w:ascii="宋体" w:hAnsi="宋体" w:eastAsia="宋体" w:cs="宋体"/>
          <w:color w:val="auto"/>
          <w:sz w:val="24"/>
          <w:highlight w:val="none"/>
        </w:rPr>
        <w:t>为准）。</w:t>
      </w:r>
    </w:p>
    <w:p w14:paraId="2B33046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rPr>
        <w:t>人员要求：</w:t>
      </w:r>
    </w:p>
    <w:tbl>
      <w:tblPr>
        <w:tblStyle w:val="16"/>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913"/>
        <w:gridCol w:w="1712"/>
        <w:gridCol w:w="1350"/>
        <w:gridCol w:w="1475"/>
        <w:gridCol w:w="2496"/>
      </w:tblGrid>
      <w:tr w14:paraId="4369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noWrap w:val="0"/>
            <w:vAlign w:val="center"/>
          </w:tcPr>
          <w:p w14:paraId="0DB15CC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913" w:type="dxa"/>
            <w:noWrap w:val="0"/>
            <w:vAlign w:val="center"/>
          </w:tcPr>
          <w:p w14:paraId="124F92E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p w14:paraId="4BD2648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712" w:type="dxa"/>
            <w:noWrap w:val="0"/>
            <w:vAlign w:val="center"/>
          </w:tcPr>
          <w:p w14:paraId="5013DC4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单价最高限价</w:t>
            </w:r>
          </w:p>
          <w:p w14:paraId="6CAC429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（元/月/人）</w:t>
            </w:r>
          </w:p>
        </w:tc>
        <w:tc>
          <w:tcPr>
            <w:tcW w:w="1350" w:type="dxa"/>
            <w:noWrap w:val="0"/>
            <w:vAlign w:val="center"/>
          </w:tcPr>
          <w:p w14:paraId="09D387F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时间（月）</w:t>
            </w:r>
          </w:p>
        </w:tc>
        <w:tc>
          <w:tcPr>
            <w:tcW w:w="1475" w:type="dxa"/>
            <w:noWrap w:val="0"/>
            <w:vAlign w:val="center"/>
          </w:tcPr>
          <w:p w14:paraId="6FAA475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小计（元）</w:t>
            </w:r>
          </w:p>
        </w:tc>
        <w:tc>
          <w:tcPr>
            <w:tcW w:w="2496" w:type="dxa"/>
            <w:noWrap w:val="0"/>
            <w:vAlign w:val="center"/>
          </w:tcPr>
          <w:p w14:paraId="1BFDF48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8C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noWrap w:val="0"/>
            <w:vAlign w:val="center"/>
          </w:tcPr>
          <w:p w14:paraId="2CFDABEF">
            <w:pPr>
              <w:widowControl/>
              <w:jc w:val="center"/>
              <w:rPr>
                <w:rFonts w:hint="eastAsia" w:ascii="宋体" w:hAnsi="宋体" w:eastAsia="宋体" w:cs="宋体"/>
                <w:color w:val="auto"/>
                <w:sz w:val="24"/>
                <w:szCs w:val="24"/>
                <w:highlight w:val="none"/>
              </w:rPr>
            </w:pPr>
            <w:bookmarkStart w:id="32" w:name="_Hlk95598552"/>
            <w:r>
              <w:rPr>
                <w:rFonts w:hint="eastAsia" w:ascii="宋体" w:hAnsi="宋体" w:eastAsia="宋体" w:cs="宋体"/>
                <w:color w:val="auto"/>
                <w:sz w:val="24"/>
                <w:szCs w:val="24"/>
                <w:highlight w:val="none"/>
              </w:rPr>
              <w:t>保洁</w:t>
            </w:r>
          </w:p>
        </w:tc>
        <w:tc>
          <w:tcPr>
            <w:tcW w:w="913" w:type="dxa"/>
            <w:noWrap w:val="0"/>
            <w:vAlign w:val="center"/>
          </w:tcPr>
          <w:p w14:paraId="6F765F5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12" w:type="dxa"/>
            <w:noWrap w:val="0"/>
            <w:vAlign w:val="center"/>
          </w:tcPr>
          <w:p w14:paraId="426C9C2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3800</w:t>
            </w:r>
          </w:p>
        </w:tc>
        <w:tc>
          <w:tcPr>
            <w:tcW w:w="1350" w:type="dxa"/>
            <w:noWrap w:val="0"/>
            <w:vAlign w:val="center"/>
          </w:tcPr>
          <w:p w14:paraId="1F226FF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75" w:type="dxa"/>
            <w:noWrap w:val="0"/>
            <w:vAlign w:val="center"/>
          </w:tcPr>
          <w:p w14:paraId="3DCA0F7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91200</w:t>
            </w:r>
          </w:p>
        </w:tc>
        <w:tc>
          <w:tcPr>
            <w:tcW w:w="2496" w:type="dxa"/>
            <w:noWrap w:val="0"/>
            <w:vAlign w:val="center"/>
          </w:tcPr>
          <w:p w14:paraId="3541899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年龄不超过</w:t>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lang w:val="en-US" w:eastAsia="zh-CN"/>
              </w:rPr>
              <w:t>周</w:t>
            </w:r>
            <w:r>
              <w:rPr>
                <w:rFonts w:hint="eastAsia" w:ascii="宋体" w:hAnsi="宋体" w:eastAsia="宋体" w:cs="宋体"/>
                <w:color w:val="auto"/>
                <w:sz w:val="24"/>
                <w:szCs w:val="24"/>
                <w:highlight w:val="none"/>
              </w:rPr>
              <w:t>岁</w:t>
            </w:r>
          </w:p>
        </w:tc>
      </w:tr>
      <w:tr w14:paraId="38FF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noWrap w:val="0"/>
            <w:vAlign w:val="center"/>
          </w:tcPr>
          <w:p w14:paraId="6A429E73">
            <w:pPr>
              <w:pStyle w:val="5"/>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w:t>
            </w:r>
          </w:p>
        </w:tc>
        <w:tc>
          <w:tcPr>
            <w:tcW w:w="913" w:type="dxa"/>
            <w:noWrap w:val="0"/>
            <w:vAlign w:val="center"/>
          </w:tcPr>
          <w:p w14:paraId="15994D3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12" w:type="dxa"/>
            <w:noWrap w:val="0"/>
            <w:vAlign w:val="center"/>
          </w:tcPr>
          <w:p w14:paraId="57F83D1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3800</w:t>
            </w:r>
          </w:p>
        </w:tc>
        <w:tc>
          <w:tcPr>
            <w:tcW w:w="1350" w:type="dxa"/>
            <w:noWrap w:val="0"/>
            <w:vAlign w:val="center"/>
          </w:tcPr>
          <w:p w14:paraId="2BF5C89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75" w:type="dxa"/>
            <w:noWrap w:val="0"/>
            <w:vAlign w:val="center"/>
          </w:tcPr>
          <w:p w14:paraId="48C43CC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136800</w:t>
            </w:r>
          </w:p>
        </w:tc>
        <w:tc>
          <w:tcPr>
            <w:tcW w:w="2496" w:type="dxa"/>
            <w:noWrap w:val="0"/>
            <w:vAlign w:val="center"/>
          </w:tcPr>
          <w:p w14:paraId="759445A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男性，年龄不超过</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0周</w:t>
            </w:r>
            <w:r>
              <w:rPr>
                <w:rFonts w:hint="eastAsia" w:ascii="宋体" w:hAnsi="宋体" w:eastAsia="宋体" w:cs="宋体"/>
                <w:color w:val="auto"/>
                <w:sz w:val="24"/>
                <w:szCs w:val="24"/>
                <w:highlight w:val="none"/>
              </w:rPr>
              <w:t>岁</w:t>
            </w:r>
          </w:p>
        </w:tc>
      </w:tr>
      <w:tr w14:paraId="2C7A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noWrap w:val="0"/>
            <w:vAlign w:val="center"/>
          </w:tcPr>
          <w:p w14:paraId="6CD653EB">
            <w:pPr>
              <w:pStyle w:val="5"/>
              <w:spacing w:after="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合计（元）</w:t>
            </w:r>
          </w:p>
        </w:tc>
        <w:tc>
          <w:tcPr>
            <w:tcW w:w="7946" w:type="dxa"/>
            <w:gridSpan w:val="5"/>
            <w:noWrap w:val="0"/>
            <w:vAlign w:val="center"/>
          </w:tcPr>
          <w:p w14:paraId="0D3FF667">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大写：贰拾</w:t>
            </w:r>
            <w:r>
              <w:rPr>
                <w:rFonts w:hint="eastAsia" w:ascii="宋体" w:hAnsi="宋体" w:eastAsia="宋体" w:cs="宋体"/>
                <w:b/>
                <w:bCs/>
                <w:color w:val="auto"/>
                <w:sz w:val="24"/>
                <w:szCs w:val="24"/>
                <w:highlight w:val="none"/>
                <w:lang w:eastAsia="zh-CN"/>
              </w:rPr>
              <w:t>贰万捌仟</w:t>
            </w:r>
            <w:r>
              <w:rPr>
                <w:rFonts w:hint="eastAsia" w:ascii="宋体" w:hAnsi="宋体" w:eastAsia="宋体" w:cs="宋体"/>
                <w:b/>
                <w:bCs/>
                <w:color w:val="auto"/>
                <w:sz w:val="24"/>
                <w:szCs w:val="24"/>
                <w:highlight w:val="none"/>
              </w:rPr>
              <w:t>元整       小写：</w:t>
            </w:r>
            <w:r>
              <w:rPr>
                <w:rFonts w:hint="eastAsia" w:ascii="宋体" w:hAnsi="宋体" w:eastAsia="宋体" w:cs="宋体"/>
                <w:b/>
                <w:bCs/>
                <w:color w:val="auto"/>
                <w:sz w:val="24"/>
                <w:szCs w:val="24"/>
                <w:highlight w:val="none"/>
                <w:lang w:val="en-US" w:eastAsia="zh-CN"/>
              </w:rPr>
              <w:t>228000</w:t>
            </w:r>
            <w:r>
              <w:rPr>
                <w:rFonts w:hint="eastAsia" w:ascii="宋体" w:hAnsi="宋体" w:eastAsia="宋体" w:cs="宋体"/>
                <w:b/>
                <w:bCs/>
                <w:color w:val="auto"/>
                <w:sz w:val="24"/>
                <w:szCs w:val="24"/>
                <w:highlight w:val="none"/>
              </w:rPr>
              <w:t xml:space="preserve">元     </w:t>
            </w:r>
          </w:p>
        </w:tc>
      </w:tr>
      <w:tr w14:paraId="46C4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45" w:type="dxa"/>
            <w:gridSpan w:val="6"/>
            <w:noWrap w:val="0"/>
            <w:vAlign w:val="center"/>
          </w:tcPr>
          <w:p w14:paraId="56DF2094">
            <w:pPr>
              <w:widowControl/>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p>
          <w:p w14:paraId="541BFB61">
            <w:pPr>
              <w:snapToGrid w:val="0"/>
              <w:spacing w:line="360" w:lineRule="auto"/>
              <w:ind w:firstLine="482" w:firstLineChars="200"/>
              <w:outlineLvl w:val="1"/>
              <w:rPr>
                <w:rFonts w:hint="eastAsia" w:ascii="宋体" w:hAnsi="宋体" w:eastAsia="宋体" w:cs="宋体"/>
                <w:b/>
                <w:bCs/>
                <w:color w:val="auto"/>
                <w:spacing w:val="0"/>
                <w:sz w:val="24"/>
                <w:highlight w:val="none"/>
                <w:lang w:val="en-US" w:eastAsia="zh-CN"/>
              </w:rPr>
            </w:pPr>
            <w:r>
              <w:rPr>
                <w:rFonts w:hint="eastAsia" w:ascii="宋体" w:hAnsi="宋体" w:eastAsia="宋体" w:cs="宋体"/>
                <w:b/>
                <w:bCs/>
                <w:color w:val="auto"/>
                <w:spacing w:val="0"/>
                <w:sz w:val="24"/>
                <w:highlight w:val="none"/>
                <w:lang w:val="en-US" w:eastAsia="zh-CN"/>
              </w:rPr>
              <w:t>①配备的保安中须有一名保安同时持有低压电作业证和高压电工作业证，现场需有保安人员24小时值班。配备保洁年龄需在55岁以下，并持有健康证。</w:t>
            </w:r>
          </w:p>
          <w:p w14:paraId="12A8E9CB">
            <w:pPr>
              <w:snapToGrid w:val="0"/>
              <w:spacing w:line="360" w:lineRule="auto"/>
              <w:ind w:firstLine="482" w:firstLineChars="200"/>
              <w:outlineLvl w:val="1"/>
              <w:rPr>
                <w:rFonts w:hint="eastAsia" w:ascii="宋体" w:hAnsi="宋体" w:eastAsia="宋体" w:cs="宋体"/>
                <w:b/>
                <w:bCs/>
                <w:color w:val="auto"/>
                <w:spacing w:val="0"/>
                <w:sz w:val="24"/>
                <w:highlight w:val="none"/>
                <w:lang w:val="en-US" w:eastAsia="zh-CN"/>
              </w:rPr>
            </w:pPr>
            <w:r>
              <w:rPr>
                <w:rFonts w:hint="eastAsia" w:ascii="宋体" w:hAnsi="宋体" w:eastAsia="宋体" w:cs="宋体"/>
                <w:b/>
                <w:bCs/>
                <w:color w:val="auto"/>
                <w:spacing w:val="0"/>
                <w:sz w:val="24"/>
                <w:highlight w:val="none"/>
                <w:lang w:val="en-US" w:eastAsia="zh-CN"/>
              </w:rPr>
              <w:t>②保洁每日早上8点上班晚上6点下班，中标人须配备打卡机，每日现场人员进行上班打卡，最终结算金额以打卡考核人员为准。</w:t>
            </w:r>
          </w:p>
          <w:p w14:paraId="610A1D6C">
            <w:pPr>
              <w:pStyle w:val="3"/>
              <w:spacing w:line="360" w:lineRule="auto"/>
              <w:rPr>
                <w:rFonts w:hint="eastAsia" w:ascii="宋体" w:hAnsi="宋体" w:eastAsia="宋体" w:cs="宋体"/>
                <w:b/>
                <w:bCs/>
                <w:color w:val="auto"/>
                <w:spacing w:val="0"/>
                <w:sz w:val="24"/>
                <w:highlight w:val="none"/>
                <w:lang w:val="en-US" w:eastAsia="zh-CN"/>
              </w:rPr>
            </w:pPr>
            <w:r>
              <w:rPr>
                <w:rFonts w:hint="eastAsia" w:ascii="宋体" w:hAnsi="宋体" w:eastAsia="宋体" w:cs="宋体"/>
                <w:b/>
                <w:bCs/>
                <w:color w:val="auto"/>
                <w:spacing w:val="0"/>
                <w:sz w:val="24"/>
                <w:highlight w:val="none"/>
                <w:lang w:val="en-US" w:eastAsia="zh-CN"/>
              </w:rPr>
              <w:t>③中标人拟派保洁人员须保持场地整洁、干净，保安人员每间隔1小时须现场巡逻一圈并配备点位巡逻仪器，每栋每层至少去1个点位。</w:t>
            </w:r>
          </w:p>
        </w:tc>
      </w:tr>
      <w:bookmarkEnd w:id="32"/>
    </w:tbl>
    <w:p w14:paraId="66F7DE03">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outlineLvl w:val="1"/>
        <w:rPr>
          <w:rFonts w:hint="eastAsia" w:ascii="宋体" w:hAnsi="宋体" w:eastAsia="宋体" w:cs="宋体"/>
          <w:b/>
          <w:bCs/>
          <w:color w:val="auto"/>
          <w:spacing w:val="0"/>
          <w:sz w:val="24"/>
          <w:lang w:val="en-US" w:eastAsia="zh-CN"/>
        </w:rPr>
      </w:pPr>
      <w:r>
        <w:rPr>
          <w:rFonts w:hint="eastAsia" w:ascii="宋体" w:hAnsi="宋体" w:eastAsia="宋体" w:cs="宋体"/>
          <w:b/>
          <w:bCs/>
          <w:color w:val="auto"/>
          <w:spacing w:val="0"/>
          <w:sz w:val="24"/>
          <w:highlight w:val="none"/>
          <w:lang w:val="en-US" w:eastAsia="zh-CN"/>
        </w:rPr>
        <w:t>3、委托管理事项:保洁、保安、维修及综合服务等，其中物业服务设备须中标人自备，维修配件及材料由招标人提供。</w:t>
      </w:r>
    </w:p>
    <w:p w14:paraId="3B44A17A">
      <w:pPr>
        <w:snapToGrid w:val="0"/>
        <w:spacing w:line="360" w:lineRule="auto"/>
        <w:ind w:firstLine="482" w:firstLineChars="200"/>
        <w:outlineLvl w:val="1"/>
        <w:rPr>
          <w:rFonts w:hint="eastAsia" w:ascii="宋体" w:hAnsi="宋体" w:eastAsia="宋体" w:cs="宋体"/>
          <w:b/>
          <w:bCs/>
          <w:color w:val="auto"/>
          <w:spacing w:val="0"/>
          <w:sz w:val="24"/>
          <w:lang w:val="en-US" w:eastAsia="zh-CN"/>
        </w:rPr>
      </w:pPr>
      <w:r>
        <w:rPr>
          <w:rFonts w:hint="eastAsia" w:ascii="宋体" w:hAnsi="宋体" w:eastAsia="宋体" w:cs="宋体"/>
          <w:b/>
          <w:bCs/>
          <w:color w:val="auto"/>
          <w:spacing w:val="0"/>
          <w:sz w:val="24"/>
          <w:lang w:val="en-US" w:eastAsia="zh-CN"/>
        </w:rPr>
        <w:t>4、招标人有权根据实际情况要求中标人增减相应人员，相应人员费用按中标单价执行。人员工作小于或等于15日的，按对应费用的一半计算，超过15日，不满30日的按一个月计算。</w:t>
      </w:r>
    </w:p>
    <w:p w14:paraId="72BFF8CE">
      <w:pPr>
        <w:snapToGrid w:val="0"/>
        <w:spacing w:line="360" w:lineRule="auto"/>
        <w:ind w:firstLine="480" w:firstLineChars="200"/>
        <w:outlineLvl w:val="1"/>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5、有下列情况之一的，招标人有权提前解除合同：</w:t>
      </w:r>
    </w:p>
    <w:p w14:paraId="19889CA0">
      <w:pPr>
        <w:snapToGrid w:val="0"/>
        <w:spacing w:line="360" w:lineRule="auto"/>
        <w:ind w:firstLine="480" w:firstLineChars="200"/>
        <w:outlineLvl w:val="1"/>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（1）中标单位没有严格按照方案进行管理的；</w:t>
      </w:r>
    </w:p>
    <w:p w14:paraId="1C073807">
      <w:pPr>
        <w:snapToGrid w:val="0"/>
        <w:spacing w:line="360" w:lineRule="auto"/>
        <w:ind w:firstLine="480" w:firstLineChars="200"/>
        <w:outlineLvl w:val="1"/>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（2）因管理、服务不到位，有效投诉较多且处理不力的；</w:t>
      </w:r>
    </w:p>
    <w:p w14:paraId="701E13F7">
      <w:pPr>
        <w:snapToGrid w:val="0"/>
        <w:spacing w:line="360" w:lineRule="auto"/>
        <w:ind w:firstLine="480" w:firstLineChars="200"/>
        <w:outlineLvl w:val="1"/>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（3）因为物业管理原因发生群众集体上访事件的；</w:t>
      </w:r>
    </w:p>
    <w:p w14:paraId="2AC7D68A">
      <w:pPr>
        <w:snapToGrid w:val="0"/>
        <w:spacing w:line="360" w:lineRule="auto"/>
        <w:ind w:firstLine="480" w:firstLineChars="200"/>
        <w:outlineLvl w:val="1"/>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（4）发生重大盗窃、重大火灾、重大安全事故的；</w:t>
      </w:r>
    </w:p>
    <w:p w14:paraId="23934A52">
      <w:pPr>
        <w:snapToGrid w:val="0"/>
        <w:spacing w:line="360" w:lineRule="auto"/>
        <w:ind w:firstLine="480" w:firstLineChars="200"/>
        <w:outlineLvl w:val="1"/>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（5）被主流媒体曝光，造成较大社会影响，经查实负有责任的；</w:t>
      </w:r>
    </w:p>
    <w:p w14:paraId="3ED18CCD">
      <w:pPr>
        <w:snapToGrid w:val="0"/>
        <w:spacing w:line="360" w:lineRule="auto"/>
        <w:ind w:firstLine="480" w:firstLineChars="200"/>
        <w:outlineLvl w:val="1"/>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（6）在考核检查工作中被二次以上通报批评的；</w:t>
      </w:r>
    </w:p>
    <w:p w14:paraId="6360C963">
      <w:pPr>
        <w:snapToGrid w:val="0"/>
        <w:spacing w:line="360" w:lineRule="auto"/>
        <w:ind w:firstLine="480" w:firstLineChars="200"/>
        <w:outlineLvl w:val="1"/>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（7）</w:t>
      </w:r>
      <w:r>
        <w:rPr>
          <w:rFonts w:hint="eastAsia" w:ascii="宋体" w:hAnsi="宋体" w:cs="宋体"/>
          <w:b w:val="0"/>
          <w:bCs w:val="0"/>
          <w:color w:val="auto"/>
          <w:spacing w:val="0"/>
          <w:sz w:val="24"/>
          <w:lang w:val="en-US" w:eastAsia="zh-CN"/>
        </w:rPr>
        <w:t>其他</w:t>
      </w:r>
      <w:r>
        <w:rPr>
          <w:rFonts w:hint="eastAsia" w:ascii="宋体" w:hAnsi="宋体" w:eastAsia="宋体" w:cs="宋体"/>
          <w:b w:val="0"/>
          <w:bCs w:val="0"/>
          <w:color w:val="auto"/>
          <w:spacing w:val="0"/>
          <w:sz w:val="24"/>
          <w:lang w:val="en-US" w:eastAsia="zh-CN"/>
        </w:rPr>
        <w:t>有影响社会稳定重大行为的。</w:t>
      </w:r>
    </w:p>
    <w:p w14:paraId="6F4F80B3">
      <w:pPr>
        <w:snapToGrid w:val="0"/>
        <w:spacing w:line="360" w:lineRule="auto"/>
        <w:ind w:firstLine="482" w:firstLineChars="200"/>
        <w:outlineLvl w:val="1"/>
        <w:rPr>
          <w:rFonts w:hint="eastAsia" w:ascii="宋体" w:hAnsi="宋体" w:eastAsia="宋体" w:cs="宋体"/>
          <w:b/>
          <w:bCs/>
          <w:color w:val="auto"/>
          <w:spacing w:val="0"/>
          <w:sz w:val="24"/>
          <w:highlight w:val="none"/>
          <w:lang w:val="en-US" w:eastAsia="zh-CN"/>
        </w:rPr>
      </w:pPr>
      <w:r>
        <w:rPr>
          <w:rFonts w:hint="eastAsia" w:ascii="宋体" w:hAnsi="宋体" w:eastAsia="宋体" w:cs="宋体"/>
          <w:b/>
          <w:bCs/>
          <w:color w:val="auto"/>
          <w:spacing w:val="0"/>
          <w:sz w:val="24"/>
          <w:highlight w:val="none"/>
          <w:lang w:val="en-US" w:eastAsia="zh-CN"/>
        </w:rPr>
        <w:t>注明：</w:t>
      </w:r>
    </w:p>
    <w:p w14:paraId="7834E381">
      <w:pPr>
        <w:snapToGrid w:val="0"/>
        <w:spacing w:line="360" w:lineRule="auto"/>
        <w:ind w:firstLine="482" w:firstLineChars="200"/>
        <w:outlineLvl w:val="1"/>
        <w:rPr>
          <w:rFonts w:hint="eastAsia" w:ascii="宋体" w:hAnsi="宋体" w:eastAsia="宋体" w:cs="宋体"/>
          <w:b/>
          <w:bCs/>
          <w:color w:val="auto"/>
          <w:spacing w:val="0"/>
          <w:sz w:val="24"/>
          <w:highlight w:val="none"/>
          <w:lang w:val="en-US" w:eastAsia="zh-CN"/>
        </w:rPr>
      </w:pPr>
      <w:r>
        <w:rPr>
          <w:rFonts w:hint="eastAsia" w:ascii="宋体" w:hAnsi="宋体" w:eastAsia="宋体" w:cs="宋体"/>
          <w:b/>
          <w:bCs/>
          <w:color w:val="auto"/>
          <w:spacing w:val="0"/>
          <w:sz w:val="24"/>
          <w:highlight w:val="none"/>
          <w:lang w:val="en-US" w:eastAsia="zh-CN"/>
        </w:rPr>
        <w:t>（1）所有人员费用结算标准以根据经招标人考核并确认过的每季度实际上岗天数和实际上岗人数来核算。请各投标人在报价时一并考虑以上要求合理报价。</w:t>
      </w:r>
    </w:p>
    <w:p w14:paraId="04761BB6">
      <w:pPr>
        <w:snapToGrid w:val="0"/>
        <w:spacing w:line="360" w:lineRule="auto"/>
        <w:ind w:firstLine="482" w:firstLineChars="200"/>
        <w:outlineLvl w:val="1"/>
        <w:rPr>
          <w:rFonts w:hint="eastAsia" w:ascii="宋体" w:hAnsi="宋体" w:eastAsia="宋体" w:cs="宋体"/>
          <w:b/>
          <w:bCs/>
          <w:color w:val="auto"/>
          <w:spacing w:val="0"/>
          <w:sz w:val="24"/>
          <w:highlight w:val="none"/>
          <w:lang w:val="en-US" w:eastAsia="zh-CN"/>
        </w:rPr>
      </w:pPr>
      <w:r>
        <w:rPr>
          <w:rFonts w:hint="eastAsia" w:ascii="宋体" w:hAnsi="宋体" w:eastAsia="宋体" w:cs="宋体"/>
          <w:b/>
          <w:bCs/>
          <w:color w:val="auto"/>
          <w:spacing w:val="0"/>
          <w:sz w:val="24"/>
          <w:highlight w:val="none"/>
          <w:lang w:val="en-US" w:eastAsia="zh-CN"/>
        </w:rPr>
        <w:t>（2）中标单位应为派至招标单位的员工办理合法的劳动用工手续，与其建立并签订合同，购买保险，中标单位应向招标人提供员工相关证明的原件或复印件，并保证其资料的真实有效性；在用工过程中涉及的工伤或者事故由中标单位自行负责。</w:t>
      </w:r>
    </w:p>
    <w:p w14:paraId="1BDA168D">
      <w:pPr>
        <w:snapToGrid w:val="0"/>
        <w:spacing w:line="360" w:lineRule="auto"/>
        <w:ind w:firstLine="482" w:firstLineChars="200"/>
        <w:outlineLvl w:val="1"/>
        <w:rPr>
          <w:rFonts w:hint="eastAsia" w:ascii="宋体" w:hAnsi="宋体" w:eastAsia="宋体" w:cs="宋体"/>
          <w:b/>
          <w:bCs/>
          <w:color w:val="auto"/>
          <w:spacing w:val="0"/>
          <w:sz w:val="24"/>
          <w:highlight w:val="none"/>
          <w:lang w:val="en-US" w:eastAsia="zh-CN"/>
        </w:rPr>
      </w:pPr>
      <w:r>
        <w:rPr>
          <w:rFonts w:hint="eastAsia" w:ascii="宋体" w:hAnsi="宋体" w:eastAsia="宋体" w:cs="宋体"/>
          <w:b/>
          <w:bCs/>
          <w:color w:val="auto"/>
          <w:spacing w:val="0"/>
          <w:sz w:val="24"/>
          <w:highlight w:val="none"/>
          <w:lang w:val="en-US" w:eastAsia="zh-CN"/>
        </w:rPr>
        <w:t>（3）投标人中标后按本项目需求中保安、保洁人员要求提供人员名单及与人员相关的证书，招标人有权根据其所提供的所有人员资料，根据本招标文件项目需求中的要求一一核实，若经招标人核实后确认，中标单位提供虚假资料或不符合项目需求中的任何一项标准的招标人有权根据相关情况有权取消其中标单位资格，并没收其履约保证金，由中标人承担一切责任和损失。</w:t>
      </w:r>
    </w:p>
    <w:p w14:paraId="03BA80BF">
      <w:pPr>
        <w:snapToGrid w:val="0"/>
        <w:spacing w:line="360" w:lineRule="auto"/>
        <w:ind w:firstLine="482" w:firstLineChars="200"/>
        <w:outlineLvl w:val="1"/>
        <w:rPr>
          <w:rFonts w:hint="eastAsia" w:ascii="宋体" w:hAnsi="宋体" w:eastAsia="宋体" w:cs="宋体"/>
          <w:b/>
          <w:bCs/>
          <w:color w:val="auto"/>
          <w:spacing w:val="0"/>
          <w:sz w:val="24"/>
          <w:highlight w:val="none"/>
          <w:lang w:val="en-US" w:eastAsia="zh-CN"/>
        </w:rPr>
      </w:pPr>
      <w:r>
        <w:rPr>
          <w:rFonts w:hint="eastAsia" w:ascii="宋体" w:hAnsi="宋体" w:eastAsia="宋体" w:cs="宋体"/>
          <w:b/>
          <w:bCs/>
          <w:color w:val="auto"/>
          <w:spacing w:val="0"/>
          <w:sz w:val="24"/>
          <w:highlight w:val="none"/>
          <w:lang w:val="en-US" w:eastAsia="zh-CN"/>
        </w:rPr>
        <w:t>三、付款方式</w:t>
      </w:r>
    </w:p>
    <w:p w14:paraId="0A9B5364">
      <w:pPr>
        <w:snapToGrid w:val="0"/>
        <w:spacing w:line="360" w:lineRule="auto"/>
        <w:ind w:firstLine="482" w:firstLineChars="200"/>
        <w:outlineLvl w:val="1"/>
        <w:rPr>
          <w:rFonts w:hint="eastAsia" w:ascii="宋体" w:hAnsi="宋体" w:eastAsia="宋体" w:cs="宋体"/>
          <w:b/>
          <w:bCs/>
          <w:color w:val="auto"/>
          <w:spacing w:val="0"/>
          <w:sz w:val="24"/>
          <w:highlight w:val="none"/>
          <w:lang w:val="en-US" w:eastAsia="zh-CN"/>
        </w:rPr>
      </w:pPr>
      <w:r>
        <w:rPr>
          <w:rFonts w:hint="eastAsia" w:ascii="宋体" w:hAnsi="宋体" w:eastAsia="宋体" w:cs="宋体"/>
          <w:b/>
          <w:bCs/>
          <w:color w:val="auto"/>
          <w:spacing w:val="0"/>
          <w:sz w:val="24"/>
          <w:highlight w:val="none"/>
          <w:lang w:val="en-US" w:eastAsia="zh-CN"/>
        </w:rPr>
        <w:t>每三个月支付实际发生费用的80%，合同到期后无遗留问题支付余款。每次支付前，中标人必须开具对应的发票。</w:t>
      </w:r>
    </w:p>
    <w:p w14:paraId="3B3DA854">
      <w:pPr>
        <w:snapToGrid w:val="0"/>
        <w:spacing w:line="360" w:lineRule="auto"/>
        <w:ind w:firstLine="482" w:firstLineChars="200"/>
        <w:outlineLvl w:val="1"/>
        <w:rPr>
          <w:rFonts w:hint="eastAsia" w:ascii="宋体" w:hAnsi="宋体" w:eastAsia="宋体" w:cs="宋体"/>
          <w:b/>
          <w:bCs/>
          <w:color w:val="auto"/>
          <w:spacing w:val="0"/>
          <w:sz w:val="24"/>
          <w:lang w:val="en-US" w:eastAsia="zh-CN"/>
        </w:rPr>
      </w:pPr>
      <w:r>
        <w:rPr>
          <w:rFonts w:hint="eastAsia" w:ascii="宋体" w:hAnsi="宋体" w:eastAsia="宋体" w:cs="宋体"/>
          <w:b/>
          <w:bCs/>
          <w:color w:val="auto"/>
          <w:spacing w:val="0"/>
          <w:sz w:val="24"/>
          <w:lang w:val="en-US" w:eastAsia="zh-CN"/>
        </w:rPr>
        <w:t>注明：根据本合同附件的相关规定，由招标人每月月底对中标单位的服务内容和服务进行考评，招标人有权根据项目对中标人的人员进驻实际情况及相关考核结果与中标人进行结算。</w:t>
      </w:r>
    </w:p>
    <w:p w14:paraId="118AA313">
      <w:pPr>
        <w:snapToGrid w:val="0"/>
        <w:spacing w:line="360" w:lineRule="auto"/>
        <w:ind w:firstLine="482" w:firstLineChars="200"/>
        <w:outlineLvl w:val="1"/>
        <w:rPr>
          <w:rFonts w:hint="eastAsia" w:ascii="宋体" w:hAnsi="宋体" w:eastAsia="宋体" w:cs="宋体"/>
          <w:b/>
          <w:bCs/>
          <w:color w:val="auto"/>
          <w:spacing w:val="0"/>
          <w:sz w:val="24"/>
          <w:lang w:val="en-US" w:eastAsia="zh-CN"/>
        </w:rPr>
      </w:pPr>
      <w:r>
        <w:rPr>
          <w:rFonts w:hint="eastAsia" w:ascii="宋体" w:hAnsi="宋体" w:eastAsia="宋体" w:cs="宋体"/>
          <w:b/>
          <w:bCs/>
          <w:color w:val="auto"/>
          <w:spacing w:val="0"/>
          <w:sz w:val="24"/>
          <w:lang w:val="en-US" w:eastAsia="zh-CN"/>
        </w:rPr>
        <w:t>中标单位必须确保按保安保洁岗位工作标准实施保安保洁服务，如无正当理由，违反有关规定，每月考核得分不足95分的，招标单位有权提前终止合同，且履约保证金不予退还。具体考核标准详见合同后附件。</w:t>
      </w:r>
    </w:p>
    <w:p w14:paraId="6C111869">
      <w:pPr>
        <w:spacing w:before="240" w:after="240" w:line="360" w:lineRule="exact"/>
        <w:jc w:val="center"/>
        <w:outlineLvl w:val="1"/>
        <w:rPr>
          <w:rFonts w:hint="eastAsia" w:ascii="宋体" w:hAnsi="宋体" w:eastAsia="宋体" w:cs="宋体"/>
          <w:b/>
          <w:color w:val="auto"/>
          <w:spacing w:val="0"/>
          <w:sz w:val="36"/>
          <w:szCs w:val="36"/>
        </w:rPr>
      </w:pPr>
      <w:r>
        <w:rPr>
          <w:rFonts w:hint="eastAsia" w:ascii="宋体" w:hAnsi="宋体" w:eastAsia="宋体" w:cs="宋体"/>
          <w:b/>
          <w:bCs/>
          <w:color w:val="auto"/>
          <w:spacing w:val="0"/>
          <w:sz w:val="24"/>
        </w:rPr>
        <w:br w:type="page"/>
      </w:r>
      <w:r>
        <w:rPr>
          <w:rFonts w:hint="eastAsia" w:ascii="宋体" w:hAnsi="宋体" w:eastAsia="宋体" w:cs="宋体"/>
          <w:b/>
          <w:color w:val="auto"/>
          <w:spacing w:val="0"/>
          <w:sz w:val="36"/>
          <w:szCs w:val="36"/>
        </w:rPr>
        <w:t>第四章 开标和评标</w:t>
      </w:r>
    </w:p>
    <w:p w14:paraId="61FD389E">
      <w:pPr>
        <w:adjustRightInd w:val="0"/>
        <w:snapToGrid w:val="0"/>
        <w:spacing w:line="360" w:lineRule="auto"/>
        <w:ind w:firstLine="487" w:firstLineChars="202"/>
        <w:rPr>
          <w:rFonts w:hint="eastAsia" w:ascii="宋体" w:hAnsi="宋体" w:eastAsia="宋体" w:cs="宋体"/>
          <w:b/>
          <w:color w:val="auto"/>
          <w:spacing w:val="0"/>
          <w:sz w:val="24"/>
          <w:highlight w:val="yellow"/>
        </w:rPr>
      </w:pPr>
    </w:p>
    <w:p w14:paraId="79700749">
      <w:pPr>
        <w:adjustRightInd w:val="0"/>
        <w:snapToGrid w:val="0"/>
        <w:spacing w:line="360" w:lineRule="auto"/>
        <w:ind w:firstLine="487" w:firstLineChars="202"/>
        <w:rPr>
          <w:rFonts w:hint="eastAsia" w:ascii="宋体" w:hAnsi="宋体" w:eastAsia="宋体" w:cs="宋体"/>
          <w:b/>
          <w:color w:val="auto"/>
          <w:spacing w:val="0"/>
          <w:sz w:val="24"/>
        </w:rPr>
      </w:pPr>
      <w:r>
        <w:rPr>
          <w:rFonts w:hint="eastAsia" w:ascii="宋体" w:hAnsi="宋体" w:eastAsia="宋体" w:cs="宋体"/>
          <w:b/>
          <w:color w:val="auto"/>
          <w:spacing w:val="0"/>
          <w:sz w:val="24"/>
        </w:rPr>
        <w:t>一、招标人委托招标代理机构组织开标</w:t>
      </w:r>
    </w:p>
    <w:p w14:paraId="37F33C27">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1、成立评标委员会小组，由招标人代表和有关专家依法组成。</w:t>
      </w:r>
    </w:p>
    <w:p w14:paraId="35B97E42">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2、投标人的法定代表人或被授权人须持身份证准时参加投标会。</w:t>
      </w:r>
    </w:p>
    <w:p w14:paraId="251B681E">
      <w:pPr>
        <w:adjustRightInd w:val="0"/>
        <w:snapToGrid w:val="0"/>
        <w:spacing w:line="360" w:lineRule="auto"/>
        <w:ind w:firstLine="487" w:firstLineChars="202"/>
        <w:rPr>
          <w:rFonts w:hint="eastAsia" w:ascii="宋体" w:hAnsi="宋体" w:eastAsia="宋体" w:cs="宋体"/>
          <w:b/>
          <w:color w:val="auto"/>
          <w:spacing w:val="0"/>
          <w:sz w:val="24"/>
        </w:rPr>
      </w:pPr>
      <w:r>
        <w:rPr>
          <w:rFonts w:hint="eastAsia" w:ascii="宋体" w:hAnsi="宋体" w:eastAsia="宋体" w:cs="宋体"/>
          <w:b/>
          <w:color w:val="auto"/>
          <w:spacing w:val="0"/>
          <w:sz w:val="24"/>
        </w:rPr>
        <w:t>二、开标</w:t>
      </w:r>
    </w:p>
    <w:p w14:paraId="10C09B8A">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1、招标代理机构主持开标并记录，及时处理投标人代表提出的询问或者回避申请。</w:t>
      </w:r>
    </w:p>
    <w:p w14:paraId="00E8FC69">
      <w:pPr>
        <w:snapToGrid w:val="0"/>
        <w:spacing w:line="360" w:lineRule="auto"/>
        <w:ind w:firstLine="480" w:firstLineChars="200"/>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2、投标人不足3家的不得开标，相应处理方式见本招标文件第四章第十一条的规定。</w:t>
      </w:r>
    </w:p>
    <w:p w14:paraId="4B8AACDD">
      <w:pPr>
        <w:adjustRightInd w:val="0"/>
        <w:snapToGrid w:val="0"/>
        <w:spacing w:line="360" w:lineRule="auto"/>
        <w:ind w:firstLine="487" w:firstLineChars="202"/>
        <w:rPr>
          <w:rFonts w:hint="eastAsia" w:ascii="宋体" w:hAnsi="宋体" w:eastAsia="宋体" w:cs="宋体"/>
          <w:b/>
          <w:color w:val="auto"/>
          <w:spacing w:val="0"/>
          <w:sz w:val="24"/>
        </w:rPr>
      </w:pPr>
      <w:r>
        <w:rPr>
          <w:rFonts w:hint="eastAsia" w:ascii="宋体" w:hAnsi="宋体" w:eastAsia="宋体" w:cs="宋体"/>
          <w:b/>
          <w:color w:val="auto"/>
          <w:spacing w:val="0"/>
          <w:sz w:val="24"/>
        </w:rPr>
        <w:t>三、资格审查</w:t>
      </w:r>
    </w:p>
    <w:p w14:paraId="50DFD2B5">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1、开标后，评标委员会根据招标文件载明的资格审查要求，对投标人的资格进行审查。</w:t>
      </w:r>
    </w:p>
    <w:p w14:paraId="0D0BC803">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2、资格审查合格的投标人进入评标。</w:t>
      </w:r>
    </w:p>
    <w:p w14:paraId="5E43FC88">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3、合格投标人不足3家的，不得评标。</w:t>
      </w:r>
    </w:p>
    <w:p w14:paraId="1BDC0430">
      <w:pPr>
        <w:adjustRightInd w:val="0"/>
        <w:snapToGrid w:val="0"/>
        <w:spacing w:line="360" w:lineRule="auto"/>
        <w:ind w:firstLine="487" w:firstLineChars="202"/>
        <w:rPr>
          <w:rFonts w:hint="eastAsia" w:ascii="宋体" w:hAnsi="宋体" w:eastAsia="宋体" w:cs="宋体"/>
          <w:b/>
          <w:color w:val="auto"/>
          <w:spacing w:val="0"/>
          <w:sz w:val="24"/>
        </w:rPr>
      </w:pPr>
      <w:r>
        <w:rPr>
          <w:rFonts w:hint="eastAsia" w:ascii="宋体" w:hAnsi="宋体" w:eastAsia="宋体" w:cs="宋体"/>
          <w:b/>
          <w:color w:val="auto"/>
          <w:spacing w:val="0"/>
          <w:sz w:val="24"/>
        </w:rPr>
        <w:t>四、评标</w:t>
      </w:r>
    </w:p>
    <w:p w14:paraId="35AFF817">
      <w:pPr>
        <w:adjustRightInd w:val="0"/>
        <w:snapToGrid w:val="0"/>
        <w:spacing w:line="360" w:lineRule="auto"/>
        <w:ind w:firstLine="484" w:firstLineChars="202"/>
        <w:rPr>
          <w:rFonts w:hint="eastAsia" w:ascii="宋体" w:hAnsi="宋体" w:eastAsia="宋体" w:cs="宋体"/>
          <w:b/>
          <w:color w:val="auto"/>
          <w:spacing w:val="0"/>
          <w:sz w:val="24"/>
        </w:rPr>
      </w:pPr>
      <w:r>
        <w:rPr>
          <w:rFonts w:hint="eastAsia" w:ascii="宋体" w:hAnsi="宋体" w:eastAsia="宋体" w:cs="宋体"/>
          <w:color w:val="auto"/>
          <w:spacing w:val="0"/>
          <w:sz w:val="24"/>
        </w:rPr>
        <w:t>1、评标时间：</w:t>
      </w:r>
      <w:r>
        <w:rPr>
          <w:rFonts w:hint="eastAsia" w:ascii="宋体" w:hAnsi="宋体" w:eastAsia="宋体" w:cs="宋体"/>
          <w:color w:val="auto"/>
          <w:spacing w:val="0"/>
          <w:kern w:val="0"/>
          <w:sz w:val="24"/>
        </w:rPr>
        <w:t>资格审查后当即开始。</w:t>
      </w:r>
    </w:p>
    <w:p w14:paraId="10D616B0">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2、招标代理机构负责组织评标工作，并履行下列职责：</w:t>
      </w:r>
    </w:p>
    <w:p w14:paraId="53D9EAC7">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（1）核对评审专家身份和招标人代表授权函，对评审专家在招标活动中的职责履行情况予以记录，并及时将有关违法违规行为向相关部门报告。</w:t>
      </w:r>
    </w:p>
    <w:p w14:paraId="5E1AD477">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（2）宣布评标纪律。</w:t>
      </w:r>
    </w:p>
    <w:p w14:paraId="4022846A">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（3）公布投标人名单，告知评审专家应当回避的情形。</w:t>
      </w:r>
    </w:p>
    <w:p w14:paraId="71556FCD">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（4）组织评标委员会推选评标组长，招标人代表不得担任组长。</w:t>
      </w:r>
    </w:p>
    <w:p w14:paraId="456E4420">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（5）在评标期间采取必要的通讯管理措施，保证评标活动不受外界干扰；除招标人代表、评标现场组织人员外，招标人的其他工作人员以及与评标工作无关的人员不得进入评标现场。</w:t>
      </w:r>
    </w:p>
    <w:p w14:paraId="7D417E0D">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（6）根据评标委员会的要求介绍招标活动相关政策法规、招标文件。</w:t>
      </w:r>
    </w:p>
    <w:p w14:paraId="4A3DEDB3">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7）维护评标秩序，监督评标委员会依照招标文件规定的评标程序、方法和标准进行独立评审，及时制止和纠正招标人代表、评审专家的倾向性言论或者违法违规行为；招标人可以在评标前说明项目背景和项目需求，说明内容不得含有歧视性、倾向性意见，不得超出招标文件所述范围。说明应当提交书面材料，并随招标文件一并存档。</w:t>
      </w:r>
    </w:p>
    <w:p w14:paraId="35C8B50F">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w:t>
      </w:r>
      <w:r>
        <w:rPr>
          <w:rFonts w:hint="eastAsia" w:ascii="宋体" w:hAnsi="宋体" w:eastAsia="宋体" w:cs="宋体"/>
          <w:color w:val="auto"/>
          <w:spacing w:val="0"/>
          <w:sz w:val="24"/>
          <w:lang w:val="en-US" w:eastAsia="zh-CN"/>
        </w:rPr>
        <w:t>8</w:t>
      </w:r>
      <w:r>
        <w:rPr>
          <w:rFonts w:hint="eastAsia" w:ascii="宋体" w:hAnsi="宋体" w:eastAsia="宋体" w:cs="宋体"/>
          <w:color w:val="auto"/>
          <w:spacing w:val="0"/>
          <w:sz w:val="24"/>
        </w:rPr>
        <w:t>）评审工作完成后，按照规定向评审专家支付劳务报酬和异地评审差旅费，不得向评审专家以外的其他人员支付评审劳务报酬；</w:t>
      </w:r>
    </w:p>
    <w:p w14:paraId="7D5C5432">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w:t>
      </w:r>
      <w:r>
        <w:rPr>
          <w:rFonts w:hint="eastAsia" w:ascii="宋体" w:hAnsi="宋体" w:eastAsia="宋体" w:cs="宋体"/>
          <w:color w:val="auto"/>
          <w:spacing w:val="0"/>
          <w:sz w:val="24"/>
          <w:lang w:val="en-US" w:eastAsia="zh-CN"/>
        </w:rPr>
        <w:t>9</w:t>
      </w:r>
      <w:r>
        <w:rPr>
          <w:rFonts w:hint="eastAsia" w:ascii="宋体" w:hAnsi="宋体" w:eastAsia="宋体" w:cs="宋体"/>
          <w:color w:val="auto"/>
          <w:spacing w:val="0"/>
          <w:sz w:val="24"/>
        </w:rPr>
        <w:t>）处理与评标有关的其他事项。</w:t>
      </w:r>
    </w:p>
    <w:p w14:paraId="44C5A65D">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3、评标委员会负责具体评标事务：</w:t>
      </w:r>
    </w:p>
    <w:p w14:paraId="7E21406A">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36773148">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472032A8">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14:paraId="29656FB4">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4、评标委员会成员独立履行以下职责与义务：</w:t>
      </w:r>
    </w:p>
    <w:p w14:paraId="04DB3349">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（1）遵纪守法，客观、公正、廉洁地履行职责；</w:t>
      </w:r>
    </w:p>
    <w:p w14:paraId="48FF21E6">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（2）审查合格投标人的投标文件是否实质性响应招标文件要求，并</w:t>
      </w:r>
      <w:r>
        <w:rPr>
          <w:rFonts w:hint="eastAsia" w:ascii="宋体" w:hAnsi="宋体" w:cs="宋体"/>
          <w:color w:val="auto"/>
          <w:spacing w:val="0"/>
          <w:sz w:val="24"/>
          <w:lang w:eastAsia="zh-CN"/>
        </w:rPr>
        <w:t>作出评价</w:t>
      </w:r>
      <w:r>
        <w:rPr>
          <w:rFonts w:hint="eastAsia" w:ascii="宋体" w:hAnsi="宋体" w:eastAsia="宋体" w:cs="宋体"/>
          <w:color w:val="auto"/>
          <w:spacing w:val="0"/>
          <w:sz w:val="24"/>
        </w:rPr>
        <w:t>；</w:t>
      </w:r>
    </w:p>
    <w:p w14:paraId="487917B3">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（3）按照招标文件规定的评标办法和评标标准进行评标，对评审意见承担个人责任；</w:t>
      </w:r>
    </w:p>
    <w:p w14:paraId="09615477">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（4）可以要求投标人对投标文件有关事项</w:t>
      </w:r>
      <w:r>
        <w:rPr>
          <w:rFonts w:hint="eastAsia" w:ascii="宋体" w:hAnsi="宋体" w:cs="宋体"/>
          <w:color w:val="auto"/>
          <w:spacing w:val="0"/>
          <w:sz w:val="24"/>
          <w:lang w:eastAsia="zh-CN"/>
        </w:rPr>
        <w:t>作出</w:t>
      </w:r>
      <w:r>
        <w:rPr>
          <w:rFonts w:hint="eastAsia" w:ascii="宋体" w:hAnsi="宋体" w:eastAsia="宋体" w:cs="宋体"/>
          <w:color w:val="auto"/>
          <w:spacing w:val="0"/>
          <w:sz w:val="24"/>
        </w:rPr>
        <w:t>解释或澄清；</w:t>
      </w:r>
    </w:p>
    <w:p w14:paraId="035CA126">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（5）对评标过程和结果，以及投标人的商业秘密保密；</w:t>
      </w:r>
    </w:p>
    <w:p w14:paraId="307D3A53">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（6）配合相关部门的投诉处理工作；</w:t>
      </w:r>
    </w:p>
    <w:p w14:paraId="7292C487">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（7）配合招标人或代理机构答复投标人提出的质疑；</w:t>
      </w:r>
    </w:p>
    <w:p w14:paraId="627CCF01">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（8）在评审过程中发现投标人有行贿、提供虚假材料或者串通等违法行为的，应当及时向相关部门报告。</w:t>
      </w:r>
    </w:p>
    <w:p w14:paraId="63BAD2F2">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（9）评标委员会成员在评审过程中受到非法干涉的，应当及时向监察等部门举报。</w:t>
      </w:r>
    </w:p>
    <w:p w14:paraId="7E64C54F">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5、除招标人代表、评标现场组织人员外，招标人的其他工作人员以及与评标工作无关的人员不得进入评标现场；有关人员对评标情况以及在评标过程中获悉的国家秘密、商业秘密负有保密责任。</w:t>
      </w:r>
    </w:p>
    <w:p w14:paraId="4A333A31">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6、开标后直到公告项目中标结果发出中标通知书并授予中标人合同为止，凡属于评审、澄清、评价和比较投标的所有资料及有关授予合同等的相关信息，都不应向投标人或与评标无关的其他人泄露。</w:t>
      </w:r>
    </w:p>
    <w:p w14:paraId="3C018612">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7、评审期间，合格投标人的投标文件仍有可能被评标委员会根据规定判为无效投标。</w:t>
      </w:r>
    </w:p>
    <w:p w14:paraId="570D52D1">
      <w:pPr>
        <w:adjustRightInd w:val="0"/>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8、在投标文件的评审、澄清、评价和比较以及授予合同的过程中，投标人对招标人和评标委员会成员有施加影响的任何行为，都将取消其可能的中标资格。</w:t>
      </w:r>
    </w:p>
    <w:p w14:paraId="3624AE10">
      <w:pPr>
        <w:adjustRightInd w:val="0"/>
        <w:snapToGrid w:val="0"/>
        <w:spacing w:line="360" w:lineRule="auto"/>
        <w:ind w:firstLine="487" w:firstLineChars="202"/>
        <w:outlineLvl w:val="1"/>
        <w:rPr>
          <w:rFonts w:hint="eastAsia" w:ascii="宋体" w:hAnsi="宋体" w:eastAsia="宋体" w:cs="宋体"/>
          <w:b/>
          <w:bCs/>
          <w:color w:val="auto"/>
          <w:spacing w:val="0"/>
          <w:sz w:val="24"/>
        </w:rPr>
      </w:pPr>
      <w:r>
        <w:rPr>
          <w:rFonts w:hint="eastAsia" w:ascii="宋体" w:hAnsi="宋体" w:eastAsia="宋体" w:cs="宋体"/>
          <w:b/>
          <w:bCs/>
          <w:color w:val="auto"/>
          <w:spacing w:val="0"/>
          <w:sz w:val="24"/>
        </w:rPr>
        <w:t>五、评审原则</w:t>
      </w:r>
    </w:p>
    <w:p w14:paraId="6B2212FD">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1、本项目采用</w:t>
      </w:r>
      <w:r>
        <w:rPr>
          <w:rFonts w:hint="eastAsia" w:ascii="宋体" w:hAnsi="宋体" w:eastAsia="宋体" w:cs="宋体"/>
          <w:b/>
          <w:color w:val="auto"/>
          <w:spacing w:val="0"/>
          <w:sz w:val="24"/>
          <w:u w:val="single"/>
        </w:rPr>
        <w:t>综合评分法</w:t>
      </w:r>
      <w:r>
        <w:rPr>
          <w:rFonts w:hint="eastAsia" w:ascii="宋体" w:hAnsi="宋体" w:eastAsia="宋体" w:cs="宋体"/>
          <w:color w:val="auto"/>
          <w:spacing w:val="0"/>
          <w:sz w:val="24"/>
        </w:rPr>
        <w:t>，即指投标文件满足本项目招标文件全部实质性要求，且按照评审因素的量化指标，经评审后得分最高的投标人推荐为中标人的评标方法。</w:t>
      </w:r>
    </w:p>
    <w:p w14:paraId="190BB02D">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5AACBDA3">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3</w:t>
      </w:r>
      <w:r>
        <w:rPr>
          <w:rFonts w:hint="eastAsia" w:ascii="宋体" w:hAnsi="宋体" w:eastAsia="宋体" w:cs="宋体"/>
          <w:color w:val="auto"/>
          <w:spacing w:val="0"/>
          <w:sz w:val="24"/>
        </w:rPr>
        <w:t>、对投标文件的评审判定，只依据投标文件内容本身，不依靠开标后任何外来证明文件。</w:t>
      </w:r>
    </w:p>
    <w:p w14:paraId="01F5599B">
      <w:pPr>
        <w:snapToGrid w:val="0"/>
        <w:spacing w:line="360" w:lineRule="auto"/>
        <w:ind w:firstLine="487" w:firstLineChars="202"/>
        <w:rPr>
          <w:rFonts w:hint="eastAsia" w:ascii="宋体" w:hAnsi="宋体" w:eastAsia="宋体" w:cs="宋体"/>
          <w:b/>
          <w:color w:val="auto"/>
          <w:spacing w:val="0"/>
          <w:sz w:val="24"/>
        </w:rPr>
      </w:pPr>
      <w:r>
        <w:rPr>
          <w:rFonts w:hint="eastAsia" w:ascii="宋体" w:hAnsi="宋体" w:eastAsia="宋体" w:cs="宋体"/>
          <w:b/>
          <w:color w:val="auto"/>
          <w:spacing w:val="0"/>
          <w:sz w:val="24"/>
        </w:rPr>
        <w:t>六、评审方法</w:t>
      </w:r>
    </w:p>
    <w:p w14:paraId="072D73E7">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1、评标程序：</w:t>
      </w:r>
    </w:p>
    <w:p w14:paraId="57AD50DC">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资格符合性评审——技术标评审——商务标评审——确定中标候选人。</w:t>
      </w:r>
    </w:p>
    <w:p w14:paraId="598B0112">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本次资格审查采用资格后审，各投标人资格审查通过后方能进入技术标的开标。先开技术标，技术标打分结束后再开商务标。</w:t>
      </w:r>
    </w:p>
    <w:p w14:paraId="53E91D18">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2、评标委员会将仅对按本招标文件载明的方法与规定，为实质上响应招标文件要求的投标文件评审并进行评价和比较。</w:t>
      </w:r>
    </w:p>
    <w:p w14:paraId="4971249B">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3、评标委员会严格按照招标文件的要求、条件、评分标准，对投标</w:t>
      </w:r>
      <w:r>
        <w:rPr>
          <w:rFonts w:hint="eastAsia" w:ascii="宋体" w:hAnsi="宋体" w:eastAsia="宋体" w:cs="宋体"/>
          <w:color w:val="auto"/>
          <w:spacing w:val="0"/>
          <w:sz w:val="24"/>
          <w:lang w:eastAsia="zh-CN"/>
        </w:rPr>
        <w:t>人</w:t>
      </w:r>
      <w:r>
        <w:rPr>
          <w:rFonts w:hint="eastAsia" w:ascii="宋体" w:hAnsi="宋体" w:eastAsia="宋体" w:cs="宋体"/>
          <w:color w:val="auto"/>
          <w:spacing w:val="0"/>
          <w:sz w:val="24"/>
        </w:rPr>
        <w:t>所提供服务的先进性、可靠性、售后服务承诺、质量保证承诺等实质性响应内容进行评审。</w:t>
      </w:r>
    </w:p>
    <w:p w14:paraId="4A9F1195">
      <w:pPr>
        <w:snapToGrid w:val="0"/>
        <w:spacing w:line="360" w:lineRule="auto"/>
        <w:ind w:firstLine="484" w:firstLineChars="202"/>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4、评标委员会构成共</w:t>
      </w:r>
      <w:r>
        <w:rPr>
          <w:rFonts w:hint="eastAsia" w:ascii="宋体" w:hAnsi="宋体" w:cs="宋体"/>
          <w:color w:val="auto"/>
          <w:spacing w:val="0"/>
          <w:sz w:val="24"/>
          <w:lang w:val="en-US" w:eastAsia="zh-CN"/>
        </w:rPr>
        <w:t>5</w:t>
      </w:r>
      <w:r>
        <w:rPr>
          <w:rFonts w:hint="eastAsia" w:ascii="宋体" w:hAnsi="宋体" w:eastAsia="宋体" w:cs="宋体"/>
          <w:color w:val="auto"/>
          <w:spacing w:val="0"/>
          <w:sz w:val="24"/>
          <w:lang w:val="en-US" w:eastAsia="zh-CN"/>
        </w:rPr>
        <w:t>人或</w:t>
      </w:r>
      <w:r>
        <w:rPr>
          <w:rFonts w:hint="eastAsia" w:ascii="宋体" w:hAnsi="宋体" w:cs="宋体"/>
          <w:color w:val="auto"/>
          <w:spacing w:val="0"/>
          <w:sz w:val="24"/>
          <w:lang w:val="en-US" w:eastAsia="zh-CN"/>
        </w:rPr>
        <w:t>5</w:t>
      </w:r>
      <w:r>
        <w:rPr>
          <w:rFonts w:hint="eastAsia" w:ascii="宋体" w:hAnsi="宋体" w:eastAsia="宋体" w:cs="宋体"/>
          <w:color w:val="auto"/>
          <w:spacing w:val="0"/>
          <w:sz w:val="24"/>
          <w:lang w:val="en-US" w:eastAsia="zh-CN"/>
        </w:rPr>
        <w:t>人以上单数；评标专家确定方式：由招标人负责组建。</w:t>
      </w:r>
    </w:p>
    <w:p w14:paraId="3E01548B">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5、</w:t>
      </w:r>
      <w:r>
        <w:rPr>
          <w:rFonts w:hint="eastAsia" w:ascii="宋体" w:hAnsi="宋体" w:eastAsia="宋体" w:cs="宋体"/>
          <w:color w:val="auto"/>
          <w:spacing w:val="0"/>
          <w:sz w:val="24"/>
        </w:rPr>
        <w:t>本次项目的技术标和商务标评审总分值为100分。两部分评审因素比重如下：</w:t>
      </w:r>
    </w:p>
    <w:p w14:paraId="7D109028">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技术标分值占总分值的比重为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70</w:t>
      </w:r>
      <w:r>
        <w:rPr>
          <w:rFonts w:hint="eastAsia" w:ascii="宋体" w:hAnsi="宋体" w:eastAsia="宋体" w:cs="宋体"/>
          <w:color w:val="auto"/>
          <w:spacing w:val="0"/>
          <w:sz w:val="24"/>
          <w:u w:val="single"/>
        </w:rPr>
        <w:t>%（权重）</w:t>
      </w:r>
      <w:r>
        <w:rPr>
          <w:rFonts w:hint="eastAsia" w:ascii="宋体" w:hAnsi="宋体" w:eastAsia="宋体" w:cs="宋体"/>
          <w:color w:val="auto"/>
          <w:spacing w:val="0"/>
          <w:sz w:val="24"/>
        </w:rPr>
        <w:t>（计算结果均四舍五入保留两位小数）；</w:t>
      </w:r>
    </w:p>
    <w:p w14:paraId="651256B6">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商务标分值占总分值的比重为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30</w:t>
      </w:r>
      <w:r>
        <w:rPr>
          <w:rFonts w:hint="eastAsia" w:ascii="宋体" w:hAnsi="宋体" w:eastAsia="宋体" w:cs="宋体"/>
          <w:color w:val="auto"/>
          <w:spacing w:val="0"/>
          <w:sz w:val="24"/>
          <w:u w:val="single"/>
        </w:rPr>
        <w:t>%（权重）</w:t>
      </w:r>
      <w:r>
        <w:rPr>
          <w:rFonts w:hint="eastAsia" w:ascii="宋体" w:hAnsi="宋体" w:eastAsia="宋体" w:cs="宋体"/>
          <w:color w:val="auto"/>
          <w:spacing w:val="0"/>
          <w:sz w:val="24"/>
        </w:rPr>
        <w:t>（计算结果均四舍五入保留两位小数）；</w:t>
      </w:r>
    </w:p>
    <w:p w14:paraId="1DD010EF">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6</w:t>
      </w:r>
      <w:r>
        <w:rPr>
          <w:rFonts w:hint="eastAsia" w:ascii="宋体" w:hAnsi="宋体" w:eastAsia="宋体" w:cs="宋体"/>
          <w:color w:val="auto"/>
          <w:spacing w:val="0"/>
          <w:sz w:val="24"/>
        </w:rPr>
        <w:t>、评标委员会严格按照招标文件的要求、条件、评分标准，对投标人所提供服务的先进性、可靠性、售后服务承诺、质量保证承诺等实质性响应内容进行比较。</w:t>
      </w:r>
    </w:p>
    <w:p w14:paraId="18129370">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7</w:t>
      </w:r>
      <w:r>
        <w:rPr>
          <w:rFonts w:hint="eastAsia" w:ascii="宋体" w:hAnsi="宋体" w:eastAsia="宋体" w:cs="宋体"/>
          <w:color w:val="auto"/>
          <w:spacing w:val="0"/>
          <w:sz w:val="24"/>
        </w:rPr>
        <w:t>、各投标人技术分为评委会成员评分的算术平均分（计算结果均四舍五入保留两位小数）。</w:t>
      </w:r>
    </w:p>
    <w:p w14:paraId="530EBB7B">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8</w:t>
      </w:r>
      <w:r>
        <w:rPr>
          <w:rFonts w:hint="eastAsia" w:ascii="宋体" w:hAnsi="宋体" w:eastAsia="宋体" w:cs="宋体"/>
          <w:color w:val="auto"/>
          <w:spacing w:val="0"/>
          <w:sz w:val="24"/>
        </w:rPr>
        <w:t>、开启投标人的商务报价标，现场唱标后由投标人代表签名确认。</w:t>
      </w:r>
    </w:p>
    <w:p w14:paraId="28CE0DC2">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9</w:t>
      </w:r>
      <w:r>
        <w:rPr>
          <w:rFonts w:hint="eastAsia" w:ascii="宋体" w:hAnsi="宋体" w:eastAsia="宋体" w:cs="宋体"/>
          <w:color w:val="auto"/>
          <w:spacing w:val="0"/>
          <w:sz w:val="24"/>
        </w:rPr>
        <w:t>、投标人的价格标评审得分直接计算取得，并与其技术标得分相加为该投标人的综合得分（计算结果均四舍五入保留两位小数）。</w:t>
      </w:r>
    </w:p>
    <w:p w14:paraId="0988C576">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8</w:t>
      </w:r>
      <w:r>
        <w:rPr>
          <w:rFonts w:hint="eastAsia" w:ascii="宋体" w:hAnsi="宋体" w:eastAsia="宋体" w:cs="宋体"/>
          <w:color w:val="auto"/>
          <w:spacing w:val="0"/>
          <w:sz w:val="24"/>
        </w:rPr>
        <w:t>、评标结果按评审后</w:t>
      </w:r>
      <w:r>
        <w:rPr>
          <w:rFonts w:hint="eastAsia" w:ascii="宋体" w:hAnsi="宋体" w:eastAsia="宋体" w:cs="宋体"/>
          <w:color w:val="auto"/>
          <w:spacing w:val="0"/>
          <w:sz w:val="24"/>
          <w:lang w:val="en-US" w:eastAsia="zh-CN"/>
        </w:rPr>
        <w:t>综合</w:t>
      </w:r>
      <w:r>
        <w:rPr>
          <w:rFonts w:hint="eastAsia" w:ascii="宋体" w:hAnsi="宋体" w:eastAsia="宋体" w:cs="宋体"/>
          <w:color w:val="auto"/>
          <w:spacing w:val="0"/>
          <w:sz w:val="24"/>
        </w:rPr>
        <w:t>得分由高到低顺序排列。</w:t>
      </w:r>
      <w:r>
        <w:rPr>
          <w:rFonts w:hint="eastAsia" w:ascii="宋体" w:hAnsi="宋体" w:eastAsia="宋体" w:cs="宋体"/>
          <w:color w:val="auto"/>
          <w:spacing w:val="0"/>
          <w:sz w:val="24"/>
          <w:lang w:val="en-US" w:eastAsia="zh-CN"/>
        </w:rPr>
        <w:t>综合</w:t>
      </w:r>
      <w:r>
        <w:rPr>
          <w:rFonts w:hint="eastAsia" w:ascii="宋体" w:hAnsi="宋体" w:eastAsia="宋体" w:cs="宋体"/>
          <w:color w:val="auto"/>
          <w:spacing w:val="0"/>
          <w:sz w:val="24"/>
        </w:rPr>
        <w:t>得分相同的，按报价低的排名优先。综合得分且投标报价相同的，则采取现场抽签的方式确定</w:t>
      </w:r>
      <w:r>
        <w:rPr>
          <w:rFonts w:hint="eastAsia" w:ascii="宋体" w:hAnsi="宋体" w:eastAsia="宋体" w:cs="宋体"/>
          <w:color w:val="auto"/>
          <w:spacing w:val="0"/>
          <w:sz w:val="24"/>
          <w:lang w:val="en-US" w:eastAsia="zh-CN"/>
        </w:rPr>
        <w:t>中标候选人顺序</w:t>
      </w:r>
      <w:r>
        <w:rPr>
          <w:rFonts w:hint="eastAsia" w:ascii="宋体" w:hAnsi="宋体" w:eastAsia="宋体" w:cs="宋体"/>
          <w:color w:val="auto"/>
          <w:spacing w:val="0"/>
          <w:sz w:val="24"/>
        </w:rPr>
        <w:t>。投标文件满足招标文件全部实质性要求，且按照评审因素的量化指标评审得分前三名的投标人为中标候选人。</w:t>
      </w:r>
    </w:p>
    <w:p w14:paraId="52927D5A">
      <w:pPr>
        <w:snapToGrid w:val="0"/>
        <w:spacing w:line="360" w:lineRule="auto"/>
        <w:ind w:firstLine="484" w:firstLineChars="202"/>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9</w:t>
      </w:r>
      <w:r>
        <w:rPr>
          <w:rFonts w:hint="eastAsia" w:ascii="宋体" w:hAnsi="宋体" w:eastAsia="宋体" w:cs="宋体"/>
          <w:color w:val="auto"/>
          <w:spacing w:val="0"/>
          <w:sz w:val="24"/>
          <w:highlight w:val="none"/>
        </w:rPr>
        <w:t>、评标结果按投标文件满足招标文件全部实质性要求，且按照评审因素的量化指标评审综合得分最高的投标人，排名第一的确定为中标人，出具评审报告并将结果通知所有投标人。</w:t>
      </w:r>
    </w:p>
    <w:p w14:paraId="749E5797">
      <w:pPr>
        <w:snapToGrid w:val="0"/>
        <w:spacing w:line="360" w:lineRule="auto"/>
        <w:ind w:firstLine="487" w:firstLineChars="202"/>
        <w:rPr>
          <w:rFonts w:hint="eastAsia" w:ascii="宋体" w:hAnsi="宋体" w:eastAsia="宋体" w:cs="宋体"/>
          <w:b/>
          <w:color w:val="auto"/>
          <w:spacing w:val="0"/>
          <w:sz w:val="24"/>
        </w:rPr>
      </w:pPr>
      <w:r>
        <w:rPr>
          <w:rFonts w:hint="eastAsia" w:ascii="宋体" w:hAnsi="宋体" w:eastAsia="宋体" w:cs="宋体"/>
          <w:b/>
          <w:color w:val="auto"/>
          <w:spacing w:val="0"/>
          <w:sz w:val="24"/>
        </w:rPr>
        <w:t>七、关于投标价格评审</w:t>
      </w:r>
    </w:p>
    <w:p w14:paraId="2AD1DAD3">
      <w:pPr>
        <w:snapToGrid w:val="0"/>
        <w:spacing w:line="360" w:lineRule="auto"/>
        <w:ind w:firstLine="480" w:firstLineChars="200"/>
        <w:outlineLvl w:val="2"/>
        <w:rPr>
          <w:rFonts w:hint="eastAsia" w:ascii="宋体" w:hAnsi="宋体" w:eastAsia="宋体" w:cs="宋体"/>
          <w:color w:val="auto"/>
          <w:spacing w:val="0"/>
          <w:sz w:val="24"/>
        </w:rPr>
      </w:pPr>
      <w:r>
        <w:rPr>
          <w:rFonts w:hint="eastAsia" w:ascii="宋体" w:hAnsi="宋体" w:eastAsia="宋体" w:cs="宋体"/>
          <w:color w:val="auto"/>
          <w:spacing w:val="0"/>
          <w:sz w:val="24"/>
        </w:rPr>
        <w:t>1、针对投标价格实质响应的评审</w:t>
      </w:r>
    </w:p>
    <w:p w14:paraId="114E57E4">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则按无效投标处理。</w:t>
      </w:r>
    </w:p>
    <w:p w14:paraId="14B85668">
      <w:pPr>
        <w:snapToGrid w:val="0"/>
        <w:spacing w:line="360" w:lineRule="auto"/>
        <w:ind w:firstLine="480" w:firstLineChars="200"/>
        <w:outlineLvl w:val="2"/>
        <w:rPr>
          <w:rFonts w:hint="eastAsia" w:ascii="宋体" w:hAnsi="宋体" w:eastAsia="宋体" w:cs="宋体"/>
          <w:color w:val="auto"/>
          <w:spacing w:val="0"/>
          <w:sz w:val="24"/>
        </w:rPr>
      </w:pPr>
      <w:r>
        <w:rPr>
          <w:rFonts w:hint="eastAsia" w:ascii="宋体" w:hAnsi="宋体" w:eastAsia="宋体" w:cs="宋体"/>
          <w:color w:val="auto"/>
          <w:spacing w:val="0"/>
          <w:sz w:val="24"/>
        </w:rPr>
        <w:t>2、针对投标价格合理性的评审</w:t>
      </w:r>
    </w:p>
    <w:p w14:paraId="28EBC79E">
      <w:pPr>
        <w:snapToGrid w:val="0"/>
        <w:spacing w:line="360" w:lineRule="auto"/>
        <w:ind w:firstLine="487" w:firstLineChars="202"/>
        <w:rPr>
          <w:rFonts w:hint="eastAsia" w:ascii="宋体" w:hAnsi="宋体" w:eastAsia="宋体" w:cs="宋体"/>
          <w:b/>
          <w:bCs/>
          <w:color w:val="auto"/>
          <w:spacing w:val="0"/>
          <w:sz w:val="24"/>
          <w:u w:val="thick" w:color="FF0000"/>
        </w:rPr>
      </w:pPr>
      <w:r>
        <w:rPr>
          <w:rFonts w:hint="eastAsia" w:ascii="宋体" w:hAnsi="宋体" w:eastAsia="宋体" w:cs="宋体"/>
          <w:b/>
          <w:bCs/>
          <w:color w:val="auto"/>
          <w:spacing w:val="0"/>
          <w:sz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color w:val="auto"/>
          <w:spacing w:val="0"/>
          <w:sz w:val="24"/>
        </w:rPr>
        <w:t xml:space="preserve"> </w:t>
      </w:r>
    </w:p>
    <w:p w14:paraId="514A12F9">
      <w:pPr>
        <w:snapToGrid w:val="0"/>
        <w:spacing w:line="360" w:lineRule="auto"/>
        <w:ind w:firstLine="487" w:firstLineChars="202"/>
        <w:rPr>
          <w:rFonts w:hint="eastAsia" w:ascii="宋体" w:hAnsi="宋体" w:eastAsia="宋体" w:cs="宋体"/>
          <w:b/>
          <w:color w:val="auto"/>
          <w:spacing w:val="0"/>
          <w:sz w:val="24"/>
        </w:rPr>
      </w:pPr>
      <w:r>
        <w:rPr>
          <w:rFonts w:hint="eastAsia" w:ascii="宋体" w:hAnsi="宋体" w:eastAsia="宋体" w:cs="宋体"/>
          <w:b/>
          <w:color w:val="auto"/>
          <w:spacing w:val="0"/>
          <w:sz w:val="24"/>
        </w:rPr>
        <w:t>八、评审评分项</w:t>
      </w:r>
    </w:p>
    <w:p w14:paraId="359652CA">
      <w:pPr>
        <w:snapToGrid w:val="0"/>
        <w:spacing w:line="360" w:lineRule="auto"/>
        <w:ind w:firstLine="487" w:firstLineChars="202"/>
        <w:rPr>
          <w:rFonts w:hint="eastAsia" w:ascii="宋体" w:hAnsi="宋体" w:eastAsia="宋体" w:cs="宋体"/>
          <w:b/>
          <w:bCs/>
          <w:color w:val="auto"/>
          <w:spacing w:val="0"/>
          <w:sz w:val="24"/>
        </w:rPr>
      </w:pPr>
      <w:r>
        <w:rPr>
          <w:rFonts w:hint="eastAsia" w:ascii="宋体" w:hAnsi="宋体" w:eastAsia="宋体" w:cs="宋体"/>
          <w:b/>
          <w:bCs/>
          <w:color w:val="auto"/>
          <w:spacing w:val="0"/>
          <w:sz w:val="24"/>
        </w:rPr>
        <w:t>（一）技术标评分：（</w:t>
      </w:r>
      <w:r>
        <w:rPr>
          <w:rFonts w:hint="eastAsia" w:ascii="宋体" w:hAnsi="宋体" w:eastAsia="宋体" w:cs="宋体"/>
          <w:b/>
          <w:bCs/>
          <w:color w:val="auto"/>
          <w:spacing w:val="0"/>
          <w:sz w:val="24"/>
          <w:lang w:val="en-US" w:eastAsia="zh-CN"/>
        </w:rPr>
        <w:t>7</w:t>
      </w:r>
      <w:r>
        <w:rPr>
          <w:rFonts w:hint="eastAsia" w:ascii="宋体" w:hAnsi="宋体" w:eastAsia="宋体" w:cs="宋体"/>
          <w:b/>
          <w:bCs/>
          <w:color w:val="auto"/>
          <w:spacing w:val="0"/>
          <w:sz w:val="24"/>
        </w:rPr>
        <w:t>0分）</w:t>
      </w:r>
    </w:p>
    <w:tbl>
      <w:tblPr>
        <w:tblStyle w:val="1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104"/>
        <w:gridCol w:w="1159"/>
        <w:gridCol w:w="819"/>
        <w:gridCol w:w="6122"/>
      </w:tblGrid>
      <w:tr w14:paraId="25D9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44" w:type="dxa"/>
            <w:noWrap w:val="0"/>
            <w:vAlign w:val="center"/>
          </w:tcPr>
          <w:p w14:paraId="1AA0F65D">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序号 </w:t>
            </w:r>
          </w:p>
        </w:tc>
        <w:tc>
          <w:tcPr>
            <w:tcW w:w="2263" w:type="dxa"/>
            <w:gridSpan w:val="2"/>
            <w:noWrap w:val="0"/>
            <w:vAlign w:val="center"/>
          </w:tcPr>
          <w:p w14:paraId="2A298A0D">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评分点名称 </w:t>
            </w:r>
          </w:p>
        </w:tc>
        <w:tc>
          <w:tcPr>
            <w:tcW w:w="819" w:type="dxa"/>
            <w:noWrap w:val="0"/>
            <w:vAlign w:val="center"/>
          </w:tcPr>
          <w:p w14:paraId="580A8987">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分值</w:t>
            </w:r>
          </w:p>
        </w:tc>
        <w:tc>
          <w:tcPr>
            <w:tcW w:w="6122" w:type="dxa"/>
            <w:noWrap w:val="0"/>
            <w:vAlign w:val="center"/>
          </w:tcPr>
          <w:p w14:paraId="0EB91997">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评审标准</w:t>
            </w:r>
          </w:p>
        </w:tc>
      </w:tr>
      <w:tr w14:paraId="5CFC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44" w:type="dxa"/>
            <w:noWrap w:val="0"/>
            <w:vAlign w:val="center"/>
          </w:tcPr>
          <w:p w14:paraId="45B96487">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263" w:type="dxa"/>
            <w:gridSpan w:val="2"/>
            <w:noWrap w:val="0"/>
            <w:vAlign w:val="center"/>
          </w:tcPr>
          <w:p w14:paraId="300B8905">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企业实力</w:t>
            </w:r>
          </w:p>
        </w:tc>
        <w:tc>
          <w:tcPr>
            <w:tcW w:w="819" w:type="dxa"/>
            <w:noWrap w:val="0"/>
            <w:vAlign w:val="center"/>
          </w:tcPr>
          <w:p w14:paraId="6D18D821">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15分</w:t>
            </w:r>
          </w:p>
        </w:tc>
        <w:tc>
          <w:tcPr>
            <w:tcW w:w="6122" w:type="dxa"/>
            <w:noWrap w:val="0"/>
            <w:vAlign w:val="center"/>
          </w:tcPr>
          <w:p w14:paraId="13E5A41D">
            <w:pPr>
              <w:pStyle w:val="4"/>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rPr>
              <w:t>投标人具有质量管理体系认证证书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环境管理体系认证证书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职业健康安全管理体系认证证书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每提供1类证书的</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最多得12分。提供有效的证书复印件并加盖投标人公章。</w:t>
            </w:r>
          </w:p>
          <w:p w14:paraId="0E6F5516">
            <w:pPr>
              <w:pStyle w:val="4"/>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②投标人获得过诚信管理体系认证证书或者AAA级重合同守信用企业证书的，得3分。须提供在有效期内证书的复印件并加盖投标人公章</w:t>
            </w:r>
          </w:p>
        </w:tc>
      </w:tr>
      <w:tr w14:paraId="725B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444" w:type="dxa"/>
            <w:noWrap w:val="0"/>
            <w:vAlign w:val="center"/>
          </w:tcPr>
          <w:p w14:paraId="6DB2667E">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w:t>
            </w:r>
          </w:p>
        </w:tc>
        <w:tc>
          <w:tcPr>
            <w:tcW w:w="2263" w:type="dxa"/>
            <w:gridSpan w:val="2"/>
            <w:noWrap w:val="0"/>
            <w:vAlign w:val="center"/>
          </w:tcPr>
          <w:p w14:paraId="5AF7E132">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企业业绩</w:t>
            </w:r>
          </w:p>
        </w:tc>
        <w:tc>
          <w:tcPr>
            <w:tcW w:w="819" w:type="dxa"/>
            <w:noWrap w:val="0"/>
            <w:vAlign w:val="center"/>
          </w:tcPr>
          <w:p w14:paraId="5B721D73">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color w:val="auto"/>
                <w:sz w:val="22"/>
                <w:szCs w:val="22"/>
                <w:highlight w:val="none"/>
              </w:rPr>
              <w:t>10分</w:t>
            </w:r>
          </w:p>
        </w:tc>
        <w:tc>
          <w:tcPr>
            <w:tcW w:w="6122" w:type="dxa"/>
            <w:noWrap w:val="0"/>
            <w:vAlign w:val="center"/>
          </w:tcPr>
          <w:p w14:paraId="6571FB9F">
            <w:pPr>
              <w:pStyle w:val="4"/>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年1月1日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以合同签订时间为准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以来，投标人承接</w:t>
            </w:r>
            <w:r>
              <w:rPr>
                <w:rFonts w:hint="eastAsia" w:ascii="宋体" w:hAnsi="宋体" w:eastAsia="宋体" w:cs="宋体"/>
                <w:color w:val="auto"/>
                <w:sz w:val="22"/>
                <w:szCs w:val="22"/>
                <w:highlight w:val="none"/>
                <w:lang w:val="en-US" w:eastAsia="zh-CN"/>
              </w:rPr>
              <w:t>过</w:t>
            </w:r>
            <w:r>
              <w:rPr>
                <w:rFonts w:hint="eastAsia" w:ascii="宋体" w:hAnsi="宋体" w:eastAsia="宋体" w:cs="宋体"/>
                <w:color w:val="auto"/>
                <w:sz w:val="22"/>
                <w:szCs w:val="22"/>
                <w:highlight w:val="none"/>
              </w:rPr>
              <w:t>物业管理服务项目</w:t>
            </w:r>
            <w:r>
              <w:rPr>
                <w:rFonts w:hint="eastAsia" w:ascii="宋体" w:hAnsi="宋体" w:eastAsia="宋体" w:cs="宋体"/>
                <w:color w:val="auto"/>
                <w:sz w:val="22"/>
                <w:szCs w:val="22"/>
                <w:highlight w:val="none"/>
                <w:lang w:val="en-US" w:eastAsia="zh-CN"/>
              </w:rPr>
              <w:t>业绩的，每有一项</w:t>
            </w:r>
            <w:r>
              <w:rPr>
                <w:rFonts w:hint="eastAsia" w:ascii="宋体" w:hAnsi="宋体" w:eastAsia="宋体" w:cs="宋体"/>
                <w:color w:val="auto"/>
                <w:sz w:val="22"/>
                <w:szCs w:val="22"/>
                <w:highlight w:val="none"/>
              </w:rPr>
              <w:t>得5分，最多得10分。</w:t>
            </w:r>
          </w:p>
          <w:p w14:paraId="289FC0D2">
            <w:pPr>
              <w:pStyle w:val="4"/>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须</w:t>
            </w:r>
            <w:r>
              <w:rPr>
                <w:rFonts w:hint="eastAsia" w:ascii="宋体" w:hAnsi="宋体" w:eastAsia="宋体" w:cs="宋体"/>
                <w:color w:val="auto"/>
                <w:sz w:val="22"/>
                <w:szCs w:val="22"/>
                <w:highlight w:val="none"/>
              </w:rPr>
              <w:t>提供物业管理服务项目合同的复印件并加盖投标人公章</w:t>
            </w:r>
          </w:p>
        </w:tc>
      </w:tr>
      <w:tr w14:paraId="51DB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44" w:type="dxa"/>
            <w:vMerge w:val="restart"/>
            <w:noWrap w:val="0"/>
            <w:vAlign w:val="center"/>
          </w:tcPr>
          <w:p w14:paraId="5A36FAF8">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104" w:type="dxa"/>
            <w:vMerge w:val="restart"/>
            <w:noWrap w:val="0"/>
            <w:vAlign w:val="center"/>
          </w:tcPr>
          <w:p w14:paraId="18A0990D">
            <w:pPr>
              <w:widowControl/>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服务方案</w:t>
            </w:r>
          </w:p>
        </w:tc>
        <w:tc>
          <w:tcPr>
            <w:tcW w:w="1159" w:type="dxa"/>
            <w:vMerge w:val="restart"/>
            <w:noWrap w:val="0"/>
            <w:vAlign w:val="center"/>
          </w:tcPr>
          <w:p w14:paraId="0856E394">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项目管理机制架构</w:t>
            </w:r>
          </w:p>
        </w:tc>
        <w:tc>
          <w:tcPr>
            <w:tcW w:w="819" w:type="dxa"/>
            <w:vMerge w:val="restart"/>
            <w:noWrap w:val="0"/>
            <w:vAlign w:val="center"/>
          </w:tcPr>
          <w:p w14:paraId="2514A8B0">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color w:val="auto"/>
                <w:sz w:val="22"/>
                <w:szCs w:val="22"/>
                <w:highlight w:val="none"/>
              </w:rPr>
              <w:t>15分</w:t>
            </w:r>
          </w:p>
        </w:tc>
        <w:tc>
          <w:tcPr>
            <w:tcW w:w="6122" w:type="dxa"/>
            <w:noWrap w:val="0"/>
            <w:vAlign w:val="center"/>
          </w:tcPr>
          <w:p w14:paraId="50551552">
            <w:pPr>
              <w:pStyle w:val="4"/>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根据投标文件中对项目的整体管理构想、服务定位、目标、管理模式和工作计划等是否符合招标项目实际需要，由评标委员会综合评分，本项得分0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w:t>
            </w:r>
          </w:p>
        </w:tc>
      </w:tr>
      <w:tr w14:paraId="5682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44" w:type="dxa"/>
            <w:vMerge w:val="continue"/>
            <w:noWrap w:val="0"/>
            <w:vAlign w:val="center"/>
          </w:tcPr>
          <w:p w14:paraId="12DB77F5">
            <w:pPr>
              <w:widowControl/>
              <w:jc w:val="center"/>
              <w:rPr>
                <w:rFonts w:hint="eastAsia" w:ascii="宋体" w:hAnsi="宋体" w:eastAsia="宋体" w:cs="宋体"/>
                <w:b/>
                <w:bCs/>
                <w:color w:val="auto"/>
                <w:kern w:val="0"/>
                <w:sz w:val="22"/>
                <w:szCs w:val="22"/>
                <w:highlight w:val="none"/>
              </w:rPr>
            </w:pPr>
          </w:p>
        </w:tc>
        <w:tc>
          <w:tcPr>
            <w:tcW w:w="1104" w:type="dxa"/>
            <w:vMerge w:val="continue"/>
            <w:noWrap w:val="0"/>
            <w:vAlign w:val="center"/>
          </w:tcPr>
          <w:p w14:paraId="4F5643C8">
            <w:pPr>
              <w:widowControl/>
              <w:rPr>
                <w:rFonts w:hint="eastAsia" w:ascii="宋体" w:hAnsi="宋体" w:eastAsia="宋体" w:cs="宋体"/>
                <w:color w:val="auto"/>
                <w:sz w:val="22"/>
                <w:szCs w:val="22"/>
                <w:highlight w:val="none"/>
              </w:rPr>
            </w:pPr>
          </w:p>
        </w:tc>
        <w:tc>
          <w:tcPr>
            <w:tcW w:w="1159" w:type="dxa"/>
            <w:vMerge w:val="continue"/>
            <w:noWrap w:val="0"/>
            <w:vAlign w:val="center"/>
          </w:tcPr>
          <w:p w14:paraId="5BDB1E95">
            <w:pPr>
              <w:widowControl/>
              <w:jc w:val="center"/>
              <w:rPr>
                <w:rFonts w:hint="eastAsia" w:ascii="宋体" w:hAnsi="宋体" w:eastAsia="宋体" w:cs="宋体"/>
                <w:color w:val="auto"/>
                <w:sz w:val="22"/>
                <w:szCs w:val="22"/>
                <w:highlight w:val="none"/>
              </w:rPr>
            </w:pPr>
          </w:p>
        </w:tc>
        <w:tc>
          <w:tcPr>
            <w:tcW w:w="819" w:type="dxa"/>
            <w:vMerge w:val="continue"/>
            <w:noWrap w:val="0"/>
            <w:vAlign w:val="center"/>
          </w:tcPr>
          <w:p w14:paraId="4B34909D">
            <w:pPr>
              <w:widowControl/>
              <w:jc w:val="center"/>
              <w:rPr>
                <w:rFonts w:hint="eastAsia" w:ascii="宋体" w:hAnsi="宋体" w:eastAsia="宋体" w:cs="宋体"/>
                <w:color w:val="auto"/>
                <w:sz w:val="22"/>
                <w:szCs w:val="22"/>
                <w:highlight w:val="none"/>
              </w:rPr>
            </w:pPr>
          </w:p>
        </w:tc>
        <w:tc>
          <w:tcPr>
            <w:tcW w:w="6122" w:type="dxa"/>
            <w:noWrap w:val="0"/>
            <w:vAlign w:val="center"/>
          </w:tcPr>
          <w:p w14:paraId="31D8996C">
            <w:pPr>
              <w:pStyle w:val="4"/>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根据投标文件中针对各类员工的培训计划、工作方式及工作目标是否符合招标项目的实际需要，由评标委员会综合评分，本项得分0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w:t>
            </w:r>
          </w:p>
        </w:tc>
      </w:tr>
      <w:tr w14:paraId="4FC2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44" w:type="dxa"/>
            <w:vMerge w:val="continue"/>
            <w:noWrap w:val="0"/>
            <w:vAlign w:val="center"/>
          </w:tcPr>
          <w:p w14:paraId="1061D284">
            <w:pPr>
              <w:widowControl/>
              <w:jc w:val="center"/>
              <w:rPr>
                <w:rFonts w:hint="eastAsia" w:ascii="宋体" w:hAnsi="宋体" w:eastAsia="宋体" w:cs="宋体"/>
                <w:b/>
                <w:bCs/>
                <w:color w:val="auto"/>
                <w:kern w:val="0"/>
                <w:sz w:val="22"/>
                <w:szCs w:val="22"/>
                <w:highlight w:val="none"/>
              </w:rPr>
            </w:pPr>
          </w:p>
        </w:tc>
        <w:tc>
          <w:tcPr>
            <w:tcW w:w="1104" w:type="dxa"/>
            <w:vMerge w:val="continue"/>
            <w:noWrap w:val="0"/>
            <w:vAlign w:val="center"/>
          </w:tcPr>
          <w:p w14:paraId="6B318F7A">
            <w:pPr>
              <w:widowControl/>
              <w:rPr>
                <w:rFonts w:hint="eastAsia" w:ascii="宋体" w:hAnsi="宋体" w:eastAsia="宋体" w:cs="宋体"/>
                <w:color w:val="auto"/>
                <w:sz w:val="22"/>
                <w:szCs w:val="22"/>
                <w:highlight w:val="none"/>
              </w:rPr>
            </w:pPr>
          </w:p>
        </w:tc>
        <w:tc>
          <w:tcPr>
            <w:tcW w:w="1159" w:type="dxa"/>
            <w:vMerge w:val="continue"/>
            <w:noWrap w:val="0"/>
            <w:vAlign w:val="center"/>
          </w:tcPr>
          <w:p w14:paraId="7ED65187">
            <w:pPr>
              <w:widowControl/>
              <w:jc w:val="center"/>
              <w:rPr>
                <w:rFonts w:hint="eastAsia" w:ascii="宋体" w:hAnsi="宋体" w:eastAsia="宋体" w:cs="宋体"/>
                <w:color w:val="auto"/>
                <w:sz w:val="22"/>
                <w:szCs w:val="22"/>
                <w:highlight w:val="none"/>
              </w:rPr>
            </w:pPr>
          </w:p>
        </w:tc>
        <w:tc>
          <w:tcPr>
            <w:tcW w:w="819" w:type="dxa"/>
            <w:vMerge w:val="continue"/>
            <w:noWrap w:val="0"/>
            <w:vAlign w:val="center"/>
          </w:tcPr>
          <w:p w14:paraId="05CDF262">
            <w:pPr>
              <w:widowControl/>
              <w:jc w:val="center"/>
              <w:rPr>
                <w:rFonts w:hint="eastAsia" w:ascii="宋体" w:hAnsi="宋体" w:eastAsia="宋体" w:cs="宋体"/>
                <w:color w:val="auto"/>
                <w:sz w:val="22"/>
                <w:szCs w:val="22"/>
                <w:highlight w:val="none"/>
              </w:rPr>
            </w:pPr>
          </w:p>
        </w:tc>
        <w:tc>
          <w:tcPr>
            <w:tcW w:w="6122" w:type="dxa"/>
            <w:noWrap w:val="0"/>
            <w:vAlign w:val="center"/>
          </w:tcPr>
          <w:p w14:paraId="0587CE04">
            <w:pPr>
              <w:pStyle w:val="4"/>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根据投标文件中项目管理运作机制、信息反馈机制、员工激励机制等是否符合项目的要求，由评标委员会综合评分，本项得分0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w:t>
            </w:r>
          </w:p>
        </w:tc>
      </w:tr>
      <w:tr w14:paraId="752A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44" w:type="dxa"/>
            <w:vMerge w:val="continue"/>
            <w:noWrap w:val="0"/>
            <w:vAlign w:val="center"/>
          </w:tcPr>
          <w:p w14:paraId="59664B66">
            <w:pPr>
              <w:widowControl/>
              <w:jc w:val="center"/>
              <w:rPr>
                <w:rFonts w:hint="eastAsia" w:ascii="宋体" w:hAnsi="宋体" w:eastAsia="宋体" w:cs="宋体"/>
                <w:color w:val="auto"/>
                <w:kern w:val="0"/>
                <w:sz w:val="22"/>
                <w:szCs w:val="22"/>
                <w:highlight w:val="none"/>
              </w:rPr>
            </w:pPr>
          </w:p>
        </w:tc>
        <w:tc>
          <w:tcPr>
            <w:tcW w:w="1104" w:type="dxa"/>
            <w:vMerge w:val="continue"/>
            <w:noWrap/>
            <w:vAlign w:val="center"/>
          </w:tcPr>
          <w:p w14:paraId="2CD0C28F">
            <w:pPr>
              <w:widowControl/>
              <w:rPr>
                <w:rFonts w:hint="eastAsia" w:ascii="宋体" w:hAnsi="宋体" w:eastAsia="宋体" w:cs="宋体"/>
                <w:color w:val="auto"/>
                <w:sz w:val="22"/>
                <w:szCs w:val="22"/>
                <w:highlight w:val="none"/>
              </w:rPr>
            </w:pPr>
          </w:p>
        </w:tc>
        <w:tc>
          <w:tcPr>
            <w:tcW w:w="1159" w:type="dxa"/>
            <w:vMerge w:val="restart"/>
            <w:noWrap w:val="0"/>
            <w:vAlign w:val="center"/>
          </w:tcPr>
          <w:p w14:paraId="62F7E91B">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公共秩序的维护</w:t>
            </w:r>
          </w:p>
        </w:tc>
        <w:tc>
          <w:tcPr>
            <w:tcW w:w="819" w:type="dxa"/>
            <w:vMerge w:val="restart"/>
            <w:noWrap w:val="0"/>
            <w:vAlign w:val="center"/>
          </w:tcPr>
          <w:p w14:paraId="2C1EBB34">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18分</w:t>
            </w:r>
          </w:p>
        </w:tc>
        <w:tc>
          <w:tcPr>
            <w:tcW w:w="6122" w:type="dxa"/>
            <w:noWrap w:val="0"/>
            <w:vAlign w:val="top"/>
          </w:tcPr>
          <w:p w14:paraId="47F30D67">
            <w:pPr>
              <w:pStyle w:val="4"/>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根据项目的特点和实际情况，制定物业管理区域公共安全及周围秩序的方案合理可行性，由评标委员会综合评分，本项得分2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分。无表述不得分。</w:t>
            </w:r>
          </w:p>
        </w:tc>
      </w:tr>
      <w:tr w14:paraId="28D5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4" w:type="dxa"/>
            <w:vMerge w:val="continue"/>
            <w:noWrap w:val="0"/>
            <w:vAlign w:val="center"/>
          </w:tcPr>
          <w:p w14:paraId="6AE9BCF7">
            <w:pPr>
              <w:widowControl/>
              <w:jc w:val="center"/>
              <w:rPr>
                <w:rFonts w:hint="eastAsia" w:ascii="宋体" w:hAnsi="宋体" w:eastAsia="宋体" w:cs="宋体"/>
                <w:color w:val="auto"/>
                <w:kern w:val="0"/>
                <w:sz w:val="22"/>
                <w:szCs w:val="22"/>
                <w:highlight w:val="none"/>
              </w:rPr>
            </w:pPr>
          </w:p>
        </w:tc>
        <w:tc>
          <w:tcPr>
            <w:tcW w:w="1104" w:type="dxa"/>
            <w:vMerge w:val="continue"/>
            <w:noWrap/>
            <w:vAlign w:val="center"/>
          </w:tcPr>
          <w:p w14:paraId="55C82D78">
            <w:pPr>
              <w:widowControl/>
              <w:rPr>
                <w:rFonts w:hint="eastAsia" w:ascii="宋体" w:hAnsi="宋体" w:eastAsia="宋体" w:cs="宋体"/>
                <w:color w:val="auto"/>
                <w:sz w:val="22"/>
                <w:szCs w:val="22"/>
                <w:highlight w:val="none"/>
              </w:rPr>
            </w:pPr>
          </w:p>
        </w:tc>
        <w:tc>
          <w:tcPr>
            <w:tcW w:w="1159" w:type="dxa"/>
            <w:vMerge w:val="continue"/>
            <w:noWrap w:val="0"/>
            <w:vAlign w:val="center"/>
          </w:tcPr>
          <w:p w14:paraId="6CC7ACB2">
            <w:pPr>
              <w:widowControl/>
              <w:jc w:val="center"/>
              <w:rPr>
                <w:rFonts w:hint="eastAsia" w:ascii="宋体" w:hAnsi="宋体" w:eastAsia="宋体" w:cs="宋体"/>
                <w:color w:val="auto"/>
                <w:sz w:val="22"/>
                <w:szCs w:val="22"/>
                <w:highlight w:val="none"/>
              </w:rPr>
            </w:pPr>
          </w:p>
        </w:tc>
        <w:tc>
          <w:tcPr>
            <w:tcW w:w="819" w:type="dxa"/>
            <w:vMerge w:val="continue"/>
            <w:noWrap w:val="0"/>
            <w:vAlign w:val="center"/>
          </w:tcPr>
          <w:p w14:paraId="49CBBA7F">
            <w:pPr>
              <w:widowControl/>
              <w:jc w:val="center"/>
              <w:rPr>
                <w:rFonts w:hint="eastAsia" w:ascii="宋体" w:hAnsi="宋体" w:eastAsia="宋体" w:cs="宋体"/>
                <w:color w:val="auto"/>
                <w:sz w:val="22"/>
                <w:szCs w:val="22"/>
                <w:highlight w:val="none"/>
              </w:rPr>
            </w:pPr>
          </w:p>
        </w:tc>
        <w:tc>
          <w:tcPr>
            <w:tcW w:w="6122" w:type="dxa"/>
            <w:noWrap w:val="0"/>
            <w:vAlign w:val="top"/>
          </w:tcPr>
          <w:p w14:paraId="192CF945">
            <w:pPr>
              <w:pStyle w:val="4"/>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对重点区域、重点部位巡查计划是否完善全面，由评标委员会综合评分，本项得分2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分。无表述不得分。</w:t>
            </w:r>
          </w:p>
        </w:tc>
      </w:tr>
      <w:tr w14:paraId="68E2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444" w:type="dxa"/>
            <w:vMerge w:val="continue"/>
            <w:noWrap w:val="0"/>
            <w:vAlign w:val="center"/>
          </w:tcPr>
          <w:p w14:paraId="2DC76CEB">
            <w:pPr>
              <w:widowControl/>
              <w:jc w:val="center"/>
              <w:rPr>
                <w:rFonts w:hint="eastAsia" w:ascii="宋体" w:hAnsi="宋体" w:eastAsia="宋体" w:cs="宋体"/>
                <w:color w:val="auto"/>
                <w:kern w:val="0"/>
                <w:sz w:val="22"/>
                <w:szCs w:val="22"/>
                <w:highlight w:val="none"/>
              </w:rPr>
            </w:pPr>
          </w:p>
        </w:tc>
        <w:tc>
          <w:tcPr>
            <w:tcW w:w="1104" w:type="dxa"/>
            <w:vMerge w:val="continue"/>
            <w:noWrap/>
            <w:vAlign w:val="center"/>
          </w:tcPr>
          <w:p w14:paraId="51080AF7">
            <w:pPr>
              <w:widowControl/>
              <w:rPr>
                <w:rFonts w:hint="eastAsia" w:ascii="宋体" w:hAnsi="宋体" w:eastAsia="宋体" w:cs="宋体"/>
                <w:color w:val="auto"/>
                <w:sz w:val="22"/>
                <w:szCs w:val="22"/>
                <w:highlight w:val="none"/>
              </w:rPr>
            </w:pPr>
          </w:p>
        </w:tc>
        <w:tc>
          <w:tcPr>
            <w:tcW w:w="1159" w:type="dxa"/>
            <w:vMerge w:val="continue"/>
            <w:noWrap w:val="0"/>
            <w:vAlign w:val="center"/>
          </w:tcPr>
          <w:p w14:paraId="190D919C">
            <w:pPr>
              <w:widowControl/>
              <w:jc w:val="center"/>
              <w:rPr>
                <w:rFonts w:hint="eastAsia" w:ascii="宋体" w:hAnsi="宋体" w:eastAsia="宋体" w:cs="宋体"/>
                <w:color w:val="auto"/>
                <w:sz w:val="22"/>
                <w:szCs w:val="22"/>
                <w:highlight w:val="none"/>
              </w:rPr>
            </w:pPr>
          </w:p>
        </w:tc>
        <w:tc>
          <w:tcPr>
            <w:tcW w:w="819" w:type="dxa"/>
            <w:vMerge w:val="continue"/>
            <w:noWrap w:val="0"/>
            <w:vAlign w:val="center"/>
          </w:tcPr>
          <w:p w14:paraId="040E86B5">
            <w:pPr>
              <w:widowControl/>
              <w:jc w:val="center"/>
              <w:rPr>
                <w:rFonts w:hint="eastAsia" w:ascii="宋体" w:hAnsi="宋体" w:eastAsia="宋体" w:cs="宋体"/>
                <w:color w:val="auto"/>
                <w:sz w:val="22"/>
                <w:szCs w:val="22"/>
                <w:highlight w:val="none"/>
              </w:rPr>
            </w:pPr>
          </w:p>
        </w:tc>
        <w:tc>
          <w:tcPr>
            <w:tcW w:w="6122" w:type="dxa"/>
            <w:noWrap w:val="0"/>
            <w:vAlign w:val="top"/>
          </w:tcPr>
          <w:p w14:paraId="0066EC2A">
            <w:pPr>
              <w:pStyle w:val="4"/>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对项目的安全防范包括消防、公共安全、公共卫生等方面采取的措施设定方案符合招标项目的实际要求，对临时人员的出入管理工作方案的有效性，由评标委员会综合评分，本项得分2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分。无表述不得分。</w:t>
            </w:r>
          </w:p>
        </w:tc>
      </w:tr>
      <w:tr w14:paraId="0BF1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44" w:type="dxa"/>
            <w:vMerge w:val="continue"/>
            <w:noWrap w:val="0"/>
            <w:vAlign w:val="center"/>
          </w:tcPr>
          <w:p w14:paraId="28EF453A">
            <w:pPr>
              <w:widowControl/>
              <w:jc w:val="center"/>
              <w:rPr>
                <w:rFonts w:hint="eastAsia" w:ascii="宋体" w:hAnsi="宋体" w:eastAsia="宋体" w:cs="宋体"/>
                <w:color w:val="auto"/>
                <w:kern w:val="0"/>
                <w:sz w:val="22"/>
                <w:szCs w:val="22"/>
                <w:highlight w:val="none"/>
              </w:rPr>
            </w:pPr>
          </w:p>
        </w:tc>
        <w:tc>
          <w:tcPr>
            <w:tcW w:w="1104" w:type="dxa"/>
            <w:vMerge w:val="continue"/>
            <w:noWrap/>
            <w:vAlign w:val="center"/>
          </w:tcPr>
          <w:p w14:paraId="668AD397">
            <w:pPr>
              <w:widowControl/>
              <w:rPr>
                <w:rFonts w:hint="eastAsia" w:ascii="宋体" w:hAnsi="宋体" w:eastAsia="宋体" w:cs="宋体"/>
                <w:color w:val="auto"/>
                <w:sz w:val="22"/>
                <w:szCs w:val="22"/>
                <w:highlight w:val="none"/>
              </w:rPr>
            </w:pPr>
          </w:p>
        </w:tc>
        <w:tc>
          <w:tcPr>
            <w:tcW w:w="1159" w:type="dxa"/>
            <w:noWrap w:val="0"/>
            <w:vAlign w:val="center"/>
          </w:tcPr>
          <w:p w14:paraId="4EACE609">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清洁保洁服务</w:t>
            </w:r>
          </w:p>
        </w:tc>
        <w:tc>
          <w:tcPr>
            <w:tcW w:w="819" w:type="dxa"/>
            <w:noWrap w:val="0"/>
            <w:vAlign w:val="center"/>
          </w:tcPr>
          <w:p w14:paraId="4257E169">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6分</w:t>
            </w:r>
          </w:p>
        </w:tc>
        <w:tc>
          <w:tcPr>
            <w:tcW w:w="6122" w:type="dxa"/>
            <w:noWrap w:val="0"/>
            <w:vAlign w:val="top"/>
          </w:tcPr>
          <w:p w14:paraId="2A6C1E28">
            <w:pPr>
              <w:pStyle w:val="4"/>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根据项目的特点，制定的公共区域日常清洁保洁工作计划的合理性等方面，由评标委员会综合评分，本项得分3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分。无表述不得分。</w:t>
            </w:r>
          </w:p>
        </w:tc>
      </w:tr>
      <w:tr w14:paraId="132B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44" w:type="dxa"/>
            <w:vMerge w:val="continue"/>
            <w:noWrap w:val="0"/>
            <w:vAlign w:val="center"/>
          </w:tcPr>
          <w:p w14:paraId="4C68B951">
            <w:pPr>
              <w:widowControl/>
              <w:jc w:val="center"/>
              <w:rPr>
                <w:rFonts w:hint="eastAsia" w:ascii="宋体" w:hAnsi="宋体" w:eastAsia="宋体" w:cs="宋体"/>
                <w:color w:val="auto"/>
                <w:kern w:val="0"/>
                <w:sz w:val="22"/>
                <w:szCs w:val="22"/>
                <w:highlight w:val="none"/>
              </w:rPr>
            </w:pPr>
          </w:p>
        </w:tc>
        <w:tc>
          <w:tcPr>
            <w:tcW w:w="1104" w:type="dxa"/>
            <w:vMerge w:val="continue"/>
            <w:noWrap/>
            <w:vAlign w:val="center"/>
          </w:tcPr>
          <w:p w14:paraId="3D4AB1EE">
            <w:pPr>
              <w:widowControl/>
              <w:rPr>
                <w:rFonts w:hint="eastAsia" w:ascii="宋体" w:hAnsi="宋体" w:eastAsia="宋体" w:cs="宋体"/>
                <w:color w:val="auto"/>
                <w:sz w:val="22"/>
                <w:szCs w:val="22"/>
                <w:highlight w:val="none"/>
              </w:rPr>
            </w:pPr>
          </w:p>
        </w:tc>
        <w:tc>
          <w:tcPr>
            <w:tcW w:w="1159" w:type="dxa"/>
            <w:noWrap w:val="0"/>
            <w:vAlign w:val="center"/>
          </w:tcPr>
          <w:p w14:paraId="784812A0">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维修服务</w:t>
            </w:r>
          </w:p>
        </w:tc>
        <w:tc>
          <w:tcPr>
            <w:tcW w:w="819" w:type="dxa"/>
            <w:noWrap w:val="0"/>
            <w:vAlign w:val="center"/>
          </w:tcPr>
          <w:p w14:paraId="24AA7B22">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6分</w:t>
            </w:r>
          </w:p>
        </w:tc>
        <w:tc>
          <w:tcPr>
            <w:tcW w:w="6122" w:type="dxa"/>
            <w:noWrap w:val="0"/>
            <w:vAlign w:val="top"/>
          </w:tcPr>
          <w:p w14:paraId="7BAD0550">
            <w:pPr>
              <w:pStyle w:val="4"/>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根据项目的特点和实际情况，制定合理的维修养护管理方案,项目维修养护各岗位区域工作标准、规程和检查控制规程。由评标委员会综合评分，本项得分3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分。无表述不得分。</w:t>
            </w:r>
          </w:p>
        </w:tc>
      </w:tr>
    </w:tbl>
    <w:p w14:paraId="33FDF868">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宋体" w:hAnsi="宋体" w:eastAsia="宋体" w:cs="宋体"/>
          <w:b/>
          <w:bCs/>
          <w:color w:val="auto"/>
          <w:spacing w:val="0"/>
          <w:sz w:val="24"/>
          <w:u w:val="thick"/>
        </w:rPr>
      </w:pPr>
      <w:r>
        <w:rPr>
          <w:rFonts w:hint="eastAsia" w:ascii="宋体" w:hAnsi="宋体" w:eastAsia="宋体" w:cs="宋体"/>
          <w:b/>
          <w:bCs/>
          <w:color w:val="auto"/>
          <w:spacing w:val="0"/>
          <w:sz w:val="24"/>
          <w:u w:val="thick"/>
        </w:rPr>
        <w:t>特别提醒：技术标评分中所涉及相关资料等证明材料均须提供有效的原件复印件（如为网页截图的，则提供网页截图打印件）并加盖公章，</w:t>
      </w:r>
      <w:r>
        <w:rPr>
          <w:rFonts w:hint="eastAsia" w:ascii="宋体" w:hAnsi="宋体" w:eastAsia="宋体" w:cs="宋体"/>
          <w:b/>
          <w:bCs/>
          <w:color w:val="auto"/>
          <w:spacing w:val="0"/>
          <w:sz w:val="24"/>
          <w:u w:val="thick"/>
          <w:lang w:val="zh-TW"/>
        </w:rPr>
        <w:t>所提供的相关材料缺失、不符或不提供者，有关评分内容不得分。</w:t>
      </w:r>
    </w:p>
    <w:p w14:paraId="37D466A6">
      <w:pPr>
        <w:snapToGrid w:val="0"/>
        <w:spacing w:line="360" w:lineRule="auto"/>
        <w:ind w:firstLine="487" w:firstLineChars="202"/>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（二）商务报价响应评分：（</w:t>
      </w:r>
      <w:r>
        <w:rPr>
          <w:rFonts w:hint="eastAsia" w:ascii="宋体" w:hAnsi="宋体" w:eastAsia="宋体" w:cs="宋体"/>
          <w:b/>
          <w:color w:val="auto"/>
          <w:spacing w:val="0"/>
          <w:sz w:val="24"/>
          <w:highlight w:val="none"/>
          <w:lang w:val="en-US" w:eastAsia="zh-CN"/>
        </w:rPr>
        <w:t>3</w:t>
      </w:r>
      <w:r>
        <w:rPr>
          <w:rFonts w:hint="eastAsia" w:ascii="宋体" w:hAnsi="宋体" w:eastAsia="宋体" w:cs="宋体"/>
          <w:b/>
          <w:color w:val="auto"/>
          <w:spacing w:val="0"/>
          <w:sz w:val="24"/>
          <w:highlight w:val="none"/>
        </w:rPr>
        <w:t>0分）</w:t>
      </w:r>
    </w:p>
    <w:p w14:paraId="7DC68CDD">
      <w:pPr>
        <w:snapToGrid w:val="0"/>
        <w:spacing w:line="360" w:lineRule="auto"/>
        <w:ind w:firstLine="487" w:firstLineChars="202"/>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本项目</w:t>
      </w:r>
      <w:r>
        <w:rPr>
          <w:rFonts w:hint="eastAsia" w:ascii="宋体" w:hAnsi="宋体" w:eastAsia="宋体" w:cs="宋体"/>
          <w:b/>
          <w:color w:val="auto"/>
          <w:spacing w:val="0"/>
          <w:sz w:val="24"/>
          <w:highlight w:val="none"/>
        </w:rPr>
        <w:t>最高限价</w:t>
      </w:r>
      <w:r>
        <w:rPr>
          <w:rFonts w:hint="eastAsia" w:ascii="宋体" w:hAnsi="宋体" w:eastAsia="宋体" w:cs="宋体"/>
          <w:b/>
          <w:bCs/>
          <w:color w:val="auto"/>
          <w:spacing w:val="0"/>
          <w:sz w:val="24"/>
          <w:highlight w:val="none"/>
        </w:rPr>
        <w:t>为</w:t>
      </w:r>
      <w:r>
        <w:rPr>
          <w:rFonts w:hint="eastAsia" w:ascii="宋体" w:hAnsi="宋体" w:eastAsia="宋体" w:cs="宋体"/>
          <w:b/>
          <w:bCs/>
          <w:color w:val="auto"/>
          <w:spacing w:val="0"/>
          <w:sz w:val="24"/>
          <w:highlight w:val="none"/>
          <w:lang w:val="en-US" w:eastAsia="zh-CN"/>
        </w:rPr>
        <w:t>22.8</w:t>
      </w:r>
      <w:r>
        <w:rPr>
          <w:rFonts w:hint="eastAsia" w:ascii="宋体" w:hAnsi="宋体" w:eastAsia="宋体" w:cs="宋体"/>
          <w:b/>
          <w:color w:val="auto"/>
          <w:spacing w:val="0"/>
          <w:sz w:val="24"/>
          <w:highlight w:val="none"/>
        </w:rPr>
        <w:t>万元，高于最高限价的</w:t>
      </w:r>
      <w:r>
        <w:rPr>
          <w:rFonts w:hint="eastAsia" w:ascii="宋体" w:hAnsi="宋体" w:eastAsia="宋体" w:cs="宋体"/>
          <w:b/>
          <w:bCs/>
          <w:color w:val="auto"/>
          <w:spacing w:val="0"/>
          <w:sz w:val="24"/>
          <w:highlight w:val="none"/>
        </w:rPr>
        <w:t>作为无效标处理。</w:t>
      </w:r>
    </w:p>
    <w:p w14:paraId="19915B8F">
      <w:pPr>
        <w:snapToGrid w:val="0"/>
        <w:spacing w:line="360" w:lineRule="auto"/>
        <w:ind w:firstLine="480" w:firstLineChars="200"/>
        <w:outlineLvl w:val="2"/>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rPr>
        <w:t>确定评标基准价：</w:t>
      </w:r>
    </w:p>
    <w:p w14:paraId="7E7D8C7F">
      <w:pPr>
        <w:snapToGrid w:val="0"/>
        <w:spacing w:line="360" w:lineRule="auto"/>
        <w:ind w:firstLine="480" w:firstLineChars="200"/>
        <w:outlineLvl w:val="2"/>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所有有效投标报价的算术平均值为评标基准价。</w:t>
      </w:r>
    </w:p>
    <w:p w14:paraId="472759B2">
      <w:pPr>
        <w:snapToGrid w:val="0"/>
        <w:spacing w:line="360" w:lineRule="auto"/>
        <w:ind w:firstLine="480" w:firstLineChars="200"/>
        <w:outlineLvl w:val="2"/>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rPr>
        <w:t>投标报价与评标基准价相等的得</w:t>
      </w:r>
      <w:r>
        <w:rPr>
          <w:rFonts w:hint="eastAsia" w:ascii="宋体" w:hAnsi="宋体" w:eastAsia="宋体" w:cs="宋体"/>
          <w:color w:val="auto"/>
          <w:spacing w:val="0"/>
          <w:sz w:val="24"/>
          <w:highlight w:val="none"/>
          <w:lang w:val="en-US" w:eastAsia="zh-CN"/>
        </w:rPr>
        <w:t>30</w:t>
      </w:r>
      <w:r>
        <w:rPr>
          <w:rFonts w:hint="eastAsia" w:ascii="宋体" w:hAnsi="宋体" w:eastAsia="宋体" w:cs="宋体"/>
          <w:color w:val="auto"/>
          <w:spacing w:val="0"/>
          <w:sz w:val="24"/>
          <w:highlight w:val="none"/>
        </w:rPr>
        <w:t>分。投标报价与评标基准价相比，每上浮1%扣0.9分，每下浮1%扣0.6分，不足1%时采用插入法，得分采用四舍五入法保留小数点后两位。</w:t>
      </w:r>
    </w:p>
    <w:p w14:paraId="0018A6B4">
      <w:pPr>
        <w:snapToGrid w:val="0"/>
        <w:spacing w:line="360" w:lineRule="auto"/>
        <w:ind w:firstLine="482" w:firstLineChars="200"/>
        <w:outlineLvl w:val="2"/>
        <w:rPr>
          <w:rFonts w:hint="eastAsia" w:ascii="宋体" w:hAnsi="宋体" w:eastAsia="宋体" w:cs="宋体"/>
          <w:b/>
          <w:bCs/>
          <w:color w:val="auto"/>
          <w:spacing w:val="0"/>
          <w:sz w:val="24"/>
        </w:rPr>
      </w:pPr>
      <w:r>
        <w:rPr>
          <w:rFonts w:hint="eastAsia" w:ascii="宋体" w:hAnsi="宋体" w:eastAsia="宋体" w:cs="宋体"/>
          <w:b/>
          <w:bCs/>
          <w:color w:val="auto"/>
          <w:spacing w:val="0"/>
          <w:sz w:val="24"/>
          <w:lang w:val="en-US" w:eastAsia="zh-CN"/>
        </w:rPr>
        <w:t>注：</w:t>
      </w:r>
      <w:r>
        <w:rPr>
          <w:rFonts w:hint="eastAsia" w:ascii="宋体" w:hAnsi="宋体" w:eastAsia="宋体" w:cs="宋体"/>
          <w:b/>
          <w:bCs/>
          <w:color w:val="auto"/>
          <w:spacing w:val="0"/>
          <w:sz w:val="24"/>
        </w:rPr>
        <w:t>评标结束后，除评标过程中存在计算错误外，上述评标基准价不因招投标当事人质疑、投诉、复议以及</w:t>
      </w:r>
      <w:r>
        <w:rPr>
          <w:rFonts w:hint="eastAsia" w:ascii="宋体" w:hAnsi="宋体" w:cs="宋体"/>
          <w:b/>
          <w:bCs/>
          <w:color w:val="auto"/>
          <w:spacing w:val="0"/>
          <w:sz w:val="24"/>
          <w:lang w:eastAsia="zh-CN"/>
        </w:rPr>
        <w:t>其他</w:t>
      </w:r>
      <w:r>
        <w:rPr>
          <w:rFonts w:hint="eastAsia" w:ascii="宋体" w:hAnsi="宋体" w:eastAsia="宋体" w:cs="宋体"/>
          <w:b/>
          <w:bCs/>
          <w:color w:val="auto"/>
          <w:spacing w:val="0"/>
          <w:sz w:val="24"/>
        </w:rPr>
        <w:t>任何情形而改变。</w:t>
      </w:r>
    </w:p>
    <w:p w14:paraId="49A51002">
      <w:pPr>
        <w:snapToGrid w:val="0"/>
        <w:spacing w:line="360" w:lineRule="auto"/>
        <w:ind w:firstLine="482" w:firstLineChars="200"/>
        <w:outlineLvl w:val="2"/>
        <w:rPr>
          <w:rFonts w:hint="eastAsia" w:ascii="宋体" w:hAnsi="宋体" w:eastAsia="宋体" w:cs="宋体"/>
          <w:b/>
          <w:bCs/>
          <w:color w:val="auto"/>
          <w:spacing w:val="0"/>
          <w:sz w:val="24"/>
        </w:rPr>
      </w:pPr>
      <w:r>
        <w:rPr>
          <w:rFonts w:hint="eastAsia" w:ascii="宋体" w:hAnsi="宋体" w:eastAsia="宋体" w:cs="宋体"/>
          <w:b/>
          <w:bCs/>
          <w:color w:val="auto"/>
          <w:spacing w:val="0"/>
          <w:sz w:val="24"/>
        </w:rPr>
        <w:t>九、</w:t>
      </w:r>
      <w:bookmarkEnd w:id="31"/>
      <w:bookmarkStart w:id="33" w:name="_Toc182849073"/>
      <w:r>
        <w:rPr>
          <w:rFonts w:hint="eastAsia" w:ascii="宋体" w:hAnsi="宋体" w:eastAsia="宋体" w:cs="宋体"/>
          <w:b/>
          <w:bCs/>
          <w:color w:val="auto"/>
          <w:spacing w:val="0"/>
          <w:sz w:val="24"/>
        </w:rPr>
        <w:t>出现下列情形之一的，作无效投标处理：</w:t>
      </w:r>
    </w:p>
    <w:p w14:paraId="15122342">
      <w:pPr>
        <w:snapToGrid w:val="0"/>
        <w:spacing w:line="360" w:lineRule="auto"/>
        <w:ind w:firstLine="480" w:firstLineChars="200"/>
        <w:outlineLvl w:val="2"/>
        <w:rPr>
          <w:rFonts w:hint="eastAsia" w:ascii="宋体" w:hAnsi="宋体" w:eastAsia="宋体" w:cs="宋体"/>
          <w:color w:val="auto"/>
          <w:spacing w:val="0"/>
          <w:sz w:val="24"/>
        </w:rPr>
      </w:pPr>
      <w:r>
        <w:rPr>
          <w:rFonts w:hint="eastAsia" w:ascii="宋体" w:hAnsi="宋体" w:eastAsia="宋体" w:cs="宋体"/>
          <w:color w:val="auto"/>
          <w:spacing w:val="0"/>
          <w:sz w:val="24"/>
        </w:rPr>
        <w:t>1、未按时</w:t>
      </w:r>
      <w:r>
        <w:rPr>
          <w:rFonts w:hint="eastAsia" w:ascii="宋体" w:hAnsi="宋体" w:cs="宋体"/>
          <w:color w:val="auto"/>
          <w:spacing w:val="0"/>
          <w:sz w:val="24"/>
          <w:lang w:eastAsia="zh-CN"/>
        </w:rPr>
        <w:t>缴纳</w:t>
      </w:r>
      <w:r>
        <w:rPr>
          <w:rFonts w:hint="eastAsia" w:ascii="宋体" w:hAnsi="宋体" w:eastAsia="宋体" w:cs="宋体"/>
          <w:color w:val="auto"/>
          <w:spacing w:val="0"/>
          <w:sz w:val="24"/>
        </w:rPr>
        <w:t>投标保证金的；</w:t>
      </w:r>
    </w:p>
    <w:p w14:paraId="7EEF1B16">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2、投标文件未按招标文件要求密封、签署、盖章及主要资料不齐全；</w:t>
      </w:r>
    </w:p>
    <w:p w14:paraId="4CB69DE6">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3、不具备招标文件中规定的资格要求的；</w:t>
      </w:r>
    </w:p>
    <w:p w14:paraId="6DEDC8B1">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4、报价超过招标文件中规定的预算金额或者最高限价的；</w:t>
      </w:r>
    </w:p>
    <w:p w14:paraId="1E06011E">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5、投标文件含有招标人不能接受的附加条件的；</w:t>
      </w:r>
    </w:p>
    <w:p w14:paraId="69CDF742">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6、法律、法规和招标文件规定的其他无效情形。</w:t>
      </w:r>
    </w:p>
    <w:p w14:paraId="79AC70D4">
      <w:pPr>
        <w:snapToGrid w:val="0"/>
        <w:spacing w:line="360" w:lineRule="auto"/>
        <w:ind w:firstLine="482" w:firstLineChars="200"/>
        <w:outlineLvl w:val="1"/>
        <w:rPr>
          <w:rFonts w:hint="eastAsia" w:ascii="宋体" w:hAnsi="宋体" w:eastAsia="宋体" w:cs="宋体"/>
          <w:color w:val="auto"/>
          <w:spacing w:val="0"/>
          <w:sz w:val="24"/>
        </w:rPr>
      </w:pPr>
      <w:r>
        <w:rPr>
          <w:rFonts w:hint="eastAsia" w:ascii="宋体" w:hAnsi="宋体" w:eastAsia="宋体" w:cs="宋体"/>
          <w:b/>
          <w:color w:val="auto"/>
          <w:spacing w:val="0"/>
          <w:sz w:val="24"/>
        </w:rPr>
        <w:t>十、有下列情形之一的，视为投标人串通投标，其投标无效</w:t>
      </w:r>
    </w:p>
    <w:p w14:paraId="1F94D252">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1、不同投标人的投标文件由同一单位或者个人编制；</w:t>
      </w:r>
    </w:p>
    <w:p w14:paraId="0FADD22B">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2、不同投标人委托同一单位或者个人办理投标事宜；</w:t>
      </w:r>
    </w:p>
    <w:p w14:paraId="051C885C">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3、不同投标人的投标文件载明的项目管理成员或者联系人员为同一人；</w:t>
      </w:r>
    </w:p>
    <w:p w14:paraId="283037AF">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4、不同投标人的投标文件异常一致或者投标报价呈规律性差异；</w:t>
      </w:r>
    </w:p>
    <w:p w14:paraId="695EF34C">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5、不同投标人的投标文件相互混装；</w:t>
      </w:r>
    </w:p>
    <w:p w14:paraId="662B2E92">
      <w:pPr>
        <w:snapToGrid w:val="0"/>
        <w:spacing w:line="360" w:lineRule="auto"/>
        <w:ind w:firstLine="482" w:firstLineChars="200"/>
        <w:outlineLvl w:val="1"/>
        <w:rPr>
          <w:rFonts w:hint="eastAsia" w:ascii="宋体" w:hAnsi="宋体" w:eastAsia="宋体" w:cs="宋体"/>
          <w:b/>
          <w:color w:val="auto"/>
          <w:spacing w:val="0"/>
          <w:sz w:val="24"/>
        </w:rPr>
      </w:pPr>
      <w:r>
        <w:rPr>
          <w:rFonts w:hint="eastAsia" w:ascii="宋体" w:hAnsi="宋体" w:eastAsia="宋体" w:cs="宋体"/>
          <w:b/>
          <w:color w:val="auto"/>
          <w:spacing w:val="0"/>
          <w:sz w:val="24"/>
        </w:rPr>
        <w:t>十一、出现下列情形之一的，作废标处理</w:t>
      </w:r>
    </w:p>
    <w:p w14:paraId="7B6A60BE">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1、符合资格审查条件的</w:t>
      </w:r>
      <w:r>
        <w:rPr>
          <w:rFonts w:hint="eastAsia" w:ascii="宋体" w:hAnsi="宋体" w:eastAsia="宋体" w:cs="宋体"/>
          <w:bCs/>
          <w:color w:val="auto"/>
          <w:spacing w:val="0"/>
          <w:kern w:val="0"/>
          <w:sz w:val="24"/>
        </w:rPr>
        <w:t>投标人</w:t>
      </w:r>
      <w:r>
        <w:rPr>
          <w:rFonts w:hint="eastAsia" w:ascii="宋体" w:hAnsi="宋体" w:eastAsia="宋体" w:cs="宋体"/>
          <w:color w:val="auto"/>
          <w:spacing w:val="0"/>
          <w:sz w:val="24"/>
        </w:rPr>
        <w:t>或者对招标文件作实质性响应的</w:t>
      </w:r>
      <w:r>
        <w:rPr>
          <w:rFonts w:hint="eastAsia" w:ascii="宋体" w:hAnsi="宋体" w:eastAsia="宋体" w:cs="宋体"/>
          <w:bCs/>
          <w:color w:val="auto"/>
          <w:spacing w:val="0"/>
          <w:kern w:val="0"/>
          <w:sz w:val="24"/>
        </w:rPr>
        <w:t>投标人</w:t>
      </w:r>
      <w:r>
        <w:rPr>
          <w:rFonts w:hint="eastAsia" w:ascii="宋体" w:hAnsi="宋体" w:eastAsia="宋体" w:cs="宋体"/>
          <w:color w:val="auto"/>
          <w:spacing w:val="0"/>
          <w:sz w:val="24"/>
        </w:rPr>
        <w:t>不足三家的；</w:t>
      </w:r>
    </w:p>
    <w:p w14:paraId="54C05ABB">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2、出现影响招标公正的违法违规行为的；</w:t>
      </w:r>
    </w:p>
    <w:p w14:paraId="443C3796">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3、所有投标人报价超出招标预算价的；</w:t>
      </w:r>
    </w:p>
    <w:p w14:paraId="61D11D98">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4、因重大变故，招标任务被取消的；</w:t>
      </w:r>
    </w:p>
    <w:p w14:paraId="568F4D1B">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5、评标委员会依据法律法规可以认定为废标的其他情况。</w:t>
      </w:r>
    </w:p>
    <w:p w14:paraId="31280608">
      <w:pPr>
        <w:snapToGrid w:val="0"/>
        <w:spacing w:line="360" w:lineRule="auto"/>
        <w:ind w:firstLine="482" w:firstLineChars="200"/>
        <w:outlineLvl w:val="1"/>
        <w:rPr>
          <w:rFonts w:hint="eastAsia" w:ascii="宋体" w:hAnsi="宋体" w:eastAsia="宋体" w:cs="宋体"/>
          <w:b/>
          <w:color w:val="auto"/>
          <w:spacing w:val="0"/>
          <w:sz w:val="24"/>
        </w:rPr>
      </w:pPr>
      <w:r>
        <w:rPr>
          <w:rFonts w:hint="eastAsia" w:ascii="宋体" w:hAnsi="宋体" w:eastAsia="宋体" w:cs="宋体"/>
          <w:b/>
          <w:color w:val="auto"/>
          <w:spacing w:val="0"/>
          <w:sz w:val="24"/>
        </w:rPr>
        <w:t>十二、中标通知</w:t>
      </w:r>
    </w:p>
    <w:p w14:paraId="751042F2">
      <w:pPr>
        <w:snapToGrid w:val="0"/>
        <w:spacing w:line="360" w:lineRule="auto"/>
        <w:ind w:firstLine="484" w:firstLineChars="202"/>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1、开标结束后，招标人自中标人确定之日起2个工作日内在“</w:t>
      </w:r>
      <w:r>
        <w:rPr>
          <w:rFonts w:hint="eastAsia" w:ascii="宋体" w:hAnsi="宋体" w:eastAsia="宋体" w:cs="宋体"/>
          <w:color w:val="auto"/>
          <w:spacing w:val="0"/>
          <w:kern w:val="0"/>
          <w:sz w:val="24"/>
          <w:lang w:eastAsia="zh-CN"/>
        </w:rPr>
        <w:t>崇川区人民政府网</w:t>
      </w:r>
      <w:r>
        <w:rPr>
          <w:rFonts w:hint="eastAsia" w:ascii="宋体" w:hAnsi="宋体" w:eastAsia="宋体" w:cs="宋体"/>
          <w:color w:val="auto"/>
          <w:spacing w:val="0"/>
          <w:kern w:val="0"/>
          <w:sz w:val="24"/>
        </w:rPr>
        <w:t>”公告中标结果。</w:t>
      </w:r>
    </w:p>
    <w:p w14:paraId="5765D937">
      <w:pPr>
        <w:snapToGrid w:val="0"/>
        <w:spacing w:line="360" w:lineRule="auto"/>
        <w:ind w:firstLine="484" w:firstLineChars="202"/>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2、中标公告期限为</w:t>
      </w:r>
      <w:r>
        <w:rPr>
          <w:rFonts w:hint="eastAsia" w:ascii="宋体" w:hAnsi="宋体" w:eastAsia="宋体" w:cs="宋体"/>
          <w:color w:val="auto"/>
          <w:spacing w:val="0"/>
          <w:kern w:val="0"/>
          <w:sz w:val="24"/>
          <w:lang w:val="en-US" w:eastAsia="zh-CN"/>
        </w:rPr>
        <w:t>1个工作日</w:t>
      </w:r>
      <w:r>
        <w:rPr>
          <w:rFonts w:hint="eastAsia" w:ascii="宋体" w:hAnsi="宋体" w:eastAsia="宋体" w:cs="宋体"/>
          <w:color w:val="auto"/>
          <w:spacing w:val="0"/>
          <w:kern w:val="0"/>
          <w:sz w:val="24"/>
        </w:rPr>
        <w:t>，期限结束后向中标人发出《中标通知书》。</w:t>
      </w:r>
    </w:p>
    <w:p w14:paraId="3E1A0F2F">
      <w:pPr>
        <w:snapToGrid w:val="0"/>
        <w:spacing w:line="360" w:lineRule="auto"/>
        <w:ind w:left="479" w:leftChars="228" w:firstLine="0" w:firstLineChars="0"/>
        <w:rPr>
          <w:rFonts w:hint="eastAsia" w:ascii="宋体" w:hAnsi="宋体" w:eastAsia="宋体" w:cs="宋体"/>
          <w:color w:val="auto"/>
          <w:spacing w:val="0"/>
          <w:kern w:val="0"/>
          <w:sz w:val="24"/>
          <w:lang w:eastAsia="zh-CN"/>
        </w:rPr>
      </w:pPr>
      <w:r>
        <w:rPr>
          <w:rFonts w:hint="eastAsia" w:ascii="宋体" w:hAnsi="宋体" w:eastAsia="宋体" w:cs="宋体"/>
          <w:color w:val="auto"/>
          <w:spacing w:val="0"/>
          <w:kern w:val="0"/>
          <w:sz w:val="24"/>
        </w:rPr>
        <w:t>3、《中标通知书》一经发出，即具有法律效力。招标人、中标人依法承担法律责任</w:t>
      </w:r>
      <w:r>
        <w:rPr>
          <w:rFonts w:hint="eastAsia" w:ascii="宋体" w:hAnsi="宋体" w:eastAsia="宋体" w:cs="宋体"/>
          <w:color w:val="auto"/>
          <w:spacing w:val="0"/>
          <w:kern w:val="0"/>
          <w:sz w:val="24"/>
          <w:lang w:eastAsia="zh-CN"/>
        </w:rPr>
        <w:t>。</w:t>
      </w:r>
    </w:p>
    <w:p w14:paraId="23E87D44">
      <w:pPr>
        <w:rPr>
          <w:rFonts w:hint="eastAsia" w:ascii="宋体" w:hAnsi="宋体" w:eastAsia="宋体" w:cs="宋体"/>
          <w:color w:val="auto"/>
          <w:spacing w:val="0"/>
          <w:sz w:val="36"/>
          <w:szCs w:val="36"/>
        </w:rPr>
      </w:pPr>
      <w:r>
        <w:rPr>
          <w:rFonts w:hint="eastAsia" w:ascii="宋体" w:hAnsi="宋体" w:eastAsia="宋体" w:cs="宋体"/>
          <w:color w:val="auto"/>
          <w:spacing w:val="0"/>
          <w:sz w:val="36"/>
          <w:szCs w:val="36"/>
        </w:rPr>
        <w:br w:type="page"/>
      </w:r>
    </w:p>
    <w:p w14:paraId="18411E48">
      <w:pPr>
        <w:pStyle w:val="19"/>
        <w:spacing w:before="312" w:after="312" w:line="360" w:lineRule="auto"/>
        <w:rPr>
          <w:rFonts w:hint="eastAsia" w:ascii="宋体" w:hAnsi="宋体" w:eastAsia="宋体" w:cs="宋体"/>
          <w:color w:val="auto"/>
          <w:spacing w:val="0"/>
          <w:sz w:val="36"/>
          <w:szCs w:val="36"/>
        </w:rPr>
      </w:pPr>
      <w:r>
        <w:rPr>
          <w:rFonts w:hint="eastAsia" w:ascii="宋体" w:hAnsi="宋体" w:eastAsia="宋体" w:cs="宋体"/>
          <w:color w:val="auto"/>
          <w:spacing w:val="0"/>
          <w:sz w:val="36"/>
          <w:szCs w:val="36"/>
        </w:rPr>
        <w:t>第</w:t>
      </w:r>
      <w:r>
        <w:rPr>
          <w:rFonts w:hint="eastAsia" w:ascii="宋体" w:hAnsi="宋体" w:eastAsia="宋体" w:cs="宋体"/>
          <w:color w:val="auto"/>
          <w:spacing w:val="0"/>
          <w:sz w:val="36"/>
          <w:szCs w:val="36"/>
          <w:lang w:val="en-US" w:eastAsia="zh-CN"/>
        </w:rPr>
        <w:t>五</w:t>
      </w:r>
      <w:r>
        <w:rPr>
          <w:rFonts w:hint="eastAsia" w:ascii="宋体" w:hAnsi="宋体" w:eastAsia="宋体" w:cs="宋体"/>
          <w:color w:val="auto"/>
          <w:spacing w:val="0"/>
          <w:sz w:val="36"/>
          <w:szCs w:val="36"/>
        </w:rPr>
        <w:t>章 合同授予</w:t>
      </w:r>
    </w:p>
    <w:p w14:paraId="3CFDB631">
      <w:pPr>
        <w:adjustRightInd w:val="0"/>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一、中标人的履约保证金须在中标通知书发出</w:t>
      </w:r>
      <w:r>
        <w:rPr>
          <w:rFonts w:hint="eastAsia" w:ascii="宋体" w:hAnsi="宋体" w:eastAsia="宋体" w:cs="宋体"/>
          <w:color w:val="auto"/>
          <w:spacing w:val="0"/>
          <w:sz w:val="24"/>
          <w:lang w:val="en-US" w:eastAsia="zh-CN"/>
        </w:rPr>
        <w:t>7</w:t>
      </w:r>
      <w:r>
        <w:rPr>
          <w:rFonts w:hint="eastAsia" w:ascii="宋体" w:hAnsi="宋体" w:eastAsia="宋体" w:cs="宋体"/>
          <w:color w:val="auto"/>
          <w:spacing w:val="0"/>
          <w:sz w:val="24"/>
        </w:rPr>
        <w:t xml:space="preserve">个工作日内汇入招标人账户，中标人凭中标通知书及履约保证金缴费证明与招标人签订合同。所签合同不得对招标文件作实质性修改。招标人不得向中标人提出不合理的要求作为签订合同的条件，不得与中标人私下订立背离招标文件实质性内容的协议。 </w:t>
      </w:r>
    </w:p>
    <w:p w14:paraId="152D1E05">
      <w:pPr>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二、招标人按合同约定积极配合中标人履约，中标人履约到位后，请以书面形式向招标人提出验收申请，招标人接到申请后原则上在5个工作日内及时组织相关专业技术人员，必要时邀请质检等部门共同参与验收，并出具验收报告。</w:t>
      </w:r>
    </w:p>
    <w:p w14:paraId="7B8FE021">
      <w:pPr>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三、招标人故意推迟项目验收时间的，与中标人串通或要求中标人通过降低服务标准的，在履行合同中采取更改配置、调换物品等手段的，要求中标人出具虚假发票或任意更改销售发票的，谋取不正当利益的，承担相应的法律责任。</w:t>
      </w:r>
    </w:p>
    <w:p w14:paraId="45BE3BAF">
      <w:pPr>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四、中标人出现违约情形，应当及时纠正或补偿；造成损失的，按合同约定追究违约责任；发现有假冒、伪劣、走私产品、商业贿赂等违法情形的，应由招标人移交工商、质监、公安等行政执法部门依法查处。</w:t>
      </w:r>
    </w:p>
    <w:p w14:paraId="2AA0FB4E">
      <w:pPr>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五、不响应付款方式的，视同响应文件无效，按无效响应文件处理。</w:t>
      </w:r>
    </w:p>
    <w:p w14:paraId="371EFA1D">
      <w:pPr>
        <w:spacing w:line="360" w:lineRule="auto"/>
        <w:ind w:firstLine="484" w:firstLineChars="202"/>
        <w:rPr>
          <w:rFonts w:hint="eastAsia" w:ascii="宋体" w:hAnsi="宋体" w:eastAsia="宋体" w:cs="宋体"/>
          <w:color w:val="auto"/>
          <w:spacing w:val="0"/>
          <w:sz w:val="36"/>
          <w:szCs w:val="36"/>
        </w:rPr>
      </w:pPr>
      <w:r>
        <w:rPr>
          <w:rFonts w:hint="eastAsia" w:ascii="宋体" w:hAnsi="宋体" w:eastAsia="宋体" w:cs="宋体"/>
          <w:color w:val="auto"/>
          <w:spacing w:val="0"/>
          <w:sz w:val="24"/>
        </w:rPr>
        <w:t>六、付款方式详见招标文件第二章，以上项目款的支付不计息。</w:t>
      </w:r>
    </w:p>
    <w:p w14:paraId="7B9D5BC9">
      <w:pPr>
        <w:rPr>
          <w:rFonts w:hint="eastAsia" w:ascii="宋体" w:hAnsi="宋体" w:eastAsia="宋体" w:cs="宋体"/>
          <w:b/>
          <w:bCs/>
          <w:color w:val="auto"/>
          <w:sz w:val="32"/>
          <w:szCs w:val="32"/>
          <w:highlight w:val="none"/>
          <w:lang w:eastAsia="zh-CN"/>
        </w:rPr>
      </w:pPr>
      <w:bookmarkStart w:id="34" w:name="_Hlk95598384"/>
      <w:r>
        <w:rPr>
          <w:rFonts w:hint="eastAsia" w:ascii="宋体" w:hAnsi="宋体" w:eastAsia="宋体" w:cs="宋体"/>
          <w:b/>
          <w:bCs/>
          <w:color w:val="auto"/>
          <w:sz w:val="32"/>
          <w:szCs w:val="32"/>
          <w:highlight w:val="none"/>
          <w:lang w:eastAsia="zh-CN"/>
        </w:rPr>
        <w:br w:type="page"/>
      </w:r>
    </w:p>
    <w:p w14:paraId="7FF64F8B">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观鑫楼物业</w:t>
      </w:r>
      <w:r>
        <w:rPr>
          <w:rFonts w:hint="eastAsia" w:ascii="宋体" w:hAnsi="宋体" w:eastAsia="宋体" w:cs="宋体"/>
          <w:b/>
          <w:bCs/>
          <w:color w:val="auto"/>
          <w:sz w:val="32"/>
          <w:szCs w:val="32"/>
          <w:highlight w:val="none"/>
          <w:lang w:val="en-US" w:eastAsia="zh-CN"/>
        </w:rPr>
        <w:t>管理</w:t>
      </w:r>
      <w:r>
        <w:rPr>
          <w:rFonts w:hint="eastAsia" w:ascii="宋体" w:hAnsi="宋体" w:eastAsia="宋体" w:cs="宋体"/>
          <w:b/>
          <w:bCs/>
          <w:color w:val="auto"/>
          <w:sz w:val="32"/>
          <w:szCs w:val="32"/>
          <w:highlight w:val="none"/>
        </w:rPr>
        <w:t>服务采购项目</w:t>
      </w:r>
    </w:p>
    <w:bookmarkEnd w:id="34"/>
    <w:p w14:paraId="0230255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甲方:</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w:t>
      </w:r>
    </w:p>
    <w:p w14:paraId="052CF1E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乙方: </w:t>
      </w:r>
      <w:r>
        <w:rPr>
          <w:rFonts w:hint="eastAsia" w:ascii="宋体" w:hAnsi="宋体" w:eastAsia="宋体" w:cs="宋体"/>
          <w:color w:val="auto"/>
          <w:sz w:val="24"/>
          <w:highlight w:val="none"/>
          <w:u w:val="single"/>
        </w:rPr>
        <w:t xml:space="preserve">                          </w:t>
      </w:r>
    </w:p>
    <w:p w14:paraId="45754B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根据国家、省、市有关法律，法规，甲方就</w:t>
      </w:r>
      <w:r>
        <w:rPr>
          <w:rFonts w:hint="eastAsia" w:ascii="宋体" w:hAnsi="宋体" w:eastAsia="宋体" w:cs="宋体"/>
          <w:color w:val="auto"/>
          <w:sz w:val="24"/>
          <w:highlight w:val="none"/>
          <w:lang w:eastAsia="zh-CN"/>
        </w:rPr>
        <w:t>南通崇川经济开发区管理委员会</w:t>
      </w:r>
      <w:r>
        <w:rPr>
          <w:rFonts w:hint="eastAsia" w:ascii="宋体" w:hAnsi="宋体" w:eastAsia="宋体" w:cs="宋体"/>
          <w:color w:val="auto"/>
          <w:sz w:val="24"/>
          <w:highlight w:val="none"/>
        </w:rPr>
        <w:t>物业管理的相关内容，委托乙方实行安全、规范、专业、优质的物业管理服务。在甲乙双方自愿平等、协商一致的基础上,特订立本合同。</w:t>
      </w:r>
    </w:p>
    <w:p w14:paraId="7E87A5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物业基本情况</w:t>
      </w:r>
    </w:p>
    <w:p w14:paraId="5165A0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一、项目名称:</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lang w:eastAsia="zh-CN"/>
        </w:rPr>
        <w:t>观鑫楼物业看护</w:t>
      </w:r>
      <w:r>
        <w:rPr>
          <w:rFonts w:hint="eastAsia" w:ascii="宋体" w:hAnsi="宋体" w:eastAsia="宋体" w:cs="宋体"/>
          <w:color w:val="auto"/>
          <w:sz w:val="24"/>
          <w:highlight w:val="none"/>
        </w:rPr>
        <w:t>服务采购项目</w:t>
      </w:r>
    </w:p>
    <w:p w14:paraId="0B0F324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二、项目地址:</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lang w:val="en-US" w:eastAsia="zh-CN"/>
        </w:rPr>
        <w:t>太平路东、八一路南</w:t>
      </w:r>
    </w:p>
    <w:p w14:paraId="1CFD3F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三、委托管理事项:保洁、保安、维修及综合服务等，其中物业服务设备须乙方自备，维修配件及材料由甲方提供。</w:t>
      </w:r>
    </w:p>
    <w:p w14:paraId="151049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服务期限：从中标</w:t>
      </w:r>
      <w:r>
        <w:rPr>
          <w:rFonts w:hint="eastAsia" w:ascii="宋体" w:hAnsi="宋体" w:eastAsia="宋体" w:cs="宋体"/>
          <w:color w:val="auto"/>
          <w:sz w:val="24"/>
          <w:highlight w:val="none"/>
          <w:lang w:val="en-US" w:eastAsia="zh-CN"/>
        </w:rPr>
        <w:t>后至</w:t>
      </w:r>
      <w:r>
        <w:rPr>
          <w:rFonts w:hint="eastAsia" w:ascii="宋体" w:hAnsi="宋体" w:eastAsia="宋体" w:cs="宋体"/>
          <w:color w:val="auto"/>
          <w:sz w:val="24"/>
          <w:highlight w:val="none"/>
        </w:rPr>
        <w:t>街道安置完成崇城物业进场</w:t>
      </w:r>
      <w:r>
        <w:rPr>
          <w:rFonts w:hint="eastAsia" w:ascii="宋体" w:hAnsi="宋体" w:eastAsia="宋体" w:cs="宋体"/>
          <w:color w:val="auto"/>
          <w:sz w:val="24"/>
          <w:highlight w:val="none"/>
          <w:lang w:val="en-US" w:eastAsia="zh-CN"/>
        </w:rPr>
        <w:t>为止</w:t>
      </w:r>
      <w:r>
        <w:rPr>
          <w:rFonts w:hint="eastAsia" w:ascii="宋体" w:hAnsi="宋体" w:eastAsia="宋体" w:cs="宋体"/>
          <w:color w:val="auto"/>
          <w:sz w:val="24"/>
          <w:highlight w:val="none"/>
        </w:rPr>
        <w:t>（开始时间以</w:t>
      </w:r>
      <w:r>
        <w:rPr>
          <w:rFonts w:hint="eastAsia" w:ascii="宋体" w:hAnsi="宋体" w:eastAsia="宋体" w:cs="宋体"/>
          <w:color w:val="auto"/>
          <w:sz w:val="24"/>
          <w:highlight w:val="none"/>
          <w:lang w:val="en-US" w:eastAsia="zh-CN"/>
        </w:rPr>
        <w:t>甲方通知时间</w:t>
      </w:r>
      <w:r>
        <w:rPr>
          <w:rFonts w:hint="eastAsia" w:ascii="宋体" w:hAnsi="宋体" w:eastAsia="宋体" w:cs="宋体"/>
          <w:color w:val="auto"/>
          <w:sz w:val="24"/>
          <w:highlight w:val="none"/>
        </w:rPr>
        <w:t>为准）。</w:t>
      </w:r>
    </w:p>
    <w:p w14:paraId="5FCBDF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人员配置</w:t>
      </w:r>
    </w:p>
    <w:p w14:paraId="374D08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一、人数计</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人，其中：保洁2人，保安3人，所有人员均应具有相应岗位证书。</w:t>
      </w:r>
    </w:p>
    <w:p w14:paraId="32CD99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AFFF5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①配备的保安中须有一名保安同时持有低压电作业证和高压电工作业证，现场需有保安人员24小时值班。配备保洁年龄需在55岁以下，并持有健康证。</w:t>
      </w:r>
    </w:p>
    <w:p w14:paraId="490A3D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②保洁每日早上8点上班晚上6点下班，中标人须配备打卡机，每日现场人员进行上班打卡，最终结算金额以打卡考核人员为准。</w:t>
      </w:r>
    </w:p>
    <w:p w14:paraId="28BA2D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③中标人拟派保洁人员须保持场地整洁、干净，保安人员每间隔1小时须现场巡逻一圈并配备点位巡逻仪器，每栋每层至少去1个点位。</w:t>
      </w:r>
    </w:p>
    <w:p w14:paraId="1BF480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二、从业人员须符合相关主管部门管理规定。</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有权根据实际情况要求</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增减相应人员，相应人员费用按中标单价执行。新增人员工作不足15日的，按对应费用的一半计算，超过15日，不满30日的按一个月计算。</w:t>
      </w:r>
    </w:p>
    <w:p w14:paraId="3B6FD9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三、各岗位人员必须按规定在岗。</w:t>
      </w:r>
    </w:p>
    <w:p w14:paraId="5C784F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服务费及支付</w:t>
      </w:r>
    </w:p>
    <w:p w14:paraId="4F5D87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一、年度物业管理费按此次中标价格执行，本合同总金额为人民币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BB802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二、付款方式:</w:t>
      </w:r>
      <w:r>
        <w:rPr>
          <w:rFonts w:hint="eastAsia" w:ascii="宋体" w:hAnsi="宋体" w:eastAsia="宋体" w:cs="宋体"/>
          <w:color w:val="auto"/>
          <w:sz w:val="24"/>
          <w:highlight w:val="none"/>
          <w:u w:val="single"/>
        </w:rPr>
        <w:t>每三个月支付实际发生费用的80%，合同到期后无遗留问题支付余款。每次支付前，</w:t>
      </w:r>
      <w:r>
        <w:rPr>
          <w:rFonts w:hint="eastAsia" w:ascii="宋体" w:hAnsi="宋体" w:cs="宋体"/>
          <w:color w:val="auto"/>
          <w:sz w:val="24"/>
          <w:highlight w:val="none"/>
          <w:u w:val="single"/>
          <w:lang w:val="en-US" w:eastAsia="zh-CN"/>
        </w:rPr>
        <w:t>乙方</w:t>
      </w:r>
      <w:r>
        <w:rPr>
          <w:rFonts w:hint="eastAsia" w:ascii="宋体" w:hAnsi="宋体" w:eastAsia="宋体" w:cs="宋体"/>
          <w:color w:val="auto"/>
          <w:sz w:val="24"/>
          <w:highlight w:val="none"/>
          <w:u w:val="single"/>
        </w:rPr>
        <w:t xml:space="preserve">必须开具对应的发票 </w:t>
      </w:r>
      <w:r>
        <w:rPr>
          <w:rFonts w:hint="eastAsia" w:ascii="宋体" w:hAnsi="宋体" w:eastAsia="宋体" w:cs="宋体"/>
          <w:color w:val="auto"/>
          <w:sz w:val="24"/>
          <w:highlight w:val="none"/>
        </w:rPr>
        <w:t>。</w:t>
      </w:r>
    </w:p>
    <w:p w14:paraId="1E47C01C">
      <w:pPr>
        <w:snapToGrid w:val="0"/>
        <w:spacing w:line="360" w:lineRule="auto"/>
        <w:ind w:firstLine="482" w:firstLineChars="200"/>
        <w:outlineLvl w:val="1"/>
        <w:rPr>
          <w:rFonts w:hint="eastAsia" w:ascii="宋体" w:hAnsi="宋体" w:eastAsia="宋体" w:cs="宋体"/>
          <w:b/>
          <w:bCs/>
          <w:color w:val="auto"/>
          <w:spacing w:val="0"/>
          <w:sz w:val="24"/>
          <w:lang w:val="en-US" w:eastAsia="zh-CN"/>
        </w:rPr>
      </w:pPr>
      <w:r>
        <w:rPr>
          <w:rFonts w:hint="eastAsia" w:ascii="宋体" w:hAnsi="宋体" w:eastAsia="宋体" w:cs="宋体"/>
          <w:b/>
          <w:bCs/>
          <w:color w:val="auto"/>
          <w:spacing w:val="0"/>
          <w:sz w:val="24"/>
          <w:lang w:val="en-US" w:eastAsia="zh-CN"/>
        </w:rPr>
        <w:t>注明：根据本合同附件的相关规定，由</w:t>
      </w:r>
      <w:r>
        <w:rPr>
          <w:rFonts w:hint="eastAsia" w:ascii="宋体" w:hAnsi="宋体" w:cs="宋体"/>
          <w:b/>
          <w:bCs/>
          <w:color w:val="auto"/>
          <w:spacing w:val="0"/>
          <w:sz w:val="24"/>
          <w:lang w:val="en-US" w:eastAsia="zh-CN"/>
        </w:rPr>
        <w:t>甲方</w:t>
      </w:r>
      <w:r>
        <w:rPr>
          <w:rFonts w:hint="eastAsia" w:ascii="宋体" w:hAnsi="宋体" w:eastAsia="宋体" w:cs="宋体"/>
          <w:b/>
          <w:bCs/>
          <w:color w:val="auto"/>
          <w:spacing w:val="0"/>
          <w:sz w:val="24"/>
          <w:lang w:val="en-US" w:eastAsia="zh-CN"/>
        </w:rPr>
        <w:t>每月月底对</w:t>
      </w:r>
      <w:r>
        <w:rPr>
          <w:rFonts w:hint="eastAsia" w:ascii="宋体" w:hAnsi="宋体" w:cs="宋体"/>
          <w:b/>
          <w:bCs/>
          <w:color w:val="auto"/>
          <w:spacing w:val="0"/>
          <w:sz w:val="24"/>
          <w:lang w:val="en-US" w:eastAsia="zh-CN"/>
        </w:rPr>
        <w:t>乙方</w:t>
      </w:r>
      <w:r>
        <w:rPr>
          <w:rFonts w:hint="eastAsia" w:ascii="宋体" w:hAnsi="宋体" w:eastAsia="宋体" w:cs="宋体"/>
          <w:b/>
          <w:bCs/>
          <w:color w:val="auto"/>
          <w:spacing w:val="0"/>
          <w:sz w:val="24"/>
          <w:lang w:val="en-US" w:eastAsia="zh-CN"/>
        </w:rPr>
        <w:t>的服务内容和服务进行考评，</w:t>
      </w:r>
      <w:r>
        <w:rPr>
          <w:rFonts w:hint="eastAsia" w:ascii="宋体" w:hAnsi="宋体" w:cs="宋体"/>
          <w:b/>
          <w:bCs/>
          <w:color w:val="auto"/>
          <w:spacing w:val="0"/>
          <w:sz w:val="24"/>
          <w:lang w:val="en-US" w:eastAsia="zh-CN"/>
        </w:rPr>
        <w:t>甲方</w:t>
      </w:r>
      <w:r>
        <w:rPr>
          <w:rFonts w:hint="eastAsia" w:ascii="宋体" w:hAnsi="宋体" w:eastAsia="宋体" w:cs="宋体"/>
          <w:b/>
          <w:bCs/>
          <w:color w:val="auto"/>
          <w:spacing w:val="0"/>
          <w:sz w:val="24"/>
          <w:lang w:val="en-US" w:eastAsia="zh-CN"/>
        </w:rPr>
        <w:t>有权根据项目对</w:t>
      </w:r>
      <w:r>
        <w:rPr>
          <w:rFonts w:hint="eastAsia" w:ascii="宋体" w:hAnsi="宋体" w:cs="宋体"/>
          <w:b/>
          <w:bCs/>
          <w:color w:val="auto"/>
          <w:spacing w:val="0"/>
          <w:sz w:val="24"/>
          <w:lang w:val="en-US" w:eastAsia="zh-CN"/>
        </w:rPr>
        <w:t>乙方</w:t>
      </w:r>
      <w:r>
        <w:rPr>
          <w:rFonts w:hint="eastAsia" w:ascii="宋体" w:hAnsi="宋体" w:eastAsia="宋体" w:cs="宋体"/>
          <w:b/>
          <w:bCs/>
          <w:color w:val="auto"/>
          <w:spacing w:val="0"/>
          <w:sz w:val="24"/>
          <w:lang w:val="en-US" w:eastAsia="zh-CN"/>
        </w:rPr>
        <w:t>的人员进驻实际情况及相关考核结果与</w:t>
      </w:r>
      <w:r>
        <w:rPr>
          <w:rFonts w:hint="eastAsia" w:ascii="宋体" w:hAnsi="宋体" w:cs="宋体"/>
          <w:b/>
          <w:bCs/>
          <w:color w:val="auto"/>
          <w:spacing w:val="0"/>
          <w:sz w:val="24"/>
          <w:lang w:val="en-US" w:eastAsia="zh-CN"/>
        </w:rPr>
        <w:t>乙方</w:t>
      </w:r>
      <w:r>
        <w:rPr>
          <w:rFonts w:hint="eastAsia" w:ascii="宋体" w:hAnsi="宋体" w:eastAsia="宋体" w:cs="宋体"/>
          <w:b/>
          <w:bCs/>
          <w:color w:val="auto"/>
          <w:spacing w:val="0"/>
          <w:sz w:val="24"/>
          <w:lang w:val="en-US" w:eastAsia="zh-CN"/>
        </w:rPr>
        <w:t>进行结算。</w:t>
      </w:r>
    </w:p>
    <w:p w14:paraId="6130E47F">
      <w:pPr>
        <w:snapToGrid w:val="0"/>
        <w:spacing w:line="360" w:lineRule="auto"/>
        <w:ind w:firstLine="482" w:firstLineChars="200"/>
        <w:outlineLvl w:val="1"/>
        <w:rPr>
          <w:rFonts w:hint="eastAsia" w:ascii="宋体" w:hAnsi="宋体" w:eastAsia="宋体" w:cs="宋体"/>
          <w:color w:val="auto"/>
          <w:sz w:val="24"/>
          <w:highlight w:val="none"/>
        </w:rPr>
      </w:pPr>
      <w:r>
        <w:rPr>
          <w:rFonts w:hint="eastAsia" w:ascii="宋体" w:hAnsi="宋体" w:cs="宋体"/>
          <w:b/>
          <w:bCs/>
          <w:color w:val="auto"/>
          <w:spacing w:val="0"/>
          <w:sz w:val="24"/>
          <w:lang w:val="en-US" w:eastAsia="zh-CN"/>
        </w:rPr>
        <w:t>乙方</w:t>
      </w:r>
      <w:r>
        <w:rPr>
          <w:rFonts w:hint="eastAsia" w:ascii="宋体" w:hAnsi="宋体" w:eastAsia="宋体" w:cs="宋体"/>
          <w:b/>
          <w:bCs/>
          <w:color w:val="auto"/>
          <w:spacing w:val="0"/>
          <w:sz w:val="24"/>
          <w:lang w:val="en-US" w:eastAsia="zh-CN"/>
        </w:rPr>
        <w:t>必须确保按保安保洁岗位工作标准实施保安保洁服务，如无正当理由，违反有关规定，每月考核得分不足95分的，</w:t>
      </w:r>
      <w:r>
        <w:rPr>
          <w:rFonts w:hint="eastAsia" w:ascii="宋体" w:hAnsi="宋体" w:cs="宋体"/>
          <w:b/>
          <w:bCs/>
          <w:color w:val="auto"/>
          <w:spacing w:val="0"/>
          <w:sz w:val="24"/>
          <w:lang w:val="en-US" w:eastAsia="zh-CN"/>
        </w:rPr>
        <w:t>甲方</w:t>
      </w:r>
      <w:r>
        <w:rPr>
          <w:rFonts w:hint="eastAsia" w:ascii="宋体" w:hAnsi="宋体" w:eastAsia="宋体" w:cs="宋体"/>
          <w:b/>
          <w:bCs/>
          <w:color w:val="auto"/>
          <w:spacing w:val="0"/>
          <w:sz w:val="24"/>
          <w:lang w:val="en-US" w:eastAsia="zh-CN"/>
        </w:rPr>
        <w:t>有权提前终止合同，且履约保证金不予退还。具体考核标准详见合同后附件。</w:t>
      </w:r>
    </w:p>
    <w:p w14:paraId="5733BD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甲方的权利和义务</w:t>
      </w:r>
    </w:p>
    <w:p w14:paraId="092ADD35">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一、甲方审定乙方制定的管理制度及实施细则，并监督协调各部门配合执行。</w:t>
      </w:r>
    </w:p>
    <w:p w14:paraId="07EE3FFA">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二、甲方对乙方的物业管理服务过程实施监督检查,对其服务质量可即时进行评估。</w:t>
      </w:r>
    </w:p>
    <w:p w14:paraId="157769B0">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三、如因乙方管理不善，造成经济损失或管理失误，甲方有权追究乙方相应责任，直至终止本合同。</w:t>
      </w:r>
    </w:p>
    <w:p w14:paraId="571E56B1">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四、甲方在合同生效之日起10日内向乙方提供办公用房，供乙方无偿使用，办公、易耗品等参照招标文件规定办理。</w:t>
      </w:r>
    </w:p>
    <w:p w14:paraId="2DDADF73">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五、甲方依照本合同约定，对乙方服务工作验收合格后，按时支付物业管理费。</w:t>
      </w:r>
    </w:p>
    <w:p w14:paraId="6F93C108">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六、甲方应积极协助乙方做好物业管理相关保障工作。</w:t>
      </w:r>
    </w:p>
    <w:p w14:paraId="37F8CC08">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七、甲方不干涉乙方内部规定内容所进行的管理和经营活动，甲方有权对乙方使用人员进行核查，确保其符合规范用人条件和要求。</w:t>
      </w:r>
    </w:p>
    <w:p w14:paraId="70990622">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乙方的权利和义务</w:t>
      </w:r>
    </w:p>
    <w:p w14:paraId="038E193F">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 乙方对管理范围内的物业和用工，根据有关法律法规、本合同的约定及政府主管部门的要求，制定各项管理办法、规章制度及岗位职责。</w:t>
      </w:r>
    </w:p>
    <w:p w14:paraId="46EA98C9">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二、经验收合格，乙方有权按时从甲方取得本合同约定的物业管理费。</w:t>
      </w:r>
    </w:p>
    <w:p w14:paraId="3C2EE246">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三、乙方不得将整体或部分管理责任及利益对外转让或发包；未经甲方同意，不得将物业管理业务对外分包或转包。</w:t>
      </w:r>
    </w:p>
    <w:p w14:paraId="42557324">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四、为保证工作稳定、顺利地开展，乙方应接受甲方对关键岗位人员的录用建议。</w:t>
      </w:r>
    </w:p>
    <w:p w14:paraId="2686A16A">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乙方应自觉接受甲方和政府主管部门的监督与指导。①保持院内正常工作秩序，及时应对和处置各类突发性事件；②保护相关当事人的人身安全，劝说和阻止过激行为，避免事态扩大；③维护公共财产安全，制止、避免损坏公共财物行为；④确保单位重点交付监护物品、器材、设备、财物无丢失；⑤认真履行好交接班手续，本班未处置完的事务必须详细</w:t>
      </w:r>
      <w:r>
        <w:rPr>
          <w:rFonts w:hint="eastAsia" w:ascii="宋体" w:hAnsi="宋体" w:cs="宋体"/>
          <w:color w:val="auto"/>
          <w:sz w:val="24"/>
          <w:highlight w:val="none"/>
          <w:lang w:eastAsia="zh-CN"/>
        </w:rPr>
        <w:t>交代给</w:t>
      </w:r>
      <w:r>
        <w:rPr>
          <w:rFonts w:hint="eastAsia" w:ascii="宋体" w:hAnsi="宋体" w:eastAsia="宋体" w:cs="宋体"/>
          <w:color w:val="auto"/>
          <w:sz w:val="24"/>
          <w:highlight w:val="none"/>
        </w:rPr>
        <w:t>接班人员。因乙方管理不善导致人员伤害事故、火灾事故和设施设备被盗等案件,按照相关</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，乙方须承担相应的责任。</w:t>
      </w:r>
    </w:p>
    <w:p w14:paraId="180B0D40">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六、乙方员工在服务期间如发生伤亡等事故，均由乙方负责并承担所有责任。</w:t>
      </w:r>
    </w:p>
    <w:p w14:paraId="4C01652F">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七、由于乙方原因而损坏设施设备的，由乙方负责赔偿。</w:t>
      </w:r>
    </w:p>
    <w:p w14:paraId="13818126">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八、乙方对公安、劳动监察等部门要求员工具备的各类证件应做到齐备，并及时将复印件加盖公章送甲方备案。</w:t>
      </w:r>
    </w:p>
    <w:p w14:paraId="2DE6E282">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物业管理服务的质量要求</w:t>
      </w:r>
    </w:p>
    <w:p w14:paraId="669B8970">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乙方根据甲方的委托管理事项的内容和要求，制定物业服务管理分项标准，即保安、保洁、维修及综合服务管理方案及标准，经甲方同意后，作为本合同的必备附件，与本合同具有同等效力。</w:t>
      </w:r>
    </w:p>
    <w:p w14:paraId="3CAF86C7">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违约责任</w:t>
      </w:r>
    </w:p>
    <w:p w14:paraId="7E3C2709">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一、因乙方原因，造成甲方未完成规定管理目标或直接造成甲方经济损失的，乙方应给予甲方相应补偿，甲方有权要求甲方限期整改，并有权终止合同。</w:t>
      </w:r>
    </w:p>
    <w:p w14:paraId="52F449D2">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二、因甲方原因，造成乙方未完成规定管理目标或直接造成乙方经济损失的，甲方应给予乙方相应补偿，乙方有权要求甲方限期整改，并有权终止合同。</w:t>
      </w:r>
    </w:p>
    <w:p w14:paraId="6018C4AE">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三、乙方如不能按照本合同约定履行责任的，则视为违约,甲方有权终止本合同，并追究乙方的违约责任，列入不良供应商名单。</w:t>
      </w:r>
    </w:p>
    <w:p w14:paraId="2C5016EE">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四、甲方如无故不按照本合同约定的价款和支付方式如期支付物业管理费，每逾期一天，须赔付逾期部分价款</w:t>
      </w:r>
      <w:r>
        <w:rPr>
          <w:rFonts w:hint="eastAsia" w:ascii="宋体" w:hAnsi="宋体" w:eastAsia="宋体" w:cs="宋体"/>
          <w:color w:val="auto"/>
          <w:sz w:val="24"/>
          <w:highlight w:val="none"/>
          <w:lang w:val="en-US" w:eastAsia="zh-CN"/>
        </w:rPr>
        <w:t>万分之一</w:t>
      </w:r>
      <w:r>
        <w:rPr>
          <w:rFonts w:hint="eastAsia" w:ascii="宋体" w:hAnsi="宋体" w:eastAsia="宋体" w:cs="宋体"/>
          <w:color w:val="auto"/>
          <w:sz w:val="24"/>
          <w:highlight w:val="none"/>
        </w:rPr>
        <w:t>的违约金。逾期一月，则视为违约，乙方有权终止本合同，并追究甲方的违约责任。</w:t>
      </w:r>
    </w:p>
    <w:p w14:paraId="210823B3">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   其他事项</w:t>
      </w:r>
    </w:p>
    <w:p w14:paraId="5F50F2F3">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一、自本合同生效之日起20天内，乙方根据甲方委托管理事项，完成相关交接验收手续。</w:t>
      </w:r>
    </w:p>
    <w:p w14:paraId="0E5FF5D5">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二、本合同执行期间，如遇不可抗力，致使合同无法履行时，双方应按有关法律法规及时协商处理。</w:t>
      </w:r>
    </w:p>
    <w:p w14:paraId="10F43499">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三、本合同在履行中如发生争议，双方应协商解决或报请上级主管部门调解，协商或调解不成的，可以向南通市崇川区人民法院起诉。</w:t>
      </w:r>
    </w:p>
    <w:p w14:paraId="183FDDC8">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通知书》为本合同附件，与本合同具有同等效力。</w:t>
      </w:r>
    </w:p>
    <w:p w14:paraId="20A562F5">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第十一条  本合同每年执行期满时，经甲方考核合格，可申请续签。甲、乙双方如不再签订合同，乙方须提前一个月做好后续工作预案。并保证提供至少20天的平稳过渡与交接。 </w:t>
      </w:r>
    </w:p>
    <w:p w14:paraId="77FC2BA4">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  本合同一式贰份，甲乙双方各执一份。本合同经双方签字盖章生效。</w:t>
      </w:r>
    </w:p>
    <w:p w14:paraId="0A0AF940">
      <w:pPr>
        <w:pStyle w:val="6"/>
        <w:spacing w:before="0" w:after="0" w:line="360" w:lineRule="auto"/>
        <w:ind w:firstLine="480" w:firstLineChars="200"/>
        <w:rPr>
          <w:rFonts w:hint="eastAsia" w:ascii="宋体" w:hAnsi="宋体" w:eastAsia="宋体" w:cs="宋体"/>
          <w:color w:val="auto"/>
          <w:sz w:val="24"/>
          <w:highlight w:val="none"/>
        </w:rPr>
      </w:pPr>
    </w:p>
    <w:p w14:paraId="112D4361">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663DD9FE">
      <w:pPr>
        <w:pStyle w:val="6"/>
        <w:spacing w:before="0" w:after="0" w:line="360" w:lineRule="auto"/>
        <w:ind w:firstLine="480" w:firstLineChars="200"/>
        <w:rPr>
          <w:rFonts w:hint="eastAsia" w:ascii="宋体" w:hAnsi="宋体" w:eastAsia="宋体" w:cs="宋体"/>
          <w:color w:val="auto"/>
          <w:sz w:val="24"/>
          <w:highlight w:val="none"/>
        </w:rPr>
      </w:pPr>
    </w:p>
    <w:p w14:paraId="6880549D">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                        法定代表人(签字)：</w:t>
      </w:r>
    </w:p>
    <w:p w14:paraId="55878DE2">
      <w:pPr>
        <w:pStyle w:val="6"/>
        <w:spacing w:before="0" w:after="0" w:line="360" w:lineRule="auto"/>
        <w:ind w:firstLine="480" w:firstLineChars="200"/>
        <w:rPr>
          <w:rFonts w:hint="eastAsia" w:ascii="宋体" w:hAnsi="宋体" w:eastAsia="宋体" w:cs="宋体"/>
          <w:color w:val="auto"/>
          <w:sz w:val="24"/>
          <w:highlight w:val="none"/>
        </w:rPr>
      </w:pPr>
    </w:p>
    <w:p w14:paraId="7143442E">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委托人(签字)：                            委托人(签字)：</w:t>
      </w:r>
    </w:p>
    <w:p w14:paraId="0B274AAC">
      <w:pPr>
        <w:pStyle w:val="6"/>
        <w:spacing w:before="0" w:after="0" w:line="360" w:lineRule="auto"/>
        <w:ind w:firstLine="480" w:firstLineChars="200"/>
        <w:rPr>
          <w:rFonts w:hint="eastAsia" w:ascii="宋体" w:hAnsi="宋体" w:eastAsia="宋体" w:cs="宋体"/>
          <w:color w:val="auto"/>
          <w:sz w:val="24"/>
          <w:highlight w:val="none"/>
        </w:rPr>
      </w:pPr>
    </w:p>
    <w:p w14:paraId="46A60068">
      <w:pPr>
        <w:pStyle w:val="6"/>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签约日期:202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    月   日               签约日期:202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    月   日</w:t>
      </w:r>
    </w:p>
    <w:p w14:paraId="56279D2F">
      <w:pPr>
        <w:pStyle w:val="20"/>
        <w:tabs>
          <w:tab w:val="center" w:pos="4201"/>
          <w:tab w:val="right" w:leader="dot" w:pos="9298"/>
        </w:tabs>
        <w:spacing w:line="360" w:lineRule="auto"/>
        <w:ind w:left="0" w:leftChars="0" w:firstLine="0" w:firstLineChars="0"/>
        <w:rPr>
          <w:rFonts w:hint="eastAsia" w:ascii="宋体" w:hAnsi="宋体" w:eastAsia="宋体" w:cs="宋体"/>
          <w:b/>
          <w:bCs/>
          <w:i w:val="0"/>
          <w:iCs w:val="0"/>
          <w:color w:val="auto"/>
          <w:sz w:val="22"/>
          <w:szCs w:val="22"/>
          <w:highlight w:val="none"/>
          <w:lang w:val="en-US" w:eastAsia="zh-CN"/>
        </w:rPr>
      </w:pPr>
    </w:p>
    <w:p w14:paraId="3EE74FA7">
      <w:pPr>
        <w:pStyle w:val="20"/>
        <w:tabs>
          <w:tab w:val="center" w:pos="4201"/>
          <w:tab w:val="right" w:leader="dot" w:pos="9298"/>
        </w:tabs>
        <w:spacing w:line="360" w:lineRule="auto"/>
        <w:ind w:left="0" w:leftChars="0" w:firstLine="0" w:firstLineChars="0"/>
        <w:rPr>
          <w:rFonts w:hint="eastAsia" w:ascii="宋体" w:hAnsi="宋体" w:eastAsia="宋体" w:cs="宋体"/>
          <w:b/>
          <w:bCs/>
          <w:i w:val="0"/>
          <w:iCs w:val="0"/>
          <w:color w:val="auto"/>
          <w:sz w:val="22"/>
          <w:szCs w:val="22"/>
          <w:highlight w:val="none"/>
          <w:lang w:val="en-US" w:eastAsia="zh-CN"/>
        </w:rPr>
      </w:pPr>
    </w:p>
    <w:p w14:paraId="117A197D">
      <w:pPr>
        <w:pStyle w:val="20"/>
        <w:tabs>
          <w:tab w:val="center" w:pos="4201"/>
          <w:tab w:val="right" w:leader="dot" w:pos="9298"/>
        </w:tabs>
        <w:spacing w:line="36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注：招标人保留对合同修改的权利。</w:t>
      </w:r>
    </w:p>
    <w:p w14:paraId="6B2911FC">
      <w:pPr>
        <w:spacing w:line="360" w:lineRule="auto"/>
        <w:ind w:firstLine="480" w:firstLineChars="200"/>
        <w:rPr>
          <w:rFonts w:hint="eastAsia" w:ascii="宋体" w:hAnsi="宋体" w:eastAsia="宋体" w:cs="宋体"/>
          <w:color w:val="auto"/>
          <w:sz w:val="24"/>
          <w:highlight w:val="none"/>
        </w:rPr>
      </w:pPr>
    </w:p>
    <w:p w14:paraId="3FB70F74">
      <w:pPr>
        <w:spacing w:line="360" w:lineRule="auto"/>
        <w:ind w:firstLine="480" w:firstLineChars="200"/>
        <w:rPr>
          <w:rFonts w:hint="eastAsia" w:ascii="宋体" w:hAnsi="宋体" w:eastAsia="宋体" w:cs="宋体"/>
          <w:color w:val="auto"/>
          <w:sz w:val="24"/>
          <w:highlight w:val="none"/>
        </w:rPr>
      </w:pPr>
    </w:p>
    <w:p w14:paraId="67AF0894">
      <w:pPr>
        <w:spacing w:line="360" w:lineRule="auto"/>
        <w:ind w:firstLine="480" w:firstLineChars="200"/>
        <w:rPr>
          <w:rFonts w:hint="eastAsia" w:ascii="宋体" w:hAnsi="宋体" w:eastAsia="宋体" w:cs="宋体"/>
          <w:color w:val="auto"/>
          <w:sz w:val="24"/>
          <w:highlight w:val="none"/>
        </w:rPr>
      </w:pPr>
    </w:p>
    <w:p w14:paraId="5EBE4E7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5201E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w:t>
      </w:r>
    </w:p>
    <w:p w14:paraId="5B148101">
      <w:pPr>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本项目考核方案</w:t>
      </w:r>
    </w:p>
    <w:p w14:paraId="31139D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1、考核办法</w:t>
      </w:r>
    </w:p>
    <w:p w14:paraId="20C577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我司有权根据项目服务人员的进驻的实际情况及相关考核结果与</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进行结算。</w:t>
      </w:r>
    </w:p>
    <w:p w14:paraId="339996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2、考核细则。</w:t>
      </w:r>
    </w:p>
    <w:p w14:paraId="3D5F962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根据本合同附件的相关规定，由</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每月月底对</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的服务内容和服务进行考评，</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有权根据项目对</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的人员进驻实际情况及相关考核结果与中标人进行结算。</w:t>
      </w:r>
    </w:p>
    <w:p w14:paraId="34272312">
      <w:pPr>
        <w:spacing w:line="360" w:lineRule="auto"/>
        <w:ind w:firstLine="480" w:firstLineChars="200"/>
        <w:jc w:val="left"/>
        <w:rPr>
          <w:rFonts w:hint="eastAsia" w:ascii="宋体" w:hAnsi="宋体" w:eastAsia="宋体" w:cs="宋体"/>
          <w:b/>
          <w:color w:val="auto"/>
          <w:szCs w:val="21"/>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必须确保按保安保洁岗位工作标准实施保安保洁服务，如无正当理由，违反有关规定，每月考核得分不足95分的，</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有权提前终止合同，且履约保证金不予退还。具体考核标准详见保安、监控人员考核细则</w:t>
      </w:r>
      <w:r>
        <w:rPr>
          <w:rFonts w:hint="eastAsia" w:ascii="宋体" w:hAnsi="宋体" w:eastAsia="宋体" w:cs="宋体"/>
          <w:color w:val="auto"/>
          <w:sz w:val="24"/>
          <w:highlight w:val="none"/>
          <w:lang w:val="en-US" w:eastAsia="zh-CN"/>
        </w:rPr>
        <w:t>表</w:t>
      </w:r>
      <w:r>
        <w:rPr>
          <w:rFonts w:hint="eastAsia" w:ascii="宋体" w:hAnsi="宋体" w:eastAsia="宋体" w:cs="宋体"/>
          <w:color w:val="auto"/>
          <w:sz w:val="24"/>
          <w:highlight w:val="none"/>
        </w:rPr>
        <w:t>。</w:t>
      </w:r>
    </w:p>
    <w:p w14:paraId="1272CE27">
      <w:pPr>
        <w:rPr>
          <w:rFonts w:hint="eastAsia" w:ascii="宋体" w:hAnsi="宋体" w:eastAsia="宋体" w:cs="宋体"/>
          <w:b/>
          <w:color w:val="auto"/>
          <w:szCs w:val="21"/>
          <w:highlight w:val="none"/>
        </w:rPr>
      </w:pPr>
    </w:p>
    <w:p w14:paraId="7E23F280">
      <w:pPr>
        <w:jc w:val="center"/>
        <w:rPr>
          <w:rFonts w:hint="eastAsia" w:ascii="宋体" w:hAnsi="宋体" w:eastAsia="宋体" w:cs="宋体"/>
          <w:b/>
          <w:color w:val="auto"/>
          <w:kern w:val="0"/>
          <w:szCs w:val="21"/>
          <w:highlight w:val="none"/>
        </w:rPr>
      </w:pPr>
      <w:r>
        <w:rPr>
          <w:rFonts w:hint="eastAsia" w:ascii="宋体" w:hAnsi="宋体" w:eastAsia="宋体" w:cs="宋体"/>
          <w:b/>
          <w:bCs/>
          <w:color w:val="auto"/>
          <w:kern w:val="0"/>
          <w:sz w:val="28"/>
          <w:szCs w:val="28"/>
          <w:highlight w:val="none"/>
          <w:lang w:bidi="ar"/>
        </w:rPr>
        <w:t>保安、监控人员考核细则</w:t>
      </w:r>
    </w:p>
    <w:tbl>
      <w:tblPr>
        <w:tblStyle w:val="16"/>
        <w:tblW w:w="8317" w:type="dxa"/>
        <w:jc w:val="center"/>
        <w:tblLayout w:type="fixed"/>
        <w:tblCellMar>
          <w:top w:w="0" w:type="dxa"/>
          <w:left w:w="108" w:type="dxa"/>
          <w:bottom w:w="0" w:type="dxa"/>
          <w:right w:w="108" w:type="dxa"/>
        </w:tblCellMar>
      </w:tblPr>
      <w:tblGrid>
        <w:gridCol w:w="678"/>
        <w:gridCol w:w="4380"/>
        <w:gridCol w:w="1446"/>
        <w:gridCol w:w="1813"/>
      </w:tblGrid>
      <w:tr w14:paraId="53DCED8D">
        <w:tblPrEx>
          <w:tblCellMar>
            <w:top w:w="0" w:type="dxa"/>
            <w:left w:w="108" w:type="dxa"/>
            <w:bottom w:w="0" w:type="dxa"/>
            <w:right w:w="108" w:type="dxa"/>
          </w:tblCellMar>
        </w:tblPrEx>
        <w:trPr>
          <w:trHeight w:val="391" w:hRule="atLeast"/>
          <w:jc w:val="center"/>
        </w:trPr>
        <w:tc>
          <w:tcPr>
            <w:tcW w:w="678" w:type="dxa"/>
            <w:tcBorders>
              <w:top w:val="nil"/>
              <w:left w:val="nil"/>
              <w:bottom w:val="nil"/>
              <w:right w:val="nil"/>
            </w:tcBorders>
            <w:noWrap/>
            <w:vAlign w:val="center"/>
          </w:tcPr>
          <w:p w14:paraId="56D51AE0">
            <w:pPr>
              <w:jc w:val="center"/>
              <w:rPr>
                <w:rFonts w:hint="eastAsia" w:ascii="宋体" w:hAnsi="宋体" w:eastAsia="宋体" w:cs="宋体"/>
                <w:b/>
                <w:bCs/>
                <w:color w:val="auto"/>
                <w:szCs w:val="21"/>
                <w:highlight w:val="none"/>
              </w:rPr>
            </w:pPr>
          </w:p>
        </w:tc>
        <w:tc>
          <w:tcPr>
            <w:tcW w:w="4380" w:type="dxa"/>
            <w:tcBorders>
              <w:top w:val="nil"/>
              <w:left w:val="nil"/>
              <w:bottom w:val="nil"/>
              <w:right w:val="nil"/>
            </w:tcBorders>
            <w:noWrap/>
            <w:vAlign w:val="center"/>
          </w:tcPr>
          <w:p w14:paraId="697CD1B4">
            <w:pPr>
              <w:jc w:val="center"/>
              <w:rPr>
                <w:rFonts w:hint="eastAsia" w:ascii="宋体" w:hAnsi="宋体" w:eastAsia="宋体" w:cs="宋体"/>
                <w:b/>
                <w:bCs/>
                <w:color w:val="auto"/>
                <w:szCs w:val="21"/>
                <w:highlight w:val="none"/>
              </w:rPr>
            </w:pPr>
          </w:p>
        </w:tc>
        <w:tc>
          <w:tcPr>
            <w:tcW w:w="1446" w:type="dxa"/>
            <w:tcBorders>
              <w:top w:val="nil"/>
              <w:left w:val="nil"/>
              <w:bottom w:val="nil"/>
              <w:right w:val="nil"/>
            </w:tcBorders>
            <w:noWrap/>
            <w:vAlign w:val="center"/>
          </w:tcPr>
          <w:p w14:paraId="7EAC47A1">
            <w:pPr>
              <w:jc w:val="center"/>
              <w:rPr>
                <w:rFonts w:hint="eastAsia" w:ascii="宋体" w:hAnsi="宋体" w:eastAsia="宋体" w:cs="宋体"/>
                <w:b/>
                <w:bCs/>
                <w:color w:val="auto"/>
                <w:szCs w:val="21"/>
                <w:highlight w:val="none"/>
              </w:rPr>
            </w:pPr>
          </w:p>
        </w:tc>
        <w:tc>
          <w:tcPr>
            <w:tcW w:w="1813" w:type="dxa"/>
            <w:tcBorders>
              <w:top w:val="nil"/>
              <w:left w:val="nil"/>
              <w:bottom w:val="nil"/>
              <w:right w:val="nil"/>
            </w:tcBorders>
            <w:noWrap/>
            <w:vAlign w:val="center"/>
          </w:tcPr>
          <w:p w14:paraId="5B57FBE4">
            <w:pPr>
              <w:jc w:val="center"/>
              <w:rPr>
                <w:rFonts w:hint="eastAsia" w:ascii="宋体" w:hAnsi="宋体" w:eastAsia="宋体" w:cs="宋体"/>
                <w:b/>
                <w:bCs/>
                <w:color w:val="auto"/>
                <w:szCs w:val="21"/>
                <w:highlight w:val="none"/>
              </w:rPr>
            </w:pPr>
          </w:p>
        </w:tc>
      </w:tr>
      <w:tr w14:paraId="0B71E132">
        <w:tblPrEx>
          <w:tblCellMar>
            <w:top w:w="0" w:type="dxa"/>
            <w:left w:w="108" w:type="dxa"/>
            <w:bottom w:w="0" w:type="dxa"/>
            <w:right w:w="108" w:type="dxa"/>
          </w:tblCellMar>
        </w:tblPrEx>
        <w:trPr>
          <w:trHeight w:val="313"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5ADB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4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F8F9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考核标准</w:t>
            </w:r>
          </w:p>
        </w:tc>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165E8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分值</w:t>
            </w:r>
          </w:p>
        </w:tc>
        <w:tc>
          <w:tcPr>
            <w:tcW w:w="1813" w:type="dxa"/>
            <w:vMerge w:val="restart"/>
            <w:tcBorders>
              <w:top w:val="single" w:color="000000" w:sz="4" w:space="0"/>
              <w:left w:val="single" w:color="000000" w:sz="4" w:space="0"/>
              <w:right w:val="single" w:color="000000" w:sz="4" w:space="0"/>
            </w:tcBorders>
            <w:noWrap/>
            <w:vAlign w:val="center"/>
          </w:tcPr>
          <w:p w14:paraId="5C7F6AA6">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考核分值</w:t>
            </w:r>
          </w:p>
        </w:tc>
      </w:tr>
      <w:tr w14:paraId="3A8F9592">
        <w:tblPrEx>
          <w:tblCellMar>
            <w:top w:w="0" w:type="dxa"/>
            <w:left w:w="108" w:type="dxa"/>
            <w:bottom w:w="0" w:type="dxa"/>
            <w:right w:w="108" w:type="dxa"/>
          </w:tblCellMar>
        </w:tblPrEx>
        <w:trPr>
          <w:trHeight w:val="397"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FC63F">
            <w:pPr>
              <w:jc w:val="center"/>
              <w:rPr>
                <w:rFonts w:hint="eastAsia" w:ascii="宋体" w:hAnsi="宋体" w:eastAsia="宋体" w:cs="宋体"/>
                <w:color w:val="auto"/>
                <w:szCs w:val="21"/>
                <w:highlight w:val="none"/>
              </w:rPr>
            </w:pPr>
          </w:p>
        </w:tc>
        <w:tc>
          <w:tcPr>
            <w:tcW w:w="4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B03EE">
            <w:pPr>
              <w:jc w:val="center"/>
              <w:rPr>
                <w:rFonts w:hint="eastAsia" w:ascii="宋体" w:hAnsi="宋体" w:eastAsia="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3EBE7">
            <w:pPr>
              <w:jc w:val="center"/>
              <w:rPr>
                <w:rFonts w:hint="eastAsia" w:ascii="宋体" w:hAnsi="宋体" w:eastAsia="宋体" w:cs="宋体"/>
                <w:color w:val="auto"/>
                <w:szCs w:val="21"/>
                <w:highlight w:val="none"/>
              </w:rPr>
            </w:pPr>
          </w:p>
        </w:tc>
        <w:tc>
          <w:tcPr>
            <w:tcW w:w="1813" w:type="dxa"/>
            <w:vMerge w:val="continue"/>
            <w:tcBorders>
              <w:left w:val="single" w:color="000000" w:sz="4" w:space="0"/>
              <w:bottom w:val="single" w:color="000000" w:sz="4" w:space="0"/>
              <w:right w:val="single" w:color="000000" w:sz="4" w:space="0"/>
            </w:tcBorders>
            <w:noWrap w:val="0"/>
            <w:vAlign w:val="center"/>
          </w:tcPr>
          <w:p w14:paraId="2D930265">
            <w:pPr>
              <w:widowControl/>
              <w:jc w:val="center"/>
              <w:textAlignment w:val="center"/>
              <w:rPr>
                <w:rFonts w:hint="eastAsia" w:ascii="宋体" w:hAnsi="宋体" w:eastAsia="宋体" w:cs="宋体"/>
                <w:color w:val="auto"/>
                <w:szCs w:val="21"/>
                <w:highlight w:val="none"/>
              </w:rPr>
            </w:pPr>
          </w:p>
        </w:tc>
      </w:tr>
      <w:tr w14:paraId="0DD865BA">
        <w:tblPrEx>
          <w:tblCellMar>
            <w:top w:w="0" w:type="dxa"/>
            <w:left w:w="108" w:type="dxa"/>
            <w:bottom w:w="0" w:type="dxa"/>
            <w:right w:w="108" w:type="dxa"/>
          </w:tblCellMar>
        </w:tblPrEx>
        <w:trPr>
          <w:trHeight w:val="597"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6EF2B6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380" w:type="dxa"/>
            <w:tcBorders>
              <w:top w:val="single" w:color="000000" w:sz="4" w:space="0"/>
              <w:left w:val="single" w:color="000000" w:sz="4" w:space="0"/>
              <w:bottom w:val="nil"/>
              <w:right w:val="single" w:color="000000" w:sz="4" w:space="0"/>
            </w:tcBorders>
            <w:noWrap w:val="0"/>
            <w:vAlign w:val="center"/>
          </w:tcPr>
          <w:p w14:paraId="61CA146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广场内公共区域的卫生保洁</w:t>
            </w:r>
          </w:p>
        </w:tc>
        <w:tc>
          <w:tcPr>
            <w:tcW w:w="1446" w:type="dxa"/>
            <w:tcBorders>
              <w:top w:val="single" w:color="000000" w:sz="4" w:space="0"/>
              <w:left w:val="nil"/>
              <w:bottom w:val="single" w:color="000000" w:sz="4" w:space="0"/>
              <w:right w:val="single" w:color="000000" w:sz="4" w:space="0"/>
            </w:tcBorders>
            <w:noWrap w:val="0"/>
            <w:vAlign w:val="center"/>
          </w:tcPr>
          <w:p w14:paraId="504B331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5分</w:t>
            </w:r>
          </w:p>
        </w:tc>
        <w:tc>
          <w:tcPr>
            <w:tcW w:w="1813" w:type="dxa"/>
            <w:tcBorders>
              <w:top w:val="single" w:color="000000" w:sz="4" w:space="0"/>
              <w:left w:val="single" w:color="000000" w:sz="4" w:space="0"/>
              <w:bottom w:val="nil"/>
              <w:right w:val="single" w:color="000000" w:sz="4" w:space="0"/>
            </w:tcBorders>
            <w:noWrap w:val="0"/>
            <w:vAlign w:val="center"/>
          </w:tcPr>
          <w:p w14:paraId="2A65EAFF">
            <w:pPr>
              <w:jc w:val="center"/>
              <w:rPr>
                <w:rFonts w:hint="eastAsia" w:ascii="宋体" w:hAnsi="宋体" w:eastAsia="宋体" w:cs="宋体"/>
                <w:color w:val="auto"/>
                <w:szCs w:val="21"/>
                <w:highlight w:val="none"/>
              </w:rPr>
            </w:pPr>
          </w:p>
        </w:tc>
      </w:tr>
      <w:tr w14:paraId="5FEEFAFD">
        <w:tblPrEx>
          <w:tblCellMar>
            <w:top w:w="0" w:type="dxa"/>
            <w:left w:w="108" w:type="dxa"/>
            <w:bottom w:w="0" w:type="dxa"/>
            <w:right w:w="108" w:type="dxa"/>
          </w:tblCellMar>
        </w:tblPrEx>
        <w:trPr>
          <w:trHeight w:val="597"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3101C93F">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4380" w:type="dxa"/>
            <w:tcBorders>
              <w:top w:val="single" w:color="000000" w:sz="4" w:space="0"/>
              <w:left w:val="single" w:color="000000" w:sz="4" w:space="0"/>
              <w:bottom w:val="nil"/>
              <w:right w:val="single" w:color="000000" w:sz="4" w:space="0"/>
            </w:tcBorders>
            <w:noWrap w:val="0"/>
            <w:vAlign w:val="center"/>
          </w:tcPr>
          <w:p w14:paraId="0110747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广场内公共区域的日常巡逻、秩序维护</w:t>
            </w:r>
          </w:p>
        </w:tc>
        <w:tc>
          <w:tcPr>
            <w:tcW w:w="1446" w:type="dxa"/>
            <w:tcBorders>
              <w:top w:val="single" w:color="000000" w:sz="4" w:space="0"/>
              <w:left w:val="nil"/>
              <w:bottom w:val="single" w:color="000000" w:sz="4" w:space="0"/>
              <w:right w:val="single" w:color="000000" w:sz="4" w:space="0"/>
            </w:tcBorders>
            <w:noWrap w:val="0"/>
            <w:vAlign w:val="center"/>
          </w:tcPr>
          <w:p w14:paraId="31157412">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15分</w:t>
            </w:r>
          </w:p>
        </w:tc>
        <w:tc>
          <w:tcPr>
            <w:tcW w:w="1813" w:type="dxa"/>
            <w:tcBorders>
              <w:top w:val="single" w:color="000000" w:sz="4" w:space="0"/>
              <w:left w:val="single" w:color="000000" w:sz="4" w:space="0"/>
              <w:bottom w:val="nil"/>
              <w:right w:val="single" w:color="000000" w:sz="4" w:space="0"/>
            </w:tcBorders>
            <w:noWrap w:val="0"/>
            <w:vAlign w:val="center"/>
          </w:tcPr>
          <w:p w14:paraId="2B5A8961">
            <w:pPr>
              <w:jc w:val="center"/>
              <w:rPr>
                <w:rFonts w:hint="eastAsia" w:ascii="宋体" w:hAnsi="宋体" w:eastAsia="宋体" w:cs="宋体"/>
                <w:color w:val="auto"/>
                <w:szCs w:val="21"/>
                <w:highlight w:val="none"/>
              </w:rPr>
            </w:pPr>
          </w:p>
        </w:tc>
      </w:tr>
      <w:tr w14:paraId="3282237F">
        <w:tblPrEx>
          <w:tblCellMar>
            <w:top w:w="0" w:type="dxa"/>
            <w:left w:w="108" w:type="dxa"/>
            <w:bottom w:w="0" w:type="dxa"/>
            <w:right w:w="108" w:type="dxa"/>
          </w:tblCellMar>
        </w:tblPrEx>
        <w:trPr>
          <w:trHeight w:val="597"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33C26C8F">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4380" w:type="dxa"/>
            <w:tcBorders>
              <w:top w:val="single" w:color="000000" w:sz="4" w:space="0"/>
              <w:left w:val="single" w:color="000000" w:sz="4" w:space="0"/>
              <w:bottom w:val="nil"/>
              <w:right w:val="single" w:color="000000" w:sz="4" w:space="0"/>
            </w:tcBorders>
            <w:noWrap w:val="0"/>
            <w:vAlign w:val="center"/>
          </w:tcPr>
          <w:p w14:paraId="1A51947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突发事件应急处理</w:t>
            </w:r>
          </w:p>
        </w:tc>
        <w:tc>
          <w:tcPr>
            <w:tcW w:w="1446" w:type="dxa"/>
            <w:tcBorders>
              <w:top w:val="single" w:color="000000" w:sz="4" w:space="0"/>
              <w:left w:val="nil"/>
              <w:bottom w:val="single" w:color="000000" w:sz="4" w:space="0"/>
              <w:right w:val="single" w:color="000000" w:sz="4" w:space="0"/>
            </w:tcBorders>
            <w:noWrap w:val="0"/>
            <w:vAlign w:val="center"/>
          </w:tcPr>
          <w:p w14:paraId="45D72AD4">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10分</w:t>
            </w:r>
          </w:p>
        </w:tc>
        <w:tc>
          <w:tcPr>
            <w:tcW w:w="1813" w:type="dxa"/>
            <w:tcBorders>
              <w:top w:val="single" w:color="000000" w:sz="4" w:space="0"/>
              <w:left w:val="single" w:color="000000" w:sz="4" w:space="0"/>
              <w:bottom w:val="nil"/>
              <w:right w:val="single" w:color="000000" w:sz="4" w:space="0"/>
            </w:tcBorders>
            <w:noWrap w:val="0"/>
            <w:vAlign w:val="center"/>
          </w:tcPr>
          <w:p w14:paraId="4CB6D631">
            <w:pPr>
              <w:jc w:val="center"/>
              <w:rPr>
                <w:rFonts w:hint="eastAsia" w:ascii="宋体" w:hAnsi="宋体" w:eastAsia="宋体" w:cs="宋体"/>
                <w:color w:val="auto"/>
                <w:szCs w:val="21"/>
                <w:highlight w:val="none"/>
              </w:rPr>
            </w:pPr>
          </w:p>
        </w:tc>
      </w:tr>
      <w:tr w14:paraId="2B294B35">
        <w:tblPrEx>
          <w:tblCellMar>
            <w:top w:w="0" w:type="dxa"/>
            <w:left w:w="108" w:type="dxa"/>
            <w:bottom w:w="0" w:type="dxa"/>
            <w:right w:w="108" w:type="dxa"/>
          </w:tblCellMar>
        </w:tblPrEx>
        <w:trPr>
          <w:trHeight w:val="597"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5DCF8907">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w:t>
            </w:r>
          </w:p>
        </w:tc>
        <w:tc>
          <w:tcPr>
            <w:tcW w:w="4380" w:type="dxa"/>
            <w:tcBorders>
              <w:top w:val="single" w:color="000000" w:sz="4" w:space="0"/>
              <w:left w:val="single" w:color="000000" w:sz="4" w:space="0"/>
              <w:bottom w:val="nil"/>
              <w:right w:val="single" w:color="000000" w:sz="4" w:space="0"/>
            </w:tcBorders>
            <w:noWrap w:val="0"/>
            <w:vAlign w:val="center"/>
          </w:tcPr>
          <w:p w14:paraId="12257C5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消防安全巡查</w:t>
            </w:r>
          </w:p>
        </w:tc>
        <w:tc>
          <w:tcPr>
            <w:tcW w:w="1446" w:type="dxa"/>
            <w:tcBorders>
              <w:top w:val="single" w:color="000000" w:sz="4" w:space="0"/>
              <w:left w:val="nil"/>
              <w:bottom w:val="single" w:color="000000" w:sz="4" w:space="0"/>
              <w:right w:val="single" w:color="000000" w:sz="4" w:space="0"/>
            </w:tcBorders>
            <w:noWrap w:val="0"/>
            <w:vAlign w:val="center"/>
          </w:tcPr>
          <w:p w14:paraId="3846A2BF">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10分</w:t>
            </w:r>
          </w:p>
        </w:tc>
        <w:tc>
          <w:tcPr>
            <w:tcW w:w="1813" w:type="dxa"/>
            <w:tcBorders>
              <w:top w:val="single" w:color="000000" w:sz="4" w:space="0"/>
              <w:left w:val="single" w:color="000000" w:sz="4" w:space="0"/>
              <w:bottom w:val="nil"/>
              <w:right w:val="single" w:color="000000" w:sz="4" w:space="0"/>
            </w:tcBorders>
            <w:noWrap w:val="0"/>
            <w:vAlign w:val="center"/>
          </w:tcPr>
          <w:p w14:paraId="0B5A5619">
            <w:pPr>
              <w:jc w:val="center"/>
              <w:rPr>
                <w:rFonts w:hint="eastAsia" w:ascii="宋体" w:hAnsi="宋体" w:eastAsia="宋体" w:cs="宋体"/>
                <w:color w:val="auto"/>
                <w:szCs w:val="21"/>
                <w:highlight w:val="none"/>
              </w:rPr>
            </w:pPr>
          </w:p>
        </w:tc>
      </w:tr>
      <w:tr w14:paraId="0CE227B3">
        <w:tblPrEx>
          <w:tblCellMar>
            <w:top w:w="0" w:type="dxa"/>
            <w:left w:w="108" w:type="dxa"/>
            <w:bottom w:w="0" w:type="dxa"/>
            <w:right w:w="108" w:type="dxa"/>
          </w:tblCellMar>
        </w:tblPrEx>
        <w:trPr>
          <w:trHeight w:val="597"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9EB5EFC">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w:t>
            </w:r>
          </w:p>
        </w:tc>
        <w:tc>
          <w:tcPr>
            <w:tcW w:w="4380" w:type="dxa"/>
            <w:tcBorders>
              <w:top w:val="single" w:color="000000" w:sz="4" w:space="0"/>
              <w:left w:val="single" w:color="000000" w:sz="4" w:space="0"/>
              <w:bottom w:val="nil"/>
              <w:right w:val="single" w:color="000000" w:sz="4" w:space="0"/>
            </w:tcBorders>
            <w:noWrap w:val="0"/>
            <w:vAlign w:val="center"/>
          </w:tcPr>
          <w:p w14:paraId="3A50902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停车场车辆管理及秩序维护</w:t>
            </w:r>
          </w:p>
        </w:tc>
        <w:tc>
          <w:tcPr>
            <w:tcW w:w="1446" w:type="dxa"/>
            <w:tcBorders>
              <w:top w:val="single" w:color="000000" w:sz="4" w:space="0"/>
              <w:left w:val="nil"/>
              <w:bottom w:val="single" w:color="000000" w:sz="4" w:space="0"/>
              <w:right w:val="single" w:color="000000" w:sz="4" w:space="0"/>
            </w:tcBorders>
            <w:noWrap w:val="0"/>
            <w:vAlign w:val="center"/>
          </w:tcPr>
          <w:p w14:paraId="215A149B">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10分</w:t>
            </w:r>
          </w:p>
        </w:tc>
        <w:tc>
          <w:tcPr>
            <w:tcW w:w="1813" w:type="dxa"/>
            <w:tcBorders>
              <w:top w:val="single" w:color="000000" w:sz="4" w:space="0"/>
              <w:left w:val="single" w:color="000000" w:sz="4" w:space="0"/>
              <w:bottom w:val="nil"/>
              <w:right w:val="single" w:color="000000" w:sz="4" w:space="0"/>
            </w:tcBorders>
            <w:noWrap w:val="0"/>
            <w:vAlign w:val="center"/>
          </w:tcPr>
          <w:p w14:paraId="0069506A">
            <w:pPr>
              <w:jc w:val="center"/>
              <w:rPr>
                <w:rFonts w:hint="eastAsia" w:ascii="宋体" w:hAnsi="宋体" w:eastAsia="宋体" w:cs="宋体"/>
                <w:color w:val="auto"/>
                <w:szCs w:val="21"/>
                <w:highlight w:val="none"/>
              </w:rPr>
            </w:pPr>
          </w:p>
        </w:tc>
      </w:tr>
      <w:tr w14:paraId="28E7B6C6">
        <w:tblPrEx>
          <w:tblCellMar>
            <w:top w:w="0" w:type="dxa"/>
            <w:left w:w="108" w:type="dxa"/>
            <w:bottom w:w="0" w:type="dxa"/>
            <w:right w:w="108" w:type="dxa"/>
          </w:tblCellMar>
        </w:tblPrEx>
        <w:trPr>
          <w:trHeight w:val="597"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10D9B18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w:t>
            </w:r>
          </w:p>
        </w:tc>
        <w:tc>
          <w:tcPr>
            <w:tcW w:w="4380" w:type="dxa"/>
            <w:tcBorders>
              <w:top w:val="single" w:color="000000" w:sz="4" w:space="0"/>
              <w:left w:val="single" w:color="000000" w:sz="4" w:space="0"/>
              <w:bottom w:val="nil"/>
              <w:right w:val="single" w:color="000000" w:sz="4" w:space="0"/>
            </w:tcBorders>
            <w:noWrap w:val="0"/>
            <w:vAlign w:val="center"/>
          </w:tcPr>
          <w:p w14:paraId="6A4707F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保证现有设施设备的完好</w:t>
            </w:r>
          </w:p>
        </w:tc>
        <w:tc>
          <w:tcPr>
            <w:tcW w:w="1446" w:type="dxa"/>
            <w:tcBorders>
              <w:top w:val="single" w:color="000000" w:sz="4" w:space="0"/>
              <w:left w:val="nil"/>
              <w:bottom w:val="single" w:color="000000" w:sz="4" w:space="0"/>
              <w:right w:val="single" w:color="000000" w:sz="4" w:space="0"/>
            </w:tcBorders>
            <w:noWrap w:val="0"/>
            <w:vAlign w:val="center"/>
          </w:tcPr>
          <w:p w14:paraId="7C1C4D39">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20分</w:t>
            </w:r>
          </w:p>
        </w:tc>
        <w:tc>
          <w:tcPr>
            <w:tcW w:w="1813" w:type="dxa"/>
            <w:tcBorders>
              <w:top w:val="single" w:color="000000" w:sz="4" w:space="0"/>
              <w:left w:val="single" w:color="000000" w:sz="4" w:space="0"/>
              <w:bottom w:val="nil"/>
              <w:right w:val="single" w:color="000000" w:sz="4" w:space="0"/>
            </w:tcBorders>
            <w:noWrap w:val="0"/>
            <w:vAlign w:val="center"/>
          </w:tcPr>
          <w:p w14:paraId="72A01C69">
            <w:pPr>
              <w:jc w:val="center"/>
              <w:rPr>
                <w:rFonts w:hint="eastAsia" w:ascii="宋体" w:hAnsi="宋体" w:eastAsia="宋体" w:cs="宋体"/>
                <w:color w:val="auto"/>
                <w:szCs w:val="21"/>
                <w:highlight w:val="none"/>
              </w:rPr>
            </w:pPr>
          </w:p>
        </w:tc>
      </w:tr>
      <w:tr w14:paraId="2C134D5A">
        <w:tblPrEx>
          <w:tblCellMar>
            <w:top w:w="0" w:type="dxa"/>
            <w:left w:w="108" w:type="dxa"/>
            <w:bottom w:w="0" w:type="dxa"/>
            <w:right w:w="108" w:type="dxa"/>
          </w:tblCellMar>
        </w:tblPrEx>
        <w:trPr>
          <w:trHeight w:val="597" w:hRule="atLeast"/>
          <w:jc w:val="center"/>
        </w:trPr>
        <w:tc>
          <w:tcPr>
            <w:tcW w:w="678" w:type="dxa"/>
            <w:tcBorders>
              <w:top w:val="single" w:color="000000" w:sz="4" w:space="0"/>
              <w:left w:val="single" w:color="000000" w:sz="4" w:space="0"/>
              <w:bottom w:val="single" w:color="auto" w:sz="4" w:space="0"/>
              <w:right w:val="single" w:color="000000" w:sz="4" w:space="0"/>
            </w:tcBorders>
            <w:noWrap w:val="0"/>
            <w:vAlign w:val="center"/>
          </w:tcPr>
          <w:p w14:paraId="18B40623">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7</w:t>
            </w:r>
          </w:p>
        </w:tc>
        <w:tc>
          <w:tcPr>
            <w:tcW w:w="4380" w:type="dxa"/>
            <w:tcBorders>
              <w:top w:val="single" w:color="000000" w:sz="4" w:space="0"/>
              <w:left w:val="single" w:color="000000" w:sz="4" w:space="0"/>
              <w:bottom w:val="single" w:color="auto" w:sz="4" w:space="0"/>
              <w:right w:val="single" w:color="000000" w:sz="4" w:space="0"/>
            </w:tcBorders>
            <w:noWrap w:val="0"/>
            <w:vAlign w:val="center"/>
          </w:tcPr>
          <w:p w14:paraId="29221741">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其他与现场看护相关的服务</w:t>
            </w:r>
          </w:p>
        </w:tc>
        <w:tc>
          <w:tcPr>
            <w:tcW w:w="1446" w:type="dxa"/>
            <w:tcBorders>
              <w:top w:val="single" w:color="000000" w:sz="4" w:space="0"/>
              <w:left w:val="nil"/>
              <w:bottom w:val="single" w:color="auto" w:sz="4" w:space="0"/>
              <w:right w:val="single" w:color="000000" w:sz="4" w:space="0"/>
            </w:tcBorders>
            <w:noWrap w:val="0"/>
            <w:vAlign w:val="center"/>
          </w:tcPr>
          <w:p w14:paraId="20475393">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10分</w:t>
            </w:r>
          </w:p>
        </w:tc>
        <w:tc>
          <w:tcPr>
            <w:tcW w:w="1813" w:type="dxa"/>
            <w:tcBorders>
              <w:top w:val="single" w:color="000000" w:sz="4" w:space="0"/>
              <w:left w:val="single" w:color="000000" w:sz="4" w:space="0"/>
              <w:bottom w:val="single" w:color="auto" w:sz="4" w:space="0"/>
              <w:right w:val="single" w:color="000000" w:sz="4" w:space="0"/>
            </w:tcBorders>
            <w:noWrap w:val="0"/>
            <w:vAlign w:val="center"/>
          </w:tcPr>
          <w:p w14:paraId="135EF6E7">
            <w:pPr>
              <w:jc w:val="center"/>
              <w:rPr>
                <w:rFonts w:hint="eastAsia" w:ascii="宋体" w:hAnsi="宋体" w:eastAsia="宋体" w:cs="宋体"/>
                <w:color w:val="auto"/>
                <w:szCs w:val="21"/>
                <w:highlight w:val="none"/>
              </w:rPr>
            </w:pPr>
          </w:p>
        </w:tc>
      </w:tr>
      <w:tr w14:paraId="605B3EF4">
        <w:tblPrEx>
          <w:tblCellMar>
            <w:top w:w="0" w:type="dxa"/>
            <w:left w:w="108" w:type="dxa"/>
            <w:bottom w:w="0" w:type="dxa"/>
            <w:right w:w="108" w:type="dxa"/>
          </w:tblCellMar>
        </w:tblPrEx>
        <w:trPr>
          <w:trHeight w:val="597"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65B72B95">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8</w:t>
            </w:r>
          </w:p>
        </w:tc>
        <w:tc>
          <w:tcPr>
            <w:tcW w:w="4380" w:type="dxa"/>
            <w:tcBorders>
              <w:top w:val="single" w:color="auto" w:sz="4" w:space="0"/>
              <w:left w:val="single" w:color="auto" w:sz="4" w:space="0"/>
              <w:bottom w:val="single" w:color="auto" w:sz="4" w:space="0"/>
              <w:right w:val="single" w:color="auto" w:sz="4" w:space="0"/>
            </w:tcBorders>
            <w:noWrap w:val="0"/>
            <w:vAlign w:val="center"/>
          </w:tcPr>
          <w:p w14:paraId="41527FB7">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人员配备</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5BF129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10分</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3A29D0D9">
            <w:pPr>
              <w:jc w:val="center"/>
              <w:rPr>
                <w:rFonts w:hint="eastAsia" w:ascii="宋体" w:hAnsi="宋体" w:eastAsia="宋体" w:cs="宋体"/>
                <w:color w:val="auto"/>
                <w:szCs w:val="21"/>
                <w:highlight w:val="none"/>
              </w:rPr>
            </w:pPr>
          </w:p>
        </w:tc>
      </w:tr>
      <w:tr w14:paraId="522173A9">
        <w:tblPrEx>
          <w:tblCellMar>
            <w:top w:w="0" w:type="dxa"/>
            <w:left w:w="108" w:type="dxa"/>
            <w:bottom w:w="0" w:type="dxa"/>
            <w:right w:w="108" w:type="dxa"/>
          </w:tblCellMar>
        </w:tblPrEx>
        <w:trPr>
          <w:trHeight w:val="597"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711AD7A5">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9</w:t>
            </w:r>
          </w:p>
        </w:tc>
        <w:tc>
          <w:tcPr>
            <w:tcW w:w="7639" w:type="dxa"/>
            <w:gridSpan w:val="3"/>
            <w:tcBorders>
              <w:top w:val="single" w:color="auto" w:sz="4" w:space="0"/>
              <w:left w:val="single" w:color="auto" w:sz="4" w:space="0"/>
              <w:bottom w:val="single" w:color="auto" w:sz="4" w:space="0"/>
              <w:right w:val="single" w:color="auto" w:sz="4" w:space="0"/>
            </w:tcBorders>
            <w:noWrap w:val="0"/>
            <w:vAlign w:val="center"/>
          </w:tcPr>
          <w:p w14:paraId="255CF3E7">
            <w:pPr>
              <w:jc w:val="left"/>
              <w:rPr>
                <w:rFonts w:hint="eastAsia" w:ascii="宋体" w:hAnsi="宋体" w:eastAsia="宋体" w:cs="宋体"/>
                <w:color w:val="auto"/>
                <w:szCs w:val="21"/>
                <w:highlight w:val="none"/>
              </w:rPr>
            </w:pPr>
            <w:r>
              <w:rPr>
                <w:rFonts w:hint="eastAsia" w:ascii="宋体" w:hAnsi="宋体" w:eastAsia="宋体" w:cs="宋体"/>
                <w:color w:val="auto"/>
                <w:highlight w:val="none"/>
                <w:lang w:bidi="ar"/>
              </w:rPr>
              <w:t>通过以上各项的评分，当月考核分数是：</w:t>
            </w:r>
          </w:p>
        </w:tc>
      </w:tr>
    </w:tbl>
    <w:p w14:paraId="7204E725">
      <w:pPr>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br w:type="page"/>
      </w:r>
    </w:p>
    <w:bookmarkEnd w:id="33"/>
    <w:p w14:paraId="20DBC6C9">
      <w:pPr>
        <w:pStyle w:val="19"/>
        <w:spacing w:before="312" w:after="312" w:line="360" w:lineRule="auto"/>
        <w:rPr>
          <w:rFonts w:hint="eastAsia" w:ascii="宋体" w:hAnsi="宋体" w:eastAsia="宋体" w:cs="宋体"/>
          <w:color w:val="auto"/>
          <w:spacing w:val="0"/>
          <w:sz w:val="36"/>
          <w:szCs w:val="36"/>
        </w:rPr>
      </w:pPr>
      <w:r>
        <w:rPr>
          <w:rFonts w:hint="eastAsia" w:ascii="宋体" w:hAnsi="宋体" w:eastAsia="宋体" w:cs="宋体"/>
          <w:color w:val="auto"/>
          <w:spacing w:val="0"/>
          <w:sz w:val="36"/>
          <w:szCs w:val="36"/>
        </w:rPr>
        <w:t>第</w:t>
      </w:r>
      <w:r>
        <w:rPr>
          <w:rFonts w:hint="eastAsia" w:ascii="宋体" w:hAnsi="宋体" w:eastAsia="宋体" w:cs="宋体"/>
          <w:color w:val="auto"/>
          <w:spacing w:val="0"/>
          <w:sz w:val="36"/>
          <w:szCs w:val="36"/>
          <w:lang w:val="en-US" w:eastAsia="zh-CN"/>
        </w:rPr>
        <w:t>六</w:t>
      </w:r>
      <w:r>
        <w:rPr>
          <w:rFonts w:hint="eastAsia" w:ascii="宋体" w:hAnsi="宋体" w:eastAsia="宋体" w:cs="宋体"/>
          <w:color w:val="auto"/>
          <w:spacing w:val="0"/>
          <w:sz w:val="36"/>
          <w:szCs w:val="36"/>
        </w:rPr>
        <w:t>章 投标文件组成</w:t>
      </w:r>
    </w:p>
    <w:p w14:paraId="2EE4573D">
      <w:pPr>
        <w:adjustRightInd w:val="0"/>
        <w:snapToGrid w:val="0"/>
        <w:spacing w:line="360" w:lineRule="auto"/>
        <w:ind w:firstLine="470" w:firstLineChars="196"/>
        <w:contextualSpacing/>
        <w:rPr>
          <w:rFonts w:hint="eastAsia" w:ascii="宋体" w:hAnsi="宋体" w:eastAsia="宋体" w:cs="宋体"/>
          <w:color w:val="auto"/>
          <w:spacing w:val="0"/>
          <w:sz w:val="24"/>
        </w:rPr>
      </w:pPr>
      <w:r>
        <w:rPr>
          <w:rFonts w:hint="eastAsia" w:ascii="宋体" w:hAnsi="宋体" w:eastAsia="宋体" w:cs="宋体"/>
          <w:color w:val="auto"/>
          <w:spacing w:val="0"/>
          <w:sz w:val="24"/>
        </w:rPr>
        <w:t>投标文件由资格审查文件、技术标和商务标三部分组成。本次招标采用资格后审方式。</w:t>
      </w:r>
    </w:p>
    <w:p w14:paraId="21DFBF5C">
      <w:pPr>
        <w:adjustRightInd w:val="0"/>
        <w:snapToGrid w:val="0"/>
        <w:spacing w:line="360" w:lineRule="auto"/>
        <w:ind w:firstLine="472" w:firstLineChars="196"/>
        <w:contextualSpacing/>
        <w:rPr>
          <w:rFonts w:hint="eastAsia" w:ascii="宋体" w:hAnsi="宋体" w:eastAsia="宋体" w:cs="宋体"/>
          <w:b/>
          <w:bCs/>
          <w:color w:val="auto"/>
          <w:spacing w:val="0"/>
          <w:sz w:val="24"/>
        </w:rPr>
      </w:pPr>
      <w:r>
        <w:rPr>
          <w:rFonts w:hint="eastAsia" w:ascii="宋体" w:hAnsi="宋体" w:eastAsia="宋体" w:cs="宋体"/>
          <w:b/>
          <w:bCs/>
          <w:color w:val="auto"/>
          <w:spacing w:val="0"/>
          <w:sz w:val="24"/>
        </w:rPr>
        <w:t>本项目资格审查文件、技术标和商务标请分别装订、分别单独密封后一起递交。</w:t>
      </w:r>
    </w:p>
    <w:p w14:paraId="42554444">
      <w:pPr>
        <w:adjustRightInd w:val="0"/>
        <w:snapToGrid w:val="0"/>
        <w:spacing w:line="360" w:lineRule="auto"/>
        <w:ind w:firstLine="482" w:firstLineChars="200"/>
        <w:rPr>
          <w:rFonts w:hint="eastAsia" w:ascii="宋体" w:hAnsi="宋体" w:eastAsia="宋体" w:cs="宋体"/>
          <w:b/>
          <w:color w:val="auto"/>
          <w:spacing w:val="0"/>
          <w:sz w:val="24"/>
        </w:rPr>
      </w:pPr>
      <w:r>
        <w:rPr>
          <w:rFonts w:hint="eastAsia" w:ascii="宋体" w:hAnsi="宋体" w:eastAsia="宋体" w:cs="宋体"/>
          <w:b/>
          <w:color w:val="auto"/>
          <w:spacing w:val="0"/>
          <w:sz w:val="24"/>
        </w:rPr>
        <w:t>一、</w:t>
      </w:r>
      <w:r>
        <w:rPr>
          <w:rFonts w:hint="eastAsia" w:ascii="宋体" w:hAnsi="宋体" w:eastAsia="宋体" w:cs="宋体"/>
          <w:b/>
          <w:color w:val="auto"/>
          <w:spacing w:val="0"/>
          <w:sz w:val="25"/>
          <w:szCs w:val="21"/>
        </w:rPr>
        <w:t>资格审查文件</w:t>
      </w:r>
      <w:r>
        <w:rPr>
          <w:rFonts w:hint="eastAsia" w:ascii="宋体" w:hAnsi="宋体" w:eastAsia="宋体" w:cs="宋体"/>
          <w:b/>
          <w:bCs/>
          <w:color w:val="auto"/>
          <w:spacing w:val="0"/>
          <w:sz w:val="24"/>
        </w:rPr>
        <w:t>（不得出现报价）</w:t>
      </w:r>
    </w:p>
    <w:p w14:paraId="6BB918FD">
      <w:pPr>
        <w:numPr>
          <w:ilvl w:val="0"/>
          <w:numId w:val="2"/>
        </w:numPr>
        <w:snapToGrid w:val="0"/>
        <w:spacing w:line="360" w:lineRule="auto"/>
        <w:ind w:firstLine="470" w:firstLineChars="196"/>
        <w:jc w:val="left"/>
        <w:textAlignment w:val="baseline"/>
        <w:rPr>
          <w:rFonts w:hint="eastAsia" w:ascii="宋体" w:hAnsi="宋体" w:eastAsia="宋体" w:cs="宋体"/>
          <w:color w:val="auto"/>
          <w:spacing w:val="0"/>
          <w:sz w:val="24"/>
        </w:rPr>
      </w:pPr>
      <w:r>
        <w:rPr>
          <w:rFonts w:hint="eastAsia" w:ascii="宋体" w:hAnsi="宋体" w:eastAsia="宋体" w:cs="宋体"/>
          <w:color w:val="auto"/>
          <w:spacing w:val="0"/>
          <w:sz w:val="24"/>
        </w:rPr>
        <w:t>有效的营业执照的复印件。</w:t>
      </w:r>
    </w:p>
    <w:p w14:paraId="7A942C73">
      <w:pPr>
        <w:snapToGrid w:val="0"/>
        <w:spacing w:line="360" w:lineRule="auto"/>
        <w:ind w:firstLine="480" w:firstLineChars="200"/>
        <w:rPr>
          <w:rFonts w:hint="eastAsia" w:ascii="宋体" w:hAnsi="宋体" w:eastAsia="宋体" w:cs="宋体"/>
          <w:bCs/>
          <w:color w:val="auto"/>
          <w:spacing w:val="0"/>
          <w:sz w:val="24"/>
        </w:rPr>
      </w:pPr>
      <w:r>
        <w:rPr>
          <w:rFonts w:hint="eastAsia" w:ascii="宋体" w:hAnsi="宋体" w:eastAsia="宋体" w:cs="宋体"/>
          <w:bCs/>
          <w:color w:val="auto"/>
          <w:spacing w:val="0"/>
          <w:sz w:val="24"/>
        </w:rPr>
        <w:t>2、投标人法定代表人参加的，必须提供法定代表人身份证明原件</w:t>
      </w:r>
      <w:r>
        <w:rPr>
          <w:rFonts w:hint="eastAsia" w:ascii="宋体" w:hAnsi="宋体" w:eastAsia="宋体" w:cs="宋体"/>
          <w:bCs/>
          <w:color w:val="auto"/>
          <w:spacing w:val="0"/>
          <w:sz w:val="24"/>
          <w:lang w:val="en-US" w:eastAsia="zh-CN"/>
        </w:rPr>
        <w:t>及其本人身份证复印件</w:t>
      </w:r>
      <w:r>
        <w:rPr>
          <w:rFonts w:hint="eastAsia" w:ascii="宋体" w:hAnsi="宋体" w:eastAsia="宋体" w:cs="宋体"/>
          <w:bCs/>
          <w:color w:val="auto"/>
          <w:spacing w:val="0"/>
          <w:sz w:val="24"/>
        </w:rPr>
        <w:t>（格式附后）；</w:t>
      </w:r>
    </w:p>
    <w:p w14:paraId="71EC7FD2">
      <w:pPr>
        <w:snapToGrid w:val="0"/>
        <w:spacing w:line="360" w:lineRule="auto"/>
        <w:ind w:firstLine="480" w:firstLineChars="200"/>
        <w:rPr>
          <w:rFonts w:hint="eastAsia" w:ascii="宋体" w:hAnsi="宋体" w:eastAsia="宋体" w:cs="宋体"/>
          <w:bCs/>
          <w:color w:val="auto"/>
          <w:spacing w:val="0"/>
          <w:sz w:val="24"/>
        </w:rPr>
      </w:pPr>
      <w:r>
        <w:rPr>
          <w:rFonts w:hint="eastAsia" w:ascii="宋体" w:hAnsi="宋体" w:eastAsia="宋体" w:cs="宋体"/>
          <w:bCs/>
          <w:color w:val="auto"/>
          <w:spacing w:val="0"/>
          <w:sz w:val="24"/>
        </w:rPr>
        <w:t>非法定代表人参加的，必须提供法定代表人身份证明原件及其本人身份证复</w:t>
      </w:r>
      <w:r>
        <w:rPr>
          <w:rFonts w:hint="eastAsia" w:ascii="宋体" w:hAnsi="宋体" w:eastAsia="宋体" w:cs="宋体"/>
          <w:bCs/>
          <w:color w:val="auto"/>
          <w:spacing w:val="0"/>
          <w:sz w:val="24"/>
          <w:lang w:eastAsia="zh-CN"/>
        </w:rPr>
        <w:t>印件</w:t>
      </w:r>
      <w:r>
        <w:rPr>
          <w:rFonts w:hint="eastAsia" w:ascii="宋体" w:hAnsi="宋体" w:eastAsia="宋体" w:cs="宋体"/>
          <w:bCs/>
          <w:color w:val="auto"/>
          <w:spacing w:val="0"/>
          <w:sz w:val="24"/>
        </w:rPr>
        <w:t>（格式附后）</w:t>
      </w:r>
      <w:r>
        <w:rPr>
          <w:rFonts w:hint="eastAsia" w:ascii="宋体" w:hAnsi="宋体" w:eastAsia="宋体" w:cs="宋体"/>
          <w:bCs/>
          <w:color w:val="auto"/>
          <w:spacing w:val="0"/>
          <w:sz w:val="24"/>
          <w:lang w:eastAsia="zh-CN"/>
        </w:rPr>
        <w:t>、</w:t>
      </w:r>
      <w:r>
        <w:rPr>
          <w:rFonts w:hint="eastAsia" w:ascii="宋体" w:hAnsi="宋体" w:eastAsia="宋体" w:cs="宋体"/>
          <w:bCs/>
          <w:color w:val="auto"/>
          <w:spacing w:val="0"/>
          <w:sz w:val="24"/>
        </w:rPr>
        <w:t>法定代表人签字或盖章的授权委托书原件</w:t>
      </w:r>
      <w:r>
        <w:rPr>
          <w:rFonts w:hint="eastAsia" w:ascii="宋体" w:hAnsi="宋体" w:eastAsia="宋体" w:cs="宋体"/>
          <w:bCs/>
          <w:color w:val="auto"/>
          <w:spacing w:val="0"/>
          <w:sz w:val="24"/>
          <w:lang w:val="en-US" w:eastAsia="zh-CN"/>
        </w:rPr>
        <w:t>及被授权人身份证复印件</w:t>
      </w:r>
      <w:r>
        <w:rPr>
          <w:rFonts w:hint="eastAsia" w:ascii="宋体" w:hAnsi="宋体" w:eastAsia="宋体" w:cs="宋体"/>
          <w:bCs/>
          <w:color w:val="auto"/>
          <w:spacing w:val="0"/>
          <w:sz w:val="24"/>
        </w:rPr>
        <w:t>（格式附后）。</w:t>
      </w:r>
    </w:p>
    <w:p w14:paraId="48A4B9BC">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bCs/>
          <w:color w:val="auto"/>
          <w:spacing w:val="0"/>
          <w:sz w:val="24"/>
        </w:rPr>
        <w:t>3、</w:t>
      </w:r>
      <w:r>
        <w:rPr>
          <w:rFonts w:hint="eastAsia" w:ascii="宋体" w:hAnsi="宋体" w:eastAsia="宋体" w:cs="宋体"/>
          <w:bCs/>
          <w:color w:val="auto"/>
          <w:spacing w:val="0"/>
          <w:sz w:val="24"/>
          <w:lang w:val="en-US" w:eastAsia="zh-CN"/>
        </w:rPr>
        <w:t>有效的投标人声明函</w:t>
      </w:r>
      <w:r>
        <w:rPr>
          <w:rFonts w:hint="eastAsia" w:ascii="宋体" w:hAnsi="宋体" w:eastAsia="宋体" w:cs="宋体"/>
          <w:bCs/>
          <w:color w:val="auto"/>
          <w:spacing w:val="0"/>
          <w:sz w:val="24"/>
        </w:rPr>
        <w:t>原件（格式附后）。</w:t>
      </w:r>
    </w:p>
    <w:p w14:paraId="012078B9">
      <w:pPr>
        <w:widowControl/>
        <w:snapToGrid w:val="0"/>
        <w:spacing w:line="360" w:lineRule="auto"/>
        <w:ind w:firstLine="470" w:firstLineChars="196"/>
        <w:jc w:val="left"/>
        <w:textAlignment w:val="baseline"/>
        <w:rPr>
          <w:rFonts w:hint="eastAsia" w:ascii="宋体" w:hAnsi="宋体" w:eastAsia="宋体" w:cs="宋体"/>
          <w:color w:val="auto"/>
          <w:spacing w:val="0"/>
          <w:sz w:val="24"/>
        </w:rPr>
      </w:pPr>
      <w:r>
        <w:rPr>
          <w:rFonts w:hint="eastAsia" w:ascii="宋体" w:hAnsi="宋体" w:eastAsia="宋体" w:cs="宋体"/>
          <w:color w:val="auto"/>
          <w:spacing w:val="0"/>
          <w:sz w:val="24"/>
        </w:rPr>
        <w:t>4、</w:t>
      </w:r>
      <w:r>
        <w:rPr>
          <w:rFonts w:hint="eastAsia" w:ascii="宋体" w:hAnsi="宋体" w:eastAsia="宋体" w:cs="宋体"/>
          <w:color w:val="auto"/>
          <w:spacing w:val="0"/>
          <w:sz w:val="24"/>
          <w:lang w:val="en-US" w:eastAsia="zh-CN"/>
        </w:rPr>
        <w:t>有效的</w:t>
      </w:r>
      <w:r>
        <w:rPr>
          <w:rFonts w:hint="eastAsia" w:ascii="宋体" w:hAnsi="宋体" w:eastAsia="宋体" w:cs="宋体"/>
          <w:color w:val="auto"/>
          <w:spacing w:val="0"/>
          <w:sz w:val="24"/>
        </w:rPr>
        <w:t>关于资格文件的</w:t>
      </w:r>
      <w:r>
        <w:rPr>
          <w:rFonts w:hint="eastAsia" w:ascii="宋体" w:hAnsi="宋体" w:eastAsia="宋体" w:cs="宋体"/>
          <w:color w:val="auto"/>
          <w:spacing w:val="0"/>
          <w:sz w:val="24"/>
          <w:lang w:val="en-US" w:eastAsia="zh-CN"/>
        </w:rPr>
        <w:t>承诺函</w:t>
      </w:r>
      <w:r>
        <w:rPr>
          <w:rFonts w:hint="eastAsia" w:ascii="宋体" w:hAnsi="宋体" w:eastAsia="宋体" w:cs="宋体"/>
          <w:color w:val="auto"/>
          <w:spacing w:val="0"/>
          <w:sz w:val="24"/>
        </w:rPr>
        <w:t>原件（</w:t>
      </w:r>
      <w:r>
        <w:rPr>
          <w:rFonts w:hint="eastAsia" w:ascii="宋体" w:hAnsi="宋体" w:eastAsia="宋体" w:cs="宋体"/>
          <w:snapToGrid w:val="0"/>
          <w:color w:val="auto"/>
          <w:spacing w:val="0"/>
          <w:sz w:val="24"/>
        </w:rPr>
        <w:t>格式附后</w:t>
      </w:r>
      <w:r>
        <w:rPr>
          <w:rFonts w:hint="eastAsia" w:ascii="宋体" w:hAnsi="宋体" w:eastAsia="宋体" w:cs="宋体"/>
          <w:color w:val="auto"/>
          <w:spacing w:val="0"/>
          <w:sz w:val="24"/>
        </w:rPr>
        <w:t>）。</w:t>
      </w:r>
    </w:p>
    <w:p w14:paraId="0F1DEEAA">
      <w:pPr>
        <w:spacing w:line="360" w:lineRule="auto"/>
        <w:ind w:firstLine="480" w:firstLineChars="200"/>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5、有效的现场踏勘确认函</w:t>
      </w:r>
      <w:r>
        <w:rPr>
          <w:rFonts w:hint="eastAsia" w:ascii="宋体" w:hAnsi="宋体" w:cs="宋体"/>
          <w:b w:val="0"/>
          <w:bCs w:val="0"/>
          <w:color w:val="auto"/>
          <w:spacing w:val="0"/>
          <w:sz w:val="24"/>
          <w:lang w:val="en-US" w:eastAsia="zh-CN"/>
        </w:rPr>
        <w:t>原件</w:t>
      </w:r>
      <w:r>
        <w:rPr>
          <w:rFonts w:hint="eastAsia" w:ascii="宋体" w:hAnsi="宋体" w:eastAsia="宋体" w:cs="宋体"/>
          <w:b w:val="0"/>
          <w:bCs w:val="0"/>
          <w:color w:val="auto"/>
          <w:spacing w:val="0"/>
          <w:sz w:val="24"/>
          <w:lang w:val="en-US" w:eastAsia="zh-CN"/>
        </w:rPr>
        <w:t>（格式附后）。</w:t>
      </w:r>
    </w:p>
    <w:p w14:paraId="688B187F">
      <w:pPr>
        <w:spacing w:line="360" w:lineRule="auto"/>
        <w:ind w:firstLine="482" w:firstLineChars="200"/>
        <w:rPr>
          <w:rFonts w:hint="eastAsia" w:ascii="宋体" w:hAnsi="宋体" w:eastAsia="宋体" w:cs="宋体"/>
          <w:b/>
          <w:bCs/>
          <w:color w:val="auto"/>
          <w:spacing w:val="0"/>
          <w:sz w:val="24"/>
        </w:rPr>
      </w:pPr>
      <w:r>
        <w:rPr>
          <w:rFonts w:hint="eastAsia" w:ascii="宋体" w:hAnsi="宋体" w:eastAsia="宋体" w:cs="宋体"/>
          <w:b/>
          <w:bCs/>
          <w:color w:val="auto"/>
          <w:spacing w:val="0"/>
          <w:sz w:val="24"/>
        </w:rPr>
        <w:t>特别提醒：“资格审查文件”所</w:t>
      </w:r>
      <w:r>
        <w:rPr>
          <w:rFonts w:hint="eastAsia" w:ascii="宋体" w:hAnsi="宋体" w:cs="宋体"/>
          <w:b/>
          <w:bCs/>
          <w:color w:val="auto"/>
          <w:spacing w:val="0"/>
          <w:sz w:val="24"/>
          <w:lang w:eastAsia="zh-CN"/>
        </w:rPr>
        <w:t>需</w:t>
      </w:r>
      <w:r>
        <w:rPr>
          <w:rFonts w:hint="eastAsia" w:ascii="宋体" w:hAnsi="宋体" w:eastAsia="宋体" w:cs="宋体"/>
          <w:b/>
          <w:bCs/>
          <w:color w:val="auto"/>
          <w:spacing w:val="0"/>
          <w:sz w:val="24"/>
        </w:rPr>
        <w:t xml:space="preserve">提供的材料（须加盖投标人公章）按招标文件要求装订，密封，递交。 </w:t>
      </w:r>
    </w:p>
    <w:p w14:paraId="0B1E2627">
      <w:pPr>
        <w:adjustRightInd w:val="0"/>
        <w:snapToGrid w:val="0"/>
        <w:spacing w:line="360" w:lineRule="auto"/>
        <w:ind w:firstLine="482" w:firstLineChars="200"/>
        <w:rPr>
          <w:rFonts w:hint="eastAsia" w:ascii="宋体" w:hAnsi="宋体" w:eastAsia="宋体" w:cs="宋体"/>
          <w:b/>
          <w:bCs/>
          <w:color w:val="auto"/>
          <w:spacing w:val="0"/>
          <w:sz w:val="24"/>
        </w:rPr>
      </w:pPr>
      <w:r>
        <w:rPr>
          <w:rFonts w:hint="eastAsia" w:ascii="宋体" w:hAnsi="宋体" w:eastAsia="宋体" w:cs="宋体"/>
          <w:b/>
          <w:bCs/>
          <w:color w:val="auto"/>
          <w:spacing w:val="0"/>
          <w:sz w:val="24"/>
        </w:rPr>
        <w:t>二、技术标（不得出现报价）</w:t>
      </w:r>
    </w:p>
    <w:p w14:paraId="1917ABFE">
      <w:pPr>
        <w:pStyle w:val="21"/>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1、投标响应函原件（</w:t>
      </w:r>
      <w:r>
        <w:rPr>
          <w:rFonts w:hint="eastAsia" w:ascii="宋体" w:hAnsi="宋体" w:eastAsia="宋体" w:cs="宋体"/>
          <w:snapToGrid w:val="0"/>
          <w:color w:val="auto"/>
          <w:spacing w:val="0"/>
          <w:kern w:val="0"/>
          <w:sz w:val="24"/>
        </w:rPr>
        <w:t>格式附后</w:t>
      </w:r>
      <w:r>
        <w:rPr>
          <w:rFonts w:hint="eastAsia" w:ascii="宋体" w:hAnsi="宋体" w:eastAsia="宋体" w:cs="宋体"/>
          <w:color w:val="auto"/>
          <w:spacing w:val="0"/>
          <w:sz w:val="24"/>
          <w:szCs w:val="24"/>
        </w:rPr>
        <w:t>）。</w:t>
      </w:r>
    </w:p>
    <w:p w14:paraId="489AD971">
      <w:pPr>
        <w:pStyle w:val="21"/>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2、评审评分项技术响应评分中所涉及的事项需提供的所有资料。</w:t>
      </w:r>
    </w:p>
    <w:p w14:paraId="7A350306">
      <w:pPr>
        <w:pStyle w:val="21"/>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注：为方便评委评审，请投标人按评审评分项中所涉及的事项顺序进行编制，可以补充相关材料。</w:t>
      </w:r>
    </w:p>
    <w:p w14:paraId="7AD61275">
      <w:pPr>
        <w:adjustRightInd w:val="0"/>
        <w:snapToGrid w:val="0"/>
        <w:spacing w:line="360" w:lineRule="auto"/>
        <w:ind w:firstLine="482" w:firstLineChars="200"/>
        <w:rPr>
          <w:rFonts w:hint="eastAsia" w:ascii="宋体" w:hAnsi="宋体" w:eastAsia="宋体" w:cs="宋体"/>
          <w:b/>
          <w:bCs/>
          <w:color w:val="auto"/>
          <w:spacing w:val="0"/>
          <w:sz w:val="24"/>
        </w:rPr>
      </w:pPr>
      <w:r>
        <w:rPr>
          <w:rFonts w:hint="eastAsia" w:ascii="宋体" w:hAnsi="宋体" w:eastAsia="宋体" w:cs="宋体"/>
          <w:b/>
          <w:bCs/>
          <w:color w:val="auto"/>
          <w:spacing w:val="0"/>
          <w:sz w:val="24"/>
          <w:u w:val="none" w:color="auto"/>
        </w:rPr>
        <w:t>注：以上材料如为复印件的，均须加盖投标人公章</w:t>
      </w:r>
      <w:r>
        <w:rPr>
          <w:rFonts w:hint="eastAsia" w:ascii="宋体" w:hAnsi="宋体" w:eastAsia="宋体" w:cs="宋体"/>
          <w:b/>
          <w:bCs/>
          <w:color w:val="auto"/>
          <w:spacing w:val="0"/>
          <w:sz w:val="24"/>
        </w:rPr>
        <w:t>。</w:t>
      </w:r>
    </w:p>
    <w:p w14:paraId="3805234D">
      <w:pPr>
        <w:pStyle w:val="21"/>
        <w:snapToGrid w:val="0"/>
        <w:spacing w:line="360" w:lineRule="auto"/>
        <w:ind w:firstLine="481"/>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三、商务标</w:t>
      </w:r>
    </w:p>
    <w:p w14:paraId="51E92287">
      <w:pPr>
        <w:adjustRightInd w:val="0"/>
        <w:snapToGrid w:val="0"/>
        <w:spacing w:line="360" w:lineRule="auto"/>
        <w:ind w:firstLine="494" w:firstLineChars="206"/>
        <w:outlineLvl w:val="1"/>
        <w:rPr>
          <w:rFonts w:hint="eastAsia" w:ascii="宋体" w:hAnsi="宋体" w:eastAsia="宋体" w:cs="宋体"/>
          <w:snapToGrid w:val="0"/>
          <w:color w:val="auto"/>
          <w:spacing w:val="0"/>
          <w:kern w:val="0"/>
          <w:sz w:val="24"/>
        </w:rPr>
      </w:pPr>
      <w:r>
        <w:rPr>
          <w:rFonts w:hint="eastAsia" w:ascii="宋体" w:hAnsi="宋体" w:eastAsia="宋体" w:cs="宋体"/>
          <w:snapToGrid w:val="0"/>
          <w:color w:val="auto"/>
          <w:spacing w:val="0"/>
          <w:kern w:val="0"/>
          <w:sz w:val="24"/>
        </w:rPr>
        <w:t>1、投标报价总表</w:t>
      </w:r>
      <w:r>
        <w:rPr>
          <w:rFonts w:hint="eastAsia" w:ascii="宋体" w:hAnsi="宋体" w:eastAsia="宋体" w:cs="宋体"/>
          <w:color w:val="auto"/>
          <w:spacing w:val="0"/>
          <w:sz w:val="24"/>
        </w:rPr>
        <w:t>（</w:t>
      </w:r>
      <w:r>
        <w:rPr>
          <w:rFonts w:hint="eastAsia" w:ascii="宋体" w:hAnsi="宋体" w:eastAsia="宋体" w:cs="宋体"/>
          <w:snapToGrid w:val="0"/>
          <w:color w:val="auto"/>
          <w:spacing w:val="0"/>
          <w:kern w:val="0"/>
          <w:sz w:val="24"/>
        </w:rPr>
        <w:t>格式附后</w:t>
      </w:r>
      <w:r>
        <w:rPr>
          <w:rFonts w:hint="eastAsia" w:ascii="宋体" w:hAnsi="宋体" w:eastAsia="宋体" w:cs="宋体"/>
          <w:color w:val="auto"/>
          <w:spacing w:val="0"/>
          <w:sz w:val="24"/>
        </w:rPr>
        <w:t>）</w:t>
      </w:r>
      <w:r>
        <w:rPr>
          <w:rFonts w:hint="eastAsia" w:ascii="宋体" w:hAnsi="宋体" w:eastAsia="宋体" w:cs="宋体"/>
          <w:snapToGrid w:val="0"/>
          <w:color w:val="auto"/>
          <w:spacing w:val="0"/>
          <w:kern w:val="0"/>
          <w:sz w:val="24"/>
        </w:rPr>
        <w:t>；</w:t>
      </w:r>
    </w:p>
    <w:p w14:paraId="0B1F8540">
      <w:pPr>
        <w:adjustRightInd w:val="0"/>
        <w:snapToGrid w:val="0"/>
        <w:spacing w:line="360" w:lineRule="auto"/>
        <w:ind w:firstLine="494" w:firstLineChars="206"/>
        <w:outlineLvl w:val="1"/>
        <w:rPr>
          <w:rFonts w:hint="eastAsia" w:ascii="宋体" w:hAnsi="宋体" w:eastAsia="宋体" w:cs="宋体"/>
          <w:color w:val="auto"/>
          <w:spacing w:val="0"/>
          <w:sz w:val="32"/>
          <w:szCs w:val="32"/>
        </w:rPr>
      </w:pPr>
      <w:r>
        <w:rPr>
          <w:rFonts w:hint="eastAsia" w:ascii="宋体" w:hAnsi="宋体" w:eastAsia="宋体" w:cs="宋体"/>
          <w:snapToGrid w:val="0"/>
          <w:color w:val="auto"/>
          <w:spacing w:val="0"/>
          <w:kern w:val="0"/>
          <w:sz w:val="24"/>
        </w:rPr>
        <w:t>2、投标报价明细表</w:t>
      </w:r>
      <w:r>
        <w:rPr>
          <w:rFonts w:hint="eastAsia" w:ascii="宋体" w:hAnsi="宋体" w:eastAsia="宋体" w:cs="宋体"/>
          <w:color w:val="auto"/>
          <w:spacing w:val="0"/>
          <w:sz w:val="24"/>
        </w:rPr>
        <w:t>（</w:t>
      </w:r>
      <w:r>
        <w:rPr>
          <w:rFonts w:hint="eastAsia" w:ascii="宋体" w:hAnsi="宋体" w:eastAsia="宋体" w:cs="宋体"/>
          <w:snapToGrid w:val="0"/>
          <w:color w:val="auto"/>
          <w:spacing w:val="0"/>
          <w:kern w:val="0"/>
          <w:sz w:val="24"/>
        </w:rPr>
        <w:t>格式附后</w:t>
      </w:r>
      <w:r>
        <w:rPr>
          <w:rFonts w:hint="eastAsia" w:ascii="宋体" w:hAnsi="宋体" w:eastAsia="宋体" w:cs="宋体"/>
          <w:color w:val="auto"/>
          <w:spacing w:val="0"/>
          <w:sz w:val="24"/>
        </w:rPr>
        <w:t>）</w:t>
      </w:r>
      <w:r>
        <w:rPr>
          <w:rFonts w:hint="eastAsia" w:ascii="宋体" w:hAnsi="宋体" w:eastAsia="宋体" w:cs="宋体"/>
          <w:snapToGrid w:val="0"/>
          <w:color w:val="auto"/>
          <w:spacing w:val="0"/>
          <w:kern w:val="0"/>
          <w:sz w:val="24"/>
        </w:rPr>
        <w:t>。</w:t>
      </w:r>
      <w:r>
        <w:rPr>
          <w:rFonts w:hint="eastAsia" w:ascii="宋体" w:hAnsi="宋体" w:eastAsia="宋体" w:cs="宋体"/>
          <w:b/>
          <w:bCs/>
          <w:color w:val="auto"/>
          <w:spacing w:val="0"/>
          <w:sz w:val="24"/>
        </w:rPr>
        <w:br w:type="page"/>
      </w:r>
      <w:r>
        <w:rPr>
          <w:rFonts w:hint="eastAsia" w:ascii="宋体" w:hAnsi="宋体" w:eastAsia="宋体" w:cs="宋体"/>
          <w:color w:val="auto"/>
          <w:spacing w:val="0"/>
          <w:sz w:val="32"/>
          <w:szCs w:val="32"/>
        </w:rPr>
        <w:t>附件：</w:t>
      </w:r>
    </w:p>
    <w:p w14:paraId="74312136">
      <w:pPr>
        <w:spacing w:line="360" w:lineRule="auto"/>
        <w:ind w:firstLine="640" w:firstLineChars="200"/>
        <w:rPr>
          <w:rFonts w:hint="eastAsia" w:ascii="宋体" w:hAnsi="宋体" w:eastAsia="宋体" w:cs="宋体"/>
          <w:color w:val="auto"/>
          <w:spacing w:val="0"/>
          <w:sz w:val="32"/>
          <w:szCs w:val="32"/>
        </w:rPr>
      </w:pPr>
    </w:p>
    <w:p w14:paraId="1FFEAC6B">
      <w:pPr>
        <w:spacing w:line="360" w:lineRule="auto"/>
        <w:jc w:val="center"/>
        <w:rPr>
          <w:rFonts w:hint="eastAsia" w:ascii="宋体" w:hAnsi="宋体" w:eastAsia="宋体" w:cs="宋体"/>
          <w:b/>
          <w:bCs/>
          <w:color w:val="auto"/>
          <w:spacing w:val="0"/>
          <w:sz w:val="36"/>
          <w:szCs w:val="36"/>
        </w:rPr>
      </w:pPr>
    </w:p>
    <w:p w14:paraId="59772E45">
      <w:pPr>
        <w:spacing w:line="360" w:lineRule="auto"/>
        <w:jc w:val="center"/>
        <w:rPr>
          <w:rFonts w:hint="eastAsia" w:ascii="宋体" w:hAnsi="宋体" w:eastAsia="宋体" w:cs="宋体"/>
          <w:b/>
          <w:color w:val="auto"/>
          <w:spacing w:val="0"/>
          <w:sz w:val="36"/>
          <w:szCs w:val="36"/>
        </w:rPr>
      </w:pPr>
      <w:r>
        <w:rPr>
          <w:rFonts w:hint="eastAsia" w:ascii="宋体" w:hAnsi="宋体" w:eastAsia="宋体" w:cs="宋体"/>
          <w:bCs/>
          <w:color w:val="auto"/>
          <w:spacing w:val="0"/>
          <w:sz w:val="36"/>
          <w:szCs w:val="36"/>
          <w:lang w:eastAsia="zh-CN" w:bidi="ar"/>
        </w:rPr>
        <w:t>观鑫楼物业看护服务采购项目</w:t>
      </w:r>
      <w:r>
        <w:rPr>
          <w:rFonts w:hint="eastAsia" w:ascii="宋体" w:hAnsi="宋体" w:eastAsia="宋体" w:cs="宋体"/>
          <w:b/>
          <w:color w:val="auto"/>
          <w:spacing w:val="0"/>
          <w:sz w:val="36"/>
          <w:szCs w:val="36"/>
        </w:rPr>
        <w:t xml:space="preserve">   </w:t>
      </w:r>
    </w:p>
    <w:p w14:paraId="0EDD3681">
      <w:pPr>
        <w:spacing w:line="360" w:lineRule="auto"/>
        <w:rPr>
          <w:rFonts w:hint="eastAsia" w:ascii="宋体" w:hAnsi="宋体" w:eastAsia="宋体" w:cs="宋体"/>
          <w:color w:val="auto"/>
          <w:spacing w:val="0"/>
          <w:sz w:val="36"/>
          <w:szCs w:val="36"/>
        </w:rPr>
      </w:pPr>
    </w:p>
    <w:p w14:paraId="06EE83FD">
      <w:pPr>
        <w:spacing w:line="360" w:lineRule="auto"/>
        <w:rPr>
          <w:rFonts w:hint="eastAsia" w:ascii="宋体" w:hAnsi="宋体" w:eastAsia="宋体" w:cs="宋体"/>
          <w:color w:val="auto"/>
          <w:spacing w:val="0"/>
          <w:sz w:val="36"/>
          <w:szCs w:val="36"/>
        </w:rPr>
      </w:pPr>
    </w:p>
    <w:p w14:paraId="3D6E0035">
      <w:pPr>
        <w:spacing w:line="360" w:lineRule="auto"/>
        <w:jc w:val="center"/>
        <w:rPr>
          <w:rFonts w:hint="eastAsia" w:ascii="宋体" w:hAnsi="宋体" w:eastAsia="宋体" w:cs="宋体"/>
          <w:b/>
          <w:bCs/>
          <w:color w:val="auto"/>
          <w:spacing w:val="0"/>
          <w:sz w:val="84"/>
          <w:szCs w:val="84"/>
        </w:rPr>
      </w:pPr>
      <w:r>
        <w:rPr>
          <w:rFonts w:hint="eastAsia" w:ascii="宋体" w:hAnsi="宋体" w:eastAsia="宋体" w:cs="宋体"/>
          <w:b/>
          <w:bCs/>
          <w:color w:val="auto"/>
          <w:spacing w:val="0"/>
          <w:sz w:val="84"/>
          <w:szCs w:val="84"/>
        </w:rPr>
        <w:t>投标文件</w:t>
      </w:r>
    </w:p>
    <w:p w14:paraId="61091564">
      <w:pPr>
        <w:spacing w:line="360" w:lineRule="auto"/>
        <w:jc w:val="center"/>
        <w:rPr>
          <w:rFonts w:hint="eastAsia" w:ascii="宋体" w:hAnsi="宋体" w:eastAsia="宋体" w:cs="宋体"/>
          <w:b/>
          <w:bCs/>
          <w:color w:val="auto"/>
          <w:spacing w:val="0"/>
          <w:sz w:val="32"/>
          <w:szCs w:val="32"/>
        </w:rPr>
      </w:pPr>
    </w:p>
    <w:p w14:paraId="5A16C86F">
      <w:pPr>
        <w:spacing w:line="360" w:lineRule="auto"/>
        <w:rPr>
          <w:rFonts w:hint="eastAsia" w:ascii="宋体" w:hAnsi="宋体" w:eastAsia="宋体" w:cs="宋体"/>
          <w:color w:val="auto"/>
          <w:spacing w:val="0"/>
          <w:sz w:val="28"/>
          <w:szCs w:val="28"/>
        </w:rPr>
      </w:pPr>
    </w:p>
    <w:p w14:paraId="69AD3A9F">
      <w:pPr>
        <w:spacing w:line="360" w:lineRule="exact"/>
        <w:ind w:firstLine="1920" w:firstLineChars="800"/>
        <w:rPr>
          <w:rFonts w:hint="eastAsia" w:ascii="宋体" w:hAnsi="宋体" w:eastAsia="宋体" w:cs="宋体"/>
          <w:color w:val="auto"/>
          <w:spacing w:val="0"/>
          <w:sz w:val="24"/>
        </w:rPr>
      </w:pPr>
      <w:r>
        <w:rPr>
          <w:rFonts w:hint="eastAsia" w:ascii="宋体" w:hAnsi="宋体" w:eastAsia="宋体" w:cs="宋体"/>
          <w:color w:val="auto"/>
          <w:spacing w:val="0"/>
          <w:sz w:val="24"/>
        </w:rPr>
        <w:t>对应</w:t>
      </w:r>
      <w:r>
        <w:rPr>
          <w:rFonts w:hint="eastAsia" w:ascii="宋体" w:hAnsi="宋体" w:eastAsia="宋体" w:cs="宋体"/>
          <w:color w:val="auto"/>
          <w:spacing w:val="0"/>
          <w:sz w:val="24"/>
          <w:lang w:eastAsia="zh-CN"/>
        </w:rPr>
        <w:t>投标</w:t>
      </w:r>
      <w:r>
        <w:rPr>
          <w:rFonts w:hint="eastAsia" w:ascii="宋体" w:hAnsi="宋体" w:eastAsia="宋体" w:cs="宋体"/>
          <w:color w:val="auto"/>
          <w:spacing w:val="0"/>
          <w:sz w:val="24"/>
        </w:rPr>
        <w:t>文件，相应填写：资格审查文件</w:t>
      </w:r>
    </w:p>
    <w:p w14:paraId="1633776D">
      <w:pPr>
        <w:spacing w:line="360" w:lineRule="auto"/>
        <w:ind w:firstLine="5040" w:firstLineChars="2100"/>
        <w:rPr>
          <w:rFonts w:hint="eastAsia" w:ascii="宋体" w:hAnsi="宋体" w:eastAsia="宋体" w:cs="宋体"/>
          <w:color w:val="auto"/>
          <w:spacing w:val="0"/>
          <w:sz w:val="24"/>
        </w:rPr>
      </w:pPr>
      <w:r>
        <w:rPr>
          <w:rFonts w:hint="eastAsia" w:ascii="宋体" w:hAnsi="宋体" w:eastAsia="宋体" w:cs="宋体"/>
          <w:color w:val="auto"/>
          <w:spacing w:val="0"/>
          <w:sz w:val="24"/>
        </w:rPr>
        <w:t>技术标</w:t>
      </w:r>
    </w:p>
    <w:p w14:paraId="31839957">
      <w:pPr>
        <w:spacing w:line="360" w:lineRule="auto"/>
        <w:ind w:firstLine="5040" w:firstLineChars="2100"/>
        <w:rPr>
          <w:rFonts w:hint="eastAsia" w:ascii="宋体" w:hAnsi="宋体" w:eastAsia="宋体" w:cs="宋体"/>
          <w:color w:val="auto"/>
          <w:spacing w:val="0"/>
          <w:sz w:val="30"/>
          <w:szCs w:val="30"/>
        </w:rPr>
      </w:pPr>
      <w:r>
        <w:rPr>
          <w:rFonts w:hint="eastAsia" w:ascii="宋体" w:hAnsi="宋体" w:eastAsia="宋体" w:cs="宋体"/>
          <w:color w:val="auto"/>
          <w:spacing w:val="0"/>
          <w:sz w:val="24"/>
        </w:rPr>
        <w:t>商务标</w:t>
      </w:r>
    </w:p>
    <w:p w14:paraId="62125B0C">
      <w:pPr>
        <w:snapToGrid w:val="0"/>
        <w:spacing w:line="520" w:lineRule="exact"/>
        <w:jc w:val="center"/>
        <w:rPr>
          <w:rFonts w:hint="eastAsia" w:ascii="宋体" w:hAnsi="宋体" w:eastAsia="宋体" w:cs="宋体"/>
          <w:b/>
          <w:color w:val="auto"/>
          <w:spacing w:val="0"/>
          <w:sz w:val="44"/>
          <w:szCs w:val="44"/>
        </w:rPr>
      </w:pPr>
    </w:p>
    <w:p w14:paraId="323230E5">
      <w:pPr>
        <w:snapToGrid w:val="0"/>
        <w:spacing w:line="520" w:lineRule="exact"/>
        <w:jc w:val="center"/>
        <w:rPr>
          <w:rFonts w:hint="eastAsia" w:ascii="宋体" w:hAnsi="宋体" w:eastAsia="宋体" w:cs="宋体"/>
          <w:b/>
          <w:color w:val="auto"/>
          <w:spacing w:val="0"/>
          <w:sz w:val="44"/>
          <w:szCs w:val="44"/>
        </w:rPr>
      </w:pPr>
    </w:p>
    <w:p w14:paraId="07A8A9CB">
      <w:pPr>
        <w:snapToGrid w:val="0"/>
        <w:spacing w:line="520" w:lineRule="exact"/>
        <w:jc w:val="center"/>
        <w:rPr>
          <w:rFonts w:hint="eastAsia" w:ascii="宋体" w:hAnsi="宋体" w:eastAsia="宋体" w:cs="宋体"/>
          <w:b/>
          <w:color w:val="auto"/>
          <w:spacing w:val="0"/>
          <w:sz w:val="44"/>
          <w:szCs w:val="44"/>
        </w:rPr>
      </w:pPr>
    </w:p>
    <w:p w14:paraId="3C8A6B91">
      <w:pPr>
        <w:snapToGrid w:val="0"/>
        <w:spacing w:line="520" w:lineRule="exact"/>
        <w:jc w:val="center"/>
        <w:rPr>
          <w:rFonts w:hint="eastAsia" w:ascii="宋体" w:hAnsi="宋体" w:eastAsia="宋体" w:cs="宋体"/>
          <w:b/>
          <w:color w:val="auto"/>
          <w:spacing w:val="0"/>
          <w:sz w:val="44"/>
          <w:szCs w:val="44"/>
        </w:rPr>
      </w:pPr>
    </w:p>
    <w:p w14:paraId="027028FD">
      <w:pPr>
        <w:snapToGrid w:val="0"/>
        <w:spacing w:line="520" w:lineRule="exact"/>
        <w:jc w:val="center"/>
        <w:rPr>
          <w:rFonts w:hint="eastAsia" w:ascii="宋体" w:hAnsi="宋体" w:eastAsia="宋体" w:cs="宋体"/>
          <w:color w:val="auto"/>
          <w:spacing w:val="0"/>
          <w:sz w:val="28"/>
          <w:szCs w:val="28"/>
        </w:rPr>
      </w:pPr>
      <w:r>
        <w:rPr>
          <w:rFonts w:hint="eastAsia" w:ascii="宋体" w:hAnsi="宋体" w:eastAsia="宋体" w:cs="宋体"/>
          <w:b/>
          <w:color w:val="auto"/>
          <w:spacing w:val="0"/>
          <w:sz w:val="44"/>
          <w:szCs w:val="44"/>
        </w:rPr>
        <w:t xml:space="preserve"> </w:t>
      </w:r>
    </w:p>
    <w:p w14:paraId="36DD7D23">
      <w:pPr>
        <w:pStyle w:val="14"/>
        <w:rPr>
          <w:rFonts w:hint="eastAsia" w:ascii="宋体" w:hAnsi="宋体" w:eastAsia="宋体" w:cs="宋体"/>
          <w:color w:val="auto"/>
          <w:spacing w:val="0"/>
        </w:rPr>
      </w:pPr>
    </w:p>
    <w:p w14:paraId="02BCC7E4">
      <w:pPr>
        <w:pStyle w:val="5"/>
        <w:rPr>
          <w:rFonts w:hint="eastAsia" w:ascii="宋体" w:hAnsi="宋体" w:eastAsia="宋体" w:cs="宋体"/>
          <w:color w:val="auto"/>
          <w:spacing w:val="0"/>
          <w:sz w:val="28"/>
          <w:szCs w:val="28"/>
        </w:rPr>
      </w:pPr>
    </w:p>
    <w:p w14:paraId="03432680">
      <w:pPr>
        <w:rPr>
          <w:rFonts w:hint="eastAsia" w:ascii="宋体" w:hAnsi="宋体" w:eastAsia="宋体" w:cs="宋体"/>
          <w:color w:val="auto"/>
          <w:spacing w:val="0"/>
        </w:rPr>
      </w:pPr>
    </w:p>
    <w:p w14:paraId="77C09C29">
      <w:pPr>
        <w:spacing w:line="360" w:lineRule="auto"/>
        <w:ind w:firstLine="1920" w:firstLineChars="600"/>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rPr>
        <w:t>投标人：参加投标人全称（公章）</w:t>
      </w:r>
    </w:p>
    <w:p w14:paraId="2D3EFBAF">
      <w:pPr>
        <w:spacing w:line="360" w:lineRule="auto"/>
        <w:ind w:firstLine="1920" w:firstLineChars="600"/>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rPr>
        <w:t>日  期：      年  月  日</w:t>
      </w:r>
    </w:p>
    <w:p w14:paraId="448D4F55">
      <w:pPr>
        <w:snapToGrid w:val="0"/>
        <w:spacing w:line="360" w:lineRule="auto"/>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4"/>
        </w:rPr>
        <w:br w:type="page"/>
      </w:r>
      <w:r>
        <w:rPr>
          <w:rFonts w:hint="eastAsia" w:ascii="宋体" w:hAnsi="宋体" w:eastAsia="宋体" w:cs="宋体"/>
          <w:b/>
          <w:bCs/>
          <w:color w:val="auto"/>
          <w:spacing w:val="0"/>
          <w:sz w:val="24"/>
        </w:rPr>
        <w:t>一</w:t>
      </w:r>
      <w:r>
        <w:rPr>
          <w:rFonts w:hint="eastAsia" w:ascii="宋体" w:hAnsi="宋体" w:eastAsia="宋体" w:cs="宋体"/>
          <w:b/>
          <w:bCs/>
          <w:color w:val="auto"/>
          <w:spacing w:val="0"/>
          <w:sz w:val="28"/>
          <w:szCs w:val="28"/>
        </w:rPr>
        <w:t>、资格审查文件相关的格式文件及表格</w:t>
      </w:r>
    </w:p>
    <w:p w14:paraId="3763F724">
      <w:pPr>
        <w:spacing w:line="360" w:lineRule="auto"/>
        <w:jc w:val="left"/>
        <w:rPr>
          <w:rFonts w:hint="eastAsia" w:ascii="宋体" w:hAnsi="宋体" w:eastAsia="宋体" w:cs="宋体"/>
          <w:b/>
          <w:bCs/>
          <w:color w:val="auto"/>
          <w:spacing w:val="0"/>
          <w:sz w:val="24"/>
        </w:rPr>
      </w:pPr>
    </w:p>
    <w:p w14:paraId="0D7079EF">
      <w:pPr>
        <w:spacing w:line="360" w:lineRule="auto"/>
        <w:jc w:val="center"/>
        <w:rPr>
          <w:rFonts w:hint="eastAsia" w:ascii="宋体" w:hAnsi="宋体" w:eastAsia="宋体" w:cs="宋体"/>
          <w:b/>
          <w:bCs/>
          <w:color w:val="auto"/>
          <w:spacing w:val="0"/>
          <w:sz w:val="24"/>
        </w:rPr>
      </w:pPr>
      <w:r>
        <w:rPr>
          <w:rFonts w:hint="eastAsia" w:ascii="宋体" w:hAnsi="宋体" w:eastAsia="宋体" w:cs="宋体"/>
          <w:b/>
          <w:bCs/>
          <w:color w:val="auto"/>
          <w:spacing w:val="0"/>
          <w:sz w:val="24"/>
        </w:rPr>
        <w:t>1、法定代表人身份证明</w:t>
      </w:r>
    </w:p>
    <w:p w14:paraId="15E99397">
      <w:pPr>
        <w:spacing w:line="360" w:lineRule="auto"/>
        <w:jc w:val="center"/>
        <w:rPr>
          <w:rFonts w:hint="eastAsia" w:ascii="宋体" w:hAnsi="宋体" w:eastAsia="宋体" w:cs="宋体"/>
          <w:color w:val="auto"/>
          <w:spacing w:val="0"/>
          <w:sz w:val="24"/>
        </w:rPr>
      </w:pPr>
    </w:p>
    <w:p w14:paraId="1A791DA7">
      <w:pPr>
        <w:spacing w:line="360" w:lineRule="auto"/>
        <w:rPr>
          <w:rFonts w:hint="eastAsia" w:ascii="宋体" w:hAnsi="宋体" w:eastAsia="宋体" w:cs="宋体"/>
          <w:color w:val="auto"/>
          <w:spacing w:val="0"/>
          <w:sz w:val="24"/>
        </w:rPr>
      </w:pPr>
    </w:p>
    <w:p w14:paraId="61DBABEF">
      <w:pPr>
        <w:snapToGrid w:val="0"/>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u w:val="single"/>
        </w:rPr>
        <w:t>（                     ）</w:t>
      </w:r>
      <w:r>
        <w:rPr>
          <w:rFonts w:hint="eastAsia" w:ascii="宋体" w:hAnsi="宋体" w:eastAsia="宋体" w:cs="宋体"/>
          <w:color w:val="auto"/>
          <w:spacing w:val="0"/>
          <w:sz w:val="24"/>
        </w:rPr>
        <w:t>：</w:t>
      </w:r>
    </w:p>
    <w:p w14:paraId="53B9C44D">
      <w:pPr>
        <w:snapToGrid w:val="0"/>
        <w:spacing w:line="360" w:lineRule="auto"/>
        <w:ind w:firstLine="560"/>
        <w:rPr>
          <w:rFonts w:hint="eastAsia" w:ascii="宋体" w:hAnsi="宋体" w:eastAsia="宋体" w:cs="宋体"/>
          <w:color w:val="auto"/>
          <w:spacing w:val="0"/>
          <w:sz w:val="24"/>
        </w:rPr>
      </w:pPr>
      <w:r>
        <w:rPr>
          <w:rFonts w:hint="eastAsia" w:ascii="宋体" w:hAnsi="宋体" w:eastAsia="宋体" w:cs="宋体"/>
          <w:color w:val="auto"/>
          <w:spacing w:val="0"/>
          <w:sz w:val="24"/>
        </w:rPr>
        <w:t>我公司法定代表人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参加贵单位组织的</w:t>
      </w:r>
      <w:r>
        <w:rPr>
          <w:rFonts w:hint="eastAsia" w:ascii="宋体" w:hAnsi="宋体" w:eastAsia="宋体" w:cs="宋体"/>
          <w:color w:val="auto"/>
          <w:spacing w:val="0"/>
          <w:sz w:val="24"/>
          <w:u w:val="single"/>
          <w:lang w:eastAsia="zh-CN"/>
        </w:rPr>
        <w:t>观鑫楼物业看护服务采购项目</w:t>
      </w:r>
      <w:r>
        <w:rPr>
          <w:rFonts w:hint="eastAsia" w:ascii="宋体" w:hAnsi="宋体" w:eastAsia="宋体" w:cs="宋体"/>
          <w:color w:val="auto"/>
          <w:spacing w:val="0"/>
          <w:sz w:val="24"/>
        </w:rPr>
        <w:t>（招标项目名称)的项目投标活动，全权代表我公司处理投标的有关事宜。</w:t>
      </w:r>
    </w:p>
    <w:p w14:paraId="1C83EC0C">
      <w:pPr>
        <w:snapToGrid w:val="0"/>
        <w:spacing w:line="360" w:lineRule="auto"/>
        <w:ind w:firstLine="560"/>
        <w:rPr>
          <w:rFonts w:hint="eastAsia" w:ascii="宋体" w:hAnsi="宋体" w:eastAsia="宋体" w:cs="宋体"/>
          <w:color w:val="auto"/>
          <w:spacing w:val="0"/>
          <w:sz w:val="24"/>
        </w:rPr>
      </w:pPr>
    </w:p>
    <w:p w14:paraId="31CDBE4F">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附：法定代表人情况：</w:t>
      </w:r>
    </w:p>
    <w:p w14:paraId="594FB1F0">
      <w:pPr>
        <w:snapToGrid w:val="0"/>
        <w:spacing w:line="360" w:lineRule="auto"/>
        <w:ind w:firstLine="484" w:firstLineChars="202"/>
        <w:rPr>
          <w:rFonts w:hint="eastAsia" w:ascii="宋体" w:hAnsi="宋体" w:eastAsia="宋体" w:cs="宋体"/>
          <w:color w:val="auto"/>
          <w:spacing w:val="0"/>
          <w:sz w:val="24"/>
          <w:u w:val="single"/>
        </w:rPr>
      </w:pPr>
      <w:r>
        <w:rPr>
          <w:rFonts w:hint="eastAsia" w:ascii="宋体" w:hAnsi="宋体" w:eastAsia="宋体" w:cs="宋体"/>
          <w:color w:val="auto"/>
          <w:spacing w:val="0"/>
          <w:sz w:val="24"/>
        </w:rPr>
        <w:t>姓名：</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性别：</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年龄：</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职务：</w:t>
      </w:r>
      <w:r>
        <w:rPr>
          <w:rFonts w:hint="eastAsia" w:ascii="宋体" w:hAnsi="宋体" w:eastAsia="宋体" w:cs="宋体"/>
          <w:color w:val="auto"/>
          <w:spacing w:val="0"/>
          <w:sz w:val="24"/>
          <w:u w:val="single"/>
        </w:rPr>
        <w:t xml:space="preserve">          </w:t>
      </w:r>
    </w:p>
    <w:p w14:paraId="145861F5">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身份证号码：</w:t>
      </w:r>
      <w:r>
        <w:rPr>
          <w:rFonts w:hint="eastAsia" w:ascii="宋体" w:hAnsi="宋体" w:eastAsia="宋体" w:cs="宋体"/>
          <w:color w:val="auto"/>
          <w:spacing w:val="0"/>
          <w:sz w:val="24"/>
          <w:u w:val="single"/>
        </w:rPr>
        <w:t xml:space="preserve">                                         </w:t>
      </w:r>
    </w:p>
    <w:p w14:paraId="484DB90D">
      <w:pPr>
        <w:snapToGrid w:val="0"/>
        <w:spacing w:line="360" w:lineRule="auto"/>
        <w:ind w:firstLine="484" w:firstLineChars="202"/>
        <w:rPr>
          <w:rFonts w:hint="eastAsia" w:ascii="宋体" w:hAnsi="宋体" w:eastAsia="宋体" w:cs="宋体"/>
          <w:color w:val="auto"/>
          <w:spacing w:val="0"/>
          <w:sz w:val="24"/>
        </w:rPr>
      </w:pPr>
      <w:r>
        <w:rPr>
          <w:rFonts w:hint="eastAsia" w:ascii="宋体" w:hAnsi="宋体" w:eastAsia="宋体" w:cs="宋体"/>
          <w:color w:val="auto"/>
          <w:spacing w:val="0"/>
          <w:sz w:val="24"/>
        </w:rPr>
        <w:t>手机：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传真：</w:t>
      </w:r>
      <w:r>
        <w:rPr>
          <w:rFonts w:hint="eastAsia" w:ascii="宋体" w:hAnsi="宋体" w:eastAsia="宋体" w:cs="宋体"/>
          <w:color w:val="auto"/>
          <w:spacing w:val="0"/>
          <w:sz w:val="24"/>
          <w:u w:val="single"/>
        </w:rPr>
        <w:t xml:space="preserve">                       </w:t>
      </w:r>
    </w:p>
    <w:p w14:paraId="1887C9E1">
      <w:pPr>
        <w:snapToGrid w:val="0"/>
        <w:spacing w:line="360" w:lineRule="auto"/>
        <w:ind w:firstLine="560"/>
        <w:rPr>
          <w:rFonts w:hint="eastAsia" w:ascii="宋体" w:hAnsi="宋体" w:eastAsia="宋体" w:cs="宋体"/>
          <w:color w:val="auto"/>
          <w:spacing w:val="0"/>
          <w:sz w:val="24"/>
        </w:rPr>
      </w:pPr>
      <w:r>
        <w:rPr>
          <w:rFonts w:hint="eastAsia" w:ascii="宋体" w:hAnsi="宋体" w:eastAsia="宋体" w:cs="宋体"/>
          <w:color w:val="auto"/>
          <w:spacing w:val="0"/>
          <w:sz w:val="24"/>
        </w:rPr>
        <w:t> </w:t>
      </w:r>
    </w:p>
    <w:p w14:paraId="2A1A9776">
      <w:pPr>
        <w:snapToGrid w:val="0"/>
        <w:spacing w:line="360" w:lineRule="auto"/>
        <w:ind w:firstLine="560"/>
        <w:rPr>
          <w:rFonts w:hint="eastAsia" w:ascii="宋体" w:hAnsi="宋体" w:eastAsia="宋体" w:cs="宋体"/>
          <w:color w:val="auto"/>
          <w:spacing w:val="0"/>
          <w:sz w:val="24"/>
        </w:rPr>
      </w:pPr>
    </w:p>
    <w:p w14:paraId="01732839">
      <w:pPr>
        <w:snapToGrid w:val="0"/>
        <w:spacing w:line="360" w:lineRule="auto"/>
        <w:ind w:firstLine="560"/>
        <w:rPr>
          <w:rFonts w:hint="eastAsia" w:ascii="宋体" w:hAnsi="宋体" w:eastAsia="宋体" w:cs="宋体"/>
          <w:color w:val="auto"/>
          <w:spacing w:val="0"/>
          <w:sz w:val="24"/>
        </w:rPr>
      </w:pPr>
      <w:r>
        <w:rPr>
          <w:rFonts w:hint="eastAsia" w:ascii="宋体" w:hAnsi="宋体" w:eastAsia="宋体" w:cs="宋体"/>
          <w:color w:val="auto"/>
          <w:spacing w:val="0"/>
          <w:sz w:val="24"/>
        </w:rPr>
        <w:t>单位名称（公章）                   法定代表人（签字或盖章）</w:t>
      </w:r>
    </w:p>
    <w:p w14:paraId="5C978CC7">
      <w:pPr>
        <w:spacing w:line="360" w:lineRule="auto"/>
        <w:ind w:firstLine="1440" w:firstLineChars="600"/>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年   月   日                      年   月    日   </w:t>
      </w:r>
    </w:p>
    <w:p w14:paraId="2436D880">
      <w:pPr>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 </w:t>
      </w:r>
    </w:p>
    <w:p w14:paraId="04F8607D">
      <w:pPr>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mc:AlternateContent>
          <mc:Choice Requires="wps">
            <w:drawing>
              <wp:anchor distT="0" distB="0" distL="114300" distR="114300" simplePos="0" relativeHeight="251659264" behindDoc="1" locked="0" layoutInCell="1" allowOverlap="1">
                <wp:simplePos x="0" y="0"/>
                <wp:positionH relativeFrom="column">
                  <wp:posOffset>72390</wp:posOffset>
                </wp:positionH>
                <wp:positionV relativeFrom="paragraph">
                  <wp:posOffset>183515</wp:posOffset>
                </wp:positionV>
                <wp:extent cx="5524500" cy="1752600"/>
                <wp:effectExtent l="4445" t="4445" r="8255" b="8255"/>
                <wp:wrapNone/>
                <wp:docPr id="5" name="矩形 5"/>
                <wp:cNvGraphicFramePr/>
                <a:graphic xmlns:a="http://schemas.openxmlformats.org/drawingml/2006/main">
                  <a:graphicData uri="http://schemas.microsoft.com/office/word/2010/wordprocessingShape">
                    <wps:wsp>
                      <wps:cNvSpPr/>
                      <wps:spPr>
                        <a:xfrm>
                          <a:off x="0" y="0"/>
                          <a:ext cx="5524500" cy="1752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EB9519"/>
                        </w:txbxContent>
                      </wps:txbx>
                      <wps:bodyPr upright="1"/>
                    </wps:wsp>
                  </a:graphicData>
                </a:graphic>
              </wp:anchor>
            </w:drawing>
          </mc:Choice>
          <mc:Fallback>
            <w:pict>
              <v:rect id="_x0000_s1026" o:spid="_x0000_s1026" o:spt="1" style="position:absolute;left:0pt;margin-left:5.7pt;margin-top:14.45pt;height:138pt;width:435pt;z-index:-251657216;mso-width-relative:page;mso-height-relative:page;" fillcolor="#FFFFFF" filled="t" stroked="t" coordsize="21600,21600" o:gfxdata="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Dtso9YAAAAJAQAADwAAAAAAAAABACAAAAAiAAAAZHJzL2Rvd25y&#10;ZXYueG1sUEsBAhQAFAAAAAgAh07iQLbzDLsAAgAAKgQAAA4AAAAAAAAAAQAgAAAAJQEAAGRycy9l&#10;Mm9Eb2MueG1sUEsFBgAAAAAGAAYAWQEAAJcFAAAAAA==&#10;">
                <v:fill on="t" focussize="0,0"/>
                <v:stroke color="#000000" joinstyle="miter"/>
                <v:imagedata o:title=""/>
                <o:lock v:ext="edit" aspectratio="f"/>
                <v:textbox>
                  <w:txbxContent>
                    <w:p w14:paraId="46EB9519"/>
                  </w:txbxContent>
                </v:textbox>
              </v:rect>
            </w:pict>
          </mc:Fallback>
        </mc:AlternateContent>
      </w:r>
      <w:r>
        <w:rPr>
          <w:rFonts w:hint="eastAsia" w:ascii="宋体" w:hAnsi="宋体" w:eastAsia="宋体" w:cs="宋体"/>
          <w:color w:val="auto"/>
          <w:spacing w:val="0"/>
          <w:sz w:val="24"/>
        </w:rPr>
        <w:t xml:space="preserve"> </w:t>
      </w:r>
    </w:p>
    <w:p w14:paraId="7897DD87">
      <w:pPr>
        <w:spacing w:line="360" w:lineRule="auto"/>
        <w:rPr>
          <w:rFonts w:hint="eastAsia" w:ascii="宋体" w:hAnsi="宋体" w:eastAsia="宋体" w:cs="宋体"/>
          <w:color w:val="auto"/>
          <w:spacing w:val="0"/>
          <w:sz w:val="24"/>
        </w:rPr>
      </w:pPr>
    </w:p>
    <w:p w14:paraId="631CF0BA">
      <w:pPr>
        <w:spacing w:line="360" w:lineRule="auto"/>
        <w:rPr>
          <w:rFonts w:hint="eastAsia" w:ascii="宋体" w:hAnsi="宋体" w:eastAsia="宋体" w:cs="宋体"/>
          <w:color w:val="auto"/>
          <w:spacing w:val="0"/>
          <w:sz w:val="24"/>
        </w:rPr>
      </w:pPr>
    </w:p>
    <w:p w14:paraId="4C4CCE6E">
      <w:pPr>
        <w:spacing w:line="360" w:lineRule="auto"/>
        <w:ind w:firstLine="3000" w:firstLineChars="1250"/>
        <w:rPr>
          <w:rFonts w:hint="eastAsia" w:ascii="宋体" w:hAnsi="宋体" w:eastAsia="宋体" w:cs="宋体"/>
          <w:color w:val="auto"/>
          <w:spacing w:val="0"/>
          <w:sz w:val="24"/>
        </w:rPr>
      </w:pPr>
      <w:r>
        <w:rPr>
          <w:rFonts w:hint="eastAsia" w:ascii="宋体" w:hAnsi="宋体" w:eastAsia="宋体" w:cs="宋体"/>
          <w:color w:val="auto"/>
          <w:spacing w:val="0"/>
          <w:sz w:val="24"/>
        </w:rPr>
        <w:t>法定代表人身份证复印件</w:t>
      </w:r>
    </w:p>
    <w:p w14:paraId="154011A1">
      <w:pPr>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 </w:t>
      </w:r>
    </w:p>
    <w:p w14:paraId="06D34265">
      <w:pPr>
        <w:spacing w:line="360" w:lineRule="auto"/>
        <w:ind w:firstLine="2289" w:firstLineChars="950"/>
        <w:rPr>
          <w:rFonts w:hint="eastAsia" w:ascii="宋体" w:hAnsi="宋体" w:eastAsia="宋体" w:cs="宋体"/>
          <w:b/>
          <w:bCs/>
          <w:color w:val="auto"/>
          <w:spacing w:val="0"/>
          <w:sz w:val="24"/>
        </w:rPr>
      </w:pPr>
    </w:p>
    <w:p w14:paraId="3E007580">
      <w:pPr>
        <w:spacing w:line="360" w:lineRule="auto"/>
        <w:rPr>
          <w:rFonts w:hint="eastAsia" w:ascii="宋体" w:hAnsi="宋体" w:eastAsia="宋体" w:cs="宋体"/>
          <w:b/>
          <w:bCs/>
          <w:color w:val="auto"/>
          <w:spacing w:val="0"/>
          <w:sz w:val="24"/>
        </w:rPr>
      </w:pPr>
    </w:p>
    <w:p w14:paraId="388761F1">
      <w:pPr>
        <w:spacing w:line="360" w:lineRule="auto"/>
        <w:rPr>
          <w:rFonts w:hint="eastAsia" w:ascii="宋体" w:hAnsi="宋体" w:eastAsia="宋体" w:cs="宋体"/>
          <w:b/>
          <w:bCs/>
          <w:color w:val="auto"/>
          <w:spacing w:val="0"/>
          <w:sz w:val="24"/>
        </w:rPr>
      </w:pPr>
    </w:p>
    <w:p w14:paraId="77F0167C">
      <w:pPr>
        <w:spacing w:line="360" w:lineRule="auto"/>
        <w:rPr>
          <w:rFonts w:hint="eastAsia" w:ascii="宋体" w:hAnsi="宋体" w:eastAsia="宋体" w:cs="宋体"/>
          <w:color w:val="auto"/>
          <w:spacing w:val="0"/>
        </w:rPr>
      </w:pPr>
    </w:p>
    <w:p w14:paraId="40B82A36">
      <w:pPr>
        <w:spacing w:line="360" w:lineRule="auto"/>
        <w:jc w:val="center"/>
        <w:rPr>
          <w:rFonts w:hint="eastAsia" w:ascii="宋体" w:hAnsi="宋体" w:eastAsia="宋体" w:cs="宋体"/>
          <w:b/>
          <w:bCs/>
          <w:color w:val="auto"/>
          <w:spacing w:val="0"/>
          <w:sz w:val="24"/>
        </w:rPr>
      </w:pPr>
      <w:r>
        <w:rPr>
          <w:rFonts w:hint="eastAsia" w:ascii="宋体" w:hAnsi="宋体" w:eastAsia="宋体" w:cs="宋体"/>
          <w:b/>
          <w:bCs/>
          <w:color w:val="auto"/>
          <w:spacing w:val="0"/>
          <w:sz w:val="24"/>
        </w:rPr>
        <w:br w:type="page"/>
      </w:r>
    </w:p>
    <w:p w14:paraId="5DD5A967">
      <w:pPr>
        <w:spacing w:line="360" w:lineRule="auto"/>
        <w:jc w:val="center"/>
        <w:rPr>
          <w:rFonts w:hint="eastAsia" w:ascii="宋体" w:hAnsi="宋体" w:eastAsia="宋体" w:cs="宋体"/>
          <w:b/>
          <w:bCs/>
          <w:color w:val="auto"/>
          <w:spacing w:val="0"/>
          <w:sz w:val="24"/>
        </w:rPr>
      </w:pPr>
      <w:r>
        <w:rPr>
          <w:rFonts w:hint="eastAsia" w:ascii="宋体" w:hAnsi="宋体" w:eastAsia="宋体" w:cs="宋体"/>
          <w:b/>
          <w:bCs/>
          <w:color w:val="auto"/>
          <w:spacing w:val="0"/>
          <w:sz w:val="24"/>
        </w:rPr>
        <w:t>2、授权委托书</w:t>
      </w:r>
    </w:p>
    <w:p w14:paraId="39DED83D">
      <w:pPr>
        <w:snapToGrid w:val="0"/>
        <w:spacing w:line="360" w:lineRule="auto"/>
        <w:rPr>
          <w:rFonts w:hint="eastAsia" w:ascii="宋体" w:hAnsi="宋体" w:eastAsia="宋体" w:cs="宋体"/>
          <w:bCs/>
          <w:color w:val="auto"/>
          <w:spacing w:val="0"/>
          <w:sz w:val="24"/>
        </w:rPr>
      </w:pPr>
      <w:bookmarkStart w:id="35" w:name="_Toc360526534"/>
    </w:p>
    <w:p w14:paraId="5BA7CBEB">
      <w:pPr>
        <w:snapToGrid w:val="0"/>
        <w:spacing w:line="360" w:lineRule="auto"/>
        <w:rPr>
          <w:rFonts w:hint="eastAsia" w:ascii="宋体" w:hAnsi="宋体" w:eastAsia="宋体" w:cs="宋体"/>
          <w:bCs/>
          <w:color w:val="auto"/>
          <w:spacing w:val="0"/>
          <w:sz w:val="24"/>
        </w:rPr>
      </w:pPr>
      <w:r>
        <w:rPr>
          <w:rFonts w:hint="eastAsia" w:ascii="宋体" w:hAnsi="宋体" w:eastAsia="宋体" w:cs="宋体"/>
          <w:color w:val="auto"/>
          <w:spacing w:val="0"/>
          <w:sz w:val="24"/>
          <w:u w:val="single"/>
        </w:rPr>
        <w:t>（              ）</w:t>
      </w:r>
      <w:r>
        <w:rPr>
          <w:rFonts w:hint="eastAsia" w:ascii="宋体" w:hAnsi="宋体" w:eastAsia="宋体" w:cs="宋体"/>
          <w:color w:val="auto"/>
          <w:spacing w:val="0"/>
          <w:sz w:val="24"/>
        </w:rPr>
        <w:t>：</w:t>
      </w:r>
    </w:p>
    <w:p w14:paraId="06617599">
      <w:pPr>
        <w:snapToGrid w:val="0"/>
        <w:spacing w:line="360" w:lineRule="auto"/>
        <w:ind w:firstLine="480"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兹授权</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被授权人的姓名）代表我公司参加</w:t>
      </w:r>
      <w:r>
        <w:rPr>
          <w:rFonts w:hint="eastAsia" w:ascii="宋体" w:hAnsi="宋体" w:eastAsia="宋体" w:cs="宋体"/>
          <w:color w:val="auto"/>
          <w:spacing w:val="0"/>
          <w:sz w:val="24"/>
          <w:u w:val="single"/>
          <w:lang w:eastAsia="zh-CN"/>
        </w:rPr>
        <w:t>观鑫楼物业看护服务采购项目</w:t>
      </w:r>
      <w:r>
        <w:rPr>
          <w:rFonts w:hint="eastAsia" w:ascii="宋体" w:hAnsi="宋体" w:eastAsia="宋体" w:cs="宋体"/>
          <w:color w:val="auto"/>
          <w:spacing w:val="0"/>
          <w:sz w:val="24"/>
        </w:rPr>
        <w:t>（招标项目名称)项目的招标活动，全权处理一切与该项目公开招标有关的事务。其在办理上述事宜过程中所签署的所有文件我公司均予以承认。</w:t>
      </w:r>
    </w:p>
    <w:p w14:paraId="2E6A9096">
      <w:pPr>
        <w:pStyle w:val="10"/>
        <w:adjustRightInd w:val="0"/>
        <w:snapToGrid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被授权人无转委托权，特此委托。</w:t>
      </w:r>
    </w:p>
    <w:p w14:paraId="07994022">
      <w:pPr>
        <w:pStyle w:val="10"/>
        <w:adjustRightInd w:val="0"/>
        <w:snapToGrid w:val="0"/>
        <w:spacing w:line="360" w:lineRule="auto"/>
        <w:ind w:firstLine="480" w:firstLineChars="200"/>
        <w:jc w:val="left"/>
        <w:rPr>
          <w:rFonts w:hint="eastAsia" w:ascii="宋体" w:hAnsi="宋体" w:eastAsia="宋体" w:cs="宋体"/>
          <w:color w:val="auto"/>
          <w:spacing w:val="0"/>
          <w:sz w:val="24"/>
          <w:szCs w:val="24"/>
        </w:rPr>
      </w:pPr>
    </w:p>
    <w:p w14:paraId="5D21E2E2">
      <w:pPr>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附：被授权人情况：</w:t>
      </w:r>
    </w:p>
    <w:p w14:paraId="519B550E">
      <w:pPr>
        <w:spacing w:line="360" w:lineRule="auto"/>
        <w:rPr>
          <w:rFonts w:hint="eastAsia" w:ascii="宋体" w:hAnsi="宋体" w:eastAsia="宋体" w:cs="宋体"/>
          <w:color w:val="auto"/>
          <w:spacing w:val="0"/>
          <w:sz w:val="24"/>
          <w:u w:val="single"/>
        </w:rPr>
      </w:pPr>
      <w:r>
        <w:rPr>
          <w:rFonts w:hint="eastAsia" w:ascii="宋体" w:hAnsi="宋体" w:eastAsia="宋体" w:cs="宋体"/>
          <w:color w:val="auto"/>
          <w:spacing w:val="0"/>
          <w:sz w:val="24"/>
        </w:rPr>
        <w:t>姓名：</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 xml:space="preserve"> 性别：</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 xml:space="preserve"> 年龄：</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 xml:space="preserve"> 职务：</w:t>
      </w:r>
      <w:r>
        <w:rPr>
          <w:rFonts w:hint="eastAsia" w:ascii="宋体" w:hAnsi="宋体" w:eastAsia="宋体" w:cs="宋体"/>
          <w:color w:val="auto"/>
          <w:spacing w:val="0"/>
          <w:sz w:val="24"/>
          <w:u w:val="single"/>
        </w:rPr>
        <w:t xml:space="preserve">          </w:t>
      </w:r>
    </w:p>
    <w:p w14:paraId="281B7B0E">
      <w:pPr>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身份证号码：</w:t>
      </w:r>
      <w:r>
        <w:rPr>
          <w:rFonts w:hint="eastAsia" w:ascii="宋体" w:hAnsi="宋体" w:eastAsia="宋体" w:cs="宋体"/>
          <w:color w:val="auto"/>
          <w:spacing w:val="0"/>
          <w:sz w:val="24"/>
          <w:u w:val="single"/>
        </w:rPr>
        <w:t xml:space="preserve">                                          </w:t>
      </w:r>
    </w:p>
    <w:p w14:paraId="6C0503BF">
      <w:pPr>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手机：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 xml:space="preserve">  传真：</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 xml:space="preserve"> </w:t>
      </w:r>
    </w:p>
    <w:p w14:paraId="6BA3A402">
      <w:pPr>
        <w:spacing w:line="360" w:lineRule="auto"/>
        <w:rPr>
          <w:rFonts w:hint="eastAsia" w:ascii="宋体" w:hAnsi="宋体" w:eastAsia="宋体" w:cs="宋体"/>
          <w:color w:val="auto"/>
          <w:spacing w:val="0"/>
          <w:sz w:val="24"/>
        </w:rPr>
      </w:pPr>
    </w:p>
    <w:p w14:paraId="3DF45C76">
      <w:pPr>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单位名称（公章）             法定代表人（签字或盖章）</w:t>
      </w:r>
    </w:p>
    <w:p w14:paraId="7E143E86">
      <w:pPr>
        <w:spacing w:line="360" w:lineRule="auto"/>
        <w:ind w:firstLine="1200" w:firstLineChars="500"/>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年   月   日                 年   月    日  </w:t>
      </w:r>
    </w:p>
    <w:p w14:paraId="5995A930">
      <w:pPr>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 </w:t>
      </w:r>
    </w:p>
    <w:p w14:paraId="58372573">
      <w:pPr>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mc:AlternateContent>
          <mc:Choice Requires="wps">
            <w:drawing>
              <wp:anchor distT="0" distB="0" distL="114300" distR="114300" simplePos="0" relativeHeight="251660288" behindDoc="1" locked="0" layoutInCell="1" allowOverlap="1">
                <wp:simplePos x="0" y="0"/>
                <wp:positionH relativeFrom="column">
                  <wp:posOffset>-3810</wp:posOffset>
                </wp:positionH>
                <wp:positionV relativeFrom="paragraph">
                  <wp:posOffset>154305</wp:posOffset>
                </wp:positionV>
                <wp:extent cx="5692140" cy="1844040"/>
                <wp:effectExtent l="4445" t="4445" r="5715" b="5715"/>
                <wp:wrapNone/>
                <wp:docPr id="2" name="矩形 2"/>
                <wp:cNvGraphicFramePr/>
                <a:graphic xmlns:a="http://schemas.openxmlformats.org/drawingml/2006/main">
                  <a:graphicData uri="http://schemas.microsoft.com/office/word/2010/wordprocessingShape">
                    <wps:wsp>
                      <wps:cNvSpPr/>
                      <wps:spPr>
                        <a:xfrm>
                          <a:off x="0" y="0"/>
                          <a:ext cx="5692140" cy="1844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4B3B55"/>
                        </w:txbxContent>
                      </wps:txbx>
                      <wps:bodyPr upright="1"/>
                    </wps:wsp>
                  </a:graphicData>
                </a:graphic>
              </wp:anchor>
            </w:drawing>
          </mc:Choice>
          <mc:Fallback>
            <w:pict>
              <v:rect id="_x0000_s1026" o:spid="_x0000_s1026" o:spt="1" style="position:absolute;left:0pt;margin-left:-0.3pt;margin-top:12.15pt;height:145.2pt;width:448.2pt;z-index:-251656192;mso-width-relative:page;mso-height-relative:page;" fillcolor="#FFFFFF" filled="t" stroked="t" coordsize="21600,21600" o:gfxdata="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YGzfdgAAAAIAQAADwAAAAAAAAABACAAAAAiAAAAZHJzL2Rv&#10;d25yZXYueG1sUEsBAhQAFAAAAAgAh07iQIWbtKgBAgAAKgQAAA4AAAAAAAAAAQAgAAAAJwEAAGRy&#10;cy9lMm9Eb2MueG1sUEsFBgAAAAAGAAYAWQEAAJoFAAAAAA==&#10;">
                <v:fill on="t" focussize="0,0"/>
                <v:stroke color="#000000" joinstyle="miter"/>
                <v:imagedata o:title=""/>
                <o:lock v:ext="edit" aspectratio="f"/>
                <v:textbox>
                  <w:txbxContent>
                    <w:p w14:paraId="034B3B55"/>
                  </w:txbxContent>
                </v:textbox>
              </v:rect>
            </w:pict>
          </mc:Fallback>
        </mc:AlternateContent>
      </w:r>
    </w:p>
    <w:p w14:paraId="149B300F">
      <w:pPr>
        <w:spacing w:line="360" w:lineRule="auto"/>
        <w:rPr>
          <w:rFonts w:hint="eastAsia" w:ascii="宋体" w:hAnsi="宋体" w:eastAsia="宋体" w:cs="宋体"/>
          <w:color w:val="auto"/>
          <w:spacing w:val="0"/>
          <w:sz w:val="24"/>
        </w:rPr>
      </w:pPr>
    </w:p>
    <w:p w14:paraId="4D57B2DA">
      <w:pPr>
        <w:spacing w:line="360" w:lineRule="auto"/>
        <w:ind w:firstLine="3000" w:firstLineChars="1250"/>
        <w:rPr>
          <w:rFonts w:hint="eastAsia" w:ascii="宋体" w:hAnsi="宋体" w:eastAsia="宋体" w:cs="宋体"/>
          <w:color w:val="auto"/>
          <w:spacing w:val="0"/>
          <w:sz w:val="24"/>
        </w:rPr>
      </w:pPr>
      <w:r>
        <w:rPr>
          <w:rFonts w:hint="eastAsia" w:ascii="宋体" w:hAnsi="宋体" w:eastAsia="宋体" w:cs="宋体"/>
          <w:color w:val="auto"/>
          <w:spacing w:val="0"/>
          <w:sz w:val="24"/>
        </w:rPr>
        <w:t>被授权人身份证复印件</w:t>
      </w:r>
    </w:p>
    <w:p w14:paraId="5919E566">
      <w:pPr>
        <w:spacing w:line="360" w:lineRule="auto"/>
        <w:rPr>
          <w:rFonts w:hint="eastAsia" w:ascii="宋体" w:hAnsi="宋体" w:eastAsia="宋体" w:cs="宋体"/>
          <w:color w:val="auto"/>
          <w:spacing w:val="0"/>
          <w:sz w:val="24"/>
        </w:rPr>
      </w:pPr>
    </w:p>
    <w:p w14:paraId="68893033">
      <w:pPr>
        <w:spacing w:line="360" w:lineRule="auto"/>
        <w:ind w:firstLine="2280" w:firstLineChars="950"/>
        <w:rPr>
          <w:rFonts w:hint="eastAsia" w:ascii="宋体" w:hAnsi="宋体" w:eastAsia="宋体" w:cs="宋体"/>
          <w:color w:val="auto"/>
          <w:spacing w:val="0"/>
          <w:sz w:val="24"/>
        </w:rPr>
      </w:pPr>
    </w:p>
    <w:p w14:paraId="6E8D2E63">
      <w:pPr>
        <w:spacing w:line="360" w:lineRule="auto"/>
        <w:ind w:firstLine="2289" w:firstLineChars="950"/>
        <w:rPr>
          <w:rFonts w:hint="eastAsia" w:ascii="宋体" w:hAnsi="宋体" w:eastAsia="宋体" w:cs="宋体"/>
          <w:b/>
          <w:bCs/>
          <w:color w:val="auto"/>
          <w:spacing w:val="0"/>
          <w:sz w:val="24"/>
        </w:rPr>
      </w:pPr>
    </w:p>
    <w:p w14:paraId="38EA129E">
      <w:pPr>
        <w:spacing w:line="360" w:lineRule="auto"/>
        <w:rPr>
          <w:rFonts w:hint="eastAsia" w:ascii="宋体" w:hAnsi="宋体" w:eastAsia="宋体" w:cs="宋体"/>
          <w:b/>
          <w:bCs/>
          <w:color w:val="auto"/>
          <w:spacing w:val="0"/>
          <w:sz w:val="24"/>
        </w:rPr>
      </w:pPr>
    </w:p>
    <w:p w14:paraId="116731E4">
      <w:pPr>
        <w:spacing w:line="360" w:lineRule="auto"/>
        <w:rPr>
          <w:rFonts w:hint="eastAsia" w:ascii="宋体" w:hAnsi="宋体" w:eastAsia="宋体" w:cs="宋体"/>
          <w:color w:val="auto"/>
          <w:spacing w:val="0"/>
        </w:rPr>
      </w:pPr>
    </w:p>
    <w:p w14:paraId="5C614D1B">
      <w:pPr>
        <w:snapToGrid w:val="0"/>
        <w:spacing w:line="360" w:lineRule="auto"/>
        <w:jc w:val="center"/>
        <w:outlineLvl w:val="4"/>
        <w:rPr>
          <w:rFonts w:hint="eastAsia"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4"/>
        </w:rPr>
        <w:br w:type="page"/>
      </w:r>
      <w:r>
        <w:rPr>
          <w:rFonts w:hint="eastAsia" w:ascii="宋体" w:hAnsi="宋体" w:eastAsia="宋体" w:cs="宋体"/>
          <w:b/>
          <w:bCs/>
          <w:color w:val="auto"/>
          <w:spacing w:val="0"/>
          <w:sz w:val="28"/>
          <w:szCs w:val="28"/>
          <w:lang w:val="en-US" w:eastAsia="zh-CN"/>
        </w:rPr>
        <w:t>3、投标人声明函</w:t>
      </w:r>
    </w:p>
    <w:p w14:paraId="111A77E3">
      <w:pPr>
        <w:snapToGrid w:val="0"/>
        <w:spacing w:before="240" w:line="520" w:lineRule="exact"/>
        <w:ind w:firstLine="480" w:firstLineChars="200"/>
        <w:jc w:val="left"/>
        <w:outlineLvl w:val="2"/>
        <w:rPr>
          <w:rFonts w:hint="eastAsia" w:ascii="宋体" w:hAnsi="宋体" w:eastAsia="宋体" w:cs="宋体"/>
          <w:bCs/>
          <w:color w:val="auto"/>
          <w:spacing w:val="0"/>
          <w:sz w:val="24"/>
        </w:rPr>
      </w:pPr>
      <w:r>
        <w:rPr>
          <w:rFonts w:hint="eastAsia" w:ascii="宋体" w:hAnsi="宋体" w:eastAsia="宋体" w:cs="宋体"/>
          <w:bCs/>
          <w:color w:val="auto"/>
          <w:spacing w:val="0"/>
          <w:sz w:val="24"/>
        </w:rPr>
        <w:t>我单位参加</w:t>
      </w:r>
      <w:r>
        <w:rPr>
          <w:rFonts w:hint="eastAsia" w:ascii="宋体" w:hAnsi="宋体" w:eastAsia="宋体" w:cs="宋体"/>
          <w:bCs/>
          <w:color w:val="auto"/>
          <w:spacing w:val="0"/>
          <w:sz w:val="24"/>
          <w:u w:val="single"/>
          <w:lang w:eastAsia="zh-CN"/>
        </w:rPr>
        <w:t>观鑫楼物业看护服务采购项目</w:t>
      </w:r>
      <w:r>
        <w:rPr>
          <w:rFonts w:hint="eastAsia" w:ascii="宋体" w:hAnsi="宋体" w:eastAsia="宋体" w:cs="宋体"/>
          <w:bCs/>
          <w:color w:val="auto"/>
          <w:spacing w:val="0"/>
          <w:sz w:val="24"/>
        </w:rPr>
        <w:t>投标活动。做出如下声明：</w:t>
      </w:r>
    </w:p>
    <w:p w14:paraId="1166DAD7">
      <w:pPr>
        <w:snapToGrid w:val="0"/>
        <w:spacing w:line="520" w:lineRule="exact"/>
        <w:ind w:firstLine="480" w:firstLineChars="200"/>
        <w:jc w:val="left"/>
        <w:outlineLvl w:val="2"/>
        <w:rPr>
          <w:rFonts w:hint="eastAsia" w:ascii="宋体" w:hAnsi="宋体" w:eastAsia="宋体" w:cs="宋体"/>
          <w:bCs/>
          <w:color w:val="auto"/>
          <w:spacing w:val="0"/>
          <w:sz w:val="24"/>
        </w:rPr>
      </w:pPr>
      <w:r>
        <w:rPr>
          <w:rFonts w:hint="eastAsia" w:ascii="宋体" w:hAnsi="宋体" w:eastAsia="宋体" w:cs="宋体"/>
          <w:bCs/>
          <w:color w:val="auto"/>
          <w:spacing w:val="0"/>
          <w:sz w:val="24"/>
        </w:rPr>
        <w:t>1、我单位具有独立承担民事责任的能力；</w:t>
      </w:r>
    </w:p>
    <w:p w14:paraId="5AA8BF3A">
      <w:pPr>
        <w:snapToGrid w:val="0"/>
        <w:spacing w:line="520" w:lineRule="exact"/>
        <w:ind w:firstLine="480" w:firstLineChars="200"/>
        <w:jc w:val="left"/>
        <w:outlineLvl w:val="2"/>
        <w:rPr>
          <w:rFonts w:hint="eastAsia" w:ascii="宋体" w:hAnsi="宋体" w:eastAsia="宋体" w:cs="宋体"/>
          <w:bCs/>
          <w:color w:val="auto"/>
          <w:spacing w:val="0"/>
          <w:sz w:val="24"/>
        </w:rPr>
      </w:pPr>
      <w:r>
        <w:rPr>
          <w:rFonts w:hint="eastAsia" w:ascii="宋体" w:hAnsi="宋体" w:eastAsia="宋体" w:cs="宋体"/>
          <w:bCs/>
          <w:color w:val="auto"/>
          <w:spacing w:val="0"/>
          <w:sz w:val="24"/>
        </w:rPr>
        <w:t>2、我单位具有良好的商业信誉和健全的财务会计制度；</w:t>
      </w:r>
    </w:p>
    <w:p w14:paraId="5ACD950A">
      <w:pPr>
        <w:snapToGrid w:val="0"/>
        <w:spacing w:line="520" w:lineRule="exact"/>
        <w:ind w:firstLine="480" w:firstLineChars="200"/>
        <w:jc w:val="left"/>
        <w:outlineLvl w:val="2"/>
        <w:rPr>
          <w:rFonts w:hint="eastAsia" w:ascii="宋体" w:hAnsi="宋体" w:eastAsia="宋体" w:cs="宋体"/>
          <w:bCs/>
          <w:color w:val="auto"/>
          <w:spacing w:val="0"/>
          <w:sz w:val="24"/>
        </w:rPr>
      </w:pPr>
      <w:r>
        <w:rPr>
          <w:rFonts w:hint="eastAsia" w:ascii="宋体" w:hAnsi="宋体" w:eastAsia="宋体" w:cs="宋体"/>
          <w:bCs/>
          <w:color w:val="auto"/>
          <w:spacing w:val="0"/>
          <w:sz w:val="24"/>
        </w:rPr>
        <w:t>3、我单位具有履行合同所必需的设备和专业技术能力；</w:t>
      </w:r>
    </w:p>
    <w:p w14:paraId="2C46F8B2">
      <w:pPr>
        <w:snapToGrid w:val="0"/>
        <w:spacing w:line="520" w:lineRule="exact"/>
        <w:ind w:firstLine="480" w:firstLineChars="200"/>
        <w:jc w:val="left"/>
        <w:outlineLvl w:val="2"/>
        <w:rPr>
          <w:rFonts w:hint="eastAsia" w:ascii="宋体" w:hAnsi="宋体" w:eastAsia="宋体" w:cs="宋体"/>
          <w:bCs/>
          <w:color w:val="auto"/>
          <w:spacing w:val="0"/>
          <w:sz w:val="24"/>
        </w:rPr>
      </w:pPr>
      <w:r>
        <w:rPr>
          <w:rFonts w:hint="eastAsia" w:ascii="宋体" w:hAnsi="宋体" w:eastAsia="宋体" w:cs="宋体"/>
          <w:bCs/>
          <w:color w:val="auto"/>
          <w:spacing w:val="0"/>
          <w:sz w:val="24"/>
        </w:rPr>
        <w:t>4、我单位有依法缴纳税收和社会保障资金的良好记录；</w:t>
      </w:r>
    </w:p>
    <w:p w14:paraId="1BEC56B1">
      <w:pPr>
        <w:snapToGrid w:val="0"/>
        <w:spacing w:line="520" w:lineRule="exact"/>
        <w:ind w:firstLine="480" w:firstLineChars="200"/>
        <w:jc w:val="left"/>
        <w:outlineLvl w:val="2"/>
        <w:rPr>
          <w:rFonts w:hint="eastAsia" w:ascii="宋体" w:hAnsi="宋体" w:eastAsia="宋体" w:cs="宋体"/>
          <w:bCs/>
          <w:color w:val="auto"/>
          <w:spacing w:val="0"/>
          <w:sz w:val="24"/>
        </w:rPr>
      </w:pPr>
      <w:r>
        <w:rPr>
          <w:rFonts w:hint="eastAsia" w:ascii="宋体" w:hAnsi="宋体" w:eastAsia="宋体" w:cs="宋体"/>
          <w:bCs/>
          <w:color w:val="auto"/>
          <w:spacing w:val="0"/>
          <w:sz w:val="24"/>
        </w:rPr>
        <w:t>5、我单位参加采购活动前三年内，在经营活动中没有重大违法记录；</w:t>
      </w:r>
    </w:p>
    <w:p w14:paraId="270E42AF">
      <w:pPr>
        <w:snapToGrid w:val="0"/>
        <w:spacing w:line="520" w:lineRule="exact"/>
        <w:ind w:firstLine="480" w:firstLineChars="200"/>
        <w:jc w:val="left"/>
        <w:outlineLvl w:val="2"/>
        <w:rPr>
          <w:rFonts w:hint="eastAsia" w:ascii="宋体" w:hAnsi="宋体" w:eastAsia="宋体" w:cs="宋体"/>
          <w:bCs/>
          <w:color w:val="auto"/>
          <w:spacing w:val="0"/>
          <w:sz w:val="24"/>
        </w:rPr>
      </w:pPr>
      <w:r>
        <w:rPr>
          <w:rFonts w:hint="eastAsia" w:ascii="宋体" w:hAnsi="宋体" w:eastAsia="宋体" w:cs="宋体"/>
          <w:bCs/>
          <w:color w:val="auto"/>
          <w:spacing w:val="0"/>
          <w:sz w:val="24"/>
        </w:rPr>
        <w:t>6、我单位满足法律、行政法规规定的其他条件。</w:t>
      </w:r>
    </w:p>
    <w:p w14:paraId="29F2F519">
      <w:pPr>
        <w:snapToGrid w:val="0"/>
        <w:spacing w:line="520" w:lineRule="exact"/>
        <w:jc w:val="center"/>
        <w:outlineLvl w:val="2"/>
        <w:rPr>
          <w:rFonts w:hint="eastAsia" w:ascii="宋体" w:hAnsi="宋体" w:eastAsia="宋体" w:cs="宋体"/>
          <w:bCs/>
          <w:color w:val="auto"/>
          <w:spacing w:val="0"/>
          <w:sz w:val="24"/>
        </w:rPr>
      </w:pPr>
    </w:p>
    <w:p w14:paraId="72C5C7D6">
      <w:pPr>
        <w:snapToGrid w:val="0"/>
        <w:spacing w:line="520" w:lineRule="exact"/>
        <w:jc w:val="center"/>
        <w:outlineLvl w:val="2"/>
        <w:rPr>
          <w:rFonts w:hint="eastAsia" w:ascii="宋体" w:hAnsi="宋体" w:eastAsia="宋体" w:cs="宋体"/>
          <w:bCs/>
          <w:color w:val="auto"/>
          <w:spacing w:val="0"/>
          <w:sz w:val="24"/>
        </w:rPr>
      </w:pPr>
    </w:p>
    <w:p w14:paraId="12C6532F">
      <w:pPr>
        <w:snapToGrid w:val="0"/>
        <w:spacing w:line="520" w:lineRule="exact"/>
        <w:jc w:val="center"/>
        <w:outlineLvl w:val="2"/>
        <w:rPr>
          <w:rFonts w:hint="eastAsia" w:ascii="宋体" w:hAnsi="宋体" w:eastAsia="宋体" w:cs="宋体"/>
          <w:bCs/>
          <w:color w:val="auto"/>
          <w:spacing w:val="0"/>
          <w:sz w:val="24"/>
        </w:rPr>
      </w:pPr>
    </w:p>
    <w:p w14:paraId="0B049A95">
      <w:pPr>
        <w:snapToGrid w:val="0"/>
        <w:spacing w:line="520" w:lineRule="exact"/>
        <w:jc w:val="center"/>
        <w:outlineLvl w:val="2"/>
        <w:rPr>
          <w:rFonts w:hint="eastAsia" w:ascii="宋体" w:hAnsi="宋体" w:eastAsia="宋体" w:cs="宋体"/>
          <w:bCs/>
          <w:color w:val="auto"/>
          <w:spacing w:val="0"/>
          <w:sz w:val="24"/>
        </w:rPr>
      </w:pPr>
      <w:r>
        <w:rPr>
          <w:rFonts w:hint="eastAsia" w:ascii="宋体" w:hAnsi="宋体" w:eastAsia="宋体" w:cs="宋体"/>
          <w:bCs/>
          <w:color w:val="auto"/>
          <w:spacing w:val="0"/>
          <w:sz w:val="24"/>
        </w:rPr>
        <w:t xml:space="preserve">                              声明人：（公章）</w:t>
      </w:r>
    </w:p>
    <w:p w14:paraId="4C9B8199">
      <w:pPr>
        <w:snapToGrid w:val="0"/>
        <w:spacing w:line="520" w:lineRule="exact"/>
        <w:jc w:val="center"/>
        <w:outlineLvl w:val="2"/>
        <w:rPr>
          <w:rFonts w:hint="eastAsia" w:ascii="宋体" w:hAnsi="宋体" w:eastAsia="宋体" w:cs="宋体"/>
          <w:color w:val="auto"/>
          <w:spacing w:val="0"/>
          <w:sz w:val="24"/>
        </w:rPr>
      </w:pPr>
      <w:r>
        <w:rPr>
          <w:rFonts w:hint="eastAsia" w:ascii="宋体" w:hAnsi="宋体" w:eastAsia="宋体" w:cs="宋体"/>
          <w:bCs/>
          <w:color w:val="auto"/>
          <w:spacing w:val="0"/>
          <w:sz w:val="24"/>
        </w:rPr>
        <w:t xml:space="preserve">                                            日期：        年      月     日</w:t>
      </w:r>
    </w:p>
    <w:p w14:paraId="4CCA878B">
      <w:pPr>
        <w:snapToGrid w:val="0"/>
        <w:spacing w:line="360" w:lineRule="auto"/>
        <w:ind w:left="420" w:leftChars="200"/>
        <w:jc w:val="center"/>
        <w:outlineLvl w:val="4"/>
        <w:rPr>
          <w:rFonts w:hint="eastAsia" w:ascii="宋体" w:hAnsi="宋体" w:eastAsia="宋体" w:cs="宋体"/>
          <w:b/>
          <w:bCs/>
          <w:color w:val="auto"/>
          <w:spacing w:val="0"/>
          <w:sz w:val="24"/>
        </w:rPr>
      </w:pPr>
      <w:r>
        <w:rPr>
          <w:rFonts w:hint="eastAsia" w:ascii="宋体" w:hAnsi="宋体" w:eastAsia="宋体" w:cs="宋体"/>
          <w:b/>
          <w:bCs/>
          <w:color w:val="auto"/>
          <w:spacing w:val="0"/>
          <w:sz w:val="24"/>
        </w:rPr>
        <w:br w:type="page"/>
      </w:r>
    </w:p>
    <w:p w14:paraId="533643EF">
      <w:pPr>
        <w:snapToGrid w:val="0"/>
        <w:spacing w:line="360" w:lineRule="auto"/>
        <w:jc w:val="center"/>
        <w:outlineLvl w:val="4"/>
        <w:rPr>
          <w:rFonts w:hint="eastAsia" w:ascii="宋体" w:hAnsi="宋体" w:eastAsia="宋体" w:cs="宋体"/>
          <w:b/>
          <w:bCs/>
          <w:color w:val="auto"/>
          <w:spacing w:val="0"/>
          <w:sz w:val="24"/>
          <w:lang w:eastAsia="zh-CN"/>
        </w:rPr>
      </w:pPr>
      <w:r>
        <w:rPr>
          <w:rFonts w:hint="eastAsia" w:ascii="宋体" w:hAnsi="宋体" w:eastAsia="宋体" w:cs="宋体"/>
          <w:b/>
          <w:bCs/>
          <w:color w:val="auto"/>
          <w:spacing w:val="0"/>
          <w:sz w:val="24"/>
        </w:rPr>
        <w:t>4、关于资格文件</w:t>
      </w:r>
      <w:r>
        <w:rPr>
          <w:rFonts w:hint="eastAsia" w:ascii="宋体" w:hAnsi="宋体" w:eastAsia="宋体" w:cs="宋体"/>
          <w:b/>
          <w:bCs/>
          <w:color w:val="auto"/>
          <w:spacing w:val="0"/>
          <w:sz w:val="24"/>
          <w:lang w:val="en-US" w:eastAsia="zh-CN"/>
        </w:rPr>
        <w:t>的承诺函</w:t>
      </w:r>
    </w:p>
    <w:p w14:paraId="17DEA783">
      <w:pPr>
        <w:adjustRightInd w:val="0"/>
        <w:snapToGrid w:val="0"/>
        <w:spacing w:line="360" w:lineRule="auto"/>
        <w:jc w:val="left"/>
        <w:rPr>
          <w:rFonts w:hint="eastAsia" w:ascii="宋体" w:hAnsi="宋体" w:eastAsia="宋体" w:cs="宋体"/>
          <w:color w:val="auto"/>
          <w:spacing w:val="0"/>
          <w:sz w:val="24"/>
        </w:rPr>
      </w:pPr>
    </w:p>
    <w:p w14:paraId="4F46791D">
      <w:pPr>
        <w:overflowPunct w:val="0"/>
        <w:adjustRightInd w:val="0"/>
        <w:spacing w:line="360" w:lineRule="auto"/>
        <w:jc w:val="left"/>
        <w:textAlignment w:val="baseline"/>
        <w:rPr>
          <w:rFonts w:hint="eastAsia" w:ascii="宋体" w:hAnsi="宋体" w:eastAsia="宋体" w:cs="宋体"/>
          <w:color w:val="auto"/>
          <w:spacing w:val="0"/>
          <w:sz w:val="24"/>
          <w:u w:val="single"/>
        </w:rPr>
      </w:pPr>
      <w:r>
        <w:rPr>
          <w:rFonts w:hint="eastAsia" w:ascii="宋体" w:hAnsi="宋体" w:eastAsia="宋体" w:cs="宋体"/>
          <w:color w:val="auto"/>
          <w:spacing w:val="0"/>
          <w:sz w:val="24"/>
          <w:u w:val="single"/>
        </w:rPr>
        <w:t>（       ）：</w:t>
      </w:r>
    </w:p>
    <w:p w14:paraId="156CB1C4">
      <w:pPr>
        <w:overflowPunct w:val="0"/>
        <w:adjustRightInd w:val="0"/>
        <w:spacing w:line="360" w:lineRule="auto"/>
        <w:ind w:firstLine="660"/>
        <w:jc w:val="left"/>
        <w:textAlignment w:val="baseline"/>
        <w:rPr>
          <w:rFonts w:hint="eastAsia" w:ascii="宋体" w:hAnsi="宋体" w:eastAsia="宋体" w:cs="宋体"/>
          <w:color w:val="auto"/>
          <w:spacing w:val="0"/>
          <w:sz w:val="24"/>
        </w:rPr>
      </w:pPr>
      <w:r>
        <w:rPr>
          <w:rFonts w:hint="eastAsia" w:ascii="宋体" w:hAnsi="宋体" w:eastAsia="宋体" w:cs="宋体"/>
          <w:color w:val="auto"/>
          <w:spacing w:val="0"/>
          <w:sz w:val="24"/>
        </w:rPr>
        <w:t>本公司愿就由贵单位组织实施的</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（招标项目名称)的招标活动进行投标。本公司所提交的投标文件中所有关于投标资格的文件、证明和陈述均是真实的、准确的。若与真实情况不符，本公司愿意承担由此而产生的一切后果。</w:t>
      </w:r>
    </w:p>
    <w:p w14:paraId="1258521A">
      <w:pPr>
        <w:overflowPunct w:val="0"/>
        <w:adjustRightInd w:val="0"/>
        <w:spacing w:line="360" w:lineRule="auto"/>
        <w:ind w:firstLine="420"/>
        <w:jc w:val="left"/>
        <w:textAlignment w:val="baseline"/>
        <w:rPr>
          <w:rFonts w:hint="eastAsia" w:ascii="宋体" w:hAnsi="宋体" w:eastAsia="宋体" w:cs="宋体"/>
          <w:color w:val="auto"/>
          <w:spacing w:val="0"/>
          <w:sz w:val="24"/>
        </w:rPr>
      </w:pPr>
    </w:p>
    <w:p w14:paraId="137417D9">
      <w:pPr>
        <w:overflowPunct w:val="0"/>
        <w:adjustRightInd w:val="0"/>
        <w:spacing w:line="360" w:lineRule="auto"/>
        <w:ind w:firstLine="420"/>
        <w:jc w:val="left"/>
        <w:textAlignment w:val="baseline"/>
        <w:rPr>
          <w:rFonts w:hint="eastAsia" w:ascii="宋体" w:hAnsi="宋体" w:eastAsia="宋体" w:cs="宋体"/>
          <w:color w:val="auto"/>
          <w:spacing w:val="0"/>
          <w:sz w:val="24"/>
        </w:rPr>
      </w:pPr>
    </w:p>
    <w:p w14:paraId="67B987E3">
      <w:pPr>
        <w:spacing w:line="360" w:lineRule="auto"/>
        <w:ind w:firstLine="480" w:firstLineChars="20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                   投标人：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（加盖公章）</w:t>
      </w:r>
    </w:p>
    <w:p w14:paraId="76E20381">
      <w:pPr>
        <w:spacing w:line="360" w:lineRule="auto"/>
        <w:ind w:firstLine="480" w:firstLineChars="20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                        法定代表人或被授权人：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（签字或盖章）</w:t>
      </w:r>
    </w:p>
    <w:p w14:paraId="1FACAC4E">
      <w:pPr>
        <w:spacing w:line="360" w:lineRule="auto"/>
        <w:ind w:firstLine="3578" w:firstLineChars="1491"/>
        <w:jc w:val="left"/>
        <w:rPr>
          <w:rFonts w:hint="eastAsia" w:ascii="宋体" w:hAnsi="宋体" w:eastAsia="宋体" w:cs="宋体"/>
          <w:color w:val="auto"/>
          <w:spacing w:val="0"/>
          <w:sz w:val="24"/>
        </w:rPr>
      </w:pPr>
      <w:r>
        <w:rPr>
          <w:rFonts w:hint="eastAsia" w:ascii="宋体" w:hAnsi="宋体" w:eastAsia="宋体" w:cs="宋体"/>
          <w:color w:val="auto"/>
          <w:spacing w:val="0"/>
          <w:sz w:val="24"/>
        </w:rPr>
        <w:t>日  期：   年  月  日</w:t>
      </w:r>
    </w:p>
    <w:p w14:paraId="0BB0DEDC">
      <w:pPr>
        <w:rPr>
          <w:rFonts w:hint="eastAsia" w:ascii="宋体" w:hAnsi="宋体" w:eastAsia="宋体" w:cs="宋体"/>
          <w:color w:val="auto"/>
          <w:spacing w:val="0"/>
          <w:sz w:val="24"/>
        </w:rPr>
      </w:pPr>
      <w:r>
        <w:rPr>
          <w:rFonts w:hint="eastAsia" w:ascii="宋体" w:hAnsi="宋体" w:eastAsia="宋体" w:cs="宋体"/>
          <w:color w:val="auto"/>
          <w:spacing w:val="0"/>
          <w:sz w:val="24"/>
        </w:rPr>
        <w:br w:type="page"/>
      </w:r>
    </w:p>
    <w:p w14:paraId="2C2C41E1">
      <w:pPr>
        <w:pStyle w:val="3"/>
        <w:snapToGrid w:val="0"/>
        <w:spacing w:line="360" w:lineRule="auto"/>
        <w:ind w:firstLine="0"/>
        <w:jc w:val="center"/>
        <w:outlineLvl w:val="1"/>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现场踏勘确认函</w:t>
      </w:r>
    </w:p>
    <w:p w14:paraId="08CD3C94">
      <w:pPr>
        <w:snapToGrid w:val="0"/>
        <w:spacing w:line="360" w:lineRule="auto"/>
        <w:jc w:val="left"/>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南通天山置业有限公司（招标人）：</w:t>
      </w:r>
    </w:p>
    <w:p w14:paraId="1D7246B7">
      <w:pPr>
        <w:snapToGrid w:val="0"/>
        <w:spacing w:line="360" w:lineRule="auto"/>
        <w:ind w:firstLine="480" w:firstLineChars="200"/>
        <w:jc w:val="left"/>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rPr>
        <w:t>依据贵单位________（招标项目名称)项目招标文件的要求。我方已对该项目进行了现场勘察，现就现场勘察情况做如下承诺：</w:t>
      </w:r>
    </w:p>
    <w:p w14:paraId="7B0571B2">
      <w:pPr>
        <w:snapToGrid w:val="0"/>
        <w:spacing w:line="360" w:lineRule="auto"/>
        <w:ind w:firstLine="480" w:firstLineChars="200"/>
        <w:jc w:val="left"/>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cs="宋体"/>
          <w:color w:val="auto"/>
          <w:sz w:val="24"/>
          <w:highlight w:val="none"/>
          <w:lang w:eastAsia="zh-CN"/>
        </w:rPr>
        <w:t>现场勘查</w:t>
      </w:r>
      <w:r>
        <w:rPr>
          <w:rFonts w:hint="eastAsia" w:ascii="宋体" w:hAnsi="宋体" w:eastAsia="宋体" w:cs="宋体"/>
          <w:color w:val="auto"/>
          <w:sz w:val="24"/>
          <w:highlight w:val="none"/>
        </w:rPr>
        <w:t>，我方已熟悉与该项目相关的服务现场、环境、周围交通道路等所有情况。</w:t>
      </w:r>
    </w:p>
    <w:p w14:paraId="3F051CA8">
      <w:pPr>
        <w:snapToGrid w:val="0"/>
        <w:spacing w:line="360" w:lineRule="auto"/>
        <w:ind w:firstLine="480" w:firstLineChars="200"/>
        <w:jc w:val="left"/>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2、我方承诺自行承担本次现场勘察所发生的所有费用并承担</w:t>
      </w:r>
      <w:r>
        <w:rPr>
          <w:rFonts w:hint="eastAsia" w:ascii="宋体" w:hAnsi="宋体" w:cs="宋体"/>
          <w:color w:val="auto"/>
          <w:sz w:val="24"/>
          <w:highlight w:val="none"/>
          <w:lang w:eastAsia="zh-CN"/>
        </w:rPr>
        <w:t>勘查现场</w:t>
      </w:r>
      <w:r>
        <w:rPr>
          <w:rFonts w:hint="eastAsia" w:ascii="宋体" w:hAnsi="宋体" w:eastAsia="宋体" w:cs="宋体"/>
          <w:color w:val="auto"/>
          <w:sz w:val="24"/>
          <w:highlight w:val="none"/>
        </w:rPr>
        <w:t>的相关责任和风险。</w:t>
      </w:r>
    </w:p>
    <w:p w14:paraId="4C7FBE4D">
      <w:pPr>
        <w:snapToGrid w:val="0"/>
        <w:spacing w:line="360" w:lineRule="auto"/>
        <w:ind w:firstLine="480" w:firstLineChars="200"/>
        <w:jc w:val="left"/>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3、我方承诺在任何情况下均不以不完全了解现场情况为理由而向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人提出任何索赔的要求。</w:t>
      </w:r>
    </w:p>
    <w:p w14:paraId="5D55EE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特此确认并承诺。</w:t>
      </w:r>
    </w:p>
    <w:p w14:paraId="2B6F97A5">
      <w:pPr>
        <w:spacing w:line="360" w:lineRule="auto"/>
        <w:ind w:firstLine="480" w:firstLineChars="200"/>
        <w:rPr>
          <w:rFonts w:hint="eastAsia" w:ascii="宋体" w:hAnsi="宋体" w:eastAsia="宋体" w:cs="宋体"/>
          <w:color w:val="auto"/>
          <w:sz w:val="24"/>
          <w:highlight w:val="none"/>
        </w:rPr>
      </w:pPr>
    </w:p>
    <w:p w14:paraId="27B249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投标人踏勘代表  (签字)：            </w:t>
      </w:r>
    </w:p>
    <w:p w14:paraId="52A328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身份证号码：              </w:t>
      </w:r>
    </w:p>
    <w:p w14:paraId="707E72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投标人(盖法人公章)：      </w:t>
      </w:r>
    </w:p>
    <w:p w14:paraId="62472592">
      <w:pPr>
        <w:spacing w:line="360" w:lineRule="auto"/>
        <w:rPr>
          <w:rFonts w:hint="eastAsia" w:ascii="宋体" w:hAnsi="宋体" w:eastAsia="宋体" w:cs="宋体"/>
          <w:color w:val="auto"/>
          <w:sz w:val="24"/>
          <w:highlight w:val="none"/>
        </w:rPr>
      </w:pPr>
    </w:p>
    <w:p w14:paraId="475839A2">
      <w:pPr>
        <w:pStyle w:val="3"/>
        <w:rPr>
          <w:rFonts w:hint="eastAsia" w:ascii="宋体" w:hAnsi="宋体" w:eastAsia="宋体" w:cs="宋体"/>
          <w:color w:val="auto"/>
        </w:rPr>
      </w:pPr>
    </w:p>
    <w:p w14:paraId="1F39CE8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招标人代表（签字）：   </w:t>
      </w:r>
      <w:r>
        <w:rPr>
          <w:rFonts w:hint="eastAsia" w:ascii="宋体" w:hAnsi="宋体" w:eastAsia="宋体" w:cs="宋体"/>
          <w:color w:val="auto"/>
          <w:sz w:val="24"/>
          <w:highlight w:val="none"/>
        </w:rPr>
        <w:t xml:space="preserve">          </w:t>
      </w:r>
    </w:p>
    <w:p w14:paraId="02C4AA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86045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8E498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6843BA3">
      <w:pPr>
        <w:spacing w:line="560" w:lineRule="exact"/>
        <w:jc w:val="left"/>
        <w:rPr>
          <w:rFonts w:hint="eastAsia" w:ascii="宋体" w:hAnsi="宋体" w:eastAsia="宋体" w:cs="宋体"/>
          <w:b/>
          <w:bCs/>
          <w:color w:val="auto"/>
          <w:spacing w:val="0"/>
          <w:sz w:val="28"/>
          <w:szCs w:val="28"/>
        </w:rPr>
      </w:pPr>
      <w:r>
        <w:rPr>
          <w:rFonts w:hint="eastAsia" w:ascii="宋体" w:hAnsi="宋体" w:eastAsia="宋体" w:cs="宋体"/>
          <w:color w:val="auto"/>
          <w:spacing w:val="0"/>
          <w:sz w:val="24"/>
        </w:rPr>
        <w:br w:type="page"/>
      </w:r>
      <w:r>
        <w:rPr>
          <w:rFonts w:hint="eastAsia" w:ascii="宋体" w:hAnsi="宋体" w:eastAsia="宋体" w:cs="宋体"/>
          <w:b/>
          <w:bCs/>
          <w:color w:val="auto"/>
          <w:spacing w:val="0"/>
          <w:sz w:val="28"/>
          <w:szCs w:val="28"/>
        </w:rPr>
        <w:t>二、技术标相关的格式文件及表格</w:t>
      </w:r>
    </w:p>
    <w:p w14:paraId="033CB3A7">
      <w:pPr>
        <w:spacing w:line="360" w:lineRule="auto"/>
        <w:jc w:val="center"/>
        <w:rPr>
          <w:rFonts w:hint="eastAsia" w:ascii="宋体" w:hAnsi="宋体" w:eastAsia="宋体" w:cs="宋体"/>
          <w:b/>
          <w:bCs/>
          <w:color w:val="auto"/>
          <w:spacing w:val="0"/>
          <w:sz w:val="24"/>
        </w:rPr>
      </w:pPr>
      <w:r>
        <w:rPr>
          <w:rFonts w:hint="eastAsia" w:ascii="宋体" w:hAnsi="宋体" w:eastAsia="宋体" w:cs="宋体"/>
          <w:b/>
          <w:color w:val="auto"/>
          <w:spacing w:val="0"/>
          <w:sz w:val="24"/>
        </w:rPr>
        <w:t>1</w:t>
      </w:r>
      <w:r>
        <w:rPr>
          <w:rFonts w:hint="eastAsia" w:ascii="宋体" w:hAnsi="宋体" w:eastAsia="宋体" w:cs="宋体"/>
          <w:b/>
          <w:bCs/>
          <w:color w:val="auto"/>
          <w:spacing w:val="0"/>
          <w:sz w:val="24"/>
        </w:rPr>
        <w:t>、投标响应函</w:t>
      </w:r>
    </w:p>
    <w:p w14:paraId="70ABA913">
      <w:pPr>
        <w:pStyle w:val="15"/>
        <w:ind w:firstLine="400"/>
        <w:rPr>
          <w:rFonts w:hint="eastAsia" w:ascii="宋体" w:hAnsi="宋体" w:eastAsia="宋体" w:cs="宋体"/>
          <w:color w:val="auto"/>
          <w:spacing w:val="0"/>
        </w:rPr>
      </w:pPr>
    </w:p>
    <w:p w14:paraId="1B7FB3E5">
      <w:pPr>
        <w:snapToGrid w:val="0"/>
        <w:spacing w:line="360" w:lineRule="auto"/>
        <w:rPr>
          <w:rFonts w:hint="eastAsia" w:ascii="宋体" w:hAnsi="宋体" w:eastAsia="宋体" w:cs="宋体"/>
          <w:color w:val="auto"/>
          <w:spacing w:val="0"/>
          <w:szCs w:val="21"/>
        </w:rPr>
      </w:pPr>
      <w:r>
        <w:rPr>
          <w:rFonts w:hint="eastAsia" w:ascii="宋体" w:hAnsi="宋体" w:eastAsia="宋体" w:cs="宋体"/>
          <w:color w:val="auto"/>
          <w:spacing w:val="0"/>
          <w:szCs w:val="21"/>
          <w:u w:val="single"/>
        </w:rPr>
        <w:t>（         ）</w:t>
      </w:r>
      <w:r>
        <w:rPr>
          <w:rFonts w:hint="eastAsia" w:ascii="宋体" w:hAnsi="宋体" w:eastAsia="宋体" w:cs="宋体"/>
          <w:color w:val="auto"/>
          <w:spacing w:val="0"/>
          <w:szCs w:val="21"/>
        </w:rPr>
        <w:t>：</w:t>
      </w:r>
    </w:p>
    <w:p w14:paraId="5E97944B">
      <w:pPr>
        <w:snapToGrid w:val="0"/>
        <w:spacing w:line="360" w:lineRule="auto"/>
        <w:ind w:firstLine="420"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依据贵单位</w:t>
      </w:r>
      <w:r>
        <w:rPr>
          <w:rFonts w:hint="eastAsia" w:ascii="宋体" w:hAnsi="宋体" w:eastAsia="宋体" w:cs="宋体"/>
          <w:color w:val="auto"/>
          <w:spacing w:val="0"/>
          <w:szCs w:val="21"/>
          <w:u w:val="single"/>
          <w:lang w:eastAsia="zh-CN"/>
        </w:rPr>
        <w:t>观鑫楼物业看护服务采购项目</w:t>
      </w:r>
      <w:r>
        <w:rPr>
          <w:rFonts w:hint="eastAsia" w:ascii="宋体" w:hAnsi="宋体" w:eastAsia="宋体" w:cs="宋体"/>
          <w:color w:val="auto"/>
          <w:spacing w:val="0"/>
          <w:szCs w:val="21"/>
        </w:rPr>
        <w:t>（招标项目名称)项目公开</w:t>
      </w:r>
      <w:r>
        <w:rPr>
          <w:rFonts w:hint="eastAsia" w:ascii="宋体" w:hAnsi="宋体" w:eastAsia="宋体" w:cs="宋体"/>
          <w:color w:val="auto"/>
          <w:spacing w:val="0"/>
          <w:szCs w:val="21"/>
          <w:lang w:eastAsia="zh-CN"/>
        </w:rPr>
        <w:t>招标</w:t>
      </w:r>
      <w:r>
        <w:rPr>
          <w:rFonts w:hint="eastAsia" w:ascii="宋体" w:hAnsi="宋体" w:eastAsia="宋体" w:cs="宋体"/>
          <w:color w:val="auto"/>
          <w:spacing w:val="0"/>
          <w:szCs w:val="21"/>
        </w:rPr>
        <w:t>的邀请，我方授权</w:t>
      </w:r>
      <w:r>
        <w:rPr>
          <w:rFonts w:hint="eastAsia" w:ascii="宋体" w:hAnsi="宋体" w:eastAsia="宋体" w:cs="宋体"/>
          <w:color w:val="auto"/>
          <w:spacing w:val="0"/>
          <w:szCs w:val="21"/>
          <w:u w:val="single"/>
        </w:rPr>
        <w:t xml:space="preserve">       （姓名）      </w:t>
      </w:r>
      <w:r>
        <w:rPr>
          <w:rFonts w:hint="eastAsia" w:ascii="宋体" w:hAnsi="宋体" w:eastAsia="宋体" w:cs="宋体"/>
          <w:color w:val="auto"/>
          <w:spacing w:val="0"/>
          <w:szCs w:val="21"/>
        </w:rPr>
        <w:t>（职务）为全权代表参加该项目的投标工作，全权处理本次投标的有关事宜。同时，我公司声明如下：</w:t>
      </w:r>
    </w:p>
    <w:p w14:paraId="4C38327C">
      <w:pPr>
        <w:snapToGrid w:val="0"/>
        <w:spacing w:line="360" w:lineRule="auto"/>
        <w:ind w:firstLine="420"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1、我方愿意按照招标文件的一切要求，提供完成该项目的全部内容，我方的投标报价（以人民币计价）应包括招标文件所确定的全部内容，以及为完成上述内容在合同履行过程中可能发生的风险及所需的全部费用。投标报价应包括但不限于：所有人员开支费用(包括人员工资、社保、保险费、餐费、补贴费、加班费、福利等所有费用)、专用设备及其备品、备件、小型维修的人工材料机械费用、易耗品耗材、通讯和专用工具费用、税费、运输、保险、技术支持与培训、售后服务及相关劳务支出等工作所发生的全部费用以及投标人企业利润、税金和政策性文件规定及合同包含的所有风险、责任，即响应本项目的各项应有费用。各投标人应根据招标文件要求，并充分考虑市场，自行核算成本报价。</w:t>
      </w:r>
    </w:p>
    <w:p w14:paraId="2C73C607">
      <w:pPr>
        <w:snapToGrid w:val="0"/>
        <w:spacing w:line="360" w:lineRule="auto"/>
        <w:ind w:firstLine="420"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2、我方已经详细审查了全部招标文件，我方已完全清晰理解招标文件的要求，不存在任何含糊不清和误解之处，同意放弃对这些文件所提出的异议和质疑的权利。</w:t>
      </w:r>
    </w:p>
    <w:p w14:paraId="22DFFF5D">
      <w:pPr>
        <w:snapToGrid w:val="0"/>
        <w:spacing w:line="360" w:lineRule="auto"/>
        <w:ind w:firstLine="420"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3、我方愿意提供招标单位在招标文件中要求的所有资料。</w:t>
      </w:r>
    </w:p>
    <w:p w14:paraId="3DB56251">
      <w:pPr>
        <w:snapToGrid w:val="0"/>
        <w:spacing w:line="360" w:lineRule="auto"/>
        <w:ind w:firstLine="420"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4、我方承诺在本次招标响应中提供的一切文件，无论是原件还是复印件均真实有效，绝无任何虚假、伪造和夸大</w:t>
      </w:r>
      <w:r>
        <w:rPr>
          <w:rFonts w:hint="eastAsia" w:ascii="宋体" w:hAnsi="宋体" w:eastAsia="宋体" w:cs="宋体"/>
          <w:color w:val="auto"/>
          <w:spacing w:val="0"/>
          <w:szCs w:val="21"/>
          <w:lang w:eastAsia="zh-CN"/>
        </w:rPr>
        <w:t>的成分</w:t>
      </w:r>
      <w:r>
        <w:rPr>
          <w:rFonts w:hint="eastAsia" w:ascii="宋体" w:hAnsi="宋体" w:eastAsia="宋体" w:cs="宋体"/>
          <w:color w:val="auto"/>
          <w:spacing w:val="0"/>
          <w:szCs w:val="21"/>
        </w:rPr>
        <w:t>。否则，愿承担相应的后果和法律责任。</w:t>
      </w:r>
    </w:p>
    <w:p w14:paraId="1CB980A7">
      <w:pPr>
        <w:snapToGrid w:val="0"/>
        <w:spacing w:line="360" w:lineRule="auto"/>
        <w:ind w:firstLine="420"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5、我方尊重评标小组所作的评定结果，同时也清楚理解到投标报价最低并非意味着必定获得中标资格。</w:t>
      </w:r>
    </w:p>
    <w:p w14:paraId="231E6031">
      <w:pPr>
        <w:snapToGrid w:val="0"/>
        <w:spacing w:line="360" w:lineRule="auto"/>
        <w:ind w:firstLine="420"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6、我方愿意按招标文件的规定交纳投标保证金，并同意招标文件内“投标人须知”中关于投标保证金不予退还的规定。</w:t>
      </w:r>
    </w:p>
    <w:p w14:paraId="1E5FDD00">
      <w:pPr>
        <w:snapToGrid w:val="0"/>
        <w:spacing w:line="360" w:lineRule="auto"/>
        <w:ind w:firstLine="420"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7、如果我方中标，我方愿意按招标文件的规定支付评委评审费；</w:t>
      </w:r>
    </w:p>
    <w:p w14:paraId="3FA98D62">
      <w:pPr>
        <w:snapToGrid w:val="0"/>
        <w:spacing w:line="360" w:lineRule="auto"/>
        <w:ind w:firstLine="420"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 xml:space="preserve">8、一旦我方中标，我方将根据招标文件的规定，严格履行招标文件中规定的每一项要求，按期、按质、按量履行合同的义务。 </w:t>
      </w:r>
    </w:p>
    <w:p w14:paraId="4F1DEA15">
      <w:pPr>
        <w:snapToGrid w:val="0"/>
        <w:spacing w:line="360" w:lineRule="auto"/>
        <w:ind w:firstLine="2100" w:firstLineChars="1000"/>
        <w:jc w:val="center"/>
        <w:rPr>
          <w:rFonts w:hint="eastAsia" w:ascii="宋体" w:hAnsi="宋体" w:eastAsia="宋体" w:cs="宋体"/>
          <w:color w:val="auto"/>
          <w:spacing w:val="0"/>
          <w:szCs w:val="21"/>
        </w:rPr>
      </w:pPr>
      <w:r>
        <w:rPr>
          <w:rFonts w:hint="eastAsia" w:ascii="宋体" w:hAnsi="宋体" w:eastAsia="宋体" w:cs="宋体"/>
          <w:color w:val="auto"/>
          <w:spacing w:val="0"/>
          <w:szCs w:val="21"/>
        </w:rPr>
        <w:t xml:space="preserve">  </w:t>
      </w:r>
    </w:p>
    <w:p w14:paraId="6283C2A1">
      <w:pPr>
        <w:snapToGrid w:val="0"/>
        <w:spacing w:line="360" w:lineRule="auto"/>
        <w:ind w:firstLine="420" w:firstLineChars="200"/>
        <w:jc w:val="center"/>
        <w:rPr>
          <w:rFonts w:hint="eastAsia" w:ascii="宋体" w:hAnsi="宋体" w:eastAsia="宋体" w:cs="宋体"/>
          <w:color w:val="auto"/>
          <w:spacing w:val="0"/>
        </w:rPr>
      </w:pPr>
      <w:r>
        <w:rPr>
          <w:rFonts w:hint="eastAsia" w:ascii="宋体" w:hAnsi="宋体" w:eastAsia="宋体" w:cs="宋体"/>
          <w:color w:val="auto"/>
          <w:spacing w:val="0"/>
          <w:szCs w:val="21"/>
        </w:rPr>
        <w:t xml:space="preserve">   </w:t>
      </w:r>
      <w:r>
        <w:rPr>
          <w:rFonts w:hint="eastAsia" w:ascii="宋体" w:hAnsi="宋体" w:eastAsia="宋体" w:cs="宋体"/>
          <w:color w:val="auto"/>
          <w:spacing w:val="0"/>
          <w:sz w:val="18"/>
          <w:szCs w:val="21"/>
        </w:rPr>
        <w:t xml:space="preserve"> </w:t>
      </w:r>
      <w:r>
        <w:rPr>
          <w:rFonts w:hint="eastAsia" w:ascii="宋体" w:hAnsi="宋体" w:eastAsia="宋体" w:cs="宋体"/>
          <w:color w:val="auto"/>
          <w:spacing w:val="0"/>
        </w:rPr>
        <w:t>投标人：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（加盖公章）</w:t>
      </w:r>
    </w:p>
    <w:p w14:paraId="7903D172">
      <w:pPr>
        <w:snapToGrid w:val="0"/>
        <w:spacing w:line="360" w:lineRule="auto"/>
        <w:ind w:firstLine="420" w:firstLineChars="200"/>
        <w:jc w:val="center"/>
        <w:rPr>
          <w:rFonts w:hint="eastAsia" w:ascii="宋体" w:hAnsi="宋体" w:eastAsia="宋体" w:cs="宋体"/>
          <w:color w:val="auto"/>
          <w:spacing w:val="0"/>
        </w:rPr>
      </w:pPr>
      <w:r>
        <w:rPr>
          <w:rFonts w:hint="eastAsia" w:ascii="宋体" w:hAnsi="宋体" w:eastAsia="宋体" w:cs="宋体"/>
          <w:color w:val="auto"/>
          <w:spacing w:val="0"/>
        </w:rPr>
        <w:t xml:space="preserve">        法定代表人或被授权人：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（签字或盖章）</w:t>
      </w:r>
    </w:p>
    <w:p w14:paraId="31382275">
      <w:pPr>
        <w:snapToGrid w:val="0"/>
        <w:spacing w:line="360" w:lineRule="auto"/>
        <w:ind w:firstLine="2940" w:firstLineChars="1400"/>
        <w:rPr>
          <w:rFonts w:hint="eastAsia" w:ascii="宋体" w:hAnsi="宋体" w:eastAsia="宋体" w:cs="宋体"/>
          <w:b/>
          <w:color w:val="auto"/>
          <w:spacing w:val="0"/>
          <w:sz w:val="28"/>
          <w:szCs w:val="28"/>
        </w:rPr>
      </w:pPr>
      <w:r>
        <w:rPr>
          <w:rFonts w:hint="eastAsia" w:ascii="宋体" w:hAnsi="宋体" w:eastAsia="宋体" w:cs="宋体"/>
          <w:color w:val="auto"/>
          <w:spacing w:val="0"/>
        </w:rPr>
        <w:t>日  期：   年   月   日</w:t>
      </w:r>
      <w:r>
        <w:rPr>
          <w:rFonts w:hint="eastAsia" w:ascii="宋体" w:hAnsi="宋体" w:eastAsia="宋体" w:cs="宋体"/>
          <w:b/>
          <w:bCs/>
          <w:color w:val="auto"/>
          <w:spacing w:val="0"/>
          <w:sz w:val="28"/>
          <w:szCs w:val="28"/>
        </w:rPr>
        <w:br w:type="page"/>
      </w:r>
      <w:bookmarkEnd w:id="35"/>
      <w:r>
        <w:rPr>
          <w:rFonts w:hint="eastAsia" w:ascii="宋体" w:hAnsi="宋体" w:eastAsia="宋体" w:cs="宋体"/>
          <w:b/>
          <w:bCs/>
          <w:color w:val="auto"/>
          <w:spacing w:val="0"/>
          <w:sz w:val="28"/>
          <w:szCs w:val="28"/>
        </w:rPr>
        <w:t>三、商务标相关的格式文件及表格</w:t>
      </w:r>
    </w:p>
    <w:p w14:paraId="23317AEE">
      <w:pPr>
        <w:snapToGrid w:val="0"/>
        <w:spacing w:line="520" w:lineRule="exact"/>
        <w:jc w:val="center"/>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1、投标报价总表</w:t>
      </w:r>
    </w:p>
    <w:p w14:paraId="31B9C118">
      <w:pPr>
        <w:pStyle w:val="5"/>
        <w:rPr>
          <w:rFonts w:hint="eastAsia" w:ascii="宋体" w:hAnsi="宋体" w:eastAsia="宋体" w:cs="宋体"/>
          <w:color w:val="auto"/>
          <w:spacing w:val="0"/>
        </w:rPr>
      </w:pPr>
    </w:p>
    <w:tbl>
      <w:tblPr>
        <w:tblStyle w:val="16"/>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tblGrid>
      <w:tr w14:paraId="3E66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noWrap w:val="0"/>
            <w:vAlign w:val="center"/>
          </w:tcPr>
          <w:p w14:paraId="7587DE2E">
            <w:pPr>
              <w:adjustRightInd w:val="0"/>
              <w:snapToGrid w:val="0"/>
              <w:spacing w:line="360" w:lineRule="auto"/>
              <w:ind w:left="1133" w:hanging="1132" w:hangingChars="472"/>
              <w:jc w:val="center"/>
              <w:rPr>
                <w:rFonts w:hint="eastAsia" w:ascii="宋体" w:hAnsi="宋体" w:eastAsia="宋体" w:cs="宋体"/>
                <w:color w:val="auto"/>
                <w:spacing w:val="0"/>
                <w:sz w:val="24"/>
              </w:rPr>
            </w:pPr>
            <w:r>
              <w:rPr>
                <w:rFonts w:hint="eastAsia" w:ascii="宋体" w:hAnsi="宋体" w:eastAsia="宋体" w:cs="宋体"/>
                <w:color w:val="auto"/>
                <w:spacing w:val="0"/>
                <w:sz w:val="24"/>
              </w:rPr>
              <w:t>项目名称</w:t>
            </w:r>
          </w:p>
        </w:tc>
        <w:tc>
          <w:tcPr>
            <w:tcW w:w="8079" w:type="dxa"/>
            <w:noWrap w:val="0"/>
            <w:vAlign w:val="center"/>
          </w:tcPr>
          <w:p w14:paraId="78FD8A15">
            <w:pPr>
              <w:adjustRightInd w:val="0"/>
              <w:snapToGrid w:val="0"/>
              <w:spacing w:line="360" w:lineRule="auto"/>
              <w:ind w:left="991" w:hanging="991" w:hangingChars="472"/>
              <w:jc w:val="center"/>
              <w:rPr>
                <w:rFonts w:hint="eastAsia" w:ascii="宋体" w:hAnsi="宋体" w:eastAsia="宋体" w:cs="宋体"/>
                <w:color w:val="auto"/>
                <w:spacing w:val="0"/>
              </w:rPr>
            </w:pPr>
          </w:p>
        </w:tc>
      </w:tr>
      <w:tr w14:paraId="0917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560" w:type="dxa"/>
            <w:noWrap w:val="0"/>
            <w:vAlign w:val="center"/>
          </w:tcPr>
          <w:p w14:paraId="679600C3">
            <w:pPr>
              <w:snapToGrid w:val="0"/>
              <w:spacing w:line="420" w:lineRule="exact"/>
              <w:ind w:left="1133" w:hanging="1132" w:hangingChars="472"/>
              <w:jc w:val="center"/>
              <w:rPr>
                <w:rFonts w:hint="eastAsia" w:ascii="宋体" w:hAnsi="宋体" w:eastAsia="宋体" w:cs="宋体"/>
                <w:color w:val="auto"/>
                <w:spacing w:val="0"/>
                <w:sz w:val="24"/>
              </w:rPr>
            </w:pPr>
            <w:r>
              <w:rPr>
                <w:rFonts w:hint="eastAsia" w:ascii="宋体" w:hAnsi="宋体" w:eastAsia="宋体" w:cs="宋体"/>
                <w:color w:val="auto"/>
                <w:spacing w:val="0"/>
                <w:sz w:val="24"/>
              </w:rPr>
              <w:t>投标总价</w:t>
            </w:r>
          </w:p>
        </w:tc>
        <w:tc>
          <w:tcPr>
            <w:tcW w:w="8079" w:type="dxa"/>
            <w:noWrap w:val="0"/>
            <w:vAlign w:val="center"/>
          </w:tcPr>
          <w:p w14:paraId="0E3F8E80">
            <w:pPr>
              <w:snapToGrid w:val="0"/>
              <w:spacing w:line="420" w:lineRule="exact"/>
              <w:rPr>
                <w:rFonts w:hint="eastAsia" w:ascii="宋体" w:hAnsi="宋体" w:eastAsia="宋体" w:cs="宋体"/>
                <w:color w:val="auto"/>
                <w:spacing w:val="0"/>
                <w:sz w:val="24"/>
              </w:rPr>
            </w:pPr>
            <w:r>
              <w:rPr>
                <w:rFonts w:hint="eastAsia" w:ascii="宋体" w:hAnsi="宋体" w:eastAsia="宋体" w:cs="宋体"/>
                <w:color w:val="auto"/>
                <w:spacing w:val="0"/>
                <w:sz w:val="24"/>
              </w:rPr>
              <w:t>大写：</w:t>
            </w:r>
            <w:r>
              <w:rPr>
                <w:rFonts w:hint="eastAsia" w:ascii="宋体" w:hAnsi="宋体" w:eastAsia="宋体" w:cs="宋体"/>
                <w:snapToGrid w:val="0"/>
                <w:color w:val="auto"/>
                <w:spacing w:val="0"/>
                <w:sz w:val="24"/>
              </w:rPr>
              <w:t>人民币</w:t>
            </w:r>
            <w:r>
              <w:rPr>
                <w:rFonts w:hint="eastAsia" w:ascii="宋体" w:hAnsi="宋体" w:eastAsia="宋体" w:cs="宋体"/>
                <w:snapToGrid w:val="0"/>
                <w:color w:val="auto"/>
                <w:spacing w:val="0"/>
                <w:sz w:val="24"/>
                <w:u w:val="single"/>
              </w:rPr>
              <w:t xml:space="preserve">                </w:t>
            </w:r>
            <w:r>
              <w:rPr>
                <w:rFonts w:hint="eastAsia" w:ascii="宋体" w:hAnsi="宋体" w:eastAsia="宋体" w:cs="宋体"/>
                <w:snapToGrid w:val="0"/>
                <w:color w:val="auto"/>
                <w:spacing w:val="0"/>
                <w:sz w:val="24"/>
              </w:rPr>
              <w:t>。</w:t>
            </w:r>
            <w:r>
              <w:rPr>
                <w:rFonts w:hint="eastAsia" w:ascii="宋体" w:hAnsi="宋体" w:eastAsia="宋体" w:cs="宋体"/>
                <w:color w:val="auto"/>
                <w:spacing w:val="0"/>
                <w:sz w:val="24"/>
              </w:rPr>
              <w:t xml:space="preserve"> </w:t>
            </w:r>
          </w:p>
          <w:p w14:paraId="75DC4C95">
            <w:pPr>
              <w:snapToGrid w:val="0"/>
              <w:spacing w:line="420" w:lineRule="exact"/>
              <w:ind w:left="1133" w:hanging="1132" w:hangingChars="472"/>
              <w:jc w:val="left"/>
              <w:rPr>
                <w:rFonts w:hint="eastAsia" w:ascii="宋体" w:hAnsi="宋体" w:eastAsia="宋体" w:cs="宋体"/>
                <w:color w:val="auto"/>
                <w:spacing w:val="0"/>
                <w:sz w:val="24"/>
              </w:rPr>
            </w:pPr>
            <w:r>
              <w:rPr>
                <w:rFonts w:hint="eastAsia" w:ascii="宋体" w:hAnsi="宋体" w:eastAsia="宋体" w:cs="宋体"/>
                <w:color w:val="auto"/>
                <w:spacing w:val="0"/>
                <w:sz w:val="24"/>
              </w:rPr>
              <w:t>小写：¥</w:t>
            </w:r>
            <w:r>
              <w:rPr>
                <w:rFonts w:hint="eastAsia" w:ascii="宋体" w:hAnsi="宋体" w:eastAsia="宋体" w:cs="宋体"/>
                <w:color w:val="auto"/>
                <w:spacing w:val="0"/>
                <w:sz w:val="24"/>
                <w:u w:val="single"/>
              </w:rPr>
              <w:t xml:space="preserve">                 元。</w:t>
            </w:r>
          </w:p>
        </w:tc>
      </w:tr>
      <w:tr w14:paraId="1704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0" w:type="dxa"/>
            <w:tcBorders>
              <w:bottom w:val="double" w:color="auto" w:sz="4" w:space="0"/>
            </w:tcBorders>
            <w:noWrap w:val="0"/>
            <w:vAlign w:val="center"/>
          </w:tcPr>
          <w:p w14:paraId="1D16470F">
            <w:pPr>
              <w:snapToGrid w:val="0"/>
              <w:spacing w:line="420" w:lineRule="exact"/>
              <w:ind w:left="1133" w:hanging="1132" w:hangingChars="472"/>
              <w:jc w:val="center"/>
              <w:rPr>
                <w:rFonts w:hint="eastAsia" w:ascii="宋体" w:hAnsi="宋体" w:eastAsia="宋体" w:cs="宋体"/>
                <w:color w:val="auto"/>
                <w:spacing w:val="0"/>
                <w:sz w:val="24"/>
              </w:rPr>
            </w:pPr>
            <w:r>
              <w:rPr>
                <w:rFonts w:hint="eastAsia" w:ascii="宋体" w:hAnsi="宋体" w:eastAsia="宋体" w:cs="宋体"/>
                <w:color w:val="auto"/>
                <w:spacing w:val="0"/>
                <w:sz w:val="24"/>
              </w:rPr>
              <w:t>付款条件</w:t>
            </w:r>
          </w:p>
        </w:tc>
        <w:tc>
          <w:tcPr>
            <w:tcW w:w="8079" w:type="dxa"/>
            <w:tcBorders>
              <w:bottom w:val="double" w:color="auto" w:sz="4" w:space="0"/>
            </w:tcBorders>
            <w:noWrap w:val="0"/>
            <w:vAlign w:val="center"/>
          </w:tcPr>
          <w:p w14:paraId="3D9EDCDD">
            <w:pPr>
              <w:snapToGrid w:val="0"/>
              <w:spacing w:line="420" w:lineRule="exact"/>
              <w:ind w:left="1133" w:hanging="1132" w:hangingChars="472"/>
              <w:jc w:val="center"/>
              <w:rPr>
                <w:rFonts w:hint="eastAsia" w:ascii="宋体" w:hAnsi="宋体" w:eastAsia="宋体" w:cs="宋体"/>
                <w:color w:val="auto"/>
                <w:spacing w:val="0"/>
                <w:sz w:val="24"/>
              </w:rPr>
            </w:pPr>
            <w:r>
              <w:rPr>
                <w:rFonts w:hint="eastAsia" w:ascii="宋体" w:hAnsi="宋体" w:eastAsia="宋体" w:cs="宋体"/>
                <w:color w:val="auto"/>
                <w:spacing w:val="0"/>
                <w:sz w:val="24"/>
              </w:rPr>
              <w:t>完全接受并响应本项目招标文件的要求。</w:t>
            </w:r>
          </w:p>
        </w:tc>
      </w:tr>
    </w:tbl>
    <w:p w14:paraId="6CABD35D">
      <w:pPr>
        <w:kinsoku w:val="0"/>
        <w:topLinePunct/>
        <w:spacing w:line="360" w:lineRule="exact"/>
        <w:rPr>
          <w:rFonts w:hint="eastAsia" w:ascii="宋体" w:hAnsi="宋体" w:eastAsia="宋体" w:cs="宋体"/>
          <w:color w:val="auto"/>
          <w:spacing w:val="0"/>
          <w:sz w:val="24"/>
        </w:rPr>
      </w:pPr>
    </w:p>
    <w:p w14:paraId="791A9F8F">
      <w:pPr>
        <w:snapToGrid w:val="0"/>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投标人：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（加盖公章）</w:t>
      </w:r>
    </w:p>
    <w:p w14:paraId="146CA067">
      <w:pPr>
        <w:snapToGrid w:val="0"/>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法定代表人或被授权人：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（签字或盖章）</w:t>
      </w:r>
    </w:p>
    <w:p w14:paraId="46A8E438">
      <w:pPr>
        <w:kinsoku w:val="0"/>
        <w:topLinePunct/>
        <w:snapToGrid w:val="0"/>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日  期：   年  月  日</w:t>
      </w:r>
    </w:p>
    <w:p w14:paraId="3AE243B6">
      <w:pPr>
        <w:pStyle w:val="5"/>
        <w:rPr>
          <w:rFonts w:hint="eastAsia" w:ascii="宋体" w:hAnsi="宋体" w:eastAsia="宋体" w:cs="宋体"/>
          <w:color w:val="auto"/>
          <w:spacing w:val="0"/>
          <w:sz w:val="24"/>
        </w:rPr>
      </w:pPr>
    </w:p>
    <w:p w14:paraId="5D07B6BD">
      <w:pPr>
        <w:snapToGrid w:val="0"/>
        <w:spacing w:line="360" w:lineRule="auto"/>
        <w:ind w:firstLine="496" w:firstLineChars="206"/>
        <w:rPr>
          <w:rFonts w:hint="eastAsia" w:ascii="宋体" w:hAnsi="宋体" w:eastAsia="宋体" w:cs="宋体"/>
          <w:b/>
          <w:color w:val="auto"/>
          <w:spacing w:val="0"/>
          <w:sz w:val="24"/>
        </w:rPr>
      </w:pPr>
      <w:r>
        <w:rPr>
          <w:rFonts w:hint="eastAsia" w:ascii="宋体" w:hAnsi="宋体" w:eastAsia="宋体" w:cs="宋体"/>
          <w:b/>
          <w:color w:val="auto"/>
          <w:spacing w:val="0"/>
          <w:sz w:val="24"/>
        </w:rPr>
        <w:t>注：</w:t>
      </w:r>
    </w:p>
    <w:p w14:paraId="1D88A9C7">
      <w:pPr>
        <w:numPr>
          <w:ilvl w:val="0"/>
          <w:numId w:val="3"/>
        </w:numPr>
        <w:snapToGrid w:val="0"/>
        <w:spacing w:line="360" w:lineRule="auto"/>
        <w:ind w:firstLine="496" w:firstLineChars="206"/>
        <w:rPr>
          <w:rFonts w:hint="eastAsia" w:ascii="宋体" w:hAnsi="宋体" w:eastAsia="宋体" w:cs="宋体"/>
          <w:color w:val="auto"/>
          <w:spacing w:val="0"/>
        </w:rPr>
      </w:pPr>
      <w:r>
        <w:rPr>
          <w:rFonts w:hint="eastAsia" w:ascii="宋体" w:hAnsi="宋体" w:eastAsia="宋体" w:cs="宋体"/>
          <w:b/>
          <w:bCs/>
          <w:color w:val="auto"/>
          <w:spacing w:val="0"/>
          <w:sz w:val="24"/>
          <w:u w:val="thick" w:color="FF0000"/>
        </w:rPr>
        <w:t>本表为格式表，不得更改，但可以扩展。必须提供。</w:t>
      </w:r>
    </w:p>
    <w:p w14:paraId="7D31AA45">
      <w:pPr>
        <w:snapToGrid w:val="0"/>
        <w:spacing w:line="360" w:lineRule="auto"/>
        <w:ind w:firstLine="480" w:firstLineChars="200"/>
        <w:rPr>
          <w:rFonts w:hint="eastAsia" w:ascii="宋体" w:hAnsi="宋体" w:eastAsia="宋体" w:cs="宋体"/>
          <w:color w:val="auto"/>
          <w:spacing w:val="0"/>
        </w:rPr>
      </w:pPr>
      <w:r>
        <w:rPr>
          <w:rFonts w:hint="eastAsia" w:ascii="宋体" w:hAnsi="宋体" w:eastAsia="宋体" w:cs="宋体"/>
          <w:color w:val="auto"/>
          <w:spacing w:val="0"/>
          <w:sz w:val="24"/>
        </w:rPr>
        <w:t>2、投标报价</w:t>
      </w:r>
      <w:r>
        <w:rPr>
          <w:rFonts w:hint="eastAsia" w:ascii="宋体" w:hAnsi="宋体" w:eastAsia="宋体" w:cs="宋体"/>
          <w:snapToGrid w:val="0"/>
          <w:color w:val="auto"/>
          <w:spacing w:val="0"/>
          <w:sz w:val="24"/>
        </w:rPr>
        <w:t>包含招标文件所确定的全部内容，以及为完成上述内容在合同履行过程中可能发生的风险及所需的全部费用。投标报价</w:t>
      </w:r>
      <w:r>
        <w:rPr>
          <w:rFonts w:hint="eastAsia" w:ascii="宋体" w:hAnsi="宋体" w:eastAsia="宋体" w:cs="宋体"/>
          <w:color w:val="auto"/>
          <w:spacing w:val="0"/>
          <w:sz w:val="24"/>
        </w:rPr>
        <w:t>应包括但不限于：所有人员开支费用(包括人员工资、社保、保险费、餐费、补贴费、加班费、福利等所有费用)、专用设备及其备品、备件、易耗品耗材、通讯和专用工具费用、税费、运输、保险、技术支持与培训、售后服务及相关劳务支出等工作所发生的全部费用以及投标人企业利润、税金和政策性文件规定及合同包含的所有风险、责任，即响应本项目的各项应有费用。各投标人应根据招标文件要求，并充分考虑市场，自行核算成本报价。</w:t>
      </w:r>
    </w:p>
    <w:p w14:paraId="7334F2EA">
      <w:pPr>
        <w:snapToGrid w:val="0"/>
        <w:spacing w:line="360" w:lineRule="auto"/>
        <w:ind w:firstLine="494" w:firstLineChars="206"/>
        <w:rPr>
          <w:rFonts w:hint="eastAsia" w:ascii="宋体" w:hAnsi="宋体" w:eastAsia="宋体" w:cs="宋体"/>
          <w:bCs/>
          <w:color w:val="auto"/>
          <w:spacing w:val="0"/>
          <w:sz w:val="24"/>
        </w:rPr>
      </w:pPr>
    </w:p>
    <w:p w14:paraId="1D3A10C5">
      <w:pPr>
        <w:snapToGrid w:val="0"/>
        <w:spacing w:line="360" w:lineRule="auto"/>
        <w:ind w:firstLine="494" w:firstLineChars="206"/>
        <w:rPr>
          <w:rFonts w:hint="eastAsia" w:ascii="宋体" w:hAnsi="宋体" w:eastAsia="宋体" w:cs="宋体"/>
          <w:bCs/>
          <w:color w:val="auto"/>
          <w:spacing w:val="0"/>
          <w:sz w:val="24"/>
        </w:rPr>
        <w:sectPr>
          <w:headerReference r:id="rId4" w:type="default"/>
          <w:footerReference r:id="rId5" w:type="default"/>
          <w:pgSz w:w="11906" w:h="16838"/>
          <w:pgMar w:top="1247" w:right="1247" w:bottom="1247" w:left="1247" w:header="851" w:footer="629" w:gutter="0"/>
          <w:pgNumType w:fmt="decimal"/>
          <w:cols w:space="720" w:num="1"/>
          <w:docGrid w:type="lines" w:linePitch="312" w:charSpace="0"/>
        </w:sectPr>
      </w:pPr>
    </w:p>
    <w:p w14:paraId="4B85F75A">
      <w:pPr>
        <w:pStyle w:val="5"/>
        <w:jc w:val="center"/>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2、投标报价明细表</w:t>
      </w:r>
    </w:p>
    <w:tbl>
      <w:tblPr>
        <w:tblStyle w:val="16"/>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
        <w:gridCol w:w="1585"/>
        <w:gridCol w:w="886"/>
        <w:gridCol w:w="2257"/>
        <w:gridCol w:w="2885"/>
        <w:gridCol w:w="771"/>
      </w:tblGrid>
      <w:tr w14:paraId="550A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972" w:type="dxa"/>
            <w:noWrap w:val="0"/>
            <w:vAlign w:val="center"/>
          </w:tcPr>
          <w:p w14:paraId="6D667B80">
            <w:pPr>
              <w:jc w:val="center"/>
              <w:rPr>
                <w:rFonts w:hint="eastAsia" w:ascii="宋体" w:hAnsi="宋体" w:eastAsia="宋体" w:cs="宋体"/>
                <w:b/>
                <w:color w:val="auto"/>
                <w:spacing w:val="0"/>
                <w:sz w:val="22"/>
                <w:szCs w:val="22"/>
              </w:rPr>
            </w:pPr>
            <w:r>
              <w:rPr>
                <w:rFonts w:hint="eastAsia" w:ascii="宋体" w:hAnsi="宋体" w:eastAsia="宋体" w:cs="宋体"/>
                <w:b/>
                <w:color w:val="auto"/>
                <w:spacing w:val="0"/>
                <w:sz w:val="22"/>
                <w:szCs w:val="22"/>
              </w:rPr>
              <w:t>序号</w:t>
            </w:r>
          </w:p>
        </w:tc>
        <w:tc>
          <w:tcPr>
            <w:tcW w:w="1585" w:type="dxa"/>
            <w:noWrap w:val="0"/>
            <w:vAlign w:val="center"/>
          </w:tcPr>
          <w:p w14:paraId="6A904FD3">
            <w:pPr>
              <w:jc w:val="center"/>
              <w:rPr>
                <w:rFonts w:hint="eastAsia" w:ascii="宋体" w:hAnsi="宋体" w:eastAsia="宋体" w:cs="宋体"/>
                <w:b/>
                <w:color w:val="auto"/>
                <w:spacing w:val="0"/>
                <w:sz w:val="22"/>
                <w:szCs w:val="22"/>
              </w:rPr>
            </w:pPr>
            <w:r>
              <w:rPr>
                <w:rFonts w:hint="eastAsia" w:ascii="宋体" w:hAnsi="宋体" w:eastAsia="宋体" w:cs="宋体"/>
                <w:b/>
                <w:color w:val="auto"/>
                <w:spacing w:val="0"/>
                <w:sz w:val="22"/>
                <w:szCs w:val="22"/>
              </w:rPr>
              <w:t>项目</w:t>
            </w:r>
          </w:p>
        </w:tc>
        <w:tc>
          <w:tcPr>
            <w:tcW w:w="886" w:type="dxa"/>
            <w:noWrap w:val="0"/>
            <w:vAlign w:val="center"/>
          </w:tcPr>
          <w:p w14:paraId="139FD218">
            <w:pPr>
              <w:jc w:val="center"/>
              <w:rPr>
                <w:rFonts w:hint="eastAsia" w:ascii="宋体" w:hAnsi="宋体" w:eastAsia="宋体" w:cs="宋体"/>
                <w:b/>
                <w:color w:val="auto"/>
                <w:spacing w:val="0"/>
                <w:sz w:val="22"/>
                <w:szCs w:val="22"/>
              </w:rPr>
            </w:pPr>
            <w:r>
              <w:rPr>
                <w:rFonts w:hint="eastAsia" w:ascii="宋体" w:hAnsi="宋体" w:eastAsia="宋体" w:cs="宋体"/>
                <w:b/>
                <w:color w:val="auto"/>
                <w:spacing w:val="0"/>
                <w:sz w:val="22"/>
                <w:szCs w:val="22"/>
              </w:rPr>
              <w:t>数量</w:t>
            </w:r>
          </w:p>
        </w:tc>
        <w:tc>
          <w:tcPr>
            <w:tcW w:w="2257" w:type="dxa"/>
            <w:noWrap w:val="0"/>
            <w:vAlign w:val="center"/>
          </w:tcPr>
          <w:p w14:paraId="749EC8F0">
            <w:pPr>
              <w:jc w:val="center"/>
              <w:rPr>
                <w:rFonts w:hint="eastAsia" w:ascii="宋体" w:hAnsi="宋体" w:eastAsia="宋体" w:cs="宋体"/>
                <w:b/>
                <w:color w:val="auto"/>
                <w:spacing w:val="0"/>
                <w:sz w:val="22"/>
                <w:szCs w:val="22"/>
                <w:lang w:eastAsia="zh-CN"/>
              </w:rPr>
            </w:pPr>
            <w:r>
              <w:rPr>
                <w:rFonts w:hint="eastAsia" w:ascii="宋体" w:hAnsi="宋体" w:eastAsia="宋体" w:cs="宋体"/>
                <w:b/>
                <w:color w:val="auto"/>
                <w:spacing w:val="0"/>
                <w:sz w:val="22"/>
                <w:szCs w:val="22"/>
              </w:rPr>
              <w:t>月</w:t>
            </w:r>
            <w:r>
              <w:rPr>
                <w:rFonts w:hint="eastAsia" w:ascii="宋体" w:hAnsi="宋体" w:eastAsia="宋体" w:cs="宋体"/>
                <w:b/>
                <w:color w:val="auto"/>
                <w:spacing w:val="0"/>
                <w:sz w:val="22"/>
                <w:szCs w:val="22"/>
                <w:highlight w:val="none"/>
              </w:rPr>
              <w:t>薪</w:t>
            </w:r>
            <w:r>
              <w:rPr>
                <w:rFonts w:hint="eastAsia" w:ascii="宋体" w:hAnsi="宋体" w:eastAsia="宋体" w:cs="宋体"/>
                <w:b/>
                <w:color w:val="auto"/>
                <w:spacing w:val="0"/>
                <w:sz w:val="22"/>
                <w:szCs w:val="22"/>
                <w:highlight w:val="none"/>
                <w:lang w:val="en-US" w:eastAsia="zh-CN"/>
              </w:rPr>
              <w:t>[元/人]</w:t>
            </w:r>
          </w:p>
        </w:tc>
        <w:tc>
          <w:tcPr>
            <w:tcW w:w="2885" w:type="dxa"/>
            <w:noWrap w:val="0"/>
            <w:vAlign w:val="center"/>
          </w:tcPr>
          <w:p w14:paraId="69E66FDA">
            <w:pPr>
              <w:jc w:val="center"/>
              <w:rPr>
                <w:rFonts w:hint="eastAsia" w:ascii="宋体" w:hAnsi="宋体" w:eastAsia="宋体" w:cs="宋体"/>
                <w:b/>
                <w:color w:val="auto"/>
                <w:spacing w:val="0"/>
                <w:sz w:val="22"/>
                <w:szCs w:val="22"/>
              </w:rPr>
            </w:pPr>
            <w:r>
              <w:rPr>
                <w:rFonts w:hint="eastAsia" w:ascii="宋体" w:hAnsi="宋体" w:eastAsia="宋体" w:cs="宋体"/>
                <w:b/>
                <w:color w:val="auto"/>
                <w:spacing w:val="0"/>
                <w:sz w:val="22"/>
                <w:szCs w:val="22"/>
              </w:rPr>
              <w:t>12个月</w:t>
            </w:r>
            <w:r>
              <w:rPr>
                <w:rFonts w:hint="eastAsia" w:ascii="宋体" w:hAnsi="宋体" w:eastAsia="宋体" w:cs="宋体"/>
                <w:b/>
                <w:color w:val="auto"/>
                <w:spacing w:val="0"/>
                <w:sz w:val="22"/>
                <w:szCs w:val="22"/>
                <w:lang w:val="en-US" w:eastAsia="zh-CN"/>
              </w:rPr>
              <w:t>小计</w:t>
            </w:r>
            <w:r>
              <w:rPr>
                <w:rFonts w:hint="eastAsia" w:ascii="宋体" w:hAnsi="宋体" w:eastAsia="宋体" w:cs="宋体"/>
                <w:b/>
                <w:color w:val="auto"/>
                <w:spacing w:val="0"/>
                <w:sz w:val="22"/>
                <w:szCs w:val="22"/>
              </w:rPr>
              <w:t>费用</w:t>
            </w:r>
          </w:p>
          <w:p w14:paraId="22DB3377">
            <w:pPr>
              <w:jc w:val="center"/>
              <w:rPr>
                <w:rFonts w:hint="eastAsia" w:ascii="宋体" w:hAnsi="宋体" w:eastAsia="宋体" w:cs="宋体"/>
                <w:b/>
                <w:color w:val="auto"/>
                <w:spacing w:val="0"/>
                <w:sz w:val="22"/>
                <w:szCs w:val="22"/>
                <w:lang w:eastAsia="zh-CN"/>
              </w:rPr>
            </w:pPr>
            <w:r>
              <w:rPr>
                <w:rFonts w:hint="eastAsia" w:ascii="宋体" w:hAnsi="宋体" w:eastAsia="宋体" w:cs="宋体"/>
                <w:b/>
                <w:color w:val="auto"/>
                <w:spacing w:val="0"/>
                <w:sz w:val="22"/>
                <w:szCs w:val="22"/>
                <w:highlight w:val="none"/>
                <w:lang w:val="en-US" w:eastAsia="zh-CN"/>
              </w:rPr>
              <w:t>[</w:t>
            </w:r>
            <w:r>
              <w:rPr>
                <w:rFonts w:hint="eastAsia" w:ascii="宋体" w:hAnsi="宋体" w:eastAsia="宋体" w:cs="宋体"/>
                <w:b/>
                <w:color w:val="auto"/>
                <w:spacing w:val="0"/>
                <w:sz w:val="22"/>
                <w:szCs w:val="22"/>
                <w:lang w:val="en-US" w:eastAsia="zh-CN"/>
              </w:rPr>
              <w:t>元，月薪*12*人数</w:t>
            </w:r>
            <w:r>
              <w:rPr>
                <w:rFonts w:hint="eastAsia" w:ascii="宋体" w:hAnsi="宋体" w:eastAsia="宋体" w:cs="宋体"/>
                <w:b/>
                <w:color w:val="auto"/>
                <w:spacing w:val="0"/>
                <w:sz w:val="22"/>
                <w:szCs w:val="22"/>
                <w:highlight w:val="none"/>
                <w:lang w:val="en-US" w:eastAsia="zh-CN"/>
              </w:rPr>
              <w:t>]</w:t>
            </w:r>
          </w:p>
        </w:tc>
        <w:tc>
          <w:tcPr>
            <w:tcW w:w="771" w:type="dxa"/>
            <w:noWrap w:val="0"/>
            <w:vAlign w:val="center"/>
          </w:tcPr>
          <w:p w14:paraId="4B6BE1C7">
            <w:pPr>
              <w:jc w:val="center"/>
              <w:rPr>
                <w:rFonts w:hint="eastAsia" w:ascii="宋体" w:hAnsi="宋体" w:eastAsia="宋体" w:cs="宋体"/>
                <w:b/>
                <w:color w:val="auto"/>
                <w:spacing w:val="0"/>
                <w:sz w:val="22"/>
                <w:szCs w:val="22"/>
              </w:rPr>
            </w:pPr>
            <w:r>
              <w:rPr>
                <w:rFonts w:hint="eastAsia" w:ascii="宋体" w:hAnsi="宋体" w:eastAsia="宋体" w:cs="宋体"/>
                <w:b/>
                <w:color w:val="auto"/>
                <w:spacing w:val="0"/>
                <w:sz w:val="22"/>
                <w:szCs w:val="22"/>
              </w:rPr>
              <w:t>备注</w:t>
            </w:r>
          </w:p>
        </w:tc>
      </w:tr>
      <w:tr w14:paraId="34FDC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72" w:type="dxa"/>
            <w:noWrap w:val="0"/>
            <w:vAlign w:val="center"/>
          </w:tcPr>
          <w:p w14:paraId="423D2E34">
            <w:pPr>
              <w:jc w:val="center"/>
              <w:rPr>
                <w:rFonts w:hint="eastAsia" w:ascii="宋体" w:hAnsi="宋体" w:eastAsia="宋体" w:cs="宋体"/>
                <w:color w:val="auto"/>
                <w:spacing w:val="0"/>
                <w:sz w:val="24"/>
              </w:rPr>
            </w:pPr>
            <w:r>
              <w:rPr>
                <w:rFonts w:hint="eastAsia" w:ascii="宋体" w:hAnsi="宋体" w:eastAsia="宋体" w:cs="宋体"/>
                <w:color w:val="auto"/>
                <w:spacing w:val="0"/>
                <w:sz w:val="24"/>
              </w:rPr>
              <w:t>（一）</w:t>
            </w:r>
          </w:p>
        </w:tc>
        <w:tc>
          <w:tcPr>
            <w:tcW w:w="1585" w:type="dxa"/>
            <w:noWrap w:val="0"/>
            <w:vAlign w:val="center"/>
          </w:tcPr>
          <w:p w14:paraId="1F0B3F16">
            <w:pPr>
              <w:jc w:val="center"/>
              <w:rPr>
                <w:rFonts w:hint="eastAsia" w:ascii="宋体" w:hAnsi="宋体" w:eastAsia="宋体" w:cs="宋体"/>
                <w:color w:val="auto"/>
                <w:spacing w:val="0"/>
                <w:sz w:val="24"/>
              </w:rPr>
            </w:pPr>
            <w:r>
              <w:rPr>
                <w:rFonts w:hint="eastAsia" w:ascii="宋体" w:hAnsi="宋体" w:eastAsia="宋体" w:cs="宋体"/>
                <w:color w:val="auto"/>
                <w:spacing w:val="0"/>
                <w:sz w:val="24"/>
              </w:rPr>
              <w:t>保洁</w:t>
            </w:r>
          </w:p>
        </w:tc>
        <w:tc>
          <w:tcPr>
            <w:tcW w:w="886" w:type="dxa"/>
            <w:noWrap w:val="0"/>
            <w:vAlign w:val="center"/>
          </w:tcPr>
          <w:p w14:paraId="521EA0C3">
            <w:pPr>
              <w:jc w:val="center"/>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2人</w:t>
            </w:r>
          </w:p>
        </w:tc>
        <w:tc>
          <w:tcPr>
            <w:tcW w:w="2257" w:type="dxa"/>
            <w:noWrap w:val="0"/>
            <w:vAlign w:val="center"/>
          </w:tcPr>
          <w:p w14:paraId="79269963">
            <w:pPr>
              <w:jc w:val="center"/>
              <w:rPr>
                <w:rFonts w:hint="eastAsia" w:ascii="宋体" w:hAnsi="宋体" w:eastAsia="宋体" w:cs="宋体"/>
                <w:color w:val="auto"/>
                <w:spacing w:val="0"/>
                <w:sz w:val="24"/>
              </w:rPr>
            </w:pPr>
          </w:p>
        </w:tc>
        <w:tc>
          <w:tcPr>
            <w:tcW w:w="2885" w:type="dxa"/>
            <w:noWrap w:val="0"/>
            <w:vAlign w:val="center"/>
          </w:tcPr>
          <w:p w14:paraId="2EEF20CE">
            <w:pPr>
              <w:ind w:firstLine="120" w:firstLineChars="50"/>
              <w:jc w:val="center"/>
              <w:rPr>
                <w:rFonts w:hint="eastAsia" w:ascii="宋体" w:hAnsi="宋体" w:eastAsia="宋体" w:cs="宋体"/>
                <w:color w:val="auto"/>
                <w:spacing w:val="0"/>
                <w:sz w:val="24"/>
              </w:rPr>
            </w:pPr>
          </w:p>
        </w:tc>
        <w:tc>
          <w:tcPr>
            <w:tcW w:w="771" w:type="dxa"/>
            <w:noWrap w:val="0"/>
            <w:vAlign w:val="center"/>
          </w:tcPr>
          <w:p w14:paraId="0C2E2EA3">
            <w:pPr>
              <w:jc w:val="center"/>
              <w:rPr>
                <w:rFonts w:hint="eastAsia" w:ascii="宋体" w:hAnsi="宋体" w:eastAsia="宋体" w:cs="宋体"/>
                <w:color w:val="auto"/>
                <w:spacing w:val="0"/>
                <w:sz w:val="24"/>
              </w:rPr>
            </w:pPr>
          </w:p>
        </w:tc>
      </w:tr>
      <w:tr w14:paraId="6E6A8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72" w:type="dxa"/>
            <w:noWrap w:val="0"/>
            <w:vAlign w:val="center"/>
          </w:tcPr>
          <w:p w14:paraId="2380A5EF">
            <w:pPr>
              <w:jc w:val="center"/>
              <w:rPr>
                <w:rFonts w:hint="eastAsia" w:ascii="宋体" w:hAnsi="宋体" w:eastAsia="宋体" w:cs="宋体"/>
                <w:color w:val="auto"/>
                <w:spacing w:val="0"/>
                <w:sz w:val="24"/>
              </w:rPr>
            </w:pPr>
            <w:r>
              <w:rPr>
                <w:rFonts w:hint="eastAsia" w:ascii="宋体" w:hAnsi="宋体" w:eastAsia="宋体" w:cs="宋体"/>
                <w:color w:val="auto"/>
                <w:spacing w:val="0"/>
                <w:sz w:val="24"/>
              </w:rPr>
              <w:t>（二）</w:t>
            </w:r>
          </w:p>
        </w:tc>
        <w:tc>
          <w:tcPr>
            <w:tcW w:w="1585" w:type="dxa"/>
            <w:noWrap w:val="0"/>
            <w:vAlign w:val="center"/>
          </w:tcPr>
          <w:p w14:paraId="0C11CD7B">
            <w:pPr>
              <w:jc w:val="center"/>
              <w:rPr>
                <w:rFonts w:hint="eastAsia" w:ascii="宋体" w:hAnsi="宋体" w:eastAsia="宋体" w:cs="宋体"/>
                <w:color w:val="auto"/>
                <w:spacing w:val="0"/>
                <w:sz w:val="24"/>
              </w:rPr>
            </w:pPr>
            <w:r>
              <w:rPr>
                <w:rFonts w:hint="eastAsia" w:ascii="宋体" w:hAnsi="宋体" w:eastAsia="宋体" w:cs="宋体"/>
                <w:color w:val="auto"/>
                <w:spacing w:val="0"/>
                <w:sz w:val="24"/>
              </w:rPr>
              <w:t>保安</w:t>
            </w:r>
          </w:p>
        </w:tc>
        <w:tc>
          <w:tcPr>
            <w:tcW w:w="886" w:type="dxa"/>
            <w:noWrap w:val="0"/>
            <w:vAlign w:val="center"/>
          </w:tcPr>
          <w:p w14:paraId="41782C4C">
            <w:pPr>
              <w:jc w:val="center"/>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3人</w:t>
            </w:r>
          </w:p>
        </w:tc>
        <w:tc>
          <w:tcPr>
            <w:tcW w:w="2257" w:type="dxa"/>
            <w:noWrap w:val="0"/>
            <w:vAlign w:val="center"/>
          </w:tcPr>
          <w:p w14:paraId="5DE6F470">
            <w:pPr>
              <w:jc w:val="center"/>
              <w:rPr>
                <w:rFonts w:hint="eastAsia" w:ascii="宋体" w:hAnsi="宋体" w:eastAsia="宋体" w:cs="宋体"/>
                <w:color w:val="auto"/>
                <w:spacing w:val="0"/>
                <w:sz w:val="24"/>
              </w:rPr>
            </w:pPr>
          </w:p>
        </w:tc>
        <w:tc>
          <w:tcPr>
            <w:tcW w:w="2885" w:type="dxa"/>
            <w:noWrap w:val="0"/>
            <w:vAlign w:val="center"/>
          </w:tcPr>
          <w:p w14:paraId="4D73469B">
            <w:pPr>
              <w:ind w:firstLine="120" w:firstLineChars="50"/>
              <w:jc w:val="center"/>
              <w:rPr>
                <w:rFonts w:hint="eastAsia" w:ascii="宋体" w:hAnsi="宋体" w:eastAsia="宋体" w:cs="宋体"/>
                <w:color w:val="auto"/>
                <w:spacing w:val="0"/>
                <w:sz w:val="24"/>
              </w:rPr>
            </w:pPr>
          </w:p>
        </w:tc>
        <w:tc>
          <w:tcPr>
            <w:tcW w:w="771" w:type="dxa"/>
            <w:noWrap w:val="0"/>
            <w:vAlign w:val="center"/>
          </w:tcPr>
          <w:p w14:paraId="2C766EE6">
            <w:pPr>
              <w:jc w:val="center"/>
              <w:rPr>
                <w:rFonts w:hint="eastAsia" w:ascii="宋体" w:hAnsi="宋体" w:eastAsia="宋体" w:cs="宋体"/>
                <w:color w:val="auto"/>
                <w:spacing w:val="0"/>
                <w:sz w:val="24"/>
              </w:rPr>
            </w:pPr>
          </w:p>
        </w:tc>
      </w:tr>
      <w:tr w14:paraId="5631B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2557" w:type="dxa"/>
            <w:gridSpan w:val="2"/>
            <w:noWrap w:val="0"/>
            <w:vAlign w:val="center"/>
          </w:tcPr>
          <w:p w14:paraId="2163599E">
            <w:pPr>
              <w:jc w:val="center"/>
              <w:rPr>
                <w:rFonts w:hint="eastAsia" w:ascii="宋体" w:hAnsi="宋体" w:eastAsia="宋体" w:cs="宋体"/>
                <w:b/>
                <w:color w:val="auto"/>
                <w:spacing w:val="0"/>
                <w:sz w:val="24"/>
                <w:lang w:eastAsia="zh-CN"/>
              </w:rPr>
            </w:pPr>
            <w:r>
              <w:rPr>
                <w:rFonts w:hint="eastAsia" w:ascii="宋体" w:hAnsi="宋体" w:eastAsia="宋体" w:cs="宋体"/>
                <w:b/>
                <w:color w:val="auto"/>
                <w:spacing w:val="0"/>
                <w:sz w:val="24"/>
                <w:lang w:val="en-US" w:eastAsia="zh-CN"/>
              </w:rPr>
              <w:t>总价</w:t>
            </w:r>
            <w:r>
              <w:rPr>
                <w:rFonts w:hint="eastAsia" w:ascii="宋体" w:hAnsi="宋体" w:eastAsia="宋体" w:cs="宋体"/>
                <w:b/>
                <w:color w:val="auto"/>
                <w:spacing w:val="0"/>
                <w:sz w:val="24"/>
                <w:lang w:eastAsia="zh-CN"/>
              </w:rPr>
              <w:t>（</w:t>
            </w:r>
            <w:r>
              <w:rPr>
                <w:rFonts w:hint="eastAsia" w:ascii="宋体" w:hAnsi="宋体" w:eastAsia="宋体" w:cs="宋体"/>
                <w:b/>
                <w:color w:val="auto"/>
                <w:spacing w:val="0"/>
                <w:sz w:val="24"/>
                <w:lang w:val="en-US" w:eastAsia="zh-CN"/>
              </w:rPr>
              <w:t>元</w:t>
            </w:r>
            <w:r>
              <w:rPr>
                <w:rFonts w:hint="eastAsia" w:ascii="宋体" w:hAnsi="宋体" w:eastAsia="宋体" w:cs="宋体"/>
                <w:b/>
                <w:color w:val="auto"/>
                <w:spacing w:val="0"/>
                <w:sz w:val="24"/>
                <w:lang w:eastAsia="zh-CN"/>
              </w:rPr>
              <w:t>）</w:t>
            </w:r>
          </w:p>
        </w:tc>
        <w:tc>
          <w:tcPr>
            <w:tcW w:w="6028" w:type="dxa"/>
            <w:gridSpan w:val="3"/>
            <w:noWrap w:val="0"/>
            <w:vAlign w:val="top"/>
          </w:tcPr>
          <w:p w14:paraId="173F1A68">
            <w:pPr>
              <w:jc w:val="center"/>
              <w:rPr>
                <w:rFonts w:hint="eastAsia" w:ascii="宋体" w:hAnsi="宋体" w:eastAsia="宋体" w:cs="宋体"/>
                <w:color w:val="auto"/>
                <w:spacing w:val="0"/>
                <w:sz w:val="24"/>
              </w:rPr>
            </w:pPr>
          </w:p>
        </w:tc>
        <w:tc>
          <w:tcPr>
            <w:tcW w:w="771" w:type="dxa"/>
            <w:noWrap w:val="0"/>
            <w:vAlign w:val="center"/>
          </w:tcPr>
          <w:p w14:paraId="248A5B4B">
            <w:pPr>
              <w:jc w:val="left"/>
              <w:rPr>
                <w:rFonts w:hint="eastAsia" w:ascii="宋体" w:hAnsi="宋体" w:eastAsia="宋体" w:cs="宋体"/>
                <w:color w:val="auto"/>
                <w:spacing w:val="0"/>
                <w:sz w:val="24"/>
              </w:rPr>
            </w:pPr>
          </w:p>
        </w:tc>
      </w:tr>
    </w:tbl>
    <w:p w14:paraId="236D00A2">
      <w:pPr>
        <w:pStyle w:val="14"/>
        <w:rPr>
          <w:rFonts w:hint="eastAsia" w:ascii="宋体" w:hAnsi="宋体" w:eastAsia="宋体" w:cs="宋体"/>
          <w:bCs/>
          <w:color w:val="auto"/>
          <w:spacing w:val="0"/>
          <w:sz w:val="24"/>
        </w:rPr>
      </w:pPr>
    </w:p>
    <w:p w14:paraId="7045386B">
      <w:pPr>
        <w:snapToGrid w:val="0"/>
        <w:spacing w:line="360" w:lineRule="auto"/>
        <w:rPr>
          <w:rFonts w:hint="eastAsia" w:ascii="宋体" w:hAnsi="宋体" w:eastAsia="宋体" w:cs="宋体"/>
          <w:color w:val="auto"/>
          <w:spacing w:val="0"/>
          <w:sz w:val="24"/>
        </w:rPr>
      </w:pPr>
    </w:p>
    <w:p w14:paraId="64A388FF">
      <w:pPr>
        <w:snapToGrid w:val="0"/>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投标人：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（加盖公章）</w:t>
      </w:r>
    </w:p>
    <w:p w14:paraId="22086C69">
      <w:pPr>
        <w:snapToGrid w:val="0"/>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法定代表人或被授权人：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（签字或盖章）</w:t>
      </w:r>
    </w:p>
    <w:p w14:paraId="2602CE44">
      <w:pPr>
        <w:kinsoku w:val="0"/>
        <w:topLinePunct/>
        <w:snapToGrid w:val="0"/>
        <w:spacing w:line="360" w:lineRule="auto"/>
        <w:rPr>
          <w:rFonts w:hint="eastAsia" w:ascii="宋体" w:hAnsi="宋体" w:eastAsia="宋体" w:cs="宋体"/>
          <w:color w:val="auto"/>
          <w:spacing w:val="0"/>
          <w:sz w:val="24"/>
        </w:rPr>
      </w:pPr>
      <w:r>
        <w:rPr>
          <w:rFonts w:hint="eastAsia" w:ascii="宋体" w:hAnsi="宋体" w:eastAsia="宋体" w:cs="宋体"/>
          <w:color w:val="auto"/>
          <w:spacing w:val="0"/>
          <w:sz w:val="24"/>
        </w:rPr>
        <w:t>日  期：   年  月  日</w:t>
      </w:r>
    </w:p>
    <w:p w14:paraId="3C4851C4">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FB3C">
    <w:pPr>
      <w:pStyle w:val="12"/>
      <w:tabs>
        <w:tab w:val="center" w:pos="4819"/>
        <w:tab w:val="clear" w:pos="4153"/>
      </w:tabs>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4AF1FF">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94AF1FF">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8CCD1D">
                          <w:pPr>
                            <w:pStyle w:val="1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F8CCD1D">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7FCD">
    <w:pPr>
      <w:pStyle w:val="12"/>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4E118D">
                          <w:pPr>
                            <w:pStyle w:val="12"/>
                            <w:jc w:val="right"/>
                          </w:pPr>
                          <w:r>
                            <w:fldChar w:fldCharType="begin"/>
                          </w:r>
                          <w:r>
                            <w:instrText xml:space="preserve">PAGE   \* MERGEFORMAT</w:instrText>
                          </w:r>
                          <w:r>
                            <w:fldChar w:fldCharType="separate"/>
                          </w:r>
                          <w:r>
                            <w:rPr>
                              <w:lang w:val="zh-CN"/>
                            </w:rP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04E118D">
                    <w:pPr>
                      <w:pStyle w:val="12"/>
                      <w:jc w:val="right"/>
                    </w:pPr>
                    <w:r>
                      <w:fldChar w:fldCharType="begin"/>
                    </w:r>
                    <w:r>
                      <w:instrText xml:space="preserve">PAGE   \* MERGEFORMAT</w:instrText>
                    </w:r>
                    <w:r>
                      <w:fldChar w:fldCharType="separate"/>
                    </w:r>
                    <w:r>
                      <w:rPr>
                        <w:lang w:val="zh-CN"/>
                      </w:rPr>
                      <w:t>23</w:t>
                    </w:r>
                    <w:r>
                      <w:fldChar w:fldCharType="end"/>
                    </w:r>
                  </w:p>
                </w:txbxContent>
              </v:textbox>
            </v:shape>
          </w:pict>
        </mc:Fallback>
      </mc:AlternateContent>
    </w:r>
  </w:p>
  <w:p w14:paraId="0C1C0AF2">
    <w:pPr>
      <w:pStyle w:val="12"/>
      <w:tabs>
        <w:tab w:val="center" w:pos="4819"/>
        <w:tab w:val="clear" w:pos="4153"/>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F5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FF954"/>
    <w:multiLevelType w:val="singleLevel"/>
    <w:tmpl w:val="EA8FF954"/>
    <w:lvl w:ilvl="0" w:tentative="0">
      <w:start w:val="1"/>
      <w:numFmt w:val="decimal"/>
      <w:suff w:val="nothing"/>
      <w:lvlText w:val="%1、"/>
      <w:lvlJc w:val="left"/>
      <w:rPr>
        <w:rFonts w:hint="default"/>
        <w:b w:val="0"/>
        <w:bCs w:val="0"/>
      </w:rPr>
    </w:lvl>
  </w:abstractNum>
  <w:abstractNum w:abstractNumId="1">
    <w:nsid w:val="F987E0F1"/>
    <w:multiLevelType w:val="singleLevel"/>
    <w:tmpl w:val="F987E0F1"/>
    <w:lvl w:ilvl="0" w:tentative="0">
      <w:start w:val="1"/>
      <w:numFmt w:val="decimal"/>
      <w:suff w:val="nothing"/>
      <w:lvlText w:val="%1、"/>
      <w:lvlJc w:val="left"/>
    </w:lvl>
  </w:abstractNum>
  <w:abstractNum w:abstractNumId="2">
    <w:nsid w:val="5A0F3AED"/>
    <w:multiLevelType w:val="singleLevel"/>
    <w:tmpl w:val="5A0F3AE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B39BC"/>
    <w:rsid w:val="0BED7182"/>
    <w:rsid w:val="124C5B94"/>
    <w:rsid w:val="1D686669"/>
    <w:rsid w:val="20370574"/>
    <w:rsid w:val="2120725A"/>
    <w:rsid w:val="28545467"/>
    <w:rsid w:val="2AF4778E"/>
    <w:rsid w:val="2E167A29"/>
    <w:rsid w:val="38966328"/>
    <w:rsid w:val="3D98044D"/>
    <w:rsid w:val="3DCB39BC"/>
    <w:rsid w:val="3ECF4342"/>
    <w:rsid w:val="43FD725B"/>
    <w:rsid w:val="6401254E"/>
    <w:rsid w:val="64224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仿宋_GB2312"/>
      <w:sz w:val="28"/>
    </w:rPr>
  </w:style>
  <w:style w:type="character" w:default="1" w:styleId="17">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semiHidden/>
    <w:qFormat/>
    <w:uiPriority w:val="0"/>
    <w:pPr>
      <w:jc w:val="left"/>
    </w:pPr>
  </w:style>
  <w:style w:type="paragraph" w:styleId="5">
    <w:name w:val="Body Text"/>
    <w:basedOn w:val="1"/>
    <w:next w:val="6"/>
    <w:qFormat/>
    <w:uiPriority w:val="0"/>
    <w:pPr>
      <w:spacing w:after="120"/>
    </w:pPr>
  </w:style>
  <w:style w:type="paragraph" w:customStyle="1" w:styleId="6">
    <w:name w:val="style4"/>
    <w:basedOn w:val="1"/>
    <w:next w:val="7"/>
    <w:qFormat/>
    <w:uiPriority w:val="99"/>
    <w:pPr>
      <w:widowControl/>
      <w:spacing w:before="280" w:after="280"/>
    </w:pPr>
    <w:rPr>
      <w:rFonts w:ascii="宋体"/>
      <w:sz w:val="18"/>
    </w:rPr>
  </w:style>
  <w:style w:type="paragraph" w:customStyle="1" w:styleId="7">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8">
    <w:name w:val="Body Text Indent"/>
    <w:basedOn w:val="1"/>
    <w:next w:val="9"/>
    <w:qFormat/>
    <w:uiPriority w:val="99"/>
    <w:pPr>
      <w:spacing w:after="120"/>
      <w:ind w:left="420" w:leftChars="200"/>
    </w:pPr>
  </w:style>
  <w:style w:type="paragraph" w:styleId="9">
    <w:name w:val="envelope return"/>
    <w:basedOn w:val="1"/>
    <w:unhideWhenUsed/>
    <w:qFormat/>
    <w:uiPriority w:val="0"/>
    <w:pPr>
      <w:snapToGrid w:val="0"/>
    </w:pPr>
    <w:rPr>
      <w:rFonts w:ascii="Arial" w:hAnsi="Arial"/>
    </w:rPr>
  </w:style>
  <w:style w:type="paragraph" w:styleId="10">
    <w:name w:val="Plain Text"/>
    <w:basedOn w:val="1"/>
    <w:next w:val="11"/>
    <w:qFormat/>
    <w:uiPriority w:val="0"/>
    <w:rPr>
      <w:rFonts w:ascii="宋体" w:hAnsi="Courier New"/>
      <w:szCs w:val="20"/>
    </w:rPr>
  </w:style>
  <w:style w:type="paragraph" w:styleId="11">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12">
    <w:name w:val="footer"/>
    <w:basedOn w:val="1"/>
    <w:qFormat/>
    <w:uiPriority w:val="99"/>
    <w:pPr>
      <w:tabs>
        <w:tab w:val="center" w:pos="4153"/>
        <w:tab w:val="right" w:pos="8306"/>
      </w:tabs>
      <w:snapToGrid w:val="0"/>
      <w:jc w:val="left"/>
    </w:pPr>
    <w:rPr>
      <w:sz w:val="18"/>
    </w:rPr>
  </w:style>
  <w:style w:type="paragraph" w:styleId="13">
    <w:name w:val="toc 1"/>
    <w:basedOn w:val="1"/>
    <w:next w:val="1"/>
    <w:unhideWhenUsed/>
    <w:qFormat/>
    <w:uiPriority w:val="0"/>
    <w:pPr>
      <w:widowControl/>
      <w:tabs>
        <w:tab w:val="right" w:leader="hyphen" w:pos="9736"/>
      </w:tabs>
      <w:spacing w:after="100" w:line="276" w:lineRule="auto"/>
      <w:jc w:val="center"/>
    </w:pPr>
    <w:rPr>
      <w:rFonts w:ascii="Calibri" w:hAnsi="Calibri"/>
      <w:kern w:val="0"/>
      <w:sz w:val="22"/>
      <w:szCs w:val="22"/>
    </w:rPr>
  </w:style>
  <w:style w:type="paragraph" w:styleId="14">
    <w:name w:val="Body Text Indent 3"/>
    <w:basedOn w:val="1"/>
    <w:qFormat/>
    <w:uiPriority w:val="0"/>
    <w:pPr>
      <w:ind w:firstLine="435"/>
    </w:pPr>
    <w:rPr>
      <w:rFonts w:ascii="仿宋_GB2312" w:hAnsi="宋体" w:eastAsia="仿宋_GB2312"/>
      <w:sz w:val="28"/>
    </w:rPr>
  </w:style>
  <w:style w:type="paragraph" w:styleId="15">
    <w:name w:val="Body Text First Indent 2"/>
    <w:basedOn w:val="8"/>
    <w:qFormat/>
    <w:uiPriority w:val="99"/>
    <w:pPr>
      <w:ind w:firstLine="420" w:firstLineChars="200"/>
    </w:pPr>
    <w:rPr>
      <w:kern w:val="0"/>
      <w:sz w:val="20"/>
      <w:szCs w:val="20"/>
    </w:rPr>
  </w:style>
  <w:style w:type="character" w:customStyle="1" w:styleId="18">
    <w:name w:val="16"/>
    <w:qFormat/>
    <w:uiPriority w:val="0"/>
    <w:rPr>
      <w:rFonts w:hint="default" w:ascii="Calibri" w:hAnsi="Calibri" w:cs="Calibri"/>
      <w:color w:val="0000FF"/>
      <w:u w:val="single"/>
    </w:rPr>
  </w:style>
  <w:style w:type="paragraph" w:customStyle="1" w:styleId="19">
    <w:name w:val="样式 标题 1 + 宋体 段前: 0 磅 段后: 0 磅 行距: 单倍行距"/>
    <w:basedOn w:val="2"/>
    <w:next w:val="1"/>
    <w:qFormat/>
    <w:uiPriority w:val="0"/>
    <w:pPr>
      <w:keepLines/>
      <w:spacing w:beforeLines="100" w:afterLines="100"/>
    </w:pPr>
    <w:rPr>
      <w:rFonts w:ascii="仿宋_GB2312" w:hAnsi="宋体" w:cs="宋体"/>
      <w:b/>
      <w:bCs/>
      <w:kern w:val="44"/>
      <w:sz w:val="44"/>
      <w:szCs w:val="44"/>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18301</Words>
  <Characters>18545</Characters>
  <Lines>0</Lines>
  <Paragraphs>0</Paragraphs>
  <TotalTime>5</TotalTime>
  <ScaleCrop>false</ScaleCrop>
  <LinksUpToDate>false</LinksUpToDate>
  <CharactersWithSpaces>19857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2025-06-16T06:31:00Z</dcterms:created>
  <dc:creator>梧桐那么伤</dc:creator>
  <cp:lastModifiedBy>梧桐那么伤</cp:lastModifiedBy>
  <dcterms:modified xsi:type="dcterms:W3CDTF">2025-06-16T08:01:55Z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CB22048B2A6E4AFD8AD917626F3B2CE6_13</vt:lpwstr>
  </property>
  <property fmtid="{D5CDD505-2E9C-101B-9397-08002B2CF9AE}" pid="4" name="KSOTemplateDocerSaveRecord">
    <vt:lpwstr>eyJoZGlkIjoiY2M3NmE3NTlhNDU2YjFhYzFjNzdhOTYyZjQ5ZTMzNjIiLCJ1c2VySWQiOiIyOTkzNjMxMDgifQ==</vt:lpwstr>
  </property>
</Properties>
</file>