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2AD45">
      <w:pPr>
        <w:jc w:val="center"/>
        <w:rPr>
          <w:rFonts w:ascii="宋体" w:hAnsi="宋体" w:cs="宋体"/>
          <w:bCs/>
          <w:sz w:val="48"/>
          <w:szCs w:val="48"/>
          <w:highlight w:val="none"/>
        </w:rPr>
      </w:pPr>
    </w:p>
    <w:p w14:paraId="7FC9A452">
      <w:pPr>
        <w:spacing w:line="600" w:lineRule="exact"/>
        <w:jc w:val="center"/>
        <w:rPr>
          <w:rFonts w:ascii="宋体" w:hAnsi="宋体" w:cs="宋体"/>
          <w:bCs/>
          <w:sz w:val="52"/>
          <w:szCs w:val="52"/>
          <w:highlight w:val="none"/>
        </w:rPr>
      </w:pPr>
      <w:r>
        <w:rPr>
          <w:rFonts w:hint="eastAsia" w:ascii="宋体" w:hAnsi="宋体" w:cs="宋体"/>
          <w:kern w:val="1"/>
          <w:sz w:val="52"/>
          <w:szCs w:val="52"/>
          <w:highlight w:val="none"/>
        </w:rPr>
        <w:t>能源公司售电业务合作单位项目</w:t>
      </w:r>
    </w:p>
    <w:p w14:paraId="7992DF69">
      <w:pPr>
        <w:pStyle w:val="68"/>
        <w:rPr>
          <w:rFonts w:ascii="宋体" w:hAnsi="宋体" w:cs="宋体"/>
          <w:bCs/>
          <w:sz w:val="48"/>
          <w:szCs w:val="48"/>
          <w:highlight w:val="none"/>
        </w:rPr>
      </w:pPr>
    </w:p>
    <w:p w14:paraId="4373A454">
      <w:pPr>
        <w:pStyle w:val="68"/>
        <w:rPr>
          <w:rFonts w:ascii="宋体" w:hAnsi="宋体" w:cs="宋体"/>
          <w:bCs/>
          <w:sz w:val="48"/>
          <w:szCs w:val="48"/>
          <w:highlight w:val="none"/>
        </w:rPr>
      </w:pPr>
    </w:p>
    <w:p w14:paraId="06C4A343">
      <w:pPr>
        <w:jc w:val="center"/>
        <w:rPr>
          <w:rFonts w:ascii="宋体" w:hAnsi="宋体" w:cs="宋体"/>
          <w:bCs/>
          <w:sz w:val="100"/>
          <w:szCs w:val="100"/>
          <w:highlight w:val="none"/>
        </w:rPr>
      </w:pPr>
      <w:r>
        <w:rPr>
          <w:rFonts w:hint="eastAsia" w:ascii="宋体" w:hAnsi="宋体" w:cs="宋体"/>
          <w:bCs/>
          <w:sz w:val="100"/>
          <w:szCs w:val="100"/>
          <w:highlight w:val="none"/>
        </w:rPr>
        <w:t>招标文件</w:t>
      </w:r>
    </w:p>
    <w:p w14:paraId="63DCBEFA">
      <w:pPr>
        <w:pStyle w:val="8"/>
        <w:spacing w:line="500" w:lineRule="exact"/>
        <w:rPr>
          <w:rFonts w:ascii="宋体" w:hAnsi="宋体" w:cs="宋体"/>
          <w:b w:val="0"/>
          <w:bCs/>
          <w:highlight w:val="none"/>
        </w:rPr>
      </w:pPr>
    </w:p>
    <w:p w14:paraId="36448E9A">
      <w:pPr>
        <w:pStyle w:val="8"/>
        <w:spacing w:line="500" w:lineRule="exact"/>
        <w:rPr>
          <w:rFonts w:ascii="宋体" w:hAnsi="宋体" w:cs="宋体"/>
          <w:bCs/>
          <w:sz w:val="36"/>
          <w:szCs w:val="36"/>
          <w:highlight w:val="none"/>
        </w:rPr>
      </w:pPr>
      <w:r>
        <w:rPr>
          <w:rFonts w:hint="eastAsia" w:ascii="宋体" w:hAnsi="宋体" w:cs="宋体"/>
          <w:bCs/>
          <w:sz w:val="36"/>
          <w:szCs w:val="36"/>
          <w:highlight w:val="none"/>
        </w:rPr>
        <w:t>项目编号：YTNT20250008</w:t>
      </w:r>
    </w:p>
    <w:p w14:paraId="35EDB6E6">
      <w:pPr>
        <w:spacing w:line="500" w:lineRule="exact"/>
        <w:jc w:val="center"/>
        <w:rPr>
          <w:rFonts w:ascii="宋体" w:hAnsi="宋体" w:cs="宋体"/>
          <w:b/>
          <w:sz w:val="36"/>
          <w:highlight w:val="none"/>
        </w:rPr>
      </w:pPr>
    </w:p>
    <w:p w14:paraId="48DDA50F">
      <w:pPr>
        <w:spacing w:line="500" w:lineRule="exact"/>
        <w:jc w:val="center"/>
        <w:rPr>
          <w:rFonts w:ascii="宋体" w:hAnsi="宋体" w:cs="宋体"/>
          <w:b/>
          <w:sz w:val="36"/>
          <w:highlight w:val="none"/>
        </w:rPr>
      </w:pPr>
    </w:p>
    <w:p w14:paraId="7472C8A7">
      <w:pPr>
        <w:spacing w:line="500" w:lineRule="exact"/>
        <w:jc w:val="center"/>
        <w:rPr>
          <w:rFonts w:ascii="宋体" w:hAnsi="宋体" w:cs="宋体"/>
          <w:b/>
          <w:sz w:val="36"/>
          <w:highlight w:val="none"/>
        </w:rPr>
      </w:pPr>
    </w:p>
    <w:p w14:paraId="4D3B4243">
      <w:pPr>
        <w:rPr>
          <w:rFonts w:ascii="宋体" w:hAnsi="宋体" w:cs="宋体"/>
          <w:sz w:val="32"/>
          <w:highlight w:val="none"/>
        </w:rPr>
      </w:pPr>
    </w:p>
    <w:p w14:paraId="61ED1556">
      <w:pPr>
        <w:pStyle w:val="17"/>
        <w:rPr>
          <w:highlight w:val="none"/>
        </w:rPr>
      </w:pPr>
    </w:p>
    <w:p w14:paraId="7763075F">
      <w:pPr>
        <w:pStyle w:val="20"/>
        <w:rPr>
          <w:rFonts w:cs="宋体"/>
          <w:color w:val="auto"/>
          <w:highlight w:val="none"/>
        </w:rPr>
      </w:pPr>
    </w:p>
    <w:p w14:paraId="78F33EE0">
      <w:pPr>
        <w:pStyle w:val="95"/>
        <w:rPr>
          <w:rFonts w:ascii="宋体" w:hAnsi="宋体" w:eastAsia="宋体" w:cs="宋体"/>
          <w:sz w:val="32"/>
          <w:highlight w:val="none"/>
        </w:rPr>
      </w:pPr>
    </w:p>
    <w:p w14:paraId="0E4E4023">
      <w:pPr>
        <w:spacing w:line="500" w:lineRule="exact"/>
        <w:rPr>
          <w:rFonts w:ascii="宋体" w:hAnsi="宋体" w:cs="宋体"/>
          <w:sz w:val="32"/>
          <w:highlight w:val="none"/>
        </w:rPr>
      </w:pPr>
    </w:p>
    <w:p w14:paraId="04F0F0EC">
      <w:pPr>
        <w:spacing w:line="500" w:lineRule="exact"/>
        <w:jc w:val="center"/>
        <w:rPr>
          <w:rFonts w:ascii="宋体" w:hAnsi="宋体" w:cs="宋体"/>
          <w:sz w:val="32"/>
          <w:highlight w:val="none"/>
        </w:rPr>
      </w:pPr>
    </w:p>
    <w:p w14:paraId="0035DD69">
      <w:pPr>
        <w:spacing w:line="500" w:lineRule="exact"/>
        <w:rPr>
          <w:rFonts w:ascii="宋体" w:hAnsi="宋体" w:cs="宋体"/>
          <w:sz w:val="32"/>
          <w:highlight w:val="none"/>
        </w:rPr>
      </w:pPr>
    </w:p>
    <w:p w14:paraId="7105F330">
      <w:pPr>
        <w:adjustRightInd w:val="0"/>
        <w:spacing w:before="120" w:after="120" w:line="500" w:lineRule="exact"/>
        <w:ind w:left="-2" w:right="120"/>
        <w:jc w:val="center"/>
        <w:textAlignment w:val="baseline"/>
        <w:rPr>
          <w:rFonts w:ascii="宋体" w:hAnsi="宋体" w:cs="宋体"/>
          <w:b/>
          <w:spacing w:val="20"/>
          <w:sz w:val="40"/>
          <w:szCs w:val="40"/>
          <w:highlight w:val="none"/>
        </w:rPr>
      </w:pPr>
    </w:p>
    <w:p w14:paraId="42C187F0">
      <w:pPr>
        <w:adjustRightInd w:val="0"/>
        <w:spacing w:before="120" w:after="120" w:line="500" w:lineRule="exact"/>
        <w:ind w:right="120"/>
        <w:jc w:val="center"/>
        <w:textAlignment w:val="baseline"/>
        <w:rPr>
          <w:rFonts w:ascii="宋体" w:hAnsi="宋体" w:cs="宋体"/>
          <w:b/>
          <w:spacing w:val="20"/>
          <w:sz w:val="40"/>
          <w:szCs w:val="40"/>
          <w:highlight w:val="none"/>
        </w:rPr>
      </w:pPr>
      <w:r>
        <w:rPr>
          <w:rFonts w:hint="eastAsia" w:ascii="宋体" w:hAnsi="宋体" w:cs="宋体"/>
          <w:b/>
          <w:spacing w:val="20"/>
          <w:sz w:val="40"/>
          <w:szCs w:val="40"/>
          <w:highlight w:val="none"/>
        </w:rPr>
        <w:t>南通好通能源有限公司</w:t>
      </w:r>
    </w:p>
    <w:p w14:paraId="003C652A">
      <w:pPr>
        <w:adjustRightInd w:val="0"/>
        <w:spacing w:before="120" w:after="120" w:line="500" w:lineRule="exact"/>
        <w:ind w:right="120"/>
        <w:jc w:val="center"/>
        <w:textAlignment w:val="baseline"/>
        <w:rPr>
          <w:rFonts w:ascii="宋体" w:hAnsi="宋体" w:cs="宋体"/>
          <w:b/>
          <w:bCs/>
          <w:sz w:val="44"/>
          <w:szCs w:val="44"/>
          <w:highlight w:val="none"/>
        </w:rPr>
      </w:pPr>
      <w:r>
        <w:rPr>
          <w:rFonts w:hint="eastAsia" w:ascii="宋体" w:hAnsi="宋体" w:cs="宋体"/>
          <w:b/>
          <w:bCs/>
          <w:sz w:val="32"/>
          <w:highlight w:val="none"/>
        </w:rPr>
        <w:t>2025年</w:t>
      </w:r>
      <w:r>
        <w:rPr>
          <w:rFonts w:hint="eastAsia" w:ascii="宋体" w:hAnsi="宋体" w:cs="宋体"/>
          <w:b/>
          <w:bCs/>
          <w:sz w:val="32"/>
          <w:highlight w:val="none"/>
          <w:lang w:val="en-US" w:eastAsia="zh-CN"/>
        </w:rPr>
        <w:t>05</w:t>
      </w:r>
      <w:r>
        <w:rPr>
          <w:rFonts w:hint="eastAsia" w:ascii="宋体" w:hAnsi="宋体" w:cs="宋体"/>
          <w:b/>
          <w:bCs/>
          <w:sz w:val="32"/>
          <w:highlight w:val="none"/>
        </w:rPr>
        <w:t>月</w:t>
      </w:r>
    </w:p>
    <w:p w14:paraId="0F37F392">
      <w:pPr>
        <w:adjustRightInd w:val="0"/>
        <w:snapToGrid w:val="0"/>
        <w:ind w:left="-158" w:leftChars="-75"/>
        <w:jc w:val="center"/>
        <w:rPr>
          <w:rFonts w:ascii="宋体" w:hAnsi="宋体" w:cs="宋体"/>
          <w:b/>
          <w:bCs/>
          <w:sz w:val="32"/>
          <w:szCs w:val="32"/>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目 录</w:t>
      </w:r>
    </w:p>
    <w:p w14:paraId="2210DF42">
      <w:pPr>
        <w:tabs>
          <w:tab w:val="left" w:pos="7740"/>
        </w:tabs>
        <w:adjustRightInd w:val="0"/>
        <w:snapToGrid w:val="0"/>
        <w:spacing w:line="1000" w:lineRule="exact"/>
        <w:ind w:firstLine="640" w:firstLineChars="200"/>
        <w:rPr>
          <w:rFonts w:ascii="宋体" w:hAnsi="宋体" w:cs="宋体"/>
          <w:bCs/>
          <w:sz w:val="32"/>
          <w:szCs w:val="32"/>
          <w:highlight w:val="none"/>
        </w:rPr>
      </w:pPr>
    </w:p>
    <w:p w14:paraId="439E7EF1">
      <w:pPr>
        <w:tabs>
          <w:tab w:val="left" w:pos="7740"/>
        </w:tabs>
        <w:adjustRightInd w:val="0"/>
        <w:snapToGrid w:val="0"/>
        <w:spacing w:line="1000" w:lineRule="exact"/>
        <w:ind w:firstLine="640" w:firstLineChars="200"/>
        <w:rPr>
          <w:rFonts w:ascii="宋体" w:hAnsi="宋体" w:cs="宋体"/>
          <w:spacing w:val="2"/>
          <w:sz w:val="32"/>
          <w:szCs w:val="32"/>
          <w:highlight w:val="none"/>
        </w:rPr>
      </w:pPr>
      <w:r>
        <w:rPr>
          <w:rFonts w:hint="eastAsia" w:ascii="宋体" w:hAnsi="宋体" w:cs="宋体"/>
          <w:bCs/>
          <w:sz w:val="32"/>
          <w:szCs w:val="32"/>
          <w:highlight w:val="none"/>
        </w:rPr>
        <w:t>第一部分  投标邀请</w:t>
      </w:r>
    </w:p>
    <w:p w14:paraId="6557C5AC">
      <w:pPr>
        <w:tabs>
          <w:tab w:val="left" w:pos="7740"/>
        </w:tabs>
        <w:adjustRightInd w:val="0"/>
        <w:snapToGrid w:val="0"/>
        <w:spacing w:line="1000" w:lineRule="exact"/>
        <w:ind w:firstLine="640" w:firstLineChars="200"/>
        <w:rPr>
          <w:rFonts w:ascii="宋体" w:hAnsi="宋体" w:cs="宋体"/>
          <w:spacing w:val="2"/>
          <w:sz w:val="32"/>
          <w:szCs w:val="32"/>
          <w:highlight w:val="none"/>
        </w:rPr>
      </w:pPr>
      <w:r>
        <w:rPr>
          <w:rFonts w:hint="eastAsia" w:ascii="宋体" w:hAnsi="宋体" w:cs="宋体"/>
          <w:bCs/>
          <w:sz w:val="32"/>
          <w:szCs w:val="32"/>
          <w:highlight w:val="none"/>
        </w:rPr>
        <w:t>第二部分  投标须知</w:t>
      </w:r>
    </w:p>
    <w:p w14:paraId="50920542">
      <w:pPr>
        <w:tabs>
          <w:tab w:val="left" w:pos="7740"/>
        </w:tabs>
        <w:adjustRightInd w:val="0"/>
        <w:snapToGrid w:val="0"/>
        <w:spacing w:line="1000" w:lineRule="exact"/>
        <w:ind w:firstLine="640" w:firstLineChars="200"/>
        <w:rPr>
          <w:rFonts w:ascii="宋体" w:hAnsi="宋体" w:cs="宋体"/>
          <w:spacing w:val="2"/>
          <w:sz w:val="32"/>
          <w:szCs w:val="32"/>
          <w:highlight w:val="none"/>
        </w:rPr>
      </w:pPr>
      <w:r>
        <w:rPr>
          <w:rFonts w:hint="eastAsia" w:ascii="宋体" w:hAnsi="宋体" w:cs="宋体"/>
          <w:bCs/>
          <w:sz w:val="32"/>
          <w:szCs w:val="32"/>
          <w:highlight w:val="none"/>
        </w:rPr>
        <w:t>第三部分  项目需求</w:t>
      </w:r>
    </w:p>
    <w:p w14:paraId="7BDA83FD">
      <w:pPr>
        <w:tabs>
          <w:tab w:val="left" w:pos="7740"/>
        </w:tabs>
        <w:adjustRightInd w:val="0"/>
        <w:snapToGrid w:val="0"/>
        <w:spacing w:line="1000" w:lineRule="exact"/>
        <w:ind w:firstLine="640" w:firstLineChars="200"/>
        <w:rPr>
          <w:rFonts w:ascii="宋体" w:hAnsi="宋体" w:cs="宋体"/>
          <w:spacing w:val="2"/>
          <w:sz w:val="32"/>
          <w:szCs w:val="32"/>
          <w:highlight w:val="none"/>
        </w:rPr>
      </w:pPr>
      <w:r>
        <w:rPr>
          <w:rFonts w:hint="eastAsia" w:ascii="宋体" w:hAnsi="宋体" w:cs="宋体"/>
          <w:sz w:val="32"/>
          <w:szCs w:val="32"/>
          <w:highlight w:val="none"/>
        </w:rPr>
        <w:t xml:space="preserve">第四部分  </w:t>
      </w:r>
      <w:r>
        <w:rPr>
          <w:rFonts w:hint="eastAsia" w:ascii="宋体" w:hAnsi="宋体" w:cs="宋体"/>
          <w:bCs/>
          <w:sz w:val="32"/>
          <w:szCs w:val="32"/>
          <w:highlight w:val="none"/>
        </w:rPr>
        <w:t>开标和评标</w:t>
      </w:r>
    </w:p>
    <w:p w14:paraId="47E24D2E">
      <w:pPr>
        <w:tabs>
          <w:tab w:val="left" w:pos="7740"/>
        </w:tabs>
        <w:adjustRightInd w:val="0"/>
        <w:snapToGrid w:val="0"/>
        <w:spacing w:line="1000" w:lineRule="exact"/>
        <w:ind w:firstLine="640" w:firstLineChars="200"/>
        <w:rPr>
          <w:rFonts w:ascii="宋体" w:hAnsi="宋体" w:cs="宋体"/>
          <w:spacing w:val="2"/>
          <w:sz w:val="32"/>
          <w:szCs w:val="32"/>
          <w:highlight w:val="none"/>
        </w:rPr>
      </w:pPr>
      <w:r>
        <w:rPr>
          <w:rFonts w:hint="eastAsia" w:ascii="宋体" w:hAnsi="宋体" w:cs="宋体"/>
          <w:bCs/>
          <w:sz w:val="32"/>
          <w:szCs w:val="32"/>
          <w:highlight w:val="none"/>
        </w:rPr>
        <w:t>第五部分  投标文件组成</w:t>
      </w:r>
    </w:p>
    <w:p w14:paraId="4D794207">
      <w:pPr>
        <w:spacing w:line="500" w:lineRule="exact"/>
        <w:rPr>
          <w:rFonts w:ascii="宋体" w:hAnsi="宋体" w:cs="宋体"/>
          <w:b/>
          <w:sz w:val="32"/>
          <w:szCs w:val="32"/>
          <w:highlight w:val="none"/>
        </w:rPr>
      </w:pPr>
    </w:p>
    <w:p w14:paraId="216BAB2F">
      <w:pPr>
        <w:tabs>
          <w:tab w:val="left" w:pos="7740"/>
        </w:tabs>
        <w:spacing w:line="500" w:lineRule="exact"/>
        <w:rPr>
          <w:rFonts w:ascii="宋体" w:hAnsi="宋体" w:cs="宋体"/>
          <w:b/>
          <w:spacing w:val="2"/>
          <w:sz w:val="32"/>
          <w:szCs w:val="32"/>
          <w:highlight w:val="none"/>
        </w:rPr>
      </w:pPr>
    </w:p>
    <w:p w14:paraId="4DDF018A">
      <w:pPr>
        <w:tabs>
          <w:tab w:val="left" w:pos="7740"/>
        </w:tabs>
        <w:spacing w:line="500" w:lineRule="exact"/>
        <w:rPr>
          <w:rFonts w:ascii="宋体" w:hAnsi="宋体" w:cs="宋体"/>
          <w:b/>
          <w:spacing w:val="2"/>
          <w:sz w:val="32"/>
          <w:szCs w:val="32"/>
          <w:highlight w:val="none"/>
        </w:rPr>
      </w:pPr>
    </w:p>
    <w:p w14:paraId="620BB501">
      <w:pPr>
        <w:tabs>
          <w:tab w:val="left" w:pos="7740"/>
        </w:tabs>
        <w:spacing w:line="500" w:lineRule="exact"/>
        <w:rPr>
          <w:rFonts w:ascii="宋体" w:hAnsi="宋体" w:cs="宋体"/>
          <w:b/>
          <w:bCs/>
          <w:sz w:val="32"/>
          <w:szCs w:val="32"/>
          <w:highlight w:val="none"/>
        </w:rPr>
      </w:pPr>
    </w:p>
    <w:p w14:paraId="3D110798">
      <w:pPr>
        <w:spacing w:line="500" w:lineRule="exact"/>
        <w:outlineLvl w:val="0"/>
        <w:rPr>
          <w:rFonts w:ascii="宋体" w:hAnsi="宋体" w:cs="宋体"/>
          <w:b/>
          <w:sz w:val="44"/>
          <w:szCs w:val="44"/>
          <w:highlight w:val="none"/>
        </w:rPr>
      </w:pPr>
    </w:p>
    <w:p w14:paraId="56CB0ECC">
      <w:pPr>
        <w:spacing w:line="500" w:lineRule="exact"/>
        <w:outlineLvl w:val="0"/>
        <w:rPr>
          <w:rFonts w:ascii="宋体" w:hAnsi="宋体" w:cs="宋体"/>
          <w:sz w:val="44"/>
          <w:szCs w:val="44"/>
          <w:highlight w:val="none"/>
        </w:rPr>
      </w:pPr>
    </w:p>
    <w:p w14:paraId="4624A8EF">
      <w:pPr>
        <w:spacing w:line="500" w:lineRule="exact"/>
        <w:outlineLvl w:val="0"/>
        <w:rPr>
          <w:rFonts w:ascii="宋体" w:hAnsi="宋体" w:cs="宋体"/>
          <w:sz w:val="44"/>
          <w:szCs w:val="44"/>
          <w:highlight w:val="none"/>
        </w:rPr>
      </w:pPr>
    </w:p>
    <w:p w14:paraId="7A8FB9A3">
      <w:pPr>
        <w:spacing w:line="500" w:lineRule="exact"/>
        <w:outlineLvl w:val="0"/>
        <w:rPr>
          <w:rFonts w:ascii="宋体" w:hAnsi="宋体" w:cs="宋体"/>
          <w:sz w:val="44"/>
          <w:szCs w:val="44"/>
          <w:highlight w:val="none"/>
        </w:rPr>
      </w:pPr>
    </w:p>
    <w:p w14:paraId="24808AD5">
      <w:pPr>
        <w:spacing w:line="500" w:lineRule="exact"/>
        <w:outlineLvl w:val="0"/>
        <w:rPr>
          <w:rFonts w:ascii="宋体" w:hAnsi="宋体" w:cs="宋体"/>
          <w:sz w:val="44"/>
          <w:szCs w:val="44"/>
          <w:highlight w:val="none"/>
        </w:rPr>
      </w:pPr>
    </w:p>
    <w:p w14:paraId="7185CC38">
      <w:pPr>
        <w:spacing w:line="500" w:lineRule="exact"/>
        <w:outlineLvl w:val="0"/>
        <w:rPr>
          <w:rFonts w:ascii="宋体" w:hAnsi="宋体" w:cs="宋体"/>
          <w:sz w:val="44"/>
          <w:szCs w:val="44"/>
          <w:highlight w:val="none"/>
        </w:rPr>
      </w:pPr>
    </w:p>
    <w:p w14:paraId="5C7C55CB">
      <w:pPr>
        <w:adjustRightInd w:val="0"/>
        <w:snapToGrid w:val="0"/>
        <w:spacing w:line="500" w:lineRule="exact"/>
        <w:jc w:val="center"/>
        <w:outlineLvl w:val="0"/>
        <w:rPr>
          <w:rFonts w:ascii="宋体" w:hAnsi="宋体" w:cs="宋体"/>
          <w:b/>
          <w:sz w:val="32"/>
          <w:szCs w:val="32"/>
          <w:highlight w:val="none"/>
        </w:rPr>
      </w:pPr>
      <w:bookmarkStart w:id="0" w:name="OLE_LINK5"/>
      <w:bookmarkStart w:id="1" w:name="OLE_LINK7"/>
    </w:p>
    <w:p w14:paraId="6B6D1B72">
      <w:pPr>
        <w:adjustRightInd w:val="0"/>
        <w:snapToGrid w:val="0"/>
        <w:spacing w:line="500" w:lineRule="exact"/>
        <w:jc w:val="center"/>
        <w:outlineLvl w:val="0"/>
        <w:rPr>
          <w:rFonts w:ascii="宋体" w:hAnsi="宋体" w:cs="宋体"/>
          <w:b/>
          <w:sz w:val="32"/>
          <w:szCs w:val="32"/>
          <w:highlight w:val="none"/>
        </w:rPr>
      </w:pPr>
    </w:p>
    <w:p w14:paraId="5150245B">
      <w:pPr>
        <w:adjustRightInd w:val="0"/>
        <w:snapToGrid w:val="0"/>
        <w:spacing w:line="500" w:lineRule="exact"/>
        <w:jc w:val="center"/>
        <w:outlineLvl w:val="0"/>
        <w:rPr>
          <w:rFonts w:ascii="宋体" w:hAnsi="宋体" w:cs="宋体"/>
          <w:b/>
          <w:sz w:val="32"/>
          <w:szCs w:val="32"/>
          <w:highlight w:val="none"/>
        </w:rPr>
      </w:pPr>
    </w:p>
    <w:p w14:paraId="01E67D59">
      <w:pPr>
        <w:adjustRightInd w:val="0"/>
        <w:snapToGrid w:val="0"/>
        <w:spacing w:line="500" w:lineRule="exact"/>
        <w:jc w:val="center"/>
        <w:outlineLvl w:val="0"/>
        <w:rPr>
          <w:rFonts w:ascii="宋体" w:hAnsi="宋体" w:cs="宋体"/>
          <w:b/>
          <w:sz w:val="32"/>
          <w:szCs w:val="32"/>
          <w:highlight w:val="none"/>
        </w:rPr>
      </w:pPr>
    </w:p>
    <w:p w14:paraId="587054B3">
      <w:pPr>
        <w:adjustRightInd w:val="0"/>
        <w:snapToGrid w:val="0"/>
        <w:spacing w:line="500" w:lineRule="exact"/>
        <w:jc w:val="center"/>
        <w:outlineLvl w:val="0"/>
        <w:rPr>
          <w:rFonts w:ascii="宋体" w:hAnsi="宋体" w:cs="宋体"/>
          <w:b/>
          <w:sz w:val="32"/>
          <w:szCs w:val="32"/>
          <w:highlight w:val="none"/>
        </w:rPr>
      </w:pPr>
      <w:r>
        <w:rPr>
          <w:rFonts w:hint="eastAsia" w:ascii="宋体" w:hAnsi="宋体" w:cs="宋体"/>
          <w:b/>
          <w:sz w:val="32"/>
          <w:szCs w:val="32"/>
          <w:highlight w:val="none"/>
        </w:rPr>
        <w:br w:type="page"/>
      </w:r>
      <w:r>
        <w:rPr>
          <w:rFonts w:hint="eastAsia" w:ascii="黑体" w:hAnsi="黑体" w:eastAsia="黑体" w:cs="黑体"/>
          <w:b/>
          <w:sz w:val="36"/>
          <w:szCs w:val="36"/>
          <w:highlight w:val="none"/>
        </w:rPr>
        <w:t>第一部分 投标邀请</w:t>
      </w:r>
    </w:p>
    <w:p w14:paraId="79368967">
      <w:pPr>
        <w:adjustRightInd w:val="0"/>
        <w:snapToGrid w:val="0"/>
        <w:spacing w:line="500" w:lineRule="exact"/>
        <w:jc w:val="center"/>
        <w:outlineLvl w:val="0"/>
        <w:rPr>
          <w:rFonts w:ascii="宋体" w:hAnsi="宋体" w:cs="宋体"/>
          <w:b/>
          <w:sz w:val="32"/>
          <w:szCs w:val="32"/>
          <w:highlight w:val="none"/>
        </w:rPr>
      </w:pPr>
    </w:p>
    <w:p w14:paraId="745B9AC6">
      <w:pPr>
        <w:pBdr>
          <w:top w:val="single" w:color="auto" w:sz="4" w:space="1"/>
          <w:left w:val="single" w:color="auto" w:sz="4" w:space="4"/>
          <w:bottom w:val="single" w:color="auto" w:sz="4" w:space="1"/>
          <w:right w:val="single" w:color="auto" w:sz="4" w:space="4"/>
        </w:pBdr>
        <w:adjustRightInd w:val="0"/>
        <w:snapToGrid w:val="0"/>
        <w:spacing w:line="560" w:lineRule="exact"/>
        <w:ind w:firstLine="560" w:firstLineChars="200"/>
        <w:rPr>
          <w:rFonts w:ascii="方正仿宋_GBK" w:hAnsi="方正仿宋_GBK" w:eastAsia="方正仿宋_GBK" w:cs="方正仿宋_GBK"/>
          <w:sz w:val="28"/>
          <w:szCs w:val="28"/>
          <w:highlight w:val="none"/>
        </w:rPr>
      </w:pPr>
      <w:bookmarkStart w:id="2" w:name="OLE_LINK6"/>
      <w:r>
        <w:rPr>
          <w:rFonts w:hint="eastAsia" w:ascii="方正仿宋_GBK" w:hAnsi="方正仿宋_GBK" w:eastAsia="方正仿宋_GBK" w:cs="方正仿宋_GBK"/>
          <w:sz w:val="28"/>
          <w:szCs w:val="28"/>
          <w:highlight w:val="none"/>
        </w:rPr>
        <w:t>项目概况</w:t>
      </w:r>
    </w:p>
    <w:p w14:paraId="26C634C4">
      <w:pPr>
        <w:pBdr>
          <w:top w:val="single" w:color="auto" w:sz="4" w:space="1"/>
          <w:left w:val="single" w:color="auto" w:sz="4" w:space="4"/>
          <w:bottom w:val="single" w:color="auto" w:sz="4" w:space="1"/>
          <w:right w:val="single" w:color="auto" w:sz="4" w:space="4"/>
        </w:pBd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（南通好通能源有限公司）的（</w:t>
      </w:r>
      <w:r>
        <w:rPr>
          <w:rFonts w:hint="eastAsia" w:ascii="方正仿宋_GBK" w:hAnsi="方正仿宋_GBK" w:eastAsia="方正仿宋_GBK" w:cs="方正仿宋_GBK"/>
          <w:kern w:val="1"/>
          <w:sz w:val="28"/>
          <w:szCs w:val="28"/>
          <w:highlight w:val="none"/>
        </w:rPr>
        <w:t>售电业务合作单位</w:t>
      </w:r>
      <w:r>
        <w:rPr>
          <w:rFonts w:hint="eastAsia" w:ascii="方正仿宋_GBK" w:hAnsi="方正仿宋_GBK" w:eastAsia="方正仿宋_GBK" w:cs="方正仿宋_GBK"/>
          <w:sz w:val="28"/>
          <w:szCs w:val="28"/>
          <w:highlight w:val="none"/>
        </w:rPr>
        <w:t>）招标项目的潜在投标人应在</w:t>
      </w:r>
      <w:r>
        <w:rPr>
          <w:rFonts w:hint="eastAsia" w:ascii="方正仿宋_GBK" w:hAnsi="方正仿宋_GBK" w:eastAsia="方正仿宋_GBK" w:cs="方正仿宋_GBK"/>
          <w:b/>
          <w:bCs/>
          <w:sz w:val="28"/>
          <w:szCs w:val="28"/>
          <w:highlight w:val="none"/>
          <w:u w:val="single"/>
        </w:rPr>
        <w:t>南通市崇川区人民政府网-我要看-公告公示栏</w:t>
      </w:r>
      <w:r>
        <w:rPr>
          <w:rFonts w:hint="eastAsia" w:ascii="方正仿宋_GBK" w:hAnsi="方正仿宋_GBK" w:eastAsia="方正仿宋_GBK" w:cs="方正仿宋_GBK"/>
          <w:sz w:val="28"/>
          <w:szCs w:val="28"/>
          <w:highlight w:val="none"/>
        </w:rPr>
        <w:t>获取招标文件，并于2025年</w:t>
      </w:r>
      <w:r>
        <w:rPr>
          <w:rFonts w:hint="eastAsia" w:ascii="方正仿宋_GBK" w:hAnsi="方正仿宋_GBK" w:eastAsia="方正仿宋_GBK" w:cs="方正仿宋_GBK"/>
          <w:sz w:val="28"/>
          <w:szCs w:val="28"/>
          <w:highlight w:val="none"/>
          <w:lang w:val="en-US" w:eastAsia="zh-CN"/>
        </w:rPr>
        <w:t>05</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29</w:t>
      </w:r>
      <w:r>
        <w:rPr>
          <w:rFonts w:hint="eastAsia" w:ascii="方正仿宋_GBK" w:hAnsi="方正仿宋_GBK" w:eastAsia="方正仿宋_GBK" w:cs="方正仿宋_GBK"/>
          <w:sz w:val="28"/>
          <w:szCs w:val="28"/>
          <w:highlight w:val="none"/>
        </w:rPr>
        <w:t>日09点30分（北京时间）前递交投标文件。</w:t>
      </w:r>
    </w:p>
    <w:p w14:paraId="0891AD3D">
      <w:pPr>
        <w:spacing w:line="360" w:lineRule="auto"/>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一、项目基本情况</w:t>
      </w:r>
      <w:r>
        <w:rPr>
          <w:rFonts w:hint="eastAsia" w:ascii="方正仿宋_GBK" w:hAnsi="方正仿宋_GBK" w:eastAsia="方正仿宋_GBK" w:cs="方正仿宋_GBK"/>
          <w:b/>
          <w:sz w:val="28"/>
          <w:szCs w:val="28"/>
          <w:highlight w:val="none"/>
        </w:rPr>
        <w:tab/>
      </w:r>
    </w:p>
    <w:p w14:paraId="273718BF">
      <w:pPr>
        <w:spacing w:line="360" w:lineRule="auto"/>
        <w:ind w:firstLine="560" w:firstLineChars="200"/>
        <w:rPr>
          <w:rFonts w:ascii="方正仿宋_GBK" w:hAnsi="方正仿宋_GBK" w:eastAsia="方正仿宋_GBK" w:cs="方正仿宋_GBK"/>
          <w:spacing w:val="7"/>
          <w:kern w:val="0"/>
          <w:sz w:val="28"/>
          <w:szCs w:val="22"/>
          <w:highlight w:val="none"/>
        </w:rPr>
      </w:pPr>
      <w:r>
        <w:rPr>
          <w:rFonts w:hint="eastAsia" w:ascii="方正仿宋_GBK" w:hAnsi="方正仿宋_GBK" w:eastAsia="方正仿宋_GBK" w:cs="方正仿宋_GBK"/>
          <w:sz w:val="28"/>
          <w:szCs w:val="28"/>
          <w:highlight w:val="none"/>
        </w:rPr>
        <w:t>项目编号：YTNT20250008</w:t>
      </w:r>
    </w:p>
    <w:p w14:paraId="0BA623C3">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项目名称：</w:t>
      </w:r>
      <w:r>
        <w:rPr>
          <w:rFonts w:hint="eastAsia" w:ascii="方正仿宋_GBK" w:hAnsi="方正仿宋_GBK" w:eastAsia="方正仿宋_GBK" w:cs="方正仿宋_GBK"/>
          <w:kern w:val="1"/>
          <w:sz w:val="28"/>
          <w:szCs w:val="28"/>
          <w:highlight w:val="none"/>
        </w:rPr>
        <w:t>能源公司售电业务合作单位项目</w:t>
      </w:r>
    </w:p>
    <w:p w14:paraId="67DC2DE2">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招标需求：详见招标文件，请仔细研究。</w:t>
      </w:r>
    </w:p>
    <w:p w14:paraId="21D3464D">
      <w:pPr>
        <w:pStyle w:val="15"/>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运营区域：江苏省；</w:t>
      </w:r>
    </w:p>
    <w:p w14:paraId="4F306590">
      <w:pPr>
        <w:pStyle w:val="15"/>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电量及收益要求：协议签订后，中标人开展售电签约工作，需确保招标人售电业务年度收益为正数。</w:t>
      </w:r>
      <w:r>
        <w:rPr>
          <w:rFonts w:ascii="方正仿宋_GBK" w:hAnsi="方正仿宋_GBK" w:eastAsia="方正仿宋_GBK" w:cs="方正仿宋_GBK"/>
          <w:sz w:val="28"/>
          <w:szCs w:val="28"/>
          <w:highlight w:val="none"/>
        </w:rPr>
        <w:t>2025年需达到入市要求4000万千瓦时，力争完成1亿千瓦时交易</w:t>
      </w:r>
      <w:r>
        <w:rPr>
          <w:rFonts w:ascii="方正仿宋_GBK" w:hAnsi="方正仿宋_GBK" w:eastAsia="方正仿宋_GBK" w:cs="方正仿宋_GBK"/>
          <w:szCs w:val="28"/>
          <w:highlight w:val="none"/>
        </w:rPr>
        <w:t>，</w:t>
      </w:r>
      <w:r>
        <w:rPr>
          <w:rFonts w:hint="eastAsia" w:ascii="方正仿宋_GBK" w:hAnsi="方正仿宋_GBK" w:eastAsia="方正仿宋_GBK" w:cs="方正仿宋_GBK"/>
          <w:sz w:val="28"/>
          <w:szCs w:val="28"/>
          <w:highlight w:val="none"/>
        </w:rPr>
        <w:t>招标人收益分成不低于10万元；2025年完成电力用户签约电量不低于3亿千瓦时参与2026年交易，招标人收益分成不低于60万元，后续每年完成电力用户签约电量增量不少于30%，即2026年完成电力用户签约电量不低于4亿千瓦时参与2027年交易，招标人收益分成不低于80万元；2027年完成电力用户签约电量不低于5亿千瓦时参与2028年交易，招标人收益分成不低于100万元。</w:t>
      </w:r>
    </w:p>
    <w:p w14:paraId="1A4F1789">
      <w:pPr>
        <w:pStyle w:val="15"/>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投标报价要求：购电交易侧和用户开发侧分别以分成比例方式报价，比例必须为正数，小数部分取前两位（如有）。</w:t>
      </w:r>
    </w:p>
    <w:p w14:paraId="2A53C7D7">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最高投标限价：（1）购电交易侧：中标人按当期江苏省年度双边协商交易均价与实际购电成本均价的差额部分正收益取分成比例不高于55%;（2）中标人开发的用户：中标人按售出价与江苏省年度双边协商交易均价及月度集中竞价交易价格差额部分取分成比例不高于96%。</w:t>
      </w:r>
    </w:p>
    <w:p w14:paraId="19A0975D">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若用户签约电量不达标，按照每降低1亿千瓦时降低乙方开发用户侧1%分成比例；若签约电量降低比例超过目标交易量的50%时，甲方有权扣除全部履约保证金，并解除合同（如遇不可抗力因素，双方协商解决）。</w:t>
      </w:r>
    </w:p>
    <w:p w14:paraId="388A65BB">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合作年限：三年，满三年经考核通过后可续签1年。</w:t>
      </w:r>
    </w:p>
    <w:p w14:paraId="46C00523">
      <w:pPr>
        <w:spacing w:line="360" w:lineRule="auto"/>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二、申请人的资格要求：</w:t>
      </w:r>
    </w:p>
    <w:p w14:paraId="0C355D64">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满足以下条件：具有独立承担民事责任的能力；具有良好的商业信誉和健全的财务会计制度；具有履行合同所必需的设备和专业技术能力；具有依法缴纳税收和社会保障资金的良好记录；参加招标活动前三年内，在经营活动中没有重大违法记录；</w:t>
      </w:r>
    </w:p>
    <w:p w14:paraId="65DD88A1">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2.投标人具有有效的营业执照副本；</w:t>
      </w:r>
    </w:p>
    <w:p w14:paraId="5CD91183">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3.业绩要求：无；</w:t>
      </w:r>
    </w:p>
    <w:p w14:paraId="0AB751F6">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4.本项目不接受联合体投标。</w:t>
      </w:r>
    </w:p>
    <w:p w14:paraId="7B67E229">
      <w:pPr>
        <w:spacing w:line="360" w:lineRule="auto"/>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三、获取招标文件</w:t>
      </w:r>
    </w:p>
    <w:p w14:paraId="09E8876F">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时间：公告发布之日起5个工作日；</w:t>
      </w:r>
    </w:p>
    <w:p w14:paraId="252744B2">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地点：南通市崇川区人民政府网-我要看-公告公示栏；</w:t>
      </w:r>
    </w:p>
    <w:p w14:paraId="21B49818">
      <w:pPr>
        <w:spacing w:line="360" w:lineRule="auto"/>
        <w:ind w:firstLine="560" w:firstLineChars="200"/>
        <w:rPr>
          <w:rFonts w:ascii="方正仿宋_GBK" w:hAnsi="方正仿宋_GBK" w:eastAsia="方正仿宋_GBK" w:cs="方正仿宋_GBK"/>
          <w:spacing w:val="7"/>
          <w:sz w:val="28"/>
          <w:szCs w:val="28"/>
          <w:highlight w:val="none"/>
        </w:rPr>
      </w:pPr>
      <w:r>
        <w:rPr>
          <w:rFonts w:hint="eastAsia" w:ascii="方正仿宋_GBK" w:hAnsi="方正仿宋_GBK" w:eastAsia="方正仿宋_GBK" w:cs="方正仿宋_GBK"/>
          <w:sz w:val="28"/>
          <w:szCs w:val="28"/>
          <w:highlight w:val="none"/>
        </w:rPr>
        <w:t>方式：自行下载招标文件。</w:t>
      </w:r>
    </w:p>
    <w:p w14:paraId="56D21CFE">
      <w:pPr>
        <w:spacing w:line="360" w:lineRule="auto"/>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四、提交投标文件截止时间、开标时间和地点</w:t>
      </w:r>
    </w:p>
    <w:p w14:paraId="43DF3D1A">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2025年</w:t>
      </w:r>
      <w:r>
        <w:rPr>
          <w:rFonts w:hint="eastAsia" w:ascii="方正仿宋_GBK" w:hAnsi="方正仿宋_GBK" w:eastAsia="方正仿宋_GBK" w:cs="方正仿宋_GBK"/>
          <w:sz w:val="28"/>
          <w:szCs w:val="28"/>
          <w:highlight w:val="none"/>
          <w:lang w:val="en-US" w:eastAsia="zh-CN"/>
        </w:rPr>
        <w:t>05</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29</w:t>
      </w:r>
      <w:r>
        <w:rPr>
          <w:rFonts w:hint="eastAsia" w:ascii="方正仿宋_GBK" w:hAnsi="方正仿宋_GBK" w:eastAsia="方正仿宋_GBK" w:cs="方正仿宋_GBK"/>
          <w:sz w:val="28"/>
          <w:szCs w:val="28"/>
          <w:highlight w:val="none"/>
        </w:rPr>
        <w:t>日09点30分（北京时间）。逾时，招标人将拒绝接受投标响应文件。</w:t>
      </w:r>
    </w:p>
    <w:p w14:paraId="5F403A8B">
      <w:pPr>
        <w:spacing w:line="360" w:lineRule="auto"/>
        <w:ind w:firstLine="560" w:firstLineChars="200"/>
        <w:rPr>
          <w:rFonts w:ascii="方正仿宋_GBK" w:hAnsi="方正仿宋_GBK" w:eastAsia="方正仿宋_GBK" w:cs="方正仿宋_GBK"/>
          <w:sz w:val="28"/>
          <w:szCs w:val="28"/>
          <w:highlight w:val="none"/>
          <w:u w:val="single"/>
        </w:rPr>
      </w:pPr>
      <w:r>
        <w:rPr>
          <w:rFonts w:hint="eastAsia" w:ascii="方正仿宋_GBK" w:hAnsi="方正仿宋_GBK" w:eastAsia="方正仿宋_GBK" w:cs="方正仿宋_GBK"/>
          <w:sz w:val="28"/>
          <w:szCs w:val="28"/>
          <w:highlight w:val="none"/>
        </w:rPr>
        <w:t>地点：南通市崇川路1号建发集团二楼会议室，如有变动另行通知。</w:t>
      </w:r>
    </w:p>
    <w:p w14:paraId="1AAFDDFC">
      <w:pPr>
        <w:spacing w:line="360" w:lineRule="auto"/>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五、公告期限</w:t>
      </w:r>
    </w:p>
    <w:p w14:paraId="3EDD0C16">
      <w:pPr>
        <w:spacing w:line="360" w:lineRule="auto"/>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自本公告发布之日起5个工作日。</w:t>
      </w:r>
    </w:p>
    <w:p w14:paraId="17197C72">
      <w:pPr>
        <w:spacing w:line="360" w:lineRule="auto"/>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六、其他补充事宜</w:t>
      </w:r>
    </w:p>
    <w:p w14:paraId="174DAFE9">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(一）投标保证金：人民币10万元整，投标保证金交纳方式：银行转帐、银行电汇、银行汇票、银行保函等形式。如为银行转帐、银行电汇形式，以投标人自身的名义通过其基本账户一次性足额提交到如下账户：</w:t>
      </w:r>
    </w:p>
    <w:p w14:paraId="548BFCBF">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投标保证金账户信息：</w:t>
      </w:r>
    </w:p>
    <w:p w14:paraId="4BEF7F90">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单位名称：南通好通能源有限公司</w:t>
      </w:r>
    </w:p>
    <w:p w14:paraId="3750C43B">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详细地址：南通市崇川区</w:t>
      </w:r>
    </w:p>
    <w:p w14:paraId="57A8B2C0">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开户银行：江苏银行港闸支行</w:t>
      </w:r>
    </w:p>
    <w:p w14:paraId="7DEF1C5C">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帐    号：50230188000694118</w:t>
      </w:r>
    </w:p>
    <w:p w14:paraId="3FD1DE1A">
      <w:pPr>
        <w:pStyle w:val="15"/>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特别说明：投标单位保证金须从企业基本账户汇出。必须标注项目名称（可简写）及费用类别，如“售电业务合作单位项目投标保证金”</w:t>
      </w:r>
    </w:p>
    <w:p w14:paraId="011D426D">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特别说明：</w:t>
      </w:r>
    </w:p>
    <w:p w14:paraId="01BA1D55">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1.未按上述要求提交投标保证金的投标人，招标人有权拒绝其投标文件。</w:t>
      </w:r>
    </w:p>
    <w:p w14:paraId="6AC8B78B">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2.未中标单位的投标保证金定标后予以退还；中标单位的投标保证金在合同生效后5日内予以退还。</w:t>
      </w:r>
    </w:p>
    <w:p w14:paraId="05D13335">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3.发生下列情况之一，投标保证金将不予退还：</w:t>
      </w:r>
    </w:p>
    <w:p w14:paraId="5CD69CAF">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（1）投标人在提交投标文件截止时间后撤回投标文件的；</w:t>
      </w:r>
    </w:p>
    <w:p w14:paraId="5F78C2DC">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（2）投标人在投标文件中提供虚假材料的；</w:t>
      </w:r>
    </w:p>
    <w:p w14:paraId="0966C916">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（3）除因不可抗力或招标文件认可的情形以外，中标人不按规定缴纳履约保证金或不与招标人签订合同的； </w:t>
      </w:r>
    </w:p>
    <w:p w14:paraId="53F21085">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（4）投标人与招标人、其他投标人或者代理机构恶意串通的；</w:t>
      </w:r>
    </w:p>
    <w:p w14:paraId="4C43DE00">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（5）投标人在招标过程中有违反有关法律法规的行为；</w:t>
      </w:r>
    </w:p>
    <w:p w14:paraId="6E74AECA">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（6）招标文件规定的其他情形的。</w:t>
      </w:r>
    </w:p>
    <w:p w14:paraId="1D15876E">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（二）履约保证金：本项目履约保证金为30万元整，缴纳形式：银行转账（必须从投标人基本账户转出）或现金或保函（银行出具）等形式，</w:t>
      </w:r>
      <w:r>
        <w:rPr>
          <w:rFonts w:hint="eastAsia" w:ascii="方正仿宋_GBK" w:hAnsi="方正仿宋_GBK" w:eastAsia="方正仿宋_GBK" w:cs="方正仿宋_GBK"/>
          <w:b/>
          <w:bCs/>
          <w:sz w:val="28"/>
          <w:szCs w:val="28"/>
          <w:highlight w:val="none"/>
        </w:rPr>
        <w:t>具体方式由中标单位与招标人确认后进行缴纳</w:t>
      </w:r>
      <w:r>
        <w:rPr>
          <w:rFonts w:hint="eastAsia" w:ascii="方正仿宋_GBK" w:hAnsi="方正仿宋_GBK" w:eastAsia="方正仿宋_GBK" w:cs="方正仿宋_GBK"/>
          <w:sz w:val="28"/>
          <w:szCs w:val="28"/>
          <w:highlight w:val="none"/>
        </w:rPr>
        <w:t>。所有项目履约完成，扣除违约金、损失赔偿金后，履约保证金的剩余金额予以退还（无息）。</w:t>
      </w:r>
    </w:p>
    <w:p w14:paraId="41CA0820">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招标人发出中标通知书后5个工作日内，中标人应向招标人递交履约保证金，否则招标人有权按中标人自动放弃中标资格处理，同时投标保证金不予退还，该金额不足以弥补给招标人造成的直接和间接损失的（包括但不限于二次招标发生的招标费用、中标差价、招标代理服务费等），中标人应予补足。</w:t>
      </w:r>
    </w:p>
    <w:p w14:paraId="518607EB">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（三）其他</w:t>
      </w:r>
    </w:p>
    <w:p w14:paraId="77D2B2F8">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1.项目开标活动模式：见面开标模式，投标人在现场参加开标会。</w:t>
      </w:r>
    </w:p>
    <w:p w14:paraId="4B2C2FD0">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2.项目演示、样品：无。</w:t>
      </w:r>
    </w:p>
    <w:p w14:paraId="56E51299">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3.对项目需求部分（投标人资格要求、项目需求、商务技术评分标准）的询问、质疑请向招标人提出，由招标人负责答复；对项目招标文件其他部分的询问请向代理机构经办人提出。</w:t>
      </w:r>
    </w:p>
    <w:p w14:paraId="24061B5A">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投标人应依照规定提交各类声明函、承诺函，不再同时提供原件备查或提供有关部门出具的相关证明文件。但投标人应做好提交声明函、承诺函、认证、业绩等相应原件的核查准备；核查后发现虚假或违背承诺的，依照相关法律法规的规定处理。</w:t>
      </w:r>
    </w:p>
    <w:p w14:paraId="6C9F8700">
      <w:pPr>
        <w:spacing w:line="560" w:lineRule="exact"/>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七、对本次招标提出询问，请按以下方式联系。</w:t>
      </w:r>
    </w:p>
    <w:p w14:paraId="47D6A789">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1.招标人信息</w:t>
      </w:r>
    </w:p>
    <w:p w14:paraId="4B83CA3D">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名称：南通好通能源有限公司</w:t>
      </w:r>
    </w:p>
    <w:p w14:paraId="0EFEF727">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地址：南通市城港路18号城镇房地产大楼</w:t>
      </w:r>
    </w:p>
    <w:p w14:paraId="4A8613EA">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联系人：王工</w:t>
      </w:r>
    </w:p>
    <w:p w14:paraId="6048F943">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联系方式：0513-66889926</w:t>
      </w:r>
    </w:p>
    <w:p w14:paraId="06697FA5">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2.招标代理机构信息</w:t>
      </w:r>
    </w:p>
    <w:p w14:paraId="38C6E835">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名称：南通永拓建设项目管理有限公司</w:t>
      </w:r>
    </w:p>
    <w:p w14:paraId="497212A6">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地址：江苏省南通市崇川区工农北路388号盈泰汇3号楼16~17层</w:t>
      </w:r>
    </w:p>
    <w:p w14:paraId="553DC249">
      <w:pPr>
        <w:spacing w:line="560" w:lineRule="exact"/>
        <w:ind w:firstLine="560" w:firstLineChars="200"/>
        <w:rPr>
          <w:rFonts w:ascii="方正仿宋_GBK" w:hAnsi="方正仿宋_GBK" w:eastAsia="方正仿宋_GBK" w:cs="方正仿宋_GBK"/>
          <w:spacing w:val="7"/>
          <w:sz w:val="28"/>
          <w:szCs w:val="28"/>
          <w:highlight w:val="none"/>
        </w:rPr>
      </w:pPr>
      <w:r>
        <w:rPr>
          <w:rFonts w:hint="eastAsia" w:ascii="方正仿宋_GBK" w:hAnsi="方正仿宋_GBK" w:eastAsia="方正仿宋_GBK" w:cs="方正仿宋_GBK"/>
          <w:sz w:val="28"/>
          <w:szCs w:val="28"/>
          <w:highlight w:val="none"/>
        </w:rPr>
        <w:t>联系方式：储圆圆 13016790309</w:t>
      </w:r>
    </w:p>
    <w:p w14:paraId="1CE95495">
      <w:pPr>
        <w:adjustRightInd w:val="0"/>
        <w:snapToGrid w:val="0"/>
        <w:spacing w:line="560" w:lineRule="exact"/>
        <w:ind w:firstLine="560" w:firstLineChars="200"/>
        <w:rPr>
          <w:rFonts w:ascii="方正仿宋_GBK" w:hAnsi="方正仿宋_GBK" w:eastAsia="方正仿宋_GBK" w:cs="方正仿宋_GBK"/>
          <w:b/>
          <w:bCs/>
          <w:sz w:val="28"/>
          <w:szCs w:val="28"/>
          <w:highlight w:val="none"/>
        </w:rPr>
      </w:pPr>
    </w:p>
    <w:p w14:paraId="77321924">
      <w:pPr>
        <w:jc w:val="center"/>
        <w:rPr>
          <w:rFonts w:ascii="宋体" w:hAnsi="宋体" w:cs="宋体"/>
          <w:bCs/>
          <w:sz w:val="36"/>
          <w:szCs w:val="36"/>
          <w:highlight w:val="none"/>
        </w:rPr>
      </w:pPr>
      <w:r>
        <w:rPr>
          <w:rFonts w:hint="eastAsia" w:ascii="宋体" w:hAnsi="宋体" w:cs="宋体"/>
          <w:bCs/>
          <w:sz w:val="36"/>
          <w:szCs w:val="36"/>
          <w:highlight w:val="none"/>
        </w:rPr>
        <w:br w:type="page"/>
      </w:r>
      <w:r>
        <w:rPr>
          <w:rFonts w:hint="eastAsia" w:ascii="黑体" w:hAnsi="黑体" w:eastAsia="黑体" w:cs="黑体"/>
          <w:b/>
          <w:sz w:val="36"/>
          <w:szCs w:val="36"/>
          <w:highlight w:val="none"/>
        </w:rPr>
        <w:t>第二部分  投标须知</w:t>
      </w:r>
    </w:p>
    <w:p w14:paraId="1872C516">
      <w:pPr>
        <w:pStyle w:val="4"/>
        <w:adjustRightInd w:val="0"/>
        <w:snapToGrid w:val="0"/>
        <w:spacing w:before="0" w:after="0" w:line="560" w:lineRule="exact"/>
        <w:ind w:firstLine="560" w:firstLineChars="200"/>
        <w:rPr>
          <w:rFonts w:ascii="方正仿宋_GBK" w:hAnsi="方正仿宋_GBK" w:eastAsia="方正仿宋_GBK" w:cs="方正仿宋_GBK"/>
          <w:sz w:val="28"/>
          <w:szCs w:val="28"/>
          <w:highlight w:val="none"/>
        </w:rPr>
      </w:pPr>
      <w:bookmarkStart w:id="3" w:name="_Toc20823275"/>
      <w:bookmarkStart w:id="4" w:name="_Toc16938519"/>
      <w:bookmarkStart w:id="5" w:name="_Toc513029203"/>
      <w:bookmarkStart w:id="6" w:name="_Toc120614214"/>
      <w:r>
        <w:rPr>
          <w:rFonts w:hint="eastAsia" w:ascii="方正仿宋_GBK" w:hAnsi="方正仿宋_GBK" w:eastAsia="方正仿宋_GBK" w:cs="方正仿宋_GBK"/>
          <w:sz w:val="28"/>
          <w:szCs w:val="28"/>
          <w:highlight w:val="none"/>
        </w:rPr>
        <w:t>一、总则</w:t>
      </w:r>
      <w:bookmarkEnd w:id="3"/>
      <w:bookmarkEnd w:id="4"/>
      <w:bookmarkEnd w:id="5"/>
      <w:bookmarkEnd w:id="6"/>
    </w:p>
    <w:p w14:paraId="220CA08D">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bookmarkStart w:id="7" w:name="_Hlt16619475"/>
      <w:bookmarkEnd w:id="7"/>
      <w:bookmarkStart w:id="8" w:name="_Toc458694821"/>
      <w:bookmarkStart w:id="9" w:name="_Toc513029204"/>
      <w:bookmarkStart w:id="10" w:name="_Toc16938520"/>
      <w:bookmarkStart w:id="11" w:name="_Toc20823276"/>
      <w:r>
        <w:rPr>
          <w:rFonts w:hint="eastAsia" w:ascii="方正仿宋_GBK" w:hAnsi="方正仿宋_GBK" w:eastAsia="方正仿宋_GBK" w:cs="方正仿宋_GBK"/>
          <w:sz w:val="28"/>
          <w:szCs w:val="28"/>
          <w:highlight w:val="none"/>
        </w:rPr>
        <w:t>1</w:t>
      </w:r>
      <w:bookmarkEnd w:id="8"/>
      <w:r>
        <w:rPr>
          <w:rFonts w:hint="eastAsia" w:ascii="方正仿宋_GBK" w:hAnsi="方正仿宋_GBK" w:eastAsia="方正仿宋_GBK" w:cs="方正仿宋_GBK"/>
          <w:sz w:val="28"/>
          <w:szCs w:val="28"/>
          <w:highlight w:val="none"/>
        </w:rPr>
        <w:t>.招标方式</w:t>
      </w:r>
      <w:bookmarkEnd w:id="9"/>
      <w:bookmarkEnd w:id="10"/>
      <w:bookmarkEnd w:id="11"/>
    </w:p>
    <w:p w14:paraId="76405B18">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 本次招标采取公开招标方式，本招标文件仅适用于招标公告中所述项目。</w:t>
      </w:r>
    </w:p>
    <w:p w14:paraId="63D051C7">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bookmarkStart w:id="12" w:name="_Toc20823277"/>
      <w:bookmarkStart w:id="13" w:name="_Toc513029205"/>
      <w:bookmarkStart w:id="14" w:name="_Toc16938521"/>
      <w:r>
        <w:rPr>
          <w:rFonts w:hint="eastAsia" w:ascii="方正仿宋_GBK" w:hAnsi="方正仿宋_GBK" w:eastAsia="方正仿宋_GBK" w:cs="方正仿宋_GBK"/>
          <w:sz w:val="28"/>
          <w:szCs w:val="28"/>
          <w:highlight w:val="none"/>
        </w:rPr>
        <w:t>2.合格的投标人</w:t>
      </w:r>
      <w:bookmarkEnd w:id="12"/>
      <w:bookmarkEnd w:id="13"/>
      <w:bookmarkEnd w:id="14"/>
    </w:p>
    <w:p w14:paraId="7642BA32">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2.1满足招标公告中投标人的资格要求的规定。</w:t>
      </w:r>
    </w:p>
    <w:p w14:paraId="0E6C3BA4">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 满足本文件实质性条款的规定。</w:t>
      </w:r>
    </w:p>
    <w:p w14:paraId="20FEB5B7">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bookmarkStart w:id="15" w:name="_Toc20823278"/>
      <w:bookmarkStart w:id="16" w:name="_Toc16938522"/>
      <w:bookmarkStart w:id="17" w:name="_Toc513029206"/>
      <w:r>
        <w:rPr>
          <w:rFonts w:hint="eastAsia" w:ascii="方正仿宋_GBK" w:hAnsi="方正仿宋_GBK" w:eastAsia="方正仿宋_GBK" w:cs="方正仿宋_GBK"/>
          <w:sz w:val="28"/>
          <w:szCs w:val="28"/>
          <w:highlight w:val="none"/>
        </w:rPr>
        <w:t>3.适用法律</w:t>
      </w:r>
      <w:bookmarkEnd w:id="15"/>
      <w:bookmarkEnd w:id="16"/>
      <w:bookmarkEnd w:id="17"/>
    </w:p>
    <w:p w14:paraId="21E24ED9">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3.1本次招标及由此产生的合同受中华人民共和国有关的法律法规制约和保护。</w:t>
      </w:r>
    </w:p>
    <w:p w14:paraId="49753EBB">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bookmarkStart w:id="18" w:name="_Toc16938523"/>
      <w:bookmarkStart w:id="19" w:name="_Toc462564067"/>
      <w:bookmarkStart w:id="20" w:name="_Toc513029207"/>
      <w:bookmarkStart w:id="21" w:name="_Toc20823279"/>
      <w:r>
        <w:rPr>
          <w:rFonts w:hint="eastAsia" w:ascii="方正仿宋_GBK" w:hAnsi="方正仿宋_GBK" w:eastAsia="方正仿宋_GBK" w:cs="方正仿宋_GBK"/>
          <w:sz w:val="28"/>
          <w:szCs w:val="28"/>
          <w:highlight w:val="none"/>
        </w:rPr>
        <w:t>4.投标费用</w:t>
      </w:r>
      <w:bookmarkEnd w:id="18"/>
      <w:bookmarkEnd w:id="19"/>
      <w:bookmarkEnd w:id="20"/>
      <w:bookmarkEnd w:id="21"/>
    </w:p>
    <w:p w14:paraId="3294C695">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4.1 供应商应自行承担所有与参与投标有关的费用，无论投标过程中的做法和结果如何，招标人和江苏中润工程建设咨询有限公司（以下简称招标代理机构）在任何情况下均无义务和责任承担这些费用。</w:t>
      </w:r>
    </w:p>
    <w:p w14:paraId="28F8BB74">
      <w:pPr>
        <w:pStyle w:val="5"/>
        <w:adjustRightInd w:val="0"/>
        <w:snapToGrid w:val="0"/>
        <w:spacing w:line="560" w:lineRule="exact"/>
        <w:ind w:firstLine="560" w:firstLineChars="200"/>
        <w:jc w:val="both"/>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4.2本项目代理费4000元，评委费另计按实收取，由中标人承担；供应商报价时应综合考虑（不单列）。</w:t>
      </w:r>
    </w:p>
    <w:p w14:paraId="49AE8E01">
      <w:pPr>
        <w:pStyle w:val="5"/>
        <w:adjustRightInd w:val="0"/>
        <w:snapToGrid w:val="0"/>
        <w:spacing w:line="560" w:lineRule="exact"/>
        <w:ind w:firstLine="560" w:firstLineChars="200"/>
        <w:jc w:val="both"/>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代理费、评委费等费用定标后由成交候选人支付给代理机构。因中标人原因导致中标结果变更或取消中标资格等，代理费等不予退还。</w:t>
      </w:r>
    </w:p>
    <w:p w14:paraId="109ED70E">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rPr>
        <w:t>5.招标文件的约束力</w:t>
      </w:r>
    </w:p>
    <w:p w14:paraId="11F2A0E5">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5.1</w:t>
      </w:r>
      <w:r>
        <w:rPr>
          <w:rFonts w:hint="eastAsia" w:ascii="方正仿宋_GBK" w:hAnsi="方正仿宋_GBK" w:eastAsia="方正仿宋_GBK" w:cs="方正仿宋_GBK"/>
          <w:sz w:val="28"/>
          <w:szCs w:val="28"/>
          <w:highlight w:val="none"/>
        </w:rPr>
        <w:t xml:space="preserve"> 投标人一旦参加本项目招标活动，即被认为接受了本招标文件的规定和约束。</w:t>
      </w:r>
    </w:p>
    <w:p w14:paraId="3CE152B5">
      <w:pPr>
        <w:pStyle w:val="5"/>
        <w:adjustRightInd w:val="0"/>
        <w:snapToGrid w:val="0"/>
        <w:spacing w:line="560" w:lineRule="exact"/>
        <w:ind w:firstLine="560" w:firstLineChars="200"/>
        <w:jc w:val="both"/>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6.招标文件的解释</w:t>
      </w:r>
    </w:p>
    <w:p w14:paraId="1FF36FAD">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6.1</w:t>
      </w:r>
      <w:r>
        <w:rPr>
          <w:rFonts w:hint="eastAsia" w:ascii="方正仿宋_GBK" w:hAnsi="方正仿宋_GBK" w:eastAsia="方正仿宋_GBK" w:cs="方正仿宋_GBK"/>
          <w:sz w:val="28"/>
          <w:szCs w:val="28"/>
          <w:highlight w:val="none"/>
        </w:rPr>
        <w:t>招标文件需求部分（投标人资格要求、项目需求、商务技术评分标准）由招标人解释，其他部分由代理机构解释。</w:t>
      </w:r>
    </w:p>
    <w:p w14:paraId="1C843FD6">
      <w:pPr>
        <w:pStyle w:val="4"/>
        <w:adjustRightInd w:val="0"/>
        <w:snapToGrid w:val="0"/>
        <w:spacing w:before="0" w:after="0" w:line="560" w:lineRule="exact"/>
        <w:ind w:firstLine="560" w:firstLineChars="200"/>
        <w:rPr>
          <w:rFonts w:ascii="方正仿宋_GBK" w:hAnsi="方正仿宋_GBK" w:eastAsia="方正仿宋_GBK" w:cs="方正仿宋_GBK"/>
          <w:sz w:val="28"/>
          <w:szCs w:val="28"/>
          <w:highlight w:val="none"/>
        </w:rPr>
      </w:pPr>
      <w:bookmarkStart w:id="22" w:name="_Toc20823281"/>
      <w:bookmarkStart w:id="23" w:name="_Toc16938525"/>
      <w:bookmarkStart w:id="24" w:name="_Toc120614215"/>
      <w:bookmarkStart w:id="25" w:name="_Toc513029209"/>
      <w:r>
        <w:rPr>
          <w:rFonts w:hint="eastAsia" w:ascii="方正仿宋_GBK" w:hAnsi="方正仿宋_GBK" w:eastAsia="方正仿宋_GBK" w:cs="方正仿宋_GBK"/>
          <w:sz w:val="28"/>
          <w:szCs w:val="28"/>
          <w:highlight w:val="none"/>
        </w:rPr>
        <w:t>二、招标文件</w:t>
      </w:r>
      <w:bookmarkEnd w:id="22"/>
      <w:bookmarkEnd w:id="23"/>
      <w:bookmarkEnd w:id="24"/>
      <w:bookmarkEnd w:id="25"/>
    </w:p>
    <w:p w14:paraId="4279C0EC">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bookmarkStart w:id="26" w:name="_Toc513029210"/>
      <w:bookmarkStart w:id="27" w:name="_Toc16938526"/>
      <w:bookmarkStart w:id="28" w:name="_Toc20823282"/>
      <w:r>
        <w:rPr>
          <w:rFonts w:hint="eastAsia" w:ascii="方正仿宋_GBK" w:hAnsi="方正仿宋_GBK" w:eastAsia="方正仿宋_GBK" w:cs="方正仿宋_GBK"/>
          <w:sz w:val="28"/>
          <w:szCs w:val="28"/>
          <w:highlight w:val="none"/>
        </w:rPr>
        <w:t>1.招标文件构成</w:t>
      </w:r>
      <w:bookmarkEnd w:id="26"/>
      <w:bookmarkEnd w:id="27"/>
      <w:bookmarkEnd w:id="28"/>
    </w:p>
    <w:p w14:paraId="38598F4C">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1.1</w:t>
      </w:r>
      <w:r>
        <w:rPr>
          <w:rFonts w:hint="eastAsia" w:ascii="方正仿宋_GBK" w:hAnsi="方正仿宋_GBK" w:eastAsia="方正仿宋_GBK" w:cs="方正仿宋_GBK"/>
          <w:sz w:val="28"/>
          <w:szCs w:val="28"/>
          <w:highlight w:val="none"/>
        </w:rPr>
        <w:t xml:space="preserve"> 招标文件由以下部分组成：</w:t>
      </w:r>
    </w:p>
    <w:p w14:paraId="7CC2DB20">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（1）招标邀请</w:t>
      </w:r>
    </w:p>
    <w:p w14:paraId="3A86AFB1">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（2）投标须知</w:t>
      </w:r>
    </w:p>
    <w:p w14:paraId="0414784E">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（3）项目需求</w:t>
      </w:r>
    </w:p>
    <w:p w14:paraId="4D0557DB">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（4）开标和评标</w:t>
      </w:r>
    </w:p>
    <w:p w14:paraId="772C6B06">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（5）投标文件组成</w:t>
      </w:r>
    </w:p>
    <w:p w14:paraId="42385B19">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（6）附件（如有）</w:t>
      </w:r>
    </w:p>
    <w:p w14:paraId="0F4778A8">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请仔细检查招标文件是否齐全，如有缺漏请立即与代理机构联系解决。</w:t>
      </w:r>
    </w:p>
    <w:p w14:paraId="0A414E73">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1.2</w:t>
      </w:r>
      <w:r>
        <w:rPr>
          <w:rFonts w:hint="eastAsia" w:ascii="方正仿宋_GBK" w:hAnsi="方正仿宋_GBK" w:eastAsia="方正仿宋_GBK" w:cs="方正仿宋_GBK"/>
          <w:sz w:val="28"/>
          <w:szCs w:val="28"/>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3A71140">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bookmarkStart w:id="29" w:name="_Toc513029211"/>
      <w:bookmarkStart w:id="30" w:name="_Toc462564070"/>
      <w:bookmarkStart w:id="31" w:name="_Toc16938527"/>
      <w:bookmarkStart w:id="32" w:name="_Toc20823283"/>
      <w:r>
        <w:rPr>
          <w:rFonts w:hint="eastAsia" w:ascii="方正仿宋_GBK" w:hAnsi="方正仿宋_GBK" w:eastAsia="方正仿宋_GBK" w:cs="方正仿宋_GBK"/>
          <w:sz w:val="28"/>
          <w:szCs w:val="28"/>
          <w:highlight w:val="none"/>
        </w:rPr>
        <w:t>2.招标文件的澄清</w:t>
      </w:r>
      <w:bookmarkEnd w:id="29"/>
      <w:bookmarkEnd w:id="30"/>
      <w:bookmarkEnd w:id="31"/>
      <w:bookmarkEnd w:id="32"/>
    </w:p>
    <w:p w14:paraId="7DD9DD1D">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2.1</w:t>
      </w:r>
      <w:r>
        <w:rPr>
          <w:rFonts w:hint="eastAsia" w:ascii="方正仿宋_GBK" w:hAnsi="方正仿宋_GBK" w:eastAsia="方正仿宋_GBK" w:cs="方正仿宋_GBK"/>
          <w:sz w:val="28"/>
          <w:szCs w:val="28"/>
          <w:highlight w:val="none"/>
        </w:rPr>
        <w:t xml:space="preserve"> 任何要求对招标文件进行澄清的投标人，应在投标截止期十日前按招标公告中的通讯地址，以书面形式通知招标人。招标人有权对发出的招标文件进行必要的澄清或修改</w:t>
      </w:r>
    </w:p>
    <w:p w14:paraId="2AF411CB">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2.2招标人视情组织答疑会</w:t>
      </w:r>
    </w:p>
    <w:p w14:paraId="02462475">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bookmarkStart w:id="33" w:name="_Toc462564071"/>
      <w:bookmarkStart w:id="34" w:name="_Toc16938528"/>
      <w:bookmarkStart w:id="35" w:name="_Toc513029212"/>
      <w:bookmarkStart w:id="36" w:name="_Toc20823284"/>
      <w:r>
        <w:rPr>
          <w:rFonts w:hint="eastAsia" w:ascii="方正仿宋_GBK" w:hAnsi="方正仿宋_GBK" w:eastAsia="方正仿宋_GBK" w:cs="方正仿宋_GBK"/>
          <w:sz w:val="28"/>
          <w:szCs w:val="28"/>
          <w:highlight w:val="none"/>
        </w:rPr>
        <w:t>3.招标文件的修改</w:t>
      </w:r>
      <w:bookmarkEnd w:id="33"/>
      <w:bookmarkEnd w:id="34"/>
      <w:bookmarkEnd w:id="35"/>
      <w:bookmarkEnd w:id="36"/>
    </w:p>
    <w:p w14:paraId="2DACDD09">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3.1</w:t>
      </w:r>
      <w:r>
        <w:rPr>
          <w:rFonts w:hint="eastAsia" w:ascii="方正仿宋_GBK" w:hAnsi="方正仿宋_GBK" w:eastAsia="方正仿宋_GBK" w:cs="方正仿宋_GBK"/>
          <w:sz w:val="28"/>
          <w:szCs w:val="28"/>
          <w:highlight w:val="none"/>
        </w:rPr>
        <w:t xml:space="preserve"> 在投标截止时间前，代理机构可以对招标文件进行修改。</w:t>
      </w:r>
    </w:p>
    <w:p w14:paraId="351F4A47">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 xml:space="preserve">3.2 </w:t>
      </w:r>
      <w:r>
        <w:rPr>
          <w:rFonts w:hint="eastAsia" w:ascii="方正仿宋_GBK" w:hAnsi="方正仿宋_GBK" w:eastAsia="方正仿宋_GBK" w:cs="方正仿宋_GBK"/>
          <w:sz w:val="28"/>
          <w:szCs w:val="28"/>
          <w:highlight w:val="none"/>
        </w:rPr>
        <w:t>代理机构有权按照法定的要求推迟投标截止日期和开标日期。</w:t>
      </w:r>
    </w:p>
    <w:p w14:paraId="4F8059A6">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 xml:space="preserve">3.3 </w:t>
      </w:r>
      <w:r>
        <w:rPr>
          <w:rFonts w:hint="eastAsia" w:ascii="方正仿宋_GBK" w:hAnsi="方正仿宋_GBK" w:eastAsia="方正仿宋_GBK" w:cs="方正仿宋_GBK"/>
          <w:sz w:val="28"/>
          <w:szCs w:val="28"/>
          <w:highlight w:val="none"/>
        </w:rPr>
        <w:t>招标文件的修改将在南通市崇川区人民政府网公布，补充文件将作为招标文件的组成部分，并对投标人具有约束力。</w:t>
      </w:r>
    </w:p>
    <w:p w14:paraId="2F6A8B11">
      <w:pPr>
        <w:pStyle w:val="4"/>
        <w:adjustRightInd w:val="0"/>
        <w:snapToGrid w:val="0"/>
        <w:spacing w:before="0" w:after="0" w:line="560" w:lineRule="exact"/>
        <w:ind w:firstLine="560" w:firstLineChars="200"/>
        <w:rPr>
          <w:rFonts w:ascii="方正仿宋_GBK" w:hAnsi="方正仿宋_GBK" w:eastAsia="方正仿宋_GBK" w:cs="方正仿宋_GBK"/>
          <w:sz w:val="28"/>
          <w:szCs w:val="28"/>
          <w:highlight w:val="none"/>
        </w:rPr>
      </w:pPr>
      <w:bookmarkStart w:id="37" w:name="_Toc16938529"/>
      <w:bookmarkStart w:id="38" w:name="_Toc20823285"/>
      <w:bookmarkStart w:id="39" w:name="_Toc462564072"/>
      <w:bookmarkStart w:id="40" w:name="_Toc513029213"/>
      <w:bookmarkStart w:id="41" w:name="_Toc120614216"/>
      <w:r>
        <w:rPr>
          <w:rFonts w:hint="eastAsia" w:ascii="方正仿宋_GBK" w:hAnsi="方正仿宋_GBK" w:eastAsia="方正仿宋_GBK" w:cs="方正仿宋_GBK"/>
          <w:sz w:val="28"/>
          <w:szCs w:val="28"/>
          <w:highlight w:val="none"/>
        </w:rPr>
        <w:t>三、投标文件的编制</w:t>
      </w:r>
      <w:bookmarkEnd w:id="37"/>
      <w:bookmarkEnd w:id="38"/>
      <w:bookmarkEnd w:id="39"/>
      <w:bookmarkEnd w:id="40"/>
      <w:bookmarkEnd w:id="41"/>
    </w:p>
    <w:p w14:paraId="6ECAAE79">
      <w:pPr>
        <w:pStyle w:val="5"/>
        <w:adjustRightInd w:val="0"/>
        <w:snapToGrid w:val="0"/>
        <w:spacing w:line="560" w:lineRule="exact"/>
        <w:ind w:firstLine="560" w:firstLineChars="200"/>
        <w:jc w:val="both"/>
        <w:rPr>
          <w:rFonts w:ascii="方正仿宋_GBK" w:hAnsi="方正仿宋_GBK" w:eastAsia="方正仿宋_GBK" w:cs="方正仿宋_GBK"/>
          <w:bCs/>
          <w:sz w:val="28"/>
          <w:szCs w:val="28"/>
          <w:highlight w:val="none"/>
        </w:rPr>
      </w:pPr>
      <w:bookmarkStart w:id="42" w:name="_Toc16938530"/>
      <w:bookmarkStart w:id="43" w:name="_Toc462564073"/>
      <w:bookmarkStart w:id="44" w:name="_Toc513029214"/>
      <w:bookmarkStart w:id="45" w:name="_Toc20823286"/>
      <w:r>
        <w:rPr>
          <w:rFonts w:hint="eastAsia" w:ascii="方正仿宋_GBK" w:hAnsi="方正仿宋_GBK" w:eastAsia="方正仿宋_GBK" w:cs="方正仿宋_GBK"/>
          <w:sz w:val="28"/>
          <w:szCs w:val="28"/>
          <w:highlight w:val="none"/>
        </w:rPr>
        <w:t>1.投标文件的语言及度量衡单位</w:t>
      </w:r>
      <w:bookmarkEnd w:id="42"/>
      <w:bookmarkEnd w:id="43"/>
      <w:bookmarkEnd w:id="44"/>
      <w:bookmarkEnd w:id="45"/>
    </w:p>
    <w:p w14:paraId="1A45E4FC">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1.1</w:t>
      </w:r>
      <w:r>
        <w:rPr>
          <w:rFonts w:hint="eastAsia" w:ascii="方正仿宋_GBK" w:hAnsi="方正仿宋_GBK" w:eastAsia="方正仿宋_GBK" w:cs="方正仿宋_GBK"/>
          <w:sz w:val="28"/>
          <w:szCs w:val="28"/>
          <w:highlight w:val="none"/>
        </w:rPr>
        <w:t xml:space="preserve"> 投标人提交的投标文件以及投标人与代理机构就有关投标的所有来往通知、函件和文件均应使用</w:t>
      </w:r>
      <w:r>
        <w:rPr>
          <w:rFonts w:hint="eastAsia" w:ascii="方正仿宋_GBK" w:hAnsi="方正仿宋_GBK" w:eastAsia="方正仿宋_GBK" w:cs="方正仿宋_GBK"/>
          <w:bCs/>
          <w:sz w:val="28"/>
          <w:szCs w:val="28"/>
          <w:highlight w:val="none"/>
        </w:rPr>
        <w:t>简体中文</w:t>
      </w:r>
      <w:r>
        <w:rPr>
          <w:rFonts w:hint="eastAsia" w:ascii="方正仿宋_GBK" w:hAnsi="方正仿宋_GBK" w:eastAsia="方正仿宋_GBK" w:cs="方正仿宋_GBK"/>
          <w:sz w:val="28"/>
          <w:szCs w:val="28"/>
          <w:highlight w:val="none"/>
        </w:rPr>
        <w:t>。</w:t>
      </w:r>
    </w:p>
    <w:p w14:paraId="282E4FCE">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1.2</w:t>
      </w:r>
      <w:r>
        <w:rPr>
          <w:rFonts w:hint="eastAsia" w:ascii="方正仿宋_GBK" w:hAnsi="方正仿宋_GBK" w:eastAsia="方正仿宋_GBK" w:cs="方正仿宋_GBK"/>
          <w:sz w:val="28"/>
          <w:szCs w:val="28"/>
          <w:highlight w:val="none"/>
        </w:rPr>
        <w:t xml:space="preserve"> 除技术性能另有规定外，投标文件所使用的度量衡单位，均须采用国家法定计量单位。</w:t>
      </w:r>
    </w:p>
    <w:p w14:paraId="71A01FDB">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bookmarkStart w:id="46" w:name="_Toc513029215"/>
      <w:bookmarkStart w:id="47" w:name="_Toc462564074"/>
      <w:bookmarkStart w:id="48" w:name="_Toc16938531"/>
      <w:bookmarkStart w:id="49" w:name="_Toc20823287"/>
      <w:r>
        <w:rPr>
          <w:rFonts w:hint="eastAsia" w:ascii="方正仿宋_GBK" w:hAnsi="方正仿宋_GBK" w:eastAsia="方正仿宋_GBK" w:cs="方正仿宋_GBK"/>
          <w:sz w:val="28"/>
          <w:szCs w:val="28"/>
          <w:highlight w:val="none"/>
        </w:rPr>
        <w:t>2.投标文件构成</w:t>
      </w:r>
      <w:bookmarkEnd w:id="46"/>
      <w:bookmarkEnd w:id="47"/>
      <w:bookmarkEnd w:id="48"/>
      <w:bookmarkEnd w:id="49"/>
    </w:p>
    <w:p w14:paraId="7573BC40">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2.1</w:t>
      </w:r>
      <w:r>
        <w:rPr>
          <w:rFonts w:hint="eastAsia" w:ascii="方正仿宋_GBK" w:hAnsi="方正仿宋_GBK" w:eastAsia="方正仿宋_GBK" w:cs="方正仿宋_GBK"/>
          <w:sz w:val="28"/>
          <w:szCs w:val="28"/>
          <w:highlight w:val="none"/>
        </w:rPr>
        <w:t xml:space="preserve"> 投标人编写的投标文件应包括资格审查文件、商务技术文件、价格文件。投标人按“第五部分 投标文件组成”要求编写投标文件</w:t>
      </w:r>
    </w:p>
    <w:p w14:paraId="6C8120E9">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bookmarkStart w:id="50" w:name="_Hlt26954838"/>
      <w:bookmarkEnd w:id="50"/>
      <w:bookmarkStart w:id="51" w:name="_Hlt26668975"/>
      <w:bookmarkEnd w:id="51"/>
      <w:bookmarkStart w:id="52" w:name="_Hlt26670360"/>
      <w:bookmarkEnd w:id="52"/>
      <w:bookmarkStart w:id="53" w:name="_Toc49090511"/>
      <w:bookmarkStart w:id="54" w:name="_Toc14577360"/>
      <w:r>
        <w:rPr>
          <w:rFonts w:hint="eastAsia" w:ascii="方正仿宋_GBK" w:hAnsi="方正仿宋_GBK" w:eastAsia="方正仿宋_GBK" w:cs="方正仿宋_GBK"/>
          <w:sz w:val="28"/>
          <w:szCs w:val="28"/>
          <w:highlight w:val="none"/>
        </w:rPr>
        <w:t>3.投标有效期</w:t>
      </w:r>
      <w:bookmarkEnd w:id="53"/>
      <w:bookmarkEnd w:id="54"/>
    </w:p>
    <w:p w14:paraId="4BF2BE8C">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3.1投标有效期为代理机构规定的开标之日后</w:t>
      </w:r>
      <w:r>
        <w:rPr>
          <w:rFonts w:hint="eastAsia" w:ascii="方正仿宋_GBK" w:hAnsi="方正仿宋_GBK" w:eastAsia="方正仿宋_GBK" w:cs="方正仿宋_GBK"/>
          <w:b/>
          <w:sz w:val="28"/>
          <w:szCs w:val="28"/>
          <w:highlight w:val="none"/>
          <w:u w:val="single"/>
        </w:rPr>
        <w:t>六十（60）天</w:t>
      </w:r>
      <w:r>
        <w:rPr>
          <w:rFonts w:hint="eastAsia" w:ascii="方正仿宋_GBK" w:hAnsi="方正仿宋_GBK" w:eastAsia="方正仿宋_GBK" w:cs="方正仿宋_GBK"/>
          <w:bCs/>
          <w:sz w:val="28"/>
          <w:szCs w:val="28"/>
          <w:highlight w:val="none"/>
        </w:rPr>
        <w:t>。投标有效期比规定短的将被视为非响应性投标而予以拒绝。</w:t>
      </w:r>
    </w:p>
    <w:p w14:paraId="5EEFCF8C">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rPr>
        <w:t>4.投标有效期的延长</w:t>
      </w:r>
    </w:p>
    <w:p w14:paraId="281C9E02">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w:t>
      </w:r>
      <w:r>
        <w:rPr>
          <w:rFonts w:hint="eastAsia" w:ascii="方正仿宋_GBK" w:hAnsi="方正仿宋_GBK" w:eastAsia="方正仿宋_GBK" w:cs="方正仿宋_GBK"/>
          <w:sz w:val="28"/>
          <w:szCs w:val="28"/>
          <w:highlight w:val="none"/>
        </w:rPr>
        <w:t>受投标有效期约束的所有权利与义务均延长至新的有效期</w:t>
      </w:r>
      <w:r>
        <w:rPr>
          <w:rFonts w:hint="eastAsia" w:ascii="方正仿宋_GBK" w:hAnsi="方正仿宋_GBK" w:eastAsia="方正仿宋_GBK" w:cs="方正仿宋_GBK"/>
          <w:bCs/>
          <w:sz w:val="28"/>
          <w:szCs w:val="28"/>
          <w:highlight w:val="none"/>
        </w:rPr>
        <w:t>。</w:t>
      </w:r>
    </w:p>
    <w:p w14:paraId="3E6CCF41">
      <w:pPr>
        <w:pStyle w:val="5"/>
        <w:adjustRightInd w:val="0"/>
        <w:snapToGrid w:val="0"/>
        <w:spacing w:line="560" w:lineRule="exact"/>
        <w:ind w:firstLine="560" w:firstLineChars="200"/>
        <w:jc w:val="both"/>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5.投标人资格要求</w:t>
      </w:r>
    </w:p>
    <w:p w14:paraId="1D2A7CA5">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5.1投标人应具备承担本项目的资格要求。</w:t>
      </w:r>
    </w:p>
    <w:p w14:paraId="79EDA74F">
      <w:pPr>
        <w:pStyle w:val="4"/>
        <w:adjustRightInd w:val="0"/>
        <w:snapToGrid w:val="0"/>
        <w:spacing w:before="0" w:after="0" w:line="560" w:lineRule="exact"/>
        <w:ind w:firstLine="560" w:firstLineChars="200"/>
        <w:rPr>
          <w:rFonts w:ascii="方正仿宋_GBK" w:hAnsi="方正仿宋_GBK" w:eastAsia="方正仿宋_GBK" w:cs="方正仿宋_GBK"/>
          <w:sz w:val="28"/>
          <w:szCs w:val="28"/>
          <w:highlight w:val="none"/>
        </w:rPr>
      </w:pPr>
      <w:bookmarkStart w:id="55" w:name="_Hlt26954739"/>
      <w:bookmarkEnd w:id="55"/>
      <w:bookmarkStart w:id="56" w:name="_Hlt26954852"/>
      <w:bookmarkEnd w:id="56"/>
      <w:bookmarkStart w:id="57" w:name="_Toc20823296"/>
      <w:bookmarkStart w:id="58" w:name="_Toc120614217"/>
      <w:bookmarkStart w:id="59" w:name="_Toc513029224"/>
      <w:bookmarkStart w:id="60" w:name="_Toc16938540"/>
      <w:r>
        <w:rPr>
          <w:rFonts w:hint="eastAsia" w:ascii="方正仿宋_GBK" w:hAnsi="方正仿宋_GBK" w:eastAsia="方正仿宋_GBK" w:cs="方正仿宋_GBK"/>
          <w:sz w:val="28"/>
          <w:szCs w:val="28"/>
          <w:highlight w:val="none"/>
        </w:rPr>
        <w:t>四、投标文件的递交</w:t>
      </w:r>
      <w:bookmarkEnd w:id="57"/>
      <w:bookmarkEnd w:id="58"/>
      <w:bookmarkEnd w:id="59"/>
      <w:bookmarkEnd w:id="60"/>
    </w:p>
    <w:p w14:paraId="3B1AD7DB">
      <w:pPr>
        <w:keepNext/>
        <w:adjustRightInd w:val="0"/>
        <w:snapToGrid w:val="0"/>
        <w:spacing w:line="560" w:lineRule="exact"/>
        <w:ind w:firstLine="560" w:firstLineChars="200"/>
        <w:outlineLvl w:val="3"/>
        <w:rPr>
          <w:rFonts w:ascii="方正仿宋_GBK" w:hAnsi="方正仿宋_GBK" w:eastAsia="方正仿宋_GBK" w:cs="方正仿宋_GBK"/>
          <w:b/>
          <w:bCs/>
          <w:kern w:val="0"/>
          <w:sz w:val="28"/>
          <w:szCs w:val="28"/>
          <w:highlight w:val="none"/>
        </w:rPr>
      </w:pPr>
      <w:bookmarkStart w:id="61" w:name="_Toc462564084"/>
      <w:bookmarkStart w:id="62" w:name="_Toc16938541"/>
      <w:bookmarkStart w:id="63" w:name="_Toc20823297"/>
      <w:bookmarkStart w:id="64" w:name="_Toc513029225"/>
      <w:bookmarkStart w:id="65" w:name="_Toc20823298"/>
      <w:bookmarkStart w:id="66" w:name="_Toc513029226"/>
      <w:bookmarkStart w:id="67" w:name="_Toc16938542"/>
      <w:r>
        <w:rPr>
          <w:rFonts w:hint="eastAsia" w:ascii="方正仿宋_GBK" w:hAnsi="方正仿宋_GBK" w:eastAsia="方正仿宋_GBK" w:cs="方正仿宋_GBK"/>
          <w:kern w:val="0"/>
          <w:sz w:val="28"/>
          <w:szCs w:val="28"/>
          <w:highlight w:val="none"/>
        </w:rPr>
        <w:t>1.响应文件</w:t>
      </w:r>
      <w:bookmarkEnd w:id="61"/>
      <w:bookmarkEnd w:id="62"/>
      <w:bookmarkEnd w:id="63"/>
      <w:bookmarkEnd w:id="64"/>
      <w:r>
        <w:rPr>
          <w:rFonts w:hint="eastAsia" w:ascii="方正仿宋_GBK" w:hAnsi="方正仿宋_GBK" w:eastAsia="方正仿宋_GBK" w:cs="方正仿宋_GBK"/>
          <w:kern w:val="0"/>
          <w:sz w:val="28"/>
          <w:szCs w:val="28"/>
          <w:highlight w:val="none"/>
        </w:rPr>
        <w:t>的提交</w:t>
      </w:r>
    </w:p>
    <w:p w14:paraId="2E7E5991">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1.1纸质响应文件三部分内容（资格审查文件、商务技术文件、价格文件）须分别单独密封，</w:t>
      </w:r>
      <w:r>
        <w:rPr>
          <w:rFonts w:hint="eastAsia" w:ascii="方正仿宋_GBK" w:hAnsi="方正仿宋_GBK" w:eastAsia="方正仿宋_GBK" w:cs="方正仿宋_GBK"/>
          <w:bCs/>
          <w:sz w:val="28"/>
          <w:szCs w:val="28"/>
          <w:highlight w:val="none"/>
          <w:lang w:val="zh-CN"/>
        </w:rPr>
        <w:t>并牢</w:t>
      </w:r>
      <w:r>
        <w:rPr>
          <w:rFonts w:hint="eastAsia" w:ascii="方正仿宋_GBK" w:hAnsi="方正仿宋_GBK" w:eastAsia="方正仿宋_GBK" w:cs="方正仿宋_GBK"/>
          <w:bCs/>
          <w:sz w:val="28"/>
          <w:szCs w:val="28"/>
          <w:highlight w:val="none"/>
        </w:rPr>
        <w:t>固装订成册，不得相互混淆。价格文件不得出现于其他响应文件中。</w:t>
      </w:r>
    </w:p>
    <w:p w14:paraId="14D550DC">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1.2</w:t>
      </w:r>
      <w:r>
        <w:rPr>
          <w:rFonts w:hint="eastAsia" w:ascii="方正仿宋_GBK" w:hAnsi="方正仿宋_GBK" w:eastAsia="方正仿宋_GBK" w:cs="方正仿宋_GBK"/>
          <w:kern w:val="0"/>
          <w:sz w:val="28"/>
          <w:szCs w:val="28"/>
          <w:highlight w:val="none"/>
        </w:rPr>
        <w:t>纸质响应文件每一部分内容均须提供“正本一份、副本一份”纸质响应文件，并将每一部分内容的正本、副本及图纸类等（如需提供图纸等其他资料的话）合并密封，分别装在三个密封袋或密封箱内（如有A3大小的图纸类，可单独密封），密封完好以不泄露投标文件内容为主要判断依据（是否严格按照招标文件装袋提交不作为无效标判定依据）。</w:t>
      </w:r>
    </w:p>
    <w:p w14:paraId="266C2079">
      <w:pPr>
        <w:snapToGrid w:val="0"/>
        <w:spacing w:line="560" w:lineRule="exact"/>
        <w:ind w:firstLine="560" w:firstLineChars="200"/>
        <w:outlineLvl w:val="1"/>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本项目要求提供电子响应文件一份，电子响应文件的内容为资格审查文件、商务技术文件、价格文件打印盖章（或电子签章）后的响应文件的扫描件（资格审查文件、商务技术文件、价格文件需分别逐页连续扫描为三个独立的PDF文件），可以采取U盘、电子光盘两种方式中任意一种方式提交，需单独密封提交。</w:t>
      </w:r>
    </w:p>
    <w:p w14:paraId="3FADB94A">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1.3纸质响应文件须</w:t>
      </w:r>
      <w:r>
        <w:rPr>
          <w:rFonts w:hint="eastAsia" w:ascii="方正仿宋_GBK" w:hAnsi="方正仿宋_GBK" w:eastAsia="方正仿宋_GBK" w:cs="方正仿宋_GBK"/>
          <w:bCs/>
          <w:sz w:val="28"/>
          <w:szCs w:val="28"/>
          <w:highlight w:val="none"/>
          <w:lang w:val="zh-CN"/>
        </w:rPr>
        <w:t>采用A4纸（</w:t>
      </w:r>
      <w:r>
        <w:rPr>
          <w:rFonts w:hint="eastAsia" w:ascii="方正仿宋_GBK" w:hAnsi="方正仿宋_GBK" w:eastAsia="方正仿宋_GBK" w:cs="方正仿宋_GBK"/>
          <w:bCs/>
          <w:sz w:val="28"/>
          <w:szCs w:val="28"/>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14:paraId="45D5126F">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1.4递交时间：</w:t>
      </w: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bCs/>
          <w:sz w:val="28"/>
          <w:szCs w:val="28"/>
          <w:highlight w:val="none"/>
        </w:rPr>
        <w:t>须在规定的响应文件接收截止时间前送达指定地点。</w:t>
      </w: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bCs/>
          <w:sz w:val="28"/>
          <w:szCs w:val="28"/>
          <w:highlight w:val="none"/>
        </w:rPr>
        <w:t>提交投标文件，即视为已响应参加政府招标活动。</w:t>
      </w:r>
    </w:p>
    <w:p w14:paraId="203AC992">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友情提醒：代理机构将拒绝接收在响应文件接收截止时间后递交的响应文件。</w:t>
      </w:r>
    </w:p>
    <w:p w14:paraId="7757CB8A">
      <w:pPr>
        <w:adjustRightInd w:val="0"/>
        <w:snapToGrid w:val="0"/>
        <w:spacing w:line="560" w:lineRule="exact"/>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2.投标截止日期</w:t>
      </w:r>
      <w:bookmarkEnd w:id="65"/>
      <w:bookmarkEnd w:id="66"/>
      <w:bookmarkEnd w:id="67"/>
    </w:p>
    <w:p w14:paraId="3D6302C3">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2.1 </w:t>
      </w: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bCs/>
          <w:sz w:val="28"/>
          <w:szCs w:val="28"/>
          <w:highlight w:val="none"/>
        </w:rPr>
        <w:t>提交响应文件的时间不得迟于招标公告中规定的响应文件提交截止时间。</w:t>
      </w:r>
    </w:p>
    <w:p w14:paraId="21585DB9">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bCs/>
          <w:sz w:val="28"/>
          <w:szCs w:val="28"/>
          <w:highlight w:val="none"/>
        </w:rPr>
        <w:t>应充分考虑到交通路况、停车、疫情管控等风险因素，如因</w:t>
      </w: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bCs/>
          <w:sz w:val="28"/>
          <w:szCs w:val="28"/>
          <w:highlight w:val="none"/>
        </w:rPr>
        <w:t>自身原因造成的投标响应文件提交不成功由</w:t>
      </w: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bCs/>
          <w:sz w:val="28"/>
          <w:szCs w:val="28"/>
          <w:highlight w:val="none"/>
        </w:rPr>
        <w:t>自行承担全部责任。</w:t>
      </w:r>
    </w:p>
    <w:p w14:paraId="1F82FDC4">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2.2</w:t>
      </w:r>
      <w:r>
        <w:rPr>
          <w:rFonts w:hint="eastAsia" w:ascii="方正仿宋_GBK" w:hAnsi="方正仿宋_GBK" w:eastAsia="方正仿宋_GBK" w:cs="方正仿宋_GBK"/>
          <w:bCs/>
          <w:sz w:val="28"/>
          <w:szCs w:val="28"/>
          <w:highlight w:val="none"/>
        </w:rPr>
        <w:t>代理机构可以按照规定，通过修改招标文件酌情延长投标截止日期，在此情况下，投标人的所有权利和义务以及投标人受制的截止日期均应以延长后新的截止日期为准。</w:t>
      </w:r>
    </w:p>
    <w:p w14:paraId="1C67075B">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bookmarkStart w:id="68" w:name="_Toc20823299"/>
      <w:bookmarkStart w:id="69" w:name="_Toc16938543"/>
      <w:bookmarkStart w:id="70" w:name="_Toc513029227"/>
      <w:r>
        <w:rPr>
          <w:rFonts w:hint="eastAsia" w:ascii="方正仿宋_GBK" w:hAnsi="方正仿宋_GBK" w:eastAsia="方正仿宋_GBK" w:cs="方正仿宋_GBK"/>
          <w:sz w:val="28"/>
          <w:szCs w:val="28"/>
          <w:highlight w:val="none"/>
        </w:rPr>
        <w:t>3.投标文件</w:t>
      </w:r>
      <w:bookmarkEnd w:id="68"/>
      <w:bookmarkEnd w:id="69"/>
      <w:bookmarkEnd w:id="70"/>
      <w:r>
        <w:rPr>
          <w:rFonts w:hint="eastAsia" w:ascii="方正仿宋_GBK" w:hAnsi="方正仿宋_GBK" w:eastAsia="方正仿宋_GBK" w:cs="方正仿宋_GBK"/>
          <w:sz w:val="28"/>
          <w:szCs w:val="28"/>
          <w:highlight w:val="none"/>
        </w:rPr>
        <w:t>的拒收</w:t>
      </w:r>
    </w:p>
    <w:p w14:paraId="5034FF55">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3.1 代理机构拒绝接收在其规定的投标截止时间后提交的任何投标文件。</w:t>
      </w:r>
    </w:p>
    <w:p w14:paraId="41AD0231">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bookmarkStart w:id="71" w:name="_Toc513029228"/>
      <w:bookmarkStart w:id="72" w:name="_Toc16938544"/>
      <w:bookmarkStart w:id="73" w:name="_Toc20823300"/>
      <w:r>
        <w:rPr>
          <w:rFonts w:hint="eastAsia" w:ascii="方正仿宋_GBK" w:hAnsi="方正仿宋_GBK" w:eastAsia="方正仿宋_GBK" w:cs="方正仿宋_GBK"/>
          <w:sz w:val="28"/>
          <w:szCs w:val="28"/>
          <w:highlight w:val="none"/>
        </w:rPr>
        <w:t>4.投标文件的撤回和修改</w:t>
      </w:r>
      <w:bookmarkEnd w:id="71"/>
      <w:bookmarkEnd w:id="72"/>
      <w:bookmarkEnd w:id="73"/>
    </w:p>
    <w:p w14:paraId="770D826E">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4.1 响应文件的撤回</w:t>
      </w:r>
    </w:p>
    <w:p w14:paraId="25C23E21">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4.1.1投标人可在响应文件提交截止时间前，书面撤回其投标响应文件。</w:t>
      </w:r>
    </w:p>
    <w:p w14:paraId="27D602AC">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4.1.2 投标人撤回投标文件，则认为其不再参与本项目投标活动。</w:t>
      </w:r>
    </w:p>
    <w:p w14:paraId="6F887ED6">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4.2 投标文件的修改</w:t>
      </w:r>
    </w:p>
    <w:p w14:paraId="50CBF1D8">
      <w:pPr>
        <w:adjustRightInd w:val="0"/>
        <w:snapToGrid w:val="0"/>
        <w:spacing w:line="560" w:lineRule="exact"/>
        <w:ind w:firstLine="560" w:firstLineChars="200"/>
        <w:rPr>
          <w:rFonts w:ascii="方正仿宋_GBK" w:hAnsi="方正仿宋_GBK" w:eastAsia="方正仿宋_GBK" w:cs="方正仿宋_GBK"/>
          <w:sz w:val="28"/>
          <w:szCs w:val="28"/>
          <w:highlight w:val="none"/>
        </w:rPr>
      </w:pPr>
      <w:bookmarkStart w:id="74" w:name="_Toc120614218"/>
      <w:bookmarkStart w:id="75" w:name="_Toc16938545"/>
      <w:bookmarkStart w:id="76" w:name="_Toc20823301"/>
      <w:bookmarkStart w:id="77" w:name="_Toc513029229"/>
      <w:r>
        <w:rPr>
          <w:rFonts w:hint="eastAsia" w:ascii="方正仿宋_GBK" w:hAnsi="方正仿宋_GBK" w:eastAsia="方正仿宋_GBK" w:cs="方正仿宋_GBK"/>
          <w:sz w:val="28"/>
          <w:szCs w:val="28"/>
          <w:highlight w:val="none"/>
        </w:rPr>
        <w:t>在响应文件提交截止时间之后，投标人不得再对其提交的响应文件进行修改。</w:t>
      </w:r>
    </w:p>
    <w:p w14:paraId="35144F8B">
      <w:pPr>
        <w:pStyle w:val="4"/>
        <w:adjustRightInd w:val="0"/>
        <w:snapToGrid w:val="0"/>
        <w:spacing w:before="0" w:after="0"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五、开标与评标</w:t>
      </w:r>
      <w:bookmarkEnd w:id="74"/>
      <w:bookmarkEnd w:id="75"/>
      <w:bookmarkEnd w:id="76"/>
      <w:bookmarkEnd w:id="77"/>
    </w:p>
    <w:p w14:paraId="1F675991">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bookmarkStart w:id="78" w:name="_Toc16938546"/>
      <w:bookmarkStart w:id="79" w:name="_Toc20823302"/>
      <w:bookmarkStart w:id="80" w:name="_Toc513029230"/>
      <w:r>
        <w:rPr>
          <w:rFonts w:hint="eastAsia" w:ascii="方正仿宋_GBK" w:hAnsi="方正仿宋_GBK" w:eastAsia="方正仿宋_GBK" w:cs="方正仿宋_GBK"/>
          <w:sz w:val="28"/>
          <w:szCs w:val="28"/>
          <w:highlight w:val="none"/>
        </w:rPr>
        <w:t>1开标</w:t>
      </w:r>
      <w:bookmarkEnd w:id="78"/>
      <w:bookmarkEnd w:id="79"/>
      <w:bookmarkEnd w:id="80"/>
    </w:p>
    <w:p w14:paraId="528BCA31">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 代理机构将在招标公告中规定的时间和地点组织公开开标。投标人应当按时在指定地点参加开标活动。</w:t>
      </w:r>
    </w:p>
    <w:p w14:paraId="69933353">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1.2开标仪</w:t>
      </w:r>
      <w:r>
        <w:rPr>
          <w:rFonts w:hint="eastAsia" w:ascii="方正仿宋_GBK" w:hAnsi="方正仿宋_GBK" w:eastAsia="方正仿宋_GBK" w:cs="方正仿宋_GBK"/>
          <w:sz w:val="28"/>
          <w:szCs w:val="28"/>
          <w:highlight w:val="none"/>
        </w:rPr>
        <w:t>式由代理机构组织。</w:t>
      </w:r>
    </w:p>
    <w:p w14:paraId="0BF9BD1F">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bookmarkStart w:id="81" w:name="_Toc20823303"/>
      <w:bookmarkStart w:id="82" w:name="_Toc16938547"/>
      <w:bookmarkStart w:id="83" w:name="_Toc513029231"/>
      <w:r>
        <w:rPr>
          <w:rFonts w:hint="eastAsia" w:ascii="方正仿宋_GBK" w:hAnsi="方正仿宋_GBK" w:eastAsia="方正仿宋_GBK" w:cs="方正仿宋_GBK"/>
          <w:sz w:val="28"/>
          <w:szCs w:val="28"/>
          <w:highlight w:val="none"/>
        </w:rPr>
        <w:t>2评标委员会</w:t>
      </w:r>
    </w:p>
    <w:p w14:paraId="00EE24D6">
      <w:pPr>
        <w:adjustRightInd w:val="0"/>
        <w:snapToGrid w:val="0"/>
        <w:spacing w:line="560" w:lineRule="exact"/>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2.1开标后，代理机构将立即组织评标委员会（以下简称评委会）进行评标。</w:t>
      </w:r>
    </w:p>
    <w:p w14:paraId="0B85C1D1">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 评委会由招标人代表和有关技术、经济等方面的专家组成，且人员构成符合政府招标有关规定。</w:t>
      </w:r>
    </w:p>
    <w:p w14:paraId="00996880">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2.3评委会独立工作，负责评审所有投标文件并确定中标候选人。</w:t>
      </w:r>
    </w:p>
    <w:p w14:paraId="751872F0">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rPr>
        <w:t>3.评标过程的保密与公正</w:t>
      </w:r>
    </w:p>
    <w:bookmarkEnd w:id="81"/>
    <w:bookmarkEnd w:id="82"/>
    <w:bookmarkEnd w:id="83"/>
    <w:p w14:paraId="438B9E72">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3.1</w:t>
      </w:r>
      <w:r>
        <w:rPr>
          <w:rFonts w:hint="eastAsia" w:ascii="方正仿宋_GBK" w:hAnsi="方正仿宋_GBK" w:eastAsia="方正仿宋_GBK" w:cs="方正仿宋_GBK"/>
          <w:bCs/>
          <w:sz w:val="28"/>
          <w:szCs w:val="28"/>
          <w:highlight w:val="none"/>
        </w:rPr>
        <w:t>公开开标后，直至向中标的投标人授予合同时止，凡是与审查、澄清、评价和比较投标的有关资料以及授标建议等，招标人、评委、代理机构均不得向投标人或与评标无关的其他人员透露。</w:t>
      </w:r>
    </w:p>
    <w:p w14:paraId="2BCB9F34">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3.2在评标过程中，投标人不得以任何行为影响评标过程，否则其投标文件将被作为无效投标文件。</w:t>
      </w:r>
    </w:p>
    <w:p w14:paraId="457B7A89">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3.3在评标期间，代理机构将设专门人员与投标人联系。</w:t>
      </w:r>
    </w:p>
    <w:p w14:paraId="2C4C4379">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3.4 代理机构和评标委员会不向未中标的投标人解释未中标原因，也不公布评标过程中的相关细节。</w:t>
      </w:r>
    </w:p>
    <w:p w14:paraId="1EB19142">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3.5 采用综合评分法的项目，公布评标结果时一并公布所有投标人的评审得分及排序情况。</w:t>
      </w:r>
    </w:p>
    <w:p w14:paraId="07C342D2">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bookmarkStart w:id="84" w:name="_Toc16938548"/>
      <w:bookmarkStart w:id="85" w:name="_Toc20823304"/>
      <w:bookmarkStart w:id="86" w:name="_Toc513029232"/>
      <w:r>
        <w:rPr>
          <w:rFonts w:hint="eastAsia" w:ascii="方正仿宋_GBK" w:hAnsi="方正仿宋_GBK" w:eastAsia="方正仿宋_GBK" w:cs="方正仿宋_GBK"/>
          <w:sz w:val="28"/>
          <w:szCs w:val="28"/>
          <w:highlight w:val="none"/>
        </w:rPr>
        <w:t>4.投标的澄清</w:t>
      </w:r>
      <w:bookmarkEnd w:id="84"/>
      <w:bookmarkEnd w:id="85"/>
      <w:bookmarkEnd w:id="86"/>
    </w:p>
    <w:p w14:paraId="7D481CA3">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4.1评标期间，为有助于投标文件的审查、评价和比较，评委会有权要求投标人对其投标文件进行澄清，但并非对每个投标人都作澄清要求。</w:t>
      </w:r>
    </w:p>
    <w:p w14:paraId="4347AD1F">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4.2接到评委会澄清要求的投标人应按评委会规定的时间和格式做出澄清，澄清的内容作为投标文件的补充部分，但投标的价格和实质性的内容不得做任何更改。</w:t>
      </w:r>
    </w:p>
    <w:p w14:paraId="3673B82B">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4.3 接到评委会澄清要求的投标人如未按规定作出澄清，其风险由投标人自行承担。</w:t>
      </w:r>
    </w:p>
    <w:p w14:paraId="7DA410A0">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bookmarkStart w:id="87" w:name="_Toc513029233"/>
      <w:bookmarkStart w:id="88" w:name="_Toc20823305"/>
      <w:bookmarkStart w:id="89" w:name="_Toc16938549"/>
      <w:r>
        <w:rPr>
          <w:rFonts w:hint="eastAsia" w:ascii="方正仿宋_GBK" w:hAnsi="方正仿宋_GBK" w:eastAsia="方正仿宋_GBK" w:cs="方正仿宋_GBK"/>
          <w:sz w:val="28"/>
          <w:szCs w:val="28"/>
          <w:highlight w:val="none"/>
        </w:rPr>
        <w:t>5对投标文件的初审</w:t>
      </w:r>
      <w:bookmarkEnd w:id="87"/>
      <w:bookmarkEnd w:id="88"/>
      <w:bookmarkEnd w:id="89"/>
    </w:p>
    <w:p w14:paraId="2DC075DF">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5.1</w:t>
      </w:r>
      <w:r>
        <w:rPr>
          <w:rFonts w:hint="eastAsia" w:ascii="方正仿宋_GBK" w:hAnsi="方正仿宋_GBK" w:eastAsia="方正仿宋_GBK" w:cs="方正仿宋_GBK"/>
          <w:bCs/>
          <w:sz w:val="28"/>
          <w:szCs w:val="28"/>
          <w:highlight w:val="none"/>
        </w:rPr>
        <w:t>投标文件初审分为资格审查和符合性审查。</w:t>
      </w:r>
    </w:p>
    <w:p w14:paraId="3396C156">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5.1.1 资格审查：依据法律法规和招标文件的规定，由招标人对投标文件中的资格证明文件进行审查。</w:t>
      </w:r>
    </w:p>
    <w:p w14:paraId="6E797E3A">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5.1.2 符合性审查：依据招标文件的规定，由评委会从投标文件的有效性、完整性和对招标文件的响应程度进行审查，以确定是否对招标文件的实质性要求作出响应。</w:t>
      </w:r>
    </w:p>
    <w:p w14:paraId="3F1CBA09">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5.1.3 未通过资格审查或符合性审查的投标人，代理机构将告知未通过资格审查或符合性审查的原因。</w:t>
      </w:r>
    </w:p>
    <w:p w14:paraId="2D5E3B24">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3134EEE1">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方正仿宋_GBK" w:hAnsi="方正仿宋_GBK" w:eastAsia="方正仿宋_GBK" w:cs="方正仿宋_GBK"/>
          <w:bCs/>
          <w:sz w:val="28"/>
          <w:szCs w:val="28"/>
          <w:highlight w:val="none"/>
        </w:rPr>
        <w:t>评委决定投标文件的响应性只根据投标文件本身的内容，而不寻求外部的证据。</w:t>
      </w:r>
    </w:p>
    <w:p w14:paraId="78613B23">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5.3</w:t>
      </w:r>
      <w:r>
        <w:rPr>
          <w:rFonts w:hint="eastAsia" w:ascii="方正仿宋_GBK" w:hAnsi="方正仿宋_GBK" w:eastAsia="方正仿宋_GBK" w:cs="方正仿宋_GBK"/>
          <w:bCs/>
          <w:sz w:val="28"/>
          <w:szCs w:val="28"/>
          <w:highlight w:val="none"/>
        </w:rPr>
        <w:t>如果投标文件实质上没有响应招标文件的要求，评委会将予以拒绝，投标人不得通过修改或撤销不合要求的偏离或保留而使其投标成为实质性响应的投标。</w:t>
      </w:r>
    </w:p>
    <w:p w14:paraId="49C1E7ED">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5.4</w:t>
      </w:r>
      <w:r>
        <w:rPr>
          <w:rFonts w:hint="eastAsia" w:ascii="方正仿宋_GBK" w:hAnsi="方正仿宋_GBK" w:eastAsia="方正仿宋_GBK" w:cs="方正仿宋_GBK"/>
          <w:bCs/>
          <w:sz w:val="28"/>
          <w:szCs w:val="28"/>
          <w:highlight w:val="none"/>
        </w:rPr>
        <w:t>评委会将对确定为实质性响应的投标进行进一步审核，看其是否有计算上或累加上的算术错误，修正错误的原则如下：</w:t>
      </w:r>
    </w:p>
    <w:p w14:paraId="33EC5FD6">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（1）投标文件中开标一览表内容与投标文件中相应内容不一致的，以开标一览表为准。</w:t>
      </w:r>
    </w:p>
    <w:p w14:paraId="2127FD7B">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（2）大写金额和小写金额不一致的，以大写金额为准。</w:t>
      </w:r>
    </w:p>
    <w:p w14:paraId="7887BA54">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（3）单价金额小数点或者百分比有明显错位的，以开标一览表的总价为准，并修改单价。</w:t>
      </w:r>
    </w:p>
    <w:p w14:paraId="50B554C0">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（4）总价金额与按单价汇总金额不一致的，以单价金额计算结果为准。</w:t>
      </w:r>
    </w:p>
    <w:p w14:paraId="08D51427">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同时出现两种以上错误的，按照前款规定的顺序修正。</w:t>
      </w:r>
    </w:p>
    <w:p w14:paraId="59D10FA2">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5.5</w:t>
      </w:r>
      <w:r>
        <w:rPr>
          <w:rFonts w:hint="eastAsia" w:ascii="方正仿宋_GBK" w:hAnsi="方正仿宋_GBK" w:eastAsia="方正仿宋_GBK" w:cs="方正仿宋_GBK"/>
          <w:bCs/>
          <w:sz w:val="28"/>
          <w:szCs w:val="28"/>
          <w:highlight w:val="none"/>
        </w:rPr>
        <w:t>评委会将按上述修正错误的方法调整投标文件中的投标报价，并告知投标人，调整后的价格应对投标人具有约束力。如果投标人不接受修正后的价格，则其投标将被拒绝。</w:t>
      </w:r>
    </w:p>
    <w:p w14:paraId="0ACE63A4">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5.6</w:t>
      </w:r>
      <w:r>
        <w:rPr>
          <w:rFonts w:hint="eastAsia" w:ascii="方正仿宋_GBK" w:hAnsi="方正仿宋_GBK" w:eastAsia="方正仿宋_GBK" w:cs="方正仿宋_GBK"/>
          <w:bCs/>
          <w:sz w:val="28"/>
          <w:szCs w:val="28"/>
          <w:highlight w:val="none"/>
        </w:rPr>
        <w:t>评委会将允许修正投标文件中不构成重大偏离的、微小的、非正规的、不一致的或不规则的地方，但这些修改不能影响任何投标人相应的名次排列。</w:t>
      </w:r>
    </w:p>
    <w:p w14:paraId="1A70164D">
      <w:pPr>
        <w:adjustRightInd w:val="0"/>
        <w:snapToGrid w:val="0"/>
        <w:spacing w:line="560" w:lineRule="exact"/>
        <w:ind w:firstLine="560" w:firstLineChars="200"/>
        <w:rPr>
          <w:rFonts w:ascii="方正仿宋_GBK" w:hAnsi="方正仿宋_GBK" w:eastAsia="方正仿宋_GBK" w:cs="方正仿宋_GBK"/>
          <w:sz w:val="28"/>
          <w:szCs w:val="28"/>
          <w:highlight w:val="none"/>
        </w:rPr>
      </w:pPr>
      <w:bookmarkStart w:id="90" w:name="_Toc20823306"/>
      <w:bookmarkStart w:id="91" w:name="_Toc16938550"/>
      <w:bookmarkStart w:id="92" w:name="_Toc513029234"/>
      <w:r>
        <w:rPr>
          <w:rFonts w:hint="eastAsia" w:ascii="方正仿宋_GBK" w:hAnsi="方正仿宋_GBK" w:eastAsia="方正仿宋_GBK" w:cs="方正仿宋_GBK"/>
          <w:sz w:val="28"/>
          <w:szCs w:val="28"/>
          <w:highlight w:val="none"/>
        </w:rPr>
        <w:t>5.7投标人在开、评标全过程中应保持通讯畅通，并安排专人与代理机构及评标委员会联系。</w:t>
      </w:r>
    </w:p>
    <w:bookmarkEnd w:id="90"/>
    <w:bookmarkEnd w:id="91"/>
    <w:bookmarkEnd w:id="92"/>
    <w:p w14:paraId="58DB6FD2">
      <w:pPr>
        <w:pStyle w:val="5"/>
        <w:adjustRightInd w:val="0"/>
        <w:snapToGrid w:val="0"/>
        <w:spacing w:line="560" w:lineRule="exact"/>
        <w:ind w:firstLine="560" w:firstLineChars="200"/>
        <w:jc w:val="both"/>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rPr>
        <w:t>6.无效投标条款和废标条款</w:t>
      </w:r>
    </w:p>
    <w:p w14:paraId="4D42AFE8">
      <w:pPr>
        <w:tabs>
          <w:tab w:val="left" w:pos="6555"/>
          <w:tab w:val="right" w:pos="8306"/>
        </w:tabs>
        <w:adjustRightInd w:val="0"/>
        <w:snapToGrid w:val="0"/>
        <w:spacing w:line="560" w:lineRule="exact"/>
        <w:ind w:firstLine="560" w:firstLineChars="200"/>
        <w:rPr>
          <w:rFonts w:ascii="方正仿宋_GBK" w:hAnsi="方正仿宋_GBK" w:eastAsia="方正仿宋_GBK" w:cs="方正仿宋_GBK"/>
          <w:b/>
          <w:sz w:val="28"/>
          <w:szCs w:val="28"/>
          <w:highlight w:val="none"/>
        </w:rPr>
      </w:pPr>
      <w:bookmarkStart w:id="93" w:name="_Toc20823307"/>
      <w:bookmarkStart w:id="94" w:name="_Toc513029235"/>
      <w:bookmarkStart w:id="95" w:name="_Toc16938551"/>
      <w:r>
        <w:rPr>
          <w:rFonts w:hint="eastAsia" w:ascii="方正仿宋_GBK" w:hAnsi="方正仿宋_GBK" w:eastAsia="方正仿宋_GBK" w:cs="方正仿宋_GBK"/>
          <w:bCs/>
          <w:sz w:val="28"/>
          <w:szCs w:val="28"/>
          <w:highlight w:val="none"/>
        </w:rPr>
        <w:t>6.1出现下列情形之一的，作无效响应处理。</w:t>
      </w:r>
      <w:r>
        <w:rPr>
          <w:rFonts w:hint="eastAsia" w:ascii="方正仿宋_GBK" w:hAnsi="方正仿宋_GBK" w:eastAsia="方正仿宋_GBK" w:cs="方正仿宋_GBK"/>
          <w:bCs/>
          <w:sz w:val="28"/>
          <w:szCs w:val="28"/>
          <w:highlight w:val="none"/>
        </w:rPr>
        <w:tab/>
      </w:r>
      <w:r>
        <w:rPr>
          <w:rFonts w:hint="eastAsia" w:ascii="方正仿宋_GBK" w:hAnsi="方正仿宋_GBK" w:eastAsia="方正仿宋_GBK" w:cs="方正仿宋_GBK"/>
          <w:b/>
          <w:sz w:val="28"/>
          <w:szCs w:val="28"/>
          <w:highlight w:val="none"/>
        </w:rPr>
        <w:tab/>
      </w:r>
    </w:p>
    <w:p w14:paraId="32A93B5E">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6.1.1</w:t>
      </w: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bCs/>
          <w:sz w:val="28"/>
          <w:szCs w:val="28"/>
          <w:highlight w:val="none"/>
        </w:rPr>
        <w:t>在规定的时间内未成功提交响应文件的。</w:t>
      </w:r>
    </w:p>
    <w:p w14:paraId="18F397D6">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6.1.2未完整提交响应文件的。</w:t>
      </w:r>
    </w:p>
    <w:p w14:paraId="34FE28B2">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6.1.3同一投标人提交两个（含两个）以上不同的响应报价的。</w:t>
      </w:r>
    </w:p>
    <w:p w14:paraId="55D4F00E">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6.1.4未在投标截止时间前按招标文件要求缴纳投标保证金的。</w:t>
      </w:r>
    </w:p>
    <w:p w14:paraId="1790E869">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6.1.5不具备招标文件中规定的资格要求的。 </w:t>
      </w:r>
    </w:p>
    <w:p w14:paraId="20E7E624">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6.1.6未通过符合性检查的。</w:t>
      </w:r>
    </w:p>
    <w:p w14:paraId="234B6539">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6.1.7不符合法律法规和招标文件中规定的其他实质性要求的。</w:t>
      </w:r>
    </w:p>
    <w:p w14:paraId="59C04FB7">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6.1.8</w:t>
      </w: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bCs/>
          <w:sz w:val="28"/>
          <w:szCs w:val="28"/>
          <w:highlight w:val="none"/>
        </w:rPr>
        <w:t>被 “信用中国”网站（www.creditchina.gov.cn）列入失信被执行人或重大税收违法案件当事人名单或招标严重失信行为记录名单，或查询“信用中国”网站后发现</w:t>
      </w: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bCs/>
          <w:sz w:val="28"/>
          <w:szCs w:val="28"/>
          <w:highlight w:val="none"/>
        </w:rPr>
        <w:t>存在其他不符合合格投标人资格条件的信用记录。</w:t>
      </w:r>
    </w:p>
    <w:p w14:paraId="31BF9A5B">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6.1.9 响应文件含有招标人不能接受的附加条件的。</w:t>
      </w:r>
    </w:p>
    <w:p w14:paraId="15C9DA19">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6.1.10评标小组认为投标人的报价明显低于其他通过符合性审查的</w:t>
      </w: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bCs/>
          <w:sz w:val="28"/>
          <w:szCs w:val="28"/>
          <w:highlight w:val="none"/>
        </w:rPr>
        <w:t>的报价，有可能影响产品质量或者不能诚信履约的，将要求其在合理的时间内提供说明，必要时提交相关证明材料；投标人不能证明其报价合理性的，评标小组应当将其作为无效响应处理。</w:t>
      </w:r>
    </w:p>
    <w:p w14:paraId="0BD94ADA">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6.1.11响应文件未按照招标文件要求盖章、密封的。</w:t>
      </w:r>
    </w:p>
    <w:p w14:paraId="69966B28">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6.1.12投标人的商务技术部分得分相差悬殊，评标委员会认为得分畸低者没有实质性响应的。</w:t>
      </w:r>
    </w:p>
    <w:p w14:paraId="0BE7F909">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6.1.13其他法律法规及本招标文件规定的属无效响应的情形。</w:t>
      </w:r>
    </w:p>
    <w:p w14:paraId="2262322D">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6.2废标条款：</w:t>
      </w:r>
    </w:p>
    <w:p w14:paraId="5739FAB2">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6.2.1符合专业条件的</w:t>
      </w: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bCs/>
          <w:sz w:val="28"/>
          <w:szCs w:val="28"/>
          <w:highlight w:val="none"/>
        </w:rPr>
        <w:t>或者对招标文件作实质响应的</w:t>
      </w: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bCs/>
          <w:sz w:val="28"/>
          <w:szCs w:val="28"/>
          <w:highlight w:val="none"/>
        </w:rPr>
        <w:t>不足三家的。</w:t>
      </w:r>
    </w:p>
    <w:p w14:paraId="4A0DA43E">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6.2.2出现影响招标公正的违法、违规行为的。</w:t>
      </w:r>
    </w:p>
    <w:p w14:paraId="187A8C26">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6.2.3因重大变故，招标任务取消的。</w:t>
      </w:r>
    </w:p>
    <w:p w14:paraId="55F112DB">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6.2.4评标委员会认定招标文件存在歧义、重大缺陷导致评审工作无法进行。</w:t>
      </w:r>
    </w:p>
    <w:p w14:paraId="71638299">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6.2.5 因系统故障原因造成开评标无法继续进行的（适用于不见面开标模式）。</w:t>
      </w:r>
    </w:p>
    <w:p w14:paraId="7B124657">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6.3 投标截止时间结束后参加投标的</w:t>
      </w: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bCs/>
          <w:sz w:val="28"/>
          <w:szCs w:val="28"/>
          <w:highlight w:val="none"/>
        </w:rPr>
        <w:t>不足三家的处理：</w:t>
      </w:r>
    </w:p>
    <w:p w14:paraId="1C694B91">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6.3.1如出现投标截止时间结束后参加投标的</w:t>
      </w: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bCs/>
          <w:sz w:val="28"/>
          <w:szCs w:val="28"/>
          <w:highlight w:val="none"/>
        </w:rPr>
        <w:t>或者在评标期间对招标文件做出实质响应的</w:t>
      </w: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bCs/>
          <w:sz w:val="28"/>
          <w:szCs w:val="28"/>
          <w:highlight w:val="none"/>
        </w:rPr>
        <w:t>不足三家情况，按政府招标相关规定执行。</w:t>
      </w:r>
    </w:p>
    <w:bookmarkEnd w:id="93"/>
    <w:bookmarkEnd w:id="94"/>
    <w:bookmarkEnd w:id="95"/>
    <w:p w14:paraId="3EB09022">
      <w:pPr>
        <w:pStyle w:val="4"/>
        <w:adjustRightInd w:val="0"/>
        <w:snapToGrid w:val="0"/>
        <w:spacing w:before="0" w:after="0" w:line="560" w:lineRule="exact"/>
        <w:ind w:firstLine="560" w:firstLineChars="200"/>
        <w:rPr>
          <w:rFonts w:ascii="方正仿宋_GBK" w:hAnsi="方正仿宋_GBK" w:eastAsia="方正仿宋_GBK" w:cs="方正仿宋_GBK"/>
          <w:sz w:val="28"/>
          <w:szCs w:val="28"/>
          <w:highlight w:val="none"/>
        </w:rPr>
      </w:pPr>
      <w:bookmarkStart w:id="96" w:name="_Toc120614219"/>
      <w:r>
        <w:rPr>
          <w:rFonts w:hint="eastAsia" w:ascii="方正仿宋_GBK" w:hAnsi="方正仿宋_GBK" w:eastAsia="方正仿宋_GBK" w:cs="方正仿宋_GBK"/>
          <w:sz w:val="28"/>
          <w:szCs w:val="28"/>
          <w:highlight w:val="none"/>
        </w:rPr>
        <w:t>六、定标</w:t>
      </w:r>
      <w:bookmarkEnd w:id="96"/>
    </w:p>
    <w:p w14:paraId="0C8581ED">
      <w:pPr>
        <w:pStyle w:val="5"/>
        <w:adjustRightInd w:val="0"/>
        <w:snapToGrid w:val="0"/>
        <w:spacing w:line="560" w:lineRule="exact"/>
        <w:ind w:firstLine="560" w:firstLineChars="200"/>
        <w:jc w:val="both"/>
        <w:rPr>
          <w:rFonts w:ascii="方正仿宋_GBK" w:hAnsi="方正仿宋_GBK" w:eastAsia="方正仿宋_GBK" w:cs="方正仿宋_GBK"/>
          <w:b/>
          <w:sz w:val="28"/>
          <w:szCs w:val="28"/>
          <w:highlight w:val="none"/>
        </w:rPr>
      </w:pPr>
      <w:bookmarkStart w:id="97" w:name="_Toc20823310"/>
      <w:bookmarkStart w:id="98" w:name="_Toc16938554"/>
      <w:r>
        <w:rPr>
          <w:rFonts w:hint="eastAsia" w:ascii="方正仿宋_GBK" w:hAnsi="方正仿宋_GBK" w:eastAsia="方正仿宋_GBK" w:cs="方正仿宋_GBK"/>
          <w:sz w:val="28"/>
          <w:szCs w:val="28"/>
          <w:highlight w:val="none"/>
        </w:rPr>
        <w:t>1.确定</w:t>
      </w:r>
      <w:bookmarkEnd w:id="97"/>
      <w:bookmarkEnd w:id="98"/>
      <w:r>
        <w:rPr>
          <w:rFonts w:hint="eastAsia" w:ascii="方正仿宋_GBK" w:hAnsi="方正仿宋_GBK" w:eastAsia="方正仿宋_GBK" w:cs="方正仿宋_GBK"/>
          <w:sz w:val="28"/>
          <w:szCs w:val="28"/>
          <w:highlight w:val="none"/>
        </w:rPr>
        <w:t>中标单位</w:t>
      </w:r>
    </w:p>
    <w:p w14:paraId="0807BC94">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1.1中标候选人的选取原则和数量见招标文件第四部分规定。 </w:t>
      </w:r>
    </w:p>
    <w:p w14:paraId="2A411546">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1.2招标人授权评委会在中标候选人中直接确定中标人。</w:t>
      </w:r>
    </w:p>
    <w:p w14:paraId="075A850C">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1.3</w:t>
      </w:r>
      <w:r>
        <w:rPr>
          <w:rFonts w:hint="eastAsia" w:ascii="方正仿宋_GBK" w:hAnsi="方正仿宋_GBK" w:eastAsia="方正仿宋_GBK" w:cs="方正仿宋_GBK"/>
          <w:sz w:val="28"/>
          <w:szCs w:val="28"/>
          <w:highlight w:val="none"/>
        </w:rPr>
        <w:t>代理机构将在“南通市崇川区人民政府网”发布中标公告，公告期限为1个工作日。</w:t>
      </w:r>
    </w:p>
    <w:p w14:paraId="466CC362">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1.4若有充分证据证明，中标人出现下列情况之一的，一经查实，将被取消中标资格：</w:t>
      </w:r>
    </w:p>
    <w:p w14:paraId="351BC8A7">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1.4.1提供虚假材料谋取中标的。</w:t>
      </w:r>
    </w:p>
    <w:p w14:paraId="5B1F8E7A">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1.4.2向招标人、代理机构行贿或者提供其他不正当利益的。</w:t>
      </w:r>
    </w:p>
    <w:p w14:paraId="545EA739">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1.4.3恶意竞争，投标总报价明显低于其自身合理成本且又无法提供证明的。</w:t>
      </w:r>
    </w:p>
    <w:p w14:paraId="58F5FF54">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1.4.4属于本文件规定的无效条件，但在评标过程中又未被评委会发现的。</w:t>
      </w:r>
    </w:p>
    <w:p w14:paraId="2310C8F8">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1.4.5与招标人或者其他投标人恶意串通的。</w:t>
      </w:r>
    </w:p>
    <w:p w14:paraId="5C4AF97E">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1.4.6采取不正当手段诋毁、排挤其他投标人的。</w:t>
      </w:r>
    </w:p>
    <w:p w14:paraId="6CBA39AA">
      <w:pPr>
        <w:adjustRightInd w:val="0"/>
        <w:snapToGrid w:val="0"/>
        <w:spacing w:line="560" w:lineRule="exact"/>
        <w:ind w:firstLine="560" w:firstLineChars="200"/>
        <w:rPr>
          <w:rFonts w:ascii="方正仿宋_GBK" w:hAnsi="方正仿宋_GBK" w:eastAsia="方正仿宋_GBK" w:cs="方正仿宋_GBK"/>
          <w:sz w:val="28"/>
          <w:szCs w:val="28"/>
          <w:highlight w:val="none"/>
        </w:rPr>
      </w:pPr>
      <w:bookmarkStart w:id="99" w:name="_Toc200451960"/>
      <w:r>
        <w:rPr>
          <w:rFonts w:hint="eastAsia" w:ascii="方正仿宋_GBK" w:hAnsi="方正仿宋_GBK" w:eastAsia="方正仿宋_GBK" w:cs="方正仿宋_GBK"/>
          <w:sz w:val="28"/>
          <w:szCs w:val="28"/>
          <w:highlight w:val="none"/>
        </w:rPr>
        <w:t>1.5.</w:t>
      </w:r>
      <w:r>
        <w:rPr>
          <w:rFonts w:hint="eastAsia" w:ascii="方正仿宋_GBK" w:hAnsi="方正仿宋_GBK" w:eastAsia="方正仿宋_GBK" w:cs="方正仿宋_GBK"/>
          <w:kern w:val="0"/>
          <w:sz w:val="28"/>
          <w:szCs w:val="28"/>
          <w:highlight w:val="none"/>
        </w:rPr>
        <w:t>有下列情形之一的，视为投标人串通投标，投标无效：</w:t>
      </w:r>
    </w:p>
    <w:p w14:paraId="0E736971">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1.5.1不同投标人的投标文件由同一单位或者个人编制；</w:t>
      </w:r>
    </w:p>
    <w:p w14:paraId="06DB9252">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1.5.2不同投标人委托同一单位或者个人办理投标事宜；</w:t>
      </w:r>
    </w:p>
    <w:p w14:paraId="66DFAD9E">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1.5.3不同投标人的投标文件载明的项目管理成员或者联系人员为同一人；</w:t>
      </w:r>
    </w:p>
    <w:p w14:paraId="2CBDE21F">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1.5.4不同投标人的投标文件异常一致或者投标报价呈规律性差异；</w:t>
      </w:r>
    </w:p>
    <w:p w14:paraId="3DF32B48">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1.5.5不同投标人的投标文件相互混装；</w:t>
      </w:r>
    </w:p>
    <w:p w14:paraId="3F1A187A">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2.质疑事项</w:t>
      </w:r>
    </w:p>
    <w:bookmarkEnd w:id="99"/>
    <w:p w14:paraId="2D7D6DF5">
      <w:pPr>
        <w:adjustRightInd w:val="0"/>
        <w:snapToGrid w:val="0"/>
        <w:spacing w:line="560" w:lineRule="exact"/>
        <w:ind w:firstLine="560" w:firstLineChars="200"/>
        <w:rPr>
          <w:rFonts w:ascii="方正仿宋_GBK" w:hAnsi="方正仿宋_GBK" w:eastAsia="方正仿宋_GBK" w:cs="方正仿宋_GBK"/>
          <w:sz w:val="28"/>
          <w:szCs w:val="28"/>
          <w:highlight w:val="none"/>
        </w:rPr>
      </w:pPr>
      <w:bookmarkStart w:id="100" w:name="_Toc120614220"/>
      <w:bookmarkStart w:id="101" w:name="_Toc20823308"/>
      <w:bookmarkStart w:id="102" w:name="_Toc513029236"/>
      <w:bookmarkStart w:id="103" w:name="_Toc16938552"/>
      <w:r>
        <w:rPr>
          <w:rFonts w:hint="eastAsia" w:ascii="方正仿宋_GBK" w:hAnsi="方正仿宋_GBK" w:eastAsia="方正仿宋_GBK" w:cs="方正仿宋_GBK"/>
          <w:sz w:val="28"/>
          <w:szCs w:val="28"/>
          <w:highlight w:val="none"/>
        </w:rPr>
        <w:t>2.1 提出质疑的供应商应当是参与所质疑项目招标活动的供应商。潜在供应商依法获取其可质疑的招标文件的，可以对招标文件提出质疑。</w:t>
      </w:r>
    </w:p>
    <w:p w14:paraId="2C398BFE">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2.2供应商认为招标文件、招标过程和招标结果使自己的权益受到损害的，可以在知道或应知其权益受到损害之日起七个工作日内，以书面形式向代理机构或招标人提出质疑。上述应知其权益受到损害之日，是指：</w:t>
      </w:r>
    </w:p>
    <w:p w14:paraId="16F36FB7">
      <w:pPr>
        <w:pStyle w:val="5"/>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2.2.1对可以质疑的招标文件提出质疑的，为收到招标文件之日或者招标文件公告期限届满之日；招标项目开标后，不再接受供应商对招标文件（含更正公告等）内容的异议或质询（质疑）。</w:t>
      </w:r>
    </w:p>
    <w:p w14:paraId="394A72DF">
      <w:pPr>
        <w:adjustRightInd w:val="0"/>
        <w:snapToGrid w:val="0"/>
        <w:spacing w:line="560" w:lineRule="exact"/>
        <w:ind w:firstLine="560" w:firstLineChars="200"/>
        <w:rPr>
          <w:rFonts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sz w:val="28"/>
          <w:szCs w:val="28"/>
          <w:highlight w:val="none"/>
        </w:rPr>
        <w:t>2.2.2</w:t>
      </w:r>
      <w:r>
        <w:rPr>
          <w:rFonts w:hint="eastAsia" w:ascii="方正仿宋_GBK" w:hAnsi="方正仿宋_GBK" w:eastAsia="方正仿宋_GBK" w:cs="方正仿宋_GBK"/>
          <w:b/>
          <w:bCs/>
          <w:kern w:val="0"/>
          <w:sz w:val="28"/>
          <w:szCs w:val="28"/>
          <w:highlight w:val="none"/>
        </w:rPr>
        <w:t>对招标过程提出质疑的，为各招标程序环节结束之日；</w:t>
      </w:r>
    </w:p>
    <w:p w14:paraId="32708211">
      <w:pPr>
        <w:adjustRightInd w:val="0"/>
        <w:snapToGrid w:val="0"/>
        <w:spacing w:line="560" w:lineRule="exact"/>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其中：对评审过程中涉及的密封检查、身份核对、澄清等程序性事项，供应商如有异议的，必须当场提出。否则，均视为供应商无异议。无论是否成交，供应商事后不得再就前述事项提出任何异议或质疑投诉。</w:t>
      </w:r>
    </w:p>
    <w:p w14:paraId="029D2288">
      <w:pPr>
        <w:adjustRightInd w:val="0"/>
        <w:snapToGrid w:val="0"/>
        <w:spacing w:line="560" w:lineRule="exact"/>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sz w:val="28"/>
          <w:szCs w:val="28"/>
          <w:highlight w:val="none"/>
        </w:rPr>
        <w:t>2.2.3</w:t>
      </w:r>
      <w:r>
        <w:rPr>
          <w:rFonts w:hint="eastAsia" w:ascii="方正仿宋_GBK" w:hAnsi="方正仿宋_GBK" w:eastAsia="方正仿宋_GBK" w:cs="方正仿宋_GBK"/>
          <w:kern w:val="0"/>
          <w:sz w:val="28"/>
          <w:szCs w:val="28"/>
          <w:highlight w:val="none"/>
        </w:rPr>
        <w:t>对中标或者成交结果提出质疑的，为中标或者成交结果公告期限届满之日。</w:t>
      </w:r>
    </w:p>
    <w:p w14:paraId="17386F81">
      <w:pPr>
        <w:adjustRightInd w:val="0"/>
        <w:snapToGrid w:val="0"/>
        <w:spacing w:line="560" w:lineRule="exact"/>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供应商应当在法定质疑期内一次性提出针对同一招标程序环节的质疑。</w:t>
      </w:r>
    </w:p>
    <w:p w14:paraId="2ED6A343">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2.3质疑函必须按照本招标文件中《质疑函范本》要求的格式和内容进行填写。</w:t>
      </w:r>
    </w:p>
    <w:p w14:paraId="1AE539AB">
      <w:pPr>
        <w:adjustRightInd w:val="0"/>
        <w:snapToGrid w:val="0"/>
        <w:spacing w:line="560" w:lineRule="exact"/>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2.4对招标方式、招标文件中项目需求、供应商资格条件、评审方法和评审标准、资格审查结果等应当由招标人答复的质疑，请向招标人提出，由招标人负责答复。投标人对其他事项的质疑，请向招标代理机构提出，由招标人或招标代理机构负责答复。</w:t>
      </w:r>
    </w:p>
    <w:p w14:paraId="3AA889CD">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供应商提起质疑采取书面形式，可以现场送达，也可以邮寄。</w:t>
      </w:r>
    </w:p>
    <w:p w14:paraId="4FE9DFDC">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招标人及招标代理机构质疑接收人及联系方式，见招标文件第一部分。</w:t>
      </w:r>
    </w:p>
    <w:p w14:paraId="469E8327">
      <w:pPr>
        <w:adjustRightInd w:val="0"/>
        <w:snapToGrid w:val="0"/>
        <w:spacing w:line="560" w:lineRule="exact"/>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2.5供应商提出质疑应当提交质疑函和必要的证明材料，否则不予受理。质疑函应当包括下列内容：</w:t>
      </w:r>
    </w:p>
    <w:p w14:paraId="6BAC39B1">
      <w:pPr>
        <w:adjustRightInd w:val="0"/>
        <w:snapToGrid w:val="0"/>
        <w:spacing w:line="560" w:lineRule="exact"/>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供应商的姓名或者名称、地址、邮编、联系人及联系电话；</w:t>
      </w:r>
    </w:p>
    <w:p w14:paraId="57F8D159">
      <w:pPr>
        <w:adjustRightInd w:val="0"/>
        <w:snapToGrid w:val="0"/>
        <w:spacing w:line="560" w:lineRule="exact"/>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质疑项目的名称、编号；</w:t>
      </w:r>
    </w:p>
    <w:p w14:paraId="5C9C7CEB">
      <w:pPr>
        <w:adjustRightInd w:val="0"/>
        <w:snapToGrid w:val="0"/>
        <w:spacing w:line="560" w:lineRule="exact"/>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具体、明确的质疑事项和与质疑事项相关的请求；</w:t>
      </w:r>
    </w:p>
    <w:p w14:paraId="57F5BE21">
      <w:pPr>
        <w:adjustRightInd w:val="0"/>
        <w:snapToGrid w:val="0"/>
        <w:spacing w:line="560" w:lineRule="exact"/>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事实依据；</w:t>
      </w:r>
    </w:p>
    <w:p w14:paraId="0530546D">
      <w:pPr>
        <w:adjustRightInd w:val="0"/>
        <w:snapToGrid w:val="0"/>
        <w:spacing w:line="560" w:lineRule="exact"/>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必要的法律依据；</w:t>
      </w:r>
    </w:p>
    <w:p w14:paraId="0D0BC8C3">
      <w:pPr>
        <w:adjustRightInd w:val="0"/>
        <w:snapToGrid w:val="0"/>
        <w:spacing w:line="560" w:lineRule="exact"/>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提出质疑的日期。</w:t>
      </w:r>
    </w:p>
    <w:p w14:paraId="1A42180F">
      <w:pPr>
        <w:adjustRightInd w:val="0"/>
        <w:snapToGrid w:val="0"/>
        <w:spacing w:line="560" w:lineRule="exact"/>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供应商为自然人的，应当由本人签字；供应商为法人或者其他组织的，应当由法定代表人、主要负责人，或者其授权代表签字或者盖章，并加盖公章。</w:t>
      </w:r>
    </w:p>
    <w:p w14:paraId="4328F004">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2.5 以下情形的质疑不予受理</w:t>
      </w:r>
    </w:p>
    <w:p w14:paraId="045337D0">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2.5.1 内容不符合上述规定的质疑。</w:t>
      </w:r>
    </w:p>
    <w:p w14:paraId="55C2CECB">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2.5.2 超出招标法定期限的质疑。</w:t>
      </w:r>
    </w:p>
    <w:p w14:paraId="08A5C10E">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2.5.3 未参加招标活动的供应商或在招标活动中自身权益未受到损害的供应商所提出的质疑。</w:t>
      </w:r>
    </w:p>
    <w:p w14:paraId="6F0F261C">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2.6 投标人提出书面质疑必须有理、有据，不得捏造事实、提供虚假材料进行恶意质疑。否则，一经查实，招标代理机构有权依据招标的有关规定，报请招标监管部门对该供应商进行相应的行政处罚和记录该供应商的失信信息。</w:t>
      </w:r>
    </w:p>
    <w:p w14:paraId="157E8A63">
      <w:pPr>
        <w:pStyle w:val="5"/>
        <w:adjustRightInd w:val="0"/>
        <w:snapToGrid w:val="0"/>
        <w:spacing w:line="560" w:lineRule="exact"/>
        <w:ind w:firstLine="560" w:firstLineChars="200"/>
        <w:jc w:val="both"/>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3.中标通知书</w:t>
      </w:r>
    </w:p>
    <w:p w14:paraId="3B846FB7">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3.l中标结果确定后，招标人将向中标人发出中标通知书。中标人应在成交结果公告期满后5个工作日内到招标代理机构办理领取中标通知书手续，否则，由此产生的后果供应商自负。</w:t>
      </w:r>
    </w:p>
    <w:p w14:paraId="35F2ACB6">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3.2中标通知书将是合同的一个组成部分。对招标人和中标人均具有法律效力。中标通知书发出后，招标人改变中标结果的，或者中标人放弃中标项目的，应当依法承担法律责任。</w:t>
      </w:r>
    </w:p>
    <w:p w14:paraId="7CD0D024">
      <w:pPr>
        <w:pStyle w:val="4"/>
        <w:adjustRightInd w:val="0"/>
        <w:snapToGrid w:val="0"/>
        <w:spacing w:before="0" w:after="0"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七、授予合同</w:t>
      </w:r>
      <w:bookmarkEnd w:id="100"/>
    </w:p>
    <w:bookmarkEnd w:id="101"/>
    <w:bookmarkEnd w:id="102"/>
    <w:bookmarkEnd w:id="103"/>
    <w:p w14:paraId="15BB22D3">
      <w:pPr>
        <w:adjustRightInd w:val="0"/>
        <w:snapToGrid w:val="0"/>
        <w:spacing w:line="560" w:lineRule="exact"/>
        <w:ind w:firstLine="560" w:firstLineChars="200"/>
        <w:rPr>
          <w:rFonts w:ascii="方正仿宋_GBK" w:hAnsi="方正仿宋_GBK" w:eastAsia="方正仿宋_GBK" w:cs="方正仿宋_GBK"/>
          <w:sz w:val="28"/>
          <w:szCs w:val="28"/>
          <w:highlight w:val="none"/>
        </w:rPr>
      </w:pPr>
      <w:bookmarkStart w:id="104" w:name="_Toc20823309"/>
      <w:bookmarkStart w:id="105" w:name="_Toc16938553"/>
      <w:bookmarkStart w:id="106" w:name="_Toc513029237"/>
      <w:r>
        <w:rPr>
          <w:rFonts w:hint="eastAsia" w:ascii="方正仿宋_GBK" w:hAnsi="方正仿宋_GBK" w:eastAsia="方正仿宋_GBK" w:cs="方正仿宋_GBK"/>
          <w:sz w:val="28"/>
          <w:szCs w:val="28"/>
          <w:highlight w:val="none"/>
        </w:rPr>
        <w:t>1.签订合同</w:t>
      </w:r>
    </w:p>
    <w:p w14:paraId="5BAF7CF8">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l招标人和中标人应当在投标有效期内以及中标通知书发出之日起30天内，根据招标文件和中标人的投标文件订立书面合同。中标人无正当理由拒签合同的，招标人取消其中标资格，其投标保证金不予退还；该金额不足以弥补给招标人造成的直接和间接损失的（包括但不限于二次招标发生的招标费用、中标差价、招标代理服务费等），中标人应予补足。对依法必须进行招标的项目的中标人，由有关行政监督部门责令改正。</w:t>
      </w:r>
    </w:p>
    <w:p w14:paraId="5DE9455D">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1.2招标文件、中标人的投标文件及招标过程中有关澄清、承诺文件均应作为合同附件。</w:t>
      </w:r>
    </w:p>
    <w:p w14:paraId="400B51C5">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1.3签订合同后，中标人不得将服务进行转包。未经招标人同意，中标人也不得采用分包的形式履行合同，否则招标人有权终止合同。政府招标合同分包履行的，中标人就招标项目和分包项目向招标人负责，分包中标人就分包项目承担责任。转包或分包造成招标人损失的，中标人应承担相应赔偿责任。</w:t>
      </w:r>
    </w:p>
    <w:p w14:paraId="15119ED3">
      <w:pPr>
        <w:pStyle w:val="5"/>
        <w:adjustRightInd w:val="0"/>
        <w:snapToGrid w:val="0"/>
        <w:spacing w:line="560" w:lineRule="exact"/>
        <w:ind w:firstLine="560" w:firstLineChars="200"/>
        <w:jc w:val="both"/>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2.服务的追加、减少和添购。</w:t>
      </w:r>
    </w:p>
    <w:p w14:paraId="42A9E732">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2.1招标合同履行中，招标人需追加与合同标的相同的服务的，在不改变合同其他条款的前提下，可以与中标人协商签订补充合同，但所有补充合同的招标金额不超过原合同金额的10%。</w:t>
      </w:r>
    </w:p>
    <w:p w14:paraId="0EE4EA64">
      <w:pPr>
        <w:adjustRightInd w:val="0"/>
        <w:snapToGrid w:val="0"/>
        <w:spacing w:line="560" w:lineRule="exact"/>
        <w:ind w:firstLine="560" w:firstLineChars="200"/>
        <w:rPr>
          <w:rFonts w:ascii="方正仿宋_GBK" w:hAnsi="方正仿宋_GBK" w:eastAsia="方正仿宋_GBK" w:cs="方正仿宋_GBK"/>
          <w:bCs/>
          <w:sz w:val="36"/>
          <w:szCs w:val="36"/>
          <w:highlight w:val="none"/>
        </w:rPr>
      </w:pPr>
      <w:r>
        <w:rPr>
          <w:rFonts w:hint="eastAsia" w:ascii="方正仿宋_GBK" w:hAnsi="方正仿宋_GBK" w:eastAsia="方正仿宋_GBK" w:cs="方正仿宋_GBK"/>
          <w:sz w:val="28"/>
          <w:szCs w:val="28"/>
          <w:highlight w:val="none"/>
        </w:rPr>
        <w:t>2.2招标结束后，招标人若由于各种客观原因，必须对招标项目所牵涉的服务进行适当地减少时，在双方协商一致的前提下，可以按照招标招标时的价格水平做相应的调减，并据此签订补充合同。</w:t>
      </w:r>
      <w:bookmarkEnd w:id="104"/>
      <w:bookmarkEnd w:id="105"/>
      <w:bookmarkEnd w:id="106"/>
    </w:p>
    <w:p w14:paraId="128A4AF1">
      <w:pPr>
        <w:adjustRightInd w:val="0"/>
        <w:snapToGrid w:val="0"/>
        <w:spacing w:line="500" w:lineRule="exact"/>
        <w:jc w:val="center"/>
        <w:outlineLvl w:val="0"/>
        <w:rPr>
          <w:rFonts w:ascii="宋体" w:hAnsi="宋体" w:cs="宋体"/>
          <w:bCs/>
          <w:sz w:val="36"/>
          <w:szCs w:val="36"/>
          <w:highlight w:val="none"/>
        </w:rPr>
      </w:pPr>
    </w:p>
    <w:p w14:paraId="3E980E40">
      <w:pPr>
        <w:jc w:val="center"/>
        <w:rPr>
          <w:rFonts w:ascii="宋体" w:hAnsi="宋体" w:cs="宋体"/>
          <w:bCs/>
          <w:sz w:val="36"/>
          <w:szCs w:val="36"/>
          <w:highlight w:val="none"/>
        </w:rPr>
      </w:pPr>
      <w:r>
        <w:rPr>
          <w:rFonts w:hint="eastAsia" w:ascii="宋体" w:hAnsi="宋体" w:cs="宋体"/>
          <w:bCs/>
          <w:sz w:val="36"/>
          <w:szCs w:val="36"/>
          <w:highlight w:val="none"/>
        </w:rPr>
        <w:br w:type="page"/>
      </w:r>
      <w:r>
        <w:rPr>
          <w:rFonts w:hint="eastAsia" w:ascii="黑体" w:hAnsi="黑体" w:eastAsia="黑体" w:cs="黑体"/>
          <w:b/>
          <w:sz w:val="36"/>
          <w:szCs w:val="36"/>
          <w:highlight w:val="none"/>
        </w:rPr>
        <w:t>第三部分  项目需求</w:t>
      </w:r>
    </w:p>
    <w:p w14:paraId="2C906FCE">
      <w:pPr>
        <w:spacing w:line="560" w:lineRule="exact"/>
        <w:ind w:firstLine="560" w:firstLineChars="200"/>
        <w:rPr>
          <w:rFonts w:ascii="方正仿宋_GBK" w:hAnsi="方正仿宋_GBK" w:eastAsia="方正仿宋_GBK" w:cs="方正仿宋_GBK"/>
          <w:b/>
          <w:bCs/>
          <w:sz w:val="28"/>
          <w:szCs w:val="28"/>
          <w:highlight w:val="none"/>
        </w:rPr>
      </w:pPr>
    </w:p>
    <w:p w14:paraId="622E1DDF">
      <w:pPr>
        <w:spacing w:line="560" w:lineRule="exact"/>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投标人在制作投标文件时仔细研究项目需求说明。项目需求包括技术要求和商务要求：技术要求是指对招标标的功能和质量要求，包括性能、材料、结构、外观、安全，或者服务内容和标准等；商务要求是指取得招标标的的时间、地点、财务和服务要求，包括交付（实施）的时间（期限）和地点（范围），付款条件（进度和方法），包装和运输，售后服务，保险等。</w:t>
      </w:r>
    </w:p>
    <w:p w14:paraId="28769905">
      <w:pPr>
        <w:pStyle w:val="15"/>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28"/>
          <w:szCs w:val="28"/>
          <w:highlight w:val="none"/>
        </w:rPr>
        <w:t>一、项目服务内容</w:t>
      </w:r>
    </w:p>
    <w:p w14:paraId="543D84E3">
      <w:pPr>
        <w:spacing w:line="360" w:lineRule="auto"/>
        <w:ind w:firstLine="560" w:firstLineChars="200"/>
        <w:jc w:val="left"/>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1、甲方授权乙方在甲方注册地范围内开展以下业务：</w:t>
      </w:r>
    </w:p>
    <w:p w14:paraId="7D5D233A">
      <w:pPr>
        <w:pStyle w:val="81"/>
        <w:spacing w:line="360" w:lineRule="auto"/>
        <w:ind w:firstLine="280" w:firstLineChars="1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（1）购电业务：代表甲方与省内外发电企业进行购电侧交易，做好双边协商交易、挂牌交易、月度竞价交易、能量块交易、现货交易等各类交易，获取电力资源。</w:t>
      </w:r>
    </w:p>
    <w:p w14:paraId="1B16196E">
      <w:pPr>
        <w:pStyle w:val="81"/>
        <w:numPr>
          <w:ilvl w:val="255"/>
          <w:numId w:val="0"/>
        </w:numPr>
        <w:spacing w:line="360" w:lineRule="auto"/>
        <w:ind w:firstLine="280" w:firstLineChars="1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（2）售电业务：代表甲方对外签订销售协议，进行用户市场开发，包括但不限于套餐设计、用户签约、电量提报、数据收集与分析等服务。</w:t>
      </w:r>
    </w:p>
    <w:p w14:paraId="20286E44">
      <w:pPr>
        <w:pStyle w:val="81"/>
        <w:spacing w:line="360" w:lineRule="auto"/>
        <w:ind w:firstLine="280" w:firstLineChars="1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（3）增值服务：根据甲方经营范围及电力用户需求提供能效管理、需求响应、可调负荷等配套服务。</w:t>
      </w:r>
    </w:p>
    <w:p w14:paraId="054CB8E0">
      <w:pPr>
        <w:spacing w:line="360" w:lineRule="auto"/>
        <w:ind w:firstLine="560" w:firstLineChars="200"/>
        <w:jc w:val="left"/>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2、做好协议项下电力用户回访，协调可能出现的电力用户的投诉并负责处理销售中的矛盾。</w:t>
      </w:r>
    </w:p>
    <w:p w14:paraId="31F99AA9">
      <w:pPr>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3、做好与政府主管部门、交易中心的沟通协调，协调处理需要甲方进行的各类合规化整改要求。 </w:t>
      </w:r>
    </w:p>
    <w:p w14:paraId="247EE97C">
      <w:pPr>
        <w:pStyle w:val="15"/>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kern w:val="0"/>
          <w:sz w:val="28"/>
          <w:szCs w:val="28"/>
          <w:highlight w:val="none"/>
        </w:rPr>
        <w:t>4、甲方进行自有客户开发时，免费提供商务谈判服务及技术支持。</w:t>
      </w:r>
    </w:p>
    <w:p w14:paraId="0C540A73">
      <w:pPr>
        <w:spacing w:line="360" w:lineRule="auto"/>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二、服务期</w:t>
      </w:r>
    </w:p>
    <w:p w14:paraId="399521D4">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三年，满三年经考核通过后可续签1年。</w:t>
      </w:r>
    </w:p>
    <w:p w14:paraId="48A502F1">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28"/>
          <w:szCs w:val="28"/>
          <w:highlight w:val="none"/>
        </w:rPr>
        <w:t>三、运营区域</w:t>
      </w:r>
    </w:p>
    <w:p w14:paraId="31D13BDF">
      <w:pPr>
        <w:spacing w:line="360" w:lineRule="auto"/>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rPr>
        <w:t>江苏省；（如地点发生偏差，以招标人指定地点为准）。</w:t>
      </w:r>
    </w:p>
    <w:p w14:paraId="41C2B5CE">
      <w:pPr>
        <w:pStyle w:val="34"/>
        <w:numPr>
          <w:ilvl w:val="0"/>
          <w:numId w:val="2"/>
        </w:numPr>
        <w:spacing w:line="360" w:lineRule="auto"/>
        <w:ind w:left="0" w:firstLine="560"/>
        <w:rPr>
          <w:rFonts w:ascii="方正仿宋_GBK" w:hAnsi="方正仿宋_GBK" w:eastAsia="方正仿宋_GBK" w:cs="方正仿宋_GBK"/>
          <w:b/>
          <w:bCs/>
          <w:szCs w:val="28"/>
          <w:highlight w:val="none"/>
        </w:rPr>
      </w:pPr>
      <w:r>
        <w:rPr>
          <w:rFonts w:hint="eastAsia" w:ascii="方正仿宋_GBK" w:hAnsi="方正仿宋_GBK" w:eastAsia="方正仿宋_GBK" w:cs="方正仿宋_GBK"/>
          <w:b/>
          <w:bCs/>
          <w:szCs w:val="28"/>
          <w:highlight w:val="none"/>
        </w:rPr>
        <w:t>电量及收益要求</w:t>
      </w:r>
    </w:p>
    <w:p w14:paraId="3E1DAA81">
      <w:pPr>
        <w:pStyle w:val="34"/>
        <w:spacing w:line="360" w:lineRule="auto"/>
        <w:ind w:left="0" w:firstLine="560"/>
        <w:rPr>
          <w:rFonts w:ascii="方正仿宋_GBK" w:hAnsi="方正仿宋_GBK" w:eastAsia="方正仿宋_GBK" w:cs="方正仿宋_GBK"/>
          <w:highlight w:val="none"/>
        </w:rPr>
      </w:pPr>
      <w:r>
        <w:rPr>
          <w:rFonts w:hint="eastAsia" w:ascii="方正仿宋_GBK" w:hAnsi="方正仿宋_GBK" w:eastAsia="方正仿宋_GBK" w:cs="方正仿宋_GBK"/>
          <w:szCs w:val="28"/>
          <w:highlight w:val="none"/>
        </w:rPr>
        <w:t>协议签订后，中标人开展售电签约工作，需确保招标人售电业务年度收益为正数。</w:t>
      </w:r>
      <w:r>
        <w:rPr>
          <w:rFonts w:ascii="方正仿宋_GBK" w:hAnsi="方正仿宋_GBK" w:eastAsia="方正仿宋_GBK" w:cs="方正仿宋_GBK"/>
          <w:szCs w:val="28"/>
          <w:highlight w:val="none"/>
        </w:rPr>
        <w:t>2025年需达到入市要求4000万千瓦时，力争完成1亿千瓦时交易，招标人收益分成不低于</w:t>
      </w:r>
      <w:r>
        <w:rPr>
          <w:rFonts w:hint="eastAsia" w:ascii="方正仿宋_GBK" w:hAnsi="方正仿宋_GBK" w:eastAsia="方正仿宋_GBK" w:cs="方正仿宋_GBK"/>
          <w:szCs w:val="28"/>
          <w:highlight w:val="none"/>
        </w:rPr>
        <w:t>10</w:t>
      </w:r>
      <w:r>
        <w:rPr>
          <w:rFonts w:ascii="方正仿宋_GBK" w:hAnsi="方正仿宋_GBK" w:eastAsia="方正仿宋_GBK" w:cs="方正仿宋_GBK"/>
          <w:szCs w:val="28"/>
          <w:highlight w:val="none"/>
        </w:rPr>
        <w:t>万元；2025年完成电力用户签约电量不低于3亿千瓦时参与2026年交易，招标人收益分成不低于</w:t>
      </w:r>
      <w:r>
        <w:rPr>
          <w:rFonts w:hint="eastAsia" w:ascii="方正仿宋_GBK" w:hAnsi="方正仿宋_GBK" w:eastAsia="方正仿宋_GBK" w:cs="方正仿宋_GBK"/>
          <w:szCs w:val="28"/>
          <w:highlight w:val="none"/>
        </w:rPr>
        <w:t>60</w:t>
      </w:r>
      <w:r>
        <w:rPr>
          <w:rFonts w:ascii="方正仿宋_GBK" w:hAnsi="方正仿宋_GBK" w:eastAsia="方正仿宋_GBK" w:cs="方正仿宋_GBK"/>
          <w:szCs w:val="28"/>
          <w:highlight w:val="none"/>
        </w:rPr>
        <w:t>万元，后续每年完成电力用户签约电量增量不少于30%，即2026年完成电力用户签约电量不低于4亿千瓦时参</w:t>
      </w:r>
      <w:r>
        <w:rPr>
          <w:rFonts w:hint="eastAsia" w:ascii="方正仿宋_GBK" w:hAnsi="方正仿宋_GBK" w:eastAsia="方正仿宋_GBK" w:cs="方正仿宋_GBK"/>
          <w:szCs w:val="28"/>
          <w:highlight w:val="none"/>
        </w:rPr>
        <w:t>与</w:t>
      </w:r>
      <w:r>
        <w:rPr>
          <w:rFonts w:ascii="方正仿宋_GBK" w:hAnsi="方正仿宋_GBK" w:eastAsia="方正仿宋_GBK" w:cs="方正仿宋_GBK"/>
          <w:szCs w:val="28"/>
          <w:highlight w:val="none"/>
        </w:rPr>
        <w:t>2027年交易，招标人收益分成不低于</w:t>
      </w:r>
      <w:r>
        <w:rPr>
          <w:rFonts w:hint="eastAsia" w:ascii="方正仿宋_GBK" w:hAnsi="方正仿宋_GBK" w:eastAsia="方正仿宋_GBK" w:cs="方正仿宋_GBK"/>
          <w:szCs w:val="28"/>
          <w:highlight w:val="none"/>
        </w:rPr>
        <w:t>80</w:t>
      </w:r>
      <w:r>
        <w:rPr>
          <w:rFonts w:ascii="方正仿宋_GBK" w:hAnsi="方正仿宋_GBK" w:eastAsia="方正仿宋_GBK" w:cs="方正仿宋_GBK"/>
          <w:szCs w:val="28"/>
          <w:highlight w:val="none"/>
        </w:rPr>
        <w:t>万元；2027年完成电力用户签约电量不低于5亿千瓦时参与2028年交易，招标人收益分成不低于</w:t>
      </w:r>
      <w:r>
        <w:rPr>
          <w:rFonts w:hint="eastAsia" w:ascii="方正仿宋_GBK" w:hAnsi="方正仿宋_GBK" w:eastAsia="方正仿宋_GBK" w:cs="方正仿宋_GBK"/>
          <w:szCs w:val="28"/>
          <w:highlight w:val="none"/>
        </w:rPr>
        <w:t>100</w:t>
      </w:r>
      <w:r>
        <w:rPr>
          <w:rFonts w:ascii="方正仿宋_GBK" w:hAnsi="方正仿宋_GBK" w:eastAsia="方正仿宋_GBK" w:cs="方正仿宋_GBK"/>
          <w:szCs w:val="28"/>
          <w:highlight w:val="none"/>
        </w:rPr>
        <w:t>万元。若用户签约电量不达标，</w:t>
      </w:r>
      <w:r>
        <w:rPr>
          <w:rFonts w:hint="eastAsia" w:ascii="方正仿宋_GBK" w:hAnsi="方正仿宋_GBK" w:eastAsia="方正仿宋_GBK" w:cs="方正仿宋_GBK"/>
          <w:szCs w:val="28"/>
          <w:highlight w:val="none"/>
        </w:rPr>
        <w:t>按照每降低1亿千瓦时降低乙方开发用户侧1%分成比例；若签约电量降低比例超过目标交易量的50%时，甲方有权扣除全部履约保证金，并解除合同</w:t>
      </w:r>
      <w:r>
        <w:rPr>
          <w:rFonts w:ascii="方正仿宋_GBK" w:hAnsi="方正仿宋_GBK" w:eastAsia="方正仿宋_GBK" w:cs="方正仿宋_GBK"/>
          <w:szCs w:val="28"/>
          <w:highlight w:val="none"/>
        </w:rPr>
        <w:t>（如遇不可抗力因素，双方协商解决</w:t>
      </w:r>
      <w:r>
        <w:rPr>
          <w:rFonts w:hint="eastAsia" w:ascii="方正仿宋_GBK" w:hAnsi="方正仿宋_GBK" w:eastAsia="方正仿宋_GBK" w:cs="方正仿宋_GBK"/>
          <w:szCs w:val="28"/>
          <w:highlight w:val="none"/>
        </w:rPr>
        <w:t>）。</w:t>
      </w:r>
    </w:p>
    <w:p w14:paraId="6E40EBBB">
      <w:pPr>
        <w:spacing w:line="360" w:lineRule="auto"/>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五、服务响应时间</w:t>
      </w:r>
    </w:p>
    <w:p w14:paraId="13801485">
      <w:pPr>
        <w:pStyle w:val="34"/>
        <w:spacing w:line="360" w:lineRule="auto"/>
        <w:ind w:left="0" w:firstLine="56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招标人提出服务要求时需1小时内及时响应。</w:t>
      </w:r>
    </w:p>
    <w:p w14:paraId="57C369BE">
      <w:pPr>
        <w:spacing w:line="360" w:lineRule="auto"/>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六、取费标准</w:t>
      </w:r>
    </w:p>
    <w:p w14:paraId="276522E8">
      <w:pPr>
        <w:pStyle w:val="34"/>
        <w:spacing w:line="360" w:lineRule="auto"/>
        <w:ind w:left="0" w:firstLine="56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结合市场情况确保招标人售电收益为正数，电价波动、竞价风险及市场开发过程中发生的所有费用均由中标人承担。</w:t>
      </w:r>
    </w:p>
    <w:p w14:paraId="7EF89AAF">
      <w:pPr>
        <w:pStyle w:val="34"/>
        <w:spacing w:line="360" w:lineRule="auto"/>
        <w:ind w:left="0" w:firstLine="56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w:t>
      </w:r>
      <w:bookmarkStart w:id="107" w:name="OLE_LINK1"/>
      <w:r>
        <w:rPr>
          <w:rFonts w:hint="eastAsia" w:ascii="微软雅黑" w:hAnsi="微软雅黑" w:eastAsia="微软雅黑" w:cs="方正仿宋_GBK"/>
          <w:szCs w:val="28"/>
          <w:highlight w:val="none"/>
        </w:rPr>
        <w:t>、</w:t>
      </w:r>
      <w:bookmarkEnd w:id="107"/>
      <w:r>
        <w:rPr>
          <w:rFonts w:hint="eastAsia" w:ascii="方正仿宋_GBK" w:hAnsi="方正仿宋_GBK" w:eastAsia="方正仿宋_GBK" w:cs="方正仿宋_GBK"/>
          <w:szCs w:val="28"/>
          <w:highlight w:val="none"/>
        </w:rPr>
        <w:t>购电交易侧：招标人与中标人按当期江苏省年度双边协商交易均价与实际购电成本均价的差额部分正收益取一定比例分成，收益结算电量及实际成本以江苏省电力交易中心发布的结算单为准。</w:t>
      </w:r>
    </w:p>
    <w:p w14:paraId="39D15959">
      <w:pPr>
        <w:pStyle w:val="34"/>
        <w:spacing w:line="360" w:lineRule="auto"/>
        <w:ind w:left="0" w:firstLine="56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2、用户开发侧：</w:t>
      </w:r>
    </w:p>
    <w:p w14:paraId="243761A2">
      <w:pPr>
        <w:pStyle w:val="34"/>
        <w:spacing w:line="360" w:lineRule="auto"/>
        <w:ind w:left="0" w:firstLine="56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（1）招标人与中标人按售出价与江苏省年度双边协商交易均价及月度集中竞价交易价格差额部分取一定比例分成，结算电量以江苏省电力交易中心发布的用户实际电量为准。</w:t>
      </w:r>
    </w:p>
    <w:p w14:paraId="0A640148">
      <w:pPr>
        <w:pStyle w:val="34"/>
        <w:spacing w:line="360" w:lineRule="auto"/>
        <w:ind w:left="0" w:firstLine="56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（2）招标人开发的用户中标人不参与分成。</w:t>
      </w:r>
    </w:p>
    <w:p w14:paraId="26E2A656">
      <w:pPr>
        <w:pStyle w:val="34"/>
        <w:spacing w:line="360" w:lineRule="auto"/>
        <w:ind w:left="0" w:firstLine="560"/>
        <w:rPr>
          <w:rFonts w:ascii="方正仿宋_GBK" w:hAnsi="方正仿宋_GBK" w:eastAsia="方正仿宋_GBK" w:cs="方正仿宋_GBK"/>
          <w:b/>
          <w:bCs/>
          <w:kern w:val="2"/>
          <w:szCs w:val="28"/>
          <w:highlight w:val="none"/>
        </w:rPr>
      </w:pPr>
      <w:r>
        <w:rPr>
          <w:rFonts w:hint="eastAsia" w:ascii="方正仿宋_GBK" w:hAnsi="方正仿宋_GBK" w:eastAsia="方正仿宋_GBK" w:cs="方正仿宋_GBK"/>
          <w:szCs w:val="28"/>
          <w:highlight w:val="none"/>
        </w:rPr>
        <w:t>（3）</w:t>
      </w:r>
      <w:r>
        <w:rPr>
          <w:rFonts w:ascii="方正仿宋_GBK" w:hAnsi="方正仿宋_GBK" w:eastAsia="方正仿宋_GBK" w:cs="方正仿宋_GBK"/>
          <w:szCs w:val="28"/>
          <w:highlight w:val="none"/>
        </w:rPr>
        <w:t>江苏省双边协商交易电量与月度集中竞价交易电量的占比</w:t>
      </w:r>
      <w:r>
        <w:rPr>
          <w:rFonts w:hint="eastAsia" w:ascii="方正仿宋_GBK" w:hAnsi="方正仿宋_GBK" w:eastAsia="方正仿宋_GBK" w:cs="方正仿宋_GBK"/>
          <w:szCs w:val="28"/>
          <w:highlight w:val="none"/>
        </w:rPr>
        <w:t>：</w:t>
      </w:r>
    </w:p>
    <w:p w14:paraId="6D48CA4F">
      <w:pPr>
        <w:pStyle w:val="34"/>
        <w:spacing w:line="360" w:lineRule="auto"/>
        <w:ind w:left="0" w:firstLine="560"/>
        <w:rPr>
          <w:rFonts w:ascii="方正仿宋_GBK" w:hAnsi="方正仿宋_GBK" w:eastAsia="方正仿宋_GBK" w:cs="方正仿宋_GBK"/>
          <w:szCs w:val="28"/>
          <w:highlight w:val="none"/>
        </w:rPr>
      </w:pPr>
      <w:r>
        <w:rPr>
          <w:rFonts w:hint="eastAsia" w:ascii="方正仿宋_GBK" w:hAnsi="方正仿宋_GBK" w:eastAsia="方正仿宋_GBK" w:cs="方正仿宋_GBK"/>
          <w:kern w:val="2"/>
          <w:szCs w:val="28"/>
          <w:highlight w:val="none"/>
        </w:rPr>
        <w:t>结合相关政策文件及当年实际确定，因年度价格相对稳定，月度价格波动较大，考虑风险及收益情况暂定比例为70%：30%。该比例双方每年1月31日前可结合当年政策及实际情况双方商议调整确认一次，以分摊经营风险，其中</w:t>
      </w:r>
      <w:r>
        <w:rPr>
          <w:rFonts w:ascii="方正仿宋_GBK" w:hAnsi="方正仿宋_GBK" w:eastAsia="方正仿宋_GBK" w:cs="方正仿宋_GBK"/>
          <w:szCs w:val="28"/>
          <w:highlight w:val="none"/>
        </w:rPr>
        <w:t>江苏省双边协商交易电量占比调整范围</w:t>
      </w:r>
      <w:r>
        <w:rPr>
          <w:rFonts w:hint="eastAsia" w:ascii="方正仿宋_GBK" w:hAnsi="方正仿宋_GBK" w:eastAsia="方正仿宋_GBK" w:cs="方正仿宋_GBK"/>
          <w:szCs w:val="28"/>
          <w:highlight w:val="none"/>
        </w:rPr>
        <w:t>55%-95%，</w:t>
      </w:r>
      <w:r>
        <w:rPr>
          <w:rFonts w:ascii="方正仿宋_GBK" w:hAnsi="方正仿宋_GBK" w:eastAsia="方正仿宋_GBK" w:cs="方正仿宋_GBK"/>
          <w:szCs w:val="28"/>
          <w:highlight w:val="none"/>
        </w:rPr>
        <w:t>月度集中竞价交易电量占比调整范围</w:t>
      </w:r>
      <w:r>
        <w:rPr>
          <w:rFonts w:hint="eastAsia" w:ascii="方正仿宋_GBK" w:hAnsi="方正仿宋_GBK" w:eastAsia="方正仿宋_GBK" w:cs="方正仿宋_GBK"/>
          <w:szCs w:val="28"/>
          <w:highlight w:val="none"/>
        </w:rPr>
        <w:t>45%-5%，</w:t>
      </w:r>
      <w:r>
        <w:rPr>
          <w:rFonts w:hint="eastAsia" w:ascii="方正仿宋_GBK" w:hAnsi="方正仿宋_GBK" w:eastAsia="方正仿宋_GBK" w:cs="方正仿宋_GBK"/>
          <w:kern w:val="2"/>
          <w:szCs w:val="28"/>
          <w:highlight w:val="none"/>
        </w:rPr>
        <w:t>，如无调整则按该比例执行。</w:t>
      </w:r>
    </w:p>
    <w:p w14:paraId="7D6B7C39">
      <w:pPr>
        <w:spacing w:line="360" w:lineRule="auto"/>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七、付款方式</w:t>
      </w:r>
    </w:p>
    <w:p w14:paraId="1FACED71">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收益形成的次月由甲方按协议约定予以结算兑现，甲乙双方承担各自收益部分的13%增值税税收成本。甲方向乙方出具结算单，乙方向甲方开票结算（开票视为对甲方结算结果的认同），甲方收到乙方发票后，7个工作日完成付款。 </w:t>
      </w:r>
    </w:p>
    <w:p w14:paraId="2BFFD5B0">
      <w:pPr>
        <w:spacing w:line="360" w:lineRule="auto"/>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rPr>
        <w:t>乙方按照本协议约定产生收益开票金额计算方式：乙方开票金额=乙方结算收益÷1.13×（1+乙方公司开票税率）；协议有效期内，如遇税率政策调整或开票税率差，则按乙方应得不含税收益不变原则，调整乙方开票金额，因乙方原因造成的税务风险由乙方承担全部责任。</w:t>
      </w:r>
    </w:p>
    <w:p w14:paraId="64D25CA0">
      <w:pPr>
        <w:spacing w:line="360" w:lineRule="auto"/>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八、合同样本</w:t>
      </w:r>
    </w:p>
    <w:p w14:paraId="453FF905">
      <w:pPr>
        <w:rPr>
          <w:rFonts w:ascii="宋体" w:hAnsi="宋体" w:cs="宋体"/>
          <w:b/>
          <w:bCs/>
          <w:sz w:val="28"/>
          <w:szCs w:val="28"/>
          <w:highlight w:val="none"/>
        </w:rPr>
      </w:pPr>
      <w:r>
        <w:rPr>
          <w:rFonts w:hint="eastAsia" w:ascii="宋体" w:hAnsi="宋体" w:cs="宋体"/>
          <w:b/>
          <w:bCs/>
          <w:sz w:val="28"/>
          <w:szCs w:val="28"/>
          <w:highlight w:val="none"/>
        </w:rPr>
        <w:br w:type="page"/>
      </w:r>
    </w:p>
    <w:p w14:paraId="367E2C51">
      <w:pPr>
        <w:adjustRightInd w:val="0"/>
        <w:snapToGrid w:val="0"/>
        <w:spacing w:line="560" w:lineRule="exact"/>
        <w:ind w:firstLine="560" w:firstLineChars="200"/>
        <w:jc w:val="center"/>
        <w:rPr>
          <w:rFonts w:ascii="黑体" w:hAnsi="黑体" w:eastAsia="黑体" w:cs="黑体"/>
          <w:b/>
          <w:bCs/>
          <w:sz w:val="32"/>
          <w:szCs w:val="32"/>
          <w:highlight w:val="none"/>
        </w:rPr>
      </w:pPr>
      <w:r>
        <w:rPr>
          <w:rFonts w:hint="eastAsia" w:ascii="方正仿宋_GBK" w:hAnsi="方正仿宋_GBK" w:eastAsia="方正仿宋_GBK" w:cs="方正仿宋_GBK"/>
          <w:b/>
          <w:bCs/>
          <w:sz w:val="28"/>
          <w:szCs w:val="28"/>
          <w:highlight w:val="none"/>
        </w:rPr>
        <w:t>能源公司售电业务合作单位项目合同</w:t>
      </w:r>
    </w:p>
    <w:p w14:paraId="38904E97">
      <w:pPr>
        <w:rPr>
          <w:highlight w:val="none"/>
        </w:rPr>
      </w:pPr>
    </w:p>
    <w:p w14:paraId="059659C7">
      <w:pPr>
        <w:adjustRightInd w:val="0"/>
        <w:snapToGrid w:val="0"/>
        <w:spacing w:line="560" w:lineRule="exact"/>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合同编号：</w:t>
      </w:r>
    </w:p>
    <w:p w14:paraId="1435DEBC">
      <w:pPr>
        <w:adjustRightInd w:val="0"/>
        <w:snapToGrid w:val="0"/>
        <w:spacing w:line="560" w:lineRule="exact"/>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合同签订地点：南通市崇川区</w:t>
      </w:r>
    </w:p>
    <w:p w14:paraId="6535C22D">
      <w:pPr>
        <w:adjustRightInd w:val="0"/>
        <w:snapToGrid w:val="0"/>
        <w:spacing w:line="560" w:lineRule="exact"/>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签订时间：</w:t>
      </w:r>
    </w:p>
    <w:p w14:paraId="5EFFA863">
      <w:pPr>
        <w:adjustRightInd w:val="0"/>
        <w:snapToGrid w:val="0"/>
        <w:spacing w:line="560" w:lineRule="exact"/>
        <w:ind w:firstLine="480" w:firstLineChars="200"/>
        <w:rPr>
          <w:rFonts w:ascii="方正仿宋_GBK" w:hAnsi="方正仿宋_GBK" w:eastAsia="方正仿宋_GBK" w:cs="方正仿宋_GBK"/>
          <w:sz w:val="24"/>
          <w:highlight w:val="none"/>
        </w:rPr>
      </w:pPr>
    </w:p>
    <w:p w14:paraId="2CB0E155">
      <w:pPr>
        <w:adjustRightInd w:val="0"/>
        <w:snapToGrid w:val="0"/>
        <w:spacing w:line="560" w:lineRule="exact"/>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甲方：</w:t>
      </w:r>
    </w:p>
    <w:p w14:paraId="4F630083">
      <w:pPr>
        <w:adjustRightInd w:val="0"/>
        <w:snapToGrid w:val="0"/>
        <w:spacing w:line="560" w:lineRule="exact"/>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乙方：</w:t>
      </w:r>
    </w:p>
    <w:p w14:paraId="6CDDB24B">
      <w:pPr>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根据《中华人民共和国民法典》和其它法律法规有关规定，在平等自愿、协商一致的基础上，订立本合同。</w:t>
      </w:r>
    </w:p>
    <w:p w14:paraId="1E6E088D">
      <w:pPr>
        <w:spacing w:line="360" w:lineRule="auto"/>
        <w:ind w:firstLine="480" w:firstLineChars="200"/>
        <w:rPr>
          <w:rFonts w:ascii="方正仿宋_GBK" w:hAnsi="方正仿宋_GBK" w:eastAsia="方正仿宋_GBK" w:cs="方正仿宋_GBK"/>
          <w:sz w:val="20"/>
          <w:szCs w:val="20"/>
          <w:highlight w:val="none"/>
        </w:rPr>
      </w:pPr>
      <w:r>
        <w:rPr>
          <w:rFonts w:hint="eastAsia" w:ascii="方正仿宋_GBK" w:hAnsi="方正仿宋_GBK" w:eastAsia="方正仿宋_GBK" w:cs="方正仿宋_GBK"/>
          <w:sz w:val="24"/>
          <w:highlight w:val="none"/>
        </w:rPr>
        <w:t>履约保证金：本项目履约保证金为30万元，缴纳形式：银行转账（必须从投标人基本账户转出）或现金或保函（银行出具）等形式，具体方式经甲方确认后由乙方进行缴纳。所有项目履约完成后，扣除违约金、损失赔偿金后，履约保证金的剩余金额予以退还（无息）。</w:t>
      </w:r>
    </w:p>
    <w:p w14:paraId="2C2CB852">
      <w:pPr>
        <w:pStyle w:val="15"/>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第一条项目服务内容</w:t>
      </w:r>
    </w:p>
    <w:p w14:paraId="58322B3B">
      <w:pPr>
        <w:numPr>
          <w:ilvl w:val="255"/>
          <w:numId w:val="0"/>
        </w:num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1.1甲方授权乙方在甲方注册地范围内开展以下业务：</w:t>
      </w:r>
    </w:p>
    <w:p w14:paraId="4F02E226">
      <w:pPr>
        <w:numPr>
          <w:ilvl w:val="255"/>
          <w:numId w:val="0"/>
        </w:num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1.1.1购电业务：代表甲方与省内外发电企业进行购电侧交易，做好双边协商交易、挂牌交易、月度竞价交易、能量块交易、现货交易等各类交易，获取电力资源。</w:t>
      </w:r>
    </w:p>
    <w:p w14:paraId="054685D9">
      <w:pPr>
        <w:numPr>
          <w:ilvl w:val="255"/>
          <w:numId w:val="0"/>
        </w:num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1.1.2售电业务：代表甲方对外签订销售协议，进行用户市场开发，包括但不限于套餐设计、用户签约、电量提报、数据收集与分析等服务。</w:t>
      </w:r>
    </w:p>
    <w:p w14:paraId="4FB37DDB">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1.1.3增值服务：根据甲方经营范围及电力用户需求提供能效管理、需求响应、可调负荷等配套服务。</w:t>
      </w:r>
    </w:p>
    <w:p w14:paraId="4E7FE132">
      <w:pPr>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1.2做好协议项下电力用户回访，协调可能出现的电力用户的投诉并负责处理销售中的矛盾。</w:t>
      </w:r>
    </w:p>
    <w:p w14:paraId="52686683">
      <w:pPr>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1.3做好与政府主管部门、交易中心的沟通协调，协调处理需要甲方进行的各类合规化整改要求。 </w:t>
      </w:r>
    </w:p>
    <w:p w14:paraId="41A74072">
      <w:pPr>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1.4甲方进行自有客户开发时，免费提供商务谈判服务及技术支持。</w:t>
      </w:r>
    </w:p>
    <w:p w14:paraId="4DC7E9ED">
      <w:pPr>
        <w:pStyle w:val="15"/>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第二条运营区域</w:t>
      </w:r>
    </w:p>
    <w:p w14:paraId="7D67A70C">
      <w:pPr>
        <w:spacing w:line="360" w:lineRule="auto"/>
        <w:ind w:firstLine="480" w:firstLineChars="200"/>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sz w:val="24"/>
          <w:highlight w:val="none"/>
        </w:rPr>
        <w:t>江苏省；（如地点发生偏差，以甲方指定地点为准）。</w:t>
      </w:r>
    </w:p>
    <w:p w14:paraId="0A15BE1D">
      <w:pPr>
        <w:pStyle w:val="15"/>
        <w:spacing w:line="360" w:lineRule="auto"/>
        <w:ind w:firstLine="480" w:firstLineChars="200"/>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第三条电量及收益要求</w:t>
      </w:r>
    </w:p>
    <w:p w14:paraId="124298D9">
      <w:pPr>
        <w:spacing w:line="360" w:lineRule="auto"/>
        <w:ind w:firstLine="480" w:firstLineChars="200"/>
        <w:jc w:val="left"/>
        <w:rPr>
          <w:rFonts w:ascii="方正仿宋_GBK" w:hAnsi="方正仿宋_GBK" w:eastAsia="方正仿宋_GBK" w:cs="方正仿宋_GBK"/>
          <w:sz w:val="20"/>
          <w:szCs w:val="22"/>
          <w:highlight w:val="none"/>
        </w:rPr>
      </w:pPr>
      <w:r>
        <w:rPr>
          <w:rFonts w:hint="eastAsia" w:ascii="方正仿宋_GBK" w:hAnsi="方正仿宋_GBK" w:eastAsia="方正仿宋_GBK" w:cs="方正仿宋_GBK"/>
          <w:sz w:val="24"/>
          <w:highlight w:val="none"/>
        </w:rPr>
        <w:t>协议签订后，中标人开展售电签约工作，需确保招标人售电业务年度收益为正数。2025年需达到入市要求4000万千瓦时，力争完成1亿千瓦时交易，招标人收益分成不低于10万元；2025年完成电力用户签约电量不低于3亿千瓦时参与2026年交易，招标人收益分成不低于60万元，后续每年完成电力用户签约电量增量不少于30%，即2026年完成电力用户签约电量不低于4亿千瓦时参与2027年交易，招标人收益分成不低于80万元；2027年完成电力用户签约电量不低于5亿千瓦时参与2028年交易，招标人收益分成不低于100万元。若用户签约电量不达标，按照每降低1亿千瓦时降低乙方开发用户侧1%分成比例；若签约电量降低比例超过目标交易量的50%时，甲方有权扣除全部履约保证金，并解除合同（如遇不可抗力因素，双方协商解决）。</w:t>
      </w:r>
    </w:p>
    <w:p w14:paraId="442EE229">
      <w:pPr>
        <w:pStyle w:val="15"/>
        <w:spacing w:line="360" w:lineRule="auto"/>
        <w:ind w:firstLine="480" w:firstLineChars="200"/>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第四条服务响应时间</w:t>
      </w:r>
    </w:p>
    <w:p w14:paraId="6EB525C9">
      <w:pPr>
        <w:spacing w:line="360" w:lineRule="auto"/>
        <w:ind w:firstLine="480" w:firstLineChars="200"/>
        <w:jc w:val="left"/>
        <w:rPr>
          <w:rFonts w:ascii="方正仿宋_GBK" w:hAnsi="方正仿宋_GBK" w:eastAsia="方正仿宋_GBK" w:cs="方正仿宋_GBK"/>
          <w:sz w:val="20"/>
          <w:szCs w:val="20"/>
          <w:highlight w:val="none"/>
        </w:rPr>
      </w:pPr>
      <w:r>
        <w:rPr>
          <w:rFonts w:hint="eastAsia" w:ascii="方正仿宋_GBK" w:hAnsi="方正仿宋_GBK" w:eastAsia="方正仿宋_GBK" w:cs="方正仿宋_GBK"/>
          <w:sz w:val="24"/>
          <w:highlight w:val="none"/>
        </w:rPr>
        <w:t>甲方提出服务要求时，乙方需1小时内及时响应。</w:t>
      </w:r>
    </w:p>
    <w:p w14:paraId="37941863">
      <w:pPr>
        <w:pStyle w:val="15"/>
        <w:spacing w:line="360" w:lineRule="auto"/>
        <w:ind w:firstLine="480" w:firstLineChars="200"/>
        <w:rPr>
          <w:rFonts w:ascii="方正仿宋_GBK" w:hAnsi="方正仿宋_GBK" w:eastAsia="方正仿宋_GBK" w:cs="方正仿宋_GBK"/>
          <w:b/>
          <w:bCs/>
          <w:sz w:val="20"/>
          <w:szCs w:val="20"/>
          <w:highlight w:val="none"/>
        </w:rPr>
      </w:pPr>
      <w:r>
        <w:rPr>
          <w:rFonts w:hint="eastAsia" w:ascii="方正仿宋_GBK" w:hAnsi="方正仿宋_GBK" w:eastAsia="方正仿宋_GBK" w:cs="方正仿宋_GBK"/>
          <w:b/>
          <w:bCs/>
          <w:sz w:val="24"/>
          <w:highlight w:val="none"/>
        </w:rPr>
        <w:t>第五条授权模式</w:t>
      </w:r>
    </w:p>
    <w:p w14:paraId="445970B6">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5.1购电授权</w:t>
      </w:r>
    </w:p>
    <w:p w14:paraId="79F28E82">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5.1.1甲方授权乙方参与年度交易（常规电能量及绿电等符合市场规则的交易品种），乙方实际购电价格不高于当期年度市场均价。甲方若有自有（或关联企业）电源需要能源公司年度采购时应与乙方充分协商，总采购规模不超过乙方确定的参与当年年度交易规模的50%，价格不高于市场同类型电源的实际采购价，同时甲乙双方确认采购该类型电源的收益计入乙方应得收益的分配。</w:t>
      </w:r>
    </w:p>
    <w:p w14:paraId="4CC98CF2">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5.1.2甲方授权乙方参与月度及月内交易（常规电能量及绿电等符合市场规则的交易品种），甲方授权乙方自主确认月度交易的参与方式（竞价、挂牌、能量块等各类符合政策规定的交易方式）及比例。</w:t>
      </w:r>
      <w:bookmarkStart w:id="108" w:name="OLE_LINK3"/>
    </w:p>
    <w:p w14:paraId="353CCDC5">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5.1.3甲方授权</w:t>
      </w:r>
      <w:bookmarkEnd w:id="108"/>
      <w:r>
        <w:rPr>
          <w:rFonts w:hint="eastAsia" w:ascii="方正仿宋_GBK" w:hAnsi="方正仿宋_GBK" w:eastAsia="方正仿宋_GBK" w:cs="方正仿宋_GBK"/>
          <w:sz w:val="24"/>
          <w:highlight w:val="none"/>
        </w:rPr>
        <w:t>乙方参与现货交易，乙方在江苏省政策及规则范围内确定中长期持仓规模及现货结算的比例，盈利方式等。</w:t>
      </w:r>
    </w:p>
    <w:p w14:paraId="7C3ABE79">
      <w:pPr>
        <w:spacing w:line="360" w:lineRule="auto"/>
        <w:ind w:firstLine="480" w:firstLineChars="200"/>
        <w:jc w:val="left"/>
        <w:rPr>
          <w:sz w:val="24"/>
          <w:highlight w:val="none"/>
        </w:rPr>
      </w:pPr>
      <w:r>
        <w:rPr>
          <w:rFonts w:hint="eastAsia" w:ascii="方正仿宋_GBK" w:hAnsi="方正仿宋_GBK" w:eastAsia="方正仿宋_GBK" w:cs="方正仿宋_GBK"/>
          <w:sz w:val="24"/>
          <w:highlight w:val="none"/>
        </w:rPr>
        <w:t>5.1.4甲方授权乙方做好电力用户的用电负荷预测，控制交易风险。</w:t>
      </w:r>
    </w:p>
    <w:p w14:paraId="4CDF722B">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5.2售电授权：</w:t>
      </w:r>
    </w:p>
    <w:p w14:paraId="4A577797">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5.2.1甲方授权乙方在授权区域内享有独家售电业务运营权，在授权期内甲方不与任何其他第三方签订同类型协议、市场开发协议等已授权乙方运营的业务；若确需签约，则甲方授权乙方与第三方进行签约。</w:t>
      </w:r>
    </w:p>
    <w:p w14:paraId="17ADA20D">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5.2.2甲方授权乙方根据市场变化及电力用户的实际需求确定或变更售电套餐，以确保甲乙双方共同受益。乙方制定的售电套餐电力用户签约条款应符合市场实际，同时应充分考虑市场风险与收益的平衡。</w:t>
      </w:r>
    </w:p>
    <w:p w14:paraId="5EC1504C">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5.2.3授权运营后，甲方不以任何形式约束乙方以甲方名义开发的用户购售电合同的签订，甲方授权乙方进行用户购售电合同在江苏省电力交易中心平台绑定签约。</w:t>
      </w:r>
    </w:p>
    <w:p w14:paraId="73A1436D">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5.2.4甲方自主开发的用户套餐及签约条款由甲方根据乙方建议自行确定，盈亏自负，不影响乙方收益的取得。</w:t>
      </w:r>
    </w:p>
    <w:p w14:paraId="57E792E7">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5.3增值服务授权：</w:t>
      </w:r>
    </w:p>
    <w:p w14:paraId="060041F5">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5.3.1根据甲方经营范围及电力用户需求提供能效管理、需求响应、可调负荷等配套服务。</w:t>
      </w:r>
    </w:p>
    <w:p w14:paraId="231B7729">
      <w:pPr>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5.3.2增值业务配套购售电业务进行时，产生的收益分配双方另行协商，若无收益发生的成本由甲方承担。</w:t>
      </w:r>
    </w:p>
    <w:p w14:paraId="34E8177B">
      <w:pPr>
        <w:pStyle w:val="15"/>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第六条取费标准</w:t>
      </w:r>
    </w:p>
    <w:p w14:paraId="324D5CA7">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结合市场情况确保招标人售电收益为正数，电价波动、竞价风险及市场开发过程中发生的所有费用均由乙方承担。</w:t>
      </w:r>
    </w:p>
    <w:p w14:paraId="4F6E7438">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6.1购电交易侧：乙方按当期江苏省年度双边协商交易均价与实际购电成本均价的差额部分正收益取%分成，收益结算电量及实际成本以江苏省电力交易中心发布的结算单为准。</w:t>
      </w:r>
    </w:p>
    <w:p w14:paraId="3CCC0DFC">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6.2用户开发侧：</w:t>
      </w:r>
    </w:p>
    <w:p w14:paraId="1A957BDC">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6.2.1乙方按售出价与江苏省年度双边协商交易均价及月度集中竞价交易价格差额部分取%分成，结算电量以江苏省电力交易中心发布的用户实际电量为准。</w:t>
      </w:r>
    </w:p>
    <w:p w14:paraId="6612B17B">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6.2.2乙方不参与甲方开发用户的分成。</w:t>
      </w:r>
    </w:p>
    <w:p w14:paraId="79251EFF">
      <w:pPr>
        <w:pStyle w:val="34"/>
        <w:spacing w:line="360" w:lineRule="auto"/>
        <w:ind w:left="0" w:firstLine="560"/>
        <w:rPr>
          <w:rFonts w:hint="eastAsia" w:ascii="方正仿宋_GBK" w:hAnsi="方正仿宋_GBK" w:eastAsia="方正仿宋_GBK" w:cs="方正仿宋_GBK"/>
          <w:b w:val="0"/>
          <w:bCs w:val="0"/>
          <w:kern w:val="2"/>
          <w:sz w:val="24"/>
          <w:szCs w:val="24"/>
          <w:highlight w:val="none"/>
        </w:rPr>
      </w:pPr>
      <w:r>
        <w:rPr>
          <w:rFonts w:hint="eastAsia" w:ascii="方正仿宋_GBK" w:hAnsi="方正仿宋_GBK" w:eastAsia="方正仿宋_GBK" w:cs="方正仿宋_GBK"/>
          <w:sz w:val="24"/>
          <w:highlight w:val="none"/>
        </w:rPr>
        <w:t>6.2.3</w:t>
      </w:r>
      <w:r>
        <w:rPr>
          <w:rFonts w:hint="eastAsia" w:ascii="方正仿宋_GBK" w:hAnsi="方正仿宋_GBK" w:eastAsia="方正仿宋_GBK" w:cs="方正仿宋_GBK"/>
          <w:kern w:val="2"/>
          <w:sz w:val="24"/>
          <w:szCs w:val="24"/>
          <w:highlight w:val="none"/>
        </w:rPr>
        <w:t>江苏省双边协商交易电量与月度集中竞价交易电量的占比：</w:t>
      </w:r>
    </w:p>
    <w:p w14:paraId="1B4B9D4F">
      <w:pPr>
        <w:pStyle w:val="34"/>
        <w:spacing w:line="360" w:lineRule="auto"/>
        <w:ind w:left="0" w:firstLine="560"/>
        <w:rPr>
          <w:rFonts w:hint="eastAsia"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结合相关政策文件及当年实际确定，因年度价格相对稳定，月度价格波动较大，考虑风险及收益情况暂定比例为70%：30%。该比例双方每年1月31日前可结合当年政策及实际情况双方商议调整确认一次，以分摊经营风险，其中江苏省双边协商交易电量占比调整范围55%-95%，月度集中竞价交易电量占比调整范围45%-5%，，如无调整则按该比例执行。</w:t>
      </w:r>
    </w:p>
    <w:p w14:paraId="4FC8576E">
      <w:pPr>
        <w:spacing w:line="360" w:lineRule="auto"/>
        <w:ind w:firstLine="480" w:firstLineChars="200"/>
        <w:rPr>
          <w:rFonts w:ascii="方正仿宋_GBK" w:hAnsi="方正仿宋_GBK" w:eastAsia="方正仿宋_GBK" w:cs="方正仿宋_GBK"/>
          <w:sz w:val="24"/>
          <w:highlight w:val="none"/>
        </w:rPr>
      </w:pPr>
    </w:p>
    <w:p w14:paraId="5F739C3D">
      <w:pPr>
        <w:pStyle w:val="15"/>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第七条结算</w:t>
      </w:r>
    </w:p>
    <w:p w14:paraId="6D456929">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收益形成的次月由甲方按协议约定予以结算兑现，甲乙双方承担各自收益部分的13%增值税税收成本。甲方向乙方出具结算单，乙方向甲方开票结算（开票视为对甲方结算结果的认同），甲方收到乙方发票后，7个工作日完成付款。 </w:t>
      </w:r>
    </w:p>
    <w:p w14:paraId="7586045F">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乙方按照本协议约定产生收益开票金额计算方式：乙方开票金额=乙方结算收益÷1.13×（1+乙方公司开票税率）；协议有效期内，如遇税率政策调整或开票税率差，则按乙方应得不含税收益不变原则，调整乙方开票金额，因乙方原因造成的税务风险由乙方承担全部责任。</w:t>
      </w:r>
    </w:p>
    <w:p w14:paraId="406D1992">
      <w:pPr>
        <w:pStyle w:val="15"/>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第八条双方权利和责任</w:t>
      </w:r>
    </w:p>
    <w:p w14:paraId="56DA9FEE">
      <w:pPr>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8.1甲方权利和责任</w:t>
      </w:r>
    </w:p>
    <w:p w14:paraId="715693C6">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8.1.1提供购售电资质文件、市场准入权限及交易平台接口，办理履约保障凭证（保函、保险等，该保障凭证的有效期应覆盖双方授权合作周期，金额动态满足电量签约及交易规模要求），确保符合市场交易的资质。</w:t>
      </w:r>
    </w:p>
    <w:p w14:paraId="19845E40">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8.1.2提供乙方市场开发需要的各类文件及企业宣传资料。甲方办理各交易平台的账号、CA证书及购售电业务电子签章授权乙方使用。 </w:t>
      </w:r>
    </w:p>
    <w:p w14:paraId="54F7009A">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8.1.3承担购售电合同项下的电力交割及资金结算责任。</w:t>
      </w:r>
    </w:p>
    <w:p w14:paraId="6129C63C">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8.1.4根据市场开发需要乙方投标时，在电力用户招标截止日前完成各项纸质文件的办理及投标保证金（如有）的支付。</w:t>
      </w:r>
    </w:p>
    <w:p w14:paraId="4FD00172">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8.1.5甲方不应逾期支付款项，如因甲方不能按时汇款造成的损失，责任由甲方自行承担。</w:t>
      </w:r>
    </w:p>
    <w:p w14:paraId="14250218">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8.1.6甲方有权对乙方进行定期和不定期的安全检查、监督。</w:t>
      </w:r>
    </w:p>
    <w:p w14:paraId="001D9C99">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8.1.7甲方承诺诚信经营、合法经营、遵守国家法律法规，如甲方人员因有不良及违法行为给乙方造成信誉或经济损失的，甲方将向乙方承担由其造成的责任和经济损失。</w:t>
      </w:r>
    </w:p>
    <w:p w14:paraId="5B2FAA56">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8.2乙方权利和责任：</w:t>
      </w:r>
    </w:p>
    <w:p w14:paraId="543B57D9">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8.2.1充分市场调研，制定购售电方案及营销策略方案。</w:t>
      </w:r>
    </w:p>
    <w:p w14:paraId="25D840B1">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8.2.2开发电力用户并完成售电签约，确保购电计划与用户用电量匹配。</w:t>
      </w:r>
    </w:p>
    <w:p w14:paraId="1C12C8C7">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8.2.3定期向甲方提供购售电数据、用户账单及市场风险分析报告。</w:t>
      </w:r>
    </w:p>
    <w:p w14:paraId="5853D359">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8.2.4乙方有权在各类非纸质报价文件、购售电合同等各类电子签章应用场景下使用电子签章功能。</w:t>
      </w:r>
    </w:p>
    <w:p w14:paraId="48EB7838">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8.2.5跟踪甲方履约保障凭证的与签约规模的对应关系，当甲方履约保障凭证不能满足签约规模要求时及时通知甲方办理。</w:t>
      </w:r>
    </w:p>
    <w:p w14:paraId="7EC50D21">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8.2.6乙方承诺诚信经营、合法经营、遵守国家法律法规，如乙方人员因有不良及违法行为给甲方造成信誉或经济损失的，乙方将向甲方承担由其造成的责任和经济损失。</w:t>
      </w:r>
    </w:p>
    <w:p w14:paraId="78E58F37">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第九条争议解决</w:t>
      </w:r>
    </w:p>
    <w:p w14:paraId="657E911F">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甲乙双方履行本合同发生争议，应首先协商解决；协商不成时，双方当事人可向合同签订地人民法院提出诉讼。</w:t>
      </w:r>
    </w:p>
    <w:p w14:paraId="7936E2D3">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如乙方未如实履行双方签订的合同而导致违约和损害的，或因乙方履行合同引发与第三人发生纠纷，导致甲方也被牵连涉诉(仲裁)的，由乙方承担甲方为实现债权或主张权利而支付的一切费用(包括但不限于差旅费、资产处置费、诉讼费、仲裁费、律师费、评估鉴定费、保全费、误工费等)。甲方可在未付工程款或履约保证金直接扣除。</w:t>
      </w:r>
    </w:p>
    <w:p w14:paraId="0793D7AA">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第十条 违约责任</w:t>
      </w:r>
    </w:p>
    <w:p w14:paraId="3C74FCF5">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10.1 .如遇不可抗力因素(自然灾害，国际国内形势变化，国家政策因素等)不构成违约。</w:t>
      </w:r>
    </w:p>
    <w:p w14:paraId="1394A96E">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10.2.任何一方违反合同条款均需承担违约责任，乃至损失赔偿。</w:t>
      </w:r>
    </w:p>
    <w:p w14:paraId="129BB21C">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10.3.合同解除：乙方有以下任何事项时，甲方不需要任何通知，可马上解除本合同：</w:t>
      </w:r>
    </w:p>
    <w:p w14:paraId="25783112">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(1)违反本合同条款约定的行为或事实时；</w:t>
      </w:r>
    </w:p>
    <w:p w14:paraId="6E6E59E1">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(2)在供应期限内，不能满足甲方数量及品质要求，无能力供应时；</w:t>
      </w:r>
    </w:p>
    <w:p w14:paraId="7ECB1927">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(3)被政府机关停止或取消营业资格给予处分时；</w:t>
      </w:r>
    </w:p>
    <w:p w14:paraId="60E554B0">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第十一条 不可抗力</w:t>
      </w:r>
    </w:p>
    <w:p w14:paraId="31E873D2">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11.1“不可抗力”指超出任何一方预见和控制范围所造成或引起的该方未能全部或部分履行本合同义务的任何事件或情况(如台风、海啸、地震、暴雨、洪水、国际国内形势变化、政策法规变化等), 而该履行行为是该方执行合理谨慎的作业者标准所不能避免或不能克服的。</w:t>
      </w:r>
    </w:p>
    <w:p w14:paraId="49A7DCC2">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11.2双方中的任何一方由于不可抗力的原因不能履行合同时，应及时向他方通报其不能 履行或不能完全履行的理由，以减轻可能给他方造成的损失，在取得有关机构证明并经各方协商一致后，允许延期履行、部分履行或者不履行合同，并根据客观情况可部分或全部免予承担违约责任。</w:t>
      </w:r>
    </w:p>
    <w:p w14:paraId="039BED2E">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11.3由于不可抗力导致合同一方不能履行合同时，不影响此前各方已经发生或履行的权利义务。</w:t>
      </w:r>
    </w:p>
    <w:p w14:paraId="7B332A33">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第十二条政策风险</w:t>
      </w:r>
    </w:p>
    <w:p w14:paraId="0BF3F347">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12.1因国家政策调整导致购售电业务不能正常进行，双方可协商解除合作协议，授权自动失效，双方免责。</w:t>
      </w:r>
    </w:p>
    <w:p w14:paraId="3114A20E">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12.2因国家政策调整导致合作协议不能正常履行，合同期内双方可协商另行订立补充协议，授权依然有效。</w:t>
      </w:r>
    </w:p>
    <w:p w14:paraId="4F3017CD">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12.3因政策变化或规则调整，合作协议未约定的业务收益分配事项，双方在合作协议框架范围内协商订立补充协议。</w:t>
      </w:r>
    </w:p>
    <w:p w14:paraId="15B6BFFA">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第十三条 保密</w:t>
      </w:r>
    </w:p>
    <w:p w14:paraId="0649C0F7">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自生效之日起，本合同的任何条款及相关信息均应依照本条的约定予以保密。未经另一方事先书面同意，双方中任何一方不得将本合同的条款全部或部分（包括但不限于购售电合同细节、用户数据及交易策略）透露给第三方。违约方承担由此给守约方造成的一切经济损失。乙方需遵守政策文件等规定，不参与操纵市场价格或捆绑销售等行为。本保密责任不因本合同终止或解除而免除。 </w:t>
      </w:r>
    </w:p>
    <w:p w14:paraId="0A8CA5E9">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第十四条 廉洁条款</w:t>
      </w:r>
    </w:p>
    <w:p w14:paraId="7D9357EC">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甲乙双方在合同履行过程中要廉洁自律、诚实守信，保护双方合法权益，严格遵守国家有关法律法规及廉政建设的规定。一方违约须向另一方无条件支付年度结算总额10%的违约金，损失如不足于弥补的仍应承担赔偿责任；涉嫌犯罪的，移送司法机关依法追究刑事责任。</w:t>
      </w:r>
    </w:p>
    <w:p w14:paraId="4A0A0F16">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第十五条 需要双方明确的其它事项</w:t>
      </w:r>
    </w:p>
    <w:p w14:paraId="439F710B">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在资源紧张时，同等条件下乙方优先向甲方保证供应，但仅限于正常生产使用。</w:t>
      </w:r>
    </w:p>
    <w:p w14:paraId="5C42CDA2">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第十六条 合同期限与授权期限</w:t>
      </w:r>
    </w:p>
    <w:p w14:paraId="38C2E07D">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合同期限为：2025年 月日至年月日。合作年限：三年，满三年经考核通过后可续签1年。   </w:t>
      </w:r>
    </w:p>
    <w:p w14:paraId="54DC890A">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授权期限：与合同有效期一致。因售电业务的用户签约提前一年进行，合同续约需提前一年，合同续约后，授权自动延续。</w:t>
      </w:r>
    </w:p>
    <w:p w14:paraId="1EE4C259">
      <w:pPr>
        <w:spacing w:line="360" w:lineRule="auto"/>
        <w:ind w:firstLine="480" w:firstLineChars="200"/>
        <w:jc w:val="left"/>
        <w:rPr>
          <w:rFonts w:ascii="方正仿宋_GBK" w:hAnsi="方正仿宋_GBK" w:eastAsia="方正仿宋_GBK" w:cs="方正仿宋_GBK"/>
          <w:sz w:val="24"/>
          <w:highlight w:val="none"/>
        </w:rPr>
      </w:pPr>
      <w:bookmarkStart w:id="109" w:name="OLE_LINK9"/>
      <w:r>
        <w:rPr>
          <w:rFonts w:hint="eastAsia" w:ascii="方正仿宋_GBK" w:hAnsi="方正仿宋_GBK" w:eastAsia="方正仿宋_GBK" w:cs="方正仿宋_GBK"/>
          <w:b/>
          <w:bCs/>
          <w:sz w:val="24"/>
          <w:highlight w:val="none"/>
        </w:rPr>
        <w:t>第十七条 授权终止</w:t>
      </w:r>
      <w:bookmarkEnd w:id="109"/>
    </w:p>
    <w:p w14:paraId="4C6C64C6">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17.1甲方售电资质失效或乙方严重违规导致甲方行政处罚。</w:t>
      </w:r>
    </w:p>
    <w:p w14:paraId="4AE93060">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17.2电力市场政策重大调整导致协议无法履行。</w:t>
      </w:r>
    </w:p>
    <w:p w14:paraId="3FF384F2">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17.3双方合作协议到期未续约。</w:t>
      </w:r>
    </w:p>
    <w:p w14:paraId="00DD1A09">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第十八条 本协议一式捌份，甲乙双方各执肆份，经双方签字并盖章后生效。</w:t>
      </w:r>
    </w:p>
    <w:p w14:paraId="5F413EBD">
      <w:pPr>
        <w:spacing w:line="360" w:lineRule="auto"/>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第十九条 本合同未尽事项，由甲、乙双方另行议定并签订补充协议。补充协议与本合同具有同等效力。</w:t>
      </w:r>
    </w:p>
    <w:p w14:paraId="424910D2">
      <w:pPr>
        <w:adjustRightInd w:val="0"/>
        <w:snapToGrid w:val="0"/>
        <w:spacing w:line="560" w:lineRule="exact"/>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甲方（签章）：</w:t>
      </w:r>
      <w:r>
        <w:rPr>
          <w:rFonts w:hint="eastAsia" w:ascii="方正仿宋_GBK" w:hAnsi="方正仿宋_GBK" w:eastAsia="方正仿宋_GBK" w:cs="方正仿宋_GBK"/>
          <w:sz w:val="24"/>
          <w:highlight w:val="none"/>
          <w:lang w:val="en-US" w:eastAsia="zh-CN"/>
        </w:rPr>
        <w:t xml:space="preserve">                            </w:t>
      </w:r>
      <w:r>
        <w:rPr>
          <w:rFonts w:hint="eastAsia" w:ascii="方正仿宋_GBK" w:hAnsi="方正仿宋_GBK" w:eastAsia="方正仿宋_GBK" w:cs="方正仿宋_GBK"/>
          <w:sz w:val="24"/>
          <w:highlight w:val="none"/>
        </w:rPr>
        <w:t>乙方（签章）：</w:t>
      </w:r>
    </w:p>
    <w:p w14:paraId="4C78C7AF">
      <w:pPr>
        <w:adjustRightInd w:val="0"/>
        <w:snapToGrid w:val="0"/>
        <w:spacing w:line="560" w:lineRule="exact"/>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代 表 ：                                   代 表：</w:t>
      </w:r>
    </w:p>
    <w:p w14:paraId="7D26976D">
      <w:pPr>
        <w:adjustRightInd w:val="0"/>
        <w:snapToGrid w:val="0"/>
        <w:spacing w:line="560" w:lineRule="exact"/>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 w:val="24"/>
          <w:highlight w:val="none"/>
        </w:rPr>
        <w:t>2025年   月   日</w:t>
      </w:r>
      <w:r>
        <w:rPr>
          <w:rFonts w:hint="eastAsia" w:ascii="方正仿宋_GBK" w:hAnsi="方正仿宋_GBK" w:eastAsia="方正仿宋_GBK" w:cs="方正仿宋_GBK"/>
          <w:sz w:val="24"/>
          <w:highlight w:val="none"/>
          <w:lang w:val="en-US" w:eastAsia="zh-CN"/>
        </w:rPr>
        <w:t xml:space="preserve">                         </w:t>
      </w:r>
      <w:r>
        <w:rPr>
          <w:rFonts w:hint="eastAsia" w:ascii="方正仿宋_GBK" w:hAnsi="方正仿宋_GBK" w:eastAsia="方正仿宋_GBK" w:cs="方正仿宋_GBK"/>
          <w:sz w:val="24"/>
          <w:highlight w:val="none"/>
        </w:rPr>
        <w:t>2025年   月   日</w:t>
      </w:r>
    </w:p>
    <w:p w14:paraId="42B81919">
      <w:pP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br w:type="page"/>
      </w:r>
    </w:p>
    <w:p w14:paraId="13F15C23">
      <w:pPr>
        <w:snapToGrid w:val="0"/>
        <w:spacing w:line="400" w:lineRule="exact"/>
        <w:rPr>
          <w:rFonts w:ascii="方正仿宋_GBK" w:hAnsi="方正仿宋_GBK" w:eastAsia="方正仿宋_GBK" w:cs="方正仿宋_GBK"/>
          <w:szCs w:val="21"/>
          <w:highlight w:val="none"/>
        </w:rPr>
      </w:pPr>
      <w:r>
        <w:rPr>
          <w:rFonts w:hint="eastAsia" w:ascii="方正仿宋_GBK" w:hAnsi="方正仿宋_GBK" w:eastAsia="方正仿宋_GBK" w:cs="方正仿宋_GBK"/>
          <w:b/>
          <w:bCs/>
          <w:sz w:val="24"/>
          <w:highlight w:val="none"/>
        </w:rPr>
        <w:t>合同附件：考核细则</w:t>
      </w:r>
    </w:p>
    <w:p w14:paraId="00759A96">
      <w:pPr>
        <w:pStyle w:val="6"/>
        <w:ind w:firstLine="560"/>
        <w:jc w:val="center"/>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考核细则</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200"/>
        <w:gridCol w:w="3782"/>
        <w:gridCol w:w="1704"/>
        <w:gridCol w:w="732"/>
      </w:tblGrid>
      <w:tr w14:paraId="756F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717AD0D">
            <w:pPr>
              <w:pStyle w:val="6"/>
              <w:ind w:firstLine="0"/>
              <w:jc w:val="center"/>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序号</w:t>
            </w:r>
          </w:p>
        </w:tc>
        <w:tc>
          <w:tcPr>
            <w:tcW w:w="1200" w:type="dxa"/>
            <w:vAlign w:val="center"/>
          </w:tcPr>
          <w:p w14:paraId="0DE33D0A">
            <w:pPr>
              <w:pStyle w:val="6"/>
              <w:ind w:firstLine="0"/>
              <w:jc w:val="center"/>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考核项目</w:t>
            </w:r>
          </w:p>
        </w:tc>
        <w:tc>
          <w:tcPr>
            <w:tcW w:w="3782" w:type="dxa"/>
            <w:vAlign w:val="center"/>
          </w:tcPr>
          <w:p w14:paraId="199FB67A">
            <w:pPr>
              <w:pStyle w:val="6"/>
              <w:ind w:firstLine="0"/>
              <w:jc w:val="center"/>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考核内容</w:t>
            </w:r>
          </w:p>
        </w:tc>
        <w:tc>
          <w:tcPr>
            <w:tcW w:w="1704" w:type="dxa"/>
            <w:vAlign w:val="center"/>
          </w:tcPr>
          <w:p w14:paraId="54EFA308">
            <w:pPr>
              <w:pStyle w:val="6"/>
              <w:ind w:firstLine="0"/>
              <w:jc w:val="center"/>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考核办法</w:t>
            </w:r>
          </w:p>
        </w:tc>
        <w:tc>
          <w:tcPr>
            <w:tcW w:w="732" w:type="dxa"/>
            <w:vAlign w:val="center"/>
          </w:tcPr>
          <w:p w14:paraId="620E25B1">
            <w:pPr>
              <w:pStyle w:val="6"/>
              <w:ind w:firstLine="0"/>
              <w:jc w:val="center"/>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备注</w:t>
            </w:r>
          </w:p>
        </w:tc>
      </w:tr>
      <w:tr w14:paraId="2D11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26" w:type="dxa"/>
            <w:vMerge w:val="restart"/>
            <w:vAlign w:val="center"/>
          </w:tcPr>
          <w:p w14:paraId="1742ECC6">
            <w:pPr>
              <w:pStyle w:val="6"/>
              <w:ind w:firstLine="0"/>
              <w:jc w:val="center"/>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1</w:t>
            </w:r>
          </w:p>
        </w:tc>
        <w:tc>
          <w:tcPr>
            <w:tcW w:w="1200" w:type="dxa"/>
            <w:vMerge w:val="restart"/>
            <w:vAlign w:val="center"/>
          </w:tcPr>
          <w:p w14:paraId="319F974B">
            <w:pPr>
              <w:pStyle w:val="6"/>
              <w:ind w:firstLine="0"/>
              <w:jc w:val="center"/>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基础服务（30分）</w:t>
            </w:r>
          </w:p>
        </w:tc>
        <w:tc>
          <w:tcPr>
            <w:tcW w:w="3782" w:type="dxa"/>
            <w:vAlign w:val="center"/>
          </w:tcPr>
          <w:p w14:paraId="1687678B">
            <w:pPr>
              <w:pStyle w:val="6"/>
              <w:ind w:firstLine="0"/>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按照政策要求，按时完成售电各类年度报告的在交易中心平台的申报。（10分）</w:t>
            </w:r>
          </w:p>
        </w:tc>
        <w:tc>
          <w:tcPr>
            <w:tcW w:w="1704" w:type="dxa"/>
            <w:vMerge w:val="restart"/>
            <w:vAlign w:val="center"/>
          </w:tcPr>
          <w:p w14:paraId="6E179E1B">
            <w:pPr>
              <w:pStyle w:val="6"/>
              <w:ind w:firstLine="0"/>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根据</w:t>
            </w:r>
            <w:bookmarkStart w:id="110" w:name="OLE_LINK4"/>
            <w:r>
              <w:rPr>
                <w:rFonts w:hint="eastAsia" w:ascii="方正仿宋_GBK" w:hAnsi="方正仿宋_GBK" w:eastAsia="方正仿宋_GBK" w:cs="方正仿宋_GBK"/>
                <w:kern w:val="2"/>
                <w:sz w:val="24"/>
                <w:szCs w:val="24"/>
                <w:highlight w:val="none"/>
              </w:rPr>
              <w:t>服务商的</w:t>
            </w:r>
            <w:bookmarkEnd w:id="110"/>
            <w:r>
              <w:rPr>
                <w:rFonts w:hint="eastAsia" w:ascii="方正仿宋_GBK" w:hAnsi="方正仿宋_GBK" w:eastAsia="方正仿宋_GBK" w:cs="方正仿宋_GBK"/>
                <w:kern w:val="2"/>
                <w:sz w:val="24"/>
                <w:szCs w:val="24"/>
                <w:highlight w:val="none"/>
              </w:rPr>
              <w:t>服务态度、主动性、服务质量进行综合考核，不满意一次扣1分，扣完为止。</w:t>
            </w:r>
          </w:p>
        </w:tc>
        <w:tc>
          <w:tcPr>
            <w:tcW w:w="732" w:type="dxa"/>
            <w:vMerge w:val="restart"/>
            <w:vAlign w:val="center"/>
          </w:tcPr>
          <w:p w14:paraId="0FE617C6">
            <w:pPr>
              <w:pStyle w:val="6"/>
              <w:rPr>
                <w:rFonts w:ascii="方正仿宋_GBK" w:hAnsi="方正仿宋_GBK" w:eastAsia="方正仿宋_GBK" w:cs="方正仿宋_GBK"/>
                <w:kern w:val="2"/>
                <w:sz w:val="24"/>
                <w:szCs w:val="24"/>
                <w:highlight w:val="none"/>
              </w:rPr>
            </w:pPr>
          </w:p>
        </w:tc>
      </w:tr>
      <w:tr w14:paraId="1AE0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26" w:type="dxa"/>
            <w:vMerge w:val="continue"/>
            <w:vAlign w:val="center"/>
          </w:tcPr>
          <w:p w14:paraId="6FC5CD65">
            <w:pPr>
              <w:pStyle w:val="6"/>
              <w:jc w:val="center"/>
              <w:rPr>
                <w:rFonts w:ascii="方正仿宋_GBK" w:hAnsi="方正仿宋_GBK" w:eastAsia="方正仿宋_GBK" w:cs="方正仿宋_GBK"/>
                <w:kern w:val="2"/>
                <w:sz w:val="24"/>
                <w:szCs w:val="24"/>
                <w:highlight w:val="none"/>
              </w:rPr>
            </w:pPr>
          </w:p>
        </w:tc>
        <w:tc>
          <w:tcPr>
            <w:tcW w:w="1200" w:type="dxa"/>
            <w:vMerge w:val="continue"/>
            <w:vAlign w:val="center"/>
          </w:tcPr>
          <w:p w14:paraId="1FF71820">
            <w:pPr>
              <w:pStyle w:val="6"/>
              <w:jc w:val="center"/>
              <w:rPr>
                <w:rFonts w:ascii="方正仿宋_GBK" w:hAnsi="方正仿宋_GBK" w:eastAsia="方正仿宋_GBK" w:cs="方正仿宋_GBK"/>
                <w:kern w:val="2"/>
                <w:sz w:val="24"/>
                <w:szCs w:val="24"/>
                <w:highlight w:val="none"/>
              </w:rPr>
            </w:pPr>
          </w:p>
        </w:tc>
        <w:tc>
          <w:tcPr>
            <w:tcW w:w="3782" w:type="dxa"/>
            <w:vAlign w:val="center"/>
          </w:tcPr>
          <w:p w14:paraId="2081404E">
            <w:pPr>
              <w:pStyle w:val="6"/>
              <w:ind w:firstLine="0"/>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按照能源公司需求，完成交易中心平台信息变更的申报。（10分）</w:t>
            </w:r>
          </w:p>
        </w:tc>
        <w:tc>
          <w:tcPr>
            <w:tcW w:w="1704" w:type="dxa"/>
            <w:vMerge w:val="continue"/>
            <w:vAlign w:val="center"/>
          </w:tcPr>
          <w:p w14:paraId="6DDA60B9">
            <w:pPr>
              <w:pStyle w:val="6"/>
              <w:rPr>
                <w:rFonts w:ascii="方正仿宋_GBK" w:hAnsi="方正仿宋_GBK" w:eastAsia="方正仿宋_GBK" w:cs="方正仿宋_GBK"/>
                <w:kern w:val="2"/>
                <w:sz w:val="24"/>
                <w:szCs w:val="24"/>
                <w:highlight w:val="none"/>
              </w:rPr>
            </w:pPr>
          </w:p>
        </w:tc>
        <w:tc>
          <w:tcPr>
            <w:tcW w:w="732" w:type="dxa"/>
            <w:vMerge w:val="continue"/>
            <w:vAlign w:val="center"/>
          </w:tcPr>
          <w:p w14:paraId="2615FF9F">
            <w:pPr>
              <w:pStyle w:val="6"/>
              <w:rPr>
                <w:rFonts w:ascii="方正仿宋_GBK" w:hAnsi="方正仿宋_GBK" w:eastAsia="方正仿宋_GBK" w:cs="方正仿宋_GBK"/>
                <w:kern w:val="2"/>
                <w:sz w:val="24"/>
                <w:szCs w:val="24"/>
                <w:highlight w:val="none"/>
              </w:rPr>
            </w:pPr>
          </w:p>
        </w:tc>
      </w:tr>
      <w:tr w14:paraId="716F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26" w:type="dxa"/>
            <w:vMerge w:val="continue"/>
            <w:vAlign w:val="center"/>
          </w:tcPr>
          <w:p w14:paraId="626A4A30">
            <w:pPr>
              <w:pStyle w:val="6"/>
              <w:jc w:val="center"/>
              <w:rPr>
                <w:rFonts w:ascii="方正仿宋_GBK" w:hAnsi="方正仿宋_GBK" w:eastAsia="方正仿宋_GBK" w:cs="方正仿宋_GBK"/>
                <w:kern w:val="2"/>
                <w:sz w:val="24"/>
                <w:szCs w:val="24"/>
                <w:highlight w:val="none"/>
              </w:rPr>
            </w:pPr>
          </w:p>
        </w:tc>
        <w:tc>
          <w:tcPr>
            <w:tcW w:w="1200" w:type="dxa"/>
            <w:vMerge w:val="continue"/>
            <w:vAlign w:val="center"/>
          </w:tcPr>
          <w:p w14:paraId="69C9748C">
            <w:pPr>
              <w:pStyle w:val="6"/>
              <w:jc w:val="center"/>
              <w:rPr>
                <w:rFonts w:ascii="方正仿宋_GBK" w:hAnsi="方正仿宋_GBK" w:eastAsia="方正仿宋_GBK" w:cs="方正仿宋_GBK"/>
                <w:kern w:val="2"/>
                <w:sz w:val="24"/>
                <w:szCs w:val="24"/>
                <w:highlight w:val="none"/>
              </w:rPr>
            </w:pPr>
          </w:p>
        </w:tc>
        <w:tc>
          <w:tcPr>
            <w:tcW w:w="3782" w:type="dxa"/>
            <w:vAlign w:val="center"/>
          </w:tcPr>
          <w:p w14:paraId="5229ADCA">
            <w:pPr>
              <w:pStyle w:val="6"/>
              <w:ind w:firstLine="0"/>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根据签约情况，及时办理用户绑定手续</w:t>
            </w:r>
            <w:bookmarkStart w:id="111" w:name="OLE_LINK2"/>
            <w:r>
              <w:rPr>
                <w:rFonts w:hint="eastAsia" w:ascii="方正仿宋_GBK" w:hAnsi="方正仿宋_GBK" w:eastAsia="方正仿宋_GBK" w:cs="方正仿宋_GBK"/>
                <w:kern w:val="2"/>
                <w:sz w:val="24"/>
                <w:szCs w:val="24"/>
                <w:highlight w:val="none"/>
              </w:rPr>
              <w:t>。（10分）</w:t>
            </w:r>
            <w:bookmarkEnd w:id="111"/>
          </w:p>
        </w:tc>
        <w:tc>
          <w:tcPr>
            <w:tcW w:w="1704" w:type="dxa"/>
            <w:vMerge w:val="continue"/>
            <w:vAlign w:val="center"/>
          </w:tcPr>
          <w:p w14:paraId="4E300BBA">
            <w:pPr>
              <w:pStyle w:val="6"/>
              <w:rPr>
                <w:rFonts w:ascii="方正仿宋_GBK" w:hAnsi="方正仿宋_GBK" w:eastAsia="方正仿宋_GBK" w:cs="方正仿宋_GBK"/>
                <w:kern w:val="2"/>
                <w:sz w:val="24"/>
                <w:szCs w:val="24"/>
                <w:highlight w:val="none"/>
              </w:rPr>
            </w:pPr>
          </w:p>
        </w:tc>
        <w:tc>
          <w:tcPr>
            <w:tcW w:w="732" w:type="dxa"/>
            <w:vMerge w:val="continue"/>
            <w:vAlign w:val="center"/>
          </w:tcPr>
          <w:p w14:paraId="05F61E43">
            <w:pPr>
              <w:pStyle w:val="6"/>
              <w:rPr>
                <w:rFonts w:ascii="方正仿宋_GBK" w:hAnsi="方正仿宋_GBK" w:eastAsia="方正仿宋_GBK" w:cs="方正仿宋_GBK"/>
                <w:kern w:val="2"/>
                <w:sz w:val="24"/>
                <w:szCs w:val="24"/>
                <w:highlight w:val="none"/>
              </w:rPr>
            </w:pPr>
          </w:p>
        </w:tc>
      </w:tr>
      <w:tr w14:paraId="74E9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A3FC094">
            <w:pPr>
              <w:pStyle w:val="6"/>
              <w:ind w:firstLine="0"/>
              <w:jc w:val="center"/>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2</w:t>
            </w:r>
          </w:p>
        </w:tc>
        <w:tc>
          <w:tcPr>
            <w:tcW w:w="1200" w:type="dxa"/>
            <w:vAlign w:val="center"/>
          </w:tcPr>
          <w:p w14:paraId="69507E99">
            <w:pPr>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交易结算服务（50分）</w:t>
            </w:r>
          </w:p>
          <w:p w14:paraId="2476CDF0">
            <w:pPr>
              <w:pStyle w:val="6"/>
              <w:jc w:val="center"/>
              <w:rPr>
                <w:rFonts w:ascii="方正仿宋_GBK" w:hAnsi="方正仿宋_GBK" w:eastAsia="方正仿宋_GBK" w:cs="方正仿宋_GBK"/>
                <w:kern w:val="2"/>
                <w:sz w:val="24"/>
                <w:szCs w:val="24"/>
                <w:highlight w:val="none"/>
              </w:rPr>
            </w:pPr>
          </w:p>
        </w:tc>
        <w:tc>
          <w:tcPr>
            <w:tcW w:w="3782" w:type="dxa"/>
            <w:vAlign w:val="center"/>
          </w:tcPr>
          <w:p w14:paraId="71FACF59">
            <w:pPr>
              <w:numPr>
                <w:ilvl w:val="0"/>
                <w:numId w:val="3"/>
              </w:numPr>
              <w:snapToGrid w:val="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按照政府主管部门、交易中心及甲方通知完成年度交易工作。（10分）</w:t>
            </w:r>
          </w:p>
          <w:p w14:paraId="032E8F66">
            <w:pPr>
              <w:numPr>
                <w:ilvl w:val="0"/>
                <w:numId w:val="3"/>
              </w:numPr>
              <w:snapToGrid w:val="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按照交易中心通知完成月度交易工作。（10分）</w:t>
            </w:r>
          </w:p>
          <w:p w14:paraId="31C0E7E1">
            <w:pPr>
              <w:pStyle w:val="6"/>
              <w:ind w:firstLine="0"/>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3、按照交易中心及调度要求完成现货交易工作。（10分）</w:t>
            </w:r>
          </w:p>
          <w:p w14:paraId="220F24D1">
            <w:pPr>
              <w:snapToGrid w:val="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4、每月10日前，出具能源公司及用户结算表供核对。（10分）</w:t>
            </w:r>
          </w:p>
          <w:p w14:paraId="36D8DF78">
            <w:pPr>
              <w:snapToGrid w:val="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5、每月15日前出具服务费结算表供能源公司核对。（10分）</w:t>
            </w:r>
          </w:p>
        </w:tc>
        <w:tc>
          <w:tcPr>
            <w:tcW w:w="1704" w:type="dxa"/>
            <w:vAlign w:val="center"/>
          </w:tcPr>
          <w:p w14:paraId="422F9870">
            <w:pPr>
              <w:pStyle w:val="6"/>
              <w:ind w:firstLine="0"/>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根据服务商的效率进行考核，不满意一次扣1分，扣完为止。</w:t>
            </w:r>
          </w:p>
        </w:tc>
        <w:tc>
          <w:tcPr>
            <w:tcW w:w="732" w:type="dxa"/>
            <w:vAlign w:val="center"/>
          </w:tcPr>
          <w:p w14:paraId="1E4B7E41">
            <w:pPr>
              <w:pStyle w:val="6"/>
              <w:rPr>
                <w:rFonts w:ascii="方正仿宋_GBK" w:hAnsi="方正仿宋_GBK" w:eastAsia="方正仿宋_GBK" w:cs="方正仿宋_GBK"/>
                <w:kern w:val="2"/>
                <w:sz w:val="24"/>
                <w:szCs w:val="24"/>
                <w:highlight w:val="none"/>
              </w:rPr>
            </w:pPr>
          </w:p>
        </w:tc>
      </w:tr>
      <w:tr w14:paraId="770C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26" w:type="dxa"/>
            <w:vAlign w:val="center"/>
          </w:tcPr>
          <w:p w14:paraId="16351DCD">
            <w:pPr>
              <w:pStyle w:val="6"/>
              <w:ind w:firstLine="0"/>
              <w:jc w:val="center"/>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3</w:t>
            </w:r>
          </w:p>
        </w:tc>
        <w:tc>
          <w:tcPr>
            <w:tcW w:w="1200" w:type="dxa"/>
            <w:vAlign w:val="center"/>
          </w:tcPr>
          <w:p w14:paraId="653B459E">
            <w:pPr>
              <w:pStyle w:val="6"/>
              <w:ind w:firstLine="0"/>
              <w:jc w:val="center"/>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业务服务（10分）</w:t>
            </w:r>
          </w:p>
        </w:tc>
        <w:tc>
          <w:tcPr>
            <w:tcW w:w="3782" w:type="dxa"/>
            <w:vAlign w:val="center"/>
          </w:tcPr>
          <w:p w14:paraId="6BEE32E6">
            <w:pPr>
              <w:snapToGrid w:val="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能源公司自主开发用户时，出具签约建议或方案。（10分）</w:t>
            </w:r>
          </w:p>
        </w:tc>
        <w:tc>
          <w:tcPr>
            <w:tcW w:w="1704" w:type="dxa"/>
            <w:vAlign w:val="center"/>
          </w:tcPr>
          <w:p w14:paraId="545EC1F4">
            <w:pPr>
              <w:pStyle w:val="6"/>
              <w:ind w:firstLine="0"/>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未按要求服务不得分。</w:t>
            </w:r>
          </w:p>
        </w:tc>
        <w:tc>
          <w:tcPr>
            <w:tcW w:w="732" w:type="dxa"/>
            <w:vAlign w:val="center"/>
          </w:tcPr>
          <w:p w14:paraId="34619AB9">
            <w:pPr>
              <w:pStyle w:val="6"/>
              <w:rPr>
                <w:rFonts w:ascii="方正仿宋_GBK" w:hAnsi="方正仿宋_GBK" w:eastAsia="方正仿宋_GBK" w:cs="方正仿宋_GBK"/>
                <w:kern w:val="2"/>
                <w:sz w:val="24"/>
                <w:szCs w:val="24"/>
                <w:highlight w:val="none"/>
              </w:rPr>
            </w:pPr>
          </w:p>
        </w:tc>
      </w:tr>
      <w:tr w14:paraId="1C0F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26" w:type="dxa"/>
            <w:vAlign w:val="center"/>
          </w:tcPr>
          <w:p w14:paraId="61C8D8E8">
            <w:pPr>
              <w:pStyle w:val="6"/>
              <w:ind w:firstLine="0"/>
              <w:jc w:val="center"/>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4</w:t>
            </w:r>
          </w:p>
        </w:tc>
        <w:tc>
          <w:tcPr>
            <w:tcW w:w="1200" w:type="dxa"/>
            <w:vAlign w:val="center"/>
          </w:tcPr>
          <w:p w14:paraId="048AACEE">
            <w:pPr>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培训服务</w:t>
            </w:r>
          </w:p>
          <w:p w14:paraId="3368633F">
            <w:pPr>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（10分）</w:t>
            </w:r>
          </w:p>
        </w:tc>
        <w:tc>
          <w:tcPr>
            <w:tcW w:w="3782" w:type="dxa"/>
            <w:vAlign w:val="center"/>
          </w:tcPr>
          <w:p w14:paraId="6ECCE80C">
            <w:pPr>
              <w:pStyle w:val="6"/>
              <w:ind w:firstLine="0"/>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在合同期限内对采购单位每年不少于1次政策及规则的培训。（10分）</w:t>
            </w:r>
          </w:p>
        </w:tc>
        <w:tc>
          <w:tcPr>
            <w:tcW w:w="1704" w:type="dxa"/>
            <w:vAlign w:val="center"/>
          </w:tcPr>
          <w:p w14:paraId="7CB46C7F">
            <w:pPr>
              <w:pStyle w:val="6"/>
              <w:ind w:firstLine="0"/>
              <w:rPr>
                <w:rFonts w:ascii="方正仿宋_GBK" w:hAnsi="方正仿宋_GBK" w:eastAsia="方正仿宋_GBK" w:cs="方正仿宋_GBK"/>
                <w:kern w:val="2"/>
                <w:sz w:val="24"/>
                <w:szCs w:val="24"/>
                <w:highlight w:val="none"/>
              </w:rPr>
            </w:pPr>
            <w:r>
              <w:rPr>
                <w:rFonts w:hint="eastAsia" w:ascii="方正仿宋_GBK" w:hAnsi="方正仿宋_GBK" w:eastAsia="方正仿宋_GBK" w:cs="方正仿宋_GBK"/>
                <w:kern w:val="2"/>
                <w:sz w:val="24"/>
                <w:szCs w:val="24"/>
                <w:highlight w:val="none"/>
              </w:rPr>
              <w:t>未按要求培训不得分。</w:t>
            </w:r>
          </w:p>
        </w:tc>
        <w:tc>
          <w:tcPr>
            <w:tcW w:w="732" w:type="dxa"/>
            <w:vAlign w:val="center"/>
          </w:tcPr>
          <w:p w14:paraId="1458D12A">
            <w:pPr>
              <w:pStyle w:val="6"/>
              <w:rPr>
                <w:rFonts w:ascii="方正仿宋_GBK" w:hAnsi="方正仿宋_GBK" w:eastAsia="方正仿宋_GBK" w:cs="方正仿宋_GBK"/>
                <w:kern w:val="2"/>
                <w:sz w:val="24"/>
                <w:szCs w:val="24"/>
                <w:highlight w:val="none"/>
              </w:rPr>
            </w:pPr>
          </w:p>
        </w:tc>
      </w:tr>
    </w:tbl>
    <w:p w14:paraId="267BD4C8">
      <w:pPr>
        <w:pStyle w:val="15"/>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甲方按季度针对考核细则中的第1项“基础服务”、第2项“交易结算服务”、第3项“业务服务”对乙方进行考核，考核70分（不含本数）以下为不合格，乙方根据甲方建议整改，整改不合格的将扣除1%的履约保证金。</w:t>
      </w:r>
    </w:p>
    <w:p w14:paraId="68A27EF0">
      <w:pPr>
        <w:spacing w:line="360" w:lineRule="auto"/>
        <w:ind w:firstLine="480" w:firstLineChars="200"/>
        <w:rPr>
          <w:rFonts w:ascii="方正仿宋_GBK" w:hAnsi="方正仿宋_GBK" w:eastAsia="方正仿宋_GBK" w:cs="方正仿宋_GBK"/>
          <w:szCs w:val="21"/>
          <w:highlight w:val="none"/>
        </w:rPr>
      </w:pPr>
      <w:r>
        <w:rPr>
          <w:rFonts w:hint="eastAsia" w:ascii="方正仿宋_GBK" w:hAnsi="方正仿宋_GBK" w:eastAsia="方正仿宋_GBK" w:cs="方正仿宋_GBK"/>
          <w:sz w:val="24"/>
          <w:highlight w:val="none"/>
        </w:rPr>
        <w:t>（2）合同到期时，甲方针对第4项“培训服务”对乙方进行考核，该项考核分数+四个季度的考核平均分为乙方考核总分，考核总分90分（含本数）以上续签一年合同，考核总分90分（不含本数）以下不续签合同。</w:t>
      </w:r>
    </w:p>
    <w:p w14:paraId="23BCE6BD">
      <w:pPr>
        <w:pStyle w:val="34"/>
        <w:ind w:firstLine="560"/>
        <w:rPr>
          <w:highlight w:val="none"/>
        </w:rPr>
      </w:pPr>
    </w:p>
    <w:bookmarkEnd w:id="0"/>
    <w:bookmarkEnd w:id="1"/>
    <w:bookmarkEnd w:id="2"/>
    <w:p w14:paraId="1266A1B6">
      <w:pPr>
        <w:rPr>
          <w:rFonts w:ascii="宋体" w:hAnsi="宋体" w:cs="宋体"/>
          <w:b/>
          <w:sz w:val="36"/>
          <w:szCs w:val="36"/>
          <w:highlight w:val="none"/>
        </w:rPr>
      </w:pPr>
      <w:r>
        <w:rPr>
          <w:rFonts w:hint="eastAsia" w:ascii="宋体" w:hAnsi="宋体" w:cs="宋体"/>
          <w:b/>
          <w:sz w:val="36"/>
          <w:szCs w:val="36"/>
          <w:highlight w:val="none"/>
        </w:rPr>
        <w:br w:type="page"/>
      </w:r>
    </w:p>
    <w:p w14:paraId="71E288CB">
      <w:pPr>
        <w:autoSpaceDE w:val="0"/>
        <w:autoSpaceDN w:val="0"/>
        <w:adjustRightInd w:val="0"/>
        <w:spacing w:line="460" w:lineRule="exact"/>
        <w:jc w:val="center"/>
        <w:rPr>
          <w:rFonts w:ascii="黑体" w:hAnsi="黑体" w:eastAsia="黑体" w:cs="黑体"/>
          <w:bCs/>
          <w:sz w:val="36"/>
          <w:szCs w:val="36"/>
          <w:highlight w:val="none"/>
        </w:rPr>
      </w:pPr>
      <w:r>
        <w:rPr>
          <w:rFonts w:hint="eastAsia" w:ascii="黑体" w:hAnsi="黑体" w:eastAsia="黑体" w:cs="黑体"/>
          <w:b/>
          <w:sz w:val="36"/>
          <w:szCs w:val="36"/>
          <w:highlight w:val="none"/>
        </w:rPr>
        <w:t>第四部分  开标和评标</w:t>
      </w:r>
    </w:p>
    <w:p w14:paraId="34BF6058">
      <w:pPr>
        <w:pStyle w:val="84"/>
        <w:snapToGrid w:val="0"/>
        <w:spacing w:before="0" w:after="0" w:line="560" w:lineRule="exact"/>
        <w:ind w:left="0" w:right="0" w:firstLine="560" w:firstLineChars="200"/>
        <w:jc w:val="left"/>
        <w:rPr>
          <w:rFonts w:ascii="方正仿宋_GBK" w:hAnsi="方正仿宋_GBK" w:eastAsia="方正仿宋_GBK" w:cs="方正仿宋_GBK"/>
          <w:b/>
          <w:kern w:val="2"/>
          <w:sz w:val="28"/>
          <w:szCs w:val="28"/>
          <w:highlight w:val="none"/>
        </w:rPr>
      </w:pPr>
      <w:r>
        <w:rPr>
          <w:rFonts w:hint="eastAsia" w:ascii="方正仿宋_GBK" w:hAnsi="方正仿宋_GBK" w:eastAsia="方正仿宋_GBK" w:cs="方正仿宋_GBK"/>
          <w:b/>
          <w:kern w:val="2"/>
          <w:sz w:val="28"/>
          <w:szCs w:val="28"/>
          <w:highlight w:val="none"/>
        </w:rPr>
        <w:t>一、开标</w:t>
      </w:r>
    </w:p>
    <w:p w14:paraId="38F5A633">
      <w:pPr>
        <w:tabs>
          <w:tab w:val="left" w:pos="3585"/>
        </w:tabs>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见面开标模式：投标人在指定地点参加开标会。</w:t>
      </w:r>
    </w:p>
    <w:p w14:paraId="1BE5361E">
      <w:pPr>
        <w:pStyle w:val="84"/>
        <w:snapToGrid w:val="0"/>
        <w:spacing w:before="0" w:after="0" w:line="560" w:lineRule="exact"/>
        <w:ind w:left="0" w:right="0" w:firstLine="560" w:firstLineChars="200"/>
        <w:jc w:val="left"/>
        <w:rPr>
          <w:rFonts w:ascii="方正仿宋_GBK" w:hAnsi="方正仿宋_GBK" w:eastAsia="方正仿宋_GBK" w:cs="方正仿宋_GBK"/>
          <w:b/>
          <w:kern w:val="2"/>
          <w:sz w:val="28"/>
          <w:szCs w:val="28"/>
          <w:highlight w:val="none"/>
        </w:rPr>
      </w:pPr>
      <w:r>
        <w:rPr>
          <w:rFonts w:hint="eastAsia" w:ascii="方正仿宋_GBK" w:hAnsi="方正仿宋_GBK" w:eastAsia="方正仿宋_GBK" w:cs="方正仿宋_GBK"/>
          <w:b/>
          <w:kern w:val="2"/>
          <w:sz w:val="28"/>
          <w:szCs w:val="28"/>
          <w:highlight w:val="none"/>
        </w:rPr>
        <w:t>二、评标流程和评标标准</w:t>
      </w:r>
    </w:p>
    <w:p w14:paraId="5DB8EE65">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采用综合评分法。分资格审查文件、商务技术文件、价格文件、三部分评审，总分值为100分，加分和减分因素除外。</w:t>
      </w:r>
    </w:p>
    <w:p w14:paraId="5817DF6D">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首先由招标人对投标人资格进行审查，然后评标委员会对符合资格的投标人的投标文件进行符合性审查，最后评标委员会对符合性审查合格的投标文件商务、技术部分进行评估，综合比较与评价。待商务技术文件评审结束后，进行价格文件的开启、评审。投标人商务、技术部分和价格部分的合计分值，为该投标人的评标总得分。</w:t>
      </w:r>
    </w:p>
    <w:p w14:paraId="0ABDDC30">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评标结果按评审后得分由高到低顺序排列。得分相同的，按投标报价由低到高顺序排列（即按投标下浮率由高到低顺序排列）。得分且投标报价相同的并列。投标文件满足招标文件全部实质性要求，且按照评审因素的量化指标评审得分前三名的投标人为中标候选人。</w:t>
      </w:r>
    </w:p>
    <w:p w14:paraId="6245C8FC">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评委在认真审阅投标文件的基础上，根据各投标文件的响应程度独立评判，不得统一打分。</w:t>
      </w:r>
    </w:p>
    <w:p w14:paraId="6837F2B7">
      <w:pPr>
        <w:adjustRightInd w:val="0"/>
        <w:snapToGrid w:val="0"/>
        <w:spacing w:line="560" w:lineRule="exact"/>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（一）招标人（代表）对投标人资格进行审查。</w:t>
      </w:r>
    </w:p>
    <w:p w14:paraId="0855E0F1">
      <w:pPr>
        <w:pStyle w:val="88"/>
        <w:adjustRightInd w:val="0"/>
        <w:snapToGrid w:val="0"/>
        <w:spacing w:line="560" w:lineRule="exact"/>
        <w:ind w:firstLine="560" w:firstLineChars="200"/>
        <w:rPr>
          <w:rFonts w:ascii="方正仿宋_GBK" w:hAnsi="方正仿宋_GBK" w:eastAsia="方正仿宋_GBK" w:cs="方正仿宋_GBK"/>
          <w:sz w:val="28"/>
          <w:highlight w:val="none"/>
        </w:rPr>
      </w:pPr>
      <w:r>
        <w:rPr>
          <w:rFonts w:hint="eastAsia" w:ascii="方正仿宋_GBK" w:hAnsi="方正仿宋_GBK" w:eastAsia="方正仿宋_GBK" w:cs="方正仿宋_GBK"/>
          <w:sz w:val="28"/>
          <w:highlight w:val="none"/>
        </w:rPr>
        <w:t>投标人资格不合格的，其投标文件判定为无效投标文件。</w:t>
      </w:r>
    </w:p>
    <w:p w14:paraId="75A9ADCA">
      <w:pPr>
        <w:adjustRightInd w:val="0"/>
        <w:snapToGrid w:val="0"/>
        <w:spacing w:line="560" w:lineRule="exact"/>
        <w:ind w:firstLine="560" w:firstLineChars="200"/>
        <w:jc w:val="left"/>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（二）评标委员会对符合资格投标人的投标文件进行符合性审查。</w:t>
      </w:r>
    </w:p>
    <w:p w14:paraId="2FF6FDD8">
      <w:pPr>
        <w:pStyle w:val="88"/>
        <w:adjustRightInd w:val="0"/>
        <w:snapToGrid w:val="0"/>
        <w:spacing w:line="560" w:lineRule="exact"/>
        <w:ind w:firstLine="560" w:firstLineChars="200"/>
        <w:rPr>
          <w:rFonts w:ascii="方正仿宋_GBK" w:hAnsi="方正仿宋_GBK" w:eastAsia="方正仿宋_GBK" w:cs="方正仿宋_GBK"/>
          <w:sz w:val="28"/>
          <w:highlight w:val="none"/>
        </w:rPr>
      </w:pPr>
      <w:r>
        <w:rPr>
          <w:rFonts w:hint="eastAsia" w:ascii="方正仿宋_GBK" w:hAnsi="方正仿宋_GBK" w:eastAsia="方正仿宋_GBK" w:cs="方正仿宋_GBK"/>
          <w:sz w:val="28"/>
          <w:highlight w:val="none"/>
        </w:rPr>
        <w:t xml:space="preserve">未通过符合性审查的投标文件，将被判为不满足招标文件实质性要求。 </w:t>
      </w:r>
    </w:p>
    <w:p w14:paraId="19B8A399">
      <w:pPr>
        <w:adjustRightInd w:val="0"/>
        <w:snapToGrid w:val="0"/>
        <w:spacing w:line="560" w:lineRule="exact"/>
        <w:ind w:firstLine="560" w:firstLineChars="200"/>
        <w:jc w:val="left"/>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sz w:val="28"/>
          <w:szCs w:val="28"/>
          <w:highlight w:val="none"/>
          <w:lang w:val="zh-CN"/>
        </w:rPr>
        <w:t>三</w:t>
      </w: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sz w:val="28"/>
          <w:szCs w:val="28"/>
          <w:highlight w:val="none"/>
          <w:lang w:val="zh-CN"/>
        </w:rPr>
        <w:t>商务技术分</w:t>
      </w:r>
      <w:r>
        <w:rPr>
          <w:rFonts w:hint="eastAsia" w:ascii="方正仿宋_GBK" w:hAnsi="方正仿宋_GBK" w:eastAsia="方正仿宋_GBK" w:cs="方正仿宋_GBK"/>
          <w:kern w:val="0"/>
          <w:sz w:val="28"/>
          <w:szCs w:val="28"/>
          <w:highlight w:val="none"/>
        </w:rPr>
        <w:t>：60分</w:t>
      </w:r>
    </w:p>
    <w:p w14:paraId="4B2945C1">
      <w:pPr>
        <w:autoSpaceDE w:val="0"/>
        <w:autoSpaceDN w:val="0"/>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各投标人得分为评委会成员评分的算术平均分，分值保留小数点后两位。</w:t>
      </w:r>
    </w:p>
    <w:tbl>
      <w:tblPr>
        <w:tblStyle w:val="3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226"/>
        <w:gridCol w:w="6028"/>
      </w:tblGrid>
      <w:tr w14:paraId="16F6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pct"/>
            <w:vAlign w:val="center"/>
          </w:tcPr>
          <w:p w14:paraId="5FE7852B">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评分项</w:t>
            </w:r>
          </w:p>
        </w:tc>
        <w:tc>
          <w:tcPr>
            <w:tcW w:w="660" w:type="pct"/>
            <w:vAlign w:val="center"/>
          </w:tcPr>
          <w:p w14:paraId="794ED1B3">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分值</w:t>
            </w:r>
          </w:p>
        </w:tc>
        <w:tc>
          <w:tcPr>
            <w:tcW w:w="3246" w:type="pct"/>
            <w:vAlign w:val="center"/>
          </w:tcPr>
          <w:p w14:paraId="3D6285FB">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评分细则</w:t>
            </w:r>
          </w:p>
        </w:tc>
      </w:tr>
      <w:tr w14:paraId="3276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pct"/>
            <w:vAlign w:val="center"/>
          </w:tcPr>
          <w:p w14:paraId="73C7A57C">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1.商务部分</w:t>
            </w:r>
          </w:p>
        </w:tc>
        <w:tc>
          <w:tcPr>
            <w:tcW w:w="660" w:type="pct"/>
            <w:vAlign w:val="center"/>
          </w:tcPr>
          <w:p w14:paraId="4982EBD0">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20分</w:t>
            </w:r>
          </w:p>
        </w:tc>
        <w:tc>
          <w:tcPr>
            <w:tcW w:w="3246" w:type="pct"/>
          </w:tcPr>
          <w:p w14:paraId="33E61763">
            <w:pPr>
              <w:spacing w:line="460" w:lineRule="exact"/>
              <w:rPr>
                <w:rFonts w:ascii="方正仿宋_GBK" w:hAnsi="方正仿宋_GBK" w:eastAsia="方正仿宋_GBK" w:cs="方正仿宋_GBK"/>
                <w:sz w:val="24"/>
                <w:highlight w:val="none"/>
              </w:rPr>
            </w:pPr>
          </w:p>
        </w:tc>
      </w:tr>
      <w:tr w14:paraId="529A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pct"/>
            <w:vAlign w:val="center"/>
          </w:tcPr>
          <w:p w14:paraId="35E6EB4A">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1.1企业资质</w:t>
            </w:r>
          </w:p>
        </w:tc>
        <w:tc>
          <w:tcPr>
            <w:tcW w:w="660" w:type="pct"/>
            <w:vAlign w:val="center"/>
          </w:tcPr>
          <w:p w14:paraId="2DB1EEB9">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5分</w:t>
            </w:r>
          </w:p>
        </w:tc>
        <w:tc>
          <w:tcPr>
            <w:tcW w:w="3246" w:type="pct"/>
          </w:tcPr>
          <w:p w14:paraId="7FD9F450">
            <w:pPr>
              <w:spacing w:line="46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参与本次投标活动前三年内，在政府部门和交易平台无不良投诉或信用记录，没有得5分，有一例扣2.5分。注：提供信用中国企业征信记录。</w:t>
            </w:r>
          </w:p>
        </w:tc>
      </w:tr>
      <w:tr w14:paraId="60D6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pct"/>
            <w:vAlign w:val="center"/>
          </w:tcPr>
          <w:p w14:paraId="361BCE04">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1.2运营能力</w:t>
            </w:r>
          </w:p>
        </w:tc>
        <w:tc>
          <w:tcPr>
            <w:tcW w:w="660" w:type="pct"/>
            <w:vAlign w:val="center"/>
          </w:tcPr>
          <w:p w14:paraId="0015B529">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10分</w:t>
            </w:r>
          </w:p>
        </w:tc>
        <w:tc>
          <w:tcPr>
            <w:tcW w:w="3246" w:type="pct"/>
          </w:tcPr>
          <w:p w14:paraId="36A937EC">
            <w:pPr>
              <w:wordWrap w:val="0"/>
              <w:spacing w:line="460" w:lineRule="exact"/>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有代理售电业务运营的相关经验。没有不得分。注：提供合作售电公司说明并盖章。</w:t>
            </w:r>
          </w:p>
        </w:tc>
      </w:tr>
      <w:tr w14:paraId="5D5D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pct"/>
            <w:vAlign w:val="center"/>
          </w:tcPr>
          <w:p w14:paraId="4C8CED73">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1.3业绩要求</w:t>
            </w:r>
          </w:p>
        </w:tc>
        <w:tc>
          <w:tcPr>
            <w:tcW w:w="660" w:type="pct"/>
            <w:vAlign w:val="center"/>
          </w:tcPr>
          <w:p w14:paraId="4FD1F108">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5分</w:t>
            </w:r>
          </w:p>
        </w:tc>
        <w:tc>
          <w:tcPr>
            <w:tcW w:w="3246" w:type="pct"/>
          </w:tcPr>
          <w:p w14:paraId="450BB182">
            <w:pPr>
              <w:wordWrap w:val="0"/>
              <w:spacing w:line="460" w:lineRule="exact"/>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有完成代理售电公司注册及交易平台信息维护的业绩：有得5分，没有不得分。注：提供相关合同及江苏省电力交易中心交易平台界面截图。</w:t>
            </w:r>
          </w:p>
        </w:tc>
      </w:tr>
      <w:tr w14:paraId="7879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pct"/>
            <w:vAlign w:val="center"/>
          </w:tcPr>
          <w:p w14:paraId="4C10DF7D">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2.技术部分</w:t>
            </w:r>
          </w:p>
        </w:tc>
        <w:tc>
          <w:tcPr>
            <w:tcW w:w="660" w:type="pct"/>
            <w:vAlign w:val="center"/>
          </w:tcPr>
          <w:p w14:paraId="54C0B88F">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25分</w:t>
            </w:r>
          </w:p>
        </w:tc>
        <w:tc>
          <w:tcPr>
            <w:tcW w:w="3246" w:type="pct"/>
          </w:tcPr>
          <w:p w14:paraId="3D15CF5F">
            <w:pPr>
              <w:spacing w:line="460" w:lineRule="exact"/>
              <w:rPr>
                <w:rFonts w:ascii="方正仿宋_GBK" w:hAnsi="方正仿宋_GBK" w:eastAsia="方正仿宋_GBK" w:cs="方正仿宋_GBK"/>
                <w:sz w:val="24"/>
                <w:highlight w:val="none"/>
              </w:rPr>
            </w:pPr>
          </w:p>
        </w:tc>
      </w:tr>
      <w:tr w14:paraId="43C1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pct"/>
            <w:vAlign w:val="center"/>
          </w:tcPr>
          <w:p w14:paraId="39E3B3B0">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2.1中长期交易</w:t>
            </w:r>
          </w:p>
        </w:tc>
        <w:tc>
          <w:tcPr>
            <w:tcW w:w="660" w:type="pct"/>
            <w:vAlign w:val="center"/>
          </w:tcPr>
          <w:p w14:paraId="19E77951">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10分</w:t>
            </w:r>
          </w:p>
        </w:tc>
        <w:tc>
          <w:tcPr>
            <w:tcW w:w="3246" w:type="pct"/>
          </w:tcPr>
          <w:p w14:paraId="14C57F03">
            <w:pPr>
              <w:spacing w:line="46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代理售电公司参与年度交易合约价格低于江苏省双边协商交易成交均价，每低0.2元/MWh得1分，总分10分。注：提供电力交易平台“省内直接交易合同”截图并盖章。</w:t>
            </w:r>
          </w:p>
        </w:tc>
      </w:tr>
      <w:tr w14:paraId="120A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pct"/>
            <w:vAlign w:val="center"/>
          </w:tcPr>
          <w:p w14:paraId="5E1B8259">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2.2现货交易</w:t>
            </w:r>
          </w:p>
        </w:tc>
        <w:tc>
          <w:tcPr>
            <w:tcW w:w="660" w:type="pct"/>
            <w:vAlign w:val="center"/>
          </w:tcPr>
          <w:p w14:paraId="1A1A92F1">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10分</w:t>
            </w:r>
          </w:p>
        </w:tc>
        <w:tc>
          <w:tcPr>
            <w:tcW w:w="3246" w:type="pct"/>
          </w:tcPr>
          <w:p w14:paraId="2B514372">
            <w:pPr>
              <w:pStyle w:val="34"/>
              <w:spacing w:line="460" w:lineRule="exact"/>
              <w:ind w:left="0" w:firstLine="0" w:firstLineChars="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代理售电公司参与江苏省现货交易并提供现货交易平台交易界面截图。有得10分。</w:t>
            </w:r>
          </w:p>
        </w:tc>
      </w:tr>
      <w:tr w14:paraId="2098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pct"/>
            <w:vAlign w:val="center"/>
          </w:tcPr>
          <w:p w14:paraId="7AF27AAD">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2.3市场开发</w:t>
            </w:r>
          </w:p>
        </w:tc>
        <w:tc>
          <w:tcPr>
            <w:tcW w:w="660" w:type="pct"/>
            <w:vAlign w:val="center"/>
          </w:tcPr>
          <w:p w14:paraId="0157BE1F">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5分</w:t>
            </w:r>
          </w:p>
        </w:tc>
        <w:tc>
          <w:tcPr>
            <w:tcW w:w="3246" w:type="pct"/>
          </w:tcPr>
          <w:p w14:paraId="7BCFBD78">
            <w:pPr>
              <w:pStyle w:val="34"/>
              <w:spacing w:line="460" w:lineRule="exact"/>
              <w:ind w:left="0" w:firstLine="0" w:firstLineChars="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提供代理售电公司开发的主要电力用户清单并盖章。一家电力用户得0.5分，总分5分。</w:t>
            </w:r>
          </w:p>
        </w:tc>
      </w:tr>
      <w:tr w14:paraId="5FFE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pct"/>
            <w:vAlign w:val="center"/>
          </w:tcPr>
          <w:p w14:paraId="26EE1D18">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3.其他部分</w:t>
            </w:r>
          </w:p>
        </w:tc>
        <w:tc>
          <w:tcPr>
            <w:tcW w:w="660" w:type="pct"/>
            <w:vAlign w:val="center"/>
          </w:tcPr>
          <w:p w14:paraId="573FC96B">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15分</w:t>
            </w:r>
          </w:p>
        </w:tc>
        <w:tc>
          <w:tcPr>
            <w:tcW w:w="3246" w:type="pct"/>
          </w:tcPr>
          <w:p w14:paraId="0D4D7459">
            <w:pPr>
              <w:spacing w:line="460" w:lineRule="exact"/>
              <w:rPr>
                <w:rFonts w:ascii="方正仿宋_GBK" w:hAnsi="方正仿宋_GBK" w:eastAsia="方正仿宋_GBK" w:cs="方正仿宋_GBK"/>
                <w:sz w:val="24"/>
                <w:highlight w:val="none"/>
              </w:rPr>
            </w:pPr>
          </w:p>
        </w:tc>
      </w:tr>
      <w:tr w14:paraId="68EF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pct"/>
            <w:vAlign w:val="center"/>
          </w:tcPr>
          <w:p w14:paraId="08D74043">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增值服务</w:t>
            </w:r>
          </w:p>
        </w:tc>
        <w:tc>
          <w:tcPr>
            <w:tcW w:w="660" w:type="pct"/>
            <w:vAlign w:val="center"/>
          </w:tcPr>
          <w:p w14:paraId="40DADBD0">
            <w:pPr>
              <w:spacing w:line="4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15分</w:t>
            </w:r>
          </w:p>
        </w:tc>
        <w:tc>
          <w:tcPr>
            <w:tcW w:w="3246" w:type="pct"/>
          </w:tcPr>
          <w:p w14:paraId="36D0092D">
            <w:pPr>
              <w:spacing w:line="46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根据供应商提供的增值服务方案，相关方案的合理与全面程度进行横向比较：优秀的得10-15分，良好的得5-10分，一般的得1-5分，未提供本项不得分。</w:t>
            </w:r>
          </w:p>
        </w:tc>
      </w:tr>
    </w:tbl>
    <w:p w14:paraId="05DBC27A">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28"/>
          <w:szCs w:val="28"/>
          <w:highlight w:val="none"/>
        </w:rPr>
        <w:t>（四）</w:t>
      </w:r>
      <w:r>
        <w:rPr>
          <w:rFonts w:hint="eastAsia" w:ascii="方正仿宋_GBK" w:hAnsi="方正仿宋_GBK" w:eastAsia="方正仿宋_GBK" w:cs="方正仿宋_GBK"/>
          <w:b/>
          <w:bCs/>
          <w:sz w:val="28"/>
          <w:szCs w:val="28"/>
          <w:highlight w:val="none"/>
          <w:lang w:val="zh-CN"/>
        </w:rPr>
        <w:t>价格分</w:t>
      </w:r>
      <w:r>
        <w:rPr>
          <w:rFonts w:hint="eastAsia" w:ascii="方正仿宋_GBK" w:hAnsi="方正仿宋_GBK" w:eastAsia="方正仿宋_GBK" w:cs="方正仿宋_GBK"/>
          <w:b/>
          <w:bCs/>
          <w:sz w:val="28"/>
          <w:szCs w:val="28"/>
          <w:highlight w:val="none"/>
        </w:rPr>
        <w:t>：40分</w:t>
      </w:r>
    </w:p>
    <w:p w14:paraId="4472C952">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价格分统一采用基准价计算法，按照购电侧和用户开发侧分项计算，每项各20分，即以满足招标文件要求的所有投标方报价的算数平均值为评标基准价，</w:t>
      </w:r>
      <w:r>
        <w:rPr>
          <w:rFonts w:ascii="方正仿宋_GBK" w:hAnsi="方正仿宋_GBK" w:eastAsia="方正仿宋_GBK" w:cs="方正仿宋_GBK"/>
          <w:sz w:val="28"/>
          <w:szCs w:val="28"/>
          <w:highlight w:val="none"/>
        </w:rPr>
        <w:t>小于等于基准价的报价</w:t>
      </w:r>
      <w:r>
        <w:rPr>
          <w:rFonts w:hint="eastAsia" w:ascii="方正仿宋_GBK" w:hAnsi="方正仿宋_GBK" w:eastAsia="方正仿宋_GBK" w:cs="方正仿宋_GBK"/>
          <w:sz w:val="28"/>
          <w:szCs w:val="28"/>
          <w:highlight w:val="none"/>
        </w:rPr>
        <w:t>为满分20分。投标方报价高于基准价的得分按照下列公式计算：</w:t>
      </w:r>
    </w:p>
    <w:p w14:paraId="5F371CDC">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报价得分</w:t>
      </w:r>
      <w:r>
        <w:rPr>
          <w:rFonts w:ascii="方正仿宋_GBK" w:hAnsi="方正仿宋_GBK" w:eastAsia="方正仿宋_GBK" w:cs="方正仿宋_GBK"/>
          <w:sz w:val="28"/>
          <w:szCs w:val="28"/>
          <w:highlight w:val="none"/>
        </w:rPr>
        <w:t>=20-</w:t>
      </w:r>
      <w:r>
        <w:rPr>
          <w:rFonts w:hint="eastAsia" w:ascii="方正仿宋_GBK" w:hAnsi="方正仿宋_GBK" w:eastAsia="方正仿宋_GBK" w:cs="方正仿宋_GBK"/>
          <w:sz w:val="28"/>
          <w:szCs w:val="28"/>
          <w:highlight w:val="none"/>
        </w:rPr>
        <w:t>【（投标报价-基准价)/基准价】</w:t>
      </w:r>
      <w:r>
        <w:rPr>
          <w:rFonts w:ascii="方正仿宋_GBK" w:hAnsi="方正仿宋_GBK" w:eastAsia="方正仿宋_GBK" w:cs="方正仿宋_GBK"/>
          <w:sz w:val="28"/>
          <w:szCs w:val="28"/>
          <w:highlight w:val="none"/>
        </w:rPr>
        <w:t>*20</w:t>
      </w:r>
    </w:p>
    <w:p w14:paraId="1C6AB42E">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项目评审过程中，不得去掉最后报价中的最高报价和最低报价。</w:t>
      </w:r>
    </w:p>
    <w:p w14:paraId="0A4B7F01">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3776667E">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
          <w:sz w:val="28"/>
          <w:szCs w:val="28"/>
          <w:highlight w:val="none"/>
        </w:rPr>
        <w:t>（五）中标人的确定</w:t>
      </w:r>
    </w:p>
    <w:p w14:paraId="1FEC4BCF">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评委会汇总各评委评分后，按照得分从高到低的顺序推荐三名中标候选人，并编写评标报告。</w:t>
      </w:r>
    </w:p>
    <w:p w14:paraId="7103C4E8">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招标人委托评标委员会直接确定排名第一的中标候选人为中标人。</w:t>
      </w:r>
    </w:p>
    <w:p w14:paraId="21E1225C">
      <w:pPr>
        <w:adjustRightInd w:val="0"/>
        <w:snapToGrid w:val="0"/>
        <w:spacing w:line="560" w:lineRule="exact"/>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（六）招标人代表宣布评标结果。</w:t>
      </w:r>
    </w:p>
    <w:p w14:paraId="42A13C8F">
      <w:pPr>
        <w:adjustRightInd w:val="0"/>
        <w:snapToGrid w:val="0"/>
        <w:spacing w:line="560" w:lineRule="exact"/>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（七）公告中标结果</w:t>
      </w:r>
    </w:p>
    <w:p w14:paraId="4FEB3464">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自确定中标人之日起2个工作日内，在南通市崇川区人民政府网公告中标结果，公告期限为1个工作日。</w:t>
      </w:r>
    </w:p>
    <w:p w14:paraId="3D16DD67">
      <w:pPr>
        <w:adjustRightInd w:val="0"/>
        <w:snapToGrid w:val="0"/>
        <w:spacing w:line="560" w:lineRule="exact"/>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bCs/>
          <w:sz w:val="28"/>
          <w:szCs w:val="28"/>
          <w:highlight w:val="none"/>
        </w:rPr>
        <w:t>八</w:t>
      </w: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bCs/>
          <w:sz w:val="28"/>
          <w:szCs w:val="28"/>
          <w:highlight w:val="none"/>
        </w:rPr>
        <w:t>发放中标通知书</w:t>
      </w:r>
    </w:p>
    <w:p w14:paraId="1DD8FEB4">
      <w:pPr>
        <w:adjustRightInd w:val="0"/>
        <w:snapToGrid w:val="0"/>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公告中标结果的同时，招标人</w:t>
      </w:r>
      <w:r>
        <w:rPr>
          <w:rFonts w:hint="eastAsia" w:ascii="方正仿宋_GBK" w:hAnsi="方正仿宋_GBK" w:eastAsia="方正仿宋_GBK" w:cs="方正仿宋_GBK"/>
          <w:bCs/>
          <w:sz w:val="28"/>
          <w:szCs w:val="28"/>
          <w:highlight w:val="none"/>
        </w:rPr>
        <w:t>向中标人发放中标通知书。</w:t>
      </w:r>
    </w:p>
    <w:p w14:paraId="3645F1C4">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中标通知书发出后，招标人不得违法改变中标结果，中标人无正当理由不得放弃中标。</w:t>
      </w:r>
    </w:p>
    <w:p w14:paraId="0DCBF579">
      <w:pPr>
        <w:adjustRightInd w:val="0"/>
        <w:snapToGrid w:val="0"/>
        <w:spacing w:line="560" w:lineRule="exact"/>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（九）其他</w:t>
      </w:r>
    </w:p>
    <w:p w14:paraId="61E8360D">
      <w:pPr>
        <w:adjustRightInd w:val="0"/>
        <w:snapToGrid w:val="0"/>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当排名第一的成交候选人无正当理由放弃成交，被查实存在影响成交结果的违法行为等情形，招标人有权按照政府招标相关法律法规的规定对其采取惩戒措施，包含但不限于列入招标失信人黑名单等措施。</w:t>
      </w:r>
    </w:p>
    <w:p w14:paraId="7816A56E">
      <w:pPr>
        <w:adjustRightInd w:val="0"/>
        <w:snapToGrid w:val="0"/>
        <w:spacing w:line="560" w:lineRule="exact"/>
        <w:ind w:firstLine="560" w:firstLineChars="200"/>
        <w:rPr>
          <w:rFonts w:ascii="方正仿宋_GBK" w:hAnsi="方正仿宋_GBK" w:eastAsia="方正仿宋_GBK" w:cs="方正仿宋_GBK"/>
          <w:highlight w:val="none"/>
        </w:rPr>
      </w:pPr>
      <w:r>
        <w:rPr>
          <w:rFonts w:hint="eastAsia" w:ascii="方正仿宋_GBK" w:hAnsi="方正仿宋_GBK" w:eastAsia="方正仿宋_GBK" w:cs="方正仿宋_GBK"/>
          <w:sz w:val="28"/>
          <w:szCs w:val="28"/>
          <w:highlight w:val="none"/>
        </w:rPr>
        <w:t>当排名第一的成交候选人放弃成交、因不可抗力不能履行合同，或者被查实存在影响成交结果的违法行为等情形，不符合成交条件的，招标人可以按照评标委员会提出的成交候选人名单排序依次确定其他成交候选人为中标人，也可以重新招标。</w:t>
      </w:r>
    </w:p>
    <w:p w14:paraId="59BE0820">
      <w:pPr>
        <w:adjustRightInd w:val="0"/>
        <w:snapToGrid w:val="0"/>
        <w:spacing w:line="420" w:lineRule="exact"/>
        <w:jc w:val="center"/>
        <w:rPr>
          <w:rFonts w:ascii="宋体" w:hAnsi="宋体" w:cs="宋体"/>
          <w:b/>
          <w:sz w:val="28"/>
          <w:szCs w:val="28"/>
          <w:highlight w:val="none"/>
        </w:rPr>
      </w:pPr>
      <w:r>
        <w:rPr>
          <w:rFonts w:hint="eastAsia" w:ascii="宋体" w:hAnsi="宋体" w:cs="宋体"/>
          <w:b/>
          <w:sz w:val="32"/>
          <w:szCs w:val="32"/>
          <w:highlight w:val="none"/>
        </w:rPr>
        <w:br w:type="page"/>
      </w:r>
      <w:r>
        <w:rPr>
          <w:rFonts w:hint="eastAsia" w:ascii="黑体" w:hAnsi="黑体" w:eastAsia="黑体" w:cs="黑体"/>
          <w:b/>
          <w:sz w:val="36"/>
          <w:szCs w:val="36"/>
          <w:highlight w:val="none"/>
        </w:rPr>
        <w:t>第五部分  投标文件组成</w:t>
      </w:r>
    </w:p>
    <w:p w14:paraId="514F81FA">
      <w:pPr>
        <w:adjustRightInd w:val="0"/>
        <w:snapToGrid w:val="0"/>
        <w:spacing w:line="440" w:lineRule="exact"/>
        <w:ind w:firstLine="560" w:firstLineChars="200"/>
        <w:jc w:val="left"/>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投标文件由资格审查文件、商务技术文件、价格文件、电子响应文件四部分组成。</w:t>
      </w:r>
    </w:p>
    <w:p w14:paraId="5005E2A7">
      <w:pPr>
        <w:adjustRightInd w:val="0"/>
        <w:snapToGrid w:val="0"/>
        <w:spacing w:line="440" w:lineRule="exact"/>
        <w:ind w:firstLine="560" w:firstLineChars="200"/>
        <w:rPr>
          <w:rFonts w:ascii="方正仿宋_GBK" w:hAnsi="方正仿宋_GBK" w:eastAsia="方正仿宋_GBK" w:cs="方正仿宋_GBK"/>
          <w:b/>
          <w:bCs/>
          <w:kern w:val="0"/>
          <w:sz w:val="28"/>
          <w:szCs w:val="28"/>
          <w:highlight w:val="none"/>
          <w:lang w:val="zh-CN"/>
        </w:rPr>
      </w:pPr>
      <w:r>
        <w:rPr>
          <w:rFonts w:hint="eastAsia" w:ascii="方正仿宋_GBK" w:hAnsi="方正仿宋_GBK" w:eastAsia="方正仿宋_GBK" w:cs="方正仿宋_GBK"/>
          <w:b/>
          <w:bCs/>
          <w:kern w:val="0"/>
          <w:sz w:val="28"/>
          <w:szCs w:val="28"/>
          <w:highlight w:val="none"/>
          <w:lang w:val="zh-CN"/>
        </w:rPr>
        <w:t>一、资格审查文件（不能出现商务技术文件、价格文件）</w:t>
      </w:r>
    </w:p>
    <w:p w14:paraId="0D63666A">
      <w:pPr>
        <w:adjustRightInd w:val="0"/>
        <w:snapToGrid w:val="0"/>
        <w:spacing w:line="440" w:lineRule="exact"/>
        <w:ind w:firstLine="560" w:firstLineChars="200"/>
        <w:rPr>
          <w:rFonts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1.</w:t>
      </w:r>
      <w:r>
        <w:rPr>
          <w:rFonts w:hint="eastAsia" w:ascii="方正仿宋_GBK" w:hAnsi="方正仿宋_GBK" w:eastAsia="方正仿宋_GBK" w:cs="方正仿宋_GBK"/>
          <w:kern w:val="0"/>
          <w:sz w:val="28"/>
          <w:szCs w:val="28"/>
          <w:highlight w:val="none"/>
        </w:rPr>
        <w:t>符合投标人资格要求的承诺函（格式见附件1）</w:t>
      </w:r>
      <w:r>
        <w:rPr>
          <w:rFonts w:hint="eastAsia" w:ascii="方正仿宋_GBK" w:hAnsi="方正仿宋_GBK" w:eastAsia="方正仿宋_GBK" w:cs="方正仿宋_GBK"/>
          <w:kern w:val="0"/>
          <w:sz w:val="28"/>
          <w:szCs w:val="28"/>
          <w:highlight w:val="none"/>
          <w:lang w:val="zh-CN"/>
        </w:rPr>
        <w:t>；</w:t>
      </w:r>
    </w:p>
    <w:p w14:paraId="41ABB321">
      <w:pPr>
        <w:adjustRightInd w:val="0"/>
        <w:snapToGrid w:val="0"/>
        <w:spacing w:line="440" w:lineRule="exact"/>
        <w:ind w:firstLine="560" w:firstLineChars="200"/>
        <w:rPr>
          <w:rFonts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2.法定代表人身份证明书（格式见附件2）；</w:t>
      </w:r>
    </w:p>
    <w:p w14:paraId="215B70DC">
      <w:pPr>
        <w:adjustRightInd w:val="0"/>
        <w:snapToGrid w:val="0"/>
        <w:spacing w:line="440" w:lineRule="exact"/>
        <w:ind w:firstLine="560" w:firstLineChars="200"/>
        <w:rPr>
          <w:rFonts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3.法定代表人授权委托书原件，投标代表本人身份证复印件（格式见附件3）；</w:t>
      </w:r>
    </w:p>
    <w:p w14:paraId="4CD74A2E">
      <w:pPr>
        <w:adjustRightInd w:val="0"/>
        <w:snapToGrid w:val="0"/>
        <w:spacing w:line="440" w:lineRule="exact"/>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zh-CN"/>
        </w:rPr>
        <w:t>4.</w:t>
      </w:r>
      <w:r>
        <w:rPr>
          <w:rFonts w:hint="eastAsia" w:ascii="方正仿宋_GBK" w:hAnsi="方正仿宋_GBK" w:eastAsia="方正仿宋_GBK" w:cs="方正仿宋_GBK"/>
          <w:kern w:val="0"/>
          <w:sz w:val="28"/>
          <w:szCs w:val="28"/>
          <w:highlight w:val="none"/>
        </w:rPr>
        <w:t>有效的营业执照副本复印件；</w:t>
      </w:r>
    </w:p>
    <w:p w14:paraId="6C375FC9">
      <w:pPr>
        <w:pStyle w:val="23"/>
        <w:spacing w:line="440" w:lineRule="exact"/>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5.业绩要求：无。</w:t>
      </w:r>
    </w:p>
    <w:p w14:paraId="64B1D284">
      <w:pPr>
        <w:adjustRightInd w:val="0"/>
        <w:snapToGrid w:val="0"/>
        <w:spacing w:line="440" w:lineRule="exact"/>
        <w:ind w:firstLine="560" w:firstLineChars="200"/>
        <w:rPr>
          <w:rFonts w:ascii="方正仿宋_GBK" w:hAnsi="方正仿宋_GBK" w:eastAsia="方正仿宋_GBK" w:cs="方正仿宋_GBK"/>
          <w:b/>
          <w:bCs/>
          <w:kern w:val="0"/>
          <w:sz w:val="28"/>
          <w:szCs w:val="28"/>
          <w:highlight w:val="none"/>
          <w:lang w:val="zh-CN"/>
        </w:rPr>
      </w:pPr>
      <w:r>
        <w:rPr>
          <w:rFonts w:hint="eastAsia" w:ascii="方正仿宋_GBK" w:hAnsi="方正仿宋_GBK" w:eastAsia="方正仿宋_GBK" w:cs="方正仿宋_GBK"/>
          <w:b/>
          <w:bCs/>
          <w:kern w:val="0"/>
          <w:sz w:val="28"/>
          <w:szCs w:val="28"/>
          <w:highlight w:val="none"/>
          <w:lang w:val="zh-CN"/>
        </w:rPr>
        <w:t>二、商务技术文件（不能出现价格文件）</w:t>
      </w:r>
    </w:p>
    <w:p w14:paraId="47D1C367">
      <w:pPr>
        <w:adjustRightInd w:val="0"/>
        <w:snapToGrid w:val="0"/>
        <w:spacing w:line="440" w:lineRule="exact"/>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1.《技术部分正负偏离表》（格式见附件4）；</w:t>
      </w:r>
    </w:p>
    <w:p w14:paraId="1C99BFD5">
      <w:pPr>
        <w:adjustRightInd w:val="0"/>
        <w:snapToGrid w:val="0"/>
        <w:spacing w:line="440" w:lineRule="exact"/>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2.《商务部分正负偏离表》（格式见附件5）；</w:t>
      </w:r>
    </w:p>
    <w:p w14:paraId="5F408ED2">
      <w:pPr>
        <w:adjustRightInd w:val="0"/>
        <w:snapToGrid w:val="0"/>
        <w:spacing w:line="440" w:lineRule="exact"/>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3.方案、业绩等；</w:t>
      </w:r>
    </w:p>
    <w:p w14:paraId="393DDC7C">
      <w:pPr>
        <w:adjustRightInd w:val="0"/>
        <w:snapToGrid w:val="0"/>
        <w:spacing w:line="440" w:lineRule="exact"/>
        <w:ind w:firstLine="560" w:firstLineChars="200"/>
        <w:rPr>
          <w:rFonts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rPr>
        <w:t>4.</w:t>
      </w:r>
      <w:r>
        <w:rPr>
          <w:rFonts w:hint="eastAsia" w:ascii="方正仿宋_GBK" w:hAnsi="方正仿宋_GBK" w:eastAsia="方正仿宋_GBK" w:cs="方正仿宋_GBK"/>
          <w:kern w:val="0"/>
          <w:sz w:val="28"/>
          <w:szCs w:val="28"/>
          <w:highlight w:val="none"/>
          <w:lang w:val="zh-CN"/>
        </w:rPr>
        <w:t>为方便评委评审，请供应商按评审办法中所涉及的事项顺序进行编制，可以补充相关材料；</w:t>
      </w:r>
    </w:p>
    <w:p w14:paraId="2FA68FD7">
      <w:pPr>
        <w:adjustRightInd w:val="0"/>
        <w:snapToGrid w:val="0"/>
        <w:spacing w:line="440" w:lineRule="exact"/>
        <w:ind w:firstLine="560" w:firstLineChars="200"/>
        <w:rPr>
          <w:rFonts w:ascii="方正仿宋_GBK" w:hAnsi="方正仿宋_GBK" w:eastAsia="方正仿宋_GBK" w:cs="方正仿宋_GBK"/>
          <w:bCs/>
          <w:kern w:val="0"/>
          <w:sz w:val="28"/>
          <w:szCs w:val="28"/>
          <w:highlight w:val="none"/>
          <w:lang w:val="zh-CN"/>
        </w:rPr>
      </w:pPr>
      <w:r>
        <w:rPr>
          <w:rFonts w:hint="eastAsia" w:ascii="方正仿宋_GBK" w:hAnsi="方正仿宋_GBK" w:eastAsia="方正仿宋_GBK" w:cs="方正仿宋_GBK"/>
          <w:kern w:val="0"/>
          <w:sz w:val="28"/>
          <w:szCs w:val="28"/>
          <w:highlight w:val="none"/>
        </w:rPr>
        <w:t>5</w:t>
      </w:r>
      <w:r>
        <w:rPr>
          <w:rFonts w:hint="eastAsia" w:ascii="方正仿宋_GBK" w:hAnsi="方正仿宋_GBK" w:eastAsia="方正仿宋_GBK" w:cs="方正仿宋_GBK"/>
          <w:kern w:val="0"/>
          <w:sz w:val="28"/>
          <w:szCs w:val="28"/>
          <w:highlight w:val="none"/>
          <w:lang w:val="zh-CN"/>
        </w:rPr>
        <w:t>.评审办法中未涉及的事项，供应商认为需要提交的其他资料。</w:t>
      </w:r>
    </w:p>
    <w:p w14:paraId="321FB304">
      <w:pPr>
        <w:adjustRightInd w:val="0"/>
        <w:snapToGrid w:val="0"/>
        <w:spacing w:line="440" w:lineRule="exact"/>
        <w:ind w:firstLine="560" w:firstLineChars="200"/>
        <w:outlineLvl w:val="1"/>
        <w:rPr>
          <w:rFonts w:ascii="方正仿宋_GBK" w:hAnsi="方正仿宋_GBK" w:eastAsia="方正仿宋_GBK" w:cs="方正仿宋_GBK"/>
          <w:b/>
          <w:bCs/>
          <w:kern w:val="0"/>
          <w:sz w:val="28"/>
          <w:szCs w:val="28"/>
          <w:highlight w:val="none"/>
          <w:lang w:val="zh-CN"/>
        </w:rPr>
      </w:pPr>
      <w:r>
        <w:rPr>
          <w:rFonts w:hint="eastAsia" w:ascii="方正仿宋_GBK" w:hAnsi="方正仿宋_GBK" w:eastAsia="方正仿宋_GBK" w:cs="方正仿宋_GBK"/>
          <w:b/>
          <w:bCs/>
          <w:kern w:val="0"/>
          <w:sz w:val="28"/>
          <w:szCs w:val="28"/>
          <w:highlight w:val="none"/>
          <w:lang w:val="zh-CN"/>
        </w:rPr>
        <w:t>三、价格文件</w:t>
      </w:r>
    </w:p>
    <w:p w14:paraId="77A1C730">
      <w:pPr>
        <w:adjustRightInd w:val="0"/>
        <w:snapToGrid w:val="0"/>
        <w:spacing w:line="440" w:lineRule="exact"/>
        <w:ind w:firstLine="560" w:firstLineChars="200"/>
        <w:rPr>
          <w:rFonts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1.开标一览表（格式见附件</w:t>
      </w:r>
      <w:r>
        <w:rPr>
          <w:rFonts w:hint="eastAsia" w:ascii="方正仿宋_GBK" w:hAnsi="方正仿宋_GBK" w:eastAsia="方正仿宋_GBK" w:cs="方正仿宋_GBK"/>
          <w:kern w:val="0"/>
          <w:sz w:val="28"/>
          <w:szCs w:val="28"/>
          <w:highlight w:val="none"/>
        </w:rPr>
        <w:t>6</w:t>
      </w:r>
      <w:r>
        <w:rPr>
          <w:rFonts w:hint="eastAsia" w:ascii="方正仿宋_GBK" w:hAnsi="方正仿宋_GBK" w:eastAsia="方正仿宋_GBK" w:cs="方正仿宋_GBK"/>
          <w:kern w:val="0"/>
          <w:sz w:val="28"/>
          <w:szCs w:val="28"/>
          <w:highlight w:val="none"/>
          <w:lang w:val="zh-CN"/>
        </w:rPr>
        <w:t>）；</w:t>
      </w:r>
    </w:p>
    <w:p w14:paraId="6922FD59">
      <w:pPr>
        <w:adjustRightInd w:val="0"/>
        <w:snapToGrid w:val="0"/>
        <w:spacing w:line="440" w:lineRule="exact"/>
        <w:ind w:firstLine="560" w:firstLineChars="200"/>
        <w:rPr>
          <w:rFonts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rPr>
        <w:t>2.</w:t>
      </w:r>
      <w:r>
        <w:rPr>
          <w:rFonts w:hint="eastAsia" w:ascii="方正仿宋_GBK" w:hAnsi="方正仿宋_GBK" w:eastAsia="方正仿宋_GBK" w:cs="方正仿宋_GBK"/>
          <w:kern w:val="0"/>
          <w:sz w:val="28"/>
          <w:szCs w:val="28"/>
          <w:highlight w:val="none"/>
          <w:lang w:val="zh-CN"/>
        </w:rPr>
        <w:t>供应商信用承诺书（格式见附件</w:t>
      </w:r>
      <w:r>
        <w:rPr>
          <w:rFonts w:hint="eastAsia" w:ascii="方正仿宋_GBK" w:hAnsi="方正仿宋_GBK" w:eastAsia="方正仿宋_GBK" w:cs="方正仿宋_GBK"/>
          <w:kern w:val="0"/>
          <w:sz w:val="28"/>
          <w:szCs w:val="28"/>
          <w:highlight w:val="none"/>
        </w:rPr>
        <w:t>7</w:t>
      </w:r>
      <w:r>
        <w:rPr>
          <w:rFonts w:hint="eastAsia" w:ascii="方正仿宋_GBK" w:hAnsi="方正仿宋_GBK" w:eastAsia="方正仿宋_GBK" w:cs="方正仿宋_GBK"/>
          <w:kern w:val="0"/>
          <w:sz w:val="28"/>
          <w:szCs w:val="28"/>
          <w:highlight w:val="none"/>
          <w:lang w:val="zh-CN"/>
        </w:rPr>
        <w:t>）。</w:t>
      </w:r>
    </w:p>
    <w:p w14:paraId="6EE747E5">
      <w:pPr>
        <w:adjustRightInd w:val="0"/>
        <w:snapToGrid w:val="0"/>
        <w:spacing w:line="440" w:lineRule="exact"/>
        <w:ind w:firstLine="560" w:firstLineChars="200"/>
        <w:outlineLvl w:val="1"/>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b/>
          <w:bCs/>
          <w:kern w:val="0"/>
          <w:sz w:val="28"/>
          <w:szCs w:val="28"/>
          <w:highlight w:val="none"/>
        </w:rPr>
        <w:t>四、电子响应文件（一份）</w:t>
      </w:r>
    </w:p>
    <w:p w14:paraId="783B21D9">
      <w:pPr>
        <w:adjustRightInd w:val="0"/>
        <w:snapToGrid w:val="0"/>
        <w:spacing w:line="440" w:lineRule="exact"/>
        <w:ind w:firstLine="560" w:firstLineChars="200"/>
        <w:rPr>
          <w:rFonts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rPr>
        <w:t>电子响应文件的内容为“资格审查文件、商务技术文件、价格文件”的打印盖章后的响应文件的扫描件（资格审查文件、商务技术文件、价格文件需分别逐页连续扫描为三个独立的PDF文件）。</w:t>
      </w:r>
    </w:p>
    <w:p w14:paraId="0A73D5AA">
      <w:pPr>
        <w:rPr>
          <w:rFonts w:ascii="宋体" w:hAnsi="宋体" w:cs="宋体"/>
          <w:kern w:val="0"/>
          <w:sz w:val="32"/>
          <w:szCs w:val="32"/>
          <w:highlight w:val="none"/>
          <w:lang w:val="zh-CN"/>
        </w:rPr>
      </w:pPr>
      <w:r>
        <w:rPr>
          <w:rFonts w:hint="eastAsia" w:ascii="宋体" w:hAnsi="宋体" w:cs="宋体"/>
          <w:kern w:val="0"/>
          <w:sz w:val="32"/>
          <w:szCs w:val="32"/>
          <w:highlight w:val="none"/>
          <w:lang w:val="zh-CN"/>
        </w:rPr>
        <w:br w:type="page"/>
      </w:r>
    </w:p>
    <w:p w14:paraId="6F0E110C">
      <w:pPr>
        <w:snapToGrid w:val="0"/>
        <w:spacing w:line="360" w:lineRule="auto"/>
        <w:contextualSpacing/>
        <w:rPr>
          <w:rFonts w:ascii="宋体" w:hAnsi="宋体" w:cs="宋体"/>
          <w:b/>
          <w:sz w:val="30"/>
          <w:szCs w:val="30"/>
          <w:highlight w:val="none"/>
        </w:rPr>
      </w:pPr>
      <w:r>
        <w:rPr>
          <w:rFonts w:hint="eastAsia" w:ascii="宋体" w:hAnsi="宋体" w:cs="宋体"/>
          <w:kern w:val="0"/>
          <w:sz w:val="32"/>
          <w:szCs w:val="32"/>
          <w:highlight w:val="none"/>
          <w:lang w:val="zh-CN"/>
        </w:rPr>
        <w:t>附件1</w:t>
      </w:r>
    </w:p>
    <w:p w14:paraId="42E59CAD">
      <w:pPr>
        <w:spacing w:line="360" w:lineRule="auto"/>
        <w:jc w:val="center"/>
        <w:rPr>
          <w:rFonts w:ascii="黑体" w:hAnsi="黑体" w:eastAsia="黑体" w:cs="黑体"/>
          <w:b/>
          <w:sz w:val="30"/>
          <w:szCs w:val="30"/>
          <w:highlight w:val="none"/>
        </w:rPr>
      </w:pPr>
      <w:r>
        <w:rPr>
          <w:rFonts w:hint="eastAsia" w:ascii="黑体" w:hAnsi="黑体" w:eastAsia="黑体" w:cs="黑体"/>
          <w:b/>
          <w:sz w:val="30"/>
          <w:szCs w:val="30"/>
          <w:highlight w:val="none"/>
        </w:rPr>
        <w:t>投标人符合本项目投标人资格要求的承诺函</w:t>
      </w:r>
    </w:p>
    <w:p w14:paraId="54C2C4A0">
      <w:pPr>
        <w:spacing w:line="360" w:lineRule="auto"/>
        <w:rPr>
          <w:rFonts w:ascii="宋体" w:hAnsi="宋体" w:cs="宋体"/>
          <w:b/>
          <w:bCs/>
          <w:sz w:val="44"/>
          <w:szCs w:val="44"/>
          <w:highlight w:val="none"/>
        </w:rPr>
      </w:pPr>
    </w:p>
    <w:p w14:paraId="110E9067">
      <w:pPr>
        <w:spacing w:line="360" w:lineRule="auto"/>
        <w:ind w:firstLine="480" w:firstLineChars="200"/>
        <w:rPr>
          <w:rFonts w:ascii="方正仿宋_GBK" w:hAnsi="方正仿宋_GBK" w:eastAsia="方正仿宋_GBK" w:cs="方正仿宋_GBK"/>
          <w:b/>
          <w:bCs/>
          <w:sz w:val="24"/>
          <w:highlight w:val="none"/>
        </w:rPr>
      </w:pPr>
      <w:r>
        <w:rPr>
          <w:rFonts w:hint="eastAsia" w:ascii="方正仿宋_GBK" w:hAnsi="方正仿宋_GBK" w:eastAsia="方正仿宋_GBK" w:cs="方正仿宋_GBK"/>
          <w:bCs/>
          <w:sz w:val="24"/>
          <w:highlight w:val="none"/>
        </w:rPr>
        <w:t>我单位参加</w:t>
      </w:r>
      <w:r>
        <w:rPr>
          <w:rFonts w:hint="eastAsia" w:ascii="方正仿宋_GBK" w:hAnsi="方正仿宋_GBK" w:eastAsia="方正仿宋_GBK" w:cs="方正仿宋_GBK"/>
          <w:bCs/>
          <w:sz w:val="24"/>
          <w:szCs w:val="21"/>
          <w:highlight w:val="none"/>
          <w:u w:val="single"/>
        </w:rPr>
        <w:t>________________ _</w:t>
      </w:r>
      <w:r>
        <w:rPr>
          <w:rFonts w:hint="eastAsia" w:ascii="方正仿宋_GBK" w:hAnsi="方正仿宋_GBK" w:eastAsia="方正仿宋_GBK" w:cs="方正仿宋_GBK"/>
          <w:bCs/>
          <w:sz w:val="24"/>
          <w:szCs w:val="21"/>
          <w:highlight w:val="none"/>
        </w:rPr>
        <w:t>（项目名称），</w:t>
      </w:r>
      <w:r>
        <w:rPr>
          <w:rFonts w:hint="eastAsia" w:ascii="方正仿宋_GBK" w:hAnsi="方正仿宋_GBK" w:eastAsia="方正仿宋_GBK" w:cs="方正仿宋_GBK"/>
          <w:bCs/>
          <w:sz w:val="24"/>
          <w:szCs w:val="21"/>
          <w:highlight w:val="none"/>
          <w:u w:val="single"/>
        </w:rPr>
        <w:t>_______ __________</w:t>
      </w:r>
      <w:r>
        <w:rPr>
          <w:rFonts w:hint="eastAsia" w:ascii="方正仿宋_GBK" w:hAnsi="方正仿宋_GBK" w:eastAsia="方正仿宋_GBK" w:cs="方正仿宋_GBK"/>
          <w:bCs/>
          <w:sz w:val="24"/>
          <w:szCs w:val="21"/>
          <w:highlight w:val="none"/>
        </w:rPr>
        <w:t>（项目编号）投标活动。针对本项目投标人资格要求做出如下承诺：</w:t>
      </w:r>
    </w:p>
    <w:p w14:paraId="28F77010">
      <w:pPr>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bCs/>
          <w:sz w:val="24"/>
          <w:szCs w:val="21"/>
          <w:highlight w:val="none"/>
        </w:rPr>
        <w:t>1.我单位具有独立承担民事责任的能力；</w:t>
      </w:r>
    </w:p>
    <w:p w14:paraId="293DFD20">
      <w:pPr>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2.我单位具有良好的商业信誉和健全的财务会计制度；</w:t>
      </w:r>
    </w:p>
    <w:p w14:paraId="1B017973">
      <w:pPr>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3.我单位具有履行合同所必需的设备和专业技术能力；</w:t>
      </w:r>
    </w:p>
    <w:p w14:paraId="1B61A7E8">
      <w:pPr>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4.我单位有依法缴纳税收和社会保障资金的良好记录；</w:t>
      </w:r>
    </w:p>
    <w:p w14:paraId="2A3947AC">
      <w:pPr>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我单位参加招标活动前三年内，在经营活动中没有重大违法记录；（“较大数额罚款”认定为200万元以上的罚款，法律、行政法规以及国务院有关部门明确规定相关领域“较大数额罚款”标准高于200万元的，从其规定。）</w:t>
      </w:r>
    </w:p>
    <w:p w14:paraId="6B300772">
      <w:pPr>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6.我单位满足法律、行政法规规定的其他条件。</w:t>
      </w:r>
    </w:p>
    <w:p w14:paraId="0B231F4C">
      <w:pPr>
        <w:spacing w:line="360" w:lineRule="auto"/>
        <w:ind w:firstLine="480" w:firstLineChars="200"/>
        <w:rPr>
          <w:rFonts w:ascii="方正仿宋_GBK" w:hAnsi="方正仿宋_GBK" w:eastAsia="方正仿宋_GBK" w:cs="方正仿宋_GBK"/>
          <w:sz w:val="24"/>
          <w:highlight w:val="none"/>
        </w:rPr>
      </w:pPr>
    </w:p>
    <w:p w14:paraId="784EA669">
      <w:pPr>
        <w:spacing w:line="360" w:lineRule="auto"/>
        <w:ind w:firstLine="480" w:firstLineChars="200"/>
        <w:rPr>
          <w:rFonts w:ascii="方正仿宋_GBK" w:hAnsi="方正仿宋_GBK" w:eastAsia="方正仿宋_GBK" w:cs="方正仿宋_GBK"/>
          <w:sz w:val="24"/>
          <w:highlight w:val="none"/>
        </w:rPr>
      </w:pPr>
    </w:p>
    <w:p w14:paraId="55D96928">
      <w:pPr>
        <w:spacing w:line="360" w:lineRule="auto"/>
        <w:ind w:firstLine="480" w:firstLineChars="200"/>
        <w:rPr>
          <w:rFonts w:ascii="方正仿宋_GBK" w:hAnsi="方正仿宋_GBK" w:eastAsia="方正仿宋_GBK" w:cs="方正仿宋_GBK"/>
          <w:bCs/>
          <w:sz w:val="24"/>
          <w:szCs w:val="21"/>
          <w:highlight w:val="none"/>
        </w:rPr>
      </w:pPr>
    </w:p>
    <w:p w14:paraId="1192F237">
      <w:pPr>
        <w:spacing w:line="360" w:lineRule="auto"/>
        <w:ind w:firstLine="480" w:firstLineChars="200"/>
        <w:rPr>
          <w:rFonts w:ascii="方正仿宋_GBK" w:hAnsi="方正仿宋_GBK" w:eastAsia="方正仿宋_GBK" w:cs="方正仿宋_GBK"/>
          <w:bCs/>
          <w:sz w:val="24"/>
          <w:szCs w:val="21"/>
          <w:highlight w:val="none"/>
        </w:rPr>
      </w:pPr>
    </w:p>
    <w:p w14:paraId="0848FBF7">
      <w:pPr>
        <w:spacing w:line="360" w:lineRule="auto"/>
        <w:ind w:firstLine="480" w:firstLineChars="200"/>
        <w:jc w:val="center"/>
        <w:rPr>
          <w:rFonts w:ascii="方正仿宋_GBK" w:hAnsi="方正仿宋_GBK" w:eastAsia="方正仿宋_GBK" w:cs="方正仿宋_GBK"/>
          <w:bCs/>
          <w:sz w:val="24"/>
          <w:szCs w:val="21"/>
          <w:highlight w:val="none"/>
        </w:rPr>
      </w:pPr>
      <w:r>
        <w:rPr>
          <w:rFonts w:hint="eastAsia" w:ascii="方正仿宋_GBK" w:hAnsi="方正仿宋_GBK" w:eastAsia="方正仿宋_GBK" w:cs="方正仿宋_GBK"/>
          <w:bCs/>
          <w:sz w:val="24"/>
          <w:szCs w:val="21"/>
          <w:highlight w:val="none"/>
        </w:rPr>
        <w:t xml:space="preserve">                                             承诺人名称（公章）：</w:t>
      </w:r>
    </w:p>
    <w:p w14:paraId="757EF50A">
      <w:pPr>
        <w:spacing w:line="360" w:lineRule="auto"/>
        <w:ind w:firstLine="480" w:firstLineChars="200"/>
        <w:jc w:val="right"/>
        <w:rPr>
          <w:rFonts w:ascii="方正仿宋_GBK" w:hAnsi="方正仿宋_GBK" w:eastAsia="方正仿宋_GBK" w:cs="方正仿宋_GBK"/>
          <w:bCs/>
          <w:sz w:val="24"/>
          <w:szCs w:val="21"/>
          <w:highlight w:val="none"/>
        </w:rPr>
      </w:pPr>
    </w:p>
    <w:p w14:paraId="0DA07B10">
      <w:pPr>
        <w:spacing w:line="360" w:lineRule="auto"/>
        <w:ind w:firstLine="480" w:firstLineChars="200"/>
        <w:jc w:val="right"/>
        <w:rPr>
          <w:rFonts w:ascii="方正仿宋_GBK" w:hAnsi="方正仿宋_GBK" w:eastAsia="方正仿宋_GBK" w:cs="方正仿宋_GBK"/>
          <w:bCs/>
          <w:sz w:val="24"/>
          <w:szCs w:val="21"/>
          <w:highlight w:val="none"/>
        </w:rPr>
      </w:pPr>
    </w:p>
    <w:p w14:paraId="0F12790F">
      <w:pPr>
        <w:spacing w:line="360" w:lineRule="auto"/>
        <w:ind w:firstLine="480" w:firstLineChars="200"/>
        <w:jc w:val="right"/>
        <w:rPr>
          <w:rFonts w:ascii="方正仿宋_GBK" w:hAnsi="方正仿宋_GBK" w:eastAsia="方正仿宋_GBK" w:cs="方正仿宋_GBK"/>
          <w:bCs/>
          <w:sz w:val="24"/>
          <w:szCs w:val="21"/>
          <w:highlight w:val="none"/>
        </w:rPr>
      </w:pPr>
    </w:p>
    <w:p w14:paraId="49D1503D">
      <w:pPr>
        <w:spacing w:line="360" w:lineRule="auto"/>
        <w:ind w:firstLine="480" w:firstLineChars="200"/>
        <w:jc w:val="right"/>
        <w:rPr>
          <w:rFonts w:ascii="方正仿宋_GBK" w:hAnsi="方正仿宋_GBK" w:eastAsia="方正仿宋_GBK" w:cs="方正仿宋_GBK"/>
          <w:bCs/>
          <w:sz w:val="24"/>
          <w:szCs w:val="21"/>
          <w:highlight w:val="none"/>
        </w:rPr>
      </w:pPr>
      <w:r>
        <w:rPr>
          <w:rFonts w:hint="eastAsia" w:ascii="方正仿宋_GBK" w:hAnsi="方正仿宋_GBK" w:eastAsia="方正仿宋_GBK" w:cs="方正仿宋_GBK"/>
          <w:bCs/>
          <w:sz w:val="24"/>
          <w:szCs w:val="21"/>
          <w:highlight w:val="none"/>
        </w:rPr>
        <w:t xml:space="preserve">                                 日期：</w:t>
      </w:r>
      <w:r>
        <w:rPr>
          <w:rFonts w:hint="eastAsia" w:ascii="方正仿宋_GBK" w:hAnsi="方正仿宋_GBK" w:eastAsia="方正仿宋_GBK" w:cs="方正仿宋_GBK"/>
          <w:bCs/>
          <w:sz w:val="24"/>
          <w:szCs w:val="21"/>
          <w:highlight w:val="none"/>
          <w:u w:val="single"/>
        </w:rPr>
        <w:t>______</w:t>
      </w:r>
      <w:r>
        <w:rPr>
          <w:rFonts w:hint="eastAsia" w:ascii="方正仿宋_GBK" w:hAnsi="方正仿宋_GBK" w:eastAsia="方正仿宋_GBK" w:cs="方正仿宋_GBK"/>
          <w:bCs/>
          <w:sz w:val="24"/>
          <w:szCs w:val="21"/>
          <w:highlight w:val="none"/>
        </w:rPr>
        <w:t>年月日</w:t>
      </w:r>
    </w:p>
    <w:p w14:paraId="7FF860D3">
      <w:pPr>
        <w:snapToGrid w:val="0"/>
        <w:spacing w:line="360" w:lineRule="auto"/>
        <w:contextualSpacing/>
        <w:rPr>
          <w:rFonts w:ascii="宋体" w:hAnsi="宋体" w:cs="宋体"/>
          <w:kern w:val="0"/>
          <w:sz w:val="32"/>
          <w:szCs w:val="32"/>
          <w:highlight w:val="none"/>
          <w:lang w:val="zh-CN"/>
        </w:rPr>
      </w:pPr>
      <w:r>
        <w:rPr>
          <w:rFonts w:hint="eastAsia" w:ascii="宋体" w:hAnsi="宋体" w:cs="宋体"/>
          <w:kern w:val="0"/>
          <w:sz w:val="32"/>
          <w:szCs w:val="32"/>
          <w:highlight w:val="none"/>
          <w:lang w:val="zh-CN"/>
        </w:rPr>
        <w:br w:type="page"/>
      </w:r>
      <w:r>
        <w:rPr>
          <w:rFonts w:hint="eastAsia" w:ascii="宋体" w:hAnsi="宋体" w:cs="宋体"/>
          <w:kern w:val="0"/>
          <w:sz w:val="32"/>
          <w:szCs w:val="32"/>
          <w:highlight w:val="none"/>
          <w:lang w:val="zh-CN"/>
        </w:rPr>
        <w:t>附件2</w:t>
      </w:r>
    </w:p>
    <w:p w14:paraId="1C536715">
      <w:pPr>
        <w:spacing w:line="360" w:lineRule="auto"/>
        <w:jc w:val="center"/>
        <w:rPr>
          <w:rFonts w:ascii="宋体" w:hAnsi="宋体" w:cs="宋体"/>
          <w:b/>
          <w:bCs/>
          <w:sz w:val="32"/>
          <w:szCs w:val="32"/>
          <w:highlight w:val="none"/>
        </w:rPr>
      </w:pPr>
    </w:p>
    <w:p w14:paraId="6C112BB1">
      <w:pPr>
        <w:spacing w:line="360" w:lineRule="auto"/>
        <w:jc w:val="center"/>
        <w:rPr>
          <w:rFonts w:ascii="黑体" w:hAnsi="黑体" w:eastAsia="黑体" w:cs="黑体"/>
          <w:b/>
          <w:bCs/>
          <w:sz w:val="32"/>
          <w:szCs w:val="32"/>
          <w:highlight w:val="none"/>
        </w:rPr>
      </w:pPr>
    </w:p>
    <w:p w14:paraId="701920AE">
      <w:pPr>
        <w:spacing w:line="360" w:lineRule="auto"/>
        <w:jc w:val="center"/>
        <w:rPr>
          <w:rFonts w:ascii="黑体" w:hAnsi="黑体" w:eastAsia="黑体" w:cs="黑体"/>
          <w:b/>
          <w:bCs/>
          <w:sz w:val="32"/>
          <w:szCs w:val="32"/>
          <w:highlight w:val="none"/>
        </w:rPr>
      </w:pPr>
    </w:p>
    <w:p w14:paraId="17D0CE8A">
      <w:pPr>
        <w:spacing w:line="360" w:lineRule="auto"/>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法定代表人身份证明</w:t>
      </w:r>
    </w:p>
    <w:p w14:paraId="67F36654">
      <w:pPr>
        <w:spacing w:line="360" w:lineRule="auto"/>
        <w:rPr>
          <w:rFonts w:ascii="方正仿宋_GBK" w:hAnsi="方正仿宋_GBK" w:eastAsia="方正仿宋_GBK" w:cs="方正仿宋_GBK"/>
          <w:sz w:val="24"/>
          <w:highlight w:val="none"/>
        </w:rPr>
      </w:pPr>
    </w:p>
    <w:p w14:paraId="270498D4">
      <w:pPr>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先生/女士： 现任我单位职务，为法定代表人，特此证明。</w:t>
      </w:r>
    </w:p>
    <w:p w14:paraId="34C35420">
      <w:pPr>
        <w:spacing w:line="360" w:lineRule="auto"/>
        <w:ind w:firstLine="480"/>
        <w:rPr>
          <w:rFonts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身份证号码：</w:t>
      </w:r>
    </w:p>
    <w:p w14:paraId="3D58D0BB">
      <w:pPr>
        <w:spacing w:line="360" w:lineRule="auto"/>
        <w:ind w:firstLine="480"/>
        <w:rPr>
          <w:rFonts w:ascii="方正仿宋_GBK" w:hAnsi="方正仿宋_GBK" w:eastAsia="方正仿宋_GBK" w:cs="方正仿宋_GBK"/>
          <w:sz w:val="24"/>
          <w:highlight w:val="none"/>
        </w:rPr>
      </w:pPr>
    </w:p>
    <w:p w14:paraId="760586F7">
      <w:pPr>
        <w:spacing w:line="360" w:lineRule="auto"/>
        <w:rPr>
          <w:rFonts w:ascii="方正仿宋_GBK" w:hAnsi="方正仿宋_GBK" w:eastAsia="方正仿宋_GBK" w:cs="方正仿宋_GBK"/>
          <w:b/>
          <w:sz w:val="24"/>
          <w:highlight w:val="none"/>
        </w:rPr>
      </w:pPr>
      <w:r>
        <w:rPr>
          <w:rFonts w:hint="eastAsia" w:ascii="方正仿宋_GBK" w:hAnsi="方正仿宋_GBK" w:eastAsia="方正仿宋_GBK" w:cs="方正仿宋_GBK"/>
          <w:b/>
          <w:sz w:val="24"/>
          <w:highlight w:val="none"/>
        </w:rPr>
        <w:t>注：提供法定代表人的身份证复印件</w:t>
      </w:r>
    </w:p>
    <w:p w14:paraId="4A7C4F1D">
      <w:pPr>
        <w:spacing w:line="360" w:lineRule="auto"/>
        <w:ind w:firstLine="480" w:firstLineChars="200"/>
        <w:rPr>
          <w:rFonts w:ascii="宋体" w:hAnsi="宋体" w:cs="宋体"/>
          <w:sz w:val="24"/>
          <w:highlight w:val="none"/>
        </w:rPr>
      </w:pPr>
    </w:p>
    <w:p w14:paraId="39641C70">
      <w:pPr>
        <w:spacing w:line="360" w:lineRule="auto"/>
        <w:rPr>
          <w:rFonts w:ascii="宋体" w:hAnsi="宋体" w:cs="宋体"/>
          <w:highlight w:val="none"/>
        </w:rPr>
      </w:pPr>
    </w:p>
    <w:p w14:paraId="27CB83A2">
      <w:pPr>
        <w:snapToGrid w:val="0"/>
        <w:spacing w:line="360" w:lineRule="auto"/>
        <w:ind w:firstLine="540" w:firstLineChars="192"/>
        <w:contextualSpacing/>
        <w:rPr>
          <w:rFonts w:ascii="宋体" w:hAnsi="宋体" w:cs="宋体"/>
          <w:b/>
          <w:kern w:val="0"/>
          <w:sz w:val="28"/>
          <w:szCs w:val="28"/>
          <w:highlight w:val="none"/>
        </w:rPr>
      </w:pPr>
    </w:p>
    <w:p w14:paraId="188A98C3">
      <w:pPr>
        <w:snapToGrid w:val="0"/>
        <w:spacing w:line="360" w:lineRule="auto"/>
        <w:ind w:firstLine="540" w:firstLineChars="192"/>
        <w:contextualSpacing/>
        <w:rPr>
          <w:rFonts w:ascii="宋体" w:hAnsi="宋体" w:cs="宋体"/>
          <w:b/>
          <w:kern w:val="0"/>
          <w:sz w:val="28"/>
          <w:szCs w:val="28"/>
          <w:highlight w:val="none"/>
          <w:lang w:val="zh-CN"/>
        </w:rPr>
      </w:pPr>
    </w:p>
    <w:p w14:paraId="43E8D04A">
      <w:pPr>
        <w:snapToGrid w:val="0"/>
        <w:spacing w:line="360" w:lineRule="auto"/>
        <w:ind w:firstLine="540" w:firstLineChars="192"/>
        <w:contextualSpacing/>
        <w:rPr>
          <w:rFonts w:ascii="宋体" w:hAnsi="宋体" w:cs="宋体"/>
          <w:b/>
          <w:kern w:val="0"/>
          <w:sz w:val="28"/>
          <w:szCs w:val="28"/>
          <w:highlight w:val="none"/>
          <w:lang w:val="zh-CN"/>
        </w:rPr>
      </w:pPr>
    </w:p>
    <w:p w14:paraId="53A7107E">
      <w:pPr>
        <w:snapToGrid w:val="0"/>
        <w:spacing w:line="360" w:lineRule="auto"/>
        <w:ind w:firstLine="540" w:firstLineChars="192"/>
        <w:contextualSpacing/>
        <w:rPr>
          <w:rFonts w:ascii="宋体" w:hAnsi="宋体" w:cs="宋体"/>
          <w:b/>
          <w:kern w:val="0"/>
          <w:sz w:val="28"/>
          <w:szCs w:val="28"/>
          <w:highlight w:val="none"/>
          <w:lang w:val="zh-CN"/>
        </w:rPr>
      </w:pPr>
    </w:p>
    <w:p w14:paraId="3A1676A2">
      <w:pPr>
        <w:snapToGrid w:val="0"/>
        <w:spacing w:line="360" w:lineRule="auto"/>
        <w:ind w:firstLine="540" w:firstLineChars="192"/>
        <w:contextualSpacing/>
        <w:rPr>
          <w:rFonts w:ascii="宋体" w:hAnsi="宋体" w:cs="宋体"/>
          <w:b/>
          <w:kern w:val="0"/>
          <w:sz w:val="28"/>
          <w:szCs w:val="28"/>
          <w:highlight w:val="none"/>
          <w:lang w:val="zh-CN"/>
        </w:rPr>
      </w:pPr>
    </w:p>
    <w:p w14:paraId="1BCCBD96">
      <w:pPr>
        <w:snapToGrid w:val="0"/>
        <w:spacing w:line="360" w:lineRule="auto"/>
        <w:ind w:firstLine="540" w:firstLineChars="192"/>
        <w:contextualSpacing/>
        <w:rPr>
          <w:rFonts w:ascii="宋体" w:hAnsi="宋体" w:cs="宋体"/>
          <w:b/>
          <w:kern w:val="0"/>
          <w:sz w:val="28"/>
          <w:szCs w:val="28"/>
          <w:highlight w:val="none"/>
          <w:lang w:val="zh-CN"/>
        </w:rPr>
      </w:pPr>
    </w:p>
    <w:p w14:paraId="5C85AC60">
      <w:pPr>
        <w:snapToGrid w:val="0"/>
        <w:spacing w:line="360" w:lineRule="auto"/>
        <w:ind w:firstLine="540" w:firstLineChars="192"/>
        <w:contextualSpacing/>
        <w:rPr>
          <w:rFonts w:ascii="宋体" w:hAnsi="宋体" w:cs="宋体"/>
          <w:b/>
          <w:kern w:val="0"/>
          <w:sz w:val="28"/>
          <w:szCs w:val="28"/>
          <w:highlight w:val="none"/>
          <w:lang w:val="zh-CN"/>
        </w:rPr>
      </w:pPr>
    </w:p>
    <w:p w14:paraId="2676FD38">
      <w:pPr>
        <w:snapToGrid w:val="0"/>
        <w:spacing w:line="360" w:lineRule="auto"/>
        <w:ind w:firstLine="540" w:firstLineChars="192"/>
        <w:contextualSpacing/>
        <w:rPr>
          <w:rFonts w:ascii="宋体" w:hAnsi="宋体" w:cs="宋体"/>
          <w:b/>
          <w:kern w:val="0"/>
          <w:sz w:val="28"/>
          <w:szCs w:val="28"/>
          <w:highlight w:val="none"/>
          <w:lang w:val="zh-CN"/>
        </w:rPr>
      </w:pPr>
    </w:p>
    <w:p w14:paraId="568A7734">
      <w:pPr>
        <w:snapToGrid w:val="0"/>
        <w:spacing w:line="360" w:lineRule="auto"/>
        <w:ind w:firstLine="540" w:firstLineChars="192"/>
        <w:contextualSpacing/>
        <w:rPr>
          <w:rFonts w:ascii="宋体" w:hAnsi="宋体" w:cs="宋体"/>
          <w:b/>
          <w:kern w:val="0"/>
          <w:sz w:val="28"/>
          <w:szCs w:val="28"/>
          <w:highlight w:val="none"/>
          <w:lang w:val="zh-CN"/>
        </w:rPr>
      </w:pPr>
    </w:p>
    <w:p w14:paraId="53442D1F">
      <w:pPr>
        <w:snapToGrid w:val="0"/>
        <w:spacing w:line="360" w:lineRule="auto"/>
        <w:ind w:firstLine="540" w:firstLineChars="192"/>
        <w:contextualSpacing/>
        <w:rPr>
          <w:rFonts w:ascii="宋体" w:hAnsi="宋体" w:cs="宋体"/>
          <w:b/>
          <w:kern w:val="0"/>
          <w:sz w:val="28"/>
          <w:szCs w:val="28"/>
          <w:highlight w:val="none"/>
          <w:lang w:val="zh-CN"/>
        </w:rPr>
      </w:pPr>
    </w:p>
    <w:p w14:paraId="46B20615">
      <w:pPr>
        <w:snapToGrid w:val="0"/>
        <w:spacing w:line="360" w:lineRule="auto"/>
        <w:contextualSpacing/>
        <w:rPr>
          <w:rFonts w:ascii="宋体" w:hAnsi="宋体" w:cs="宋体"/>
          <w:kern w:val="0"/>
          <w:sz w:val="32"/>
          <w:szCs w:val="32"/>
          <w:highlight w:val="none"/>
          <w:lang w:val="zh-CN"/>
        </w:rPr>
      </w:pPr>
      <w:r>
        <w:rPr>
          <w:rFonts w:hint="eastAsia" w:ascii="宋体" w:hAnsi="宋体" w:cs="宋体"/>
          <w:kern w:val="0"/>
          <w:sz w:val="32"/>
          <w:szCs w:val="32"/>
          <w:highlight w:val="none"/>
          <w:lang w:val="zh-CN"/>
        </w:rPr>
        <w:br w:type="page"/>
      </w:r>
      <w:r>
        <w:rPr>
          <w:rFonts w:hint="eastAsia" w:ascii="宋体" w:hAnsi="宋体" w:cs="宋体"/>
          <w:kern w:val="0"/>
          <w:sz w:val="32"/>
          <w:szCs w:val="32"/>
          <w:highlight w:val="none"/>
          <w:lang w:val="zh-CN"/>
        </w:rPr>
        <w:t>附件3</w:t>
      </w:r>
    </w:p>
    <w:p w14:paraId="5006FF70">
      <w:pPr>
        <w:spacing w:line="360" w:lineRule="auto"/>
        <w:jc w:val="center"/>
        <w:rPr>
          <w:rFonts w:ascii="黑体" w:hAnsi="黑体" w:eastAsia="黑体" w:cs="黑体"/>
          <w:sz w:val="44"/>
          <w:szCs w:val="44"/>
          <w:highlight w:val="none"/>
        </w:rPr>
      </w:pPr>
    </w:p>
    <w:p w14:paraId="4201DDA0">
      <w:pPr>
        <w:spacing w:line="360" w:lineRule="auto"/>
        <w:ind w:firstLine="800" w:firstLineChars="200"/>
        <w:jc w:val="center"/>
        <w:rPr>
          <w:rFonts w:ascii="黑体" w:hAnsi="黑体" w:eastAsia="黑体" w:cs="黑体"/>
          <w:sz w:val="40"/>
          <w:szCs w:val="40"/>
          <w:highlight w:val="none"/>
        </w:rPr>
      </w:pPr>
      <w:r>
        <w:rPr>
          <w:rFonts w:hint="eastAsia" w:ascii="黑体" w:hAnsi="黑体" w:eastAsia="黑体" w:cs="黑体"/>
          <w:sz w:val="40"/>
          <w:szCs w:val="40"/>
          <w:highlight w:val="none"/>
        </w:rPr>
        <w:t>法定代表人授权委托书</w:t>
      </w:r>
    </w:p>
    <w:p w14:paraId="4E8BEA16">
      <w:pPr>
        <w:spacing w:line="360" w:lineRule="auto"/>
        <w:ind w:firstLine="560" w:firstLineChars="200"/>
        <w:rPr>
          <w:rFonts w:ascii="方正仿宋_GBK" w:hAnsi="方正仿宋_GBK" w:eastAsia="方正仿宋_GBK" w:cs="方正仿宋_GBK"/>
          <w:sz w:val="28"/>
          <w:szCs w:val="28"/>
          <w:highlight w:val="none"/>
        </w:rPr>
      </w:pPr>
    </w:p>
    <w:p w14:paraId="7AA39F16">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人------（姓名）系————（授权单位名称）的法定代表人，现委托-------（姓名）（身份证号——————）为我方代理人，以我方名义全权处理与本次招标项目（编号：----------）有关的一切事务，其法律后果由我方承担。</w:t>
      </w:r>
    </w:p>
    <w:p w14:paraId="462AF13E">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本授权书于---年---月---日起生效。代理人无转委托权。</w:t>
      </w:r>
    </w:p>
    <w:p w14:paraId="5F900584">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代理人（被授权人）:------</w:t>
      </w:r>
    </w:p>
    <w:p w14:paraId="4DF13462">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授权单位名称（盖章）：-----</w:t>
      </w:r>
    </w:p>
    <w:p w14:paraId="43D25148">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授权单位法定代表人（签字或盖章）：-----</w:t>
      </w:r>
    </w:p>
    <w:p w14:paraId="2CF143A5">
      <w:pPr>
        <w:spacing w:line="360" w:lineRule="auto"/>
        <w:ind w:firstLine="560" w:firstLineChars="200"/>
        <w:jc w:val="right"/>
        <w:rPr>
          <w:rFonts w:ascii="方正仿宋_GBK" w:hAnsi="方正仿宋_GBK" w:eastAsia="方正仿宋_GBK" w:cs="方正仿宋_GBK"/>
          <w:sz w:val="28"/>
          <w:szCs w:val="28"/>
          <w:highlight w:val="none"/>
        </w:rPr>
      </w:pPr>
    </w:p>
    <w:p w14:paraId="19A9AF07">
      <w:pPr>
        <w:spacing w:line="360" w:lineRule="auto"/>
        <w:ind w:firstLine="560" w:firstLineChars="200"/>
        <w:jc w:val="righ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XXXX年XX月XX日</w:t>
      </w:r>
    </w:p>
    <w:p w14:paraId="4EAEA77B">
      <w:pPr>
        <w:snapToGrid w:val="0"/>
        <w:spacing w:line="360" w:lineRule="auto"/>
        <w:ind w:firstLine="560" w:firstLineChars="200"/>
        <w:contextualSpacing/>
        <w:rPr>
          <w:rFonts w:ascii="方正仿宋_GBK" w:hAnsi="方正仿宋_GBK" w:eastAsia="方正仿宋_GBK" w:cs="方正仿宋_GBK"/>
          <w:b/>
          <w:kern w:val="0"/>
          <w:sz w:val="28"/>
          <w:szCs w:val="28"/>
          <w:highlight w:val="none"/>
        </w:rPr>
      </w:pPr>
    </w:p>
    <w:p w14:paraId="4E5E8399">
      <w:pPr>
        <w:snapToGrid w:val="0"/>
        <w:spacing w:line="360" w:lineRule="auto"/>
        <w:ind w:firstLine="560" w:firstLineChars="200"/>
        <w:contextualSpacing/>
        <w:rPr>
          <w:rFonts w:ascii="方正仿宋_GBK" w:hAnsi="方正仿宋_GBK" w:eastAsia="方正仿宋_GBK" w:cs="方正仿宋_GBK"/>
          <w:b/>
          <w:kern w:val="0"/>
          <w:sz w:val="28"/>
          <w:szCs w:val="28"/>
          <w:highlight w:val="none"/>
        </w:rPr>
      </w:pPr>
      <w:r>
        <w:rPr>
          <w:rFonts w:hint="eastAsia" w:ascii="方正仿宋_GBK" w:hAnsi="方正仿宋_GBK" w:eastAsia="方正仿宋_GBK" w:cs="方正仿宋_GBK"/>
          <w:b/>
          <w:kern w:val="0"/>
          <w:sz w:val="28"/>
          <w:szCs w:val="28"/>
          <w:highlight w:val="none"/>
        </w:rPr>
        <w:t>注：提供投标代表本人身份证复印件</w:t>
      </w:r>
    </w:p>
    <w:p w14:paraId="720A542E">
      <w:pPr>
        <w:snapToGrid w:val="0"/>
        <w:spacing w:line="360" w:lineRule="auto"/>
        <w:ind w:firstLine="562" w:firstLineChars="200"/>
        <w:contextualSpacing/>
        <w:rPr>
          <w:rFonts w:ascii="宋体" w:hAnsi="宋体" w:cs="宋体"/>
          <w:b/>
          <w:kern w:val="0"/>
          <w:sz w:val="28"/>
          <w:szCs w:val="28"/>
          <w:highlight w:val="none"/>
        </w:rPr>
      </w:pPr>
    </w:p>
    <w:p w14:paraId="103F1107">
      <w:pPr>
        <w:snapToGrid w:val="0"/>
        <w:spacing w:line="360" w:lineRule="auto"/>
        <w:ind w:firstLine="540" w:firstLineChars="192"/>
        <w:contextualSpacing/>
        <w:rPr>
          <w:rFonts w:ascii="宋体" w:hAnsi="宋体" w:cs="宋体"/>
          <w:b/>
          <w:kern w:val="0"/>
          <w:sz w:val="28"/>
          <w:szCs w:val="28"/>
          <w:highlight w:val="none"/>
        </w:rPr>
      </w:pPr>
    </w:p>
    <w:p w14:paraId="1033C883">
      <w:pPr>
        <w:snapToGrid w:val="0"/>
        <w:spacing w:line="360" w:lineRule="auto"/>
        <w:ind w:firstLine="540" w:firstLineChars="192"/>
        <w:contextualSpacing/>
        <w:rPr>
          <w:rFonts w:ascii="宋体" w:hAnsi="宋体" w:cs="宋体"/>
          <w:b/>
          <w:kern w:val="0"/>
          <w:sz w:val="28"/>
          <w:szCs w:val="28"/>
          <w:highlight w:val="none"/>
        </w:rPr>
      </w:pPr>
    </w:p>
    <w:p w14:paraId="4FB60557">
      <w:pPr>
        <w:snapToGrid w:val="0"/>
        <w:spacing w:line="360" w:lineRule="auto"/>
        <w:ind w:firstLine="540" w:firstLineChars="192"/>
        <w:contextualSpacing/>
        <w:rPr>
          <w:rFonts w:ascii="宋体" w:hAnsi="宋体" w:cs="宋体"/>
          <w:b/>
          <w:kern w:val="0"/>
          <w:sz w:val="28"/>
          <w:szCs w:val="28"/>
          <w:highlight w:val="none"/>
        </w:rPr>
      </w:pPr>
    </w:p>
    <w:p w14:paraId="716A4DE1">
      <w:pPr>
        <w:pStyle w:val="34"/>
        <w:ind w:firstLine="562"/>
        <w:rPr>
          <w:rFonts w:ascii="宋体" w:hAnsi="宋体" w:eastAsia="宋体" w:cs="宋体"/>
          <w:b/>
          <w:szCs w:val="28"/>
          <w:highlight w:val="none"/>
        </w:rPr>
      </w:pPr>
    </w:p>
    <w:p w14:paraId="0769FDB0">
      <w:pPr>
        <w:pStyle w:val="34"/>
        <w:ind w:firstLine="562"/>
        <w:rPr>
          <w:rFonts w:ascii="宋体" w:hAnsi="宋体" w:eastAsia="宋体" w:cs="宋体"/>
          <w:b/>
          <w:szCs w:val="28"/>
          <w:highlight w:val="none"/>
        </w:rPr>
      </w:pPr>
    </w:p>
    <w:p w14:paraId="09022CC3">
      <w:pPr>
        <w:snapToGrid w:val="0"/>
        <w:spacing w:line="360" w:lineRule="auto"/>
        <w:ind w:firstLine="540" w:firstLineChars="192"/>
        <w:contextualSpacing/>
        <w:rPr>
          <w:rFonts w:ascii="宋体" w:hAnsi="宋体" w:cs="宋体"/>
          <w:b/>
          <w:kern w:val="0"/>
          <w:sz w:val="28"/>
          <w:szCs w:val="28"/>
          <w:highlight w:val="none"/>
        </w:rPr>
      </w:pPr>
    </w:p>
    <w:p w14:paraId="35EF4FF1">
      <w:pPr>
        <w:rPr>
          <w:rFonts w:ascii="宋体" w:hAnsi="宋体" w:cs="宋体"/>
          <w:kern w:val="0"/>
          <w:sz w:val="32"/>
          <w:szCs w:val="32"/>
          <w:highlight w:val="none"/>
        </w:rPr>
      </w:pPr>
      <w:r>
        <w:rPr>
          <w:rFonts w:hint="eastAsia" w:ascii="宋体" w:hAnsi="宋体" w:cs="宋体"/>
          <w:kern w:val="0"/>
          <w:sz w:val="32"/>
          <w:szCs w:val="32"/>
          <w:highlight w:val="none"/>
        </w:rPr>
        <w:br w:type="page"/>
      </w:r>
    </w:p>
    <w:p w14:paraId="0DF31988">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附件4：</w:t>
      </w:r>
    </w:p>
    <w:p w14:paraId="64DA2E4E">
      <w:pPr>
        <w:spacing w:line="360" w:lineRule="auto"/>
        <w:ind w:firstLine="560" w:firstLineChars="200"/>
        <w:jc w:val="left"/>
        <w:rPr>
          <w:rFonts w:ascii="方正仿宋_GBK" w:hAnsi="方正仿宋_GBK" w:eastAsia="方正仿宋_GBK" w:cs="方正仿宋_GBK"/>
          <w:sz w:val="28"/>
          <w:szCs w:val="28"/>
          <w:highlight w:val="none"/>
        </w:rPr>
      </w:pPr>
    </w:p>
    <w:p w14:paraId="5D14F2D6">
      <w:pPr>
        <w:spacing w:line="360" w:lineRule="auto"/>
        <w:ind w:firstLine="640" w:firstLineChars="200"/>
        <w:jc w:val="center"/>
        <w:rPr>
          <w:rFonts w:ascii="仿宋" w:hAnsi="仿宋" w:eastAsia="方正仿宋_GBK" w:cs="仿宋"/>
          <w:b/>
          <w:sz w:val="36"/>
          <w:szCs w:val="36"/>
          <w:highlight w:val="none"/>
        </w:rPr>
      </w:pPr>
      <w:r>
        <w:rPr>
          <w:rFonts w:hint="eastAsia" w:ascii="方正仿宋_GBK" w:hAnsi="方正仿宋_GBK" w:eastAsia="方正仿宋_GBK" w:cs="方正仿宋_GBK"/>
          <w:sz w:val="32"/>
          <w:szCs w:val="32"/>
          <w:highlight w:val="none"/>
        </w:rPr>
        <w:t>具备履行合同所必需的设备和专业技术能力的承诺</w:t>
      </w:r>
    </w:p>
    <w:p w14:paraId="33CEC44A">
      <w:pPr>
        <w:widowControl/>
        <w:ind w:firstLine="1687" w:firstLineChars="600"/>
        <w:jc w:val="left"/>
        <w:rPr>
          <w:rFonts w:ascii="仿宋" w:hAnsi="仿宋" w:eastAsia="仿宋" w:cs="仿宋"/>
          <w:highlight w:val="none"/>
        </w:rPr>
      </w:pPr>
      <w:r>
        <w:rPr>
          <w:rFonts w:hint="eastAsia" w:ascii="仿宋" w:hAnsi="仿宋" w:eastAsia="仿宋" w:cs="仿宋"/>
          <w:b/>
          <w:bCs/>
          <w:color w:val="000000"/>
          <w:kern w:val="0"/>
          <w:sz w:val="28"/>
          <w:szCs w:val="28"/>
          <w:highlight w:val="none"/>
        </w:rPr>
        <w:t xml:space="preserve">： </w:t>
      </w:r>
    </w:p>
    <w:p w14:paraId="77FD7156">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我方参加你方的（项目名称）的投标，现我方向你方慎重承诺： </w:t>
      </w:r>
    </w:p>
    <w:p w14:paraId="6B497BEF">
      <w:pPr>
        <w:widowControl/>
        <w:spacing w:line="360" w:lineRule="auto"/>
        <w:ind w:firstLine="560" w:firstLineChars="200"/>
        <w:jc w:val="left"/>
        <w:rPr>
          <w:rFonts w:ascii="仿宋" w:hAnsi="仿宋" w:eastAsia="仿宋" w:cs="仿宋"/>
          <w:color w:val="000000"/>
          <w:kern w:val="0"/>
          <w:sz w:val="28"/>
          <w:szCs w:val="28"/>
          <w:highlight w:val="none"/>
        </w:rPr>
      </w:pPr>
      <w:r>
        <w:rPr>
          <w:rFonts w:hint="eastAsia" w:ascii="方正仿宋_GBK" w:hAnsi="方正仿宋_GBK" w:eastAsia="方正仿宋_GBK" w:cs="方正仿宋_GBK"/>
          <w:color w:val="auto"/>
          <w:sz w:val="28"/>
          <w:szCs w:val="28"/>
          <w:highlight w:val="none"/>
        </w:rPr>
        <w:t>本单位保证做到用户签约电量及招标人收益分成达标，</w:t>
      </w:r>
      <w:r>
        <w:rPr>
          <w:rFonts w:hint="eastAsia" w:ascii="方正仿宋_GBK" w:hAnsi="方正仿宋_GBK" w:eastAsia="方正仿宋_GBK" w:cs="方正仿宋_GBK"/>
          <w:sz w:val="28"/>
          <w:szCs w:val="28"/>
          <w:highlight w:val="none"/>
        </w:rPr>
        <w:t>履行合同所必需的设备和专业技术能力。</w:t>
      </w:r>
    </w:p>
    <w:p w14:paraId="0919AA41">
      <w:pPr>
        <w:pStyle w:val="112"/>
        <w:ind w:firstLine="560"/>
        <w:rPr>
          <w:rFonts w:ascii="仿宋" w:hAnsi="仿宋" w:eastAsia="仿宋" w:cs="仿宋"/>
          <w:color w:val="000000"/>
          <w:sz w:val="28"/>
          <w:szCs w:val="28"/>
          <w:highlight w:val="none"/>
          <w:lang w:eastAsia="zh-CN"/>
        </w:rPr>
      </w:pPr>
    </w:p>
    <w:p w14:paraId="03676A2B">
      <w:pPr>
        <w:pStyle w:val="112"/>
        <w:ind w:firstLine="560"/>
        <w:rPr>
          <w:rFonts w:ascii="仿宋" w:hAnsi="仿宋" w:eastAsia="仿宋" w:cs="仿宋"/>
          <w:color w:val="000000"/>
          <w:sz w:val="28"/>
          <w:szCs w:val="28"/>
          <w:highlight w:val="none"/>
          <w:lang w:eastAsia="zh-CN"/>
        </w:rPr>
      </w:pPr>
    </w:p>
    <w:p w14:paraId="121D07AB">
      <w:pPr>
        <w:pStyle w:val="112"/>
        <w:ind w:firstLine="560"/>
        <w:rPr>
          <w:rFonts w:ascii="仿宋" w:hAnsi="仿宋" w:eastAsia="仿宋" w:cs="仿宋"/>
          <w:color w:val="000000"/>
          <w:sz w:val="28"/>
          <w:szCs w:val="28"/>
          <w:highlight w:val="none"/>
          <w:lang w:eastAsia="zh-CN"/>
        </w:rPr>
      </w:pPr>
    </w:p>
    <w:p w14:paraId="68788E1E">
      <w:pPr>
        <w:widowControl/>
        <w:spacing w:line="360" w:lineRule="auto"/>
        <w:ind w:firstLine="560" w:firstLineChars="200"/>
        <w:jc w:val="righ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承诺人（盖章）： </w:t>
      </w:r>
    </w:p>
    <w:p w14:paraId="59477041">
      <w:pPr>
        <w:widowControl/>
        <w:spacing w:line="360" w:lineRule="auto"/>
        <w:ind w:firstLine="560" w:firstLineChars="200"/>
        <w:jc w:val="right"/>
        <w:rPr>
          <w:rFonts w:ascii="仿宋" w:hAnsi="仿宋" w:eastAsia="仿宋" w:cs="仿宋"/>
          <w:highlight w:val="none"/>
        </w:rPr>
      </w:pPr>
      <w:r>
        <w:rPr>
          <w:rFonts w:hint="eastAsia" w:ascii="方正仿宋_GBK" w:hAnsi="方正仿宋_GBK" w:eastAsia="方正仿宋_GBK" w:cs="方正仿宋_GBK"/>
          <w:sz w:val="28"/>
          <w:szCs w:val="28"/>
          <w:highlight w:val="none"/>
        </w:rPr>
        <w:t>法定代表人或其授权委托人（签字或盖章）：</w:t>
      </w:r>
    </w:p>
    <w:p w14:paraId="431062AB">
      <w:pPr>
        <w:widowControl/>
        <w:spacing w:line="360" w:lineRule="auto"/>
        <w:ind w:firstLine="560" w:firstLineChars="200"/>
        <w:jc w:val="right"/>
        <w:rPr>
          <w:rFonts w:ascii="宋体" w:hAnsi="宋体" w:cs="宋体"/>
          <w:sz w:val="32"/>
          <w:szCs w:val="32"/>
          <w:highlight w:val="none"/>
        </w:rPr>
      </w:pPr>
      <w:r>
        <w:rPr>
          <w:rFonts w:hint="eastAsia" w:ascii="方正仿宋_GBK" w:hAnsi="方正仿宋_GBK" w:eastAsia="方正仿宋_GBK" w:cs="方正仿宋_GBK"/>
          <w:sz w:val="28"/>
          <w:szCs w:val="28"/>
          <w:highlight w:val="none"/>
        </w:rPr>
        <w:t>年 月 日</w:t>
      </w:r>
      <w:r>
        <w:rPr>
          <w:rFonts w:hint="eastAsia" w:ascii="宋体" w:hAnsi="宋体" w:cs="宋体"/>
          <w:sz w:val="32"/>
          <w:szCs w:val="32"/>
          <w:highlight w:val="none"/>
        </w:rPr>
        <w:br w:type="page"/>
      </w:r>
    </w:p>
    <w:p w14:paraId="2C53A66C">
      <w:pPr>
        <w:snapToGrid w:val="0"/>
        <w:spacing w:line="300" w:lineRule="auto"/>
        <w:contextualSpacing/>
        <w:jc w:val="left"/>
        <w:rPr>
          <w:rFonts w:ascii="宋体" w:hAnsi="宋体" w:cs="宋体"/>
          <w:b/>
          <w:sz w:val="32"/>
          <w:szCs w:val="32"/>
          <w:highlight w:val="none"/>
        </w:rPr>
      </w:pPr>
      <w:r>
        <w:rPr>
          <w:rFonts w:hint="eastAsia" w:ascii="宋体" w:hAnsi="宋体" w:cs="宋体"/>
          <w:sz w:val="32"/>
          <w:szCs w:val="32"/>
          <w:highlight w:val="none"/>
        </w:rPr>
        <w:t>附件5</w:t>
      </w:r>
    </w:p>
    <w:p w14:paraId="75965884">
      <w:pPr>
        <w:snapToGrid w:val="0"/>
        <w:spacing w:line="300" w:lineRule="auto"/>
        <w:contextualSpacing/>
        <w:jc w:val="center"/>
        <w:rPr>
          <w:rFonts w:ascii="黑体" w:hAnsi="黑体" w:eastAsia="黑体" w:cs="黑体"/>
          <w:b/>
          <w:sz w:val="32"/>
          <w:szCs w:val="32"/>
          <w:highlight w:val="none"/>
        </w:rPr>
      </w:pPr>
      <w:r>
        <w:rPr>
          <w:rFonts w:hint="eastAsia" w:ascii="黑体" w:hAnsi="黑体" w:eastAsia="黑体" w:cs="黑体"/>
          <w:b/>
          <w:sz w:val="32"/>
          <w:szCs w:val="32"/>
          <w:highlight w:val="none"/>
        </w:rPr>
        <w:t>商务部分正负偏离表</w:t>
      </w:r>
    </w:p>
    <w:p w14:paraId="5C1E113D">
      <w:pPr>
        <w:ind w:firstLine="560" w:firstLineChars="200"/>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（由供应商据实填写，表格不够自行添加）</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5"/>
        <w:gridCol w:w="1446"/>
      </w:tblGrid>
      <w:tr w14:paraId="14C6F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24093F0D">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13D5B1B">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079631D3">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招标文件要求的商务条款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529524DA">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6728C57B">
            <w:pPr>
              <w:spacing w:line="340" w:lineRule="exact"/>
              <w:jc w:val="center"/>
              <w:rPr>
                <w:rFonts w:ascii="方正仿宋_GBK" w:hAnsi="方正仿宋_GBK" w:eastAsia="方正仿宋_GBK" w:cs="方正仿宋_GBK"/>
                <w:sz w:val="24"/>
                <w:highlight w:val="none"/>
              </w:rPr>
            </w:pPr>
          </w:p>
          <w:p w14:paraId="7CC570DE">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偏离说明</w:t>
            </w:r>
          </w:p>
        </w:tc>
      </w:tr>
      <w:tr w14:paraId="3C60B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EC93A84">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423415AF">
            <w:pPr>
              <w:spacing w:line="340" w:lineRule="exact"/>
              <w:jc w:val="left"/>
              <w:rPr>
                <w:rFonts w:ascii="方正仿宋_GBK" w:hAnsi="方正仿宋_GBK" w:eastAsia="方正仿宋_GBK" w:cs="方正仿宋_GBK"/>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A69C57E">
            <w:pPr>
              <w:spacing w:line="340" w:lineRule="exact"/>
              <w:jc w:val="left"/>
              <w:rPr>
                <w:rFonts w:ascii="方正仿宋_GBK" w:hAnsi="方正仿宋_GBK" w:eastAsia="方正仿宋_GBK" w:cs="方正仿宋_GBK"/>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CFBC3C8">
            <w:pPr>
              <w:spacing w:line="340" w:lineRule="exact"/>
              <w:jc w:val="left"/>
              <w:rPr>
                <w:rFonts w:ascii="方正仿宋_GBK" w:hAnsi="方正仿宋_GBK" w:eastAsia="方正仿宋_GBK" w:cs="方正仿宋_GBK"/>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3F4084C">
            <w:pPr>
              <w:spacing w:line="340" w:lineRule="exact"/>
              <w:jc w:val="left"/>
              <w:rPr>
                <w:rFonts w:ascii="方正仿宋_GBK" w:hAnsi="方正仿宋_GBK" w:eastAsia="方正仿宋_GBK" w:cs="方正仿宋_GBK"/>
                <w:sz w:val="24"/>
                <w:highlight w:val="none"/>
              </w:rPr>
            </w:pPr>
          </w:p>
        </w:tc>
      </w:tr>
      <w:tr w14:paraId="0BBBB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3FE3468E">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6925BBD2">
            <w:pPr>
              <w:spacing w:line="340" w:lineRule="exact"/>
              <w:jc w:val="left"/>
              <w:rPr>
                <w:rFonts w:ascii="方正仿宋_GBK" w:hAnsi="方正仿宋_GBK" w:eastAsia="方正仿宋_GBK" w:cs="方正仿宋_GBK"/>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8A9D4F5">
            <w:pPr>
              <w:spacing w:line="340" w:lineRule="exact"/>
              <w:jc w:val="left"/>
              <w:rPr>
                <w:rFonts w:ascii="方正仿宋_GBK" w:hAnsi="方正仿宋_GBK" w:eastAsia="方正仿宋_GBK" w:cs="方正仿宋_GBK"/>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CCDF351">
            <w:pPr>
              <w:spacing w:line="340" w:lineRule="exact"/>
              <w:jc w:val="left"/>
              <w:rPr>
                <w:rFonts w:ascii="方正仿宋_GBK" w:hAnsi="方正仿宋_GBK" w:eastAsia="方正仿宋_GBK" w:cs="方正仿宋_GBK"/>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EE8ADC9">
            <w:pPr>
              <w:spacing w:line="340" w:lineRule="exact"/>
              <w:jc w:val="left"/>
              <w:rPr>
                <w:rFonts w:ascii="方正仿宋_GBK" w:hAnsi="方正仿宋_GBK" w:eastAsia="方正仿宋_GBK" w:cs="方正仿宋_GBK"/>
                <w:sz w:val="24"/>
                <w:highlight w:val="none"/>
              </w:rPr>
            </w:pPr>
          </w:p>
        </w:tc>
      </w:tr>
      <w:tr w14:paraId="5E4B7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799AB0C4">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20FE9243">
            <w:pPr>
              <w:spacing w:line="340" w:lineRule="exact"/>
              <w:jc w:val="left"/>
              <w:rPr>
                <w:rFonts w:ascii="方正仿宋_GBK" w:hAnsi="方正仿宋_GBK" w:eastAsia="方正仿宋_GBK" w:cs="方正仿宋_GBK"/>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8EE8A51">
            <w:pPr>
              <w:spacing w:line="340" w:lineRule="exact"/>
              <w:jc w:val="left"/>
              <w:rPr>
                <w:rFonts w:ascii="方正仿宋_GBK" w:hAnsi="方正仿宋_GBK" w:eastAsia="方正仿宋_GBK" w:cs="方正仿宋_GBK"/>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0C2FA5C">
            <w:pPr>
              <w:spacing w:line="340" w:lineRule="exact"/>
              <w:jc w:val="left"/>
              <w:rPr>
                <w:rFonts w:ascii="方正仿宋_GBK" w:hAnsi="方正仿宋_GBK" w:eastAsia="方正仿宋_GBK" w:cs="方正仿宋_GBK"/>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2E1C35A">
            <w:pPr>
              <w:spacing w:line="340" w:lineRule="exact"/>
              <w:jc w:val="left"/>
              <w:rPr>
                <w:rFonts w:ascii="方正仿宋_GBK" w:hAnsi="方正仿宋_GBK" w:eastAsia="方正仿宋_GBK" w:cs="方正仿宋_GBK"/>
                <w:sz w:val="24"/>
                <w:highlight w:val="none"/>
              </w:rPr>
            </w:pPr>
          </w:p>
        </w:tc>
      </w:tr>
      <w:tr w14:paraId="14CBF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A1D37CE">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1DBAAEA">
            <w:pPr>
              <w:spacing w:line="340" w:lineRule="exact"/>
              <w:jc w:val="left"/>
              <w:rPr>
                <w:rFonts w:ascii="方正仿宋_GBK" w:hAnsi="方正仿宋_GBK" w:eastAsia="方正仿宋_GBK" w:cs="方正仿宋_GBK"/>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70AB924">
            <w:pPr>
              <w:spacing w:line="340" w:lineRule="exact"/>
              <w:jc w:val="left"/>
              <w:rPr>
                <w:rFonts w:ascii="方正仿宋_GBK" w:hAnsi="方正仿宋_GBK" w:eastAsia="方正仿宋_GBK" w:cs="方正仿宋_GBK"/>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DC3B53B">
            <w:pPr>
              <w:spacing w:line="340" w:lineRule="exact"/>
              <w:jc w:val="left"/>
              <w:rPr>
                <w:rFonts w:ascii="方正仿宋_GBK" w:hAnsi="方正仿宋_GBK" w:eastAsia="方正仿宋_GBK" w:cs="方正仿宋_GBK"/>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E1182C4">
            <w:pPr>
              <w:spacing w:line="340" w:lineRule="exact"/>
              <w:jc w:val="left"/>
              <w:rPr>
                <w:rFonts w:ascii="方正仿宋_GBK" w:hAnsi="方正仿宋_GBK" w:eastAsia="方正仿宋_GBK" w:cs="方正仿宋_GBK"/>
                <w:sz w:val="24"/>
                <w:highlight w:val="none"/>
              </w:rPr>
            </w:pPr>
          </w:p>
        </w:tc>
      </w:tr>
    </w:tbl>
    <w:p w14:paraId="24F37A81">
      <w:pPr>
        <w:snapToGrid w:val="0"/>
        <w:spacing w:line="300" w:lineRule="auto"/>
        <w:contextualSpacing/>
        <w:rPr>
          <w:rFonts w:ascii="方正仿宋_GBK" w:hAnsi="方正仿宋_GBK" w:eastAsia="方正仿宋_GBK" w:cs="方正仿宋_GBK"/>
          <w:b/>
          <w:sz w:val="24"/>
          <w:highlight w:val="none"/>
        </w:rPr>
      </w:pPr>
      <w:r>
        <w:rPr>
          <w:rFonts w:hint="eastAsia" w:ascii="方正仿宋_GBK" w:hAnsi="方正仿宋_GBK" w:eastAsia="方正仿宋_GBK" w:cs="方正仿宋_GBK"/>
          <w:b/>
          <w:sz w:val="24"/>
          <w:highlight w:val="none"/>
        </w:rPr>
        <w:t>注：</w:t>
      </w:r>
    </w:p>
    <w:p w14:paraId="6FA47A82">
      <w:pPr>
        <w:snapToGrid w:val="0"/>
        <w:spacing w:line="300" w:lineRule="auto"/>
        <w:ind w:firstLine="480" w:firstLineChars="200"/>
        <w:contextualSpacing/>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1.供应商提交的响应文件中与招标文件第三部分“项目需求”中的商务部分的要求，应逐条填列在偏离表中，</w:t>
      </w:r>
      <w:r>
        <w:rPr>
          <w:rFonts w:hint="eastAsia" w:ascii="方正仿宋_GBK" w:hAnsi="方正仿宋_GBK" w:eastAsia="方正仿宋_GBK" w:cs="方正仿宋_GBK"/>
          <w:b/>
          <w:bCs/>
          <w:sz w:val="24"/>
          <w:highlight w:val="none"/>
        </w:rPr>
        <w:t>完全响应可以提供空白表格加盖投标人公章</w:t>
      </w:r>
      <w:r>
        <w:rPr>
          <w:rFonts w:hint="eastAsia" w:ascii="方正仿宋_GBK" w:hAnsi="方正仿宋_GBK" w:eastAsia="方正仿宋_GBK" w:cs="方正仿宋_GBK"/>
          <w:sz w:val="24"/>
          <w:highlight w:val="none"/>
        </w:rPr>
        <w:t>。</w:t>
      </w:r>
    </w:p>
    <w:p w14:paraId="296A1B61">
      <w:pPr>
        <w:snapToGrid w:val="0"/>
        <w:spacing w:line="300" w:lineRule="auto"/>
        <w:ind w:firstLine="480" w:firstLineChars="200"/>
        <w:contextualSpacing/>
        <w:rPr>
          <w:rFonts w:ascii="方正仿宋_GBK" w:hAnsi="方正仿宋_GBK" w:eastAsia="方正仿宋_GBK" w:cs="方正仿宋_GBK"/>
          <w:bCs/>
          <w:sz w:val="24"/>
          <w:highlight w:val="none"/>
        </w:rPr>
      </w:pPr>
      <w:r>
        <w:rPr>
          <w:rFonts w:hint="eastAsia" w:ascii="方正仿宋_GBK" w:hAnsi="方正仿宋_GBK" w:eastAsia="方正仿宋_GBK" w:cs="方正仿宋_GBK"/>
          <w:sz w:val="24"/>
          <w:highlight w:val="none"/>
        </w:rPr>
        <w:t>2.“偏离说明”一栏选择“正偏离”“负偏离”“无偏离”进行填写。正</w:t>
      </w:r>
      <w:r>
        <w:rPr>
          <w:rFonts w:hint="eastAsia" w:ascii="方正仿宋_GBK" w:hAnsi="方正仿宋_GBK" w:eastAsia="方正仿宋_GBK" w:cs="方正仿宋_GBK"/>
          <w:bCs/>
          <w:sz w:val="24"/>
          <w:highlight w:val="none"/>
        </w:rPr>
        <w:t>偏离、负偏离、无偏离的确认，由评标小组认定。</w:t>
      </w:r>
    </w:p>
    <w:p w14:paraId="0E8604A5">
      <w:pPr>
        <w:snapToGrid w:val="0"/>
        <w:spacing w:line="300" w:lineRule="auto"/>
        <w:ind w:firstLine="480" w:firstLineChars="200"/>
        <w:contextualSpacing/>
        <w:rPr>
          <w:rFonts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3.供应商若提供其他增值服务，可以在表中自行据实填写。</w:t>
      </w:r>
    </w:p>
    <w:p w14:paraId="320F8B8B">
      <w:pPr>
        <w:snapToGrid w:val="0"/>
        <w:spacing w:line="300" w:lineRule="auto"/>
        <w:ind w:firstLine="480" w:firstLineChars="200"/>
        <w:contextualSpacing/>
        <w:rPr>
          <w:rFonts w:ascii="宋体" w:hAnsi="宋体" w:cs="宋体"/>
          <w:bCs/>
          <w:sz w:val="24"/>
          <w:highlight w:val="none"/>
        </w:rPr>
      </w:pPr>
    </w:p>
    <w:p w14:paraId="1201851A">
      <w:pPr>
        <w:snapToGrid w:val="0"/>
        <w:spacing w:line="400" w:lineRule="exact"/>
        <w:ind w:firstLine="540" w:firstLineChars="192"/>
        <w:contextualSpacing/>
        <w:rPr>
          <w:rFonts w:ascii="宋体" w:hAnsi="宋体" w:cs="宋体"/>
          <w:b/>
          <w:kern w:val="0"/>
          <w:sz w:val="28"/>
          <w:szCs w:val="28"/>
          <w:highlight w:val="none"/>
        </w:rPr>
      </w:pPr>
    </w:p>
    <w:p w14:paraId="5A39CBCE">
      <w:pPr>
        <w:snapToGrid w:val="0"/>
        <w:spacing w:line="400" w:lineRule="exact"/>
        <w:ind w:firstLine="540" w:firstLineChars="192"/>
        <w:contextualSpacing/>
        <w:rPr>
          <w:rFonts w:ascii="宋体" w:hAnsi="宋体" w:cs="宋体"/>
          <w:b/>
          <w:kern w:val="0"/>
          <w:sz w:val="28"/>
          <w:szCs w:val="28"/>
          <w:highlight w:val="none"/>
        </w:rPr>
      </w:pPr>
    </w:p>
    <w:p w14:paraId="43A8B502">
      <w:pPr>
        <w:snapToGrid w:val="0"/>
        <w:spacing w:line="400" w:lineRule="exact"/>
        <w:ind w:firstLine="540" w:firstLineChars="192"/>
        <w:contextualSpacing/>
        <w:rPr>
          <w:rFonts w:ascii="宋体" w:hAnsi="宋体" w:cs="宋体"/>
          <w:b/>
          <w:kern w:val="0"/>
          <w:sz w:val="28"/>
          <w:szCs w:val="28"/>
          <w:highlight w:val="none"/>
        </w:rPr>
      </w:pPr>
    </w:p>
    <w:p w14:paraId="739B1B4C">
      <w:pPr>
        <w:snapToGrid w:val="0"/>
        <w:spacing w:line="400" w:lineRule="exact"/>
        <w:ind w:firstLine="540" w:firstLineChars="192"/>
        <w:contextualSpacing/>
        <w:rPr>
          <w:rFonts w:ascii="宋体" w:hAnsi="宋体" w:cs="宋体"/>
          <w:b/>
          <w:kern w:val="0"/>
          <w:sz w:val="28"/>
          <w:szCs w:val="28"/>
          <w:highlight w:val="none"/>
        </w:rPr>
      </w:pPr>
    </w:p>
    <w:p w14:paraId="079B50B1">
      <w:pPr>
        <w:snapToGrid w:val="0"/>
        <w:spacing w:line="400" w:lineRule="exact"/>
        <w:ind w:firstLine="540" w:firstLineChars="192"/>
        <w:contextualSpacing/>
        <w:rPr>
          <w:rFonts w:ascii="宋体" w:hAnsi="宋体" w:cs="宋体"/>
          <w:b/>
          <w:kern w:val="0"/>
          <w:sz w:val="28"/>
          <w:szCs w:val="28"/>
          <w:highlight w:val="none"/>
        </w:rPr>
      </w:pPr>
    </w:p>
    <w:p w14:paraId="758F39AB">
      <w:pPr>
        <w:snapToGrid w:val="0"/>
        <w:spacing w:line="400" w:lineRule="exact"/>
        <w:ind w:firstLine="540" w:firstLineChars="192"/>
        <w:contextualSpacing/>
        <w:rPr>
          <w:rFonts w:ascii="宋体" w:hAnsi="宋体" w:cs="宋体"/>
          <w:b/>
          <w:kern w:val="0"/>
          <w:sz w:val="28"/>
          <w:szCs w:val="28"/>
          <w:highlight w:val="none"/>
        </w:rPr>
      </w:pPr>
    </w:p>
    <w:p w14:paraId="1E81CDCE">
      <w:pPr>
        <w:snapToGrid w:val="0"/>
        <w:spacing w:line="400" w:lineRule="exact"/>
        <w:ind w:firstLine="540" w:firstLineChars="192"/>
        <w:contextualSpacing/>
        <w:rPr>
          <w:rFonts w:ascii="宋体" w:hAnsi="宋体" w:cs="宋体"/>
          <w:b/>
          <w:kern w:val="0"/>
          <w:sz w:val="28"/>
          <w:szCs w:val="28"/>
          <w:highlight w:val="none"/>
        </w:rPr>
      </w:pPr>
    </w:p>
    <w:p w14:paraId="2C79E150">
      <w:pPr>
        <w:snapToGrid w:val="0"/>
        <w:spacing w:line="400" w:lineRule="exact"/>
        <w:ind w:firstLine="540" w:firstLineChars="192"/>
        <w:contextualSpacing/>
        <w:rPr>
          <w:rFonts w:ascii="宋体" w:hAnsi="宋体" w:cs="宋体"/>
          <w:b/>
          <w:kern w:val="0"/>
          <w:sz w:val="28"/>
          <w:szCs w:val="28"/>
          <w:highlight w:val="none"/>
        </w:rPr>
      </w:pPr>
    </w:p>
    <w:p w14:paraId="786123F6">
      <w:pPr>
        <w:snapToGrid w:val="0"/>
        <w:spacing w:line="400" w:lineRule="exact"/>
        <w:ind w:firstLine="540" w:firstLineChars="192"/>
        <w:contextualSpacing/>
        <w:rPr>
          <w:rFonts w:ascii="宋体" w:hAnsi="宋体" w:cs="宋体"/>
          <w:b/>
          <w:kern w:val="0"/>
          <w:sz w:val="28"/>
          <w:szCs w:val="28"/>
          <w:highlight w:val="none"/>
        </w:rPr>
      </w:pPr>
    </w:p>
    <w:p w14:paraId="6882A356">
      <w:pPr>
        <w:snapToGrid w:val="0"/>
        <w:spacing w:line="400" w:lineRule="exact"/>
        <w:ind w:firstLine="540" w:firstLineChars="192"/>
        <w:contextualSpacing/>
        <w:rPr>
          <w:rFonts w:ascii="宋体" w:hAnsi="宋体" w:cs="宋体"/>
          <w:b/>
          <w:kern w:val="0"/>
          <w:sz w:val="28"/>
          <w:szCs w:val="28"/>
          <w:highlight w:val="none"/>
        </w:rPr>
      </w:pPr>
    </w:p>
    <w:p w14:paraId="4636396D">
      <w:pPr>
        <w:snapToGrid w:val="0"/>
        <w:spacing w:line="400" w:lineRule="exact"/>
        <w:ind w:firstLine="540" w:firstLineChars="192"/>
        <w:contextualSpacing/>
        <w:rPr>
          <w:rFonts w:ascii="宋体" w:hAnsi="宋体" w:cs="宋体"/>
          <w:b/>
          <w:kern w:val="0"/>
          <w:sz w:val="28"/>
          <w:szCs w:val="28"/>
          <w:highlight w:val="none"/>
        </w:rPr>
      </w:pPr>
    </w:p>
    <w:p w14:paraId="4901B1B1">
      <w:pPr>
        <w:snapToGrid w:val="0"/>
        <w:spacing w:line="400" w:lineRule="exact"/>
        <w:ind w:firstLine="540" w:firstLineChars="192"/>
        <w:contextualSpacing/>
        <w:rPr>
          <w:rFonts w:ascii="宋体" w:hAnsi="宋体" w:cs="宋体"/>
          <w:b/>
          <w:kern w:val="0"/>
          <w:sz w:val="28"/>
          <w:szCs w:val="28"/>
          <w:highlight w:val="none"/>
        </w:rPr>
      </w:pPr>
    </w:p>
    <w:p w14:paraId="759BB353">
      <w:pPr>
        <w:snapToGrid w:val="0"/>
        <w:spacing w:line="400" w:lineRule="exact"/>
        <w:ind w:firstLine="540" w:firstLineChars="192"/>
        <w:contextualSpacing/>
        <w:rPr>
          <w:rFonts w:ascii="宋体" w:hAnsi="宋体" w:cs="宋体"/>
          <w:b/>
          <w:kern w:val="0"/>
          <w:sz w:val="28"/>
          <w:szCs w:val="28"/>
          <w:highlight w:val="none"/>
        </w:rPr>
      </w:pPr>
    </w:p>
    <w:p w14:paraId="1688862E">
      <w:pPr>
        <w:snapToGrid w:val="0"/>
        <w:spacing w:line="400" w:lineRule="exact"/>
        <w:ind w:firstLine="540" w:firstLineChars="192"/>
        <w:contextualSpacing/>
        <w:rPr>
          <w:rFonts w:ascii="宋体" w:hAnsi="宋体" w:cs="宋体"/>
          <w:b/>
          <w:kern w:val="0"/>
          <w:sz w:val="28"/>
          <w:szCs w:val="28"/>
          <w:highlight w:val="none"/>
        </w:rPr>
      </w:pPr>
    </w:p>
    <w:p w14:paraId="33929560">
      <w:pPr>
        <w:snapToGrid w:val="0"/>
        <w:spacing w:line="400" w:lineRule="exact"/>
        <w:contextualSpacing/>
        <w:rPr>
          <w:rFonts w:ascii="宋体" w:hAnsi="宋体" w:cs="宋体"/>
          <w:kern w:val="0"/>
          <w:sz w:val="28"/>
          <w:szCs w:val="28"/>
          <w:highlight w:val="none"/>
        </w:rPr>
      </w:pPr>
    </w:p>
    <w:p w14:paraId="5AF4BB35">
      <w:pPr>
        <w:rPr>
          <w:rFonts w:ascii="宋体" w:hAnsi="宋体" w:cs="宋体"/>
          <w:sz w:val="32"/>
          <w:szCs w:val="32"/>
          <w:highlight w:val="none"/>
        </w:rPr>
      </w:pPr>
      <w:r>
        <w:rPr>
          <w:rFonts w:hint="eastAsia" w:ascii="宋体" w:hAnsi="宋体" w:cs="宋体"/>
          <w:sz w:val="32"/>
          <w:szCs w:val="32"/>
          <w:highlight w:val="none"/>
        </w:rPr>
        <w:br w:type="page"/>
      </w:r>
    </w:p>
    <w:p w14:paraId="4120CBA3">
      <w:pPr>
        <w:snapToGrid w:val="0"/>
        <w:spacing w:line="300" w:lineRule="auto"/>
        <w:contextualSpacing/>
        <w:rPr>
          <w:rFonts w:ascii="宋体" w:hAnsi="宋体" w:cs="宋体"/>
          <w:sz w:val="32"/>
          <w:szCs w:val="32"/>
          <w:highlight w:val="none"/>
        </w:rPr>
      </w:pPr>
      <w:r>
        <w:rPr>
          <w:rFonts w:hint="eastAsia" w:ascii="宋体" w:hAnsi="宋体" w:cs="宋体"/>
          <w:sz w:val="32"/>
          <w:szCs w:val="32"/>
          <w:highlight w:val="none"/>
        </w:rPr>
        <w:t>附件6</w:t>
      </w:r>
    </w:p>
    <w:p w14:paraId="0B25C139">
      <w:pPr>
        <w:snapToGrid w:val="0"/>
        <w:spacing w:line="300" w:lineRule="auto"/>
        <w:contextualSpacing/>
        <w:jc w:val="center"/>
        <w:rPr>
          <w:rFonts w:ascii="黑体" w:hAnsi="黑体" w:eastAsia="黑体" w:cs="黑体"/>
          <w:b/>
          <w:sz w:val="32"/>
          <w:szCs w:val="32"/>
          <w:highlight w:val="none"/>
        </w:rPr>
      </w:pPr>
      <w:r>
        <w:rPr>
          <w:rFonts w:hint="eastAsia" w:ascii="黑体" w:hAnsi="黑体" w:eastAsia="黑体" w:cs="黑体"/>
          <w:b/>
          <w:sz w:val="32"/>
          <w:szCs w:val="32"/>
          <w:highlight w:val="none"/>
        </w:rPr>
        <w:t>技术部分正负偏离表</w:t>
      </w:r>
    </w:p>
    <w:p w14:paraId="79A74D8A">
      <w:pPr>
        <w:ind w:firstLine="560" w:firstLineChars="200"/>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（由供应商据实填写，表格不够自行添加）</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5"/>
        <w:gridCol w:w="1446"/>
      </w:tblGrid>
      <w:tr w14:paraId="2AB9A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3BDE08DE">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DB665E1">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3CB2D2A0">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招标文件要求的技术要求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65344887">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0E4124AE">
            <w:pPr>
              <w:spacing w:line="340" w:lineRule="exact"/>
              <w:jc w:val="center"/>
              <w:rPr>
                <w:rFonts w:ascii="方正仿宋_GBK" w:hAnsi="方正仿宋_GBK" w:eastAsia="方正仿宋_GBK" w:cs="方正仿宋_GBK"/>
                <w:sz w:val="24"/>
                <w:highlight w:val="none"/>
              </w:rPr>
            </w:pPr>
          </w:p>
          <w:p w14:paraId="13A63F86">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偏离说明</w:t>
            </w:r>
          </w:p>
        </w:tc>
      </w:tr>
      <w:tr w14:paraId="3E280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BA08DED">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5EF4A3E6">
            <w:pPr>
              <w:spacing w:line="340" w:lineRule="exact"/>
              <w:jc w:val="left"/>
              <w:rPr>
                <w:rFonts w:ascii="方正仿宋_GBK" w:hAnsi="方正仿宋_GBK" w:eastAsia="方正仿宋_GBK" w:cs="方正仿宋_GBK"/>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E28B802">
            <w:pPr>
              <w:spacing w:line="340" w:lineRule="exact"/>
              <w:jc w:val="left"/>
              <w:rPr>
                <w:rFonts w:ascii="方正仿宋_GBK" w:hAnsi="方正仿宋_GBK" w:eastAsia="方正仿宋_GBK" w:cs="方正仿宋_GBK"/>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46F16AF5">
            <w:pPr>
              <w:spacing w:line="340" w:lineRule="exact"/>
              <w:jc w:val="left"/>
              <w:rPr>
                <w:rFonts w:ascii="方正仿宋_GBK" w:hAnsi="方正仿宋_GBK" w:eastAsia="方正仿宋_GBK" w:cs="方正仿宋_GBK"/>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69E2D49">
            <w:pPr>
              <w:spacing w:line="340" w:lineRule="exact"/>
              <w:jc w:val="left"/>
              <w:rPr>
                <w:rFonts w:ascii="方正仿宋_GBK" w:hAnsi="方正仿宋_GBK" w:eastAsia="方正仿宋_GBK" w:cs="方正仿宋_GBK"/>
                <w:sz w:val="24"/>
                <w:highlight w:val="none"/>
              </w:rPr>
            </w:pPr>
          </w:p>
        </w:tc>
      </w:tr>
      <w:tr w14:paraId="048AE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4294A509">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709E79DF">
            <w:pPr>
              <w:spacing w:line="340" w:lineRule="exact"/>
              <w:jc w:val="left"/>
              <w:rPr>
                <w:rFonts w:ascii="方正仿宋_GBK" w:hAnsi="方正仿宋_GBK" w:eastAsia="方正仿宋_GBK" w:cs="方正仿宋_GBK"/>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50A2A82">
            <w:pPr>
              <w:spacing w:line="340" w:lineRule="exact"/>
              <w:jc w:val="left"/>
              <w:rPr>
                <w:rFonts w:ascii="方正仿宋_GBK" w:hAnsi="方正仿宋_GBK" w:eastAsia="方正仿宋_GBK" w:cs="方正仿宋_GBK"/>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B00FD38">
            <w:pPr>
              <w:spacing w:line="340" w:lineRule="exact"/>
              <w:jc w:val="left"/>
              <w:rPr>
                <w:rFonts w:ascii="方正仿宋_GBK" w:hAnsi="方正仿宋_GBK" w:eastAsia="方正仿宋_GBK" w:cs="方正仿宋_GBK"/>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4703C3C">
            <w:pPr>
              <w:spacing w:line="340" w:lineRule="exact"/>
              <w:jc w:val="left"/>
              <w:rPr>
                <w:rFonts w:ascii="方正仿宋_GBK" w:hAnsi="方正仿宋_GBK" w:eastAsia="方正仿宋_GBK" w:cs="方正仿宋_GBK"/>
                <w:sz w:val="24"/>
                <w:highlight w:val="none"/>
              </w:rPr>
            </w:pPr>
          </w:p>
        </w:tc>
      </w:tr>
      <w:tr w14:paraId="6C428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3ACAC8EF">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405DE168">
            <w:pPr>
              <w:spacing w:line="340" w:lineRule="exact"/>
              <w:jc w:val="left"/>
              <w:rPr>
                <w:rFonts w:ascii="方正仿宋_GBK" w:hAnsi="方正仿宋_GBK" w:eastAsia="方正仿宋_GBK" w:cs="方正仿宋_GBK"/>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7023AA8">
            <w:pPr>
              <w:spacing w:line="340" w:lineRule="exact"/>
              <w:jc w:val="left"/>
              <w:rPr>
                <w:rFonts w:ascii="方正仿宋_GBK" w:hAnsi="方正仿宋_GBK" w:eastAsia="方正仿宋_GBK" w:cs="方正仿宋_GBK"/>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C10396F">
            <w:pPr>
              <w:spacing w:line="340" w:lineRule="exact"/>
              <w:jc w:val="left"/>
              <w:rPr>
                <w:rFonts w:ascii="方正仿宋_GBK" w:hAnsi="方正仿宋_GBK" w:eastAsia="方正仿宋_GBK" w:cs="方正仿宋_GBK"/>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A6A7E6F">
            <w:pPr>
              <w:spacing w:line="340" w:lineRule="exact"/>
              <w:jc w:val="left"/>
              <w:rPr>
                <w:rFonts w:ascii="方正仿宋_GBK" w:hAnsi="方正仿宋_GBK" w:eastAsia="方正仿宋_GBK" w:cs="方正仿宋_GBK"/>
                <w:sz w:val="24"/>
                <w:highlight w:val="none"/>
              </w:rPr>
            </w:pPr>
          </w:p>
        </w:tc>
      </w:tr>
      <w:tr w14:paraId="76653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4A633F3C">
            <w:pPr>
              <w:spacing w:line="3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623AE00A">
            <w:pPr>
              <w:spacing w:line="340" w:lineRule="exact"/>
              <w:jc w:val="left"/>
              <w:rPr>
                <w:rFonts w:ascii="方正仿宋_GBK" w:hAnsi="方正仿宋_GBK" w:eastAsia="方正仿宋_GBK" w:cs="方正仿宋_GBK"/>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38AF61F">
            <w:pPr>
              <w:spacing w:line="340" w:lineRule="exact"/>
              <w:jc w:val="left"/>
              <w:rPr>
                <w:rFonts w:ascii="方正仿宋_GBK" w:hAnsi="方正仿宋_GBK" w:eastAsia="方正仿宋_GBK" w:cs="方正仿宋_GBK"/>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D08BBAC">
            <w:pPr>
              <w:spacing w:line="340" w:lineRule="exact"/>
              <w:jc w:val="left"/>
              <w:rPr>
                <w:rFonts w:ascii="方正仿宋_GBK" w:hAnsi="方正仿宋_GBK" w:eastAsia="方正仿宋_GBK" w:cs="方正仿宋_GBK"/>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F94A187">
            <w:pPr>
              <w:spacing w:line="340" w:lineRule="exact"/>
              <w:jc w:val="left"/>
              <w:rPr>
                <w:rFonts w:ascii="方正仿宋_GBK" w:hAnsi="方正仿宋_GBK" w:eastAsia="方正仿宋_GBK" w:cs="方正仿宋_GBK"/>
                <w:sz w:val="24"/>
                <w:highlight w:val="none"/>
              </w:rPr>
            </w:pPr>
          </w:p>
        </w:tc>
      </w:tr>
    </w:tbl>
    <w:p w14:paraId="3D71B6D3">
      <w:pPr>
        <w:snapToGrid w:val="0"/>
        <w:spacing w:line="300" w:lineRule="auto"/>
        <w:contextualSpacing/>
        <w:rPr>
          <w:rFonts w:ascii="方正仿宋_GBK" w:hAnsi="方正仿宋_GBK" w:eastAsia="方正仿宋_GBK" w:cs="方正仿宋_GBK"/>
          <w:b/>
          <w:sz w:val="24"/>
          <w:highlight w:val="none"/>
        </w:rPr>
      </w:pPr>
      <w:r>
        <w:rPr>
          <w:rFonts w:hint="eastAsia" w:ascii="方正仿宋_GBK" w:hAnsi="方正仿宋_GBK" w:eastAsia="方正仿宋_GBK" w:cs="方正仿宋_GBK"/>
          <w:b/>
          <w:sz w:val="24"/>
          <w:highlight w:val="none"/>
        </w:rPr>
        <w:t>注：</w:t>
      </w:r>
    </w:p>
    <w:p w14:paraId="114614C7">
      <w:pPr>
        <w:snapToGrid w:val="0"/>
        <w:spacing w:line="300" w:lineRule="auto"/>
        <w:ind w:firstLine="480" w:firstLineChars="200"/>
        <w:contextualSpacing/>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1.供应商提交的响应文件中与招标文件第三部分“项目需求”中的技术部分的要求，应逐条填列在偏离表中，</w:t>
      </w:r>
      <w:r>
        <w:rPr>
          <w:rFonts w:hint="eastAsia" w:ascii="方正仿宋_GBK" w:hAnsi="方正仿宋_GBK" w:eastAsia="方正仿宋_GBK" w:cs="方正仿宋_GBK"/>
          <w:b/>
          <w:bCs/>
          <w:sz w:val="24"/>
          <w:highlight w:val="none"/>
        </w:rPr>
        <w:t>完全响应可以提供空白表格加盖投标人公章</w:t>
      </w:r>
      <w:r>
        <w:rPr>
          <w:rFonts w:hint="eastAsia" w:ascii="方正仿宋_GBK" w:hAnsi="方正仿宋_GBK" w:eastAsia="方正仿宋_GBK" w:cs="方正仿宋_GBK"/>
          <w:sz w:val="24"/>
          <w:highlight w:val="none"/>
        </w:rPr>
        <w:t>。</w:t>
      </w:r>
    </w:p>
    <w:p w14:paraId="20B6B10A">
      <w:pPr>
        <w:snapToGrid w:val="0"/>
        <w:spacing w:line="300" w:lineRule="auto"/>
        <w:ind w:firstLine="480" w:firstLineChars="200"/>
        <w:contextualSpacing/>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2.“偏离说明”一栏选择“正偏离”“负偏离”“无偏离”进行填写。正偏离、负偏离、无偏离的确认，由评标小组认定。</w:t>
      </w:r>
    </w:p>
    <w:p w14:paraId="1AAFACAE">
      <w:pPr>
        <w:snapToGrid w:val="0"/>
        <w:spacing w:line="300" w:lineRule="auto"/>
        <w:ind w:firstLine="480" w:firstLineChars="200"/>
        <w:contextualSpacing/>
        <w:rPr>
          <w:rFonts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3.供应商若提供其他增值服务，可以在表中自行据实填写。</w:t>
      </w:r>
    </w:p>
    <w:p w14:paraId="1C4C9560">
      <w:pPr>
        <w:snapToGrid w:val="0"/>
        <w:spacing w:line="300" w:lineRule="auto"/>
        <w:ind w:firstLine="480" w:firstLineChars="200"/>
        <w:contextualSpacing/>
        <w:rPr>
          <w:rFonts w:ascii="宋体" w:hAnsi="宋体" w:cs="宋体"/>
          <w:bCs/>
          <w:sz w:val="24"/>
          <w:highlight w:val="none"/>
        </w:rPr>
        <w:sectPr>
          <w:headerReference r:id="rId3" w:type="default"/>
          <w:footerReference r:id="rId4" w:type="default"/>
          <w:pgSz w:w="11906" w:h="16838"/>
          <w:pgMar w:top="1417" w:right="1417" w:bottom="1417" w:left="1417" w:header="851" w:footer="992" w:gutter="0"/>
          <w:cols w:space="720" w:num="1"/>
          <w:docGrid w:type="lines" w:linePitch="312" w:charSpace="0"/>
        </w:sectPr>
      </w:pPr>
    </w:p>
    <w:p w14:paraId="2F120EF8">
      <w:pPr>
        <w:snapToGrid w:val="0"/>
        <w:spacing w:line="300" w:lineRule="auto"/>
        <w:ind w:firstLine="640" w:firstLineChars="200"/>
        <w:contextualSpacing/>
        <w:rPr>
          <w:rFonts w:ascii="宋体" w:hAnsi="宋体" w:cs="宋体"/>
          <w:kern w:val="0"/>
          <w:sz w:val="32"/>
          <w:szCs w:val="32"/>
          <w:highlight w:val="none"/>
        </w:rPr>
      </w:pPr>
      <w:r>
        <w:rPr>
          <w:rFonts w:hint="eastAsia" w:ascii="宋体" w:hAnsi="宋体" w:cs="宋体"/>
          <w:kern w:val="0"/>
          <w:sz w:val="32"/>
          <w:szCs w:val="32"/>
          <w:highlight w:val="none"/>
        </w:rPr>
        <w:t>附件7</w:t>
      </w:r>
    </w:p>
    <w:p w14:paraId="79656D6A">
      <w:pPr>
        <w:spacing w:line="360" w:lineRule="auto"/>
        <w:jc w:val="center"/>
        <w:rPr>
          <w:rFonts w:ascii="黑体" w:hAnsi="黑体" w:eastAsia="黑体" w:cs="黑体"/>
          <w:b/>
          <w:bCs/>
          <w:kern w:val="0"/>
          <w:sz w:val="32"/>
          <w:szCs w:val="32"/>
          <w:highlight w:val="none"/>
        </w:rPr>
      </w:pPr>
      <w:r>
        <w:rPr>
          <w:rFonts w:hint="eastAsia" w:ascii="黑体" w:hAnsi="黑体" w:eastAsia="黑体" w:cs="黑体"/>
          <w:b/>
          <w:bCs/>
          <w:kern w:val="0"/>
          <w:sz w:val="32"/>
          <w:szCs w:val="32"/>
          <w:highlight w:val="none"/>
        </w:rPr>
        <w:t>开标一览表</w:t>
      </w:r>
    </w:p>
    <w:p w14:paraId="63A410DF">
      <w:pPr>
        <w:spacing w:line="360" w:lineRule="auto"/>
        <w:rPr>
          <w:rFonts w:ascii="方正仿宋_GBK" w:hAnsi="方正仿宋_GBK" w:eastAsia="方正仿宋_GBK" w:cs="方正仿宋_GBK"/>
          <w:kern w:val="0"/>
          <w:sz w:val="28"/>
          <w:szCs w:val="28"/>
          <w:highlight w:val="none"/>
          <w:u w:val="single"/>
        </w:rPr>
      </w:pPr>
      <w:r>
        <w:rPr>
          <w:rFonts w:hint="eastAsia" w:ascii="方正仿宋_GBK" w:hAnsi="方正仿宋_GBK" w:eastAsia="方正仿宋_GBK" w:cs="方正仿宋_GBK"/>
          <w:kern w:val="0"/>
          <w:sz w:val="28"/>
          <w:szCs w:val="28"/>
          <w:highlight w:val="none"/>
        </w:rPr>
        <w:t>供应商全称（加盖公章）：</w:t>
      </w:r>
    </w:p>
    <w:p w14:paraId="4E3BB7CC">
      <w:pPr>
        <w:spacing w:line="360" w:lineRule="auto"/>
        <w:rPr>
          <w:rFonts w:ascii="方正仿宋_GBK" w:hAnsi="方正仿宋_GBK" w:eastAsia="方正仿宋_GBK" w:cs="方正仿宋_GBK"/>
          <w:kern w:val="0"/>
          <w:sz w:val="28"/>
          <w:szCs w:val="28"/>
          <w:highlight w:val="none"/>
          <w:u w:val="single"/>
        </w:rPr>
      </w:pPr>
      <w:r>
        <w:rPr>
          <w:rFonts w:hint="eastAsia" w:ascii="方正仿宋_GBK" w:hAnsi="方正仿宋_GBK" w:eastAsia="方正仿宋_GBK" w:cs="方正仿宋_GBK"/>
          <w:kern w:val="0"/>
          <w:sz w:val="28"/>
          <w:szCs w:val="28"/>
          <w:highlight w:val="none"/>
        </w:rPr>
        <w:t>项目名称：</w:t>
      </w:r>
    </w:p>
    <w:p w14:paraId="140219F5">
      <w:pPr>
        <w:spacing w:line="360" w:lineRule="auto"/>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项目编号：</w:t>
      </w:r>
    </w:p>
    <w:tbl>
      <w:tblPr>
        <w:tblStyle w:val="3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0"/>
        <w:gridCol w:w="4486"/>
      </w:tblGrid>
      <w:tr w14:paraId="750B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pct"/>
          </w:tcPr>
          <w:p w14:paraId="4B9B5C8C">
            <w:pPr>
              <w:spacing w:line="360" w:lineRule="auto"/>
              <w:jc w:val="center"/>
              <w:rPr>
                <w:rFonts w:ascii="方正仿宋_GBK" w:hAnsi="方正仿宋_GBK" w:eastAsia="方正仿宋_GBK" w:cs="方正仿宋_GBK"/>
                <w:szCs w:val="22"/>
                <w:highlight w:val="none"/>
              </w:rPr>
            </w:pPr>
            <w:r>
              <w:rPr>
                <w:rFonts w:hint="eastAsia" w:ascii="方正仿宋_GBK" w:hAnsi="方正仿宋_GBK" w:eastAsia="方正仿宋_GBK" w:cs="方正仿宋_GBK"/>
                <w:kern w:val="0"/>
                <w:sz w:val="28"/>
                <w:szCs w:val="28"/>
                <w:highlight w:val="none"/>
              </w:rPr>
              <w:t>项目名称</w:t>
            </w:r>
          </w:p>
        </w:tc>
        <w:tc>
          <w:tcPr>
            <w:tcW w:w="2630" w:type="pct"/>
          </w:tcPr>
          <w:p w14:paraId="0761E542">
            <w:pPr>
              <w:spacing w:line="360" w:lineRule="auto"/>
              <w:jc w:val="center"/>
              <w:rPr>
                <w:rFonts w:ascii="方正仿宋_GBK" w:hAnsi="方正仿宋_GBK" w:eastAsia="方正仿宋_GBK" w:cs="方正仿宋_GBK"/>
                <w:szCs w:val="22"/>
                <w:highlight w:val="none"/>
              </w:rPr>
            </w:pPr>
            <w:r>
              <w:rPr>
                <w:rFonts w:hint="eastAsia" w:ascii="方正仿宋_GBK" w:hAnsi="方正仿宋_GBK" w:eastAsia="方正仿宋_GBK" w:cs="方正仿宋_GBK"/>
                <w:kern w:val="0"/>
                <w:sz w:val="28"/>
                <w:szCs w:val="28"/>
                <w:highlight w:val="none"/>
              </w:rPr>
              <w:t>投标报价</w:t>
            </w:r>
            <w:bookmarkStart w:id="112" w:name="_GoBack"/>
            <w:bookmarkEnd w:id="112"/>
          </w:p>
        </w:tc>
      </w:tr>
      <w:tr w14:paraId="0627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369" w:type="pct"/>
            <w:vAlign w:val="center"/>
          </w:tcPr>
          <w:p w14:paraId="6F56FCDC">
            <w:pPr>
              <w:spacing w:line="360" w:lineRule="auto"/>
              <w:jc w:val="center"/>
              <w:rPr>
                <w:rFonts w:ascii="方正仿宋_GBK" w:hAnsi="方正仿宋_GBK" w:eastAsia="方正仿宋_GBK" w:cs="方正仿宋_GBK"/>
                <w:szCs w:val="22"/>
                <w:highlight w:val="none"/>
              </w:rPr>
            </w:pPr>
            <w:r>
              <w:rPr>
                <w:rFonts w:ascii="方正仿宋_GBK" w:hAnsi="方正仿宋_GBK" w:eastAsia="方正仿宋_GBK" w:cs="方正仿宋_GBK"/>
                <w:kern w:val="0"/>
                <w:sz w:val="28"/>
                <w:szCs w:val="28"/>
                <w:highlight w:val="none"/>
              </w:rPr>
              <w:t>购电交易侧</w:t>
            </w:r>
          </w:p>
        </w:tc>
        <w:tc>
          <w:tcPr>
            <w:tcW w:w="2630" w:type="pct"/>
            <w:vAlign w:val="center"/>
          </w:tcPr>
          <w:p w14:paraId="2C40EFCB">
            <w:pPr>
              <w:spacing w:line="360" w:lineRule="auto"/>
              <w:jc w:val="left"/>
              <w:rPr>
                <w:rFonts w:ascii="方正仿宋_GBK" w:hAnsi="方正仿宋_GBK" w:eastAsia="方正仿宋_GBK" w:cs="方正仿宋_GBK"/>
                <w:szCs w:val="22"/>
                <w:highlight w:val="none"/>
                <w:u w:val="single"/>
              </w:rPr>
            </w:pPr>
            <w:r>
              <w:rPr>
                <w:rFonts w:hint="eastAsia" w:ascii="方正仿宋_GBK" w:hAnsi="方正仿宋_GBK" w:eastAsia="方正仿宋_GBK" w:cs="方正仿宋_GBK"/>
                <w:kern w:val="0"/>
                <w:sz w:val="28"/>
                <w:szCs w:val="28"/>
                <w:highlight w:val="none"/>
              </w:rPr>
              <w:t>投标方：取收益分成比例</w:t>
            </w:r>
            <w:r>
              <w:rPr>
                <w:rFonts w:hint="eastAsia" w:ascii="方正仿宋_GBK" w:hAnsi="方正仿宋_GBK" w:eastAsia="方正仿宋_GBK" w:cs="方正仿宋_GBK"/>
                <w:kern w:val="0"/>
                <w:sz w:val="28"/>
                <w:szCs w:val="28"/>
                <w:highlight w:val="none"/>
                <w:u w:val="single"/>
              </w:rPr>
              <w:t xml:space="preserve">    </w:t>
            </w:r>
            <w:r>
              <w:rPr>
                <w:rFonts w:hint="eastAsia" w:ascii="方正仿宋_GBK" w:hAnsi="方正仿宋_GBK" w:eastAsia="方正仿宋_GBK" w:cs="方正仿宋_GBK"/>
                <w:kern w:val="0"/>
                <w:sz w:val="28"/>
                <w:szCs w:val="28"/>
                <w:highlight w:val="none"/>
              </w:rPr>
              <w:t>%。</w:t>
            </w:r>
          </w:p>
        </w:tc>
      </w:tr>
      <w:tr w14:paraId="457D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369" w:type="pct"/>
            <w:vAlign w:val="center"/>
          </w:tcPr>
          <w:p w14:paraId="48C53706">
            <w:pPr>
              <w:spacing w:line="360" w:lineRule="auto"/>
              <w:jc w:val="center"/>
              <w:rPr>
                <w:rFonts w:ascii="方正仿宋_GBK" w:hAnsi="方正仿宋_GBK" w:eastAsia="方正仿宋_GBK" w:cs="方正仿宋_GBK"/>
                <w:szCs w:val="22"/>
                <w:highlight w:val="none"/>
              </w:rPr>
            </w:pPr>
            <w:r>
              <w:rPr>
                <w:rFonts w:ascii="方正仿宋_GBK" w:hAnsi="方正仿宋_GBK" w:eastAsia="方正仿宋_GBK" w:cs="方正仿宋_GBK"/>
                <w:kern w:val="0"/>
                <w:sz w:val="28"/>
                <w:szCs w:val="28"/>
                <w:highlight w:val="none"/>
              </w:rPr>
              <w:t>用户开发侧</w:t>
            </w:r>
          </w:p>
        </w:tc>
        <w:tc>
          <w:tcPr>
            <w:tcW w:w="2630" w:type="pct"/>
            <w:vAlign w:val="center"/>
          </w:tcPr>
          <w:p w14:paraId="35C5F0C3">
            <w:pPr>
              <w:spacing w:line="360" w:lineRule="auto"/>
              <w:jc w:val="left"/>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投标方：取分成比例</w:t>
            </w:r>
            <w:r>
              <w:rPr>
                <w:rFonts w:hint="eastAsia" w:ascii="方正仿宋_GBK" w:hAnsi="方正仿宋_GBK" w:eastAsia="方正仿宋_GBK" w:cs="方正仿宋_GBK"/>
                <w:kern w:val="0"/>
                <w:sz w:val="28"/>
                <w:szCs w:val="28"/>
                <w:highlight w:val="none"/>
                <w:u w:val="single"/>
              </w:rPr>
              <w:t xml:space="preserve">    </w:t>
            </w:r>
            <w:r>
              <w:rPr>
                <w:rFonts w:hint="eastAsia" w:ascii="方正仿宋_GBK" w:hAnsi="方正仿宋_GBK" w:eastAsia="方正仿宋_GBK" w:cs="方正仿宋_GBK"/>
                <w:kern w:val="0"/>
                <w:sz w:val="28"/>
                <w:szCs w:val="28"/>
                <w:highlight w:val="none"/>
              </w:rPr>
              <w:t>%。</w:t>
            </w:r>
          </w:p>
        </w:tc>
      </w:tr>
    </w:tbl>
    <w:p w14:paraId="49EABC56">
      <w:pPr>
        <w:spacing w:line="360" w:lineRule="auto"/>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日期：</w:t>
      </w:r>
    </w:p>
    <w:p w14:paraId="31D37669">
      <w:pPr>
        <w:spacing w:line="360" w:lineRule="auto"/>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填写说明：</w:t>
      </w:r>
    </w:p>
    <w:p w14:paraId="20346276">
      <w:pPr>
        <w:spacing w:line="360" w:lineRule="auto"/>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kern w:val="0"/>
          <w:sz w:val="28"/>
          <w:szCs w:val="28"/>
          <w:highlight w:val="none"/>
        </w:rPr>
        <w:t>1、报价总表必须加盖供应商公章（复印件无效）。</w:t>
      </w:r>
    </w:p>
    <w:p w14:paraId="56858203">
      <w:pPr>
        <w:snapToGrid w:val="0"/>
        <w:spacing w:line="360" w:lineRule="auto"/>
        <w:ind w:firstLine="540" w:firstLineChars="192"/>
        <w:contextualSpacing/>
        <w:rPr>
          <w:rFonts w:ascii="宋体" w:hAnsi="宋体" w:cs="宋体"/>
          <w:b/>
          <w:kern w:val="0"/>
          <w:sz w:val="28"/>
          <w:szCs w:val="28"/>
          <w:highlight w:val="none"/>
        </w:rPr>
      </w:pPr>
    </w:p>
    <w:p w14:paraId="3ABBA123">
      <w:pPr>
        <w:snapToGrid w:val="0"/>
        <w:spacing w:line="360" w:lineRule="auto"/>
        <w:ind w:firstLine="540" w:firstLineChars="192"/>
        <w:contextualSpacing/>
        <w:rPr>
          <w:rFonts w:ascii="宋体" w:hAnsi="宋体" w:cs="宋体"/>
          <w:b/>
          <w:kern w:val="0"/>
          <w:sz w:val="28"/>
          <w:szCs w:val="28"/>
          <w:highlight w:val="none"/>
        </w:rPr>
      </w:pPr>
    </w:p>
    <w:p w14:paraId="33AE6668">
      <w:pPr>
        <w:snapToGrid w:val="0"/>
        <w:spacing w:line="360" w:lineRule="auto"/>
        <w:ind w:firstLine="540" w:firstLineChars="192"/>
        <w:contextualSpacing/>
        <w:rPr>
          <w:rFonts w:ascii="宋体" w:hAnsi="宋体" w:cs="宋体"/>
          <w:b/>
          <w:kern w:val="0"/>
          <w:sz w:val="28"/>
          <w:szCs w:val="28"/>
          <w:highlight w:val="none"/>
        </w:rPr>
      </w:pPr>
    </w:p>
    <w:p w14:paraId="2605B304">
      <w:pPr>
        <w:snapToGrid w:val="0"/>
        <w:spacing w:line="360" w:lineRule="auto"/>
        <w:ind w:firstLine="540" w:firstLineChars="192"/>
        <w:contextualSpacing/>
        <w:rPr>
          <w:rFonts w:ascii="宋体" w:hAnsi="宋体" w:cs="宋体"/>
          <w:b/>
          <w:kern w:val="0"/>
          <w:sz w:val="28"/>
          <w:szCs w:val="28"/>
          <w:highlight w:val="none"/>
        </w:rPr>
      </w:pPr>
    </w:p>
    <w:p w14:paraId="084537FE">
      <w:pPr>
        <w:snapToGrid w:val="0"/>
        <w:spacing w:line="360" w:lineRule="auto"/>
        <w:ind w:firstLine="540" w:firstLineChars="192"/>
        <w:contextualSpacing/>
        <w:rPr>
          <w:rFonts w:ascii="宋体" w:hAnsi="宋体" w:cs="宋体"/>
          <w:b/>
          <w:kern w:val="0"/>
          <w:sz w:val="28"/>
          <w:szCs w:val="28"/>
          <w:highlight w:val="none"/>
        </w:rPr>
      </w:pPr>
    </w:p>
    <w:p w14:paraId="43B92CE7">
      <w:pPr>
        <w:spacing w:line="360" w:lineRule="auto"/>
        <w:jc w:val="left"/>
        <w:rPr>
          <w:rFonts w:ascii="宋体" w:hAnsi="宋体" w:cs="宋体"/>
          <w:sz w:val="32"/>
          <w:szCs w:val="32"/>
          <w:highlight w:val="none"/>
        </w:rPr>
      </w:pPr>
      <w:r>
        <w:rPr>
          <w:rFonts w:hint="eastAsia" w:ascii="宋体" w:hAnsi="宋体" w:cs="宋体"/>
          <w:sz w:val="32"/>
          <w:szCs w:val="32"/>
          <w:highlight w:val="none"/>
        </w:rPr>
        <w:br w:type="page"/>
      </w:r>
      <w:r>
        <w:rPr>
          <w:rFonts w:hint="eastAsia" w:ascii="宋体" w:hAnsi="宋体" w:cs="宋体"/>
          <w:sz w:val="32"/>
          <w:szCs w:val="32"/>
          <w:highlight w:val="none"/>
        </w:rPr>
        <w:t>附件8</w:t>
      </w:r>
    </w:p>
    <w:p w14:paraId="6A5D2D84">
      <w:pPr>
        <w:spacing w:before="240"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供应商信用承诺书</w:t>
      </w:r>
    </w:p>
    <w:p w14:paraId="4E8FD5F4">
      <w:pPr>
        <w:spacing w:line="520" w:lineRule="exact"/>
        <w:ind w:firstLine="480" w:firstLineChars="200"/>
        <w:rPr>
          <w:rFonts w:ascii="方正仿宋_GBK" w:hAnsi="方正仿宋_GBK" w:eastAsia="方正仿宋_GBK" w:cs="方正仿宋_GBK"/>
          <w:kern w:val="0"/>
          <w:sz w:val="24"/>
          <w:highlight w:val="none"/>
          <w:lang w:val="zh-CN"/>
        </w:rPr>
      </w:pPr>
    </w:p>
    <w:p w14:paraId="7E233301">
      <w:pPr>
        <w:spacing w:line="520" w:lineRule="exact"/>
        <w:ind w:firstLine="480" w:firstLineChars="200"/>
        <w:rPr>
          <w:rFonts w:ascii="方正仿宋_GBK" w:hAnsi="方正仿宋_GBK" w:eastAsia="方正仿宋_GBK" w:cs="方正仿宋_GBK"/>
          <w:kern w:val="0"/>
          <w:sz w:val="24"/>
          <w:highlight w:val="none"/>
          <w:lang w:val="zh-CN"/>
        </w:rPr>
      </w:pPr>
      <w:r>
        <w:rPr>
          <w:rFonts w:hint="eastAsia" w:ascii="方正仿宋_GBK" w:hAnsi="方正仿宋_GBK" w:eastAsia="方正仿宋_GBK" w:cs="方正仿宋_GBK"/>
          <w:kern w:val="0"/>
          <w:sz w:val="24"/>
          <w:highlight w:val="none"/>
          <w:lang w:val="zh-CN"/>
        </w:rPr>
        <w:t>为营造公开、公平、公正的公共资源交易环境，树立诚信守法的投标人形象，本人代表本单位作出以下承诺：</w:t>
      </w:r>
    </w:p>
    <w:p w14:paraId="04F2EAE1">
      <w:pPr>
        <w:spacing w:line="520" w:lineRule="exact"/>
        <w:ind w:firstLine="480" w:firstLineChars="200"/>
        <w:rPr>
          <w:rFonts w:ascii="方正仿宋_GBK" w:hAnsi="方正仿宋_GBK" w:eastAsia="方正仿宋_GBK" w:cs="方正仿宋_GBK"/>
          <w:kern w:val="0"/>
          <w:sz w:val="24"/>
          <w:highlight w:val="none"/>
          <w:lang w:val="zh-CN"/>
        </w:rPr>
      </w:pPr>
      <w:r>
        <w:rPr>
          <w:rFonts w:hint="eastAsia" w:ascii="方正仿宋_GBK" w:hAnsi="方正仿宋_GBK" w:eastAsia="方正仿宋_GBK" w:cs="方正仿宋_GBK"/>
          <w:kern w:val="0"/>
          <w:sz w:val="24"/>
          <w:highlight w:val="none"/>
          <w:lang w:val="zh-CN"/>
        </w:rPr>
        <w:t>一、本单位对所提交的单位基本信息、单位负责人、项目负责人、技术负责人、从业资质和资格、业绩、财务状况、信誉等所有资料，均合法、真实、准确、有效，无任何伪造、修改、虚假成分；</w:t>
      </w:r>
    </w:p>
    <w:p w14:paraId="3B626ECC">
      <w:pPr>
        <w:spacing w:line="520" w:lineRule="exact"/>
        <w:ind w:firstLine="480" w:firstLineChars="200"/>
        <w:rPr>
          <w:rFonts w:ascii="方正仿宋_GBK" w:hAnsi="方正仿宋_GBK" w:eastAsia="方正仿宋_GBK" w:cs="方正仿宋_GBK"/>
          <w:kern w:val="0"/>
          <w:sz w:val="24"/>
          <w:highlight w:val="none"/>
          <w:lang w:val="zh-CN"/>
        </w:rPr>
      </w:pPr>
      <w:r>
        <w:rPr>
          <w:rFonts w:hint="eastAsia" w:ascii="方正仿宋_GBK" w:hAnsi="方正仿宋_GBK" w:eastAsia="方正仿宋_GBK" w:cs="方正仿宋_GBK"/>
          <w:kern w:val="0"/>
          <w:sz w:val="24"/>
          <w:highlight w:val="none"/>
          <w:lang w:val="zh-CN"/>
        </w:rPr>
        <w:t>二、严格依照国家和省、市、县关于政府招标等方面的法律法规、规章、规范性文件，参加</w:t>
      </w:r>
      <w:r>
        <w:rPr>
          <w:rFonts w:hint="eastAsia" w:ascii="方正仿宋_GBK" w:hAnsi="方正仿宋_GBK" w:eastAsia="方正仿宋_GBK" w:cs="方正仿宋_GBK"/>
          <w:kern w:val="0"/>
          <w:sz w:val="24"/>
          <w:highlight w:val="none"/>
        </w:rPr>
        <w:t>招标人组织的</w:t>
      </w:r>
      <w:r>
        <w:rPr>
          <w:rFonts w:hint="eastAsia" w:ascii="方正仿宋_GBK" w:hAnsi="方正仿宋_GBK" w:eastAsia="方正仿宋_GBK" w:cs="方正仿宋_GBK"/>
          <w:kern w:val="0"/>
          <w:sz w:val="24"/>
          <w:highlight w:val="none"/>
          <w:lang w:val="zh-CN"/>
        </w:rPr>
        <w:t>招标投标活动；积极履行社会责任，促进廉政建设；</w:t>
      </w:r>
    </w:p>
    <w:p w14:paraId="218CEFBC">
      <w:pPr>
        <w:spacing w:line="520" w:lineRule="exact"/>
        <w:ind w:firstLine="480" w:firstLineChars="200"/>
        <w:rPr>
          <w:rFonts w:ascii="方正仿宋_GBK" w:hAnsi="方正仿宋_GBK" w:eastAsia="方正仿宋_GBK" w:cs="方正仿宋_GBK"/>
          <w:kern w:val="0"/>
          <w:sz w:val="24"/>
          <w:highlight w:val="none"/>
          <w:lang w:val="zh-CN"/>
        </w:rPr>
      </w:pPr>
      <w:r>
        <w:rPr>
          <w:rFonts w:hint="eastAsia" w:ascii="方正仿宋_GBK" w:hAnsi="方正仿宋_GBK" w:eastAsia="方正仿宋_GBK" w:cs="方正仿宋_GBK"/>
          <w:kern w:val="0"/>
          <w:sz w:val="24"/>
          <w:highlight w:val="none"/>
          <w:lang w:val="zh-CN"/>
        </w:rPr>
        <w:t>三、严格遵守即时信息公示规定，及时更新公共资源交易中心主体信息库中信息；</w:t>
      </w:r>
    </w:p>
    <w:p w14:paraId="70FAD064">
      <w:pPr>
        <w:spacing w:line="520" w:lineRule="exact"/>
        <w:ind w:firstLine="480" w:firstLineChars="200"/>
        <w:rPr>
          <w:rFonts w:ascii="方正仿宋_GBK" w:hAnsi="方正仿宋_GBK" w:eastAsia="方正仿宋_GBK" w:cs="方正仿宋_GBK"/>
          <w:kern w:val="0"/>
          <w:sz w:val="24"/>
          <w:highlight w:val="none"/>
          <w:lang w:val="zh-CN"/>
        </w:rPr>
      </w:pPr>
      <w:r>
        <w:rPr>
          <w:rFonts w:hint="eastAsia" w:ascii="方正仿宋_GBK" w:hAnsi="方正仿宋_GBK" w:eastAsia="方正仿宋_GBK" w:cs="方正仿宋_GBK"/>
          <w:kern w:val="0"/>
          <w:sz w:val="24"/>
          <w:highlight w:val="none"/>
          <w:lang w:val="zh-CN"/>
        </w:rPr>
        <w:t>四、自我约束、自我管理，守合同、重信用，不参与围标串标、弄虚作假、骗取中标、干扰评标、违约毁约、恶意投诉等行为，主动维护公共资源交易招标投标的良好秩序；</w:t>
      </w:r>
    </w:p>
    <w:p w14:paraId="3365C748">
      <w:pPr>
        <w:spacing w:line="520" w:lineRule="exact"/>
        <w:ind w:firstLine="480" w:firstLineChars="200"/>
        <w:rPr>
          <w:rFonts w:ascii="方正仿宋_GBK" w:hAnsi="方正仿宋_GBK" w:eastAsia="方正仿宋_GBK" w:cs="方正仿宋_GBK"/>
          <w:kern w:val="0"/>
          <w:sz w:val="24"/>
          <w:highlight w:val="none"/>
          <w:lang w:val="zh-CN"/>
        </w:rPr>
      </w:pPr>
      <w:r>
        <w:rPr>
          <w:rFonts w:hint="eastAsia" w:ascii="方正仿宋_GBK" w:hAnsi="方正仿宋_GBK" w:eastAsia="方正仿宋_GBK" w:cs="方正仿宋_GBK"/>
          <w:kern w:val="0"/>
          <w:sz w:val="24"/>
          <w:highlight w:val="none"/>
          <w:lang w:val="zh-CN"/>
        </w:rPr>
        <w:t>五、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7897AB14">
      <w:pPr>
        <w:spacing w:line="520" w:lineRule="exact"/>
        <w:ind w:firstLine="480" w:firstLineChars="200"/>
        <w:rPr>
          <w:rFonts w:ascii="方正仿宋_GBK" w:hAnsi="方正仿宋_GBK" w:eastAsia="方正仿宋_GBK" w:cs="方正仿宋_GBK"/>
          <w:kern w:val="0"/>
          <w:sz w:val="24"/>
          <w:highlight w:val="none"/>
          <w:lang w:val="zh-CN"/>
        </w:rPr>
      </w:pPr>
      <w:r>
        <w:rPr>
          <w:rFonts w:hint="eastAsia" w:ascii="方正仿宋_GBK" w:hAnsi="方正仿宋_GBK" w:eastAsia="方正仿宋_GBK" w:cs="方正仿宋_GBK"/>
          <w:kern w:val="0"/>
          <w:sz w:val="24"/>
          <w:highlight w:val="none"/>
          <w:lang w:val="zh-CN"/>
        </w:rPr>
        <w:t>六、自觉接受政府部门、行业组织、社会公众、新闻舆论等监督；</w:t>
      </w:r>
    </w:p>
    <w:p w14:paraId="206A55F2">
      <w:pPr>
        <w:spacing w:line="520" w:lineRule="exact"/>
        <w:ind w:firstLine="480" w:firstLineChars="200"/>
        <w:rPr>
          <w:rFonts w:ascii="方正仿宋_GBK" w:hAnsi="方正仿宋_GBK" w:eastAsia="方正仿宋_GBK" w:cs="方正仿宋_GBK"/>
          <w:kern w:val="0"/>
          <w:sz w:val="24"/>
          <w:highlight w:val="none"/>
          <w:lang w:val="zh-CN"/>
        </w:rPr>
      </w:pPr>
      <w:r>
        <w:rPr>
          <w:rFonts w:hint="eastAsia" w:ascii="方正仿宋_GBK" w:hAnsi="方正仿宋_GBK" w:eastAsia="方正仿宋_GBK" w:cs="方正仿宋_GBK"/>
          <w:kern w:val="0"/>
          <w:sz w:val="24"/>
          <w:highlight w:val="none"/>
          <w:lang w:val="zh-CN"/>
        </w:rPr>
        <w:t>七、上述承诺已向本单位员工做了宣传教育；</w:t>
      </w:r>
    </w:p>
    <w:p w14:paraId="65994E18">
      <w:pPr>
        <w:tabs>
          <w:tab w:val="left" w:pos="4860"/>
        </w:tabs>
        <w:spacing w:line="520" w:lineRule="exact"/>
        <w:ind w:right="1560"/>
        <w:jc w:val="left"/>
        <w:rPr>
          <w:rFonts w:ascii="方正仿宋_GBK" w:hAnsi="方正仿宋_GBK" w:eastAsia="方正仿宋_GBK" w:cs="方正仿宋_GBK"/>
          <w:b/>
          <w:kern w:val="0"/>
          <w:sz w:val="24"/>
          <w:highlight w:val="none"/>
          <w:lang w:val="zh-CN"/>
        </w:rPr>
      </w:pPr>
      <w:r>
        <w:rPr>
          <w:rFonts w:hint="eastAsia" w:ascii="方正仿宋_GBK" w:hAnsi="方正仿宋_GBK" w:eastAsia="方正仿宋_GBK" w:cs="方正仿宋_GBK"/>
          <w:b/>
          <w:kern w:val="0"/>
          <w:sz w:val="24"/>
          <w:highlight w:val="none"/>
          <w:lang w:val="zh-CN"/>
        </w:rPr>
        <w:t>如有违反上述承诺的不良行为，本单位同意将其予以上网公示。</w:t>
      </w:r>
    </w:p>
    <w:p w14:paraId="679F97B2">
      <w:pPr>
        <w:spacing w:line="520" w:lineRule="exact"/>
        <w:ind w:firstLine="3080" w:firstLineChars="1100"/>
        <w:rPr>
          <w:rFonts w:ascii="方正仿宋_GBK" w:hAnsi="方正仿宋_GBK" w:eastAsia="方正仿宋_GBK" w:cs="方正仿宋_GBK"/>
          <w:sz w:val="28"/>
          <w:szCs w:val="28"/>
          <w:highlight w:val="none"/>
        </w:rPr>
      </w:pPr>
    </w:p>
    <w:p w14:paraId="042C6DF9">
      <w:pPr>
        <w:spacing w:line="520" w:lineRule="exact"/>
        <w:ind w:firstLine="3080" w:firstLineChars="1100"/>
        <w:rPr>
          <w:rFonts w:ascii="方正仿宋_GBK" w:hAnsi="方正仿宋_GBK" w:eastAsia="方正仿宋_GBK" w:cs="方正仿宋_GBK"/>
          <w:kern w:val="0"/>
          <w:sz w:val="28"/>
          <w:szCs w:val="28"/>
          <w:highlight w:val="none"/>
          <w:u w:val="single"/>
          <w:lang w:val="zh-CN"/>
        </w:rPr>
      </w:pPr>
      <w:r>
        <w:rPr>
          <w:rFonts w:hint="eastAsia" w:ascii="方正仿宋_GBK" w:hAnsi="方正仿宋_GBK" w:eastAsia="方正仿宋_GBK" w:cs="方正仿宋_GBK"/>
          <w:kern w:val="0"/>
          <w:sz w:val="28"/>
          <w:szCs w:val="28"/>
          <w:highlight w:val="none"/>
          <w:lang w:val="zh-CN"/>
        </w:rPr>
        <w:t>投标供应商全称（盖公章）：</w:t>
      </w:r>
    </w:p>
    <w:p w14:paraId="509513CF">
      <w:pPr>
        <w:spacing w:line="520" w:lineRule="exact"/>
        <w:ind w:firstLine="3080" w:firstLineChars="1100"/>
        <w:rPr>
          <w:rFonts w:ascii="方正仿宋_GBK" w:hAnsi="方正仿宋_GBK" w:eastAsia="方正仿宋_GBK" w:cs="方正仿宋_GBK"/>
          <w:sz w:val="28"/>
          <w:szCs w:val="28"/>
          <w:highlight w:val="none"/>
          <w:u w:val="single"/>
          <w:lang w:val="zh-CN"/>
        </w:rPr>
      </w:pPr>
      <w:r>
        <w:rPr>
          <w:rFonts w:hint="eastAsia" w:ascii="方正仿宋_GBK" w:hAnsi="方正仿宋_GBK" w:eastAsia="方正仿宋_GBK" w:cs="方正仿宋_GBK"/>
          <w:kern w:val="0"/>
          <w:sz w:val="28"/>
          <w:szCs w:val="28"/>
          <w:highlight w:val="none"/>
          <w:lang w:val="zh-CN"/>
        </w:rPr>
        <w:t>法定代表人（签字或盖章）：</w:t>
      </w:r>
    </w:p>
    <w:p w14:paraId="00650CE8">
      <w:pPr>
        <w:spacing w:line="520" w:lineRule="exact"/>
        <w:ind w:firstLine="3080" w:firstLineChars="1100"/>
        <w:rPr>
          <w:rFonts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时间：  年  月   日</w:t>
      </w:r>
    </w:p>
    <w:p w14:paraId="3F9DAF44">
      <w:pPr>
        <w:spacing w:line="360" w:lineRule="auto"/>
        <w:rPr>
          <w:rFonts w:ascii="宋体" w:hAnsi="宋体" w:cs="宋体"/>
          <w:highlight w:val="none"/>
        </w:rPr>
      </w:pPr>
    </w:p>
    <w:p w14:paraId="2434D457">
      <w:pPr>
        <w:snapToGrid w:val="0"/>
        <w:spacing w:line="360" w:lineRule="auto"/>
        <w:rPr>
          <w:rFonts w:ascii="宋体" w:hAnsi="宋体" w:cs="宋体"/>
          <w:sz w:val="32"/>
          <w:szCs w:val="32"/>
          <w:highlight w:val="none"/>
        </w:rPr>
      </w:pPr>
      <w:r>
        <w:rPr>
          <w:rFonts w:hint="eastAsia" w:ascii="宋体" w:hAnsi="宋体" w:cs="宋体"/>
          <w:sz w:val="32"/>
          <w:szCs w:val="32"/>
          <w:highlight w:val="none"/>
        </w:rPr>
        <w:br w:type="page"/>
      </w:r>
      <w:r>
        <w:rPr>
          <w:rFonts w:hint="eastAsia" w:ascii="宋体" w:hAnsi="宋体" w:cs="宋体"/>
          <w:sz w:val="32"/>
          <w:szCs w:val="32"/>
          <w:highlight w:val="none"/>
        </w:rPr>
        <w:t>附件9</w:t>
      </w:r>
    </w:p>
    <w:p w14:paraId="057E7022">
      <w:pPr>
        <w:spacing w:line="360" w:lineRule="auto"/>
        <w:jc w:val="center"/>
        <w:rPr>
          <w:rFonts w:ascii="黑体" w:hAnsi="黑体" w:eastAsia="黑体" w:cs="黑体"/>
          <w:bCs/>
          <w:sz w:val="40"/>
          <w:szCs w:val="40"/>
          <w:highlight w:val="none"/>
        </w:rPr>
      </w:pPr>
      <w:r>
        <w:rPr>
          <w:rFonts w:hint="eastAsia" w:ascii="黑体" w:hAnsi="黑体" w:eastAsia="黑体" w:cs="黑体"/>
          <w:bCs/>
          <w:sz w:val="40"/>
          <w:szCs w:val="40"/>
          <w:highlight w:val="none"/>
        </w:rPr>
        <w:t>质疑函范本</w:t>
      </w:r>
    </w:p>
    <w:p w14:paraId="6CC7FEA3">
      <w:pPr>
        <w:adjustRightInd w:val="0"/>
        <w:snapToGrid w:val="0"/>
        <w:spacing w:beforeLines="100" w:line="560" w:lineRule="exact"/>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一、质疑供应商基本信息</w:t>
      </w:r>
    </w:p>
    <w:p w14:paraId="6B1C4309">
      <w:pPr>
        <w:adjustRightInd w:val="0"/>
        <w:snapToGrid w:val="0"/>
        <w:spacing w:line="560" w:lineRule="exact"/>
        <w:rPr>
          <w:rFonts w:ascii="方正仿宋_GBK" w:hAnsi="方正仿宋_GBK" w:eastAsia="方正仿宋_GBK" w:cs="方正仿宋_GBK"/>
          <w:sz w:val="28"/>
          <w:szCs w:val="28"/>
          <w:highlight w:val="none"/>
          <w:u w:val="dotted"/>
        </w:rPr>
      </w:pPr>
      <w:r>
        <w:rPr>
          <w:rFonts w:hint="eastAsia" w:ascii="方正仿宋_GBK" w:hAnsi="方正仿宋_GBK" w:eastAsia="方正仿宋_GBK" w:cs="方正仿宋_GBK"/>
          <w:sz w:val="28"/>
          <w:szCs w:val="28"/>
          <w:highlight w:val="none"/>
        </w:rPr>
        <w:t>质疑供应商：</w:t>
      </w:r>
    </w:p>
    <w:p w14:paraId="6B136A87">
      <w:pPr>
        <w:adjustRightInd w:val="0"/>
        <w:snapToGrid w:val="0"/>
        <w:spacing w:line="56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地址：邮编：</w:t>
      </w:r>
    </w:p>
    <w:p w14:paraId="3734EAB1">
      <w:pPr>
        <w:adjustRightInd w:val="0"/>
        <w:snapToGrid w:val="0"/>
        <w:spacing w:line="56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联系人：联系电话：</w:t>
      </w:r>
    </w:p>
    <w:p w14:paraId="1273A4B8">
      <w:pPr>
        <w:adjustRightInd w:val="0"/>
        <w:snapToGrid w:val="0"/>
        <w:spacing w:line="560" w:lineRule="exact"/>
        <w:rPr>
          <w:rFonts w:ascii="方正仿宋_GBK" w:hAnsi="方正仿宋_GBK" w:eastAsia="方正仿宋_GBK" w:cs="方正仿宋_GBK"/>
          <w:sz w:val="28"/>
          <w:szCs w:val="28"/>
          <w:highlight w:val="none"/>
          <w:u w:val="dotted"/>
        </w:rPr>
      </w:pPr>
      <w:r>
        <w:rPr>
          <w:rFonts w:hint="eastAsia" w:ascii="方正仿宋_GBK" w:hAnsi="方正仿宋_GBK" w:eastAsia="方正仿宋_GBK" w:cs="方正仿宋_GBK"/>
          <w:sz w:val="28"/>
          <w:szCs w:val="28"/>
          <w:highlight w:val="none"/>
        </w:rPr>
        <w:t>授权代表：</w:t>
      </w:r>
    </w:p>
    <w:p w14:paraId="78E49849">
      <w:pPr>
        <w:adjustRightInd w:val="0"/>
        <w:snapToGrid w:val="0"/>
        <w:spacing w:line="56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联系电话：</w:t>
      </w:r>
    </w:p>
    <w:p w14:paraId="64D1DB0B">
      <w:pPr>
        <w:adjustRightInd w:val="0"/>
        <w:snapToGrid w:val="0"/>
        <w:spacing w:line="56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地址：邮编：</w:t>
      </w:r>
    </w:p>
    <w:p w14:paraId="16850633">
      <w:pPr>
        <w:adjustRightInd w:val="0"/>
        <w:snapToGrid w:val="0"/>
        <w:spacing w:line="560" w:lineRule="exact"/>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二、质疑项目基本情况</w:t>
      </w:r>
    </w:p>
    <w:p w14:paraId="25936EB5">
      <w:pPr>
        <w:adjustRightInd w:val="0"/>
        <w:snapToGrid w:val="0"/>
        <w:spacing w:line="56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质疑项目的名称：</w:t>
      </w:r>
    </w:p>
    <w:p w14:paraId="7BE14FB5">
      <w:pPr>
        <w:adjustRightInd w:val="0"/>
        <w:snapToGrid w:val="0"/>
        <w:spacing w:line="56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质疑项目的编号：包号：</w:t>
      </w:r>
    </w:p>
    <w:p w14:paraId="157BF3CE">
      <w:pPr>
        <w:adjustRightInd w:val="0"/>
        <w:snapToGrid w:val="0"/>
        <w:spacing w:line="560" w:lineRule="exact"/>
        <w:rPr>
          <w:rFonts w:ascii="方正仿宋_GBK" w:hAnsi="方正仿宋_GBK" w:eastAsia="方正仿宋_GBK" w:cs="方正仿宋_GBK"/>
          <w:sz w:val="28"/>
          <w:szCs w:val="28"/>
          <w:highlight w:val="none"/>
          <w:u w:val="dotted"/>
        </w:rPr>
      </w:pPr>
      <w:r>
        <w:rPr>
          <w:rFonts w:hint="eastAsia" w:ascii="方正仿宋_GBK" w:hAnsi="方正仿宋_GBK" w:eastAsia="方正仿宋_GBK" w:cs="方正仿宋_GBK"/>
          <w:sz w:val="28"/>
          <w:szCs w:val="28"/>
          <w:highlight w:val="none"/>
        </w:rPr>
        <w:t>招标人名称：</w:t>
      </w:r>
    </w:p>
    <w:p w14:paraId="6C060E82">
      <w:pPr>
        <w:adjustRightInd w:val="0"/>
        <w:snapToGrid w:val="0"/>
        <w:spacing w:line="56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招标文件获取日期：</w:t>
      </w:r>
    </w:p>
    <w:p w14:paraId="1597FDFF">
      <w:pPr>
        <w:adjustRightInd w:val="0"/>
        <w:snapToGrid w:val="0"/>
        <w:spacing w:line="560" w:lineRule="exact"/>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三、质疑事项具体内容</w:t>
      </w:r>
    </w:p>
    <w:p w14:paraId="38D76BF5">
      <w:pPr>
        <w:adjustRightInd w:val="0"/>
        <w:snapToGrid w:val="0"/>
        <w:spacing w:line="560" w:lineRule="exact"/>
        <w:rPr>
          <w:rFonts w:ascii="方正仿宋_GBK" w:hAnsi="方正仿宋_GBK" w:eastAsia="方正仿宋_GBK" w:cs="方正仿宋_GBK"/>
          <w:sz w:val="28"/>
          <w:szCs w:val="28"/>
          <w:highlight w:val="none"/>
          <w:u w:val="dotted"/>
        </w:rPr>
      </w:pPr>
      <w:r>
        <w:rPr>
          <w:rFonts w:hint="eastAsia" w:ascii="方正仿宋_GBK" w:hAnsi="方正仿宋_GBK" w:eastAsia="方正仿宋_GBK" w:cs="方正仿宋_GBK"/>
          <w:sz w:val="28"/>
          <w:szCs w:val="28"/>
          <w:highlight w:val="none"/>
        </w:rPr>
        <w:t>质疑事项1：</w:t>
      </w:r>
    </w:p>
    <w:p w14:paraId="6192B8FF">
      <w:pPr>
        <w:adjustRightInd w:val="0"/>
        <w:snapToGrid w:val="0"/>
        <w:spacing w:line="560" w:lineRule="exact"/>
        <w:rPr>
          <w:rFonts w:ascii="方正仿宋_GBK" w:hAnsi="方正仿宋_GBK" w:eastAsia="方正仿宋_GBK" w:cs="方正仿宋_GBK"/>
          <w:sz w:val="28"/>
          <w:szCs w:val="28"/>
          <w:highlight w:val="none"/>
          <w:u w:val="dotted"/>
        </w:rPr>
      </w:pPr>
      <w:r>
        <w:rPr>
          <w:rFonts w:hint="eastAsia" w:ascii="方正仿宋_GBK" w:hAnsi="方正仿宋_GBK" w:eastAsia="方正仿宋_GBK" w:cs="方正仿宋_GBK"/>
          <w:sz w:val="28"/>
          <w:szCs w:val="28"/>
          <w:highlight w:val="none"/>
        </w:rPr>
        <w:t>事实依据：</w:t>
      </w:r>
    </w:p>
    <w:p w14:paraId="6335E1BA">
      <w:pPr>
        <w:adjustRightInd w:val="0"/>
        <w:snapToGrid w:val="0"/>
        <w:spacing w:line="560" w:lineRule="exact"/>
        <w:rPr>
          <w:rFonts w:ascii="方正仿宋_GBK" w:hAnsi="方正仿宋_GBK" w:eastAsia="方正仿宋_GBK" w:cs="方正仿宋_GBK"/>
          <w:sz w:val="28"/>
          <w:szCs w:val="28"/>
          <w:highlight w:val="none"/>
        </w:rPr>
      </w:pPr>
    </w:p>
    <w:p w14:paraId="46AFAD95">
      <w:pPr>
        <w:adjustRightInd w:val="0"/>
        <w:snapToGrid w:val="0"/>
        <w:spacing w:line="560" w:lineRule="exact"/>
        <w:rPr>
          <w:rFonts w:ascii="方正仿宋_GBK" w:hAnsi="方正仿宋_GBK" w:eastAsia="方正仿宋_GBK" w:cs="方正仿宋_GBK"/>
          <w:sz w:val="28"/>
          <w:szCs w:val="28"/>
          <w:highlight w:val="none"/>
          <w:u w:val="dotted"/>
        </w:rPr>
      </w:pPr>
      <w:r>
        <w:rPr>
          <w:rFonts w:hint="eastAsia" w:ascii="方正仿宋_GBK" w:hAnsi="方正仿宋_GBK" w:eastAsia="方正仿宋_GBK" w:cs="方正仿宋_GBK"/>
          <w:sz w:val="28"/>
          <w:szCs w:val="28"/>
          <w:highlight w:val="none"/>
        </w:rPr>
        <w:t>法律依据：</w:t>
      </w:r>
    </w:p>
    <w:p w14:paraId="4BBD4BEF">
      <w:pPr>
        <w:adjustRightInd w:val="0"/>
        <w:snapToGrid w:val="0"/>
        <w:spacing w:line="560" w:lineRule="exact"/>
        <w:rPr>
          <w:rFonts w:ascii="方正仿宋_GBK" w:hAnsi="方正仿宋_GBK" w:eastAsia="方正仿宋_GBK" w:cs="方正仿宋_GBK"/>
          <w:sz w:val="28"/>
          <w:szCs w:val="28"/>
          <w:highlight w:val="none"/>
          <w:u w:val="dotted"/>
        </w:rPr>
      </w:pPr>
    </w:p>
    <w:p w14:paraId="24ABEFA2">
      <w:pPr>
        <w:adjustRightInd w:val="0"/>
        <w:snapToGrid w:val="0"/>
        <w:spacing w:line="560" w:lineRule="exact"/>
        <w:rPr>
          <w:rFonts w:ascii="方正仿宋_GBK" w:hAnsi="方正仿宋_GBK" w:eastAsia="方正仿宋_GBK" w:cs="方正仿宋_GBK"/>
          <w:sz w:val="28"/>
          <w:szCs w:val="28"/>
          <w:highlight w:val="none"/>
          <w:u w:val="dotted"/>
        </w:rPr>
      </w:pPr>
      <w:r>
        <w:rPr>
          <w:rFonts w:hint="eastAsia" w:ascii="方正仿宋_GBK" w:hAnsi="方正仿宋_GBK" w:eastAsia="方正仿宋_GBK" w:cs="方正仿宋_GBK"/>
          <w:sz w:val="28"/>
          <w:szCs w:val="28"/>
          <w:highlight w:val="none"/>
        </w:rPr>
        <w:t>质疑事项2</w:t>
      </w:r>
    </w:p>
    <w:p w14:paraId="3A88A983">
      <w:pPr>
        <w:adjustRightInd w:val="0"/>
        <w:snapToGrid w:val="0"/>
        <w:spacing w:line="56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p>
    <w:p w14:paraId="471AD3A2">
      <w:pPr>
        <w:adjustRightInd w:val="0"/>
        <w:snapToGrid w:val="0"/>
        <w:spacing w:line="560" w:lineRule="exact"/>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四、与质疑事项相关的质疑请求</w:t>
      </w:r>
    </w:p>
    <w:p w14:paraId="131296CC">
      <w:pPr>
        <w:adjustRightInd w:val="0"/>
        <w:snapToGrid w:val="0"/>
        <w:spacing w:line="560" w:lineRule="exact"/>
        <w:rPr>
          <w:rFonts w:ascii="方正仿宋_GBK" w:hAnsi="方正仿宋_GBK" w:eastAsia="方正仿宋_GBK" w:cs="方正仿宋_GBK"/>
          <w:sz w:val="28"/>
          <w:szCs w:val="28"/>
          <w:highlight w:val="none"/>
          <w:u w:val="dotted"/>
        </w:rPr>
      </w:pPr>
      <w:r>
        <w:rPr>
          <w:rFonts w:hint="eastAsia" w:ascii="方正仿宋_GBK" w:hAnsi="方正仿宋_GBK" w:eastAsia="方正仿宋_GBK" w:cs="方正仿宋_GBK"/>
          <w:sz w:val="28"/>
          <w:szCs w:val="28"/>
          <w:highlight w:val="none"/>
        </w:rPr>
        <w:t>请求：</w:t>
      </w:r>
    </w:p>
    <w:p w14:paraId="533D325F">
      <w:pPr>
        <w:spacing w:line="56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签字（签章）：                   公章：                      </w:t>
      </w:r>
    </w:p>
    <w:p w14:paraId="5096D80E">
      <w:pPr>
        <w:spacing w:line="56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日期：    </w:t>
      </w:r>
    </w:p>
    <w:p w14:paraId="6441EBFD">
      <w:pPr>
        <w:adjustRightInd w:val="0"/>
        <w:snapToGrid w:val="0"/>
        <w:spacing w:line="560" w:lineRule="exact"/>
        <w:rPr>
          <w:rFonts w:ascii="方正仿宋_GBK" w:hAnsi="方正仿宋_GBK" w:eastAsia="方正仿宋_GBK" w:cs="方正仿宋_GBK"/>
          <w:sz w:val="28"/>
          <w:szCs w:val="28"/>
          <w:highlight w:val="none"/>
        </w:rPr>
      </w:pPr>
    </w:p>
    <w:p w14:paraId="09C38357">
      <w:pPr>
        <w:spacing w:line="560" w:lineRule="exact"/>
        <w:rPr>
          <w:rFonts w:ascii="方正仿宋_GBK" w:hAnsi="方正仿宋_GBK" w:eastAsia="方正仿宋_GBK" w:cs="方正仿宋_GBK"/>
          <w:b/>
          <w:sz w:val="28"/>
          <w:szCs w:val="28"/>
          <w:highlight w:val="none"/>
        </w:rPr>
      </w:pPr>
    </w:p>
    <w:p w14:paraId="10D0136B">
      <w:pPr>
        <w:spacing w:line="560" w:lineRule="exact"/>
        <w:rPr>
          <w:rFonts w:ascii="方正仿宋_GBK" w:hAnsi="方正仿宋_GBK" w:eastAsia="方正仿宋_GBK" w:cs="方正仿宋_GBK"/>
          <w:b/>
          <w:sz w:val="28"/>
          <w:szCs w:val="28"/>
          <w:highlight w:val="none"/>
        </w:rPr>
      </w:pPr>
    </w:p>
    <w:p w14:paraId="18F3C30E">
      <w:pPr>
        <w:spacing w:line="560" w:lineRule="exact"/>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质疑函制作说明：</w:t>
      </w:r>
    </w:p>
    <w:p w14:paraId="19B851DF">
      <w:pPr>
        <w:widowControl/>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1.供应商提出质疑时，应提交质疑函和必要的证明材料。</w:t>
      </w:r>
    </w:p>
    <w:p w14:paraId="5BA64AE3">
      <w:pPr>
        <w:widowControl/>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2.质疑供应商若委托代理人进行质疑的，质疑函应按要求列明“授权代表”的有关内容，并在附件中提交由质疑</w:t>
      </w:r>
      <w:r>
        <w:rPr>
          <w:rFonts w:hint="eastAsia" w:ascii="方正仿宋_GBK" w:hAnsi="方正仿宋_GBK" w:eastAsia="方正仿宋_GBK" w:cs="方正仿宋_GBK"/>
          <w:kern w:val="0"/>
          <w:sz w:val="28"/>
          <w:szCs w:val="28"/>
          <w:highlight w:val="none"/>
        </w:rPr>
        <w:t>供应商签署的授权委托书。授权委托书应载明代理人的姓名或者名称、代理事项、具体权限、期限和相关事项。</w:t>
      </w:r>
    </w:p>
    <w:p w14:paraId="36C1C61A">
      <w:pPr>
        <w:widowControl/>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3.质疑供应商若对项目的某一分包进行质疑，质疑函中应列明具体分包号。</w:t>
      </w:r>
    </w:p>
    <w:p w14:paraId="6E62D1C0">
      <w:pPr>
        <w:widowControl/>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4.质疑函的质疑事项应具体、明确，并有必要的事实依据和法律依据。</w:t>
      </w:r>
    </w:p>
    <w:p w14:paraId="720DBBD6">
      <w:pPr>
        <w:widowControl/>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5.质疑函的质疑请求应与质疑事项相关。</w:t>
      </w:r>
    </w:p>
    <w:p w14:paraId="79093016">
      <w:pPr>
        <w:widowControl/>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6.质疑供应商为自然人的，质疑函应由本人签字；质疑供应商为法人或者其他组织的，质疑函应由法定代表人、主要负责人，或者其授权代表签字或者盖章，并加盖公章。</w:t>
      </w:r>
    </w:p>
    <w:p w14:paraId="58AFBCD4">
      <w:pPr>
        <w:widowControl/>
        <w:ind w:firstLine="560" w:firstLineChars="200"/>
        <w:jc w:val="left"/>
        <w:rPr>
          <w:rFonts w:ascii="宋体" w:hAnsi="宋体" w:cs="宋体"/>
          <w:sz w:val="28"/>
          <w:szCs w:val="28"/>
          <w:highlight w:val="none"/>
        </w:rPr>
      </w:pPr>
    </w:p>
    <w:sectPr>
      <w:headerReference r:id="rId5" w:type="default"/>
      <w:footerReference r:id="rId6"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_GBK">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28844"/>
    </w:sdtPr>
    <w:sdtContent>
      <w:sdt>
        <w:sdtPr>
          <w:id w:val="171357217"/>
        </w:sdtPr>
        <w:sdtContent>
          <w:p w14:paraId="74697FEF">
            <w:pPr>
              <w:pStyle w:val="25"/>
              <w:jc w:val="center"/>
            </w:pPr>
            <w:r>
              <w:rPr>
                <w:b/>
                <w:sz w:val="24"/>
                <w:szCs w:val="24"/>
              </w:rPr>
              <w:fldChar w:fldCharType="begin"/>
            </w:r>
            <w:r>
              <w:rPr>
                <w:b/>
              </w:rPr>
              <w:instrText xml:space="preserve">PAGE</w:instrText>
            </w:r>
            <w:r>
              <w:rPr>
                <w:b/>
                <w:sz w:val="24"/>
                <w:szCs w:val="24"/>
              </w:rPr>
              <w:fldChar w:fldCharType="separate"/>
            </w:r>
            <w:r>
              <w:rPr>
                <w:b/>
              </w:rPr>
              <w:t>23</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51</w:t>
            </w:r>
            <w:r>
              <w:rPr>
                <w:b/>
                <w:sz w:val="24"/>
                <w:szCs w:val="24"/>
              </w:rPr>
              <w:fldChar w:fldCharType="end"/>
            </w:r>
          </w:p>
        </w:sdtContent>
      </w:sdt>
    </w:sdtContent>
  </w:sdt>
  <w:p w14:paraId="34DE166D">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777DD">
    <w:pPr>
      <w:pStyle w:val="25"/>
    </w:pPr>
    <w:r>
      <w:pict>
        <v:shape id="_x0000_s1026" o:spid="_x0000_s1026" o:spt="202" type="#_x0000_t202" style="position:absolute;left:0pt;margin-top:0pt;height:10.35pt;width:17.4pt;mso-position-horizontal:center;mso-position-horizontal-relative:margin;z-index:251659264;mso-width-relative:page;mso-height-relative:page;" filled="f" stroked="f" coordsize="21600,21600" o:gfxdata="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3QXFk0gAAAAMBAAAPAAAAAAAAAAEAIAAAACIAAABkcnMvZG93&#10;bnJldi54bWxQSwECFAAUAAAACACHTuJA8FWd7c0BAACbAwAADgAAAAAAAAABACAAAAAhAQAAZHJz&#10;L2Uyb0RvYy54bWxQSwUGAAAAAAYABgBZAQAAYAUAAAAA&#10;">
          <v:path/>
          <v:fill on="f" focussize="0,0"/>
          <v:stroke on="f" joinstyle="miter"/>
          <v:imagedata o:title=""/>
          <o:lock v:ext="edit"/>
          <v:textbox inset="0mm,0mm,0mm,0mm" style="mso-fit-shape-to-text:t;">
            <w:txbxContent>
              <w:p w14:paraId="2976C570">
                <w:pPr>
                  <w:pStyle w:val="25"/>
                </w:pPr>
                <w:r>
                  <w:fldChar w:fldCharType="begin"/>
                </w:r>
                <w:r>
                  <w:instrText xml:space="preserve"> PAGE  \* MERGEFORMAT </w:instrText>
                </w:r>
                <w:r>
                  <w:fldChar w:fldCharType="separate"/>
                </w:r>
                <w:r>
                  <w:t>51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701C">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B4B3">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88882"/>
    <w:multiLevelType w:val="singleLevel"/>
    <w:tmpl w:val="E7B88882"/>
    <w:lvl w:ilvl="0" w:tentative="0">
      <w:start w:val="4"/>
      <w:numFmt w:val="chineseCounting"/>
      <w:suff w:val="nothing"/>
      <w:lvlText w:val="%1、"/>
      <w:lvlJc w:val="left"/>
      <w:rPr>
        <w:rFonts w:hint="eastAsia"/>
      </w:rPr>
    </w:lvl>
  </w:abstractNum>
  <w:abstractNum w:abstractNumId="1">
    <w:nsid w:val="3584905E"/>
    <w:multiLevelType w:val="singleLevel"/>
    <w:tmpl w:val="3584905E"/>
    <w:lvl w:ilvl="0" w:tentative="0">
      <w:start w:val="1"/>
      <w:numFmt w:val="decimal"/>
      <w:suff w:val="nothing"/>
      <w:lvlText w:val="%1、"/>
      <w:lvlJc w:val="left"/>
    </w:lvl>
  </w:abstractNum>
  <w:abstractNum w:abstractNumId="2">
    <w:nsid w:val="38DA3F37"/>
    <w:multiLevelType w:val="multilevel"/>
    <w:tmpl w:val="38DA3F37"/>
    <w:lvl w:ilvl="0" w:tentative="0">
      <w:start w:val="1"/>
      <w:numFmt w:val="bullet"/>
      <w:pStyle w:val="126"/>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jYwOGJmOTYxNTk2YmY0MDIwYzUwNTc3OTVlNjE0MDIifQ=="/>
    <w:docVar w:name="KGWebUrl" w:val="http://jszfcg.jsczt.cn/jszc/gateWay/joffice/office?access_token=300b1800-803d-425e-b7b3-99806d8150e4"/>
    <w:docVar w:name="KSO_WPS_MARK_KEY" w:val="dc9524e9-0d5f-4bc5-b642-c69acf49d3a8"/>
  </w:docVars>
  <w:rsids>
    <w:rsidRoot w:val="00172A27"/>
    <w:rsid w:val="00000546"/>
    <w:rsid w:val="00000AB2"/>
    <w:rsid w:val="00001556"/>
    <w:rsid w:val="00001A88"/>
    <w:rsid w:val="00002A9B"/>
    <w:rsid w:val="00005EBA"/>
    <w:rsid w:val="000065AF"/>
    <w:rsid w:val="000103FA"/>
    <w:rsid w:val="00010733"/>
    <w:rsid w:val="0001111D"/>
    <w:rsid w:val="00011C32"/>
    <w:rsid w:val="0001208B"/>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40669"/>
    <w:rsid w:val="0004264E"/>
    <w:rsid w:val="000431E3"/>
    <w:rsid w:val="000435B6"/>
    <w:rsid w:val="0004496E"/>
    <w:rsid w:val="00044A66"/>
    <w:rsid w:val="00044ADE"/>
    <w:rsid w:val="000455CF"/>
    <w:rsid w:val="00045858"/>
    <w:rsid w:val="00046734"/>
    <w:rsid w:val="00046E7F"/>
    <w:rsid w:val="00047C17"/>
    <w:rsid w:val="00047D8C"/>
    <w:rsid w:val="00053E7A"/>
    <w:rsid w:val="0005583D"/>
    <w:rsid w:val="00056741"/>
    <w:rsid w:val="00056FCA"/>
    <w:rsid w:val="00057B6D"/>
    <w:rsid w:val="00057FCA"/>
    <w:rsid w:val="0006048F"/>
    <w:rsid w:val="000623F5"/>
    <w:rsid w:val="00062FB2"/>
    <w:rsid w:val="00063271"/>
    <w:rsid w:val="0006333F"/>
    <w:rsid w:val="0006339F"/>
    <w:rsid w:val="000634B6"/>
    <w:rsid w:val="00065D28"/>
    <w:rsid w:val="00065F50"/>
    <w:rsid w:val="000667DA"/>
    <w:rsid w:val="000668A4"/>
    <w:rsid w:val="0006738D"/>
    <w:rsid w:val="00067715"/>
    <w:rsid w:val="00067F36"/>
    <w:rsid w:val="00070C4D"/>
    <w:rsid w:val="000713A7"/>
    <w:rsid w:val="00071E47"/>
    <w:rsid w:val="00071F57"/>
    <w:rsid w:val="0007260D"/>
    <w:rsid w:val="00073424"/>
    <w:rsid w:val="00073BED"/>
    <w:rsid w:val="00074988"/>
    <w:rsid w:val="0007540B"/>
    <w:rsid w:val="00075842"/>
    <w:rsid w:val="00076AE9"/>
    <w:rsid w:val="00076F71"/>
    <w:rsid w:val="0007742F"/>
    <w:rsid w:val="0008009E"/>
    <w:rsid w:val="0008018D"/>
    <w:rsid w:val="00081396"/>
    <w:rsid w:val="00082843"/>
    <w:rsid w:val="00082CBF"/>
    <w:rsid w:val="00083333"/>
    <w:rsid w:val="000839F1"/>
    <w:rsid w:val="00084436"/>
    <w:rsid w:val="00084DE0"/>
    <w:rsid w:val="00085157"/>
    <w:rsid w:val="00085D79"/>
    <w:rsid w:val="00085EFE"/>
    <w:rsid w:val="00085F42"/>
    <w:rsid w:val="00085F63"/>
    <w:rsid w:val="000860FE"/>
    <w:rsid w:val="0008766A"/>
    <w:rsid w:val="00090915"/>
    <w:rsid w:val="00090BE7"/>
    <w:rsid w:val="00091CD8"/>
    <w:rsid w:val="0009490F"/>
    <w:rsid w:val="00094B87"/>
    <w:rsid w:val="000954BA"/>
    <w:rsid w:val="0009592A"/>
    <w:rsid w:val="0009592C"/>
    <w:rsid w:val="0009616F"/>
    <w:rsid w:val="00096BFB"/>
    <w:rsid w:val="00097BCB"/>
    <w:rsid w:val="000A096A"/>
    <w:rsid w:val="000A0EF7"/>
    <w:rsid w:val="000A0EF8"/>
    <w:rsid w:val="000A15A0"/>
    <w:rsid w:val="000A2563"/>
    <w:rsid w:val="000A3F28"/>
    <w:rsid w:val="000A5187"/>
    <w:rsid w:val="000A57C8"/>
    <w:rsid w:val="000A58DC"/>
    <w:rsid w:val="000A7BC8"/>
    <w:rsid w:val="000A7EB6"/>
    <w:rsid w:val="000A7F6B"/>
    <w:rsid w:val="000B003D"/>
    <w:rsid w:val="000B07BD"/>
    <w:rsid w:val="000B0A49"/>
    <w:rsid w:val="000B15CC"/>
    <w:rsid w:val="000B1722"/>
    <w:rsid w:val="000B2BEC"/>
    <w:rsid w:val="000B3041"/>
    <w:rsid w:val="000B3F34"/>
    <w:rsid w:val="000B5449"/>
    <w:rsid w:val="000B5677"/>
    <w:rsid w:val="000B58E2"/>
    <w:rsid w:val="000B6AFD"/>
    <w:rsid w:val="000B78B3"/>
    <w:rsid w:val="000B7CF5"/>
    <w:rsid w:val="000C0636"/>
    <w:rsid w:val="000C0D0D"/>
    <w:rsid w:val="000C25FD"/>
    <w:rsid w:val="000C3603"/>
    <w:rsid w:val="000C4F19"/>
    <w:rsid w:val="000C515F"/>
    <w:rsid w:val="000C54C8"/>
    <w:rsid w:val="000C58C8"/>
    <w:rsid w:val="000C6322"/>
    <w:rsid w:val="000C661B"/>
    <w:rsid w:val="000C6D20"/>
    <w:rsid w:val="000C6FFF"/>
    <w:rsid w:val="000C7774"/>
    <w:rsid w:val="000D0DE2"/>
    <w:rsid w:val="000D190E"/>
    <w:rsid w:val="000D1FC9"/>
    <w:rsid w:val="000D2BD4"/>
    <w:rsid w:val="000D2EFF"/>
    <w:rsid w:val="000D455E"/>
    <w:rsid w:val="000D4848"/>
    <w:rsid w:val="000D4C7D"/>
    <w:rsid w:val="000D53CE"/>
    <w:rsid w:val="000D5A2E"/>
    <w:rsid w:val="000D5A42"/>
    <w:rsid w:val="000D5B2C"/>
    <w:rsid w:val="000D63AA"/>
    <w:rsid w:val="000D682C"/>
    <w:rsid w:val="000D6D29"/>
    <w:rsid w:val="000D7507"/>
    <w:rsid w:val="000D78B0"/>
    <w:rsid w:val="000D7E1A"/>
    <w:rsid w:val="000E0BDF"/>
    <w:rsid w:val="000E13C5"/>
    <w:rsid w:val="000E190A"/>
    <w:rsid w:val="000E2542"/>
    <w:rsid w:val="000E29B5"/>
    <w:rsid w:val="000E3129"/>
    <w:rsid w:val="000E3178"/>
    <w:rsid w:val="000E386B"/>
    <w:rsid w:val="000E3BA3"/>
    <w:rsid w:val="000E458D"/>
    <w:rsid w:val="000E66B5"/>
    <w:rsid w:val="000E6876"/>
    <w:rsid w:val="000E69A2"/>
    <w:rsid w:val="000E6D6C"/>
    <w:rsid w:val="000E76D0"/>
    <w:rsid w:val="000E7DCC"/>
    <w:rsid w:val="000F07A2"/>
    <w:rsid w:val="000F11C4"/>
    <w:rsid w:val="000F1FA3"/>
    <w:rsid w:val="000F3E9B"/>
    <w:rsid w:val="000F4096"/>
    <w:rsid w:val="000F4358"/>
    <w:rsid w:val="000F4E0F"/>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AFB"/>
    <w:rsid w:val="00117E6F"/>
    <w:rsid w:val="00122C11"/>
    <w:rsid w:val="00123015"/>
    <w:rsid w:val="001231D6"/>
    <w:rsid w:val="00126278"/>
    <w:rsid w:val="00130180"/>
    <w:rsid w:val="001305D4"/>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2F1A"/>
    <w:rsid w:val="00144AE9"/>
    <w:rsid w:val="00145A1C"/>
    <w:rsid w:val="001462E0"/>
    <w:rsid w:val="00146479"/>
    <w:rsid w:val="00146643"/>
    <w:rsid w:val="00147766"/>
    <w:rsid w:val="00152826"/>
    <w:rsid w:val="001546EC"/>
    <w:rsid w:val="0015474F"/>
    <w:rsid w:val="00154AF5"/>
    <w:rsid w:val="001550C0"/>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2A27"/>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10A"/>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1743"/>
    <w:rsid w:val="001A2111"/>
    <w:rsid w:val="001A41ED"/>
    <w:rsid w:val="001A44E0"/>
    <w:rsid w:val="001A4E8F"/>
    <w:rsid w:val="001A51B7"/>
    <w:rsid w:val="001A57C2"/>
    <w:rsid w:val="001A7795"/>
    <w:rsid w:val="001A7B4C"/>
    <w:rsid w:val="001A7BFE"/>
    <w:rsid w:val="001B01C6"/>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06B"/>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D01"/>
    <w:rsid w:val="001E5F42"/>
    <w:rsid w:val="001E64A5"/>
    <w:rsid w:val="001E6B99"/>
    <w:rsid w:val="001E72E5"/>
    <w:rsid w:val="001F1467"/>
    <w:rsid w:val="001F1694"/>
    <w:rsid w:val="001F16AE"/>
    <w:rsid w:val="001F1D43"/>
    <w:rsid w:val="001F2610"/>
    <w:rsid w:val="001F2787"/>
    <w:rsid w:val="001F34D5"/>
    <w:rsid w:val="001F358D"/>
    <w:rsid w:val="001F466D"/>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F66"/>
    <w:rsid w:val="00210072"/>
    <w:rsid w:val="00210108"/>
    <w:rsid w:val="002108C1"/>
    <w:rsid w:val="00213737"/>
    <w:rsid w:val="00213A43"/>
    <w:rsid w:val="00214214"/>
    <w:rsid w:val="0021486E"/>
    <w:rsid w:val="0021542F"/>
    <w:rsid w:val="0021700A"/>
    <w:rsid w:val="00217736"/>
    <w:rsid w:val="002203F5"/>
    <w:rsid w:val="00220B3A"/>
    <w:rsid w:val="002238CD"/>
    <w:rsid w:val="002247FA"/>
    <w:rsid w:val="00224912"/>
    <w:rsid w:val="00224A02"/>
    <w:rsid w:val="00225AD4"/>
    <w:rsid w:val="00225ED7"/>
    <w:rsid w:val="00227B1A"/>
    <w:rsid w:val="0023036A"/>
    <w:rsid w:val="002304ED"/>
    <w:rsid w:val="00230F76"/>
    <w:rsid w:val="00231953"/>
    <w:rsid w:val="002323C9"/>
    <w:rsid w:val="00232418"/>
    <w:rsid w:val="0023372A"/>
    <w:rsid w:val="002348AC"/>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5A7A"/>
    <w:rsid w:val="002567F6"/>
    <w:rsid w:val="00256976"/>
    <w:rsid w:val="00256EF8"/>
    <w:rsid w:val="00257303"/>
    <w:rsid w:val="002574B8"/>
    <w:rsid w:val="00260643"/>
    <w:rsid w:val="002610E8"/>
    <w:rsid w:val="002625F8"/>
    <w:rsid w:val="002629C0"/>
    <w:rsid w:val="002630CD"/>
    <w:rsid w:val="0026343B"/>
    <w:rsid w:val="00263475"/>
    <w:rsid w:val="00263FB2"/>
    <w:rsid w:val="002642D6"/>
    <w:rsid w:val="0026460E"/>
    <w:rsid w:val="0026460F"/>
    <w:rsid w:val="00264B46"/>
    <w:rsid w:val="00264E34"/>
    <w:rsid w:val="00264FD3"/>
    <w:rsid w:val="0026519F"/>
    <w:rsid w:val="002655B1"/>
    <w:rsid w:val="0026568D"/>
    <w:rsid w:val="0026582D"/>
    <w:rsid w:val="00266D65"/>
    <w:rsid w:val="002674FC"/>
    <w:rsid w:val="00267AD5"/>
    <w:rsid w:val="00267C26"/>
    <w:rsid w:val="00267CE1"/>
    <w:rsid w:val="00272FE7"/>
    <w:rsid w:val="00273807"/>
    <w:rsid w:val="002759E6"/>
    <w:rsid w:val="002774F2"/>
    <w:rsid w:val="00277A71"/>
    <w:rsid w:val="00277A7C"/>
    <w:rsid w:val="00280DAA"/>
    <w:rsid w:val="00280F02"/>
    <w:rsid w:val="00281521"/>
    <w:rsid w:val="0028165B"/>
    <w:rsid w:val="0028342A"/>
    <w:rsid w:val="00287D53"/>
    <w:rsid w:val="00290131"/>
    <w:rsid w:val="00290232"/>
    <w:rsid w:val="0029088E"/>
    <w:rsid w:val="0029120D"/>
    <w:rsid w:val="00291528"/>
    <w:rsid w:val="002929E4"/>
    <w:rsid w:val="0029448F"/>
    <w:rsid w:val="002953BA"/>
    <w:rsid w:val="002973FD"/>
    <w:rsid w:val="00297900"/>
    <w:rsid w:val="002A0A5B"/>
    <w:rsid w:val="002A11B9"/>
    <w:rsid w:val="002A1226"/>
    <w:rsid w:val="002A156B"/>
    <w:rsid w:val="002A2121"/>
    <w:rsid w:val="002A221F"/>
    <w:rsid w:val="002A27C2"/>
    <w:rsid w:val="002A28DD"/>
    <w:rsid w:val="002A31EB"/>
    <w:rsid w:val="002A36AA"/>
    <w:rsid w:val="002A432D"/>
    <w:rsid w:val="002A46DC"/>
    <w:rsid w:val="002A537C"/>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33C4"/>
    <w:rsid w:val="002C465E"/>
    <w:rsid w:val="002C4831"/>
    <w:rsid w:val="002C5D8E"/>
    <w:rsid w:val="002C688F"/>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71CE"/>
    <w:rsid w:val="002D7415"/>
    <w:rsid w:val="002D7E99"/>
    <w:rsid w:val="002E0187"/>
    <w:rsid w:val="002E01EF"/>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19E"/>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3C9F"/>
    <w:rsid w:val="0031482B"/>
    <w:rsid w:val="00314A90"/>
    <w:rsid w:val="00314C91"/>
    <w:rsid w:val="00317669"/>
    <w:rsid w:val="00317F41"/>
    <w:rsid w:val="00321C1B"/>
    <w:rsid w:val="00322173"/>
    <w:rsid w:val="00323BB3"/>
    <w:rsid w:val="00323C57"/>
    <w:rsid w:val="00323F5E"/>
    <w:rsid w:val="003251A6"/>
    <w:rsid w:val="00325DFB"/>
    <w:rsid w:val="00326695"/>
    <w:rsid w:val="00326724"/>
    <w:rsid w:val="0032696E"/>
    <w:rsid w:val="00326CD4"/>
    <w:rsid w:val="003276EC"/>
    <w:rsid w:val="0032783F"/>
    <w:rsid w:val="00327A7D"/>
    <w:rsid w:val="00327AA9"/>
    <w:rsid w:val="00327EF8"/>
    <w:rsid w:val="00330AE8"/>
    <w:rsid w:val="00330F1C"/>
    <w:rsid w:val="003328C0"/>
    <w:rsid w:val="0033346D"/>
    <w:rsid w:val="00333606"/>
    <w:rsid w:val="00333C74"/>
    <w:rsid w:val="00333F95"/>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F5B"/>
    <w:rsid w:val="00361E8D"/>
    <w:rsid w:val="003625C5"/>
    <w:rsid w:val="00362FAE"/>
    <w:rsid w:val="00363883"/>
    <w:rsid w:val="003653F1"/>
    <w:rsid w:val="00365C15"/>
    <w:rsid w:val="00365F0A"/>
    <w:rsid w:val="0036618A"/>
    <w:rsid w:val="00367AEE"/>
    <w:rsid w:val="00367EC3"/>
    <w:rsid w:val="00370716"/>
    <w:rsid w:val="003717BE"/>
    <w:rsid w:val="00371CFC"/>
    <w:rsid w:val="00373C45"/>
    <w:rsid w:val="003740B7"/>
    <w:rsid w:val="003741A5"/>
    <w:rsid w:val="00374DC8"/>
    <w:rsid w:val="00374EDA"/>
    <w:rsid w:val="003751D7"/>
    <w:rsid w:val="00375500"/>
    <w:rsid w:val="00375586"/>
    <w:rsid w:val="00376496"/>
    <w:rsid w:val="00376828"/>
    <w:rsid w:val="00376848"/>
    <w:rsid w:val="00377005"/>
    <w:rsid w:val="003777AF"/>
    <w:rsid w:val="00377F76"/>
    <w:rsid w:val="00380270"/>
    <w:rsid w:val="00380302"/>
    <w:rsid w:val="0038046E"/>
    <w:rsid w:val="00381EDB"/>
    <w:rsid w:val="003821DE"/>
    <w:rsid w:val="003828B9"/>
    <w:rsid w:val="00382A56"/>
    <w:rsid w:val="0038377B"/>
    <w:rsid w:val="003838D5"/>
    <w:rsid w:val="003847D6"/>
    <w:rsid w:val="0038725A"/>
    <w:rsid w:val="0038781F"/>
    <w:rsid w:val="00387E64"/>
    <w:rsid w:val="00390CF5"/>
    <w:rsid w:val="003926C1"/>
    <w:rsid w:val="003926C9"/>
    <w:rsid w:val="00393134"/>
    <w:rsid w:val="00393422"/>
    <w:rsid w:val="00393BAC"/>
    <w:rsid w:val="00393FD6"/>
    <w:rsid w:val="0039416E"/>
    <w:rsid w:val="00394C24"/>
    <w:rsid w:val="00394C8F"/>
    <w:rsid w:val="00396451"/>
    <w:rsid w:val="00396F85"/>
    <w:rsid w:val="00397448"/>
    <w:rsid w:val="003A0212"/>
    <w:rsid w:val="003A163F"/>
    <w:rsid w:val="003A19CB"/>
    <w:rsid w:val="003A23EC"/>
    <w:rsid w:val="003A2746"/>
    <w:rsid w:val="003A2952"/>
    <w:rsid w:val="003A3D3D"/>
    <w:rsid w:val="003A5070"/>
    <w:rsid w:val="003A56B0"/>
    <w:rsid w:val="003A58EF"/>
    <w:rsid w:val="003A7076"/>
    <w:rsid w:val="003B05BC"/>
    <w:rsid w:val="003B0CEC"/>
    <w:rsid w:val="003B156C"/>
    <w:rsid w:val="003B23CE"/>
    <w:rsid w:val="003B2D19"/>
    <w:rsid w:val="003B5901"/>
    <w:rsid w:val="003B60FA"/>
    <w:rsid w:val="003B64EA"/>
    <w:rsid w:val="003B7B4D"/>
    <w:rsid w:val="003C0ADC"/>
    <w:rsid w:val="003C290B"/>
    <w:rsid w:val="003C69F6"/>
    <w:rsid w:val="003C6BEE"/>
    <w:rsid w:val="003C7549"/>
    <w:rsid w:val="003D0866"/>
    <w:rsid w:val="003D1841"/>
    <w:rsid w:val="003D1E69"/>
    <w:rsid w:val="003D201B"/>
    <w:rsid w:val="003D3555"/>
    <w:rsid w:val="003D3C66"/>
    <w:rsid w:val="003D3C71"/>
    <w:rsid w:val="003D419D"/>
    <w:rsid w:val="003D4480"/>
    <w:rsid w:val="003D59CF"/>
    <w:rsid w:val="003E0138"/>
    <w:rsid w:val="003E017B"/>
    <w:rsid w:val="003E154C"/>
    <w:rsid w:val="003E3316"/>
    <w:rsid w:val="003E36FF"/>
    <w:rsid w:val="003E3A6B"/>
    <w:rsid w:val="003E3FE6"/>
    <w:rsid w:val="003E4653"/>
    <w:rsid w:val="003E4C9C"/>
    <w:rsid w:val="003E5334"/>
    <w:rsid w:val="003E5B3D"/>
    <w:rsid w:val="003E5F84"/>
    <w:rsid w:val="003E6B15"/>
    <w:rsid w:val="003E6C59"/>
    <w:rsid w:val="003E6E66"/>
    <w:rsid w:val="003E71C6"/>
    <w:rsid w:val="003E75C3"/>
    <w:rsid w:val="003E7911"/>
    <w:rsid w:val="003E7EB7"/>
    <w:rsid w:val="003F1302"/>
    <w:rsid w:val="003F18D9"/>
    <w:rsid w:val="003F1DF8"/>
    <w:rsid w:val="003F2792"/>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07574"/>
    <w:rsid w:val="00410143"/>
    <w:rsid w:val="004105DE"/>
    <w:rsid w:val="00410F2E"/>
    <w:rsid w:val="0041144F"/>
    <w:rsid w:val="00412477"/>
    <w:rsid w:val="0041654F"/>
    <w:rsid w:val="0041717C"/>
    <w:rsid w:val="004214C7"/>
    <w:rsid w:val="00421885"/>
    <w:rsid w:val="004220FE"/>
    <w:rsid w:val="0042410A"/>
    <w:rsid w:val="00424D39"/>
    <w:rsid w:val="004260D0"/>
    <w:rsid w:val="00430320"/>
    <w:rsid w:val="004307C8"/>
    <w:rsid w:val="00431D96"/>
    <w:rsid w:val="00431E81"/>
    <w:rsid w:val="004324C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0B0B"/>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5BAC"/>
    <w:rsid w:val="00477808"/>
    <w:rsid w:val="00477956"/>
    <w:rsid w:val="00477C17"/>
    <w:rsid w:val="00480125"/>
    <w:rsid w:val="0048064D"/>
    <w:rsid w:val="00481CF4"/>
    <w:rsid w:val="00482AC2"/>
    <w:rsid w:val="00484BE4"/>
    <w:rsid w:val="00485409"/>
    <w:rsid w:val="004855F7"/>
    <w:rsid w:val="004859EA"/>
    <w:rsid w:val="00485C69"/>
    <w:rsid w:val="00485ECB"/>
    <w:rsid w:val="00485EE2"/>
    <w:rsid w:val="00486224"/>
    <w:rsid w:val="004869F6"/>
    <w:rsid w:val="00486B1D"/>
    <w:rsid w:val="00487133"/>
    <w:rsid w:val="004875BB"/>
    <w:rsid w:val="00487660"/>
    <w:rsid w:val="00487D91"/>
    <w:rsid w:val="00487EF2"/>
    <w:rsid w:val="00490621"/>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B87"/>
    <w:rsid w:val="004D3D50"/>
    <w:rsid w:val="004D3F25"/>
    <w:rsid w:val="004D46D5"/>
    <w:rsid w:val="004D5EDE"/>
    <w:rsid w:val="004E09A2"/>
    <w:rsid w:val="004E0ADF"/>
    <w:rsid w:val="004E0EC2"/>
    <w:rsid w:val="004E185D"/>
    <w:rsid w:val="004E198B"/>
    <w:rsid w:val="004E1A9A"/>
    <w:rsid w:val="004E2F92"/>
    <w:rsid w:val="004E363C"/>
    <w:rsid w:val="004E4671"/>
    <w:rsid w:val="004E511E"/>
    <w:rsid w:val="004E5615"/>
    <w:rsid w:val="004E594D"/>
    <w:rsid w:val="004E5C26"/>
    <w:rsid w:val="004E5C64"/>
    <w:rsid w:val="004E7CDB"/>
    <w:rsid w:val="004F0376"/>
    <w:rsid w:val="004F04A7"/>
    <w:rsid w:val="004F0CDF"/>
    <w:rsid w:val="004F0FE2"/>
    <w:rsid w:val="004F3153"/>
    <w:rsid w:val="004F3C8A"/>
    <w:rsid w:val="004F420A"/>
    <w:rsid w:val="004F46A5"/>
    <w:rsid w:val="004F5294"/>
    <w:rsid w:val="004F5E50"/>
    <w:rsid w:val="005001F5"/>
    <w:rsid w:val="0050111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292E"/>
    <w:rsid w:val="00523930"/>
    <w:rsid w:val="00524276"/>
    <w:rsid w:val="005243FD"/>
    <w:rsid w:val="005250D8"/>
    <w:rsid w:val="005250E0"/>
    <w:rsid w:val="00525373"/>
    <w:rsid w:val="005263BF"/>
    <w:rsid w:val="005279E2"/>
    <w:rsid w:val="00530A86"/>
    <w:rsid w:val="00530D01"/>
    <w:rsid w:val="00533196"/>
    <w:rsid w:val="005347D0"/>
    <w:rsid w:val="005365CA"/>
    <w:rsid w:val="00536991"/>
    <w:rsid w:val="00536EFE"/>
    <w:rsid w:val="00537500"/>
    <w:rsid w:val="00540316"/>
    <w:rsid w:val="0054065A"/>
    <w:rsid w:val="00540EB0"/>
    <w:rsid w:val="00541004"/>
    <w:rsid w:val="00541053"/>
    <w:rsid w:val="00542949"/>
    <w:rsid w:val="00542CF0"/>
    <w:rsid w:val="005467BF"/>
    <w:rsid w:val="00546EEA"/>
    <w:rsid w:val="00547737"/>
    <w:rsid w:val="005501FD"/>
    <w:rsid w:val="005505B1"/>
    <w:rsid w:val="00551BF3"/>
    <w:rsid w:val="00553F39"/>
    <w:rsid w:val="00556151"/>
    <w:rsid w:val="005562CB"/>
    <w:rsid w:val="005563D1"/>
    <w:rsid w:val="00556B11"/>
    <w:rsid w:val="00556D35"/>
    <w:rsid w:val="00556F4D"/>
    <w:rsid w:val="00560142"/>
    <w:rsid w:val="005605F4"/>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35AC"/>
    <w:rsid w:val="00575A5E"/>
    <w:rsid w:val="00575EC7"/>
    <w:rsid w:val="00576784"/>
    <w:rsid w:val="0057779B"/>
    <w:rsid w:val="00580806"/>
    <w:rsid w:val="005808D7"/>
    <w:rsid w:val="00580BF7"/>
    <w:rsid w:val="00581F8C"/>
    <w:rsid w:val="005823DC"/>
    <w:rsid w:val="0058255D"/>
    <w:rsid w:val="00582CCA"/>
    <w:rsid w:val="00582F70"/>
    <w:rsid w:val="00584C1C"/>
    <w:rsid w:val="00585198"/>
    <w:rsid w:val="00586426"/>
    <w:rsid w:val="00586A2A"/>
    <w:rsid w:val="00590CF2"/>
    <w:rsid w:val="00591CAE"/>
    <w:rsid w:val="00592A42"/>
    <w:rsid w:val="0059351B"/>
    <w:rsid w:val="005937F3"/>
    <w:rsid w:val="0059392D"/>
    <w:rsid w:val="005950E1"/>
    <w:rsid w:val="0059579B"/>
    <w:rsid w:val="00597865"/>
    <w:rsid w:val="005A0E0A"/>
    <w:rsid w:val="005A1E63"/>
    <w:rsid w:val="005A2016"/>
    <w:rsid w:val="005A2EA2"/>
    <w:rsid w:val="005A3504"/>
    <w:rsid w:val="005A38BB"/>
    <w:rsid w:val="005A559E"/>
    <w:rsid w:val="005A6077"/>
    <w:rsid w:val="005A60E5"/>
    <w:rsid w:val="005A6C6C"/>
    <w:rsid w:val="005A74D4"/>
    <w:rsid w:val="005A78C1"/>
    <w:rsid w:val="005A7F48"/>
    <w:rsid w:val="005B09CF"/>
    <w:rsid w:val="005B1402"/>
    <w:rsid w:val="005B1C57"/>
    <w:rsid w:val="005B3D9B"/>
    <w:rsid w:val="005B55B2"/>
    <w:rsid w:val="005B71E3"/>
    <w:rsid w:val="005C036D"/>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6BFC"/>
    <w:rsid w:val="005E6D29"/>
    <w:rsid w:val="005E6E97"/>
    <w:rsid w:val="005E7E46"/>
    <w:rsid w:val="005F0A73"/>
    <w:rsid w:val="005F1DDE"/>
    <w:rsid w:val="005F33F4"/>
    <w:rsid w:val="005F347B"/>
    <w:rsid w:val="005F363A"/>
    <w:rsid w:val="005F37A7"/>
    <w:rsid w:val="005F3A1F"/>
    <w:rsid w:val="005F3E73"/>
    <w:rsid w:val="005F4FAA"/>
    <w:rsid w:val="005F5C7F"/>
    <w:rsid w:val="006015AD"/>
    <w:rsid w:val="006023B5"/>
    <w:rsid w:val="0060456C"/>
    <w:rsid w:val="006046E5"/>
    <w:rsid w:val="006048EE"/>
    <w:rsid w:val="00607499"/>
    <w:rsid w:val="00607679"/>
    <w:rsid w:val="00612F49"/>
    <w:rsid w:val="0061417D"/>
    <w:rsid w:val="0061547A"/>
    <w:rsid w:val="00616D1C"/>
    <w:rsid w:val="00616FD4"/>
    <w:rsid w:val="00621416"/>
    <w:rsid w:val="0062198B"/>
    <w:rsid w:val="00623A9E"/>
    <w:rsid w:val="00623BA8"/>
    <w:rsid w:val="0062417D"/>
    <w:rsid w:val="00625AFB"/>
    <w:rsid w:val="00626796"/>
    <w:rsid w:val="0062722E"/>
    <w:rsid w:val="00633086"/>
    <w:rsid w:val="00635E25"/>
    <w:rsid w:val="00635FBA"/>
    <w:rsid w:val="0063671A"/>
    <w:rsid w:val="00636DFC"/>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4BC"/>
    <w:rsid w:val="00660F80"/>
    <w:rsid w:val="00663999"/>
    <w:rsid w:val="00663BF8"/>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8012A"/>
    <w:rsid w:val="00680D84"/>
    <w:rsid w:val="00680E1B"/>
    <w:rsid w:val="00681790"/>
    <w:rsid w:val="0068304D"/>
    <w:rsid w:val="00683C15"/>
    <w:rsid w:val="00683E0C"/>
    <w:rsid w:val="00685117"/>
    <w:rsid w:val="00685CB8"/>
    <w:rsid w:val="0068646F"/>
    <w:rsid w:val="0068671D"/>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224"/>
    <w:rsid w:val="00696431"/>
    <w:rsid w:val="00696F86"/>
    <w:rsid w:val="0069742D"/>
    <w:rsid w:val="006A3983"/>
    <w:rsid w:val="006A4770"/>
    <w:rsid w:val="006A4FB4"/>
    <w:rsid w:val="006A534B"/>
    <w:rsid w:val="006A68F1"/>
    <w:rsid w:val="006A6A75"/>
    <w:rsid w:val="006A6C5C"/>
    <w:rsid w:val="006A7302"/>
    <w:rsid w:val="006B00DC"/>
    <w:rsid w:val="006B098C"/>
    <w:rsid w:val="006B0FFF"/>
    <w:rsid w:val="006B16FF"/>
    <w:rsid w:val="006B1B1D"/>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5FB9"/>
    <w:rsid w:val="006C6CDD"/>
    <w:rsid w:val="006C6F6B"/>
    <w:rsid w:val="006C793F"/>
    <w:rsid w:val="006D0A6E"/>
    <w:rsid w:val="006D215F"/>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AFA"/>
    <w:rsid w:val="006F0E2C"/>
    <w:rsid w:val="006F1F80"/>
    <w:rsid w:val="006F27A5"/>
    <w:rsid w:val="006F33F2"/>
    <w:rsid w:val="006F39DF"/>
    <w:rsid w:val="006F4111"/>
    <w:rsid w:val="006F58FF"/>
    <w:rsid w:val="006F59B6"/>
    <w:rsid w:val="006F7B38"/>
    <w:rsid w:val="00700097"/>
    <w:rsid w:val="00700883"/>
    <w:rsid w:val="00700BD8"/>
    <w:rsid w:val="007020A2"/>
    <w:rsid w:val="00702A31"/>
    <w:rsid w:val="00702D60"/>
    <w:rsid w:val="00702F14"/>
    <w:rsid w:val="0070302C"/>
    <w:rsid w:val="007037B5"/>
    <w:rsid w:val="00703865"/>
    <w:rsid w:val="00704125"/>
    <w:rsid w:val="0070429A"/>
    <w:rsid w:val="00704BAD"/>
    <w:rsid w:val="00705055"/>
    <w:rsid w:val="00706023"/>
    <w:rsid w:val="00706370"/>
    <w:rsid w:val="00706C55"/>
    <w:rsid w:val="00707165"/>
    <w:rsid w:val="00707232"/>
    <w:rsid w:val="0071105F"/>
    <w:rsid w:val="00711215"/>
    <w:rsid w:val="0071139A"/>
    <w:rsid w:val="0071149B"/>
    <w:rsid w:val="00711554"/>
    <w:rsid w:val="007121B2"/>
    <w:rsid w:val="00713D30"/>
    <w:rsid w:val="007144D0"/>
    <w:rsid w:val="00714BC8"/>
    <w:rsid w:val="0071583B"/>
    <w:rsid w:val="0071661C"/>
    <w:rsid w:val="007168E1"/>
    <w:rsid w:val="00720101"/>
    <w:rsid w:val="007206C8"/>
    <w:rsid w:val="0072078A"/>
    <w:rsid w:val="007213D7"/>
    <w:rsid w:val="007216E2"/>
    <w:rsid w:val="0072221F"/>
    <w:rsid w:val="00722441"/>
    <w:rsid w:val="0072334E"/>
    <w:rsid w:val="0072356B"/>
    <w:rsid w:val="00723ACC"/>
    <w:rsid w:val="00725A2F"/>
    <w:rsid w:val="0072665F"/>
    <w:rsid w:val="00727D3F"/>
    <w:rsid w:val="0073070A"/>
    <w:rsid w:val="007308AF"/>
    <w:rsid w:val="00730D50"/>
    <w:rsid w:val="007311C8"/>
    <w:rsid w:val="00731352"/>
    <w:rsid w:val="007314A8"/>
    <w:rsid w:val="00731E09"/>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7C3"/>
    <w:rsid w:val="00751F41"/>
    <w:rsid w:val="007520D1"/>
    <w:rsid w:val="00752E8D"/>
    <w:rsid w:val="0075467C"/>
    <w:rsid w:val="00756049"/>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2293"/>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2AEC"/>
    <w:rsid w:val="007963DB"/>
    <w:rsid w:val="00796F1B"/>
    <w:rsid w:val="00797A4E"/>
    <w:rsid w:val="00797C4E"/>
    <w:rsid w:val="007A0307"/>
    <w:rsid w:val="007A043A"/>
    <w:rsid w:val="007A142B"/>
    <w:rsid w:val="007A1CBE"/>
    <w:rsid w:val="007A3148"/>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28C"/>
    <w:rsid w:val="007C29A3"/>
    <w:rsid w:val="007C2CA3"/>
    <w:rsid w:val="007C2E9A"/>
    <w:rsid w:val="007C3230"/>
    <w:rsid w:val="007C3527"/>
    <w:rsid w:val="007C57CB"/>
    <w:rsid w:val="007C5BAD"/>
    <w:rsid w:val="007C5DDE"/>
    <w:rsid w:val="007C60DB"/>
    <w:rsid w:val="007C6147"/>
    <w:rsid w:val="007C6AD5"/>
    <w:rsid w:val="007C6C85"/>
    <w:rsid w:val="007C72FF"/>
    <w:rsid w:val="007C7827"/>
    <w:rsid w:val="007C795E"/>
    <w:rsid w:val="007C7DAB"/>
    <w:rsid w:val="007D23CA"/>
    <w:rsid w:val="007D28A8"/>
    <w:rsid w:val="007D34F2"/>
    <w:rsid w:val="007D3E13"/>
    <w:rsid w:val="007D42C2"/>
    <w:rsid w:val="007D4A85"/>
    <w:rsid w:val="007D4C90"/>
    <w:rsid w:val="007D602B"/>
    <w:rsid w:val="007D64DA"/>
    <w:rsid w:val="007D6B19"/>
    <w:rsid w:val="007D6D9A"/>
    <w:rsid w:val="007D7074"/>
    <w:rsid w:val="007D767F"/>
    <w:rsid w:val="007E09EE"/>
    <w:rsid w:val="007E0F13"/>
    <w:rsid w:val="007E1294"/>
    <w:rsid w:val="007E19D6"/>
    <w:rsid w:val="007E37FD"/>
    <w:rsid w:val="007E3986"/>
    <w:rsid w:val="007E4615"/>
    <w:rsid w:val="007E5A5F"/>
    <w:rsid w:val="007E66A2"/>
    <w:rsid w:val="007E6B04"/>
    <w:rsid w:val="007E6F3C"/>
    <w:rsid w:val="007E7FE8"/>
    <w:rsid w:val="007F08EE"/>
    <w:rsid w:val="007F190C"/>
    <w:rsid w:val="007F1947"/>
    <w:rsid w:val="007F19E9"/>
    <w:rsid w:val="007F32E7"/>
    <w:rsid w:val="007F33D5"/>
    <w:rsid w:val="007F4046"/>
    <w:rsid w:val="007F5129"/>
    <w:rsid w:val="007F7FE6"/>
    <w:rsid w:val="00801100"/>
    <w:rsid w:val="00801F47"/>
    <w:rsid w:val="00803287"/>
    <w:rsid w:val="00803ED3"/>
    <w:rsid w:val="0080407B"/>
    <w:rsid w:val="00804162"/>
    <w:rsid w:val="00804195"/>
    <w:rsid w:val="00804416"/>
    <w:rsid w:val="00804471"/>
    <w:rsid w:val="00804B9D"/>
    <w:rsid w:val="00805157"/>
    <w:rsid w:val="008053CE"/>
    <w:rsid w:val="00805BAE"/>
    <w:rsid w:val="00806F20"/>
    <w:rsid w:val="0080771F"/>
    <w:rsid w:val="00810010"/>
    <w:rsid w:val="00810595"/>
    <w:rsid w:val="008108D3"/>
    <w:rsid w:val="00810D6B"/>
    <w:rsid w:val="00811840"/>
    <w:rsid w:val="00811995"/>
    <w:rsid w:val="00811B41"/>
    <w:rsid w:val="00812A0B"/>
    <w:rsid w:val="0081389D"/>
    <w:rsid w:val="0081484F"/>
    <w:rsid w:val="008148FE"/>
    <w:rsid w:val="00814D78"/>
    <w:rsid w:val="00816A3D"/>
    <w:rsid w:val="0081734C"/>
    <w:rsid w:val="00817506"/>
    <w:rsid w:val="0082029A"/>
    <w:rsid w:val="00820BB0"/>
    <w:rsid w:val="008212A9"/>
    <w:rsid w:val="00821573"/>
    <w:rsid w:val="00821FB3"/>
    <w:rsid w:val="00822D58"/>
    <w:rsid w:val="0082317E"/>
    <w:rsid w:val="00823C06"/>
    <w:rsid w:val="008252BC"/>
    <w:rsid w:val="0082546F"/>
    <w:rsid w:val="00825AB3"/>
    <w:rsid w:val="00827110"/>
    <w:rsid w:val="008275B9"/>
    <w:rsid w:val="008318FD"/>
    <w:rsid w:val="00831B6F"/>
    <w:rsid w:val="00831D42"/>
    <w:rsid w:val="00832700"/>
    <w:rsid w:val="00832C60"/>
    <w:rsid w:val="008343B3"/>
    <w:rsid w:val="00834B17"/>
    <w:rsid w:val="00837CF4"/>
    <w:rsid w:val="008407F4"/>
    <w:rsid w:val="00840D37"/>
    <w:rsid w:val="00843A65"/>
    <w:rsid w:val="00843C5A"/>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6A9A"/>
    <w:rsid w:val="008573EF"/>
    <w:rsid w:val="00857571"/>
    <w:rsid w:val="0086108F"/>
    <w:rsid w:val="0086125B"/>
    <w:rsid w:val="0086208A"/>
    <w:rsid w:val="00863197"/>
    <w:rsid w:val="00863727"/>
    <w:rsid w:val="00863975"/>
    <w:rsid w:val="00863B00"/>
    <w:rsid w:val="00865553"/>
    <w:rsid w:val="0086641F"/>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1B8"/>
    <w:rsid w:val="0088225C"/>
    <w:rsid w:val="00882410"/>
    <w:rsid w:val="0088245C"/>
    <w:rsid w:val="00882931"/>
    <w:rsid w:val="00882B19"/>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517"/>
    <w:rsid w:val="0089753A"/>
    <w:rsid w:val="00897982"/>
    <w:rsid w:val="008A1082"/>
    <w:rsid w:val="008A13B2"/>
    <w:rsid w:val="008A15B7"/>
    <w:rsid w:val="008A4388"/>
    <w:rsid w:val="008A56CA"/>
    <w:rsid w:val="008A58B2"/>
    <w:rsid w:val="008A619E"/>
    <w:rsid w:val="008A629E"/>
    <w:rsid w:val="008A75AE"/>
    <w:rsid w:val="008B08A9"/>
    <w:rsid w:val="008B0C26"/>
    <w:rsid w:val="008B103A"/>
    <w:rsid w:val="008B2510"/>
    <w:rsid w:val="008B2773"/>
    <w:rsid w:val="008B4F47"/>
    <w:rsid w:val="008B5247"/>
    <w:rsid w:val="008B585F"/>
    <w:rsid w:val="008B5BDB"/>
    <w:rsid w:val="008C0765"/>
    <w:rsid w:val="008C18FD"/>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42"/>
    <w:rsid w:val="008D39EA"/>
    <w:rsid w:val="008D3BAE"/>
    <w:rsid w:val="008D4926"/>
    <w:rsid w:val="008D4F88"/>
    <w:rsid w:val="008D58AF"/>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403"/>
    <w:rsid w:val="008F3ACA"/>
    <w:rsid w:val="008F429C"/>
    <w:rsid w:val="008F56F3"/>
    <w:rsid w:val="008F68B6"/>
    <w:rsid w:val="008F7694"/>
    <w:rsid w:val="008F7D27"/>
    <w:rsid w:val="00900480"/>
    <w:rsid w:val="009018BE"/>
    <w:rsid w:val="00901E54"/>
    <w:rsid w:val="009025B0"/>
    <w:rsid w:val="00902A8A"/>
    <w:rsid w:val="009033F8"/>
    <w:rsid w:val="0090411C"/>
    <w:rsid w:val="00904657"/>
    <w:rsid w:val="00904896"/>
    <w:rsid w:val="00904A92"/>
    <w:rsid w:val="00905376"/>
    <w:rsid w:val="0090583F"/>
    <w:rsid w:val="0090706F"/>
    <w:rsid w:val="009072BA"/>
    <w:rsid w:val="009072D1"/>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5885"/>
    <w:rsid w:val="0092759A"/>
    <w:rsid w:val="00927D34"/>
    <w:rsid w:val="0093059E"/>
    <w:rsid w:val="0093181C"/>
    <w:rsid w:val="009344CE"/>
    <w:rsid w:val="009349DC"/>
    <w:rsid w:val="009353BF"/>
    <w:rsid w:val="00935C74"/>
    <w:rsid w:val="00936884"/>
    <w:rsid w:val="00937DDD"/>
    <w:rsid w:val="00937EA6"/>
    <w:rsid w:val="009401ED"/>
    <w:rsid w:val="00941A22"/>
    <w:rsid w:val="00941ED8"/>
    <w:rsid w:val="0094303A"/>
    <w:rsid w:val="009454B2"/>
    <w:rsid w:val="00945A72"/>
    <w:rsid w:val="0094607B"/>
    <w:rsid w:val="009461F6"/>
    <w:rsid w:val="00946768"/>
    <w:rsid w:val="009467EF"/>
    <w:rsid w:val="00946965"/>
    <w:rsid w:val="00946C6B"/>
    <w:rsid w:val="009479E8"/>
    <w:rsid w:val="009518C7"/>
    <w:rsid w:val="009527A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66C0"/>
    <w:rsid w:val="00976B00"/>
    <w:rsid w:val="00976B73"/>
    <w:rsid w:val="00977346"/>
    <w:rsid w:val="009816E5"/>
    <w:rsid w:val="009826B2"/>
    <w:rsid w:val="0098378B"/>
    <w:rsid w:val="00983CD0"/>
    <w:rsid w:val="009858BF"/>
    <w:rsid w:val="009867F7"/>
    <w:rsid w:val="0098728F"/>
    <w:rsid w:val="0099093C"/>
    <w:rsid w:val="0099219C"/>
    <w:rsid w:val="00992576"/>
    <w:rsid w:val="00992A92"/>
    <w:rsid w:val="0099343E"/>
    <w:rsid w:val="009939ED"/>
    <w:rsid w:val="009947C7"/>
    <w:rsid w:val="0099510D"/>
    <w:rsid w:val="00995E70"/>
    <w:rsid w:val="00996823"/>
    <w:rsid w:val="00996855"/>
    <w:rsid w:val="00997EC4"/>
    <w:rsid w:val="009A29DE"/>
    <w:rsid w:val="009A2F0F"/>
    <w:rsid w:val="009A308C"/>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33B3"/>
    <w:rsid w:val="009C35CD"/>
    <w:rsid w:val="009C42B7"/>
    <w:rsid w:val="009C437E"/>
    <w:rsid w:val="009C567D"/>
    <w:rsid w:val="009C5A64"/>
    <w:rsid w:val="009C6306"/>
    <w:rsid w:val="009C635E"/>
    <w:rsid w:val="009C6801"/>
    <w:rsid w:val="009C6A89"/>
    <w:rsid w:val="009C6D9F"/>
    <w:rsid w:val="009C77A9"/>
    <w:rsid w:val="009D0643"/>
    <w:rsid w:val="009D07AE"/>
    <w:rsid w:val="009D17DA"/>
    <w:rsid w:val="009D190A"/>
    <w:rsid w:val="009D251F"/>
    <w:rsid w:val="009D292A"/>
    <w:rsid w:val="009D58B3"/>
    <w:rsid w:val="009D77B2"/>
    <w:rsid w:val="009E09BB"/>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83"/>
    <w:rsid w:val="009F4CB0"/>
    <w:rsid w:val="009F5299"/>
    <w:rsid w:val="009F5ADC"/>
    <w:rsid w:val="009F63A1"/>
    <w:rsid w:val="009F6AFE"/>
    <w:rsid w:val="009F73E3"/>
    <w:rsid w:val="009F7C80"/>
    <w:rsid w:val="009F7D6E"/>
    <w:rsid w:val="00A006FB"/>
    <w:rsid w:val="00A021C1"/>
    <w:rsid w:val="00A024A1"/>
    <w:rsid w:val="00A03DA7"/>
    <w:rsid w:val="00A04812"/>
    <w:rsid w:val="00A04C36"/>
    <w:rsid w:val="00A05A21"/>
    <w:rsid w:val="00A05BE1"/>
    <w:rsid w:val="00A0643B"/>
    <w:rsid w:val="00A12625"/>
    <w:rsid w:val="00A12B69"/>
    <w:rsid w:val="00A13EF4"/>
    <w:rsid w:val="00A14091"/>
    <w:rsid w:val="00A15B53"/>
    <w:rsid w:val="00A15D9F"/>
    <w:rsid w:val="00A16210"/>
    <w:rsid w:val="00A17185"/>
    <w:rsid w:val="00A17B0F"/>
    <w:rsid w:val="00A20460"/>
    <w:rsid w:val="00A21661"/>
    <w:rsid w:val="00A2179F"/>
    <w:rsid w:val="00A21C08"/>
    <w:rsid w:val="00A21DFC"/>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8D6"/>
    <w:rsid w:val="00A34E4D"/>
    <w:rsid w:val="00A3640B"/>
    <w:rsid w:val="00A37797"/>
    <w:rsid w:val="00A40CCA"/>
    <w:rsid w:val="00A4107C"/>
    <w:rsid w:val="00A414B0"/>
    <w:rsid w:val="00A414D0"/>
    <w:rsid w:val="00A416DA"/>
    <w:rsid w:val="00A42407"/>
    <w:rsid w:val="00A42683"/>
    <w:rsid w:val="00A433FE"/>
    <w:rsid w:val="00A43A10"/>
    <w:rsid w:val="00A44493"/>
    <w:rsid w:val="00A451F1"/>
    <w:rsid w:val="00A452D9"/>
    <w:rsid w:val="00A4551C"/>
    <w:rsid w:val="00A45AA2"/>
    <w:rsid w:val="00A45BF1"/>
    <w:rsid w:val="00A4605F"/>
    <w:rsid w:val="00A47903"/>
    <w:rsid w:val="00A47C9F"/>
    <w:rsid w:val="00A5015B"/>
    <w:rsid w:val="00A505FC"/>
    <w:rsid w:val="00A509E5"/>
    <w:rsid w:val="00A537CD"/>
    <w:rsid w:val="00A54ACC"/>
    <w:rsid w:val="00A55AA8"/>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5D0"/>
    <w:rsid w:val="00A708B7"/>
    <w:rsid w:val="00A71173"/>
    <w:rsid w:val="00A71B7F"/>
    <w:rsid w:val="00A726A3"/>
    <w:rsid w:val="00A72EC4"/>
    <w:rsid w:val="00A72F6D"/>
    <w:rsid w:val="00A72F90"/>
    <w:rsid w:val="00A7322C"/>
    <w:rsid w:val="00A7518F"/>
    <w:rsid w:val="00A7537A"/>
    <w:rsid w:val="00A7546F"/>
    <w:rsid w:val="00A756DC"/>
    <w:rsid w:val="00A75879"/>
    <w:rsid w:val="00A7694C"/>
    <w:rsid w:val="00A76DDB"/>
    <w:rsid w:val="00A772AC"/>
    <w:rsid w:val="00A801AA"/>
    <w:rsid w:val="00A80A29"/>
    <w:rsid w:val="00A80E15"/>
    <w:rsid w:val="00A81A56"/>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B18D4"/>
    <w:rsid w:val="00AB3627"/>
    <w:rsid w:val="00AB3E86"/>
    <w:rsid w:val="00AB4205"/>
    <w:rsid w:val="00AB4672"/>
    <w:rsid w:val="00AB4688"/>
    <w:rsid w:val="00AB5B24"/>
    <w:rsid w:val="00AB5DE8"/>
    <w:rsid w:val="00AB5FEB"/>
    <w:rsid w:val="00AB60C8"/>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70B"/>
    <w:rsid w:val="00AE6D5D"/>
    <w:rsid w:val="00AE7D95"/>
    <w:rsid w:val="00AF02C1"/>
    <w:rsid w:val="00AF0742"/>
    <w:rsid w:val="00AF077F"/>
    <w:rsid w:val="00AF1677"/>
    <w:rsid w:val="00AF1689"/>
    <w:rsid w:val="00AF1FAF"/>
    <w:rsid w:val="00AF2E78"/>
    <w:rsid w:val="00AF42C7"/>
    <w:rsid w:val="00AF49BB"/>
    <w:rsid w:val="00AF5718"/>
    <w:rsid w:val="00AF5A3C"/>
    <w:rsid w:val="00AF5A7C"/>
    <w:rsid w:val="00AF5AD5"/>
    <w:rsid w:val="00AF6025"/>
    <w:rsid w:val="00AF6740"/>
    <w:rsid w:val="00AF6BB8"/>
    <w:rsid w:val="00AF701D"/>
    <w:rsid w:val="00B002E2"/>
    <w:rsid w:val="00B0083C"/>
    <w:rsid w:val="00B01111"/>
    <w:rsid w:val="00B01167"/>
    <w:rsid w:val="00B01AFB"/>
    <w:rsid w:val="00B01BDC"/>
    <w:rsid w:val="00B02035"/>
    <w:rsid w:val="00B02A2B"/>
    <w:rsid w:val="00B03248"/>
    <w:rsid w:val="00B06601"/>
    <w:rsid w:val="00B07F6F"/>
    <w:rsid w:val="00B10128"/>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49D2"/>
    <w:rsid w:val="00B2505F"/>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6651"/>
    <w:rsid w:val="00B37253"/>
    <w:rsid w:val="00B406E9"/>
    <w:rsid w:val="00B412F7"/>
    <w:rsid w:val="00B424DF"/>
    <w:rsid w:val="00B433F4"/>
    <w:rsid w:val="00B43AB6"/>
    <w:rsid w:val="00B43D31"/>
    <w:rsid w:val="00B43F38"/>
    <w:rsid w:val="00B441B2"/>
    <w:rsid w:val="00B443C5"/>
    <w:rsid w:val="00B4513B"/>
    <w:rsid w:val="00B451BC"/>
    <w:rsid w:val="00B463FE"/>
    <w:rsid w:val="00B4754B"/>
    <w:rsid w:val="00B476AA"/>
    <w:rsid w:val="00B50265"/>
    <w:rsid w:val="00B50BAC"/>
    <w:rsid w:val="00B5107D"/>
    <w:rsid w:val="00B51284"/>
    <w:rsid w:val="00B5136F"/>
    <w:rsid w:val="00B519C5"/>
    <w:rsid w:val="00B531C3"/>
    <w:rsid w:val="00B539EF"/>
    <w:rsid w:val="00B53A07"/>
    <w:rsid w:val="00B5466F"/>
    <w:rsid w:val="00B55126"/>
    <w:rsid w:val="00B551DA"/>
    <w:rsid w:val="00B5533E"/>
    <w:rsid w:val="00B555CA"/>
    <w:rsid w:val="00B55B05"/>
    <w:rsid w:val="00B573C7"/>
    <w:rsid w:val="00B577C5"/>
    <w:rsid w:val="00B60A6F"/>
    <w:rsid w:val="00B60E4F"/>
    <w:rsid w:val="00B61197"/>
    <w:rsid w:val="00B6175A"/>
    <w:rsid w:val="00B62C0C"/>
    <w:rsid w:val="00B62C59"/>
    <w:rsid w:val="00B62CFD"/>
    <w:rsid w:val="00B64334"/>
    <w:rsid w:val="00B64D10"/>
    <w:rsid w:val="00B6584F"/>
    <w:rsid w:val="00B65F94"/>
    <w:rsid w:val="00B66498"/>
    <w:rsid w:val="00B67D26"/>
    <w:rsid w:val="00B71734"/>
    <w:rsid w:val="00B71859"/>
    <w:rsid w:val="00B733AC"/>
    <w:rsid w:val="00B742A1"/>
    <w:rsid w:val="00B754DE"/>
    <w:rsid w:val="00B76806"/>
    <w:rsid w:val="00B8231D"/>
    <w:rsid w:val="00B84014"/>
    <w:rsid w:val="00B84A70"/>
    <w:rsid w:val="00B84B67"/>
    <w:rsid w:val="00B84DE6"/>
    <w:rsid w:val="00B850CA"/>
    <w:rsid w:val="00B864F5"/>
    <w:rsid w:val="00B86DE2"/>
    <w:rsid w:val="00B87D27"/>
    <w:rsid w:val="00B87EC7"/>
    <w:rsid w:val="00B9038A"/>
    <w:rsid w:val="00B90B19"/>
    <w:rsid w:val="00B91592"/>
    <w:rsid w:val="00B91EC8"/>
    <w:rsid w:val="00B935DF"/>
    <w:rsid w:val="00B93A32"/>
    <w:rsid w:val="00B94686"/>
    <w:rsid w:val="00B94850"/>
    <w:rsid w:val="00B94F21"/>
    <w:rsid w:val="00B96A91"/>
    <w:rsid w:val="00B9786C"/>
    <w:rsid w:val="00B97E68"/>
    <w:rsid w:val="00B97FA5"/>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238"/>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3A4"/>
    <w:rsid w:val="00BE1695"/>
    <w:rsid w:val="00BE2231"/>
    <w:rsid w:val="00BE27F0"/>
    <w:rsid w:val="00BE302C"/>
    <w:rsid w:val="00BE346E"/>
    <w:rsid w:val="00BE38CE"/>
    <w:rsid w:val="00BE4207"/>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6DA9"/>
    <w:rsid w:val="00BF7191"/>
    <w:rsid w:val="00BF7CA2"/>
    <w:rsid w:val="00C019AD"/>
    <w:rsid w:val="00C01A9E"/>
    <w:rsid w:val="00C01E44"/>
    <w:rsid w:val="00C02F78"/>
    <w:rsid w:val="00C04988"/>
    <w:rsid w:val="00C056A2"/>
    <w:rsid w:val="00C05CAA"/>
    <w:rsid w:val="00C0766D"/>
    <w:rsid w:val="00C07826"/>
    <w:rsid w:val="00C07BAF"/>
    <w:rsid w:val="00C1000A"/>
    <w:rsid w:val="00C10AAA"/>
    <w:rsid w:val="00C10D46"/>
    <w:rsid w:val="00C114FD"/>
    <w:rsid w:val="00C13112"/>
    <w:rsid w:val="00C16692"/>
    <w:rsid w:val="00C16DDF"/>
    <w:rsid w:val="00C20646"/>
    <w:rsid w:val="00C20703"/>
    <w:rsid w:val="00C20EA2"/>
    <w:rsid w:val="00C220B7"/>
    <w:rsid w:val="00C2389B"/>
    <w:rsid w:val="00C241F1"/>
    <w:rsid w:val="00C2425D"/>
    <w:rsid w:val="00C242EA"/>
    <w:rsid w:val="00C2497D"/>
    <w:rsid w:val="00C24E03"/>
    <w:rsid w:val="00C24E67"/>
    <w:rsid w:val="00C24FB2"/>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133F"/>
    <w:rsid w:val="00C5282F"/>
    <w:rsid w:val="00C53A06"/>
    <w:rsid w:val="00C53E85"/>
    <w:rsid w:val="00C54575"/>
    <w:rsid w:val="00C54CA8"/>
    <w:rsid w:val="00C57BB6"/>
    <w:rsid w:val="00C62A66"/>
    <w:rsid w:val="00C62B13"/>
    <w:rsid w:val="00C62D76"/>
    <w:rsid w:val="00C66DD2"/>
    <w:rsid w:val="00C67E8A"/>
    <w:rsid w:val="00C7065F"/>
    <w:rsid w:val="00C71427"/>
    <w:rsid w:val="00C72447"/>
    <w:rsid w:val="00C7320D"/>
    <w:rsid w:val="00C7324B"/>
    <w:rsid w:val="00C739EC"/>
    <w:rsid w:val="00C73EF9"/>
    <w:rsid w:val="00C741B9"/>
    <w:rsid w:val="00C749B2"/>
    <w:rsid w:val="00C74C69"/>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87498"/>
    <w:rsid w:val="00C90BA8"/>
    <w:rsid w:val="00C91AFD"/>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3E3A"/>
    <w:rsid w:val="00CC5191"/>
    <w:rsid w:val="00CC61D1"/>
    <w:rsid w:val="00CC6E65"/>
    <w:rsid w:val="00CC7E3E"/>
    <w:rsid w:val="00CD01B5"/>
    <w:rsid w:val="00CD0372"/>
    <w:rsid w:val="00CD0F30"/>
    <w:rsid w:val="00CD125A"/>
    <w:rsid w:val="00CD148C"/>
    <w:rsid w:val="00CD2F6F"/>
    <w:rsid w:val="00CD4609"/>
    <w:rsid w:val="00CD5B2D"/>
    <w:rsid w:val="00CD67CA"/>
    <w:rsid w:val="00CE001B"/>
    <w:rsid w:val="00CE0D03"/>
    <w:rsid w:val="00CE1617"/>
    <w:rsid w:val="00CE1C00"/>
    <w:rsid w:val="00CE1F3D"/>
    <w:rsid w:val="00CE4680"/>
    <w:rsid w:val="00CE591C"/>
    <w:rsid w:val="00CE6ABD"/>
    <w:rsid w:val="00CE6D76"/>
    <w:rsid w:val="00CF03C9"/>
    <w:rsid w:val="00CF0990"/>
    <w:rsid w:val="00CF14E4"/>
    <w:rsid w:val="00CF1AD6"/>
    <w:rsid w:val="00CF1BB0"/>
    <w:rsid w:val="00CF23D8"/>
    <w:rsid w:val="00CF2681"/>
    <w:rsid w:val="00CF280E"/>
    <w:rsid w:val="00CF28FD"/>
    <w:rsid w:val="00CF321F"/>
    <w:rsid w:val="00CF35E0"/>
    <w:rsid w:val="00CF3873"/>
    <w:rsid w:val="00CF4262"/>
    <w:rsid w:val="00CF505D"/>
    <w:rsid w:val="00CF5194"/>
    <w:rsid w:val="00CF5D1A"/>
    <w:rsid w:val="00CF5DBF"/>
    <w:rsid w:val="00CF6501"/>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68C"/>
    <w:rsid w:val="00D3274F"/>
    <w:rsid w:val="00D33076"/>
    <w:rsid w:val="00D340A1"/>
    <w:rsid w:val="00D35B14"/>
    <w:rsid w:val="00D4072A"/>
    <w:rsid w:val="00D40786"/>
    <w:rsid w:val="00D40B56"/>
    <w:rsid w:val="00D40DE8"/>
    <w:rsid w:val="00D420DD"/>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0130"/>
    <w:rsid w:val="00D801EF"/>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3B2"/>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9C9"/>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84C"/>
    <w:rsid w:val="00DC4D48"/>
    <w:rsid w:val="00DC5443"/>
    <w:rsid w:val="00DC5C38"/>
    <w:rsid w:val="00DC6C28"/>
    <w:rsid w:val="00DC6E4F"/>
    <w:rsid w:val="00DC79C8"/>
    <w:rsid w:val="00DC7A4F"/>
    <w:rsid w:val="00DC7DB1"/>
    <w:rsid w:val="00DD0259"/>
    <w:rsid w:val="00DD030C"/>
    <w:rsid w:val="00DD046A"/>
    <w:rsid w:val="00DD0A89"/>
    <w:rsid w:val="00DD12A5"/>
    <w:rsid w:val="00DD34AD"/>
    <w:rsid w:val="00DD3FD4"/>
    <w:rsid w:val="00DD58F5"/>
    <w:rsid w:val="00DD6A3D"/>
    <w:rsid w:val="00DE3733"/>
    <w:rsid w:val="00DE38EE"/>
    <w:rsid w:val="00DE42BC"/>
    <w:rsid w:val="00DE4D1C"/>
    <w:rsid w:val="00DE5425"/>
    <w:rsid w:val="00DE67F0"/>
    <w:rsid w:val="00DE710B"/>
    <w:rsid w:val="00DE731A"/>
    <w:rsid w:val="00DF059A"/>
    <w:rsid w:val="00DF07A3"/>
    <w:rsid w:val="00DF07CD"/>
    <w:rsid w:val="00DF0A7C"/>
    <w:rsid w:val="00DF2E94"/>
    <w:rsid w:val="00DF30F2"/>
    <w:rsid w:val="00DF3C53"/>
    <w:rsid w:val="00DF3E95"/>
    <w:rsid w:val="00DF4990"/>
    <w:rsid w:val="00DF5516"/>
    <w:rsid w:val="00DF591F"/>
    <w:rsid w:val="00DF5D18"/>
    <w:rsid w:val="00DF63AF"/>
    <w:rsid w:val="00DF6A9E"/>
    <w:rsid w:val="00DF7060"/>
    <w:rsid w:val="00E00163"/>
    <w:rsid w:val="00E006A1"/>
    <w:rsid w:val="00E01682"/>
    <w:rsid w:val="00E01DFD"/>
    <w:rsid w:val="00E0328E"/>
    <w:rsid w:val="00E05938"/>
    <w:rsid w:val="00E05ACE"/>
    <w:rsid w:val="00E05D2E"/>
    <w:rsid w:val="00E06804"/>
    <w:rsid w:val="00E07D90"/>
    <w:rsid w:val="00E07D9B"/>
    <w:rsid w:val="00E10FDF"/>
    <w:rsid w:val="00E11186"/>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34F2"/>
    <w:rsid w:val="00E2415E"/>
    <w:rsid w:val="00E2481B"/>
    <w:rsid w:val="00E27978"/>
    <w:rsid w:val="00E27B5A"/>
    <w:rsid w:val="00E30039"/>
    <w:rsid w:val="00E30425"/>
    <w:rsid w:val="00E307D1"/>
    <w:rsid w:val="00E31335"/>
    <w:rsid w:val="00E32621"/>
    <w:rsid w:val="00E352E5"/>
    <w:rsid w:val="00E37769"/>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2775"/>
    <w:rsid w:val="00E53B18"/>
    <w:rsid w:val="00E56707"/>
    <w:rsid w:val="00E61AA5"/>
    <w:rsid w:val="00E61D46"/>
    <w:rsid w:val="00E6215E"/>
    <w:rsid w:val="00E63785"/>
    <w:rsid w:val="00E64291"/>
    <w:rsid w:val="00E643BF"/>
    <w:rsid w:val="00E64E50"/>
    <w:rsid w:val="00E65177"/>
    <w:rsid w:val="00E660D8"/>
    <w:rsid w:val="00E66C85"/>
    <w:rsid w:val="00E66EFC"/>
    <w:rsid w:val="00E71EF5"/>
    <w:rsid w:val="00E721DF"/>
    <w:rsid w:val="00E72C1D"/>
    <w:rsid w:val="00E735B7"/>
    <w:rsid w:val="00E7415A"/>
    <w:rsid w:val="00E74241"/>
    <w:rsid w:val="00E75092"/>
    <w:rsid w:val="00E75B35"/>
    <w:rsid w:val="00E766DC"/>
    <w:rsid w:val="00E76E60"/>
    <w:rsid w:val="00E77E5A"/>
    <w:rsid w:val="00E80318"/>
    <w:rsid w:val="00E81F75"/>
    <w:rsid w:val="00E82415"/>
    <w:rsid w:val="00E82DCB"/>
    <w:rsid w:val="00E836CE"/>
    <w:rsid w:val="00E874A7"/>
    <w:rsid w:val="00E87BB5"/>
    <w:rsid w:val="00E91B87"/>
    <w:rsid w:val="00E92763"/>
    <w:rsid w:val="00E93B6F"/>
    <w:rsid w:val="00E93BCF"/>
    <w:rsid w:val="00E9417F"/>
    <w:rsid w:val="00E95B48"/>
    <w:rsid w:val="00E960E0"/>
    <w:rsid w:val="00E97124"/>
    <w:rsid w:val="00EA0A21"/>
    <w:rsid w:val="00EA158B"/>
    <w:rsid w:val="00EA1A4B"/>
    <w:rsid w:val="00EA1AA1"/>
    <w:rsid w:val="00EA1B25"/>
    <w:rsid w:val="00EA1E87"/>
    <w:rsid w:val="00EA328D"/>
    <w:rsid w:val="00EA3E5E"/>
    <w:rsid w:val="00EA44E9"/>
    <w:rsid w:val="00EA4B2C"/>
    <w:rsid w:val="00EA6022"/>
    <w:rsid w:val="00EA6C85"/>
    <w:rsid w:val="00EA78F6"/>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FD"/>
    <w:rsid w:val="00EC3015"/>
    <w:rsid w:val="00EC3E88"/>
    <w:rsid w:val="00EC45BC"/>
    <w:rsid w:val="00EC46C3"/>
    <w:rsid w:val="00EC4774"/>
    <w:rsid w:val="00EC5EF6"/>
    <w:rsid w:val="00EC6042"/>
    <w:rsid w:val="00EC669F"/>
    <w:rsid w:val="00EC7751"/>
    <w:rsid w:val="00ED05F6"/>
    <w:rsid w:val="00ED2410"/>
    <w:rsid w:val="00ED3ADF"/>
    <w:rsid w:val="00ED553C"/>
    <w:rsid w:val="00ED555E"/>
    <w:rsid w:val="00ED633A"/>
    <w:rsid w:val="00ED7610"/>
    <w:rsid w:val="00ED7758"/>
    <w:rsid w:val="00ED7877"/>
    <w:rsid w:val="00EE0840"/>
    <w:rsid w:val="00EE0DBB"/>
    <w:rsid w:val="00EE10F4"/>
    <w:rsid w:val="00EE1D10"/>
    <w:rsid w:val="00EE2FBF"/>
    <w:rsid w:val="00EE3513"/>
    <w:rsid w:val="00EE36DC"/>
    <w:rsid w:val="00EE6A7B"/>
    <w:rsid w:val="00EE711D"/>
    <w:rsid w:val="00EF03F6"/>
    <w:rsid w:val="00EF084A"/>
    <w:rsid w:val="00EF1052"/>
    <w:rsid w:val="00EF16D5"/>
    <w:rsid w:val="00EF1703"/>
    <w:rsid w:val="00EF3975"/>
    <w:rsid w:val="00EF3A0C"/>
    <w:rsid w:val="00EF3DB0"/>
    <w:rsid w:val="00EF472E"/>
    <w:rsid w:val="00EF4910"/>
    <w:rsid w:val="00EF4E11"/>
    <w:rsid w:val="00EF5178"/>
    <w:rsid w:val="00F013FE"/>
    <w:rsid w:val="00F01C6E"/>
    <w:rsid w:val="00F01F8E"/>
    <w:rsid w:val="00F0259C"/>
    <w:rsid w:val="00F0346B"/>
    <w:rsid w:val="00F03A97"/>
    <w:rsid w:val="00F03C65"/>
    <w:rsid w:val="00F045C2"/>
    <w:rsid w:val="00F0479D"/>
    <w:rsid w:val="00F05AAC"/>
    <w:rsid w:val="00F064B3"/>
    <w:rsid w:val="00F07525"/>
    <w:rsid w:val="00F07F9E"/>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016C"/>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529F"/>
    <w:rsid w:val="00F4603C"/>
    <w:rsid w:val="00F47751"/>
    <w:rsid w:val="00F5077B"/>
    <w:rsid w:val="00F50D08"/>
    <w:rsid w:val="00F53648"/>
    <w:rsid w:val="00F5494F"/>
    <w:rsid w:val="00F5567F"/>
    <w:rsid w:val="00F56142"/>
    <w:rsid w:val="00F56CA7"/>
    <w:rsid w:val="00F57412"/>
    <w:rsid w:val="00F60E85"/>
    <w:rsid w:val="00F6142D"/>
    <w:rsid w:val="00F6226B"/>
    <w:rsid w:val="00F62354"/>
    <w:rsid w:val="00F6270D"/>
    <w:rsid w:val="00F62963"/>
    <w:rsid w:val="00F62C06"/>
    <w:rsid w:val="00F63779"/>
    <w:rsid w:val="00F63BDE"/>
    <w:rsid w:val="00F64573"/>
    <w:rsid w:val="00F64F15"/>
    <w:rsid w:val="00F6580A"/>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64FF"/>
    <w:rsid w:val="00F9796B"/>
    <w:rsid w:val="00F97F30"/>
    <w:rsid w:val="00FA03E0"/>
    <w:rsid w:val="00FA1F06"/>
    <w:rsid w:val="00FA23F7"/>
    <w:rsid w:val="00FA2ACE"/>
    <w:rsid w:val="00FA317D"/>
    <w:rsid w:val="00FA3372"/>
    <w:rsid w:val="00FA4E2D"/>
    <w:rsid w:val="00FA5CDA"/>
    <w:rsid w:val="00FA7701"/>
    <w:rsid w:val="00FB03A2"/>
    <w:rsid w:val="00FB04CD"/>
    <w:rsid w:val="00FB0889"/>
    <w:rsid w:val="00FB1776"/>
    <w:rsid w:val="00FB1943"/>
    <w:rsid w:val="00FB1E60"/>
    <w:rsid w:val="00FB2C5C"/>
    <w:rsid w:val="00FB3741"/>
    <w:rsid w:val="00FB5B35"/>
    <w:rsid w:val="00FB737F"/>
    <w:rsid w:val="00FC2A7D"/>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89D"/>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1032C9"/>
    <w:rsid w:val="01477BCB"/>
    <w:rsid w:val="0165774F"/>
    <w:rsid w:val="017513A9"/>
    <w:rsid w:val="01B11E35"/>
    <w:rsid w:val="01C62B3E"/>
    <w:rsid w:val="028407B3"/>
    <w:rsid w:val="02AB3D4B"/>
    <w:rsid w:val="02F2197A"/>
    <w:rsid w:val="03217B69"/>
    <w:rsid w:val="03665B50"/>
    <w:rsid w:val="03BE04CC"/>
    <w:rsid w:val="03E62EB1"/>
    <w:rsid w:val="03EC63C9"/>
    <w:rsid w:val="0413149A"/>
    <w:rsid w:val="0422003D"/>
    <w:rsid w:val="042913CB"/>
    <w:rsid w:val="04D774C5"/>
    <w:rsid w:val="04FF7556"/>
    <w:rsid w:val="054E19A4"/>
    <w:rsid w:val="05771562"/>
    <w:rsid w:val="05826495"/>
    <w:rsid w:val="05852CF4"/>
    <w:rsid w:val="05927A85"/>
    <w:rsid w:val="05CD5A09"/>
    <w:rsid w:val="060F639F"/>
    <w:rsid w:val="066E7569"/>
    <w:rsid w:val="06B37672"/>
    <w:rsid w:val="078F3BF1"/>
    <w:rsid w:val="07A87B3A"/>
    <w:rsid w:val="080E26A1"/>
    <w:rsid w:val="081A348F"/>
    <w:rsid w:val="088C088F"/>
    <w:rsid w:val="091172C2"/>
    <w:rsid w:val="096961E0"/>
    <w:rsid w:val="09B3443D"/>
    <w:rsid w:val="09C1409A"/>
    <w:rsid w:val="09E475FE"/>
    <w:rsid w:val="0A743D85"/>
    <w:rsid w:val="0B6065BA"/>
    <w:rsid w:val="0B961C47"/>
    <w:rsid w:val="0BD55F69"/>
    <w:rsid w:val="0C152235"/>
    <w:rsid w:val="0C3B6140"/>
    <w:rsid w:val="0C7B653C"/>
    <w:rsid w:val="0CD848B8"/>
    <w:rsid w:val="0D504342"/>
    <w:rsid w:val="0D870F11"/>
    <w:rsid w:val="0DB02216"/>
    <w:rsid w:val="0DC5128C"/>
    <w:rsid w:val="0DD9114E"/>
    <w:rsid w:val="0E0408E9"/>
    <w:rsid w:val="0E1664AC"/>
    <w:rsid w:val="0E1C525D"/>
    <w:rsid w:val="0E260891"/>
    <w:rsid w:val="0E725164"/>
    <w:rsid w:val="0EFE4AC2"/>
    <w:rsid w:val="0F882744"/>
    <w:rsid w:val="0F8C22AE"/>
    <w:rsid w:val="101F37A7"/>
    <w:rsid w:val="10CD159B"/>
    <w:rsid w:val="10D02C05"/>
    <w:rsid w:val="10D34B99"/>
    <w:rsid w:val="110732FE"/>
    <w:rsid w:val="115B2DE0"/>
    <w:rsid w:val="11802A9D"/>
    <w:rsid w:val="11A27ED6"/>
    <w:rsid w:val="11D14F29"/>
    <w:rsid w:val="12606AD8"/>
    <w:rsid w:val="12A065D5"/>
    <w:rsid w:val="12B207DE"/>
    <w:rsid w:val="12C66037"/>
    <w:rsid w:val="12D91221"/>
    <w:rsid w:val="134C6EF1"/>
    <w:rsid w:val="13693592"/>
    <w:rsid w:val="137E6AE5"/>
    <w:rsid w:val="13C366E3"/>
    <w:rsid w:val="143F0797"/>
    <w:rsid w:val="1451773B"/>
    <w:rsid w:val="149418A3"/>
    <w:rsid w:val="14C0689A"/>
    <w:rsid w:val="14CB202B"/>
    <w:rsid w:val="14CD3A88"/>
    <w:rsid w:val="14EB5FBC"/>
    <w:rsid w:val="14FB277F"/>
    <w:rsid w:val="15702678"/>
    <w:rsid w:val="15793835"/>
    <w:rsid w:val="159113BF"/>
    <w:rsid w:val="161A6DC6"/>
    <w:rsid w:val="163F0643"/>
    <w:rsid w:val="16C50244"/>
    <w:rsid w:val="16CF733A"/>
    <w:rsid w:val="171638DB"/>
    <w:rsid w:val="172A2E7A"/>
    <w:rsid w:val="172C1744"/>
    <w:rsid w:val="17476AD5"/>
    <w:rsid w:val="176651A7"/>
    <w:rsid w:val="17B2302E"/>
    <w:rsid w:val="17B23574"/>
    <w:rsid w:val="18345ABA"/>
    <w:rsid w:val="1851727E"/>
    <w:rsid w:val="186A5405"/>
    <w:rsid w:val="18932E60"/>
    <w:rsid w:val="189645C0"/>
    <w:rsid w:val="18C82B09"/>
    <w:rsid w:val="18DA146E"/>
    <w:rsid w:val="18FB5139"/>
    <w:rsid w:val="192F2B88"/>
    <w:rsid w:val="194B16A1"/>
    <w:rsid w:val="19762565"/>
    <w:rsid w:val="19AF5A77"/>
    <w:rsid w:val="19B74463"/>
    <w:rsid w:val="19BC232B"/>
    <w:rsid w:val="19D35C0A"/>
    <w:rsid w:val="1A4505F1"/>
    <w:rsid w:val="1A7E4FCF"/>
    <w:rsid w:val="1A8211B0"/>
    <w:rsid w:val="1A8A42CA"/>
    <w:rsid w:val="1AE46560"/>
    <w:rsid w:val="1AED4AA9"/>
    <w:rsid w:val="1B217338"/>
    <w:rsid w:val="1B2A593E"/>
    <w:rsid w:val="1B3D037C"/>
    <w:rsid w:val="1B4C36BB"/>
    <w:rsid w:val="1B4D37FC"/>
    <w:rsid w:val="1B5A5C6B"/>
    <w:rsid w:val="1BAB6C8D"/>
    <w:rsid w:val="1C591711"/>
    <w:rsid w:val="1C6F2165"/>
    <w:rsid w:val="1C7539D5"/>
    <w:rsid w:val="1C7F0946"/>
    <w:rsid w:val="1C93342E"/>
    <w:rsid w:val="1CBD1967"/>
    <w:rsid w:val="1D0936F0"/>
    <w:rsid w:val="1D126FDD"/>
    <w:rsid w:val="1D2F75FB"/>
    <w:rsid w:val="1D8B05A9"/>
    <w:rsid w:val="1DCA664E"/>
    <w:rsid w:val="1DEE0E67"/>
    <w:rsid w:val="1DF12B02"/>
    <w:rsid w:val="1DF717DC"/>
    <w:rsid w:val="1E3F080B"/>
    <w:rsid w:val="1E450182"/>
    <w:rsid w:val="1E5D0198"/>
    <w:rsid w:val="1EDA53E2"/>
    <w:rsid w:val="1EE07F7F"/>
    <w:rsid w:val="1F4F72C9"/>
    <w:rsid w:val="1F5327B5"/>
    <w:rsid w:val="1FA977BF"/>
    <w:rsid w:val="1FC3402A"/>
    <w:rsid w:val="1FE94A78"/>
    <w:rsid w:val="20083BF5"/>
    <w:rsid w:val="20510066"/>
    <w:rsid w:val="206E2E3C"/>
    <w:rsid w:val="20C95670"/>
    <w:rsid w:val="20D06740"/>
    <w:rsid w:val="20EF0E4F"/>
    <w:rsid w:val="20FB4104"/>
    <w:rsid w:val="21050673"/>
    <w:rsid w:val="213F215E"/>
    <w:rsid w:val="21493877"/>
    <w:rsid w:val="214F7FD4"/>
    <w:rsid w:val="216D6944"/>
    <w:rsid w:val="21EF2BF7"/>
    <w:rsid w:val="2217457B"/>
    <w:rsid w:val="22245171"/>
    <w:rsid w:val="222F5F97"/>
    <w:rsid w:val="22386288"/>
    <w:rsid w:val="22503C1D"/>
    <w:rsid w:val="227B3D94"/>
    <w:rsid w:val="227C521C"/>
    <w:rsid w:val="229B4DEB"/>
    <w:rsid w:val="230E43B2"/>
    <w:rsid w:val="234731C4"/>
    <w:rsid w:val="23553BB3"/>
    <w:rsid w:val="236462EC"/>
    <w:rsid w:val="239E5129"/>
    <w:rsid w:val="241067BA"/>
    <w:rsid w:val="24400E1F"/>
    <w:rsid w:val="247D51DF"/>
    <w:rsid w:val="247E0175"/>
    <w:rsid w:val="248520D7"/>
    <w:rsid w:val="25055713"/>
    <w:rsid w:val="25461B93"/>
    <w:rsid w:val="25755DC7"/>
    <w:rsid w:val="257A1221"/>
    <w:rsid w:val="258F538D"/>
    <w:rsid w:val="26441671"/>
    <w:rsid w:val="26755F3B"/>
    <w:rsid w:val="26A839AE"/>
    <w:rsid w:val="26E0484D"/>
    <w:rsid w:val="27264850"/>
    <w:rsid w:val="27443528"/>
    <w:rsid w:val="27482DA8"/>
    <w:rsid w:val="27595274"/>
    <w:rsid w:val="280B0CBD"/>
    <w:rsid w:val="28174256"/>
    <w:rsid w:val="28312E15"/>
    <w:rsid w:val="283C1DD8"/>
    <w:rsid w:val="28E87C1A"/>
    <w:rsid w:val="29080D00"/>
    <w:rsid w:val="29810EE0"/>
    <w:rsid w:val="299C7E10"/>
    <w:rsid w:val="299E15A9"/>
    <w:rsid w:val="29DB6899"/>
    <w:rsid w:val="2A0C4820"/>
    <w:rsid w:val="2A494F4A"/>
    <w:rsid w:val="2A510C9C"/>
    <w:rsid w:val="2A6C52BE"/>
    <w:rsid w:val="2A805769"/>
    <w:rsid w:val="2A831E2D"/>
    <w:rsid w:val="2ADA11FD"/>
    <w:rsid w:val="2AE03E77"/>
    <w:rsid w:val="2B02634F"/>
    <w:rsid w:val="2B4104F9"/>
    <w:rsid w:val="2BB03D3C"/>
    <w:rsid w:val="2BD05397"/>
    <w:rsid w:val="2C0734F1"/>
    <w:rsid w:val="2C1D6BD5"/>
    <w:rsid w:val="2C546A99"/>
    <w:rsid w:val="2CA44507"/>
    <w:rsid w:val="2CBB4208"/>
    <w:rsid w:val="2CC32C39"/>
    <w:rsid w:val="2CDC0F6F"/>
    <w:rsid w:val="2CE46631"/>
    <w:rsid w:val="2CFD7770"/>
    <w:rsid w:val="2D3A16A4"/>
    <w:rsid w:val="2D606C10"/>
    <w:rsid w:val="2D6D5C07"/>
    <w:rsid w:val="2D7A3971"/>
    <w:rsid w:val="2D921A7D"/>
    <w:rsid w:val="2DA03BFD"/>
    <w:rsid w:val="2DAF2092"/>
    <w:rsid w:val="2EB8264A"/>
    <w:rsid w:val="2F155F21"/>
    <w:rsid w:val="2F914D18"/>
    <w:rsid w:val="2FA87B82"/>
    <w:rsid w:val="30143F05"/>
    <w:rsid w:val="30235B53"/>
    <w:rsid w:val="30F85AFE"/>
    <w:rsid w:val="31996FDB"/>
    <w:rsid w:val="321D7FAE"/>
    <w:rsid w:val="322643C9"/>
    <w:rsid w:val="32383A46"/>
    <w:rsid w:val="327C79C0"/>
    <w:rsid w:val="3296737C"/>
    <w:rsid w:val="32D84909"/>
    <w:rsid w:val="32EB18AB"/>
    <w:rsid w:val="33305A23"/>
    <w:rsid w:val="33572FB0"/>
    <w:rsid w:val="337A31A4"/>
    <w:rsid w:val="33842D58"/>
    <w:rsid w:val="33C2377D"/>
    <w:rsid w:val="33C318AB"/>
    <w:rsid w:val="33E6570C"/>
    <w:rsid w:val="33F14B85"/>
    <w:rsid w:val="34293A3F"/>
    <w:rsid w:val="34710119"/>
    <w:rsid w:val="347673CF"/>
    <w:rsid w:val="348E47AF"/>
    <w:rsid w:val="34DF325D"/>
    <w:rsid w:val="34E35849"/>
    <w:rsid w:val="35444772"/>
    <w:rsid w:val="35586B6B"/>
    <w:rsid w:val="36297FEC"/>
    <w:rsid w:val="364C66D0"/>
    <w:rsid w:val="36566100"/>
    <w:rsid w:val="365F17D9"/>
    <w:rsid w:val="36806E56"/>
    <w:rsid w:val="36C1498C"/>
    <w:rsid w:val="36E763F9"/>
    <w:rsid w:val="36FA25D0"/>
    <w:rsid w:val="3795459A"/>
    <w:rsid w:val="37B3452D"/>
    <w:rsid w:val="384C2872"/>
    <w:rsid w:val="3947656F"/>
    <w:rsid w:val="39560B33"/>
    <w:rsid w:val="39657518"/>
    <w:rsid w:val="398840B5"/>
    <w:rsid w:val="39A8171C"/>
    <w:rsid w:val="39EA702F"/>
    <w:rsid w:val="3A8F341F"/>
    <w:rsid w:val="3AB234E7"/>
    <w:rsid w:val="3ABA54C6"/>
    <w:rsid w:val="3ABF56FA"/>
    <w:rsid w:val="3B1855C6"/>
    <w:rsid w:val="3B1E59BD"/>
    <w:rsid w:val="3B3B31B7"/>
    <w:rsid w:val="3B5D41A9"/>
    <w:rsid w:val="3B6237C2"/>
    <w:rsid w:val="3B8C3A12"/>
    <w:rsid w:val="3BC57B8F"/>
    <w:rsid w:val="3BCA5316"/>
    <w:rsid w:val="3BE056F1"/>
    <w:rsid w:val="3BE159ED"/>
    <w:rsid w:val="3C1F7ED7"/>
    <w:rsid w:val="3C2B4FD9"/>
    <w:rsid w:val="3C4953F6"/>
    <w:rsid w:val="3C7A15FE"/>
    <w:rsid w:val="3C7A2F1B"/>
    <w:rsid w:val="3C9C54B2"/>
    <w:rsid w:val="3CB745C8"/>
    <w:rsid w:val="3CB75C8C"/>
    <w:rsid w:val="3CD842BA"/>
    <w:rsid w:val="3CED04E1"/>
    <w:rsid w:val="3D0F5FEB"/>
    <w:rsid w:val="3D154364"/>
    <w:rsid w:val="3D3922A2"/>
    <w:rsid w:val="3D734A47"/>
    <w:rsid w:val="3D92781D"/>
    <w:rsid w:val="3DAB77F5"/>
    <w:rsid w:val="3DCC2C13"/>
    <w:rsid w:val="3DE82198"/>
    <w:rsid w:val="3E2D1234"/>
    <w:rsid w:val="3E846C23"/>
    <w:rsid w:val="3E884A7C"/>
    <w:rsid w:val="3E913314"/>
    <w:rsid w:val="3EA07B02"/>
    <w:rsid w:val="3EAD0CC4"/>
    <w:rsid w:val="3EDE7167"/>
    <w:rsid w:val="3EE649B0"/>
    <w:rsid w:val="3EFE4C27"/>
    <w:rsid w:val="3F3B0C9D"/>
    <w:rsid w:val="3FBB6674"/>
    <w:rsid w:val="3FDD1D9F"/>
    <w:rsid w:val="3FDF4001"/>
    <w:rsid w:val="3FF20EF0"/>
    <w:rsid w:val="3FF81C6C"/>
    <w:rsid w:val="40023ED6"/>
    <w:rsid w:val="40251D40"/>
    <w:rsid w:val="40507645"/>
    <w:rsid w:val="409273C5"/>
    <w:rsid w:val="409A272E"/>
    <w:rsid w:val="40AB1B96"/>
    <w:rsid w:val="40AC57AD"/>
    <w:rsid w:val="40C95B0C"/>
    <w:rsid w:val="40DA0D7C"/>
    <w:rsid w:val="40E02836"/>
    <w:rsid w:val="4116259D"/>
    <w:rsid w:val="41724CF5"/>
    <w:rsid w:val="418A2378"/>
    <w:rsid w:val="41E37EB6"/>
    <w:rsid w:val="42C86C2C"/>
    <w:rsid w:val="43422FC4"/>
    <w:rsid w:val="434B5F61"/>
    <w:rsid w:val="440C56F0"/>
    <w:rsid w:val="443B54A2"/>
    <w:rsid w:val="44615A3C"/>
    <w:rsid w:val="448D5F45"/>
    <w:rsid w:val="44C10F9A"/>
    <w:rsid w:val="45092B28"/>
    <w:rsid w:val="451166B5"/>
    <w:rsid w:val="45325A24"/>
    <w:rsid w:val="45381387"/>
    <w:rsid w:val="45970786"/>
    <w:rsid w:val="45BE0526"/>
    <w:rsid w:val="45CC091B"/>
    <w:rsid w:val="45E76415"/>
    <w:rsid w:val="463D6035"/>
    <w:rsid w:val="46521F1E"/>
    <w:rsid w:val="46B87BDD"/>
    <w:rsid w:val="46D5554A"/>
    <w:rsid w:val="46E850EA"/>
    <w:rsid w:val="46F94504"/>
    <w:rsid w:val="471A6376"/>
    <w:rsid w:val="476F2186"/>
    <w:rsid w:val="47C83729"/>
    <w:rsid w:val="47F807CD"/>
    <w:rsid w:val="48454C1B"/>
    <w:rsid w:val="48472F17"/>
    <w:rsid w:val="484D39DA"/>
    <w:rsid w:val="48590EF7"/>
    <w:rsid w:val="48620222"/>
    <w:rsid w:val="48952302"/>
    <w:rsid w:val="48B06C95"/>
    <w:rsid w:val="48BD16AF"/>
    <w:rsid w:val="490C7D41"/>
    <w:rsid w:val="495649FA"/>
    <w:rsid w:val="4A204B14"/>
    <w:rsid w:val="4A675E62"/>
    <w:rsid w:val="4A69067C"/>
    <w:rsid w:val="4AB12DCF"/>
    <w:rsid w:val="4AB40015"/>
    <w:rsid w:val="4AE31F58"/>
    <w:rsid w:val="4B054C48"/>
    <w:rsid w:val="4B0D3348"/>
    <w:rsid w:val="4B31189E"/>
    <w:rsid w:val="4B406CC7"/>
    <w:rsid w:val="4B7A48A5"/>
    <w:rsid w:val="4BA426B2"/>
    <w:rsid w:val="4C71597A"/>
    <w:rsid w:val="4CEA0599"/>
    <w:rsid w:val="4D4C4DB0"/>
    <w:rsid w:val="4D690508"/>
    <w:rsid w:val="4DB43081"/>
    <w:rsid w:val="4DB52828"/>
    <w:rsid w:val="4DFB054F"/>
    <w:rsid w:val="4E21448E"/>
    <w:rsid w:val="4EA40E15"/>
    <w:rsid w:val="4EC90CCF"/>
    <w:rsid w:val="4EE014EC"/>
    <w:rsid w:val="4EEA5B05"/>
    <w:rsid w:val="4F0D339E"/>
    <w:rsid w:val="4F277882"/>
    <w:rsid w:val="4F2B6026"/>
    <w:rsid w:val="4F46700B"/>
    <w:rsid w:val="4F4A7C2E"/>
    <w:rsid w:val="4F6C1739"/>
    <w:rsid w:val="4F7C445D"/>
    <w:rsid w:val="4FAA3D56"/>
    <w:rsid w:val="4FAC0CFF"/>
    <w:rsid w:val="4FB542D4"/>
    <w:rsid w:val="50242014"/>
    <w:rsid w:val="503F0BFC"/>
    <w:rsid w:val="50864520"/>
    <w:rsid w:val="50916485"/>
    <w:rsid w:val="5095081C"/>
    <w:rsid w:val="509A7021"/>
    <w:rsid w:val="50A63F9F"/>
    <w:rsid w:val="50CE4F4B"/>
    <w:rsid w:val="50FF32D2"/>
    <w:rsid w:val="51044A52"/>
    <w:rsid w:val="510B4369"/>
    <w:rsid w:val="512A18AC"/>
    <w:rsid w:val="51424ECF"/>
    <w:rsid w:val="51550EA9"/>
    <w:rsid w:val="517E39D7"/>
    <w:rsid w:val="519A542A"/>
    <w:rsid w:val="51CB6BEB"/>
    <w:rsid w:val="51CD4715"/>
    <w:rsid w:val="51EE06FB"/>
    <w:rsid w:val="52016BD2"/>
    <w:rsid w:val="52603BA0"/>
    <w:rsid w:val="527B0E1B"/>
    <w:rsid w:val="52D47D21"/>
    <w:rsid w:val="537230CA"/>
    <w:rsid w:val="53D6609D"/>
    <w:rsid w:val="53FC6ACE"/>
    <w:rsid w:val="54147B52"/>
    <w:rsid w:val="5422216D"/>
    <w:rsid w:val="54660E4D"/>
    <w:rsid w:val="5484665D"/>
    <w:rsid w:val="54E95397"/>
    <w:rsid w:val="558D5808"/>
    <w:rsid w:val="558F5415"/>
    <w:rsid w:val="55961626"/>
    <w:rsid w:val="55FF50B5"/>
    <w:rsid w:val="56073F6A"/>
    <w:rsid w:val="56174349"/>
    <w:rsid w:val="56215A85"/>
    <w:rsid w:val="563C1E65"/>
    <w:rsid w:val="564D060A"/>
    <w:rsid w:val="56BC5F12"/>
    <w:rsid w:val="56BF4844"/>
    <w:rsid w:val="56D95720"/>
    <w:rsid w:val="56FC682E"/>
    <w:rsid w:val="57155A40"/>
    <w:rsid w:val="575A2A2C"/>
    <w:rsid w:val="575C1CC8"/>
    <w:rsid w:val="57800AD1"/>
    <w:rsid w:val="5780763F"/>
    <w:rsid w:val="57B40121"/>
    <w:rsid w:val="580C532F"/>
    <w:rsid w:val="586A6BDB"/>
    <w:rsid w:val="586D2BCD"/>
    <w:rsid w:val="587961F1"/>
    <w:rsid w:val="58832326"/>
    <w:rsid w:val="58A957AC"/>
    <w:rsid w:val="58CB6BE3"/>
    <w:rsid w:val="58DF56BC"/>
    <w:rsid w:val="595B4CF8"/>
    <w:rsid w:val="596811C3"/>
    <w:rsid w:val="5991071A"/>
    <w:rsid w:val="59A2740C"/>
    <w:rsid w:val="59B71030"/>
    <w:rsid w:val="59B75A38"/>
    <w:rsid w:val="59BB08D8"/>
    <w:rsid w:val="5A160809"/>
    <w:rsid w:val="5A5D7CC7"/>
    <w:rsid w:val="5AB7186C"/>
    <w:rsid w:val="5AF133E1"/>
    <w:rsid w:val="5B411CCC"/>
    <w:rsid w:val="5C0E0B8D"/>
    <w:rsid w:val="5C37671C"/>
    <w:rsid w:val="5C673325"/>
    <w:rsid w:val="5C67518D"/>
    <w:rsid w:val="5C757E7F"/>
    <w:rsid w:val="5CC11316"/>
    <w:rsid w:val="5CCB3F43"/>
    <w:rsid w:val="5D5D591D"/>
    <w:rsid w:val="5D783CDA"/>
    <w:rsid w:val="5E67546A"/>
    <w:rsid w:val="5E7509F3"/>
    <w:rsid w:val="5F0A6F31"/>
    <w:rsid w:val="5F2658AB"/>
    <w:rsid w:val="5F95458C"/>
    <w:rsid w:val="5FC4513D"/>
    <w:rsid w:val="5FC51DA0"/>
    <w:rsid w:val="60232C89"/>
    <w:rsid w:val="60602BF4"/>
    <w:rsid w:val="6080745F"/>
    <w:rsid w:val="61314591"/>
    <w:rsid w:val="6131633F"/>
    <w:rsid w:val="616F47F8"/>
    <w:rsid w:val="62982F8C"/>
    <w:rsid w:val="62EF64B1"/>
    <w:rsid w:val="62F7618C"/>
    <w:rsid w:val="63AD56B0"/>
    <w:rsid w:val="63DF4596"/>
    <w:rsid w:val="63F14444"/>
    <w:rsid w:val="642F4DB7"/>
    <w:rsid w:val="644B5969"/>
    <w:rsid w:val="64AA756E"/>
    <w:rsid w:val="64AC28AC"/>
    <w:rsid w:val="64D0523F"/>
    <w:rsid w:val="64D43BB1"/>
    <w:rsid w:val="65037FF2"/>
    <w:rsid w:val="65213759"/>
    <w:rsid w:val="65926EDA"/>
    <w:rsid w:val="65AA7225"/>
    <w:rsid w:val="65D07218"/>
    <w:rsid w:val="661965E1"/>
    <w:rsid w:val="664A6DB3"/>
    <w:rsid w:val="667446D6"/>
    <w:rsid w:val="67527824"/>
    <w:rsid w:val="67661BC6"/>
    <w:rsid w:val="67A7735B"/>
    <w:rsid w:val="67AA59CE"/>
    <w:rsid w:val="68021003"/>
    <w:rsid w:val="68024095"/>
    <w:rsid w:val="68137D28"/>
    <w:rsid w:val="682B7F8C"/>
    <w:rsid w:val="68407CED"/>
    <w:rsid w:val="6864090D"/>
    <w:rsid w:val="68E819D9"/>
    <w:rsid w:val="692D1AE1"/>
    <w:rsid w:val="696B5AAF"/>
    <w:rsid w:val="698F4691"/>
    <w:rsid w:val="69903460"/>
    <w:rsid w:val="699851AD"/>
    <w:rsid w:val="69B67D29"/>
    <w:rsid w:val="69C85B3E"/>
    <w:rsid w:val="6A242EE4"/>
    <w:rsid w:val="6A8231EA"/>
    <w:rsid w:val="6B105217"/>
    <w:rsid w:val="6B2111D2"/>
    <w:rsid w:val="6BE83A33"/>
    <w:rsid w:val="6C113D26"/>
    <w:rsid w:val="6C1B20C5"/>
    <w:rsid w:val="6C3311BD"/>
    <w:rsid w:val="6C717FC7"/>
    <w:rsid w:val="6CAA3DF3"/>
    <w:rsid w:val="6CE8245D"/>
    <w:rsid w:val="6D0A10DE"/>
    <w:rsid w:val="6D4E6DD0"/>
    <w:rsid w:val="6DD100F1"/>
    <w:rsid w:val="6E2A65EF"/>
    <w:rsid w:val="6E3B4867"/>
    <w:rsid w:val="6E7354E8"/>
    <w:rsid w:val="6EA66D41"/>
    <w:rsid w:val="6F1E6154"/>
    <w:rsid w:val="6F3A26E8"/>
    <w:rsid w:val="6F50760F"/>
    <w:rsid w:val="6F881EDF"/>
    <w:rsid w:val="6F8D653F"/>
    <w:rsid w:val="6FAA5522"/>
    <w:rsid w:val="6FB645DF"/>
    <w:rsid w:val="70131A31"/>
    <w:rsid w:val="702E686B"/>
    <w:rsid w:val="706F0D4A"/>
    <w:rsid w:val="70981225"/>
    <w:rsid w:val="70BE7462"/>
    <w:rsid w:val="71937888"/>
    <w:rsid w:val="719E4CA8"/>
    <w:rsid w:val="71B30A46"/>
    <w:rsid w:val="725B4129"/>
    <w:rsid w:val="72C94629"/>
    <w:rsid w:val="733221CE"/>
    <w:rsid w:val="7366378E"/>
    <w:rsid w:val="73712635"/>
    <w:rsid w:val="73C372CA"/>
    <w:rsid w:val="74445654"/>
    <w:rsid w:val="74461453"/>
    <w:rsid w:val="74614A1C"/>
    <w:rsid w:val="74BF306B"/>
    <w:rsid w:val="74DD43BC"/>
    <w:rsid w:val="752821B9"/>
    <w:rsid w:val="752D5343"/>
    <w:rsid w:val="75457105"/>
    <w:rsid w:val="75846F2D"/>
    <w:rsid w:val="75C60B79"/>
    <w:rsid w:val="75CF60A7"/>
    <w:rsid w:val="76AB70C1"/>
    <w:rsid w:val="76AD3FF9"/>
    <w:rsid w:val="76D252C8"/>
    <w:rsid w:val="76FA2A99"/>
    <w:rsid w:val="7771546F"/>
    <w:rsid w:val="777D4BE9"/>
    <w:rsid w:val="779A3579"/>
    <w:rsid w:val="77A66E3B"/>
    <w:rsid w:val="77D10621"/>
    <w:rsid w:val="77F51D1A"/>
    <w:rsid w:val="78092C74"/>
    <w:rsid w:val="78E201F2"/>
    <w:rsid w:val="792408D3"/>
    <w:rsid w:val="794C1B10"/>
    <w:rsid w:val="795F350D"/>
    <w:rsid w:val="79866C7A"/>
    <w:rsid w:val="79895EAC"/>
    <w:rsid w:val="799236E7"/>
    <w:rsid w:val="79993AD1"/>
    <w:rsid w:val="79BC7FBE"/>
    <w:rsid w:val="7A04260F"/>
    <w:rsid w:val="7AA428F7"/>
    <w:rsid w:val="7AED106F"/>
    <w:rsid w:val="7B312AF7"/>
    <w:rsid w:val="7B4F5449"/>
    <w:rsid w:val="7B5C32EC"/>
    <w:rsid w:val="7BD32074"/>
    <w:rsid w:val="7C1525C8"/>
    <w:rsid w:val="7C380FE6"/>
    <w:rsid w:val="7C3B0FE1"/>
    <w:rsid w:val="7C3C7195"/>
    <w:rsid w:val="7C517662"/>
    <w:rsid w:val="7C8D40C6"/>
    <w:rsid w:val="7C8F68E3"/>
    <w:rsid w:val="7CA227A5"/>
    <w:rsid w:val="7CBC0D5A"/>
    <w:rsid w:val="7CF92B0D"/>
    <w:rsid w:val="7CFC140B"/>
    <w:rsid w:val="7D094F84"/>
    <w:rsid w:val="7D155246"/>
    <w:rsid w:val="7D2B0B2C"/>
    <w:rsid w:val="7D4E057E"/>
    <w:rsid w:val="7D652500"/>
    <w:rsid w:val="7D68356F"/>
    <w:rsid w:val="7D730CDE"/>
    <w:rsid w:val="7DBA31B2"/>
    <w:rsid w:val="7DC2406E"/>
    <w:rsid w:val="7DD17CDB"/>
    <w:rsid w:val="7E2911F2"/>
    <w:rsid w:val="7E4B67C3"/>
    <w:rsid w:val="7ED56104"/>
    <w:rsid w:val="7EE84D92"/>
    <w:rsid w:val="7EEF18BB"/>
    <w:rsid w:val="7F295485"/>
    <w:rsid w:val="7F341DFF"/>
    <w:rsid w:val="7F9FD69F"/>
    <w:rsid w:val="7FE54D11"/>
    <w:rsid w:val="7FF81F25"/>
    <w:rsid w:val="7FFD0D27"/>
    <w:rsid w:val="BCFF7E4B"/>
    <w:rsid w:val="FFFB26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5"/>
    <w:qFormat/>
    <w:uiPriority w:val="0"/>
    <w:pPr>
      <w:keepNext/>
      <w:keepLines/>
      <w:spacing w:before="260" w:after="260" w:line="416" w:lineRule="auto"/>
      <w:outlineLvl w:val="2"/>
    </w:pPr>
    <w:rPr>
      <w:b/>
      <w:bCs/>
      <w:kern w:val="0"/>
      <w:sz w:val="32"/>
      <w:szCs w:val="32"/>
    </w:rPr>
  </w:style>
  <w:style w:type="paragraph" w:styleId="5">
    <w:name w:val="heading 4"/>
    <w:basedOn w:val="1"/>
    <w:next w:val="6"/>
    <w:link w:val="46"/>
    <w:qFormat/>
    <w:uiPriority w:val="0"/>
    <w:pPr>
      <w:keepNext/>
      <w:jc w:val="center"/>
      <w:outlineLvl w:val="3"/>
    </w:pPr>
    <w:rPr>
      <w:rFonts w:eastAsia="新宋体"/>
      <w:kern w:val="0"/>
      <w:sz w:val="30"/>
      <w:szCs w:val="21"/>
    </w:rPr>
  </w:style>
  <w:style w:type="paragraph" w:styleId="7">
    <w:name w:val="heading 5"/>
    <w:basedOn w:val="1"/>
    <w:next w:val="1"/>
    <w:link w:val="47"/>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48"/>
    <w:qFormat/>
    <w:uiPriority w:val="0"/>
    <w:pPr>
      <w:keepNext/>
      <w:jc w:val="center"/>
      <w:outlineLvl w:val="5"/>
    </w:pPr>
    <w:rPr>
      <w:b/>
      <w:kern w:val="0"/>
      <w:sz w:val="44"/>
      <w:szCs w:val="20"/>
    </w:rPr>
  </w:style>
  <w:style w:type="paragraph" w:styleId="9">
    <w:name w:val="heading 7"/>
    <w:basedOn w:val="1"/>
    <w:next w:val="1"/>
    <w:link w:val="49"/>
    <w:qFormat/>
    <w:uiPriority w:val="0"/>
    <w:pPr>
      <w:keepNext/>
      <w:keepLines/>
      <w:spacing w:before="240" w:after="64" w:line="320" w:lineRule="auto"/>
      <w:outlineLvl w:val="6"/>
    </w:pPr>
    <w:rPr>
      <w:b/>
      <w:bCs/>
      <w:kern w:val="0"/>
      <w:sz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kern w:val="0"/>
      <w:sz w:val="24"/>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2"/>
    <w:qFormat/>
    <w:uiPriority w:val="0"/>
    <w:pPr>
      <w:ind w:firstLine="420"/>
    </w:pPr>
    <w:rPr>
      <w:kern w:val="0"/>
      <w:sz w:val="20"/>
      <w:szCs w:val="20"/>
    </w:rPr>
  </w:style>
  <w:style w:type="paragraph" w:styleId="12">
    <w:name w:val="Note Heading"/>
    <w:basedOn w:val="1"/>
    <w:next w:val="1"/>
    <w:qFormat/>
    <w:uiPriority w:val="0"/>
    <w:rPr>
      <w:rFonts w:ascii="Verdana" w:hAnsi="Verdana"/>
      <w:szCs w:val="20"/>
    </w:rPr>
  </w:style>
  <w:style w:type="paragraph" w:styleId="13">
    <w:name w:val="Document Map"/>
    <w:basedOn w:val="1"/>
    <w:link w:val="53"/>
    <w:semiHidden/>
    <w:qFormat/>
    <w:uiPriority w:val="0"/>
    <w:pPr>
      <w:shd w:val="clear" w:color="auto" w:fill="000080"/>
    </w:pPr>
    <w:rPr>
      <w:kern w:val="0"/>
      <w:sz w:val="20"/>
    </w:rPr>
  </w:style>
  <w:style w:type="paragraph" w:styleId="14">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5">
    <w:name w:val="annotation text"/>
    <w:basedOn w:val="1"/>
    <w:link w:val="54"/>
    <w:unhideWhenUsed/>
    <w:qFormat/>
    <w:uiPriority w:val="99"/>
    <w:pPr>
      <w:jc w:val="left"/>
    </w:pPr>
  </w:style>
  <w:style w:type="paragraph" w:styleId="16">
    <w:name w:val="Body Text 3"/>
    <w:basedOn w:val="1"/>
    <w:link w:val="55"/>
    <w:qFormat/>
    <w:uiPriority w:val="0"/>
    <w:pPr>
      <w:spacing w:after="120"/>
    </w:pPr>
    <w:rPr>
      <w:kern w:val="0"/>
      <w:sz w:val="16"/>
      <w:szCs w:val="16"/>
    </w:rPr>
  </w:style>
  <w:style w:type="paragraph" w:styleId="17">
    <w:name w:val="Body Text"/>
    <w:basedOn w:val="1"/>
    <w:link w:val="56"/>
    <w:qFormat/>
    <w:uiPriority w:val="0"/>
    <w:rPr>
      <w:rFonts w:ascii="仿宋_GB2312" w:eastAsia="仿宋_GB2312"/>
      <w:kern w:val="0"/>
      <w:sz w:val="24"/>
      <w:szCs w:val="20"/>
    </w:rPr>
  </w:style>
  <w:style w:type="paragraph" w:styleId="18">
    <w:name w:val="Body Text Indent"/>
    <w:basedOn w:val="1"/>
    <w:next w:val="19"/>
    <w:link w:val="57"/>
    <w:qFormat/>
    <w:uiPriority w:val="0"/>
    <w:pPr>
      <w:ind w:left="765"/>
    </w:pPr>
    <w:rPr>
      <w:rFonts w:ascii="仿宋_GB2312" w:eastAsia="仿宋_GB2312"/>
      <w:kern w:val="0"/>
      <w:sz w:val="28"/>
      <w:szCs w:val="20"/>
    </w:rPr>
  </w:style>
  <w:style w:type="paragraph" w:styleId="19">
    <w:name w:val="envelope return"/>
    <w:basedOn w:val="1"/>
    <w:unhideWhenUsed/>
    <w:qFormat/>
    <w:uiPriority w:val="99"/>
    <w:pPr>
      <w:snapToGrid w:val="0"/>
    </w:pPr>
    <w:rPr>
      <w:rFonts w:ascii="Arial" w:hAnsi="Arial"/>
    </w:rPr>
  </w:style>
  <w:style w:type="paragraph" w:styleId="20">
    <w:name w:val="Block Text"/>
    <w:basedOn w:val="1"/>
    <w:next w:val="17"/>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1">
    <w:name w:val="Plain Text"/>
    <w:basedOn w:val="1"/>
    <w:link w:val="58"/>
    <w:qFormat/>
    <w:uiPriority w:val="0"/>
    <w:rPr>
      <w:rFonts w:ascii="宋体" w:hAnsi="Courier New"/>
      <w:kern w:val="0"/>
      <w:sz w:val="20"/>
      <w:szCs w:val="21"/>
    </w:rPr>
  </w:style>
  <w:style w:type="paragraph" w:styleId="22">
    <w:name w:val="Date"/>
    <w:basedOn w:val="1"/>
    <w:next w:val="1"/>
    <w:link w:val="59"/>
    <w:qFormat/>
    <w:uiPriority w:val="0"/>
    <w:rPr>
      <w:kern w:val="0"/>
      <w:sz w:val="24"/>
      <w:szCs w:val="20"/>
    </w:rPr>
  </w:style>
  <w:style w:type="paragraph" w:styleId="23">
    <w:name w:val="Body Text Indent 2"/>
    <w:basedOn w:val="1"/>
    <w:link w:val="60"/>
    <w:qFormat/>
    <w:uiPriority w:val="0"/>
    <w:pPr>
      <w:spacing w:line="500" w:lineRule="exact"/>
      <w:ind w:firstLine="560" w:firstLineChars="200"/>
    </w:pPr>
    <w:rPr>
      <w:rFonts w:eastAsia="仿宋_GB2312"/>
      <w:kern w:val="0"/>
      <w:sz w:val="28"/>
      <w:szCs w:val="20"/>
    </w:rPr>
  </w:style>
  <w:style w:type="paragraph" w:styleId="24">
    <w:name w:val="Balloon Text"/>
    <w:basedOn w:val="1"/>
    <w:link w:val="61"/>
    <w:semiHidden/>
    <w:qFormat/>
    <w:uiPriority w:val="0"/>
    <w:rPr>
      <w:kern w:val="0"/>
      <w:sz w:val="18"/>
      <w:szCs w:val="18"/>
    </w:rPr>
  </w:style>
  <w:style w:type="paragraph" w:styleId="25">
    <w:name w:val="footer"/>
    <w:basedOn w:val="1"/>
    <w:link w:val="62"/>
    <w:qFormat/>
    <w:uiPriority w:val="99"/>
    <w:pPr>
      <w:tabs>
        <w:tab w:val="center" w:pos="4153"/>
        <w:tab w:val="right" w:pos="8306"/>
      </w:tabs>
      <w:snapToGrid w:val="0"/>
      <w:jc w:val="left"/>
    </w:pPr>
    <w:rPr>
      <w:kern w:val="0"/>
      <w:sz w:val="18"/>
      <w:szCs w:val="20"/>
    </w:rPr>
  </w:style>
  <w:style w:type="paragraph" w:styleId="26">
    <w:name w:val="header"/>
    <w:basedOn w:val="1"/>
    <w:link w:val="6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semiHidden/>
    <w:qFormat/>
    <w:uiPriority w:val="0"/>
    <w:rPr>
      <w:sz w:val="24"/>
    </w:rPr>
  </w:style>
  <w:style w:type="paragraph" w:styleId="28">
    <w:name w:val="List"/>
    <w:basedOn w:val="1"/>
    <w:qFormat/>
    <w:uiPriority w:val="0"/>
    <w:pPr>
      <w:ind w:left="200" w:hanging="200" w:hangingChars="200"/>
    </w:pPr>
  </w:style>
  <w:style w:type="paragraph" w:styleId="29">
    <w:name w:val="Body Text Indent 3"/>
    <w:basedOn w:val="1"/>
    <w:next w:val="14"/>
    <w:link w:val="64"/>
    <w:qFormat/>
    <w:uiPriority w:val="0"/>
    <w:pPr>
      <w:spacing w:after="120"/>
      <w:ind w:left="420" w:leftChars="200"/>
    </w:pPr>
    <w:rPr>
      <w:kern w:val="0"/>
      <w:sz w:val="16"/>
      <w:szCs w:val="16"/>
    </w:rPr>
  </w:style>
  <w:style w:type="paragraph" w:styleId="30">
    <w:name w:val="Body Text 2"/>
    <w:basedOn w:val="1"/>
    <w:link w:val="65"/>
    <w:qFormat/>
    <w:uiPriority w:val="0"/>
    <w:pPr>
      <w:snapToGrid w:val="0"/>
    </w:pPr>
    <w:rPr>
      <w:b/>
      <w:bCs/>
      <w:kern w:val="0"/>
      <w:sz w:val="18"/>
    </w:rPr>
  </w:style>
  <w:style w:type="paragraph" w:styleId="3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2">
    <w:name w:val="annotation subject"/>
    <w:basedOn w:val="15"/>
    <w:next w:val="15"/>
    <w:link w:val="66"/>
    <w:unhideWhenUsed/>
    <w:qFormat/>
    <w:uiPriority w:val="99"/>
    <w:rPr>
      <w:b/>
      <w:bCs/>
    </w:rPr>
  </w:style>
  <w:style w:type="paragraph" w:styleId="33">
    <w:name w:val="Body Text First Indent"/>
    <w:basedOn w:val="17"/>
    <w:link w:val="67"/>
    <w:qFormat/>
    <w:uiPriority w:val="0"/>
    <w:pPr>
      <w:spacing w:after="120"/>
      <w:ind w:firstLine="420" w:firstLineChars="100"/>
    </w:pPr>
    <w:rPr>
      <w:rFonts w:ascii="Times New Roman" w:eastAsia="宋体"/>
      <w:szCs w:val="24"/>
    </w:rPr>
  </w:style>
  <w:style w:type="paragraph" w:styleId="34">
    <w:name w:val="Body Text First Indent 2"/>
    <w:basedOn w:val="18"/>
    <w:unhideWhenUsed/>
    <w:qFormat/>
    <w:uiPriority w:val="99"/>
    <w:pPr>
      <w:ind w:firstLine="200" w:firstLineChars="200"/>
    </w:pPr>
  </w:style>
  <w:style w:type="table" w:styleId="36">
    <w:name w:val="Table Grid"/>
    <w:basedOn w:val="3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qFormat/>
    <w:uiPriority w:val="0"/>
  </w:style>
  <w:style w:type="character" w:styleId="40">
    <w:name w:val="FollowedHyperlink"/>
    <w:qFormat/>
    <w:uiPriority w:val="0"/>
    <w:rPr>
      <w:color w:val="800080"/>
      <w:u w:val="single"/>
    </w:rPr>
  </w:style>
  <w:style w:type="character" w:styleId="41">
    <w:name w:val="Hyperlink"/>
    <w:qFormat/>
    <w:uiPriority w:val="0"/>
    <w:rPr>
      <w:color w:val="0000FF"/>
      <w:u w:val="single"/>
    </w:rPr>
  </w:style>
  <w:style w:type="character" w:styleId="42">
    <w:name w:val="annotation reference"/>
    <w:unhideWhenUsed/>
    <w:qFormat/>
    <w:uiPriority w:val="99"/>
    <w:rPr>
      <w:sz w:val="21"/>
      <w:szCs w:val="21"/>
    </w:rPr>
  </w:style>
  <w:style w:type="character" w:customStyle="1" w:styleId="43">
    <w:name w:val="标题 2 Char"/>
    <w:link w:val="3"/>
    <w:qFormat/>
    <w:uiPriority w:val="0"/>
    <w:rPr>
      <w:rFonts w:ascii="Arial" w:hAnsi="Arial" w:eastAsia="黑体" w:cs="Times New Roman"/>
      <w:b/>
      <w:bCs/>
      <w:sz w:val="32"/>
      <w:szCs w:val="32"/>
    </w:rPr>
  </w:style>
  <w:style w:type="character" w:customStyle="1" w:styleId="44">
    <w:name w:val="标题 1 Char"/>
    <w:link w:val="2"/>
    <w:qFormat/>
    <w:uiPriority w:val="0"/>
    <w:rPr>
      <w:rFonts w:ascii="Times New Roman" w:hAnsi="Times New Roman" w:eastAsia="宋体" w:cs="Times New Roman"/>
      <w:b/>
      <w:bCs/>
      <w:kern w:val="44"/>
      <w:sz w:val="44"/>
      <w:szCs w:val="44"/>
    </w:rPr>
  </w:style>
  <w:style w:type="character" w:customStyle="1" w:styleId="45">
    <w:name w:val="标题 3 Char"/>
    <w:link w:val="4"/>
    <w:qFormat/>
    <w:uiPriority w:val="0"/>
    <w:rPr>
      <w:rFonts w:ascii="Times New Roman" w:hAnsi="Times New Roman" w:eastAsia="宋体" w:cs="Times New Roman"/>
      <w:b/>
      <w:bCs/>
      <w:sz w:val="32"/>
      <w:szCs w:val="32"/>
    </w:rPr>
  </w:style>
  <w:style w:type="character" w:customStyle="1" w:styleId="46">
    <w:name w:val="标题 4 Char"/>
    <w:link w:val="5"/>
    <w:qFormat/>
    <w:uiPriority w:val="9"/>
    <w:rPr>
      <w:rFonts w:ascii="Times New Roman" w:hAnsi="Times New Roman" w:eastAsia="新宋体" w:cs="Times New Roman"/>
      <w:sz w:val="30"/>
      <w:szCs w:val="21"/>
    </w:rPr>
  </w:style>
  <w:style w:type="character" w:customStyle="1" w:styleId="47">
    <w:name w:val="标题 5 Char"/>
    <w:link w:val="7"/>
    <w:qFormat/>
    <w:uiPriority w:val="0"/>
    <w:rPr>
      <w:rFonts w:ascii="Times New Roman" w:hAnsi="Times New Roman" w:eastAsia="宋体" w:cs="Times New Roman"/>
      <w:b/>
      <w:bCs/>
      <w:sz w:val="28"/>
      <w:szCs w:val="28"/>
    </w:rPr>
  </w:style>
  <w:style w:type="character" w:customStyle="1" w:styleId="48">
    <w:name w:val="标题 6 Char"/>
    <w:link w:val="8"/>
    <w:qFormat/>
    <w:uiPriority w:val="0"/>
    <w:rPr>
      <w:rFonts w:ascii="Times New Roman" w:hAnsi="Times New Roman" w:eastAsia="宋体" w:cs="Times New Roman"/>
      <w:b/>
      <w:sz w:val="44"/>
      <w:szCs w:val="20"/>
    </w:rPr>
  </w:style>
  <w:style w:type="character" w:customStyle="1" w:styleId="49">
    <w:name w:val="标题 7 Char"/>
    <w:link w:val="9"/>
    <w:qFormat/>
    <w:uiPriority w:val="0"/>
    <w:rPr>
      <w:rFonts w:ascii="Times New Roman" w:hAnsi="Times New Roman" w:eastAsia="宋体" w:cs="Times New Roman"/>
      <w:b/>
      <w:bCs/>
      <w:sz w:val="24"/>
      <w:szCs w:val="24"/>
    </w:rPr>
  </w:style>
  <w:style w:type="character" w:customStyle="1" w:styleId="50">
    <w:name w:val="标题 8 Char"/>
    <w:link w:val="10"/>
    <w:qFormat/>
    <w:uiPriority w:val="0"/>
    <w:rPr>
      <w:rFonts w:ascii="Arial" w:hAnsi="Arial" w:eastAsia="黑体" w:cs="Times New Roman"/>
      <w:sz w:val="24"/>
      <w:szCs w:val="24"/>
    </w:rPr>
  </w:style>
  <w:style w:type="character" w:customStyle="1" w:styleId="51">
    <w:name w:val="标题 9 Char"/>
    <w:link w:val="11"/>
    <w:qFormat/>
    <w:uiPriority w:val="0"/>
    <w:rPr>
      <w:rFonts w:ascii="Arial" w:hAnsi="Arial" w:eastAsia="黑体" w:cs="Times New Roman"/>
      <w:sz w:val="24"/>
      <w:szCs w:val="21"/>
    </w:rPr>
  </w:style>
  <w:style w:type="character" w:customStyle="1" w:styleId="52">
    <w:name w:val="正文缩进 Char"/>
    <w:link w:val="6"/>
    <w:qFormat/>
    <w:uiPriority w:val="0"/>
    <w:rPr>
      <w:rFonts w:ascii="Times New Roman" w:hAnsi="Times New Roman" w:eastAsia="宋体" w:cs="Times New Roman"/>
      <w:kern w:val="0"/>
      <w:sz w:val="20"/>
      <w:szCs w:val="20"/>
    </w:rPr>
  </w:style>
  <w:style w:type="character" w:customStyle="1" w:styleId="53">
    <w:name w:val="文档结构图 Char"/>
    <w:link w:val="13"/>
    <w:semiHidden/>
    <w:qFormat/>
    <w:uiPriority w:val="0"/>
    <w:rPr>
      <w:szCs w:val="24"/>
      <w:shd w:val="clear" w:color="auto" w:fill="000080"/>
    </w:rPr>
  </w:style>
  <w:style w:type="character" w:customStyle="1" w:styleId="54">
    <w:name w:val="批注文字 Char"/>
    <w:link w:val="15"/>
    <w:qFormat/>
    <w:uiPriority w:val="99"/>
    <w:rPr>
      <w:kern w:val="2"/>
      <w:sz w:val="21"/>
      <w:szCs w:val="24"/>
    </w:rPr>
  </w:style>
  <w:style w:type="character" w:customStyle="1" w:styleId="55">
    <w:name w:val="正文文本 3 Char"/>
    <w:link w:val="16"/>
    <w:qFormat/>
    <w:uiPriority w:val="0"/>
    <w:rPr>
      <w:rFonts w:ascii="Times New Roman" w:hAnsi="Times New Roman" w:eastAsia="宋体" w:cs="Times New Roman"/>
      <w:sz w:val="16"/>
      <w:szCs w:val="16"/>
    </w:rPr>
  </w:style>
  <w:style w:type="character" w:customStyle="1" w:styleId="56">
    <w:name w:val="正文文本 Char"/>
    <w:link w:val="17"/>
    <w:qFormat/>
    <w:uiPriority w:val="0"/>
    <w:rPr>
      <w:rFonts w:ascii="仿宋_GB2312" w:hAnsi="Times New Roman" w:eastAsia="仿宋_GB2312" w:cs="Times New Roman"/>
      <w:sz w:val="24"/>
      <w:szCs w:val="20"/>
    </w:rPr>
  </w:style>
  <w:style w:type="character" w:customStyle="1" w:styleId="57">
    <w:name w:val="正文文本缩进 Char"/>
    <w:link w:val="18"/>
    <w:qFormat/>
    <w:uiPriority w:val="0"/>
    <w:rPr>
      <w:rFonts w:ascii="仿宋_GB2312" w:hAnsi="Times New Roman" w:eastAsia="仿宋_GB2312" w:cs="Times New Roman"/>
      <w:sz w:val="28"/>
      <w:szCs w:val="20"/>
    </w:rPr>
  </w:style>
  <w:style w:type="character" w:customStyle="1" w:styleId="58">
    <w:name w:val="纯文本 Char"/>
    <w:link w:val="21"/>
    <w:qFormat/>
    <w:uiPriority w:val="0"/>
    <w:rPr>
      <w:rFonts w:ascii="宋体" w:hAnsi="Courier New" w:eastAsia="宋体" w:cs="Courier New"/>
      <w:szCs w:val="21"/>
    </w:rPr>
  </w:style>
  <w:style w:type="character" w:customStyle="1" w:styleId="59">
    <w:name w:val="日期 Char"/>
    <w:link w:val="22"/>
    <w:qFormat/>
    <w:uiPriority w:val="0"/>
    <w:rPr>
      <w:rFonts w:ascii="Times New Roman" w:hAnsi="Times New Roman" w:eastAsia="宋体" w:cs="Times New Roman"/>
      <w:sz w:val="24"/>
      <w:szCs w:val="20"/>
    </w:rPr>
  </w:style>
  <w:style w:type="character" w:customStyle="1" w:styleId="60">
    <w:name w:val="正文文本缩进 2 Char"/>
    <w:link w:val="23"/>
    <w:qFormat/>
    <w:uiPriority w:val="0"/>
    <w:rPr>
      <w:rFonts w:ascii="Times New Roman" w:hAnsi="Times New Roman" w:eastAsia="仿宋_GB2312" w:cs="Times New Roman"/>
      <w:sz w:val="28"/>
      <w:szCs w:val="20"/>
    </w:rPr>
  </w:style>
  <w:style w:type="character" w:customStyle="1" w:styleId="61">
    <w:name w:val="批注框文本 Char"/>
    <w:link w:val="24"/>
    <w:semiHidden/>
    <w:qFormat/>
    <w:uiPriority w:val="0"/>
    <w:rPr>
      <w:sz w:val="18"/>
      <w:szCs w:val="18"/>
    </w:rPr>
  </w:style>
  <w:style w:type="character" w:customStyle="1" w:styleId="62">
    <w:name w:val="页脚 Char"/>
    <w:link w:val="25"/>
    <w:qFormat/>
    <w:uiPriority w:val="99"/>
    <w:rPr>
      <w:rFonts w:ascii="Times New Roman" w:hAnsi="Times New Roman" w:eastAsia="宋体" w:cs="Times New Roman"/>
      <w:sz w:val="18"/>
      <w:szCs w:val="20"/>
    </w:rPr>
  </w:style>
  <w:style w:type="character" w:customStyle="1" w:styleId="63">
    <w:name w:val="页眉 Char"/>
    <w:link w:val="26"/>
    <w:qFormat/>
    <w:uiPriority w:val="0"/>
    <w:rPr>
      <w:rFonts w:ascii="Times New Roman" w:hAnsi="Times New Roman" w:eastAsia="宋体" w:cs="Times New Roman"/>
      <w:sz w:val="18"/>
      <w:szCs w:val="18"/>
    </w:rPr>
  </w:style>
  <w:style w:type="character" w:customStyle="1" w:styleId="64">
    <w:name w:val="正文文本缩进 3 Char"/>
    <w:link w:val="29"/>
    <w:qFormat/>
    <w:uiPriority w:val="0"/>
    <w:rPr>
      <w:rFonts w:ascii="Times New Roman" w:hAnsi="Times New Roman" w:eastAsia="宋体" w:cs="Times New Roman"/>
      <w:sz w:val="16"/>
      <w:szCs w:val="16"/>
    </w:rPr>
  </w:style>
  <w:style w:type="character" w:customStyle="1" w:styleId="65">
    <w:name w:val="正文文本 2 Char"/>
    <w:link w:val="30"/>
    <w:qFormat/>
    <w:uiPriority w:val="0"/>
    <w:rPr>
      <w:rFonts w:ascii="Times New Roman" w:hAnsi="Times New Roman" w:eastAsia="宋体" w:cs="Times New Roman"/>
      <w:b/>
      <w:bCs/>
      <w:sz w:val="18"/>
      <w:szCs w:val="24"/>
    </w:rPr>
  </w:style>
  <w:style w:type="character" w:customStyle="1" w:styleId="66">
    <w:name w:val="批注主题 Char"/>
    <w:link w:val="32"/>
    <w:semiHidden/>
    <w:qFormat/>
    <w:uiPriority w:val="99"/>
    <w:rPr>
      <w:b/>
      <w:bCs/>
      <w:kern w:val="2"/>
      <w:sz w:val="21"/>
      <w:szCs w:val="24"/>
    </w:rPr>
  </w:style>
  <w:style w:type="character" w:customStyle="1" w:styleId="67">
    <w:name w:val="正文首行缩进 Char"/>
    <w:link w:val="33"/>
    <w:qFormat/>
    <w:uiPriority w:val="0"/>
    <w:rPr>
      <w:rFonts w:ascii="Times New Roman" w:hAnsi="Times New Roman" w:eastAsia="宋体" w:cs="Times New Roman"/>
      <w:sz w:val="24"/>
      <w:szCs w:val="24"/>
    </w:rPr>
  </w:style>
  <w:style w:type="paragraph" w:customStyle="1" w:styleId="68">
    <w:name w:val="无间隔1"/>
    <w:qFormat/>
    <w:uiPriority w:val="0"/>
    <w:rPr>
      <w:rFonts w:ascii="Times New Roman" w:hAnsi="Times New Roman" w:eastAsia="宋体" w:cs="Calibri"/>
      <w:sz w:val="22"/>
      <w:lang w:val="en-US" w:eastAsia="zh-CN" w:bidi="ar-SA"/>
    </w:rPr>
  </w:style>
  <w:style w:type="paragraph" w:customStyle="1" w:styleId="69">
    <w:name w:val="正文1"/>
    <w:next w:val="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70">
    <w:name w:val="style4"/>
    <w:basedOn w:val="1"/>
    <w:next w:val="71"/>
    <w:qFormat/>
    <w:uiPriority w:val="0"/>
    <w:pPr>
      <w:widowControl/>
      <w:spacing w:before="280" w:after="280"/>
    </w:pPr>
    <w:rPr>
      <w:rFonts w:ascii="宋体"/>
      <w:sz w:val="18"/>
    </w:rPr>
  </w:style>
  <w:style w:type="paragraph" w:customStyle="1" w:styleId="71">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72">
    <w:name w:val="font11"/>
    <w:qFormat/>
    <w:uiPriority w:val="0"/>
    <w:rPr>
      <w:rFonts w:hint="eastAsia" w:ascii="宋体" w:hAnsi="宋体" w:eastAsia="宋体" w:cs="宋体"/>
      <w:color w:val="000000"/>
      <w:sz w:val="24"/>
      <w:szCs w:val="24"/>
      <w:u w:val="none"/>
    </w:rPr>
  </w:style>
  <w:style w:type="character" w:customStyle="1" w:styleId="73">
    <w:name w:val="font41"/>
    <w:qFormat/>
    <w:uiPriority w:val="0"/>
    <w:rPr>
      <w:rFonts w:hint="eastAsia" w:ascii="宋体" w:hAnsi="宋体" w:eastAsia="宋体" w:cs="宋体"/>
      <w:color w:val="FFCC00"/>
      <w:sz w:val="24"/>
      <w:szCs w:val="24"/>
      <w:u w:val="none"/>
    </w:rPr>
  </w:style>
  <w:style w:type="character" w:customStyle="1" w:styleId="74">
    <w:name w:val="样式 ssss + 宋体 五号1 Char"/>
    <w:link w:val="75"/>
    <w:qFormat/>
    <w:uiPriority w:val="0"/>
    <w:rPr>
      <w:rFonts w:ascii="宋体" w:hAnsi="宋体" w:eastAsia="宋体" w:cs="Times New Roman"/>
      <w:sz w:val="24"/>
      <w:szCs w:val="24"/>
    </w:rPr>
  </w:style>
  <w:style w:type="paragraph" w:customStyle="1" w:styleId="75">
    <w:name w:val="样式 ssss + 宋体 五号1"/>
    <w:basedOn w:val="76"/>
    <w:link w:val="74"/>
    <w:qFormat/>
    <w:uiPriority w:val="0"/>
    <w:rPr>
      <w:rFonts w:ascii="宋体" w:hAnsi="宋体"/>
    </w:rPr>
  </w:style>
  <w:style w:type="paragraph" w:customStyle="1" w:styleId="76">
    <w:name w:val="ssss"/>
    <w:basedOn w:val="1"/>
    <w:link w:val="77"/>
    <w:qFormat/>
    <w:uiPriority w:val="0"/>
    <w:pPr>
      <w:spacing w:line="360" w:lineRule="auto"/>
      <w:ind w:firstLine="480" w:firstLineChars="200"/>
    </w:pPr>
    <w:rPr>
      <w:kern w:val="0"/>
      <w:sz w:val="24"/>
    </w:rPr>
  </w:style>
  <w:style w:type="character" w:customStyle="1" w:styleId="77">
    <w:name w:val="ssss Char1"/>
    <w:link w:val="76"/>
    <w:qFormat/>
    <w:uiPriority w:val="0"/>
    <w:rPr>
      <w:rFonts w:ascii="Times New Roman" w:hAnsi="Times New Roman" w:eastAsia="宋体" w:cs="Times New Roman"/>
      <w:sz w:val="24"/>
      <w:szCs w:val="24"/>
    </w:rPr>
  </w:style>
  <w:style w:type="character" w:customStyle="1" w:styleId="78">
    <w:name w:val="font01"/>
    <w:qFormat/>
    <w:uiPriority w:val="0"/>
    <w:rPr>
      <w:rFonts w:hint="eastAsia" w:ascii="宋体" w:hAnsi="宋体" w:eastAsia="宋体" w:cs="宋体"/>
      <w:color w:val="FF0000"/>
      <w:sz w:val="24"/>
      <w:szCs w:val="24"/>
      <w:u w:val="none"/>
    </w:rPr>
  </w:style>
  <w:style w:type="character" w:customStyle="1" w:styleId="79">
    <w:name w:val="point_normal1"/>
    <w:qFormat/>
    <w:uiPriority w:val="0"/>
    <w:rPr>
      <w:rFonts w:hint="default" w:ascii="Arial" w:hAnsi="Arial" w:cs="Arial"/>
      <w:sz w:val="16"/>
      <w:szCs w:val="16"/>
    </w:rPr>
  </w:style>
  <w:style w:type="character" w:customStyle="1" w:styleId="80">
    <w:name w:val="列出段落 Char"/>
    <w:link w:val="81"/>
    <w:qFormat/>
    <w:locked/>
    <w:uiPriority w:val="99"/>
  </w:style>
  <w:style w:type="paragraph" w:styleId="81">
    <w:name w:val="List Paragraph"/>
    <w:basedOn w:val="1"/>
    <w:link w:val="80"/>
    <w:qFormat/>
    <w:uiPriority w:val="99"/>
    <w:pPr>
      <w:ind w:firstLine="420" w:firstLineChars="200"/>
    </w:pPr>
    <w:rPr>
      <w:kern w:val="0"/>
      <w:sz w:val="20"/>
      <w:szCs w:val="20"/>
    </w:rPr>
  </w:style>
  <w:style w:type="character" w:customStyle="1" w:styleId="82">
    <w:name w:val="文档结构图 Char1"/>
    <w:semiHidden/>
    <w:qFormat/>
    <w:uiPriority w:val="99"/>
    <w:rPr>
      <w:rFonts w:ascii="宋体" w:hAnsi="Times New Roman" w:eastAsia="宋体" w:cs="Times New Roman"/>
      <w:sz w:val="18"/>
      <w:szCs w:val="18"/>
    </w:rPr>
  </w:style>
  <w:style w:type="character" w:customStyle="1" w:styleId="83">
    <w:name w:val="普通正文 Char"/>
    <w:link w:val="84"/>
    <w:qFormat/>
    <w:uiPriority w:val="0"/>
    <w:rPr>
      <w:rFonts w:ascii="Arial" w:hAnsi="Arial"/>
      <w:sz w:val="24"/>
      <w:szCs w:val="24"/>
    </w:rPr>
  </w:style>
  <w:style w:type="paragraph" w:customStyle="1" w:styleId="84">
    <w:name w:val="普通正文"/>
    <w:basedOn w:val="1"/>
    <w:link w:val="83"/>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5">
    <w:name w:val="FA正文 Char"/>
    <w:link w:val="86"/>
    <w:qFormat/>
    <w:uiPriority w:val="0"/>
    <w:rPr>
      <w:rFonts w:ascii="宋体" w:hAnsi="宋体" w:eastAsia="宋体" w:cs="Times New Roman"/>
      <w:sz w:val="28"/>
      <w:szCs w:val="28"/>
    </w:rPr>
  </w:style>
  <w:style w:type="paragraph" w:customStyle="1" w:styleId="86">
    <w:name w:val="FA正文"/>
    <w:basedOn w:val="1"/>
    <w:link w:val="85"/>
    <w:qFormat/>
    <w:uiPriority w:val="0"/>
    <w:pPr>
      <w:tabs>
        <w:tab w:val="left" w:pos="3375"/>
      </w:tabs>
      <w:spacing w:line="440" w:lineRule="atLeast"/>
      <w:ind w:firstLine="538" w:firstLineChars="192"/>
    </w:pPr>
    <w:rPr>
      <w:rFonts w:ascii="宋体" w:hAnsi="宋体"/>
      <w:kern w:val="0"/>
      <w:sz w:val="28"/>
      <w:szCs w:val="28"/>
    </w:rPr>
  </w:style>
  <w:style w:type="character" w:customStyle="1" w:styleId="87">
    <w:name w:val="正文缩进2格 Char"/>
    <w:link w:val="88"/>
    <w:qFormat/>
    <w:uiPriority w:val="0"/>
    <w:rPr>
      <w:rFonts w:ascii="仿宋_GB2312" w:hAnsi="宋体" w:eastAsia="仿宋_GB2312" w:cs="Times New Roman"/>
      <w:sz w:val="31"/>
      <w:szCs w:val="28"/>
    </w:rPr>
  </w:style>
  <w:style w:type="paragraph" w:customStyle="1" w:styleId="88">
    <w:name w:val="正文缩进2格"/>
    <w:basedOn w:val="1"/>
    <w:link w:val="87"/>
    <w:qFormat/>
    <w:uiPriority w:val="0"/>
    <w:pPr>
      <w:spacing w:line="600" w:lineRule="exact"/>
      <w:ind w:firstLine="639" w:firstLineChars="206"/>
    </w:pPr>
    <w:rPr>
      <w:rFonts w:ascii="仿宋_GB2312" w:hAnsi="宋体" w:eastAsia="仿宋_GB2312"/>
      <w:kern w:val="0"/>
      <w:sz w:val="31"/>
      <w:szCs w:val="28"/>
    </w:rPr>
  </w:style>
  <w:style w:type="character" w:customStyle="1" w:styleId="89">
    <w:name w:val="cn_text1"/>
    <w:qFormat/>
    <w:uiPriority w:val="0"/>
    <w:rPr>
      <w:rFonts w:hint="default" w:ascii="ˎ̥" w:hAnsi="ˎ̥"/>
      <w:color w:val="003399"/>
      <w:spacing w:val="15"/>
      <w:sz w:val="18"/>
      <w:szCs w:val="18"/>
    </w:rPr>
  </w:style>
  <w:style w:type="character" w:customStyle="1" w:styleId="90">
    <w:name w:val="ssss Char"/>
    <w:qFormat/>
    <w:uiPriority w:val="0"/>
    <w:rPr>
      <w:rFonts w:eastAsia="宋体"/>
      <w:kern w:val="2"/>
      <w:sz w:val="24"/>
      <w:szCs w:val="24"/>
      <w:lang w:val="en-US" w:eastAsia="zh-CN" w:bidi="ar-SA"/>
    </w:rPr>
  </w:style>
  <w:style w:type="character" w:customStyle="1" w:styleId="91">
    <w:name w:val="标题 4 Char1"/>
    <w:qFormat/>
    <w:uiPriority w:val="0"/>
    <w:rPr>
      <w:rFonts w:ascii="Arial" w:hAnsi="Arial" w:eastAsia="黑体"/>
      <w:b/>
      <w:bCs/>
      <w:kern w:val="2"/>
      <w:sz w:val="28"/>
      <w:szCs w:val="28"/>
      <w:lang w:val="en-US" w:eastAsia="zh-CN" w:bidi="ar-SA"/>
    </w:rPr>
  </w:style>
  <w:style w:type="character" w:customStyle="1" w:styleId="92">
    <w:name w:val="列表段落 字符"/>
    <w:qFormat/>
    <w:uiPriority w:val="34"/>
    <w:rPr>
      <w:rFonts w:ascii="Calibri" w:hAnsi="Calibri"/>
      <w:kern w:val="2"/>
      <w:sz w:val="21"/>
      <w:szCs w:val="22"/>
    </w:rPr>
  </w:style>
  <w:style w:type="character" w:customStyle="1" w:styleId="93">
    <w:name w:val="批注框文本 Char1"/>
    <w:semiHidden/>
    <w:qFormat/>
    <w:uiPriority w:val="99"/>
    <w:rPr>
      <w:rFonts w:ascii="Times New Roman" w:hAnsi="Times New Roman" w:eastAsia="宋体" w:cs="Times New Roman"/>
      <w:sz w:val="18"/>
      <w:szCs w:val="18"/>
    </w:rPr>
  </w:style>
  <w:style w:type="paragraph" w:customStyle="1" w:styleId="94">
    <w:name w:val="样式 正文文本缩进 3 + 四号"/>
    <w:basedOn w:val="29"/>
    <w:qFormat/>
    <w:uiPriority w:val="0"/>
    <w:pPr>
      <w:spacing w:after="0" w:line="360" w:lineRule="auto"/>
      <w:ind w:left="0" w:leftChars="0" w:firstLine="437"/>
    </w:pPr>
    <w:rPr>
      <w:sz w:val="24"/>
      <w:szCs w:val="21"/>
    </w:rPr>
  </w:style>
  <w:style w:type="paragraph" w:customStyle="1" w:styleId="95">
    <w:name w:val="Default"/>
    <w:basedOn w:val="1"/>
    <w:qFormat/>
    <w:uiPriority w:val="0"/>
    <w:pPr>
      <w:autoSpaceDE w:val="0"/>
      <w:autoSpaceDN w:val="0"/>
      <w:adjustRightInd w:val="0"/>
      <w:jc w:val="left"/>
    </w:pPr>
    <w:rPr>
      <w:rFonts w:ascii="Arial" w:hAnsi="Arial" w:eastAsia="PMingLiU"/>
      <w:kern w:val="0"/>
      <w:sz w:val="20"/>
      <w:szCs w:val="20"/>
    </w:rPr>
  </w:style>
  <w:style w:type="paragraph" w:customStyle="1" w:styleId="9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97">
    <w:name w:val="正文缩进1"/>
    <w:basedOn w:val="1"/>
    <w:qFormat/>
    <w:uiPriority w:val="0"/>
    <w:pPr>
      <w:widowControl/>
      <w:ind w:firstLine="420"/>
      <w:jc w:val="left"/>
    </w:pPr>
    <w:rPr>
      <w:kern w:val="0"/>
    </w:rPr>
  </w:style>
  <w:style w:type="paragraph" w:customStyle="1" w:styleId="98">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99">
    <w:name w:val="样式 样式 ssss + 宋体 五号 + 首行缩进:  2 字符"/>
    <w:basedOn w:val="100"/>
    <w:qFormat/>
    <w:uiPriority w:val="0"/>
    <w:pPr>
      <w:ind w:firstLine="480"/>
    </w:pPr>
  </w:style>
  <w:style w:type="paragraph" w:customStyle="1" w:styleId="100">
    <w:name w:val="样式 ssss + 宋体 五号"/>
    <w:basedOn w:val="76"/>
    <w:qFormat/>
    <w:uiPriority w:val="0"/>
    <w:pPr>
      <w:ind w:firstLine="420"/>
    </w:pPr>
    <w:rPr>
      <w:rFonts w:ascii="宋体" w:hAnsi="宋体" w:cs="宋体"/>
      <w:szCs w:val="20"/>
    </w:rPr>
  </w:style>
  <w:style w:type="paragraph" w:customStyle="1" w:styleId="101">
    <w:name w:val="Char Char Char Char"/>
    <w:basedOn w:val="1"/>
    <w:qFormat/>
    <w:uiPriority w:val="0"/>
    <w:rPr>
      <w:rFonts w:ascii="Tahoma" w:hAnsi="Tahoma"/>
      <w:sz w:val="24"/>
      <w:szCs w:val="20"/>
    </w:rPr>
  </w:style>
  <w:style w:type="paragraph" w:customStyle="1" w:styleId="102">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04">
    <w:name w:val="标题-----3"/>
    <w:basedOn w:val="4"/>
    <w:qFormat/>
    <w:uiPriority w:val="0"/>
    <w:pPr>
      <w:spacing w:before="0" w:after="0" w:line="240" w:lineRule="auto"/>
      <w:outlineLvl w:val="0"/>
    </w:pPr>
    <w:rPr>
      <w:rFonts w:ascii="宋体" w:hAnsi="宋体"/>
      <w:b w:val="0"/>
      <w:bCs w:val="0"/>
      <w:sz w:val="28"/>
      <w:szCs w:val="28"/>
    </w:rPr>
  </w:style>
  <w:style w:type="paragraph" w:customStyle="1" w:styleId="105">
    <w:name w:val="Char Char Char Char Char Char Char Char Char Char Char Char Char"/>
    <w:basedOn w:val="1"/>
    <w:qFormat/>
    <w:uiPriority w:val="0"/>
  </w:style>
  <w:style w:type="paragraph" w:customStyle="1" w:styleId="106">
    <w:name w:val="表格正文"/>
    <w:basedOn w:val="1"/>
    <w:qFormat/>
    <w:uiPriority w:val="0"/>
    <w:pPr>
      <w:spacing w:line="360" w:lineRule="auto"/>
      <w:jc w:val="left"/>
    </w:pPr>
    <w:rPr>
      <w:rFonts w:ascii="Calibri" w:hAnsi="Calibri"/>
      <w:color w:val="000000"/>
      <w:szCs w:val="28"/>
    </w:rPr>
  </w:style>
  <w:style w:type="paragraph" w:customStyle="1" w:styleId="107">
    <w:name w:val="Char Char Char Char1"/>
    <w:basedOn w:val="1"/>
    <w:qFormat/>
    <w:uiPriority w:val="0"/>
    <w:rPr>
      <w:rFonts w:ascii="Tahoma" w:hAnsi="Tahoma"/>
      <w:sz w:val="24"/>
      <w:szCs w:val="20"/>
    </w:rPr>
  </w:style>
  <w:style w:type="paragraph" w:customStyle="1" w:styleId="108">
    <w:name w:val="Char Char Char"/>
    <w:basedOn w:val="1"/>
    <w:qFormat/>
    <w:uiPriority w:val="0"/>
    <w:rPr>
      <w:rFonts w:ascii="Tahoma" w:hAnsi="Tahoma"/>
      <w:sz w:val="24"/>
      <w:szCs w:val="20"/>
    </w:rPr>
  </w:style>
  <w:style w:type="paragraph" w:customStyle="1" w:styleId="109">
    <w:name w:val="样式 ssss + 居中"/>
    <w:basedOn w:val="76"/>
    <w:qFormat/>
    <w:uiPriority w:val="0"/>
    <w:pPr>
      <w:jc w:val="center"/>
    </w:pPr>
    <w:rPr>
      <w:rFonts w:cs="宋体"/>
      <w:szCs w:val="20"/>
    </w:rPr>
  </w:style>
  <w:style w:type="paragraph" w:customStyle="1" w:styleId="110">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Char"/>
    <w:basedOn w:val="1"/>
    <w:qFormat/>
    <w:uiPriority w:val="0"/>
    <w:rPr>
      <w:rFonts w:ascii="Tahoma" w:hAnsi="Tahoma"/>
      <w:sz w:val="24"/>
      <w:szCs w:val="20"/>
    </w:rPr>
  </w:style>
  <w:style w:type="paragraph" w:customStyle="1" w:styleId="112">
    <w:name w:val="列出段落1"/>
    <w:basedOn w:val="1"/>
    <w:qFormat/>
    <w:uiPriority w:val="34"/>
    <w:pPr>
      <w:widowControl/>
      <w:ind w:left="720"/>
      <w:contextualSpacing/>
      <w:jc w:val="left"/>
    </w:pPr>
    <w:rPr>
      <w:kern w:val="0"/>
      <w:sz w:val="24"/>
      <w:lang w:eastAsia="en-US" w:bidi="en-US"/>
    </w:rPr>
  </w:style>
  <w:style w:type="paragraph" w:customStyle="1" w:styleId="113">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14">
    <w:name w:val="样式8"/>
    <w:basedOn w:val="8"/>
    <w:qFormat/>
    <w:uiPriority w:val="0"/>
    <w:pPr>
      <w:tabs>
        <w:tab w:val="left" w:pos="1152"/>
      </w:tabs>
    </w:pPr>
  </w:style>
  <w:style w:type="paragraph" w:customStyle="1" w:styleId="11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Char Char Char Char Char Char Char Char Char Char Char Char Char1"/>
    <w:basedOn w:val="1"/>
    <w:qFormat/>
    <w:uiPriority w:val="0"/>
    <w:rPr>
      <w:sz w:val="24"/>
    </w:rPr>
  </w:style>
  <w:style w:type="paragraph" w:customStyle="1" w:styleId="11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表格"/>
    <w:basedOn w:val="1"/>
    <w:qFormat/>
    <w:uiPriority w:val="0"/>
    <w:rPr>
      <w:rFonts w:ascii="Arial" w:hAnsi="Arial"/>
      <w:sz w:val="24"/>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样式1"/>
    <w:basedOn w:val="1"/>
    <w:qFormat/>
    <w:uiPriority w:val="0"/>
    <w:pPr>
      <w:spacing w:before="120" w:after="120" w:line="360" w:lineRule="auto"/>
      <w:ind w:firstLine="480" w:firstLineChars="200"/>
    </w:pPr>
    <w:rPr>
      <w:sz w:val="24"/>
      <w:szCs w:val="20"/>
    </w:rPr>
  </w:style>
  <w:style w:type="paragraph" w:customStyle="1" w:styleId="1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4">
    <w:name w:val="Char Char Char Char Char Char Char Char Char Char"/>
    <w:basedOn w:val="1"/>
    <w:qFormat/>
    <w:uiPriority w:val="0"/>
    <w:rPr>
      <w:rFonts w:ascii="Tahoma" w:hAnsi="Tahoma"/>
      <w:sz w:val="24"/>
      <w:szCs w:val="20"/>
    </w:rPr>
  </w:style>
  <w:style w:type="paragraph" w:customStyle="1" w:styleId="125">
    <w:name w:val="Char1"/>
    <w:basedOn w:val="1"/>
    <w:qFormat/>
    <w:uiPriority w:val="0"/>
    <w:pPr>
      <w:tabs>
        <w:tab w:val="left" w:pos="360"/>
      </w:tabs>
    </w:pPr>
    <w:rPr>
      <w:sz w:val="24"/>
    </w:rPr>
  </w:style>
  <w:style w:type="paragraph" w:customStyle="1" w:styleId="126">
    <w:name w:val="Header2"/>
    <w:basedOn w:val="1"/>
    <w:qFormat/>
    <w:uiPriority w:val="0"/>
    <w:pPr>
      <w:numPr>
        <w:ilvl w:val="0"/>
        <w:numId w:val="1"/>
      </w:numPr>
    </w:pPr>
  </w:style>
  <w:style w:type="paragraph" w:customStyle="1" w:styleId="127">
    <w:name w:val="普通(网站) Cha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8">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DAS正文"/>
    <w:basedOn w:val="1"/>
    <w:qFormat/>
    <w:uiPriority w:val="0"/>
    <w:pPr>
      <w:spacing w:line="360" w:lineRule="auto"/>
      <w:ind w:right="181" w:firstLine="480" w:firstLineChars="200"/>
    </w:pPr>
    <w:rPr>
      <w:rFonts w:ascii="Verdana" w:hAnsi="Verdana"/>
      <w:sz w:val="24"/>
      <w:szCs w:val="20"/>
    </w:rPr>
  </w:style>
  <w:style w:type="table" w:customStyle="1" w:styleId="130">
    <w:name w:val="网格型1"/>
    <w:basedOn w:val="3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1">
    <w:name w:val="font51"/>
    <w:qFormat/>
    <w:uiPriority w:val="0"/>
    <w:rPr>
      <w:rFonts w:hint="default" w:ascii="Times New Roman" w:hAnsi="Times New Roman" w:cs="Times New Roman"/>
      <w:color w:val="000000"/>
      <w:sz w:val="20"/>
      <w:szCs w:val="20"/>
      <w:u w:val="none"/>
    </w:rPr>
  </w:style>
  <w:style w:type="character" w:customStyle="1" w:styleId="132">
    <w:name w:val="font61"/>
    <w:qFormat/>
    <w:uiPriority w:val="0"/>
    <w:rPr>
      <w:rFonts w:hint="default" w:ascii="Times New Roman" w:hAnsi="Times New Roman" w:cs="Times New Roman"/>
      <w:color w:val="000000"/>
      <w:sz w:val="21"/>
      <w:szCs w:val="21"/>
      <w:u w:val="none"/>
    </w:rPr>
  </w:style>
  <w:style w:type="character" w:customStyle="1" w:styleId="133">
    <w:name w:val="font71"/>
    <w:qFormat/>
    <w:uiPriority w:val="0"/>
    <w:rPr>
      <w:rFonts w:hint="eastAsia" w:ascii="宋体" w:hAnsi="宋体" w:eastAsia="宋体" w:cs="宋体"/>
      <w:color w:val="000000"/>
      <w:sz w:val="22"/>
      <w:szCs w:val="22"/>
      <w:u w:val="none"/>
    </w:rPr>
  </w:style>
  <w:style w:type="paragraph" w:customStyle="1" w:styleId="134">
    <w:name w:val="表格CXH"/>
    <w:basedOn w:val="1"/>
    <w:qFormat/>
    <w:uiPriority w:val="0"/>
    <w:pPr>
      <w:spacing w:line="276" w:lineRule="auto"/>
    </w:pPr>
    <w:rPr>
      <w:rFonts w:ascii="等线" w:hAnsi="等线"/>
    </w:rPr>
  </w:style>
  <w:style w:type="paragraph" w:customStyle="1" w:styleId="135">
    <w:name w:val="首行缩进"/>
    <w:basedOn w:val="1"/>
    <w:qFormat/>
    <w:uiPriority w:val="0"/>
    <w:pPr>
      <w:ind w:firstLine="480" w:firstLineChars="200"/>
    </w:pPr>
    <w:rPr>
      <w:szCs w:val="20"/>
      <w:lang w:val="zh-CN"/>
    </w:rPr>
  </w:style>
  <w:style w:type="paragraph" w:customStyle="1" w:styleId="136">
    <w:name w:val="sh3"/>
    <w:basedOn w:val="1"/>
    <w:qFormat/>
    <w:uiPriority w:val="0"/>
    <w:pPr>
      <w:spacing w:line="460" w:lineRule="exact"/>
      <w:jc w:val="left"/>
    </w:pPr>
    <w:rPr>
      <w:rFonts w:ascii="宋体" w:hAnsi="宋体"/>
      <w:b/>
      <w:szCs w:val="21"/>
    </w:rPr>
  </w:style>
  <w:style w:type="paragraph" w:customStyle="1" w:styleId="137">
    <w:name w:val="批注文字1"/>
    <w:basedOn w:val="1"/>
    <w:unhideWhenUsed/>
    <w:qFormat/>
    <w:uiPriority w:val="99"/>
    <w:pPr>
      <w:jc w:val="left"/>
    </w:pPr>
  </w:style>
  <w:style w:type="paragraph" w:customStyle="1" w:styleId="138">
    <w:name w:val="Table Paragraph"/>
    <w:basedOn w:val="1"/>
    <w:qFormat/>
    <w:uiPriority w:val="0"/>
    <w:pPr>
      <w:autoSpaceDE w:val="0"/>
      <w:autoSpaceDN w:val="0"/>
      <w:adjustRightInd w:val="0"/>
      <w:jc w:val="left"/>
    </w:pPr>
    <w:rPr>
      <w:kern w:val="0"/>
      <w:sz w:val="24"/>
    </w:rPr>
  </w:style>
  <w:style w:type="paragraph" w:customStyle="1" w:styleId="139">
    <w:name w:val="null3"/>
    <w:qFormat/>
    <w:uiPriority w:val="0"/>
    <w:rPr>
      <w:rFonts w:hint="eastAsia" w:ascii="Calibri" w:hAnsi="Calibri" w:eastAsia="宋体" w:cs="Times New Roman"/>
      <w:lang w:val="en-US" w:eastAsia="zh-CN" w:bidi="ar-SA"/>
    </w:rPr>
  </w:style>
  <w:style w:type="paragraph" w:customStyle="1" w:styleId="140">
    <w:name w:val="_Style 3"/>
    <w:basedOn w:val="1"/>
    <w:qFormat/>
    <w:uiPriority w:val="0"/>
    <w:pPr>
      <w:ind w:firstLine="420" w:firstLineChars="200"/>
    </w:pPr>
    <w:rPr>
      <w:sz w:val="20"/>
    </w:rPr>
  </w:style>
  <w:style w:type="paragraph" w:customStyle="1" w:styleId="141">
    <w:name w:val="_Style 1"/>
    <w:basedOn w:val="1"/>
    <w:qFormat/>
    <w:uiPriority w:val="0"/>
    <w:pPr>
      <w:widowControl/>
      <w:spacing w:before="120" w:after="120"/>
      <w:ind w:left="720" w:firstLine="200" w:firstLineChars="200"/>
      <w:contextualSpacing/>
      <w:jc w:val="left"/>
    </w:pPr>
    <w:rPr>
      <w:rFonts w:ascii="Calibri" w:hAnsi="Calibri"/>
      <w:iCs/>
      <w:color w:val="17365D"/>
      <w:kern w:val="0"/>
      <w:szCs w:val="20"/>
    </w:rPr>
  </w:style>
  <w:style w:type="paragraph" w:customStyle="1" w:styleId="142">
    <w:name w:val="图例"/>
    <w:basedOn w:val="1"/>
    <w:qFormat/>
    <w:uiPriority w:val="0"/>
    <w:pPr>
      <w:spacing w:before="120" w:after="120" w:line="360" w:lineRule="auto"/>
      <w:jc w:val="center"/>
    </w:pPr>
    <w:rPr>
      <w:rFonts w:eastAsia="仿宋_GB2312"/>
      <w:b/>
      <w:sz w:val="24"/>
      <w:szCs w:val="20"/>
    </w:rPr>
  </w:style>
  <w:style w:type="paragraph" w:customStyle="1" w:styleId="143">
    <w:name w:val="正文首行缩进11"/>
    <w:basedOn w:val="144"/>
    <w:qFormat/>
    <w:uiPriority w:val="0"/>
    <w:pPr>
      <w:spacing w:line="360" w:lineRule="auto"/>
      <w:ind w:firstLine="200"/>
    </w:pPr>
    <w:rPr>
      <w:rFonts w:ascii="仿宋_GB2312" w:hAnsi="Times New Roman" w:eastAsia="仿宋_GB2312"/>
      <w:sz w:val="30"/>
      <w:szCs w:val="30"/>
    </w:rPr>
  </w:style>
  <w:style w:type="paragraph" w:customStyle="1" w:styleId="144">
    <w:name w:val="正文文本1"/>
    <w:basedOn w:val="1"/>
    <w:next w:val="1"/>
    <w:qFormat/>
    <w:uiPriority w:val="0"/>
    <w:rPr>
      <w:rFonts w:ascii="楷体_GB2312" w:hAnsi="Arial" w:eastAsia="楷体_GB2312"/>
      <w:sz w:val="28"/>
      <w:szCs w:val="28"/>
    </w:rPr>
  </w:style>
  <w:style w:type="paragraph" w:customStyle="1" w:styleId="14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14816</Words>
  <Characters>15643</Characters>
  <Lines>153</Lines>
  <Paragraphs>43</Paragraphs>
  <TotalTime>9</TotalTime>
  <ScaleCrop>false</ScaleCrop>
  <LinksUpToDate>false</LinksUpToDate>
  <CharactersWithSpaces>15832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2024-01-20T06:00:00Z</dcterms:created>
  <dc:creator>User</dc:creator>
  <cp:lastModifiedBy>爱笑 °</cp:lastModifiedBy>
  <cp:lastPrinted>2024-09-10T06:28:00Z</cp:lastPrinted>
  <dcterms:modified xsi:type="dcterms:W3CDTF">2025-05-08T05:47:32Z</dcterms:modified>
  <dc:title>南通市Ⅹ项目</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D1069CA47BAF49C0A8AE90FB4C285A82_13</vt:lpwstr>
  </property>
  <property fmtid="{D5CDD505-2E9C-101B-9397-08002B2CF9AE}" pid="4" name="KSOTemplateDocerSaveRecord">
    <vt:lpwstr>eyJoZGlkIjoiMTg1MzgwZWEzZWM0Yjg4NjA2ZDJjNzNhNjY2ZTg5NWIiLCJ1c2VySWQiOiIyOTEzMjA0ODYifQ==</vt:lpwstr>
  </property>
</Properties>
</file>