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w w:val="80"/>
          <w:sz w:val="24"/>
          <w:szCs w:val="24"/>
        </w:rPr>
      </w:pPr>
    </w:p>
    <w:p>
      <w:pPr>
        <w:tabs>
          <w:tab w:val="left" w:pos="6300"/>
        </w:tabs>
        <w:snapToGrid w:val="0"/>
        <w:spacing w:line="300" w:lineRule="auto"/>
        <w:jc w:val="center"/>
        <w:rPr>
          <w:rFonts w:ascii="宋体" w:cs="宋体"/>
          <w:b/>
          <w:w w:val="80"/>
          <w:sz w:val="24"/>
          <w:szCs w:val="24"/>
        </w:rPr>
      </w:pPr>
    </w:p>
    <w:p>
      <w:pPr>
        <w:tabs>
          <w:tab w:val="left" w:pos="6300"/>
        </w:tabs>
        <w:snapToGrid w:val="0"/>
        <w:spacing w:line="300" w:lineRule="auto"/>
        <w:jc w:val="center"/>
        <w:rPr>
          <w:b/>
          <w:sz w:val="52"/>
          <w:szCs w:val="52"/>
          <w:lang w:val="zh-CN"/>
        </w:rPr>
      </w:pPr>
    </w:p>
    <w:p>
      <w:pPr>
        <w:tabs>
          <w:tab w:val="left" w:pos="6300"/>
        </w:tabs>
        <w:snapToGrid w:val="0"/>
        <w:spacing w:line="300" w:lineRule="auto"/>
        <w:jc w:val="center"/>
        <w:rPr>
          <w:b/>
          <w:sz w:val="52"/>
          <w:szCs w:val="52"/>
          <w:lang w:val="zh-CN"/>
        </w:rPr>
      </w:pPr>
      <w:r>
        <w:rPr>
          <w:rFonts w:hint="eastAsia"/>
          <w:b/>
          <w:sz w:val="52"/>
          <w:szCs w:val="52"/>
          <w:lang w:val="zh-CN"/>
        </w:rPr>
        <w:t>南通市崇川生态环境局</w:t>
      </w:r>
      <w:r>
        <w:rPr>
          <w:rFonts w:hint="eastAsia"/>
          <w:b/>
          <w:sz w:val="52"/>
          <w:szCs w:val="52"/>
        </w:rPr>
        <w:t>法律顾问服务</w:t>
      </w:r>
      <w:r>
        <w:rPr>
          <w:rFonts w:hint="eastAsia"/>
          <w:b/>
          <w:sz w:val="52"/>
          <w:szCs w:val="52"/>
          <w:lang w:val="zh-CN"/>
        </w:rPr>
        <w:t>项目（</w:t>
      </w:r>
      <w:r>
        <w:rPr>
          <w:rFonts w:hint="eastAsia"/>
          <w:b/>
          <w:sz w:val="52"/>
          <w:szCs w:val="52"/>
          <w:lang w:val="en-US" w:eastAsia="zh-CN"/>
        </w:rPr>
        <w:t>第二次</w:t>
      </w:r>
      <w:r>
        <w:rPr>
          <w:rFonts w:hint="eastAsia"/>
          <w:b/>
          <w:sz w:val="52"/>
          <w:szCs w:val="52"/>
          <w:lang w:val="zh-CN"/>
        </w:rPr>
        <w:t>）</w:t>
      </w:r>
    </w:p>
    <w:p>
      <w:pPr>
        <w:tabs>
          <w:tab w:val="left" w:pos="6300"/>
        </w:tabs>
        <w:snapToGrid w:val="0"/>
        <w:spacing w:line="300" w:lineRule="auto"/>
        <w:jc w:val="center"/>
        <w:rPr>
          <w:rFonts w:ascii="宋体" w:cs="宋体"/>
          <w:b/>
          <w:w w:val="80"/>
          <w:sz w:val="44"/>
          <w:szCs w:val="44"/>
        </w:rPr>
      </w:pPr>
    </w:p>
    <w:p>
      <w:pPr>
        <w:pStyle w:val="51"/>
        <w:ind w:firstLine="712"/>
        <w:rPr>
          <w:rFonts w:ascii="宋体" w:cs="宋体"/>
          <w:b/>
          <w:w w:val="80"/>
          <w:sz w:val="44"/>
          <w:szCs w:val="44"/>
        </w:rPr>
      </w:pPr>
    </w:p>
    <w:p>
      <w:pPr>
        <w:tabs>
          <w:tab w:val="left" w:pos="6300"/>
        </w:tabs>
        <w:snapToGrid w:val="0"/>
        <w:spacing w:line="300" w:lineRule="auto"/>
        <w:jc w:val="center"/>
        <w:rPr>
          <w:rFonts w:ascii="宋体" w:cs="宋体"/>
          <w:b/>
          <w:w w:val="80"/>
          <w:sz w:val="96"/>
          <w:szCs w:val="96"/>
        </w:rPr>
      </w:pPr>
      <w:r>
        <w:rPr>
          <w:rFonts w:hint="eastAsia" w:ascii="宋体" w:hAnsi="宋体" w:cs="宋体"/>
          <w:b/>
          <w:w w:val="80"/>
          <w:sz w:val="84"/>
          <w:szCs w:val="84"/>
        </w:rPr>
        <w:t>竞争性磋商文件</w:t>
      </w:r>
    </w:p>
    <w:p>
      <w:pPr>
        <w:jc w:val="center"/>
        <w:rPr>
          <w:rFonts w:ascii="宋体" w:cs="宋体"/>
          <w:b/>
          <w:sz w:val="24"/>
          <w:szCs w:val="24"/>
        </w:rPr>
      </w:pPr>
    </w:p>
    <w:p>
      <w:pPr>
        <w:snapToGrid w:val="0"/>
        <w:spacing w:line="640" w:lineRule="exact"/>
        <w:rPr>
          <w:rFonts w:ascii="宋体"/>
          <w:b/>
          <w:bCs/>
          <w:sz w:val="24"/>
          <w:szCs w:val="24"/>
        </w:rPr>
      </w:pPr>
    </w:p>
    <w:p>
      <w:pPr>
        <w:snapToGrid w:val="0"/>
        <w:spacing w:line="640" w:lineRule="exact"/>
        <w:jc w:val="center"/>
        <w:rPr>
          <w:rFonts w:ascii="宋体" w:cs="宋体"/>
          <w:b/>
          <w:sz w:val="24"/>
          <w:szCs w:val="24"/>
        </w:rPr>
      </w:pPr>
    </w:p>
    <w:p>
      <w:pPr>
        <w:pStyle w:val="51"/>
        <w:ind w:firstLine="482"/>
        <w:rPr>
          <w:rFonts w:ascii="宋体" w:cs="宋体"/>
          <w:b/>
          <w:szCs w:val="24"/>
        </w:rPr>
      </w:pPr>
    </w:p>
    <w:p>
      <w:pPr>
        <w:pStyle w:val="51"/>
        <w:ind w:firstLine="482"/>
        <w:rPr>
          <w:rFonts w:ascii="宋体" w:cs="宋体"/>
          <w:b/>
          <w:szCs w:val="24"/>
        </w:rPr>
      </w:pPr>
    </w:p>
    <w:p>
      <w:pPr>
        <w:snapToGrid w:val="0"/>
        <w:spacing w:line="360" w:lineRule="auto"/>
        <w:rPr>
          <w:rFonts w:ascii="宋体" w:cs="宋体"/>
          <w:b/>
          <w:sz w:val="24"/>
          <w:szCs w:val="24"/>
        </w:rPr>
      </w:pPr>
    </w:p>
    <w:p>
      <w:pPr>
        <w:adjustRightInd w:val="0"/>
        <w:snapToGrid w:val="0"/>
        <w:spacing w:line="360" w:lineRule="auto"/>
        <w:jc w:val="center"/>
        <w:rPr>
          <w:rFonts w:ascii="宋体" w:cs="宋体"/>
          <w:b/>
          <w:sz w:val="30"/>
          <w:szCs w:val="30"/>
        </w:rPr>
      </w:pPr>
    </w:p>
    <w:p>
      <w:pPr>
        <w:adjustRightInd w:val="0"/>
        <w:snapToGrid w:val="0"/>
        <w:spacing w:line="360" w:lineRule="auto"/>
        <w:jc w:val="left"/>
        <w:rPr>
          <w:rFonts w:ascii="宋体" w:cs="宋体"/>
          <w:b/>
          <w:sz w:val="30"/>
          <w:szCs w:val="30"/>
        </w:rPr>
      </w:pPr>
      <w:bookmarkStart w:id="0" w:name="_Toc521201596"/>
      <w:bookmarkStart w:id="1" w:name="_Toc521203417"/>
      <w:bookmarkStart w:id="2" w:name="_Toc11499583"/>
      <w:bookmarkStart w:id="3" w:name="_Toc11554638"/>
      <w:bookmarkStart w:id="4" w:name="_Toc94585339"/>
      <w:bookmarkStart w:id="5" w:name="_Toc94544743"/>
      <w:bookmarkStart w:id="6" w:name="_Toc94544827"/>
      <w:bookmarkStart w:id="7" w:name="_Toc8895738"/>
      <w:bookmarkStart w:id="8" w:name="_Toc12670502"/>
      <w:bookmarkStart w:id="9" w:name="_Toc11500279"/>
    </w:p>
    <w:p>
      <w:pPr>
        <w:adjustRightInd w:val="0"/>
        <w:snapToGrid w:val="0"/>
        <w:spacing w:line="360" w:lineRule="auto"/>
        <w:jc w:val="left"/>
        <w:rPr>
          <w:rFonts w:ascii="宋体" w:cs="宋体"/>
          <w:b/>
          <w:sz w:val="30"/>
          <w:szCs w:val="30"/>
        </w:rPr>
      </w:pPr>
    </w:p>
    <w:p>
      <w:pPr>
        <w:pStyle w:val="2"/>
      </w:pPr>
    </w:p>
    <w:p>
      <w:pPr>
        <w:pStyle w:val="3"/>
      </w:pPr>
    </w:p>
    <w:p>
      <w:pPr>
        <w:pStyle w:val="3"/>
      </w:pPr>
    </w:p>
    <w:p>
      <w:pPr>
        <w:pStyle w:val="3"/>
      </w:pPr>
    </w:p>
    <w:p>
      <w:pPr>
        <w:pStyle w:val="3"/>
      </w:pPr>
    </w:p>
    <w:p>
      <w:pPr>
        <w:pStyle w:val="3"/>
      </w:pPr>
    </w:p>
    <w:p>
      <w:pPr>
        <w:adjustRightInd w:val="0"/>
        <w:snapToGrid w:val="0"/>
        <w:spacing w:line="360" w:lineRule="auto"/>
        <w:jc w:val="center"/>
        <w:rPr>
          <w:rFonts w:ascii="宋体" w:cs="宋体"/>
          <w:b/>
          <w:sz w:val="30"/>
          <w:szCs w:val="30"/>
        </w:rPr>
      </w:pPr>
      <w:r>
        <w:rPr>
          <w:rFonts w:hint="eastAsia" w:ascii="宋体" w:hAnsi="宋体" w:cs="宋体"/>
          <w:b/>
          <w:sz w:val="30"/>
          <w:szCs w:val="30"/>
        </w:rPr>
        <w:t>采购单位：南通市崇川生态环境局</w:t>
      </w:r>
    </w:p>
    <w:p>
      <w:pPr>
        <w:adjustRightInd w:val="0"/>
        <w:snapToGrid w:val="0"/>
        <w:spacing w:line="360" w:lineRule="auto"/>
        <w:jc w:val="center"/>
        <w:rPr>
          <w:rFonts w:ascii="宋体" w:hAnsi="宋体" w:cs="宋体"/>
          <w:b/>
          <w:sz w:val="30"/>
          <w:szCs w:val="30"/>
        </w:rPr>
      </w:pPr>
      <w:r>
        <w:rPr>
          <w:rFonts w:hint="eastAsia" w:ascii="宋体" w:hAnsi="宋体" w:cs="宋体"/>
          <w:b/>
          <w:sz w:val="30"/>
          <w:szCs w:val="30"/>
        </w:rPr>
        <w:t>二〇二五年</w:t>
      </w:r>
      <w:r>
        <w:rPr>
          <w:rFonts w:hint="eastAsia" w:ascii="宋体" w:hAnsi="宋体" w:cs="宋体"/>
          <w:b/>
          <w:sz w:val="30"/>
          <w:szCs w:val="30"/>
          <w:lang w:val="en-US" w:eastAsia="zh-CN"/>
        </w:rPr>
        <w:t>八</w:t>
      </w:r>
      <w:r>
        <w:rPr>
          <w:rFonts w:hint="eastAsia" w:ascii="宋体" w:hAnsi="宋体" w:cs="宋体"/>
          <w:b/>
          <w:sz w:val="30"/>
          <w:szCs w:val="30"/>
        </w:rPr>
        <w:t>月</w:t>
      </w:r>
    </w:p>
    <w:p>
      <w:pPr>
        <w:adjustRightInd w:val="0"/>
        <w:snapToGrid w:val="0"/>
        <w:spacing w:line="360" w:lineRule="auto"/>
        <w:jc w:val="center"/>
        <w:rPr>
          <w:rFonts w:ascii="宋体" w:hAnsi="宋体" w:cs="宋体"/>
          <w:b/>
          <w:sz w:val="30"/>
          <w:szCs w:val="30"/>
        </w:rPr>
        <w:sectPr>
          <w:footerReference r:id="rId7" w:type="first"/>
          <w:headerReference r:id="rId3" w:type="default"/>
          <w:footerReference r:id="rId5" w:type="default"/>
          <w:headerReference r:id="rId4" w:type="even"/>
          <w:footerReference r:id="rId6" w:type="even"/>
          <w:type w:val="continuous"/>
          <w:pgSz w:w="11906" w:h="16838"/>
          <w:pgMar w:top="1247" w:right="1113" w:bottom="1134" w:left="1255" w:header="851" w:footer="992" w:gutter="0"/>
          <w:pgNumType w:fmt="numberInDash" w:start="1"/>
          <w:cols w:space="720" w:num="1"/>
          <w:titlePg/>
          <w:docGrid w:linePitch="380" w:charSpace="-5735"/>
        </w:sectPr>
      </w:pPr>
    </w:p>
    <w:p>
      <w:pPr>
        <w:jc w:val="center"/>
        <w:rPr>
          <w:rFonts w:ascii="宋体" w:cs="宋体"/>
          <w:b/>
          <w:sz w:val="24"/>
          <w:szCs w:val="24"/>
        </w:rPr>
      </w:pPr>
    </w:p>
    <w:p>
      <w:pPr>
        <w:jc w:val="center"/>
        <w:rPr>
          <w:rFonts w:ascii="宋体" w:cs="宋体"/>
          <w:b/>
          <w:i/>
          <w:w w:val="80"/>
          <w:sz w:val="52"/>
          <w:szCs w:val="52"/>
        </w:rPr>
      </w:pPr>
      <w:r>
        <w:rPr>
          <w:rFonts w:ascii="宋体" w:cs="宋体"/>
          <w:b/>
          <w:sz w:val="44"/>
          <w:szCs w:val="44"/>
        </w:rPr>
        <w:br w:type="page"/>
      </w:r>
      <w:r>
        <w:rPr>
          <w:rFonts w:hint="eastAsia" w:ascii="宋体" w:cs="宋体"/>
          <w:b/>
          <w:w w:val="80"/>
          <w:sz w:val="52"/>
          <w:szCs w:val="52"/>
        </w:rPr>
        <w:t>目  录</w:t>
      </w:r>
    </w:p>
    <w:p>
      <w:pPr>
        <w:spacing w:line="800" w:lineRule="exact"/>
        <w:jc w:val="center"/>
        <w:rPr>
          <w:rFonts w:ascii="宋体" w:cs="宋体"/>
          <w:b/>
          <w:sz w:val="24"/>
          <w:szCs w:val="24"/>
        </w:rPr>
      </w:pPr>
    </w:p>
    <w:p>
      <w:pPr>
        <w:pStyle w:val="24"/>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第一章竞争性磋商公告</w:t>
      </w:r>
    </w:p>
    <w:p>
      <w:pPr>
        <w:pStyle w:val="24"/>
        <w:tabs>
          <w:tab w:val="left" w:pos="1050"/>
          <w:tab w:val="right" w:leader="dot" w:pos="9402"/>
        </w:tabs>
        <w:spacing w:line="520" w:lineRule="exact"/>
        <w:ind w:left="0"/>
        <w:rPr>
          <w:rFonts w:ascii="宋体" w:cs="宋体"/>
          <w:i w:val="0"/>
          <w:w w:val="80"/>
          <w:sz w:val="36"/>
          <w:szCs w:val="36"/>
        </w:rPr>
      </w:pPr>
    </w:p>
    <w:p>
      <w:pPr>
        <w:pStyle w:val="24"/>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第二章磋商供应商须知</w:t>
      </w:r>
    </w:p>
    <w:p>
      <w:pPr>
        <w:pStyle w:val="24"/>
        <w:tabs>
          <w:tab w:val="left" w:pos="1050"/>
          <w:tab w:val="right" w:leader="dot" w:pos="9402"/>
        </w:tabs>
        <w:spacing w:line="520" w:lineRule="exact"/>
        <w:ind w:left="0"/>
        <w:rPr>
          <w:rFonts w:ascii="宋体" w:cs="宋体"/>
          <w:i w:val="0"/>
          <w:w w:val="80"/>
          <w:sz w:val="36"/>
          <w:szCs w:val="36"/>
        </w:rPr>
      </w:pPr>
    </w:p>
    <w:p>
      <w:pPr>
        <w:pStyle w:val="24"/>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第三章项目需求</w:t>
      </w:r>
    </w:p>
    <w:p>
      <w:pPr>
        <w:pStyle w:val="24"/>
        <w:tabs>
          <w:tab w:val="left" w:pos="1050"/>
          <w:tab w:val="right" w:leader="dot" w:pos="9402"/>
        </w:tabs>
        <w:spacing w:line="520" w:lineRule="exact"/>
        <w:ind w:left="0"/>
        <w:rPr>
          <w:rFonts w:ascii="宋体" w:cs="宋体"/>
          <w:i w:val="0"/>
          <w:w w:val="80"/>
          <w:sz w:val="36"/>
          <w:szCs w:val="36"/>
        </w:rPr>
      </w:pPr>
    </w:p>
    <w:p>
      <w:pPr>
        <w:pStyle w:val="24"/>
        <w:numPr>
          <w:ilvl w:val="0"/>
          <w:numId w:val="1"/>
        </w:numPr>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评审方法和程序</w:t>
      </w:r>
    </w:p>
    <w:p>
      <w:pPr>
        <w:pStyle w:val="24"/>
        <w:tabs>
          <w:tab w:val="left" w:pos="1050"/>
          <w:tab w:val="right" w:leader="dot" w:pos="9402"/>
        </w:tabs>
        <w:spacing w:line="520" w:lineRule="exact"/>
        <w:ind w:left="0"/>
        <w:rPr>
          <w:rFonts w:ascii="宋体" w:cs="宋体"/>
          <w:i w:val="0"/>
          <w:w w:val="80"/>
          <w:sz w:val="36"/>
          <w:szCs w:val="36"/>
        </w:rPr>
      </w:pPr>
    </w:p>
    <w:p>
      <w:pPr>
        <w:pStyle w:val="24"/>
        <w:numPr>
          <w:ilvl w:val="0"/>
          <w:numId w:val="1"/>
        </w:numPr>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合同授予</w:t>
      </w:r>
    </w:p>
    <w:p>
      <w:pPr>
        <w:pStyle w:val="24"/>
        <w:tabs>
          <w:tab w:val="left" w:pos="1050"/>
          <w:tab w:val="right" w:leader="dot" w:pos="9402"/>
        </w:tabs>
        <w:spacing w:line="520" w:lineRule="exact"/>
        <w:ind w:left="0"/>
        <w:rPr>
          <w:rFonts w:ascii="宋体" w:cs="宋体"/>
          <w:i w:val="0"/>
          <w:w w:val="80"/>
          <w:sz w:val="36"/>
          <w:szCs w:val="36"/>
        </w:rPr>
      </w:pPr>
    </w:p>
    <w:p>
      <w:pPr>
        <w:pStyle w:val="24"/>
        <w:numPr>
          <w:ilvl w:val="0"/>
          <w:numId w:val="1"/>
        </w:numPr>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质疑提出和处理</w:t>
      </w:r>
    </w:p>
    <w:p>
      <w:pPr>
        <w:pStyle w:val="24"/>
        <w:tabs>
          <w:tab w:val="left" w:pos="1050"/>
          <w:tab w:val="right" w:leader="dot" w:pos="9402"/>
        </w:tabs>
        <w:spacing w:line="520" w:lineRule="exact"/>
        <w:ind w:left="0"/>
        <w:rPr>
          <w:rFonts w:ascii="宋体" w:cs="宋体"/>
          <w:i w:val="0"/>
          <w:w w:val="80"/>
          <w:sz w:val="36"/>
          <w:szCs w:val="36"/>
        </w:rPr>
      </w:pPr>
    </w:p>
    <w:p>
      <w:pPr>
        <w:pStyle w:val="24"/>
        <w:numPr>
          <w:ilvl w:val="0"/>
          <w:numId w:val="1"/>
        </w:numPr>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响应文件组成及格式</w:t>
      </w:r>
    </w:p>
    <w:p>
      <w:pPr>
        <w:pStyle w:val="24"/>
        <w:tabs>
          <w:tab w:val="left" w:pos="1050"/>
          <w:tab w:val="right" w:leader="dot" w:pos="9402"/>
        </w:tabs>
        <w:spacing w:line="520" w:lineRule="exact"/>
        <w:ind w:left="0"/>
        <w:rPr>
          <w:rFonts w:ascii="宋体" w:cs="宋体"/>
          <w:i w:val="0"/>
          <w:w w:val="80"/>
          <w:sz w:val="36"/>
          <w:szCs w:val="36"/>
        </w:rPr>
      </w:pPr>
    </w:p>
    <w:p>
      <w:pPr>
        <w:pStyle w:val="24"/>
        <w:tabs>
          <w:tab w:val="left" w:pos="1050"/>
          <w:tab w:val="right" w:leader="dot" w:pos="9402"/>
        </w:tabs>
        <w:spacing w:line="520" w:lineRule="exact"/>
        <w:ind w:left="0"/>
        <w:rPr>
          <w:rFonts w:ascii="宋体" w:cs="宋体"/>
          <w:i w:val="0"/>
          <w:w w:val="80"/>
          <w:sz w:val="36"/>
          <w:szCs w:val="36"/>
        </w:rPr>
      </w:pPr>
    </w:p>
    <w:p>
      <w:pPr>
        <w:snapToGrid w:val="0"/>
        <w:spacing w:line="360" w:lineRule="auto"/>
        <w:rPr>
          <w:rFonts w:ascii="宋体" w:cs="宋体"/>
          <w:b/>
          <w:sz w:val="24"/>
          <w:szCs w:val="24"/>
        </w:rPr>
      </w:pPr>
      <w:r>
        <w:rPr>
          <w:rFonts w:ascii="宋体" w:cs="宋体"/>
          <w:b/>
          <w:sz w:val="24"/>
          <w:szCs w:val="24"/>
        </w:rPr>
        <w:br w:type="page"/>
      </w:r>
    </w:p>
    <w:p>
      <w:pPr>
        <w:pStyle w:val="24"/>
        <w:tabs>
          <w:tab w:val="left" w:pos="1050"/>
          <w:tab w:val="right" w:leader="dot" w:pos="9402"/>
        </w:tabs>
        <w:spacing w:line="360" w:lineRule="auto"/>
        <w:ind w:left="0"/>
        <w:jc w:val="center"/>
        <w:outlineLvl w:val="0"/>
        <w:rPr>
          <w:rFonts w:ascii="宋体" w:cs="宋体"/>
          <w:b/>
          <w:i w:val="0"/>
          <w:w w:val="80"/>
          <w:sz w:val="44"/>
          <w:szCs w:val="44"/>
        </w:rPr>
      </w:pPr>
      <w:bookmarkStart w:id="10" w:name="_Toc363573853"/>
      <w:r>
        <w:rPr>
          <w:rFonts w:hint="eastAsia" w:ascii="宋体" w:hAnsi="宋体" w:cs="宋体"/>
          <w:b/>
          <w:i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i w:val="0"/>
          <w:w w:val="80"/>
          <w:sz w:val="44"/>
          <w:szCs w:val="44"/>
        </w:rPr>
        <w:t>告</w:t>
      </w:r>
      <w:bookmarkEnd w:id="10"/>
    </w:p>
    <w:p>
      <w:pPr>
        <w:tabs>
          <w:tab w:val="left" w:pos="6300"/>
        </w:tabs>
        <w:snapToGrid w:val="0"/>
        <w:spacing w:line="360" w:lineRule="auto"/>
        <w:ind w:firstLine="480" w:firstLineChars="200"/>
        <w:jc w:val="left"/>
        <w:rPr>
          <w:rFonts w:ascii="宋体" w:hAnsi="宋体" w:cs="宋体"/>
          <w:sz w:val="24"/>
          <w:szCs w:val="24"/>
        </w:rPr>
      </w:pPr>
      <w:bookmarkStart w:id="11" w:name="_Toc521203418"/>
      <w:bookmarkStart w:id="12" w:name="_Toc94544744"/>
      <w:bookmarkStart w:id="13" w:name="_Toc12670503"/>
      <w:bookmarkStart w:id="14" w:name="_Toc11554639"/>
      <w:bookmarkStart w:id="15" w:name="_Toc11499584"/>
      <w:bookmarkStart w:id="16" w:name="_Toc94585340"/>
      <w:bookmarkStart w:id="17" w:name="_Toc8895739"/>
      <w:bookmarkStart w:id="18" w:name="_Toc94544828"/>
      <w:bookmarkStart w:id="19" w:name="_Toc521201597"/>
      <w:bookmarkStart w:id="20" w:name="_Toc11500280"/>
      <w:bookmarkStart w:id="21" w:name="_Toc363573854"/>
      <w:r>
        <w:rPr>
          <w:rFonts w:hint="eastAsia" w:ascii="宋体" w:hAnsi="宋体" w:cs="宋体"/>
          <w:sz w:val="24"/>
          <w:szCs w:val="24"/>
        </w:rPr>
        <w:t>南通市崇川生态环境局（以下简称采购单位）对本单位法律顾问服务项目</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r>
        <w:rPr>
          <w:rFonts w:hint="eastAsia" w:ascii="宋体" w:hAnsi="宋体" w:cs="宋体"/>
          <w:sz w:val="24"/>
          <w:szCs w:val="24"/>
        </w:rPr>
        <w:t>拟用竞争性磋商方式组织采购。现公告如下：</w:t>
      </w:r>
    </w:p>
    <w:p>
      <w:pPr>
        <w:pStyle w:val="5"/>
        <w:spacing w:before="0" w:after="0" w:line="360" w:lineRule="auto"/>
        <w:ind w:firstLine="482" w:firstLineChars="200"/>
        <w:rPr>
          <w:rFonts w:ascii="宋体" w:hAnsi="宋体" w:eastAsia="宋体" w:cs="宋体"/>
          <w:sz w:val="24"/>
          <w:szCs w:val="24"/>
        </w:rPr>
      </w:pPr>
      <w:bookmarkStart w:id="22" w:name="_Toc35393629"/>
      <w:bookmarkStart w:id="23" w:name="_Toc28359012"/>
      <w:bookmarkStart w:id="24" w:name="_Toc28359089"/>
      <w:bookmarkStart w:id="25" w:name="_Toc35393798"/>
      <w:r>
        <w:rPr>
          <w:rFonts w:hint="eastAsia" w:ascii="宋体" w:hAnsi="宋体" w:eastAsia="宋体" w:cs="宋体"/>
          <w:sz w:val="24"/>
          <w:szCs w:val="24"/>
        </w:rPr>
        <w:t>一、项目基本情况</w:t>
      </w:r>
      <w:bookmarkEnd w:id="22"/>
      <w:bookmarkEnd w:id="23"/>
      <w:bookmarkEnd w:id="24"/>
      <w:bookmarkEnd w:id="25"/>
    </w:p>
    <w:p>
      <w:pPr>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1、项目名称：南通市崇川生态环境局法律顾问服务项目</w:t>
      </w:r>
      <w:r>
        <w:rPr>
          <w:rFonts w:hint="eastAsia" w:ascii="宋体" w:hAnsi="宋体" w:cs="宋体"/>
          <w:sz w:val="24"/>
          <w:szCs w:val="24"/>
          <w:lang w:eastAsia="zh-CN"/>
        </w:rPr>
        <w:t>（</w:t>
      </w:r>
      <w:r>
        <w:rPr>
          <w:rFonts w:hint="eastAsia" w:ascii="宋体" w:hAnsi="宋体" w:cs="宋体"/>
          <w:sz w:val="24"/>
          <w:szCs w:val="24"/>
          <w:lang w:val="en-US" w:eastAsia="zh-CN"/>
        </w:rPr>
        <w:t>第二次</w:t>
      </w:r>
      <w:r>
        <w:rPr>
          <w:rFonts w:hint="eastAsia" w:ascii="宋体" w:hAnsi="宋体" w:cs="宋体"/>
          <w:sz w:val="24"/>
          <w:szCs w:val="24"/>
          <w:lang w:eastAsia="zh-CN"/>
        </w:rPr>
        <w:t>）</w:t>
      </w:r>
    </w:p>
    <w:p>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rPr>
        <w:t>2、项目预算：</w:t>
      </w:r>
      <w:r>
        <w:rPr>
          <w:rFonts w:hint="eastAsia" w:ascii="宋体" w:hAnsi="宋体" w:cs="宋体"/>
          <w:sz w:val="24"/>
          <w:szCs w:val="24"/>
          <w:highlight w:val="none"/>
        </w:rPr>
        <w:t xml:space="preserve"> 2万元/年</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highlight w:val="none"/>
        </w:rPr>
        <w:t>3、最高限价： 2万</w:t>
      </w:r>
      <w:r>
        <w:rPr>
          <w:rFonts w:hint="eastAsia" w:ascii="宋体" w:hAnsi="宋体" w:cs="宋体"/>
          <w:sz w:val="24"/>
          <w:szCs w:val="24"/>
        </w:rPr>
        <w:t>元/年</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4、采购需求：详见项目需求。</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5、服务期：自合同签订之日起两年。</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6、本项目不接受任何形式的联合体竞争性磋商。</w:t>
      </w:r>
    </w:p>
    <w:p>
      <w:pPr>
        <w:spacing w:line="360" w:lineRule="auto"/>
        <w:ind w:firstLine="354" w:firstLineChars="147"/>
        <w:jc w:val="left"/>
        <w:rPr>
          <w:rFonts w:ascii="宋体" w:hAnsi="宋体" w:cs="宋体"/>
          <w:b/>
          <w:sz w:val="24"/>
          <w:szCs w:val="24"/>
        </w:rPr>
      </w:pPr>
      <w:r>
        <w:rPr>
          <w:rFonts w:hint="eastAsia" w:ascii="宋体" w:hAnsi="宋体" w:cs="宋体"/>
          <w:b/>
          <w:sz w:val="24"/>
          <w:szCs w:val="24"/>
        </w:rPr>
        <w:t xml:space="preserve"> 二、</w:t>
      </w:r>
      <w:r>
        <w:rPr>
          <w:rFonts w:hint="eastAsia" w:ascii="宋体" w:hAnsi="宋体" w:cs="宋体"/>
          <w:b/>
          <w:bCs/>
          <w:sz w:val="24"/>
          <w:szCs w:val="24"/>
        </w:rPr>
        <w:t>供应商资格要求</w:t>
      </w:r>
      <w:r>
        <w:rPr>
          <w:rFonts w:hint="eastAsia" w:ascii="宋体" w:hAnsi="宋体" w:cs="宋体"/>
          <w:b/>
          <w:sz w:val="24"/>
          <w:szCs w:val="24"/>
        </w:rPr>
        <w:t>：</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2、法定代表人为同一个人的两个及两个以上法人，母公司、全资子公司及其控股公司，都不得在同一采购项目相同标段中同时参加竞争性磋商，一经发现，将视同围标处理。</w:t>
      </w:r>
    </w:p>
    <w:p>
      <w:pPr>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6"/>
        </w:rPr>
        <w:t>供应商其他资格要求：</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1、具有独立承担民事责任的能力：法人或者其他组织提供营业执照或法人证书或组织机构代码证。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2、在中国大陆境内合法登记（注册），具有司法部门正式颁发的律师事务所执业许可证并经年检合格。</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供应商正式人员证明材料【提供与供应商签订的有效劳动合同复印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4、供应商须提供参与本次项目采购活动前三年内，在经营活动中没有重大违法记录的书面《无重大违法记录声明函》（格式参见第七章）。</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5、关于资格文件的声明函（格式参见第七章）。</w:t>
      </w:r>
    </w:p>
    <w:p>
      <w:pPr>
        <w:snapToGrid w:val="0"/>
        <w:spacing w:line="360" w:lineRule="auto"/>
        <w:ind w:firstLine="482" w:firstLineChars="200"/>
        <w:contextualSpacing/>
        <w:rPr>
          <w:rFonts w:ascii="宋体" w:hAnsi="宋体" w:cs="宋体"/>
          <w:b/>
          <w:bCs/>
          <w:sz w:val="24"/>
          <w:szCs w:val="24"/>
        </w:rPr>
      </w:pPr>
      <w:r>
        <w:rPr>
          <w:rFonts w:hint="eastAsia" w:ascii="宋体" w:hAnsi="宋体" w:cs="宋体"/>
          <w:b/>
          <w:bCs/>
          <w:sz w:val="24"/>
          <w:szCs w:val="24"/>
        </w:rPr>
        <w:t>三、获取采购文件</w:t>
      </w:r>
    </w:p>
    <w:p>
      <w:pPr>
        <w:widowControl/>
        <w:snapToGrid w:val="0"/>
        <w:spacing w:line="360" w:lineRule="auto"/>
        <w:ind w:firstLine="480" w:firstLineChars="200"/>
        <w:jc w:val="left"/>
        <w:rPr>
          <w:rFonts w:ascii="宋体" w:hAnsi="宋体" w:cs="宋体"/>
          <w:sz w:val="24"/>
          <w:szCs w:val="24"/>
        </w:rPr>
      </w:pPr>
      <w:bookmarkStart w:id="26" w:name="_Toc28359092"/>
      <w:bookmarkStart w:id="27" w:name="_Toc35393801"/>
      <w:bookmarkStart w:id="28" w:name="_Toc35393632"/>
      <w:bookmarkStart w:id="29" w:name="_Toc28359015"/>
      <w:r>
        <w:rPr>
          <w:rFonts w:hint="eastAsia" w:ascii="宋体" w:hAnsi="宋体" w:cs="宋体"/>
          <w:sz w:val="24"/>
          <w:szCs w:val="24"/>
        </w:rPr>
        <w:t>1、本项目采购文</w:t>
      </w:r>
      <w:r>
        <w:rPr>
          <w:rFonts w:hint="eastAsia" w:ascii="宋体" w:hAnsi="宋体" w:cs="宋体"/>
          <w:color w:val="auto"/>
          <w:sz w:val="24"/>
          <w:szCs w:val="24"/>
        </w:rPr>
        <w:t>件请在“</w:t>
      </w:r>
      <w:r>
        <w:rPr>
          <w:rFonts w:hint="eastAsia" w:ascii="宋体" w:hAnsi="宋体" w:cs="宋体"/>
          <w:b/>
          <w:bCs/>
          <w:color w:val="auto"/>
          <w:sz w:val="24"/>
          <w:szCs w:val="24"/>
        </w:rPr>
        <w:t>南通市崇川区人民政府网-公告公示栏目</w:t>
      </w:r>
      <w:r>
        <w:rPr>
          <w:rFonts w:hint="eastAsia" w:ascii="宋体" w:hAnsi="宋体" w:cs="宋体"/>
          <w:color w:val="auto"/>
          <w:sz w:val="24"/>
          <w:szCs w:val="24"/>
        </w:rPr>
        <w:t>”自行下载。</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2、有关本次采购的事项若存在变动或修改，敬请及时关注“</w:t>
      </w:r>
      <w:r>
        <w:rPr>
          <w:rFonts w:hint="eastAsia" w:ascii="宋体" w:hAnsi="宋体" w:cs="宋体"/>
          <w:b/>
          <w:bCs/>
          <w:sz w:val="24"/>
          <w:szCs w:val="24"/>
        </w:rPr>
        <w:t>南通市崇川区人民政府网-公告公示栏目</w:t>
      </w:r>
      <w:r>
        <w:rPr>
          <w:rFonts w:hint="eastAsia" w:ascii="宋体" w:hAnsi="宋体" w:cs="宋体"/>
          <w:sz w:val="24"/>
          <w:szCs w:val="24"/>
        </w:rPr>
        <w:t>”发布的信息更正公告，恕不另行通知，如有遗漏采购单位概不负责。</w:t>
      </w:r>
    </w:p>
    <w:p>
      <w:pPr>
        <w:pStyle w:val="5"/>
        <w:spacing w:before="0" w:after="0" w:line="360" w:lineRule="auto"/>
        <w:ind w:firstLine="482" w:firstLineChars="200"/>
        <w:rPr>
          <w:rFonts w:ascii="宋体" w:hAnsi="宋体" w:eastAsia="宋体" w:cs="宋体"/>
          <w:sz w:val="24"/>
          <w:szCs w:val="24"/>
          <w:highlight w:val="none"/>
        </w:rPr>
      </w:pPr>
      <w:r>
        <w:rPr>
          <w:rFonts w:hint="eastAsia" w:ascii="宋体" w:hAnsi="宋体" w:eastAsia="宋体" w:cs="宋体"/>
          <w:sz w:val="24"/>
          <w:szCs w:val="24"/>
        </w:rPr>
        <w:t>四、响应文件提交</w:t>
      </w:r>
      <w:bookmarkEnd w:id="26"/>
      <w:bookmarkEnd w:id="27"/>
      <w:bookmarkEnd w:id="28"/>
      <w:bookmarkEnd w:id="29"/>
    </w:p>
    <w:p>
      <w:pPr>
        <w:snapToGrid w:val="0"/>
        <w:spacing w:line="360" w:lineRule="auto"/>
        <w:ind w:firstLine="480" w:firstLineChars="200"/>
        <w:outlineLvl w:val="1"/>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kern w:val="0"/>
          <w:sz w:val="24"/>
          <w:szCs w:val="24"/>
          <w:highlight w:val="none"/>
        </w:rPr>
        <w:t>竞争性磋商响应文件接收截止及评审开始时间</w:t>
      </w:r>
      <w:r>
        <w:rPr>
          <w:rFonts w:hint="eastAsia" w:ascii="宋体" w:hAnsi="宋体" w:cs="宋体"/>
          <w:b/>
          <w:bCs/>
          <w:kern w:val="0"/>
          <w:sz w:val="24"/>
          <w:szCs w:val="24"/>
          <w:highlight w:val="none"/>
        </w:rPr>
        <w:t>：</w:t>
      </w:r>
      <w:r>
        <w:rPr>
          <w:rFonts w:hint="eastAsia" w:ascii="宋体" w:hAnsi="宋体" w:cs="宋体"/>
          <w:b/>
          <w:bCs/>
          <w:sz w:val="24"/>
          <w:szCs w:val="24"/>
          <w:highlight w:val="none"/>
        </w:rPr>
        <w:t>2025年</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日14时30分</w:t>
      </w:r>
      <w:r>
        <w:rPr>
          <w:rFonts w:hint="eastAsia" w:ascii="宋体" w:hAnsi="宋体" w:cs="宋体"/>
          <w:sz w:val="24"/>
          <w:szCs w:val="24"/>
          <w:highlight w:val="none"/>
        </w:rPr>
        <w:t>（北京时间）</w:t>
      </w:r>
    </w:p>
    <w:p>
      <w:pPr>
        <w:autoSpaceDE w:val="0"/>
        <w:autoSpaceDN w:val="0"/>
        <w:adjustRightIn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2、竞争性磋商响应文件递交地址：南通市崇川城港路58号</w:t>
      </w:r>
      <w:r>
        <w:rPr>
          <w:rFonts w:ascii="宋体" w:hAnsi="宋体" w:cs="宋体"/>
          <w:sz w:val="24"/>
          <w:szCs w:val="24"/>
          <w:highlight w:val="none"/>
        </w:rPr>
        <w:t>三楼北</w:t>
      </w:r>
      <w:r>
        <w:rPr>
          <w:rFonts w:hint="eastAsia" w:ascii="宋体" w:hAnsi="宋体" w:cs="宋体"/>
          <w:sz w:val="24"/>
          <w:szCs w:val="24"/>
          <w:highlight w:val="none"/>
        </w:rPr>
        <w:t>会议室，如有变动另行通知。</w:t>
      </w:r>
    </w:p>
    <w:p>
      <w:pPr>
        <w:snapToGrid w:val="0"/>
        <w:spacing w:line="360" w:lineRule="auto"/>
        <w:ind w:firstLine="482" w:firstLineChars="200"/>
        <w:outlineLvl w:val="1"/>
        <w:rPr>
          <w:rFonts w:ascii="宋体" w:hAnsi="宋体" w:cs="宋体"/>
          <w:b/>
          <w:bCs/>
          <w:sz w:val="24"/>
          <w:szCs w:val="24"/>
          <w:highlight w:val="none"/>
        </w:rPr>
      </w:pPr>
      <w:r>
        <w:rPr>
          <w:rFonts w:hint="eastAsia" w:ascii="宋体" w:hAnsi="宋体" w:cs="宋体"/>
          <w:b/>
          <w:bCs/>
          <w:sz w:val="24"/>
          <w:szCs w:val="24"/>
          <w:highlight w:val="none"/>
        </w:rPr>
        <w:t>五、开启</w:t>
      </w:r>
    </w:p>
    <w:p>
      <w:pPr>
        <w:snapToGrid w:val="0"/>
        <w:spacing w:line="360" w:lineRule="auto"/>
        <w:ind w:firstLine="480" w:firstLineChars="200"/>
        <w:outlineLvl w:val="1"/>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kern w:val="0"/>
          <w:sz w:val="24"/>
          <w:szCs w:val="24"/>
          <w:highlight w:val="none"/>
        </w:rPr>
        <w:t>竞争性磋商</w:t>
      </w:r>
      <w:r>
        <w:rPr>
          <w:rFonts w:hint="eastAsia" w:ascii="宋体" w:hAnsi="宋体" w:cs="宋体"/>
          <w:sz w:val="24"/>
          <w:szCs w:val="24"/>
          <w:highlight w:val="none"/>
        </w:rPr>
        <w:t>响应文件开启时间：</w:t>
      </w:r>
      <w:r>
        <w:rPr>
          <w:rFonts w:hint="eastAsia" w:ascii="宋体" w:hAnsi="宋体" w:cs="宋体"/>
          <w:b/>
          <w:bCs/>
          <w:sz w:val="24"/>
          <w:szCs w:val="24"/>
          <w:highlight w:val="none"/>
        </w:rPr>
        <w:t>2025年</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12</w:t>
      </w:r>
      <w:r>
        <w:rPr>
          <w:rFonts w:hint="eastAsia" w:ascii="宋体" w:hAnsi="宋体" w:cs="宋体"/>
          <w:b/>
          <w:bCs/>
          <w:sz w:val="24"/>
          <w:szCs w:val="24"/>
          <w:highlight w:val="none"/>
        </w:rPr>
        <w:t>日14时30分</w:t>
      </w:r>
      <w:r>
        <w:rPr>
          <w:rFonts w:hint="eastAsia" w:ascii="宋体" w:hAnsi="宋体" w:cs="宋体"/>
          <w:b w:val="0"/>
          <w:bCs w:val="0"/>
          <w:sz w:val="24"/>
          <w:szCs w:val="24"/>
          <w:highlight w:val="none"/>
        </w:rPr>
        <w:t>（</w:t>
      </w:r>
      <w:r>
        <w:rPr>
          <w:rFonts w:hint="eastAsia" w:ascii="宋体" w:hAnsi="宋体" w:cs="宋体"/>
          <w:sz w:val="24"/>
          <w:szCs w:val="24"/>
          <w:highlight w:val="none"/>
        </w:rPr>
        <w:t>北京时间）</w:t>
      </w:r>
    </w:p>
    <w:p>
      <w:pPr>
        <w:snapToGrid w:val="0"/>
        <w:spacing w:line="360" w:lineRule="auto"/>
        <w:ind w:firstLine="480" w:firstLineChars="200"/>
        <w:outlineLvl w:val="1"/>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kern w:val="0"/>
          <w:sz w:val="24"/>
          <w:szCs w:val="24"/>
          <w:highlight w:val="none"/>
        </w:rPr>
        <w:t>竞争性磋商</w:t>
      </w:r>
      <w:r>
        <w:rPr>
          <w:rFonts w:hint="eastAsia" w:ascii="宋体" w:hAnsi="宋体" w:cs="宋体"/>
          <w:sz w:val="24"/>
          <w:szCs w:val="24"/>
          <w:highlight w:val="none"/>
        </w:rPr>
        <w:t>响应文件开启地点：南通市崇川城港路58号</w:t>
      </w:r>
      <w:r>
        <w:rPr>
          <w:rFonts w:ascii="宋体" w:hAnsi="宋体" w:cs="宋体"/>
          <w:sz w:val="24"/>
          <w:szCs w:val="24"/>
          <w:highlight w:val="none"/>
        </w:rPr>
        <w:t>三楼北</w:t>
      </w:r>
      <w:r>
        <w:rPr>
          <w:rFonts w:hint="eastAsia" w:ascii="宋体" w:hAnsi="宋体" w:cs="宋体"/>
          <w:sz w:val="24"/>
          <w:szCs w:val="24"/>
          <w:highlight w:val="none"/>
        </w:rPr>
        <w:t>会议室，如有变动另行通知。</w:t>
      </w:r>
    </w:p>
    <w:p>
      <w:pPr>
        <w:snapToGrid w:val="0"/>
        <w:spacing w:line="360" w:lineRule="auto"/>
        <w:ind w:firstLine="482" w:firstLineChars="200"/>
        <w:outlineLvl w:val="1"/>
        <w:rPr>
          <w:rFonts w:ascii="宋体" w:hAnsi="宋体" w:cs="宋体"/>
          <w:sz w:val="24"/>
          <w:szCs w:val="24"/>
        </w:rPr>
      </w:pPr>
      <w:r>
        <w:rPr>
          <w:rFonts w:hint="eastAsia" w:ascii="宋体" w:hAnsi="宋体" w:cs="宋体"/>
          <w:b/>
          <w:bCs/>
          <w:sz w:val="24"/>
          <w:szCs w:val="24"/>
        </w:rPr>
        <w:t>六、公告期限：</w:t>
      </w:r>
      <w:r>
        <w:rPr>
          <w:rFonts w:hint="eastAsia" w:ascii="宋体" w:hAnsi="宋体" w:cs="宋体"/>
          <w:sz w:val="24"/>
          <w:szCs w:val="24"/>
        </w:rPr>
        <w:t>自本公告发布之日起3个工作日。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七、凡对本次采购提出询问，请按以下方式联系</w:t>
      </w:r>
    </w:p>
    <w:p>
      <w:pPr>
        <w:spacing w:line="360" w:lineRule="auto"/>
        <w:ind w:firstLine="480" w:firstLineChars="200"/>
        <w:rPr>
          <w:rFonts w:ascii="宋体" w:hAnsi="宋体" w:cs="宋体"/>
          <w:sz w:val="24"/>
          <w:szCs w:val="24"/>
        </w:rPr>
      </w:pPr>
      <w:r>
        <w:rPr>
          <w:rFonts w:hint="eastAsia" w:ascii="宋体" w:hAnsi="宋体" w:cs="宋体"/>
          <w:sz w:val="24"/>
          <w:szCs w:val="24"/>
        </w:rPr>
        <w:t>名称：南通市崇川生态环境局</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地址：南通市崇川城港路58号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联系方式：张女士 0513-85609528 </w:t>
      </w:r>
    </w:p>
    <w:p>
      <w:pPr>
        <w:spacing w:line="360" w:lineRule="auto"/>
        <w:ind w:firstLine="480" w:firstLineChars="200"/>
        <w:rPr>
          <w:rFonts w:ascii="宋体"/>
          <w:sz w:val="24"/>
          <w:szCs w:val="24"/>
        </w:rPr>
      </w:pPr>
    </w:p>
    <w:p>
      <w:pPr>
        <w:spacing w:line="360" w:lineRule="auto"/>
        <w:ind w:firstLine="480" w:firstLineChars="200"/>
        <w:rPr>
          <w:rFonts w:ascii="宋体"/>
          <w:sz w:val="24"/>
          <w:szCs w:val="24"/>
        </w:rPr>
      </w:pPr>
    </w:p>
    <w:p>
      <w:pPr>
        <w:pStyle w:val="4"/>
        <w:keepNext w:val="0"/>
        <w:keepLines w:val="0"/>
        <w:snapToGrid w:val="0"/>
        <w:spacing w:before="0" w:after="0" w:line="360" w:lineRule="auto"/>
        <w:rPr>
          <w:rFonts w:ascii="宋体" w:cs="宋体"/>
          <w:w w:val="80"/>
          <w:sz w:val="24"/>
          <w:szCs w:val="24"/>
        </w:rPr>
      </w:pPr>
    </w:p>
    <w:p>
      <w:pPr>
        <w:pStyle w:val="4"/>
        <w:keepNext w:val="0"/>
        <w:keepLines w:val="0"/>
        <w:snapToGrid w:val="0"/>
        <w:spacing w:before="0" w:after="0" w:line="360" w:lineRule="auto"/>
        <w:jc w:val="center"/>
        <w:rPr>
          <w:rFonts w:ascii="宋体" w:cs="宋体"/>
          <w:w w:val="80"/>
          <w:sz w:val="24"/>
          <w:szCs w:val="24"/>
        </w:rPr>
      </w:pPr>
      <w:bookmarkStart w:id="71" w:name="_GoBack"/>
      <w:bookmarkEnd w:id="71"/>
      <w:r>
        <w:rPr>
          <w:rFonts w:ascii="宋体" w:cs="宋体"/>
          <w:w w:val="80"/>
          <w:sz w:val="24"/>
          <w:szCs w:val="24"/>
        </w:rPr>
        <w:br w:type="page"/>
      </w:r>
      <w:r>
        <w:rPr>
          <w:rFonts w:hint="eastAsia" w:ascii="宋体" w:hAnsi="宋体" w:cs="宋体"/>
          <w:w w:val="80"/>
          <w:kern w:val="2"/>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w w:val="80"/>
          <w:kern w:val="2"/>
          <w:szCs w:val="44"/>
        </w:rPr>
        <w:t xml:space="preserve">  磋商供应商须知</w:t>
      </w:r>
      <w:bookmarkEnd w:id="21"/>
    </w:p>
    <w:p>
      <w:pPr>
        <w:snapToGrid w:val="0"/>
        <w:spacing w:line="360" w:lineRule="auto"/>
        <w:ind w:firstLine="482" w:firstLineChars="200"/>
        <w:outlineLvl w:val="1"/>
        <w:rPr>
          <w:rFonts w:ascii="宋体" w:cs="宋体"/>
          <w:b/>
          <w:bCs/>
          <w:sz w:val="24"/>
          <w:szCs w:val="24"/>
        </w:rPr>
      </w:pPr>
      <w:bookmarkStart w:id="30" w:name="_Toc11500281"/>
      <w:bookmarkStart w:id="31" w:name="_Toc8895740"/>
      <w:bookmarkStart w:id="32" w:name="_Toc11554640"/>
      <w:bookmarkStart w:id="33" w:name="_Toc521203419"/>
      <w:bookmarkStart w:id="34" w:name="_Toc11499585"/>
      <w:bookmarkStart w:id="35" w:name="_Toc94544745"/>
      <w:bookmarkStart w:id="36" w:name="_Toc521201598"/>
      <w:bookmarkStart w:id="37" w:name="_Toc94585341"/>
      <w:bookmarkStart w:id="38" w:name="_Toc12670504"/>
      <w:bookmarkStart w:id="39" w:name="_Toc94544871"/>
      <w:r>
        <w:rPr>
          <w:rFonts w:hint="eastAsia" w:ascii="宋体" w:hAnsi="宋体" w:cs="宋体"/>
          <w:b/>
          <w:bCs/>
          <w:sz w:val="24"/>
          <w:szCs w:val="24"/>
        </w:rPr>
        <w:t>一、说明</w:t>
      </w:r>
    </w:p>
    <w:p>
      <w:pPr>
        <w:snapToGrid w:val="0"/>
        <w:spacing w:line="360" w:lineRule="auto"/>
        <w:ind w:firstLine="480" w:firstLineChars="200"/>
        <w:rPr>
          <w:rFonts w:asci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w:t>
      </w:r>
      <w:r>
        <w:rPr>
          <w:rFonts w:hint="eastAsia" w:ascii="宋体" w:hAnsi="宋体" w:cs="宋体"/>
          <w:sz w:val="24"/>
          <w:szCs w:val="24"/>
        </w:rPr>
        <w:t>采购单位</w:t>
      </w:r>
      <w:r>
        <w:rPr>
          <w:rFonts w:hint="eastAsia" w:ascii="宋体" w:hAnsi="宋体" w:cs="宋体"/>
          <w:bCs/>
          <w:sz w:val="24"/>
          <w:szCs w:val="24"/>
        </w:rPr>
        <w:t>组织的竞争性磋商采购活动。</w:t>
      </w:r>
    </w:p>
    <w:p>
      <w:pPr>
        <w:snapToGrid w:val="0"/>
        <w:spacing w:line="360" w:lineRule="auto"/>
        <w:ind w:firstLine="480" w:firstLineChars="200"/>
        <w:rPr>
          <w:rFonts w:asci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pPr>
        <w:snapToGrid w:val="0"/>
        <w:spacing w:line="360" w:lineRule="auto"/>
        <w:ind w:firstLine="480" w:firstLineChars="200"/>
        <w:rPr>
          <w:rFonts w:asci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w:t>
      </w:r>
      <w:r>
        <w:rPr>
          <w:rFonts w:hint="eastAsia" w:ascii="宋体" w:hAnsi="宋体" w:cs="宋体"/>
          <w:sz w:val="24"/>
          <w:szCs w:val="24"/>
        </w:rPr>
        <w:t>采购单位</w:t>
      </w:r>
      <w:r>
        <w:rPr>
          <w:rFonts w:hint="eastAsia" w:ascii="宋体" w:hAnsi="宋体" w:cs="宋体"/>
          <w:bCs/>
          <w:sz w:val="24"/>
          <w:szCs w:val="24"/>
        </w:rPr>
        <w:t>。</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color w:val="auto"/>
          <w:sz w:val="24"/>
          <w:szCs w:val="24"/>
        </w:rPr>
        <w:t>后</w:t>
      </w:r>
      <w:r>
        <w:rPr>
          <w:rFonts w:hint="eastAsia" w:ascii="宋体" w:hAnsi="宋体" w:cs="宋体"/>
          <w:color w:val="auto"/>
          <w:sz w:val="24"/>
          <w:szCs w:val="24"/>
          <w:highlight w:val="none"/>
        </w:rPr>
        <w:t>的3日内，</w:t>
      </w:r>
      <w:r>
        <w:rPr>
          <w:rFonts w:hint="eastAsia" w:ascii="宋体" w:hAnsi="宋体" w:cs="宋体"/>
          <w:sz w:val="24"/>
          <w:szCs w:val="24"/>
          <w:highlight w:val="none"/>
        </w:rPr>
        <w:t>以书</w:t>
      </w:r>
      <w:r>
        <w:rPr>
          <w:rFonts w:hint="eastAsia" w:ascii="宋体" w:hAnsi="宋体" w:cs="宋体"/>
          <w:sz w:val="24"/>
          <w:szCs w:val="24"/>
        </w:rPr>
        <w:t>面形式向采购单位提出询问或疑问，未在规定的时间内提出询问或疑问的，视同理解并接受本磋商文件的所有内容，由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二、磋商文件的澄清、修改、答疑</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、采购单位有权对发出的磋商文件进行必要的澄清、修改或补充。</w:t>
      </w:r>
    </w:p>
    <w:p>
      <w:pPr>
        <w:snapToGrid w:val="0"/>
        <w:spacing w:line="360" w:lineRule="auto"/>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、磋商文件的澄清、修改、补充等内容均以书面明确的形式发布，并以南通市崇川区人民政府网发布的信息为准。</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、采购单位对磋商文件的澄清、修改将构成磋商文件的一部分，对响应磋商的供应商具有约束力。</w:t>
      </w:r>
    </w:p>
    <w:p>
      <w:pPr>
        <w:spacing w:line="360" w:lineRule="auto"/>
        <w:ind w:firstLine="487" w:firstLineChars="202"/>
        <w:rPr>
          <w:rFonts w:ascii="宋体" w:cs="宋体"/>
          <w:b/>
          <w:sz w:val="24"/>
          <w:szCs w:val="24"/>
        </w:rPr>
      </w:pPr>
      <w:r>
        <w:rPr>
          <w:rFonts w:hint="eastAsia" w:ascii="宋体" w:hAnsi="宋体" w:cs="宋体"/>
          <w:b/>
          <w:bCs/>
          <w:sz w:val="24"/>
          <w:szCs w:val="24"/>
        </w:rPr>
        <w:t>三、</w:t>
      </w:r>
      <w:r>
        <w:rPr>
          <w:rFonts w:hint="eastAsia" w:ascii="宋体" w:hAnsi="宋体" w:cs="宋体"/>
          <w:b/>
          <w:sz w:val="24"/>
          <w:szCs w:val="24"/>
        </w:rPr>
        <w:t>响应文件的编制及装订</w:t>
      </w:r>
    </w:p>
    <w:p>
      <w:pPr>
        <w:spacing w:line="360" w:lineRule="auto"/>
        <w:ind w:firstLine="484" w:firstLineChars="202"/>
        <w:rPr>
          <w:rFonts w:ascii="宋体" w:cs="宋体"/>
          <w:sz w:val="24"/>
          <w:szCs w:val="24"/>
        </w:rPr>
      </w:pPr>
      <w:r>
        <w:rPr>
          <w:rFonts w:hint="eastAsia" w:ascii="宋体" w:hAnsi="宋体" w:cs="宋体"/>
          <w:sz w:val="24"/>
          <w:szCs w:val="24"/>
        </w:rPr>
        <w:t>供应商按磋商文件要求编写响应文件，并牢固装订成册。</w:t>
      </w:r>
      <w:r>
        <w:rPr>
          <w:rFonts w:hint="eastAsia" w:ascii="宋体" w:hAnsi="宋体" w:cs="宋体"/>
          <w:b/>
          <w:sz w:val="24"/>
          <w:szCs w:val="24"/>
        </w:rPr>
        <w:t>响应文件均需采用</w:t>
      </w:r>
      <w:r>
        <w:rPr>
          <w:rFonts w:ascii="宋体" w:hAnsi="宋体" w:cs="宋体"/>
          <w:b/>
          <w:sz w:val="24"/>
          <w:szCs w:val="24"/>
        </w:rPr>
        <w:t>A4</w:t>
      </w:r>
      <w:r>
        <w:rPr>
          <w:rFonts w:hint="eastAsia" w:ascii="宋体" w:hAnsi="宋体" w:cs="宋体"/>
          <w:b/>
          <w:sz w:val="24"/>
          <w:szCs w:val="24"/>
        </w:rPr>
        <w:t>纸（图纸等除外）</w:t>
      </w:r>
      <w:r>
        <w:rPr>
          <w:rFonts w:hint="eastAsia" w:ascii="宋体" w:hAnsi="宋体" w:cs="宋体"/>
          <w:sz w:val="24"/>
          <w:szCs w:val="24"/>
        </w:rPr>
        <w:t>，不要使用活页夹、拉杆夹、文件夹、塑料方便式书脊（插入式或穿孔式）装订。响应文件不得行间插字、涂改、增删，如修改错漏处，须经响应文件签署人签字并加盖公章。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cs="宋体"/>
          <w:b/>
          <w:bCs/>
          <w:sz w:val="24"/>
          <w:szCs w:val="24"/>
        </w:rPr>
      </w:pPr>
      <w:r>
        <w:rPr>
          <w:rFonts w:hint="eastAsia" w:ascii="宋体" w:hAnsi="宋体" w:cs="宋体"/>
          <w:b/>
          <w:bCs/>
          <w:sz w:val="24"/>
          <w:szCs w:val="24"/>
        </w:rPr>
        <w:t>四、响应文件的份数和签署</w:t>
      </w:r>
    </w:p>
    <w:p>
      <w:pPr>
        <w:spacing w:line="360" w:lineRule="auto"/>
        <w:ind w:firstLine="484" w:firstLineChars="202"/>
        <w:rPr>
          <w:rFonts w:ascii="宋体"/>
          <w:sz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w:t>
      </w:r>
      <w:r>
        <w:rPr>
          <w:rFonts w:hint="eastAsia" w:ascii="宋体" w:hAnsi="宋体" w:cs="宋体"/>
          <w:b/>
          <w:bCs/>
          <w:sz w:val="24"/>
          <w:szCs w:val="24"/>
        </w:rPr>
        <w:t>其中资格审查文件、技术响应文件、商务报价响应文件须分别密封。</w:t>
      </w:r>
      <w:r>
        <w:rPr>
          <w:rFonts w:hint="eastAsia" w:ascii="宋体" w:hAnsi="宋体"/>
          <w:b/>
          <w:sz w:val="24"/>
        </w:rPr>
        <w:t>特别提示：“商务报价响应文件”必须单独装订和封装，不得出现在“资格审查文件”和“技术响应文件”之中。</w:t>
      </w:r>
    </w:p>
    <w:p>
      <w:pPr>
        <w:snapToGrid w:val="0"/>
        <w:spacing w:line="360" w:lineRule="auto"/>
        <w:ind w:firstLine="482" w:firstLineChars="200"/>
        <w:rPr>
          <w:rFonts w:ascii="宋体" w:cs="宋体"/>
          <w:b/>
          <w:bCs/>
          <w:sz w:val="24"/>
          <w:szCs w:val="24"/>
          <w:u w:val="single"/>
        </w:rPr>
      </w:pPr>
      <w:r>
        <w:rPr>
          <w:rFonts w:ascii="宋体" w:hAnsi="宋体" w:cs="宋体"/>
          <w:b/>
          <w:bCs/>
          <w:sz w:val="24"/>
          <w:szCs w:val="24"/>
        </w:rPr>
        <w:t>2</w:t>
      </w:r>
      <w:r>
        <w:rPr>
          <w:rFonts w:hint="eastAsia" w:ascii="宋体" w:hAnsi="宋体" w:cs="宋体"/>
          <w:b/>
          <w:bCs/>
          <w:sz w:val="24"/>
          <w:szCs w:val="24"/>
        </w:rPr>
        <w:t>、响应文件均为一式叁份，其中“正本”壹份和“副本”贰份。</w:t>
      </w:r>
    </w:p>
    <w:p>
      <w:pPr>
        <w:snapToGrid w:val="0"/>
        <w:spacing w:line="360" w:lineRule="auto"/>
        <w:ind w:firstLine="472" w:firstLineChars="196"/>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、在每份响应文件上要明确标注项目名称、对应的响应文件名称、供应商的全称及日期，“正本”“副本”字样。“正本”和“副本”若有差异，概以“正本”为准。</w:t>
      </w:r>
    </w:p>
    <w:p>
      <w:pPr>
        <w:snapToGrid w:val="0"/>
        <w:spacing w:line="360" w:lineRule="auto"/>
        <w:ind w:firstLine="472" w:firstLineChars="196"/>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、供应商可将响应文件正副本统一密封或分别密封，如正本和副本分别密封的，应在封袋上标明正、副本字样。</w:t>
      </w:r>
    </w:p>
    <w:p>
      <w:pPr>
        <w:snapToGrid w:val="0"/>
        <w:spacing w:line="360" w:lineRule="auto"/>
        <w:ind w:firstLine="472" w:firstLineChars="196"/>
        <w:rPr>
          <w:rFonts w:ascii="宋体" w:cs="宋体"/>
          <w:b/>
          <w:bCs/>
          <w:sz w:val="24"/>
          <w:szCs w:val="24"/>
        </w:rPr>
      </w:pPr>
      <w:r>
        <w:rPr>
          <w:rFonts w:ascii="宋体" w:hAnsi="宋体" w:cs="宋体"/>
          <w:b/>
          <w:bCs/>
          <w:sz w:val="24"/>
          <w:szCs w:val="24"/>
        </w:rPr>
        <w:t>5</w:t>
      </w:r>
      <w:r>
        <w:rPr>
          <w:rFonts w:hint="eastAsia" w:ascii="宋体" w:hAnsi="宋体" w:cs="宋体"/>
          <w:b/>
          <w:bCs/>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cs="宋体"/>
          <w:b/>
          <w:bCs/>
          <w:sz w:val="24"/>
          <w:szCs w:val="24"/>
        </w:rPr>
      </w:pPr>
      <w:r>
        <w:rPr>
          <w:rFonts w:hint="eastAsia" w:ascii="宋体" w:hAnsi="宋体" w:cs="宋体"/>
          <w:b/>
          <w:bCs/>
          <w:sz w:val="24"/>
          <w:szCs w:val="24"/>
        </w:rPr>
        <w:t>五、响应文件的密封及标记</w:t>
      </w:r>
    </w:p>
    <w:p>
      <w:pPr>
        <w:snapToGrid w:val="0"/>
        <w:spacing w:line="360" w:lineRule="auto"/>
        <w:ind w:firstLine="480" w:firstLineChars="200"/>
        <w:rPr>
          <w:rFonts w:asci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70" w:firstLineChars="196"/>
        <w:rPr>
          <w:rFonts w:asci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rPr>
          <w:rFonts w:ascii="宋体" w:cs="宋体"/>
          <w:b/>
          <w:sz w:val="24"/>
          <w:szCs w:val="24"/>
        </w:rPr>
      </w:pPr>
      <w:r>
        <w:rPr>
          <w:rFonts w:hint="eastAsia" w:ascii="宋体" w:hAnsi="宋体" w:cs="宋体"/>
          <w:b/>
          <w:sz w:val="24"/>
          <w:szCs w:val="24"/>
        </w:rPr>
        <w:t>【特别提醒】：</w:t>
      </w:r>
    </w:p>
    <w:p>
      <w:pPr>
        <w:snapToGrid w:val="0"/>
        <w:spacing w:line="360" w:lineRule="auto"/>
        <w:ind w:firstLine="480" w:firstLineChars="200"/>
        <w:rPr>
          <w:rFonts w:ascii="宋体" w:cs="宋体"/>
          <w:sz w:val="24"/>
          <w:szCs w:val="24"/>
        </w:rPr>
      </w:pPr>
      <w:r>
        <w:rPr>
          <w:rFonts w:hint="eastAsia" w:ascii="宋体" w:hAnsi="宋体" w:cs="宋体"/>
          <w:sz w:val="24"/>
          <w:szCs w:val="24"/>
        </w:rPr>
        <w:t>响应文件中的</w:t>
      </w:r>
      <w:r>
        <w:rPr>
          <w:rFonts w:hint="eastAsia" w:ascii="宋体" w:hAnsi="宋体" w:cs="宋体"/>
          <w:b/>
          <w:bCs/>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80" w:firstLineChars="200"/>
        <w:rPr>
          <w:rFonts w:ascii="宋体" w:cs="宋体"/>
          <w:sz w:val="24"/>
          <w:szCs w:val="24"/>
        </w:rPr>
      </w:pPr>
      <w:r>
        <w:rPr>
          <w:rFonts w:hint="eastAsia" w:ascii="宋体" w:hAnsi="宋体" w:cs="宋体"/>
          <w:sz w:val="24"/>
          <w:szCs w:val="24"/>
        </w:rPr>
        <w:t>开标程序顺利进行后，所有磋商响应文件都将作为档案保存，不论成交与否，采购单位均不退回（未拆封的除外）。</w:t>
      </w:r>
    </w:p>
    <w:p>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六、磋商报价</w:t>
      </w:r>
    </w:p>
    <w:p>
      <w:pPr>
        <w:snapToGrid w:val="0"/>
        <w:spacing w:line="360" w:lineRule="auto"/>
        <w:ind w:firstLine="494" w:firstLineChars="206"/>
        <w:rPr>
          <w:rFonts w:asci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cs="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hAnsi="宋体" w:cs="宋体"/>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、磋商报价表必须加盖单位公章且必须经法定代表人或被授权人签字或盖章。报价表中的大写金额与小写金额、总价金额与按单价汇总金额，</w:t>
      </w:r>
      <w:r>
        <w:rPr>
          <w:rFonts w:hint="eastAsia" w:hAnsi="宋体" w:cs="宋体"/>
          <w:sz w:val="24"/>
          <w:szCs w:val="24"/>
        </w:rPr>
        <w:t>若有差异</w:t>
      </w:r>
      <w:r>
        <w:rPr>
          <w:rFonts w:hint="eastAsia" w:ascii="宋体" w:hAnsi="宋体" w:cs="宋体"/>
          <w:sz w:val="24"/>
          <w:szCs w:val="24"/>
        </w:rPr>
        <w:t>将按下列条款执行：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（1）投标文件中开标一览表（报价表）内容与投标文件中相应内容不一致的，以开标一览表（报价表）为准；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（3）单价金额小数点或者百分比有明显错位的，以开标一览表的总价为准，并修改单价；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pPr>
        <w:snapToGrid w:val="0"/>
        <w:spacing w:line="360" w:lineRule="auto"/>
        <w:ind w:firstLine="494" w:firstLineChars="206"/>
        <w:rPr>
          <w:rFonts w:hAnsi="宋体" w:cs="宋体"/>
          <w:sz w:val="24"/>
          <w:szCs w:val="24"/>
        </w:rPr>
      </w:pPr>
      <w:r>
        <w:rPr>
          <w:rFonts w:hint="eastAsia" w:ascii="宋体" w:hAnsi="宋体" w:cs="宋体"/>
          <w:sz w:val="24"/>
          <w:szCs w:val="24"/>
        </w:rPr>
        <w:t>（5）同时出现两种以上不一致的，按照前款规定的顺序修正。修正后的报价投标人确认后产生约束力，投标人不确认的，其投标无效</w:t>
      </w:r>
      <w:r>
        <w:rPr>
          <w:rFonts w:hint="eastAsia"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4、磋商报价应按照磋商文件中采购项目服务要求规定的内容、责任范围进行报价。报价应包含履行合同所有相关服务所需的全部费用。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5、竞争性磋商的最终报价为成交价，同时，成交供应商的成交价在合同实施期间不因市场变化因素而变动。</w:t>
      </w:r>
    </w:p>
    <w:p>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七、联合体参与磋商</w:t>
      </w:r>
    </w:p>
    <w:p>
      <w:pPr>
        <w:snapToGrid w:val="0"/>
        <w:spacing w:line="360" w:lineRule="auto"/>
        <w:ind w:firstLine="470" w:firstLineChars="196"/>
        <w:outlineLvl w:val="1"/>
        <w:rPr>
          <w:rFonts w:asci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82" w:firstLineChars="200"/>
        <w:outlineLvl w:val="1"/>
        <w:rPr>
          <w:rFonts w:ascii="宋体" w:cs="宋体"/>
          <w:sz w:val="24"/>
          <w:szCs w:val="24"/>
        </w:rPr>
      </w:pPr>
      <w:r>
        <w:rPr>
          <w:rFonts w:hint="eastAsia" w:ascii="宋体" w:hAnsi="宋体" w:cs="宋体"/>
          <w:b/>
          <w:sz w:val="24"/>
          <w:szCs w:val="24"/>
        </w:rPr>
        <w:t>八、</w:t>
      </w:r>
      <w:r>
        <w:rPr>
          <w:rFonts w:hint="eastAsia" w:ascii="宋体" w:hAnsi="宋体" w:cs="宋体"/>
          <w:b/>
          <w:bCs/>
          <w:sz w:val="24"/>
          <w:szCs w:val="24"/>
        </w:rPr>
        <w:t>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360" w:lineRule="auto"/>
        <w:ind w:firstLine="460" w:firstLineChars="192"/>
        <w:rPr>
          <w:rFonts w:ascii="宋体" w:hAnsi="宋体" w:cs="宋体"/>
          <w:sz w:val="24"/>
          <w:szCs w:val="24"/>
        </w:rPr>
      </w:pPr>
      <w:r>
        <w:rPr>
          <w:rFonts w:ascii="宋体" w:hAnsi="宋体" w:cs="宋体"/>
          <w:sz w:val="24"/>
          <w:szCs w:val="24"/>
        </w:rPr>
        <w:t>供应商应承担其编制响应文件以及递交响应文件所涉及的一切费用。无论磋商结果如何，采购单位对上述费用不负任何责任。</w:t>
      </w:r>
    </w:p>
    <w:p>
      <w:pPr>
        <w:snapToGrid w:val="0"/>
        <w:spacing w:line="360" w:lineRule="auto"/>
        <w:rPr>
          <w:rFonts w:ascii="宋体" w:cs="宋体"/>
          <w:sz w:val="24"/>
          <w:szCs w:val="24"/>
        </w:rPr>
        <w:sectPr>
          <w:type w:val="continuous"/>
          <w:pgSz w:w="11906" w:h="16838"/>
          <w:pgMar w:top="1134" w:right="1134" w:bottom="1134" w:left="1134" w:header="851" w:footer="992" w:gutter="0"/>
          <w:pgNumType w:fmt="numberInDash"/>
          <w:cols w:space="720" w:num="1"/>
          <w:docGrid w:linePitch="312" w:charSpace="0"/>
        </w:sectPr>
      </w:pPr>
      <w:bookmarkStart w:id="40" w:name="_Toc363573855"/>
    </w:p>
    <w:p>
      <w:pPr>
        <w:snapToGrid w:val="0"/>
        <w:spacing w:line="360" w:lineRule="auto"/>
        <w:jc w:val="center"/>
        <w:rPr>
          <w:rFonts w:ascii="宋体" w:cs="宋体"/>
          <w:b/>
          <w:i/>
          <w:w w:val="80"/>
          <w:sz w:val="32"/>
          <w:szCs w:val="32"/>
        </w:rPr>
      </w:pPr>
      <w:r>
        <w:rPr>
          <w:rFonts w:hint="eastAsia" w:ascii="宋体" w:hAnsi="宋体" w:cs="宋体"/>
          <w:b/>
          <w:w w:val="80"/>
          <w:sz w:val="44"/>
          <w:szCs w:val="44"/>
        </w:rPr>
        <w:t>第三章</w:t>
      </w:r>
      <w:bookmarkEnd w:id="30"/>
      <w:bookmarkEnd w:id="31"/>
      <w:bookmarkEnd w:id="32"/>
      <w:bookmarkEnd w:id="33"/>
      <w:bookmarkEnd w:id="34"/>
      <w:bookmarkEnd w:id="35"/>
      <w:bookmarkEnd w:id="36"/>
      <w:bookmarkEnd w:id="37"/>
      <w:bookmarkEnd w:id="38"/>
      <w:bookmarkEnd w:id="39"/>
      <w:r>
        <w:rPr>
          <w:rFonts w:hint="eastAsia" w:ascii="宋体" w:hAnsi="宋体" w:cs="宋体"/>
          <w:b/>
          <w:w w:val="80"/>
          <w:sz w:val="44"/>
          <w:szCs w:val="44"/>
        </w:rPr>
        <w:t xml:space="preserve">  项目需求</w:t>
      </w:r>
      <w:bookmarkEnd w:id="40"/>
    </w:p>
    <w:p>
      <w:pPr>
        <w:snapToGrid w:val="0"/>
        <w:spacing w:line="360" w:lineRule="auto"/>
        <w:ind w:firstLine="482" w:firstLineChars="200"/>
        <w:jc w:val="left"/>
        <w:rPr>
          <w:color w:val="000000"/>
          <w:sz w:val="24"/>
          <w:szCs w:val="24"/>
        </w:rPr>
      </w:pPr>
      <w:bookmarkStart w:id="41" w:name="_Toc12670505"/>
      <w:bookmarkStart w:id="42" w:name="_Toc13803483"/>
      <w:bookmarkStart w:id="43" w:name="_Toc8895741"/>
      <w:bookmarkStart w:id="44" w:name="_Toc11554641"/>
      <w:bookmarkStart w:id="45" w:name="_Toc521203420"/>
      <w:bookmarkStart w:id="46" w:name="_Toc94544746"/>
      <w:bookmarkStart w:id="47" w:name="_Toc11499586"/>
      <w:bookmarkStart w:id="48" w:name="_Toc11500282"/>
      <w:bookmarkStart w:id="49" w:name="_Toc521201599"/>
      <w:bookmarkStart w:id="50" w:name="_Toc94585342"/>
      <w:bookmarkStart w:id="51" w:name="_Toc94544872"/>
      <w:bookmarkStart w:id="52" w:name="_Toc363573856"/>
      <w:r>
        <w:rPr>
          <w:b/>
          <w:color w:val="000000"/>
          <w:sz w:val="24"/>
          <w:szCs w:val="24"/>
        </w:rPr>
        <w:t>请供应商在制作响应文件时仔细研究项目需求说明。</w:t>
      </w:r>
      <w:r>
        <w:rPr>
          <w:color w:val="000000"/>
          <w:sz w:val="24"/>
          <w:szCs w:val="24"/>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技术商务部分正负偏离表》上明示，如不明示的视同完全响应。</w:t>
      </w:r>
    </w:p>
    <w:p>
      <w:pPr>
        <w:snapToGrid w:val="0"/>
        <w:spacing w:line="360" w:lineRule="auto"/>
        <w:ind w:firstLine="482" w:firstLineChars="200"/>
        <w:jc w:val="left"/>
        <w:rPr>
          <w:b/>
          <w:color w:val="000000"/>
          <w:sz w:val="24"/>
          <w:szCs w:val="24"/>
        </w:rPr>
      </w:pPr>
      <w:r>
        <w:rPr>
          <w:rFonts w:hint="eastAsia"/>
          <w:b/>
          <w:color w:val="000000"/>
          <w:sz w:val="24"/>
          <w:szCs w:val="24"/>
        </w:rPr>
        <w:t>一、服务范围：南通市崇川生态环境局</w:t>
      </w:r>
      <w:r>
        <w:rPr>
          <w:rFonts w:hint="eastAsia"/>
          <w:b/>
          <w:color w:val="000000"/>
          <w:sz w:val="24"/>
          <w:szCs w:val="24"/>
          <w:lang w:val="en-US" w:eastAsia="zh-CN"/>
        </w:rPr>
        <w:t>法律顾问</w:t>
      </w:r>
      <w:r>
        <w:rPr>
          <w:rFonts w:hint="eastAsia"/>
          <w:b/>
          <w:color w:val="000000"/>
          <w:sz w:val="24"/>
          <w:szCs w:val="24"/>
        </w:rPr>
        <w:t>服务。</w:t>
      </w:r>
    </w:p>
    <w:p>
      <w:pPr>
        <w:snapToGrid w:val="0"/>
        <w:spacing w:line="360" w:lineRule="auto"/>
        <w:ind w:firstLine="482" w:firstLineChars="200"/>
        <w:jc w:val="left"/>
        <w:rPr>
          <w:b/>
          <w:color w:val="000000"/>
          <w:sz w:val="24"/>
          <w:szCs w:val="24"/>
        </w:rPr>
      </w:pPr>
      <w:r>
        <w:rPr>
          <w:rFonts w:hint="eastAsia"/>
          <w:b/>
          <w:color w:val="000000"/>
          <w:sz w:val="24"/>
          <w:szCs w:val="24"/>
        </w:rPr>
        <w:t>二、服务期限：自合同签订之日起两年。</w:t>
      </w:r>
    </w:p>
    <w:p>
      <w:pPr>
        <w:snapToGrid w:val="0"/>
        <w:spacing w:line="360" w:lineRule="auto"/>
        <w:ind w:firstLine="482" w:firstLineChars="200"/>
        <w:jc w:val="left"/>
        <w:rPr>
          <w:b/>
          <w:color w:val="000000"/>
          <w:sz w:val="24"/>
          <w:szCs w:val="24"/>
        </w:rPr>
      </w:pPr>
      <w:r>
        <w:rPr>
          <w:rFonts w:hint="eastAsia"/>
          <w:b/>
          <w:color w:val="000000"/>
          <w:sz w:val="24"/>
          <w:szCs w:val="24"/>
        </w:rPr>
        <w:t>三、服务内容</w:t>
      </w:r>
    </w:p>
    <w:p>
      <w:pPr>
        <w:snapToGrid w:val="0"/>
        <w:spacing w:line="360" w:lineRule="auto"/>
        <w:ind w:firstLine="480" w:firstLineChars="200"/>
        <w:jc w:val="left"/>
        <w:rPr>
          <w:color w:val="000000"/>
          <w:sz w:val="24"/>
          <w:szCs w:val="24"/>
        </w:rPr>
      </w:pPr>
      <w:r>
        <w:rPr>
          <w:rFonts w:hint="eastAsia"/>
          <w:color w:val="000000"/>
          <w:sz w:val="24"/>
          <w:szCs w:val="24"/>
        </w:rPr>
        <w:t>1．法律咨询。就业务工作中遇到的一般、简单法律问题，提供口头或者书面的法律分析意见。</w:t>
      </w:r>
    </w:p>
    <w:p>
      <w:pPr>
        <w:snapToGrid w:val="0"/>
        <w:spacing w:line="360" w:lineRule="auto"/>
        <w:ind w:firstLine="480" w:firstLineChars="200"/>
        <w:jc w:val="left"/>
        <w:rPr>
          <w:color w:val="000000"/>
          <w:sz w:val="24"/>
          <w:szCs w:val="24"/>
        </w:rPr>
      </w:pPr>
      <w:r>
        <w:rPr>
          <w:rFonts w:hint="eastAsia"/>
          <w:color w:val="000000"/>
          <w:sz w:val="24"/>
          <w:szCs w:val="24"/>
        </w:rPr>
        <w:t>2．出具法律意见书。根据聘请方的要求，对聘请方的重大行政决策、行政行为、合同行为（以实际发生数为准，通常为一年1</w:t>
      </w:r>
      <w:r>
        <w:rPr>
          <w:rFonts w:hint="eastAsia"/>
          <w:color w:val="000000"/>
          <w:sz w:val="24"/>
          <w:szCs w:val="24"/>
          <w:lang w:val="en-US" w:eastAsia="zh-CN"/>
        </w:rPr>
        <w:t>00</w:t>
      </w:r>
      <w:r>
        <w:rPr>
          <w:rFonts w:hint="eastAsia"/>
          <w:color w:val="000000"/>
          <w:sz w:val="24"/>
          <w:szCs w:val="24"/>
        </w:rPr>
        <w:t>至</w:t>
      </w:r>
      <w:r>
        <w:rPr>
          <w:rFonts w:hint="eastAsia"/>
          <w:color w:val="000000"/>
          <w:sz w:val="24"/>
          <w:szCs w:val="24"/>
          <w:lang w:val="en-US" w:eastAsia="zh-CN"/>
        </w:rPr>
        <w:t>150</w:t>
      </w:r>
      <w:r>
        <w:rPr>
          <w:rFonts w:hint="eastAsia"/>
          <w:color w:val="000000"/>
          <w:sz w:val="24"/>
          <w:szCs w:val="24"/>
        </w:rPr>
        <w:t>份合同审核）等法律事务，出具法律意见书，为聘请方提供必要的法律依据和法律建议。</w:t>
      </w:r>
    </w:p>
    <w:p>
      <w:pPr>
        <w:snapToGrid w:val="0"/>
        <w:spacing w:line="360" w:lineRule="auto"/>
        <w:ind w:firstLine="480" w:firstLineChars="200"/>
        <w:jc w:val="left"/>
        <w:rPr>
          <w:color w:val="000000"/>
          <w:sz w:val="24"/>
          <w:szCs w:val="24"/>
        </w:rPr>
      </w:pPr>
      <w:r>
        <w:rPr>
          <w:rFonts w:hint="eastAsia"/>
          <w:color w:val="000000"/>
          <w:sz w:val="24"/>
          <w:szCs w:val="24"/>
        </w:rPr>
        <w:t>3．出具合法性审查意见书。对聘请方起草的地方性法规和规章草案以及起草或者法定职权范围内审查的重要规范性文件，提出合法性审查意见。</w:t>
      </w:r>
    </w:p>
    <w:p>
      <w:pPr>
        <w:snapToGrid w:val="0"/>
        <w:spacing w:line="360" w:lineRule="auto"/>
        <w:ind w:firstLine="480" w:firstLineChars="200"/>
        <w:jc w:val="left"/>
        <w:rPr>
          <w:color w:val="000000"/>
          <w:sz w:val="24"/>
          <w:szCs w:val="24"/>
        </w:rPr>
      </w:pPr>
      <w:r>
        <w:rPr>
          <w:rFonts w:hint="eastAsia"/>
          <w:color w:val="000000"/>
          <w:sz w:val="24"/>
          <w:szCs w:val="24"/>
        </w:rPr>
        <w:t>4．协助研议难点问题。受聘请方邀请，定期或者不定期（通常为每月一次）就涉及聘请方法律事务中的疑难复杂问题进行研究、讨论，提出法律意见，参与重大疑难信访案件和重大突发事件处置。</w:t>
      </w:r>
    </w:p>
    <w:p>
      <w:pPr>
        <w:snapToGrid w:val="0"/>
        <w:spacing w:line="360" w:lineRule="auto"/>
        <w:ind w:firstLine="480" w:firstLineChars="200"/>
        <w:jc w:val="left"/>
        <w:rPr>
          <w:color w:val="000000"/>
          <w:sz w:val="24"/>
          <w:szCs w:val="24"/>
        </w:rPr>
      </w:pPr>
      <w:r>
        <w:rPr>
          <w:rFonts w:hint="eastAsia"/>
          <w:color w:val="000000"/>
          <w:sz w:val="24"/>
          <w:szCs w:val="24"/>
        </w:rPr>
        <w:t>5．举办法律讲座。结合聘请方特点，定期或不定期参与聘请方组织的法律讲座（通常为每年三至四次）。</w:t>
      </w:r>
    </w:p>
    <w:p>
      <w:pPr>
        <w:snapToGrid w:val="0"/>
        <w:spacing w:line="360" w:lineRule="auto"/>
        <w:ind w:firstLine="480" w:firstLineChars="200"/>
        <w:jc w:val="left"/>
        <w:rPr>
          <w:color w:val="000000"/>
          <w:sz w:val="24"/>
          <w:szCs w:val="24"/>
        </w:rPr>
      </w:pPr>
      <w:r>
        <w:rPr>
          <w:rFonts w:hint="eastAsia"/>
          <w:color w:val="000000"/>
          <w:sz w:val="24"/>
          <w:szCs w:val="24"/>
        </w:rPr>
        <w:t>6．参与重大行政处罚案件审议。对重大行政执法案件进行法制审查，并根据需要参加行政处罚案件审议会议（通常为每月一次），提出法律意见。</w:t>
      </w:r>
    </w:p>
    <w:p>
      <w:pPr>
        <w:snapToGrid w:val="0"/>
        <w:spacing w:line="360" w:lineRule="auto"/>
        <w:ind w:firstLine="480" w:firstLineChars="200"/>
        <w:jc w:val="left"/>
        <w:rPr>
          <w:color w:val="000000"/>
          <w:sz w:val="24"/>
          <w:szCs w:val="24"/>
        </w:rPr>
      </w:pPr>
      <w:r>
        <w:rPr>
          <w:rFonts w:hint="eastAsia"/>
          <w:color w:val="000000"/>
          <w:sz w:val="24"/>
          <w:szCs w:val="24"/>
        </w:rPr>
        <w:t>7．代理诉讼等法律事务。当发生涉及聘请方诉讼（通常为每月一至二次）、仲裁等活动时，根据聘请方的安排，接受聘请方委托和授权，作为聘请方的代理人参加诉讼、仲裁以及执行等活动。</w:t>
      </w:r>
    </w:p>
    <w:p>
      <w:pPr>
        <w:snapToGrid w:val="0"/>
        <w:spacing w:line="360" w:lineRule="auto"/>
        <w:ind w:firstLine="480" w:firstLineChars="200"/>
        <w:jc w:val="left"/>
        <w:rPr>
          <w:color w:val="000000"/>
          <w:sz w:val="24"/>
          <w:szCs w:val="24"/>
        </w:rPr>
      </w:pPr>
      <w:r>
        <w:rPr>
          <w:rFonts w:hint="eastAsia"/>
          <w:color w:val="000000"/>
          <w:sz w:val="24"/>
          <w:szCs w:val="24"/>
        </w:rPr>
        <w:t>8．应聘请方要求，参与本</w:t>
      </w:r>
      <w:r>
        <w:rPr>
          <w:rFonts w:hint="eastAsia"/>
          <w:color w:val="auto"/>
          <w:sz w:val="24"/>
          <w:szCs w:val="24"/>
          <w:lang w:val="en-US" w:eastAsia="zh-CN"/>
        </w:rPr>
        <w:t>区</w:t>
      </w:r>
      <w:r>
        <w:rPr>
          <w:rFonts w:hint="eastAsia"/>
          <w:color w:val="auto"/>
          <w:sz w:val="24"/>
          <w:szCs w:val="24"/>
        </w:rPr>
        <w:t>生态</w:t>
      </w:r>
      <w:r>
        <w:rPr>
          <w:rFonts w:hint="eastAsia"/>
          <w:color w:val="000000"/>
          <w:sz w:val="24"/>
          <w:szCs w:val="24"/>
        </w:rPr>
        <w:t>环境损害赔偿磋商工作，代理生态损害赔偿公益诉讼。</w:t>
      </w:r>
    </w:p>
    <w:p>
      <w:pPr>
        <w:snapToGrid w:val="0"/>
        <w:spacing w:line="360" w:lineRule="auto"/>
        <w:ind w:firstLine="480" w:firstLineChars="200"/>
        <w:jc w:val="left"/>
        <w:rPr>
          <w:color w:val="000000"/>
          <w:sz w:val="24"/>
          <w:szCs w:val="24"/>
        </w:rPr>
      </w:pPr>
      <w:r>
        <w:rPr>
          <w:rFonts w:hint="eastAsia"/>
          <w:color w:val="000000"/>
          <w:sz w:val="24"/>
          <w:szCs w:val="24"/>
        </w:rPr>
        <w:t>9．协助聘请方办理其他法律事务。</w:t>
      </w:r>
    </w:p>
    <w:p>
      <w:pPr>
        <w:snapToGrid w:val="0"/>
        <w:spacing w:line="360" w:lineRule="auto"/>
        <w:ind w:firstLine="482" w:firstLineChars="200"/>
        <w:jc w:val="left"/>
        <w:rPr>
          <w:b/>
          <w:color w:val="000000"/>
          <w:sz w:val="24"/>
          <w:szCs w:val="24"/>
        </w:rPr>
      </w:pPr>
      <w:r>
        <w:rPr>
          <w:rFonts w:hint="eastAsia"/>
          <w:b/>
          <w:color w:val="000000"/>
          <w:sz w:val="24"/>
          <w:szCs w:val="24"/>
        </w:rPr>
        <w:t>四、违约责任</w:t>
      </w:r>
    </w:p>
    <w:p>
      <w:pPr>
        <w:snapToGrid w:val="0"/>
        <w:spacing w:line="360" w:lineRule="auto"/>
        <w:ind w:firstLine="482" w:firstLineChars="200"/>
        <w:jc w:val="left"/>
        <w:rPr>
          <w:color w:val="000000"/>
          <w:sz w:val="24"/>
          <w:szCs w:val="24"/>
        </w:rPr>
      </w:pPr>
      <w:r>
        <w:rPr>
          <w:rFonts w:hint="eastAsia"/>
          <w:b/>
          <w:color w:val="000000"/>
          <w:sz w:val="24"/>
          <w:szCs w:val="24"/>
        </w:rPr>
        <w:t>每个月上门服务次数平均不少于2次</w:t>
      </w:r>
      <w:r>
        <w:rPr>
          <w:rFonts w:hint="eastAsia"/>
          <w:color w:val="000000"/>
          <w:sz w:val="24"/>
          <w:szCs w:val="24"/>
        </w:rPr>
        <w:t>（含参加采购单位明确邀请的任何会议或活动），每次半个工作日或3个小时，次数不足的，违约金每次500元。上门服务时间双方协商安排。（接到聘请方口头或书面通知后，被聘请方应在2小时内到达聘请方通知的地点提供法律服务。被聘请方未按照服务响应要求执行的，聘请方有权终止合同，已发生的服务费用按1600元/月进行结算，由此产生的所有损失由被聘请方自行承担。）</w:t>
      </w:r>
    </w:p>
    <w:p>
      <w:pPr>
        <w:snapToGrid w:val="0"/>
        <w:spacing w:line="360" w:lineRule="auto"/>
        <w:ind w:firstLine="480" w:firstLineChars="200"/>
        <w:jc w:val="left"/>
        <w:rPr>
          <w:color w:val="000000"/>
          <w:sz w:val="24"/>
          <w:szCs w:val="24"/>
        </w:rPr>
      </w:pPr>
      <w:r>
        <w:rPr>
          <w:rFonts w:hint="eastAsia"/>
          <w:color w:val="000000"/>
          <w:sz w:val="24"/>
          <w:szCs w:val="24"/>
        </w:rPr>
        <w:t>供应商应本着长期合作、专业服务的精神，以优惠的价格投标，并严格保证业务质量。一旦发现成交供应商及指派的顾问律师的情况和专业水平与标书所述不符，或成交供应商及指派的顾问律师的实际从业能力无法达到采购单位的要求，或因成交供应商及指派的顾问律师的过错给采购单位带来损失的，或不能按本采购文件的要求提供服务的，采购单位保留中途解聘并要求赔偿的权利，且采购单位将不承担任何费用。</w:t>
      </w:r>
    </w:p>
    <w:p>
      <w:pPr>
        <w:snapToGrid w:val="0"/>
        <w:spacing w:line="360" w:lineRule="auto"/>
        <w:ind w:firstLine="482" w:firstLineChars="200"/>
        <w:jc w:val="left"/>
        <w:rPr>
          <w:b/>
          <w:color w:val="000000"/>
          <w:sz w:val="24"/>
          <w:szCs w:val="24"/>
        </w:rPr>
      </w:pPr>
      <w:r>
        <w:rPr>
          <w:rFonts w:hint="eastAsia"/>
          <w:b/>
          <w:color w:val="000000"/>
          <w:sz w:val="24"/>
          <w:szCs w:val="24"/>
        </w:rPr>
        <w:t>五、服务费用标准</w:t>
      </w:r>
    </w:p>
    <w:p>
      <w:pPr>
        <w:snapToGrid w:val="0"/>
        <w:spacing w:line="360" w:lineRule="auto"/>
        <w:ind w:firstLine="480" w:firstLineChars="200"/>
        <w:jc w:val="left"/>
        <w:rPr>
          <w:color w:val="000000"/>
          <w:sz w:val="24"/>
          <w:szCs w:val="24"/>
        </w:rPr>
      </w:pPr>
      <w:r>
        <w:rPr>
          <w:rFonts w:hint="eastAsia"/>
          <w:color w:val="000000"/>
          <w:sz w:val="24"/>
          <w:szCs w:val="24"/>
        </w:rPr>
        <w:t>服务费用：按成交价（万元/年）。成交供应商提供上述法律服务。</w:t>
      </w:r>
    </w:p>
    <w:p>
      <w:pPr>
        <w:autoSpaceDE w:val="0"/>
        <w:autoSpaceDN w:val="0"/>
        <w:adjustRightInd w:val="0"/>
        <w:spacing w:line="360" w:lineRule="auto"/>
        <w:ind w:firstLine="480" w:firstLineChars="200"/>
        <w:rPr>
          <w:color w:val="000000"/>
          <w:sz w:val="24"/>
          <w:szCs w:val="24"/>
        </w:rPr>
      </w:pPr>
      <w:r>
        <w:rPr>
          <w:rFonts w:hint="eastAsia"/>
          <w:color w:val="000000"/>
          <w:sz w:val="24"/>
          <w:szCs w:val="24"/>
        </w:rPr>
        <w:t>成交价应为费用总额，包括常年法律顾问服务费、南通市范围内交通费、通讯费、餐费、税费等所有费用。因服务需要并经得采购单位同意确需离开南通市范围处理的，差旅费（从南通市至差旅所在地，在南通市内没有常设机构的，服务人员到采购单位现场提供服务的不计为差旅费）用按机关工作人员因公出差规定执行。</w:t>
      </w:r>
    </w:p>
    <w:p>
      <w:pPr>
        <w:pStyle w:val="2"/>
        <w:tabs>
          <w:tab w:val="left" w:pos="3992"/>
          <w:tab w:val="left" w:pos="4994"/>
          <w:tab w:val="left" w:pos="5958"/>
          <w:tab w:val="left" w:pos="8619"/>
          <w:tab w:val="left" w:pos="8769"/>
        </w:tabs>
        <w:kinsoku w:val="0"/>
        <w:overflowPunct w:val="0"/>
        <w:autoSpaceDE w:val="0"/>
        <w:autoSpaceDN w:val="0"/>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六、付款方式</w:t>
      </w:r>
    </w:p>
    <w:p>
      <w:pPr>
        <w:snapToGrid w:val="0"/>
        <w:spacing w:line="360" w:lineRule="auto"/>
        <w:jc w:val="center"/>
        <w:rPr>
          <w:rFonts w:ascii="宋体" w:cs="宋体"/>
          <w:b/>
          <w:w w:val="80"/>
          <w:sz w:val="44"/>
          <w:szCs w:val="44"/>
        </w:rPr>
      </w:pPr>
      <w:r>
        <w:rPr>
          <w:rFonts w:hint="eastAsia" w:ascii="宋体" w:hAnsi="宋体" w:cs="宋体"/>
          <w:color w:val="auto"/>
          <w:sz w:val="24"/>
          <w:szCs w:val="24"/>
        </w:rPr>
        <w:t>按年度支付，在合同签订后或新的年度开始后三十日内一次性支付本年度服务费。</w:t>
      </w:r>
      <w:r>
        <w:rPr>
          <w:rFonts w:ascii="宋体" w:cs="宋体"/>
          <w:b/>
          <w:i/>
          <w:w w:val="80"/>
          <w:sz w:val="24"/>
          <w:szCs w:val="24"/>
        </w:rPr>
        <w:br w:type="page"/>
      </w:r>
      <w:r>
        <w:rPr>
          <w:rFonts w:hint="eastAsia" w:ascii="宋体" w:hAnsi="宋体" w:cs="宋体"/>
          <w:b/>
          <w:w w:val="80"/>
          <w:sz w:val="44"/>
          <w:szCs w:val="44"/>
        </w:rPr>
        <w:t>第四章</w:t>
      </w:r>
      <w:bookmarkEnd w:id="41"/>
      <w:bookmarkEnd w:id="42"/>
      <w:bookmarkEnd w:id="43"/>
      <w:bookmarkEnd w:id="44"/>
      <w:bookmarkEnd w:id="45"/>
      <w:bookmarkEnd w:id="46"/>
      <w:bookmarkEnd w:id="47"/>
      <w:bookmarkEnd w:id="48"/>
      <w:bookmarkEnd w:id="49"/>
      <w:bookmarkEnd w:id="50"/>
      <w:bookmarkEnd w:id="51"/>
      <w:bookmarkStart w:id="53" w:name="_Toc182848996"/>
      <w:bookmarkStart w:id="54" w:name="_Toc37322565"/>
      <w:bookmarkStart w:id="55" w:name="_Toc43217893"/>
      <w:bookmarkStart w:id="56" w:name="_Toc85627670"/>
      <w:bookmarkStart w:id="57" w:name="_Toc38121794"/>
      <w:bookmarkStart w:id="58" w:name="_Toc12670506"/>
      <w:bookmarkStart w:id="59" w:name="_Toc11499587"/>
      <w:bookmarkStart w:id="60" w:name="_Toc11554642"/>
      <w:bookmarkStart w:id="61" w:name="_Toc94544747"/>
      <w:bookmarkStart w:id="62" w:name="_Toc11500283"/>
      <w:bookmarkStart w:id="63" w:name="_Toc8895742"/>
      <w:bookmarkStart w:id="64" w:name="_Toc13803484"/>
      <w:bookmarkStart w:id="65" w:name="_Toc94544873"/>
      <w:r>
        <w:rPr>
          <w:rFonts w:hint="eastAsia" w:ascii="宋体" w:hAnsi="宋体" w:cs="宋体"/>
          <w:b/>
          <w:w w:val="80"/>
          <w:sz w:val="44"/>
          <w:szCs w:val="44"/>
        </w:rPr>
        <w:t xml:space="preserve">  评审方法和程序</w:t>
      </w:r>
      <w:bookmarkEnd w:id="52"/>
    </w:p>
    <w:bookmarkEnd w:id="53"/>
    <w:bookmarkEnd w:id="54"/>
    <w:bookmarkEnd w:id="55"/>
    <w:bookmarkEnd w:id="56"/>
    <w:bookmarkEnd w:id="57"/>
    <w:p>
      <w:pPr>
        <w:snapToGrid w:val="0"/>
        <w:spacing w:line="480" w:lineRule="exact"/>
        <w:ind w:firstLine="482" w:firstLineChars="200"/>
        <w:outlineLvl w:val="1"/>
        <w:rPr>
          <w:rFonts w:ascii="宋体" w:cs="宋体"/>
          <w:b/>
          <w:sz w:val="24"/>
          <w:szCs w:val="24"/>
        </w:rPr>
      </w:pPr>
      <w:bookmarkStart w:id="66" w:name="_Toc363573857"/>
      <w:bookmarkEnd w:id="66"/>
      <w:r>
        <w:rPr>
          <w:rFonts w:hint="eastAsia" w:ascii="宋体" w:hAnsi="宋体" w:cs="宋体"/>
          <w:b/>
          <w:sz w:val="24"/>
          <w:szCs w:val="24"/>
        </w:rPr>
        <w:t>一、采购单位组织磋商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p>
    <w:p>
      <w:pPr>
        <w:snapToGrid w:val="0"/>
        <w:spacing w:line="480" w:lineRule="exact"/>
        <w:ind w:firstLine="480" w:firstLineChars="200"/>
        <w:rPr>
          <w:rFonts w:ascii="宋体" w:cs="宋体"/>
          <w:sz w:val="24"/>
          <w:szCs w:val="24"/>
        </w:rPr>
      </w:pPr>
      <w:r>
        <w:rPr>
          <w:rFonts w:hint="eastAsia" w:ascii="宋体" w:hAnsi="宋体" w:cs="宋体"/>
          <w:sz w:val="24"/>
          <w:szCs w:val="24"/>
        </w:rPr>
        <w:t>2、磋商小组的职责：</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480" w:lineRule="exact"/>
        <w:ind w:firstLine="480" w:firstLineChars="200"/>
        <w:rPr>
          <w:rFonts w:ascii="宋体" w:cs="宋体"/>
          <w:sz w:val="24"/>
          <w:szCs w:val="24"/>
        </w:rPr>
      </w:pPr>
      <w:r>
        <w:rPr>
          <w:rFonts w:hint="eastAsia" w:ascii="宋体" w:hAnsi="宋体" w:cs="宋体"/>
          <w:sz w:val="24"/>
          <w:szCs w:val="24"/>
        </w:rPr>
        <w:t>3、评审有关记录由磋商小组成员签名，存档备查。</w:t>
      </w:r>
    </w:p>
    <w:p>
      <w:pPr>
        <w:snapToGrid w:val="0"/>
        <w:spacing w:line="480" w:lineRule="exact"/>
        <w:ind w:firstLine="480" w:firstLineChars="200"/>
        <w:rPr>
          <w:rFonts w:ascii="宋体" w:cs="宋体"/>
          <w:sz w:val="24"/>
          <w:szCs w:val="24"/>
        </w:rPr>
      </w:pPr>
      <w:r>
        <w:rPr>
          <w:rFonts w:hint="eastAsia" w:ascii="宋体" w:hAnsi="宋体" w:cs="宋体"/>
          <w:sz w:val="24"/>
          <w:szCs w:val="24"/>
        </w:rPr>
        <w:t>4、供应商的法定代表人或被授权人须持身份证准时参加磋商开标会。</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二、磋商的原则及方法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、磋商小组依据有关法规，遵循“公开、公平、公正、择优、信用”的原则进行磋商评审。</w:t>
      </w:r>
    </w:p>
    <w:p>
      <w:pPr>
        <w:snapToGrid w:val="0"/>
        <w:spacing w:line="480" w:lineRule="exact"/>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供应商的响应文件的技术部分以打分的形式进行评审和评价。技术分是所有评委打分的算术平均值（计算结果均四舍五入保留两位小数）。</w:t>
      </w:r>
    </w:p>
    <w:p>
      <w:pPr>
        <w:snapToGrid w:val="0"/>
        <w:spacing w:line="480" w:lineRule="exact"/>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、经磋商确定最终采购需求和提交最后报价的供应商：磋商文件能够详细列明采购标的技术、服务要求的，磋商结束后，磋商小组应当要求所有实质性响应的供应商在规定时间内提交最后报价。</w:t>
      </w:r>
    </w:p>
    <w:p>
      <w:pPr>
        <w:snapToGrid w:val="0"/>
        <w:spacing w:line="480" w:lineRule="exact"/>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、磋商文件不能详细列明采购标的技术、服务要求，需经磋商由供应商提供最终设计方案或解决方案的，磋商结束后，磋商小组应当按照少数服从多数的原则投票推荐</w:t>
      </w:r>
      <w:r>
        <w:rPr>
          <w:rFonts w:ascii="宋体" w:hAnsi="宋体" w:cs="宋体"/>
          <w:sz w:val="24"/>
          <w:szCs w:val="24"/>
        </w:rPr>
        <w:t>3</w:t>
      </w:r>
      <w:r>
        <w:rPr>
          <w:rFonts w:hint="eastAsia" w:ascii="宋体" w:hAnsi="宋体" w:cs="宋体"/>
          <w:sz w:val="24"/>
          <w:szCs w:val="24"/>
        </w:rPr>
        <w:t>家以上供应商的设计方案或者解决方案，并要求其在规定时间内提交最后报价。</w:t>
      </w:r>
    </w:p>
    <w:p>
      <w:pPr>
        <w:snapToGrid w:val="0"/>
        <w:spacing w:line="480" w:lineRule="exact"/>
        <w:ind w:firstLine="480" w:firstLineChars="200"/>
        <w:rPr>
          <w:rFonts w:ascii="宋体" w:cs="宋体"/>
          <w:sz w:val="24"/>
          <w:szCs w:val="24"/>
        </w:rPr>
      </w:pPr>
      <w:r>
        <w:rPr>
          <w:rFonts w:ascii="宋体" w:hAnsi="宋体" w:cs="宋体"/>
          <w:sz w:val="24"/>
          <w:szCs w:val="24"/>
        </w:rPr>
        <w:t>10</w:t>
      </w:r>
      <w:r>
        <w:rPr>
          <w:rFonts w:hint="eastAsia" w:ascii="宋体" w:hAnsi="宋体" w:cs="宋体"/>
          <w:sz w:val="24"/>
          <w:szCs w:val="24"/>
        </w:rPr>
        <w:t>、除非在磋商中磋商小组对采购单位需求内容作了调整增加，或对采购内容作了实质性变更，否则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sz w:val="24"/>
          <w:szCs w:val="24"/>
        </w:rPr>
      </w:pPr>
      <w:r>
        <w:rPr>
          <w:rFonts w:ascii="宋体" w:hAnsi="宋体" w:cs="宋体"/>
          <w:sz w:val="24"/>
          <w:szCs w:val="24"/>
        </w:rPr>
        <w:t>12</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480" w:lineRule="exact"/>
        <w:ind w:firstLine="480" w:firstLineChars="200"/>
        <w:rPr>
          <w:rFonts w:ascii="宋体" w:cs="宋体"/>
          <w:sz w:val="24"/>
          <w:szCs w:val="24"/>
        </w:rPr>
      </w:pPr>
      <w:r>
        <w:rPr>
          <w:rFonts w:ascii="宋体" w:hAnsi="宋体" w:cs="宋体"/>
          <w:sz w:val="24"/>
          <w:szCs w:val="24"/>
        </w:rPr>
        <w:t>13</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cs="宋体"/>
          <w:sz w:val="24"/>
          <w:szCs w:val="24"/>
        </w:rPr>
      </w:pPr>
      <w:r>
        <w:rPr>
          <w:rFonts w:ascii="宋体" w:hAnsi="宋体" w:cs="宋体"/>
          <w:sz w:val="24"/>
          <w:szCs w:val="24"/>
        </w:rPr>
        <w:t>14</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cs="宋体"/>
          <w:b/>
          <w:bCs/>
          <w:sz w:val="24"/>
          <w:szCs w:val="24"/>
        </w:rPr>
      </w:pPr>
      <w:r>
        <w:rPr>
          <w:rFonts w:hint="eastAsia" w:ascii="宋体" w:hAnsi="宋体" w:cs="宋体"/>
          <w:b/>
          <w:bCs/>
          <w:sz w:val="24"/>
          <w:szCs w:val="24"/>
        </w:rPr>
        <w:t>三、评审步骤</w:t>
      </w:r>
    </w:p>
    <w:p>
      <w:pPr>
        <w:snapToGrid w:val="0"/>
        <w:spacing w:line="480" w:lineRule="exact"/>
        <w:ind w:firstLine="482" w:firstLineChars="200"/>
        <w:rPr>
          <w:rFonts w:ascii="宋体" w:cs="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480" w:lineRule="exact"/>
        <w:ind w:firstLine="482" w:firstLineChars="200"/>
        <w:rPr>
          <w:rFonts w:ascii="宋体" w:cs="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480" w:lineRule="exact"/>
        <w:ind w:firstLine="480" w:firstLineChars="200"/>
        <w:rPr>
          <w:rFonts w:ascii="宋体" w:cs="宋体"/>
          <w:sz w:val="24"/>
          <w:szCs w:val="24"/>
          <w:lang w:val="zh-CN"/>
        </w:rPr>
      </w:pPr>
      <w:r>
        <w:rPr>
          <w:rFonts w:hint="eastAsia" w:ascii="宋体" w:hAnsi="宋体" w:cs="宋体"/>
          <w:sz w:val="24"/>
          <w:szCs w:val="24"/>
        </w:rPr>
        <w:t>资格符合性评审</w:t>
      </w:r>
      <w:r>
        <w:rPr>
          <w:rFonts w:ascii="宋体" w:hAnsi="宋体" w:cs="宋体"/>
          <w:sz w:val="24"/>
          <w:szCs w:val="24"/>
        </w:rPr>
        <w:t xml:space="preserve">—— </w:t>
      </w:r>
      <w:r>
        <w:rPr>
          <w:rFonts w:hint="eastAsia" w:ascii="宋体" w:hAnsi="宋体" w:cs="宋体"/>
          <w:sz w:val="24"/>
          <w:szCs w:val="24"/>
        </w:rPr>
        <w:t>技术响应文件评审</w:t>
      </w:r>
      <w:r>
        <w:rPr>
          <w:rFonts w:ascii="宋体" w:hAnsi="宋体" w:cs="宋体"/>
          <w:sz w:val="24"/>
          <w:szCs w:val="24"/>
        </w:rPr>
        <w:t>——</w:t>
      </w:r>
      <w:r>
        <w:rPr>
          <w:rFonts w:hint="eastAsia" w:ascii="宋体" w:hAnsi="宋体" w:cs="宋体"/>
          <w:sz w:val="24"/>
          <w:szCs w:val="24"/>
        </w:rPr>
        <w:t>商务报价响应文件评审</w:t>
      </w:r>
      <w:r>
        <w:rPr>
          <w:rFonts w:ascii="宋体" w:hAnsi="宋体" w:cs="宋体"/>
          <w:sz w:val="24"/>
          <w:szCs w:val="24"/>
        </w:rPr>
        <w:t>——</w:t>
      </w:r>
      <w:r>
        <w:rPr>
          <w:rFonts w:hint="eastAsia" w:ascii="宋体" w:hAnsi="宋体" w:cs="宋体"/>
          <w:sz w:val="24"/>
          <w:szCs w:val="24"/>
        </w:rPr>
        <w:t>确定成交供应商</w:t>
      </w:r>
    </w:p>
    <w:p>
      <w:pPr>
        <w:snapToGrid w:val="0"/>
        <w:spacing w:line="480" w:lineRule="exact"/>
        <w:ind w:firstLine="480" w:firstLineChars="200"/>
        <w:rPr>
          <w:rFonts w:ascii="宋体" w:cs="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480" w:lineRule="exact"/>
        <w:ind w:firstLine="480" w:firstLineChars="200"/>
        <w:rPr>
          <w:rFonts w:ascii="宋体" w:cs="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评审</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cs="宋体"/>
          <w:sz w:val="24"/>
          <w:szCs w:val="24"/>
          <w:lang w:val="zh-CN"/>
        </w:rPr>
      </w:pPr>
      <w:r>
        <w:rPr>
          <w:rFonts w:hint="eastAsia" w:ascii="宋体" w:hAnsi="宋体" w:cs="宋体"/>
          <w:sz w:val="24"/>
          <w:szCs w:val="24"/>
          <w:lang w:val="zh-CN"/>
        </w:rPr>
        <w:t>第三阶段：以</w:t>
      </w:r>
      <w:r>
        <w:rPr>
          <w:rFonts w:hint="eastAsia" w:ascii="宋体" w:hAnsi="宋体" w:cs="宋体"/>
          <w:sz w:val="24"/>
          <w:szCs w:val="24"/>
        </w:rPr>
        <w:t>供应商</w:t>
      </w:r>
      <w:r>
        <w:rPr>
          <w:rFonts w:hint="eastAsia" w:ascii="宋体" w:hAnsi="宋体" w:cs="宋体"/>
          <w:sz w:val="24"/>
          <w:szCs w:val="24"/>
          <w:lang w:val="zh-CN"/>
        </w:rPr>
        <w:t>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磋商小组与供应商</w:t>
      </w:r>
      <w:r>
        <w:rPr>
          <w:rFonts w:hint="eastAsia" w:ascii="宋体" w:hAnsi="宋体" w:cs="宋体"/>
          <w:sz w:val="24"/>
          <w:szCs w:val="24"/>
          <w:lang w:val="zh-CN"/>
        </w:rPr>
        <w:t>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w:t>
      </w:r>
      <w:r>
        <w:rPr>
          <w:rFonts w:hint="eastAsia" w:ascii="宋体" w:hAnsi="宋体" w:cs="宋体"/>
          <w:sz w:val="24"/>
          <w:szCs w:val="24"/>
        </w:rPr>
        <w:t>磋商</w:t>
      </w:r>
      <w:r>
        <w:rPr>
          <w:rFonts w:hint="eastAsia" w:ascii="宋体" w:hAnsi="宋体" w:cs="宋体"/>
          <w:sz w:val="24"/>
          <w:szCs w:val="24"/>
          <w:lang w:val="zh-CN"/>
        </w:rPr>
        <w:t>明确各供应商符合并满足</w:t>
      </w:r>
      <w:r>
        <w:rPr>
          <w:rFonts w:hint="eastAsia" w:ascii="宋体" w:hAnsi="宋体" w:cs="宋体"/>
          <w:sz w:val="24"/>
          <w:szCs w:val="24"/>
        </w:rPr>
        <w:t>磋商</w:t>
      </w:r>
      <w:r>
        <w:rPr>
          <w:rFonts w:hint="eastAsia" w:ascii="宋体" w:hAnsi="宋体" w:cs="宋体"/>
          <w:sz w:val="24"/>
          <w:szCs w:val="24"/>
          <w:lang w:val="zh-CN"/>
        </w:rPr>
        <w:t>文件要求，并能完全响应</w:t>
      </w:r>
      <w:r>
        <w:rPr>
          <w:rFonts w:hint="eastAsia" w:ascii="宋体" w:hAnsi="宋体" w:cs="宋体"/>
          <w:sz w:val="24"/>
          <w:szCs w:val="24"/>
        </w:rPr>
        <w:t>磋商</w:t>
      </w:r>
      <w:r>
        <w:rPr>
          <w:rFonts w:hint="eastAsia" w:ascii="宋体" w:hAnsi="宋体" w:cs="宋体"/>
          <w:sz w:val="24"/>
          <w:szCs w:val="24"/>
          <w:lang w:val="zh-CN"/>
        </w:rPr>
        <w:t>内容后，要求其二次报价。如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480" w:lineRule="exact"/>
        <w:ind w:firstLine="480" w:firstLineChars="200"/>
        <w:rPr>
          <w:rFonts w:ascii="宋体" w:cs="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480" w:lineRule="exact"/>
        <w:ind w:firstLine="480" w:firstLineChars="200"/>
        <w:rPr>
          <w:rFonts w:ascii="宋体" w:cs="宋体"/>
          <w:b/>
          <w:bCs/>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b/>
          <w:bCs/>
          <w:sz w:val="24"/>
          <w:szCs w:val="24"/>
        </w:rPr>
        <w:t>磋商小组</w:t>
      </w:r>
      <w:r>
        <w:rPr>
          <w:rFonts w:hint="eastAsia" w:ascii="宋体" w:hAnsi="宋体" w:cs="宋体"/>
          <w:b/>
          <w:bCs/>
          <w:sz w:val="24"/>
          <w:szCs w:val="24"/>
          <w:lang w:val="zh-CN"/>
        </w:rPr>
        <w:t>将校核后的各供应商的报价从低到高排序。</w:t>
      </w:r>
    </w:p>
    <w:p>
      <w:pPr>
        <w:snapToGrid w:val="0"/>
        <w:spacing w:line="480" w:lineRule="exact"/>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四、磋商评定结果的方法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对提交最后报价的供应商的响应文件和最后报价</w:t>
      </w:r>
      <w:r>
        <w:rPr>
          <w:rFonts w:hint="eastAsia" w:ascii="宋体" w:hAnsi="宋体" w:cs="宋体"/>
          <w:sz w:val="24"/>
          <w:szCs w:val="24"/>
        </w:rPr>
        <w:t>进行综合评分。</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p>
    <w:p>
      <w:pPr>
        <w:snapToGrid w:val="0"/>
        <w:spacing w:line="480" w:lineRule="exact"/>
        <w:ind w:firstLine="480" w:firstLineChars="200"/>
        <w:rPr>
          <w:rFonts w:ascii="宋体" w:cs="宋体"/>
          <w:sz w:val="24"/>
          <w:szCs w:val="24"/>
        </w:rPr>
      </w:pP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8</w:t>
      </w:r>
      <w:r>
        <w:rPr>
          <w:rFonts w:ascii="宋体" w:hAnsi="宋体" w:cs="宋体"/>
          <w:b/>
          <w:sz w:val="24"/>
          <w:szCs w:val="24"/>
          <w:u w:val="single"/>
        </w:rPr>
        <w:t>0%</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20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、综合得分最高的供应商推荐为项目预成交供应商并出具评审磋商报告。</w:t>
      </w:r>
    </w:p>
    <w:p>
      <w:pPr>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480" w:lineRule="exact"/>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480" w:lineRule="exact"/>
        <w:ind w:firstLine="480" w:firstLineChars="200"/>
        <w:rPr>
          <w:rFonts w:ascii="宋体" w:cs="宋体"/>
          <w:bCs/>
          <w:sz w:val="24"/>
          <w:szCs w:val="24"/>
        </w:rPr>
      </w:pPr>
      <w:r>
        <w:rPr>
          <w:rFonts w:ascii="宋体" w:hAnsi="宋体" w:cs="宋体"/>
          <w:bCs/>
          <w:sz w:val="24"/>
          <w:szCs w:val="24"/>
        </w:rPr>
        <w:t>9</w:t>
      </w:r>
      <w:r>
        <w:rPr>
          <w:rFonts w:hint="eastAsia" w:ascii="宋体" w:hAnsi="宋体" w:cs="宋体"/>
          <w:bCs/>
          <w:sz w:val="24"/>
          <w:szCs w:val="24"/>
        </w:rPr>
        <w:t>、对落标的供应商不做落标原因的解释。</w:t>
      </w:r>
    </w:p>
    <w:p>
      <w:pPr>
        <w:snapToGrid w:val="0"/>
        <w:spacing w:line="480" w:lineRule="exact"/>
        <w:ind w:firstLine="482" w:firstLineChars="200"/>
        <w:outlineLvl w:val="1"/>
        <w:rPr>
          <w:rFonts w:ascii="宋体"/>
          <w:b/>
          <w:bCs/>
          <w:sz w:val="24"/>
          <w:szCs w:val="24"/>
        </w:rPr>
      </w:pPr>
      <w:r>
        <w:rPr>
          <w:rFonts w:hint="eastAsia" w:ascii="宋体" w:hAnsi="宋体" w:cs="宋体"/>
          <w:b/>
          <w:sz w:val="24"/>
          <w:szCs w:val="24"/>
        </w:rPr>
        <w:t>五、综合评分评审标准</w:t>
      </w:r>
    </w:p>
    <w:p>
      <w:pPr>
        <w:snapToGrid w:val="0"/>
        <w:spacing w:line="360" w:lineRule="auto"/>
        <w:ind w:firstLine="241" w:firstLineChars="100"/>
        <w:outlineLvl w:val="1"/>
        <w:rPr>
          <w:rFonts w:ascii="宋体" w:hAnsi="宋体" w:cs="宋体"/>
          <w:b/>
          <w:bCs/>
          <w:sz w:val="24"/>
          <w:szCs w:val="24"/>
        </w:rPr>
      </w:pPr>
      <w:r>
        <w:rPr>
          <w:rFonts w:hint="eastAsia" w:ascii="宋体" w:hAnsi="宋体" w:cs="宋体"/>
          <w:b/>
          <w:bCs/>
          <w:sz w:val="24"/>
          <w:szCs w:val="24"/>
        </w:rPr>
        <w:t>（一）技术标评分：（8</w:t>
      </w:r>
      <w:r>
        <w:rPr>
          <w:rFonts w:ascii="宋体" w:cs="宋体"/>
          <w:b/>
          <w:bCs/>
          <w:sz w:val="24"/>
          <w:szCs w:val="24"/>
        </w:rPr>
        <w:t>0</w:t>
      </w:r>
      <w:r>
        <w:rPr>
          <w:rFonts w:hint="eastAsia" w:ascii="宋体" w:hAnsi="宋体" w:cs="宋体"/>
          <w:b/>
          <w:bCs/>
          <w:sz w:val="24"/>
          <w:szCs w:val="24"/>
        </w:rPr>
        <w:t>分）</w:t>
      </w:r>
    </w:p>
    <w:tbl>
      <w:tblPr>
        <w:tblStyle w:val="5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276" w:type="dxa"/>
            <w:vAlign w:val="center"/>
          </w:tcPr>
          <w:p>
            <w:pPr>
              <w:adjustRightInd w:val="0"/>
              <w:snapToGrid w:val="0"/>
              <w:jc w:val="center"/>
              <w:rPr>
                <w:rFonts w:ascii="宋体" w:hAnsi="宋体"/>
                <w:b/>
                <w:bCs/>
                <w:sz w:val="24"/>
                <w:szCs w:val="24"/>
              </w:rPr>
            </w:pPr>
            <w:r>
              <w:rPr>
                <w:rFonts w:ascii="宋体" w:hAnsi="宋体"/>
                <w:b/>
                <w:bCs/>
                <w:sz w:val="24"/>
                <w:szCs w:val="24"/>
              </w:rPr>
              <w:t>评审因素</w:t>
            </w:r>
          </w:p>
        </w:tc>
        <w:tc>
          <w:tcPr>
            <w:tcW w:w="7352" w:type="dxa"/>
            <w:vAlign w:val="center"/>
          </w:tcPr>
          <w:p>
            <w:pPr>
              <w:adjustRightInd w:val="0"/>
              <w:snapToGrid w:val="0"/>
              <w:jc w:val="center"/>
              <w:rPr>
                <w:rFonts w:ascii="宋体" w:hAnsi="宋体"/>
                <w:b/>
                <w:bCs/>
                <w:sz w:val="24"/>
                <w:szCs w:val="24"/>
              </w:rPr>
            </w:pPr>
            <w:r>
              <w:rPr>
                <w:rFonts w:ascii="宋体" w:hAnsi="宋体"/>
                <w:b/>
                <w:bCs/>
                <w:sz w:val="24"/>
                <w:szCs w:val="24"/>
              </w:rPr>
              <w:t>评审标准</w:t>
            </w:r>
          </w:p>
        </w:tc>
        <w:tc>
          <w:tcPr>
            <w:tcW w:w="728" w:type="dxa"/>
            <w:vAlign w:val="center"/>
          </w:tcPr>
          <w:p>
            <w:pPr>
              <w:adjustRightInd w:val="0"/>
              <w:snapToGrid w:val="0"/>
              <w:jc w:val="center"/>
              <w:rPr>
                <w:rFonts w:ascii="宋体" w:hAnsi="宋体"/>
                <w:b/>
                <w:bCs/>
                <w:sz w:val="24"/>
                <w:szCs w:val="24"/>
              </w:rPr>
            </w:pPr>
            <w:r>
              <w:rPr>
                <w:rFonts w:ascii="宋体" w:hAnsi="宋体"/>
                <w:b/>
                <w:bCs/>
                <w:sz w:val="24"/>
                <w:szCs w:val="24"/>
              </w:rPr>
              <w:t>分</w:t>
            </w:r>
            <w:r>
              <w:rPr>
                <w:rFonts w:hint="eastAsia" w:ascii="宋体" w:hAnsi="宋体"/>
                <w:b/>
                <w:bCs/>
                <w:sz w:val="24"/>
                <w:szCs w:val="24"/>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76" w:type="dxa"/>
            <w:vAlign w:val="center"/>
          </w:tcPr>
          <w:p>
            <w:pPr>
              <w:spacing w:line="320" w:lineRule="exact"/>
              <w:jc w:val="center"/>
              <w:rPr>
                <w:rFonts w:ascii="宋体" w:hAnsi="宋体"/>
                <w:color w:val="000000"/>
                <w:sz w:val="24"/>
                <w:szCs w:val="24"/>
              </w:rPr>
            </w:pPr>
            <w:r>
              <w:rPr>
                <w:rFonts w:hint="eastAsia" w:ascii="宋体" w:hAnsi="宋体"/>
                <w:sz w:val="24"/>
                <w:szCs w:val="24"/>
              </w:rPr>
              <w:t>服务管理</w:t>
            </w:r>
          </w:p>
        </w:tc>
        <w:tc>
          <w:tcPr>
            <w:tcW w:w="7352" w:type="dxa"/>
            <w:vAlign w:val="center"/>
          </w:tcPr>
          <w:p>
            <w:pPr>
              <w:adjustRightInd w:val="0"/>
              <w:snapToGrid w:val="0"/>
              <w:spacing w:line="288"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承诺服务期内每周7天</w:t>
            </w:r>
            <w:r>
              <w:rPr>
                <w:rFonts w:hint="eastAsia" w:ascii="宋体" w:hAnsi="宋体"/>
                <w:sz w:val="24"/>
                <w:szCs w:val="24"/>
              </w:rPr>
              <w:t>提供咨询服务的</w:t>
            </w:r>
            <w:r>
              <w:rPr>
                <w:rFonts w:ascii="宋体" w:hAnsi="宋体"/>
                <w:sz w:val="24"/>
                <w:szCs w:val="24"/>
              </w:rPr>
              <w:t>得3分；承诺工作日</w:t>
            </w:r>
            <w:r>
              <w:rPr>
                <w:rFonts w:hint="eastAsia" w:ascii="宋体" w:hAnsi="宋体"/>
                <w:sz w:val="24"/>
                <w:szCs w:val="24"/>
              </w:rPr>
              <w:t>提供咨询服务的</w:t>
            </w:r>
            <w:r>
              <w:rPr>
                <w:rFonts w:ascii="宋体" w:hAnsi="宋体"/>
                <w:sz w:val="24"/>
                <w:szCs w:val="24"/>
              </w:rPr>
              <w:t>得2分；其余不得分。</w:t>
            </w:r>
            <w:r>
              <w:rPr>
                <w:rFonts w:hint="eastAsia" w:ascii="宋体" w:hAnsi="宋体"/>
                <w:sz w:val="24"/>
                <w:szCs w:val="24"/>
              </w:rPr>
              <w:t>提供承诺书并加盖公章。</w:t>
            </w:r>
          </w:p>
          <w:p>
            <w:pPr>
              <w:adjustRightInd w:val="0"/>
              <w:snapToGrid w:val="0"/>
              <w:spacing w:line="288" w:lineRule="auto"/>
              <w:ind w:firstLine="480" w:firstLineChars="200"/>
              <w:jc w:val="left"/>
              <w:rPr>
                <w:rFonts w:ascii="宋体" w:hAnsi="宋体"/>
                <w:sz w:val="24"/>
                <w:szCs w:val="24"/>
              </w:rPr>
            </w:pPr>
            <w:r>
              <w:rPr>
                <w:rFonts w:hint="eastAsia" w:ascii="宋体" w:hAnsi="宋体"/>
                <w:sz w:val="24"/>
                <w:szCs w:val="24"/>
              </w:rPr>
              <w:t>2、接到采购人紧急现场服务通知后承诺2小时内到达现场的得3分，超过2小时的不得分。提供承诺书并加盖公章。</w:t>
            </w:r>
          </w:p>
          <w:p>
            <w:pPr>
              <w:adjustRightInd w:val="0"/>
              <w:snapToGrid w:val="0"/>
              <w:spacing w:line="288" w:lineRule="auto"/>
              <w:ind w:firstLine="480" w:firstLineChars="200"/>
              <w:jc w:val="left"/>
              <w:rPr>
                <w:rFonts w:ascii="宋体" w:hAnsi="宋体"/>
                <w:sz w:val="24"/>
                <w:szCs w:val="24"/>
              </w:rPr>
            </w:pPr>
            <w:r>
              <w:rPr>
                <w:rFonts w:hint="eastAsia" w:ascii="宋体" w:hAnsi="宋体"/>
                <w:sz w:val="24"/>
                <w:szCs w:val="24"/>
              </w:rPr>
              <w:t>3、承诺服务期内律师队伍稳定，不更换团队人员的，得2分，提供证明材料。</w:t>
            </w:r>
          </w:p>
        </w:tc>
        <w:tc>
          <w:tcPr>
            <w:tcW w:w="728" w:type="dxa"/>
            <w:vAlign w:val="center"/>
          </w:tcPr>
          <w:p>
            <w:pPr>
              <w:widowControl/>
              <w:adjustRightInd w:val="0"/>
              <w:snapToGrid w:val="0"/>
              <w:spacing w:line="240" w:lineRule="atLeast"/>
              <w:jc w:val="center"/>
              <w:rPr>
                <w:rFonts w:ascii="宋体" w:hAnsi="宋体"/>
                <w:sz w:val="24"/>
                <w:szCs w:val="24"/>
              </w:rPr>
            </w:pPr>
            <w:r>
              <w:rPr>
                <w:rFonts w:hint="eastAsia" w:ascii="宋体" w:hAnsi="宋体"/>
                <w:color w:val="000000"/>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1276" w:type="dxa"/>
            <w:vAlign w:val="center"/>
          </w:tcPr>
          <w:p>
            <w:pPr>
              <w:widowControl/>
              <w:adjustRightInd w:val="0"/>
              <w:snapToGrid w:val="0"/>
              <w:spacing w:line="240" w:lineRule="atLeast"/>
              <w:jc w:val="center"/>
              <w:rPr>
                <w:rFonts w:ascii="宋体" w:hAnsi="宋体"/>
                <w:color w:val="000000"/>
                <w:kern w:val="0"/>
                <w:sz w:val="24"/>
                <w:szCs w:val="24"/>
              </w:rPr>
            </w:pPr>
            <w:r>
              <w:rPr>
                <w:rFonts w:hint="eastAsia" w:ascii="宋体" w:hAnsi="宋体"/>
                <w:sz w:val="24"/>
                <w:szCs w:val="24"/>
              </w:rPr>
              <w:t>配备团队</w:t>
            </w:r>
          </w:p>
        </w:tc>
        <w:tc>
          <w:tcPr>
            <w:tcW w:w="7352" w:type="dxa"/>
            <w:vAlign w:val="center"/>
          </w:tcPr>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1、拟为本项目配备的服务团队人数2人得1分，3人及以上得3分。</w:t>
            </w:r>
          </w:p>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2、拟派项目负责人：为事务所合伙人的得3分；专职从事律师工作10年以上的得2分，在市级及以上律师协会任业务委员会或工作委员会主任的得2分，其余不得分。</w:t>
            </w:r>
            <w:r>
              <w:rPr>
                <w:rFonts w:ascii="宋体" w:hAnsi="宋体"/>
                <w:color w:val="auto"/>
                <w:sz w:val="24"/>
                <w:szCs w:val="24"/>
                <w:highlight w:val="none"/>
              </w:rPr>
              <w:t>（</w:t>
            </w:r>
            <w:r>
              <w:rPr>
                <w:rFonts w:hint="eastAsia" w:ascii="宋体" w:hAnsi="宋体"/>
                <w:color w:val="auto"/>
                <w:sz w:val="24"/>
                <w:szCs w:val="24"/>
                <w:highlight w:val="none"/>
              </w:rPr>
              <w:t>时间以</w:t>
            </w:r>
            <w:r>
              <w:rPr>
                <w:rFonts w:ascii="宋体" w:hAnsi="宋体"/>
                <w:color w:val="auto"/>
                <w:sz w:val="24"/>
                <w:szCs w:val="24"/>
                <w:highlight w:val="none"/>
              </w:rPr>
              <w:t>律师执业证号时间为准）</w:t>
            </w:r>
            <w:r>
              <w:rPr>
                <w:rFonts w:hint="eastAsia" w:ascii="宋体" w:hAnsi="宋体"/>
                <w:color w:val="auto"/>
                <w:sz w:val="24"/>
                <w:szCs w:val="24"/>
                <w:highlight w:val="none"/>
              </w:rPr>
              <w:t>。</w:t>
            </w:r>
          </w:p>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3、除项目负责人外，项目组成员中每有1位在市级及以上律师协会业务委员会或工作委员会任职的得2分，最高得4分。专职从事律师工作5年以上的加1分，最高加2分。</w:t>
            </w:r>
          </w:p>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4、拟派项目负责人2021年1月1日以来</w:t>
            </w:r>
            <w:r>
              <w:rPr>
                <w:rFonts w:hint="eastAsia" w:ascii="宋体" w:hAnsi="宋体"/>
                <w:b/>
                <w:color w:val="auto"/>
                <w:sz w:val="24"/>
                <w:szCs w:val="24"/>
                <w:highlight w:val="none"/>
              </w:rPr>
              <w:t>同时具有</w:t>
            </w:r>
            <w:r>
              <w:rPr>
                <w:rFonts w:hint="eastAsia" w:ascii="宋体" w:hAnsi="宋体"/>
                <w:color w:val="auto"/>
                <w:sz w:val="24"/>
                <w:szCs w:val="24"/>
                <w:highlight w:val="none"/>
              </w:rPr>
              <w:t>担任县级以上政府组成部门、上市公司和国有企业法律顾问从业经历的得3分，其他不得分。提供有关证明材料。</w:t>
            </w:r>
          </w:p>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（提供人员名单、</w:t>
            </w:r>
            <w:r>
              <w:rPr>
                <w:rFonts w:ascii="宋体" w:hAnsi="宋体"/>
                <w:color w:val="auto"/>
                <w:sz w:val="24"/>
                <w:szCs w:val="24"/>
                <w:highlight w:val="none"/>
              </w:rPr>
              <w:t>执业在本单位的</w:t>
            </w:r>
            <w:r>
              <w:rPr>
                <w:rFonts w:hint="eastAsia" w:ascii="宋体" w:hAnsi="宋体"/>
                <w:color w:val="auto"/>
                <w:sz w:val="24"/>
                <w:szCs w:val="24"/>
                <w:highlight w:val="none"/>
              </w:rPr>
              <w:t>律师执业证及其他证明材料）</w:t>
            </w:r>
          </w:p>
        </w:tc>
        <w:tc>
          <w:tcPr>
            <w:tcW w:w="728" w:type="dxa"/>
            <w:vAlign w:val="center"/>
          </w:tcPr>
          <w:p>
            <w:pPr>
              <w:widowControl/>
              <w:adjustRightInd w:val="0"/>
              <w:snapToGrid w:val="0"/>
              <w:spacing w:line="240" w:lineRule="atLeast"/>
              <w:jc w:val="center"/>
              <w:rPr>
                <w:rFonts w:ascii="宋体" w:hAnsi="宋体"/>
                <w:sz w:val="24"/>
                <w:szCs w:val="24"/>
              </w:rPr>
            </w:pPr>
            <w:r>
              <w:rPr>
                <w:rFonts w:hint="eastAsia" w:ascii="宋体" w:hAnsi="宋体"/>
                <w:color w:val="000000"/>
                <w:kern w:val="0"/>
                <w:sz w:val="24"/>
                <w:szCs w:val="24"/>
              </w:rPr>
              <w:t>19</w:t>
            </w:r>
            <w:r>
              <w:rPr>
                <w:rFonts w:ascii="宋体" w:hAnsi="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76" w:type="dxa"/>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供应商规模和荣誉</w:t>
            </w:r>
          </w:p>
        </w:tc>
        <w:tc>
          <w:tcPr>
            <w:tcW w:w="7352" w:type="dxa"/>
            <w:vAlign w:val="center"/>
          </w:tcPr>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投标</w:t>
            </w:r>
            <w:r>
              <w:rPr>
                <w:rFonts w:hint="eastAsia" w:ascii="宋体" w:hAnsi="宋体"/>
                <w:color w:val="auto"/>
                <w:sz w:val="24"/>
                <w:szCs w:val="24"/>
                <w:highlight w:val="none"/>
              </w:rPr>
              <w:t>供应商在职律师</w:t>
            </w:r>
            <w:r>
              <w:rPr>
                <w:rFonts w:ascii="宋体" w:hAnsi="宋体" w:cs="Arial"/>
                <w:color w:val="auto"/>
                <w:sz w:val="24"/>
                <w:szCs w:val="24"/>
                <w:highlight w:val="none"/>
              </w:rPr>
              <w:t>≥</w:t>
            </w:r>
            <w:r>
              <w:rPr>
                <w:rFonts w:hint="eastAsia" w:ascii="宋体" w:hAnsi="宋体"/>
                <w:color w:val="auto"/>
                <w:sz w:val="24"/>
                <w:szCs w:val="24"/>
                <w:highlight w:val="none"/>
              </w:rPr>
              <w:t>100人得3分；</w:t>
            </w:r>
            <w:r>
              <w:rPr>
                <w:rFonts w:ascii="宋体" w:hAnsi="宋体"/>
                <w:color w:val="auto"/>
                <w:sz w:val="24"/>
                <w:szCs w:val="24"/>
                <w:highlight w:val="none"/>
              </w:rPr>
              <w:t>投标</w:t>
            </w:r>
            <w:r>
              <w:rPr>
                <w:rFonts w:hint="eastAsia" w:ascii="宋体" w:hAnsi="宋体"/>
                <w:color w:val="auto"/>
                <w:sz w:val="24"/>
                <w:szCs w:val="24"/>
                <w:highlight w:val="none"/>
              </w:rPr>
              <w:t>供应商在职律师</w:t>
            </w:r>
            <w:r>
              <w:rPr>
                <w:rFonts w:ascii="宋体" w:hAnsi="宋体" w:cs="Arial"/>
                <w:color w:val="auto"/>
                <w:sz w:val="24"/>
                <w:szCs w:val="24"/>
                <w:highlight w:val="none"/>
              </w:rPr>
              <w:t>≥</w:t>
            </w:r>
            <w:r>
              <w:rPr>
                <w:rFonts w:hint="eastAsia" w:ascii="宋体" w:hAnsi="宋体"/>
                <w:color w:val="auto"/>
                <w:sz w:val="24"/>
                <w:szCs w:val="24"/>
                <w:highlight w:val="none"/>
              </w:rPr>
              <w:t>50人得2分；</w:t>
            </w:r>
            <w:r>
              <w:rPr>
                <w:rFonts w:ascii="宋体" w:hAnsi="宋体"/>
                <w:color w:val="auto"/>
                <w:sz w:val="24"/>
                <w:szCs w:val="24"/>
                <w:highlight w:val="none"/>
              </w:rPr>
              <w:t>投标</w:t>
            </w:r>
            <w:r>
              <w:rPr>
                <w:rFonts w:hint="eastAsia" w:ascii="宋体" w:hAnsi="宋体"/>
                <w:color w:val="auto"/>
                <w:sz w:val="24"/>
                <w:szCs w:val="24"/>
                <w:highlight w:val="none"/>
              </w:rPr>
              <w:t>供应商在职律师</w:t>
            </w:r>
            <w:r>
              <w:rPr>
                <w:rFonts w:hint="eastAsia" w:ascii="宋体" w:hAnsi="宋体" w:cs="微软雅黑"/>
                <w:color w:val="auto"/>
                <w:sz w:val="24"/>
                <w:szCs w:val="24"/>
                <w:highlight w:val="none"/>
              </w:rPr>
              <w:t>&lt;</w:t>
            </w:r>
            <w:r>
              <w:rPr>
                <w:rFonts w:hint="eastAsia" w:ascii="宋体" w:hAnsi="宋体"/>
                <w:color w:val="auto"/>
                <w:sz w:val="24"/>
                <w:szCs w:val="24"/>
                <w:highlight w:val="none"/>
              </w:rPr>
              <w:t>50人得1分；</w:t>
            </w:r>
          </w:p>
          <w:p>
            <w:pPr>
              <w:adjustRightInd w:val="0"/>
              <w:snapToGrid w:val="0"/>
              <w:spacing w:line="288"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投标</w:t>
            </w:r>
            <w:r>
              <w:rPr>
                <w:rFonts w:hint="eastAsia" w:ascii="宋体" w:hAnsi="宋体"/>
                <w:color w:val="auto"/>
                <w:sz w:val="24"/>
                <w:szCs w:val="24"/>
                <w:highlight w:val="none"/>
              </w:rPr>
              <w:t>供应商</w:t>
            </w:r>
            <w:r>
              <w:rPr>
                <w:rFonts w:ascii="宋体" w:hAnsi="宋体"/>
                <w:color w:val="auto"/>
                <w:sz w:val="24"/>
                <w:szCs w:val="24"/>
                <w:highlight w:val="none"/>
              </w:rPr>
              <w:t>（或投标单位人员）获得过</w:t>
            </w:r>
            <w:r>
              <w:rPr>
                <w:rFonts w:hint="eastAsia" w:ascii="宋体" w:hAnsi="宋体"/>
                <w:color w:val="auto"/>
                <w:sz w:val="24"/>
                <w:szCs w:val="24"/>
                <w:highlight w:val="none"/>
              </w:rPr>
              <w:t>全国性表彰或</w:t>
            </w:r>
            <w:r>
              <w:rPr>
                <w:rFonts w:ascii="宋体" w:hAnsi="宋体"/>
                <w:color w:val="auto"/>
                <w:sz w:val="24"/>
                <w:szCs w:val="24"/>
                <w:highlight w:val="none"/>
              </w:rPr>
              <w:t>荣誉得</w:t>
            </w:r>
            <w:r>
              <w:rPr>
                <w:rFonts w:hint="eastAsia" w:ascii="宋体" w:hAnsi="宋体"/>
                <w:color w:val="auto"/>
                <w:sz w:val="24"/>
                <w:szCs w:val="24"/>
                <w:highlight w:val="none"/>
              </w:rPr>
              <w:t>3</w:t>
            </w:r>
            <w:r>
              <w:rPr>
                <w:rFonts w:ascii="宋体" w:hAnsi="宋体"/>
                <w:color w:val="auto"/>
                <w:sz w:val="24"/>
                <w:szCs w:val="24"/>
                <w:highlight w:val="none"/>
              </w:rPr>
              <w:t>分；获得过</w:t>
            </w:r>
            <w:r>
              <w:rPr>
                <w:rFonts w:hint="eastAsia" w:ascii="宋体" w:hAnsi="宋体"/>
                <w:color w:val="auto"/>
                <w:sz w:val="24"/>
                <w:szCs w:val="24"/>
                <w:highlight w:val="none"/>
              </w:rPr>
              <w:t>省级表彰或</w:t>
            </w:r>
            <w:r>
              <w:rPr>
                <w:rFonts w:ascii="宋体" w:hAnsi="宋体"/>
                <w:color w:val="auto"/>
                <w:sz w:val="24"/>
                <w:szCs w:val="24"/>
                <w:highlight w:val="none"/>
              </w:rPr>
              <w:t>荣誉得</w:t>
            </w:r>
            <w:r>
              <w:rPr>
                <w:rFonts w:hint="eastAsia" w:ascii="宋体" w:hAnsi="宋体"/>
                <w:color w:val="auto"/>
                <w:sz w:val="24"/>
                <w:szCs w:val="24"/>
                <w:highlight w:val="none"/>
              </w:rPr>
              <w:t>2</w:t>
            </w:r>
            <w:r>
              <w:rPr>
                <w:rFonts w:ascii="宋体" w:hAnsi="宋体"/>
                <w:color w:val="auto"/>
                <w:sz w:val="24"/>
                <w:szCs w:val="24"/>
                <w:highlight w:val="none"/>
              </w:rPr>
              <w:t>分；获得过</w:t>
            </w:r>
            <w:r>
              <w:rPr>
                <w:rFonts w:hint="eastAsia" w:ascii="宋体" w:hAnsi="宋体"/>
                <w:color w:val="auto"/>
                <w:sz w:val="24"/>
                <w:szCs w:val="24"/>
                <w:highlight w:val="none"/>
              </w:rPr>
              <w:t>市级表彰或</w:t>
            </w:r>
            <w:r>
              <w:rPr>
                <w:rFonts w:ascii="宋体" w:hAnsi="宋体"/>
                <w:color w:val="auto"/>
                <w:sz w:val="24"/>
                <w:szCs w:val="24"/>
                <w:highlight w:val="none"/>
              </w:rPr>
              <w:t>荣誉得</w:t>
            </w:r>
            <w:r>
              <w:rPr>
                <w:rFonts w:hint="eastAsia" w:ascii="宋体" w:hAnsi="宋体"/>
                <w:color w:val="auto"/>
                <w:sz w:val="24"/>
                <w:szCs w:val="24"/>
                <w:highlight w:val="none"/>
              </w:rPr>
              <w:t>1</w:t>
            </w:r>
            <w:r>
              <w:rPr>
                <w:rFonts w:ascii="宋体" w:hAnsi="宋体"/>
                <w:color w:val="auto"/>
                <w:sz w:val="24"/>
                <w:szCs w:val="24"/>
                <w:highlight w:val="none"/>
              </w:rPr>
              <w:t>分</w:t>
            </w:r>
            <w:r>
              <w:rPr>
                <w:rFonts w:hint="eastAsia" w:ascii="宋体" w:hAnsi="宋体"/>
                <w:color w:val="auto"/>
                <w:sz w:val="24"/>
                <w:szCs w:val="24"/>
                <w:highlight w:val="none"/>
              </w:rPr>
              <w:t>，其余不得分</w:t>
            </w:r>
            <w:r>
              <w:rPr>
                <w:rFonts w:ascii="宋体" w:hAnsi="宋体"/>
                <w:color w:val="auto"/>
                <w:sz w:val="24"/>
                <w:szCs w:val="24"/>
                <w:highlight w:val="none"/>
              </w:rPr>
              <w:t>。（</w:t>
            </w:r>
            <w:r>
              <w:rPr>
                <w:rFonts w:hint="eastAsia" w:ascii="宋体" w:hAnsi="宋体"/>
                <w:color w:val="auto"/>
                <w:sz w:val="24"/>
                <w:szCs w:val="24"/>
                <w:highlight w:val="none"/>
              </w:rPr>
              <w:t>同一荣誉</w:t>
            </w:r>
            <w:r>
              <w:rPr>
                <w:rFonts w:ascii="宋体" w:hAnsi="宋体"/>
                <w:color w:val="auto"/>
                <w:sz w:val="24"/>
                <w:szCs w:val="24"/>
                <w:highlight w:val="none"/>
              </w:rPr>
              <w:t>以最高级别荣誉计分，须提供相关证明材料扫描件）</w:t>
            </w:r>
          </w:p>
        </w:tc>
        <w:tc>
          <w:tcPr>
            <w:tcW w:w="728" w:type="dxa"/>
            <w:vAlign w:val="center"/>
          </w:tcPr>
          <w:p>
            <w:pPr>
              <w:adjustRightInd w:val="0"/>
              <w:snapToGrid w:val="0"/>
              <w:spacing w:line="240" w:lineRule="atLeast"/>
              <w:jc w:val="center"/>
              <w:rPr>
                <w:rFonts w:ascii="宋体" w:hAnsi="宋体"/>
                <w:color w:val="000000"/>
                <w:kern w:val="0"/>
                <w:sz w:val="24"/>
                <w:szCs w:val="24"/>
              </w:rPr>
            </w:pPr>
            <w:r>
              <w:rPr>
                <w:rFonts w:hint="eastAsia" w:ascii="宋体" w:hAnsi="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供应商业绩经验及评价</w:t>
            </w:r>
          </w:p>
        </w:tc>
        <w:tc>
          <w:tcPr>
            <w:tcW w:w="7352" w:type="dxa"/>
            <w:vAlign w:val="center"/>
          </w:tcPr>
          <w:p>
            <w:pPr>
              <w:adjustRightInd w:val="0"/>
              <w:snapToGrid w:val="0"/>
              <w:spacing w:line="288" w:lineRule="auto"/>
              <w:ind w:firstLine="480" w:firstLineChars="200"/>
              <w:jc w:val="left"/>
              <w:rPr>
                <w:rFonts w:ascii="宋体" w:hAnsi="宋体"/>
                <w:sz w:val="24"/>
                <w:szCs w:val="24"/>
                <w:highlight w:val="none"/>
              </w:rPr>
            </w:pPr>
            <w:r>
              <w:rPr>
                <w:rFonts w:hint="eastAsia" w:ascii="宋体" w:hAnsi="宋体"/>
                <w:sz w:val="24"/>
                <w:szCs w:val="24"/>
                <w:highlight w:val="none"/>
              </w:rPr>
              <w:t>1、拟派项目负责人近三年代理的行政机关行政诉讼案件和代理行政机关以外人员的行政案件诉讼情况，主要执业方向为行政法等领域案件50件及以上</w:t>
            </w:r>
            <w:r>
              <w:rPr>
                <w:rFonts w:ascii="宋体" w:hAnsi="宋体"/>
                <w:sz w:val="24"/>
                <w:szCs w:val="24"/>
                <w:highlight w:val="none"/>
              </w:rPr>
              <w:t xml:space="preserve">得 </w:t>
            </w:r>
            <w:r>
              <w:rPr>
                <w:rFonts w:hint="eastAsia" w:ascii="宋体" w:hAnsi="宋体"/>
                <w:sz w:val="24"/>
                <w:szCs w:val="24"/>
                <w:highlight w:val="none"/>
              </w:rPr>
              <w:t>8</w:t>
            </w:r>
            <w:r>
              <w:rPr>
                <w:rFonts w:ascii="宋体" w:hAnsi="宋体"/>
                <w:sz w:val="24"/>
                <w:szCs w:val="24"/>
                <w:highlight w:val="none"/>
              </w:rPr>
              <w:t xml:space="preserve"> 分；</w:t>
            </w:r>
            <w:r>
              <w:rPr>
                <w:rFonts w:hint="eastAsia" w:ascii="宋体" w:hAnsi="宋体"/>
                <w:sz w:val="24"/>
                <w:szCs w:val="24"/>
                <w:highlight w:val="none"/>
              </w:rPr>
              <w:t>30</w:t>
            </w:r>
            <w:r>
              <w:rPr>
                <w:rFonts w:ascii="宋体" w:hAnsi="宋体"/>
                <w:sz w:val="24"/>
                <w:szCs w:val="24"/>
                <w:highlight w:val="none"/>
              </w:rPr>
              <w:t>（含）</w:t>
            </w:r>
            <w:r>
              <w:rPr>
                <w:rFonts w:hint="eastAsia" w:ascii="宋体" w:hAnsi="宋体"/>
                <w:sz w:val="24"/>
                <w:szCs w:val="24"/>
                <w:highlight w:val="none"/>
              </w:rPr>
              <w:t>-49</w:t>
            </w:r>
            <w:r>
              <w:rPr>
                <w:rFonts w:ascii="宋体" w:hAnsi="宋体"/>
                <w:sz w:val="24"/>
                <w:szCs w:val="24"/>
                <w:highlight w:val="none"/>
              </w:rPr>
              <w:t>件得</w:t>
            </w:r>
            <w:r>
              <w:rPr>
                <w:rFonts w:hint="eastAsia" w:ascii="宋体" w:hAnsi="宋体"/>
                <w:sz w:val="24"/>
                <w:szCs w:val="24"/>
                <w:highlight w:val="none"/>
              </w:rPr>
              <w:t>5</w:t>
            </w:r>
            <w:r>
              <w:rPr>
                <w:rFonts w:ascii="宋体" w:hAnsi="宋体"/>
                <w:sz w:val="24"/>
                <w:szCs w:val="24"/>
                <w:highlight w:val="none"/>
              </w:rPr>
              <w:t>分，</w:t>
            </w:r>
            <w:r>
              <w:rPr>
                <w:rFonts w:hint="eastAsia" w:ascii="宋体" w:hAnsi="宋体"/>
                <w:sz w:val="24"/>
                <w:szCs w:val="24"/>
                <w:highlight w:val="none"/>
              </w:rPr>
              <w:t>15</w:t>
            </w:r>
            <w:r>
              <w:rPr>
                <w:rFonts w:ascii="宋体" w:hAnsi="宋体"/>
                <w:sz w:val="24"/>
                <w:szCs w:val="24"/>
                <w:highlight w:val="none"/>
              </w:rPr>
              <w:t>（含）-</w:t>
            </w:r>
            <w:r>
              <w:rPr>
                <w:rFonts w:hint="eastAsia" w:ascii="宋体" w:hAnsi="宋体"/>
                <w:sz w:val="24"/>
                <w:szCs w:val="24"/>
                <w:highlight w:val="none"/>
              </w:rPr>
              <w:t>29</w:t>
            </w:r>
            <w:r>
              <w:rPr>
                <w:rFonts w:ascii="宋体" w:hAnsi="宋体"/>
                <w:sz w:val="24"/>
                <w:szCs w:val="24"/>
                <w:highlight w:val="none"/>
              </w:rPr>
              <w:t>件得</w:t>
            </w:r>
            <w:r>
              <w:rPr>
                <w:rFonts w:hint="eastAsia" w:ascii="宋体" w:hAnsi="宋体"/>
                <w:sz w:val="24"/>
                <w:szCs w:val="24"/>
                <w:highlight w:val="none"/>
              </w:rPr>
              <w:t>2</w:t>
            </w:r>
            <w:r>
              <w:rPr>
                <w:rFonts w:ascii="宋体" w:hAnsi="宋体"/>
                <w:sz w:val="24"/>
                <w:szCs w:val="24"/>
                <w:highlight w:val="none"/>
              </w:rPr>
              <w:t>分；</w:t>
            </w:r>
            <w:r>
              <w:rPr>
                <w:rFonts w:hint="eastAsia" w:ascii="宋体" w:hAnsi="宋体"/>
                <w:sz w:val="24"/>
                <w:szCs w:val="24"/>
                <w:highlight w:val="none"/>
              </w:rPr>
              <w:t>15</w:t>
            </w:r>
            <w:r>
              <w:rPr>
                <w:rFonts w:ascii="宋体" w:hAnsi="宋体"/>
                <w:sz w:val="24"/>
                <w:szCs w:val="24"/>
                <w:highlight w:val="none"/>
              </w:rPr>
              <w:t>件以下不得分。</w:t>
            </w:r>
            <w:r>
              <w:rPr>
                <w:rFonts w:hint="eastAsia" w:ascii="宋体" w:hAnsi="宋体"/>
                <w:sz w:val="24"/>
                <w:szCs w:val="24"/>
                <w:highlight w:val="none"/>
              </w:rPr>
              <w:t>(主办案件列表并提供合同书，同一案件代理一、二审视为1件)。</w:t>
            </w:r>
          </w:p>
          <w:p>
            <w:pPr>
              <w:adjustRightInd w:val="0"/>
              <w:snapToGrid w:val="0"/>
              <w:spacing w:line="288" w:lineRule="auto"/>
              <w:ind w:firstLine="480" w:firstLineChars="200"/>
              <w:jc w:val="left"/>
              <w:rPr>
                <w:rFonts w:ascii="宋体" w:hAnsi="宋体"/>
                <w:sz w:val="24"/>
                <w:szCs w:val="24"/>
                <w:highlight w:val="none"/>
              </w:rPr>
            </w:pPr>
            <w:r>
              <w:rPr>
                <w:rFonts w:hint="eastAsia" w:ascii="宋体" w:hAnsi="宋体"/>
                <w:sz w:val="24"/>
                <w:szCs w:val="24"/>
                <w:highlight w:val="none"/>
              </w:rPr>
              <w:t>2、</w:t>
            </w:r>
            <w:r>
              <w:rPr>
                <w:rFonts w:hint="eastAsia" w:ascii="宋体" w:hAnsi="宋体"/>
                <w:bCs/>
                <w:sz w:val="24"/>
                <w:szCs w:val="24"/>
                <w:highlight w:val="none"/>
              </w:rPr>
              <w:t>执业方向：</w:t>
            </w:r>
            <w:r>
              <w:rPr>
                <w:rFonts w:hint="eastAsia" w:ascii="宋体" w:hAnsi="宋体"/>
                <w:sz w:val="24"/>
                <w:szCs w:val="24"/>
                <w:highlight w:val="none"/>
              </w:rPr>
              <w:t>法律顾问经验，2021年1月1日以来有担任行政机关、事业单位常年法律顾问的业绩，每有1项得3分。最高不超过15</w:t>
            </w:r>
            <w:r>
              <w:rPr>
                <w:rFonts w:ascii="宋体" w:hAnsi="宋体"/>
                <w:sz w:val="24"/>
                <w:szCs w:val="24"/>
                <w:highlight w:val="none"/>
              </w:rPr>
              <w:t>分</w:t>
            </w:r>
            <w:r>
              <w:rPr>
                <w:rFonts w:hint="eastAsia" w:ascii="宋体" w:hAnsi="宋体"/>
                <w:sz w:val="24"/>
                <w:szCs w:val="24"/>
                <w:highlight w:val="none"/>
              </w:rPr>
              <w:t>。（列表并提供加盖公章的合同复印件)</w:t>
            </w:r>
          </w:p>
          <w:p>
            <w:pPr>
              <w:adjustRightInd w:val="0"/>
              <w:snapToGrid w:val="0"/>
              <w:spacing w:line="288" w:lineRule="auto"/>
              <w:ind w:firstLine="480" w:firstLineChars="200"/>
              <w:jc w:val="left"/>
              <w:rPr>
                <w:rFonts w:ascii="宋体" w:hAnsi="宋体"/>
                <w:sz w:val="24"/>
                <w:szCs w:val="24"/>
              </w:rPr>
            </w:pPr>
            <w:r>
              <w:rPr>
                <w:rFonts w:hint="eastAsia" w:ascii="宋体" w:hAnsi="宋体"/>
                <w:sz w:val="24"/>
                <w:szCs w:val="24"/>
                <w:highlight w:val="none"/>
              </w:rPr>
              <w:t>3、客户满意度：上述业绩经验的受服务单位对服务满意的有一项的得1分，最高得3分，提供服务单位评价意见，不提供本项不得分。</w:t>
            </w:r>
          </w:p>
        </w:tc>
        <w:tc>
          <w:tcPr>
            <w:tcW w:w="728" w:type="dxa"/>
            <w:vAlign w:val="center"/>
          </w:tcPr>
          <w:p>
            <w:pPr>
              <w:adjustRightInd w:val="0"/>
              <w:snapToGrid w:val="0"/>
              <w:spacing w:line="240" w:lineRule="atLeast"/>
              <w:jc w:val="center"/>
              <w:rPr>
                <w:rFonts w:ascii="宋体" w:hAnsi="宋体"/>
                <w:color w:val="000000"/>
                <w:kern w:val="0"/>
                <w:sz w:val="24"/>
                <w:szCs w:val="24"/>
              </w:rPr>
            </w:pPr>
            <w:r>
              <w:rPr>
                <w:rFonts w:hint="eastAsia" w:ascii="宋体" w:hAnsi="宋体"/>
                <w:color w:val="000000"/>
                <w:sz w:val="24"/>
                <w:szCs w:val="24"/>
              </w:rPr>
              <w:t>26</w:t>
            </w:r>
            <w:r>
              <w:rPr>
                <w:rFonts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76" w:type="dxa"/>
            <w:vAlign w:val="center"/>
          </w:tcPr>
          <w:p>
            <w:pPr>
              <w:widowControl/>
              <w:adjustRightInd w:val="0"/>
              <w:snapToGrid w:val="0"/>
              <w:spacing w:line="240" w:lineRule="atLeast"/>
              <w:jc w:val="center"/>
              <w:rPr>
                <w:rFonts w:ascii="宋体" w:hAnsi="宋体"/>
                <w:sz w:val="24"/>
                <w:szCs w:val="24"/>
              </w:rPr>
            </w:pPr>
            <w:r>
              <w:rPr>
                <w:rFonts w:hint="eastAsia" w:ascii="宋体" w:hAnsi="宋体"/>
                <w:sz w:val="24"/>
                <w:szCs w:val="24"/>
              </w:rPr>
              <w:t>项目理解</w:t>
            </w:r>
            <w:r>
              <w:rPr>
                <w:rFonts w:ascii="宋体" w:hAnsi="宋体"/>
                <w:sz w:val="24"/>
                <w:szCs w:val="24"/>
              </w:rPr>
              <w:t>分析</w:t>
            </w:r>
          </w:p>
        </w:tc>
        <w:tc>
          <w:tcPr>
            <w:tcW w:w="7352" w:type="dxa"/>
            <w:vAlign w:val="center"/>
          </w:tcPr>
          <w:p>
            <w:pPr>
              <w:snapToGrid w:val="0"/>
              <w:spacing w:line="360" w:lineRule="auto"/>
              <w:ind w:firstLine="480" w:firstLineChars="200"/>
              <w:jc w:val="left"/>
              <w:rPr>
                <w:rFonts w:ascii="宋体" w:hAnsi="宋体"/>
                <w:sz w:val="24"/>
                <w:szCs w:val="24"/>
              </w:rPr>
            </w:pPr>
            <w:r>
              <w:rPr>
                <w:rFonts w:ascii="宋体" w:hAnsi="宋体"/>
                <w:sz w:val="24"/>
                <w:szCs w:val="24"/>
              </w:rPr>
              <w:t>根据投标</w:t>
            </w:r>
            <w:r>
              <w:rPr>
                <w:rFonts w:hint="eastAsia" w:ascii="宋体" w:hAnsi="宋体"/>
                <w:sz w:val="24"/>
                <w:szCs w:val="24"/>
              </w:rPr>
              <w:t>供应商</w:t>
            </w:r>
            <w:r>
              <w:rPr>
                <w:rFonts w:ascii="宋体" w:hAnsi="宋体"/>
                <w:sz w:val="24"/>
                <w:szCs w:val="24"/>
              </w:rPr>
              <w:t>对本项目背景、详细的需求理解进行综合评审：清晰明确，能充分了解项目现状及目标需求，问题分析准确、归纳总结到位，得</w:t>
            </w:r>
            <w:r>
              <w:rPr>
                <w:rFonts w:hint="eastAsia" w:ascii="宋体" w:hAnsi="宋体"/>
                <w:sz w:val="24"/>
                <w:szCs w:val="24"/>
              </w:rPr>
              <w:t>6</w:t>
            </w:r>
            <w:r>
              <w:rPr>
                <w:rFonts w:ascii="宋体" w:hAnsi="宋体"/>
                <w:sz w:val="24"/>
                <w:szCs w:val="24"/>
              </w:rPr>
              <w:t>分；基本了解项目现状及目标需求，问题分析及归纳情况一般，得</w:t>
            </w:r>
            <w:r>
              <w:rPr>
                <w:rFonts w:hint="eastAsia" w:ascii="宋体" w:hAnsi="宋体"/>
                <w:sz w:val="24"/>
                <w:szCs w:val="24"/>
              </w:rPr>
              <w:t>4</w:t>
            </w:r>
            <w:r>
              <w:rPr>
                <w:rFonts w:ascii="宋体" w:hAnsi="宋体"/>
                <w:sz w:val="24"/>
                <w:szCs w:val="24"/>
              </w:rPr>
              <w:t>分；其余得</w:t>
            </w:r>
            <w:r>
              <w:rPr>
                <w:rFonts w:hint="eastAsia" w:ascii="宋体" w:hAnsi="宋体"/>
                <w:sz w:val="24"/>
                <w:szCs w:val="24"/>
              </w:rPr>
              <w:t>2</w:t>
            </w:r>
            <w:r>
              <w:rPr>
                <w:rFonts w:ascii="宋体" w:hAnsi="宋体"/>
                <w:sz w:val="24"/>
                <w:szCs w:val="24"/>
              </w:rPr>
              <w:t>分。未提供相关内容不得分。</w:t>
            </w:r>
          </w:p>
        </w:tc>
        <w:tc>
          <w:tcPr>
            <w:tcW w:w="728" w:type="dxa"/>
            <w:vAlign w:val="center"/>
          </w:tcPr>
          <w:p>
            <w:pPr>
              <w:widowControl/>
              <w:adjustRightInd w:val="0"/>
              <w:snapToGrid w:val="0"/>
              <w:jc w:val="center"/>
              <w:rPr>
                <w:rFonts w:ascii="宋体" w:hAnsi="宋体"/>
                <w:sz w:val="24"/>
                <w:szCs w:val="24"/>
              </w:rPr>
            </w:pPr>
            <w:r>
              <w:rPr>
                <w:rFonts w:hint="eastAsia" w:ascii="宋体" w:hAnsi="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6" w:type="dxa"/>
            <w:vAlign w:val="center"/>
          </w:tcPr>
          <w:p>
            <w:pPr>
              <w:widowControl/>
              <w:adjustRightInd w:val="0"/>
              <w:snapToGrid w:val="0"/>
              <w:spacing w:line="240" w:lineRule="atLeast"/>
              <w:jc w:val="center"/>
              <w:rPr>
                <w:rFonts w:ascii="宋体" w:hAnsi="宋体"/>
                <w:sz w:val="24"/>
                <w:szCs w:val="24"/>
              </w:rPr>
            </w:pPr>
            <w:r>
              <w:rPr>
                <w:rFonts w:ascii="宋体" w:hAnsi="宋体"/>
                <w:sz w:val="24"/>
                <w:szCs w:val="24"/>
              </w:rPr>
              <w:t>服务方案</w:t>
            </w:r>
            <w:r>
              <w:rPr>
                <w:rFonts w:hint="eastAsia" w:ascii="宋体" w:hAnsi="宋体"/>
                <w:sz w:val="24"/>
                <w:szCs w:val="24"/>
              </w:rPr>
              <w:t>、流程及质量</w:t>
            </w:r>
          </w:p>
        </w:tc>
        <w:tc>
          <w:tcPr>
            <w:tcW w:w="7352" w:type="dxa"/>
            <w:vAlign w:val="center"/>
          </w:tcPr>
          <w:p>
            <w:pPr>
              <w:snapToGrid w:val="0"/>
              <w:spacing w:line="360" w:lineRule="auto"/>
              <w:ind w:firstLine="480" w:firstLineChars="200"/>
              <w:jc w:val="left"/>
              <w:rPr>
                <w:rFonts w:ascii="宋体" w:hAnsi="宋体"/>
                <w:sz w:val="24"/>
                <w:szCs w:val="24"/>
              </w:rPr>
            </w:pPr>
            <w:r>
              <w:rPr>
                <w:rFonts w:ascii="宋体" w:hAnsi="宋体"/>
                <w:sz w:val="24"/>
                <w:szCs w:val="24"/>
              </w:rPr>
              <w:t>根据投标</w:t>
            </w:r>
            <w:r>
              <w:rPr>
                <w:rFonts w:hint="eastAsia" w:ascii="宋体" w:hAnsi="宋体"/>
                <w:sz w:val="24"/>
                <w:szCs w:val="24"/>
              </w:rPr>
              <w:t>供应商</w:t>
            </w:r>
            <w:r>
              <w:rPr>
                <w:rFonts w:ascii="宋体" w:hAnsi="宋体"/>
                <w:sz w:val="24"/>
                <w:szCs w:val="24"/>
              </w:rPr>
              <w:t>提供的整体服务方案综合评审：内容详细全面、针对性及可行性好得8分；内容较详细全面、针对性及可行性较好得5分；内容不够详细全面、针对性及可行性较差得2分。未提供相关内容不得分。</w:t>
            </w:r>
          </w:p>
          <w:p>
            <w:pPr>
              <w:snapToGrid w:val="0"/>
              <w:spacing w:line="360" w:lineRule="auto"/>
              <w:ind w:firstLine="480" w:firstLineChars="200"/>
              <w:jc w:val="left"/>
              <w:rPr>
                <w:rFonts w:ascii="宋体" w:hAnsi="宋体"/>
                <w:sz w:val="24"/>
                <w:szCs w:val="24"/>
              </w:rPr>
            </w:pPr>
            <w:r>
              <w:rPr>
                <w:rFonts w:ascii="宋体" w:hAnsi="宋体"/>
                <w:sz w:val="24"/>
                <w:szCs w:val="24"/>
              </w:rPr>
              <w:t>服务流程设计完整、符合服务要求的得</w:t>
            </w:r>
            <w:r>
              <w:rPr>
                <w:rFonts w:hint="eastAsia" w:ascii="宋体" w:hAnsi="宋体"/>
                <w:sz w:val="24"/>
                <w:szCs w:val="24"/>
              </w:rPr>
              <w:t>3</w:t>
            </w:r>
            <w:r>
              <w:rPr>
                <w:rFonts w:ascii="宋体" w:hAnsi="宋体"/>
                <w:sz w:val="24"/>
                <w:szCs w:val="24"/>
              </w:rPr>
              <w:t>分；服务流程设计不够完整、基本符合服务要求的得</w:t>
            </w:r>
            <w:r>
              <w:rPr>
                <w:rFonts w:hint="eastAsia" w:ascii="宋体" w:hAnsi="宋体"/>
                <w:sz w:val="24"/>
                <w:szCs w:val="24"/>
              </w:rPr>
              <w:t>2</w:t>
            </w:r>
            <w:r>
              <w:rPr>
                <w:rFonts w:ascii="宋体" w:hAnsi="宋体"/>
                <w:sz w:val="24"/>
                <w:szCs w:val="24"/>
              </w:rPr>
              <w:t>分；流程设计不合理的得1分。未提供相关内容不得分。</w:t>
            </w:r>
          </w:p>
          <w:p>
            <w:pPr>
              <w:snapToGrid w:val="0"/>
              <w:spacing w:line="360" w:lineRule="auto"/>
              <w:ind w:firstLine="480" w:firstLineChars="200"/>
              <w:jc w:val="left"/>
              <w:rPr>
                <w:rFonts w:ascii="宋体" w:hAnsi="宋体"/>
                <w:sz w:val="24"/>
                <w:szCs w:val="24"/>
              </w:rPr>
            </w:pPr>
            <w:r>
              <w:rPr>
                <w:rFonts w:ascii="宋体" w:hAnsi="宋体"/>
                <w:sz w:val="24"/>
                <w:szCs w:val="24"/>
              </w:rPr>
              <w:t>在服务质量保证、组织架构管理、服务效能优化等方面制定相关措施：合理可行的，每条措施得</w:t>
            </w:r>
            <w:r>
              <w:rPr>
                <w:rFonts w:hint="eastAsia" w:ascii="宋体" w:hAnsi="宋体"/>
                <w:sz w:val="24"/>
                <w:szCs w:val="24"/>
              </w:rPr>
              <w:t>1</w:t>
            </w:r>
            <w:r>
              <w:rPr>
                <w:rFonts w:ascii="宋体" w:hAnsi="宋体"/>
                <w:sz w:val="24"/>
                <w:szCs w:val="24"/>
              </w:rPr>
              <w:t>分， 最高得</w:t>
            </w:r>
            <w:r>
              <w:rPr>
                <w:rFonts w:hint="eastAsia" w:ascii="宋体" w:hAnsi="宋体"/>
                <w:sz w:val="24"/>
                <w:szCs w:val="24"/>
              </w:rPr>
              <w:t>4</w:t>
            </w:r>
            <w:r>
              <w:rPr>
                <w:rFonts w:ascii="宋体" w:hAnsi="宋体"/>
                <w:sz w:val="24"/>
                <w:szCs w:val="24"/>
              </w:rPr>
              <w:t>分。未提供相关内容不得分。</w:t>
            </w:r>
          </w:p>
        </w:tc>
        <w:tc>
          <w:tcPr>
            <w:tcW w:w="728" w:type="dxa"/>
            <w:vAlign w:val="center"/>
          </w:tcPr>
          <w:p>
            <w:pPr>
              <w:adjustRightInd w:val="0"/>
              <w:snapToGrid w:val="0"/>
              <w:jc w:val="center"/>
              <w:rPr>
                <w:rFonts w:ascii="宋体" w:hAnsi="宋体"/>
                <w:sz w:val="24"/>
                <w:szCs w:val="24"/>
              </w:rPr>
            </w:pPr>
            <w:r>
              <w:rPr>
                <w:rFonts w:hint="eastAsia" w:ascii="宋体" w:hAnsi="宋体"/>
                <w:color w:val="000000"/>
                <w:sz w:val="24"/>
                <w:szCs w:val="24"/>
              </w:rPr>
              <w:t>15分</w:t>
            </w:r>
          </w:p>
        </w:tc>
      </w:tr>
    </w:tbl>
    <w:p>
      <w:pPr>
        <w:snapToGrid w:val="0"/>
        <w:spacing w:line="360" w:lineRule="auto"/>
        <w:ind w:firstLine="241" w:firstLineChars="100"/>
        <w:outlineLvl w:val="1"/>
        <w:rPr>
          <w:rFonts w:ascii="宋体" w:cs="宋体"/>
          <w:b/>
          <w:bCs/>
          <w:sz w:val="24"/>
          <w:szCs w:val="24"/>
        </w:rPr>
      </w:pPr>
      <w:r>
        <w:rPr>
          <w:rFonts w:hint="eastAsia" w:ascii="宋体" w:hAnsi="宋体" w:cs="宋体"/>
          <w:b/>
          <w:bCs/>
          <w:sz w:val="24"/>
          <w:szCs w:val="24"/>
        </w:rPr>
        <w:t>（二）商务报价响应评分：（2</w:t>
      </w:r>
      <w:r>
        <w:rPr>
          <w:rFonts w:ascii="宋体" w:hAnsi="宋体" w:cs="宋体"/>
          <w:b/>
          <w:bCs/>
          <w:sz w:val="24"/>
          <w:szCs w:val="24"/>
        </w:rPr>
        <w:t>0</w:t>
      </w:r>
      <w:r>
        <w:rPr>
          <w:rFonts w:hint="eastAsia" w:ascii="宋体" w:hAnsi="宋体" w:cs="宋体"/>
          <w:b/>
          <w:bCs/>
          <w:sz w:val="24"/>
          <w:szCs w:val="24"/>
        </w:rPr>
        <w:t>分）</w:t>
      </w:r>
    </w:p>
    <w:p>
      <w:pPr>
        <w:snapToGrid w:val="0"/>
        <w:spacing w:line="360" w:lineRule="auto"/>
        <w:ind w:firstLine="482" w:firstLineChars="200"/>
        <w:rPr>
          <w:rFonts w:ascii="宋体" w:cs="宋体"/>
          <w:b/>
          <w:sz w:val="24"/>
          <w:szCs w:val="24"/>
        </w:rPr>
      </w:pPr>
      <w:r>
        <w:rPr>
          <w:rFonts w:hint="eastAsia" w:ascii="宋体" w:hAnsi="宋体" w:cs="宋体"/>
          <w:b/>
          <w:sz w:val="24"/>
          <w:szCs w:val="24"/>
        </w:rPr>
        <w:t>本次项目最高限</w:t>
      </w:r>
      <w:r>
        <w:rPr>
          <w:rFonts w:hint="eastAsia" w:ascii="宋体" w:hAnsi="宋体" w:cs="宋体"/>
          <w:b/>
          <w:sz w:val="24"/>
          <w:szCs w:val="24"/>
          <w:highlight w:val="none"/>
        </w:rPr>
        <w:t>价</w:t>
      </w:r>
      <w:r>
        <w:rPr>
          <w:rFonts w:hint="eastAsia" w:ascii="宋体" w:hAnsi="宋体" w:cs="宋体"/>
          <w:b/>
          <w:color w:val="auto"/>
          <w:sz w:val="24"/>
          <w:szCs w:val="24"/>
          <w:highlight w:val="none"/>
        </w:rPr>
        <w:t>为2万元/年</w:t>
      </w:r>
      <w:r>
        <w:rPr>
          <w:rFonts w:hint="eastAsia" w:ascii="宋体" w:hAnsi="宋体" w:cs="宋体"/>
          <w:b/>
          <w:color w:val="auto"/>
          <w:sz w:val="24"/>
          <w:szCs w:val="24"/>
        </w:rPr>
        <w:t>，</w:t>
      </w:r>
      <w:r>
        <w:rPr>
          <w:rFonts w:hint="eastAsia" w:ascii="宋体" w:hAnsi="宋体" w:cs="宋体"/>
          <w:b/>
          <w:sz w:val="24"/>
          <w:szCs w:val="24"/>
        </w:rPr>
        <w:t>报价不得超过限价，否则做无效投标处理。</w:t>
      </w:r>
    </w:p>
    <w:p>
      <w:pPr>
        <w:snapToGrid w:val="0"/>
        <w:spacing w:line="360" w:lineRule="auto"/>
        <w:ind w:firstLine="480" w:firstLineChars="200"/>
        <w:rPr>
          <w:rFonts w:ascii="宋体" w:cs="宋体"/>
          <w:sz w:val="24"/>
          <w:szCs w:val="24"/>
        </w:rPr>
      </w:pP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w:t>
      </w:r>
      <w:r>
        <w:rPr>
          <w:rFonts w:hint="eastAsia" w:ascii="宋体" w:hAnsi="宋体" w:cs="宋体"/>
          <w:sz w:val="24"/>
          <w:szCs w:val="24"/>
          <w:lang w:val="en-US" w:eastAsia="zh-CN"/>
        </w:rPr>
        <w:t>20</w:t>
      </w:r>
      <w:r>
        <w:rPr>
          <w:rFonts w:hint="eastAsia" w:ascii="宋体" w:hAnsi="宋体" w:cs="宋体"/>
          <w:sz w:val="24"/>
          <w:szCs w:val="24"/>
        </w:rPr>
        <w:t>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cs="宋体"/>
          <w:b/>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w:t>
      </w:r>
      <w:r>
        <w:rPr>
          <w:rFonts w:ascii="宋体" w:hAnsi="宋体" w:cs="宋体"/>
          <w:b/>
          <w:sz w:val="24"/>
          <w:szCs w:val="24"/>
        </w:rPr>
        <w:t xml:space="preserve"> =</w:t>
      </w:r>
      <w:r>
        <w:rPr>
          <w:rFonts w:hint="eastAsia" w:ascii="宋体" w:hAnsi="宋体" w:cs="宋体"/>
          <w:b/>
          <w:sz w:val="24"/>
          <w:szCs w:val="24"/>
        </w:rPr>
        <w:t>（磋商基准价</w:t>
      </w:r>
      <w:r>
        <w:rPr>
          <w:rFonts w:ascii="宋体" w:hAnsi="宋体" w:cs="宋体"/>
          <w:b/>
          <w:sz w:val="24"/>
          <w:szCs w:val="24"/>
        </w:rPr>
        <w:t>/</w:t>
      </w:r>
      <w:r>
        <w:rPr>
          <w:rFonts w:hint="eastAsia" w:ascii="宋体" w:hAnsi="宋体" w:cs="宋体"/>
          <w:b/>
          <w:sz w:val="24"/>
          <w:szCs w:val="24"/>
        </w:rPr>
        <w:t>最后磋商报价）×20%×</w:t>
      </w:r>
      <w:r>
        <w:rPr>
          <w:rFonts w:ascii="宋体" w:hAnsi="宋体" w:cs="宋体"/>
          <w:b/>
          <w:sz w:val="24"/>
          <w:szCs w:val="24"/>
        </w:rPr>
        <w:t>100</w:t>
      </w:r>
    </w:p>
    <w:p>
      <w:pPr>
        <w:snapToGrid w:val="0"/>
        <w:spacing w:line="360" w:lineRule="auto"/>
        <w:ind w:firstLine="482" w:firstLineChars="200"/>
        <w:rPr>
          <w:rFonts w:ascii="宋体" w:cs="宋体"/>
          <w:b/>
          <w:sz w:val="24"/>
          <w:szCs w:val="24"/>
        </w:rPr>
      </w:pPr>
      <w:r>
        <w:rPr>
          <w:rFonts w:hint="eastAsia" w:ascii="宋体" w:hAnsi="宋体" w:cs="宋体"/>
          <w:b/>
          <w:sz w:val="24"/>
          <w:szCs w:val="24"/>
        </w:rPr>
        <w:t>六、出现下列情形之一的，作无效响应处理</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、响应文件未按磋商文件要求密封、签署、盖章及主要资料不齐全的；</w:t>
      </w:r>
    </w:p>
    <w:p>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cs="宋体"/>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cs="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七、出现下列情形之一的，作废标处理</w:t>
      </w:r>
    </w:p>
    <w:p>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八、成交通知</w:t>
      </w:r>
    </w:p>
    <w:p>
      <w:pPr>
        <w:spacing w:line="360" w:lineRule="auto"/>
        <w:ind w:firstLine="480" w:firstLineChars="200"/>
        <w:rPr>
          <w:rFonts w:ascii="宋体" w:cs="宋体"/>
          <w:kern w:val="0"/>
          <w:sz w:val="24"/>
          <w:szCs w:val="24"/>
        </w:rPr>
      </w:pPr>
      <w:r>
        <w:rPr>
          <w:rFonts w:hint="eastAsia"/>
          <w:kern w:val="0"/>
          <w:sz w:val="24"/>
          <w:szCs w:val="24"/>
        </w:rPr>
        <w:t>成交结果在</w:t>
      </w:r>
      <w:r>
        <w:rPr>
          <w:rFonts w:hint="eastAsia" w:ascii="宋体" w:hAnsi="宋体" w:cs="宋体"/>
          <w:sz w:val="24"/>
          <w:szCs w:val="24"/>
        </w:rPr>
        <w:t>南通市崇川区人民政府网</w:t>
      </w:r>
      <w:r>
        <w:rPr>
          <w:rFonts w:hint="eastAsia"/>
          <w:kern w:val="0"/>
          <w:sz w:val="24"/>
          <w:szCs w:val="24"/>
        </w:rPr>
        <w:t>公示1个工作日。《成交通知书》一经发出，采购单位改变成交结果，或者成交供应商放弃成交的，各自承担相应的法律责任。《成交通知书》是采购合同的组成部分。</w:t>
      </w:r>
    </w:p>
    <w:bookmarkEnd w:id="58"/>
    <w:bookmarkEnd w:id="59"/>
    <w:bookmarkEnd w:id="60"/>
    <w:bookmarkEnd w:id="61"/>
    <w:bookmarkEnd w:id="62"/>
    <w:bookmarkEnd w:id="63"/>
    <w:bookmarkEnd w:id="64"/>
    <w:bookmarkEnd w:id="65"/>
    <w:p>
      <w:pPr>
        <w:pStyle w:val="4"/>
        <w:keepNext w:val="0"/>
        <w:keepLines w:val="0"/>
        <w:snapToGrid w:val="0"/>
        <w:spacing w:before="0" w:after="0" w:line="360" w:lineRule="auto"/>
        <w:jc w:val="center"/>
        <w:rPr>
          <w:rFonts w:ascii="宋体" w:hAnsi="宋体" w:cs="宋体"/>
          <w:b w:val="0"/>
          <w:i/>
          <w:w w:val="80"/>
          <w:szCs w:val="44"/>
        </w:rPr>
      </w:pPr>
      <w:bookmarkStart w:id="67" w:name="_Toc363573858"/>
      <w:bookmarkStart w:id="68" w:name="_Toc94585343"/>
      <w:r>
        <w:rPr>
          <w:rFonts w:ascii="宋体" w:cs="宋体"/>
          <w:w w:val="80"/>
          <w:sz w:val="24"/>
          <w:szCs w:val="24"/>
        </w:rPr>
        <w:br w:type="page"/>
      </w:r>
    </w:p>
    <w:p>
      <w:pPr>
        <w:pStyle w:val="24"/>
        <w:tabs>
          <w:tab w:val="left" w:pos="1050"/>
          <w:tab w:val="right" w:leader="dot" w:pos="9402"/>
        </w:tabs>
        <w:spacing w:line="520" w:lineRule="exact"/>
        <w:ind w:left="0"/>
        <w:jc w:val="center"/>
        <w:outlineLvl w:val="0"/>
        <w:rPr>
          <w:rFonts w:ascii="宋体" w:cs="宋体"/>
          <w:b/>
          <w:i w:val="0"/>
          <w:w w:val="80"/>
          <w:sz w:val="44"/>
          <w:szCs w:val="44"/>
        </w:rPr>
      </w:pPr>
      <w:r>
        <w:rPr>
          <w:rFonts w:hint="eastAsia" w:ascii="宋体" w:hAnsi="宋体" w:cs="宋体"/>
          <w:b/>
          <w:i w:val="0"/>
          <w:w w:val="80"/>
          <w:sz w:val="44"/>
          <w:szCs w:val="44"/>
        </w:rPr>
        <w:t>第五章  合同授予</w:t>
      </w:r>
    </w:p>
    <w:p>
      <w:pPr>
        <w:spacing w:line="520" w:lineRule="exact"/>
        <w:ind w:firstLine="484" w:firstLineChars="202"/>
        <w:rPr>
          <w:rFonts w:ascii="宋体" w:cs="宋体"/>
          <w:kern w:val="0"/>
          <w:sz w:val="24"/>
          <w:szCs w:val="24"/>
        </w:rPr>
      </w:pPr>
      <w:r>
        <w:rPr>
          <w:rFonts w:hint="eastAsia" w:ascii="宋体" w:hAnsi="宋体" w:cs="宋体"/>
          <w:sz w:val="24"/>
          <w:szCs w:val="24"/>
        </w:rPr>
        <w:t>一、成交供应商在《成交通知书》发出后</w:t>
      </w:r>
      <w:r>
        <w:rPr>
          <w:rFonts w:ascii="宋体" w:hAnsi="宋体" w:cs="宋体"/>
          <w:sz w:val="24"/>
          <w:szCs w:val="24"/>
        </w:rPr>
        <w:t>30</w:t>
      </w:r>
      <w:r>
        <w:rPr>
          <w:rFonts w:hint="eastAsia" w:ascii="宋体" w:hAnsi="宋体" w:cs="宋体"/>
          <w:sz w:val="24"/>
          <w:szCs w:val="24"/>
        </w:rPr>
        <w:t>日内必须按照磋商文件确定的事项签订采购合同。</w:t>
      </w:r>
      <w:r>
        <w:rPr>
          <w:rFonts w:hint="eastAsia" w:ascii="宋体" w:hAnsi="宋体" w:cs="宋体"/>
          <w:kern w:val="0"/>
          <w:sz w:val="24"/>
          <w:szCs w:val="24"/>
        </w:rPr>
        <w:t>所签合同不得对磋商文件作实质性修改。采购单位不得向成交供应商提出不合理的要求作为签订合同的条件，不得与成交供应商私下订立背离磋商文件实质性内容的协议。</w:t>
      </w:r>
    </w:p>
    <w:p>
      <w:pPr>
        <w:snapToGrid w:val="0"/>
        <w:spacing w:line="480" w:lineRule="exact"/>
        <w:ind w:firstLine="573"/>
        <w:rPr>
          <w:rFonts w:ascii="宋体" w:cs="宋体"/>
          <w:sz w:val="24"/>
          <w:szCs w:val="24"/>
        </w:rPr>
      </w:pPr>
      <w:r>
        <w:rPr>
          <w:rFonts w:hint="eastAsia" w:ascii="宋体" w:hAnsi="宋体" w:cs="宋体"/>
          <w:sz w:val="24"/>
          <w:szCs w:val="24"/>
        </w:rPr>
        <w:t>二、采购单位按合同约定积极配合成交供应商履约，成交供应商履约到位后，请以书面形式向采购单位提出验收申请，采购单位接到申请后原则上在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480" w:lineRule="exact"/>
        <w:ind w:firstLine="573"/>
        <w:rPr>
          <w:rFonts w:ascii="宋体" w:cs="宋体"/>
          <w:sz w:val="24"/>
          <w:szCs w:val="24"/>
        </w:rPr>
      </w:pPr>
      <w:r>
        <w:rPr>
          <w:rFonts w:hint="eastAsia" w:ascii="宋体" w:hAnsi="宋体" w:cs="宋体"/>
          <w:sz w:val="24"/>
          <w:szCs w:val="24"/>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ascii="宋体" w:cs="宋体"/>
          <w:sz w:val="24"/>
          <w:szCs w:val="24"/>
        </w:rPr>
      </w:pPr>
      <w:r>
        <w:rPr>
          <w:rFonts w:hint="eastAsia" w:ascii="宋体" w:hAnsi="宋体" w:cs="宋体"/>
          <w:sz w:val="24"/>
          <w:szCs w:val="24"/>
        </w:rPr>
        <w:t>四、成交供应商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sz w:val="24"/>
          <w:szCs w:val="24"/>
        </w:rPr>
      </w:pPr>
      <w:r>
        <w:rPr>
          <w:rFonts w:hint="eastAsia" w:ascii="宋体" w:hAnsi="宋体" w:cs="宋体"/>
          <w:sz w:val="24"/>
          <w:szCs w:val="24"/>
        </w:rPr>
        <w:t>五、不响应付款方式的，视同响应文件无效，按无效响应文件处理。</w:t>
      </w:r>
    </w:p>
    <w:p>
      <w:pPr>
        <w:pStyle w:val="4"/>
        <w:keepNext w:val="0"/>
        <w:keepLines w:val="0"/>
        <w:snapToGrid w:val="0"/>
        <w:spacing w:before="0" w:after="0" w:line="360" w:lineRule="auto"/>
        <w:jc w:val="center"/>
        <w:rPr>
          <w:rFonts w:ascii="宋体" w:cs="宋体"/>
          <w:b w:val="0"/>
          <w:sz w:val="24"/>
          <w:szCs w:val="24"/>
        </w:rPr>
      </w:pPr>
      <w:r>
        <w:rPr>
          <w:rFonts w:ascii="宋体" w:cs="宋体"/>
          <w:b w:val="0"/>
          <w:i/>
          <w:sz w:val="24"/>
          <w:szCs w:val="24"/>
        </w:rPr>
        <w:br w:type="page"/>
      </w:r>
      <w:r>
        <w:rPr>
          <w:rFonts w:hint="eastAsia" w:ascii="宋体" w:hAnsi="宋体" w:cs="宋体"/>
          <w:w w:val="80"/>
          <w:kern w:val="2"/>
          <w:szCs w:val="44"/>
        </w:rPr>
        <w:t>第六章  质疑提出和处理</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cs="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cs="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cs="宋体"/>
          <w:sz w:val="24"/>
          <w:szCs w:val="24"/>
        </w:rPr>
      </w:pPr>
      <w:r>
        <w:rPr>
          <w:rFonts w:hint="eastAsia" w:ascii="宋体" w:hAnsi="宋体" w:cs="宋体"/>
          <w:sz w:val="24"/>
          <w:szCs w:val="24"/>
        </w:rPr>
        <w:t>采购单位不负责搜集相关佐证材料等工作。</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、采购单位负责将质疑人提出的质疑相关材料提供给相关专家或评审小组审核，并将审核意见回复质疑人。</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、因质疑情况复杂，组织论证或审查时间较长的，采购单位以书面形式通知质疑人，可适当延长质疑回复处理时间。</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、质疑成立的处理。采购单位终止采购，并建议有关部门给相关当事人予以处理。</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）质疑人虽提供了相关佐证材料，但不能证明其质疑成立的，采购单位请质疑人补充相关佐证材料，仍不能证明其质疑成立的，作违约处理。并将其列入不良供应商名单。</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）质疑人不能提供相关佐证材料的，采购单位已指出，质疑人仍然坚持提出质疑的，作违约处理。同时，列入不良供应商名单。</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年内禁入本区域内的采购活动的违约处理，依次类推；视情在相关媒体予以披露。</w:t>
      </w:r>
    </w:p>
    <w:p>
      <w:pPr>
        <w:adjustRightInd w:val="0"/>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年内禁入由采购单位组织的采购活动的违约处理。</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年内禁入由采购单位组织的采购活动的违约处理。</w:t>
      </w:r>
    </w:p>
    <w:p>
      <w:pPr>
        <w:adjustRightInd w:val="0"/>
        <w:snapToGrid w:val="0"/>
        <w:spacing w:line="480" w:lineRule="exact"/>
        <w:ind w:firstLine="480" w:firstLineChars="200"/>
        <w:rPr>
          <w:rFonts w:ascii="宋体" w:cs="宋体"/>
          <w:sz w:val="24"/>
          <w:szCs w:val="24"/>
        </w:rPr>
      </w:pPr>
      <w:r>
        <w:rPr>
          <w:rFonts w:hint="eastAsia" w:ascii="宋体" w:hAnsi="宋体" w:cs="宋体"/>
          <w:sz w:val="24"/>
          <w:szCs w:val="24"/>
        </w:rPr>
        <w:t>六、《质疑函》《质疑回复函》，质疑、举报、投诉不成立的等相关情况，视情在相关媒体予以披露。并建议相关机构对该供应商同步实施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bookmarkEnd w:id="67"/>
    <w:bookmarkEnd w:id="68"/>
    <w:p>
      <w:pPr>
        <w:pStyle w:val="4"/>
        <w:keepNext w:val="0"/>
        <w:keepLines w:val="0"/>
        <w:snapToGrid w:val="0"/>
        <w:spacing w:before="0" w:afterLines="50" w:line="520" w:lineRule="exact"/>
        <w:ind w:left="420"/>
        <w:jc w:val="center"/>
        <w:rPr>
          <w:rFonts w:ascii="宋体" w:cs="宋体"/>
          <w:sz w:val="24"/>
          <w:szCs w:val="24"/>
        </w:rPr>
      </w:pPr>
      <w:bookmarkStart w:id="69" w:name="_Toc363573860"/>
      <w:r>
        <w:rPr>
          <w:rFonts w:ascii="宋体" w:cs="宋体"/>
          <w:w w:val="80"/>
          <w:sz w:val="24"/>
          <w:szCs w:val="24"/>
        </w:rPr>
        <w:br w:type="page"/>
      </w:r>
      <w:r>
        <w:rPr>
          <w:rFonts w:hint="eastAsia" w:ascii="宋体" w:hAnsi="宋体" w:cs="宋体"/>
          <w:w w:val="80"/>
          <w:kern w:val="2"/>
          <w:szCs w:val="44"/>
        </w:rPr>
        <w:t>第七章  响应文件组成及格式</w:t>
      </w:r>
      <w:bookmarkEnd w:id="69"/>
    </w:p>
    <w:p>
      <w:pPr>
        <w:widowControl/>
        <w:snapToGrid w:val="0"/>
        <w:spacing w:line="360" w:lineRule="auto"/>
        <w:ind w:firstLine="472" w:firstLineChars="196"/>
        <w:jc w:val="left"/>
        <w:rPr>
          <w:rFonts w:ascii="宋体"/>
          <w:b/>
          <w:sz w:val="24"/>
          <w:szCs w:val="24"/>
        </w:rPr>
      </w:pPr>
      <w:r>
        <w:rPr>
          <w:rFonts w:hint="eastAsia" w:ascii="宋体" w:hAnsi="宋体"/>
          <w:b/>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val="0"/>
        <w:spacing w:line="360" w:lineRule="auto"/>
        <w:ind w:firstLine="472" w:firstLineChars="196"/>
        <w:jc w:val="left"/>
        <w:rPr>
          <w:rFonts w:ascii="宋体"/>
          <w:b/>
          <w:sz w:val="24"/>
          <w:szCs w:val="24"/>
        </w:rPr>
      </w:pPr>
      <w:r>
        <w:rPr>
          <w:rFonts w:hint="eastAsia" w:ascii="宋体" w:hAnsi="宋体"/>
          <w:b/>
          <w:sz w:val="24"/>
          <w:szCs w:val="24"/>
        </w:rPr>
        <w:t>一、资格审查文件</w:t>
      </w:r>
      <w:r>
        <w:rPr>
          <w:rFonts w:hint="eastAsia" w:ascii="宋体" w:hAnsi="宋体" w:cs="宋体"/>
          <w:b/>
          <w:sz w:val="24"/>
          <w:szCs w:val="24"/>
          <w:lang w:val="zh-CN"/>
        </w:rPr>
        <w:t>（</w:t>
      </w:r>
      <w:r>
        <w:rPr>
          <w:rFonts w:hint="eastAsia" w:ascii="宋体" w:hAnsi="宋体" w:cs="宋体"/>
          <w:b/>
          <w:bCs/>
          <w:sz w:val="24"/>
          <w:szCs w:val="24"/>
        </w:rPr>
        <w:t>单独密封</w:t>
      </w:r>
      <w:r>
        <w:rPr>
          <w:rFonts w:hint="eastAsia" w:ascii="宋体" w:hAnsi="宋体" w:cs="宋体"/>
          <w:b/>
          <w:sz w:val="24"/>
          <w:szCs w:val="24"/>
          <w:lang w:val="zh-CN"/>
        </w:rPr>
        <w:t>）</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2、法人或者其他组织提供营业执照或法人证书或组织机构代码证。</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3、在中国大陆境内合法登记（注册），提供司法部门正式颁发的律师事务所执业许可证并经年检合格。</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供应商正式人员证明材料【提供与供应商签订的有效劳动合同复印件】。</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5、供应商须提供参与本次项目采购活动前三年内，在经营活动中没有重大违法记录的书面《无重大违法记录声明函》（格式参见第七章）。</w:t>
      </w:r>
    </w:p>
    <w:p>
      <w:pPr>
        <w:widowControl/>
        <w:snapToGrid w:val="0"/>
        <w:spacing w:line="360" w:lineRule="auto"/>
        <w:ind w:firstLine="470" w:firstLineChars="196"/>
        <w:jc w:val="left"/>
        <w:rPr>
          <w:rFonts w:ascii="宋体" w:hAnsi="宋体" w:cs="宋体"/>
          <w:sz w:val="24"/>
          <w:szCs w:val="24"/>
        </w:rPr>
      </w:pPr>
      <w:r>
        <w:rPr>
          <w:rFonts w:hint="eastAsia" w:ascii="宋体" w:hAnsi="宋体" w:cs="宋体"/>
          <w:sz w:val="24"/>
          <w:szCs w:val="24"/>
        </w:rPr>
        <w:t>6、关于资格文件的声明函（格式参见第七章）。</w:t>
      </w:r>
    </w:p>
    <w:p>
      <w:pPr>
        <w:widowControl/>
        <w:snapToGrid w:val="0"/>
        <w:spacing w:line="360" w:lineRule="auto"/>
        <w:ind w:firstLine="470" w:firstLineChars="196"/>
        <w:jc w:val="left"/>
        <w:rPr>
          <w:rFonts w:ascii="宋体" w:cs="宋体"/>
          <w:sz w:val="24"/>
          <w:szCs w:val="24"/>
        </w:rPr>
      </w:pPr>
      <w:r>
        <w:rPr>
          <w:rFonts w:hint="eastAsia" w:ascii="宋体" w:hAnsi="宋体" w:cs="宋体"/>
          <w:sz w:val="24"/>
          <w:szCs w:val="24"/>
        </w:rPr>
        <w:t>注：以上材料如为复印件均需加盖单位公章。</w:t>
      </w:r>
    </w:p>
    <w:p>
      <w:pPr>
        <w:widowControl/>
        <w:snapToGrid w:val="0"/>
        <w:spacing w:line="360" w:lineRule="auto"/>
        <w:ind w:firstLine="472" w:firstLineChars="196"/>
        <w:jc w:val="left"/>
        <w:rPr>
          <w:rFonts w:asci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rPr>
          <w:rFonts w:ascii="宋体"/>
          <w:sz w:val="24"/>
          <w:szCs w:val="24"/>
        </w:rPr>
      </w:pPr>
      <w:r>
        <w:rPr>
          <w:rFonts w:ascii="宋体" w:hAnsi="宋体"/>
          <w:sz w:val="24"/>
          <w:szCs w:val="24"/>
        </w:rPr>
        <w:t>1</w:t>
      </w:r>
      <w:r>
        <w:rPr>
          <w:rFonts w:hint="eastAsia" w:ascii="宋体" w:hAnsi="宋体"/>
          <w:sz w:val="24"/>
          <w:szCs w:val="24"/>
        </w:rPr>
        <w:t>、竞争性磋商响应函（格式参见第七章）；</w:t>
      </w:r>
    </w:p>
    <w:p>
      <w:pPr>
        <w:widowControl/>
        <w:snapToGrid w:val="0"/>
        <w:spacing w:line="360" w:lineRule="auto"/>
        <w:ind w:firstLine="470" w:firstLineChars="196"/>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
          <w:bCs/>
          <w:sz w:val="24"/>
          <w:szCs w:val="24"/>
        </w:rPr>
        <w:t>评标办法中所涉及的事项需提供的所有资料；</w:t>
      </w:r>
    </w:p>
    <w:p>
      <w:pPr>
        <w:adjustRightInd w:val="0"/>
        <w:snapToGrid w:val="0"/>
        <w:spacing w:line="360" w:lineRule="auto"/>
        <w:ind w:firstLine="465"/>
        <w:jc w:val="left"/>
        <w:rPr>
          <w:rFonts w:ascii="宋体"/>
          <w:sz w:val="24"/>
          <w:szCs w:val="24"/>
        </w:rPr>
      </w:pPr>
      <w:r>
        <w:rPr>
          <w:rFonts w:ascii="宋体" w:hAnsi="宋体"/>
          <w:sz w:val="24"/>
          <w:szCs w:val="24"/>
        </w:rPr>
        <w:t>3</w:t>
      </w:r>
      <w:r>
        <w:rPr>
          <w:rFonts w:hint="eastAsia" w:ascii="宋体" w:hAnsi="宋体"/>
          <w:sz w:val="24"/>
          <w:szCs w:val="24"/>
        </w:rPr>
        <w:t>、评标办法中未涉及的事项，供应商认为需要提交的其他资料。</w:t>
      </w:r>
    </w:p>
    <w:p>
      <w:pPr>
        <w:widowControl/>
        <w:snapToGrid w:val="0"/>
        <w:spacing w:line="360" w:lineRule="auto"/>
        <w:ind w:firstLine="470" w:firstLineChars="196"/>
        <w:jc w:val="left"/>
        <w:rPr>
          <w:rFonts w:ascii="宋体" w:cs="宋体"/>
          <w:bCs/>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sz w:val="24"/>
          <w:szCs w:val="24"/>
        </w:rPr>
        <w:t>关材料；</w:t>
      </w:r>
    </w:p>
    <w:p>
      <w:pPr>
        <w:adjustRightInd w:val="0"/>
        <w:snapToGrid w:val="0"/>
        <w:spacing w:line="480" w:lineRule="exact"/>
        <w:ind w:firstLine="482" w:firstLineChars="200"/>
        <w:jc w:val="left"/>
        <w:rPr>
          <w:rFonts w:ascii="宋体" w:cs="宋体"/>
          <w:b/>
          <w:sz w:val="24"/>
          <w:szCs w:val="24"/>
          <w:lang w:val="zh-CN"/>
        </w:rPr>
      </w:pPr>
      <w:r>
        <w:rPr>
          <w:rFonts w:hint="eastAsia" w:ascii="宋体" w:hAnsi="宋体"/>
          <w:b/>
          <w:sz w:val="24"/>
          <w:szCs w:val="24"/>
          <w:lang w:val="zh-CN"/>
        </w:rPr>
        <w:t>三、</w:t>
      </w:r>
      <w:r>
        <w:rPr>
          <w:rFonts w:hint="eastAsia" w:ascii="宋体" w:hAnsi="宋体"/>
          <w:b/>
          <w:sz w:val="24"/>
          <w:szCs w:val="24"/>
        </w:rPr>
        <w:t>商务报价响应文件</w:t>
      </w:r>
      <w:r>
        <w:rPr>
          <w:rFonts w:hint="eastAsia" w:ascii="宋体" w:hAnsi="宋体"/>
          <w:b/>
          <w:sz w:val="24"/>
          <w:szCs w:val="24"/>
          <w:lang w:val="zh-CN"/>
        </w:rPr>
        <w:t>（</w:t>
      </w:r>
      <w:r>
        <w:rPr>
          <w:rFonts w:hint="eastAsia" w:ascii="宋体" w:hAnsi="宋体" w:cs="宋体"/>
          <w:b/>
          <w:bCs/>
          <w:sz w:val="24"/>
          <w:szCs w:val="24"/>
        </w:rPr>
        <w:t>单独密封</w:t>
      </w:r>
      <w:r>
        <w:rPr>
          <w:rFonts w:hint="eastAsia" w:ascii="宋体" w:hAnsi="宋体" w:cs="宋体"/>
          <w:b/>
          <w:sz w:val="24"/>
          <w:szCs w:val="24"/>
          <w:lang w:val="zh-CN"/>
        </w:rPr>
        <w:t>）</w:t>
      </w:r>
    </w:p>
    <w:p>
      <w:pPr>
        <w:adjustRightInd w:val="0"/>
        <w:snapToGrid w:val="0"/>
        <w:spacing w:line="480" w:lineRule="exact"/>
        <w:ind w:firstLine="480" w:firstLineChars="200"/>
        <w:jc w:val="left"/>
        <w:rPr>
          <w:rFonts w:ascii="宋体" w:hAnsi="宋体" w:cs="宋体"/>
          <w:bCs/>
          <w:sz w:val="24"/>
          <w:szCs w:val="24"/>
          <w:lang w:val="zh-CN"/>
        </w:rPr>
      </w:pPr>
      <w:r>
        <w:rPr>
          <w:rFonts w:hint="eastAsia" w:ascii="宋体" w:hAnsi="宋体" w:cs="宋体"/>
          <w:bCs/>
          <w:sz w:val="24"/>
          <w:szCs w:val="24"/>
          <w:lang w:val="zh-CN"/>
        </w:rPr>
        <w:t>1、投标响应报价总表（格式参见第七章）。</w:t>
      </w:r>
    </w:p>
    <w:p>
      <w:pPr>
        <w:adjustRightInd w:val="0"/>
        <w:snapToGrid w:val="0"/>
        <w:spacing w:line="480" w:lineRule="exact"/>
        <w:ind w:firstLine="482" w:firstLineChars="200"/>
        <w:jc w:val="left"/>
        <w:rPr>
          <w:rFonts w:ascii="宋体" w:cs="宋体"/>
          <w:b/>
          <w:bCs/>
          <w:sz w:val="24"/>
          <w:szCs w:val="24"/>
        </w:rPr>
      </w:pPr>
      <w:r>
        <w:rPr>
          <w:rFonts w:ascii="宋体" w:cs="宋体"/>
          <w:b/>
          <w:sz w:val="24"/>
          <w:szCs w:val="24"/>
        </w:rPr>
        <w:br w:type="page"/>
      </w:r>
      <w:r>
        <w:rPr>
          <w:rFonts w:hint="eastAsia" w:ascii="宋体" w:hAnsi="宋体" w:cs="宋体"/>
          <w:b/>
          <w:sz w:val="24"/>
          <w:szCs w:val="24"/>
        </w:rPr>
        <w:t>附件：</w:t>
      </w:r>
    </w:p>
    <w:p>
      <w:pPr>
        <w:snapToGrid w:val="0"/>
        <w:spacing w:line="520" w:lineRule="exact"/>
        <w:jc w:val="center"/>
        <w:outlineLvl w:val="3"/>
        <w:rPr>
          <w:rFonts w:ascii="宋体" w:cs="宋体"/>
          <w:b/>
          <w:sz w:val="24"/>
          <w:szCs w:val="24"/>
        </w:rPr>
      </w:pPr>
      <w:r>
        <w:rPr>
          <w:rFonts w:ascii="宋体" w:hAnsi="宋体" w:cs="宋体"/>
          <w:b/>
          <w:sz w:val="24"/>
          <w:szCs w:val="24"/>
        </w:rPr>
        <w:t>1</w:t>
      </w:r>
      <w:r>
        <w:rPr>
          <w:rFonts w:hint="eastAsia" w:ascii="宋体" w:hAnsi="宋体" w:cs="宋体"/>
          <w:b/>
          <w:sz w:val="24"/>
          <w:szCs w:val="24"/>
        </w:rPr>
        <w:t>、法定代表人身份证明</w:t>
      </w:r>
    </w:p>
    <w:p>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pPr>
        <w:snapToGrid w:val="0"/>
        <w:spacing w:line="520" w:lineRule="exact"/>
        <w:jc w:val="center"/>
        <w:rPr>
          <w:rFonts w:ascii="宋体" w:cs="宋体"/>
          <w:sz w:val="24"/>
          <w:szCs w:val="24"/>
        </w:rPr>
      </w:pPr>
    </w:p>
    <w:p>
      <w:pPr>
        <w:snapToGrid w:val="0"/>
        <w:spacing w:line="520" w:lineRule="exact"/>
        <w:rPr>
          <w:rFonts w:ascii="宋体" w:cs="宋体"/>
          <w:sz w:val="24"/>
          <w:szCs w:val="24"/>
          <w:u w:val="single"/>
        </w:rPr>
      </w:pPr>
      <w:r>
        <w:rPr>
          <w:rFonts w:hint="eastAsia" w:ascii="宋体" w:hAnsi="宋体" w:cs="宋体"/>
          <w:sz w:val="24"/>
          <w:szCs w:val="24"/>
          <w:u w:val="single"/>
        </w:rPr>
        <w:t>南通市崇川生态环境局：</w:t>
      </w:r>
    </w:p>
    <w:p>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w:t>
      </w:r>
      <w:r>
        <w:rPr>
          <w:rFonts w:hint="eastAsia" w:ascii="宋体" w:hAnsi="宋体" w:cs="宋体"/>
          <w:sz w:val="24"/>
          <w:szCs w:val="24"/>
        </w:rPr>
        <w:t>参加贵单位组织的</w:t>
      </w:r>
      <w:r>
        <w:rPr>
          <w:rFonts w:hint="eastAsia" w:ascii="宋体" w:hAnsi="宋体" w:cs="宋体"/>
          <w:sz w:val="24"/>
          <w:szCs w:val="24"/>
          <w:u w:val="single"/>
        </w:rPr>
        <w:t>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项目的磋商活动，全权代表我公司处理竞争性磋商的有关事宜。</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附：法定代表人情况：</w:t>
      </w:r>
    </w:p>
    <w:p>
      <w:pPr>
        <w:snapToGrid w:val="0"/>
        <w:spacing w:line="520" w:lineRule="exact"/>
        <w:rPr>
          <w:rFonts w:ascii="宋体" w:cs="宋体"/>
          <w:sz w:val="24"/>
          <w:szCs w:val="24"/>
          <w:u w:val="single"/>
        </w:rPr>
      </w:pPr>
      <w:r>
        <w:rPr>
          <w:rFonts w:hint="eastAsia" w:ascii="宋体" w:hAnsi="宋体" w:cs="宋体"/>
          <w:sz w:val="24"/>
          <w:szCs w:val="24"/>
        </w:rPr>
        <w:t>姓名：  性别：  年龄：  职务：</w:t>
      </w:r>
    </w:p>
    <w:p>
      <w:pPr>
        <w:snapToGrid w:val="0"/>
        <w:spacing w:line="520" w:lineRule="exact"/>
        <w:rPr>
          <w:rFonts w:ascii="宋体" w:cs="宋体"/>
          <w:sz w:val="24"/>
          <w:szCs w:val="24"/>
        </w:rPr>
      </w:pPr>
      <w:r>
        <w:rPr>
          <w:rFonts w:hint="eastAsia" w:ascii="宋体" w:hAnsi="宋体" w:cs="宋体"/>
          <w:sz w:val="24"/>
          <w:szCs w:val="24"/>
        </w:rPr>
        <w:t>身份证号码：</w:t>
      </w:r>
    </w:p>
    <w:p>
      <w:pPr>
        <w:snapToGrid w:val="0"/>
        <w:spacing w:line="520" w:lineRule="exact"/>
        <w:rPr>
          <w:rFonts w:ascii="宋体" w:cs="宋体"/>
          <w:sz w:val="24"/>
          <w:szCs w:val="24"/>
        </w:rPr>
      </w:pPr>
      <w:r>
        <w:rPr>
          <w:rFonts w:hint="eastAsia" w:ascii="宋体" w:hAnsi="宋体" w:cs="宋体"/>
          <w:sz w:val="24"/>
          <w:szCs w:val="24"/>
        </w:rPr>
        <w:t xml:space="preserve">手机： </w:t>
      </w:r>
    </w:p>
    <w:p>
      <w:pPr>
        <w:snapToGrid w:val="0"/>
        <w:spacing w:line="520" w:lineRule="exact"/>
        <w:rPr>
          <w:rFonts w:ascii="宋体" w:cs="宋体"/>
          <w:sz w:val="24"/>
          <w:szCs w:val="24"/>
        </w:rPr>
      </w:pPr>
      <w:r>
        <w:rPr>
          <w:rFonts w:ascii="宋体" w:cs="宋体"/>
          <w:sz w:val="24"/>
          <w:szCs w:val="24"/>
        </w:rPr>
        <w:t> </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单位名称（公章）法定代表人（签字或盖章）</w:t>
      </w:r>
    </w:p>
    <w:p>
      <w:pPr>
        <w:snapToGrid w:val="0"/>
        <w:spacing w:line="520" w:lineRule="exact"/>
        <w:ind w:firstLine="1200" w:firstLineChars="500"/>
        <w:rPr>
          <w:rFonts w:ascii="宋体" w:cs="宋体"/>
          <w:sz w:val="24"/>
          <w:szCs w:val="24"/>
        </w:rPr>
      </w:pPr>
      <w:r>
        <w:rPr>
          <w:rFonts w:hint="eastAsia" w:ascii="宋体" w:hAnsi="宋体" w:cs="宋体"/>
          <w:sz w:val="24"/>
          <w:szCs w:val="24"/>
        </w:rPr>
        <w:t>年月日年月日</w:t>
      </w:r>
    </w:p>
    <w:p>
      <w:pPr>
        <w:snapToGrid w:val="0"/>
        <w:spacing w:line="520" w:lineRule="exact"/>
        <w:rPr>
          <w:rFonts w:ascii="宋体" w:cs="宋体"/>
          <w:sz w:val="24"/>
          <w:szCs w:val="24"/>
        </w:rPr>
      </w:pPr>
    </w:p>
    <w:p>
      <w:pPr>
        <w:snapToGrid w:val="0"/>
        <w:spacing w:line="520" w:lineRule="exact"/>
        <w:ind w:firstLine="2715" w:firstLineChars="1127"/>
        <w:rPr>
          <w:rFonts w:ascii="宋体" w:cs="宋体"/>
          <w:b/>
          <w:sz w:val="24"/>
          <w:szCs w:val="24"/>
        </w:rPr>
      </w:pPr>
      <w:r>
        <w:rPr>
          <w:rFonts w:hint="eastAsia" w:ascii="宋体" w:hAnsi="宋体" w:cs="宋体"/>
          <w:b/>
          <w:sz w:val="24"/>
          <w:szCs w:val="24"/>
        </w:rPr>
        <w:t>法定代表人身份证复印件</w:t>
      </w:r>
    </w:p>
    <w:p>
      <w:pPr>
        <w:snapToGrid w:val="0"/>
        <w:spacing w:line="520" w:lineRule="exact"/>
        <w:rPr>
          <w:rFonts w:ascii="宋体" w:cs="宋体"/>
          <w:sz w:val="24"/>
          <w:szCs w:val="24"/>
        </w:rPr>
      </w:pPr>
    </w:p>
    <w:p>
      <w:pPr>
        <w:snapToGrid w:val="0"/>
        <w:spacing w:line="520" w:lineRule="exact"/>
        <w:ind w:firstLine="3360" w:firstLineChars="1400"/>
        <w:rPr>
          <w:rFonts w:ascii="宋体" w:cs="宋体"/>
          <w:sz w:val="24"/>
          <w:szCs w:val="24"/>
        </w:rPr>
      </w:pPr>
      <w:r>
        <w:rPr>
          <w:rFonts w:hint="eastAsia" w:ascii="宋体" w:hAnsi="宋体" w:cs="宋体"/>
          <w:sz w:val="24"/>
          <w:szCs w:val="24"/>
        </w:rPr>
        <w:t>（粘贴此处）</w:t>
      </w:r>
    </w:p>
    <w:p>
      <w:pPr>
        <w:snapToGrid w:val="0"/>
        <w:spacing w:line="520" w:lineRule="exact"/>
        <w:ind w:firstLine="482" w:firstLineChars="200"/>
        <w:rPr>
          <w:rFonts w:ascii="宋体" w:cs="宋体"/>
          <w:b/>
          <w:bCs/>
          <w:sz w:val="24"/>
          <w:szCs w:val="24"/>
        </w:rPr>
      </w:pPr>
    </w:p>
    <w:p>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pPr>
        <w:snapToGrid w:val="0"/>
        <w:spacing w:line="520" w:lineRule="exact"/>
        <w:jc w:val="center"/>
        <w:outlineLvl w:val="3"/>
        <w:rPr>
          <w:rFonts w:ascii="宋体" w:cs="宋体"/>
          <w:b/>
          <w:sz w:val="24"/>
          <w:szCs w:val="24"/>
        </w:rPr>
      </w:pPr>
      <w:r>
        <w:rPr>
          <w:rFonts w:ascii="宋体" w:cs="宋体"/>
          <w:b/>
          <w:sz w:val="24"/>
          <w:szCs w:val="24"/>
        </w:rPr>
        <w:br w:type="page"/>
      </w:r>
      <w:r>
        <w:rPr>
          <w:rFonts w:ascii="宋体" w:hAnsi="宋体" w:cs="宋体"/>
          <w:b/>
          <w:sz w:val="24"/>
          <w:szCs w:val="24"/>
        </w:rPr>
        <w:t>2</w:t>
      </w:r>
      <w:r>
        <w:rPr>
          <w:rFonts w:hint="eastAsia" w:ascii="宋体" w:hAnsi="宋体" w:cs="宋体"/>
          <w:b/>
          <w:sz w:val="24"/>
          <w:szCs w:val="24"/>
        </w:rPr>
        <w:t>、授权委托书</w:t>
      </w:r>
    </w:p>
    <w:p>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pPr>
        <w:snapToGrid w:val="0"/>
        <w:spacing w:line="520" w:lineRule="exact"/>
        <w:jc w:val="center"/>
        <w:rPr>
          <w:rFonts w:ascii="宋体" w:cs="宋体"/>
          <w:bCs/>
          <w:sz w:val="24"/>
          <w:szCs w:val="24"/>
        </w:rPr>
      </w:pPr>
    </w:p>
    <w:p>
      <w:pPr>
        <w:snapToGrid w:val="0"/>
        <w:spacing w:line="480" w:lineRule="exact"/>
        <w:rPr>
          <w:rFonts w:ascii="宋体" w:cs="宋体"/>
          <w:sz w:val="24"/>
          <w:szCs w:val="24"/>
          <w:u w:val="single"/>
        </w:rPr>
      </w:pPr>
      <w:r>
        <w:rPr>
          <w:rFonts w:hint="eastAsia" w:ascii="宋体" w:hAnsi="宋体" w:cs="宋体"/>
          <w:sz w:val="24"/>
          <w:szCs w:val="24"/>
          <w:u w:val="single"/>
        </w:rPr>
        <w:t>南通市崇川生态环境局：</w:t>
      </w:r>
    </w:p>
    <w:p>
      <w:pPr>
        <w:snapToGrid w:val="0"/>
        <w:spacing w:line="480" w:lineRule="exact"/>
        <w:ind w:firstLine="480" w:firstLineChars="200"/>
        <w:rPr>
          <w:rFonts w:hAnsi="宋体" w:cs="宋体"/>
          <w:sz w:val="24"/>
          <w:szCs w:val="24"/>
        </w:rPr>
      </w:pPr>
      <w:r>
        <w:rPr>
          <w:rFonts w:hint="eastAsia" w:hAnsi="宋体" w:cs="宋体"/>
          <w:sz w:val="24"/>
          <w:szCs w:val="24"/>
        </w:rPr>
        <w:t>兹授权</w:t>
      </w:r>
      <w:r>
        <w:rPr>
          <w:rFonts w:hint="eastAsia" w:hAnsi="宋体" w:cs="宋体"/>
          <w:sz w:val="24"/>
          <w:szCs w:val="24"/>
          <w:u w:val="single"/>
        </w:rPr>
        <w:t>（</w:t>
      </w:r>
      <w:r>
        <w:rPr>
          <w:rFonts w:hint="eastAsia" w:hAnsi="宋体" w:cs="宋体"/>
          <w:sz w:val="24"/>
          <w:szCs w:val="24"/>
        </w:rPr>
        <w:t>被授权人的姓名）代表我公司参加</w:t>
      </w:r>
      <w:r>
        <w:rPr>
          <w:rFonts w:hint="eastAsia" w:ascii="宋体" w:hAnsi="宋体" w:cs="宋体"/>
          <w:sz w:val="24"/>
          <w:szCs w:val="24"/>
          <w:u w:val="single"/>
        </w:rPr>
        <w:t>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项目的采购活动，全权处理一切与该项目采购有关的事务。其在办理上述事宜过程中所签署的所有文件我公司均予以承认。</w:t>
      </w:r>
    </w:p>
    <w:p>
      <w:pPr>
        <w:pStyle w:val="25"/>
        <w:adjustRightInd w:val="0"/>
        <w:snapToGrid w:val="0"/>
        <w:spacing w:line="500" w:lineRule="exact"/>
        <w:ind w:firstLine="480" w:firstLineChars="200"/>
        <w:jc w:val="left"/>
        <w:rPr>
          <w:rFonts w:hAnsi="宋体" w:cs="宋体"/>
          <w:kern w:val="0"/>
          <w:sz w:val="24"/>
          <w:szCs w:val="24"/>
        </w:rPr>
      </w:pPr>
    </w:p>
    <w:p>
      <w:pPr>
        <w:pStyle w:val="25"/>
        <w:adjustRightInd w:val="0"/>
        <w:snapToGrid w:val="0"/>
        <w:spacing w:line="500" w:lineRule="exact"/>
        <w:ind w:firstLine="480" w:firstLineChars="200"/>
        <w:jc w:val="left"/>
        <w:rPr>
          <w:rFonts w:hAnsi="宋体" w:cs="宋体"/>
          <w:kern w:val="0"/>
          <w:sz w:val="24"/>
          <w:szCs w:val="24"/>
        </w:rPr>
      </w:pPr>
      <w:r>
        <w:rPr>
          <w:rFonts w:hint="eastAsia" w:hAnsi="宋体" w:cs="宋体"/>
          <w:kern w:val="0"/>
          <w:sz w:val="24"/>
          <w:szCs w:val="24"/>
        </w:rPr>
        <w:t>被授权人无转委托权，特此委托。</w:t>
      </w:r>
    </w:p>
    <w:p>
      <w:pPr>
        <w:pStyle w:val="25"/>
        <w:adjustRightInd w:val="0"/>
        <w:snapToGrid w:val="0"/>
        <w:spacing w:line="500" w:lineRule="exact"/>
        <w:ind w:firstLine="480" w:firstLineChars="200"/>
        <w:jc w:val="left"/>
        <w:rPr>
          <w:rFonts w:hAnsi="宋体" w:cs="宋体"/>
          <w:kern w:val="0"/>
          <w:sz w:val="24"/>
          <w:szCs w:val="24"/>
        </w:rPr>
      </w:pPr>
    </w:p>
    <w:p>
      <w:pPr>
        <w:spacing w:line="480" w:lineRule="exact"/>
        <w:rPr>
          <w:rFonts w:hAnsi="宋体" w:cs="宋体"/>
          <w:sz w:val="24"/>
          <w:szCs w:val="24"/>
        </w:rPr>
      </w:pPr>
      <w:r>
        <w:rPr>
          <w:rFonts w:hint="eastAsia" w:hAnsi="宋体" w:cs="宋体"/>
          <w:sz w:val="24"/>
          <w:szCs w:val="24"/>
        </w:rPr>
        <w:t>附：被授权人情况：</w:t>
      </w:r>
    </w:p>
    <w:p>
      <w:pPr>
        <w:spacing w:line="480" w:lineRule="exact"/>
        <w:rPr>
          <w:rFonts w:hAnsi="宋体" w:cs="宋体"/>
          <w:sz w:val="24"/>
          <w:szCs w:val="24"/>
          <w:u w:val="single"/>
        </w:rPr>
      </w:pPr>
      <w:r>
        <w:rPr>
          <w:rFonts w:hint="eastAsia" w:hAnsi="宋体" w:cs="宋体"/>
          <w:sz w:val="24"/>
          <w:szCs w:val="24"/>
        </w:rPr>
        <w:t>姓名：  性别：  年龄：  职务：</w:t>
      </w:r>
    </w:p>
    <w:p>
      <w:pPr>
        <w:spacing w:line="480" w:lineRule="exact"/>
        <w:rPr>
          <w:rFonts w:hAnsi="宋体" w:cs="宋体"/>
          <w:sz w:val="24"/>
          <w:szCs w:val="24"/>
        </w:rPr>
      </w:pPr>
      <w:r>
        <w:rPr>
          <w:rFonts w:hint="eastAsia" w:hAnsi="宋体" w:cs="宋体"/>
          <w:sz w:val="24"/>
          <w:szCs w:val="24"/>
        </w:rPr>
        <w:t>身份证号码：</w:t>
      </w:r>
    </w:p>
    <w:p>
      <w:pPr>
        <w:spacing w:line="480" w:lineRule="exact"/>
        <w:rPr>
          <w:rFonts w:hAnsi="宋体" w:cs="宋体"/>
          <w:sz w:val="24"/>
          <w:szCs w:val="24"/>
        </w:rPr>
      </w:pPr>
      <w:r>
        <w:rPr>
          <w:rFonts w:hint="eastAsia" w:hAnsi="宋体" w:cs="宋体"/>
          <w:sz w:val="24"/>
          <w:szCs w:val="24"/>
        </w:rPr>
        <w:t xml:space="preserve">手机：  </w:t>
      </w:r>
    </w:p>
    <w:p>
      <w:pPr>
        <w:spacing w:line="480" w:lineRule="exact"/>
        <w:rPr>
          <w:rFonts w:hAnsi="宋体" w:cs="宋体"/>
          <w:sz w:val="24"/>
          <w:szCs w:val="24"/>
        </w:rPr>
      </w:pPr>
    </w:p>
    <w:p>
      <w:pPr>
        <w:spacing w:line="480" w:lineRule="exact"/>
        <w:rPr>
          <w:rFonts w:hAnsi="宋体" w:cs="宋体"/>
          <w:sz w:val="24"/>
          <w:szCs w:val="24"/>
        </w:rPr>
      </w:pPr>
      <w:r>
        <w:rPr>
          <w:rFonts w:hint="eastAsia" w:hAnsi="宋体" w:cs="宋体"/>
          <w:sz w:val="24"/>
          <w:szCs w:val="24"/>
        </w:rPr>
        <w:t>单位名称（公章）法定代表人（签字或盖章）</w:t>
      </w:r>
    </w:p>
    <w:p>
      <w:pPr>
        <w:spacing w:line="480" w:lineRule="exact"/>
        <w:ind w:firstLine="1200" w:firstLineChars="500"/>
        <w:rPr>
          <w:rFonts w:hAnsi="宋体" w:cs="宋体"/>
          <w:sz w:val="24"/>
          <w:szCs w:val="24"/>
        </w:rPr>
      </w:pPr>
      <w:r>
        <w:rPr>
          <w:rFonts w:hint="eastAsia" w:hAnsi="宋体" w:cs="宋体"/>
          <w:sz w:val="24"/>
          <w:szCs w:val="24"/>
        </w:rPr>
        <w:t>年月日年月日</w:t>
      </w:r>
    </w:p>
    <w:p>
      <w:pPr>
        <w:spacing w:line="480" w:lineRule="exact"/>
        <w:rPr>
          <w:rFonts w:hAnsi="宋体" w:cs="宋体"/>
          <w:sz w:val="24"/>
          <w:szCs w:val="24"/>
        </w:rPr>
      </w:pPr>
    </w:p>
    <w:p>
      <w:pPr>
        <w:snapToGrid w:val="0"/>
        <w:spacing w:line="520" w:lineRule="exact"/>
        <w:ind w:firstLine="2479" w:firstLineChars="1029"/>
        <w:rPr>
          <w:rFonts w:ascii="宋体" w:cs="宋体"/>
          <w:b/>
          <w:sz w:val="24"/>
          <w:szCs w:val="24"/>
        </w:rPr>
      </w:pPr>
      <w:r>
        <w:rPr>
          <w:rFonts w:hint="eastAsia" w:ascii="宋体" w:hAnsi="宋体" w:cs="宋体"/>
          <w:b/>
          <w:sz w:val="24"/>
          <w:szCs w:val="24"/>
        </w:rPr>
        <w:t>法定代表人身份证复印件</w:t>
      </w:r>
    </w:p>
    <w:p>
      <w:pPr>
        <w:snapToGrid w:val="0"/>
        <w:spacing w:line="520" w:lineRule="exact"/>
        <w:rPr>
          <w:rFonts w:ascii="宋体" w:cs="宋体"/>
          <w:sz w:val="24"/>
          <w:szCs w:val="24"/>
        </w:rPr>
      </w:pPr>
    </w:p>
    <w:p>
      <w:pPr>
        <w:snapToGrid w:val="0"/>
        <w:spacing w:line="520" w:lineRule="exact"/>
        <w:ind w:firstLine="2997" w:firstLineChars="1244"/>
        <w:rPr>
          <w:rFonts w:ascii="宋体" w:cs="宋体"/>
          <w:b/>
          <w:sz w:val="24"/>
          <w:szCs w:val="24"/>
        </w:rPr>
      </w:pPr>
      <w:r>
        <w:rPr>
          <w:rFonts w:hint="eastAsia" w:ascii="宋体" w:hAnsi="宋体" w:cs="宋体"/>
          <w:b/>
          <w:sz w:val="24"/>
          <w:szCs w:val="24"/>
        </w:rPr>
        <w:t>（粘贴此处）</w:t>
      </w:r>
    </w:p>
    <w:p>
      <w:pPr>
        <w:spacing w:line="480" w:lineRule="exact"/>
        <w:rPr>
          <w:rFonts w:hAnsi="宋体" w:cs="宋体"/>
          <w:sz w:val="24"/>
          <w:szCs w:val="24"/>
        </w:rPr>
      </w:pPr>
    </w:p>
    <w:p>
      <w:pPr>
        <w:spacing w:line="480" w:lineRule="exact"/>
        <w:rPr>
          <w:rFonts w:hAnsi="宋体" w:cs="宋体"/>
          <w:sz w:val="24"/>
          <w:szCs w:val="24"/>
        </w:rPr>
      </w:pPr>
    </w:p>
    <w:p>
      <w:pPr>
        <w:spacing w:line="480" w:lineRule="exact"/>
        <w:ind w:firstLine="2479" w:firstLineChars="1029"/>
        <w:rPr>
          <w:rFonts w:hAnsi="宋体" w:cs="宋体"/>
          <w:b/>
          <w:sz w:val="24"/>
          <w:szCs w:val="24"/>
        </w:rPr>
      </w:pPr>
      <w:r>
        <w:rPr>
          <w:rFonts w:hint="eastAsia" w:hAnsi="宋体" w:cs="宋体"/>
          <w:b/>
          <w:sz w:val="24"/>
          <w:szCs w:val="24"/>
        </w:rPr>
        <w:t>被授权人身份证复印件</w:t>
      </w:r>
    </w:p>
    <w:p>
      <w:pPr>
        <w:spacing w:line="480" w:lineRule="exact"/>
        <w:rPr>
          <w:rFonts w:hAnsi="宋体" w:cs="宋体"/>
          <w:sz w:val="24"/>
          <w:szCs w:val="24"/>
        </w:rPr>
      </w:pPr>
    </w:p>
    <w:p>
      <w:pPr>
        <w:spacing w:line="480" w:lineRule="exact"/>
        <w:ind w:firstLine="3115" w:firstLineChars="1293"/>
        <w:rPr>
          <w:rFonts w:hAnsi="宋体" w:cs="宋体"/>
          <w:b/>
          <w:sz w:val="24"/>
          <w:szCs w:val="24"/>
        </w:rPr>
      </w:pPr>
      <w:r>
        <w:rPr>
          <w:rFonts w:hint="eastAsia" w:hAnsi="宋体" w:cs="宋体"/>
          <w:b/>
          <w:sz w:val="24"/>
          <w:szCs w:val="24"/>
        </w:rPr>
        <w:t>（粘贴此处）</w:t>
      </w:r>
    </w:p>
    <w:p>
      <w:pPr>
        <w:pStyle w:val="51"/>
        <w:ind w:firstLine="480"/>
        <w:rPr>
          <w:szCs w:val="24"/>
        </w:rPr>
      </w:pPr>
    </w:p>
    <w:p>
      <w:pPr>
        <w:spacing w:line="480" w:lineRule="exact"/>
        <w:ind w:firstLine="482" w:firstLineChars="200"/>
        <w:rPr>
          <w:rFonts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pPr>
        <w:spacing w:line="360" w:lineRule="auto"/>
        <w:jc w:val="center"/>
        <w:rPr>
          <w:rFonts w:ascii="宋体" w:cs="宋体"/>
          <w:b/>
          <w:sz w:val="24"/>
          <w:szCs w:val="24"/>
        </w:rPr>
      </w:pPr>
      <w:r>
        <w:rPr>
          <w:sz w:val="24"/>
          <w:szCs w:val="24"/>
        </w:rPr>
        <w:br w:type="page"/>
      </w:r>
      <w:r>
        <w:rPr>
          <w:rFonts w:ascii="宋体" w:hAnsi="宋体" w:cs="宋体"/>
          <w:b/>
          <w:sz w:val="24"/>
          <w:szCs w:val="24"/>
        </w:rPr>
        <w:t>3</w:t>
      </w:r>
      <w:r>
        <w:rPr>
          <w:rFonts w:hint="eastAsia" w:ascii="宋体" w:hAnsi="宋体" w:cs="宋体"/>
          <w:b/>
          <w:sz w:val="24"/>
          <w:szCs w:val="24"/>
        </w:rPr>
        <w:t>、无重大违法记录声明</w:t>
      </w:r>
    </w:p>
    <w:p>
      <w:pPr>
        <w:spacing w:line="560" w:lineRule="exact"/>
        <w:rPr>
          <w:rFonts w:ascii="宋体"/>
          <w:bCs/>
          <w:sz w:val="24"/>
          <w:szCs w:val="24"/>
          <w:u w:val="single"/>
        </w:rPr>
      </w:pPr>
      <w:r>
        <w:rPr>
          <w:rFonts w:hint="eastAsia" w:ascii="宋体" w:hAnsi="宋体"/>
          <w:bCs/>
          <w:sz w:val="24"/>
          <w:szCs w:val="24"/>
          <w:u w:val="single"/>
        </w:rPr>
        <w:t>南通市崇川生态环境局：</w:t>
      </w:r>
    </w:p>
    <w:p>
      <w:pPr>
        <w:spacing w:line="560" w:lineRule="exact"/>
        <w:rPr>
          <w:rFonts w:ascii="宋体"/>
          <w:sz w:val="24"/>
          <w:szCs w:val="24"/>
        </w:rPr>
      </w:pPr>
      <w:r>
        <w:rPr>
          <w:rFonts w:hint="eastAsia" w:ascii="宋体" w:hAnsi="宋体"/>
          <w:sz w:val="24"/>
          <w:szCs w:val="24"/>
        </w:rPr>
        <w:t>我单位</w:t>
      </w:r>
      <w:r>
        <w:rPr>
          <w:rFonts w:hint="eastAsia" w:ascii="宋体" w:hAnsi="宋体" w:cs="宋体"/>
          <w:sz w:val="24"/>
          <w:szCs w:val="24"/>
          <w:u w:val="single"/>
        </w:rPr>
        <w:t>　　　</w:t>
      </w:r>
      <w:r>
        <w:rPr>
          <w:rFonts w:hint="eastAsia" w:ascii="宋体" w:hAnsi="宋体"/>
          <w:sz w:val="24"/>
          <w:szCs w:val="24"/>
        </w:rPr>
        <w:t>（供应商名称）郑重声明：</w:t>
      </w:r>
    </w:p>
    <w:p>
      <w:pPr>
        <w:spacing w:line="560" w:lineRule="exact"/>
        <w:rPr>
          <w:rFonts w:ascii="宋体"/>
          <w:sz w:val="24"/>
          <w:szCs w:val="24"/>
        </w:rPr>
      </w:pPr>
      <w:r>
        <w:rPr>
          <w:rFonts w:hint="eastAsia" w:ascii="宋体" w:hAnsi="宋体"/>
          <w:sz w:val="24"/>
          <w:szCs w:val="24"/>
        </w:rPr>
        <w:t>参加采购活动前</w:t>
      </w:r>
      <w:r>
        <w:rPr>
          <w:rFonts w:ascii="宋体" w:hAnsi="宋体"/>
          <w:sz w:val="24"/>
          <w:szCs w:val="24"/>
        </w:rPr>
        <w:t>3</w:t>
      </w:r>
      <w:r>
        <w:rPr>
          <w:rFonts w:hint="eastAsia" w:ascii="宋体" w:hAnsi="宋体"/>
          <w:sz w:val="24"/>
          <w:szCs w:val="24"/>
        </w:rPr>
        <w:t>年内在经营活动中</w:t>
      </w:r>
      <w:r>
        <w:rPr>
          <w:rFonts w:hint="eastAsia" w:ascii="宋体" w:hAnsi="宋体" w:cs="宋体"/>
          <w:sz w:val="24"/>
          <w:szCs w:val="24"/>
          <w:u w:val="single"/>
        </w:rPr>
        <w:t>　　　</w:t>
      </w:r>
      <w:r>
        <w:rPr>
          <w:rFonts w:hint="eastAsia" w:ascii="宋体" w:hAnsi="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sz w:val="24"/>
          <w:szCs w:val="24"/>
        </w:rPr>
        <w:t>（说明：重大违法记录，是指供应商因违法经营受到刑事处罚或者责令停产停业、吊销许可证或者执照、较大数额罚款等行政处罚。）</w:t>
      </w:r>
    </w:p>
    <w:p>
      <w:pPr>
        <w:spacing w:line="420" w:lineRule="exact"/>
        <w:rPr>
          <w:rFonts w:ascii="宋体"/>
          <w:sz w:val="24"/>
          <w:szCs w:val="24"/>
        </w:rPr>
      </w:pPr>
    </w:p>
    <w:p>
      <w:pPr>
        <w:spacing w:line="420" w:lineRule="exact"/>
        <w:ind w:firstLine="6360" w:firstLineChars="2650"/>
        <w:rPr>
          <w:rFonts w:ascii="宋体"/>
          <w:sz w:val="24"/>
          <w:szCs w:val="24"/>
        </w:rPr>
      </w:pPr>
      <w:r>
        <w:rPr>
          <w:rFonts w:hint="eastAsia" w:ascii="宋体" w:hAnsi="宋体"/>
          <w:sz w:val="24"/>
          <w:szCs w:val="24"/>
        </w:rPr>
        <w:t>声明人：（公章）</w:t>
      </w:r>
    </w:p>
    <w:p>
      <w:pPr>
        <w:spacing w:line="420" w:lineRule="exact"/>
        <w:jc w:val="right"/>
        <w:rPr>
          <w:rFonts w:ascii="宋体"/>
          <w:sz w:val="24"/>
          <w:szCs w:val="24"/>
        </w:rPr>
      </w:pPr>
      <w:r>
        <w:rPr>
          <w:rFonts w:hint="eastAsia" w:ascii="宋体" w:hAnsi="宋体"/>
          <w:sz w:val="24"/>
          <w:szCs w:val="24"/>
        </w:rPr>
        <w:t>年月日</w:t>
      </w:r>
    </w:p>
    <w:p>
      <w:pPr>
        <w:snapToGrid w:val="0"/>
        <w:spacing w:line="360" w:lineRule="auto"/>
        <w:jc w:val="center"/>
        <w:outlineLvl w:val="4"/>
        <w:rPr>
          <w:rFonts w:ascii="宋体" w:cs="宋体"/>
          <w:b/>
          <w:sz w:val="24"/>
          <w:szCs w:val="24"/>
        </w:rPr>
      </w:pPr>
      <w:r>
        <w:rPr>
          <w:rFonts w:ascii="宋体" w:cs="宋体"/>
          <w:b/>
          <w:sz w:val="24"/>
          <w:szCs w:val="24"/>
        </w:rPr>
        <w:br w:type="page"/>
      </w:r>
      <w:r>
        <w:rPr>
          <w:rFonts w:ascii="宋体" w:hAnsi="宋体" w:cs="宋体"/>
          <w:b/>
          <w:sz w:val="24"/>
          <w:szCs w:val="24"/>
        </w:rPr>
        <w:t>4</w:t>
      </w:r>
      <w:r>
        <w:rPr>
          <w:rFonts w:hint="eastAsia" w:ascii="宋体" w:hAnsi="宋体" w:cs="宋体"/>
          <w:b/>
          <w:sz w:val="24"/>
          <w:szCs w:val="24"/>
        </w:rPr>
        <w:t>、关于资格文件的声明函</w:t>
      </w:r>
    </w:p>
    <w:p>
      <w:pPr>
        <w:snapToGrid w:val="0"/>
        <w:spacing w:line="360" w:lineRule="auto"/>
        <w:rPr>
          <w:rFonts w:ascii="宋体" w:cs="宋体"/>
          <w:sz w:val="24"/>
          <w:szCs w:val="24"/>
          <w:u w:val="single"/>
        </w:rPr>
      </w:pPr>
    </w:p>
    <w:p>
      <w:pPr>
        <w:snapToGrid w:val="0"/>
        <w:spacing w:line="360" w:lineRule="auto"/>
        <w:rPr>
          <w:rFonts w:ascii="宋体" w:cs="宋体"/>
          <w:sz w:val="24"/>
          <w:szCs w:val="24"/>
          <w:u w:val="single"/>
        </w:rPr>
      </w:pPr>
    </w:p>
    <w:p>
      <w:pPr>
        <w:snapToGrid w:val="0"/>
        <w:spacing w:line="360" w:lineRule="auto"/>
        <w:rPr>
          <w:rFonts w:ascii="宋体"/>
          <w:bCs/>
          <w:sz w:val="24"/>
          <w:szCs w:val="24"/>
          <w:u w:val="single"/>
        </w:rPr>
      </w:pPr>
      <w:r>
        <w:rPr>
          <w:rFonts w:hint="eastAsia" w:ascii="宋体" w:hAnsi="宋体" w:cs="宋体"/>
          <w:sz w:val="24"/>
          <w:szCs w:val="24"/>
          <w:u w:val="single"/>
        </w:rPr>
        <w:t>南通市崇川生态环境局：</w:t>
      </w:r>
    </w:p>
    <w:p>
      <w:pPr>
        <w:pStyle w:val="15"/>
        <w:overflowPunct w:val="0"/>
        <w:spacing w:line="520" w:lineRule="exact"/>
        <w:ind w:firstLine="660"/>
        <w:rPr>
          <w:rFonts w:ascii="宋体" w:hAnsi="宋体" w:cs="宋体"/>
          <w:sz w:val="24"/>
          <w:szCs w:val="24"/>
        </w:rPr>
      </w:pPr>
      <w:r>
        <w:rPr>
          <w:rFonts w:hint="eastAsia" w:ascii="宋体" w:hAnsi="宋体" w:cs="宋体"/>
          <w:sz w:val="24"/>
          <w:szCs w:val="24"/>
        </w:rPr>
        <w:t>本公司愿就由贵单位组织实施的（项目名称)采购活动进行响应。本公司所提交的磋商响应文件中所有关于资格的文件、证明和陈述均是真实的、准确的。</w:t>
      </w:r>
    </w:p>
    <w:p>
      <w:pPr>
        <w:pStyle w:val="15"/>
        <w:overflowPunct w:val="0"/>
        <w:spacing w:line="520" w:lineRule="exact"/>
        <w:ind w:firstLine="660"/>
        <w:rPr>
          <w:rFonts w:ascii="宋体" w:hAnsi="宋体" w:cs="宋体"/>
          <w:sz w:val="24"/>
          <w:szCs w:val="24"/>
        </w:rPr>
      </w:pPr>
      <w:r>
        <w:rPr>
          <w:rFonts w:hint="eastAsia" w:ascii="宋体" w:hAnsi="宋体" w:cs="宋体"/>
          <w:sz w:val="24"/>
          <w:szCs w:val="24"/>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15"/>
        <w:overflowPunct w:val="0"/>
        <w:spacing w:line="520" w:lineRule="exact"/>
        <w:ind w:firstLine="660"/>
        <w:rPr>
          <w:rFonts w:ascii="宋体" w:hAnsi="宋体" w:cs="宋体"/>
          <w:sz w:val="24"/>
          <w:szCs w:val="24"/>
        </w:rPr>
      </w:pPr>
      <w:r>
        <w:rPr>
          <w:rFonts w:hint="eastAsia" w:ascii="宋体" w:hAnsi="宋体" w:cs="宋体"/>
          <w:sz w:val="24"/>
          <w:szCs w:val="24"/>
        </w:rPr>
        <w:t>若与真实情况不符，本公司愿意承担由此而产生的一切后果。</w:t>
      </w:r>
    </w:p>
    <w:p>
      <w:pPr>
        <w:overflowPunct w:val="0"/>
        <w:adjustRightInd w:val="0"/>
        <w:spacing w:line="360" w:lineRule="auto"/>
        <w:ind w:firstLine="66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cs="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cs="宋体"/>
          <w:sz w:val="24"/>
          <w:szCs w:val="24"/>
        </w:rPr>
      </w:pPr>
      <w:r>
        <w:rPr>
          <w:rFonts w:hint="eastAsia" w:ascii="宋体" w:hAnsi="宋体" w:cs="宋体"/>
          <w:sz w:val="24"/>
          <w:szCs w:val="24"/>
        </w:rPr>
        <w:t>年月日</w:t>
      </w:r>
    </w:p>
    <w:p>
      <w:pPr>
        <w:snapToGrid w:val="0"/>
        <w:spacing w:line="520" w:lineRule="exact"/>
        <w:jc w:val="center"/>
        <w:outlineLvl w:val="3"/>
        <w:rPr>
          <w:rFonts w:ascii="宋体" w:cs="宋体"/>
          <w:b/>
          <w:sz w:val="24"/>
          <w:szCs w:val="24"/>
        </w:rPr>
      </w:pPr>
    </w:p>
    <w:p>
      <w:pPr>
        <w:snapToGrid w:val="0"/>
        <w:spacing w:line="520" w:lineRule="exact"/>
        <w:jc w:val="center"/>
        <w:outlineLvl w:val="3"/>
        <w:rPr>
          <w:rFonts w:ascii="宋体" w:cs="宋体"/>
          <w:b/>
          <w:sz w:val="24"/>
          <w:szCs w:val="24"/>
        </w:rPr>
      </w:pPr>
    </w:p>
    <w:p>
      <w:pPr>
        <w:snapToGrid w:val="0"/>
        <w:spacing w:line="520" w:lineRule="exact"/>
        <w:jc w:val="center"/>
        <w:outlineLvl w:val="3"/>
        <w:rPr>
          <w:rFonts w:ascii="宋体" w:cs="宋体"/>
          <w:b/>
          <w:sz w:val="24"/>
          <w:szCs w:val="24"/>
        </w:rPr>
      </w:pPr>
    </w:p>
    <w:p>
      <w:pPr>
        <w:spacing w:line="360" w:lineRule="auto"/>
        <w:jc w:val="center"/>
        <w:rPr>
          <w:rFonts w:ascii="宋体" w:cs="宋体"/>
          <w:b/>
          <w:sz w:val="24"/>
          <w:szCs w:val="24"/>
        </w:rPr>
      </w:pPr>
      <w:r>
        <w:rPr>
          <w:sz w:val="24"/>
          <w:szCs w:val="24"/>
        </w:rPr>
        <w:br w:type="page"/>
      </w:r>
      <w:r>
        <w:rPr>
          <w:rFonts w:ascii="宋体" w:hAnsi="宋体" w:cs="宋体"/>
          <w:b/>
          <w:sz w:val="24"/>
          <w:szCs w:val="24"/>
        </w:rPr>
        <w:t>5</w:t>
      </w:r>
      <w:r>
        <w:rPr>
          <w:rFonts w:hint="eastAsia" w:ascii="宋体" w:hAnsi="宋体" w:cs="宋体"/>
          <w:b/>
          <w:sz w:val="24"/>
          <w:szCs w:val="24"/>
        </w:rPr>
        <w:t>、竞争性磋商响应函（格式不得变动）</w:t>
      </w:r>
    </w:p>
    <w:p>
      <w:pPr>
        <w:snapToGrid w:val="0"/>
        <w:spacing w:line="520" w:lineRule="exact"/>
        <w:rPr>
          <w:rFonts w:ascii="宋体" w:cs="宋体"/>
          <w:sz w:val="24"/>
          <w:szCs w:val="24"/>
          <w:u w:val="single"/>
        </w:rPr>
      </w:pPr>
    </w:p>
    <w:p>
      <w:pPr>
        <w:snapToGrid w:val="0"/>
        <w:spacing w:line="520" w:lineRule="exact"/>
        <w:rPr>
          <w:rFonts w:ascii="宋体" w:cs="宋体"/>
          <w:sz w:val="24"/>
          <w:szCs w:val="24"/>
          <w:u w:val="single"/>
        </w:rPr>
      </w:pPr>
      <w:r>
        <w:rPr>
          <w:rFonts w:hint="eastAsia" w:ascii="宋体" w:hAnsi="宋体" w:cs="宋体"/>
          <w:sz w:val="24"/>
          <w:szCs w:val="24"/>
          <w:u w:val="single"/>
        </w:rPr>
        <w:t>南通市崇川生态环境局：</w:t>
      </w:r>
    </w:p>
    <w:p>
      <w:pPr>
        <w:snapToGrid w:val="0"/>
        <w:spacing w:line="520" w:lineRule="exact"/>
        <w:ind w:firstLine="480" w:firstLineChars="200"/>
        <w:rPr>
          <w:rFonts w:ascii="宋体" w:cs="宋体"/>
          <w:sz w:val="24"/>
          <w:szCs w:val="24"/>
        </w:rPr>
      </w:pPr>
      <w:r>
        <w:rPr>
          <w:rFonts w:hint="eastAsia" w:ascii="宋体" w:hAnsi="宋体" w:cs="宋体"/>
          <w:sz w:val="24"/>
          <w:szCs w:val="24"/>
        </w:rPr>
        <w:t>依据贵单位组织的</w:t>
      </w:r>
      <w:r>
        <w:rPr>
          <w:rFonts w:hint="eastAsia" w:ascii="宋体" w:hAnsi="宋体" w:cs="宋体"/>
          <w:sz w:val="24"/>
          <w:szCs w:val="24"/>
          <w:u w:val="single"/>
        </w:rPr>
        <w:t>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项目竞争性磋商，我方授权（姓名）（职务）为全权代表参加该项目的磋商工作，全权处理本次竞争性磋商的有关事宜。同时，我公司声明如下：</w:t>
      </w:r>
    </w:p>
    <w:p>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left="479" w:leftChars="228"/>
        <w:rPr>
          <w:rFonts w:ascii="宋体" w:hAns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w:t>
      </w:r>
    </w:p>
    <w:p>
      <w:pPr>
        <w:snapToGrid w:val="0"/>
        <w:spacing w:line="52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sz w:val="24"/>
          <w:szCs w:val="24"/>
        </w:rPr>
      </w:pPr>
    </w:p>
    <w:p>
      <w:pPr>
        <w:snapToGrid w:val="0"/>
        <w:spacing w:line="520" w:lineRule="exact"/>
        <w:jc w:val="right"/>
        <w:rPr>
          <w:rFonts w:ascii="宋体" w:cs="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cs="宋体"/>
          <w:sz w:val="24"/>
          <w:szCs w:val="24"/>
        </w:rPr>
      </w:pPr>
      <w:r>
        <w:rPr>
          <w:rFonts w:hint="eastAsia" w:ascii="宋体" w:hAnsi="宋体" w:cs="宋体"/>
          <w:sz w:val="24"/>
          <w:szCs w:val="24"/>
        </w:rPr>
        <w:t>年月日</w:t>
      </w:r>
    </w:p>
    <w:p>
      <w:pPr>
        <w:snapToGrid w:val="0"/>
        <w:spacing w:line="520" w:lineRule="exact"/>
        <w:jc w:val="center"/>
        <w:outlineLvl w:val="3"/>
        <w:rPr>
          <w:rFonts w:ascii="宋体" w:cs="宋体"/>
          <w:b/>
          <w:sz w:val="24"/>
          <w:szCs w:val="24"/>
        </w:rPr>
      </w:pPr>
    </w:p>
    <w:p>
      <w:pPr>
        <w:snapToGrid w:val="0"/>
        <w:spacing w:line="520" w:lineRule="exact"/>
        <w:jc w:val="center"/>
        <w:outlineLvl w:val="3"/>
        <w:rPr>
          <w:rFonts w:ascii="宋体" w:cs="宋体"/>
          <w:b/>
          <w:sz w:val="24"/>
          <w:szCs w:val="24"/>
        </w:rPr>
      </w:pPr>
    </w:p>
    <w:p>
      <w:pPr>
        <w:spacing w:line="360" w:lineRule="auto"/>
        <w:jc w:val="center"/>
        <w:rPr>
          <w:rFonts w:ascii="宋体" w:cs="宋体"/>
          <w:b/>
          <w:sz w:val="24"/>
          <w:szCs w:val="24"/>
        </w:rPr>
      </w:pPr>
      <w:bookmarkStart w:id="70" w:name="_Toc425960671"/>
      <w:r>
        <w:rPr>
          <w:rFonts w:ascii="宋体"/>
          <w:b/>
          <w:bCs/>
          <w:sz w:val="24"/>
          <w:szCs w:val="24"/>
        </w:rPr>
        <w:br w:type="page"/>
      </w:r>
      <w:bookmarkEnd w:id="70"/>
      <w:r>
        <w:rPr>
          <w:rFonts w:ascii="宋体" w:hAnsi="宋体"/>
          <w:b/>
          <w:bCs/>
          <w:sz w:val="24"/>
          <w:szCs w:val="24"/>
        </w:rPr>
        <w:t>6</w:t>
      </w:r>
      <w:r>
        <w:rPr>
          <w:rFonts w:hint="eastAsia" w:ascii="宋体" w:hAnsi="宋体" w:cs="宋体"/>
          <w:b/>
          <w:sz w:val="24"/>
          <w:szCs w:val="24"/>
        </w:rPr>
        <w:t>、供应商一般情况表</w:t>
      </w:r>
    </w:p>
    <w:tbl>
      <w:tblPr>
        <w:tblStyle w:val="52"/>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企业名称</w:t>
            </w:r>
          </w:p>
        </w:tc>
        <w:tc>
          <w:tcPr>
            <w:tcW w:w="6591"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总部地址</w:t>
            </w:r>
          </w:p>
        </w:tc>
        <w:tc>
          <w:tcPr>
            <w:tcW w:w="6591"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分支机构</w:t>
            </w:r>
          </w:p>
        </w:tc>
        <w:tc>
          <w:tcPr>
            <w:tcW w:w="6591"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当地代表处地址</w:t>
            </w:r>
          </w:p>
        </w:tc>
        <w:tc>
          <w:tcPr>
            <w:tcW w:w="6591" w:type="dxa"/>
            <w:gridSpan w:val="8"/>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电话</w:t>
            </w:r>
          </w:p>
        </w:tc>
        <w:tc>
          <w:tcPr>
            <w:tcW w:w="2408" w:type="dxa"/>
            <w:gridSpan w:val="3"/>
          </w:tcPr>
          <w:p>
            <w:pPr>
              <w:tabs>
                <w:tab w:val="left" w:pos="993"/>
              </w:tabs>
              <w:spacing w:line="520" w:lineRule="exact"/>
              <w:rPr>
                <w:rFonts w:ascii="宋体" w:cs="宋体"/>
                <w:sz w:val="24"/>
                <w:szCs w:val="24"/>
              </w:rPr>
            </w:pPr>
          </w:p>
        </w:tc>
        <w:tc>
          <w:tcPr>
            <w:tcW w:w="1875" w:type="dxa"/>
            <w:gridSpan w:val="2"/>
          </w:tcPr>
          <w:p>
            <w:pPr>
              <w:tabs>
                <w:tab w:val="left" w:pos="993"/>
              </w:tabs>
              <w:spacing w:line="520" w:lineRule="exact"/>
              <w:rPr>
                <w:rFonts w:ascii="宋体" w:cs="宋体"/>
                <w:sz w:val="24"/>
                <w:szCs w:val="24"/>
              </w:rPr>
            </w:pPr>
            <w:r>
              <w:rPr>
                <w:rFonts w:hint="eastAsia" w:ascii="宋体" w:hAnsi="宋体" w:cs="宋体"/>
                <w:sz w:val="24"/>
                <w:szCs w:val="24"/>
              </w:rPr>
              <w:t>联系人</w:t>
            </w:r>
          </w:p>
        </w:tc>
        <w:tc>
          <w:tcPr>
            <w:tcW w:w="2308" w:type="dxa"/>
            <w:gridSpan w:val="3"/>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传真</w:t>
            </w:r>
          </w:p>
        </w:tc>
        <w:tc>
          <w:tcPr>
            <w:tcW w:w="2408" w:type="dxa"/>
            <w:gridSpan w:val="3"/>
          </w:tcPr>
          <w:p>
            <w:pPr>
              <w:tabs>
                <w:tab w:val="left" w:pos="993"/>
              </w:tabs>
              <w:spacing w:line="520" w:lineRule="exact"/>
              <w:rPr>
                <w:rFonts w:ascii="宋体" w:cs="宋体"/>
                <w:sz w:val="24"/>
                <w:szCs w:val="24"/>
              </w:rPr>
            </w:pPr>
          </w:p>
        </w:tc>
        <w:tc>
          <w:tcPr>
            <w:tcW w:w="1875" w:type="dxa"/>
            <w:gridSpan w:val="2"/>
          </w:tcPr>
          <w:p>
            <w:pPr>
              <w:tabs>
                <w:tab w:val="left" w:pos="993"/>
              </w:tabs>
              <w:spacing w:line="520" w:lineRule="exact"/>
              <w:rPr>
                <w:rFonts w:ascii="宋体" w:cs="宋体"/>
                <w:sz w:val="24"/>
                <w:szCs w:val="24"/>
              </w:rPr>
            </w:pPr>
            <w:r>
              <w:rPr>
                <w:rFonts w:hint="eastAsia" w:ascii="宋体" w:hAnsi="宋体" w:cs="宋体"/>
                <w:sz w:val="24"/>
                <w:szCs w:val="24"/>
              </w:rPr>
              <w:t>电子邮件</w:t>
            </w:r>
          </w:p>
        </w:tc>
        <w:tc>
          <w:tcPr>
            <w:tcW w:w="2308" w:type="dxa"/>
            <w:gridSpan w:val="3"/>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注册地</w:t>
            </w:r>
          </w:p>
        </w:tc>
        <w:tc>
          <w:tcPr>
            <w:tcW w:w="2408" w:type="dxa"/>
            <w:gridSpan w:val="3"/>
          </w:tcPr>
          <w:p>
            <w:pPr>
              <w:tabs>
                <w:tab w:val="left" w:pos="993"/>
              </w:tabs>
              <w:spacing w:line="520" w:lineRule="exact"/>
              <w:rPr>
                <w:rFonts w:ascii="宋体" w:cs="宋体"/>
                <w:sz w:val="24"/>
                <w:szCs w:val="24"/>
              </w:rPr>
            </w:pPr>
          </w:p>
        </w:tc>
        <w:tc>
          <w:tcPr>
            <w:tcW w:w="1875" w:type="dxa"/>
            <w:gridSpan w:val="2"/>
          </w:tcPr>
          <w:p>
            <w:pPr>
              <w:tabs>
                <w:tab w:val="left" w:pos="993"/>
              </w:tabs>
              <w:spacing w:line="520" w:lineRule="exact"/>
              <w:rPr>
                <w:rFonts w:ascii="宋体" w:cs="宋体"/>
                <w:sz w:val="24"/>
                <w:szCs w:val="24"/>
              </w:rPr>
            </w:pPr>
            <w:r>
              <w:rPr>
                <w:rFonts w:hint="eastAsia" w:ascii="宋体" w:hAnsi="宋体" w:cs="宋体"/>
                <w:sz w:val="24"/>
                <w:szCs w:val="24"/>
              </w:rPr>
              <w:t>注册年份</w:t>
            </w:r>
          </w:p>
        </w:tc>
        <w:tc>
          <w:tcPr>
            <w:tcW w:w="2308" w:type="dxa"/>
            <w:gridSpan w:val="3"/>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资质等级</w:t>
            </w:r>
          </w:p>
        </w:tc>
        <w:tc>
          <w:tcPr>
            <w:tcW w:w="6591" w:type="dxa"/>
            <w:gridSpan w:val="8"/>
          </w:tcPr>
          <w:p>
            <w:pPr>
              <w:tabs>
                <w:tab w:val="left" w:pos="993"/>
              </w:tabs>
              <w:spacing w:line="520" w:lineRule="exact"/>
              <w:rPr>
                <w:rFonts w:ascii="宋体" w:cs="宋体"/>
                <w:sz w:val="24"/>
                <w:szCs w:val="24"/>
              </w:rPr>
            </w:pPr>
            <w:r>
              <w:rPr>
                <w:rFonts w:hint="eastAsia" w:ascii="宋体" w:hAnsi="宋体" w:cs="宋体"/>
                <w:sz w:val="24"/>
                <w:szCs w:val="24"/>
              </w:rPr>
              <w:t>公司具备的相关资质等级及相应的证书号</w:t>
            </w:r>
          </w:p>
          <w:p>
            <w:pPr>
              <w:tabs>
                <w:tab w:val="left" w:pos="993"/>
              </w:tabs>
              <w:spacing w:line="520" w:lineRule="exact"/>
              <w:rPr>
                <w:rFonts w:ascii="宋体" w:cs="宋体"/>
                <w:sz w:val="24"/>
                <w:szCs w:val="24"/>
              </w:rPr>
            </w:pPr>
            <w:r>
              <w:rPr>
                <w:rFonts w:hint="eastAsia" w:ascii="宋体" w:hAnsi="宋体" w:cs="宋体"/>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质量管理体系</w:t>
            </w:r>
          </w:p>
        </w:tc>
        <w:tc>
          <w:tcPr>
            <w:tcW w:w="6591" w:type="dxa"/>
            <w:gridSpan w:val="8"/>
          </w:tcPr>
          <w:p>
            <w:pPr>
              <w:tabs>
                <w:tab w:val="left" w:pos="993"/>
              </w:tabs>
              <w:spacing w:line="520" w:lineRule="exact"/>
              <w:rPr>
                <w:rFonts w:ascii="宋体" w:cs="宋体"/>
                <w:sz w:val="24"/>
                <w:szCs w:val="24"/>
              </w:rPr>
            </w:pPr>
            <w:r>
              <w:rPr>
                <w:rFonts w:hint="eastAsia" w:ascii="宋体" w:hAnsi="宋体" w:cs="宋体"/>
                <w:sz w:val="24"/>
                <w:szCs w:val="24"/>
              </w:rPr>
              <w:t>公司</w:t>
            </w:r>
            <w:r>
              <w:rPr>
                <w:rFonts w:hint="eastAsia" w:ascii="宋体" w:hAnsi="宋体" w:cs="宋体"/>
                <w:sz w:val="24"/>
                <w:szCs w:val="24"/>
                <w:u w:val="single"/>
              </w:rPr>
              <w:t>（是否通过，何种）</w:t>
            </w:r>
            <w:r>
              <w:rPr>
                <w:rFonts w:hint="eastAsia" w:ascii="宋体" w:hAnsi="宋体" w:cs="宋体"/>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项目负责人</w:t>
            </w:r>
          </w:p>
        </w:tc>
        <w:tc>
          <w:tcPr>
            <w:tcW w:w="1559" w:type="dxa"/>
            <w:gridSpan w:val="2"/>
          </w:tcPr>
          <w:p>
            <w:pPr>
              <w:tabs>
                <w:tab w:val="left" w:pos="993"/>
              </w:tabs>
              <w:spacing w:line="520" w:lineRule="exact"/>
              <w:jc w:val="center"/>
              <w:rPr>
                <w:rFonts w:ascii="宋体" w:cs="宋体"/>
                <w:sz w:val="24"/>
                <w:szCs w:val="24"/>
              </w:rPr>
            </w:pPr>
          </w:p>
        </w:tc>
        <w:tc>
          <w:tcPr>
            <w:tcW w:w="1417" w:type="dxa"/>
            <w:gridSpan w:val="2"/>
          </w:tcPr>
          <w:p>
            <w:pPr>
              <w:tabs>
                <w:tab w:val="left" w:pos="993"/>
              </w:tabs>
              <w:spacing w:line="520" w:lineRule="exact"/>
              <w:jc w:val="center"/>
              <w:rPr>
                <w:rFonts w:ascii="宋体" w:cs="宋体"/>
                <w:sz w:val="24"/>
                <w:szCs w:val="24"/>
              </w:rPr>
            </w:pPr>
            <w:r>
              <w:rPr>
                <w:rFonts w:hint="eastAsia" w:ascii="宋体" w:hAnsi="宋体" w:cs="宋体"/>
                <w:sz w:val="24"/>
                <w:szCs w:val="24"/>
              </w:rPr>
              <w:t>年龄</w:t>
            </w:r>
          </w:p>
        </w:tc>
        <w:tc>
          <w:tcPr>
            <w:tcW w:w="1466" w:type="dxa"/>
            <w:gridSpan w:val="2"/>
          </w:tcPr>
          <w:p>
            <w:pPr>
              <w:tabs>
                <w:tab w:val="left" w:pos="993"/>
              </w:tabs>
              <w:spacing w:line="520" w:lineRule="exact"/>
              <w:jc w:val="center"/>
              <w:rPr>
                <w:rFonts w:ascii="宋体" w:cs="宋体"/>
                <w:sz w:val="24"/>
                <w:szCs w:val="24"/>
              </w:rPr>
            </w:pPr>
          </w:p>
        </w:tc>
        <w:tc>
          <w:tcPr>
            <w:tcW w:w="1320" w:type="dxa"/>
          </w:tcPr>
          <w:p>
            <w:pPr>
              <w:tabs>
                <w:tab w:val="left" w:pos="993"/>
              </w:tabs>
              <w:spacing w:line="520" w:lineRule="exact"/>
              <w:jc w:val="center"/>
              <w:rPr>
                <w:rFonts w:ascii="宋体" w:cs="宋体"/>
                <w:sz w:val="24"/>
                <w:szCs w:val="24"/>
              </w:rPr>
            </w:pPr>
            <w:r>
              <w:rPr>
                <w:rFonts w:hint="eastAsia" w:ascii="宋体" w:hAnsi="宋体" w:cs="宋体"/>
                <w:sz w:val="24"/>
                <w:szCs w:val="24"/>
              </w:rPr>
              <w:t>性别</w:t>
            </w:r>
          </w:p>
        </w:tc>
        <w:tc>
          <w:tcPr>
            <w:tcW w:w="829" w:type="dxa"/>
          </w:tcPr>
          <w:p>
            <w:pPr>
              <w:tabs>
                <w:tab w:val="left" w:pos="993"/>
              </w:tabs>
              <w:spacing w:line="52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职务职称</w:t>
            </w:r>
          </w:p>
        </w:tc>
        <w:tc>
          <w:tcPr>
            <w:tcW w:w="2976" w:type="dxa"/>
            <w:gridSpan w:val="4"/>
          </w:tcPr>
          <w:p>
            <w:pPr>
              <w:tabs>
                <w:tab w:val="left" w:pos="993"/>
              </w:tabs>
              <w:spacing w:line="520" w:lineRule="exact"/>
              <w:rPr>
                <w:rFonts w:ascii="宋体" w:cs="宋体"/>
                <w:sz w:val="24"/>
                <w:szCs w:val="24"/>
              </w:rPr>
            </w:pPr>
          </w:p>
        </w:tc>
        <w:tc>
          <w:tcPr>
            <w:tcW w:w="1466" w:type="dxa"/>
            <w:gridSpan w:val="2"/>
          </w:tcPr>
          <w:p>
            <w:pPr>
              <w:tabs>
                <w:tab w:val="left" w:pos="993"/>
              </w:tabs>
              <w:spacing w:line="520" w:lineRule="exact"/>
              <w:rPr>
                <w:rFonts w:ascii="宋体" w:cs="宋体"/>
                <w:sz w:val="24"/>
                <w:szCs w:val="24"/>
              </w:rPr>
            </w:pPr>
            <w:r>
              <w:rPr>
                <w:rFonts w:hint="eastAsia" w:ascii="宋体" w:hAnsi="宋体" w:cs="宋体"/>
                <w:sz w:val="24"/>
                <w:szCs w:val="24"/>
              </w:rPr>
              <w:t>执业资格</w:t>
            </w:r>
          </w:p>
        </w:tc>
        <w:tc>
          <w:tcPr>
            <w:tcW w:w="2149" w:type="dxa"/>
            <w:gridSpan w:val="2"/>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pPr>
              <w:tabs>
                <w:tab w:val="left" w:pos="993"/>
              </w:tabs>
              <w:spacing w:line="520" w:lineRule="exact"/>
              <w:jc w:val="center"/>
              <w:rPr>
                <w:rFonts w:ascii="宋体" w:cs="宋体"/>
                <w:sz w:val="24"/>
                <w:szCs w:val="24"/>
              </w:rPr>
            </w:pPr>
            <w:r>
              <w:rPr>
                <w:rFonts w:hint="eastAsia" w:ascii="宋体" w:hAnsi="宋体" w:cs="宋体"/>
                <w:sz w:val="24"/>
                <w:szCs w:val="24"/>
              </w:rPr>
              <w:t>经营范围</w:t>
            </w:r>
          </w:p>
        </w:tc>
        <w:tc>
          <w:tcPr>
            <w:tcW w:w="6591" w:type="dxa"/>
            <w:gridSpan w:val="8"/>
          </w:tcPr>
          <w:p>
            <w:pPr>
              <w:tabs>
                <w:tab w:val="left" w:pos="993"/>
              </w:tabs>
              <w:spacing w:line="520" w:lineRule="exact"/>
              <w:rPr>
                <w:rFonts w:ascii="宋体" w:cs="宋体"/>
                <w:sz w:val="24"/>
                <w:szCs w:val="24"/>
              </w:rPr>
            </w:pPr>
            <w:r>
              <w:rPr>
                <w:rFonts w:hint="eastAsia" w:ascii="宋体" w:hAnsi="宋体" w:cs="宋体"/>
                <w:sz w:val="24"/>
                <w:szCs w:val="24"/>
              </w:rPr>
              <w:t>营业执照载明：</w:t>
            </w:r>
          </w:p>
          <w:p>
            <w:pPr>
              <w:tabs>
                <w:tab w:val="left" w:pos="993"/>
              </w:tabs>
              <w:spacing w:line="520" w:lineRule="exact"/>
              <w:rPr>
                <w:rFonts w:ascii="宋体" w:cs="宋体"/>
                <w:sz w:val="24"/>
                <w:szCs w:val="24"/>
                <w:u w:val="single"/>
              </w:rPr>
            </w:pPr>
            <w:r>
              <w:rPr>
                <w:rFonts w:ascii="宋体" w:hAnsi="宋体" w:cs="宋体"/>
                <w:sz w:val="24"/>
                <w:szCs w:val="24"/>
              </w:rPr>
              <w:t>1.</w:t>
            </w:r>
          </w:p>
          <w:p>
            <w:pPr>
              <w:tabs>
                <w:tab w:val="left" w:pos="993"/>
              </w:tabs>
              <w:spacing w:line="520" w:lineRule="exact"/>
              <w:rPr>
                <w:rFonts w:ascii="宋体" w:cs="宋体"/>
                <w:sz w:val="24"/>
                <w:szCs w:val="24"/>
                <w:u w:val="single"/>
              </w:rPr>
            </w:pPr>
            <w:r>
              <w:rPr>
                <w:rFonts w:ascii="宋体" w:hAnsi="宋体" w:cs="宋体"/>
                <w:sz w:val="24"/>
                <w:szCs w:val="24"/>
              </w:rPr>
              <w:t>2.</w:t>
            </w:r>
          </w:p>
          <w:p>
            <w:pPr>
              <w:tabs>
                <w:tab w:val="left" w:pos="993"/>
              </w:tabs>
              <w:spacing w:line="520" w:lineRule="exact"/>
              <w:rPr>
                <w:rFonts w:ascii="宋体" w:cs="宋体"/>
                <w:sz w:val="24"/>
                <w:szCs w:val="24"/>
                <w:u w:val="single"/>
              </w:rPr>
            </w:pPr>
            <w:r>
              <w:rPr>
                <w:rFonts w:ascii="宋体" w:hAnsi="宋体" w:cs="宋体"/>
                <w:sz w:val="24"/>
                <w:szCs w:val="24"/>
              </w:rPr>
              <w:t>3.</w:t>
            </w:r>
          </w:p>
          <w:p>
            <w:pPr>
              <w:tabs>
                <w:tab w:val="left" w:pos="993"/>
              </w:tabs>
              <w:spacing w:line="520" w:lineRule="exact"/>
              <w:rPr>
                <w:rFonts w:asci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sz w:val="24"/>
                <w:szCs w:val="24"/>
              </w:rPr>
            </w:pPr>
            <w:r>
              <w:rPr>
                <w:rFonts w:hint="eastAsia" w:ascii="宋体" w:hAnsi="宋体" w:cs="宋体"/>
                <w:sz w:val="24"/>
                <w:szCs w:val="24"/>
              </w:rPr>
              <w:t>从事类似相关项目的经历及年数</w:t>
            </w:r>
          </w:p>
        </w:tc>
        <w:tc>
          <w:tcPr>
            <w:tcW w:w="5883" w:type="dxa"/>
            <w:gridSpan w:val="7"/>
          </w:tcPr>
          <w:p>
            <w:pPr>
              <w:tabs>
                <w:tab w:val="left" w:pos="993"/>
              </w:tabs>
              <w:spacing w:line="52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sz w:val="24"/>
                <w:szCs w:val="24"/>
              </w:rPr>
            </w:pPr>
            <w:r>
              <w:rPr>
                <w:rFonts w:hint="eastAsia" w:ascii="宋体" w:hAnsi="宋体" w:cs="宋体"/>
                <w:sz w:val="24"/>
                <w:szCs w:val="24"/>
              </w:rPr>
              <w:t>其他认为有必要提供的内容，可自行添加</w:t>
            </w:r>
          </w:p>
        </w:tc>
        <w:tc>
          <w:tcPr>
            <w:tcW w:w="5883" w:type="dxa"/>
            <w:gridSpan w:val="7"/>
          </w:tcPr>
          <w:p>
            <w:pPr>
              <w:tabs>
                <w:tab w:val="left" w:pos="993"/>
              </w:tabs>
              <w:spacing w:line="520" w:lineRule="exact"/>
              <w:rPr>
                <w:rFonts w:ascii="宋体" w:cs="宋体"/>
                <w:sz w:val="24"/>
                <w:szCs w:val="24"/>
              </w:rPr>
            </w:pPr>
          </w:p>
        </w:tc>
      </w:tr>
    </w:tbl>
    <w:p>
      <w:pPr>
        <w:snapToGrid w:val="0"/>
        <w:spacing w:line="520" w:lineRule="exact"/>
        <w:rPr>
          <w:rFonts w:ascii="宋体" w:cs="宋体"/>
          <w:bCs/>
          <w:sz w:val="24"/>
          <w:szCs w:val="24"/>
        </w:rPr>
      </w:pPr>
      <w:r>
        <w:rPr>
          <w:rFonts w:hint="eastAsia" w:ascii="宋体" w:hAnsi="宋体" w:cs="宋体"/>
          <w:sz w:val="24"/>
          <w:szCs w:val="24"/>
        </w:rPr>
        <w:t>竞争性磋商响应单位</w:t>
      </w:r>
      <w:r>
        <w:rPr>
          <w:rFonts w:hint="eastAsia" w:ascii="宋体" w:hAnsi="宋体" w:cs="宋体"/>
          <w:bCs/>
          <w:sz w:val="24"/>
          <w:szCs w:val="24"/>
        </w:rPr>
        <w:t>：（盖章）</w:t>
      </w:r>
    </w:p>
    <w:p>
      <w:pPr>
        <w:snapToGrid w:val="0"/>
        <w:spacing w:line="520" w:lineRule="exact"/>
        <w:rPr>
          <w:rFonts w:ascii="宋体" w:cs="宋体"/>
          <w:bCs/>
          <w:sz w:val="24"/>
          <w:szCs w:val="24"/>
        </w:rPr>
      </w:pPr>
      <w:r>
        <w:rPr>
          <w:rFonts w:hint="eastAsia" w:ascii="宋体" w:hAnsi="宋体" w:cs="宋体"/>
          <w:bCs/>
          <w:sz w:val="24"/>
          <w:szCs w:val="24"/>
        </w:rPr>
        <w:t>法定代表人或被授权人（签字或盖章）：</w:t>
      </w:r>
    </w:p>
    <w:p>
      <w:pPr>
        <w:snapToGrid w:val="0"/>
        <w:spacing w:line="520" w:lineRule="exact"/>
        <w:jc w:val="right"/>
        <w:outlineLvl w:val="3"/>
        <w:rPr>
          <w:rFonts w:ascii="宋体" w:cs="宋体"/>
          <w:sz w:val="24"/>
          <w:szCs w:val="24"/>
        </w:rPr>
      </w:pPr>
      <w:r>
        <w:rPr>
          <w:rFonts w:hint="eastAsia" w:ascii="宋体" w:hAnsi="宋体" w:cs="宋体"/>
          <w:sz w:val="24"/>
          <w:szCs w:val="24"/>
        </w:rPr>
        <w:t>年月日</w:t>
      </w:r>
    </w:p>
    <w:p>
      <w:pPr>
        <w:pStyle w:val="51"/>
        <w:spacing w:line="360" w:lineRule="auto"/>
        <w:ind w:firstLine="480" w:firstLineChars="0"/>
        <w:jc w:val="center"/>
        <w:rPr>
          <w:rFonts w:ascii="宋体" w:cs="宋体"/>
          <w:b/>
          <w:szCs w:val="24"/>
        </w:rPr>
      </w:pPr>
      <w:r>
        <w:rPr>
          <w:szCs w:val="24"/>
        </w:rPr>
        <w:br w:type="page"/>
      </w:r>
      <w:r>
        <w:rPr>
          <w:szCs w:val="24"/>
        </w:rPr>
        <w:t>7</w:t>
      </w:r>
      <w:r>
        <w:rPr>
          <w:rFonts w:hint="eastAsia" w:ascii="宋体" w:hAnsi="宋体" w:cs="宋体"/>
          <w:b/>
          <w:szCs w:val="24"/>
        </w:rPr>
        <w:t>、磋商响应报价总表</w:t>
      </w:r>
    </w:p>
    <w:tbl>
      <w:tblPr>
        <w:tblStyle w:val="52"/>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756" w:type="dxa"/>
            <w:vAlign w:val="center"/>
          </w:tcPr>
          <w:p>
            <w:pPr>
              <w:spacing w:line="480" w:lineRule="exact"/>
              <w:jc w:val="center"/>
              <w:rPr>
                <w:rFonts w:ascii="宋体" w:cs="宋体"/>
                <w:sz w:val="24"/>
                <w:szCs w:val="24"/>
              </w:rPr>
            </w:pPr>
            <w:r>
              <w:rPr>
                <w:rFonts w:hint="eastAsia" w:ascii="宋体" w:hAnsi="宋体" w:cs="宋体"/>
                <w:sz w:val="24"/>
                <w:szCs w:val="24"/>
              </w:rPr>
              <w:t>项目名称</w:t>
            </w:r>
          </w:p>
        </w:tc>
        <w:tc>
          <w:tcPr>
            <w:tcW w:w="6843" w:type="dxa"/>
            <w:vAlign w:val="center"/>
          </w:tcPr>
          <w:p>
            <w:pPr>
              <w:spacing w:line="48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756" w:type="dxa"/>
            <w:vAlign w:val="center"/>
          </w:tcPr>
          <w:p>
            <w:pPr>
              <w:spacing w:line="480" w:lineRule="exact"/>
              <w:jc w:val="center"/>
              <w:rPr>
                <w:rFonts w:ascii="宋体" w:hAnsi="宋体"/>
                <w:sz w:val="24"/>
                <w:szCs w:val="24"/>
              </w:rPr>
            </w:pPr>
            <w:r>
              <w:rPr>
                <w:rFonts w:ascii="宋体" w:hAnsi="宋体"/>
                <w:sz w:val="24"/>
                <w:szCs w:val="24"/>
              </w:rPr>
              <w:t>磋商报价（首次）</w:t>
            </w:r>
          </w:p>
        </w:tc>
        <w:tc>
          <w:tcPr>
            <w:tcW w:w="6843" w:type="dxa"/>
            <w:vAlign w:val="center"/>
          </w:tcPr>
          <w:p>
            <w:pPr>
              <w:spacing w:line="480" w:lineRule="exact"/>
              <w:jc w:val="left"/>
              <w:rPr>
                <w:rFonts w:ascii="宋体" w:hAnsi="宋体"/>
                <w:sz w:val="24"/>
                <w:szCs w:val="24"/>
              </w:rPr>
            </w:pPr>
            <w:r>
              <w:rPr>
                <w:rFonts w:hint="eastAsia" w:ascii="宋体" w:hAnsi="宋体"/>
                <w:sz w:val="24"/>
                <w:szCs w:val="24"/>
              </w:rPr>
              <w:t>小写：</w:t>
            </w:r>
          </w:p>
          <w:p>
            <w:pPr>
              <w:spacing w:line="480" w:lineRule="exact"/>
              <w:jc w:val="left"/>
              <w:rPr>
                <w:rFonts w:ascii="宋体" w:hAnsi="宋体"/>
                <w:sz w:val="24"/>
                <w:szCs w:val="24"/>
              </w:rPr>
            </w:pPr>
            <w:r>
              <w:rPr>
                <w:rFonts w:hint="eastAsia" w:ascii="宋体" w:hAnsi="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756" w:type="dxa"/>
            <w:vAlign w:val="center"/>
          </w:tcPr>
          <w:p>
            <w:pPr>
              <w:spacing w:line="480" w:lineRule="exact"/>
              <w:jc w:val="center"/>
              <w:rPr>
                <w:rFonts w:ascii="宋体" w:hAnsi="宋体"/>
                <w:sz w:val="24"/>
                <w:szCs w:val="24"/>
              </w:rPr>
            </w:pPr>
            <w:r>
              <w:rPr>
                <w:rFonts w:ascii="宋体" w:hAnsi="宋体"/>
                <w:sz w:val="24"/>
                <w:szCs w:val="24"/>
              </w:rPr>
              <w:t>磋商报价（</w:t>
            </w:r>
            <w:r>
              <w:rPr>
                <w:rFonts w:hint="eastAsia" w:ascii="宋体" w:hAnsi="宋体"/>
                <w:sz w:val="24"/>
                <w:szCs w:val="24"/>
              </w:rPr>
              <w:t>最终</w:t>
            </w:r>
            <w:r>
              <w:rPr>
                <w:rFonts w:ascii="宋体" w:hAnsi="宋体"/>
                <w:sz w:val="24"/>
                <w:szCs w:val="24"/>
              </w:rPr>
              <w:t>）</w:t>
            </w:r>
          </w:p>
        </w:tc>
        <w:tc>
          <w:tcPr>
            <w:tcW w:w="6843" w:type="dxa"/>
            <w:vAlign w:val="center"/>
          </w:tcPr>
          <w:p>
            <w:pPr>
              <w:spacing w:line="480" w:lineRule="exact"/>
              <w:jc w:val="left"/>
              <w:rPr>
                <w:rFonts w:ascii="宋体" w:hAnsi="宋体"/>
                <w:sz w:val="24"/>
                <w:szCs w:val="24"/>
              </w:rPr>
            </w:pPr>
            <w:r>
              <w:rPr>
                <w:rFonts w:hint="eastAsia" w:ascii="宋体" w:hAnsi="宋体"/>
                <w:sz w:val="24"/>
                <w:szCs w:val="24"/>
              </w:rPr>
              <w:t>小写：</w:t>
            </w:r>
          </w:p>
          <w:p>
            <w:pPr>
              <w:spacing w:line="480" w:lineRule="exact"/>
              <w:rPr>
                <w:rFonts w:ascii="宋体" w:hAnsi="宋体"/>
                <w:sz w:val="24"/>
                <w:szCs w:val="24"/>
              </w:rPr>
            </w:pPr>
            <w:r>
              <w:rPr>
                <w:rFonts w:hint="eastAsia" w:ascii="宋体" w:hAnsi="宋体"/>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756" w:type="dxa"/>
            <w:vAlign w:val="center"/>
          </w:tcPr>
          <w:p>
            <w:pPr>
              <w:spacing w:line="480" w:lineRule="exact"/>
              <w:jc w:val="center"/>
              <w:rPr>
                <w:rFonts w:ascii="宋体" w:hAnsi="宋体"/>
                <w:sz w:val="24"/>
                <w:szCs w:val="24"/>
              </w:rPr>
            </w:pPr>
            <w:r>
              <w:rPr>
                <w:rFonts w:ascii="宋体" w:hAnsi="宋体"/>
                <w:sz w:val="24"/>
                <w:szCs w:val="24"/>
              </w:rPr>
              <w:t>备注</w:t>
            </w:r>
          </w:p>
        </w:tc>
        <w:tc>
          <w:tcPr>
            <w:tcW w:w="6843" w:type="dxa"/>
            <w:vAlign w:val="center"/>
          </w:tcPr>
          <w:p>
            <w:pPr>
              <w:spacing w:line="480" w:lineRule="exact"/>
              <w:ind w:left="2880" w:hanging="2880" w:hangingChars="1200"/>
              <w:jc w:val="center"/>
              <w:rPr>
                <w:rFonts w:ascii="宋体" w:hAnsi="宋体"/>
                <w:sz w:val="24"/>
                <w:szCs w:val="24"/>
              </w:rPr>
            </w:pPr>
          </w:p>
        </w:tc>
      </w:tr>
    </w:tbl>
    <w:p>
      <w:pPr>
        <w:pStyle w:val="51"/>
        <w:ind w:firstLine="0" w:firstLineChars="0"/>
        <w:rPr>
          <w:szCs w:val="24"/>
        </w:rPr>
      </w:pPr>
    </w:p>
    <w:p>
      <w:pPr>
        <w:pStyle w:val="112"/>
        <w:spacing w:line="480" w:lineRule="exact"/>
        <w:rPr>
          <w:rFonts w:ascii="Times New Roman" w:hAnsi="宋体" w:cs="宋体"/>
          <w:sz w:val="24"/>
        </w:rPr>
      </w:pPr>
      <w:r>
        <w:rPr>
          <w:rFonts w:hint="eastAsia" w:hAnsi="宋体" w:cs="宋体"/>
          <w:sz w:val="24"/>
        </w:rPr>
        <w:t>注：</w:t>
      </w:r>
      <w:r>
        <w:rPr>
          <w:rFonts w:hint="eastAsia" w:ascii="Times New Roman" w:hAnsi="宋体" w:cs="宋体"/>
          <w:sz w:val="24"/>
        </w:rPr>
        <w:t>1、本表式，不得自行改动。</w:t>
      </w:r>
    </w:p>
    <w:p>
      <w:pPr>
        <w:pStyle w:val="112"/>
        <w:spacing w:line="480" w:lineRule="exact"/>
        <w:ind w:firstLine="472" w:firstLineChars="196"/>
        <w:rPr>
          <w:rFonts w:hAnsi="宋体" w:cs="宋体"/>
          <w:b/>
          <w:sz w:val="24"/>
        </w:rPr>
      </w:pPr>
      <w:r>
        <w:rPr>
          <w:rFonts w:hint="eastAsia" w:hAnsi="宋体" w:cs="宋体"/>
          <w:b/>
          <w:sz w:val="24"/>
        </w:rPr>
        <w:t>2、最终</w:t>
      </w:r>
      <w:r>
        <w:rPr>
          <w:rFonts w:hAnsi="宋体" w:cs="宋体"/>
          <w:b/>
          <w:sz w:val="24"/>
        </w:rPr>
        <w:t>报价将在开标现场填写</w:t>
      </w:r>
      <w:r>
        <w:rPr>
          <w:rFonts w:hint="eastAsia" w:hAnsi="宋体" w:cs="宋体"/>
          <w:b/>
          <w:sz w:val="24"/>
        </w:rPr>
        <w:t>。</w:t>
      </w:r>
    </w:p>
    <w:p>
      <w:pPr>
        <w:spacing w:line="360" w:lineRule="auto"/>
        <w:ind w:firstLine="480" w:firstLineChars="200"/>
        <w:rPr>
          <w:rFonts w:ascii="宋体"/>
          <w:sz w:val="24"/>
          <w:szCs w:val="24"/>
        </w:rPr>
      </w:pPr>
    </w:p>
    <w:p>
      <w:pPr>
        <w:pStyle w:val="112"/>
        <w:tabs>
          <w:tab w:val="left" w:pos="5665"/>
          <w:tab w:val="right" w:pos="8360"/>
        </w:tabs>
        <w:spacing w:line="360" w:lineRule="auto"/>
        <w:ind w:right="42" w:firstLine="1560" w:firstLineChars="650"/>
        <w:rPr>
          <w:rFonts w:hAnsi="宋体" w:cs="宋体"/>
          <w:sz w:val="24"/>
        </w:rPr>
      </w:pPr>
    </w:p>
    <w:p>
      <w:pPr>
        <w:pStyle w:val="112"/>
        <w:tabs>
          <w:tab w:val="left" w:pos="5665"/>
          <w:tab w:val="right" w:pos="8360"/>
        </w:tabs>
        <w:spacing w:line="360" w:lineRule="auto"/>
        <w:ind w:right="42"/>
        <w:jc w:val="left"/>
        <w:rPr>
          <w:rFonts w:hAnsi="宋体" w:cs="宋体"/>
          <w:sz w:val="24"/>
          <w:u w:val="single"/>
        </w:rPr>
      </w:pPr>
      <w:r>
        <w:rPr>
          <w:rFonts w:hint="eastAsia" w:hAnsi="宋体" w:cs="宋体"/>
          <w:sz w:val="24"/>
        </w:rPr>
        <w:t>竞争性磋商响应单位：</w:t>
      </w:r>
    </w:p>
    <w:p>
      <w:pPr>
        <w:pStyle w:val="112"/>
        <w:tabs>
          <w:tab w:val="left" w:pos="5665"/>
          <w:tab w:val="right" w:pos="8360"/>
        </w:tabs>
        <w:spacing w:line="360" w:lineRule="auto"/>
        <w:ind w:right="42"/>
        <w:rPr>
          <w:rFonts w:hAnsi="宋体" w:cs="宋体"/>
          <w:sz w:val="24"/>
          <w:u w:val="single"/>
        </w:rPr>
      </w:pPr>
      <w:r>
        <w:rPr>
          <w:rFonts w:hint="eastAsia" w:hAnsi="宋体" w:cs="宋体"/>
          <w:sz w:val="24"/>
        </w:rPr>
        <w:t>法定代表人或</w:t>
      </w:r>
      <w:r>
        <w:rPr>
          <w:rFonts w:hint="eastAsia" w:hAnsi="宋体" w:cs="仿宋_GB2312"/>
          <w:sz w:val="24"/>
        </w:rPr>
        <w:t>被授权人（签字）</w:t>
      </w:r>
      <w:r>
        <w:rPr>
          <w:rFonts w:hint="eastAsia" w:hAnsi="宋体" w:cs="宋体"/>
          <w:sz w:val="24"/>
        </w:rPr>
        <w:t>：</w:t>
      </w:r>
    </w:p>
    <w:p>
      <w:pPr>
        <w:pStyle w:val="112"/>
        <w:tabs>
          <w:tab w:val="left" w:pos="5665"/>
          <w:tab w:val="right" w:pos="8360"/>
        </w:tabs>
        <w:spacing w:line="360" w:lineRule="auto"/>
        <w:ind w:right="42"/>
        <w:jc w:val="right"/>
        <w:rPr>
          <w:rFonts w:hAnsi="宋体" w:cs="宋体"/>
          <w:sz w:val="24"/>
        </w:rPr>
      </w:pPr>
      <w:r>
        <w:rPr>
          <w:rFonts w:hint="eastAsia" w:hAnsi="宋体" w:cs="宋体"/>
          <w:sz w:val="24"/>
        </w:rPr>
        <w:t>年月日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480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11</w:t>
                          </w:r>
                          <w:r>
                            <w:rPr>
                              <w:b/>
                              <w:bCs/>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60288;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v2XI9AAAAADAQAADwAAAAAAAAABACAAAAAiAAAAZHJz&#10;L2Rvd25yZXYueG1sUEsBAhQAFAAAAAgAh07iQJsRnPLTAQAApQMAAA4AAAAAAAAAAQAgAAAAHwEA&#10;AGRycy9lMm9Eb2MueG1sUEsFBgAAAAAGAAYAWQEAAGQ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11</w:t>
                    </w:r>
                    <w:r>
                      <w:rPr>
                        <w:b/>
                        <w:bCs/>
                      </w:rPr>
                      <w:fldChar w:fldCharType="end"/>
                    </w:r>
                  </w:p>
                </w:txbxContent>
              </v:textbox>
            </v:shape>
          </w:pict>
        </mc:Fallback>
      </mc:AlternateContent>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a:effectLst/>
                    </wps:spPr>
                    <wps:txbx>
                      <w:txbxContent>
                        <w:p>
                          <w:pPr>
                            <w:pStyle w:val="31"/>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xxe3NAAAAADAQAADwAAAAAAAAABACAAAAAiAAAAZHJz&#10;L2Rvd25yZXYueG1sUEsBAhQAFAAAAAgAh07iQDW+qa7TAQAApQMAAA4AAAAAAAAAAQAgAAAAHwEA&#10;AGRycy9lMm9Eb2MueG1sUEsFBgAAAAAGAAYAWQEAAGQFAAAAAA==&#10;">
              <v:fill on="f" focussize="0,0"/>
              <v:stroke on="f"/>
              <v:imagedata o:title=""/>
              <o:lock v:ext="edit" aspectratio="f"/>
              <v:textbox inset="0mm,0mm,0mm,0mm" style="mso-fit-shape-to-text:t;">
                <w:txbxContent>
                  <w:p>
                    <w:pPr>
                      <w:pStyle w:val="31"/>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pPr>
      <w:pStyle w:val="31"/>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844C5"/>
    <w:multiLevelType w:val="singleLevel"/>
    <w:tmpl w:val="C0C844C5"/>
    <w:lvl w:ilvl="0" w:tentative="0">
      <w:start w:val="4"/>
      <w:numFmt w:val="chineseCounting"/>
      <w:suff w:val="space"/>
      <w:lvlText w:val="第%1章"/>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4"/>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GNiMTg5MGUwYjYzYTgyNWFjMjg5NTY4NmRjNmEifQ=="/>
  </w:docVars>
  <w:rsids>
    <w:rsidRoot w:val="0041796F"/>
    <w:rsid w:val="0025481D"/>
    <w:rsid w:val="00351B28"/>
    <w:rsid w:val="0041796F"/>
    <w:rsid w:val="0088258C"/>
    <w:rsid w:val="00C271CF"/>
    <w:rsid w:val="00C5463A"/>
    <w:rsid w:val="00D37FDE"/>
    <w:rsid w:val="00DD7DF6"/>
    <w:rsid w:val="00E1365A"/>
    <w:rsid w:val="00EC5319"/>
    <w:rsid w:val="1C4210A2"/>
    <w:rsid w:val="270A3AA6"/>
    <w:rsid w:val="2FE34894"/>
    <w:rsid w:val="40803861"/>
    <w:rsid w:val="420B6D8B"/>
    <w:rsid w:val="43540EB8"/>
    <w:rsid w:val="6AEF26F5"/>
    <w:rsid w:val="7A85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3"/>
    <w:qFormat/>
    <w:uiPriority w:val="99"/>
    <w:pPr>
      <w:keepNext/>
      <w:keepLines/>
      <w:adjustRightInd w:val="0"/>
      <w:spacing w:before="340" w:after="330" w:line="578" w:lineRule="atLeast"/>
      <w:textAlignment w:val="baseline"/>
      <w:outlineLvl w:val="0"/>
    </w:pPr>
    <w:rPr>
      <w:b/>
      <w:kern w:val="44"/>
      <w:sz w:val="44"/>
    </w:rPr>
  </w:style>
  <w:style w:type="paragraph" w:styleId="5">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kern w:val="0"/>
      <w:sz w:val="32"/>
    </w:rPr>
  </w:style>
  <w:style w:type="paragraph" w:styleId="6">
    <w:name w:val="heading 3"/>
    <w:basedOn w:val="1"/>
    <w:next w:val="1"/>
    <w:link w:val="65"/>
    <w:qFormat/>
    <w:uiPriority w:val="99"/>
    <w:pPr>
      <w:keepNext/>
      <w:keepLines/>
      <w:adjustRightInd w:val="0"/>
      <w:spacing w:before="260" w:after="260" w:line="416" w:lineRule="atLeast"/>
      <w:textAlignment w:val="baseline"/>
      <w:outlineLvl w:val="2"/>
    </w:pPr>
    <w:rPr>
      <w:b/>
      <w:kern w:val="0"/>
      <w:sz w:val="32"/>
    </w:rPr>
  </w:style>
  <w:style w:type="paragraph" w:styleId="7">
    <w:name w:val="heading 4"/>
    <w:basedOn w:val="1"/>
    <w:next w:val="1"/>
    <w:link w:val="66"/>
    <w:autoRedefine/>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8">
    <w:name w:val="heading 5"/>
    <w:basedOn w:val="1"/>
    <w:next w:val="1"/>
    <w:link w:val="67"/>
    <w:autoRedefine/>
    <w:qFormat/>
    <w:uiPriority w:val="99"/>
    <w:pPr>
      <w:keepNext/>
      <w:keepLines/>
      <w:adjustRightInd w:val="0"/>
      <w:spacing w:before="280" w:after="290" w:line="376" w:lineRule="atLeast"/>
      <w:textAlignment w:val="baseline"/>
      <w:outlineLvl w:val="4"/>
    </w:pPr>
    <w:rPr>
      <w:b/>
      <w:kern w:val="0"/>
      <w:sz w:val="28"/>
    </w:rPr>
  </w:style>
  <w:style w:type="paragraph" w:styleId="9">
    <w:name w:val="heading 6"/>
    <w:basedOn w:val="1"/>
    <w:next w:val="1"/>
    <w:link w:val="68"/>
    <w:autoRedefine/>
    <w:qFormat/>
    <w:uiPriority w:val="99"/>
    <w:pPr>
      <w:keepNext/>
      <w:keepLines/>
      <w:adjustRightInd w:val="0"/>
      <w:spacing w:before="240" w:after="64" w:line="320" w:lineRule="atLeast"/>
      <w:textAlignment w:val="baseline"/>
      <w:outlineLvl w:val="5"/>
    </w:pPr>
    <w:rPr>
      <w:rFonts w:ascii="Arial" w:hAnsi="Arial" w:eastAsia="黑体"/>
      <w:b/>
      <w:kern w:val="0"/>
      <w:sz w:val="24"/>
    </w:rPr>
  </w:style>
  <w:style w:type="paragraph" w:styleId="10">
    <w:name w:val="heading 7"/>
    <w:basedOn w:val="1"/>
    <w:next w:val="1"/>
    <w:link w:val="69"/>
    <w:autoRedefine/>
    <w:qFormat/>
    <w:uiPriority w:val="99"/>
    <w:pPr>
      <w:keepNext/>
      <w:keepLines/>
      <w:adjustRightInd w:val="0"/>
      <w:spacing w:before="240" w:after="64" w:line="320" w:lineRule="atLeast"/>
      <w:textAlignment w:val="baseline"/>
      <w:outlineLvl w:val="6"/>
    </w:pPr>
    <w:rPr>
      <w:b/>
      <w:kern w:val="0"/>
      <w:sz w:val="24"/>
    </w:rPr>
  </w:style>
  <w:style w:type="paragraph" w:styleId="11">
    <w:name w:val="heading 8"/>
    <w:basedOn w:val="1"/>
    <w:next w:val="1"/>
    <w:link w:val="70"/>
    <w:autoRedefine/>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link w:val="71"/>
    <w:autoRedefine/>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2"/>
    <w:autoRedefine/>
    <w:qFormat/>
    <w:uiPriority w:val="99"/>
    <w:rPr>
      <w:sz w:val="24"/>
    </w:rPr>
  </w:style>
  <w:style w:type="paragraph" w:customStyle="1" w:styleId="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sz w:val="18"/>
    </w:rPr>
  </w:style>
  <w:style w:type="paragraph" w:styleId="15">
    <w:name w:val="Normal Indent"/>
    <w:basedOn w:val="1"/>
    <w:link w:val="99"/>
    <w:autoRedefine/>
    <w:qFormat/>
    <w:uiPriority w:val="99"/>
    <w:pPr>
      <w:ind w:firstLine="420"/>
    </w:pPr>
  </w:style>
  <w:style w:type="paragraph" w:styleId="16">
    <w:name w:val="Document Map"/>
    <w:basedOn w:val="1"/>
    <w:link w:val="73"/>
    <w:autoRedefine/>
    <w:semiHidden/>
    <w:qFormat/>
    <w:uiPriority w:val="99"/>
    <w:pPr>
      <w:shd w:val="clear" w:color="auto" w:fill="000080"/>
    </w:pPr>
  </w:style>
  <w:style w:type="paragraph" w:styleId="17">
    <w:name w:val="annotation text"/>
    <w:basedOn w:val="1"/>
    <w:link w:val="74"/>
    <w:autoRedefine/>
    <w:semiHidden/>
    <w:qFormat/>
    <w:uiPriority w:val="99"/>
    <w:pPr>
      <w:jc w:val="left"/>
    </w:pPr>
  </w:style>
  <w:style w:type="paragraph" w:styleId="18">
    <w:name w:val="Body Text Indent"/>
    <w:basedOn w:val="1"/>
    <w:next w:val="19"/>
    <w:link w:val="75"/>
    <w:autoRedefine/>
    <w:qFormat/>
    <w:uiPriority w:val="99"/>
    <w:pPr>
      <w:spacing w:after="156"/>
      <w:ind w:firstLine="480"/>
    </w:pPr>
    <w:rPr>
      <w:sz w:val="24"/>
    </w:rPr>
  </w:style>
  <w:style w:type="paragraph" w:styleId="19">
    <w:name w:val="envelope return"/>
    <w:basedOn w:val="1"/>
    <w:autoRedefine/>
    <w:qFormat/>
    <w:locked/>
    <w:uiPriority w:val="99"/>
    <w:pPr>
      <w:snapToGrid w:val="0"/>
    </w:pPr>
    <w:rPr>
      <w:rFonts w:ascii="Arial" w:hAnsi="Arial"/>
    </w:rPr>
  </w:style>
  <w:style w:type="paragraph" w:styleId="20">
    <w:name w:val="List 2"/>
    <w:basedOn w:val="1"/>
    <w:autoRedefine/>
    <w:qFormat/>
    <w:uiPriority w:val="99"/>
    <w:pPr>
      <w:ind w:left="100" w:leftChars="200" w:hanging="200" w:hangingChars="200"/>
    </w:pPr>
  </w:style>
  <w:style w:type="paragraph" w:styleId="21">
    <w:name w:val="List Continue"/>
    <w:basedOn w:val="1"/>
    <w:autoRedefine/>
    <w:qFormat/>
    <w:uiPriority w:val="99"/>
    <w:pPr>
      <w:spacing w:after="120"/>
      <w:ind w:left="420" w:leftChars="200"/>
    </w:pPr>
  </w:style>
  <w:style w:type="paragraph" w:styleId="22">
    <w:name w:val="Block Text"/>
    <w:basedOn w:val="1"/>
    <w:autoRedefine/>
    <w:qFormat/>
    <w:uiPriority w:val="99"/>
    <w:pPr>
      <w:autoSpaceDE w:val="0"/>
      <w:autoSpaceDN w:val="0"/>
      <w:adjustRightInd w:val="0"/>
      <w:spacing w:line="300" w:lineRule="auto"/>
      <w:ind w:left="29" w:leftChars="12" w:right="6" w:firstLine="560" w:firstLineChars="200"/>
    </w:pPr>
    <w:rPr>
      <w:kern w:val="0"/>
      <w:sz w:val="28"/>
    </w:rPr>
  </w:style>
  <w:style w:type="paragraph" w:styleId="23">
    <w:name w:val="toc 5"/>
    <w:basedOn w:val="1"/>
    <w:next w:val="1"/>
    <w:autoRedefine/>
    <w:semiHidden/>
    <w:qFormat/>
    <w:uiPriority w:val="99"/>
    <w:pPr>
      <w:ind w:left="840"/>
      <w:jc w:val="left"/>
    </w:pPr>
    <w:rPr>
      <w:sz w:val="18"/>
    </w:rPr>
  </w:style>
  <w:style w:type="paragraph" w:styleId="24">
    <w:name w:val="toc 3"/>
    <w:basedOn w:val="1"/>
    <w:next w:val="1"/>
    <w:autoRedefine/>
    <w:semiHidden/>
    <w:qFormat/>
    <w:uiPriority w:val="99"/>
    <w:pPr>
      <w:ind w:left="420"/>
      <w:jc w:val="left"/>
    </w:pPr>
    <w:rPr>
      <w:i/>
      <w:sz w:val="20"/>
    </w:rPr>
  </w:style>
  <w:style w:type="paragraph" w:styleId="25">
    <w:name w:val="Plain Text"/>
    <w:basedOn w:val="1"/>
    <w:link w:val="76"/>
    <w:autoRedefine/>
    <w:qFormat/>
    <w:uiPriority w:val="99"/>
    <w:rPr>
      <w:rFonts w:ascii="宋体" w:hAnsi="Courier New"/>
    </w:rPr>
  </w:style>
  <w:style w:type="paragraph" w:styleId="26">
    <w:name w:val="toc 8"/>
    <w:basedOn w:val="1"/>
    <w:next w:val="1"/>
    <w:autoRedefine/>
    <w:semiHidden/>
    <w:qFormat/>
    <w:uiPriority w:val="99"/>
    <w:pPr>
      <w:ind w:left="1470"/>
      <w:jc w:val="left"/>
    </w:pPr>
    <w:rPr>
      <w:sz w:val="18"/>
    </w:rPr>
  </w:style>
  <w:style w:type="paragraph" w:styleId="27">
    <w:name w:val="Date"/>
    <w:basedOn w:val="1"/>
    <w:next w:val="1"/>
    <w:link w:val="77"/>
    <w:autoRedefine/>
    <w:qFormat/>
    <w:uiPriority w:val="99"/>
    <w:pPr>
      <w:widowControl/>
      <w:ind w:left="100"/>
      <w:jc w:val="left"/>
    </w:pPr>
    <w:rPr>
      <w:rFonts w:ascii="宋体" w:hAnsi="宋体"/>
      <w:kern w:val="0"/>
      <w:sz w:val="28"/>
    </w:rPr>
  </w:style>
  <w:style w:type="paragraph" w:styleId="28">
    <w:name w:val="Body Text Indent 2"/>
    <w:basedOn w:val="1"/>
    <w:link w:val="78"/>
    <w:autoRedefine/>
    <w:qFormat/>
    <w:uiPriority w:val="99"/>
    <w:pPr>
      <w:ind w:left="1436" w:leftChars="684"/>
    </w:pPr>
    <w:rPr>
      <w:sz w:val="24"/>
    </w:rPr>
  </w:style>
  <w:style w:type="paragraph" w:styleId="29">
    <w:name w:val="List Continue 5"/>
    <w:basedOn w:val="1"/>
    <w:autoRedefine/>
    <w:qFormat/>
    <w:uiPriority w:val="99"/>
    <w:pPr>
      <w:spacing w:after="120"/>
      <w:ind w:left="2100" w:leftChars="1000"/>
    </w:pPr>
  </w:style>
  <w:style w:type="paragraph" w:styleId="30">
    <w:name w:val="Balloon Text"/>
    <w:basedOn w:val="1"/>
    <w:link w:val="79"/>
    <w:autoRedefine/>
    <w:semiHidden/>
    <w:qFormat/>
    <w:uiPriority w:val="99"/>
    <w:rPr>
      <w:sz w:val="18"/>
    </w:rPr>
  </w:style>
  <w:style w:type="paragraph" w:styleId="31">
    <w:name w:val="footer"/>
    <w:basedOn w:val="1"/>
    <w:link w:val="80"/>
    <w:autoRedefine/>
    <w:qFormat/>
    <w:uiPriority w:val="99"/>
    <w:pPr>
      <w:tabs>
        <w:tab w:val="center" w:pos="4153"/>
        <w:tab w:val="right" w:pos="8306"/>
      </w:tabs>
      <w:snapToGrid w:val="0"/>
      <w:jc w:val="left"/>
    </w:pPr>
    <w:rPr>
      <w:sz w:val="18"/>
    </w:rPr>
  </w:style>
  <w:style w:type="paragraph" w:styleId="32">
    <w:name w:val="header"/>
    <w:basedOn w:val="1"/>
    <w:link w:val="81"/>
    <w:autoRedefine/>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autoRedefine/>
    <w:semiHidden/>
    <w:qFormat/>
    <w:uiPriority w:val="99"/>
    <w:pPr>
      <w:tabs>
        <w:tab w:val="left" w:pos="840"/>
        <w:tab w:val="right" w:leader="dot" w:pos="9402"/>
      </w:tabs>
      <w:adjustRightInd w:val="0"/>
      <w:snapToGrid w:val="0"/>
      <w:spacing w:line="360" w:lineRule="auto"/>
      <w:jc w:val="left"/>
    </w:pPr>
    <w:rPr>
      <w:rFonts w:ascii="Arial" w:hAnsi="宋体"/>
      <w:caps/>
      <w:w w:val="80"/>
      <w:sz w:val="24"/>
    </w:rPr>
  </w:style>
  <w:style w:type="paragraph" w:styleId="34">
    <w:name w:val="List Continue 4"/>
    <w:basedOn w:val="1"/>
    <w:autoRedefine/>
    <w:qFormat/>
    <w:uiPriority w:val="99"/>
    <w:pPr>
      <w:spacing w:after="120"/>
      <w:ind w:left="1680" w:leftChars="800"/>
    </w:pPr>
  </w:style>
  <w:style w:type="paragraph" w:styleId="35">
    <w:name w:val="toc 4"/>
    <w:basedOn w:val="1"/>
    <w:next w:val="1"/>
    <w:autoRedefine/>
    <w:semiHidden/>
    <w:qFormat/>
    <w:uiPriority w:val="99"/>
    <w:pPr>
      <w:tabs>
        <w:tab w:val="left" w:pos="1080"/>
        <w:tab w:val="right" w:leader="dot" w:pos="9125"/>
      </w:tabs>
      <w:adjustRightInd w:val="0"/>
      <w:snapToGrid w:val="0"/>
      <w:spacing w:line="360" w:lineRule="auto"/>
      <w:jc w:val="left"/>
    </w:pPr>
    <w:rPr>
      <w:sz w:val="18"/>
    </w:rPr>
  </w:style>
  <w:style w:type="paragraph" w:styleId="36">
    <w:name w:val="List"/>
    <w:basedOn w:val="1"/>
    <w:autoRedefine/>
    <w:qFormat/>
    <w:uiPriority w:val="99"/>
    <w:pPr>
      <w:ind w:left="200" w:hanging="200" w:hangingChars="200"/>
    </w:pPr>
  </w:style>
  <w:style w:type="paragraph" w:styleId="37">
    <w:name w:val="footnote text"/>
    <w:basedOn w:val="1"/>
    <w:link w:val="82"/>
    <w:autoRedefine/>
    <w:semiHidden/>
    <w:qFormat/>
    <w:uiPriority w:val="99"/>
    <w:pPr>
      <w:snapToGrid w:val="0"/>
      <w:jc w:val="left"/>
    </w:pPr>
    <w:rPr>
      <w:sz w:val="18"/>
    </w:rPr>
  </w:style>
  <w:style w:type="paragraph" w:styleId="38">
    <w:name w:val="toc 6"/>
    <w:basedOn w:val="1"/>
    <w:next w:val="1"/>
    <w:autoRedefine/>
    <w:semiHidden/>
    <w:qFormat/>
    <w:uiPriority w:val="99"/>
    <w:pPr>
      <w:ind w:left="1050"/>
      <w:jc w:val="left"/>
    </w:pPr>
    <w:rPr>
      <w:sz w:val="18"/>
    </w:rPr>
  </w:style>
  <w:style w:type="paragraph" w:styleId="39">
    <w:name w:val="List 5"/>
    <w:basedOn w:val="1"/>
    <w:autoRedefine/>
    <w:qFormat/>
    <w:uiPriority w:val="99"/>
    <w:pPr>
      <w:ind w:left="100" w:leftChars="800" w:hanging="200" w:hangingChars="200"/>
    </w:pPr>
  </w:style>
  <w:style w:type="paragraph" w:styleId="40">
    <w:name w:val="Body Text Indent 3"/>
    <w:basedOn w:val="1"/>
    <w:link w:val="83"/>
    <w:autoRedefine/>
    <w:qFormat/>
    <w:uiPriority w:val="99"/>
    <w:pPr>
      <w:spacing w:after="120"/>
      <w:ind w:left="420" w:leftChars="200"/>
    </w:pPr>
    <w:rPr>
      <w:sz w:val="16"/>
    </w:rPr>
  </w:style>
  <w:style w:type="paragraph" w:styleId="41">
    <w:name w:val="toc 2"/>
    <w:basedOn w:val="1"/>
    <w:next w:val="1"/>
    <w:autoRedefine/>
    <w:semiHidden/>
    <w:qFormat/>
    <w:uiPriority w:val="99"/>
    <w:pPr>
      <w:ind w:left="210"/>
      <w:jc w:val="left"/>
    </w:pPr>
    <w:rPr>
      <w:smallCaps/>
      <w:sz w:val="20"/>
    </w:rPr>
  </w:style>
  <w:style w:type="paragraph" w:styleId="42">
    <w:name w:val="toc 9"/>
    <w:basedOn w:val="1"/>
    <w:next w:val="1"/>
    <w:autoRedefine/>
    <w:semiHidden/>
    <w:qFormat/>
    <w:uiPriority w:val="99"/>
    <w:pPr>
      <w:ind w:left="1680"/>
      <w:jc w:val="left"/>
    </w:pPr>
    <w:rPr>
      <w:sz w:val="18"/>
    </w:rPr>
  </w:style>
  <w:style w:type="paragraph" w:styleId="43">
    <w:name w:val="Body Text 2"/>
    <w:basedOn w:val="1"/>
    <w:link w:val="84"/>
    <w:autoRedefine/>
    <w:qFormat/>
    <w:uiPriority w:val="99"/>
    <w:rPr>
      <w:rFonts w:ascii="宋体" w:hAnsi="宋体"/>
      <w:sz w:val="24"/>
    </w:rPr>
  </w:style>
  <w:style w:type="paragraph" w:styleId="44">
    <w:name w:val="List 4"/>
    <w:basedOn w:val="1"/>
    <w:autoRedefine/>
    <w:qFormat/>
    <w:uiPriority w:val="99"/>
    <w:pPr>
      <w:ind w:left="100" w:leftChars="600" w:hanging="200" w:hangingChars="200"/>
    </w:pPr>
  </w:style>
  <w:style w:type="paragraph" w:styleId="45">
    <w:name w:val="List Continue 2"/>
    <w:basedOn w:val="1"/>
    <w:autoRedefine/>
    <w:qFormat/>
    <w:uiPriority w:val="99"/>
    <w:pPr>
      <w:spacing w:after="120"/>
      <w:ind w:left="840" w:leftChars="400"/>
    </w:pPr>
  </w:style>
  <w:style w:type="paragraph" w:styleId="46">
    <w:name w:val="HTML Preformatted"/>
    <w:basedOn w:val="1"/>
    <w:link w:val="85"/>
    <w:autoRedefine/>
    <w:qFormat/>
    <w:uiPriority w:val="99"/>
    <w:rPr>
      <w:rFonts w:ascii="Courier New" w:hAnsi="Courier New"/>
      <w:sz w:val="20"/>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List Continue 3"/>
    <w:basedOn w:val="1"/>
    <w:autoRedefine/>
    <w:qFormat/>
    <w:uiPriority w:val="99"/>
    <w:pPr>
      <w:spacing w:after="120"/>
      <w:ind w:left="1260" w:leftChars="600"/>
    </w:pPr>
  </w:style>
  <w:style w:type="paragraph" w:styleId="49">
    <w:name w:val="annotation subject"/>
    <w:basedOn w:val="17"/>
    <w:next w:val="17"/>
    <w:link w:val="86"/>
    <w:autoRedefine/>
    <w:semiHidden/>
    <w:qFormat/>
    <w:uiPriority w:val="99"/>
    <w:rPr>
      <w:b/>
    </w:rPr>
  </w:style>
  <w:style w:type="paragraph" w:styleId="50">
    <w:name w:val="Body Text First Indent"/>
    <w:basedOn w:val="1"/>
    <w:link w:val="87"/>
    <w:autoRedefine/>
    <w:qFormat/>
    <w:uiPriority w:val="99"/>
    <w:pPr>
      <w:spacing w:line="360" w:lineRule="auto"/>
      <w:ind w:firstLine="482"/>
    </w:pPr>
    <w:rPr>
      <w:b/>
      <w:sz w:val="24"/>
    </w:rPr>
  </w:style>
  <w:style w:type="paragraph" w:styleId="51">
    <w:name w:val="Body Text First Indent 2"/>
    <w:basedOn w:val="18"/>
    <w:next w:val="1"/>
    <w:link w:val="88"/>
    <w:autoRedefine/>
    <w:qFormat/>
    <w:locked/>
    <w:uiPriority w:val="99"/>
    <w:pPr>
      <w:ind w:firstLine="420" w:firstLineChars="200"/>
    </w:pPr>
  </w:style>
  <w:style w:type="table" w:styleId="53">
    <w:name w:val="Table Grid"/>
    <w:basedOn w:val="5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locked/>
    <w:uiPriority w:val="99"/>
    <w:rPr>
      <w:rFonts w:cs="Times New Roman"/>
      <w:b/>
    </w:rPr>
  </w:style>
  <w:style w:type="character" w:styleId="56">
    <w:name w:val="page number"/>
    <w:basedOn w:val="54"/>
    <w:autoRedefine/>
    <w:qFormat/>
    <w:uiPriority w:val="99"/>
    <w:rPr>
      <w:rFonts w:cs="Times New Roman"/>
    </w:rPr>
  </w:style>
  <w:style w:type="character" w:styleId="57">
    <w:name w:val="FollowedHyperlink"/>
    <w:basedOn w:val="54"/>
    <w:autoRedefine/>
    <w:qFormat/>
    <w:locked/>
    <w:uiPriority w:val="99"/>
    <w:rPr>
      <w:rFonts w:cs="Times New Roman"/>
      <w:color w:val="800080"/>
      <w:u w:val="single"/>
    </w:rPr>
  </w:style>
  <w:style w:type="character" w:styleId="58">
    <w:name w:val="Emphasis"/>
    <w:basedOn w:val="54"/>
    <w:autoRedefine/>
    <w:qFormat/>
    <w:locked/>
    <w:uiPriority w:val="99"/>
    <w:rPr>
      <w:rFonts w:cs="Times New Roman"/>
      <w:color w:val="CC0000"/>
    </w:rPr>
  </w:style>
  <w:style w:type="character" w:styleId="59">
    <w:name w:val="Hyperlink"/>
    <w:basedOn w:val="54"/>
    <w:autoRedefine/>
    <w:qFormat/>
    <w:uiPriority w:val="99"/>
    <w:rPr>
      <w:rFonts w:cs="Times New Roman"/>
      <w:color w:val="0000FF"/>
      <w:u w:val="single"/>
    </w:rPr>
  </w:style>
  <w:style w:type="character" w:styleId="60">
    <w:name w:val="annotation reference"/>
    <w:basedOn w:val="54"/>
    <w:autoRedefine/>
    <w:semiHidden/>
    <w:qFormat/>
    <w:uiPriority w:val="99"/>
    <w:rPr>
      <w:rFonts w:cs="Times New Roman"/>
      <w:sz w:val="21"/>
    </w:rPr>
  </w:style>
  <w:style w:type="character" w:styleId="61">
    <w:name w:val="HTML Cite"/>
    <w:basedOn w:val="54"/>
    <w:autoRedefine/>
    <w:qFormat/>
    <w:locked/>
    <w:uiPriority w:val="99"/>
    <w:rPr>
      <w:rFonts w:cs="Times New Roman"/>
      <w:color w:val="008000"/>
    </w:rPr>
  </w:style>
  <w:style w:type="character" w:styleId="62">
    <w:name w:val="footnote reference"/>
    <w:basedOn w:val="54"/>
    <w:autoRedefine/>
    <w:semiHidden/>
    <w:qFormat/>
    <w:uiPriority w:val="99"/>
    <w:rPr>
      <w:rFonts w:cs="Times New Roman"/>
      <w:vertAlign w:val="superscript"/>
    </w:rPr>
  </w:style>
  <w:style w:type="character" w:customStyle="1" w:styleId="63">
    <w:name w:val="标题 1 Char"/>
    <w:basedOn w:val="54"/>
    <w:link w:val="4"/>
    <w:autoRedefine/>
    <w:qFormat/>
    <w:locked/>
    <w:uiPriority w:val="99"/>
    <w:rPr>
      <w:b/>
      <w:kern w:val="44"/>
      <w:sz w:val="44"/>
    </w:rPr>
  </w:style>
  <w:style w:type="character" w:customStyle="1" w:styleId="64">
    <w:name w:val="标题 2 Char"/>
    <w:basedOn w:val="54"/>
    <w:link w:val="5"/>
    <w:autoRedefine/>
    <w:qFormat/>
    <w:locked/>
    <w:uiPriority w:val="99"/>
    <w:rPr>
      <w:rFonts w:ascii="Arial" w:hAnsi="Arial" w:eastAsia="黑体"/>
      <w:b/>
      <w:sz w:val="32"/>
    </w:rPr>
  </w:style>
  <w:style w:type="character" w:customStyle="1" w:styleId="65">
    <w:name w:val="标题 3 Char"/>
    <w:basedOn w:val="54"/>
    <w:link w:val="6"/>
    <w:autoRedefine/>
    <w:semiHidden/>
    <w:qFormat/>
    <w:uiPriority w:val="9"/>
    <w:rPr>
      <w:b/>
      <w:bCs/>
      <w:sz w:val="32"/>
      <w:szCs w:val="32"/>
    </w:rPr>
  </w:style>
  <w:style w:type="character" w:customStyle="1" w:styleId="66">
    <w:name w:val="标题 4 Char"/>
    <w:basedOn w:val="54"/>
    <w:link w:val="7"/>
    <w:autoRedefine/>
    <w:qFormat/>
    <w:locked/>
    <w:uiPriority w:val="99"/>
    <w:rPr>
      <w:rFonts w:ascii="Arial" w:hAnsi="Arial" w:eastAsia="黑体"/>
      <w:b/>
      <w:kern w:val="2"/>
      <w:sz w:val="28"/>
      <w:lang w:val="en-US" w:eastAsia="zh-CN"/>
    </w:rPr>
  </w:style>
  <w:style w:type="character" w:customStyle="1" w:styleId="67">
    <w:name w:val="标题 5 Char"/>
    <w:basedOn w:val="54"/>
    <w:link w:val="8"/>
    <w:autoRedefine/>
    <w:semiHidden/>
    <w:qFormat/>
    <w:uiPriority w:val="9"/>
    <w:rPr>
      <w:b/>
      <w:bCs/>
      <w:sz w:val="28"/>
      <w:szCs w:val="28"/>
    </w:rPr>
  </w:style>
  <w:style w:type="character" w:customStyle="1" w:styleId="68">
    <w:name w:val="标题 6 Char"/>
    <w:basedOn w:val="54"/>
    <w:link w:val="9"/>
    <w:autoRedefine/>
    <w:semiHidden/>
    <w:qFormat/>
    <w:uiPriority w:val="9"/>
    <w:rPr>
      <w:rFonts w:ascii="Cambria" w:hAnsi="Cambria" w:eastAsia="宋体" w:cs="Times New Roman"/>
      <w:b/>
      <w:bCs/>
      <w:sz w:val="24"/>
      <w:szCs w:val="24"/>
    </w:rPr>
  </w:style>
  <w:style w:type="character" w:customStyle="1" w:styleId="69">
    <w:name w:val="标题 7 Char"/>
    <w:basedOn w:val="54"/>
    <w:link w:val="10"/>
    <w:autoRedefine/>
    <w:semiHidden/>
    <w:qFormat/>
    <w:uiPriority w:val="9"/>
    <w:rPr>
      <w:b/>
      <w:bCs/>
      <w:sz w:val="24"/>
      <w:szCs w:val="24"/>
    </w:rPr>
  </w:style>
  <w:style w:type="character" w:customStyle="1" w:styleId="70">
    <w:name w:val="标题 8 Char"/>
    <w:basedOn w:val="54"/>
    <w:link w:val="11"/>
    <w:autoRedefine/>
    <w:semiHidden/>
    <w:qFormat/>
    <w:uiPriority w:val="9"/>
    <w:rPr>
      <w:rFonts w:ascii="Cambria" w:hAnsi="Cambria" w:eastAsia="宋体" w:cs="Times New Roman"/>
      <w:sz w:val="24"/>
      <w:szCs w:val="24"/>
    </w:rPr>
  </w:style>
  <w:style w:type="character" w:customStyle="1" w:styleId="71">
    <w:name w:val="标题 9 Char"/>
    <w:basedOn w:val="54"/>
    <w:link w:val="12"/>
    <w:autoRedefine/>
    <w:semiHidden/>
    <w:qFormat/>
    <w:uiPriority w:val="9"/>
    <w:rPr>
      <w:rFonts w:ascii="Cambria" w:hAnsi="Cambria" w:eastAsia="宋体" w:cs="Times New Roman"/>
      <w:szCs w:val="21"/>
    </w:rPr>
  </w:style>
  <w:style w:type="character" w:customStyle="1" w:styleId="72">
    <w:name w:val="正文文本 Char"/>
    <w:basedOn w:val="54"/>
    <w:link w:val="2"/>
    <w:autoRedefine/>
    <w:semiHidden/>
    <w:qFormat/>
    <w:uiPriority w:val="99"/>
    <w:rPr>
      <w:szCs w:val="20"/>
    </w:rPr>
  </w:style>
  <w:style w:type="character" w:customStyle="1" w:styleId="73">
    <w:name w:val="文档结构图 Char"/>
    <w:basedOn w:val="54"/>
    <w:link w:val="16"/>
    <w:autoRedefine/>
    <w:semiHidden/>
    <w:qFormat/>
    <w:uiPriority w:val="99"/>
    <w:rPr>
      <w:sz w:val="0"/>
      <w:szCs w:val="0"/>
    </w:rPr>
  </w:style>
  <w:style w:type="character" w:customStyle="1" w:styleId="74">
    <w:name w:val="批注文字 Char"/>
    <w:basedOn w:val="54"/>
    <w:link w:val="17"/>
    <w:autoRedefine/>
    <w:qFormat/>
    <w:locked/>
    <w:uiPriority w:val="99"/>
    <w:rPr>
      <w:kern w:val="2"/>
      <w:sz w:val="21"/>
    </w:rPr>
  </w:style>
  <w:style w:type="character" w:customStyle="1" w:styleId="75">
    <w:name w:val="正文文本缩进 Char"/>
    <w:basedOn w:val="54"/>
    <w:link w:val="18"/>
    <w:autoRedefine/>
    <w:qFormat/>
    <w:locked/>
    <w:uiPriority w:val="99"/>
    <w:rPr>
      <w:kern w:val="2"/>
      <w:sz w:val="24"/>
    </w:rPr>
  </w:style>
  <w:style w:type="character" w:customStyle="1" w:styleId="76">
    <w:name w:val="纯文本 Char"/>
    <w:basedOn w:val="54"/>
    <w:link w:val="25"/>
    <w:autoRedefine/>
    <w:semiHidden/>
    <w:qFormat/>
    <w:uiPriority w:val="99"/>
    <w:rPr>
      <w:rFonts w:ascii="宋体" w:hAnsi="Courier New" w:cs="Courier New"/>
      <w:szCs w:val="21"/>
    </w:rPr>
  </w:style>
  <w:style w:type="character" w:customStyle="1" w:styleId="77">
    <w:name w:val="日期 Char"/>
    <w:basedOn w:val="54"/>
    <w:link w:val="27"/>
    <w:autoRedefine/>
    <w:semiHidden/>
    <w:qFormat/>
    <w:uiPriority w:val="99"/>
    <w:rPr>
      <w:szCs w:val="20"/>
    </w:rPr>
  </w:style>
  <w:style w:type="character" w:customStyle="1" w:styleId="78">
    <w:name w:val="正文文本缩进 2 Char"/>
    <w:basedOn w:val="54"/>
    <w:link w:val="28"/>
    <w:autoRedefine/>
    <w:semiHidden/>
    <w:qFormat/>
    <w:uiPriority w:val="99"/>
    <w:rPr>
      <w:szCs w:val="20"/>
    </w:rPr>
  </w:style>
  <w:style w:type="character" w:customStyle="1" w:styleId="79">
    <w:name w:val="批注框文本 Char"/>
    <w:basedOn w:val="54"/>
    <w:link w:val="30"/>
    <w:autoRedefine/>
    <w:qFormat/>
    <w:locked/>
    <w:uiPriority w:val="99"/>
    <w:rPr>
      <w:rFonts w:eastAsia="宋体"/>
      <w:kern w:val="2"/>
      <w:sz w:val="18"/>
      <w:lang w:val="en-US" w:eastAsia="zh-CN"/>
    </w:rPr>
  </w:style>
  <w:style w:type="character" w:customStyle="1" w:styleId="80">
    <w:name w:val="页脚 Char"/>
    <w:basedOn w:val="54"/>
    <w:link w:val="31"/>
    <w:autoRedefine/>
    <w:qFormat/>
    <w:locked/>
    <w:uiPriority w:val="99"/>
    <w:rPr>
      <w:kern w:val="2"/>
      <w:sz w:val="18"/>
    </w:rPr>
  </w:style>
  <w:style w:type="character" w:customStyle="1" w:styleId="81">
    <w:name w:val="页眉 Char"/>
    <w:basedOn w:val="54"/>
    <w:link w:val="32"/>
    <w:autoRedefine/>
    <w:semiHidden/>
    <w:qFormat/>
    <w:uiPriority w:val="99"/>
    <w:rPr>
      <w:sz w:val="18"/>
      <w:szCs w:val="18"/>
    </w:rPr>
  </w:style>
  <w:style w:type="character" w:customStyle="1" w:styleId="82">
    <w:name w:val="脚注文本 Char"/>
    <w:basedOn w:val="54"/>
    <w:link w:val="37"/>
    <w:autoRedefine/>
    <w:semiHidden/>
    <w:qFormat/>
    <w:uiPriority w:val="99"/>
    <w:rPr>
      <w:sz w:val="18"/>
      <w:szCs w:val="18"/>
    </w:rPr>
  </w:style>
  <w:style w:type="character" w:customStyle="1" w:styleId="83">
    <w:name w:val="正文文本缩进 3 Char"/>
    <w:basedOn w:val="54"/>
    <w:link w:val="40"/>
    <w:autoRedefine/>
    <w:semiHidden/>
    <w:qFormat/>
    <w:uiPriority w:val="99"/>
    <w:rPr>
      <w:sz w:val="16"/>
      <w:szCs w:val="16"/>
    </w:rPr>
  </w:style>
  <w:style w:type="character" w:customStyle="1" w:styleId="84">
    <w:name w:val="正文文本 2 Char"/>
    <w:basedOn w:val="54"/>
    <w:link w:val="43"/>
    <w:autoRedefine/>
    <w:semiHidden/>
    <w:qFormat/>
    <w:uiPriority w:val="99"/>
    <w:rPr>
      <w:szCs w:val="20"/>
    </w:rPr>
  </w:style>
  <w:style w:type="character" w:customStyle="1" w:styleId="85">
    <w:name w:val="HTML 预设格式 Char"/>
    <w:basedOn w:val="54"/>
    <w:link w:val="46"/>
    <w:autoRedefine/>
    <w:qFormat/>
    <w:locked/>
    <w:uiPriority w:val="99"/>
    <w:rPr>
      <w:rFonts w:ascii="Courier New" w:hAnsi="Courier New"/>
      <w:kern w:val="2"/>
    </w:rPr>
  </w:style>
  <w:style w:type="character" w:customStyle="1" w:styleId="86">
    <w:name w:val="批注主题 Char"/>
    <w:basedOn w:val="74"/>
    <w:link w:val="49"/>
    <w:autoRedefine/>
    <w:semiHidden/>
    <w:qFormat/>
    <w:uiPriority w:val="99"/>
    <w:rPr>
      <w:b/>
      <w:bCs/>
      <w:szCs w:val="20"/>
    </w:rPr>
  </w:style>
  <w:style w:type="character" w:customStyle="1" w:styleId="87">
    <w:name w:val="正文首行缩进 Char"/>
    <w:basedOn w:val="72"/>
    <w:link w:val="50"/>
    <w:autoRedefine/>
    <w:semiHidden/>
    <w:qFormat/>
    <w:uiPriority w:val="99"/>
  </w:style>
  <w:style w:type="character" w:customStyle="1" w:styleId="88">
    <w:name w:val="正文首行缩进 2 Char"/>
    <w:basedOn w:val="75"/>
    <w:link w:val="51"/>
    <w:autoRedefine/>
    <w:semiHidden/>
    <w:qFormat/>
    <w:uiPriority w:val="99"/>
    <w:rPr>
      <w:szCs w:val="20"/>
    </w:rPr>
  </w:style>
  <w:style w:type="character" w:customStyle="1" w:styleId="89">
    <w:name w:val="Style Heading 3 + Char"/>
    <w:link w:val="90"/>
    <w:autoRedefine/>
    <w:qFormat/>
    <w:locked/>
    <w:uiPriority w:val="99"/>
    <w:rPr>
      <w:rFonts w:eastAsia="宋体"/>
      <w:b/>
      <w:kern w:val="2"/>
      <w:sz w:val="28"/>
      <w:lang w:val="en-US" w:eastAsia="zh-CN"/>
    </w:rPr>
  </w:style>
  <w:style w:type="paragraph" w:customStyle="1" w:styleId="90">
    <w:name w:val="Style Heading 3 +"/>
    <w:basedOn w:val="6"/>
    <w:link w:val="89"/>
    <w:autoRedefine/>
    <w:qFormat/>
    <w:uiPriority w:val="99"/>
    <w:pPr>
      <w:adjustRightInd/>
      <w:spacing w:before="120" w:after="120" w:line="120" w:lineRule="atLeast"/>
      <w:textAlignment w:val="auto"/>
    </w:pPr>
    <w:rPr>
      <w:kern w:val="2"/>
      <w:sz w:val="28"/>
    </w:rPr>
  </w:style>
  <w:style w:type="character" w:customStyle="1" w:styleId="91">
    <w:name w:val="font01"/>
    <w:autoRedefine/>
    <w:qFormat/>
    <w:uiPriority w:val="99"/>
    <w:rPr>
      <w:rFonts w:ascii="宋体" w:hAnsi="宋体" w:eastAsia="宋体"/>
      <w:color w:val="000000"/>
      <w:sz w:val="20"/>
      <w:u w:val="none"/>
    </w:rPr>
  </w:style>
  <w:style w:type="character" w:customStyle="1" w:styleId="92">
    <w:name w:val="hover23"/>
    <w:autoRedefine/>
    <w:qFormat/>
    <w:uiPriority w:val="99"/>
    <w:rPr>
      <w:color w:val="315EFB"/>
    </w:rPr>
  </w:style>
  <w:style w:type="character" w:customStyle="1" w:styleId="93">
    <w:name w:val="style1"/>
    <w:autoRedefine/>
    <w:qFormat/>
    <w:uiPriority w:val="99"/>
  </w:style>
  <w:style w:type="character" w:customStyle="1" w:styleId="94">
    <w:name w:val="正文缩进2格 Char Char"/>
    <w:link w:val="95"/>
    <w:autoRedefine/>
    <w:qFormat/>
    <w:locked/>
    <w:uiPriority w:val="99"/>
    <w:rPr>
      <w:rFonts w:ascii="仿宋_GB2312" w:hAnsi="宋体" w:eastAsia="仿宋_GB2312"/>
      <w:kern w:val="2"/>
      <w:sz w:val="28"/>
    </w:rPr>
  </w:style>
  <w:style w:type="paragraph" w:customStyle="1" w:styleId="95">
    <w:name w:val="正文缩进2格"/>
    <w:basedOn w:val="1"/>
    <w:link w:val="94"/>
    <w:autoRedefine/>
    <w:qFormat/>
    <w:uiPriority w:val="99"/>
    <w:pPr>
      <w:spacing w:line="600" w:lineRule="exact"/>
      <w:ind w:firstLine="639" w:firstLineChars="206"/>
    </w:pPr>
    <w:rPr>
      <w:rFonts w:ascii="仿宋_GB2312" w:hAnsi="宋体" w:eastAsia="仿宋_GB2312"/>
      <w:sz w:val="28"/>
    </w:rPr>
  </w:style>
  <w:style w:type="character" w:customStyle="1" w:styleId="96">
    <w:name w:val="hover22"/>
    <w:basedOn w:val="54"/>
    <w:autoRedefine/>
    <w:qFormat/>
    <w:uiPriority w:val="99"/>
    <w:rPr>
      <w:rFonts w:cs="Times New Roman"/>
    </w:rPr>
  </w:style>
  <w:style w:type="character" w:customStyle="1" w:styleId="97">
    <w:name w:val="c-icon27"/>
    <w:basedOn w:val="54"/>
    <w:autoRedefine/>
    <w:qFormat/>
    <w:uiPriority w:val="99"/>
    <w:rPr>
      <w:rFonts w:cs="Times New Roman"/>
    </w:rPr>
  </w:style>
  <w:style w:type="character" w:customStyle="1" w:styleId="98">
    <w:name w:val="c-icon28"/>
    <w:basedOn w:val="54"/>
    <w:autoRedefine/>
    <w:qFormat/>
    <w:uiPriority w:val="99"/>
    <w:rPr>
      <w:rFonts w:cs="Times New Roman"/>
    </w:rPr>
  </w:style>
  <w:style w:type="character" w:customStyle="1" w:styleId="99">
    <w:name w:val="正文缩进 Char"/>
    <w:link w:val="15"/>
    <w:autoRedefine/>
    <w:qFormat/>
    <w:locked/>
    <w:uiPriority w:val="99"/>
    <w:rPr>
      <w:kern w:val="2"/>
      <w:sz w:val="21"/>
    </w:rPr>
  </w:style>
  <w:style w:type="character" w:customStyle="1" w:styleId="100">
    <w:name w:val="标题 1 Char Char"/>
    <w:autoRedefine/>
    <w:qFormat/>
    <w:uiPriority w:val="99"/>
    <w:rPr>
      <w:rFonts w:ascii="宋体" w:hAnsi="宋体" w:eastAsia="宋体"/>
      <w:b/>
      <w:spacing w:val="-2"/>
      <w:sz w:val="24"/>
      <w:lang w:val="en-US" w:eastAsia="zh-CN"/>
    </w:rPr>
  </w:style>
  <w:style w:type="paragraph" w:customStyle="1" w:styleId="101">
    <w:name w:val="文档正文"/>
    <w:basedOn w:val="1"/>
    <w:autoRedefine/>
    <w:qFormat/>
    <w:uiPriority w:val="99"/>
    <w:pPr>
      <w:adjustRightInd w:val="0"/>
      <w:spacing w:line="480" w:lineRule="atLeast"/>
      <w:ind w:firstLine="567"/>
      <w:textAlignment w:val="baseline"/>
    </w:pPr>
    <w:rPr>
      <w:rFonts w:ascii="仿宋_GB2312" w:eastAsia="仿宋_GB2312"/>
      <w:kern w:val="0"/>
      <w:sz w:val="28"/>
    </w:rPr>
  </w:style>
  <w:style w:type="paragraph" w:customStyle="1" w:styleId="102">
    <w:name w:val="Plain Text1"/>
    <w:basedOn w:val="1"/>
    <w:autoRedefine/>
    <w:qFormat/>
    <w:uiPriority w:val="99"/>
    <w:pPr>
      <w:widowControl/>
      <w:adjustRightInd w:val="0"/>
      <w:jc w:val="left"/>
      <w:textAlignment w:val="baseline"/>
    </w:pPr>
    <w:rPr>
      <w:rFonts w:ascii="宋体" w:hAnsi="Courier New" w:eastAsia="楷体_GB2312"/>
      <w:kern w:val="0"/>
      <w:sz w:val="26"/>
    </w:rPr>
  </w:style>
  <w:style w:type="paragraph" w:customStyle="1" w:styleId="103">
    <w:name w:val="样式 标题 2 + 黑色 行距: 1.5 倍行距"/>
    <w:basedOn w:val="5"/>
    <w:autoRedefine/>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04">
    <w:name w:val="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5">
    <w:name w:val="图文"/>
    <w:basedOn w:val="1"/>
    <w:autoRedefine/>
    <w:qFormat/>
    <w:uiPriority w:val="99"/>
    <w:pPr>
      <w:adjustRightInd w:val="0"/>
      <w:snapToGrid w:val="0"/>
      <w:spacing w:after="50" w:line="360" w:lineRule="auto"/>
    </w:pPr>
    <w:rPr>
      <w:sz w:val="24"/>
    </w:rPr>
  </w:style>
  <w:style w:type="paragraph" w:customStyle="1" w:styleId="106">
    <w:name w:val="Char Char Char1 Char"/>
    <w:basedOn w:val="1"/>
    <w:autoRedefine/>
    <w:qFormat/>
    <w:uiPriority w:val="99"/>
  </w:style>
  <w:style w:type="paragraph" w:customStyle="1" w:styleId="107">
    <w:name w:val="p0"/>
    <w:basedOn w:val="1"/>
    <w:autoRedefine/>
    <w:qFormat/>
    <w:uiPriority w:val="99"/>
    <w:pPr>
      <w:widowControl/>
    </w:pPr>
    <w:rPr>
      <w:kern w:val="0"/>
      <w:szCs w:val="21"/>
    </w:rPr>
  </w:style>
  <w:style w:type="paragraph" w:customStyle="1" w:styleId="108">
    <w:name w:val="_Style 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6"/>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10">
    <w:name w:val="列出段落1"/>
    <w:basedOn w:val="1"/>
    <w:autoRedefine/>
    <w:qFormat/>
    <w:uiPriority w:val="99"/>
    <w:pPr>
      <w:ind w:firstLine="420" w:firstLineChars="200"/>
    </w:pPr>
  </w:style>
  <w:style w:type="paragraph" w:customStyle="1" w:styleId="111">
    <w:name w:val="简单回函地址"/>
    <w:basedOn w:val="1"/>
    <w:autoRedefine/>
    <w:qFormat/>
    <w:uiPriority w:val="99"/>
  </w:style>
  <w:style w:type="paragraph" w:customStyle="1" w:styleId="112">
    <w:name w:val="纯文本2"/>
    <w:basedOn w:val="1"/>
    <w:autoRedefine/>
    <w:qFormat/>
    <w:uiPriority w:val="99"/>
    <w:rPr>
      <w:rFonts w:ascii="宋体" w:hAnsi="Courier New"/>
      <w:sz w:val="28"/>
      <w:szCs w:val="24"/>
    </w:rPr>
  </w:style>
  <w:style w:type="paragraph" w:customStyle="1" w:styleId="113">
    <w:name w:val="1"/>
    <w:basedOn w:val="1"/>
    <w:next w:val="25"/>
    <w:autoRedefine/>
    <w:qFormat/>
    <w:uiPriority w:val="99"/>
    <w:rPr>
      <w:rFonts w:ascii="宋体" w:hAnsi="Courier New"/>
    </w:rPr>
  </w:style>
  <w:style w:type="paragraph" w:customStyle="1" w:styleId="114">
    <w:name w:val="Char2"/>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15">
    <w:name w:val="默认段落字体 Para Char Char Char Char"/>
    <w:basedOn w:val="1"/>
    <w:autoRedefine/>
    <w:qFormat/>
    <w:uiPriority w:val="99"/>
  </w:style>
  <w:style w:type="paragraph" w:styleId="116">
    <w:name w:val="No Spacing"/>
    <w:basedOn w:val="1"/>
    <w:autoRedefine/>
    <w:qFormat/>
    <w:uiPriority w:val="1"/>
    <w:rPr>
      <w:rFonts w:ascii="Calibri" w:hAnsi="Calibri"/>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Company>
  <Pages>26</Pages>
  <Words>2132</Words>
  <Characters>12153</Characters>
  <Lines>101</Lines>
  <Paragraphs>28</Paragraphs>
  <TotalTime>411</TotalTime>
  <ScaleCrop>false</ScaleCrop>
  <LinksUpToDate>false</LinksUpToDate>
  <CharactersWithSpaces>14257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2021-01-07T07:39:00Z</dcterms:created>
  <dc:creator>dreamsummit</dc:creator>
  <cp:lastModifiedBy>JYJ</cp:lastModifiedBy>
  <cp:lastPrinted>2020-08-18T08:14:00Z</cp:lastPrinted>
  <dcterms:modified xsi:type="dcterms:W3CDTF">2025-08-04T06:26:01Z</dcterms:modified>
  <dc:title>南京国衡南通分公司 代理 招标及竞谈 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10B0D6FC7C4E483CA277DD6007CA5727_13</vt:lpwstr>
  </property>
  <property fmtid="{D5CDD505-2E9C-101B-9397-08002B2CF9AE}" pid="4" name="KSOTemplateDocerSaveRecord">
    <vt:lpwstr>eyJoZGlkIjoiOTVkNTdlM2VlODE0MmIzMTJiZGYyMGFjM2I2MjVmNGIiLCJ1c2VySWQiOiIxMDA5NTI4NDM1In0=</vt:lpwstr>
  </property>
</Properties>
</file>