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3" w:type="dxa"/>
        <w:tblInd w:w="-530" w:type="dxa"/>
        <w:tblLayout w:type="fixed"/>
        <w:tblLook w:val="04A0"/>
      </w:tblPr>
      <w:tblGrid>
        <w:gridCol w:w="1489"/>
        <w:gridCol w:w="1559"/>
        <w:gridCol w:w="5245"/>
        <w:gridCol w:w="840"/>
        <w:gridCol w:w="860"/>
      </w:tblGrid>
      <w:tr w:rsidR="00B73FF2">
        <w:trPr>
          <w:trHeight w:val="20"/>
        </w:trPr>
        <w:tc>
          <w:tcPr>
            <w:tcW w:w="9993" w:type="dxa"/>
            <w:gridSpan w:val="5"/>
            <w:tcBorders>
              <w:top w:val="nil"/>
              <w:left w:val="nil"/>
              <w:bottom w:val="nil"/>
              <w:right w:val="nil"/>
            </w:tcBorders>
            <w:vAlign w:val="center"/>
          </w:tcPr>
          <w:p w:rsidR="00B73FF2" w:rsidRDefault="00504034">
            <w:pPr>
              <w:spacing w:line="360" w:lineRule="auto"/>
              <w:rPr>
                <w:rFonts w:ascii="宋体" w:hAnsi="宋体"/>
                <w:b/>
                <w:color w:val="auto"/>
                <w:sz w:val="32"/>
                <w:szCs w:val="32"/>
                <w:lang w:eastAsia="zh-CN"/>
              </w:rPr>
            </w:pPr>
            <w:r>
              <w:rPr>
                <w:rFonts w:ascii="宋体" w:hAnsi="宋体" w:hint="eastAsia"/>
                <w:b/>
                <w:color w:val="auto"/>
                <w:sz w:val="32"/>
                <w:szCs w:val="32"/>
                <w:lang w:eastAsia="zh-CN"/>
              </w:rPr>
              <w:t>附件、</w:t>
            </w:r>
          </w:p>
          <w:p w:rsidR="00B73FF2" w:rsidRDefault="00504034">
            <w:pPr>
              <w:spacing w:line="360" w:lineRule="auto"/>
              <w:jc w:val="center"/>
              <w:rPr>
                <w:rFonts w:ascii="宋体" w:hAnsi="宋体"/>
                <w:b/>
                <w:color w:val="auto"/>
                <w:sz w:val="32"/>
                <w:szCs w:val="32"/>
                <w:lang w:eastAsia="zh-CN"/>
              </w:rPr>
            </w:pPr>
            <w:r>
              <w:rPr>
                <w:rFonts w:ascii="宋体" w:hAnsi="宋体" w:hint="eastAsia"/>
                <w:b/>
                <w:color w:val="auto"/>
                <w:sz w:val="32"/>
                <w:szCs w:val="32"/>
                <w:lang w:eastAsia="zh-CN"/>
              </w:rPr>
              <w:t>安全生产与文明施工考核表</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序号</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考核内容</w:t>
            </w:r>
          </w:p>
        </w:tc>
        <w:tc>
          <w:tcPr>
            <w:tcW w:w="5245"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赋分原则</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分值</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得分</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both"/>
              <w:rPr>
                <w:rFonts w:ascii="宋体" w:hAnsi="宋体" w:cs="宋体"/>
                <w:b/>
                <w:bCs/>
                <w:color w:val="auto"/>
                <w:sz w:val="18"/>
                <w:szCs w:val="18"/>
              </w:rPr>
            </w:pPr>
            <w:r>
              <w:rPr>
                <w:rFonts w:ascii="宋体" w:eastAsia="宋体" w:hAnsi="宋体" w:cs="宋体" w:hint="eastAsia"/>
                <w:b/>
                <w:bCs/>
                <w:color w:val="auto"/>
                <w:sz w:val="18"/>
                <w:szCs w:val="18"/>
              </w:rPr>
              <w:t>一、安全生产</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 xml:space="preserve">　</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 xml:space="preserve">　</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50</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（一）</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制度和机构</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 xml:space="preserve">　</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9</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1</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安全生产责任制及规章制度</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制定各级各岗位安全生产责任制且责任人签字确认；各项规章制度健全；制定了安全管理目标（伤亡控制指标和安全达标、文明施工目标）且责任目标分解落实到人</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3</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2</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安全生产管理机构、专职安全员和安全生产台账</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建立了安全生产管理机构，配备了专职安全员，安全生产台账</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3</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3</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上岗持证情况</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工程参建人员持证上岗</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3</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（二）</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lang w:eastAsia="zh-CN"/>
              </w:rPr>
            </w:pPr>
            <w:r>
              <w:rPr>
                <w:rFonts w:ascii="宋体" w:hAnsi="宋体" w:cs="宋体" w:hint="eastAsia"/>
                <w:b/>
                <w:bCs/>
                <w:color w:val="auto"/>
                <w:sz w:val="18"/>
                <w:szCs w:val="18"/>
                <w:lang w:eastAsia="zh-CN"/>
              </w:rPr>
              <w:t>安全技术措施及专项施工方案</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lang w:eastAsia="zh-CN"/>
              </w:rPr>
            </w:pPr>
            <w:r>
              <w:rPr>
                <w:rFonts w:ascii="宋体" w:hAnsi="宋体" w:cs="宋体" w:hint="eastAsia"/>
                <w:b/>
                <w:bCs/>
                <w:color w:val="auto"/>
                <w:sz w:val="18"/>
                <w:szCs w:val="18"/>
                <w:lang w:eastAsia="zh-CN"/>
              </w:rPr>
              <w:t xml:space="preserve">　</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20</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1</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安全技术措施编制及实施</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编制了安全技术措施并组织实施</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5</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2</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专项施工方案编制及实施</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编制了专项施工方案并组织实施</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5</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3</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标准作业</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施工作业严格按照相关规范进行，无违章作业行为发生</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5</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4</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设备设施管理</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设备设施管理规范</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5</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（三）</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lang w:eastAsia="zh-CN"/>
              </w:rPr>
            </w:pPr>
            <w:r>
              <w:rPr>
                <w:rFonts w:ascii="宋体" w:hAnsi="宋体" w:cs="宋体" w:hint="eastAsia"/>
                <w:b/>
                <w:bCs/>
                <w:color w:val="auto"/>
                <w:sz w:val="18"/>
                <w:szCs w:val="18"/>
                <w:lang w:eastAsia="zh-CN"/>
              </w:rPr>
              <w:t>安全隐患排查、处理及危险源管理</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lang w:eastAsia="zh-CN"/>
              </w:rPr>
            </w:pPr>
            <w:r>
              <w:rPr>
                <w:rFonts w:ascii="宋体" w:hAnsi="宋体" w:cs="宋体" w:hint="eastAsia"/>
                <w:b/>
                <w:bCs/>
                <w:color w:val="auto"/>
                <w:sz w:val="18"/>
                <w:szCs w:val="18"/>
                <w:lang w:eastAsia="zh-CN"/>
              </w:rPr>
              <w:t xml:space="preserve">　</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13</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1</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安全隐患排查</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按规定进行安全隐患排查</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4</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2</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危险源管理</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按规定开展进行危险源识别、评价，对重大危险源制定有针对性的应急预案</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4</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3</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安全隐患处理</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安全隐患处理及时、到位</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5</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（四）</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lang w:eastAsia="zh-CN"/>
              </w:rPr>
            </w:pPr>
            <w:r>
              <w:rPr>
                <w:rFonts w:ascii="宋体" w:hAnsi="宋体" w:cs="宋体" w:hint="eastAsia"/>
                <w:b/>
                <w:bCs/>
                <w:color w:val="auto"/>
                <w:sz w:val="18"/>
                <w:szCs w:val="18"/>
                <w:lang w:eastAsia="zh-CN"/>
              </w:rPr>
              <w:t>安全标志及劳动防护用品使用</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lang w:eastAsia="zh-CN"/>
              </w:rPr>
            </w:pPr>
            <w:r>
              <w:rPr>
                <w:rFonts w:ascii="宋体" w:hAnsi="宋体" w:cs="宋体" w:hint="eastAsia"/>
                <w:b/>
                <w:bCs/>
                <w:color w:val="auto"/>
                <w:sz w:val="18"/>
                <w:szCs w:val="18"/>
                <w:lang w:eastAsia="zh-CN"/>
              </w:rPr>
              <w:t xml:space="preserve">　</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8</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lastRenderedPageBreak/>
              <w:t>1</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安全防护及警示标志</w:t>
            </w:r>
          </w:p>
        </w:tc>
        <w:tc>
          <w:tcPr>
            <w:tcW w:w="5245"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安全防护的设置符合要求，与社会道路交叉口周围应有满足要求的夜间照明，危险标示、安全警示标志标牌设置应明显、符合规定。</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5</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nil"/>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2</w:t>
            </w:r>
          </w:p>
        </w:tc>
        <w:tc>
          <w:tcPr>
            <w:tcW w:w="1559" w:type="dxa"/>
            <w:tcBorders>
              <w:top w:val="nil"/>
              <w:left w:val="nil"/>
              <w:bottom w:val="nil"/>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劳动防护用品使用</w:t>
            </w:r>
          </w:p>
        </w:tc>
        <w:tc>
          <w:tcPr>
            <w:tcW w:w="5245" w:type="dxa"/>
            <w:tcBorders>
              <w:top w:val="nil"/>
              <w:left w:val="nil"/>
              <w:bottom w:val="nil"/>
              <w:right w:val="single" w:sz="4" w:space="0" w:color="auto"/>
            </w:tcBorders>
            <w:vAlign w:val="center"/>
          </w:tcPr>
          <w:p w:rsidR="00B73FF2" w:rsidRDefault="00504034">
            <w:pPr>
              <w:spacing w:line="360" w:lineRule="auto"/>
              <w:jc w:val="center"/>
              <w:rPr>
                <w:rFonts w:ascii="宋体" w:hAnsi="宋体" w:cs="宋体"/>
                <w:color w:val="auto"/>
                <w:sz w:val="18"/>
                <w:szCs w:val="18"/>
                <w:lang w:eastAsia="zh-CN"/>
              </w:rPr>
            </w:pPr>
            <w:r>
              <w:rPr>
                <w:rFonts w:ascii="宋体" w:hAnsi="宋体" w:cs="宋体" w:hint="eastAsia"/>
                <w:color w:val="auto"/>
                <w:sz w:val="18"/>
                <w:szCs w:val="18"/>
                <w:lang w:eastAsia="zh-CN"/>
              </w:rPr>
              <w:t>现场人员正确使用劳动防护用品</w:t>
            </w:r>
          </w:p>
        </w:tc>
        <w:tc>
          <w:tcPr>
            <w:tcW w:w="840" w:type="dxa"/>
            <w:tcBorders>
              <w:top w:val="nil"/>
              <w:left w:val="nil"/>
              <w:bottom w:val="nil"/>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3</w:t>
            </w:r>
          </w:p>
        </w:tc>
        <w:tc>
          <w:tcPr>
            <w:tcW w:w="860" w:type="dxa"/>
            <w:tcBorders>
              <w:top w:val="nil"/>
              <w:left w:val="nil"/>
              <w:bottom w:val="nil"/>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rPr>
                <w:rFonts w:ascii="宋体" w:hAnsi="宋体" w:cs="宋体"/>
                <w:b/>
                <w:bCs/>
                <w:color w:val="auto"/>
                <w:sz w:val="18"/>
                <w:szCs w:val="18"/>
              </w:rPr>
            </w:pPr>
            <w:r>
              <w:rPr>
                <w:rFonts w:ascii="宋体" w:hAnsi="宋体" w:cs="宋体" w:hint="eastAsia"/>
                <w:b/>
                <w:bCs/>
                <w:color w:val="auto"/>
                <w:sz w:val="18"/>
                <w:szCs w:val="18"/>
              </w:rPr>
              <w:t>二、文明施工</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b/>
                <w:bCs/>
                <w:color w:val="auto"/>
                <w:sz w:val="18"/>
                <w:szCs w:val="18"/>
              </w:rPr>
            </w:pPr>
            <w:r>
              <w:rPr>
                <w:rFonts w:ascii="宋体" w:hAnsi="宋体" w:cs="宋体" w:hint="eastAsia"/>
                <w:b/>
                <w:bCs/>
                <w:color w:val="auto"/>
                <w:sz w:val="18"/>
                <w:szCs w:val="18"/>
              </w:rPr>
              <w:t xml:space="preserve">　</w:t>
            </w:r>
          </w:p>
        </w:tc>
        <w:tc>
          <w:tcPr>
            <w:tcW w:w="5245"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b/>
                <w:bCs/>
                <w:color w:val="auto"/>
                <w:sz w:val="18"/>
                <w:szCs w:val="18"/>
              </w:rPr>
            </w:pPr>
            <w:r>
              <w:rPr>
                <w:rFonts w:ascii="宋体" w:hAnsi="宋体" w:cs="宋体" w:hint="eastAsia"/>
                <w:b/>
                <w:bCs/>
                <w:color w:val="auto"/>
                <w:sz w:val="18"/>
                <w:szCs w:val="18"/>
              </w:rPr>
              <w:t xml:space="preserve">　</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50</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b/>
                <w:bCs/>
                <w:color w:val="auto"/>
                <w:sz w:val="18"/>
                <w:szCs w:val="18"/>
              </w:rPr>
            </w:pPr>
            <w:r>
              <w:rPr>
                <w:rFonts w:ascii="宋体" w:hAnsi="宋体" w:cs="宋体" w:hint="eastAsia"/>
                <w:b/>
                <w:bCs/>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（一）</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rPr>
                <w:rFonts w:ascii="宋体" w:hAnsi="宋体" w:cs="宋体"/>
                <w:b/>
                <w:bCs/>
                <w:color w:val="auto"/>
                <w:sz w:val="18"/>
                <w:szCs w:val="18"/>
              </w:rPr>
            </w:pPr>
            <w:r>
              <w:rPr>
                <w:rFonts w:ascii="宋体" w:hAnsi="宋体" w:cs="宋体" w:hint="eastAsia"/>
                <w:b/>
                <w:bCs/>
                <w:color w:val="auto"/>
                <w:sz w:val="18"/>
                <w:szCs w:val="18"/>
              </w:rPr>
              <w:t>施工现场布置</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rPr>
                <w:rFonts w:ascii="宋体" w:hAnsi="宋体" w:cs="宋体"/>
                <w:b/>
                <w:bCs/>
                <w:color w:val="auto"/>
                <w:sz w:val="18"/>
                <w:szCs w:val="18"/>
                <w:lang w:eastAsia="zh-CN"/>
              </w:rPr>
            </w:pPr>
            <w:r>
              <w:rPr>
                <w:rFonts w:ascii="宋体" w:hAnsi="宋体" w:cs="宋体" w:hint="eastAsia"/>
                <w:b/>
                <w:bCs/>
                <w:color w:val="auto"/>
                <w:sz w:val="18"/>
                <w:szCs w:val="18"/>
                <w:lang w:eastAsia="zh-CN"/>
              </w:rPr>
              <w:t>工程开工后</w:t>
            </w:r>
            <w:r>
              <w:rPr>
                <w:rFonts w:ascii="宋体" w:hAnsi="宋体" w:cs="宋体"/>
                <w:b/>
                <w:bCs/>
                <w:color w:val="auto"/>
                <w:sz w:val="18"/>
                <w:szCs w:val="18"/>
                <w:lang w:eastAsia="zh-CN"/>
              </w:rPr>
              <w:t>20</w:t>
            </w:r>
            <w:r>
              <w:rPr>
                <w:rFonts w:ascii="宋体" w:hAnsi="宋体" w:cs="宋体" w:hint="eastAsia"/>
                <w:b/>
                <w:bCs/>
                <w:color w:val="auto"/>
                <w:sz w:val="18"/>
                <w:szCs w:val="18"/>
                <w:lang w:eastAsia="zh-CN"/>
              </w:rPr>
              <w:t>天内，施工现场布置进行专项考核验收，验收不通过（该项得分少于</w:t>
            </w:r>
            <w:r>
              <w:rPr>
                <w:rFonts w:ascii="宋体" w:hAnsi="宋体" w:cs="宋体"/>
                <w:b/>
                <w:bCs/>
                <w:color w:val="auto"/>
                <w:sz w:val="18"/>
                <w:szCs w:val="18"/>
                <w:lang w:eastAsia="zh-CN"/>
              </w:rPr>
              <w:t>24</w:t>
            </w:r>
            <w:r>
              <w:rPr>
                <w:rFonts w:ascii="宋体" w:hAnsi="宋体" w:cs="宋体" w:hint="eastAsia"/>
                <w:b/>
                <w:bCs/>
                <w:color w:val="auto"/>
                <w:sz w:val="18"/>
                <w:szCs w:val="18"/>
                <w:lang w:eastAsia="zh-CN"/>
              </w:rPr>
              <w:t>分），将扣除所有安全文明施工费；待整改通过验收后，该子目得分以</w:t>
            </w:r>
            <w:r>
              <w:rPr>
                <w:rFonts w:ascii="宋体" w:hAnsi="宋体" w:cs="宋体"/>
                <w:b/>
                <w:bCs/>
                <w:color w:val="auto"/>
                <w:sz w:val="18"/>
                <w:szCs w:val="18"/>
                <w:lang w:eastAsia="zh-CN"/>
              </w:rPr>
              <w:t>24</w:t>
            </w:r>
            <w:r>
              <w:rPr>
                <w:rFonts w:ascii="宋体" w:hAnsi="宋体" w:cs="宋体" w:hint="eastAsia"/>
                <w:b/>
                <w:bCs/>
                <w:color w:val="auto"/>
                <w:sz w:val="18"/>
                <w:szCs w:val="18"/>
                <w:lang w:eastAsia="zh-CN"/>
              </w:rPr>
              <w:t>分计。</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30</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rPr>
                <w:rFonts w:ascii="宋体" w:hAnsi="宋体" w:cs="宋体"/>
                <w:b/>
                <w:bCs/>
                <w:color w:val="auto"/>
                <w:sz w:val="18"/>
                <w:szCs w:val="18"/>
              </w:rPr>
            </w:pPr>
            <w:r>
              <w:rPr>
                <w:rFonts w:ascii="宋体" w:hAnsi="宋体" w:cs="宋体" w:hint="eastAsia"/>
                <w:b/>
                <w:bCs/>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1</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临时设施</w:t>
            </w:r>
          </w:p>
        </w:tc>
        <w:tc>
          <w:tcPr>
            <w:tcW w:w="5245"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lang w:eastAsia="zh-CN"/>
              </w:rPr>
            </w:pPr>
            <w:r>
              <w:rPr>
                <w:rFonts w:ascii="宋体" w:hAnsi="宋体" w:cs="宋体" w:hint="eastAsia"/>
                <w:color w:val="auto"/>
                <w:sz w:val="18"/>
                <w:szCs w:val="18"/>
                <w:lang w:eastAsia="zh-CN"/>
              </w:rPr>
              <w:t>施工现场按总平面图布置临时设施，办公区、生活区与作业区明显划分，宿舍净高、宽度、居住人数符合规定要求。施工现场内的临时场地应坚实牢固，无积水、无浮尘，车辆通行无扬尘。</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8</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2</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围挡设置</w:t>
            </w:r>
          </w:p>
        </w:tc>
        <w:tc>
          <w:tcPr>
            <w:tcW w:w="5245" w:type="dxa"/>
            <w:tcBorders>
              <w:top w:val="single" w:sz="4" w:space="0" w:color="auto"/>
              <w:left w:val="nil"/>
              <w:bottom w:val="single" w:sz="4" w:space="0" w:color="auto"/>
              <w:right w:val="single" w:sz="4" w:space="0" w:color="auto"/>
            </w:tcBorders>
            <w:vAlign w:val="center"/>
          </w:tcPr>
          <w:p w:rsidR="00B73FF2" w:rsidRDefault="00504034" w:rsidP="00B026AA">
            <w:pPr>
              <w:spacing w:line="360" w:lineRule="auto"/>
              <w:rPr>
                <w:rFonts w:ascii="宋体" w:hAnsi="宋体" w:cs="宋体"/>
                <w:color w:val="auto"/>
                <w:sz w:val="18"/>
                <w:szCs w:val="18"/>
                <w:lang w:eastAsia="zh-CN"/>
              </w:rPr>
            </w:pPr>
            <w:r>
              <w:rPr>
                <w:rFonts w:ascii="宋体" w:hAnsi="宋体" w:cs="宋体" w:hint="eastAsia"/>
                <w:color w:val="auto"/>
                <w:sz w:val="18"/>
                <w:szCs w:val="18"/>
                <w:lang w:eastAsia="zh-CN"/>
              </w:rPr>
              <w:t>工地应设置围挡，应根据工地现场实际情况做到应围尽围，无缺失，应设置符合要求的防渗基础，无泥浆杂土外漏，重要地区和主要路段范围内的围墙围挡高度不低于</w:t>
            </w:r>
            <w:r>
              <w:rPr>
                <w:rFonts w:ascii="宋体" w:hAnsi="宋体" w:cs="宋体"/>
                <w:color w:val="auto"/>
                <w:sz w:val="18"/>
                <w:szCs w:val="18"/>
                <w:lang w:eastAsia="zh-CN"/>
              </w:rPr>
              <w:t>2.5m</w:t>
            </w:r>
            <w:r>
              <w:rPr>
                <w:rFonts w:ascii="宋体" w:hAnsi="宋体" w:cs="宋体" w:hint="eastAsia"/>
                <w:color w:val="auto"/>
                <w:sz w:val="18"/>
                <w:szCs w:val="18"/>
                <w:lang w:eastAsia="zh-CN"/>
              </w:rPr>
              <w:t>，一般路段围墙围挡高度不低于</w:t>
            </w:r>
            <w:r>
              <w:rPr>
                <w:rFonts w:ascii="宋体" w:hAnsi="宋体" w:cs="宋体"/>
                <w:color w:val="auto"/>
                <w:sz w:val="18"/>
                <w:szCs w:val="18"/>
                <w:lang w:eastAsia="zh-CN"/>
              </w:rPr>
              <w:t>1.8 m</w:t>
            </w:r>
            <w:r>
              <w:rPr>
                <w:rFonts w:ascii="宋体" w:hAnsi="宋体" w:cs="宋体" w:hint="eastAsia"/>
                <w:color w:val="auto"/>
                <w:sz w:val="18"/>
                <w:szCs w:val="18"/>
                <w:lang w:eastAsia="zh-CN"/>
              </w:rPr>
              <w:t>。河道工程沿线设置醒目标志和警告牌，应根据施工河段采用移动式围挡进行分段隔离。围挡外表面应干净整洁。靠近道路及居民区的围挡上应设置符合要求的夜间照明和安全警示标志标示。</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5</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3</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施工道路及排水</w:t>
            </w:r>
          </w:p>
        </w:tc>
        <w:tc>
          <w:tcPr>
            <w:tcW w:w="5245"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lang w:eastAsia="zh-CN"/>
              </w:rPr>
            </w:pPr>
            <w:r>
              <w:rPr>
                <w:rFonts w:ascii="宋体" w:hAnsi="宋体" w:cs="宋体" w:hint="eastAsia"/>
                <w:color w:val="auto"/>
                <w:sz w:val="18"/>
                <w:szCs w:val="18"/>
                <w:lang w:eastAsia="zh-CN"/>
              </w:rPr>
              <w:t>工地出入口、作业区、生活区、办公区的临时场地、道路采用砼硬化，道路的强度、厚度、宽度满足安全通行要求，配有专人负责道路清除浮土、洒水等卫生保洁工作，确保道路通行无扬尘。</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7</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4</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施工现场标牌</w:t>
            </w:r>
          </w:p>
        </w:tc>
        <w:tc>
          <w:tcPr>
            <w:tcW w:w="5245" w:type="dxa"/>
            <w:tcBorders>
              <w:top w:val="single" w:sz="4" w:space="0" w:color="auto"/>
              <w:left w:val="nil"/>
              <w:bottom w:val="single" w:sz="4" w:space="0" w:color="auto"/>
              <w:right w:val="single" w:sz="4" w:space="0" w:color="auto"/>
            </w:tcBorders>
            <w:vAlign w:val="center"/>
          </w:tcPr>
          <w:p w:rsidR="00B73FF2" w:rsidRDefault="00504034" w:rsidP="00B026AA">
            <w:pPr>
              <w:spacing w:line="360" w:lineRule="auto"/>
              <w:rPr>
                <w:rFonts w:ascii="宋体" w:hAnsi="宋体" w:cs="宋体"/>
                <w:color w:val="auto"/>
                <w:sz w:val="18"/>
                <w:szCs w:val="18"/>
              </w:rPr>
            </w:pPr>
            <w:r>
              <w:rPr>
                <w:rFonts w:ascii="宋体" w:hAnsi="宋体" w:cs="宋体" w:hint="eastAsia"/>
                <w:color w:val="auto"/>
                <w:sz w:val="18"/>
                <w:szCs w:val="18"/>
                <w:lang w:eastAsia="zh-CN"/>
              </w:rPr>
              <w:t>工地醒目位置设置五牌一图，分别为工程概况牌、管理人员名单及监督电话牌、消防保卫制度牌、安全生产制度牌、文明施工制度牌和施工现场平面图。</w:t>
            </w:r>
            <w:r>
              <w:rPr>
                <w:rFonts w:ascii="宋体" w:hAnsi="宋体" w:cs="宋体" w:hint="eastAsia"/>
                <w:color w:val="auto"/>
                <w:sz w:val="18"/>
                <w:szCs w:val="18"/>
              </w:rPr>
              <w:t>现场应按要求设置各种安全标志牌。</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5</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5</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材料、设备停放</w:t>
            </w:r>
          </w:p>
        </w:tc>
        <w:tc>
          <w:tcPr>
            <w:tcW w:w="5245"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lang w:eastAsia="zh-CN"/>
              </w:rPr>
            </w:pPr>
            <w:r>
              <w:rPr>
                <w:rFonts w:ascii="宋体" w:hAnsi="宋体" w:cs="宋体" w:hint="eastAsia"/>
                <w:color w:val="auto"/>
                <w:sz w:val="18"/>
                <w:szCs w:val="18"/>
                <w:lang w:eastAsia="zh-CN"/>
              </w:rPr>
              <w:t>施工材料和机械设备应按照现场平面布置图确定的位置放置，水泥、生石灰等易产生扬尘的建筑材料，应严密遮盖或在库内、池内存放，易产生尘埃的物料装卸、物料堆放，采取遮盖、封闭、洒水等控制措施。施工区域内做到“工完料尽场地清”。</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5</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（二）</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b/>
                <w:bCs/>
                <w:color w:val="auto"/>
                <w:sz w:val="18"/>
                <w:szCs w:val="18"/>
              </w:rPr>
            </w:pPr>
            <w:r>
              <w:rPr>
                <w:rFonts w:ascii="宋体" w:hAnsi="宋体" w:cs="宋体" w:hint="eastAsia"/>
                <w:b/>
                <w:bCs/>
                <w:color w:val="auto"/>
                <w:sz w:val="18"/>
                <w:szCs w:val="18"/>
              </w:rPr>
              <w:t>现场管理</w:t>
            </w:r>
          </w:p>
        </w:tc>
        <w:tc>
          <w:tcPr>
            <w:tcW w:w="5245"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b/>
                <w:bCs/>
                <w:color w:val="auto"/>
                <w:sz w:val="18"/>
                <w:szCs w:val="18"/>
              </w:rPr>
            </w:pPr>
            <w:r>
              <w:rPr>
                <w:rFonts w:ascii="宋体" w:hAnsi="宋体" w:cs="宋体" w:hint="eastAsia"/>
                <w:b/>
                <w:bCs/>
                <w:color w:val="auto"/>
                <w:sz w:val="18"/>
                <w:szCs w:val="18"/>
              </w:rPr>
              <w:t xml:space="preserve">　</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10</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b/>
                <w:bCs/>
                <w:color w:val="auto"/>
                <w:sz w:val="18"/>
                <w:szCs w:val="18"/>
              </w:rPr>
            </w:pPr>
            <w:r>
              <w:rPr>
                <w:rFonts w:ascii="宋体" w:hAnsi="宋体" w:cs="宋体" w:hint="eastAsia"/>
                <w:b/>
                <w:bCs/>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1</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车辆冲洗</w:t>
            </w:r>
          </w:p>
        </w:tc>
        <w:tc>
          <w:tcPr>
            <w:tcW w:w="5245" w:type="dxa"/>
            <w:tcBorders>
              <w:top w:val="single" w:sz="4" w:space="0" w:color="auto"/>
              <w:left w:val="nil"/>
              <w:bottom w:val="single" w:sz="4" w:space="0" w:color="auto"/>
              <w:right w:val="single" w:sz="4" w:space="0" w:color="auto"/>
            </w:tcBorders>
            <w:vAlign w:val="center"/>
          </w:tcPr>
          <w:p w:rsidR="00B73FF2" w:rsidRDefault="00504034" w:rsidP="0053658A">
            <w:pPr>
              <w:spacing w:line="360" w:lineRule="auto"/>
              <w:rPr>
                <w:rFonts w:ascii="宋体" w:hAnsi="宋体" w:cs="宋体"/>
                <w:color w:val="auto"/>
                <w:sz w:val="18"/>
                <w:szCs w:val="18"/>
                <w:lang w:eastAsia="zh-CN"/>
              </w:rPr>
            </w:pPr>
            <w:r>
              <w:rPr>
                <w:rFonts w:ascii="宋体" w:hAnsi="宋体" w:cs="宋体" w:hint="eastAsia"/>
                <w:color w:val="auto"/>
                <w:sz w:val="18"/>
                <w:szCs w:val="18"/>
                <w:lang w:eastAsia="zh-CN"/>
              </w:rPr>
              <w:t>工地主要出入口</w:t>
            </w:r>
            <w:r w:rsidR="00340A51">
              <w:rPr>
                <w:rFonts w:ascii="宋体" w:eastAsiaTheme="minorEastAsia" w:hAnsi="宋体" w:cs="宋体" w:hint="eastAsia"/>
                <w:color w:val="auto"/>
                <w:sz w:val="18"/>
                <w:szCs w:val="18"/>
                <w:lang w:eastAsia="zh-CN"/>
              </w:rPr>
              <w:t>设置</w:t>
            </w:r>
            <w:r>
              <w:rPr>
                <w:rFonts w:ascii="宋体" w:hAnsi="宋体" w:cs="宋体" w:hint="eastAsia"/>
                <w:color w:val="auto"/>
                <w:sz w:val="18"/>
                <w:szCs w:val="18"/>
                <w:lang w:eastAsia="zh-CN"/>
              </w:rPr>
              <w:t>冲洗</w:t>
            </w:r>
            <w:r w:rsidR="00340A51">
              <w:rPr>
                <w:rFonts w:ascii="宋体" w:eastAsiaTheme="minorEastAsia" w:hAnsi="宋体" w:cs="宋体" w:hint="eastAsia"/>
                <w:color w:val="auto"/>
                <w:sz w:val="18"/>
                <w:szCs w:val="18"/>
                <w:lang w:eastAsia="zh-CN"/>
              </w:rPr>
              <w:t>措施</w:t>
            </w:r>
            <w:r>
              <w:rPr>
                <w:rFonts w:ascii="宋体" w:hAnsi="宋体" w:cs="宋体" w:hint="eastAsia"/>
                <w:color w:val="auto"/>
                <w:sz w:val="18"/>
                <w:szCs w:val="18"/>
                <w:lang w:eastAsia="zh-CN"/>
              </w:rPr>
              <w:t>，</w:t>
            </w:r>
            <w:r w:rsidR="00B026AA">
              <w:rPr>
                <w:rFonts w:ascii="宋体" w:eastAsiaTheme="minorEastAsia" w:hAnsi="宋体" w:cs="宋体" w:hint="eastAsia"/>
                <w:color w:val="auto"/>
                <w:sz w:val="18"/>
                <w:szCs w:val="18"/>
                <w:lang w:eastAsia="zh-CN"/>
              </w:rPr>
              <w:t>用于</w:t>
            </w:r>
            <w:r>
              <w:rPr>
                <w:rFonts w:ascii="宋体" w:hAnsi="宋体" w:cs="宋体" w:hint="eastAsia"/>
                <w:color w:val="auto"/>
                <w:sz w:val="18"/>
                <w:szCs w:val="18"/>
                <w:lang w:eastAsia="zh-CN"/>
              </w:rPr>
              <w:t>车辆、进出道路口的冲洗、清扫工作，确保上路车辆车轮、车身不带泥，冲</w:t>
            </w:r>
            <w:r w:rsidR="00B026AA">
              <w:rPr>
                <w:rFonts w:ascii="宋体" w:hAnsi="宋体" w:cs="宋体" w:hint="eastAsia"/>
                <w:color w:val="auto"/>
                <w:sz w:val="18"/>
                <w:szCs w:val="18"/>
                <w:lang w:eastAsia="zh-CN"/>
              </w:rPr>
              <w:t>洗</w:t>
            </w:r>
            <w:r w:rsidR="00862069">
              <w:rPr>
                <w:rFonts w:ascii="宋体" w:eastAsiaTheme="minorEastAsia" w:hAnsi="宋体" w:cs="宋体" w:hint="eastAsia"/>
                <w:color w:val="auto"/>
                <w:sz w:val="18"/>
                <w:szCs w:val="18"/>
                <w:lang w:eastAsia="zh-CN"/>
              </w:rPr>
              <w:t>措施</w:t>
            </w:r>
            <w:r w:rsidR="00B026AA">
              <w:rPr>
                <w:rFonts w:ascii="宋体" w:eastAsiaTheme="minorEastAsia" w:hAnsi="宋体" w:cs="宋体" w:hint="eastAsia"/>
                <w:color w:val="auto"/>
                <w:sz w:val="18"/>
                <w:szCs w:val="18"/>
                <w:lang w:eastAsia="zh-CN"/>
              </w:rPr>
              <w:t>应考虑</w:t>
            </w:r>
            <w:r>
              <w:rPr>
                <w:rFonts w:ascii="宋体" w:hAnsi="宋体" w:cs="宋体" w:hint="eastAsia"/>
                <w:color w:val="auto"/>
                <w:sz w:val="18"/>
                <w:szCs w:val="18"/>
                <w:lang w:eastAsia="zh-CN"/>
              </w:rPr>
              <w:t>排水，污水不外溢。</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2</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2</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渣土清运</w:t>
            </w:r>
          </w:p>
        </w:tc>
        <w:tc>
          <w:tcPr>
            <w:tcW w:w="5245"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lang w:eastAsia="zh-CN"/>
              </w:rPr>
            </w:pPr>
            <w:r>
              <w:rPr>
                <w:rFonts w:ascii="宋体" w:hAnsi="宋体" w:cs="宋体" w:hint="eastAsia"/>
                <w:color w:val="auto"/>
                <w:sz w:val="18"/>
                <w:szCs w:val="18"/>
                <w:lang w:eastAsia="zh-CN"/>
              </w:rPr>
              <w:t>渣土、建筑垃圾清运应由有资质的运输企业采取密闭化承运，集中堆放建筑垃圾、工程渣土，并及时清运，不能及时完成清运的应覆盖或绿化等控制措施。</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2</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lastRenderedPageBreak/>
              <w:t>3</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裸土覆盖</w:t>
            </w:r>
          </w:p>
        </w:tc>
        <w:tc>
          <w:tcPr>
            <w:tcW w:w="5245"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lang w:eastAsia="zh-CN"/>
              </w:rPr>
            </w:pPr>
            <w:r>
              <w:rPr>
                <w:rFonts w:ascii="宋体" w:hAnsi="宋体" w:cs="宋体" w:hint="eastAsia"/>
                <w:color w:val="auto"/>
                <w:sz w:val="18"/>
                <w:szCs w:val="18"/>
                <w:lang w:eastAsia="zh-CN"/>
              </w:rPr>
              <w:t>施工区域内的长期裸露地面、堆土采取临时绿化，网、膜覆盖等措施。</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2</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4</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施工区管理</w:t>
            </w:r>
          </w:p>
        </w:tc>
        <w:tc>
          <w:tcPr>
            <w:tcW w:w="5245"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lang w:eastAsia="zh-CN"/>
              </w:rPr>
            </w:pPr>
            <w:r>
              <w:rPr>
                <w:rFonts w:ascii="宋体" w:hAnsi="宋体" w:cs="宋体" w:hint="eastAsia"/>
                <w:color w:val="auto"/>
                <w:sz w:val="18"/>
                <w:szCs w:val="18"/>
                <w:lang w:eastAsia="zh-CN"/>
              </w:rPr>
              <w:t>施工区作业面井井有条，做到工完场清，建筑垃圾集中堆放并及时清运进入。现场人员必须戴好安全帽、统一着装。现场的机具设备一律应设安全防护罩。</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2</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5</w:t>
            </w:r>
          </w:p>
        </w:tc>
        <w:tc>
          <w:tcPr>
            <w:tcW w:w="1559" w:type="dxa"/>
            <w:tcBorders>
              <w:top w:val="nil"/>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办公区和生活区管理</w:t>
            </w:r>
          </w:p>
        </w:tc>
        <w:tc>
          <w:tcPr>
            <w:tcW w:w="5245" w:type="dxa"/>
            <w:tcBorders>
              <w:top w:val="nil"/>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lang w:eastAsia="zh-CN"/>
              </w:rPr>
            </w:pPr>
            <w:r>
              <w:rPr>
                <w:rFonts w:ascii="宋体" w:hAnsi="宋体" w:cs="宋体" w:hint="eastAsia"/>
                <w:color w:val="auto"/>
                <w:sz w:val="18"/>
                <w:szCs w:val="18"/>
                <w:lang w:eastAsia="zh-CN"/>
              </w:rPr>
              <w:t>办公区、生活区内外环境干净、整洁，卫生状况良好</w:t>
            </w:r>
          </w:p>
        </w:tc>
        <w:tc>
          <w:tcPr>
            <w:tcW w:w="840" w:type="dxa"/>
            <w:tcBorders>
              <w:top w:val="nil"/>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color w:val="auto"/>
                <w:sz w:val="18"/>
                <w:szCs w:val="18"/>
              </w:rPr>
              <w:t>2</w:t>
            </w:r>
          </w:p>
        </w:tc>
        <w:tc>
          <w:tcPr>
            <w:tcW w:w="860" w:type="dxa"/>
            <w:tcBorders>
              <w:top w:val="nil"/>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r>
      <w:tr w:rsidR="00B73FF2">
        <w:trPr>
          <w:trHeight w:val="680"/>
        </w:trPr>
        <w:tc>
          <w:tcPr>
            <w:tcW w:w="1489" w:type="dxa"/>
            <w:tcBorders>
              <w:top w:val="nil"/>
              <w:left w:val="single" w:sz="4" w:space="0" w:color="auto"/>
              <w:bottom w:val="nil"/>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（三）</w:t>
            </w:r>
          </w:p>
        </w:tc>
        <w:tc>
          <w:tcPr>
            <w:tcW w:w="1559" w:type="dxa"/>
            <w:tcBorders>
              <w:top w:val="nil"/>
              <w:left w:val="nil"/>
              <w:bottom w:val="nil"/>
              <w:right w:val="single" w:sz="4" w:space="0" w:color="auto"/>
            </w:tcBorders>
            <w:vAlign w:val="center"/>
          </w:tcPr>
          <w:p w:rsidR="00B73FF2" w:rsidRDefault="00504034">
            <w:pPr>
              <w:spacing w:line="360" w:lineRule="auto"/>
              <w:rPr>
                <w:rFonts w:ascii="宋体" w:hAnsi="宋体" w:cs="宋体"/>
                <w:b/>
                <w:bCs/>
                <w:color w:val="auto"/>
                <w:sz w:val="18"/>
                <w:szCs w:val="18"/>
                <w:lang w:eastAsia="zh-CN"/>
              </w:rPr>
            </w:pPr>
            <w:r>
              <w:rPr>
                <w:rFonts w:ascii="宋体" w:hAnsi="宋体" w:cs="宋体" w:hint="eastAsia"/>
                <w:b/>
                <w:bCs/>
                <w:color w:val="auto"/>
                <w:sz w:val="18"/>
                <w:szCs w:val="18"/>
                <w:lang w:eastAsia="zh-CN"/>
              </w:rPr>
              <w:t>环境保护、节能保护措施</w:t>
            </w:r>
          </w:p>
        </w:tc>
        <w:tc>
          <w:tcPr>
            <w:tcW w:w="5245" w:type="dxa"/>
            <w:tcBorders>
              <w:top w:val="nil"/>
              <w:left w:val="nil"/>
              <w:bottom w:val="nil"/>
              <w:right w:val="single" w:sz="4" w:space="0" w:color="auto"/>
            </w:tcBorders>
            <w:vAlign w:val="center"/>
          </w:tcPr>
          <w:p w:rsidR="00B73FF2" w:rsidRDefault="00504034">
            <w:pPr>
              <w:spacing w:line="360" w:lineRule="auto"/>
              <w:rPr>
                <w:rFonts w:ascii="宋体" w:hAnsi="宋体" w:cs="宋体"/>
                <w:b/>
                <w:bCs/>
                <w:color w:val="auto"/>
                <w:sz w:val="18"/>
                <w:szCs w:val="18"/>
                <w:lang w:eastAsia="zh-CN"/>
              </w:rPr>
            </w:pPr>
            <w:r>
              <w:rPr>
                <w:rFonts w:ascii="宋体" w:hAnsi="宋体" w:cs="宋体" w:hint="eastAsia"/>
                <w:b/>
                <w:bCs/>
                <w:color w:val="auto"/>
                <w:sz w:val="18"/>
                <w:szCs w:val="18"/>
                <w:lang w:eastAsia="zh-CN"/>
              </w:rPr>
              <w:t>扬尘、噪音及振动、土壤及水污染、光污染、建筑垃圾处理，地下设施、文物和资源保护等控制措施有力，效果良好。</w:t>
            </w:r>
          </w:p>
        </w:tc>
        <w:tc>
          <w:tcPr>
            <w:tcW w:w="840" w:type="dxa"/>
            <w:tcBorders>
              <w:top w:val="nil"/>
              <w:left w:val="nil"/>
              <w:bottom w:val="nil"/>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b/>
                <w:bCs/>
                <w:color w:val="auto"/>
                <w:sz w:val="18"/>
                <w:szCs w:val="18"/>
              </w:rPr>
              <w:t>10</w:t>
            </w:r>
          </w:p>
        </w:tc>
        <w:tc>
          <w:tcPr>
            <w:tcW w:w="860" w:type="dxa"/>
            <w:tcBorders>
              <w:top w:val="nil"/>
              <w:left w:val="nil"/>
              <w:bottom w:val="nil"/>
              <w:right w:val="single" w:sz="4" w:space="0" w:color="auto"/>
            </w:tcBorders>
            <w:vAlign w:val="center"/>
          </w:tcPr>
          <w:p w:rsidR="00B73FF2" w:rsidRDefault="00504034">
            <w:pPr>
              <w:spacing w:line="360" w:lineRule="auto"/>
              <w:rPr>
                <w:rFonts w:ascii="宋体" w:hAnsi="宋体" w:cs="宋体"/>
                <w:b/>
                <w:bCs/>
                <w:color w:val="auto"/>
                <w:sz w:val="18"/>
                <w:szCs w:val="18"/>
              </w:rPr>
            </w:pPr>
            <w:r>
              <w:rPr>
                <w:rFonts w:ascii="宋体" w:hAnsi="宋体" w:cs="宋体" w:hint="eastAsia"/>
                <w:b/>
                <w:bCs/>
                <w:color w:val="auto"/>
                <w:sz w:val="18"/>
                <w:szCs w:val="18"/>
              </w:rPr>
              <w:t xml:space="preserve">　</w:t>
            </w:r>
          </w:p>
        </w:tc>
      </w:tr>
      <w:tr w:rsidR="00B73FF2">
        <w:trPr>
          <w:trHeight w:val="680"/>
        </w:trPr>
        <w:tc>
          <w:tcPr>
            <w:tcW w:w="1489" w:type="dxa"/>
            <w:tcBorders>
              <w:top w:val="single" w:sz="4" w:space="0" w:color="auto"/>
              <w:left w:val="single" w:sz="4" w:space="0" w:color="auto"/>
              <w:bottom w:val="single" w:sz="4" w:space="0" w:color="auto"/>
              <w:right w:val="single" w:sz="4" w:space="0" w:color="auto"/>
            </w:tcBorders>
            <w:vAlign w:val="center"/>
          </w:tcPr>
          <w:p w:rsidR="00B73FF2" w:rsidRDefault="00504034">
            <w:pPr>
              <w:spacing w:line="360" w:lineRule="auto"/>
              <w:jc w:val="center"/>
              <w:rPr>
                <w:rFonts w:ascii="宋体" w:hAnsi="宋体" w:cs="宋体"/>
                <w:b/>
                <w:bCs/>
                <w:color w:val="auto"/>
                <w:sz w:val="18"/>
                <w:szCs w:val="18"/>
              </w:rPr>
            </w:pPr>
            <w:r>
              <w:rPr>
                <w:rFonts w:ascii="宋体" w:hAnsi="宋体" w:cs="宋体" w:hint="eastAsia"/>
                <w:b/>
                <w:bCs/>
                <w:color w:val="auto"/>
                <w:sz w:val="18"/>
                <w:szCs w:val="18"/>
              </w:rPr>
              <w:t>总计</w:t>
            </w:r>
          </w:p>
        </w:tc>
        <w:tc>
          <w:tcPr>
            <w:tcW w:w="1559"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c>
          <w:tcPr>
            <w:tcW w:w="5245"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c>
          <w:tcPr>
            <w:tcW w:w="840" w:type="dxa"/>
            <w:tcBorders>
              <w:top w:val="single" w:sz="4" w:space="0" w:color="auto"/>
              <w:left w:val="nil"/>
              <w:bottom w:val="single" w:sz="4" w:space="0" w:color="auto"/>
              <w:right w:val="single" w:sz="4" w:space="0" w:color="auto"/>
            </w:tcBorders>
            <w:vAlign w:val="center"/>
          </w:tcPr>
          <w:p w:rsidR="00B73FF2" w:rsidRDefault="00504034">
            <w:pPr>
              <w:spacing w:line="360" w:lineRule="auto"/>
              <w:jc w:val="center"/>
              <w:rPr>
                <w:rFonts w:ascii="宋体" w:hAnsi="宋体" w:cs="宋体"/>
                <w:color w:val="auto"/>
                <w:sz w:val="18"/>
                <w:szCs w:val="18"/>
              </w:rPr>
            </w:pPr>
            <w:r>
              <w:rPr>
                <w:rFonts w:ascii="宋体" w:hAnsi="宋体" w:cs="宋体" w:hint="eastAsia"/>
                <w:color w:val="auto"/>
                <w:sz w:val="18"/>
                <w:szCs w:val="18"/>
              </w:rPr>
              <w:t xml:space="preserve">　</w:t>
            </w:r>
          </w:p>
        </w:tc>
        <w:tc>
          <w:tcPr>
            <w:tcW w:w="860" w:type="dxa"/>
            <w:tcBorders>
              <w:top w:val="single" w:sz="4" w:space="0" w:color="auto"/>
              <w:left w:val="nil"/>
              <w:bottom w:val="single" w:sz="4" w:space="0" w:color="auto"/>
              <w:right w:val="single" w:sz="4" w:space="0" w:color="auto"/>
            </w:tcBorders>
            <w:vAlign w:val="center"/>
          </w:tcPr>
          <w:p w:rsidR="00B73FF2" w:rsidRDefault="00504034">
            <w:pPr>
              <w:spacing w:line="360" w:lineRule="auto"/>
              <w:rPr>
                <w:rFonts w:ascii="宋体" w:hAnsi="宋体" w:cs="宋体"/>
                <w:color w:val="auto"/>
                <w:sz w:val="18"/>
                <w:szCs w:val="18"/>
              </w:rPr>
            </w:pPr>
            <w:r>
              <w:rPr>
                <w:rFonts w:ascii="宋体" w:hAnsi="宋体" w:cs="宋体" w:hint="eastAsia"/>
                <w:color w:val="auto"/>
                <w:sz w:val="18"/>
                <w:szCs w:val="18"/>
              </w:rPr>
              <w:t xml:space="preserve">　</w:t>
            </w:r>
          </w:p>
        </w:tc>
      </w:tr>
    </w:tbl>
    <w:p w:rsidR="00B73FF2" w:rsidRDefault="00504034">
      <w:pPr>
        <w:rPr>
          <w:rFonts w:ascii="宋体" w:hAnsi="宋体"/>
          <w:b/>
          <w:bCs/>
          <w:color w:val="auto"/>
        </w:rPr>
      </w:pPr>
      <w:r>
        <w:rPr>
          <w:rFonts w:ascii="宋体" w:hAnsi="宋体" w:hint="eastAsia"/>
          <w:b/>
          <w:bCs/>
          <w:color w:val="auto"/>
        </w:rPr>
        <w:t>考核人（盖章）：</w:t>
      </w:r>
    </w:p>
    <w:p w:rsidR="00B73FF2" w:rsidRDefault="00B73FF2">
      <w:pPr>
        <w:rPr>
          <w:rFonts w:ascii="宋体" w:hAnsi="宋体"/>
          <w:b/>
          <w:bCs/>
          <w:color w:val="auto"/>
        </w:rPr>
      </w:pPr>
    </w:p>
    <w:p w:rsidR="000D2B76" w:rsidRDefault="000D2B76">
      <w:pPr>
        <w:spacing w:line="360" w:lineRule="auto"/>
        <w:rPr>
          <w:rFonts w:ascii="宋体" w:eastAsia="宋体" w:hAnsi="宋体"/>
          <w:b/>
          <w:color w:val="auto"/>
          <w:lang w:eastAsia="zh-CN"/>
        </w:rPr>
      </w:pPr>
      <w:r w:rsidRPr="000D2B76">
        <w:rPr>
          <w:rFonts w:ascii="宋体" w:eastAsia="宋体" w:hAnsi="宋体" w:hint="eastAsia"/>
          <w:b/>
          <w:color w:val="auto"/>
          <w:lang w:eastAsia="zh-CN"/>
        </w:rPr>
        <w:t>注</w:t>
      </w:r>
      <w:r>
        <w:rPr>
          <w:rFonts w:ascii="宋体" w:eastAsia="宋体" w:hAnsi="宋体" w:hint="eastAsia"/>
          <w:b/>
          <w:color w:val="auto"/>
          <w:lang w:eastAsia="zh-CN"/>
        </w:rPr>
        <w:t>1</w:t>
      </w:r>
      <w:r w:rsidRPr="000D2B76">
        <w:rPr>
          <w:rFonts w:ascii="宋体" w:eastAsia="宋体" w:hAnsi="宋体" w:hint="eastAsia"/>
          <w:b/>
          <w:color w:val="auto"/>
          <w:lang w:eastAsia="zh-CN"/>
        </w:rPr>
        <w:t>：小型项目可根据实际施工内容，对不涉及项予以豁免，不计入考核扣分。</w:t>
      </w:r>
    </w:p>
    <w:p w:rsidR="00B73FF2" w:rsidRDefault="000D2B76">
      <w:pPr>
        <w:spacing w:line="360" w:lineRule="auto"/>
        <w:rPr>
          <w:rFonts w:ascii="宋体" w:eastAsia="宋体" w:hAnsi="宋体"/>
          <w:b/>
          <w:color w:val="auto"/>
          <w:lang w:eastAsia="zh-CN"/>
        </w:rPr>
      </w:pPr>
      <w:r>
        <w:rPr>
          <w:rFonts w:ascii="宋体" w:eastAsia="宋体" w:hAnsi="宋体" w:hint="eastAsia"/>
          <w:b/>
          <w:color w:val="auto"/>
          <w:lang w:eastAsia="zh-CN"/>
        </w:rPr>
        <w:t>注2</w:t>
      </w:r>
      <w:r w:rsidR="00504034">
        <w:rPr>
          <w:rFonts w:ascii="宋体" w:eastAsia="宋体" w:hAnsi="宋体" w:hint="eastAsia"/>
          <w:b/>
          <w:color w:val="auto"/>
          <w:lang w:eastAsia="zh-CN"/>
        </w:rPr>
        <w:t>：</w:t>
      </w:r>
      <w:r w:rsidR="00504034">
        <w:rPr>
          <w:rFonts w:ascii="宋体" w:hAnsi="宋体" w:hint="eastAsia"/>
          <w:b/>
          <w:color w:val="auto"/>
          <w:lang w:eastAsia="zh-CN"/>
        </w:rPr>
        <w:t>安全文明施工措施费用由</w:t>
      </w:r>
      <w:r w:rsidR="00504034">
        <w:rPr>
          <w:rFonts w:ascii="宋体" w:eastAsia="宋体" w:hAnsi="宋体" w:hint="eastAsia"/>
          <w:b/>
          <w:color w:val="auto"/>
          <w:lang w:eastAsia="zh-CN"/>
        </w:rPr>
        <w:t>发包人邀请的第三方</w:t>
      </w:r>
      <w:r w:rsidR="00504034">
        <w:rPr>
          <w:rFonts w:ascii="宋体" w:hAnsi="宋体" w:hint="eastAsia"/>
          <w:b/>
          <w:color w:val="auto"/>
          <w:lang w:eastAsia="zh-CN"/>
        </w:rPr>
        <w:t>按照附件</w:t>
      </w:r>
      <w:bookmarkStart w:id="0" w:name="_GoBack"/>
      <w:bookmarkEnd w:id="0"/>
      <w:r w:rsidR="00504034">
        <w:rPr>
          <w:rFonts w:ascii="宋体" w:hAnsi="宋体" w:hint="eastAsia"/>
          <w:b/>
          <w:color w:val="auto"/>
          <w:lang w:eastAsia="zh-CN"/>
        </w:rPr>
        <w:t>对安全生产与文明工地建设进行专项打分考核报发包人审核批准后，支付安全文明施工措施费。得分低于</w:t>
      </w:r>
      <w:r w:rsidR="00504034">
        <w:rPr>
          <w:rFonts w:ascii="宋体" w:eastAsia="宋体" w:hAnsi="宋体" w:hint="eastAsia"/>
          <w:b/>
          <w:color w:val="auto"/>
          <w:lang w:eastAsia="zh-CN"/>
        </w:rPr>
        <w:t>85</w:t>
      </w:r>
      <w:r w:rsidR="00504034">
        <w:rPr>
          <w:rFonts w:ascii="宋体" w:hAnsi="宋体" w:hint="eastAsia"/>
          <w:b/>
          <w:color w:val="auto"/>
          <w:lang w:eastAsia="zh-CN"/>
        </w:rPr>
        <w:t>分为不合格，可以重新进行一次返工整改，再进行考核打分，合格后只能以</w:t>
      </w:r>
      <w:r w:rsidR="00504034">
        <w:rPr>
          <w:rFonts w:ascii="宋体" w:eastAsia="宋体" w:hAnsi="宋体" w:hint="eastAsia"/>
          <w:b/>
          <w:color w:val="auto"/>
          <w:lang w:eastAsia="zh-CN"/>
        </w:rPr>
        <w:t>85</w:t>
      </w:r>
      <w:r w:rsidR="00504034">
        <w:rPr>
          <w:rFonts w:ascii="宋体" w:hAnsi="宋体" w:hint="eastAsia"/>
          <w:b/>
          <w:color w:val="auto"/>
          <w:lang w:eastAsia="zh-CN"/>
        </w:rPr>
        <w:t>分计，仍不合格的即视为不合格，安全文明施工措施费不予支付，同时扣除履约保证金中安全生产、文明施工部分的</w:t>
      </w:r>
      <w:r w:rsidR="00504034">
        <w:rPr>
          <w:rFonts w:ascii="宋体" w:hAnsi="宋体"/>
          <w:b/>
          <w:color w:val="auto"/>
          <w:lang w:eastAsia="zh-CN"/>
        </w:rPr>
        <w:t>50%</w:t>
      </w:r>
      <w:r w:rsidR="00504034">
        <w:rPr>
          <w:rFonts w:ascii="宋体" w:hAnsi="宋体" w:hint="eastAsia"/>
          <w:b/>
          <w:color w:val="auto"/>
          <w:lang w:eastAsia="zh-CN"/>
        </w:rPr>
        <w:t>。</w:t>
      </w:r>
      <w:r w:rsidR="00504034">
        <w:rPr>
          <w:rFonts w:ascii="宋体" w:eastAsia="宋体" w:hAnsi="宋体" w:hint="eastAsia"/>
          <w:b/>
          <w:color w:val="auto"/>
          <w:lang w:eastAsia="zh-CN"/>
        </w:rPr>
        <w:t>申请支付安全文明措施费时需提供发票及相关证明资料。</w:t>
      </w:r>
    </w:p>
    <w:p w:rsidR="00B73FF2" w:rsidRDefault="00B73FF2">
      <w:pPr>
        <w:rPr>
          <w:rFonts w:ascii="宋体" w:hAnsi="宋体"/>
          <w:b/>
          <w:bCs/>
          <w:color w:val="auto"/>
          <w:lang w:eastAsia="zh-CN"/>
        </w:rPr>
      </w:pPr>
    </w:p>
    <w:sectPr w:rsidR="00B73FF2" w:rsidSect="00B73F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D93" w:rsidRDefault="00C05D93">
      <w:r>
        <w:separator/>
      </w:r>
    </w:p>
  </w:endnote>
  <w:endnote w:type="continuationSeparator" w:id="1">
    <w:p w:rsidR="00C05D93" w:rsidRDefault="00C05D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D93" w:rsidRDefault="00C05D93">
      <w:r>
        <w:separator/>
      </w:r>
    </w:p>
  </w:footnote>
  <w:footnote w:type="continuationSeparator" w:id="1">
    <w:p w:rsidR="00C05D93" w:rsidRDefault="00C05D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0486D21"/>
    <w:rsid w:val="000D2B76"/>
    <w:rsid w:val="00340A51"/>
    <w:rsid w:val="00504034"/>
    <w:rsid w:val="0053658A"/>
    <w:rsid w:val="00862069"/>
    <w:rsid w:val="00B026AA"/>
    <w:rsid w:val="00B73FF2"/>
    <w:rsid w:val="00C05D93"/>
    <w:rsid w:val="00DE318B"/>
    <w:rsid w:val="00FA6E4A"/>
    <w:rsid w:val="60486D21"/>
    <w:rsid w:val="6EAE3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3FF2"/>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26A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B026AA"/>
    <w:rPr>
      <w:rFonts w:ascii="Arial" w:eastAsia="Arial" w:hAnsi="Arial" w:cs="Arial"/>
      <w:snapToGrid w:val="0"/>
      <w:color w:val="000000"/>
      <w:sz w:val="18"/>
      <w:szCs w:val="18"/>
      <w:lang w:eastAsia="en-US"/>
    </w:rPr>
  </w:style>
  <w:style w:type="paragraph" w:styleId="a4">
    <w:name w:val="footer"/>
    <w:basedOn w:val="a"/>
    <w:link w:val="Char0"/>
    <w:rsid w:val="00B026AA"/>
    <w:pPr>
      <w:tabs>
        <w:tab w:val="center" w:pos="4153"/>
        <w:tab w:val="right" w:pos="8306"/>
      </w:tabs>
    </w:pPr>
    <w:rPr>
      <w:sz w:val="18"/>
      <w:szCs w:val="18"/>
    </w:rPr>
  </w:style>
  <w:style w:type="character" w:customStyle="1" w:styleId="Char0">
    <w:name w:val="页脚 Char"/>
    <w:basedOn w:val="a0"/>
    <w:link w:val="a4"/>
    <w:rsid w:val="00B026AA"/>
    <w:rPr>
      <w:rFonts w:ascii="Arial" w:eastAsia="Arial" w:hAnsi="Arial" w:cs="Arial"/>
      <w:snapToGrid w:val="0"/>
      <w:color w:val="000000"/>
      <w:sz w:val="18"/>
      <w:szCs w:val="18"/>
      <w:lang w:eastAsia="en-US"/>
    </w:rPr>
  </w:style>
  <w:style w:type="paragraph" w:styleId="a5">
    <w:name w:val="Balloon Text"/>
    <w:basedOn w:val="a"/>
    <w:link w:val="Char1"/>
    <w:rsid w:val="00B026AA"/>
    <w:rPr>
      <w:sz w:val="18"/>
      <w:szCs w:val="18"/>
    </w:rPr>
  </w:style>
  <w:style w:type="character" w:customStyle="1" w:styleId="Char1">
    <w:name w:val="批注框文本 Char"/>
    <w:basedOn w:val="a0"/>
    <w:link w:val="a5"/>
    <w:rsid w:val="00B026AA"/>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305</Words>
  <Characters>1744</Characters>
  <Application>Microsoft Office Word</Application>
  <DocSecurity>0</DocSecurity>
  <Lines>14</Lines>
  <Paragraphs>4</Paragraphs>
  <ScaleCrop>false</ScaleCrop>
  <Company>Microsoft</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感性与理性</dc:creator>
  <cp:lastModifiedBy>TY</cp:lastModifiedBy>
  <cp:revision>6</cp:revision>
  <dcterms:created xsi:type="dcterms:W3CDTF">2025-12-30T03:08:00Z</dcterms:created>
  <dcterms:modified xsi:type="dcterms:W3CDTF">2025-12-30T03:37:00Z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D53A21CCDC204C8391879A5BB9C57FA7_11</vt:lpwstr>
  </property>
  <property fmtid="{D5CDD505-2E9C-101B-9397-08002B2CF9AE}" pid="4" name="KSOTemplateDocerSaveRecord">
    <vt:lpwstr>eyJoZGlkIjoiZmQyMzgzMjg3MzcxNDJjZGFjNDRhZjJhNTliYWM4MjIiLCJ1c2VySWQiOiIzMzkyOTc5MzMifQ==</vt:lpwstr>
  </property>
</Properties>
</file>